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81457" w14:textId="6151E484" w:rsidR="00BF7CAE" w:rsidRPr="002D2F67" w:rsidRDefault="00BF7CAE" w:rsidP="002E1EB8">
      <w:pPr>
        <w:jc w:val="both"/>
        <w:rPr>
          <w:rFonts w:ascii="Arial" w:hAnsi="Arial" w:cs="Arial"/>
          <w:color w:val="000000"/>
          <w:sz w:val="20"/>
          <w:szCs w:val="20"/>
          <w:cs/>
        </w:rPr>
      </w:pPr>
    </w:p>
    <w:p w14:paraId="6524D45E" w14:textId="2972220C" w:rsidR="00CC4FB3"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1</w:t>
      </w:r>
      <w:r w:rsidR="00CC4FB3" w:rsidRPr="002D2F67">
        <w:rPr>
          <w:rFonts w:ascii="Arial" w:hAnsi="Arial" w:cs="Arial"/>
          <w:b/>
          <w:bCs/>
          <w:color w:val="000000"/>
          <w:kern w:val="26"/>
          <w:position w:val="-24"/>
          <w:sz w:val="20"/>
          <w:szCs w:val="20"/>
          <w:cs/>
        </w:rPr>
        <w:tab/>
      </w:r>
      <w:r w:rsidR="00CC4FB3" w:rsidRPr="002D2F67">
        <w:rPr>
          <w:rFonts w:ascii="Arial" w:hAnsi="Arial" w:cs="Arial"/>
          <w:b/>
          <w:bCs/>
          <w:color w:val="000000"/>
          <w:kern w:val="26"/>
          <w:position w:val="-24"/>
          <w:sz w:val="20"/>
          <w:szCs w:val="20"/>
        </w:rPr>
        <w:t>General information</w:t>
      </w:r>
    </w:p>
    <w:p w14:paraId="7B180FD8" w14:textId="77777777" w:rsidR="00CC4FB3" w:rsidRPr="002D2F67" w:rsidRDefault="00CC4FB3" w:rsidP="005611FE">
      <w:pPr>
        <w:rPr>
          <w:rFonts w:ascii="Arial" w:hAnsi="Arial" w:cs="Arial"/>
          <w:color w:val="000000"/>
          <w:sz w:val="20"/>
          <w:szCs w:val="20"/>
        </w:rPr>
      </w:pPr>
    </w:p>
    <w:p w14:paraId="6EE9BE0F" w14:textId="41F992A3" w:rsidR="00FE37B6" w:rsidRPr="002D2F67" w:rsidRDefault="00FE37B6" w:rsidP="005611FE">
      <w:pPr>
        <w:jc w:val="both"/>
        <w:rPr>
          <w:rFonts w:ascii="Arial" w:hAnsi="Arial" w:cs="Arial"/>
          <w:color w:val="000000"/>
          <w:sz w:val="20"/>
          <w:szCs w:val="20"/>
        </w:rPr>
      </w:pPr>
      <w:r w:rsidRPr="002D2F67">
        <w:rPr>
          <w:rFonts w:ascii="Arial" w:hAnsi="Arial" w:cs="Arial"/>
          <w:color w:val="000000"/>
          <w:sz w:val="20"/>
          <w:szCs w:val="20"/>
        </w:rPr>
        <w:t>Energy Absolute Public Company Limited (the Company) is a public limited company, incorporated and reside</w:t>
      </w:r>
      <w:r w:rsidR="0093737E" w:rsidRPr="002D2F67">
        <w:rPr>
          <w:rFonts w:ascii="Arial" w:hAnsi="Arial" w:cs="Arial"/>
          <w:color w:val="000000"/>
          <w:sz w:val="20"/>
          <w:szCs w:val="20"/>
        </w:rPr>
        <w:t>d</w:t>
      </w:r>
      <w:r w:rsidRPr="002D2F67">
        <w:rPr>
          <w:rFonts w:ascii="Arial" w:hAnsi="Arial" w:cs="Arial"/>
          <w:color w:val="000000"/>
          <w:sz w:val="20"/>
          <w:szCs w:val="20"/>
        </w:rPr>
        <w:t xml:space="preserve"> in Thailand. The address of its registered office is </w:t>
      </w:r>
      <w:r w:rsidR="00CD5714" w:rsidRPr="00CD5714">
        <w:rPr>
          <w:rFonts w:ascii="Arial" w:hAnsi="Arial" w:cs="Arial"/>
          <w:color w:val="000000"/>
          <w:sz w:val="20"/>
          <w:szCs w:val="20"/>
          <w:lang w:val="en-GB"/>
        </w:rPr>
        <w:t>89</w:t>
      </w:r>
      <w:r w:rsidRPr="002D2F67">
        <w:rPr>
          <w:rFonts w:ascii="Arial" w:hAnsi="Arial" w:cs="Arial"/>
          <w:color w:val="000000"/>
          <w:sz w:val="20"/>
          <w:szCs w:val="20"/>
        </w:rPr>
        <w:t xml:space="preserve">, AIA Capital Center Building, </w:t>
      </w:r>
      <w:r w:rsidR="00CD5714" w:rsidRPr="00CD5714">
        <w:rPr>
          <w:rFonts w:ascii="Arial" w:hAnsi="Arial" w:cs="Arial"/>
          <w:color w:val="000000"/>
          <w:sz w:val="20"/>
          <w:szCs w:val="20"/>
          <w:lang w:val="en-GB"/>
        </w:rPr>
        <w:t>16</w:t>
      </w:r>
      <w:r w:rsidRPr="002D2F67">
        <w:rPr>
          <w:rFonts w:ascii="Arial" w:hAnsi="Arial" w:cs="Arial"/>
          <w:color w:val="000000"/>
          <w:sz w:val="20"/>
          <w:szCs w:val="20"/>
        </w:rPr>
        <w:t>th Floor, Ratchadaphisek Road, Dindaeng, Bangkok.</w:t>
      </w:r>
    </w:p>
    <w:p w14:paraId="182D37A5" w14:textId="77777777" w:rsidR="00FE37B6" w:rsidRPr="002D2F67" w:rsidRDefault="00FE37B6" w:rsidP="005611FE">
      <w:pPr>
        <w:jc w:val="both"/>
        <w:rPr>
          <w:rFonts w:ascii="Arial" w:hAnsi="Arial" w:cs="Arial"/>
          <w:color w:val="000000"/>
          <w:sz w:val="20"/>
          <w:szCs w:val="20"/>
          <w:cs/>
        </w:rPr>
      </w:pPr>
    </w:p>
    <w:p w14:paraId="19BC6187" w14:textId="7114F96E" w:rsidR="00FE37B6" w:rsidRPr="002D2F67" w:rsidRDefault="00FE37B6" w:rsidP="005611FE">
      <w:pPr>
        <w:jc w:val="both"/>
        <w:rPr>
          <w:rFonts w:ascii="Arial" w:hAnsi="Arial" w:cs="Arial"/>
          <w:color w:val="000000"/>
          <w:sz w:val="20"/>
          <w:szCs w:val="20"/>
        </w:rPr>
      </w:pPr>
      <w:r w:rsidRPr="002D2F67">
        <w:rPr>
          <w:rFonts w:ascii="Arial" w:hAnsi="Arial" w:cs="Arial"/>
          <w:color w:val="000000"/>
          <w:sz w:val="20"/>
          <w:szCs w:val="20"/>
        </w:rPr>
        <w:t>The Company is listed on The Stock Exchange of Thailand. For reporting purposes, the Company and its subsidiaries are referred to as the Group.</w:t>
      </w:r>
    </w:p>
    <w:p w14:paraId="6AF62E70" w14:textId="77777777" w:rsidR="00FE37B6" w:rsidRPr="002D2F67" w:rsidRDefault="00FE37B6" w:rsidP="005611FE">
      <w:pPr>
        <w:jc w:val="both"/>
        <w:rPr>
          <w:rFonts w:ascii="Arial" w:hAnsi="Arial" w:cs="Arial"/>
          <w:color w:val="000000"/>
          <w:sz w:val="20"/>
          <w:szCs w:val="20"/>
        </w:rPr>
      </w:pPr>
    </w:p>
    <w:p w14:paraId="016079F3" w14:textId="2DE459DD" w:rsidR="00FE37B6" w:rsidRPr="002D2F67" w:rsidRDefault="00FE37B6" w:rsidP="005611FE">
      <w:pPr>
        <w:pStyle w:val="BodyText"/>
        <w:tabs>
          <w:tab w:val="left" w:pos="851"/>
        </w:tabs>
        <w:ind w:right="0"/>
        <w:rPr>
          <w:rFonts w:ascii="Arial" w:hAnsi="Arial" w:cs="Arial"/>
          <w:color w:val="000000"/>
          <w:lang w:val="en-GB"/>
        </w:rPr>
      </w:pPr>
      <w:r w:rsidRPr="002D2F67">
        <w:rPr>
          <w:rFonts w:ascii="Arial" w:hAnsi="Arial" w:cs="Arial"/>
          <w:color w:val="000000"/>
        </w:rPr>
        <w:t xml:space="preserve">The Group engages in business of manufacturing and distributing </w:t>
      </w:r>
      <w:r w:rsidR="00B40797" w:rsidRPr="002D2F67">
        <w:rPr>
          <w:rFonts w:ascii="Arial" w:hAnsi="Arial" w:cs="Arial"/>
          <w:color w:val="000000"/>
          <w:lang w:val="en-US"/>
        </w:rPr>
        <w:t>crude palm oil</w:t>
      </w:r>
      <w:r w:rsidR="0058389D" w:rsidRPr="002D2F67">
        <w:rPr>
          <w:rFonts w:ascii="Arial" w:hAnsi="Arial" w:cs="Arial"/>
          <w:color w:val="000000"/>
          <w:lang w:val="en-US"/>
        </w:rPr>
        <w:t xml:space="preserve">, </w:t>
      </w:r>
      <w:r w:rsidR="00CD5B9C" w:rsidRPr="002D2F67">
        <w:rPr>
          <w:rFonts w:ascii="Arial" w:hAnsi="Arial" w:cs="Arial"/>
          <w:color w:val="000000"/>
        </w:rPr>
        <w:t>biodiesel</w:t>
      </w:r>
      <w:r w:rsidRPr="002D2F67">
        <w:rPr>
          <w:rFonts w:ascii="Arial" w:hAnsi="Arial" w:cs="Arial"/>
          <w:color w:val="000000"/>
        </w:rPr>
        <w:t xml:space="preserve"> products and </w:t>
      </w:r>
      <w:r w:rsidR="00CD5B9C" w:rsidRPr="002D2F67">
        <w:rPr>
          <w:rFonts w:ascii="Arial" w:hAnsi="Arial" w:cs="Arial"/>
          <w:color w:val="000000"/>
          <w:spacing w:val="-4"/>
        </w:rPr>
        <w:t>glycerol</w:t>
      </w:r>
      <w:r w:rsidRPr="002D2F67">
        <w:rPr>
          <w:rFonts w:ascii="Arial" w:hAnsi="Arial" w:cs="Arial"/>
          <w:color w:val="000000"/>
          <w:spacing w:val="-4"/>
          <w:lang w:val="en-GB"/>
        </w:rPr>
        <w:t>,</w:t>
      </w:r>
      <w:r w:rsidRPr="002D2F67">
        <w:rPr>
          <w:rFonts w:ascii="Arial" w:hAnsi="Arial" w:cs="Arial"/>
          <w:color w:val="000000"/>
          <w:lang w:val="en-GB"/>
        </w:rPr>
        <w:t xml:space="preserve"> </w:t>
      </w:r>
      <w:r w:rsidRPr="002D2F67">
        <w:rPr>
          <w:rFonts w:ascii="Arial" w:hAnsi="Arial" w:cs="Arial"/>
          <w:color w:val="000000"/>
          <w:lang w:val="en-US"/>
        </w:rPr>
        <w:t>operating</w:t>
      </w:r>
      <w:r w:rsidRPr="002D2F67">
        <w:rPr>
          <w:rFonts w:ascii="Arial" w:hAnsi="Arial" w:cs="Arial"/>
          <w:color w:val="000000"/>
        </w:rPr>
        <w:t xml:space="preserve"> </w:t>
      </w:r>
      <w:r w:rsidRPr="002D2F67">
        <w:rPr>
          <w:rFonts w:ascii="Arial" w:hAnsi="Arial" w:cs="Arial"/>
          <w:color w:val="000000"/>
          <w:lang w:val="en-GB"/>
        </w:rPr>
        <w:t>renewable power plants</w:t>
      </w:r>
      <w:r w:rsidR="00902DB7" w:rsidRPr="002D2F67">
        <w:rPr>
          <w:rFonts w:ascii="Arial" w:hAnsi="Arial" w:cs="Arial"/>
          <w:color w:val="000000"/>
          <w:lang w:val="en-GB"/>
        </w:rPr>
        <w:t xml:space="preserve">, </w:t>
      </w:r>
      <w:r w:rsidRPr="002D2F67">
        <w:rPr>
          <w:rFonts w:ascii="Arial" w:hAnsi="Arial" w:cs="Arial"/>
          <w:color w:val="000000"/>
          <w:lang w:val="en-GB"/>
        </w:rPr>
        <w:t>develop</w:t>
      </w:r>
      <w:r w:rsidR="000A6362" w:rsidRPr="002D2F67">
        <w:rPr>
          <w:rFonts w:ascii="Arial" w:hAnsi="Arial" w:cs="Arial"/>
          <w:color w:val="000000"/>
          <w:lang w:val="en-GB"/>
        </w:rPr>
        <w:t>ing</w:t>
      </w:r>
      <w:r w:rsidRPr="002D2F67">
        <w:rPr>
          <w:rFonts w:ascii="Arial" w:hAnsi="Arial" w:cs="Arial"/>
          <w:color w:val="000000"/>
          <w:lang w:val="en-GB"/>
        </w:rPr>
        <w:t>, manufactur</w:t>
      </w:r>
      <w:r w:rsidR="000A6362" w:rsidRPr="002D2F67">
        <w:rPr>
          <w:rFonts w:ascii="Arial" w:hAnsi="Arial" w:cs="Arial"/>
          <w:color w:val="000000"/>
          <w:lang w:val="en-GB"/>
        </w:rPr>
        <w:t>ing</w:t>
      </w:r>
      <w:r w:rsidRPr="002D2F67">
        <w:rPr>
          <w:rFonts w:ascii="Arial" w:hAnsi="Arial" w:cs="Arial"/>
          <w:color w:val="000000"/>
          <w:lang w:val="en-GB"/>
        </w:rPr>
        <w:t xml:space="preserve"> and distribut</w:t>
      </w:r>
      <w:r w:rsidR="000A6362" w:rsidRPr="002D2F67">
        <w:rPr>
          <w:rFonts w:ascii="Arial" w:hAnsi="Arial" w:cs="Arial"/>
          <w:color w:val="000000"/>
          <w:lang w:val="en-GB"/>
        </w:rPr>
        <w:t>ing</w:t>
      </w:r>
      <w:r w:rsidRPr="002D2F67">
        <w:rPr>
          <w:rFonts w:ascii="Arial" w:hAnsi="Arial" w:cs="Arial"/>
          <w:color w:val="000000"/>
          <w:lang w:val="en-GB"/>
        </w:rPr>
        <w:t xml:space="preserve"> lithium-ion polymer battery</w:t>
      </w:r>
      <w:r w:rsidR="00D65C62" w:rsidRPr="002D2F67">
        <w:rPr>
          <w:rFonts w:ascii="Arial" w:hAnsi="Arial" w:cs="Arial"/>
          <w:color w:val="000000"/>
          <w:lang w:val="en-GB"/>
        </w:rPr>
        <w:t xml:space="preserve">, </w:t>
      </w:r>
      <w:r w:rsidR="0043521B" w:rsidRPr="002D2F67">
        <w:rPr>
          <w:rFonts w:ascii="Arial" w:hAnsi="Arial" w:cs="Arial"/>
          <w:color w:val="000000"/>
          <w:lang w:val="en-GB"/>
        </w:rPr>
        <w:t>electric vehicle</w:t>
      </w:r>
      <w:r w:rsidR="00902DB7" w:rsidRPr="002D2F67">
        <w:rPr>
          <w:rFonts w:ascii="Arial" w:hAnsi="Arial" w:cs="Arial"/>
          <w:color w:val="000000"/>
          <w:lang w:val="en-GB"/>
        </w:rPr>
        <w:t xml:space="preserve"> and</w:t>
      </w:r>
      <w:r w:rsidR="000A6362" w:rsidRPr="002D2F67">
        <w:rPr>
          <w:rFonts w:ascii="Arial" w:hAnsi="Arial" w:cs="Arial"/>
          <w:color w:val="000000"/>
          <w:lang w:val="en-GB"/>
        </w:rPr>
        <w:t xml:space="preserve"> operating</w:t>
      </w:r>
      <w:r w:rsidR="00902DB7" w:rsidRPr="002D2F67">
        <w:rPr>
          <w:rFonts w:ascii="Arial" w:hAnsi="Arial" w:cs="Arial"/>
          <w:color w:val="000000"/>
          <w:lang w:val="en-GB"/>
        </w:rPr>
        <w:t xml:space="preserve"> charging station</w:t>
      </w:r>
      <w:r w:rsidRPr="002D2F67">
        <w:rPr>
          <w:rFonts w:ascii="Arial" w:hAnsi="Arial" w:cs="Arial"/>
          <w:color w:val="000000"/>
          <w:lang w:val="en-GB"/>
        </w:rPr>
        <w:t>.</w:t>
      </w:r>
    </w:p>
    <w:p w14:paraId="6D330B1C" w14:textId="77777777" w:rsidR="00FE37B6" w:rsidRPr="002D2F67" w:rsidRDefault="00FE37B6" w:rsidP="005611FE">
      <w:pPr>
        <w:pStyle w:val="BodyText"/>
        <w:tabs>
          <w:tab w:val="left" w:pos="851"/>
        </w:tabs>
        <w:ind w:right="0"/>
        <w:rPr>
          <w:rFonts w:ascii="Arial" w:hAnsi="Arial" w:cs="Arial"/>
          <w:color w:val="000000"/>
          <w:lang w:val="en-GB"/>
        </w:rPr>
      </w:pPr>
    </w:p>
    <w:p w14:paraId="5A3E14FA" w14:textId="39466C4E" w:rsidR="00FE37B6" w:rsidRPr="002D2F67" w:rsidRDefault="00FE37B6" w:rsidP="005611FE">
      <w:pPr>
        <w:jc w:val="both"/>
        <w:rPr>
          <w:rFonts w:ascii="Arial" w:hAnsi="Arial" w:cs="Arial"/>
          <w:color w:val="000000"/>
          <w:sz w:val="20"/>
          <w:szCs w:val="20"/>
        </w:rPr>
      </w:pPr>
      <w:r w:rsidRPr="002D2F67">
        <w:rPr>
          <w:rFonts w:ascii="Arial" w:hAnsi="Arial" w:cs="Arial"/>
          <w:color w:val="000000"/>
          <w:spacing w:val="-2"/>
          <w:sz w:val="20"/>
          <w:szCs w:val="20"/>
        </w:rPr>
        <w:t>The consolidated and separate financial statements were authorised for issu</w:t>
      </w:r>
      <w:r w:rsidR="00902DB7" w:rsidRPr="002D2F67">
        <w:rPr>
          <w:rFonts w:ascii="Arial" w:hAnsi="Arial" w:cs="Arial"/>
          <w:color w:val="000000"/>
          <w:spacing w:val="-2"/>
          <w:sz w:val="20"/>
          <w:szCs w:val="20"/>
        </w:rPr>
        <w:t>ing</w:t>
      </w:r>
      <w:r w:rsidRPr="002D2F67">
        <w:rPr>
          <w:rFonts w:ascii="Arial" w:hAnsi="Arial" w:cs="Arial"/>
          <w:color w:val="000000"/>
          <w:spacing w:val="-2"/>
          <w:sz w:val="20"/>
          <w:szCs w:val="20"/>
        </w:rPr>
        <w:t xml:space="preserve"> by the Board of Directors on</w:t>
      </w:r>
      <w:r w:rsidRPr="002D2F67">
        <w:rPr>
          <w:rFonts w:ascii="Arial" w:hAnsi="Arial" w:cs="Arial"/>
          <w:color w:val="000000"/>
          <w:sz w:val="20"/>
          <w:szCs w:val="20"/>
        </w:rPr>
        <w:t xml:space="preserve"> </w:t>
      </w:r>
      <w:r w:rsidR="005966D1" w:rsidRPr="002D2F67">
        <w:rPr>
          <w:rFonts w:ascii="Arial" w:hAnsi="Arial" w:cs="Arial"/>
          <w:color w:val="000000"/>
          <w:sz w:val="20"/>
          <w:szCs w:val="20"/>
        </w:rPr>
        <w:br/>
      </w:r>
      <w:r w:rsidR="00CD5714" w:rsidRPr="00CD5714">
        <w:rPr>
          <w:rFonts w:ascii="Arial" w:hAnsi="Arial" w:cs="Arial"/>
          <w:color w:val="000000"/>
          <w:sz w:val="20"/>
          <w:szCs w:val="20"/>
          <w:lang w:val="en-GB"/>
        </w:rPr>
        <w:t>28</w:t>
      </w:r>
      <w:r w:rsidR="005926AE" w:rsidRPr="002D2F67">
        <w:rPr>
          <w:rFonts w:ascii="Arial" w:hAnsi="Arial" w:cs="Arial"/>
          <w:color w:val="000000"/>
          <w:sz w:val="20"/>
          <w:szCs w:val="20"/>
        </w:rPr>
        <w:t xml:space="preserve"> February</w:t>
      </w:r>
      <w:r w:rsidR="00762138"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2025</w:t>
      </w:r>
      <w:r w:rsidRPr="002D2F67">
        <w:rPr>
          <w:rFonts w:ascii="Arial" w:hAnsi="Arial" w:cs="Arial"/>
          <w:color w:val="000000"/>
          <w:sz w:val="20"/>
          <w:szCs w:val="20"/>
        </w:rPr>
        <w:t>.</w:t>
      </w:r>
    </w:p>
    <w:p w14:paraId="1AB79E1A" w14:textId="0FA7F387" w:rsidR="00FE37B6" w:rsidRPr="002D2F67" w:rsidRDefault="00FE37B6" w:rsidP="005611FE">
      <w:pPr>
        <w:jc w:val="both"/>
        <w:rPr>
          <w:rFonts w:ascii="Arial" w:hAnsi="Arial" w:cs="Arial"/>
          <w:color w:val="000000"/>
          <w:sz w:val="20"/>
          <w:szCs w:val="20"/>
        </w:rPr>
      </w:pPr>
    </w:p>
    <w:p w14:paraId="495BCF73" w14:textId="77777777" w:rsidR="00C65AA3" w:rsidRPr="002D2F67" w:rsidRDefault="00C65AA3" w:rsidP="005611FE">
      <w:pPr>
        <w:jc w:val="both"/>
        <w:rPr>
          <w:rFonts w:ascii="Arial" w:hAnsi="Arial" w:cs="Arial"/>
          <w:color w:val="000000"/>
          <w:sz w:val="20"/>
          <w:szCs w:val="20"/>
        </w:rPr>
      </w:pPr>
    </w:p>
    <w:p w14:paraId="741C44DE" w14:textId="17EE80CF" w:rsidR="00C65AA3" w:rsidRPr="002D2F67" w:rsidRDefault="00CD5714" w:rsidP="00C65AA3">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2</w:t>
      </w:r>
      <w:r w:rsidR="00C65AA3" w:rsidRPr="002D2F67">
        <w:rPr>
          <w:rFonts w:ascii="Arial" w:hAnsi="Arial" w:cs="Arial"/>
          <w:b/>
          <w:bCs/>
          <w:color w:val="000000"/>
          <w:kern w:val="26"/>
          <w:position w:val="-24"/>
          <w:sz w:val="20"/>
          <w:szCs w:val="20"/>
          <w:cs/>
        </w:rPr>
        <w:tab/>
      </w:r>
      <w:r w:rsidR="00110CB4" w:rsidRPr="002D2F67">
        <w:rPr>
          <w:rFonts w:ascii="Arial" w:hAnsi="Arial" w:cs="Arial"/>
          <w:b/>
          <w:bCs/>
          <w:color w:val="000000"/>
          <w:kern w:val="26"/>
          <w:position w:val="-24"/>
          <w:sz w:val="20"/>
          <w:szCs w:val="20"/>
        </w:rPr>
        <w:t>Financial positions</w:t>
      </w:r>
    </w:p>
    <w:p w14:paraId="3F211B2C" w14:textId="77777777" w:rsidR="00C65AA3" w:rsidRPr="002D2F67" w:rsidRDefault="00C65AA3" w:rsidP="005611FE">
      <w:pPr>
        <w:jc w:val="both"/>
        <w:rPr>
          <w:rFonts w:ascii="Arial" w:hAnsi="Arial" w:cs="Arial"/>
          <w:color w:val="000000"/>
          <w:sz w:val="20"/>
          <w:szCs w:val="20"/>
        </w:rPr>
      </w:pPr>
    </w:p>
    <w:p w14:paraId="40CD5F6F" w14:textId="6B32A425" w:rsidR="000E58FE" w:rsidRPr="002D2F67" w:rsidRDefault="00110CB4" w:rsidP="00B57840">
      <w:pPr>
        <w:tabs>
          <w:tab w:val="left" w:pos="5760"/>
        </w:tabs>
        <w:suppressAutoHyphens/>
        <w:jc w:val="thaiDistribute"/>
        <w:rPr>
          <w:rFonts w:ascii="Arial" w:eastAsia="Arial Unicode MS" w:hAnsi="Arial" w:cs="Arial"/>
          <w:spacing w:val="-4"/>
          <w:sz w:val="20"/>
          <w:szCs w:val="20"/>
        </w:rPr>
      </w:pPr>
      <w:r w:rsidRPr="002D2F67">
        <w:rPr>
          <w:rFonts w:ascii="Arial" w:eastAsia="Arial Unicode MS" w:hAnsi="Arial" w:cs="Arial"/>
          <w:spacing w:val="-4"/>
          <w:sz w:val="20"/>
          <w:szCs w:val="20"/>
        </w:rPr>
        <w:t xml:space="preserve">As </w:t>
      </w:r>
      <w:proofErr w:type="gramStart"/>
      <w:r w:rsidRPr="002D2F67">
        <w:rPr>
          <w:rFonts w:ascii="Arial" w:eastAsia="Arial Unicode MS" w:hAnsi="Arial" w:cs="Arial"/>
          <w:spacing w:val="-4"/>
          <w:sz w:val="20"/>
          <w:szCs w:val="20"/>
        </w:rPr>
        <w:t>at</w:t>
      </w:r>
      <w:proofErr w:type="gramEnd"/>
      <w:r w:rsidRPr="002D2F67">
        <w:rPr>
          <w:rFonts w:ascii="Arial" w:eastAsia="Arial Unicode MS" w:hAnsi="Arial" w:cs="Arial"/>
          <w:spacing w:val="-4"/>
          <w:sz w:val="20"/>
          <w:szCs w:val="20"/>
        </w:rPr>
        <w:t xml:space="preserve"> </w:t>
      </w:r>
      <w:r w:rsidR="00CD5714" w:rsidRPr="00CD5714">
        <w:rPr>
          <w:rFonts w:ascii="Arial" w:eastAsia="Arial Unicode MS" w:hAnsi="Arial" w:cs="Arial"/>
          <w:spacing w:val="-4"/>
          <w:sz w:val="20"/>
          <w:szCs w:val="20"/>
          <w:lang w:val="en-GB"/>
        </w:rPr>
        <w:t>31</w:t>
      </w:r>
      <w:r w:rsidRPr="002D2F67">
        <w:rPr>
          <w:rFonts w:ascii="Arial" w:eastAsia="Arial Unicode MS" w:hAnsi="Arial" w:cs="Arial"/>
          <w:spacing w:val="-4"/>
          <w:sz w:val="20"/>
          <w:szCs w:val="20"/>
        </w:rPr>
        <w:t xml:space="preserve"> December </w:t>
      </w:r>
      <w:r w:rsidR="00CD5714" w:rsidRPr="00CD5714">
        <w:rPr>
          <w:rFonts w:ascii="Arial" w:eastAsia="Arial Unicode MS" w:hAnsi="Arial" w:cs="Arial"/>
          <w:spacing w:val="-4"/>
          <w:sz w:val="20"/>
          <w:szCs w:val="20"/>
          <w:lang w:val="en-GB"/>
        </w:rPr>
        <w:t>2024</w:t>
      </w:r>
      <w:r w:rsidRPr="002D2F67">
        <w:rPr>
          <w:rFonts w:ascii="Arial" w:eastAsia="Arial Unicode MS" w:hAnsi="Arial" w:cs="Arial"/>
          <w:spacing w:val="-4"/>
          <w:sz w:val="20"/>
          <w:szCs w:val="20"/>
        </w:rPr>
        <w:t xml:space="preserve">, the Group and the Company had </w:t>
      </w:r>
      <w:r w:rsidR="0007380B" w:rsidRPr="002D2F67">
        <w:rPr>
          <w:rFonts w:ascii="Arial" w:eastAsia="Arial Unicode MS" w:hAnsi="Arial" w:cs="Arial"/>
          <w:spacing w:val="-4"/>
          <w:sz w:val="20"/>
          <w:szCs w:val="20"/>
        </w:rPr>
        <w:t xml:space="preserve">total </w:t>
      </w:r>
      <w:r w:rsidRPr="002D2F67">
        <w:rPr>
          <w:rFonts w:ascii="Arial" w:eastAsia="Arial Unicode MS" w:hAnsi="Arial" w:cs="Arial"/>
          <w:spacing w:val="-4"/>
          <w:sz w:val="20"/>
          <w:szCs w:val="20"/>
        </w:rPr>
        <w:t xml:space="preserve">current liabilities exceeding </w:t>
      </w:r>
      <w:r w:rsidR="0007380B" w:rsidRPr="002D2F67">
        <w:rPr>
          <w:rFonts w:ascii="Arial" w:eastAsia="Arial Unicode MS" w:hAnsi="Arial" w:cs="Arial"/>
          <w:spacing w:val="-4"/>
          <w:sz w:val="20"/>
          <w:szCs w:val="20"/>
        </w:rPr>
        <w:t xml:space="preserve">total </w:t>
      </w:r>
      <w:r w:rsidRPr="002D2F67">
        <w:rPr>
          <w:rFonts w:ascii="Arial" w:eastAsia="Arial Unicode MS" w:hAnsi="Arial" w:cs="Arial"/>
          <w:spacing w:val="-4"/>
          <w:sz w:val="20"/>
          <w:szCs w:val="20"/>
        </w:rPr>
        <w:t xml:space="preserve">current assets by Baht </w:t>
      </w:r>
      <w:r w:rsidR="00CD5714" w:rsidRPr="00CD5714">
        <w:rPr>
          <w:rFonts w:ascii="Arial" w:eastAsia="Arial Unicode MS" w:hAnsi="Arial" w:cs="Arial"/>
          <w:spacing w:val="-4"/>
          <w:sz w:val="20"/>
          <w:szCs w:val="20"/>
          <w:lang w:val="en-GB"/>
        </w:rPr>
        <w:t>1</w:t>
      </w:r>
      <w:r w:rsidRPr="002D2F67">
        <w:rPr>
          <w:rFonts w:ascii="Arial" w:eastAsia="Arial Unicode MS" w:hAnsi="Arial" w:cs="Arial"/>
          <w:spacing w:val="-4"/>
          <w:sz w:val="20"/>
          <w:szCs w:val="20"/>
        </w:rPr>
        <w:t>,</w:t>
      </w:r>
      <w:r w:rsidR="00CD5714" w:rsidRPr="00CD5714">
        <w:rPr>
          <w:rFonts w:ascii="Arial" w:eastAsia="Arial Unicode MS" w:hAnsi="Arial" w:cs="Arial"/>
          <w:spacing w:val="-4"/>
          <w:sz w:val="20"/>
          <w:szCs w:val="20"/>
          <w:lang w:val="en-GB"/>
        </w:rPr>
        <w:t>196</w:t>
      </w:r>
      <w:r w:rsidRPr="002D2F67">
        <w:rPr>
          <w:rFonts w:ascii="Arial" w:eastAsia="Arial Unicode MS" w:hAnsi="Arial" w:cs="Arial"/>
          <w:spacing w:val="-4"/>
          <w:sz w:val="20"/>
          <w:szCs w:val="20"/>
        </w:rPr>
        <w:t xml:space="preserve"> million and </w:t>
      </w:r>
      <w:r w:rsidR="0007380B" w:rsidRPr="002D2F67">
        <w:rPr>
          <w:rFonts w:ascii="Arial" w:eastAsia="Arial Unicode MS" w:hAnsi="Arial" w:cs="Arial"/>
          <w:spacing w:val="-4"/>
          <w:sz w:val="20"/>
          <w:szCs w:val="20"/>
        </w:rPr>
        <w:t xml:space="preserve">Baht </w:t>
      </w:r>
      <w:r w:rsidR="00CD5714" w:rsidRPr="00CD5714">
        <w:rPr>
          <w:rFonts w:ascii="Arial" w:eastAsia="Arial Unicode MS" w:hAnsi="Arial" w:cs="Arial"/>
          <w:spacing w:val="-4"/>
          <w:sz w:val="20"/>
          <w:szCs w:val="20"/>
          <w:lang w:val="en-GB"/>
        </w:rPr>
        <w:t>10</w:t>
      </w:r>
      <w:r w:rsidRPr="002D2F67">
        <w:rPr>
          <w:rFonts w:ascii="Arial" w:eastAsia="Arial Unicode MS" w:hAnsi="Arial" w:cs="Arial"/>
          <w:spacing w:val="-4"/>
          <w:sz w:val="20"/>
          <w:szCs w:val="20"/>
        </w:rPr>
        <w:t>,</w:t>
      </w:r>
      <w:r w:rsidR="00CD5714" w:rsidRPr="00CD5714">
        <w:rPr>
          <w:rFonts w:ascii="Arial" w:eastAsia="Arial Unicode MS" w:hAnsi="Arial" w:cs="Arial"/>
          <w:spacing w:val="-4"/>
          <w:sz w:val="20"/>
          <w:szCs w:val="20"/>
          <w:lang w:val="en-GB"/>
        </w:rPr>
        <w:t>129</w:t>
      </w:r>
      <w:r w:rsidRPr="002D2F67">
        <w:rPr>
          <w:rFonts w:ascii="Arial" w:eastAsia="Arial Unicode MS" w:hAnsi="Arial" w:cs="Arial"/>
          <w:spacing w:val="-4"/>
          <w:sz w:val="20"/>
          <w:szCs w:val="20"/>
        </w:rPr>
        <w:t xml:space="preserve"> million</w:t>
      </w:r>
      <w:r w:rsidR="0007380B" w:rsidRPr="002D2F67">
        <w:rPr>
          <w:rFonts w:ascii="Arial" w:eastAsia="Arial Unicode MS" w:hAnsi="Arial" w:cs="Arial"/>
          <w:spacing w:val="-4"/>
          <w:sz w:val="20"/>
          <w:szCs w:val="20"/>
        </w:rPr>
        <w:t xml:space="preserve"> and incurred net losses for the year ended </w:t>
      </w:r>
      <w:r w:rsidR="00CD5714" w:rsidRPr="00CD5714">
        <w:rPr>
          <w:rFonts w:ascii="Arial" w:eastAsia="Arial Unicode MS" w:hAnsi="Arial" w:cs="Arial"/>
          <w:spacing w:val="-4"/>
          <w:sz w:val="20"/>
          <w:szCs w:val="20"/>
          <w:lang w:val="en-GB"/>
        </w:rPr>
        <w:t>31</w:t>
      </w:r>
      <w:r w:rsidR="0007380B" w:rsidRPr="002D2F67">
        <w:rPr>
          <w:rFonts w:ascii="Arial" w:eastAsia="Arial Unicode MS" w:hAnsi="Arial" w:cs="Arial"/>
          <w:spacing w:val="-4"/>
          <w:sz w:val="20"/>
          <w:szCs w:val="20"/>
        </w:rPr>
        <w:t xml:space="preserve"> December </w:t>
      </w:r>
      <w:r w:rsidR="00CD5714" w:rsidRPr="00CD5714">
        <w:rPr>
          <w:rFonts w:ascii="Arial" w:eastAsia="Arial Unicode MS" w:hAnsi="Arial" w:cs="Arial"/>
          <w:spacing w:val="-4"/>
          <w:sz w:val="20"/>
          <w:szCs w:val="20"/>
          <w:lang w:val="en-GB"/>
        </w:rPr>
        <w:t>2024</w:t>
      </w:r>
      <w:r w:rsidR="00C0222B" w:rsidRPr="002D2F67">
        <w:rPr>
          <w:rFonts w:ascii="Arial" w:eastAsia="Arial Unicode MS" w:hAnsi="Arial" w:cs="Arial"/>
          <w:spacing w:val="-4"/>
          <w:sz w:val="20"/>
          <w:szCs w:val="20"/>
        </w:rPr>
        <w:t xml:space="preserve"> of</w:t>
      </w:r>
      <w:r w:rsidR="0007380B" w:rsidRPr="002D2F67">
        <w:rPr>
          <w:rFonts w:ascii="Arial" w:eastAsia="Arial Unicode MS" w:hAnsi="Arial" w:cs="Arial"/>
          <w:spacing w:val="-4"/>
          <w:sz w:val="20"/>
          <w:szCs w:val="20"/>
        </w:rPr>
        <w:t xml:space="preserve"> Baht </w:t>
      </w:r>
      <w:r w:rsidR="00CD5714" w:rsidRPr="00CD5714">
        <w:rPr>
          <w:rFonts w:ascii="Arial" w:eastAsia="Arial Unicode MS" w:hAnsi="Arial" w:cs="Arial"/>
          <w:spacing w:val="-4"/>
          <w:sz w:val="20"/>
          <w:szCs w:val="20"/>
          <w:lang w:val="en-GB"/>
        </w:rPr>
        <w:t>8</w:t>
      </w:r>
      <w:r w:rsidR="0007380B" w:rsidRPr="002D2F67">
        <w:rPr>
          <w:rFonts w:ascii="Arial" w:eastAsia="Arial Unicode MS" w:hAnsi="Arial" w:cs="Arial"/>
          <w:spacing w:val="-4"/>
          <w:sz w:val="20"/>
          <w:szCs w:val="20"/>
        </w:rPr>
        <w:t>,</w:t>
      </w:r>
      <w:r w:rsidR="00CD5714" w:rsidRPr="00CD5714">
        <w:rPr>
          <w:rFonts w:ascii="Arial" w:eastAsia="Arial Unicode MS" w:hAnsi="Arial" w:cs="Arial"/>
          <w:spacing w:val="-4"/>
          <w:sz w:val="20"/>
          <w:szCs w:val="20"/>
          <w:lang w:val="en-GB"/>
        </w:rPr>
        <w:t>2</w:t>
      </w:r>
      <w:r w:rsidR="00345486">
        <w:rPr>
          <w:rFonts w:ascii="Arial" w:eastAsia="Arial Unicode MS" w:hAnsi="Arial" w:cs="Arial"/>
          <w:spacing w:val="-4"/>
          <w:sz w:val="20"/>
          <w:szCs w:val="20"/>
          <w:lang w:val="en-GB"/>
        </w:rPr>
        <w:t>50</w:t>
      </w:r>
      <w:r w:rsidR="0007380B" w:rsidRPr="002D2F67">
        <w:rPr>
          <w:rFonts w:ascii="Arial" w:eastAsia="Arial Unicode MS" w:hAnsi="Arial" w:cs="Arial"/>
          <w:spacing w:val="-4"/>
          <w:sz w:val="20"/>
          <w:szCs w:val="20"/>
        </w:rPr>
        <w:t xml:space="preserve"> million and Baht </w:t>
      </w:r>
      <w:r w:rsidR="00CD5714" w:rsidRPr="00CD5714">
        <w:rPr>
          <w:rFonts w:ascii="Arial" w:eastAsia="Arial Unicode MS" w:hAnsi="Arial" w:cs="Arial"/>
          <w:spacing w:val="-4"/>
          <w:sz w:val="20"/>
          <w:szCs w:val="20"/>
          <w:lang w:val="en-GB"/>
        </w:rPr>
        <w:t>11</w:t>
      </w:r>
      <w:r w:rsidR="0007380B" w:rsidRPr="002D2F67">
        <w:rPr>
          <w:rFonts w:ascii="Arial" w:eastAsia="Arial Unicode MS" w:hAnsi="Arial" w:cs="Arial"/>
          <w:spacing w:val="-4"/>
          <w:sz w:val="20"/>
          <w:szCs w:val="20"/>
        </w:rPr>
        <w:t>,</w:t>
      </w:r>
      <w:r w:rsidR="00345486">
        <w:rPr>
          <w:rFonts w:ascii="Arial" w:eastAsia="Arial Unicode MS" w:hAnsi="Arial" w:cs="Arial"/>
          <w:spacing w:val="-4"/>
          <w:sz w:val="20"/>
          <w:szCs w:val="20"/>
          <w:lang w:val="en-GB"/>
        </w:rPr>
        <w:t>953</w:t>
      </w:r>
      <w:r w:rsidR="0007380B" w:rsidRPr="002D2F67">
        <w:rPr>
          <w:rFonts w:ascii="Arial" w:eastAsia="Arial Unicode MS" w:hAnsi="Arial" w:cs="Arial"/>
          <w:spacing w:val="-4"/>
          <w:sz w:val="20"/>
          <w:szCs w:val="20"/>
        </w:rPr>
        <w:t xml:space="preserve"> million in the consolidated financial statements and the separate financial statements, respectively.</w:t>
      </w:r>
      <w:r w:rsidR="00552572" w:rsidRPr="002D2F67">
        <w:rPr>
          <w:rFonts w:ascii="Arial" w:eastAsia="Arial Unicode MS" w:hAnsi="Arial" w:cs="Arial"/>
          <w:spacing w:val="-4"/>
          <w:sz w:val="20"/>
          <w:szCs w:val="20"/>
        </w:rPr>
        <w:t xml:space="preserve"> </w:t>
      </w:r>
      <w:r w:rsidR="008676CB" w:rsidRPr="002D2F67">
        <w:rPr>
          <w:rFonts w:ascii="Arial" w:eastAsia="Arial Unicode MS" w:hAnsi="Arial" w:cs="Arial"/>
          <w:spacing w:val="-8"/>
          <w:sz w:val="20"/>
          <w:szCs w:val="20"/>
        </w:rPr>
        <w:t>In addition</w:t>
      </w:r>
      <w:r w:rsidR="00917D1E" w:rsidRPr="002D2F67">
        <w:rPr>
          <w:rFonts w:ascii="Arial" w:eastAsia="Arial Unicode MS" w:hAnsi="Arial" w:cs="Arial"/>
          <w:spacing w:val="-8"/>
          <w:sz w:val="20"/>
          <w:szCs w:val="20"/>
        </w:rPr>
        <w:t xml:space="preserve">, on </w:t>
      </w:r>
      <w:r w:rsidR="00CD5714" w:rsidRPr="00CD5714">
        <w:rPr>
          <w:rFonts w:ascii="Arial" w:eastAsia="Arial Unicode MS" w:hAnsi="Arial" w:cs="Arial"/>
          <w:spacing w:val="-8"/>
          <w:sz w:val="20"/>
          <w:szCs w:val="20"/>
          <w:lang w:val="en-GB"/>
        </w:rPr>
        <w:t>15</w:t>
      </w:r>
      <w:r w:rsidR="00917D1E" w:rsidRPr="002D2F67">
        <w:rPr>
          <w:rFonts w:ascii="Arial" w:eastAsia="Arial Unicode MS" w:hAnsi="Arial" w:cs="Arial"/>
          <w:spacing w:val="-8"/>
          <w:sz w:val="20"/>
          <w:szCs w:val="20"/>
        </w:rPr>
        <w:t xml:space="preserve"> July</w:t>
      </w:r>
      <w:r w:rsidR="00917D1E" w:rsidRPr="002D2F67">
        <w:rPr>
          <w:rFonts w:ascii="Arial" w:eastAsia="Arial Unicode MS" w:hAnsi="Arial" w:cs="Arial"/>
          <w:spacing w:val="-6"/>
          <w:sz w:val="20"/>
          <w:szCs w:val="20"/>
        </w:rPr>
        <w:t xml:space="preserve"> </w:t>
      </w:r>
      <w:r w:rsidR="00CD5714" w:rsidRPr="00CD5714">
        <w:rPr>
          <w:rFonts w:ascii="Arial" w:eastAsia="Arial Unicode MS" w:hAnsi="Arial" w:cs="Arial"/>
          <w:spacing w:val="-6"/>
          <w:sz w:val="20"/>
          <w:szCs w:val="20"/>
          <w:lang w:val="en-GB"/>
        </w:rPr>
        <w:t>2024</w:t>
      </w:r>
      <w:r w:rsidR="00917D1E" w:rsidRPr="002D2F67">
        <w:rPr>
          <w:rFonts w:ascii="Arial" w:eastAsia="Arial Unicode MS" w:hAnsi="Arial" w:cs="Arial"/>
          <w:spacing w:val="-6"/>
          <w:sz w:val="20"/>
          <w:szCs w:val="20"/>
        </w:rPr>
        <w:t>, the Company's</w:t>
      </w:r>
      <w:r w:rsidR="00917D1E" w:rsidRPr="002D2F67">
        <w:rPr>
          <w:rFonts w:ascii="Arial" w:eastAsia="Arial Unicode MS" w:hAnsi="Arial" w:cs="Arial"/>
          <w:sz w:val="20"/>
          <w:szCs w:val="20"/>
        </w:rPr>
        <w:t xml:space="preserve"> </w:t>
      </w:r>
      <w:r w:rsidR="00917D1E" w:rsidRPr="002D2F67">
        <w:rPr>
          <w:rFonts w:ascii="Arial" w:eastAsia="Arial Unicode MS" w:hAnsi="Arial" w:cs="Arial"/>
          <w:spacing w:val="-4"/>
          <w:sz w:val="20"/>
          <w:szCs w:val="20"/>
        </w:rPr>
        <w:t>credit rating was downgraded from BBB+ (Negative) to BB+ (Negative) by</w:t>
      </w:r>
      <w:r w:rsidR="00552572" w:rsidRPr="002D2F67">
        <w:rPr>
          <w:rFonts w:ascii="Arial" w:eastAsia="Arial Unicode MS" w:hAnsi="Arial" w:cs="Arial"/>
          <w:spacing w:val="-4"/>
          <w:sz w:val="20"/>
          <w:szCs w:val="20"/>
        </w:rPr>
        <w:t xml:space="preserve"> </w:t>
      </w:r>
      <w:r w:rsidR="00917D1E" w:rsidRPr="002D2F67">
        <w:rPr>
          <w:rFonts w:ascii="Arial" w:eastAsia="Arial Unicode MS" w:hAnsi="Arial" w:cs="Arial"/>
          <w:spacing w:val="-4"/>
          <w:sz w:val="20"/>
          <w:szCs w:val="20"/>
        </w:rPr>
        <w:t>a private credit rating agency</w:t>
      </w:r>
      <w:r w:rsidR="00917D1E" w:rsidRPr="002D2F67">
        <w:rPr>
          <w:rFonts w:ascii="Arial" w:eastAsia="Arial Unicode MS" w:hAnsi="Arial" w:cs="Arial"/>
          <w:sz w:val="20"/>
          <w:szCs w:val="20"/>
        </w:rPr>
        <w:t xml:space="preserve">. These </w:t>
      </w:r>
      <w:r w:rsidR="00917D1E" w:rsidRPr="002D2F67">
        <w:rPr>
          <w:rFonts w:ascii="Arial" w:eastAsia="Arial Unicode MS" w:hAnsi="Arial" w:cs="Arial"/>
          <w:spacing w:val="-4"/>
          <w:sz w:val="20"/>
          <w:szCs w:val="20"/>
        </w:rPr>
        <w:t>events had impact on the credit facilities from financial institutions and on the plan to issue new debenture</w:t>
      </w:r>
      <w:r w:rsidR="00917D1E" w:rsidRPr="002D2F67">
        <w:rPr>
          <w:rFonts w:ascii="Arial" w:eastAsia="Arial Unicode MS" w:hAnsi="Arial" w:cs="Arial"/>
          <w:sz w:val="20"/>
          <w:szCs w:val="20"/>
        </w:rPr>
        <w:t xml:space="preserve"> for liquidity management and the repayment of short-term liabilities of the Group and the Company</w:t>
      </w:r>
      <w:r w:rsidR="00917D1E" w:rsidRPr="002D2F67">
        <w:rPr>
          <w:rFonts w:ascii="Arial" w:eastAsia="Arial Unicode MS" w:hAnsi="Arial" w:cs="Arial"/>
          <w:spacing w:val="-4"/>
          <w:sz w:val="20"/>
          <w:szCs w:val="20"/>
        </w:rPr>
        <w:t>.</w:t>
      </w:r>
      <w:r w:rsidR="00B57840" w:rsidRPr="002D2F67">
        <w:rPr>
          <w:rFonts w:ascii="Arial" w:eastAsia="Arial Unicode MS" w:hAnsi="Arial" w:cs="Arial"/>
          <w:spacing w:val="-4"/>
          <w:sz w:val="20"/>
          <w:szCs w:val="20"/>
        </w:rPr>
        <w:t xml:space="preserve"> However, t</w:t>
      </w:r>
      <w:r w:rsidR="000E58FE" w:rsidRPr="002D2F67">
        <w:rPr>
          <w:rFonts w:ascii="Arial" w:eastAsia="Arial Unicode MS" w:hAnsi="Arial" w:cs="Arial"/>
          <w:sz w:val="20"/>
          <w:szCs w:val="20"/>
        </w:rPr>
        <w:t xml:space="preserve">he Group’s management </w:t>
      </w:r>
      <w:r w:rsidR="00C0222B" w:rsidRPr="002D2F67">
        <w:rPr>
          <w:rFonts w:ascii="Arial" w:eastAsia="Arial Unicode MS" w:hAnsi="Arial" w:cs="Arial"/>
          <w:sz w:val="20"/>
          <w:szCs w:val="20"/>
        </w:rPr>
        <w:t xml:space="preserve">had </w:t>
      </w:r>
      <w:r w:rsidR="000E58FE" w:rsidRPr="002D2F67">
        <w:rPr>
          <w:rFonts w:ascii="Arial" w:eastAsia="Arial Unicode MS" w:hAnsi="Arial" w:cs="Arial"/>
          <w:sz w:val="20"/>
          <w:szCs w:val="20"/>
        </w:rPr>
        <w:t>policies</w:t>
      </w:r>
      <w:r w:rsidR="00C0222B" w:rsidRPr="002D2F67">
        <w:rPr>
          <w:rFonts w:ascii="Arial" w:eastAsia="Arial Unicode MS" w:hAnsi="Arial" w:cs="Arial"/>
          <w:sz w:val="20"/>
          <w:szCs w:val="20"/>
        </w:rPr>
        <w:t xml:space="preserve"> </w:t>
      </w:r>
      <w:r w:rsidR="00C0222B" w:rsidRPr="002D2F67">
        <w:rPr>
          <w:rFonts w:ascii="Arial" w:eastAsia="Arial Unicode MS" w:hAnsi="Arial" w:cs="Arial"/>
          <w:spacing w:val="-4"/>
          <w:sz w:val="20"/>
          <w:szCs w:val="20"/>
        </w:rPr>
        <w:t>and</w:t>
      </w:r>
      <w:r w:rsidR="000E58FE" w:rsidRPr="002D2F67">
        <w:rPr>
          <w:rFonts w:ascii="Arial" w:eastAsia="Arial Unicode MS" w:hAnsi="Arial" w:cs="Arial"/>
          <w:spacing w:val="-4"/>
          <w:sz w:val="20"/>
          <w:szCs w:val="20"/>
        </w:rPr>
        <w:t xml:space="preserve"> procedures to manage its liquidity risk. The Group’s management had performed the operations as follows</w:t>
      </w:r>
      <w:r w:rsidR="000E58FE" w:rsidRPr="002D2F67">
        <w:rPr>
          <w:rFonts w:ascii="Arial" w:eastAsia="Arial Unicode MS" w:hAnsi="Arial" w:cs="Arial"/>
          <w:sz w:val="20"/>
          <w:szCs w:val="20"/>
        </w:rPr>
        <w:t>:</w:t>
      </w:r>
    </w:p>
    <w:p w14:paraId="7DF6CC48" w14:textId="77777777" w:rsidR="000E58FE" w:rsidRPr="002D2F67" w:rsidRDefault="000E58FE" w:rsidP="000E58FE">
      <w:pPr>
        <w:jc w:val="thaiDistribute"/>
        <w:rPr>
          <w:rFonts w:ascii="Arial" w:eastAsia="Arial Unicode MS" w:hAnsi="Arial" w:cs="Arial"/>
          <w:sz w:val="20"/>
          <w:szCs w:val="20"/>
        </w:rPr>
      </w:pPr>
    </w:p>
    <w:p w14:paraId="2517BD28" w14:textId="336D9450" w:rsidR="003E4812" w:rsidRPr="002D2F67" w:rsidRDefault="003E4812" w:rsidP="003E4812">
      <w:pPr>
        <w:numPr>
          <w:ilvl w:val="0"/>
          <w:numId w:val="38"/>
        </w:numPr>
        <w:ind w:left="360"/>
        <w:jc w:val="thaiDistribute"/>
        <w:rPr>
          <w:rFonts w:ascii="Arial" w:hAnsi="Arial" w:cs="Arial"/>
          <w:spacing w:val="-4"/>
          <w:sz w:val="20"/>
          <w:szCs w:val="20"/>
        </w:rPr>
      </w:pPr>
      <w:r w:rsidRPr="002D2F67">
        <w:rPr>
          <w:rFonts w:ascii="Arial" w:hAnsi="Arial" w:cs="Arial"/>
          <w:spacing w:val="-4"/>
          <w:sz w:val="20"/>
          <w:szCs w:val="20"/>
        </w:rPr>
        <w:t xml:space="preserve">The Group has entered into long-term loan agreements and a syndicated loan agreement with financial institutions approximately of Baht </w:t>
      </w:r>
      <w:r w:rsidR="00CD5714" w:rsidRPr="00CD5714">
        <w:rPr>
          <w:rFonts w:ascii="Arial" w:hAnsi="Arial" w:cs="Arial"/>
          <w:spacing w:val="-4"/>
          <w:sz w:val="20"/>
          <w:szCs w:val="20"/>
          <w:lang w:val="en-GB"/>
        </w:rPr>
        <w:t>8</w:t>
      </w:r>
      <w:r w:rsidRPr="002D2F67">
        <w:rPr>
          <w:rFonts w:ascii="Arial" w:hAnsi="Arial" w:cs="Arial"/>
          <w:spacing w:val="-4"/>
          <w:sz w:val="20"/>
          <w:szCs w:val="20"/>
          <w:cs/>
        </w:rPr>
        <w:t>,</w:t>
      </w:r>
      <w:r w:rsidR="00CD5714" w:rsidRPr="00CD5714">
        <w:rPr>
          <w:rFonts w:ascii="Arial" w:hAnsi="Arial" w:cs="Arial"/>
          <w:spacing w:val="-4"/>
          <w:sz w:val="20"/>
          <w:szCs w:val="20"/>
          <w:lang w:val="en-GB"/>
        </w:rPr>
        <w:t>500</w:t>
      </w:r>
      <w:r w:rsidRPr="002D2F67">
        <w:rPr>
          <w:rFonts w:ascii="Arial" w:hAnsi="Arial" w:cs="Arial"/>
          <w:spacing w:val="-4"/>
          <w:sz w:val="20"/>
          <w:szCs w:val="20"/>
        </w:rPr>
        <w:t xml:space="preserve"> million. The purpose of these loans was to refinance short-term </w:t>
      </w:r>
      <w:r w:rsidRPr="002D2F67">
        <w:rPr>
          <w:rFonts w:ascii="Arial" w:hAnsi="Arial" w:cs="Arial"/>
          <w:spacing w:val="-6"/>
          <w:sz w:val="20"/>
          <w:szCs w:val="20"/>
        </w:rPr>
        <w:t xml:space="preserve">loans from financial institutions into long-term loans with a principal and interest repayments term of </w:t>
      </w:r>
      <w:r w:rsidR="00CD5714" w:rsidRPr="00CD5714">
        <w:rPr>
          <w:rFonts w:ascii="Arial" w:hAnsi="Arial" w:cs="Arial"/>
          <w:spacing w:val="-6"/>
          <w:sz w:val="20"/>
          <w:szCs w:val="20"/>
          <w:lang w:val="en-GB"/>
        </w:rPr>
        <w:t>3</w:t>
      </w:r>
      <w:r w:rsidRPr="002D2F67">
        <w:rPr>
          <w:rFonts w:ascii="Arial" w:hAnsi="Arial" w:cs="Arial"/>
          <w:spacing w:val="-6"/>
          <w:sz w:val="20"/>
          <w:szCs w:val="20"/>
        </w:rPr>
        <w:t xml:space="preserve"> years</w:t>
      </w:r>
      <w:r w:rsidRPr="002D2F67">
        <w:rPr>
          <w:rFonts w:ascii="Arial" w:hAnsi="Arial" w:cs="Arial"/>
          <w:spacing w:val="-4"/>
          <w:sz w:val="20"/>
          <w:szCs w:val="20"/>
        </w:rPr>
        <w:t xml:space="preserve">, as disclosed in Note </w:t>
      </w:r>
      <w:r w:rsidR="00CD5714" w:rsidRPr="00CD5714">
        <w:rPr>
          <w:rFonts w:ascii="Arial" w:hAnsi="Arial" w:cs="Arial"/>
          <w:spacing w:val="-4"/>
          <w:sz w:val="20"/>
          <w:szCs w:val="20"/>
          <w:lang w:val="en-GB"/>
        </w:rPr>
        <w:t>29</w:t>
      </w:r>
      <w:r w:rsidRPr="002D2F67">
        <w:rPr>
          <w:rFonts w:ascii="Arial" w:hAnsi="Arial" w:cs="Arial"/>
          <w:spacing w:val="-4"/>
          <w:sz w:val="20"/>
          <w:szCs w:val="20"/>
        </w:rPr>
        <w:t>.</w:t>
      </w:r>
    </w:p>
    <w:p w14:paraId="1AC07C0E" w14:textId="56044490" w:rsidR="003E4812" w:rsidRPr="002D2F67" w:rsidRDefault="003E4812" w:rsidP="003E4812">
      <w:pPr>
        <w:numPr>
          <w:ilvl w:val="0"/>
          <w:numId w:val="38"/>
        </w:numPr>
        <w:ind w:left="360"/>
        <w:jc w:val="thaiDistribute"/>
        <w:rPr>
          <w:rFonts w:ascii="Arial" w:hAnsi="Arial" w:cs="Arial"/>
          <w:spacing w:val="-4"/>
          <w:sz w:val="20"/>
          <w:szCs w:val="20"/>
        </w:rPr>
      </w:pPr>
      <w:r w:rsidRPr="002D2F67">
        <w:rPr>
          <w:rFonts w:ascii="Arial" w:hAnsi="Arial" w:cs="Arial"/>
          <w:spacing w:val="-4"/>
          <w:sz w:val="20"/>
          <w:szCs w:val="20"/>
        </w:rPr>
        <w:t xml:space="preserve">The debenture holders approved the extension </w:t>
      </w:r>
      <w:r w:rsidRPr="002D2F67">
        <w:rPr>
          <w:rFonts w:ascii="Arial" w:hAnsi="Arial" w:cs="Arial"/>
          <w:spacing w:val="-6"/>
          <w:sz w:val="20"/>
          <w:szCs w:val="20"/>
        </w:rPr>
        <w:t xml:space="preserve">of the debenture redemption date, without being considered as </w:t>
      </w:r>
      <w:r w:rsidRPr="002D2F67">
        <w:rPr>
          <w:rFonts w:ascii="Arial" w:hAnsi="Arial" w:cs="Arial"/>
          <w:spacing w:val="-4"/>
          <w:sz w:val="20"/>
          <w:szCs w:val="20"/>
        </w:rPr>
        <w:t xml:space="preserve">default from the original redemption date of </w:t>
      </w:r>
      <w:r w:rsidR="00CD5714" w:rsidRPr="00CD5714">
        <w:rPr>
          <w:rFonts w:ascii="Arial" w:hAnsi="Arial" w:cs="Arial"/>
          <w:spacing w:val="-4"/>
          <w:sz w:val="20"/>
          <w:szCs w:val="20"/>
          <w:lang w:val="en-GB"/>
        </w:rPr>
        <w:t>15</w:t>
      </w:r>
      <w:r w:rsidRPr="002D2F67">
        <w:rPr>
          <w:rFonts w:ascii="Arial" w:hAnsi="Arial" w:cs="Arial"/>
          <w:spacing w:val="-4"/>
          <w:sz w:val="20"/>
          <w:szCs w:val="20"/>
        </w:rPr>
        <w:t xml:space="preserve"> August </w:t>
      </w:r>
      <w:r w:rsidR="00CD5714" w:rsidRPr="00CD5714">
        <w:rPr>
          <w:rFonts w:ascii="Arial" w:hAnsi="Arial" w:cs="Arial"/>
          <w:spacing w:val="-4"/>
          <w:sz w:val="20"/>
          <w:szCs w:val="20"/>
          <w:lang w:val="en-GB"/>
        </w:rPr>
        <w:t>2024</w:t>
      </w:r>
      <w:r w:rsidRPr="002D2F67">
        <w:rPr>
          <w:rFonts w:ascii="Arial" w:hAnsi="Arial" w:cs="Arial"/>
          <w:spacing w:val="-4"/>
          <w:sz w:val="20"/>
          <w:szCs w:val="20"/>
        </w:rPr>
        <w:t xml:space="preserve"> and </w:t>
      </w:r>
      <w:r w:rsidR="00CD5714" w:rsidRPr="00CD5714">
        <w:rPr>
          <w:rFonts w:ascii="Arial" w:hAnsi="Arial" w:cs="Arial"/>
          <w:spacing w:val="-4"/>
          <w:sz w:val="20"/>
          <w:szCs w:val="20"/>
          <w:lang w:val="en-GB"/>
        </w:rPr>
        <w:t>29</w:t>
      </w:r>
      <w:r w:rsidRPr="002D2F67">
        <w:rPr>
          <w:rFonts w:ascii="Arial" w:hAnsi="Arial" w:cs="Arial"/>
          <w:spacing w:val="-4"/>
          <w:sz w:val="20"/>
          <w:szCs w:val="20"/>
        </w:rPr>
        <w:t xml:space="preserve"> September </w:t>
      </w:r>
      <w:r w:rsidR="00CD5714" w:rsidRPr="00CD5714">
        <w:rPr>
          <w:rFonts w:ascii="Arial" w:hAnsi="Arial" w:cs="Arial"/>
          <w:spacing w:val="-4"/>
          <w:sz w:val="20"/>
          <w:szCs w:val="20"/>
          <w:lang w:val="en-GB"/>
        </w:rPr>
        <w:t>2024</w:t>
      </w:r>
      <w:r w:rsidRPr="002D2F67">
        <w:rPr>
          <w:rFonts w:ascii="Arial" w:hAnsi="Arial" w:cs="Arial"/>
          <w:spacing w:val="-4"/>
          <w:sz w:val="20"/>
          <w:szCs w:val="20"/>
        </w:rPr>
        <w:t xml:space="preserve"> to </w:t>
      </w:r>
      <w:r w:rsidR="00CD5714" w:rsidRPr="00CD5714">
        <w:rPr>
          <w:rFonts w:ascii="Arial" w:hAnsi="Arial" w:cs="Arial"/>
          <w:spacing w:val="-4"/>
          <w:sz w:val="20"/>
          <w:szCs w:val="20"/>
          <w:lang w:val="en-GB"/>
        </w:rPr>
        <w:t>31</w:t>
      </w:r>
      <w:r w:rsidRPr="002D2F67">
        <w:rPr>
          <w:rFonts w:ascii="Arial" w:hAnsi="Arial" w:cs="Arial"/>
          <w:spacing w:val="-4"/>
          <w:sz w:val="20"/>
          <w:szCs w:val="20"/>
        </w:rPr>
        <w:t xml:space="preserve"> May </w:t>
      </w:r>
      <w:r w:rsidR="00CD5714" w:rsidRPr="00CD5714">
        <w:rPr>
          <w:rFonts w:ascii="Arial" w:hAnsi="Arial" w:cs="Arial"/>
          <w:spacing w:val="-4"/>
          <w:sz w:val="20"/>
          <w:szCs w:val="20"/>
          <w:lang w:val="en-GB"/>
        </w:rPr>
        <w:t>2025</w:t>
      </w:r>
      <w:r w:rsidRPr="002D2F67">
        <w:rPr>
          <w:rFonts w:ascii="Arial" w:hAnsi="Arial" w:cs="Arial"/>
          <w:spacing w:val="-4"/>
          <w:sz w:val="20"/>
          <w:szCs w:val="20"/>
        </w:rPr>
        <w:t>, as disclosed</w:t>
      </w:r>
      <w:r w:rsidRPr="002D2F67">
        <w:rPr>
          <w:rFonts w:ascii="Arial" w:hAnsi="Arial" w:cs="Arial"/>
          <w:sz w:val="20"/>
          <w:szCs w:val="20"/>
        </w:rPr>
        <w:t xml:space="preserve"> in Note </w:t>
      </w:r>
      <w:r w:rsidR="00CD5714" w:rsidRPr="00CD5714">
        <w:rPr>
          <w:rFonts w:ascii="Arial" w:hAnsi="Arial" w:cs="Arial"/>
          <w:sz w:val="20"/>
          <w:szCs w:val="20"/>
          <w:lang w:val="en-GB"/>
        </w:rPr>
        <w:t>30</w:t>
      </w:r>
      <w:r w:rsidRPr="002D2F67">
        <w:rPr>
          <w:rFonts w:ascii="Arial" w:hAnsi="Arial" w:cs="Arial"/>
          <w:sz w:val="20"/>
          <w:szCs w:val="20"/>
        </w:rPr>
        <w:t>.</w:t>
      </w:r>
    </w:p>
    <w:p w14:paraId="41D6E53A" w14:textId="01198574" w:rsidR="003E4812" w:rsidRPr="002D2F67" w:rsidRDefault="003E4812" w:rsidP="003E4812">
      <w:pPr>
        <w:numPr>
          <w:ilvl w:val="0"/>
          <w:numId w:val="38"/>
        </w:numPr>
        <w:ind w:left="360"/>
        <w:jc w:val="thaiDistribute"/>
        <w:rPr>
          <w:rFonts w:ascii="Arial" w:hAnsi="Arial" w:cs="Arial"/>
          <w:spacing w:val="-4"/>
          <w:sz w:val="20"/>
          <w:szCs w:val="20"/>
        </w:rPr>
      </w:pPr>
      <w:r w:rsidRPr="002D2F67">
        <w:rPr>
          <w:rFonts w:ascii="Arial" w:hAnsi="Arial" w:cs="Arial"/>
          <w:spacing w:val="-6"/>
          <w:sz w:val="20"/>
          <w:szCs w:val="20"/>
        </w:rPr>
        <w:t>The Company has entered into a short-term loan agreement by issuing the bill of exchange to Mr. Somphote</w:t>
      </w:r>
      <w:r w:rsidRPr="002D2F67">
        <w:rPr>
          <w:rFonts w:ascii="Arial" w:hAnsi="Arial" w:cs="Arial"/>
          <w:spacing w:val="-4"/>
          <w:sz w:val="20"/>
          <w:szCs w:val="20"/>
        </w:rPr>
        <w:t xml:space="preserve"> Ahunai, </w:t>
      </w:r>
      <w:r w:rsidRPr="002D2F67">
        <w:rPr>
          <w:rFonts w:ascii="Arial" w:hAnsi="Arial" w:cs="Arial"/>
          <w:spacing w:val="-6"/>
          <w:sz w:val="20"/>
          <w:szCs w:val="20"/>
        </w:rPr>
        <w:t>an indirect major shareholder of the Company</w:t>
      </w:r>
      <w:r w:rsidR="00C87C53" w:rsidRPr="002D2F67">
        <w:rPr>
          <w:rFonts w:ascii="Arial" w:hAnsi="Arial" w:cs="Arial"/>
          <w:spacing w:val="-6"/>
          <w:sz w:val="20"/>
          <w:szCs w:val="20"/>
        </w:rPr>
        <w:t>,</w:t>
      </w:r>
      <w:r w:rsidRPr="002D2F67">
        <w:rPr>
          <w:rFonts w:ascii="Arial" w:hAnsi="Arial" w:cs="Arial"/>
          <w:spacing w:val="-6"/>
          <w:sz w:val="20"/>
          <w:szCs w:val="20"/>
        </w:rPr>
        <w:t xml:space="preserve"> </w:t>
      </w:r>
      <w:r w:rsidRPr="002D2F67">
        <w:rPr>
          <w:rFonts w:ascii="Arial" w:hAnsi="Arial" w:cs="Arial"/>
          <w:spacing w:val="-4"/>
          <w:sz w:val="20"/>
          <w:szCs w:val="20"/>
        </w:rPr>
        <w:t xml:space="preserve">of Baht </w:t>
      </w:r>
      <w:r w:rsidR="00CD5714" w:rsidRPr="00CD5714">
        <w:rPr>
          <w:rFonts w:ascii="Arial" w:hAnsi="Arial" w:cs="Arial"/>
          <w:spacing w:val="-4"/>
          <w:sz w:val="20"/>
          <w:szCs w:val="20"/>
          <w:lang w:val="en-GB"/>
        </w:rPr>
        <w:t>900</w:t>
      </w:r>
      <w:r w:rsidRPr="002D2F67">
        <w:rPr>
          <w:rFonts w:ascii="Arial" w:hAnsi="Arial" w:cs="Arial"/>
          <w:spacing w:val="-4"/>
          <w:sz w:val="20"/>
          <w:szCs w:val="20"/>
        </w:rPr>
        <w:t xml:space="preserve"> million to enhance liquidity of the Group and the Company, as disclosed</w:t>
      </w:r>
      <w:r w:rsidRPr="002D2F67">
        <w:rPr>
          <w:rFonts w:ascii="Arial" w:hAnsi="Arial" w:cs="Arial"/>
          <w:sz w:val="20"/>
          <w:szCs w:val="20"/>
        </w:rPr>
        <w:t xml:space="preserve"> in Note </w:t>
      </w:r>
      <w:r w:rsidR="00CD5714" w:rsidRPr="00CD5714">
        <w:rPr>
          <w:rFonts w:ascii="Arial" w:hAnsi="Arial" w:cs="Arial"/>
          <w:sz w:val="20"/>
          <w:szCs w:val="20"/>
          <w:lang w:val="en-GB"/>
        </w:rPr>
        <w:t>42</w:t>
      </w:r>
      <w:r w:rsidR="008F247E" w:rsidRPr="002D2F67">
        <w:rPr>
          <w:rFonts w:ascii="Arial" w:hAnsi="Arial" w:cs="Arial"/>
          <w:sz w:val="20"/>
          <w:szCs w:val="20"/>
        </w:rPr>
        <w:t>.</w:t>
      </w:r>
      <w:r w:rsidR="00CD5714" w:rsidRPr="00CD5714">
        <w:rPr>
          <w:rFonts w:ascii="Arial" w:hAnsi="Arial" w:cs="Arial"/>
          <w:sz w:val="20"/>
          <w:szCs w:val="20"/>
          <w:lang w:val="en-GB"/>
        </w:rPr>
        <w:t>6</w:t>
      </w:r>
      <w:r w:rsidR="00DC7BDB" w:rsidRPr="002D2F67">
        <w:rPr>
          <w:rFonts w:ascii="Arial" w:hAnsi="Arial" w:cs="Arial"/>
          <w:sz w:val="20"/>
          <w:szCs w:val="20"/>
        </w:rPr>
        <w:t>.</w:t>
      </w:r>
    </w:p>
    <w:p w14:paraId="3C8A6BA0" w14:textId="6217E926" w:rsidR="00B5274F" w:rsidRPr="002D2F67" w:rsidRDefault="00B5274F" w:rsidP="003E4812">
      <w:pPr>
        <w:numPr>
          <w:ilvl w:val="0"/>
          <w:numId w:val="38"/>
        </w:numPr>
        <w:ind w:left="360"/>
        <w:jc w:val="thaiDistribute"/>
        <w:rPr>
          <w:rFonts w:ascii="Arial" w:hAnsi="Arial" w:cs="Arial"/>
          <w:spacing w:val="-4"/>
          <w:sz w:val="20"/>
          <w:szCs w:val="20"/>
        </w:rPr>
      </w:pPr>
      <w:r w:rsidRPr="002D2F67">
        <w:rPr>
          <w:rFonts w:ascii="Arial" w:hAnsi="Arial" w:cs="Arial"/>
          <w:spacing w:val="-4"/>
          <w:sz w:val="20"/>
          <w:szCs w:val="20"/>
        </w:rPr>
        <w:t>The Company allocated increased ordinary shares</w:t>
      </w:r>
      <w:r w:rsidR="00B1555C" w:rsidRPr="002D2F67">
        <w:rPr>
          <w:rFonts w:ascii="Arial" w:hAnsi="Arial" w:cs="Arial"/>
          <w:spacing w:val="-4"/>
          <w:sz w:val="20"/>
          <w:szCs w:val="20"/>
        </w:rPr>
        <w:t xml:space="preserve"> of not more than </w:t>
      </w:r>
      <w:r w:rsidR="00CD5714" w:rsidRPr="00CD5714">
        <w:rPr>
          <w:rFonts w:ascii="Arial" w:hAnsi="Arial" w:cs="Arial"/>
          <w:spacing w:val="-4"/>
          <w:sz w:val="20"/>
          <w:szCs w:val="20"/>
          <w:lang w:val="en-GB"/>
        </w:rPr>
        <w:t>3</w:t>
      </w:r>
      <w:r w:rsidR="00B1555C" w:rsidRPr="002D2F67">
        <w:rPr>
          <w:rFonts w:ascii="Arial" w:hAnsi="Arial" w:cs="Arial"/>
          <w:spacing w:val="-4"/>
          <w:sz w:val="20"/>
          <w:szCs w:val="20"/>
        </w:rPr>
        <w:t>,</w:t>
      </w:r>
      <w:r w:rsidR="00CD5714" w:rsidRPr="00CD5714">
        <w:rPr>
          <w:rFonts w:ascii="Arial" w:hAnsi="Arial" w:cs="Arial"/>
          <w:spacing w:val="-4"/>
          <w:sz w:val="20"/>
          <w:szCs w:val="20"/>
          <w:lang w:val="en-GB"/>
        </w:rPr>
        <w:t>713</w:t>
      </w:r>
      <w:r w:rsidR="00B1555C" w:rsidRPr="002D2F67">
        <w:rPr>
          <w:rFonts w:ascii="Arial" w:hAnsi="Arial" w:cs="Arial"/>
          <w:spacing w:val="-4"/>
          <w:sz w:val="20"/>
          <w:szCs w:val="20"/>
        </w:rPr>
        <w:t>,</w:t>
      </w:r>
      <w:r w:rsidR="00CD5714" w:rsidRPr="00CD5714">
        <w:rPr>
          <w:rFonts w:ascii="Arial" w:hAnsi="Arial" w:cs="Arial"/>
          <w:spacing w:val="-4"/>
          <w:sz w:val="20"/>
          <w:szCs w:val="20"/>
          <w:lang w:val="en-GB"/>
        </w:rPr>
        <w:t>341</w:t>
      </w:r>
      <w:r w:rsidR="00B1555C" w:rsidRPr="002D2F67">
        <w:rPr>
          <w:rFonts w:ascii="Arial" w:hAnsi="Arial" w:cs="Arial"/>
          <w:spacing w:val="-4"/>
          <w:sz w:val="20"/>
          <w:szCs w:val="20"/>
        </w:rPr>
        <w:t>,</w:t>
      </w:r>
      <w:r w:rsidR="00CD5714" w:rsidRPr="00CD5714">
        <w:rPr>
          <w:rFonts w:ascii="Arial" w:hAnsi="Arial" w:cs="Arial"/>
          <w:spacing w:val="-4"/>
          <w:sz w:val="20"/>
          <w:szCs w:val="20"/>
          <w:lang w:val="en-GB"/>
        </w:rPr>
        <w:t>400</w:t>
      </w:r>
      <w:r w:rsidR="00B1555C" w:rsidRPr="002D2F67">
        <w:rPr>
          <w:rFonts w:ascii="Arial" w:hAnsi="Arial" w:cs="Arial"/>
          <w:spacing w:val="-4"/>
          <w:sz w:val="20"/>
          <w:szCs w:val="20"/>
        </w:rPr>
        <w:t xml:space="preserve"> shares with a par value</w:t>
      </w:r>
      <w:r w:rsidR="00B1555C" w:rsidRPr="002D2F67">
        <w:rPr>
          <w:rFonts w:ascii="Arial" w:hAnsi="Arial" w:cs="Arial"/>
          <w:sz w:val="20"/>
          <w:szCs w:val="20"/>
        </w:rPr>
        <w:t xml:space="preserve"> of Baht </w:t>
      </w:r>
      <w:r w:rsidR="00CD5714" w:rsidRPr="00CD5714">
        <w:rPr>
          <w:rFonts w:ascii="Arial" w:hAnsi="Arial" w:cs="Arial"/>
          <w:sz w:val="20"/>
          <w:szCs w:val="20"/>
          <w:lang w:val="en-GB"/>
        </w:rPr>
        <w:t>0</w:t>
      </w:r>
      <w:r w:rsidR="00B1555C" w:rsidRPr="002D2F67">
        <w:rPr>
          <w:rFonts w:ascii="Arial" w:hAnsi="Arial" w:cs="Arial"/>
          <w:sz w:val="20"/>
          <w:szCs w:val="20"/>
        </w:rPr>
        <w:t>.</w:t>
      </w:r>
      <w:r w:rsidR="00CD5714" w:rsidRPr="00CD5714">
        <w:rPr>
          <w:rFonts w:ascii="Arial" w:hAnsi="Arial" w:cs="Arial"/>
          <w:sz w:val="20"/>
          <w:szCs w:val="20"/>
          <w:lang w:val="en-GB"/>
        </w:rPr>
        <w:t>10</w:t>
      </w:r>
      <w:r w:rsidR="00B1555C" w:rsidRPr="002D2F67">
        <w:rPr>
          <w:rFonts w:ascii="Arial" w:hAnsi="Arial" w:cs="Arial"/>
          <w:sz w:val="20"/>
          <w:szCs w:val="20"/>
        </w:rPr>
        <w:t xml:space="preserve"> per share</w:t>
      </w:r>
      <w:r w:rsidR="007F4402" w:rsidRPr="002D2F67">
        <w:rPr>
          <w:rFonts w:ascii="Arial" w:hAnsi="Arial" w:cs="Arial"/>
          <w:sz w:val="20"/>
          <w:szCs w:val="20"/>
        </w:rPr>
        <w:t xml:space="preserve"> to the existing shareholders in proportion to their existing shareholding interests </w:t>
      </w:r>
      <w:r w:rsidR="007F4402" w:rsidRPr="002D2F67">
        <w:rPr>
          <w:rFonts w:ascii="Arial" w:hAnsi="Arial" w:cs="Arial"/>
          <w:spacing w:val="-6"/>
          <w:sz w:val="20"/>
          <w:szCs w:val="20"/>
        </w:rPr>
        <w:t>(Rights offering)</w:t>
      </w:r>
      <w:r w:rsidR="00AF0D60" w:rsidRPr="002D2F67">
        <w:rPr>
          <w:rFonts w:ascii="Arial" w:hAnsi="Arial" w:cs="Arial"/>
          <w:spacing w:val="-6"/>
          <w:sz w:val="20"/>
          <w:szCs w:val="20"/>
        </w:rPr>
        <w:t xml:space="preserve"> at an offering price of Baht </w:t>
      </w:r>
      <w:r w:rsidR="00CD5714" w:rsidRPr="00CD5714">
        <w:rPr>
          <w:rFonts w:ascii="Arial" w:hAnsi="Arial" w:cs="Arial"/>
          <w:spacing w:val="-6"/>
          <w:sz w:val="20"/>
          <w:szCs w:val="20"/>
          <w:lang w:val="en-GB"/>
        </w:rPr>
        <w:t>2</w:t>
      </w:r>
      <w:r w:rsidR="00AF0D60" w:rsidRPr="002D2F67">
        <w:rPr>
          <w:rFonts w:ascii="Arial" w:hAnsi="Arial" w:cs="Arial"/>
          <w:spacing w:val="-6"/>
          <w:sz w:val="20"/>
          <w:szCs w:val="20"/>
        </w:rPr>
        <w:t xml:space="preserve"> per share, totalling Baht </w:t>
      </w:r>
      <w:r w:rsidR="00CD5714" w:rsidRPr="00CD5714">
        <w:rPr>
          <w:rFonts w:ascii="Arial" w:hAnsi="Arial" w:cs="Arial"/>
          <w:spacing w:val="-6"/>
          <w:sz w:val="20"/>
          <w:szCs w:val="20"/>
          <w:lang w:val="en-GB"/>
        </w:rPr>
        <w:t>7</w:t>
      </w:r>
      <w:r w:rsidR="00AF0D60" w:rsidRPr="002D2F67">
        <w:rPr>
          <w:rFonts w:ascii="Arial" w:hAnsi="Arial" w:cs="Arial"/>
          <w:spacing w:val="-6"/>
          <w:sz w:val="20"/>
          <w:szCs w:val="20"/>
        </w:rPr>
        <w:t>,</w:t>
      </w:r>
      <w:r w:rsidR="00CD5714" w:rsidRPr="00CD5714">
        <w:rPr>
          <w:rFonts w:ascii="Arial" w:hAnsi="Arial" w:cs="Arial"/>
          <w:spacing w:val="-6"/>
          <w:sz w:val="20"/>
          <w:szCs w:val="20"/>
          <w:lang w:val="en-GB"/>
        </w:rPr>
        <w:t>247</w:t>
      </w:r>
      <w:r w:rsidR="00AF0D60" w:rsidRPr="002D2F67">
        <w:rPr>
          <w:rFonts w:ascii="Arial" w:hAnsi="Arial" w:cs="Arial"/>
          <w:spacing w:val="-6"/>
          <w:sz w:val="20"/>
          <w:szCs w:val="20"/>
        </w:rPr>
        <w:t xml:space="preserve"> million</w:t>
      </w:r>
      <w:r w:rsidR="00796824" w:rsidRPr="002D2F67">
        <w:rPr>
          <w:rFonts w:ascii="Arial" w:hAnsi="Arial" w:cs="Arial"/>
          <w:spacing w:val="-6"/>
          <w:sz w:val="20"/>
          <w:szCs w:val="20"/>
        </w:rPr>
        <w:t xml:space="preserve">, as </w:t>
      </w:r>
      <w:r w:rsidR="00B61C92" w:rsidRPr="002D2F67">
        <w:rPr>
          <w:rFonts w:ascii="Arial" w:hAnsi="Arial" w:cs="Arial"/>
          <w:spacing w:val="-6"/>
          <w:sz w:val="20"/>
          <w:szCs w:val="20"/>
        </w:rPr>
        <w:t>disclosed</w:t>
      </w:r>
      <w:r w:rsidR="00796824" w:rsidRPr="002D2F67">
        <w:rPr>
          <w:rFonts w:ascii="Arial" w:hAnsi="Arial" w:cs="Arial"/>
          <w:spacing w:val="-6"/>
          <w:sz w:val="20"/>
          <w:szCs w:val="20"/>
        </w:rPr>
        <w:t xml:space="preserve"> in Note </w:t>
      </w:r>
      <w:r w:rsidR="00CD5714" w:rsidRPr="00CD5714">
        <w:rPr>
          <w:rFonts w:ascii="Arial" w:hAnsi="Arial" w:cs="Arial"/>
          <w:spacing w:val="-6"/>
          <w:sz w:val="20"/>
          <w:szCs w:val="20"/>
          <w:lang w:val="en-GB"/>
        </w:rPr>
        <w:t>44</w:t>
      </w:r>
      <w:r w:rsidR="00796824" w:rsidRPr="002D2F67">
        <w:rPr>
          <w:rFonts w:ascii="Arial" w:hAnsi="Arial" w:cs="Arial"/>
          <w:spacing w:val="-6"/>
          <w:sz w:val="20"/>
          <w:szCs w:val="20"/>
        </w:rPr>
        <w:t>.</w:t>
      </w:r>
    </w:p>
    <w:p w14:paraId="23773774" w14:textId="60A4CA83" w:rsidR="003E4812" w:rsidRPr="002D2F67" w:rsidRDefault="00B61C92" w:rsidP="003E4812">
      <w:pPr>
        <w:numPr>
          <w:ilvl w:val="0"/>
          <w:numId w:val="38"/>
        </w:numPr>
        <w:ind w:left="360"/>
        <w:jc w:val="thaiDistribute"/>
        <w:rPr>
          <w:rFonts w:ascii="Arial" w:hAnsi="Arial" w:cs="Arial"/>
          <w:spacing w:val="-4"/>
          <w:sz w:val="20"/>
          <w:szCs w:val="20"/>
        </w:rPr>
      </w:pPr>
      <w:r w:rsidRPr="002D2F67">
        <w:rPr>
          <w:rFonts w:ascii="Arial" w:hAnsi="Arial" w:cs="Arial"/>
          <w:sz w:val="20"/>
          <w:szCs w:val="20"/>
        </w:rPr>
        <w:t xml:space="preserve">The shareholders </w:t>
      </w:r>
      <w:r w:rsidR="002709DD" w:rsidRPr="002D2F67">
        <w:rPr>
          <w:rFonts w:ascii="Arial" w:hAnsi="Arial" w:cs="Arial"/>
          <w:sz w:val="20"/>
          <w:szCs w:val="20"/>
        </w:rPr>
        <w:t xml:space="preserve">approved </w:t>
      </w:r>
      <w:r w:rsidR="00FB3086" w:rsidRPr="002D2F67">
        <w:rPr>
          <w:rFonts w:ascii="Arial" w:hAnsi="Arial" w:cs="Arial"/>
          <w:sz w:val="20"/>
          <w:szCs w:val="20"/>
        </w:rPr>
        <w:t xml:space="preserve">to dispose </w:t>
      </w:r>
      <w:r w:rsidR="00590C87" w:rsidRPr="002D2F67">
        <w:rPr>
          <w:rFonts w:ascii="Arial" w:hAnsi="Arial" w:cs="Arial"/>
          <w:sz w:val="20"/>
          <w:szCs w:val="20"/>
        </w:rPr>
        <w:t xml:space="preserve">assets of power plant project of EA Solar Phitsanulok Co., Ltd., </w:t>
      </w:r>
      <w:r w:rsidR="00F11EAC" w:rsidRPr="002D2F67">
        <w:rPr>
          <w:rFonts w:ascii="Arial" w:hAnsi="Arial" w:cs="Arial"/>
          <w:sz w:val="20"/>
          <w:szCs w:val="20"/>
        </w:rPr>
        <w:t>the Company’s</w:t>
      </w:r>
      <w:r w:rsidR="00F11EAC" w:rsidRPr="002D2F67">
        <w:rPr>
          <w:rFonts w:ascii="Arial" w:hAnsi="Arial" w:cs="Arial"/>
          <w:spacing w:val="-4"/>
          <w:sz w:val="20"/>
          <w:szCs w:val="20"/>
        </w:rPr>
        <w:t xml:space="preserve"> indirect subsidiary</w:t>
      </w:r>
      <w:r w:rsidR="00590C87" w:rsidRPr="002D2F67">
        <w:rPr>
          <w:rFonts w:ascii="Arial" w:hAnsi="Arial" w:cs="Arial"/>
          <w:spacing w:val="-4"/>
          <w:sz w:val="20"/>
          <w:szCs w:val="20"/>
        </w:rPr>
        <w:t xml:space="preserve">, with </w:t>
      </w:r>
      <w:r w:rsidR="00F11EAC" w:rsidRPr="002D2F67">
        <w:rPr>
          <w:rFonts w:ascii="Arial" w:hAnsi="Arial" w:cs="Arial"/>
          <w:spacing w:val="-4"/>
          <w:sz w:val="20"/>
          <w:szCs w:val="20"/>
        </w:rPr>
        <w:t xml:space="preserve">an offering price of not less than Baht </w:t>
      </w:r>
      <w:r w:rsidR="00CD5714" w:rsidRPr="00CD5714">
        <w:rPr>
          <w:rFonts w:ascii="Arial" w:hAnsi="Arial" w:cs="Arial"/>
          <w:spacing w:val="-4"/>
          <w:sz w:val="20"/>
          <w:szCs w:val="20"/>
          <w:lang w:val="en-GB"/>
        </w:rPr>
        <w:t>8</w:t>
      </w:r>
      <w:r w:rsidR="00F11EAC" w:rsidRPr="002D2F67">
        <w:rPr>
          <w:rFonts w:ascii="Arial" w:hAnsi="Arial" w:cs="Arial"/>
          <w:spacing w:val="-4"/>
          <w:sz w:val="20"/>
          <w:szCs w:val="20"/>
        </w:rPr>
        <w:t>,</w:t>
      </w:r>
      <w:r w:rsidR="00CD5714" w:rsidRPr="00CD5714">
        <w:rPr>
          <w:rFonts w:ascii="Arial" w:hAnsi="Arial" w:cs="Arial"/>
          <w:spacing w:val="-4"/>
          <w:sz w:val="20"/>
          <w:szCs w:val="20"/>
          <w:lang w:val="en-GB"/>
        </w:rPr>
        <w:t>000</w:t>
      </w:r>
      <w:r w:rsidR="00F11EAC" w:rsidRPr="002D2F67">
        <w:rPr>
          <w:rFonts w:ascii="Arial" w:hAnsi="Arial" w:cs="Arial"/>
          <w:spacing w:val="-4"/>
          <w:sz w:val="20"/>
          <w:szCs w:val="20"/>
        </w:rPr>
        <w:t xml:space="preserve"> million, as disclosed in Note </w:t>
      </w:r>
      <w:r w:rsidR="00CD5714" w:rsidRPr="00CD5714">
        <w:rPr>
          <w:rFonts w:ascii="Arial" w:hAnsi="Arial" w:cs="Arial"/>
          <w:spacing w:val="-4"/>
          <w:sz w:val="20"/>
          <w:szCs w:val="20"/>
          <w:lang w:val="en-GB"/>
        </w:rPr>
        <w:t>44</w:t>
      </w:r>
      <w:r w:rsidR="00F11EAC" w:rsidRPr="002D2F67">
        <w:rPr>
          <w:rFonts w:ascii="Arial" w:hAnsi="Arial" w:cs="Arial"/>
          <w:spacing w:val="-6"/>
          <w:sz w:val="20"/>
          <w:szCs w:val="20"/>
        </w:rPr>
        <w:t>.</w:t>
      </w:r>
    </w:p>
    <w:p w14:paraId="6C24BC0F" w14:textId="77777777" w:rsidR="003E4812" w:rsidRPr="002D2F67" w:rsidRDefault="003E4812" w:rsidP="003E4812">
      <w:pPr>
        <w:numPr>
          <w:ilvl w:val="0"/>
          <w:numId w:val="38"/>
        </w:numPr>
        <w:ind w:left="360"/>
        <w:jc w:val="thaiDistribute"/>
        <w:rPr>
          <w:rFonts w:ascii="Arial" w:hAnsi="Arial" w:cs="Arial"/>
          <w:spacing w:val="-4"/>
          <w:sz w:val="20"/>
          <w:szCs w:val="20"/>
        </w:rPr>
      </w:pPr>
      <w:r w:rsidRPr="002D2F67">
        <w:rPr>
          <w:rFonts w:ascii="Arial" w:hAnsi="Arial" w:cs="Arial"/>
          <w:sz w:val="20"/>
          <w:szCs w:val="20"/>
        </w:rPr>
        <w:t>In addition, the management is in the process of sourcing additional external funds to support business operation and enhance liquidity.</w:t>
      </w:r>
    </w:p>
    <w:p w14:paraId="47150C16" w14:textId="77777777" w:rsidR="000E58FE" w:rsidRPr="002D2F67" w:rsidRDefault="000E58FE" w:rsidP="000E58FE">
      <w:pPr>
        <w:jc w:val="thaiDistribute"/>
        <w:rPr>
          <w:rFonts w:ascii="Arial" w:eastAsia="Arial Unicode MS" w:hAnsi="Arial" w:cs="Arial"/>
          <w:sz w:val="20"/>
          <w:szCs w:val="20"/>
        </w:rPr>
      </w:pPr>
    </w:p>
    <w:p w14:paraId="3343705C" w14:textId="4E4164A6" w:rsidR="00442AAF" w:rsidRPr="002D2F67" w:rsidRDefault="00442AAF" w:rsidP="00442AAF">
      <w:pPr>
        <w:jc w:val="thaiDistribute"/>
        <w:rPr>
          <w:rFonts w:ascii="Arial" w:hAnsi="Arial" w:cs="Arial"/>
          <w:sz w:val="20"/>
          <w:szCs w:val="20"/>
        </w:rPr>
      </w:pPr>
      <w:r w:rsidRPr="002D2F67">
        <w:rPr>
          <w:rFonts w:ascii="Arial" w:hAnsi="Arial" w:cs="Arial"/>
          <w:spacing w:val="-4"/>
          <w:sz w:val="20"/>
          <w:szCs w:val="20"/>
        </w:rPr>
        <w:t xml:space="preserve">The management is confident that the Group and the Company will have sufficient working capital to operate and meet </w:t>
      </w:r>
      <w:r w:rsidR="00C87C53" w:rsidRPr="002D2F67">
        <w:rPr>
          <w:rFonts w:ascii="Arial" w:hAnsi="Arial" w:cs="Arial"/>
          <w:spacing w:val="-4"/>
          <w:sz w:val="20"/>
          <w:szCs w:val="20"/>
        </w:rPr>
        <w:t>their</w:t>
      </w:r>
      <w:r w:rsidRPr="002D2F67">
        <w:rPr>
          <w:rFonts w:ascii="Arial" w:hAnsi="Arial" w:cs="Arial"/>
          <w:spacing w:val="-4"/>
          <w:sz w:val="20"/>
          <w:szCs w:val="20"/>
        </w:rPr>
        <w:t xml:space="preserve"> requirements and can continue </w:t>
      </w:r>
      <w:r w:rsidR="009B688E" w:rsidRPr="002D2F67">
        <w:rPr>
          <w:rFonts w:ascii="Arial" w:hAnsi="Arial" w:cs="Arial"/>
          <w:spacing w:val="-4"/>
          <w:sz w:val="20"/>
          <w:szCs w:val="20"/>
        </w:rPr>
        <w:t>their</w:t>
      </w:r>
      <w:r w:rsidRPr="002D2F67">
        <w:rPr>
          <w:rFonts w:ascii="Arial" w:hAnsi="Arial" w:cs="Arial"/>
          <w:spacing w:val="-4"/>
          <w:sz w:val="20"/>
          <w:szCs w:val="20"/>
        </w:rPr>
        <w:t xml:space="preserve"> operations</w:t>
      </w:r>
      <w:r w:rsidRPr="002D2F67">
        <w:rPr>
          <w:rFonts w:ascii="Arial" w:hAnsi="Arial" w:cs="Arial"/>
          <w:sz w:val="20"/>
          <w:szCs w:val="20"/>
        </w:rPr>
        <w:t xml:space="preserve"> for a period of </w:t>
      </w:r>
      <w:r w:rsidRPr="002D2F67">
        <w:rPr>
          <w:rFonts w:ascii="Arial" w:hAnsi="Arial" w:cs="Arial"/>
          <w:spacing w:val="-4"/>
          <w:sz w:val="20"/>
          <w:szCs w:val="20"/>
        </w:rPr>
        <w:t xml:space="preserve">next </w:t>
      </w:r>
      <w:r w:rsidR="00CD5714" w:rsidRPr="00CD5714">
        <w:rPr>
          <w:rFonts w:ascii="Arial" w:hAnsi="Arial" w:cs="Arial"/>
          <w:spacing w:val="-4"/>
          <w:sz w:val="20"/>
          <w:szCs w:val="20"/>
          <w:lang w:val="en-GB"/>
        </w:rPr>
        <w:t>12</w:t>
      </w:r>
      <w:r w:rsidRPr="002D2F67">
        <w:rPr>
          <w:rFonts w:ascii="Arial" w:hAnsi="Arial" w:cs="Arial"/>
          <w:spacing w:val="-4"/>
          <w:sz w:val="20"/>
          <w:szCs w:val="20"/>
        </w:rPr>
        <w:t xml:space="preserve"> months from the date of </w:t>
      </w:r>
      <w:r w:rsidR="003327D0" w:rsidRPr="002D2F67">
        <w:rPr>
          <w:rFonts w:ascii="Arial" w:hAnsi="Arial" w:cs="Arial"/>
          <w:spacing w:val="-4"/>
          <w:sz w:val="20"/>
          <w:szCs w:val="20"/>
        </w:rPr>
        <w:t>the financial statements</w:t>
      </w:r>
      <w:r w:rsidRPr="002D2F67">
        <w:rPr>
          <w:rFonts w:ascii="Arial" w:hAnsi="Arial" w:cs="Arial"/>
          <w:spacing w:val="-4"/>
          <w:sz w:val="20"/>
          <w:szCs w:val="20"/>
        </w:rPr>
        <w:t>. Also, the Group and the Company can comply with the current and future financial obligations. Therefore, these consolidated and separate interim financial information</w:t>
      </w:r>
      <w:r w:rsidRPr="002D2F67">
        <w:rPr>
          <w:rFonts w:ascii="Arial" w:hAnsi="Arial" w:cs="Arial"/>
          <w:sz w:val="20"/>
          <w:szCs w:val="20"/>
        </w:rPr>
        <w:t xml:space="preserve"> is prepared on the going concern basis.</w:t>
      </w:r>
    </w:p>
    <w:p w14:paraId="598F5C8F" w14:textId="3B7C5D46" w:rsidR="00B57840" w:rsidRPr="002D2F67" w:rsidRDefault="00EC49F3" w:rsidP="005611FE">
      <w:pPr>
        <w:jc w:val="both"/>
        <w:rPr>
          <w:rFonts w:ascii="Arial" w:hAnsi="Arial" w:cs="Arial"/>
          <w:color w:val="000000"/>
          <w:sz w:val="20"/>
          <w:szCs w:val="20"/>
        </w:rPr>
      </w:pPr>
      <w:r w:rsidRPr="002D2F67">
        <w:rPr>
          <w:rFonts w:ascii="Arial" w:hAnsi="Arial" w:cs="Arial"/>
          <w:color w:val="000000"/>
          <w:sz w:val="20"/>
          <w:szCs w:val="20"/>
        </w:rPr>
        <w:br w:type="page"/>
      </w:r>
    </w:p>
    <w:p w14:paraId="3CBF7203" w14:textId="3A1D7D51" w:rsidR="007D41CC"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3</w:t>
      </w:r>
      <w:r w:rsidR="007D41CC" w:rsidRPr="002D2F67">
        <w:rPr>
          <w:rFonts w:ascii="Arial" w:hAnsi="Arial" w:cs="Arial"/>
          <w:b/>
          <w:bCs/>
          <w:color w:val="000000"/>
          <w:kern w:val="26"/>
          <w:position w:val="-24"/>
          <w:sz w:val="20"/>
          <w:szCs w:val="20"/>
          <w:cs/>
        </w:rPr>
        <w:tab/>
      </w:r>
      <w:r w:rsidR="007D41CC" w:rsidRPr="002D2F67">
        <w:rPr>
          <w:rFonts w:ascii="Arial" w:hAnsi="Arial" w:cs="Arial"/>
          <w:b/>
          <w:bCs/>
          <w:color w:val="000000"/>
          <w:kern w:val="26"/>
          <w:position w:val="-24"/>
          <w:sz w:val="20"/>
          <w:szCs w:val="20"/>
        </w:rPr>
        <w:t>Basis of preparation</w:t>
      </w:r>
    </w:p>
    <w:p w14:paraId="51CEAC2A" w14:textId="77777777" w:rsidR="00FE37B6" w:rsidRPr="002D2F67" w:rsidRDefault="00FE37B6" w:rsidP="005611FE">
      <w:pPr>
        <w:rPr>
          <w:rFonts w:ascii="Arial" w:hAnsi="Arial" w:cs="Arial"/>
          <w:color w:val="000000"/>
          <w:sz w:val="20"/>
          <w:szCs w:val="20"/>
        </w:rPr>
      </w:pPr>
    </w:p>
    <w:p w14:paraId="00AF9FAD" w14:textId="77777777" w:rsidR="00FE37B6" w:rsidRPr="002D2F67" w:rsidRDefault="00FE37B6" w:rsidP="005611FE">
      <w:pPr>
        <w:jc w:val="thaiDistribute"/>
        <w:rPr>
          <w:rFonts w:ascii="Arial" w:eastAsia="Arial Unicode MS" w:hAnsi="Arial" w:cs="Arial"/>
          <w:color w:val="000000"/>
          <w:sz w:val="20"/>
          <w:szCs w:val="20"/>
        </w:rPr>
      </w:pPr>
      <w:r w:rsidRPr="002D2F67">
        <w:rPr>
          <w:rFonts w:ascii="Arial" w:eastAsia="Arial Unicode MS" w:hAnsi="Arial" w:cs="Arial"/>
          <w:color w:val="000000"/>
          <w:spacing w:val="-8"/>
          <w:sz w:val="20"/>
          <w:szCs w:val="20"/>
        </w:rPr>
        <w:t>The consolidated and separate financial statements have been prepared in accordance with Thai Financial Reporting</w:t>
      </w:r>
      <w:r w:rsidRPr="002D2F67">
        <w:rPr>
          <w:rFonts w:ascii="Arial" w:eastAsia="Arial Unicode MS" w:hAnsi="Arial" w:cs="Arial"/>
          <w:color w:val="000000"/>
          <w:sz w:val="20"/>
          <w:szCs w:val="20"/>
        </w:rPr>
        <w:t xml:space="preserve"> Standards (TFRS) and the financial reporting requirements issued under the Securities and Exchange Act.</w:t>
      </w:r>
    </w:p>
    <w:p w14:paraId="6C8D7035" w14:textId="77777777" w:rsidR="00FE37B6" w:rsidRPr="002D2F67" w:rsidRDefault="00FE37B6" w:rsidP="005611FE">
      <w:pPr>
        <w:jc w:val="thaiDistribute"/>
        <w:rPr>
          <w:rFonts w:ascii="Arial" w:hAnsi="Arial" w:cs="Arial"/>
          <w:color w:val="000000"/>
          <w:sz w:val="20"/>
          <w:szCs w:val="20"/>
        </w:rPr>
      </w:pPr>
    </w:p>
    <w:p w14:paraId="0916A296" w14:textId="77777777" w:rsidR="00FE37B6" w:rsidRPr="002D2F67" w:rsidRDefault="00FE37B6" w:rsidP="005611FE">
      <w:pPr>
        <w:jc w:val="thaiDistribute"/>
        <w:rPr>
          <w:rFonts w:ascii="Arial" w:hAnsi="Arial" w:cs="Arial"/>
          <w:color w:val="000000"/>
          <w:sz w:val="20"/>
          <w:szCs w:val="20"/>
        </w:rPr>
      </w:pPr>
      <w:r w:rsidRPr="002D2F67">
        <w:rPr>
          <w:rFonts w:ascii="Arial" w:hAnsi="Arial" w:cs="Arial"/>
          <w:color w:val="000000"/>
          <w:spacing w:val="-4"/>
          <w:sz w:val="20"/>
          <w:szCs w:val="20"/>
        </w:rPr>
        <w:t>The consolidated and separate financial statements have been prepared under the historical cost convention</w:t>
      </w:r>
      <w:r w:rsidRPr="002D2F67">
        <w:rPr>
          <w:rFonts w:ascii="Arial" w:hAnsi="Arial" w:cs="Arial"/>
          <w:color w:val="000000"/>
          <w:sz w:val="20"/>
          <w:szCs w:val="20"/>
        </w:rPr>
        <w:t xml:space="preserve"> except as disclosed in the </w:t>
      </w:r>
      <w:r w:rsidR="00FF7A46" w:rsidRPr="002D2F67">
        <w:rPr>
          <w:rFonts w:ascii="Arial" w:hAnsi="Arial" w:cs="Arial"/>
          <w:color w:val="000000"/>
          <w:sz w:val="20"/>
          <w:szCs w:val="20"/>
        </w:rPr>
        <w:t>below</w:t>
      </w:r>
      <w:r w:rsidRPr="002D2F67">
        <w:rPr>
          <w:rFonts w:ascii="Arial" w:hAnsi="Arial" w:cs="Arial"/>
          <w:color w:val="000000"/>
          <w:sz w:val="20"/>
          <w:szCs w:val="20"/>
        </w:rPr>
        <w:t xml:space="preserve"> accounting policies.</w:t>
      </w:r>
    </w:p>
    <w:p w14:paraId="446800C6" w14:textId="77777777" w:rsidR="00FE37B6" w:rsidRPr="002D2F67" w:rsidRDefault="00FE37B6" w:rsidP="005611FE">
      <w:pPr>
        <w:jc w:val="thaiDistribute"/>
        <w:rPr>
          <w:rFonts w:ascii="Arial" w:hAnsi="Arial" w:cs="Arial"/>
          <w:color w:val="000000"/>
          <w:sz w:val="20"/>
          <w:szCs w:val="20"/>
        </w:rPr>
      </w:pPr>
    </w:p>
    <w:p w14:paraId="64F2932E" w14:textId="0871597B" w:rsidR="00FE37B6" w:rsidRPr="002D2F67" w:rsidRDefault="00FE37B6" w:rsidP="005611FE">
      <w:pPr>
        <w:jc w:val="thaiDistribute"/>
        <w:rPr>
          <w:rFonts w:ascii="Arial" w:hAnsi="Arial" w:cs="Arial"/>
          <w:color w:val="000000"/>
          <w:sz w:val="20"/>
          <w:szCs w:val="20"/>
        </w:rPr>
      </w:pPr>
      <w:r w:rsidRPr="002D2F67">
        <w:rPr>
          <w:rFonts w:ascii="Arial" w:hAnsi="Arial" w:cs="Arial"/>
          <w:color w:val="000000"/>
          <w:spacing w:val="-2"/>
          <w:sz w:val="20"/>
          <w:szCs w:val="20"/>
        </w:rPr>
        <w:t xml:space="preserve">The preparation of financial statements in conformity with </w:t>
      </w:r>
      <w:r w:rsidR="00FF7A46" w:rsidRPr="002D2F67">
        <w:rPr>
          <w:rFonts w:ascii="Arial" w:hAnsi="Arial" w:cs="Arial"/>
          <w:color w:val="000000"/>
          <w:spacing w:val="-2"/>
          <w:sz w:val="20"/>
          <w:szCs w:val="20"/>
        </w:rPr>
        <w:t>TFRS</w:t>
      </w:r>
      <w:r w:rsidRPr="002D2F67">
        <w:rPr>
          <w:rFonts w:ascii="Arial" w:hAnsi="Arial" w:cs="Arial"/>
          <w:color w:val="000000"/>
          <w:spacing w:val="-2"/>
          <w:sz w:val="20"/>
          <w:szCs w:val="20"/>
        </w:rPr>
        <w:t xml:space="preserve"> requires </w:t>
      </w:r>
      <w:r w:rsidR="000E24A9" w:rsidRPr="002D2F67">
        <w:rPr>
          <w:rFonts w:ascii="Arial" w:hAnsi="Arial" w:cs="Arial"/>
          <w:color w:val="000000"/>
          <w:spacing w:val="-2"/>
          <w:sz w:val="20"/>
          <w:szCs w:val="20"/>
        </w:rPr>
        <w:t xml:space="preserve">management to </w:t>
      </w:r>
      <w:r w:rsidRPr="002D2F67">
        <w:rPr>
          <w:rFonts w:ascii="Arial" w:hAnsi="Arial" w:cs="Arial"/>
          <w:color w:val="000000"/>
          <w:spacing w:val="-2"/>
          <w:sz w:val="20"/>
          <w:szCs w:val="20"/>
        </w:rPr>
        <w:t>use certain critical</w:t>
      </w:r>
      <w:r w:rsidRPr="002D2F67">
        <w:rPr>
          <w:rFonts w:ascii="Arial" w:hAnsi="Arial" w:cs="Arial"/>
          <w:color w:val="000000"/>
          <w:sz w:val="20"/>
          <w:szCs w:val="20"/>
        </w:rPr>
        <w:t xml:space="preserve"> accounting estimates</w:t>
      </w:r>
      <w:r w:rsidR="00FF7A46" w:rsidRPr="002D2F67">
        <w:rPr>
          <w:rFonts w:ascii="Arial" w:hAnsi="Arial" w:cs="Arial"/>
          <w:color w:val="000000"/>
          <w:sz w:val="20"/>
          <w:szCs w:val="20"/>
        </w:rPr>
        <w:t xml:space="preserve">, and </w:t>
      </w:r>
      <w:r w:rsidRPr="002D2F67">
        <w:rPr>
          <w:rFonts w:ascii="Arial" w:hAnsi="Arial" w:cs="Arial"/>
          <w:color w:val="000000"/>
          <w:sz w:val="20"/>
          <w:szCs w:val="20"/>
        </w:rPr>
        <w:t>to exercise its judgement in applying the Group’s accounting policies. The areas involving a higher degree of judgement or complexity, or areas where assumptions and estimates are significant</w:t>
      </w:r>
      <w:r w:rsidRPr="002D2F67">
        <w:rPr>
          <w:rFonts w:ascii="Arial" w:hAnsi="Arial" w:cs="Arial"/>
          <w:color w:val="000000"/>
          <w:spacing w:val="-4"/>
          <w:sz w:val="20"/>
          <w:szCs w:val="20"/>
        </w:rPr>
        <w:t xml:space="preserve"> to the consolidated financial statements </w:t>
      </w:r>
      <w:r w:rsidR="002E49E6" w:rsidRPr="002D2F67">
        <w:rPr>
          <w:rFonts w:ascii="Arial" w:hAnsi="Arial" w:cs="Arial"/>
          <w:color w:val="000000"/>
          <w:spacing w:val="-4"/>
          <w:sz w:val="20"/>
          <w:szCs w:val="20"/>
        </w:rPr>
        <w:t xml:space="preserve">and separate financial statements </w:t>
      </w:r>
      <w:r w:rsidRPr="002D2F67">
        <w:rPr>
          <w:rFonts w:ascii="Arial" w:hAnsi="Arial" w:cs="Arial"/>
          <w:color w:val="000000"/>
          <w:spacing w:val="-4"/>
          <w:sz w:val="20"/>
          <w:szCs w:val="20"/>
        </w:rPr>
        <w:t xml:space="preserve">are disclosed in Note </w:t>
      </w:r>
      <w:r w:rsidR="00CD5714" w:rsidRPr="00CD5714">
        <w:rPr>
          <w:rFonts w:ascii="Arial" w:hAnsi="Arial" w:cs="Arial"/>
          <w:color w:val="000000"/>
          <w:spacing w:val="-4"/>
          <w:sz w:val="20"/>
          <w:szCs w:val="20"/>
          <w:lang w:val="en-GB"/>
        </w:rPr>
        <w:t>8</w:t>
      </w:r>
      <w:r w:rsidRPr="002D2F67">
        <w:rPr>
          <w:rFonts w:ascii="Arial" w:hAnsi="Arial" w:cs="Arial"/>
          <w:color w:val="000000"/>
          <w:sz w:val="20"/>
          <w:szCs w:val="20"/>
        </w:rPr>
        <w:t>.</w:t>
      </w:r>
    </w:p>
    <w:p w14:paraId="49053117" w14:textId="77777777" w:rsidR="00FE37B6" w:rsidRPr="002D2F67" w:rsidRDefault="00FE37B6" w:rsidP="005611FE">
      <w:pPr>
        <w:jc w:val="thaiDistribute"/>
        <w:rPr>
          <w:rFonts w:ascii="Arial" w:hAnsi="Arial" w:cs="Arial"/>
          <w:color w:val="000000"/>
          <w:sz w:val="20"/>
          <w:szCs w:val="20"/>
        </w:rPr>
      </w:pPr>
    </w:p>
    <w:p w14:paraId="67390FFA" w14:textId="77777777" w:rsidR="002E49E6" w:rsidRPr="002D2F67" w:rsidRDefault="00FE37B6" w:rsidP="005611FE">
      <w:pPr>
        <w:jc w:val="thaiDistribute"/>
        <w:rPr>
          <w:rFonts w:ascii="Arial" w:hAnsi="Arial" w:cs="Arial"/>
          <w:color w:val="000000"/>
          <w:spacing w:val="-4"/>
          <w:sz w:val="20"/>
          <w:szCs w:val="20"/>
        </w:rPr>
      </w:pPr>
      <w:r w:rsidRPr="002D2F67">
        <w:rPr>
          <w:rFonts w:ascii="Arial" w:hAnsi="Arial" w:cs="Arial"/>
          <w:color w:val="000000"/>
          <w:sz w:val="20"/>
          <w:szCs w:val="20"/>
        </w:rPr>
        <w:t>An English language version of the consolidated and separate financial statements ha</w:t>
      </w:r>
      <w:r w:rsidR="00A41FC6" w:rsidRPr="002D2F67">
        <w:rPr>
          <w:rFonts w:ascii="Arial" w:hAnsi="Arial" w:cs="Arial"/>
          <w:color w:val="000000"/>
          <w:sz w:val="20"/>
          <w:szCs w:val="20"/>
        </w:rPr>
        <w:t>s</w:t>
      </w:r>
      <w:r w:rsidRPr="002D2F67">
        <w:rPr>
          <w:rFonts w:ascii="Arial" w:hAnsi="Arial" w:cs="Arial"/>
          <w:color w:val="000000"/>
          <w:sz w:val="20"/>
          <w:szCs w:val="20"/>
        </w:rPr>
        <w:t xml:space="preserve"> been prepared </w:t>
      </w:r>
      <w:r w:rsidRPr="002D2F67">
        <w:rPr>
          <w:rFonts w:ascii="Arial" w:hAnsi="Arial" w:cs="Arial"/>
          <w:color w:val="000000"/>
          <w:spacing w:val="-4"/>
          <w:sz w:val="20"/>
          <w:szCs w:val="20"/>
        </w:rPr>
        <w:t>from the statutory financial statements that are in the Thai language. In the event of a conflict or a difference in interpretation between the two languages, the Thai language statutory financial statements shall prevail.</w:t>
      </w:r>
    </w:p>
    <w:p w14:paraId="0B7757B7" w14:textId="77777777" w:rsidR="00037C0D" w:rsidRPr="002D2F67" w:rsidRDefault="00037C0D" w:rsidP="005611FE">
      <w:pPr>
        <w:jc w:val="thaiDistribute"/>
        <w:rPr>
          <w:rFonts w:ascii="Arial" w:hAnsi="Arial" w:cs="Arial"/>
          <w:color w:val="000000"/>
          <w:spacing w:val="-4"/>
          <w:sz w:val="20"/>
          <w:szCs w:val="20"/>
        </w:rPr>
      </w:pPr>
    </w:p>
    <w:p w14:paraId="178373A9" w14:textId="77777777" w:rsidR="007D6E21" w:rsidRPr="002D2F67" w:rsidRDefault="007D6E21" w:rsidP="005611FE">
      <w:pPr>
        <w:jc w:val="thaiDistribute"/>
        <w:rPr>
          <w:rFonts w:ascii="Arial" w:hAnsi="Arial" w:cs="Arial"/>
          <w:color w:val="000000"/>
          <w:sz w:val="20"/>
          <w:szCs w:val="20"/>
        </w:rPr>
      </w:pPr>
    </w:p>
    <w:p w14:paraId="63F27C4C" w14:textId="078DBC2C" w:rsidR="00E77789"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4</w:t>
      </w:r>
      <w:r w:rsidR="00E77789" w:rsidRPr="002D2F67">
        <w:rPr>
          <w:rFonts w:ascii="Arial" w:hAnsi="Arial" w:cs="Arial"/>
          <w:b/>
          <w:bCs/>
          <w:color w:val="000000"/>
          <w:kern w:val="26"/>
          <w:position w:val="-24"/>
          <w:sz w:val="20"/>
          <w:szCs w:val="20"/>
          <w:cs/>
        </w:rPr>
        <w:tab/>
      </w:r>
      <w:r w:rsidR="00E77789" w:rsidRPr="002D2F67">
        <w:rPr>
          <w:rFonts w:ascii="Arial" w:hAnsi="Arial" w:cs="Arial"/>
          <w:b/>
          <w:bCs/>
          <w:color w:val="000000"/>
          <w:kern w:val="26"/>
          <w:position w:val="-24"/>
          <w:sz w:val="20"/>
          <w:szCs w:val="20"/>
        </w:rPr>
        <w:t>Amended financial reporting standards</w:t>
      </w:r>
    </w:p>
    <w:p w14:paraId="70E0CB21" w14:textId="77777777" w:rsidR="00FE37B6" w:rsidRPr="002D2F67" w:rsidRDefault="00FE37B6" w:rsidP="005611FE">
      <w:pPr>
        <w:contextualSpacing/>
        <w:jc w:val="thaiDistribute"/>
        <w:rPr>
          <w:rFonts w:ascii="Arial" w:hAnsi="Arial" w:cs="Arial"/>
          <w:color w:val="000000"/>
          <w:sz w:val="20"/>
          <w:szCs w:val="20"/>
        </w:rPr>
      </w:pPr>
    </w:p>
    <w:p w14:paraId="7ADD96F6" w14:textId="236CD58D" w:rsidR="00FE37B6" w:rsidRPr="002D2F67" w:rsidRDefault="00CD5714" w:rsidP="005611FE">
      <w:pPr>
        <w:pStyle w:val="HeadSub1-5EA"/>
        <w:rPr>
          <w:rFonts w:ascii="Arial" w:hAnsi="Arial" w:cs="Arial"/>
          <w:color w:val="000000"/>
          <w:sz w:val="20"/>
          <w:szCs w:val="20"/>
        </w:rPr>
      </w:pPr>
      <w:r w:rsidRPr="00CD5714">
        <w:rPr>
          <w:rFonts w:ascii="Arial" w:hAnsi="Arial" w:cs="Arial"/>
          <w:color w:val="000000"/>
          <w:sz w:val="20"/>
          <w:szCs w:val="20"/>
          <w:lang w:val="en-GB"/>
        </w:rPr>
        <w:t>4</w:t>
      </w:r>
      <w:r w:rsidR="00FE37B6" w:rsidRPr="002D2F67">
        <w:rPr>
          <w:rFonts w:ascii="Arial" w:hAnsi="Arial" w:cs="Arial"/>
          <w:color w:val="000000"/>
          <w:sz w:val="20"/>
          <w:szCs w:val="20"/>
        </w:rPr>
        <w:t>.</w:t>
      </w:r>
      <w:r w:rsidRPr="00CD5714">
        <w:rPr>
          <w:rFonts w:ascii="Arial" w:hAnsi="Arial" w:cs="Arial"/>
          <w:color w:val="000000"/>
          <w:sz w:val="20"/>
          <w:szCs w:val="20"/>
          <w:lang w:val="en-GB"/>
        </w:rPr>
        <w:t>1</w:t>
      </w:r>
      <w:r w:rsidR="00FE37B6" w:rsidRPr="002D2F67">
        <w:rPr>
          <w:rFonts w:ascii="Arial" w:hAnsi="Arial" w:cs="Arial"/>
          <w:color w:val="000000"/>
          <w:sz w:val="20"/>
          <w:szCs w:val="20"/>
        </w:rPr>
        <w:tab/>
      </w:r>
      <w:r w:rsidR="00326922" w:rsidRPr="002D2F67">
        <w:rPr>
          <w:rFonts w:ascii="Arial" w:hAnsi="Arial" w:cs="Arial"/>
          <w:color w:val="000000"/>
          <w:spacing w:val="2"/>
          <w:sz w:val="20"/>
          <w:szCs w:val="20"/>
        </w:rPr>
        <w:t xml:space="preserve">Amended financial reporting standards that are effective for accounting period beginning on or after </w:t>
      </w:r>
      <w:r w:rsidRPr="00CD5714">
        <w:rPr>
          <w:rFonts w:ascii="Arial" w:hAnsi="Arial" w:cs="Arial"/>
          <w:color w:val="000000"/>
          <w:spacing w:val="2"/>
          <w:sz w:val="20"/>
          <w:szCs w:val="20"/>
          <w:lang w:val="en-GB"/>
        </w:rPr>
        <w:t>1</w:t>
      </w:r>
      <w:r w:rsidR="00326922" w:rsidRPr="002D2F67">
        <w:rPr>
          <w:rFonts w:ascii="Arial" w:hAnsi="Arial" w:cs="Arial"/>
          <w:color w:val="000000"/>
          <w:spacing w:val="2"/>
          <w:sz w:val="20"/>
          <w:szCs w:val="20"/>
        </w:rPr>
        <w:t xml:space="preserve"> January </w:t>
      </w:r>
      <w:r w:rsidRPr="00CD5714">
        <w:rPr>
          <w:rFonts w:ascii="Arial" w:hAnsi="Arial" w:cs="Arial"/>
          <w:color w:val="000000"/>
          <w:spacing w:val="2"/>
          <w:sz w:val="20"/>
          <w:szCs w:val="20"/>
          <w:lang w:val="en-GB"/>
        </w:rPr>
        <w:t>2024</w:t>
      </w:r>
      <w:r w:rsidR="00326922" w:rsidRPr="002D2F67">
        <w:rPr>
          <w:rFonts w:ascii="Arial" w:hAnsi="Arial" w:cs="Arial"/>
          <w:color w:val="000000"/>
          <w:spacing w:val="2"/>
          <w:sz w:val="20"/>
          <w:szCs w:val="20"/>
        </w:rPr>
        <w:t xml:space="preserve"> and relevant to the Group</w:t>
      </w:r>
      <w:r w:rsidR="0069352F" w:rsidRPr="002D2F67">
        <w:rPr>
          <w:rFonts w:ascii="Arial" w:hAnsi="Arial" w:cs="Arial"/>
          <w:color w:val="000000"/>
          <w:spacing w:val="2"/>
          <w:sz w:val="20"/>
          <w:szCs w:val="20"/>
        </w:rPr>
        <w:t>.</w:t>
      </w:r>
    </w:p>
    <w:p w14:paraId="21F563D0" w14:textId="77777777" w:rsidR="00FE37B6" w:rsidRPr="002D2F67" w:rsidRDefault="00FE37B6" w:rsidP="005611FE">
      <w:pPr>
        <w:ind w:left="900"/>
        <w:contextualSpacing/>
        <w:jc w:val="both"/>
        <w:rPr>
          <w:rFonts w:ascii="Arial" w:hAnsi="Arial" w:cs="Arial"/>
          <w:color w:val="000000"/>
          <w:sz w:val="20"/>
          <w:szCs w:val="20"/>
        </w:rPr>
      </w:pPr>
    </w:p>
    <w:p w14:paraId="41707C7D" w14:textId="75C63701" w:rsidR="00326922" w:rsidRPr="002D2F67" w:rsidRDefault="00326922" w:rsidP="005611FE">
      <w:pPr>
        <w:pStyle w:val="NormalWeb"/>
        <w:spacing w:before="0" w:beforeAutospacing="0" w:after="0" w:afterAutospacing="0"/>
        <w:ind w:left="567" w:hanging="567"/>
        <w:contextualSpacing/>
        <w:jc w:val="thaiDistribute"/>
        <w:rPr>
          <w:rFonts w:ascii="Arial" w:hAnsi="Arial" w:cs="Arial"/>
          <w:color w:val="000000"/>
          <w:sz w:val="20"/>
          <w:szCs w:val="20"/>
        </w:rPr>
      </w:pPr>
      <w:r w:rsidRPr="002D2F67">
        <w:rPr>
          <w:rFonts w:ascii="Arial" w:hAnsi="Arial" w:cs="Arial"/>
          <w:b/>
          <w:bCs/>
          <w:color w:val="000000"/>
          <w:sz w:val="20"/>
          <w:szCs w:val="20"/>
        </w:rPr>
        <w:t>a)</w:t>
      </w:r>
      <w:r w:rsidRPr="002D2F67">
        <w:rPr>
          <w:rFonts w:ascii="Arial" w:hAnsi="Arial" w:cs="Arial"/>
          <w:b/>
          <w:bCs/>
          <w:color w:val="000000"/>
          <w:sz w:val="20"/>
          <w:szCs w:val="20"/>
        </w:rPr>
        <w:tab/>
      </w:r>
      <w:r w:rsidR="00EC222C" w:rsidRPr="002D2F67">
        <w:rPr>
          <w:rFonts w:ascii="Arial" w:hAnsi="Arial" w:cs="Arial"/>
          <w:b/>
          <w:bCs/>
          <w:color w:val="000000"/>
          <w:spacing w:val="-4"/>
          <w:sz w:val="20"/>
          <w:szCs w:val="20"/>
        </w:rPr>
        <w:t xml:space="preserve">Amendment to TAS </w:t>
      </w:r>
      <w:r w:rsidR="00CD5714" w:rsidRPr="00CD5714">
        <w:rPr>
          <w:rFonts w:ascii="Arial" w:hAnsi="Arial" w:cs="Arial"/>
          <w:b/>
          <w:bCs/>
          <w:color w:val="000000"/>
          <w:spacing w:val="-4"/>
          <w:sz w:val="20"/>
          <w:szCs w:val="20"/>
          <w:lang w:val="en-GB"/>
        </w:rPr>
        <w:t>1</w:t>
      </w:r>
      <w:r w:rsidR="00EC222C" w:rsidRPr="002D2F67">
        <w:rPr>
          <w:rFonts w:ascii="Arial" w:hAnsi="Arial" w:cs="Arial"/>
          <w:b/>
          <w:bCs/>
          <w:color w:val="000000"/>
          <w:spacing w:val="-4"/>
          <w:sz w:val="20"/>
          <w:szCs w:val="20"/>
        </w:rPr>
        <w:t xml:space="preserve"> Presentation of financial statements </w:t>
      </w:r>
      <w:r w:rsidR="00EC222C" w:rsidRPr="002D2F67">
        <w:rPr>
          <w:rFonts w:ascii="Arial" w:hAnsi="Arial" w:cs="Arial"/>
          <w:color w:val="000000"/>
          <w:spacing w:val="-4"/>
          <w:sz w:val="20"/>
          <w:szCs w:val="20"/>
        </w:rPr>
        <w:t>revised the disclosure from ‘significant</w:t>
      </w:r>
      <w:r w:rsidR="00EC222C" w:rsidRPr="002D2F67">
        <w:rPr>
          <w:rFonts w:ascii="Arial" w:hAnsi="Arial" w:cs="Arial"/>
          <w:color w:val="000000"/>
          <w:spacing w:val="2"/>
          <w:sz w:val="20"/>
          <w:szCs w:val="20"/>
        </w:rPr>
        <w:t xml:space="preserve"> </w:t>
      </w:r>
      <w:r w:rsidR="00EC222C" w:rsidRPr="002D2F67">
        <w:rPr>
          <w:rFonts w:ascii="Arial" w:hAnsi="Arial" w:cs="Arial"/>
          <w:color w:val="000000"/>
          <w:sz w:val="20"/>
          <w:szCs w:val="20"/>
        </w:rPr>
        <w:t xml:space="preserve">accounting policies’ to ‘material accounting </w:t>
      </w:r>
      <w:proofErr w:type="gramStart"/>
      <w:r w:rsidR="00EC222C" w:rsidRPr="002D2F67">
        <w:rPr>
          <w:rFonts w:ascii="Arial" w:hAnsi="Arial" w:cs="Arial"/>
          <w:color w:val="000000"/>
          <w:sz w:val="20"/>
          <w:szCs w:val="20"/>
        </w:rPr>
        <w:t>policies’</w:t>
      </w:r>
      <w:proofErr w:type="gramEnd"/>
      <w:r w:rsidR="00EC222C" w:rsidRPr="002D2F67">
        <w:rPr>
          <w:rFonts w:ascii="Arial" w:hAnsi="Arial" w:cs="Arial"/>
          <w:color w:val="000000"/>
          <w:sz w:val="20"/>
          <w:szCs w:val="20"/>
        </w:rPr>
        <w:t>. The amendment also provides guidelines on</w:t>
      </w:r>
      <w:r w:rsidR="00EC222C" w:rsidRPr="002D2F67">
        <w:rPr>
          <w:rFonts w:ascii="Arial" w:hAnsi="Arial" w:cs="Arial"/>
          <w:color w:val="000000"/>
          <w:spacing w:val="-6"/>
          <w:sz w:val="20"/>
          <w:szCs w:val="20"/>
        </w:rPr>
        <w:t xml:space="preserve"> identifying when the accounting policy information is material. Consequently, immaterial</w:t>
      </w:r>
      <w:r w:rsidR="00EC222C" w:rsidRPr="002D2F67">
        <w:rPr>
          <w:rFonts w:ascii="Arial" w:hAnsi="Arial" w:cs="Arial"/>
          <w:color w:val="000000"/>
          <w:spacing w:val="-2"/>
          <w:sz w:val="20"/>
          <w:szCs w:val="20"/>
        </w:rPr>
        <w:t xml:space="preserve"> </w:t>
      </w:r>
      <w:r w:rsidR="00EC222C" w:rsidRPr="002D2F67">
        <w:rPr>
          <w:rFonts w:ascii="Arial" w:hAnsi="Arial" w:cs="Arial"/>
          <w:color w:val="000000"/>
          <w:spacing w:val="-4"/>
          <w:sz w:val="20"/>
          <w:szCs w:val="20"/>
        </w:rPr>
        <w:t>accounting policy information does not need to be disclosed. If it is disclosed, it should not obscure</w:t>
      </w:r>
      <w:r w:rsidR="00EC222C" w:rsidRPr="002D2F67">
        <w:rPr>
          <w:rFonts w:ascii="Arial" w:hAnsi="Arial" w:cs="Arial"/>
          <w:color w:val="000000"/>
          <w:spacing w:val="2"/>
          <w:sz w:val="20"/>
          <w:szCs w:val="20"/>
        </w:rPr>
        <w:t xml:space="preserve"> material accounting information</w:t>
      </w:r>
      <w:r w:rsidRPr="002D2F67">
        <w:rPr>
          <w:rFonts w:ascii="Arial" w:hAnsi="Arial" w:cs="Arial"/>
          <w:color w:val="000000"/>
          <w:sz w:val="20"/>
          <w:szCs w:val="20"/>
        </w:rPr>
        <w:t>.</w:t>
      </w:r>
    </w:p>
    <w:p w14:paraId="136494AA" w14:textId="77777777" w:rsidR="00326922" w:rsidRPr="002D2F67" w:rsidRDefault="00326922" w:rsidP="005611FE">
      <w:pPr>
        <w:pStyle w:val="NormalWeb"/>
        <w:spacing w:before="0" w:beforeAutospacing="0" w:after="0" w:afterAutospacing="0"/>
        <w:ind w:left="567" w:hanging="567"/>
        <w:contextualSpacing/>
        <w:jc w:val="thaiDistribute"/>
        <w:rPr>
          <w:rFonts w:ascii="Arial" w:hAnsi="Arial" w:cs="Arial"/>
          <w:color w:val="000000"/>
          <w:sz w:val="20"/>
          <w:szCs w:val="20"/>
        </w:rPr>
      </w:pPr>
    </w:p>
    <w:p w14:paraId="14A7FBA7" w14:textId="4D279A4A" w:rsidR="00326922" w:rsidRPr="002D2F67" w:rsidRDefault="00326922" w:rsidP="005611FE">
      <w:pPr>
        <w:pStyle w:val="NormalWeb"/>
        <w:spacing w:before="0" w:beforeAutospacing="0" w:after="0" w:afterAutospacing="0"/>
        <w:ind w:left="567" w:hanging="567"/>
        <w:contextualSpacing/>
        <w:jc w:val="thaiDistribute"/>
        <w:rPr>
          <w:rFonts w:ascii="Arial" w:hAnsi="Arial" w:cs="Arial"/>
          <w:color w:val="000000"/>
          <w:sz w:val="20"/>
          <w:szCs w:val="20"/>
        </w:rPr>
      </w:pPr>
      <w:r w:rsidRPr="002D2F67">
        <w:rPr>
          <w:rFonts w:ascii="Arial" w:hAnsi="Arial" w:cs="Arial"/>
          <w:b/>
          <w:bCs/>
          <w:color w:val="000000"/>
          <w:sz w:val="20"/>
          <w:szCs w:val="20"/>
        </w:rPr>
        <w:t>b)</w:t>
      </w:r>
      <w:r w:rsidRPr="002D2F67">
        <w:rPr>
          <w:rFonts w:ascii="Arial" w:hAnsi="Arial" w:cs="Arial"/>
          <w:color w:val="000000"/>
          <w:sz w:val="20"/>
          <w:szCs w:val="20"/>
          <w:cs/>
        </w:rPr>
        <w:tab/>
      </w:r>
      <w:r w:rsidR="00EC222C" w:rsidRPr="002D2F67">
        <w:rPr>
          <w:rFonts w:ascii="Arial" w:hAnsi="Arial" w:cs="Arial"/>
          <w:b/>
          <w:bCs/>
          <w:color w:val="000000"/>
          <w:spacing w:val="-2"/>
          <w:sz w:val="20"/>
          <w:szCs w:val="20"/>
        </w:rPr>
        <w:t xml:space="preserve">Amendment to TAS </w:t>
      </w:r>
      <w:r w:rsidR="00CD5714" w:rsidRPr="00CD5714">
        <w:rPr>
          <w:rFonts w:ascii="Arial" w:hAnsi="Arial" w:cs="Arial"/>
          <w:b/>
          <w:bCs/>
          <w:color w:val="000000"/>
          <w:spacing w:val="-2"/>
          <w:sz w:val="20"/>
          <w:szCs w:val="20"/>
          <w:lang w:val="en-GB"/>
        </w:rPr>
        <w:t>8</w:t>
      </w:r>
      <w:r w:rsidR="00EC222C" w:rsidRPr="002D2F67">
        <w:rPr>
          <w:rFonts w:ascii="Arial" w:hAnsi="Arial" w:cs="Arial"/>
          <w:b/>
          <w:bCs/>
          <w:color w:val="000000"/>
          <w:spacing w:val="-2"/>
          <w:sz w:val="20"/>
          <w:szCs w:val="20"/>
        </w:rPr>
        <w:t xml:space="preserve"> Accounting policies, changes in accounting estimates and errors</w:t>
      </w:r>
      <w:r w:rsidR="00EC222C" w:rsidRPr="002D2F67">
        <w:rPr>
          <w:rFonts w:ascii="Arial" w:hAnsi="Arial" w:cs="Arial"/>
          <w:b/>
          <w:bCs/>
          <w:color w:val="000000"/>
          <w:spacing w:val="2"/>
          <w:sz w:val="20"/>
          <w:szCs w:val="20"/>
        </w:rPr>
        <w:t xml:space="preserve"> </w:t>
      </w:r>
      <w:r w:rsidR="00EC222C" w:rsidRPr="002D2F67">
        <w:rPr>
          <w:rFonts w:ascii="Arial" w:hAnsi="Arial" w:cs="Arial"/>
          <w:color w:val="000000"/>
          <w:spacing w:val="-2"/>
          <w:sz w:val="20"/>
          <w:szCs w:val="20"/>
        </w:rPr>
        <w:t xml:space="preserve">revised </w:t>
      </w:r>
      <w:r w:rsidR="00EC222C" w:rsidRPr="002D2F67">
        <w:rPr>
          <w:rFonts w:ascii="Arial" w:hAnsi="Arial" w:cs="Arial"/>
          <w:color w:val="000000"/>
          <w:spacing w:val="-4"/>
          <w:sz w:val="20"/>
          <w:szCs w:val="20"/>
        </w:rPr>
        <w:t xml:space="preserve"> the definition of ‘accounting estimates’ to clarify how companies should distinguish between changes</w:t>
      </w:r>
      <w:r w:rsidR="00EC222C" w:rsidRPr="002D2F67">
        <w:rPr>
          <w:rFonts w:ascii="Arial" w:hAnsi="Arial" w:cs="Arial"/>
          <w:color w:val="000000"/>
          <w:spacing w:val="2"/>
          <w:sz w:val="20"/>
          <w:szCs w:val="20"/>
        </w:rPr>
        <w:t xml:space="preserve"> </w:t>
      </w:r>
      <w:r w:rsidR="00EC222C" w:rsidRPr="002D2F67">
        <w:rPr>
          <w:rFonts w:ascii="Arial" w:hAnsi="Arial" w:cs="Arial"/>
          <w:color w:val="000000"/>
          <w:spacing w:val="-6"/>
          <w:sz w:val="20"/>
          <w:szCs w:val="20"/>
        </w:rPr>
        <w:t xml:space="preserve">in </w:t>
      </w:r>
      <w:r w:rsidR="00A95506" w:rsidRPr="002D2F67">
        <w:rPr>
          <w:rFonts w:ascii="Arial" w:hAnsi="Arial" w:cs="Arial"/>
          <w:color w:val="000000"/>
          <w:spacing w:val="-6"/>
          <w:sz w:val="20"/>
          <w:szCs w:val="20"/>
        </w:rPr>
        <w:t>‘</w:t>
      </w:r>
      <w:r w:rsidR="00EC222C" w:rsidRPr="002D2F67">
        <w:rPr>
          <w:rFonts w:ascii="Arial" w:hAnsi="Arial" w:cs="Arial"/>
          <w:color w:val="000000"/>
          <w:spacing w:val="-6"/>
          <w:sz w:val="20"/>
          <w:szCs w:val="20"/>
        </w:rPr>
        <w:t>accounting policies</w:t>
      </w:r>
      <w:r w:rsidR="00A95506" w:rsidRPr="002D2F67">
        <w:rPr>
          <w:rFonts w:ascii="Arial" w:hAnsi="Arial" w:cs="Arial"/>
          <w:color w:val="000000"/>
          <w:spacing w:val="-6"/>
          <w:sz w:val="20"/>
          <w:szCs w:val="20"/>
        </w:rPr>
        <w:t>’</w:t>
      </w:r>
      <w:r w:rsidR="00EC222C" w:rsidRPr="002D2F67">
        <w:rPr>
          <w:rFonts w:ascii="Arial" w:hAnsi="Arial" w:cs="Arial"/>
          <w:color w:val="000000"/>
          <w:spacing w:val="-6"/>
          <w:sz w:val="20"/>
          <w:szCs w:val="20"/>
        </w:rPr>
        <w:t xml:space="preserve"> and </w:t>
      </w:r>
      <w:r w:rsidR="00A95506" w:rsidRPr="002D2F67">
        <w:rPr>
          <w:rFonts w:ascii="Arial" w:hAnsi="Arial" w:cs="Arial"/>
          <w:color w:val="000000"/>
          <w:spacing w:val="-6"/>
          <w:sz w:val="20"/>
          <w:szCs w:val="20"/>
        </w:rPr>
        <w:t>‘</w:t>
      </w:r>
      <w:r w:rsidR="00EC222C" w:rsidRPr="002D2F67">
        <w:rPr>
          <w:rFonts w:ascii="Arial" w:hAnsi="Arial" w:cs="Arial"/>
          <w:color w:val="000000"/>
          <w:spacing w:val="-6"/>
          <w:sz w:val="20"/>
          <w:szCs w:val="20"/>
        </w:rPr>
        <w:t xml:space="preserve">changes in accounting </w:t>
      </w:r>
      <w:proofErr w:type="gramStart"/>
      <w:r w:rsidR="00EC222C" w:rsidRPr="002D2F67">
        <w:rPr>
          <w:rFonts w:ascii="Arial" w:hAnsi="Arial" w:cs="Arial"/>
          <w:color w:val="000000"/>
          <w:spacing w:val="-6"/>
          <w:sz w:val="20"/>
          <w:szCs w:val="20"/>
        </w:rPr>
        <w:t>estimates</w:t>
      </w:r>
      <w:r w:rsidR="00A95506" w:rsidRPr="002D2F67">
        <w:rPr>
          <w:rFonts w:ascii="Arial" w:hAnsi="Arial" w:cs="Arial"/>
          <w:color w:val="000000"/>
          <w:spacing w:val="-6"/>
          <w:sz w:val="20"/>
          <w:szCs w:val="20"/>
        </w:rPr>
        <w:t>’</w:t>
      </w:r>
      <w:proofErr w:type="gramEnd"/>
      <w:r w:rsidR="00EC222C" w:rsidRPr="002D2F67">
        <w:rPr>
          <w:rFonts w:ascii="Arial" w:hAnsi="Arial" w:cs="Arial"/>
          <w:color w:val="000000"/>
          <w:spacing w:val="-6"/>
          <w:sz w:val="20"/>
          <w:szCs w:val="20"/>
        </w:rPr>
        <w:t>. The distinction is important because changes</w:t>
      </w:r>
      <w:r w:rsidR="00EC222C" w:rsidRPr="002D2F67">
        <w:rPr>
          <w:rFonts w:ascii="Arial" w:hAnsi="Arial" w:cs="Arial"/>
          <w:color w:val="000000"/>
          <w:spacing w:val="2"/>
          <w:sz w:val="20"/>
          <w:szCs w:val="20"/>
        </w:rPr>
        <w:t xml:space="preserve"> </w:t>
      </w:r>
      <w:r w:rsidR="00EC222C" w:rsidRPr="002D2F67">
        <w:rPr>
          <w:rFonts w:ascii="Arial" w:hAnsi="Arial" w:cs="Arial"/>
          <w:color w:val="000000"/>
          <w:spacing w:val="-2"/>
          <w:sz w:val="20"/>
          <w:szCs w:val="20"/>
        </w:rPr>
        <w:t xml:space="preserve">in accounting estimates are applied prospectively to transactions, other events and conditions from the </w:t>
      </w:r>
      <w:r w:rsidR="00EC222C" w:rsidRPr="002D2F67">
        <w:rPr>
          <w:rFonts w:ascii="Arial" w:hAnsi="Arial" w:cs="Arial"/>
          <w:color w:val="000000"/>
          <w:sz w:val="20"/>
          <w:szCs w:val="20"/>
        </w:rPr>
        <w:t xml:space="preserve">date of that change. Whereas changes in accounting policies are generally applied retrospectively to </w:t>
      </w:r>
      <w:r w:rsidR="00EC222C" w:rsidRPr="002D2F67">
        <w:rPr>
          <w:rFonts w:ascii="Arial" w:hAnsi="Arial" w:cs="Arial"/>
          <w:color w:val="000000"/>
          <w:spacing w:val="-4"/>
          <w:sz w:val="20"/>
          <w:szCs w:val="20"/>
        </w:rPr>
        <w:t>past transactions and other past events as well as the current period as if the new accounting policy</w:t>
      </w:r>
      <w:r w:rsidR="00EC222C" w:rsidRPr="002D2F67">
        <w:rPr>
          <w:rFonts w:ascii="Arial" w:hAnsi="Arial" w:cs="Arial"/>
          <w:color w:val="000000"/>
          <w:spacing w:val="2"/>
          <w:sz w:val="20"/>
          <w:szCs w:val="20"/>
        </w:rPr>
        <w:t xml:space="preserve"> had always been applied</w:t>
      </w:r>
      <w:r w:rsidRPr="002D2F67">
        <w:rPr>
          <w:rFonts w:ascii="Arial" w:hAnsi="Arial" w:cs="Arial"/>
          <w:color w:val="000000"/>
          <w:sz w:val="20"/>
          <w:szCs w:val="20"/>
        </w:rPr>
        <w:t>.</w:t>
      </w:r>
    </w:p>
    <w:p w14:paraId="0B6DEA7F" w14:textId="4CE4CD1D" w:rsidR="00326922" w:rsidRPr="002D2F67" w:rsidRDefault="00326922" w:rsidP="005611FE">
      <w:pPr>
        <w:pStyle w:val="NormalWeb"/>
        <w:spacing w:before="0" w:beforeAutospacing="0" w:after="0" w:afterAutospacing="0"/>
        <w:ind w:left="567" w:hanging="567"/>
        <w:contextualSpacing/>
        <w:jc w:val="thaiDistribute"/>
        <w:rPr>
          <w:rFonts w:ascii="Arial" w:hAnsi="Arial" w:cs="Arial"/>
          <w:b/>
          <w:bCs/>
          <w:color w:val="000000"/>
          <w:sz w:val="20"/>
          <w:szCs w:val="20"/>
        </w:rPr>
      </w:pPr>
    </w:p>
    <w:p w14:paraId="7CE7D6E8" w14:textId="7E927089" w:rsidR="00BE5DEC" w:rsidRPr="002D2F67" w:rsidRDefault="00326922" w:rsidP="005611FE">
      <w:pPr>
        <w:pStyle w:val="NormalWeb"/>
        <w:spacing w:before="0" w:beforeAutospacing="0" w:after="0" w:afterAutospacing="0"/>
        <w:ind w:left="567" w:hanging="567"/>
        <w:contextualSpacing/>
        <w:jc w:val="thaiDistribute"/>
        <w:rPr>
          <w:rFonts w:ascii="Arial" w:hAnsi="Arial" w:cs="Arial"/>
          <w:color w:val="000000"/>
          <w:sz w:val="20"/>
          <w:szCs w:val="20"/>
        </w:rPr>
      </w:pPr>
      <w:r w:rsidRPr="002D2F67">
        <w:rPr>
          <w:rFonts w:ascii="Arial" w:hAnsi="Arial" w:cs="Arial"/>
          <w:b/>
          <w:bCs/>
          <w:color w:val="000000"/>
          <w:sz w:val="20"/>
          <w:szCs w:val="20"/>
        </w:rPr>
        <w:t>c)</w:t>
      </w:r>
      <w:r w:rsidRPr="002D2F67">
        <w:rPr>
          <w:rFonts w:ascii="Arial" w:hAnsi="Arial" w:cs="Arial"/>
          <w:color w:val="000000"/>
          <w:sz w:val="20"/>
          <w:szCs w:val="20"/>
          <w:cs/>
        </w:rPr>
        <w:tab/>
      </w:r>
      <w:r w:rsidR="00BE5DEC" w:rsidRPr="002D2F67">
        <w:rPr>
          <w:rFonts w:ascii="Arial" w:hAnsi="Arial" w:cs="Arial"/>
          <w:b/>
          <w:bCs/>
          <w:color w:val="000000"/>
          <w:spacing w:val="2"/>
          <w:sz w:val="20"/>
          <w:szCs w:val="20"/>
        </w:rPr>
        <w:t xml:space="preserve">Amendments to TAS </w:t>
      </w:r>
      <w:r w:rsidR="00CD5714" w:rsidRPr="00CD5714">
        <w:rPr>
          <w:rFonts w:ascii="Arial" w:hAnsi="Arial" w:cs="Arial"/>
          <w:b/>
          <w:bCs/>
          <w:color w:val="000000"/>
          <w:spacing w:val="2"/>
          <w:sz w:val="20"/>
          <w:szCs w:val="20"/>
          <w:lang w:val="en-GB"/>
        </w:rPr>
        <w:t>12</w:t>
      </w:r>
      <w:r w:rsidR="00BE5DEC" w:rsidRPr="002D2F67">
        <w:rPr>
          <w:rFonts w:ascii="Arial" w:hAnsi="Arial" w:cs="Arial"/>
          <w:b/>
          <w:bCs/>
          <w:color w:val="000000"/>
          <w:spacing w:val="2"/>
          <w:sz w:val="20"/>
          <w:szCs w:val="20"/>
        </w:rPr>
        <w:t xml:space="preserve"> Income taxes</w:t>
      </w:r>
      <w:r w:rsidRPr="002D2F67">
        <w:rPr>
          <w:rFonts w:ascii="Arial" w:hAnsi="Arial" w:cs="Arial"/>
          <w:color w:val="000000"/>
          <w:sz w:val="20"/>
          <w:szCs w:val="20"/>
        </w:rPr>
        <w:t xml:space="preserve"> </w:t>
      </w:r>
    </w:p>
    <w:p w14:paraId="784E9884" w14:textId="77777777" w:rsidR="00BE5DEC" w:rsidRPr="002D2F67" w:rsidRDefault="00BE5DEC" w:rsidP="005611FE">
      <w:pPr>
        <w:pStyle w:val="NormalWeb"/>
        <w:spacing w:before="0" w:beforeAutospacing="0" w:after="0" w:afterAutospacing="0"/>
        <w:ind w:left="567" w:hanging="567"/>
        <w:contextualSpacing/>
        <w:jc w:val="thaiDistribute"/>
        <w:rPr>
          <w:rFonts w:ascii="Arial" w:hAnsi="Arial" w:cs="Arial"/>
          <w:color w:val="000000"/>
          <w:sz w:val="20"/>
          <w:szCs w:val="20"/>
        </w:rPr>
      </w:pPr>
    </w:p>
    <w:p w14:paraId="0ED8A623" w14:textId="77924E05" w:rsidR="00BE5DEC" w:rsidRPr="002D2F67" w:rsidRDefault="00BE5DEC" w:rsidP="00BE5DEC">
      <w:pPr>
        <w:pStyle w:val="ListParagraph"/>
        <w:autoSpaceDE w:val="0"/>
        <w:autoSpaceDN w:val="0"/>
        <w:adjustRightInd w:val="0"/>
        <w:spacing w:after="0" w:line="240" w:lineRule="auto"/>
        <w:ind w:left="1080" w:hanging="540"/>
        <w:jc w:val="both"/>
        <w:rPr>
          <w:rFonts w:ascii="Arial" w:hAnsi="Arial" w:cs="Arial"/>
          <w:color w:val="000000"/>
          <w:spacing w:val="-6"/>
          <w:sz w:val="20"/>
          <w:szCs w:val="20"/>
        </w:rPr>
      </w:pPr>
      <w:r w:rsidRPr="002D2F67">
        <w:rPr>
          <w:rFonts w:ascii="Arial" w:hAnsi="Arial" w:cs="Arial"/>
          <w:color w:val="000000"/>
          <w:sz w:val="20"/>
          <w:szCs w:val="20"/>
        </w:rPr>
        <w:t>c.</w:t>
      </w:r>
      <w:r w:rsidR="00CD5714" w:rsidRPr="00CD5714">
        <w:rPr>
          <w:rFonts w:ascii="Arial" w:hAnsi="Arial" w:cs="Arial"/>
          <w:color w:val="000000"/>
          <w:sz w:val="20"/>
          <w:szCs w:val="20"/>
          <w:lang w:val="en-GB"/>
        </w:rPr>
        <w:t>1</w:t>
      </w:r>
      <w:r w:rsidRPr="002D2F67">
        <w:rPr>
          <w:rFonts w:ascii="Arial" w:hAnsi="Arial" w:cs="Arial"/>
          <w:color w:val="000000"/>
          <w:sz w:val="20"/>
          <w:szCs w:val="20"/>
        </w:rPr>
        <w:t>)</w:t>
      </w:r>
      <w:r w:rsidRPr="002D2F67">
        <w:rPr>
          <w:rFonts w:ascii="Arial" w:hAnsi="Arial" w:cs="Arial"/>
          <w:color w:val="000000"/>
          <w:sz w:val="20"/>
          <w:szCs w:val="20"/>
        </w:rPr>
        <w:tab/>
      </w:r>
      <w:r w:rsidR="00A95506" w:rsidRPr="002D2F67">
        <w:rPr>
          <w:rFonts w:ascii="Arial" w:hAnsi="Arial" w:cs="Arial"/>
          <w:color w:val="000000"/>
          <w:spacing w:val="-4"/>
          <w:sz w:val="20"/>
          <w:szCs w:val="20"/>
        </w:rPr>
        <w:t>Require the companies to</w:t>
      </w:r>
      <w:r w:rsidRPr="002D2F67">
        <w:rPr>
          <w:rFonts w:ascii="Arial" w:hAnsi="Arial" w:cs="Arial"/>
          <w:color w:val="000000"/>
          <w:spacing w:val="-4"/>
          <w:sz w:val="20"/>
          <w:szCs w:val="20"/>
          <w:cs/>
        </w:rPr>
        <w:t xml:space="preserve"> </w:t>
      </w:r>
      <w:r w:rsidRPr="002D2F67">
        <w:rPr>
          <w:rFonts w:ascii="Arial" w:hAnsi="Arial" w:cs="Arial"/>
          <w:color w:val="000000"/>
          <w:spacing w:val="-4"/>
          <w:sz w:val="20"/>
          <w:szCs w:val="20"/>
        </w:rPr>
        <w:t>recognise any</w:t>
      </w:r>
      <w:r w:rsidRPr="002D2F67">
        <w:rPr>
          <w:rFonts w:ascii="Arial" w:hAnsi="Arial" w:cs="Arial"/>
          <w:color w:val="000000"/>
          <w:spacing w:val="-4"/>
          <w:sz w:val="20"/>
          <w:szCs w:val="20"/>
          <w:cs/>
        </w:rPr>
        <w:t xml:space="preserve"> </w:t>
      </w:r>
      <w:r w:rsidRPr="002D2F67">
        <w:rPr>
          <w:rFonts w:ascii="Arial" w:hAnsi="Arial" w:cs="Arial"/>
          <w:color w:val="000000"/>
          <w:spacing w:val="-4"/>
          <w:sz w:val="20"/>
          <w:szCs w:val="20"/>
        </w:rPr>
        <w:t>deferred tax related to assets and</w:t>
      </w:r>
      <w:r w:rsidRPr="002D2F67">
        <w:rPr>
          <w:rFonts w:ascii="Arial" w:hAnsi="Arial" w:cs="Arial"/>
          <w:color w:val="000000"/>
          <w:spacing w:val="-4"/>
          <w:sz w:val="20"/>
          <w:szCs w:val="20"/>
          <w:cs/>
        </w:rPr>
        <w:t xml:space="preserve"> </w:t>
      </w:r>
      <w:r w:rsidRPr="002D2F67">
        <w:rPr>
          <w:rFonts w:ascii="Arial" w:hAnsi="Arial" w:cs="Arial"/>
          <w:color w:val="000000"/>
          <w:spacing w:val="-4"/>
          <w:sz w:val="20"/>
          <w:szCs w:val="20"/>
        </w:rPr>
        <w:t xml:space="preserve">liabilities arising from a </w:t>
      </w:r>
      <w:r w:rsidRPr="002D2F67">
        <w:rPr>
          <w:rFonts w:ascii="Arial" w:hAnsi="Arial" w:cs="Arial"/>
          <w:color w:val="000000"/>
          <w:spacing w:val="-6"/>
          <w:sz w:val="20"/>
          <w:szCs w:val="20"/>
        </w:rPr>
        <w:t>single</w:t>
      </w:r>
      <w:r w:rsidRPr="002D2F67">
        <w:rPr>
          <w:rFonts w:ascii="Arial" w:hAnsi="Arial" w:cs="Arial"/>
          <w:color w:val="000000"/>
          <w:spacing w:val="-6"/>
          <w:sz w:val="20"/>
          <w:szCs w:val="20"/>
          <w:cs/>
        </w:rPr>
        <w:t xml:space="preserve"> </w:t>
      </w:r>
      <w:r w:rsidRPr="002D2F67">
        <w:rPr>
          <w:rFonts w:ascii="Arial" w:hAnsi="Arial" w:cs="Arial"/>
          <w:color w:val="000000"/>
          <w:spacing w:val="-6"/>
          <w:sz w:val="20"/>
          <w:szCs w:val="20"/>
        </w:rPr>
        <w:t>transaction that, on initial recognition, gives rise</w:t>
      </w:r>
      <w:r w:rsidRPr="002D2F67">
        <w:rPr>
          <w:rFonts w:ascii="Arial" w:hAnsi="Arial" w:cs="Arial"/>
          <w:color w:val="000000"/>
          <w:spacing w:val="-6"/>
          <w:sz w:val="20"/>
          <w:szCs w:val="20"/>
          <w:cs/>
        </w:rPr>
        <w:t xml:space="preserve"> </w:t>
      </w:r>
      <w:r w:rsidRPr="002D2F67">
        <w:rPr>
          <w:rFonts w:ascii="Arial" w:hAnsi="Arial" w:cs="Arial"/>
          <w:color w:val="000000"/>
          <w:spacing w:val="-6"/>
          <w:sz w:val="20"/>
          <w:szCs w:val="20"/>
        </w:rPr>
        <w:t>to equal amounts of taxable and deductible temporary differences. Example transactions are leases and</w:t>
      </w:r>
      <w:r w:rsidRPr="002D2F67">
        <w:rPr>
          <w:rFonts w:ascii="Arial" w:hAnsi="Arial" w:cs="Arial"/>
          <w:color w:val="000000"/>
          <w:spacing w:val="-6"/>
          <w:sz w:val="20"/>
          <w:szCs w:val="20"/>
          <w:cs/>
        </w:rPr>
        <w:t xml:space="preserve"> </w:t>
      </w:r>
      <w:r w:rsidRPr="002D2F67">
        <w:rPr>
          <w:rFonts w:ascii="Arial" w:hAnsi="Arial" w:cs="Arial"/>
          <w:color w:val="000000"/>
          <w:spacing w:val="-6"/>
          <w:sz w:val="20"/>
          <w:szCs w:val="20"/>
        </w:rPr>
        <w:t>decommissioning obligations.</w:t>
      </w:r>
    </w:p>
    <w:p w14:paraId="286A4151" w14:textId="77777777" w:rsidR="00BE5DEC" w:rsidRPr="002D2F67" w:rsidRDefault="00BE5DEC" w:rsidP="00BE5DEC">
      <w:pPr>
        <w:autoSpaceDE w:val="0"/>
        <w:autoSpaceDN w:val="0"/>
        <w:adjustRightInd w:val="0"/>
        <w:ind w:left="1080"/>
        <w:jc w:val="both"/>
        <w:rPr>
          <w:rFonts w:ascii="Arial" w:hAnsi="Arial" w:cs="Arial"/>
          <w:color w:val="000000"/>
          <w:spacing w:val="-4"/>
          <w:sz w:val="20"/>
          <w:szCs w:val="20"/>
        </w:rPr>
      </w:pPr>
    </w:p>
    <w:p w14:paraId="0F588789" w14:textId="77777777" w:rsidR="00BE5DEC" w:rsidRPr="002D2F67" w:rsidRDefault="00BE5DEC" w:rsidP="00BE5DEC">
      <w:pPr>
        <w:autoSpaceDE w:val="0"/>
        <w:autoSpaceDN w:val="0"/>
        <w:adjustRightInd w:val="0"/>
        <w:ind w:left="1080"/>
        <w:jc w:val="both"/>
        <w:rPr>
          <w:rFonts w:ascii="Arial" w:hAnsi="Arial" w:cs="Arial"/>
          <w:color w:val="000000"/>
          <w:sz w:val="20"/>
          <w:szCs w:val="20"/>
        </w:rPr>
      </w:pPr>
      <w:r w:rsidRPr="002D2F67">
        <w:rPr>
          <w:rFonts w:ascii="Arial" w:hAnsi="Arial" w:cs="Arial"/>
          <w:color w:val="000000"/>
          <w:sz w:val="20"/>
          <w:szCs w:val="20"/>
        </w:rPr>
        <w:t>The amendment should be applied to transactions on or after</w:t>
      </w:r>
      <w:r w:rsidRPr="002D2F67">
        <w:rPr>
          <w:rFonts w:ascii="Arial" w:hAnsi="Arial" w:cs="Arial"/>
          <w:color w:val="000000"/>
          <w:sz w:val="20"/>
          <w:szCs w:val="20"/>
          <w:cs/>
        </w:rPr>
        <w:t xml:space="preserve"> </w:t>
      </w:r>
      <w:r w:rsidRPr="002D2F67">
        <w:rPr>
          <w:rFonts w:ascii="Arial" w:hAnsi="Arial" w:cs="Arial"/>
          <w:color w:val="000000"/>
          <w:sz w:val="20"/>
          <w:szCs w:val="20"/>
        </w:rPr>
        <w:t>the beginning of the earliest comparative period presented. In addition,</w:t>
      </w:r>
      <w:r w:rsidRPr="002D2F67">
        <w:rPr>
          <w:rFonts w:ascii="Arial" w:hAnsi="Arial" w:cs="Arial"/>
          <w:color w:val="000000"/>
          <w:sz w:val="20"/>
          <w:szCs w:val="20"/>
          <w:cs/>
        </w:rPr>
        <w:t xml:space="preserve"> </w:t>
      </w:r>
      <w:r w:rsidRPr="002D2F67">
        <w:rPr>
          <w:rFonts w:ascii="Arial" w:hAnsi="Arial" w:cs="Arial"/>
          <w:color w:val="000000"/>
          <w:sz w:val="20"/>
          <w:szCs w:val="20"/>
        </w:rPr>
        <w:t xml:space="preserve">entities should recognise deferred tax assets </w:t>
      </w:r>
      <w:r w:rsidRPr="002D2F67">
        <w:rPr>
          <w:rFonts w:ascii="Arial" w:hAnsi="Arial" w:cs="Arial"/>
          <w:color w:val="000000"/>
          <w:spacing w:val="-4"/>
          <w:sz w:val="20"/>
          <w:szCs w:val="20"/>
        </w:rPr>
        <w:t>(to the extent that they can</w:t>
      </w:r>
      <w:r w:rsidRPr="002D2F67">
        <w:rPr>
          <w:rFonts w:ascii="Arial" w:hAnsi="Arial" w:cs="Arial"/>
          <w:color w:val="000000"/>
          <w:spacing w:val="-4"/>
          <w:sz w:val="20"/>
          <w:szCs w:val="20"/>
          <w:cs/>
        </w:rPr>
        <w:t xml:space="preserve"> </w:t>
      </w:r>
      <w:r w:rsidRPr="002D2F67">
        <w:rPr>
          <w:rFonts w:ascii="Arial" w:hAnsi="Arial" w:cs="Arial"/>
          <w:color w:val="000000"/>
          <w:spacing w:val="-4"/>
          <w:sz w:val="20"/>
          <w:szCs w:val="20"/>
        </w:rPr>
        <w:t>probably be utilised) and deferred tax liabilities at the</w:t>
      </w:r>
      <w:r w:rsidRPr="002D2F67">
        <w:rPr>
          <w:rFonts w:ascii="Arial" w:hAnsi="Arial" w:cs="Arial"/>
          <w:color w:val="000000"/>
          <w:spacing w:val="-4"/>
          <w:sz w:val="20"/>
          <w:szCs w:val="20"/>
          <w:cs/>
        </w:rPr>
        <w:t xml:space="preserve"> </w:t>
      </w:r>
      <w:r w:rsidRPr="002D2F67">
        <w:rPr>
          <w:rFonts w:ascii="Arial" w:hAnsi="Arial" w:cs="Arial"/>
          <w:color w:val="000000"/>
          <w:spacing w:val="-4"/>
          <w:sz w:val="20"/>
          <w:szCs w:val="20"/>
        </w:rPr>
        <w:t>beginning</w:t>
      </w:r>
      <w:r w:rsidRPr="002D2F67">
        <w:rPr>
          <w:rFonts w:ascii="Arial" w:hAnsi="Arial" w:cs="Arial"/>
          <w:color w:val="000000"/>
          <w:sz w:val="20"/>
          <w:szCs w:val="20"/>
        </w:rPr>
        <w:t xml:space="preserve"> of the earliest comparative</w:t>
      </w:r>
      <w:r w:rsidRPr="002D2F67">
        <w:rPr>
          <w:rFonts w:ascii="Arial" w:hAnsi="Arial" w:cs="Arial"/>
          <w:color w:val="000000"/>
          <w:sz w:val="20"/>
          <w:szCs w:val="20"/>
          <w:cs/>
        </w:rPr>
        <w:t xml:space="preserve"> </w:t>
      </w:r>
      <w:r w:rsidRPr="002D2F67">
        <w:rPr>
          <w:rFonts w:ascii="Arial" w:hAnsi="Arial" w:cs="Arial"/>
          <w:color w:val="000000"/>
          <w:sz w:val="20"/>
          <w:szCs w:val="20"/>
        </w:rPr>
        <w:t>period for all deductible and taxable temporary differences associated with:</w:t>
      </w:r>
    </w:p>
    <w:p w14:paraId="21DD7F32" w14:textId="77777777" w:rsidR="0067498C" w:rsidRPr="002D2F67" w:rsidRDefault="0067498C" w:rsidP="00D81792">
      <w:pPr>
        <w:autoSpaceDE w:val="0"/>
        <w:autoSpaceDN w:val="0"/>
        <w:adjustRightInd w:val="0"/>
        <w:jc w:val="both"/>
        <w:rPr>
          <w:rFonts w:ascii="Arial" w:hAnsi="Arial" w:cs="Arial"/>
          <w:color w:val="000000"/>
          <w:sz w:val="20"/>
          <w:szCs w:val="20"/>
        </w:rPr>
      </w:pPr>
    </w:p>
    <w:p w14:paraId="0842779A" w14:textId="77777777" w:rsidR="00BE5DEC" w:rsidRPr="002D2F67" w:rsidRDefault="00BE5DEC" w:rsidP="00BE5DEC">
      <w:pPr>
        <w:pStyle w:val="ListParagraph"/>
        <w:numPr>
          <w:ilvl w:val="0"/>
          <w:numId w:val="36"/>
        </w:numPr>
        <w:tabs>
          <w:tab w:val="left" w:pos="1620"/>
        </w:tabs>
        <w:autoSpaceDE w:val="0"/>
        <w:autoSpaceDN w:val="0"/>
        <w:adjustRightInd w:val="0"/>
        <w:spacing w:after="0" w:line="240" w:lineRule="auto"/>
        <w:ind w:left="1620" w:hanging="540"/>
        <w:contextualSpacing w:val="0"/>
        <w:jc w:val="both"/>
        <w:rPr>
          <w:rFonts w:ascii="Arial" w:hAnsi="Arial" w:cs="Arial"/>
          <w:color w:val="000000"/>
          <w:sz w:val="20"/>
          <w:szCs w:val="20"/>
        </w:rPr>
      </w:pPr>
      <w:r w:rsidRPr="002D2F67">
        <w:rPr>
          <w:rFonts w:ascii="Arial" w:hAnsi="Arial" w:cs="Arial"/>
          <w:color w:val="000000"/>
          <w:sz w:val="20"/>
          <w:szCs w:val="20"/>
        </w:rPr>
        <w:t>right-of-use assets and lease liabilities, and</w:t>
      </w:r>
    </w:p>
    <w:p w14:paraId="78F30C3C" w14:textId="77777777" w:rsidR="00BE5DEC" w:rsidRPr="002D2F67" w:rsidRDefault="00BE5DEC" w:rsidP="19457625">
      <w:pPr>
        <w:pStyle w:val="ListParagraph"/>
        <w:numPr>
          <w:ilvl w:val="0"/>
          <w:numId w:val="36"/>
        </w:numPr>
        <w:tabs>
          <w:tab w:val="left" w:pos="1620"/>
        </w:tabs>
        <w:autoSpaceDE w:val="0"/>
        <w:autoSpaceDN w:val="0"/>
        <w:adjustRightInd w:val="0"/>
        <w:spacing w:after="0" w:line="240" w:lineRule="auto"/>
        <w:ind w:left="1620" w:hanging="540"/>
        <w:jc w:val="both"/>
        <w:rPr>
          <w:rFonts w:ascii="Arial" w:hAnsi="Arial" w:cs="Arial"/>
          <w:color w:val="000000"/>
          <w:sz w:val="20"/>
          <w:szCs w:val="20"/>
        </w:rPr>
      </w:pPr>
      <w:r w:rsidRPr="002D2F67">
        <w:rPr>
          <w:rFonts w:ascii="Arial" w:hAnsi="Arial" w:cs="Arial"/>
          <w:color w:val="000000"/>
          <w:spacing w:val="-6"/>
          <w:sz w:val="20"/>
          <w:szCs w:val="20"/>
        </w:rPr>
        <w:t>decommissioning, restoration and similar liabilities, and the</w:t>
      </w:r>
      <w:r w:rsidRPr="002D2F67">
        <w:rPr>
          <w:rFonts w:ascii="Arial" w:hAnsi="Arial" w:cs="Arial"/>
          <w:color w:val="000000"/>
          <w:spacing w:val="-6"/>
          <w:sz w:val="20"/>
          <w:szCs w:val="20"/>
          <w:cs/>
        </w:rPr>
        <w:t xml:space="preserve"> </w:t>
      </w:r>
      <w:r w:rsidRPr="002D2F67">
        <w:rPr>
          <w:rFonts w:ascii="Arial" w:hAnsi="Arial" w:cs="Arial"/>
          <w:color w:val="000000"/>
          <w:spacing w:val="-6"/>
          <w:sz w:val="20"/>
          <w:szCs w:val="20"/>
        </w:rPr>
        <w:t>corresponding amounts recognised</w:t>
      </w:r>
      <w:r w:rsidRPr="002D2F67">
        <w:rPr>
          <w:rFonts w:ascii="Arial" w:hAnsi="Arial" w:cs="Arial"/>
          <w:color w:val="000000"/>
          <w:sz w:val="20"/>
          <w:szCs w:val="20"/>
        </w:rPr>
        <w:t xml:space="preserve"> as part of the cost of the related</w:t>
      </w:r>
      <w:r w:rsidRPr="002D2F67">
        <w:rPr>
          <w:rFonts w:ascii="Arial" w:hAnsi="Arial" w:cs="Arial"/>
          <w:color w:val="000000"/>
          <w:sz w:val="20"/>
          <w:szCs w:val="20"/>
          <w:cs/>
        </w:rPr>
        <w:t xml:space="preserve"> </w:t>
      </w:r>
      <w:r w:rsidRPr="002D2F67">
        <w:rPr>
          <w:rFonts w:ascii="Arial" w:hAnsi="Arial" w:cs="Arial"/>
          <w:color w:val="000000"/>
          <w:sz w:val="20"/>
          <w:szCs w:val="20"/>
        </w:rPr>
        <w:t>assets.</w:t>
      </w:r>
    </w:p>
    <w:p w14:paraId="1F2949F8" w14:textId="77777777" w:rsidR="00BE5DEC" w:rsidRPr="002D2F67" w:rsidRDefault="00BE5DEC" w:rsidP="00BE5DEC">
      <w:pPr>
        <w:pStyle w:val="ListParagraph"/>
        <w:autoSpaceDE w:val="0"/>
        <w:autoSpaceDN w:val="0"/>
        <w:adjustRightInd w:val="0"/>
        <w:spacing w:after="0" w:line="240" w:lineRule="auto"/>
        <w:ind w:left="1080"/>
        <w:contextualSpacing w:val="0"/>
        <w:jc w:val="both"/>
        <w:rPr>
          <w:rFonts w:ascii="Arial" w:hAnsi="Arial" w:cs="Arial"/>
          <w:color w:val="000000"/>
          <w:sz w:val="20"/>
          <w:szCs w:val="20"/>
        </w:rPr>
      </w:pPr>
    </w:p>
    <w:p w14:paraId="0E075F6D" w14:textId="402040A1" w:rsidR="00BE5DEC" w:rsidRPr="002D2F67" w:rsidRDefault="00BE5DEC" w:rsidP="00BE5DEC">
      <w:pPr>
        <w:autoSpaceDE w:val="0"/>
        <w:autoSpaceDN w:val="0"/>
        <w:adjustRightInd w:val="0"/>
        <w:ind w:left="1080"/>
        <w:jc w:val="both"/>
        <w:rPr>
          <w:rFonts w:ascii="Arial" w:hAnsi="Arial" w:cs="Arial"/>
          <w:color w:val="000000"/>
          <w:sz w:val="20"/>
          <w:szCs w:val="20"/>
        </w:rPr>
      </w:pPr>
      <w:r w:rsidRPr="002D2F67">
        <w:rPr>
          <w:rFonts w:ascii="Arial" w:hAnsi="Arial" w:cs="Arial"/>
          <w:color w:val="000000"/>
          <w:spacing w:val="-6"/>
          <w:sz w:val="20"/>
          <w:szCs w:val="20"/>
        </w:rPr>
        <w:t>The cumulative effect of these adjustments is recognised at the</w:t>
      </w:r>
      <w:r w:rsidRPr="002D2F67">
        <w:rPr>
          <w:rFonts w:ascii="Arial" w:hAnsi="Arial" w:cs="Arial"/>
          <w:color w:val="000000"/>
          <w:spacing w:val="-6"/>
          <w:sz w:val="20"/>
          <w:szCs w:val="20"/>
          <w:cs/>
        </w:rPr>
        <w:t xml:space="preserve"> </w:t>
      </w:r>
      <w:r w:rsidRPr="002D2F67">
        <w:rPr>
          <w:rFonts w:ascii="Arial" w:hAnsi="Arial" w:cs="Arial"/>
          <w:color w:val="000000"/>
          <w:spacing w:val="-6"/>
          <w:sz w:val="20"/>
          <w:szCs w:val="20"/>
        </w:rPr>
        <w:t>beginning of retained</w:t>
      </w:r>
      <w:r w:rsidRPr="002D2F67">
        <w:rPr>
          <w:rFonts w:ascii="Arial" w:hAnsi="Arial" w:cs="Arial"/>
          <w:color w:val="000000"/>
          <w:sz w:val="20"/>
          <w:szCs w:val="20"/>
        </w:rPr>
        <w:t xml:space="preserve"> earnings or any other component of equity, as appropriate.</w:t>
      </w:r>
    </w:p>
    <w:p w14:paraId="2B1E8F8D" w14:textId="2D1313C2" w:rsidR="00142F47" w:rsidRPr="002D2F67" w:rsidRDefault="00EC49F3" w:rsidP="00BE5DEC">
      <w:pPr>
        <w:autoSpaceDE w:val="0"/>
        <w:autoSpaceDN w:val="0"/>
        <w:adjustRightInd w:val="0"/>
        <w:ind w:left="1080"/>
        <w:jc w:val="both"/>
        <w:rPr>
          <w:rFonts w:ascii="Arial" w:hAnsi="Arial" w:cs="Arial"/>
          <w:color w:val="000000"/>
          <w:sz w:val="20"/>
          <w:szCs w:val="20"/>
        </w:rPr>
      </w:pPr>
      <w:r w:rsidRPr="002D2F67">
        <w:rPr>
          <w:rFonts w:ascii="Arial" w:hAnsi="Arial" w:cs="Arial"/>
          <w:color w:val="000000"/>
          <w:sz w:val="20"/>
          <w:szCs w:val="20"/>
        </w:rPr>
        <w:br w:type="page"/>
      </w:r>
    </w:p>
    <w:p w14:paraId="1AC75C1A" w14:textId="7E4ABAD1" w:rsidR="00BE5DEC" w:rsidRPr="002D2F67" w:rsidRDefault="00BE5DEC" w:rsidP="00BE5DEC">
      <w:pPr>
        <w:pStyle w:val="ListParagraph"/>
        <w:autoSpaceDE w:val="0"/>
        <w:autoSpaceDN w:val="0"/>
        <w:adjustRightInd w:val="0"/>
        <w:spacing w:after="0" w:line="240" w:lineRule="auto"/>
        <w:ind w:left="1080" w:hanging="540"/>
        <w:jc w:val="both"/>
        <w:rPr>
          <w:rFonts w:ascii="Arial" w:hAnsi="Arial" w:cs="Arial"/>
          <w:color w:val="000000"/>
          <w:sz w:val="20"/>
          <w:szCs w:val="20"/>
        </w:rPr>
      </w:pPr>
      <w:r w:rsidRPr="002D2F67">
        <w:rPr>
          <w:rFonts w:ascii="Arial" w:hAnsi="Arial" w:cs="Arial"/>
          <w:color w:val="000000"/>
          <w:sz w:val="20"/>
          <w:szCs w:val="20"/>
        </w:rPr>
        <w:t>c.</w:t>
      </w:r>
      <w:r w:rsidR="00CD5714" w:rsidRPr="00CD5714">
        <w:rPr>
          <w:rFonts w:ascii="Arial" w:hAnsi="Arial" w:cs="Arial"/>
          <w:color w:val="000000"/>
          <w:sz w:val="20"/>
          <w:szCs w:val="20"/>
          <w:lang w:val="en-GB"/>
        </w:rPr>
        <w:t>2</w:t>
      </w:r>
      <w:r w:rsidRPr="002D2F67">
        <w:rPr>
          <w:rFonts w:ascii="Arial" w:hAnsi="Arial" w:cs="Arial"/>
          <w:color w:val="000000"/>
          <w:sz w:val="20"/>
          <w:szCs w:val="20"/>
        </w:rPr>
        <w:t>)</w:t>
      </w:r>
      <w:r w:rsidRPr="002D2F67">
        <w:rPr>
          <w:rFonts w:ascii="Arial" w:hAnsi="Arial" w:cs="Arial"/>
          <w:color w:val="000000"/>
          <w:spacing w:val="-6"/>
          <w:sz w:val="20"/>
          <w:szCs w:val="20"/>
        </w:rPr>
        <w:tab/>
      </w:r>
      <w:r w:rsidR="00A95506" w:rsidRPr="002D2F67">
        <w:rPr>
          <w:rFonts w:ascii="Arial" w:hAnsi="Arial" w:cs="Arial"/>
          <w:color w:val="000000"/>
          <w:spacing w:val="-6"/>
          <w:sz w:val="20"/>
          <w:szCs w:val="20"/>
        </w:rPr>
        <w:t>Require the Company t</w:t>
      </w:r>
      <w:r w:rsidR="00BC0825" w:rsidRPr="002D2F67">
        <w:rPr>
          <w:rFonts w:ascii="Arial" w:hAnsi="Arial" w:cs="Arial"/>
          <w:color w:val="000000"/>
          <w:spacing w:val="-6"/>
          <w:sz w:val="20"/>
          <w:szCs w:val="20"/>
        </w:rPr>
        <w:t>o</w:t>
      </w:r>
      <w:r w:rsidRPr="002D2F67">
        <w:rPr>
          <w:rFonts w:ascii="Arial" w:hAnsi="Arial" w:cs="Arial"/>
          <w:color w:val="000000"/>
          <w:spacing w:val="-6"/>
          <w:sz w:val="20"/>
          <w:szCs w:val="20"/>
        </w:rPr>
        <w:t xml:space="preserve"> apply all income taxes arising from the tax law enacted or substantially enacted</w:t>
      </w:r>
      <w:r w:rsidRPr="002D2F67">
        <w:rPr>
          <w:rFonts w:ascii="Arial" w:hAnsi="Arial" w:cs="Arial"/>
          <w:color w:val="000000"/>
          <w:sz w:val="20"/>
          <w:szCs w:val="20"/>
        </w:rPr>
        <w:t xml:space="preserve"> to </w:t>
      </w:r>
      <w:r w:rsidRPr="002D2F67">
        <w:rPr>
          <w:rFonts w:ascii="Arial" w:hAnsi="Arial" w:cs="Arial"/>
          <w:color w:val="000000"/>
          <w:spacing w:val="-2"/>
          <w:sz w:val="20"/>
          <w:szCs w:val="20"/>
        </w:rPr>
        <w:t xml:space="preserve">implement the Pillar Two model rules published by the Organisation for Economic </w:t>
      </w:r>
      <w:r w:rsidR="003942C3" w:rsidRPr="002D2F67">
        <w:rPr>
          <w:rFonts w:ascii="Arial" w:hAnsi="Arial" w:cs="Arial"/>
          <w:color w:val="000000"/>
          <w:spacing w:val="-2"/>
          <w:sz w:val="20"/>
          <w:szCs w:val="20"/>
        </w:rPr>
        <w:br/>
      </w:r>
      <w:r w:rsidRPr="002D2F67">
        <w:rPr>
          <w:rFonts w:ascii="Arial" w:hAnsi="Arial" w:cs="Arial"/>
          <w:color w:val="000000"/>
          <w:spacing w:val="-2"/>
          <w:sz w:val="20"/>
          <w:szCs w:val="20"/>
        </w:rPr>
        <w:t>Co-operation</w:t>
      </w:r>
      <w:r w:rsidRPr="002D2F67">
        <w:rPr>
          <w:rFonts w:ascii="Arial" w:hAnsi="Arial" w:cs="Arial"/>
          <w:color w:val="000000"/>
          <w:sz w:val="20"/>
          <w:szCs w:val="20"/>
        </w:rPr>
        <w:t xml:space="preserve"> and Development (OECD), an international organisation.</w:t>
      </w:r>
    </w:p>
    <w:p w14:paraId="00BFCF0C" w14:textId="77777777" w:rsidR="003942C3" w:rsidRPr="002D2F67" w:rsidRDefault="003942C3" w:rsidP="00A70C0C">
      <w:pPr>
        <w:pStyle w:val="ListParagraph"/>
        <w:autoSpaceDE w:val="0"/>
        <w:autoSpaceDN w:val="0"/>
        <w:adjustRightInd w:val="0"/>
        <w:spacing w:after="0"/>
        <w:ind w:left="567"/>
        <w:jc w:val="thaiDistribute"/>
        <w:rPr>
          <w:rFonts w:ascii="Arial" w:hAnsi="Arial" w:cs="Arial"/>
          <w:sz w:val="16"/>
          <w:szCs w:val="16"/>
        </w:rPr>
      </w:pPr>
    </w:p>
    <w:p w14:paraId="41E13065" w14:textId="484008BC" w:rsidR="00BE5DEC" w:rsidRPr="002D2F67" w:rsidRDefault="00BE5DEC" w:rsidP="00BE5DEC">
      <w:pPr>
        <w:autoSpaceDE w:val="0"/>
        <w:autoSpaceDN w:val="0"/>
        <w:adjustRightInd w:val="0"/>
        <w:ind w:left="1080"/>
        <w:jc w:val="both"/>
        <w:rPr>
          <w:rFonts w:ascii="Arial" w:hAnsi="Arial" w:cs="Arial"/>
          <w:color w:val="000000"/>
          <w:sz w:val="20"/>
          <w:szCs w:val="20"/>
        </w:rPr>
      </w:pPr>
      <w:r w:rsidRPr="002D2F67">
        <w:rPr>
          <w:rFonts w:ascii="Arial" w:hAnsi="Arial" w:cs="Arial"/>
          <w:color w:val="000000"/>
          <w:spacing w:val="-4"/>
          <w:sz w:val="20"/>
          <w:szCs w:val="20"/>
        </w:rPr>
        <w:t xml:space="preserve">In December </w:t>
      </w:r>
      <w:r w:rsidR="00CD5714" w:rsidRPr="00CD5714">
        <w:rPr>
          <w:rFonts w:ascii="Arial" w:hAnsi="Arial" w:cs="Arial"/>
          <w:color w:val="000000"/>
          <w:spacing w:val="-4"/>
          <w:sz w:val="20"/>
          <w:szCs w:val="20"/>
          <w:lang w:val="en-GB"/>
        </w:rPr>
        <w:t>2021</w:t>
      </w:r>
      <w:r w:rsidRPr="002D2F67">
        <w:rPr>
          <w:rFonts w:ascii="Arial" w:hAnsi="Arial" w:cs="Arial"/>
          <w:color w:val="000000"/>
          <w:spacing w:val="-4"/>
          <w:sz w:val="20"/>
          <w:szCs w:val="20"/>
        </w:rPr>
        <w:t xml:space="preserve">, the OECD released the Pillar Two model rules </w:t>
      </w:r>
      <w:r w:rsidR="00A95506" w:rsidRPr="002D2F67">
        <w:rPr>
          <w:rFonts w:ascii="Arial" w:hAnsi="Arial" w:cs="Arial"/>
          <w:color w:val="000000"/>
          <w:spacing w:val="-4"/>
          <w:sz w:val="20"/>
          <w:szCs w:val="20"/>
        </w:rPr>
        <w:t>that</w:t>
      </w:r>
      <w:r w:rsidRPr="002D2F67">
        <w:rPr>
          <w:rFonts w:ascii="Arial" w:hAnsi="Arial" w:cs="Arial"/>
          <w:color w:val="000000"/>
          <w:spacing w:val="-4"/>
          <w:sz w:val="20"/>
          <w:szCs w:val="20"/>
        </w:rPr>
        <w:t xml:space="preserve"> apply the Global Anti-Base</w:t>
      </w:r>
      <w:r w:rsidRPr="002D2F67">
        <w:rPr>
          <w:rFonts w:ascii="Arial" w:hAnsi="Arial" w:cs="Arial"/>
          <w:color w:val="000000"/>
          <w:spacing w:val="-6"/>
          <w:sz w:val="20"/>
          <w:szCs w:val="20"/>
        </w:rPr>
        <w:t xml:space="preserve"> </w:t>
      </w:r>
      <w:r w:rsidRPr="002D2F67">
        <w:rPr>
          <w:rFonts w:ascii="Arial" w:hAnsi="Arial" w:cs="Arial"/>
          <w:color w:val="000000"/>
          <w:sz w:val="20"/>
          <w:szCs w:val="20"/>
        </w:rPr>
        <w:t>Erosion Proposal, or ‘GloBE’</w:t>
      </w:r>
      <w:r w:rsidRPr="002D2F67" w:rsidDel="00B95EE1">
        <w:rPr>
          <w:rFonts w:ascii="Arial" w:hAnsi="Arial" w:cs="Arial"/>
          <w:color w:val="000000"/>
          <w:sz w:val="20"/>
          <w:szCs w:val="20"/>
        </w:rPr>
        <w:t xml:space="preserve"> </w:t>
      </w:r>
      <w:r w:rsidRPr="002D2F67">
        <w:rPr>
          <w:rFonts w:ascii="Arial" w:hAnsi="Arial" w:cs="Arial"/>
          <w:color w:val="000000"/>
          <w:sz w:val="20"/>
          <w:szCs w:val="20"/>
        </w:rPr>
        <w:t xml:space="preserve">to reform </w:t>
      </w:r>
      <w:r w:rsidR="00A95506" w:rsidRPr="002D2F67">
        <w:rPr>
          <w:rFonts w:ascii="Arial" w:hAnsi="Arial" w:cs="Arial"/>
          <w:color w:val="000000"/>
          <w:sz w:val="20"/>
          <w:szCs w:val="20"/>
        </w:rPr>
        <w:t xml:space="preserve">the </w:t>
      </w:r>
      <w:r w:rsidRPr="002D2F67">
        <w:rPr>
          <w:rFonts w:ascii="Arial" w:hAnsi="Arial" w:cs="Arial"/>
          <w:color w:val="000000"/>
          <w:sz w:val="20"/>
          <w:szCs w:val="20"/>
        </w:rPr>
        <w:t xml:space="preserve">international corporate taxation. Large multinational </w:t>
      </w:r>
      <w:r w:rsidRPr="002D2F67">
        <w:rPr>
          <w:rFonts w:ascii="Arial" w:hAnsi="Arial" w:cs="Arial"/>
          <w:color w:val="000000"/>
          <w:spacing w:val="-2"/>
          <w:sz w:val="20"/>
          <w:szCs w:val="20"/>
        </w:rPr>
        <w:t xml:space="preserve">enterprises within the rules’ scope must calculate the GloBE effective tax rates for each territory </w:t>
      </w:r>
      <w:r w:rsidRPr="002D2F67">
        <w:rPr>
          <w:rFonts w:ascii="Arial" w:hAnsi="Arial" w:cs="Arial"/>
          <w:color w:val="000000"/>
          <w:spacing w:val="-10"/>
          <w:sz w:val="20"/>
          <w:szCs w:val="20"/>
        </w:rPr>
        <w:t xml:space="preserve">in which they operate and pay a top-up tax for the differences between these and the </w:t>
      </w:r>
      <w:r w:rsidR="00CD5714" w:rsidRPr="00CD5714">
        <w:rPr>
          <w:rFonts w:ascii="Arial" w:hAnsi="Arial" w:cs="Arial"/>
          <w:color w:val="000000"/>
          <w:spacing w:val="-10"/>
          <w:sz w:val="20"/>
          <w:szCs w:val="20"/>
          <w:lang w:val="en-GB"/>
        </w:rPr>
        <w:t>15</w:t>
      </w:r>
      <w:r w:rsidRPr="002D2F67">
        <w:rPr>
          <w:rFonts w:ascii="Arial" w:hAnsi="Arial" w:cs="Arial"/>
          <w:color w:val="000000"/>
          <w:spacing w:val="-10"/>
          <w:sz w:val="20"/>
          <w:szCs w:val="20"/>
        </w:rPr>
        <w:t>% minimum rate.</w:t>
      </w:r>
    </w:p>
    <w:p w14:paraId="770A742C" w14:textId="77777777" w:rsidR="00BE5DEC" w:rsidRPr="002D2F67" w:rsidRDefault="00BE5DEC" w:rsidP="00BE5DEC">
      <w:pPr>
        <w:autoSpaceDE w:val="0"/>
        <w:autoSpaceDN w:val="0"/>
        <w:adjustRightInd w:val="0"/>
        <w:ind w:left="1080"/>
        <w:jc w:val="both"/>
        <w:rPr>
          <w:rFonts w:ascii="Arial" w:hAnsi="Arial" w:cs="Arial"/>
          <w:color w:val="000000"/>
          <w:spacing w:val="-4"/>
          <w:sz w:val="16"/>
          <w:szCs w:val="16"/>
        </w:rPr>
      </w:pPr>
    </w:p>
    <w:p w14:paraId="6717A1E3" w14:textId="4E6072F6" w:rsidR="00BE5DEC" w:rsidRPr="002D2F67" w:rsidRDefault="00BE5DEC" w:rsidP="00BE5DEC">
      <w:pPr>
        <w:autoSpaceDE w:val="0"/>
        <w:autoSpaceDN w:val="0"/>
        <w:adjustRightInd w:val="0"/>
        <w:ind w:left="1080"/>
        <w:jc w:val="both"/>
        <w:rPr>
          <w:rFonts w:ascii="Arial" w:hAnsi="Arial" w:cs="Arial"/>
          <w:color w:val="000000"/>
          <w:spacing w:val="-4"/>
          <w:sz w:val="20"/>
          <w:szCs w:val="20"/>
        </w:rPr>
      </w:pPr>
      <w:r w:rsidRPr="002D2F67">
        <w:rPr>
          <w:rFonts w:ascii="Arial" w:hAnsi="Arial" w:cs="Arial"/>
          <w:color w:val="000000"/>
          <w:spacing w:val="-4"/>
          <w:sz w:val="20"/>
          <w:szCs w:val="20"/>
        </w:rPr>
        <w:t xml:space="preserve">In December </w:t>
      </w:r>
      <w:r w:rsidR="00CD5714" w:rsidRPr="00CD5714">
        <w:rPr>
          <w:rFonts w:ascii="Arial" w:hAnsi="Arial" w:cs="Arial"/>
          <w:color w:val="000000"/>
          <w:spacing w:val="-4"/>
          <w:sz w:val="20"/>
          <w:szCs w:val="20"/>
          <w:lang w:val="en-GB"/>
        </w:rPr>
        <w:t>2023</w:t>
      </w:r>
      <w:r w:rsidRPr="002D2F67">
        <w:rPr>
          <w:rFonts w:ascii="Arial" w:hAnsi="Arial" w:cs="Arial"/>
          <w:color w:val="000000"/>
          <w:spacing w:val="-4"/>
          <w:sz w:val="20"/>
          <w:szCs w:val="20"/>
        </w:rPr>
        <w:t xml:space="preserve">, the amendments to TAS </w:t>
      </w:r>
      <w:r w:rsidR="00CD5714" w:rsidRPr="00CD5714">
        <w:rPr>
          <w:rFonts w:ascii="Arial" w:hAnsi="Arial" w:cs="Arial"/>
          <w:color w:val="000000"/>
          <w:spacing w:val="-4"/>
          <w:sz w:val="20"/>
          <w:szCs w:val="20"/>
          <w:lang w:val="en-GB"/>
        </w:rPr>
        <w:t>12</w:t>
      </w:r>
      <w:r w:rsidRPr="002D2F67">
        <w:rPr>
          <w:rFonts w:ascii="Arial" w:hAnsi="Arial" w:cs="Arial"/>
          <w:color w:val="000000"/>
          <w:spacing w:val="-4"/>
          <w:sz w:val="20"/>
          <w:szCs w:val="20"/>
        </w:rPr>
        <w:t xml:space="preserve"> provide a temporary relief from the requirement to recognise and disclose deferred taxes </w:t>
      </w:r>
      <w:r w:rsidR="00550E15" w:rsidRPr="002D2F67">
        <w:rPr>
          <w:rFonts w:ascii="Arial" w:hAnsi="Arial" w:cs="Arial"/>
          <w:color w:val="000000"/>
          <w:spacing w:val="-4"/>
          <w:sz w:val="20"/>
          <w:szCs w:val="20"/>
        </w:rPr>
        <w:t xml:space="preserve">assets and liabilities </w:t>
      </w:r>
      <w:r w:rsidRPr="002D2F67">
        <w:rPr>
          <w:rFonts w:ascii="Arial" w:hAnsi="Arial" w:cs="Arial"/>
          <w:color w:val="000000"/>
          <w:spacing w:val="-4"/>
          <w:sz w:val="20"/>
          <w:szCs w:val="20"/>
        </w:rPr>
        <w:t xml:space="preserve">arising from enacted or substantially enacted tax law </w:t>
      </w:r>
      <w:r w:rsidR="00550E15" w:rsidRPr="002D2F67">
        <w:rPr>
          <w:rFonts w:ascii="Arial" w:hAnsi="Arial" w:cs="Arial"/>
          <w:color w:val="000000"/>
          <w:spacing w:val="-4"/>
          <w:sz w:val="20"/>
          <w:szCs w:val="20"/>
        </w:rPr>
        <w:t>resu</w:t>
      </w:r>
      <w:r w:rsidR="00672178" w:rsidRPr="002D2F67">
        <w:rPr>
          <w:rFonts w:ascii="Arial" w:hAnsi="Arial" w:cs="Arial"/>
          <w:color w:val="000000"/>
          <w:spacing w:val="-4"/>
          <w:sz w:val="20"/>
          <w:szCs w:val="20"/>
        </w:rPr>
        <w:t>lt from the implementation of</w:t>
      </w:r>
      <w:r w:rsidRPr="002D2F67">
        <w:rPr>
          <w:rFonts w:ascii="Arial" w:hAnsi="Arial" w:cs="Arial"/>
          <w:color w:val="000000"/>
          <w:spacing w:val="-4"/>
          <w:sz w:val="20"/>
          <w:szCs w:val="20"/>
        </w:rPr>
        <w:t xml:space="preserve"> the Pillar Two model rules, including tax law that implements qualified domestic minimum top-up taxes described in those rules. The amendments also require affected companies to disclose: </w:t>
      </w:r>
    </w:p>
    <w:p w14:paraId="10AA5C82" w14:textId="77777777" w:rsidR="00BE5DEC" w:rsidRPr="002D2F67" w:rsidRDefault="00BE5DEC" w:rsidP="00BE5DEC">
      <w:pPr>
        <w:autoSpaceDE w:val="0"/>
        <w:autoSpaceDN w:val="0"/>
        <w:adjustRightInd w:val="0"/>
        <w:ind w:left="1080"/>
        <w:jc w:val="both"/>
        <w:rPr>
          <w:rFonts w:ascii="Arial" w:hAnsi="Arial" w:cs="Arial"/>
          <w:color w:val="000000"/>
          <w:spacing w:val="-4"/>
          <w:sz w:val="16"/>
          <w:szCs w:val="16"/>
        </w:rPr>
      </w:pPr>
    </w:p>
    <w:p w14:paraId="72AB8EF0" w14:textId="55B14649" w:rsidR="00BE5DEC" w:rsidRPr="002D2F67" w:rsidRDefault="00BE5DEC" w:rsidP="1A000F6E">
      <w:pPr>
        <w:pStyle w:val="ListParagraph"/>
        <w:numPr>
          <w:ilvl w:val="0"/>
          <w:numId w:val="36"/>
        </w:numPr>
        <w:tabs>
          <w:tab w:val="left" w:pos="1620"/>
        </w:tabs>
        <w:autoSpaceDE w:val="0"/>
        <w:autoSpaceDN w:val="0"/>
        <w:adjustRightInd w:val="0"/>
        <w:spacing w:after="0" w:line="240" w:lineRule="auto"/>
        <w:ind w:left="1620" w:hanging="540"/>
        <w:jc w:val="both"/>
        <w:rPr>
          <w:rFonts w:ascii="Arial" w:hAnsi="Arial" w:cs="Arial"/>
          <w:color w:val="000000"/>
          <w:sz w:val="20"/>
          <w:szCs w:val="20"/>
        </w:rPr>
      </w:pPr>
      <w:r w:rsidRPr="002D2F67">
        <w:rPr>
          <w:rFonts w:ascii="Arial" w:hAnsi="Arial" w:cs="Arial"/>
          <w:color w:val="000000"/>
          <w:sz w:val="20"/>
          <w:szCs w:val="20"/>
        </w:rPr>
        <w:t>the fact that they have applied the exception to recognising and disclosing information about deferred tax assets and liabilities related to Pillar Two income taxes,</w:t>
      </w:r>
    </w:p>
    <w:p w14:paraId="3A97715E" w14:textId="77777777" w:rsidR="00BE5DEC" w:rsidRPr="002D2F67" w:rsidRDefault="00BE5DEC" w:rsidP="00BE5DEC">
      <w:pPr>
        <w:pStyle w:val="ListParagraph"/>
        <w:numPr>
          <w:ilvl w:val="0"/>
          <w:numId w:val="36"/>
        </w:numPr>
        <w:tabs>
          <w:tab w:val="left" w:pos="1620"/>
        </w:tabs>
        <w:autoSpaceDE w:val="0"/>
        <w:autoSpaceDN w:val="0"/>
        <w:adjustRightInd w:val="0"/>
        <w:spacing w:after="0" w:line="240" w:lineRule="auto"/>
        <w:ind w:left="1620" w:hanging="540"/>
        <w:contextualSpacing w:val="0"/>
        <w:jc w:val="both"/>
        <w:rPr>
          <w:rFonts w:ascii="Arial" w:hAnsi="Arial" w:cs="Arial"/>
          <w:color w:val="000000"/>
          <w:sz w:val="20"/>
          <w:szCs w:val="20"/>
        </w:rPr>
      </w:pPr>
      <w:r w:rsidRPr="002D2F67">
        <w:rPr>
          <w:rFonts w:ascii="Arial" w:hAnsi="Arial" w:cs="Arial"/>
          <w:color w:val="000000"/>
          <w:sz w:val="20"/>
          <w:szCs w:val="20"/>
        </w:rPr>
        <w:t>their current tax expense (if any) related to the Pillar Two income taxes, and</w:t>
      </w:r>
    </w:p>
    <w:p w14:paraId="5EE4F771" w14:textId="77777777" w:rsidR="00BE5DEC" w:rsidRPr="002D2F67" w:rsidRDefault="00BE5DEC" w:rsidP="1A000F6E">
      <w:pPr>
        <w:pStyle w:val="ListParagraph"/>
        <w:numPr>
          <w:ilvl w:val="0"/>
          <w:numId w:val="36"/>
        </w:numPr>
        <w:tabs>
          <w:tab w:val="left" w:pos="1620"/>
        </w:tabs>
        <w:autoSpaceDE w:val="0"/>
        <w:autoSpaceDN w:val="0"/>
        <w:adjustRightInd w:val="0"/>
        <w:spacing w:after="0" w:line="240" w:lineRule="auto"/>
        <w:ind w:left="1620" w:hanging="540"/>
        <w:jc w:val="both"/>
        <w:rPr>
          <w:rFonts w:ascii="Arial" w:hAnsi="Arial" w:cs="Arial"/>
          <w:color w:val="000000"/>
          <w:sz w:val="20"/>
          <w:szCs w:val="20"/>
        </w:rPr>
      </w:pPr>
      <w:r w:rsidRPr="002D2F67">
        <w:rPr>
          <w:rFonts w:ascii="Arial" w:hAnsi="Arial" w:cs="Arial"/>
          <w:color w:val="000000"/>
          <w:sz w:val="20"/>
          <w:szCs w:val="20"/>
        </w:rPr>
        <w:t xml:space="preserve">during the period between the legislation being enacted or substantially enacted and the </w:t>
      </w:r>
      <w:r w:rsidRPr="002D2F67">
        <w:rPr>
          <w:rFonts w:ascii="Arial" w:hAnsi="Arial" w:cs="Arial"/>
          <w:color w:val="000000"/>
          <w:spacing w:val="-2"/>
          <w:sz w:val="20"/>
          <w:szCs w:val="20"/>
        </w:rPr>
        <w:t>legislation becoming effective, known or reasonably estimable information that would help</w:t>
      </w:r>
      <w:r w:rsidRPr="002D2F67">
        <w:rPr>
          <w:rFonts w:ascii="Arial" w:hAnsi="Arial" w:cs="Arial"/>
          <w:color w:val="000000"/>
          <w:sz w:val="20"/>
          <w:szCs w:val="20"/>
        </w:rPr>
        <w:t xml:space="preserve"> </w:t>
      </w:r>
      <w:r w:rsidRPr="002D2F67">
        <w:rPr>
          <w:rFonts w:ascii="Arial" w:hAnsi="Arial" w:cs="Arial"/>
          <w:color w:val="000000"/>
          <w:spacing w:val="-4"/>
          <w:sz w:val="20"/>
          <w:szCs w:val="20"/>
        </w:rPr>
        <w:t>users of financial statements to understand an entity’s exposure to Pillar Two income taxes</w:t>
      </w:r>
      <w:r w:rsidRPr="002D2F67">
        <w:rPr>
          <w:rFonts w:ascii="Arial" w:hAnsi="Arial" w:cs="Arial"/>
          <w:color w:val="000000"/>
          <w:sz w:val="20"/>
          <w:szCs w:val="20"/>
        </w:rPr>
        <w:t xml:space="preserve"> </w:t>
      </w:r>
      <w:r w:rsidRPr="002D2F67">
        <w:rPr>
          <w:rFonts w:ascii="Arial" w:hAnsi="Arial" w:cs="Arial"/>
          <w:color w:val="000000"/>
          <w:spacing w:val="-4"/>
          <w:sz w:val="20"/>
          <w:szCs w:val="20"/>
        </w:rPr>
        <w:t>arising from that legislation. If this information is not known or reasonably estimable, entities</w:t>
      </w:r>
      <w:r w:rsidRPr="002D2F67">
        <w:rPr>
          <w:rFonts w:ascii="Arial" w:hAnsi="Arial" w:cs="Arial"/>
          <w:color w:val="000000"/>
          <w:sz w:val="20"/>
          <w:szCs w:val="20"/>
        </w:rPr>
        <w:t xml:space="preserve"> are instead required to disclose a statement to that effect and information about their progress in assessing the exposure. </w:t>
      </w:r>
    </w:p>
    <w:p w14:paraId="6D8748CA" w14:textId="77777777" w:rsidR="00245E9E" w:rsidRPr="002D2F67" w:rsidRDefault="00245E9E" w:rsidP="00A70C0C">
      <w:pPr>
        <w:pStyle w:val="ListParagraph"/>
        <w:autoSpaceDE w:val="0"/>
        <w:autoSpaceDN w:val="0"/>
        <w:adjustRightInd w:val="0"/>
        <w:spacing w:after="0"/>
        <w:ind w:left="567"/>
        <w:jc w:val="thaiDistribute"/>
        <w:rPr>
          <w:rFonts w:ascii="Arial" w:hAnsi="Arial" w:cs="Arial"/>
          <w:sz w:val="16"/>
          <w:szCs w:val="16"/>
        </w:rPr>
      </w:pPr>
    </w:p>
    <w:p w14:paraId="504EDC58" w14:textId="1510327D" w:rsidR="00245E9E" w:rsidRPr="002D2F67" w:rsidRDefault="00E82E4B" w:rsidP="00FB234E">
      <w:pPr>
        <w:ind w:left="540"/>
        <w:contextualSpacing/>
        <w:jc w:val="thaiDistribute"/>
        <w:rPr>
          <w:rFonts w:ascii="Arial" w:hAnsi="Arial" w:cs="Arial"/>
          <w:color w:val="000000"/>
          <w:sz w:val="20"/>
          <w:szCs w:val="20"/>
        </w:rPr>
      </w:pPr>
      <w:r w:rsidRPr="002D2F67">
        <w:rPr>
          <w:rFonts w:ascii="Arial" w:hAnsi="Arial" w:cs="Arial"/>
          <w:color w:val="000000"/>
          <w:spacing w:val="-4"/>
          <w:sz w:val="20"/>
          <w:szCs w:val="22"/>
        </w:rPr>
        <w:t>Beginning on</w:t>
      </w:r>
      <w:r w:rsidR="00245E9E" w:rsidRPr="002D2F67">
        <w:rPr>
          <w:rFonts w:ascii="Arial" w:hAnsi="Arial" w:cs="Arial"/>
          <w:color w:val="000000"/>
          <w:spacing w:val="-4"/>
          <w:sz w:val="20"/>
          <w:szCs w:val="22"/>
        </w:rPr>
        <w:t xml:space="preserve"> </w:t>
      </w:r>
      <w:r w:rsidR="00CD5714" w:rsidRPr="00CD5714">
        <w:rPr>
          <w:rFonts w:ascii="Arial" w:hAnsi="Arial" w:cs="Arial"/>
          <w:color w:val="000000"/>
          <w:spacing w:val="-4"/>
          <w:sz w:val="20"/>
          <w:szCs w:val="22"/>
          <w:lang w:val="en-GB"/>
        </w:rPr>
        <w:t>1</w:t>
      </w:r>
      <w:r w:rsidR="00245E9E" w:rsidRPr="002D2F67">
        <w:rPr>
          <w:rFonts w:ascii="Arial" w:hAnsi="Arial" w:cs="Arial"/>
          <w:color w:val="000000"/>
          <w:spacing w:val="-4"/>
          <w:sz w:val="20"/>
          <w:szCs w:val="22"/>
        </w:rPr>
        <w:t xml:space="preserve"> January </w:t>
      </w:r>
      <w:r w:rsidR="00CD5714" w:rsidRPr="00CD5714">
        <w:rPr>
          <w:rFonts w:ascii="Arial" w:hAnsi="Arial" w:cs="Arial"/>
          <w:color w:val="000000"/>
          <w:spacing w:val="-4"/>
          <w:sz w:val="20"/>
          <w:szCs w:val="22"/>
          <w:lang w:val="en-GB"/>
        </w:rPr>
        <w:t>2024</w:t>
      </w:r>
      <w:r w:rsidR="00245E9E" w:rsidRPr="002D2F67">
        <w:rPr>
          <w:rFonts w:ascii="Arial" w:hAnsi="Arial" w:cs="Arial"/>
          <w:color w:val="000000"/>
          <w:spacing w:val="-4"/>
          <w:sz w:val="20"/>
          <w:szCs w:val="22"/>
        </w:rPr>
        <w:t xml:space="preserve">, the Group has adopted the amended </w:t>
      </w:r>
      <w:r w:rsidRPr="002D2F67">
        <w:rPr>
          <w:rFonts w:ascii="Arial" w:hAnsi="Arial" w:cs="Arial"/>
          <w:color w:val="000000"/>
          <w:spacing w:val="-4"/>
          <w:sz w:val="20"/>
          <w:szCs w:val="22"/>
        </w:rPr>
        <w:t>Thai Financial Reporting Standards</w:t>
      </w:r>
      <w:r w:rsidRPr="002D2F67">
        <w:rPr>
          <w:rFonts w:ascii="Arial" w:hAnsi="Arial" w:cs="Arial"/>
          <w:color w:val="000000"/>
          <w:sz w:val="20"/>
          <w:szCs w:val="20"/>
        </w:rPr>
        <w:t xml:space="preserve"> which do</w:t>
      </w:r>
      <w:r w:rsidR="00245E9E" w:rsidRPr="002D2F67">
        <w:rPr>
          <w:rFonts w:ascii="Arial" w:hAnsi="Arial" w:cs="Arial"/>
          <w:color w:val="000000"/>
          <w:sz w:val="20"/>
          <w:szCs w:val="20"/>
        </w:rPr>
        <w:t xml:space="preserve"> not have </w:t>
      </w:r>
      <w:r w:rsidRPr="002D2F67">
        <w:rPr>
          <w:rFonts w:ascii="Arial" w:hAnsi="Arial" w:cs="Arial"/>
          <w:color w:val="000000"/>
          <w:sz w:val="20"/>
          <w:szCs w:val="20"/>
        </w:rPr>
        <w:t>material impact</w:t>
      </w:r>
      <w:r w:rsidR="00245E9E" w:rsidRPr="002D2F67">
        <w:rPr>
          <w:rFonts w:ascii="Arial" w:hAnsi="Arial" w:cs="Arial"/>
          <w:color w:val="000000"/>
          <w:sz w:val="20"/>
          <w:szCs w:val="20"/>
        </w:rPr>
        <w:t xml:space="preserve"> to the Group</w:t>
      </w:r>
      <w:r w:rsidRPr="002D2F67">
        <w:rPr>
          <w:rFonts w:ascii="Arial" w:hAnsi="Arial" w:cs="Arial"/>
          <w:color w:val="000000"/>
          <w:sz w:val="20"/>
          <w:szCs w:val="20"/>
        </w:rPr>
        <w:t>.</w:t>
      </w:r>
      <w:r w:rsidR="00245E9E" w:rsidRPr="002D2F67">
        <w:rPr>
          <w:rFonts w:ascii="Arial" w:hAnsi="Arial" w:cs="Arial"/>
          <w:color w:val="000000"/>
          <w:sz w:val="20"/>
          <w:szCs w:val="20"/>
        </w:rPr>
        <w:t xml:space="preserve"> </w:t>
      </w:r>
    </w:p>
    <w:p w14:paraId="5179BC3C" w14:textId="463731B9" w:rsidR="00326922" w:rsidRPr="002D2F67" w:rsidRDefault="00326922" w:rsidP="00A70C0C">
      <w:pPr>
        <w:pStyle w:val="ListParagraph"/>
        <w:autoSpaceDE w:val="0"/>
        <w:autoSpaceDN w:val="0"/>
        <w:adjustRightInd w:val="0"/>
        <w:spacing w:after="0"/>
        <w:ind w:left="567"/>
        <w:jc w:val="thaiDistribute"/>
        <w:rPr>
          <w:rFonts w:ascii="Arial" w:hAnsi="Arial" w:cs="Arial"/>
          <w:sz w:val="16"/>
          <w:szCs w:val="16"/>
        </w:rPr>
      </w:pPr>
    </w:p>
    <w:p w14:paraId="3E0B0969" w14:textId="0695D734" w:rsidR="00717411" w:rsidRPr="002D2F67" w:rsidRDefault="00CD5714" w:rsidP="005611FE">
      <w:pPr>
        <w:pStyle w:val="HeadSub1-5EA"/>
        <w:rPr>
          <w:rFonts w:ascii="Arial" w:hAnsi="Arial" w:cs="Arial"/>
          <w:color w:val="000000"/>
          <w:sz w:val="20"/>
          <w:szCs w:val="20"/>
        </w:rPr>
      </w:pPr>
      <w:r w:rsidRPr="00CD5714">
        <w:rPr>
          <w:rFonts w:ascii="Arial" w:hAnsi="Arial" w:cs="Arial"/>
          <w:color w:val="000000"/>
          <w:sz w:val="20"/>
          <w:szCs w:val="20"/>
          <w:lang w:val="en-GB"/>
        </w:rPr>
        <w:t>4</w:t>
      </w:r>
      <w:r w:rsidR="00717411" w:rsidRPr="002D2F67">
        <w:rPr>
          <w:rFonts w:ascii="Arial" w:hAnsi="Arial" w:cs="Arial"/>
          <w:color w:val="000000"/>
          <w:sz w:val="20"/>
          <w:szCs w:val="20"/>
        </w:rPr>
        <w:t>.</w:t>
      </w:r>
      <w:r w:rsidRPr="00CD5714">
        <w:rPr>
          <w:rFonts w:ascii="Arial" w:hAnsi="Arial" w:cs="Arial"/>
          <w:color w:val="000000"/>
          <w:sz w:val="20"/>
          <w:szCs w:val="20"/>
          <w:lang w:val="en-GB"/>
        </w:rPr>
        <w:t>2</w:t>
      </w:r>
      <w:r w:rsidR="00717411" w:rsidRPr="002D2F67">
        <w:rPr>
          <w:rFonts w:ascii="Arial" w:hAnsi="Arial" w:cs="Arial"/>
          <w:color w:val="000000"/>
          <w:sz w:val="20"/>
          <w:szCs w:val="20"/>
        </w:rPr>
        <w:tab/>
      </w:r>
      <w:r w:rsidR="00326922" w:rsidRPr="002D2F67">
        <w:rPr>
          <w:rFonts w:ascii="Arial" w:hAnsi="Arial" w:cs="Arial"/>
          <w:color w:val="000000"/>
          <w:sz w:val="20"/>
          <w:szCs w:val="20"/>
        </w:rPr>
        <w:t xml:space="preserve">Amended financial reporting standards that are effective for accounting period beginning or </w:t>
      </w:r>
      <w:r w:rsidR="00326922" w:rsidRPr="002D2F67">
        <w:rPr>
          <w:rFonts w:ascii="Arial" w:hAnsi="Arial" w:cs="Arial"/>
          <w:color w:val="000000"/>
          <w:spacing w:val="-4"/>
          <w:sz w:val="20"/>
          <w:szCs w:val="20"/>
        </w:rPr>
        <w:t xml:space="preserve">after </w:t>
      </w:r>
      <w:r w:rsidRPr="00CD5714">
        <w:rPr>
          <w:rFonts w:ascii="Arial" w:hAnsi="Arial" w:cs="Arial"/>
          <w:color w:val="000000"/>
          <w:spacing w:val="-4"/>
          <w:sz w:val="20"/>
          <w:szCs w:val="20"/>
          <w:lang w:val="en-GB"/>
        </w:rPr>
        <w:t>1</w:t>
      </w:r>
      <w:r w:rsidR="00326922" w:rsidRPr="002D2F67">
        <w:rPr>
          <w:rFonts w:ascii="Arial" w:hAnsi="Arial" w:cs="Arial"/>
          <w:color w:val="000000"/>
          <w:spacing w:val="-4"/>
          <w:sz w:val="20"/>
          <w:szCs w:val="20"/>
        </w:rPr>
        <w:t xml:space="preserve"> January </w:t>
      </w:r>
      <w:r w:rsidRPr="00CD5714">
        <w:rPr>
          <w:rFonts w:ascii="Arial" w:hAnsi="Arial" w:cs="Arial"/>
          <w:color w:val="000000"/>
          <w:spacing w:val="-4"/>
          <w:sz w:val="20"/>
          <w:szCs w:val="20"/>
          <w:lang w:val="en-GB"/>
        </w:rPr>
        <w:t>2025</w:t>
      </w:r>
      <w:r w:rsidR="00326922" w:rsidRPr="002D2F67">
        <w:rPr>
          <w:rFonts w:ascii="Arial" w:hAnsi="Arial" w:cs="Arial"/>
          <w:color w:val="000000"/>
          <w:spacing w:val="-4"/>
          <w:sz w:val="20"/>
          <w:szCs w:val="20"/>
        </w:rPr>
        <w:t xml:space="preserve"> and relevant to the Group.</w:t>
      </w:r>
    </w:p>
    <w:p w14:paraId="4874DD28" w14:textId="77777777" w:rsidR="00441040" w:rsidRPr="002D2F67" w:rsidRDefault="00441040" w:rsidP="00A70C0C">
      <w:pPr>
        <w:pStyle w:val="ListParagraph"/>
        <w:autoSpaceDE w:val="0"/>
        <w:autoSpaceDN w:val="0"/>
        <w:adjustRightInd w:val="0"/>
        <w:spacing w:after="0"/>
        <w:ind w:left="567"/>
        <w:jc w:val="thaiDistribute"/>
        <w:rPr>
          <w:rFonts w:ascii="Arial" w:hAnsi="Arial" w:cs="Arial"/>
          <w:sz w:val="16"/>
          <w:szCs w:val="16"/>
        </w:rPr>
      </w:pPr>
    </w:p>
    <w:p w14:paraId="704B9C20" w14:textId="4A67A809" w:rsidR="00BE5DEC" w:rsidRPr="002D2F67" w:rsidRDefault="00F22A2D" w:rsidP="005611FE">
      <w:pPr>
        <w:ind w:left="540"/>
        <w:contextualSpacing/>
        <w:jc w:val="thaiDistribute"/>
        <w:rPr>
          <w:rFonts w:ascii="Arial" w:hAnsi="Arial" w:cs="Arial"/>
          <w:b/>
          <w:bCs/>
          <w:color w:val="000000"/>
          <w:sz w:val="20"/>
          <w:szCs w:val="20"/>
          <w:cs/>
        </w:rPr>
      </w:pPr>
      <w:r w:rsidRPr="002D2F67">
        <w:rPr>
          <w:rFonts w:ascii="Arial" w:hAnsi="Arial" w:cs="Arial"/>
          <w:color w:val="000000"/>
          <w:sz w:val="20"/>
          <w:szCs w:val="20"/>
        </w:rPr>
        <w:t>The following amended TFRSs were not mandatory for the current reporting period and the Group has not early adopted them.</w:t>
      </w:r>
    </w:p>
    <w:p w14:paraId="6E26CEC7" w14:textId="77777777" w:rsidR="00BE5DEC" w:rsidRPr="002D2F67" w:rsidRDefault="00BE5DEC" w:rsidP="00A70C0C">
      <w:pPr>
        <w:pStyle w:val="ListParagraph"/>
        <w:autoSpaceDE w:val="0"/>
        <w:autoSpaceDN w:val="0"/>
        <w:adjustRightInd w:val="0"/>
        <w:spacing w:after="0"/>
        <w:ind w:left="567"/>
        <w:jc w:val="thaiDistribute"/>
        <w:rPr>
          <w:rFonts w:ascii="Arial" w:hAnsi="Arial" w:cs="Arial"/>
          <w:sz w:val="16"/>
          <w:szCs w:val="16"/>
        </w:rPr>
      </w:pPr>
    </w:p>
    <w:p w14:paraId="1E4F55B8" w14:textId="00C69D62" w:rsidR="00326922" w:rsidRPr="002D2F67" w:rsidRDefault="00CD5B67" w:rsidP="00CD5B67">
      <w:pPr>
        <w:numPr>
          <w:ilvl w:val="0"/>
          <w:numId w:val="39"/>
        </w:numPr>
        <w:jc w:val="thaiDistribute"/>
        <w:rPr>
          <w:rFonts w:ascii="Arial" w:hAnsi="Arial" w:cs="Arial"/>
          <w:color w:val="000000"/>
          <w:spacing w:val="2"/>
          <w:sz w:val="20"/>
          <w:szCs w:val="20"/>
        </w:rPr>
      </w:pPr>
      <w:r w:rsidRPr="002D2F67">
        <w:rPr>
          <w:rFonts w:ascii="Arial" w:hAnsi="Arial" w:cs="Arial"/>
          <w:b/>
          <w:bCs/>
          <w:sz w:val="20"/>
          <w:szCs w:val="20"/>
        </w:rPr>
        <w:t xml:space="preserve">Amendments to TAS </w:t>
      </w:r>
      <w:r w:rsidR="00CD5714" w:rsidRPr="00CD5714">
        <w:rPr>
          <w:rFonts w:ascii="Arial" w:hAnsi="Arial" w:cs="Arial"/>
          <w:b/>
          <w:bCs/>
          <w:sz w:val="20"/>
          <w:szCs w:val="20"/>
          <w:lang w:val="en-GB"/>
        </w:rPr>
        <w:t>1</w:t>
      </w:r>
      <w:r w:rsidRPr="002D2F67">
        <w:rPr>
          <w:rFonts w:ascii="Arial" w:hAnsi="Arial" w:cs="Arial"/>
          <w:b/>
          <w:bCs/>
          <w:sz w:val="20"/>
          <w:szCs w:val="20"/>
        </w:rPr>
        <w:t xml:space="preserve"> Presentation of Financial Statements</w:t>
      </w:r>
      <w:r w:rsidRPr="002D2F67">
        <w:rPr>
          <w:rFonts w:ascii="Arial" w:hAnsi="Arial" w:cs="Arial"/>
          <w:sz w:val="20"/>
          <w:szCs w:val="20"/>
        </w:rPr>
        <w:t xml:space="preserve"> clarified that liabilities are classified as either current or non-current, depending on the rights that exist at the end of the reporting period. </w:t>
      </w:r>
      <w:r w:rsidRPr="002D2F67">
        <w:rPr>
          <w:rFonts w:ascii="Arial" w:hAnsi="Arial" w:cs="Arial"/>
          <w:spacing w:val="-4"/>
          <w:sz w:val="20"/>
          <w:szCs w:val="20"/>
        </w:rPr>
        <w:t>Classification is unaffected by the entities’ expectations or events after the reporting period (for example,</w:t>
      </w:r>
      <w:r w:rsidRPr="002D2F67">
        <w:rPr>
          <w:rFonts w:ascii="Arial" w:hAnsi="Arial" w:cs="Arial"/>
          <w:sz w:val="20"/>
          <w:szCs w:val="20"/>
        </w:rPr>
        <w:t xml:space="preserve"> the receipt of a waiver or a breach of covenant)</w:t>
      </w:r>
      <w:r w:rsidR="00326922" w:rsidRPr="002D2F67">
        <w:rPr>
          <w:rFonts w:ascii="Arial" w:hAnsi="Arial" w:cs="Arial"/>
          <w:color w:val="000000"/>
          <w:spacing w:val="2"/>
          <w:sz w:val="20"/>
          <w:szCs w:val="20"/>
        </w:rPr>
        <w:t>.</w:t>
      </w:r>
    </w:p>
    <w:p w14:paraId="776EFEB0" w14:textId="77777777" w:rsidR="00CD5B67" w:rsidRPr="002D2F67" w:rsidRDefault="00CD5B67" w:rsidP="00A70C0C">
      <w:pPr>
        <w:pStyle w:val="ListParagraph"/>
        <w:autoSpaceDE w:val="0"/>
        <w:autoSpaceDN w:val="0"/>
        <w:adjustRightInd w:val="0"/>
        <w:spacing w:after="0"/>
        <w:ind w:left="567"/>
        <w:jc w:val="thaiDistribute"/>
        <w:rPr>
          <w:rFonts w:ascii="Arial" w:hAnsi="Arial" w:cs="Arial"/>
          <w:sz w:val="16"/>
          <w:szCs w:val="16"/>
        </w:rPr>
      </w:pPr>
    </w:p>
    <w:p w14:paraId="39A8BA3A" w14:textId="77777777" w:rsidR="0067498C" w:rsidRPr="002D2F67" w:rsidRDefault="0067498C" w:rsidP="0067498C">
      <w:pPr>
        <w:pStyle w:val="ListParagraph"/>
        <w:autoSpaceDE w:val="0"/>
        <w:autoSpaceDN w:val="0"/>
        <w:adjustRightInd w:val="0"/>
        <w:spacing w:after="0" w:line="240" w:lineRule="auto"/>
        <w:ind w:left="567"/>
        <w:jc w:val="thaiDistribute"/>
        <w:rPr>
          <w:rFonts w:ascii="Arial" w:hAnsi="Arial" w:cs="Arial"/>
          <w:sz w:val="20"/>
          <w:szCs w:val="20"/>
        </w:rPr>
      </w:pPr>
      <w:r w:rsidRPr="002D2F67">
        <w:rPr>
          <w:rFonts w:ascii="Arial" w:hAnsi="Arial" w:cs="Arial"/>
          <w:sz w:val="20"/>
          <w:szCs w:val="20"/>
        </w:rPr>
        <w:t>Covenants of loan arrangements will not affect classification of a liability as current or non-current at the end of reporting period if the entities must only comply with the covenants after the reporting period. However, if the entities must comply with a covenant either before or at the end of reporting period, this will affect the classification as current or non-current even if the covenant is only tested for compliance after the reporting period.</w:t>
      </w:r>
    </w:p>
    <w:p w14:paraId="18FD0C5A" w14:textId="77777777" w:rsidR="0067498C" w:rsidRPr="002D2F67" w:rsidRDefault="0067498C" w:rsidP="0067498C">
      <w:pPr>
        <w:pStyle w:val="ListParagraph"/>
        <w:autoSpaceDE w:val="0"/>
        <w:autoSpaceDN w:val="0"/>
        <w:adjustRightInd w:val="0"/>
        <w:spacing w:after="0" w:line="240" w:lineRule="auto"/>
        <w:ind w:left="567"/>
        <w:jc w:val="thaiDistribute"/>
        <w:rPr>
          <w:rFonts w:ascii="Arial" w:hAnsi="Arial" w:cs="Arial"/>
          <w:sz w:val="16"/>
          <w:szCs w:val="16"/>
        </w:rPr>
      </w:pPr>
    </w:p>
    <w:p w14:paraId="3ECFA4E6" w14:textId="1A33683F" w:rsidR="0067498C" w:rsidRPr="002D2F67" w:rsidRDefault="0067498C" w:rsidP="0067498C">
      <w:pPr>
        <w:pStyle w:val="ListParagraph"/>
        <w:autoSpaceDE w:val="0"/>
        <w:autoSpaceDN w:val="0"/>
        <w:adjustRightInd w:val="0"/>
        <w:spacing w:after="0" w:line="240" w:lineRule="auto"/>
        <w:ind w:left="567"/>
        <w:jc w:val="thaiDistribute"/>
        <w:rPr>
          <w:rFonts w:ascii="Arial" w:hAnsi="Arial" w:cs="Arial"/>
          <w:sz w:val="20"/>
          <w:szCs w:val="20"/>
        </w:rPr>
      </w:pPr>
      <w:r w:rsidRPr="002D2F67">
        <w:rPr>
          <w:rFonts w:ascii="Arial" w:hAnsi="Arial" w:cs="Arial"/>
          <w:sz w:val="20"/>
          <w:szCs w:val="20"/>
        </w:rPr>
        <w:t xml:space="preserve">The amendments require disclosures if entities classify a liability as non-current and that liability is subject to covenants with which the entities must comply within </w:t>
      </w:r>
      <w:r w:rsidR="00CD5714" w:rsidRPr="00CD5714">
        <w:rPr>
          <w:rFonts w:ascii="Arial" w:hAnsi="Arial" w:cs="Arial"/>
          <w:sz w:val="20"/>
          <w:szCs w:val="20"/>
          <w:lang w:val="en-GB"/>
        </w:rPr>
        <w:t>12</w:t>
      </w:r>
      <w:r w:rsidRPr="002D2F67">
        <w:rPr>
          <w:rFonts w:ascii="Arial" w:hAnsi="Arial" w:cs="Arial"/>
          <w:sz w:val="20"/>
          <w:szCs w:val="20"/>
        </w:rPr>
        <w:t xml:space="preserve"> months of the reporting period. The disclosures include: </w:t>
      </w:r>
    </w:p>
    <w:p w14:paraId="3EF5DAFB" w14:textId="77777777" w:rsidR="0067498C" w:rsidRPr="002D2F67" w:rsidRDefault="0067498C" w:rsidP="0067498C">
      <w:pPr>
        <w:numPr>
          <w:ilvl w:val="0"/>
          <w:numId w:val="40"/>
        </w:numPr>
        <w:shd w:val="clear" w:color="auto" w:fill="FFFFFF"/>
        <w:tabs>
          <w:tab w:val="clear" w:pos="720"/>
          <w:tab w:val="num" w:pos="851"/>
        </w:tabs>
        <w:ind w:left="851" w:hanging="284"/>
        <w:jc w:val="thaiDistribute"/>
        <w:textAlignment w:val="baseline"/>
        <w:rPr>
          <w:rFonts w:ascii="Arial" w:hAnsi="Arial" w:cs="Arial"/>
          <w:sz w:val="20"/>
          <w:szCs w:val="20"/>
        </w:rPr>
      </w:pPr>
      <w:r w:rsidRPr="002D2F67">
        <w:rPr>
          <w:rFonts w:ascii="Arial" w:hAnsi="Arial" w:cs="Arial"/>
          <w:sz w:val="20"/>
          <w:szCs w:val="20"/>
        </w:rPr>
        <w:t xml:space="preserve">the carrying amount of the </w:t>
      </w:r>
      <w:proofErr w:type="gramStart"/>
      <w:r w:rsidRPr="002D2F67">
        <w:rPr>
          <w:rFonts w:ascii="Arial" w:hAnsi="Arial" w:cs="Arial"/>
          <w:sz w:val="20"/>
          <w:szCs w:val="20"/>
        </w:rPr>
        <w:t>liability;</w:t>
      </w:r>
      <w:proofErr w:type="gramEnd"/>
    </w:p>
    <w:p w14:paraId="78DE9756" w14:textId="77777777" w:rsidR="0067498C" w:rsidRPr="002D2F67" w:rsidRDefault="0067498C" w:rsidP="0067498C">
      <w:pPr>
        <w:numPr>
          <w:ilvl w:val="0"/>
          <w:numId w:val="40"/>
        </w:numPr>
        <w:shd w:val="clear" w:color="auto" w:fill="FFFFFF"/>
        <w:tabs>
          <w:tab w:val="clear" w:pos="720"/>
          <w:tab w:val="num" w:pos="851"/>
        </w:tabs>
        <w:ind w:left="851" w:hanging="284"/>
        <w:jc w:val="thaiDistribute"/>
        <w:textAlignment w:val="baseline"/>
        <w:rPr>
          <w:rFonts w:ascii="Arial" w:hAnsi="Arial" w:cs="Arial"/>
          <w:sz w:val="20"/>
          <w:szCs w:val="20"/>
        </w:rPr>
      </w:pPr>
      <w:r w:rsidRPr="002D2F67">
        <w:rPr>
          <w:rFonts w:ascii="Arial" w:hAnsi="Arial" w:cs="Arial"/>
          <w:sz w:val="20"/>
          <w:szCs w:val="20"/>
        </w:rPr>
        <w:t>information about the covenants; and</w:t>
      </w:r>
    </w:p>
    <w:p w14:paraId="0E60BB60" w14:textId="3966709F" w:rsidR="0067498C" w:rsidRPr="002D2F67" w:rsidRDefault="0067498C" w:rsidP="0067498C">
      <w:pPr>
        <w:numPr>
          <w:ilvl w:val="0"/>
          <w:numId w:val="40"/>
        </w:numPr>
        <w:shd w:val="clear" w:color="auto" w:fill="FFFFFF"/>
        <w:tabs>
          <w:tab w:val="clear" w:pos="720"/>
          <w:tab w:val="num" w:pos="851"/>
        </w:tabs>
        <w:ind w:left="851" w:hanging="284"/>
        <w:jc w:val="thaiDistribute"/>
        <w:textAlignment w:val="baseline"/>
        <w:rPr>
          <w:rFonts w:ascii="Arial" w:hAnsi="Arial" w:cs="Arial"/>
          <w:sz w:val="20"/>
          <w:szCs w:val="20"/>
        </w:rPr>
      </w:pPr>
      <w:r w:rsidRPr="002D2F67">
        <w:rPr>
          <w:rFonts w:ascii="Arial" w:hAnsi="Arial" w:cs="Arial"/>
          <w:sz w:val="20"/>
          <w:szCs w:val="20"/>
        </w:rPr>
        <w:t>facts and circumstances, if any, that indicate that the entities might have difficulty</w:t>
      </w:r>
      <w:r w:rsidR="00C24203" w:rsidRPr="002D2F67">
        <w:rPr>
          <w:rFonts w:ascii="Arial" w:hAnsi="Arial" w:cs="Arial"/>
          <w:sz w:val="20"/>
          <w:szCs w:val="20"/>
        </w:rPr>
        <w:t xml:space="preserve"> in</w:t>
      </w:r>
      <w:r w:rsidRPr="002D2F67">
        <w:rPr>
          <w:rFonts w:ascii="Arial" w:hAnsi="Arial" w:cs="Arial"/>
          <w:sz w:val="20"/>
          <w:szCs w:val="20"/>
        </w:rPr>
        <w:t xml:space="preserve"> complying with the covenants.</w:t>
      </w:r>
    </w:p>
    <w:p w14:paraId="3001128A" w14:textId="77777777" w:rsidR="0067498C" w:rsidRPr="002D2F67" w:rsidRDefault="0067498C" w:rsidP="0067498C">
      <w:pPr>
        <w:shd w:val="clear" w:color="auto" w:fill="FFFFFF"/>
        <w:ind w:left="567"/>
        <w:jc w:val="thaiDistribute"/>
        <w:textAlignment w:val="baseline"/>
        <w:rPr>
          <w:rFonts w:ascii="Arial" w:hAnsi="Arial" w:cs="Arial"/>
          <w:sz w:val="16"/>
          <w:szCs w:val="16"/>
        </w:rPr>
      </w:pPr>
    </w:p>
    <w:p w14:paraId="3431089B" w14:textId="1AEBC5CB" w:rsidR="0067498C" w:rsidRPr="002D2F67" w:rsidRDefault="0067498C" w:rsidP="003942C3">
      <w:pPr>
        <w:ind w:left="567"/>
        <w:jc w:val="thaiDistribute"/>
        <w:rPr>
          <w:rFonts w:ascii="Arial" w:hAnsi="Arial" w:cs="Arial"/>
          <w:color w:val="000000"/>
          <w:sz w:val="20"/>
          <w:szCs w:val="20"/>
        </w:rPr>
      </w:pPr>
      <w:r w:rsidRPr="002D2F67">
        <w:rPr>
          <w:rFonts w:ascii="Arial" w:hAnsi="Arial" w:cs="Arial"/>
          <w:color w:val="000000"/>
          <w:sz w:val="20"/>
          <w:szCs w:val="20"/>
        </w:rPr>
        <w:t xml:space="preserve">The amendments also clarify what TAS </w:t>
      </w:r>
      <w:r w:rsidR="00CD5714" w:rsidRPr="00CD5714">
        <w:rPr>
          <w:rFonts w:ascii="Arial" w:hAnsi="Arial" w:cs="Arial"/>
          <w:color w:val="000000"/>
          <w:sz w:val="20"/>
          <w:szCs w:val="20"/>
          <w:lang w:val="en-GB"/>
        </w:rPr>
        <w:t>1</w:t>
      </w:r>
      <w:r w:rsidRPr="002D2F67">
        <w:rPr>
          <w:rFonts w:ascii="Arial" w:hAnsi="Arial" w:cs="Arial"/>
          <w:color w:val="000000"/>
          <w:sz w:val="20"/>
          <w:szCs w:val="20"/>
        </w:rPr>
        <w:t xml:space="preserve"> means when it refers to the ‘settlement’ of a liability. Terms of a liability that could, at the option of the counterparty, result in its settlement by the transfer of the entities’ own equity instrument can only be ignored for the purpose of classifying the liability as current or non-current if the entities classify the option as an equity instrument.</w:t>
      </w:r>
    </w:p>
    <w:p w14:paraId="525A21A3" w14:textId="2C552986" w:rsidR="003942C3" w:rsidRPr="002D2F67" w:rsidRDefault="003942C3" w:rsidP="003942C3">
      <w:pPr>
        <w:pStyle w:val="ListParagraph"/>
        <w:autoSpaceDE w:val="0"/>
        <w:autoSpaceDN w:val="0"/>
        <w:adjustRightInd w:val="0"/>
        <w:spacing w:after="0"/>
        <w:ind w:left="567"/>
        <w:jc w:val="thaiDistribute"/>
        <w:rPr>
          <w:rFonts w:ascii="Arial" w:hAnsi="Arial" w:cs="Arial"/>
          <w:sz w:val="16"/>
          <w:szCs w:val="16"/>
        </w:rPr>
      </w:pPr>
    </w:p>
    <w:p w14:paraId="06A82EBB" w14:textId="354ABBA4" w:rsidR="00CD5B67" w:rsidRPr="002D2F67" w:rsidRDefault="0067498C" w:rsidP="0067498C">
      <w:pPr>
        <w:ind w:left="567"/>
        <w:jc w:val="thaiDistribute"/>
        <w:rPr>
          <w:rFonts w:ascii="Arial" w:hAnsi="Arial" w:cs="Arial"/>
          <w:color w:val="000000"/>
          <w:spacing w:val="2"/>
          <w:sz w:val="20"/>
          <w:szCs w:val="20"/>
        </w:rPr>
      </w:pPr>
      <w:r w:rsidRPr="002D2F67">
        <w:rPr>
          <w:rFonts w:ascii="Arial" w:hAnsi="Arial" w:cs="Arial"/>
          <w:sz w:val="20"/>
          <w:szCs w:val="20"/>
        </w:rPr>
        <w:t xml:space="preserve">The amendments must be applied retrospectively in accordance with the normal requirements in TAS </w:t>
      </w:r>
      <w:r w:rsidR="00CD5714" w:rsidRPr="00CD5714">
        <w:rPr>
          <w:rFonts w:ascii="Arial" w:hAnsi="Arial" w:cs="Arial"/>
          <w:sz w:val="20"/>
          <w:szCs w:val="20"/>
          <w:lang w:val="en-GB"/>
        </w:rPr>
        <w:t>8</w:t>
      </w:r>
      <w:r w:rsidRPr="002D2F67">
        <w:rPr>
          <w:rFonts w:ascii="Arial" w:hAnsi="Arial" w:cs="Arial"/>
          <w:sz w:val="20"/>
          <w:szCs w:val="20"/>
        </w:rPr>
        <w:t xml:space="preserve"> Accounting Policies, Changes in Accounting Estimates and Errors.</w:t>
      </w:r>
    </w:p>
    <w:p w14:paraId="03A37E85" w14:textId="6C5662B5" w:rsidR="00CD5B67" w:rsidRPr="002D2F67" w:rsidRDefault="00A70C0C" w:rsidP="00CD5B67">
      <w:pPr>
        <w:jc w:val="thaiDistribute"/>
        <w:rPr>
          <w:rFonts w:ascii="Arial" w:hAnsi="Arial" w:cs="Arial"/>
          <w:color w:val="000000"/>
          <w:spacing w:val="2"/>
          <w:sz w:val="20"/>
          <w:szCs w:val="20"/>
        </w:rPr>
      </w:pPr>
      <w:r w:rsidRPr="002D2F67">
        <w:rPr>
          <w:rFonts w:ascii="Arial" w:hAnsi="Arial" w:cs="Arial"/>
          <w:color w:val="000000"/>
          <w:spacing w:val="2"/>
          <w:sz w:val="20"/>
          <w:szCs w:val="20"/>
        </w:rPr>
        <w:br w:type="page"/>
      </w:r>
    </w:p>
    <w:p w14:paraId="64762000" w14:textId="305C7FED" w:rsidR="00E77789"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5</w:t>
      </w:r>
      <w:r w:rsidR="00E77789" w:rsidRPr="002D2F67">
        <w:rPr>
          <w:rFonts w:ascii="Arial" w:hAnsi="Arial" w:cs="Arial"/>
          <w:b/>
          <w:bCs/>
          <w:color w:val="000000"/>
          <w:kern w:val="26"/>
          <w:position w:val="-24"/>
          <w:sz w:val="20"/>
          <w:szCs w:val="20"/>
          <w:cs/>
        </w:rPr>
        <w:tab/>
      </w:r>
      <w:r w:rsidR="00E77789" w:rsidRPr="002D2F67">
        <w:rPr>
          <w:rFonts w:ascii="Arial" w:hAnsi="Arial" w:cs="Arial"/>
          <w:b/>
          <w:bCs/>
          <w:color w:val="000000"/>
          <w:kern w:val="26"/>
          <w:position w:val="-24"/>
          <w:sz w:val="20"/>
          <w:szCs w:val="20"/>
        </w:rPr>
        <w:t>Accounting policies</w:t>
      </w:r>
    </w:p>
    <w:p w14:paraId="683FCA5C" w14:textId="77777777" w:rsidR="00925C30" w:rsidRPr="002D2F67" w:rsidRDefault="00925C30" w:rsidP="005611FE">
      <w:pPr>
        <w:jc w:val="both"/>
        <w:rPr>
          <w:rFonts w:ascii="Arial" w:hAnsi="Arial" w:cs="Arial"/>
          <w:color w:val="000000"/>
          <w:sz w:val="18"/>
          <w:szCs w:val="18"/>
        </w:rPr>
      </w:pPr>
    </w:p>
    <w:p w14:paraId="724317FD" w14:textId="48971D66" w:rsidR="00925C30" w:rsidRPr="002D2F67" w:rsidRDefault="00925C30" w:rsidP="005611FE">
      <w:pPr>
        <w:jc w:val="both"/>
        <w:rPr>
          <w:rFonts w:ascii="Arial" w:hAnsi="Arial" w:cs="Arial"/>
          <w:color w:val="000000"/>
          <w:sz w:val="20"/>
          <w:szCs w:val="20"/>
        </w:rPr>
      </w:pPr>
      <w:r w:rsidRPr="002D2F67">
        <w:rPr>
          <w:rFonts w:ascii="Arial" w:hAnsi="Arial" w:cs="Arial"/>
          <w:color w:val="000000"/>
          <w:spacing w:val="-6"/>
          <w:sz w:val="20"/>
          <w:szCs w:val="20"/>
        </w:rPr>
        <w:t xml:space="preserve">The </w:t>
      </w:r>
      <w:r w:rsidR="009C2E58">
        <w:rPr>
          <w:rFonts w:ascii="Arial" w:hAnsi="Arial" w:cs="Browallia New"/>
          <w:color w:val="000000"/>
          <w:spacing w:val="-6"/>
          <w:sz w:val="20"/>
          <w:szCs w:val="25"/>
        </w:rPr>
        <w:t>material</w:t>
      </w:r>
      <w:r w:rsidRPr="002D2F67">
        <w:rPr>
          <w:rFonts w:ascii="Arial" w:hAnsi="Arial" w:cs="Arial"/>
          <w:color w:val="000000"/>
          <w:spacing w:val="-6"/>
          <w:sz w:val="20"/>
          <w:szCs w:val="20"/>
        </w:rPr>
        <w:t xml:space="preserve"> accounting policies </w:t>
      </w:r>
      <w:r w:rsidR="008B7319" w:rsidRPr="002D2F67">
        <w:rPr>
          <w:rFonts w:ascii="Arial" w:hAnsi="Arial" w:cs="Arial"/>
          <w:color w:val="000000"/>
          <w:spacing w:val="-6"/>
          <w:sz w:val="20"/>
          <w:szCs w:val="20"/>
        </w:rPr>
        <w:t>used for</w:t>
      </w:r>
      <w:r w:rsidRPr="002D2F67">
        <w:rPr>
          <w:rFonts w:ascii="Arial" w:hAnsi="Arial" w:cs="Arial"/>
          <w:color w:val="000000"/>
          <w:spacing w:val="-6"/>
          <w:sz w:val="20"/>
          <w:szCs w:val="20"/>
        </w:rPr>
        <w:t xml:space="preserve"> the preparation of </w:t>
      </w:r>
      <w:r w:rsidR="008B7319" w:rsidRPr="002D2F67">
        <w:rPr>
          <w:rFonts w:ascii="Arial" w:hAnsi="Arial" w:cs="Arial"/>
          <w:color w:val="000000"/>
          <w:spacing w:val="-6"/>
          <w:sz w:val="20"/>
          <w:szCs w:val="20"/>
        </w:rPr>
        <w:t>the</w:t>
      </w:r>
      <w:r w:rsidRPr="002D2F67">
        <w:rPr>
          <w:rFonts w:ascii="Arial" w:hAnsi="Arial" w:cs="Arial"/>
          <w:color w:val="000000"/>
          <w:spacing w:val="-6"/>
          <w:sz w:val="20"/>
          <w:szCs w:val="20"/>
        </w:rPr>
        <w:t xml:space="preserve"> consolidated and separate financial statement</w:t>
      </w:r>
      <w:r w:rsidRPr="002D2F67">
        <w:rPr>
          <w:rFonts w:ascii="Arial" w:hAnsi="Arial" w:cs="Arial"/>
          <w:color w:val="000000"/>
          <w:sz w:val="20"/>
          <w:szCs w:val="20"/>
        </w:rPr>
        <w:t xml:space="preserve">s are </w:t>
      </w:r>
      <w:r w:rsidR="008B7319" w:rsidRPr="002D2F67">
        <w:rPr>
          <w:rFonts w:ascii="Arial" w:hAnsi="Arial" w:cs="Arial"/>
          <w:color w:val="000000"/>
          <w:sz w:val="20"/>
          <w:szCs w:val="20"/>
        </w:rPr>
        <w:t>as follows</w:t>
      </w:r>
      <w:r w:rsidRPr="002D2F67">
        <w:rPr>
          <w:rFonts w:ascii="Arial" w:hAnsi="Arial" w:cs="Arial"/>
          <w:color w:val="000000"/>
          <w:sz w:val="20"/>
          <w:szCs w:val="20"/>
        </w:rPr>
        <w:t>:</w:t>
      </w:r>
    </w:p>
    <w:p w14:paraId="12FC4CAF" w14:textId="77777777" w:rsidR="00B24397" w:rsidRPr="002D2F67" w:rsidRDefault="00B24397" w:rsidP="005611FE">
      <w:pPr>
        <w:jc w:val="both"/>
        <w:rPr>
          <w:rFonts w:ascii="Arial" w:hAnsi="Arial" w:cs="Arial"/>
          <w:color w:val="000000"/>
          <w:sz w:val="18"/>
          <w:szCs w:val="18"/>
        </w:rPr>
      </w:pPr>
    </w:p>
    <w:p w14:paraId="74168E24" w14:textId="2A752592" w:rsidR="00FE37B6" w:rsidRPr="002D2F67" w:rsidRDefault="00CD5714" w:rsidP="005611FE">
      <w:pPr>
        <w:pStyle w:val="HeadSub1-5EA"/>
        <w:rPr>
          <w:rFonts w:ascii="Arial" w:hAnsi="Arial" w:cs="Arial"/>
          <w:color w:val="000000"/>
          <w:sz w:val="20"/>
          <w:szCs w:val="20"/>
        </w:rPr>
      </w:pPr>
      <w:r w:rsidRPr="00CD5714">
        <w:rPr>
          <w:rFonts w:ascii="Arial" w:hAnsi="Arial" w:cs="Arial"/>
          <w:color w:val="000000"/>
          <w:sz w:val="20"/>
          <w:szCs w:val="20"/>
          <w:lang w:val="en-GB"/>
        </w:rPr>
        <w:t>5</w:t>
      </w:r>
      <w:r w:rsidR="00FE37B6" w:rsidRPr="002D2F67">
        <w:rPr>
          <w:rFonts w:ascii="Arial" w:hAnsi="Arial" w:cs="Arial"/>
          <w:color w:val="000000"/>
          <w:sz w:val="20"/>
          <w:szCs w:val="20"/>
        </w:rPr>
        <w:t>.</w:t>
      </w:r>
      <w:r w:rsidRPr="00CD5714">
        <w:rPr>
          <w:rFonts w:ascii="Arial" w:hAnsi="Arial" w:cs="Arial"/>
          <w:color w:val="000000"/>
          <w:sz w:val="20"/>
          <w:szCs w:val="20"/>
          <w:lang w:val="en-GB"/>
        </w:rPr>
        <w:t>1</w:t>
      </w:r>
      <w:r w:rsidR="00FE37B6" w:rsidRPr="002D2F67">
        <w:rPr>
          <w:rFonts w:ascii="Arial" w:hAnsi="Arial" w:cs="Arial"/>
          <w:color w:val="000000"/>
          <w:sz w:val="20"/>
          <w:szCs w:val="20"/>
        </w:rPr>
        <w:tab/>
      </w:r>
      <w:r w:rsidR="00925C30" w:rsidRPr="002D2F67">
        <w:rPr>
          <w:rFonts w:ascii="Arial" w:hAnsi="Arial" w:cs="Arial"/>
          <w:color w:val="000000"/>
          <w:sz w:val="20"/>
          <w:szCs w:val="20"/>
        </w:rPr>
        <w:t>Principle of consolidation</w:t>
      </w:r>
      <w:r w:rsidR="00FE37B6" w:rsidRPr="002D2F67">
        <w:rPr>
          <w:rFonts w:ascii="Arial" w:hAnsi="Arial" w:cs="Arial"/>
          <w:color w:val="000000"/>
          <w:sz w:val="20"/>
          <w:szCs w:val="20"/>
        </w:rPr>
        <w:t xml:space="preserve"> </w:t>
      </w:r>
    </w:p>
    <w:p w14:paraId="2058009A" w14:textId="77777777" w:rsidR="00FE37B6" w:rsidRPr="002D2F67" w:rsidRDefault="00FE37B6" w:rsidP="005611FE">
      <w:pPr>
        <w:ind w:left="1080" w:hanging="540"/>
        <w:rPr>
          <w:rFonts w:ascii="Arial" w:hAnsi="Arial" w:cs="Arial"/>
          <w:color w:val="000000"/>
          <w:sz w:val="18"/>
          <w:szCs w:val="18"/>
        </w:rPr>
      </w:pPr>
    </w:p>
    <w:p w14:paraId="6B1BE1CB" w14:textId="0AC1B347" w:rsidR="00FE37B6" w:rsidRPr="002D2F67" w:rsidRDefault="00CD5714" w:rsidP="005611FE">
      <w:pPr>
        <w:pStyle w:val="HeadSub1-5EA"/>
        <w:ind w:left="544" w:hanging="544"/>
        <w:outlineLvl w:val="2"/>
        <w:rPr>
          <w:rFonts w:ascii="Arial" w:hAnsi="Arial" w:cs="Arial"/>
          <w:b w:val="0"/>
          <w:bCs w:val="0"/>
          <w:color w:val="000000"/>
          <w:sz w:val="20"/>
          <w:szCs w:val="20"/>
        </w:rPr>
      </w:pPr>
      <w:r w:rsidRPr="00CD5714">
        <w:rPr>
          <w:rFonts w:ascii="Arial" w:hAnsi="Arial" w:cs="Arial"/>
          <w:b w:val="0"/>
          <w:bCs w:val="0"/>
          <w:color w:val="000000"/>
          <w:sz w:val="20"/>
          <w:szCs w:val="20"/>
          <w:lang w:val="en-GB"/>
        </w:rPr>
        <w:t>5</w:t>
      </w:r>
      <w:r w:rsidR="00FE37B6" w:rsidRPr="002D2F67">
        <w:rPr>
          <w:rFonts w:ascii="Arial" w:hAnsi="Arial" w:cs="Arial"/>
          <w:b w:val="0"/>
          <w:bCs w:val="0"/>
          <w:color w:val="000000"/>
          <w:sz w:val="20"/>
          <w:szCs w:val="20"/>
        </w:rPr>
        <w:t>.</w:t>
      </w:r>
      <w:r w:rsidRPr="00CD5714">
        <w:rPr>
          <w:rFonts w:ascii="Arial" w:hAnsi="Arial" w:cs="Arial"/>
          <w:b w:val="0"/>
          <w:bCs w:val="0"/>
          <w:color w:val="000000"/>
          <w:sz w:val="20"/>
          <w:szCs w:val="20"/>
          <w:lang w:val="en-GB"/>
        </w:rPr>
        <w:t>1</w:t>
      </w:r>
      <w:r w:rsidR="00FE37B6" w:rsidRPr="002D2F67">
        <w:rPr>
          <w:rFonts w:ascii="Arial" w:hAnsi="Arial" w:cs="Arial"/>
          <w:b w:val="0"/>
          <w:bCs w:val="0"/>
          <w:color w:val="000000"/>
          <w:sz w:val="20"/>
          <w:szCs w:val="20"/>
        </w:rPr>
        <w:t>.</w:t>
      </w:r>
      <w:r w:rsidRPr="00CD5714">
        <w:rPr>
          <w:rFonts w:ascii="Arial" w:hAnsi="Arial" w:cs="Arial"/>
          <w:b w:val="0"/>
          <w:bCs w:val="0"/>
          <w:color w:val="000000"/>
          <w:sz w:val="20"/>
          <w:szCs w:val="20"/>
          <w:lang w:val="en-GB"/>
        </w:rPr>
        <w:t>1</w:t>
      </w:r>
      <w:r w:rsidR="00FE37B6" w:rsidRPr="002D2F67">
        <w:rPr>
          <w:rFonts w:ascii="Arial" w:hAnsi="Arial" w:cs="Arial"/>
          <w:b w:val="0"/>
          <w:bCs w:val="0"/>
          <w:color w:val="000000"/>
          <w:sz w:val="20"/>
          <w:szCs w:val="20"/>
        </w:rPr>
        <w:tab/>
        <w:t>Subsidiaries</w:t>
      </w:r>
    </w:p>
    <w:p w14:paraId="27B21E63" w14:textId="77777777" w:rsidR="00842D47" w:rsidRPr="002D2F67" w:rsidRDefault="00842D47" w:rsidP="005611FE">
      <w:pPr>
        <w:ind w:left="540"/>
        <w:jc w:val="thaiDistribute"/>
        <w:rPr>
          <w:rFonts w:ascii="Arial" w:hAnsi="Arial" w:cs="Arial"/>
          <w:color w:val="000000"/>
          <w:sz w:val="20"/>
          <w:szCs w:val="20"/>
        </w:rPr>
      </w:pPr>
    </w:p>
    <w:p w14:paraId="77447655" w14:textId="77777777" w:rsidR="00FE37B6" w:rsidRPr="002D2F67" w:rsidRDefault="00FE37B6" w:rsidP="005611FE">
      <w:pPr>
        <w:ind w:left="540"/>
        <w:jc w:val="thaiDistribute"/>
        <w:rPr>
          <w:rFonts w:ascii="Arial" w:hAnsi="Arial" w:cs="Arial"/>
          <w:color w:val="000000"/>
          <w:sz w:val="20"/>
          <w:szCs w:val="20"/>
        </w:rPr>
      </w:pPr>
      <w:r w:rsidRPr="002D2F67">
        <w:rPr>
          <w:rFonts w:ascii="Arial" w:hAnsi="Arial" w:cs="Arial"/>
          <w:color w:val="000000"/>
          <w:sz w:val="20"/>
          <w:szCs w:val="20"/>
        </w:rPr>
        <w:t xml:space="preserve">Subsidiaries are all entities over which the Group has control. The Group controls an entity when the Group is exposed to, or has rights to, variable returns from its involvement with the entity and </w:t>
      </w:r>
      <w:proofErr w:type="gramStart"/>
      <w:r w:rsidRPr="002D2F67">
        <w:rPr>
          <w:rFonts w:ascii="Arial" w:hAnsi="Arial" w:cs="Arial"/>
          <w:color w:val="000000"/>
          <w:sz w:val="20"/>
          <w:szCs w:val="20"/>
        </w:rPr>
        <w:t>has the ability to</w:t>
      </w:r>
      <w:proofErr w:type="gramEnd"/>
      <w:r w:rsidRPr="002D2F67">
        <w:rPr>
          <w:rFonts w:ascii="Arial" w:hAnsi="Arial" w:cs="Arial"/>
          <w:color w:val="000000"/>
          <w:sz w:val="20"/>
          <w:szCs w:val="20"/>
        </w:rPr>
        <w:t xml:space="preserve"> affect those returns th</w:t>
      </w:r>
      <w:r w:rsidR="006D6314" w:rsidRPr="002D2F67">
        <w:rPr>
          <w:rFonts w:ascii="Arial" w:hAnsi="Arial" w:cs="Arial"/>
          <w:color w:val="000000"/>
          <w:sz w:val="20"/>
          <w:szCs w:val="20"/>
        </w:rPr>
        <w:t>r</w:t>
      </w:r>
      <w:r w:rsidRPr="002D2F67">
        <w:rPr>
          <w:rFonts w:ascii="Arial" w:hAnsi="Arial" w:cs="Arial"/>
          <w:color w:val="000000"/>
          <w:sz w:val="20"/>
          <w:szCs w:val="20"/>
        </w:rPr>
        <w:t>ough its power over the entity. Subsidiaries are consolidated from the date on which control is transferred to the Group</w:t>
      </w:r>
      <w:r w:rsidR="00557D7D" w:rsidRPr="002D2F67">
        <w:rPr>
          <w:rFonts w:ascii="Arial" w:hAnsi="Arial" w:cs="Arial"/>
          <w:color w:val="000000"/>
          <w:sz w:val="20"/>
          <w:szCs w:val="20"/>
        </w:rPr>
        <w:t xml:space="preserve"> until </w:t>
      </w:r>
      <w:r w:rsidRPr="002D2F67">
        <w:rPr>
          <w:rFonts w:ascii="Arial" w:hAnsi="Arial" w:cs="Arial"/>
          <w:color w:val="000000"/>
          <w:sz w:val="20"/>
          <w:szCs w:val="20"/>
        </w:rPr>
        <w:t>the date that control ceases.</w:t>
      </w:r>
    </w:p>
    <w:p w14:paraId="187C87D4" w14:textId="77777777" w:rsidR="00FE37B6" w:rsidRPr="002D2F67" w:rsidRDefault="00FE37B6" w:rsidP="005611FE">
      <w:pPr>
        <w:ind w:left="540"/>
        <w:jc w:val="thaiDistribute"/>
        <w:rPr>
          <w:rFonts w:ascii="Arial" w:hAnsi="Arial" w:cs="Arial"/>
          <w:color w:val="000000"/>
          <w:sz w:val="18"/>
          <w:szCs w:val="18"/>
        </w:rPr>
      </w:pPr>
    </w:p>
    <w:p w14:paraId="7C7387AF" w14:textId="77777777" w:rsidR="00FE37B6" w:rsidRPr="002D2F67" w:rsidRDefault="00925C30" w:rsidP="005611FE">
      <w:pPr>
        <w:ind w:left="540"/>
        <w:jc w:val="thaiDistribute"/>
        <w:rPr>
          <w:rFonts w:ascii="Arial" w:hAnsi="Arial" w:cs="Arial"/>
          <w:color w:val="000000"/>
          <w:sz w:val="18"/>
          <w:szCs w:val="18"/>
        </w:rPr>
      </w:pPr>
      <w:r w:rsidRPr="002D2F67">
        <w:rPr>
          <w:rFonts w:ascii="Arial" w:eastAsia="Arial" w:hAnsi="Arial" w:cs="Arial"/>
          <w:color w:val="000000"/>
          <w:spacing w:val="-4"/>
          <w:sz w:val="20"/>
          <w:szCs w:val="20"/>
        </w:rPr>
        <w:t>In the separate financial statements, investments in subsidiaries are accounted for using cost method</w:t>
      </w:r>
      <w:r w:rsidR="00B15893" w:rsidRPr="002D2F67">
        <w:rPr>
          <w:rFonts w:ascii="Arial" w:eastAsia="Arial" w:hAnsi="Arial" w:cs="Arial"/>
          <w:color w:val="000000"/>
          <w:sz w:val="20"/>
          <w:szCs w:val="20"/>
        </w:rPr>
        <w:t xml:space="preserve"> less allowance for impairment</w:t>
      </w:r>
      <w:r w:rsidR="00EC5F29" w:rsidRPr="002D2F67">
        <w:rPr>
          <w:rFonts w:ascii="Arial" w:eastAsia="Arial" w:hAnsi="Arial" w:cs="Arial"/>
          <w:color w:val="000000"/>
          <w:sz w:val="20"/>
          <w:szCs w:val="20"/>
        </w:rPr>
        <w:t xml:space="preserve"> (</w:t>
      </w:r>
      <w:r w:rsidR="0011557E" w:rsidRPr="002D2F67">
        <w:rPr>
          <w:rFonts w:ascii="Arial" w:eastAsia="Arial" w:hAnsi="Arial" w:cs="Arial"/>
          <w:color w:val="000000"/>
          <w:sz w:val="20"/>
          <w:szCs w:val="20"/>
        </w:rPr>
        <w:t>if</w:t>
      </w:r>
      <w:r w:rsidR="00EC5F29" w:rsidRPr="002D2F67">
        <w:rPr>
          <w:rFonts w:ascii="Arial" w:eastAsia="Arial" w:hAnsi="Arial" w:cs="Arial"/>
          <w:color w:val="000000"/>
          <w:sz w:val="20"/>
          <w:szCs w:val="20"/>
        </w:rPr>
        <w:t xml:space="preserve"> any).</w:t>
      </w:r>
    </w:p>
    <w:p w14:paraId="77294333" w14:textId="77777777" w:rsidR="00925C30" w:rsidRPr="002D2F67" w:rsidRDefault="00925C30" w:rsidP="005611FE">
      <w:pPr>
        <w:tabs>
          <w:tab w:val="left" w:pos="709"/>
        </w:tabs>
        <w:ind w:left="540"/>
        <w:jc w:val="thaiDistribute"/>
        <w:rPr>
          <w:rFonts w:ascii="Arial" w:hAnsi="Arial" w:cs="Arial"/>
          <w:color w:val="000000"/>
          <w:sz w:val="20"/>
          <w:szCs w:val="20"/>
        </w:rPr>
      </w:pPr>
    </w:p>
    <w:p w14:paraId="0503FAD6" w14:textId="69CF4DB4" w:rsidR="00925C30" w:rsidRPr="002D2F67" w:rsidRDefault="00CD5714" w:rsidP="005611FE">
      <w:pPr>
        <w:pStyle w:val="HeadSub1-5EA"/>
        <w:ind w:left="544" w:hanging="544"/>
        <w:outlineLvl w:val="2"/>
        <w:rPr>
          <w:rFonts w:ascii="Arial" w:hAnsi="Arial" w:cs="Arial"/>
          <w:b w:val="0"/>
          <w:bCs w:val="0"/>
          <w:color w:val="000000"/>
          <w:sz w:val="20"/>
          <w:szCs w:val="20"/>
        </w:rPr>
      </w:pPr>
      <w:r w:rsidRPr="00CD5714">
        <w:rPr>
          <w:rFonts w:ascii="Arial" w:hAnsi="Arial" w:cs="Arial"/>
          <w:b w:val="0"/>
          <w:bCs w:val="0"/>
          <w:color w:val="000000"/>
          <w:sz w:val="20"/>
          <w:szCs w:val="20"/>
          <w:lang w:val="en-GB"/>
        </w:rPr>
        <w:t>5</w:t>
      </w:r>
      <w:r w:rsidR="00925C30" w:rsidRPr="002D2F67">
        <w:rPr>
          <w:rFonts w:ascii="Arial" w:hAnsi="Arial" w:cs="Arial"/>
          <w:b w:val="0"/>
          <w:bCs w:val="0"/>
          <w:color w:val="000000"/>
          <w:sz w:val="20"/>
          <w:szCs w:val="20"/>
        </w:rPr>
        <w:t>.</w:t>
      </w:r>
      <w:r w:rsidRPr="00CD5714">
        <w:rPr>
          <w:rFonts w:ascii="Arial" w:hAnsi="Arial" w:cs="Arial"/>
          <w:b w:val="0"/>
          <w:bCs w:val="0"/>
          <w:color w:val="000000"/>
          <w:sz w:val="20"/>
          <w:szCs w:val="20"/>
          <w:lang w:val="en-GB"/>
        </w:rPr>
        <w:t>1</w:t>
      </w:r>
      <w:r w:rsidR="00925C30" w:rsidRPr="002D2F67">
        <w:rPr>
          <w:rFonts w:ascii="Arial" w:hAnsi="Arial" w:cs="Arial"/>
          <w:b w:val="0"/>
          <w:bCs w:val="0"/>
          <w:color w:val="000000"/>
          <w:sz w:val="20"/>
          <w:szCs w:val="20"/>
        </w:rPr>
        <w:t>.</w:t>
      </w:r>
      <w:r w:rsidRPr="00CD5714">
        <w:rPr>
          <w:rFonts w:ascii="Arial" w:hAnsi="Arial" w:cs="Arial"/>
          <w:b w:val="0"/>
          <w:bCs w:val="0"/>
          <w:color w:val="000000"/>
          <w:sz w:val="20"/>
          <w:szCs w:val="20"/>
          <w:lang w:val="en-GB"/>
        </w:rPr>
        <w:t>2</w:t>
      </w:r>
      <w:r w:rsidR="008C77C3" w:rsidRPr="002D2F67">
        <w:rPr>
          <w:rFonts w:ascii="Arial" w:hAnsi="Arial" w:cs="Arial"/>
          <w:b w:val="0"/>
          <w:bCs w:val="0"/>
          <w:color w:val="000000"/>
          <w:sz w:val="20"/>
          <w:szCs w:val="20"/>
        </w:rPr>
        <w:tab/>
      </w:r>
      <w:r w:rsidR="00925C30" w:rsidRPr="002D2F67">
        <w:rPr>
          <w:rFonts w:ascii="Arial" w:hAnsi="Arial" w:cs="Arial"/>
          <w:b w:val="0"/>
          <w:bCs w:val="0"/>
          <w:color w:val="000000"/>
          <w:sz w:val="20"/>
          <w:szCs w:val="20"/>
        </w:rPr>
        <w:t>Associates</w:t>
      </w:r>
    </w:p>
    <w:p w14:paraId="04BA883C" w14:textId="77777777" w:rsidR="00842D47" w:rsidRPr="002D2F67" w:rsidRDefault="00842D47" w:rsidP="005611FE">
      <w:pPr>
        <w:pBdr>
          <w:top w:val="nil"/>
          <w:left w:val="nil"/>
          <w:bottom w:val="nil"/>
          <w:right w:val="nil"/>
          <w:between w:val="nil"/>
        </w:pBdr>
        <w:ind w:left="540"/>
        <w:jc w:val="both"/>
        <w:rPr>
          <w:rFonts w:ascii="Arial" w:eastAsia="Arial" w:hAnsi="Arial" w:cs="Arial"/>
          <w:color w:val="000000"/>
          <w:sz w:val="20"/>
          <w:szCs w:val="20"/>
        </w:rPr>
      </w:pPr>
    </w:p>
    <w:p w14:paraId="03092AE3" w14:textId="77777777" w:rsidR="00925C30" w:rsidRPr="002D2F67" w:rsidRDefault="00925C30" w:rsidP="005611FE">
      <w:pPr>
        <w:pBdr>
          <w:top w:val="nil"/>
          <w:left w:val="nil"/>
          <w:bottom w:val="nil"/>
          <w:right w:val="nil"/>
          <w:between w:val="nil"/>
        </w:pBdr>
        <w:ind w:left="540"/>
        <w:jc w:val="both"/>
        <w:rPr>
          <w:rFonts w:ascii="Arial" w:eastAsia="Arial" w:hAnsi="Arial" w:cs="Arial"/>
          <w:color w:val="000000"/>
          <w:sz w:val="20"/>
          <w:szCs w:val="20"/>
        </w:rPr>
      </w:pPr>
      <w:r w:rsidRPr="002D2F67">
        <w:rPr>
          <w:rFonts w:ascii="Arial" w:eastAsia="Arial" w:hAnsi="Arial" w:cs="Arial"/>
          <w:color w:val="000000"/>
          <w:spacing w:val="-4"/>
          <w:sz w:val="20"/>
          <w:szCs w:val="20"/>
        </w:rPr>
        <w:t>Associates are all entities over which the Group has significant influence but not control or joint control.</w:t>
      </w:r>
      <w:r w:rsidRPr="002D2F67">
        <w:rPr>
          <w:rFonts w:ascii="Arial" w:eastAsia="Arial" w:hAnsi="Arial" w:cs="Arial"/>
          <w:color w:val="000000"/>
          <w:sz w:val="20"/>
          <w:szCs w:val="20"/>
        </w:rPr>
        <w:t xml:space="preserve"> Investments in associates are accounted for using the equity method of accounting.</w:t>
      </w:r>
    </w:p>
    <w:p w14:paraId="11BEE5B7" w14:textId="77777777" w:rsidR="00925C30" w:rsidRPr="002D2F67" w:rsidRDefault="00925C30" w:rsidP="005611FE">
      <w:pPr>
        <w:ind w:left="540"/>
        <w:jc w:val="both"/>
        <w:rPr>
          <w:rFonts w:ascii="Arial" w:eastAsia="Arial" w:hAnsi="Arial" w:cs="Arial"/>
          <w:color w:val="000000"/>
          <w:sz w:val="20"/>
          <w:szCs w:val="20"/>
        </w:rPr>
      </w:pPr>
    </w:p>
    <w:p w14:paraId="637F4724" w14:textId="77777777" w:rsidR="00925C30" w:rsidRPr="002D2F67" w:rsidRDefault="00925C30" w:rsidP="005611FE">
      <w:pPr>
        <w:tabs>
          <w:tab w:val="left" w:pos="709"/>
        </w:tabs>
        <w:ind w:left="540"/>
        <w:jc w:val="thaiDistribute"/>
        <w:rPr>
          <w:rFonts w:ascii="Arial" w:eastAsia="Arial" w:hAnsi="Arial" w:cs="Arial"/>
          <w:color w:val="000000"/>
          <w:sz w:val="20"/>
          <w:szCs w:val="20"/>
        </w:rPr>
      </w:pPr>
      <w:r w:rsidRPr="002D2F67">
        <w:rPr>
          <w:rFonts w:ascii="Arial" w:eastAsia="Arial" w:hAnsi="Arial" w:cs="Arial"/>
          <w:color w:val="000000"/>
          <w:sz w:val="20"/>
          <w:szCs w:val="20"/>
        </w:rPr>
        <w:t>In the separate financial statements, investments in associates are accounted for using cost method</w:t>
      </w:r>
      <w:r w:rsidR="00B15893" w:rsidRPr="002D2F67">
        <w:rPr>
          <w:rFonts w:ascii="Arial" w:eastAsia="Arial" w:hAnsi="Arial" w:cs="Arial"/>
          <w:color w:val="000000"/>
          <w:sz w:val="20"/>
          <w:szCs w:val="20"/>
        </w:rPr>
        <w:t xml:space="preserve"> less allowance for impairment</w:t>
      </w:r>
      <w:r w:rsidR="00EC5F29" w:rsidRPr="002D2F67">
        <w:rPr>
          <w:rFonts w:ascii="Arial" w:eastAsia="Arial" w:hAnsi="Arial" w:cs="Arial"/>
          <w:color w:val="000000"/>
          <w:sz w:val="20"/>
          <w:szCs w:val="20"/>
        </w:rPr>
        <w:t xml:space="preserve"> (</w:t>
      </w:r>
      <w:r w:rsidR="0011557E" w:rsidRPr="002D2F67">
        <w:rPr>
          <w:rFonts w:ascii="Arial" w:eastAsia="Arial" w:hAnsi="Arial" w:cs="Arial"/>
          <w:color w:val="000000"/>
          <w:sz w:val="20"/>
          <w:szCs w:val="20"/>
        </w:rPr>
        <w:t>i</w:t>
      </w:r>
      <w:r w:rsidR="00EC5F29" w:rsidRPr="002D2F67">
        <w:rPr>
          <w:rFonts w:ascii="Arial" w:eastAsia="Arial" w:hAnsi="Arial" w:cs="Arial"/>
          <w:color w:val="000000"/>
          <w:sz w:val="20"/>
          <w:szCs w:val="20"/>
        </w:rPr>
        <w:t>f any).</w:t>
      </w:r>
    </w:p>
    <w:p w14:paraId="15B99EC8" w14:textId="77777777" w:rsidR="00863F5C" w:rsidRPr="002D2F67" w:rsidRDefault="00863F5C" w:rsidP="005611FE">
      <w:pPr>
        <w:tabs>
          <w:tab w:val="left" w:pos="709"/>
        </w:tabs>
        <w:ind w:left="540"/>
        <w:jc w:val="thaiDistribute"/>
        <w:rPr>
          <w:rFonts w:ascii="Arial" w:eastAsia="Arial" w:hAnsi="Arial" w:cs="Arial"/>
          <w:color w:val="000000"/>
          <w:sz w:val="20"/>
          <w:szCs w:val="20"/>
        </w:rPr>
      </w:pPr>
    </w:p>
    <w:p w14:paraId="38C546DC" w14:textId="75397C91" w:rsidR="002E457B" w:rsidRPr="002D2F67" w:rsidRDefault="00CD5714" w:rsidP="005611FE">
      <w:pPr>
        <w:pStyle w:val="HeadSub1-5EA"/>
        <w:ind w:left="544" w:hanging="544"/>
        <w:outlineLvl w:val="2"/>
        <w:rPr>
          <w:rFonts w:ascii="Arial" w:hAnsi="Arial" w:cs="Arial"/>
          <w:b w:val="0"/>
          <w:bCs w:val="0"/>
          <w:color w:val="000000"/>
          <w:sz w:val="20"/>
          <w:szCs w:val="20"/>
        </w:rPr>
      </w:pPr>
      <w:r w:rsidRPr="00CD5714">
        <w:rPr>
          <w:rFonts w:ascii="Arial" w:hAnsi="Arial" w:cs="Arial"/>
          <w:b w:val="0"/>
          <w:bCs w:val="0"/>
          <w:color w:val="000000"/>
          <w:sz w:val="20"/>
          <w:szCs w:val="20"/>
          <w:lang w:val="en-GB"/>
        </w:rPr>
        <w:t>5</w:t>
      </w:r>
      <w:r w:rsidR="002E457B" w:rsidRPr="002D2F67">
        <w:rPr>
          <w:rFonts w:ascii="Arial" w:hAnsi="Arial" w:cs="Arial"/>
          <w:b w:val="0"/>
          <w:bCs w:val="0"/>
          <w:color w:val="000000"/>
          <w:sz w:val="20"/>
          <w:szCs w:val="20"/>
        </w:rPr>
        <w:t>.</w:t>
      </w:r>
      <w:r w:rsidRPr="00CD5714">
        <w:rPr>
          <w:rFonts w:ascii="Arial" w:hAnsi="Arial" w:cs="Arial"/>
          <w:b w:val="0"/>
          <w:bCs w:val="0"/>
          <w:color w:val="000000"/>
          <w:sz w:val="20"/>
          <w:szCs w:val="20"/>
          <w:lang w:val="en-GB"/>
        </w:rPr>
        <w:t>1</w:t>
      </w:r>
      <w:r w:rsidR="002E457B" w:rsidRPr="002D2F67">
        <w:rPr>
          <w:rFonts w:ascii="Arial" w:hAnsi="Arial" w:cs="Arial"/>
          <w:b w:val="0"/>
          <w:bCs w:val="0"/>
          <w:color w:val="000000"/>
          <w:sz w:val="20"/>
          <w:szCs w:val="20"/>
        </w:rPr>
        <w:t>.</w:t>
      </w:r>
      <w:r w:rsidRPr="00CD5714">
        <w:rPr>
          <w:rFonts w:ascii="Arial" w:hAnsi="Arial" w:cs="Arial"/>
          <w:b w:val="0"/>
          <w:bCs w:val="0"/>
          <w:color w:val="000000"/>
          <w:sz w:val="20"/>
          <w:szCs w:val="20"/>
          <w:lang w:val="en-GB"/>
        </w:rPr>
        <w:t>3</w:t>
      </w:r>
      <w:r w:rsidR="008C77C3" w:rsidRPr="002D2F67">
        <w:rPr>
          <w:rFonts w:ascii="Arial" w:hAnsi="Arial" w:cs="Arial"/>
          <w:b w:val="0"/>
          <w:bCs w:val="0"/>
          <w:color w:val="000000"/>
          <w:sz w:val="20"/>
          <w:szCs w:val="20"/>
        </w:rPr>
        <w:tab/>
      </w:r>
      <w:r w:rsidR="002E457B" w:rsidRPr="002D2F67">
        <w:rPr>
          <w:rFonts w:ascii="Arial" w:hAnsi="Arial" w:cs="Arial"/>
          <w:b w:val="0"/>
          <w:bCs w:val="0"/>
          <w:color w:val="000000"/>
          <w:sz w:val="20"/>
          <w:szCs w:val="20"/>
        </w:rPr>
        <w:t>Joint arrangements</w:t>
      </w:r>
    </w:p>
    <w:p w14:paraId="033C2A43" w14:textId="77777777" w:rsidR="002E457B" w:rsidRPr="002D2F67" w:rsidRDefault="002E457B" w:rsidP="005611FE">
      <w:pPr>
        <w:tabs>
          <w:tab w:val="left" w:pos="709"/>
        </w:tabs>
        <w:ind w:left="540"/>
        <w:jc w:val="thaiDistribute"/>
        <w:rPr>
          <w:rFonts w:ascii="Arial" w:eastAsia="Arial" w:hAnsi="Arial" w:cs="Arial"/>
          <w:color w:val="000000"/>
          <w:sz w:val="20"/>
          <w:szCs w:val="20"/>
        </w:rPr>
      </w:pPr>
    </w:p>
    <w:p w14:paraId="084C2AE5" w14:textId="430C2692" w:rsidR="002E457B" w:rsidRPr="002D2F67" w:rsidRDefault="002E457B" w:rsidP="005611FE">
      <w:pPr>
        <w:tabs>
          <w:tab w:val="left" w:pos="709"/>
        </w:tabs>
        <w:ind w:left="540"/>
        <w:jc w:val="thaiDistribute"/>
        <w:rPr>
          <w:rFonts w:ascii="Arial" w:eastAsia="Arial" w:hAnsi="Arial" w:cs="Arial"/>
          <w:color w:val="000000"/>
          <w:sz w:val="20"/>
          <w:szCs w:val="20"/>
        </w:rPr>
      </w:pPr>
      <w:r w:rsidRPr="002D2F67">
        <w:rPr>
          <w:rFonts w:ascii="Arial" w:eastAsia="Arial" w:hAnsi="Arial" w:cs="Arial"/>
          <w:color w:val="000000"/>
          <w:spacing w:val="-4"/>
          <w:sz w:val="20"/>
          <w:szCs w:val="20"/>
        </w:rPr>
        <w:t>Investments in joint arrangements are classified as either joint operations or joint ventures depending</w:t>
      </w:r>
      <w:r w:rsidRPr="002D2F67">
        <w:rPr>
          <w:rFonts w:ascii="Arial" w:eastAsia="Arial" w:hAnsi="Arial" w:cs="Arial"/>
          <w:color w:val="000000"/>
          <w:sz w:val="20"/>
          <w:szCs w:val="20"/>
        </w:rPr>
        <w:t xml:space="preserve"> on the contractual rights and obligations of each investor, rather than the legal structure of the joint arrangements</w:t>
      </w:r>
      <w:r w:rsidR="00EC5F29" w:rsidRPr="002D2F67">
        <w:rPr>
          <w:rFonts w:ascii="Arial" w:eastAsia="Arial" w:hAnsi="Arial" w:cs="Arial"/>
          <w:color w:val="000000"/>
          <w:sz w:val="20"/>
          <w:szCs w:val="20"/>
        </w:rPr>
        <w:t>.</w:t>
      </w:r>
      <w:r w:rsidR="00405E52" w:rsidRPr="002D2F67">
        <w:rPr>
          <w:rFonts w:ascii="Arial" w:eastAsia="Arial" w:hAnsi="Arial" w:cs="Arial"/>
          <w:color w:val="000000"/>
          <w:sz w:val="20"/>
          <w:szCs w:val="20"/>
        </w:rPr>
        <w:t xml:space="preserve"> </w:t>
      </w:r>
      <w:r w:rsidRPr="002D2F67">
        <w:rPr>
          <w:rFonts w:ascii="Arial" w:eastAsia="Arial" w:hAnsi="Arial" w:cs="Arial"/>
          <w:color w:val="000000"/>
          <w:spacing w:val="-4"/>
          <w:sz w:val="20"/>
          <w:szCs w:val="20"/>
        </w:rPr>
        <w:t>A joint venture is a joint arrangement whereby the Group has rights to the net assets of the arrangement.</w:t>
      </w:r>
      <w:r w:rsidRPr="002D2F67">
        <w:rPr>
          <w:rFonts w:ascii="Arial" w:eastAsia="Arial" w:hAnsi="Arial" w:cs="Arial"/>
          <w:color w:val="000000"/>
          <w:sz w:val="20"/>
          <w:szCs w:val="20"/>
        </w:rPr>
        <w:t xml:space="preserve"> Interests in joint ventures are accounted for using the equity method.</w:t>
      </w:r>
    </w:p>
    <w:p w14:paraId="6D165414" w14:textId="77777777" w:rsidR="002E457B" w:rsidRPr="002D2F67" w:rsidRDefault="002E457B" w:rsidP="005611FE">
      <w:pPr>
        <w:tabs>
          <w:tab w:val="left" w:pos="709"/>
        </w:tabs>
        <w:ind w:left="540"/>
        <w:jc w:val="thaiDistribute"/>
        <w:rPr>
          <w:rFonts w:ascii="Arial" w:eastAsia="Arial" w:hAnsi="Arial" w:cs="Arial"/>
          <w:color w:val="000000"/>
          <w:sz w:val="20"/>
          <w:szCs w:val="20"/>
        </w:rPr>
      </w:pPr>
    </w:p>
    <w:p w14:paraId="0CA468A6" w14:textId="77777777" w:rsidR="002E457B" w:rsidRPr="002D2F67" w:rsidRDefault="002E457B" w:rsidP="005611FE">
      <w:pPr>
        <w:tabs>
          <w:tab w:val="left" w:pos="709"/>
        </w:tabs>
        <w:ind w:left="540"/>
        <w:jc w:val="thaiDistribute"/>
        <w:rPr>
          <w:rFonts w:ascii="Arial" w:eastAsia="Arial" w:hAnsi="Arial" w:cs="Arial"/>
          <w:color w:val="000000"/>
          <w:sz w:val="20"/>
          <w:szCs w:val="20"/>
        </w:rPr>
      </w:pPr>
      <w:r w:rsidRPr="002D2F67">
        <w:rPr>
          <w:rFonts w:ascii="Arial" w:eastAsia="Arial" w:hAnsi="Arial" w:cs="Arial"/>
          <w:color w:val="000000"/>
          <w:spacing w:val="-2"/>
          <w:sz w:val="20"/>
          <w:szCs w:val="20"/>
        </w:rPr>
        <w:t>In the separate financial statements, investments in joint ventures are accounted for using cost method</w:t>
      </w:r>
      <w:r w:rsidR="00B15893" w:rsidRPr="002D2F67">
        <w:rPr>
          <w:rFonts w:ascii="Arial" w:eastAsia="Arial" w:hAnsi="Arial" w:cs="Arial"/>
          <w:color w:val="000000"/>
          <w:sz w:val="20"/>
          <w:szCs w:val="20"/>
        </w:rPr>
        <w:t xml:space="preserve"> less allowance for impairment</w:t>
      </w:r>
      <w:r w:rsidR="00EC5F29" w:rsidRPr="002D2F67">
        <w:rPr>
          <w:rFonts w:ascii="Arial" w:eastAsia="Arial" w:hAnsi="Arial" w:cs="Arial"/>
          <w:color w:val="000000"/>
          <w:sz w:val="20"/>
          <w:szCs w:val="20"/>
        </w:rPr>
        <w:t xml:space="preserve"> (</w:t>
      </w:r>
      <w:r w:rsidR="0011557E" w:rsidRPr="002D2F67">
        <w:rPr>
          <w:rFonts w:ascii="Arial" w:eastAsia="Arial" w:hAnsi="Arial" w:cs="Arial"/>
          <w:color w:val="000000"/>
          <w:sz w:val="20"/>
          <w:szCs w:val="20"/>
        </w:rPr>
        <w:t>if</w:t>
      </w:r>
      <w:r w:rsidR="00EC5F29" w:rsidRPr="002D2F67">
        <w:rPr>
          <w:rFonts w:ascii="Arial" w:eastAsia="Arial" w:hAnsi="Arial" w:cs="Arial"/>
          <w:color w:val="000000"/>
          <w:sz w:val="20"/>
          <w:szCs w:val="20"/>
        </w:rPr>
        <w:t xml:space="preserve"> any).</w:t>
      </w:r>
    </w:p>
    <w:p w14:paraId="1A4F52A4" w14:textId="4DA50B79" w:rsidR="002E457B" w:rsidRPr="002D2F67" w:rsidRDefault="002E457B" w:rsidP="005611FE">
      <w:pPr>
        <w:tabs>
          <w:tab w:val="left" w:pos="709"/>
        </w:tabs>
        <w:ind w:left="540"/>
        <w:jc w:val="thaiDistribute"/>
        <w:rPr>
          <w:rFonts w:ascii="Arial" w:eastAsia="Arial" w:hAnsi="Arial" w:cs="Arial"/>
          <w:color w:val="000000"/>
          <w:sz w:val="20"/>
          <w:szCs w:val="20"/>
        </w:rPr>
      </w:pPr>
    </w:p>
    <w:p w14:paraId="0D624E3B" w14:textId="77777777" w:rsidR="002A1778" w:rsidRPr="002D2F67" w:rsidRDefault="002A1778" w:rsidP="005611FE">
      <w:pPr>
        <w:tabs>
          <w:tab w:val="left" w:pos="709"/>
        </w:tabs>
        <w:ind w:left="540"/>
        <w:jc w:val="thaiDistribute"/>
        <w:rPr>
          <w:rFonts w:ascii="Arial" w:eastAsia="Arial" w:hAnsi="Arial" w:cs="Arial"/>
          <w:color w:val="000000"/>
          <w:sz w:val="20"/>
          <w:szCs w:val="20"/>
        </w:rPr>
      </w:pPr>
    </w:p>
    <w:p w14:paraId="63AB598B" w14:textId="1C80FE36" w:rsidR="002E457B" w:rsidRPr="002D2F67" w:rsidRDefault="00CD5714" w:rsidP="005611FE">
      <w:pPr>
        <w:pStyle w:val="HeadSub1-5EA"/>
        <w:rPr>
          <w:rFonts w:ascii="Arial" w:hAnsi="Arial" w:cs="Arial"/>
          <w:color w:val="000000"/>
          <w:sz w:val="20"/>
          <w:szCs w:val="20"/>
        </w:rPr>
      </w:pPr>
      <w:r w:rsidRPr="00CD5714">
        <w:rPr>
          <w:rFonts w:ascii="Arial" w:hAnsi="Arial" w:cs="Arial"/>
          <w:color w:val="000000"/>
          <w:sz w:val="20"/>
          <w:szCs w:val="20"/>
          <w:lang w:val="en-GB"/>
        </w:rPr>
        <w:t>5</w:t>
      </w:r>
      <w:r w:rsidR="002E457B" w:rsidRPr="002D2F67">
        <w:rPr>
          <w:rFonts w:ascii="Arial" w:hAnsi="Arial" w:cs="Arial"/>
          <w:color w:val="000000"/>
          <w:sz w:val="20"/>
          <w:szCs w:val="20"/>
        </w:rPr>
        <w:t>.</w:t>
      </w:r>
      <w:r w:rsidRPr="00CD5714">
        <w:rPr>
          <w:rFonts w:ascii="Arial" w:hAnsi="Arial" w:cs="Arial"/>
          <w:color w:val="000000"/>
          <w:sz w:val="20"/>
          <w:szCs w:val="20"/>
          <w:lang w:val="en-GB"/>
        </w:rPr>
        <w:t>2</w:t>
      </w:r>
      <w:r w:rsidR="002E457B" w:rsidRPr="002D2F67">
        <w:rPr>
          <w:rFonts w:ascii="Arial" w:hAnsi="Arial" w:cs="Arial"/>
          <w:color w:val="000000"/>
          <w:sz w:val="20"/>
          <w:szCs w:val="20"/>
        </w:rPr>
        <w:tab/>
        <w:t>Business combination</w:t>
      </w:r>
    </w:p>
    <w:p w14:paraId="3F9720DB" w14:textId="77777777" w:rsidR="002E457B" w:rsidRPr="002D2F67" w:rsidRDefault="002E457B" w:rsidP="00100E48">
      <w:pPr>
        <w:ind w:left="540"/>
        <w:jc w:val="thaiDistribute"/>
        <w:rPr>
          <w:rFonts w:ascii="Arial" w:hAnsi="Arial" w:cs="Arial"/>
          <w:color w:val="000000"/>
          <w:sz w:val="20"/>
          <w:szCs w:val="20"/>
        </w:rPr>
      </w:pPr>
    </w:p>
    <w:p w14:paraId="23D458F6" w14:textId="77777777" w:rsidR="002E457B" w:rsidRPr="002D2F67" w:rsidRDefault="002E457B" w:rsidP="00100E48">
      <w:pPr>
        <w:ind w:left="540"/>
        <w:jc w:val="thaiDistribute"/>
        <w:rPr>
          <w:rFonts w:ascii="Arial" w:hAnsi="Arial" w:cs="Arial"/>
          <w:color w:val="000000"/>
          <w:sz w:val="20"/>
          <w:szCs w:val="20"/>
        </w:rPr>
      </w:pPr>
      <w:r w:rsidRPr="002D2F67">
        <w:rPr>
          <w:rFonts w:ascii="Arial" w:hAnsi="Arial" w:cs="Arial"/>
          <w:color w:val="000000"/>
          <w:sz w:val="20"/>
          <w:szCs w:val="20"/>
        </w:rPr>
        <w:t>The Group applies the acquisition method to account for business combinations with an exception on business combination under common control. The consideration transferred for the acquisition of a subsidiary comprises.</w:t>
      </w:r>
    </w:p>
    <w:p w14:paraId="2465A252" w14:textId="77777777" w:rsidR="002E457B" w:rsidRPr="002D2F67" w:rsidRDefault="002E457B" w:rsidP="00100E48">
      <w:pPr>
        <w:ind w:left="540"/>
        <w:jc w:val="thaiDistribute"/>
        <w:rPr>
          <w:rFonts w:ascii="Arial" w:hAnsi="Arial" w:cs="Arial"/>
          <w:color w:val="000000"/>
          <w:sz w:val="20"/>
          <w:szCs w:val="20"/>
        </w:rPr>
      </w:pPr>
    </w:p>
    <w:p w14:paraId="6A10EC2B" w14:textId="77777777" w:rsidR="002E457B" w:rsidRPr="002D2F67" w:rsidRDefault="002E457B" w:rsidP="00100E48">
      <w:pPr>
        <w:numPr>
          <w:ilvl w:val="0"/>
          <w:numId w:val="4"/>
        </w:numPr>
        <w:tabs>
          <w:tab w:val="left" w:pos="993"/>
        </w:tabs>
        <w:ind w:left="720" w:hanging="180"/>
        <w:jc w:val="thaiDistribute"/>
        <w:rPr>
          <w:rFonts w:ascii="Arial" w:hAnsi="Arial" w:cs="Arial"/>
          <w:color w:val="000000"/>
          <w:sz w:val="20"/>
          <w:szCs w:val="20"/>
        </w:rPr>
      </w:pPr>
      <w:r w:rsidRPr="002D2F67">
        <w:rPr>
          <w:rFonts w:ascii="Arial" w:hAnsi="Arial" w:cs="Arial"/>
          <w:color w:val="000000"/>
          <w:sz w:val="20"/>
          <w:szCs w:val="20"/>
        </w:rPr>
        <w:t>fair value of the assets transferred</w:t>
      </w:r>
    </w:p>
    <w:p w14:paraId="2641194C" w14:textId="77777777" w:rsidR="002E457B" w:rsidRPr="002D2F67" w:rsidRDefault="002E457B" w:rsidP="00100E48">
      <w:pPr>
        <w:numPr>
          <w:ilvl w:val="0"/>
          <w:numId w:val="4"/>
        </w:numPr>
        <w:tabs>
          <w:tab w:val="left" w:pos="993"/>
        </w:tabs>
        <w:ind w:left="720" w:hanging="180"/>
        <w:jc w:val="thaiDistribute"/>
        <w:rPr>
          <w:rFonts w:ascii="Arial" w:hAnsi="Arial" w:cs="Arial"/>
          <w:color w:val="000000"/>
          <w:sz w:val="20"/>
          <w:szCs w:val="20"/>
        </w:rPr>
      </w:pPr>
      <w:r w:rsidRPr="002D2F67">
        <w:rPr>
          <w:rFonts w:ascii="Arial" w:hAnsi="Arial" w:cs="Arial"/>
          <w:color w:val="000000"/>
          <w:sz w:val="20"/>
          <w:szCs w:val="20"/>
        </w:rPr>
        <w:t>liabilities incurred to the former owners of the acquiree</w:t>
      </w:r>
    </w:p>
    <w:p w14:paraId="2A742CC3" w14:textId="77777777" w:rsidR="002E457B" w:rsidRPr="002D2F67" w:rsidRDefault="002E457B" w:rsidP="00100E48">
      <w:pPr>
        <w:numPr>
          <w:ilvl w:val="0"/>
          <w:numId w:val="4"/>
        </w:numPr>
        <w:tabs>
          <w:tab w:val="left" w:pos="993"/>
        </w:tabs>
        <w:ind w:left="720" w:hanging="180"/>
        <w:jc w:val="thaiDistribute"/>
        <w:rPr>
          <w:rFonts w:ascii="Arial" w:hAnsi="Arial" w:cs="Arial"/>
          <w:color w:val="000000"/>
          <w:sz w:val="20"/>
          <w:szCs w:val="20"/>
        </w:rPr>
      </w:pPr>
      <w:r w:rsidRPr="002D2F67">
        <w:rPr>
          <w:rFonts w:ascii="Arial" w:hAnsi="Arial" w:cs="Arial"/>
          <w:color w:val="000000"/>
          <w:sz w:val="20"/>
          <w:szCs w:val="20"/>
        </w:rPr>
        <w:t>equity interests issued by the Group</w:t>
      </w:r>
    </w:p>
    <w:p w14:paraId="45E5F880" w14:textId="77777777" w:rsidR="002E457B" w:rsidRPr="002D2F67" w:rsidRDefault="002E457B" w:rsidP="00100E48">
      <w:pPr>
        <w:ind w:left="540"/>
        <w:jc w:val="thaiDistribute"/>
        <w:rPr>
          <w:rFonts w:ascii="Arial" w:hAnsi="Arial" w:cs="Arial"/>
          <w:color w:val="000000"/>
          <w:sz w:val="20"/>
          <w:szCs w:val="20"/>
        </w:rPr>
      </w:pPr>
    </w:p>
    <w:p w14:paraId="227B212A" w14:textId="77777777" w:rsidR="002E457B" w:rsidRPr="002D2F67" w:rsidRDefault="002E457B" w:rsidP="00100E48">
      <w:pPr>
        <w:ind w:left="540"/>
        <w:jc w:val="thaiDistribute"/>
        <w:rPr>
          <w:rFonts w:ascii="Arial" w:hAnsi="Arial" w:cs="Arial"/>
          <w:color w:val="000000"/>
          <w:sz w:val="20"/>
          <w:szCs w:val="20"/>
        </w:rPr>
      </w:pPr>
      <w:r w:rsidRPr="002D2F67">
        <w:rPr>
          <w:rFonts w:ascii="Arial" w:hAnsi="Arial" w:cs="Arial"/>
          <w:color w:val="000000"/>
          <w:spacing w:val="-4"/>
          <w:sz w:val="20"/>
          <w:szCs w:val="20"/>
        </w:rPr>
        <w:t xml:space="preserve">Identifiable assets and liabilities </w:t>
      </w:r>
      <w:proofErr w:type="gramStart"/>
      <w:r w:rsidRPr="002D2F67">
        <w:rPr>
          <w:rFonts w:ascii="Arial" w:hAnsi="Arial" w:cs="Arial"/>
          <w:color w:val="000000"/>
          <w:spacing w:val="-4"/>
          <w:sz w:val="20"/>
          <w:szCs w:val="20"/>
        </w:rPr>
        <w:t>acquired</w:t>
      </w:r>
      <w:proofErr w:type="gramEnd"/>
      <w:r w:rsidRPr="002D2F67">
        <w:rPr>
          <w:rFonts w:ascii="Arial" w:hAnsi="Arial" w:cs="Arial"/>
          <w:color w:val="000000"/>
          <w:spacing w:val="-4"/>
          <w:sz w:val="20"/>
          <w:szCs w:val="20"/>
        </w:rPr>
        <w:t xml:space="preserve"> and contingent liabilities assumed in a business combination</w:t>
      </w:r>
      <w:r w:rsidRPr="002D2F67">
        <w:rPr>
          <w:rFonts w:ascii="Arial" w:hAnsi="Arial" w:cs="Arial"/>
          <w:color w:val="000000"/>
          <w:sz w:val="20"/>
          <w:szCs w:val="20"/>
        </w:rPr>
        <w:t xml:space="preserve"> are measured initially at their fair values at the acquisition date.</w:t>
      </w:r>
    </w:p>
    <w:p w14:paraId="68B419DA" w14:textId="77777777" w:rsidR="002E457B" w:rsidRPr="002D2F67" w:rsidRDefault="002E457B" w:rsidP="00100E48">
      <w:pPr>
        <w:ind w:left="540"/>
        <w:jc w:val="thaiDistribute"/>
        <w:rPr>
          <w:rFonts w:ascii="Arial" w:hAnsi="Arial" w:cs="Arial"/>
          <w:color w:val="000000"/>
          <w:sz w:val="20"/>
          <w:szCs w:val="20"/>
        </w:rPr>
      </w:pPr>
    </w:p>
    <w:p w14:paraId="6050B8FA" w14:textId="77777777" w:rsidR="002E457B" w:rsidRPr="002D2F67" w:rsidRDefault="002E457B" w:rsidP="00100E48">
      <w:pPr>
        <w:ind w:left="540"/>
        <w:jc w:val="thaiDistribute"/>
        <w:rPr>
          <w:rFonts w:ascii="Arial" w:hAnsi="Arial" w:cs="Arial"/>
          <w:color w:val="000000"/>
          <w:sz w:val="20"/>
          <w:szCs w:val="20"/>
        </w:rPr>
      </w:pPr>
      <w:r w:rsidRPr="002D2F67">
        <w:rPr>
          <w:rFonts w:ascii="Arial" w:hAnsi="Arial" w:cs="Arial"/>
          <w:color w:val="000000"/>
          <w:sz w:val="20"/>
          <w:szCs w:val="20"/>
        </w:rPr>
        <w:t xml:space="preserve">On an acquisition-by-acquisition basis, the Group initially recognises any non-controlling interest in </w:t>
      </w:r>
      <w:r w:rsidRPr="002D2F67">
        <w:rPr>
          <w:rFonts w:ascii="Arial" w:hAnsi="Arial" w:cs="Arial"/>
          <w:color w:val="000000"/>
          <w:spacing w:val="-4"/>
          <w:sz w:val="20"/>
          <w:szCs w:val="20"/>
        </w:rPr>
        <w:t>the acquiree either at fair value or at the non-controlling interest’s proportionate share of the acquiree’s</w:t>
      </w:r>
      <w:r w:rsidRPr="002D2F67">
        <w:rPr>
          <w:rFonts w:ascii="Arial" w:hAnsi="Arial" w:cs="Arial"/>
          <w:color w:val="000000"/>
          <w:sz w:val="20"/>
          <w:szCs w:val="20"/>
        </w:rPr>
        <w:t xml:space="preserve"> net assets.</w:t>
      </w:r>
    </w:p>
    <w:p w14:paraId="13D54788" w14:textId="77777777" w:rsidR="002E457B" w:rsidRPr="002D2F67" w:rsidRDefault="002E457B" w:rsidP="00100E48">
      <w:pPr>
        <w:ind w:left="540"/>
        <w:jc w:val="thaiDistribute"/>
        <w:rPr>
          <w:rFonts w:ascii="Arial" w:hAnsi="Arial" w:cs="Arial"/>
          <w:color w:val="000000"/>
          <w:sz w:val="20"/>
          <w:szCs w:val="20"/>
        </w:rPr>
      </w:pPr>
    </w:p>
    <w:p w14:paraId="7825F7C8" w14:textId="77777777" w:rsidR="002E457B" w:rsidRPr="002D2F67" w:rsidRDefault="002E457B" w:rsidP="00100E48">
      <w:pPr>
        <w:ind w:left="540"/>
        <w:jc w:val="thaiDistribute"/>
        <w:rPr>
          <w:rFonts w:ascii="Arial" w:hAnsi="Arial" w:cs="Arial"/>
          <w:color w:val="000000"/>
          <w:sz w:val="20"/>
          <w:szCs w:val="20"/>
        </w:rPr>
      </w:pPr>
      <w:r w:rsidRPr="002D2F67">
        <w:rPr>
          <w:rFonts w:ascii="Arial" w:hAnsi="Arial" w:cs="Arial"/>
          <w:color w:val="000000"/>
          <w:sz w:val="20"/>
          <w:szCs w:val="20"/>
        </w:rPr>
        <w:t xml:space="preserve">The excess of the consideration transferred, the amount of any non-controlling interest recognised </w:t>
      </w:r>
      <w:r w:rsidRPr="002D2F67">
        <w:rPr>
          <w:rFonts w:ascii="Arial" w:hAnsi="Arial" w:cs="Arial"/>
          <w:color w:val="000000"/>
          <w:spacing w:val="-6"/>
          <w:sz w:val="20"/>
          <w:szCs w:val="20"/>
        </w:rPr>
        <w:t>and the acquisition-date fair value of any previous equity interest in the acquiree (for business combination</w:t>
      </w:r>
      <w:r w:rsidRPr="002D2F67">
        <w:rPr>
          <w:rFonts w:ascii="Arial" w:hAnsi="Arial" w:cs="Arial"/>
          <w:color w:val="000000"/>
          <w:sz w:val="20"/>
          <w:szCs w:val="20"/>
        </w:rPr>
        <w:t xml:space="preserve"> achieved in stages) over the fair value of the </w:t>
      </w:r>
      <w:r w:rsidR="001B25C2" w:rsidRPr="002D2F67">
        <w:rPr>
          <w:rFonts w:ascii="Arial" w:hAnsi="Arial" w:cs="Arial"/>
          <w:color w:val="000000"/>
          <w:sz w:val="20"/>
          <w:szCs w:val="20"/>
        </w:rPr>
        <w:t>net identifiable assets</w:t>
      </w:r>
      <w:r w:rsidRPr="002D2F67">
        <w:rPr>
          <w:rFonts w:ascii="Arial" w:hAnsi="Arial" w:cs="Arial"/>
          <w:color w:val="000000"/>
          <w:sz w:val="20"/>
          <w:szCs w:val="20"/>
        </w:rPr>
        <w:t xml:space="preserve"> acquired is recorded as goodwill. In the case of a bargain purchase, the difference is recognised directly in profit or loss.</w:t>
      </w:r>
    </w:p>
    <w:p w14:paraId="1B860F3C" w14:textId="20284E72" w:rsidR="004B6FCC" w:rsidRPr="002D2F67" w:rsidRDefault="00A70C0C" w:rsidP="005611FE">
      <w:pPr>
        <w:ind w:left="567"/>
        <w:jc w:val="thaiDistribute"/>
        <w:rPr>
          <w:rFonts w:ascii="Arial" w:hAnsi="Arial" w:cs="Arial"/>
          <w:color w:val="000000"/>
          <w:sz w:val="20"/>
          <w:szCs w:val="20"/>
        </w:rPr>
      </w:pPr>
      <w:r w:rsidRPr="002D2F67">
        <w:rPr>
          <w:rFonts w:ascii="Arial" w:hAnsi="Arial" w:cs="Arial"/>
          <w:color w:val="000000"/>
          <w:sz w:val="20"/>
          <w:szCs w:val="20"/>
        </w:rPr>
        <w:br w:type="page"/>
      </w:r>
    </w:p>
    <w:p w14:paraId="7F372283" w14:textId="77777777" w:rsidR="002E457B" w:rsidRPr="002D2F67" w:rsidRDefault="002E457B" w:rsidP="005611FE">
      <w:pPr>
        <w:pStyle w:val="HeadSub1-5EA"/>
        <w:ind w:left="544" w:firstLine="23"/>
        <w:outlineLvl w:val="2"/>
        <w:rPr>
          <w:rFonts w:ascii="Arial" w:hAnsi="Arial" w:cs="Arial"/>
          <w:b w:val="0"/>
          <w:bCs w:val="0"/>
          <w:i/>
          <w:iCs/>
          <w:color w:val="000000"/>
          <w:sz w:val="20"/>
          <w:szCs w:val="20"/>
        </w:rPr>
      </w:pPr>
      <w:r w:rsidRPr="002D2F67">
        <w:rPr>
          <w:rFonts w:ascii="Arial" w:hAnsi="Arial" w:cs="Arial"/>
          <w:b w:val="0"/>
          <w:bCs w:val="0"/>
          <w:i/>
          <w:iCs/>
          <w:color w:val="000000"/>
          <w:sz w:val="20"/>
          <w:szCs w:val="20"/>
        </w:rPr>
        <w:t>Acquisition-related cost</w:t>
      </w:r>
    </w:p>
    <w:p w14:paraId="0133FB92" w14:textId="77777777" w:rsidR="002E457B" w:rsidRPr="002D2F67" w:rsidRDefault="002E457B" w:rsidP="005611FE">
      <w:pPr>
        <w:ind w:left="567"/>
        <w:jc w:val="thaiDistribute"/>
        <w:rPr>
          <w:rFonts w:ascii="Arial" w:hAnsi="Arial" w:cs="Arial"/>
          <w:color w:val="000000"/>
          <w:sz w:val="20"/>
          <w:szCs w:val="20"/>
        </w:rPr>
      </w:pPr>
    </w:p>
    <w:p w14:paraId="4246CCCE" w14:textId="291E5BA2" w:rsidR="002E457B" w:rsidRPr="002D2F67" w:rsidRDefault="002E457B" w:rsidP="005611FE">
      <w:pPr>
        <w:ind w:left="567"/>
        <w:jc w:val="thaiDistribute"/>
        <w:rPr>
          <w:rFonts w:ascii="Arial" w:hAnsi="Arial" w:cs="Arial"/>
          <w:color w:val="000000"/>
          <w:sz w:val="20"/>
          <w:szCs w:val="20"/>
        </w:rPr>
      </w:pPr>
      <w:r w:rsidRPr="002D2F67">
        <w:rPr>
          <w:rFonts w:ascii="Arial" w:hAnsi="Arial" w:cs="Arial"/>
          <w:color w:val="000000"/>
          <w:spacing w:val="-4"/>
          <w:sz w:val="20"/>
          <w:szCs w:val="20"/>
        </w:rPr>
        <w:t>Acquisition-related cost</w:t>
      </w:r>
      <w:r w:rsidR="003F5C40" w:rsidRPr="002D2F67">
        <w:rPr>
          <w:rFonts w:ascii="Arial" w:hAnsi="Arial" w:cs="Arial"/>
          <w:color w:val="000000"/>
          <w:spacing w:val="-4"/>
          <w:sz w:val="20"/>
          <w:szCs w:val="20"/>
        </w:rPr>
        <w:t>s</w:t>
      </w:r>
      <w:r w:rsidRPr="002D2F67">
        <w:rPr>
          <w:rFonts w:ascii="Arial" w:hAnsi="Arial" w:cs="Arial"/>
          <w:color w:val="000000"/>
          <w:spacing w:val="-4"/>
          <w:sz w:val="20"/>
          <w:szCs w:val="20"/>
        </w:rPr>
        <w:t xml:space="preserve"> are </w:t>
      </w:r>
      <w:r w:rsidR="00C24203" w:rsidRPr="002D2F67">
        <w:rPr>
          <w:rFonts w:ascii="Arial" w:hAnsi="Arial" w:cs="Arial"/>
          <w:color w:val="000000"/>
          <w:spacing w:val="-4"/>
          <w:sz w:val="20"/>
          <w:szCs w:val="20"/>
        </w:rPr>
        <w:t xml:space="preserve">recognised </w:t>
      </w:r>
      <w:r w:rsidR="00463CEC" w:rsidRPr="002D2F67">
        <w:rPr>
          <w:rFonts w:ascii="Arial" w:hAnsi="Arial" w:cs="Arial"/>
          <w:color w:val="000000"/>
          <w:spacing w:val="-4"/>
          <w:sz w:val="20"/>
          <w:szCs w:val="20"/>
        </w:rPr>
        <w:t>as expenses</w:t>
      </w:r>
      <w:r w:rsidRPr="002D2F67">
        <w:rPr>
          <w:rFonts w:ascii="Arial" w:hAnsi="Arial" w:cs="Arial"/>
          <w:color w:val="000000"/>
          <w:spacing w:val="-4"/>
          <w:sz w:val="20"/>
          <w:szCs w:val="20"/>
        </w:rPr>
        <w:t xml:space="preserve"> </w:t>
      </w:r>
      <w:r w:rsidR="004479A6" w:rsidRPr="002D2F67">
        <w:rPr>
          <w:rFonts w:ascii="Arial" w:hAnsi="Arial" w:cs="Arial"/>
          <w:color w:val="000000"/>
          <w:spacing w:val="-4"/>
          <w:sz w:val="20"/>
          <w:szCs w:val="20"/>
        </w:rPr>
        <w:t xml:space="preserve">in </w:t>
      </w:r>
      <w:r w:rsidR="007B44D8" w:rsidRPr="002D2F67">
        <w:rPr>
          <w:rFonts w:ascii="Arial" w:hAnsi="Arial" w:cs="Arial"/>
          <w:color w:val="000000"/>
          <w:spacing w:val="-4"/>
          <w:sz w:val="20"/>
          <w:szCs w:val="20"/>
        </w:rPr>
        <w:t>the</w:t>
      </w:r>
      <w:r w:rsidRPr="002D2F67">
        <w:rPr>
          <w:rFonts w:ascii="Arial" w:hAnsi="Arial" w:cs="Arial"/>
          <w:color w:val="000000"/>
          <w:spacing w:val="-4"/>
          <w:sz w:val="20"/>
          <w:szCs w:val="20"/>
        </w:rPr>
        <w:t xml:space="preserve"> consolidated financial</w:t>
      </w:r>
      <w:r w:rsidR="004479A6" w:rsidRPr="002D2F67">
        <w:rPr>
          <w:rFonts w:ascii="Arial" w:hAnsi="Arial" w:cs="Arial"/>
          <w:color w:val="000000"/>
          <w:spacing w:val="-4"/>
          <w:sz w:val="20"/>
          <w:szCs w:val="20"/>
        </w:rPr>
        <w:t xml:space="preserve"> </w:t>
      </w:r>
      <w:r w:rsidRPr="002D2F67">
        <w:rPr>
          <w:rFonts w:ascii="Arial" w:hAnsi="Arial" w:cs="Arial"/>
          <w:color w:val="000000"/>
          <w:spacing w:val="-4"/>
          <w:sz w:val="20"/>
          <w:szCs w:val="20"/>
        </w:rPr>
        <w:t>statements</w:t>
      </w:r>
      <w:r w:rsidR="00EC5F29" w:rsidRPr="002D2F67">
        <w:rPr>
          <w:rFonts w:ascii="Arial" w:hAnsi="Arial" w:cs="Arial"/>
          <w:color w:val="000000"/>
          <w:sz w:val="20"/>
          <w:szCs w:val="20"/>
        </w:rPr>
        <w:t>.</w:t>
      </w:r>
    </w:p>
    <w:p w14:paraId="68367CF2" w14:textId="77777777" w:rsidR="00531E8A" w:rsidRPr="002D2F67" w:rsidRDefault="00531E8A" w:rsidP="005611FE">
      <w:pPr>
        <w:ind w:left="567"/>
        <w:jc w:val="thaiDistribute"/>
        <w:rPr>
          <w:rFonts w:ascii="Arial" w:hAnsi="Arial" w:cs="Arial"/>
          <w:color w:val="000000"/>
          <w:sz w:val="16"/>
          <w:szCs w:val="16"/>
        </w:rPr>
      </w:pPr>
    </w:p>
    <w:p w14:paraId="7B53D96B" w14:textId="77777777" w:rsidR="0011557E" w:rsidRPr="002D2F67" w:rsidRDefault="0011557E" w:rsidP="005611FE">
      <w:pPr>
        <w:pStyle w:val="HeadSub1-5EA"/>
        <w:ind w:left="544" w:firstLine="23"/>
        <w:outlineLvl w:val="2"/>
        <w:rPr>
          <w:rFonts w:ascii="Arial" w:hAnsi="Arial" w:cs="Arial"/>
          <w:b w:val="0"/>
          <w:bCs w:val="0"/>
          <w:i/>
          <w:iCs/>
          <w:color w:val="000000"/>
          <w:sz w:val="20"/>
          <w:szCs w:val="20"/>
        </w:rPr>
      </w:pPr>
      <w:r w:rsidRPr="002D2F67">
        <w:rPr>
          <w:rFonts w:ascii="Arial" w:hAnsi="Arial" w:cs="Arial"/>
          <w:b w:val="0"/>
          <w:bCs w:val="0"/>
          <w:i/>
          <w:iCs/>
          <w:color w:val="000000"/>
          <w:sz w:val="20"/>
          <w:szCs w:val="20"/>
        </w:rPr>
        <w:t>Step-up acquisition</w:t>
      </w:r>
    </w:p>
    <w:p w14:paraId="5AC8D288" w14:textId="77777777" w:rsidR="0011557E" w:rsidRPr="002D2F67" w:rsidRDefault="0011557E" w:rsidP="005611FE">
      <w:pPr>
        <w:ind w:left="567"/>
        <w:jc w:val="both"/>
        <w:rPr>
          <w:rFonts w:ascii="Arial" w:eastAsia="Arial" w:hAnsi="Arial" w:cs="Arial"/>
          <w:i/>
          <w:iCs/>
          <w:color w:val="000000"/>
          <w:sz w:val="16"/>
          <w:szCs w:val="16"/>
        </w:rPr>
      </w:pPr>
    </w:p>
    <w:p w14:paraId="6541A490" w14:textId="799C613B" w:rsidR="0011557E" w:rsidRPr="002D2F67" w:rsidRDefault="0011557E" w:rsidP="005611FE">
      <w:pPr>
        <w:ind w:left="567"/>
        <w:jc w:val="thaiDistribute"/>
        <w:rPr>
          <w:rFonts w:ascii="Arial" w:hAnsi="Arial" w:cs="Arial"/>
          <w:color w:val="000000"/>
          <w:sz w:val="20"/>
          <w:szCs w:val="20"/>
        </w:rPr>
      </w:pPr>
      <w:r w:rsidRPr="002D2F67">
        <w:rPr>
          <w:rFonts w:ascii="Arial" w:hAnsi="Arial" w:cs="Arial"/>
          <w:color w:val="000000"/>
          <w:spacing w:val="-4"/>
          <w:sz w:val="20"/>
          <w:szCs w:val="20"/>
        </w:rPr>
        <w:t xml:space="preserve">If the business combination is achieved in stages, the acquisition date carrying value of the acquirer’s </w:t>
      </w:r>
      <w:r w:rsidRPr="002D2F67">
        <w:rPr>
          <w:rFonts w:ascii="Arial" w:hAnsi="Arial" w:cs="Arial"/>
          <w:color w:val="000000"/>
          <w:sz w:val="20"/>
          <w:szCs w:val="20"/>
        </w:rPr>
        <w:t>previously held equity interest in the acquiree is re-measured to fair value at the acquisition date</w:t>
      </w:r>
      <w:r w:rsidR="00FC17AF" w:rsidRPr="002D2F67">
        <w:rPr>
          <w:rFonts w:ascii="Arial" w:hAnsi="Arial" w:cs="Arial"/>
          <w:color w:val="000000"/>
          <w:sz w:val="20"/>
          <w:szCs w:val="20"/>
        </w:rPr>
        <w:t>.</w:t>
      </w:r>
      <w:r w:rsidRPr="002D2F67">
        <w:rPr>
          <w:rFonts w:ascii="Arial" w:hAnsi="Arial" w:cs="Arial"/>
          <w:color w:val="000000"/>
          <w:sz w:val="20"/>
          <w:szCs w:val="20"/>
        </w:rPr>
        <w:t xml:space="preserve"> </w:t>
      </w:r>
      <w:r w:rsidR="00FC17AF" w:rsidRPr="002D2F67">
        <w:rPr>
          <w:rFonts w:ascii="Arial" w:hAnsi="Arial" w:cs="Arial"/>
          <w:color w:val="000000"/>
          <w:sz w:val="20"/>
          <w:szCs w:val="20"/>
        </w:rPr>
        <w:br/>
        <w:t>A</w:t>
      </w:r>
      <w:r w:rsidRPr="002D2F67">
        <w:rPr>
          <w:rFonts w:ascii="Arial" w:hAnsi="Arial" w:cs="Arial"/>
          <w:color w:val="000000"/>
          <w:sz w:val="20"/>
          <w:szCs w:val="20"/>
        </w:rPr>
        <w:t>ny gains or losses arising from such re-measured are recognised in profit or loss.</w:t>
      </w:r>
    </w:p>
    <w:p w14:paraId="22531D81" w14:textId="3DB09F3B" w:rsidR="002E457B" w:rsidRPr="002D2F67" w:rsidRDefault="002E457B" w:rsidP="005611FE">
      <w:pPr>
        <w:ind w:left="567"/>
        <w:jc w:val="both"/>
        <w:rPr>
          <w:rFonts w:ascii="Arial" w:eastAsia="Arial" w:hAnsi="Arial" w:cs="Arial"/>
          <w:color w:val="000000"/>
          <w:sz w:val="16"/>
          <w:szCs w:val="16"/>
        </w:rPr>
      </w:pPr>
    </w:p>
    <w:p w14:paraId="699F94A2" w14:textId="77777777" w:rsidR="002E457B" w:rsidRPr="002D2F67" w:rsidRDefault="002E457B" w:rsidP="005611FE">
      <w:pPr>
        <w:pStyle w:val="HeadSub1-5EA"/>
        <w:ind w:left="544" w:firstLine="23"/>
        <w:outlineLvl w:val="2"/>
        <w:rPr>
          <w:rFonts w:ascii="Arial" w:hAnsi="Arial" w:cs="Arial"/>
          <w:b w:val="0"/>
          <w:bCs w:val="0"/>
          <w:i/>
          <w:iCs/>
          <w:color w:val="000000"/>
          <w:sz w:val="20"/>
          <w:szCs w:val="20"/>
        </w:rPr>
      </w:pPr>
      <w:r w:rsidRPr="002D2F67">
        <w:rPr>
          <w:rFonts w:ascii="Arial" w:hAnsi="Arial" w:cs="Arial"/>
          <w:b w:val="0"/>
          <w:bCs w:val="0"/>
          <w:i/>
          <w:iCs/>
          <w:color w:val="000000"/>
          <w:sz w:val="20"/>
          <w:szCs w:val="20"/>
        </w:rPr>
        <w:t>Business combination under common control</w:t>
      </w:r>
    </w:p>
    <w:p w14:paraId="2A160297" w14:textId="77777777" w:rsidR="002E457B" w:rsidRPr="002D2F67" w:rsidRDefault="002E457B" w:rsidP="005611FE">
      <w:pPr>
        <w:ind w:left="567"/>
        <w:jc w:val="thaiDistribute"/>
        <w:rPr>
          <w:rFonts w:ascii="Arial" w:hAnsi="Arial" w:cs="Arial"/>
          <w:color w:val="000000"/>
          <w:sz w:val="16"/>
          <w:szCs w:val="16"/>
        </w:rPr>
      </w:pPr>
    </w:p>
    <w:p w14:paraId="296E1860" w14:textId="1DB62ACC" w:rsidR="002E457B" w:rsidRPr="002D2F67" w:rsidRDefault="002E457B" w:rsidP="005611FE">
      <w:pPr>
        <w:ind w:left="567"/>
        <w:jc w:val="thaiDistribute"/>
        <w:rPr>
          <w:rFonts w:ascii="Arial" w:hAnsi="Arial" w:cs="Arial"/>
          <w:color w:val="000000"/>
          <w:sz w:val="20"/>
          <w:szCs w:val="20"/>
        </w:rPr>
      </w:pPr>
      <w:r w:rsidRPr="002D2F67">
        <w:rPr>
          <w:rFonts w:ascii="Arial" w:hAnsi="Arial" w:cs="Arial"/>
          <w:color w:val="000000"/>
          <w:sz w:val="20"/>
          <w:szCs w:val="20"/>
        </w:rPr>
        <w:t xml:space="preserve">The Group accounts for business combination under common control by measuring acquired assets </w:t>
      </w:r>
      <w:r w:rsidRPr="002D2F67">
        <w:rPr>
          <w:rFonts w:ascii="Arial" w:hAnsi="Arial" w:cs="Arial"/>
          <w:color w:val="000000"/>
          <w:spacing w:val="-4"/>
          <w:sz w:val="20"/>
          <w:szCs w:val="20"/>
        </w:rPr>
        <w:t>and liabilities of the acquiree at their carrying values presented in the highest level of the consolidation</w:t>
      </w:r>
      <w:r w:rsidRPr="002D2F67">
        <w:rPr>
          <w:rFonts w:ascii="Arial" w:hAnsi="Arial" w:cs="Arial"/>
          <w:color w:val="000000"/>
          <w:sz w:val="20"/>
          <w:szCs w:val="20"/>
        </w:rPr>
        <w:t xml:space="preserve">. The Group retrospectively adjusted the business combination under common control transactions as if the combination had occurred on the beginning of the preceding comparative period </w:t>
      </w:r>
      <w:r w:rsidR="00BF512B" w:rsidRPr="002D2F67">
        <w:rPr>
          <w:rFonts w:ascii="Arial" w:hAnsi="Arial" w:cs="Arial"/>
          <w:color w:val="000000"/>
          <w:sz w:val="20"/>
          <w:szCs w:val="20"/>
        </w:rPr>
        <w:t>or</w:t>
      </w:r>
      <w:r w:rsidRPr="002D2F67">
        <w:rPr>
          <w:rFonts w:ascii="Arial" w:hAnsi="Arial" w:cs="Arial"/>
          <w:color w:val="000000"/>
          <w:sz w:val="20"/>
          <w:szCs w:val="20"/>
        </w:rPr>
        <w:t xml:space="preserve"> the date the acquiree has become under common control</w:t>
      </w:r>
      <w:r w:rsidR="00BF512B" w:rsidRPr="002D2F67">
        <w:rPr>
          <w:rFonts w:ascii="Arial" w:hAnsi="Arial" w:cs="Arial"/>
          <w:color w:val="000000"/>
          <w:sz w:val="20"/>
          <w:szCs w:val="20"/>
        </w:rPr>
        <w:t xml:space="preserve"> if the acquisition occurred after the comparative period</w:t>
      </w:r>
      <w:r w:rsidRPr="002D2F67">
        <w:rPr>
          <w:rFonts w:ascii="Arial" w:hAnsi="Arial" w:cs="Arial"/>
          <w:color w:val="000000"/>
          <w:sz w:val="20"/>
          <w:szCs w:val="20"/>
        </w:rPr>
        <w:t>.</w:t>
      </w:r>
    </w:p>
    <w:p w14:paraId="7FA9D338" w14:textId="77777777" w:rsidR="002E457B" w:rsidRPr="002D2F67" w:rsidRDefault="002E457B" w:rsidP="005611FE">
      <w:pPr>
        <w:ind w:left="567"/>
        <w:jc w:val="thaiDistribute"/>
        <w:rPr>
          <w:rFonts w:ascii="Arial" w:hAnsi="Arial" w:cs="Arial"/>
          <w:color w:val="000000"/>
          <w:sz w:val="16"/>
          <w:szCs w:val="16"/>
        </w:rPr>
      </w:pPr>
    </w:p>
    <w:p w14:paraId="3118FBF6" w14:textId="77777777" w:rsidR="002E457B" w:rsidRPr="002D2F67" w:rsidRDefault="002E457B" w:rsidP="005611FE">
      <w:pPr>
        <w:ind w:left="567"/>
        <w:jc w:val="thaiDistribute"/>
        <w:rPr>
          <w:rFonts w:ascii="Arial" w:hAnsi="Arial" w:cs="Arial"/>
          <w:color w:val="000000"/>
          <w:sz w:val="20"/>
          <w:szCs w:val="20"/>
        </w:rPr>
      </w:pPr>
      <w:r w:rsidRPr="002D2F67">
        <w:rPr>
          <w:rFonts w:ascii="Arial" w:hAnsi="Arial" w:cs="Arial"/>
          <w:color w:val="000000"/>
          <w:spacing w:val="-2"/>
          <w:sz w:val="20"/>
          <w:szCs w:val="20"/>
        </w:rPr>
        <w:t>Consideration of business combination under common control are the aggregated amount of fair value</w:t>
      </w:r>
      <w:r w:rsidRPr="002D2F67">
        <w:rPr>
          <w:rFonts w:ascii="Arial" w:hAnsi="Arial" w:cs="Arial"/>
          <w:color w:val="000000"/>
          <w:sz w:val="20"/>
          <w:szCs w:val="20"/>
        </w:rPr>
        <w:t xml:space="preserve"> of assets transferred, liabilities </w:t>
      </w:r>
      <w:proofErr w:type="gramStart"/>
      <w:r w:rsidRPr="002D2F67">
        <w:rPr>
          <w:rFonts w:ascii="Arial" w:hAnsi="Arial" w:cs="Arial"/>
          <w:color w:val="000000"/>
          <w:sz w:val="20"/>
          <w:szCs w:val="20"/>
        </w:rPr>
        <w:t>incurred</w:t>
      </w:r>
      <w:proofErr w:type="gramEnd"/>
      <w:r w:rsidRPr="002D2F67">
        <w:rPr>
          <w:rFonts w:ascii="Arial" w:hAnsi="Arial" w:cs="Arial"/>
          <w:color w:val="000000"/>
          <w:sz w:val="20"/>
          <w:szCs w:val="20"/>
        </w:rPr>
        <w:t xml:space="preserve"> and equity instruments issued by the acquirer at the date of which the exchange in control occurs.</w:t>
      </w:r>
    </w:p>
    <w:p w14:paraId="2686E682" w14:textId="77777777" w:rsidR="002E457B" w:rsidRPr="002D2F67" w:rsidRDefault="002E457B" w:rsidP="005611FE">
      <w:pPr>
        <w:ind w:left="567"/>
        <w:jc w:val="thaiDistribute"/>
        <w:rPr>
          <w:rFonts w:ascii="Arial" w:hAnsi="Arial" w:cs="Arial"/>
          <w:color w:val="000000"/>
          <w:sz w:val="16"/>
          <w:szCs w:val="16"/>
        </w:rPr>
      </w:pPr>
    </w:p>
    <w:p w14:paraId="2045D069" w14:textId="77777777" w:rsidR="002E457B" w:rsidRPr="002D2F67" w:rsidRDefault="002E457B" w:rsidP="005611FE">
      <w:pPr>
        <w:ind w:left="567"/>
        <w:jc w:val="thaiDistribute"/>
        <w:rPr>
          <w:rFonts w:ascii="Arial" w:hAnsi="Arial" w:cs="Arial"/>
          <w:color w:val="000000"/>
          <w:sz w:val="20"/>
          <w:szCs w:val="20"/>
        </w:rPr>
      </w:pPr>
      <w:r w:rsidRPr="002D2F67">
        <w:rPr>
          <w:rFonts w:ascii="Arial" w:hAnsi="Arial" w:cs="Arial"/>
          <w:color w:val="000000"/>
          <w:sz w:val="20"/>
          <w:szCs w:val="20"/>
        </w:rPr>
        <w:t>The difference between consideration under business combination under common control and the acquirer’s interests in the carrying value of the acquiree is presented as “surplus</w:t>
      </w:r>
      <w:r w:rsidR="00D6289F" w:rsidRPr="002D2F67">
        <w:rPr>
          <w:rFonts w:ascii="Arial" w:hAnsi="Arial" w:cs="Arial"/>
          <w:color w:val="000000"/>
          <w:sz w:val="20"/>
          <w:szCs w:val="20"/>
        </w:rPr>
        <w:t xml:space="preserve"> (discount)</w:t>
      </w:r>
      <w:r w:rsidRPr="002D2F67">
        <w:rPr>
          <w:rFonts w:ascii="Arial" w:hAnsi="Arial" w:cs="Arial"/>
          <w:color w:val="000000"/>
          <w:sz w:val="20"/>
          <w:szCs w:val="20"/>
        </w:rPr>
        <w:t xml:space="preserve"> arising </w:t>
      </w:r>
      <w:r w:rsidRPr="002D2F67">
        <w:rPr>
          <w:rFonts w:ascii="Arial" w:hAnsi="Arial" w:cs="Arial"/>
          <w:color w:val="000000"/>
          <w:spacing w:val="-4"/>
          <w:sz w:val="20"/>
          <w:szCs w:val="20"/>
        </w:rPr>
        <w:t>from business combination under common control” in equity and is derecognised when the investment</w:t>
      </w:r>
      <w:r w:rsidRPr="002D2F67">
        <w:rPr>
          <w:rFonts w:ascii="Arial" w:hAnsi="Arial" w:cs="Arial"/>
          <w:color w:val="000000"/>
          <w:sz w:val="20"/>
          <w:szCs w:val="20"/>
        </w:rPr>
        <w:t xml:space="preserve"> is disposed by transferred to retained earnings. </w:t>
      </w:r>
    </w:p>
    <w:p w14:paraId="1F1DC0D0" w14:textId="77777777" w:rsidR="003C5A84" w:rsidRPr="002D2F67" w:rsidRDefault="003C5A84" w:rsidP="00A70C0C">
      <w:pPr>
        <w:ind w:left="567"/>
        <w:jc w:val="both"/>
        <w:rPr>
          <w:rFonts w:ascii="Arial" w:eastAsia="Arial" w:hAnsi="Arial" w:cs="Arial"/>
          <w:color w:val="000000"/>
          <w:sz w:val="16"/>
          <w:szCs w:val="16"/>
        </w:rPr>
      </w:pPr>
    </w:p>
    <w:p w14:paraId="4EB8F071" w14:textId="2AE60558" w:rsidR="00FE37B6" w:rsidRPr="002D2F67" w:rsidRDefault="00CD5714" w:rsidP="005611FE">
      <w:pPr>
        <w:pStyle w:val="HeadSub1-5EA"/>
        <w:rPr>
          <w:rFonts w:ascii="Arial" w:hAnsi="Arial" w:cs="Arial"/>
          <w:color w:val="000000"/>
          <w:sz w:val="20"/>
          <w:szCs w:val="20"/>
        </w:rPr>
      </w:pPr>
      <w:r w:rsidRPr="00CD5714">
        <w:rPr>
          <w:rFonts w:ascii="Arial" w:hAnsi="Arial" w:cs="Arial"/>
          <w:color w:val="000000"/>
          <w:sz w:val="20"/>
          <w:szCs w:val="20"/>
          <w:lang w:val="en-GB"/>
        </w:rPr>
        <w:t>5</w:t>
      </w:r>
      <w:r w:rsidR="00FE37B6" w:rsidRPr="002D2F67">
        <w:rPr>
          <w:rFonts w:ascii="Arial" w:hAnsi="Arial" w:cs="Arial"/>
          <w:color w:val="000000"/>
          <w:sz w:val="20"/>
          <w:szCs w:val="20"/>
        </w:rPr>
        <w:t>.</w:t>
      </w:r>
      <w:r w:rsidRPr="00CD5714">
        <w:rPr>
          <w:rFonts w:ascii="Arial" w:hAnsi="Arial" w:cs="Arial"/>
          <w:color w:val="000000"/>
          <w:sz w:val="20"/>
          <w:szCs w:val="20"/>
          <w:lang w:val="en-GB"/>
        </w:rPr>
        <w:t>3</w:t>
      </w:r>
      <w:r w:rsidR="00FE37B6" w:rsidRPr="002D2F67">
        <w:rPr>
          <w:rFonts w:ascii="Arial" w:hAnsi="Arial" w:cs="Arial"/>
          <w:color w:val="000000"/>
          <w:sz w:val="20"/>
          <w:szCs w:val="20"/>
        </w:rPr>
        <w:tab/>
      </w:r>
      <w:r w:rsidR="0094402D" w:rsidRPr="002D2F67">
        <w:rPr>
          <w:rFonts w:ascii="Arial" w:hAnsi="Arial" w:cs="Arial"/>
          <w:color w:val="000000"/>
          <w:sz w:val="20"/>
          <w:szCs w:val="20"/>
        </w:rPr>
        <w:t>Functional and presentation currency</w:t>
      </w:r>
    </w:p>
    <w:p w14:paraId="27ED0BB3" w14:textId="77777777" w:rsidR="00FE37B6" w:rsidRPr="002D2F67" w:rsidRDefault="00FE37B6" w:rsidP="00A70C0C">
      <w:pPr>
        <w:ind w:left="567"/>
        <w:jc w:val="both"/>
        <w:rPr>
          <w:rFonts w:ascii="Arial" w:eastAsia="Arial" w:hAnsi="Arial" w:cs="Arial"/>
          <w:color w:val="000000"/>
          <w:sz w:val="16"/>
          <w:szCs w:val="16"/>
        </w:rPr>
      </w:pPr>
    </w:p>
    <w:p w14:paraId="4FFEDAF2" w14:textId="069C53BB" w:rsidR="00FE37B6" w:rsidRPr="002D2F67" w:rsidRDefault="002A5BC6" w:rsidP="005611FE">
      <w:pPr>
        <w:ind w:left="540"/>
        <w:jc w:val="thaiDistribute"/>
        <w:rPr>
          <w:rFonts w:ascii="Arial" w:hAnsi="Arial" w:cs="Arial"/>
          <w:color w:val="000000"/>
          <w:sz w:val="20"/>
          <w:szCs w:val="20"/>
        </w:rPr>
      </w:pPr>
      <w:r w:rsidRPr="002D2F67">
        <w:rPr>
          <w:rFonts w:ascii="Arial" w:hAnsi="Arial" w:cs="Arial"/>
          <w:sz w:val="20"/>
          <w:szCs w:val="20"/>
        </w:rPr>
        <w:t xml:space="preserve">Items included in the financial statements of each of the Group’s entities are measured using the currency of the primary economic environment in which the entity operates (the functional currency). </w:t>
      </w:r>
      <w:r w:rsidRPr="002D2F67">
        <w:rPr>
          <w:rFonts w:ascii="Arial" w:hAnsi="Arial" w:cs="Arial"/>
          <w:spacing w:val="-4"/>
          <w:sz w:val="20"/>
          <w:szCs w:val="20"/>
        </w:rPr>
        <w:t>The financial statements are presented in Thai Baht, which is the functional currency of the Company</w:t>
      </w:r>
      <w:r w:rsidRPr="002D2F67">
        <w:rPr>
          <w:rFonts w:ascii="Arial" w:hAnsi="Arial" w:cs="Arial"/>
          <w:sz w:val="20"/>
          <w:szCs w:val="20"/>
        </w:rPr>
        <w:t xml:space="preserve"> and the presentation currency of the Group and the Company</w:t>
      </w:r>
      <w:r w:rsidR="00FE37B6" w:rsidRPr="002D2F67">
        <w:rPr>
          <w:rFonts w:ascii="Arial" w:hAnsi="Arial" w:cs="Arial"/>
          <w:color w:val="000000"/>
          <w:sz w:val="20"/>
          <w:szCs w:val="20"/>
        </w:rPr>
        <w:t>.</w:t>
      </w:r>
    </w:p>
    <w:p w14:paraId="3991F402" w14:textId="77777777" w:rsidR="00625D51" w:rsidRPr="002D2F67" w:rsidRDefault="00625D51" w:rsidP="00A70C0C">
      <w:pPr>
        <w:ind w:left="567"/>
        <w:jc w:val="both"/>
        <w:rPr>
          <w:rFonts w:ascii="Arial" w:eastAsia="Arial" w:hAnsi="Arial" w:cs="Arial"/>
          <w:color w:val="000000"/>
          <w:sz w:val="16"/>
          <w:szCs w:val="16"/>
        </w:rPr>
      </w:pPr>
    </w:p>
    <w:p w14:paraId="1FEE3286" w14:textId="08E68F8B" w:rsidR="00625D51" w:rsidRPr="002D2F67" w:rsidRDefault="00CD5714" w:rsidP="00625D51">
      <w:pPr>
        <w:pStyle w:val="HeadSub1-5EA"/>
        <w:rPr>
          <w:rFonts w:ascii="Arial" w:hAnsi="Arial" w:cs="Arial"/>
          <w:color w:val="000000"/>
          <w:sz w:val="20"/>
          <w:szCs w:val="20"/>
        </w:rPr>
      </w:pPr>
      <w:r w:rsidRPr="00CD5714">
        <w:rPr>
          <w:rFonts w:ascii="Arial" w:hAnsi="Arial" w:cs="Arial"/>
          <w:color w:val="000000"/>
          <w:sz w:val="20"/>
          <w:szCs w:val="20"/>
          <w:lang w:val="en-GB"/>
        </w:rPr>
        <w:t>5</w:t>
      </w:r>
      <w:r w:rsidR="00625D51" w:rsidRPr="002D2F67">
        <w:rPr>
          <w:rFonts w:ascii="Arial" w:hAnsi="Arial" w:cs="Arial"/>
          <w:color w:val="000000"/>
          <w:sz w:val="20"/>
          <w:szCs w:val="20"/>
        </w:rPr>
        <w:t>.</w:t>
      </w:r>
      <w:r w:rsidRPr="00CD5714">
        <w:rPr>
          <w:rFonts w:ascii="Arial" w:hAnsi="Arial" w:cs="Arial"/>
          <w:color w:val="000000"/>
          <w:sz w:val="20"/>
          <w:szCs w:val="20"/>
          <w:lang w:val="en-GB"/>
        </w:rPr>
        <w:t>4</w:t>
      </w:r>
      <w:r w:rsidR="00625D51" w:rsidRPr="002D2F67">
        <w:rPr>
          <w:rFonts w:ascii="Arial" w:hAnsi="Arial" w:cs="Arial"/>
          <w:color w:val="000000"/>
          <w:sz w:val="20"/>
          <w:szCs w:val="20"/>
        </w:rPr>
        <w:tab/>
        <w:t xml:space="preserve">Cash and </w:t>
      </w:r>
      <w:r w:rsidR="00042797" w:rsidRPr="002D2F67">
        <w:rPr>
          <w:rFonts w:ascii="Arial" w:hAnsi="Arial" w:cs="Arial"/>
          <w:color w:val="000000"/>
          <w:sz w:val="20"/>
          <w:szCs w:val="20"/>
        </w:rPr>
        <w:t>cash equivalents</w:t>
      </w:r>
    </w:p>
    <w:p w14:paraId="5237C6FA" w14:textId="555E097B" w:rsidR="00625D51" w:rsidRPr="002D2F67" w:rsidRDefault="00625D51" w:rsidP="00A70C0C">
      <w:pPr>
        <w:ind w:left="567"/>
        <w:jc w:val="both"/>
        <w:rPr>
          <w:rFonts w:ascii="Arial" w:eastAsia="Arial" w:hAnsi="Arial" w:cs="Arial"/>
          <w:color w:val="000000"/>
          <w:sz w:val="16"/>
          <w:szCs w:val="16"/>
        </w:rPr>
      </w:pPr>
    </w:p>
    <w:p w14:paraId="6800D9AE" w14:textId="47C513F1" w:rsidR="00625D51" w:rsidRPr="002D2F67" w:rsidRDefault="00233054" w:rsidP="005611FE">
      <w:pPr>
        <w:ind w:left="540"/>
        <w:jc w:val="thaiDistribute"/>
        <w:rPr>
          <w:rFonts w:ascii="Arial" w:hAnsi="Arial" w:cs="Arial"/>
          <w:color w:val="000000"/>
          <w:spacing w:val="-2"/>
          <w:sz w:val="20"/>
          <w:szCs w:val="20"/>
        </w:rPr>
      </w:pPr>
      <w:r w:rsidRPr="002D2F67">
        <w:rPr>
          <w:rFonts w:ascii="Arial" w:hAnsi="Arial" w:cs="Arial"/>
          <w:color w:val="000000"/>
          <w:spacing w:val="-2"/>
          <w:sz w:val="20"/>
          <w:szCs w:val="20"/>
        </w:rPr>
        <w:t>In the statement</w:t>
      </w:r>
      <w:r w:rsidR="00F14CF8" w:rsidRPr="002D2F67">
        <w:rPr>
          <w:rFonts w:ascii="Arial" w:hAnsi="Arial" w:cs="Arial"/>
          <w:color w:val="000000"/>
          <w:spacing w:val="-2"/>
          <w:sz w:val="20"/>
          <w:szCs w:val="20"/>
        </w:rPr>
        <w:t xml:space="preserve"> of </w:t>
      </w:r>
      <w:r w:rsidRPr="002D2F67">
        <w:rPr>
          <w:rFonts w:ascii="Arial" w:hAnsi="Arial" w:cs="Arial"/>
          <w:color w:val="000000"/>
          <w:spacing w:val="-2"/>
          <w:sz w:val="20"/>
          <w:szCs w:val="20"/>
        </w:rPr>
        <w:t>cash flow</w:t>
      </w:r>
      <w:r w:rsidR="00A16D0B" w:rsidRPr="002D2F67">
        <w:rPr>
          <w:rFonts w:ascii="Arial" w:hAnsi="Arial" w:cs="Arial"/>
          <w:color w:val="000000"/>
          <w:spacing w:val="-2"/>
          <w:sz w:val="20"/>
          <w:szCs w:val="25"/>
        </w:rPr>
        <w:t>s</w:t>
      </w:r>
      <w:r w:rsidRPr="002D2F67">
        <w:rPr>
          <w:rFonts w:ascii="Arial" w:hAnsi="Arial" w:cs="Arial"/>
          <w:color w:val="000000"/>
          <w:spacing w:val="-2"/>
          <w:sz w:val="20"/>
          <w:szCs w:val="20"/>
        </w:rPr>
        <w:t xml:space="preserve">, cash and cash equivalents include cash on hand, deposits </w:t>
      </w:r>
      <w:r w:rsidR="00896915" w:rsidRPr="002D2F67">
        <w:rPr>
          <w:rFonts w:ascii="Arial" w:hAnsi="Arial" w:cs="Arial"/>
          <w:color w:val="000000"/>
          <w:spacing w:val="-2"/>
          <w:sz w:val="20"/>
          <w:szCs w:val="20"/>
        </w:rPr>
        <w:t xml:space="preserve">held </w:t>
      </w:r>
      <w:r w:rsidRPr="002D2F67">
        <w:rPr>
          <w:rFonts w:ascii="Arial" w:hAnsi="Arial" w:cs="Arial"/>
          <w:color w:val="000000"/>
          <w:spacing w:val="-2"/>
          <w:sz w:val="20"/>
          <w:szCs w:val="20"/>
        </w:rPr>
        <w:t xml:space="preserve">at </w:t>
      </w:r>
      <w:r w:rsidR="00896915" w:rsidRPr="002D2F67">
        <w:rPr>
          <w:rFonts w:ascii="Arial" w:hAnsi="Arial" w:cs="Arial"/>
          <w:color w:val="000000"/>
          <w:spacing w:val="-2"/>
          <w:sz w:val="20"/>
          <w:szCs w:val="20"/>
        </w:rPr>
        <w:t>call</w:t>
      </w:r>
      <w:r w:rsidRPr="002D2F67">
        <w:rPr>
          <w:rFonts w:ascii="Arial" w:hAnsi="Arial" w:cs="Arial"/>
          <w:color w:val="000000"/>
          <w:spacing w:val="-2"/>
          <w:sz w:val="20"/>
          <w:szCs w:val="20"/>
        </w:rPr>
        <w:t xml:space="preserve">, </w:t>
      </w:r>
      <w:r w:rsidRPr="002D2F67">
        <w:rPr>
          <w:rFonts w:ascii="Arial" w:hAnsi="Arial" w:cs="Arial"/>
          <w:color w:val="000000"/>
          <w:spacing w:val="-6"/>
          <w:sz w:val="20"/>
          <w:szCs w:val="20"/>
        </w:rPr>
        <w:t>and other highly liquid short-term investments with maturities of three months or less from acquisition date</w:t>
      </w:r>
      <w:r w:rsidRPr="002D2F67">
        <w:rPr>
          <w:rFonts w:ascii="Arial" w:hAnsi="Arial" w:cs="Arial"/>
          <w:color w:val="000000"/>
          <w:spacing w:val="-2"/>
          <w:sz w:val="20"/>
          <w:szCs w:val="20"/>
        </w:rPr>
        <w:t>.</w:t>
      </w:r>
    </w:p>
    <w:p w14:paraId="7F226674" w14:textId="77777777" w:rsidR="00FE37B6" w:rsidRPr="002D2F67" w:rsidRDefault="00FE37B6" w:rsidP="00A70C0C">
      <w:pPr>
        <w:ind w:left="567"/>
        <w:jc w:val="both"/>
        <w:rPr>
          <w:rFonts w:ascii="Arial" w:eastAsia="Arial" w:hAnsi="Arial" w:cs="Arial"/>
          <w:color w:val="000000"/>
          <w:sz w:val="16"/>
          <w:szCs w:val="16"/>
        </w:rPr>
      </w:pPr>
    </w:p>
    <w:p w14:paraId="0BD9A2C3" w14:textId="6B73659D" w:rsidR="00FE37B6" w:rsidRPr="002D2F67" w:rsidRDefault="00CD5714" w:rsidP="005611FE">
      <w:pPr>
        <w:pStyle w:val="HeadSub1-5EA"/>
        <w:rPr>
          <w:rFonts w:ascii="Arial" w:hAnsi="Arial" w:cs="Arial"/>
          <w:color w:val="000000"/>
          <w:sz w:val="20"/>
          <w:szCs w:val="20"/>
        </w:rPr>
      </w:pPr>
      <w:r w:rsidRPr="00CD5714">
        <w:rPr>
          <w:rFonts w:ascii="Arial" w:hAnsi="Arial" w:cs="Arial"/>
          <w:color w:val="000000"/>
          <w:sz w:val="20"/>
          <w:szCs w:val="20"/>
          <w:lang w:val="en-GB"/>
        </w:rPr>
        <w:t>5</w:t>
      </w:r>
      <w:r w:rsidR="00FE37B6" w:rsidRPr="002D2F67">
        <w:rPr>
          <w:rFonts w:ascii="Arial" w:hAnsi="Arial" w:cs="Arial"/>
          <w:color w:val="000000"/>
          <w:sz w:val="20"/>
          <w:szCs w:val="20"/>
        </w:rPr>
        <w:t>.</w:t>
      </w:r>
      <w:r w:rsidRPr="00CD5714">
        <w:rPr>
          <w:rFonts w:ascii="Arial" w:hAnsi="Arial" w:cs="Arial"/>
          <w:color w:val="000000"/>
          <w:sz w:val="20"/>
          <w:szCs w:val="20"/>
          <w:lang w:val="en-GB"/>
        </w:rPr>
        <w:t>5</w:t>
      </w:r>
      <w:r w:rsidR="00FE37B6" w:rsidRPr="002D2F67">
        <w:rPr>
          <w:rFonts w:ascii="Arial" w:hAnsi="Arial" w:cs="Arial"/>
          <w:color w:val="000000"/>
          <w:sz w:val="20"/>
          <w:szCs w:val="20"/>
        </w:rPr>
        <w:tab/>
        <w:t>Trade accounts receivable</w:t>
      </w:r>
    </w:p>
    <w:p w14:paraId="3745BAB4" w14:textId="77777777" w:rsidR="00FE37B6" w:rsidRPr="002D2F67" w:rsidRDefault="00FE37B6" w:rsidP="00A70C0C">
      <w:pPr>
        <w:ind w:left="567"/>
        <w:jc w:val="both"/>
        <w:rPr>
          <w:rFonts w:ascii="Arial" w:eastAsia="Arial" w:hAnsi="Arial" w:cs="Arial"/>
          <w:color w:val="000000"/>
          <w:sz w:val="16"/>
          <w:szCs w:val="16"/>
        </w:rPr>
      </w:pPr>
    </w:p>
    <w:p w14:paraId="09185726" w14:textId="4B2C0987" w:rsidR="008B1784" w:rsidRPr="002D2F67" w:rsidRDefault="008B1784" w:rsidP="005611FE">
      <w:pPr>
        <w:ind w:left="540"/>
        <w:jc w:val="both"/>
        <w:rPr>
          <w:rFonts w:ascii="Arial" w:hAnsi="Arial" w:cs="Arial"/>
          <w:color w:val="000000"/>
          <w:spacing w:val="-2"/>
          <w:sz w:val="20"/>
          <w:szCs w:val="20"/>
        </w:rPr>
      </w:pPr>
      <w:r w:rsidRPr="002D2F67">
        <w:rPr>
          <w:rFonts w:ascii="Arial" w:hAnsi="Arial" w:cs="Arial"/>
          <w:color w:val="000000"/>
          <w:spacing w:val="-2"/>
          <w:sz w:val="20"/>
          <w:szCs w:val="20"/>
        </w:rPr>
        <w:t>Trade</w:t>
      </w:r>
      <w:r w:rsidR="0011557E" w:rsidRPr="002D2F67">
        <w:rPr>
          <w:rFonts w:ascii="Arial" w:hAnsi="Arial" w:cs="Arial"/>
          <w:color w:val="000000"/>
          <w:spacing w:val="-2"/>
          <w:sz w:val="20"/>
          <w:szCs w:val="20"/>
        </w:rPr>
        <w:t xml:space="preserve"> accounts</w:t>
      </w:r>
      <w:r w:rsidRPr="002D2F67">
        <w:rPr>
          <w:rFonts w:ascii="Arial" w:hAnsi="Arial" w:cs="Arial"/>
          <w:color w:val="000000"/>
          <w:spacing w:val="-2"/>
          <w:sz w:val="20"/>
          <w:szCs w:val="20"/>
        </w:rPr>
        <w:t xml:space="preserve"> receivable are amounts due from customers for goods sold or services performed in </w:t>
      </w:r>
      <w:r w:rsidRPr="002D2F67">
        <w:rPr>
          <w:rFonts w:ascii="Arial" w:hAnsi="Arial" w:cs="Arial"/>
          <w:color w:val="000000"/>
          <w:spacing w:val="-6"/>
          <w:sz w:val="20"/>
          <w:szCs w:val="20"/>
        </w:rPr>
        <w:t xml:space="preserve">the ordinary course of business. They are generally due for settlement within </w:t>
      </w:r>
      <w:r w:rsidR="00CD5714" w:rsidRPr="00CD5714">
        <w:rPr>
          <w:rFonts w:ascii="Arial" w:hAnsi="Arial" w:cs="Arial"/>
          <w:color w:val="000000"/>
          <w:spacing w:val="-6"/>
          <w:sz w:val="20"/>
          <w:szCs w:val="20"/>
          <w:lang w:val="en-GB"/>
        </w:rPr>
        <w:t>30</w:t>
      </w:r>
      <w:r w:rsidRPr="002D2F67">
        <w:rPr>
          <w:rFonts w:ascii="Arial" w:hAnsi="Arial" w:cs="Arial"/>
          <w:color w:val="000000"/>
          <w:spacing w:val="-6"/>
          <w:sz w:val="20"/>
          <w:szCs w:val="20"/>
        </w:rPr>
        <w:t xml:space="preserve"> </w:t>
      </w:r>
      <w:r w:rsidR="002A5BC6" w:rsidRPr="002D2F67">
        <w:rPr>
          <w:rFonts w:ascii="Arial" w:hAnsi="Arial" w:cs="Arial"/>
          <w:color w:val="000000"/>
          <w:spacing w:val="-6"/>
          <w:sz w:val="20"/>
          <w:szCs w:val="20"/>
        </w:rPr>
        <w:t>to</w:t>
      </w:r>
      <w:r w:rsidR="008E421B" w:rsidRPr="002D2F67">
        <w:rPr>
          <w:rFonts w:ascii="Arial" w:hAnsi="Arial" w:cs="Arial"/>
          <w:color w:val="000000"/>
          <w:spacing w:val="-6"/>
          <w:sz w:val="20"/>
          <w:szCs w:val="20"/>
        </w:rPr>
        <w:t xml:space="preserve"> </w:t>
      </w:r>
      <w:r w:rsidR="00CD5714" w:rsidRPr="00CD5714">
        <w:rPr>
          <w:rFonts w:ascii="Arial" w:hAnsi="Arial" w:cs="Arial"/>
          <w:color w:val="000000"/>
          <w:spacing w:val="-6"/>
          <w:sz w:val="20"/>
          <w:szCs w:val="20"/>
          <w:lang w:val="en-GB"/>
        </w:rPr>
        <w:t>45</w:t>
      </w:r>
      <w:r w:rsidR="008E421B" w:rsidRPr="002D2F67">
        <w:rPr>
          <w:rFonts w:ascii="Arial" w:hAnsi="Arial" w:cs="Arial"/>
          <w:color w:val="000000"/>
          <w:spacing w:val="-6"/>
          <w:sz w:val="20"/>
          <w:szCs w:val="20"/>
        </w:rPr>
        <w:t xml:space="preserve"> </w:t>
      </w:r>
      <w:r w:rsidRPr="002D2F67">
        <w:rPr>
          <w:rFonts w:ascii="Arial" w:hAnsi="Arial" w:cs="Arial"/>
          <w:color w:val="000000"/>
          <w:spacing w:val="-6"/>
          <w:sz w:val="20"/>
          <w:szCs w:val="20"/>
        </w:rPr>
        <w:t>days and therefore</w:t>
      </w:r>
      <w:r w:rsidRPr="002D2F67">
        <w:rPr>
          <w:rFonts w:ascii="Arial" w:hAnsi="Arial" w:cs="Arial"/>
          <w:color w:val="000000"/>
          <w:spacing w:val="-2"/>
          <w:sz w:val="20"/>
          <w:szCs w:val="20"/>
        </w:rPr>
        <w:t xml:space="preserve"> are all classified as current. </w:t>
      </w:r>
    </w:p>
    <w:p w14:paraId="05D3F26C" w14:textId="77777777" w:rsidR="008B1784" w:rsidRPr="002D2F67" w:rsidRDefault="008B1784" w:rsidP="00A70C0C">
      <w:pPr>
        <w:ind w:left="567"/>
        <w:jc w:val="both"/>
        <w:rPr>
          <w:rFonts w:ascii="Arial" w:eastAsia="Arial" w:hAnsi="Arial" w:cs="Arial"/>
          <w:color w:val="000000"/>
          <w:sz w:val="16"/>
          <w:szCs w:val="16"/>
        </w:rPr>
      </w:pPr>
    </w:p>
    <w:p w14:paraId="2F07D3C1" w14:textId="0C2B6D70" w:rsidR="00FE37B6" w:rsidRPr="002D2F67" w:rsidRDefault="00D36FDB" w:rsidP="005611FE">
      <w:pPr>
        <w:ind w:left="540"/>
        <w:jc w:val="thaiDistribute"/>
        <w:rPr>
          <w:rFonts w:ascii="Arial" w:hAnsi="Arial" w:cs="Arial"/>
          <w:color w:val="000000"/>
          <w:sz w:val="20"/>
          <w:szCs w:val="20"/>
        </w:rPr>
      </w:pPr>
      <w:r w:rsidRPr="002D2F67">
        <w:rPr>
          <w:rFonts w:ascii="Arial" w:eastAsia="Arial" w:hAnsi="Arial" w:cs="Arial"/>
          <w:sz w:val="20"/>
          <w:szCs w:val="20"/>
        </w:rPr>
        <w:t xml:space="preserve">Trade </w:t>
      </w:r>
      <w:r w:rsidR="00181171" w:rsidRPr="002D2F67">
        <w:rPr>
          <w:rFonts w:ascii="Arial" w:eastAsia="Arial" w:hAnsi="Arial" w:cs="Arial"/>
          <w:spacing w:val="-6"/>
          <w:sz w:val="20"/>
          <w:szCs w:val="20"/>
        </w:rPr>
        <w:t>accounts</w:t>
      </w:r>
      <w:r w:rsidRPr="002D2F67">
        <w:rPr>
          <w:rFonts w:ascii="Arial" w:eastAsia="Arial" w:hAnsi="Arial" w:cs="Arial"/>
          <w:spacing w:val="-6"/>
          <w:sz w:val="20"/>
          <w:szCs w:val="20"/>
        </w:rPr>
        <w:t xml:space="preserve"> receivable</w:t>
      </w:r>
      <w:r w:rsidRPr="002D2F67">
        <w:rPr>
          <w:rFonts w:ascii="Arial" w:eastAsia="Arial" w:hAnsi="Arial" w:cs="Arial"/>
          <w:sz w:val="20"/>
          <w:szCs w:val="20"/>
        </w:rPr>
        <w:t xml:space="preserve"> are measures subsequently at amortised cost, which is the amount of consideration that the entity has an unconditional right to receive, less an allowance for expected credit losses</w:t>
      </w:r>
      <w:r w:rsidR="008E421B" w:rsidRPr="002D2F67">
        <w:rPr>
          <w:rFonts w:ascii="Arial" w:hAnsi="Arial" w:cs="Arial"/>
          <w:color w:val="000000"/>
          <w:sz w:val="20"/>
          <w:szCs w:val="20"/>
        </w:rPr>
        <w:t>.</w:t>
      </w:r>
    </w:p>
    <w:p w14:paraId="03014DF2" w14:textId="77777777" w:rsidR="00556910" w:rsidRPr="002D2F67" w:rsidRDefault="00556910" w:rsidP="00A70C0C">
      <w:pPr>
        <w:ind w:left="567"/>
        <w:jc w:val="both"/>
        <w:rPr>
          <w:rFonts w:ascii="Arial" w:eastAsia="Arial" w:hAnsi="Arial" w:cs="Arial"/>
          <w:color w:val="000000"/>
          <w:sz w:val="16"/>
          <w:szCs w:val="16"/>
        </w:rPr>
      </w:pPr>
    </w:p>
    <w:p w14:paraId="5149DE37" w14:textId="0D98F8B6" w:rsidR="00FE37B6" w:rsidRPr="002D2F67" w:rsidRDefault="00CD5714" w:rsidP="005611FE">
      <w:pPr>
        <w:pStyle w:val="HeadSub1-5EA"/>
        <w:rPr>
          <w:rFonts w:ascii="Arial" w:hAnsi="Arial" w:cs="Arial"/>
          <w:color w:val="000000"/>
          <w:sz w:val="20"/>
          <w:szCs w:val="20"/>
        </w:rPr>
      </w:pPr>
      <w:r w:rsidRPr="00CD5714">
        <w:rPr>
          <w:rFonts w:ascii="Arial" w:hAnsi="Arial" w:cs="Arial"/>
          <w:color w:val="000000"/>
          <w:sz w:val="20"/>
          <w:szCs w:val="20"/>
          <w:lang w:val="en-GB"/>
        </w:rPr>
        <w:t>5</w:t>
      </w:r>
      <w:r w:rsidR="00FE37B6" w:rsidRPr="002D2F67">
        <w:rPr>
          <w:rFonts w:ascii="Arial" w:hAnsi="Arial" w:cs="Arial"/>
          <w:color w:val="000000"/>
          <w:sz w:val="20"/>
          <w:szCs w:val="20"/>
        </w:rPr>
        <w:t>.</w:t>
      </w:r>
      <w:r w:rsidRPr="00CD5714">
        <w:rPr>
          <w:rFonts w:ascii="Arial" w:hAnsi="Arial" w:cs="Arial"/>
          <w:color w:val="000000"/>
          <w:sz w:val="20"/>
          <w:szCs w:val="20"/>
          <w:lang w:val="en-GB"/>
        </w:rPr>
        <w:t>6</w:t>
      </w:r>
      <w:r w:rsidR="00FE37B6" w:rsidRPr="002D2F67">
        <w:rPr>
          <w:rFonts w:ascii="Arial" w:hAnsi="Arial" w:cs="Arial"/>
          <w:color w:val="000000"/>
          <w:sz w:val="20"/>
          <w:szCs w:val="20"/>
        </w:rPr>
        <w:tab/>
        <w:t>Inventories</w:t>
      </w:r>
    </w:p>
    <w:p w14:paraId="19DEBDF9" w14:textId="77777777" w:rsidR="00FE37B6" w:rsidRPr="002D2F67" w:rsidRDefault="00FE37B6" w:rsidP="00A70C0C">
      <w:pPr>
        <w:ind w:left="567"/>
        <w:jc w:val="both"/>
        <w:rPr>
          <w:rFonts w:ascii="Arial" w:eastAsia="Arial" w:hAnsi="Arial" w:cs="Arial"/>
          <w:color w:val="000000"/>
          <w:sz w:val="16"/>
          <w:szCs w:val="16"/>
        </w:rPr>
      </w:pPr>
    </w:p>
    <w:p w14:paraId="112AB2B5" w14:textId="77777777" w:rsidR="008B1784" w:rsidRPr="002D2F67" w:rsidRDefault="008B1784" w:rsidP="005611FE">
      <w:pPr>
        <w:ind w:left="540"/>
        <w:jc w:val="both"/>
        <w:rPr>
          <w:rFonts w:ascii="Arial" w:hAnsi="Arial" w:cs="Arial"/>
          <w:color w:val="000000"/>
          <w:spacing w:val="-2"/>
          <w:sz w:val="20"/>
          <w:szCs w:val="20"/>
        </w:rPr>
      </w:pPr>
      <w:r w:rsidRPr="002D2F67">
        <w:rPr>
          <w:rFonts w:ascii="Arial" w:hAnsi="Arial" w:cs="Arial"/>
          <w:color w:val="000000"/>
          <w:spacing w:val="-2"/>
          <w:sz w:val="20"/>
          <w:szCs w:val="20"/>
        </w:rPr>
        <w:t xml:space="preserve">Inventories are stated at the lower of cost and net realisable value. </w:t>
      </w:r>
    </w:p>
    <w:p w14:paraId="2E16748A" w14:textId="77777777" w:rsidR="008B1784" w:rsidRPr="002D2F67" w:rsidRDefault="008B1784" w:rsidP="00A70C0C">
      <w:pPr>
        <w:ind w:left="567"/>
        <w:jc w:val="both"/>
        <w:rPr>
          <w:rFonts w:ascii="Arial" w:eastAsia="Arial" w:hAnsi="Arial" w:cs="Arial"/>
          <w:color w:val="000000"/>
          <w:sz w:val="16"/>
          <w:szCs w:val="16"/>
        </w:rPr>
      </w:pPr>
    </w:p>
    <w:p w14:paraId="2E81A11C" w14:textId="70D08F1C" w:rsidR="008B1784" w:rsidRPr="002D2F67" w:rsidRDefault="008B1784" w:rsidP="005611FE">
      <w:pPr>
        <w:ind w:left="540"/>
        <w:jc w:val="both"/>
        <w:rPr>
          <w:rFonts w:ascii="Arial" w:hAnsi="Arial" w:cs="Arial"/>
          <w:color w:val="000000"/>
          <w:sz w:val="20"/>
          <w:szCs w:val="20"/>
        </w:rPr>
      </w:pPr>
      <w:r w:rsidRPr="002D2F67">
        <w:rPr>
          <w:rFonts w:ascii="Arial" w:hAnsi="Arial" w:cs="Arial"/>
          <w:color w:val="000000"/>
          <w:sz w:val="20"/>
          <w:szCs w:val="20"/>
        </w:rPr>
        <w:t>Cost is determined by the first-in, first-out method</w:t>
      </w:r>
      <w:r w:rsidRPr="002D2F67">
        <w:rPr>
          <w:rFonts w:ascii="Arial" w:hAnsi="Arial" w:cs="Arial"/>
          <w:color w:val="000000"/>
          <w:spacing w:val="-4"/>
          <w:sz w:val="20"/>
          <w:szCs w:val="20"/>
        </w:rPr>
        <w:t>. The cost of purchase comprises both the purchase price and costs directly</w:t>
      </w:r>
      <w:r w:rsidRPr="002D2F67">
        <w:rPr>
          <w:rFonts w:ascii="Arial" w:hAnsi="Arial" w:cs="Arial"/>
          <w:color w:val="000000"/>
          <w:sz w:val="20"/>
          <w:szCs w:val="20"/>
        </w:rPr>
        <w:t xml:space="preserve"> attributable to the acquisition of the inventory, such as import duties and transportation charges, less all attributable discounts, allowances or rebates. </w:t>
      </w:r>
    </w:p>
    <w:p w14:paraId="3E0E73E2" w14:textId="77777777" w:rsidR="008B1784" w:rsidRPr="002D2F67" w:rsidRDefault="008B1784" w:rsidP="00A70C0C">
      <w:pPr>
        <w:ind w:left="567"/>
        <w:jc w:val="both"/>
        <w:rPr>
          <w:rFonts w:ascii="Arial" w:eastAsia="Arial" w:hAnsi="Arial" w:cs="Arial"/>
          <w:color w:val="000000"/>
          <w:sz w:val="16"/>
          <w:szCs w:val="16"/>
        </w:rPr>
      </w:pPr>
    </w:p>
    <w:p w14:paraId="6660F897" w14:textId="4C91BA08" w:rsidR="003074ED" w:rsidRPr="002D2F67" w:rsidRDefault="008B1784" w:rsidP="005611FE">
      <w:pPr>
        <w:ind w:left="540"/>
        <w:jc w:val="both"/>
        <w:rPr>
          <w:rFonts w:ascii="Arial" w:hAnsi="Arial" w:cs="Arial"/>
          <w:color w:val="000000"/>
          <w:sz w:val="20"/>
          <w:szCs w:val="20"/>
        </w:rPr>
      </w:pPr>
      <w:r w:rsidRPr="002D2F67">
        <w:rPr>
          <w:rFonts w:ascii="Arial" w:hAnsi="Arial" w:cs="Arial"/>
          <w:color w:val="000000"/>
          <w:sz w:val="20"/>
          <w:szCs w:val="20"/>
        </w:rPr>
        <w:t>The cost of finished goods and work in progress comprises raw materials, direct labour, other direct costs and related production overheads based on normal operating capacity. It excludes borrowing costs. Net realisable value is the estimate</w:t>
      </w:r>
      <w:r w:rsidR="0079330F" w:rsidRPr="002D2F67">
        <w:rPr>
          <w:rFonts w:ascii="Arial" w:hAnsi="Arial" w:cs="Arial"/>
          <w:color w:val="000000"/>
          <w:sz w:val="20"/>
          <w:szCs w:val="20"/>
        </w:rPr>
        <w:t>d</w:t>
      </w:r>
      <w:r w:rsidRPr="002D2F67">
        <w:rPr>
          <w:rFonts w:ascii="Arial" w:hAnsi="Arial" w:cs="Arial"/>
          <w:color w:val="000000"/>
          <w:sz w:val="20"/>
          <w:szCs w:val="20"/>
        </w:rPr>
        <w:t xml:space="preserve"> of the selling price in the ordinary course of </w:t>
      </w:r>
      <w:r w:rsidRPr="002D2F67">
        <w:rPr>
          <w:rFonts w:ascii="Arial" w:hAnsi="Arial" w:cs="Arial"/>
          <w:color w:val="000000"/>
          <w:spacing w:val="-4"/>
          <w:sz w:val="20"/>
          <w:szCs w:val="20"/>
        </w:rPr>
        <w:t>business, less applicable variable selling expenses. Allowance is made, where necessary, for obsolete, slow-moving</w:t>
      </w:r>
      <w:r w:rsidRPr="002D2F67">
        <w:rPr>
          <w:rFonts w:ascii="Arial" w:hAnsi="Arial" w:cs="Arial"/>
          <w:color w:val="000000"/>
          <w:sz w:val="20"/>
          <w:szCs w:val="20"/>
        </w:rPr>
        <w:t xml:space="preserve"> and defective inventories.</w:t>
      </w:r>
    </w:p>
    <w:p w14:paraId="71893D0E" w14:textId="6566A9A6" w:rsidR="00DE1EF1" w:rsidRPr="002D2F67" w:rsidRDefault="00A70C0C" w:rsidP="00A70C0C">
      <w:pPr>
        <w:pStyle w:val="NoSpacing"/>
        <w:jc w:val="both"/>
        <w:rPr>
          <w:rFonts w:cs="Arial"/>
          <w:color w:val="000000"/>
          <w:szCs w:val="20"/>
        </w:rPr>
      </w:pPr>
      <w:r w:rsidRPr="002D2F67">
        <w:rPr>
          <w:rFonts w:cs="Arial"/>
          <w:color w:val="000000"/>
          <w:szCs w:val="20"/>
        </w:rPr>
        <w:br w:type="page"/>
      </w:r>
    </w:p>
    <w:p w14:paraId="40052117" w14:textId="3856ED30" w:rsidR="00AF3EC2" w:rsidRPr="002D2F67" w:rsidRDefault="00CD5714" w:rsidP="005611FE">
      <w:pPr>
        <w:pStyle w:val="HeadSub1-5EA"/>
        <w:rPr>
          <w:rFonts w:ascii="Arial" w:hAnsi="Arial" w:cs="Arial"/>
          <w:color w:val="000000"/>
          <w:sz w:val="20"/>
          <w:szCs w:val="20"/>
        </w:rPr>
      </w:pPr>
      <w:r w:rsidRPr="00CD5714">
        <w:rPr>
          <w:rFonts w:ascii="Arial" w:hAnsi="Arial" w:cs="Arial"/>
          <w:color w:val="000000"/>
          <w:sz w:val="20"/>
          <w:szCs w:val="20"/>
          <w:lang w:val="en-GB"/>
        </w:rPr>
        <w:t>5</w:t>
      </w:r>
      <w:r w:rsidR="00AF3EC2" w:rsidRPr="002D2F67">
        <w:rPr>
          <w:rFonts w:ascii="Arial" w:hAnsi="Arial" w:cs="Arial"/>
          <w:color w:val="000000"/>
          <w:sz w:val="20"/>
          <w:szCs w:val="20"/>
        </w:rPr>
        <w:t>.</w:t>
      </w:r>
      <w:r w:rsidRPr="00CD5714">
        <w:rPr>
          <w:rFonts w:ascii="Arial" w:hAnsi="Arial" w:cs="Arial"/>
          <w:color w:val="000000"/>
          <w:sz w:val="20"/>
          <w:szCs w:val="20"/>
          <w:lang w:val="en-GB"/>
        </w:rPr>
        <w:t>7</w:t>
      </w:r>
      <w:r w:rsidR="00AF3EC2" w:rsidRPr="002D2F67">
        <w:rPr>
          <w:rFonts w:ascii="Arial" w:hAnsi="Arial" w:cs="Arial"/>
          <w:color w:val="000000"/>
          <w:sz w:val="20"/>
          <w:szCs w:val="20"/>
        </w:rPr>
        <w:tab/>
        <w:t>Financial asset</w:t>
      </w:r>
    </w:p>
    <w:p w14:paraId="3AA4DB56" w14:textId="77777777" w:rsidR="00AF3EC2" w:rsidRPr="002D2F67" w:rsidRDefault="00AF3EC2" w:rsidP="005611FE">
      <w:pPr>
        <w:pStyle w:val="NoSpacing"/>
        <w:ind w:left="567"/>
        <w:jc w:val="both"/>
        <w:rPr>
          <w:rFonts w:cs="Arial"/>
          <w:color w:val="000000"/>
          <w:szCs w:val="20"/>
        </w:rPr>
      </w:pPr>
    </w:p>
    <w:p w14:paraId="617F5452" w14:textId="23EA8F9E" w:rsidR="00AF3EC2" w:rsidRPr="002D2F67" w:rsidRDefault="00CD5714" w:rsidP="005611FE">
      <w:pPr>
        <w:pStyle w:val="HeadSub1-5EA"/>
        <w:ind w:left="544" w:hanging="544"/>
        <w:outlineLvl w:val="2"/>
        <w:rPr>
          <w:rFonts w:ascii="Arial" w:hAnsi="Arial" w:cs="Arial"/>
          <w:b w:val="0"/>
          <w:bCs w:val="0"/>
          <w:color w:val="000000"/>
          <w:sz w:val="20"/>
          <w:szCs w:val="20"/>
        </w:rPr>
      </w:pPr>
      <w:r w:rsidRPr="00CD5714">
        <w:rPr>
          <w:rFonts w:ascii="Arial" w:hAnsi="Arial" w:cs="Arial"/>
          <w:b w:val="0"/>
          <w:bCs w:val="0"/>
          <w:color w:val="000000"/>
          <w:sz w:val="20"/>
          <w:szCs w:val="20"/>
          <w:lang w:val="en-GB"/>
        </w:rPr>
        <w:t>5</w:t>
      </w:r>
      <w:r w:rsidR="00AF3EC2" w:rsidRPr="002D2F67">
        <w:rPr>
          <w:rFonts w:ascii="Arial" w:hAnsi="Arial" w:cs="Arial"/>
          <w:b w:val="0"/>
          <w:bCs w:val="0"/>
          <w:color w:val="000000"/>
          <w:sz w:val="20"/>
          <w:szCs w:val="20"/>
        </w:rPr>
        <w:t>.</w:t>
      </w:r>
      <w:r w:rsidRPr="00CD5714">
        <w:rPr>
          <w:rFonts w:ascii="Arial" w:hAnsi="Arial" w:cs="Arial"/>
          <w:b w:val="0"/>
          <w:bCs w:val="0"/>
          <w:color w:val="000000"/>
          <w:sz w:val="20"/>
          <w:szCs w:val="20"/>
          <w:lang w:val="en-GB"/>
        </w:rPr>
        <w:t>7</w:t>
      </w:r>
      <w:r w:rsidR="00AF3EC2" w:rsidRPr="002D2F67">
        <w:rPr>
          <w:rFonts w:ascii="Arial" w:hAnsi="Arial" w:cs="Arial"/>
          <w:b w:val="0"/>
          <w:bCs w:val="0"/>
          <w:color w:val="000000"/>
          <w:sz w:val="20"/>
          <w:szCs w:val="20"/>
        </w:rPr>
        <w:t>.</w:t>
      </w:r>
      <w:r w:rsidRPr="00CD5714">
        <w:rPr>
          <w:rFonts w:ascii="Arial" w:hAnsi="Arial" w:cs="Arial"/>
          <w:b w:val="0"/>
          <w:bCs w:val="0"/>
          <w:color w:val="000000"/>
          <w:sz w:val="20"/>
          <w:szCs w:val="20"/>
          <w:lang w:val="en-GB"/>
        </w:rPr>
        <w:t>1</w:t>
      </w:r>
      <w:r w:rsidR="00AF3EC2" w:rsidRPr="002D2F67">
        <w:rPr>
          <w:rFonts w:ascii="Arial" w:hAnsi="Arial" w:cs="Arial"/>
          <w:b w:val="0"/>
          <w:bCs w:val="0"/>
          <w:color w:val="000000"/>
          <w:sz w:val="20"/>
          <w:szCs w:val="20"/>
        </w:rPr>
        <w:tab/>
      </w:r>
      <w:r w:rsidR="00E55F35" w:rsidRPr="002D2F67">
        <w:rPr>
          <w:rFonts w:ascii="Arial" w:eastAsia="Ink Free" w:hAnsi="Arial" w:cs="Arial"/>
          <w:b w:val="0"/>
          <w:bCs w:val="0"/>
          <w:sz w:val="20"/>
          <w:szCs w:val="20"/>
        </w:rPr>
        <w:t>Recognition and derecognition</w:t>
      </w:r>
    </w:p>
    <w:p w14:paraId="6CD2C513" w14:textId="77777777" w:rsidR="00AF3EC2" w:rsidRPr="002D2F67" w:rsidRDefault="00AF3EC2" w:rsidP="005611FE">
      <w:pPr>
        <w:pStyle w:val="NoSpacing"/>
        <w:ind w:left="567"/>
        <w:jc w:val="both"/>
        <w:rPr>
          <w:rFonts w:cs="Arial"/>
          <w:color w:val="000000"/>
          <w:szCs w:val="20"/>
        </w:rPr>
      </w:pPr>
    </w:p>
    <w:p w14:paraId="339485E4" w14:textId="77777777" w:rsidR="00C05E21" w:rsidRPr="002D2F67" w:rsidRDefault="00C05E21" w:rsidP="005611FE">
      <w:pPr>
        <w:ind w:left="540"/>
        <w:jc w:val="both"/>
        <w:rPr>
          <w:rFonts w:ascii="Arial" w:hAnsi="Arial" w:cs="Arial"/>
          <w:color w:val="000000"/>
          <w:spacing w:val="-6"/>
          <w:sz w:val="20"/>
          <w:szCs w:val="20"/>
        </w:rPr>
      </w:pPr>
      <w:r w:rsidRPr="002D2F67">
        <w:rPr>
          <w:rFonts w:ascii="Arial" w:eastAsia="Ink Free" w:hAnsi="Arial" w:cs="Arial"/>
          <w:spacing w:val="-2"/>
          <w:sz w:val="20"/>
          <w:szCs w:val="20"/>
        </w:rPr>
        <w:t xml:space="preserve">Regular way purchases, acquires and sales of financial assets are recognised on trade-date. Financial assets are derecognised when the rights to receive cash flows from the financial assets have expired </w:t>
      </w:r>
      <w:r w:rsidRPr="002D2F67">
        <w:rPr>
          <w:rFonts w:ascii="Arial" w:eastAsia="Ink Free" w:hAnsi="Arial" w:cs="Arial"/>
          <w:spacing w:val="-6"/>
          <w:sz w:val="20"/>
          <w:szCs w:val="20"/>
        </w:rPr>
        <w:t>or have been transferred and the Group has transferred substantially all the risks and rewards of ownership</w:t>
      </w:r>
      <w:r w:rsidR="00AF3EC2" w:rsidRPr="002D2F67">
        <w:rPr>
          <w:rFonts w:ascii="Arial" w:hAnsi="Arial" w:cs="Arial"/>
          <w:color w:val="000000"/>
          <w:spacing w:val="-6"/>
          <w:sz w:val="20"/>
          <w:szCs w:val="20"/>
        </w:rPr>
        <w:t>.</w:t>
      </w:r>
    </w:p>
    <w:p w14:paraId="54F40610" w14:textId="77777777" w:rsidR="00C05E21" w:rsidRPr="002D2F67" w:rsidRDefault="00C05E21" w:rsidP="005611FE">
      <w:pPr>
        <w:ind w:left="540"/>
        <w:jc w:val="both"/>
        <w:rPr>
          <w:rFonts w:ascii="Arial" w:hAnsi="Arial" w:cs="Arial"/>
          <w:color w:val="000000"/>
          <w:sz w:val="20"/>
          <w:szCs w:val="20"/>
        </w:rPr>
      </w:pPr>
    </w:p>
    <w:p w14:paraId="6CDF4A55" w14:textId="2A72A37D" w:rsidR="00AF3EC2" w:rsidRPr="002D2F67" w:rsidRDefault="00711800" w:rsidP="005611FE">
      <w:pPr>
        <w:ind w:left="540"/>
        <w:jc w:val="both"/>
        <w:rPr>
          <w:rFonts w:ascii="Arial" w:hAnsi="Arial" w:cs="Arial"/>
          <w:color w:val="000000"/>
          <w:sz w:val="20"/>
          <w:szCs w:val="20"/>
        </w:rPr>
      </w:pPr>
      <w:r w:rsidRPr="002D2F67">
        <w:rPr>
          <w:rFonts w:ascii="Arial" w:eastAsia="Ink Free" w:hAnsi="Arial" w:cs="Arial"/>
          <w:spacing w:val="-4"/>
          <w:sz w:val="20"/>
          <w:szCs w:val="20"/>
        </w:rPr>
        <w:t>At initial recognition, the Group measures a financial asset at its fair value plus, in the case of a financial asset not at</w:t>
      </w:r>
      <w:r w:rsidR="00284D0E" w:rsidRPr="002D2F67">
        <w:rPr>
          <w:rFonts w:ascii="Arial" w:eastAsia="Ink Free" w:hAnsi="Arial" w:cs="Arial"/>
          <w:spacing w:val="-4"/>
          <w:sz w:val="20"/>
          <w:szCs w:val="20"/>
        </w:rPr>
        <w:t xml:space="preserve"> fair value </w:t>
      </w:r>
      <w:r w:rsidR="001D58F2">
        <w:rPr>
          <w:rFonts w:ascii="Arial" w:eastAsia="Ink Free" w:hAnsi="Arial" w:cs="Arial"/>
          <w:spacing w:val="-4"/>
          <w:sz w:val="20"/>
          <w:szCs w:val="20"/>
        </w:rPr>
        <w:t>through</w:t>
      </w:r>
      <w:r w:rsidR="00284D0E" w:rsidRPr="002D2F67">
        <w:rPr>
          <w:rFonts w:ascii="Arial" w:eastAsia="Ink Free" w:hAnsi="Arial" w:cs="Arial"/>
          <w:spacing w:val="-4"/>
          <w:sz w:val="20"/>
          <w:szCs w:val="20"/>
        </w:rPr>
        <w:t xml:space="preserve"> profit and loss (</w:t>
      </w:r>
      <w:r w:rsidRPr="002D2F67">
        <w:rPr>
          <w:rFonts w:ascii="Arial" w:eastAsia="Ink Free" w:hAnsi="Arial" w:cs="Arial"/>
          <w:spacing w:val="-4"/>
          <w:sz w:val="20"/>
          <w:szCs w:val="20"/>
        </w:rPr>
        <w:t>FVPL</w:t>
      </w:r>
      <w:r w:rsidR="00284D0E" w:rsidRPr="002D2F67">
        <w:rPr>
          <w:rFonts w:ascii="Arial" w:eastAsia="Ink Free" w:hAnsi="Arial" w:cs="Arial"/>
          <w:spacing w:val="-4"/>
          <w:sz w:val="20"/>
          <w:szCs w:val="20"/>
        </w:rPr>
        <w:t>)</w:t>
      </w:r>
      <w:r w:rsidRPr="002D2F67">
        <w:rPr>
          <w:rFonts w:ascii="Arial" w:eastAsia="Ink Free" w:hAnsi="Arial" w:cs="Arial"/>
          <w:spacing w:val="-4"/>
          <w:sz w:val="20"/>
          <w:szCs w:val="20"/>
        </w:rPr>
        <w:t>, transaction costs that are directly attributable to the acquisition of the financial asset. Transaction costs of financial assets carried at FVPL are expensed in profit or loss</w:t>
      </w:r>
      <w:r w:rsidRPr="002D2F67">
        <w:rPr>
          <w:rFonts w:ascii="Arial" w:eastAsia="Ink Free" w:hAnsi="Arial" w:cs="Arial"/>
          <w:spacing w:val="-2"/>
          <w:sz w:val="20"/>
          <w:szCs w:val="20"/>
        </w:rPr>
        <w:t>.</w:t>
      </w:r>
      <w:r w:rsidR="00AF3EC2" w:rsidRPr="002D2F67">
        <w:rPr>
          <w:rFonts w:ascii="Arial" w:hAnsi="Arial" w:cs="Arial"/>
          <w:color w:val="000000"/>
          <w:sz w:val="20"/>
          <w:szCs w:val="20"/>
        </w:rPr>
        <w:t xml:space="preserve"> </w:t>
      </w:r>
    </w:p>
    <w:p w14:paraId="4D339664" w14:textId="77777777" w:rsidR="00AF3EC2" w:rsidRPr="002D2F67" w:rsidRDefault="00AF3EC2" w:rsidP="005611FE">
      <w:pPr>
        <w:pStyle w:val="NoSpacing"/>
        <w:ind w:left="567"/>
        <w:jc w:val="both"/>
        <w:rPr>
          <w:rFonts w:cs="Arial"/>
          <w:color w:val="000000"/>
          <w:szCs w:val="20"/>
        </w:rPr>
      </w:pPr>
    </w:p>
    <w:p w14:paraId="2405D4C0" w14:textId="714ADD0A" w:rsidR="00AF3EC2" w:rsidRPr="002D2F67" w:rsidRDefault="00CD5714" w:rsidP="005611FE">
      <w:pPr>
        <w:pStyle w:val="HeadSub1-5EA"/>
        <w:ind w:left="544" w:hanging="544"/>
        <w:outlineLvl w:val="2"/>
        <w:rPr>
          <w:rFonts w:ascii="Arial" w:hAnsi="Arial" w:cs="Arial"/>
          <w:b w:val="0"/>
          <w:bCs w:val="0"/>
          <w:color w:val="000000"/>
          <w:sz w:val="20"/>
          <w:szCs w:val="20"/>
        </w:rPr>
      </w:pPr>
      <w:r w:rsidRPr="00CD5714">
        <w:rPr>
          <w:rFonts w:ascii="Arial" w:hAnsi="Arial" w:cs="Arial"/>
          <w:b w:val="0"/>
          <w:bCs w:val="0"/>
          <w:color w:val="000000"/>
          <w:sz w:val="20"/>
          <w:szCs w:val="20"/>
          <w:lang w:val="en-GB"/>
        </w:rPr>
        <w:t>5</w:t>
      </w:r>
      <w:r w:rsidR="00AF3EC2" w:rsidRPr="002D2F67">
        <w:rPr>
          <w:rFonts w:ascii="Arial" w:hAnsi="Arial" w:cs="Arial"/>
          <w:b w:val="0"/>
          <w:bCs w:val="0"/>
          <w:color w:val="000000"/>
          <w:sz w:val="20"/>
          <w:szCs w:val="20"/>
        </w:rPr>
        <w:t>.</w:t>
      </w:r>
      <w:r w:rsidRPr="00CD5714">
        <w:rPr>
          <w:rFonts w:ascii="Arial" w:hAnsi="Arial" w:cs="Arial"/>
          <w:b w:val="0"/>
          <w:bCs w:val="0"/>
          <w:color w:val="000000"/>
          <w:sz w:val="20"/>
          <w:szCs w:val="20"/>
          <w:lang w:val="en-GB"/>
        </w:rPr>
        <w:t>7</w:t>
      </w:r>
      <w:r w:rsidR="00AF3EC2" w:rsidRPr="002D2F67">
        <w:rPr>
          <w:rFonts w:ascii="Arial" w:hAnsi="Arial" w:cs="Arial"/>
          <w:b w:val="0"/>
          <w:bCs w:val="0"/>
          <w:color w:val="000000"/>
          <w:sz w:val="20"/>
          <w:szCs w:val="20"/>
        </w:rPr>
        <w:t>.</w:t>
      </w:r>
      <w:r w:rsidRPr="00CD5714">
        <w:rPr>
          <w:rFonts w:ascii="Arial" w:hAnsi="Arial" w:cs="Arial"/>
          <w:b w:val="0"/>
          <w:bCs w:val="0"/>
          <w:color w:val="000000"/>
          <w:sz w:val="20"/>
          <w:szCs w:val="20"/>
          <w:lang w:val="en-GB"/>
        </w:rPr>
        <w:t>2</w:t>
      </w:r>
      <w:r w:rsidR="008C77C3" w:rsidRPr="002D2F67">
        <w:rPr>
          <w:rFonts w:ascii="Arial" w:hAnsi="Arial" w:cs="Arial"/>
          <w:b w:val="0"/>
          <w:bCs w:val="0"/>
          <w:color w:val="000000"/>
          <w:sz w:val="20"/>
          <w:szCs w:val="20"/>
        </w:rPr>
        <w:tab/>
      </w:r>
      <w:r w:rsidR="00114CAE" w:rsidRPr="002D2F67">
        <w:rPr>
          <w:rFonts w:ascii="Arial" w:eastAsia="Ink Free" w:hAnsi="Arial" w:cs="Arial"/>
          <w:b w:val="0"/>
          <w:bCs w:val="0"/>
          <w:sz w:val="20"/>
          <w:szCs w:val="20"/>
        </w:rPr>
        <w:t>Classification and measurement</w:t>
      </w:r>
    </w:p>
    <w:p w14:paraId="0EBF8C84" w14:textId="77777777" w:rsidR="00AF3EC2" w:rsidRPr="002D2F67" w:rsidRDefault="00AF3EC2" w:rsidP="005611FE">
      <w:pPr>
        <w:pStyle w:val="NoSpacing"/>
        <w:ind w:left="567"/>
        <w:jc w:val="both"/>
        <w:rPr>
          <w:rFonts w:cs="Arial"/>
          <w:color w:val="000000"/>
          <w:szCs w:val="20"/>
        </w:rPr>
      </w:pPr>
    </w:p>
    <w:p w14:paraId="372856FF" w14:textId="77777777" w:rsidR="00B11C66" w:rsidRPr="002D2F67" w:rsidRDefault="00B11C66" w:rsidP="00B11C66">
      <w:pPr>
        <w:ind w:left="567"/>
        <w:jc w:val="both"/>
        <w:rPr>
          <w:rFonts w:ascii="Arial" w:eastAsia="Ink Free" w:hAnsi="Arial" w:cs="Arial"/>
          <w:i/>
          <w:iCs/>
          <w:spacing w:val="-4"/>
          <w:sz w:val="20"/>
          <w:szCs w:val="20"/>
        </w:rPr>
      </w:pPr>
      <w:r w:rsidRPr="002D2F67">
        <w:rPr>
          <w:rFonts w:ascii="Arial" w:eastAsia="Ink Free" w:hAnsi="Arial" w:cs="Arial"/>
          <w:i/>
          <w:iCs/>
          <w:spacing w:val="-4"/>
          <w:sz w:val="20"/>
          <w:szCs w:val="20"/>
        </w:rPr>
        <w:t>Debt instruments</w:t>
      </w:r>
    </w:p>
    <w:p w14:paraId="219E4051" w14:textId="77777777" w:rsidR="00B11C66" w:rsidRPr="002D2F67" w:rsidRDefault="00B11C66" w:rsidP="00B11C66">
      <w:pPr>
        <w:ind w:left="567"/>
        <w:jc w:val="both"/>
        <w:rPr>
          <w:rFonts w:ascii="Arial" w:eastAsia="Ink Free" w:hAnsi="Arial" w:cs="Arial"/>
          <w:spacing w:val="-4"/>
          <w:sz w:val="20"/>
          <w:szCs w:val="20"/>
        </w:rPr>
      </w:pPr>
    </w:p>
    <w:p w14:paraId="4F16286F" w14:textId="77777777" w:rsidR="00B11C66" w:rsidRPr="002D2F67" w:rsidRDefault="00B11C66" w:rsidP="00B11C66">
      <w:pPr>
        <w:ind w:left="567"/>
        <w:jc w:val="both"/>
        <w:rPr>
          <w:rFonts w:ascii="Arial" w:eastAsia="Ink Free" w:hAnsi="Arial" w:cs="Arial"/>
          <w:spacing w:val="-4"/>
          <w:sz w:val="20"/>
          <w:szCs w:val="20"/>
        </w:rPr>
      </w:pPr>
      <w:r w:rsidRPr="002D2F67">
        <w:rPr>
          <w:rFonts w:ascii="Arial" w:eastAsia="Ink Free" w:hAnsi="Arial" w:cs="Arial"/>
          <w:spacing w:val="-4"/>
          <w:sz w:val="20"/>
          <w:szCs w:val="20"/>
        </w:rPr>
        <w:t>The Group classifies its debt instrument financial assets depending on i) business model for managing the asset and ii) the cash flow characteristics of the asset whether they represent solely payments of principal and interest (SPPI).</w:t>
      </w:r>
    </w:p>
    <w:p w14:paraId="201A0F54" w14:textId="77777777" w:rsidR="00B11C66" w:rsidRPr="002D2F67" w:rsidRDefault="00B11C66" w:rsidP="00B11C66">
      <w:pPr>
        <w:ind w:left="567"/>
        <w:jc w:val="both"/>
        <w:rPr>
          <w:rFonts w:ascii="Arial" w:eastAsia="Ink Free" w:hAnsi="Arial" w:cs="Arial"/>
          <w:spacing w:val="-4"/>
          <w:sz w:val="20"/>
          <w:szCs w:val="20"/>
        </w:rPr>
      </w:pPr>
    </w:p>
    <w:p w14:paraId="22CADDAA" w14:textId="0C9EB47E" w:rsidR="00B11C66" w:rsidRPr="002D2F67" w:rsidRDefault="00B11C66" w:rsidP="00B11C66">
      <w:pPr>
        <w:ind w:left="567"/>
        <w:jc w:val="both"/>
        <w:rPr>
          <w:rFonts w:ascii="Arial" w:eastAsia="Ink Free" w:hAnsi="Arial" w:cs="Arial"/>
          <w:spacing w:val="-4"/>
          <w:sz w:val="20"/>
          <w:szCs w:val="20"/>
        </w:rPr>
      </w:pPr>
      <w:r w:rsidRPr="002D2F67">
        <w:rPr>
          <w:rFonts w:ascii="Arial" w:eastAsia="Ink Free" w:hAnsi="Arial" w:cs="Arial"/>
          <w:spacing w:val="-4"/>
          <w:sz w:val="20"/>
          <w:szCs w:val="20"/>
        </w:rPr>
        <w:t>Financial assets with embedded derivatives are considered in their entirety when determining whether the cash flows are SPPI.</w:t>
      </w:r>
    </w:p>
    <w:p w14:paraId="5CC4A9D9" w14:textId="77777777" w:rsidR="004F3075" w:rsidRPr="002D2F67" w:rsidRDefault="004F3075" w:rsidP="00B11C66">
      <w:pPr>
        <w:ind w:left="567"/>
        <w:jc w:val="both"/>
        <w:rPr>
          <w:rFonts w:ascii="Arial" w:eastAsia="Ink Free" w:hAnsi="Arial" w:cs="Arial"/>
          <w:spacing w:val="-4"/>
          <w:sz w:val="20"/>
          <w:szCs w:val="20"/>
        </w:rPr>
      </w:pPr>
    </w:p>
    <w:p w14:paraId="6C6C5653" w14:textId="1BF8CEA3" w:rsidR="005D1D76" w:rsidRPr="002D2F67" w:rsidRDefault="00B11C66" w:rsidP="00B11C66">
      <w:pPr>
        <w:pStyle w:val="NoSpacing"/>
        <w:ind w:left="567"/>
        <w:jc w:val="both"/>
        <w:rPr>
          <w:rFonts w:eastAsia="Arial" w:cs="Arial"/>
          <w:spacing w:val="-2"/>
          <w:szCs w:val="20"/>
        </w:rPr>
      </w:pPr>
      <w:r w:rsidRPr="002D2F67">
        <w:rPr>
          <w:rFonts w:eastAsia="Arial" w:cs="Arial"/>
          <w:spacing w:val="-2"/>
          <w:szCs w:val="20"/>
        </w:rPr>
        <w:t>There are three measurement categories into which the Group classifies its debt instruments:</w:t>
      </w:r>
    </w:p>
    <w:p w14:paraId="186B014D" w14:textId="77777777" w:rsidR="00B81A92" w:rsidRPr="002D2F67" w:rsidRDefault="00B81A92" w:rsidP="00B11C66">
      <w:pPr>
        <w:pStyle w:val="NoSpacing"/>
        <w:ind w:left="567"/>
        <w:jc w:val="both"/>
        <w:rPr>
          <w:rFonts w:eastAsia="Arial" w:cs="Arial"/>
          <w:spacing w:val="-2"/>
          <w:szCs w:val="20"/>
        </w:rPr>
      </w:pPr>
    </w:p>
    <w:p w14:paraId="3BB28005" w14:textId="33366EAA" w:rsidR="004F3075" w:rsidRPr="002D2F67" w:rsidRDefault="004F3075" w:rsidP="003D6A7D">
      <w:pPr>
        <w:numPr>
          <w:ilvl w:val="0"/>
          <w:numId w:val="4"/>
        </w:numPr>
        <w:tabs>
          <w:tab w:val="left" w:pos="851"/>
        </w:tabs>
        <w:ind w:left="851" w:hanging="284"/>
        <w:contextualSpacing/>
        <w:jc w:val="both"/>
        <w:rPr>
          <w:rFonts w:ascii="Arial" w:eastAsia="Cambria" w:hAnsi="Arial" w:cs="Arial"/>
          <w:sz w:val="20"/>
          <w:szCs w:val="20"/>
          <w:lang w:bidi="ar-SA"/>
        </w:rPr>
      </w:pPr>
      <w:r w:rsidRPr="002D2F67">
        <w:rPr>
          <w:rFonts w:ascii="Arial" w:eastAsia="Cambria" w:hAnsi="Arial" w:cs="Arial"/>
          <w:sz w:val="20"/>
          <w:szCs w:val="20"/>
          <w:lang w:bidi="ar-SA"/>
        </w:rPr>
        <w:t>Amortised cost: Financial assets that are held for collection of contractual cash flows where those cash flows represent solely payments of principal and interest are measured at amortised cost. Interest income from these financial assets is included in other income using the effective interest rate method. Any gain or loss arising on derecognition is recognised directly in profit or loss and presented in other gains</w:t>
      </w:r>
      <w:r w:rsidR="00461624" w:rsidRPr="002D2F67">
        <w:rPr>
          <w:rFonts w:ascii="Arial" w:eastAsia="Cambria" w:hAnsi="Arial" w:cs="Arial"/>
          <w:sz w:val="20"/>
          <w:szCs w:val="20"/>
          <w:lang w:bidi="ar-SA"/>
        </w:rPr>
        <w:t xml:space="preserve"> </w:t>
      </w:r>
      <w:r w:rsidRPr="002D2F67">
        <w:rPr>
          <w:rFonts w:ascii="Arial" w:eastAsia="Cambria" w:hAnsi="Arial" w:cs="Arial"/>
          <w:sz w:val="20"/>
          <w:szCs w:val="20"/>
          <w:lang w:bidi="ar-SA"/>
        </w:rPr>
        <w:t xml:space="preserve">(losses) together with foreign exchange gains and losses. Impairment losses are presented as a separate line item in the statement of </w:t>
      </w:r>
      <w:r w:rsidR="004916A1" w:rsidRPr="002D2F67">
        <w:rPr>
          <w:rFonts w:ascii="Arial" w:eastAsia="Cambria" w:hAnsi="Arial" w:cs="Arial"/>
          <w:sz w:val="20"/>
          <w:szCs w:val="20"/>
          <w:lang w:bidi="ar-SA"/>
        </w:rPr>
        <w:t>comprehensive income</w:t>
      </w:r>
      <w:r w:rsidRPr="002D2F67">
        <w:rPr>
          <w:rFonts w:ascii="Arial" w:eastAsia="Cambria" w:hAnsi="Arial" w:cs="Arial"/>
          <w:sz w:val="20"/>
          <w:szCs w:val="20"/>
          <w:lang w:bidi="ar-SA"/>
        </w:rPr>
        <w:t>.</w:t>
      </w:r>
    </w:p>
    <w:p w14:paraId="59EFDC61" w14:textId="77777777" w:rsidR="000862C0" w:rsidRPr="002D2F67" w:rsidRDefault="000862C0" w:rsidP="000862C0">
      <w:pPr>
        <w:tabs>
          <w:tab w:val="left" w:pos="851"/>
        </w:tabs>
        <w:ind w:left="851"/>
        <w:contextualSpacing/>
        <w:jc w:val="both"/>
        <w:rPr>
          <w:rFonts w:ascii="Arial" w:eastAsia="Cambria" w:hAnsi="Arial" w:cs="Arial"/>
          <w:sz w:val="20"/>
          <w:szCs w:val="20"/>
          <w:lang w:bidi="ar-SA"/>
        </w:rPr>
      </w:pPr>
    </w:p>
    <w:p w14:paraId="1967EB3E" w14:textId="7BE80EF0" w:rsidR="004F3075" w:rsidRPr="002D2F67" w:rsidRDefault="00284D0E" w:rsidP="003D6A7D">
      <w:pPr>
        <w:numPr>
          <w:ilvl w:val="0"/>
          <w:numId w:val="4"/>
        </w:numPr>
        <w:tabs>
          <w:tab w:val="left" w:pos="851"/>
        </w:tabs>
        <w:ind w:left="851" w:hanging="284"/>
        <w:contextualSpacing/>
        <w:jc w:val="both"/>
        <w:rPr>
          <w:rFonts w:ascii="Arial" w:eastAsia="Cambria" w:hAnsi="Arial" w:cs="Arial"/>
          <w:sz w:val="20"/>
          <w:szCs w:val="20"/>
          <w:lang w:bidi="ar-SA"/>
        </w:rPr>
      </w:pPr>
      <w:r w:rsidRPr="002D2F67">
        <w:rPr>
          <w:rFonts w:ascii="Arial" w:eastAsia="Cambria" w:hAnsi="Arial" w:cs="Arial"/>
          <w:sz w:val="20"/>
          <w:szCs w:val="20"/>
          <w:lang w:bidi="ar-SA"/>
        </w:rPr>
        <w:t xml:space="preserve">Fair value through </w:t>
      </w:r>
      <w:r w:rsidR="00461624" w:rsidRPr="002D2F67">
        <w:rPr>
          <w:rFonts w:ascii="Arial" w:eastAsia="Cambria" w:hAnsi="Arial" w:cs="Arial"/>
          <w:sz w:val="20"/>
          <w:szCs w:val="20"/>
          <w:lang w:bidi="ar-SA"/>
        </w:rPr>
        <w:t>other comprehensive income (</w:t>
      </w:r>
      <w:r w:rsidR="004F3075" w:rsidRPr="002D2F67">
        <w:rPr>
          <w:rFonts w:ascii="Arial" w:eastAsia="Cambria" w:hAnsi="Arial" w:cs="Arial"/>
          <w:sz w:val="20"/>
          <w:szCs w:val="20"/>
          <w:lang w:bidi="ar-SA"/>
        </w:rPr>
        <w:t>FVOCI</w:t>
      </w:r>
      <w:r w:rsidR="00461624" w:rsidRPr="002D2F67">
        <w:rPr>
          <w:rFonts w:ascii="Arial" w:eastAsia="Cambria" w:hAnsi="Arial" w:cs="Arial"/>
          <w:sz w:val="20"/>
          <w:szCs w:val="20"/>
          <w:lang w:bidi="ar-SA"/>
        </w:rPr>
        <w:t>)</w:t>
      </w:r>
      <w:r w:rsidR="004F3075" w:rsidRPr="002D2F67">
        <w:rPr>
          <w:rFonts w:ascii="Arial" w:eastAsia="Cambria" w:hAnsi="Arial" w:cs="Arial"/>
          <w:sz w:val="20"/>
          <w:szCs w:val="20"/>
          <w:lang w:bidi="ar-SA"/>
        </w:rPr>
        <w:t xml:space="preserve">: Financial assets that are held for i) collection of contractual cash flows; and ii) for selling the financial assets, where the assets’ cash flows represent solely payments of principal and interest, are measured at FVOCI. Movements in the carrying amount are taken through other comprehensive income (OCI), except for the recognition of impairment gains or losses, interest income using the effective interest method, and foreign exchange gains and losses which are recognised in profit or loss. When the financial assets </w:t>
      </w:r>
      <w:proofErr w:type="gramStart"/>
      <w:r w:rsidR="004F3075" w:rsidRPr="002D2F67">
        <w:rPr>
          <w:rFonts w:ascii="Arial" w:eastAsia="Cambria" w:hAnsi="Arial" w:cs="Arial"/>
          <w:sz w:val="20"/>
          <w:szCs w:val="20"/>
          <w:lang w:bidi="ar-SA"/>
        </w:rPr>
        <w:t>is</w:t>
      </w:r>
      <w:proofErr w:type="gramEnd"/>
      <w:r w:rsidR="004F3075" w:rsidRPr="002D2F67">
        <w:rPr>
          <w:rFonts w:ascii="Arial" w:eastAsia="Cambria" w:hAnsi="Arial" w:cs="Arial"/>
          <w:sz w:val="20"/>
          <w:szCs w:val="20"/>
          <w:lang w:bidi="ar-SA"/>
        </w:rPr>
        <w:t xml:space="preserve"> derecognised, the cumulative gain or loss previously recognised in OCI is reclassified from equity to profit or loss and recognised in other gains</w:t>
      </w:r>
      <w:r w:rsidR="00FA2CF2" w:rsidRPr="002D2F67">
        <w:rPr>
          <w:rFonts w:ascii="Arial" w:eastAsia="Cambria" w:hAnsi="Arial" w:cs="Arial"/>
          <w:sz w:val="20"/>
          <w:szCs w:val="20"/>
          <w:lang w:bidi="ar-SA"/>
        </w:rPr>
        <w:t xml:space="preserve"> </w:t>
      </w:r>
      <w:r w:rsidR="004F3075" w:rsidRPr="002D2F67">
        <w:rPr>
          <w:rFonts w:ascii="Arial" w:eastAsia="Cambria" w:hAnsi="Arial" w:cs="Arial"/>
          <w:sz w:val="20"/>
          <w:szCs w:val="20"/>
          <w:lang w:bidi="ar-SA"/>
        </w:rPr>
        <w:t>(losses). Interest income is included in other income. Foreign exchange gains and losses are presented in other gains</w:t>
      </w:r>
      <w:r w:rsidR="00FA2CF2" w:rsidRPr="002D2F67">
        <w:rPr>
          <w:rFonts w:ascii="Arial" w:eastAsia="Cambria" w:hAnsi="Arial" w:cs="Arial"/>
          <w:sz w:val="20"/>
          <w:szCs w:val="20"/>
          <w:lang w:bidi="ar-SA"/>
        </w:rPr>
        <w:t xml:space="preserve"> </w:t>
      </w:r>
      <w:r w:rsidR="004F3075" w:rsidRPr="002D2F67">
        <w:rPr>
          <w:rFonts w:ascii="Arial" w:eastAsia="Cambria" w:hAnsi="Arial" w:cs="Arial"/>
          <w:sz w:val="20"/>
          <w:szCs w:val="20"/>
          <w:lang w:bidi="ar-SA"/>
        </w:rPr>
        <w:t xml:space="preserve">(losses). Impairment expenses are presented separately in the statement of </w:t>
      </w:r>
      <w:r w:rsidR="00352180" w:rsidRPr="002D2F67">
        <w:rPr>
          <w:rFonts w:ascii="Arial" w:eastAsia="Cambria" w:hAnsi="Arial" w:cs="Arial"/>
          <w:sz w:val="20"/>
          <w:szCs w:val="20"/>
          <w:lang w:bidi="ar-SA"/>
        </w:rPr>
        <w:t>comprehensive income.</w:t>
      </w:r>
    </w:p>
    <w:p w14:paraId="42B871AE" w14:textId="77777777" w:rsidR="004F3075" w:rsidRPr="002D2F67" w:rsidRDefault="004F3075" w:rsidP="003D6A7D">
      <w:pPr>
        <w:tabs>
          <w:tab w:val="left" w:pos="851"/>
        </w:tabs>
        <w:ind w:left="851"/>
        <w:contextualSpacing/>
        <w:jc w:val="both"/>
        <w:rPr>
          <w:rFonts w:ascii="Arial" w:eastAsia="Cambria" w:hAnsi="Arial" w:cs="Arial"/>
          <w:sz w:val="20"/>
          <w:szCs w:val="20"/>
          <w:lang w:bidi="ar-SA"/>
        </w:rPr>
      </w:pPr>
    </w:p>
    <w:p w14:paraId="38EDF6FB" w14:textId="17D7E8B0" w:rsidR="004F3075" w:rsidRPr="002D2F67" w:rsidRDefault="004F3075" w:rsidP="003D6A7D">
      <w:pPr>
        <w:numPr>
          <w:ilvl w:val="0"/>
          <w:numId w:val="4"/>
        </w:numPr>
        <w:tabs>
          <w:tab w:val="left" w:pos="851"/>
        </w:tabs>
        <w:ind w:left="851" w:hanging="284"/>
        <w:contextualSpacing/>
        <w:jc w:val="both"/>
        <w:rPr>
          <w:rFonts w:ascii="Arial" w:eastAsia="Cambria" w:hAnsi="Arial" w:cs="Arial"/>
          <w:sz w:val="20"/>
          <w:szCs w:val="20"/>
          <w:lang w:bidi="ar-SA"/>
        </w:rPr>
      </w:pPr>
      <w:r w:rsidRPr="002D2F67">
        <w:rPr>
          <w:rFonts w:ascii="Arial" w:eastAsia="Cambria" w:hAnsi="Arial" w:cs="Arial"/>
          <w:sz w:val="20"/>
          <w:szCs w:val="20"/>
          <w:lang w:bidi="ar-SA"/>
        </w:rPr>
        <w:t>FVPL: Financial assets that do not meet the criteria for amortised cost or FVOCI are measured at FVPL. A gain or loss on a debt investment that is subsequently measured at FVPL is recognised in profit or loss and presented net within other gains</w:t>
      </w:r>
      <w:r w:rsidR="00FA2CF2" w:rsidRPr="002D2F67">
        <w:rPr>
          <w:rFonts w:ascii="Arial" w:eastAsia="Cambria" w:hAnsi="Arial" w:cs="Arial"/>
          <w:sz w:val="20"/>
          <w:szCs w:val="20"/>
          <w:lang w:bidi="ar-SA"/>
        </w:rPr>
        <w:t xml:space="preserve"> </w:t>
      </w:r>
      <w:r w:rsidRPr="002D2F67">
        <w:rPr>
          <w:rFonts w:ascii="Arial" w:eastAsia="Cambria" w:hAnsi="Arial" w:cs="Arial"/>
          <w:sz w:val="20"/>
          <w:szCs w:val="20"/>
          <w:lang w:bidi="ar-SA"/>
        </w:rPr>
        <w:t>(losses) in the period in which it arises.</w:t>
      </w:r>
    </w:p>
    <w:p w14:paraId="788C65CA" w14:textId="77777777" w:rsidR="00A70C0C" w:rsidRPr="002D2F67" w:rsidRDefault="00A70C0C" w:rsidP="004F3075">
      <w:pPr>
        <w:ind w:left="567"/>
        <w:jc w:val="both"/>
        <w:rPr>
          <w:rFonts w:ascii="Arial" w:eastAsia="Arial" w:hAnsi="Arial" w:cs="Arial"/>
          <w:spacing w:val="-2"/>
          <w:sz w:val="20"/>
          <w:szCs w:val="20"/>
        </w:rPr>
      </w:pPr>
    </w:p>
    <w:p w14:paraId="61B58490" w14:textId="008B3C13" w:rsidR="004F3075" w:rsidRPr="002D2F67" w:rsidRDefault="004F3075" w:rsidP="004F3075">
      <w:pPr>
        <w:ind w:left="567"/>
        <w:jc w:val="both"/>
        <w:rPr>
          <w:rFonts w:ascii="Arial" w:eastAsia="Arial" w:hAnsi="Arial" w:cs="Arial"/>
          <w:spacing w:val="-2"/>
          <w:sz w:val="20"/>
          <w:szCs w:val="20"/>
        </w:rPr>
      </w:pPr>
      <w:r w:rsidRPr="002D2F67">
        <w:rPr>
          <w:rFonts w:ascii="Arial" w:eastAsia="Arial" w:hAnsi="Arial" w:cs="Arial"/>
          <w:spacing w:val="-2"/>
          <w:sz w:val="20"/>
          <w:szCs w:val="20"/>
        </w:rPr>
        <w:t>The Group reclassifies debt investments when and only when its business model for managing those assets changes.</w:t>
      </w:r>
    </w:p>
    <w:p w14:paraId="09E0A415" w14:textId="77777777" w:rsidR="00A70C0C" w:rsidRPr="002D2F67" w:rsidRDefault="00A70C0C" w:rsidP="004F3075">
      <w:pPr>
        <w:ind w:left="567"/>
        <w:jc w:val="both"/>
        <w:rPr>
          <w:rFonts w:ascii="Arial" w:eastAsia="Arial" w:hAnsi="Arial" w:cs="Arial"/>
          <w:spacing w:val="-2"/>
          <w:sz w:val="20"/>
          <w:szCs w:val="20"/>
        </w:rPr>
      </w:pPr>
    </w:p>
    <w:p w14:paraId="1C80F8E8" w14:textId="77777777" w:rsidR="003D6A7D" w:rsidRPr="002D2F67" w:rsidRDefault="003D6A7D" w:rsidP="003D6A7D">
      <w:pPr>
        <w:ind w:left="567"/>
        <w:jc w:val="both"/>
        <w:rPr>
          <w:rFonts w:ascii="Arial" w:eastAsia="Ink Free" w:hAnsi="Arial" w:cs="Arial"/>
          <w:i/>
          <w:iCs/>
          <w:spacing w:val="-4"/>
          <w:sz w:val="20"/>
          <w:szCs w:val="20"/>
        </w:rPr>
      </w:pPr>
      <w:r w:rsidRPr="002D2F67">
        <w:rPr>
          <w:rFonts w:ascii="Arial" w:eastAsia="Ink Free" w:hAnsi="Arial" w:cs="Arial"/>
          <w:i/>
          <w:iCs/>
          <w:spacing w:val="-4"/>
          <w:sz w:val="20"/>
          <w:szCs w:val="20"/>
        </w:rPr>
        <w:t>Equity instruments</w:t>
      </w:r>
    </w:p>
    <w:p w14:paraId="1AD98C63" w14:textId="77777777" w:rsidR="003D6A7D" w:rsidRPr="002D2F67" w:rsidRDefault="003D6A7D" w:rsidP="003D6A7D">
      <w:pPr>
        <w:ind w:left="540"/>
        <w:jc w:val="both"/>
        <w:rPr>
          <w:rFonts w:ascii="Arial" w:eastAsia="Arial" w:hAnsi="Arial" w:cs="Arial"/>
          <w:sz w:val="20"/>
          <w:szCs w:val="20"/>
        </w:rPr>
      </w:pPr>
    </w:p>
    <w:p w14:paraId="7CF0B3FB" w14:textId="26EB7CF8" w:rsidR="005D1D76" w:rsidRPr="002D2F67" w:rsidRDefault="003D6A7D" w:rsidP="003D6A7D">
      <w:pPr>
        <w:pStyle w:val="NoSpacing"/>
        <w:ind w:left="567"/>
        <w:jc w:val="both"/>
        <w:rPr>
          <w:rFonts w:cs="Arial"/>
          <w:color w:val="000000"/>
          <w:sz w:val="16"/>
          <w:szCs w:val="16"/>
        </w:rPr>
      </w:pPr>
      <w:r w:rsidRPr="002D2F67">
        <w:rPr>
          <w:rFonts w:eastAsia="Arial" w:cs="Arial"/>
          <w:spacing w:val="-2"/>
          <w:szCs w:val="20"/>
        </w:rPr>
        <w:t xml:space="preserve">The Group measures all equity investments at fair value and changes in the fair value are recognised in other comprehensive income. There is no subsequent reclassification of fair value gains and losses </w:t>
      </w:r>
      <w:r w:rsidRPr="002D2F67">
        <w:rPr>
          <w:rFonts w:eastAsia="Arial" w:cs="Arial"/>
          <w:spacing w:val="-6"/>
          <w:szCs w:val="20"/>
        </w:rPr>
        <w:t>to profit or loss following the derecognition of the investment. Impairment losses (and reversal of impairment</w:t>
      </w:r>
      <w:r w:rsidRPr="002D2F67">
        <w:rPr>
          <w:rFonts w:eastAsia="Arial" w:cs="Arial"/>
          <w:spacing w:val="-2"/>
          <w:szCs w:val="20"/>
        </w:rPr>
        <w:t xml:space="preserve"> losses) are not reported separately from other changes in fair value. Dividends from such investments continue to be recognised in profit or loss as dividend income when the right to receive payments is established.</w:t>
      </w:r>
    </w:p>
    <w:p w14:paraId="2487EE92" w14:textId="56A94CEA" w:rsidR="00B05507" w:rsidRPr="002D2F67" w:rsidRDefault="00A70C0C" w:rsidP="00A70C0C">
      <w:pPr>
        <w:jc w:val="both"/>
        <w:rPr>
          <w:rFonts w:ascii="Arial" w:hAnsi="Arial" w:cs="Arial"/>
          <w:color w:val="000000"/>
          <w:sz w:val="20"/>
          <w:szCs w:val="20"/>
        </w:rPr>
      </w:pPr>
      <w:r w:rsidRPr="002D2F67">
        <w:rPr>
          <w:rFonts w:ascii="Arial" w:hAnsi="Arial" w:cs="Arial"/>
          <w:color w:val="000000"/>
          <w:sz w:val="20"/>
          <w:szCs w:val="20"/>
        </w:rPr>
        <w:br w:type="page"/>
      </w:r>
    </w:p>
    <w:p w14:paraId="6E3DC973" w14:textId="2FFCA55B" w:rsidR="000C66EE" w:rsidRPr="002D2F67" w:rsidRDefault="00CD5714" w:rsidP="005611FE">
      <w:pPr>
        <w:pStyle w:val="HeadSub1-5EA"/>
        <w:ind w:left="544" w:hanging="544"/>
        <w:outlineLvl w:val="2"/>
        <w:rPr>
          <w:rFonts w:ascii="Arial" w:hAnsi="Arial" w:cs="Arial"/>
          <w:b w:val="0"/>
          <w:bCs w:val="0"/>
          <w:color w:val="000000"/>
          <w:sz w:val="20"/>
          <w:szCs w:val="20"/>
        </w:rPr>
      </w:pPr>
      <w:r w:rsidRPr="00CD5714">
        <w:rPr>
          <w:rFonts w:ascii="Arial" w:hAnsi="Arial" w:cs="Arial"/>
          <w:b w:val="0"/>
          <w:bCs w:val="0"/>
          <w:color w:val="000000"/>
          <w:sz w:val="20"/>
          <w:szCs w:val="20"/>
          <w:lang w:val="en-GB"/>
        </w:rPr>
        <w:t>5</w:t>
      </w:r>
      <w:r w:rsidR="0042318F" w:rsidRPr="002D2F67">
        <w:rPr>
          <w:rFonts w:ascii="Arial" w:hAnsi="Arial" w:cs="Arial"/>
          <w:b w:val="0"/>
          <w:bCs w:val="0"/>
          <w:color w:val="000000"/>
          <w:sz w:val="20"/>
          <w:szCs w:val="20"/>
        </w:rPr>
        <w:t>.</w:t>
      </w:r>
      <w:r w:rsidRPr="00CD5714">
        <w:rPr>
          <w:rFonts w:ascii="Arial" w:hAnsi="Arial" w:cs="Arial"/>
          <w:b w:val="0"/>
          <w:bCs w:val="0"/>
          <w:color w:val="000000"/>
          <w:sz w:val="20"/>
          <w:szCs w:val="20"/>
          <w:lang w:val="en-GB"/>
        </w:rPr>
        <w:t>7</w:t>
      </w:r>
      <w:r w:rsidR="000C66EE" w:rsidRPr="002D2F67">
        <w:rPr>
          <w:rFonts w:ascii="Arial" w:hAnsi="Arial" w:cs="Arial"/>
          <w:b w:val="0"/>
          <w:bCs w:val="0"/>
          <w:color w:val="000000"/>
          <w:sz w:val="20"/>
          <w:szCs w:val="20"/>
        </w:rPr>
        <w:t>.</w:t>
      </w:r>
      <w:r w:rsidRPr="00CD5714">
        <w:rPr>
          <w:rFonts w:ascii="Arial" w:hAnsi="Arial" w:cs="Arial"/>
          <w:b w:val="0"/>
          <w:bCs w:val="0"/>
          <w:color w:val="000000"/>
          <w:sz w:val="20"/>
          <w:szCs w:val="20"/>
          <w:lang w:val="en-GB"/>
        </w:rPr>
        <w:t>3</w:t>
      </w:r>
      <w:r w:rsidR="000C66EE" w:rsidRPr="002D2F67">
        <w:rPr>
          <w:rFonts w:ascii="Arial" w:hAnsi="Arial" w:cs="Arial"/>
          <w:b w:val="0"/>
          <w:bCs w:val="0"/>
          <w:color w:val="000000"/>
          <w:sz w:val="20"/>
          <w:szCs w:val="20"/>
        </w:rPr>
        <w:tab/>
        <w:t>Impairment</w:t>
      </w:r>
    </w:p>
    <w:p w14:paraId="53664579" w14:textId="77777777" w:rsidR="000C66EE" w:rsidRPr="002D2F67" w:rsidRDefault="000C66EE" w:rsidP="005611FE">
      <w:pPr>
        <w:ind w:left="540"/>
        <w:jc w:val="both"/>
        <w:rPr>
          <w:rFonts w:ascii="Arial" w:hAnsi="Arial" w:cs="Arial"/>
          <w:color w:val="000000"/>
          <w:sz w:val="20"/>
          <w:szCs w:val="20"/>
        </w:rPr>
      </w:pPr>
    </w:p>
    <w:p w14:paraId="1584272C" w14:textId="59F4DDE2" w:rsidR="000C66EE" w:rsidRPr="002D2F67" w:rsidRDefault="001040C4" w:rsidP="005611FE">
      <w:pPr>
        <w:pStyle w:val="ListParagraph"/>
        <w:spacing w:after="0" w:line="240" w:lineRule="auto"/>
        <w:ind w:left="540"/>
        <w:jc w:val="both"/>
        <w:rPr>
          <w:rFonts w:ascii="Arial" w:hAnsi="Arial" w:cs="Arial"/>
          <w:color w:val="000000"/>
          <w:sz w:val="20"/>
          <w:szCs w:val="20"/>
        </w:rPr>
      </w:pPr>
      <w:r w:rsidRPr="002D2F67">
        <w:rPr>
          <w:rFonts w:ascii="Arial" w:hAnsi="Arial" w:cs="Arial"/>
          <w:color w:val="000000"/>
          <w:spacing w:val="-4"/>
          <w:sz w:val="20"/>
          <w:szCs w:val="20"/>
        </w:rPr>
        <w:t>T</w:t>
      </w:r>
      <w:r w:rsidR="000C66EE" w:rsidRPr="002D2F67">
        <w:rPr>
          <w:rFonts w:ascii="Arial" w:hAnsi="Arial" w:cs="Arial"/>
          <w:color w:val="000000"/>
          <w:spacing w:val="-4"/>
          <w:sz w:val="20"/>
          <w:szCs w:val="20"/>
        </w:rPr>
        <w:t xml:space="preserve">he Group applies the TFRS </w:t>
      </w:r>
      <w:r w:rsidR="00CD5714" w:rsidRPr="00CD5714">
        <w:rPr>
          <w:rFonts w:ascii="Arial" w:hAnsi="Arial" w:cs="Arial"/>
          <w:color w:val="000000"/>
          <w:spacing w:val="-4"/>
          <w:sz w:val="20"/>
          <w:szCs w:val="20"/>
          <w:lang w:val="en-GB"/>
        </w:rPr>
        <w:t>9</w:t>
      </w:r>
      <w:r w:rsidR="000C66EE" w:rsidRPr="002D2F67">
        <w:rPr>
          <w:rFonts w:ascii="Arial" w:hAnsi="Arial" w:cs="Arial"/>
          <w:color w:val="000000"/>
          <w:spacing w:val="-4"/>
          <w:sz w:val="20"/>
          <w:szCs w:val="20"/>
        </w:rPr>
        <w:t xml:space="preserve"> simplified approach and general approach in measuring the impairment</w:t>
      </w:r>
      <w:r w:rsidR="000C66EE" w:rsidRPr="002D2F67">
        <w:rPr>
          <w:rFonts w:ascii="Arial" w:hAnsi="Arial" w:cs="Arial"/>
          <w:color w:val="000000"/>
          <w:sz w:val="20"/>
          <w:szCs w:val="20"/>
        </w:rPr>
        <w:t xml:space="preserve"> of </w:t>
      </w:r>
      <w:r w:rsidR="000C66EE" w:rsidRPr="002D2F67">
        <w:rPr>
          <w:rFonts w:ascii="Arial" w:hAnsi="Arial" w:cs="Arial"/>
          <w:color w:val="000000"/>
          <w:spacing w:val="-4"/>
          <w:sz w:val="20"/>
          <w:szCs w:val="20"/>
        </w:rPr>
        <w:t xml:space="preserve">trade </w:t>
      </w:r>
      <w:r w:rsidR="008232A0" w:rsidRPr="002D2F67">
        <w:rPr>
          <w:rFonts w:ascii="Arial" w:hAnsi="Arial" w:cs="Arial"/>
          <w:color w:val="000000"/>
          <w:spacing w:val="-4"/>
          <w:sz w:val="20"/>
          <w:szCs w:val="20"/>
        </w:rPr>
        <w:t xml:space="preserve">accounts </w:t>
      </w:r>
      <w:r w:rsidR="000C66EE" w:rsidRPr="002D2F67">
        <w:rPr>
          <w:rFonts w:ascii="Arial" w:hAnsi="Arial" w:cs="Arial"/>
          <w:color w:val="000000"/>
          <w:spacing w:val="-4"/>
          <w:sz w:val="20"/>
          <w:szCs w:val="20"/>
        </w:rPr>
        <w:t>receivable</w:t>
      </w:r>
      <w:r w:rsidR="008232A0" w:rsidRPr="002D2F67">
        <w:rPr>
          <w:rFonts w:ascii="Arial" w:hAnsi="Arial" w:cs="Arial"/>
          <w:color w:val="000000"/>
          <w:spacing w:val="-4"/>
          <w:sz w:val="20"/>
          <w:szCs w:val="20"/>
        </w:rPr>
        <w:t>,</w:t>
      </w:r>
      <w:r w:rsidR="000C66EE" w:rsidRPr="002D2F67">
        <w:rPr>
          <w:rFonts w:ascii="Arial" w:hAnsi="Arial" w:cs="Arial"/>
          <w:color w:val="000000"/>
          <w:spacing w:val="-4"/>
          <w:sz w:val="20"/>
          <w:szCs w:val="20"/>
        </w:rPr>
        <w:t xml:space="preserve"> other </w:t>
      </w:r>
      <w:r w:rsidR="00DE1EF1" w:rsidRPr="002D2F67">
        <w:rPr>
          <w:rFonts w:ascii="Arial" w:hAnsi="Arial" w:cs="Arial"/>
          <w:color w:val="000000"/>
          <w:spacing w:val="-4"/>
          <w:sz w:val="20"/>
          <w:szCs w:val="20"/>
        </w:rPr>
        <w:t>current</w:t>
      </w:r>
      <w:r w:rsidR="008232A0" w:rsidRPr="002D2F67">
        <w:rPr>
          <w:rFonts w:ascii="Arial" w:hAnsi="Arial" w:cs="Arial"/>
          <w:color w:val="000000"/>
          <w:spacing w:val="-4"/>
          <w:sz w:val="20"/>
          <w:szCs w:val="20"/>
        </w:rPr>
        <w:t xml:space="preserve"> </w:t>
      </w:r>
      <w:r w:rsidR="000C66EE" w:rsidRPr="002D2F67">
        <w:rPr>
          <w:rFonts w:ascii="Arial" w:hAnsi="Arial" w:cs="Arial"/>
          <w:color w:val="000000"/>
          <w:spacing w:val="-4"/>
          <w:sz w:val="20"/>
          <w:szCs w:val="20"/>
        </w:rPr>
        <w:t>receivable</w:t>
      </w:r>
      <w:r w:rsidR="00DE1EF1" w:rsidRPr="002D2F67">
        <w:rPr>
          <w:rFonts w:ascii="Arial" w:hAnsi="Arial" w:cs="Arial"/>
          <w:color w:val="000000"/>
          <w:spacing w:val="-4"/>
          <w:sz w:val="20"/>
          <w:szCs w:val="20"/>
        </w:rPr>
        <w:t>s</w:t>
      </w:r>
      <w:r w:rsidR="00656B25" w:rsidRPr="002D2F67">
        <w:rPr>
          <w:rFonts w:ascii="Arial" w:hAnsi="Arial" w:cs="Arial"/>
          <w:color w:val="000000"/>
          <w:spacing w:val="-4"/>
          <w:sz w:val="20"/>
          <w:szCs w:val="20"/>
        </w:rPr>
        <w:t xml:space="preserve"> and</w:t>
      </w:r>
      <w:r w:rsidR="00975CDF" w:rsidRPr="002D2F67">
        <w:rPr>
          <w:rFonts w:ascii="Arial" w:hAnsi="Arial" w:cs="Arial"/>
          <w:color w:val="000000"/>
          <w:spacing w:val="-4"/>
          <w:sz w:val="20"/>
          <w:szCs w:val="20"/>
        </w:rPr>
        <w:t xml:space="preserve"> instalment receivables</w:t>
      </w:r>
      <w:r w:rsidR="000C66EE" w:rsidRPr="002D2F67">
        <w:rPr>
          <w:rFonts w:ascii="Arial" w:hAnsi="Arial" w:cs="Arial"/>
          <w:color w:val="000000"/>
          <w:sz w:val="20"/>
          <w:szCs w:val="20"/>
        </w:rPr>
        <w:t xml:space="preserve">, which applies lifetime expected credit loss, from initial recognition, for </w:t>
      </w:r>
      <w:r w:rsidR="00B05507" w:rsidRPr="002D2F67">
        <w:rPr>
          <w:rFonts w:ascii="Arial" w:hAnsi="Arial" w:cs="Arial"/>
          <w:color w:val="000000"/>
          <w:sz w:val="20"/>
          <w:szCs w:val="20"/>
        </w:rPr>
        <w:t>those financial assets</w:t>
      </w:r>
      <w:r w:rsidR="000C66EE" w:rsidRPr="002D2F67">
        <w:rPr>
          <w:rFonts w:ascii="Arial" w:hAnsi="Arial" w:cs="Arial"/>
          <w:color w:val="000000"/>
          <w:sz w:val="20"/>
          <w:szCs w:val="20"/>
        </w:rPr>
        <w:t xml:space="preserve">. </w:t>
      </w:r>
    </w:p>
    <w:p w14:paraId="09DF9243" w14:textId="77777777" w:rsidR="000C66EE" w:rsidRPr="002D2F67" w:rsidRDefault="000C66EE" w:rsidP="005611FE">
      <w:pPr>
        <w:ind w:left="540"/>
        <w:jc w:val="both"/>
        <w:rPr>
          <w:rFonts w:ascii="Arial" w:hAnsi="Arial" w:cs="Arial"/>
          <w:color w:val="000000"/>
          <w:sz w:val="20"/>
          <w:szCs w:val="20"/>
        </w:rPr>
      </w:pPr>
    </w:p>
    <w:p w14:paraId="7209E128" w14:textId="56803D3B" w:rsidR="00656B25" w:rsidRPr="002D2F67" w:rsidRDefault="000C66EE" w:rsidP="005611FE">
      <w:pPr>
        <w:pStyle w:val="NoSpacing"/>
        <w:ind w:left="540"/>
        <w:jc w:val="both"/>
        <w:rPr>
          <w:rFonts w:cs="Arial"/>
          <w:color w:val="000000"/>
        </w:rPr>
      </w:pPr>
      <w:r w:rsidRPr="006F6BB2">
        <w:rPr>
          <w:rFonts w:cs="Arial"/>
          <w:color w:val="000000"/>
          <w:spacing w:val="-4"/>
        </w:rPr>
        <w:t>To measure the expected credit losses</w:t>
      </w:r>
      <w:r w:rsidR="00656B25" w:rsidRPr="006F6BB2">
        <w:rPr>
          <w:rFonts w:cs="Arial"/>
          <w:color w:val="000000"/>
          <w:spacing w:val="-4"/>
        </w:rPr>
        <w:t xml:space="preserve"> of trade accounts receivable </w:t>
      </w:r>
      <w:r w:rsidR="004708F3" w:rsidRPr="006F6BB2">
        <w:rPr>
          <w:rFonts w:cs="Arial"/>
          <w:color w:val="000000"/>
          <w:spacing w:val="-4"/>
        </w:rPr>
        <w:t>by using</w:t>
      </w:r>
      <w:r w:rsidRPr="006F6BB2">
        <w:rPr>
          <w:rFonts w:cs="Arial"/>
          <w:color w:val="000000"/>
          <w:spacing w:val="-4"/>
        </w:rPr>
        <w:t xml:space="preserve"> </w:t>
      </w:r>
      <w:r w:rsidR="006F6BB2" w:rsidRPr="006F6BB2">
        <w:rPr>
          <w:rFonts w:cs="Arial"/>
          <w:color w:val="000000"/>
          <w:spacing w:val="-4"/>
        </w:rPr>
        <w:t>the</w:t>
      </w:r>
      <w:r w:rsidRPr="006F6BB2">
        <w:rPr>
          <w:rFonts w:cs="Arial"/>
          <w:color w:val="000000"/>
          <w:spacing w:val="-4"/>
        </w:rPr>
        <w:t xml:space="preserve"> simplified approach</w:t>
      </w:r>
      <w:r w:rsidRPr="002D2F67">
        <w:rPr>
          <w:rFonts w:cs="Arial"/>
          <w:color w:val="000000"/>
        </w:rPr>
        <w:t xml:space="preserve">, </w:t>
      </w:r>
      <w:r w:rsidR="006F6BB2">
        <w:rPr>
          <w:rFonts w:cs="Arial"/>
          <w:color w:val="000000"/>
        </w:rPr>
        <w:br/>
      </w:r>
      <w:r w:rsidR="008232A0" w:rsidRPr="002D2F67">
        <w:rPr>
          <w:rFonts w:cs="Arial"/>
          <w:color w:val="000000"/>
        </w:rPr>
        <w:t>the m</w:t>
      </w:r>
      <w:r w:rsidRPr="002D2F67">
        <w:rPr>
          <w:rFonts w:cs="Arial"/>
          <w:color w:val="000000"/>
        </w:rPr>
        <w:t xml:space="preserve">anagements grouped </w:t>
      </w:r>
      <w:r w:rsidR="0011557E" w:rsidRPr="002D2F67">
        <w:rPr>
          <w:rFonts w:cs="Arial"/>
          <w:color w:val="000000"/>
        </w:rPr>
        <w:t xml:space="preserve">the receivables </w:t>
      </w:r>
      <w:r w:rsidRPr="002D2F67">
        <w:rPr>
          <w:rFonts w:cs="Arial"/>
          <w:color w:val="000000"/>
        </w:rPr>
        <w:t xml:space="preserve">based on shared credit risk characteristics and the days past due. The expected credit loss rates are based on payment profiles, historical credit losses as well as forward-looking </w:t>
      </w:r>
      <w:r w:rsidRPr="002D2F67">
        <w:rPr>
          <w:rFonts w:cs="Arial"/>
          <w:color w:val="000000"/>
          <w:spacing w:val="-2"/>
        </w:rPr>
        <w:t>information and factors that may affect the ability of the customers to settle the outstanding balances.</w:t>
      </w:r>
      <w:r w:rsidRPr="002D2F67">
        <w:rPr>
          <w:rFonts w:cs="Arial"/>
          <w:color w:val="000000"/>
        </w:rPr>
        <w:t xml:space="preserve"> </w:t>
      </w:r>
    </w:p>
    <w:p w14:paraId="73F00C14" w14:textId="77777777" w:rsidR="00656B25" w:rsidRPr="002D2F67" w:rsidRDefault="00656B25" w:rsidP="005611FE">
      <w:pPr>
        <w:pStyle w:val="NoSpacing"/>
        <w:ind w:left="540"/>
        <w:jc w:val="both"/>
        <w:rPr>
          <w:rFonts w:cs="Arial"/>
          <w:color w:val="000000"/>
        </w:rPr>
      </w:pPr>
    </w:p>
    <w:p w14:paraId="0EF0F722" w14:textId="730FE93C" w:rsidR="000C66EE" w:rsidRPr="002D2F67" w:rsidRDefault="000C66EE" w:rsidP="005611FE">
      <w:pPr>
        <w:pStyle w:val="NoSpacing"/>
        <w:ind w:left="540"/>
        <w:jc w:val="both"/>
        <w:rPr>
          <w:rFonts w:cs="Arial"/>
          <w:color w:val="000000"/>
        </w:rPr>
      </w:pPr>
      <w:r w:rsidRPr="002D2F67">
        <w:rPr>
          <w:rFonts w:cs="Arial"/>
          <w:color w:val="000000"/>
          <w:spacing w:val="-7"/>
        </w:rPr>
        <w:t xml:space="preserve">For </w:t>
      </w:r>
      <w:r w:rsidR="00656B25" w:rsidRPr="002D2F67">
        <w:rPr>
          <w:rFonts w:cs="Arial"/>
          <w:color w:val="000000"/>
          <w:spacing w:val="-7"/>
        </w:rPr>
        <w:t xml:space="preserve">finance lease receivables, </w:t>
      </w:r>
      <w:r w:rsidR="00724BEB" w:rsidRPr="002D2F67">
        <w:rPr>
          <w:rFonts w:cs="Arial"/>
          <w:color w:val="000000"/>
          <w:spacing w:val="-7"/>
        </w:rPr>
        <w:t xml:space="preserve">loans to other parties and related parties and </w:t>
      </w:r>
      <w:r w:rsidRPr="002D2F67">
        <w:rPr>
          <w:rFonts w:cs="Arial"/>
          <w:color w:val="000000"/>
          <w:spacing w:val="-7"/>
        </w:rPr>
        <w:t>other financial assets carried at amortised</w:t>
      </w:r>
      <w:r w:rsidR="006F6BB2">
        <w:rPr>
          <w:rFonts w:cs="Arial"/>
          <w:color w:val="000000"/>
          <w:spacing w:val="-7"/>
        </w:rPr>
        <w:t xml:space="preserve"> cost</w:t>
      </w:r>
      <w:r w:rsidRPr="002D2F67">
        <w:rPr>
          <w:rFonts w:cs="Arial"/>
          <w:color w:val="000000"/>
          <w:spacing w:val="-7"/>
        </w:rPr>
        <w:t xml:space="preserve">, the Group applies TFRS </w:t>
      </w:r>
      <w:r w:rsidR="00CD5714" w:rsidRPr="00CD5714">
        <w:rPr>
          <w:rFonts w:cs="Arial"/>
          <w:color w:val="000000"/>
          <w:spacing w:val="-7"/>
          <w:lang w:val="en-GB"/>
        </w:rPr>
        <w:t>9</w:t>
      </w:r>
      <w:r w:rsidRPr="002D2F67">
        <w:rPr>
          <w:rFonts w:cs="Arial"/>
          <w:color w:val="000000"/>
          <w:spacing w:val="-7"/>
        </w:rPr>
        <w:t xml:space="preserve"> general approach</w:t>
      </w:r>
      <w:r w:rsidRPr="002D2F67">
        <w:rPr>
          <w:rFonts w:cs="Arial"/>
          <w:color w:val="000000"/>
        </w:rPr>
        <w:t xml:space="preserve"> in measuring the impairment of</w:t>
      </w:r>
      <w:r w:rsidRPr="002D2F67">
        <w:rPr>
          <w:rFonts w:cs="Arial"/>
          <w:color w:val="000000"/>
          <w:cs/>
        </w:rPr>
        <w:t xml:space="preserve"> </w:t>
      </w:r>
      <w:r w:rsidRPr="002D2F67">
        <w:rPr>
          <w:rFonts w:cs="Arial"/>
          <w:color w:val="000000"/>
        </w:rPr>
        <w:t xml:space="preserve">those financial assets. Under the general approach, the </w:t>
      </w:r>
      <w:r w:rsidR="00CD5714" w:rsidRPr="00CD5714">
        <w:rPr>
          <w:rFonts w:cs="Arial"/>
          <w:color w:val="000000"/>
          <w:lang w:val="en-GB"/>
        </w:rPr>
        <w:t>12</w:t>
      </w:r>
      <w:r w:rsidRPr="002D2F67">
        <w:rPr>
          <w:rFonts w:cs="Arial"/>
          <w:color w:val="000000"/>
        </w:rPr>
        <w:t xml:space="preserve">-month or </w:t>
      </w:r>
      <w:r w:rsidRPr="002D2F67">
        <w:rPr>
          <w:rFonts w:cs="Arial"/>
          <w:color w:val="000000"/>
          <w:spacing w:val="-2"/>
        </w:rPr>
        <w:t>the lifetime expected credit loss is applied depending on whether there has been a significant increase</w:t>
      </w:r>
      <w:r w:rsidRPr="002D2F67">
        <w:rPr>
          <w:rFonts w:cs="Arial"/>
          <w:color w:val="000000"/>
        </w:rPr>
        <w:t xml:space="preserve"> in credit risk since the initial recognition. </w:t>
      </w:r>
    </w:p>
    <w:p w14:paraId="4D459CEE" w14:textId="77777777" w:rsidR="000C66EE" w:rsidRPr="002D2F67" w:rsidRDefault="000C66EE" w:rsidP="005611FE">
      <w:pPr>
        <w:ind w:left="540"/>
        <w:jc w:val="both"/>
        <w:rPr>
          <w:rFonts w:ascii="Arial" w:hAnsi="Arial" w:cs="Arial"/>
          <w:color w:val="000000"/>
          <w:sz w:val="20"/>
          <w:szCs w:val="20"/>
        </w:rPr>
      </w:pPr>
    </w:p>
    <w:p w14:paraId="02A23E8A" w14:textId="2D3903FA" w:rsidR="000C66EE" w:rsidRPr="002D2F67" w:rsidRDefault="000C66EE" w:rsidP="005611FE">
      <w:pPr>
        <w:pStyle w:val="NoSpacing"/>
        <w:ind w:left="540"/>
        <w:jc w:val="both"/>
        <w:rPr>
          <w:rFonts w:cs="Arial"/>
          <w:color w:val="000000"/>
        </w:rPr>
      </w:pPr>
      <w:r w:rsidRPr="002D2F67">
        <w:rPr>
          <w:rFonts w:cs="Arial"/>
          <w:color w:val="000000"/>
        </w:rPr>
        <w:t>The significant increase in credit risk</w:t>
      </w:r>
      <w:r w:rsidR="0011557E" w:rsidRPr="002D2F67">
        <w:rPr>
          <w:rFonts w:cs="Arial"/>
          <w:color w:val="000000"/>
        </w:rPr>
        <w:t xml:space="preserve"> (from initial recognition)</w:t>
      </w:r>
      <w:r w:rsidRPr="002D2F67">
        <w:rPr>
          <w:rFonts w:cs="Arial"/>
          <w:color w:val="000000"/>
        </w:rPr>
        <w:t xml:space="preserve"> assessment is performed </w:t>
      </w:r>
      <w:r w:rsidR="00B50B5B" w:rsidRPr="002D2F67">
        <w:rPr>
          <w:rFonts w:cs="Arial"/>
          <w:color w:val="000000"/>
        </w:rPr>
        <w:t>at the</w:t>
      </w:r>
      <w:r w:rsidRPr="002D2F67">
        <w:rPr>
          <w:rFonts w:cs="Arial"/>
          <w:color w:val="000000"/>
        </w:rPr>
        <w:t xml:space="preserve"> end of </w:t>
      </w:r>
      <w:r w:rsidR="006F6BB2">
        <w:rPr>
          <w:rFonts w:cs="Arial"/>
          <w:color w:val="000000"/>
        </w:rPr>
        <w:t xml:space="preserve">each </w:t>
      </w:r>
      <w:r w:rsidRPr="002D2F67">
        <w:rPr>
          <w:rFonts w:cs="Arial"/>
          <w:color w:val="000000"/>
        </w:rPr>
        <w:t xml:space="preserve">reporting period by comparing expected risk of default as of the reporting date </w:t>
      </w:r>
      <w:r w:rsidR="00164A26" w:rsidRPr="002D2F67">
        <w:rPr>
          <w:rFonts w:cs="Arial"/>
          <w:color w:val="000000"/>
        </w:rPr>
        <w:t>with the</w:t>
      </w:r>
      <w:r w:rsidRPr="002D2F67">
        <w:rPr>
          <w:rFonts w:cs="Arial"/>
          <w:color w:val="000000"/>
        </w:rPr>
        <w:t xml:space="preserve"> estimated risk of default on the date of initial recognition. </w:t>
      </w:r>
    </w:p>
    <w:p w14:paraId="2545F313" w14:textId="77777777" w:rsidR="000C66EE" w:rsidRPr="002D2F67" w:rsidRDefault="000C66EE" w:rsidP="005611FE">
      <w:pPr>
        <w:ind w:left="540"/>
        <w:jc w:val="both"/>
        <w:rPr>
          <w:rFonts w:ascii="Arial" w:hAnsi="Arial" w:cs="Arial"/>
          <w:color w:val="000000"/>
          <w:sz w:val="20"/>
          <w:szCs w:val="20"/>
        </w:rPr>
      </w:pPr>
    </w:p>
    <w:p w14:paraId="078AE990" w14:textId="3E4E5321" w:rsidR="000C66EE" w:rsidRPr="002D2F67" w:rsidRDefault="000C66EE" w:rsidP="005611FE">
      <w:pPr>
        <w:pStyle w:val="NoSpacing"/>
        <w:ind w:left="540"/>
        <w:jc w:val="both"/>
        <w:rPr>
          <w:rFonts w:cs="Arial"/>
          <w:color w:val="000000"/>
          <w:szCs w:val="20"/>
        </w:rPr>
      </w:pPr>
      <w:r w:rsidRPr="002D2F67">
        <w:rPr>
          <w:rFonts w:cs="Arial"/>
          <w:color w:val="000000"/>
          <w:szCs w:val="20"/>
        </w:rPr>
        <w:t>The Group assesses expected credit loss by taking into consideration</w:t>
      </w:r>
      <w:r w:rsidR="00164A26" w:rsidRPr="002D2F67">
        <w:rPr>
          <w:rFonts w:cs="Arial"/>
          <w:color w:val="000000"/>
          <w:szCs w:val="20"/>
        </w:rPr>
        <w:t xml:space="preserve"> of</w:t>
      </w:r>
      <w:r w:rsidRPr="002D2F67">
        <w:rPr>
          <w:rFonts w:cs="Arial"/>
          <w:color w:val="000000"/>
          <w:szCs w:val="20"/>
        </w:rPr>
        <w:t xml:space="preserve"> forward-looking information and past experiences. The expected credit loss is a probability-weighted estimate of credit losses (probability-weighted present value of estimated cash shortfall). The cash shortfall is the difference between all contractual cash flows that are due to the Group and all cash flows expected to receive, discounted at the original effective interest rate. </w:t>
      </w:r>
    </w:p>
    <w:p w14:paraId="772EF2A1" w14:textId="7B2CB027" w:rsidR="000C66EE" w:rsidRPr="002D2F67" w:rsidRDefault="000C66EE" w:rsidP="005611FE">
      <w:pPr>
        <w:ind w:left="540"/>
        <w:jc w:val="both"/>
        <w:rPr>
          <w:rFonts w:ascii="Arial" w:hAnsi="Arial" w:cs="Arial"/>
          <w:color w:val="000000"/>
          <w:sz w:val="20"/>
          <w:szCs w:val="20"/>
        </w:rPr>
      </w:pPr>
    </w:p>
    <w:p w14:paraId="5F1F08F7" w14:textId="77777777" w:rsidR="000C66EE" w:rsidRPr="002D2F67" w:rsidRDefault="000C66EE" w:rsidP="005611FE">
      <w:pPr>
        <w:pStyle w:val="NoSpacing"/>
        <w:ind w:left="540"/>
        <w:jc w:val="both"/>
        <w:rPr>
          <w:rFonts w:cs="Arial"/>
          <w:color w:val="000000"/>
          <w:szCs w:val="20"/>
        </w:rPr>
      </w:pPr>
      <w:r w:rsidRPr="002D2F67">
        <w:rPr>
          <w:rFonts w:cs="Arial"/>
          <w:color w:val="000000"/>
          <w:szCs w:val="20"/>
        </w:rPr>
        <w:t>When measuring expected credit losses, the Group reflects the following:</w:t>
      </w:r>
    </w:p>
    <w:p w14:paraId="44A7DCF2" w14:textId="77777777" w:rsidR="000C66EE" w:rsidRPr="002D2F67" w:rsidRDefault="000C66EE" w:rsidP="005611FE">
      <w:pPr>
        <w:ind w:left="540"/>
        <w:rPr>
          <w:rFonts w:ascii="Arial" w:hAnsi="Arial" w:cs="Arial"/>
          <w:color w:val="000000"/>
          <w:sz w:val="20"/>
          <w:szCs w:val="20"/>
        </w:rPr>
      </w:pPr>
    </w:p>
    <w:p w14:paraId="76D41B5C" w14:textId="34544F98" w:rsidR="000C66EE" w:rsidRPr="002D2F67" w:rsidRDefault="00C05B30" w:rsidP="005611FE">
      <w:pPr>
        <w:pStyle w:val="ListParagraph"/>
        <w:numPr>
          <w:ilvl w:val="0"/>
          <w:numId w:val="6"/>
        </w:numPr>
        <w:tabs>
          <w:tab w:val="left" w:pos="900"/>
        </w:tabs>
        <w:spacing w:after="0" w:line="240" w:lineRule="auto"/>
        <w:ind w:left="900"/>
        <w:jc w:val="thaiDistribute"/>
        <w:rPr>
          <w:rFonts w:ascii="Arial" w:hAnsi="Arial" w:cs="Arial"/>
          <w:color w:val="000000"/>
          <w:sz w:val="20"/>
          <w:szCs w:val="20"/>
        </w:rPr>
      </w:pPr>
      <w:r w:rsidRPr="002D2F67">
        <w:rPr>
          <w:rFonts w:ascii="Arial" w:hAnsi="Arial" w:cs="Arial"/>
          <w:color w:val="000000"/>
          <w:sz w:val="20"/>
          <w:szCs w:val="20"/>
        </w:rPr>
        <w:t>P</w:t>
      </w:r>
      <w:r w:rsidR="000C66EE" w:rsidRPr="002D2F67">
        <w:rPr>
          <w:rFonts w:ascii="Arial" w:hAnsi="Arial" w:cs="Arial"/>
          <w:color w:val="000000"/>
          <w:sz w:val="20"/>
          <w:szCs w:val="20"/>
        </w:rPr>
        <w:t xml:space="preserve">robability-weighted estimated uncollectible </w:t>
      </w:r>
      <w:proofErr w:type="gramStart"/>
      <w:r w:rsidR="000C66EE" w:rsidRPr="002D2F67">
        <w:rPr>
          <w:rFonts w:ascii="Arial" w:hAnsi="Arial" w:cs="Arial"/>
          <w:color w:val="000000"/>
          <w:sz w:val="20"/>
          <w:szCs w:val="20"/>
        </w:rPr>
        <w:t>amounts</w:t>
      </w:r>
      <w:r w:rsidR="0011557E" w:rsidRPr="002D2F67">
        <w:rPr>
          <w:rFonts w:ascii="Arial" w:hAnsi="Arial" w:cs="Arial"/>
          <w:color w:val="000000"/>
          <w:sz w:val="20"/>
          <w:szCs w:val="20"/>
        </w:rPr>
        <w:t>;</w:t>
      </w:r>
      <w:proofErr w:type="gramEnd"/>
    </w:p>
    <w:p w14:paraId="422A8465" w14:textId="77777777" w:rsidR="000C66EE" w:rsidRPr="002D2F67" w:rsidRDefault="00C05B30" w:rsidP="005611FE">
      <w:pPr>
        <w:pStyle w:val="ListParagraph"/>
        <w:numPr>
          <w:ilvl w:val="0"/>
          <w:numId w:val="6"/>
        </w:numPr>
        <w:tabs>
          <w:tab w:val="left" w:pos="900"/>
        </w:tabs>
        <w:spacing w:after="0" w:line="240" w:lineRule="auto"/>
        <w:ind w:left="900"/>
        <w:jc w:val="thaiDistribute"/>
        <w:rPr>
          <w:rFonts w:ascii="Arial" w:hAnsi="Arial" w:cs="Arial"/>
          <w:color w:val="000000"/>
          <w:sz w:val="20"/>
          <w:szCs w:val="20"/>
        </w:rPr>
      </w:pPr>
      <w:r w:rsidRPr="002D2F67">
        <w:rPr>
          <w:rFonts w:ascii="Arial" w:hAnsi="Arial" w:cs="Arial"/>
          <w:color w:val="000000"/>
          <w:sz w:val="20"/>
          <w:szCs w:val="20"/>
        </w:rPr>
        <w:t>T</w:t>
      </w:r>
      <w:r w:rsidR="000C66EE" w:rsidRPr="002D2F67">
        <w:rPr>
          <w:rFonts w:ascii="Arial" w:hAnsi="Arial" w:cs="Arial"/>
          <w:color w:val="000000"/>
          <w:sz w:val="20"/>
          <w:szCs w:val="20"/>
        </w:rPr>
        <w:t xml:space="preserve">ime value of money; and </w:t>
      </w:r>
    </w:p>
    <w:p w14:paraId="7425E6C9" w14:textId="77777777" w:rsidR="000C66EE" w:rsidRPr="002D2F67" w:rsidRDefault="00C05B30" w:rsidP="005611FE">
      <w:pPr>
        <w:pStyle w:val="ListParagraph"/>
        <w:numPr>
          <w:ilvl w:val="0"/>
          <w:numId w:val="6"/>
        </w:numPr>
        <w:tabs>
          <w:tab w:val="left" w:pos="900"/>
        </w:tabs>
        <w:spacing w:after="0" w:line="240" w:lineRule="auto"/>
        <w:ind w:left="900"/>
        <w:jc w:val="thaiDistribute"/>
        <w:rPr>
          <w:rFonts w:ascii="Arial" w:hAnsi="Arial" w:cs="Arial"/>
          <w:color w:val="000000"/>
          <w:sz w:val="20"/>
          <w:szCs w:val="20"/>
        </w:rPr>
      </w:pPr>
      <w:r w:rsidRPr="002D2F67">
        <w:rPr>
          <w:rFonts w:ascii="Arial" w:hAnsi="Arial" w:cs="Arial"/>
          <w:color w:val="000000"/>
          <w:sz w:val="20"/>
          <w:szCs w:val="20"/>
        </w:rPr>
        <w:t>S</w:t>
      </w:r>
      <w:r w:rsidR="000C66EE" w:rsidRPr="002D2F67">
        <w:rPr>
          <w:rFonts w:ascii="Arial" w:hAnsi="Arial" w:cs="Arial"/>
          <w:color w:val="000000"/>
          <w:sz w:val="20"/>
          <w:szCs w:val="20"/>
        </w:rPr>
        <w:t xml:space="preserve">upportable and reasonable information as of the reporting date about </w:t>
      </w:r>
      <w:proofErr w:type="gramStart"/>
      <w:r w:rsidR="000C66EE" w:rsidRPr="002D2F67">
        <w:rPr>
          <w:rFonts w:ascii="Arial" w:hAnsi="Arial" w:cs="Arial"/>
          <w:color w:val="000000"/>
          <w:sz w:val="20"/>
          <w:szCs w:val="20"/>
        </w:rPr>
        <w:t>past experience</w:t>
      </w:r>
      <w:proofErr w:type="gramEnd"/>
      <w:r w:rsidR="000C66EE" w:rsidRPr="002D2F67">
        <w:rPr>
          <w:rFonts w:ascii="Arial" w:hAnsi="Arial" w:cs="Arial"/>
          <w:color w:val="000000"/>
          <w:sz w:val="20"/>
          <w:szCs w:val="20"/>
        </w:rPr>
        <w:t>, current conditions and forecasts of future situations.</w:t>
      </w:r>
    </w:p>
    <w:p w14:paraId="6D13B3E3" w14:textId="77777777" w:rsidR="000C66EE" w:rsidRPr="002D2F67" w:rsidRDefault="000C66EE" w:rsidP="005611FE">
      <w:pPr>
        <w:ind w:left="540"/>
        <w:jc w:val="thaiDistribute"/>
        <w:rPr>
          <w:rFonts w:ascii="Arial" w:hAnsi="Arial" w:cs="Arial"/>
          <w:color w:val="000000"/>
          <w:sz w:val="20"/>
          <w:szCs w:val="20"/>
        </w:rPr>
      </w:pPr>
    </w:p>
    <w:p w14:paraId="27E909DF" w14:textId="3DE9E02A" w:rsidR="00C05B30" w:rsidRPr="002D2F67" w:rsidRDefault="000C66EE" w:rsidP="005611FE">
      <w:pPr>
        <w:pStyle w:val="ListParagraph"/>
        <w:spacing w:after="0" w:line="240" w:lineRule="auto"/>
        <w:ind w:left="540"/>
        <w:jc w:val="thaiDistribute"/>
        <w:rPr>
          <w:rFonts w:ascii="Arial" w:hAnsi="Arial" w:cs="Arial"/>
          <w:color w:val="000000"/>
          <w:sz w:val="20"/>
          <w:szCs w:val="20"/>
        </w:rPr>
      </w:pPr>
      <w:r w:rsidRPr="002D2F67">
        <w:rPr>
          <w:rFonts w:ascii="Arial" w:hAnsi="Arial" w:cs="Arial"/>
          <w:color w:val="000000"/>
          <w:sz w:val="20"/>
          <w:szCs w:val="20"/>
        </w:rPr>
        <w:t>Impairment and reversal of impairment losses are recognised in profit or loss</w:t>
      </w:r>
      <w:r w:rsidR="00F629DA" w:rsidRPr="002D2F67">
        <w:rPr>
          <w:rFonts w:ascii="Arial" w:hAnsi="Arial" w:cs="Arial"/>
          <w:color w:val="000000"/>
          <w:sz w:val="20"/>
          <w:szCs w:val="20"/>
        </w:rPr>
        <w:t xml:space="preserve"> </w:t>
      </w:r>
      <w:r w:rsidR="008D0479" w:rsidRPr="002D2F67">
        <w:rPr>
          <w:rFonts w:ascii="Arial" w:hAnsi="Arial" w:cs="Arial"/>
          <w:color w:val="000000"/>
          <w:sz w:val="20"/>
          <w:szCs w:val="20"/>
        </w:rPr>
        <w:t>as a separate line item</w:t>
      </w:r>
      <w:r w:rsidR="00F629DA" w:rsidRPr="002D2F67">
        <w:rPr>
          <w:rFonts w:ascii="Arial" w:hAnsi="Arial" w:cs="Arial"/>
          <w:color w:val="000000"/>
          <w:sz w:val="20"/>
          <w:szCs w:val="20"/>
        </w:rPr>
        <w:t>.</w:t>
      </w:r>
    </w:p>
    <w:p w14:paraId="7A16BA7A" w14:textId="43F25AE8" w:rsidR="00842D47" w:rsidRPr="002D2F67" w:rsidRDefault="00842D47" w:rsidP="005611FE">
      <w:pPr>
        <w:tabs>
          <w:tab w:val="left" w:pos="567"/>
        </w:tabs>
        <w:rPr>
          <w:rFonts w:ascii="Arial" w:hAnsi="Arial" w:cs="Arial"/>
          <w:color w:val="000000"/>
          <w:sz w:val="20"/>
          <w:szCs w:val="20"/>
        </w:rPr>
      </w:pPr>
    </w:p>
    <w:p w14:paraId="69D31D90" w14:textId="0E040D88" w:rsidR="0085212F" w:rsidRPr="002D2F67" w:rsidRDefault="00CD5714" w:rsidP="005611FE">
      <w:pPr>
        <w:pStyle w:val="HeadSub1-5EA"/>
        <w:rPr>
          <w:rFonts w:ascii="Arial" w:hAnsi="Arial" w:cs="Arial"/>
          <w:color w:val="000000"/>
          <w:sz w:val="20"/>
          <w:szCs w:val="20"/>
        </w:rPr>
      </w:pPr>
      <w:bookmarkStart w:id="0" w:name="_Hlk158905556"/>
      <w:r w:rsidRPr="00CD5714">
        <w:rPr>
          <w:rFonts w:ascii="Arial" w:hAnsi="Arial" w:cs="Arial"/>
          <w:color w:val="000000"/>
          <w:sz w:val="20"/>
          <w:szCs w:val="25"/>
          <w:lang w:val="en-GB"/>
        </w:rPr>
        <w:t>5</w:t>
      </w:r>
      <w:r w:rsidR="0085212F" w:rsidRPr="002D2F67">
        <w:rPr>
          <w:rFonts w:ascii="Arial" w:hAnsi="Arial" w:cs="Arial"/>
          <w:color w:val="000000"/>
          <w:sz w:val="20"/>
          <w:szCs w:val="20"/>
        </w:rPr>
        <w:t>.</w:t>
      </w:r>
      <w:r w:rsidRPr="00CD5714">
        <w:rPr>
          <w:rFonts w:ascii="Arial" w:hAnsi="Arial" w:cs="Arial"/>
          <w:color w:val="000000"/>
          <w:sz w:val="20"/>
          <w:szCs w:val="20"/>
          <w:lang w:val="en-GB"/>
        </w:rPr>
        <w:t>8</w:t>
      </w:r>
      <w:r w:rsidR="0085212F" w:rsidRPr="002D2F67">
        <w:rPr>
          <w:rFonts w:ascii="Arial" w:hAnsi="Arial" w:cs="Arial"/>
          <w:color w:val="000000"/>
          <w:sz w:val="20"/>
          <w:szCs w:val="20"/>
        </w:rPr>
        <w:tab/>
      </w:r>
      <w:r w:rsidR="008F17CA" w:rsidRPr="002D2F67">
        <w:rPr>
          <w:rFonts w:ascii="Arial" w:hAnsi="Arial" w:cs="Arial"/>
          <w:color w:val="000000"/>
          <w:sz w:val="20"/>
          <w:szCs w:val="20"/>
        </w:rPr>
        <w:t>Non-current a</w:t>
      </w:r>
      <w:r w:rsidR="0085212F" w:rsidRPr="002D2F67">
        <w:rPr>
          <w:rFonts w:ascii="Arial" w:hAnsi="Arial" w:cs="Arial"/>
          <w:color w:val="000000"/>
          <w:sz w:val="20"/>
          <w:szCs w:val="20"/>
        </w:rPr>
        <w:t>sset</w:t>
      </w:r>
      <w:r w:rsidR="00A13D61" w:rsidRPr="002D2F67">
        <w:rPr>
          <w:rFonts w:ascii="Arial" w:hAnsi="Arial" w:cs="Arial"/>
          <w:color w:val="000000"/>
          <w:sz w:val="20"/>
          <w:szCs w:val="20"/>
        </w:rPr>
        <w:t>s</w:t>
      </w:r>
      <w:r w:rsidR="0085212F" w:rsidRPr="002D2F67">
        <w:rPr>
          <w:rFonts w:ascii="Arial" w:hAnsi="Arial" w:cs="Arial"/>
          <w:color w:val="000000"/>
          <w:sz w:val="20"/>
          <w:szCs w:val="20"/>
        </w:rPr>
        <w:t xml:space="preserve"> </w:t>
      </w:r>
      <w:r w:rsidR="00EA7E4E" w:rsidRPr="002D2F67">
        <w:rPr>
          <w:rFonts w:ascii="Arial" w:hAnsi="Arial" w:cs="Arial"/>
          <w:color w:val="000000"/>
          <w:sz w:val="20"/>
          <w:szCs w:val="20"/>
        </w:rPr>
        <w:t>held-for-sale</w:t>
      </w:r>
    </w:p>
    <w:p w14:paraId="2E992377" w14:textId="77777777" w:rsidR="007D52A5" w:rsidRPr="002D2F67" w:rsidRDefault="007D52A5" w:rsidP="005611FE">
      <w:pPr>
        <w:tabs>
          <w:tab w:val="left" w:pos="567"/>
        </w:tabs>
        <w:ind w:left="567"/>
        <w:jc w:val="both"/>
        <w:rPr>
          <w:rFonts w:ascii="Arial" w:hAnsi="Arial" w:cs="Arial"/>
          <w:color w:val="000000"/>
          <w:sz w:val="20"/>
          <w:szCs w:val="20"/>
        </w:rPr>
      </w:pPr>
    </w:p>
    <w:p w14:paraId="00AD1169" w14:textId="67E3F0C8" w:rsidR="0085212F" w:rsidRPr="002D2F67" w:rsidRDefault="00F3723D" w:rsidP="005611FE">
      <w:pPr>
        <w:tabs>
          <w:tab w:val="left" w:pos="567"/>
        </w:tabs>
        <w:ind w:left="567"/>
        <w:jc w:val="both"/>
        <w:rPr>
          <w:rFonts w:ascii="Arial" w:hAnsi="Arial" w:cs="Arial"/>
          <w:b/>
          <w:bCs/>
          <w:color w:val="000000"/>
          <w:sz w:val="20"/>
          <w:szCs w:val="20"/>
        </w:rPr>
      </w:pPr>
      <w:r w:rsidRPr="002D2F67">
        <w:rPr>
          <w:rFonts w:ascii="Arial" w:hAnsi="Arial" w:cs="Arial"/>
          <w:color w:val="000000"/>
          <w:spacing w:val="-4"/>
          <w:sz w:val="20"/>
          <w:szCs w:val="20"/>
        </w:rPr>
        <w:t>Non-current assets are classified as assets held-for-sale when their carrying amount will be recovere</w:t>
      </w:r>
      <w:r w:rsidRPr="002D2F67">
        <w:rPr>
          <w:rFonts w:ascii="Arial" w:hAnsi="Arial" w:cs="Arial"/>
          <w:color w:val="000000"/>
          <w:sz w:val="20"/>
          <w:szCs w:val="20"/>
        </w:rPr>
        <w:t>d principally through a sale transaction and a sale is considered highly probable. They are measured at the lower of the carrying amount and fair value less costs to sell.</w:t>
      </w:r>
    </w:p>
    <w:p w14:paraId="556AA6CA" w14:textId="77777777" w:rsidR="00030EF1" w:rsidRPr="002D2F67" w:rsidRDefault="00030EF1" w:rsidP="005611FE">
      <w:pPr>
        <w:tabs>
          <w:tab w:val="left" w:pos="567"/>
        </w:tabs>
        <w:ind w:left="567"/>
        <w:rPr>
          <w:rFonts w:ascii="Arial" w:hAnsi="Arial" w:cs="Arial"/>
          <w:color w:val="000000"/>
          <w:sz w:val="20"/>
          <w:szCs w:val="20"/>
        </w:rPr>
      </w:pPr>
    </w:p>
    <w:p w14:paraId="57B8F1B8" w14:textId="77777777" w:rsidR="001127A0" w:rsidRPr="002D2F67" w:rsidRDefault="00030EF1" w:rsidP="005611FE">
      <w:pPr>
        <w:tabs>
          <w:tab w:val="left" w:pos="567"/>
        </w:tabs>
        <w:ind w:left="567"/>
        <w:jc w:val="both"/>
        <w:rPr>
          <w:rFonts w:ascii="Arial" w:hAnsi="Arial" w:cs="Arial"/>
          <w:color w:val="000000"/>
          <w:sz w:val="20"/>
          <w:szCs w:val="20"/>
        </w:rPr>
      </w:pPr>
      <w:r w:rsidRPr="002D2F67">
        <w:rPr>
          <w:rFonts w:ascii="Arial" w:hAnsi="Arial" w:cs="Arial"/>
          <w:color w:val="000000"/>
          <w:sz w:val="20"/>
          <w:szCs w:val="20"/>
        </w:rPr>
        <w:t xml:space="preserve">An impairment loss is recognised for write-down of the asset to fair value less costs to sell. A gain is recognised for any subsequent increases in fair value less costs to sell of an asset, but not </w:t>
      </w:r>
      <w:proofErr w:type="gramStart"/>
      <w:r w:rsidRPr="002D2F67">
        <w:rPr>
          <w:rFonts w:ascii="Arial" w:hAnsi="Arial" w:cs="Arial"/>
          <w:color w:val="000000"/>
          <w:sz w:val="20"/>
          <w:szCs w:val="20"/>
        </w:rPr>
        <w:t>in excess of</w:t>
      </w:r>
      <w:proofErr w:type="gramEnd"/>
      <w:r w:rsidRPr="002D2F67">
        <w:rPr>
          <w:rFonts w:ascii="Arial" w:hAnsi="Arial" w:cs="Arial"/>
          <w:color w:val="000000"/>
          <w:sz w:val="20"/>
          <w:szCs w:val="20"/>
        </w:rPr>
        <w:t xml:space="preserve"> any cumulative impairment loss previously recognised. </w:t>
      </w:r>
    </w:p>
    <w:bookmarkEnd w:id="0"/>
    <w:p w14:paraId="1281037D" w14:textId="77777777" w:rsidR="0045780F" w:rsidRPr="002D2F67" w:rsidRDefault="0045780F" w:rsidP="005611FE">
      <w:pPr>
        <w:tabs>
          <w:tab w:val="left" w:pos="567"/>
        </w:tabs>
        <w:rPr>
          <w:rFonts w:ascii="Arial" w:hAnsi="Arial" w:cs="Arial"/>
          <w:color w:val="000000"/>
          <w:sz w:val="20"/>
          <w:szCs w:val="20"/>
        </w:rPr>
      </w:pPr>
    </w:p>
    <w:p w14:paraId="54FCCB16" w14:textId="04B5F278" w:rsidR="00FE37B6" w:rsidRPr="002D2F67" w:rsidRDefault="00CD5714" w:rsidP="005611FE">
      <w:pPr>
        <w:pStyle w:val="HeadSub1-5EA"/>
        <w:rPr>
          <w:rFonts w:ascii="Arial" w:hAnsi="Arial" w:cs="Arial"/>
          <w:color w:val="000000"/>
          <w:sz w:val="20"/>
          <w:szCs w:val="20"/>
        </w:rPr>
      </w:pPr>
      <w:r w:rsidRPr="00CD5714">
        <w:rPr>
          <w:rFonts w:ascii="Arial" w:hAnsi="Arial" w:cs="Arial"/>
          <w:color w:val="000000"/>
          <w:sz w:val="20"/>
          <w:szCs w:val="20"/>
          <w:lang w:val="en-GB"/>
        </w:rPr>
        <w:t>5</w:t>
      </w:r>
      <w:r w:rsidR="00FE37B6" w:rsidRPr="002D2F67">
        <w:rPr>
          <w:rFonts w:ascii="Arial" w:hAnsi="Arial" w:cs="Arial"/>
          <w:color w:val="000000"/>
          <w:sz w:val="20"/>
          <w:szCs w:val="20"/>
        </w:rPr>
        <w:t>.</w:t>
      </w:r>
      <w:r w:rsidRPr="00CD5714">
        <w:rPr>
          <w:rFonts w:ascii="Arial" w:hAnsi="Arial" w:cs="Arial"/>
          <w:color w:val="000000"/>
          <w:sz w:val="20"/>
          <w:szCs w:val="20"/>
          <w:lang w:val="en-GB"/>
        </w:rPr>
        <w:t>9</w:t>
      </w:r>
      <w:r w:rsidR="00FE37B6" w:rsidRPr="002D2F67">
        <w:rPr>
          <w:rFonts w:ascii="Arial" w:hAnsi="Arial" w:cs="Arial"/>
          <w:color w:val="000000"/>
          <w:sz w:val="20"/>
          <w:szCs w:val="20"/>
        </w:rPr>
        <w:tab/>
        <w:t>Investment property</w:t>
      </w:r>
    </w:p>
    <w:p w14:paraId="0107F312" w14:textId="77777777" w:rsidR="00FE37B6" w:rsidRPr="002D2F67" w:rsidRDefault="00FE37B6" w:rsidP="005611FE">
      <w:pPr>
        <w:ind w:left="540"/>
        <w:rPr>
          <w:rFonts w:ascii="Arial" w:hAnsi="Arial" w:cs="Arial"/>
          <w:color w:val="000000"/>
          <w:sz w:val="20"/>
          <w:szCs w:val="20"/>
        </w:rPr>
      </w:pPr>
    </w:p>
    <w:p w14:paraId="104DADCA" w14:textId="2752BA64" w:rsidR="00FE37B6" w:rsidRPr="002D2F67" w:rsidRDefault="00FE37B6" w:rsidP="005611FE">
      <w:pPr>
        <w:ind w:left="540"/>
        <w:jc w:val="both"/>
        <w:rPr>
          <w:rFonts w:ascii="Arial" w:hAnsi="Arial" w:cs="Arial"/>
          <w:color w:val="000000"/>
          <w:spacing w:val="-2"/>
          <w:sz w:val="20"/>
          <w:szCs w:val="20"/>
        </w:rPr>
      </w:pPr>
      <w:r w:rsidRPr="002D2F67">
        <w:rPr>
          <w:rFonts w:ascii="Arial" w:hAnsi="Arial" w:cs="Arial"/>
          <w:color w:val="000000"/>
          <w:spacing w:val="-4"/>
          <w:sz w:val="20"/>
          <w:szCs w:val="20"/>
        </w:rPr>
        <w:t>Investment property is measured initially at cost, including directly attributable costs and borrowing costs</w:t>
      </w:r>
      <w:r w:rsidRPr="002D2F67">
        <w:rPr>
          <w:rFonts w:ascii="Arial" w:hAnsi="Arial" w:cs="Arial"/>
          <w:color w:val="000000"/>
          <w:spacing w:val="-2"/>
          <w:sz w:val="20"/>
          <w:szCs w:val="20"/>
        </w:rPr>
        <w:t>.</w:t>
      </w:r>
    </w:p>
    <w:p w14:paraId="0F10E7DA" w14:textId="77777777" w:rsidR="00FE37B6" w:rsidRPr="002D2F67" w:rsidRDefault="00FE37B6" w:rsidP="005611FE">
      <w:pPr>
        <w:ind w:left="540"/>
        <w:jc w:val="both"/>
        <w:rPr>
          <w:rFonts w:ascii="Arial" w:hAnsi="Arial" w:cs="Arial"/>
          <w:color w:val="000000"/>
          <w:sz w:val="20"/>
          <w:szCs w:val="20"/>
        </w:rPr>
      </w:pPr>
    </w:p>
    <w:p w14:paraId="169B60A4" w14:textId="77777777" w:rsidR="00FE37B6" w:rsidRPr="002D2F67" w:rsidRDefault="002F6BEF" w:rsidP="005611FE">
      <w:pPr>
        <w:ind w:left="540"/>
        <w:jc w:val="both"/>
        <w:rPr>
          <w:rFonts w:ascii="Arial" w:hAnsi="Arial" w:cs="Arial"/>
          <w:color w:val="000000"/>
          <w:sz w:val="20"/>
          <w:szCs w:val="20"/>
        </w:rPr>
      </w:pPr>
      <w:r w:rsidRPr="002D2F67">
        <w:rPr>
          <w:rFonts w:ascii="Arial" w:hAnsi="Arial" w:cs="Arial"/>
          <w:color w:val="000000"/>
          <w:sz w:val="20"/>
          <w:szCs w:val="20"/>
        </w:rPr>
        <w:t>Subsequently</w:t>
      </w:r>
      <w:r w:rsidR="00FE37B6" w:rsidRPr="002D2F67">
        <w:rPr>
          <w:rFonts w:ascii="Arial" w:hAnsi="Arial" w:cs="Arial"/>
          <w:color w:val="000000"/>
          <w:sz w:val="20"/>
          <w:szCs w:val="20"/>
        </w:rPr>
        <w:t xml:space="preserve"> investment property is carried at cost less</w:t>
      </w:r>
      <w:r w:rsidRPr="002D2F67">
        <w:rPr>
          <w:rFonts w:ascii="Arial" w:hAnsi="Arial" w:cs="Arial"/>
          <w:color w:val="000000"/>
          <w:sz w:val="20"/>
          <w:szCs w:val="20"/>
        </w:rPr>
        <w:t xml:space="preserve"> </w:t>
      </w:r>
      <w:r w:rsidR="00FE37B6" w:rsidRPr="002D2F67">
        <w:rPr>
          <w:rFonts w:ascii="Arial" w:hAnsi="Arial" w:cs="Arial"/>
          <w:color w:val="000000"/>
          <w:sz w:val="20"/>
          <w:szCs w:val="20"/>
        </w:rPr>
        <w:t>accumulated depreciation and a</w:t>
      </w:r>
      <w:r w:rsidRPr="002D2F67">
        <w:rPr>
          <w:rFonts w:ascii="Arial" w:hAnsi="Arial" w:cs="Arial"/>
          <w:color w:val="000000"/>
          <w:sz w:val="20"/>
          <w:szCs w:val="20"/>
        </w:rPr>
        <w:t xml:space="preserve">llowance for </w:t>
      </w:r>
      <w:r w:rsidR="00FE37B6" w:rsidRPr="002D2F67">
        <w:rPr>
          <w:rFonts w:ascii="Arial" w:hAnsi="Arial" w:cs="Arial"/>
          <w:color w:val="000000"/>
          <w:sz w:val="20"/>
          <w:szCs w:val="20"/>
        </w:rPr>
        <w:t xml:space="preserve">impairment </w:t>
      </w:r>
      <w:r w:rsidRPr="002D2F67">
        <w:rPr>
          <w:rFonts w:ascii="Arial" w:hAnsi="Arial" w:cs="Arial"/>
          <w:color w:val="000000"/>
          <w:sz w:val="20"/>
          <w:szCs w:val="20"/>
        </w:rPr>
        <w:t>(if any)</w:t>
      </w:r>
      <w:r w:rsidR="00FE37B6" w:rsidRPr="002D2F67">
        <w:rPr>
          <w:rFonts w:ascii="Arial" w:hAnsi="Arial" w:cs="Arial"/>
          <w:color w:val="000000"/>
          <w:sz w:val="20"/>
          <w:szCs w:val="20"/>
        </w:rPr>
        <w:t>.</w:t>
      </w:r>
    </w:p>
    <w:p w14:paraId="61D72584" w14:textId="77777777" w:rsidR="00FE37B6" w:rsidRPr="002D2F67" w:rsidRDefault="00FE37B6" w:rsidP="005611FE">
      <w:pPr>
        <w:ind w:left="540"/>
        <w:jc w:val="both"/>
        <w:rPr>
          <w:rFonts w:ascii="Arial" w:hAnsi="Arial" w:cs="Arial"/>
          <w:color w:val="000000"/>
          <w:sz w:val="20"/>
          <w:szCs w:val="20"/>
        </w:rPr>
      </w:pPr>
    </w:p>
    <w:p w14:paraId="15C72869" w14:textId="29A36AD4" w:rsidR="00FE37B6" w:rsidRPr="002D2F67" w:rsidRDefault="00FE37B6" w:rsidP="005611FE">
      <w:pPr>
        <w:ind w:left="540"/>
        <w:jc w:val="both"/>
        <w:rPr>
          <w:rFonts w:ascii="Arial" w:hAnsi="Arial" w:cs="Arial"/>
          <w:color w:val="000000"/>
          <w:sz w:val="20"/>
          <w:szCs w:val="20"/>
        </w:rPr>
      </w:pPr>
      <w:r w:rsidRPr="002D2F67">
        <w:rPr>
          <w:rFonts w:ascii="Arial" w:hAnsi="Arial" w:cs="Arial"/>
          <w:color w:val="000000"/>
          <w:sz w:val="20"/>
          <w:szCs w:val="20"/>
        </w:rPr>
        <w:t xml:space="preserve">Land is not depreciated. Depreciation on other investment properties is calculated using the </w:t>
      </w:r>
      <w:r w:rsidR="00F21FFC" w:rsidRPr="002D2F67">
        <w:rPr>
          <w:rFonts w:ascii="Arial" w:hAnsi="Arial" w:cs="Arial"/>
          <w:color w:val="000000"/>
          <w:sz w:val="20"/>
          <w:szCs w:val="20"/>
        </w:rPr>
        <w:t>straight-line</w:t>
      </w:r>
      <w:r w:rsidRPr="002D2F67">
        <w:rPr>
          <w:rFonts w:ascii="Arial" w:hAnsi="Arial" w:cs="Arial"/>
          <w:color w:val="000000"/>
          <w:sz w:val="20"/>
          <w:szCs w:val="20"/>
        </w:rPr>
        <w:t xml:space="preserve"> method to allocate their cost to their residual values over their estimated useful lives which is </w:t>
      </w:r>
      <w:r w:rsidR="00595DF8" w:rsidRPr="002D2F67">
        <w:rPr>
          <w:rFonts w:ascii="Arial" w:hAnsi="Arial" w:cs="Arial"/>
          <w:color w:val="000000"/>
          <w:sz w:val="20"/>
          <w:szCs w:val="20"/>
        </w:rPr>
        <w:br/>
      </w:r>
      <w:r w:rsidR="00CD5714" w:rsidRPr="00CD5714">
        <w:rPr>
          <w:rFonts w:ascii="Arial" w:hAnsi="Arial" w:cs="Arial"/>
          <w:color w:val="000000"/>
          <w:sz w:val="20"/>
          <w:szCs w:val="20"/>
          <w:lang w:val="en-GB"/>
        </w:rPr>
        <w:t>20</w:t>
      </w:r>
      <w:r w:rsidRPr="002D2F67">
        <w:rPr>
          <w:rFonts w:ascii="Arial" w:hAnsi="Arial" w:cs="Arial"/>
          <w:color w:val="000000"/>
          <w:sz w:val="20"/>
          <w:szCs w:val="20"/>
        </w:rPr>
        <w:t xml:space="preserve"> years.</w:t>
      </w:r>
    </w:p>
    <w:p w14:paraId="0733D942" w14:textId="2269A3FA" w:rsidR="002437BB" w:rsidRPr="002D2F67" w:rsidRDefault="00A70C0C" w:rsidP="005611FE">
      <w:pPr>
        <w:ind w:left="540"/>
        <w:jc w:val="both"/>
        <w:rPr>
          <w:rFonts w:ascii="Arial" w:hAnsi="Arial" w:cs="Arial"/>
          <w:color w:val="000000"/>
          <w:sz w:val="20"/>
          <w:szCs w:val="20"/>
        </w:rPr>
      </w:pPr>
      <w:r w:rsidRPr="002D2F67">
        <w:rPr>
          <w:rFonts w:ascii="Arial" w:hAnsi="Arial" w:cs="Arial"/>
          <w:color w:val="000000"/>
          <w:sz w:val="20"/>
          <w:szCs w:val="20"/>
        </w:rPr>
        <w:br w:type="page"/>
      </w:r>
    </w:p>
    <w:p w14:paraId="2AD012C8" w14:textId="2282B2EE" w:rsidR="00FE37B6" w:rsidRPr="002D2F67" w:rsidRDefault="00CD5714" w:rsidP="00100E48">
      <w:pPr>
        <w:pStyle w:val="HeadSub1-5EA"/>
        <w:ind w:left="630" w:hanging="630"/>
        <w:rPr>
          <w:rFonts w:ascii="Arial" w:hAnsi="Arial" w:cs="Arial"/>
          <w:color w:val="000000"/>
          <w:sz w:val="20"/>
          <w:szCs w:val="20"/>
        </w:rPr>
      </w:pPr>
      <w:r w:rsidRPr="00CD5714">
        <w:rPr>
          <w:rFonts w:ascii="Arial" w:hAnsi="Arial" w:cs="Arial"/>
          <w:color w:val="000000"/>
          <w:sz w:val="20"/>
          <w:szCs w:val="20"/>
          <w:lang w:val="en-GB"/>
        </w:rPr>
        <w:t>5</w:t>
      </w:r>
      <w:r w:rsidR="00FE37B6" w:rsidRPr="002D2F67">
        <w:rPr>
          <w:rFonts w:ascii="Arial" w:hAnsi="Arial" w:cs="Arial"/>
          <w:color w:val="000000"/>
          <w:sz w:val="20"/>
          <w:szCs w:val="20"/>
        </w:rPr>
        <w:t>.</w:t>
      </w:r>
      <w:r w:rsidRPr="00CD5714">
        <w:rPr>
          <w:rFonts w:ascii="Arial" w:hAnsi="Arial" w:cs="Arial"/>
          <w:color w:val="000000"/>
          <w:sz w:val="20"/>
          <w:szCs w:val="20"/>
          <w:lang w:val="en-GB"/>
        </w:rPr>
        <w:t>10</w:t>
      </w:r>
      <w:r w:rsidR="00FE37B6" w:rsidRPr="002D2F67">
        <w:rPr>
          <w:rFonts w:ascii="Arial" w:hAnsi="Arial" w:cs="Arial"/>
          <w:color w:val="000000"/>
          <w:sz w:val="20"/>
          <w:szCs w:val="20"/>
        </w:rPr>
        <w:tab/>
        <w:t>Property, plant and equipment</w:t>
      </w:r>
    </w:p>
    <w:p w14:paraId="0B6D5F1F" w14:textId="77777777" w:rsidR="00FE37B6" w:rsidRPr="002D2F67" w:rsidRDefault="00FE37B6" w:rsidP="00100E48">
      <w:pPr>
        <w:ind w:left="630"/>
        <w:jc w:val="both"/>
        <w:rPr>
          <w:rFonts w:ascii="Arial" w:hAnsi="Arial" w:cs="Arial"/>
          <w:color w:val="000000"/>
          <w:sz w:val="20"/>
          <w:szCs w:val="20"/>
        </w:rPr>
      </w:pPr>
    </w:p>
    <w:p w14:paraId="7DE6E147" w14:textId="71B3C4F0" w:rsidR="00FE37B6" w:rsidRPr="002D2F67" w:rsidRDefault="00F228DD" w:rsidP="00100E48">
      <w:pPr>
        <w:ind w:left="630"/>
        <w:jc w:val="both"/>
        <w:rPr>
          <w:rFonts w:ascii="Arial" w:hAnsi="Arial" w:cs="Arial"/>
          <w:color w:val="000000"/>
          <w:sz w:val="20"/>
          <w:szCs w:val="20"/>
        </w:rPr>
      </w:pPr>
      <w:r w:rsidRPr="002D2F67">
        <w:rPr>
          <w:rFonts w:ascii="Arial" w:hAnsi="Arial" w:cs="Arial"/>
          <w:color w:val="000000"/>
          <w:sz w:val="20"/>
          <w:szCs w:val="20"/>
        </w:rPr>
        <w:t>Property, plant and equipment are initially stated at historical cost. All plant and equipment are subsequently stated at historical cost less accumulated depreciation and allowance for impairment (if any)</w:t>
      </w:r>
      <w:r w:rsidR="00FE37B6" w:rsidRPr="002D2F67">
        <w:rPr>
          <w:rFonts w:ascii="Arial" w:hAnsi="Arial" w:cs="Arial"/>
          <w:color w:val="000000"/>
          <w:sz w:val="20"/>
          <w:szCs w:val="20"/>
        </w:rPr>
        <w:t>.</w:t>
      </w:r>
    </w:p>
    <w:p w14:paraId="1D5D69C4" w14:textId="77777777" w:rsidR="00FE37B6" w:rsidRPr="002D2F67" w:rsidRDefault="00FE37B6" w:rsidP="00100E48">
      <w:pPr>
        <w:ind w:left="630"/>
        <w:jc w:val="both"/>
        <w:rPr>
          <w:rFonts w:ascii="Arial" w:hAnsi="Arial" w:cs="Arial"/>
          <w:color w:val="000000"/>
          <w:sz w:val="20"/>
          <w:szCs w:val="20"/>
        </w:rPr>
      </w:pPr>
    </w:p>
    <w:p w14:paraId="23AF392E" w14:textId="76844BEE" w:rsidR="00FE37B6" w:rsidRPr="002D2F67" w:rsidRDefault="002A0204" w:rsidP="00100E48">
      <w:pPr>
        <w:pStyle w:val="Header"/>
        <w:tabs>
          <w:tab w:val="clear" w:pos="4320"/>
          <w:tab w:val="clear" w:pos="8640"/>
        </w:tabs>
        <w:ind w:left="630"/>
        <w:rPr>
          <w:rFonts w:ascii="Arial" w:hAnsi="Arial" w:cs="Arial"/>
          <w:color w:val="000000"/>
          <w:sz w:val="20"/>
          <w:szCs w:val="20"/>
        </w:rPr>
      </w:pPr>
      <w:r w:rsidRPr="002D2F67">
        <w:rPr>
          <w:rFonts w:ascii="Arial" w:hAnsi="Arial" w:cs="Arial"/>
          <w:sz w:val="20"/>
          <w:szCs w:val="20"/>
        </w:rPr>
        <w:t>Land is not depreciated. Depreciation on other assets is calculated using the straight-line method to allocate their cost net of their residual values over their estimated useful lives, as follows</w:t>
      </w:r>
      <w:r w:rsidR="00FE37B6" w:rsidRPr="002D2F67">
        <w:rPr>
          <w:rFonts w:ascii="Arial" w:hAnsi="Arial" w:cs="Arial"/>
          <w:color w:val="000000"/>
          <w:sz w:val="20"/>
          <w:szCs w:val="20"/>
        </w:rPr>
        <w:t>.</w:t>
      </w:r>
    </w:p>
    <w:p w14:paraId="3A79860E" w14:textId="77777777" w:rsidR="00FE37B6" w:rsidRPr="002D2F67" w:rsidRDefault="00FE37B6" w:rsidP="00100E48">
      <w:pPr>
        <w:ind w:left="630"/>
        <w:jc w:val="both"/>
        <w:rPr>
          <w:rFonts w:ascii="Arial" w:hAnsi="Arial" w:cs="Arial"/>
          <w:color w:val="000000"/>
          <w:sz w:val="20"/>
          <w:szCs w:val="20"/>
        </w:rPr>
      </w:pPr>
    </w:p>
    <w:tbl>
      <w:tblPr>
        <w:tblW w:w="8923" w:type="dxa"/>
        <w:tblInd w:w="648" w:type="dxa"/>
        <w:tblLayout w:type="fixed"/>
        <w:tblLook w:val="04A0" w:firstRow="1" w:lastRow="0" w:firstColumn="1" w:lastColumn="0" w:noHBand="0" w:noVBand="1"/>
      </w:tblPr>
      <w:tblGrid>
        <w:gridCol w:w="6480"/>
        <w:gridCol w:w="2443"/>
      </w:tblGrid>
      <w:tr w:rsidR="00FE37B6" w:rsidRPr="002D2F67" w14:paraId="3831DB54" w14:textId="77777777" w:rsidTr="005611FE">
        <w:tc>
          <w:tcPr>
            <w:tcW w:w="6480" w:type="dxa"/>
            <w:shd w:val="clear" w:color="auto" w:fill="auto"/>
          </w:tcPr>
          <w:p w14:paraId="63189921" w14:textId="77777777" w:rsidR="00FE37B6" w:rsidRPr="002D2F67" w:rsidRDefault="00FE37B6" w:rsidP="00100E48">
            <w:pPr>
              <w:pStyle w:val="Header"/>
              <w:tabs>
                <w:tab w:val="left" w:pos="720"/>
              </w:tabs>
              <w:ind w:left="-22"/>
              <w:rPr>
                <w:rFonts w:ascii="Arial" w:hAnsi="Arial" w:cs="Arial"/>
                <w:color w:val="000000"/>
                <w:spacing w:val="-2"/>
                <w:sz w:val="20"/>
                <w:szCs w:val="20"/>
              </w:rPr>
            </w:pPr>
          </w:p>
        </w:tc>
        <w:tc>
          <w:tcPr>
            <w:tcW w:w="2443" w:type="dxa"/>
            <w:shd w:val="clear" w:color="auto" w:fill="auto"/>
          </w:tcPr>
          <w:p w14:paraId="41B78338" w14:textId="77777777" w:rsidR="00FE37B6" w:rsidRPr="002D2F67" w:rsidRDefault="00FE37B6" w:rsidP="005611FE">
            <w:pPr>
              <w:pStyle w:val="BodyTextIndent"/>
              <w:ind w:right="-72"/>
              <w:jc w:val="right"/>
              <w:rPr>
                <w:rFonts w:ascii="Arial" w:hAnsi="Arial" w:cs="Arial"/>
                <w:b/>
                <w:bCs/>
                <w:color w:val="000000"/>
                <w:sz w:val="20"/>
                <w:szCs w:val="20"/>
                <w:u w:val="single"/>
              </w:rPr>
            </w:pPr>
            <w:r w:rsidRPr="002D2F67">
              <w:rPr>
                <w:rFonts w:ascii="Arial" w:hAnsi="Arial" w:cs="Arial"/>
                <w:b/>
                <w:bCs/>
                <w:color w:val="000000"/>
                <w:sz w:val="20"/>
                <w:szCs w:val="20"/>
                <w:u w:val="single"/>
              </w:rPr>
              <w:t>Years</w:t>
            </w:r>
          </w:p>
        </w:tc>
      </w:tr>
      <w:tr w:rsidR="00E15D45" w:rsidRPr="002D2F67" w14:paraId="62465F3A" w14:textId="77777777" w:rsidTr="005611FE">
        <w:tc>
          <w:tcPr>
            <w:tcW w:w="6480" w:type="dxa"/>
            <w:shd w:val="clear" w:color="auto" w:fill="auto"/>
          </w:tcPr>
          <w:p w14:paraId="6EB0F86C" w14:textId="77777777" w:rsidR="00E15D45" w:rsidRPr="002D2F67" w:rsidRDefault="00E15D45" w:rsidP="00100E48">
            <w:pPr>
              <w:pStyle w:val="Header"/>
              <w:tabs>
                <w:tab w:val="left" w:pos="720"/>
              </w:tabs>
              <w:ind w:left="-22"/>
              <w:rPr>
                <w:rFonts w:ascii="Arial" w:hAnsi="Arial" w:cs="Arial"/>
                <w:color w:val="000000"/>
                <w:spacing w:val="-2"/>
                <w:sz w:val="20"/>
                <w:szCs w:val="20"/>
              </w:rPr>
            </w:pPr>
          </w:p>
        </w:tc>
        <w:tc>
          <w:tcPr>
            <w:tcW w:w="2443" w:type="dxa"/>
            <w:shd w:val="clear" w:color="auto" w:fill="auto"/>
          </w:tcPr>
          <w:p w14:paraId="16374B09" w14:textId="77777777" w:rsidR="00E15D45" w:rsidRPr="002D2F67" w:rsidRDefault="00E15D45" w:rsidP="005611FE">
            <w:pPr>
              <w:pStyle w:val="BodyTextIndent"/>
              <w:ind w:right="-72"/>
              <w:jc w:val="right"/>
              <w:rPr>
                <w:rFonts w:ascii="Arial" w:hAnsi="Arial" w:cs="Arial"/>
                <w:b/>
                <w:bCs/>
                <w:color w:val="000000"/>
                <w:sz w:val="20"/>
                <w:szCs w:val="20"/>
                <w:u w:val="single"/>
              </w:rPr>
            </w:pPr>
          </w:p>
        </w:tc>
      </w:tr>
      <w:tr w:rsidR="00FE37B6" w:rsidRPr="002D2F67" w14:paraId="4B43E6B4" w14:textId="77777777" w:rsidTr="005611FE">
        <w:tc>
          <w:tcPr>
            <w:tcW w:w="6480" w:type="dxa"/>
            <w:shd w:val="clear" w:color="auto" w:fill="auto"/>
            <w:hideMark/>
          </w:tcPr>
          <w:p w14:paraId="52B11F32" w14:textId="77777777" w:rsidR="00FE37B6" w:rsidRPr="002D2F67" w:rsidRDefault="00FE37B6" w:rsidP="00100E48">
            <w:pPr>
              <w:ind w:left="-22"/>
              <w:jc w:val="both"/>
              <w:rPr>
                <w:rFonts w:ascii="Arial" w:hAnsi="Arial" w:cs="Arial"/>
                <w:color w:val="000000"/>
                <w:sz w:val="20"/>
                <w:szCs w:val="20"/>
              </w:rPr>
            </w:pPr>
            <w:r w:rsidRPr="002D2F67">
              <w:rPr>
                <w:rFonts w:ascii="Arial" w:hAnsi="Arial" w:cs="Arial"/>
                <w:color w:val="000000"/>
                <w:sz w:val="20"/>
                <w:szCs w:val="20"/>
              </w:rPr>
              <w:t>Buildings and buildings improvement</w:t>
            </w:r>
          </w:p>
        </w:tc>
        <w:tc>
          <w:tcPr>
            <w:tcW w:w="2443" w:type="dxa"/>
            <w:shd w:val="clear" w:color="auto" w:fill="auto"/>
          </w:tcPr>
          <w:p w14:paraId="7006ADBC" w14:textId="1C5B76CB" w:rsidR="00FE37B6"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5</w:t>
            </w:r>
            <w:r w:rsidR="008A5726" w:rsidRPr="002D2F67">
              <w:rPr>
                <w:rFonts w:ascii="Arial" w:hAnsi="Arial" w:cs="Arial"/>
                <w:color w:val="000000"/>
                <w:sz w:val="20"/>
                <w:szCs w:val="20"/>
              </w:rPr>
              <w:t xml:space="preserve"> to</w:t>
            </w:r>
            <w:r w:rsidR="00FE37B6" w:rsidRPr="002D2F67">
              <w:rPr>
                <w:rFonts w:ascii="Arial" w:hAnsi="Arial" w:cs="Arial"/>
                <w:color w:val="000000"/>
                <w:sz w:val="20"/>
                <w:szCs w:val="20"/>
              </w:rPr>
              <w:t xml:space="preserve"> </w:t>
            </w:r>
            <w:r w:rsidRPr="00CD5714">
              <w:rPr>
                <w:rFonts w:ascii="Arial" w:hAnsi="Arial" w:cs="Arial"/>
                <w:color w:val="000000"/>
                <w:sz w:val="20"/>
                <w:szCs w:val="20"/>
                <w:lang w:val="en-GB"/>
              </w:rPr>
              <w:t>25</w:t>
            </w:r>
          </w:p>
        </w:tc>
      </w:tr>
      <w:tr w:rsidR="00FE37B6" w:rsidRPr="002D2F67" w14:paraId="2FC893C4" w14:textId="77777777" w:rsidTr="005611FE">
        <w:tc>
          <w:tcPr>
            <w:tcW w:w="6480" w:type="dxa"/>
            <w:shd w:val="clear" w:color="auto" w:fill="auto"/>
            <w:hideMark/>
          </w:tcPr>
          <w:p w14:paraId="06F66654" w14:textId="77777777" w:rsidR="00FE37B6" w:rsidRPr="002D2F67" w:rsidRDefault="00FE37B6" w:rsidP="00100E48">
            <w:pPr>
              <w:ind w:left="-22"/>
              <w:jc w:val="both"/>
              <w:rPr>
                <w:rFonts w:ascii="Arial" w:hAnsi="Arial" w:cs="Arial"/>
                <w:color w:val="000000"/>
                <w:sz w:val="20"/>
                <w:szCs w:val="20"/>
              </w:rPr>
            </w:pPr>
            <w:r w:rsidRPr="002D2F67">
              <w:rPr>
                <w:rFonts w:ascii="Arial" w:hAnsi="Arial" w:cs="Arial"/>
                <w:color w:val="000000"/>
                <w:sz w:val="20"/>
                <w:szCs w:val="20"/>
              </w:rPr>
              <w:t xml:space="preserve">Machines and equipment </w:t>
            </w:r>
          </w:p>
        </w:tc>
        <w:tc>
          <w:tcPr>
            <w:tcW w:w="2443" w:type="dxa"/>
            <w:shd w:val="clear" w:color="auto" w:fill="auto"/>
          </w:tcPr>
          <w:p w14:paraId="35C05D50" w14:textId="3618F06E" w:rsidR="00FE37B6"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w:t>
            </w:r>
            <w:r w:rsidR="00C50B2D" w:rsidRPr="002D2F67">
              <w:rPr>
                <w:rFonts w:ascii="Arial" w:hAnsi="Arial" w:cs="Arial"/>
                <w:color w:val="000000"/>
                <w:sz w:val="20"/>
                <w:szCs w:val="20"/>
              </w:rPr>
              <w:t xml:space="preserve">, </w:t>
            </w:r>
            <w:r w:rsidRPr="00CD5714">
              <w:rPr>
                <w:rFonts w:ascii="Arial" w:hAnsi="Arial" w:cs="Arial"/>
                <w:color w:val="000000"/>
                <w:sz w:val="20"/>
                <w:szCs w:val="20"/>
                <w:lang w:val="en-GB"/>
              </w:rPr>
              <w:t>5</w:t>
            </w:r>
            <w:r w:rsidR="00455602" w:rsidRPr="002D2F67">
              <w:rPr>
                <w:rFonts w:ascii="Arial" w:hAnsi="Arial" w:cs="Arial"/>
                <w:color w:val="000000"/>
                <w:sz w:val="20"/>
                <w:szCs w:val="20"/>
              </w:rPr>
              <w:t xml:space="preserve"> and </w:t>
            </w:r>
            <w:r w:rsidRPr="00CD5714">
              <w:rPr>
                <w:rFonts w:ascii="Arial" w:hAnsi="Arial" w:cs="Arial"/>
                <w:color w:val="000000"/>
                <w:sz w:val="20"/>
                <w:szCs w:val="20"/>
                <w:lang w:val="en-GB"/>
              </w:rPr>
              <w:t>10</w:t>
            </w:r>
          </w:p>
        </w:tc>
      </w:tr>
      <w:tr w:rsidR="00FE37B6" w:rsidRPr="002D2F67" w14:paraId="0B1F1244" w14:textId="77777777" w:rsidTr="005611FE">
        <w:tc>
          <w:tcPr>
            <w:tcW w:w="6480" w:type="dxa"/>
            <w:shd w:val="clear" w:color="auto" w:fill="auto"/>
            <w:hideMark/>
          </w:tcPr>
          <w:p w14:paraId="3CD9878B" w14:textId="77777777" w:rsidR="00FE37B6" w:rsidRPr="002D2F67" w:rsidRDefault="00FE37B6" w:rsidP="00100E48">
            <w:pPr>
              <w:ind w:left="-22"/>
              <w:jc w:val="both"/>
              <w:rPr>
                <w:rFonts w:ascii="Arial" w:hAnsi="Arial" w:cs="Arial"/>
                <w:color w:val="000000"/>
                <w:sz w:val="20"/>
                <w:szCs w:val="20"/>
              </w:rPr>
            </w:pPr>
            <w:r w:rsidRPr="002D2F67">
              <w:rPr>
                <w:rFonts w:ascii="Arial" w:hAnsi="Arial" w:cs="Arial"/>
                <w:color w:val="000000"/>
                <w:spacing w:val="-4"/>
                <w:sz w:val="20"/>
                <w:szCs w:val="20"/>
              </w:rPr>
              <w:t>Power plant, substations, transmission system and components</w:t>
            </w:r>
          </w:p>
        </w:tc>
        <w:tc>
          <w:tcPr>
            <w:tcW w:w="2443" w:type="dxa"/>
            <w:shd w:val="clear" w:color="auto" w:fill="auto"/>
          </w:tcPr>
          <w:p w14:paraId="0031A1F6" w14:textId="147E555D" w:rsidR="00FE37B6"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5"/>
                <w:lang w:val="en-GB"/>
              </w:rPr>
              <w:t>5</w:t>
            </w:r>
            <w:r w:rsidR="00FE37B6" w:rsidRPr="002D2F67">
              <w:rPr>
                <w:rFonts w:ascii="Arial" w:hAnsi="Arial" w:cs="Arial"/>
                <w:color w:val="000000"/>
                <w:sz w:val="20"/>
                <w:szCs w:val="20"/>
              </w:rPr>
              <w:t xml:space="preserve"> </w:t>
            </w:r>
            <w:r w:rsidR="006F7872" w:rsidRPr="002D2F67">
              <w:rPr>
                <w:rFonts w:ascii="Arial" w:hAnsi="Arial" w:cs="Arial"/>
                <w:color w:val="000000"/>
                <w:sz w:val="20"/>
                <w:szCs w:val="25"/>
                <w:lang w:val="en-AU"/>
              </w:rPr>
              <w:t>to</w:t>
            </w:r>
            <w:r w:rsidR="00FE37B6" w:rsidRPr="002D2F67">
              <w:rPr>
                <w:rFonts w:ascii="Arial" w:hAnsi="Arial" w:cs="Arial"/>
                <w:color w:val="000000"/>
                <w:sz w:val="20"/>
                <w:szCs w:val="20"/>
              </w:rPr>
              <w:t xml:space="preserve"> </w:t>
            </w:r>
            <w:r w:rsidRPr="00CD5714">
              <w:rPr>
                <w:rFonts w:ascii="Arial" w:hAnsi="Arial" w:cs="Arial"/>
                <w:color w:val="000000"/>
                <w:sz w:val="20"/>
                <w:szCs w:val="20"/>
                <w:lang w:val="en-GB"/>
              </w:rPr>
              <w:t>25</w:t>
            </w:r>
          </w:p>
        </w:tc>
      </w:tr>
      <w:tr w:rsidR="00FE37B6" w:rsidRPr="002D2F67" w14:paraId="1E5F47F1" w14:textId="77777777" w:rsidTr="005611FE">
        <w:tc>
          <w:tcPr>
            <w:tcW w:w="6480" w:type="dxa"/>
            <w:shd w:val="clear" w:color="auto" w:fill="auto"/>
            <w:hideMark/>
          </w:tcPr>
          <w:p w14:paraId="420C8183" w14:textId="52F7E78C" w:rsidR="00FE37B6" w:rsidRPr="002D2F67" w:rsidRDefault="00FE37B6" w:rsidP="00100E48">
            <w:pPr>
              <w:ind w:left="-22"/>
              <w:jc w:val="both"/>
              <w:rPr>
                <w:rFonts w:ascii="Arial" w:hAnsi="Arial" w:cs="Arial"/>
                <w:color w:val="000000"/>
                <w:sz w:val="20"/>
                <w:szCs w:val="20"/>
              </w:rPr>
            </w:pPr>
            <w:r w:rsidRPr="002D2F67">
              <w:rPr>
                <w:rFonts w:ascii="Arial" w:hAnsi="Arial" w:cs="Arial"/>
                <w:color w:val="000000"/>
                <w:sz w:val="20"/>
                <w:szCs w:val="20"/>
              </w:rPr>
              <w:t xml:space="preserve">Office equipment, furniture, </w:t>
            </w:r>
            <w:r w:rsidR="00C50B2D" w:rsidRPr="002D2F67">
              <w:rPr>
                <w:rFonts w:ascii="Arial" w:hAnsi="Arial" w:cs="Arial"/>
                <w:color w:val="000000"/>
                <w:sz w:val="20"/>
                <w:szCs w:val="20"/>
              </w:rPr>
              <w:t>computers,</w:t>
            </w:r>
            <w:r w:rsidRPr="002D2F67">
              <w:rPr>
                <w:rFonts w:ascii="Arial" w:hAnsi="Arial" w:cs="Arial"/>
                <w:color w:val="000000"/>
                <w:sz w:val="20"/>
                <w:szCs w:val="20"/>
              </w:rPr>
              <w:t xml:space="preserve"> and motor vehicles</w:t>
            </w:r>
          </w:p>
        </w:tc>
        <w:tc>
          <w:tcPr>
            <w:tcW w:w="2443" w:type="dxa"/>
            <w:shd w:val="clear" w:color="auto" w:fill="auto"/>
          </w:tcPr>
          <w:p w14:paraId="74D15964" w14:textId="2E359808" w:rsidR="00FE37B6"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5</w:t>
            </w:r>
            <w:r w:rsidR="0085212F" w:rsidRPr="002D2F67">
              <w:rPr>
                <w:rFonts w:ascii="Arial" w:hAnsi="Arial" w:cs="Arial"/>
                <w:color w:val="000000"/>
                <w:sz w:val="20"/>
                <w:szCs w:val="20"/>
              </w:rPr>
              <w:t xml:space="preserve"> and </w:t>
            </w:r>
            <w:r w:rsidRPr="00CD5714">
              <w:rPr>
                <w:rFonts w:ascii="Arial" w:hAnsi="Arial" w:cs="Arial"/>
                <w:color w:val="000000"/>
                <w:sz w:val="20"/>
                <w:szCs w:val="20"/>
                <w:lang w:val="en-GB"/>
              </w:rPr>
              <w:t>10</w:t>
            </w:r>
          </w:p>
        </w:tc>
      </w:tr>
    </w:tbl>
    <w:p w14:paraId="4857B0B5" w14:textId="77777777" w:rsidR="00FE37B6" w:rsidRPr="002D2F67" w:rsidRDefault="00FE37B6" w:rsidP="00100E48">
      <w:pPr>
        <w:ind w:left="630"/>
        <w:jc w:val="both"/>
        <w:rPr>
          <w:rFonts w:ascii="Arial" w:hAnsi="Arial" w:cs="Arial"/>
          <w:color w:val="000000"/>
          <w:sz w:val="20"/>
          <w:szCs w:val="20"/>
        </w:rPr>
      </w:pPr>
    </w:p>
    <w:p w14:paraId="2DD437B4" w14:textId="77777777" w:rsidR="00FE37B6" w:rsidRPr="002D2F67" w:rsidRDefault="00E8767C" w:rsidP="00100E48">
      <w:pPr>
        <w:pStyle w:val="Header"/>
        <w:tabs>
          <w:tab w:val="clear" w:pos="4320"/>
          <w:tab w:val="clear" w:pos="8640"/>
        </w:tabs>
        <w:ind w:left="630"/>
        <w:rPr>
          <w:rFonts w:ascii="Arial" w:hAnsi="Arial" w:cs="Arial"/>
          <w:color w:val="000000"/>
          <w:spacing w:val="-2"/>
          <w:sz w:val="20"/>
          <w:szCs w:val="20"/>
        </w:rPr>
      </w:pPr>
      <w:r w:rsidRPr="002D2F67">
        <w:rPr>
          <w:rFonts w:ascii="Arial" w:hAnsi="Arial" w:cs="Arial"/>
          <w:color w:val="000000"/>
          <w:spacing w:val="-6"/>
          <w:sz w:val="20"/>
          <w:szCs w:val="20"/>
        </w:rPr>
        <w:t>If the asset’s carrying amount is greater than its estimated recoverable amount, t</w:t>
      </w:r>
      <w:r w:rsidR="00FE37B6" w:rsidRPr="002D2F67">
        <w:rPr>
          <w:rFonts w:ascii="Arial" w:hAnsi="Arial" w:cs="Arial"/>
          <w:color w:val="000000"/>
          <w:spacing w:val="-6"/>
          <w:sz w:val="20"/>
          <w:szCs w:val="20"/>
        </w:rPr>
        <w:t>he asset’s carrying amount</w:t>
      </w:r>
      <w:r w:rsidR="00FE37B6" w:rsidRPr="002D2F67">
        <w:rPr>
          <w:rFonts w:ascii="Arial" w:hAnsi="Arial" w:cs="Arial"/>
          <w:color w:val="000000"/>
          <w:spacing w:val="-2"/>
          <w:sz w:val="20"/>
          <w:szCs w:val="20"/>
        </w:rPr>
        <w:t xml:space="preserve"> is </w:t>
      </w:r>
      <w:proofErr w:type="gramStart"/>
      <w:r w:rsidR="00FE37B6" w:rsidRPr="002D2F67">
        <w:rPr>
          <w:rFonts w:ascii="Arial" w:hAnsi="Arial" w:cs="Arial"/>
          <w:color w:val="000000"/>
          <w:spacing w:val="-2"/>
          <w:sz w:val="20"/>
          <w:szCs w:val="20"/>
        </w:rPr>
        <w:t>written-down</w:t>
      </w:r>
      <w:proofErr w:type="gramEnd"/>
      <w:r w:rsidR="00FE37B6" w:rsidRPr="002D2F67">
        <w:rPr>
          <w:rFonts w:ascii="Arial" w:hAnsi="Arial" w:cs="Arial"/>
          <w:color w:val="000000"/>
          <w:spacing w:val="-2"/>
          <w:sz w:val="20"/>
          <w:szCs w:val="20"/>
        </w:rPr>
        <w:t xml:space="preserve"> immediately to its recoverable amount</w:t>
      </w:r>
      <w:r w:rsidR="0011557E" w:rsidRPr="002D2F67">
        <w:rPr>
          <w:rFonts w:ascii="Arial" w:hAnsi="Arial" w:cs="Arial"/>
          <w:color w:val="000000"/>
          <w:spacing w:val="-2"/>
          <w:sz w:val="20"/>
          <w:szCs w:val="20"/>
        </w:rPr>
        <w:t>.</w:t>
      </w:r>
    </w:p>
    <w:p w14:paraId="41291F8F" w14:textId="02485E19" w:rsidR="000F3DA4" w:rsidRPr="002D2F67" w:rsidRDefault="000F3DA4" w:rsidP="00100E48">
      <w:pPr>
        <w:ind w:left="630"/>
        <w:jc w:val="both"/>
        <w:rPr>
          <w:rFonts w:ascii="Arial" w:hAnsi="Arial" w:cs="Arial"/>
          <w:color w:val="000000"/>
          <w:sz w:val="20"/>
          <w:szCs w:val="20"/>
        </w:rPr>
      </w:pPr>
    </w:p>
    <w:p w14:paraId="61AC91C1" w14:textId="4452BC56" w:rsidR="00FE37B6" w:rsidRPr="002D2F67" w:rsidRDefault="00CD5714" w:rsidP="00100E48">
      <w:pPr>
        <w:pStyle w:val="HeadSub1-5EA"/>
        <w:ind w:left="630" w:hanging="630"/>
        <w:rPr>
          <w:rFonts w:ascii="Arial" w:hAnsi="Arial" w:cs="Arial"/>
          <w:color w:val="000000"/>
          <w:sz w:val="20"/>
          <w:szCs w:val="20"/>
        </w:rPr>
      </w:pPr>
      <w:r w:rsidRPr="00CD5714">
        <w:rPr>
          <w:rFonts w:ascii="Arial" w:hAnsi="Arial" w:cs="Arial"/>
          <w:color w:val="000000"/>
          <w:sz w:val="20"/>
          <w:szCs w:val="20"/>
          <w:lang w:val="en-GB"/>
        </w:rPr>
        <w:t>5</w:t>
      </w:r>
      <w:r w:rsidR="00FE37B6" w:rsidRPr="002D2F67">
        <w:rPr>
          <w:rFonts w:ascii="Arial" w:hAnsi="Arial" w:cs="Arial"/>
          <w:color w:val="000000"/>
          <w:sz w:val="20"/>
          <w:szCs w:val="20"/>
        </w:rPr>
        <w:t>.</w:t>
      </w:r>
      <w:r w:rsidRPr="00CD5714">
        <w:rPr>
          <w:rFonts w:ascii="Arial" w:hAnsi="Arial" w:cs="Arial"/>
          <w:color w:val="000000"/>
          <w:sz w:val="20"/>
          <w:szCs w:val="20"/>
          <w:lang w:val="en-GB"/>
        </w:rPr>
        <w:t>11</w:t>
      </w:r>
      <w:r w:rsidR="00FE37B6" w:rsidRPr="002D2F67">
        <w:rPr>
          <w:rFonts w:ascii="Arial" w:hAnsi="Arial" w:cs="Arial"/>
          <w:color w:val="000000"/>
          <w:sz w:val="20"/>
          <w:szCs w:val="20"/>
        </w:rPr>
        <w:tab/>
        <w:t>Goodwill</w:t>
      </w:r>
    </w:p>
    <w:p w14:paraId="34608D07" w14:textId="77777777" w:rsidR="00FE37B6" w:rsidRPr="002D2F67" w:rsidRDefault="00FE37B6" w:rsidP="00100E48">
      <w:pPr>
        <w:ind w:left="630"/>
        <w:jc w:val="both"/>
        <w:rPr>
          <w:rFonts w:ascii="Arial" w:hAnsi="Arial" w:cs="Arial"/>
          <w:color w:val="000000"/>
          <w:sz w:val="20"/>
          <w:szCs w:val="20"/>
        </w:rPr>
      </w:pPr>
    </w:p>
    <w:p w14:paraId="770F1F4E" w14:textId="77777777" w:rsidR="001646FC" w:rsidRPr="002D2F67" w:rsidRDefault="001646FC" w:rsidP="00100E48">
      <w:pPr>
        <w:ind w:left="630"/>
        <w:jc w:val="both"/>
        <w:rPr>
          <w:rFonts w:ascii="Arial" w:hAnsi="Arial" w:cs="Arial"/>
          <w:color w:val="000000"/>
          <w:spacing w:val="-4"/>
          <w:sz w:val="20"/>
          <w:szCs w:val="20"/>
        </w:rPr>
      </w:pPr>
      <w:r w:rsidRPr="002D2F67">
        <w:rPr>
          <w:rFonts w:ascii="Arial" w:hAnsi="Arial" w:cs="Arial"/>
          <w:color w:val="000000"/>
          <w:spacing w:val="-6"/>
          <w:sz w:val="20"/>
          <w:szCs w:val="20"/>
        </w:rPr>
        <w:t>Goodwill is tested for impairment annually, or more frequently if events or changes in circumstances indicate</w:t>
      </w:r>
      <w:r w:rsidRPr="002D2F67">
        <w:rPr>
          <w:rFonts w:ascii="Arial" w:hAnsi="Arial" w:cs="Arial"/>
          <w:color w:val="000000"/>
          <w:spacing w:val="-4"/>
          <w:sz w:val="20"/>
          <w:szCs w:val="20"/>
        </w:rPr>
        <w:t xml:space="preserve"> that it might be impaired. It is carried at cost less accumulated impairment losses. </w:t>
      </w:r>
    </w:p>
    <w:p w14:paraId="1A30E468" w14:textId="77777777" w:rsidR="001646FC" w:rsidRPr="002D2F67" w:rsidRDefault="001646FC" w:rsidP="00100E48">
      <w:pPr>
        <w:ind w:left="630"/>
        <w:rPr>
          <w:rFonts w:ascii="Arial" w:hAnsi="Arial" w:cs="Arial"/>
          <w:color w:val="000000"/>
          <w:spacing w:val="-2"/>
          <w:sz w:val="20"/>
          <w:szCs w:val="20"/>
        </w:rPr>
      </w:pPr>
    </w:p>
    <w:p w14:paraId="60B72100" w14:textId="77777777" w:rsidR="001646FC" w:rsidRPr="002D2F67" w:rsidRDefault="001646FC" w:rsidP="00100E48">
      <w:pPr>
        <w:ind w:left="630"/>
        <w:jc w:val="both"/>
        <w:rPr>
          <w:rFonts w:ascii="Arial" w:hAnsi="Arial" w:cs="Arial"/>
          <w:color w:val="000000"/>
          <w:spacing w:val="-4"/>
          <w:sz w:val="20"/>
          <w:szCs w:val="20"/>
        </w:rPr>
      </w:pPr>
      <w:proofErr w:type="gramStart"/>
      <w:r w:rsidRPr="002D2F67">
        <w:rPr>
          <w:rFonts w:ascii="Arial" w:hAnsi="Arial" w:cs="Arial"/>
          <w:color w:val="000000"/>
          <w:spacing w:val="-10"/>
          <w:sz w:val="20"/>
          <w:szCs w:val="20"/>
        </w:rPr>
        <w:t>For the purpose of</w:t>
      </w:r>
      <w:proofErr w:type="gramEnd"/>
      <w:r w:rsidRPr="002D2F67">
        <w:rPr>
          <w:rFonts w:ascii="Arial" w:hAnsi="Arial" w:cs="Arial"/>
          <w:color w:val="000000"/>
          <w:spacing w:val="-10"/>
          <w:sz w:val="20"/>
          <w:szCs w:val="20"/>
        </w:rPr>
        <w:t xml:space="preserve"> impairment testing, goodwill is allocated to cash-generating units or groups of cash-generating </w:t>
      </w:r>
      <w:r w:rsidRPr="002D2F67">
        <w:rPr>
          <w:rFonts w:ascii="Arial" w:hAnsi="Arial" w:cs="Arial"/>
          <w:color w:val="000000"/>
          <w:spacing w:val="-4"/>
          <w:sz w:val="20"/>
          <w:szCs w:val="20"/>
        </w:rPr>
        <w:t>units that are expected to benefit from the business combination in which the goodwill arose. The units or groups of units are identified at the lowest level at which goodwill is monitored for internal management purposes</w:t>
      </w:r>
      <w:r w:rsidR="005A390F" w:rsidRPr="002D2F67">
        <w:rPr>
          <w:rFonts w:ascii="Arial" w:hAnsi="Arial" w:cs="Arial"/>
          <w:color w:val="000000"/>
          <w:spacing w:val="-4"/>
          <w:sz w:val="20"/>
          <w:szCs w:val="20"/>
        </w:rPr>
        <w:t>.</w:t>
      </w:r>
    </w:p>
    <w:p w14:paraId="6C79F82E" w14:textId="6B7160EC" w:rsidR="001646FC" w:rsidRPr="002D2F67" w:rsidRDefault="001646FC" w:rsidP="00100E48">
      <w:pPr>
        <w:ind w:left="630"/>
        <w:rPr>
          <w:rFonts w:ascii="Arial" w:hAnsi="Arial" w:cs="Arial"/>
          <w:color w:val="000000"/>
          <w:spacing w:val="-2"/>
          <w:sz w:val="20"/>
          <w:szCs w:val="20"/>
        </w:rPr>
      </w:pPr>
    </w:p>
    <w:p w14:paraId="22EA081B" w14:textId="451666D5" w:rsidR="00FE37B6" w:rsidRPr="002D2F67" w:rsidRDefault="00CD5714" w:rsidP="00100E48">
      <w:pPr>
        <w:pStyle w:val="HeadSub1-5EA"/>
        <w:ind w:left="630" w:hanging="630"/>
        <w:rPr>
          <w:rFonts w:ascii="Arial" w:hAnsi="Arial" w:cs="Arial"/>
          <w:color w:val="000000"/>
          <w:sz w:val="20"/>
          <w:szCs w:val="20"/>
        </w:rPr>
      </w:pPr>
      <w:r w:rsidRPr="00CD5714">
        <w:rPr>
          <w:rFonts w:ascii="Arial" w:hAnsi="Arial" w:cs="Arial"/>
          <w:color w:val="000000"/>
          <w:sz w:val="20"/>
          <w:szCs w:val="20"/>
          <w:lang w:val="en-GB"/>
        </w:rPr>
        <w:t>5</w:t>
      </w:r>
      <w:r w:rsidR="00FE37B6" w:rsidRPr="002D2F67">
        <w:rPr>
          <w:rFonts w:ascii="Arial" w:hAnsi="Arial" w:cs="Arial"/>
          <w:color w:val="000000"/>
          <w:sz w:val="20"/>
          <w:szCs w:val="20"/>
        </w:rPr>
        <w:t>.</w:t>
      </w:r>
      <w:r w:rsidRPr="00CD5714">
        <w:rPr>
          <w:rFonts w:ascii="Arial" w:hAnsi="Arial" w:cs="Arial"/>
          <w:color w:val="000000"/>
          <w:sz w:val="20"/>
          <w:szCs w:val="20"/>
          <w:lang w:val="en-GB"/>
        </w:rPr>
        <w:t>12</w:t>
      </w:r>
      <w:r w:rsidR="00FE37B6" w:rsidRPr="002D2F67">
        <w:rPr>
          <w:rFonts w:ascii="Arial" w:hAnsi="Arial" w:cs="Arial"/>
          <w:color w:val="000000"/>
          <w:sz w:val="20"/>
          <w:szCs w:val="20"/>
        </w:rPr>
        <w:tab/>
        <w:t>Intangible assets</w:t>
      </w:r>
    </w:p>
    <w:p w14:paraId="0745AFE8" w14:textId="77777777" w:rsidR="00FE37B6" w:rsidRPr="002D2F67" w:rsidRDefault="00FE37B6" w:rsidP="005611FE">
      <w:pPr>
        <w:tabs>
          <w:tab w:val="left" w:pos="567"/>
        </w:tabs>
        <w:rPr>
          <w:rFonts w:ascii="Arial" w:hAnsi="Arial" w:cs="Arial"/>
          <w:color w:val="000000"/>
          <w:spacing w:val="-2"/>
          <w:sz w:val="20"/>
          <w:szCs w:val="20"/>
        </w:rPr>
      </w:pPr>
    </w:p>
    <w:p w14:paraId="1779FE52" w14:textId="0260D2AC" w:rsidR="00FE37B6" w:rsidRPr="002D2F67" w:rsidRDefault="00CD5714" w:rsidP="00100E48">
      <w:pPr>
        <w:pStyle w:val="HeadSub1-5EA"/>
        <w:ind w:left="630" w:hanging="630"/>
        <w:outlineLvl w:val="2"/>
        <w:rPr>
          <w:rFonts w:ascii="Arial" w:hAnsi="Arial" w:cs="Arial"/>
          <w:b w:val="0"/>
          <w:bCs w:val="0"/>
          <w:color w:val="000000"/>
          <w:sz w:val="20"/>
          <w:szCs w:val="20"/>
        </w:rPr>
      </w:pPr>
      <w:r w:rsidRPr="00CD5714">
        <w:rPr>
          <w:rFonts w:ascii="Arial" w:hAnsi="Arial" w:cs="Arial"/>
          <w:b w:val="0"/>
          <w:bCs w:val="0"/>
          <w:color w:val="000000"/>
          <w:spacing w:val="-6"/>
          <w:sz w:val="20"/>
          <w:szCs w:val="20"/>
          <w:lang w:val="en-GB"/>
        </w:rPr>
        <w:t>5</w:t>
      </w:r>
      <w:r w:rsidR="00FE37B6" w:rsidRPr="002D2F67">
        <w:rPr>
          <w:rFonts w:ascii="Arial" w:hAnsi="Arial" w:cs="Arial"/>
          <w:b w:val="0"/>
          <w:bCs w:val="0"/>
          <w:color w:val="000000"/>
          <w:spacing w:val="-6"/>
          <w:sz w:val="20"/>
          <w:szCs w:val="20"/>
        </w:rPr>
        <w:t>.</w:t>
      </w:r>
      <w:r w:rsidRPr="00CD5714">
        <w:rPr>
          <w:rFonts w:ascii="Arial" w:hAnsi="Arial" w:cs="Arial"/>
          <w:b w:val="0"/>
          <w:bCs w:val="0"/>
          <w:color w:val="000000"/>
          <w:spacing w:val="-6"/>
          <w:sz w:val="20"/>
          <w:szCs w:val="20"/>
          <w:lang w:val="en-GB"/>
        </w:rPr>
        <w:t>12</w:t>
      </w:r>
      <w:r w:rsidR="00FE37B6" w:rsidRPr="002D2F67">
        <w:rPr>
          <w:rFonts w:ascii="Arial" w:hAnsi="Arial" w:cs="Arial"/>
          <w:b w:val="0"/>
          <w:bCs w:val="0"/>
          <w:color w:val="000000"/>
          <w:spacing w:val="-6"/>
          <w:sz w:val="20"/>
          <w:szCs w:val="20"/>
        </w:rPr>
        <w:t>.</w:t>
      </w:r>
      <w:r w:rsidRPr="00CD5714">
        <w:rPr>
          <w:rFonts w:ascii="Arial" w:hAnsi="Arial" w:cs="Arial"/>
          <w:b w:val="0"/>
          <w:bCs w:val="0"/>
          <w:color w:val="000000"/>
          <w:spacing w:val="-6"/>
          <w:sz w:val="20"/>
          <w:szCs w:val="20"/>
          <w:lang w:val="en-GB"/>
        </w:rPr>
        <w:t>1</w:t>
      </w:r>
      <w:r w:rsidR="008C77C3" w:rsidRPr="002D2F67">
        <w:rPr>
          <w:rFonts w:ascii="Arial" w:hAnsi="Arial" w:cs="Arial"/>
          <w:b w:val="0"/>
          <w:bCs w:val="0"/>
          <w:color w:val="000000"/>
          <w:sz w:val="20"/>
          <w:szCs w:val="20"/>
        </w:rPr>
        <w:tab/>
      </w:r>
      <w:r w:rsidR="00FE37B6" w:rsidRPr="002D2F67">
        <w:rPr>
          <w:rFonts w:ascii="Arial" w:hAnsi="Arial" w:cs="Arial"/>
          <w:b w:val="0"/>
          <w:bCs w:val="0"/>
          <w:color w:val="000000"/>
          <w:sz w:val="20"/>
          <w:szCs w:val="20"/>
        </w:rPr>
        <w:t>Research and development</w:t>
      </w:r>
    </w:p>
    <w:p w14:paraId="3E1E5B9E" w14:textId="77777777" w:rsidR="00842D47" w:rsidRPr="002D2F67" w:rsidRDefault="00842D47" w:rsidP="00100E48">
      <w:pPr>
        <w:ind w:left="630"/>
        <w:jc w:val="both"/>
        <w:rPr>
          <w:rFonts w:ascii="Arial" w:hAnsi="Arial" w:cs="Arial"/>
          <w:color w:val="000000"/>
          <w:spacing w:val="-4"/>
          <w:sz w:val="20"/>
          <w:szCs w:val="20"/>
        </w:rPr>
      </w:pPr>
    </w:p>
    <w:p w14:paraId="2DAD8F58" w14:textId="77777777" w:rsidR="00B778A1" w:rsidRPr="002D2F67" w:rsidRDefault="00FE37B6" w:rsidP="00100E48">
      <w:pPr>
        <w:ind w:left="630"/>
        <w:jc w:val="both"/>
        <w:rPr>
          <w:rFonts w:ascii="Arial" w:hAnsi="Arial" w:cs="Arial"/>
          <w:color w:val="000000"/>
          <w:spacing w:val="-4"/>
          <w:sz w:val="20"/>
          <w:szCs w:val="20"/>
        </w:rPr>
      </w:pPr>
      <w:r w:rsidRPr="002D2F67">
        <w:rPr>
          <w:rFonts w:ascii="Arial" w:hAnsi="Arial" w:cs="Arial"/>
          <w:color w:val="000000"/>
          <w:spacing w:val="-4"/>
          <w:sz w:val="20"/>
          <w:szCs w:val="20"/>
        </w:rPr>
        <w:t xml:space="preserve">Research expenditure is recognised as an expense as incurred. </w:t>
      </w:r>
    </w:p>
    <w:p w14:paraId="7660FFBA" w14:textId="77777777" w:rsidR="00B778A1" w:rsidRPr="002D2F67" w:rsidRDefault="00B778A1" w:rsidP="00100E48">
      <w:pPr>
        <w:ind w:left="630"/>
        <w:jc w:val="both"/>
        <w:rPr>
          <w:rFonts w:ascii="Arial" w:hAnsi="Arial" w:cs="Arial"/>
          <w:color w:val="000000"/>
          <w:spacing w:val="-4"/>
          <w:sz w:val="20"/>
          <w:szCs w:val="20"/>
        </w:rPr>
      </w:pPr>
    </w:p>
    <w:p w14:paraId="023F7DD5" w14:textId="2FF37033" w:rsidR="00B40797" w:rsidRPr="002D2F67" w:rsidRDefault="00B40797" w:rsidP="00100E48">
      <w:pPr>
        <w:tabs>
          <w:tab w:val="left" w:pos="567"/>
        </w:tabs>
        <w:ind w:left="630"/>
        <w:jc w:val="both"/>
        <w:rPr>
          <w:rFonts w:ascii="Arial" w:hAnsi="Arial" w:cs="Arial"/>
          <w:color w:val="000000"/>
          <w:spacing w:val="-6"/>
          <w:sz w:val="20"/>
          <w:szCs w:val="20"/>
        </w:rPr>
      </w:pPr>
      <w:r w:rsidRPr="002D2F67">
        <w:rPr>
          <w:rFonts w:ascii="Arial" w:hAnsi="Arial" w:cs="Arial"/>
          <w:color w:val="000000"/>
          <w:spacing w:val="-6"/>
          <w:sz w:val="20"/>
          <w:szCs w:val="20"/>
        </w:rPr>
        <w:t xml:space="preserve">Development expenditure is recognised as an asset when the Group can demonstrate </w:t>
      </w:r>
      <w:proofErr w:type="gramStart"/>
      <w:r w:rsidRPr="002D2F67">
        <w:rPr>
          <w:rFonts w:ascii="Arial" w:hAnsi="Arial" w:cs="Arial"/>
          <w:color w:val="000000"/>
          <w:spacing w:val="-6"/>
          <w:sz w:val="20"/>
          <w:szCs w:val="20"/>
        </w:rPr>
        <w:t>all of</w:t>
      </w:r>
      <w:proofErr w:type="gramEnd"/>
      <w:r w:rsidRPr="002D2F67">
        <w:rPr>
          <w:rFonts w:ascii="Arial" w:hAnsi="Arial" w:cs="Arial"/>
          <w:color w:val="000000"/>
          <w:spacing w:val="-6"/>
          <w:sz w:val="20"/>
          <w:szCs w:val="20"/>
        </w:rPr>
        <w:t xml:space="preserve"> the following:</w:t>
      </w:r>
    </w:p>
    <w:p w14:paraId="292410C5" w14:textId="77777777" w:rsidR="00511EB5" w:rsidRPr="002D2F67" w:rsidRDefault="00511EB5" w:rsidP="00100E48">
      <w:pPr>
        <w:tabs>
          <w:tab w:val="left" w:pos="567"/>
        </w:tabs>
        <w:ind w:left="630"/>
        <w:jc w:val="both"/>
        <w:rPr>
          <w:rFonts w:ascii="Arial" w:hAnsi="Arial" w:cs="Arial"/>
          <w:color w:val="000000"/>
          <w:spacing w:val="-6"/>
          <w:sz w:val="20"/>
          <w:szCs w:val="20"/>
        </w:rPr>
      </w:pPr>
    </w:p>
    <w:p w14:paraId="58CB0036" w14:textId="2A79680E" w:rsidR="00B40797" w:rsidRPr="002D2F67" w:rsidRDefault="00511EB5" w:rsidP="00100E48">
      <w:pPr>
        <w:ind w:left="990" w:hanging="360"/>
        <w:jc w:val="both"/>
        <w:rPr>
          <w:rFonts w:ascii="Arial" w:hAnsi="Arial" w:cs="Arial"/>
          <w:color w:val="000000"/>
          <w:spacing w:val="-8"/>
          <w:sz w:val="20"/>
          <w:szCs w:val="20"/>
        </w:rPr>
      </w:pPr>
      <w:r w:rsidRPr="002D2F67">
        <w:rPr>
          <w:rFonts w:ascii="Arial" w:hAnsi="Arial" w:cs="Arial"/>
          <w:color w:val="000000"/>
          <w:spacing w:val="-4"/>
          <w:sz w:val="20"/>
          <w:szCs w:val="20"/>
        </w:rPr>
        <w:t>-</w:t>
      </w:r>
      <w:r w:rsidRPr="002D2F67">
        <w:rPr>
          <w:rFonts w:ascii="Arial" w:hAnsi="Arial" w:cs="Arial"/>
          <w:color w:val="000000"/>
          <w:spacing w:val="-4"/>
          <w:sz w:val="20"/>
          <w:szCs w:val="20"/>
        </w:rPr>
        <w:tab/>
      </w:r>
      <w:r w:rsidR="00B40797" w:rsidRPr="002D2F67">
        <w:rPr>
          <w:rFonts w:ascii="Arial" w:hAnsi="Arial" w:cs="Arial"/>
          <w:color w:val="000000"/>
          <w:spacing w:val="-4"/>
          <w:sz w:val="20"/>
          <w:szCs w:val="20"/>
        </w:rPr>
        <w:t xml:space="preserve">the expenditure attributable to its development can be measured reliably </w:t>
      </w:r>
      <w:r w:rsidR="0011557E" w:rsidRPr="002D2F67">
        <w:rPr>
          <w:rFonts w:ascii="Arial" w:hAnsi="Arial" w:cs="Arial"/>
          <w:color w:val="000000"/>
          <w:spacing w:val="-4"/>
          <w:sz w:val="20"/>
          <w:szCs w:val="20"/>
        </w:rPr>
        <w:t>and that</w:t>
      </w:r>
      <w:r w:rsidR="00B40797" w:rsidRPr="002D2F67">
        <w:rPr>
          <w:rFonts w:ascii="Arial" w:hAnsi="Arial" w:cs="Arial"/>
          <w:color w:val="000000"/>
          <w:spacing w:val="-4"/>
          <w:sz w:val="20"/>
          <w:szCs w:val="20"/>
        </w:rPr>
        <w:t xml:space="preserve"> it is technically,</w:t>
      </w:r>
      <w:r w:rsidR="00B40797" w:rsidRPr="002D2F67">
        <w:rPr>
          <w:rFonts w:ascii="Arial" w:hAnsi="Arial" w:cs="Arial"/>
          <w:color w:val="000000"/>
          <w:sz w:val="20"/>
          <w:szCs w:val="20"/>
        </w:rPr>
        <w:t xml:space="preserve"> financially, commercially, and resourcefully feasible; and</w:t>
      </w:r>
    </w:p>
    <w:p w14:paraId="7ED3FB6C" w14:textId="358BE27C" w:rsidR="00B778A1" w:rsidRPr="002D2F67" w:rsidRDefault="00511EB5" w:rsidP="00100E48">
      <w:pPr>
        <w:ind w:left="990" w:hanging="360"/>
        <w:jc w:val="both"/>
        <w:rPr>
          <w:rFonts w:ascii="Arial" w:hAnsi="Arial" w:cs="Arial"/>
          <w:color w:val="000000"/>
          <w:spacing w:val="-8"/>
          <w:sz w:val="20"/>
          <w:szCs w:val="20"/>
        </w:rPr>
      </w:pPr>
      <w:r w:rsidRPr="002D2F67">
        <w:rPr>
          <w:rFonts w:ascii="Arial" w:hAnsi="Arial" w:cs="Arial"/>
          <w:color w:val="000000"/>
          <w:spacing w:val="-4"/>
          <w:sz w:val="20"/>
          <w:szCs w:val="20"/>
        </w:rPr>
        <w:t>-</w:t>
      </w:r>
      <w:r w:rsidRPr="002D2F67">
        <w:rPr>
          <w:rFonts w:ascii="Arial" w:hAnsi="Arial" w:cs="Arial"/>
          <w:color w:val="000000"/>
          <w:spacing w:val="-4"/>
          <w:sz w:val="20"/>
          <w:szCs w:val="20"/>
        </w:rPr>
        <w:tab/>
      </w:r>
      <w:r w:rsidR="00B40797" w:rsidRPr="002D2F67">
        <w:rPr>
          <w:rFonts w:ascii="Arial" w:hAnsi="Arial" w:cs="Arial"/>
          <w:color w:val="000000"/>
          <w:spacing w:val="-8"/>
          <w:sz w:val="20"/>
          <w:szCs w:val="20"/>
        </w:rPr>
        <w:t xml:space="preserve">the Group intends to and </w:t>
      </w:r>
      <w:proofErr w:type="gramStart"/>
      <w:r w:rsidR="00B40797" w:rsidRPr="002D2F67">
        <w:rPr>
          <w:rFonts w:ascii="Arial" w:hAnsi="Arial" w:cs="Arial"/>
          <w:color w:val="000000"/>
          <w:spacing w:val="-8"/>
          <w:sz w:val="20"/>
          <w:szCs w:val="20"/>
        </w:rPr>
        <w:t>has the ability to</w:t>
      </w:r>
      <w:proofErr w:type="gramEnd"/>
      <w:r w:rsidR="00B40797" w:rsidRPr="002D2F67">
        <w:rPr>
          <w:rFonts w:ascii="Arial" w:hAnsi="Arial" w:cs="Arial"/>
          <w:color w:val="000000"/>
          <w:spacing w:val="-8"/>
          <w:sz w:val="20"/>
          <w:szCs w:val="20"/>
        </w:rPr>
        <w:t xml:space="preserve"> complete the development for the purpose of using or selling.</w:t>
      </w:r>
    </w:p>
    <w:p w14:paraId="25614CFB" w14:textId="77777777" w:rsidR="00B40797" w:rsidRPr="002D2F67" w:rsidRDefault="00B40797" w:rsidP="00100E48">
      <w:pPr>
        <w:ind w:left="630"/>
        <w:jc w:val="both"/>
        <w:rPr>
          <w:rFonts w:ascii="Arial" w:hAnsi="Arial" w:cs="Arial"/>
          <w:color w:val="000000"/>
          <w:spacing w:val="-4"/>
          <w:sz w:val="20"/>
          <w:szCs w:val="20"/>
        </w:rPr>
      </w:pPr>
    </w:p>
    <w:p w14:paraId="20D2FEA5" w14:textId="77777777" w:rsidR="00B778A1" w:rsidRPr="002D2F67" w:rsidRDefault="00B778A1" w:rsidP="00100E48">
      <w:pPr>
        <w:ind w:left="630"/>
        <w:jc w:val="both"/>
        <w:rPr>
          <w:rFonts w:ascii="Arial" w:hAnsi="Arial" w:cs="Arial"/>
          <w:color w:val="000000"/>
          <w:spacing w:val="-2"/>
          <w:sz w:val="20"/>
          <w:szCs w:val="20"/>
        </w:rPr>
      </w:pPr>
      <w:r w:rsidRPr="002D2F67">
        <w:rPr>
          <w:rFonts w:ascii="Arial" w:hAnsi="Arial" w:cs="Arial"/>
          <w:color w:val="000000"/>
          <w:spacing w:val="-6"/>
          <w:sz w:val="20"/>
          <w:szCs w:val="20"/>
        </w:rPr>
        <w:t>Development costs previously recognised as an expense are not recognised as an asset in a subsequent</w:t>
      </w:r>
      <w:r w:rsidRPr="002D2F67">
        <w:rPr>
          <w:rFonts w:ascii="Arial" w:hAnsi="Arial" w:cs="Arial"/>
          <w:color w:val="000000"/>
          <w:spacing w:val="-2"/>
          <w:sz w:val="20"/>
          <w:szCs w:val="20"/>
        </w:rPr>
        <w:t xml:space="preserve"> period. </w:t>
      </w:r>
    </w:p>
    <w:p w14:paraId="597FC207" w14:textId="77777777" w:rsidR="00B778A1" w:rsidRPr="002D2F67" w:rsidRDefault="00B778A1" w:rsidP="00100E48">
      <w:pPr>
        <w:tabs>
          <w:tab w:val="left" w:pos="851"/>
        </w:tabs>
        <w:ind w:left="630"/>
        <w:jc w:val="both"/>
        <w:rPr>
          <w:rFonts w:ascii="Arial" w:hAnsi="Arial" w:cs="Arial"/>
          <w:color w:val="000000"/>
          <w:sz w:val="20"/>
          <w:szCs w:val="20"/>
        </w:rPr>
      </w:pPr>
    </w:p>
    <w:p w14:paraId="15436854" w14:textId="77777777" w:rsidR="00B778A1" w:rsidRPr="002D2F67" w:rsidRDefault="007E370B" w:rsidP="00100E48">
      <w:pPr>
        <w:tabs>
          <w:tab w:val="left" w:pos="851"/>
        </w:tabs>
        <w:ind w:left="630"/>
        <w:jc w:val="both"/>
        <w:rPr>
          <w:rFonts w:ascii="Arial" w:hAnsi="Arial" w:cs="Arial"/>
          <w:color w:val="000000"/>
          <w:sz w:val="20"/>
          <w:szCs w:val="20"/>
        </w:rPr>
      </w:pPr>
      <w:r w:rsidRPr="002D2F67">
        <w:rPr>
          <w:rFonts w:ascii="Arial" w:hAnsi="Arial" w:cs="Arial"/>
          <w:color w:val="000000"/>
          <w:spacing w:val="-4"/>
          <w:sz w:val="20"/>
          <w:szCs w:val="20"/>
        </w:rPr>
        <w:t>Capitalised development costs</w:t>
      </w:r>
      <w:r w:rsidR="00FE37B6" w:rsidRPr="002D2F67">
        <w:rPr>
          <w:rFonts w:ascii="Arial" w:hAnsi="Arial" w:cs="Arial"/>
          <w:color w:val="000000"/>
          <w:spacing w:val="-4"/>
          <w:sz w:val="20"/>
          <w:szCs w:val="20"/>
        </w:rPr>
        <w:t xml:space="preserve"> are amortised from the commencement of the commercial production of the product on a straight-line basis over the period of its expected benefit</w:t>
      </w:r>
      <w:r w:rsidR="00FE37B6" w:rsidRPr="002D2F67">
        <w:rPr>
          <w:rFonts w:ascii="Arial" w:hAnsi="Arial" w:cs="Arial"/>
          <w:color w:val="000000"/>
          <w:sz w:val="20"/>
          <w:szCs w:val="20"/>
        </w:rPr>
        <w:t>.</w:t>
      </w:r>
    </w:p>
    <w:p w14:paraId="56061390" w14:textId="77777777" w:rsidR="00FE37B6" w:rsidRPr="002D2F67" w:rsidRDefault="00FE37B6" w:rsidP="00100E48">
      <w:pPr>
        <w:tabs>
          <w:tab w:val="left" w:pos="1134"/>
        </w:tabs>
        <w:ind w:left="630"/>
        <w:jc w:val="both"/>
        <w:rPr>
          <w:rFonts w:ascii="Arial" w:hAnsi="Arial" w:cs="Arial"/>
          <w:color w:val="000000"/>
          <w:sz w:val="20"/>
          <w:szCs w:val="20"/>
        </w:rPr>
      </w:pPr>
    </w:p>
    <w:p w14:paraId="42296C3B" w14:textId="37752BEB" w:rsidR="00FE37B6" w:rsidRPr="002D2F67" w:rsidRDefault="00CD5714" w:rsidP="00100E48">
      <w:pPr>
        <w:pStyle w:val="HeadSub1-5EA"/>
        <w:ind w:left="630" w:hanging="630"/>
        <w:outlineLvl w:val="2"/>
        <w:rPr>
          <w:rFonts w:ascii="Arial" w:hAnsi="Arial" w:cs="Arial"/>
          <w:b w:val="0"/>
          <w:bCs w:val="0"/>
          <w:color w:val="000000"/>
          <w:spacing w:val="-6"/>
          <w:sz w:val="20"/>
          <w:szCs w:val="20"/>
        </w:rPr>
      </w:pPr>
      <w:r w:rsidRPr="00CD5714">
        <w:rPr>
          <w:rFonts w:ascii="Arial" w:hAnsi="Arial" w:cs="Arial"/>
          <w:b w:val="0"/>
          <w:bCs w:val="0"/>
          <w:color w:val="000000"/>
          <w:spacing w:val="-6"/>
          <w:sz w:val="20"/>
          <w:szCs w:val="20"/>
          <w:lang w:val="en-GB"/>
        </w:rPr>
        <w:t>5</w:t>
      </w:r>
      <w:r w:rsidR="00FE37B6" w:rsidRPr="002D2F67">
        <w:rPr>
          <w:rFonts w:ascii="Arial" w:hAnsi="Arial" w:cs="Arial"/>
          <w:b w:val="0"/>
          <w:bCs w:val="0"/>
          <w:color w:val="000000"/>
          <w:spacing w:val="-6"/>
          <w:sz w:val="20"/>
          <w:szCs w:val="20"/>
        </w:rPr>
        <w:t>.</w:t>
      </w:r>
      <w:r w:rsidRPr="00CD5714">
        <w:rPr>
          <w:rFonts w:ascii="Arial" w:hAnsi="Arial" w:cs="Arial"/>
          <w:b w:val="0"/>
          <w:bCs w:val="0"/>
          <w:color w:val="000000"/>
          <w:spacing w:val="-6"/>
          <w:sz w:val="20"/>
          <w:szCs w:val="20"/>
          <w:lang w:val="en-GB"/>
        </w:rPr>
        <w:t>12</w:t>
      </w:r>
      <w:r w:rsidR="00FE37B6" w:rsidRPr="002D2F67">
        <w:rPr>
          <w:rFonts w:ascii="Arial" w:hAnsi="Arial" w:cs="Arial"/>
          <w:b w:val="0"/>
          <w:bCs w:val="0"/>
          <w:color w:val="000000"/>
          <w:spacing w:val="-6"/>
          <w:sz w:val="20"/>
          <w:szCs w:val="20"/>
        </w:rPr>
        <w:t>.</w:t>
      </w:r>
      <w:r w:rsidRPr="00CD5714">
        <w:rPr>
          <w:rFonts w:ascii="Arial" w:hAnsi="Arial" w:cs="Arial"/>
          <w:b w:val="0"/>
          <w:bCs w:val="0"/>
          <w:color w:val="000000"/>
          <w:spacing w:val="-6"/>
          <w:sz w:val="20"/>
          <w:szCs w:val="20"/>
          <w:lang w:val="en-GB"/>
        </w:rPr>
        <w:t>2</w:t>
      </w:r>
      <w:r w:rsidR="00FE37B6" w:rsidRPr="002D2F67">
        <w:rPr>
          <w:rFonts w:ascii="Arial" w:hAnsi="Arial" w:cs="Arial"/>
          <w:b w:val="0"/>
          <w:bCs w:val="0"/>
          <w:color w:val="000000"/>
          <w:spacing w:val="-6"/>
          <w:sz w:val="20"/>
          <w:szCs w:val="20"/>
        </w:rPr>
        <w:tab/>
        <w:t>Right to use transmission line</w:t>
      </w:r>
    </w:p>
    <w:p w14:paraId="4A29E302" w14:textId="77777777" w:rsidR="00FE37B6" w:rsidRPr="002D2F67" w:rsidRDefault="00FE37B6" w:rsidP="00100E48">
      <w:pPr>
        <w:tabs>
          <w:tab w:val="left" w:pos="1134"/>
        </w:tabs>
        <w:ind w:left="630"/>
        <w:jc w:val="both"/>
        <w:rPr>
          <w:rFonts w:ascii="Arial" w:hAnsi="Arial" w:cs="Arial"/>
          <w:color w:val="000000"/>
          <w:sz w:val="20"/>
          <w:szCs w:val="20"/>
        </w:rPr>
      </w:pPr>
    </w:p>
    <w:p w14:paraId="43F699D2" w14:textId="3E2B00A9" w:rsidR="00FE37B6" w:rsidRPr="002D2F67" w:rsidRDefault="00FE37B6" w:rsidP="00100E48">
      <w:pPr>
        <w:ind w:left="630"/>
        <w:jc w:val="both"/>
        <w:rPr>
          <w:rFonts w:ascii="Arial" w:hAnsi="Arial" w:cs="Arial"/>
          <w:color w:val="000000"/>
          <w:sz w:val="20"/>
          <w:szCs w:val="20"/>
        </w:rPr>
      </w:pPr>
      <w:r w:rsidRPr="002D2F67">
        <w:rPr>
          <w:rFonts w:ascii="Arial" w:hAnsi="Arial" w:cs="Arial"/>
          <w:color w:val="000000"/>
          <w:sz w:val="20"/>
          <w:szCs w:val="20"/>
        </w:rPr>
        <w:t xml:space="preserve">Right to use transmission line is stated at historical cost less accumulated amortisation. Right to use transmission line cost is amortised by using straight-line method based on its estimated useful life which is </w:t>
      </w:r>
      <w:r w:rsidR="00CD5714" w:rsidRPr="00CD5714">
        <w:rPr>
          <w:rFonts w:ascii="Arial" w:hAnsi="Arial" w:cs="Arial"/>
          <w:color w:val="000000"/>
          <w:sz w:val="20"/>
          <w:szCs w:val="20"/>
          <w:lang w:val="en-GB"/>
        </w:rPr>
        <w:t>25</w:t>
      </w:r>
      <w:r w:rsidRPr="002D2F67">
        <w:rPr>
          <w:rFonts w:ascii="Arial" w:hAnsi="Arial" w:cs="Arial"/>
          <w:color w:val="000000"/>
          <w:sz w:val="20"/>
          <w:szCs w:val="20"/>
        </w:rPr>
        <w:t xml:space="preserve"> years.</w:t>
      </w:r>
    </w:p>
    <w:p w14:paraId="6677DBD0" w14:textId="77777777" w:rsidR="00FE37B6" w:rsidRPr="002D2F67" w:rsidRDefault="00FE37B6" w:rsidP="00100E48">
      <w:pPr>
        <w:tabs>
          <w:tab w:val="left" w:pos="1134"/>
        </w:tabs>
        <w:ind w:left="630"/>
        <w:jc w:val="both"/>
        <w:rPr>
          <w:rFonts w:ascii="Arial" w:hAnsi="Arial" w:cs="Arial"/>
          <w:color w:val="000000"/>
          <w:sz w:val="20"/>
          <w:szCs w:val="20"/>
        </w:rPr>
      </w:pPr>
    </w:p>
    <w:p w14:paraId="1F38A231" w14:textId="32090119" w:rsidR="00FE37B6" w:rsidRPr="002D2F67" w:rsidRDefault="00CD5714" w:rsidP="00100E48">
      <w:pPr>
        <w:pStyle w:val="HeadSub1-5EA"/>
        <w:ind w:left="630" w:hanging="630"/>
        <w:outlineLvl w:val="2"/>
        <w:rPr>
          <w:rFonts w:ascii="Arial" w:hAnsi="Arial" w:cs="Arial"/>
          <w:b w:val="0"/>
          <w:bCs w:val="0"/>
          <w:color w:val="000000"/>
          <w:spacing w:val="-6"/>
          <w:sz w:val="20"/>
          <w:szCs w:val="20"/>
        </w:rPr>
      </w:pPr>
      <w:r w:rsidRPr="00CD5714">
        <w:rPr>
          <w:rFonts w:ascii="Arial" w:hAnsi="Arial" w:cs="Arial"/>
          <w:b w:val="0"/>
          <w:bCs w:val="0"/>
          <w:color w:val="000000"/>
          <w:spacing w:val="-6"/>
          <w:sz w:val="20"/>
          <w:szCs w:val="20"/>
          <w:lang w:val="en-GB"/>
        </w:rPr>
        <w:t>5</w:t>
      </w:r>
      <w:r w:rsidR="00FE37B6" w:rsidRPr="002D2F67">
        <w:rPr>
          <w:rFonts w:ascii="Arial" w:hAnsi="Arial" w:cs="Arial"/>
          <w:b w:val="0"/>
          <w:bCs w:val="0"/>
          <w:color w:val="000000"/>
          <w:spacing w:val="-6"/>
          <w:sz w:val="20"/>
          <w:szCs w:val="20"/>
        </w:rPr>
        <w:t>.</w:t>
      </w:r>
      <w:r w:rsidRPr="00CD5714">
        <w:rPr>
          <w:rFonts w:ascii="Arial" w:hAnsi="Arial" w:cs="Arial"/>
          <w:b w:val="0"/>
          <w:bCs w:val="0"/>
          <w:color w:val="000000"/>
          <w:spacing w:val="-6"/>
          <w:sz w:val="20"/>
          <w:szCs w:val="20"/>
          <w:lang w:val="en-GB"/>
        </w:rPr>
        <w:t>12</w:t>
      </w:r>
      <w:r w:rsidR="00FE37B6" w:rsidRPr="002D2F67">
        <w:rPr>
          <w:rFonts w:ascii="Arial" w:hAnsi="Arial" w:cs="Arial"/>
          <w:b w:val="0"/>
          <w:bCs w:val="0"/>
          <w:color w:val="000000"/>
          <w:spacing w:val="-6"/>
          <w:sz w:val="20"/>
          <w:szCs w:val="20"/>
        </w:rPr>
        <w:t>.</w:t>
      </w:r>
      <w:r w:rsidRPr="00CD5714">
        <w:rPr>
          <w:rFonts w:ascii="Arial" w:hAnsi="Arial" w:cs="Arial"/>
          <w:b w:val="0"/>
          <w:bCs w:val="0"/>
          <w:color w:val="000000"/>
          <w:spacing w:val="-6"/>
          <w:sz w:val="20"/>
          <w:szCs w:val="20"/>
          <w:lang w:val="en-GB"/>
        </w:rPr>
        <w:t>3</w:t>
      </w:r>
      <w:r w:rsidR="00FE37B6" w:rsidRPr="002D2F67">
        <w:rPr>
          <w:rFonts w:ascii="Arial" w:hAnsi="Arial" w:cs="Arial"/>
          <w:b w:val="0"/>
          <w:bCs w:val="0"/>
          <w:color w:val="000000"/>
          <w:spacing w:val="-6"/>
          <w:sz w:val="20"/>
          <w:szCs w:val="20"/>
        </w:rPr>
        <w:tab/>
        <w:t>Right to power purchase agreement</w:t>
      </w:r>
    </w:p>
    <w:p w14:paraId="5AB2ED4B" w14:textId="77777777" w:rsidR="00FE37B6" w:rsidRPr="002D2F67" w:rsidRDefault="00FE37B6" w:rsidP="00100E48">
      <w:pPr>
        <w:tabs>
          <w:tab w:val="left" w:pos="1276"/>
        </w:tabs>
        <w:ind w:left="630"/>
        <w:jc w:val="both"/>
        <w:rPr>
          <w:rFonts w:ascii="Arial" w:hAnsi="Arial" w:cs="Arial"/>
          <w:color w:val="000000"/>
          <w:spacing w:val="-2"/>
          <w:sz w:val="20"/>
          <w:szCs w:val="25"/>
        </w:rPr>
      </w:pPr>
    </w:p>
    <w:p w14:paraId="1D4638A1" w14:textId="13CFD955" w:rsidR="00FE37B6" w:rsidRPr="002D2F67" w:rsidRDefault="00FE37B6" w:rsidP="00100E48">
      <w:pPr>
        <w:tabs>
          <w:tab w:val="left" w:pos="1276"/>
        </w:tabs>
        <w:ind w:left="630"/>
        <w:jc w:val="both"/>
        <w:rPr>
          <w:rFonts w:ascii="Arial" w:hAnsi="Arial" w:cs="Arial"/>
          <w:color w:val="000000"/>
          <w:sz w:val="20"/>
          <w:szCs w:val="20"/>
        </w:rPr>
      </w:pPr>
      <w:r w:rsidRPr="002D2F67">
        <w:rPr>
          <w:rFonts w:ascii="Arial" w:hAnsi="Arial" w:cs="Arial"/>
          <w:color w:val="000000"/>
          <w:spacing w:val="-4"/>
          <w:sz w:val="20"/>
          <w:szCs w:val="20"/>
        </w:rPr>
        <w:t>Right to power purchase agreement from acquisition of a subsidiary is amortised by using straight-line</w:t>
      </w:r>
      <w:r w:rsidRPr="002D2F67">
        <w:rPr>
          <w:rFonts w:ascii="Arial" w:hAnsi="Arial" w:cs="Arial"/>
          <w:color w:val="000000"/>
          <w:sz w:val="20"/>
          <w:szCs w:val="20"/>
        </w:rPr>
        <w:t xml:space="preserve"> method based on its estimated useful life which is </w:t>
      </w:r>
      <w:r w:rsidR="00CD5714" w:rsidRPr="00CD5714">
        <w:rPr>
          <w:rFonts w:ascii="Arial" w:hAnsi="Arial" w:cs="Arial"/>
          <w:color w:val="000000"/>
          <w:sz w:val="20"/>
          <w:szCs w:val="20"/>
          <w:lang w:val="en-GB"/>
        </w:rPr>
        <w:t>25</w:t>
      </w:r>
      <w:r w:rsidRPr="002D2F67">
        <w:rPr>
          <w:rFonts w:ascii="Arial" w:hAnsi="Arial" w:cs="Arial"/>
          <w:color w:val="000000"/>
          <w:sz w:val="20"/>
          <w:szCs w:val="20"/>
        </w:rPr>
        <w:t xml:space="preserve"> years.</w:t>
      </w:r>
    </w:p>
    <w:p w14:paraId="366A1294" w14:textId="2C80A99D" w:rsidR="005B0FB3" w:rsidRPr="002D2F67" w:rsidRDefault="00A70C0C" w:rsidP="00100E48">
      <w:pPr>
        <w:tabs>
          <w:tab w:val="left" w:pos="567"/>
          <w:tab w:val="left" w:pos="1134"/>
          <w:tab w:val="left" w:pos="1276"/>
        </w:tabs>
        <w:ind w:left="630" w:hanging="578"/>
        <w:jc w:val="both"/>
        <w:rPr>
          <w:rFonts w:ascii="Arial" w:hAnsi="Arial" w:cs="Arial"/>
          <w:color w:val="000000"/>
          <w:spacing w:val="-2"/>
          <w:sz w:val="20"/>
          <w:szCs w:val="25"/>
        </w:rPr>
      </w:pPr>
      <w:r w:rsidRPr="002D2F67">
        <w:rPr>
          <w:rFonts w:ascii="Arial" w:hAnsi="Arial" w:cs="Arial"/>
          <w:color w:val="000000"/>
          <w:spacing w:val="-2"/>
          <w:sz w:val="20"/>
          <w:szCs w:val="25"/>
        </w:rPr>
        <w:br w:type="page"/>
      </w:r>
    </w:p>
    <w:p w14:paraId="0D35B3B0" w14:textId="24ABCB38" w:rsidR="00FE37B6" w:rsidRPr="002D2F67" w:rsidRDefault="00CD5714" w:rsidP="00100E48">
      <w:pPr>
        <w:pStyle w:val="HeadSub1-5EA"/>
        <w:ind w:left="630" w:hanging="630"/>
        <w:outlineLvl w:val="2"/>
        <w:rPr>
          <w:rFonts w:ascii="Arial" w:hAnsi="Arial" w:cs="Arial"/>
          <w:b w:val="0"/>
          <w:bCs w:val="0"/>
          <w:color w:val="000000"/>
          <w:spacing w:val="-6"/>
          <w:sz w:val="20"/>
          <w:szCs w:val="20"/>
        </w:rPr>
      </w:pPr>
      <w:r w:rsidRPr="00CD5714">
        <w:rPr>
          <w:rFonts w:ascii="Arial" w:hAnsi="Arial" w:cs="Arial"/>
          <w:b w:val="0"/>
          <w:bCs w:val="0"/>
          <w:color w:val="000000"/>
          <w:spacing w:val="-6"/>
          <w:sz w:val="20"/>
          <w:szCs w:val="20"/>
          <w:lang w:val="en-GB"/>
        </w:rPr>
        <w:t>5</w:t>
      </w:r>
      <w:r w:rsidR="00FE37B6" w:rsidRPr="002D2F67">
        <w:rPr>
          <w:rFonts w:ascii="Arial" w:hAnsi="Arial" w:cs="Arial"/>
          <w:b w:val="0"/>
          <w:bCs w:val="0"/>
          <w:color w:val="000000"/>
          <w:spacing w:val="-6"/>
          <w:sz w:val="20"/>
          <w:szCs w:val="20"/>
        </w:rPr>
        <w:t>.</w:t>
      </w:r>
      <w:r w:rsidRPr="00CD5714">
        <w:rPr>
          <w:rFonts w:ascii="Arial" w:hAnsi="Arial" w:cs="Arial"/>
          <w:b w:val="0"/>
          <w:bCs w:val="0"/>
          <w:color w:val="000000"/>
          <w:spacing w:val="-6"/>
          <w:sz w:val="20"/>
          <w:szCs w:val="20"/>
          <w:lang w:val="en-GB"/>
        </w:rPr>
        <w:t>12</w:t>
      </w:r>
      <w:r w:rsidR="00FE37B6" w:rsidRPr="002D2F67">
        <w:rPr>
          <w:rFonts w:ascii="Arial" w:hAnsi="Arial" w:cs="Arial"/>
          <w:b w:val="0"/>
          <w:bCs w:val="0"/>
          <w:color w:val="000000"/>
          <w:spacing w:val="-6"/>
          <w:sz w:val="20"/>
          <w:szCs w:val="20"/>
        </w:rPr>
        <w:t>.</w:t>
      </w:r>
      <w:r w:rsidRPr="00CD5714">
        <w:rPr>
          <w:rFonts w:ascii="Arial" w:hAnsi="Arial" w:cs="Arial"/>
          <w:b w:val="0"/>
          <w:bCs w:val="0"/>
          <w:color w:val="000000"/>
          <w:spacing w:val="-6"/>
          <w:sz w:val="20"/>
          <w:szCs w:val="20"/>
          <w:lang w:val="en-GB"/>
        </w:rPr>
        <w:t>4</w:t>
      </w:r>
      <w:r w:rsidR="008C77C3" w:rsidRPr="002D2F67">
        <w:rPr>
          <w:rFonts w:ascii="Arial" w:hAnsi="Arial" w:cs="Arial"/>
          <w:b w:val="0"/>
          <w:bCs w:val="0"/>
          <w:color w:val="000000"/>
          <w:spacing w:val="-6"/>
          <w:sz w:val="20"/>
          <w:szCs w:val="20"/>
        </w:rPr>
        <w:tab/>
      </w:r>
      <w:r w:rsidR="00FE37B6" w:rsidRPr="002D2F67">
        <w:rPr>
          <w:rFonts w:ascii="Arial" w:hAnsi="Arial" w:cs="Arial"/>
          <w:b w:val="0"/>
          <w:bCs w:val="0"/>
          <w:color w:val="000000"/>
          <w:spacing w:val="-6"/>
          <w:sz w:val="20"/>
          <w:szCs w:val="20"/>
        </w:rPr>
        <w:t>Computer software</w:t>
      </w:r>
    </w:p>
    <w:p w14:paraId="603B1325" w14:textId="77777777" w:rsidR="00FE37B6" w:rsidRPr="002D2F67" w:rsidRDefault="00FE37B6" w:rsidP="00100E48">
      <w:pPr>
        <w:ind w:left="630"/>
        <w:jc w:val="both"/>
        <w:rPr>
          <w:rFonts w:ascii="Arial" w:hAnsi="Arial" w:cs="Arial"/>
          <w:color w:val="000000"/>
          <w:spacing w:val="-2"/>
          <w:sz w:val="20"/>
          <w:szCs w:val="20"/>
        </w:rPr>
      </w:pPr>
    </w:p>
    <w:p w14:paraId="555A52B9" w14:textId="2D8FE7F2" w:rsidR="00FE37B6" w:rsidRPr="002D2F67" w:rsidRDefault="0011557E" w:rsidP="00100E48">
      <w:pPr>
        <w:ind w:left="630"/>
        <w:jc w:val="both"/>
        <w:rPr>
          <w:rFonts w:ascii="Arial" w:hAnsi="Arial" w:cs="Arial"/>
          <w:color w:val="000000"/>
          <w:sz w:val="20"/>
          <w:szCs w:val="20"/>
        </w:rPr>
      </w:pPr>
      <w:r w:rsidRPr="002D2F67">
        <w:rPr>
          <w:rFonts w:ascii="Arial" w:hAnsi="Arial" w:cs="Arial"/>
          <w:color w:val="000000"/>
          <w:sz w:val="20"/>
          <w:szCs w:val="20"/>
        </w:rPr>
        <w:t>Acquired c</w:t>
      </w:r>
      <w:r w:rsidR="00FE37B6" w:rsidRPr="002D2F67">
        <w:rPr>
          <w:rFonts w:ascii="Arial" w:hAnsi="Arial" w:cs="Arial"/>
          <w:color w:val="000000"/>
          <w:sz w:val="20"/>
          <w:szCs w:val="20"/>
        </w:rPr>
        <w:t xml:space="preserve">omputer software </w:t>
      </w:r>
      <w:r w:rsidR="007C1303" w:rsidRPr="002D2F67">
        <w:rPr>
          <w:rFonts w:ascii="Arial" w:hAnsi="Arial" w:cs="Arial"/>
          <w:color w:val="000000"/>
          <w:sz w:val="20"/>
          <w:szCs w:val="20"/>
        </w:rPr>
        <w:t xml:space="preserve">is </w:t>
      </w:r>
      <w:r w:rsidR="00FE37B6" w:rsidRPr="002D2F67">
        <w:rPr>
          <w:rFonts w:ascii="Arial" w:hAnsi="Arial" w:cs="Arial"/>
          <w:color w:val="000000"/>
          <w:sz w:val="20"/>
          <w:szCs w:val="20"/>
        </w:rPr>
        <w:t xml:space="preserve">recognised as assets </w:t>
      </w:r>
      <w:r w:rsidR="002F6BEF" w:rsidRPr="002D2F67">
        <w:rPr>
          <w:rFonts w:ascii="Arial" w:hAnsi="Arial" w:cs="Arial"/>
          <w:color w:val="000000"/>
          <w:sz w:val="20"/>
          <w:szCs w:val="20"/>
        </w:rPr>
        <w:t xml:space="preserve">and subsequently </w:t>
      </w:r>
      <w:r w:rsidR="00FE37B6" w:rsidRPr="002D2F67">
        <w:rPr>
          <w:rFonts w:ascii="Arial" w:hAnsi="Arial" w:cs="Arial"/>
          <w:color w:val="000000"/>
          <w:sz w:val="20"/>
          <w:szCs w:val="20"/>
        </w:rPr>
        <w:t xml:space="preserve">amortised by using straight-line method over their estimated useful lives, which are </w:t>
      </w:r>
      <w:r w:rsidR="00CD5714" w:rsidRPr="00CD5714">
        <w:rPr>
          <w:rFonts w:ascii="Arial" w:hAnsi="Arial" w:cs="Arial"/>
          <w:color w:val="000000"/>
          <w:sz w:val="20"/>
          <w:szCs w:val="20"/>
          <w:lang w:val="en-GB"/>
        </w:rPr>
        <w:t>5</w:t>
      </w:r>
      <w:r w:rsidR="00FE37B6" w:rsidRPr="002D2F67">
        <w:rPr>
          <w:rFonts w:ascii="Arial" w:hAnsi="Arial" w:cs="Arial"/>
          <w:color w:val="000000"/>
          <w:sz w:val="20"/>
          <w:szCs w:val="20"/>
        </w:rPr>
        <w:t xml:space="preserve"> and </w:t>
      </w:r>
      <w:r w:rsidR="00CD5714" w:rsidRPr="00CD5714">
        <w:rPr>
          <w:rFonts w:ascii="Arial" w:hAnsi="Arial" w:cs="Arial"/>
          <w:color w:val="000000"/>
          <w:sz w:val="20"/>
          <w:szCs w:val="20"/>
          <w:lang w:val="en-GB"/>
        </w:rPr>
        <w:t>10</w:t>
      </w:r>
      <w:r w:rsidR="00FE37B6" w:rsidRPr="002D2F67">
        <w:rPr>
          <w:rFonts w:ascii="Arial" w:hAnsi="Arial" w:cs="Arial"/>
          <w:color w:val="000000"/>
          <w:sz w:val="20"/>
          <w:szCs w:val="20"/>
        </w:rPr>
        <w:t xml:space="preserve"> years.</w:t>
      </w:r>
    </w:p>
    <w:p w14:paraId="05246CB6" w14:textId="77777777" w:rsidR="00FE37B6" w:rsidRPr="002D2F67" w:rsidRDefault="00FE37B6" w:rsidP="00100E48">
      <w:pPr>
        <w:ind w:left="630"/>
        <w:jc w:val="both"/>
        <w:rPr>
          <w:rFonts w:ascii="Arial" w:hAnsi="Arial" w:cs="Arial"/>
          <w:color w:val="000000"/>
          <w:sz w:val="20"/>
          <w:szCs w:val="20"/>
        </w:rPr>
      </w:pPr>
    </w:p>
    <w:p w14:paraId="616B2C00" w14:textId="77777777" w:rsidR="00FE37B6" w:rsidRPr="002D2F67" w:rsidRDefault="00FE37B6" w:rsidP="00100E48">
      <w:pPr>
        <w:ind w:left="630"/>
        <w:jc w:val="both"/>
        <w:rPr>
          <w:rFonts w:ascii="Arial" w:hAnsi="Arial" w:cs="Arial"/>
          <w:color w:val="000000"/>
          <w:sz w:val="20"/>
          <w:szCs w:val="20"/>
        </w:rPr>
      </w:pPr>
      <w:r w:rsidRPr="002D2F67">
        <w:rPr>
          <w:rFonts w:ascii="Arial" w:hAnsi="Arial" w:cs="Arial"/>
          <w:color w:val="000000"/>
          <w:sz w:val="20"/>
          <w:szCs w:val="20"/>
        </w:rPr>
        <w:t>Costs associated with maintaining computer software programmes are recognised as an expense as incurred.</w:t>
      </w:r>
    </w:p>
    <w:p w14:paraId="6783EA71" w14:textId="77777777" w:rsidR="00FE37B6" w:rsidRPr="002D2F67" w:rsidRDefault="00FE37B6" w:rsidP="00100E48">
      <w:pPr>
        <w:ind w:left="630"/>
        <w:jc w:val="both"/>
        <w:rPr>
          <w:rFonts w:ascii="Arial" w:hAnsi="Arial" w:cs="Arial"/>
          <w:color w:val="000000"/>
          <w:spacing w:val="-2"/>
          <w:sz w:val="20"/>
          <w:szCs w:val="20"/>
        </w:rPr>
      </w:pPr>
    </w:p>
    <w:p w14:paraId="4AC5E736" w14:textId="11DBBC50" w:rsidR="00FE37B6" w:rsidRPr="002D2F67" w:rsidRDefault="00CD5714" w:rsidP="00100E48">
      <w:pPr>
        <w:pStyle w:val="HeadSub1-5EA"/>
        <w:ind w:left="630" w:hanging="630"/>
        <w:outlineLvl w:val="2"/>
        <w:rPr>
          <w:rFonts w:ascii="Arial" w:hAnsi="Arial" w:cs="Arial"/>
          <w:b w:val="0"/>
          <w:bCs w:val="0"/>
          <w:color w:val="000000"/>
          <w:spacing w:val="-6"/>
          <w:sz w:val="20"/>
          <w:szCs w:val="20"/>
        </w:rPr>
      </w:pPr>
      <w:r w:rsidRPr="00CD5714">
        <w:rPr>
          <w:rFonts w:ascii="Arial" w:hAnsi="Arial" w:cs="Arial"/>
          <w:b w:val="0"/>
          <w:bCs w:val="0"/>
          <w:color w:val="000000"/>
          <w:spacing w:val="-6"/>
          <w:sz w:val="20"/>
          <w:szCs w:val="20"/>
          <w:lang w:val="en-GB"/>
        </w:rPr>
        <w:t>5</w:t>
      </w:r>
      <w:r w:rsidR="00FE37B6" w:rsidRPr="002D2F67">
        <w:rPr>
          <w:rFonts w:ascii="Arial" w:hAnsi="Arial" w:cs="Arial"/>
          <w:b w:val="0"/>
          <w:bCs w:val="0"/>
          <w:color w:val="000000"/>
          <w:spacing w:val="-6"/>
          <w:sz w:val="20"/>
          <w:szCs w:val="20"/>
        </w:rPr>
        <w:t>.</w:t>
      </w:r>
      <w:r w:rsidRPr="00CD5714">
        <w:rPr>
          <w:rFonts w:ascii="Arial" w:hAnsi="Arial" w:cs="Arial"/>
          <w:b w:val="0"/>
          <w:bCs w:val="0"/>
          <w:color w:val="000000"/>
          <w:spacing w:val="-6"/>
          <w:sz w:val="20"/>
          <w:szCs w:val="20"/>
          <w:lang w:val="en-GB"/>
        </w:rPr>
        <w:t>12</w:t>
      </w:r>
      <w:r w:rsidR="00FE37B6" w:rsidRPr="002D2F67">
        <w:rPr>
          <w:rFonts w:ascii="Arial" w:hAnsi="Arial" w:cs="Arial"/>
          <w:b w:val="0"/>
          <w:bCs w:val="0"/>
          <w:color w:val="000000"/>
          <w:spacing w:val="-6"/>
          <w:sz w:val="20"/>
          <w:szCs w:val="20"/>
        </w:rPr>
        <w:t>.</w:t>
      </w:r>
      <w:r w:rsidRPr="00CD5714">
        <w:rPr>
          <w:rFonts w:ascii="Arial" w:hAnsi="Arial" w:cs="Arial"/>
          <w:b w:val="0"/>
          <w:bCs w:val="0"/>
          <w:color w:val="000000"/>
          <w:spacing w:val="-6"/>
          <w:sz w:val="20"/>
          <w:szCs w:val="20"/>
          <w:lang w:val="en-GB"/>
        </w:rPr>
        <w:t>5</w:t>
      </w:r>
      <w:r w:rsidR="008C77C3" w:rsidRPr="002D2F67">
        <w:rPr>
          <w:rFonts w:ascii="Arial" w:hAnsi="Arial" w:cs="Arial"/>
          <w:b w:val="0"/>
          <w:bCs w:val="0"/>
          <w:color w:val="000000"/>
          <w:spacing w:val="-6"/>
          <w:sz w:val="20"/>
          <w:szCs w:val="20"/>
        </w:rPr>
        <w:tab/>
      </w:r>
      <w:r w:rsidR="00FE37B6" w:rsidRPr="002D2F67">
        <w:rPr>
          <w:rFonts w:ascii="Arial" w:hAnsi="Arial" w:cs="Arial"/>
          <w:b w:val="0"/>
          <w:bCs w:val="0"/>
          <w:color w:val="000000"/>
          <w:spacing w:val="-6"/>
          <w:sz w:val="20"/>
          <w:szCs w:val="20"/>
        </w:rPr>
        <w:t>Patent and brand</w:t>
      </w:r>
    </w:p>
    <w:p w14:paraId="2543ED9E" w14:textId="77777777" w:rsidR="00FE37B6" w:rsidRPr="002D2F67" w:rsidRDefault="00FE37B6" w:rsidP="00100E48">
      <w:pPr>
        <w:ind w:left="630"/>
        <w:jc w:val="both"/>
        <w:rPr>
          <w:rFonts w:ascii="Arial" w:hAnsi="Arial" w:cs="Arial"/>
          <w:color w:val="000000"/>
          <w:sz w:val="20"/>
          <w:szCs w:val="20"/>
        </w:rPr>
      </w:pPr>
    </w:p>
    <w:p w14:paraId="39FF8890" w14:textId="3A9B92D6" w:rsidR="00FE37B6" w:rsidRPr="002D2F67" w:rsidRDefault="00FE37B6" w:rsidP="00100E48">
      <w:pPr>
        <w:ind w:left="630"/>
        <w:jc w:val="both"/>
        <w:rPr>
          <w:rFonts w:ascii="Arial" w:hAnsi="Arial" w:cs="Arial"/>
          <w:color w:val="000000"/>
          <w:sz w:val="20"/>
          <w:szCs w:val="20"/>
        </w:rPr>
      </w:pPr>
      <w:r w:rsidRPr="002D2F67">
        <w:rPr>
          <w:rFonts w:ascii="Arial" w:hAnsi="Arial" w:cs="Arial"/>
          <w:color w:val="000000"/>
          <w:sz w:val="20"/>
          <w:szCs w:val="20"/>
        </w:rPr>
        <w:t xml:space="preserve">Separately acquired patent and brand are shown at historical cost. Patent and brand acquired from a business combination are recognised at fair value at the acquisition date. Patent and brand have a finite useful life and are carried at cost less accumulated amortisation. Amortisation is calculated using the straight-line method to allocate the cost of patent and brand over their estimated useful lives of </w:t>
      </w:r>
      <w:r w:rsidR="00CD5714" w:rsidRPr="00CD5714">
        <w:rPr>
          <w:rFonts w:ascii="Arial" w:hAnsi="Arial" w:cs="Arial"/>
          <w:color w:val="000000"/>
          <w:sz w:val="20"/>
          <w:szCs w:val="20"/>
          <w:lang w:val="en-GB"/>
        </w:rPr>
        <w:t>20</w:t>
      </w:r>
      <w:r w:rsidRPr="002D2F67">
        <w:rPr>
          <w:rFonts w:ascii="Arial" w:hAnsi="Arial" w:cs="Arial"/>
          <w:color w:val="000000"/>
          <w:sz w:val="20"/>
          <w:szCs w:val="20"/>
        </w:rPr>
        <w:t xml:space="preserve"> years.</w:t>
      </w:r>
    </w:p>
    <w:p w14:paraId="1B26BEB4" w14:textId="0CDDA94C" w:rsidR="00282B78" w:rsidRPr="002D2F67" w:rsidRDefault="00282B78" w:rsidP="00100E48">
      <w:pPr>
        <w:ind w:left="630"/>
        <w:rPr>
          <w:rFonts w:ascii="Arial" w:hAnsi="Arial" w:cs="Arial"/>
          <w:color w:val="000000"/>
          <w:sz w:val="20"/>
          <w:szCs w:val="20"/>
        </w:rPr>
      </w:pPr>
    </w:p>
    <w:p w14:paraId="096F04B9" w14:textId="220D3A7A" w:rsidR="00FE37B6" w:rsidRPr="002D2F67" w:rsidRDefault="00CD5714" w:rsidP="00100E48">
      <w:pPr>
        <w:pStyle w:val="HeadSub1-5EA"/>
        <w:ind w:left="630" w:hanging="630"/>
        <w:rPr>
          <w:rFonts w:ascii="Arial" w:hAnsi="Arial" w:cs="Arial"/>
          <w:color w:val="000000"/>
          <w:sz w:val="20"/>
          <w:szCs w:val="20"/>
        </w:rPr>
      </w:pPr>
      <w:r w:rsidRPr="00CD5714">
        <w:rPr>
          <w:rFonts w:ascii="Arial" w:hAnsi="Arial" w:cs="Arial"/>
          <w:color w:val="000000"/>
          <w:sz w:val="20"/>
          <w:szCs w:val="20"/>
          <w:lang w:val="en-GB"/>
        </w:rPr>
        <w:t>5</w:t>
      </w:r>
      <w:r w:rsidR="00FE37B6" w:rsidRPr="002D2F67">
        <w:rPr>
          <w:rFonts w:ascii="Arial" w:hAnsi="Arial" w:cs="Arial"/>
          <w:color w:val="000000"/>
          <w:sz w:val="20"/>
          <w:szCs w:val="20"/>
        </w:rPr>
        <w:t>.</w:t>
      </w:r>
      <w:r w:rsidRPr="00CD5714">
        <w:rPr>
          <w:rFonts w:ascii="Arial" w:hAnsi="Arial" w:cs="Arial"/>
          <w:color w:val="000000"/>
          <w:sz w:val="20"/>
          <w:szCs w:val="20"/>
          <w:lang w:val="en-GB"/>
        </w:rPr>
        <w:t>13</w:t>
      </w:r>
      <w:r w:rsidR="00FE37B6" w:rsidRPr="002D2F67">
        <w:rPr>
          <w:rFonts w:ascii="Arial" w:hAnsi="Arial" w:cs="Arial"/>
          <w:color w:val="000000"/>
          <w:sz w:val="20"/>
          <w:szCs w:val="20"/>
        </w:rPr>
        <w:tab/>
        <w:t>Impairment of assets</w:t>
      </w:r>
    </w:p>
    <w:p w14:paraId="0314D2E6" w14:textId="77777777" w:rsidR="00FE37B6" w:rsidRPr="002D2F67" w:rsidRDefault="00FE37B6" w:rsidP="00100E48">
      <w:pPr>
        <w:ind w:left="630"/>
        <w:rPr>
          <w:rFonts w:ascii="Arial" w:hAnsi="Arial" w:cs="Arial"/>
          <w:color w:val="000000"/>
          <w:sz w:val="20"/>
          <w:szCs w:val="20"/>
        </w:rPr>
      </w:pPr>
    </w:p>
    <w:p w14:paraId="50EB830B" w14:textId="5EF7ACFF" w:rsidR="00957A48" w:rsidRPr="002D2F67" w:rsidRDefault="002F6BEF" w:rsidP="00100E48">
      <w:pPr>
        <w:ind w:left="630"/>
        <w:jc w:val="thaiDistribute"/>
        <w:rPr>
          <w:rFonts w:ascii="Arial" w:hAnsi="Arial" w:cs="Arial"/>
          <w:color w:val="000000"/>
          <w:sz w:val="20"/>
          <w:szCs w:val="20"/>
        </w:rPr>
      </w:pPr>
      <w:r w:rsidRPr="002D2F67">
        <w:rPr>
          <w:rFonts w:ascii="Arial" w:hAnsi="Arial" w:cs="Arial"/>
          <w:color w:val="000000"/>
          <w:spacing w:val="-4"/>
          <w:sz w:val="20"/>
          <w:szCs w:val="20"/>
        </w:rPr>
        <w:t>Intangible a</w:t>
      </w:r>
      <w:r w:rsidR="00957A48" w:rsidRPr="002D2F67">
        <w:rPr>
          <w:rFonts w:ascii="Arial" w:hAnsi="Arial" w:cs="Arial"/>
          <w:color w:val="000000"/>
          <w:spacing w:val="-4"/>
          <w:sz w:val="20"/>
          <w:szCs w:val="20"/>
        </w:rPr>
        <w:t>ssets that have an indefinite useful life</w:t>
      </w:r>
      <w:r w:rsidR="0011557E" w:rsidRPr="002D2F67">
        <w:rPr>
          <w:rFonts w:ascii="Arial" w:hAnsi="Arial" w:cs="Arial"/>
          <w:color w:val="000000"/>
          <w:spacing w:val="-4"/>
          <w:sz w:val="20"/>
          <w:szCs w:val="20"/>
        </w:rPr>
        <w:t xml:space="preserve"> are not subject to amortisation and</w:t>
      </w:r>
      <w:r w:rsidR="00957A48" w:rsidRPr="002D2F67">
        <w:rPr>
          <w:rFonts w:ascii="Arial" w:hAnsi="Arial" w:cs="Arial"/>
          <w:color w:val="000000"/>
          <w:spacing w:val="-4"/>
          <w:sz w:val="20"/>
          <w:szCs w:val="20"/>
        </w:rPr>
        <w:t xml:space="preserve"> are tested annually</w:t>
      </w:r>
      <w:r w:rsidR="00957A48" w:rsidRPr="002D2F67">
        <w:rPr>
          <w:rFonts w:ascii="Arial" w:hAnsi="Arial" w:cs="Arial"/>
          <w:color w:val="000000"/>
          <w:sz w:val="20"/>
          <w:szCs w:val="20"/>
        </w:rPr>
        <w:t xml:space="preserve"> </w:t>
      </w:r>
      <w:r w:rsidR="00957A48" w:rsidRPr="002D2F67">
        <w:rPr>
          <w:rFonts w:ascii="Arial" w:hAnsi="Arial" w:cs="Arial"/>
          <w:color w:val="000000"/>
          <w:spacing w:val="-6"/>
          <w:sz w:val="20"/>
          <w:szCs w:val="20"/>
        </w:rPr>
        <w:t>for impairment, or more frequently if events or changes in circumstances indicate that it might be impaired</w:t>
      </w:r>
      <w:r w:rsidR="00957A48" w:rsidRPr="002D2F67">
        <w:rPr>
          <w:rFonts w:ascii="Arial" w:hAnsi="Arial" w:cs="Arial"/>
          <w:color w:val="000000"/>
          <w:sz w:val="20"/>
          <w:szCs w:val="20"/>
        </w:rPr>
        <w:t xml:space="preserve">. Assets that are subject to amortisation are reviewed for impairment whenever there is an indication of impairment. An impairment loss is recognised for the amount by which the </w:t>
      </w:r>
      <w:r w:rsidR="00957A48" w:rsidRPr="002D2F67">
        <w:rPr>
          <w:rFonts w:ascii="Arial" w:hAnsi="Arial" w:cs="Arial"/>
          <w:color w:val="000000"/>
          <w:spacing w:val="-4"/>
          <w:sz w:val="20"/>
          <w:szCs w:val="20"/>
        </w:rPr>
        <w:t>carrying amount of the assets exceeds its recoverable amount. The recoverable amount is the highe</w:t>
      </w:r>
      <w:r w:rsidR="00957A48" w:rsidRPr="002D2F67">
        <w:rPr>
          <w:rFonts w:ascii="Arial" w:hAnsi="Arial" w:cs="Arial"/>
          <w:color w:val="000000"/>
          <w:sz w:val="20"/>
          <w:szCs w:val="20"/>
        </w:rPr>
        <w:t xml:space="preserve">r of an asset’s fair value less costs of disposal and value in use. </w:t>
      </w:r>
    </w:p>
    <w:p w14:paraId="760F0D65" w14:textId="77777777" w:rsidR="00957A48" w:rsidRPr="002D2F67" w:rsidRDefault="00957A48" w:rsidP="00100E48">
      <w:pPr>
        <w:ind w:left="630"/>
        <w:jc w:val="thaiDistribute"/>
        <w:rPr>
          <w:rFonts w:ascii="Arial" w:hAnsi="Arial" w:cs="Arial"/>
          <w:color w:val="000000"/>
          <w:spacing w:val="-4"/>
          <w:sz w:val="20"/>
          <w:szCs w:val="20"/>
        </w:rPr>
      </w:pPr>
    </w:p>
    <w:p w14:paraId="3A81C8B6" w14:textId="77777777" w:rsidR="00957A48" w:rsidRPr="002D2F67" w:rsidRDefault="00957A48" w:rsidP="00100E48">
      <w:pPr>
        <w:ind w:left="630"/>
        <w:jc w:val="thaiDistribute"/>
        <w:rPr>
          <w:rFonts w:ascii="Arial" w:hAnsi="Arial" w:cs="Arial"/>
          <w:color w:val="000000"/>
          <w:spacing w:val="-4"/>
          <w:sz w:val="20"/>
          <w:szCs w:val="20"/>
        </w:rPr>
      </w:pPr>
      <w:r w:rsidRPr="002D2F67">
        <w:rPr>
          <w:rFonts w:ascii="Arial" w:hAnsi="Arial" w:cs="Arial"/>
          <w:color w:val="000000"/>
          <w:spacing w:val="-4"/>
          <w:sz w:val="20"/>
          <w:szCs w:val="20"/>
        </w:rPr>
        <w:t xml:space="preserve">Where the reasons for previously recognised impairments no longer exist, the impairment losses on the assets concerned other than goodwill is reversed.  </w:t>
      </w:r>
    </w:p>
    <w:p w14:paraId="1FFDD30C" w14:textId="59C56E50" w:rsidR="00470488" w:rsidRPr="002D2F67" w:rsidRDefault="00470488" w:rsidP="00100E48">
      <w:pPr>
        <w:ind w:left="630"/>
        <w:jc w:val="thaiDistribute"/>
        <w:rPr>
          <w:rFonts w:ascii="Arial" w:hAnsi="Arial" w:cs="Arial"/>
          <w:color w:val="000000"/>
          <w:spacing w:val="-2"/>
          <w:sz w:val="20"/>
          <w:szCs w:val="20"/>
        </w:rPr>
      </w:pPr>
    </w:p>
    <w:p w14:paraId="67964089" w14:textId="584CF577" w:rsidR="00FE37B6" w:rsidRPr="002D2F67" w:rsidRDefault="00CD5714" w:rsidP="00100E48">
      <w:pPr>
        <w:pStyle w:val="HeadSub1-5EA"/>
        <w:ind w:left="630" w:hanging="630"/>
        <w:rPr>
          <w:rFonts w:ascii="Arial" w:hAnsi="Arial" w:cs="Arial"/>
          <w:color w:val="000000"/>
          <w:sz w:val="20"/>
          <w:szCs w:val="20"/>
        </w:rPr>
      </w:pPr>
      <w:r w:rsidRPr="00CD5714">
        <w:rPr>
          <w:rFonts w:ascii="Arial" w:hAnsi="Arial" w:cs="Arial"/>
          <w:color w:val="000000"/>
          <w:sz w:val="20"/>
          <w:szCs w:val="20"/>
          <w:lang w:val="en-GB"/>
        </w:rPr>
        <w:t>5</w:t>
      </w:r>
      <w:r w:rsidR="00FE37B6" w:rsidRPr="002D2F67">
        <w:rPr>
          <w:rFonts w:ascii="Arial" w:hAnsi="Arial" w:cs="Arial"/>
          <w:color w:val="000000"/>
          <w:sz w:val="20"/>
          <w:szCs w:val="20"/>
        </w:rPr>
        <w:t>.</w:t>
      </w:r>
      <w:r w:rsidRPr="00CD5714">
        <w:rPr>
          <w:rFonts w:ascii="Arial" w:hAnsi="Arial" w:cs="Arial"/>
          <w:color w:val="000000"/>
          <w:sz w:val="20"/>
          <w:szCs w:val="20"/>
          <w:lang w:val="en-GB"/>
        </w:rPr>
        <w:t>14</w:t>
      </w:r>
      <w:r w:rsidR="00FE37B6" w:rsidRPr="002D2F67">
        <w:rPr>
          <w:rFonts w:ascii="Arial" w:hAnsi="Arial" w:cs="Arial"/>
          <w:color w:val="000000"/>
          <w:sz w:val="20"/>
          <w:szCs w:val="20"/>
        </w:rPr>
        <w:tab/>
        <w:t>Leases</w:t>
      </w:r>
    </w:p>
    <w:p w14:paraId="0D864965" w14:textId="77777777" w:rsidR="007D52A5" w:rsidRPr="002D2F67" w:rsidRDefault="007D52A5" w:rsidP="00100E48">
      <w:pPr>
        <w:pStyle w:val="ListParagraph"/>
        <w:spacing w:after="0" w:line="240" w:lineRule="auto"/>
        <w:ind w:left="630"/>
        <w:jc w:val="both"/>
        <w:rPr>
          <w:rFonts w:ascii="Arial" w:eastAsia="Arial Unicode MS" w:hAnsi="Arial" w:cs="Arial"/>
          <w:color w:val="000000"/>
          <w:sz w:val="20"/>
          <w:szCs w:val="20"/>
          <w:u w:val="single"/>
        </w:rPr>
      </w:pPr>
    </w:p>
    <w:p w14:paraId="52CAAD0C" w14:textId="15B64BCA" w:rsidR="00957A48" w:rsidRPr="002D2F67" w:rsidRDefault="00957A48" w:rsidP="00100E48">
      <w:pPr>
        <w:pStyle w:val="HeadSub1-5EA"/>
        <w:ind w:left="630" w:firstLine="0"/>
        <w:outlineLvl w:val="2"/>
        <w:rPr>
          <w:rFonts w:ascii="Arial" w:hAnsi="Arial" w:cs="Arial"/>
          <w:b w:val="0"/>
          <w:bCs w:val="0"/>
          <w:color w:val="000000"/>
          <w:sz w:val="20"/>
          <w:szCs w:val="20"/>
          <w:u w:val="single"/>
        </w:rPr>
      </w:pPr>
      <w:r w:rsidRPr="002D2F67">
        <w:rPr>
          <w:rFonts w:ascii="Arial" w:hAnsi="Arial" w:cs="Arial"/>
          <w:b w:val="0"/>
          <w:bCs w:val="0"/>
          <w:color w:val="000000"/>
          <w:sz w:val="20"/>
          <w:szCs w:val="20"/>
          <w:u w:val="single"/>
        </w:rPr>
        <w:t>Leases - where the Group is the lessee</w:t>
      </w:r>
    </w:p>
    <w:p w14:paraId="5243F60C" w14:textId="77777777" w:rsidR="00A70C0C" w:rsidRPr="002D2F67" w:rsidRDefault="00A70C0C" w:rsidP="00100E48">
      <w:pPr>
        <w:ind w:left="630"/>
        <w:jc w:val="both"/>
        <w:rPr>
          <w:rFonts w:ascii="Arial" w:hAnsi="Arial" w:cs="Arial"/>
          <w:sz w:val="20"/>
          <w:szCs w:val="20"/>
        </w:rPr>
      </w:pPr>
    </w:p>
    <w:p w14:paraId="02D680FD" w14:textId="5EB49EFB" w:rsidR="0069780B" w:rsidRPr="002D2F67" w:rsidRDefault="0069780B" w:rsidP="00100E48">
      <w:pPr>
        <w:ind w:left="630"/>
        <w:jc w:val="both"/>
        <w:rPr>
          <w:rFonts w:ascii="Arial" w:hAnsi="Arial" w:cs="Arial"/>
          <w:sz w:val="20"/>
          <w:szCs w:val="20"/>
        </w:rPr>
      </w:pPr>
      <w:r w:rsidRPr="002D2F67">
        <w:rPr>
          <w:rFonts w:ascii="Arial" w:hAnsi="Arial" w:cs="Arial"/>
          <w:sz w:val="20"/>
          <w:szCs w:val="20"/>
        </w:rPr>
        <w:t>The right-of-use asset is depreciated over the shorter of the asset's useful life and the lease term on a straight-line basis. If the Group is reasonably certain to exercise a purchase option, the right-of-use asset is depreciated over the underlying asset’s useful life.</w:t>
      </w:r>
    </w:p>
    <w:p w14:paraId="7A1F1B36" w14:textId="77777777" w:rsidR="0069780B" w:rsidRPr="002D2F67" w:rsidRDefault="0069780B" w:rsidP="00100E48">
      <w:pPr>
        <w:ind w:left="630"/>
        <w:jc w:val="both"/>
        <w:rPr>
          <w:rFonts w:ascii="Arial" w:hAnsi="Arial" w:cs="Arial"/>
          <w:sz w:val="20"/>
          <w:szCs w:val="20"/>
        </w:rPr>
      </w:pPr>
    </w:p>
    <w:p w14:paraId="4CE83217" w14:textId="4495103C" w:rsidR="0069780B" w:rsidRPr="002D2F67" w:rsidRDefault="0069780B" w:rsidP="00100E48">
      <w:pPr>
        <w:ind w:left="630"/>
        <w:jc w:val="both"/>
        <w:rPr>
          <w:rFonts w:ascii="Arial" w:hAnsi="Arial" w:cs="Arial"/>
          <w:sz w:val="20"/>
          <w:szCs w:val="20"/>
        </w:rPr>
      </w:pPr>
      <w:r w:rsidRPr="002D2F67">
        <w:rPr>
          <w:rFonts w:ascii="Arial" w:hAnsi="Arial" w:cs="Arial"/>
          <w:sz w:val="20"/>
          <w:szCs w:val="20"/>
        </w:rPr>
        <w:t>The lease payments are discounted using the interest rate implicit in the lease. If that rate cannot be determined, the lessee’s incremental borrowing rate is used, being the rate that the lessee would have to pay to borrow the funds necessary to obtain an asset of similar value in a similar economic environment with similar terms and conditions</w:t>
      </w:r>
      <w:r w:rsidR="00DC5A21" w:rsidRPr="002D2F67">
        <w:rPr>
          <w:rFonts w:ascii="Arial" w:hAnsi="Arial" w:cs="Arial"/>
          <w:sz w:val="20"/>
          <w:szCs w:val="20"/>
        </w:rPr>
        <w:t>.</w:t>
      </w:r>
    </w:p>
    <w:p w14:paraId="0BBE8207" w14:textId="77777777" w:rsidR="00DB7619" w:rsidRPr="002D2F67" w:rsidRDefault="00DB7619" w:rsidP="00100E48">
      <w:pPr>
        <w:ind w:left="630"/>
        <w:jc w:val="both"/>
        <w:rPr>
          <w:rFonts w:ascii="Arial" w:hAnsi="Arial" w:cs="Arial"/>
          <w:sz w:val="20"/>
          <w:szCs w:val="20"/>
        </w:rPr>
      </w:pPr>
    </w:p>
    <w:p w14:paraId="5930DFEC" w14:textId="70325EB9" w:rsidR="00DB7619" w:rsidRPr="002D2F67" w:rsidRDefault="00DB7619" w:rsidP="00100E48">
      <w:pPr>
        <w:ind w:left="630"/>
        <w:jc w:val="both"/>
        <w:rPr>
          <w:rFonts w:ascii="Arial" w:hAnsi="Arial" w:cs="Arial"/>
          <w:sz w:val="20"/>
          <w:szCs w:val="20"/>
        </w:rPr>
      </w:pPr>
      <w:r w:rsidRPr="002D2F67">
        <w:rPr>
          <w:rFonts w:ascii="Arial" w:hAnsi="Arial" w:cs="Arial"/>
          <w:sz w:val="20"/>
          <w:szCs w:val="20"/>
        </w:rPr>
        <w:t xml:space="preserve">Payments associated with short-term leases and leases of low-value assets are recognised on a straight-line basis as an expense in profit or loss. Short-term leases are leases with a lease term of </w:t>
      </w:r>
      <w:r w:rsidR="00CD5714" w:rsidRPr="00CD5714">
        <w:rPr>
          <w:rFonts w:ascii="Arial" w:hAnsi="Arial" w:cs="Arial"/>
          <w:sz w:val="20"/>
          <w:szCs w:val="20"/>
          <w:lang w:val="en-GB"/>
        </w:rPr>
        <w:t>12</w:t>
      </w:r>
      <w:r w:rsidRPr="002D2F67">
        <w:rPr>
          <w:rFonts w:ascii="Arial" w:hAnsi="Arial" w:cs="Arial"/>
          <w:sz w:val="20"/>
          <w:szCs w:val="20"/>
        </w:rPr>
        <w:t xml:space="preserve"> months or less. Low-value assets comprise small office equipment.</w:t>
      </w:r>
    </w:p>
    <w:p w14:paraId="5E22DCFD" w14:textId="77777777" w:rsidR="005B0FB3" w:rsidRPr="002D2F67" w:rsidRDefault="005B0FB3" w:rsidP="00100E48">
      <w:pPr>
        <w:ind w:left="630"/>
        <w:jc w:val="both"/>
        <w:rPr>
          <w:rFonts w:ascii="Arial" w:hAnsi="Arial" w:cs="Arial"/>
          <w:sz w:val="20"/>
          <w:szCs w:val="20"/>
        </w:rPr>
      </w:pPr>
    </w:p>
    <w:p w14:paraId="305C4E3C" w14:textId="77777777" w:rsidR="00957A48" w:rsidRPr="002D2F67" w:rsidRDefault="00957A48" w:rsidP="00100E48">
      <w:pPr>
        <w:pStyle w:val="HeadSub1-5EA"/>
        <w:ind w:left="630" w:firstLine="0"/>
        <w:outlineLvl w:val="2"/>
        <w:rPr>
          <w:rFonts w:ascii="Arial" w:eastAsia="Arial Unicode MS" w:hAnsi="Arial" w:cs="Arial"/>
          <w:color w:val="000000"/>
          <w:sz w:val="20"/>
          <w:szCs w:val="20"/>
          <w:u w:val="single"/>
        </w:rPr>
      </w:pPr>
      <w:r w:rsidRPr="002D2F67">
        <w:rPr>
          <w:rFonts w:ascii="Arial" w:hAnsi="Arial" w:cs="Arial"/>
          <w:b w:val="0"/>
          <w:bCs w:val="0"/>
          <w:color w:val="000000"/>
          <w:sz w:val="20"/>
          <w:szCs w:val="20"/>
          <w:u w:val="single"/>
        </w:rPr>
        <w:t>Leases - where the Group is the lessor</w:t>
      </w:r>
    </w:p>
    <w:p w14:paraId="60321788" w14:textId="77777777" w:rsidR="00957A48" w:rsidRPr="002D2F67" w:rsidRDefault="00957A48" w:rsidP="00100E48">
      <w:pPr>
        <w:pStyle w:val="ListParagraph"/>
        <w:spacing w:after="0" w:line="240" w:lineRule="auto"/>
        <w:ind w:left="630"/>
        <w:jc w:val="both"/>
        <w:rPr>
          <w:rFonts w:ascii="Arial" w:eastAsia="Arial Unicode MS" w:hAnsi="Arial" w:cs="Arial"/>
          <w:i/>
          <w:iCs/>
          <w:color w:val="000000"/>
          <w:sz w:val="20"/>
          <w:szCs w:val="20"/>
        </w:rPr>
      </w:pPr>
    </w:p>
    <w:p w14:paraId="7CBD9E09" w14:textId="77777777" w:rsidR="00B778A1" w:rsidRPr="002D2F67" w:rsidRDefault="00B778A1" w:rsidP="00100E48">
      <w:pPr>
        <w:pStyle w:val="ListParagraph"/>
        <w:spacing w:after="0" w:line="240" w:lineRule="auto"/>
        <w:ind w:left="630"/>
        <w:jc w:val="both"/>
        <w:rPr>
          <w:rFonts w:ascii="Arial" w:hAnsi="Arial" w:cs="Arial"/>
          <w:color w:val="000000"/>
          <w:spacing w:val="-2"/>
          <w:sz w:val="20"/>
          <w:szCs w:val="20"/>
        </w:rPr>
      </w:pPr>
      <w:r w:rsidRPr="002D2F67">
        <w:rPr>
          <w:rFonts w:ascii="Arial" w:hAnsi="Arial" w:cs="Arial"/>
          <w:color w:val="000000"/>
          <w:spacing w:val="-6"/>
          <w:sz w:val="20"/>
          <w:szCs w:val="20"/>
        </w:rPr>
        <w:t>When assets are leased out under a finance lease, the present value of the lease payments is recognised</w:t>
      </w:r>
      <w:r w:rsidRPr="002D2F67">
        <w:rPr>
          <w:rFonts w:ascii="Arial" w:hAnsi="Arial" w:cs="Arial"/>
          <w:color w:val="000000"/>
          <w:spacing w:val="-2"/>
          <w:sz w:val="20"/>
          <w:szCs w:val="20"/>
        </w:rPr>
        <w:t xml:space="preserve"> as a receivable. The difference between the gross receivable and the present value of the receivable is recognised as unearned finance income. Lease income is recognised over the term of the lease which reflects a constant periodic rate of return. Initial direct costs are included in initial measurement of the finance lease receivable and reduce the amount of income recognised over the lease term.</w:t>
      </w:r>
    </w:p>
    <w:p w14:paraId="1164B31D" w14:textId="77777777" w:rsidR="00B778A1" w:rsidRPr="002D2F67" w:rsidRDefault="00B778A1" w:rsidP="00100E48">
      <w:pPr>
        <w:pStyle w:val="ListParagraph"/>
        <w:spacing w:after="0" w:line="240" w:lineRule="auto"/>
        <w:ind w:left="630"/>
        <w:jc w:val="both"/>
        <w:rPr>
          <w:rFonts w:ascii="Arial" w:hAnsi="Arial" w:cs="Arial"/>
          <w:color w:val="000000"/>
          <w:spacing w:val="-2"/>
          <w:sz w:val="20"/>
          <w:szCs w:val="20"/>
        </w:rPr>
      </w:pPr>
    </w:p>
    <w:p w14:paraId="3FA20D85" w14:textId="77777777" w:rsidR="00822E28" w:rsidRPr="002D2F67" w:rsidRDefault="00957A48" w:rsidP="00100E48">
      <w:pPr>
        <w:pStyle w:val="ListParagraph"/>
        <w:spacing w:after="0" w:line="240" w:lineRule="auto"/>
        <w:ind w:left="630"/>
        <w:jc w:val="both"/>
        <w:rPr>
          <w:rFonts w:ascii="Arial" w:hAnsi="Arial" w:cs="Arial"/>
          <w:color w:val="000000"/>
          <w:spacing w:val="-2"/>
          <w:sz w:val="20"/>
          <w:szCs w:val="20"/>
        </w:rPr>
      </w:pPr>
      <w:r w:rsidRPr="002D2F67">
        <w:rPr>
          <w:rFonts w:ascii="Arial" w:hAnsi="Arial" w:cs="Arial"/>
          <w:color w:val="000000"/>
          <w:spacing w:val="-2"/>
          <w:sz w:val="20"/>
          <w:szCs w:val="20"/>
        </w:rPr>
        <w:t>Rental income under operating leases (net of any incentives given to lessees) is recognised on a straight-line basis over the lease term. Initial direct costs incurred in obtaining an operating lease are added to the carrying amount of the underlying asset and recognised as expense over the lease term on the same basis as lease income. The respective leased assets are included in the statement of financial position based on their nature.</w:t>
      </w:r>
    </w:p>
    <w:p w14:paraId="02F0745A" w14:textId="77777777" w:rsidR="00EC485B" w:rsidRPr="002D2F67" w:rsidRDefault="00EC485B" w:rsidP="00100E48">
      <w:pPr>
        <w:pStyle w:val="ListParagraph"/>
        <w:spacing w:after="0" w:line="240" w:lineRule="auto"/>
        <w:ind w:left="630"/>
        <w:jc w:val="both"/>
        <w:rPr>
          <w:rFonts w:ascii="Arial" w:hAnsi="Arial" w:cs="Arial"/>
          <w:color w:val="000000"/>
          <w:spacing w:val="-2"/>
          <w:sz w:val="20"/>
          <w:szCs w:val="20"/>
        </w:rPr>
      </w:pPr>
    </w:p>
    <w:p w14:paraId="6D5CE2DA" w14:textId="39681A04" w:rsidR="00EC485B" w:rsidRPr="002D2F67" w:rsidRDefault="00100E48" w:rsidP="005611FE">
      <w:pPr>
        <w:pStyle w:val="ListParagraph"/>
        <w:spacing w:after="0" w:line="240" w:lineRule="auto"/>
        <w:ind w:left="540"/>
        <w:jc w:val="both"/>
        <w:rPr>
          <w:rFonts w:ascii="Arial" w:hAnsi="Arial" w:cs="Arial"/>
          <w:color w:val="000000"/>
          <w:spacing w:val="-2"/>
          <w:sz w:val="20"/>
          <w:szCs w:val="20"/>
        </w:rPr>
      </w:pPr>
      <w:r w:rsidRPr="002D2F67">
        <w:rPr>
          <w:rFonts w:ascii="Arial" w:hAnsi="Arial" w:cs="Arial"/>
          <w:color w:val="000000"/>
          <w:spacing w:val="-2"/>
          <w:sz w:val="20"/>
          <w:szCs w:val="20"/>
        </w:rPr>
        <w:br w:type="page"/>
      </w:r>
    </w:p>
    <w:p w14:paraId="19B518FB" w14:textId="5F0F9EE7" w:rsidR="00EC485B" w:rsidRPr="002D2F67" w:rsidRDefault="00CD5714" w:rsidP="00EC485B">
      <w:pPr>
        <w:pStyle w:val="HeadSub1-5EA"/>
        <w:rPr>
          <w:rFonts w:ascii="Arial" w:hAnsi="Arial" w:cs="Arial"/>
          <w:color w:val="000000"/>
          <w:sz w:val="20"/>
          <w:szCs w:val="20"/>
        </w:rPr>
      </w:pPr>
      <w:r w:rsidRPr="00CD5714">
        <w:rPr>
          <w:rFonts w:ascii="Arial" w:hAnsi="Arial" w:cs="Arial"/>
          <w:color w:val="000000"/>
          <w:sz w:val="20"/>
          <w:szCs w:val="20"/>
          <w:lang w:val="en-GB"/>
        </w:rPr>
        <w:t>5</w:t>
      </w:r>
      <w:r w:rsidR="00EC485B" w:rsidRPr="002D2F67">
        <w:rPr>
          <w:rFonts w:ascii="Arial" w:hAnsi="Arial" w:cs="Arial"/>
          <w:color w:val="000000"/>
          <w:sz w:val="20"/>
          <w:szCs w:val="20"/>
        </w:rPr>
        <w:t>.</w:t>
      </w:r>
      <w:r w:rsidRPr="00CD5714">
        <w:rPr>
          <w:rFonts w:ascii="Arial" w:hAnsi="Arial" w:cs="Arial"/>
          <w:color w:val="000000"/>
          <w:sz w:val="20"/>
          <w:szCs w:val="20"/>
          <w:lang w:val="en-GB"/>
        </w:rPr>
        <w:t>15</w:t>
      </w:r>
      <w:r w:rsidR="00EC485B" w:rsidRPr="002D2F67">
        <w:rPr>
          <w:rFonts w:ascii="Arial" w:hAnsi="Arial" w:cs="Arial"/>
          <w:color w:val="000000"/>
          <w:sz w:val="20"/>
          <w:szCs w:val="20"/>
        </w:rPr>
        <w:tab/>
      </w:r>
      <w:r w:rsidR="005768D2" w:rsidRPr="002D2F67">
        <w:rPr>
          <w:rFonts w:ascii="Arial" w:hAnsi="Arial" w:cs="Arial"/>
          <w:color w:val="000000"/>
          <w:sz w:val="20"/>
          <w:szCs w:val="20"/>
        </w:rPr>
        <w:t>Service concession arrangements</w:t>
      </w:r>
    </w:p>
    <w:p w14:paraId="08094A3C" w14:textId="77777777" w:rsidR="005768D2" w:rsidRPr="002D2F67" w:rsidRDefault="005768D2" w:rsidP="00100E48">
      <w:pPr>
        <w:pStyle w:val="Heading2"/>
        <w:ind w:left="630"/>
        <w:rPr>
          <w:rFonts w:ascii="Arial" w:hAnsi="Arial" w:cs="Arial"/>
        </w:rPr>
      </w:pPr>
    </w:p>
    <w:p w14:paraId="7B816620" w14:textId="77777777" w:rsidR="0014366C" w:rsidRPr="002D2F67" w:rsidRDefault="0014366C" w:rsidP="00100E48">
      <w:pPr>
        <w:pStyle w:val="ListParagraph"/>
        <w:spacing w:after="0" w:line="240" w:lineRule="auto"/>
        <w:ind w:left="630"/>
        <w:jc w:val="both"/>
        <w:rPr>
          <w:rFonts w:ascii="Arial" w:hAnsi="Arial" w:cs="Arial"/>
          <w:color w:val="000000"/>
          <w:spacing w:val="-2"/>
          <w:sz w:val="20"/>
          <w:szCs w:val="20"/>
        </w:rPr>
      </w:pPr>
      <w:r w:rsidRPr="002D2F67">
        <w:rPr>
          <w:rFonts w:ascii="Arial" w:hAnsi="Arial" w:cs="Arial"/>
          <w:color w:val="000000"/>
          <w:spacing w:val="-2"/>
          <w:sz w:val="20"/>
          <w:szCs w:val="20"/>
        </w:rPr>
        <w:t xml:space="preserve">Service concession arrangements are arrangements between government (the grantor) and a private sector entity (an operator) which involve the operator constructing the infrastructure used to provide the public service or upgrading it, operating and maintaining that infrastructure for a specified period. The operator is paid for its services over the period of the arrangement. The grantor controls or regulates that services that the operator must provide with the infrastructure, to whom it must provide them, and </w:t>
      </w:r>
      <w:r w:rsidRPr="002D2F67">
        <w:rPr>
          <w:rFonts w:ascii="Arial" w:hAnsi="Arial" w:cs="Arial"/>
          <w:color w:val="000000"/>
          <w:spacing w:val="-4"/>
          <w:sz w:val="20"/>
          <w:szCs w:val="20"/>
        </w:rPr>
        <w:t>service fee and the grantor control-through ownership, beneficial entitlement or otherwise - any significan</w:t>
      </w:r>
      <w:r w:rsidRPr="002D2F67">
        <w:rPr>
          <w:rFonts w:ascii="Arial" w:hAnsi="Arial" w:cs="Arial"/>
          <w:color w:val="000000"/>
          <w:spacing w:val="-2"/>
          <w:sz w:val="20"/>
          <w:szCs w:val="20"/>
        </w:rPr>
        <w:t>t residual interest in the infrastructure at the end of the term of the arrangement.</w:t>
      </w:r>
    </w:p>
    <w:p w14:paraId="2E37C706" w14:textId="77777777" w:rsidR="0014366C" w:rsidRPr="002D2F67" w:rsidRDefault="0014366C" w:rsidP="00100E48">
      <w:pPr>
        <w:pStyle w:val="ListParagraph"/>
        <w:spacing w:after="0" w:line="240" w:lineRule="auto"/>
        <w:ind w:left="630"/>
        <w:jc w:val="both"/>
        <w:rPr>
          <w:rFonts w:ascii="Arial" w:hAnsi="Arial" w:cs="Arial"/>
          <w:color w:val="000000"/>
          <w:spacing w:val="-2"/>
          <w:sz w:val="20"/>
          <w:szCs w:val="20"/>
        </w:rPr>
      </w:pPr>
    </w:p>
    <w:p w14:paraId="2CDAEC26" w14:textId="77777777" w:rsidR="0014366C" w:rsidRPr="002D2F67" w:rsidRDefault="0014366C" w:rsidP="00100E48">
      <w:pPr>
        <w:pStyle w:val="ListParagraph"/>
        <w:spacing w:after="0" w:line="240" w:lineRule="auto"/>
        <w:ind w:left="630"/>
        <w:jc w:val="both"/>
        <w:rPr>
          <w:rFonts w:ascii="Arial" w:hAnsi="Arial" w:cs="Arial"/>
          <w:color w:val="000000"/>
          <w:spacing w:val="-2"/>
          <w:sz w:val="20"/>
          <w:szCs w:val="20"/>
        </w:rPr>
      </w:pPr>
      <w:r w:rsidRPr="002D2F67">
        <w:rPr>
          <w:rFonts w:ascii="Arial" w:hAnsi="Arial" w:cs="Arial"/>
          <w:color w:val="000000"/>
          <w:spacing w:val="-2"/>
          <w:sz w:val="20"/>
          <w:szCs w:val="20"/>
        </w:rPr>
        <w:t>If the Group as the operator provides construction or upgrade services, revenue and costs relating to construction or upgrade services shall be accounted for based on the stage of completion on the construction contract. The consideration received or receivable by the operator shall be recognised at its fair value of a financial asset or an intangible asset.</w:t>
      </w:r>
    </w:p>
    <w:p w14:paraId="65A245C5" w14:textId="77777777" w:rsidR="0014366C" w:rsidRPr="002D2F67" w:rsidRDefault="0014366C" w:rsidP="00100E48">
      <w:pPr>
        <w:pStyle w:val="ListParagraph"/>
        <w:spacing w:after="0" w:line="240" w:lineRule="auto"/>
        <w:ind w:left="630"/>
        <w:jc w:val="both"/>
        <w:rPr>
          <w:rFonts w:ascii="Arial" w:hAnsi="Arial" w:cs="Arial"/>
          <w:color w:val="000000"/>
          <w:spacing w:val="-2"/>
          <w:sz w:val="20"/>
          <w:szCs w:val="20"/>
        </w:rPr>
      </w:pPr>
    </w:p>
    <w:p w14:paraId="1D5B79D9" w14:textId="5ABF1E24" w:rsidR="0014366C" w:rsidRPr="002D2F67" w:rsidRDefault="0014366C" w:rsidP="00100E48">
      <w:pPr>
        <w:pStyle w:val="ListParagraph"/>
        <w:spacing w:after="0" w:line="240" w:lineRule="auto"/>
        <w:ind w:left="630"/>
        <w:jc w:val="both"/>
        <w:rPr>
          <w:rFonts w:ascii="Arial" w:hAnsi="Arial" w:cs="Arial"/>
          <w:color w:val="000000"/>
          <w:spacing w:val="-2"/>
          <w:sz w:val="20"/>
          <w:szCs w:val="20"/>
        </w:rPr>
      </w:pPr>
      <w:r w:rsidRPr="002D2F67">
        <w:rPr>
          <w:rFonts w:ascii="Arial" w:hAnsi="Arial" w:cs="Arial"/>
          <w:color w:val="000000"/>
          <w:spacing w:val="-4"/>
          <w:sz w:val="20"/>
          <w:szCs w:val="20"/>
        </w:rPr>
        <w:t>The Group shall recognise financial assets to extent that it has an unconditional contractual right to receive cash or another financial asset from or at the direction of the grantor for the construction services and recognise an intangible asset to the extent that it receives a right (a license) to charge users of the public service. A right to charge users of the public service is not an unconditional right to receive cash because the amounts are contingent on the extent that the public uses the service. If the operator is paid for the construction services partly by a financial asset and partly by an intangible asset it is necessary to account separately for each component of the operator's consideration. Revenue and costs relating to operation services shall be recognised when service is provided by reference to the contract term</w:t>
      </w:r>
      <w:r w:rsidRPr="002D2F67">
        <w:rPr>
          <w:rFonts w:ascii="Arial" w:hAnsi="Arial" w:cs="Arial"/>
          <w:color w:val="000000"/>
          <w:spacing w:val="-2"/>
          <w:sz w:val="20"/>
          <w:szCs w:val="20"/>
        </w:rPr>
        <w:t>.</w:t>
      </w:r>
    </w:p>
    <w:p w14:paraId="595E4728" w14:textId="77777777" w:rsidR="0014366C" w:rsidRPr="002D2F67" w:rsidRDefault="0014366C" w:rsidP="00100E48">
      <w:pPr>
        <w:pStyle w:val="ListParagraph"/>
        <w:spacing w:after="0" w:line="240" w:lineRule="auto"/>
        <w:ind w:left="630"/>
        <w:jc w:val="both"/>
        <w:rPr>
          <w:rFonts w:ascii="Arial" w:hAnsi="Arial" w:cs="Arial"/>
          <w:color w:val="000000"/>
          <w:spacing w:val="-2"/>
          <w:sz w:val="20"/>
          <w:szCs w:val="20"/>
        </w:rPr>
      </w:pPr>
    </w:p>
    <w:p w14:paraId="10DCB4C2" w14:textId="77777777" w:rsidR="0014366C" w:rsidRPr="002D2F67" w:rsidRDefault="0014366C" w:rsidP="00100E48">
      <w:pPr>
        <w:pStyle w:val="ListParagraph"/>
        <w:spacing w:after="0" w:line="240" w:lineRule="auto"/>
        <w:ind w:left="630"/>
        <w:jc w:val="both"/>
        <w:rPr>
          <w:rFonts w:ascii="Arial" w:hAnsi="Arial" w:cs="Arial"/>
          <w:color w:val="000000"/>
          <w:spacing w:val="-2"/>
          <w:sz w:val="20"/>
          <w:szCs w:val="20"/>
        </w:rPr>
      </w:pPr>
      <w:r w:rsidRPr="002D2F67">
        <w:rPr>
          <w:rFonts w:ascii="Arial" w:hAnsi="Arial" w:cs="Arial"/>
          <w:color w:val="000000"/>
          <w:spacing w:val="-2"/>
          <w:sz w:val="20"/>
          <w:szCs w:val="20"/>
        </w:rPr>
        <w:t>Contractual obligations to maintain or restore infrastructure, except for any upgrade element shall be recognised and measured at the best estimate of expenditure that would be required to settle the present obligation at the end of the reporting period.</w:t>
      </w:r>
    </w:p>
    <w:p w14:paraId="7E0F272D" w14:textId="77777777" w:rsidR="0014366C" w:rsidRPr="002D2F67" w:rsidRDefault="0014366C" w:rsidP="00100E48">
      <w:pPr>
        <w:pStyle w:val="ListParagraph"/>
        <w:spacing w:after="0" w:line="240" w:lineRule="auto"/>
        <w:ind w:left="630"/>
        <w:jc w:val="both"/>
        <w:rPr>
          <w:rFonts w:ascii="Arial" w:hAnsi="Arial" w:cs="Arial"/>
          <w:color w:val="000000"/>
          <w:spacing w:val="-2"/>
          <w:sz w:val="20"/>
          <w:szCs w:val="20"/>
        </w:rPr>
      </w:pPr>
    </w:p>
    <w:p w14:paraId="090F4E6B" w14:textId="265EEC19" w:rsidR="005768D2" w:rsidRPr="002D2F67" w:rsidRDefault="0014366C" w:rsidP="00100E48">
      <w:pPr>
        <w:pStyle w:val="ListParagraph"/>
        <w:spacing w:after="0" w:line="240" w:lineRule="auto"/>
        <w:ind w:left="630"/>
        <w:jc w:val="both"/>
        <w:rPr>
          <w:rFonts w:ascii="Arial" w:hAnsi="Arial" w:cs="Arial"/>
          <w:color w:val="000000"/>
          <w:spacing w:val="-2"/>
          <w:sz w:val="20"/>
          <w:szCs w:val="20"/>
        </w:rPr>
      </w:pPr>
      <w:r w:rsidRPr="002D2F67">
        <w:rPr>
          <w:rFonts w:ascii="Arial" w:hAnsi="Arial" w:cs="Arial"/>
          <w:color w:val="000000"/>
          <w:spacing w:val="-2"/>
          <w:sz w:val="20"/>
          <w:szCs w:val="20"/>
        </w:rPr>
        <w:t>Currently, the Group has recognised service concession arrangements as intangible assets which separately presented.</w:t>
      </w:r>
    </w:p>
    <w:p w14:paraId="168721FB" w14:textId="6776219C" w:rsidR="008F3595" w:rsidRPr="002D2F67" w:rsidRDefault="00957A48" w:rsidP="00100E48">
      <w:pPr>
        <w:pStyle w:val="ListParagraph"/>
        <w:spacing w:after="0" w:line="240" w:lineRule="auto"/>
        <w:ind w:left="630"/>
        <w:jc w:val="both"/>
        <w:rPr>
          <w:rFonts w:ascii="Arial" w:hAnsi="Arial" w:cs="Arial"/>
          <w:color w:val="000000"/>
          <w:spacing w:val="-2"/>
          <w:sz w:val="20"/>
          <w:szCs w:val="20"/>
        </w:rPr>
      </w:pPr>
      <w:r w:rsidRPr="002D2F67">
        <w:rPr>
          <w:rFonts w:ascii="Arial" w:hAnsi="Arial" w:cs="Arial"/>
          <w:color w:val="000000"/>
          <w:spacing w:val="-2"/>
          <w:sz w:val="20"/>
          <w:szCs w:val="20"/>
        </w:rPr>
        <w:t xml:space="preserve"> </w:t>
      </w:r>
    </w:p>
    <w:p w14:paraId="12C66882" w14:textId="0DBD4FC7" w:rsidR="0011557E" w:rsidRPr="002D2F67" w:rsidRDefault="00CD5714" w:rsidP="00100E48">
      <w:pPr>
        <w:pStyle w:val="HeadSub1-5EA"/>
        <w:ind w:left="630" w:hanging="630"/>
        <w:rPr>
          <w:rFonts w:ascii="Arial" w:hAnsi="Arial" w:cs="Arial"/>
          <w:color w:val="000000"/>
          <w:sz w:val="20"/>
          <w:szCs w:val="20"/>
        </w:rPr>
      </w:pPr>
      <w:bookmarkStart w:id="1" w:name="_Toc48736031"/>
      <w:r w:rsidRPr="00CD5714">
        <w:rPr>
          <w:rFonts w:ascii="Arial" w:hAnsi="Arial" w:cs="Arial"/>
          <w:color w:val="000000"/>
          <w:sz w:val="20"/>
          <w:szCs w:val="20"/>
          <w:lang w:val="en-GB"/>
        </w:rPr>
        <w:t>5</w:t>
      </w:r>
      <w:r w:rsidR="0011557E" w:rsidRPr="002D2F67">
        <w:rPr>
          <w:rFonts w:ascii="Arial" w:hAnsi="Arial" w:cs="Arial"/>
          <w:color w:val="000000"/>
          <w:sz w:val="20"/>
          <w:szCs w:val="20"/>
        </w:rPr>
        <w:t>.</w:t>
      </w:r>
      <w:r w:rsidRPr="00CD5714">
        <w:rPr>
          <w:rFonts w:ascii="Arial" w:hAnsi="Arial" w:cs="Arial"/>
          <w:color w:val="000000"/>
          <w:sz w:val="20"/>
          <w:szCs w:val="20"/>
          <w:lang w:val="en-GB"/>
        </w:rPr>
        <w:t>16</w:t>
      </w:r>
      <w:r w:rsidR="0011557E" w:rsidRPr="002D2F67">
        <w:rPr>
          <w:rFonts w:ascii="Arial" w:hAnsi="Arial" w:cs="Arial"/>
          <w:color w:val="000000"/>
          <w:sz w:val="20"/>
          <w:szCs w:val="20"/>
        </w:rPr>
        <w:tab/>
        <w:t>Financial liabilities</w:t>
      </w:r>
    </w:p>
    <w:p w14:paraId="60A3F1AE" w14:textId="77777777" w:rsidR="0011557E" w:rsidRPr="002D2F67" w:rsidRDefault="0011557E" w:rsidP="005611FE">
      <w:pPr>
        <w:pStyle w:val="ListParagraph"/>
        <w:spacing w:after="0" w:line="240" w:lineRule="auto"/>
        <w:ind w:left="540"/>
        <w:jc w:val="both"/>
        <w:rPr>
          <w:rFonts w:ascii="Arial" w:hAnsi="Arial" w:cs="Arial"/>
          <w:color w:val="000000"/>
          <w:spacing w:val="-2"/>
          <w:sz w:val="20"/>
          <w:szCs w:val="20"/>
        </w:rPr>
      </w:pPr>
    </w:p>
    <w:bookmarkEnd w:id="1"/>
    <w:p w14:paraId="3B80AF88" w14:textId="226E9A81" w:rsidR="00642D9D" w:rsidRPr="002D2F67" w:rsidRDefault="00CD5714" w:rsidP="00100E48">
      <w:pPr>
        <w:pStyle w:val="HeadSub1-5EA"/>
        <w:ind w:left="630" w:hanging="630"/>
        <w:outlineLvl w:val="2"/>
        <w:rPr>
          <w:rFonts w:ascii="Arial" w:hAnsi="Arial" w:cs="Arial"/>
          <w:b w:val="0"/>
          <w:bCs w:val="0"/>
          <w:color w:val="000000"/>
          <w:spacing w:val="-6"/>
          <w:sz w:val="20"/>
          <w:szCs w:val="20"/>
        </w:rPr>
      </w:pPr>
      <w:r w:rsidRPr="00CD5714">
        <w:rPr>
          <w:rFonts w:ascii="Arial" w:hAnsi="Arial" w:cs="Arial"/>
          <w:b w:val="0"/>
          <w:bCs w:val="0"/>
          <w:color w:val="000000"/>
          <w:spacing w:val="-6"/>
          <w:sz w:val="20"/>
          <w:szCs w:val="20"/>
          <w:lang w:val="en-GB"/>
        </w:rPr>
        <w:t>5</w:t>
      </w:r>
      <w:r w:rsidR="00642D9D" w:rsidRPr="002D2F67">
        <w:rPr>
          <w:rFonts w:ascii="Arial" w:hAnsi="Arial" w:cs="Arial"/>
          <w:b w:val="0"/>
          <w:bCs w:val="0"/>
          <w:color w:val="000000"/>
          <w:spacing w:val="-6"/>
          <w:sz w:val="20"/>
          <w:szCs w:val="20"/>
        </w:rPr>
        <w:t>.</w:t>
      </w:r>
      <w:r w:rsidRPr="00CD5714">
        <w:rPr>
          <w:rFonts w:ascii="Arial" w:hAnsi="Arial" w:cs="Arial"/>
          <w:b w:val="0"/>
          <w:bCs w:val="0"/>
          <w:color w:val="000000"/>
          <w:spacing w:val="-6"/>
          <w:sz w:val="20"/>
          <w:szCs w:val="20"/>
          <w:lang w:val="en-GB"/>
        </w:rPr>
        <w:t>16</w:t>
      </w:r>
      <w:r w:rsidR="00642D9D" w:rsidRPr="002D2F67">
        <w:rPr>
          <w:rFonts w:ascii="Arial" w:hAnsi="Arial" w:cs="Arial"/>
          <w:b w:val="0"/>
          <w:bCs w:val="0"/>
          <w:color w:val="000000"/>
          <w:spacing w:val="-6"/>
          <w:sz w:val="20"/>
          <w:szCs w:val="20"/>
        </w:rPr>
        <w:t>.</w:t>
      </w:r>
      <w:r w:rsidRPr="00CD5714">
        <w:rPr>
          <w:rFonts w:ascii="Arial" w:hAnsi="Arial" w:cs="Arial"/>
          <w:b w:val="0"/>
          <w:bCs w:val="0"/>
          <w:color w:val="000000"/>
          <w:spacing w:val="-6"/>
          <w:sz w:val="20"/>
          <w:szCs w:val="20"/>
          <w:lang w:val="en-GB"/>
        </w:rPr>
        <w:t>1</w:t>
      </w:r>
      <w:r w:rsidR="008C77C3" w:rsidRPr="002D2F67">
        <w:rPr>
          <w:rFonts w:ascii="Arial" w:hAnsi="Arial" w:cs="Arial"/>
          <w:b w:val="0"/>
          <w:bCs w:val="0"/>
          <w:color w:val="000000"/>
          <w:spacing w:val="-6"/>
          <w:sz w:val="20"/>
          <w:szCs w:val="20"/>
        </w:rPr>
        <w:tab/>
      </w:r>
      <w:r w:rsidR="00642D9D" w:rsidRPr="002D2F67">
        <w:rPr>
          <w:rFonts w:ascii="Arial" w:hAnsi="Arial" w:cs="Arial"/>
          <w:b w:val="0"/>
          <w:bCs w:val="0"/>
          <w:color w:val="000000"/>
          <w:sz w:val="20"/>
          <w:szCs w:val="20"/>
        </w:rPr>
        <w:t>Classification</w:t>
      </w:r>
    </w:p>
    <w:p w14:paraId="52DAC601" w14:textId="77777777" w:rsidR="007B1E05" w:rsidRPr="002D2F67" w:rsidRDefault="007B1E05" w:rsidP="00100E48">
      <w:pPr>
        <w:pStyle w:val="ListParagraph"/>
        <w:spacing w:after="0" w:line="240" w:lineRule="auto"/>
        <w:ind w:left="630"/>
        <w:jc w:val="both"/>
        <w:rPr>
          <w:rFonts w:ascii="Arial" w:hAnsi="Arial" w:cs="Arial"/>
          <w:color w:val="000000"/>
          <w:spacing w:val="-2"/>
          <w:sz w:val="20"/>
          <w:szCs w:val="20"/>
        </w:rPr>
      </w:pPr>
    </w:p>
    <w:p w14:paraId="2DEAE6C9" w14:textId="77777777" w:rsidR="00642D9D" w:rsidRPr="002D2F67" w:rsidRDefault="00642D9D" w:rsidP="00100E48">
      <w:pPr>
        <w:pStyle w:val="ListParagraph"/>
        <w:spacing w:after="0" w:line="240" w:lineRule="auto"/>
        <w:ind w:left="630"/>
        <w:jc w:val="both"/>
        <w:rPr>
          <w:rFonts w:ascii="Arial" w:hAnsi="Arial" w:cs="Arial"/>
          <w:color w:val="000000"/>
          <w:spacing w:val="-2"/>
          <w:sz w:val="20"/>
          <w:szCs w:val="20"/>
        </w:rPr>
      </w:pPr>
      <w:r w:rsidRPr="002D2F67">
        <w:rPr>
          <w:rFonts w:ascii="Arial" w:hAnsi="Arial" w:cs="Arial"/>
          <w:color w:val="000000"/>
          <w:spacing w:val="-2"/>
          <w:sz w:val="20"/>
          <w:szCs w:val="20"/>
        </w:rPr>
        <w:t>Financial instruments issued by the Group are classified as either financial liabilities or equity securities by considering contractual obligations.</w:t>
      </w:r>
    </w:p>
    <w:p w14:paraId="07F4347E" w14:textId="77777777" w:rsidR="00470488" w:rsidRPr="002D2F67" w:rsidRDefault="00470488" w:rsidP="00100E48">
      <w:pPr>
        <w:pStyle w:val="ListParagraph"/>
        <w:spacing w:after="0" w:line="240" w:lineRule="auto"/>
        <w:ind w:left="630"/>
        <w:jc w:val="both"/>
        <w:rPr>
          <w:rFonts w:ascii="Arial" w:hAnsi="Arial" w:cs="Arial"/>
          <w:color w:val="000000"/>
          <w:spacing w:val="-2"/>
          <w:sz w:val="20"/>
          <w:szCs w:val="20"/>
        </w:rPr>
      </w:pPr>
    </w:p>
    <w:p w14:paraId="3E8E8384" w14:textId="4F9D9472" w:rsidR="00642D9D" w:rsidRPr="002D2F67" w:rsidRDefault="00CD5714" w:rsidP="00100E48">
      <w:pPr>
        <w:pStyle w:val="HeadSub1-5EA"/>
        <w:ind w:left="630" w:hanging="630"/>
        <w:outlineLvl w:val="2"/>
        <w:rPr>
          <w:rFonts w:ascii="Arial" w:hAnsi="Arial" w:cs="Arial"/>
          <w:b w:val="0"/>
          <w:bCs w:val="0"/>
          <w:color w:val="000000"/>
          <w:spacing w:val="-6"/>
          <w:sz w:val="20"/>
          <w:szCs w:val="20"/>
        </w:rPr>
      </w:pPr>
      <w:r w:rsidRPr="00CD5714">
        <w:rPr>
          <w:rFonts w:ascii="Arial" w:hAnsi="Arial" w:cs="Arial"/>
          <w:b w:val="0"/>
          <w:bCs w:val="0"/>
          <w:color w:val="000000"/>
          <w:spacing w:val="-6"/>
          <w:sz w:val="20"/>
          <w:szCs w:val="20"/>
          <w:lang w:val="en-GB"/>
        </w:rPr>
        <w:t>5</w:t>
      </w:r>
      <w:r w:rsidR="00642D9D" w:rsidRPr="002D2F67">
        <w:rPr>
          <w:rFonts w:ascii="Arial" w:hAnsi="Arial" w:cs="Arial"/>
          <w:b w:val="0"/>
          <w:bCs w:val="0"/>
          <w:color w:val="000000"/>
          <w:spacing w:val="-6"/>
          <w:sz w:val="20"/>
          <w:szCs w:val="20"/>
        </w:rPr>
        <w:t>.</w:t>
      </w:r>
      <w:r w:rsidRPr="00CD5714">
        <w:rPr>
          <w:rFonts w:ascii="Arial" w:hAnsi="Arial" w:cs="Arial"/>
          <w:b w:val="0"/>
          <w:bCs w:val="0"/>
          <w:color w:val="000000"/>
          <w:spacing w:val="-6"/>
          <w:sz w:val="20"/>
          <w:szCs w:val="20"/>
          <w:lang w:val="en-GB"/>
        </w:rPr>
        <w:t>16</w:t>
      </w:r>
      <w:r w:rsidR="00642D9D" w:rsidRPr="002D2F67">
        <w:rPr>
          <w:rFonts w:ascii="Arial" w:hAnsi="Arial" w:cs="Arial"/>
          <w:b w:val="0"/>
          <w:bCs w:val="0"/>
          <w:color w:val="000000"/>
          <w:spacing w:val="-6"/>
          <w:sz w:val="20"/>
          <w:szCs w:val="20"/>
        </w:rPr>
        <w:t>.</w:t>
      </w:r>
      <w:r w:rsidRPr="00CD5714">
        <w:rPr>
          <w:rFonts w:ascii="Arial" w:hAnsi="Arial" w:cs="Arial"/>
          <w:b w:val="0"/>
          <w:bCs w:val="0"/>
          <w:color w:val="000000"/>
          <w:spacing w:val="-6"/>
          <w:sz w:val="20"/>
          <w:szCs w:val="20"/>
          <w:lang w:val="en-GB"/>
        </w:rPr>
        <w:t>2</w:t>
      </w:r>
      <w:r w:rsidR="008C77C3" w:rsidRPr="002D2F67">
        <w:rPr>
          <w:rFonts w:ascii="Arial" w:hAnsi="Arial" w:cs="Arial"/>
          <w:b w:val="0"/>
          <w:bCs w:val="0"/>
          <w:color w:val="000000"/>
          <w:spacing w:val="-6"/>
          <w:sz w:val="20"/>
          <w:szCs w:val="20"/>
        </w:rPr>
        <w:tab/>
      </w:r>
      <w:r w:rsidR="00642D9D" w:rsidRPr="002D2F67">
        <w:rPr>
          <w:rFonts w:ascii="Arial" w:hAnsi="Arial" w:cs="Arial"/>
          <w:b w:val="0"/>
          <w:bCs w:val="0"/>
          <w:color w:val="000000"/>
          <w:sz w:val="20"/>
          <w:szCs w:val="20"/>
        </w:rPr>
        <w:t>Measurement</w:t>
      </w:r>
    </w:p>
    <w:p w14:paraId="7C582C33" w14:textId="77777777" w:rsidR="00642D9D" w:rsidRPr="002D2F67" w:rsidRDefault="00642D9D" w:rsidP="00100E48">
      <w:pPr>
        <w:pStyle w:val="ListParagraph"/>
        <w:spacing w:after="0" w:line="240" w:lineRule="auto"/>
        <w:ind w:left="630"/>
        <w:jc w:val="both"/>
        <w:rPr>
          <w:rFonts w:ascii="Arial" w:hAnsi="Arial" w:cs="Arial"/>
          <w:color w:val="000000"/>
          <w:spacing w:val="-2"/>
          <w:sz w:val="20"/>
          <w:szCs w:val="20"/>
        </w:rPr>
      </w:pPr>
    </w:p>
    <w:p w14:paraId="5DA4AB25" w14:textId="77777777" w:rsidR="00642D9D" w:rsidRPr="002D2F67" w:rsidRDefault="00642D9D" w:rsidP="00100E48">
      <w:pPr>
        <w:pStyle w:val="ListParagraph"/>
        <w:spacing w:after="0" w:line="240" w:lineRule="auto"/>
        <w:ind w:left="630"/>
        <w:jc w:val="both"/>
        <w:rPr>
          <w:rFonts w:ascii="Arial" w:hAnsi="Arial" w:cs="Arial"/>
          <w:color w:val="000000"/>
          <w:spacing w:val="-4"/>
          <w:sz w:val="20"/>
          <w:szCs w:val="20"/>
        </w:rPr>
      </w:pPr>
      <w:r w:rsidRPr="002D2F67">
        <w:rPr>
          <w:rFonts w:ascii="Arial" w:hAnsi="Arial" w:cs="Arial"/>
          <w:color w:val="000000"/>
          <w:spacing w:val="-4"/>
          <w:sz w:val="20"/>
          <w:szCs w:val="20"/>
        </w:rPr>
        <w:t>Financial liabilities are initially recognised at fair value and are subsequently measured at amortised cost.</w:t>
      </w:r>
    </w:p>
    <w:p w14:paraId="114685C8" w14:textId="77777777" w:rsidR="00642D9D" w:rsidRPr="002D2F67" w:rsidRDefault="00642D9D" w:rsidP="00100E48">
      <w:pPr>
        <w:pStyle w:val="ListParagraph"/>
        <w:spacing w:after="0" w:line="240" w:lineRule="auto"/>
        <w:ind w:left="630"/>
        <w:jc w:val="both"/>
        <w:rPr>
          <w:rFonts w:ascii="Arial" w:hAnsi="Arial" w:cs="Arial"/>
          <w:color w:val="000000"/>
          <w:spacing w:val="-2"/>
          <w:sz w:val="20"/>
          <w:szCs w:val="20"/>
          <w:cs/>
        </w:rPr>
      </w:pPr>
    </w:p>
    <w:p w14:paraId="59870D3E" w14:textId="2D843E3B" w:rsidR="00642D9D" w:rsidRPr="002D2F67" w:rsidRDefault="00CD5714" w:rsidP="00100E48">
      <w:pPr>
        <w:pStyle w:val="HeadSub1-5EA"/>
        <w:ind w:left="630" w:hanging="630"/>
        <w:outlineLvl w:val="2"/>
        <w:rPr>
          <w:rFonts w:ascii="Arial" w:hAnsi="Arial" w:cs="Arial"/>
          <w:b w:val="0"/>
          <w:bCs w:val="0"/>
          <w:color w:val="000000"/>
          <w:spacing w:val="-6"/>
          <w:sz w:val="20"/>
          <w:szCs w:val="20"/>
        </w:rPr>
      </w:pPr>
      <w:r w:rsidRPr="00CD5714">
        <w:rPr>
          <w:rFonts w:ascii="Arial" w:hAnsi="Arial" w:cs="Arial"/>
          <w:b w:val="0"/>
          <w:bCs w:val="0"/>
          <w:color w:val="000000"/>
          <w:spacing w:val="-6"/>
          <w:sz w:val="20"/>
          <w:szCs w:val="20"/>
          <w:lang w:val="en-GB"/>
        </w:rPr>
        <w:t>5</w:t>
      </w:r>
      <w:r w:rsidR="00642D9D" w:rsidRPr="002D2F67">
        <w:rPr>
          <w:rFonts w:ascii="Arial" w:hAnsi="Arial" w:cs="Arial"/>
          <w:b w:val="0"/>
          <w:bCs w:val="0"/>
          <w:color w:val="000000"/>
          <w:spacing w:val="-6"/>
          <w:sz w:val="20"/>
          <w:szCs w:val="20"/>
        </w:rPr>
        <w:t>.</w:t>
      </w:r>
      <w:r w:rsidRPr="00CD5714">
        <w:rPr>
          <w:rFonts w:ascii="Arial" w:hAnsi="Arial" w:cs="Arial"/>
          <w:b w:val="0"/>
          <w:bCs w:val="0"/>
          <w:color w:val="000000"/>
          <w:spacing w:val="-6"/>
          <w:sz w:val="20"/>
          <w:szCs w:val="20"/>
          <w:lang w:val="en-GB"/>
        </w:rPr>
        <w:t>16</w:t>
      </w:r>
      <w:r w:rsidR="00642D9D" w:rsidRPr="002D2F67">
        <w:rPr>
          <w:rFonts w:ascii="Arial" w:hAnsi="Arial" w:cs="Arial"/>
          <w:b w:val="0"/>
          <w:bCs w:val="0"/>
          <w:color w:val="000000"/>
          <w:spacing w:val="-6"/>
          <w:sz w:val="20"/>
          <w:szCs w:val="20"/>
        </w:rPr>
        <w:t>.</w:t>
      </w:r>
      <w:r w:rsidRPr="00CD5714">
        <w:rPr>
          <w:rFonts w:ascii="Arial" w:hAnsi="Arial" w:cs="Arial"/>
          <w:b w:val="0"/>
          <w:bCs w:val="0"/>
          <w:color w:val="000000"/>
          <w:spacing w:val="-6"/>
          <w:sz w:val="20"/>
          <w:szCs w:val="20"/>
          <w:lang w:val="en-GB"/>
        </w:rPr>
        <w:t>3</w:t>
      </w:r>
      <w:r w:rsidR="008C77C3" w:rsidRPr="002D2F67">
        <w:rPr>
          <w:rFonts w:ascii="Arial" w:hAnsi="Arial" w:cs="Arial"/>
          <w:b w:val="0"/>
          <w:bCs w:val="0"/>
          <w:color w:val="000000"/>
          <w:spacing w:val="-6"/>
          <w:sz w:val="20"/>
          <w:szCs w:val="20"/>
        </w:rPr>
        <w:tab/>
      </w:r>
      <w:r w:rsidR="00642D9D" w:rsidRPr="002D2F67">
        <w:rPr>
          <w:rFonts w:ascii="Arial" w:hAnsi="Arial" w:cs="Arial"/>
          <w:b w:val="0"/>
          <w:bCs w:val="0"/>
          <w:color w:val="000000"/>
          <w:sz w:val="20"/>
          <w:szCs w:val="20"/>
        </w:rPr>
        <w:t>Derecognition</w:t>
      </w:r>
      <w:r w:rsidR="00642D9D" w:rsidRPr="002D2F67">
        <w:rPr>
          <w:rFonts w:ascii="Arial" w:hAnsi="Arial" w:cs="Arial"/>
          <w:b w:val="0"/>
          <w:bCs w:val="0"/>
          <w:color w:val="000000"/>
          <w:sz w:val="20"/>
          <w:szCs w:val="20"/>
          <w:cs/>
        </w:rPr>
        <w:t xml:space="preserve"> </w:t>
      </w:r>
      <w:r w:rsidR="00642D9D" w:rsidRPr="002D2F67">
        <w:rPr>
          <w:rFonts w:ascii="Arial" w:hAnsi="Arial" w:cs="Arial"/>
          <w:b w:val="0"/>
          <w:bCs w:val="0"/>
          <w:color w:val="000000"/>
          <w:sz w:val="20"/>
          <w:szCs w:val="20"/>
        </w:rPr>
        <w:t>and modification</w:t>
      </w:r>
      <w:r w:rsidR="00642D9D" w:rsidRPr="002D2F67">
        <w:rPr>
          <w:rFonts w:ascii="Arial" w:hAnsi="Arial" w:cs="Arial"/>
          <w:b w:val="0"/>
          <w:bCs w:val="0"/>
          <w:color w:val="000000"/>
          <w:spacing w:val="-6"/>
          <w:sz w:val="20"/>
          <w:szCs w:val="20"/>
        </w:rPr>
        <w:t xml:space="preserve"> </w:t>
      </w:r>
    </w:p>
    <w:p w14:paraId="2D13D738" w14:textId="77777777" w:rsidR="00642D9D" w:rsidRPr="002D2F67" w:rsidRDefault="00642D9D" w:rsidP="00100E48">
      <w:pPr>
        <w:pStyle w:val="ListParagraph"/>
        <w:spacing w:after="0" w:line="240" w:lineRule="auto"/>
        <w:ind w:left="630"/>
        <w:jc w:val="both"/>
        <w:rPr>
          <w:rFonts w:ascii="Arial" w:hAnsi="Arial" w:cs="Arial"/>
          <w:color w:val="000000"/>
          <w:spacing w:val="-2"/>
          <w:sz w:val="20"/>
          <w:szCs w:val="20"/>
        </w:rPr>
      </w:pPr>
    </w:p>
    <w:p w14:paraId="6D34550F" w14:textId="77777777" w:rsidR="00642D9D" w:rsidRPr="002D2F67" w:rsidRDefault="00642D9D" w:rsidP="00100E48">
      <w:pPr>
        <w:pStyle w:val="ListParagraph"/>
        <w:spacing w:after="0" w:line="240" w:lineRule="auto"/>
        <w:ind w:left="630"/>
        <w:jc w:val="both"/>
        <w:rPr>
          <w:rFonts w:ascii="Arial" w:hAnsi="Arial" w:cs="Arial"/>
          <w:color w:val="000000"/>
          <w:spacing w:val="-2"/>
          <w:sz w:val="20"/>
          <w:szCs w:val="20"/>
        </w:rPr>
      </w:pPr>
      <w:r w:rsidRPr="002D2F67">
        <w:rPr>
          <w:rFonts w:ascii="Arial" w:hAnsi="Arial" w:cs="Arial"/>
          <w:color w:val="000000"/>
          <w:spacing w:val="-6"/>
          <w:sz w:val="20"/>
          <w:szCs w:val="20"/>
        </w:rPr>
        <w:t>Financial liabilities are derecognised when the obligation specified in the contract is discharged, cancelled,</w:t>
      </w:r>
      <w:r w:rsidRPr="002D2F67">
        <w:rPr>
          <w:rFonts w:ascii="Arial" w:hAnsi="Arial" w:cs="Arial"/>
          <w:color w:val="000000"/>
          <w:spacing w:val="-2"/>
          <w:sz w:val="20"/>
          <w:szCs w:val="20"/>
        </w:rPr>
        <w:t xml:space="preserve"> or expired. </w:t>
      </w:r>
    </w:p>
    <w:p w14:paraId="0BB018DD" w14:textId="77777777" w:rsidR="00642D9D" w:rsidRPr="002D2F67" w:rsidRDefault="00642D9D" w:rsidP="00100E48">
      <w:pPr>
        <w:pStyle w:val="ListParagraph"/>
        <w:spacing w:after="0" w:line="240" w:lineRule="auto"/>
        <w:ind w:left="630"/>
        <w:jc w:val="both"/>
        <w:rPr>
          <w:rFonts w:ascii="Arial" w:hAnsi="Arial" w:cs="Arial"/>
          <w:color w:val="000000"/>
          <w:spacing w:val="-2"/>
          <w:sz w:val="20"/>
          <w:szCs w:val="20"/>
        </w:rPr>
      </w:pPr>
    </w:p>
    <w:p w14:paraId="7DB685DC" w14:textId="02406308" w:rsidR="00642D9D" w:rsidRPr="002D2F67" w:rsidRDefault="00642D9D" w:rsidP="00100E48">
      <w:pPr>
        <w:pStyle w:val="ListParagraph"/>
        <w:spacing w:after="0" w:line="240" w:lineRule="auto"/>
        <w:ind w:left="630"/>
        <w:jc w:val="both"/>
        <w:rPr>
          <w:rFonts w:ascii="Arial" w:hAnsi="Arial" w:cs="Arial"/>
          <w:color w:val="000000"/>
          <w:spacing w:val="-2"/>
          <w:sz w:val="20"/>
          <w:szCs w:val="20"/>
        </w:rPr>
      </w:pPr>
      <w:r w:rsidRPr="002D2F67">
        <w:rPr>
          <w:rFonts w:ascii="Arial" w:hAnsi="Arial" w:cs="Arial"/>
          <w:color w:val="000000"/>
          <w:spacing w:val="-2"/>
          <w:sz w:val="20"/>
          <w:szCs w:val="20"/>
        </w:rPr>
        <w:t>Where the terms of a financial liability are renegotiated</w:t>
      </w:r>
      <w:r w:rsidR="007C1303" w:rsidRPr="002D2F67">
        <w:rPr>
          <w:rFonts w:ascii="Arial" w:hAnsi="Arial" w:cs="Arial"/>
          <w:color w:val="000000"/>
          <w:spacing w:val="-2"/>
          <w:sz w:val="20"/>
          <w:szCs w:val="20"/>
        </w:rPr>
        <w:t xml:space="preserve"> or </w:t>
      </w:r>
      <w:r w:rsidRPr="002D2F67">
        <w:rPr>
          <w:rFonts w:ascii="Arial" w:hAnsi="Arial" w:cs="Arial"/>
          <w:color w:val="000000"/>
          <w:spacing w:val="-2"/>
          <w:sz w:val="20"/>
          <w:szCs w:val="20"/>
        </w:rPr>
        <w:t xml:space="preserve">modified, the Group assesses whether the </w:t>
      </w:r>
      <w:r w:rsidRPr="002D2F67">
        <w:rPr>
          <w:rFonts w:ascii="Arial" w:hAnsi="Arial" w:cs="Arial"/>
          <w:color w:val="000000"/>
          <w:spacing w:val="-6"/>
          <w:sz w:val="20"/>
          <w:szCs w:val="20"/>
        </w:rPr>
        <w:t>renegotiation</w:t>
      </w:r>
      <w:r w:rsidR="007C1303" w:rsidRPr="002D2F67">
        <w:rPr>
          <w:rFonts w:ascii="Arial" w:hAnsi="Arial" w:cs="Arial"/>
          <w:color w:val="000000"/>
          <w:spacing w:val="-6"/>
          <w:sz w:val="20"/>
          <w:szCs w:val="20"/>
        </w:rPr>
        <w:t xml:space="preserve"> or </w:t>
      </w:r>
      <w:r w:rsidRPr="002D2F67">
        <w:rPr>
          <w:rFonts w:ascii="Arial" w:hAnsi="Arial" w:cs="Arial"/>
          <w:color w:val="000000"/>
          <w:spacing w:val="-6"/>
          <w:sz w:val="20"/>
          <w:szCs w:val="20"/>
        </w:rPr>
        <w:t>modification results in the derecognition of that financial liability. Where the modification</w:t>
      </w:r>
      <w:r w:rsidRPr="002D2F67">
        <w:rPr>
          <w:rFonts w:ascii="Arial" w:hAnsi="Arial" w:cs="Arial"/>
          <w:color w:val="000000"/>
          <w:spacing w:val="-2"/>
          <w:sz w:val="20"/>
          <w:szCs w:val="20"/>
        </w:rPr>
        <w:t xml:space="preserve"> </w:t>
      </w:r>
      <w:r w:rsidRPr="002D2F67">
        <w:rPr>
          <w:rFonts w:ascii="Arial" w:hAnsi="Arial" w:cs="Arial"/>
          <w:color w:val="000000"/>
          <w:spacing w:val="-4"/>
          <w:sz w:val="20"/>
          <w:szCs w:val="20"/>
        </w:rPr>
        <w:t>results in an extinguishment, the new financial liability is recognised based on fair value of its obligation.</w:t>
      </w:r>
      <w:r w:rsidRPr="002D2F67">
        <w:rPr>
          <w:rFonts w:ascii="Arial" w:hAnsi="Arial" w:cs="Arial"/>
          <w:color w:val="000000"/>
          <w:spacing w:val="-2"/>
          <w:sz w:val="20"/>
          <w:szCs w:val="20"/>
        </w:rPr>
        <w:t xml:space="preserve"> The remaining carrying amount of financial liability is derecognised. The difference as well as proceed paid is recognised as other gains</w:t>
      </w:r>
      <w:r w:rsidR="00702321" w:rsidRPr="002D2F67">
        <w:rPr>
          <w:rFonts w:ascii="Arial" w:hAnsi="Arial" w:cs="Arial"/>
          <w:color w:val="000000"/>
          <w:spacing w:val="-2"/>
          <w:sz w:val="20"/>
          <w:szCs w:val="20"/>
        </w:rPr>
        <w:t xml:space="preserve"> </w:t>
      </w:r>
      <w:r w:rsidRPr="002D2F67">
        <w:rPr>
          <w:rFonts w:ascii="Arial" w:hAnsi="Arial" w:cs="Arial"/>
          <w:color w:val="000000"/>
          <w:spacing w:val="-2"/>
          <w:sz w:val="20"/>
          <w:szCs w:val="20"/>
        </w:rPr>
        <w:t xml:space="preserve">(losses) in profit or loss. </w:t>
      </w:r>
    </w:p>
    <w:p w14:paraId="5E3A563C" w14:textId="77777777" w:rsidR="00642D9D" w:rsidRPr="002D2F67" w:rsidRDefault="00642D9D" w:rsidP="00100E48">
      <w:pPr>
        <w:pStyle w:val="ListParagraph"/>
        <w:spacing w:after="0" w:line="240" w:lineRule="auto"/>
        <w:ind w:left="630"/>
        <w:jc w:val="both"/>
        <w:rPr>
          <w:rFonts w:ascii="Arial" w:hAnsi="Arial" w:cs="Arial"/>
          <w:color w:val="000000"/>
          <w:spacing w:val="-2"/>
          <w:sz w:val="20"/>
          <w:szCs w:val="20"/>
        </w:rPr>
      </w:pPr>
    </w:p>
    <w:p w14:paraId="4C2263E2" w14:textId="77777777" w:rsidR="00234E59" w:rsidRPr="002D2F67" w:rsidRDefault="00642D9D" w:rsidP="00100E48">
      <w:pPr>
        <w:pStyle w:val="ListParagraph"/>
        <w:spacing w:after="0" w:line="240" w:lineRule="auto"/>
        <w:ind w:left="630"/>
        <w:jc w:val="both"/>
        <w:rPr>
          <w:rFonts w:ascii="Arial" w:hAnsi="Arial" w:cs="Arial"/>
          <w:color w:val="000000"/>
          <w:sz w:val="20"/>
          <w:szCs w:val="20"/>
        </w:rPr>
      </w:pPr>
      <w:r w:rsidRPr="002D2F67">
        <w:rPr>
          <w:rFonts w:ascii="Arial" w:hAnsi="Arial" w:cs="Arial"/>
          <w:color w:val="000000"/>
          <w:sz w:val="20"/>
          <w:szCs w:val="20"/>
        </w:rPr>
        <w:t>Where the modification does not result in the derecognition of the financial liability</w:t>
      </w:r>
      <w:r w:rsidR="007C1303" w:rsidRPr="002D2F67">
        <w:rPr>
          <w:rFonts w:ascii="Arial" w:hAnsi="Arial" w:cs="Arial"/>
          <w:color w:val="000000"/>
          <w:sz w:val="20"/>
          <w:szCs w:val="20"/>
        </w:rPr>
        <w:t xml:space="preserve"> or</w:t>
      </w:r>
      <w:r w:rsidRPr="002D2F67">
        <w:rPr>
          <w:rFonts w:ascii="Arial" w:hAnsi="Arial" w:cs="Arial"/>
          <w:color w:val="000000"/>
          <w:sz w:val="20"/>
          <w:szCs w:val="20"/>
        </w:rPr>
        <w:t xml:space="preserve"> the carrying amount of the financial liability is recalculated as the present value of the renegotiated </w:t>
      </w:r>
      <w:r w:rsidR="007C1303" w:rsidRPr="002D2F67">
        <w:rPr>
          <w:rFonts w:ascii="Arial" w:hAnsi="Arial" w:cs="Arial"/>
          <w:color w:val="000000"/>
          <w:sz w:val="20"/>
          <w:szCs w:val="20"/>
        </w:rPr>
        <w:t>or</w:t>
      </w:r>
      <w:r w:rsidRPr="002D2F67">
        <w:rPr>
          <w:rFonts w:ascii="Arial" w:hAnsi="Arial" w:cs="Arial"/>
          <w:color w:val="000000"/>
          <w:sz w:val="20"/>
          <w:szCs w:val="20"/>
        </w:rPr>
        <w:t xml:space="preserve"> modified contractual cash flows discounted at its original effective interest rate. The difference is recognised in other gains</w:t>
      </w:r>
      <w:r w:rsidR="00702321" w:rsidRPr="002D2F67">
        <w:rPr>
          <w:rFonts w:ascii="Arial" w:hAnsi="Arial" w:cs="Arial"/>
          <w:color w:val="000000"/>
          <w:sz w:val="20"/>
          <w:szCs w:val="20"/>
        </w:rPr>
        <w:t xml:space="preserve"> (</w:t>
      </w:r>
      <w:r w:rsidRPr="002D2F67">
        <w:rPr>
          <w:rFonts w:ascii="Arial" w:hAnsi="Arial" w:cs="Arial"/>
          <w:color w:val="000000"/>
          <w:sz w:val="20"/>
          <w:szCs w:val="20"/>
        </w:rPr>
        <w:t>losses</w:t>
      </w:r>
      <w:r w:rsidR="00702321" w:rsidRPr="002D2F67">
        <w:rPr>
          <w:rFonts w:ascii="Arial" w:hAnsi="Arial" w:cs="Arial"/>
          <w:color w:val="000000"/>
          <w:sz w:val="20"/>
          <w:szCs w:val="20"/>
        </w:rPr>
        <w:t>)</w:t>
      </w:r>
      <w:r w:rsidRPr="002D2F67">
        <w:rPr>
          <w:rFonts w:ascii="Arial" w:hAnsi="Arial" w:cs="Arial"/>
          <w:color w:val="000000"/>
          <w:sz w:val="20"/>
          <w:szCs w:val="20"/>
        </w:rPr>
        <w:t xml:space="preserve"> in profit or loss.</w:t>
      </w:r>
    </w:p>
    <w:p w14:paraId="2C27BB83" w14:textId="39C3C47A" w:rsidR="00A334E9" w:rsidRPr="002D2F67" w:rsidRDefault="00100E48" w:rsidP="00234E59">
      <w:pPr>
        <w:pStyle w:val="ListParagraph"/>
        <w:spacing w:after="0" w:line="240" w:lineRule="auto"/>
        <w:ind w:left="560"/>
        <w:jc w:val="both"/>
        <w:rPr>
          <w:rFonts w:ascii="Arial" w:hAnsi="Arial" w:cs="Arial"/>
          <w:color w:val="000000"/>
          <w:sz w:val="20"/>
          <w:szCs w:val="20"/>
        </w:rPr>
      </w:pPr>
      <w:r w:rsidRPr="002D2F67">
        <w:rPr>
          <w:rFonts w:ascii="Arial" w:hAnsi="Arial" w:cs="Arial"/>
          <w:color w:val="000000"/>
          <w:spacing w:val="-2"/>
          <w:sz w:val="20"/>
          <w:szCs w:val="20"/>
        </w:rPr>
        <w:br w:type="page"/>
      </w:r>
    </w:p>
    <w:p w14:paraId="35E4F8D9" w14:textId="2E68191E" w:rsidR="00FE37B6" w:rsidRPr="002D2F67" w:rsidRDefault="00CD5714" w:rsidP="00100E48">
      <w:pPr>
        <w:pStyle w:val="HeadSub1-5EA"/>
        <w:ind w:left="630" w:hanging="630"/>
        <w:rPr>
          <w:rFonts w:ascii="Arial" w:hAnsi="Arial" w:cs="Arial"/>
          <w:color w:val="000000"/>
          <w:sz w:val="20"/>
          <w:szCs w:val="20"/>
        </w:rPr>
      </w:pPr>
      <w:r w:rsidRPr="00CD5714">
        <w:rPr>
          <w:rFonts w:ascii="Arial" w:hAnsi="Arial" w:cs="Arial"/>
          <w:color w:val="000000"/>
          <w:sz w:val="20"/>
          <w:szCs w:val="20"/>
          <w:lang w:val="en-GB"/>
        </w:rPr>
        <w:t>5</w:t>
      </w:r>
      <w:r w:rsidR="00FE37B6" w:rsidRPr="002D2F67">
        <w:rPr>
          <w:rFonts w:ascii="Arial" w:hAnsi="Arial" w:cs="Arial"/>
          <w:color w:val="000000"/>
          <w:sz w:val="20"/>
          <w:szCs w:val="20"/>
        </w:rPr>
        <w:t>.</w:t>
      </w:r>
      <w:r w:rsidRPr="00CD5714">
        <w:rPr>
          <w:rFonts w:ascii="Arial" w:hAnsi="Arial" w:cs="Arial"/>
          <w:color w:val="000000"/>
          <w:sz w:val="20"/>
          <w:szCs w:val="20"/>
          <w:lang w:val="en-GB"/>
        </w:rPr>
        <w:t>1</w:t>
      </w:r>
      <w:r w:rsidRPr="00CD5714">
        <w:rPr>
          <w:rFonts w:ascii="Arial" w:hAnsi="Arial" w:cs="Arial"/>
          <w:color w:val="000000"/>
          <w:sz w:val="20"/>
          <w:szCs w:val="25"/>
          <w:lang w:val="en-GB"/>
        </w:rPr>
        <w:t>7</w:t>
      </w:r>
      <w:r w:rsidR="00FE37B6" w:rsidRPr="002D2F67">
        <w:rPr>
          <w:rFonts w:ascii="Arial" w:hAnsi="Arial" w:cs="Arial"/>
          <w:color w:val="000000"/>
          <w:sz w:val="20"/>
          <w:szCs w:val="20"/>
        </w:rPr>
        <w:tab/>
        <w:t>Current and deferred income taxes</w:t>
      </w:r>
    </w:p>
    <w:p w14:paraId="2C2B5C39" w14:textId="77777777" w:rsidR="00FE37B6" w:rsidRPr="002D2F67" w:rsidRDefault="00FE37B6" w:rsidP="00100E48">
      <w:pPr>
        <w:ind w:left="630"/>
        <w:rPr>
          <w:rFonts w:ascii="Arial" w:hAnsi="Arial" w:cs="Arial"/>
          <w:color w:val="000000"/>
          <w:sz w:val="20"/>
          <w:szCs w:val="20"/>
        </w:rPr>
      </w:pPr>
    </w:p>
    <w:p w14:paraId="6F5D6AE8" w14:textId="77777777" w:rsidR="003C018B" w:rsidRPr="002D2F67" w:rsidRDefault="003C018B" w:rsidP="00100E48">
      <w:pPr>
        <w:pStyle w:val="ListParagraph"/>
        <w:spacing w:after="0" w:line="240" w:lineRule="auto"/>
        <w:ind w:left="630"/>
        <w:jc w:val="both"/>
        <w:rPr>
          <w:rFonts w:ascii="Arial" w:hAnsi="Arial" w:cs="Arial"/>
          <w:color w:val="000000"/>
          <w:spacing w:val="-2"/>
          <w:sz w:val="20"/>
          <w:szCs w:val="20"/>
        </w:rPr>
      </w:pPr>
      <w:r w:rsidRPr="002D2F67">
        <w:rPr>
          <w:rFonts w:ascii="Arial" w:hAnsi="Arial" w:cs="Arial"/>
          <w:color w:val="000000"/>
          <w:spacing w:val="-2"/>
          <w:sz w:val="20"/>
          <w:szCs w:val="20"/>
        </w:rPr>
        <w:t xml:space="preserve">The tax expense for the period comprises current and deferred tax. </w:t>
      </w:r>
    </w:p>
    <w:p w14:paraId="6DDB388C" w14:textId="77777777" w:rsidR="003C018B" w:rsidRPr="002D2F67" w:rsidRDefault="003C018B" w:rsidP="00100E48">
      <w:pPr>
        <w:pStyle w:val="ListParagraph"/>
        <w:spacing w:after="0" w:line="240" w:lineRule="auto"/>
        <w:ind w:left="630"/>
        <w:jc w:val="both"/>
        <w:rPr>
          <w:rFonts w:ascii="Arial" w:hAnsi="Arial" w:cs="Arial"/>
          <w:color w:val="000000"/>
          <w:spacing w:val="-2"/>
          <w:sz w:val="20"/>
          <w:szCs w:val="20"/>
        </w:rPr>
      </w:pPr>
    </w:p>
    <w:p w14:paraId="0E153864" w14:textId="0A167C27" w:rsidR="003C018B" w:rsidRPr="002D2F67" w:rsidRDefault="003C018B" w:rsidP="00100E48">
      <w:pPr>
        <w:pStyle w:val="ListParagraph"/>
        <w:spacing w:after="0" w:line="240" w:lineRule="auto"/>
        <w:ind w:left="630"/>
        <w:jc w:val="both"/>
        <w:rPr>
          <w:rFonts w:ascii="Arial" w:hAnsi="Arial" w:cs="Arial"/>
          <w:color w:val="000000"/>
          <w:spacing w:val="-2"/>
          <w:sz w:val="20"/>
          <w:szCs w:val="20"/>
        </w:rPr>
      </w:pPr>
      <w:r w:rsidRPr="002D2F67">
        <w:rPr>
          <w:rFonts w:ascii="Arial" w:hAnsi="Arial" w:cs="Arial"/>
          <w:color w:val="000000"/>
          <w:spacing w:val="-2"/>
          <w:sz w:val="20"/>
          <w:szCs w:val="20"/>
        </w:rPr>
        <w:t xml:space="preserve">The current income tax is calculated </w:t>
      </w:r>
      <w:proofErr w:type="gramStart"/>
      <w:r w:rsidRPr="002D2F67">
        <w:rPr>
          <w:rFonts w:ascii="Arial" w:hAnsi="Arial" w:cs="Arial"/>
          <w:color w:val="000000"/>
          <w:spacing w:val="-2"/>
          <w:sz w:val="20"/>
          <w:szCs w:val="20"/>
        </w:rPr>
        <w:t>on the basis of</w:t>
      </w:r>
      <w:proofErr w:type="gramEnd"/>
      <w:r w:rsidRPr="002D2F67">
        <w:rPr>
          <w:rFonts w:ascii="Arial" w:hAnsi="Arial" w:cs="Arial"/>
          <w:color w:val="000000"/>
          <w:spacing w:val="-2"/>
          <w:sz w:val="20"/>
          <w:szCs w:val="20"/>
        </w:rPr>
        <w:t xml:space="preserve"> the tax laws enacted or substanti</w:t>
      </w:r>
      <w:r w:rsidR="00A25FC3" w:rsidRPr="002D2F67">
        <w:rPr>
          <w:rFonts w:ascii="Arial" w:hAnsi="Arial" w:cs="Arial"/>
          <w:color w:val="000000"/>
          <w:spacing w:val="-2"/>
          <w:sz w:val="20"/>
          <w:szCs w:val="20"/>
        </w:rPr>
        <w:t>al</w:t>
      </w:r>
      <w:r w:rsidRPr="002D2F67">
        <w:rPr>
          <w:rFonts w:ascii="Arial" w:hAnsi="Arial" w:cs="Arial"/>
          <w:color w:val="000000"/>
          <w:spacing w:val="-2"/>
          <w:sz w:val="20"/>
          <w:szCs w:val="20"/>
        </w:rPr>
        <w:t>ly enacted at the end of the reporting period.</w:t>
      </w:r>
    </w:p>
    <w:p w14:paraId="5F210C99" w14:textId="77777777" w:rsidR="003C018B" w:rsidRPr="002D2F67" w:rsidRDefault="003C018B" w:rsidP="00100E48">
      <w:pPr>
        <w:pStyle w:val="ListParagraph"/>
        <w:spacing w:after="0" w:line="240" w:lineRule="auto"/>
        <w:ind w:left="630"/>
        <w:jc w:val="both"/>
        <w:rPr>
          <w:rFonts w:ascii="Arial" w:hAnsi="Arial" w:cs="Arial"/>
          <w:color w:val="000000"/>
          <w:spacing w:val="-2"/>
          <w:sz w:val="20"/>
          <w:szCs w:val="20"/>
        </w:rPr>
      </w:pPr>
    </w:p>
    <w:p w14:paraId="11ED333C" w14:textId="38AFE9D6" w:rsidR="003C018B" w:rsidRPr="002D2F67" w:rsidRDefault="003C018B" w:rsidP="00100E48">
      <w:pPr>
        <w:pStyle w:val="ListParagraph"/>
        <w:spacing w:after="0" w:line="240" w:lineRule="auto"/>
        <w:ind w:left="630"/>
        <w:jc w:val="both"/>
        <w:rPr>
          <w:rFonts w:ascii="Arial" w:hAnsi="Arial" w:cs="Arial"/>
          <w:color w:val="000000"/>
          <w:spacing w:val="-2"/>
          <w:sz w:val="20"/>
          <w:szCs w:val="20"/>
        </w:rPr>
      </w:pPr>
      <w:r w:rsidRPr="002D2F67">
        <w:rPr>
          <w:rFonts w:ascii="Arial" w:hAnsi="Arial" w:cs="Arial"/>
          <w:color w:val="000000"/>
          <w:spacing w:val="-2"/>
          <w:sz w:val="20"/>
          <w:szCs w:val="20"/>
        </w:rPr>
        <w:t>Deferred tax assets and liabilities are offset when there is a legally enforceable right to offset current tax assets and liabilities and where the deferred tax balances relate to the same tax authority. Current tax assets and tax liabilities are offset where the entity has a legally enforceable right to offset and intends either to settle on a net basis, or to realise the asset and settle the liability simultaneously.</w:t>
      </w:r>
    </w:p>
    <w:p w14:paraId="53D33C9E" w14:textId="77777777" w:rsidR="003C018B" w:rsidRPr="002D2F67" w:rsidRDefault="003C018B" w:rsidP="00100E48">
      <w:pPr>
        <w:pStyle w:val="ListParagraph"/>
        <w:spacing w:after="0" w:line="240" w:lineRule="auto"/>
        <w:ind w:left="630"/>
        <w:jc w:val="both"/>
        <w:rPr>
          <w:rFonts w:ascii="Arial" w:hAnsi="Arial" w:cs="Arial"/>
          <w:color w:val="000000"/>
          <w:spacing w:val="-2"/>
          <w:sz w:val="20"/>
          <w:szCs w:val="20"/>
        </w:rPr>
      </w:pPr>
    </w:p>
    <w:p w14:paraId="69C95F99" w14:textId="3B54E851" w:rsidR="003C018B" w:rsidRPr="002D2F67" w:rsidRDefault="003C018B" w:rsidP="00100E48">
      <w:pPr>
        <w:pStyle w:val="ListParagraph"/>
        <w:spacing w:after="0" w:line="240" w:lineRule="auto"/>
        <w:ind w:left="630"/>
        <w:jc w:val="both"/>
        <w:rPr>
          <w:rFonts w:ascii="Arial" w:hAnsi="Arial" w:cs="Arial"/>
          <w:color w:val="000000"/>
          <w:spacing w:val="-2"/>
          <w:sz w:val="20"/>
          <w:szCs w:val="20"/>
        </w:rPr>
      </w:pPr>
      <w:r w:rsidRPr="002D2F67">
        <w:rPr>
          <w:rFonts w:ascii="Arial" w:hAnsi="Arial" w:cs="Arial"/>
          <w:color w:val="000000"/>
          <w:spacing w:val="-2"/>
          <w:sz w:val="20"/>
          <w:szCs w:val="20"/>
        </w:rPr>
        <w:t>Deferred income tax is recognised on temporary differences arising from differences between the tax base of assets and liabilities and their carrying amounts in the financial statements. Deferred income tax is determined using tax rates (and laws) that have been enacted or substant</w:t>
      </w:r>
      <w:r w:rsidR="00A25FC3" w:rsidRPr="002D2F67">
        <w:rPr>
          <w:rFonts w:ascii="Arial" w:hAnsi="Arial" w:cs="Arial"/>
          <w:color w:val="000000"/>
          <w:spacing w:val="-2"/>
          <w:sz w:val="20"/>
          <w:szCs w:val="20"/>
        </w:rPr>
        <w:t>iall</w:t>
      </w:r>
      <w:r w:rsidRPr="002D2F67">
        <w:rPr>
          <w:rFonts w:ascii="Arial" w:hAnsi="Arial" w:cs="Arial"/>
          <w:color w:val="000000"/>
          <w:spacing w:val="-2"/>
          <w:sz w:val="20"/>
          <w:szCs w:val="20"/>
        </w:rPr>
        <w:t xml:space="preserve">y enacted by the end of the reporting period and are expected to apply when the related deferred income tax asset is </w:t>
      </w:r>
      <w:proofErr w:type="gramStart"/>
      <w:r w:rsidRPr="002D2F67">
        <w:rPr>
          <w:rFonts w:ascii="Arial" w:hAnsi="Arial" w:cs="Arial"/>
          <w:color w:val="000000"/>
          <w:spacing w:val="-2"/>
          <w:sz w:val="20"/>
          <w:szCs w:val="20"/>
        </w:rPr>
        <w:t>realised</w:t>
      </w:r>
      <w:proofErr w:type="gramEnd"/>
      <w:r w:rsidRPr="002D2F67">
        <w:rPr>
          <w:rFonts w:ascii="Arial" w:hAnsi="Arial" w:cs="Arial"/>
          <w:color w:val="000000"/>
          <w:spacing w:val="-2"/>
          <w:sz w:val="20"/>
          <w:szCs w:val="20"/>
        </w:rPr>
        <w:t xml:space="preserve"> or the deferred income tax liability is settled.</w:t>
      </w:r>
    </w:p>
    <w:p w14:paraId="6D65677E" w14:textId="77777777" w:rsidR="003C018B" w:rsidRPr="002D2F67" w:rsidRDefault="003C018B" w:rsidP="00100E48">
      <w:pPr>
        <w:pStyle w:val="ListParagraph"/>
        <w:spacing w:after="0" w:line="240" w:lineRule="auto"/>
        <w:ind w:left="630"/>
        <w:jc w:val="both"/>
        <w:rPr>
          <w:rFonts w:ascii="Arial" w:hAnsi="Arial" w:cs="Arial"/>
          <w:color w:val="000000"/>
          <w:spacing w:val="-2"/>
          <w:sz w:val="20"/>
          <w:szCs w:val="20"/>
        </w:rPr>
      </w:pPr>
    </w:p>
    <w:p w14:paraId="18C4FB66" w14:textId="4E661FC8" w:rsidR="009E51CD" w:rsidRPr="002D2F67" w:rsidRDefault="003C018B" w:rsidP="00100E48">
      <w:pPr>
        <w:pStyle w:val="ListParagraph"/>
        <w:spacing w:after="0" w:line="240" w:lineRule="auto"/>
        <w:ind w:left="630"/>
        <w:jc w:val="both"/>
        <w:rPr>
          <w:rFonts w:ascii="Arial" w:hAnsi="Arial" w:cs="Arial"/>
          <w:color w:val="000000"/>
          <w:spacing w:val="-2"/>
          <w:sz w:val="20"/>
          <w:szCs w:val="25"/>
        </w:rPr>
      </w:pPr>
      <w:r w:rsidRPr="002D2F67">
        <w:rPr>
          <w:rFonts w:ascii="Arial" w:hAnsi="Arial" w:cs="Arial"/>
          <w:color w:val="000000"/>
          <w:spacing w:val="-2"/>
          <w:sz w:val="20"/>
          <w:szCs w:val="20"/>
        </w:rPr>
        <w:t>Deferred tax assets are recognised only to the extent that it is probable that future taxable profit will be available against which the temporary differences can be utilised</w:t>
      </w:r>
      <w:r w:rsidRPr="002D2F67">
        <w:rPr>
          <w:rFonts w:ascii="Arial" w:hAnsi="Arial" w:cs="Arial"/>
          <w:color w:val="000000"/>
          <w:spacing w:val="-2"/>
          <w:sz w:val="20"/>
          <w:szCs w:val="25"/>
        </w:rPr>
        <w:t>.</w:t>
      </w:r>
    </w:p>
    <w:p w14:paraId="3BC67A83" w14:textId="0B515D2C" w:rsidR="001F750C" w:rsidRPr="002D2F67" w:rsidRDefault="001F750C" w:rsidP="00100E48">
      <w:pPr>
        <w:suppressAutoHyphens/>
        <w:ind w:left="630"/>
        <w:rPr>
          <w:rFonts w:ascii="Arial" w:hAnsi="Arial" w:cs="Arial"/>
          <w:color w:val="000000"/>
          <w:spacing w:val="-2"/>
          <w:sz w:val="20"/>
          <w:szCs w:val="20"/>
        </w:rPr>
      </w:pPr>
    </w:p>
    <w:p w14:paraId="7CAE84A7" w14:textId="506E765A" w:rsidR="00FE37B6" w:rsidRPr="002D2F67" w:rsidRDefault="00CD5714" w:rsidP="00100E48">
      <w:pPr>
        <w:pStyle w:val="HeadSub1-5EA"/>
        <w:ind w:left="630" w:hanging="630"/>
        <w:rPr>
          <w:rFonts w:ascii="Arial" w:hAnsi="Arial" w:cs="Arial"/>
          <w:color w:val="000000"/>
          <w:sz w:val="20"/>
          <w:szCs w:val="20"/>
        </w:rPr>
      </w:pPr>
      <w:r w:rsidRPr="00CD5714">
        <w:rPr>
          <w:rFonts w:ascii="Arial" w:hAnsi="Arial" w:cs="Arial"/>
          <w:color w:val="000000"/>
          <w:sz w:val="20"/>
          <w:szCs w:val="20"/>
          <w:lang w:val="en-GB"/>
        </w:rPr>
        <w:t>5</w:t>
      </w:r>
      <w:r w:rsidR="00FE37B6" w:rsidRPr="002D2F67">
        <w:rPr>
          <w:rFonts w:ascii="Arial" w:hAnsi="Arial" w:cs="Arial"/>
          <w:color w:val="000000"/>
          <w:sz w:val="20"/>
          <w:szCs w:val="20"/>
        </w:rPr>
        <w:t>.</w:t>
      </w:r>
      <w:r w:rsidRPr="00CD5714">
        <w:rPr>
          <w:rFonts w:ascii="Arial" w:hAnsi="Arial" w:cs="Arial"/>
          <w:color w:val="000000"/>
          <w:sz w:val="20"/>
          <w:szCs w:val="25"/>
          <w:lang w:val="en-GB"/>
        </w:rPr>
        <w:t>18</w:t>
      </w:r>
      <w:r w:rsidR="00FE37B6" w:rsidRPr="002D2F67">
        <w:rPr>
          <w:rFonts w:ascii="Arial" w:hAnsi="Arial" w:cs="Arial"/>
          <w:color w:val="000000"/>
          <w:sz w:val="20"/>
          <w:szCs w:val="20"/>
        </w:rPr>
        <w:tab/>
        <w:t>Provisions</w:t>
      </w:r>
    </w:p>
    <w:p w14:paraId="4E23F879" w14:textId="77777777" w:rsidR="00FC79B1" w:rsidRPr="002D2F67" w:rsidRDefault="00FC79B1" w:rsidP="005611FE">
      <w:pPr>
        <w:jc w:val="thaiDistribute"/>
        <w:rPr>
          <w:rFonts w:ascii="Arial" w:hAnsi="Arial" w:cs="Arial"/>
          <w:color w:val="000000"/>
          <w:sz w:val="20"/>
          <w:szCs w:val="20"/>
        </w:rPr>
      </w:pPr>
    </w:p>
    <w:p w14:paraId="550012E5" w14:textId="1E06B2A3" w:rsidR="00FE37B6" w:rsidRPr="002D2F67" w:rsidRDefault="00CD5714" w:rsidP="00100E48">
      <w:pPr>
        <w:pStyle w:val="HeadSub1-5EA"/>
        <w:ind w:left="630" w:hanging="630"/>
        <w:outlineLvl w:val="2"/>
        <w:rPr>
          <w:rFonts w:ascii="Arial" w:hAnsi="Arial" w:cs="Arial"/>
          <w:b w:val="0"/>
          <w:bCs w:val="0"/>
          <w:color w:val="000000"/>
          <w:spacing w:val="-6"/>
          <w:sz w:val="20"/>
          <w:szCs w:val="20"/>
        </w:rPr>
      </w:pPr>
      <w:r w:rsidRPr="00CD5714">
        <w:rPr>
          <w:rFonts w:ascii="Arial" w:hAnsi="Arial" w:cs="Arial"/>
          <w:b w:val="0"/>
          <w:bCs w:val="0"/>
          <w:color w:val="000000"/>
          <w:spacing w:val="-6"/>
          <w:sz w:val="20"/>
          <w:szCs w:val="20"/>
          <w:lang w:val="en-GB"/>
        </w:rPr>
        <w:t>5</w:t>
      </w:r>
      <w:r w:rsidR="00FE37B6" w:rsidRPr="002D2F67">
        <w:rPr>
          <w:rFonts w:ascii="Arial" w:hAnsi="Arial" w:cs="Arial"/>
          <w:b w:val="0"/>
          <w:bCs w:val="0"/>
          <w:color w:val="000000"/>
          <w:spacing w:val="-6"/>
          <w:sz w:val="20"/>
          <w:szCs w:val="20"/>
        </w:rPr>
        <w:t>.</w:t>
      </w:r>
      <w:r w:rsidRPr="00CD5714">
        <w:rPr>
          <w:rFonts w:ascii="Arial" w:hAnsi="Arial" w:cs="Arial"/>
          <w:b w:val="0"/>
          <w:bCs w:val="0"/>
          <w:color w:val="000000"/>
          <w:spacing w:val="-6"/>
          <w:sz w:val="20"/>
          <w:szCs w:val="20"/>
          <w:lang w:val="en-GB"/>
        </w:rPr>
        <w:t>18</w:t>
      </w:r>
      <w:r w:rsidR="00FE37B6" w:rsidRPr="002D2F67">
        <w:rPr>
          <w:rFonts w:ascii="Arial" w:hAnsi="Arial" w:cs="Arial"/>
          <w:b w:val="0"/>
          <w:bCs w:val="0"/>
          <w:color w:val="000000"/>
          <w:spacing w:val="-6"/>
          <w:sz w:val="20"/>
          <w:szCs w:val="20"/>
        </w:rPr>
        <w:t>.</w:t>
      </w:r>
      <w:r w:rsidRPr="00CD5714">
        <w:rPr>
          <w:rFonts w:ascii="Arial" w:hAnsi="Arial" w:cs="Arial"/>
          <w:b w:val="0"/>
          <w:bCs w:val="0"/>
          <w:color w:val="000000"/>
          <w:spacing w:val="-6"/>
          <w:sz w:val="20"/>
          <w:szCs w:val="20"/>
          <w:lang w:val="en-GB"/>
        </w:rPr>
        <w:t>1</w:t>
      </w:r>
      <w:r w:rsidR="00A77E58" w:rsidRPr="002D2F67">
        <w:rPr>
          <w:rFonts w:ascii="Arial" w:hAnsi="Arial" w:cs="Arial"/>
          <w:b w:val="0"/>
          <w:bCs w:val="0"/>
          <w:color w:val="000000"/>
          <w:spacing w:val="-6"/>
          <w:sz w:val="20"/>
          <w:szCs w:val="20"/>
        </w:rPr>
        <w:tab/>
      </w:r>
      <w:r w:rsidR="00FE37B6" w:rsidRPr="002D2F67">
        <w:rPr>
          <w:rFonts w:ascii="Arial" w:hAnsi="Arial" w:cs="Arial"/>
          <w:b w:val="0"/>
          <w:bCs w:val="0"/>
          <w:color w:val="000000"/>
          <w:sz w:val="20"/>
          <w:szCs w:val="20"/>
        </w:rPr>
        <w:t>General provisions</w:t>
      </w:r>
    </w:p>
    <w:p w14:paraId="7EE1CC54" w14:textId="77777777" w:rsidR="00FE37B6" w:rsidRPr="002D2F67" w:rsidRDefault="00FE37B6" w:rsidP="00100E48">
      <w:pPr>
        <w:ind w:left="630"/>
        <w:jc w:val="thaiDistribute"/>
        <w:rPr>
          <w:rFonts w:ascii="Arial" w:hAnsi="Arial" w:cs="Arial"/>
          <w:color w:val="000000"/>
          <w:sz w:val="20"/>
          <w:szCs w:val="20"/>
        </w:rPr>
      </w:pPr>
    </w:p>
    <w:p w14:paraId="3768BD5C" w14:textId="77777777" w:rsidR="00FE37B6" w:rsidRPr="002D2F67" w:rsidRDefault="00FE37B6" w:rsidP="00100E48">
      <w:pPr>
        <w:ind w:left="630"/>
        <w:jc w:val="thaiDistribute"/>
        <w:rPr>
          <w:rFonts w:ascii="Arial" w:hAnsi="Arial" w:cs="Arial"/>
          <w:color w:val="000000"/>
          <w:sz w:val="20"/>
          <w:szCs w:val="20"/>
        </w:rPr>
      </w:pPr>
      <w:r w:rsidRPr="002D2F67">
        <w:rPr>
          <w:rFonts w:ascii="Arial" w:hAnsi="Arial" w:cs="Arial"/>
          <w:color w:val="000000"/>
          <w:spacing w:val="-4"/>
          <w:sz w:val="20"/>
          <w:szCs w:val="20"/>
        </w:rPr>
        <w:t xml:space="preserve">Provisions are recognised when the Group has a present legal or constructive obligation </w:t>
      </w:r>
      <w:proofErr w:type="gramStart"/>
      <w:r w:rsidRPr="002D2F67">
        <w:rPr>
          <w:rFonts w:ascii="Arial" w:hAnsi="Arial" w:cs="Arial"/>
          <w:color w:val="000000"/>
          <w:spacing w:val="-4"/>
          <w:sz w:val="20"/>
          <w:szCs w:val="20"/>
        </w:rPr>
        <w:t>as a result of</w:t>
      </w:r>
      <w:proofErr w:type="gramEnd"/>
      <w:r w:rsidRPr="002D2F67">
        <w:rPr>
          <w:rFonts w:ascii="Arial" w:hAnsi="Arial" w:cs="Arial"/>
          <w:color w:val="000000"/>
          <w:spacing w:val="-4"/>
          <w:sz w:val="20"/>
          <w:szCs w:val="20"/>
        </w:rPr>
        <w:t xml:space="preserve"> past events; it is probable that an outflow of resources will be required to settle the obligation;</w:t>
      </w:r>
      <w:r w:rsidRPr="002D2F67">
        <w:rPr>
          <w:rFonts w:ascii="Arial" w:hAnsi="Arial" w:cs="Arial"/>
          <w:color w:val="000000"/>
          <w:sz w:val="20"/>
          <w:szCs w:val="20"/>
        </w:rPr>
        <w:t xml:space="preserve"> and the amount has been reliably estimated.</w:t>
      </w:r>
    </w:p>
    <w:p w14:paraId="48353C3A" w14:textId="77777777" w:rsidR="00FC79B1" w:rsidRPr="002D2F67" w:rsidRDefault="00FC79B1" w:rsidP="00100E48">
      <w:pPr>
        <w:ind w:left="630"/>
        <w:jc w:val="thaiDistribute"/>
        <w:rPr>
          <w:rFonts w:ascii="Arial" w:hAnsi="Arial" w:cs="Arial"/>
          <w:color w:val="000000"/>
          <w:sz w:val="20"/>
          <w:szCs w:val="20"/>
        </w:rPr>
      </w:pPr>
    </w:p>
    <w:p w14:paraId="3D5453B0" w14:textId="4F8AFD64" w:rsidR="00FE37B6" w:rsidRPr="002D2F67" w:rsidRDefault="00CD5714" w:rsidP="00100E48">
      <w:pPr>
        <w:pStyle w:val="HeadSub1-5EA"/>
        <w:ind w:left="630" w:hanging="630"/>
        <w:outlineLvl w:val="2"/>
        <w:rPr>
          <w:rFonts w:ascii="Arial" w:hAnsi="Arial" w:cs="Arial"/>
          <w:b w:val="0"/>
          <w:bCs w:val="0"/>
          <w:color w:val="000000"/>
          <w:spacing w:val="-6"/>
          <w:sz w:val="20"/>
          <w:szCs w:val="20"/>
        </w:rPr>
      </w:pPr>
      <w:r w:rsidRPr="00CD5714">
        <w:rPr>
          <w:rFonts w:ascii="Arial" w:hAnsi="Arial" w:cs="Arial"/>
          <w:b w:val="0"/>
          <w:bCs w:val="0"/>
          <w:color w:val="000000"/>
          <w:spacing w:val="-6"/>
          <w:sz w:val="20"/>
          <w:szCs w:val="20"/>
          <w:lang w:val="en-GB"/>
        </w:rPr>
        <w:t>5</w:t>
      </w:r>
      <w:r w:rsidR="00FE37B6" w:rsidRPr="002D2F67">
        <w:rPr>
          <w:rFonts w:ascii="Arial" w:hAnsi="Arial" w:cs="Arial"/>
          <w:b w:val="0"/>
          <w:bCs w:val="0"/>
          <w:color w:val="000000"/>
          <w:spacing w:val="-6"/>
          <w:sz w:val="20"/>
          <w:szCs w:val="20"/>
        </w:rPr>
        <w:t>.</w:t>
      </w:r>
      <w:r w:rsidRPr="00CD5714">
        <w:rPr>
          <w:rFonts w:ascii="Arial" w:hAnsi="Arial" w:cs="Arial"/>
          <w:b w:val="0"/>
          <w:bCs w:val="0"/>
          <w:color w:val="000000"/>
          <w:spacing w:val="-6"/>
          <w:sz w:val="20"/>
          <w:szCs w:val="20"/>
          <w:lang w:val="en-GB"/>
        </w:rPr>
        <w:t>18</w:t>
      </w:r>
      <w:r w:rsidR="00FE37B6" w:rsidRPr="002D2F67">
        <w:rPr>
          <w:rFonts w:ascii="Arial" w:hAnsi="Arial" w:cs="Arial"/>
          <w:b w:val="0"/>
          <w:bCs w:val="0"/>
          <w:color w:val="000000"/>
          <w:spacing w:val="-6"/>
          <w:sz w:val="20"/>
          <w:szCs w:val="20"/>
        </w:rPr>
        <w:t>.</w:t>
      </w:r>
      <w:r w:rsidRPr="00CD5714">
        <w:rPr>
          <w:rFonts w:ascii="Arial" w:hAnsi="Arial" w:cs="Arial"/>
          <w:b w:val="0"/>
          <w:bCs w:val="0"/>
          <w:color w:val="000000"/>
          <w:spacing w:val="-6"/>
          <w:sz w:val="20"/>
          <w:szCs w:val="20"/>
          <w:lang w:val="en-GB"/>
        </w:rPr>
        <w:t>2</w:t>
      </w:r>
      <w:r w:rsidR="00FE37B6" w:rsidRPr="002D2F67">
        <w:rPr>
          <w:rFonts w:ascii="Arial" w:hAnsi="Arial" w:cs="Arial"/>
          <w:b w:val="0"/>
          <w:bCs w:val="0"/>
          <w:color w:val="000000"/>
          <w:spacing w:val="-6"/>
          <w:sz w:val="20"/>
          <w:szCs w:val="20"/>
        </w:rPr>
        <w:tab/>
      </w:r>
      <w:r w:rsidR="00FE37B6" w:rsidRPr="002D2F67">
        <w:rPr>
          <w:rFonts w:ascii="Arial" w:hAnsi="Arial" w:cs="Arial"/>
          <w:b w:val="0"/>
          <w:bCs w:val="0"/>
          <w:color w:val="000000"/>
          <w:sz w:val="20"/>
          <w:szCs w:val="20"/>
        </w:rPr>
        <w:t>Provisions for decommissioning cost</w:t>
      </w:r>
    </w:p>
    <w:p w14:paraId="671B5FE0" w14:textId="77777777" w:rsidR="00FE37B6" w:rsidRPr="002D2F67" w:rsidRDefault="00FE37B6" w:rsidP="00100E48">
      <w:pPr>
        <w:ind w:left="630"/>
        <w:jc w:val="thaiDistribute"/>
        <w:rPr>
          <w:rFonts w:ascii="Arial" w:hAnsi="Arial" w:cs="Arial"/>
          <w:color w:val="000000"/>
          <w:sz w:val="20"/>
          <w:szCs w:val="20"/>
        </w:rPr>
      </w:pPr>
    </w:p>
    <w:p w14:paraId="203A0585" w14:textId="77777777" w:rsidR="00FE37B6" w:rsidRPr="002D2F67" w:rsidRDefault="00FE37B6" w:rsidP="00100E48">
      <w:pPr>
        <w:ind w:left="630"/>
        <w:jc w:val="thaiDistribute"/>
        <w:rPr>
          <w:rFonts w:ascii="Arial" w:hAnsi="Arial" w:cs="Arial"/>
          <w:color w:val="000000"/>
          <w:sz w:val="20"/>
          <w:szCs w:val="20"/>
        </w:rPr>
      </w:pPr>
      <w:r w:rsidRPr="002D2F67">
        <w:rPr>
          <w:rFonts w:ascii="Arial" w:hAnsi="Arial" w:cs="Arial"/>
          <w:color w:val="000000"/>
          <w:sz w:val="20"/>
          <w:szCs w:val="20"/>
        </w:rPr>
        <w:t>The Group recognises provision for decommissioning costs, which are provided at the onset of completion of the project, for the estimate of the eventual costs that relate to the removal of the power and water plants. The recognised provision</w:t>
      </w:r>
      <w:r w:rsidR="00F21FFC" w:rsidRPr="002D2F67">
        <w:rPr>
          <w:rFonts w:ascii="Arial" w:hAnsi="Arial" w:cs="Arial"/>
          <w:color w:val="000000"/>
          <w:sz w:val="20"/>
          <w:szCs w:val="20"/>
        </w:rPr>
        <w:t>s</w:t>
      </w:r>
      <w:r w:rsidRPr="002D2F67">
        <w:rPr>
          <w:rFonts w:ascii="Arial" w:hAnsi="Arial" w:cs="Arial"/>
          <w:color w:val="000000"/>
          <w:sz w:val="20"/>
          <w:szCs w:val="20"/>
        </w:rPr>
        <w:t xml:space="preserve"> for decommissioning costs </w:t>
      </w:r>
      <w:r w:rsidR="00F21FFC" w:rsidRPr="002D2F67">
        <w:rPr>
          <w:rFonts w:ascii="Arial" w:hAnsi="Arial" w:cs="Arial"/>
          <w:color w:val="000000"/>
          <w:sz w:val="20"/>
          <w:szCs w:val="20"/>
        </w:rPr>
        <w:t>are</w:t>
      </w:r>
      <w:r w:rsidRPr="002D2F67">
        <w:rPr>
          <w:rFonts w:ascii="Arial" w:hAnsi="Arial" w:cs="Arial"/>
          <w:color w:val="000000"/>
          <w:sz w:val="20"/>
          <w:szCs w:val="20"/>
        </w:rPr>
        <w:t xml:space="preserve"> based on future removal cost estimates and incorporate many assumptions such as abandonment times and future inflation rate and discounted to present value at the discount rate estimated by the management. Those costs are included as part of the </w:t>
      </w:r>
      <w:r w:rsidR="00DF4314" w:rsidRPr="002D2F67">
        <w:rPr>
          <w:rFonts w:ascii="Arial" w:hAnsi="Arial" w:cs="Arial"/>
          <w:color w:val="000000"/>
          <w:sz w:val="20"/>
          <w:szCs w:val="20"/>
        </w:rPr>
        <w:t>related assets</w:t>
      </w:r>
      <w:r w:rsidRPr="002D2F67">
        <w:rPr>
          <w:rFonts w:ascii="Arial" w:hAnsi="Arial" w:cs="Arial"/>
          <w:color w:val="000000"/>
          <w:sz w:val="20"/>
          <w:szCs w:val="20"/>
        </w:rPr>
        <w:t>.</w:t>
      </w:r>
    </w:p>
    <w:p w14:paraId="6CF27D6E" w14:textId="0C7847F6" w:rsidR="00470488" w:rsidRPr="002D2F67" w:rsidRDefault="00470488" w:rsidP="00100E48">
      <w:pPr>
        <w:ind w:left="630"/>
        <w:rPr>
          <w:rFonts w:ascii="Arial" w:hAnsi="Arial" w:cs="Arial"/>
          <w:color w:val="000000"/>
          <w:sz w:val="20"/>
          <w:szCs w:val="20"/>
        </w:rPr>
      </w:pPr>
    </w:p>
    <w:p w14:paraId="2DC2D50E" w14:textId="1680870D" w:rsidR="00FE37B6" w:rsidRPr="002D2F67" w:rsidRDefault="00CD5714" w:rsidP="00100E48">
      <w:pPr>
        <w:pStyle w:val="HeadSub1-5EA"/>
        <w:ind w:left="630" w:hanging="630"/>
        <w:rPr>
          <w:rFonts w:ascii="Arial" w:hAnsi="Arial" w:cs="Arial"/>
          <w:color w:val="000000"/>
          <w:sz w:val="20"/>
          <w:szCs w:val="20"/>
        </w:rPr>
      </w:pPr>
      <w:r w:rsidRPr="00CD5714">
        <w:rPr>
          <w:rFonts w:ascii="Arial" w:hAnsi="Arial" w:cs="Arial"/>
          <w:color w:val="000000"/>
          <w:sz w:val="20"/>
          <w:szCs w:val="20"/>
          <w:lang w:val="en-GB"/>
        </w:rPr>
        <w:t>5</w:t>
      </w:r>
      <w:r w:rsidR="00FE37B6" w:rsidRPr="002D2F67">
        <w:rPr>
          <w:rFonts w:ascii="Arial" w:hAnsi="Arial" w:cs="Arial"/>
          <w:color w:val="000000"/>
          <w:sz w:val="20"/>
          <w:szCs w:val="20"/>
        </w:rPr>
        <w:t>.</w:t>
      </w:r>
      <w:r w:rsidRPr="00CD5714">
        <w:rPr>
          <w:rFonts w:ascii="Arial" w:hAnsi="Arial" w:cs="Arial"/>
          <w:color w:val="000000"/>
          <w:sz w:val="20"/>
          <w:szCs w:val="20"/>
          <w:lang w:val="en-GB"/>
        </w:rPr>
        <w:t>19</w:t>
      </w:r>
      <w:r w:rsidR="00FE37B6" w:rsidRPr="002D2F67">
        <w:rPr>
          <w:rFonts w:ascii="Arial" w:hAnsi="Arial" w:cs="Arial"/>
          <w:color w:val="000000"/>
          <w:sz w:val="20"/>
          <w:szCs w:val="20"/>
        </w:rPr>
        <w:tab/>
        <w:t>Government grants</w:t>
      </w:r>
    </w:p>
    <w:p w14:paraId="267449BD" w14:textId="77777777" w:rsidR="00FE37B6" w:rsidRPr="002D2F67" w:rsidRDefault="00FE37B6" w:rsidP="00100E48">
      <w:pPr>
        <w:ind w:left="630"/>
        <w:jc w:val="both"/>
        <w:rPr>
          <w:rFonts w:ascii="Arial" w:hAnsi="Arial" w:cs="Arial"/>
          <w:color w:val="000000"/>
          <w:sz w:val="20"/>
          <w:szCs w:val="20"/>
        </w:rPr>
      </w:pPr>
    </w:p>
    <w:p w14:paraId="563D8E5B" w14:textId="487E6782" w:rsidR="00FE37B6" w:rsidRPr="002D2F67" w:rsidRDefault="007356BA" w:rsidP="00100E48">
      <w:pPr>
        <w:ind w:left="630"/>
        <w:jc w:val="both"/>
        <w:rPr>
          <w:rFonts w:ascii="Arial" w:hAnsi="Arial" w:cs="Arial"/>
          <w:color w:val="000000"/>
          <w:sz w:val="20"/>
          <w:szCs w:val="20"/>
        </w:rPr>
      </w:pPr>
      <w:r w:rsidRPr="002D2F67">
        <w:rPr>
          <w:rFonts w:ascii="Arial" w:hAnsi="Arial" w:cs="Arial"/>
          <w:color w:val="000000"/>
          <w:spacing w:val="-4"/>
          <w:sz w:val="20"/>
          <w:szCs w:val="20"/>
        </w:rPr>
        <w:t>G</w:t>
      </w:r>
      <w:r w:rsidR="00FE37B6" w:rsidRPr="002D2F67">
        <w:rPr>
          <w:rFonts w:ascii="Arial" w:hAnsi="Arial" w:cs="Arial"/>
          <w:color w:val="000000"/>
          <w:spacing w:val="-4"/>
          <w:sz w:val="20"/>
          <w:szCs w:val="20"/>
        </w:rPr>
        <w:t xml:space="preserve">rants from the government are recognised at their fair value where there is a reasonable assurance that the grant will be </w:t>
      </w:r>
      <w:r w:rsidR="00F21FFC" w:rsidRPr="002D2F67">
        <w:rPr>
          <w:rFonts w:ascii="Arial" w:hAnsi="Arial" w:cs="Arial"/>
          <w:color w:val="000000"/>
          <w:spacing w:val="-4"/>
          <w:sz w:val="20"/>
          <w:szCs w:val="20"/>
        </w:rPr>
        <w:t>received,</w:t>
      </w:r>
      <w:r w:rsidR="00FE37B6" w:rsidRPr="002D2F67">
        <w:rPr>
          <w:rFonts w:ascii="Arial" w:hAnsi="Arial" w:cs="Arial"/>
          <w:color w:val="000000"/>
          <w:spacing w:val="-4"/>
          <w:sz w:val="20"/>
          <w:szCs w:val="20"/>
        </w:rPr>
        <w:t xml:space="preserve"> and the Group will comply with all </w:t>
      </w:r>
      <w:r w:rsidRPr="002D2F67">
        <w:rPr>
          <w:rFonts w:ascii="Arial" w:hAnsi="Arial" w:cs="Arial"/>
          <w:color w:val="000000"/>
          <w:spacing w:val="-4"/>
          <w:sz w:val="20"/>
          <w:szCs w:val="20"/>
        </w:rPr>
        <w:t>grant’s</w:t>
      </w:r>
      <w:r w:rsidR="00FE37B6" w:rsidRPr="002D2F67">
        <w:rPr>
          <w:rFonts w:ascii="Arial" w:hAnsi="Arial" w:cs="Arial"/>
          <w:color w:val="000000"/>
          <w:spacing w:val="-4"/>
          <w:sz w:val="20"/>
          <w:szCs w:val="20"/>
        </w:rPr>
        <w:t xml:space="preserve"> conditions</w:t>
      </w:r>
      <w:r w:rsidR="00FE37B6" w:rsidRPr="002D2F67">
        <w:rPr>
          <w:rFonts w:ascii="Arial" w:hAnsi="Arial" w:cs="Arial"/>
          <w:color w:val="000000"/>
          <w:sz w:val="20"/>
          <w:szCs w:val="20"/>
        </w:rPr>
        <w:t>.</w:t>
      </w:r>
    </w:p>
    <w:p w14:paraId="128B29D4" w14:textId="77777777" w:rsidR="00FE37B6" w:rsidRPr="002D2F67" w:rsidRDefault="00FE37B6" w:rsidP="00100E48">
      <w:pPr>
        <w:ind w:left="630"/>
        <w:jc w:val="both"/>
        <w:rPr>
          <w:rFonts w:ascii="Arial" w:hAnsi="Arial" w:cs="Arial"/>
          <w:color w:val="000000"/>
          <w:sz w:val="20"/>
          <w:szCs w:val="20"/>
        </w:rPr>
      </w:pPr>
    </w:p>
    <w:p w14:paraId="7FD06BA6" w14:textId="77777777" w:rsidR="00FE37B6" w:rsidRPr="002D2F67" w:rsidRDefault="00FE37B6" w:rsidP="00100E48">
      <w:pPr>
        <w:ind w:left="630"/>
        <w:jc w:val="both"/>
        <w:rPr>
          <w:rFonts w:ascii="Arial" w:hAnsi="Arial" w:cs="Arial"/>
          <w:color w:val="000000"/>
          <w:sz w:val="20"/>
          <w:szCs w:val="20"/>
        </w:rPr>
      </w:pPr>
      <w:r w:rsidRPr="002D2F67">
        <w:rPr>
          <w:rFonts w:ascii="Arial" w:hAnsi="Arial" w:cs="Arial"/>
          <w:color w:val="000000"/>
          <w:sz w:val="20"/>
          <w:szCs w:val="20"/>
        </w:rPr>
        <w:t>The Group receives government grants relating to revenue as revenue from subsidy for adders in accordance with the Power Purchase Agreement with Electricity Generating Authority of Thailand and Provincial Electricity Authority. The compensation</w:t>
      </w:r>
      <w:r w:rsidR="00F21FFC" w:rsidRPr="002D2F67">
        <w:rPr>
          <w:rFonts w:ascii="Arial" w:hAnsi="Arial" w:cs="Arial"/>
          <w:color w:val="000000"/>
          <w:sz w:val="20"/>
          <w:szCs w:val="20"/>
        </w:rPr>
        <w:t>s</w:t>
      </w:r>
      <w:r w:rsidRPr="002D2F67">
        <w:rPr>
          <w:rFonts w:ascii="Arial" w:hAnsi="Arial" w:cs="Arial"/>
          <w:color w:val="000000"/>
          <w:sz w:val="20"/>
          <w:szCs w:val="20"/>
        </w:rPr>
        <w:t xml:space="preserve"> of costs </w:t>
      </w:r>
      <w:r w:rsidR="00F21FFC" w:rsidRPr="002D2F67">
        <w:rPr>
          <w:rFonts w:ascii="Arial" w:hAnsi="Arial" w:cs="Arial"/>
          <w:color w:val="000000"/>
          <w:sz w:val="20"/>
          <w:szCs w:val="20"/>
        </w:rPr>
        <w:t>are</w:t>
      </w:r>
      <w:r w:rsidRPr="002D2F67">
        <w:rPr>
          <w:rFonts w:ascii="Arial" w:hAnsi="Arial" w:cs="Arial"/>
          <w:color w:val="000000"/>
          <w:sz w:val="20"/>
          <w:szCs w:val="20"/>
        </w:rPr>
        <w:t xml:space="preserve"> deferred and recognised in profit or loss over the period necessary to match them with the costs they are intended to compensate and are presented as revenue from subsidy for adders.</w:t>
      </w:r>
    </w:p>
    <w:p w14:paraId="0EA1EB5A" w14:textId="469D75CA" w:rsidR="00915887" w:rsidRPr="002D2F67" w:rsidRDefault="00100E48" w:rsidP="005611FE">
      <w:pPr>
        <w:ind w:left="547"/>
        <w:jc w:val="both"/>
        <w:rPr>
          <w:rFonts w:ascii="Arial" w:hAnsi="Arial" w:cs="Arial"/>
          <w:color w:val="000000"/>
          <w:sz w:val="20"/>
          <w:szCs w:val="20"/>
        </w:rPr>
      </w:pPr>
      <w:r w:rsidRPr="002D2F67">
        <w:rPr>
          <w:rFonts w:ascii="Arial" w:hAnsi="Arial" w:cs="Arial"/>
          <w:color w:val="000000"/>
          <w:sz w:val="20"/>
          <w:szCs w:val="20"/>
        </w:rPr>
        <w:br w:type="page"/>
      </w:r>
    </w:p>
    <w:p w14:paraId="21D68B85" w14:textId="21F8B6AF" w:rsidR="00204416" w:rsidRPr="002D2F67" w:rsidRDefault="00CD5714" w:rsidP="005611FE">
      <w:pPr>
        <w:pStyle w:val="HeadSub1-5EA"/>
        <w:rPr>
          <w:rFonts w:ascii="Arial" w:hAnsi="Arial" w:cs="Arial"/>
          <w:color w:val="000000"/>
          <w:sz w:val="20"/>
          <w:szCs w:val="20"/>
        </w:rPr>
      </w:pPr>
      <w:r w:rsidRPr="00CD5714">
        <w:rPr>
          <w:rFonts w:ascii="Arial" w:hAnsi="Arial" w:cs="Arial"/>
          <w:color w:val="000000"/>
          <w:sz w:val="20"/>
          <w:szCs w:val="20"/>
          <w:lang w:val="en-GB"/>
        </w:rPr>
        <w:t>5</w:t>
      </w:r>
      <w:r w:rsidR="00204416" w:rsidRPr="002D2F67">
        <w:rPr>
          <w:rFonts w:ascii="Arial" w:hAnsi="Arial" w:cs="Arial"/>
          <w:color w:val="000000"/>
          <w:sz w:val="20"/>
          <w:szCs w:val="20"/>
        </w:rPr>
        <w:t>.</w:t>
      </w:r>
      <w:r w:rsidRPr="00CD5714">
        <w:rPr>
          <w:rFonts w:ascii="Arial" w:hAnsi="Arial" w:cs="Arial"/>
          <w:color w:val="000000"/>
          <w:sz w:val="20"/>
          <w:szCs w:val="20"/>
          <w:lang w:val="en-GB"/>
        </w:rPr>
        <w:t>20</w:t>
      </w:r>
      <w:r w:rsidR="00204416" w:rsidRPr="002D2F67">
        <w:rPr>
          <w:rFonts w:ascii="Arial" w:hAnsi="Arial" w:cs="Arial"/>
          <w:color w:val="000000"/>
          <w:sz w:val="20"/>
          <w:szCs w:val="20"/>
        </w:rPr>
        <w:tab/>
        <w:t>Revenue recognition</w:t>
      </w:r>
    </w:p>
    <w:p w14:paraId="3EB32E21" w14:textId="77777777" w:rsidR="00204416" w:rsidRPr="002D2F67" w:rsidRDefault="00204416" w:rsidP="005611FE">
      <w:pPr>
        <w:ind w:left="547"/>
        <w:jc w:val="both"/>
        <w:rPr>
          <w:rFonts w:ascii="Arial" w:hAnsi="Arial" w:cs="Arial"/>
          <w:color w:val="000000"/>
          <w:spacing w:val="-4"/>
          <w:sz w:val="20"/>
          <w:szCs w:val="20"/>
        </w:rPr>
      </w:pPr>
    </w:p>
    <w:p w14:paraId="7AFD8665" w14:textId="77777777" w:rsidR="00204416" w:rsidRPr="002D2F67" w:rsidRDefault="00204416" w:rsidP="005611FE">
      <w:pPr>
        <w:tabs>
          <w:tab w:val="left" w:pos="1290"/>
        </w:tabs>
        <w:ind w:left="547"/>
        <w:jc w:val="both"/>
        <w:rPr>
          <w:rFonts w:ascii="Arial" w:hAnsi="Arial" w:cs="Arial"/>
          <w:color w:val="000000"/>
          <w:sz w:val="20"/>
          <w:szCs w:val="20"/>
        </w:rPr>
      </w:pPr>
      <w:r w:rsidRPr="002D2F67">
        <w:rPr>
          <w:rFonts w:ascii="Arial" w:hAnsi="Arial" w:cs="Arial"/>
          <w:color w:val="000000"/>
          <w:spacing w:val="-4"/>
          <w:sz w:val="20"/>
          <w:szCs w:val="20"/>
        </w:rPr>
        <w:t>Revenues are recorded net of value added tax. They are recognised in accordance with the provision</w:t>
      </w:r>
      <w:r w:rsidRPr="002D2F67">
        <w:rPr>
          <w:rFonts w:ascii="Arial" w:hAnsi="Arial" w:cs="Arial"/>
          <w:color w:val="000000"/>
          <w:sz w:val="20"/>
          <w:szCs w:val="20"/>
        </w:rPr>
        <w:t xml:space="preserve"> of goods or services </w:t>
      </w:r>
      <w:proofErr w:type="gramStart"/>
      <w:r w:rsidRPr="002D2F67">
        <w:rPr>
          <w:rFonts w:ascii="Arial" w:hAnsi="Arial" w:cs="Arial"/>
          <w:color w:val="000000"/>
          <w:sz w:val="20"/>
          <w:szCs w:val="20"/>
        </w:rPr>
        <w:t>provided that</w:t>
      </w:r>
      <w:proofErr w:type="gramEnd"/>
      <w:r w:rsidRPr="002D2F67">
        <w:rPr>
          <w:rFonts w:ascii="Arial" w:hAnsi="Arial" w:cs="Arial"/>
          <w:color w:val="000000"/>
          <w:sz w:val="20"/>
          <w:szCs w:val="20"/>
        </w:rPr>
        <w:t xml:space="preserve"> collectability of the consideration is probable.</w:t>
      </w:r>
    </w:p>
    <w:p w14:paraId="6B19CBCC" w14:textId="77777777" w:rsidR="00204416" w:rsidRPr="002D2F67" w:rsidRDefault="00204416" w:rsidP="005611FE">
      <w:pPr>
        <w:tabs>
          <w:tab w:val="left" w:pos="1290"/>
        </w:tabs>
        <w:ind w:left="547"/>
        <w:jc w:val="both"/>
        <w:rPr>
          <w:rFonts w:ascii="Arial" w:hAnsi="Arial" w:cs="Arial"/>
          <w:color w:val="000000"/>
          <w:sz w:val="20"/>
          <w:szCs w:val="20"/>
        </w:rPr>
      </w:pPr>
    </w:p>
    <w:p w14:paraId="57AC3BBB" w14:textId="5A81C335" w:rsidR="00204416" w:rsidRPr="002D2F67" w:rsidRDefault="00355DF6" w:rsidP="005611FE">
      <w:pPr>
        <w:tabs>
          <w:tab w:val="left" w:pos="1290"/>
        </w:tabs>
        <w:ind w:left="547"/>
        <w:jc w:val="both"/>
        <w:rPr>
          <w:rFonts w:ascii="Arial" w:hAnsi="Arial" w:cs="Arial"/>
          <w:color w:val="000000"/>
          <w:sz w:val="20"/>
          <w:szCs w:val="20"/>
        </w:rPr>
      </w:pPr>
      <w:r w:rsidRPr="002D2F67">
        <w:rPr>
          <w:rFonts w:ascii="Arial" w:hAnsi="Arial" w:cs="Arial"/>
          <w:color w:val="000000"/>
          <w:sz w:val="20"/>
          <w:szCs w:val="20"/>
        </w:rPr>
        <w:t xml:space="preserve">The Group </w:t>
      </w:r>
      <w:r w:rsidR="00017E62">
        <w:rPr>
          <w:rFonts w:ascii="Arial" w:hAnsi="Arial" w:cs="Arial"/>
          <w:color w:val="000000"/>
          <w:sz w:val="20"/>
          <w:szCs w:val="20"/>
        </w:rPr>
        <w:t xml:space="preserve">separates </w:t>
      </w:r>
      <w:r w:rsidRPr="002D2F67">
        <w:rPr>
          <w:rFonts w:ascii="Arial" w:hAnsi="Arial" w:cs="Arial"/>
          <w:color w:val="000000"/>
          <w:sz w:val="20"/>
          <w:szCs w:val="20"/>
        </w:rPr>
        <w:t>m</w:t>
      </w:r>
      <w:r w:rsidR="00204416" w:rsidRPr="002D2F67">
        <w:rPr>
          <w:rFonts w:ascii="Arial" w:hAnsi="Arial" w:cs="Arial"/>
          <w:color w:val="000000"/>
          <w:sz w:val="20"/>
          <w:szCs w:val="20"/>
        </w:rPr>
        <w:t xml:space="preserve">ultiple element arrangements </w:t>
      </w:r>
      <w:r w:rsidRPr="002D2F67">
        <w:rPr>
          <w:rFonts w:ascii="Arial" w:hAnsi="Arial" w:cs="Arial"/>
          <w:color w:val="000000"/>
          <w:sz w:val="20"/>
          <w:szCs w:val="20"/>
        </w:rPr>
        <w:t xml:space="preserve">that </w:t>
      </w:r>
      <w:r w:rsidR="00204416" w:rsidRPr="002D2F67">
        <w:rPr>
          <w:rFonts w:ascii="Arial" w:hAnsi="Arial" w:cs="Arial"/>
          <w:color w:val="000000"/>
          <w:sz w:val="20"/>
          <w:szCs w:val="20"/>
        </w:rPr>
        <w:t>involv</w:t>
      </w:r>
      <w:r w:rsidR="000C0F5D" w:rsidRPr="002D2F67">
        <w:rPr>
          <w:rFonts w:ascii="Arial" w:hAnsi="Arial" w:cs="Arial"/>
          <w:color w:val="000000"/>
          <w:sz w:val="20"/>
          <w:szCs w:val="20"/>
        </w:rPr>
        <w:t>e the</w:t>
      </w:r>
      <w:r w:rsidR="00204416" w:rsidRPr="002D2F67">
        <w:rPr>
          <w:rFonts w:ascii="Arial" w:hAnsi="Arial" w:cs="Arial"/>
          <w:color w:val="000000"/>
          <w:sz w:val="20"/>
          <w:szCs w:val="20"/>
        </w:rPr>
        <w:t xml:space="preserve"> delivery or provision of multiple products or services into </w:t>
      </w:r>
      <w:r w:rsidR="000F0F8B" w:rsidRPr="002D2F67">
        <w:rPr>
          <w:rFonts w:ascii="Arial" w:hAnsi="Arial" w:cs="Arial"/>
          <w:color w:val="000000"/>
          <w:sz w:val="20"/>
          <w:szCs w:val="20"/>
        </w:rPr>
        <w:t xml:space="preserve">individual </w:t>
      </w:r>
      <w:r w:rsidR="00204416" w:rsidRPr="002D2F67">
        <w:rPr>
          <w:rFonts w:ascii="Arial" w:hAnsi="Arial" w:cs="Arial"/>
          <w:color w:val="000000"/>
          <w:sz w:val="20"/>
          <w:szCs w:val="20"/>
        </w:rPr>
        <w:t>distinct performance obligations. Total transaction price of the bundled contract is allocated to each performance obligation based on their relative standalone selling prices or estimated standalone selling prices. Each performance obligation is recognised as revenue on fulfilment of the obligation to the customer as follows:</w:t>
      </w:r>
    </w:p>
    <w:p w14:paraId="057C610F" w14:textId="77777777" w:rsidR="00204416" w:rsidRPr="002D2F67" w:rsidRDefault="00204416" w:rsidP="005611FE">
      <w:pPr>
        <w:tabs>
          <w:tab w:val="left" w:pos="1290"/>
        </w:tabs>
        <w:ind w:left="547"/>
        <w:jc w:val="both"/>
        <w:rPr>
          <w:rFonts w:ascii="Arial" w:hAnsi="Arial" w:cs="Arial"/>
          <w:color w:val="000000"/>
          <w:sz w:val="20"/>
          <w:szCs w:val="20"/>
        </w:rPr>
      </w:pPr>
    </w:p>
    <w:p w14:paraId="0FA4340D" w14:textId="77777777" w:rsidR="00204416" w:rsidRPr="002D2F67" w:rsidRDefault="00204416" w:rsidP="005611FE">
      <w:pPr>
        <w:pStyle w:val="HeadSub1-5EA"/>
        <w:ind w:left="546" w:firstLine="0"/>
        <w:outlineLvl w:val="2"/>
        <w:rPr>
          <w:rFonts w:ascii="Arial" w:hAnsi="Arial" w:cs="Arial"/>
          <w:b w:val="0"/>
          <w:bCs w:val="0"/>
          <w:i/>
          <w:iCs/>
          <w:color w:val="000000"/>
          <w:sz w:val="20"/>
          <w:szCs w:val="20"/>
        </w:rPr>
      </w:pPr>
      <w:r w:rsidRPr="002D2F67">
        <w:rPr>
          <w:rFonts w:ascii="Arial" w:hAnsi="Arial" w:cs="Arial"/>
          <w:b w:val="0"/>
          <w:bCs w:val="0"/>
          <w:i/>
          <w:iCs/>
          <w:color w:val="000000"/>
          <w:sz w:val="20"/>
          <w:szCs w:val="20"/>
        </w:rPr>
        <w:t>Sales of goods</w:t>
      </w:r>
    </w:p>
    <w:p w14:paraId="296D81A9" w14:textId="77777777" w:rsidR="00204416" w:rsidRPr="002D2F67" w:rsidRDefault="00204416" w:rsidP="005611FE">
      <w:pPr>
        <w:tabs>
          <w:tab w:val="left" w:pos="1290"/>
        </w:tabs>
        <w:ind w:left="547"/>
        <w:jc w:val="both"/>
        <w:rPr>
          <w:rFonts w:ascii="Arial" w:eastAsia="Arial Unicode MS" w:hAnsi="Arial" w:cs="Arial"/>
          <w:i/>
          <w:iCs/>
          <w:color w:val="000000"/>
          <w:sz w:val="20"/>
          <w:szCs w:val="20"/>
        </w:rPr>
      </w:pPr>
    </w:p>
    <w:p w14:paraId="6913E6F1" w14:textId="6FE0025C" w:rsidR="00702321" w:rsidRPr="002D2F67" w:rsidRDefault="00204416" w:rsidP="005611FE">
      <w:pPr>
        <w:tabs>
          <w:tab w:val="left" w:pos="1290"/>
        </w:tabs>
        <w:ind w:left="547"/>
        <w:jc w:val="both"/>
        <w:rPr>
          <w:rFonts w:ascii="Arial" w:hAnsi="Arial" w:cs="Arial"/>
          <w:color w:val="000000"/>
          <w:sz w:val="20"/>
          <w:szCs w:val="20"/>
        </w:rPr>
      </w:pPr>
      <w:r w:rsidRPr="002D2F67">
        <w:rPr>
          <w:rFonts w:ascii="Arial" w:hAnsi="Arial" w:cs="Arial"/>
          <w:color w:val="000000"/>
          <w:spacing w:val="-4"/>
          <w:sz w:val="20"/>
          <w:szCs w:val="20"/>
        </w:rPr>
        <w:t>Sales are recognised at a point in time when control of the products has transferred, being when the products are delivered to the destination as agreed in the contract. The revenue is recognised based on transaction price net of output tax, rebates and discount</w:t>
      </w:r>
      <w:r w:rsidRPr="002D2F67">
        <w:rPr>
          <w:rFonts w:ascii="Arial" w:hAnsi="Arial" w:cs="Arial"/>
          <w:color w:val="000000"/>
          <w:sz w:val="20"/>
          <w:szCs w:val="20"/>
        </w:rPr>
        <w:t>s.</w:t>
      </w:r>
    </w:p>
    <w:p w14:paraId="7FC782F2" w14:textId="23F7841D" w:rsidR="0049031A" w:rsidRPr="002D2F67" w:rsidRDefault="0049031A" w:rsidP="005611FE">
      <w:pPr>
        <w:tabs>
          <w:tab w:val="left" w:pos="1290"/>
        </w:tabs>
        <w:ind w:left="547"/>
        <w:jc w:val="both"/>
        <w:rPr>
          <w:rFonts w:ascii="Arial" w:hAnsi="Arial" w:cs="Arial"/>
          <w:color w:val="000000"/>
          <w:sz w:val="20"/>
          <w:szCs w:val="20"/>
        </w:rPr>
      </w:pPr>
    </w:p>
    <w:p w14:paraId="35639C4D" w14:textId="6563AE15" w:rsidR="0049031A" w:rsidRPr="002D2F67" w:rsidRDefault="0043029C" w:rsidP="005611FE">
      <w:pPr>
        <w:pStyle w:val="HeadSub1-5EA"/>
        <w:ind w:left="546" w:firstLine="0"/>
        <w:outlineLvl w:val="2"/>
        <w:rPr>
          <w:rFonts w:ascii="Arial" w:hAnsi="Arial" w:cs="Arial"/>
          <w:b w:val="0"/>
          <w:bCs w:val="0"/>
          <w:i/>
          <w:iCs/>
          <w:color w:val="000000"/>
          <w:sz w:val="20"/>
          <w:szCs w:val="20"/>
        </w:rPr>
      </w:pPr>
      <w:r w:rsidRPr="002D2F67">
        <w:rPr>
          <w:rFonts w:ascii="Arial" w:hAnsi="Arial" w:cs="Arial"/>
          <w:b w:val="0"/>
          <w:bCs w:val="0"/>
          <w:i/>
          <w:iCs/>
          <w:color w:val="000000"/>
          <w:sz w:val="20"/>
          <w:szCs w:val="20"/>
        </w:rPr>
        <w:t>Sales of services</w:t>
      </w:r>
    </w:p>
    <w:p w14:paraId="3C1A3E16" w14:textId="77777777" w:rsidR="003649F1" w:rsidRPr="002D2F67" w:rsidRDefault="003649F1" w:rsidP="005611FE">
      <w:pPr>
        <w:tabs>
          <w:tab w:val="left" w:pos="1290"/>
        </w:tabs>
        <w:ind w:left="547"/>
        <w:jc w:val="both"/>
        <w:rPr>
          <w:rFonts w:ascii="Arial" w:eastAsia="Arial Unicode MS" w:hAnsi="Arial" w:cs="Arial"/>
          <w:i/>
          <w:iCs/>
          <w:color w:val="000000"/>
          <w:sz w:val="20"/>
          <w:szCs w:val="20"/>
        </w:rPr>
      </w:pPr>
    </w:p>
    <w:p w14:paraId="3B8F8E62" w14:textId="7BDAD5BD" w:rsidR="00702321" w:rsidRPr="002D2F67" w:rsidRDefault="0043029C" w:rsidP="005611FE">
      <w:pPr>
        <w:tabs>
          <w:tab w:val="left" w:pos="1290"/>
        </w:tabs>
        <w:ind w:left="547"/>
        <w:jc w:val="both"/>
        <w:rPr>
          <w:rFonts w:ascii="Arial" w:hAnsi="Arial" w:cs="Arial"/>
          <w:color w:val="000000"/>
          <w:spacing w:val="-4"/>
          <w:sz w:val="20"/>
          <w:szCs w:val="20"/>
        </w:rPr>
      </w:pPr>
      <w:r w:rsidRPr="002D2F67">
        <w:rPr>
          <w:rFonts w:ascii="Arial" w:hAnsi="Arial" w:cs="Arial"/>
          <w:color w:val="000000"/>
          <w:spacing w:val="-4"/>
          <w:sz w:val="20"/>
          <w:szCs w:val="20"/>
        </w:rPr>
        <w:t xml:space="preserve">The Group recognised service contracts with a continuous service provision as revenue on a </w:t>
      </w:r>
      <w:r w:rsidR="00BF745A" w:rsidRPr="002D2F67">
        <w:rPr>
          <w:rFonts w:ascii="Arial" w:hAnsi="Arial" w:cs="Arial"/>
          <w:color w:val="000000"/>
          <w:spacing w:val="-4"/>
          <w:sz w:val="20"/>
          <w:szCs w:val="20"/>
        </w:rPr>
        <w:t>straight-line</w:t>
      </w:r>
      <w:r w:rsidRPr="002D2F67">
        <w:rPr>
          <w:rFonts w:ascii="Arial" w:hAnsi="Arial" w:cs="Arial"/>
          <w:color w:val="000000"/>
          <w:spacing w:val="-4"/>
          <w:sz w:val="20"/>
          <w:szCs w:val="20"/>
        </w:rPr>
        <w:t xml:space="preserve"> basis over the contract term, regardless of the payment pattern.</w:t>
      </w:r>
    </w:p>
    <w:p w14:paraId="0B56852A" w14:textId="77777777" w:rsidR="0043029C" w:rsidRPr="002D2F67" w:rsidRDefault="0043029C" w:rsidP="005611FE">
      <w:pPr>
        <w:tabs>
          <w:tab w:val="left" w:pos="1290"/>
        </w:tabs>
        <w:ind w:left="547"/>
        <w:jc w:val="both"/>
        <w:rPr>
          <w:rFonts w:ascii="Arial" w:hAnsi="Arial" w:cs="Arial"/>
          <w:color w:val="000000"/>
          <w:sz w:val="20"/>
          <w:szCs w:val="20"/>
        </w:rPr>
      </w:pPr>
    </w:p>
    <w:p w14:paraId="0D560F7C" w14:textId="77777777" w:rsidR="00204416" w:rsidRPr="002D2F67" w:rsidRDefault="00204416" w:rsidP="005611FE">
      <w:pPr>
        <w:pStyle w:val="HeadSub1-5EA"/>
        <w:ind w:left="546" w:firstLine="0"/>
        <w:outlineLvl w:val="2"/>
        <w:rPr>
          <w:rFonts w:ascii="Arial" w:eastAsia="Arial Unicode MS" w:hAnsi="Arial" w:cs="Arial"/>
          <w:i/>
          <w:iCs/>
          <w:color w:val="000000"/>
          <w:sz w:val="20"/>
          <w:szCs w:val="20"/>
        </w:rPr>
      </w:pPr>
      <w:r w:rsidRPr="002D2F67">
        <w:rPr>
          <w:rFonts w:ascii="Arial" w:hAnsi="Arial" w:cs="Arial"/>
          <w:b w:val="0"/>
          <w:bCs w:val="0"/>
          <w:i/>
          <w:iCs/>
          <w:color w:val="000000"/>
          <w:sz w:val="20"/>
          <w:szCs w:val="20"/>
        </w:rPr>
        <w:t>Interest income</w:t>
      </w:r>
    </w:p>
    <w:p w14:paraId="399CBF45" w14:textId="77777777" w:rsidR="00204416" w:rsidRPr="002D2F67" w:rsidRDefault="00204416" w:rsidP="005611FE">
      <w:pPr>
        <w:tabs>
          <w:tab w:val="left" w:pos="1290"/>
        </w:tabs>
        <w:ind w:left="540"/>
        <w:jc w:val="both"/>
        <w:rPr>
          <w:rFonts w:ascii="Arial" w:hAnsi="Arial" w:cs="Arial"/>
          <w:color w:val="000000"/>
          <w:sz w:val="20"/>
          <w:szCs w:val="20"/>
        </w:rPr>
      </w:pPr>
    </w:p>
    <w:p w14:paraId="4D628EE2" w14:textId="77777777" w:rsidR="00204416" w:rsidRPr="002D2F67" w:rsidRDefault="00204416" w:rsidP="005611FE">
      <w:pPr>
        <w:ind w:left="540"/>
        <w:jc w:val="thaiDistribute"/>
        <w:rPr>
          <w:rFonts w:ascii="Arial" w:hAnsi="Arial" w:cs="Arial"/>
          <w:i/>
          <w:iCs/>
          <w:color w:val="000000"/>
          <w:sz w:val="20"/>
          <w:szCs w:val="20"/>
        </w:rPr>
      </w:pPr>
      <w:r w:rsidRPr="002D2F67">
        <w:rPr>
          <w:rFonts w:ascii="Arial" w:hAnsi="Arial" w:cs="Arial"/>
          <w:color w:val="000000"/>
          <w:sz w:val="20"/>
          <w:szCs w:val="20"/>
        </w:rPr>
        <w:t xml:space="preserve">Interest income is recognised on an </w:t>
      </w:r>
      <w:r w:rsidR="00DF4221" w:rsidRPr="002D2F67">
        <w:rPr>
          <w:rFonts w:ascii="Arial" w:hAnsi="Arial" w:cs="Arial"/>
          <w:color w:val="000000"/>
          <w:sz w:val="20"/>
          <w:szCs w:val="20"/>
        </w:rPr>
        <w:t>effective interest rate method</w:t>
      </w:r>
      <w:r w:rsidRPr="002D2F67">
        <w:rPr>
          <w:rFonts w:ascii="Arial" w:hAnsi="Arial" w:cs="Arial"/>
          <w:color w:val="000000"/>
          <w:sz w:val="20"/>
          <w:szCs w:val="20"/>
        </w:rPr>
        <w:t>.</w:t>
      </w:r>
    </w:p>
    <w:p w14:paraId="5910659E" w14:textId="77777777" w:rsidR="00204416" w:rsidRPr="002D2F67" w:rsidRDefault="00204416" w:rsidP="005611FE">
      <w:pPr>
        <w:ind w:left="540"/>
        <w:jc w:val="thaiDistribute"/>
        <w:rPr>
          <w:rFonts w:ascii="Arial" w:hAnsi="Arial" w:cs="Arial"/>
          <w:color w:val="000000"/>
          <w:sz w:val="20"/>
          <w:szCs w:val="20"/>
        </w:rPr>
      </w:pPr>
    </w:p>
    <w:p w14:paraId="65173F5B" w14:textId="77777777" w:rsidR="00204416" w:rsidRPr="002D2F67" w:rsidRDefault="00204416" w:rsidP="005611FE">
      <w:pPr>
        <w:pStyle w:val="HeadSub1-5EA"/>
        <w:ind w:left="546" w:firstLine="0"/>
        <w:outlineLvl w:val="2"/>
        <w:rPr>
          <w:rFonts w:ascii="Arial" w:eastAsia="Arial Unicode MS" w:hAnsi="Arial" w:cs="Arial"/>
          <w:i/>
          <w:iCs/>
          <w:color w:val="000000"/>
          <w:sz w:val="20"/>
          <w:szCs w:val="20"/>
        </w:rPr>
      </w:pPr>
      <w:r w:rsidRPr="002D2F67">
        <w:rPr>
          <w:rFonts w:ascii="Arial" w:hAnsi="Arial" w:cs="Arial"/>
          <w:b w:val="0"/>
          <w:bCs w:val="0"/>
          <w:i/>
          <w:iCs/>
          <w:color w:val="000000"/>
          <w:sz w:val="20"/>
          <w:szCs w:val="20"/>
        </w:rPr>
        <w:t>Dividend income</w:t>
      </w:r>
    </w:p>
    <w:p w14:paraId="47E6618C" w14:textId="77777777" w:rsidR="00204416" w:rsidRPr="002D2F67" w:rsidRDefault="00204416" w:rsidP="005611FE">
      <w:pPr>
        <w:ind w:left="540"/>
        <w:jc w:val="thaiDistribute"/>
        <w:rPr>
          <w:rFonts w:ascii="Arial" w:hAnsi="Arial" w:cs="Arial"/>
          <w:color w:val="000000"/>
          <w:sz w:val="20"/>
          <w:szCs w:val="20"/>
        </w:rPr>
      </w:pPr>
    </w:p>
    <w:p w14:paraId="6C390961" w14:textId="2CD401E9" w:rsidR="00204416" w:rsidRPr="002D2F67" w:rsidRDefault="00204416" w:rsidP="005611FE">
      <w:pPr>
        <w:ind w:left="540"/>
        <w:jc w:val="thaiDistribute"/>
        <w:rPr>
          <w:rFonts w:ascii="Arial" w:hAnsi="Arial" w:cs="Arial"/>
          <w:color w:val="000000"/>
          <w:sz w:val="20"/>
          <w:szCs w:val="20"/>
        </w:rPr>
      </w:pPr>
      <w:r w:rsidRPr="002D2F67">
        <w:rPr>
          <w:rFonts w:ascii="Arial" w:hAnsi="Arial" w:cs="Arial"/>
          <w:color w:val="000000"/>
          <w:sz w:val="20"/>
          <w:szCs w:val="20"/>
        </w:rPr>
        <w:t>Dividend income is recognised when the right to receive payment is established.</w:t>
      </w:r>
    </w:p>
    <w:p w14:paraId="7D283C24" w14:textId="42D0CBDC" w:rsidR="001F750C" w:rsidRPr="002D2F67" w:rsidRDefault="001F750C" w:rsidP="005611FE">
      <w:pPr>
        <w:jc w:val="thaiDistribute"/>
        <w:rPr>
          <w:rFonts w:ascii="Arial" w:hAnsi="Arial" w:cs="Arial"/>
          <w:color w:val="000000"/>
          <w:sz w:val="20"/>
          <w:szCs w:val="20"/>
        </w:rPr>
      </w:pPr>
    </w:p>
    <w:p w14:paraId="182F2689" w14:textId="541CC25C" w:rsidR="00204416" w:rsidRPr="002D2F67" w:rsidRDefault="00CD5714" w:rsidP="005611FE">
      <w:pPr>
        <w:pStyle w:val="HeadSub1-5EA"/>
        <w:rPr>
          <w:rFonts w:ascii="Arial" w:hAnsi="Arial" w:cs="Arial"/>
          <w:color w:val="000000"/>
          <w:sz w:val="20"/>
          <w:szCs w:val="20"/>
        </w:rPr>
      </w:pPr>
      <w:r w:rsidRPr="00CD5714">
        <w:rPr>
          <w:rFonts w:ascii="Arial" w:hAnsi="Arial" w:cs="Arial"/>
          <w:color w:val="000000"/>
          <w:sz w:val="20"/>
          <w:szCs w:val="20"/>
          <w:lang w:val="en-GB"/>
        </w:rPr>
        <w:t>5</w:t>
      </w:r>
      <w:r w:rsidR="00204416" w:rsidRPr="002D2F67">
        <w:rPr>
          <w:rFonts w:ascii="Arial" w:hAnsi="Arial" w:cs="Arial"/>
          <w:color w:val="000000"/>
          <w:sz w:val="20"/>
          <w:szCs w:val="20"/>
        </w:rPr>
        <w:t>.</w:t>
      </w:r>
      <w:r w:rsidRPr="00CD5714">
        <w:rPr>
          <w:rFonts w:ascii="Arial" w:hAnsi="Arial" w:cs="Arial"/>
          <w:color w:val="000000"/>
          <w:sz w:val="20"/>
          <w:szCs w:val="20"/>
          <w:lang w:val="en-GB"/>
        </w:rPr>
        <w:t>21</w:t>
      </w:r>
      <w:r w:rsidR="002C4A52" w:rsidRPr="002D2F67">
        <w:rPr>
          <w:rFonts w:ascii="Arial" w:hAnsi="Arial" w:cs="Arial"/>
          <w:color w:val="000000"/>
          <w:sz w:val="20"/>
          <w:szCs w:val="20"/>
        </w:rPr>
        <w:tab/>
      </w:r>
      <w:r w:rsidR="00204416" w:rsidRPr="002D2F67">
        <w:rPr>
          <w:rFonts w:ascii="Arial" w:hAnsi="Arial" w:cs="Arial"/>
          <w:color w:val="000000"/>
          <w:sz w:val="20"/>
          <w:szCs w:val="20"/>
        </w:rPr>
        <w:t>Derivatives</w:t>
      </w:r>
    </w:p>
    <w:p w14:paraId="7C39C45E" w14:textId="77777777" w:rsidR="0011557E" w:rsidRPr="002D2F67" w:rsidRDefault="0011557E" w:rsidP="005611FE">
      <w:pPr>
        <w:ind w:left="540"/>
        <w:jc w:val="thaiDistribute"/>
        <w:rPr>
          <w:rFonts w:ascii="Arial" w:hAnsi="Arial" w:cs="Arial"/>
          <w:color w:val="000000"/>
          <w:sz w:val="20"/>
          <w:szCs w:val="20"/>
        </w:rPr>
      </w:pPr>
    </w:p>
    <w:p w14:paraId="4F2F457B" w14:textId="77777777" w:rsidR="00470488" w:rsidRPr="002D2F67" w:rsidRDefault="00470488" w:rsidP="005611FE">
      <w:pPr>
        <w:pStyle w:val="HeadSub1-5EA"/>
        <w:ind w:left="546" w:firstLine="0"/>
        <w:outlineLvl w:val="2"/>
        <w:rPr>
          <w:rFonts w:ascii="Arial" w:eastAsia="Arial Unicode MS" w:hAnsi="Arial" w:cs="Arial"/>
          <w:color w:val="000000"/>
          <w:sz w:val="20"/>
          <w:szCs w:val="20"/>
        </w:rPr>
      </w:pPr>
      <w:r w:rsidRPr="002D2F67">
        <w:rPr>
          <w:rFonts w:ascii="Arial" w:hAnsi="Arial" w:cs="Arial"/>
          <w:b w:val="0"/>
          <w:bCs w:val="0"/>
          <w:color w:val="000000"/>
          <w:sz w:val="20"/>
          <w:szCs w:val="20"/>
        </w:rPr>
        <w:t xml:space="preserve">Derivatives </w:t>
      </w:r>
      <w:r w:rsidRPr="002D2F67">
        <w:rPr>
          <w:rFonts w:ascii="Arial" w:eastAsia="Arial Unicode MS" w:hAnsi="Arial" w:cs="Arial"/>
          <w:b w:val="0"/>
          <w:bCs w:val="0"/>
          <w:color w:val="000000"/>
          <w:sz w:val="20"/>
          <w:szCs w:val="20"/>
        </w:rPr>
        <w:t>accounting</w:t>
      </w:r>
    </w:p>
    <w:p w14:paraId="638958EC" w14:textId="77777777" w:rsidR="00470488" w:rsidRPr="002D2F67" w:rsidRDefault="00470488" w:rsidP="005611FE">
      <w:pPr>
        <w:ind w:left="540"/>
        <w:jc w:val="both"/>
        <w:rPr>
          <w:rFonts w:ascii="Arial" w:hAnsi="Arial" w:cs="Arial"/>
          <w:color w:val="000000"/>
          <w:sz w:val="20"/>
          <w:szCs w:val="20"/>
        </w:rPr>
      </w:pPr>
    </w:p>
    <w:p w14:paraId="27253C63" w14:textId="77777777" w:rsidR="00204416" w:rsidRPr="002D2F67" w:rsidRDefault="00702321" w:rsidP="005611FE">
      <w:pPr>
        <w:ind w:left="540"/>
        <w:jc w:val="thaiDistribute"/>
        <w:rPr>
          <w:rFonts w:ascii="Arial" w:eastAsia="Cordia New" w:hAnsi="Arial" w:cs="Arial"/>
          <w:color w:val="000000"/>
          <w:spacing w:val="-2"/>
          <w:sz w:val="20"/>
          <w:szCs w:val="20"/>
        </w:rPr>
      </w:pPr>
      <w:r w:rsidRPr="002D2F67">
        <w:rPr>
          <w:rFonts w:ascii="Arial" w:eastAsia="Cordia New" w:hAnsi="Arial" w:cs="Arial"/>
          <w:color w:val="000000"/>
          <w:spacing w:val="-2"/>
          <w:sz w:val="20"/>
          <w:szCs w:val="20"/>
        </w:rPr>
        <w:t>D</w:t>
      </w:r>
      <w:r w:rsidR="00204416" w:rsidRPr="002D2F67">
        <w:rPr>
          <w:rFonts w:ascii="Arial" w:eastAsia="Cordia New" w:hAnsi="Arial" w:cs="Arial"/>
          <w:color w:val="000000"/>
          <w:spacing w:val="-2"/>
          <w:sz w:val="20"/>
          <w:szCs w:val="20"/>
        </w:rPr>
        <w:t xml:space="preserve">erivatives that do not qualify for hedge accounting </w:t>
      </w:r>
      <w:r w:rsidRPr="002D2F67">
        <w:rPr>
          <w:rFonts w:ascii="Arial" w:eastAsia="Cordia New" w:hAnsi="Arial" w:cs="Arial"/>
          <w:color w:val="000000"/>
          <w:spacing w:val="-2"/>
          <w:sz w:val="20"/>
          <w:szCs w:val="20"/>
        </w:rPr>
        <w:t xml:space="preserve">is initially recognises </w:t>
      </w:r>
      <w:r w:rsidR="00204416" w:rsidRPr="002D2F67">
        <w:rPr>
          <w:rFonts w:ascii="Arial" w:eastAsia="Cordia New" w:hAnsi="Arial" w:cs="Arial"/>
          <w:color w:val="000000"/>
          <w:spacing w:val="-2"/>
          <w:sz w:val="20"/>
          <w:szCs w:val="20"/>
        </w:rPr>
        <w:t xml:space="preserve">at fair value </w:t>
      </w:r>
      <w:r w:rsidRPr="002D2F67">
        <w:rPr>
          <w:rFonts w:ascii="Arial" w:eastAsia="Cordia New" w:hAnsi="Arial" w:cs="Arial"/>
          <w:color w:val="000000"/>
          <w:spacing w:val="-2"/>
          <w:sz w:val="20"/>
          <w:szCs w:val="20"/>
        </w:rPr>
        <w:t>on measurement of derivative.</w:t>
      </w:r>
      <w:r w:rsidR="00204416" w:rsidRPr="002D2F67">
        <w:rPr>
          <w:rFonts w:ascii="Arial" w:eastAsia="Cordia New" w:hAnsi="Arial" w:cs="Arial"/>
          <w:color w:val="000000"/>
          <w:spacing w:val="-2"/>
          <w:sz w:val="20"/>
          <w:szCs w:val="20"/>
        </w:rPr>
        <w:t xml:space="preserve"> </w:t>
      </w:r>
      <w:r w:rsidRPr="002D2F67">
        <w:rPr>
          <w:rFonts w:ascii="Arial" w:eastAsia="Cordia New" w:hAnsi="Arial" w:cs="Arial"/>
          <w:color w:val="000000"/>
          <w:spacing w:val="-2"/>
          <w:sz w:val="20"/>
          <w:szCs w:val="20"/>
        </w:rPr>
        <w:t>C</w:t>
      </w:r>
      <w:r w:rsidR="00204416" w:rsidRPr="002D2F67">
        <w:rPr>
          <w:rFonts w:ascii="Arial" w:eastAsia="Cordia New" w:hAnsi="Arial" w:cs="Arial"/>
          <w:color w:val="000000"/>
          <w:spacing w:val="-2"/>
          <w:sz w:val="20"/>
          <w:szCs w:val="20"/>
        </w:rPr>
        <w:t xml:space="preserve">hanges in the fair value </w:t>
      </w:r>
      <w:r w:rsidRPr="002D2F67">
        <w:rPr>
          <w:rFonts w:ascii="Arial" w:eastAsia="Cordia New" w:hAnsi="Arial" w:cs="Arial"/>
          <w:color w:val="000000"/>
          <w:spacing w:val="-2"/>
          <w:sz w:val="20"/>
          <w:szCs w:val="20"/>
        </w:rPr>
        <w:t>are included in</w:t>
      </w:r>
      <w:r w:rsidR="00204416" w:rsidRPr="002D2F67">
        <w:rPr>
          <w:rFonts w:ascii="Arial" w:eastAsia="Cordia New" w:hAnsi="Arial" w:cs="Arial"/>
          <w:color w:val="000000"/>
          <w:spacing w:val="-2"/>
          <w:sz w:val="20"/>
          <w:szCs w:val="20"/>
        </w:rPr>
        <w:t xml:space="preserve"> gain or loss.</w:t>
      </w:r>
    </w:p>
    <w:p w14:paraId="5A8A75F5" w14:textId="77777777" w:rsidR="00204416" w:rsidRPr="002D2F67" w:rsidRDefault="00204416" w:rsidP="005611FE">
      <w:pPr>
        <w:ind w:left="540"/>
        <w:jc w:val="thaiDistribute"/>
        <w:rPr>
          <w:rFonts w:ascii="Arial" w:eastAsia="Cordia New" w:hAnsi="Arial" w:cs="Arial"/>
          <w:color w:val="000000"/>
          <w:sz w:val="20"/>
          <w:szCs w:val="20"/>
        </w:rPr>
      </w:pPr>
    </w:p>
    <w:p w14:paraId="0CDC2999" w14:textId="77777777" w:rsidR="00204416" w:rsidRPr="002D2F67" w:rsidRDefault="00204416" w:rsidP="005611FE">
      <w:pPr>
        <w:ind w:left="540"/>
        <w:jc w:val="thaiDistribute"/>
        <w:rPr>
          <w:rFonts w:ascii="Arial" w:eastAsia="Cordia New" w:hAnsi="Arial" w:cs="Arial"/>
          <w:color w:val="000000"/>
          <w:sz w:val="20"/>
          <w:szCs w:val="20"/>
        </w:rPr>
      </w:pPr>
      <w:r w:rsidRPr="002D2F67">
        <w:rPr>
          <w:rFonts w:ascii="Arial" w:eastAsia="Cordia New" w:hAnsi="Arial" w:cs="Arial"/>
          <w:color w:val="000000"/>
          <w:sz w:val="20"/>
          <w:szCs w:val="20"/>
        </w:rPr>
        <w:t>Fair value of derivatives is classified as a current or non-current following its remaining maturity.</w:t>
      </w:r>
    </w:p>
    <w:p w14:paraId="60366A05" w14:textId="77777777" w:rsidR="00470488" w:rsidRPr="002D2F67" w:rsidRDefault="00470488" w:rsidP="005611FE">
      <w:pPr>
        <w:ind w:left="540"/>
        <w:jc w:val="thaiDistribute"/>
        <w:rPr>
          <w:rFonts w:ascii="Arial" w:hAnsi="Arial" w:cs="Arial"/>
          <w:color w:val="000000"/>
          <w:sz w:val="20"/>
          <w:szCs w:val="20"/>
        </w:rPr>
      </w:pPr>
    </w:p>
    <w:p w14:paraId="2C9A19F8" w14:textId="6C821C79" w:rsidR="00FE37B6" w:rsidRPr="002D2F67" w:rsidRDefault="00CD5714" w:rsidP="005611FE">
      <w:pPr>
        <w:pStyle w:val="HeadSub1-5EA"/>
        <w:rPr>
          <w:rFonts w:ascii="Arial" w:hAnsi="Arial" w:cs="Arial"/>
          <w:color w:val="000000"/>
          <w:sz w:val="20"/>
          <w:szCs w:val="20"/>
        </w:rPr>
      </w:pPr>
      <w:r w:rsidRPr="00CD5714">
        <w:rPr>
          <w:rFonts w:ascii="Arial" w:hAnsi="Arial" w:cs="Arial"/>
          <w:color w:val="000000"/>
          <w:sz w:val="20"/>
          <w:szCs w:val="20"/>
          <w:lang w:val="en-GB"/>
        </w:rPr>
        <w:t>5</w:t>
      </w:r>
      <w:r w:rsidR="00FE37B6" w:rsidRPr="002D2F67">
        <w:rPr>
          <w:rFonts w:ascii="Arial" w:hAnsi="Arial" w:cs="Arial"/>
          <w:color w:val="000000"/>
          <w:sz w:val="20"/>
          <w:szCs w:val="20"/>
        </w:rPr>
        <w:t>.</w:t>
      </w:r>
      <w:r w:rsidRPr="00CD5714">
        <w:rPr>
          <w:rFonts w:ascii="Arial" w:hAnsi="Arial" w:cs="Arial"/>
          <w:color w:val="000000"/>
          <w:sz w:val="20"/>
          <w:szCs w:val="20"/>
          <w:lang w:val="en-GB"/>
        </w:rPr>
        <w:t>22</w:t>
      </w:r>
      <w:r w:rsidR="00FE37B6" w:rsidRPr="002D2F67">
        <w:rPr>
          <w:rFonts w:ascii="Arial" w:hAnsi="Arial" w:cs="Arial"/>
          <w:color w:val="000000"/>
          <w:sz w:val="20"/>
          <w:szCs w:val="20"/>
        </w:rPr>
        <w:tab/>
        <w:t>Segment reporting</w:t>
      </w:r>
    </w:p>
    <w:p w14:paraId="2EE31171" w14:textId="77777777" w:rsidR="00FE37B6" w:rsidRPr="002D2F67" w:rsidRDefault="00FE37B6" w:rsidP="005611FE">
      <w:pPr>
        <w:ind w:left="540"/>
        <w:rPr>
          <w:rFonts w:ascii="Arial" w:hAnsi="Arial" w:cs="Arial"/>
          <w:color w:val="000000"/>
          <w:sz w:val="20"/>
          <w:szCs w:val="20"/>
        </w:rPr>
      </w:pPr>
    </w:p>
    <w:p w14:paraId="5820E76D" w14:textId="77777777" w:rsidR="006A7439" w:rsidRPr="002D2F67" w:rsidRDefault="00FE37B6" w:rsidP="005611FE">
      <w:pPr>
        <w:ind w:left="540"/>
        <w:jc w:val="both"/>
        <w:rPr>
          <w:rFonts w:ascii="Arial" w:hAnsi="Arial" w:cs="Arial"/>
          <w:color w:val="000000"/>
          <w:sz w:val="20"/>
          <w:szCs w:val="20"/>
        </w:rPr>
      </w:pPr>
      <w:r w:rsidRPr="002D2F67">
        <w:rPr>
          <w:rFonts w:ascii="Arial" w:hAnsi="Arial" w:cs="Arial"/>
          <w:color w:val="000000"/>
          <w:sz w:val="20"/>
          <w:szCs w:val="20"/>
        </w:rPr>
        <w:t xml:space="preserve">Operating segments are reported in a manner consistent with the internal reporting provided to the chief operating decision-maker. The chief operating decision-maker, who is responsible for allocating </w:t>
      </w:r>
      <w:r w:rsidRPr="002D2F67">
        <w:rPr>
          <w:rFonts w:ascii="Arial" w:hAnsi="Arial" w:cs="Arial"/>
          <w:color w:val="000000"/>
          <w:spacing w:val="-2"/>
          <w:sz w:val="20"/>
          <w:szCs w:val="20"/>
        </w:rPr>
        <w:t>resources and assessing performance of the operating segments, has been identified as the Steering</w:t>
      </w:r>
      <w:r w:rsidRPr="002D2F67">
        <w:rPr>
          <w:rFonts w:ascii="Arial" w:hAnsi="Arial" w:cs="Arial"/>
          <w:color w:val="000000"/>
          <w:sz w:val="20"/>
          <w:szCs w:val="20"/>
        </w:rPr>
        <w:t xml:space="preserve"> Committee that makes strategic decisions.</w:t>
      </w:r>
    </w:p>
    <w:p w14:paraId="2277898F" w14:textId="0FBFB878" w:rsidR="00A334E9" w:rsidRPr="002D2F67" w:rsidRDefault="00100E48" w:rsidP="005611FE">
      <w:pPr>
        <w:pStyle w:val="ListParagraph"/>
        <w:spacing w:after="0" w:line="240" w:lineRule="auto"/>
        <w:ind w:left="0"/>
        <w:jc w:val="both"/>
        <w:rPr>
          <w:rFonts w:ascii="Arial" w:hAnsi="Arial" w:cs="Arial"/>
          <w:color w:val="000000"/>
          <w:sz w:val="20"/>
          <w:szCs w:val="20"/>
        </w:rPr>
      </w:pPr>
      <w:r w:rsidRPr="002D2F67">
        <w:rPr>
          <w:rFonts w:ascii="Arial" w:hAnsi="Arial" w:cs="Arial"/>
          <w:color w:val="000000"/>
          <w:sz w:val="20"/>
          <w:szCs w:val="20"/>
        </w:rPr>
        <w:br w:type="page"/>
      </w:r>
    </w:p>
    <w:p w14:paraId="500F9B9E" w14:textId="4AE4C995" w:rsidR="00BF72B4"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6</w:t>
      </w:r>
      <w:r w:rsidR="00BF72B4" w:rsidRPr="002D2F67">
        <w:rPr>
          <w:rFonts w:ascii="Arial" w:hAnsi="Arial" w:cs="Arial"/>
          <w:b/>
          <w:bCs/>
          <w:color w:val="000000"/>
          <w:kern w:val="26"/>
          <w:position w:val="-24"/>
          <w:sz w:val="20"/>
          <w:szCs w:val="20"/>
          <w:cs/>
        </w:rPr>
        <w:tab/>
      </w:r>
      <w:r w:rsidR="00BF72B4" w:rsidRPr="002D2F67">
        <w:rPr>
          <w:rFonts w:ascii="Arial" w:hAnsi="Arial" w:cs="Arial"/>
          <w:b/>
          <w:bCs/>
          <w:color w:val="000000"/>
          <w:kern w:val="26"/>
          <w:position w:val="-24"/>
          <w:sz w:val="20"/>
          <w:szCs w:val="20"/>
        </w:rPr>
        <w:t>Financial risk management</w:t>
      </w:r>
    </w:p>
    <w:p w14:paraId="6569771F" w14:textId="77777777" w:rsidR="00FE37B6" w:rsidRPr="002D2F67" w:rsidRDefault="00FE37B6" w:rsidP="005611FE">
      <w:pPr>
        <w:jc w:val="thaiDistribute"/>
        <w:rPr>
          <w:rFonts w:ascii="Arial" w:hAnsi="Arial" w:cs="Arial"/>
          <w:color w:val="000000"/>
          <w:sz w:val="20"/>
          <w:szCs w:val="20"/>
        </w:rPr>
      </w:pPr>
    </w:p>
    <w:p w14:paraId="1A0BD44A" w14:textId="5FE440C7" w:rsidR="00FE37B6" w:rsidRPr="002D2F67" w:rsidRDefault="00CD5714" w:rsidP="005611FE">
      <w:pPr>
        <w:pStyle w:val="HeadSub1-5EA"/>
        <w:rPr>
          <w:rFonts w:ascii="Arial" w:hAnsi="Arial" w:cs="Arial"/>
          <w:color w:val="000000"/>
          <w:sz w:val="20"/>
          <w:szCs w:val="20"/>
        </w:rPr>
      </w:pPr>
      <w:r w:rsidRPr="00CD5714">
        <w:rPr>
          <w:rFonts w:ascii="Arial" w:hAnsi="Arial" w:cs="Arial"/>
          <w:color w:val="000000"/>
          <w:sz w:val="20"/>
          <w:szCs w:val="20"/>
          <w:lang w:val="en-GB"/>
        </w:rPr>
        <w:t>6</w:t>
      </w:r>
      <w:r w:rsidR="00FE37B6" w:rsidRPr="002D2F67">
        <w:rPr>
          <w:rFonts w:ascii="Arial" w:hAnsi="Arial" w:cs="Arial"/>
          <w:color w:val="000000"/>
          <w:sz w:val="20"/>
          <w:szCs w:val="20"/>
        </w:rPr>
        <w:t>.</w:t>
      </w:r>
      <w:r w:rsidRPr="00CD5714">
        <w:rPr>
          <w:rFonts w:ascii="Arial" w:hAnsi="Arial" w:cs="Arial"/>
          <w:color w:val="000000"/>
          <w:sz w:val="20"/>
          <w:szCs w:val="20"/>
          <w:lang w:val="en-GB"/>
        </w:rPr>
        <w:t>1</w:t>
      </w:r>
      <w:r w:rsidR="00FE37B6" w:rsidRPr="002D2F67">
        <w:rPr>
          <w:rFonts w:ascii="Arial" w:hAnsi="Arial" w:cs="Arial"/>
          <w:color w:val="000000"/>
          <w:sz w:val="20"/>
          <w:szCs w:val="20"/>
        </w:rPr>
        <w:tab/>
        <w:t>Financial risk</w:t>
      </w:r>
    </w:p>
    <w:p w14:paraId="52DBEBF4" w14:textId="77777777" w:rsidR="00DF5B73" w:rsidRPr="002D2F67" w:rsidRDefault="00DF5B73" w:rsidP="005611FE">
      <w:pPr>
        <w:ind w:left="540"/>
        <w:rPr>
          <w:rFonts w:ascii="Arial" w:hAnsi="Arial" w:cs="Arial"/>
          <w:b/>
          <w:bCs/>
          <w:color w:val="000000"/>
          <w:sz w:val="20"/>
          <w:szCs w:val="20"/>
        </w:rPr>
      </w:pPr>
    </w:p>
    <w:p w14:paraId="150CE1EC" w14:textId="2F3B270A" w:rsidR="00DF5B73" w:rsidRPr="002D2F67" w:rsidRDefault="007C56AB" w:rsidP="007C56AB">
      <w:pPr>
        <w:pStyle w:val="BlockText"/>
        <w:ind w:left="540" w:right="0"/>
        <w:rPr>
          <w:rFonts w:ascii="Arial" w:hAnsi="Arial" w:cs="Arial"/>
          <w:color w:val="000000"/>
          <w:spacing w:val="-4"/>
        </w:rPr>
      </w:pPr>
      <w:r w:rsidRPr="002D2F67">
        <w:rPr>
          <w:rFonts w:ascii="Arial" w:hAnsi="Arial" w:cs="Arial"/>
          <w:color w:val="000000"/>
        </w:rPr>
        <w:t>The Group exposes to a variety of financial risk</w:t>
      </w:r>
      <w:r w:rsidR="00763CD4" w:rsidRPr="002D2F67">
        <w:rPr>
          <w:rFonts w:ascii="Arial" w:hAnsi="Arial" w:cs="Arial"/>
          <w:color w:val="000000"/>
        </w:rPr>
        <w:t>s</w:t>
      </w:r>
      <w:r w:rsidRPr="002D2F67">
        <w:rPr>
          <w:rFonts w:ascii="Arial" w:hAnsi="Arial" w:cs="Arial"/>
          <w:color w:val="000000"/>
        </w:rPr>
        <w:t xml:space="preserve"> which comprise of market risk (including foreign exchange risk</w:t>
      </w:r>
      <w:r w:rsidRPr="002D2F67">
        <w:rPr>
          <w:rFonts w:ascii="Arial" w:hAnsi="Arial" w:cs="Arial"/>
          <w:color w:val="000000"/>
          <w:spacing w:val="-4"/>
        </w:rPr>
        <w:t xml:space="preserve">, interest rate risk and price risk), credit risk and liquidity risk. The Group’s overall risk management programme focuses on the unpredictability of financial markets and </w:t>
      </w:r>
      <w:r w:rsidR="00957D35" w:rsidRPr="002D2F67">
        <w:rPr>
          <w:rFonts w:ascii="Arial" w:hAnsi="Arial" w:cs="Arial"/>
          <w:color w:val="000000"/>
          <w:spacing w:val="-4"/>
        </w:rPr>
        <w:t>manage</w:t>
      </w:r>
      <w:r w:rsidRPr="002D2F67">
        <w:rPr>
          <w:rFonts w:ascii="Arial" w:hAnsi="Arial" w:cs="Arial"/>
          <w:color w:val="000000"/>
          <w:spacing w:val="-4"/>
        </w:rPr>
        <w:t xml:space="preserve"> to minimise potential adverse effects on the Group’s financial performance</w:t>
      </w:r>
      <w:r w:rsidR="00F869E4" w:rsidRPr="002D2F67">
        <w:rPr>
          <w:rFonts w:ascii="Arial" w:hAnsi="Arial" w:cs="Arial"/>
          <w:color w:val="000000"/>
          <w:spacing w:val="-4"/>
        </w:rPr>
        <w:t xml:space="preserve"> t</w:t>
      </w:r>
      <w:r w:rsidR="00957D35" w:rsidRPr="002D2F67">
        <w:rPr>
          <w:rFonts w:ascii="Arial" w:hAnsi="Arial" w:cs="Arial"/>
          <w:color w:val="000000"/>
          <w:spacing w:val="-4"/>
        </w:rPr>
        <w:t>o the acceptable</w:t>
      </w:r>
      <w:r w:rsidR="00F869E4" w:rsidRPr="002D2F67">
        <w:rPr>
          <w:rFonts w:ascii="Arial" w:hAnsi="Arial" w:cs="Arial"/>
          <w:color w:val="000000"/>
          <w:spacing w:val="-4"/>
        </w:rPr>
        <w:t xml:space="preserve"> level. </w:t>
      </w:r>
      <w:r w:rsidRPr="002D2F67">
        <w:rPr>
          <w:rFonts w:ascii="Arial" w:hAnsi="Arial" w:cs="Arial"/>
          <w:color w:val="000000"/>
          <w:spacing w:val="-4"/>
        </w:rPr>
        <w:t>The Group may us</w:t>
      </w:r>
      <w:r w:rsidR="00F869E4" w:rsidRPr="002D2F67">
        <w:rPr>
          <w:rFonts w:ascii="Arial" w:hAnsi="Arial" w:cs="Arial"/>
          <w:color w:val="000000"/>
          <w:spacing w:val="-4"/>
        </w:rPr>
        <w:t>e</w:t>
      </w:r>
      <w:r w:rsidRPr="002D2F67">
        <w:rPr>
          <w:rFonts w:ascii="Arial" w:hAnsi="Arial" w:cs="Arial"/>
          <w:color w:val="000000"/>
          <w:spacing w:val="-4"/>
        </w:rPr>
        <w:t xml:space="preserve"> derivative financial instruments to hedge certain exposure</w:t>
      </w:r>
      <w:r w:rsidR="00A835B9" w:rsidRPr="002D2F67">
        <w:rPr>
          <w:rFonts w:ascii="Arial" w:hAnsi="Arial" w:cs="Arial"/>
          <w:color w:val="000000"/>
          <w:spacing w:val="-4"/>
        </w:rPr>
        <w:t>s</w:t>
      </w:r>
      <w:r w:rsidRPr="002D2F67">
        <w:rPr>
          <w:rFonts w:ascii="Arial" w:hAnsi="Arial" w:cs="Arial"/>
          <w:color w:val="000000"/>
          <w:spacing w:val="-4"/>
        </w:rPr>
        <w:t>.</w:t>
      </w:r>
    </w:p>
    <w:p w14:paraId="4D9AFF41" w14:textId="77777777" w:rsidR="007C56AB" w:rsidRPr="002D2F67" w:rsidRDefault="007C56AB" w:rsidP="007C56AB">
      <w:pPr>
        <w:pStyle w:val="BlockText"/>
        <w:ind w:left="540" w:right="0"/>
        <w:rPr>
          <w:rFonts w:ascii="Arial" w:hAnsi="Arial" w:cs="Arial"/>
          <w:b/>
          <w:bCs/>
          <w:color w:val="000000"/>
        </w:rPr>
      </w:pPr>
    </w:p>
    <w:p w14:paraId="4B12AAF3" w14:textId="5CB7D3DE" w:rsidR="000971EF" w:rsidRPr="002D2F67" w:rsidRDefault="002E41A4" w:rsidP="00017E62">
      <w:pPr>
        <w:pStyle w:val="BlockText"/>
        <w:ind w:left="540" w:right="0"/>
        <w:rPr>
          <w:rFonts w:ascii="Arial" w:hAnsi="Arial" w:cs="Arial"/>
          <w:color w:val="000000"/>
        </w:rPr>
      </w:pPr>
      <w:r w:rsidRPr="002D2F67">
        <w:rPr>
          <w:rFonts w:ascii="Arial" w:hAnsi="Arial" w:cs="Arial"/>
          <w:color w:val="000000"/>
        </w:rPr>
        <w:t>T</w:t>
      </w:r>
      <w:r w:rsidR="0019325A" w:rsidRPr="002D2F67">
        <w:rPr>
          <w:rFonts w:ascii="Arial" w:hAnsi="Arial" w:cs="Arial"/>
          <w:color w:val="000000"/>
        </w:rPr>
        <w:t xml:space="preserve">he Group’s risk management </w:t>
      </w:r>
      <w:r w:rsidR="00017E62">
        <w:rPr>
          <w:rFonts w:ascii="Arial" w:hAnsi="Arial" w:cs="Arial"/>
          <w:color w:val="000000"/>
        </w:rPr>
        <w:t xml:space="preserve">function works directly with </w:t>
      </w:r>
      <w:r w:rsidR="003F7EB1" w:rsidRPr="002D2F67">
        <w:rPr>
          <w:rFonts w:ascii="Arial" w:hAnsi="Arial" w:cs="Arial"/>
          <w:color w:val="000000"/>
        </w:rPr>
        <w:t>the management</w:t>
      </w:r>
      <w:r w:rsidR="00017E62">
        <w:rPr>
          <w:rFonts w:ascii="Arial" w:hAnsi="Arial" w:cs="Arial"/>
          <w:color w:val="000000"/>
        </w:rPr>
        <w:t xml:space="preserve">. The Board of Directors are responsible to approve the risk policies that the </w:t>
      </w:r>
      <w:r w:rsidR="00231D51" w:rsidRPr="002D2F67">
        <w:rPr>
          <w:rFonts w:ascii="Arial" w:hAnsi="Arial" w:cs="Arial"/>
          <w:color w:val="000000"/>
          <w:spacing w:val="-4"/>
        </w:rPr>
        <w:t>management</w:t>
      </w:r>
      <w:r w:rsidR="0019325A" w:rsidRPr="002D2F67">
        <w:rPr>
          <w:rFonts w:ascii="Arial" w:hAnsi="Arial" w:cs="Arial"/>
          <w:color w:val="000000"/>
        </w:rPr>
        <w:t xml:space="preserve"> identifies, evaluates and manages financial risks</w:t>
      </w:r>
      <w:r w:rsidR="00017E62">
        <w:rPr>
          <w:rFonts w:ascii="Arial" w:hAnsi="Arial" w:cs="Arial"/>
          <w:color w:val="000000"/>
        </w:rPr>
        <w:t xml:space="preserve">. The management works closely with the business operation function. </w:t>
      </w:r>
      <w:r w:rsidR="0019325A" w:rsidRPr="002D2F67">
        <w:rPr>
          <w:rFonts w:ascii="Arial" w:hAnsi="Arial" w:cs="Arial"/>
          <w:color w:val="000000"/>
        </w:rPr>
        <w:t xml:space="preserve">The Board of </w:t>
      </w:r>
      <w:r w:rsidR="0019325A" w:rsidRPr="00017E62">
        <w:rPr>
          <w:rFonts w:ascii="Arial" w:hAnsi="Arial" w:cs="Arial"/>
          <w:color w:val="000000"/>
          <w:spacing w:val="-4"/>
        </w:rPr>
        <w:t>Directors provides written principles for overall risk management, as well as policies covering specific</w:t>
      </w:r>
      <w:r w:rsidR="0019325A" w:rsidRPr="002D2F67">
        <w:rPr>
          <w:rFonts w:ascii="Arial" w:hAnsi="Arial" w:cs="Arial"/>
          <w:color w:val="000000"/>
        </w:rPr>
        <w:t xml:space="preserve"> areas, such as foreign exchange risk, interest rate risk, credit risk, use of derivative and other financial instruments as well as investment of excess liquidity.</w:t>
      </w:r>
    </w:p>
    <w:p w14:paraId="39FE5593" w14:textId="77777777" w:rsidR="0019325A" w:rsidRPr="002D2F67" w:rsidRDefault="0019325A" w:rsidP="005611FE">
      <w:pPr>
        <w:pStyle w:val="BlockText"/>
        <w:ind w:left="540" w:right="0"/>
        <w:rPr>
          <w:rFonts w:ascii="Arial" w:hAnsi="Arial" w:cs="Arial"/>
          <w:color w:val="000000"/>
        </w:rPr>
      </w:pPr>
    </w:p>
    <w:p w14:paraId="5A8E6DBB" w14:textId="1C1267A2" w:rsidR="0019325A" w:rsidRPr="002D2F67" w:rsidRDefault="007757D5" w:rsidP="005611FE">
      <w:pPr>
        <w:pStyle w:val="BlockText"/>
        <w:ind w:left="540" w:right="0"/>
        <w:rPr>
          <w:rFonts w:ascii="Arial" w:hAnsi="Arial" w:cs="Arial"/>
          <w:color w:val="000000"/>
        </w:rPr>
      </w:pPr>
      <w:r w:rsidRPr="002D2F67">
        <w:rPr>
          <w:rFonts w:ascii="Arial" w:hAnsi="Arial" w:cs="Arial"/>
          <w:color w:val="000000"/>
          <w:spacing w:val="-4"/>
        </w:rPr>
        <w:t>Trading for speculative purposes is not allowed. All derivative transactions are subject to pre-approval</w:t>
      </w:r>
      <w:r w:rsidRPr="002D2F67">
        <w:rPr>
          <w:rFonts w:ascii="Arial" w:hAnsi="Arial" w:cs="Arial"/>
          <w:color w:val="000000"/>
        </w:rPr>
        <w:t xml:space="preserve"> </w:t>
      </w:r>
      <w:r w:rsidR="00E25F45" w:rsidRPr="002D2F67">
        <w:rPr>
          <w:rFonts w:ascii="Arial" w:hAnsi="Arial" w:cs="Arial"/>
          <w:color w:val="000000"/>
        </w:rPr>
        <w:br/>
      </w:r>
      <w:r w:rsidRPr="002D2F67">
        <w:rPr>
          <w:rFonts w:ascii="Arial" w:hAnsi="Arial" w:cs="Arial"/>
          <w:color w:val="000000"/>
        </w:rPr>
        <w:t>by the respective board of each company in the Group.</w:t>
      </w:r>
    </w:p>
    <w:p w14:paraId="49C56C3D" w14:textId="456719B6" w:rsidR="00DF5B73" w:rsidRPr="002D2F67" w:rsidRDefault="00DF5B73" w:rsidP="00D061D8">
      <w:pPr>
        <w:rPr>
          <w:rFonts w:ascii="Arial" w:hAnsi="Arial" w:cs="Arial"/>
          <w:color w:val="000000"/>
          <w:sz w:val="20"/>
          <w:szCs w:val="20"/>
        </w:rPr>
      </w:pPr>
    </w:p>
    <w:p w14:paraId="35D64F94" w14:textId="5E17946F" w:rsidR="00DF5B73" w:rsidRPr="002D2F67" w:rsidRDefault="00CD5714" w:rsidP="005611FE">
      <w:pPr>
        <w:pStyle w:val="HeadSub1-5EA"/>
        <w:ind w:left="560" w:hanging="560"/>
        <w:outlineLvl w:val="2"/>
        <w:rPr>
          <w:rFonts w:ascii="Arial" w:hAnsi="Arial" w:cs="Arial"/>
          <w:b w:val="0"/>
          <w:bCs w:val="0"/>
          <w:color w:val="000000"/>
          <w:sz w:val="20"/>
          <w:szCs w:val="20"/>
        </w:rPr>
      </w:pPr>
      <w:r w:rsidRPr="00CD5714">
        <w:rPr>
          <w:rFonts w:ascii="Arial" w:hAnsi="Arial" w:cs="Arial"/>
          <w:b w:val="0"/>
          <w:bCs w:val="0"/>
          <w:color w:val="000000"/>
          <w:sz w:val="20"/>
          <w:szCs w:val="20"/>
          <w:lang w:val="en-GB"/>
        </w:rPr>
        <w:t>6</w:t>
      </w:r>
      <w:r w:rsidR="00DF5B73" w:rsidRPr="002D2F67">
        <w:rPr>
          <w:rFonts w:ascii="Arial" w:hAnsi="Arial" w:cs="Arial"/>
          <w:b w:val="0"/>
          <w:bCs w:val="0"/>
          <w:color w:val="000000"/>
          <w:sz w:val="20"/>
          <w:szCs w:val="20"/>
        </w:rPr>
        <w:t>.</w:t>
      </w:r>
      <w:r w:rsidRPr="00CD5714">
        <w:rPr>
          <w:rFonts w:ascii="Arial" w:hAnsi="Arial" w:cs="Arial"/>
          <w:b w:val="0"/>
          <w:bCs w:val="0"/>
          <w:color w:val="000000"/>
          <w:sz w:val="20"/>
          <w:szCs w:val="20"/>
          <w:lang w:val="en-GB"/>
        </w:rPr>
        <w:t>1</w:t>
      </w:r>
      <w:r w:rsidR="00DF5B73" w:rsidRPr="002D2F67">
        <w:rPr>
          <w:rFonts w:ascii="Arial" w:hAnsi="Arial" w:cs="Arial"/>
          <w:b w:val="0"/>
          <w:bCs w:val="0"/>
          <w:color w:val="000000"/>
          <w:sz w:val="20"/>
          <w:szCs w:val="20"/>
        </w:rPr>
        <w:t>.</w:t>
      </w:r>
      <w:r w:rsidRPr="00CD5714">
        <w:rPr>
          <w:rFonts w:ascii="Arial" w:hAnsi="Arial" w:cs="Arial"/>
          <w:b w:val="0"/>
          <w:bCs w:val="0"/>
          <w:color w:val="000000"/>
          <w:sz w:val="20"/>
          <w:szCs w:val="20"/>
          <w:lang w:val="en-GB"/>
        </w:rPr>
        <w:t>1</w:t>
      </w:r>
      <w:r w:rsidR="00A77E58" w:rsidRPr="002D2F67">
        <w:rPr>
          <w:rFonts w:ascii="Arial" w:hAnsi="Arial" w:cs="Arial"/>
          <w:b w:val="0"/>
          <w:bCs w:val="0"/>
          <w:color w:val="000000"/>
          <w:sz w:val="20"/>
          <w:szCs w:val="20"/>
        </w:rPr>
        <w:tab/>
      </w:r>
      <w:r w:rsidR="00DF5B73" w:rsidRPr="002D2F67">
        <w:rPr>
          <w:rFonts w:ascii="Arial" w:hAnsi="Arial" w:cs="Arial"/>
          <w:b w:val="0"/>
          <w:bCs w:val="0"/>
          <w:color w:val="000000"/>
          <w:sz w:val="20"/>
          <w:szCs w:val="20"/>
        </w:rPr>
        <w:t>Market risk</w:t>
      </w:r>
    </w:p>
    <w:p w14:paraId="79B7BE6C" w14:textId="77777777" w:rsidR="00DF5B73" w:rsidRPr="002D2F67" w:rsidRDefault="00DF5B73" w:rsidP="005611FE">
      <w:pPr>
        <w:ind w:left="540" w:hanging="540"/>
        <w:rPr>
          <w:rFonts w:ascii="Arial" w:hAnsi="Arial" w:cs="Arial"/>
          <w:color w:val="000000"/>
          <w:sz w:val="20"/>
          <w:szCs w:val="20"/>
        </w:rPr>
      </w:pPr>
    </w:p>
    <w:p w14:paraId="19113763" w14:textId="72330C56" w:rsidR="00DF5B73" w:rsidRPr="002D2F67" w:rsidRDefault="00DF5B73" w:rsidP="005611FE">
      <w:pPr>
        <w:pStyle w:val="HeadSub1-5EA"/>
        <w:numPr>
          <w:ilvl w:val="3"/>
          <w:numId w:val="12"/>
        </w:numPr>
        <w:ind w:left="527" w:hanging="516"/>
        <w:outlineLvl w:val="3"/>
        <w:rPr>
          <w:rFonts w:ascii="Arial" w:hAnsi="Arial" w:cs="Arial"/>
          <w:b w:val="0"/>
          <w:bCs w:val="0"/>
          <w:color w:val="000000"/>
          <w:sz w:val="20"/>
          <w:szCs w:val="20"/>
          <w:u w:val="single"/>
        </w:rPr>
      </w:pPr>
      <w:r w:rsidRPr="002D2F67">
        <w:rPr>
          <w:rFonts w:ascii="Arial" w:hAnsi="Arial" w:cs="Arial"/>
          <w:b w:val="0"/>
          <w:bCs w:val="0"/>
          <w:color w:val="000000"/>
          <w:sz w:val="20"/>
          <w:szCs w:val="20"/>
          <w:u w:val="single"/>
        </w:rPr>
        <w:t>Foreign exchange risk</w:t>
      </w:r>
    </w:p>
    <w:p w14:paraId="44869812" w14:textId="77777777" w:rsidR="00DF5B73" w:rsidRPr="002D2F67" w:rsidRDefault="00DF5B73" w:rsidP="005611FE">
      <w:pPr>
        <w:ind w:left="540"/>
        <w:rPr>
          <w:rFonts w:ascii="Arial" w:hAnsi="Arial" w:cs="Arial"/>
          <w:color w:val="000000"/>
          <w:sz w:val="20"/>
          <w:szCs w:val="20"/>
          <w:u w:val="single"/>
        </w:rPr>
      </w:pPr>
    </w:p>
    <w:p w14:paraId="7A84D2D6" w14:textId="021BD5C9" w:rsidR="00DF5B73" w:rsidRPr="002D2F67" w:rsidRDefault="00A86BF1" w:rsidP="005611FE">
      <w:pPr>
        <w:pStyle w:val="BlockText"/>
        <w:ind w:left="540" w:right="8"/>
        <w:rPr>
          <w:rFonts w:ascii="Arial" w:hAnsi="Arial" w:cs="Arial"/>
          <w:color w:val="000000"/>
        </w:rPr>
      </w:pPr>
      <w:r w:rsidRPr="002D2F67">
        <w:rPr>
          <w:rFonts w:ascii="Arial" w:hAnsi="Arial" w:cs="Arial"/>
          <w:color w:val="000000"/>
          <w:spacing w:val="-4"/>
        </w:rPr>
        <w:t xml:space="preserve">The Group </w:t>
      </w:r>
      <w:r w:rsidR="00D061D8" w:rsidRPr="002D2F67">
        <w:rPr>
          <w:rFonts w:ascii="Arial" w:hAnsi="Arial" w:cs="Arial"/>
          <w:color w:val="000000"/>
          <w:spacing w:val="-4"/>
        </w:rPr>
        <w:t>is</w:t>
      </w:r>
      <w:r w:rsidRPr="002D2F67">
        <w:rPr>
          <w:rFonts w:ascii="Arial" w:hAnsi="Arial" w:cs="Arial"/>
          <w:color w:val="000000"/>
          <w:spacing w:val="-4"/>
        </w:rPr>
        <w:t xml:space="preserve"> exposed to foreign exchange risk from future commercial transactions and net monetary</w:t>
      </w:r>
      <w:r w:rsidRPr="002D2F67">
        <w:rPr>
          <w:rFonts w:ascii="Arial" w:hAnsi="Arial" w:cs="Arial"/>
          <w:color w:val="000000"/>
        </w:rPr>
        <w:t xml:space="preserve"> </w:t>
      </w:r>
      <w:r w:rsidRPr="002D2F67">
        <w:rPr>
          <w:rFonts w:ascii="Arial" w:hAnsi="Arial" w:cs="Arial"/>
          <w:color w:val="000000"/>
          <w:spacing w:val="-4"/>
        </w:rPr>
        <w:t>assets and liabilities that are denominated in a currency that is not the functional currency</w:t>
      </w:r>
      <w:r w:rsidR="005B7755" w:rsidRPr="002D2F67">
        <w:rPr>
          <w:rFonts w:ascii="Arial" w:hAnsi="Arial" w:cs="Arial"/>
          <w:color w:val="000000"/>
          <w:spacing w:val="-4"/>
        </w:rPr>
        <w:t xml:space="preserve"> of each entity</w:t>
      </w:r>
      <w:r w:rsidR="001C1F04" w:rsidRPr="002D2F67">
        <w:rPr>
          <w:rFonts w:ascii="Arial" w:hAnsi="Arial" w:cs="Arial"/>
          <w:color w:val="000000"/>
          <w:spacing w:val="-4"/>
        </w:rPr>
        <w:t xml:space="preserve"> within the Group</w:t>
      </w:r>
      <w:r w:rsidR="005B7755" w:rsidRPr="002D2F67">
        <w:rPr>
          <w:rFonts w:ascii="Arial" w:hAnsi="Arial" w:cs="Arial"/>
          <w:color w:val="000000"/>
          <w:spacing w:val="-4"/>
        </w:rPr>
        <w:t>.</w:t>
      </w:r>
    </w:p>
    <w:p w14:paraId="549955F3" w14:textId="77777777" w:rsidR="00A86BF1" w:rsidRPr="002D2F67" w:rsidRDefault="00A86BF1" w:rsidP="005611FE">
      <w:pPr>
        <w:pStyle w:val="BlockText"/>
        <w:ind w:left="540" w:right="-40"/>
        <w:rPr>
          <w:rFonts w:ascii="Arial" w:hAnsi="Arial" w:cs="Arial"/>
          <w:color w:val="000000"/>
        </w:rPr>
      </w:pPr>
    </w:p>
    <w:p w14:paraId="19832F02" w14:textId="4992BE41" w:rsidR="00B63AA8" w:rsidRPr="002D2F67" w:rsidRDefault="00A86BF1" w:rsidP="005611FE">
      <w:pPr>
        <w:pStyle w:val="BlockText"/>
        <w:ind w:left="539" w:right="-40"/>
        <w:jc w:val="left"/>
        <w:outlineLvl w:val="4"/>
        <w:rPr>
          <w:rFonts w:ascii="Arial" w:hAnsi="Arial" w:cs="Arial"/>
          <w:color w:val="000000"/>
          <w:u w:val="single"/>
        </w:rPr>
      </w:pPr>
      <w:r w:rsidRPr="002D2F67">
        <w:rPr>
          <w:rFonts w:ascii="Arial" w:hAnsi="Arial" w:cs="Arial"/>
          <w:color w:val="000000"/>
          <w:u w:val="single"/>
        </w:rPr>
        <w:t>Financial i</w:t>
      </w:r>
      <w:r w:rsidR="0095040F" w:rsidRPr="002D2F67">
        <w:rPr>
          <w:rFonts w:ascii="Arial" w:hAnsi="Arial" w:cs="Arial"/>
          <w:color w:val="000000"/>
          <w:u w:val="single"/>
        </w:rPr>
        <w:t>nstruments us</w:t>
      </w:r>
      <w:r w:rsidR="000F2031" w:rsidRPr="002D2F67">
        <w:rPr>
          <w:rFonts w:ascii="Arial" w:hAnsi="Arial" w:cs="Arial"/>
          <w:color w:val="000000"/>
          <w:u w:val="single"/>
        </w:rPr>
        <w:t>ed by the Group</w:t>
      </w:r>
      <w:r w:rsidRPr="002D2F67">
        <w:rPr>
          <w:rFonts w:ascii="Arial" w:hAnsi="Arial" w:cs="Arial"/>
          <w:color w:val="000000"/>
          <w:u w:val="single"/>
        </w:rPr>
        <w:t xml:space="preserve"> </w:t>
      </w:r>
    </w:p>
    <w:p w14:paraId="58AF3080" w14:textId="77777777" w:rsidR="0095040F" w:rsidRPr="002D2F67" w:rsidRDefault="0095040F" w:rsidP="005611FE">
      <w:pPr>
        <w:pStyle w:val="BlockText"/>
        <w:ind w:left="540" w:right="-40"/>
        <w:jc w:val="left"/>
        <w:rPr>
          <w:rFonts w:ascii="Arial" w:hAnsi="Arial" w:cs="Arial"/>
          <w:color w:val="000000"/>
        </w:rPr>
      </w:pPr>
    </w:p>
    <w:p w14:paraId="53E470FF" w14:textId="29C4388D" w:rsidR="00B63AA8" w:rsidRPr="002D2F67" w:rsidRDefault="00B63AA8" w:rsidP="005611FE">
      <w:pPr>
        <w:pStyle w:val="BlockText"/>
        <w:ind w:left="540" w:right="8"/>
        <w:jc w:val="thaiDistribute"/>
        <w:rPr>
          <w:rFonts w:ascii="Arial" w:hAnsi="Arial" w:cs="Arial"/>
          <w:color w:val="000000"/>
        </w:rPr>
      </w:pPr>
      <w:r w:rsidRPr="002D2F67">
        <w:rPr>
          <w:rFonts w:ascii="Arial" w:hAnsi="Arial" w:cs="Arial"/>
          <w:color w:val="000000"/>
        </w:rPr>
        <w:t>The Group</w:t>
      </w:r>
      <w:r w:rsidR="00026457" w:rsidRPr="002D2F67">
        <w:rPr>
          <w:rFonts w:ascii="Arial" w:hAnsi="Arial" w:cs="Arial"/>
          <w:color w:val="000000"/>
        </w:rPr>
        <w:t xml:space="preserve"> </w:t>
      </w:r>
      <w:r w:rsidR="00EB6E31" w:rsidRPr="002D2F67">
        <w:rPr>
          <w:rFonts w:ascii="Arial" w:hAnsi="Arial" w:cs="Arial"/>
          <w:color w:val="000000"/>
        </w:rPr>
        <w:t xml:space="preserve">considers </w:t>
      </w:r>
      <w:r w:rsidR="00017E62">
        <w:rPr>
          <w:rFonts w:ascii="Arial" w:hAnsi="Arial" w:cs="Arial"/>
          <w:color w:val="000000"/>
        </w:rPr>
        <w:t>using</w:t>
      </w:r>
      <w:r w:rsidRPr="002D2F67">
        <w:rPr>
          <w:rFonts w:ascii="Arial" w:hAnsi="Arial" w:cs="Arial"/>
          <w:color w:val="000000"/>
        </w:rPr>
        <w:t xml:space="preserve"> </w:t>
      </w:r>
      <w:r w:rsidR="00A86BF1" w:rsidRPr="002D2F67">
        <w:rPr>
          <w:rFonts w:ascii="Arial" w:hAnsi="Arial" w:cs="Arial"/>
          <w:color w:val="000000"/>
        </w:rPr>
        <w:t xml:space="preserve">hedge instrument to reduce the fluctuation of exchange rate </w:t>
      </w:r>
      <w:r w:rsidRPr="002D2F67">
        <w:rPr>
          <w:rFonts w:ascii="Arial" w:hAnsi="Arial" w:cs="Arial"/>
          <w:color w:val="000000"/>
        </w:rPr>
        <w:t xml:space="preserve">by </w:t>
      </w:r>
      <w:proofErr w:type="gramStart"/>
      <w:r w:rsidRPr="002D2F67">
        <w:rPr>
          <w:rFonts w:ascii="Arial" w:hAnsi="Arial" w:cs="Arial"/>
          <w:color w:val="000000"/>
        </w:rPr>
        <w:t>enter</w:t>
      </w:r>
      <w:r w:rsidR="005802D7" w:rsidRPr="002D2F67">
        <w:rPr>
          <w:rFonts w:ascii="Arial" w:hAnsi="Arial" w:cs="Arial"/>
          <w:color w:val="000000"/>
        </w:rPr>
        <w:t>ing</w:t>
      </w:r>
      <w:r w:rsidRPr="002D2F67">
        <w:rPr>
          <w:rFonts w:ascii="Arial" w:hAnsi="Arial" w:cs="Arial"/>
          <w:color w:val="000000"/>
        </w:rPr>
        <w:t xml:space="preserve"> </w:t>
      </w:r>
      <w:r w:rsidR="00EB6E31" w:rsidRPr="002D2F67">
        <w:rPr>
          <w:rFonts w:ascii="Arial" w:hAnsi="Arial" w:cs="Arial"/>
          <w:color w:val="000000"/>
        </w:rPr>
        <w:t>into</w:t>
      </w:r>
      <w:proofErr w:type="gramEnd"/>
      <w:r w:rsidR="00EB6E31" w:rsidRPr="002D2F67">
        <w:rPr>
          <w:rFonts w:ascii="Arial" w:hAnsi="Arial" w:cs="Arial"/>
          <w:color w:val="000000"/>
        </w:rPr>
        <w:t xml:space="preserve"> </w:t>
      </w:r>
      <w:r w:rsidRPr="002D2F67">
        <w:rPr>
          <w:rFonts w:ascii="Arial" w:hAnsi="Arial" w:cs="Arial"/>
          <w:color w:val="000000"/>
        </w:rPr>
        <w:t xml:space="preserve">foreign </w:t>
      </w:r>
      <w:r w:rsidR="00A86BF1" w:rsidRPr="002D2F67">
        <w:rPr>
          <w:rFonts w:ascii="Arial" w:hAnsi="Arial" w:cs="Arial"/>
          <w:color w:val="000000"/>
        </w:rPr>
        <w:t>currency forward</w:t>
      </w:r>
      <w:r w:rsidR="00997E9A" w:rsidRPr="002D2F67">
        <w:rPr>
          <w:rFonts w:ascii="Arial" w:hAnsi="Arial" w:cs="Arial"/>
          <w:color w:val="000000"/>
        </w:rPr>
        <w:t>,</w:t>
      </w:r>
      <w:r w:rsidR="00A86BF1" w:rsidRPr="002D2F67">
        <w:rPr>
          <w:rFonts w:ascii="Arial" w:hAnsi="Arial" w:cs="Arial"/>
          <w:color w:val="000000"/>
        </w:rPr>
        <w:t xml:space="preserve"> </w:t>
      </w:r>
      <w:r w:rsidR="7289EC42" w:rsidRPr="002D2F67">
        <w:rPr>
          <w:rFonts w:ascii="Arial" w:hAnsi="Arial" w:cs="Arial"/>
          <w:color w:val="000000"/>
        </w:rPr>
        <w:t xml:space="preserve">foreign currency and interest rate swaps </w:t>
      </w:r>
      <w:r w:rsidR="00997E9A" w:rsidRPr="002D2F67">
        <w:rPr>
          <w:rFonts w:ascii="Arial" w:hAnsi="Arial" w:cs="Arial"/>
          <w:color w:val="000000"/>
        </w:rPr>
        <w:t xml:space="preserve">and interest rate swaps </w:t>
      </w:r>
      <w:r w:rsidR="00F85D2D" w:rsidRPr="002D2F67">
        <w:rPr>
          <w:rFonts w:ascii="Arial" w:hAnsi="Arial" w:cs="Arial"/>
          <w:color w:val="000000"/>
        </w:rPr>
        <w:t xml:space="preserve">contracts </w:t>
      </w:r>
      <w:r w:rsidR="005B7755" w:rsidRPr="002D2F67">
        <w:rPr>
          <w:rFonts w:ascii="Arial" w:hAnsi="Arial" w:cs="Arial"/>
          <w:color w:val="000000"/>
          <w:spacing w:val="-6"/>
        </w:rPr>
        <w:t>if the Group assess that there is a significant foreign currency exposure</w:t>
      </w:r>
      <w:r w:rsidR="00A86BF1" w:rsidRPr="002D2F67">
        <w:rPr>
          <w:rFonts w:ascii="Arial" w:hAnsi="Arial" w:cs="Arial"/>
          <w:color w:val="000000"/>
          <w:spacing w:val="-6"/>
        </w:rPr>
        <w:t>. The Group’</w:t>
      </w:r>
      <w:r w:rsidR="005802D7" w:rsidRPr="002D2F67">
        <w:rPr>
          <w:rFonts w:ascii="Arial" w:hAnsi="Arial" w:cs="Arial"/>
          <w:color w:val="000000"/>
          <w:spacing w:val="-6"/>
        </w:rPr>
        <w:t>s</w:t>
      </w:r>
      <w:r w:rsidR="00A86BF1" w:rsidRPr="002D2F67">
        <w:rPr>
          <w:rFonts w:ascii="Arial" w:hAnsi="Arial" w:cs="Arial"/>
          <w:color w:val="000000"/>
          <w:spacing w:val="-6"/>
        </w:rPr>
        <w:t xml:space="preserve"> policy, the critical term</w:t>
      </w:r>
      <w:r w:rsidR="00A86BF1" w:rsidRPr="002D2F67">
        <w:rPr>
          <w:rFonts w:ascii="Arial" w:hAnsi="Arial" w:cs="Arial"/>
          <w:color w:val="000000"/>
        </w:rPr>
        <w:t xml:space="preserve"> of the forward contracts must align with hedge items.</w:t>
      </w:r>
    </w:p>
    <w:p w14:paraId="346A7A34" w14:textId="77777777" w:rsidR="00791044" w:rsidRPr="002D2F67" w:rsidRDefault="00791044" w:rsidP="005611FE">
      <w:pPr>
        <w:ind w:left="540"/>
        <w:rPr>
          <w:rFonts w:ascii="Arial" w:hAnsi="Arial" w:cs="Arial"/>
          <w:color w:val="000000"/>
          <w:sz w:val="20"/>
          <w:szCs w:val="20"/>
          <w:u w:val="single"/>
        </w:rPr>
      </w:pPr>
    </w:p>
    <w:p w14:paraId="2FD6AEAF" w14:textId="4EFBFECA" w:rsidR="00955811" w:rsidRPr="002D2F67" w:rsidRDefault="00955811" w:rsidP="005611FE">
      <w:pPr>
        <w:ind w:left="540"/>
        <w:rPr>
          <w:rFonts w:ascii="Arial" w:hAnsi="Arial" w:cs="Arial"/>
          <w:color w:val="000000"/>
          <w:sz w:val="20"/>
          <w:szCs w:val="20"/>
          <w:u w:val="single"/>
        </w:rPr>
        <w:sectPr w:rsidR="00955811" w:rsidRPr="002D2F67" w:rsidSect="002A66C6">
          <w:headerReference w:type="default" r:id="rId11"/>
          <w:footerReference w:type="default" r:id="rId12"/>
          <w:pgSz w:w="11906" w:h="16838" w:code="9"/>
          <w:pgMar w:top="1440" w:right="720" w:bottom="720" w:left="1728" w:header="706" w:footer="706" w:gutter="0"/>
          <w:pgNumType w:start="17"/>
          <w:cols w:space="720"/>
        </w:sectPr>
      </w:pPr>
    </w:p>
    <w:p w14:paraId="7DCFBFF3" w14:textId="1F5228E5" w:rsidR="00DF5B73" w:rsidRPr="002D2F67" w:rsidRDefault="00DF5B73" w:rsidP="005611FE">
      <w:pPr>
        <w:ind w:left="540"/>
        <w:rPr>
          <w:rFonts w:ascii="Arial" w:hAnsi="Arial" w:cs="Arial"/>
          <w:color w:val="000000"/>
          <w:sz w:val="20"/>
          <w:szCs w:val="20"/>
          <w:u w:val="single"/>
        </w:rPr>
      </w:pPr>
    </w:p>
    <w:p w14:paraId="2603BAE6" w14:textId="77777777" w:rsidR="00B63AA8" w:rsidRPr="002D2F67" w:rsidRDefault="00B63AA8" w:rsidP="005611FE">
      <w:pPr>
        <w:pStyle w:val="BlockText"/>
        <w:ind w:left="539" w:right="0"/>
        <w:outlineLvl w:val="5"/>
        <w:rPr>
          <w:rFonts w:ascii="Arial" w:hAnsi="Arial" w:cs="Arial"/>
          <w:i/>
          <w:iCs/>
          <w:color w:val="000000"/>
          <w:spacing w:val="-2"/>
        </w:rPr>
      </w:pPr>
      <w:r w:rsidRPr="002D2F67">
        <w:rPr>
          <w:rFonts w:ascii="Arial" w:hAnsi="Arial" w:cs="Arial"/>
          <w:i/>
          <w:iCs/>
          <w:color w:val="000000"/>
          <w:spacing w:val="-2"/>
        </w:rPr>
        <w:t>Exposure</w:t>
      </w:r>
    </w:p>
    <w:p w14:paraId="7825D980" w14:textId="77777777" w:rsidR="00B63AA8" w:rsidRPr="002D2F67" w:rsidRDefault="00B63AA8" w:rsidP="005611FE">
      <w:pPr>
        <w:pStyle w:val="BlockText"/>
        <w:ind w:left="540" w:right="0"/>
        <w:rPr>
          <w:rFonts w:ascii="Arial" w:hAnsi="Arial" w:cs="Arial"/>
          <w:i/>
          <w:iCs/>
          <w:color w:val="000000"/>
          <w:spacing w:val="-2"/>
        </w:rPr>
      </w:pPr>
    </w:p>
    <w:p w14:paraId="5F15FC6F" w14:textId="2211ABE4" w:rsidR="00B63AA8" w:rsidRPr="002D2F67" w:rsidRDefault="00B63AA8" w:rsidP="005611FE">
      <w:pPr>
        <w:pStyle w:val="BlockText"/>
        <w:ind w:left="540" w:right="0"/>
        <w:rPr>
          <w:rFonts w:ascii="Arial" w:hAnsi="Arial" w:cs="Arial"/>
          <w:color w:val="000000"/>
          <w:spacing w:val="-6"/>
        </w:rPr>
      </w:pPr>
      <w:r w:rsidRPr="002D2F67">
        <w:rPr>
          <w:rFonts w:ascii="Arial" w:hAnsi="Arial" w:cs="Arial"/>
          <w:color w:val="000000"/>
          <w:spacing w:val="-6"/>
        </w:rPr>
        <w:t>The Group’s</w:t>
      </w:r>
      <w:r w:rsidR="005B7755" w:rsidRPr="002D2F67">
        <w:rPr>
          <w:rFonts w:ascii="Arial" w:hAnsi="Arial" w:cs="Arial"/>
          <w:color w:val="000000"/>
          <w:spacing w:val="-6"/>
        </w:rPr>
        <w:t xml:space="preserve"> and the Company’s</w:t>
      </w:r>
      <w:r w:rsidRPr="002D2F67">
        <w:rPr>
          <w:rFonts w:ascii="Arial" w:hAnsi="Arial" w:cs="Arial"/>
          <w:color w:val="000000"/>
          <w:spacing w:val="-6"/>
        </w:rPr>
        <w:t xml:space="preserve"> exposure to foreign currency risk </w:t>
      </w:r>
      <w:r w:rsidR="00FB4B78" w:rsidRPr="002D2F67">
        <w:rPr>
          <w:rFonts w:ascii="Arial" w:hAnsi="Arial" w:cs="Arial"/>
          <w:color w:val="000000"/>
          <w:spacing w:val="-6"/>
        </w:rPr>
        <w:t xml:space="preserve">which is not a functional currency </w:t>
      </w:r>
      <w:r w:rsidRPr="002D2F67">
        <w:rPr>
          <w:rFonts w:ascii="Arial" w:hAnsi="Arial" w:cs="Arial"/>
          <w:color w:val="000000"/>
          <w:spacing w:val="-6"/>
        </w:rPr>
        <w:t xml:space="preserve">at the end of the reporting period, expressed in Baht </w:t>
      </w:r>
      <w:r w:rsidR="00875D14">
        <w:rPr>
          <w:rFonts w:ascii="Arial" w:hAnsi="Arial" w:cs="Arial"/>
          <w:color w:val="000000"/>
          <w:spacing w:val="-6"/>
        </w:rPr>
        <w:t>were</w:t>
      </w:r>
      <w:r w:rsidRPr="002D2F67">
        <w:rPr>
          <w:rFonts w:ascii="Arial" w:hAnsi="Arial" w:cs="Arial"/>
          <w:color w:val="000000"/>
          <w:spacing w:val="-6"/>
        </w:rPr>
        <w:t xml:space="preserve"> as follows:</w:t>
      </w:r>
    </w:p>
    <w:p w14:paraId="329F1DF6" w14:textId="77777777" w:rsidR="00C13BCE" w:rsidRPr="002D2F67" w:rsidRDefault="00C13BCE" w:rsidP="005611FE">
      <w:pPr>
        <w:pStyle w:val="BlockText"/>
        <w:ind w:left="540" w:right="0"/>
        <w:rPr>
          <w:rFonts w:ascii="Arial" w:hAnsi="Arial" w:cs="Arial"/>
          <w:color w:val="000000"/>
          <w:spacing w:val="-2"/>
        </w:rPr>
      </w:pPr>
    </w:p>
    <w:tbl>
      <w:tblPr>
        <w:tblW w:w="14963" w:type="dxa"/>
        <w:tblInd w:w="558" w:type="dxa"/>
        <w:tblLook w:val="04A0" w:firstRow="1" w:lastRow="0" w:firstColumn="1" w:lastColumn="0" w:noHBand="0" w:noVBand="1"/>
      </w:tblPr>
      <w:tblGrid>
        <w:gridCol w:w="4709"/>
        <w:gridCol w:w="1278"/>
        <w:gridCol w:w="1280"/>
        <w:gridCol w:w="1280"/>
        <w:gridCol w:w="1285"/>
        <w:gridCol w:w="1280"/>
        <w:gridCol w:w="1280"/>
        <w:gridCol w:w="1280"/>
        <w:gridCol w:w="1282"/>
        <w:gridCol w:w="9"/>
      </w:tblGrid>
      <w:tr w:rsidR="00B940D8" w:rsidRPr="002D2F67" w14:paraId="42F3BB34" w14:textId="77777777" w:rsidTr="00D85300">
        <w:trPr>
          <w:trHeight w:val="217"/>
        </w:trPr>
        <w:tc>
          <w:tcPr>
            <w:tcW w:w="4709" w:type="dxa"/>
            <w:shd w:val="clear" w:color="auto" w:fill="auto"/>
          </w:tcPr>
          <w:p w14:paraId="74321156" w14:textId="77777777" w:rsidR="00B940D8" w:rsidRPr="002D2F67" w:rsidRDefault="00B940D8" w:rsidP="005611FE">
            <w:pPr>
              <w:tabs>
                <w:tab w:val="right" w:pos="7200"/>
                <w:tab w:val="right" w:pos="9000"/>
              </w:tabs>
              <w:autoSpaceDE w:val="0"/>
              <w:autoSpaceDN w:val="0"/>
              <w:spacing w:line="220" w:lineRule="exact"/>
              <w:rPr>
                <w:rFonts w:ascii="Arial" w:hAnsi="Arial" w:cs="Arial"/>
                <w:b/>
                <w:bCs/>
                <w:color w:val="000000"/>
                <w:sz w:val="20"/>
                <w:szCs w:val="20"/>
              </w:rPr>
            </w:pPr>
          </w:p>
        </w:tc>
        <w:tc>
          <w:tcPr>
            <w:tcW w:w="5123" w:type="dxa"/>
            <w:gridSpan w:val="4"/>
            <w:tcBorders>
              <w:bottom w:val="single" w:sz="4" w:space="0" w:color="auto"/>
            </w:tcBorders>
            <w:shd w:val="clear" w:color="auto" w:fill="auto"/>
            <w:vAlign w:val="bottom"/>
          </w:tcPr>
          <w:p w14:paraId="3FCFFF70" w14:textId="77777777" w:rsidR="00B940D8" w:rsidRPr="002D2F67" w:rsidRDefault="00B940D8" w:rsidP="005611FE">
            <w:pPr>
              <w:autoSpaceDE w:val="0"/>
              <w:autoSpaceDN w:val="0"/>
              <w:spacing w:line="220" w:lineRule="exact"/>
              <w:ind w:right="-72"/>
              <w:jc w:val="right"/>
              <w:rPr>
                <w:rFonts w:ascii="Arial" w:hAnsi="Arial" w:cs="Arial"/>
                <w:b/>
                <w:bCs/>
                <w:color w:val="000000"/>
                <w:sz w:val="20"/>
                <w:szCs w:val="20"/>
                <w:cs/>
              </w:rPr>
            </w:pPr>
          </w:p>
        </w:tc>
        <w:tc>
          <w:tcPr>
            <w:tcW w:w="5131" w:type="dxa"/>
            <w:gridSpan w:val="5"/>
            <w:tcBorders>
              <w:bottom w:val="single" w:sz="4" w:space="0" w:color="auto"/>
            </w:tcBorders>
            <w:shd w:val="clear" w:color="auto" w:fill="auto"/>
            <w:vAlign w:val="bottom"/>
          </w:tcPr>
          <w:p w14:paraId="29873472" w14:textId="7FA38325" w:rsidR="00B940D8" w:rsidRPr="002D2F67" w:rsidRDefault="00B940D8" w:rsidP="005611FE">
            <w:pPr>
              <w:autoSpaceDE w:val="0"/>
              <w:autoSpaceDN w:val="0"/>
              <w:spacing w:line="220" w:lineRule="exact"/>
              <w:ind w:right="-72"/>
              <w:jc w:val="right"/>
              <w:rPr>
                <w:rFonts w:ascii="Arial" w:hAnsi="Arial" w:cs="Arial"/>
                <w:b/>
                <w:bCs/>
                <w:color w:val="000000"/>
                <w:sz w:val="20"/>
                <w:szCs w:val="20"/>
                <w:cs/>
              </w:rPr>
            </w:pPr>
            <w:r w:rsidRPr="002D2F67">
              <w:rPr>
                <w:rFonts w:ascii="Arial" w:eastAsia="Calibri" w:hAnsi="Arial" w:cs="Arial"/>
                <w:b/>
                <w:bCs/>
                <w:color w:val="000000"/>
                <w:sz w:val="20"/>
                <w:szCs w:val="20"/>
              </w:rPr>
              <w:t>Consolidated financial statements</w:t>
            </w:r>
          </w:p>
        </w:tc>
      </w:tr>
      <w:tr w:rsidR="002812AB" w:rsidRPr="002D2F67" w14:paraId="20DC50F4" w14:textId="77777777" w:rsidTr="00D85300">
        <w:trPr>
          <w:trHeight w:val="217"/>
        </w:trPr>
        <w:tc>
          <w:tcPr>
            <w:tcW w:w="4709" w:type="dxa"/>
            <w:shd w:val="clear" w:color="auto" w:fill="auto"/>
          </w:tcPr>
          <w:p w14:paraId="02FB1E58" w14:textId="466075FD" w:rsidR="00C13BCE" w:rsidRPr="002D2F67" w:rsidRDefault="00C13BCE" w:rsidP="005611FE">
            <w:pPr>
              <w:tabs>
                <w:tab w:val="right" w:pos="7200"/>
                <w:tab w:val="right" w:pos="9000"/>
              </w:tabs>
              <w:autoSpaceDE w:val="0"/>
              <w:autoSpaceDN w:val="0"/>
              <w:spacing w:line="220" w:lineRule="exact"/>
              <w:rPr>
                <w:rFonts w:ascii="Arial" w:hAnsi="Arial" w:cs="Arial"/>
                <w:b/>
                <w:bCs/>
                <w:color w:val="000000"/>
                <w:szCs w:val="26"/>
              </w:rPr>
            </w:pPr>
            <w:r w:rsidRPr="002D2F67">
              <w:rPr>
                <w:rFonts w:ascii="Arial" w:hAnsi="Arial" w:cs="Arial"/>
                <w:b/>
                <w:bCs/>
                <w:color w:val="000000"/>
                <w:sz w:val="20"/>
                <w:szCs w:val="20"/>
              </w:rPr>
              <w:t xml:space="preserve">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cs/>
              </w:rPr>
              <w:t xml:space="preserve"> </w:t>
            </w:r>
            <w:r w:rsidRPr="002D2F67">
              <w:rPr>
                <w:rFonts w:ascii="Arial" w:hAnsi="Arial" w:cs="Arial"/>
                <w:b/>
                <w:bCs/>
                <w:color w:val="000000"/>
                <w:sz w:val="20"/>
                <w:szCs w:val="20"/>
              </w:rPr>
              <w:t>December</w:t>
            </w:r>
          </w:p>
        </w:tc>
        <w:tc>
          <w:tcPr>
            <w:tcW w:w="5123" w:type="dxa"/>
            <w:gridSpan w:val="4"/>
            <w:tcBorders>
              <w:top w:val="single" w:sz="4" w:space="0" w:color="auto"/>
              <w:bottom w:val="single" w:sz="4" w:space="0" w:color="auto"/>
            </w:tcBorders>
            <w:shd w:val="clear" w:color="auto" w:fill="auto"/>
            <w:vAlign w:val="bottom"/>
          </w:tcPr>
          <w:p w14:paraId="76C7B8A8" w14:textId="0C6009EF" w:rsidR="00C13BCE" w:rsidRPr="002D2F67" w:rsidRDefault="00CD5714" w:rsidP="005611FE">
            <w:pPr>
              <w:autoSpaceDE w:val="0"/>
              <w:autoSpaceDN w:val="0"/>
              <w:spacing w:line="220" w:lineRule="exact"/>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5131" w:type="dxa"/>
            <w:gridSpan w:val="5"/>
            <w:tcBorders>
              <w:top w:val="single" w:sz="4" w:space="0" w:color="auto"/>
              <w:bottom w:val="single" w:sz="4" w:space="0" w:color="auto"/>
            </w:tcBorders>
            <w:shd w:val="clear" w:color="auto" w:fill="auto"/>
            <w:vAlign w:val="bottom"/>
          </w:tcPr>
          <w:p w14:paraId="6704090E" w14:textId="47533AD0" w:rsidR="00C13BCE" w:rsidRPr="002D2F67" w:rsidRDefault="00CD5714" w:rsidP="005611FE">
            <w:pPr>
              <w:autoSpaceDE w:val="0"/>
              <w:autoSpaceDN w:val="0"/>
              <w:spacing w:line="220" w:lineRule="exact"/>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251E06" w:rsidRPr="002D2F67" w14:paraId="6E29A853" w14:textId="77777777" w:rsidTr="005611FE">
        <w:trPr>
          <w:gridAfter w:val="1"/>
          <w:wAfter w:w="9" w:type="dxa"/>
          <w:trHeight w:val="472"/>
        </w:trPr>
        <w:tc>
          <w:tcPr>
            <w:tcW w:w="4709" w:type="dxa"/>
            <w:shd w:val="clear" w:color="auto" w:fill="auto"/>
          </w:tcPr>
          <w:p w14:paraId="23B89C18" w14:textId="77777777" w:rsidR="00251E06" w:rsidRPr="002D2F67" w:rsidRDefault="00251E06" w:rsidP="005611FE">
            <w:pPr>
              <w:spacing w:line="240" w:lineRule="atLeast"/>
              <w:jc w:val="both"/>
              <w:rPr>
                <w:rFonts w:ascii="Arial" w:hAnsi="Arial" w:cs="Arial"/>
                <w:color w:val="000000"/>
                <w:szCs w:val="26"/>
              </w:rPr>
            </w:pPr>
          </w:p>
        </w:tc>
        <w:tc>
          <w:tcPr>
            <w:tcW w:w="1278" w:type="dxa"/>
            <w:tcBorders>
              <w:bottom w:val="single" w:sz="4" w:space="0" w:color="auto"/>
            </w:tcBorders>
            <w:shd w:val="clear" w:color="auto" w:fill="auto"/>
            <w:vAlign w:val="bottom"/>
          </w:tcPr>
          <w:p w14:paraId="1F9AF5A3" w14:textId="77777777"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r w:rsidRPr="002D2F67">
              <w:rPr>
                <w:rFonts w:ascii="Arial" w:hAnsi="Arial" w:cs="Arial"/>
                <w:b/>
                <w:bCs/>
                <w:color w:val="000000"/>
                <w:sz w:val="20"/>
                <w:szCs w:val="20"/>
              </w:rPr>
              <w:t xml:space="preserve">US </w:t>
            </w:r>
          </w:p>
          <w:p w14:paraId="7C491BEF" w14:textId="16CE35C6" w:rsidR="00251E06" w:rsidRPr="002D2F67" w:rsidRDefault="00251E06" w:rsidP="005611FE">
            <w:pPr>
              <w:pStyle w:val="BlockText"/>
              <w:spacing w:line="240" w:lineRule="atLeast"/>
              <w:ind w:left="-55" w:right="-72"/>
              <w:jc w:val="right"/>
              <w:rPr>
                <w:rFonts w:ascii="Arial" w:eastAsia="Arial" w:hAnsi="Arial" w:cs="Arial"/>
                <w:b/>
                <w:bCs/>
                <w:color w:val="000000"/>
                <w:szCs w:val="26"/>
                <w:cs/>
              </w:rPr>
            </w:pPr>
            <w:r w:rsidRPr="002D2F67">
              <w:rPr>
                <w:rFonts w:ascii="Arial" w:hAnsi="Arial" w:cs="Arial"/>
                <w:b/>
                <w:bCs/>
                <w:color w:val="000000"/>
              </w:rPr>
              <w:t>Dollar</w:t>
            </w:r>
          </w:p>
        </w:tc>
        <w:tc>
          <w:tcPr>
            <w:tcW w:w="1280" w:type="dxa"/>
            <w:tcBorders>
              <w:bottom w:val="single" w:sz="4" w:space="0" w:color="auto"/>
            </w:tcBorders>
            <w:shd w:val="clear" w:color="auto" w:fill="auto"/>
            <w:vAlign w:val="bottom"/>
          </w:tcPr>
          <w:p w14:paraId="798939C4" w14:textId="77777777"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r w:rsidRPr="002D2F67">
              <w:rPr>
                <w:rFonts w:ascii="Arial" w:hAnsi="Arial" w:cs="Arial"/>
                <w:b/>
                <w:bCs/>
                <w:color w:val="000000"/>
                <w:sz w:val="20"/>
                <w:szCs w:val="20"/>
              </w:rPr>
              <w:t>Taiwan</w:t>
            </w:r>
          </w:p>
          <w:p w14:paraId="1BC18A26" w14:textId="4837F5FD" w:rsidR="00251E06" w:rsidRPr="002D2F67" w:rsidRDefault="00251E06" w:rsidP="005611FE">
            <w:pPr>
              <w:autoSpaceDE w:val="0"/>
              <w:autoSpaceDN w:val="0"/>
              <w:spacing w:line="220" w:lineRule="exact"/>
              <w:ind w:left="-77" w:right="-72"/>
              <w:jc w:val="right"/>
              <w:rPr>
                <w:rFonts w:ascii="Arial" w:hAnsi="Arial" w:cs="Arial"/>
                <w:b/>
                <w:bCs/>
                <w:color w:val="000000"/>
                <w:sz w:val="20"/>
                <w:szCs w:val="20"/>
                <w:cs/>
              </w:rPr>
            </w:pPr>
            <w:r w:rsidRPr="002D2F67">
              <w:rPr>
                <w:rFonts w:ascii="Arial" w:hAnsi="Arial" w:cs="Arial"/>
                <w:b/>
                <w:bCs/>
                <w:color w:val="000000"/>
                <w:sz w:val="20"/>
                <w:szCs w:val="20"/>
              </w:rPr>
              <w:t>Dollar</w:t>
            </w:r>
          </w:p>
        </w:tc>
        <w:tc>
          <w:tcPr>
            <w:tcW w:w="1280" w:type="dxa"/>
            <w:tcBorders>
              <w:bottom w:val="single" w:sz="4" w:space="0" w:color="auto"/>
            </w:tcBorders>
            <w:shd w:val="clear" w:color="auto" w:fill="auto"/>
            <w:vAlign w:val="bottom"/>
          </w:tcPr>
          <w:p w14:paraId="46439F54" w14:textId="39A95468"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r w:rsidRPr="002D2F67">
              <w:rPr>
                <w:rFonts w:ascii="Arial" w:hAnsi="Arial" w:cs="Arial"/>
                <w:b/>
                <w:bCs/>
                <w:color w:val="000000"/>
                <w:sz w:val="20"/>
                <w:szCs w:val="20"/>
              </w:rPr>
              <w:t xml:space="preserve">Japanese </w:t>
            </w:r>
          </w:p>
          <w:p w14:paraId="6ADDA40D" w14:textId="1EA3C491" w:rsidR="00251E06" w:rsidRPr="002D2F67" w:rsidRDefault="00251E06" w:rsidP="005611FE">
            <w:pPr>
              <w:pStyle w:val="BlockText"/>
              <w:spacing w:line="240" w:lineRule="atLeast"/>
              <w:ind w:left="0" w:right="-72"/>
              <w:jc w:val="right"/>
              <w:rPr>
                <w:rFonts w:ascii="Arial" w:eastAsia="Arial" w:hAnsi="Arial" w:cs="Arial"/>
                <w:b/>
                <w:bCs/>
                <w:color w:val="000000"/>
                <w:szCs w:val="26"/>
              </w:rPr>
            </w:pPr>
            <w:r w:rsidRPr="002D2F67">
              <w:rPr>
                <w:rFonts w:ascii="Arial" w:hAnsi="Arial" w:cs="Arial"/>
                <w:b/>
                <w:bCs/>
                <w:color w:val="000000"/>
              </w:rPr>
              <w:t>Yen</w:t>
            </w:r>
          </w:p>
        </w:tc>
        <w:tc>
          <w:tcPr>
            <w:tcW w:w="1285" w:type="dxa"/>
            <w:tcBorders>
              <w:bottom w:val="single" w:sz="4" w:space="0" w:color="auto"/>
            </w:tcBorders>
            <w:shd w:val="clear" w:color="auto" w:fill="auto"/>
            <w:vAlign w:val="bottom"/>
          </w:tcPr>
          <w:p w14:paraId="03EBA555" w14:textId="77777777"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r w:rsidRPr="002D2F67">
              <w:rPr>
                <w:rFonts w:ascii="Arial" w:hAnsi="Arial" w:cs="Arial"/>
                <w:b/>
                <w:bCs/>
                <w:color w:val="000000"/>
                <w:sz w:val="20"/>
                <w:szCs w:val="20"/>
              </w:rPr>
              <w:t xml:space="preserve">Chinese </w:t>
            </w:r>
          </w:p>
          <w:p w14:paraId="53EB752B" w14:textId="3C7D0154"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r w:rsidRPr="002D2F67">
              <w:rPr>
                <w:rFonts w:ascii="Arial" w:hAnsi="Arial" w:cs="Arial"/>
                <w:b/>
                <w:bCs/>
                <w:color w:val="000000"/>
                <w:sz w:val="20"/>
                <w:szCs w:val="20"/>
              </w:rPr>
              <w:t>Yuan</w:t>
            </w:r>
          </w:p>
        </w:tc>
        <w:tc>
          <w:tcPr>
            <w:tcW w:w="1280" w:type="dxa"/>
            <w:tcBorders>
              <w:bottom w:val="single" w:sz="4" w:space="0" w:color="auto"/>
            </w:tcBorders>
            <w:shd w:val="clear" w:color="auto" w:fill="auto"/>
            <w:vAlign w:val="bottom"/>
          </w:tcPr>
          <w:p w14:paraId="6187281A" w14:textId="77777777"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r w:rsidRPr="002D2F67">
              <w:rPr>
                <w:rFonts w:ascii="Arial" w:hAnsi="Arial" w:cs="Arial"/>
                <w:b/>
                <w:bCs/>
                <w:color w:val="000000"/>
                <w:sz w:val="20"/>
                <w:szCs w:val="20"/>
              </w:rPr>
              <w:t xml:space="preserve">US </w:t>
            </w:r>
          </w:p>
          <w:p w14:paraId="0AFAC293" w14:textId="191A5F7D" w:rsidR="00251E06" w:rsidRPr="002D2F67" w:rsidRDefault="00251E06" w:rsidP="005611FE">
            <w:pPr>
              <w:pStyle w:val="BlockText"/>
              <w:spacing w:line="240" w:lineRule="atLeast"/>
              <w:ind w:left="-55" w:right="-72"/>
              <w:jc w:val="right"/>
              <w:rPr>
                <w:rFonts w:ascii="Arial" w:eastAsia="Arial" w:hAnsi="Arial" w:cs="Arial"/>
                <w:b/>
                <w:bCs/>
                <w:color w:val="000000"/>
                <w:szCs w:val="26"/>
                <w:cs/>
              </w:rPr>
            </w:pPr>
            <w:r w:rsidRPr="002D2F67">
              <w:rPr>
                <w:rFonts w:ascii="Arial" w:hAnsi="Arial" w:cs="Arial"/>
                <w:b/>
                <w:bCs/>
                <w:color w:val="000000"/>
              </w:rPr>
              <w:t>Dollar</w:t>
            </w:r>
          </w:p>
        </w:tc>
        <w:tc>
          <w:tcPr>
            <w:tcW w:w="1280" w:type="dxa"/>
            <w:tcBorders>
              <w:bottom w:val="single" w:sz="4" w:space="0" w:color="auto"/>
            </w:tcBorders>
            <w:shd w:val="clear" w:color="auto" w:fill="auto"/>
            <w:vAlign w:val="bottom"/>
          </w:tcPr>
          <w:p w14:paraId="1BF30AED" w14:textId="77777777"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r w:rsidRPr="002D2F67">
              <w:rPr>
                <w:rFonts w:ascii="Arial" w:hAnsi="Arial" w:cs="Arial"/>
                <w:b/>
                <w:bCs/>
                <w:color w:val="000000"/>
                <w:sz w:val="20"/>
                <w:szCs w:val="20"/>
              </w:rPr>
              <w:t>Taiwan</w:t>
            </w:r>
          </w:p>
          <w:p w14:paraId="51072D9C" w14:textId="1EFA63CA" w:rsidR="00251E06" w:rsidRPr="002D2F67" w:rsidRDefault="00251E06" w:rsidP="005611FE">
            <w:pPr>
              <w:autoSpaceDE w:val="0"/>
              <w:autoSpaceDN w:val="0"/>
              <w:spacing w:line="220" w:lineRule="exact"/>
              <w:ind w:left="-77" w:right="-72"/>
              <w:jc w:val="right"/>
              <w:rPr>
                <w:rFonts w:ascii="Arial" w:hAnsi="Arial" w:cs="Arial"/>
                <w:b/>
                <w:bCs/>
                <w:color w:val="000000"/>
                <w:sz w:val="20"/>
                <w:szCs w:val="20"/>
                <w:cs/>
              </w:rPr>
            </w:pPr>
            <w:r w:rsidRPr="002D2F67">
              <w:rPr>
                <w:rFonts w:ascii="Arial" w:hAnsi="Arial" w:cs="Arial"/>
                <w:b/>
                <w:bCs/>
                <w:color w:val="000000"/>
                <w:sz w:val="20"/>
                <w:szCs w:val="20"/>
              </w:rPr>
              <w:t>Dollar</w:t>
            </w:r>
          </w:p>
        </w:tc>
        <w:tc>
          <w:tcPr>
            <w:tcW w:w="1280" w:type="dxa"/>
            <w:tcBorders>
              <w:bottom w:val="single" w:sz="4" w:space="0" w:color="auto"/>
            </w:tcBorders>
            <w:shd w:val="clear" w:color="auto" w:fill="auto"/>
            <w:vAlign w:val="bottom"/>
          </w:tcPr>
          <w:p w14:paraId="721887AC" w14:textId="77777777"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r w:rsidRPr="002D2F67">
              <w:rPr>
                <w:rFonts w:ascii="Arial" w:hAnsi="Arial" w:cs="Arial"/>
                <w:b/>
                <w:bCs/>
                <w:color w:val="000000"/>
                <w:sz w:val="20"/>
                <w:szCs w:val="20"/>
              </w:rPr>
              <w:t xml:space="preserve">Japanese </w:t>
            </w:r>
          </w:p>
          <w:p w14:paraId="1B6D99F5" w14:textId="3219C1F4" w:rsidR="00251E06" w:rsidRPr="002D2F67" w:rsidRDefault="00251E06" w:rsidP="005611FE">
            <w:pPr>
              <w:pStyle w:val="BlockText"/>
              <w:spacing w:line="240" w:lineRule="atLeast"/>
              <w:ind w:left="0" w:right="-72"/>
              <w:jc w:val="right"/>
              <w:rPr>
                <w:rFonts w:ascii="Arial" w:eastAsia="Arial" w:hAnsi="Arial" w:cs="Arial"/>
                <w:b/>
                <w:bCs/>
                <w:color w:val="000000"/>
                <w:szCs w:val="26"/>
              </w:rPr>
            </w:pPr>
            <w:r w:rsidRPr="002D2F67">
              <w:rPr>
                <w:rFonts w:ascii="Arial" w:hAnsi="Arial" w:cs="Arial"/>
                <w:b/>
                <w:bCs/>
                <w:color w:val="000000"/>
              </w:rPr>
              <w:t>Yen</w:t>
            </w:r>
          </w:p>
        </w:tc>
        <w:tc>
          <w:tcPr>
            <w:tcW w:w="1282" w:type="dxa"/>
            <w:tcBorders>
              <w:bottom w:val="single" w:sz="4" w:space="0" w:color="auto"/>
            </w:tcBorders>
            <w:shd w:val="clear" w:color="auto" w:fill="auto"/>
            <w:vAlign w:val="bottom"/>
          </w:tcPr>
          <w:p w14:paraId="2D7B1625" w14:textId="77777777"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r w:rsidRPr="002D2F67">
              <w:rPr>
                <w:rFonts w:ascii="Arial" w:hAnsi="Arial" w:cs="Arial"/>
                <w:b/>
                <w:bCs/>
                <w:color w:val="000000"/>
                <w:sz w:val="20"/>
                <w:szCs w:val="20"/>
              </w:rPr>
              <w:t xml:space="preserve">Chinese </w:t>
            </w:r>
          </w:p>
          <w:p w14:paraId="56B80F23" w14:textId="47B2C10A"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r w:rsidRPr="002D2F67">
              <w:rPr>
                <w:rFonts w:ascii="Arial" w:hAnsi="Arial" w:cs="Arial"/>
                <w:b/>
                <w:bCs/>
                <w:color w:val="000000"/>
                <w:sz w:val="20"/>
                <w:szCs w:val="20"/>
              </w:rPr>
              <w:t>Yuan</w:t>
            </w:r>
          </w:p>
        </w:tc>
      </w:tr>
      <w:tr w:rsidR="00251E06" w:rsidRPr="002D2F67" w14:paraId="0E45611B" w14:textId="77777777" w:rsidTr="005611FE">
        <w:trPr>
          <w:gridAfter w:val="1"/>
          <w:wAfter w:w="9" w:type="dxa"/>
          <w:trHeight w:val="448"/>
        </w:trPr>
        <w:tc>
          <w:tcPr>
            <w:tcW w:w="4709" w:type="dxa"/>
            <w:shd w:val="clear" w:color="auto" w:fill="auto"/>
          </w:tcPr>
          <w:p w14:paraId="3F1A6593" w14:textId="77777777" w:rsidR="00251E06" w:rsidRPr="002D2F67" w:rsidRDefault="00251E06" w:rsidP="005611FE">
            <w:pPr>
              <w:jc w:val="both"/>
              <w:rPr>
                <w:rFonts w:ascii="Arial" w:hAnsi="Arial" w:cs="Arial"/>
                <w:color w:val="000000"/>
                <w:szCs w:val="26"/>
              </w:rPr>
            </w:pPr>
          </w:p>
        </w:tc>
        <w:tc>
          <w:tcPr>
            <w:tcW w:w="1278" w:type="dxa"/>
            <w:tcBorders>
              <w:top w:val="single" w:sz="4" w:space="0" w:color="auto"/>
              <w:bottom w:val="single" w:sz="4" w:space="0" w:color="auto"/>
            </w:tcBorders>
            <w:shd w:val="clear" w:color="auto" w:fill="auto"/>
            <w:vAlign w:val="bottom"/>
          </w:tcPr>
          <w:p w14:paraId="75D4FDC8" w14:textId="77777777"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r w:rsidRPr="002D2F67">
              <w:rPr>
                <w:rFonts w:ascii="Arial" w:hAnsi="Arial" w:cs="Arial"/>
                <w:b/>
                <w:bCs/>
                <w:color w:val="000000"/>
                <w:sz w:val="20"/>
                <w:szCs w:val="20"/>
              </w:rPr>
              <w:t>Million</w:t>
            </w:r>
          </w:p>
          <w:p w14:paraId="08131EF5" w14:textId="6445D836"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r w:rsidRPr="002D2F67">
              <w:rPr>
                <w:rFonts w:ascii="Arial" w:hAnsi="Arial" w:cs="Arial"/>
                <w:b/>
                <w:bCs/>
                <w:color w:val="000000"/>
                <w:sz w:val="20"/>
                <w:szCs w:val="20"/>
              </w:rPr>
              <w:t>Baht</w:t>
            </w:r>
          </w:p>
        </w:tc>
        <w:tc>
          <w:tcPr>
            <w:tcW w:w="1280" w:type="dxa"/>
            <w:tcBorders>
              <w:top w:val="single" w:sz="4" w:space="0" w:color="auto"/>
              <w:bottom w:val="single" w:sz="4" w:space="0" w:color="auto"/>
            </w:tcBorders>
            <w:shd w:val="clear" w:color="auto" w:fill="auto"/>
            <w:vAlign w:val="bottom"/>
          </w:tcPr>
          <w:p w14:paraId="0468DD9B" w14:textId="77777777"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r w:rsidRPr="002D2F67">
              <w:rPr>
                <w:rFonts w:ascii="Arial" w:hAnsi="Arial" w:cs="Arial"/>
                <w:b/>
                <w:bCs/>
                <w:color w:val="000000"/>
                <w:sz w:val="20"/>
                <w:szCs w:val="20"/>
              </w:rPr>
              <w:t>Million</w:t>
            </w:r>
          </w:p>
          <w:p w14:paraId="27D4D1E9" w14:textId="4197E5B6"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r w:rsidRPr="002D2F67">
              <w:rPr>
                <w:rFonts w:ascii="Arial" w:hAnsi="Arial" w:cs="Arial"/>
                <w:b/>
                <w:bCs/>
                <w:color w:val="000000"/>
                <w:sz w:val="20"/>
                <w:szCs w:val="20"/>
              </w:rPr>
              <w:t>Baht</w:t>
            </w:r>
          </w:p>
        </w:tc>
        <w:tc>
          <w:tcPr>
            <w:tcW w:w="1280" w:type="dxa"/>
            <w:tcBorders>
              <w:top w:val="single" w:sz="4" w:space="0" w:color="auto"/>
              <w:bottom w:val="single" w:sz="4" w:space="0" w:color="auto"/>
            </w:tcBorders>
            <w:shd w:val="clear" w:color="auto" w:fill="auto"/>
            <w:vAlign w:val="bottom"/>
          </w:tcPr>
          <w:p w14:paraId="70C9A3B2" w14:textId="77777777"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r w:rsidRPr="002D2F67">
              <w:rPr>
                <w:rFonts w:ascii="Arial" w:hAnsi="Arial" w:cs="Arial"/>
                <w:b/>
                <w:bCs/>
                <w:color w:val="000000"/>
                <w:sz w:val="20"/>
                <w:szCs w:val="20"/>
              </w:rPr>
              <w:t>Million</w:t>
            </w:r>
          </w:p>
          <w:p w14:paraId="61CF2391" w14:textId="0299E8F7" w:rsidR="00251E06" w:rsidRPr="002D2F67" w:rsidRDefault="00251E06" w:rsidP="005611FE">
            <w:pPr>
              <w:pStyle w:val="BlockText"/>
              <w:ind w:left="0" w:right="-72"/>
              <w:jc w:val="right"/>
              <w:rPr>
                <w:rFonts w:ascii="Arial" w:hAnsi="Arial" w:cs="Arial"/>
                <w:color w:val="000000"/>
                <w:szCs w:val="26"/>
              </w:rPr>
            </w:pPr>
            <w:r w:rsidRPr="002D2F67">
              <w:rPr>
                <w:rFonts w:ascii="Arial" w:hAnsi="Arial" w:cs="Arial"/>
                <w:b/>
                <w:bCs/>
                <w:color w:val="000000"/>
              </w:rPr>
              <w:t>Baht</w:t>
            </w:r>
          </w:p>
        </w:tc>
        <w:tc>
          <w:tcPr>
            <w:tcW w:w="1285" w:type="dxa"/>
            <w:tcBorders>
              <w:top w:val="single" w:sz="4" w:space="0" w:color="auto"/>
              <w:bottom w:val="single" w:sz="4" w:space="0" w:color="auto"/>
            </w:tcBorders>
            <w:shd w:val="clear" w:color="auto" w:fill="auto"/>
            <w:vAlign w:val="bottom"/>
          </w:tcPr>
          <w:p w14:paraId="2A7C5796" w14:textId="77777777"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r w:rsidRPr="002D2F67">
              <w:rPr>
                <w:rFonts w:ascii="Arial" w:hAnsi="Arial" w:cs="Arial"/>
                <w:b/>
                <w:bCs/>
                <w:color w:val="000000"/>
                <w:sz w:val="20"/>
                <w:szCs w:val="20"/>
              </w:rPr>
              <w:t>Million</w:t>
            </w:r>
          </w:p>
          <w:p w14:paraId="725AA7FF" w14:textId="17A6C939"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r w:rsidRPr="002D2F67">
              <w:rPr>
                <w:rFonts w:ascii="Arial" w:hAnsi="Arial" w:cs="Arial"/>
                <w:b/>
                <w:bCs/>
                <w:color w:val="000000"/>
                <w:sz w:val="20"/>
                <w:szCs w:val="20"/>
              </w:rPr>
              <w:t>Baht</w:t>
            </w:r>
          </w:p>
        </w:tc>
        <w:tc>
          <w:tcPr>
            <w:tcW w:w="1280" w:type="dxa"/>
            <w:tcBorders>
              <w:top w:val="single" w:sz="4" w:space="0" w:color="auto"/>
              <w:bottom w:val="single" w:sz="4" w:space="0" w:color="auto"/>
            </w:tcBorders>
            <w:shd w:val="clear" w:color="auto" w:fill="auto"/>
            <w:vAlign w:val="bottom"/>
          </w:tcPr>
          <w:p w14:paraId="165E3875" w14:textId="77777777"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r w:rsidRPr="002D2F67">
              <w:rPr>
                <w:rFonts w:ascii="Arial" w:hAnsi="Arial" w:cs="Arial"/>
                <w:b/>
                <w:bCs/>
                <w:color w:val="000000"/>
                <w:sz w:val="20"/>
                <w:szCs w:val="20"/>
              </w:rPr>
              <w:t>Million</w:t>
            </w:r>
          </w:p>
          <w:p w14:paraId="63F3A17E" w14:textId="3AA3A426"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r w:rsidRPr="002D2F67">
              <w:rPr>
                <w:rFonts w:ascii="Arial" w:hAnsi="Arial" w:cs="Arial"/>
                <w:b/>
                <w:bCs/>
                <w:color w:val="000000"/>
                <w:sz w:val="20"/>
                <w:szCs w:val="20"/>
              </w:rPr>
              <w:t>Baht</w:t>
            </w:r>
          </w:p>
        </w:tc>
        <w:tc>
          <w:tcPr>
            <w:tcW w:w="1280" w:type="dxa"/>
            <w:tcBorders>
              <w:top w:val="single" w:sz="4" w:space="0" w:color="auto"/>
              <w:bottom w:val="single" w:sz="4" w:space="0" w:color="auto"/>
            </w:tcBorders>
            <w:shd w:val="clear" w:color="auto" w:fill="auto"/>
            <w:vAlign w:val="bottom"/>
          </w:tcPr>
          <w:p w14:paraId="2457F2C0" w14:textId="77777777"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r w:rsidRPr="002D2F67">
              <w:rPr>
                <w:rFonts w:ascii="Arial" w:hAnsi="Arial" w:cs="Arial"/>
                <w:b/>
                <w:bCs/>
                <w:color w:val="000000"/>
                <w:sz w:val="20"/>
                <w:szCs w:val="20"/>
              </w:rPr>
              <w:t>Million</w:t>
            </w:r>
          </w:p>
          <w:p w14:paraId="14874414" w14:textId="7388FF03"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r w:rsidRPr="002D2F67">
              <w:rPr>
                <w:rFonts w:ascii="Arial" w:hAnsi="Arial" w:cs="Arial"/>
                <w:b/>
                <w:bCs/>
                <w:color w:val="000000"/>
                <w:sz w:val="20"/>
                <w:szCs w:val="20"/>
              </w:rPr>
              <w:t>Baht</w:t>
            </w:r>
          </w:p>
        </w:tc>
        <w:tc>
          <w:tcPr>
            <w:tcW w:w="1280" w:type="dxa"/>
            <w:tcBorders>
              <w:top w:val="single" w:sz="4" w:space="0" w:color="auto"/>
              <w:bottom w:val="single" w:sz="4" w:space="0" w:color="auto"/>
            </w:tcBorders>
            <w:shd w:val="clear" w:color="auto" w:fill="auto"/>
            <w:vAlign w:val="bottom"/>
          </w:tcPr>
          <w:p w14:paraId="46EB728C" w14:textId="77777777"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r w:rsidRPr="002D2F67">
              <w:rPr>
                <w:rFonts w:ascii="Arial" w:hAnsi="Arial" w:cs="Arial"/>
                <w:b/>
                <w:bCs/>
                <w:color w:val="000000"/>
                <w:sz w:val="20"/>
                <w:szCs w:val="20"/>
              </w:rPr>
              <w:t>Million</w:t>
            </w:r>
          </w:p>
          <w:p w14:paraId="5F0EEDB0" w14:textId="5D80358E"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r w:rsidRPr="002D2F67">
              <w:rPr>
                <w:rFonts w:ascii="Arial" w:hAnsi="Arial" w:cs="Arial"/>
                <w:b/>
                <w:bCs/>
                <w:color w:val="000000"/>
                <w:sz w:val="20"/>
                <w:szCs w:val="20"/>
              </w:rPr>
              <w:t>Baht</w:t>
            </w:r>
          </w:p>
        </w:tc>
        <w:tc>
          <w:tcPr>
            <w:tcW w:w="1282" w:type="dxa"/>
            <w:tcBorders>
              <w:top w:val="single" w:sz="4" w:space="0" w:color="auto"/>
              <w:bottom w:val="single" w:sz="4" w:space="0" w:color="auto"/>
            </w:tcBorders>
            <w:shd w:val="clear" w:color="auto" w:fill="auto"/>
            <w:vAlign w:val="bottom"/>
          </w:tcPr>
          <w:p w14:paraId="5FD53C74" w14:textId="77777777"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r w:rsidRPr="002D2F67">
              <w:rPr>
                <w:rFonts w:ascii="Arial" w:hAnsi="Arial" w:cs="Arial"/>
                <w:b/>
                <w:bCs/>
                <w:color w:val="000000"/>
                <w:sz w:val="20"/>
                <w:szCs w:val="20"/>
              </w:rPr>
              <w:t>Million</w:t>
            </w:r>
          </w:p>
          <w:p w14:paraId="48F586E8" w14:textId="713CECC5"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r w:rsidRPr="002D2F67">
              <w:rPr>
                <w:rFonts w:ascii="Arial" w:hAnsi="Arial" w:cs="Arial"/>
                <w:b/>
                <w:bCs/>
                <w:color w:val="000000"/>
                <w:sz w:val="20"/>
                <w:szCs w:val="20"/>
              </w:rPr>
              <w:t>Baht</w:t>
            </w:r>
          </w:p>
        </w:tc>
      </w:tr>
      <w:tr w:rsidR="00251E06" w:rsidRPr="002D2F67" w14:paraId="60991E51" w14:textId="77777777" w:rsidTr="005611FE">
        <w:trPr>
          <w:gridAfter w:val="1"/>
          <w:wAfter w:w="9" w:type="dxa"/>
          <w:trHeight w:val="131"/>
        </w:trPr>
        <w:tc>
          <w:tcPr>
            <w:tcW w:w="4709" w:type="dxa"/>
            <w:shd w:val="clear" w:color="auto" w:fill="auto"/>
          </w:tcPr>
          <w:p w14:paraId="40EEF616" w14:textId="77777777" w:rsidR="00251E06" w:rsidRPr="002D2F67" w:rsidRDefault="00251E06" w:rsidP="005611FE">
            <w:pPr>
              <w:jc w:val="both"/>
              <w:rPr>
                <w:rFonts w:ascii="Arial" w:hAnsi="Arial" w:cs="Arial"/>
                <w:color w:val="000000"/>
                <w:szCs w:val="26"/>
              </w:rPr>
            </w:pPr>
          </w:p>
        </w:tc>
        <w:tc>
          <w:tcPr>
            <w:tcW w:w="1278" w:type="dxa"/>
            <w:tcBorders>
              <w:top w:val="single" w:sz="4" w:space="0" w:color="auto"/>
            </w:tcBorders>
            <w:shd w:val="clear" w:color="auto" w:fill="auto"/>
            <w:vAlign w:val="bottom"/>
          </w:tcPr>
          <w:p w14:paraId="2A637E10" w14:textId="77777777"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p>
        </w:tc>
        <w:tc>
          <w:tcPr>
            <w:tcW w:w="1280" w:type="dxa"/>
            <w:tcBorders>
              <w:top w:val="single" w:sz="4" w:space="0" w:color="auto"/>
            </w:tcBorders>
            <w:shd w:val="clear" w:color="auto" w:fill="auto"/>
            <w:vAlign w:val="bottom"/>
          </w:tcPr>
          <w:p w14:paraId="45E7FE02" w14:textId="77777777"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p>
        </w:tc>
        <w:tc>
          <w:tcPr>
            <w:tcW w:w="1280" w:type="dxa"/>
            <w:tcBorders>
              <w:top w:val="single" w:sz="4" w:space="0" w:color="auto"/>
            </w:tcBorders>
            <w:shd w:val="clear" w:color="auto" w:fill="auto"/>
            <w:vAlign w:val="bottom"/>
          </w:tcPr>
          <w:p w14:paraId="70087687" w14:textId="77777777"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p>
        </w:tc>
        <w:tc>
          <w:tcPr>
            <w:tcW w:w="1285" w:type="dxa"/>
            <w:tcBorders>
              <w:top w:val="single" w:sz="4" w:space="0" w:color="auto"/>
            </w:tcBorders>
            <w:shd w:val="clear" w:color="auto" w:fill="auto"/>
            <w:vAlign w:val="bottom"/>
          </w:tcPr>
          <w:p w14:paraId="0FB81727" w14:textId="77777777"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p>
        </w:tc>
        <w:tc>
          <w:tcPr>
            <w:tcW w:w="1280" w:type="dxa"/>
            <w:tcBorders>
              <w:top w:val="single" w:sz="4" w:space="0" w:color="auto"/>
            </w:tcBorders>
            <w:shd w:val="clear" w:color="auto" w:fill="auto"/>
            <w:vAlign w:val="bottom"/>
          </w:tcPr>
          <w:p w14:paraId="245CDB42" w14:textId="77777777"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p>
        </w:tc>
        <w:tc>
          <w:tcPr>
            <w:tcW w:w="1280" w:type="dxa"/>
            <w:tcBorders>
              <w:top w:val="single" w:sz="4" w:space="0" w:color="auto"/>
            </w:tcBorders>
            <w:shd w:val="clear" w:color="auto" w:fill="auto"/>
            <w:vAlign w:val="bottom"/>
          </w:tcPr>
          <w:p w14:paraId="19542D46" w14:textId="77777777"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p>
        </w:tc>
        <w:tc>
          <w:tcPr>
            <w:tcW w:w="1280" w:type="dxa"/>
            <w:tcBorders>
              <w:top w:val="single" w:sz="4" w:space="0" w:color="auto"/>
            </w:tcBorders>
            <w:shd w:val="clear" w:color="auto" w:fill="auto"/>
            <w:vAlign w:val="bottom"/>
          </w:tcPr>
          <w:p w14:paraId="4D59960B" w14:textId="77777777"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p>
        </w:tc>
        <w:tc>
          <w:tcPr>
            <w:tcW w:w="1282" w:type="dxa"/>
            <w:tcBorders>
              <w:top w:val="single" w:sz="4" w:space="0" w:color="auto"/>
            </w:tcBorders>
            <w:shd w:val="clear" w:color="auto" w:fill="auto"/>
            <w:vAlign w:val="bottom"/>
          </w:tcPr>
          <w:p w14:paraId="00DE0602" w14:textId="77777777" w:rsidR="00251E06" w:rsidRPr="002D2F67" w:rsidRDefault="00251E06" w:rsidP="005611FE">
            <w:pPr>
              <w:autoSpaceDE w:val="0"/>
              <w:autoSpaceDN w:val="0"/>
              <w:spacing w:line="220" w:lineRule="exact"/>
              <w:ind w:left="-77" w:right="-72"/>
              <w:jc w:val="right"/>
              <w:rPr>
                <w:rFonts w:ascii="Arial" w:hAnsi="Arial" w:cs="Arial"/>
                <w:b/>
                <w:bCs/>
                <w:color w:val="000000"/>
                <w:sz w:val="20"/>
                <w:szCs w:val="20"/>
              </w:rPr>
            </w:pPr>
          </w:p>
        </w:tc>
      </w:tr>
      <w:tr w:rsidR="001D52AC" w:rsidRPr="002D2F67" w14:paraId="39E24A46" w14:textId="77777777" w:rsidTr="005611FE">
        <w:trPr>
          <w:gridAfter w:val="1"/>
          <w:wAfter w:w="9" w:type="dxa"/>
          <w:trHeight w:val="230"/>
        </w:trPr>
        <w:tc>
          <w:tcPr>
            <w:tcW w:w="4709" w:type="dxa"/>
            <w:shd w:val="clear" w:color="auto" w:fill="auto"/>
          </w:tcPr>
          <w:p w14:paraId="16AAEEBA" w14:textId="19ED0DB0" w:rsidR="001D52AC" w:rsidRPr="002D2F67" w:rsidRDefault="001D52AC" w:rsidP="005611FE">
            <w:pPr>
              <w:jc w:val="both"/>
              <w:rPr>
                <w:rFonts w:ascii="Arial" w:hAnsi="Arial" w:cs="Arial"/>
                <w:color w:val="000000"/>
                <w:szCs w:val="26"/>
              </w:rPr>
            </w:pPr>
            <w:r w:rsidRPr="002D2F67">
              <w:rPr>
                <w:rFonts w:ascii="Arial" w:hAnsi="Arial" w:cs="Arial"/>
                <w:color w:val="000000"/>
                <w:sz w:val="20"/>
                <w:szCs w:val="20"/>
              </w:rPr>
              <w:t>Cash and cash equivalents</w:t>
            </w:r>
          </w:p>
        </w:tc>
        <w:tc>
          <w:tcPr>
            <w:tcW w:w="1278" w:type="dxa"/>
            <w:shd w:val="clear" w:color="auto" w:fill="auto"/>
            <w:vAlign w:val="bottom"/>
          </w:tcPr>
          <w:p w14:paraId="3695059A" w14:textId="0C2603D8" w:rsidR="001D52AC" w:rsidRPr="002D2F67" w:rsidRDefault="00CD5714" w:rsidP="005611FE">
            <w:pPr>
              <w:autoSpaceDE w:val="0"/>
              <w:autoSpaceDN w:val="0"/>
              <w:spacing w:line="220" w:lineRule="exact"/>
              <w:ind w:right="-72"/>
              <w:jc w:val="right"/>
              <w:rPr>
                <w:rFonts w:ascii="Arial" w:hAnsi="Arial" w:cs="Arial"/>
                <w:color w:val="000000"/>
                <w:sz w:val="20"/>
                <w:szCs w:val="20"/>
              </w:rPr>
            </w:pPr>
            <w:r w:rsidRPr="00CD5714">
              <w:rPr>
                <w:rFonts w:ascii="Arial" w:hAnsi="Arial" w:cs="Arial"/>
                <w:color w:val="000000"/>
                <w:sz w:val="20"/>
                <w:szCs w:val="20"/>
                <w:lang w:val="en-GB"/>
              </w:rPr>
              <w:t>6</w:t>
            </w:r>
          </w:p>
        </w:tc>
        <w:tc>
          <w:tcPr>
            <w:tcW w:w="1280" w:type="dxa"/>
            <w:shd w:val="clear" w:color="auto" w:fill="auto"/>
            <w:vAlign w:val="bottom"/>
          </w:tcPr>
          <w:p w14:paraId="0E04A8FC" w14:textId="39B52B18" w:rsidR="001D52AC" w:rsidRPr="002D2F67" w:rsidRDefault="00CD5714" w:rsidP="005611FE">
            <w:pPr>
              <w:autoSpaceDE w:val="0"/>
              <w:autoSpaceDN w:val="0"/>
              <w:spacing w:line="220" w:lineRule="exact"/>
              <w:ind w:right="-72"/>
              <w:jc w:val="right"/>
              <w:rPr>
                <w:rFonts w:ascii="Arial" w:hAnsi="Arial" w:cs="Arial"/>
                <w:color w:val="000000"/>
                <w:sz w:val="20"/>
                <w:szCs w:val="20"/>
              </w:rPr>
            </w:pPr>
            <w:r w:rsidRPr="00CD5714">
              <w:rPr>
                <w:rFonts w:ascii="Arial" w:hAnsi="Arial" w:cs="Arial"/>
                <w:color w:val="000000"/>
                <w:sz w:val="20"/>
                <w:szCs w:val="20"/>
                <w:lang w:val="en-GB"/>
              </w:rPr>
              <w:t>30</w:t>
            </w:r>
          </w:p>
        </w:tc>
        <w:tc>
          <w:tcPr>
            <w:tcW w:w="1280" w:type="dxa"/>
            <w:shd w:val="clear" w:color="auto" w:fill="auto"/>
            <w:vAlign w:val="bottom"/>
          </w:tcPr>
          <w:p w14:paraId="63D37C53" w14:textId="39C65444" w:rsidR="001D52AC" w:rsidRPr="002D2F67" w:rsidRDefault="00B7101F" w:rsidP="005611FE">
            <w:pPr>
              <w:autoSpaceDE w:val="0"/>
              <w:autoSpaceDN w:val="0"/>
              <w:spacing w:line="220" w:lineRule="exact"/>
              <w:ind w:right="-72"/>
              <w:jc w:val="right"/>
              <w:rPr>
                <w:rFonts w:ascii="Arial" w:hAnsi="Arial" w:cs="Arial"/>
                <w:color w:val="000000"/>
                <w:sz w:val="20"/>
                <w:szCs w:val="20"/>
              </w:rPr>
            </w:pPr>
            <w:r w:rsidRPr="002D2F67">
              <w:rPr>
                <w:rFonts w:ascii="Arial" w:hAnsi="Arial" w:cs="Arial"/>
                <w:color w:val="000000"/>
                <w:sz w:val="20"/>
                <w:szCs w:val="20"/>
              </w:rPr>
              <w:t>-</w:t>
            </w:r>
          </w:p>
        </w:tc>
        <w:tc>
          <w:tcPr>
            <w:tcW w:w="1285" w:type="dxa"/>
            <w:shd w:val="clear" w:color="auto" w:fill="auto"/>
            <w:vAlign w:val="bottom"/>
          </w:tcPr>
          <w:p w14:paraId="43555F82" w14:textId="2541DDA9" w:rsidR="001D52AC" w:rsidRPr="002D2F67" w:rsidRDefault="00B7101F" w:rsidP="005611FE">
            <w:pPr>
              <w:autoSpaceDE w:val="0"/>
              <w:autoSpaceDN w:val="0"/>
              <w:spacing w:line="220" w:lineRule="exact"/>
              <w:ind w:right="-72"/>
              <w:jc w:val="right"/>
              <w:rPr>
                <w:rFonts w:ascii="Arial" w:hAnsi="Arial" w:cs="Arial"/>
                <w:color w:val="000000"/>
                <w:sz w:val="20"/>
                <w:szCs w:val="20"/>
              </w:rPr>
            </w:pPr>
            <w:r w:rsidRPr="002D2F67">
              <w:rPr>
                <w:rFonts w:ascii="Arial" w:hAnsi="Arial" w:cs="Arial"/>
                <w:color w:val="000000"/>
                <w:sz w:val="20"/>
                <w:szCs w:val="20"/>
              </w:rPr>
              <w:t>-</w:t>
            </w:r>
          </w:p>
        </w:tc>
        <w:tc>
          <w:tcPr>
            <w:tcW w:w="1280" w:type="dxa"/>
            <w:shd w:val="clear" w:color="auto" w:fill="auto"/>
            <w:vAlign w:val="bottom"/>
          </w:tcPr>
          <w:p w14:paraId="3D3DD285" w14:textId="6B4ACCDF" w:rsidR="001D52AC" w:rsidRPr="002D2F67" w:rsidRDefault="00CD5714" w:rsidP="005611FE">
            <w:pPr>
              <w:autoSpaceDE w:val="0"/>
              <w:autoSpaceDN w:val="0"/>
              <w:spacing w:line="220" w:lineRule="exact"/>
              <w:ind w:right="-72"/>
              <w:jc w:val="right"/>
              <w:rPr>
                <w:rFonts w:ascii="Arial" w:hAnsi="Arial" w:cs="Arial"/>
                <w:color w:val="000000"/>
                <w:sz w:val="20"/>
                <w:szCs w:val="20"/>
              </w:rPr>
            </w:pPr>
            <w:r w:rsidRPr="00CD5714">
              <w:rPr>
                <w:rFonts w:ascii="Arial" w:hAnsi="Arial" w:cs="Arial"/>
                <w:color w:val="000000"/>
                <w:sz w:val="20"/>
                <w:szCs w:val="20"/>
                <w:lang w:val="en-GB"/>
              </w:rPr>
              <w:t>8</w:t>
            </w:r>
          </w:p>
        </w:tc>
        <w:tc>
          <w:tcPr>
            <w:tcW w:w="1280" w:type="dxa"/>
            <w:shd w:val="clear" w:color="auto" w:fill="auto"/>
            <w:vAlign w:val="bottom"/>
          </w:tcPr>
          <w:p w14:paraId="07C21F6C" w14:textId="040B55B4" w:rsidR="001D52AC" w:rsidRPr="002D2F67" w:rsidRDefault="00CD5714" w:rsidP="005611FE">
            <w:pPr>
              <w:autoSpaceDE w:val="0"/>
              <w:autoSpaceDN w:val="0"/>
              <w:spacing w:line="220" w:lineRule="exact"/>
              <w:ind w:right="-72"/>
              <w:jc w:val="right"/>
              <w:rPr>
                <w:rFonts w:ascii="Arial" w:hAnsi="Arial" w:cs="Arial"/>
                <w:color w:val="000000"/>
                <w:sz w:val="20"/>
                <w:szCs w:val="20"/>
              </w:rPr>
            </w:pPr>
            <w:r w:rsidRPr="00CD5714">
              <w:rPr>
                <w:rFonts w:ascii="Arial" w:hAnsi="Arial" w:cs="Arial"/>
                <w:color w:val="000000"/>
                <w:sz w:val="20"/>
                <w:szCs w:val="20"/>
                <w:lang w:val="en-GB"/>
              </w:rPr>
              <w:t>80</w:t>
            </w:r>
          </w:p>
        </w:tc>
        <w:tc>
          <w:tcPr>
            <w:tcW w:w="1280" w:type="dxa"/>
            <w:shd w:val="clear" w:color="auto" w:fill="auto"/>
            <w:vAlign w:val="bottom"/>
          </w:tcPr>
          <w:p w14:paraId="3D3C2350" w14:textId="0F09D97F" w:rsidR="001D52AC" w:rsidRPr="002D2F67" w:rsidRDefault="001D52AC" w:rsidP="005611FE">
            <w:pPr>
              <w:autoSpaceDE w:val="0"/>
              <w:autoSpaceDN w:val="0"/>
              <w:spacing w:line="220" w:lineRule="exact"/>
              <w:ind w:right="-72"/>
              <w:jc w:val="right"/>
              <w:rPr>
                <w:rFonts w:ascii="Arial" w:hAnsi="Arial" w:cs="Arial"/>
                <w:color w:val="000000"/>
                <w:sz w:val="20"/>
                <w:szCs w:val="20"/>
              </w:rPr>
            </w:pPr>
            <w:r w:rsidRPr="002D2F67">
              <w:rPr>
                <w:rFonts w:ascii="Arial" w:hAnsi="Arial" w:cs="Arial"/>
                <w:color w:val="000000"/>
                <w:sz w:val="20"/>
                <w:szCs w:val="20"/>
              </w:rPr>
              <w:t>-</w:t>
            </w:r>
          </w:p>
        </w:tc>
        <w:tc>
          <w:tcPr>
            <w:tcW w:w="1282" w:type="dxa"/>
            <w:shd w:val="clear" w:color="auto" w:fill="auto"/>
            <w:vAlign w:val="bottom"/>
          </w:tcPr>
          <w:p w14:paraId="47238CED" w14:textId="27353F02" w:rsidR="001D52AC" w:rsidRPr="002D2F67" w:rsidRDefault="001D52AC" w:rsidP="005611FE">
            <w:pPr>
              <w:autoSpaceDE w:val="0"/>
              <w:autoSpaceDN w:val="0"/>
              <w:spacing w:line="220" w:lineRule="exact"/>
              <w:ind w:right="-72"/>
              <w:jc w:val="right"/>
              <w:rPr>
                <w:rFonts w:ascii="Arial" w:hAnsi="Arial" w:cs="Arial"/>
                <w:color w:val="000000"/>
                <w:sz w:val="20"/>
                <w:szCs w:val="20"/>
              </w:rPr>
            </w:pPr>
            <w:r w:rsidRPr="002D2F67">
              <w:rPr>
                <w:rFonts w:ascii="Arial" w:hAnsi="Arial" w:cs="Arial"/>
                <w:color w:val="000000"/>
                <w:sz w:val="20"/>
                <w:szCs w:val="20"/>
              </w:rPr>
              <w:t>-</w:t>
            </w:r>
          </w:p>
        </w:tc>
      </w:tr>
      <w:tr w:rsidR="001D52AC" w:rsidRPr="002D2F67" w14:paraId="2FA5A99D" w14:textId="77777777" w:rsidTr="005611FE">
        <w:trPr>
          <w:gridAfter w:val="1"/>
          <w:wAfter w:w="9" w:type="dxa"/>
          <w:trHeight w:val="74"/>
        </w:trPr>
        <w:tc>
          <w:tcPr>
            <w:tcW w:w="4709" w:type="dxa"/>
            <w:shd w:val="clear" w:color="auto" w:fill="auto"/>
          </w:tcPr>
          <w:p w14:paraId="394821AB" w14:textId="19068620" w:rsidR="001D52AC" w:rsidRPr="002D2F67" w:rsidRDefault="001D52AC" w:rsidP="005611FE">
            <w:pPr>
              <w:rPr>
                <w:rFonts w:ascii="Arial" w:hAnsi="Arial" w:cs="Arial"/>
                <w:color w:val="000000"/>
              </w:rPr>
            </w:pPr>
            <w:r w:rsidRPr="002D2F67">
              <w:rPr>
                <w:rFonts w:ascii="Arial" w:hAnsi="Arial" w:cs="Arial"/>
                <w:color w:val="000000"/>
                <w:sz w:val="20"/>
                <w:szCs w:val="20"/>
              </w:rPr>
              <w:t xml:space="preserve">Trade and other </w:t>
            </w:r>
            <w:r w:rsidR="42840A74" w:rsidRPr="002D2F67">
              <w:rPr>
                <w:rFonts w:ascii="Arial" w:hAnsi="Arial" w:cs="Arial"/>
                <w:color w:val="000000"/>
                <w:sz w:val="20"/>
                <w:szCs w:val="20"/>
              </w:rPr>
              <w:t xml:space="preserve">current </w:t>
            </w:r>
            <w:r w:rsidRPr="002D2F67">
              <w:rPr>
                <w:rFonts w:ascii="Arial" w:hAnsi="Arial" w:cs="Arial"/>
                <w:color w:val="000000"/>
                <w:sz w:val="20"/>
                <w:szCs w:val="20"/>
              </w:rPr>
              <w:t>receivable</w:t>
            </w:r>
            <w:r w:rsidR="00B87607" w:rsidRPr="002D2F67">
              <w:rPr>
                <w:rFonts w:ascii="Arial" w:hAnsi="Arial" w:cs="Arial"/>
                <w:color w:val="000000"/>
                <w:sz w:val="20"/>
                <w:szCs w:val="20"/>
              </w:rPr>
              <w:t>s</w:t>
            </w:r>
            <w:r w:rsidRPr="002D2F67">
              <w:rPr>
                <w:rFonts w:ascii="Arial" w:hAnsi="Arial" w:cs="Arial"/>
                <w:color w:val="000000"/>
                <w:sz w:val="20"/>
                <w:szCs w:val="20"/>
              </w:rPr>
              <w:t>, net</w:t>
            </w:r>
          </w:p>
        </w:tc>
        <w:tc>
          <w:tcPr>
            <w:tcW w:w="1278" w:type="dxa"/>
            <w:shd w:val="clear" w:color="auto" w:fill="auto"/>
            <w:vAlign w:val="bottom"/>
          </w:tcPr>
          <w:p w14:paraId="1F40667A" w14:textId="74B99D33" w:rsidR="001D52AC" w:rsidRPr="002D2F67" w:rsidRDefault="00CD5714" w:rsidP="005611FE">
            <w:pPr>
              <w:autoSpaceDE w:val="0"/>
              <w:autoSpaceDN w:val="0"/>
              <w:spacing w:line="220" w:lineRule="exact"/>
              <w:ind w:right="-72"/>
              <w:jc w:val="right"/>
              <w:rPr>
                <w:rFonts w:ascii="Arial" w:hAnsi="Arial" w:cs="Arial"/>
                <w:color w:val="000000"/>
                <w:sz w:val="20"/>
                <w:szCs w:val="20"/>
              </w:rPr>
            </w:pPr>
            <w:r w:rsidRPr="00CD5714">
              <w:rPr>
                <w:rFonts w:ascii="Arial" w:hAnsi="Arial" w:cs="Arial"/>
                <w:color w:val="000000"/>
                <w:sz w:val="20"/>
                <w:szCs w:val="20"/>
                <w:lang w:val="en-GB"/>
              </w:rPr>
              <w:t>27</w:t>
            </w:r>
          </w:p>
        </w:tc>
        <w:tc>
          <w:tcPr>
            <w:tcW w:w="1280" w:type="dxa"/>
            <w:shd w:val="clear" w:color="auto" w:fill="auto"/>
            <w:vAlign w:val="bottom"/>
          </w:tcPr>
          <w:p w14:paraId="04A8297F" w14:textId="22B02E40" w:rsidR="001D52AC" w:rsidRPr="002D2F67" w:rsidRDefault="00CD5714" w:rsidP="005611FE">
            <w:pPr>
              <w:autoSpaceDE w:val="0"/>
              <w:autoSpaceDN w:val="0"/>
              <w:spacing w:line="220" w:lineRule="exact"/>
              <w:ind w:right="-72"/>
              <w:jc w:val="right"/>
              <w:rPr>
                <w:rFonts w:ascii="Arial" w:hAnsi="Arial" w:cs="Arial"/>
                <w:color w:val="000000"/>
                <w:sz w:val="20"/>
                <w:szCs w:val="20"/>
              </w:rPr>
            </w:pPr>
            <w:r w:rsidRPr="00CD5714">
              <w:rPr>
                <w:rFonts w:ascii="Arial" w:hAnsi="Arial" w:cs="Arial"/>
                <w:color w:val="000000"/>
                <w:sz w:val="20"/>
                <w:szCs w:val="20"/>
                <w:lang w:val="en-GB"/>
              </w:rPr>
              <w:t>11</w:t>
            </w:r>
          </w:p>
        </w:tc>
        <w:tc>
          <w:tcPr>
            <w:tcW w:w="1280" w:type="dxa"/>
            <w:shd w:val="clear" w:color="auto" w:fill="auto"/>
            <w:vAlign w:val="bottom"/>
          </w:tcPr>
          <w:p w14:paraId="424C9214" w14:textId="089B791E" w:rsidR="001D52AC" w:rsidRPr="002D2F67" w:rsidRDefault="00B7101F" w:rsidP="005611FE">
            <w:pPr>
              <w:autoSpaceDE w:val="0"/>
              <w:autoSpaceDN w:val="0"/>
              <w:spacing w:line="220" w:lineRule="exact"/>
              <w:ind w:right="-72"/>
              <w:jc w:val="right"/>
              <w:rPr>
                <w:rFonts w:ascii="Arial" w:hAnsi="Arial" w:cs="Arial"/>
                <w:color w:val="000000"/>
                <w:sz w:val="20"/>
                <w:szCs w:val="20"/>
              </w:rPr>
            </w:pPr>
            <w:r w:rsidRPr="002D2F67">
              <w:rPr>
                <w:rFonts w:ascii="Arial" w:hAnsi="Arial" w:cs="Arial"/>
                <w:color w:val="000000"/>
                <w:sz w:val="20"/>
                <w:szCs w:val="20"/>
              </w:rPr>
              <w:t>-</w:t>
            </w:r>
          </w:p>
        </w:tc>
        <w:tc>
          <w:tcPr>
            <w:tcW w:w="1285" w:type="dxa"/>
            <w:shd w:val="clear" w:color="auto" w:fill="auto"/>
            <w:vAlign w:val="bottom"/>
          </w:tcPr>
          <w:p w14:paraId="0E8CD1CD" w14:textId="6AE174A8" w:rsidR="001D52AC" w:rsidRPr="002D2F67" w:rsidRDefault="00B7101F" w:rsidP="005611FE">
            <w:pPr>
              <w:autoSpaceDE w:val="0"/>
              <w:autoSpaceDN w:val="0"/>
              <w:spacing w:line="220" w:lineRule="exact"/>
              <w:ind w:right="-72"/>
              <w:jc w:val="right"/>
              <w:rPr>
                <w:rFonts w:ascii="Arial" w:hAnsi="Arial" w:cs="Arial"/>
                <w:color w:val="000000"/>
                <w:sz w:val="20"/>
                <w:szCs w:val="20"/>
              </w:rPr>
            </w:pPr>
            <w:r w:rsidRPr="002D2F67">
              <w:rPr>
                <w:rFonts w:ascii="Arial" w:hAnsi="Arial" w:cs="Arial"/>
                <w:color w:val="000000"/>
                <w:sz w:val="20"/>
                <w:szCs w:val="20"/>
              </w:rPr>
              <w:t>-</w:t>
            </w:r>
          </w:p>
        </w:tc>
        <w:tc>
          <w:tcPr>
            <w:tcW w:w="1280" w:type="dxa"/>
            <w:shd w:val="clear" w:color="auto" w:fill="auto"/>
            <w:vAlign w:val="bottom"/>
          </w:tcPr>
          <w:p w14:paraId="4B59525B" w14:textId="02DAD118" w:rsidR="001D52AC" w:rsidRPr="002D2F67" w:rsidRDefault="00CD5714" w:rsidP="005611FE">
            <w:pPr>
              <w:autoSpaceDE w:val="0"/>
              <w:autoSpaceDN w:val="0"/>
              <w:spacing w:line="220" w:lineRule="exact"/>
              <w:ind w:right="-72"/>
              <w:jc w:val="right"/>
              <w:rPr>
                <w:rFonts w:ascii="Arial" w:hAnsi="Arial" w:cs="Arial"/>
                <w:color w:val="000000"/>
                <w:sz w:val="20"/>
                <w:szCs w:val="20"/>
              </w:rPr>
            </w:pPr>
            <w:r w:rsidRPr="00CD5714">
              <w:rPr>
                <w:rFonts w:ascii="Arial" w:hAnsi="Arial" w:cs="Arial"/>
                <w:color w:val="000000"/>
                <w:sz w:val="20"/>
                <w:szCs w:val="20"/>
                <w:lang w:val="en-GB"/>
              </w:rPr>
              <w:t>23</w:t>
            </w:r>
          </w:p>
        </w:tc>
        <w:tc>
          <w:tcPr>
            <w:tcW w:w="1280" w:type="dxa"/>
            <w:shd w:val="clear" w:color="auto" w:fill="auto"/>
            <w:vAlign w:val="bottom"/>
          </w:tcPr>
          <w:p w14:paraId="3CB93F55" w14:textId="031A6F22" w:rsidR="001D52AC" w:rsidRPr="002D2F67" w:rsidRDefault="00CD5714" w:rsidP="005611FE">
            <w:pPr>
              <w:autoSpaceDE w:val="0"/>
              <w:autoSpaceDN w:val="0"/>
              <w:spacing w:line="220" w:lineRule="exact"/>
              <w:ind w:right="-72"/>
              <w:jc w:val="right"/>
              <w:rPr>
                <w:rFonts w:ascii="Arial" w:hAnsi="Arial" w:cs="Arial"/>
                <w:color w:val="000000"/>
                <w:sz w:val="20"/>
                <w:szCs w:val="20"/>
              </w:rPr>
            </w:pPr>
            <w:r w:rsidRPr="00CD5714">
              <w:rPr>
                <w:rFonts w:ascii="Arial" w:hAnsi="Arial" w:cs="Arial"/>
                <w:color w:val="000000"/>
                <w:sz w:val="20"/>
                <w:szCs w:val="20"/>
                <w:lang w:val="en-GB"/>
              </w:rPr>
              <w:t>42</w:t>
            </w:r>
          </w:p>
        </w:tc>
        <w:tc>
          <w:tcPr>
            <w:tcW w:w="1280" w:type="dxa"/>
            <w:shd w:val="clear" w:color="auto" w:fill="auto"/>
            <w:vAlign w:val="bottom"/>
          </w:tcPr>
          <w:p w14:paraId="29BF644A" w14:textId="615DFA4C" w:rsidR="001D52AC" w:rsidRPr="002D2F67" w:rsidRDefault="001D52AC" w:rsidP="005611FE">
            <w:pPr>
              <w:autoSpaceDE w:val="0"/>
              <w:autoSpaceDN w:val="0"/>
              <w:spacing w:line="220" w:lineRule="exact"/>
              <w:ind w:right="-72"/>
              <w:jc w:val="right"/>
              <w:rPr>
                <w:rFonts w:ascii="Arial" w:hAnsi="Arial" w:cs="Arial"/>
                <w:color w:val="000000"/>
                <w:sz w:val="20"/>
                <w:szCs w:val="20"/>
              </w:rPr>
            </w:pPr>
            <w:r w:rsidRPr="002D2F67">
              <w:rPr>
                <w:rFonts w:ascii="Arial" w:hAnsi="Arial" w:cs="Arial"/>
                <w:color w:val="000000"/>
                <w:sz w:val="20"/>
                <w:szCs w:val="20"/>
              </w:rPr>
              <w:t>-</w:t>
            </w:r>
          </w:p>
        </w:tc>
        <w:tc>
          <w:tcPr>
            <w:tcW w:w="1282" w:type="dxa"/>
            <w:shd w:val="clear" w:color="auto" w:fill="auto"/>
            <w:vAlign w:val="bottom"/>
          </w:tcPr>
          <w:p w14:paraId="2E773E81" w14:textId="692CBFBA" w:rsidR="001D52AC" w:rsidRPr="002D2F67" w:rsidRDefault="001D52AC" w:rsidP="005611FE">
            <w:pPr>
              <w:autoSpaceDE w:val="0"/>
              <w:autoSpaceDN w:val="0"/>
              <w:spacing w:line="220" w:lineRule="exact"/>
              <w:ind w:right="-72"/>
              <w:jc w:val="right"/>
              <w:rPr>
                <w:rFonts w:ascii="Arial" w:hAnsi="Arial" w:cs="Arial"/>
                <w:color w:val="000000"/>
                <w:sz w:val="20"/>
                <w:szCs w:val="20"/>
              </w:rPr>
            </w:pPr>
            <w:r w:rsidRPr="002D2F67">
              <w:rPr>
                <w:rFonts w:ascii="Arial" w:hAnsi="Arial" w:cs="Arial"/>
                <w:color w:val="000000"/>
                <w:sz w:val="20"/>
                <w:szCs w:val="20"/>
              </w:rPr>
              <w:t>-</w:t>
            </w:r>
          </w:p>
        </w:tc>
      </w:tr>
      <w:tr w:rsidR="00997E9A" w:rsidRPr="002D2F67" w14:paraId="57DC7ED3" w14:textId="77777777" w:rsidTr="005611FE">
        <w:trPr>
          <w:gridAfter w:val="1"/>
          <w:wAfter w:w="9" w:type="dxa"/>
          <w:trHeight w:val="74"/>
        </w:trPr>
        <w:tc>
          <w:tcPr>
            <w:tcW w:w="4709" w:type="dxa"/>
            <w:shd w:val="clear" w:color="auto" w:fill="auto"/>
          </w:tcPr>
          <w:p w14:paraId="30C89B2A" w14:textId="673C65AC" w:rsidR="00997E9A" w:rsidRPr="002D2F67" w:rsidRDefault="00997E9A" w:rsidP="005611FE">
            <w:pPr>
              <w:rPr>
                <w:rFonts w:ascii="Arial" w:hAnsi="Arial" w:cs="Arial"/>
                <w:color w:val="000000"/>
                <w:sz w:val="20"/>
                <w:szCs w:val="20"/>
              </w:rPr>
            </w:pPr>
            <w:r w:rsidRPr="002D2F67">
              <w:rPr>
                <w:rFonts w:ascii="Arial" w:hAnsi="Arial" w:cs="Arial"/>
                <w:color w:val="000000"/>
                <w:sz w:val="20"/>
                <w:szCs w:val="20"/>
              </w:rPr>
              <w:t>Other non</w:t>
            </w:r>
            <w:r w:rsidR="00B87607" w:rsidRPr="002D2F67">
              <w:rPr>
                <w:rFonts w:ascii="Arial" w:hAnsi="Arial" w:cs="Arial"/>
                <w:color w:val="000000"/>
                <w:sz w:val="20"/>
                <w:szCs w:val="20"/>
              </w:rPr>
              <w:t>-</w:t>
            </w:r>
            <w:r w:rsidRPr="002D2F67">
              <w:rPr>
                <w:rFonts w:ascii="Arial" w:hAnsi="Arial" w:cs="Arial"/>
                <w:color w:val="000000"/>
                <w:sz w:val="20"/>
                <w:szCs w:val="20"/>
              </w:rPr>
              <w:t>current assets</w:t>
            </w:r>
          </w:p>
        </w:tc>
        <w:tc>
          <w:tcPr>
            <w:tcW w:w="1278" w:type="dxa"/>
            <w:shd w:val="clear" w:color="auto" w:fill="auto"/>
            <w:vAlign w:val="bottom"/>
          </w:tcPr>
          <w:p w14:paraId="1AF5638A" w14:textId="030013C3" w:rsidR="00997E9A" w:rsidRPr="002D2F67" w:rsidRDefault="00CD5714" w:rsidP="005611FE">
            <w:pPr>
              <w:autoSpaceDE w:val="0"/>
              <w:autoSpaceDN w:val="0"/>
              <w:spacing w:line="220" w:lineRule="exact"/>
              <w:ind w:right="-72"/>
              <w:jc w:val="right"/>
              <w:rPr>
                <w:rFonts w:ascii="Arial" w:hAnsi="Arial" w:cs="Arial"/>
                <w:color w:val="000000"/>
                <w:sz w:val="20"/>
                <w:szCs w:val="20"/>
              </w:rPr>
            </w:pPr>
            <w:r w:rsidRPr="00CD5714">
              <w:rPr>
                <w:rFonts w:ascii="Arial" w:hAnsi="Arial" w:cs="Arial"/>
                <w:color w:val="000000"/>
                <w:sz w:val="20"/>
                <w:szCs w:val="20"/>
                <w:lang w:val="en-GB"/>
              </w:rPr>
              <w:t>65</w:t>
            </w:r>
          </w:p>
        </w:tc>
        <w:tc>
          <w:tcPr>
            <w:tcW w:w="1280" w:type="dxa"/>
            <w:shd w:val="clear" w:color="auto" w:fill="auto"/>
            <w:vAlign w:val="bottom"/>
          </w:tcPr>
          <w:p w14:paraId="52F87156" w14:textId="49442271" w:rsidR="00997E9A" w:rsidRPr="002D2F67" w:rsidRDefault="00997E9A" w:rsidP="005611FE">
            <w:pPr>
              <w:autoSpaceDE w:val="0"/>
              <w:autoSpaceDN w:val="0"/>
              <w:spacing w:line="220" w:lineRule="exact"/>
              <w:ind w:right="-72"/>
              <w:jc w:val="right"/>
              <w:rPr>
                <w:rFonts w:ascii="Arial" w:hAnsi="Arial" w:cs="Arial"/>
                <w:color w:val="000000"/>
                <w:sz w:val="20"/>
                <w:szCs w:val="20"/>
              </w:rPr>
            </w:pPr>
            <w:r w:rsidRPr="002D2F67">
              <w:rPr>
                <w:rFonts w:ascii="Arial" w:hAnsi="Arial" w:cs="Arial"/>
                <w:color w:val="000000"/>
                <w:sz w:val="20"/>
                <w:szCs w:val="20"/>
              </w:rPr>
              <w:t>-</w:t>
            </w:r>
          </w:p>
        </w:tc>
        <w:tc>
          <w:tcPr>
            <w:tcW w:w="1280" w:type="dxa"/>
            <w:shd w:val="clear" w:color="auto" w:fill="auto"/>
            <w:vAlign w:val="bottom"/>
          </w:tcPr>
          <w:p w14:paraId="2020BFAB" w14:textId="555861B2" w:rsidR="00997E9A" w:rsidRPr="002D2F67" w:rsidRDefault="003F5F48" w:rsidP="005611FE">
            <w:pPr>
              <w:autoSpaceDE w:val="0"/>
              <w:autoSpaceDN w:val="0"/>
              <w:spacing w:line="220" w:lineRule="exact"/>
              <w:ind w:right="-72"/>
              <w:jc w:val="right"/>
              <w:rPr>
                <w:rFonts w:ascii="Arial" w:hAnsi="Arial" w:cs="Arial"/>
                <w:color w:val="000000"/>
                <w:sz w:val="20"/>
                <w:szCs w:val="20"/>
              </w:rPr>
            </w:pPr>
            <w:r w:rsidRPr="002D2F67">
              <w:rPr>
                <w:rFonts w:ascii="Arial" w:hAnsi="Arial" w:cs="Arial"/>
                <w:color w:val="000000"/>
                <w:sz w:val="20"/>
                <w:szCs w:val="20"/>
              </w:rPr>
              <w:t>-</w:t>
            </w:r>
          </w:p>
        </w:tc>
        <w:tc>
          <w:tcPr>
            <w:tcW w:w="1285" w:type="dxa"/>
            <w:shd w:val="clear" w:color="auto" w:fill="auto"/>
            <w:vAlign w:val="bottom"/>
          </w:tcPr>
          <w:p w14:paraId="2365CB47" w14:textId="3AA8CF31" w:rsidR="00997E9A" w:rsidRPr="002D2F67" w:rsidRDefault="003F5F48" w:rsidP="005611FE">
            <w:pPr>
              <w:autoSpaceDE w:val="0"/>
              <w:autoSpaceDN w:val="0"/>
              <w:spacing w:line="220" w:lineRule="exact"/>
              <w:ind w:right="-72"/>
              <w:jc w:val="right"/>
              <w:rPr>
                <w:rFonts w:ascii="Arial" w:hAnsi="Arial" w:cs="Arial"/>
                <w:color w:val="000000"/>
                <w:sz w:val="20"/>
                <w:szCs w:val="20"/>
              </w:rPr>
            </w:pPr>
            <w:r w:rsidRPr="002D2F67">
              <w:rPr>
                <w:rFonts w:ascii="Arial" w:hAnsi="Arial" w:cs="Arial"/>
                <w:color w:val="000000"/>
                <w:sz w:val="20"/>
                <w:szCs w:val="20"/>
              </w:rPr>
              <w:t>-</w:t>
            </w:r>
          </w:p>
        </w:tc>
        <w:tc>
          <w:tcPr>
            <w:tcW w:w="1280" w:type="dxa"/>
            <w:shd w:val="clear" w:color="auto" w:fill="auto"/>
            <w:vAlign w:val="bottom"/>
          </w:tcPr>
          <w:p w14:paraId="13343990" w14:textId="7921695B" w:rsidR="00997E9A" w:rsidRPr="002D2F67" w:rsidRDefault="003F5F48" w:rsidP="005611FE">
            <w:pPr>
              <w:autoSpaceDE w:val="0"/>
              <w:autoSpaceDN w:val="0"/>
              <w:spacing w:line="220" w:lineRule="exact"/>
              <w:ind w:right="-72"/>
              <w:jc w:val="right"/>
              <w:rPr>
                <w:rFonts w:ascii="Arial" w:hAnsi="Arial" w:cs="Arial"/>
                <w:color w:val="000000"/>
                <w:sz w:val="20"/>
                <w:szCs w:val="20"/>
              </w:rPr>
            </w:pPr>
            <w:r w:rsidRPr="002D2F67">
              <w:rPr>
                <w:rFonts w:ascii="Arial" w:hAnsi="Arial" w:cs="Arial"/>
                <w:color w:val="000000"/>
                <w:sz w:val="20"/>
                <w:szCs w:val="20"/>
              </w:rPr>
              <w:t>-</w:t>
            </w:r>
          </w:p>
        </w:tc>
        <w:tc>
          <w:tcPr>
            <w:tcW w:w="1280" w:type="dxa"/>
            <w:shd w:val="clear" w:color="auto" w:fill="auto"/>
            <w:vAlign w:val="bottom"/>
          </w:tcPr>
          <w:p w14:paraId="559109D3" w14:textId="11D3D11B" w:rsidR="00997E9A" w:rsidRPr="002D2F67" w:rsidRDefault="003F5F48" w:rsidP="005611FE">
            <w:pPr>
              <w:autoSpaceDE w:val="0"/>
              <w:autoSpaceDN w:val="0"/>
              <w:spacing w:line="220" w:lineRule="exact"/>
              <w:ind w:right="-72"/>
              <w:jc w:val="right"/>
              <w:rPr>
                <w:rFonts w:ascii="Arial" w:hAnsi="Arial" w:cs="Arial"/>
                <w:color w:val="000000"/>
                <w:sz w:val="20"/>
                <w:szCs w:val="20"/>
              </w:rPr>
            </w:pPr>
            <w:r w:rsidRPr="002D2F67">
              <w:rPr>
                <w:rFonts w:ascii="Arial" w:hAnsi="Arial" w:cs="Arial"/>
                <w:color w:val="000000"/>
                <w:sz w:val="20"/>
                <w:szCs w:val="20"/>
              </w:rPr>
              <w:t>-</w:t>
            </w:r>
          </w:p>
        </w:tc>
        <w:tc>
          <w:tcPr>
            <w:tcW w:w="1280" w:type="dxa"/>
            <w:shd w:val="clear" w:color="auto" w:fill="auto"/>
            <w:vAlign w:val="bottom"/>
          </w:tcPr>
          <w:p w14:paraId="3832CC8E" w14:textId="0609B4D4" w:rsidR="00997E9A" w:rsidRPr="002D2F67" w:rsidRDefault="003F5F48" w:rsidP="005611FE">
            <w:pPr>
              <w:autoSpaceDE w:val="0"/>
              <w:autoSpaceDN w:val="0"/>
              <w:spacing w:line="220" w:lineRule="exact"/>
              <w:ind w:right="-72"/>
              <w:jc w:val="right"/>
              <w:rPr>
                <w:rFonts w:ascii="Arial" w:hAnsi="Arial" w:cs="Arial"/>
                <w:color w:val="000000"/>
                <w:sz w:val="20"/>
                <w:szCs w:val="20"/>
              </w:rPr>
            </w:pPr>
            <w:r w:rsidRPr="002D2F67">
              <w:rPr>
                <w:rFonts w:ascii="Arial" w:hAnsi="Arial" w:cs="Arial"/>
                <w:color w:val="000000"/>
                <w:sz w:val="20"/>
                <w:szCs w:val="20"/>
              </w:rPr>
              <w:t>-</w:t>
            </w:r>
          </w:p>
        </w:tc>
        <w:tc>
          <w:tcPr>
            <w:tcW w:w="1282" w:type="dxa"/>
            <w:shd w:val="clear" w:color="auto" w:fill="auto"/>
            <w:vAlign w:val="bottom"/>
          </w:tcPr>
          <w:p w14:paraId="0FDE2274" w14:textId="3D6AEF73" w:rsidR="00997E9A" w:rsidRPr="002D2F67" w:rsidRDefault="003F5F48" w:rsidP="005611FE">
            <w:pPr>
              <w:autoSpaceDE w:val="0"/>
              <w:autoSpaceDN w:val="0"/>
              <w:spacing w:line="220" w:lineRule="exact"/>
              <w:ind w:right="-72"/>
              <w:jc w:val="right"/>
              <w:rPr>
                <w:rFonts w:ascii="Arial" w:hAnsi="Arial" w:cs="Arial"/>
                <w:color w:val="000000"/>
                <w:sz w:val="20"/>
                <w:szCs w:val="20"/>
              </w:rPr>
            </w:pPr>
            <w:r w:rsidRPr="002D2F67">
              <w:rPr>
                <w:rFonts w:ascii="Arial" w:hAnsi="Arial" w:cs="Arial"/>
                <w:color w:val="000000"/>
                <w:sz w:val="20"/>
                <w:szCs w:val="20"/>
              </w:rPr>
              <w:t>-</w:t>
            </w:r>
          </w:p>
        </w:tc>
      </w:tr>
      <w:tr w:rsidR="001D52AC" w:rsidRPr="002D2F67" w14:paraId="70634083" w14:textId="77777777" w:rsidTr="005611FE">
        <w:trPr>
          <w:gridAfter w:val="1"/>
          <w:wAfter w:w="9" w:type="dxa"/>
          <w:trHeight w:val="230"/>
        </w:trPr>
        <w:tc>
          <w:tcPr>
            <w:tcW w:w="4709" w:type="dxa"/>
            <w:shd w:val="clear" w:color="auto" w:fill="auto"/>
          </w:tcPr>
          <w:p w14:paraId="51DCBF73" w14:textId="489A93E1" w:rsidR="001D52AC" w:rsidRPr="002D2F67" w:rsidRDefault="001D52AC" w:rsidP="005611FE">
            <w:pPr>
              <w:jc w:val="both"/>
              <w:rPr>
                <w:rFonts w:ascii="Arial" w:hAnsi="Arial" w:cs="Arial"/>
                <w:color w:val="000000"/>
              </w:rPr>
            </w:pPr>
            <w:r w:rsidRPr="002D2F67">
              <w:rPr>
                <w:rFonts w:ascii="Arial" w:hAnsi="Arial" w:cs="Arial"/>
                <w:color w:val="000000"/>
                <w:sz w:val="20"/>
                <w:szCs w:val="20"/>
              </w:rPr>
              <w:t xml:space="preserve">Trade and other </w:t>
            </w:r>
            <w:r w:rsidR="48F5F279" w:rsidRPr="002D2F67">
              <w:rPr>
                <w:rFonts w:ascii="Arial" w:hAnsi="Arial" w:cs="Arial"/>
                <w:color w:val="000000"/>
                <w:sz w:val="20"/>
                <w:szCs w:val="20"/>
              </w:rPr>
              <w:t xml:space="preserve">current </w:t>
            </w:r>
            <w:r w:rsidRPr="002D2F67">
              <w:rPr>
                <w:rFonts w:ascii="Arial" w:hAnsi="Arial" w:cs="Arial"/>
                <w:color w:val="000000"/>
                <w:sz w:val="20"/>
                <w:szCs w:val="20"/>
              </w:rPr>
              <w:t>payable</w:t>
            </w:r>
            <w:r w:rsidR="007E51BE" w:rsidRPr="002D2F67">
              <w:rPr>
                <w:rFonts w:ascii="Arial" w:hAnsi="Arial" w:cs="Arial"/>
                <w:color w:val="000000"/>
                <w:sz w:val="20"/>
                <w:szCs w:val="20"/>
              </w:rPr>
              <w:t>s</w:t>
            </w:r>
          </w:p>
        </w:tc>
        <w:tc>
          <w:tcPr>
            <w:tcW w:w="1278" w:type="dxa"/>
            <w:shd w:val="clear" w:color="auto" w:fill="auto"/>
            <w:vAlign w:val="bottom"/>
          </w:tcPr>
          <w:p w14:paraId="1CA97B51" w14:textId="52A9651A" w:rsidR="001D52AC" w:rsidRPr="002D2F67" w:rsidRDefault="00CD5714" w:rsidP="005611FE">
            <w:pPr>
              <w:autoSpaceDE w:val="0"/>
              <w:autoSpaceDN w:val="0"/>
              <w:spacing w:line="220" w:lineRule="exact"/>
              <w:ind w:right="-72"/>
              <w:jc w:val="right"/>
              <w:rPr>
                <w:rFonts w:ascii="Arial" w:hAnsi="Arial" w:cs="Arial"/>
                <w:color w:val="000000"/>
                <w:sz w:val="20"/>
                <w:szCs w:val="20"/>
              </w:rPr>
            </w:pPr>
            <w:r w:rsidRPr="00CD5714">
              <w:rPr>
                <w:rFonts w:ascii="Arial" w:hAnsi="Arial" w:cs="Arial"/>
                <w:color w:val="000000"/>
                <w:sz w:val="20"/>
                <w:szCs w:val="20"/>
                <w:lang w:val="en-GB"/>
              </w:rPr>
              <w:t>87</w:t>
            </w:r>
          </w:p>
        </w:tc>
        <w:tc>
          <w:tcPr>
            <w:tcW w:w="1280" w:type="dxa"/>
            <w:shd w:val="clear" w:color="auto" w:fill="auto"/>
            <w:vAlign w:val="bottom"/>
          </w:tcPr>
          <w:p w14:paraId="2CEC926B" w14:textId="40FB30F4" w:rsidR="001D52AC" w:rsidRPr="002D2F67" w:rsidRDefault="00CD5714" w:rsidP="005611FE">
            <w:pPr>
              <w:autoSpaceDE w:val="0"/>
              <w:autoSpaceDN w:val="0"/>
              <w:spacing w:line="220" w:lineRule="exact"/>
              <w:ind w:right="-72"/>
              <w:jc w:val="right"/>
              <w:rPr>
                <w:rFonts w:ascii="Arial" w:hAnsi="Arial" w:cs="Arial"/>
                <w:color w:val="000000"/>
                <w:sz w:val="20"/>
                <w:szCs w:val="20"/>
              </w:rPr>
            </w:pPr>
            <w:r w:rsidRPr="00CD5714">
              <w:rPr>
                <w:rFonts w:ascii="Arial" w:hAnsi="Arial" w:cs="Arial"/>
                <w:color w:val="000000"/>
                <w:sz w:val="20"/>
                <w:szCs w:val="20"/>
                <w:lang w:val="en-GB"/>
              </w:rPr>
              <w:t>18</w:t>
            </w:r>
          </w:p>
        </w:tc>
        <w:tc>
          <w:tcPr>
            <w:tcW w:w="1280" w:type="dxa"/>
            <w:shd w:val="clear" w:color="auto" w:fill="auto"/>
            <w:vAlign w:val="bottom"/>
          </w:tcPr>
          <w:p w14:paraId="0AB9CAFF" w14:textId="4F822128" w:rsidR="001D52AC" w:rsidRPr="002D2F67" w:rsidRDefault="00B7101F" w:rsidP="005611FE">
            <w:pPr>
              <w:autoSpaceDE w:val="0"/>
              <w:autoSpaceDN w:val="0"/>
              <w:spacing w:line="220" w:lineRule="exact"/>
              <w:ind w:right="-72"/>
              <w:jc w:val="right"/>
              <w:rPr>
                <w:rFonts w:ascii="Arial" w:hAnsi="Arial" w:cs="Arial"/>
                <w:color w:val="000000"/>
                <w:sz w:val="20"/>
                <w:szCs w:val="20"/>
              </w:rPr>
            </w:pPr>
            <w:r w:rsidRPr="002D2F67">
              <w:rPr>
                <w:rFonts w:ascii="Arial" w:hAnsi="Arial" w:cs="Arial"/>
                <w:color w:val="000000"/>
                <w:sz w:val="20"/>
                <w:szCs w:val="20"/>
              </w:rPr>
              <w:t>-</w:t>
            </w:r>
          </w:p>
        </w:tc>
        <w:tc>
          <w:tcPr>
            <w:tcW w:w="1285" w:type="dxa"/>
            <w:shd w:val="clear" w:color="auto" w:fill="auto"/>
            <w:vAlign w:val="bottom"/>
          </w:tcPr>
          <w:p w14:paraId="14AD4DFD" w14:textId="476EE7BD" w:rsidR="001D52AC" w:rsidRPr="002D2F67" w:rsidRDefault="00CD5714" w:rsidP="005611FE">
            <w:pPr>
              <w:autoSpaceDE w:val="0"/>
              <w:autoSpaceDN w:val="0"/>
              <w:spacing w:line="220" w:lineRule="exact"/>
              <w:ind w:right="-72"/>
              <w:jc w:val="right"/>
              <w:rPr>
                <w:rFonts w:ascii="Arial" w:hAnsi="Arial" w:cs="Arial"/>
                <w:color w:val="000000"/>
                <w:sz w:val="20"/>
                <w:szCs w:val="20"/>
              </w:rPr>
            </w:pPr>
            <w:r w:rsidRPr="00CD5714">
              <w:rPr>
                <w:rFonts w:ascii="Arial" w:hAnsi="Arial" w:cs="Arial"/>
                <w:color w:val="000000"/>
                <w:sz w:val="20"/>
                <w:szCs w:val="20"/>
                <w:lang w:val="en-GB"/>
              </w:rPr>
              <w:t>164</w:t>
            </w:r>
          </w:p>
        </w:tc>
        <w:tc>
          <w:tcPr>
            <w:tcW w:w="1280" w:type="dxa"/>
            <w:shd w:val="clear" w:color="auto" w:fill="auto"/>
            <w:vAlign w:val="bottom"/>
          </w:tcPr>
          <w:p w14:paraId="5795A2F9" w14:textId="35796FAB" w:rsidR="001D52AC" w:rsidRPr="002D2F67" w:rsidRDefault="00CD5714" w:rsidP="005611FE">
            <w:pPr>
              <w:autoSpaceDE w:val="0"/>
              <w:autoSpaceDN w:val="0"/>
              <w:spacing w:line="220" w:lineRule="exact"/>
              <w:ind w:right="-72"/>
              <w:jc w:val="right"/>
              <w:rPr>
                <w:rFonts w:ascii="Arial" w:hAnsi="Arial" w:cs="Arial"/>
                <w:color w:val="000000"/>
                <w:sz w:val="20"/>
                <w:szCs w:val="20"/>
              </w:rPr>
            </w:pPr>
            <w:r w:rsidRPr="00CD5714">
              <w:rPr>
                <w:rFonts w:ascii="Arial" w:hAnsi="Arial" w:cs="Arial"/>
                <w:color w:val="000000"/>
                <w:sz w:val="20"/>
                <w:szCs w:val="20"/>
                <w:lang w:val="en-GB"/>
              </w:rPr>
              <w:t>267</w:t>
            </w:r>
          </w:p>
        </w:tc>
        <w:tc>
          <w:tcPr>
            <w:tcW w:w="1280" w:type="dxa"/>
            <w:shd w:val="clear" w:color="auto" w:fill="auto"/>
            <w:vAlign w:val="bottom"/>
          </w:tcPr>
          <w:p w14:paraId="229A0FE9" w14:textId="1600F238" w:rsidR="001D52AC" w:rsidRPr="002D2F67" w:rsidRDefault="00CD5714" w:rsidP="005611FE">
            <w:pPr>
              <w:autoSpaceDE w:val="0"/>
              <w:autoSpaceDN w:val="0"/>
              <w:spacing w:line="220" w:lineRule="exact"/>
              <w:ind w:right="-72"/>
              <w:jc w:val="right"/>
              <w:rPr>
                <w:rFonts w:ascii="Arial" w:hAnsi="Arial" w:cs="Arial"/>
                <w:color w:val="000000"/>
                <w:sz w:val="20"/>
                <w:szCs w:val="20"/>
              </w:rPr>
            </w:pPr>
            <w:r w:rsidRPr="00CD5714">
              <w:rPr>
                <w:rFonts w:ascii="Arial" w:hAnsi="Arial" w:cs="Arial"/>
                <w:color w:val="000000"/>
                <w:sz w:val="20"/>
                <w:szCs w:val="20"/>
                <w:lang w:val="en-GB"/>
              </w:rPr>
              <w:t>3</w:t>
            </w:r>
          </w:p>
        </w:tc>
        <w:tc>
          <w:tcPr>
            <w:tcW w:w="1280" w:type="dxa"/>
            <w:shd w:val="clear" w:color="auto" w:fill="auto"/>
            <w:vAlign w:val="bottom"/>
          </w:tcPr>
          <w:p w14:paraId="0B61353D" w14:textId="20EAB7B3" w:rsidR="001D52AC" w:rsidRPr="002D2F67" w:rsidRDefault="001D52AC" w:rsidP="005611FE">
            <w:pPr>
              <w:autoSpaceDE w:val="0"/>
              <w:autoSpaceDN w:val="0"/>
              <w:spacing w:line="220" w:lineRule="exact"/>
              <w:ind w:right="-72"/>
              <w:jc w:val="right"/>
              <w:rPr>
                <w:rFonts w:ascii="Arial" w:hAnsi="Arial" w:cs="Arial"/>
                <w:color w:val="000000"/>
                <w:sz w:val="20"/>
                <w:szCs w:val="20"/>
              </w:rPr>
            </w:pPr>
            <w:r w:rsidRPr="002D2F67">
              <w:rPr>
                <w:rFonts w:ascii="Arial" w:hAnsi="Arial" w:cs="Arial"/>
                <w:color w:val="000000"/>
                <w:sz w:val="20"/>
                <w:szCs w:val="20"/>
              </w:rPr>
              <w:t>-</w:t>
            </w:r>
          </w:p>
        </w:tc>
        <w:tc>
          <w:tcPr>
            <w:tcW w:w="1282" w:type="dxa"/>
            <w:shd w:val="clear" w:color="auto" w:fill="auto"/>
            <w:vAlign w:val="bottom"/>
          </w:tcPr>
          <w:p w14:paraId="2B44259A" w14:textId="642B1010" w:rsidR="001D52AC" w:rsidRPr="002D2F67" w:rsidRDefault="00CD5714" w:rsidP="005611FE">
            <w:pPr>
              <w:autoSpaceDE w:val="0"/>
              <w:autoSpaceDN w:val="0"/>
              <w:spacing w:line="220" w:lineRule="exact"/>
              <w:ind w:right="-72"/>
              <w:jc w:val="right"/>
              <w:rPr>
                <w:rFonts w:ascii="Arial" w:hAnsi="Arial" w:cs="Arial"/>
                <w:color w:val="000000"/>
                <w:sz w:val="20"/>
                <w:szCs w:val="20"/>
              </w:rPr>
            </w:pPr>
            <w:r w:rsidRPr="00CD5714">
              <w:rPr>
                <w:rFonts w:ascii="Arial" w:hAnsi="Arial" w:cs="Arial"/>
                <w:color w:val="000000"/>
                <w:sz w:val="20"/>
                <w:szCs w:val="20"/>
                <w:lang w:val="en-GB"/>
              </w:rPr>
              <w:t>400</w:t>
            </w:r>
          </w:p>
        </w:tc>
      </w:tr>
      <w:tr w:rsidR="001D52AC" w:rsidRPr="002D2F67" w14:paraId="38F8C75F" w14:textId="77777777" w:rsidTr="005611FE">
        <w:trPr>
          <w:gridAfter w:val="1"/>
          <w:wAfter w:w="9" w:type="dxa"/>
          <w:trHeight w:val="117"/>
        </w:trPr>
        <w:tc>
          <w:tcPr>
            <w:tcW w:w="4709" w:type="dxa"/>
            <w:shd w:val="clear" w:color="auto" w:fill="auto"/>
          </w:tcPr>
          <w:p w14:paraId="271DF552" w14:textId="0D99A601" w:rsidR="001D52AC" w:rsidRPr="002D2F67" w:rsidRDefault="001D52AC" w:rsidP="005611FE">
            <w:pPr>
              <w:rPr>
                <w:rFonts w:ascii="Arial" w:hAnsi="Arial" w:cs="Arial"/>
                <w:color w:val="000000"/>
                <w:szCs w:val="26"/>
              </w:rPr>
            </w:pPr>
            <w:r w:rsidRPr="002D2F67">
              <w:rPr>
                <w:rFonts w:ascii="Arial" w:hAnsi="Arial" w:cs="Arial"/>
                <w:color w:val="000000"/>
                <w:sz w:val="20"/>
                <w:szCs w:val="20"/>
              </w:rPr>
              <w:t>Short-term loans from financial institutions</w:t>
            </w:r>
          </w:p>
        </w:tc>
        <w:tc>
          <w:tcPr>
            <w:tcW w:w="1278" w:type="dxa"/>
            <w:shd w:val="clear" w:color="auto" w:fill="auto"/>
            <w:vAlign w:val="bottom"/>
          </w:tcPr>
          <w:p w14:paraId="435913B2" w14:textId="22B066D0" w:rsidR="001D52AC" w:rsidRPr="002D2F67" w:rsidRDefault="00420D52" w:rsidP="005611FE">
            <w:pPr>
              <w:autoSpaceDE w:val="0"/>
              <w:autoSpaceDN w:val="0"/>
              <w:spacing w:line="220" w:lineRule="exact"/>
              <w:ind w:right="-72"/>
              <w:jc w:val="right"/>
              <w:rPr>
                <w:rFonts w:ascii="Arial" w:hAnsi="Arial" w:cs="Arial"/>
                <w:color w:val="000000"/>
                <w:sz w:val="20"/>
                <w:szCs w:val="20"/>
              </w:rPr>
            </w:pPr>
            <w:r w:rsidRPr="002D2F67">
              <w:rPr>
                <w:rFonts w:ascii="Arial" w:hAnsi="Arial" w:cs="Arial"/>
                <w:color w:val="000000"/>
                <w:sz w:val="20"/>
                <w:szCs w:val="20"/>
              </w:rPr>
              <w:t>-</w:t>
            </w:r>
          </w:p>
        </w:tc>
        <w:tc>
          <w:tcPr>
            <w:tcW w:w="1280" w:type="dxa"/>
            <w:shd w:val="clear" w:color="auto" w:fill="auto"/>
            <w:vAlign w:val="bottom"/>
          </w:tcPr>
          <w:p w14:paraId="4B556363" w14:textId="1B56FF13" w:rsidR="001D52AC" w:rsidRPr="002D2F67" w:rsidRDefault="00CD5714" w:rsidP="005611FE">
            <w:pPr>
              <w:autoSpaceDE w:val="0"/>
              <w:autoSpaceDN w:val="0"/>
              <w:spacing w:line="220" w:lineRule="exact"/>
              <w:ind w:right="-72"/>
              <w:jc w:val="right"/>
              <w:rPr>
                <w:rFonts w:ascii="Arial" w:hAnsi="Arial" w:cs="Arial"/>
                <w:color w:val="000000"/>
                <w:sz w:val="20"/>
                <w:szCs w:val="20"/>
              </w:rPr>
            </w:pPr>
            <w:r w:rsidRPr="00CD5714">
              <w:rPr>
                <w:rFonts w:ascii="Arial" w:hAnsi="Arial" w:cs="Arial"/>
                <w:color w:val="000000"/>
                <w:sz w:val="20"/>
                <w:szCs w:val="20"/>
                <w:lang w:val="en-GB"/>
              </w:rPr>
              <w:t>3</w:t>
            </w:r>
          </w:p>
        </w:tc>
        <w:tc>
          <w:tcPr>
            <w:tcW w:w="1280" w:type="dxa"/>
            <w:shd w:val="clear" w:color="auto" w:fill="auto"/>
            <w:vAlign w:val="bottom"/>
          </w:tcPr>
          <w:p w14:paraId="25D2B0FF" w14:textId="4E3ECA48" w:rsidR="001D52AC" w:rsidRPr="002D2F67" w:rsidRDefault="00B7101F" w:rsidP="005611FE">
            <w:pPr>
              <w:autoSpaceDE w:val="0"/>
              <w:autoSpaceDN w:val="0"/>
              <w:spacing w:line="220" w:lineRule="exact"/>
              <w:ind w:right="-72"/>
              <w:jc w:val="right"/>
              <w:rPr>
                <w:rFonts w:ascii="Arial" w:hAnsi="Arial" w:cs="Arial"/>
                <w:color w:val="000000"/>
                <w:sz w:val="20"/>
                <w:szCs w:val="20"/>
              </w:rPr>
            </w:pPr>
            <w:r w:rsidRPr="002D2F67">
              <w:rPr>
                <w:rFonts w:ascii="Arial" w:hAnsi="Arial" w:cs="Arial"/>
                <w:color w:val="000000"/>
                <w:sz w:val="20"/>
                <w:szCs w:val="20"/>
              </w:rPr>
              <w:t>-</w:t>
            </w:r>
          </w:p>
        </w:tc>
        <w:tc>
          <w:tcPr>
            <w:tcW w:w="1285" w:type="dxa"/>
            <w:shd w:val="clear" w:color="auto" w:fill="auto"/>
            <w:vAlign w:val="bottom"/>
          </w:tcPr>
          <w:p w14:paraId="1EDCECEC" w14:textId="0F27B663" w:rsidR="001D52AC" w:rsidRPr="002D2F67" w:rsidRDefault="00B7101F" w:rsidP="005611FE">
            <w:pPr>
              <w:autoSpaceDE w:val="0"/>
              <w:autoSpaceDN w:val="0"/>
              <w:spacing w:line="220" w:lineRule="exact"/>
              <w:ind w:right="-72"/>
              <w:jc w:val="right"/>
              <w:rPr>
                <w:rFonts w:ascii="Arial" w:hAnsi="Arial" w:cs="Arial"/>
                <w:color w:val="000000"/>
                <w:sz w:val="20"/>
                <w:szCs w:val="20"/>
              </w:rPr>
            </w:pPr>
            <w:r w:rsidRPr="002D2F67">
              <w:rPr>
                <w:rFonts w:ascii="Arial" w:hAnsi="Arial" w:cs="Arial"/>
                <w:color w:val="000000"/>
                <w:sz w:val="20"/>
                <w:szCs w:val="20"/>
              </w:rPr>
              <w:t>-</w:t>
            </w:r>
          </w:p>
        </w:tc>
        <w:tc>
          <w:tcPr>
            <w:tcW w:w="1280" w:type="dxa"/>
            <w:shd w:val="clear" w:color="auto" w:fill="auto"/>
            <w:vAlign w:val="bottom"/>
          </w:tcPr>
          <w:p w14:paraId="1C79DBC0" w14:textId="17E7DA75" w:rsidR="001D52AC" w:rsidRPr="002D2F67" w:rsidRDefault="00CD5714" w:rsidP="005611FE">
            <w:pPr>
              <w:autoSpaceDE w:val="0"/>
              <w:autoSpaceDN w:val="0"/>
              <w:spacing w:line="220" w:lineRule="exact"/>
              <w:ind w:right="-72"/>
              <w:jc w:val="right"/>
              <w:rPr>
                <w:rFonts w:ascii="Arial" w:hAnsi="Arial" w:cs="Arial"/>
                <w:color w:val="000000"/>
                <w:sz w:val="20"/>
                <w:szCs w:val="20"/>
              </w:rPr>
            </w:pPr>
            <w:r w:rsidRPr="00CD5714">
              <w:rPr>
                <w:rFonts w:ascii="Arial" w:hAnsi="Arial" w:cs="Arial"/>
                <w:color w:val="000000"/>
                <w:sz w:val="20"/>
                <w:szCs w:val="20"/>
                <w:lang w:val="en-GB"/>
              </w:rPr>
              <w:t>423</w:t>
            </w:r>
          </w:p>
        </w:tc>
        <w:tc>
          <w:tcPr>
            <w:tcW w:w="1280" w:type="dxa"/>
            <w:shd w:val="clear" w:color="auto" w:fill="auto"/>
            <w:vAlign w:val="bottom"/>
          </w:tcPr>
          <w:p w14:paraId="09F00934" w14:textId="76633EA0" w:rsidR="001D52AC" w:rsidRPr="002D2F67" w:rsidRDefault="001D52AC" w:rsidP="005611FE">
            <w:pPr>
              <w:autoSpaceDE w:val="0"/>
              <w:autoSpaceDN w:val="0"/>
              <w:spacing w:line="220" w:lineRule="exact"/>
              <w:ind w:right="-72"/>
              <w:jc w:val="right"/>
              <w:rPr>
                <w:rFonts w:ascii="Arial" w:hAnsi="Arial" w:cs="Arial"/>
                <w:color w:val="000000"/>
                <w:sz w:val="20"/>
                <w:szCs w:val="20"/>
              </w:rPr>
            </w:pPr>
            <w:r w:rsidRPr="002D2F67">
              <w:rPr>
                <w:rFonts w:ascii="Arial" w:hAnsi="Arial" w:cs="Arial"/>
                <w:color w:val="000000"/>
                <w:sz w:val="20"/>
                <w:szCs w:val="20"/>
              </w:rPr>
              <w:t>-</w:t>
            </w:r>
          </w:p>
        </w:tc>
        <w:tc>
          <w:tcPr>
            <w:tcW w:w="1280" w:type="dxa"/>
            <w:shd w:val="clear" w:color="auto" w:fill="auto"/>
            <w:vAlign w:val="bottom"/>
          </w:tcPr>
          <w:p w14:paraId="589DC90F" w14:textId="6ED1AE35" w:rsidR="001D52AC" w:rsidRPr="002D2F67" w:rsidRDefault="001D52AC" w:rsidP="005611FE">
            <w:pPr>
              <w:autoSpaceDE w:val="0"/>
              <w:autoSpaceDN w:val="0"/>
              <w:spacing w:line="220" w:lineRule="exact"/>
              <w:ind w:right="-72"/>
              <w:jc w:val="right"/>
              <w:rPr>
                <w:rFonts w:ascii="Arial" w:hAnsi="Arial" w:cs="Arial"/>
                <w:color w:val="000000"/>
                <w:sz w:val="20"/>
                <w:szCs w:val="20"/>
              </w:rPr>
            </w:pPr>
            <w:r w:rsidRPr="002D2F67">
              <w:rPr>
                <w:rFonts w:ascii="Arial" w:hAnsi="Arial" w:cs="Arial"/>
                <w:color w:val="000000"/>
                <w:sz w:val="20"/>
                <w:szCs w:val="20"/>
              </w:rPr>
              <w:t>-</w:t>
            </w:r>
          </w:p>
        </w:tc>
        <w:tc>
          <w:tcPr>
            <w:tcW w:w="1282" w:type="dxa"/>
            <w:shd w:val="clear" w:color="auto" w:fill="auto"/>
            <w:vAlign w:val="bottom"/>
          </w:tcPr>
          <w:p w14:paraId="383734FE" w14:textId="303B5DCE" w:rsidR="001D52AC" w:rsidRPr="002D2F67" w:rsidRDefault="001D52AC" w:rsidP="005611FE">
            <w:pPr>
              <w:autoSpaceDE w:val="0"/>
              <w:autoSpaceDN w:val="0"/>
              <w:spacing w:line="220" w:lineRule="exact"/>
              <w:ind w:right="-72"/>
              <w:jc w:val="right"/>
              <w:rPr>
                <w:rFonts w:ascii="Arial" w:hAnsi="Arial" w:cs="Arial"/>
                <w:color w:val="000000"/>
                <w:sz w:val="20"/>
                <w:szCs w:val="20"/>
              </w:rPr>
            </w:pPr>
            <w:r w:rsidRPr="002D2F67">
              <w:rPr>
                <w:rFonts w:ascii="Arial" w:hAnsi="Arial" w:cs="Arial"/>
                <w:color w:val="000000"/>
                <w:sz w:val="20"/>
                <w:szCs w:val="20"/>
              </w:rPr>
              <w:t>-</w:t>
            </w:r>
          </w:p>
        </w:tc>
      </w:tr>
      <w:tr w:rsidR="001D52AC" w:rsidRPr="002D2F67" w14:paraId="3A80112E" w14:textId="77777777" w:rsidTr="005611FE">
        <w:trPr>
          <w:gridAfter w:val="1"/>
          <w:wAfter w:w="9" w:type="dxa"/>
          <w:trHeight w:val="74"/>
        </w:trPr>
        <w:tc>
          <w:tcPr>
            <w:tcW w:w="4709" w:type="dxa"/>
            <w:shd w:val="clear" w:color="auto" w:fill="auto"/>
          </w:tcPr>
          <w:p w14:paraId="3B054BD9" w14:textId="1FA2E1AD" w:rsidR="001D52AC" w:rsidRPr="002D2F67" w:rsidRDefault="001D52AC" w:rsidP="005611FE">
            <w:pPr>
              <w:rPr>
                <w:rFonts w:ascii="Arial" w:hAnsi="Arial" w:cs="Arial"/>
                <w:color w:val="000000"/>
                <w:szCs w:val="26"/>
              </w:rPr>
            </w:pPr>
            <w:r w:rsidRPr="002D2F67">
              <w:rPr>
                <w:rFonts w:ascii="Arial" w:hAnsi="Arial" w:cs="Arial"/>
                <w:color w:val="000000"/>
                <w:sz w:val="20"/>
                <w:szCs w:val="20"/>
              </w:rPr>
              <w:t>Long-term loans from financial institutions</w:t>
            </w:r>
          </w:p>
        </w:tc>
        <w:tc>
          <w:tcPr>
            <w:tcW w:w="1278" w:type="dxa"/>
            <w:shd w:val="clear" w:color="auto" w:fill="auto"/>
            <w:vAlign w:val="bottom"/>
          </w:tcPr>
          <w:p w14:paraId="553B907C" w14:textId="7686E9BF" w:rsidR="001D52AC" w:rsidRPr="002D2F67" w:rsidRDefault="00CD5714" w:rsidP="005611FE">
            <w:pPr>
              <w:autoSpaceDE w:val="0"/>
              <w:autoSpaceDN w:val="0"/>
              <w:spacing w:line="220" w:lineRule="exact"/>
              <w:ind w:right="-72"/>
              <w:jc w:val="right"/>
              <w:rPr>
                <w:rFonts w:ascii="Arial" w:hAnsi="Arial" w:cs="Arial"/>
                <w:color w:val="000000"/>
                <w:sz w:val="20"/>
                <w:szCs w:val="20"/>
              </w:rPr>
            </w:pPr>
            <w:r w:rsidRPr="00CD5714">
              <w:rPr>
                <w:rFonts w:ascii="Arial" w:hAnsi="Arial" w:cs="Arial"/>
                <w:color w:val="000000"/>
                <w:sz w:val="20"/>
                <w:szCs w:val="20"/>
                <w:lang w:val="en-GB"/>
              </w:rPr>
              <w:t>500</w:t>
            </w:r>
          </w:p>
        </w:tc>
        <w:tc>
          <w:tcPr>
            <w:tcW w:w="1280" w:type="dxa"/>
            <w:shd w:val="clear" w:color="auto" w:fill="auto"/>
            <w:vAlign w:val="bottom"/>
          </w:tcPr>
          <w:p w14:paraId="6922B7EA" w14:textId="4343A125" w:rsidR="001D52AC" w:rsidRPr="002D2F67" w:rsidRDefault="00997E9A" w:rsidP="005611FE">
            <w:pPr>
              <w:autoSpaceDE w:val="0"/>
              <w:autoSpaceDN w:val="0"/>
              <w:spacing w:line="220" w:lineRule="exact"/>
              <w:ind w:right="-72"/>
              <w:jc w:val="right"/>
              <w:rPr>
                <w:rFonts w:ascii="Arial" w:hAnsi="Arial" w:cs="Arial"/>
                <w:color w:val="000000"/>
                <w:sz w:val="20"/>
                <w:szCs w:val="20"/>
              </w:rPr>
            </w:pPr>
            <w:r w:rsidRPr="002D2F67">
              <w:rPr>
                <w:rFonts w:ascii="Arial" w:hAnsi="Arial" w:cs="Arial"/>
                <w:color w:val="000000"/>
                <w:sz w:val="20"/>
                <w:szCs w:val="20"/>
              </w:rPr>
              <w:t>-</w:t>
            </w:r>
          </w:p>
        </w:tc>
        <w:tc>
          <w:tcPr>
            <w:tcW w:w="1280" w:type="dxa"/>
            <w:shd w:val="clear" w:color="auto" w:fill="auto"/>
            <w:vAlign w:val="bottom"/>
          </w:tcPr>
          <w:p w14:paraId="73F68829" w14:textId="6F986EBE" w:rsidR="001D52AC" w:rsidRPr="002D2F67" w:rsidRDefault="00CD5714" w:rsidP="005611FE">
            <w:pPr>
              <w:autoSpaceDE w:val="0"/>
              <w:autoSpaceDN w:val="0"/>
              <w:spacing w:line="220" w:lineRule="exact"/>
              <w:ind w:right="-72"/>
              <w:jc w:val="right"/>
              <w:rPr>
                <w:rFonts w:ascii="Arial" w:hAnsi="Arial" w:cs="Arial"/>
                <w:color w:val="000000"/>
                <w:sz w:val="20"/>
                <w:szCs w:val="20"/>
              </w:rPr>
            </w:pPr>
            <w:r w:rsidRPr="00CD5714">
              <w:rPr>
                <w:rFonts w:ascii="Arial" w:hAnsi="Arial" w:cs="Arial"/>
                <w:color w:val="000000"/>
                <w:sz w:val="20"/>
                <w:szCs w:val="20"/>
                <w:lang w:val="en-GB"/>
              </w:rPr>
              <w:t>1</w:t>
            </w:r>
            <w:r w:rsidR="00B7101F" w:rsidRPr="002D2F67">
              <w:rPr>
                <w:rFonts w:ascii="Arial" w:hAnsi="Arial" w:cs="Arial"/>
                <w:color w:val="000000"/>
                <w:sz w:val="20"/>
                <w:szCs w:val="20"/>
              </w:rPr>
              <w:t>,</w:t>
            </w:r>
            <w:r w:rsidRPr="00CD5714">
              <w:rPr>
                <w:rFonts w:ascii="Arial" w:hAnsi="Arial" w:cs="Arial"/>
                <w:color w:val="000000"/>
                <w:sz w:val="20"/>
                <w:szCs w:val="20"/>
                <w:lang w:val="en-GB"/>
              </w:rPr>
              <w:t>707</w:t>
            </w:r>
          </w:p>
        </w:tc>
        <w:tc>
          <w:tcPr>
            <w:tcW w:w="1285" w:type="dxa"/>
            <w:shd w:val="clear" w:color="auto" w:fill="auto"/>
            <w:vAlign w:val="bottom"/>
          </w:tcPr>
          <w:p w14:paraId="53D28C46" w14:textId="018CB8D4" w:rsidR="001D52AC" w:rsidRPr="002D2F67" w:rsidRDefault="00B7101F" w:rsidP="005611FE">
            <w:pPr>
              <w:autoSpaceDE w:val="0"/>
              <w:autoSpaceDN w:val="0"/>
              <w:spacing w:line="220" w:lineRule="exact"/>
              <w:ind w:right="-72"/>
              <w:jc w:val="right"/>
              <w:rPr>
                <w:rFonts w:ascii="Arial" w:hAnsi="Arial" w:cs="Arial"/>
                <w:color w:val="000000"/>
                <w:sz w:val="20"/>
                <w:szCs w:val="20"/>
              </w:rPr>
            </w:pPr>
            <w:r w:rsidRPr="002D2F67">
              <w:rPr>
                <w:rFonts w:ascii="Arial" w:hAnsi="Arial" w:cs="Arial"/>
                <w:color w:val="000000"/>
                <w:sz w:val="20"/>
                <w:szCs w:val="20"/>
              </w:rPr>
              <w:t>-</w:t>
            </w:r>
          </w:p>
        </w:tc>
        <w:tc>
          <w:tcPr>
            <w:tcW w:w="1280" w:type="dxa"/>
            <w:shd w:val="clear" w:color="auto" w:fill="auto"/>
            <w:vAlign w:val="bottom"/>
          </w:tcPr>
          <w:p w14:paraId="4F5C2B2D" w14:textId="0BDA2451" w:rsidR="001D52AC" w:rsidRPr="002D2F67" w:rsidRDefault="001D52AC" w:rsidP="005611FE">
            <w:pPr>
              <w:autoSpaceDE w:val="0"/>
              <w:autoSpaceDN w:val="0"/>
              <w:spacing w:line="220" w:lineRule="exact"/>
              <w:ind w:right="-72"/>
              <w:jc w:val="right"/>
              <w:rPr>
                <w:rFonts w:ascii="Arial" w:hAnsi="Arial" w:cs="Arial"/>
                <w:color w:val="000000"/>
                <w:sz w:val="20"/>
                <w:szCs w:val="20"/>
              </w:rPr>
            </w:pPr>
            <w:r w:rsidRPr="002D2F67">
              <w:rPr>
                <w:rFonts w:ascii="Arial" w:hAnsi="Arial" w:cs="Arial"/>
                <w:color w:val="000000"/>
                <w:sz w:val="20"/>
                <w:szCs w:val="20"/>
              </w:rPr>
              <w:t>-</w:t>
            </w:r>
          </w:p>
        </w:tc>
        <w:tc>
          <w:tcPr>
            <w:tcW w:w="1280" w:type="dxa"/>
            <w:shd w:val="clear" w:color="auto" w:fill="auto"/>
            <w:vAlign w:val="bottom"/>
          </w:tcPr>
          <w:p w14:paraId="1DF13DB5" w14:textId="5B885DEE" w:rsidR="001D52AC" w:rsidRPr="002D2F67" w:rsidRDefault="001D52AC" w:rsidP="005611FE">
            <w:pPr>
              <w:autoSpaceDE w:val="0"/>
              <w:autoSpaceDN w:val="0"/>
              <w:spacing w:line="220" w:lineRule="exact"/>
              <w:ind w:right="-72"/>
              <w:jc w:val="right"/>
              <w:rPr>
                <w:rFonts w:ascii="Arial" w:hAnsi="Arial" w:cs="Arial"/>
                <w:color w:val="000000"/>
                <w:sz w:val="20"/>
                <w:szCs w:val="20"/>
              </w:rPr>
            </w:pPr>
            <w:r w:rsidRPr="002D2F67">
              <w:rPr>
                <w:rFonts w:ascii="Arial" w:hAnsi="Arial" w:cs="Arial"/>
                <w:color w:val="000000"/>
                <w:sz w:val="20"/>
                <w:szCs w:val="20"/>
              </w:rPr>
              <w:t>-</w:t>
            </w:r>
          </w:p>
        </w:tc>
        <w:tc>
          <w:tcPr>
            <w:tcW w:w="1280" w:type="dxa"/>
            <w:shd w:val="clear" w:color="auto" w:fill="auto"/>
            <w:vAlign w:val="bottom"/>
          </w:tcPr>
          <w:p w14:paraId="4AD912DC" w14:textId="6665C341" w:rsidR="001D52AC" w:rsidRPr="002D2F67" w:rsidRDefault="00CD5714" w:rsidP="005611FE">
            <w:pPr>
              <w:autoSpaceDE w:val="0"/>
              <w:autoSpaceDN w:val="0"/>
              <w:spacing w:line="220" w:lineRule="exact"/>
              <w:ind w:right="-72"/>
              <w:jc w:val="right"/>
              <w:rPr>
                <w:rFonts w:ascii="Arial" w:hAnsi="Arial" w:cs="Arial"/>
                <w:color w:val="000000"/>
                <w:sz w:val="20"/>
                <w:szCs w:val="20"/>
              </w:rPr>
            </w:pPr>
            <w:r w:rsidRPr="00CD5714">
              <w:rPr>
                <w:rFonts w:ascii="Arial" w:hAnsi="Arial" w:cs="Arial"/>
                <w:color w:val="000000"/>
                <w:sz w:val="20"/>
                <w:szCs w:val="20"/>
                <w:lang w:val="en-GB"/>
              </w:rPr>
              <w:t>1</w:t>
            </w:r>
            <w:r w:rsidR="001D52AC" w:rsidRPr="002D2F67">
              <w:rPr>
                <w:rFonts w:ascii="Arial" w:hAnsi="Arial" w:cs="Arial"/>
                <w:color w:val="000000"/>
                <w:sz w:val="20"/>
                <w:szCs w:val="20"/>
              </w:rPr>
              <w:t>,</w:t>
            </w:r>
            <w:r w:rsidRPr="00CD5714">
              <w:rPr>
                <w:rFonts w:ascii="Arial" w:hAnsi="Arial" w:cs="Arial"/>
                <w:color w:val="000000"/>
                <w:sz w:val="20"/>
                <w:szCs w:val="20"/>
                <w:lang w:val="en-GB"/>
              </w:rPr>
              <w:t>917</w:t>
            </w:r>
          </w:p>
        </w:tc>
        <w:tc>
          <w:tcPr>
            <w:tcW w:w="1282" w:type="dxa"/>
            <w:shd w:val="clear" w:color="auto" w:fill="auto"/>
            <w:vAlign w:val="bottom"/>
          </w:tcPr>
          <w:p w14:paraId="04B54E0E" w14:textId="7F73CAA3" w:rsidR="001D52AC" w:rsidRPr="002D2F67" w:rsidRDefault="001D52AC" w:rsidP="005611FE">
            <w:pPr>
              <w:autoSpaceDE w:val="0"/>
              <w:autoSpaceDN w:val="0"/>
              <w:spacing w:line="220" w:lineRule="exact"/>
              <w:ind w:right="-72"/>
              <w:jc w:val="right"/>
              <w:rPr>
                <w:rFonts w:ascii="Arial" w:hAnsi="Arial" w:cs="Arial"/>
                <w:color w:val="000000"/>
                <w:sz w:val="20"/>
                <w:szCs w:val="20"/>
              </w:rPr>
            </w:pPr>
            <w:r w:rsidRPr="002D2F67">
              <w:rPr>
                <w:rFonts w:ascii="Arial" w:hAnsi="Arial" w:cs="Arial"/>
                <w:color w:val="000000"/>
                <w:sz w:val="20"/>
                <w:szCs w:val="20"/>
              </w:rPr>
              <w:t>-</w:t>
            </w:r>
          </w:p>
        </w:tc>
      </w:tr>
    </w:tbl>
    <w:p w14:paraId="69820EC1" w14:textId="77777777" w:rsidR="00A86BF1" w:rsidRPr="002D2F67" w:rsidRDefault="00A86BF1" w:rsidP="005611FE">
      <w:pPr>
        <w:pStyle w:val="BlockText"/>
        <w:ind w:left="540" w:right="0"/>
        <w:rPr>
          <w:rFonts w:ascii="Arial" w:hAnsi="Arial" w:cs="Arial"/>
          <w:color w:val="000000"/>
          <w:spacing w:val="-2"/>
        </w:rPr>
      </w:pPr>
    </w:p>
    <w:p w14:paraId="6ED29189" w14:textId="77777777" w:rsidR="00C13BCE" w:rsidRPr="002D2F67" w:rsidRDefault="00C13BCE" w:rsidP="005611FE">
      <w:pPr>
        <w:pStyle w:val="BlockText"/>
        <w:ind w:left="0" w:right="0"/>
        <w:rPr>
          <w:rFonts w:ascii="Arial" w:hAnsi="Arial" w:cs="Arial"/>
          <w:color w:val="000000"/>
          <w:spacing w:val="-2"/>
        </w:rPr>
        <w:sectPr w:rsidR="00C13BCE" w:rsidRPr="002D2F67" w:rsidSect="002A66C6">
          <w:pgSz w:w="16838" w:h="11906" w:orient="landscape" w:code="9"/>
          <w:pgMar w:top="1440" w:right="720" w:bottom="720" w:left="720" w:header="706" w:footer="706" w:gutter="0"/>
          <w:pgNumType w:start="29"/>
          <w:cols w:space="720"/>
          <w:docGrid w:linePitch="326"/>
        </w:sectPr>
      </w:pPr>
    </w:p>
    <w:p w14:paraId="5EB94DD6" w14:textId="1A7B1BB8" w:rsidR="00F447D5" w:rsidRPr="002D2F67" w:rsidRDefault="00F447D5" w:rsidP="005611FE">
      <w:pPr>
        <w:pStyle w:val="BlockText"/>
        <w:ind w:left="0" w:right="0"/>
        <w:rPr>
          <w:rFonts w:ascii="Arial" w:hAnsi="Arial" w:cs="Arial"/>
          <w:color w:val="000000"/>
          <w:spacing w:val="-2"/>
        </w:rPr>
      </w:pPr>
    </w:p>
    <w:tbl>
      <w:tblPr>
        <w:tblW w:w="9128" w:type="dxa"/>
        <w:tblInd w:w="450" w:type="dxa"/>
        <w:tblLook w:val="04A0" w:firstRow="1" w:lastRow="0" w:firstColumn="1" w:lastColumn="0" w:noHBand="0" w:noVBand="1"/>
      </w:tblPr>
      <w:tblGrid>
        <w:gridCol w:w="3438"/>
        <w:gridCol w:w="932"/>
        <w:gridCol w:w="934"/>
        <w:gridCol w:w="979"/>
        <w:gridCol w:w="933"/>
        <w:gridCol w:w="933"/>
        <w:gridCol w:w="979"/>
      </w:tblGrid>
      <w:tr w:rsidR="00791044" w:rsidRPr="002D2F67" w14:paraId="6F4B613A" w14:textId="77777777" w:rsidTr="008255E8">
        <w:trPr>
          <w:trHeight w:val="227"/>
        </w:trPr>
        <w:tc>
          <w:tcPr>
            <w:tcW w:w="3438" w:type="dxa"/>
            <w:shd w:val="clear" w:color="auto" w:fill="auto"/>
          </w:tcPr>
          <w:p w14:paraId="693A7FB3" w14:textId="77777777" w:rsidR="00791044" w:rsidRPr="002D2F67" w:rsidRDefault="00791044" w:rsidP="005611FE">
            <w:pPr>
              <w:pStyle w:val="BlockText"/>
              <w:ind w:left="82" w:right="0"/>
              <w:rPr>
                <w:rFonts w:ascii="Arial" w:eastAsia="Arial" w:hAnsi="Arial" w:cs="Arial"/>
                <w:color w:val="000000"/>
                <w:sz w:val="18"/>
                <w:szCs w:val="18"/>
              </w:rPr>
            </w:pPr>
          </w:p>
        </w:tc>
        <w:tc>
          <w:tcPr>
            <w:tcW w:w="5690" w:type="dxa"/>
            <w:gridSpan w:val="6"/>
            <w:tcBorders>
              <w:bottom w:val="single" w:sz="4" w:space="0" w:color="auto"/>
            </w:tcBorders>
            <w:shd w:val="clear" w:color="auto" w:fill="auto"/>
            <w:vAlign w:val="bottom"/>
          </w:tcPr>
          <w:p w14:paraId="0441E719" w14:textId="7567BF64" w:rsidR="00791044" w:rsidRPr="002D2F67" w:rsidRDefault="00791044" w:rsidP="005611FE">
            <w:pPr>
              <w:pStyle w:val="BlockText"/>
              <w:ind w:left="0" w:right="-72"/>
              <w:jc w:val="right"/>
              <w:rPr>
                <w:rFonts w:ascii="Arial" w:eastAsia="Arial" w:hAnsi="Arial" w:cs="Arial"/>
                <w:b/>
                <w:bCs/>
                <w:color w:val="000000"/>
                <w:sz w:val="18"/>
                <w:szCs w:val="18"/>
                <w:cs/>
              </w:rPr>
            </w:pPr>
            <w:r w:rsidRPr="002D2F67">
              <w:rPr>
                <w:rFonts w:ascii="Arial" w:hAnsi="Arial" w:cs="Arial"/>
                <w:b/>
                <w:bCs/>
                <w:color w:val="000000"/>
                <w:sz w:val="18"/>
                <w:szCs w:val="18"/>
              </w:rPr>
              <w:t>Separate financial statements</w:t>
            </w:r>
          </w:p>
        </w:tc>
      </w:tr>
      <w:tr w:rsidR="00791044" w:rsidRPr="002D2F67" w14:paraId="7FF4FFC1" w14:textId="77777777" w:rsidTr="005611FE">
        <w:trPr>
          <w:trHeight w:val="227"/>
        </w:trPr>
        <w:tc>
          <w:tcPr>
            <w:tcW w:w="3438" w:type="dxa"/>
            <w:shd w:val="clear" w:color="auto" w:fill="auto"/>
            <w:vAlign w:val="bottom"/>
          </w:tcPr>
          <w:p w14:paraId="39DDE249" w14:textId="5535AD95" w:rsidR="00791044" w:rsidRPr="002D2F67" w:rsidRDefault="00791044" w:rsidP="005611FE">
            <w:pPr>
              <w:pStyle w:val="BlockText"/>
              <w:ind w:left="82" w:right="0"/>
              <w:jc w:val="left"/>
              <w:rPr>
                <w:rFonts w:ascii="Arial" w:eastAsia="Arial" w:hAnsi="Arial" w:cs="Arial"/>
                <w:color w:val="000000"/>
                <w:sz w:val="18"/>
                <w:szCs w:val="18"/>
              </w:rPr>
            </w:pPr>
            <w:r w:rsidRPr="002D2F67">
              <w:rPr>
                <w:rFonts w:ascii="Arial" w:hAnsi="Arial" w:cs="Arial"/>
                <w:b/>
                <w:bCs/>
                <w:color w:val="000000"/>
                <w:sz w:val="18"/>
                <w:szCs w:val="18"/>
              </w:rPr>
              <w:t xml:space="preserve">As </w:t>
            </w:r>
            <w:proofErr w:type="gramStart"/>
            <w:r w:rsidRPr="002D2F67">
              <w:rPr>
                <w:rFonts w:ascii="Arial" w:hAnsi="Arial" w:cs="Arial"/>
                <w:b/>
                <w:bCs/>
                <w:color w:val="000000"/>
                <w:sz w:val="18"/>
                <w:szCs w:val="18"/>
              </w:rPr>
              <w:t>at</w:t>
            </w:r>
            <w:proofErr w:type="gramEnd"/>
            <w:r w:rsidRPr="002D2F67">
              <w:rPr>
                <w:rFonts w:ascii="Arial" w:hAnsi="Arial" w:cs="Arial"/>
                <w:b/>
                <w:bCs/>
                <w:color w:val="000000"/>
                <w:sz w:val="18"/>
                <w:szCs w:val="18"/>
              </w:rPr>
              <w:t xml:space="preserve"> </w:t>
            </w:r>
            <w:r w:rsidR="00CD5714" w:rsidRPr="00CD5714">
              <w:rPr>
                <w:rFonts w:ascii="Arial" w:hAnsi="Arial" w:cs="Arial"/>
                <w:b/>
                <w:bCs/>
                <w:color w:val="000000"/>
                <w:sz w:val="18"/>
                <w:szCs w:val="18"/>
                <w:lang w:val="en-GB"/>
              </w:rPr>
              <w:t>31</w:t>
            </w:r>
            <w:r w:rsidRPr="002D2F67">
              <w:rPr>
                <w:rFonts w:ascii="Arial" w:hAnsi="Arial" w:cs="Arial"/>
                <w:b/>
                <w:bCs/>
                <w:color w:val="000000"/>
                <w:sz w:val="18"/>
                <w:szCs w:val="18"/>
              </w:rPr>
              <w:t xml:space="preserve"> December</w:t>
            </w:r>
          </w:p>
        </w:tc>
        <w:tc>
          <w:tcPr>
            <w:tcW w:w="932" w:type="dxa"/>
            <w:tcBorders>
              <w:top w:val="single" w:sz="4" w:space="0" w:color="auto"/>
              <w:bottom w:val="single" w:sz="4" w:space="0" w:color="auto"/>
            </w:tcBorders>
            <w:shd w:val="clear" w:color="auto" w:fill="auto"/>
            <w:vAlign w:val="bottom"/>
          </w:tcPr>
          <w:p w14:paraId="103ED9DF" w14:textId="77777777" w:rsidR="00791044" w:rsidRPr="002D2F67" w:rsidRDefault="00791044" w:rsidP="005611FE">
            <w:pPr>
              <w:pStyle w:val="BlockText"/>
              <w:ind w:left="0" w:right="-72"/>
              <w:jc w:val="right"/>
              <w:rPr>
                <w:rFonts w:ascii="Arial" w:eastAsia="Arial" w:hAnsi="Arial" w:cs="Arial"/>
                <w:b/>
                <w:bCs/>
                <w:color w:val="000000"/>
                <w:sz w:val="18"/>
                <w:szCs w:val="18"/>
              </w:rPr>
            </w:pPr>
          </w:p>
        </w:tc>
        <w:tc>
          <w:tcPr>
            <w:tcW w:w="934" w:type="dxa"/>
            <w:tcBorders>
              <w:top w:val="single" w:sz="4" w:space="0" w:color="auto"/>
              <w:bottom w:val="single" w:sz="4" w:space="0" w:color="auto"/>
            </w:tcBorders>
            <w:shd w:val="clear" w:color="auto" w:fill="auto"/>
            <w:vAlign w:val="bottom"/>
          </w:tcPr>
          <w:p w14:paraId="56390133" w14:textId="77777777" w:rsidR="00791044" w:rsidRPr="002D2F67" w:rsidRDefault="00791044" w:rsidP="005611FE">
            <w:pPr>
              <w:pStyle w:val="BlockText"/>
              <w:ind w:left="0" w:right="-72"/>
              <w:jc w:val="right"/>
              <w:rPr>
                <w:rFonts w:ascii="Arial" w:eastAsia="Arial" w:hAnsi="Arial" w:cs="Arial"/>
                <w:b/>
                <w:bCs/>
                <w:color w:val="000000"/>
                <w:sz w:val="18"/>
                <w:szCs w:val="18"/>
              </w:rPr>
            </w:pPr>
          </w:p>
        </w:tc>
        <w:tc>
          <w:tcPr>
            <w:tcW w:w="979" w:type="dxa"/>
            <w:tcBorders>
              <w:top w:val="single" w:sz="4" w:space="0" w:color="auto"/>
              <w:bottom w:val="single" w:sz="4" w:space="0" w:color="auto"/>
            </w:tcBorders>
            <w:shd w:val="clear" w:color="auto" w:fill="auto"/>
            <w:vAlign w:val="bottom"/>
          </w:tcPr>
          <w:p w14:paraId="63EFDC6A" w14:textId="0B1F6E83" w:rsidR="00791044" w:rsidRPr="002D2F67" w:rsidRDefault="00CD5714" w:rsidP="005611FE">
            <w:pPr>
              <w:pStyle w:val="BlockText"/>
              <w:ind w:left="0" w:right="-72"/>
              <w:jc w:val="right"/>
              <w:rPr>
                <w:rFonts w:ascii="Arial" w:eastAsia="Arial" w:hAnsi="Arial" w:cs="Arial"/>
                <w:b/>
                <w:bCs/>
                <w:color w:val="000000"/>
                <w:sz w:val="18"/>
                <w:szCs w:val="18"/>
                <w:cs/>
              </w:rPr>
            </w:pPr>
            <w:r w:rsidRPr="00CD5714">
              <w:rPr>
                <w:rFonts w:ascii="Arial" w:hAnsi="Arial" w:cs="Arial"/>
                <w:b/>
                <w:bCs/>
                <w:color w:val="000000"/>
                <w:sz w:val="18"/>
                <w:szCs w:val="18"/>
                <w:lang w:val="en-GB"/>
              </w:rPr>
              <w:t>2024</w:t>
            </w:r>
          </w:p>
        </w:tc>
        <w:tc>
          <w:tcPr>
            <w:tcW w:w="933" w:type="dxa"/>
            <w:tcBorders>
              <w:top w:val="single" w:sz="4" w:space="0" w:color="auto"/>
              <w:bottom w:val="single" w:sz="4" w:space="0" w:color="auto"/>
            </w:tcBorders>
            <w:shd w:val="clear" w:color="auto" w:fill="auto"/>
            <w:vAlign w:val="bottom"/>
          </w:tcPr>
          <w:p w14:paraId="03E7B504" w14:textId="77777777" w:rsidR="00791044" w:rsidRPr="002D2F67" w:rsidRDefault="00791044" w:rsidP="005611FE">
            <w:pPr>
              <w:pStyle w:val="BlockText"/>
              <w:ind w:left="0" w:right="-72"/>
              <w:jc w:val="right"/>
              <w:rPr>
                <w:rFonts w:ascii="Arial" w:eastAsia="Arial" w:hAnsi="Arial" w:cs="Arial"/>
                <w:b/>
                <w:bCs/>
                <w:color w:val="000000"/>
                <w:sz w:val="18"/>
                <w:szCs w:val="18"/>
                <w:cs/>
              </w:rPr>
            </w:pPr>
          </w:p>
        </w:tc>
        <w:tc>
          <w:tcPr>
            <w:tcW w:w="933" w:type="dxa"/>
            <w:tcBorders>
              <w:top w:val="single" w:sz="4" w:space="0" w:color="auto"/>
              <w:bottom w:val="single" w:sz="4" w:space="0" w:color="auto"/>
            </w:tcBorders>
            <w:shd w:val="clear" w:color="auto" w:fill="auto"/>
            <w:vAlign w:val="bottom"/>
          </w:tcPr>
          <w:p w14:paraId="6B17FA25" w14:textId="77777777" w:rsidR="00791044" w:rsidRPr="002D2F67" w:rsidRDefault="00791044" w:rsidP="005611FE">
            <w:pPr>
              <w:pStyle w:val="BlockText"/>
              <w:ind w:left="0" w:right="-72"/>
              <w:jc w:val="right"/>
              <w:rPr>
                <w:rFonts w:ascii="Arial" w:eastAsia="Arial" w:hAnsi="Arial" w:cs="Arial"/>
                <w:b/>
                <w:bCs/>
                <w:color w:val="000000"/>
                <w:sz w:val="18"/>
                <w:szCs w:val="18"/>
                <w:cs/>
              </w:rPr>
            </w:pPr>
          </w:p>
        </w:tc>
        <w:tc>
          <w:tcPr>
            <w:tcW w:w="979" w:type="dxa"/>
            <w:tcBorders>
              <w:top w:val="single" w:sz="4" w:space="0" w:color="auto"/>
              <w:bottom w:val="single" w:sz="4" w:space="0" w:color="auto"/>
            </w:tcBorders>
            <w:shd w:val="clear" w:color="auto" w:fill="auto"/>
            <w:vAlign w:val="bottom"/>
          </w:tcPr>
          <w:p w14:paraId="11E45747" w14:textId="4AD5A625" w:rsidR="00791044" w:rsidRPr="002D2F67" w:rsidRDefault="00CD5714" w:rsidP="005611FE">
            <w:pPr>
              <w:pStyle w:val="BlockText"/>
              <w:ind w:left="0" w:right="-72"/>
              <w:jc w:val="right"/>
              <w:rPr>
                <w:rFonts w:ascii="Arial" w:eastAsia="Arial" w:hAnsi="Arial" w:cs="Arial"/>
                <w:b/>
                <w:bCs/>
                <w:color w:val="000000"/>
                <w:sz w:val="18"/>
                <w:szCs w:val="18"/>
                <w:cs/>
              </w:rPr>
            </w:pPr>
            <w:r w:rsidRPr="00CD5714">
              <w:rPr>
                <w:rFonts w:ascii="Arial" w:hAnsi="Arial" w:cs="Arial"/>
                <w:b/>
                <w:bCs/>
                <w:color w:val="000000"/>
                <w:sz w:val="18"/>
                <w:szCs w:val="18"/>
                <w:lang w:val="en-GB"/>
              </w:rPr>
              <w:t>2023</w:t>
            </w:r>
          </w:p>
        </w:tc>
      </w:tr>
      <w:tr w:rsidR="00791044" w:rsidRPr="002D2F67" w14:paraId="70BAD27D" w14:textId="77777777" w:rsidTr="005611FE">
        <w:trPr>
          <w:trHeight w:val="57"/>
        </w:trPr>
        <w:tc>
          <w:tcPr>
            <w:tcW w:w="3438" w:type="dxa"/>
            <w:shd w:val="clear" w:color="auto" w:fill="auto"/>
          </w:tcPr>
          <w:p w14:paraId="75047B75" w14:textId="77777777" w:rsidR="00791044" w:rsidRPr="002D2F67" w:rsidRDefault="00791044" w:rsidP="005611FE">
            <w:pPr>
              <w:pStyle w:val="BlockText"/>
              <w:ind w:left="82" w:right="0"/>
              <w:rPr>
                <w:rFonts w:ascii="Arial" w:eastAsia="Arial" w:hAnsi="Arial" w:cs="Arial"/>
                <w:color w:val="000000"/>
                <w:sz w:val="18"/>
                <w:szCs w:val="18"/>
              </w:rPr>
            </w:pPr>
          </w:p>
        </w:tc>
        <w:tc>
          <w:tcPr>
            <w:tcW w:w="932" w:type="dxa"/>
            <w:tcBorders>
              <w:top w:val="single" w:sz="4" w:space="0" w:color="auto"/>
              <w:bottom w:val="single" w:sz="4" w:space="0" w:color="auto"/>
            </w:tcBorders>
            <w:shd w:val="clear" w:color="auto" w:fill="auto"/>
            <w:vAlign w:val="bottom"/>
          </w:tcPr>
          <w:p w14:paraId="4F5ACD08" w14:textId="77777777" w:rsidR="00791044" w:rsidRPr="002D2F67" w:rsidRDefault="00791044" w:rsidP="005611FE">
            <w:pPr>
              <w:autoSpaceDE w:val="0"/>
              <w:autoSpaceDN w:val="0"/>
              <w:ind w:left="-77" w:right="-72"/>
              <w:jc w:val="right"/>
              <w:rPr>
                <w:rFonts w:ascii="Arial" w:hAnsi="Arial" w:cs="Arial"/>
                <w:b/>
                <w:bCs/>
                <w:color w:val="000000"/>
                <w:sz w:val="18"/>
                <w:szCs w:val="18"/>
              </w:rPr>
            </w:pPr>
            <w:r w:rsidRPr="002D2F67">
              <w:rPr>
                <w:rFonts w:ascii="Arial" w:hAnsi="Arial" w:cs="Arial"/>
                <w:b/>
                <w:bCs/>
                <w:color w:val="000000"/>
                <w:sz w:val="18"/>
                <w:szCs w:val="18"/>
              </w:rPr>
              <w:t xml:space="preserve">US </w:t>
            </w:r>
          </w:p>
          <w:p w14:paraId="6FC90342" w14:textId="69788D16" w:rsidR="00791044" w:rsidRPr="002D2F67" w:rsidRDefault="00791044" w:rsidP="005611FE">
            <w:pPr>
              <w:pStyle w:val="BlockText"/>
              <w:ind w:left="-85" w:right="-72"/>
              <w:jc w:val="right"/>
              <w:rPr>
                <w:rFonts w:ascii="Arial" w:eastAsia="Arial" w:hAnsi="Arial" w:cs="Arial"/>
                <w:b/>
                <w:bCs/>
                <w:color w:val="000000"/>
                <w:sz w:val="18"/>
                <w:szCs w:val="18"/>
                <w:cs/>
              </w:rPr>
            </w:pPr>
            <w:r w:rsidRPr="002D2F67">
              <w:rPr>
                <w:rFonts w:ascii="Arial" w:hAnsi="Arial" w:cs="Arial"/>
                <w:b/>
                <w:bCs/>
                <w:color w:val="000000"/>
                <w:sz w:val="18"/>
                <w:szCs w:val="18"/>
              </w:rPr>
              <w:t>Dollar</w:t>
            </w:r>
          </w:p>
        </w:tc>
        <w:tc>
          <w:tcPr>
            <w:tcW w:w="934" w:type="dxa"/>
            <w:tcBorders>
              <w:top w:val="single" w:sz="4" w:space="0" w:color="auto"/>
              <w:bottom w:val="single" w:sz="4" w:space="0" w:color="auto"/>
            </w:tcBorders>
            <w:shd w:val="clear" w:color="auto" w:fill="auto"/>
            <w:vAlign w:val="bottom"/>
          </w:tcPr>
          <w:p w14:paraId="4FBC4B01" w14:textId="77777777" w:rsidR="00791044" w:rsidRPr="002D2F67" w:rsidRDefault="00791044" w:rsidP="005611FE">
            <w:pPr>
              <w:autoSpaceDE w:val="0"/>
              <w:autoSpaceDN w:val="0"/>
              <w:ind w:left="-77" w:right="-72"/>
              <w:jc w:val="right"/>
              <w:rPr>
                <w:rFonts w:ascii="Arial" w:hAnsi="Arial" w:cs="Arial"/>
                <w:b/>
                <w:bCs/>
                <w:color w:val="000000"/>
                <w:sz w:val="18"/>
                <w:szCs w:val="18"/>
              </w:rPr>
            </w:pPr>
            <w:r w:rsidRPr="002D2F67">
              <w:rPr>
                <w:rFonts w:ascii="Arial" w:hAnsi="Arial" w:cs="Arial"/>
                <w:b/>
                <w:bCs/>
                <w:color w:val="000000"/>
                <w:sz w:val="18"/>
                <w:szCs w:val="18"/>
              </w:rPr>
              <w:t xml:space="preserve">Taiwan </w:t>
            </w:r>
          </w:p>
          <w:p w14:paraId="0D8EFE1B" w14:textId="0596408E" w:rsidR="00791044" w:rsidRPr="002D2F67" w:rsidRDefault="00791044" w:rsidP="005611FE">
            <w:pPr>
              <w:pStyle w:val="BlockText"/>
              <w:ind w:left="-85" w:right="-72"/>
              <w:jc w:val="right"/>
              <w:rPr>
                <w:rFonts w:ascii="Arial" w:eastAsia="Arial" w:hAnsi="Arial" w:cs="Arial"/>
                <w:b/>
                <w:bCs/>
                <w:color w:val="000000"/>
                <w:spacing w:val="-2"/>
                <w:sz w:val="18"/>
                <w:szCs w:val="18"/>
              </w:rPr>
            </w:pPr>
            <w:r w:rsidRPr="002D2F67">
              <w:rPr>
                <w:rFonts w:ascii="Arial" w:hAnsi="Arial" w:cs="Arial"/>
                <w:b/>
                <w:bCs/>
                <w:color w:val="000000"/>
                <w:sz w:val="18"/>
                <w:szCs w:val="18"/>
              </w:rPr>
              <w:t>Dollar</w:t>
            </w:r>
          </w:p>
        </w:tc>
        <w:tc>
          <w:tcPr>
            <w:tcW w:w="979" w:type="dxa"/>
            <w:tcBorders>
              <w:top w:val="single" w:sz="4" w:space="0" w:color="auto"/>
              <w:bottom w:val="single" w:sz="4" w:space="0" w:color="auto"/>
            </w:tcBorders>
            <w:shd w:val="clear" w:color="auto" w:fill="auto"/>
            <w:vAlign w:val="bottom"/>
          </w:tcPr>
          <w:p w14:paraId="7CB441F6" w14:textId="77777777" w:rsidR="00791044" w:rsidRPr="002D2F67" w:rsidRDefault="00791044" w:rsidP="005611FE">
            <w:pPr>
              <w:autoSpaceDE w:val="0"/>
              <w:autoSpaceDN w:val="0"/>
              <w:ind w:left="-77" w:right="-72"/>
              <w:jc w:val="right"/>
              <w:rPr>
                <w:rFonts w:ascii="Arial" w:hAnsi="Arial" w:cs="Arial"/>
                <w:b/>
                <w:bCs/>
                <w:color w:val="000000"/>
                <w:sz w:val="18"/>
                <w:szCs w:val="18"/>
              </w:rPr>
            </w:pPr>
            <w:r w:rsidRPr="002D2F67">
              <w:rPr>
                <w:rFonts w:ascii="Arial" w:hAnsi="Arial" w:cs="Arial"/>
                <w:b/>
                <w:bCs/>
                <w:color w:val="000000"/>
                <w:sz w:val="18"/>
                <w:szCs w:val="18"/>
              </w:rPr>
              <w:t xml:space="preserve">Japanese </w:t>
            </w:r>
          </w:p>
          <w:p w14:paraId="41B7007D" w14:textId="2A5371BB" w:rsidR="00791044" w:rsidRPr="002D2F67" w:rsidRDefault="00791044" w:rsidP="005611FE">
            <w:pPr>
              <w:pStyle w:val="BlockText"/>
              <w:ind w:left="-85" w:right="-72"/>
              <w:jc w:val="right"/>
              <w:rPr>
                <w:rFonts w:ascii="Arial" w:eastAsia="Arial" w:hAnsi="Arial" w:cs="Arial"/>
                <w:b/>
                <w:bCs/>
                <w:color w:val="000000"/>
                <w:sz w:val="18"/>
                <w:szCs w:val="18"/>
              </w:rPr>
            </w:pPr>
            <w:r w:rsidRPr="002D2F67">
              <w:rPr>
                <w:rFonts w:ascii="Arial" w:hAnsi="Arial" w:cs="Arial"/>
                <w:b/>
                <w:bCs/>
                <w:color w:val="000000"/>
                <w:sz w:val="18"/>
                <w:szCs w:val="18"/>
              </w:rPr>
              <w:t>Yen</w:t>
            </w:r>
          </w:p>
        </w:tc>
        <w:tc>
          <w:tcPr>
            <w:tcW w:w="933" w:type="dxa"/>
            <w:tcBorders>
              <w:top w:val="single" w:sz="4" w:space="0" w:color="auto"/>
              <w:bottom w:val="single" w:sz="4" w:space="0" w:color="auto"/>
            </w:tcBorders>
            <w:shd w:val="clear" w:color="auto" w:fill="auto"/>
            <w:vAlign w:val="bottom"/>
          </w:tcPr>
          <w:p w14:paraId="5BA91C1F" w14:textId="77777777" w:rsidR="00791044" w:rsidRPr="002D2F67" w:rsidRDefault="00791044" w:rsidP="005611FE">
            <w:pPr>
              <w:autoSpaceDE w:val="0"/>
              <w:autoSpaceDN w:val="0"/>
              <w:ind w:left="-77" w:right="-72"/>
              <w:jc w:val="right"/>
              <w:rPr>
                <w:rFonts w:ascii="Arial" w:hAnsi="Arial" w:cs="Arial"/>
                <w:b/>
                <w:bCs/>
                <w:color w:val="000000"/>
                <w:sz w:val="18"/>
                <w:szCs w:val="18"/>
              </w:rPr>
            </w:pPr>
            <w:r w:rsidRPr="002D2F67">
              <w:rPr>
                <w:rFonts w:ascii="Arial" w:hAnsi="Arial" w:cs="Arial"/>
                <w:b/>
                <w:bCs/>
                <w:color w:val="000000"/>
                <w:sz w:val="18"/>
                <w:szCs w:val="18"/>
              </w:rPr>
              <w:t xml:space="preserve">US </w:t>
            </w:r>
          </w:p>
          <w:p w14:paraId="5A4B1F30" w14:textId="01A8C435" w:rsidR="00791044" w:rsidRPr="002D2F67" w:rsidRDefault="00791044" w:rsidP="005611FE">
            <w:pPr>
              <w:pStyle w:val="BlockText"/>
              <w:ind w:left="-55" w:right="-72"/>
              <w:jc w:val="right"/>
              <w:rPr>
                <w:rFonts w:ascii="Arial" w:eastAsia="Arial" w:hAnsi="Arial" w:cs="Arial"/>
                <w:b/>
                <w:bCs/>
                <w:color w:val="000000"/>
                <w:sz w:val="18"/>
                <w:szCs w:val="18"/>
                <w:cs/>
              </w:rPr>
            </w:pPr>
            <w:r w:rsidRPr="002D2F67">
              <w:rPr>
                <w:rFonts w:ascii="Arial" w:hAnsi="Arial" w:cs="Arial"/>
                <w:b/>
                <w:bCs/>
                <w:color w:val="000000"/>
                <w:sz w:val="18"/>
                <w:szCs w:val="18"/>
              </w:rPr>
              <w:t>Dollar</w:t>
            </w:r>
          </w:p>
        </w:tc>
        <w:tc>
          <w:tcPr>
            <w:tcW w:w="933" w:type="dxa"/>
            <w:tcBorders>
              <w:top w:val="single" w:sz="4" w:space="0" w:color="auto"/>
              <w:bottom w:val="single" w:sz="4" w:space="0" w:color="auto"/>
            </w:tcBorders>
            <w:shd w:val="clear" w:color="auto" w:fill="auto"/>
            <w:vAlign w:val="bottom"/>
          </w:tcPr>
          <w:p w14:paraId="123502BD" w14:textId="1612C19C" w:rsidR="00791044" w:rsidRPr="002D2F67" w:rsidRDefault="00791044" w:rsidP="005611FE">
            <w:pPr>
              <w:autoSpaceDE w:val="0"/>
              <w:autoSpaceDN w:val="0"/>
              <w:ind w:left="-77" w:right="-72"/>
              <w:jc w:val="right"/>
              <w:rPr>
                <w:rFonts w:ascii="Arial" w:hAnsi="Arial" w:cs="Arial"/>
                <w:b/>
                <w:bCs/>
                <w:color w:val="000000"/>
                <w:sz w:val="18"/>
                <w:szCs w:val="18"/>
              </w:rPr>
            </w:pPr>
            <w:r w:rsidRPr="002D2F67">
              <w:rPr>
                <w:rFonts w:ascii="Arial" w:hAnsi="Arial" w:cs="Arial"/>
                <w:b/>
                <w:bCs/>
                <w:color w:val="000000"/>
                <w:sz w:val="18"/>
                <w:szCs w:val="18"/>
              </w:rPr>
              <w:t xml:space="preserve">Taiwan </w:t>
            </w:r>
          </w:p>
          <w:p w14:paraId="0EF8510D" w14:textId="16B6BB58" w:rsidR="00791044" w:rsidRPr="002D2F67" w:rsidRDefault="00791044" w:rsidP="005611FE">
            <w:pPr>
              <w:pStyle w:val="BlockText"/>
              <w:ind w:left="-55" w:right="-72"/>
              <w:jc w:val="right"/>
              <w:rPr>
                <w:rFonts w:ascii="Arial" w:eastAsia="Arial" w:hAnsi="Arial" w:cs="Arial"/>
                <w:b/>
                <w:bCs/>
                <w:color w:val="000000"/>
                <w:sz w:val="18"/>
                <w:szCs w:val="18"/>
                <w:cs/>
              </w:rPr>
            </w:pPr>
            <w:r w:rsidRPr="002D2F67">
              <w:rPr>
                <w:rFonts w:ascii="Arial" w:hAnsi="Arial" w:cs="Arial"/>
                <w:b/>
                <w:bCs/>
                <w:color w:val="000000"/>
                <w:sz w:val="18"/>
                <w:szCs w:val="18"/>
              </w:rPr>
              <w:t>Dollar</w:t>
            </w:r>
          </w:p>
        </w:tc>
        <w:tc>
          <w:tcPr>
            <w:tcW w:w="979" w:type="dxa"/>
            <w:tcBorders>
              <w:top w:val="single" w:sz="4" w:space="0" w:color="auto"/>
              <w:bottom w:val="single" w:sz="4" w:space="0" w:color="auto"/>
            </w:tcBorders>
            <w:shd w:val="clear" w:color="auto" w:fill="auto"/>
            <w:vAlign w:val="bottom"/>
          </w:tcPr>
          <w:p w14:paraId="2B59A448" w14:textId="77777777" w:rsidR="00791044" w:rsidRPr="002D2F67" w:rsidRDefault="00791044" w:rsidP="005611FE">
            <w:pPr>
              <w:autoSpaceDE w:val="0"/>
              <w:autoSpaceDN w:val="0"/>
              <w:ind w:left="-77" w:right="-72"/>
              <w:jc w:val="right"/>
              <w:rPr>
                <w:rFonts w:ascii="Arial" w:hAnsi="Arial" w:cs="Arial"/>
                <w:b/>
                <w:bCs/>
                <w:color w:val="000000"/>
                <w:sz w:val="18"/>
                <w:szCs w:val="18"/>
              </w:rPr>
            </w:pPr>
            <w:r w:rsidRPr="002D2F67">
              <w:rPr>
                <w:rFonts w:ascii="Arial" w:hAnsi="Arial" w:cs="Arial"/>
                <w:b/>
                <w:bCs/>
                <w:color w:val="000000"/>
                <w:sz w:val="18"/>
                <w:szCs w:val="18"/>
              </w:rPr>
              <w:t xml:space="preserve">Japanese </w:t>
            </w:r>
          </w:p>
          <w:p w14:paraId="22BABB94" w14:textId="2900226B" w:rsidR="00791044" w:rsidRPr="002D2F67" w:rsidRDefault="00791044" w:rsidP="005611FE">
            <w:pPr>
              <w:pStyle w:val="BlockText"/>
              <w:ind w:left="-55" w:right="-72"/>
              <w:jc w:val="right"/>
              <w:rPr>
                <w:rFonts w:ascii="Arial" w:eastAsia="Arial" w:hAnsi="Arial" w:cs="Arial"/>
                <w:b/>
                <w:bCs/>
                <w:color w:val="000000"/>
                <w:sz w:val="18"/>
                <w:szCs w:val="18"/>
                <w:cs/>
              </w:rPr>
            </w:pPr>
            <w:r w:rsidRPr="002D2F67">
              <w:rPr>
                <w:rFonts w:ascii="Arial" w:hAnsi="Arial" w:cs="Arial"/>
                <w:b/>
                <w:bCs/>
                <w:color w:val="000000"/>
                <w:sz w:val="18"/>
                <w:szCs w:val="18"/>
              </w:rPr>
              <w:t>Yen</w:t>
            </w:r>
          </w:p>
        </w:tc>
      </w:tr>
      <w:tr w:rsidR="00791044" w:rsidRPr="002D2F67" w14:paraId="1643278A" w14:textId="77777777" w:rsidTr="005611FE">
        <w:trPr>
          <w:trHeight w:val="227"/>
        </w:trPr>
        <w:tc>
          <w:tcPr>
            <w:tcW w:w="3438" w:type="dxa"/>
            <w:shd w:val="clear" w:color="auto" w:fill="auto"/>
          </w:tcPr>
          <w:p w14:paraId="5743DAFD" w14:textId="77777777" w:rsidR="00791044" w:rsidRPr="002D2F67" w:rsidRDefault="00791044" w:rsidP="005611FE">
            <w:pPr>
              <w:pStyle w:val="BlockText"/>
              <w:ind w:left="82" w:right="0"/>
              <w:rPr>
                <w:rFonts w:ascii="Arial" w:eastAsia="Arial" w:hAnsi="Arial" w:cs="Arial"/>
                <w:color w:val="000000"/>
                <w:sz w:val="18"/>
                <w:szCs w:val="18"/>
              </w:rPr>
            </w:pPr>
          </w:p>
        </w:tc>
        <w:tc>
          <w:tcPr>
            <w:tcW w:w="932" w:type="dxa"/>
            <w:tcBorders>
              <w:top w:val="single" w:sz="4" w:space="0" w:color="auto"/>
              <w:bottom w:val="single" w:sz="4" w:space="0" w:color="auto"/>
            </w:tcBorders>
            <w:shd w:val="clear" w:color="auto" w:fill="auto"/>
            <w:vAlign w:val="bottom"/>
          </w:tcPr>
          <w:p w14:paraId="6345CB54" w14:textId="77777777" w:rsidR="00791044" w:rsidRPr="002D2F67" w:rsidRDefault="00791044" w:rsidP="005611FE">
            <w:pPr>
              <w:autoSpaceDE w:val="0"/>
              <w:autoSpaceDN w:val="0"/>
              <w:ind w:left="-77" w:right="-72"/>
              <w:jc w:val="right"/>
              <w:rPr>
                <w:rFonts w:ascii="Arial" w:hAnsi="Arial" w:cs="Arial"/>
                <w:b/>
                <w:bCs/>
                <w:color w:val="000000"/>
                <w:sz w:val="18"/>
                <w:szCs w:val="18"/>
              </w:rPr>
            </w:pPr>
            <w:r w:rsidRPr="002D2F67">
              <w:rPr>
                <w:rFonts w:ascii="Arial" w:hAnsi="Arial" w:cs="Arial"/>
                <w:b/>
                <w:bCs/>
                <w:color w:val="000000"/>
                <w:sz w:val="18"/>
                <w:szCs w:val="18"/>
              </w:rPr>
              <w:t>Million</w:t>
            </w:r>
          </w:p>
          <w:p w14:paraId="6134F0BA" w14:textId="07963CC5" w:rsidR="00791044" w:rsidRPr="002D2F67" w:rsidRDefault="00791044" w:rsidP="005611FE">
            <w:pPr>
              <w:pStyle w:val="BlockText"/>
              <w:ind w:left="-55" w:right="-72"/>
              <w:jc w:val="right"/>
              <w:rPr>
                <w:rFonts w:ascii="Arial" w:eastAsia="Arial" w:hAnsi="Arial" w:cs="Arial"/>
                <w:b/>
                <w:bCs/>
                <w:color w:val="000000"/>
                <w:sz w:val="18"/>
                <w:szCs w:val="18"/>
                <w:cs/>
              </w:rPr>
            </w:pPr>
            <w:r w:rsidRPr="002D2F67">
              <w:rPr>
                <w:rFonts w:ascii="Arial" w:hAnsi="Arial" w:cs="Arial"/>
                <w:b/>
                <w:bCs/>
                <w:color w:val="000000"/>
                <w:sz w:val="18"/>
                <w:szCs w:val="18"/>
              </w:rPr>
              <w:t>Baht</w:t>
            </w:r>
          </w:p>
        </w:tc>
        <w:tc>
          <w:tcPr>
            <w:tcW w:w="934" w:type="dxa"/>
            <w:tcBorders>
              <w:top w:val="single" w:sz="4" w:space="0" w:color="auto"/>
              <w:bottom w:val="single" w:sz="4" w:space="0" w:color="auto"/>
            </w:tcBorders>
            <w:shd w:val="clear" w:color="auto" w:fill="auto"/>
            <w:vAlign w:val="bottom"/>
          </w:tcPr>
          <w:p w14:paraId="29A61095" w14:textId="77777777" w:rsidR="00791044" w:rsidRPr="002D2F67" w:rsidRDefault="00791044" w:rsidP="005611FE">
            <w:pPr>
              <w:autoSpaceDE w:val="0"/>
              <w:autoSpaceDN w:val="0"/>
              <w:ind w:left="-77" w:right="-72"/>
              <w:jc w:val="right"/>
              <w:rPr>
                <w:rFonts w:ascii="Arial" w:hAnsi="Arial" w:cs="Arial"/>
                <w:b/>
                <w:bCs/>
                <w:color w:val="000000"/>
                <w:sz w:val="18"/>
                <w:szCs w:val="18"/>
              </w:rPr>
            </w:pPr>
            <w:r w:rsidRPr="002D2F67">
              <w:rPr>
                <w:rFonts w:ascii="Arial" w:hAnsi="Arial" w:cs="Arial"/>
                <w:b/>
                <w:bCs/>
                <w:color w:val="000000"/>
                <w:sz w:val="18"/>
                <w:szCs w:val="18"/>
              </w:rPr>
              <w:t>Million</w:t>
            </w:r>
          </w:p>
          <w:p w14:paraId="47040116" w14:textId="62D6F4C0" w:rsidR="00791044" w:rsidRPr="002D2F67" w:rsidRDefault="00791044" w:rsidP="005611FE">
            <w:pPr>
              <w:pStyle w:val="BlockText"/>
              <w:ind w:left="-85" w:right="-72"/>
              <w:jc w:val="right"/>
              <w:rPr>
                <w:rFonts w:ascii="Arial" w:eastAsia="Arial" w:hAnsi="Arial" w:cs="Arial"/>
                <w:b/>
                <w:bCs/>
                <w:color w:val="000000"/>
                <w:sz w:val="18"/>
                <w:szCs w:val="18"/>
                <w:cs/>
              </w:rPr>
            </w:pPr>
            <w:r w:rsidRPr="002D2F67">
              <w:rPr>
                <w:rFonts w:ascii="Arial" w:hAnsi="Arial" w:cs="Arial"/>
                <w:b/>
                <w:bCs/>
                <w:color w:val="000000"/>
                <w:sz w:val="18"/>
                <w:szCs w:val="18"/>
              </w:rPr>
              <w:t>Baht</w:t>
            </w:r>
          </w:p>
        </w:tc>
        <w:tc>
          <w:tcPr>
            <w:tcW w:w="979" w:type="dxa"/>
            <w:tcBorders>
              <w:top w:val="single" w:sz="4" w:space="0" w:color="auto"/>
              <w:bottom w:val="single" w:sz="4" w:space="0" w:color="auto"/>
            </w:tcBorders>
            <w:shd w:val="clear" w:color="auto" w:fill="auto"/>
            <w:vAlign w:val="bottom"/>
          </w:tcPr>
          <w:p w14:paraId="6B7854AC" w14:textId="77777777" w:rsidR="00791044" w:rsidRPr="002D2F67" w:rsidRDefault="00791044" w:rsidP="005611FE">
            <w:pPr>
              <w:autoSpaceDE w:val="0"/>
              <w:autoSpaceDN w:val="0"/>
              <w:ind w:left="-77" w:right="-72"/>
              <w:jc w:val="right"/>
              <w:rPr>
                <w:rFonts w:ascii="Arial" w:hAnsi="Arial" w:cs="Arial"/>
                <w:b/>
                <w:bCs/>
                <w:color w:val="000000"/>
                <w:sz w:val="18"/>
                <w:szCs w:val="18"/>
              </w:rPr>
            </w:pPr>
            <w:r w:rsidRPr="002D2F67">
              <w:rPr>
                <w:rFonts w:ascii="Arial" w:hAnsi="Arial" w:cs="Arial"/>
                <w:b/>
                <w:bCs/>
                <w:color w:val="000000"/>
                <w:sz w:val="18"/>
                <w:szCs w:val="18"/>
              </w:rPr>
              <w:t>Million</w:t>
            </w:r>
          </w:p>
          <w:p w14:paraId="7FAA89F2" w14:textId="02552C0C" w:rsidR="00791044" w:rsidRPr="002D2F67" w:rsidRDefault="00791044" w:rsidP="005611FE">
            <w:pPr>
              <w:pStyle w:val="BlockText"/>
              <w:ind w:left="-85" w:right="-72"/>
              <w:jc w:val="right"/>
              <w:rPr>
                <w:rFonts w:ascii="Arial" w:eastAsia="Arial" w:hAnsi="Arial" w:cs="Arial"/>
                <w:b/>
                <w:bCs/>
                <w:color w:val="000000"/>
                <w:sz w:val="18"/>
                <w:szCs w:val="18"/>
                <w:cs/>
              </w:rPr>
            </w:pPr>
            <w:r w:rsidRPr="002D2F67">
              <w:rPr>
                <w:rFonts w:ascii="Arial" w:hAnsi="Arial" w:cs="Arial"/>
                <w:b/>
                <w:bCs/>
                <w:color w:val="000000"/>
                <w:sz w:val="18"/>
                <w:szCs w:val="18"/>
              </w:rPr>
              <w:t>Baht</w:t>
            </w:r>
          </w:p>
        </w:tc>
        <w:tc>
          <w:tcPr>
            <w:tcW w:w="933" w:type="dxa"/>
            <w:tcBorders>
              <w:top w:val="single" w:sz="4" w:space="0" w:color="auto"/>
              <w:bottom w:val="single" w:sz="4" w:space="0" w:color="auto"/>
            </w:tcBorders>
            <w:shd w:val="clear" w:color="auto" w:fill="auto"/>
            <w:vAlign w:val="bottom"/>
          </w:tcPr>
          <w:p w14:paraId="188768A8" w14:textId="77777777" w:rsidR="00791044" w:rsidRPr="002D2F67" w:rsidRDefault="00791044" w:rsidP="005611FE">
            <w:pPr>
              <w:autoSpaceDE w:val="0"/>
              <w:autoSpaceDN w:val="0"/>
              <w:ind w:left="-77" w:right="-72"/>
              <w:jc w:val="right"/>
              <w:rPr>
                <w:rFonts w:ascii="Arial" w:hAnsi="Arial" w:cs="Arial"/>
                <w:b/>
                <w:bCs/>
                <w:color w:val="000000"/>
                <w:sz w:val="18"/>
                <w:szCs w:val="18"/>
              </w:rPr>
            </w:pPr>
            <w:r w:rsidRPr="002D2F67">
              <w:rPr>
                <w:rFonts w:ascii="Arial" w:hAnsi="Arial" w:cs="Arial"/>
                <w:b/>
                <w:bCs/>
                <w:color w:val="000000"/>
                <w:sz w:val="18"/>
                <w:szCs w:val="18"/>
              </w:rPr>
              <w:t>Million</w:t>
            </w:r>
          </w:p>
          <w:p w14:paraId="4C7B0AC4" w14:textId="1DC6B387" w:rsidR="00791044" w:rsidRPr="002D2F67" w:rsidRDefault="00791044" w:rsidP="005611FE">
            <w:pPr>
              <w:pStyle w:val="BlockText"/>
              <w:ind w:left="-55" w:right="-72"/>
              <w:jc w:val="right"/>
              <w:rPr>
                <w:rFonts w:ascii="Arial" w:eastAsia="Arial" w:hAnsi="Arial" w:cs="Arial"/>
                <w:b/>
                <w:bCs/>
                <w:color w:val="000000"/>
                <w:sz w:val="18"/>
                <w:szCs w:val="18"/>
                <w:cs/>
              </w:rPr>
            </w:pPr>
            <w:r w:rsidRPr="002D2F67">
              <w:rPr>
                <w:rFonts w:ascii="Arial" w:hAnsi="Arial" w:cs="Arial"/>
                <w:b/>
                <w:bCs/>
                <w:color w:val="000000"/>
                <w:sz w:val="18"/>
                <w:szCs w:val="18"/>
              </w:rPr>
              <w:t>Baht</w:t>
            </w:r>
          </w:p>
        </w:tc>
        <w:tc>
          <w:tcPr>
            <w:tcW w:w="933" w:type="dxa"/>
            <w:tcBorders>
              <w:top w:val="single" w:sz="4" w:space="0" w:color="auto"/>
              <w:bottom w:val="single" w:sz="4" w:space="0" w:color="auto"/>
            </w:tcBorders>
            <w:shd w:val="clear" w:color="auto" w:fill="auto"/>
            <w:vAlign w:val="bottom"/>
          </w:tcPr>
          <w:p w14:paraId="6AE1F8E3" w14:textId="77777777" w:rsidR="00791044" w:rsidRPr="002D2F67" w:rsidRDefault="00791044" w:rsidP="005611FE">
            <w:pPr>
              <w:autoSpaceDE w:val="0"/>
              <w:autoSpaceDN w:val="0"/>
              <w:ind w:left="-77" w:right="-72"/>
              <w:jc w:val="right"/>
              <w:rPr>
                <w:rFonts w:ascii="Arial" w:hAnsi="Arial" w:cs="Arial"/>
                <w:b/>
                <w:bCs/>
                <w:color w:val="000000"/>
                <w:sz w:val="18"/>
                <w:szCs w:val="18"/>
              </w:rPr>
            </w:pPr>
            <w:r w:rsidRPr="002D2F67">
              <w:rPr>
                <w:rFonts w:ascii="Arial" w:hAnsi="Arial" w:cs="Arial"/>
                <w:b/>
                <w:bCs/>
                <w:color w:val="000000"/>
                <w:sz w:val="18"/>
                <w:szCs w:val="18"/>
              </w:rPr>
              <w:t>Million</w:t>
            </w:r>
          </w:p>
          <w:p w14:paraId="2758D2CD" w14:textId="7A161B2A" w:rsidR="00791044" w:rsidRPr="002D2F67" w:rsidRDefault="00791044" w:rsidP="005611FE">
            <w:pPr>
              <w:pStyle w:val="BlockText"/>
              <w:ind w:left="-55" w:right="-72"/>
              <w:jc w:val="right"/>
              <w:rPr>
                <w:rFonts w:ascii="Arial" w:eastAsia="Arial" w:hAnsi="Arial" w:cs="Arial"/>
                <w:b/>
                <w:bCs/>
                <w:color w:val="000000"/>
                <w:sz w:val="18"/>
                <w:szCs w:val="18"/>
                <w:cs/>
              </w:rPr>
            </w:pPr>
            <w:r w:rsidRPr="002D2F67">
              <w:rPr>
                <w:rFonts w:ascii="Arial" w:hAnsi="Arial" w:cs="Arial"/>
                <w:b/>
                <w:bCs/>
                <w:color w:val="000000"/>
                <w:sz w:val="18"/>
                <w:szCs w:val="18"/>
              </w:rPr>
              <w:t>Baht</w:t>
            </w:r>
          </w:p>
        </w:tc>
        <w:tc>
          <w:tcPr>
            <w:tcW w:w="979" w:type="dxa"/>
            <w:tcBorders>
              <w:top w:val="single" w:sz="4" w:space="0" w:color="auto"/>
              <w:bottom w:val="single" w:sz="4" w:space="0" w:color="auto"/>
            </w:tcBorders>
            <w:shd w:val="clear" w:color="auto" w:fill="auto"/>
            <w:vAlign w:val="bottom"/>
          </w:tcPr>
          <w:p w14:paraId="3D1D2074" w14:textId="77777777" w:rsidR="00791044" w:rsidRPr="002D2F67" w:rsidRDefault="00791044" w:rsidP="005611FE">
            <w:pPr>
              <w:autoSpaceDE w:val="0"/>
              <w:autoSpaceDN w:val="0"/>
              <w:ind w:left="-77" w:right="-72"/>
              <w:jc w:val="right"/>
              <w:rPr>
                <w:rFonts w:ascii="Arial" w:hAnsi="Arial" w:cs="Arial"/>
                <w:b/>
                <w:bCs/>
                <w:color w:val="000000"/>
                <w:sz w:val="18"/>
                <w:szCs w:val="18"/>
              </w:rPr>
            </w:pPr>
            <w:r w:rsidRPr="002D2F67">
              <w:rPr>
                <w:rFonts w:ascii="Arial" w:hAnsi="Arial" w:cs="Arial"/>
                <w:b/>
                <w:bCs/>
                <w:color w:val="000000"/>
                <w:sz w:val="18"/>
                <w:szCs w:val="18"/>
              </w:rPr>
              <w:t>Million</w:t>
            </w:r>
          </w:p>
          <w:p w14:paraId="159BD4E6" w14:textId="2172E845" w:rsidR="00791044" w:rsidRPr="002D2F67" w:rsidRDefault="00791044" w:rsidP="005611FE">
            <w:pPr>
              <w:pStyle w:val="BlockText"/>
              <w:ind w:left="-55" w:right="-72"/>
              <w:jc w:val="right"/>
              <w:rPr>
                <w:rFonts w:ascii="Arial" w:eastAsia="Arial" w:hAnsi="Arial" w:cs="Arial"/>
                <w:b/>
                <w:bCs/>
                <w:color w:val="000000"/>
                <w:sz w:val="18"/>
                <w:szCs w:val="18"/>
              </w:rPr>
            </w:pPr>
            <w:r w:rsidRPr="002D2F67">
              <w:rPr>
                <w:rFonts w:ascii="Arial" w:hAnsi="Arial" w:cs="Arial"/>
                <w:b/>
                <w:bCs/>
                <w:color w:val="000000"/>
                <w:sz w:val="18"/>
                <w:szCs w:val="18"/>
              </w:rPr>
              <w:t>Baht</w:t>
            </w:r>
          </w:p>
        </w:tc>
      </w:tr>
      <w:tr w:rsidR="00791044" w:rsidRPr="002D2F67" w14:paraId="35ACF981" w14:textId="77777777" w:rsidTr="005611FE">
        <w:trPr>
          <w:trHeight w:val="98"/>
        </w:trPr>
        <w:tc>
          <w:tcPr>
            <w:tcW w:w="3438" w:type="dxa"/>
            <w:shd w:val="clear" w:color="auto" w:fill="auto"/>
          </w:tcPr>
          <w:p w14:paraId="4A29E851" w14:textId="77777777" w:rsidR="00791044" w:rsidRPr="002D2F67" w:rsidRDefault="00791044" w:rsidP="005611FE">
            <w:pPr>
              <w:pStyle w:val="BlockText"/>
              <w:ind w:left="82" w:right="0"/>
              <w:rPr>
                <w:rFonts w:ascii="Arial" w:eastAsia="Arial" w:hAnsi="Arial" w:cs="Arial"/>
                <w:color w:val="000000"/>
                <w:sz w:val="18"/>
                <w:szCs w:val="18"/>
              </w:rPr>
            </w:pPr>
          </w:p>
        </w:tc>
        <w:tc>
          <w:tcPr>
            <w:tcW w:w="932" w:type="dxa"/>
            <w:tcBorders>
              <w:top w:val="single" w:sz="4" w:space="0" w:color="auto"/>
            </w:tcBorders>
            <w:shd w:val="clear" w:color="auto" w:fill="auto"/>
            <w:vAlign w:val="bottom"/>
          </w:tcPr>
          <w:p w14:paraId="44C23C46" w14:textId="77777777" w:rsidR="00791044" w:rsidRPr="002D2F67" w:rsidRDefault="00791044" w:rsidP="005611FE">
            <w:pPr>
              <w:autoSpaceDE w:val="0"/>
              <w:autoSpaceDN w:val="0"/>
              <w:ind w:right="-72"/>
              <w:jc w:val="right"/>
              <w:rPr>
                <w:rFonts w:ascii="Arial" w:hAnsi="Arial" w:cs="Arial"/>
                <w:color w:val="000000"/>
                <w:sz w:val="18"/>
                <w:szCs w:val="18"/>
                <w:cs/>
              </w:rPr>
            </w:pPr>
          </w:p>
        </w:tc>
        <w:tc>
          <w:tcPr>
            <w:tcW w:w="934" w:type="dxa"/>
            <w:tcBorders>
              <w:top w:val="single" w:sz="4" w:space="0" w:color="auto"/>
            </w:tcBorders>
            <w:shd w:val="clear" w:color="auto" w:fill="auto"/>
            <w:vAlign w:val="bottom"/>
          </w:tcPr>
          <w:p w14:paraId="6A8F22E4" w14:textId="77777777" w:rsidR="00791044" w:rsidRPr="002D2F67" w:rsidRDefault="00791044" w:rsidP="005611FE">
            <w:pPr>
              <w:autoSpaceDE w:val="0"/>
              <w:autoSpaceDN w:val="0"/>
              <w:ind w:right="-72"/>
              <w:jc w:val="right"/>
              <w:rPr>
                <w:rFonts w:ascii="Arial" w:hAnsi="Arial" w:cs="Arial"/>
                <w:color w:val="000000"/>
                <w:sz w:val="18"/>
                <w:szCs w:val="18"/>
                <w:cs/>
              </w:rPr>
            </w:pPr>
          </w:p>
        </w:tc>
        <w:tc>
          <w:tcPr>
            <w:tcW w:w="979" w:type="dxa"/>
            <w:tcBorders>
              <w:top w:val="single" w:sz="4" w:space="0" w:color="auto"/>
            </w:tcBorders>
            <w:shd w:val="clear" w:color="auto" w:fill="auto"/>
            <w:vAlign w:val="bottom"/>
          </w:tcPr>
          <w:p w14:paraId="103A8063" w14:textId="77777777" w:rsidR="00791044" w:rsidRPr="002D2F67" w:rsidRDefault="00791044" w:rsidP="005611FE">
            <w:pPr>
              <w:autoSpaceDE w:val="0"/>
              <w:autoSpaceDN w:val="0"/>
              <w:ind w:right="-72"/>
              <w:jc w:val="right"/>
              <w:rPr>
                <w:rFonts w:ascii="Arial" w:hAnsi="Arial" w:cs="Arial"/>
                <w:color w:val="000000"/>
                <w:sz w:val="18"/>
                <w:szCs w:val="18"/>
                <w:cs/>
              </w:rPr>
            </w:pPr>
          </w:p>
        </w:tc>
        <w:tc>
          <w:tcPr>
            <w:tcW w:w="933" w:type="dxa"/>
            <w:tcBorders>
              <w:top w:val="single" w:sz="4" w:space="0" w:color="auto"/>
            </w:tcBorders>
            <w:shd w:val="clear" w:color="auto" w:fill="auto"/>
            <w:vAlign w:val="bottom"/>
          </w:tcPr>
          <w:p w14:paraId="2F5C1D99" w14:textId="77777777" w:rsidR="00791044" w:rsidRPr="002D2F67" w:rsidRDefault="00791044" w:rsidP="005611FE">
            <w:pPr>
              <w:autoSpaceDE w:val="0"/>
              <w:autoSpaceDN w:val="0"/>
              <w:ind w:right="-72"/>
              <w:jc w:val="right"/>
              <w:rPr>
                <w:rFonts w:ascii="Arial" w:hAnsi="Arial" w:cs="Arial"/>
                <w:color w:val="000000"/>
                <w:sz w:val="18"/>
                <w:szCs w:val="18"/>
                <w:cs/>
              </w:rPr>
            </w:pPr>
          </w:p>
        </w:tc>
        <w:tc>
          <w:tcPr>
            <w:tcW w:w="933" w:type="dxa"/>
            <w:tcBorders>
              <w:top w:val="single" w:sz="4" w:space="0" w:color="auto"/>
            </w:tcBorders>
            <w:shd w:val="clear" w:color="auto" w:fill="auto"/>
            <w:vAlign w:val="bottom"/>
          </w:tcPr>
          <w:p w14:paraId="7BE842EE" w14:textId="77777777" w:rsidR="00791044" w:rsidRPr="002D2F67" w:rsidRDefault="00791044" w:rsidP="005611FE">
            <w:pPr>
              <w:autoSpaceDE w:val="0"/>
              <w:autoSpaceDN w:val="0"/>
              <w:ind w:right="-72"/>
              <w:jc w:val="right"/>
              <w:rPr>
                <w:rFonts w:ascii="Arial" w:hAnsi="Arial" w:cs="Arial"/>
                <w:color w:val="000000"/>
                <w:sz w:val="18"/>
                <w:szCs w:val="18"/>
                <w:cs/>
              </w:rPr>
            </w:pPr>
          </w:p>
        </w:tc>
        <w:tc>
          <w:tcPr>
            <w:tcW w:w="979" w:type="dxa"/>
            <w:tcBorders>
              <w:top w:val="single" w:sz="4" w:space="0" w:color="auto"/>
            </w:tcBorders>
            <w:shd w:val="clear" w:color="auto" w:fill="auto"/>
            <w:vAlign w:val="bottom"/>
          </w:tcPr>
          <w:p w14:paraId="185CA830" w14:textId="77777777" w:rsidR="00791044" w:rsidRPr="002D2F67" w:rsidRDefault="00791044" w:rsidP="005611FE">
            <w:pPr>
              <w:autoSpaceDE w:val="0"/>
              <w:autoSpaceDN w:val="0"/>
              <w:ind w:right="-72"/>
              <w:jc w:val="right"/>
              <w:rPr>
                <w:rFonts w:ascii="Arial" w:hAnsi="Arial" w:cs="Arial"/>
                <w:color w:val="000000"/>
                <w:sz w:val="18"/>
                <w:szCs w:val="18"/>
                <w:cs/>
              </w:rPr>
            </w:pPr>
          </w:p>
        </w:tc>
      </w:tr>
      <w:tr w:rsidR="001D52AC" w:rsidRPr="002D2F67" w14:paraId="48020D16" w14:textId="77777777" w:rsidTr="005611FE">
        <w:trPr>
          <w:trHeight w:val="162"/>
        </w:trPr>
        <w:tc>
          <w:tcPr>
            <w:tcW w:w="3438" w:type="dxa"/>
            <w:shd w:val="clear" w:color="auto" w:fill="auto"/>
            <w:vAlign w:val="bottom"/>
          </w:tcPr>
          <w:p w14:paraId="47EC88F4" w14:textId="34490391" w:rsidR="001D52AC" w:rsidRPr="002D2F67" w:rsidRDefault="001D52AC" w:rsidP="005611FE">
            <w:pPr>
              <w:autoSpaceDE w:val="0"/>
              <w:autoSpaceDN w:val="0"/>
              <w:ind w:left="82"/>
              <w:rPr>
                <w:rFonts w:ascii="Arial" w:eastAsia="Arial" w:hAnsi="Arial" w:cs="Arial"/>
                <w:color w:val="000000"/>
                <w:sz w:val="18"/>
                <w:szCs w:val="18"/>
              </w:rPr>
            </w:pPr>
            <w:r w:rsidRPr="002D2F67">
              <w:rPr>
                <w:rFonts w:ascii="Arial" w:hAnsi="Arial" w:cs="Arial"/>
                <w:color w:val="000000"/>
                <w:sz w:val="18"/>
                <w:szCs w:val="18"/>
              </w:rPr>
              <w:t>Cash and cash equivalents</w:t>
            </w:r>
          </w:p>
        </w:tc>
        <w:tc>
          <w:tcPr>
            <w:tcW w:w="932" w:type="dxa"/>
            <w:shd w:val="clear" w:color="auto" w:fill="auto"/>
            <w:vAlign w:val="bottom"/>
          </w:tcPr>
          <w:p w14:paraId="584ED03B" w14:textId="6CD19DB6" w:rsidR="001D52AC" w:rsidRPr="002D2F67" w:rsidRDefault="00CD5714" w:rsidP="005611FE">
            <w:pPr>
              <w:autoSpaceDE w:val="0"/>
              <w:autoSpaceDN w:val="0"/>
              <w:ind w:right="-72"/>
              <w:jc w:val="right"/>
              <w:rPr>
                <w:rFonts w:ascii="Arial" w:hAnsi="Arial" w:cs="Arial"/>
                <w:color w:val="000000"/>
                <w:sz w:val="18"/>
                <w:szCs w:val="18"/>
              </w:rPr>
            </w:pPr>
            <w:r w:rsidRPr="00CD5714">
              <w:rPr>
                <w:rFonts w:ascii="Arial" w:hAnsi="Arial" w:cs="Arial"/>
                <w:color w:val="000000"/>
                <w:sz w:val="18"/>
                <w:szCs w:val="18"/>
                <w:lang w:val="en-GB"/>
              </w:rPr>
              <w:t>2</w:t>
            </w:r>
          </w:p>
        </w:tc>
        <w:tc>
          <w:tcPr>
            <w:tcW w:w="934" w:type="dxa"/>
            <w:shd w:val="clear" w:color="auto" w:fill="auto"/>
            <w:vAlign w:val="bottom"/>
          </w:tcPr>
          <w:p w14:paraId="62974E3C" w14:textId="364E320A" w:rsidR="001D52AC" w:rsidRPr="002D2F67" w:rsidRDefault="00CD5714" w:rsidP="005611FE">
            <w:pPr>
              <w:autoSpaceDE w:val="0"/>
              <w:autoSpaceDN w:val="0"/>
              <w:ind w:right="-72"/>
              <w:jc w:val="right"/>
              <w:rPr>
                <w:rFonts w:ascii="Arial" w:hAnsi="Arial" w:cs="Arial"/>
                <w:color w:val="000000"/>
                <w:sz w:val="18"/>
                <w:szCs w:val="18"/>
              </w:rPr>
            </w:pPr>
            <w:r w:rsidRPr="00CD5714">
              <w:rPr>
                <w:rFonts w:ascii="Arial" w:hAnsi="Arial" w:cs="Arial"/>
                <w:color w:val="000000"/>
                <w:sz w:val="18"/>
                <w:szCs w:val="18"/>
                <w:lang w:val="en-GB"/>
              </w:rPr>
              <w:t>17</w:t>
            </w:r>
          </w:p>
        </w:tc>
        <w:tc>
          <w:tcPr>
            <w:tcW w:w="979" w:type="dxa"/>
            <w:shd w:val="clear" w:color="auto" w:fill="auto"/>
            <w:vAlign w:val="bottom"/>
          </w:tcPr>
          <w:p w14:paraId="61A135BA" w14:textId="7423ECFF" w:rsidR="001D52AC" w:rsidRPr="002D2F67" w:rsidRDefault="00B7101F" w:rsidP="005611FE">
            <w:pPr>
              <w:autoSpaceDE w:val="0"/>
              <w:autoSpaceDN w:val="0"/>
              <w:ind w:right="-72"/>
              <w:jc w:val="right"/>
              <w:rPr>
                <w:rFonts w:ascii="Arial" w:hAnsi="Arial" w:cs="Arial"/>
                <w:color w:val="000000"/>
                <w:sz w:val="18"/>
                <w:szCs w:val="18"/>
              </w:rPr>
            </w:pPr>
            <w:r w:rsidRPr="002D2F67">
              <w:rPr>
                <w:rFonts w:ascii="Arial" w:hAnsi="Arial" w:cs="Arial"/>
                <w:color w:val="000000"/>
                <w:sz w:val="18"/>
                <w:szCs w:val="18"/>
              </w:rPr>
              <w:t>-</w:t>
            </w:r>
          </w:p>
        </w:tc>
        <w:tc>
          <w:tcPr>
            <w:tcW w:w="933" w:type="dxa"/>
            <w:shd w:val="clear" w:color="auto" w:fill="auto"/>
            <w:vAlign w:val="bottom"/>
          </w:tcPr>
          <w:p w14:paraId="009709EC" w14:textId="3B1A39C7" w:rsidR="001D52AC" w:rsidRPr="002D2F67" w:rsidRDefault="001D52AC" w:rsidP="005611FE">
            <w:pPr>
              <w:autoSpaceDE w:val="0"/>
              <w:autoSpaceDN w:val="0"/>
              <w:ind w:right="-72"/>
              <w:jc w:val="right"/>
              <w:rPr>
                <w:rFonts w:ascii="Arial" w:hAnsi="Arial" w:cs="Arial"/>
                <w:color w:val="000000"/>
                <w:sz w:val="18"/>
                <w:szCs w:val="18"/>
              </w:rPr>
            </w:pPr>
            <w:r w:rsidRPr="002D2F67">
              <w:rPr>
                <w:rFonts w:ascii="Arial" w:hAnsi="Arial" w:cs="Arial"/>
                <w:color w:val="000000"/>
                <w:sz w:val="18"/>
                <w:szCs w:val="18"/>
              </w:rPr>
              <w:t>-</w:t>
            </w:r>
          </w:p>
        </w:tc>
        <w:tc>
          <w:tcPr>
            <w:tcW w:w="933" w:type="dxa"/>
            <w:shd w:val="clear" w:color="auto" w:fill="auto"/>
            <w:vAlign w:val="bottom"/>
          </w:tcPr>
          <w:p w14:paraId="3D64650C" w14:textId="62523B87" w:rsidR="001D52AC" w:rsidRPr="002D2F67" w:rsidRDefault="00CD5714" w:rsidP="005611FE">
            <w:pPr>
              <w:autoSpaceDE w:val="0"/>
              <w:autoSpaceDN w:val="0"/>
              <w:ind w:right="-72"/>
              <w:jc w:val="right"/>
              <w:rPr>
                <w:rFonts w:ascii="Arial" w:hAnsi="Arial" w:cs="Arial"/>
                <w:color w:val="000000"/>
                <w:sz w:val="18"/>
                <w:szCs w:val="18"/>
              </w:rPr>
            </w:pPr>
            <w:r w:rsidRPr="00CD5714">
              <w:rPr>
                <w:rFonts w:ascii="Arial" w:hAnsi="Arial" w:cs="Arial"/>
                <w:color w:val="000000"/>
                <w:sz w:val="18"/>
                <w:szCs w:val="18"/>
                <w:lang w:val="en-GB"/>
              </w:rPr>
              <w:t>22</w:t>
            </w:r>
          </w:p>
        </w:tc>
        <w:tc>
          <w:tcPr>
            <w:tcW w:w="979" w:type="dxa"/>
            <w:shd w:val="clear" w:color="auto" w:fill="auto"/>
            <w:vAlign w:val="bottom"/>
          </w:tcPr>
          <w:p w14:paraId="4F854DAF" w14:textId="469B6BA0" w:rsidR="001D52AC" w:rsidRPr="002D2F67" w:rsidRDefault="001D52AC" w:rsidP="005611FE">
            <w:pPr>
              <w:autoSpaceDE w:val="0"/>
              <w:autoSpaceDN w:val="0"/>
              <w:ind w:right="-72"/>
              <w:jc w:val="right"/>
              <w:rPr>
                <w:rFonts w:ascii="Arial" w:hAnsi="Arial" w:cs="Arial"/>
                <w:color w:val="000000"/>
                <w:sz w:val="18"/>
                <w:szCs w:val="18"/>
              </w:rPr>
            </w:pPr>
            <w:r w:rsidRPr="002D2F67">
              <w:rPr>
                <w:rFonts w:ascii="Arial" w:hAnsi="Arial" w:cs="Arial"/>
                <w:color w:val="000000"/>
                <w:sz w:val="18"/>
                <w:szCs w:val="18"/>
              </w:rPr>
              <w:t>-</w:t>
            </w:r>
          </w:p>
        </w:tc>
      </w:tr>
      <w:tr w:rsidR="001D52AC" w:rsidRPr="002D2F67" w14:paraId="73F1D702" w14:textId="77777777" w:rsidTr="005611FE">
        <w:trPr>
          <w:trHeight w:val="126"/>
        </w:trPr>
        <w:tc>
          <w:tcPr>
            <w:tcW w:w="3438" w:type="dxa"/>
            <w:shd w:val="clear" w:color="auto" w:fill="auto"/>
            <w:vAlign w:val="bottom"/>
          </w:tcPr>
          <w:p w14:paraId="11BCEF05" w14:textId="2631CA28" w:rsidR="001D52AC" w:rsidRPr="002D2F67" w:rsidRDefault="001D52AC" w:rsidP="005611FE">
            <w:pPr>
              <w:autoSpaceDE w:val="0"/>
              <w:autoSpaceDN w:val="0"/>
              <w:ind w:left="82"/>
              <w:rPr>
                <w:rFonts w:ascii="Arial" w:eastAsia="Arial" w:hAnsi="Arial" w:cs="Arial"/>
                <w:color w:val="000000"/>
                <w:sz w:val="18"/>
                <w:szCs w:val="18"/>
                <w:cs/>
              </w:rPr>
            </w:pPr>
            <w:r w:rsidRPr="002D2F67">
              <w:rPr>
                <w:rFonts w:ascii="Arial" w:hAnsi="Arial" w:cs="Arial"/>
                <w:color w:val="000000"/>
                <w:sz w:val="18"/>
                <w:szCs w:val="18"/>
              </w:rPr>
              <w:t>Short-term loans to related parties</w:t>
            </w:r>
          </w:p>
        </w:tc>
        <w:tc>
          <w:tcPr>
            <w:tcW w:w="932" w:type="dxa"/>
            <w:shd w:val="clear" w:color="auto" w:fill="auto"/>
            <w:vAlign w:val="bottom"/>
          </w:tcPr>
          <w:p w14:paraId="182A471E" w14:textId="2472AD33" w:rsidR="001D52AC" w:rsidRPr="002D2F67" w:rsidRDefault="00CD5714" w:rsidP="005611FE">
            <w:pPr>
              <w:autoSpaceDE w:val="0"/>
              <w:autoSpaceDN w:val="0"/>
              <w:ind w:right="-72"/>
              <w:jc w:val="right"/>
              <w:rPr>
                <w:rFonts w:ascii="Arial" w:hAnsi="Arial" w:cs="Arial"/>
                <w:color w:val="000000"/>
                <w:sz w:val="18"/>
                <w:szCs w:val="18"/>
              </w:rPr>
            </w:pPr>
            <w:r w:rsidRPr="00CD5714">
              <w:rPr>
                <w:rFonts w:ascii="Arial" w:hAnsi="Arial" w:cs="Arial"/>
                <w:color w:val="000000"/>
                <w:sz w:val="18"/>
                <w:szCs w:val="18"/>
                <w:lang w:val="en-GB"/>
              </w:rPr>
              <w:t>425</w:t>
            </w:r>
          </w:p>
        </w:tc>
        <w:tc>
          <w:tcPr>
            <w:tcW w:w="934" w:type="dxa"/>
            <w:shd w:val="clear" w:color="auto" w:fill="auto"/>
            <w:vAlign w:val="bottom"/>
          </w:tcPr>
          <w:p w14:paraId="28F71B7F" w14:textId="46C37659" w:rsidR="001D52AC" w:rsidRPr="002D2F67" w:rsidRDefault="00997E9A" w:rsidP="005611FE">
            <w:pPr>
              <w:autoSpaceDE w:val="0"/>
              <w:autoSpaceDN w:val="0"/>
              <w:ind w:right="-72"/>
              <w:jc w:val="right"/>
              <w:rPr>
                <w:rFonts w:ascii="Arial" w:hAnsi="Arial" w:cs="Arial"/>
                <w:color w:val="000000"/>
                <w:sz w:val="18"/>
                <w:szCs w:val="18"/>
              </w:rPr>
            </w:pPr>
            <w:r w:rsidRPr="002D2F67">
              <w:rPr>
                <w:rFonts w:ascii="Arial" w:hAnsi="Arial" w:cs="Arial"/>
                <w:color w:val="000000"/>
                <w:sz w:val="18"/>
                <w:szCs w:val="18"/>
              </w:rPr>
              <w:t>-</w:t>
            </w:r>
          </w:p>
        </w:tc>
        <w:tc>
          <w:tcPr>
            <w:tcW w:w="979" w:type="dxa"/>
            <w:shd w:val="clear" w:color="auto" w:fill="auto"/>
            <w:vAlign w:val="bottom"/>
          </w:tcPr>
          <w:p w14:paraId="2AE6A98F" w14:textId="57E2E116" w:rsidR="001D52AC" w:rsidRPr="002D2F67" w:rsidRDefault="00BB3628" w:rsidP="00BB3628">
            <w:pPr>
              <w:autoSpaceDE w:val="0"/>
              <w:autoSpaceDN w:val="0"/>
              <w:ind w:right="-72"/>
              <w:jc w:val="right"/>
              <w:rPr>
                <w:rFonts w:ascii="Arial" w:hAnsi="Arial" w:cs="Arial"/>
                <w:color w:val="000000"/>
                <w:sz w:val="18"/>
                <w:szCs w:val="18"/>
              </w:rPr>
            </w:pPr>
            <w:r w:rsidRPr="002D2F67">
              <w:rPr>
                <w:rFonts w:ascii="Arial" w:hAnsi="Arial" w:cs="Arial"/>
                <w:color w:val="000000"/>
                <w:sz w:val="18"/>
                <w:szCs w:val="18"/>
              </w:rPr>
              <w:t>-</w:t>
            </w:r>
          </w:p>
        </w:tc>
        <w:tc>
          <w:tcPr>
            <w:tcW w:w="933" w:type="dxa"/>
            <w:shd w:val="clear" w:color="auto" w:fill="auto"/>
            <w:vAlign w:val="bottom"/>
          </w:tcPr>
          <w:p w14:paraId="6E03A54B" w14:textId="5337EBAE" w:rsidR="001D52AC" w:rsidRPr="002D2F67" w:rsidRDefault="00CD5714" w:rsidP="005611FE">
            <w:pPr>
              <w:autoSpaceDE w:val="0"/>
              <w:autoSpaceDN w:val="0"/>
              <w:ind w:right="-72"/>
              <w:jc w:val="right"/>
              <w:rPr>
                <w:rFonts w:ascii="Arial" w:hAnsi="Arial" w:cs="Arial"/>
                <w:color w:val="000000"/>
                <w:sz w:val="18"/>
                <w:szCs w:val="18"/>
              </w:rPr>
            </w:pPr>
            <w:r w:rsidRPr="00CD5714">
              <w:rPr>
                <w:rFonts w:ascii="Arial" w:hAnsi="Arial" w:cs="Arial"/>
                <w:color w:val="000000"/>
                <w:sz w:val="18"/>
                <w:szCs w:val="18"/>
                <w:lang w:val="en-GB"/>
              </w:rPr>
              <w:t>409</w:t>
            </w:r>
          </w:p>
        </w:tc>
        <w:tc>
          <w:tcPr>
            <w:tcW w:w="933" w:type="dxa"/>
            <w:shd w:val="clear" w:color="auto" w:fill="auto"/>
            <w:vAlign w:val="bottom"/>
          </w:tcPr>
          <w:p w14:paraId="1CE91FFD" w14:textId="7D1A7345" w:rsidR="001D52AC" w:rsidRPr="002D2F67" w:rsidRDefault="001D52AC" w:rsidP="005611FE">
            <w:pPr>
              <w:autoSpaceDE w:val="0"/>
              <w:autoSpaceDN w:val="0"/>
              <w:ind w:right="-72"/>
              <w:jc w:val="right"/>
              <w:rPr>
                <w:rFonts w:ascii="Arial" w:hAnsi="Arial" w:cs="Arial"/>
                <w:color w:val="000000"/>
                <w:sz w:val="18"/>
                <w:szCs w:val="18"/>
              </w:rPr>
            </w:pPr>
            <w:r w:rsidRPr="002D2F67">
              <w:rPr>
                <w:rFonts w:ascii="Arial" w:hAnsi="Arial" w:cs="Arial"/>
                <w:color w:val="000000"/>
                <w:sz w:val="18"/>
                <w:szCs w:val="18"/>
              </w:rPr>
              <w:t>-</w:t>
            </w:r>
          </w:p>
        </w:tc>
        <w:tc>
          <w:tcPr>
            <w:tcW w:w="979" w:type="dxa"/>
            <w:shd w:val="clear" w:color="auto" w:fill="auto"/>
            <w:vAlign w:val="bottom"/>
          </w:tcPr>
          <w:p w14:paraId="367CFC8F" w14:textId="76E211EA" w:rsidR="001D52AC" w:rsidRPr="002D2F67" w:rsidRDefault="001D52AC" w:rsidP="005611FE">
            <w:pPr>
              <w:autoSpaceDE w:val="0"/>
              <w:autoSpaceDN w:val="0"/>
              <w:ind w:right="-72"/>
              <w:jc w:val="right"/>
              <w:rPr>
                <w:rFonts w:ascii="Arial" w:hAnsi="Arial" w:cs="Arial"/>
                <w:color w:val="000000"/>
                <w:sz w:val="18"/>
                <w:szCs w:val="18"/>
              </w:rPr>
            </w:pPr>
            <w:r w:rsidRPr="002D2F67">
              <w:rPr>
                <w:rFonts w:ascii="Arial" w:hAnsi="Arial" w:cs="Arial"/>
                <w:color w:val="000000"/>
                <w:sz w:val="18"/>
                <w:szCs w:val="18"/>
              </w:rPr>
              <w:t>-</w:t>
            </w:r>
          </w:p>
        </w:tc>
      </w:tr>
      <w:tr w:rsidR="001D52AC" w:rsidRPr="002D2F67" w14:paraId="6A4993B4" w14:textId="77777777" w:rsidTr="005611FE">
        <w:trPr>
          <w:trHeight w:val="162"/>
        </w:trPr>
        <w:tc>
          <w:tcPr>
            <w:tcW w:w="3438" w:type="dxa"/>
            <w:shd w:val="clear" w:color="auto" w:fill="auto"/>
            <w:vAlign w:val="bottom"/>
          </w:tcPr>
          <w:p w14:paraId="1FD2587F" w14:textId="30660DB0" w:rsidR="001D52AC" w:rsidRPr="002D2F67" w:rsidRDefault="001D52AC" w:rsidP="005611FE">
            <w:pPr>
              <w:autoSpaceDE w:val="0"/>
              <w:autoSpaceDN w:val="0"/>
              <w:ind w:left="82"/>
              <w:rPr>
                <w:rFonts w:ascii="Arial" w:eastAsia="Arial" w:hAnsi="Arial" w:cs="Arial"/>
                <w:color w:val="000000"/>
                <w:sz w:val="18"/>
                <w:szCs w:val="18"/>
                <w:cs/>
              </w:rPr>
            </w:pPr>
            <w:r w:rsidRPr="002D2F67">
              <w:rPr>
                <w:rFonts w:ascii="Arial" w:hAnsi="Arial" w:cs="Arial"/>
                <w:color w:val="000000"/>
                <w:sz w:val="18"/>
                <w:szCs w:val="18"/>
              </w:rPr>
              <w:t>Long-term loans to related parties</w:t>
            </w:r>
          </w:p>
        </w:tc>
        <w:tc>
          <w:tcPr>
            <w:tcW w:w="932" w:type="dxa"/>
            <w:shd w:val="clear" w:color="auto" w:fill="auto"/>
            <w:vAlign w:val="bottom"/>
          </w:tcPr>
          <w:p w14:paraId="6399C1D9" w14:textId="1BA7F924" w:rsidR="001D52AC" w:rsidRPr="002D2F67" w:rsidRDefault="00CD5714" w:rsidP="005611FE">
            <w:pPr>
              <w:autoSpaceDE w:val="0"/>
              <w:autoSpaceDN w:val="0"/>
              <w:ind w:right="-72"/>
              <w:jc w:val="right"/>
              <w:rPr>
                <w:rFonts w:ascii="Arial" w:hAnsi="Arial" w:cs="Arial"/>
                <w:color w:val="000000"/>
                <w:sz w:val="18"/>
                <w:szCs w:val="18"/>
              </w:rPr>
            </w:pPr>
            <w:r w:rsidRPr="00CD5714">
              <w:rPr>
                <w:rFonts w:ascii="Arial" w:hAnsi="Arial" w:cs="Arial"/>
                <w:color w:val="000000"/>
                <w:sz w:val="18"/>
                <w:szCs w:val="18"/>
                <w:lang w:val="en-GB"/>
              </w:rPr>
              <w:t>587</w:t>
            </w:r>
          </w:p>
        </w:tc>
        <w:tc>
          <w:tcPr>
            <w:tcW w:w="934" w:type="dxa"/>
            <w:shd w:val="clear" w:color="auto" w:fill="auto"/>
            <w:vAlign w:val="bottom"/>
          </w:tcPr>
          <w:p w14:paraId="1CAE8723" w14:textId="79D5CC6A" w:rsidR="001D52AC" w:rsidRPr="002D2F67" w:rsidRDefault="00B7101F" w:rsidP="005611FE">
            <w:pPr>
              <w:autoSpaceDE w:val="0"/>
              <w:autoSpaceDN w:val="0"/>
              <w:ind w:right="-72"/>
              <w:jc w:val="right"/>
              <w:rPr>
                <w:rFonts w:ascii="Arial" w:hAnsi="Arial" w:cs="Arial"/>
                <w:color w:val="000000"/>
                <w:sz w:val="18"/>
                <w:szCs w:val="18"/>
              </w:rPr>
            </w:pPr>
            <w:r w:rsidRPr="002D2F67">
              <w:rPr>
                <w:rFonts w:ascii="Arial" w:hAnsi="Arial" w:cs="Arial"/>
                <w:color w:val="000000"/>
                <w:sz w:val="18"/>
                <w:szCs w:val="18"/>
              </w:rPr>
              <w:t>-</w:t>
            </w:r>
          </w:p>
        </w:tc>
        <w:tc>
          <w:tcPr>
            <w:tcW w:w="979" w:type="dxa"/>
            <w:shd w:val="clear" w:color="auto" w:fill="auto"/>
            <w:vAlign w:val="bottom"/>
          </w:tcPr>
          <w:p w14:paraId="6E83135E" w14:textId="474D1FF0" w:rsidR="001D52AC" w:rsidRPr="002D2F67" w:rsidRDefault="00BB3628" w:rsidP="005611FE">
            <w:pPr>
              <w:autoSpaceDE w:val="0"/>
              <w:autoSpaceDN w:val="0"/>
              <w:ind w:right="-72"/>
              <w:jc w:val="right"/>
              <w:rPr>
                <w:rFonts w:ascii="Arial" w:hAnsi="Arial" w:cs="Arial"/>
                <w:color w:val="000000"/>
                <w:sz w:val="18"/>
                <w:szCs w:val="18"/>
              </w:rPr>
            </w:pPr>
            <w:r w:rsidRPr="002D2F67">
              <w:rPr>
                <w:rFonts w:ascii="Arial" w:hAnsi="Arial" w:cs="Arial"/>
                <w:color w:val="000000"/>
                <w:sz w:val="18"/>
                <w:szCs w:val="18"/>
              </w:rPr>
              <w:t>-</w:t>
            </w:r>
          </w:p>
        </w:tc>
        <w:tc>
          <w:tcPr>
            <w:tcW w:w="933" w:type="dxa"/>
            <w:shd w:val="clear" w:color="auto" w:fill="auto"/>
            <w:vAlign w:val="bottom"/>
          </w:tcPr>
          <w:p w14:paraId="358AEC31" w14:textId="213B8F6A" w:rsidR="001D52AC" w:rsidRPr="002D2F67" w:rsidRDefault="00CD5714" w:rsidP="005611FE">
            <w:pPr>
              <w:autoSpaceDE w:val="0"/>
              <w:autoSpaceDN w:val="0"/>
              <w:ind w:right="-72"/>
              <w:jc w:val="right"/>
              <w:rPr>
                <w:rFonts w:ascii="Arial" w:hAnsi="Arial" w:cs="Arial"/>
                <w:color w:val="000000"/>
                <w:sz w:val="18"/>
                <w:szCs w:val="18"/>
              </w:rPr>
            </w:pPr>
            <w:r w:rsidRPr="00CD5714">
              <w:rPr>
                <w:rFonts w:ascii="Arial" w:hAnsi="Arial" w:cs="Arial"/>
                <w:color w:val="000000"/>
                <w:sz w:val="18"/>
                <w:szCs w:val="18"/>
                <w:lang w:val="en-GB"/>
              </w:rPr>
              <w:t>668</w:t>
            </w:r>
          </w:p>
        </w:tc>
        <w:tc>
          <w:tcPr>
            <w:tcW w:w="933" w:type="dxa"/>
            <w:shd w:val="clear" w:color="auto" w:fill="auto"/>
            <w:vAlign w:val="bottom"/>
          </w:tcPr>
          <w:p w14:paraId="2D93F522" w14:textId="0E96F298" w:rsidR="001D52AC" w:rsidRPr="002D2F67" w:rsidRDefault="001D52AC" w:rsidP="005611FE">
            <w:pPr>
              <w:autoSpaceDE w:val="0"/>
              <w:autoSpaceDN w:val="0"/>
              <w:ind w:right="-72"/>
              <w:jc w:val="right"/>
              <w:rPr>
                <w:rFonts w:ascii="Arial" w:hAnsi="Arial" w:cs="Arial"/>
                <w:color w:val="000000"/>
                <w:sz w:val="18"/>
                <w:szCs w:val="18"/>
              </w:rPr>
            </w:pPr>
            <w:r w:rsidRPr="002D2F67">
              <w:rPr>
                <w:rFonts w:ascii="Arial" w:hAnsi="Arial" w:cs="Arial"/>
                <w:color w:val="000000"/>
                <w:sz w:val="18"/>
                <w:szCs w:val="18"/>
              </w:rPr>
              <w:t>-</w:t>
            </w:r>
          </w:p>
        </w:tc>
        <w:tc>
          <w:tcPr>
            <w:tcW w:w="979" w:type="dxa"/>
            <w:shd w:val="clear" w:color="auto" w:fill="auto"/>
            <w:vAlign w:val="bottom"/>
          </w:tcPr>
          <w:p w14:paraId="202FF152" w14:textId="30969858" w:rsidR="001D52AC" w:rsidRPr="002D2F67" w:rsidRDefault="001D52AC" w:rsidP="005611FE">
            <w:pPr>
              <w:autoSpaceDE w:val="0"/>
              <w:autoSpaceDN w:val="0"/>
              <w:ind w:right="-72"/>
              <w:jc w:val="right"/>
              <w:rPr>
                <w:rFonts w:ascii="Arial" w:hAnsi="Arial" w:cs="Arial"/>
                <w:color w:val="000000"/>
                <w:sz w:val="18"/>
                <w:szCs w:val="18"/>
              </w:rPr>
            </w:pPr>
            <w:r w:rsidRPr="002D2F67">
              <w:rPr>
                <w:rFonts w:ascii="Arial" w:hAnsi="Arial" w:cs="Arial"/>
                <w:color w:val="000000"/>
                <w:sz w:val="18"/>
                <w:szCs w:val="18"/>
              </w:rPr>
              <w:t>-</w:t>
            </w:r>
          </w:p>
        </w:tc>
      </w:tr>
      <w:tr w:rsidR="001D52AC" w:rsidRPr="002D2F67" w14:paraId="1E5133B8" w14:textId="77777777" w:rsidTr="005611FE">
        <w:trPr>
          <w:trHeight w:val="339"/>
        </w:trPr>
        <w:tc>
          <w:tcPr>
            <w:tcW w:w="3438" w:type="dxa"/>
            <w:shd w:val="clear" w:color="auto" w:fill="auto"/>
            <w:vAlign w:val="bottom"/>
          </w:tcPr>
          <w:p w14:paraId="5EFAB7D1" w14:textId="77777777" w:rsidR="001D52AC" w:rsidRPr="002D2F67" w:rsidRDefault="001D52AC" w:rsidP="005611FE">
            <w:pPr>
              <w:ind w:left="82"/>
              <w:rPr>
                <w:rFonts w:ascii="Arial" w:hAnsi="Arial" w:cs="Arial"/>
                <w:color w:val="000000"/>
                <w:sz w:val="18"/>
                <w:szCs w:val="18"/>
              </w:rPr>
            </w:pPr>
            <w:r w:rsidRPr="002D2F67">
              <w:rPr>
                <w:rFonts w:ascii="Arial" w:hAnsi="Arial" w:cs="Arial"/>
                <w:color w:val="000000"/>
                <w:sz w:val="18"/>
                <w:szCs w:val="18"/>
              </w:rPr>
              <w:t xml:space="preserve">Long-term loans from financial </w:t>
            </w:r>
          </w:p>
          <w:p w14:paraId="23B45415" w14:textId="536AB321" w:rsidR="001D52AC" w:rsidRPr="002D2F67" w:rsidRDefault="001D52AC" w:rsidP="005611FE">
            <w:pPr>
              <w:autoSpaceDE w:val="0"/>
              <w:autoSpaceDN w:val="0"/>
              <w:ind w:left="82"/>
              <w:rPr>
                <w:rFonts w:ascii="Arial" w:eastAsia="Arial" w:hAnsi="Arial" w:cs="Arial"/>
                <w:color w:val="000000"/>
                <w:sz w:val="18"/>
                <w:szCs w:val="18"/>
                <w:cs/>
              </w:rPr>
            </w:pPr>
            <w:r w:rsidRPr="002D2F67">
              <w:rPr>
                <w:rFonts w:ascii="Arial" w:hAnsi="Arial" w:cs="Arial"/>
                <w:color w:val="000000"/>
                <w:sz w:val="18"/>
                <w:szCs w:val="18"/>
              </w:rPr>
              <w:t xml:space="preserve">   institutions</w:t>
            </w:r>
          </w:p>
        </w:tc>
        <w:tc>
          <w:tcPr>
            <w:tcW w:w="932" w:type="dxa"/>
            <w:shd w:val="clear" w:color="auto" w:fill="auto"/>
            <w:vAlign w:val="bottom"/>
          </w:tcPr>
          <w:p w14:paraId="580A6E7D" w14:textId="11C633C6" w:rsidR="001D52AC" w:rsidRPr="002D2F67" w:rsidRDefault="00CD5714" w:rsidP="005611FE">
            <w:pPr>
              <w:autoSpaceDE w:val="0"/>
              <w:autoSpaceDN w:val="0"/>
              <w:ind w:right="-72"/>
              <w:jc w:val="right"/>
              <w:rPr>
                <w:rFonts w:ascii="Arial" w:hAnsi="Arial" w:cs="Arial"/>
                <w:color w:val="000000"/>
                <w:sz w:val="18"/>
                <w:szCs w:val="18"/>
              </w:rPr>
            </w:pPr>
            <w:r w:rsidRPr="00CD5714">
              <w:rPr>
                <w:rFonts w:ascii="Arial" w:hAnsi="Arial" w:cs="Arial"/>
                <w:color w:val="000000"/>
                <w:sz w:val="18"/>
                <w:szCs w:val="18"/>
                <w:lang w:val="en-GB"/>
              </w:rPr>
              <w:t>500</w:t>
            </w:r>
          </w:p>
        </w:tc>
        <w:tc>
          <w:tcPr>
            <w:tcW w:w="934" w:type="dxa"/>
            <w:shd w:val="clear" w:color="auto" w:fill="auto"/>
            <w:vAlign w:val="bottom"/>
          </w:tcPr>
          <w:p w14:paraId="233D887B" w14:textId="1A100887" w:rsidR="001D52AC" w:rsidRPr="002D2F67" w:rsidRDefault="00B7101F" w:rsidP="005611FE">
            <w:pPr>
              <w:autoSpaceDE w:val="0"/>
              <w:autoSpaceDN w:val="0"/>
              <w:ind w:right="-72"/>
              <w:jc w:val="right"/>
              <w:rPr>
                <w:rFonts w:ascii="Arial" w:hAnsi="Arial" w:cs="Arial"/>
                <w:color w:val="000000"/>
                <w:sz w:val="18"/>
                <w:szCs w:val="18"/>
              </w:rPr>
            </w:pPr>
            <w:r w:rsidRPr="002D2F67">
              <w:rPr>
                <w:rFonts w:ascii="Arial" w:hAnsi="Arial" w:cs="Arial"/>
                <w:color w:val="000000"/>
                <w:sz w:val="18"/>
                <w:szCs w:val="18"/>
              </w:rPr>
              <w:t>-</w:t>
            </w:r>
          </w:p>
        </w:tc>
        <w:tc>
          <w:tcPr>
            <w:tcW w:w="979" w:type="dxa"/>
            <w:shd w:val="clear" w:color="auto" w:fill="auto"/>
            <w:vAlign w:val="bottom"/>
          </w:tcPr>
          <w:p w14:paraId="0AA98CB6" w14:textId="68B9AD25" w:rsidR="001D52AC" w:rsidRPr="002D2F67" w:rsidRDefault="00CD5714" w:rsidP="005611FE">
            <w:pPr>
              <w:autoSpaceDE w:val="0"/>
              <w:autoSpaceDN w:val="0"/>
              <w:ind w:right="-72"/>
              <w:jc w:val="right"/>
              <w:rPr>
                <w:rFonts w:ascii="Arial" w:hAnsi="Arial" w:cs="Arial"/>
                <w:color w:val="000000"/>
                <w:sz w:val="18"/>
                <w:szCs w:val="18"/>
              </w:rPr>
            </w:pPr>
            <w:r w:rsidRPr="00CD5714">
              <w:rPr>
                <w:rFonts w:ascii="Arial" w:hAnsi="Arial" w:cs="Arial"/>
                <w:color w:val="000000"/>
                <w:sz w:val="18"/>
                <w:szCs w:val="18"/>
                <w:lang w:val="en-GB"/>
              </w:rPr>
              <w:t>1</w:t>
            </w:r>
            <w:r w:rsidR="00415F7E" w:rsidRPr="002D2F67">
              <w:rPr>
                <w:rFonts w:ascii="Arial" w:hAnsi="Arial" w:cs="Arial"/>
                <w:color w:val="000000"/>
                <w:sz w:val="18"/>
                <w:szCs w:val="18"/>
              </w:rPr>
              <w:t>,</w:t>
            </w:r>
            <w:r w:rsidRPr="00CD5714">
              <w:rPr>
                <w:rFonts w:ascii="Arial" w:hAnsi="Arial" w:cs="Arial"/>
                <w:color w:val="000000"/>
                <w:sz w:val="18"/>
                <w:szCs w:val="18"/>
                <w:lang w:val="en-GB"/>
              </w:rPr>
              <w:t>707</w:t>
            </w:r>
          </w:p>
        </w:tc>
        <w:tc>
          <w:tcPr>
            <w:tcW w:w="933" w:type="dxa"/>
            <w:shd w:val="clear" w:color="auto" w:fill="auto"/>
            <w:vAlign w:val="bottom"/>
          </w:tcPr>
          <w:p w14:paraId="2587D42C" w14:textId="09F43BD6" w:rsidR="001D52AC" w:rsidRPr="002D2F67" w:rsidRDefault="001D52AC" w:rsidP="005611FE">
            <w:pPr>
              <w:autoSpaceDE w:val="0"/>
              <w:autoSpaceDN w:val="0"/>
              <w:ind w:right="-72"/>
              <w:jc w:val="right"/>
              <w:rPr>
                <w:rFonts w:ascii="Arial" w:hAnsi="Arial" w:cs="Arial"/>
                <w:color w:val="000000"/>
                <w:sz w:val="18"/>
                <w:szCs w:val="18"/>
              </w:rPr>
            </w:pPr>
            <w:r w:rsidRPr="002D2F67">
              <w:rPr>
                <w:rFonts w:ascii="Arial" w:hAnsi="Arial" w:cs="Arial"/>
                <w:color w:val="000000"/>
                <w:sz w:val="18"/>
                <w:szCs w:val="18"/>
              </w:rPr>
              <w:t>-</w:t>
            </w:r>
          </w:p>
        </w:tc>
        <w:tc>
          <w:tcPr>
            <w:tcW w:w="933" w:type="dxa"/>
            <w:shd w:val="clear" w:color="auto" w:fill="auto"/>
            <w:vAlign w:val="bottom"/>
          </w:tcPr>
          <w:p w14:paraId="66E35C59" w14:textId="45F36DFD" w:rsidR="001D52AC" w:rsidRPr="002D2F67" w:rsidRDefault="001D52AC" w:rsidP="005611FE">
            <w:pPr>
              <w:autoSpaceDE w:val="0"/>
              <w:autoSpaceDN w:val="0"/>
              <w:ind w:right="-72"/>
              <w:jc w:val="right"/>
              <w:rPr>
                <w:rFonts w:ascii="Arial" w:hAnsi="Arial" w:cs="Arial"/>
                <w:color w:val="000000"/>
                <w:sz w:val="18"/>
                <w:szCs w:val="18"/>
              </w:rPr>
            </w:pPr>
            <w:r w:rsidRPr="002D2F67">
              <w:rPr>
                <w:rFonts w:ascii="Arial" w:hAnsi="Arial" w:cs="Arial"/>
                <w:color w:val="000000"/>
                <w:sz w:val="18"/>
                <w:szCs w:val="18"/>
              </w:rPr>
              <w:t>-</w:t>
            </w:r>
          </w:p>
        </w:tc>
        <w:tc>
          <w:tcPr>
            <w:tcW w:w="979" w:type="dxa"/>
            <w:shd w:val="clear" w:color="auto" w:fill="auto"/>
            <w:vAlign w:val="bottom"/>
          </w:tcPr>
          <w:p w14:paraId="3B5A9D4C" w14:textId="338B031D" w:rsidR="001D52AC" w:rsidRPr="002D2F67" w:rsidRDefault="00CD5714" w:rsidP="005611FE">
            <w:pPr>
              <w:autoSpaceDE w:val="0"/>
              <w:autoSpaceDN w:val="0"/>
              <w:ind w:right="-72"/>
              <w:jc w:val="right"/>
              <w:rPr>
                <w:rFonts w:ascii="Arial" w:hAnsi="Arial" w:cs="Arial"/>
                <w:color w:val="000000"/>
                <w:sz w:val="18"/>
                <w:szCs w:val="18"/>
              </w:rPr>
            </w:pPr>
            <w:r w:rsidRPr="00CD5714">
              <w:rPr>
                <w:rFonts w:ascii="Arial" w:hAnsi="Arial" w:cs="Arial"/>
                <w:color w:val="000000"/>
                <w:sz w:val="18"/>
                <w:szCs w:val="18"/>
                <w:lang w:val="en-GB"/>
              </w:rPr>
              <w:t>1</w:t>
            </w:r>
            <w:r w:rsidR="001D52AC" w:rsidRPr="002D2F67">
              <w:rPr>
                <w:rFonts w:ascii="Arial" w:hAnsi="Arial" w:cs="Arial"/>
                <w:color w:val="000000"/>
                <w:sz w:val="18"/>
                <w:szCs w:val="18"/>
              </w:rPr>
              <w:t>,</w:t>
            </w:r>
            <w:r w:rsidRPr="00CD5714">
              <w:rPr>
                <w:rFonts w:ascii="Arial" w:hAnsi="Arial" w:cs="Arial"/>
                <w:color w:val="000000"/>
                <w:sz w:val="18"/>
                <w:szCs w:val="18"/>
                <w:lang w:val="en-GB"/>
              </w:rPr>
              <w:t>917</w:t>
            </w:r>
          </w:p>
        </w:tc>
      </w:tr>
    </w:tbl>
    <w:p w14:paraId="116BDB19" w14:textId="55F824B6" w:rsidR="00676A23" w:rsidRPr="002D2F67" w:rsidRDefault="00676A23" w:rsidP="005611FE">
      <w:pPr>
        <w:ind w:left="513"/>
        <w:rPr>
          <w:rFonts w:ascii="Arial" w:hAnsi="Arial" w:cs="Arial"/>
          <w:i/>
          <w:iCs/>
          <w:color w:val="000000"/>
          <w:sz w:val="20"/>
          <w:szCs w:val="20"/>
        </w:rPr>
      </w:pPr>
    </w:p>
    <w:p w14:paraId="2A8BA9B8" w14:textId="78AC9F65" w:rsidR="0095040F" w:rsidRPr="002D2F67" w:rsidRDefault="0095040F" w:rsidP="005611FE">
      <w:pPr>
        <w:pStyle w:val="BlockText"/>
        <w:ind w:left="539" w:right="0"/>
        <w:outlineLvl w:val="5"/>
        <w:rPr>
          <w:rFonts w:ascii="Arial" w:hAnsi="Arial" w:cs="Arial"/>
          <w:i/>
          <w:iCs/>
          <w:color w:val="000000"/>
        </w:rPr>
      </w:pPr>
      <w:r w:rsidRPr="002D2F67">
        <w:rPr>
          <w:rFonts w:ascii="Arial" w:hAnsi="Arial" w:cs="Arial"/>
          <w:i/>
          <w:iCs/>
          <w:color w:val="000000"/>
          <w:spacing w:val="-2"/>
        </w:rPr>
        <w:t>Sensitivity</w:t>
      </w:r>
    </w:p>
    <w:p w14:paraId="4AFAC1A6" w14:textId="77777777" w:rsidR="0095040F" w:rsidRPr="002D2F67" w:rsidRDefault="0095040F" w:rsidP="005611FE">
      <w:pPr>
        <w:ind w:left="539"/>
        <w:rPr>
          <w:rFonts w:ascii="Arial" w:hAnsi="Arial" w:cs="Arial"/>
          <w:color w:val="000000"/>
          <w:sz w:val="20"/>
          <w:szCs w:val="20"/>
        </w:rPr>
      </w:pPr>
    </w:p>
    <w:p w14:paraId="0F45DDAD" w14:textId="37075EF7" w:rsidR="0095040F" w:rsidRPr="002D2F67" w:rsidRDefault="0095040F" w:rsidP="005611FE">
      <w:pPr>
        <w:ind w:left="539"/>
        <w:jc w:val="both"/>
        <w:rPr>
          <w:rFonts w:ascii="Arial" w:hAnsi="Arial" w:cs="Arial"/>
          <w:color w:val="000000"/>
          <w:sz w:val="20"/>
          <w:szCs w:val="20"/>
        </w:rPr>
      </w:pPr>
      <w:r w:rsidRPr="002D2F67">
        <w:rPr>
          <w:rFonts w:ascii="Arial" w:hAnsi="Arial" w:cs="Arial"/>
          <w:color w:val="000000"/>
          <w:sz w:val="20"/>
          <w:szCs w:val="20"/>
        </w:rPr>
        <w:t xml:space="preserve">As shown in the table above, the Group is primarily exposed to changes in Baht and </w:t>
      </w:r>
      <w:r w:rsidR="001735E8" w:rsidRPr="002D2F67">
        <w:rPr>
          <w:rFonts w:ascii="Arial" w:hAnsi="Arial" w:cs="Arial"/>
          <w:color w:val="000000"/>
          <w:sz w:val="20"/>
          <w:szCs w:val="20"/>
        </w:rPr>
        <w:t>US</w:t>
      </w:r>
      <w:r w:rsidRPr="002D2F67">
        <w:rPr>
          <w:rFonts w:ascii="Arial" w:hAnsi="Arial" w:cs="Arial"/>
          <w:color w:val="000000"/>
          <w:sz w:val="20"/>
          <w:szCs w:val="20"/>
        </w:rPr>
        <w:t xml:space="preserve"> Dollar</w:t>
      </w:r>
      <w:r w:rsidR="00E068C2" w:rsidRPr="002D2F67">
        <w:rPr>
          <w:rFonts w:ascii="Arial" w:hAnsi="Arial" w:cs="Arial"/>
          <w:color w:val="000000"/>
          <w:sz w:val="20"/>
          <w:szCs w:val="20"/>
        </w:rPr>
        <w:t>,</w:t>
      </w:r>
      <w:r w:rsidR="00E068C2" w:rsidRPr="002D2F67">
        <w:rPr>
          <w:rFonts w:ascii="Arial" w:hAnsi="Arial" w:cs="Arial"/>
          <w:color w:val="000000"/>
          <w:spacing w:val="-4"/>
          <w:sz w:val="20"/>
          <w:szCs w:val="20"/>
        </w:rPr>
        <w:t xml:space="preserve"> </w:t>
      </w:r>
      <w:r w:rsidR="001735E8" w:rsidRPr="002D2F67">
        <w:rPr>
          <w:rFonts w:ascii="Arial" w:hAnsi="Arial" w:cs="Arial"/>
          <w:color w:val="000000"/>
          <w:spacing w:val="-8"/>
          <w:sz w:val="20"/>
          <w:szCs w:val="20"/>
        </w:rPr>
        <w:t>Taiwan</w:t>
      </w:r>
      <w:r w:rsidR="006D7EB3" w:rsidRPr="002D2F67">
        <w:rPr>
          <w:rFonts w:ascii="Arial" w:hAnsi="Arial" w:cs="Arial"/>
          <w:color w:val="000000"/>
          <w:spacing w:val="-8"/>
          <w:sz w:val="20"/>
          <w:szCs w:val="20"/>
        </w:rPr>
        <w:t xml:space="preserve"> Dollar</w:t>
      </w:r>
      <w:r w:rsidR="0094087F" w:rsidRPr="002D2F67">
        <w:rPr>
          <w:rFonts w:ascii="Arial" w:hAnsi="Arial" w:cs="Arial"/>
          <w:color w:val="000000"/>
          <w:spacing w:val="-8"/>
          <w:sz w:val="20"/>
          <w:szCs w:val="20"/>
        </w:rPr>
        <w:t xml:space="preserve">, </w:t>
      </w:r>
      <w:r w:rsidR="00E068C2" w:rsidRPr="002D2F67">
        <w:rPr>
          <w:rFonts w:ascii="Arial" w:hAnsi="Arial" w:cs="Arial"/>
          <w:color w:val="000000"/>
          <w:spacing w:val="-8"/>
          <w:sz w:val="20"/>
          <w:szCs w:val="20"/>
        </w:rPr>
        <w:t>Chinese Yuan</w:t>
      </w:r>
      <w:r w:rsidR="0094087F" w:rsidRPr="002D2F67">
        <w:rPr>
          <w:rFonts w:ascii="Arial" w:hAnsi="Arial" w:cs="Arial"/>
          <w:color w:val="000000"/>
          <w:spacing w:val="-8"/>
          <w:sz w:val="20"/>
          <w:szCs w:val="20"/>
        </w:rPr>
        <w:t xml:space="preserve"> and Japanese Yen</w:t>
      </w:r>
      <w:r w:rsidRPr="002D2F67">
        <w:rPr>
          <w:rFonts w:ascii="Arial" w:hAnsi="Arial" w:cs="Arial"/>
          <w:color w:val="000000"/>
          <w:spacing w:val="-8"/>
          <w:sz w:val="20"/>
          <w:szCs w:val="20"/>
        </w:rPr>
        <w:t>. The sensitivity of profit or loss to changes in the exchange</w:t>
      </w:r>
      <w:r w:rsidRPr="002D2F67">
        <w:rPr>
          <w:rFonts w:ascii="Arial" w:hAnsi="Arial" w:cs="Arial"/>
          <w:color w:val="000000"/>
          <w:sz w:val="20"/>
          <w:szCs w:val="20"/>
        </w:rPr>
        <w:t xml:space="preserve"> rates arises mainly from financial assets and financial liabilities denominated in</w:t>
      </w:r>
      <w:r w:rsidR="006C0787" w:rsidRPr="002D2F67">
        <w:rPr>
          <w:rFonts w:ascii="Arial" w:hAnsi="Arial" w:cs="Arial"/>
          <w:color w:val="000000"/>
          <w:sz w:val="20"/>
          <w:szCs w:val="20"/>
        </w:rPr>
        <w:t xml:space="preserve"> the said currencies</w:t>
      </w:r>
      <w:r w:rsidR="00E15DEC" w:rsidRPr="002D2F67">
        <w:rPr>
          <w:rFonts w:ascii="Arial" w:hAnsi="Arial" w:cs="Arial"/>
          <w:color w:val="000000"/>
          <w:sz w:val="20"/>
          <w:szCs w:val="20"/>
        </w:rPr>
        <w:t>.</w:t>
      </w:r>
      <w:r w:rsidR="001735E8" w:rsidRPr="002D2F67">
        <w:rPr>
          <w:rFonts w:ascii="Arial" w:hAnsi="Arial" w:cs="Arial"/>
          <w:color w:val="000000"/>
          <w:sz w:val="20"/>
          <w:szCs w:val="20"/>
        </w:rPr>
        <w:t xml:space="preserve"> The impacts of movement in exchange rate on Group’s net profit are as follows:</w:t>
      </w:r>
    </w:p>
    <w:p w14:paraId="6E282E0B" w14:textId="77777777" w:rsidR="00DE5EBC" w:rsidRPr="002D2F67" w:rsidRDefault="00DE5EBC" w:rsidP="005611FE">
      <w:pPr>
        <w:ind w:left="539"/>
        <w:jc w:val="both"/>
        <w:rPr>
          <w:rFonts w:ascii="Arial" w:hAnsi="Arial" w:cs="Arial"/>
          <w:color w:val="000000"/>
          <w:sz w:val="20"/>
          <w:szCs w:val="20"/>
        </w:rPr>
      </w:pPr>
    </w:p>
    <w:tbl>
      <w:tblPr>
        <w:tblW w:w="9000" w:type="dxa"/>
        <w:tblInd w:w="558" w:type="dxa"/>
        <w:tblLayout w:type="fixed"/>
        <w:tblLook w:val="0000" w:firstRow="0" w:lastRow="0" w:firstColumn="0" w:lastColumn="0" w:noHBand="0" w:noVBand="0"/>
      </w:tblPr>
      <w:tblGrid>
        <w:gridCol w:w="3816"/>
        <w:gridCol w:w="1296"/>
        <w:gridCol w:w="1296"/>
        <w:gridCol w:w="1296"/>
        <w:gridCol w:w="1296"/>
      </w:tblGrid>
      <w:tr w:rsidR="00723A4C" w:rsidRPr="002D2F67" w14:paraId="0BD11FC2" w14:textId="77777777" w:rsidTr="008255E8">
        <w:trPr>
          <w:cantSplit/>
          <w:trHeight w:val="111"/>
        </w:trPr>
        <w:tc>
          <w:tcPr>
            <w:tcW w:w="3816" w:type="dxa"/>
            <w:shd w:val="clear" w:color="auto" w:fill="auto"/>
          </w:tcPr>
          <w:p w14:paraId="7B8C42BB" w14:textId="77777777" w:rsidR="00723A4C" w:rsidRPr="002D2F67" w:rsidRDefault="00723A4C" w:rsidP="005611FE">
            <w:pPr>
              <w:tabs>
                <w:tab w:val="left" w:pos="6840"/>
              </w:tabs>
              <w:ind w:left="-26"/>
              <w:rPr>
                <w:rFonts w:ascii="Arial" w:eastAsia="Arial Unicode MS" w:hAnsi="Arial" w:cs="Arial"/>
                <w:color w:val="000000"/>
                <w:sz w:val="20"/>
                <w:szCs w:val="20"/>
              </w:rPr>
            </w:pPr>
          </w:p>
        </w:tc>
        <w:tc>
          <w:tcPr>
            <w:tcW w:w="2592" w:type="dxa"/>
            <w:gridSpan w:val="2"/>
            <w:tcBorders>
              <w:bottom w:val="single" w:sz="4" w:space="0" w:color="auto"/>
            </w:tcBorders>
            <w:shd w:val="clear" w:color="auto" w:fill="auto"/>
          </w:tcPr>
          <w:p w14:paraId="7D68212A" w14:textId="77777777" w:rsidR="00A6381D" w:rsidRPr="002D2F67" w:rsidRDefault="00723A4C" w:rsidP="005611FE">
            <w:pPr>
              <w:tabs>
                <w:tab w:val="left" w:pos="6840"/>
              </w:tabs>
              <w:ind w:right="-72"/>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Consolidate</w:t>
            </w:r>
            <w:r w:rsidR="00A6381D" w:rsidRPr="002D2F67">
              <w:rPr>
                <w:rFonts w:ascii="Arial" w:eastAsia="Arial Unicode MS" w:hAnsi="Arial" w:cs="Arial"/>
                <w:b/>
                <w:bCs/>
                <w:color w:val="000000"/>
                <w:sz w:val="20"/>
                <w:szCs w:val="20"/>
              </w:rPr>
              <w:t>d</w:t>
            </w:r>
          </w:p>
          <w:p w14:paraId="4EE8E862" w14:textId="18973F67" w:rsidR="00723A4C" w:rsidRPr="002D2F67" w:rsidRDefault="00723A4C" w:rsidP="005611FE">
            <w:pPr>
              <w:tabs>
                <w:tab w:val="left" w:pos="6840"/>
              </w:tabs>
              <w:ind w:right="-72"/>
              <w:jc w:val="right"/>
              <w:rPr>
                <w:rFonts w:ascii="Arial" w:eastAsia="Arial Unicode MS" w:hAnsi="Arial" w:cs="Arial"/>
                <w:b/>
                <w:bCs/>
                <w:color w:val="000000"/>
                <w:sz w:val="20"/>
                <w:szCs w:val="20"/>
                <w:cs/>
              </w:rPr>
            </w:pPr>
            <w:r w:rsidRPr="002D2F67">
              <w:rPr>
                <w:rFonts w:ascii="Arial" w:eastAsia="Arial Unicode MS" w:hAnsi="Arial" w:cs="Arial"/>
                <w:b/>
                <w:bCs/>
                <w:color w:val="000000"/>
                <w:sz w:val="20"/>
                <w:szCs w:val="20"/>
              </w:rPr>
              <w:t>financial statements</w:t>
            </w:r>
          </w:p>
        </w:tc>
        <w:tc>
          <w:tcPr>
            <w:tcW w:w="2592" w:type="dxa"/>
            <w:gridSpan w:val="2"/>
            <w:tcBorders>
              <w:bottom w:val="single" w:sz="4" w:space="0" w:color="auto"/>
            </w:tcBorders>
            <w:shd w:val="clear" w:color="auto" w:fill="auto"/>
          </w:tcPr>
          <w:p w14:paraId="15418291" w14:textId="77777777" w:rsidR="00723A4C" w:rsidRPr="002D2F67" w:rsidRDefault="00723A4C" w:rsidP="005611FE">
            <w:pPr>
              <w:pStyle w:val="BlockText"/>
              <w:ind w:left="0" w:right="-72"/>
              <w:jc w:val="right"/>
              <w:rPr>
                <w:rFonts w:ascii="Arial" w:hAnsi="Arial" w:cs="Arial"/>
                <w:b/>
                <w:bCs/>
                <w:color w:val="000000"/>
              </w:rPr>
            </w:pPr>
            <w:r w:rsidRPr="002D2F67">
              <w:rPr>
                <w:rFonts w:ascii="Arial" w:hAnsi="Arial" w:cs="Arial"/>
                <w:b/>
                <w:bCs/>
                <w:color w:val="000000"/>
              </w:rPr>
              <w:t>Separate</w:t>
            </w:r>
          </w:p>
          <w:p w14:paraId="5827D988" w14:textId="0D3AA0E3" w:rsidR="00723A4C" w:rsidRPr="002D2F67" w:rsidRDefault="00723A4C" w:rsidP="005611FE">
            <w:pPr>
              <w:tabs>
                <w:tab w:val="left" w:pos="6840"/>
              </w:tabs>
              <w:ind w:right="-72"/>
              <w:jc w:val="right"/>
              <w:rPr>
                <w:rFonts w:ascii="Arial" w:eastAsia="Arial Unicode MS" w:hAnsi="Arial" w:cs="Arial"/>
                <w:b/>
                <w:bCs/>
                <w:color w:val="000000"/>
                <w:sz w:val="20"/>
                <w:szCs w:val="20"/>
                <w:cs/>
              </w:rPr>
            </w:pPr>
            <w:r w:rsidRPr="002D2F67">
              <w:rPr>
                <w:rFonts w:ascii="Arial" w:hAnsi="Arial" w:cs="Arial"/>
                <w:b/>
                <w:bCs/>
                <w:color w:val="000000"/>
                <w:sz w:val="20"/>
                <w:szCs w:val="20"/>
              </w:rPr>
              <w:t xml:space="preserve"> financial statements</w:t>
            </w:r>
          </w:p>
        </w:tc>
      </w:tr>
      <w:tr w:rsidR="007101C6" w:rsidRPr="002D2F67" w14:paraId="49399843" w14:textId="77777777" w:rsidTr="008255E8">
        <w:trPr>
          <w:cantSplit/>
        </w:trPr>
        <w:tc>
          <w:tcPr>
            <w:tcW w:w="3816" w:type="dxa"/>
            <w:shd w:val="clear" w:color="auto" w:fill="auto"/>
          </w:tcPr>
          <w:p w14:paraId="70BC17C9" w14:textId="77777777" w:rsidR="007101C6" w:rsidRPr="002D2F67" w:rsidRDefault="007101C6" w:rsidP="005611FE">
            <w:pPr>
              <w:tabs>
                <w:tab w:val="left" w:pos="6840"/>
              </w:tabs>
              <w:ind w:left="-26"/>
              <w:rPr>
                <w:rFonts w:ascii="Arial" w:eastAsia="Arial Unicode MS" w:hAnsi="Arial" w:cs="Arial"/>
                <w:color w:val="000000"/>
                <w:sz w:val="20"/>
                <w:szCs w:val="20"/>
              </w:rPr>
            </w:pPr>
          </w:p>
        </w:tc>
        <w:tc>
          <w:tcPr>
            <w:tcW w:w="1296" w:type="dxa"/>
            <w:tcBorders>
              <w:top w:val="single" w:sz="4" w:space="0" w:color="auto"/>
            </w:tcBorders>
            <w:shd w:val="clear" w:color="auto" w:fill="auto"/>
          </w:tcPr>
          <w:p w14:paraId="7AE970B4" w14:textId="032E0CEE" w:rsidR="007101C6" w:rsidRPr="002D2F67" w:rsidRDefault="00CD5714" w:rsidP="005611FE">
            <w:pPr>
              <w:tabs>
                <w:tab w:val="left" w:pos="6840"/>
              </w:tabs>
              <w:ind w:right="-72"/>
              <w:jc w:val="right"/>
              <w:rPr>
                <w:rFonts w:ascii="Arial" w:eastAsia="Arial Unicode MS" w:hAnsi="Arial" w:cs="Arial"/>
                <w:b/>
                <w:bCs/>
                <w:color w:val="000000"/>
                <w:sz w:val="20"/>
                <w:szCs w:val="20"/>
              </w:rPr>
            </w:pPr>
            <w:r w:rsidRPr="00CD5714">
              <w:rPr>
                <w:rFonts w:ascii="Arial" w:eastAsia="Arial Unicode MS" w:hAnsi="Arial" w:cs="Arial"/>
                <w:b/>
                <w:bCs/>
                <w:color w:val="000000"/>
                <w:sz w:val="20"/>
                <w:szCs w:val="20"/>
                <w:lang w:val="en-GB"/>
              </w:rPr>
              <w:t>2024</w:t>
            </w:r>
          </w:p>
        </w:tc>
        <w:tc>
          <w:tcPr>
            <w:tcW w:w="1296" w:type="dxa"/>
            <w:tcBorders>
              <w:top w:val="single" w:sz="4" w:space="0" w:color="auto"/>
            </w:tcBorders>
            <w:shd w:val="clear" w:color="auto" w:fill="auto"/>
          </w:tcPr>
          <w:p w14:paraId="68959ECD" w14:textId="02F4E420" w:rsidR="007101C6" w:rsidRPr="002D2F67" w:rsidRDefault="00CD5714" w:rsidP="005611FE">
            <w:pPr>
              <w:tabs>
                <w:tab w:val="left" w:pos="6840"/>
              </w:tabs>
              <w:ind w:right="-72"/>
              <w:jc w:val="right"/>
              <w:rPr>
                <w:rFonts w:ascii="Arial" w:eastAsia="Arial Unicode MS" w:hAnsi="Arial" w:cs="Arial"/>
                <w:b/>
                <w:bCs/>
                <w:color w:val="000000"/>
                <w:sz w:val="20"/>
                <w:szCs w:val="20"/>
              </w:rPr>
            </w:pPr>
            <w:r w:rsidRPr="00CD5714">
              <w:rPr>
                <w:rFonts w:ascii="Arial" w:eastAsia="Arial Unicode MS" w:hAnsi="Arial" w:cs="Arial"/>
                <w:b/>
                <w:bCs/>
                <w:color w:val="000000"/>
                <w:sz w:val="20"/>
                <w:szCs w:val="20"/>
                <w:lang w:val="en-GB"/>
              </w:rPr>
              <w:t>2023</w:t>
            </w:r>
          </w:p>
        </w:tc>
        <w:tc>
          <w:tcPr>
            <w:tcW w:w="1296" w:type="dxa"/>
            <w:tcBorders>
              <w:top w:val="single" w:sz="4" w:space="0" w:color="auto"/>
            </w:tcBorders>
            <w:shd w:val="clear" w:color="auto" w:fill="auto"/>
          </w:tcPr>
          <w:p w14:paraId="4EFA1096" w14:textId="18D69D6B" w:rsidR="007101C6" w:rsidRPr="002D2F67" w:rsidRDefault="00CD5714" w:rsidP="005611FE">
            <w:pPr>
              <w:tabs>
                <w:tab w:val="left" w:pos="6840"/>
              </w:tabs>
              <w:ind w:right="-72"/>
              <w:jc w:val="right"/>
              <w:rPr>
                <w:rFonts w:ascii="Arial" w:eastAsia="Arial Unicode MS" w:hAnsi="Arial" w:cs="Arial"/>
                <w:b/>
                <w:bCs/>
                <w:color w:val="000000"/>
                <w:sz w:val="20"/>
                <w:szCs w:val="20"/>
              </w:rPr>
            </w:pPr>
            <w:r w:rsidRPr="00CD5714">
              <w:rPr>
                <w:rFonts w:ascii="Arial" w:eastAsia="Arial Unicode MS" w:hAnsi="Arial" w:cs="Arial"/>
                <w:b/>
                <w:bCs/>
                <w:color w:val="000000"/>
                <w:sz w:val="20"/>
                <w:szCs w:val="20"/>
                <w:lang w:val="en-GB"/>
              </w:rPr>
              <w:t>2024</w:t>
            </w:r>
          </w:p>
        </w:tc>
        <w:tc>
          <w:tcPr>
            <w:tcW w:w="1296" w:type="dxa"/>
            <w:tcBorders>
              <w:top w:val="single" w:sz="4" w:space="0" w:color="auto"/>
            </w:tcBorders>
            <w:shd w:val="clear" w:color="auto" w:fill="auto"/>
          </w:tcPr>
          <w:p w14:paraId="6A5B3CD5" w14:textId="443CE57A" w:rsidR="007101C6" w:rsidRPr="002D2F67" w:rsidRDefault="00CD5714" w:rsidP="005611FE">
            <w:pPr>
              <w:tabs>
                <w:tab w:val="left" w:pos="6840"/>
              </w:tabs>
              <w:ind w:right="-72"/>
              <w:jc w:val="right"/>
              <w:rPr>
                <w:rFonts w:ascii="Arial" w:eastAsia="Arial Unicode MS" w:hAnsi="Arial" w:cs="Arial"/>
                <w:b/>
                <w:bCs/>
                <w:color w:val="000000"/>
                <w:sz w:val="20"/>
                <w:szCs w:val="20"/>
              </w:rPr>
            </w:pPr>
            <w:r w:rsidRPr="00CD5714">
              <w:rPr>
                <w:rFonts w:ascii="Arial" w:eastAsia="Arial Unicode MS" w:hAnsi="Arial" w:cs="Arial"/>
                <w:b/>
                <w:bCs/>
                <w:color w:val="000000"/>
                <w:sz w:val="20"/>
                <w:szCs w:val="20"/>
                <w:lang w:val="en-GB"/>
              </w:rPr>
              <w:t>2023</w:t>
            </w:r>
          </w:p>
        </w:tc>
      </w:tr>
      <w:tr w:rsidR="00723A4C" w:rsidRPr="002D2F67" w14:paraId="5C26453B" w14:textId="77777777" w:rsidTr="005611FE">
        <w:trPr>
          <w:cantSplit/>
          <w:trHeight w:val="53"/>
        </w:trPr>
        <w:tc>
          <w:tcPr>
            <w:tcW w:w="3816" w:type="dxa"/>
            <w:shd w:val="clear" w:color="auto" w:fill="auto"/>
          </w:tcPr>
          <w:p w14:paraId="419316DC" w14:textId="77777777" w:rsidR="00723A4C" w:rsidRPr="002D2F67" w:rsidRDefault="00723A4C" w:rsidP="005611FE">
            <w:pPr>
              <w:tabs>
                <w:tab w:val="left" w:pos="6840"/>
              </w:tabs>
              <w:ind w:left="-26"/>
              <w:rPr>
                <w:rFonts w:ascii="Arial" w:eastAsia="Arial Unicode MS" w:hAnsi="Arial" w:cs="Arial"/>
                <w:color w:val="000000"/>
                <w:sz w:val="20"/>
                <w:szCs w:val="20"/>
              </w:rPr>
            </w:pPr>
          </w:p>
        </w:tc>
        <w:tc>
          <w:tcPr>
            <w:tcW w:w="1296" w:type="dxa"/>
            <w:tcBorders>
              <w:bottom w:val="single" w:sz="4" w:space="0" w:color="auto"/>
            </w:tcBorders>
            <w:shd w:val="clear" w:color="auto" w:fill="auto"/>
          </w:tcPr>
          <w:p w14:paraId="42E0CB91" w14:textId="463EFC4B" w:rsidR="00723A4C" w:rsidRPr="002D2F67" w:rsidRDefault="00723A4C" w:rsidP="005611FE">
            <w:pPr>
              <w:tabs>
                <w:tab w:val="left" w:pos="6840"/>
              </w:tabs>
              <w:ind w:right="-72"/>
              <w:jc w:val="right"/>
              <w:rPr>
                <w:rFonts w:ascii="Arial" w:eastAsia="Arial Unicode MS" w:hAnsi="Arial" w:cs="Arial"/>
                <w:b/>
                <w:bCs/>
                <w:color w:val="000000"/>
                <w:sz w:val="20"/>
                <w:szCs w:val="20"/>
              </w:rPr>
            </w:pPr>
            <w:r w:rsidRPr="002D2F67">
              <w:rPr>
                <w:rFonts w:ascii="Arial" w:hAnsi="Arial" w:cs="Arial"/>
                <w:b/>
                <w:bCs/>
                <w:color w:val="000000"/>
                <w:sz w:val="20"/>
                <w:szCs w:val="20"/>
              </w:rPr>
              <w:t>Million Baht</w:t>
            </w:r>
          </w:p>
        </w:tc>
        <w:tc>
          <w:tcPr>
            <w:tcW w:w="1296" w:type="dxa"/>
            <w:tcBorders>
              <w:bottom w:val="single" w:sz="4" w:space="0" w:color="auto"/>
            </w:tcBorders>
            <w:shd w:val="clear" w:color="auto" w:fill="auto"/>
          </w:tcPr>
          <w:p w14:paraId="44EE44C1" w14:textId="308119C4" w:rsidR="00723A4C" w:rsidRPr="002D2F67" w:rsidRDefault="00723A4C" w:rsidP="005611FE">
            <w:pPr>
              <w:tabs>
                <w:tab w:val="left" w:pos="6840"/>
              </w:tabs>
              <w:ind w:right="-72"/>
              <w:jc w:val="right"/>
              <w:rPr>
                <w:rFonts w:ascii="Arial" w:eastAsia="Arial Unicode MS" w:hAnsi="Arial" w:cs="Arial"/>
                <w:b/>
                <w:bCs/>
                <w:color w:val="000000"/>
                <w:sz w:val="20"/>
                <w:szCs w:val="20"/>
              </w:rPr>
            </w:pPr>
            <w:r w:rsidRPr="002D2F67">
              <w:rPr>
                <w:rFonts w:ascii="Arial" w:hAnsi="Arial" w:cs="Arial"/>
                <w:b/>
                <w:bCs/>
                <w:color w:val="000000"/>
                <w:sz w:val="20"/>
                <w:szCs w:val="20"/>
              </w:rPr>
              <w:t>Million Baht</w:t>
            </w:r>
          </w:p>
        </w:tc>
        <w:tc>
          <w:tcPr>
            <w:tcW w:w="1296" w:type="dxa"/>
            <w:tcBorders>
              <w:bottom w:val="single" w:sz="4" w:space="0" w:color="auto"/>
            </w:tcBorders>
            <w:shd w:val="clear" w:color="auto" w:fill="auto"/>
          </w:tcPr>
          <w:p w14:paraId="03D07A1B" w14:textId="4693715D" w:rsidR="00723A4C" w:rsidRPr="002D2F67" w:rsidRDefault="00723A4C" w:rsidP="005611FE">
            <w:pPr>
              <w:tabs>
                <w:tab w:val="left" w:pos="6840"/>
              </w:tabs>
              <w:ind w:right="-72"/>
              <w:jc w:val="right"/>
              <w:rPr>
                <w:rFonts w:ascii="Arial" w:eastAsia="Arial Unicode MS" w:hAnsi="Arial" w:cs="Arial"/>
                <w:b/>
                <w:bCs/>
                <w:color w:val="000000"/>
                <w:sz w:val="20"/>
                <w:szCs w:val="20"/>
              </w:rPr>
            </w:pPr>
            <w:r w:rsidRPr="002D2F67">
              <w:rPr>
                <w:rFonts w:ascii="Arial" w:hAnsi="Arial" w:cs="Arial"/>
                <w:b/>
                <w:bCs/>
                <w:color w:val="000000"/>
                <w:sz w:val="20"/>
                <w:szCs w:val="20"/>
              </w:rPr>
              <w:t>Million Baht</w:t>
            </w:r>
          </w:p>
        </w:tc>
        <w:tc>
          <w:tcPr>
            <w:tcW w:w="1296" w:type="dxa"/>
            <w:tcBorders>
              <w:bottom w:val="single" w:sz="4" w:space="0" w:color="auto"/>
            </w:tcBorders>
            <w:shd w:val="clear" w:color="auto" w:fill="auto"/>
          </w:tcPr>
          <w:p w14:paraId="6FE9170D" w14:textId="7ECFE1D9" w:rsidR="00723A4C" w:rsidRPr="002D2F67" w:rsidRDefault="00723A4C" w:rsidP="005611FE">
            <w:pPr>
              <w:tabs>
                <w:tab w:val="left" w:pos="6840"/>
              </w:tabs>
              <w:ind w:right="-72"/>
              <w:jc w:val="right"/>
              <w:rPr>
                <w:rFonts w:ascii="Arial" w:eastAsia="Arial Unicode MS" w:hAnsi="Arial" w:cs="Arial"/>
                <w:b/>
                <w:bCs/>
                <w:color w:val="000000"/>
                <w:sz w:val="20"/>
                <w:szCs w:val="20"/>
              </w:rPr>
            </w:pPr>
            <w:r w:rsidRPr="002D2F67">
              <w:rPr>
                <w:rFonts w:ascii="Arial" w:hAnsi="Arial" w:cs="Arial"/>
                <w:b/>
                <w:bCs/>
                <w:color w:val="000000"/>
                <w:sz w:val="20"/>
                <w:szCs w:val="20"/>
              </w:rPr>
              <w:t>Million Baht</w:t>
            </w:r>
          </w:p>
        </w:tc>
      </w:tr>
      <w:tr w:rsidR="0099524A" w:rsidRPr="002D2F67" w14:paraId="3DA7F4FA" w14:textId="77777777" w:rsidTr="005611FE">
        <w:trPr>
          <w:cantSplit/>
          <w:trHeight w:val="53"/>
        </w:trPr>
        <w:tc>
          <w:tcPr>
            <w:tcW w:w="3816" w:type="dxa"/>
            <w:shd w:val="clear" w:color="auto" w:fill="auto"/>
          </w:tcPr>
          <w:p w14:paraId="6D7942AD" w14:textId="77777777" w:rsidR="0099524A" w:rsidRPr="002D2F67" w:rsidRDefault="0099524A" w:rsidP="005611FE">
            <w:pPr>
              <w:tabs>
                <w:tab w:val="left" w:pos="6840"/>
              </w:tabs>
              <w:ind w:left="-26"/>
              <w:rPr>
                <w:rFonts w:ascii="Arial" w:eastAsia="Arial Unicode MS" w:hAnsi="Arial" w:cs="Arial"/>
                <w:color w:val="000000"/>
                <w:sz w:val="20"/>
                <w:szCs w:val="20"/>
              </w:rPr>
            </w:pPr>
          </w:p>
        </w:tc>
        <w:tc>
          <w:tcPr>
            <w:tcW w:w="1296" w:type="dxa"/>
            <w:tcBorders>
              <w:top w:val="single" w:sz="4" w:space="0" w:color="auto"/>
            </w:tcBorders>
            <w:shd w:val="clear" w:color="auto" w:fill="auto"/>
          </w:tcPr>
          <w:p w14:paraId="5FFFE314" w14:textId="77777777" w:rsidR="0099524A" w:rsidRPr="002D2F67" w:rsidRDefault="0099524A" w:rsidP="005611FE">
            <w:pPr>
              <w:tabs>
                <w:tab w:val="left" w:pos="6840"/>
              </w:tabs>
              <w:ind w:right="-72"/>
              <w:jc w:val="right"/>
              <w:rPr>
                <w:rFonts w:ascii="Arial" w:hAnsi="Arial" w:cs="Arial"/>
                <w:b/>
                <w:bCs/>
                <w:color w:val="000000"/>
                <w:sz w:val="20"/>
                <w:szCs w:val="20"/>
              </w:rPr>
            </w:pPr>
          </w:p>
        </w:tc>
        <w:tc>
          <w:tcPr>
            <w:tcW w:w="1296" w:type="dxa"/>
            <w:tcBorders>
              <w:top w:val="single" w:sz="4" w:space="0" w:color="auto"/>
            </w:tcBorders>
            <w:shd w:val="clear" w:color="auto" w:fill="auto"/>
          </w:tcPr>
          <w:p w14:paraId="76B75665" w14:textId="77777777" w:rsidR="0099524A" w:rsidRPr="002D2F67" w:rsidRDefault="0099524A" w:rsidP="005611FE">
            <w:pPr>
              <w:tabs>
                <w:tab w:val="left" w:pos="6840"/>
              </w:tabs>
              <w:ind w:right="-72"/>
              <w:jc w:val="right"/>
              <w:rPr>
                <w:rFonts w:ascii="Arial" w:hAnsi="Arial" w:cs="Arial"/>
                <w:b/>
                <w:bCs/>
                <w:color w:val="000000"/>
                <w:sz w:val="20"/>
                <w:szCs w:val="20"/>
              </w:rPr>
            </w:pPr>
          </w:p>
        </w:tc>
        <w:tc>
          <w:tcPr>
            <w:tcW w:w="1296" w:type="dxa"/>
            <w:tcBorders>
              <w:top w:val="single" w:sz="4" w:space="0" w:color="auto"/>
            </w:tcBorders>
            <w:shd w:val="clear" w:color="auto" w:fill="auto"/>
          </w:tcPr>
          <w:p w14:paraId="727A629D" w14:textId="77777777" w:rsidR="0099524A" w:rsidRPr="002D2F67" w:rsidRDefault="0099524A" w:rsidP="005611FE">
            <w:pPr>
              <w:tabs>
                <w:tab w:val="left" w:pos="6840"/>
              </w:tabs>
              <w:ind w:right="-72"/>
              <w:jc w:val="right"/>
              <w:rPr>
                <w:rFonts w:ascii="Arial" w:hAnsi="Arial" w:cs="Arial"/>
                <w:b/>
                <w:bCs/>
                <w:color w:val="000000"/>
                <w:sz w:val="20"/>
                <w:szCs w:val="20"/>
              </w:rPr>
            </w:pPr>
          </w:p>
        </w:tc>
        <w:tc>
          <w:tcPr>
            <w:tcW w:w="1296" w:type="dxa"/>
            <w:tcBorders>
              <w:top w:val="single" w:sz="4" w:space="0" w:color="auto"/>
            </w:tcBorders>
            <w:shd w:val="clear" w:color="auto" w:fill="auto"/>
          </w:tcPr>
          <w:p w14:paraId="5C26200A" w14:textId="77777777" w:rsidR="0099524A" w:rsidRPr="002D2F67" w:rsidRDefault="0099524A" w:rsidP="005611FE">
            <w:pPr>
              <w:tabs>
                <w:tab w:val="left" w:pos="6840"/>
              </w:tabs>
              <w:ind w:right="-72"/>
              <w:jc w:val="right"/>
              <w:rPr>
                <w:rFonts w:ascii="Arial" w:hAnsi="Arial" w:cs="Arial"/>
                <w:b/>
                <w:bCs/>
                <w:color w:val="000000"/>
                <w:sz w:val="20"/>
                <w:szCs w:val="20"/>
              </w:rPr>
            </w:pPr>
          </w:p>
        </w:tc>
      </w:tr>
      <w:tr w:rsidR="00EB15D1" w:rsidRPr="002D2F67" w14:paraId="2EA30F49" w14:textId="77777777" w:rsidTr="005611FE">
        <w:trPr>
          <w:cantSplit/>
          <w:trHeight w:val="53"/>
        </w:trPr>
        <w:tc>
          <w:tcPr>
            <w:tcW w:w="3816" w:type="dxa"/>
            <w:tcBorders>
              <w:top w:val="nil"/>
              <w:left w:val="nil"/>
              <w:right w:val="nil"/>
            </w:tcBorders>
            <w:shd w:val="clear" w:color="auto" w:fill="auto"/>
          </w:tcPr>
          <w:p w14:paraId="39C83F0A" w14:textId="77777777" w:rsidR="00EB15D1" w:rsidRPr="002D2F67" w:rsidRDefault="00EB15D1" w:rsidP="005611FE">
            <w:pPr>
              <w:ind w:left="-26" w:right="-31"/>
              <w:rPr>
                <w:rFonts w:ascii="Arial" w:eastAsia="Arial Unicode MS" w:hAnsi="Arial" w:cs="Arial"/>
                <w:color w:val="000000"/>
                <w:sz w:val="20"/>
                <w:szCs w:val="20"/>
                <w:cs/>
              </w:rPr>
            </w:pPr>
            <w:r w:rsidRPr="002D2F67">
              <w:rPr>
                <w:rFonts w:ascii="Arial" w:hAnsi="Arial" w:cs="Arial"/>
                <w:color w:val="000000"/>
                <w:sz w:val="20"/>
                <w:szCs w:val="20"/>
              </w:rPr>
              <w:t>US Dollar</w:t>
            </w:r>
            <w:r w:rsidRPr="002D2F67">
              <w:rPr>
                <w:rFonts w:ascii="Arial" w:hAnsi="Arial" w:cs="Arial"/>
                <w:color w:val="000000"/>
                <w:sz w:val="20"/>
                <w:szCs w:val="20"/>
                <w:cs/>
              </w:rPr>
              <w:t xml:space="preserve"> </w:t>
            </w:r>
            <w:r w:rsidRPr="002D2F67">
              <w:rPr>
                <w:rFonts w:ascii="Arial" w:hAnsi="Arial" w:cs="Arial"/>
                <w:color w:val="000000"/>
                <w:sz w:val="20"/>
                <w:szCs w:val="20"/>
              </w:rPr>
              <w:t>to Baht exchange rate</w:t>
            </w:r>
          </w:p>
        </w:tc>
        <w:tc>
          <w:tcPr>
            <w:tcW w:w="1296" w:type="dxa"/>
            <w:shd w:val="clear" w:color="auto" w:fill="auto"/>
            <w:vAlign w:val="bottom"/>
          </w:tcPr>
          <w:p w14:paraId="52273B33" w14:textId="77777777" w:rsidR="00EB15D1" w:rsidRPr="002D2F67" w:rsidRDefault="00EB15D1" w:rsidP="005611FE">
            <w:pPr>
              <w:ind w:right="-72"/>
              <w:jc w:val="right"/>
              <w:rPr>
                <w:rFonts w:ascii="Arial" w:eastAsia="Arial Unicode MS" w:hAnsi="Arial" w:cs="Arial"/>
                <w:color w:val="000000"/>
                <w:sz w:val="20"/>
                <w:szCs w:val="20"/>
              </w:rPr>
            </w:pPr>
          </w:p>
        </w:tc>
        <w:tc>
          <w:tcPr>
            <w:tcW w:w="1296" w:type="dxa"/>
            <w:tcBorders>
              <w:top w:val="nil"/>
              <w:left w:val="nil"/>
              <w:right w:val="nil"/>
            </w:tcBorders>
            <w:shd w:val="clear" w:color="auto" w:fill="auto"/>
            <w:vAlign w:val="bottom"/>
          </w:tcPr>
          <w:p w14:paraId="4616E1D4" w14:textId="77777777" w:rsidR="00EB15D1" w:rsidRPr="002D2F67" w:rsidRDefault="00EB15D1" w:rsidP="005611FE">
            <w:pPr>
              <w:ind w:right="-72"/>
              <w:jc w:val="right"/>
              <w:rPr>
                <w:rFonts w:ascii="Arial" w:eastAsia="Arial Unicode MS" w:hAnsi="Arial" w:cs="Arial"/>
                <w:color w:val="000000"/>
                <w:sz w:val="20"/>
                <w:szCs w:val="20"/>
              </w:rPr>
            </w:pPr>
          </w:p>
        </w:tc>
        <w:tc>
          <w:tcPr>
            <w:tcW w:w="1296" w:type="dxa"/>
            <w:shd w:val="clear" w:color="auto" w:fill="auto"/>
            <w:vAlign w:val="bottom"/>
          </w:tcPr>
          <w:p w14:paraId="76E254BC" w14:textId="77777777" w:rsidR="00EB15D1" w:rsidRPr="002D2F67" w:rsidRDefault="00EB15D1" w:rsidP="005611FE">
            <w:pPr>
              <w:ind w:right="-72"/>
              <w:jc w:val="right"/>
              <w:rPr>
                <w:rFonts w:ascii="Arial" w:eastAsia="Arial Unicode MS" w:hAnsi="Arial" w:cs="Arial"/>
                <w:color w:val="000000"/>
                <w:sz w:val="20"/>
                <w:szCs w:val="20"/>
              </w:rPr>
            </w:pPr>
          </w:p>
        </w:tc>
        <w:tc>
          <w:tcPr>
            <w:tcW w:w="1296" w:type="dxa"/>
            <w:tcBorders>
              <w:top w:val="nil"/>
              <w:left w:val="nil"/>
              <w:right w:val="nil"/>
            </w:tcBorders>
            <w:shd w:val="clear" w:color="auto" w:fill="auto"/>
            <w:vAlign w:val="bottom"/>
          </w:tcPr>
          <w:p w14:paraId="63D99E84" w14:textId="77777777" w:rsidR="00EB15D1" w:rsidRPr="002D2F67" w:rsidRDefault="00EB15D1" w:rsidP="005611FE">
            <w:pPr>
              <w:ind w:right="-72"/>
              <w:jc w:val="right"/>
              <w:rPr>
                <w:rFonts w:ascii="Arial" w:eastAsia="Arial Unicode MS" w:hAnsi="Arial" w:cs="Arial"/>
                <w:color w:val="000000"/>
                <w:sz w:val="20"/>
                <w:szCs w:val="20"/>
              </w:rPr>
            </w:pPr>
          </w:p>
        </w:tc>
      </w:tr>
      <w:tr w:rsidR="001D52AC" w:rsidRPr="002D2F67" w14:paraId="14A5CA85" w14:textId="77777777" w:rsidTr="005611FE">
        <w:trPr>
          <w:cantSplit/>
          <w:trHeight w:val="205"/>
        </w:trPr>
        <w:tc>
          <w:tcPr>
            <w:tcW w:w="3816" w:type="dxa"/>
            <w:tcBorders>
              <w:top w:val="nil"/>
              <w:left w:val="nil"/>
              <w:right w:val="nil"/>
            </w:tcBorders>
            <w:shd w:val="clear" w:color="auto" w:fill="auto"/>
          </w:tcPr>
          <w:p w14:paraId="408E3B7C" w14:textId="7A8EE8C9" w:rsidR="001D52AC" w:rsidRPr="002D2F67" w:rsidRDefault="001D52AC" w:rsidP="005611FE">
            <w:pPr>
              <w:ind w:left="-26" w:right="-31"/>
              <w:rPr>
                <w:rFonts w:ascii="Arial" w:eastAsia="Arial Unicode MS" w:hAnsi="Arial" w:cs="Arial"/>
                <w:color w:val="000000"/>
                <w:sz w:val="20"/>
                <w:szCs w:val="20"/>
                <w:cs/>
              </w:rPr>
            </w:pPr>
            <w:r w:rsidRPr="002D2F67">
              <w:rPr>
                <w:rFonts w:ascii="Arial" w:hAnsi="Arial" w:cs="Arial"/>
                <w:color w:val="000000"/>
                <w:sz w:val="20"/>
                <w:szCs w:val="20"/>
              </w:rPr>
              <w:t xml:space="preserve">- Increase </w:t>
            </w:r>
            <w:r w:rsidR="00CD5714" w:rsidRPr="00CD5714">
              <w:rPr>
                <w:rFonts w:ascii="Arial" w:hAnsi="Arial" w:cs="Arial"/>
                <w:color w:val="000000"/>
                <w:sz w:val="20"/>
                <w:szCs w:val="20"/>
                <w:lang w:val="en-GB"/>
              </w:rPr>
              <w:t>10</w:t>
            </w:r>
            <w:r w:rsidRPr="002D2F67">
              <w:rPr>
                <w:rFonts w:ascii="Arial" w:hAnsi="Arial" w:cs="Arial"/>
                <w:color w:val="000000"/>
                <w:sz w:val="20"/>
                <w:szCs w:val="20"/>
              </w:rPr>
              <w:t>%*</w:t>
            </w:r>
          </w:p>
        </w:tc>
        <w:tc>
          <w:tcPr>
            <w:tcW w:w="1296" w:type="dxa"/>
            <w:shd w:val="clear" w:color="auto" w:fill="auto"/>
            <w:vAlign w:val="bottom"/>
          </w:tcPr>
          <w:p w14:paraId="2B8CE754" w14:textId="1C3B6ECA" w:rsidR="001D52AC" w:rsidRPr="002D2F67" w:rsidRDefault="00CD5714" w:rsidP="005611FE">
            <w:pPr>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52</w:t>
            </w:r>
          </w:p>
        </w:tc>
        <w:tc>
          <w:tcPr>
            <w:tcW w:w="1296" w:type="dxa"/>
            <w:tcBorders>
              <w:top w:val="nil"/>
              <w:left w:val="nil"/>
              <w:right w:val="nil"/>
            </w:tcBorders>
            <w:shd w:val="clear" w:color="auto" w:fill="auto"/>
            <w:vAlign w:val="bottom"/>
          </w:tcPr>
          <w:p w14:paraId="57934ED7" w14:textId="5274641C" w:rsidR="001D52AC" w:rsidRPr="002D2F67" w:rsidRDefault="00CD5714" w:rsidP="005611FE">
            <w:pPr>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43</w:t>
            </w:r>
          </w:p>
        </w:tc>
        <w:tc>
          <w:tcPr>
            <w:tcW w:w="1296" w:type="dxa"/>
            <w:shd w:val="clear" w:color="auto" w:fill="auto"/>
            <w:vAlign w:val="bottom"/>
          </w:tcPr>
          <w:p w14:paraId="49447954" w14:textId="76BB8820" w:rsidR="001D52AC" w:rsidRPr="002D2F67" w:rsidRDefault="00CD5714" w:rsidP="005611FE">
            <w:pPr>
              <w:ind w:right="-72"/>
              <w:jc w:val="right"/>
              <w:rPr>
                <w:rFonts w:ascii="Arial" w:eastAsia="Arial Unicode MS" w:hAnsi="Arial" w:cs="Arial"/>
                <w:color w:val="000000"/>
                <w:sz w:val="20"/>
                <w:szCs w:val="25"/>
              </w:rPr>
            </w:pPr>
            <w:r w:rsidRPr="00CD5714">
              <w:rPr>
                <w:rFonts w:ascii="Arial" w:eastAsia="Arial Unicode MS" w:hAnsi="Arial" w:cs="Arial"/>
                <w:color w:val="000000"/>
                <w:sz w:val="20"/>
                <w:szCs w:val="20"/>
                <w:lang w:val="en-GB"/>
              </w:rPr>
              <w:t>51</w:t>
            </w:r>
          </w:p>
        </w:tc>
        <w:tc>
          <w:tcPr>
            <w:tcW w:w="1296" w:type="dxa"/>
            <w:tcBorders>
              <w:top w:val="nil"/>
              <w:left w:val="nil"/>
              <w:right w:val="nil"/>
            </w:tcBorders>
            <w:shd w:val="clear" w:color="auto" w:fill="auto"/>
            <w:vAlign w:val="bottom"/>
          </w:tcPr>
          <w:p w14:paraId="62EF6295" w14:textId="77A0D3D5" w:rsidR="001D52AC" w:rsidRPr="002D2F67" w:rsidRDefault="00CD5714" w:rsidP="005611FE">
            <w:pPr>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108</w:t>
            </w:r>
          </w:p>
        </w:tc>
      </w:tr>
      <w:tr w:rsidR="001D52AC" w:rsidRPr="002D2F67" w14:paraId="3F1694B7" w14:textId="77777777" w:rsidTr="005611FE">
        <w:trPr>
          <w:cantSplit/>
          <w:trHeight w:val="265"/>
        </w:trPr>
        <w:tc>
          <w:tcPr>
            <w:tcW w:w="3816" w:type="dxa"/>
            <w:tcBorders>
              <w:top w:val="nil"/>
              <w:left w:val="nil"/>
              <w:right w:val="nil"/>
            </w:tcBorders>
            <w:shd w:val="clear" w:color="auto" w:fill="auto"/>
          </w:tcPr>
          <w:p w14:paraId="3757025F" w14:textId="1F6A7335" w:rsidR="001D52AC" w:rsidRPr="002D2F67" w:rsidRDefault="001D52AC" w:rsidP="005611FE">
            <w:pPr>
              <w:ind w:left="-26" w:right="-31"/>
              <w:rPr>
                <w:rFonts w:ascii="Arial" w:eastAsia="Arial Unicode MS" w:hAnsi="Arial" w:cs="Arial"/>
                <w:color w:val="000000"/>
                <w:sz w:val="20"/>
                <w:szCs w:val="20"/>
                <w:cs/>
              </w:rPr>
            </w:pPr>
            <w:r w:rsidRPr="002D2F67">
              <w:rPr>
                <w:rFonts w:ascii="Arial" w:hAnsi="Arial" w:cs="Arial"/>
                <w:color w:val="000000"/>
                <w:sz w:val="20"/>
                <w:szCs w:val="20"/>
              </w:rPr>
              <w:t>-</w:t>
            </w:r>
            <w:r w:rsidRPr="002D2F67">
              <w:rPr>
                <w:rFonts w:ascii="Arial" w:hAnsi="Arial" w:cs="Arial"/>
                <w:color w:val="000000"/>
                <w:sz w:val="20"/>
                <w:szCs w:val="20"/>
                <w:cs/>
              </w:rPr>
              <w:t xml:space="preserve"> </w:t>
            </w:r>
            <w:r w:rsidRPr="002D2F67">
              <w:rPr>
                <w:rFonts w:ascii="Arial" w:hAnsi="Arial" w:cs="Arial"/>
                <w:color w:val="000000"/>
                <w:sz w:val="20"/>
                <w:szCs w:val="20"/>
              </w:rPr>
              <w:t xml:space="preserve">Decrease </w:t>
            </w:r>
            <w:r w:rsidR="00CD5714" w:rsidRPr="00CD5714">
              <w:rPr>
                <w:rFonts w:ascii="Arial" w:hAnsi="Arial" w:cs="Arial"/>
                <w:color w:val="000000"/>
                <w:sz w:val="20"/>
                <w:szCs w:val="20"/>
                <w:lang w:val="en-GB"/>
              </w:rPr>
              <w:t>10</w:t>
            </w:r>
            <w:r w:rsidRPr="002D2F67">
              <w:rPr>
                <w:rFonts w:ascii="Arial" w:hAnsi="Arial" w:cs="Arial"/>
                <w:color w:val="000000"/>
                <w:sz w:val="20"/>
                <w:szCs w:val="20"/>
              </w:rPr>
              <w:t>%*</w:t>
            </w:r>
          </w:p>
        </w:tc>
        <w:tc>
          <w:tcPr>
            <w:tcW w:w="1296" w:type="dxa"/>
            <w:shd w:val="clear" w:color="auto" w:fill="auto"/>
            <w:vAlign w:val="bottom"/>
          </w:tcPr>
          <w:p w14:paraId="2002B6E1" w14:textId="39DE1897" w:rsidR="001D52AC" w:rsidRPr="002D2F67" w:rsidRDefault="00415F7E" w:rsidP="005611FE">
            <w:pPr>
              <w:ind w:right="-72"/>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r w:rsidR="00CD5714" w:rsidRPr="00CD5714">
              <w:rPr>
                <w:rFonts w:ascii="Arial" w:eastAsia="Arial Unicode MS" w:hAnsi="Arial" w:cs="Arial"/>
                <w:color w:val="000000"/>
                <w:sz w:val="20"/>
                <w:szCs w:val="20"/>
                <w:lang w:val="en-GB"/>
              </w:rPr>
              <w:t>52</w:t>
            </w:r>
            <w:r w:rsidRPr="002D2F67">
              <w:rPr>
                <w:rFonts w:ascii="Arial" w:eastAsia="Arial Unicode MS" w:hAnsi="Arial" w:cs="Arial"/>
                <w:color w:val="000000"/>
                <w:sz w:val="20"/>
                <w:szCs w:val="20"/>
              </w:rPr>
              <w:t>)</w:t>
            </w:r>
          </w:p>
        </w:tc>
        <w:tc>
          <w:tcPr>
            <w:tcW w:w="1296" w:type="dxa"/>
            <w:tcBorders>
              <w:top w:val="nil"/>
              <w:left w:val="nil"/>
              <w:right w:val="nil"/>
            </w:tcBorders>
            <w:shd w:val="clear" w:color="auto" w:fill="auto"/>
            <w:vAlign w:val="bottom"/>
          </w:tcPr>
          <w:p w14:paraId="232E8A57" w14:textId="3F8DA124" w:rsidR="001D52AC" w:rsidRPr="002D2F67" w:rsidRDefault="001D52AC" w:rsidP="005611FE">
            <w:pPr>
              <w:ind w:right="-72"/>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r w:rsidR="00CD5714" w:rsidRPr="00CD5714">
              <w:rPr>
                <w:rFonts w:ascii="Arial" w:eastAsia="Arial Unicode MS" w:hAnsi="Arial" w:cs="Arial"/>
                <w:color w:val="000000"/>
                <w:sz w:val="20"/>
                <w:szCs w:val="20"/>
                <w:lang w:val="en-GB"/>
              </w:rPr>
              <w:t>43</w:t>
            </w:r>
            <w:r w:rsidRPr="002D2F67">
              <w:rPr>
                <w:rFonts w:ascii="Arial" w:eastAsia="Arial Unicode MS" w:hAnsi="Arial" w:cs="Arial"/>
                <w:color w:val="000000"/>
                <w:sz w:val="20"/>
                <w:szCs w:val="20"/>
              </w:rPr>
              <w:t>)</w:t>
            </w:r>
          </w:p>
        </w:tc>
        <w:tc>
          <w:tcPr>
            <w:tcW w:w="1296" w:type="dxa"/>
            <w:shd w:val="clear" w:color="auto" w:fill="auto"/>
            <w:vAlign w:val="bottom"/>
          </w:tcPr>
          <w:p w14:paraId="4B7DF2B6" w14:textId="0984D0BF" w:rsidR="001D52AC" w:rsidRPr="002D2F67" w:rsidRDefault="0071201E" w:rsidP="005611FE">
            <w:pPr>
              <w:ind w:right="-72"/>
              <w:jc w:val="right"/>
              <w:rPr>
                <w:rFonts w:ascii="Arial" w:eastAsia="Arial Unicode MS" w:hAnsi="Arial" w:cs="Arial"/>
                <w:color w:val="000000"/>
                <w:sz w:val="20"/>
                <w:szCs w:val="20"/>
                <w:cs/>
              </w:rPr>
            </w:pPr>
            <w:r w:rsidRPr="002D2F67">
              <w:rPr>
                <w:rFonts w:ascii="Arial" w:eastAsia="Arial Unicode MS" w:hAnsi="Arial" w:cs="Arial"/>
                <w:color w:val="000000"/>
                <w:sz w:val="20"/>
                <w:szCs w:val="20"/>
              </w:rPr>
              <w:t>(</w:t>
            </w:r>
            <w:r w:rsidR="00CD5714" w:rsidRPr="00CD5714">
              <w:rPr>
                <w:rFonts w:ascii="Arial" w:eastAsia="Arial Unicode MS" w:hAnsi="Arial" w:cs="Arial"/>
                <w:color w:val="000000"/>
                <w:sz w:val="20"/>
                <w:szCs w:val="20"/>
                <w:lang w:val="en-GB"/>
              </w:rPr>
              <w:t>51</w:t>
            </w:r>
            <w:r w:rsidRPr="002D2F67">
              <w:rPr>
                <w:rFonts w:ascii="Arial" w:eastAsia="Arial Unicode MS" w:hAnsi="Arial" w:cs="Arial"/>
                <w:color w:val="000000"/>
                <w:sz w:val="20"/>
                <w:szCs w:val="20"/>
              </w:rPr>
              <w:t>)</w:t>
            </w:r>
          </w:p>
        </w:tc>
        <w:tc>
          <w:tcPr>
            <w:tcW w:w="1296" w:type="dxa"/>
            <w:tcBorders>
              <w:top w:val="nil"/>
              <w:left w:val="nil"/>
              <w:right w:val="nil"/>
            </w:tcBorders>
            <w:shd w:val="clear" w:color="auto" w:fill="auto"/>
            <w:vAlign w:val="bottom"/>
          </w:tcPr>
          <w:p w14:paraId="39D5186B" w14:textId="392A097C" w:rsidR="001D52AC" w:rsidRPr="002D2F67" w:rsidRDefault="001D52AC" w:rsidP="005611FE">
            <w:pPr>
              <w:ind w:right="-72"/>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r w:rsidR="00CD5714" w:rsidRPr="00CD5714">
              <w:rPr>
                <w:rFonts w:ascii="Arial" w:eastAsia="Arial Unicode MS" w:hAnsi="Arial" w:cs="Arial"/>
                <w:color w:val="000000"/>
                <w:sz w:val="20"/>
                <w:szCs w:val="20"/>
                <w:lang w:val="en-GB"/>
              </w:rPr>
              <w:t>108</w:t>
            </w:r>
            <w:r w:rsidRPr="002D2F67">
              <w:rPr>
                <w:rFonts w:ascii="Arial" w:eastAsia="Arial Unicode MS" w:hAnsi="Arial" w:cs="Arial"/>
                <w:color w:val="000000"/>
                <w:sz w:val="20"/>
                <w:szCs w:val="20"/>
              </w:rPr>
              <w:t>)</w:t>
            </w:r>
          </w:p>
        </w:tc>
      </w:tr>
      <w:tr w:rsidR="001D52AC" w:rsidRPr="002D2F67" w14:paraId="24CDF7AA" w14:textId="77777777" w:rsidTr="005611FE">
        <w:trPr>
          <w:cantSplit/>
          <w:trHeight w:val="265"/>
        </w:trPr>
        <w:tc>
          <w:tcPr>
            <w:tcW w:w="3816" w:type="dxa"/>
            <w:tcBorders>
              <w:top w:val="nil"/>
              <w:left w:val="nil"/>
              <w:right w:val="nil"/>
            </w:tcBorders>
            <w:shd w:val="clear" w:color="auto" w:fill="auto"/>
          </w:tcPr>
          <w:p w14:paraId="60541422" w14:textId="77777777" w:rsidR="001D52AC" w:rsidRPr="002D2F67" w:rsidRDefault="001D52AC" w:rsidP="005611FE">
            <w:pPr>
              <w:ind w:left="-26" w:right="-31"/>
              <w:rPr>
                <w:rFonts w:ascii="Arial" w:hAnsi="Arial" w:cs="Arial"/>
                <w:color w:val="000000"/>
                <w:sz w:val="20"/>
                <w:szCs w:val="20"/>
              </w:rPr>
            </w:pPr>
          </w:p>
        </w:tc>
        <w:tc>
          <w:tcPr>
            <w:tcW w:w="1296" w:type="dxa"/>
            <w:shd w:val="clear" w:color="auto" w:fill="auto"/>
            <w:vAlign w:val="bottom"/>
          </w:tcPr>
          <w:p w14:paraId="14954C86" w14:textId="77777777" w:rsidR="001D52AC" w:rsidRPr="002D2F67" w:rsidRDefault="001D52AC" w:rsidP="005611FE">
            <w:pPr>
              <w:ind w:right="-72"/>
              <w:jc w:val="right"/>
              <w:rPr>
                <w:rFonts w:ascii="Arial" w:eastAsia="Arial Unicode MS" w:hAnsi="Arial" w:cs="Arial"/>
                <w:color w:val="000000"/>
                <w:sz w:val="20"/>
                <w:szCs w:val="20"/>
              </w:rPr>
            </w:pPr>
          </w:p>
        </w:tc>
        <w:tc>
          <w:tcPr>
            <w:tcW w:w="1296" w:type="dxa"/>
            <w:tcBorders>
              <w:top w:val="nil"/>
              <w:left w:val="nil"/>
              <w:right w:val="nil"/>
            </w:tcBorders>
            <w:shd w:val="clear" w:color="auto" w:fill="auto"/>
            <w:vAlign w:val="bottom"/>
          </w:tcPr>
          <w:p w14:paraId="3EA560EF" w14:textId="77777777" w:rsidR="001D52AC" w:rsidRPr="002D2F67" w:rsidRDefault="001D52AC" w:rsidP="005611FE">
            <w:pPr>
              <w:ind w:right="-72"/>
              <w:jc w:val="right"/>
              <w:rPr>
                <w:rFonts w:ascii="Arial" w:eastAsia="Arial Unicode MS" w:hAnsi="Arial" w:cs="Arial"/>
                <w:color w:val="000000"/>
                <w:sz w:val="20"/>
                <w:szCs w:val="20"/>
              </w:rPr>
            </w:pPr>
          </w:p>
        </w:tc>
        <w:tc>
          <w:tcPr>
            <w:tcW w:w="1296" w:type="dxa"/>
            <w:shd w:val="clear" w:color="auto" w:fill="auto"/>
            <w:vAlign w:val="bottom"/>
          </w:tcPr>
          <w:p w14:paraId="698489C3" w14:textId="77777777" w:rsidR="001D52AC" w:rsidRPr="002D2F67" w:rsidRDefault="001D52AC" w:rsidP="005611FE">
            <w:pPr>
              <w:ind w:right="-72"/>
              <w:jc w:val="right"/>
              <w:rPr>
                <w:rFonts w:ascii="Arial" w:eastAsia="Arial Unicode MS" w:hAnsi="Arial" w:cs="Arial"/>
                <w:color w:val="000000"/>
                <w:sz w:val="20"/>
                <w:szCs w:val="20"/>
              </w:rPr>
            </w:pPr>
          </w:p>
        </w:tc>
        <w:tc>
          <w:tcPr>
            <w:tcW w:w="1296" w:type="dxa"/>
            <w:tcBorders>
              <w:top w:val="nil"/>
              <w:left w:val="nil"/>
              <w:right w:val="nil"/>
            </w:tcBorders>
            <w:shd w:val="clear" w:color="auto" w:fill="auto"/>
            <w:vAlign w:val="bottom"/>
          </w:tcPr>
          <w:p w14:paraId="1CA5EEFC" w14:textId="77777777" w:rsidR="001D52AC" w:rsidRPr="002D2F67" w:rsidRDefault="001D52AC" w:rsidP="005611FE">
            <w:pPr>
              <w:ind w:right="-72"/>
              <w:jc w:val="right"/>
              <w:rPr>
                <w:rFonts w:ascii="Arial" w:eastAsia="Arial Unicode MS" w:hAnsi="Arial" w:cs="Arial"/>
                <w:color w:val="000000"/>
                <w:sz w:val="20"/>
                <w:szCs w:val="20"/>
              </w:rPr>
            </w:pPr>
          </w:p>
        </w:tc>
      </w:tr>
      <w:tr w:rsidR="001D52AC" w:rsidRPr="002D2F67" w14:paraId="26016562" w14:textId="77777777" w:rsidTr="005611FE">
        <w:trPr>
          <w:cantSplit/>
        </w:trPr>
        <w:tc>
          <w:tcPr>
            <w:tcW w:w="3816" w:type="dxa"/>
            <w:tcBorders>
              <w:top w:val="nil"/>
              <w:left w:val="nil"/>
              <w:right w:val="nil"/>
            </w:tcBorders>
            <w:shd w:val="clear" w:color="auto" w:fill="auto"/>
          </w:tcPr>
          <w:p w14:paraId="433ADDD9" w14:textId="202CA964" w:rsidR="001D52AC" w:rsidRPr="002D2F67" w:rsidRDefault="001D52AC" w:rsidP="005611FE">
            <w:pPr>
              <w:ind w:left="-26" w:right="-31"/>
              <w:rPr>
                <w:rFonts w:ascii="Arial" w:eastAsia="Arial Unicode MS" w:hAnsi="Arial" w:cs="Arial"/>
                <w:color w:val="000000"/>
                <w:spacing w:val="-4"/>
                <w:sz w:val="20"/>
                <w:szCs w:val="20"/>
              </w:rPr>
            </w:pPr>
            <w:r w:rsidRPr="002D2F67">
              <w:rPr>
                <w:rFonts w:ascii="Arial" w:hAnsi="Arial" w:cs="Arial"/>
                <w:color w:val="000000"/>
                <w:sz w:val="20"/>
                <w:szCs w:val="20"/>
              </w:rPr>
              <w:t>Taiwan Dollar</w:t>
            </w:r>
            <w:r w:rsidRPr="002D2F67">
              <w:rPr>
                <w:rFonts w:ascii="Arial" w:hAnsi="Arial" w:cs="Arial"/>
                <w:color w:val="000000"/>
                <w:sz w:val="20"/>
                <w:szCs w:val="20"/>
                <w:cs/>
              </w:rPr>
              <w:t xml:space="preserve"> </w:t>
            </w:r>
            <w:r w:rsidRPr="002D2F67">
              <w:rPr>
                <w:rFonts w:ascii="Arial" w:hAnsi="Arial" w:cs="Arial"/>
                <w:color w:val="000000"/>
                <w:sz w:val="20"/>
                <w:szCs w:val="20"/>
              </w:rPr>
              <w:t>to Baht exchange rate</w:t>
            </w:r>
          </w:p>
        </w:tc>
        <w:tc>
          <w:tcPr>
            <w:tcW w:w="1296" w:type="dxa"/>
            <w:shd w:val="clear" w:color="auto" w:fill="auto"/>
          </w:tcPr>
          <w:p w14:paraId="445D9982" w14:textId="77777777" w:rsidR="001D52AC" w:rsidRPr="002D2F67" w:rsidRDefault="001D52AC" w:rsidP="005611FE">
            <w:pPr>
              <w:ind w:right="-72"/>
              <w:jc w:val="right"/>
              <w:rPr>
                <w:rFonts w:ascii="Arial" w:eastAsia="Arial Unicode MS" w:hAnsi="Arial" w:cs="Arial"/>
                <w:color w:val="000000"/>
                <w:sz w:val="20"/>
                <w:szCs w:val="20"/>
                <w:cs/>
              </w:rPr>
            </w:pPr>
          </w:p>
        </w:tc>
        <w:tc>
          <w:tcPr>
            <w:tcW w:w="1296" w:type="dxa"/>
            <w:shd w:val="clear" w:color="auto" w:fill="auto"/>
          </w:tcPr>
          <w:p w14:paraId="55D6FB99" w14:textId="77777777" w:rsidR="001D52AC" w:rsidRPr="002D2F67" w:rsidRDefault="001D52AC" w:rsidP="005611FE">
            <w:pPr>
              <w:ind w:right="-72"/>
              <w:jc w:val="right"/>
              <w:rPr>
                <w:rFonts w:ascii="Arial" w:eastAsia="Arial" w:hAnsi="Arial" w:cs="Arial"/>
                <w:color w:val="000000"/>
                <w:sz w:val="20"/>
                <w:szCs w:val="20"/>
              </w:rPr>
            </w:pPr>
          </w:p>
        </w:tc>
        <w:tc>
          <w:tcPr>
            <w:tcW w:w="1296" w:type="dxa"/>
            <w:shd w:val="clear" w:color="auto" w:fill="auto"/>
          </w:tcPr>
          <w:p w14:paraId="337F0196" w14:textId="77777777" w:rsidR="001D52AC" w:rsidRPr="002D2F67" w:rsidRDefault="001D52AC" w:rsidP="005611FE">
            <w:pPr>
              <w:ind w:right="-72"/>
              <w:jc w:val="right"/>
              <w:rPr>
                <w:rFonts w:ascii="Arial" w:eastAsia="Arial Unicode MS" w:hAnsi="Arial" w:cs="Arial"/>
                <w:color w:val="000000"/>
                <w:sz w:val="20"/>
                <w:szCs w:val="20"/>
              </w:rPr>
            </w:pPr>
          </w:p>
        </w:tc>
        <w:tc>
          <w:tcPr>
            <w:tcW w:w="1296" w:type="dxa"/>
            <w:shd w:val="clear" w:color="auto" w:fill="auto"/>
          </w:tcPr>
          <w:p w14:paraId="2A6CABA3" w14:textId="77777777" w:rsidR="001D52AC" w:rsidRPr="002D2F67" w:rsidRDefault="001D52AC" w:rsidP="005611FE">
            <w:pPr>
              <w:ind w:right="-72"/>
              <w:jc w:val="right"/>
              <w:rPr>
                <w:rFonts w:ascii="Arial" w:eastAsia="Arial Unicode MS" w:hAnsi="Arial" w:cs="Arial"/>
                <w:color w:val="000000"/>
                <w:sz w:val="20"/>
                <w:szCs w:val="20"/>
              </w:rPr>
            </w:pPr>
          </w:p>
        </w:tc>
      </w:tr>
      <w:tr w:rsidR="001D52AC" w:rsidRPr="002D2F67" w14:paraId="5E6C9E39" w14:textId="77777777" w:rsidTr="005611FE">
        <w:trPr>
          <w:cantSplit/>
        </w:trPr>
        <w:tc>
          <w:tcPr>
            <w:tcW w:w="3816" w:type="dxa"/>
            <w:tcBorders>
              <w:top w:val="nil"/>
              <w:left w:val="nil"/>
              <w:right w:val="nil"/>
            </w:tcBorders>
            <w:shd w:val="clear" w:color="auto" w:fill="auto"/>
          </w:tcPr>
          <w:p w14:paraId="1E9B19ED" w14:textId="69754D43" w:rsidR="001D52AC" w:rsidRPr="002D2F67" w:rsidRDefault="001D52AC" w:rsidP="005611FE">
            <w:pPr>
              <w:ind w:left="-26"/>
              <w:rPr>
                <w:rFonts w:ascii="Arial" w:eastAsia="Arial Unicode MS" w:hAnsi="Arial" w:cs="Arial"/>
                <w:color w:val="000000"/>
                <w:sz w:val="20"/>
                <w:szCs w:val="20"/>
              </w:rPr>
            </w:pPr>
            <w:r w:rsidRPr="002D2F67">
              <w:rPr>
                <w:rFonts w:ascii="Arial" w:hAnsi="Arial" w:cs="Arial"/>
                <w:color w:val="000000"/>
                <w:sz w:val="20"/>
                <w:szCs w:val="20"/>
              </w:rPr>
              <w:t xml:space="preserve">- Increase </w:t>
            </w:r>
            <w:r w:rsidR="00CD5714" w:rsidRPr="00CD5714">
              <w:rPr>
                <w:rFonts w:ascii="Arial" w:hAnsi="Arial" w:cs="Arial"/>
                <w:color w:val="000000"/>
                <w:sz w:val="20"/>
                <w:szCs w:val="20"/>
                <w:lang w:val="en-GB"/>
              </w:rPr>
              <w:t>10</w:t>
            </w:r>
            <w:r w:rsidRPr="002D2F67">
              <w:rPr>
                <w:rFonts w:ascii="Arial" w:hAnsi="Arial" w:cs="Arial"/>
                <w:color w:val="000000"/>
                <w:sz w:val="20"/>
                <w:szCs w:val="20"/>
              </w:rPr>
              <w:t>%*</w:t>
            </w:r>
          </w:p>
        </w:tc>
        <w:tc>
          <w:tcPr>
            <w:tcW w:w="1296" w:type="dxa"/>
            <w:shd w:val="clear" w:color="auto" w:fill="auto"/>
            <w:vAlign w:val="bottom"/>
          </w:tcPr>
          <w:p w14:paraId="3F3E4ADA" w14:textId="13346AD8" w:rsidR="001D52AC" w:rsidRPr="002D2F67" w:rsidRDefault="00CD5714" w:rsidP="005611FE">
            <w:pPr>
              <w:ind w:right="-72"/>
              <w:jc w:val="right"/>
              <w:rPr>
                <w:rFonts w:ascii="Arial" w:eastAsia="Arial Unicode MS" w:hAnsi="Arial" w:cs="Arial"/>
                <w:color w:val="000000"/>
                <w:sz w:val="20"/>
                <w:szCs w:val="25"/>
              </w:rPr>
            </w:pPr>
            <w:r w:rsidRPr="00CD5714">
              <w:rPr>
                <w:rFonts w:ascii="Arial" w:eastAsia="Arial Unicode MS" w:hAnsi="Arial" w:cs="Arial"/>
                <w:color w:val="000000"/>
                <w:sz w:val="20"/>
                <w:szCs w:val="25"/>
                <w:lang w:val="en-GB"/>
              </w:rPr>
              <w:t>2</w:t>
            </w:r>
          </w:p>
        </w:tc>
        <w:tc>
          <w:tcPr>
            <w:tcW w:w="1296" w:type="dxa"/>
            <w:tcBorders>
              <w:top w:val="nil"/>
              <w:left w:val="nil"/>
              <w:right w:val="nil"/>
            </w:tcBorders>
            <w:shd w:val="clear" w:color="auto" w:fill="auto"/>
            <w:vAlign w:val="bottom"/>
          </w:tcPr>
          <w:p w14:paraId="53CA580C" w14:textId="0B2E522C" w:rsidR="001D52AC" w:rsidRPr="002D2F67" w:rsidRDefault="00CD5714" w:rsidP="005611FE">
            <w:pPr>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12</w:t>
            </w:r>
          </w:p>
        </w:tc>
        <w:tc>
          <w:tcPr>
            <w:tcW w:w="1296" w:type="dxa"/>
            <w:shd w:val="clear" w:color="auto" w:fill="auto"/>
            <w:vAlign w:val="bottom"/>
          </w:tcPr>
          <w:p w14:paraId="14A0AFCF" w14:textId="74C0F1D5" w:rsidR="001D52AC" w:rsidRPr="002D2F67" w:rsidRDefault="00CD5714" w:rsidP="005611FE">
            <w:pPr>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w:t>
            </w:r>
          </w:p>
        </w:tc>
        <w:tc>
          <w:tcPr>
            <w:tcW w:w="1296" w:type="dxa"/>
            <w:tcBorders>
              <w:top w:val="nil"/>
              <w:left w:val="nil"/>
              <w:right w:val="nil"/>
            </w:tcBorders>
            <w:shd w:val="clear" w:color="auto" w:fill="auto"/>
            <w:vAlign w:val="bottom"/>
          </w:tcPr>
          <w:p w14:paraId="73855DCE" w14:textId="0F035D6F" w:rsidR="001D52AC" w:rsidRPr="002D2F67" w:rsidRDefault="00CD5714" w:rsidP="005611FE">
            <w:pPr>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w:t>
            </w:r>
          </w:p>
        </w:tc>
      </w:tr>
      <w:tr w:rsidR="001D52AC" w:rsidRPr="002D2F67" w14:paraId="768B3CFD" w14:textId="77777777" w:rsidTr="005611FE">
        <w:trPr>
          <w:cantSplit/>
        </w:trPr>
        <w:tc>
          <w:tcPr>
            <w:tcW w:w="3816" w:type="dxa"/>
            <w:tcBorders>
              <w:top w:val="nil"/>
              <w:left w:val="nil"/>
              <w:right w:val="nil"/>
            </w:tcBorders>
            <w:shd w:val="clear" w:color="auto" w:fill="auto"/>
          </w:tcPr>
          <w:p w14:paraId="07FECA40" w14:textId="5E941500" w:rsidR="001D52AC" w:rsidRPr="002D2F67" w:rsidRDefault="001D52AC" w:rsidP="005611FE">
            <w:pPr>
              <w:ind w:left="-26"/>
              <w:rPr>
                <w:rFonts w:ascii="Arial" w:eastAsia="Arial Unicode MS" w:hAnsi="Arial" w:cs="Arial"/>
                <w:color w:val="000000"/>
                <w:sz w:val="20"/>
                <w:szCs w:val="20"/>
              </w:rPr>
            </w:pPr>
            <w:r w:rsidRPr="002D2F67">
              <w:rPr>
                <w:rFonts w:ascii="Arial" w:hAnsi="Arial" w:cs="Arial"/>
                <w:color w:val="000000"/>
                <w:sz w:val="20"/>
                <w:szCs w:val="20"/>
              </w:rPr>
              <w:t>-</w:t>
            </w:r>
            <w:r w:rsidRPr="002D2F67">
              <w:rPr>
                <w:rFonts w:ascii="Arial" w:hAnsi="Arial" w:cs="Arial"/>
                <w:color w:val="000000"/>
                <w:sz w:val="20"/>
                <w:szCs w:val="20"/>
                <w:cs/>
              </w:rPr>
              <w:t xml:space="preserve"> </w:t>
            </w:r>
            <w:r w:rsidRPr="002D2F67">
              <w:rPr>
                <w:rFonts w:ascii="Arial" w:hAnsi="Arial" w:cs="Arial"/>
                <w:color w:val="000000"/>
                <w:sz w:val="20"/>
                <w:szCs w:val="20"/>
              </w:rPr>
              <w:t xml:space="preserve">Decrease </w:t>
            </w:r>
            <w:r w:rsidR="00CD5714" w:rsidRPr="00CD5714">
              <w:rPr>
                <w:rFonts w:ascii="Arial" w:hAnsi="Arial" w:cs="Arial"/>
                <w:color w:val="000000"/>
                <w:sz w:val="20"/>
                <w:szCs w:val="20"/>
                <w:lang w:val="en-GB"/>
              </w:rPr>
              <w:t>10</w:t>
            </w:r>
            <w:r w:rsidRPr="002D2F67">
              <w:rPr>
                <w:rFonts w:ascii="Arial" w:hAnsi="Arial" w:cs="Arial"/>
                <w:color w:val="000000"/>
                <w:sz w:val="20"/>
                <w:szCs w:val="20"/>
              </w:rPr>
              <w:t>%*</w:t>
            </w:r>
          </w:p>
        </w:tc>
        <w:tc>
          <w:tcPr>
            <w:tcW w:w="1296" w:type="dxa"/>
            <w:shd w:val="clear" w:color="auto" w:fill="auto"/>
            <w:vAlign w:val="bottom"/>
          </w:tcPr>
          <w:p w14:paraId="54A1AF0C" w14:textId="79EEF6EC" w:rsidR="001D52AC" w:rsidRPr="002D2F67" w:rsidRDefault="00230DF0" w:rsidP="005611FE">
            <w:pPr>
              <w:ind w:right="-72"/>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r w:rsidR="00CD5714" w:rsidRPr="00CD5714">
              <w:rPr>
                <w:rFonts w:ascii="Arial" w:eastAsia="Arial Unicode MS" w:hAnsi="Arial" w:cs="Arial"/>
                <w:color w:val="000000"/>
                <w:sz w:val="20"/>
                <w:szCs w:val="20"/>
                <w:lang w:val="en-GB"/>
              </w:rPr>
              <w:t>2</w:t>
            </w:r>
            <w:r w:rsidRPr="002D2F67">
              <w:rPr>
                <w:rFonts w:ascii="Arial" w:eastAsia="Arial Unicode MS" w:hAnsi="Arial" w:cs="Arial"/>
                <w:color w:val="000000"/>
                <w:sz w:val="20"/>
                <w:szCs w:val="20"/>
              </w:rPr>
              <w:t>)</w:t>
            </w:r>
          </w:p>
        </w:tc>
        <w:tc>
          <w:tcPr>
            <w:tcW w:w="1296" w:type="dxa"/>
            <w:tcBorders>
              <w:top w:val="nil"/>
              <w:left w:val="nil"/>
              <w:right w:val="nil"/>
            </w:tcBorders>
            <w:shd w:val="clear" w:color="auto" w:fill="auto"/>
            <w:vAlign w:val="bottom"/>
          </w:tcPr>
          <w:p w14:paraId="59C5493B" w14:textId="5C0A1524" w:rsidR="001D52AC" w:rsidRPr="002D2F67" w:rsidRDefault="001D52AC" w:rsidP="005611FE">
            <w:pPr>
              <w:ind w:right="-72"/>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r w:rsidR="00CD5714" w:rsidRPr="00CD5714">
              <w:rPr>
                <w:rFonts w:ascii="Arial" w:eastAsia="Arial Unicode MS" w:hAnsi="Arial" w:cs="Arial"/>
                <w:color w:val="000000"/>
                <w:sz w:val="20"/>
                <w:szCs w:val="20"/>
                <w:lang w:val="en-GB"/>
              </w:rPr>
              <w:t>12</w:t>
            </w:r>
            <w:r w:rsidRPr="002D2F67">
              <w:rPr>
                <w:rFonts w:ascii="Arial" w:eastAsia="Arial Unicode MS" w:hAnsi="Arial" w:cs="Arial"/>
                <w:color w:val="000000"/>
                <w:sz w:val="20"/>
                <w:szCs w:val="20"/>
              </w:rPr>
              <w:t>)</w:t>
            </w:r>
          </w:p>
        </w:tc>
        <w:tc>
          <w:tcPr>
            <w:tcW w:w="1296" w:type="dxa"/>
            <w:shd w:val="clear" w:color="auto" w:fill="auto"/>
            <w:vAlign w:val="bottom"/>
          </w:tcPr>
          <w:p w14:paraId="00974F87" w14:textId="0AA5FB8D" w:rsidR="001D52AC" w:rsidRPr="002D2F67" w:rsidRDefault="0071201E" w:rsidP="005611FE">
            <w:pPr>
              <w:ind w:right="-72"/>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r w:rsidR="00CD5714" w:rsidRPr="00CD5714">
              <w:rPr>
                <w:rFonts w:ascii="Arial" w:eastAsia="Arial Unicode MS" w:hAnsi="Arial" w:cs="Arial"/>
                <w:color w:val="000000"/>
                <w:sz w:val="20"/>
                <w:szCs w:val="20"/>
                <w:lang w:val="en-GB"/>
              </w:rPr>
              <w:t>2</w:t>
            </w:r>
            <w:r w:rsidRPr="002D2F67">
              <w:rPr>
                <w:rFonts w:ascii="Arial" w:eastAsia="Arial Unicode MS" w:hAnsi="Arial" w:cs="Arial"/>
                <w:color w:val="000000"/>
                <w:sz w:val="20"/>
                <w:szCs w:val="20"/>
              </w:rPr>
              <w:t>)</w:t>
            </w:r>
          </w:p>
        </w:tc>
        <w:tc>
          <w:tcPr>
            <w:tcW w:w="1296" w:type="dxa"/>
            <w:tcBorders>
              <w:top w:val="nil"/>
              <w:left w:val="nil"/>
              <w:right w:val="nil"/>
            </w:tcBorders>
            <w:shd w:val="clear" w:color="auto" w:fill="auto"/>
            <w:vAlign w:val="bottom"/>
          </w:tcPr>
          <w:p w14:paraId="47D2A185" w14:textId="25D8AF3B" w:rsidR="001D52AC" w:rsidRPr="002D2F67" w:rsidRDefault="001D52AC" w:rsidP="005611FE">
            <w:pPr>
              <w:ind w:right="-72"/>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r w:rsidR="00CD5714" w:rsidRPr="00CD5714">
              <w:rPr>
                <w:rFonts w:ascii="Arial" w:eastAsia="Arial Unicode MS" w:hAnsi="Arial" w:cs="Arial"/>
                <w:color w:val="000000"/>
                <w:sz w:val="20"/>
                <w:szCs w:val="20"/>
                <w:lang w:val="en-GB"/>
              </w:rPr>
              <w:t>2</w:t>
            </w:r>
            <w:r w:rsidRPr="002D2F67">
              <w:rPr>
                <w:rFonts w:ascii="Arial" w:eastAsia="Arial Unicode MS" w:hAnsi="Arial" w:cs="Arial"/>
                <w:color w:val="000000"/>
                <w:sz w:val="20"/>
                <w:szCs w:val="20"/>
              </w:rPr>
              <w:t>)</w:t>
            </w:r>
          </w:p>
        </w:tc>
      </w:tr>
      <w:tr w:rsidR="001D52AC" w:rsidRPr="002D2F67" w14:paraId="6C76B6D6" w14:textId="77777777" w:rsidTr="005611FE">
        <w:trPr>
          <w:cantSplit/>
        </w:trPr>
        <w:tc>
          <w:tcPr>
            <w:tcW w:w="3816" w:type="dxa"/>
            <w:tcBorders>
              <w:top w:val="nil"/>
              <w:left w:val="nil"/>
              <w:right w:val="nil"/>
            </w:tcBorders>
            <w:shd w:val="clear" w:color="auto" w:fill="auto"/>
          </w:tcPr>
          <w:p w14:paraId="52F1DC1D" w14:textId="77777777" w:rsidR="001D52AC" w:rsidRPr="002D2F67" w:rsidRDefault="001D52AC" w:rsidP="005611FE">
            <w:pPr>
              <w:ind w:left="-26"/>
              <w:rPr>
                <w:rFonts w:ascii="Arial" w:hAnsi="Arial" w:cs="Arial"/>
                <w:color w:val="000000"/>
                <w:sz w:val="20"/>
                <w:szCs w:val="20"/>
              </w:rPr>
            </w:pPr>
          </w:p>
        </w:tc>
        <w:tc>
          <w:tcPr>
            <w:tcW w:w="1296" w:type="dxa"/>
            <w:shd w:val="clear" w:color="auto" w:fill="auto"/>
            <w:vAlign w:val="bottom"/>
          </w:tcPr>
          <w:p w14:paraId="23961B14" w14:textId="77777777" w:rsidR="001D52AC" w:rsidRPr="002D2F67" w:rsidRDefault="001D52AC" w:rsidP="005611FE">
            <w:pPr>
              <w:ind w:right="-72"/>
              <w:jc w:val="right"/>
              <w:rPr>
                <w:rFonts w:ascii="Arial" w:eastAsia="Arial Unicode MS" w:hAnsi="Arial" w:cs="Arial"/>
                <w:color w:val="000000"/>
                <w:sz w:val="20"/>
                <w:szCs w:val="20"/>
              </w:rPr>
            </w:pPr>
          </w:p>
        </w:tc>
        <w:tc>
          <w:tcPr>
            <w:tcW w:w="1296" w:type="dxa"/>
            <w:tcBorders>
              <w:top w:val="nil"/>
              <w:left w:val="nil"/>
              <w:right w:val="nil"/>
            </w:tcBorders>
            <w:shd w:val="clear" w:color="auto" w:fill="auto"/>
            <w:vAlign w:val="bottom"/>
          </w:tcPr>
          <w:p w14:paraId="5099A03D" w14:textId="77777777" w:rsidR="001D52AC" w:rsidRPr="002D2F67" w:rsidRDefault="001D52AC" w:rsidP="005611FE">
            <w:pPr>
              <w:ind w:right="-72"/>
              <w:jc w:val="right"/>
              <w:rPr>
                <w:rFonts w:ascii="Arial" w:eastAsia="Arial" w:hAnsi="Arial" w:cs="Arial"/>
                <w:color w:val="000000"/>
                <w:sz w:val="20"/>
                <w:szCs w:val="20"/>
              </w:rPr>
            </w:pPr>
          </w:p>
        </w:tc>
        <w:tc>
          <w:tcPr>
            <w:tcW w:w="1296" w:type="dxa"/>
            <w:shd w:val="clear" w:color="auto" w:fill="auto"/>
            <w:vAlign w:val="bottom"/>
          </w:tcPr>
          <w:p w14:paraId="30A51310" w14:textId="77777777" w:rsidR="001D52AC" w:rsidRPr="002D2F67" w:rsidRDefault="001D52AC" w:rsidP="005611FE">
            <w:pPr>
              <w:ind w:right="-72"/>
              <w:jc w:val="right"/>
              <w:rPr>
                <w:rFonts w:ascii="Arial" w:eastAsia="Arial Unicode MS" w:hAnsi="Arial" w:cs="Arial"/>
                <w:color w:val="000000"/>
                <w:sz w:val="20"/>
                <w:szCs w:val="20"/>
              </w:rPr>
            </w:pPr>
          </w:p>
        </w:tc>
        <w:tc>
          <w:tcPr>
            <w:tcW w:w="1296" w:type="dxa"/>
            <w:tcBorders>
              <w:top w:val="nil"/>
              <w:left w:val="nil"/>
              <w:right w:val="nil"/>
            </w:tcBorders>
            <w:shd w:val="clear" w:color="auto" w:fill="auto"/>
            <w:vAlign w:val="bottom"/>
          </w:tcPr>
          <w:p w14:paraId="47D90A8E" w14:textId="77777777" w:rsidR="001D52AC" w:rsidRPr="002D2F67" w:rsidRDefault="001D52AC" w:rsidP="005611FE">
            <w:pPr>
              <w:ind w:right="-72"/>
              <w:jc w:val="right"/>
              <w:rPr>
                <w:rFonts w:ascii="Arial" w:eastAsia="Arial" w:hAnsi="Arial" w:cs="Arial"/>
                <w:color w:val="000000"/>
                <w:sz w:val="20"/>
                <w:szCs w:val="20"/>
              </w:rPr>
            </w:pPr>
          </w:p>
        </w:tc>
      </w:tr>
      <w:tr w:rsidR="001D52AC" w:rsidRPr="002D2F67" w14:paraId="5C994D21" w14:textId="77777777" w:rsidTr="005611FE">
        <w:trPr>
          <w:cantSplit/>
          <w:trHeight w:val="265"/>
        </w:trPr>
        <w:tc>
          <w:tcPr>
            <w:tcW w:w="3816" w:type="dxa"/>
            <w:tcBorders>
              <w:top w:val="nil"/>
              <w:left w:val="nil"/>
              <w:right w:val="nil"/>
            </w:tcBorders>
            <w:shd w:val="clear" w:color="auto" w:fill="auto"/>
          </w:tcPr>
          <w:p w14:paraId="702220F1" w14:textId="0D2931E8" w:rsidR="001D52AC" w:rsidRPr="002D2F67" w:rsidRDefault="001D52AC" w:rsidP="005611FE">
            <w:pPr>
              <w:ind w:left="-26" w:right="-31"/>
              <w:rPr>
                <w:rFonts w:ascii="Arial" w:hAnsi="Arial" w:cs="Arial"/>
                <w:color w:val="000000"/>
                <w:sz w:val="20"/>
                <w:szCs w:val="20"/>
              </w:rPr>
            </w:pPr>
            <w:r w:rsidRPr="002D2F67">
              <w:rPr>
                <w:rFonts w:ascii="Arial" w:hAnsi="Arial" w:cs="Arial"/>
                <w:color w:val="000000"/>
                <w:sz w:val="20"/>
                <w:szCs w:val="20"/>
              </w:rPr>
              <w:t>Chinese Yuan</w:t>
            </w:r>
            <w:r w:rsidRPr="002D2F67">
              <w:rPr>
                <w:rFonts w:ascii="Arial" w:hAnsi="Arial" w:cs="Arial"/>
                <w:color w:val="000000"/>
                <w:sz w:val="20"/>
                <w:szCs w:val="20"/>
                <w:cs/>
              </w:rPr>
              <w:t xml:space="preserve"> </w:t>
            </w:r>
            <w:r w:rsidRPr="002D2F67">
              <w:rPr>
                <w:rFonts w:ascii="Arial" w:hAnsi="Arial" w:cs="Arial"/>
                <w:color w:val="000000"/>
                <w:sz w:val="20"/>
                <w:szCs w:val="20"/>
              </w:rPr>
              <w:t>to Baht exchange rate</w:t>
            </w:r>
          </w:p>
        </w:tc>
        <w:tc>
          <w:tcPr>
            <w:tcW w:w="1296" w:type="dxa"/>
            <w:shd w:val="clear" w:color="auto" w:fill="auto"/>
            <w:vAlign w:val="bottom"/>
          </w:tcPr>
          <w:p w14:paraId="6856C1F2" w14:textId="77777777" w:rsidR="001D52AC" w:rsidRPr="002D2F67" w:rsidRDefault="001D52AC" w:rsidP="005611FE">
            <w:pPr>
              <w:ind w:right="-72"/>
              <w:jc w:val="right"/>
              <w:rPr>
                <w:rFonts w:ascii="Arial" w:eastAsia="Arial Unicode MS" w:hAnsi="Arial" w:cs="Arial"/>
                <w:color w:val="000000"/>
                <w:sz w:val="20"/>
                <w:szCs w:val="20"/>
              </w:rPr>
            </w:pPr>
          </w:p>
        </w:tc>
        <w:tc>
          <w:tcPr>
            <w:tcW w:w="1296" w:type="dxa"/>
            <w:tcBorders>
              <w:top w:val="nil"/>
              <w:left w:val="nil"/>
              <w:right w:val="nil"/>
            </w:tcBorders>
            <w:shd w:val="clear" w:color="auto" w:fill="auto"/>
            <w:vAlign w:val="bottom"/>
          </w:tcPr>
          <w:p w14:paraId="635B5F9E" w14:textId="77777777" w:rsidR="001D52AC" w:rsidRPr="002D2F67" w:rsidRDefault="001D52AC" w:rsidP="005611FE">
            <w:pPr>
              <w:ind w:right="-72"/>
              <w:jc w:val="right"/>
              <w:rPr>
                <w:rFonts w:ascii="Arial" w:eastAsia="Arial Unicode MS" w:hAnsi="Arial" w:cs="Arial"/>
                <w:color w:val="000000"/>
                <w:sz w:val="20"/>
                <w:szCs w:val="20"/>
              </w:rPr>
            </w:pPr>
          </w:p>
        </w:tc>
        <w:tc>
          <w:tcPr>
            <w:tcW w:w="1296" w:type="dxa"/>
            <w:shd w:val="clear" w:color="auto" w:fill="auto"/>
            <w:vAlign w:val="bottom"/>
          </w:tcPr>
          <w:p w14:paraId="43701028" w14:textId="77777777" w:rsidR="001D52AC" w:rsidRPr="002D2F67" w:rsidRDefault="001D52AC" w:rsidP="005611FE">
            <w:pPr>
              <w:ind w:right="-72"/>
              <w:jc w:val="right"/>
              <w:rPr>
                <w:rFonts w:ascii="Arial" w:eastAsia="Arial Unicode MS" w:hAnsi="Arial" w:cs="Arial"/>
                <w:color w:val="000000"/>
                <w:sz w:val="20"/>
                <w:szCs w:val="20"/>
              </w:rPr>
            </w:pPr>
          </w:p>
        </w:tc>
        <w:tc>
          <w:tcPr>
            <w:tcW w:w="1296" w:type="dxa"/>
            <w:tcBorders>
              <w:top w:val="nil"/>
              <w:left w:val="nil"/>
              <w:right w:val="nil"/>
            </w:tcBorders>
            <w:shd w:val="clear" w:color="auto" w:fill="auto"/>
            <w:vAlign w:val="bottom"/>
          </w:tcPr>
          <w:p w14:paraId="3D28AD9E" w14:textId="77777777" w:rsidR="001D52AC" w:rsidRPr="002D2F67" w:rsidRDefault="001D52AC" w:rsidP="005611FE">
            <w:pPr>
              <w:ind w:right="-72"/>
              <w:jc w:val="right"/>
              <w:rPr>
                <w:rFonts w:ascii="Arial" w:eastAsia="Arial Unicode MS" w:hAnsi="Arial" w:cs="Arial"/>
                <w:color w:val="000000"/>
                <w:sz w:val="20"/>
                <w:szCs w:val="20"/>
              </w:rPr>
            </w:pPr>
          </w:p>
        </w:tc>
      </w:tr>
      <w:tr w:rsidR="001D52AC" w:rsidRPr="002D2F67" w14:paraId="02E6B1D5" w14:textId="77777777" w:rsidTr="005611FE">
        <w:trPr>
          <w:cantSplit/>
          <w:trHeight w:val="265"/>
        </w:trPr>
        <w:tc>
          <w:tcPr>
            <w:tcW w:w="3816" w:type="dxa"/>
            <w:tcBorders>
              <w:top w:val="nil"/>
              <w:left w:val="nil"/>
              <w:right w:val="nil"/>
            </w:tcBorders>
            <w:shd w:val="clear" w:color="auto" w:fill="auto"/>
          </w:tcPr>
          <w:p w14:paraId="7A1A6BB6" w14:textId="023F6235" w:rsidR="001D52AC" w:rsidRPr="002D2F67" w:rsidRDefault="001D52AC" w:rsidP="005611FE">
            <w:pPr>
              <w:ind w:left="-26" w:right="-31"/>
              <w:rPr>
                <w:rFonts w:ascii="Arial" w:hAnsi="Arial" w:cs="Arial"/>
                <w:color w:val="000000"/>
                <w:sz w:val="20"/>
                <w:szCs w:val="20"/>
              </w:rPr>
            </w:pPr>
            <w:r w:rsidRPr="002D2F67">
              <w:rPr>
                <w:rFonts w:ascii="Arial" w:hAnsi="Arial" w:cs="Arial"/>
                <w:color w:val="000000"/>
                <w:sz w:val="20"/>
                <w:szCs w:val="20"/>
              </w:rPr>
              <w:t xml:space="preserve">- Increase </w:t>
            </w:r>
            <w:r w:rsidR="00CD5714" w:rsidRPr="00CD5714">
              <w:rPr>
                <w:rFonts w:ascii="Arial" w:hAnsi="Arial" w:cs="Arial"/>
                <w:color w:val="000000"/>
                <w:sz w:val="20"/>
                <w:szCs w:val="20"/>
                <w:lang w:val="en-GB"/>
              </w:rPr>
              <w:t>10</w:t>
            </w:r>
            <w:r w:rsidRPr="002D2F67">
              <w:rPr>
                <w:rFonts w:ascii="Arial" w:hAnsi="Arial" w:cs="Arial"/>
                <w:color w:val="000000"/>
                <w:sz w:val="20"/>
                <w:szCs w:val="20"/>
              </w:rPr>
              <w:t>%*</w:t>
            </w:r>
          </w:p>
        </w:tc>
        <w:tc>
          <w:tcPr>
            <w:tcW w:w="1296" w:type="dxa"/>
            <w:shd w:val="clear" w:color="auto" w:fill="auto"/>
            <w:vAlign w:val="bottom"/>
          </w:tcPr>
          <w:p w14:paraId="62A31D27" w14:textId="40B917D5" w:rsidR="001D52AC" w:rsidRPr="002D2F67" w:rsidRDefault="0071201E" w:rsidP="005611FE">
            <w:pPr>
              <w:ind w:right="-72"/>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r w:rsidR="00CD5714" w:rsidRPr="00CD5714">
              <w:rPr>
                <w:rFonts w:ascii="Arial" w:eastAsia="Arial Unicode MS" w:hAnsi="Arial" w:cs="Arial"/>
                <w:color w:val="000000"/>
                <w:sz w:val="20"/>
                <w:szCs w:val="20"/>
                <w:lang w:val="en-GB"/>
              </w:rPr>
              <w:t>16</w:t>
            </w:r>
            <w:r w:rsidRPr="002D2F67">
              <w:rPr>
                <w:rFonts w:ascii="Arial" w:eastAsia="Arial Unicode MS" w:hAnsi="Arial" w:cs="Arial"/>
                <w:color w:val="000000"/>
                <w:sz w:val="20"/>
                <w:szCs w:val="20"/>
              </w:rPr>
              <w:t>)</w:t>
            </w:r>
          </w:p>
        </w:tc>
        <w:tc>
          <w:tcPr>
            <w:tcW w:w="1296" w:type="dxa"/>
            <w:tcBorders>
              <w:top w:val="nil"/>
              <w:left w:val="nil"/>
              <w:right w:val="nil"/>
            </w:tcBorders>
            <w:shd w:val="clear" w:color="auto" w:fill="auto"/>
            <w:vAlign w:val="bottom"/>
          </w:tcPr>
          <w:p w14:paraId="26A23AB6" w14:textId="3AF83956" w:rsidR="001D52AC" w:rsidRPr="002D2F67" w:rsidRDefault="001D52AC" w:rsidP="005611FE">
            <w:pPr>
              <w:ind w:right="-72"/>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r w:rsidR="00CD5714" w:rsidRPr="00CD5714">
              <w:rPr>
                <w:rFonts w:ascii="Arial" w:eastAsia="Arial Unicode MS" w:hAnsi="Arial" w:cs="Arial"/>
                <w:color w:val="000000"/>
                <w:sz w:val="20"/>
                <w:szCs w:val="20"/>
                <w:lang w:val="en-GB"/>
              </w:rPr>
              <w:t>40</w:t>
            </w:r>
            <w:r w:rsidRPr="002D2F67">
              <w:rPr>
                <w:rFonts w:ascii="Arial" w:eastAsia="Arial Unicode MS" w:hAnsi="Arial" w:cs="Arial"/>
                <w:color w:val="000000"/>
                <w:sz w:val="20"/>
                <w:szCs w:val="20"/>
              </w:rPr>
              <w:t>)</w:t>
            </w:r>
          </w:p>
        </w:tc>
        <w:tc>
          <w:tcPr>
            <w:tcW w:w="1296" w:type="dxa"/>
            <w:shd w:val="clear" w:color="auto" w:fill="auto"/>
            <w:vAlign w:val="bottom"/>
          </w:tcPr>
          <w:p w14:paraId="38B30DEB" w14:textId="2BBDC781" w:rsidR="001D52AC" w:rsidRPr="002D2F67" w:rsidRDefault="0071201E" w:rsidP="005611FE">
            <w:pPr>
              <w:ind w:right="-72"/>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296" w:type="dxa"/>
            <w:tcBorders>
              <w:top w:val="nil"/>
              <w:left w:val="nil"/>
              <w:right w:val="nil"/>
            </w:tcBorders>
            <w:shd w:val="clear" w:color="auto" w:fill="auto"/>
            <w:vAlign w:val="bottom"/>
          </w:tcPr>
          <w:p w14:paraId="4829B3E2" w14:textId="74A447A7" w:rsidR="001D52AC" w:rsidRPr="002D2F67" w:rsidRDefault="001D52AC" w:rsidP="005611FE">
            <w:pPr>
              <w:ind w:right="-72"/>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r>
      <w:tr w:rsidR="001D52AC" w:rsidRPr="002D2F67" w14:paraId="2558C10F" w14:textId="77777777" w:rsidTr="005611FE">
        <w:trPr>
          <w:cantSplit/>
          <w:trHeight w:val="265"/>
        </w:trPr>
        <w:tc>
          <w:tcPr>
            <w:tcW w:w="3816" w:type="dxa"/>
            <w:tcBorders>
              <w:top w:val="nil"/>
              <w:left w:val="nil"/>
              <w:right w:val="nil"/>
            </w:tcBorders>
            <w:shd w:val="clear" w:color="auto" w:fill="auto"/>
          </w:tcPr>
          <w:p w14:paraId="00095101" w14:textId="63D210F1" w:rsidR="001D52AC" w:rsidRPr="002D2F67" w:rsidRDefault="001D52AC" w:rsidP="005611FE">
            <w:pPr>
              <w:ind w:left="-26" w:right="-31"/>
              <w:rPr>
                <w:rFonts w:ascii="Arial" w:hAnsi="Arial" w:cs="Arial"/>
                <w:color w:val="000000"/>
                <w:sz w:val="20"/>
                <w:szCs w:val="20"/>
              </w:rPr>
            </w:pPr>
            <w:r w:rsidRPr="002D2F67">
              <w:rPr>
                <w:rFonts w:ascii="Arial" w:hAnsi="Arial" w:cs="Arial"/>
                <w:color w:val="000000"/>
                <w:sz w:val="20"/>
                <w:szCs w:val="20"/>
              </w:rPr>
              <w:t>-</w:t>
            </w:r>
            <w:r w:rsidRPr="002D2F67">
              <w:rPr>
                <w:rFonts w:ascii="Arial" w:hAnsi="Arial" w:cs="Arial"/>
                <w:color w:val="000000"/>
                <w:sz w:val="20"/>
                <w:szCs w:val="20"/>
                <w:cs/>
              </w:rPr>
              <w:t xml:space="preserve"> </w:t>
            </w:r>
            <w:r w:rsidRPr="002D2F67">
              <w:rPr>
                <w:rFonts w:ascii="Arial" w:hAnsi="Arial" w:cs="Arial"/>
                <w:color w:val="000000"/>
                <w:sz w:val="20"/>
                <w:szCs w:val="20"/>
              </w:rPr>
              <w:t xml:space="preserve">Decrease </w:t>
            </w:r>
            <w:r w:rsidR="00CD5714" w:rsidRPr="00CD5714">
              <w:rPr>
                <w:rFonts w:ascii="Arial" w:hAnsi="Arial" w:cs="Arial"/>
                <w:color w:val="000000"/>
                <w:sz w:val="20"/>
                <w:szCs w:val="20"/>
                <w:lang w:val="en-GB"/>
              </w:rPr>
              <w:t>10</w:t>
            </w:r>
            <w:r w:rsidRPr="002D2F67">
              <w:rPr>
                <w:rFonts w:ascii="Arial" w:hAnsi="Arial" w:cs="Arial"/>
                <w:color w:val="000000"/>
                <w:sz w:val="20"/>
                <w:szCs w:val="20"/>
              </w:rPr>
              <w:t>%*</w:t>
            </w:r>
          </w:p>
        </w:tc>
        <w:tc>
          <w:tcPr>
            <w:tcW w:w="1296" w:type="dxa"/>
            <w:shd w:val="clear" w:color="auto" w:fill="auto"/>
            <w:vAlign w:val="bottom"/>
          </w:tcPr>
          <w:p w14:paraId="007546EB" w14:textId="40635053" w:rsidR="001D52AC" w:rsidRPr="002D2F67" w:rsidRDefault="00CD5714" w:rsidP="005611FE">
            <w:pPr>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16</w:t>
            </w:r>
          </w:p>
        </w:tc>
        <w:tc>
          <w:tcPr>
            <w:tcW w:w="1296" w:type="dxa"/>
            <w:tcBorders>
              <w:top w:val="nil"/>
              <w:left w:val="nil"/>
              <w:right w:val="nil"/>
            </w:tcBorders>
            <w:shd w:val="clear" w:color="auto" w:fill="auto"/>
            <w:vAlign w:val="bottom"/>
          </w:tcPr>
          <w:p w14:paraId="2E2E57A7" w14:textId="5BCD5D29" w:rsidR="001D52AC" w:rsidRPr="002D2F67" w:rsidRDefault="00CD5714" w:rsidP="005611FE">
            <w:pPr>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40</w:t>
            </w:r>
          </w:p>
        </w:tc>
        <w:tc>
          <w:tcPr>
            <w:tcW w:w="1296" w:type="dxa"/>
            <w:shd w:val="clear" w:color="auto" w:fill="auto"/>
            <w:vAlign w:val="bottom"/>
          </w:tcPr>
          <w:p w14:paraId="42E55E3A" w14:textId="2A9B725C" w:rsidR="001D52AC" w:rsidRPr="002D2F67" w:rsidRDefault="0071201E" w:rsidP="005611FE">
            <w:pPr>
              <w:ind w:right="-72"/>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296" w:type="dxa"/>
            <w:tcBorders>
              <w:top w:val="nil"/>
              <w:left w:val="nil"/>
              <w:right w:val="nil"/>
            </w:tcBorders>
            <w:shd w:val="clear" w:color="auto" w:fill="auto"/>
            <w:vAlign w:val="bottom"/>
          </w:tcPr>
          <w:p w14:paraId="745CC0AE" w14:textId="717D3E73" w:rsidR="001D52AC" w:rsidRPr="002D2F67" w:rsidRDefault="001D52AC" w:rsidP="005611FE">
            <w:pPr>
              <w:ind w:right="-72"/>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r>
      <w:tr w:rsidR="001D52AC" w:rsidRPr="002D2F67" w14:paraId="678A48D1" w14:textId="77777777" w:rsidTr="005611FE">
        <w:trPr>
          <w:cantSplit/>
          <w:trHeight w:val="265"/>
        </w:trPr>
        <w:tc>
          <w:tcPr>
            <w:tcW w:w="3816" w:type="dxa"/>
            <w:tcBorders>
              <w:top w:val="nil"/>
              <w:left w:val="nil"/>
              <w:right w:val="nil"/>
            </w:tcBorders>
            <w:shd w:val="clear" w:color="auto" w:fill="auto"/>
          </w:tcPr>
          <w:p w14:paraId="38A6ED9F" w14:textId="77777777" w:rsidR="001D52AC" w:rsidRPr="002D2F67" w:rsidRDefault="001D52AC" w:rsidP="005611FE">
            <w:pPr>
              <w:ind w:left="-26" w:right="-31"/>
              <w:rPr>
                <w:rFonts w:ascii="Arial" w:hAnsi="Arial" w:cs="Arial"/>
                <w:color w:val="000000"/>
                <w:sz w:val="20"/>
                <w:szCs w:val="20"/>
              </w:rPr>
            </w:pPr>
          </w:p>
        </w:tc>
        <w:tc>
          <w:tcPr>
            <w:tcW w:w="1296" w:type="dxa"/>
            <w:shd w:val="clear" w:color="auto" w:fill="auto"/>
            <w:vAlign w:val="bottom"/>
          </w:tcPr>
          <w:p w14:paraId="76F6CA92" w14:textId="77777777" w:rsidR="001D52AC" w:rsidRPr="002D2F67" w:rsidRDefault="001D52AC" w:rsidP="005611FE">
            <w:pPr>
              <w:ind w:right="-72"/>
              <w:jc w:val="right"/>
              <w:rPr>
                <w:rFonts w:ascii="Arial" w:eastAsia="Arial Unicode MS" w:hAnsi="Arial" w:cs="Arial"/>
                <w:color w:val="000000"/>
                <w:sz w:val="20"/>
                <w:szCs w:val="20"/>
              </w:rPr>
            </w:pPr>
          </w:p>
        </w:tc>
        <w:tc>
          <w:tcPr>
            <w:tcW w:w="1296" w:type="dxa"/>
            <w:tcBorders>
              <w:top w:val="nil"/>
              <w:left w:val="nil"/>
              <w:right w:val="nil"/>
            </w:tcBorders>
            <w:shd w:val="clear" w:color="auto" w:fill="auto"/>
            <w:vAlign w:val="bottom"/>
          </w:tcPr>
          <w:p w14:paraId="74C62CC3" w14:textId="77777777" w:rsidR="001D52AC" w:rsidRPr="002D2F67" w:rsidRDefault="001D52AC" w:rsidP="005611FE">
            <w:pPr>
              <w:ind w:right="-72"/>
              <w:jc w:val="right"/>
              <w:rPr>
                <w:rFonts w:ascii="Arial" w:eastAsia="Arial Unicode MS" w:hAnsi="Arial" w:cs="Arial"/>
                <w:color w:val="000000"/>
                <w:sz w:val="20"/>
                <w:szCs w:val="20"/>
              </w:rPr>
            </w:pPr>
          </w:p>
        </w:tc>
        <w:tc>
          <w:tcPr>
            <w:tcW w:w="1296" w:type="dxa"/>
            <w:shd w:val="clear" w:color="auto" w:fill="auto"/>
            <w:vAlign w:val="bottom"/>
          </w:tcPr>
          <w:p w14:paraId="71B01A11" w14:textId="77777777" w:rsidR="001D52AC" w:rsidRPr="002D2F67" w:rsidRDefault="001D52AC" w:rsidP="005611FE">
            <w:pPr>
              <w:ind w:right="-72"/>
              <w:jc w:val="right"/>
              <w:rPr>
                <w:rFonts w:ascii="Arial" w:eastAsia="Arial Unicode MS" w:hAnsi="Arial" w:cs="Arial"/>
                <w:color w:val="000000"/>
                <w:sz w:val="20"/>
                <w:szCs w:val="20"/>
              </w:rPr>
            </w:pPr>
          </w:p>
        </w:tc>
        <w:tc>
          <w:tcPr>
            <w:tcW w:w="1296" w:type="dxa"/>
            <w:tcBorders>
              <w:top w:val="nil"/>
              <w:left w:val="nil"/>
              <w:right w:val="nil"/>
            </w:tcBorders>
            <w:shd w:val="clear" w:color="auto" w:fill="auto"/>
            <w:vAlign w:val="bottom"/>
          </w:tcPr>
          <w:p w14:paraId="0BE4E74E" w14:textId="77777777" w:rsidR="001D52AC" w:rsidRPr="002D2F67" w:rsidRDefault="001D52AC" w:rsidP="005611FE">
            <w:pPr>
              <w:ind w:right="-72"/>
              <w:jc w:val="right"/>
              <w:rPr>
                <w:rFonts w:ascii="Arial" w:eastAsia="Arial Unicode MS" w:hAnsi="Arial" w:cs="Arial"/>
                <w:color w:val="000000"/>
                <w:sz w:val="20"/>
                <w:szCs w:val="20"/>
              </w:rPr>
            </w:pPr>
          </w:p>
        </w:tc>
      </w:tr>
      <w:tr w:rsidR="001D52AC" w:rsidRPr="002D2F67" w14:paraId="58FA9651" w14:textId="77777777" w:rsidTr="005611FE">
        <w:trPr>
          <w:cantSplit/>
          <w:trHeight w:val="265"/>
        </w:trPr>
        <w:tc>
          <w:tcPr>
            <w:tcW w:w="3816" w:type="dxa"/>
            <w:tcBorders>
              <w:top w:val="nil"/>
              <w:left w:val="nil"/>
              <w:right w:val="nil"/>
            </w:tcBorders>
            <w:shd w:val="clear" w:color="auto" w:fill="auto"/>
          </w:tcPr>
          <w:p w14:paraId="234D1DE2" w14:textId="31C1E54C" w:rsidR="001D52AC" w:rsidRPr="002D2F67" w:rsidRDefault="001D52AC" w:rsidP="005611FE">
            <w:pPr>
              <w:ind w:left="-26" w:right="-31"/>
              <w:rPr>
                <w:rFonts w:ascii="Arial" w:hAnsi="Arial" w:cs="Arial"/>
                <w:color w:val="000000"/>
                <w:sz w:val="20"/>
                <w:szCs w:val="20"/>
              </w:rPr>
            </w:pPr>
            <w:r w:rsidRPr="002D2F67">
              <w:rPr>
                <w:rFonts w:ascii="Arial" w:hAnsi="Arial" w:cs="Arial"/>
                <w:color w:val="000000"/>
                <w:sz w:val="20"/>
                <w:szCs w:val="20"/>
              </w:rPr>
              <w:t>Japanese Yen</w:t>
            </w:r>
            <w:r w:rsidRPr="002D2F67">
              <w:rPr>
                <w:rFonts w:ascii="Arial" w:hAnsi="Arial" w:cs="Arial"/>
                <w:color w:val="000000"/>
                <w:sz w:val="20"/>
                <w:szCs w:val="20"/>
                <w:cs/>
              </w:rPr>
              <w:t xml:space="preserve"> </w:t>
            </w:r>
            <w:r w:rsidRPr="002D2F67">
              <w:rPr>
                <w:rFonts w:ascii="Arial" w:hAnsi="Arial" w:cs="Arial"/>
                <w:color w:val="000000"/>
                <w:sz w:val="20"/>
                <w:szCs w:val="20"/>
              </w:rPr>
              <w:t>to Baht exchange rate</w:t>
            </w:r>
          </w:p>
        </w:tc>
        <w:tc>
          <w:tcPr>
            <w:tcW w:w="1296" w:type="dxa"/>
            <w:shd w:val="clear" w:color="auto" w:fill="auto"/>
            <w:vAlign w:val="bottom"/>
          </w:tcPr>
          <w:p w14:paraId="608025E4" w14:textId="77777777" w:rsidR="001D52AC" w:rsidRPr="002D2F67" w:rsidRDefault="001D52AC" w:rsidP="005611FE">
            <w:pPr>
              <w:ind w:right="-72"/>
              <w:jc w:val="right"/>
              <w:rPr>
                <w:rFonts w:ascii="Arial" w:eastAsia="Arial Unicode MS" w:hAnsi="Arial" w:cs="Arial"/>
                <w:color w:val="000000"/>
                <w:sz w:val="20"/>
                <w:szCs w:val="20"/>
              </w:rPr>
            </w:pPr>
          </w:p>
        </w:tc>
        <w:tc>
          <w:tcPr>
            <w:tcW w:w="1296" w:type="dxa"/>
            <w:tcBorders>
              <w:top w:val="nil"/>
              <w:left w:val="nil"/>
              <w:right w:val="nil"/>
            </w:tcBorders>
            <w:shd w:val="clear" w:color="auto" w:fill="auto"/>
            <w:vAlign w:val="bottom"/>
          </w:tcPr>
          <w:p w14:paraId="2F3A7DE9" w14:textId="77777777" w:rsidR="001D52AC" w:rsidRPr="002D2F67" w:rsidRDefault="001D52AC" w:rsidP="005611FE">
            <w:pPr>
              <w:ind w:right="-72"/>
              <w:jc w:val="right"/>
              <w:rPr>
                <w:rFonts w:ascii="Arial" w:eastAsia="Arial Unicode MS" w:hAnsi="Arial" w:cs="Arial"/>
                <w:color w:val="000000"/>
                <w:sz w:val="20"/>
                <w:szCs w:val="20"/>
              </w:rPr>
            </w:pPr>
          </w:p>
        </w:tc>
        <w:tc>
          <w:tcPr>
            <w:tcW w:w="1296" w:type="dxa"/>
            <w:shd w:val="clear" w:color="auto" w:fill="auto"/>
            <w:vAlign w:val="bottom"/>
          </w:tcPr>
          <w:p w14:paraId="71FD2490" w14:textId="77777777" w:rsidR="001D52AC" w:rsidRPr="002D2F67" w:rsidRDefault="001D52AC" w:rsidP="005611FE">
            <w:pPr>
              <w:ind w:right="-72"/>
              <w:jc w:val="right"/>
              <w:rPr>
                <w:rFonts w:ascii="Arial" w:eastAsia="Arial Unicode MS" w:hAnsi="Arial" w:cs="Arial"/>
                <w:color w:val="000000"/>
                <w:sz w:val="20"/>
                <w:szCs w:val="20"/>
              </w:rPr>
            </w:pPr>
          </w:p>
        </w:tc>
        <w:tc>
          <w:tcPr>
            <w:tcW w:w="1296" w:type="dxa"/>
            <w:tcBorders>
              <w:top w:val="nil"/>
              <w:left w:val="nil"/>
              <w:right w:val="nil"/>
            </w:tcBorders>
            <w:shd w:val="clear" w:color="auto" w:fill="auto"/>
            <w:vAlign w:val="bottom"/>
          </w:tcPr>
          <w:p w14:paraId="1770AF1C" w14:textId="77777777" w:rsidR="001D52AC" w:rsidRPr="002D2F67" w:rsidRDefault="001D52AC" w:rsidP="005611FE">
            <w:pPr>
              <w:ind w:right="-72"/>
              <w:jc w:val="right"/>
              <w:rPr>
                <w:rFonts w:ascii="Arial" w:eastAsia="Arial Unicode MS" w:hAnsi="Arial" w:cs="Arial"/>
                <w:color w:val="000000"/>
                <w:sz w:val="20"/>
                <w:szCs w:val="20"/>
              </w:rPr>
            </w:pPr>
          </w:p>
        </w:tc>
      </w:tr>
      <w:tr w:rsidR="001D52AC" w:rsidRPr="002D2F67" w14:paraId="0586A7B9" w14:textId="77777777" w:rsidTr="005611FE">
        <w:trPr>
          <w:cantSplit/>
          <w:trHeight w:val="265"/>
        </w:trPr>
        <w:tc>
          <w:tcPr>
            <w:tcW w:w="3816" w:type="dxa"/>
            <w:tcBorders>
              <w:top w:val="nil"/>
              <w:left w:val="nil"/>
              <w:right w:val="nil"/>
            </w:tcBorders>
            <w:shd w:val="clear" w:color="auto" w:fill="auto"/>
          </w:tcPr>
          <w:p w14:paraId="294CCD25" w14:textId="4A40D191" w:rsidR="001D52AC" w:rsidRPr="002D2F67" w:rsidRDefault="001D52AC" w:rsidP="005611FE">
            <w:pPr>
              <w:ind w:left="-26" w:right="-31"/>
              <w:rPr>
                <w:rFonts w:ascii="Arial" w:hAnsi="Arial" w:cs="Arial"/>
                <w:color w:val="000000"/>
                <w:sz w:val="20"/>
                <w:szCs w:val="20"/>
              </w:rPr>
            </w:pPr>
            <w:r w:rsidRPr="002D2F67">
              <w:rPr>
                <w:rFonts w:ascii="Arial" w:hAnsi="Arial" w:cs="Arial"/>
                <w:color w:val="000000"/>
                <w:sz w:val="20"/>
                <w:szCs w:val="20"/>
              </w:rPr>
              <w:t xml:space="preserve">- Increase </w:t>
            </w:r>
            <w:r w:rsidR="00CD5714" w:rsidRPr="00CD5714">
              <w:rPr>
                <w:rFonts w:ascii="Arial" w:hAnsi="Arial" w:cs="Arial"/>
                <w:color w:val="000000"/>
                <w:sz w:val="20"/>
                <w:szCs w:val="20"/>
                <w:lang w:val="en-GB"/>
              </w:rPr>
              <w:t>10</w:t>
            </w:r>
            <w:r w:rsidRPr="002D2F67">
              <w:rPr>
                <w:rFonts w:ascii="Arial" w:hAnsi="Arial" w:cs="Arial"/>
                <w:color w:val="000000"/>
                <w:sz w:val="20"/>
                <w:szCs w:val="20"/>
              </w:rPr>
              <w:t>%*</w:t>
            </w:r>
          </w:p>
        </w:tc>
        <w:tc>
          <w:tcPr>
            <w:tcW w:w="1296" w:type="dxa"/>
            <w:shd w:val="clear" w:color="auto" w:fill="auto"/>
            <w:vAlign w:val="bottom"/>
          </w:tcPr>
          <w:p w14:paraId="0266BB25" w14:textId="4AAC9039" w:rsidR="001D52AC" w:rsidRPr="002D2F67" w:rsidRDefault="0071201E" w:rsidP="005611FE">
            <w:pPr>
              <w:ind w:right="-72"/>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r w:rsidR="00CD5714" w:rsidRPr="00CD5714">
              <w:rPr>
                <w:rFonts w:ascii="Arial" w:eastAsia="Arial Unicode MS" w:hAnsi="Arial" w:cs="Arial"/>
                <w:color w:val="000000"/>
                <w:sz w:val="20"/>
                <w:szCs w:val="20"/>
                <w:lang w:val="en-GB"/>
              </w:rPr>
              <w:t>171</w:t>
            </w:r>
            <w:r w:rsidRPr="002D2F67">
              <w:rPr>
                <w:rFonts w:ascii="Arial" w:eastAsia="Arial Unicode MS" w:hAnsi="Arial" w:cs="Arial"/>
                <w:color w:val="000000"/>
                <w:sz w:val="20"/>
                <w:szCs w:val="20"/>
              </w:rPr>
              <w:t>)</w:t>
            </w:r>
          </w:p>
        </w:tc>
        <w:tc>
          <w:tcPr>
            <w:tcW w:w="1296" w:type="dxa"/>
            <w:tcBorders>
              <w:top w:val="nil"/>
              <w:left w:val="nil"/>
              <w:right w:val="nil"/>
            </w:tcBorders>
            <w:shd w:val="clear" w:color="auto" w:fill="auto"/>
            <w:vAlign w:val="bottom"/>
          </w:tcPr>
          <w:p w14:paraId="3A261E7C" w14:textId="4FCA4B98" w:rsidR="001D52AC" w:rsidRPr="002D2F67" w:rsidRDefault="001D52AC" w:rsidP="005611FE">
            <w:pPr>
              <w:ind w:right="-72"/>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r w:rsidR="00CD5714" w:rsidRPr="00CD5714">
              <w:rPr>
                <w:rFonts w:ascii="Arial" w:eastAsia="Arial Unicode MS" w:hAnsi="Arial" w:cs="Arial"/>
                <w:color w:val="000000"/>
                <w:sz w:val="20"/>
                <w:szCs w:val="20"/>
                <w:lang w:val="en-GB"/>
              </w:rPr>
              <w:t>192</w:t>
            </w:r>
            <w:r w:rsidRPr="002D2F67">
              <w:rPr>
                <w:rFonts w:ascii="Arial" w:eastAsia="Arial Unicode MS" w:hAnsi="Arial" w:cs="Arial"/>
                <w:color w:val="000000"/>
                <w:sz w:val="20"/>
                <w:szCs w:val="20"/>
              </w:rPr>
              <w:t>)</w:t>
            </w:r>
          </w:p>
        </w:tc>
        <w:tc>
          <w:tcPr>
            <w:tcW w:w="1296" w:type="dxa"/>
            <w:shd w:val="clear" w:color="auto" w:fill="auto"/>
            <w:vAlign w:val="bottom"/>
          </w:tcPr>
          <w:p w14:paraId="636C3CAF" w14:textId="177AC5CD" w:rsidR="001D52AC" w:rsidRPr="002D2F67" w:rsidRDefault="0071201E" w:rsidP="005611FE">
            <w:pPr>
              <w:ind w:right="-72"/>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r w:rsidR="00CD5714" w:rsidRPr="00CD5714">
              <w:rPr>
                <w:rFonts w:ascii="Arial" w:eastAsia="Arial Unicode MS" w:hAnsi="Arial" w:cs="Arial"/>
                <w:color w:val="000000"/>
                <w:sz w:val="20"/>
                <w:szCs w:val="20"/>
                <w:lang w:val="en-GB"/>
              </w:rPr>
              <w:t>171</w:t>
            </w:r>
            <w:r w:rsidRPr="002D2F67">
              <w:rPr>
                <w:rFonts w:ascii="Arial" w:eastAsia="Arial Unicode MS" w:hAnsi="Arial" w:cs="Arial"/>
                <w:color w:val="000000"/>
                <w:sz w:val="20"/>
                <w:szCs w:val="20"/>
              </w:rPr>
              <w:t>)</w:t>
            </w:r>
          </w:p>
        </w:tc>
        <w:tc>
          <w:tcPr>
            <w:tcW w:w="1296" w:type="dxa"/>
            <w:tcBorders>
              <w:top w:val="nil"/>
              <w:left w:val="nil"/>
              <w:right w:val="nil"/>
            </w:tcBorders>
            <w:shd w:val="clear" w:color="auto" w:fill="auto"/>
            <w:vAlign w:val="bottom"/>
          </w:tcPr>
          <w:p w14:paraId="4A60FAE9" w14:textId="38564BE0" w:rsidR="001D52AC" w:rsidRPr="002D2F67" w:rsidRDefault="001D52AC" w:rsidP="005611FE">
            <w:pPr>
              <w:ind w:right="-72"/>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r w:rsidR="00CD5714" w:rsidRPr="00CD5714">
              <w:rPr>
                <w:rFonts w:ascii="Arial" w:eastAsia="Arial Unicode MS" w:hAnsi="Arial" w:cs="Arial"/>
                <w:color w:val="000000"/>
                <w:sz w:val="20"/>
                <w:szCs w:val="20"/>
                <w:lang w:val="en-GB"/>
              </w:rPr>
              <w:t>192</w:t>
            </w:r>
            <w:r w:rsidRPr="002D2F67">
              <w:rPr>
                <w:rFonts w:ascii="Arial" w:eastAsia="Arial Unicode MS" w:hAnsi="Arial" w:cs="Arial"/>
                <w:color w:val="000000"/>
                <w:sz w:val="20"/>
                <w:szCs w:val="20"/>
              </w:rPr>
              <w:t>)</w:t>
            </w:r>
          </w:p>
        </w:tc>
      </w:tr>
      <w:tr w:rsidR="001D52AC" w:rsidRPr="002D2F67" w14:paraId="115F27E3" w14:textId="77777777" w:rsidTr="005611FE">
        <w:trPr>
          <w:cantSplit/>
          <w:trHeight w:val="265"/>
        </w:trPr>
        <w:tc>
          <w:tcPr>
            <w:tcW w:w="3816" w:type="dxa"/>
            <w:tcBorders>
              <w:top w:val="nil"/>
              <w:left w:val="nil"/>
              <w:bottom w:val="nil"/>
              <w:right w:val="nil"/>
            </w:tcBorders>
            <w:shd w:val="clear" w:color="auto" w:fill="auto"/>
          </w:tcPr>
          <w:p w14:paraId="5DA0C487" w14:textId="3DDBE30F" w:rsidR="001D52AC" w:rsidRPr="002D2F67" w:rsidRDefault="001D52AC" w:rsidP="005611FE">
            <w:pPr>
              <w:ind w:left="-26" w:right="-31"/>
              <w:rPr>
                <w:rFonts w:ascii="Arial" w:hAnsi="Arial" w:cs="Arial"/>
                <w:color w:val="000000"/>
                <w:sz w:val="20"/>
                <w:szCs w:val="20"/>
              </w:rPr>
            </w:pPr>
            <w:r w:rsidRPr="002D2F67">
              <w:rPr>
                <w:rFonts w:ascii="Arial" w:hAnsi="Arial" w:cs="Arial"/>
                <w:color w:val="000000"/>
                <w:sz w:val="20"/>
                <w:szCs w:val="20"/>
              </w:rPr>
              <w:t>-</w:t>
            </w:r>
            <w:r w:rsidRPr="002D2F67">
              <w:rPr>
                <w:rFonts w:ascii="Arial" w:hAnsi="Arial" w:cs="Arial"/>
                <w:color w:val="000000"/>
                <w:sz w:val="20"/>
                <w:szCs w:val="20"/>
                <w:cs/>
              </w:rPr>
              <w:t xml:space="preserve"> </w:t>
            </w:r>
            <w:r w:rsidRPr="002D2F67">
              <w:rPr>
                <w:rFonts w:ascii="Arial" w:hAnsi="Arial" w:cs="Arial"/>
                <w:color w:val="000000"/>
                <w:sz w:val="20"/>
                <w:szCs w:val="20"/>
              </w:rPr>
              <w:t xml:space="preserve">Decrease </w:t>
            </w:r>
            <w:r w:rsidR="00CD5714" w:rsidRPr="00CD5714">
              <w:rPr>
                <w:rFonts w:ascii="Arial" w:hAnsi="Arial" w:cs="Arial"/>
                <w:color w:val="000000"/>
                <w:sz w:val="20"/>
                <w:szCs w:val="20"/>
                <w:lang w:val="en-GB"/>
              </w:rPr>
              <w:t>10</w:t>
            </w:r>
            <w:r w:rsidRPr="002D2F67">
              <w:rPr>
                <w:rFonts w:ascii="Arial" w:hAnsi="Arial" w:cs="Arial"/>
                <w:color w:val="000000"/>
                <w:sz w:val="20"/>
                <w:szCs w:val="20"/>
              </w:rPr>
              <w:t>%*</w:t>
            </w:r>
          </w:p>
        </w:tc>
        <w:tc>
          <w:tcPr>
            <w:tcW w:w="1296" w:type="dxa"/>
            <w:shd w:val="clear" w:color="auto" w:fill="auto"/>
            <w:vAlign w:val="bottom"/>
          </w:tcPr>
          <w:p w14:paraId="7BA05C83" w14:textId="7A192329" w:rsidR="001D52AC" w:rsidRPr="002D2F67" w:rsidRDefault="00CD5714" w:rsidP="005611FE">
            <w:pPr>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171</w:t>
            </w:r>
          </w:p>
        </w:tc>
        <w:tc>
          <w:tcPr>
            <w:tcW w:w="1296" w:type="dxa"/>
            <w:tcBorders>
              <w:top w:val="nil"/>
              <w:left w:val="nil"/>
              <w:right w:val="nil"/>
            </w:tcBorders>
            <w:shd w:val="clear" w:color="auto" w:fill="auto"/>
            <w:vAlign w:val="bottom"/>
          </w:tcPr>
          <w:p w14:paraId="5209F5E4" w14:textId="453E8E4A" w:rsidR="001D52AC" w:rsidRPr="002D2F67" w:rsidRDefault="00CD5714" w:rsidP="005611FE">
            <w:pPr>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192</w:t>
            </w:r>
          </w:p>
        </w:tc>
        <w:tc>
          <w:tcPr>
            <w:tcW w:w="1296" w:type="dxa"/>
            <w:shd w:val="clear" w:color="auto" w:fill="auto"/>
            <w:vAlign w:val="bottom"/>
          </w:tcPr>
          <w:p w14:paraId="632AFFAC" w14:textId="522A9BFF" w:rsidR="001D52AC" w:rsidRPr="002D2F67" w:rsidRDefault="00CD5714" w:rsidP="005611FE">
            <w:pPr>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171</w:t>
            </w:r>
          </w:p>
        </w:tc>
        <w:tc>
          <w:tcPr>
            <w:tcW w:w="1296" w:type="dxa"/>
            <w:tcBorders>
              <w:top w:val="nil"/>
              <w:left w:val="nil"/>
              <w:right w:val="nil"/>
            </w:tcBorders>
            <w:shd w:val="clear" w:color="auto" w:fill="auto"/>
            <w:vAlign w:val="bottom"/>
          </w:tcPr>
          <w:p w14:paraId="039F4D25" w14:textId="008DABF3" w:rsidR="001D52AC" w:rsidRPr="002D2F67" w:rsidRDefault="00CD5714" w:rsidP="005611FE">
            <w:pPr>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192</w:t>
            </w:r>
          </w:p>
        </w:tc>
      </w:tr>
    </w:tbl>
    <w:p w14:paraId="6D5850BB" w14:textId="77777777" w:rsidR="00955811" w:rsidRPr="002D2F67" w:rsidRDefault="00955811" w:rsidP="005611FE">
      <w:pPr>
        <w:ind w:left="540"/>
        <w:jc w:val="both"/>
        <w:rPr>
          <w:rFonts w:ascii="Arial" w:hAnsi="Arial" w:cs="Arial"/>
          <w:color w:val="000000"/>
          <w:sz w:val="12"/>
          <w:szCs w:val="12"/>
        </w:rPr>
      </w:pPr>
    </w:p>
    <w:p w14:paraId="685ECEE0" w14:textId="3B775DDA" w:rsidR="00723A4C" w:rsidRPr="002D2F67" w:rsidRDefault="00C445AF" w:rsidP="005611FE">
      <w:pPr>
        <w:ind w:left="540"/>
        <w:jc w:val="both"/>
        <w:rPr>
          <w:rFonts w:ascii="Arial" w:hAnsi="Arial" w:cs="Arial"/>
          <w:i/>
          <w:iCs/>
          <w:color w:val="000000"/>
          <w:sz w:val="20"/>
          <w:szCs w:val="20"/>
        </w:rPr>
      </w:pPr>
      <w:r w:rsidRPr="002D2F67">
        <w:rPr>
          <w:rFonts w:ascii="Arial" w:hAnsi="Arial" w:cs="Arial"/>
          <w:i/>
          <w:iCs/>
          <w:color w:val="000000"/>
          <w:sz w:val="20"/>
          <w:szCs w:val="20"/>
        </w:rPr>
        <w:t>* Holding all other variables constant</w:t>
      </w:r>
    </w:p>
    <w:p w14:paraId="4390425F" w14:textId="2BB8AB50" w:rsidR="00C445AF" w:rsidRPr="002D2F67" w:rsidRDefault="00927D87" w:rsidP="005611FE">
      <w:pPr>
        <w:ind w:left="540"/>
        <w:jc w:val="both"/>
        <w:rPr>
          <w:rFonts w:ascii="Arial" w:hAnsi="Arial" w:cs="Arial"/>
          <w:color w:val="000000"/>
          <w:sz w:val="20"/>
          <w:szCs w:val="20"/>
        </w:rPr>
      </w:pPr>
      <w:r w:rsidRPr="002D2F67">
        <w:rPr>
          <w:rFonts w:ascii="Arial" w:hAnsi="Arial" w:cs="Arial"/>
          <w:color w:val="000000"/>
          <w:sz w:val="20"/>
          <w:szCs w:val="20"/>
        </w:rPr>
        <w:br w:type="page"/>
      </w:r>
    </w:p>
    <w:p w14:paraId="75FBAD60" w14:textId="7622D8BB" w:rsidR="00FE37B6" w:rsidRPr="002D2F67" w:rsidRDefault="00D37451" w:rsidP="005611FE">
      <w:pPr>
        <w:pStyle w:val="HeadSub1-5EA"/>
        <w:numPr>
          <w:ilvl w:val="3"/>
          <w:numId w:val="12"/>
        </w:numPr>
        <w:ind w:left="527" w:hanging="516"/>
        <w:outlineLvl w:val="3"/>
        <w:rPr>
          <w:rFonts w:ascii="Arial" w:hAnsi="Arial" w:cs="Arial"/>
          <w:b w:val="0"/>
          <w:bCs w:val="0"/>
          <w:color w:val="000000"/>
          <w:sz w:val="20"/>
          <w:szCs w:val="20"/>
          <w:u w:val="single"/>
        </w:rPr>
      </w:pPr>
      <w:r w:rsidRPr="002D2F67">
        <w:rPr>
          <w:rFonts w:ascii="Arial" w:hAnsi="Arial" w:cs="Arial"/>
          <w:b w:val="0"/>
          <w:bCs w:val="0"/>
          <w:color w:val="000000"/>
          <w:sz w:val="20"/>
          <w:szCs w:val="25"/>
          <w:u w:val="single"/>
        </w:rPr>
        <w:t>I</w:t>
      </w:r>
      <w:r w:rsidR="00FE37B6" w:rsidRPr="002D2F67">
        <w:rPr>
          <w:rFonts w:ascii="Arial" w:hAnsi="Arial" w:cs="Arial"/>
          <w:b w:val="0"/>
          <w:bCs w:val="0"/>
          <w:color w:val="000000"/>
          <w:sz w:val="20"/>
          <w:szCs w:val="20"/>
          <w:u w:val="single"/>
        </w:rPr>
        <w:t>nterest rate risk</w:t>
      </w:r>
    </w:p>
    <w:p w14:paraId="53372346" w14:textId="77777777" w:rsidR="00FE37B6" w:rsidRPr="002D2F67" w:rsidRDefault="00FE37B6" w:rsidP="005611FE">
      <w:pPr>
        <w:ind w:left="540"/>
        <w:jc w:val="thaiDistribute"/>
        <w:rPr>
          <w:rFonts w:ascii="Arial" w:hAnsi="Arial" w:cs="Arial"/>
          <w:color w:val="000000"/>
          <w:spacing w:val="-2"/>
          <w:sz w:val="20"/>
          <w:szCs w:val="20"/>
        </w:rPr>
      </w:pPr>
    </w:p>
    <w:p w14:paraId="055127C0" w14:textId="678655D3" w:rsidR="004168A4" w:rsidRPr="002D2F67" w:rsidRDefault="004168A4" w:rsidP="005611FE">
      <w:pPr>
        <w:ind w:left="540"/>
        <w:jc w:val="thaiDistribute"/>
        <w:rPr>
          <w:rFonts w:ascii="Arial" w:hAnsi="Arial" w:cs="Arial"/>
          <w:color w:val="000000"/>
          <w:sz w:val="20"/>
          <w:szCs w:val="20"/>
        </w:rPr>
      </w:pPr>
      <w:r w:rsidRPr="002D2F67">
        <w:rPr>
          <w:rFonts w:ascii="Arial" w:hAnsi="Arial" w:cs="Arial"/>
          <w:color w:val="000000"/>
          <w:spacing w:val="-4"/>
          <w:sz w:val="20"/>
          <w:szCs w:val="20"/>
        </w:rPr>
        <w:t xml:space="preserve">The Group manages interest rate risk by closely monitoring the </w:t>
      </w:r>
      <w:r w:rsidR="001735E8" w:rsidRPr="002D2F67">
        <w:rPr>
          <w:rFonts w:ascii="Arial" w:hAnsi="Arial" w:cs="Arial"/>
          <w:color w:val="000000"/>
          <w:spacing w:val="-4"/>
          <w:sz w:val="20"/>
          <w:szCs w:val="20"/>
        </w:rPr>
        <w:t>movement</w:t>
      </w:r>
      <w:r w:rsidRPr="002D2F67">
        <w:rPr>
          <w:rFonts w:ascii="Arial" w:hAnsi="Arial" w:cs="Arial"/>
          <w:color w:val="000000"/>
          <w:spacing w:val="-4"/>
          <w:sz w:val="20"/>
          <w:szCs w:val="20"/>
        </w:rPr>
        <w:t xml:space="preserve"> of interest rates in the market.</w:t>
      </w:r>
      <w:r w:rsidRPr="002D2F67">
        <w:rPr>
          <w:rFonts w:ascii="Arial" w:hAnsi="Arial" w:cs="Arial"/>
          <w:color w:val="000000"/>
          <w:spacing w:val="-2"/>
          <w:sz w:val="20"/>
          <w:szCs w:val="20"/>
        </w:rPr>
        <w:t xml:space="preserve"> </w:t>
      </w:r>
      <w:r w:rsidRPr="002D2F67">
        <w:rPr>
          <w:rFonts w:ascii="Arial" w:hAnsi="Arial" w:cs="Arial"/>
          <w:color w:val="000000"/>
          <w:spacing w:val="-4"/>
          <w:sz w:val="20"/>
          <w:szCs w:val="20"/>
        </w:rPr>
        <w:t xml:space="preserve">The Group allocates its debt portfolio </w:t>
      </w:r>
      <w:r w:rsidR="00BA312C" w:rsidRPr="002D2F67">
        <w:rPr>
          <w:rFonts w:ascii="Arial" w:hAnsi="Arial" w:cs="Arial"/>
          <w:color w:val="000000"/>
          <w:spacing w:val="-4"/>
          <w:sz w:val="20"/>
          <w:szCs w:val="20"/>
        </w:rPr>
        <w:t>to</w:t>
      </w:r>
      <w:r w:rsidRPr="002D2F67">
        <w:rPr>
          <w:rFonts w:ascii="Arial" w:hAnsi="Arial" w:cs="Arial"/>
          <w:color w:val="000000"/>
          <w:spacing w:val="-4"/>
          <w:sz w:val="20"/>
          <w:szCs w:val="20"/>
        </w:rPr>
        <w:t xml:space="preserve"> either short-</w:t>
      </w:r>
      <w:r w:rsidR="001735E8" w:rsidRPr="002D2F67">
        <w:rPr>
          <w:rFonts w:ascii="Arial" w:hAnsi="Arial" w:cs="Arial"/>
          <w:color w:val="000000"/>
          <w:spacing w:val="-4"/>
          <w:sz w:val="20"/>
          <w:szCs w:val="20"/>
        </w:rPr>
        <w:t>term</w:t>
      </w:r>
      <w:r w:rsidRPr="002D2F67">
        <w:rPr>
          <w:rFonts w:ascii="Arial" w:hAnsi="Arial" w:cs="Arial"/>
          <w:color w:val="000000"/>
          <w:spacing w:val="-4"/>
          <w:sz w:val="20"/>
          <w:szCs w:val="20"/>
        </w:rPr>
        <w:t xml:space="preserve"> and long-term borrowings with fixed and floating</w:t>
      </w:r>
      <w:r w:rsidRPr="002D2F67">
        <w:rPr>
          <w:rFonts w:ascii="Arial" w:hAnsi="Arial" w:cs="Arial"/>
          <w:color w:val="000000"/>
          <w:spacing w:val="-2"/>
          <w:sz w:val="20"/>
          <w:szCs w:val="20"/>
        </w:rPr>
        <w:t xml:space="preserve"> </w:t>
      </w:r>
      <w:r w:rsidRPr="002D2F67">
        <w:rPr>
          <w:rFonts w:ascii="Arial" w:hAnsi="Arial" w:cs="Arial"/>
          <w:color w:val="000000"/>
          <w:sz w:val="20"/>
          <w:szCs w:val="20"/>
        </w:rPr>
        <w:t xml:space="preserve">interest rates corresponding to their types of investments. The Group </w:t>
      </w:r>
      <w:r w:rsidR="00A02D93" w:rsidRPr="002D2F67">
        <w:rPr>
          <w:rFonts w:ascii="Arial" w:hAnsi="Arial" w:cs="Arial"/>
          <w:color w:val="000000"/>
          <w:sz w:val="20"/>
          <w:szCs w:val="20"/>
        </w:rPr>
        <w:t>par</w:t>
      </w:r>
      <w:r w:rsidR="00491B5B" w:rsidRPr="002D2F67">
        <w:rPr>
          <w:rFonts w:ascii="Arial" w:hAnsi="Arial" w:cs="Arial"/>
          <w:color w:val="000000"/>
          <w:sz w:val="20"/>
          <w:szCs w:val="20"/>
        </w:rPr>
        <w:t>tially</w:t>
      </w:r>
      <w:r w:rsidRPr="002D2F67">
        <w:rPr>
          <w:rFonts w:ascii="Arial" w:hAnsi="Arial" w:cs="Arial"/>
          <w:color w:val="000000"/>
          <w:sz w:val="20"/>
          <w:szCs w:val="20"/>
        </w:rPr>
        <w:t xml:space="preserve"> borrows and issues debentures with fixed interest rate to specify a certain amount of future cash outflows of the Group.</w:t>
      </w:r>
    </w:p>
    <w:p w14:paraId="23A7721A" w14:textId="77777777" w:rsidR="00955811" w:rsidRPr="002D2F67" w:rsidRDefault="00955811" w:rsidP="005611FE">
      <w:pPr>
        <w:ind w:left="540"/>
        <w:jc w:val="both"/>
        <w:rPr>
          <w:rFonts w:ascii="Arial" w:hAnsi="Arial" w:cs="Arial"/>
          <w:color w:val="000000"/>
          <w:sz w:val="20"/>
          <w:szCs w:val="20"/>
        </w:rPr>
      </w:pPr>
    </w:p>
    <w:p w14:paraId="2421EFE4" w14:textId="3FCBE3BF" w:rsidR="004168A4" w:rsidRPr="002D2F67" w:rsidRDefault="004168A4" w:rsidP="005611FE">
      <w:pPr>
        <w:ind w:left="540"/>
        <w:jc w:val="both"/>
        <w:rPr>
          <w:rFonts w:ascii="Arial" w:hAnsi="Arial" w:cs="Arial"/>
          <w:color w:val="000000"/>
          <w:sz w:val="20"/>
          <w:szCs w:val="20"/>
        </w:rPr>
      </w:pPr>
      <w:r w:rsidRPr="002D2F67">
        <w:rPr>
          <w:rFonts w:ascii="Arial" w:hAnsi="Arial" w:cs="Arial"/>
          <w:color w:val="000000"/>
          <w:spacing w:val="-4"/>
          <w:sz w:val="20"/>
          <w:szCs w:val="20"/>
        </w:rPr>
        <w:t xml:space="preserve">The interest rate exposure on the long-term loans from financial institutions </w:t>
      </w:r>
      <w:r w:rsidR="00054C86" w:rsidRPr="002D2F67">
        <w:rPr>
          <w:rFonts w:ascii="Arial" w:hAnsi="Arial" w:cs="Arial"/>
          <w:color w:val="000000"/>
          <w:spacing w:val="-4"/>
          <w:sz w:val="20"/>
          <w:szCs w:val="20"/>
        </w:rPr>
        <w:t xml:space="preserve">and debentures </w:t>
      </w:r>
      <w:r w:rsidRPr="002D2F67">
        <w:rPr>
          <w:rFonts w:ascii="Arial" w:hAnsi="Arial" w:cs="Arial"/>
          <w:color w:val="000000"/>
          <w:spacing w:val="-4"/>
          <w:sz w:val="20"/>
          <w:szCs w:val="20"/>
        </w:rPr>
        <w:t>of the Group</w:t>
      </w:r>
      <w:r w:rsidRPr="002D2F67">
        <w:rPr>
          <w:rFonts w:ascii="Arial" w:hAnsi="Arial" w:cs="Arial"/>
          <w:color w:val="000000"/>
          <w:sz w:val="20"/>
          <w:szCs w:val="20"/>
        </w:rPr>
        <w:t xml:space="preserve"> </w:t>
      </w:r>
      <w:r w:rsidR="005539BF">
        <w:rPr>
          <w:rFonts w:ascii="Arial" w:hAnsi="Arial" w:cs="Arial"/>
          <w:color w:val="000000"/>
          <w:sz w:val="20"/>
          <w:szCs w:val="20"/>
        </w:rPr>
        <w:t>were</w:t>
      </w:r>
      <w:r w:rsidRPr="002D2F67">
        <w:rPr>
          <w:rFonts w:ascii="Arial" w:hAnsi="Arial" w:cs="Arial"/>
          <w:color w:val="000000"/>
          <w:sz w:val="20"/>
          <w:szCs w:val="20"/>
        </w:rPr>
        <w:t xml:space="preserve"> as follows:</w:t>
      </w:r>
    </w:p>
    <w:p w14:paraId="4CE9CE8B" w14:textId="77777777" w:rsidR="00A33983" w:rsidRPr="002D2F67" w:rsidRDefault="00A33983" w:rsidP="005611FE">
      <w:pPr>
        <w:ind w:left="540"/>
        <w:jc w:val="both"/>
        <w:rPr>
          <w:rFonts w:ascii="Arial" w:hAnsi="Arial" w:cs="Arial"/>
          <w:b/>
          <w:bCs/>
          <w:color w:val="000000"/>
          <w:sz w:val="20"/>
          <w:szCs w:val="20"/>
        </w:rPr>
      </w:pPr>
    </w:p>
    <w:tbl>
      <w:tblPr>
        <w:tblW w:w="9461" w:type="dxa"/>
        <w:tblInd w:w="108" w:type="dxa"/>
        <w:tblLayout w:type="fixed"/>
        <w:tblLook w:val="0000" w:firstRow="0" w:lastRow="0" w:firstColumn="0" w:lastColumn="0" w:noHBand="0" w:noVBand="0"/>
      </w:tblPr>
      <w:tblGrid>
        <w:gridCol w:w="3989"/>
        <w:gridCol w:w="1368"/>
        <w:gridCol w:w="1368"/>
        <w:gridCol w:w="1368"/>
        <w:gridCol w:w="1368"/>
      </w:tblGrid>
      <w:tr w:rsidR="004168A4" w:rsidRPr="002D2F67" w14:paraId="34CDD602" w14:textId="77777777" w:rsidTr="4A0317FF">
        <w:trPr>
          <w:cantSplit/>
        </w:trPr>
        <w:tc>
          <w:tcPr>
            <w:tcW w:w="3989" w:type="dxa"/>
            <w:shd w:val="clear" w:color="auto" w:fill="auto"/>
          </w:tcPr>
          <w:p w14:paraId="44FCC17D" w14:textId="77777777" w:rsidR="004168A4" w:rsidRPr="002D2F67" w:rsidRDefault="004168A4" w:rsidP="005611FE">
            <w:pPr>
              <w:ind w:left="432"/>
              <w:rPr>
                <w:rFonts w:ascii="Arial" w:hAnsi="Arial" w:cs="Arial"/>
                <w:b/>
                <w:bCs/>
                <w:color w:val="000000"/>
                <w:sz w:val="20"/>
                <w:szCs w:val="20"/>
              </w:rPr>
            </w:pPr>
          </w:p>
        </w:tc>
        <w:tc>
          <w:tcPr>
            <w:tcW w:w="2736" w:type="dxa"/>
            <w:gridSpan w:val="2"/>
            <w:tcBorders>
              <w:bottom w:val="single" w:sz="4" w:space="0" w:color="auto"/>
            </w:tcBorders>
            <w:shd w:val="clear" w:color="auto" w:fill="auto"/>
          </w:tcPr>
          <w:p w14:paraId="2F97B313" w14:textId="5EBBA80F" w:rsidR="0050601D" w:rsidRPr="002D2F67" w:rsidRDefault="004168A4" w:rsidP="005611FE">
            <w:pPr>
              <w:ind w:right="-72"/>
              <w:jc w:val="right"/>
              <w:rPr>
                <w:rFonts w:ascii="Arial" w:hAnsi="Arial" w:cs="Arial"/>
                <w:b/>
                <w:bCs/>
                <w:color w:val="000000"/>
                <w:sz w:val="20"/>
                <w:szCs w:val="20"/>
              </w:rPr>
            </w:pPr>
            <w:r w:rsidRPr="002D2F67">
              <w:rPr>
                <w:rFonts w:ascii="Arial" w:hAnsi="Arial" w:cs="Arial"/>
                <w:b/>
                <w:bCs/>
                <w:color w:val="000000"/>
                <w:sz w:val="20"/>
                <w:szCs w:val="20"/>
              </w:rPr>
              <w:t>Consolidated</w:t>
            </w:r>
            <w:r w:rsidR="0050601D" w:rsidRPr="002D2F67">
              <w:rPr>
                <w:rFonts w:ascii="Arial" w:hAnsi="Arial" w:cs="Arial"/>
                <w:b/>
                <w:bCs/>
                <w:color w:val="000000"/>
                <w:sz w:val="20"/>
                <w:szCs w:val="20"/>
              </w:rPr>
              <w:t xml:space="preserve"> </w:t>
            </w:r>
          </w:p>
          <w:p w14:paraId="69BDB17F" w14:textId="77777777" w:rsidR="004168A4" w:rsidRPr="002D2F67" w:rsidRDefault="0050601D" w:rsidP="005611FE">
            <w:pPr>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2736" w:type="dxa"/>
            <w:gridSpan w:val="2"/>
            <w:tcBorders>
              <w:bottom w:val="single" w:sz="4" w:space="0" w:color="auto"/>
            </w:tcBorders>
            <w:shd w:val="clear" w:color="auto" w:fill="auto"/>
          </w:tcPr>
          <w:p w14:paraId="2D4F4DEC" w14:textId="77777777" w:rsidR="004168A4" w:rsidRPr="002D2F67" w:rsidRDefault="004168A4" w:rsidP="005611FE">
            <w:pPr>
              <w:ind w:right="-72"/>
              <w:jc w:val="right"/>
              <w:rPr>
                <w:rFonts w:ascii="Arial" w:hAnsi="Arial" w:cs="Arial"/>
                <w:b/>
                <w:bCs/>
                <w:color w:val="000000"/>
                <w:sz w:val="20"/>
                <w:szCs w:val="20"/>
              </w:rPr>
            </w:pPr>
            <w:r w:rsidRPr="002D2F67">
              <w:rPr>
                <w:rFonts w:ascii="Arial" w:hAnsi="Arial" w:cs="Arial"/>
                <w:b/>
                <w:bCs/>
                <w:color w:val="000000"/>
                <w:sz w:val="20"/>
                <w:szCs w:val="20"/>
              </w:rPr>
              <w:t>Separate</w:t>
            </w:r>
          </w:p>
          <w:p w14:paraId="566D2914" w14:textId="67A7C3D1" w:rsidR="0050601D" w:rsidRPr="002D2F67" w:rsidRDefault="00A6381D" w:rsidP="005611FE">
            <w:pPr>
              <w:ind w:right="-72"/>
              <w:jc w:val="right"/>
              <w:rPr>
                <w:rFonts w:ascii="Arial" w:hAnsi="Arial" w:cs="Arial"/>
                <w:b/>
                <w:bCs/>
                <w:color w:val="000000"/>
                <w:sz w:val="20"/>
                <w:szCs w:val="20"/>
              </w:rPr>
            </w:pPr>
            <w:r w:rsidRPr="002D2F67">
              <w:rPr>
                <w:rFonts w:ascii="Arial" w:hAnsi="Arial" w:cs="Arial"/>
                <w:b/>
                <w:bCs/>
                <w:color w:val="000000"/>
                <w:sz w:val="20"/>
                <w:szCs w:val="20"/>
              </w:rPr>
              <w:t>f</w:t>
            </w:r>
            <w:r w:rsidR="007F1766" w:rsidRPr="002D2F67">
              <w:rPr>
                <w:rFonts w:ascii="Arial" w:hAnsi="Arial" w:cs="Arial"/>
                <w:b/>
                <w:bCs/>
                <w:color w:val="000000"/>
                <w:sz w:val="20"/>
                <w:szCs w:val="20"/>
              </w:rPr>
              <w:t>inancial statements</w:t>
            </w:r>
          </w:p>
        </w:tc>
      </w:tr>
      <w:tr w:rsidR="00806180" w:rsidRPr="002D2F67" w14:paraId="1389640C" w14:textId="77777777" w:rsidTr="4A0317FF">
        <w:tc>
          <w:tcPr>
            <w:tcW w:w="3989" w:type="dxa"/>
            <w:shd w:val="clear" w:color="auto" w:fill="auto"/>
          </w:tcPr>
          <w:p w14:paraId="5797DA39" w14:textId="77777777" w:rsidR="00806180" w:rsidRPr="002D2F67" w:rsidRDefault="00806180" w:rsidP="005611FE">
            <w:pPr>
              <w:ind w:left="432"/>
              <w:rPr>
                <w:rFonts w:ascii="Arial" w:hAnsi="Arial" w:cs="Arial"/>
                <w:b/>
                <w:bCs/>
                <w:color w:val="000000"/>
                <w:sz w:val="20"/>
                <w:szCs w:val="20"/>
              </w:rPr>
            </w:pPr>
          </w:p>
        </w:tc>
        <w:tc>
          <w:tcPr>
            <w:tcW w:w="1368" w:type="dxa"/>
            <w:shd w:val="clear" w:color="auto" w:fill="auto"/>
          </w:tcPr>
          <w:p w14:paraId="779BB231" w14:textId="5AD4E47F" w:rsidR="00806180" w:rsidRPr="002D2F67" w:rsidRDefault="00CD5714" w:rsidP="005611FE">
            <w:pPr>
              <w:ind w:right="-72"/>
              <w:jc w:val="right"/>
              <w:rPr>
                <w:rFonts w:ascii="Arial" w:hAnsi="Arial" w:cs="Arial"/>
                <w:b/>
                <w:bCs/>
                <w:color w:val="000000"/>
                <w:sz w:val="20"/>
                <w:szCs w:val="20"/>
              </w:rPr>
            </w:pPr>
            <w:r w:rsidRPr="00CD5714">
              <w:rPr>
                <w:rFonts w:ascii="Arial" w:eastAsia="Arial Unicode MS" w:hAnsi="Arial" w:cs="Arial"/>
                <w:b/>
                <w:bCs/>
                <w:color w:val="000000"/>
                <w:sz w:val="20"/>
                <w:szCs w:val="20"/>
                <w:lang w:val="en-GB"/>
              </w:rPr>
              <w:t>2024</w:t>
            </w:r>
          </w:p>
        </w:tc>
        <w:tc>
          <w:tcPr>
            <w:tcW w:w="1368" w:type="dxa"/>
            <w:shd w:val="clear" w:color="auto" w:fill="auto"/>
          </w:tcPr>
          <w:p w14:paraId="2B0FFAD0" w14:textId="09585540" w:rsidR="00806180" w:rsidRPr="002D2F67" w:rsidRDefault="00CD5714" w:rsidP="005611FE">
            <w:pPr>
              <w:ind w:right="-72"/>
              <w:jc w:val="right"/>
              <w:rPr>
                <w:rFonts w:ascii="Arial" w:hAnsi="Arial" w:cs="Arial"/>
                <w:b/>
                <w:bCs/>
                <w:color w:val="000000"/>
                <w:sz w:val="20"/>
                <w:szCs w:val="20"/>
              </w:rPr>
            </w:pPr>
            <w:r w:rsidRPr="00CD5714">
              <w:rPr>
                <w:rFonts w:ascii="Arial" w:eastAsia="Arial Unicode MS" w:hAnsi="Arial" w:cs="Arial"/>
                <w:b/>
                <w:bCs/>
                <w:color w:val="000000"/>
                <w:sz w:val="20"/>
                <w:szCs w:val="20"/>
                <w:lang w:val="en-GB"/>
              </w:rPr>
              <w:t>2023</w:t>
            </w:r>
          </w:p>
        </w:tc>
        <w:tc>
          <w:tcPr>
            <w:tcW w:w="1368" w:type="dxa"/>
            <w:shd w:val="clear" w:color="auto" w:fill="auto"/>
          </w:tcPr>
          <w:p w14:paraId="1F15BE87" w14:textId="4EA75B74" w:rsidR="00806180" w:rsidRPr="002D2F67" w:rsidRDefault="00CD5714" w:rsidP="005611FE">
            <w:pPr>
              <w:ind w:right="-72"/>
              <w:jc w:val="right"/>
              <w:rPr>
                <w:rFonts w:ascii="Arial" w:hAnsi="Arial" w:cs="Arial"/>
                <w:b/>
                <w:bCs/>
                <w:color w:val="000000"/>
                <w:sz w:val="20"/>
                <w:szCs w:val="20"/>
              </w:rPr>
            </w:pPr>
            <w:r w:rsidRPr="00CD5714">
              <w:rPr>
                <w:rFonts w:ascii="Arial" w:eastAsia="Arial Unicode MS" w:hAnsi="Arial" w:cs="Arial"/>
                <w:b/>
                <w:bCs/>
                <w:color w:val="000000"/>
                <w:sz w:val="20"/>
                <w:szCs w:val="20"/>
                <w:lang w:val="en-GB"/>
              </w:rPr>
              <w:t>2024</w:t>
            </w:r>
          </w:p>
        </w:tc>
        <w:tc>
          <w:tcPr>
            <w:tcW w:w="1368" w:type="dxa"/>
            <w:shd w:val="clear" w:color="auto" w:fill="auto"/>
          </w:tcPr>
          <w:p w14:paraId="203B0707" w14:textId="3C6A0CF0" w:rsidR="00806180" w:rsidRPr="002D2F67" w:rsidRDefault="00CD5714" w:rsidP="005611FE">
            <w:pPr>
              <w:ind w:right="-72"/>
              <w:jc w:val="right"/>
              <w:rPr>
                <w:rFonts w:ascii="Arial" w:hAnsi="Arial" w:cs="Arial"/>
                <w:b/>
                <w:bCs/>
                <w:color w:val="000000"/>
                <w:sz w:val="20"/>
                <w:szCs w:val="20"/>
              </w:rPr>
            </w:pPr>
            <w:r w:rsidRPr="00CD5714">
              <w:rPr>
                <w:rFonts w:ascii="Arial" w:eastAsia="Arial Unicode MS" w:hAnsi="Arial" w:cs="Arial"/>
                <w:b/>
                <w:bCs/>
                <w:color w:val="000000"/>
                <w:sz w:val="20"/>
                <w:szCs w:val="20"/>
                <w:lang w:val="en-GB"/>
              </w:rPr>
              <w:t>2023</w:t>
            </w:r>
          </w:p>
        </w:tc>
      </w:tr>
      <w:tr w:rsidR="004168A4" w:rsidRPr="002D2F67" w14:paraId="0867F31C" w14:textId="77777777" w:rsidTr="4A0317FF">
        <w:tc>
          <w:tcPr>
            <w:tcW w:w="3989" w:type="dxa"/>
            <w:shd w:val="clear" w:color="auto" w:fill="auto"/>
          </w:tcPr>
          <w:p w14:paraId="18CFE54C" w14:textId="77777777" w:rsidR="004168A4" w:rsidRPr="002D2F67" w:rsidRDefault="004168A4" w:rsidP="005611FE">
            <w:pPr>
              <w:ind w:left="432"/>
              <w:rPr>
                <w:rFonts w:ascii="Arial" w:hAnsi="Arial" w:cs="Arial"/>
                <w:color w:val="000000"/>
                <w:sz w:val="20"/>
                <w:szCs w:val="20"/>
              </w:rPr>
            </w:pPr>
          </w:p>
        </w:tc>
        <w:tc>
          <w:tcPr>
            <w:tcW w:w="1368" w:type="dxa"/>
            <w:tcBorders>
              <w:bottom w:val="single" w:sz="4" w:space="0" w:color="auto"/>
            </w:tcBorders>
            <w:shd w:val="clear" w:color="auto" w:fill="auto"/>
          </w:tcPr>
          <w:p w14:paraId="7A9C4C47" w14:textId="77777777" w:rsidR="004168A4" w:rsidRPr="002D2F67" w:rsidRDefault="00F530CE"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Million </w:t>
            </w:r>
            <w:r w:rsidR="004168A4" w:rsidRPr="002D2F67">
              <w:rPr>
                <w:rFonts w:ascii="Arial" w:hAnsi="Arial" w:cs="Arial"/>
                <w:b/>
                <w:bCs/>
                <w:color w:val="000000"/>
                <w:sz w:val="20"/>
                <w:szCs w:val="20"/>
              </w:rPr>
              <w:t>Baht</w:t>
            </w:r>
          </w:p>
        </w:tc>
        <w:tc>
          <w:tcPr>
            <w:tcW w:w="1368" w:type="dxa"/>
            <w:tcBorders>
              <w:bottom w:val="single" w:sz="4" w:space="0" w:color="auto"/>
            </w:tcBorders>
            <w:shd w:val="clear" w:color="auto" w:fill="auto"/>
          </w:tcPr>
          <w:p w14:paraId="59273E6C" w14:textId="77777777" w:rsidR="004168A4" w:rsidRPr="002D2F67" w:rsidRDefault="00F530CE" w:rsidP="005611FE">
            <w:pPr>
              <w:ind w:right="-72"/>
              <w:jc w:val="right"/>
              <w:rPr>
                <w:rFonts w:ascii="Arial" w:hAnsi="Arial" w:cs="Arial"/>
                <w:b/>
                <w:bCs/>
                <w:color w:val="000000"/>
                <w:sz w:val="20"/>
                <w:szCs w:val="20"/>
              </w:rPr>
            </w:pPr>
            <w:r w:rsidRPr="002D2F67">
              <w:rPr>
                <w:rFonts w:ascii="Arial" w:hAnsi="Arial" w:cs="Arial"/>
                <w:b/>
                <w:bCs/>
                <w:color w:val="000000"/>
                <w:sz w:val="20"/>
                <w:szCs w:val="20"/>
              </w:rPr>
              <w:t>Million Baht</w:t>
            </w:r>
          </w:p>
        </w:tc>
        <w:tc>
          <w:tcPr>
            <w:tcW w:w="1368" w:type="dxa"/>
            <w:tcBorders>
              <w:bottom w:val="single" w:sz="4" w:space="0" w:color="auto"/>
            </w:tcBorders>
            <w:shd w:val="clear" w:color="auto" w:fill="auto"/>
          </w:tcPr>
          <w:p w14:paraId="51928E2C" w14:textId="77777777" w:rsidR="004168A4" w:rsidRPr="002D2F67" w:rsidRDefault="00F530CE" w:rsidP="005611FE">
            <w:pPr>
              <w:ind w:right="-72"/>
              <w:jc w:val="right"/>
              <w:rPr>
                <w:rFonts w:ascii="Arial" w:hAnsi="Arial" w:cs="Arial"/>
                <w:b/>
                <w:bCs/>
                <w:color w:val="000000"/>
                <w:sz w:val="20"/>
                <w:szCs w:val="20"/>
              </w:rPr>
            </w:pPr>
            <w:r w:rsidRPr="002D2F67">
              <w:rPr>
                <w:rFonts w:ascii="Arial" w:hAnsi="Arial" w:cs="Arial"/>
                <w:b/>
                <w:bCs/>
                <w:color w:val="000000"/>
                <w:sz w:val="20"/>
                <w:szCs w:val="20"/>
              </w:rPr>
              <w:t>Million Baht</w:t>
            </w:r>
          </w:p>
        </w:tc>
        <w:tc>
          <w:tcPr>
            <w:tcW w:w="1368" w:type="dxa"/>
            <w:tcBorders>
              <w:bottom w:val="single" w:sz="4" w:space="0" w:color="auto"/>
            </w:tcBorders>
            <w:shd w:val="clear" w:color="auto" w:fill="auto"/>
          </w:tcPr>
          <w:p w14:paraId="7E651F1F" w14:textId="77777777" w:rsidR="004168A4" w:rsidRPr="002D2F67" w:rsidRDefault="00F530CE" w:rsidP="005611FE">
            <w:pPr>
              <w:ind w:right="-72"/>
              <w:jc w:val="right"/>
              <w:rPr>
                <w:rFonts w:ascii="Arial" w:hAnsi="Arial" w:cs="Arial"/>
                <w:b/>
                <w:bCs/>
                <w:color w:val="000000"/>
                <w:sz w:val="20"/>
                <w:szCs w:val="20"/>
              </w:rPr>
            </w:pPr>
            <w:r w:rsidRPr="002D2F67">
              <w:rPr>
                <w:rFonts w:ascii="Arial" w:hAnsi="Arial" w:cs="Arial"/>
                <w:b/>
                <w:bCs/>
                <w:color w:val="000000"/>
                <w:sz w:val="20"/>
                <w:szCs w:val="20"/>
              </w:rPr>
              <w:t>Million Baht</w:t>
            </w:r>
          </w:p>
        </w:tc>
      </w:tr>
      <w:tr w:rsidR="004168A4" w:rsidRPr="002D2F67" w14:paraId="129544C9" w14:textId="77777777" w:rsidTr="4A0317FF">
        <w:tc>
          <w:tcPr>
            <w:tcW w:w="3989" w:type="dxa"/>
            <w:shd w:val="clear" w:color="auto" w:fill="auto"/>
          </w:tcPr>
          <w:p w14:paraId="16E61C9E" w14:textId="77777777" w:rsidR="004168A4" w:rsidRPr="002D2F67" w:rsidRDefault="004168A4" w:rsidP="005611FE">
            <w:pPr>
              <w:ind w:left="432"/>
              <w:rPr>
                <w:rFonts w:ascii="Arial" w:hAnsi="Arial" w:cs="Arial"/>
                <w:b/>
                <w:bCs/>
                <w:color w:val="000000"/>
                <w:sz w:val="20"/>
                <w:szCs w:val="20"/>
              </w:rPr>
            </w:pPr>
          </w:p>
        </w:tc>
        <w:tc>
          <w:tcPr>
            <w:tcW w:w="1368" w:type="dxa"/>
            <w:tcBorders>
              <w:top w:val="single" w:sz="4" w:space="0" w:color="auto"/>
            </w:tcBorders>
            <w:shd w:val="clear" w:color="auto" w:fill="auto"/>
          </w:tcPr>
          <w:p w14:paraId="14E489A8" w14:textId="77777777" w:rsidR="004168A4" w:rsidRPr="002D2F67" w:rsidRDefault="004168A4" w:rsidP="005611FE">
            <w:pPr>
              <w:ind w:right="-72"/>
              <w:rPr>
                <w:rFonts w:ascii="Arial" w:hAnsi="Arial" w:cs="Arial"/>
                <w:color w:val="000000"/>
                <w:sz w:val="20"/>
                <w:szCs w:val="20"/>
              </w:rPr>
            </w:pPr>
          </w:p>
        </w:tc>
        <w:tc>
          <w:tcPr>
            <w:tcW w:w="1368" w:type="dxa"/>
            <w:tcBorders>
              <w:top w:val="single" w:sz="4" w:space="0" w:color="auto"/>
            </w:tcBorders>
            <w:shd w:val="clear" w:color="auto" w:fill="auto"/>
          </w:tcPr>
          <w:p w14:paraId="1E81A49C" w14:textId="77777777" w:rsidR="004168A4" w:rsidRPr="002D2F67" w:rsidRDefault="004168A4" w:rsidP="005611FE">
            <w:pPr>
              <w:ind w:right="-72"/>
              <w:rPr>
                <w:rFonts w:ascii="Arial" w:hAnsi="Arial" w:cs="Arial"/>
                <w:color w:val="000000"/>
                <w:sz w:val="20"/>
                <w:szCs w:val="20"/>
              </w:rPr>
            </w:pPr>
          </w:p>
        </w:tc>
        <w:tc>
          <w:tcPr>
            <w:tcW w:w="1368" w:type="dxa"/>
            <w:tcBorders>
              <w:top w:val="single" w:sz="4" w:space="0" w:color="auto"/>
            </w:tcBorders>
            <w:shd w:val="clear" w:color="auto" w:fill="auto"/>
          </w:tcPr>
          <w:p w14:paraId="6E94BF73" w14:textId="77777777" w:rsidR="004168A4" w:rsidRPr="002D2F67" w:rsidRDefault="004168A4" w:rsidP="005611FE">
            <w:pPr>
              <w:ind w:right="-72"/>
              <w:rPr>
                <w:rFonts w:ascii="Arial" w:hAnsi="Arial" w:cs="Arial"/>
                <w:color w:val="000000"/>
                <w:sz w:val="20"/>
                <w:szCs w:val="20"/>
              </w:rPr>
            </w:pPr>
          </w:p>
        </w:tc>
        <w:tc>
          <w:tcPr>
            <w:tcW w:w="1368" w:type="dxa"/>
            <w:tcBorders>
              <w:top w:val="single" w:sz="4" w:space="0" w:color="auto"/>
            </w:tcBorders>
            <w:shd w:val="clear" w:color="auto" w:fill="auto"/>
          </w:tcPr>
          <w:p w14:paraId="5B818341" w14:textId="77777777" w:rsidR="004168A4" w:rsidRPr="002D2F67" w:rsidRDefault="004168A4" w:rsidP="005611FE">
            <w:pPr>
              <w:ind w:right="-72"/>
              <w:rPr>
                <w:rFonts w:ascii="Arial" w:hAnsi="Arial" w:cs="Arial"/>
                <w:color w:val="000000"/>
                <w:sz w:val="20"/>
                <w:szCs w:val="20"/>
              </w:rPr>
            </w:pPr>
          </w:p>
        </w:tc>
      </w:tr>
      <w:tr w:rsidR="004168A4" w:rsidRPr="002D2F67" w14:paraId="0A8E7F9B" w14:textId="77777777" w:rsidTr="4A0317FF">
        <w:tc>
          <w:tcPr>
            <w:tcW w:w="3989" w:type="dxa"/>
            <w:shd w:val="clear" w:color="auto" w:fill="auto"/>
            <w:vAlign w:val="bottom"/>
          </w:tcPr>
          <w:p w14:paraId="037C8347" w14:textId="77777777" w:rsidR="004168A4" w:rsidRPr="002D2F67" w:rsidRDefault="004168A4" w:rsidP="005611FE">
            <w:pPr>
              <w:ind w:left="432"/>
              <w:rPr>
                <w:rFonts w:ascii="Arial" w:hAnsi="Arial" w:cs="Arial"/>
                <w:color w:val="000000"/>
                <w:sz w:val="20"/>
                <w:szCs w:val="20"/>
              </w:rPr>
            </w:pPr>
            <w:r w:rsidRPr="002D2F67">
              <w:rPr>
                <w:rFonts w:ascii="Arial" w:hAnsi="Arial" w:cs="Arial"/>
                <w:color w:val="000000"/>
                <w:sz w:val="20"/>
                <w:szCs w:val="20"/>
              </w:rPr>
              <w:t>Long-term loans from</w:t>
            </w:r>
          </w:p>
        </w:tc>
        <w:tc>
          <w:tcPr>
            <w:tcW w:w="1368" w:type="dxa"/>
            <w:shd w:val="clear" w:color="auto" w:fill="auto"/>
          </w:tcPr>
          <w:p w14:paraId="5AC4ED5E" w14:textId="77777777" w:rsidR="004168A4" w:rsidRPr="002D2F67" w:rsidRDefault="004168A4" w:rsidP="005611FE">
            <w:pPr>
              <w:ind w:right="-72"/>
              <w:jc w:val="right"/>
              <w:rPr>
                <w:rFonts w:ascii="Arial" w:hAnsi="Arial" w:cs="Arial"/>
                <w:color w:val="000000"/>
                <w:sz w:val="20"/>
                <w:szCs w:val="20"/>
              </w:rPr>
            </w:pPr>
          </w:p>
        </w:tc>
        <w:tc>
          <w:tcPr>
            <w:tcW w:w="1368" w:type="dxa"/>
            <w:shd w:val="clear" w:color="auto" w:fill="auto"/>
          </w:tcPr>
          <w:p w14:paraId="4FD3204A" w14:textId="77777777" w:rsidR="004168A4" w:rsidRPr="002D2F67" w:rsidRDefault="004168A4" w:rsidP="005611FE">
            <w:pPr>
              <w:ind w:right="-72"/>
              <w:jc w:val="right"/>
              <w:rPr>
                <w:rFonts w:ascii="Arial" w:hAnsi="Arial" w:cs="Arial"/>
                <w:color w:val="000000"/>
                <w:sz w:val="20"/>
                <w:szCs w:val="20"/>
              </w:rPr>
            </w:pPr>
          </w:p>
        </w:tc>
        <w:tc>
          <w:tcPr>
            <w:tcW w:w="1368" w:type="dxa"/>
            <w:shd w:val="clear" w:color="auto" w:fill="auto"/>
          </w:tcPr>
          <w:p w14:paraId="718A9B5C" w14:textId="77777777" w:rsidR="004168A4" w:rsidRPr="002D2F67" w:rsidRDefault="004168A4" w:rsidP="005611FE">
            <w:pPr>
              <w:ind w:right="-72"/>
              <w:jc w:val="right"/>
              <w:rPr>
                <w:rFonts w:ascii="Arial" w:hAnsi="Arial" w:cs="Arial"/>
                <w:color w:val="000000"/>
                <w:sz w:val="20"/>
                <w:szCs w:val="20"/>
              </w:rPr>
            </w:pPr>
          </w:p>
        </w:tc>
        <w:tc>
          <w:tcPr>
            <w:tcW w:w="1368" w:type="dxa"/>
            <w:shd w:val="clear" w:color="auto" w:fill="auto"/>
            <w:vAlign w:val="bottom"/>
          </w:tcPr>
          <w:p w14:paraId="6D770883" w14:textId="77777777" w:rsidR="004168A4" w:rsidRPr="002D2F67" w:rsidRDefault="004168A4" w:rsidP="005611FE">
            <w:pPr>
              <w:ind w:right="-72"/>
              <w:jc w:val="right"/>
              <w:rPr>
                <w:rFonts w:ascii="Arial" w:hAnsi="Arial" w:cs="Arial"/>
                <w:color w:val="000000"/>
                <w:sz w:val="20"/>
                <w:szCs w:val="20"/>
              </w:rPr>
            </w:pPr>
          </w:p>
        </w:tc>
      </w:tr>
      <w:tr w:rsidR="004168A4" w:rsidRPr="002D2F67" w14:paraId="438A9AF8" w14:textId="77777777" w:rsidTr="4A0317FF">
        <w:tc>
          <w:tcPr>
            <w:tcW w:w="3989" w:type="dxa"/>
            <w:shd w:val="clear" w:color="auto" w:fill="auto"/>
            <w:vAlign w:val="bottom"/>
          </w:tcPr>
          <w:p w14:paraId="17C21415" w14:textId="77777777" w:rsidR="004168A4" w:rsidRPr="002D2F67" w:rsidRDefault="004168A4" w:rsidP="005611FE">
            <w:pPr>
              <w:ind w:left="432"/>
              <w:rPr>
                <w:rFonts w:ascii="Arial" w:hAnsi="Arial" w:cs="Arial"/>
                <w:color w:val="000000"/>
                <w:sz w:val="20"/>
                <w:szCs w:val="20"/>
              </w:rPr>
            </w:pPr>
            <w:r w:rsidRPr="002D2F67">
              <w:rPr>
                <w:rFonts w:ascii="Arial" w:hAnsi="Arial" w:cs="Arial"/>
                <w:color w:val="000000"/>
                <w:sz w:val="20"/>
                <w:szCs w:val="20"/>
              </w:rPr>
              <w:t xml:space="preserve">   financial institutions</w:t>
            </w:r>
            <w:r w:rsidR="00B91BBE" w:rsidRPr="002D2F67">
              <w:rPr>
                <w:rFonts w:ascii="Arial" w:hAnsi="Arial" w:cs="Arial"/>
                <w:color w:val="000000"/>
                <w:sz w:val="20"/>
                <w:szCs w:val="20"/>
              </w:rPr>
              <w:t>, net</w:t>
            </w:r>
          </w:p>
        </w:tc>
        <w:tc>
          <w:tcPr>
            <w:tcW w:w="1368" w:type="dxa"/>
            <w:shd w:val="clear" w:color="auto" w:fill="auto"/>
          </w:tcPr>
          <w:p w14:paraId="0B893B01" w14:textId="77777777" w:rsidR="004168A4" w:rsidRPr="002D2F67" w:rsidRDefault="004168A4" w:rsidP="005611FE">
            <w:pPr>
              <w:ind w:right="-72"/>
              <w:jc w:val="right"/>
              <w:rPr>
                <w:rFonts w:ascii="Arial" w:hAnsi="Arial" w:cs="Arial"/>
                <w:color w:val="000000"/>
                <w:sz w:val="20"/>
                <w:szCs w:val="20"/>
              </w:rPr>
            </w:pPr>
          </w:p>
        </w:tc>
        <w:tc>
          <w:tcPr>
            <w:tcW w:w="1368" w:type="dxa"/>
            <w:shd w:val="clear" w:color="auto" w:fill="auto"/>
          </w:tcPr>
          <w:p w14:paraId="2AA952E2" w14:textId="77777777" w:rsidR="004168A4" w:rsidRPr="002D2F67" w:rsidRDefault="004168A4" w:rsidP="005611FE">
            <w:pPr>
              <w:ind w:right="-72"/>
              <w:jc w:val="right"/>
              <w:rPr>
                <w:rFonts w:ascii="Arial" w:hAnsi="Arial" w:cs="Arial"/>
                <w:color w:val="000000"/>
                <w:sz w:val="20"/>
                <w:szCs w:val="20"/>
              </w:rPr>
            </w:pPr>
          </w:p>
        </w:tc>
        <w:tc>
          <w:tcPr>
            <w:tcW w:w="1368" w:type="dxa"/>
            <w:shd w:val="clear" w:color="auto" w:fill="auto"/>
          </w:tcPr>
          <w:p w14:paraId="3CDD6073" w14:textId="77777777" w:rsidR="004168A4" w:rsidRPr="002D2F67" w:rsidRDefault="004168A4" w:rsidP="005611FE">
            <w:pPr>
              <w:ind w:right="-72"/>
              <w:jc w:val="right"/>
              <w:rPr>
                <w:rFonts w:ascii="Arial" w:hAnsi="Arial" w:cs="Arial"/>
                <w:color w:val="000000"/>
                <w:sz w:val="20"/>
                <w:szCs w:val="20"/>
              </w:rPr>
            </w:pPr>
          </w:p>
        </w:tc>
        <w:tc>
          <w:tcPr>
            <w:tcW w:w="1368" w:type="dxa"/>
            <w:shd w:val="clear" w:color="auto" w:fill="auto"/>
          </w:tcPr>
          <w:p w14:paraId="13C9E609" w14:textId="77777777" w:rsidR="004168A4" w:rsidRPr="002D2F67" w:rsidRDefault="004168A4" w:rsidP="005611FE">
            <w:pPr>
              <w:ind w:right="-72"/>
              <w:jc w:val="right"/>
              <w:rPr>
                <w:rFonts w:ascii="Arial" w:hAnsi="Arial" w:cs="Arial"/>
                <w:color w:val="000000"/>
                <w:sz w:val="20"/>
                <w:szCs w:val="20"/>
              </w:rPr>
            </w:pPr>
          </w:p>
        </w:tc>
      </w:tr>
      <w:tr w:rsidR="0090114F" w:rsidRPr="002D2F67" w14:paraId="6C96551A" w14:textId="77777777" w:rsidTr="4A0317FF">
        <w:tc>
          <w:tcPr>
            <w:tcW w:w="3989" w:type="dxa"/>
            <w:shd w:val="clear" w:color="auto" w:fill="auto"/>
            <w:vAlign w:val="bottom"/>
          </w:tcPr>
          <w:p w14:paraId="376802AC" w14:textId="77777777" w:rsidR="0090114F" w:rsidRPr="002D2F67" w:rsidRDefault="0090114F" w:rsidP="0090114F">
            <w:pPr>
              <w:ind w:left="432"/>
              <w:rPr>
                <w:rFonts w:ascii="Arial" w:hAnsi="Arial" w:cs="Arial"/>
                <w:color w:val="000000"/>
                <w:sz w:val="20"/>
                <w:szCs w:val="20"/>
              </w:rPr>
            </w:pPr>
            <w:r w:rsidRPr="002D2F67">
              <w:rPr>
                <w:rFonts w:ascii="Arial" w:hAnsi="Arial" w:cs="Arial"/>
                <w:color w:val="000000"/>
                <w:sz w:val="20"/>
                <w:szCs w:val="20"/>
              </w:rPr>
              <w:t xml:space="preserve">   - at fixed rates</w:t>
            </w:r>
          </w:p>
        </w:tc>
        <w:tc>
          <w:tcPr>
            <w:tcW w:w="1368" w:type="dxa"/>
            <w:shd w:val="clear" w:color="auto" w:fill="auto"/>
          </w:tcPr>
          <w:p w14:paraId="2C3B4D83" w14:textId="44317922" w:rsidR="0090114F" w:rsidRPr="002D2F67" w:rsidRDefault="00CD5714" w:rsidP="0090114F">
            <w:pPr>
              <w:ind w:right="-72"/>
              <w:jc w:val="right"/>
              <w:rPr>
                <w:rFonts w:ascii="Arial" w:hAnsi="Arial" w:cs="Arial"/>
                <w:color w:val="000000"/>
                <w:sz w:val="20"/>
                <w:szCs w:val="20"/>
                <w:lang w:val="en-GB"/>
              </w:rPr>
            </w:pPr>
            <w:r w:rsidRPr="00CD5714">
              <w:rPr>
                <w:rFonts w:ascii="Arial" w:hAnsi="Arial" w:cs="Arial"/>
                <w:color w:val="000000"/>
                <w:sz w:val="20"/>
                <w:szCs w:val="20"/>
                <w:lang w:val="en-GB"/>
              </w:rPr>
              <w:t>10</w:t>
            </w:r>
            <w:r w:rsidR="00BC1572" w:rsidRPr="002D2F67">
              <w:rPr>
                <w:rFonts w:ascii="Arial" w:hAnsi="Arial" w:cs="Arial"/>
                <w:color w:val="000000"/>
                <w:sz w:val="20"/>
                <w:szCs w:val="20"/>
                <w:lang w:val="en-GB"/>
              </w:rPr>
              <w:t>,</w:t>
            </w:r>
            <w:r w:rsidRPr="00CD5714">
              <w:rPr>
                <w:rFonts w:ascii="Arial" w:hAnsi="Arial" w:cs="Arial"/>
                <w:color w:val="000000"/>
                <w:sz w:val="20"/>
                <w:szCs w:val="20"/>
                <w:lang w:val="en-GB"/>
              </w:rPr>
              <w:t>992</w:t>
            </w:r>
          </w:p>
        </w:tc>
        <w:tc>
          <w:tcPr>
            <w:tcW w:w="1368" w:type="dxa"/>
            <w:shd w:val="clear" w:color="auto" w:fill="auto"/>
          </w:tcPr>
          <w:p w14:paraId="7A1969F0" w14:textId="7745A5E0" w:rsidR="0090114F" w:rsidRPr="002D2F67" w:rsidRDefault="00CD5714" w:rsidP="0090114F">
            <w:pPr>
              <w:ind w:right="-72"/>
              <w:jc w:val="right"/>
              <w:rPr>
                <w:rFonts w:ascii="Arial" w:hAnsi="Arial" w:cs="Arial"/>
                <w:color w:val="000000"/>
                <w:sz w:val="20"/>
                <w:szCs w:val="20"/>
              </w:rPr>
            </w:pPr>
            <w:r w:rsidRPr="00CD5714">
              <w:rPr>
                <w:rFonts w:ascii="Arial" w:hAnsi="Arial" w:cs="Arial"/>
                <w:color w:val="000000"/>
                <w:sz w:val="20"/>
                <w:szCs w:val="20"/>
                <w:lang w:val="en-GB"/>
              </w:rPr>
              <w:t>2</w:t>
            </w:r>
            <w:r w:rsidR="0090114F" w:rsidRPr="002D2F67">
              <w:rPr>
                <w:rFonts w:ascii="Arial" w:hAnsi="Arial" w:cs="Arial"/>
                <w:color w:val="000000"/>
                <w:sz w:val="20"/>
                <w:szCs w:val="20"/>
              </w:rPr>
              <w:t>,</w:t>
            </w:r>
            <w:r w:rsidRPr="00CD5714">
              <w:rPr>
                <w:rFonts w:ascii="Arial" w:hAnsi="Arial" w:cs="Arial"/>
                <w:color w:val="000000"/>
                <w:sz w:val="20"/>
                <w:szCs w:val="20"/>
                <w:lang w:val="en-GB"/>
              </w:rPr>
              <w:t>220</w:t>
            </w:r>
          </w:p>
        </w:tc>
        <w:tc>
          <w:tcPr>
            <w:tcW w:w="1368" w:type="dxa"/>
            <w:shd w:val="clear" w:color="auto" w:fill="auto"/>
          </w:tcPr>
          <w:p w14:paraId="3C0203BD" w14:textId="7092CCEA" w:rsidR="0090114F" w:rsidRPr="002D2F67" w:rsidRDefault="00CD5714" w:rsidP="0090114F">
            <w:pPr>
              <w:ind w:right="-72"/>
              <w:jc w:val="right"/>
              <w:rPr>
                <w:rFonts w:ascii="Arial" w:hAnsi="Arial" w:cs="Arial"/>
                <w:color w:val="000000"/>
                <w:sz w:val="20"/>
                <w:szCs w:val="20"/>
              </w:rPr>
            </w:pPr>
            <w:r w:rsidRPr="00CD5714">
              <w:rPr>
                <w:rFonts w:ascii="Arial" w:hAnsi="Arial" w:cs="Arial"/>
                <w:color w:val="000000"/>
                <w:sz w:val="20"/>
                <w:szCs w:val="20"/>
                <w:lang w:val="en-GB"/>
              </w:rPr>
              <w:t>4</w:t>
            </w:r>
            <w:r w:rsidR="0090114F" w:rsidRPr="002D2F67">
              <w:rPr>
                <w:rFonts w:ascii="Arial" w:hAnsi="Arial" w:cs="Arial"/>
                <w:color w:val="000000"/>
                <w:sz w:val="20"/>
                <w:szCs w:val="20"/>
              </w:rPr>
              <w:t>,</w:t>
            </w:r>
            <w:r w:rsidRPr="00CD5714">
              <w:rPr>
                <w:rFonts w:ascii="Arial" w:hAnsi="Arial" w:cs="Arial"/>
                <w:color w:val="000000"/>
                <w:sz w:val="20"/>
                <w:szCs w:val="20"/>
                <w:lang w:val="en-GB"/>
              </w:rPr>
              <w:t>039</w:t>
            </w:r>
          </w:p>
        </w:tc>
        <w:tc>
          <w:tcPr>
            <w:tcW w:w="1368" w:type="dxa"/>
            <w:shd w:val="clear" w:color="auto" w:fill="auto"/>
          </w:tcPr>
          <w:p w14:paraId="345644B3" w14:textId="3161154A" w:rsidR="0090114F" w:rsidRPr="002D2F67" w:rsidRDefault="00CD5714" w:rsidP="0090114F">
            <w:pPr>
              <w:ind w:right="-72"/>
              <w:jc w:val="right"/>
              <w:rPr>
                <w:rFonts w:ascii="Arial" w:hAnsi="Arial" w:cs="Arial"/>
                <w:color w:val="000000"/>
                <w:sz w:val="20"/>
                <w:szCs w:val="20"/>
              </w:rPr>
            </w:pPr>
            <w:r w:rsidRPr="00CD5714">
              <w:rPr>
                <w:rFonts w:ascii="Arial" w:hAnsi="Arial" w:cs="Arial"/>
                <w:color w:val="000000"/>
                <w:sz w:val="20"/>
                <w:szCs w:val="20"/>
                <w:lang w:val="en-GB"/>
              </w:rPr>
              <w:t>2</w:t>
            </w:r>
            <w:r w:rsidR="0090114F" w:rsidRPr="002D2F67">
              <w:rPr>
                <w:rFonts w:ascii="Arial" w:hAnsi="Arial" w:cs="Arial"/>
                <w:color w:val="000000"/>
                <w:sz w:val="20"/>
                <w:szCs w:val="20"/>
              </w:rPr>
              <w:t>,</w:t>
            </w:r>
            <w:r w:rsidRPr="00CD5714">
              <w:rPr>
                <w:rFonts w:ascii="Arial" w:hAnsi="Arial" w:cs="Arial"/>
                <w:color w:val="000000"/>
                <w:sz w:val="20"/>
                <w:szCs w:val="20"/>
                <w:lang w:val="en-GB"/>
              </w:rPr>
              <w:t>174</w:t>
            </w:r>
          </w:p>
        </w:tc>
      </w:tr>
      <w:tr w:rsidR="0090114F" w:rsidRPr="002D2F67" w14:paraId="3B73DD0C" w14:textId="77777777" w:rsidTr="4A0317FF">
        <w:tc>
          <w:tcPr>
            <w:tcW w:w="3989" w:type="dxa"/>
            <w:shd w:val="clear" w:color="auto" w:fill="auto"/>
            <w:vAlign w:val="bottom"/>
          </w:tcPr>
          <w:p w14:paraId="5E4BAA9F" w14:textId="77777777" w:rsidR="0090114F" w:rsidRPr="002D2F67" w:rsidRDefault="0090114F" w:rsidP="0090114F">
            <w:pPr>
              <w:ind w:left="432"/>
              <w:rPr>
                <w:rFonts w:ascii="Arial" w:hAnsi="Arial" w:cs="Arial"/>
                <w:color w:val="000000"/>
                <w:sz w:val="20"/>
                <w:szCs w:val="20"/>
              </w:rPr>
            </w:pPr>
            <w:r w:rsidRPr="002D2F67">
              <w:rPr>
                <w:rFonts w:ascii="Arial" w:hAnsi="Arial" w:cs="Arial"/>
                <w:color w:val="000000"/>
                <w:sz w:val="20"/>
                <w:szCs w:val="20"/>
              </w:rPr>
              <w:t xml:space="preserve">   - at floating rates</w:t>
            </w:r>
          </w:p>
        </w:tc>
        <w:tc>
          <w:tcPr>
            <w:tcW w:w="1368" w:type="dxa"/>
            <w:tcBorders>
              <w:bottom w:val="single" w:sz="4" w:space="0" w:color="auto"/>
            </w:tcBorders>
            <w:shd w:val="clear" w:color="auto" w:fill="auto"/>
          </w:tcPr>
          <w:p w14:paraId="17DD906C" w14:textId="3E5DC220" w:rsidR="0090114F" w:rsidRPr="002D2F67" w:rsidRDefault="00CD5714" w:rsidP="0090114F">
            <w:pPr>
              <w:ind w:right="-72"/>
              <w:jc w:val="right"/>
              <w:rPr>
                <w:rFonts w:ascii="Arial" w:hAnsi="Arial" w:cs="Arial"/>
                <w:color w:val="000000"/>
                <w:sz w:val="20"/>
                <w:szCs w:val="20"/>
              </w:rPr>
            </w:pPr>
            <w:r w:rsidRPr="00CD5714">
              <w:rPr>
                <w:rFonts w:ascii="Arial" w:hAnsi="Arial" w:cs="Arial"/>
                <w:color w:val="000000"/>
                <w:sz w:val="20"/>
                <w:szCs w:val="20"/>
                <w:lang w:val="en-GB"/>
              </w:rPr>
              <w:t>14</w:t>
            </w:r>
            <w:r w:rsidR="00BC1572" w:rsidRPr="002D2F67">
              <w:rPr>
                <w:rFonts w:ascii="Arial" w:hAnsi="Arial" w:cs="Arial"/>
                <w:color w:val="000000"/>
                <w:sz w:val="20"/>
                <w:szCs w:val="20"/>
              </w:rPr>
              <w:t>,</w:t>
            </w:r>
            <w:r w:rsidRPr="00CD5714">
              <w:rPr>
                <w:rFonts w:ascii="Arial" w:hAnsi="Arial" w:cs="Arial"/>
                <w:color w:val="000000"/>
                <w:sz w:val="20"/>
                <w:szCs w:val="20"/>
                <w:lang w:val="en-GB"/>
              </w:rPr>
              <w:t>668</w:t>
            </w:r>
          </w:p>
        </w:tc>
        <w:tc>
          <w:tcPr>
            <w:tcW w:w="1368" w:type="dxa"/>
            <w:tcBorders>
              <w:bottom w:val="single" w:sz="4" w:space="0" w:color="auto"/>
            </w:tcBorders>
            <w:shd w:val="clear" w:color="auto" w:fill="auto"/>
          </w:tcPr>
          <w:p w14:paraId="29FA3FF9" w14:textId="3EFF925C" w:rsidR="0090114F" w:rsidRPr="002D2F67" w:rsidRDefault="00CD5714" w:rsidP="0090114F">
            <w:pPr>
              <w:ind w:right="-72"/>
              <w:jc w:val="right"/>
              <w:rPr>
                <w:rFonts w:ascii="Arial" w:hAnsi="Arial" w:cs="Arial"/>
                <w:color w:val="000000"/>
                <w:sz w:val="20"/>
                <w:szCs w:val="20"/>
              </w:rPr>
            </w:pPr>
            <w:r w:rsidRPr="00CD5714">
              <w:rPr>
                <w:rFonts w:ascii="Arial" w:hAnsi="Arial" w:cs="Arial"/>
                <w:color w:val="000000"/>
                <w:sz w:val="20"/>
                <w:szCs w:val="20"/>
                <w:lang w:val="en-GB"/>
              </w:rPr>
              <w:t>20</w:t>
            </w:r>
            <w:r w:rsidR="0090114F" w:rsidRPr="002D2F67">
              <w:rPr>
                <w:rFonts w:ascii="Arial" w:hAnsi="Arial" w:cs="Arial"/>
                <w:color w:val="000000"/>
                <w:sz w:val="20"/>
                <w:szCs w:val="20"/>
              </w:rPr>
              <w:t>,</w:t>
            </w:r>
            <w:r w:rsidRPr="00CD5714">
              <w:rPr>
                <w:rFonts w:ascii="Arial" w:hAnsi="Arial" w:cs="Arial"/>
                <w:color w:val="000000"/>
                <w:sz w:val="20"/>
                <w:szCs w:val="20"/>
                <w:lang w:val="en-GB"/>
              </w:rPr>
              <w:t>654</w:t>
            </w:r>
          </w:p>
        </w:tc>
        <w:tc>
          <w:tcPr>
            <w:tcW w:w="1368" w:type="dxa"/>
            <w:tcBorders>
              <w:bottom w:val="single" w:sz="4" w:space="0" w:color="auto"/>
            </w:tcBorders>
            <w:shd w:val="clear" w:color="auto" w:fill="auto"/>
          </w:tcPr>
          <w:p w14:paraId="00750AE7" w14:textId="7B337D0A" w:rsidR="0090114F" w:rsidRPr="002D2F67" w:rsidRDefault="00CD5714" w:rsidP="0090114F">
            <w:pPr>
              <w:ind w:right="-72"/>
              <w:jc w:val="right"/>
              <w:rPr>
                <w:rFonts w:ascii="Arial" w:hAnsi="Arial" w:cs="Arial"/>
                <w:color w:val="000000"/>
                <w:sz w:val="20"/>
                <w:szCs w:val="20"/>
              </w:rPr>
            </w:pPr>
            <w:r w:rsidRPr="00CD5714">
              <w:rPr>
                <w:rFonts w:ascii="Arial" w:hAnsi="Arial" w:cs="Arial"/>
                <w:color w:val="000000"/>
                <w:sz w:val="20"/>
                <w:szCs w:val="20"/>
                <w:lang w:val="en-GB"/>
              </w:rPr>
              <w:t>7</w:t>
            </w:r>
            <w:r w:rsidR="0090114F" w:rsidRPr="002D2F67">
              <w:rPr>
                <w:rFonts w:ascii="Arial" w:hAnsi="Arial" w:cs="Arial"/>
                <w:color w:val="000000"/>
                <w:sz w:val="20"/>
                <w:szCs w:val="20"/>
              </w:rPr>
              <w:t>,</w:t>
            </w:r>
            <w:r w:rsidRPr="00CD5714">
              <w:rPr>
                <w:rFonts w:ascii="Arial" w:hAnsi="Arial" w:cs="Arial"/>
                <w:color w:val="000000"/>
                <w:sz w:val="20"/>
                <w:szCs w:val="20"/>
                <w:lang w:val="en-GB"/>
              </w:rPr>
              <w:t>648</w:t>
            </w:r>
          </w:p>
        </w:tc>
        <w:tc>
          <w:tcPr>
            <w:tcW w:w="1368" w:type="dxa"/>
            <w:tcBorders>
              <w:bottom w:val="single" w:sz="4" w:space="0" w:color="auto"/>
            </w:tcBorders>
            <w:shd w:val="clear" w:color="auto" w:fill="auto"/>
          </w:tcPr>
          <w:p w14:paraId="252FF26C" w14:textId="11DBD13D" w:rsidR="0090114F" w:rsidRPr="002D2F67" w:rsidRDefault="00CD5714" w:rsidP="0090114F">
            <w:pPr>
              <w:ind w:right="-72"/>
              <w:jc w:val="right"/>
              <w:rPr>
                <w:rFonts w:ascii="Arial" w:hAnsi="Arial" w:cs="Arial"/>
                <w:color w:val="000000"/>
                <w:sz w:val="20"/>
                <w:szCs w:val="20"/>
              </w:rPr>
            </w:pPr>
            <w:r w:rsidRPr="00CD5714">
              <w:rPr>
                <w:rFonts w:ascii="Arial" w:hAnsi="Arial" w:cs="Arial"/>
                <w:color w:val="000000"/>
                <w:sz w:val="20"/>
                <w:szCs w:val="20"/>
                <w:lang w:val="en-GB"/>
              </w:rPr>
              <w:t>11</w:t>
            </w:r>
            <w:r w:rsidR="0090114F" w:rsidRPr="002D2F67">
              <w:rPr>
                <w:rFonts w:ascii="Arial" w:hAnsi="Arial" w:cs="Arial"/>
                <w:color w:val="000000"/>
                <w:sz w:val="20"/>
                <w:szCs w:val="20"/>
              </w:rPr>
              <w:t>,</w:t>
            </w:r>
            <w:r w:rsidRPr="00CD5714">
              <w:rPr>
                <w:rFonts w:ascii="Arial" w:hAnsi="Arial" w:cs="Arial"/>
                <w:color w:val="000000"/>
                <w:sz w:val="20"/>
                <w:szCs w:val="20"/>
                <w:lang w:val="en-GB"/>
              </w:rPr>
              <w:t>209</w:t>
            </w:r>
          </w:p>
        </w:tc>
      </w:tr>
      <w:tr w:rsidR="007D5655" w:rsidRPr="002D2F67" w14:paraId="28B03A39" w14:textId="77777777" w:rsidTr="4A0317FF">
        <w:tc>
          <w:tcPr>
            <w:tcW w:w="3989" w:type="dxa"/>
            <w:shd w:val="clear" w:color="auto" w:fill="auto"/>
          </w:tcPr>
          <w:p w14:paraId="66F3E318" w14:textId="77777777" w:rsidR="007D5655" w:rsidRPr="002D2F67" w:rsidRDefault="007D5655" w:rsidP="007D5655">
            <w:pPr>
              <w:ind w:left="432"/>
              <w:rPr>
                <w:rFonts w:ascii="Arial" w:hAnsi="Arial" w:cs="Arial"/>
                <w:b/>
                <w:bCs/>
                <w:color w:val="000000"/>
                <w:sz w:val="20"/>
                <w:szCs w:val="20"/>
              </w:rPr>
            </w:pPr>
          </w:p>
        </w:tc>
        <w:tc>
          <w:tcPr>
            <w:tcW w:w="1368" w:type="dxa"/>
            <w:tcBorders>
              <w:top w:val="single" w:sz="4" w:space="0" w:color="auto"/>
            </w:tcBorders>
            <w:shd w:val="clear" w:color="auto" w:fill="auto"/>
          </w:tcPr>
          <w:p w14:paraId="355C0E0C" w14:textId="77777777" w:rsidR="007D5655" w:rsidRPr="002D2F67" w:rsidRDefault="007D5655" w:rsidP="007D5655">
            <w:pPr>
              <w:ind w:right="-72"/>
              <w:jc w:val="right"/>
              <w:rPr>
                <w:rFonts w:ascii="Arial" w:hAnsi="Arial" w:cs="Arial"/>
                <w:color w:val="000000"/>
                <w:sz w:val="20"/>
                <w:szCs w:val="20"/>
              </w:rPr>
            </w:pPr>
          </w:p>
        </w:tc>
        <w:tc>
          <w:tcPr>
            <w:tcW w:w="1368" w:type="dxa"/>
            <w:tcBorders>
              <w:top w:val="single" w:sz="4" w:space="0" w:color="auto"/>
            </w:tcBorders>
            <w:shd w:val="clear" w:color="auto" w:fill="auto"/>
          </w:tcPr>
          <w:p w14:paraId="2793C5A4" w14:textId="77777777" w:rsidR="007D5655" w:rsidRPr="002D2F67" w:rsidRDefault="007D5655" w:rsidP="007D5655">
            <w:pPr>
              <w:ind w:right="-72"/>
              <w:jc w:val="right"/>
              <w:rPr>
                <w:rFonts w:ascii="Arial" w:hAnsi="Arial" w:cs="Arial"/>
                <w:color w:val="000000"/>
                <w:sz w:val="20"/>
                <w:szCs w:val="20"/>
              </w:rPr>
            </w:pPr>
          </w:p>
        </w:tc>
        <w:tc>
          <w:tcPr>
            <w:tcW w:w="1368" w:type="dxa"/>
            <w:tcBorders>
              <w:top w:val="single" w:sz="4" w:space="0" w:color="auto"/>
            </w:tcBorders>
            <w:shd w:val="clear" w:color="auto" w:fill="auto"/>
          </w:tcPr>
          <w:p w14:paraId="6B11F1E7" w14:textId="77777777" w:rsidR="007D5655" w:rsidRPr="002D2F67" w:rsidRDefault="007D5655" w:rsidP="007D5655">
            <w:pPr>
              <w:ind w:left="540"/>
              <w:rPr>
                <w:rFonts w:ascii="Arial" w:hAnsi="Arial" w:cs="Arial"/>
                <w:b/>
                <w:bCs/>
                <w:color w:val="000000"/>
                <w:sz w:val="20"/>
                <w:szCs w:val="20"/>
              </w:rPr>
            </w:pPr>
          </w:p>
        </w:tc>
        <w:tc>
          <w:tcPr>
            <w:tcW w:w="1368" w:type="dxa"/>
            <w:tcBorders>
              <w:top w:val="single" w:sz="4" w:space="0" w:color="auto"/>
            </w:tcBorders>
            <w:shd w:val="clear" w:color="auto" w:fill="auto"/>
          </w:tcPr>
          <w:p w14:paraId="2A7A1624" w14:textId="77777777" w:rsidR="007D5655" w:rsidRPr="002D2F67" w:rsidRDefault="007D5655" w:rsidP="007D5655">
            <w:pPr>
              <w:ind w:left="540"/>
              <w:rPr>
                <w:rFonts w:ascii="Arial" w:hAnsi="Arial" w:cs="Arial"/>
                <w:b/>
                <w:bCs/>
                <w:color w:val="000000"/>
                <w:sz w:val="20"/>
                <w:szCs w:val="20"/>
              </w:rPr>
            </w:pPr>
          </w:p>
        </w:tc>
      </w:tr>
      <w:tr w:rsidR="007D5655" w:rsidRPr="002D2F67" w14:paraId="71B3E5C8" w14:textId="77777777" w:rsidTr="4A0317FF">
        <w:tc>
          <w:tcPr>
            <w:tcW w:w="3989" w:type="dxa"/>
            <w:shd w:val="clear" w:color="auto" w:fill="auto"/>
            <w:vAlign w:val="bottom"/>
          </w:tcPr>
          <w:p w14:paraId="0BB659B4" w14:textId="77777777" w:rsidR="007D5655" w:rsidRPr="002D2F67" w:rsidRDefault="007D5655" w:rsidP="007D5655">
            <w:pPr>
              <w:ind w:left="432"/>
              <w:rPr>
                <w:rFonts w:ascii="Arial" w:hAnsi="Arial" w:cs="Arial"/>
                <w:color w:val="000000"/>
                <w:sz w:val="20"/>
                <w:szCs w:val="20"/>
              </w:rPr>
            </w:pPr>
            <w:r w:rsidRPr="002D2F67">
              <w:rPr>
                <w:rFonts w:ascii="Arial" w:hAnsi="Arial" w:cs="Arial"/>
                <w:color w:val="000000"/>
                <w:sz w:val="20"/>
                <w:szCs w:val="20"/>
              </w:rPr>
              <w:t>Total long-term loans from</w:t>
            </w:r>
          </w:p>
        </w:tc>
        <w:tc>
          <w:tcPr>
            <w:tcW w:w="1368" w:type="dxa"/>
            <w:shd w:val="clear" w:color="auto" w:fill="auto"/>
          </w:tcPr>
          <w:p w14:paraId="6D9BFC52" w14:textId="77777777" w:rsidR="007D5655" w:rsidRPr="002D2F67" w:rsidRDefault="007D5655" w:rsidP="007D5655">
            <w:pPr>
              <w:ind w:right="-72"/>
              <w:jc w:val="right"/>
              <w:rPr>
                <w:rFonts w:ascii="Arial" w:hAnsi="Arial" w:cs="Arial"/>
                <w:color w:val="000000"/>
                <w:sz w:val="20"/>
                <w:szCs w:val="20"/>
              </w:rPr>
            </w:pPr>
          </w:p>
        </w:tc>
        <w:tc>
          <w:tcPr>
            <w:tcW w:w="1368" w:type="dxa"/>
            <w:shd w:val="clear" w:color="auto" w:fill="auto"/>
          </w:tcPr>
          <w:p w14:paraId="142BBCE5" w14:textId="77777777" w:rsidR="007D5655" w:rsidRPr="002D2F67" w:rsidRDefault="007D5655" w:rsidP="007D5655">
            <w:pPr>
              <w:ind w:right="-72"/>
              <w:jc w:val="right"/>
              <w:rPr>
                <w:rFonts w:ascii="Arial" w:hAnsi="Arial" w:cs="Arial"/>
                <w:color w:val="000000"/>
                <w:sz w:val="20"/>
                <w:szCs w:val="20"/>
              </w:rPr>
            </w:pPr>
          </w:p>
        </w:tc>
        <w:tc>
          <w:tcPr>
            <w:tcW w:w="1368" w:type="dxa"/>
            <w:shd w:val="clear" w:color="auto" w:fill="auto"/>
          </w:tcPr>
          <w:p w14:paraId="6CFA4E44" w14:textId="77777777" w:rsidR="007D5655" w:rsidRPr="002D2F67" w:rsidRDefault="007D5655" w:rsidP="007D5655">
            <w:pPr>
              <w:ind w:right="-72"/>
              <w:jc w:val="right"/>
              <w:rPr>
                <w:rFonts w:ascii="Arial" w:hAnsi="Arial" w:cs="Arial"/>
                <w:color w:val="000000"/>
                <w:sz w:val="20"/>
                <w:szCs w:val="20"/>
              </w:rPr>
            </w:pPr>
          </w:p>
        </w:tc>
        <w:tc>
          <w:tcPr>
            <w:tcW w:w="1368" w:type="dxa"/>
            <w:shd w:val="clear" w:color="auto" w:fill="auto"/>
          </w:tcPr>
          <w:p w14:paraId="599985EE" w14:textId="77777777" w:rsidR="007D5655" w:rsidRPr="002D2F67" w:rsidRDefault="007D5655" w:rsidP="007D5655">
            <w:pPr>
              <w:ind w:right="-72"/>
              <w:jc w:val="right"/>
              <w:rPr>
                <w:rFonts w:ascii="Arial" w:hAnsi="Arial" w:cs="Arial"/>
                <w:color w:val="000000"/>
                <w:sz w:val="20"/>
                <w:szCs w:val="20"/>
              </w:rPr>
            </w:pPr>
          </w:p>
        </w:tc>
      </w:tr>
      <w:tr w:rsidR="007D5655" w:rsidRPr="002D2F67" w14:paraId="63C93D7B" w14:textId="77777777" w:rsidTr="4A0317FF">
        <w:tc>
          <w:tcPr>
            <w:tcW w:w="3989" w:type="dxa"/>
            <w:shd w:val="clear" w:color="auto" w:fill="auto"/>
            <w:vAlign w:val="bottom"/>
          </w:tcPr>
          <w:p w14:paraId="1D832032" w14:textId="77777777" w:rsidR="007D5655" w:rsidRPr="002D2F67" w:rsidRDefault="007D5655" w:rsidP="007D5655">
            <w:pPr>
              <w:ind w:left="432"/>
              <w:rPr>
                <w:rFonts w:ascii="Arial" w:hAnsi="Arial" w:cs="Arial"/>
                <w:color w:val="000000"/>
                <w:sz w:val="20"/>
                <w:szCs w:val="20"/>
              </w:rPr>
            </w:pPr>
            <w:r w:rsidRPr="002D2F67">
              <w:rPr>
                <w:rFonts w:ascii="Arial" w:hAnsi="Arial" w:cs="Arial"/>
                <w:color w:val="000000"/>
                <w:sz w:val="20"/>
                <w:szCs w:val="20"/>
              </w:rPr>
              <w:t xml:space="preserve">   financial institutions, net</w:t>
            </w:r>
          </w:p>
        </w:tc>
        <w:tc>
          <w:tcPr>
            <w:tcW w:w="1368" w:type="dxa"/>
            <w:tcBorders>
              <w:bottom w:val="single" w:sz="4" w:space="0" w:color="auto"/>
            </w:tcBorders>
            <w:shd w:val="clear" w:color="auto" w:fill="auto"/>
          </w:tcPr>
          <w:p w14:paraId="4A76DF6D" w14:textId="6175832E" w:rsidR="007D5655" w:rsidRPr="002D2F67" w:rsidRDefault="00CD5714" w:rsidP="007D5655">
            <w:pPr>
              <w:ind w:right="-72"/>
              <w:jc w:val="right"/>
              <w:rPr>
                <w:rFonts w:ascii="Arial" w:hAnsi="Arial" w:cs="Arial"/>
                <w:color w:val="000000"/>
                <w:sz w:val="20"/>
                <w:szCs w:val="20"/>
              </w:rPr>
            </w:pPr>
            <w:r w:rsidRPr="00CD5714">
              <w:rPr>
                <w:rFonts w:ascii="Arial" w:hAnsi="Arial" w:cs="Arial"/>
                <w:color w:val="000000"/>
                <w:sz w:val="20"/>
                <w:szCs w:val="20"/>
                <w:lang w:val="en-GB"/>
              </w:rPr>
              <w:t>25</w:t>
            </w:r>
            <w:r w:rsidR="007D5655" w:rsidRPr="002D2F67">
              <w:rPr>
                <w:rFonts w:ascii="Arial" w:hAnsi="Arial" w:cs="Arial"/>
                <w:color w:val="000000"/>
                <w:sz w:val="20"/>
                <w:szCs w:val="20"/>
              </w:rPr>
              <w:t>,</w:t>
            </w:r>
            <w:r w:rsidRPr="00CD5714">
              <w:rPr>
                <w:rFonts w:ascii="Arial" w:hAnsi="Arial" w:cs="Arial"/>
                <w:color w:val="000000"/>
                <w:sz w:val="20"/>
                <w:szCs w:val="20"/>
                <w:lang w:val="en-GB"/>
              </w:rPr>
              <w:t>660</w:t>
            </w:r>
          </w:p>
        </w:tc>
        <w:tc>
          <w:tcPr>
            <w:tcW w:w="1368" w:type="dxa"/>
            <w:tcBorders>
              <w:bottom w:val="single" w:sz="4" w:space="0" w:color="auto"/>
            </w:tcBorders>
            <w:shd w:val="clear" w:color="auto" w:fill="auto"/>
          </w:tcPr>
          <w:p w14:paraId="4D663A74" w14:textId="175A72FE" w:rsidR="007D5655" w:rsidRPr="002D2F67" w:rsidRDefault="00CD5714" w:rsidP="007D5655">
            <w:pPr>
              <w:ind w:right="-72"/>
              <w:jc w:val="right"/>
              <w:rPr>
                <w:rFonts w:ascii="Arial" w:hAnsi="Arial" w:cs="Arial"/>
                <w:color w:val="000000"/>
                <w:sz w:val="20"/>
                <w:szCs w:val="20"/>
              </w:rPr>
            </w:pPr>
            <w:r w:rsidRPr="00CD5714">
              <w:rPr>
                <w:rFonts w:ascii="Arial" w:hAnsi="Arial" w:cs="Arial"/>
                <w:color w:val="000000"/>
                <w:sz w:val="20"/>
                <w:szCs w:val="20"/>
                <w:lang w:val="en-GB"/>
              </w:rPr>
              <w:t>22</w:t>
            </w:r>
            <w:r w:rsidR="007D5655" w:rsidRPr="002D2F67">
              <w:rPr>
                <w:rFonts w:ascii="Arial" w:hAnsi="Arial" w:cs="Arial"/>
                <w:color w:val="000000"/>
                <w:sz w:val="20"/>
                <w:szCs w:val="20"/>
              </w:rPr>
              <w:t>,</w:t>
            </w:r>
            <w:r w:rsidRPr="00CD5714">
              <w:rPr>
                <w:rFonts w:ascii="Arial" w:hAnsi="Arial" w:cs="Arial"/>
                <w:color w:val="000000"/>
                <w:sz w:val="20"/>
                <w:szCs w:val="20"/>
                <w:lang w:val="en-GB"/>
              </w:rPr>
              <w:t>874</w:t>
            </w:r>
          </w:p>
        </w:tc>
        <w:tc>
          <w:tcPr>
            <w:tcW w:w="1368" w:type="dxa"/>
            <w:tcBorders>
              <w:bottom w:val="single" w:sz="4" w:space="0" w:color="auto"/>
            </w:tcBorders>
            <w:shd w:val="clear" w:color="auto" w:fill="auto"/>
          </w:tcPr>
          <w:p w14:paraId="65DD5685" w14:textId="3207416A" w:rsidR="007D5655" w:rsidRPr="002D2F67" w:rsidRDefault="00CD5714" w:rsidP="007D5655">
            <w:pPr>
              <w:ind w:right="-72"/>
              <w:jc w:val="right"/>
              <w:rPr>
                <w:rFonts w:ascii="Arial" w:hAnsi="Arial" w:cs="Arial"/>
                <w:color w:val="000000"/>
                <w:sz w:val="20"/>
                <w:szCs w:val="20"/>
              </w:rPr>
            </w:pPr>
            <w:r w:rsidRPr="00CD5714">
              <w:rPr>
                <w:rFonts w:ascii="Arial" w:hAnsi="Arial" w:cs="Arial"/>
                <w:color w:val="000000"/>
                <w:sz w:val="20"/>
                <w:szCs w:val="20"/>
                <w:lang w:val="en-GB"/>
              </w:rPr>
              <w:t>11</w:t>
            </w:r>
            <w:r w:rsidR="00756FC5" w:rsidRPr="002D2F67">
              <w:rPr>
                <w:rFonts w:ascii="Arial" w:hAnsi="Arial" w:cs="Arial"/>
                <w:color w:val="000000"/>
                <w:sz w:val="20"/>
                <w:szCs w:val="20"/>
              </w:rPr>
              <w:t>,</w:t>
            </w:r>
            <w:r w:rsidRPr="00CD5714">
              <w:rPr>
                <w:rFonts w:ascii="Arial" w:hAnsi="Arial" w:cs="Arial"/>
                <w:color w:val="000000"/>
                <w:sz w:val="20"/>
                <w:szCs w:val="20"/>
                <w:lang w:val="en-GB"/>
              </w:rPr>
              <w:t>687</w:t>
            </w:r>
          </w:p>
        </w:tc>
        <w:tc>
          <w:tcPr>
            <w:tcW w:w="1368" w:type="dxa"/>
            <w:tcBorders>
              <w:bottom w:val="single" w:sz="4" w:space="0" w:color="auto"/>
            </w:tcBorders>
            <w:shd w:val="clear" w:color="auto" w:fill="auto"/>
          </w:tcPr>
          <w:p w14:paraId="774D191C" w14:textId="5662D822" w:rsidR="007D5655" w:rsidRPr="002D2F67" w:rsidRDefault="00CD5714" w:rsidP="007D5655">
            <w:pPr>
              <w:ind w:right="-72"/>
              <w:jc w:val="right"/>
              <w:rPr>
                <w:rFonts w:ascii="Arial" w:hAnsi="Arial" w:cs="Arial"/>
                <w:color w:val="000000"/>
                <w:sz w:val="20"/>
                <w:szCs w:val="20"/>
              </w:rPr>
            </w:pPr>
            <w:r w:rsidRPr="00CD5714">
              <w:rPr>
                <w:rFonts w:ascii="Arial" w:hAnsi="Arial" w:cs="Arial"/>
                <w:color w:val="000000"/>
                <w:sz w:val="20"/>
                <w:szCs w:val="20"/>
                <w:lang w:val="en-GB"/>
              </w:rPr>
              <w:t>13</w:t>
            </w:r>
            <w:r w:rsidR="007D5655" w:rsidRPr="002D2F67">
              <w:rPr>
                <w:rFonts w:ascii="Arial" w:hAnsi="Arial" w:cs="Arial"/>
                <w:color w:val="000000"/>
                <w:sz w:val="20"/>
                <w:szCs w:val="20"/>
              </w:rPr>
              <w:t>,</w:t>
            </w:r>
            <w:r w:rsidRPr="00CD5714">
              <w:rPr>
                <w:rFonts w:ascii="Arial" w:hAnsi="Arial" w:cs="Arial"/>
                <w:color w:val="000000"/>
                <w:sz w:val="20"/>
                <w:szCs w:val="20"/>
                <w:lang w:val="en-GB"/>
              </w:rPr>
              <w:t>383</w:t>
            </w:r>
          </w:p>
        </w:tc>
      </w:tr>
      <w:tr w:rsidR="001D52AC" w:rsidRPr="002D2F67" w14:paraId="5B0C2F23" w14:textId="77777777" w:rsidTr="4A0317FF">
        <w:tc>
          <w:tcPr>
            <w:tcW w:w="3989" w:type="dxa"/>
            <w:shd w:val="clear" w:color="auto" w:fill="auto"/>
            <w:vAlign w:val="bottom"/>
          </w:tcPr>
          <w:p w14:paraId="3A4890B2" w14:textId="77777777" w:rsidR="001D52AC" w:rsidRPr="002D2F67" w:rsidRDefault="001D52AC" w:rsidP="005611FE">
            <w:pPr>
              <w:ind w:left="432"/>
              <w:rPr>
                <w:rFonts w:ascii="Arial" w:hAnsi="Arial" w:cs="Arial"/>
                <w:color w:val="000000"/>
                <w:sz w:val="20"/>
                <w:szCs w:val="20"/>
              </w:rPr>
            </w:pPr>
          </w:p>
        </w:tc>
        <w:tc>
          <w:tcPr>
            <w:tcW w:w="1368" w:type="dxa"/>
            <w:tcBorders>
              <w:top w:val="single" w:sz="4" w:space="0" w:color="auto"/>
            </w:tcBorders>
            <w:shd w:val="clear" w:color="auto" w:fill="auto"/>
            <w:vAlign w:val="bottom"/>
          </w:tcPr>
          <w:p w14:paraId="0CE3BD8E" w14:textId="77777777" w:rsidR="001D52AC" w:rsidRPr="002D2F67" w:rsidRDefault="001D52AC" w:rsidP="005611FE">
            <w:pPr>
              <w:ind w:right="-72"/>
              <w:jc w:val="right"/>
              <w:rPr>
                <w:rFonts w:ascii="Arial" w:hAnsi="Arial" w:cs="Arial"/>
                <w:color w:val="000000"/>
                <w:sz w:val="20"/>
                <w:szCs w:val="20"/>
              </w:rPr>
            </w:pPr>
          </w:p>
        </w:tc>
        <w:tc>
          <w:tcPr>
            <w:tcW w:w="1368" w:type="dxa"/>
            <w:tcBorders>
              <w:top w:val="single" w:sz="4" w:space="0" w:color="auto"/>
            </w:tcBorders>
            <w:shd w:val="clear" w:color="auto" w:fill="auto"/>
            <w:vAlign w:val="bottom"/>
          </w:tcPr>
          <w:p w14:paraId="17EBAF9A" w14:textId="77777777" w:rsidR="001D52AC" w:rsidRPr="002D2F67" w:rsidRDefault="001D52AC" w:rsidP="005611FE">
            <w:pPr>
              <w:ind w:right="-72"/>
              <w:jc w:val="right"/>
              <w:rPr>
                <w:rFonts w:ascii="Arial" w:hAnsi="Arial" w:cs="Arial"/>
                <w:color w:val="000000"/>
                <w:sz w:val="20"/>
                <w:szCs w:val="20"/>
              </w:rPr>
            </w:pPr>
          </w:p>
        </w:tc>
        <w:tc>
          <w:tcPr>
            <w:tcW w:w="1368" w:type="dxa"/>
            <w:tcBorders>
              <w:top w:val="single" w:sz="4" w:space="0" w:color="auto"/>
            </w:tcBorders>
            <w:shd w:val="clear" w:color="auto" w:fill="auto"/>
            <w:vAlign w:val="bottom"/>
          </w:tcPr>
          <w:p w14:paraId="47BC7791" w14:textId="77777777" w:rsidR="001D52AC" w:rsidRPr="002D2F67" w:rsidRDefault="001D52AC" w:rsidP="005611FE">
            <w:pPr>
              <w:ind w:right="-72"/>
              <w:jc w:val="right"/>
              <w:rPr>
                <w:rFonts w:ascii="Arial" w:hAnsi="Arial" w:cs="Arial"/>
                <w:color w:val="000000"/>
                <w:sz w:val="20"/>
                <w:szCs w:val="20"/>
              </w:rPr>
            </w:pPr>
          </w:p>
        </w:tc>
        <w:tc>
          <w:tcPr>
            <w:tcW w:w="1368" w:type="dxa"/>
            <w:tcBorders>
              <w:top w:val="single" w:sz="4" w:space="0" w:color="auto"/>
            </w:tcBorders>
            <w:shd w:val="clear" w:color="auto" w:fill="auto"/>
            <w:vAlign w:val="bottom"/>
          </w:tcPr>
          <w:p w14:paraId="2443E09A" w14:textId="77777777" w:rsidR="001D52AC" w:rsidRPr="002D2F67" w:rsidRDefault="001D52AC" w:rsidP="005611FE">
            <w:pPr>
              <w:ind w:right="-72"/>
              <w:jc w:val="right"/>
              <w:rPr>
                <w:rFonts w:ascii="Arial" w:hAnsi="Arial" w:cs="Arial"/>
                <w:color w:val="000000"/>
                <w:sz w:val="20"/>
                <w:szCs w:val="20"/>
              </w:rPr>
            </w:pPr>
          </w:p>
        </w:tc>
      </w:tr>
      <w:tr w:rsidR="001D52AC" w:rsidRPr="002D2F67" w14:paraId="0085B172" w14:textId="77777777" w:rsidTr="4A0317FF">
        <w:tc>
          <w:tcPr>
            <w:tcW w:w="3989" w:type="dxa"/>
            <w:shd w:val="clear" w:color="auto" w:fill="auto"/>
            <w:vAlign w:val="bottom"/>
          </w:tcPr>
          <w:p w14:paraId="7D793E95" w14:textId="77777777" w:rsidR="001D52AC" w:rsidRPr="002D2F67" w:rsidRDefault="001D52AC" w:rsidP="005611FE">
            <w:pPr>
              <w:ind w:left="432"/>
              <w:rPr>
                <w:rFonts w:ascii="Arial" w:hAnsi="Arial" w:cs="Arial"/>
                <w:color w:val="000000"/>
                <w:sz w:val="20"/>
                <w:szCs w:val="20"/>
              </w:rPr>
            </w:pPr>
            <w:r w:rsidRPr="002D2F67">
              <w:rPr>
                <w:rFonts w:ascii="Arial" w:hAnsi="Arial" w:cs="Arial"/>
                <w:color w:val="000000"/>
                <w:sz w:val="20"/>
                <w:szCs w:val="20"/>
              </w:rPr>
              <w:t>Debenture, net</w:t>
            </w:r>
          </w:p>
        </w:tc>
        <w:tc>
          <w:tcPr>
            <w:tcW w:w="1368" w:type="dxa"/>
            <w:shd w:val="clear" w:color="auto" w:fill="auto"/>
            <w:vAlign w:val="bottom"/>
          </w:tcPr>
          <w:p w14:paraId="2F62D769" w14:textId="77777777" w:rsidR="001D52AC" w:rsidRPr="002D2F67" w:rsidRDefault="001D52AC" w:rsidP="005611FE">
            <w:pPr>
              <w:ind w:right="-72"/>
              <w:jc w:val="right"/>
              <w:rPr>
                <w:rFonts w:ascii="Arial" w:hAnsi="Arial" w:cs="Arial"/>
                <w:color w:val="000000"/>
                <w:sz w:val="20"/>
                <w:szCs w:val="20"/>
              </w:rPr>
            </w:pPr>
          </w:p>
        </w:tc>
        <w:tc>
          <w:tcPr>
            <w:tcW w:w="1368" w:type="dxa"/>
            <w:shd w:val="clear" w:color="auto" w:fill="auto"/>
            <w:vAlign w:val="bottom"/>
          </w:tcPr>
          <w:p w14:paraId="7DEEA597" w14:textId="77777777" w:rsidR="001D52AC" w:rsidRPr="002D2F67" w:rsidRDefault="001D52AC" w:rsidP="005611FE">
            <w:pPr>
              <w:ind w:right="-72"/>
              <w:jc w:val="right"/>
              <w:rPr>
                <w:rFonts w:ascii="Arial" w:hAnsi="Arial" w:cs="Arial"/>
                <w:color w:val="000000"/>
                <w:sz w:val="20"/>
                <w:szCs w:val="20"/>
              </w:rPr>
            </w:pPr>
          </w:p>
        </w:tc>
        <w:tc>
          <w:tcPr>
            <w:tcW w:w="1368" w:type="dxa"/>
            <w:shd w:val="clear" w:color="auto" w:fill="auto"/>
            <w:vAlign w:val="bottom"/>
          </w:tcPr>
          <w:p w14:paraId="475398E0" w14:textId="77777777" w:rsidR="001D52AC" w:rsidRPr="002D2F67" w:rsidRDefault="001D52AC" w:rsidP="005611FE">
            <w:pPr>
              <w:ind w:right="-72"/>
              <w:jc w:val="right"/>
              <w:rPr>
                <w:rFonts w:ascii="Arial" w:hAnsi="Arial" w:cs="Arial"/>
                <w:color w:val="000000"/>
                <w:sz w:val="20"/>
                <w:szCs w:val="20"/>
              </w:rPr>
            </w:pPr>
          </w:p>
        </w:tc>
        <w:tc>
          <w:tcPr>
            <w:tcW w:w="1368" w:type="dxa"/>
            <w:shd w:val="clear" w:color="auto" w:fill="auto"/>
            <w:vAlign w:val="bottom"/>
          </w:tcPr>
          <w:p w14:paraId="6D1CAF80" w14:textId="77777777" w:rsidR="001D52AC" w:rsidRPr="002D2F67" w:rsidRDefault="001D52AC" w:rsidP="005611FE">
            <w:pPr>
              <w:ind w:right="-72"/>
              <w:jc w:val="right"/>
              <w:rPr>
                <w:rFonts w:ascii="Arial" w:hAnsi="Arial" w:cs="Arial"/>
                <w:color w:val="000000"/>
                <w:sz w:val="20"/>
                <w:szCs w:val="20"/>
              </w:rPr>
            </w:pPr>
          </w:p>
        </w:tc>
      </w:tr>
      <w:tr w:rsidR="001D52AC" w:rsidRPr="002D2F67" w14:paraId="6F40FC97" w14:textId="77777777" w:rsidTr="4A0317FF">
        <w:tc>
          <w:tcPr>
            <w:tcW w:w="3989" w:type="dxa"/>
            <w:shd w:val="clear" w:color="auto" w:fill="auto"/>
            <w:vAlign w:val="bottom"/>
          </w:tcPr>
          <w:p w14:paraId="23F52447" w14:textId="77777777" w:rsidR="001D52AC" w:rsidRPr="002D2F67" w:rsidRDefault="001D52AC" w:rsidP="005611FE">
            <w:pPr>
              <w:ind w:left="432"/>
              <w:rPr>
                <w:rFonts w:ascii="Arial" w:hAnsi="Arial" w:cs="Arial"/>
                <w:color w:val="000000"/>
                <w:sz w:val="20"/>
                <w:szCs w:val="20"/>
              </w:rPr>
            </w:pPr>
            <w:r w:rsidRPr="002D2F67">
              <w:rPr>
                <w:rFonts w:ascii="Arial" w:hAnsi="Arial" w:cs="Arial"/>
                <w:color w:val="000000"/>
                <w:sz w:val="20"/>
                <w:szCs w:val="20"/>
              </w:rPr>
              <w:t xml:space="preserve">   - at fixed rates</w:t>
            </w:r>
          </w:p>
        </w:tc>
        <w:tc>
          <w:tcPr>
            <w:tcW w:w="1368" w:type="dxa"/>
            <w:tcBorders>
              <w:bottom w:val="single" w:sz="4" w:space="0" w:color="auto"/>
            </w:tcBorders>
            <w:shd w:val="clear" w:color="auto" w:fill="auto"/>
          </w:tcPr>
          <w:p w14:paraId="0E7D84AD" w14:textId="73A85C01" w:rsidR="001D52AC"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31</w:t>
            </w:r>
            <w:r w:rsidR="009D4310" w:rsidRPr="002D2F67">
              <w:rPr>
                <w:rFonts w:ascii="Arial" w:hAnsi="Arial" w:cs="Arial"/>
                <w:color w:val="000000"/>
                <w:sz w:val="20"/>
                <w:szCs w:val="20"/>
              </w:rPr>
              <w:t>,</w:t>
            </w:r>
            <w:r w:rsidRPr="00CD5714">
              <w:rPr>
                <w:rFonts w:ascii="Arial" w:hAnsi="Arial" w:cs="Arial"/>
                <w:color w:val="000000"/>
                <w:sz w:val="20"/>
                <w:szCs w:val="20"/>
                <w:lang w:val="en-GB"/>
              </w:rPr>
              <w:t>152</w:t>
            </w:r>
          </w:p>
        </w:tc>
        <w:tc>
          <w:tcPr>
            <w:tcW w:w="1368" w:type="dxa"/>
            <w:tcBorders>
              <w:bottom w:val="single" w:sz="4" w:space="0" w:color="auto"/>
            </w:tcBorders>
            <w:shd w:val="clear" w:color="auto" w:fill="auto"/>
          </w:tcPr>
          <w:p w14:paraId="00578767" w14:textId="5328B354" w:rsidR="001D52AC"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31</w:t>
            </w:r>
            <w:r w:rsidR="001D52AC" w:rsidRPr="002D2F67">
              <w:rPr>
                <w:rFonts w:ascii="Arial" w:hAnsi="Arial" w:cs="Arial"/>
                <w:color w:val="000000"/>
                <w:sz w:val="20"/>
                <w:szCs w:val="20"/>
              </w:rPr>
              <w:t>,</w:t>
            </w:r>
            <w:r w:rsidRPr="00CD5714">
              <w:rPr>
                <w:rFonts w:ascii="Arial" w:hAnsi="Arial" w:cs="Arial"/>
                <w:color w:val="000000"/>
                <w:sz w:val="20"/>
                <w:szCs w:val="20"/>
                <w:lang w:val="en-GB"/>
              </w:rPr>
              <w:t>144</w:t>
            </w:r>
          </w:p>
        </w:tc>
        <w:tc>
          <w:tcPr>
            <w:tcW w:w="1368" w:type="dxa"/>
            <w:tcBorders>
              <w:bottom w:val="single" w:sz="4" w:space="0" w:color="auto"/>
            </w:tcBorders>
            <w:shd w:val="clear" w:color="auto" w:fill="auto"/>
          </w:tcPr>
          <w:p w14:paraId="38F22C22" w14:textId="1E81DAD7" w:rsidR="001D52AC"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31</w:t>
            </w:r>
            <w:r w:rsidR="005F5EB4" w:rsidRPr="002D2F67">
              <w:rPr>
                <w:rFonts w:ascii="Arial" w:hAnsi="Arial" w:cs="Arial"/>
                <w:color w:val="000000"/>
                <w:sz w:val="20"/>
                <w:szCs w:val="20"/>
              </w:rPr>
              <w:t>,</w:t>
            </w:r>
            <w:r w:rsidRPr="00CD5714">
              <w:rPr>
                <w:rFonts w:ascii="Arial" w:hAnsi="Arial" w:cs="Arial"/>
                <w:color w:val="000000"/>
                <w:sz w:val="20"/>
                <w:szCs w:val="20"/>
                <w:lang w:val="en-GB"/>
              </w:rPr>
              <w:t>152</w:t>
            </w:r>
          </w:p>
        </w:tc>
        <w:tc>
          <w:tcPr>
            <w:tcW w:w="1368" w:type="dxa"/>
            <w:tcBorders>
              <w:bottom w:val="single" w:sz="4" w:space="0" w:color="auto"/>
            </w:tcBorders>
            <w:shd w:val="clear" w:color="auto" w:fill="auto"/>
          </w:tcPr>
          <w:p w14:paraId="3D93EEE8" w14:textId="125C0CE1" w:rsidR="001D52AC"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31</w:t>
            </w:r>
            <w:r w:rsidR="001D52AC" w:rsidRPr="002D2F67">
              <w:rPr>
                <w:rFonts w:ascii="Arial" w:hAnsi="Arial" w:cs="Arial"/>
                <w:color w:val="000000"/>
                <w:sz w:val="20"/>
                <w:szCs w:val="20"/>
              </w:rPr>
              <w:t>,</w:t>
            </w:r>
            <w:r w:rsidRPr="00CD5714">
              <w:rPr>
                <w:rFonts w:ascii="Arial" w:hAnsi="Arial" w:cs="Arial"/>
                <w:color w:val="000000"/>
                <w:sz w:val="20"/>
                <w:szCs w:val="20"/>
                <w:lang w:val="en-GB"/>
              </w:rPr>
              <w:t>144</w:t>
            </w:r>
          </w:p>
        </w:tc>
      </w:tr>
      <w:tr w:rsidR="001D52AC" w:rsidRPr="002D2F67" w14:paraId="1A2E7EC7" w14:textId="77777777" w:rsidTr="4A0317FF">
        <w:trPr>
          <w:trHeight w:val="58"/>
        </w:trPr>
        <w:tc>
          <w:tcPr>
            <w:tcW w:w="3989" w:type="dxa"/>
            <w:shd w:val="clear" w:color="auto" w:fill="auto"/>
            <w:vAlign w:val="bottom"/>
          </w:tcPr>
          <w:p w14:paraId="2B27238B" w14:textId="77777777" w:rsidR="001D52AC" w:rsidRPr="002D2F67" w:rsidRDefault="001D52AC" w:rsidP="005611FE">
            <w:pPr>
              <w:ind w:left="432"/>
              <w:rPr>
                <w:rFonts w:ascii="Arial" w:hAnsi="Arial" w:cs="Arial"/>
                <w:color w:val="000000"/>
                <w:sz w:val="20"/>
                <w:szCs w:val="20"/>
              </w:rPr>
            </w:pPr>
          </w:p>
        </w:tc>
        <w:tc>
          <w:tcPr>
            <w:tcW w:w="1368" w:type="dxa"/>
            <w:tcBorders>
              <w:top w:val="single" w:sz="4" w:space="0" w:color="auto"/>
            </w:tcBorders>
            <w:shd w:val="clear" w:color="auto" w:fill="auto"/>
            <w:vAlign w:val="bottom"/>
          </w:tcPr>
          <w:p w14:paraId="178B5A8C" w14:textId="77777777" w:rsidR="001D52AC" w:rsidRPr="002D2F67" w:rsidRDefault="001D52AC" w:rsidP="005611FE">
            <w:pPr>
              <w:ind w:right="-72"/>
              <w:jc w:val="right"/>
              <w:rPr>
                <w:rFonts w:ascii="Arial" w:hAnsi="Arial" w:cs="Arial"/>
                <w:color w:val="000000"/>
                <w:sz w:val="20"/>
                <w:szCs w:val="20"/>
              </w:rPr>
            </w:pPr>
          </w:p>
        </w:tc>
        <w:tc>
          <w:tcPr>
            <w:tcW w:w="1368" w:type="dxa"/>
            <w:tcBorders>
              <w:top w:val="single" w:sz="4" w:space="0" w:color="auto"/>
            </w:tcBorders>
            <w:shd w:val="clear" w:color="auto" w:fill="auto"/>
            <w:vAlign w:val="bottom"/>
          </w:tcPr>
          <w:p w14:paraId="581D7889" w14:textId="77777777" w:rsidR="001D52AC" w:rsidRPr="002D2F67" w:rsidRDefault="001D52AC" w:rsidP="005611FE">
            <w:pPr>
              <w:ind w:right="-72"/>
              <w:jc w:val="right"/>
              <w:rPr>
                <w:rFonts w:ascii="Arial" w:hAnsi="Arial" w:cs="Arial"/>
                <w:color w:val="000000"/>
                <w:sz w:val="20"/>
                <w:szCs w:val="20"/>
              </w:rPr>
            </w:pPr>
          </w:p>
        </w:tc>
        <w:tc>
          <w:tcPr>
            <w:tcW w:w="1368" w:type="dxa"/>
            <w:tcBorders>
              <w:top w:val="single" w:sz="4" w:space="0" w:color="auto"/>
            </w:tcBorders>
            <w:shd w:val="clear" w:color="auto" w:fill="auto"/>
            <w:vAlign w:val="bottom"/>
          </w:tcPr>
          <w:p w14:paraId="7DA60B23" w14:textId="77777777" w:rsidR="001D52AC" w:rsidRPr="002D2F67" w:rsidRDefault="001D52AC" w:rsidP="005611FE">
            <w:pPr>
              <w:ind w:right="-72"/>
              <w:jc w:val="right"/>
              <w:rPr>
                <w:rFonts w:ascii="Arial" w:hAnsi="Arial" w:cs="Arial"/>
                <w:color w:val="000000"/>
                <w:sz w:val="20"/>
                <w:szCs w:val="20"/>
              </w:rPr>
            </w:pPr>
          </w:p>
        </w:tc>
        <w:tc>
          <w:tcPr>
            <w:tcW w:w="1368" w:type="dxa"/>
            <w:tcBorders>
              <w:top w:val="single" w:sz="4" w:space="0" w:color="auto"/>
            </w:tcBorders>
            <w:shd w:val="clear" w:color="auto" w:fill="auto"/>
            <w:vAlign w:val="bottom"/>
          </w:tcPr>
          <w:p w14:paraId="66064914" w14:textId="77777777" w:rsidR="001D52AC" w:rsidRPr="002D2F67" w:rsidRDefault="001D52AC" w:rsidP="005611FE">
            <w:pPr>
              <w:ind w:right="-72"/>
              <w:jc w:val="right"/>
              <w:rPr>
                <w:rFonts w:ascii="Arial" w:hAnsi="Arial" w:cs="Arial"/>
                <w:color w:val="000000"/>
                <w:sz w:val="20"/>
                <w:szCs w:val="20"/>
              </w:rPr>
            </w:pPr>
          </w:p>
        </w:tc>
      </w:tr>
      <w:tr w:rsidR="001D52AC" w:rsidRPr="002D2F67" w14:paraId="6E2E6C39" w14:textId="77777777" w:rsidTr="4A0317FF">
        <w:tc>
          <w:tcPr>
            <w:tcW w:w="3989" w:type="dxa"/>
            <w:shd w:val="clear" w:color="auto" w:fill="auto"/>
            <w:vAlign w:val="bottom"/>
          </w:tcPr>
          <w:p w14:paraId="04C24B19" w14:textId="3AF2E0B8" w:rsidR="001D52AC" w:rsidRPr="002D2F67" w:rsidRDefault="001D52AC" w:rsidP="005611FE">
            <w:pPr>
              <w:ind w:left="432"/>
              <w:rPr>
                <w:rFonts w:ascii="Arial" w:hAnsi="Arial" w:cs="Arial"/>
                <w:color w:val="000000"/>
                <w:sz w:val="20"/>
                <w:szCs w:val="20"/>
              </w:rPr>
            </w:pPr>
            <w:r w:rsidRPr="002D2F67">
              <w:rPr>
                <w:rFonts w:ascii="Arial" w:hAnsi="Arial" w:cs="Arial"/>
                <w:color w:val="000000"/>
                <w:sz w:val="20"/>
                <w:szCs w:val="20"/>
              </w:rPr>
              <w:t>Total debenture, net</w:t>
            </w:r>
          </w:p>
        </w:tc>
        <w:tc>
          <w:tcPr>
            <w:tcW w:w="1368" w:type="dxa"/>
            <w:tcBorders>
              <w:bottom w:val="single" w:sz="4" w:space="0" w:color="auto"/>
            </w:tcBorders>
            <w:shd w:val="clear" w:color="auto" w:fill="auto"/>
          </w:tcPr>
          <w:p w14:paraId="2CC7B767" w14:textId="20532B3D" w:rsidR="001D52AC"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31</w:t>
            </w:r>
            <w:r w:rsidR="009D4310" w:rsidRPr="002D2F67">
              <w:rPr>
                <w:rFonts w:ascii="Arial" w:hAnsi="Arial" w:cs="Arial"/>
                <w:color w:val="000000"/>
                <w:sz w:val="20"/>
                <w:szCs w:val="20"/>
              </w:rPr>
              <w:t>,</w:t>
            </w:r>
            <w:r w:rsidRPr="00CD5714">
              <w:rPr>
                <w:rFonts w:ascii="Arial" w:hAnsi="Arial" w:cs="Arial"/>
                <w:color w:val="000000"/>
                <w:sz w:val="20"/>
                <w:szCs w:val="20"/>
                <w:lang w:val="en-GB"/>
              </w:rPr>
              <w:t>152</w:t>
            </w:r>
          </w:p>
        </w:tc>
        <w:tc>
          <w:tcPr>
            <w:tcW w:w="1368" w:type="dxa"/>
            <w:tcBorders>
              <w:bottom w:val="single" w:sz="4" w:space="0" w:color="auto"/>
            </w:tcBorders>
            <w:shd w:val="clear" w:color="auto" w:fill="auto"/>
          </w:tcPr>
          <w:p w14:paraId="04D3C28A" w14:textId="52DE62C5" w:rsidR="001D52AC"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31</w:t>
            </w:r>
            <w:r w:rsidR="001D52AC" w:rsidRPr="002D2F67">
              <w:rPr>
                <w:rFonts w:ascii="Arial" w:hAnsi="Arial" w:cs="Arial"/>
                <w:color w:val="000000"/>
                <w:sz w:val="20"/>
                <w:szCs w:val="20"/>
              </w:rPr>
              <w:t>,</w:t>
            </w:r>
            <w:r w:rsidRPr="00CD5714">
              <w:rPr>
                <w:rFonts w:ascii="Arial" w:hAnsi="Arial" w:cs="Arial"/>
                <w:color w:val="000000"/>
                <w:sz w:val="20"/>
                <w:szCs w:val="20"/>
                <w:lang w:val="en-GB"/>
              </w:rPr>
              <w:t>144</w:t>
            </w:r>
          </w:p>
        </w:tc>
        <w:tc>
          <w:tcPr>
            <w:tcW w:w="1368" w:type="dxa"/>
            <w:tcBorders>
              <w:bottom w:val="single" w:sz="4" w:space="0" w:color="auto"/>
            </w:tcBorders>
            <w:shd w:val="clear" w:color="auto" w:fill="auto"/>
          </w:tcPr>
          <w:p w14:paraId="4ADACC9F" w14:textId="0F9F3F25" w:rsidR="001D52AC"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31</w:t>
            </w:r>
            <w:r w:rsidR="005F5EB4" w:rsidRPr="002D2F67">
              <w:rPr>
                <w:rFonts w:ascii="Arial" w:hAnsi="Arial" w:cs="Arial"/>
                <w:color w:val="000000"/>
                <w:sz w:val="20"/>
                <w:szCs w:val="20"/>
              </w:rPr>
              <w:t>,</w:t>
            </w:r>
            <w:r w:rsidRPr="00CD5714">
              <w:rPr>
                <w:rFonts w:ascii="Arial" w:hAnsi="Arial" w:cs="Arial"/>
                <w:color w:val="000000"/>
                <w:sz w:val="20"/>
                <w:szCs w:val="20"/>
                <w:lang w:val="en-GB"/>
              </w:rPr>
              <w:t>152</w:t>
            </w:r>
          </w:p>
        </w:tc>
        <w:tc>
          <w:tcPr>
            <w:tcW w:w="1368" w:type="dxa"/>
            <w:tcBorders>
              <w:bottom w:val="single" w:sz="4" w:space="0" w:color="auto"/>
            </w:tcBorders>
            <w:shd w:val="clear" w:color="auto" w:fill="auto"/>
          </w:tcPr>
          <w:p w14:paraId="46E8DB35" w14:textId="3092D76D" w:rsidR="001D52AC"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31</w:t>
            </w:r>
            <w:r w:rsidR="001D52AC" w:rsidRPr="002D2F67">
              <w:rPr>
                <w:rFonts w:ascii="Arial" w:hAnsi="Arial" w:cs="Arial"/>
                <w:color w:val="000000"/>
                <w:sz w:val="20"/>
                <w:szCs w:val="20"/>
              </w:rPr>
              <w:t>,</w:t>
            </w:r>
            <w:r w:rsidRPr="00CD5714">
              <w:rPr>
                <w:rFonts w:ascii="Arial" w:hAnsi="Arial" w:cs="Arial"/>
                <w:color w:val="000000"/>
                <w:sz w:val="20"/>
                <w:szCs w:val="20"/>
                <w:lang w:val="en-GB"/>
              </w:rPr>
              <w:t>144</w:t>
            </w:r>
          </w:p>
        </w:tc>
      </w:tr>
    </w:tbl>
    <w:p w14:paraId="24DF8E1A" w14:textId="77777777" w:rsidR="00676A23" w:rsidRPr="002D2F67" w:rsidRDefault="00676A23" w:rsidP="005611FE">
      <w:pPr>
        <w:pStyle w:val="BlockText"/>
        <w:ind w:left="540" w:right="0"/>
        <w:rPr>
          <w:rFonts w:ascii="Arial" w:hAnsi="Arial" w:cs="Arial"/>
          <w:color w:val="000000"/>
        </w:rPr>
      </w:pPr>
    </w:p>
    <w:p w14:paraId="7F351B41" w14:textId="796F0A99" w:rsidR="00F447D5" w:rsidRPr="002D2F67" w:rsidRDefault="00600821" w:rsidP="005611FE">
      <w:pPr>
        <w:pStyle w:val="BlockText"/>
        <w:ind w:left="540" w:right="0"/>
        <w:rPr>
          <w:rFonts w:ascii="Arial" w:hAnsi="Arial" w:cs="Arial"/>
          <w:color w:val="000000"/>
        </w:rPr>
      </w:pPr>
      <w:r w:rsidRPr="002D2F67">
        <w:rPr>
          <w:rFonts w:ascii="Arial" w:hAnsi="Arial" w:cs="Arial"/>
          <w:color w:val="000000"/>
        </w:rPr>
        <w:t>An</w:t>
      </w:r>
      <w:r w:rsidR="00F447D5" w:rsidRPr="002D2F67">
        <w:rPr>
          <w:rFonts w:ascii="Arial" w:hAnsi="Arial" w:cs="Arial"/>
          <w:color w:val="000000"/>
        </w:rPr>
        <w:t xml:space="preserve"> analysis by maturit</w:t>
      </w:r>
      <w:r w:rsidRPr="002D2F67">
        <w:rPr>
          <w:rFonts w:ascii="Arial" w:hAnsi="Arial" w:cs="Arial"/>
          <w:color w:val="000000"/>
        </w:rPr>
        <w:t>ies</w:t>
      </w:r>
      <w:r w:rsidR="00F447D5" w:rsidRPr="002D2F67">
        <w:rPr>
          <w:rFonts w:ascii="Arial" w:hAnsi="Arial" w:cs="Arial"/>
          <w:color w:val="000000"/>
        </w:rPr>
        <w:t xml:space="preserve"> is </w:t>
      </w:r>
      <w:r w:rsidRPr="002D2F67">
        <w:rPr>
          <w:rFonts w:ascii="Arial" w:hAnsi="Arial" w:cs="Arial"/>
          <w:color w:val="000000"/>
        </w:rPr>
        <w:t>provided</w:t>
      </w:r>
      <w:r w:rsidR="00F447D5" w:rsidRPr="002D2F67">
        <w:rPr>
          <w:rFonts w:ascii="Arial" w:hAnsi="Arial" w:cs="Arial"/>
          <w:color w:val="000000"/>
        </w:rPr>
        <w:t xml:space="preserve"> in Note </w:t>
      </w:r>
      <w:r w:rsidR="00CD5714" w:rsidRPr="00CD5714">
        <w:rPr>
          <w:rFonts w:ascii="Arial" w:hAnsi="Arial" w:cs="Arial"/>
          <w:color w:val="000000"/>
          <w:lang w:val="en-GB"/>
        </w:rPr>
        <w:t>6</w:t>
      </w:r>
      <w:r w:rsidR="00F447D5" w:rsidRPr="002D2F67">
        <w:rPr>
          <w:rFonts w:ascii="Arial" w:hAnsi="Arial" w:cs="Arial"/>
          <w:color w:val="000000"/>
        </w:rPr>
        <w:t>.</w:t>
      </w:r>
      <w:r w:rsidR="00CD5714" w:rsidRPr="00CD5714">
        <w:rPr>
          <w:rFonts w:ascii="Arial" w:hAnsi="Arial" w:cs="Arial"/>
          <w:color w:val="000000"/>
          <w:lang w:val="en-GB"/>
        </w:rPr>
        <w:t>1</w:t>
      </w:r>
      <w:r w:rsidR="00F447D5" w:rsidRPr="002D2F67">
        <w:rPr>
          <w:rFonts w:ascii="Arial" w:hAnsi="Arial" w:cs="Arial"/>
          <w:color w:val="000000"/>
        </w:rPr>
        <w:t>.</w:t>
      </w:r>
      <w:r w:rsidR="00CD5714" w:rsidRPr="00CD5714">
        <w:rPr>
          <w:rFonts w:ascii="Arial" w:hAnsi="Arial" w:cs="Arial"/>
          <w:color w:val="000000"/>
          <w:lang w:val="en-GB"/>
        </w:rPr>
        <w:t>3</w:t>
      </w:r>
      <w:r w:rsidR="00F447D5" w:rsidRPr="002D2F67">
        <w:rPr>
          <w:rFonts w:ascii="Arial" w:hAnsi="Arial" w:cs="Arial"/>
          <w:color w:val="000000"/>
        </w:rPr>
        <w:t>.</w:t>
      </w:r>
    </w:p>
    <w:p w14:paraId="4D1AB153" w14:textId="2975646D" w:rsidR="2856E6F5" w:rsidRPr="002D2F67" w:rsidRDefault="2856E6F5" w:rsidP="005611FE">
      <w:pPr>
        <w:pStyle w:val="BlockText"/>
        <w:ind w:left="540" w:right="0"/>
        <w:rPr>
          <w:rFonts w:ascii="Arial" w:hAnsi="Arial" w:cs="Arial"/>
          <w:i/>
          <w:iCs/>
          <w:color w:val="000000"/>
        </w:rPr>
      </w:pPr>
    </w:p>
    <w:p w14:paraId="2D674E11" w14:textId="0577AD8B" w:rsidR="2A1FE37B" w:rsidRPr="002D2F67" w:rsidRDefault="2A1FE37B" w:rsidP="005611FE">
      <w:pPr>
        <w:pStyle w:val="BlockText"/>
        <w:ind w:left="540" w:right="0"/>
        <w:rPr>
          <w:rFonts w:ascii="Arial" w:hAnsi="Arial" w:cs="Arial"/>
          <w:color w:val="000000"/>
          <w:u w:val="single"/>
        </w:rPr>
      </w:pPr>
      <w:r w:rsidRPr="002D2F67">
        <w:rPr>
          <w:rFonts w:ascii="Arial" w:hAnsi="Arial" w:cs="Arial"/>
          <w:color w:val="000000"/>
          <w:u w:val="single"/>
        </w:rPr>
        <w:t>Instruments used by the Group</w:t>
      </w:r>
      <w:r w:rsidR="00B9347A" w:rsidRPr="002D2F67">
        <w:rPr>
          <w:rFonts w:ascii="Arial" w:hAnsi="Arial" w:cs="Arial"/>
          <w:color w:val="000000"/>
          <w:u w:val="single"/>
        </w:rPr>
        <w:t xml:space="preserve"> to manage risks</w:t>
      </w:r>
    </w:p>
    <w:p w14:paraId="0E547E90" w14:textId="127400C0" w:rsidR="2856E6F5" w:rsidRPr="002D2F67" w:rsidRDefault="2856E6F5" w:rsidP="005611FE">
      <w:pPr>
        <w:pStyle w:val="BlockText"/>
        <w:ind w:left="540" w:right="0"/>
        <w:rPr>
          <w:rFonts w:ascii="Arial" w:hAnsi="Arial" w:cs="Arial"/>
          <w:i/>
          <w:iCs/>
          <w:color w:val="000000"/>
        </w:rPr>
      </w:pPr>
    </w:p>
    <w:p w14:paraId="3C729B9E" w14:textId="506959C0" w:rsidR="2A1FE37B" w:rsidRPr="002D2F67" w:rsidRDefault="2A1FE37B" w:rsidP="00D21F5E">
      <w:pPr>
        <w:pStyle w:val="BlockText"/>
        <w:ind w:left="540" w:right="0"/>
        <w:rPr>
          <w:rFonts w:ascii="Arial" w:hAnsi="Arial" w:cs="Arial"/>
          <w:color w:val="000000"/>
        </w:rPr>
      </w:pPr>
      <w:r w:rsidRPr="002D2F67">
        <w:rPr>
          <w:rFonts w:ascii="Arial" w:hAnsi="Arial" w:cs="Arial"/>
          <w:color w:val="000000"/>
        </w:rPr>
        <w:t>The Group entered interest rate swaps</w:t>
      </w:r>
      <w:r w:rsidR="00600C5B" w:rsidRPr="002D2F67">
        <w:rPr>
          <w:rFonts w:ascii="Arial" w:hAnsi="Arial" w:cs="Arial"/>
          <w:color w:val="000000"/>
        </w:rPr>
        <w:t xml:space="preserve"> </w:t>
      </w:r>
      <w:r w:rsidR="3E12C44B" w:rsidRPr="002D2F67">
        <w:rPr>
          <w:rFonts w:ascii="Arial" w:hAnsi="Arial" w:cs="Arial"/>
          <w:color w:val="000000"/>
        </w:rPr>
        <w:t>contracts</w:t>
      </w:r>
      <w:r w:rsidR="00600C5B" w:rsidRPr="002D2F67">
        <w:rPr>
          <w:rFonts w:ascii="Arial" w:hAnsi="Arial" w:cs="Arial"/>
          <w:color w:val="000000"/>
        </w:rPr>
        <w:t xml:space="preserve"> covering </w:t>
      </w:r>
      <w:r w:rsidR="00CD5714" w:rsidRPr="00CD5714">
        <w:rPr>
          <w:rFonts w:ascii="Arial" w:hAnsi="Arial" w:cs="Arial"/>
          <w:color w:val="000000"/>
          <w:lang w:val="en-GB"/>
        </w:rPr>
        <w:t>59</w:t>
      </w:r>
      <w:r w:rsidR="00600C5B" w:rsidRPr="002D2F67">
        <w:rPr>
          <w:rFonts w:ascii="Arial" w:hAnsi="Arial" w:cs="Arial"/>
          <w:color w:val="000000"/>
        </w:rPr>
        <w:t>% (</w:t>
      </w:r>
      <w:r w:rsidR="00CD5714" w:rsidRPr="00CD5714">
        <w:rPr>
          <w:rFonts w:ascii="Arial" w:hAnsi="Arial" w:cs="Arial"/>
          <w:color w:val="000000"/>
          <w:lang w:val="en-GB"/>
        </w:rPr>
        <w:t>2023</w:t>
      </w:r>
      <w:r w:rsidR="00600C5B" w:rsidRPr="002D2F67">
        <w:rPr>
          <w:rFonts w:ascii="Arial" w:hAnsi="Arial" w:cs="Arial"/>
          <w:color w:val="000000"/>
        </w:rPr>
        <w:t xml:space="preserve">: </w:t>
      </w:r>
      <w:r w:rsidR="00CD5714" w:rsidRPr="00CD5714">
        <w:rPr>
          <w:rFonts w:ascii="Arial" w:hAnsi="Arial" w:cs="Arial"/>
          <w:color w:val="000000"/>
          <w:lang w:val="en-GB"/>
        </w:rPr>
        <w:t>9</w:t>
      </w:r>
      <w:r w:rsidR="00600C5B" w:rsidRPr="002D2F67">
        <w:rPr>
          <w:rFonts w:ascii="Arial" w:hAnsi="Arial" w:cs="Arial"/>
          <w:color w:val="000000"/>
        </w:rPr>
        <w:t xml:space="preserve">%) of the principal of floating </w:t>
      </w:r>
      <w:r w:rsidR="00600C5B" w:rsidRPr="002D2F67">
        <w:rPr>
          <w:rFonts w:ascii="Arial" w:hAnsi="Arial" w:cs="Arial"/>
          <w:color w:val="000000"/>
          <w:spacing w:val="-4"/>
        </w:rPr>
        <w:t>interest rate loans</w:t>
      </w:r>
      <w:r w:rsidR="3E12C44B" w:rsidRPr="002D2F67">
        <w:rPr>
          <w:rFonts w:ascii="Arial" w:hAnsi="Arial" w:cs="Arial"/>
          <w:color w:val="000000"/>
          <w:spacing w:val="-4"/>
        </w:rPr>
        <w:t>.</w:t>
      </w:r>
      <w:r w:rsidRPr="002D2F67">
        <w:rPr>
          <w:rFonts w:ascii="Arial" w:hAnsi="Arial" w:cs="Arial"/>
          <w:color w:val="000000"/>
          <w:spacing w:val="-4"/>
        </w:rPr>
        <w:t xml:space="preserve"> The fi</w:t>
      </w:r>
      <w:r w:rsidR="6F1F9AE7" w:rsidRPr="002D2F67">
        <w:rPr>
          <w:rFonts w:ascii="Arial" w:hAnsi="Arial" w:cs="Arial"/>
          <w:color w:val="000000"/>
          <w:spacing w:val="-4"/>
        </w:rPr>
        <w:t xml:space="preserve">xed interest rate </w:t>
      </w:r>
      <w:r w:rsidR="00600C5B" w:rsidRPr="002D2F67">
        <w:rPr>
          <w:rFonts w:ascii="Arial" w:hAnsi="Arial" w:cs="Arial"/>
          <w:color w:val="000000"/>
          <w:spacing w:val="-4"/>
        </w:rPr>
        <w:t xml:space="preserve">under the interest rate swap contracts from </w:t>
      </w:r>
      <w:r w:rsidR="00CD5714" w:rsidRPr="00CD5714">
        <w:rPr>
          <w:rFonts w:ascii="Arial" w:hAnsi="Arial" w:cs="Arial"/>
          <w:color w:val="000000"/>
          <w:spacing w:val="-4"/>
          <w:lang w:val="en-GB"/>
        </w:rPr>
        <w:t>3</w:t>
      </w:r>
      <w:r w:rsidR="00600C5B" w:rsidRPr="002D2F67">
        <w:rPr>
          <w:rFonts w:ascii="Arial" w:hAnsi="Arial" w:cs="Arial"/>
          <w:color w:val="000000"/>
          <w:spacing w:val="-4"/>
        </w:rPr>
        <w:t>.</w:t>
      </w:r>
      <w:r w:rsidR="00CD5714" w:rsidRPr="00CD5714">
        <w:rPr>
          <w:rFonts w:ascii="Arial" w:hAnsi="Arial" w:cs="Arial"/>
          <w:color w:val="000000"/>
          <w:spacing w:val="-4"/>
          <w:lang w:val="en-GB"/>
        </w:rPr>
        <w:t>54</w:t>
      </w:r>
      <w:r w:rsidR="00600C5B" w:rsidRPr="002D2F67">
        <w:rPr>
          <w:rFonts w:ascii="Arial" w:hAnsi="Arial" w:cs="Arial"/>
          <w:color w:val="000000"/>
          <w:spacing w:val="-4"/>
        </w:rPr>
        <w:t xml:space="preserve">% to </w:t>
      </w:r>
      <w:r w:rsidR="00CD5714" w:rsidRPr="00CD5714">
        <w:rPr>
          <w:rFonts w:ascii="Arial" w:hAnsi="Arial" w:cs="Arial"/>
          <w:color w:val="000000"/>
          <w:spacing w:val="-4"/>
          <w:lang w:val="en-GB"/>
        </w:rPr>
        <w:t>4</w:t>
      </w:r>
      <w:r w:rsidR="00600C5B" w:rsidRPr="002D2F67">
        <w:rPr>
          <w:rFonts w:ascii="Arial" w:hAnsi="Arial" w:cs="Arial"/>
          <w:color w:val="000000"/>
          <w:spacing w:val="-4"/>
        </w:rPr>
        <w:t>.</w:t>
      </w:r>
      <w:r w:rsidR="00CD5714" w:rsidRPr="00CD5714">
        <w:rPr>
          <w:rFonts w:ascii="Arial" w:hAnsi="Arial" w:cs="Arial"/>
          <w:color w:val="000000"/>
          <w:spacing w:val="-4"/>
          <w:lang w:val="en-GB"/>
        </w:rPr>
        <w:t>20</w:t>
      </w:r>
      <w:r w:rsidR="00600C5B" w:rsidRPr="002D2F67">
        <w:rPr>
          <w:rFonts w:ascii="Arial" w:hAnsi="Arial" w:cs="Arial"/>
          <w:color w:val="000000"/>
          <w:spacing w:val="-4"/>
        </w:rPr>
        <w:t>%</w:t>
      </w:r>
      <w:r w:rsidR="00600C5B" w:rsidRPr="002D2F67">
        <w:rPr>
          <w:rFonts w:ascii="Arial" w:hAnsi="Arial" w:cs="Arial"/>
          <w:color w:val="000000"/>
        </w:rPr>
        <w:t xml:space="preserve"> </w:t>
      </w:r>
      <w:r w:rsidR="00AA1524" w:rsidRPr="002D2F67">
        <w:rPr>
          <w:rFonts w:ascii="Arial" w:hAnsi="Arial" w:cs="Arial"/>
          <w:color w:val="000000"/>
        </w:rPr>
        <w:br/>
      </w:r>
      <w:r w:rsidR="3E3116AC" w:rsidRPr="002D2F67">
        <w:rPr>
          <w:rFonts w:ascii="Arial" w:hAnsi="Arial" w:cs="Arial"/>
          <w:color w:val="000000"/>
        </w:rPr>
        <w:t xml:space="preserve">per annum </w:t>
      </w:r>
      <w:r w:rsidR="6F1F9AE7" w:rsidRPr="002D2F67">
        <w:rPr>
          <w:rFonts w:ascii="Arial" w:hAnsi="Arial" w:cs="Arial"/>
          <w:color w:val="000000"/>
        </w:rPr>
        <w:t>(</w:t>
      </w:r>
      <w:r w:rsidR="00CD5714" w:rsidRPr="00CD5714">
        <w:rPr>
          <w:rFonts w:ascii="Arial" w:hAnsi="Arial" w:cs="Arial"/>
          <w:color w:val="000000"/>
          <w:lang w:val="en-GB"/>
        </w:rPr>
        <w:t>2023</w:t>
      </w:r>
      <w:r w:rsidR="32B4B49B" w:rsidRPr="002D2F67">
        <w:rPr>
          <w:rFonts w:ascii="Arial" w:hAnsi="Arial" w:cs="Arial"/>
          <w:color w:val="000000"/>
        </w:rPr>
        <w:t xml:space="preserve">: </w:t>
      </w:r>
      <w:r w:rsidR="00CD5714" w:rsidRPr="00CD5714">
        <w:rPr>
          <w:rFonts w:ascii="Arial" w:hAnsi="Arial" w:cs="Arial"/>
          <w:color w:val="000000"/>
          <w:lang w:val="en-GB"/>
        </w:rPr>
        <w:t>4</w:t>
      </w:r>
      <w:r w:rsidR="001D52AC" w:rsidRPr="002D2F67">
        <w:rPr>
          <w:rFonts w:ascii="Arial" w:hAnsi="Arial" w:cs="Arial"/>
          <w:color w:val="000000"/>
        </w:rPr>
        <w:t>.</w:t>
      </w:r>
      <w:r w:rsidR="00CD5714" w:rsidRPr="00CD5714">
        <w:rPr>
          <w:rFonts w:ascii="Arial" w:hAnsi="Arial" w:cs="Arial"/>
          <w:color w:val="000000"/>
          <w:lang w:val="en-GB"/>
        </w:rPr>
        <w:t>20</w:t>
      </w:r>
      <w:r w:rsidR="001D52AC" w:rsidRPr="002D2F67">
        <w:rPr>
          <w:rFonts w:ascii="Arial" w:hAnsi="Arial" w:cs="Arial"/>
          <w:color w:val="000000"/>
        </w:rPr>
        <w:t>% per annum</w:t>
      </w:r>
      <w:r w:rsidR="32B4B49B" w:rsidRPr="002D2F67">
        <w:rPr>
          <w:rFonts w:ascii="Arial" w:hAnsi="Arial" w:cs="Arial"/>
          <w:color w:val="000000"/>
        </w:rPr>
        <w:t>)</w:t>
      </w:r>
      <w:r w:rsidR="515933C4" w:rsidRPr="002D2F67">
        <w:rPr>
          <w:rFonts w:ascii="Arial" w:hAnsi="Arial" w:cs="Arial"/>
          <w:color w:val="000000"/>
        </w:rPr>
        <w:t xml:space="preserve">, and the variable interest rates </w:t>
      </w:r>
      <w:r w:rsidR="00600C5B" w:rsidRPr="002D2F67">
        <w:rPr>
          <w:rFonts w:ascii="Arial" w:hAnsi="Arial" w:cs="Arial"/>
          <w:color w:val="000000"/>
        </w:rPr>
        <w:t xml:space="preserve">have a spread over </w:t>
      </w:r>
      <w:r w:rsidR="00600C5B" w:rsidRPr="002D2F67">
        <w:rPr>
          <w:rFonts w:ascii="Arial" w:hAnsi="Arial" w:cs="Arial"/>
          <w:color w:val="000000"/>
          <w:spacing w:val="-6"/>
        </w:rPr>
        <w:t xml:space="preserve">the market reference rate as disclosed in Note </w:t>
      </w:r>
      <w:r w:rsidR="00CD5714" w:rsidRPr="00CD5714">
        <w:rPr>
          <w:rFonts w:ascii="Arial" w:hAnsi="Arial" w:cs="Arial"/>
          <w:color w:val="000000"/>
          <w:spacing w:val="-6"/>
          <w:lang w:val="en-GB"/>
        </w:rPr>
        <w:t>29</w:t>
      </w:r>
      <w:r w:rsidR="00600C5B" w:rsidRPr="002D2F67">
        <w:rPr>
          <w:rFonts w:ascii="Arial" w:hAnsi="Arial" w:cs="Arial"/>
          <w:color w:val="000000"/>
          <w:spacing w:val="-6"/>
        </w:rPr>
        <w:t xml:space="preserve">. </w:t>
      </w:r>
      <w:r w:rsidR="0059457B" w:rsidRPr="002D2F67">
        <w:rPr>
          <w:rFonts w:ascii="Arial" w:hAnsi="Arial" w:cs="Arial"/>
          <w:color w:val="000000"/>
          <w:spacing w:val="-6"/>
        </w:rPr>
        <w:t>However, t</w:t>
      </w:r>
      <w:r w:rsidR="00600C5B" w:rsidRPr="002D2F67">
        <w:rPr>
          <w:rFonts w:ascii="Arial" w:hAnsi="Arial" w:cs="Arial"/>
          <w:color w:val="000000"/>
          <w:spacing w:val="-6"/>
        </w:rPr>
        <w:t>he group has not adopted hedge accounting</w:t>
      </w:r>
      <w:r w:rsidR="00600C5B" w:rsidRPr="002D2F67">
        <w:rPr>
          <w:rFonts w:ascii="Arial" w:hAnsi="Arial" w:cs="Arial"/>
          <w:color w:val="000000"/>
        </w:rPr>
        <w:t>.</w:t>
      </w:r>
    </w:p>
    <w:p w14:paraId="315C2F16" w14:textId="77777777" w:rsidR="00955811" w:rsidRPr="002D2F67" w:rsidRDefault="00955811" w:rsidP="005611FE">
      <w:pPr>
        <w:pStyle w:val="BlockText"/>
        <w:ind w:left="540" w:right="0"/>
        <w:rPr>
          <w:rFonts w:ascii="Arial" w:hAnsi="Arial" w:cs="Arial"/>
          <w:color w:val="000000"/>
        </w:rPr>
      </w:pPr>
    </w:p>
    <w:p w14:paraId="381EAA7A" w14:textId="77777777" w:rsidR="00B30E9E" w:rsidRPr="002D2F67" w:rsidRDefault="00B30E9E" w:rsidP="005611FE">
      <w:pPr>
        <w:ind w:left="510"/>
        <w:outlineLvl w:val="4"/>
        <w:rPr>
          <w:rFonts w:ascii="Arial" w:hAnsi="Arial" w:cs="Arial"/>
          <w:i/>
          <w:iCs/>
          <w:color w:val="000000"/>
          <w:sz w:val="20"/>
          <w:szCs w:val="20"/>
        </w:rPr>
      </w:pPr>
      <w:r w:rsidRPr="002D2F67">
        <w:rPr>
          <w:rFonts w:ascii="Arial" w:hAnsi="Arial" w:cs="Arial"/>
          <w:i/>
          <w:iCs/>
          <w:color w:val="000000"/>
          <w:sz w:val="20"/>
          <w:szCs w:val="20"/>
        </w:rPr>
        <w:t>Sensitivity</w:t>
      </w:r>
    </w:p>
    <w:p w14:paraId="65818D9E" w14:textId="77777777" w:rsidR="00955811" w:rsidRPr="002D2F67" w:rsidRDefault="00955811" w:rsidP="005611FE">
      <w:pPr>
        <w:ind w:left="540"/>
        <w:jc w:val="both"/>
        <w:rPr>
          <w:rFonts w:ascii="Arial" w:hAnsi="Arial" w:cs="Arial"/>
          <w:color w:val="000000"/>
          <w:sz w:val="20"/>
          <w:szCs w:val="20"/>
        </w:rPr>
      </w:pPr>
    </w:p>
    <w:p w14:paraId="7929CFB2" w14:textId="6D9686F3" w:rsidR="00190DED" w:rsidRPr="002D2F67" w:rsidRDefault="00B30E9E" w:rsidP="005611FE">
      <w:pPr>
        <w:ind w:left="540"/>
        <w:jc w:val="both"/>
        <w:rPr>
          <w:rFonts w:ascii="Arial" w:hAnsi="Arial" w:cs="Arial"/>
          <w:color w:val="000000"/>
          <w:sz w:val="20"/>
          <w:szCs w:val="20"/>
        </w:rPr>
      </w:pPr>
      <w:r w:rsidRPr="002D2F67">
        <w:rPr>
          <w:rFonts w:ascii="Arial" w:hAnsi="Arial" w:cs="Arial"/>
          <w:color w:val="000000"/>
          <w:sz w:val="20"/>
          <w:szCs w:val="20"/>
        </w:rPr>
        <w:t xml:space="preserve">Profit or loss is sensitive to higher or lower interest income from </w:t>
      </w:r>
      <w:r w:rsidR="001735E8" w:rsidRPr="002D2F67">
        <w:rPr>
          <w:rFonts w:ascii="Arial" w:hAnsi="Arial" w:cs="Arial"/>
          <w:color w:val="000000"/>
          <w:sz w:val="20"/>
          <w:szCs w:val="20"/>
        </w:rPr>
        <w:t>loans to related parties</w:t>
      </w:r>
      <w:r w:rsidRPr="002D2F67">
        <w:rPr>
          <w:rFonts w:ascii="Arial" w:hAnsi="Arial" w:cs="Arial"/>
          <w:color w:val="000000"/>
          <w:sz w:val="20"/>
          <w:szCs w:val="20"/>
        </w:rPr>
        <w:t xml:space="preserve">, and interest expenses from borrowings </w:t>
      </w:r>
      <w:proofErr w:type="gramStart"/>
      <w:r w:rsidRPr="002D2F67">
        <w:rPr>
          <w:rFonts w:ascii="Arial" w:hAnsi="Arial" w:cs="Arial"/>
          <w:color w:val="000000"/>
          <w:sz w:val="20"/>
          <w:szCs w:val="20"/>
        </w:rPr>
        <w:t>as a result of</w:t>
      </w:r>
      <w:proofErr w:type="gramEnd"/>
      <w:r w:rsidRPr="002D2F67">
        <w:rPr>
          <w:rFonts w:ascii="Arial" w:hAnsi="Arial" w:cs="Arial"/>
          <w:color w:val="000000"/>
          <w:sz w:val="20"/>
          <w:szCs w:val="20"/>
        </w:rPr>
        <w:t xml:space="preserve"> changes in interest rates. The sensitivity of profit or loss to changes in the </w:t>
      </w:r>
      <w:r w:rsidR="00B12CE5" w:rsidRPr="002D2F67">
        <w:rPr>
          <w:rFonts w:ascii="Arial" w:hAnsi="Arial" w:cs="Arial"/>
          <w:color w:val="000000"/>
          <w:sz w:val="20"/>
          <w:szCs w:val="20"/>
        </w:rPr>
        <w:t>interest</w:t>
      </w:r>
      <w:r w:rsidRPr="002D2F67">
        <w:rPr>
          <w:rFonts w:ascii="Arial" w:hAnsi="Arial" w:cs="Arial"/>
          <w:color w:val="000000"/>
          <w:sz w:val="20"/>
          <w:szCs w:val="20"/>
        </w:rPr>
        <w:t xml:space="preserve"> rates</w:t>
      </w:r>
      <w:r w:rsidR="001735E8" w:rsidRPr="002D2F67">
        <w:rPr>
          <w:rFonts w:ascii="Arial" w:hAnsi="Arial" w:cs="Arial"/>
          <w:color w:val="000000"/>
          <w:sz w:val="20"/>
          <w:szCs w:val="20"/>
        </w:rPr>
        <w:t xml:space="preserve"> are as follows:</w:t>
      </w:r>
    </w:p>
    <w:p w14:paraId="38F2D138" w14:textId="77777777" w:rsidR="00955811" w:rsidRPr="002D2F67" w:rsidRDefault="00955811" w:rsidP="005611FE">
      <w:pPr>
        <w:ind w:left="540"/>
        <w:jc w:val="both"/>
        <w:rPr>
          <w:rFonts w:ascii="Arial" w:hAnsi="Arial" w:cs="Arial"/>
          <w:color w:val="000000"/>
          <w:sz w:val="20"/>
          <w:szCs w:val="20"/>
        </w:rPr>
      </w:pPr>
    </w:p>
    <w:tbl>
      <w:tblPr>
        <w:tblW w:w="9013" w:type="dxa"/>
        <w:tblInd w:w="558" w:type="dxa"/>
        <w:tblLayout w:type="fixed"/>
        <w:tblLook w:val="0000" w:firstRow="0" w:lastRow="0" w:firstColumn="0" w:lastColumn="0" w:noHBand="0" w:noVBand="0"/>
      </w:tblPr>
      <w:tblGrid>
        <w:gridCol w:w="3540"/>
        <w:gridCol w:w="1358"/>
        <w:gridCol w:w="1371"/>
        <w:gridCol w:w="1386"/>
        <w:gridCol w:w="1358"/>
      </w:tblGrid>
      <w:tr w:rsidR="001C51D8" w:rsidRPr="002D2F67" w14:paraId="6B939DA8" w14:textId="77777777" w:rsidTr="008255E8">
        <w:trPr>
          <w:cantSplit/>
        </w:trPr>
        <w:tc>
          <w:tcPr>
            <w:tcW w:w="3540" w:type="dxa"/>
            <w:shd w:val="clear" w:color="auto" w:fill="auto"/>
          </w:tcPr>
          <w:p w14:paraId="03BCAAAA" w14:textId="77777777" w:rsidR="001C51D8" w:rsidRPr="002D2F67" w:rsidRDefault="001C51D8" w:rsidP="005611FE">
            <w:pPr>
              <w:tabs>
                <w:tab w:val="left" w:pos="6840"/>
              </w:tabs>
              <w:ind w:left="-26"/>
              <w:rPr>
                <w:rFonts w:ascii="Arial" w:eastAsia="Arial Unicode MS" w:hAnsi="Arial" w:cs="Arial"/>
                <w:color w:val="000000"/>
                <w:sz w:val="20"/>
                <w:szCs w:val="20"/>
              </w:rPr>
            </w:pPr>
          </w:p>
        </w:tc>
        <w:tc>
          <w:tcPr>
            <w:tcW w:w="2729" w:type="dxa"/>
            <w:gridSpan w:val="2"/>
            <w:tcBorders>
              <w:bottom w:val="single" w:sz="4" w:space="0" w:color="auto"/>
            </w:tcBorders>
            <w:shd w:val="clear" w:color="auto" w:fill="auto"/>
          </w:tcPr>
          <w:p w14:paraId="77EBDE5F" w14:textId="2DB51A0E" w:rsidR="001C51D8" w:rsidRPr="002D2F67" w:rsidRDefault="001C51D8" w:rsidP="005611FE">
            <w:pPr>
              <w:tabs>
                <w:tab w:val="left" w:pos="6840"/>
              </w:tabs>
              <w:ind w:right="-72"/>
              <w:jc w:val="right"/>
              <w:rPr>
                <w:rFonts w:ascii="Arial" w:eastAsia="Arial Unicode MS" w:hAnsi="Arial" w:cs="Arial"/>
                <w:b/>
                <w:bCs/>
                <w:color w:val="000000"/>
                <w:sz w:val="20"/>
                <w:szCs w:val="20"/>
                <w:cs/>
              </w:rPr>
            </w:pPr>
            <w:r w:rsidRPr="002D2F67">
              <w:rPr>
                <w:rFonts w:ascii="Arial" w:hAnsi="Arial" w:cs="Arial"/>
                <w:b/>
                <w:bCs/>
                <w:color w:val="000000"/>
                <w:sz w:val="20"/>
                <w:szCs w:val="20"/>
              </w:rPr>
              <w:t>Consolidated financial statements</w:t>
            </w:r>
          </w:p>
        </w:tc>
        <w:tc>
          <w:tcPr>
            <w:tcW w:w="2744" w:type="dxa"/>
            <w:gridSpan w:val="2"/>
            <w:tcBorders>
              <w:bottom w:val="single" w:sz="4" w:space="0" w:color="auto"/>
            </w:tcBorders>
            <w:shd w:val="clear" w:color="auto" w:fill="auto"/>
          </w:tcPr>
          <w:p w14:paraId="2EBEDF92" w14:textId="20953BD2" w:rsidR="001C51D8" w:rsidRPr="002D2F67" w:rsidRDefault="001C51D8" w:rsidP="005611FE">
            <w:pPr>
              <w:tabs>
                <w:tab w:val="left" w:pos="6840"/>
              </w:tabs>
              <w:ind w:right="-72"/>
              <w:jc w:val="right"/>
              <w:rPr>
                <w:rFonts w:ascii="Arial" w:eastAsia="Arial Unicode MS" w:hAnsi="Arial" w:cs="Arial"/>
                <w:b/>
                <w:bCs/>
                <w:color w:val="000000"/>
                <w:sz w:val="20"/>
                <w:szCs w:val="20"/>
                <w:cs/>
              </w:rPr>
            </w:pPr>
            <w:r w:rsidRPr="002D2F67">
              <w:rPr>
                <w:rFonts w:ascii="Arial" w:hAnsi="Arial" w:cs="Arial"/>
                <w:b/>
                <w:bCs/>
                <w:color w:val="000000"/>
                <w:sz w:val="20"/>
                <w:szCs w:val="20"/>
              </w:rPr>
              <w:t>Separate financial statements</w:t>
            </w:r>
          </w:p>
        </w:tc>
      </w:tr>
      <w:tr w:rsidR="00806180" w:rsidRPr="002D2F67" w14:paraId="6C91A0CD" w14:textId="77777777" w:rsidTr="008255E8">
        <w:trPr>
          <w:cantSplit/>
        </w:trPr>
        <w:tc>
          <w:tcPr>
            <w:tcW w:w="3540" w:type="dxa"/>
            <w:shd w:val="clear" w:color="auto" w:fill="auto"/>
          </w:tcPr>
          <w:p w14:paraId="19142A06" w14:textId="77777777" w:rsidR="00806180" w:rsidRPr="002D2F67" w:rsidRDefault="00806180" w:rsidP="005611FE">
            <w:pPr>
              <w:tabs>
                <w:tab w:val="left" w:pos="6840"/>
              </w:tabs>
              <w:ind w:left="-26"/>
              <w:rPr>
                <w:rFonts w:ascii="Arial" w:eastAsia="Arial Unicode MS" w:hAnsi="Arial" w:cs="Arial"/>
                <w:color w:val="000000"/>
                <w:sz w:val="20"/>
                <w:szCs w:val="20"/>
              </w:rPr>
            </w:pPr>
          </w:p>
        </w:tc>
        <w:tc>
          <w:tcPr>
            <w:tcW w:w="1358" w:type="dxa"/>
            <w:tcBorders>
              <w:top w:val="single" w:sz="4" w:space="0" w:color="auto"/>
            </w:tcBorders>
            <w:shd w:val="clear" w:color="auto" w:fill="auto"/>
          </w:tcPr>
          <w:p w14:paraId="359CE28D" w14:textId="0B82762D" w:rsidR="00806180" w:rsidRPr="002D2F67" w:rsidRDefault="00CD5714" w:rsidP="005611FE">
            <w:pPr>
              <w:tabs>
                <w:tab w:val="left" w:pos="6840"/>
              </w:tabs>
              <w:ind w:right="-72"/>
              <w:jc w:val="right"/>
              <w:rPr>
                <w:rFonts w:ascii="Arial" w:eastAsia="Arial Unicode MS" w:hAnsi="Arial" w:cs="Arial"/>
                <w:b/>
                <w:bCs/>
                <w:color w:val="000000"/>
                <w:sz w:val="20"/>
                <w:szCs w:val="20"/>
              </w:rPr>
            </w:pPr>
            <w:r w:rsidRPr="00CD5714">
              <w:rPr>
                <w:rFonts w:ascii="Arial" w:eastAsia="Arial Unicode MS" w:hAnsi="Arial" w:cs="Arial"/>
                <w:b/>
                <w:bCs/>
                <w:color w:val="000000"/>
                <w:sz w:val="20"/>
                <w:szCs w:val="20"/>
                <w:lang w:val="en-GB"/>
              </w:rPr>
              <w:t>2024</w:t>
            </w:r>
          </w:p>
        </w:tc>
        <w:tc>
          <w:tcPr>
            <w:tcW w:w="1371" w:type="dxa"/>
            <w:tcBorders>
              <w:top w:val="single" w:sz="4" w:space="0" w:color="auto"/>
            </w:tcBorders>
            <w:shd w:val="clear" w:color="auto" w:fill="auto"/>
          </w:tcPr>
          <w:p w14:paraId="5EAC01CE" w14:textId="79CC32FC" w:rsidR="00806180" w:rsidRPr="002D2F67" w:rsidRDefault="00CD5714" w:rsidP="005611FE">
            <w:pPr>
              <w:tabs>
                <w:tab w:val="left" w:pos="6840"/>
              </w:tabs>
              <w:ind w:right="-72"/>
              <w:jc w:val="right"/>
              <w:rPr>
                <w:rFonts w:ascii="Arial" w:eastAsia="Arial Unicode MS" w:hAnsi="Arial" w:cs="Arial"/>
                <w:b/>
                <w:bCs/>
                <w:color w:val="000000"/>
                <w:sz w:val="20"/>
                <w:szCs w:val="20"/>
              </w:rPr>
            </w:pPr>
            <w:r w:rsidRPr="00CD5714">
              <w:rPr>
                <w:rFonts w:ascii="Arial" w:eastAsia="Arial Unicode MS" w:hAnsi="Arial" w:cs="Arial"/>
                <w:b/>
                <w:bCs/>
                <w:color w:val="000000"/>
                <w:sz w:val="20"/>
                <w:szCs w:val="20"/>
                <w:lang w:val="en-GB"/>
              </w:rPr>
              <w:t>2023</w:t>
            </w:r>
          </w:p>
        </w:tc>
        <w:tc>
          <w:tcPr>
            <w:tcW w:w="1386" w:type="dxa"/>
            <w:tcBorders>
              <w:top w:val="single" w:sz="4" w:space="0" w:color="auto"/>
            </w:tcBorders>
            <w:shd w:val="clear" w:color="auto" w:fill="auto"/>
          </w:tcPr>
          <w:p w14:paraId="07CE19BA" w14:textId="372213C0" w:rsidR="00806180" w:rsidRPr="002D2F67" w:rsidRDefault="00CD5714" w:rsidP="005611FE">
            <w:pPr>
              <w:tabs>
                <w:tab w:val="left" w:pos="6840"/>
              </w:tabs>
              <w:ind w:right="-72"/>
              <w:jc w:val="right"/>
              <w:rPr>
                <w:rFonts w:ascii="Arial" w:eastAsia="Arial Unicode MS" w:hAnsi="Arial" w:cs="Arial"/>
                <w:b/>
                <w:bCs/>
                <w:color w:val="000000"/>
                <w:sz w:val="20"/>
                <w:szCs w:val="20"/>
              </w:rPr>
            </w:pPr>
            <w:r w:rsidRPr="00CD5714">
              <w:rPr>
                <w:rFonts w:ascii="Arial" w:eastAsia="Arial Unicode MS" w:hAnsi="Arial" w:cs="Arial"/>
                <w:b/>
                <w:bCs/>
                <w:color w:val="000000"/>
                <w:sz w:val="20"/>
                <w:szCs w:val="20"/>
                <w:lang w:val="en-GB"/>
              </w:rPr>
              <w:t>2024</w:t>
            </w:r>
          </w:p>
        </w:tc>
        <w:tc>
          <w:tcPr>
            <w:tcW w:w="1358" w:type="dxa"/>
            <w:tcBorders>
              <w:top w:val="single" w:sz="4" w:space="0" w:color="auto"/>
            </w:tcBorders>
            <w:shd w:val="clear" w:color="auto" w:fill="auto"/>
          </w:tcPr>
          <w:p w14:paraId="08BD988A" w14:textId="3248D8D9" w:rsidR="00806180" w:rsidRPr="002D2F67" w:rsidRDefault="00CD5714" w:rsidP="005611FE">
            <w:pPr>
              <w:tabs>
                <w:tab w:val="left" w:pos="6840"/>
              </w:tabs>
              <w:ind w:right="-72"/>
              <w:jc w:val="right"/>
              <w:rPr>
                <w:rFonts w:ascii="Arial" w:eastAsia="Arial Unicode MS" w:hAnsi="Arial" w:cs="Arial"/>
                <w:b/>
                <w:bCs/>
                <w:color w:val="000000"/>
                <w:sz w:val="20"/>
                <w:szCs w:val="20"/>
              </w:rPr>
            </w:pPr>
            <w:r w:rsidRPr="00CD5714">
              <w:rPr>
                <w:rFonts w:ascii="Arial" w:eastAsia="Arial Unicode MS" w:hAnsi="Arial" w:cs="Arial"/>
                <w:b/>
                <w:bCs/>
                <w:color w:val="000000"/>
                <w:sz w:val="20"/>
                <w:szCs w:val="20"/>
                <w:lang w:val="en-GB"/>
              </w:rPr>
              <w:t>2023</w:t>
            </w:r>
          </w:p>
        </w:tc>
      </w:tr>
      <w:tr w:rsidR="001C51D8" w:rsidRPr="002D2F67" w14:paraId="65EF860B" w14:textId="77777777" w:rsidTr="005611FE">
        <w:trPr>
          <w:cantSplit/>
          <w:trHeight w:val="63"/>
        </w:trPr>
        <w:tc>
          <w:tcPr>
            <w:tcW w:w="3540" w:type="dxa"/>
            <w:shd w:val="clear" w:color="auto" w:fill="auto"/>
          </w:tcPr>
          <w:p w14:paraId="29D2BAEE" w14:textId="77777777" w:rsidR="001C51D8" w:rsidRPr="002D2F67" w:rsidRDefault="001C51D8" w:rsidP="005611FE">
            <w:pPr>
              <w:tabs>
                <w:tab w:val="left" w:pos="6840"/>
              </w:tabs>
              <w:ind w:left="-26"/>
              <w:rPr>
                <w:rFonts w:ascii="Arial" w:eastAsia="Arial Unicode MS" w:hAnsi="Arial" w:cs="Arial"/>
                <w:color w:val="000000"/>
                <w:sz w:val="20"/>
                <w:szCs w:val="20"/>
              </w:rPr>
            </w:pPr>
          </w:p>
        </w:tc>
        <w:tc>
          <w:tcPr>
            <w:tcW w:w="1358" w:type="dxa"/>
            <w:tcBorders>
              <w:bottom w:val="single" w:sz="4" w:space="0" w:color="auto"/>
            </w:tcBorders>
            <w:shd w:val="clear" w:color="auto" w:fill="auto"/>
          </w:tcPr>
          <w:p w14:paraId="145A0A04" w14:textId="15884A3C" w:rsidR="001C51D8" w:rsidRPr="002D2F67" w:rsidRDefault="001C51D8" w:rsidP="005611FE">
            <w:pPr>
              <w:tabs>
                <w:tab w:val="left" w:pos="6840"/>
              </w:tabs>
              <w:ind w:right="-72"/>
              <w:jc w:val="right"/>
              <w:rPr>
                <w:rFonts w:ascii="Arial" w:eastAsia="Arial Unicode MS" w:hAnsi="Arial" w:cs="Arial"/>
                <w:b/>
                <w:bCs/>
                <w:color w:val="000000"/>
                <w:sz w:val="20"/>
                <w:szCs w:val="20"/>
              </w:rPr>
            </w:pPr>
            <w:r w:rsidRPr="002D2F67">
              <w:rPr>
                <w:rFonts w:ascii="Arial" w:hAnsi="Arial" w:cs="Arial"/>
                <w:b/>
                <w:bCs/>
                <w:color w:val="000000"/>
                <w:sz w:val="20"/>
                <w:szCs w:val="20"/>
              </w:rPr>
              <w:t>Million Baht</w:t>
            </w:r>
          </w:p>
        </w:tc>
        <w:tc>
          <w:tcPr>
            <w:tcW w:w="1371" w:type="dxa"/>
            <w:tcBorders>
              <w:bottom w:val="single" w:sz="4" w:space="0" w:color="auto"/>
            </w:tcBorders>
            <w:shd w:val="clear" w:color="auto" w:fill="auto"/>
          </w:tcPr>
          <w:p w14:paraId="5D3EEEDA" w14:textId="65D76220" w:rsidR="001C51D8" w:rsidRPr="002D2F67" w:rsidRDefault="001C51D8" w:rsidP="005611FE">
            <w:pPr>
              <w:tabs>
                <w:tab w:val="left" w:pos="6840"/>
              </w:tabs>
              <w:ind w:right="-72"/>
              <w:jc w:val="right"/>
              <w:rPr>
                <w:rFonts w:ascii="Arial" w:eastAsia="Arial Unicode MS" w:hAnsi="Arial" w:cs="Arial"/>
                <w:b/>
                <w:bCs/>
                <w:color w:val="000000"/>
                <w:sz w:val="20"/>
                <w:szCs w:val="20"/>
              </w:rPr>
            </w:pPr>
            <w:r w:rsidRPr="002D2F67">
              <w:rPr>
                <w:rFonts w:ascii="Arial" w:hAnsi="Arial" w:cs="Arial"/>
                <w:b/>
                <w:bCs/>
                <w:color w:val="000000"/>
                <w:sz w:val="20"/>
                <w:szCs w:val="20"/>
              </w:rPr>
              <w:t>Million Baht</w:t>
            </w:r>
          </w:p>
        </w:tc>
        <w:tc>
          <w:tcPr>
            <w:tcW w:w="1386" w:type="dxa"/>
            <w:tcBorders>
              <w:bottom w:val="single" w:sz="4" w:space="0" w:color="auto"/>
            </w:tcBorders>
            <w:shd w:val="clear" w:color="auto" w:fill="auto"/>
          </w:tcPr>
          <w:p w14:paraId="525E1243" w14:textId="2C1BA91D" w:rsidR="001C51D8" w:rsidRPr="002D2F67" w:rsidRDefault="001C51D8" w:rsidP="005611FE">
            <w:pPr>
              <w:tabs>
                <w:tab w:val="left" w:pos="6840"/>
              </w:tabs>
              <w:ind w:right="-72"/>
              <w:jc w:val="right"/>
              <w:rPr>
                <w:rFonts w:ascii="Arial" w:eastAsia="Arial Unicode MS" w:hAnsi="Arial" w:cs="Arial"/>
                <w:b/>
                <w:bCs/>
                <w:color w:val="000000"/>
                <w:sz w:val="20"/>
                <w:szCs w:val="20"/>
              </w:rPr>
            </w:pPr>
            <w:r w:rsidRPr="002D2F67">
              <w:rPr>
                <w:rFonts w:ascii="Arial" w:hAnsi="Arial" w:cs="Arial"/>
                <w:b/>
                <w:bCs/>
                <w:color w:val="000000"/>
                <w:sz w:val="20"/>
                <w:szCs w:val="20"/>
              </w:rPr>
              <w:t>Million Baht</w:t>
            </w:r>
          </w:p>
        </w:tc>
        <w:tc>
          <w:tcPr>
            <w:tcW w:w="1358" w:type="dxa"/>
            <w:tcBorders>
              <w:bottom w:val="single" w:sz="4" w:space="0" w:color="auto"/>
            </w:tcBorders>
            <w:shd w:val="clear" w:color="auto" w:fill="auto"/>
          </w:tcPr>
          <w:p w14:paraId="7DEF71D9" w14:textId="1D7D6683" w:rsidR="001C51D8" w:rsidRPr="002D2F67" w:rsidRDefault="001C51D8" w:rsidP="005611FE">
            <w:pPr>
              <w:tabs>
                <w:tab w:val="left" w:pos="6840"/>
              </w:tabs>
              <w:ind w:right="-72"/>
              <w:jc w:val="right"/>
              <w:rPr>
                <w:rFonts w:ascii="Arial" w:eastAsia="Arial Unicode MS" w:hAnsi="Arial" w:cs="Arial"/>
                <w:b/>
                <w:bCs/>
                <w:color w:val="000000"/>
                <w:sz w:val="20"/>
                <w:szCs w:val="20"/>
              </w:rPr>
            </w:pPr>
            <w:r w:rsidRPr="002D2F67">
              <w:rPr>
                <w:rFonts w:ascii="Arial" w:hAnsi="Arial" w:cs="Arial"/>
                <w:b/>
                <w:bCs/>
                <w:color w:val="000000"/>
                <w:sz w:val="20"/>
                <w:szCs w:val="20"/>
              </w:rPr>
              <w:t>Million Baht</w:t>
            </w:r>
          </w:p>
        </w:tc>
      </w:tr>
      <w:tr w:rsidR="001C51D8" w:rsidRPr="002D2F67" w14:paraId="1B412F36" w14:textId="77777777" w:rsidTr="005611FE">
        <w:trPr>
          <w:cantSplit/>
        </w:trPr>
        <w:tc>
          <w:tcPr>
            <w:tcW w:w="3540" w:type="dxa"/>
            <w:tcBorders>
              <w:top w:val="nil"/>
              <w:left w:val="nil"/>
              <w:right w:val="nil"/>
            </w:tcBorders>
            <w:shd w:val="clear" w:color="auto" w:fill="auto"/>
          </w:tcPr>
          <w:p w14:paraId="30F649B6" w14:textId="77777777" w:rsidR="001C51D8" w:rsidRPr="002D2F67" w:rsidRDefault="001C51D8" w:rsidP="005611FE">
            <w:pPr>
              <w:ind w:left="-26" w:right="-31"/>
              <w:rPr>
                <w:rFonts w:ascii="Arial" w:eastAsia="Arial Unicode MS" w:hAnsi="Arial" w:cs="Arial"/>
                <w:color w:val="000000"/>
                <w:spacing w:val="-4"/>
                <w:sz w:val="20"/>
                <w:szCs w:val="20"/>
              </w:rPr>
            </w:pPr>
          </w:p>
        </w:tc>
        <w:tc>
          <w:tcPr>
            <w:tcW w:w="1358" w:type="dxa"/>
            <w:tcBorders>
              <w:top w:val="single" w:sz="4" w:space="0" w:color="auto"/>
            </w:tcBorders>
            <w:shd w:val="clear" w:color="auto" w:fill="auto"/>
          </w:tcPr>
          <w:p w14:paraId="73768C4D" w14:textId="77777777" w:rsidR="001C51D8" w:rsidRPr="002D2F67" w:rsidRDefault="001C51D8" w:rsidP="005611FE">
            <w:pPr>
              <w:ind w:right="-72"/>
              <w:jc w:val="right"/>
              <w:rPr>
                <w:rFonts w:ascii="Arial" w:eastAsia="Arial Unicode MS" w:hAnsi="Arial" w:cs="Arial"/>
                <w:color w:val="000000"/>
                <w:sz w:val="20"/>
                <w:szCs w:val="20"/>
              </w:rPr>
            </w:pPr>
          </w:p>
        </w:tc>
        <w:tc>
          <w:tcPr>
            <w:tcW w:w="1371" w:type="dxa"/>
            <w:tcBorders>
              <w:top w:val="single" w:sz="4" w:space="0" w:color="auto"/>
            </w:tcBorders>
            <w:shd w:val="clear" w:color="auto" w:fill="auto"/>
          </w:tcPr>
          <w:p w14:paraId="25F1673A" w14:textId="77777777" w:rsidR="001C51D8" w:rsidRPr="002D2F67" w:rsidRDefault="001C51D8" w:rsidP="005611FE">
            <w:pPr>
              <w:ind w:right="-72"/>
              <w:jc w:val="right"/>
              <w:rPr>
                <w:rFonts w:ascii="Arial" w:eastAsia="Arial" w:hAnsi="Arial" w:cs="Arial"/>
                <w:color w:val="000000"/>
                <w:sz w:val="20"/>
                <w:szCs w:val="20"/>
              </w:rPr>
            </w:pPr>
          </w:p>
        </w:tc>
        <w:tc>
          <w:tcPr>
            <w:tcW w:w="1386" w:type="dxa"/>
            <w:tcBorders>
              <w:top w:val="single" w:sz="4" w:space="0" w:color="auto"/>
            </w:tcBorders>
            <w:shd w:val="clear" w:color="auto" w:fill="auto"/>
          </w:tcPr>
          <w:p w14:paraId="3911DC49" w14:textId="77777777" w:rsidR="001C51D8" w:rsidRPr="002D2F67" w:rsidRDefault="001C51D8" w:rsidP="005611FE">
            <w:pPr>
              <w:ind w:right="-72"/>
              <w:jc w:val="right"/>
              <w:rPr>
                <w:rFonts w:ascii="Arial" w:eastAsia="Arial Unicode MS" w:hAnsi="Arial" w:cs="Arial"/>
                <w:color w:val="000000"/>
                <w:sz w:val="20"/>
                <w:szCs w:val="20"/>
              </w:rPr>
            </w:pPr>
          </w:p>
        </w:tc>
        <w:tc>
          <w:tcPr>
            <w:tcW w:w="1358" w:type="dxa"/>
            <w:tcBorders>
              <w:top w:val="single" w:sz="4" w:space="0" w:color="auto"/>
            </w:tcBorders>
            <w:shd w:val="clear" w:color="auto" w:fill="auto"/>
          </w:tcPr>
          <w:p w14:paraId="7D3CA98B" w14:textId="77777777" w:rsidR="001C51D8" w:rsidRPr="002D2F67" w:rsidRDefault="001C51D8" w:rsidP="005611FE">
            <w:pPr>
              <w:ind w:right="-72"/>
              <w:jc w:val="right"/>
              <w:rPr>
                <w:rFonts w:ascii="Arial" w:eastAsia="Arial Unicode MS" w:hAnsi="Arial" w:cs="Arial"/>
                <w:color w:val="000000"/>
                <w:sz w:val="20"/>
                <w:szCs w:val="20"/>
              </w:rPr>
            </w:pPr>
          </w:p>
        </w:tc>
      </w:tr>
      <w:tr w:rsidR="001D52AC" w:rsidRPr="002D2F67" w14:paraId="6B1F4802" w14:textId="77777777" w:rsidTr="005611FE">
        <w:trPr>
          <w:cantSplit/>
        </w:trPr>
        <w:tc>
          <w:tcPr>
            <w:tcW w:w="3540" w:type="dxa"/>
            <w:shd w:val="clear" w:color="auto" w:fill="auto"/>
          </w:tcPr>
          <w:p w14:paraId="2EBCEBE2" w14:textId="0B313EAA" w:rsidR="001D52AC" w:rsidRPr="002D2F67" w:rsidRDefault="001D52AC" w:rsidP="005611FE">
            <w:pPr>
              <w:ind w:left="-26"/>
              <w:rPr>
                <w:rFonts w:ascii="Arial" w:eastAsia="Arial Unicode MS" w:hAnsi="Arial" w:cs="Arial"/>
                <w:color w:val="000000"/>
                <w:sz w:val="20"/>
                <w:szCs w:val="22"/>
              </w:rPr>
            </w:pPr>
            <w:r w:rsidRPr="002D2F67">
              <w:rPr>
                <w:rFonts w:ascii="Arial" w:hAnsi="Arial" w:cs="Arial"/>
                <w:color w:val="000000"/>
                <w:sz w:val="20"/>
                <w:szCs w:val="22"/>
              </w:rPr>
              <w:t xml:space="preserve">Interest rate - increase </w:t>
            </w:r>
            <w:r w:rsidR="00CD5714" w:rsidRPr="00CD5714">
              <w:rPr>
                <w:rFonts w:ascii="Arial" w:hAnsi="Arial" w:cs="Arial"/>
                <w:color w:val="000000"/>
                <w:sz w:val="20"/>
                <w:szCs w:val="22"/>
                <w:lang w:val="en-GB"/>
              </w:rPr>
              <w:t>1</w:t>
            </w:r>
            <w:r w:rsidRPr="002D2F67">
              <w:rPr>
                <w:rFonts w:ascii="Arial" w:hAnsi="Arial" w:cs="Arial"/>
                <w:color w:val="000000"/>
                <w:sz w:val="20"/>
                <w:szCs w:val="22"/>
              </w:rPr>
              <w:t>%*</w:t>
            </w:r>
          </w:p>
        </w:tc>
        <w:tc>
          <w:tcPr>
            <w:tcW w:w="1358" w:type="dxa"/>
            <w:shd w:val="clear" w:color="auto" w:fill="auto"/>
          </w:tcPr>
          <w:p w14:paraId="20B1F899" w14:textId="15509C64" w:rsidR="001D52AC" w:rsidRPr="002D2F67" w:rsidRDefault="00626E1A" w:rsidP="005611FE">
            <w:pPr>
              <w:ind w:right="-72"/>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r w:rsidR="00CD5714" w:rsidRPr="00CD5714">
              <w:rPr>
                <w:rFonts w:ascii="Arial" w:eastAsia="Arial Unicode MS" w:hAnsi="Arial" w:cs="Arial"/>
                <w:color w:val="000000"/>
                <w:sz w:val="20"/>
                <w:szCs w:val="20"/>
                <w:lang w:val="en-GB"/>
              </w:rPr>
              <w:t>152</w:t>
            </w:r>
            <w:r w:rsidRPr="002D2F67">
              <w:rPr>
                <w:rFonts w:ascii="Arial" w:eastAsia="Arial Unicode MS" w:hAnsi="Arial" w:cs="Arial"/>
                <w:color w:val="000000"/>
                <w:sz w:val="20"/>
                <w:szCs w:val="20"/>
              </w:rPr>
              <w:t>)</w:t>
            </w:r>
          </w:p>
        </w:tc>
        <w:tc>
          <w:tcPr>
            <w:tcW w:w="1371" w:type="dxa"/>
            <w:shd w:val="clear" w:color="auto" w:fill="auto"/>
          </w:tcPr>
          <w:p w14:paraId="669AC199" w14:textId="11145084" w:rsidR="001D52AC" w:rsidRPr="002D2F67" w:rsidRDefault="001D52AC" w:rsidP="005611FE">
            <w:pPr>
              <w:ind w:right="-72"/>
              <w:jc w:val="right"/>
              <w:rPr>
                <w:rFonts w:ascii="Arial" w:eastAsia="Arial Unicode MS" w:hAnsi="Arial" w:cs="Arial"/>
                <w:color w:val="000000"/>
                <w:sz w:val="20"/>
                <w:szCs w:val="22"/>
              </w:rPr>
            </w:pPr>
            <w:r w:rsidRPr="002D2F67">
              <w:rPr>
                <w:rFonts w:ascii="Arial" w:eastAsia="Arial Unicode MS" w:hAnsi="Arial" w:cs="Arial"/>
                <w:color w:val="000000"/>
                <w:sz w:val="20"/>
                <w:szCs w:val="20"/>
              </w:rPr>
              <w:t>(</w:t>
            </w:r>
            <w:r w:rsidR="00CD5714" w:rsidRPr="00CD5714">
              <w:rPr>
                <w:rFonts w:ascii="Arial" w:eastAsia="Arial Unicode MS" w:hAnsi="Arial" w:cs="Arial"/>
                <w:color w:val="000000"/>
                <w:sz w:val="20"/>
                <w:szCs w:val="20"/>
                <w:lang w:val="en-GB"/>
              </w:rPr>
              <w:t>160</w:t>
            </w:r>
            <w:r w:rsidRPr="002D2F67">
              <w:rPr>
                <w:rFonts w:ascii="Arial" w:eastAsia="Arial Unicode MS" w:hAnsi="Arial" w:cs="Arial"/>
                <w:color w:val="000000"/>
                <w:sz w:val="20"/>
                <w:szCs w:val="20"/>
              </w:rPr>
              <w:t>)</w:t>
            </w:r>
          </w:p>
        </w:tc>
        <w:tc>
          <w:tcPr>
            <w:tcW w:w="1386" w:type="dxa"/>
            <w:shd w:val="clear" w:color="auto" w:fill="auto"/>
          </w:tcPr>
          <w:p w14:paraId="5A01F760" w14:textId="7A3F17D3" w:rsidR="001D52AC" w:rsidRPr="002D2F67" w:rsidRDefault="00626E1A" w:rsidP="005611FE">
            <w:pPr>
              <w:ind w:right="-72"/>
              <w:jc w:val="right"/>
              <w:rPr>
                <w:rFonts w:ascii="Arial" w:eastAsia="Arial Unicode MS" w:hAnsi="Arial" w:cs="Arial"/>
                <w:color w:val="000000"/>
                <w:sz w:val="20"/>
                <w:szCs w:val="20"/>
                <w:cs/>
              </w:rPr>
            </w:pPr>
            <w:r w:rsidRPr="002D2F67">
              <w:rPr>
                <w:rFonts w:ascii="Arial" w:eastAsia="Arial Unicode MS" w:hAnsi="Arial" w:cs="Arial"/>
                <w:color w:val="000000"/>
                <w:sz w:val="20"/>
                <w:szCs w:val="20"/>
              </w:rPr>
              <w:t>(</w:t>
            </w:r>
            <w:r w:rsidR="00CD5714" w:rsidRPr="00CD5714">
              <w:rPr>
                <w:rFonts w:ascii="Arial" w:eastAsia="Arial Unicode MS" w:hAnsi="Arial" w:cs="Arial"/>
                <w:color w:val="000000"/>
                <w:sz w:val="20"/>
                <w:szCs w:val="20"/>
                <w:lang w:val="en-GB"/>
              </w:rPr>
              <w:t>66</w:t>
            </w:r>
            <w:r w:rsidRPr="002D2F67">
              <w:rPr>
                <w:rFonts w:ascii="Arial" w:eastAsia="Arial Unicode MS" w:hAnsi="Arial" w:cs="Arial"/>
                <w:color w:val="000000"/>
                <w:sz w:val="20"/>
                <w:szCs w:val="20"/>
              </w:rPr>
              <w:t>)</w:t>
            </w:r>
          </w:p>
        </w:tc>
        <w:tc>
          <w:tcPr>
            <w:tcW w:w="1358" w:type="dxa"/>
            <w:tcBorders>
              <w:top w:val="nil"/>
              <w:left w:val="nil"/>
              <w:right w:val="nil"/>
            </w:tcBorders>
            <w:shd w:val="clear" w:color="auto" w:fill="auto"/>
          </w:tcPr>
          <w:p w14:paraId="187C1431" w14:textId="33E71CCB" w:rsidR="001D52AC" w:rsidRPr="002D2F67" w:rsidRDefault="001D52AC" w:rsidP="005611FE">
            <w:pPr>
              <w:ind w:right="-72"/>
              <w:jc w:val="right"/>
              <w:rPr>
                <w:rFonts w:ascii="Arial" w:eastAsia="Arial Unicode MS" w:hAnsi="Arial" w:cs="Arial"/>
                <w:color w:val="000000"/>
                <w:sz w:val="20"/>
                <w:szCs w:val="22"/>
              </w:rPr>
            </w:pPr>
            <w:r w:rsidRPr="002D2F67">
              <w:rPr>
                <w:rFonts w:ascii="Arial" w:eastAsia="Arial Unicode MS" w:hAnsi="Arial" w:cs="Arial"/>
                <w:color w:val="000000"/>
                <w:sz w:val="20"/>
                <w:szCs w:val="20"/>
              </w:rPr>
              <w:t>(</w:t>
            </w:r>
            <w:r w:rsidR="00CD5714" w:rsidRPr="00CD5714">
              <w:rPr>
                <w:rFonts w:ascii="Arial" w:eastAsia="Arial Unicode MS" w:hAnsi="Arial" w:cs="Arial"/>
                <w:color w:val="000000"/>
                <w:sz w:val="20"/>
                <w:szCs w:val="20"/>
                <w:lang w:val="en-GB"/>
              </w:rPr>
              <w:t>52</w:t>
            </w:r>
            <w:r w:rsidRPr="002D2F67">
              <w:rPr>
                <w:rFonts w:ascii="Arial" w:eastAsia="Arial Unicode MS" w:hAnsi="Arial" w:cs="Arial"/>
                <w:color w:val="000000"/>
                <w:sz w:val="20"/>
                <w:szCs w:val="20"/>
              </w:rPr>
              <w:t>)</w:t>
            </w:r>
          </w:p>
        </w:tc>
      </w:tr>
      <w:tr w:rsidR="001D52AC" w:rsidRPr="002D2F67" w14:paraId="39F27E91" w14:textId="77777777" w:rsidTr="005611FE">
        <w:trPr>
          <w:cantSplit/>
        </w:trPr>
        <w:tc>
          <w:tcPr>
            <w:tcW w:w="3540" w:type="dxa"/>
            <w:shd w:val="clear" w:color="auto" w:fill="auto"/>
          </w:tcPr>
          <w:p w14:paraId="2A1A5503" w14:textId="6F520251" w:rsidR="001D52AC" w:rsidRPr="002D2F67" w:rsidRDefault="001D52AC" w:rsidP="005611FE">
            <w:pPr>
              <w:ind w:left="-26"/>
              <w:rPr>
                <w:rFonts w:ascii="Arial" w:eastAsia="Arial Unicode MS" w:hAnsi="Arial" w:cs="Arial"/>
                <w:color w:val="000000"/>
                <w:sz w:val="20"/>
                <w:szCs w:val="22"/>
              </w:rPr>
            </w:pPr>
            <w:r w:rsidRPr="002D2F67">
              <w:rPr>
                <w:rFonts w:ascii="Arial" w:hAnsi="Arial" w:cs="Arial"/>
                <w:color w:val="000000"/>
                <w:sz w:val="20"/>
                <w:szCs w:val="22"/>
              </w:rPr>
              <w:t>Interest rate</w:t>
            </w:r>
            <w:r w:rsidRPr="002D2F67">
              <w:rPr>
                <w:rFonts w:ascii="Arial" w:hAnsi="Arial" w:cs="Arial"/>
                <w:color w:val="000000"/>
                <w:sz w:val="20"/>
                <w:szCs w:val="22"/>
                <w:cs/>
              </w:rPr>
              <w:t xml:space="preserve"> </w:t>
            </w:r>
            <w:r w:rsidRPr="002D2F67">
              <w:rPr>
                <w:rFonts w:ascii="Arial" w:hAnsi="Arial" w:cs="Arial"/>
                <w:color w:val="000000"/>
                <w:sz w:val="20"/>
                <w:szCs w:val="22"/>
              </w:rPr>
              <w:t>-</w:t>
            </w:r>
            <w:r w:rsidRPr="002D2F67">
              <w:rPr>
                <w:rFonts w:ascii="Arial" w:hAnsi="Arial" w:cs="Arial"/>
                <w:color w:val="000000"/>
                <w:sz w:val="20"/>
                <w:szCs w:val="22"/>
                <w:cs/>
              </w:rPr>
              <w:t xml:space="preserve"> </w:t>
            </w:r>
            <w:r w:rsidRPr="002D2F67">
              <w:rPr>
                <w:rFonts w:ascii="Arial" w:hAnsi="Arial" w:cs="Arial"/>
                <w:color w:val="000000"/>
                <w:sz w:val="20"/>
                <w:szCs w:val="22"/>
              </w:rPr>
              <w:t xml:space="preserve">decrease </w:t>
            </w:r>
            <w:r w:rsidR="00CD5714" w:rsidRPr="00CD5714">
              <w:rPr>
                <w:rFonts w:ascii="Arial" w:hAnsi="Arial" w:cs="Arial"/>
                <w:color w:val="000000"/>
                <w:sz w:val="20"/>
                <w:szCs w:val="22"/>
                <w:lang w:val="en-GB"/>
              </w:rPr>
              <w:t>1</w:t>
            </w:r>
            <w:r w:rsidRPr="002D2F67">
              <w:rPr>
                <w:rFonts w:ascii="Arial" w:hAnsi="Arial" w:cs="Arial"/>
                <w:color w:val="000000"/>
                <w:sz w:val="20"/>
                <w:szCs w:val="22"/>
              </w:rPr>
              <w:t>%*</w:t>
            </w:r>
          </w:p>
        </w:tc>
        <w:tc>
          <w:tcPr>
            <w:tcW w:w="1358" w:type="dxa"/>
            <w:shd w:val="clear" w:color="auto" w:fill="auto"/>
          </w:tcPr>
          <w:p w14:paraId="4F3C174D" w14:textId="28B08AE2" w:rsidR="001D52AC" w:rsidRPr="002D2F67" w:rsidRDefault="00CD5714" w:rsidP="005611FE">
            <w:pPr>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152</w:t>
            </w:r>
          </w:p>
        </w:tc>
        <w:tc>
          <w:tcPr>
            <w:tcW w:w="1371" w:type="dxa"/>
            <w:shd w:val="clear" w:color="auto" w:fill="auto"/>
          </w:tcPr>
          <w:p w14:paraId="4F56BC30" w14:textId="50EE08A7" w:rsidR="001D52AC" w:rsidRPr="002D2F67" w:rsidRDefault="00CD5714" w:rsidP="005611FE">
            <w:pPr>
              <w:ind w:right="-72"/>
              <w:jc w:val="right"/>
              <w:rPr>
                <w:rFonts w:ascii="Arial" w:eastAsia="Arial Unicode MS" w:hAnsi="Arial" w:cs="Arial"/>
                <w:color w:val="000000"/>
                <w:sz w:val="20"/>
                <w:szCs w:val="22"/>
              </w:rPr>
            </w:pPr>
            <w:r w:rsidRPr="00CD5714">
              <w:rPr>
                <w:rFonts w:ascii="Arial" w:eastAsia="Arial Unicode MS" w:hAnsi="Arial" w:cs="Arial"/>
                <w:color w:val="000000"/>
                <w:sz w:val="20"/>
                <w:szCs w:val="20"/>
                <w:lang w:val="en-GB"/>
              </w:rPr>
              <w:t>160</w:t>
            </w:r>
          </w:p>
        </w:tc>
        <w:tc>
          <w:tcPr>
            <w:tcW w:w="1386" w:type="dxa"/>
            <w:shd w:val="clear" w:color="auto" w:fill="auto"/>
          </w:tcPr>
          <w:p w14:paraId="4D7E67C3" w14:textId="194BE7A3" w:rsidR="001D52AC" w:rsidRPr="002D2F67" w:rsidRDefault="00CD5714" w:rsidP="005611FE">
            <w:pPr>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66</w:t>
            </w:r>
          </w:p>
        </w:tc>
        <w:tc>
          <w:tcPr>
            <w:tcW w:w="1358" w:type="dxa"/>
            <w:tcBorders>
              <w:top w:val="nil"/>
              <w:left w:val="nil"/>
              <w:bottom w:val="nil"/>
              <w:right w:val="nil"/>
            </w:tcBorders>
            <w:shd w:val="clear" w:color="auto" w:fill="auto"/>
          </w:tcPr>
          <w:p w14:paraId="055F7404" w14:textId="271FB7C1" w:rsidR="001D52AC" w:rsidRPr="002D2F67" w:rsidRDefault="00CD5714" w:rsidP="005611FE">
            <w:pPr>
              <w:ind w:right="-72"/>
              <w:jc w:val="right"/>
              <w:rPr>
                <w:rFonts w:ascii="Arial" w:eastAsia="Arial Unicode MS" w:hAnsi="Arial" w:cs="Arial"/>
                <w:color w:val="000000"/>
                <w:sz w:val="20"/>
                <w:szCs w:val="22"/>
              </w:rPr>
            </w:pPr>
            <w:r w:rsidRPr="00CD5714">
              <w:rPr>
                <w:rFonts w:ascii="Arial" w:eastAsia="Arial Unicode MS" w:hAnsi="Arial" w:cs="Arial"/>
                <w:color w:val="000000"/>
                <w:sz w:val="20"/>
                <w:szCs w:val="20"/>
                <w:lang w:val="en-GB"/>
              </w:rPr>
              <w:t>52</w:t>
            </w:r>
          </w:p>
        </w:tc>
      </w:tr>
    </w:tbl>
    <w:p w14:paraId="7E02B383" w14:textId="77777777" w:rsidR="0052235E" w:rsidRPr="002D2F67" w:rsidRDefault="0052235E" w:rsidP="005611FE">
      <w:pPr>
        <w:ind w:left="547"/>
        <w:rPr>
          <w:rFonts w:ascii="Arial" w:hAnsi="Arial" w:cs="Arial"/>
          <w:i/>
          <w:iCs/>
          <w:color w:val="000000"/>
          <w:sz w:val="16"/>
          <w:szCs w:val="16"/>
        </w:rPr>
      </w:pPr>
    </w:p>
    <w:p w14:paraId="7D566471" w14:textId="4793B800" w:rsidR="0044038D" w:rsidRPr="002D2F67" w:rsidRDefault="00190DED" w:rsidP="005611FE">
      <w:pPr>
        <w:ind w:left="547"/>
        <w:rPr>
          <w:rFonts w:ascii="Arial" w:hAnsi="Arial" w:cs="Arial"/>
          <w:i/>
          <w:iCs/>
          <w:color w:val="000000"/>
          <w:sz w:val="20"/>
          <w:szCs w:val="20"/>
        </w:rPr>
      </w:pPr>
      <w:r w:rsidRPr="002D2F67">
        <w:rPr>
          <w:rFonts w:ascii="Arial" w:hAnsi="Arial" w:cs="Arial"/>
          <w:i/>
          <w:iCs/>
          <w:color w:val="000000"/>
          <w:sz w:val="20"/>
          <w:szCs w:val="20"/>
        </w:rPr>
        <w:t xml:space="preserve">* </w:t>
      </w:r>
      <w:r w:rsidR="00A77E58" w:rsidRPr="002D2F67">
        <w:rPr>
          <w:rFonts w:ascii="Arial" w:hAnsi="Arial" w:cs="Arial"/>
          <w:i/>
          <w:iCs/>
          <w:color w:val="000000"/>
          <w:sz w:val="20"/>
          <w:szCs w:val="20"/>
        </w:rPr>
        <w:t xml:space="preserve"> </w:t>
      </w:r>
      <w:r w:rsidRPr="002D2F67">
        <w:rPr>
          <w:rFonts w:ascii="Arial" w:hAnsi="Arial" w:cs="Arial"/>
          <w:i/>
          <w:iCs/>
          <w:color w:val="000000"/>
          <w:sz w:val="20"/>
          <w:szCs w:val="20"/>
        </w:rPr>
        <w:t>Holding all other variables constant</w:t>
      </w:r>
    </w:p>
    <w:p w14:paraId="4CA8A962" w14:textId="5F3545B3" w:rsidR="0052235E" w:rsidRPr="002D2F67" w:rsidRDefault="0052235E" w:rsidP="005611FE">
      <w:pPr>
        <w:pStyle w:val="BlockText"/>
        <w:ind w:left="567" w:right="0"/>
        <w:rPr>
          <w:rFonts w:ascii="Arial" w:hAnsi="Arial" w:cs="Arial"/>
          <w:color w:val="000000"/>
          <w:spacing w:val="-2"/>
        </w:rPr>
      </w:pPr>
    </w:p>
    <w:p w14:paraId="40C0A01D" w14:textId="77777777" w:rsidR="00190DED" w:rsidRPr="002D2F67" w:rsidRDefault="00190DED" w:rsidP="005611FE">
      <w:pPr>
        <w:pStyle w:val="HeadSub1-5EA"/>
        <w:numPr>
          <w:ilvl w:val="3"/>
          <w:numId w:val="12"/>
        </w:numPr>
        <w:ind w:left="527" w:hanging="516"/>
        <w:outlineLvl w:val="3"/>
        <w:rPr>
          <w:rFonts w:ascii="Arial" w:hAnsi="Arial" w:cs="Arial"/>
          <w:b w:val="0"/>
          <w:bCs w:val="0"/>
          <w:color w:val="000000"/>
          <w:sz w:val="20"/>
          <w:szCs w:val="20"/>
          <w:u w:val="single"/>
        </w:rPr>
      </w:pPr>
      <w:r w:rsidRPr="002D2F67">
        <w:rPr>
          <w:rFonts w:ascii="Arial" w:hAnsi="Arial" w:cs="Arial"/>
          <w:b w:val="0"/>
          <w:bCs w:val="0"/>
          <w:color w:val="000000"/>
          <w:sz w:val="20"/>
          <w:szCs w:val="20"/>
          <w:u w:val="single"/>
        </w:rPr>
        <w:t>Price risk</w:t>
      </w:r>
    </w:p>
    <w:p w14:paraId="38CB4A82" w14:textId="77777777" w:rsidR="00DF10B7" w:rsidRPr="002D2F67" w:rsidRDefault="00DF10B7" w:rsidP="00100E48">
      <w:pPr>
        <w:pStyle w:val="BlockText"/>
        <w:ind w:left="540" w:right="0"/>
        <w:rPr>
          <w:rFonts w:ascii="Arial" w:hAnsi="Arial" w:cs="Arial"/>
          <w:color w:val="000000"/>
        </w:rPr>
      </w:pPr>
    </w:p>
    <w:p w14:paraId="489533C7" w14:textId="116776A8" w:rsidR="00600C5B" w:rsidRPr="002D2F67" w:rsidRDefault="00600C5B" w:rsidP="00100E48">
      <w:pPr>
        <w:ind w:left="540"/>
        <w:jc w:val="thaiDistribute"/>
        <w:rPr>
          <w:rFonts w:ascii="Arial" w:hAnsi="Arial" w:cs="Arial"/>
          <w:color w:val="000000"/>
          <w:spacing w:val="-3"/>
          <w:sz w:val="20"/>
          <w:szCs w:val="20"/>
        </w:rPr>
      </w:pPr>
      <w:r w:rsidRPr="002D2F67">
        <w:rPr>
          <w:rFonts w:ascii="Arial" w:hAnsi="Arial" w:cs="Arial"/>
          <w:color w:val="000000"/>
          <w:spacing w:val="-3"/>
          <w:sz w:val="20"/>
          <w:szCs w:val="20"/>
        </w:rPr>
        <w:t xml:space="preserve">The Group’s exposures to price risk arising from its investments in equity </w:t>
      </w:r>
      <w:r w:rsidR="007E0D17" w:rsidRPr="002D2F67">
        <w:rPr>
          <w:rFonts w:ascii="Arial" w:hAnsi="Arial" w:cs="Arial"/>
          <w:color w:val="000000"/>
          <w:spacing w:val="-3"/>
          <w:sz w:val="20"/>
          <w:szCs w:val="20"/>
        </w:rPr>
        <w:t>securities which are classified</w:t>
      </w:r>
      <w:r w:rsidRPr="002D2F67">
        <w:rPr>
          <w:rFonts w:ascii="Arial" w:hAnsi="Arial" w:cs="Arial"/>
          <w:color w:val="000000"/>
          <w:spacing w:val="-3"/>
          <w:sz w:val="20"/>
          <w:szCs w:val="20"/>
        </w:rPr>
        <w:t xml:space="preserve"> at FVOCI (Note </w:t>
      </w:r>
      <w:r w:rsidR="00CD5714" w:rsidRPr="00CD5714">
        <w:rPr>
          <w:rFonts w:ascii="Arial" w:hAnsi="Arial" w:cs="Arial"/>
          <w:color w:val="000000"/>
          <w:spacing w:val="-3"/>
          <w:sz w:val="20"/>
          <w:szCs w:val="20"/>
          <w:lang w:val="en-GB"/>
        </w:rPr>
        <w:t>18</w:t>
      </w:r>
      <w:r w:rsidRPr="002D2F67">
        <w:rPr>
          <w:rFonts w:ascii="Arial" w:hAnsi="Arial" w:cs="Arial"/>
          <w:color w:val="000000"/>
          <w:spacing w:val="-3"/>
          <w:sz w:val="20"/>
          <w:szCs w:val="20"/>
        </w:rPr>
        <w:t>).</w:t>
      </w:r>
    </w:p>
    <w:p w14:paraId="018FDDE3" w14:textId="755EF8B1" w:rsidR="00600C5B" w:rsidRPr="002D2F67" w:rsidRDefault="00100E48" w:rsidP="00100E48">
      <w:pPr>
        <w:pStyle w:val="BlockText"/>
        <w:ind w:left="540" w:right="0"/>
        <w:rPr>
          <w:rFonts w:ascii="Arial" w:hAnsi="Arial" w:cs="Arial"/>
          <w:color w:val="000000"/>
        </w:rPr>
      </w:pPr>
      <w:r w:rsidRPr="002D2F67">
        <w:rPr>
          <w:rFonts w:ascii="Arial" w:hAnsi="Arial" w:cs="Arial"/>
          <w:color w:val="000000"/>
        </w:rPr>
        <w:br w:type="page"/>
      </w:r>
    </w:p>
    <w:p w14:paraId="5553F22F" w14:textId="39705802" w:rsidR="00FE37B6" w:rsidRPr="002D2F67" w:rsidRDefault="00CD5714" w:rsidP="005611FE">
      <w:pPr>
        <w:pStyle w:val="HeadSub1-5EA"/>
        <w:ind w:left="560" w:hanging="560"/>
        <w:outlineLvl w:val="2"/>
        <w:rPr>
          <w:rFonts w:ascii="Arial" w:hAnsi="Arial" w:cs="Arial"/>
          <w:b w:val="0"/>
          <w:bCs w:val="0"/>
          <w:color w:val="000000"/>
          <w:sz w:val="20"/>
          <w:szCs w:val="20"/>
        </w:rPr>
      </w:pPr>
      <w:r w:rsidRPr="00CD5714">
        <w:rPr>
          <w:rFonts w:ascii="Arial" w:hAnsi="Arial" w:cs="Arial"/>
          <w:b w:val="0"/>
          <w:bCs w:val="0"/>
          <w:color w:val="000000"/>
          <w:sz w:val="20"/>
          <w:szCs w:val="20"/>
          <w:lang w:val="en-GB"/>
        </w:rPr>
        <w:t>6</w:t>
      </w:r>
      <w:r w:rsidR="00FE37B6" w:rsidRPr="002D2F67">
        <w:rPr>
          <w:rFonts w:ascii="Arial" w:hAnsi="Arial" w:cs="Arial"/>
          <w:b w:val="0"/>
          <w:bCs w:val="0"/>
          <w:color w:val="000000"/>
          <w:sz w:val="20"/>
          <w:szCs w:val="20"/>
        </w:rPr>
        <w:t>.</w:t>
      </w:r>
      <w:r w:rsidRPr="00CD5714">
        <w:rPr>
          <w:rFonts w:ascii="Arial" w:hAnsi="Arial" w:cs="Arial"/>
          <w:b w:val="0"/>
          <w:bCs w:val="0"/>
          <w:color w:val="000000"/>
          <w:sz w:val="20"/>
          <w:szCs w:val="20"/>
          <w:lang w:val="en-GB"/>
        </w:rPr>
        <w:t>1</w:t>
      </w:r>
      <w:r w:rsidR="00941394" w:rsidRPr="002D2F67">
        <w:rPr>
          <w:rFonts w:ascii="Arial" w:hAnsi="Arial" w:cs="Arial"/>
          <w:b w:val="0"/>
          <w:bCs w:val="0"/>
          <w:color w:val="000000"/>
          <w:sz w:val="20"/>
          <w:szCs w:val="20"/>
        </w:rPr>
        <w:t>.</w:t>
      </w:r>
      <w:r w:rsidRPr="00CD5714">
        <w:rPr>
          <w:rFonts w:ascii="Arial" w:hAnsi="Arial" w:cs="Arial"/>
          <w:b w:val="0"/>
          <w:bCs w:val="0"/>
          <w:color w:val="000000"/>
          <w:sz w:val="20"/>
          <w:szCs w:val="20"/>
          <w:lang w:val="en-GB"/>
        </w:rPr>
        <w:t>2</w:t>
      </w:r>
      <w:r w:rsidR="00100E48" w:rsidRPr="002D2F67">
        <w:rPr>
          <w:rFonts w:ascii="Arial" w:hAnsi="Arial" w:cs="Arial"/>
          <w:b w:val="0"/>
          <w:bCs w:val="0"/>
          <w:color w:val="000000"/>
          <w:sz w:val="20"/>
          <w:szCs w:val="20"/>
        </w:rPr>
        <w:tab/>
      </w:r>
      <w:r w:rsidR="00FE37B6" w:rsidRPr="002D2F67">
        <w:rPr>
          <w:rFonts w:ascii="Arial" w:hAnsi="Arial" w:cs="Arial"/>
          <w:b w:val="0"/>
          <w:bCs w:val="0"/>
          <w:color w:val="000000"/>
          <w:sz w:val="20"/>
          <w:szCs w:val="20"/>
        </w:rPr>
        <w:t>Credit risk</w:t>
      </w:r>
    </w:p>
    <w:p w14:paraId="107ED955" w14:textId="77777777" w:rsidR="00FE37B6" w:rsidRPr="002D2F67" w:rsidRDefault="00FE37B6" w:rsidP="005611FE">
      <w:pPr>
        <w:ind w:left="540"/>
        <w:jc w:val="thaiDistribute"/>
        <w:rPr>
          <w:rFonts w:ascii="Arial" w:hAnsi="Arial" w:cs="Arial"/>
          <w:color w:val="000000"/>
          <w:sz w:val="20"/>
          <w:szCs w:val="20"/>
        </w:rPr>
      </w:pPr>
    </w:p>
    <w:p w14:paraId="6D6446B3" w14:textId="77777777" w:rsidR="00941394" w:rsidRPr="002D2F67" w:rsidRDefault="00941394" w:rsidP="005611FE">
      <w:pPr>
        <w:pStyle w:val="HeadSub1-5EA"/>
        <w:numPr>
          <w:ilvl w:val="3"/>
          <w:numId w:val="14"/>
        </w:numPr>
        <w:ind w:left="546" w:hanging="518"/>
        <w:outlineLvl w:val="3"/>
        <w:rPr>
          <w:rFonts w:ascii="Arial" w:hAnsi="Arial" w:cs="Arial"/>
          <w:b w:val="0"/>
          <w:bCs w:val="0"/>
          <w:color w:val="000000"/>
          <w:sz w:val="20"/>
          <w:szCs w:val="20"/>
          <w:u w:val="single"/>
        </w:rPr>
      </w:pPr>
      <w:r w:rsidRPr="002D2F67">
        <w:rPr>
          <w:rFonts w:ascii="Arial" w:hAnsi="Arial" w:cs="Arial"/>
          <w:b w:val="0"/>
          <w:bCs w:val="0"/>
          <w:color w:val="000000"/>
          <w:sz w:val="20"/>
          <w:szCs w:val="20"/>
          <w:u w:val="single"/>
        </w:rPr>
        <w:t>Risk management</w:t>
      </w:r>
    </w:p>
    <w:p w14:paraId="3AF94367" w14:textId="77777777" w:rsidR="00941394" w:rsidRPr="002D2F67" w:rsidRDefault="00941394" w:rsidP="005611FE">
      <w:pPr>
        <w:ind w:left="540"/>
        <w:rPr>
          <w:rFonts w:ascii="Arial" w:hAnsi="Arial" w:cs="Arial"/>
          <w:color w:val="000000"/>
          <w:sz w:val="20"/>
          <w:szCs w:val="20"/>
          <w:u w:val="single"/>
        </w:rPr>
      </w:pPr>
    </w:p>
    <w:p w14:paraId="079BA25C" w14:textId="0FC1B0D6" w:rsidR="001D126E" w:rsidRPr="002D2F67" w:rsidRDefault="006D7EB3" w:rsidP="005611FE">
      <w:pPr>
        <w:ind w:left="540"/>
        <w:jc w:val="thaiDistribute"/>
        <w:rPr>
          <w:rFonts w:ascii="Arial" w:hAnsi="Arial" w:cs="Arial"/>
          <w:color w:val="000000"/>
          <w:spacing w:val="-3"/>
          <w:sz w:val="20"/>
          <w:szCs w:val="20"/>
        </w:rPr>
      </w:pPr>
      <w:r w:rsidRPr="002D2F67">
        <w:rPr>
          <w:rFonts w:ascii="Arial" w:hAnsi="Arial" w:cs="Arial"/>
          <w:color w:val="000000"/>
          <w:spacing w:val="-3"/>
          <w:sz w:val="20"/>
          <w:szCs w:val="20"/>
        </w:rPr>
        <w:t xml:space="preserve">The Group has no material credit risks for cash and </w:t>
      </w:r>
      <w:r w:rsidR="00405890" w:rsidRPr="002D2F67">
        <w:rPr>
          <w:rFonts w:ascii="Arial" w:hAnsi="Arial" w:cs="Arial"/>
          <w:color w:val="000000"/>
          <w:spacing w:val="-3"/>
          <w:sz w:val="20"/>
          <w:szCs w:val="20"/>
        </w:rPr>
        <w:t>deposits with financial institutions</w:t>
      </w:r>
      <w:r w:rsidRPr="002D2F67">
        <w:rPr>
          <w:rFonts w:ascii="Arial" w:hAnsi="Arial" w:cs="Arial"/>
          <w:color w:val="000000"/>
          <w:spacing w:val="-3"/>
          <w:sz w:val="20"/>
          <w:szCs w:val="20"/>
        </w:rPr>
        <w:t xml:space="preserve">. This is because the Group </w:t>
      </w:r>
      <w:r w:rsidR="00162355" w:rsidRPr="002D2F67">
        <w:rPr>
          <w:rFonts w:ascii="Arial" w:hAnsi="Arial" w:cs="Arial"/>
          <w:color w:val="000000"/>
          <w:spacing w:val="-3"/>
          <w:sz w:val="20"/>
          <w:szCs w:val="20"/>
        </w:rPr>
        <w:t>transacts with good credit</w:t>
      </w:r>
      <w:r w:rsidRPr="002D2F67">
        <w:rPr>
          <w:rFonts w:ascii="Arial" w:hAnsi="Arial" w:cs="Arial"/>
          <w:color w:val="000000"/>
          <w:spacing w:val="-3"/>
          <w:sz w:val="20"/>
          <w:szCs w:val="20"/>
        </w:rPr>
        <w:t xml:space="preserve"> financial institutions for cash and </w:t>
      </w:r>
      <w:r w:rsidR="00405890" w:rsidRPr="002D2F67">
        <w:rPr>
          <w:rFonts w:ascii="Arial" w:hAnsi="Arial" w:cs="Arial"/>
          <w:color w:val="000000"/>
          <w:spacing w:val="-3"/>
          <w:sz w:val="20"/>
          <w:szCs w:val="20"/>
        </w:rPr>
        <w:t>deposits</w:t>
      </w:r>
      <w:r w:rsidRPr="002D2F67">
        <w:rPr>
          <w:rFonts w:ascii="Arial" w:hAnsi="Arial" w:cs="Arial"/>
          <w:color w:val="000000"/>
          <w:spacing w:val="-3"/>
          <w:sz w:val="20"/>
          <w:szCs w:val="20"/>
        </w:rPr>
        <w:t xml:space="preserve">. To reduce potential risks for deposits with financial institutions, the Group has a policy to limit the transactions to be made with a particular financial institution and to invest surplus only in low-risk investments. In its experience, the Group has </w:t>
      </w:r>
      <w:r w:rsidRPr="002D2F67">
        <w:rPr>
          <w:rFonts w:ascii="Arial" w:hAnsi="Arial" w:cs="Arial"/>
          <w:color w:val="000000"/>
          <w:spacing w:val="-4"/>
          <w:sz w:val="20"/>
          <w:szCs w:val="20"/>
        </w:rPr>
        <w:t xml:space="preserve">never suffered any losses from cash and </w:t>
      </w:r>
      <w:r w:rsidR="00405890" w:rsidRPr="002D2F67">
        <w:rPr>
          <w:rFonts w:ascii="Arial" w:hAnsi="Arial" w:cs="Arial"/>
          <w:color w:val="000000"/>
          <w:spacing w:val="-4"/>
          <w:sz w:val="20"/>
          <w:szCs w:val="20"/>
        </w:rPr>
        <w:t>deposits</w:t>
      </w:r>
      <w:r w:rsidRPr="002D2F67">
        <w:rPr>
          <w:rFonts w:ascii="Arial" w:hAnsi="Arial" w:cs="Arial"/>
          <w:color w:val="000000"/>
          <w:spacing w:val="-4"/>
          <w:sz w:val="20"/>
          <w:szCs w:val="20"/>
        </w:rPr>
        <w:t>. For trade</w:t>
      </w:r>
      <w:r w:rsidR="00405890" w:rsidRPr="002D2F67">
        <w:rPr>
          <w:rFonts w:ascii="Arial" w:hAnsi="Arial" w:cs="Arial"/>
          <w:color w:val="000000"/>
          <w:spacing w:val="-4"/>
          <w:sz w:val="20"/>
          <w:szCs w:val="20"/>
        </w:rPr>
        <w:t xml:space="preserve"> accounts</w:t>
      </w:r>
      <w:r w:rsidRPr="002D2F67">
        <w:rPr>
          <w:rFonts w:ascii="Arial" w:hAnsi="Arial" w:cs="Arial"/>
          <w:color w:val="000000"/>
          <w:spacing w:val="-4"/>
          <w:sz w:val="20"/>
          <w:szCs w:val="20"/>
        </w:rPr>
        <w:t xml:space="preserve"> receivable,</w:t>
      </w:r>
      <w:r w:rsidR="003960BF" w:rsidRPr="002D2F67">
        <w:rPr>
          <w:rFonts w:ascii="Arial" w:hAnsi="Arial" w:cs="Arial"/>
          <w:color w:val="000000"/>
          <w:spacing w:val="-4"/>
          <w:sz w:val="20"/>
          <w:szCs w:val="20"/>
        </w:rPr>
        <w:t xml:space="preserve"> instalment receivables</w:t>
      </w:r>
      <w:r w:rsidR="003960BF" w:rsidRPr="002D2F67">
        <w:rPr>
          <w:rFonts w:ascii="Arial" w:hAnsi="Arial" w:cs="Arial"/>
          <w:color w:val="000000"/>
          <w:spacing w:val="-3"/>
          <w:sz w:val="20"/>
          <w:szCs w:val="20"/>
        </w:rPr>
        <w:t xml:space="preserve"> and financial lease receivables,</w:t>
      </w:r>
      <w:r w:rsidRPr="002D2F67">
        <w:rPr>
          <w:rFonts w:ascii="Arial" w:hAnsi="Arial" w:cs="Arial"/>
          <w:color w:val="000000"/>
          <w:spacing w:val="-3"/>
          <w:sz w:val="20"/>
          <w:szCs w:val="20"/>
        </w:rPr>
        <w:t xml:space="preserve"> the Group set</w:t>
      </w:r>
      <w:r w:rsidR="00405890" w:rsidRPr="002D2F67">
        <w:rPr>
          <w:rFonts w:ascii="Arial" w:hAnsi="Arial" w:cs="Arial"/>
          <w:color w:val="000000"/>
          <w:spacing w:val="-3"/>
          <w:sz w:val="20"/>
          <w:szCs w:val="20"/>
        </w:rPr>
        <w:t>s</w:t>
      </w:r>
      <w:r w:rsidRPr="002D2F67">
        <w:rPr>
          <w:rFonts w:ascii="Arial" w:hAnsi="Arial" w:cs="Arial"/>
          <w:color w:val="000000"/>
          <w:spacing w:val="-3"/>
          <w:sz w:val="20"/>
          <w:szCs w:val="20"/>
        </w:rPr>
        <w:t xml:space="preserve"> up policies to ensure that sales of biodiesel</w:t>
      </w:r>
      <w:r w:rsidR="00AD2C9A" w:rsidRPr="002D2F67">
        <w:rPr>
          <w:rFonts w:ascii="Arial" w:hAnsi="Arial" w:cs="Arial"/>
          <w:color w:val="000000"/>
          <w:spacing w:val="-3"/>
          <w:sz w:val="20"/>
          <w:szCs w:val="20"/>
        </w:rPr>
        <w:t>,</w:t>
      </w:r>
      <w:r w:rsidRPr="002D2F67">
        <w:rPr>
          <w:rFonts w:ascii="Arial" w:hAnsi="Arial" w:cs="Arial"/>
          <w:color w:val="000000"/>
          <w:spacing w:val="-3"/>
          <w:sz w:val="20"/>
          <w:szCs w:val="20"/>
        </w:rPr>
        <w:t xml:space="preserve"> batter</w:t>
      </w:r>
      <w:r w:rsidR="003D6F69" w:rsidRPr="002D2F67">
        <w:rPr>
          <w:rFonts w:ascii="Arial" w:hAnsi="Arial" w:cs="Arial"/>
          <w:color w:val="000000"/>
          <w:spacing w:val="-3"/>
          <w:sz w:val="20"/>
          <w:szCs w:val="20"/>
        </w:rPr>
        <w:t>y</w:t>
      </w:r>
      <w:r w:rsidRPr="002D2F67">
        <w:rPr>
          <w:rFonts w:ascii="Arial" w:hAnsi="Arial" w:cs="Arial"/>
          <w:color w:val="000000"/>
          <w:spacing w:val="-3"/>
          <w:sz w:val="20"/>
          <w:szCs w:val="20"/>
        </w:rPr>
        <w:t xml:space="preserve"> and </w:t>
      </w:r>
      <w:r w:rsidR="00AD2C9A" w:rsidRPr="002D2F67">
        <w:rPr>
          <w:rFonts w:ascii="Arial" w:hAnsi="Arial" w:cs="Arial"/>
          <w:color w:val="000000"/>
          <w:spacing w:val="-3"/>
          <w:sz w:val="20"/>
          <w:szCs w:val="20"/>
        </w:rPr>
        <w:t>electric vehicles</w:t>
      </w:r>
      <w:r w:rsidRPr="002D2F67">
        <w:rPr>
          <w:rFonts w:ascii="Arial" w:hAnsi="Arial" w:cs="Arial"/>
          <w:color w:val="000000"/>
          <w:spacing w:val="-3"/>
          <w:sz w:val="20"/>
          <w:szCs w:val="20"/>
        </w:rPr>
        <w:t xml:space="preserve"> are made to customer with appropriate credit profile. For sales of electricity, the Group’s sales are made to state-owned enterprises under the terms and conditions of the long-term Power Purchase Agreements.</w:t>
      </w:r>
    </w:p>
    <w:p w14:paraId="78B05206" w14:textId="41BCB10C" w:rsidR="006D7EB3" w:rsidRPr="002D2F67" w:rsidRDefault="006D7EB3" w:rsidP="005611FE">
      <w:pPr>
        <w:ind w:left="540"/>
        <w:jc w:val="thaiDistribute"/>
        <w:rPr>
          <w:rFonts w:ascii="Arial" w:hAnsi="Arial" w:cs="Arial"/>
          <w:color w:val="000000"/>
          <w:sz w:val="20"/>
          <w:szCs w:val="20"/>
        </w:rPr>
      </w:pPr>
    </w:p>
    <w:p w14:paraId="34D08037" w14:textId="77777777" w:rsidR="003D6F69" w:rsidRPr="002D2F67" w:rsidRDefault="003D6F69" w:rsidP="003D6F69">
      <w:pPr>
        <w:pStyle w:val="HeadSub1-5EA"/>
        <w:numPr>
          <w:ilvl w:val="3"/>
          <w:numId w:val="14"/>
        </w:numPr>
        <w:ind w:left="546" w:hanging="518"/>
        <w:outlineLvl w:val="3"/>
        <w:rPr>
          <w:rFonts w:ascii="Arial" w:hAnsi="Arial" w:cs="Arial"/>
          <w:b w:val="0"/>
          <w:bCs w:val="0"/>
          <w:color w:val="000000"/>
          <w:sz w:val="20"/>
          <w:szCs w:val="20"/>
          <w:u w:val="single"/>
        </w:rPr>
      </w:pPr>
      <w:r w:rsidRPr="002D2F67">
        <w:rPr>
          <w:rFonts w:ascii="Arial" w:hAnsi="Arial" w:cs="Arial"/>
          <w:b w:val="0"/>
          <w:bCs w:val="0"/>
          <w:color w:val="000000"/>
          <w:sz w:val="20"/>
          <w:szCs w:val="20"/>
          <w:u w:val="single"/>
        </w:rPr>
        <w:t>Impairment of financial assets</w:t>
      </w:r>
    </w:p>
    <w:p w14:paraId="08363EF0" w14:textId="77777777" w:rsidR="003D6F69" w:rsidRPr="002D2F67" w:rsidRDefault="003D6F69" w:rsidP="005611FE">
      <w:pPr>
        <w:pStyle w:val="BlockText"/>
        <w:ind w:left="540" w:right="0"/>
        <w:rPr>
          <w:rFonts w:ascii="Arial" w:hAnsi="Arial" w:cs="Arial"/>
          <w:color w:val="000000"/>
          <w:spacing w:val="-6"/>
        </w:rPr>
      </w:pPr>
    </w:p>
    <w:p w14:paraId="28664FF2" w14:textId="77777777" w:rsidR="00F468FE" w:rsidRPr="002D2F67" w:rsidRDefault="00F468FE" w:rsidP="00F468FE">
      <w:pPr>
        <w:pStyle w:val="BlockText"/>
        <w:ind w:left="540" w:right="0"/>
        <w:rPr>
          <w:rFonts w:ascii="Arial" w:hAnsi="Arial" w:cs="Arial"/>
          <w:color w:val="000000"/>
        </w:rPr>
      </w:pPr>
      <w:r w:rsidRPr="002D2F67">
        <w:rPr>
          <w:rFonts w:ascii="Arial" w:hAnsi="Arial" w:cs="Arial"/>
          <w:color w:val="000000"/>
        </w:rPr>
        <w:t>The Group and the Company has financial assets that are subject to the expected credit loss model:</w:t>
      </w:r>
    </w:p>
    <w:p w14:paraId="7815C9B5" w14:textId="77777777" w:rsidR="00F468FE" w:rsidRPr="002D2F67" w:rsidRDefault="00F468FE" w:rsidP="00F468FE">
      <w:pPr>
        <w:ind w:left="540"/>
        <w:jc w:val="thaiDistribute"/>
        <w:rPr>
          <w:rFonts w:ascii="Arial" w:hAnsi="Arial" w:cs="Arial"/>
          <w:color w:val="000000"/>
          <w:sz w:val="20"/>
          <w:szCs w:val="20"/>
        </w:rPr>
      </w:pPr>
    </w:p>
    <w:p w14:paraId="76E819F0" w14:textId="77777777" w:rsidR="00F468FE" w:rsidRPr="002D2F67" w:rsidRDefault="00F468FE" w:rsidP="00F468FE">
      <w:pPr>
        <w:pStyle w:val="BlockText"/>
        <w:numPr>
          <w:ilvl w:val="0"/>
          <w:numId w:val="9"/>
        </w:numPr>
        <w:tabs>
          <w:tab w:val="left" w:pos="900"/>
        </w:tabs>
        <w:ind w:left="900" w:right="0"/>
        <w:jc w:val="thaiDistribute"/>
        <w:rPr>
          <w:rFonts w:ascii="Arial" w:hAnsi="Arial" w:cs="Arial"/>
          <w:color w:val="000000"/>
        </w:rPr>
      </w:pPr>
      <w:r w:rsidRPr="002D2F67">
        <w:rPr>
          <w:rFonts w:ascii="Arial" w:hAnsi="Arial" w:cs="Arial"/>
          <w:color w:val="000000"/>
        </w:rPr>
        <w:t xml:space="preserve">Cash and cash equivalents </w:t>
      </w:r>
    </w:p>
    <w:p w14:paraId="36C34853" w14:textId="77777777" w:rsidR="00712290" w:rsidRPr="002D2F67" w:rsidRDefault="00712290" w:rsidP="00712290">
      <w:pPr>
        <w:pStyle w:val="BlockText"/>
        <w:numPr>
          <w:ilvl w:val="0"/>
          <w:numId w:val="9"/>
        </w:numPr>
        <w:tabs>
          <w:tab w:val="left" w:pos="900"/>
        </w:tabs>
        <w:ind w:left="900" w:right="0"/>
        <w:jc w:val="thaiDistribute"/>
        <w:rPr>
          <w:rFonts w:ascii="Arial" w:hAnsi="Arial" w:cs="Arial"/>
          <w:color w:val="000000"/>
        </w:rPr>
      </w:pPr>
      <w:r w:rsidRPr="002D2F67">
        <w:rPr>
          <w:rFonts w:ascii="Arial" w:hAnsi="Arial" w:cs="Arial"/>
          <w:color w:val="000000"/>
        </w:rPr>
        <w:t>Deposits at financial institutions used as collateral</w:t>
      </w:r>
    </w:p>
    <w:p w14:paraId="41380FB0" w14:textId="0BD8AB2F" w:rsidR="00F468FE" w:rsidRPr="002D2F67" w:rsidRDefault="00F468FE" w:rsidP="00F468FE">
      <w:pPr>
        <w:pStyle w:val="BlockText"/>
        <w:numPr>
          <w:ilvl w:val="0"/>
          <w:numId w:val="9"/>
        </w:numPr>
        <w:tabs>
          <w:tab w:val="left" w:pos="900"/>
        </w:tabs>
        <w:ind w:left="900" w:right="0"/>
        <w:jc w:val="thaiDistribute"/>
        <w:rPr>
          <w:rFonts w:ascii="Arial" w:hAnsi="Arial" w:cs="Arial"/>
          <w:color w:val="000000"/>
        </w:rPr>
      </w:pPr>
      <w:r w:rsidRPr="002D2F67">
        <w:rPr>
          <w:rFonts w:ascii="Arial" w:hAnsi="Arial" w:cs="Arial"/>
          <w:color w:val="000000"/>
        </w:rPr>
        <w:t xml:space="preserve">Trade and other </w:t>
      </w:r>
      <w:r w:rsidR="00DA5606" w:rsidRPr="002D2F67">
        <w:rPr>
          <w:rFonts w:ascii="Arial" w:hAnsi="Arial" w:cs="Arial"/>
          <w:color w:val="000000"/>
        </w:rPr>
        <w:t xml:space="preserve">current </w:t>
      </w:r>
      <w:r w:rsidRPr="002D2F67">
        <w:rPr>
          <w:rFonts w:ascii="Arial" w:hAnsi="Arial" w:cs="Arial"/>
          <w:color w:val="000000"/>
        </w:rPr>
        <w:t>receivable</w:t>
      </w:r>
      <w:r w:rsidR="000042E5" w:rsidRPr="002D2F67">
        <w:rPr>
          <w:rFonts w:ascii="Arial" w:hAnsi="Arial" w:cs="Arial"/>
          <w:color w:val="000000"/>
        </w:rPr>
        <w:t>s</w:t>
      </w:r>
    </w:p>
    <w:p w14:paraId="1EBEA463" w14:textId="77777777" w:rsidR="00F468FE" w:rsidRPr="002D2F67" w:rsidRDefault="00F468FE" w:rsidP="00F468FE">
      <w:pPr>
        <w:pStyle w:val="BlockText"/>
        <w:numPr>
          <w:ilvl w:val="0"/>
          <w:numId w:val="9"/>
        </w:numPr>
        <w:tabs>
          <w:tab w:val="left" w:pos="900"/>
        </w:tabs>
        <w:ind w:left="900" w:right="0"/>
        <w:jc w:val="thaiDistribute"/>
        <w:rPr>
          <w:rFonts w:ascii="Arial" w:hAnsi="Arial" w:cs="Arial"/>
          <w:color w:val="000000"/>
        </w:rPr>
      </w:pPr>
      <w:r w:rsidRPr="002D2F67">
        <w:rPr>
          <w:rFonts w:ascii="Arial" w:hAnsi="Arial" w:cs="Arial"/>
          <w:color w:val="000000"/>
        </w:rPr>
        <w:t>Instalment receivables - related party</w:t>
      </w:r>
    </w:p>
    <w:p w14:paraId="4BC3CC5E" w14:textId="294B3018" w:rsidR="00F468FE" w:rsidRPr="002D2F67" w:rsidRDefault="00F468FE" w:rsidP="00712290">
      <w:pPr>
        <w:pStyle w:val="BlockText"/>
        <w:numPr>
          <w:ilvl w:val="0"/>
          <w:numId w:val="9"/>
        </w:numPr>
        <w:tabs>
          <w:tab w:val="left" w:pos="900"/>
        </w:tabs>
        <w:ind w:left="900" w:right="0"/>
        <w:jc w:val="thaiDistribute"/>
        <w:rPr>
          <w:rFonts w:ascii="Arial" w:hAnsi="Arial" w:cs="Arial"/>
          <w:color w:val="000000"/>
        </w:rPr>
      </w:pPr>
      <w:r w:rsidRPr="002D2F67">
        <w:rPr>
          <w:rFonts w:ascii="Arial" w:hAnsi="Arial" w:cs="Arial"/>
          <w:color w:val="000000"/>
        </w:rPr>
        <w:t>Finance lease receivables</w:t>
      </w:r>
    </w:p>
    <w:p w14:paraId="3183FCC7" w14:textId="77777777" w:rsidR="00F468FE" w:rsidRPr="002D2F67" w:rsidRDefault="00F468FE" w:rsidP="00F468FE">
      <w:pPr>
        <w:pStyle w:val="BlockText"/>
        <w:numPr>
          <w:ilvl w:val="0"/>
          <w:numId w:val="9"/>
        </w:numPr>
        <w:tabs>
          <w:tab w:val="left" w:pos="900"/>
        </w:tabs>
        <w:ind w:left="900" w:right="0"/>
        <w:jc w:val="thaiDistribute"/>
        <w:rPr>
          <w:rFonts w:ascii="Arial" w:hAnsi="Arial" w:cs="Arial"/>
          <w:color w:val="000000"/>
        </w:rPr>
      </w:pPr>
      <w:r w:rsidRPr="002D2F67">
        <w:rPr>
          <w:rFonts w:ascii="Arial" w:hAnsi="Arial" w:cs="Arial"/>
          <w:color w:val="000000"/>
        </w:rPr>
        <w:t>Loan to other parties and related parties</w:t>
      </w:r>
    </w:p>
    <w:p w14:paraId="6DD581F1" w14:textId="41720754" w:rsidR="00A61C60" w:rsidRPr="002D2F67" w:rsidRDefault="00D219C6" w:rsidP="00F468FE">
      <w:pPr>
        <w:pStyle w:val="BlockText"/>
        <w:numPr>
          <w:ilvl w:val="0"/>
          <w:numId w:val="9"/>
        </w:numPr>
        <w:tabs>
          <w:tab w:val="left" w:pos="900"/>
        </w:tabs>
        <w:ind w:left="900" w:right="0"/>
        <w:jc w:val="thaiDistribute"/>
        <w:rPr>
          <w:rFonts w:ascii="Arial" w:hAnsi="Arial" w:cs="Arial"/>
          <w:color w:val="000000"/>
        </w:rPr>
      </w:pPr>
      <w:r>
        <w:rPr>
          <w:rFonts w:ascii="Arial" w:hAnsi="Arial" w:cs="Arial"/>
          <w:color w:val="000000"/>
        </w:rPr>
        <w:t>Investments in debt instruments</w:t>
      </w:r>
      <w:r w:rsidR="00FB6917" w:rsidRPr="002D2F67">
        <w:rPr>
          <w:rFonts w:ascii="Arial" w:hAnsi="Arial" w:cs="Arial"/>
          <w:color w:val="000000"/>
        </w:rPr>
        <w:t xml:space="preserve"> measured at amortised cost</w:t>
      </w:r>
    </w:p>
    <w:p w14:paraId="2F8534D6" w14:textId="77777777" w:rsidR="00F468FE" w:rsidRPr="002D2F67" w:rsidRDefault="00F468FE" w:rsidP="00315463">
      <w:pPr>
        <w:pStyle w:val="BlockText"/>
        <w:ind w:left="540" w:right="0"/>
        <w:rPr>
          <w:rFonts w:ascii="Arial" w:hAnsi="Arial" w:cs="Arial"/>
          <w:color w:val="000000"/>
          <w:spacing w:val="-6"/>
        </w:rPr>
      </w:pPr>
    </w:p>
    <w:p w14:paraId="43447F0D" w14:textId="531176B0" w:rsidR="00315463" w:rsidRPr="002D2F67" w:rsidRDefault="00315463" w:rsidP="00315463">
      <w:pPr>
        <w:pStyle w:val="BlockText"/>
        <w:ind w:left="540" w:right="0"/>
        <w:rPr>
          <w:rFonts w:ascii="Arial" w:hAnsi="Arial" w:cs="Arial"/>
          <w:color w:val="000000"/>
          <w:spacing w:val="-6"/>
        </w:rPr>
      </w:pPr>
      <w:r w:rsidRPr="002D2F67">
        <w:rPr>
          <w:rFonts w:ascii="Arial" w:hAnsi="Arial" w:cs="Arial"/>
          <w:color w:val="000000"/>
          <w:spacing w:val="-6"/>
        </w:rPr>
        <w:t xml:space="preserve">The expected credit losses of trade and other current receivables, finance lease receivables, and loans to related parties are disclosed in Notes </w:t>
      </w:r>
      <w:r w:rsidR="00CD5714" w:rsidRPr="00CD5714">
        <w:rPr>
          <w:rFonts w:ascii="Arial" w:hAnsi="Arial" w:cs="Arial"/>
          <w:color w:val="000000"/>
          <w:spacing w:val="-6"/>
          <w:lang w:val="en-GB"/>
        </w:rPr>
        <w:t>12</w:t>
      </w:r>
      <w:r w:rsidRPr="002D2F67">
        <w:rPr>
          <w:rFonts w:ascii="Arial" w:hAnsi="Arial" w:cs="Arial"/>
          <w:color w:val="000000"/>
          <w:spacing w:val="-6"/>
        </w:rPr>
        <w:t xml:space="preserve">, </w:t>
      </w:r>
      <w:r w:rsidR="00CD5714" w:rsidRPr="00CD5714">
        <w:rPr>
          <w:rFonts w:ascii="Arial" w:hAnsi="Arial" w:cs="Arial"/>
          <w:color w:val="000000"/>
          <w:spacing w:val="-6"/>
          <w:lang w:val="en-GB"/>
        </w:rPr>
        <w:t>13</w:t>
      </w:r>
      <w:r w:rsidRPr="002D2F67">
        <w:rPr>
          <w:rFonts w:ascii="Arial" w:hAnsi="Arial" w:cs="Arial"/>
          <w:color w:val="000000"/>
          <w:spacing w:val="-6"/>
        </w:rPr>
        <w:t xml:space="preserve">, and </w:t>
      </w:r>
      <w:r w:rsidR="00CD5714" w:rsidRPr="00CD5714">
        <w:rPr>
          <w:rFonts w:ascii="Arial" w:hAnsi="Arial" w:cs="Arial"/>
          <w:color w:val="000000"/>
          <w:spacing w:val="-6"/>
          <w:lang w:val="en-GB"/>
        </w:rPr>
        <w:t>42</w:t>
      </w:r>
      <w:r w:rsidRPr="002D2F67">
        <w:rPr>
          <w:rFonts w:ascii="Arial" w:hAnsi="Arial" w:cs="Arial"/>
          <w:color w:val="000000"/>
          <w:spacing w:val="-6"/>
          <w:cs/>
        </w:rPr>
        <w:t>.</w:t>
      </w:r>
      <w:r w:rsidR="00CD5714" w:rsidRPr="00CD5714">
        <w:rPr>
          <w:rFonts w:ascii="Arial" w:hAnsi="Arial" w:cs="Arial"/>
          <w:color w:val="000000"/>
          <w:spacing w:val="-6"/>
          <w:lang w:val="en-GB"/>
        </w:rPr>
        <w:t>5</w:t>
      </w:r>
      <w:r w:rsidRPr="002D2F67">
        <w:rPr>
          <w:rFonts w:ascii="Arial" w:hAnsi="Arial" w:cs="Arial"/>
          <w:color w:val="000000"/>
          <w:spacing w:val="-6"/>
        </w:rPr>
        <w:t>, respectively.</w:t>
      </w:r>
    </w:p>
    <w:p w14:paraId="3E5F301A" w14:textId="77777777" w:rsidR="00315463" w:rsidRPr="002D2F67" w:rsidRDefault="00315463" w:rsidP="00F468FE">
      <w:pPr>
        <w:ind w:left="540"/>
        <w:jc w:val="thaiDistribute"/>
        <w:rPr>
          <w:rFonts w:ascii="Arial" w:hAnsi="Arial" w:cs="Arial"/>
          <w:color w:val="000000"/>
          <w:sz w:val="20"/>
          <w:szCs w:val="20"/>
        </w:rPr>
      </w:pPr>
    </w:p>
    <w:p w14:paraId="2448C7B7" w14:textId="75CF8777" w:rsidR="00F468FE" w:rsidRPr="002D2F67" w:rsidRDefault="003C13CE" w:rsidP="00F468FE">
      <w:pPr>
        <w:pStyle w:val="BlockText"/>
        <w:ind w:left="540" w:right="0"/>
        <w:rPr>
          <w:rFonts w:ascii="Arial" w:hAnsi="Arial" w:cs="Arial"/>
          <w:color w:val="000000"/>
          <w:spacing w:val="-6"/>
        </w:rPr>
      </w:pPr>
      <w:r w:rsidRPr="002D2F67">
        <w:rPr>
          <w:rFonts w:ascii="Arial" w:hAnsi="Arial" w:cs="Arial"/>
          <w:color w:val="000000"/>
          <w:spacing w:val="-6"/>
        </w:rPr>
        <w:t xml:space="preserve">While cash and cash equivalents are also subject to the impairment requirements of TFRS </w:t>
      </w:r>
      <w:r w:rsidR="00CD5714" w:rsidRPr="00CD5714">
        <w:rPr>
          <w:rFonts w:ascii="Arial" w:hAnsi="Arial" w:cs="Arial"/>
          <w:color w:val="000000"/>
          <w:spacing w:val="-6"/>
          <w:lang w:val="en-GB"/>
        </w:rPr>
        <w:t>9</w:t>
      </w:r>
      <w:r w:rsidRPr="002D2F67">
        <w:rPr>
          <w:rFonts w:ascii="Arial" w:hAnsi="Arial" w:cs="Arial"/>
          <w:color w:val="000000"/>
          <w:spacing w:val="-6"/>
        </w:rPr>
        <w:t>, the identified impairment loss was immaterial</w:t>
      </w:r>
      <w:r w:rsidR="00F468FE" w:rsidRPr="002D2F67">
        <w:rPr>
          <w:rFonts w:ascii="Arial" w:hAnsi="Arial" w:cs="Arial"/>
          <w:color w:val="000000"/>
          <w:spacing w:val="-6"/>
        </w:rPr>
        <w:t>.</w:t>
      </w:r>
    </w:p>
    <w:p w14:paraId="26519955" w14:textId="77777777" w:rsidR="00261197" w:rsidRPr="002D2F67" w:rsidRDefault="00261197" w:rsidP="00F468FE">
      <w:pPr>
        <w:pStyle w:val="BlockText"/>
        <w:ind w:left="540" w:right="0"/>
        <w:rPr>
          <w:rFonts w:ascii="Arial" w:hAnsi="Arial" w:cs="Arial"/>
          <w:color w:val="000000"/>
          <w:spacing w:val="-6"/>
        </w:rPr>
      </w:pPr>
    </w:p>
    <w:p w14:paraId="39CC8E61" w14:textId="74DF4999" w:rsidR="00261197" w:rsidRPr="002D2F67" w:rsidRDefault="00261197" w:rsidP="00F468FE">
      <w:pPr>
        <w:pStyle w:val="BlockText"/>
        <w:ind w:left="540" w:right="0"/>
        <w:rPr>
          <w:rFonts w:ascii="Arial" w:hAnsi="Arial" w:cs="Arial"/>
          <w:i/>
          <w:iCs/>
          <w:color w:val="000000"/>
          <w:spacing w:val="-6"/>
        </w:rPr>
      </w:pPr>
      <w:r w:rsidRPr="002D2F67">
        <w:rPr>
          <w:rFonts w:ascii="Arial" w:hAnsi="Arial" w:cs="Arial"/>
          <w:i/>
          <w:iCs/>
          <w:color w:val="000000"/>
          <w:spacing w:val="-6"/>
        </w:rPr>
        <w:t xml:space="preserve">Trade accounts receivable and </w:t>
      </w:r>
      <w:r w:rsidR="00562DF6" w:rsidRPr="002D2F67">
        <w:rPr>
          <w:rFonts w:ascii="Arial" w:hAnsi="Arial" w:cs="Arial"/>
          <w:i/>
          <w:iCs/>
          <w:color w:val="000000"/>
          <w:spacing w:val="-6"/>
        </w:rPr>
        <w:t>installment receivables</w:t>
      </w:r>
    </w:p>
    <w:p w14:paraId="4FC12B5D" w14:textId="77777777" w:rsidR="00562DF6" w:rsidRPr="002D2F67" w:rsidRDefault="00562DF6" w:rsidP="00F468FE">
      <w:pPr>
        <w:pStyle w:val="BlockText"/>
        <w:ind w:left="540" w:right="0"/>
        <w:rPr>
          <w:rFonts w:ascii="Arial" w:hAnsi="Arial" w:cs="Arial"/>
          <w:i/>
          <w:iCs/>
          <w:color w:val="000000"/>
          <w:spacing w:val="-6"/>
        </w:rPr>
      </w:pPr>
    </w:p>
    <w:p w14:paraId="46878FF8" w14:textId="78E6CFEE" w:rsidR="00562DF6" w:rsidRPr="002D2F67" w:rsidRDefault="00EF1830" w:rsidP="00562DF6">
      <w:pPr>
        <w:pStyle w:val="BlockText"/>
        <w:ind w:left="540" w:right="0"/>
        <w:rPr>
          <w:rFonts w:ascii="Arial" w:hAnsi="Arial" w:cs="Arial"/>
          <w:color w:val="000000"/>
          <w:spacing w:val="-6"/>
        </w:rPr>
      </w:pPr>
      <w:r w:rsidRPr="002D2F67">
        <w:rPr>
          <w:rFonts w:ascii="Arial" w:hAnsi="Arial" w:cs="Arial"/>
          <w:color w:val="000000"/>
        </w:rPr>
        <w:t xml:space="preserve">The Group applies the TFRS </w:t>
      </w:r>
      <w:r w:rsidR="00CD5714" w:rsidRPr="00CD5714">
        <w:rPr>
          <w:rFonts w:ascii="Arial" w:hAnsi="Arial" w:cs="Arial"/>
          <w:color w:val="000000"/>
          <w:lang w:val="en-GB"/>
        </w:rPr>
        <w:t>9</w:t>
      </w:r>
      <w:r w:rsidRPr="002D2F67">
        <w:rPr>
          <w:rFonts w:ascii="Arial" w:hAnsi="Arial" w:cs="Arial"/>
          <w:color w:val="000000"/>
        </w:rPr>
        <w:t xml:space="preserve"> simplified approach to measuring expected credit losses which uses a lifetime</w:t>
      </w:r>
      <w:r w:rsidRPr="002D2F67">
        <w:rPr>
          <w:rFonts w:ascii="Arial" w:hAnsi="Arial" w:cs="Arial"/>
          <w:color w:val="000000"/>
          <w:spacing w:val="-6"/>
        </w:rPr>
        <w:t xml:space="preserve"> expected loss allowance for all trade </w:t>
      </w:r>
      <w:r w:rsidR="00647627" w:rsidRPr="002D2F67">
        <w:rPr>
          <w:rFonts w:ascii="Arial" w:hAnsi="Arial" w:cs="Arial"/>
          <w:color w:val="000000"/>
          <w:spacing w:val="-6"/>
          <w:szCs w:val="25"/>
        </w:rPr>
        <w:t>accounts receivable and installment receivables</w:t>
      </w:r>
      <w:r w:rsidR="00562DF6" w:rsidRPr="002D2F67">
        <w:rPr>
          <w:rFonts w:ascii="Arial" w:hAnsi="Arial" w:cs="Arial"/>
          <w:color w:val="000000"/>
          <w:spacing w:val="-6"/>
        </w:rPr>
        <w:t>.</w:t>
      </w:r>
    </w:p>
    <w:p w14:paraId="72DB4765" w14:textId="77777777" w:rsidR="00647627" w:rsidRPr="002D2F67" w:rsidRDefault="00647627" w:rsidP="00562DF6">
      <w:pPr>
        <w:pStyle w:val="BlockText"/>
        <w:ind w:left="540" w:right="0"/>
        <w:rPr>
          <w:rFonts w:ascii="Arial" w:hAnsi="Arial" w:cs="Arial"/>
          <w:color w:val="000000"/>
          <w:spacing w:val="-6"/>
        </w:rPr>
      </w:pPr>
    </w:p>
    <w:p w14:paraId="20F9E966" w14:textId="4EA2167D" w:rsidR="00027B49" w:rsidRPr="002D2F67" w:rsidRDefault="000672BA" w:rsidP="000672BA">
      <w:pPr>
        <w:pStyle w:val="BlockText"/>
        <w:ind w:left="540" w:right="0"/>
        <w:rPr>
          <w:rFonts w:ascii="Arial" w:hAnsi="Arial" w:cs="Arial"/>
          <w:color w:val="000000"/>
        </w:rPr>
      </w:pPr>
      <w:r w:rsidRPr="002D2F67">
        <w:rPr>
          <w:rFonts w:ascii="Arial" w:hAnsi="Arial" w:cs="Arial"/>
          <w:color w:val="000000"/>
        </w:rPr>
        <w:t xml:space="preserve">To measure the expected credit losses, trade accounts receivable and </w:t>
      </w:r>
      <w:r w:rsidR="0048398B" w:rsidRPr="002D2F67">
        <w:rPr>
          <w:rFonts w:ascii="Arial" w:hAnsi="Arial" w:cs="Arial"/>
          <w:color w:val="000000"/>
          <w:szCs w:val="25"/>
        </w:rPr>
        <w:t>installment receivables</w:t>
      </w:r>
      <w:r w:rsidRPr="002D2F67">
        <w:rPr>
          <w:rFonts w:ascii="Arial" w:hAnsi="Arial" w:cs="Arial"/>
          <w:color w:val="000000"/>
        </w:rPr>
        <w:t xml:space="preserve"> have been grouped based on shared credit risk characteristics and the days past due. </w:t>
      </w:r>
      <w:r w:rsidR="00027B49" w:rsidRPr="002D2F67">
        <w:rPr>
          <w:rFonts w:ascii="Arial" w:hAnsi="Arial" w:cs="Arial"/>
          <w:color w:val="000000"/>
        </w:rPr>
        <w:t xml:space="preserve">The historical loss </w:t>
      </w:r>
      <w:r w:rsidR="00027B49" w:rsidRPr="002D2F67">
        <w:rPr>
          <w:rFonts w:ascii="Arial" w:hAnsi="Arial" w:cs="Arial"/>
          <w:color w:val="000000"/>
          <w:spacing w:val="-4"/>
        </w:rPr>
        <w:t>rates are adjusted to reflect current and forward-looking information on macroeconomic factors affecting</w:t>
      </w:r>
      <w:r w:rsidR="00027B49" w:rsidRPr="002D2F67">
        <w:rPr>
          <w:rFonts w:ascii="Arial" w:hAnsi="Arial" w:cs="Arial"/>
          <w:color w:val="000000"/>
        </w:rPr>
        <w:t xml:space="preserve"> the ability of the customers to settle the receivables.</w:t>
      </w:r>
    </w:p>
    <w:p w14:paraId="5AEA6DCE" w14:textId="77777777" w:rsidR="00027B49" w:rsidRPr="002D2F67" w:rsidRDefault="00027B49" w:rsidP="000672BA">
      <w:pPr>
        <w:pStyle w:val="BlockText"/>
        <w:ind w:left="540" w:right="0"/>
        <w:rPr>
          <w:rFonts w:ascii="Arial" w:hAnsi="Arial" w:cs="Arial"/>
          <w:color w:val="000000"/>
        </w:rPr>
      </w:pPr>
    </w:p>
    <w:p w14:paraId="009F34B3" w14:textId="13A634F6" w:rsidR="00265F17" w:rsidRPr="002D2F67" w:rsidRDefault="00D219C6" w:rsidP="00265F17">
      <w:pPr>
        <w:pStyle w:val="BlockText"/>
        <w:ind w:left="540" w:right="0"/>
        <w:rPr>
          <w:rFonts w:ascii="Arial" w:hAnsi="Arial" w:cs="Arial"/>
          <w:i/>
          <w:iCs/>
          <w:color w:val="000000"/>
          <w:spacing w:val="-6"/>
        </w:rPr>
      </w:pPr>
      <w:r>
        <w:rPr>
          <w:rFonts w:ascii="Arial" w:hAnsi="Arial" w:cs="Arial"/>
          <w:i/>
          <w:iCs/>
          <w:color w:val="000000"/>
          <w:spacing w:val="-6"/>
        </w:rPr>
        <w:t>Investments in debt instruments</w:t>
      </w:r>
    </w:p>
    <w:p w14:paraId="4466FE85" w14:textId="77777777" w:rsidR="00F977CC" w:rsidRPr="002D2F67" w:rsidRDefault="00F977CC" w:rsidP="00265F17">
      <w:pPr>
        <w:pStyle w:val="BlockText"/>
        <w:ind w:left="540" w:right="0"/>
        <w:rPr>
          <w:rFonts w:ascii="Arial" w:hAnsi="Arial" w:cs="Arial"/>
          <w:i/>
          <w:iCs/>
          <w:color w:val="000000"/>
          <w:spacing w:val="-6"/>
        </w:rPr>
      </w:pPr>
    </w:p>
    <w:p w14:paraId="35FD214F" w14:textId="66E07572" w:rsidR="00724D7B" w:rsidRPr="002D2F67" w:rsidRDefault="00D219C6" w:rsidP="00724D7B">
      <w:pPr>
        <w:pStyle w:val="BlockText"/>
        <w:ind w:left="540" w:right="0"/>
        <w:rPr>
          <w:rFonts w:ascii="Arial" w:hAnsi="Arial" w:cs="Arial"/>
          <w:color w:val="000000"/>
        </w:rPr>
      </w:pPr>
      <w:r w:rsidRPr="00D219C6">
        <w:rPr>
          <w:rFonts w:ascii="Arial" w:hAnsi="Arial" w:cs="Arial"/>
          <w:color w:val="000000"/>
          <w:spacing w:val="-4"/>
        </w:rPr>
        <w:t>Investments in debt instruments</w:t>
      </w:r>
      <w:r w:rsidR="00724D7B" w:rsidRPr="00D219C6">
        <w:rPr>
          <w:rFonts w:ascii="Arial" w:hAnsi="Arial" w:cs="Arial"/>
          <w:color w:val="000000"/>
          <w:spacing w:val="-4"/>
        </w:rPr>
        <w:t xml:space="preserve"> measured at amortised cost include investment in Government bond</w:t>
      </w:r>
      <w:r w:rsidR="00DD6931" w:rsidRPr="002D2F67">
        <w:rPr>
          <w:rFonts w:ascii="Arial" w:hAnsi="Arial" w:cs="Arial"/>
          <w:color w:val="000000"/>
        </w:rPr>
        <w:t xml:space="preserve"> and loans to other parties and related parties.</w:t>
      </w:r>
    </w:p>
    <w:p w14:paraId="68FCFC25" w14:textId="77777777" w:rsidR="00671D22" w:rsidRPr="002D2F67" w:rsidRDefault="00671D22" w:rsidP="00724D7B">
      <w:pPr>
        <w:pStyle w:val="BlockText"/>
        <w:ind w:left="540" w:right="0"/>
        <w:rPr>
          <w:rFonts w:ascii="Arial" w:hAnsi="Arial" w:cs="Arial"/>
          <w:color w:val="000000"/>
        </w:rPr>
      </w:pPr>
    </w:p>
    <w:p w14:paraId="5083148F" w14:textId="244BD333" w:rsidR="006779E9" w:rsidRPr="002D2F67" w:rsidRDefault="00D219C6" w:rsidP="006779E9">
      <w:pPr>
        <w:pStyle w:val="BlockText"/>
        <w:ind w:left="540" w:right="0"/>
        <w:rPr>
          <w:rFonts w:ascii="Arial" w:hAnsi="Arial" w:cs="Arial"/>
          <w:color w:val="000000"/>
        </w:rPr>
      </w:pPr>
      <w:r w:rsidRPr="00D219C6">
        <w:rPr>
          <w:rFonts w:ascii="Arial" w:hAnsi="Arial" w:cs="Arial"/>
          <w:color w:val="000000"/>
        </w:rPr>
        <w:t>Investments in debt instruments</w:t>
      </w:r>
      <w:r>
        <w:rPr>
          <w:rFonts w:ascii="Arial" w:hAnsi="Arial" w:cs="Arial"/>
          <w:color w:val="000000"/>
        </w:rPr>
        <w:t xml:space="preserve"> measured</w:t>
      </w:r>
      <w:r w:rsidR="006779E9" w:rsidRPr="002D2F67">
        <w:rPr>
          <w:rFonts w:ascii="Arial" w:hAnsi="Arial" w:cs="Arial"/>
          <w:color w:val="000000"/>
        </w:rPr>
        <w:t xml:space="preserve"> at amortised cost, except loans to related parties, are considered to have low credit risk, and the loss allowance recognised during the year was therefore limited to </w:t>
      </w:r>
      <w:r w:rsidR="00CD5714" w:rsidRPr="00CD5714">
        <w:rPr>
          <w:rFonts w:ascii="Arial" w:hAnsi="Arial" w:cs="Arial"/>
          <w:color w:val="000000"/>
          <w:lang w:val="en-GB"/>
        </w:rPr>
        <w:t>12</w:t>
      </w:r>
      <w:r w:rsidR="006779E9" w:rsidRPr="002D2F67">
        <w:rPr>
          <w:rFonts w:ascii="Arial" w:hAnsi="Arial" w:cs="Arial"/>
          <w:color w:val="000000"/>
        </w:rPr>
        <w:t xml:space="preserve"> months </w:t>
      </w:r>
      <w:r w:rsidR="006779E9" w:rsidRPr="002D2F67">
        <w:rPr>
          <w:rFonts w:ascii="Arial" w:hAnsi="Arial" w:cs="Arial"/>
          <w:color w:val="000000"/>
          <w:spacing w:val="-4"/>
        </w:rPr>
        <w:t xml:space="preserve">expected losses. </w:t>
      </w:r>
      <w:r w:rsidR="001023FF" w:rsidRPr="002D2F67">
        <w:rPr>
          <w:rFonts w:ascii="Arial" w:hAnsi="Arial" w:cs="Arial"/>
          <w:color w:val="000000"/>
          <w:spacing w:val="-4"/>
        </w:rPr>
        <w:t>I</w:t>
      </w:r>
      <w:r w:rsidR="006779E9" w:rsidRPr="002D2F67">
        <w:rPr>
          <w:rFonts w:ascii="Arial" w:hAnsi="Arial" w:cs="Arial"/>
          <w:color w:val="000000"/>
          <w:spacing w:val="-4"/>
        </w:rPr>
        <w:t xml:space="preserve">nstruments are considered to be low credit risk when they have a low risk of </w:t>
      </w:r>
      <w:proofErr w:type="gramStart"/>
      <w:r w:rsidR="006779E9" w:rsidRPr="002D2F67">
        <w:rPr>
          <w:rFonts w:ascii="Arial" w:hAnsi="Arial" w:cs="Arial"/>
          <w:color w:val="000000"/>
          <w:spacing w:val="-4"/>
        </w:rPr>
        <w:t>default</w:t>
      </w:r>
      <w:proofErr w:type="gramEnd"/>
      <w:r w:rsidR="006779E9" w:rsidRPr="002D2F67">
        <w:rPr>
          <w:rFonts w:ascii="Arial" w:hAnsi="Arial" w:cs="Arial"/>
          <w:color w:val="000000"/>
          <w:spacing w:val="-4"/>
        </w:rPr>
        <w:t xml:space="preserve"> and the issuer has a strong capacity to meet its contractual cash flow obligations in the near term</w:t>
      </w:r>
      <w:r w:rsidR="006779E9" w:rsidRPr="002D2F67">
        <w:rPr>
          <w:rFonts w:ascii="Arial" w:hAnsi="Arial" w:cs="Arial"/>
          <w:color w:val="000000"/>
        </w:rPr>
        <w:t>.</w:t>
      </w:r>
    </w:p>
    <w:p w14:paraId="2A6F8D34" w14:textId="77777777" w:rsidR="001023FF" w:rsidRPr="002D2F67" w:rsidRDefault="001023FF" w:rsidP="006779E9">
      <w:pPr>
        <w:pStyle w:val="BlockText"/>
        <w:ind w:left="540" w:right="0"/>
        <w:rPr>
          <w:rFonts w:ascii="Arial" w:hAnsi="Arial" w:cs="Arial"/>
          <w:color w:val="000000"/>
        </w:rPr>
      </w:pPr>
    </w:p>
    <w:p w14:paraId="5E1749FD" w14:textId="748B3E3E" w:rsidR="001023FF" w:rsidRPr="002D2F67" w:rsidRDefault="00A35F73" w:rsidP="006779E9">
      <w:pPr>
        <w:pStyle w:val="BlockText"/>
        <w:ind w:left="540" w:right="0"/>
        <w:rPr>
          <w:rFonts w:ascii="Arial" w:hAnsi="Arial" w:cs="Arial"/>
          <w:color w:val="000000"/>
        </w:rPr>
      </w:pPr>
      <w:r w:rsidRPr="002D2F67">
        <w:rPr>
          <w:rFonts w:ascii="Arial" w:hAnsi="Arial" w:cs="Arial"/>
          <w:color w:val="000000"/>
        </w:rPr>
        <w:t>Certain loans to related parties are considered to have significant increase in credit risk, and the loss allowance recognised was estimated based on a life-time expected losses</w:t>
      </w:r>
      <w:r w:rsidR="00784DBF" w:rsidRPr="002D2F67">
        <w:rPr>
          <w:rFonts w:ascii="Arial" w:hAnsi="Arial" w:cs="Arial"/>
          <w:color w:val="000000"/>
          <w:cs/>
        </w:rPr>
        <w:t xml:space="preserve"> </w:t>
      </w:r>
      <w:r w:rsidR="00784DBF" w:rsidRPr="002D2F67">
        <w:rPr>
          <w:rFonts w:ascii="Arial" w:hAnsi="Arial" w:cs="Arial"/>
          <w:color w:val="000000"/>
        </w:rPr>
        <w:t xml:space="preserve">(Note </w:t>
      </w:r>
      <w:r w:rsidR="00CD5714" w:rsidRPr="00CD5714">
        <w:rPr>
          <w:rFonts w:ascii="Arial" w:hAnsi="Arial" w:cs="Arial"/>
          <w:color w:val="000000"/>
          <w:lang w:val="en-GB"/>
        </w:rPr>
        <w:t>42</w:t>
      </w:r>
      <w:r w:rsidR="00784DBF" w:rsidRPr="002D2F67">
        <w:rPr>
          <w:rFonts w:ascii="Arial" w:hAnsi="Arial" w:cs="Arial"/>
          <w:color w:val="000000"/>
        </w:rPr>
        <w:t>.</w:t>
      </w:r>
      <w:r w:rsidR="00CD5714" w:rsidRPr="00CD5714">
        <w:rPr>
          <w:rFonts w:ascii="Arial" w:hAnsi="Arial" w:cs="Arial"/>
          <w:color w:val="000000"/>
          <w:lang w:val="en-GB"/>
        </w:rPr>
        <w:t>5</w:t>
      </w:r>
      <w:r w:rsidR="00784DBF" w:rsidRPr="002D2F67">
        <w:rPr>
          <w:rFonts w:ascii="Arial" w:hAnsi="Arial" w:cs="Arial"/>
          <w:color w:val="000000"/>
        </w:rPr>
        <w:t>).</w:t>
      </w:r>
    </w:p>
    <w:p w14:paraId="2DECB727" w14:textId="4BC1450E" w:rsidR="00263C0B" w:rsidRPr="002D2F67" w:rsidRDefault="00A70C0C" w:rsidP="006779E9">
      <w:pPr>
        <w:pStyle w:val="BlockText"/>
        <w:ind w:left="540" w:right="0"/>
        <w:rPr>
          <w:rFonts w:ascii="Arial" w:hAnsi="Arial" w:cs="Arial"/>
          <w:color w:val="000000"/>
          <w:spacing w:val="-6"/>
        </w:rPr>
      </w:pPr>
      <w:r w:rsidRPr="002D2F67">
        <w:rPr>
          <w:rFonts w:ascii="Arial" w:hAnsi="Arial" w:cs="Arial"/>
          <w:color w:val="000000"/>
          <w:spacing w:val="-6"/>
        </w:rPr>
        <w:br w:type="page"/>
      </w:r>
    </w:p>
    <w:p w14:paraId="78298CE5" w14:textId="13DA3C70" w:rsidR="00FE37B6" w:rsidRPr="002D2F67" w:rsidRDefault="00CD5714" w:rsidP="005611FE">
      <w:pPr>
        <w:pStyle w:val="HeadSub1-5EA"/>
        <w:ind w:left="560" w:hanging="560"/>
        <w:outlineLvl w:val="2"/>
        <w:rPr>
          <w:rFonts w:ascii="Arial" w:hAnsi="Arial" w:cs="Arial"/>
          <w:b w:val="0"/>
          <w:bCs w:val="0"/>
          <w:color w:val="000000"/>
          <w:sz w:val="20"/>
          <w:szCs w:val="20"/>
        </w:rPr>
      </w:pPr>
      <w:r w:rsidRPr="00CD5714">
        <w:rPr>
          <w:rFonts w:ascii="Arial" w:hAnsi="Arial" w:cs="Arial"/>
          <w:b w:val="0"/>
          <w:bCs w:val="0"/>
          <w:color w:val="000000"/>
          <w:sz w:val="20"/>
          <w:szCs w:val="20"/>
          <w:lang w:val="en-GB"/>
        </w:rPr>
        <w:t>6</w:t>
      </w:r>
      <w:r w:rsidR="00FE37B6" w:rsidRPr="002D2F67">
        <w:rPr>
          <w:rFonts w:ascii="Arial" w:hAnsi="Arial" w:cs="Arial"/>
          <w:b w:val="0"/>
          <w:bCs w:val="0"/>
          <w:color w:val="000000"/>
          <w:sz w:val="20"/>
          <w:szCs w:val="20"/>
        </w:rPr>
        <w:t>.</w:t>
      </w:r>
      <w:r w:rsidRPr="00CD5714">
        <w:rPr>
          <w:rFonts w:ascii="Arial" w:hAnsi="Arial" w:cs="Arial"/>
          <w:b w:val="0"/>
          <w:bCs w:val="0"/>
          <w:color w:val="000000"/>
          <w:sz w:val="20"/>
          <w:szCs w:val="20"/>
          <w:lang w:val="en-GB"/>
        </w:rPr>
        <w:t>1</w:t>
      </w:r>
      <w:r w:rsidR="00300E43" w:rsidRPr="002D2F67">
        <w:rPr>
          <w:rFonts w:ascii="Arial" w:hAnsi="Arial" w:cs="Arial"/>
          <w:b w:val="0"/>
          <w:bCs w:val="0"/>
          <w:color w:val="000000"/>
          <w:sz w:val="20"/>
          <w:szCs w:val="20"/>
        </w:rPr>
        <w:t>.</w:t>
      </w:r>
      <w:r w:rsidRPr="00CD5714">
        <w:rPr>
          <w:rFonts w:ascii="Arial" w:hAnsi="Arial" w:cs="Arial"/>
          <w:b w:val="0"/>
          <w:bCs w:val="0"/>
          <w:color w:val="000000"/>
          <w:sz w:val="20"/>
          <w:szCs w:val="20"/>
          <w:lang w:val="en-GB"/>
        </w:rPr>
        <w:t>3</w:t>
      </w:r>
      <w:r w:rsidR="00FE37B6" w:rsidRPr="002D2F67">
        <w:rPr>
          <w:rFonts w:ascii="Arial" w:hAnsi="Arial" w:cs="Arial"/>
          <w:b w:val="0"/>
          <w:bCs w:val="0"/>
          <w:color w:val="000000"/>
          <w:sz w:val="20"/>
          <w:szCs w:val="20"/>
        </w:rPr>
        <w:tab/>
        <w:t>Liquidity risk</w:t>
      </w:r>
    </w:p>
    <w:p w14:paraId="6D0F1A36" w14:textId="77777777" w:rsidR="00FC2675" w:rsidRPr="002D2F67" w:rsidRDefault="00FC2675" w:rsidP="005611FE">
      <w:pPr>
        <w:ind w:left="540"/>
        <w:jc w:val="thaiDistribute"/>
        <w:rPr>
          <w:rFonts w:ascii="Arial" w:hAnsi="Arial" w:cs="Arial"/>
          <w:color w:val="000000"/>
          <w:sz w:val="20"/>
          <w:szCs w:val="20"/>
        </w:rPr>
      </w:pPr>
    </w:p>
    <w:p w14:paraId="776D6E8B" w14:textId="77777777" w:rsidR="00FC2675" w:rsidRPr="002D2F67" w:rsidRDefault="003E15E5" w:rsidP="005611FE">
      <w:pPr>
        <w:pStyle w:val="HeadSub1-5EA"/>
        <w:numPr>
          <w:ilvl w:val="3"/>
          <w:numId w:val="15"/>
        </w:numPr>
        <w:ind w:left="532" w:hanging="504"/>
        <w:outlineLvl w:val="3"/>
        <w:rPr>
          <w:rFonts w:ascii="Arial" w:hAnsi="Arial" w:cs="Arial"/>
          <w:b w:val="0"/>
          <w:bCs w:val="0"/>
          <w:color w:val="000000"/>
          <w:sz w:val="20"/>
          <w:szCs w:val="20"/>
          <w:u w:val="single"/>
        </w:rPr>
      </w:pPr>
      <w:r w:rsidRPr="002D2F67">
        <w:rPr>
          <w:rFonts w:ascii="Arial" w:hAnsi="Arial" w:cs="Arial"/>
          <w:b w:val="0"/>
          <w:bCs w:val="0"/>
          <w:color w:val="000000"/>
          <w:sz w:val="20"/>
          <w:szCs w:val="20"/>
          <w:u w:val="single"/>
        </w:rPr>
        <w:t>Risk management</w:t>
      </w:r>
    </w:p>
    <w:p w14:paraId="3C36BE1C" w14:textId="77777777" w:rsidR="00205626" w:rsidRPr="002D2F67" w:rsidRDefault="00205626" w:rsidP="005611FE">
      <w:pPr>
        <w:ind w:left="540"/>
        <w:jc w:val="thaiDistribute"/>
        <w:rPr>
          <w:rFonts w:ascii="Arial" w:hAnsi="Arial" w:cs="Arial"/>
          <w:color w:val="000000"/>
          <w:sz w:val="20"/>
          <w:szCs w:val="20"/>
        </w:rPr>
      </w:pPr>
    </w:p>
    <w:p w14:paraId="3217865B" w14:textId="7891C64B" w:rsidR="00855741" w:rsidRPr="002D2F67" w:rsidRDefault="006D7EB3" w:rsidP="005611FE">
      <w:pPr>
        <w:ind w:left="540"/>
        <w:jc w:val="thaiDistribute"/>
        <w:rPr>
          <w:rFonts w:ascii="Arial" w:hAnsi="Arial" w:cs="Arial"/>
          <w:color w:val="000000"/>
          <w:sz w:val="20"/>
          <w:szCs w:val="20"/>
        </w:rPr>
      </w:pPr>
      <w:r w:rsidRPr="002D2F67">
        <w:rPr>
          <w:rFonts w:ascii="Arial" w:hAnsi="Arial" w:cs="Arial"/>
          <w:color w:val="000000"/>
          <w:spacing w:val="-4"/>
          <w:sz w:val="20"/>
          <w:szCs w:val="20"/>
        </w:rPr>
        <w:t xml:space="preserve">Prudent liquidity risk management </w:t>
      </w:r>
      <w:r w:rsidR="00A60788" w:rsidRPr="002D2F67">
        <w:rPr>
          <w:rFonts w:ascii="Arial" w:hAnsi="Arial" w:cs="Arial"/>
          <w:color w:val="000000"/>
          <w:spacing w:val="-4"/>
          <w:sz w:val="20"/>
          <w:szCs w:val="20"/>
        </w:rPr>
        <w:t>of the Group comprises of</w:t>
      </w:r>
      <w:r w:rsidRPr="002D2F67">
        <w:rPr>
          <w:rFonts w:ascii="Arial" w:hAnsi="Arial" w:cs="Arial"/>
          <w:color w:val="000000"/>
          <w:spacing w:val="-4"/>
          <w:sz w:val="20"/>
          <w:szCs w:val="20"/>
        </w:rPr>
        <w:t xml:space="preserve"> maintaining sufficient cash and marketable</w:t>
      </w:r>
      <w:r w:rsidRPr="002D2F67">
        <w:rPr>
          <w:rFonts w:ascii="Arial" w:hAnsi="Arial" w:cs="Arial"/>
          <w:color w:val="000000"/>
          <w:spacing w:val="-2"/>
          <w:sz w:val="20"/>
          <w:szCs w:val="20"/>
        </w:rPr>
        <w:t xml:space="preserve"> securities and the availability of funding through an adequate amount of committed credit facilities to meet obligations when due and to close out market positions. At the end of reporting period, the Group has available deposits at </w:t>
      </w:r>
      <w:r w:rsidR="00780572" w:rsidRPr="002D2F67">
        <w:rPr>
          <w:rFonts w:ascii="Arial" w:hAnsi="Arial" w:cs="Arial"/>
          <w:color w:val="000000"/>
          <w:spacing w:val="-2"/>
          <w:sz w:val="20"/>
          <w:szCs w:val="20"/>
        </w:rPr>
        <w:t>financial institutions</w:t>
      </w:r>
      <w:r w:rsidRPr="002D2F67">
        <w:rPr>
          <w:rFonts w:ascii="Arial" w:hAnsi="Arial" w:cs="Arial"/>
          <w:color w:val="000000"/>
          <w:spacing w:val="-2"/>
          <w:sz w:val="20"/>
          <w:szCs w:val="20"/>
        </w:rPr>
        <w:t xml:space="preserve"> of Baht</w:t>
      </w:r>
      <w:r w:rsidR="002D0BB5" w:rsidRPr="002D2F67">
        <w:rPr>
          <w:rFonts w:ascii="Arial" w:hAnsi="Arial" w:cs="Arial"/>
          <w:color w:val="000000"/>
          <w:spacing w:val="-2"/>
          <w:sz w:val="20"/>
          <w:szCs w:val="20"/>
        </w:rPr>
        <w:t xml:space="preserve"> </w:t>
      </w:r>
      <w:r w:rsidR="00CD5714" w:rsidRPr="00CD5714">
        <w:rPr>
          <w:rFonts w:ascii="Arial" w:hAnsi="Arial" w:cs="Arial"/>
          <w:color w:val="000000"/>
          <w:spacing w:val="-2"/>
          <w:sz w:val="20"/>
          <w:szCs w:val="20"/>
          <w:lang w:val="en-GB"/>
        </w:rPr>
        <w:t>383</w:t>
      </w:r>
      <w:r w:rsidRPr="002D2F67">
        <w:rPr>
          <w:rFonts w:ascii="Arial" w:hAnsi="Arial" w:cs="Arial"/>
          <w:color w:val="000000"/>
          <w:spacing w:val="-2"/>
          <w:sz w:val="20"/>
          <w:szCs w:val="20"/>
        </w:rPr>
        <w:t xml:space="preserve"> million (</w:t>
      </w:r>
      <w:r w:rsidR="00CD5714" w:rsidRPr="00CD5714">
        <w:rPr>
          <w:rFonts w:ascii="Arial" w:hAnsi="Arial" w:cs="Arial"/>
          <w:color w:val="000000"/>
          <w:spacing w:val="-2"/>
          <w:sz w:val="20"/>
          <w:szCs w:val="20"/>
          <w:lang w:val="en-GB"/>
        </w:rPr>
        <w:t>2023</w:t>
      </w:r>
      <w:r w:rsidRPr="002D2F67">
        <w:rPr>
          <w:rFonts w:ascii="Arial" w:hAnsi="Arial" w:cs="Arial"/>
          <w:color w:val="000000"/>
          <w:spacing w:val="-2"/>
          <w:sz w:val="20"/>
          <w:szCs w:val="20"/>
        </w:rPr>
        <w:t xml:space="preserve">: Baht </w:t>
      </w:r>
      <w:r w:rsidR="00CD5714" w:rsidRPr="00CD5714">
        <w:rPr>
          <w:rFonts w:ascii="Arial" w:hAnsi="Arial" w:cs="Arial"/>
          <w:color w:val="000000"/>
          <w:spacing w:val="-2"/>
          <w:sz w:val="20"/>
          <w:szCs w:val="20"/>
          <w:lang w:val="en-GB"/>
        </w:rPr>
        <w:t>2</w:t>
      </w:r>
      <w:r w:rsidR="001D52AC" w:rsidRPr="002D2F67">
        <w:rPr>
          <w:rFonts w:ascii="Arial" w:hAnsi="Arial" w:cs="Arial"/>
          <w:color w:val="000000"/>
          <w:spacing w:val="-2"/>
          <w:sz w:val="20"/>
          <w:szCs w:val="20"/>
        </w:rPr>
        <w:t>,</w:t>
      </w:r>
      <w:r w:rsidR="00CD5714" w:rsidRPr="00CD5714">
        <w:rPr>
          <w:rFonts w:ascii="Arial" w:hAnsi="Arial" w:cs="Arial"/>
          <w:color w:val="000000"/>
          <w:spacing w:val="-2"/>
          <w:sz w:val="20"/>
          <w:szCs w:val="20"/>
          <w:lang w:val="en-GB"/>
        </w:rPr>
        <w:t>464</w:t>
      </w:r>
      <w:r w:rsidR="00786349" w:rsidRPr="002D2F67">
        <w:rPr>
          <w:rFonts w:ascii="Arial" w:hAnsi="Arial" w:cs="Arial"/>
          <w:color w:val="000000"/>
          <w:spacing w:val="-2"/>
          <w:sz w:val="20"/>
          <w:szCs w:val="20"/>
        </w:rPr>
        <w:t xml:space="preserve"> </w:t>
      </w:r>
      <w:r w:rsidRPr="002D2F67">
        <w:rPr>
          <w:rFonts w:ascii="Arial" w:hAnsi="Arial" w:cs="Arial"/>
          <w:color w:val="000000"/>
          <w:spacing w:val="-2"/>
          <w:sz w:val="20"/>
          <w:szCs w:val="20"/>
        </w:rPr>
        <w:t xml:space="preserve">million) for purpose </w:t>
      </w:r>
      <w:r w:rsidR="00567CCD" w:rsidRPr="002D2F67">
        <w:rPr>
          <w:rFonts w:ascii="Arial" w:hAnsi="Arial" w:cs="Arial"/>
          <w:color w:val="000000"/>
          <w:spacing w:val="-2"/>
          <w:sz w:val="20"/>
          <w:szCs w:val="20"/>
        </w:rPr>
        <w:t>of the</w:t>
      </w:r>
      <w:r w:rsidRPr="002D2F67">
        <w:rPr>
          <w:rFonts w:ascii="Arial" w:hAnsi="Arial" w:cs="Arial"/>
          <w:color w:val="000000"/>
          <w:spacing w:val="-2"/>
          <w:sz w:val="20"/>
          <w:szCs w:val="20"/>
        </w:rPr>
        <w:t xml:space="preserve"> Group’s liquidity management. The Group</w:t>
      </w:r>
      <w:r w:rsidR="00780572" w:rsidRPr="002D2F67">
        <w:rPr>
          <w:rFonts w:ascii="Arial" w:hAnsi="Arial" w:cs="Arial"/>
          <w:color w:val="000000"/>
          <w:spacing w:val="-2"/>
          <w:sz w:val="20"/>
          <w:szCs w:val="20"/>
        </w:rPr>
        <w:t>’s</w:t>
      </w:r>
      <w:r w:rsidRPr="002D2F67">
        <w:rPr>
          <w:rFonts w:ascii="Arial" w:hAnsi="Arial" w:cs="Arial"/>
          <w:color w:val="000000"/>
          <w:spacing w:val="-2"/>
          <w:sz w:val="20"/>
          <w:szCs w:val="20"/>
        </w:rPr>
        <w:t xml:space="preserve"> finance department maintains flexibility in funding by </w:t>
      </w:r>
      <w:r w:rsidRPr="002D2F67">
        <w:rPr>
          <w:rFonts w:ascii="Arial" w:hAnsi="Arial" w:cs="Arial"/>
          <w:color w:val="000000"/>
          <w:spacing w:val="-6"/>
          <w:sz w:val="20"/>
          <w:szCs w:val="20"/>
        </w:rPr>
        <w:t>maintaining availability under committed credit lines due to the dynamic nature of the underlying business</w:t>
      </w:r>
      <w:r w:rsidR="00FE37B6" w:rsidRPr="002D2F67">
        <w:rPr>
          <w:rFonts w:ascii="Arial" w:hAnsi="Arial" w:cs="Arial"/>
          <w:color w:val="000000"/>
          <w:sz w:val="20"/>
          <w:szCs w:val="20"/>
        </w:rPr>
        <w:t>.</w:t>
      </w:r>
      <w:r w:rsidR="00884A40" w:rsidRPr="002D2F67">
        <w:rPr>
          <w:rFonts w:ascii="Arial" w:hAnsi="Arial" w:cs="Arial"/>
          <w:color w:val="000000"/>
          <w:sz w:val="20"/>
          <w:szCs w:val="20"/>
          <w:cs/>
        </w:rPr>
        <w:t xml:space="preserve"> </w:t>
      </w:r>
      <w:r w:rsidR="008F68E8" w:rsidRPr="002D2F67">
        <w:rPr>
          <w:rFonts w:ascii="Arial" w:hAnsi="Arial" w:cs="Arial"/>
          <w:color w:val="000000"/>
          <w:sz w:val="20"/>
          <w:szCs w:val="20"/>
        </w:rPr>
        <w:t xml:space="preserve">The </w:t>
      </w:r>
      <w:r w:rsidR="00A22697" w:rsidRPr="002D2F67">
        <w:rPr>
          <w:rFonts w:ascii="Arial" w:hAnsi="Arial" w:cs="Arial"/>
          <w:color w:val="000000"/>
          <w:sz w:val="20"/>
          <w:szCs w:val="20"/>
        </w:rPr>
        <w:t>information of</w:t>
      </w:r>
      <w:r w:rsidR="00BF7F21" w:rsidRPr="002D2F67">
        <w:rPr>
          <w:rFonts w:ascii="Arial" w:hAnsi="Arial" w:cs="Arial"/>
          <w:color w:val="000000"/>
          <w:sz w:val="20"/>
          <w:szCs w:val="20"/>
        </w:rPr>
        <w:t xml:space="preserve"> available credit facilities is provided in Note </w:t>
      </w:r>
      <w:r w:rsidR="00CD5714" w:rsidRPr="00CD5714">
        <w:rPr>
          <w:rFonts w:ascii="Arial" w:hAnsi="Arial" w:cs="Arial"/>
          <w:color w:val="000000"/>
          <w:sz w:val="20"/>
          <w:szCs w:val="20"/>
          <w:lang w:val="en-GB"/>
        </w:rPr>
        <w:t>27</w:t>
      </w:r>
      <w:r w:rsidR="00884A40" w:rsidRPr="002D2F67">
        <w:rPr>
          <w:rFonts w:ascii="Arial" w:hAnsi="Arial" w:cs="Arial"/>
          <w:color w:val="000000"/>
          <w:sz w:val="20"/>
          <w:szCs w:val="20"/>
        </w:rPr>
        <w:t>,</w:t>
      </w:r>
      <w:r w:rsidR="00CF0C0B" w:rsidRPr="002D2F67">
        <w:rPr>
          <w:rFonts w:ascii="Arial" w:hAnsi="Arial" w:cs="Arial"/>
          <w:color w:val="000000"/>
          <w:sz w:val="20"/>
          <w:szCs w:val="20"/>
        </w:rPr>
        <w:t xml:space="preserve"> Note </w:t>
      </w:r>
      <w:r w:rsidR="00CD5714" w:rsidRPr="00CD5714">
        <w:rPr>
          <w:rFonts w:ascii="Arial" w:hAnsi="Arial" w:cs="Arial"/>
          <w:color w:val="000000"/>
          <w:sz w:val="20"/>
          <w:szCs w:val="20"/>
          <w:lang w:val="en-GB"/>
        </w:rPr>
        <w:t>29</w:t>
      </w:r>
      <w:r w:rsidR="00884A40" w:rsidRPr="002D2F67">
        <w:rPr>
          <w:rFonts w:ascii="Arial" w:hAnsi="Arial" w:cs="Arial"/>
          <w:color w:val="000000"/>
          <w:sz w:val="20"/>
          <w:szCs w:val="20"/>
        </w:rPr>
        <w:t xml:space="preserve"> and Note </w:t>
      </w:r>
      <w:r w:rsidR="00CD5714" w:rsidRPr="00CD5714">
        <w:rPr>
          <w:rFonts w:ascii="Arial" w:hAnsi="Arial" w:cs="Arial"/>
          <w:color w:val="000000"/>
          <w:sz w:val="20"/>
          <w:szCs w:val="20"/>
          <w:lang w:val="en-GB"/>
        </w:rPr>
        <w:t>30</w:t>
      </w:r>
      <w:r w:rsidR="00BF7F21" w:rsidRPr="002D2F67">
        <w:rPr>
          <w:rFonts w:ascii="Arial" w:hAnsi="Arial" w:cs="Arial"/>
          <w:color w:val="000000"/>
          <w:sz w:val="20"/>
          <w:szCs w:val="20"/>
        </w:rPr>
        <w:t>.</w:t>
      </w:r>
    </w:p>
    <w:p w14:paraId="540A347E" w14:textId="792DF02E" w:rsidR="006B588E" w:rsidRPr="002D2F67" w:rsidRDefault="006B588E" w:rsidP="005611FE">
      <w:pPr>
        <w:jc w:val="thaiDistribute"/>
        <w:rPr>
          <w:rFonts w:ascii="Arial" w:hAnsi="Arial" w:cs="Arial"/>
          <w:color w:val="000000"/>
          <w:sz w:val="20"/>
          <w:szCs w:val="20"/>
        </w:rPr>
      </w:pPr>
    </w:p>
    <w:p w14:paraId="268CA78F" w14:textId="77777777" w:rsidR="00FB06E8" w:rsidRPr="002D2F67" w:rsidRDefault="00FB06E8" w:rsidP="005611FE">
      <w:pPr>
        <w:pStyle w:val="HeadSub1-5EA"/>
        <w:numPr>
          <w:ilvl w:val="3"/>
          <w:numId w:val="15"/>
        </w:numPr>
        <w:ind w:left="532" w:hanging="504"/>
        <w:outlineLvl w:val="3"/>
        <w:rPr>
          <w:rFonts w:ascii="Arial" w:hAnsi="Arial" w:cs="Arial"/>
          <w:b w:val="0"/>
          <w:bCs w:val="0"/>
          <w:color w:val="000000"/>
          <w:sz w:val="20"/>
          <w:szCs w:val="20"/>
          <w:u w:val="single"/>
        </w:rPr>
      </w:pPr>
      <w:r w:rsidRPr="002D2F67">
        <w:rPr>
          <w:rFonts w:ascii="Arial" w:hAnsi="Arial" w:cs="Arial"/>
          <w:b w:val="0"/>
          <w:bCs w:val="0"/>
          <w:color w:val="000000"/>
          <w:sz w:val="20"/>
          <w:szCs w:val="20"/>
          <w:u w:val="single"/>
        </w:rPr>
        <w:t>Maturity of financial liabilities</w:t>
      </w:r>
    </w:p>
    <w:p w14:paraId="7D04CDFF" w14:textId="77777777" w:rsidR="00FB06E8" w:rsidRPr="002D2F67" w:rsidRDefault="00FB06E8" w:rsidP="005611FE">
      <w:pPr>
        <w:ind w:left="540"/>
        <w:jc w:val="thaiDistribute"/>
        <w:rPr>
          <w:rFonts w:ascii="Arial" w:hAnsi="Arial" w:cs="Arial"/>
          <w:color w:val="000000"/>
          <w:sz w:val="20"/>
          <w:szCs w:val="20"/>
        </w:rPr>
      </w:pPr>
    </w:p>
    <w:p w14:paraId="3C5FA08E" w14:textId="54281E34" w:rsidR="00FB06E8" w:rsidRPr="002D2F67" w:rsidRDefault="00FB06E8" w:rsidP="005611FE">
      <w:pPr>
        <w:pStyle w:val="BlockText"/>
        <w:ind w:left="540" w:right="0"/>
        <w:rPr>
          <w:rFonts w:ascii="Arial" w:hAnsi="Arial" w:cs="Arial"/>
          <w:color w:val="000000"/>
        </w:rPr>
      </w:pPr>
      <w:r w:rsidRPr="002D2F67">
        <w:rPr>
          <w:rFonts w:ascii="Arial" w:hAnsi="Arial" w:cs="Arial"/>
          <w:color w:val="000000"/>
          <w:spacing w:val="-4"/>
        </w:rPr>
        <w:t xml:space="preserve">The table below </w:t>
      </w:r>
      <w:r w:rsidR="004F10A6" w:rsidRPr="002D2F67">
        <w:rPr>
          <w:rFonts w:ascii="Arial" w:hAnsi="Arial" w:cs="Arial"/>
          <w:color w:val="000000"/>
          <w:spacing w:val="-4"/>
        </w:rPr>
        <w:t>analyse</w:t>
      </w:r>
      <w:r w:rsidR="00052D3A" w:rsidRPr="002D2F67">
        <w:rPr>
          <w:rFonts w:ascii="Arial" w:hAnsi="Arial" w:cs="Arial"/>
          <w:color w:val="000000"/>
          <w:spacing w:val="-4"/>
        </w:rPr>
        <w:t>d</w:t>
      </w:r>
      <w:r w:rsidR="004F10A6" w:rsidRPr="002D2F67">
        <w:rPr>
          <w:rFonts w:ascii="Arial" w:hAnsi="Arial" w:cs="Arial"/>
          <w:color w:val="000000"/>
          <w:spacing w:val="-4"/>
        </w:rPr>
        <w:t xml:space="preserve"> the maturity of</w:t>
      </w:r>
      <w:r w:rsidRPr="002D2F67">
        <w:rPr>
          <w:rFonts w:ascii="Arial" w:hAnsi="Arial" w:cs="Arial"/>
          <w:color w:val="000000"/>
          <w:spacing w:val="-4"/>
        </w:rPr>
        <w:t xml:space="preserve"> financial liabilities</w:t>
      </w:r>
      <w:r w:rsidR="004F10A6" w:rsidRPr="002D2F67">
        <w:rPr>
          <w:rFonts w:ascii="Arial" w:hAnsi="Arial" w:cs="Arial"/>
          <w:color w:val="000000"/>
          <w:spacing w:val="-4"/>
        </w:rPr>
        <w:t xml:space="preserve"> grouping based on their contractual maturity</w:t>
      </w:r>
      <w:r w:rsidR="004F10A6" w:rsidRPr="002D2F67">
        <w:rPr>
          <w:rFonts w:ascii="Arial" w:hAnsi="Arial" w:cs="Arial"/>
          <w:color w:val="000000"/>
        </w:rPr>
        <w:t xml:space="preserve">. </w:t>
      </w:r>
      <w:r w:rsidR="004F10A6" w:rsidRPr="002D2F67">
        <w:rPr>
          <w:rFonts w:ascii="Arial" w:hAnsi="Arial" w:cs="Arial"/>
          <w:color w:val="000000"/>
          <w:spacing w:val="-4"/>
        </w:rPr>
        <w:t xml:space="preserve">The amounts disclosed </w:t>
      </w:r>
      <w:r w:rsidR="00052D3A" w:rsidRPr="002D2F67">
        <w:rPr>
          <w:rFonts w:ascii="Arial" w:hAnsi="Arial" w:cs="Arial"/>
          <w:color w:val="000000"/>
          <w:spacing w:val="-4"/>
        </w:rPr>
        <w:t>were</w:t>
      </w:r>
      <w:r w:rsidR="004F10A6" w:rsidRPr="002D2F67">
        <w:rPr>
          <w:rFonts w:ascii="Arial" w:hAnsi="Arial" w:cs="Arial"/>
          <w:color w:val="000000"/>
          <w:spacing w:val="-4"/>
        </w:rPr>
        <w:t xml:space="preserve"> the contractual undiscounted cash flow.</w:t>
      </w:r>
      <w:r w:rsidR="00113517" w:rsidRPr="002D2F67">
        <w:rPr>
          <w:rFonts w:ascii="Arial" w:hAnsi="Arial" w:cs="Arial"/>
          <w:color w:val="000000"/>
          <w:spacing w:val="-4"/>
          <w:cs/>
        </w:rPr>
        <w:t xml:space="preserve"> </w:t>
      </w:r>
      <w:r w:rsidR="00113517" w:rsidRPr="002D2F67">
        <w:rPr>
          <w:rFonts w:ascii="Arial" w:hAnsi="Arial" w:cs="Arial"/>
          <w:color w:val="000000"/>
          <w:spacing w:val="-4"/>
        </w:rPr>
        <w:t>Cash flows from derivatives</w:t>
      </w:r>
      <w:r w:rsidR="00CE20CC" w:rsidRPr="002D2F67">
        <w:rPr>
          <w:rFonts w:ascii="Arial" w:hAnsi="Arial" w:cs="Arial"/>
          <w:color w:val="000000"/>
          <w:spacing w:val="-4"/>
        </w:rPr>
        <w:t xml:space="preserve"> were</w:t>
      </w:r>
      <w:r w:rsidR="00CE20CC" w:rsidRPr="002D2F67">
        <w:rPr>
          <w:rFonts w:ascii="Arial" w:hAnsi="Arial" w:cs="Arial"/>
          <w:color w:val="000000"/>
        </w:rPr>
        <w:t xml:space="preserve"> expected settlement amount based on spot interest rate and foreign exchange rate as specified in the contracts.</w:t>
      </w:r>
    </w:p>
    <w:p w14:paraId="3B9F373C" w14:textId="77777777" w:rsidR="00D64D18" w:rsidRPr="002D2F67" w:rsidRDefault="00D64D18" w:rsidP="005611FE">
      <w:pPr>
        <w:ind w:left="540"/>
        <w:jc w:val="thaiDistribute"/>
        <w:rPr>
          <w:rFonts w:ascii="Arial" w:hAnsi="Arial" w:cs="Arial"/>
          <w:color w:val="000000"/>
          <w:sz w:val="20"/>
          <w:szCs w:val="20"/>
        </w:rPr>
      </w:pPr>
    </w:p>
    <w:tbl>
      <w:tblPr>
        <w:tblW w:w="8991" w:type="dxa"/>
        <w:tblInd w:w="567" w:type="dxa"/>
        <w:tblLayout w:type="fixed"/>
        <w:tblLook w:val="04A0" w:firstRow="1" w:lastRow="0" w:firstColumn="1" w:lastColumn="0" w:noHBand="0" w:noVBand="1"/>
      </w:tblPr>
      <w:tblGrid>
        <w:gridCol w:w="3231"/>
        <w:gridCol w:w="1152"/>
        <w:gridCol w:w="1152"/>
        <w:gridCol w:w="1152"/>
        <w:gridCol w:w="1152"/>
        <w:gridCol w:w="1152"/>
      </w:tblGrid>
      <w:tr w:rsidR="001E5137" w:rsidRPr="002D2F67" w14:paraId="33B30F27" w14:textId="77777777" w:rsidTr="00100E48">
        <w:trPr>
          <w:cantSplit/>
        </w:trPr>
        <w:tc>
          <w:tcPr>
            <w:tcW w:w="3231" w:type="dxa"/>
            <w:shd w:val="clear" w:color="auto" w:fill="auto"/>
            <w:vAlign w:val="bottom"/>
          </w:tcPr>
          <w:p w14:paraId="6616D5DB" w14:textId="77777777" w:rsidR="001E5137" w:rsidRPr="002D2F67" w:rsidRDefault="001E5137" w:rsidP="005611FE">
            <w:pPr>
              <w:ind w:left="-31"/>
              <w:rPr>
                <w:rFonts w:ascii="Arial" w:hAnsi="Arial" w:cs="Arial"/>
                <w:b/>
                <w:bCs/>
                <w:color w:val="000000"/>
                <w:sz w:val="20"/>
                <w:szCs w:val="20"/>
              </w:rPr>
            </w:pPr>
          </w:p>
        </w:tc>
        <w:tc>
          <w:tcPr>
            <w:tcW w:w="5760" w:type="dxa"/>
            <w:gridSpan w:val="5"/>
            <w:tcBorders>
              <w:bottom w:val="single" w:sz="4" w:space="0" w:color="auto"/>
            </w:tcBorders>
            <w:shd w:val="clear" w:color="auto" w:fill="auto"/>
            <w:vAlign w:val="bottom"/>
          </w:tcPr>
          <w:p w14:paraId="15172354" w14:textId="77777777" w:rsidR="001E5137" w:rsidRPr="002D2F67" w:rsidRDefault="001E5137" w:rsidP="005611FE">
            <w:pPr>
              <w:ind w:right="-87"/>
              <w:jc w:val="right"/>
              <w:rPr>
                <w:rFonts w:ascii="Arial" w:hAnsi="Arial" w:cs="Arial"/>
                <w:b/>
                <w:bCs/>
                <w:color w:val="000000"/>
                <w:sz w:val="20"/>
                <w:szCs w:val="20"/>
              </w:rPr>
            </w:pPr>
            <w:r w:rsidRPr="002D2F67">
              <w:rPr>
                <w:rFonts w:ascii="Arial" w:hAnsi="Arial" w:cs="Arial"/>
                <w:b/>
                <w:bCs/>
                <w:color w:val="000000"/>
                <w:sz w:val="20"/>
                <w:szCs w:val="20"/>
              </w:rPr>
              <w:t>Consolidated financial statements</w:t>
            </w:r>
          </w:p>
        </w:tc>
      </w:tr>
      <w:tr w:rsidR="001E5137" w:rsidRPr="002D2F67" w14:paraId="7044EDAC" w14:textId="77777777" w:rsidTr="00100E48">
        <w:trPr>
          <w:cantSplit/>
        </w:trPr>
        <w:tc>
          <w:tcPr>
            <w:tcW w:w="3231" w:type="dxa"/>
            <w:shd w:val="clear" w:color="auto" w:fill="auto"/>
            <w:vAlign w:val="bottom"/>
          </w:tcPr>
          <w:p w14:paraId="1FCCA1E4" w14:textId="77777777" w:rsidR="00516793" w:rsidRPr="002D2F67" w:rsidRDefault="001E5137" w:rsidP="005611FE">
            <w:pPr>
              <w:ind w:left="-31"/>
              <w:rPr>
                <w:rFonts w:ascii="Arial" w:hAnsi="Arial" w:cs="Arial"/>
                <w:b/>
                <w:bCs/>
                <w:color w:val="000000"/>
                <w:sz w:val="20"/>
                <w:szCs w:val="20"/>
              </w:rPr>
            </w:pPr>
            <w:r w:rsidRPr="002D2F67">
              <w:rPr>
                <w:rFonts w:ascii="Arial" w:hAnsi="Arial" w:cs="Arial"/>
                <w:b/>
                <w:bCs/>
                <w:color w:val="000000"/>
                <w:sz w:val="20"/>
                <w:szCs w:val="20"/>
              </w:rPr>
              <w:t xml:space="preserve">Maturity of financial </w:t>
            </w:r>
            <w:r w:rsidR="003E15E5" w:rsidRPr="002D2F67">
              <w:rPr>
                <w:rFonts w:ascii="Arial" w:hAnsi="Arial" w:cs="Arial"/>
                <w:b/>
                <w:bCs/>
                <w:color w:val="000000"/>
                <w:sz w:val="20"/>
                <w:szCs w:val="20"/>
              </w:rPr>
              <w:t>liabilities</w:t>
            </w:r>
            <w:r w:rsidRPr="002D2F67">
              <w:rPr>
                <w:rFonts w:ascii="Arial" w:hAnsi="Arial" w:cs="Arial"/>
                <w:b/>
                <w:bCs/>
                <w:color w:val="000000"/>
                <w:sz w:val="20"/>
                <w:szCs w:val="20"/>
              </w:rPr>
              <w:t xml:space="preserve"> </w:t>
            </w:r>
          </w:p>
          <w:p w14:paraId="329A07A4" w14:textId="17ACBE8E" w:rsidR="001E5137" w:rsidRPr="002D2F67" w:rsidRDefault="00516793" w:rsidP="005611FE">
            <w:pPr>
              <w:ind w:left="-31"/>
              <w:rPr>
                <w:rFonts w:ascii="Arial" w:hAnsi="Arial" w:cs="Arial"/>
                <w:b/>
                <w:bCs/>
                <w:color w:val="000000"/>
                <w:sz w:val="20"/>
                <w:szCs w:val="20"/>
              </w:rPr>
            </w:pPr>
            <w:r w:rsidRPr="002D2F67">
              <w:rPr>
                <w:rFonts w:ascii="Arial" w:hAnsi="Arial" w:cs="Arial"/>
                <w:b/>
                <w:bCs/>
                <w:color w:val="000000"/>
                <w:sz w:val="20"/>
                <w:szCs w:val="20"/>
              </w:rPr>
              <w:t xml:space="preserve">   </w:t>
            </w:r>
            <w:r w:rsidR="001E5137" w:rsidRPr="002D2F67">
              <w:rPr>
                <w:rFonts w:ascii="Arial" w:hAnsi="Arial" w:cs="Arial"/>
                <w:b/>
                <w:bCs/>
                <w:color w:val="000000"/>
                <w:sz w:val="20"/>
                <w:szCs w:val="20"/>
              </w:rPr>
              <w:t xml:space="preserve">as </w:t>
            </w:r>
            <w:proofErr w:type="gramStart"/>
            <w:r w:rsidR="001E5137" w:rsidRPr="002D2F67">
              <w:rPr>
                <w:rFonts w:ascii="Arial" w:hAnsi="Arial" w:cs="Arial"/>
                <w:b/>
                <w:bCs/>
                <w:color w:val="000000"/>
                <w:sz w:val="20"/>
                <w:szCs w:val="20"/>
              </w:rPr>
              <w:t>at</w:t>
            </w:r>
            <w:proofErr w:type="gramEnd"/>
            <w:r w:rsidR="001E5137"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31</w:t>
            </w:r>
            <w:r w:rsidR="001E5137" w:rsidRPr="002D2F67">
              <w:rPr>
                <w:rFonts w:ascii="Arial" w:hAnsi="Arial" w:cs="Arial"/>
                <w:b/>
                <w:bCs/>
                <w:color w:val="000000"/>
                <w:sz w:val="20"/>
                <w:szCs w:val="20"/>
              </w:rPr>
              <w:t xml:space="preserve"> December </w:t>
            </w:r>
            <w:r w:rsidR="00CD5714" w:rsidRPr="00CD5714">
              <w:rPr>
                <w:rFonts w:ascii="Arial" w:hAnsi="Arial" w:cs="Arial"/>
                <w:b/>
                <w:bCs/>
                <w:color w:val="000000"/>
                <w:sz w:val="20"/>
                <w:szCs w:val="20"/>
                <w:lang w:val="en-GB"/>
              </w:rPr>
              <w:t>2024</w:t>
            </w:r>
          </w:p>
        </w:tc>
        <w:tc>
          <w:tcPr>
            <w:tcW w:w="1152" w:type="dxa"/>
            <w:tcBorders>
              <w:top w:val="single" w:sz="4" w:space="0" w:color="auto"/>
              <w:bottom w:val="single" w:sz="4" w:space="0" w:color="auto"/>
            </w:tcBorders>
            <w:shd w:val="clear" w:color="auto" w:fill="auto"/>
            <w:vAlign w:val="bottom"/>
          </w:tcPr>
          <w:p w14:paraId="4B7DFC4D" w14:textId="77777777" w:rsidR="00C026D7" w:rsidRPr="002D2F67" w:rsidRDefault="001E5137"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Within </w:t>
            </w:r>
          </w:p>
          <w:p w14:paraId="5A23E708" w14:textId="28CD8BC8" w:rsidR="001E5137"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1</w:t>
            </w:r>
            <w:r w:rsidR="001E5137" w:rsidRPr="002D2F67">
              <w:rPr>
                <w:rFonts w:ascii="Arial" w:hAnsi="Arial" w:cs="Arial"/>
                <w:b/>
                <w:bCs/>
                <w:color w:val="000000"/>
                <w:sz w:val="20"/>
                <w:szCs w:val="20"/>
              </w:rPr>
              <w:t xml:space="preserve"> year</w:t>
            </w:r>
          </w:p>
          <w:p w14:paraId="2E63108C" w14:textId="77777777" w:rsidR="001E5137" w:rsidRPr="002D2F67" w:rsidRDefault="001E5137" w:rsidP="005611FE">
            <w:pPr>
              <w:ind w:right="-72"/>
              <w:jc w:val="right"/>
              <w:rPr>
                <w:rFonts w:ascii="Arial" w:hAnsi="Arial" w:cs="Arial"/>
                <w:b/>
                <w:bCs/>
                <w:color w:val="000000"/>
                <w:sz w:val="20"/>
                <w:szCs w:val="20"/>
              </w:rPr>
            </w:pPr>
            <w:r w:rsidRPr="002D2F67">
              <w:rPr>
                <w:rFonts w:ascii="Arial" w:hAnsi="Arial" w:cs="Arial"/>
                <w:b/>
                <w:bCs/>
                <w:color w:val="000000"/>
                <w:sz w:val="20"/>
                <w:szCs w:val="20"/>
              </w:rPr>
              <w:t>Million Baht</w:t>
            </w:r>
          </w:p>
        </w:tc>
        <w:tc>
          <w:tcPr>
            <w:tcW w:w="1152" w:type="dxa"/>
            <w:tcBorders>
              <w:top w:val="single" w:sz="4" w:space="0" w:color="auto"/>
              <w:bottom w:val="single" w:sz="4" w:space="0" w:color="auto"/>
            </w:tcBorders>
            <w:shd w:val="clear" w:color="auto" w:fill="auto"/>
            <w:vAlign w:val="bottom"/>
          </w:tcPr>
          <w:p w14:paraId="297EA141" w14:textId="50406DF0" w:rsidR="001E5137"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1</w:t>
            </w:r>
            <w:r w:rsidR="001E5137" w:rsidRPr="002D2F67">
              <w:rPr>
                <w:rFonts w:ascii="Arial" w:hAnsi="Arial" w:cs="Arial"/>
                <w:b/>
                <w:bCs/>
                <w:color w:val="000000"/>
                <w:sz w:val="20"/>
                <w:szCs w:val="20"/>
              </w:rPr>
              <w:t>-</w:t>
            </w:r>
            <w:r w:rsidRPr="00CD5714">
              <w:rPr>
                <w:rFonts w:ascii="Arial" w:hAnsi="Arial" w:cs="Arial"/>
                <w:b/>
                <w:bCs/>
                <w:color w:val="000000"/>
                <w:sz w:val="20"/>
                <w:szCs w:val="20"/>
                <w:lang w:val="en-GB"/>
              </w:rPr>
              <w:t>5</w:t>
            </w:r>
            <w:r w:rsidR="001E5137" w:rsidRPr="002D2F67">
              <w:rPr>
                <w:rFonts w:ascii="Arial" w:hAnsi="Arial" w:cs="Arial"/>
                <w:b/>
                <w:bCs/>
                <w:color w:val="000000"/>
                <w:sz w:val="20"/>
                <w:szCs w:val="20"/>
              </w:rPr>
              <w:t xml:space="preserve"> </w:t>
            </w:r>
          </w:p>
          <w:p w14:paraId="79FCFEA5" w14:textId="77777777" w:rsidR="001E5137" w:rsidRPr="002D2F67" w:rsidRDefault="001E5137" w:rsidP="005611FE">
            <w:pPr>
              <w:ind w:right="-72"/>
              <w:jc w:val="right"/>
              <w:rPr>
                <w:rFonts w:ascii="Arial" w:hAnsi="Arial" w:cs="Arial"/>
                <w:b/>
                <w:bCs/>
                <w:color w:val="000000"/>
                <w:sz w:val="20"/>
                <w:szCs w:val="20"/>
              </w:rPr>
            </w:pPr>
            <w:r w:rsidRPr="002D2F67">
              <w:rPr>
                <w:rFonts w:ascii="Arial" w:hAnsi="Arial" w:cs="Arial"/>
                <w:b/>
                <w:bCs/>
                <w:color w:val="000000"/>
                <w:sz w:val="20"/>
                <w:szCs w:val="20"/>
              </w:rPr>
              <w:t>years</w:t>
            </w:r>
          </w:p>
          <w:p w14:paraId="79C1FD71" w14:textId="77777777" w:rsidR="001E5137" w:rsidRPr="002D2F67" w:rsidRDefault="001E5137" w:rsidP="005611FE">
            <w:pPr>
              <w:ind w:right="-72"/>
              <w:jc w:val="right"/>
              <w:rPr>
                <w:rFonts w:ascii="Arial" w:hAnsi="Arial" w:cs="Arial"/>
                <w:b/>
                <w:bCs/>
                <w:color w:val="000000"/>
                <w:sz w:val="20"/>
                <w:szCs w:val="20"/>
              </w:rPr>
            </w:pPr>
            <w:r w:rsidRPr="002D2F67">
              <w:rPr>
                <w:rFonts w:ascii="Arial" w:hAnsi="Arial" w:cs="Arial"/>
                <w:b/>
                <w:bCs/>
                <w:color w:val="000000"/>
                <w:sz w:val="20"/>
                <w:szCs w:val="20"/>
              </w:rPr>
              <w:t>Million Baht</w:t>
            </w:r>
          </w:p>
        </w:tc>
        <w:tc>
          <w:tcPr>
            <w:tcW w:w="1152" w:type="dxa"/>
            <w:tcBorders>
              <w:top w:val="single" w:sz="4" w:space="0" w:color="auto"/>
              <w:bottom w:val="single" w:sz="4" w:space="0" w:color="auto"/>
            </w:tcBorders>
            <w:shd w:val="clear" w:color="auto" w:fill="auto"/>
            <w:vAlign w:val="bottom"/>
          </w:tcPr>
          <w:p w14:paraId="5ED34EAE" w14:textId="77777777" w:rsidR="00C026D7" w:rsidRPr="002D2F67" w:rsidRDefault="001E5137"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Over </w:t>
            </w:r>
          </w:p>
          <w:p w14:paraId="2224E1D9" w14:textId="1F8E0F59" w:rsidR="001E5137"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5</w:t>
            </w:r>
            <w:r w:rsidR="001E5137" w:rsidRPr="002D2F67">
              <w:rPr>
                <w:rFonts w:ascii="Arial" w:hAnsi="Arial" w:cs="Arial"/>
                <w:b/>
                <w:bCs/>
                <w:color w:val="000000"/>
                <w:sz w:val="20"/>
                <w:szCs w:val="20"/>
              </w:rPr>
              <w:t xml:space="preserve"> years Million Baht</w:t>
            </w:r>
          </w:p>
        </w:tc>
        <w:tc>
          <w:tcPr>
            <w:tcW w:w="1152" w:type="dxa"/>
            <w:tcBorders>
              <w:top w:val="single" w:sz="4" w:space="0" w:color="auto"/>
              <w:bottom w:val="single" w:sz="4" w:space="0" w:color="auto"/>
            </w:tcBorders>
            <w:shd w:val="clear" w:color="auto" w:fill="auto"/>
            <w:vAlign w:val="bottom"/>
          </w:tcPr>
          <w:p w14:paraId="7BF8F6CE" w14:textId="77777777" w:rsidR="001E5137" w:rsidRPr="002D2F67" w:rsidRDefault="001E5137"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 </w:t>
            </w:r>
          </w:p>
          <w:p w14:paraId="192126CA" w14:textId="77777777" w:rsidR="001E5137" w:rsidRPr="002D2F67" w:rsidRDefault="001E5137" w:rsidP="005611FE">
            <w:pPr>
              <w:ind w:right="-72"/>
              <w:jc w:val="right"/>
              <w:rPr>
                <w:rFonts w:ascii="Arial" w:hAnsi="Arial" w:cs="Arial"/>
                <w:b/>
                <w:bCs/>
                <w:color w:val="000000"/>
                <w:sz w:val="20"/>
                <w:szCs w:val="20"/>
              </w:rPr>
            </w:pPr>
            <w:r w:rsidRPr="002D2F67">
              <w:rPr>
                <w:rFonts w:ascii="Arial" w:hAnsi="Arial" w:cs="Arial"/>
                <w:b/>
                <w:bCs/>
                <w:color w:val="000000"/>
                <w:sz w:val="20"/>
                <w:szCs w:val="20"/>
              </w:rPr>
              <w:t>Total</w:t>
            </w:r>
          </w:p>
          <w:p w14:paraId="27D9C0DE" w14:textId="77777777" w:rsidR="001E5137" w:rsidRPr="002D2F67" w:rsidRDefault="001E5137" w:rsidP="005611FE">
            <w:pPr>
              <w:ind w:right="-72"/>
              <w:jc w:val="right"/>
              <w:rPr>
                <w:rFonts w:ascii="Arial" w:hAnsi="Arial" w:cs="Arial"/>
                <w:b/>
                <w:bCs/>
                <w:color w:val="000000"/>
                <w:sz w:val="20"/>
                <w:szCs w:val="20"/>
              </w:rPr>
            </w:pPr>
            <w:r w:rsidRPr="002D2F67">
              <w:rPr>
                <w:rFonts w:ascii="Arial" w:hAnsi="Arial" w:cs="Arial"/>
                <w:b/>
                <w:bCs/>
                <w:color w:val="000000"/>
                <w:sz w:val="20"/>
                <w:szCs w:val="20"/>
              </w:rPr>
              <w:t>Million Baht</w:t>
            </w:r>
          </w:p>
        </w:tc>
        <w:tc>
          <w:tcPr>
            <w:tcW w:w="1152" w:type="dxa"/>
            <w:tcBorders>
              <w:top w:val="single" w:sz="4" w:space="0" w:color="auto"/>
              <w:bottom w:val="single" w:sz="4" w:space="0" w:color="auto"/>
            </w:tcBorders>
            <w:shd w:val="clear" w:color="auto" w:fill="auto"/>
            <w:vAlign w:val="bottom"/>
          </w:tcPr>
          <w:p w14:paraId="67C8C1F0" w14:textId="44D16EA6" w:rsidR="001E5137" w:rsidRPr="002D2F67" w:rsidRDefault="00C026D7" w:rsidP="005611FE">
            <w:pPr>
              <w:ind w:right="-72"/>
              <w:jc w:val="right"/>
              <w:rPr>
                <w:rFonts w:ascii="Arial" w:hAnsi="Arial" w:cs="Arial"/>
                <w:b/>
                <w:bCs/>
                <w:color w:val="000000"/>
                <w:sz w:val="20"/>
                <w:szCs w:val="20"/>
              </w:rPr>
            </w:pPr>
            <w:r w:rsidRPr="002D2F67">
              <w:rPr>
                <w:rFonts w:ascii="Arial" w:hAnsi="Arial" w:cs="Arial"/>
                <w:b/>
                <w:bCs/>
                <w:color w:val="000000"/>
                <w:sz w:val="20"/>
                <w:szCs w:val="20"/>
              </w:rPr>
              <w:t>Carrying amount</w:t>
            </w:r>
          </w:p>
          <w:p w14:paraId="1BC5045C" w14:textId="77777777" w:rsidR="001E5137" w:rsidRPr="002D2F67" w:rsidRDefault="001E5137" w:rsidP="005611FE">
            <w:pPr>
              <w:ind w:right="-72"/>
              <w:jc w:val="right"/>
              <w:rPr>
                <w:rFonts w:ascii="Arial" w:hAnsi="Arial" w:cs="Arial"/>
                <w:b/>
                <w:bCs/>
                <w:color w:val="000000"/>
                <w:sz w:val="20"/>
                <w:szCs w:val="20"/>
              </w:rPr>
            </w:pPr>
            <w:r w:rsidRPr="002D2F67">
              <w:rPr>
                <w:rFonts w:ascii="Arial" w:hAnsi="Arial" w:cs="Arial"/>
                <w:b/>
                <w:bCs/>
                <w:color w:val="000000"/>
                <w:sz w:val="20"/>
                <w:szCs w:val="20"/>
              </w:rPr>
              <w:t>Million Baht</w:t>
            </w:r>
          </w:p>
        </w:tc>
      </w:tr>
      <w:tr w:rsidR="001E5137" w:rsidRPr="002D2F67" w14:paraId="4BB3217C" w14:textId="77777777" w:rsidTr="00100E48">
        <w:trPr>
          <w:cantSplit/>
        </w:trPr>
        <w:tc>
          <w:tcPr>
            <w:tcW w:w="3231" w:type="dxa"/>
            <w:shd w:val="clear" w:color="auto" w:fill="auto"/>
            <w:vAlign w:val="bottom"/>
          </w:tcPr>
          <w:p w14:paraId="1F5EDECA" w14:textId="77777777" w:rsidR="001E5137" w:rsidRPr="002D2F67" w:rsidRDefault="001E5137" w:rsidP="005611FE">
            <w:pPr>
              <w:ind w:left="-31"/>
              <w:rPr>
                <w:rFonts w:ascii="Arial" w:hAnsi="Arial" w:cs="Arial"/>
                <w:color w:val="000000"/>
                <w:sz w:val="20"/>
                <w:szCs w:val="20"/>
              </w:rPr>
            </w:pPr>
          </w:p>
        </w:tc>
        <w:tc>
          <w:tcPr>
            <w:tcW w:w="1152" w:type="dxa"/>
            <w:tcBorders>
              <w:top w:val="single" w:sz="4" w:space="0" w:color="auto"/>
            </w:tcBorders>
            <w:shd w:val="clear" w:color="auto" w:fill="auto"/>
            <w:vAlign w:val="bottom"/>
          </w:tcPr>
          <w:p w14:paraId="1595B63D" w14:textId="77777777" w:rsidR="001E5137" w:rsidRPr="002D2F67" w:rsidRDefault="001E5137" w:rsidP="005611FE">
            <w:pPr>
              <w:ind w:right="-72"/>
              <w:jc w:val="right"/>
              <w:rPr>
                <w:rFonts w:ascii="Arial" w:hAnsi="Arial" w:cs="Arial"/>
                <w:color w:val="000000"/>
                <w:sz w:val="20"/>
                <w:szCs w:val="20"/>
              </w:rPr>
            </w:pPr>
          </w:p>
        </w:tc>
        <w:tc>
          <w:tcPr>
            <w:tcW w:w="1152" w:type="dxa"/>
            <w:tcBorders>
              <w:top w:val="single" w:sz="4" w:space="0" w:color="auto"/>
            </w:tcBorders>
            <w:shd w:val="clear" w:color="auto" w:fill="auto"/>
            <w:vAlign w:val="bottom"/>
          </w:tcPr>
          <w:p w14:paraId="2B7D073F" w14:textId="77777777" w:rsidR="001E5137" w:rsidRPr="002D2F67" w:rsidRDefault="001E5137" w:rsidP="005611FE">
            <w:pPr>
              <w:ind w:right="-72"/>
              <w:jc w:val="right"/>
              <w:rPr>
                <w:rFonts w:ascii="Arial" w:hAnsi="Arial" w:cs="Arial"/>
                <w:color w:val="000000"/>
                <w:sz w:val="20"/>
                <w:szCs w:val="20"/>
              </w:rPr>
            </w:pPr>
          </w:p>
        </w:tc>
        <w:tc>
          <w:tcPr>
            <w:tcW w:w="1152" w:type="dxa"/>
            <w:tcBorders>
              <w:top w:val="single" w:sz="4" w:space="0" w:color="auto"/>
            </w:tcBorders>
            <w:shd w:val="clear" w:color="auto" w:fill="auto"/>
            <w:vAlign w:val="bottom"/>
          </w:tcPr>
          <w:p w14:paraId="768BC17E" w14:textId="77777777" w:rsidR="001E5137" w:rsidRPr="002D2F67" w:rsidRDefault="001E5137" w:rsidP="005611FE">
            <w:pPr>
              <w:ind w:right="-72"/>
              <w:jc w:val="right"/>
              <w:rPr>
                <w:rFonts w:ascii="Arial" w:hAnsi="Arial" w:cs="Arial"/>
                <w:color w:val="000000"/>
                <w:sz w:val="20"/>
                <w:szCs w:val="20"/>
              </w:rPr>
            </w:pPr>
          </w:p>
        </w:tc>
        <w:tc>
          <w:tcPr>
            <w:tcW w:w="1152" w:type="dxa"/>
            <w:tcBorders>
              <w:top w:val="single" w:sz="4" w:space="0" w:color="auto"/>
            </w:tcBorders>
            <w:shd w:val="clear" w:color="auto" w:fill="auto"/>
            <w:vAlign w:val="bottom"/>
          </w:tcPr>
          <w:p w14:paraId="6A8AF528" w14:textId="77777777" w:rsidR="001E5137" w:rsidRPr="002D2F67" w:rsidRDefault="001E5137" w:rsidP="005611FE">
            <w:pPr>
              <w:ind w:right="-72"/>
              <w:jc w:val="right"/>
              <w:rPr>
                <w:rFonts w:ascii="Arial" w:hAnsi="Arial" w:cs="Arial"/>
                <w:color w:val="000000"/>
                <w:sz w:val="20"/>
                <w:szCs w:val="20"/>
              </w:rPr>
            </w:pPr>
          </w:p>
        </w:tc>
        <w:tc>
          <w:tcPr>
            <w:tcW w:w="1152" w:type="dxa"/>
            <w:tcBorders>
              <w:top w:val="single" w:sz="4" w:space="0" w:color="auto"/>
            </w:tcBorders>
            <w:shd w:val="clear" w:color="auto" w:fill="auto"/>
            <w:vAlign w:val="bottom"/>
          </w:tcPr>
          <w:p w14:paraId="6FEBFF6E" w14:textId="77777777" w:rsidR="001E5137" w:rsidRPr="002D2F67" w:rsidRDefault="001E5137" w:rsidP="005611FE">
            <w:pPr>
              <w:ind w:right="-72"/>
              <w:jc w:val="right"/>
              <w:rPr>
                <w:rFonts w:ascii="Arial" w:hAnsi="Arial" w:cs="Arial"/>
                <w:color w:val="000000"/>
                <w:sz w:val="20"/>
                <w:szCs w:val="20"/>
              </w:rPr>
            </w:pPr>
          </w:p>
        </w:tc>
      </w:tr>
      <w:tr w:rsidR="00B9493D" w:rsidRPr="002D2F67" w14:paraId="5F7F41A3" w14:textId="77777777" w:rsidTr="00100E48">
        <w:trPr>
          <w:cantSplit/>
        </w:trPr>
        <w:tc>
          <w:tcPr>
            <w:tcW w:w="3231" w:type="dxa"/>
            <w:shd w:val="clear" w:color="auto" w:fill="auto"/>
            <w:vAlign w:val="bottom"/>
          </w:tcPr>
          <w:p w14:paraId="5ACA74D2" w14:textId="30B1BC7E" w:rsidR="00B9493D" w:rsidRPr="002D2F67" w:rsidRDefault="00B9493D" w:rsidP="005611FE">
            <w:pPr>
              <w:ind w:left="-31"/>
              <w:rPr>
                <w:rFonts w:ascii="Arial" w:hAnsi="Arial" w:cs="Arial"/>
                <w:b/>
                <w:bCs/>
                <w:color w:val="000000"/>
                <w:sz w:val="20"/>
                <w:szCs w:val="20"/>
              </w:rPr>
            </w:pPr>
            <w:r w:rsidRPr="002D2F67">
              <w:rPr>
                <w:rFonts w:ascii="Arial" w:hAnsi="Arial" w:cs="Arial"/>
                <w:b/>
                <w:bCs/>
                <w:color w:val="000000"/>
                <w:sz w:val="20"/>
                <w:szCs w:val="20"/>
              </w:rPr>
              <w:t>Non</w:t>
            </w:r>
            <w:r w:rsidR="00DC4B71" w:rsidRPr="002D2F67">
              <w:rPr>
                <w:rFonts w:ascii="Arial" w:hAnsi="Arial" w:cs="Arial"/>
                <w:b/>
                <w:bCs/>
                <w:color w:val="000000"/>
                <w:sz w:val="20"/>
                <w:szCs w:val="20"/>
              </w:rPr>
              <w:t>-derivative</w:t>
            </w:r>
            <w:r w:rsidR="005A4B31" w:rsidRPr="002D2F67">
              <w:rPr>
                <w:rFonts w:ascii="Arial" w:hAnsi="Arial" w:cs="Arial"/>
                <w:b/>
                <w:bCs/>
                <w:color w:val="000000"/>
                <w:sz w:val="20"/>
                <w:szCs w:val="20"/>
              </w:rPr>
              <w:t>s</w:t>
            </w:r>
          </w:p>
        </w:tc>
        <w:tc>
          <w:tcPr>
            <w:tcW w:w="1152" w:type="dxa"/>
            <w:shd w:val="clear" w:color="auto" w:fill="auto"/>
            <w:vAlign w:val="bottom"/>
          </w:tcPr>
          <w:p w14:paraId="23F07E13" w14:textId="77777777" w:rsidR="00B9493D" w:rsidRPr="002D2F67" w:rsidRDefault="00B9493D" w:rsidP="005611FE">
            <w:pPr>
              <w:ind w:right="-72"/>
              <w:jc w:val="right"/>
              <w:rPr>
                <w:rFonts w:ascii="Arial" w:hAnsi="Arial" w:cs="Arial"/>
                <w:color w:val="000000"/>
                <w:sz w:val="20"/>
                <w:szCs w:val="20"/>
              </w:rPr>
            </w:pPr>
          </w:p>
        </w:tc>
        <w:tc>
          <w:tcPr>
            <w:tcW w:w="1152" w:type="dxa"/>
            <w:shd w:val="clear" w:color="auto" w:fill="auto"/>
            <w:vAlign w:val="bottom"/>
          </w:tcPr>
          <w:p w14:paraId="5C2153F3" w14:textId="77777777" w:rsidR="00B9493D" w:rsidRPr="002D2F67" w:rsidRDefault="00B9493D" w:rsidP="005611FE">
            <w:pPr>
              <w:ind w:right="-72"/>
              <w:jc w:val="right"/>
              <w:rPr>
                <w:rFonts w:ascii="Arial" w:hAnsi="Arial" w:cs="Arial"/>
                <w:color w:val="000000"/>
                <w:sz w:val="20"/>
                <w:szCs w:val="20"/>
              </w:rPr>
            </w:pPr>
          </w:p>
        </w:tc>
        <w:tc>
          <w:tcPr>
            <w:tcW w:w="1152" w:type="dxa"/>
            <w:shd w:val="clear" w:color="auto" w:fill="auto"/>
            <w:vAlign w:val="bottom"/>
          </w:tcPr>
          <w:p w14:paraId="059E8233" w14:textId="77777777" w:rsidR="00B9493D" w:rsidRPr="002D2F67" w:rsidRDefault="00B9493D" w:rsidP="005611FE">
            <w:pPr>
              <w:ind w:right="-72"/>
              <w:jc w:val="right"/>
              <w:rPr>
                <w:rFonts w:ascii="Arial" w:hAnsi="Arial" w:cs="Arial"/>
                <w:color w:val="000000"/>
                <w:sz w:val="20"/>
                <w:szCs w:val="20"/>
              </w:rPr>
            </w:pPr>
          </w:p>
        </w:tc>
        <w:tc>
          <w:tcPr>
            <w:tcW w:w="1152" w:type="dxa"/>
            <w:shd w:val="clear" w:color="auto" w:fill="auto"/>
            <w:vAlign w:val="bottom"/>
          </w:tcPr>
          <w:p w14:paraId="2CF587BD" w14:textId="77777777" w:rsidR="00B9493D" w:rsidRPr="002D2F67" w:rsidRDefault="00B9493D" w:rsidP="005611FE">
            <w:pPr>
              <w:ind w:right="-72"/>
              <w:jc w:val="right"/>
              <w:rPr>
                <w:rFonts w:ascii="Arial" w:hAnsi="Arial" w:cs="Arial"/>
                <w:color w:val="000000"/>
                <w:sz w:val="20"/>
                <w:szCs w:val="20"/>
              </w:rPr>
            </w:pPr>
          </w:p>
        </w:tc>
        <w:tc>
          <w:tcPr>
            <w:tcW w:w="1152" w:type="dxa"/>
            <w:shd w:val="clear" w:color="auto" w:fill="auto"/>
            <w:vAlign w:val="bottom"/>
          </w:tcPr>
          <w:p w14:paraId="626533C0" w14:textId="77777777" w:rsidR="00B9493D" w:rsidRPr="002D2F67" w:rsidRDefault="00B9493D" w:rsidP="005611FE">
            <w:pPr>
              <w:ind w:right="-72"/>
              <w:jc w:val="right"/>
              <w:rPr>
                <w:rFonts w:ascii="Arial" w:hAnsi="Arial" w:cs="Arial"/>
                <w:color w:val="000000"/>
                <w:sz w:val="20"/>
                <w:szCs w:val="20"/>
              </w:rPr>
            </w:pPr>
          </w:p>
        </w:tc>
      </w:tr>
      <w:tr w:rsidR="00E31759" w:rsidRPr="002D2F67" w14:paraId="2796D2CA" w14:textId="77777777" w:rsidTr="00100E48">
        <w:trPr>
          <w:cantSplit/>
        </w:trPr>
        <w:tc>
          <w:tcPr>
            <w:tcW w:w="3231" w:type="dxa"/>
            <w:shd w:val="clear" w:color="auto" w:fill="auto"/>
            <w:vAlign w:val="bottom"/>
          </w:tcPr>
          <w:p w14:paraId="2051FA07" w14:textId="77777777" w:rsidR="00E31759" w:rsidRPr="002D2F67" w:rsidRDefault="00E31759" w:rsidP="005611FE">
            <w:pPr>
              <w:ind w:left="-31"/>
              <w:rPr>
                <w:rFonts w:ascii="Arial" w:hAnsi="Arial" w:cs="Arial"/>
                <w:color w:val="000000"/>
                <w:sz w:val="20"/>
                <w:szCs w:val="20"/>
              </w:rPr>
            </w:pPr>
            <w:r w:rsidRPr="002D2F67">
              <w:rPr>
                <w:rFonts w:ascii="Arial" w:hAnsi="Arial" w:cs="Arial"/>
                <w:color w:val="000000"/>
                <w:sz w:val="20"/>
                <w:szCs w:val="20"/>
              </w:rPr>
              <w:t>Short-term loans from</w:t>
            </w:r>
          </w:p>
          <w:p w14:paraId="705C9933" w14:textId="5788DACB" w:rsidR="00E31759" w:rsidRPr="002D2F67" w:rsidRDefault="00E31759" w:rsidP="005611FE">
            <w:pPr>
              <w:ind w:left="-31"/>
              <w:rPr>
                <w:rFonts w:ascii="Arial" w:hAnsi="Arial" w:cs="Arial"/>
                <w:color w:val="000000"/>
                <w:sz w:val="20"/>
                <w:szCs w:val="20"/>
              </w:rPr>
            </w:pPr>
            <w:r w:rsidRPr="002D2F67">
              <w:rPr>
                <w:rFonts w:ascii="Arial" w:hAnsi="Arial" w:cs="Arial"/>
                <w:color w:val="000000"/>
                <w:sz w:val="20"/>
                <w:szCs w:val="20"/>
              </w:rPr>
              <w:t xml:space="preserve">   financial institutions</w:t>
            </w:r>
          </w:p>
        </w:tc>
        <w:tc>
          <w:tcPr>
            <w:tcW w:w="1152" w:type="dxa"/>
            <w:shd w:val="clear" w:color="auto" w:fill="auto"/>
            <w:vAlign w:val="bottom"/>
          </w:tcPr>
          <w:p w14:paraId="2B6E317D" w14:textId="118AFF63" w:rsidR="00E31759"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237</w:t>
            </w:r>
          </w:p>
        </w:tc>
        <w:tc>
          <w:tcPr>
            <w:tcW w:w="1152" w:type="dxa"/>
            <w:shd w:val="clear" w:color="auto" w:fill="auto"/>
            <w:vAlign w:val="bottom"/>
          </w:tcPr>
          <w:p w14:paraId="3D6D5AE8" w14:textId="6BD72F7A" w:rsidR="00E31759" w:rsidRPr="002D2F67" w:rsidRDefault="005D173C"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152" w:type="dxa"/>
            <w:shd w:val="clear" w:color="auto" w:fill="auto"/>
            <w:vAlign w:val="bottom"/>
          </w:tcPr>
          <w:p w14:paraId="27454F99" w14:textId="32F7CAE5" w:rsidR="00E31759" w:rsidRPr="002D2F67" w:rsidRDefault="005D173C"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152" w:type="dxa"/>
            <w:shd w:val="clear" w:color="auto" w:fill="auto"/>
            <w:vAlign w:val="bottom"/>
          </w:tcPr>
          <w:p w14:paraId="290B67D7" w14:textId="2FFF1B0B" w:rsidR="00E31759"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237</w:t>
            </w:r>
          </w:p>
        </w:tc>
        <w:tc>
          <w:tcPr>
            <w:tcW w:w="1152" w:type="dxa"/>
            <w:shd w:val="clear" w:color="auto" w:fill="auto"/>
            <w:vAlign w:val="bottom"/>
          </w:tcPr>
          <w:p w14:paraId="359B72FB" w14:textId="3F2D7472" w:rsidR="00E31759"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237</w:t>
            </w:r>
          </w:p>
        </w:tc>
      </w:tr>
      <w:tr w:rsidR="00E31759" w:rsidRPr="002D2F67" w14:paraId="637EF4BB" w14:textId="77777777" w:rsidTr="00100E48">
        <w:trPr>
          <w:cantSplit/>
        </w:trPr>
        <w:tc>
          <w:tcPr>
            <w:tcW w:w="3231" w:type="dxa"/>
            <w:shd w:val="clear" w:color="auto" w:fill="auto"/>
            <w:vAlign w:val="bottom"/>
          </w:tcPr>
          <w:p w14:paraId="4F5C08B7" w14:textId="77777777" w:rsidR="00E31759" w:rsidRPr="002D2F67" w:rsidRDefault="00E31759" w:rsidP="005611FE">
            <w:pPr>
              <w:ind w:left="-31"/>
              <w:rPr>
                <w:rFonts w:ascii="Arial" w:hAnsi="Arial" w:cs="Arial"/>
                <w:color w:val="000000"/>
                <w:sz w:val="20"/>
                <w:szCs w:val="20"/>
              </w:rPr>
            </w:pPr>
            <w:r w:rsidRPr="002D2F67">
              <w:rPr>
                <w:rFonts w:ascii="Arial" w:hAnsi="Arial" w:cs="Arial"/>
                <w:color w:val="000000"/>
                <w:sz w:val="20"/>
                <w:szCs w:val="20"/>
              </w:rPr>
              <w:t xml:space="preserve">Short-term loans from </w:t>
            </w:r>
          </w:p>
          <w:p w14:paraId="1DAD1C55" w14:textId="316D51C2" w:rsidR="00E31759" w:rsidRPr="002D2F67" w:rsidRDefault="00E31759" w:rsidP="005611FE">
            <w:pPr>
              <w:ind w:left="-31"/>
              <w:rPr>
                <w:rFonts w:ascii="Arial" w:hAnsi="Arial" w:cs="Arial"/>
                <w:color w:val="000000"/>
                <w:sz w:val="20"/>
                <w:szCs w:val="20"/>
              </w:rPr>
            </w:pPr>
            <w:r w:rsidRPr="002D2F67">
              <w:rPr>
                <w:rFonts w:ascii="Arial" w:hAnsi="Arial" w:cs="Arial"/>
                <w:color w:val="000000"/>
                <w:sz w:val="20"/>
                <w:szCs w:val="20"/>
              </w:rPr>
              <w:t xml:space="preserve">   other parties and related parties</w:t>
            </w:r>
          </w:p>
        </w:tc>
        <w:tc>
          <w:tcPr>
            <w:tcW w:w="1152" w:type="dxa"/>
            <w:shd w:val="clear" w:color="auto" w:fill="auto"/>
            <w:vAlign w:val="bottom"/>
          </w:tcPr>
          <w:p w14:paraId="1524A0C7" w14:textId="10014813" w:rsidR="00E31759"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900</w:t>
            </w:r>
          </w:p>
        </w:tc>
        <w:tc>
          <w:tcPr>
            <w:tcW w:w="1152" w:type="dxa"/>
            <w:shd w:val="clear" w:color="auto" w:fill="auto"/>
            <w:vAlign w:val="bottom"/>
          </w:tcPr>
          <w:p w14:paraId="3938B91A" w14:textId="146EC3EF" w:rsidR="00E31759" w:rsidRPr="002D2F67" w:rsidRDefault="005D173C"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152" w:type="dxa"/>
            <w:shd w:val="clear" w:color="auto" w:fill="auto"/>
            <w:vAlign w:val="bottom"/>
          </w:tcPr>
          <w:p w14:paraId="5021E6DF" w14:textId="7ED98F26" w:rsidR="00E31759" w:rsidRPr="002D2F67" w:rsidRDefault="005D173C"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152" w:type="dxa"/>
            <w:shd w:val="clear" w:color="auto" w:fill="auto"/>
            <w:vAlign w:val="bottom"/>
          </w:tcPr>
          <w:p w14:paraId="3FA2DD57" w14:textId="7D19B7B9" w:rsidR="00E31759"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900</w:t>
            </w:r>
          </w:p>
        </w:tc>
        <w:tc>
          <w:tcPr>
            <w:tcW w:w="1152" w:type="dxa"/>
            <w:shd w:val="clear" w:color="auto" w:fill="auto"/>
            <w:vAlign w:val="bottom"/>
          </w:tcPr>
          <w:p w14:paraId="661234C2" w14:textId="3F7076EF" w:rsidR="00E31759"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900</w:t>
            </w:r>
          </w:p>
        </w:tc>
      </w:tr>
      <w:tr w:rsidR="00E31759" w:rsidRPr="002D2F67" w14:paraId="6BBD4E21" w14:textId="77777777" w:rsidTr="00100E48">
        <w:trPr>
          <w:cantSplit/>
        </w:trPr>
        <w:tc>
          <w:tcPr>
            <w:tcW w:w="3231" w:type="dxa"/>
            <w:shd w:val="clear" w:color="auto" w:fill="auto"/>
            <w:vAlign w:val="bottom"/>
          </w:tcPr>
          <w:p w14:paraId="78A4115B" w14:textId="29AF4815" w:rsidR="00E31759" w:rsidRPr="002D2F67" w:rsidRDefault="00E31759" w:rsidP="00601F48">
            <w:pPr>
              <w:ind w:left="147" w:hanging="178"/>
              <w:rPr>
                <w:rFonts w:ascii="Arial" w:hAnsi="Arial" w:cs="Arial"/>
                <w:color w:val="000000"/>
                <w:sz w:val="20"/>
                <w:szCs w:val="20"/>
              </w:rPr>
            </w:pPr>
            <w:r w:rsidRPr="002D2F67">
              <w:rPr>
                <w:rFonts w:ascii="Arial" w:hAnsi="Arial" w:cs="Arial"/>
                <w:color w:val="000000"/>
                <w:spacing w:val="-2"/>
                <w:sz w:val="20"/>
                <w:szCs w:val="20"/>
              </w:rPr>
              <w:t xml:space="preserve">Trade and other </w:t>
            </w:r>
            <w:r w:rsidR="3CAC238D" w:rsidRPr="002D2F67">
              <w:rPr>
                <w:rFonts w:ascii="Arial" w:hAnsi="Arial" w:cs="Arial"/>
                <w:color w:val="000000"/>
                <w:spacing w:val="-2"/>
                <w:sz w:val="20"/>
                <w:szCs w:val="20"/>
              </w:rPr>
              <w:t xml:space="preserve">current </w:t>
            </w:r>
            <w:r w:rsidRPr="002D2F67">
              <w:rPr>
                <w:rFonts w:ascii="Arial" w:hAnsi="Arial" w:cs="Arial"/>
                <w:color w:val="000000"/>
                <w:sz w:val="20"/>
                <w:szCs w:val="20"/>
              </w:rPr>
              <w:t>accounts payable and construction payables</w:t>
            </w:r>
            <w:r w:rsidR="00A60788" w:rsidRPr="002D2F67">
              <w:rPr>
                <w:rFonts w:ascii="Arial" w:hAnsi="Arial" w:cs="Arial"/>
                <w:color w:val="000000"/>
                <w:sz w:val="20"/>
                <w:szCs w:val="20"/>
              </w:rPr>
              <w:t xml:space="preserve"> and</w:t>
            </w:r>
            <w:r w:rsidR="00601F48" w:rsidRPr="002D2F67">
              <w:rPr>
                <w:rFonts w:ascii="Arial" w:hAnsi="Arial" w:cs="Arial"/>
                <w:color w:val="000000"/>
                <w:sz w:val="20"/>
                <w:szCs w:val="20"/>
              </w:rPr>
              <w:t xml:space="preserve"> payables of purchase of assets</w:t>
            </w:r>
          </w:p>
        </w:tc>
        <w:tc>
          <w:tcPr>
            <w:tcW w:w="1152" w:type="dxa"/>
            <w:shd w:val="clear" w:color="auto" w:fill="auto"/>
            <w:vAlign w:val="bottom"/>
          </w:tcPr>
          <w:p w14:paraId="493ACA31" w14:textId="2CC71E04" w:rsidR="00E31759"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w:t>
            </w:r>
            <w:r w:rsidR="00C25148" w:rsidRPr="002D2F67">
              <w:rPr>
                <w:rFonts w:ascii="Arial" w:hAnsi="Arial" w:cs="Arial"/>
                <w:color w:val="000000"/>
                <w:sz w:val="20"/>
                <w:szCs w:val="20"/>
              </w:rPr>
              <w:t>,</w:t>
            </w:r>
            <w:r w:rsidRPr="00CD5714">
              <w:rPr>
                <w:rFonts w:ascii="Arial" w:hAnsi="Arial" w:cs="Arial"/>
                <w:color w:val="000000"/>
                <w:sz w:val="20"/>
                <w:szCs w:val="20"/>
                <w:lang w:val="en-GB"/>
              </w:rPr>
              <w:t>115</w:t>
            </w:r>
          </w:p>
        </w:tc>
        <w:tc>
          <w:tcPr>
            <w:tcW w:w="1152" w:type="dxa"/>
            <w:shd w:val="clear" w:color="auto" w:fill="auto"/>
            <w:vAlign w:val="bottom"/>
          </w:tcPr>
          <w:p w14:paraId="6F6B96A2" w14:textId="209C7041" w:rsidR="00E31759" w:rsidRPr="002D2F67" w:rsidRDefault="005D173C"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152" w:type="dxa"/>
            <w:shd w:val="clear" w:color="auto" w:fill="auto"/>
            <w:vAlign w:val="bottom"/>
          </w:tcPr>
          <w:p w14:paraId="0D7EC715" w14:textId="72A36874" w:rsidR="00E31759" w:rsidRPr="002D2F67" w:rsidRDefault="005D173C"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152" w:type="dxa"/>
            <w:shd w:val="clear" w:color="auto" w:fill="auto"/>
            <w:vAlign w:val="bottom"/>
          </w:tcPr>
          <w:p w14:paraId="53A8186A" w14:textId="75EEAD6E" w:rsidR="00E31759"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w:t>
            </w:r>
            <w:r w:rsidR="006D5A3D" w:rsidRPr="002D2F67">
              <w:rPr>
                <w:rFonts w:ascii="Arial" w:hAnsi="Arial" w:cs="Arial"/>
                <w:color w:val="000000"/>
                <w:sz w:val="20"/>
                <w:szCs w:val="20"/>
              </w:rPr>
              <w:t>,</w:t>
            </w:r>
            <w:r w:rsidRPr="00CD5714">
              <w:rPr>
                <w:rFonts w:ascii="Arial" w:hAnsi="Arial" w:cs="Arial"/>
                <w:color w:val="000000"/>
                <w:sz w:val="20"/>
                <w:szCs w:val="20"/>
                <w:lang w:val="en-GB"/>
              </w:rPr>
              <w:t>115</w:t>
            </w:r>
          </w:p>
        </w:tc>
        <w:tc>
          <w:tcPr>
            <w:tcW w:w="1152" w:type="dxa"/>
            <w:shd w:val="clear" w:color="auto" w:fill="auto"/>
            <w:vAlign w:val="bottom"/>
          </w:tcPr>
          <w:p w14:paraId="72BD85A7" w14:textId="3347E0EC" w:rsidR="00E31759"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w:t>
            </w:r>
            <w:r w:rsidR="006D5A3D" w:rsidRPr="002D2F67">
              <w:rPr>
                <w:rFonts w:ascii="Arial" w:hAnsi="Arial" w:cs="Arial"/>
                <w:color w:val="000000"/>
                <w:sz w:val="20"/>
                <w:szCs w:val="20"/>
              </w:rPr>
              <w:t>,</w:t>
            </w:r>
            <w:r w:rsidRPr="00CD5714">
              <w:rPr>
                <w:rFonts w:ascii="Arial" w:hAnsi="Arial" w:cs="Arial"/>
                <w:color w:val="000000"/>
                <w:sz w:val="20"/>
                <w:szCs w:val="20"/>
                <w:lang w:val="en-GB"/>
              </w:rPr>
              <w:t>115</w:t>
            </w:r>
          </w:p>
        </w:tc>
      </w:tr>
      <w:tr w:rsidR="00E31759" w:rsidRPr="002D2F67" w14:paraId="58E1D0A5" w14:textId="77777777" w:rsidTr="00100E48">
        <w:trPr>
          <w:cantSplit/>
        </w:trPr>
        <w:tc>
          <w:tcPr>
            <w:tcW w:w="3231" w:type="dxa"/>
            <w:shd w:val="clear" w:color="auto" w:fill="auto"/>
            <w:vAlign w:val="bottom"/>
          </w:tcPr>
          <w:p w14:paraId="586B2892" w14:textId="77777777" w:rsidR="00E31759" w:rsidRPr="002D2F67" w:rsidRDefault="00E31759" w:rsidP="005611FE">
            <w:pPr>
              <w:ind w:left="-31"/>
              <w:rPr>
                <w:rFonts w:ascii="Arial" w:hAnsi="Arial" w:cs="Arial"/>
                <w:color w:val="000000"/>
                <w:sz w:val="20"/>
                <w:szCs w:val="20"/>
              </w:rPr>
            </w:pPr>
            <w:r w:rsidRPr="002D2F67">
              <w:rPr>
                <w:rFonts w:ascii="Arial" w:hAnsi="Arial" w:cs="Arial"/>
                <w:color w:val="000000"/>
                <w:sz w:val="20"/>
                <w:szCs w:val="20"/>
              </w:rPr>
              <w:t>Lease liabilities</w:t>
            </w:r>
          </w:p>
        </w:tc>
        <w:tc>
          <w:tcPr>
            <w:tcW w:w="1152" w:type="dxa"/>
            <w:shd w:val="clear" w:color="auto" w:fill="auto"/>
            <w:vAlign w:val="bottom"/>
          </w:tcPr>
          <w:p w14:paraId="22004820" w14:textId="146F5F76" w:rsidR="00E31759"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91</w:t>
            </w:r>
          </w:p>
        </w:tc>
        <w:tc>
          <w:tcPr>
            <w:tcW w:w="1152" w:type="dxa"/>
            <w:shd w:val="clear" w:color="auto" w:fill="auto"/>
            <w:vAlign w:val="bottom"/>
          </w:tcPr>
          <w:p w14:paraId="7FDBBA5B" w14:textId="188B7B68" w:rsidR="00E31759"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437</w:t>
            </w:r>
          </w:p>
        </w:tc>
        <w:tc>
          <w:tcPr>
            <w:tcW w:w="1152" w:type="dxa"/>
            <w:shd w:val="clear" w:color="auto" w:fill="auto"/>
            <w:vAlign w:val="bottom"/>
          </w:tcPr>
          <w:p w14:paraId="2B8920E2" w14:textId="1D249411" w:rsidR="00E31759"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6E3C4E" w:rsidRPr="002D2F67">
              <w:rPr>
                <w:rFonts w:ascii="Arial" w:hAnsi="Arial" w:cs="Arial"/>
                <w:color w:val="000000"/>
                <w:sz w:val="20"/>
                <w:szCs w:val="20"/>
              </w:rPr>
              <w:t>,</w:t>
            </w:r>
            <w:r w:rsidRPr="00CD5714">
              <w:rPr>
                <w:rFonts w:ascii="Arial" w:hAnsi="Arial" w:cs="Arial"/>
                <w:color w:val="000000"/>
                <w:sz w:val="20"/>
                <w:szCs w:val="20"/>
                <w:lang w:val="en-GB"/>
              </w:rPr>
              <w:t>579</w:t>
            </w:r>
          </w:p>
        </w:tc>
        <w:tc>
          <w:tcPr>
            <w:tcW w:w="1152" w:type="dxa"/>
            <w:shd w:val="clear" w:color="auto" w:fill="auto"/>
            <w:vAlign w:val="bottom"/>
          </w:tcPr>
          <w:p w14:paraId="46BF4043" w14:textId="45FF8208" w:rsidR="00E31759"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w:t>
            </w:r>
            <w:r w:rsidR="765F2E20" w:rsidRPr="002D2F67">
              <w:rPr>
                <w:rFonts w:ascii="Arial" w:hAnsi="Arial" w:cs="Arial"/>
                <w:color w:val="000000"/>
                <w:sz w:val="20"/>
                <w:szCs w:val="20"/>
              </w:rPr>
              <w:t>,</w:t>
            </w:r>
            <w:r w:rsidRPr="00CD5714">
              <w:rPr>
                <w:rFonts w:ascii="Arial" w:hAnsi="Arial" w:cs="Arial"/>
                <w:color w:val="000000"/>
                <w:sz w:val="20"/>
                <w:szCs w:val="20"/>
                <w:lang w:val="en-GB"/>
              </w:rPr>
              <w:t>107</w:t>
            </w:r>
          </w:p>
        </w:tc>
        <w:tc>
          <w:tcPr>
            <w:tcW w:w="1152" w:type="dxa"/>
            <w:shd w:val="clear" w:color="auto" w:fill="auto"/>
            <w:vAlign w:val="bottom"/>
          </w:tcPr>
          <w:p w14:paraId="32113317" w14:textId="24B95A8B" w:rsidR="00E31759"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6D5A3D" w:rsidRPr="002D2F67">
              <w:rPr>
                <w:rFonts w:ascii="Arial" w:hAnsi="Arial" w:cs="Arial"/>
                <w:color w:val="000000"/>
                <w:sz w:val="20"/>
                <w:szCs w:val="20"/>
              </w:rPr>
              <w:t>,</w:t>
            </w:r>
            <w:r w:rsidRPr="00CD5714">
              <w:rPr>
                <w:rFonts w:ascii="Arial" w:hAnsi="Arial" w:cs="Arial"/>
                <w:color w:val="000000"/>
                <w:sz w:val="20"/>
                <w:szCs w:val="20"/>
                <w:lang w:val="en-GB"/>
              </w:rPr>
              <w:t>561</w:t>
            </w:r>
          </w:p>
        </w:tc>
      </w:tr>
      <w:tr w:rsidR="00E31759" w:rsidRPr="002D2F67" w14:paraId="65D46103" w14:textId="77777777" w:rsidTr="00100E48">
        <w:trPr>
          <w:cantSplit/>
        </w:trPr>
        <w:tc>
          <w:tcPr>
            <w:tcW w:w="3231" w:type="dxa"/>
            <w:shd w:val="clear" w:color="auto" w:fill="auto"/>
            <w:vAlign w:val="bottom"/>
          </w:tcPr>
          <w:p w14:paraId="72C1B29C" w14:textId="77777777" w:rsidR="00E31759" w:rsidRPr="002D2F67" w:rsidRDefault="00E31759" w:rsidP="005611FE">
            <w:pPr>
              <w:ind w:left="-31"/>
              <w:rPr>
                <w:rFonts w:ascii="Arial" w:hAnsi="Arial" w:cs="Arial"/>
                <w:color w:val="000000"/>
                <w:sz w:val="20"/>
                <w:szCs w:val="20"/>
              </w:rPr>
            </w:pPr>
            <w:r w:rsidRPr="002D2F67">
              <w:rPr>
                <w:rFonts w:ascii="Arial" w:hAnsi="Arial" w:cs="Arial"/>
                <w:color w:val="000000"/>
                <w:sz w:val="20"/>
                <w:szCs w:val="20"/>
              </w:rPr>
              <w:t>Long-term loans from financial</w:t>
            </w:r>
          </w:p>
          <w:p w14:paraId="6A0E3B3B" w14:textId="7754294F" w:rsidR="00E31759" w:rsidRPr="002D2F67" w:rsidRDefault="00E31759" w:rsidP="005611FE">
            <w:pPr>
              <w:ind w:left="-31"/>
              <w:rPr>
                <w:rFonts w:ascii="Arial" w:hAnsi="Arial" w:cs="Arial"/>
                <w:color w:val="000000"/>
                <w:sz w:val="20"/>
                <w:szCs w:val="20"/>
              </w:rPr>
            </w:pPr>
            <w:r w:rsidRPr="002D2F67">
              <w:rPr>
                <w:rFonts w:ascii="Arial" w:hAnsi="Arial" w:cs="Arial"/>
                <w:color w:val="000000"/>
                <w:sz w:val="20"/>
                <w:szCs w:val="20"/>
              </w:rPr>
              <w:t xml:space="preserve">   institutions and related interests</w:t>
            </w:r>
          </w:p>
        </w:tc>
        <w:tc>
          <w:tcPr>
            <w:tcW w:w="1152" w:type="dxa"/>
            <w:shd w:val="clear" w:color="auto" w:fill="auto"/>
            <w:vAlign w:val="bottom"/>
          </w:tcPr>
          <w:p w14:paraId="3F0338D9" w14:textId="289A544E" w:rsidR="00E31759" w:rsidRPr="002D2F67" w:rsidRDefault="00CD5714" w:rsidP="005611FE">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8</w:t>
            </w:r>
            <w:r w:rsidR="00C25148" w:rsidRPr="002D2F67">
              <w:rPr>
                <w:rFonts w:ascii="Arial" w:hAnsi="Arial" w:cs="Arial"/>
                <w:color w:val="000000"/>
                <w:sz w:val="20"/>
                <w:szCs w:val="20"/>
              </w:rPr>
              <w:t>,</w:t>
            </w:r>
            <w:r w:rsidRPr="00CD5714">
              <w:rPr>
                <w:rFonts w:ascii="Arial" w:hAnsi="Arial" w:cs="Arial"/>
                <w:color w:val="000000"/>
                <w:sz w:val="20"/>
                <w:szCs w:val="20"/>
                <w:lang w:val="en-GB"/>
              </w:rPr>
              <w:t>436</w:t>
            </w:r>
          </w:p>
        </w:tc>
        <w:tc>
          <w:tcPr>
            <w:tcW w:w="1152" w:type="dxa"/>
            <w:shd w:val="clear" w:color="auto" w:fill="auto"/>
            <w:vAlign w:val="bottom"/>
          </w:tcPr>
          <w:p w14:paraId="79A8C4AE" w14:textId="7B2CC4E4" w:rsidR="00E31759" w:rsidRPr="002D2F67" w:rsidRDefault="00CD5714" w:rsidP="005611FE">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17</w:t>
            </w:r>
            <w:r w:rsidR="005D173C" w:rsidRPr="002D2F67">
              <w:rPr>
                <w:rFonts w:ascii="Arial" w:hAnsi="Arial" w:cs="Arial"/>
                <w:color w:val="000000"/>
                <w:sz w:val="20"/>
                <w:szCs w:val="20"/>
              </w:rPr>
              <w:t>,</w:t>
            </w:r>
            <w:r w:rsidRPr="00CD5714">
              <w:rPr>
                <w:rFonts w:ascii="Arial" w:hAnsi="Arial" w:cs="Arial"/>
                <w:color w:val="000000"/>
                <w:sz w:val="20"/>
                <w:szCs w:val="20"/>
                <w:lang w:val="en-GB"/>
              </w:rPr>
              <w:t>737</w:t>
            </w:r>
          </w:p>
        </w:tc>
        <w:tc>
          <w:tcPr>
            <w:tcW w:w="1152" w:type="dxa"/>
            <w:shd w:val="clear" w:color="auto" w:fill="auto"/>
            <w:vAlign w:val="bottom"/>
          </w:tcPr>
          <w:p w14:paraId="5A8E3DF9" w14:textId="13C7DFA0" w:rsidR="00E31759" w:rsidRPr="002D2F67" w:rsidRDefault="00CD5714" w:rsidP="005611FE">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1</w:t>
            </w:r>
            <w:r w:rsidR="005D173C" w:rsidRPr="002D2F67">
              <w:rPr>
                <w:rFonts w:ascii="Arial" w:hAnsi="Arial" w:cs="Arial"/>
                <w:color w:val="000000"/>
                <w:sz w:val="20"/>
                <w:szCs w:val="20"/>
              </w:rPr>
              <w:t>,</w:t>
            </w:r>
            <w:r w:rsidRPr="00CD5714">
              <w:rPr>
                <w:rFonts w:ascii="Arial" w:hAnsi="Arial" w:cs="Arial"/>
                <w:color w:val="000000"/>
                <w:sz w:val="20"/>
                <w:szCs w:val="20"/>
                <w:lang w:val="en-GB"/>
              </w:rPr>
              <w:t>434</w:t>
            </w:r>
          </w:p>
        </w:tc>
        <w:tc>
          <w:tcPr>
            <w:tcW w:w="1152" w:type="dxa"/>
            <w:shd w:val="clear" w:color="auto" w:fill="auto"/>
            <w:vAlign w:val="bottom"/>
          </w:tcPr>
          <w:p w14:paraId="1DEC4F8D" w14:textId="353EBC0F" w:rsidR="00E31759" w:rsidRPr="002D2F67" w:rsidRDefault="00CD5714" w:rsidP="005611FE">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27</w:t>
            </w:r>
            <w:r w:rsidR="006D5A3D" w:rsidRPr="002D2F67">
              <w:rPr>
                <w:rFonts w:ascii="Arial" w:hAnsi="Arial" w:cs="Arial"/>
                <w:color w:val="000000"/>
                <w:sz w:val="20"/>
                <w:szCs w:val="20"/>
              </w:rPr>
              <w:t>,</w:t>
            </w:r>
            <w:r w:rsidRPr="00CD5714">
              <w:rPr>
                <w:rFonts w:ascii="Arial" w:hAnsi="Arial" w:cs="Arial"/>
                <w:color w:val="000000"/>
                <w:sz w:val="20"/>
                <w:szCs w:val="20"/>
                <w:lang w:val="en-GB"/>
              </w:rPr>
              <w:t>607</w:t>
            </w:r>
          </w:p>
        </w:tc>
        <w:tc>
          <w:tcPr>
            <w:tcW w:w="1152" w:type="dxa"/>
            <w:shd w:val="clear" w:color="auto" w:fill="auto"/>
            <w:vAlign w:val="bottom"/>
          </w:tcPr>
          <w:p w14:paraId="0DB4A2C0" w14:textId="14EEA2EB" w:rsidR="00E31759"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25</w:t>
            </w:r>
            <w:r w:rsidR="006D5A3D" w:rsidRPr="002D2F67">
              <w:rPr>
                <w:rFonts w:ascii="Arial" w:hAnsi="Arial" w:cs="Arial"/>
                <w:color w:val="000000"/>
                <w:sz w:val="20"/>
                <w:szCs w:val="20"/>
              </w:rPr>
              <w:t>,</w:t>
            </w:r>
            <w:r w:rsidRPr="00CD5714">
              <w:rPr>
                <w:rFonts w:ascii="Arial" w:hAnsi="Arial" w:cs="Arial"/>
                <w:color w:val="000000"/>
                <w:sz w:val="20"/>
                <w:szCs w:val="20"/>
                <w:lang w:val="en-GB"/>
              </w:rPr>
              <w:t>680</w:t>
            </w:r>
          </w:p>
        </w:tc>
      </w:tr>
      <w:tr w:rsidR="00E31759" w:rsidRPr="002D2F67" w14:paraId="144E3105" w14:textId="77777777" w:rsidTr="00100E48">
        <w:trPr>
          <w:cantSplit/>
        </w:trPr>
        <w:tc>
          <w:tcPr>
            <w:tcW w:w="3231" w:type="dxa"/>
            <w:shd w:val="clear" w:color="auto" w:fill="auto"/>
            <w:vAlign w:val="bottom"/>
          </w:tcPr>
          <w:p w14:paraId="1F9A91F3" w14:textId="7D6845DA" w:rsidR="00E31759" w:rsidRPr="002D2F67" w:rsidRDefault="00E31759" w:rsidP="005611FE">
            <w:pPr>
              <w:ind w:left="-31"/>
              <w:rPr>
                <w:rFonts w:ascii="Arial" w:hAnsi="Arial" w:cs="Arial"/>
                <w:color w:val="000000"/>
                <w:sz w:val="20"/>
                <w:szCs w:val="20"/>
              </w:rPr>
            </w:pPr>
            <w:r w:rsidRPr="002D2F67">
              <w:rPr>
                <w:rFonts w:ascii="Arial" w:hAnsi="Arial" w:cs="Arial"/>
                <w:color w:val="000000"/>
                <w:sz w:val="20"/>
                <w:szCs w:val="20"/>
              </w:rPr>
              <w:t>Debentures and related interests</w:t>
            </w:r>
          </w:p>
        </w:tc>
        <w:tc>
          <w:tcPr>
            <w:tcW w:w="1152" w:type="dxa"/>
            <w:tcBorders>
              <w:bottom w:val="single" w:sz="4" w:space="0" w:color="auto"/>
            </w:tcBorders>
            <w:shd w:val="clear" w:color="auto" w:fill="auto"/>
            <w:vAlign w:val="bottom"/>
          </w:tcPr>
          <w:p w14:paraId="07DDD34C" w14:textId="03000418" w:rsidR="00E31759"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8</w:t>
            </w:r>
            <w:r w:rsidR="00C25148" w:rsidRPr="002D2F67">
              <w:rPr>
                <w:rFonts w:ascii="Arial" w:hAnsi="Arial" w:cs="Arial"/>
                <w:color w:val="000000"/>
                <w:sz w:val="20"/>
                <w:szCs w:val="20"/>
              </w:rPr>
              <w:t>,</w:t>
            </w:r>
            <w:r w:rsidRPr="00CD5714">
              <w:rPr>
                <w:rFonts w:ascii="Arial" w:hAnsi="Arial" w:cs="Arial"/>
                <w:color w:val="000000"/>
                <w:sz w:val="20"/>
                <w:szCs w:val="20"/>
                <w:lang w:val="en-GB"/>
              </w:rPr>
              <w:t>219</w:t>
            </w:r>
          </w:p>
        </w:tc>
        <w:tc>
          <w:tcPr>
            <w:tcW w:w="1152" w:type="dxa"/>
            <w:tcBorders>
              <w:bottom w:val="single" w:sz="4" w:space="0" w:color="auto"/>
            </w:tcBorders>
            <w:shd w:val="clear" w:color="auto" w:fill="auto"/>
            <w:vAlign w:val="bottom"/>
          </w:tcPr>
          <w:p w14:paraId="63FFD10A" w14:textId="5AC02FC4" w:rsidR="00E31759"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19</w:t>
            </w:r>
            <w:r w:rsidR="005D173C" w:rsidRPr="002D2F67">
              <w:rPr>
                <w:rFonts w:ascii="Arial" w:hAnsi="Arial" w:cs="Arial"/>
                <w:color w:val="000000"/>
                <w:sz w:val="20"/>
                <w:szCs w:val="20"/>
              </w:rPr>
              <w:t>,</w:t>
            </w:r>
            <w:r w:rsidRPr="00CD5714">
              <w:rPr>
                <w:rFonts w:ascii="Arial" w:hAnsi="Arial" w:cs="Arial"/>
                <w:color w:val="000000"/>
                <w:sz w:val="20"/>
                <w:szCs w:val="20"/>
                <w:lang w:val="en-GB"/>
              </w:rPr>
              <w:t>942</w:t>
            </w:r>
          </w:p>
        </w:tc>
        <w:tc>
          <w:tcPr>
            <w:tcW w:w="1152" w:type="dxa"/>
            <w:tcBorders>
              <w:bottom w:val="single" w:sz="4" w:space="0" w:color="auto"/>
            </w:tcBorders>
            <w:shd w:val="clear" w:color="auto" w:fill="auto"/>
            <w:vAlign w:val="bottom"/>
          </w:tcPr>
          <w:p w14:paraId="680362F1" w14:textId="2999FEEF" w:rsidR="00E31759"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5</w:t>
            </w:r>
            <w:r w:rsidR="006D5A3D" w:rsidRPr="002D2F67">
              <w:rPr>
                <w:rFonts w:ascii="Arial" w:hAnsi="Arial" w:cs="Arial"/>
                <w:color w:val="000000"/>
                <w:sz w:val="20"/>
                <w:szCs w:val="20"/>
              </w:rPr>
              <w:t>,</w:t>
            </w:r>
            <w:r w:rsidRPr="00CD5714">
              <w:rPr>
                <w:rFonts w:ascii="Arial" w:hAnsi="Arial" w:cs="Arial"/>
                <w:color w:val="000000"/>
                <w:sz w:val="20"/>
                <w:szCs w:val="20"/>
                <w:lang w:val="en-GB"/>
              </w:rPr>
              <w:t>996</w:t>
            </w:r>
          </w:p>
        </w:tc>
        <w:tc>
          <w:tcPr>
            <w:tcW w:w="1152" w:type="dxa"/>
            <w:tcBorders>
              <w:bottom w:val="single" w:sz="4" w:space="0" w:color="auto"/>
            </w:tcBorders>
            <w:shd w:val="clear" w:color="auto" w:fill="auto"/>
            <w:vAlign w:val="bottom"/>
          </w:tcPr>
          <w:p w14:paraId="64F7B07C" w14:textId="0EDF0A80" w:rsidR="00E31759"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34</w:t>
            </w:r>
            <w:r w:rsidR="006D5A3D" w:rsidRPr="002D2F67">
              <w:rPr>
                <w:rFonts w:ascii="Arial" w:hAnsi="Arial" w:cs="Arial"/>
                <w:color w:val="000000"/>
                <w:sz w:val="20"/>
                <w:szCs w:val="20"/>
              </w:rPr>
              <w:t>,</w:t>
            </w:r>
            <w:r w:rsidRPr="00CD5714">
              <w:rPr>
                <w:rFonts w:ascii="Arial" w:hAnsi="Arial" w:cs="Arial"/>
                <w:color w:val="000000"/>
                <w:sz w:val="20"/>
                <w:szCs w:val="20"/>
                <w:lang w:val="en-GB"/>
              </w:rPr>
              <w:t>157</w:t>
            </w:r>
          </w:p>
        </w:tc>
        <w:tc>
          <w:tcPr>
            <w:tcW w:w="1152" w:type="dxa"/>
            <w:tcBorders>
              <w:bottom w:val="single" w:sz="4" w:space="0" w:color="auto"/>
            </w:tcBorders>
            <w:shd w:val="clear" w:color="auto" w:fill="auto"/>
            <w:vAlign w:val="bottom"/>
          </w:tcPr>
          <w:p w14:paraId="0D3A6555" w14:textId="6912A892" w:rsidR="00E31759"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31</w:t>
            </w:r>
            <w:r w:rsidR="006D5A3D" w:rsidRPr="002D2F67">
              <w:rPr>
                <w:rFonts w:ascii="Arial" w:hAnsi="Arial" w:cs="Arial"/>
                <w:color w:val="000000"/>
                <w:sz w:val="20"/>
                <w:szCs w:val="20"/>
              </w:rPr>
              <w:t>,</w:t>
            </w:r>
            <w:r w:rsidRPr="00CD5714">
              <w:rPr>
                <w:rFonts w:ascii="Arial" w:hAnsi="Arial" w:cs="Arial"/>
                <w:color w:val="000000"/>
                <w:sz w:val="20"/>
                <w:szCs w:val="20"/>
                <w:lang w:val="en-GB"/>
              </w:rPr>
              <w:t>152</w:t>
            </w:r>
          </w:p>
        </w:tc>
      </w:tr>
      <w:tr w:rsidR="00716D66" w:rsidRPr="002D2F67" w14:paraId="3619ACAC" w14:textId="77777777" w:rsidTr="00100E48">
        <w:trPr>
          <w:cantSplit/>
        </w:trPr>
        <w:tc>
          <w:tcPr>
            <w:tcW w:w="3231" w:type="dxa"/>
            <w:shd w:val="clear" w:color="auto" w:fill="auto"/>
            <w:vAlign w:val="bottom"/>
          </w:tcPr>
          <w:p w14:paraId="6F5ED737" w14:textId="77777777" w:rsidR="00716D66" w:rsidRPr="002D2F67" w:rsidRDefault="00716D66" w:rsidP="005611FE">
            <w:pPr>
              <w:ind w:left="-31"/>
              <w:rPr>
                <w:rFonts w:ascii="Arial" w:hAnsi="Arial" w:cs="Arial"/>
                <w:b/>
                <w:bCs/>
                <w:color w:val="000000"/>
                <w:sz w:val="20"/>
                <w:szCs w:val="20"/>
              </w:rPr>
            </w:pPr>
          </w:p>
        </w:tc>
        <w:tc>
          <w:tcPr>
            <w:tcW w:w="1152" w:type="dxa"/>
            <w:tcBorders>
              <w:top w:val="single" w:sz="4" w:space="0" w:color="auto"/>
            </w:tcBorders>
            <w:shd w:val="clear" w:color="auto" w:fill="auto"/>
            <w:vAlign w:val="bottom"/>
          </w:tcPr>
          <w:p w14:paraId="24734D59" w14:textId="2E9C87D9" w:rsidR="00716D66" w:rsidRPr="002D2F67" w:rsidRDefault="00716D66" w:rsidP="005611FE">
            <w:pPr>
              <w:ind w:right="-72"/>
              <w:jc w:val="right"/>
              <w:rPr>
                <w:rFonts w:ascii="Arial" w:hAnsi="Arial" w:cs="Arial"/>
                <w:color w:val="000000"/>
                <w:sz w:val="20"/>
                <w:szCs w:val="20"/>
              </w:rPr>
            </w:pPr>
          </w:p>
        </w:tc>
        <w:tc>
          <w:tcPr>
            <w:tcW w:w="1152" w:type="dxa"/>
            <w:tcBorders>
              <w:top w:val="single" w:sz="4" w:space="0" w:color="auto"/>
            </w:tcBorders>
            <w:shd w:val="clear" w:color="auto" w:fill="auto"/>
            <w:vAlign w:val="bottom"/>
          </w:tcPr>
          <w:p w14:paraId="766B0640" w14:textId="0557D1A1" w:rsidR="00716D66" w:rsidRPr="002D2F67" w:rsidRDefault="00716D66" w:rsidP="005611FE">
            <w:pPr>
              <w:ind w:right="-72"/>
              <w:jc w:val="right"/>
              <w:rPr>
                <w:rFonts w:ascii="Arial" w:hAnsi="Arial" w:cs="Arial"/>
                <w:color w:val="000000"/>
                <w:sz w:val="20"/>
                <w:szCs w:val="20"/>
              </w:rPr>
            </w:pPr>
          </w:p>
        </w:tc>
        <w:tc>
          <w:tcPr>
            <w:tcW w:w="1152" w:type="dxa"/>
            <w:tcBorders>
              <w:top w:val="single" w:sz="4" w:space="0" w:color="auto"/>
            </w:tcBorders>
            <w:shd w:val="clear" w:color="auto" w:fill="auto"/>
            <w:vAlign w:val="bottom"/>
          </w:tcPr>
          <w:p w14:paraId="02DBCAED" w14:textId="77777777" w:rsidR="00716D66" w:rsidRPr="002D2F67" w:rsidRDefault="00716D66" w:rsidP="005611FE">
            <w:pPr>
              <w:ind w:right="-72"/>
              <w:jc w:val="right"/>
              <w:rPr>
                <w:rFonts w:ascii="Arial" w:hAnsi="Arial" w:cs="Arial"/>
                <w:color w:val="000000"/>
                <w:sz w:val="20"/>
                <w:szCs w:val="20"/>
              </w:rPr>
            </w:pPr>
          </w:p>
        </w:tc>
        <w:tc>
          <w:tcPr>
            <w:tcW w:w="1152" w:type="dxa"/>
            <w:tcBorders>
              <w:top w:val="single" w:sz="4" w:space="0" w:color="auto"/>
            </w:tcBorders>
            <w:shd w:val="clear" w:color="auto" w:fill="auto"/>
            <w:vAlign w:val="bottom"/>
          </w:tcPr>
          <w:p w14:paraId="45049B5F" w14:textId="77777777" w:rsidR="00716D66" w:rsidRPr="002D2F67" w:rsidRDefault="00716D66" w:rsidP="005611FE">
            <w:pPr>
              <w:ind w:right="-72"/>
              <w:jc w:val="right"/>
              <w:rPr>
                <w:rFonts w:ascii="Arial" w:hAnsi="Arial" w:cs="Arial"/>
                <w:color w:val="000000"/>
                <w:sz w:val="20"/>
                <w:szCs w:val="20"/>
              </w:rPr>
            </w:pPr>
          </w:p>
        </w:tc>
        <w:tc>
          <w:tcPr>
            <w:tcW w:w="1152" w:type="dxa"/>
            <w:tcBorders>
              <w:top w:val="single" w:sz="4" w:space="0" w:color="auto"/>
            </w:tcBorders>
            <w:shd w:val="clear" w:color="auto" w:fill="auto"/>
            <w:vAlign w:val="bottom"/>
          </w:tcPr>
          <w:p w14:paraId="5CC96AF9" w14:textId="77777777" w:rsidR="00716D66" w:rsidRPr="002D2F67" w:rsidRDefault="00716D66" w:rsidP="005611FE">
            <w:pPr>
              <w:ind w:right="-72"/>
              <w:jc w:val="right"/>
              <w:rPr>
                <w:rFonts w:ascii="Arial" w:hAnsi="Arial" w:cs="Arial"/>
                <w:color w:val="000000"/>
                <w:sz w:val="20"/>
                <w:szCs w:val="20"/>
              </w:rPr>
            </w:pPr>
          </w:p>
        </w:tc>
      </w:tr>
      <w:tr w:rsidR="00FE3707" w:rsidRPr="002D2F67" w14:paraId="02D17476" w14:textId="77777777" w:rsidTr="00100E48">
        <w:trPr>
          <w:cantSplit/>
        </w:trPr>
        <w:tc>
          <w:tcPr>
            <w:tcW w:w="3231" w:type="dxa"/>
            <w:shd w:val="clear" w:color="auto" w:fill="auto"/>
            <w:vAlign w:val="bottom"/>
          </w:tcPr>
          <w:p w14:paraId="1BBFE398" w14:textId="77777777" w:rsidR="000042E5" w:rsidRPr="002D2F67" w:rsidRDefault="00FE3707" w:rsidP="005611FE">
            <w:pPr>
              <w:ind w:left="-31"/>
              <w:rPr>
                <w:rFonts w:ascii="Arial" w:hAnsi="Arial" w:cs="Arial"/>
                <w:b/>
                <w:bCs/>
                <w:color w:val="000000"/>
                <w:sz w:val="20"/>
                <w:szCs w:val="20"/>
              </w:rPr>
            </w:pPr>
            <w:r w:rsidRPr="002D2F67">
              <w:rPr>
                <w:rFonts w:ascii="Arial" w:hAnsi="Arial" w:cs="Arial"/>
                <w:b/>
                <w:bCs/>
                <w:color w:val="000000"/>
                <w:sz w:val="20"/>
                <w:szCs w:val="20"/>
              </w:rPr>
              <w:t>Total</w:t>
            </w:r>
            <w:r w:rsidR="00441BD4" w:rsidRPr="002D2F67">
              <w:rPr>
                <w:rFonts w:ascii="Arial" w:hAnsi="Arial" w:cs="Arial"/>
                <w:b/>
                <w:bCs/>
                <w:color w:val="000000"/>
                <w:sz w:val="20"/>
                <w:szCs w:val="20"/>
              </w:rPr>
              <w:t xml:space="preserve"> non-derivatives</w:t>
            </w:r>
            <w:r w:rsidR="000042E5" w:rsidRPr="002D2F67">
              <w:rPr>
                <w:rFonts w:ascii="Arial" w:hAnsi="Arial" w:cs="Arial"/>
                <w:b/>
                <w:bCs/>
                <w:color w:val="000000"/>
                <w:sz w:val="20"/>
                <w:szCs w:val="20"/>
              </w:rPr>
              <w:t xml:space="preserve"> </w:t>
            </w:r>
          </w:p>
          <w:p w14:paraId="120210A3" w14:textId="2402D55C" w:rsidR="00FE3707" w:rsidRPr="002D2F67" w:rsidRDefault="000042E5" w:rsidP="000042E5">
            <w:pPr>
              <w:ind w:left="-31" w:firstLine="167"/>
              <w:rPr>
                <w:rFonts w:ascii="Arial" w:hAnsi="Arial" w:cs="Arial"/>
                <w:b/>
                <w:bCs/>
                <w:color w:val="000000"/>
                <w:sz w:val="20"/>
                <w:szCs w:val="20"/>
              </w:rPr>
            </w:pPr>
            <w:r w:rsidRPr="002D2F67">
              <w:rPr>
                <w:rFonts w:ascii="Arial" w:hAnsi="Arial" w:cs="Arial"/>
                <w:b/>
                <w:bCs/>
                <w:color w:val="000000"/>
                <w:sz w:val="20"/>
                <w:szCs w:val="20"/>
              </w:rPr>
              <w:t>financial liabilities</w:t>
            </w:r>
          </w:p>
        </w:tc>
        <w:tc>
          <w:tcPr>
            <w:tcW w:w="1152" w:type="dxa"/>
            <w:tcBorders>
              <w:bottom w:val="single" w:sz="4" w:space="0" w:color="auto"/>
            </w:tcBorders>
            <w:shd w:val="clear" w:color="auto" w:fill="auto"/>
            <w:vAlign w:val="bottom"/>
          </w:tcPr>
          <w:p w14:paraId="744501FF" w14:textId="02DC5CD7" w:rsidR="00FE3707" w:rsidRPr="002D2F67" w:rsidRDefault="00CD5714" w:rsidP="005611FE">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20</w:t>
            </w:r>
            <w:r w:rsidR="00BC1572" w:rsidRPr="002D2F67">
              <w:rPr>
                <w:rFonts w:ascii="Arial" w:hAnsi="Arial" w:cs="Arial"/>
                <w:color w:val="000000"/>
                <w:sz w:val="20"/>
                <w:szCs w:val="20"/>
              </w:rPr>
              <w:t>,</w:t>
            </w:r>
            <w:r w:rsidRPr="00CD5714">
              <w:rPr>
                <w:rFonts w:ascii="Arial" w:hAnsi="Arial" w:cs="Arial"/>
                <w:color w:val="000000"/>
                <w:sz w:val="20"/>
                <w:szCs w:val="20"/>
                <w:lang w:val="en-GB"/>
              </w:rPr>
              <w:t>998</w:t>
            </w:r>
          </w:p>
        </w:tc>
        <w:tc>
          <w:tcPr>
            <w:tcW w:w="1152" w:type="dxa"/>
            <w:tcBorders>
              <w:bottom w:val="single" w:sz="4" w:space="0" w:color="auto"/>
            </w:tcBorders>
            <w:shd w:val="clear" w:color="auto" w:fill="auto"/>
            <w:vAlign w:val="bottom"/>
          </w:tcPr>
          <w:p w14:paraId="166A8A1A" w14:textId="6E7E7040" w:rsidR="00FE3707" w:rsidRPr="002D2F67" w:rsidRDefault="00CD5714" w:rsidP="005611FE">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38</w:t>
            </w:r>
            <w:r w:rsidR="676BCF77" w:rsidRPr="002D2F67">
              <w:rPr>
                <w:rFonts w:ascii="Arial" w:hAnsi="Arial" w:cs="Arial"/>
                <w:color w:val="000000"/>
                <w:sz w:val="20"/>
                <w:szCs w:val="20"/>
              </w:rPr>
              <w:t>,</w:t>
            </w:r>
            <w:r w:rsidRPr="00CD5714">
              <w:rPr>
                <w:rFonts w:ascii="Arial" w:hAnsi="Arial" w:cs="Arial"/>
                <w:color w:val="000000"/>
                <w:sz w:val="20"/>
                <w:szCs w:val="20"/>
                <w:lang w:val="en-GB"/>
              </w:rPr>
              <w:t>116</w:t>
            </w:r>
          </w:p>
        </w:tc>
        <w:tc>
          <w:tcPr>
            <w:tcW w:w="1152" w:type="dxa"/>
            <w:tcBorders>
              <w:bottom w:val="single" w:sz="4" w:space="0" w:color="auto"/>
            </w:tcBorders>
            <w:shd w:val="clear" w:color="auto" w:fill="auto"/>
            <w:vAlign w:val="bottom"/>
          </w:tcPr>
          <w:p w14:paraId="1040C1AB" w14:textId="261401A5" w:rsidR="00FE3707" w:rsidRPr="002D2F67" w:rsidRDefault="00CD5714" w:rsidP="005611FE">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9</w:t>
            </w:r>
            <w:r w:rsidR="00BC1572" w:rsidRPr="002D2F67">
              <w:rPr>
                <w:rFonts w:ascii="Arial" w:hAnsi="Arial" w:cs="Arial"/>
                <w:color w:val="000000"/>
                <w:sz w:val="20"/>
                <w:szCs w:val="20"/>
              </w:rPr>
              <w:t>,</w:t>
            </w:r>
            <w:r w:rsidRPr="00CD5714">
              <w:rPr>
                <w:rFonts w:ascii="Arial" w:hAnsi="Arial" w:cs="Arial"/>
                <w:color w:val="000000"/>
                <w:sz w:val="20"/>
                <w:szCs w:val="20"/>
                <w:lang w:val="en-GB"/>
              </w:rPr>
              <w:t>009</w:t>
            </w:r>
          </w:p>
        </w:tc>
        <w:tc>
          <w:tcPr>
            <w:tcW w:w="1152" w:type="dxa"/>
            <w:tcBorders>
              <w:bottom w:val="single" w:sz="4" w:space="0" w:color="auto"/>
            </w:tcBorders>
            <w:shd w:val="clear" w:color="auto" w:fill="auto"/>
            <w:vAlign w:val="bottom"/>
          </w:tcPr>
          <w:p w14:paraId="1F5275C5" w14:textId="73772421" w:rsidR="00FE3707" w:rsidRPr="002D2F67" w:rsidRDefault="00CD5714" w:rsidP="005611FE">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68</w:t>
            </w:r>
            <w:r w:rsidR="6E928473" w:rsidRPr="002D2F67">
              <w:rPr>
                <w:rFonts w:ascii="Arial" w:hAnsi="Arial" w:cs="Arial"/>
                <w:color w:val="000000"/>
                <w:sz w:val="20"/>
                <w:szCs w:val="20"/>
              </w:rPr>
              <w:t>,</w:t>
            </w:r>
            <w:r w:rsidRPr="00CD5714">
              <w:rPr>
                <w:rFonts w:ascii="Arial" w:hAnsi="Arial" w:cs="Arial"/>
                <w:color w:val="000000"/>
                <w:sz w:val="20"/>
                <w:szCs w:val="20"/>
                <w:lang w:val="en-GB"/>
              </w:rPr>
              <w:t>123</w:t>
            </w:r>
          </w:p>
        </w:tc>
        <w:tc>
          <w:tcPr>
            <w:tcW w:w="1152" w:type="dxa"/>
            <w:tcBorders>
              <w:bottom w:val="single" w:sz="4" w:space="0" w:color="auto"/>
            </w:tcBorders>
            <w:shd w:val="clear" w:color="auto" w:fill="auto"/>
            <w:vAlign w:val="bottom"/>
          </w:tcPr>
          <w:p w14:paraId="397CC655" w14:textId="4DBAAA66" w:rsidR="00FE3707"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62</w:t>
            </w:r>
            <w:r w:rsidR="006D5A3D" w:rsidRPr="002D2F67">
              <w:rPr>
                <w:rFonts w:ascii="Arial" w:hAnsi="Arial" w:cs="Arial"/>
                <w:color w:val="000000"/>
                <w:sz w:val="20"/>
                <w:szCs w:val="20"/>
              </w:rPr>
              <w:t>,</w:t>
            </w:r>
            <w:r w:rsidRPr="00CD5714">
              <w:rPr>
                <w:rFonts w:ascii="Arial" w:hAnsi="Arial" w:cs="Arial"/>
                <w:color w:val="000000"/>
                <w:sz w:val="20"/>
                <w:szCs w:val="20"/>
                <w:lang w:val="en-GB"/>
              </w:rPr>
              <w:t>645</w:t>
            </w:r>
          </w:p>
        </w:tc>
      </w:tr>
      <w:tr w:rsidR="00B9493D" w:rsidRPr="002D2F67" w14:paraId="7901164B" w14:textId="77777777" w:rsidTr="00100E48">
        <w:trPr>
          <w:cantSplit/>
        </w:trPr>
        <w:tc>
          <w:tcPr>
            <w:tcW w:w="3231" w:type="dxa"/>
            <w:shd w:val="clear" w:color="auto" w:fill="auto"/>
            <w:vAlign w:val="bottom"/>
          </w:tcPr>
          <w:p w14:paraId="692ECE2F" w14:textId="77777777" w:rsidR="00B9493D" w:rsidRPr="002D2F67" w:rsidRDefault="00B9493D" w:rsidP="005611FE">
            <w:pPr>
              <w:ind w:left="-31"/>
              <w:rPr>
                <w:rFonts w:ascii="Arial" w:hAnsi="Arial" w:cs="Arial"/>
                <w:color w:val="000000"/>
                <w:sz w:val="20"/>
                <w:szCs w:val="20"/>
              </w:rPr>
            </w:pPr>
          </w:p>
        </w:tc>
        <w:tc>
          <w:tcPr>
            <w:tcW w:w="1152" w:type="dxa"/>
            <w:tcBorders>
              <w:top w:val="single" w:sz="4" w:space="0" w:color="auto"/>
            </w:tcBorders>
            <w:shd w:val="clear" w:color="auto" w:fill="auto"/>
            <w:vAlign w:val="bottom"/>
          </w:tcPr>
          <w:p w14:paraId="43A8E0D4" w14:textId="77777777" w:rsidR="00B9493D" w:rsidRPr="002D2F67" w:rsidRDefault="00B9493D" w:rsidP="005611FE">
            <w:pPr>
              <w:ind w:left="-31"/>
              <w:rPr>
                <w:rFonts w:ascii="Arial" w:hAnsi="Arial" w:cs="Arial"/>
                <w:color w:val="000000"/>
                <w:sz w:val="20"/>
                <w:szCs w:val="20"/>
              </w:rPr>
            </w:pPr>
          </w:p>
        </w:tc>
        <w:tc>
          <w:tcPr>
            <w:tcW w:w="1152" w:type="dxa"/>
            <w:tcBorders>
              <w:top w:val="single" w:sz="4" w:space="0" w:color="auto"/>
            </w:tcBorders>
            <w:shd w:val="clear" w:color="auto" w:fill="auto"/>
            <w:vAlign w:val="bottom"/>
          </w:tcPr>
          <w:p w14:paraId="40C5F33E" w14:textId="77777777" w:rsidR="00B9493D" w:rsidRPr="002D2F67" w:rsidRDefault="00B9493D" w:rsidP="005611FE">
            <w:pPr>
              <w:ind w:left="-31"/>
              <w:rPr>
                <w:rFonts w:ascii="Arial" w:hAnsi="Arial" w:cs="Arial"/>
                <w:color w:val="000000"/>
                <w:sz w:val="20"/>
                <w:szCs w:val="20"/>
              </w:rPr>
            </w:pPr>
          </w:p>
        </w:tc>
        <w:tc>
          <w:tcPr>
            <w:tcW w:w="1152" w:type="dxa"/>
            <w:tcBorders>
              <w:top w:val="single" w:sz="4" w:space="0" w:color="auto"/>
            </w:tcBorders>
            <w:shd w:val="clear" w:color="auto" w:fill="auto"/>
            <w:vAlign w:val="bottom"/>
          </w:tcPr>
          <w:p w14:paraId="05115D48" w14:textId="77777777" w:rsidR="00B9493D" w:rsidRPr="002D2F67" w:rsidRDefault="00B9493D" w:rsidP="005611FE">
            <w:pPr>
              <w:ind w:left="-31"/>
              <w:rPr>
                <w:rFonts w:ascii="Arial" w:hAnsi="Arial" w:cs="Arial"/>
                <w:color w:val="000000"/>
                <w:sz w:val="20"/>
                <w:szCs w:val="20"/>
              </w:rPr>
            </w:pPr>
          </w:p>
        </w:tc>
        <w:tc>
          <w:tcPr>
            <w:tcW w:w="1152" w:type="dxa"/>
            <w:tcBorders>
              <w:top w:val="single" w:sz="4" w:space="0" w:color="auto"/>
            </w:tcBorders>
            <w:shd w:val="clear" w:color="auto" w:fill="auto"/>
            <w:vAlign w:val="bottom"/>
          </w:tcPr>
          <w:p w14:paraId="063438C6" w14:textId="77777777" w:rsidR="00B9493D" w:rsidRPr="002D2F67" w:rsidRDefault="00B9493D" w:rsidP="005611FE">
            <w:pPr>
              <w:ind w:left="-31"/>
              <w:rPr>
                <w:rFonts w:ascii="Arial" w:hAnsi="Arial" w:cs="Arial"/>
                <w:color w:val="000000"/>
                <w:sz w:val="20"/>
                <w:szCs w:val="20"/>
              </w:rPr>
            </w:pPr>
          </w:p>
        </w:tc>
        <w:tc>
          <w:tcPr>
            <w:tcW w:w="1152" w:type="dxa"/>
            <w:tcBorders>
              <w:top w:val="single" w:sz="4" w:space="0" w:color="auto"/>
            </w:tcBorders>
            <w:shd w:val="clear" w:color="auto" w:fill="auto"/>
            <w:vAlign w:val="bottom"/>
          </w:tcPr>
          <w:p w14:paraId="1C72BE74" w14:textId="77777777" w:rsidR="00B9493D" w:rsidRPr="002D2F67" w:rsidRDefault="00B9493D" w:rsidP="005611FE">
            <w:pPr>
              <w:ind w:left="-31"/>
              <w:rPr>
                <w:rFonts w:ascii="Arial" w:hAnsi="Arial" w:cs="Arial"/>
                <w:color w:val="000000"/>
                <w:sz w:val="20"/>
                <w:szCs w:val="20"/>
              </w:rPr>
            </w:pPr>
          </w:p>
        </w:tc>
      </w:tr>
      <w:tr w:rsidR="00FB309E" w:rsidRPr="002D2F67" w14:paraId="24C4F72C" w14:textId="77777777" w:rsidTr="00100E48">
        <w:trPr>
          <w:cantSplit/>
        </w:trPr>
        <w:tc>
          <w:tcPr>
            <w:tcW w:w="3231" w:type="dxa"/>
            <w:shd w:val="clear" w:color="auto" w:fill="auto"/>
            <w:vAlign w:val="bottom"/>
          </w:tcPr>
          <w:p w14:paraId="1E4273CA" w14:textId="4EEE8D5B" w:rsidR="00FB309E" w:rsidRPr="002D2F67" w:rsidRDefault="00DC4B71" w:rsidP="005611FE">
            <w:pPr>
              <w:ind w:left="-31"/>
              <w:rPr>
                <w:rFonts w:ascii="Arial" w:hAnsi="Arial" w:cs="Arial"/>
                <w:b/>
                <w:bCs/>
                <w:color w:val="000000"/>
                <w:sz w:val="20"/>
                <w:szCs w:val="20"/>
              </w:rPr>
            </w:pPr>
            <w:r w:rsidRPr="002D2F67">
              <w:rPr>
                <w:rFonts w:ascii="Arial" w:hAnsi="Arial" w:cs="Arial"/>
                <w:b/>
                <w:bCs/>
                <w:color w:val="000000"/>
                <w:sz w:val="20"/>
                <w:szCs w:val="20"/>
              </w:rPr>
              <w:t>Derivative</w:t>
            </w:r>
            <w:r w:rsidR="005A4B31" w:rsidRPr="002D2F67">
              <w:rPr>
                <w:rFonts w:ascii="Arial" w:hAnsi="Arial" w:cs="Arial"/>
                <w:b/>
                <w:bCs/>
                <w:color w:val="000000"/>
                <w:sz w:val="20"/>
                <w:szCs w:val="20"/>
              </w:rPr>
              <w:t>s</w:t>
            </w:r>
          </w:p>
        </w:tc>
        <w:tc>
          <w:tcPr>
            <w:tcW w:w="1152" w:type="dxa"/>
            <w:shd w:val="clear" w:color="auto" w:fill="auto"/>
            <w:vAlign w:val="bottom"/>
          </w:tcPr>
          <w:p w14:paraId="7660D5F6" w14:textId="77777777" w:rsidR="00FB309E" w:rsidRPr="002D2F67" w:rsidRDefault="00FB309E" w:rsidP="005611FE">
            <w:pPr>
              <w:ind w:right="-72"/>
              <w:jc w:val="right"/>
              <w:rPr>
                <w:rFonts w:ascii="Arial" w:hAnsi="Arial" w:cs="Arial"/>
                <w:color w:val="000000"/>
                <w:sz w:val="20"/>
                <w:szCs w:val="20"/>
              </w:rPr>
            </w:pPr>
          </w:p>
        </w:tc>
        <w:tc>
          <w:tcPr>
            <w:tcW w:w="1152" w:type="dxa"/>
            <w:shd w:val="clear" w:color="auto" w:fill="auto"/>
            <w:vAlign w:val="bottom"/>
          </w:tcPr>
          <w:p w14:paraId="7BFD2670" w14:textId="77777777" w:rsidR="00FB309E" w:rsidRPr="002D2F67" w:rsidRDefault="00FB309E" w:rsidP="005611FE">
            <w:pPr>
              <w:ind w:right="-72"/>
              <w:jc w:val="right"/>
              <w:rPr>
                <w:rFonts w:ascii="Arial" w:hAnsi="Arial" w:cs="Arial"/>
                <w:color w:val="000000"/>
                <w:sz w:val="20"/>
                <w:szCs w:val="20"/>
              </w:rPr>
            </w:pPr>
          </w:p>
        </w:tc>
        <w:tc>
          <w:tcPr>
            <w:tcW w:w="1152" w:type="dxa"/>
            <w:shd w:val="clear" w:color="auto" w:fill="auto"/>
            <w:vAlign w:val="bottom"/>
          </w:tcPr>
          <w:p w14:paraId="39B8A26E" w14:textId="77777777" w:rsidR="00FB309E" w:rsidRPr="002D2F67" w:rsidRDefault="00FB309E" w:rsidP="005611FE">
            <w:pPr>
              <w:ind w:right="-72"/>
              <w:jc w:val="right"/>
              <w:rPr>
                <w:rFonts w:ascii="Arial" w:hAnsi="Arial" w:cs="Arial"/>
                <w:color w:val="000000"/>
                <w:sz w:val="20"/>
                <w:szCs w:val="20"/>
              </w:rPr>
            </w:pPr>
          </w:p>
        </w:tc>
        <w:tc>
          <w:tcPr>
            <w:tcW w:w="1152" w:type="dxa"/>
            <w:shd w:val="clear" w:color="auto" w:fill="auto"/>
            <w:vAlign w:val="bottom"/>
          </w:tcPr>
          <w:p w14:paraId="7B3C26A8" w14:textId="77777777" w:rsidR="00FB309E" w:rsidRPr="002D2F67" w:rsidRDefault="00FB309E" w:rsidP="005611FE">
            <w:pPr>
              <w:ind w:right="-72"/>
              <w:jc w:val="right"/>
              <w:rPr>
                <w:rFonts w:ascii="Arial" w:hAnsi="Arial" w:cs="Arial"/>
                <w:color w:val="000000"/>
                <w:sz w:val="20"/>
                <w:szCs w:val="20"/>
              </w:rPr>
            </w:pPr>
          </w:p>
        </w:tc>
        <w:tc>
          <w:tcPr>
            <w:tcW w:w="1152" w:type="dxa"/>
            <w:shd w:val="clear" w:color="auto" w:fill="auto"/>
            <w:vAlign w:val="bottom"/>
          </w:tcPr>
          <w:p w14:paraId="4DA3ECEC" w14:textId="77777777" w:rsidR="00FB309E" w:rsidRPr="002D2F67" w:rsidRDefault="00FB309E" w:rsidP="005611FE">
            <w:pPr>
              <w:ind w:right="-72"/>
              <w:jc w:val="right"/>
              <w:rPr>
                <w:rFonts w:ascii="Arial" w:hAnsi="Arial" w:cs="Arial"/>
                <w:color w:val="000000"/>
                <w:sz w:val="20"/>
                <w:szCs w:val="20"/>
              </w:rPr>
            </w:pPr>
          </w:p>
        </w:tc>
      </w:tr>
      <w:tr w:rsidR="00FB309E" w:rsidRPr="002D2F67" w14:paraId="7C26EB1D" w14:textId="77777777" w:rsidTr="00100E48">
        <w:trPr>
          <w:cantSplit/>
        </w:trPr>
        <w:tc>
          <w:tcPr>
            <w:tcW w:w="3231" w:type="dxa"/>
            <w:shd w:val="clear" w:color="auto" w:fill="auto"/>
            <w:vAlign w:val="bottom"/>
          </w:tcPr>
          <w:p w14:paraId="10630EFA" w14:textId="77777777" w:rsidR="00FB309E" w:rsidRPr="002D2F67" w:rsidRDefault="00FB309E" w:rsidP="005611FE">
            <w:pPr>
              <w:ind w:left="-31"/>
              <w:rPr>
                <w:rFonts w:ascii="Arial" w:hAnsi="Arial" w:cs="Arial"/>
                <w:color w:val="000000"/>
                <w:sz w:val="20"/>
                <w:szCs w:val="20"/>
              </w:rPr>
            </w:pPr>
          </w:p>
        </w:tc>
        <w:tc>
          <w:tcPr>
            <w:tcW w:w="1152" w:type="dxa"/>
            <w:shd w:val="clear" w:color="auto" w:fill="auto"/>
            <w:vAlign w:val="bottom"/>
          </w:tcPr>
          <w:p w14:paraId="43424278" w14:textId="77777777" w:rsidR="00FB309E" w:rsidRPr="002D2F67" w:rsidRDefault="00FB309E" w:rsidP="005611FE">
            <w:pPr>
              <w:ind w:right="-72"/>
              <w:jc w:val="right"/>
              <w:rPr>
                <w:rFonts w:ascii="Arial" w:hAnsi="Arial" w:cs="Arial"/>
                <w:color w:val="000000"/>
                <w:sz w:val="20"/>
                <w:szCs w:val="20"/>
              </w:rPr>
            </w:pPr>
          </w:p>
        </w:tc>
        <w:tc>
          <w:tcPr>
            <w:tcW w:w="1152" w:type="dxa"/>
            <w:shd w:val="clear" w:color="auto" w:fill="auto"/>
            <w:vAlign w:val="bottom"/>
          </w:tcPr>
          <w:p w14:paraId="5FFCD187" w14:textId="77777777" w:rsidR="00FB309E" w:rsidRPr="002D2F67" w:rsidRDefault="00FB309E" w:rsidP="005611FE">
            <w:pPr>
              <w:ind w:right="-72"/>
              <w:jc w:val="right"/>
              <w:rPr>
                <w:rFonts w:ascii="Arial" w:hAnsi="Arial" w:cs="Arial"/>
                <w:color w:val="000000"/>
                <w:sz w:val="20"/>
                <w:szCs w:val="20"/>
              </w:rPr>
            </w:pPr>
          </w:p>
        </w:tc>
        <w:tc>
          <w:tcPr>
            <w:tcW w:w="1152" w:type="dxa"/>
            <w:shd w:val="clear" w:color="auto" w:fill="auto"/>
            <w:vAlign w:val="bottom"/>
          </w:tcPr>
          <w:p w14:paraId="00FF2361" w14:textId="77777777" w:rsidR="00FB309E" w:rsidRPr="002D2F67" w:rsidRDefault="00FB309E" w:rsidP="005611FE">
            <w:pPr>
              <w:ind w:right="-72"/>
              <w:jc w:val="right"/>
              <w:rPr>
                <w:rFonts w:ascii="Arial" w:hAnsi="Arial" w:cs="Arial"/>
                <w:color w:val="000000"/>
                <w:sz w:val="20"/>
                <w:szCs w:val="20"/>
              </w:rPr>
            </w:pPr>
          </w:p>
        </w:tc>
        <w:tc>
          <w:tcPr>
            <w:tcW w:w="1152" w:type="dxa"/>
            <w:shd w:val="clear" w:color="auto" w:fill="auto"/>
            <w:vAlign w:val="bottom"/>
          </w:tcPr>
          <w:p w14:paraId="56FCF2F7" w14:textId="77777777" w:rsidR="00FB309E" w:rsidRPr="002D2F67" w:rsidRDefault="00FB309E" w:rsidP="005611FE">
            <w:pPr>
              <w:ind w:right="-72"/>
              <w:jc w:val="right"/>
              <w:rPr>
                <w:rFonts w:ascii="Arial" w:hAnsi="Arial" w:cs="Arial"/>
                <w:color w:val="000000"/>
                <w:sz w:val="20"/>
                <w:szCs w:val="20"/>
              </w:rPr>
            </w:pPr>
          </w:p>
        </w:tc>
        <w:tc>
          <w:tcPr>
            <w:tcW w:w="1152" w:type="dxa"/>
            <w:shd w:val="clear" w:color="auto" w:fill="auto"/>
            <w:vAlign w:val="bottom"/>
          </w:tcPr>
          <w:p w14:paraId="4101C672" w14:textId="77777777" w:rsidR="00FB309E" w:rsidRPr="002D2F67" w:rsidRDefault="00FB309E" w:rsidP="005611FE">
            <w:pPr>
              <w:ind w:right="-72"/>
              <w:jc w:val="right"/>
              <w:rPr>
                <w:rFonts w:ascii="Arial" w:hAnsi="Arial" w:cs="Arial"/>
                <w:color w:val="000000"/>
                <w:sz w:val="20"/>
                <w:szCs w:val="20"/>
              </w:rPr>
            </w:pPr>
          </w:p>
        </w:tc>
      </w:tr>
      <w:tr w:rsidR="00FB309E" w:rsidRPr="002D2F67" w14:paraId="021F2679" w14:textId="77777777" w:rsidTr="00100E48">
        <w:trPr>
          <w:cantSplit/>
        </w:trPr>
        <w:tc>
          <w:tcPr>
            <w:tcW w:w="3231" w:type="dxa"/>
            <w:shd w:val="clear" w:color="auto" w:fill="auto"/>
            <w:vAlign w:val="bottom"/>
          </w:tcPr>
          <w:p w14:paraId="315C1A9F" w14:textId="4618B24C" w:rsidR="00FB309E" w:rsidRPr="002D2F67" w:rsidRDefault="001E3834" w:rsidP="005611FE">
            <w:pPr>
              <w:ind w:left="-31"/>
              <w:rPr>
                <w:rFonts w:ascii="Arial" w:hAnsi="Arial" w:cs="Arial"/>
                <w:color w:val="000000"/>
                <w:sz w:val="20"/>
                <w:szCs w:val="20"/>
              </w:rPr>
            </w:pPr>
            <w:r w:rsidRPr="002D2F67">
              <w:rPr>
                <w:rFonts w:ascii="Arial" w:hAnsi="Arial" w:cs="Arial"/>
                <w:color w:val="000000"/>
                <w:sz w:val="20"/>
                <w:szCs w:val="20"/>
              </w:rPr>
              <w:t>Cross</w:t>
            </w:r>
            <w:r w:rsidR="00224386" w:rsidRPr="002D2F67">
              <w:rPr>
                <w:rFonts w:ascii="Arial" w:hAnsi="Arial" w:cs="Arial"/>
                <w:color w:val="000000"/>
                <w:sz w:val="20"/>
                <w:szCs w:val="20"/>
              </w:rPr>
              <w:t xml:space="preserve"> currency interest rate</w:t>
            </w:r>
            <w:r w:rsidR="00224386" w:rsidRPr="002D2F67">
              <w:rPr>
                <w:rFonts w:ascii="Arial" w:hAnsi="Arial" w:cs="Arial"/>
                <w:color w:val="000000"/>
                <w:sz w:val="20"/>
                <w:szCs w:val="20"/>
              </w:rPr>
              <w:br/>
              <w:t xml:space="preserve">   swaps contracts</w:t>
            </w:r>
          </w:p>
        </w:tc>
        <w:tc>
          <w:tcPr>
            <w:tcW w:w="1152" w:type="dxa"/>
            <w:shd w:val="clear" w:color="auto" w:fill="auto"/>
            <w:vAlign w:val="bottom"/>
          </w:tcPr>
          <w:p w14:paraId="35760E12" w14:textId="4D6433A5" w:rsidR="00FB309E"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20</w:t>
            </w:r>
          </w:p>
        </w:tc>
        <w:tc>
          <w:tcPr>
            <w:tcW w:w="1152" w:type="dxa"/>
            <w:shd w:val="clear" w:color="auto" w:fill="auto"/>
            <w:vAlign w:val="bottom"/>
          </w:tcPr>
          <w:p w14:paraId="0D0686E2" w14:textId="46C0D5C5" w:rsidR="00FB309E"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377</w:t>
            </w:r>
          </w:p>
        </w:tc>
        <w:tc>
          <w:tcPr>
            <w:tcW w:w="1152" w:type="dxa"/>
            <w:shd w:val="clear" w:color="auto" w:fill="auto"/>
            <w:vAlign w:val="bottom"/>
          </w:tcPr>
          <w:p w14:paraId="4E71445F" w14:textId="145DD049" w:rsidR="00FB309E" w:rsidRPr="002D2F67" w:rsidRDefault="006D5A3D"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152" w:type="dxa"/>
            <w:shd w:val="clear" w:color="auto" w:fill="auto"/>
            <w:vAlign w:val="bottom"/>
          </w:tcPr>
          <w:p w14:paraId="6A58DA29" w14:textId="70B9AC81" w:rsidR="00FB309E"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397</w:t>
            </w:r>
          </w:p>
        </w:tc>
        <w:tc>
          <w:tcPr>
            <w:tcW w:w="1152" w:type="dxa"/>
            <w:shd w:val="clear" w:color="auto" w:fill="auto"/>
            <w:vAlign w:val="bottom"/>
          </w:tcPr>
          <w:p w14:paraId="6DB63514" w14:textId="1E4BA57B" w:rsidR="00FB309E"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325</w:t>
            </w:r>
          </w:p>
        </w:tc>
      </w:tr>
      <w:tr w:rsidR="00F8091A" w:rsidRPr="002D2F67" w14:paraId="07B9063F" w14:textId="77777777" w:rsidTr="00100E48">
        <w:trPr>
          <w:cantSplit/>
        </w:trPr>
        <w:tc>
          <w:tcPr>
            <w:tcW w:w="3231" w:type="dxa"/>
            <w:shd w:val="clear" w:color="auto" w:fill="auto"/>
            <w:vAlign w:val="bottom"/>
          </w:tcPr>
          <w:p w14:paraId="7E4510FC" w14:textId="5CE30F72" w:rsidR="00F8091A" w:rsidRPr="002D2F67" w:rsidRDefault="00F8091A" w:rsidP="005611FE">
            <w:pPr>
              <w:ind w:left="-31"/>
              <w:rPr>
                <w:rFonts w:ascii="Arial" w:hAnsi="Arial" w:cs="Arial"/>
                <w:color w:val="000000"/>
                <w:sz w:val="20"/>
                <w:szCs w:val="20"/>
              </w:rPr>
            </w:pPr>
            <w:r w:rsidRPr="002D2F67">
              <w:rPr>
                <w:rFonts w:ascii="Arial" w:hAnsi="Arial" w:cs="Arial"/>
                <w:color w:val="000000"/>
                <w:sz w:val="20"/>
                <w:szCs w:val="20"/>
              </w:rPr>
              <w:t>Interest rate swap contracts</w:t>
            </w:r>
          </w:p>
        </w:tc>
        <w:tc>
          <w:tcPr>
            <w:tcW w:w="1152" w:type="dxa"/>
            <w:tcBorders>
              <w:bottom w:val="single" w:sz="4" w:space="0" w:color="auto"/>
            </w:tcBorders>
            <w:shd w:val="clear" w:color="auto" w:fill="auto"/>
            <w:vAlign w:val="bottom"/>
          </w:tcPr>
          <w:p w14:paraId="3AA99FF7" w14:textId="0AE01658" w:rsidR="00F8091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42</w:t>
            </w:r>
          </w:p>
        </w:tc>
        <w:tc>
          <w:tcPr>
            <w:tcW w:w="1152" w:type="dxa"/>
            <w:tcBorders>
              <w:bottom w:val="single" w:sz="4" w:space="0" w:color="auto"/>
            </w:tcBorders>
            <w:shd w:val="clear" w:color="auto" w:fill="auto"/>
            <w:vAlign w:val="bottom"/>
          </w:tcPr>
          <w:p w14:paraId="186A897F" w14:textId="2A47A0E9" w:rsidR="00F8091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49</w:t>
            </w:r>
          </w:p>
        </w:tc>
        <w:tc>
          <w:tcPr>
            <w:tcW w:w="1152" w:type="dxa"/>
            <w:tcBorders>
              <w:bottom w:val="single" w:sz="4" w:space="0" w:color="auto"/>
            </w:tcBorders>
            <w:shd w:val="clear" w:color="auto" w:fill="auto"/>
            <w:vAlign w:val="bottom"/>
          </w:tcPr>
          <w:p w14:paraId="4A297A8B" w14:textId="5E9A66C2" w:rsidR="00F8091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w:t>
            </w:r>
          </w:p>
        </w:tc>
        <w:tc>
          <w:tcPr>
            <w:tcW w:w="1152" w:type="dxa"/>
            <w:tcBorders>
              <w:bottom w:val="single" w:sz="4" w:space="0" w:color="auto"/>
            </w:tcBorders>
            <w:shd w:val="clear" w:color="auto" w:fill="auto"/>
            <w:vAlign w:val="bottom"/>
          </w:tcPr>
          <w:p w14:paraId="344F032F" w14:textId="02A9C05B" w:rsidR="00F8091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94</w:t>
            </w:r>
          </w:p>
        </w:tc>
        <w:tc>
          <w:tcPr>
            <w:tcW w:w="1152" w:type="dxa"/>
            <w:tcBorders>
              <w:bottom w:val="single" w:sz="4" w:space="0" w:color="auto"/>
            </w:tcBorders>
            <w:shd w:val="clear" w:color="auto" w:fill="auto"/>
            <w:vAlign w:val="bottom"/>
          </w:tcPr>
          <w:p w14:paraId="5639F000" w14:textId="0CE7F767" w:rsidR="00F8091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75</w:t>
            </w:r>
          </w:p>
        </w:tc>
      </w:tr>
      <w:tr w:rsidR="00100E48" w:rsidRPr="002D2F67" w14:paraId="17297D99" w14:textId="77777777" w:rsidTr="00100E48">
        <w:trPr>
          <w:cantSplit/>
        </w:trPr>
        <w:tc>
          <w:tcPr>
            <w:tcW w:w="3231" w:type="dxa"/>
            <w:shd w:val="clear" w:color="auto" w:fill="auto"/>
            <w:vAlign w:val="bottom"/>
          </w:tcPr>
          <w:p w14:paraId="427775E6" w14:textId="77777777" w:rsidR="00100E48" w:rsidRPr="002D2F67" w:rsidRDefault="00100E48" w:rsidP="005611FE">
            <w:pPr>
              <w:ind w:left="-31"/>
              <w:rPr>
                <w:rFonts w:ascii="Arial" w:hAnsi="Arial" w:cs="Arial"/>
                <w:color w:val="000000"/>
                <w:sz w:val="20"/>
                <w:szCs w:val="20"/>
              </w:rPr>
            </w:pPr>
          </w:p>
        </w:tc>
        <w:tc>
          <w:tcPr>
            <w:tcW w:w="1152" w:type="dxa"/>
            <w:tcBorders>
              <w:top w:val="single" w:sz="4" w:space="0" w:color="auto"/>
            </w:tcBorders>
            <w:shd w:val="clear" w:color="auto" w:fill="auto"/>
            <w:vAlign w:val="bottom"/>
          </w:tcPr>
          <w:p w14:paraId="7BF2CB7F" w14:textId="77777777" w:rsidR="00100E48" w:rsidRPr="002D2F67" w:rsidRDefault="00100E48" w:rsidP="005611FE">
            <w:pPr>
              <w:ind w:right="-72"/>
              <w:jc w:val="right"/>
              <w:rPr>
                <w:rFonts w:ascii="Arial" w:hAnsi="Arial" w:cs="Arial"/>
                <w:color w:val="000000"/>
                <w:sz w:val="20"/>
                <w:szCs w:val="20"/>
              </w:rPr>
            </w:pPr>
          </w:p>
        </w:tc>
        <w:tc>
          <w:tcPr>
            <w:tcW w:w="1152" w:type="dxa"/>
            <w:tcBorders>
              <w:top w:val="single" w:sz="4" w:space="0" w:color="auto"/>
            </w:tcBorders>
            <w:shd w:val="clear" w:color="auto" w:fill="auto"/>
            <w:vAlign w:val="bottom"/>
          </w:tcPr>
          <w:p w14:paraId="2C75CA43" w14:textId="77777777" w:rsidR="00100E48" w:rsidRPr="002D2F67" w:rsidRDefault="00100E48" w:rsidP="005611FE">
            <w:pPr>
              <w:ind w:right="-72"/>
              <w:jc w:val="right"/>
              <w:rPr>
                <w:rFonts w:ascii="Arial" w:hAnsi="Arial" w:cs="Arial"/>
                <w:color w:val="000000"/>
                <w:sz w:val="20"/>
                <w:szCs w:val="20"/>
              </w:rPr>
            </w:pPr>
          </w:p>
        </w:tc>
        <w:tc>
          <w:tcPr>
            <w:tcW w:w="1152" w:type="dxa"/>
            <w:tcBorders>
              <w:top w:val="single" w:sz="4" w:space="0" w:color="auto"/>
            </w:tcBorders>
            <w:shd w:val="clear" w:color="auto" w:fill="auto"/>
            <w:vAlign w:val="bottom"/>
          </w:tcPr>
          <w:p w14:paraId="3DDD4162" w14:textId="77777777" w:rsidR="00100E48" w:rsidRPr="002D2F67" w:rsidRDefault="00100E48" w:rsidP="005611FE">
            <w:pPr>
              <w:ind w:right="-72"/>
              <w:jc w:val="right"/>
              <w:rPr>
                <w:rFonts w:ascii="Arial" w:hAnsi="Arial" w:cs="Arial"/>
                <w:color w:val="000000"/>
                <w:sz w:val="20"/>
                <w:szCs w:val="20"/>
              </w:rPr>
            </w:pPr>
          </w:p>
        </w:tc>
        <w:tc>
          <w:tcPr>
            <w:tcW w:w="1152" w:type="dxa"/>
            <w:tcBorders>
              <w:top w:val="single" w:sz="4" w:space="0" w:color="auto"/>
            </w:tcBorders>
            <w:shd w:val="clear" w:color="auto" w:fill="auto"/>
            <w:vAlign w:val="bottom"/>
          </w:tcPr>
          <w:p w14:paraId="6C222CA8" w14:textId="77777777" w:rsidR="00100E48" w:rsidRPr="002D2F67" w:rsidRDefault="00100E48" w:rsidP="005611FE">
            <w:pPr>
              <w:ind w:right="-72"/>
              <w:jc w:val="right"/>
              <w:rPr>
                <w:rFonts w:ascii="Arial" w:hAnsi="Arial" w:cs="Arial"/>
                <w:color w:val="000000"/>
                <w:sz w:val="20"/>
                <w:szCs w:val="20"/>
              </w:rPr>
            </w:pPr>
          </w:p>
        </w:tc>
        <w:tc>
          <w:tcPr>
            <w:tcW w:w="1152" w:type="dxa"/>
            <w:tcBorders>
              <w:top w:val="single" w:sz="4" w:space="0" w:color="auto"/>
            </w:tcBorders>
            <w:shd w:val="clear" w:color="auto" w:fill="auto"/>
            <w:vAlign w:val="bottom"/>
          </w:tcPr>
          <w:p w14:paraId="761823FC" w14:textId="77777777" w:rsidR="00100E48" w:rsidRPr="002D2F67" w:rsidRDefault="00100E48" w:rsidP="005611FE">
            <w:pPr>
              <w:ind w:right="-72"/>
              <w:jc w:val="right"/>
              <w:rPr>
                <w:rFonts w:ascii="Arial" w:hAnsi="Arial" w:cs="Arial"/>
                <w:color w:val="000000"/>
                <w:sz w:val="20"/>
                <w:szCs w:val="20"/>
              </w:rPr>
            </w:pPr>
          </w:p>
        </w:tc>
      </w:tr>
      <w:tr w:rsidR="00D4751E" w:rsidRPr="002D2F67" w14:paraId="548A6D44" w14:textId="77777777" w:rsidTr="00100E48">
        <w:trPr>
          <w:cantSplit/>
        </w:trPr>
        <w:tc>
          <w:tcPr>
            <w:tcW w:w="3231" w:type="dxa"/>
            <w:shd w:val="clear" w:color="auto" w:fill="auto"/>
            <w:vAlign w:val="bottom"/>
          </w:tcPr>
          <w:p w14:paraId="32B1C953" w14:textId="462E9014" w:rsidR="00D4751E" w:rsidRPr="002D2F67" w:rsidRDefault="00D4751E" w:rsidP="005611FE">
            <w:pPr>
              <w:ind w:left="-31"/>
              <w:rPr>
                <w:rFonts w:ascii="Arial" w:hAnsi="Arial" w:cs="Arial"/>
                <w:b/>
                <w:bCs/>
                <w:color w:val="000000"/>
                <w:sz w:val="20"/>
                <w:szCs w:val="20"/>
              </w:rPr>
            </w:pPr>
            <w:r w:rsidRPr="002D2F67">
              <w:rPr>
                <w:rFonts w:ascii="Arial" w:hAnsi="Arial" w:cs="Arial"/>
                <w:b/>
                <w:bCs/>
                <w:color w:val="000000"/>
                <w:sz w:val="20"/>
                <w:szCs w:val="20"/>
              </w:rPr>
              <w:t xml:space="preserve">Total </w:t>
            </w:r>
            <w:r w:rsidR="00441BD4" w:rsidRPr="002D2F67">
              <w:rPr>
                <w:rFonts w:ascii="Arial" w:hAnsi="Arial" w:cs="Arial"/>
                <w:b/>
                <w:bCs/>
                <w:color w:val="000000"/>
                <w:sz w:val="20"/>
                <w:szCs w:val="20"/>
              </w:rPr>
              <w:t>d</w:t>
            </w:r>
            <w:r w:rsidRPr="002D2F67">
              <w:rPr>
                <w:rFonts w:ascii="Arial" w:hAnsi="Arial" w:cs="Arial"/>
                <w:b/>
                <w:bCs/>
                <w:color w:val="000000"/>
                <w:sz w:val="20"/>
                <w:szCs w:val="20"/>
              </w:rPr>
              <w:t>erivatives</w:t>
            </w:r>
            <w:r w:rsidR="000042E5" w:rsidRPr="002D2F67">
              <w:rPr>
                <w:rFonts w:ascii="Arial" w:hAnsi="Arial" w:cs="Arial"/>
                <w:b/>
                <w:bCs/>
                <w:color w:val="000000"/>
                <w:sz w:val="20"/>
                <w:szCs w:val="20"/>
              </w:rPr>
              <w:t xml:space="preserve"> liabilities</w:t>
            </w:r>
          </w:p>
        </w:tc>
        <w:tc>
          <w:tcPr>
            <w:tcW w:w="1152" w:type="dxa"/>
            <w:tcBorders>
              <w:bottom w:val="single" w:sz="4" w:space="0" w:color="auto"/>
            </w:tcBorders>
            <w:shd w:val="clear" w:color="auto" w:fill="auto"/>
            <w:vAlign w:val="bottom"/>
          </w:tcPr>
          <w:p w14:paraId="69853EE1" w14:textId="4E0F1C2A" w:rsidR="00D4751E"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62</w:t>
            </w:r>
          </w:p>
        </w:tc>
        <w:tc>
          <w:tcPr>
            <w:tcW w:w="1152" w:type="dxa"/>
            <w:tcBorders>
              <w:bottom w:val="single" w:sz="4" w:space="0" w:color="auto"/>
            </w:tcBorders>
            <w:shd w:val="clear" w:color="auto" w:fill="auto"/>
            <w:vAlign w:val="bottom"/>
          </w:tcPr>
          <w:p w14:paraId="37CA33C0" w14:textId="204DC3C3" w:rsidR="00D4751E"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426</w:t>
            </w:r>
          </w:p>
        </w:tc>
        <w:tc>
          <w:tcPr>
            <w:tcW w:w="1152" w:type="dxa"/>
            <w:tcBorders>
              <w:bottom w:val="single" w:sz="4" w:space="0" w:color="auto"/>
            </w:tcBorders>
            <w:shd w:val="clear" w:color="auto" w:fill="auto"/>
            <w:vAlign w:val="bottom"/>
          </w:tcPr>
          <w:p w14:paraId="633029CF" w14:textId="1405C305" w:rsidR="00D4751E"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w:t>
            </w:r>
          </w:p>
        </w:tc>
        <w:tc>
          <w:tcPr>
            <w:tcW w:w="1152" w:type="dxa"/>
            <w:tcBorders>
              <w:bottom w:val="single" w:sz="4" w:space="0" w:color="auto"/>
            </w:tcBorders>
            <w:shd w:val="clear" w:color="auto" w:fill="auto"/>
            <w:vAlign w:val="bottom"/>
          </w:tcPr>
          <w:p w14:paraId="49C0DAF7" w14:textId="07EB6706" w:rsidR="00D4751E"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491</w:t>
            </w:r>
          </w:p>
        </w:tc>
        <w:tc>
          <w:tcPr>
            <w:tcW w:w="1152" w:type="dxa"/>
            <w:tcBorders>
              <w:bottom w:val="single" w:sz="4" w:space="0" w:color="auto"/>
            </w:tcBorders>
            <w:shd w:val="clear" w:color="auto" w:fill="auto"/>
            <w:vAlign w:val="bottom"/>
          </w:tcPr>
          <w:p w14:paraId="069D1DBC" w14:textId="7AA0F05C" w:rsidR="00D4751E"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400</w:t>
            </w:r>
          </w:p>
        </w:tc>
      </w:tr>
      <w:tr w:rsidR="00D4751E" w:rsidRPr="002D2F67" w14:paraId="432447BD" w14:textId="77777777" w:rsidTr="00100E48">
        <w:trPr>
          <w:cantSplit/>
        </w:trPr>
        <w:tc>
          <w:tcPr>
            <w:tcW w:w="3231" w:type="dxa"/>
            <w:shd w:val="clear" w:color="auto" w:fill="auto"/>
            <w:vAlign w:val="bottom"/>
          </w:tcPr>
          <w:p w14:paraId="6BAF668A" w14:textId="77777777" w:rsidR="00D4751E" w:rsidRPr="002D2F67" w:rsidRDefault="00D4751E" w:rsidP="005611FE">
            <w:pPr>
              <w:ind w:left="-31"/>
              <w:rPr>
                <w:rFonts w:ascii="Arial" w:hAnsi="Arial" w:cs="Arial"/>
                <w:color w:val="000000"/>
                <w:sz w:val="20"/>
                <w:szCs w:val="20"/>
              </w:rPr>
            </w:pPr>
          </w:p>
        </w:tc>
        <w:tc>
          <w:tcPr>
            <w:tcW w:w="1152" w:type="dxa"/>
            <w:tcBorders>
              <w:top w:val="single" w:sz="4" w:space="0" w:color="auto"/>
            </w:tcBorders>
            <w:shd w:val="clear" w:color="auto" w:fill="auto"/>
            <w:vAlign w:val="bottom"/>
          </w:tcPr>
          <w:p w14:paraId="42FDAC3A" w14:textId="322E52D7" w:rsidR="00D4751E" w:rsidRPr="002D2F67" w:rsidRDefault="00D4751E" w:rsidP="005611FE">
            <w:pPr>
              <w:ind w:right="-72"/>
              <w:jc w:val="right"/>
              <w:rPr>
                <w:rFonts w:ascii="Arial" w:hAnsi="Arial" w:cs="Arial"/>
                <w:color w:val="000000"/>
                <w:sz w:val="20"/>
                <w:szCs w:val="20"/>
              </w:rPr>
            </w:pPr>
          </w:p>
        </w:tc>
        <w:tc>
          <w:tcPr>
            <w:tcW w:w="1152" w:type="dxa"/>
            <w:tcBorders>
              <w:top w:val="single" w:sz="4" w:space="0" w:color="auto"/>
            </w:tcBorders>
            <w:shd w:val="clear" w:color="auto" w:fill="auto"/>
            <w:vAlign w:val="bottom"/>
          </w:tcPr>
          <w:p w14:paraId="18C4FCB9" w14:textId="77777777" w:rsidR="00D4751E" w:rsidRPr="002D2F67" w:rsidRDefault="00D4751E" w:rsidP="005611FE">
            <w:pPr>
              <w:ind w:right="-72"/>
              <w:jc w:val="right"/>
              <w:rPr>
                <w:rFonts w:ascii="Arial" w:hAnsi="Arial" w:cs="Arial"/>
                <w:color w:val="000000"/>
                <w:sz w:val="20"/>
                <w:szCs w:val="20"/>
              </w:rPr>
            </w:pPr>
          </w:p>
        </w:tc>
        <w:tc>
          <w:tcPr>
            <w:tcW w:w="1152" w:type="dxa"/>
            <w:tcBorders>
              <w:top w:val="single" w:sz="4" w:space="0" w:color="auto"/>
            </w:tcBorders>
            <w:shd w:val="clear" w:color="auto" w:fill="auto"/>
            <w:vAlign w:val="bottom"/>
          </w:tcPr>
          <w:p w14:paraId="581FFBE7" w14:textId="77777777" w:rsidR="00D4751E" w:rsidRPr="002D2F67" w:rsidRDefault="00D4751E" w:rsidP="005611FE">
            <w:pPr>
              <w:ind w:right="-72"/>
              <w:jc w:val="right"/>
              <w:rPr>
                <w:rFonts w:ascii="Arial" w:hAnsi="Arial" w:cs="Arial"/>
                <w:color w:val="000000"/>
                <w:sz w:val="20"/>
                <w:szCs w:val="20"/>
              </w:rPr>
            </w:pPr>
          </w:p>
        </w:tc>
        <w:tc>
          <w:tcPr>
            <w:tcW w:w="1152" w:type="dxa"/>
            <w:tcBorders>
              <w:top w:val="single" w:sz="4" w:space="0" w:color="auto"/>
            </w:tcBorders>
            <w:shd w:val="clear" w:color="auto" w:fill="auto"/>
            <w:vAlign w:val="bottom"/>
          </w:tcPr>
          <w:p w14:paraId="5E0FBDAF" w14:textId="77777777" w:rsidR="00D4751E" w:rsidRPr="002D2F67" w:rsidRDefault="00D4751E" w:rsidP="005611FE">
            <w:pPr>
              <w:ind w:right="-72"/>
              <w:jc w:val="right"/>
              <w:rPr>
                <w:rFonts w:ascii="Arial" w:hAnsi="Arial" w:cs="Arial"/>
                <w:color w:val="000000"/>
                <w:sz w:val="20"/>
                <w:szCs w:val="20"/>
              </w:rPr>
            </w:pPr>
          </w:p>
        </w:tc>
        <w:tc>
          <w:tcPr>
            <w:tcW w:w="1152" w:type="dxa"/>
            <w:tcBorders>
              <w:top w:val="single" w:sz="4" w:space="0" w:color="auto"/>
            </w:tcBorders>
            <w:shd w:val="clear" w:color="auto" w:fill="auto"/>
            <w:vAlign w:val="bottom"/>
          </w:tcPr>
          <w:p w14:paraId="1CECCA94" w14:textId="77777777" w:rsidR="00D4751E" w:rsidRPr="002D2F67" w:rsidRDefault="00D4751E" w:rsidP="005611FE">
            <w:pPr>
              <w:ind w:right="-72"/>
              <w:jc w:val="right"/>
              <w:rPr>
                <w:rFonts w:ascii="Arial" w:hAnsi="Arial" w:cs="Arial"/>
                <w:color w:val="000000"/>
                <w:sz w:val="20"/>
                <w:szCs w:val="20"/>
              </w:rPr>
            </w:pPr>
          </w:p>
        </w:tc>
      </w:tr>
      <w:tr w:rsidR="00D4751E" w:rsidRPr="002D2F67" w14:paraId="1C42491D" w14:textId="77777777" w:rsidTr="00100E48">
        <w:trPr>
          <w:cantSplit/>
        </w:trPr>
        <w:tc>
          <w:tcPr>
            <w:tcW w:w="3231" w:type="dxa"/>
            <w:shd w:val="clear" w:color="auto" w:fill="auto"/>
            <w:vAlign w:val="bottom"/>
          </w:tcPr>
          <w:p w14:paraId="18731B7A" w14:textId="7FC08DB7" w:rsidR="00D4751E" w:rsidRPr="002D2F67" w:rsidRDefault="00D4751E" w:rsidP="005611FE">
            <w:pPr>
              <w:ind w:left="-31"/>
              <w:rPr>
                <w:rFonts w:ascii="Arial" w:hAnsi="Arial" w:cs="Arial"/>
                <w:b/>
                <w:bCs/>
                <w:color w:val="000000"/>
                <w:sz w:val="20"/>
                <w:szCs w:val="20"/>
              </w:rPr>
            </w:pPr>
            <w:r w:rsidRPr="002D2F67">
              <w:rPr>
                <w:rFonts w:ascii="Arial" w:hAnsi="Arial" w:cs="Arial"/>
                <w:b/>
                <w:bCs/>
                <w:color w:val="000000"/>
                <w:sz w:val="20"/>
                <w:szCs w:val="20"/>
              </w:rPr>
              <w:t>Total</w:t>
            </w:r>
          </w:p>
        </w:tc>
        <w:tc>
          <w:tcPr>
            <w:tcW w:w="1152" w:type="dxa"/>
            <w:tcBorders>
              <w:bottom w:val="single" w:sz="4" w:space="0" w:color="auto"/>
            </w:tcBorders>
            <w:shd w:val="clear" w:color="auto" w:fill="auto"/>
            <w:vAlign w:val="center"/>
          </w:tcPr>
          <w:p w14:paraId="12F1DD15" w14:textId="77A851D7" w:rsidR="00D4751E" w:rsidRPr="002D2F67" w:rsidRDefault="00CD5714" w:rsidP="005611FE">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21</w:t>
            </w:r>
            <w:r w:rsidR="481441B3" w:rsidRPr="002D2F67">
              <w:rPr>
                <w:rFonts w:ascii="Arial" w:hAnsi="Arial" w:cs="Arial"/>
                <w:color w:val="000000"/>
                <w:sz w:val="20"/>
                <w:szCs w:val="20"/>
              </w:rPr>
              <w:t>,</w:t>
            </w:r>
            <w:r w:rsidRPr="00CD5714">
              <w:rPr>
                <w:rFonts w:ascii="Arial" w:hAnsi="Arial" w:cs="Arial"/>
                <w:color w:val="000000"/>
                <w:sz w:val="20"/>
                <w:szCs w:val="20"/>
                <w:lang w:val="en-GB"/>
              </w:rPr>
              <w:t>060</w:t>
            </w:r>
          </w:p>
        </w:tc>
        <w:tc>
          <w:tcPr>
            <w:tcW w:w="1152" w:type="dxa"/>
            <w:tcBorders>
              <w:bottom w:val="single" w:sz="4" w:space="0" w:color="auto"/>
            </w:tcBorders>
            <w:shd w:val="clear" w:color="auto" w:fill="auto"/>
            <w:vAlign w:val="center"/>
          </w:tcPr>
          <w:p w14:paraId="63BB2639" w14:textId="15427083" w:rsidR="00D4751E" w:rsidRPr="002D2F67" w:rsidRDefault="00CD5714" w:rsidP="005611FE">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38</w:t>
            </w:r>
            <w:r w:rsidR="481441B3" w:rsidRPr="002D2F67">
              <w:rPr>
                <w:rFonts w:ascii="Arial" w:hAnsi="Arial" w:cs="Arial"/>
                <w:color w:val="000000"/>
                <w:sz w:val="20"/>
                <w:szCs w:val="20"/>
              </w:rPr>
              <w:t>,</w:t>
            </w:r>
            <w:r w:rsidRPr="00CD5714">
              <w:rPr>
                <w:rFonts w:ascii="Arial" w:hAnsi="Arial" w:cs="Arial"/>
                <w:color w:val="000000"/>
                <w:sz w:val="20"/>
                <w:szCs w:val="20"/>
                <w:lang w:val="en-GB"/>
              </w:rPr>
              <w:t>542</w:t>
            </w:r>
          </w:p>
        </w:tc>
        <w:tc>
          <w:tcPr>
            <w:tcW w:w="1152" w:type="dxa"/>
            <w:tcBorders>
              <w:bottom w:val="single" w:sz="4" w:space="0" w:color="auto"/>
            </w:tcBorders>
            <w:shd w:val="clear" w:color="auto" w:fill="auto"/>
            <w:vAlign w:val="center"/>
          </w:tcPr>
          <w:p w14:paraId="1DB6505F" w14:textId="4F5AF653" w:rsidR="00D4751E" w:rsidRPr="002D2F67" w:rsidRDefault="00CD5714" w:rsidP="005611FE">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9</w:t>
            </w:r>
            <w:r w:rsidR="0037460C" w:rsidRPr="002D2F67">
              <w:rPr>
                <w:rFonts w:ascii="Arial" w:hAnsi="Arial" w:cs="Arial"/>
                <w:color w:val="000000"/>
                <w:sz w:val="20"/>
                <w:szCs w:val="20"/>
              </w:rPr>
              <w:t>,</w:t>
            </w:r>
            <w:r w:rsidRPr="00CD5714">
              <w:rPr>
                <w:rFonts w:ascii="Arial" w:hAnsi="Arial" w:cs="Arial"/>
                <w:color w:val="000000"/>
                <w:sz w:val="20"/>
                <w:szCs w:val="20"/>
                <w:lang w:val="en-GB"/>
              </w:rPr>
              <w:t>012</w:t>
            </w:r>
          </w:p>
        </w:tc>
        <w:tc>
          <w:tcPr>
            <w:tcW w:w="1152" w:type="dxa"/>
            <w:tcBorders>
              <w:bottom w:val="single" w:sz="4" w:space="0" w:color="auto"/>
            </w:tcBorders>
            <w:shd w:val="clear" w:color="auto" w:fill="auto"/>
            <w:vAlign w:val="center"/>
          </w:tcPr>
          <w:p w14:paraId="7636030E" w14:textId="12D2B17E" w:rsidR="00D4751E" w:rsidRPr="002D2F67" w:rsidRDefault="00CD5714" w:rsidP="005611FE">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68</w:t>
            </w:r>
            <w:r w:rsidR="42C48DB4" w:rsidRPr="002D2F67">
              <w:rPr>
                <w:rFonts w:ascii="Arial" w:hAnsi="Arial" w:cs="Arial"/>
                <w:color w:val="000000"/>
                <w:sz w:val="20"/>
                <w:szCs w:val="20"/>
              </w:rPr>
              <w:t>,</w:t>
            </w:r>
            <w:r w:rsidRPr="00CD5714">
              <w:rPr>
                <w:rFonts w:ascii="Arial" w:hAnsi="Arial" w:cs="Arial"/>
                <w:color w:val="000000"/>
                <w:sz w:val="20"/>
                <w:szCs w:val="20"/>
                <w:lang w:val="en-GB"/>
              </w:rPr>
              <w:t>614</w:t>
            </w:r>
          </w:p>
        </w:tc>
        <w:tc>
          <w:tcPr>
            <w:tcW w:w="1152" w:type="dxa"/>
            <w:tcBorders>
              <w:bottom w:val="single" w:sz="4" w:space="0" w:color="auto"/>
            </w:tcBorders>
            <w:shd w:val="clear" w:color="auto" w:fill="auto"/>
            <w:vAlign w:val="center"/>
          </w:tcPr>
          <w:p w14:paraId="11203948" w14:textId="63AB5170" w:rsidR="00D4751E"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63</w:t>
            </w:r>
            <w:r w:rsidR="006D5A3D" w:rsidRPr="002D2F67">
              <w:rPr>
                <w:rFonts w:ascii="Arial" w:hAnsi="Arial" w:cs="Arial"/>
                <w:color w:val="000000"/>
                <w:sz w:val="20"/>
                <w:szCs w:val="20"/>
              </w:rPr>
              <w:t>,</w:t>
            </w:r>
            <w:r w:rsidRPr="00CD5714">
              <w:rPr>
                <w:rFonts w:ascii="Arial" w:hAnsi="Arial" w:cs="Arial"/>
                <w:color w:val="000000"/>
                <w:sz w:val="20"/>
                <w:szCs w:val="20"/>
                <w:lang w:val="en-GB"/>
              </w:rPr>
              <w:t>045</w:t>
            </w:r>
          </w:p>
        </w:tc>
      </w:tr>
    </w:tbl>
    <w:p w14:paraId="7B9F8485" w14:textId="5528336C" w:rsidR="00706C8B" w:rsidRPr="002D2F67" w:rsidRDefault="00706C8B" w:rsidP="005611FE">
      <w:pPr>
        <w:ind w:left="540"/>
        <w:jc w:val="thaiDistribute"/>
        <w:rPr>
          <w:rFonts w:ascii="Arial" w:hAnsi="Arial" w:cs="Arial"/>
          <w:color w:val="000000"/>
          <w:sz w:val="20"/>
          <w:szCs w:val="20"/>
        </w:rPr>
      </w:pPr>
    </w:p>
    <w:p w14:paraId="0CC4F55A" w14:textId="0249A38F" w:rsidR="000A489D" w:rsidRPr="002D2F67" w:rsidRDefault="00706C8B" w:rsidP="005611FE">
      <w:pPr>
        <w:ind w:left="540"/>
        <w:jc w:val="thaiDistribute"/>
        <w:rPr>
          <w:rFonts w:ascii="Arial" w:hAnsi="Arial" w:cs="Arial"/>
          <w:color w:val="000000"/>
          <w:sz w:val="20"/>
          <w:szCs w:val="20"/>
        </w:rPr>
      </w:pPr>
      <w:r w:rsidRPr="002D2F67">
        <w:rPr>
          <w:rFonts w:ascii="Arial" w:hAnsi="Arial" w:cs="Arial"/>
          <w:color w:val="000000"/>
          <w:sz w:val="20"/>
          <w:szCs w:val="20"/>
        </w:rPr>
        <w:br w:type="page"/>
      </w:r>
    </w:p>
    <w:tbl>
      <w:tblPr>
        <w:tblW w:w="8991" w:type="dxa"/>
        <w:tblInd w:w="567" w:type="dxa"/>
        <w:tblLayout w:type="fixed"/>
        <w:tblLook w:val="04A0" w:firstRow="1" w:lastRow="0" w:firstColumn="1" w:lastColumn="0" w:noHBand="0" w:noVBand="1"/>
      </w:tblPr>
      <w:tblGrid>
        <w:gridCol w:w="3231"/>
        <w:gridCol w:w="1152"/>
        <w:gridCol w:w="1152"/>
        <w:gridCol w:w="1152"/>
        <w:gridCol w:w="1152"/>
        <w:gridCol w:w="1152"/>
      </w:tblGrid>
      <w:tr w:rsidR="001D52AC" w:rsidRPr="002D2F67" w14:paraId="740E3E0C" w14:textId="77777777" w:rsidTr="00100E48">
        <w:trPr>
          <w:cantSplit/>
        </w:trPr>
        <w:tc>
          <w:tcPr>
            <w:tcW w:w="3231" w:type="dxa"/>
            <w:shd w:val="clear" w:color="auto" w:fill="auto"/>
            <w:vAlign w:val="bottom"/>
          </w:tcPr>
          <w:p w14:paraId="1B65A836" w14:textId="77777777" w:rsidR="001D52AC" w:rsidRPr="002D2F67" w:rsidRDefault="001D52AC" w:rsidP="005611FE">
            <w:pPr>
              <w:ind w:left="-31"/>
              <w:rPr>
                <w:rFonts w:ascii="Arial" w:hAnsi="Arial" w:cs="Arial"/>
                <w:b/>
                <w:bCs/>
                <w:color w:val="000000"/>
                <w:sz w:val="20"/>
                <w:szCs w:val="20"/>
              </w:rPr>
            </w:pPr>
          </w:p>
        </w:tc>
        <w:tc>
          <w:tcPr>
            <w:tcW w:w="5760" w:type="dxa"/>
            <w:gridSpan w:val="5"/>
            <w:tcBorders>
              <w:bottom w:val="single" w:sz="4" w:space="0" w:color="auto"/>
            </w:tcBorders>
            <w:shd w:val="clear" w:color="auto" w:fill="auto"/>
            <w:vAlign w:val="bottom"/>
          </w:tcPr>
          <w:p w14:paraId="25F2F0D7" w14:textId="77777777" w:rsidR="001D52AC" w:rsidRPr="002D2F67" w:rsidRDefault="001D52AC" w:rsidP="005611FE">
            <w:pPr>
              <w:ind w:right="-87"/>
              <w:jc w:val="right"/>
              <w:rPr>
                <w:rFonts w:ascii="Arial" w:hAnsi="Arial" w:cs="Arial"/>
                <w:b/>
                <w:bCs/>
                <w:color w:val="000000"/>
                <w:sz w:val="20"/>
                <w:szCs w:val="20"/>
              </w:rPr>
            </w:pPr>
            <w:r w:rsidRPr="002D2F67">
              <w:rPr>
                <w:rFonts w:ascii="Arial" w:hAnsi="Arial" w:cs="Arial"/>
                <w:b/>
                <w:bCs/>
                <w:color w:val="000000"/>
                <w:sz w:val="20"/>
                <w:szCs w:val="20"/>
              </w:rPr>
              <w:t>Consolidated financial statements</w:t>
            </w:r>
          </w:p>
        </w:tc>
      </w:tr>
      <w:tr w:rsidR="001D52AC" w:rsidRPr="002D2F67" w14:paraId="3E45F52D" w14:textId="77777777" w:rsidTr="00100E48">
        <w:trPr>
          <w:cantSplit/>
        </w:trPr>
        <w:tc>
          <w:tcPr>
            <w:tcW w:w="3231" w:type="dxa"/>
            <w:shd w:val="clear" w:color="auto" w:fill="auto"/>
            <w:vAlign w:val="bottom"/>
          </w:tcPr>
          <w:p w14:paraId="616F394F" w14:textId="77777777" w:rsidR="001D52AC" w:rsidRPr="002D2F67" w:rsidRDefault="001D52AC" w:rsidP="005611FE">
            <w:pPr>
              <w:ind w:left="-31"/>
              <w:rPr>
                <w:rFonts w:ascii="Arial" w:hAnsi="Arial" w:cs="Arial"/>
                <w:b/>
                <w:bCs/>
                <w:color w:val="000000"/>
                <w:sz w:val="20"/>
                <w:szCs w:val="20"/>
              </w:rPr>
            </w:pPr>
            <w:r w:rsidRPr="002D2F67">
              <w:rPr>
                <w:rFonts w:ascii="Arial" w:hAnsi="Arial" w:cs="Arial"/>
                <w:b/>
                <w:bCs/>
                <w:color w:val="000000"/>
                <w:sz w:val="20"/>
                <w:szCs w:val="20"/>
              </w:rPr>
              <w:t xml:space="preserve">Maturity of financial liabilities </w:t>
            </w:r>
          </w:p>
          <w:p w14:paraId="02F67BB9" w14:textId="471FCF12" w:rsidR="001D52AC" w:rsidRPr="002D2F67" w:rsidRDefault="001D52AC" w:rsidP="005611FE">
            <w:pPr>
              <w:ind w:left="-31"/>
              <w:rPr>
                <w:rFonts w:ascii="Arial" w:hAnsi="Arial" w:cs="Arial"/>
                <w:b/>
                <w:bCs/>
                <w:color w:val="000000"/>
                <w:sz w:val="20"/>
                <w:szCs w:val="20"/>
              </w:rPr>
            </w:pPr>
            <w:r w:rsidRPr="002D2F67">
              <w:rPr>
                <w:rFonts w:ascii="Arial" w:hAnsi="Arial" w:cs="Arial"/>
                <w:b/>
                <w:bCs/>
                <w:color w:val="000000"/>
                <w:sz w:val="20"/>
                <w:szCs w:val="20"/>
              </w:rPr>
              <w:t xml:space="preserve">   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 </w:t>
            </w:r>
            <w:r w:rsidR="00CD5714" w:rsidRPr="00CD5714">
              <w:rPr>
                <w:rFonts w:ascii="Arial" w:hAnsi="Arial" w:cs="Arial"/>
                <w:b/>
                <w:bCs/>
                <w:color w:val="000000"/>
                <w:sz w:val="20"/>
                <w:szCs w:val="20"/>
                <w:lang w:val="en-GB"/>
              </w:rPr>
              <w:t>2023</w:t>
            </w:r>
          </w:p>
        </w:tc>
        <w:tc>
          <w:tcPr>
            <w:tcW w:w="1152" w:type="dxa"/>
            <w:tcBorders>
              <w:top w:val="single" w:sz="4" w:space="0" w:color="auto"/>
              <w:bottom w:val="single" w:sz="4" w:space="0" w:color="auto"/>
            </w:tcBorders>
            <w:shd w:val="clear" w:color="auto" w:fill="auto"/>
            <w:vAlign w:val="bottom"/>
          </w:tcPr>
          <w:p w14:paraId="44F50A86" w14:textId="77777777" w:rsidR="001D52AC" w:rsidRPr="002D2F67" w:rsidRDefault="001D52AC"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Within </w:t>
            </w:r>
          </w:p>
          <w:p w14:paraId="07A197DE" w14:textId="0792FCB4" w:rsidR="001D52AC"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1</w:t>
            </w:r>
            <w:r w:rsidR="001D52AC" w:rsidRPr="002D2F67">
              <w:rPr>
                <w:rFonts w:ascii="Arial" w:hAnsi="Arial" w:cs="Arial"/>
                <w:b/>
                <w:bCs/>
                <w:color w:val="000000"/>
                <w:sz w:val="20"/>
                <w:szCs w:val="20"/>
              </w:rPr>
              <w:t xml:space="preserve"> year</w:t>
            </w:r>
          </w:p>
          <w:p w14:paraId="5D4BDA51" w14:textId="77777777" w:rsidR="001D52AC" w:rsidRPr="002D2F67" w:rsidRDefault="001D52AC" w:rsidP="005611FE">
            <w:pPr>
              <w:ind w:right="-72"/>
              <w:jc w:val="right"/>
              <w:rPr>
                <w:rFonts w:ascii="Arial" w:hAnsi="Arial" w:cs="Arial"/>
                <w:b/>
                <w:bCs/>
                <w:color w:val="000000"/>
                <w:sz w:val="20"/>
                <w:szCs w:val="20"/>
              </w:rPr>
            </w:pPr>
            <w:r w:rsidRPr="002D2F67">
              <w:rPr>
                <w:rFonts w:ascii="Arial" w:hAnsi="Arial" w:cs="Arial"/>
                <w:b/>
                <w:bCs/>
                <w:color w:val="000000"/>
                <w:sz w:val="20"/>
                <w:szCs w:val="20"/>
              </w:rPr>
              <w:t>Million Baht</w:t>
            </w:r>
          </w:p>
        </w:tc>
        <w:tc>
          <w:tcPr>
            <w:tcW w:w="1152" w:type="dxa"/>
            <w:tcBorders>
              <w:top w:val="single" w:sz="4" w:space="0" w:color="auto"/>
              <w:bottom w:val="single" w:sz="4" w:space="0" w:color="auto"/>
            </w:tcBorders>
            <w:shd w:val="clear" w:color="auto" w:fill="auto"/>
            <w:vAlign w:val="bottom"/>
          </w:tcPr>
          <w:p w14:paraId="420337E2" w14:textId="68714798" w:rsidR="001D52AC"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1</w:t>
            </w:r>
            <w:r w:rsidR="001D52AC" w:rsidRPr="002D2F67">
              <w:rPr>
                <w:rFonts w:ascii="Arial" w:hAnsi="Arial" w:cs="Arial"/>
                <w:b/>
                <w:bCs/>
                <w:color w:val="000000"/>
                <w:sz w:val="20"/>
                <w:szCs w:val="20"/>
              </w:rPr>
              <w:t>-</w:t>
            </w:r>
            <w:r w:rsidRPr="00CD5714">
              <w:rPr>
                <w:rFonts w:ascii="Arial" w:hAnsi="Arial" w:cs="Arial"/>
                <w:b/>
                <w:bCs/>
                <w:color w:val="000000"/>
                <w:sz w:val="20"/>
                <w:szCs w:val="20"/>
                <w:lang w:val="en-GB"/>
              </w:rPr>
              <w:t>5</w:t>
            </w:r>
            <w:r w:rsidR="001D52AC" w:rsidRPr="002D2F67">
              <w:rPr>
                <w:rFonts w:ascii="Arial" w:hAnsi="Arial" w:cs="Arial"/>
                <w:b/>
                <w:bCs/>
                <w:color w:val="000000"/>
                <w:sz w:val="20"/>
                <w:szCs w:val="20"/>
              </w:rPr>
              <w:t xml:space="preserve"> </w:t>
            </w:r>
          </w:p>
          <w:p w14:paraId="1083A681" w14:textId="77777777" w:rsidR="001D52AC" w:rsidRPr="002D2F67" w:rsidRDefault="001D52AC" w:rsidP="005611FE">
            <w:pPr>
              <w:ind w:right="-72"/>
              <w:jc w:val="right"/>
              <w:rPr>
                <w:rFonts w:ascii="Arial" w:hAnsi="Arial" w:cs="Arial"/>
                <w:b/>
                <w:bCs/>
                <w:color w:val="000000"/>
                <w:sz w:val="20"/>
                <w:szCs w:val="20"/>
              </w:rPr>
            </w:pPr>
            <w:r w:rsidRPr="002D2F67">
              <w:rPr>
                <w:rFonts w:ascii="Arial" w:hAnsi="Arial" w:cs="Arial"/>
                <w:b/>
                <w:bCs/>
                <w:color w:val="000000"/>
                <w:sz w:val="20"/>
                <w:szCs w:val="20"/>
              </w:rPr>
              <w:t>years</w:t>
            </w:r>
          </w:p>
          <w:p w14:paraId="25976EB1" w14:textId="77777777" w:rsidR="001D52AC" w:rsidRPr="002D2F67" w:rsidRDefault="001D52AC" w:rsidP="005611FE">
            <w:pPr>
              <w:ind w:right="-72"/>
              <w:jc w:val="right"/>
              <w:rPr>
                <w:rFonts w:ascii="Arial" w:hAnsi="Arial" w:cs="Arial"/>
                <w:b/>
                <w:bCs/>
                <w:color w:val="000000"/>
                <w:sz w:val="20"/>
                <w:szCs w:val="20"/>
              </w:rPr>
            </w:pPr>
            <w:r w:rsidRPr="002D2F67">
              <w:rPr>
                <w:rFonts w:ascii="Arial" w:hAnsi="Arial" w:cs="Arial"/>
                <w:b/>
                <w:bCs/>
                <w:color w:val="000000"/>
                <w:sz w:val="20"/>
                <w:szCs w:val="20"/>
              </w:rPr>
              <w:t>Million Baht</w:t>
            </w:r>
          </w:p>
        </w:tc>
        <w:tc>
          <w:tcPr>
            <w:tcW w:w="1152" w:type="dxa"/>
            <w:tcBorders>
              <w:top w:val="single" w:sz="4" w:space="0" w:color="auto"/>
              <w:bottom w:val="single" w:sz="4" w:space="0" w:color="auto"/>
            </w:tcBorders>
            <w:shd w:val="clear" w:color="auto" w:fill="auto"/>
            <w:vAlign w:val="bottom"/>
          </w:tcPr>
          <w:p w14:paraId="3D7E4F3F" w14:textId="77777777" w:rsidR="001D52AC" w:rsidRPr="002D2F67" w:rsidRDefault="001D52AC"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Over </w:t>
            </w:r>
          </w:p>
          <w:p w14:paraId="31B300A6" w14:textId="5E02B8F2" w:rsidR="001D52AC"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5</w:t>
            </w:r>
            <w:r w:rsidR="001D52AC" w:rsidRPr="002D2F67">
              <w:rPr>
                <w:rFonts w:ascii="Arial" w:hAnsi="Arial" w:cs="Arial"/>
                <w:b/>
                <w:bCs/>
                <w:color w:val="000000"/>
                <w:sz w:val="20"/>
                <w:szCs w:val="20"/>
              </w:rPr>
              <w:t xml:space="preserve"> years Million Baht</w:t>
            </w:r>
          </w:p>
        </w:tc>
        <w:tc>
          <w:tcPr>
            <w:tcW w:w="1152" w:type="dxa"/>
            <w:tcBorders>
              <w:top w:val="single" w:sz="4" w:space="0" w:color="auto"/>
              <w:bottom w:val="single" w:sz="4" w:space="0" w:color="auto"/>
            </w:tcBorders>
            <w:shd w:val="clear" w:color="auto" w:fill="auto"/>
            <w:vAlign w:val="bottom"/>
          </w:tcPr>
          <w:p w14:paraId="3B2CB533" w14:textId="77777777" w:rsidR="001D52AC" w:rsidRPr="002D2F67" w:rsidRDefault="001D52AC"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 </w:t>
            </w:r>
          </w:p>
          <w:p w14:paraId="3D3037A6" w14:textId="77777777" w:rsidR="001D52AC" w:rsidRPr="002D2F67" w:rsidRDefault="001D52AC" w:rsidP="005611FE">
            <w:pPr>
              <w:ind w:right="-72"/>
              <w:jc w:val="right"/>
              <w:rPr>
                <w:rFonts w:ascii="Arial" w:hAnsi="Arial" w:cs="Arial"/>
                <w:b/>
                <w:bCs/>
                <w:color w:val="000000"/>
                <w:sz w:val="20"/>
                <w:szCs w:val="20"/>
              </w:rPr>
            </w:pPr>
            <w:r w:rsidRPr="002D2F67">
              <w:rPr>
                <w:rFonts w:ascii="Arial" w:hAnsi="Arial" w:cs="Arial"/>
                <w:b/>
                <w:bCs/>
                <w:color w:val="000000"/>
                <w:sz w:val="20"/>
                <w:szCs w:val="20"/>
              </w:rPr>
              <w:t>Total</w:t>
            </w:r>
          </w:p>
          <w:p w14:paraId="7DD3B823" w14:textId="77777777" w:rsidR="001D52AC" w:rsidRPr="002D2F67" w:rsidRDefault="001D52AC" w:rsidP="005611FE">
            <w:pPr>
              <w:ind w:right="-72"/>
              <w:jc w:val="right"/>
              <w:rPr>
                <w:rFonts w:ascii="Arial" w:hAnsi="Arial" w:cs="Arial"/>
                <w:b/>
                <w:bCs/>
                <w:color w:val="000000"/>
                <w:sz w:val="20"/>
                <w:szCs w:val="20"/>
              </w:rPr>
            </w:pPr>
            <w:r w:rsidRPr="002D2F67">
              <w:rPr>
                <w:rFonts w:ascii="Arial" w:hAnsi="Arial" w:cs="Arial"/>
                <w:b/>
                <w:bCs/>
                <w:color w:val="000000"/>
                <w:sz w:val="20"/>
                <w:szCs w:val="20"/>
              </w:rPr>
              <w:t>Million Baht</w:t>
            </w:r>
          </w:p>
        </w:tc>
        <w:tc>
          <w:tcPr>
            <w:tcW w:w="1152" w:type="dxa"/>
            <w:tcBorders>
              <w:top w:val="single" w:sz="4" w:space="0" w:color="auto"/>
              <w:bottom w:val="single" w:sz="4" w:space="0" w:color="auto"/>
            </w:tcBorders>
            <w:shd w:val="clear" w:color="auto" w:fill="auto"/>
            <w:vAlign w:val="bottom"/>
          </w:tcPr>
          <w:p w14:paraId="3E4C18F1" w14:textId="77777777" w:rsidR="001D52AC" w:rsidRPr="002D2F67" w:rsidRDefault="001D52AC" w:rsidP="005611FE">
            <w:pPr>
              <w:ind w:right="-72"/>
              <w:jc w:val="right"/>
              <w:rPr>
                <w:rFonts w:ascii="Arial" w:hAnsi="Arial" w:cs="Arial"/>
                <w:b/>
                <w:bCs/>
                <w:color w:val="000000"/>
                <w:sz w:val="20"/>
                <w:szCs w:val="20"/>
              </w:rPr>
            </w:pPr>
            <w:r w:rsidRPr="002D2F67">
              <w:rPr>
                <w:rFonts w:ascii="Arial" w:hAnsi="Arial" w:cs="Arial"/>
                <w:b/>
                <w:bCs/>
                <w:color w:val="000000"/>
                <w:sz w:val="20"/>
                <w:szCs w:val="20"/>
              </w:rPr>
              <w:t>Carrying amount</w:t>
            </w:r>
          </w:p>
          <w:p w14:paraId="0865A3B4" w14:textId="77777777" w:rsidR="001D52AC" w:rsidRPr="002D2F67" w:rsidRDefault="001D52AC" w:rsidP="005611FE">
            <w:pPr>
              <w:ind w:right="-72"/>
              <w:jc w:val="right"/>
              <w:rPr>
                <w:rFonts w:ascii="Arial" w:hAnsi="Arial" w:cs="Arial"/>
                <w:b/>
                <w:bCs/>
                <w:color w:val="000000"/>
                <w:sz w:val="20"/>
                <w:szCs w:val="20"/>
              </w:rPr>
            </w:pPr>
            <w:r w:rsidRPr="002D2F67">
              <w:rPr>
                <w:rFonts w:ascii="Arial" w:hAnsi="Arial" w:cs="Arial"/>
                <w:b/>
                <w:bCs/>
                <w:color w:val="000000"/>
                <w:sz w:val="20"/>
                <w:szCs w:val="20"/>
              </w:rPr>
              <w:t>Million Baht</w:t>
            </w:r>
          </w:p>
        </w:tc>
      </w:tr>
      <w:tr w:rsidR="001D52AC" w:rsidRPr="002D2F67" w14:paraId="3F2269DB" w14:textId="77777777" w:rsidTr="00100E48">
        <w:trPr>
          <w:cantSplit/>
        </w:trPr>
        <w:tc>
          <w:tcPr>
            <w:tcW w:w="3231" w:type="dxa"/>
            <w:shd w:val="clear" w:color="auto" w:fill="auto"/>
            <w:vAlign w:val="bottom"/>
          </w:tcPr>
          <w:p w14:paraId="1CDB8F73" w14:textId="77777777" w:rsidR="001D52AC" w:rsidRPr="002D2F67" w:rsidRDefault="001D52AC" w:rsidP="005611FE">
            <w:pPr>
              <w:ind w:left="-31"/>
              <w:rPr>
                <w:rFonts w:ascii="Arial" w:hAnsi="Arial" w:cs="Arial"/>
                <w:color w:val="000000"/>
                <w:sz w:val="8"/>
                <w:szCs w:val="8"/>
              </w:rPr>
            </w:pPr>
          </w:p>
        </w:tc>
        <w:tc>
          <w:tcPr>
            <w:tcW w:w="1152" w:type="dxa"/>
            <w:tcBorders>
              <w:top w:val="single" w:sz="4" w:space="0" w:color="auto"/>
            </w:tcBorders>
            <w:shd w:val="clear" w:color="auto" w:fill="auto"/>
            <w:vAlign w:val="bottom"/>
          </w:tcPr>
          <w:p w14:paraId="2E1AE8EC" w14:textId="77777777" w:rsidR="001D52AC" w:rsidRPr="002D2F67" w:rsidRDefault="001D52AC" w:rsidP="005611FE">
            <w:pPr>
              <w:ind w:right="-72"/>
              <w:jc w:val="right"/>
              <w:rPr>
                <w:rFonts w:ascii="Arial" w:hAnsi="Arial" w:cs="Arial"/>
                <w:color w:val="000000"/>
                <w:sz w:val="8"/>
                <w:szCs w:val="8"/>
              </w:rPr>
            </w:pPr>
          </w:p>
        </w:tc>
        <w:tc>
          <w:tcPr>
            <w:tcW w:w="1152" w:type="dxa"/>
            <w:tcBorders>
              <w:top w:val="single" w:sz="4" w:space="0" w:color="auto"/>
            </w:tcBorders>
            <w:shd w:val="clear" w:color="auto" w:fill="auto"/>
            <w:vAlign w:val="bottom"/>
          </w:tcPr>
          <w:p w14:paraId="59667DC6" w14:textId="77777777" w:rsidR="001D52AC" w:rsidRPr="002D2F67" w:rsidRDefault="001D52AC" w:rsidP="005611FE">
            <w:pPr>
              <w:ind w:right="-72"/>
              <w:jc w:val="right"/>
              <w:rPr>
                <w:rFonts w:ascii="Arial" w:hAnsi="Arial" w:cs="Arial"/>
                <w:color w:val="000000"/>
                <w:sz w:val="8"/>
                <w:szCs w:val="8"/>
              </w:rPr>
            </w:pPr>
          </w:p>
        </w:tc>
        <w:tc>
          <w:tcPr>
            <w:tcW w:w="1152" w:type="dxa"/>
            <w:tcBorders>
              <w:top w:val="single" w:sz="4" w:space="0" w:color="auto"/>
            </w:tcBorders>
            <w:shd w:val="clear" w:color="auto" w:fill="auto"/>
            <w:vAlign w:val="bottom"/>
          </w:tcPr>
          <w:p w14:paraId="4BF3FF2D" w14:textId="77777777" w:rsidR="001D52AC" w:rsidRPr="002D2F67" w:rsidRDefault="001D52AC" w:rsidP="005611FE">
            <w:pPr>
              <w:ind w:right="-72"/>
              <w:jc w:val="right"/>
              <w:rPr>
                <w:rFonts w:ascii="Arial" w:hAnsi="Arial" w:cs="Arial"/>
                <w:color w:val="000000"/>
                <w:sz w:val="8"/>
                <w:szCs w:val="8"/>
              </w:rPr>
            </w:pPr>
          </w:p>
        </w:tc>
        <w:tc>
          <w:tcPr>
            <w:tcW w:w="1152" w:type="dxa"/>
            <w:tcBorders>
              <w:top w:val="single" w:sz="4" w:space="0" w:color="auto"/>
            </w:tcBorders>
            <w:shd w:val="clear" w:color="auto" w:fill="auto"/>
            <w:vAlign w:val="bottom"/>
          </w:tcPr>
          <w:p w14:paraId="6A9150EA" w14:textId="77777777" w:rsidR="001D52AC" w:rsidRPr="002D2F67" w:rsidRDefault="001D52AC" w:rsidP="005611FE">
            <w:pPr>
              <w:ind w:right="-72"/>
              <w:jc w:val="right"/>
              <w:rPr>
                <w:rFonts w:ascii="Arial" w:hAnsi="Arial" w:cs="Arial"/>
                <w:color w:val="000000"/>
                <w:sz w:val="8"/>
                <w:szCs w:val="8"/>
              </w:rPr>
            </w:pPr>
          </w:p>
        </w:tc>
        <w:tc>
          <w:tcPr>
            <w:tcW w:w="1152" w:type="dxa"/>
            <w:tcBorders>
              <w:top w:val="single" w:sz="4" w:space="0" w:color="auto"/>
            </w:tcBorders>
            <w:shd w:val="clear" w:color="auto" w:fill="auto"/>
            <w:vAlign w:val="bottom"/>
          </w:tcPr>
          <w:p w14:paraId="63DA0C9A" w14:textId="77777777" w:rsidR="001D52AC" w:rsidRPr="002D2F67" w:rsidRDefault="001D52AC" w:rsidP="005611FE">
            <w:pPr>
              <w:ind w:right="-72"/>
              <w:jc w:val="right"/>
              <w:rPr>
                <w:rFonts w:ascii="Arial" w:hAnsi="Arial" w:cs="Arial"/>
                <w:color w:val="000000"/>
                <w:sz w:val="8"/>
                <w:szCs w:val="8"/>
              </w:rPr>
            </w:pPr>
          </w:p>
        </w:tc>
      </w:tr>
      <w:tr w:rsidR="001D52AC" w:rsidRPr="002D2F67" w14:paraId="303A6873" w14:textId="77777777" w:rsidTr="00100E48">
        <w:trPr>
          <w:cantSplit/>
        </w:trPr>
        <w:tc>
          <w:tcPr>
            <w:tcW w:w="3231" w:type="dxa"/>
            <w:shd w:val="clear" w:color="auto" w:fill="auto"/>
            <w:vAlign w:val="bottom"/>
          </w:tcPr>
          <w:p w14:paraId="2643BE57" w14:textId="77777777" w:rsidR="001D52AC" w:rsidRPr="002D2F67" w:rsidRDefault="001D52AC" w:rsidP="005611FE">
            <w:pPr>
              <w:ind w:left="-31"/>
              <w:rPr>
                <w:rFonts w:ascii="Arial" w:hAnsi="Arial" w:cs="Arial"/>
                <w:b/>
                <w:bCs/>
                <w:color w:val="000000"/>
                <w:sz w:val="20"/>
                <w:szCs w:val="20"/>
              </w:rPr>
            </w:pPr>
            <w:r w:rsidRPr="002D2F67">
              <w:rPr>
                <w:rFonts w:ascii="Arial" w:hAnsi="Arial" w:cs="Arial"/>
                <w:b/>
                <w:bCs/>
                <w:color w:val="000000"/>
                <w:sz w:val="20"/>
                <w:szCs w:val="20"/>
              </w:rPr>
              <w:t>Non-derivatives</w:t>
            </w:r>
          </w:p>
        </w:tc>
        <w:tc>
          <w:tcPr>
            <w:tcW w:w="1152" w:type="dxa"/>
            <w:shd w:val="clear" w:color="auto" w:fill="auto"/>
            <w:vAlign w:val="bottom"/>
          </w:tcPr>
          <w:p w14:paraId="0FE9E9E6" w14:textId="77777777" w:rsidR="001D52AC" w:rsidRPr="002D2F67" w:rsidRDefault="001D52AC" w:rsidP="005611FE">
            <w:pPr>
              <w:ind w:right="-72"/>
              <w:jc w:val="right"/>
              <w:rPr>
                <w:rFonts w:ascii="Arial" w:hAnsi="Arial" w:cs="Arial"/>
                <w:color w:val="000000"/>
                <w:sz w:val="20"/>
                <w:szCs w:val="20"/>
              </w:rPr>
            </w:pPr>
          </w:p>
        </w:tc>
        <w:tc>
          <w:tcPr>
            <w:tcW w:w="1152" w:type="dxa"/>
            <w:shd w:val="clear" w:color="auto" w:fill="auto"/>
            <w:vAlign w:val="bottom"/>
          </w:tcPr>
          <w:p w14:paraId="1BBECB50" w14:textId="77777777" w:rsidR="001D52AC" w:rsidRPr="002D2F67" w:rsidRDefault="001D52AC" w:rsidP="005611FE">
            <w:pPr>
              <w:ind w:right="-72"/>
              <w:jc w:val="right"/>
              <w:rPr>
                <w:rFonts w:ascii="Arial" w:hAnsi="Arial" w:cs="Arial"/>
                <w:color w:val="000000"/>
                <w:sz w:val="20"/>
                <w:szCs w:val="20"/>
              </w:rPr>
            </w:pPr>
          </w:p>
        </w:tc>
        <w:tc>
          <w:tcPr>
            <w:tcW w:w="1152" w:type="dxa"/>
            <w:shd w:val="clear" w:color="auto" w:fill="auto"/>
            <w:vAlign w:val="bottom"/>
          </w:tcPr>
          <w:p w14:paraId="018A7CBB" w14:textId="77777777" w:rsidR="001D52AC" w:rsidRPr="002D2F67" w:rsidRDefault="001D52AC" w:rsidP="005611FE">
            <w:pPr>
              <w:ind w:right="-72"/>
              <w:jc w:val="right"/>
              <w:rPr>
                <w:rFonts w:ascii="Arial" w:hAnsi="Arial" w:cs="Arial"/>
                <w:color w:val="000000"/>
                <w:sz w:val="20"/>
                <w:szCs w:val="20"/>
              </w:rPr>
            </w:pPr>
          </w:p>
        </w:tc>
        <w:tc>
          <w:tcPr>
            <w:tcW w:w="1152" w:type="dxa"/>
            <w:shd w:val="clear" w:color="auto" w:fill="auto"/>
            <w:vAlign w:val="bottom"/>
          </w:tcPr>
          <w:p w14:paraId="38DFBC0B" w14:textId="77777777" w:rsidR="001D52AC" w:rsidRPr="002D2F67" w:rsidRDefault="001D52AC" w:rsidP="005611FE">
            <w:pPr>
              <w:ind w:right="-72"/>
              <w:jc w:val="right"/>
              <w:rPr>
                <w:rFonts w:ascii="Arial" w:hAnsi="Arial" w:cs="Arial"/>
                <w:color w:val="000000"/>
                <w:sz w:val="20"/>
                <w:szCs w:val="20"/>
              </w:rPr>
            </w:pPr>
          </w:p>
        </w:tc>
        <w:tc>
          <w:tcPr>
            <w:tcW w:w="1152" w:type="dxa"/>
            <w:shd w:val="clear" w:color="auto" w:fill="auto"/>
            <w:vAlign w:val="bottom"/>
          </w:tcPr>
          <w:p w14:paraId="7A3DCEFB" w14:textId="77777777" w:rsidR="001D52AC" w:rsidRPr="002D2F67" w:rsidRDefault="001D52AC" w:rsidP="005611FE">
            <w:pPr>
              <w:ind w:right="-72"/>
              <w:jc w:val="right"/>
              <w:rPr>
                <w:rFonts w:ascii="Arial" w:hAnsi="Arial" w:cs="Arial"/>
                <w:color w:val="000000"/>
                <w:sz w:val="20"/>
                <w:szCs w:val="20"/>
              </w:rPr>
            </w:pPr>
          </w:p>
        </w:tc>
      </w:tr>
      <w:tr w:rsidR="001D52AC" w:rsidRPr="002D2F67" w14:paraId="1B49537F" w14:textId="77777777" w:rsidTr="00100E48">
        <w:trPr>
          <w:cantSplit/>
        </w:trPr>
        <w:tc>
          <w:tcPr>
            <w:tcW w:w="3231" w:type="dxa"/>
            <w:shd w:val="clear" w:color="auto" w:fill="auto"/>
            <w:vAlign w:val="bottom"/>
          </w:tcPr>
          <w:p w14:paraId="4BC5C198" w14:textId="77777777" w:rsidR="001D52AC" w:rsidRPr="002D2F67" w:rsidRDefault="001D52AC" w:rsidP="005611FE">
            <w:pPr>
              <w:ind w:left="-31"/>
              <w:rPr>
                <w:rFonts w:ascii="Arial" w:hAnsi="Arial" w:cs="Arial"/>
                <w:color w:val="000000"/>
                <w:sz w:val="20"/>
                <w:szCs w:val="20"/>
              </w:rPr>
            </w:pPr>
            <w:r w:rsidRPr="002D2F67">
              <w:rPr>
                <w:rFonts w:ascii="Arial" w:hAnsi="Arial" w:cs="Arial"/>
                <w:color w:val="000000"/>
                <w:sz w:val="20"/>
                <w:szCs w:val="20"/>
              </w:rPr>
              <w:t>Short-term loans from</w:t>
            </w:r>
          </w:p>
          <w:p w14:paraId="7CA0B86F" w14:textId="77777777" w:rsidR="001D52AC" w:rsidRPr="002D2F67" w:rsidRDefault="001D52AC" w:rsidP="005611FE">
            <w:pPr>
              <w:ind w:left="-31"/>
              <w:rPr>
                <w:rFonts w:ascii="Arial" w:hAnsi="Arial" w:cs="Arial"/>
                <w:color w:val="000000"/>
                <w:sz w:val="20"/>
                <w:szCs w:val="20"/>
              </w:rPr>
            </w:pPr>
            <w:r w:rsidRPr="002D2F67">
              <w:rPr>
                <w:rFonts w:ascii="Arial" w:hAnsi="Arial" w:cs="Arial"/>
                <w:color w:val="000000"/>
                <w:sz w:val="20"/>
                <w:szCs w:val="20"/>
              </w:rPr>
              <w:t xml:space="preserve">   financial institutions</w:t>
            </w:r>
          </w:p>
        </w:tc>
        <w:tc>
          <w:tcPr>
            <w:tcW w:w="1152" w:type="dxa"/>
            <w:shd w:val="clear" w:color="auto" w:fill="auto"/>
            <w:vAlign w:val="bottom"/>
          </w:tcPr>
          <w:p w14:paraId="3CD080D2" w14:textId="34418CF2" w:rsidR="001D52AC"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8</w:t>
            </w:r>
            <w:r w:rsidR="001D52AC" w:rsidRPr="002D2F67">
              <w:rPr>
                <w:rFonts w:ascii="Arial" w:hAnsi="Arial" w:cs="Arial"/>
                <w:color w:val="000000"/>
                <w:sz w:val="20"/>
                <w:szCs w:val="20"/>
              </w:rPr>
              <w:t>,</w:t>
            </w:r>
            <w:r w:rsidRPr="00CD5714">
              <w:rPr>
                <w:rFonts w:ascii="Arial" w:hAnsi="Arial" w:cs="Arial"/>
                <w:color w:val="000000"/>
                <w:sz w:val="20"/>
                <w:szCs w:val="20"/>
                <w:lang w:val="en-GB"/>
              </w:rPr>
              <w:t>292</w:t>
            </w:r>
          </w:p>
        </w:tc>
        <w:tc>
          <w:tcPr>
            <w:tcW w:w="1152" w:type="dxa"/>
            <w:shd w:val="clear" w:color="auto" w:fill="auto"/>
            <w:vAlign w:val="bottom"/>
          </w:tcPr>
          <w:p w14:paraId="25EAD3EE" w14:textId="22005243" w:rsidR="001D52AC" w:rsidRPr="002D2F67" w:rsidRDefault="001D52AC"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152" w:type="dxa"/>
            <w:shd w:val="clear" w:color="auto" w:fill="auto"/>
            <w:vAlign w:val="bottom"/>
          </w:tcPr>
          <w:p w14:paraId="3CD10A8F" w14:textId="7493F18E" w:rsidR="001D52AC" w:rsidRPr="002D2F67" w:rsidRDefault="001D52AC" w:rsidP="005611FE">
            <w:pPr>
              <w:ind w:right="-72"/>
              <w:jc w:val="right"/>
              <w:rPr>
                <w:rFonts w:ascii="Arial" w:hAnsi="Arial" w:cs="Arial"/>
                <w:color w:val="000000"/>
                <w:sz w:val="20"/>
                <w:szCs w:val="22"/>
              </w:rPr>
            </w:pPr>
            <w:r w:rsidRPr="002D2F67">
              <w:rPr>
                <w:rFonts w:ascii="Arial" w:hAnsi="Arial" w:cs="Arial"/>
                <w:color w:val="000000"/>
                <w:sz w:val="20"/>
                <w:szCs w:val="20"/>
              </w:rPr>
              <w:t>-</w:t>
            </w:r>
          </w:p>
        </w:tc>
        <w:tc>
          <w:tcPr>
            <w:tcW w:w="1152" w:type="dxa"/>
            <w:shd w:val="clear" w:color="auto" w:fill="auto"/>
            <w:vAlign w:val="bottom"/>
          </w:tcPr>
          <w:p w14:paraId="3A8ED329" w14:textId="2616B34E" w:rsidR="001D52AC" w:rsidRPr="002D2F67" w:rsidRDefault="00CD5714" w:rsidP="005611FE">
            <w:pPr>
              <w:ind w:right="-72"/>
              <w:jc w:val="right"/>
              <w:rPr>
                <w:rFonts w:ascii="Arial" w:hAnsi="Arial" w:cs="Arial"/>
                <w:color w:val="000000"/>
                <w:sz w:val="20"/>
                <w:szCs w:val="22"/>
              </w:rPr>
            </w:pPr>
            <w:r w:rsidRPr="00CD5714">
              <w:rPr>
                <w:rFonts w:ascii="Arial" w:hAnsi="Arial" w:cs="Arial"/>
                <w:color w:val="000000"/>
                <w:sz w:val="20"/>
                <w:szCs w:val="20"/>
                <w:lang w:val="en-GB"/>
              </w:rPr>
              <w:t>8</w:t>
            </w:r>
            <w:r w:rsidR="001D52AC" w:rsidRPr="002D2F67">
              <w:rPr>
                <w:rFonts w:ascii="Arial" w:hAnsi="Arial" w:cs="Arial"/>
                <w:color w:val="000000"/>
                <w:sz w:val="20"/>
                <w:szCs w:val="20"/>
              </w:rPr>
              <w:t>,</w:t>
            </w:r>
            <w:r w:rsidRPr="00CD5714">
              <w:rPr>
                <w:rFonts w:ascii="Arial" w:hAnsi="Arial" w:cs="Arial"/>
                <w:color w:val="000000"/>
                <w:sz w:val="20"/>
                <w:szCs w:val="20"/>
                <w:lang w:val="en-GB"/>
              </w:rPr>
              <w:t>292</w:t>
            </w:r>
          </w:p>
        </w:tc>
        <w:tc>
          <w:tcPr>
            <w:tcW w:w="1152" w:type="dxa"/>
            <w:shd w:val="clear" w:color="auto" w:fill="auto"/>
            <w:vAlign w:val="bottom"/>
          </w:tcPr>
          <w:p w14:paraId="1447A31D" w14:textId="4B1AA38F" w:rsidR="001D52AC"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8</w:t>
            </w:r>
            <w:r w:rsidR="001D52AC" w:rsidRPr="002D2F67">
              <w:rPr>
                <w:rFonts w:ascii="Arial" w:hAnsi="Arial" w:cs="Arial"/>
                <w:color w:val="000000"/>
                <w:sz w:val="20"/>
                <w:szCs w:val="20"/>
              </w:rPr>
              <w:t>,</w:t>
            </w:r>
            <w:r w:rsidRPr="00CD5714">
              <w:rPr>
                <w:rFonts w:ascii="Arial" w:hAnsi="Arial" w:cs="Arial"/>
                <w:color w:val="000000"/>
                <w:sz w:val="20"/>
                <w:szCs w:val="20"/>
                <w:lang w:val="en-GB"/>
              </w:rPr>
              <w:t>292</w:t>
            </w:r>
          </w:p>
        </w:tc>
      </w:tr>
      <w:tr w:rsidR="001D52AC" w:rsidRPr="002D2F67" w14:paraId="008BCCB5" w14:textId="77777777" w:rsidTr="00100E48">
        <w:trPr>
          <w:cantSplit/>
        </w:trPr>
        <w:tc>
          <w:tcPr>
            <w:tcW w:w="3231" w:type="dxa"/>
            <w:shd w:val="clear" w:color="auto" w:fill="auto"/>
            <w:vAlign w:val="bottom"/>
          </w:tcPr>
          <w:p w14:paraId="6714FF4F" w14:textId="77777777" w:rsidR="001D52AC" w:rsidRPr="002D2F67" w:rsidRDefault="001D52AC" w:rsidP="005611FE">
            <w:pPr>
              <w:ind w:left="-31"/>
              <w:rPr>
                <w:rFonts w:ascii="Arial" w:hAnsi="Arial" w:cs="Arial"/>
                <w:color w:val="000000"/>
                <w:sz w:val="20"/>
                <w:szCs w:val="20"/>
              </w:rPr>
            </w:pPr>
            <w:r w:rsidRPr="002D2F67">
              <w:rPr>
                <w:rFonts w:ascii="Arial" w:hAnsi="Arial" w:cs="Arial"/>
                <w:color w:val="000000"/>
                <w:sz w:val="20"/>
                <w:szCs w:val="20"/>
              </w:rPr>
              <w:t xml:space="preserve">Short-term loans from </w:t>
            </w:r>
          </w:p>
          <w:p w14:paraId="2B93612D" w14:textId="77777777" w:rsidR="001D52AC" w:rsidRPr="002D2F67" w:rsidRDefault="001D52AC" w:rsidP="005611FE">
            <w:pPr>
              <w:ind w:left="-31"/>
              <w:rPr>
                <w:rFonts w:ascii="Arial" w:hAnsi="Arial" w:cs="Arial"/>
                <w:color w:val="000000"/>
                <w:sz w:val="20"/>
                <w:szCs w:val="20"/>
              </w:rPr>
            </w:pPr>
            <w:r w:rsidRPr="002D2F67">
              <w:rPr>
                <w:rFonts w:ascii="Arial" w:hAnsi="Arial" w:cs="Arial"/>
                <w:color w:val="000000"/>
                <w:sz w:val="20"/>
                <w:szCs w:val="20"/>
              </w:rPr>
              <w:t xml:space="preserve">   other parties and related parties</w:t>
            </w:r>
          </w:p>
        </w:tc>
        <w:tc>
          <w:tcPr>
            <w:tcW w:w="1152" w:type="dxa"/>
            <w:shd w:val="clear" w:color="auto" w:fill="auto"/>
            <w:vAlign w:val="bottom"/>
          </w:tcPr>
          <w:p w14:paraId="5003CF44" w14:textId="619CEF86" w:rsidR="001D52AC"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435</w:t>
            </w:r>
          </w:p>
        </w:tc>
        <w:tc>
          <w:tcPr>
            <w:tcW w:w="1152" w:type="dxa"/>
            <w:shd w:val="clear" w:color="auto" w:fill="auto"/>
            <w:vAlign w:val="bottom"/>
          </w:tcPr>
          <w:p w14:paraId="3D334E54" w14:textId="09711611" w:rsidR="001D52AC" w:rsidRPr="002D2F67" w:rsidRDefault="001D52AC"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152" w:type="dxa"/>
            <w:shd w:val="clear" w:color="auto" w:fill="auto"/>
            <w:vAlign w:val="bottom"/>
          </w:tcPr>
          <w:p w14:paraId="7450B232" w14:textId="021AF7FA" w:rsidR="001D52AC" w:rsidRPr="002D2F67" w:rsidRDefault="001D52AC"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152" w:type="dxa"/>
            <w:shd w:val="clear" w:color="auto" w:fill="auto"/>
            <w:vAlign w:val="bottom"/>
          </w:tcPr>
          <w:p w14:paraId="56D12585" w14:textId="2CE1C84C" w:rsidR="001D52AC"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435</w:t>
            </w:r>
          </w:p>
        </w:tc>
        <w:tc>
          <w:tcPr>
            <w:tcW w:w="1152" w:type="dxa"/>
            <w:shd w:val="clear" w:color="auto" w:fill="auto"/>
            <w:vAlign w:val="bottom"/>
          </w:tcPr>
          <w:p w14:paraId="309934D0" w14:textId="30C30BA4" w:rsidR="001D52AC"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435</w:t>
            </w:r>
          </w:p>
        </w:tc>
      </w:tr>
      <w:tr w:rsidR="00601F48" w:rsidRPr="002D2F67" w14:paraId="58B29D59" w14:textId="77777777" w:rsidTr="00100E48">
        <w:trPr>
          <w:cantSplit/>
        </w:trPr>
        <w:tc>
          <w:tcPr>
            <w:tcW w:w="3231" w:type="dxa"/>
            <w:shd w:val="clear" w:color="auto" w:fill="auto"/>
            <w:vAlign w:val="bottom"/>
          </w:tcPr>
          <w:p w14:paraId="3A806D9F" w14:textId="29F7AAAA" w:rsidR="00601F48" w:rsidRPr="002D2F67" w:rsidRDefault="00601F48" w:rsidP="00601F48">
            <w:pPr>
              <w:ind w:left="147" w:hanging="178"/>
              <w:rPr>
                <w:rFonts w:ascii="Arial" w:hAnsi="Arial" w:cs="Arial"/>
                <w:color w:val="000000"/>
                <w:sz w:val="20"/>
                <w:szCs w:val="20"/>
              </w:rPr>
            </w:pPr>
            <w:r w:rsidRPr="002D2F67">
              <w:rPr>
                <w:rFonts w:ascii="Arial" w:hAnsi="Arial" w:cs="Arial"/>
                <w:color w:val="000000"/>
                <w:spacing w:val="-2"/>
                <w:sz w:val="20"/>
                <w:szCs w:val="20"/>
              </w:rPr>
              <w:t xml:space="preserve">Trade and other current </w:t>
            </w:r>
            <w:r w:rsidRPr="002D2F67">
              <w:rPr>
                <w:rFonts w:ascii="Arial" w:hAnsi="Arial" w:cs="Arial"/>
                <w:color w:val="000000"/>
                <w:sz w:val="20"/>
                <w:szCs w:val="20"/>
              </w:rPr>
              <w:t>accounts payable and construction payables and payables of purchase of assets</w:t>
            </w:r>
          </w:p>
        </w:tc>
        <w:tc>
          <w:tcPr>
            <w:tcW w:w="1152" w:type="dxa"/>
            <w:shd w:val="clear" w:color="auto" w:fill="auto"/>
            <w:vAlign w:val="bottom"/>
          </w:tcPr>
          <w:p w14:paraId="6BFA5074" w14:textId="4C69DD0E" w:rsidR="00601F48" w:rsidRPr="002D2F67" w:rsidRDefault="00CD5714" w:rsidP="00601F48">
            <w:pPr>
              <w:ind w:right="-72"/>
              <w:jc w:val="right"/>
              <w:rPr>
                <w:rFonts w:ascii="Arial" w:hAnsi="Arial" w:cs="Arial"/>
                <w:color w:val="000000"/>
                <w:sz w:val="20"/>
                <w:szCs w:val="20"/>
              </w:rPr>
            </w:pPr>
            <w:r w:rsidRPr="00CD5714">
              <w:rPr>
                <w:rFonts w:ascii="Arial" w:hAnsi="Arial" w:cs="Arial"/>
                <w:color w:val="000000"/>
                <w:sz w:val="20"/>
                <w:szCs w:val="22"/>
                <w:lang w:val="en-GB"/>
              </w:rPr>
              <w:t>2</w:t>
            </w:r>
            <w:r w:rsidR="00601F48" w:rsidRPr="002D2F67">
              <w:rPr>
                <w:rFonts w:ascii="Arial" w:hAnsi="Arial" w:cs="Arial"/>
                <w:color w:val="000000"/>
                <w:sz w:val="20"/>
                <w:szCs w:val="22"/>
              </w:rPr>
              <w:t>,</w:t>
            </w:r>
            <w:r w:rsidRPr="00CD5714">
              <w:rPr>
                <w:rFonts w:ascii="Arial" w:hAnsi="Arial" w:cs="Arial"/>
                <w:color w:val="000000"/>
                <w:sz w:val="20"/>
                <w:szCs w:val="22"/>
                <w:lang w:val="en-GB"/>
              </w:rPr>
              <w:t>934</w:t>
            </w:r>
          </w:p>
        </w:tc>
        <w:tc>
          <w:tcPr>
            <w:tcW w:w="1152" w:type="dxa"/>
            <w:shd w:val="clear" w:color="auto" w:fill="auto"/>
            <w:vAlign w:val="bottom"/>
          </w:tcPr>
          <w:p w14:paraId="7CED52A5" w14:textId="50A68AA1" w:rsidR="00601F48" w:rsidRPr="002D2F67" w:rsidRDefault="00601F48" w:rsidP="00601F48">
            <w:pPr>
              <w:ind w:right="-72"/>
              <w:jc w:val="right"/>
              <w:rPr>
                <w:rFonts w:ascii="Arial" w:hAnsi="Arial" w:cs="Arial"/>
                <w:color w:val="000000"/>
                <w:sz w:val="20"/>
                <w:szCs w:val="20"/>
              </w:rPr>
            </w:pPr>
            <w:r w:rsidRPr="002D2F67">
              <w:rPr>
                <w:rFonts w:ascii="Arial" w:hAnsi="Arial" w:cs="Arial"/>
                <w:color w:val="000000"/>
                <w:sz w:val="20"/>
                <w:szCs w:val="20"/>
              </w:rPr>
              <w:t>-</w:t>
            </w:r>
          </w:p>
        </w:tc>
        <w:tc>
          <w:tcPr>
            <w:tcW w:w="1152" w:type="dxa"/>
            <w:shd w:val="clear" w:color="auto" w:fill="auto"/>
            <w:vAlign w:val="bottom"/>
          </w:tcPr>
          <w:p w14:paraId="37888259" w14:textId="30937C56" w:rsidR="00601F48" w:rsidRPr="002D2F67" w:rsidRDefault="00601F48" w:rsidP="00601F48">
            <w:pPr>
              <w:ind w:right="-72"/>
              <w:jc w:val="right"/>
              <w:rPr>
                <w:rFonts w:ascii="Arial" w:hAnsi="Arial" w:cs="Arial"/>
                <w:color w:val="000000"/>
                <w:sz w:val="20"/>
                <w:szCs w:val="20"/>
              </w:rPr>
            </w:pPr>
            <w:r w:rsidRPr="002D2F67">
              <w:rPr>
                <w:rFonts w:ascii="Arial" w:hAnsi="Arial" w:cs="Arial"/>
                <w:color w:val="000000"/>
                <w:sz w:val="20"/>
                <w:szCs w:val="20"/>
              </w:rPr>
              <w:t>-</w:t>
            </w:r>
          </w:p>
        </w:tc>
        <w:tc>
          <w:tcPr>
            <w:tcW w:w="1152" w:type="dxa"/>
            <w:shd w:val="clear" w:color="auto" w:fill="auto"/>
            <w:vAlign w:val="bottom"/>
          </w:tcPr>
          <w:p w14:paraId="0AFD544C" w14:textId="31C0858C" w:rsidR="00601F48" w:rsidRPr="002D2F67" w:rsidRDefault="00CD5714" w:rsidP="00601F48">
            <w:pPr>
              <w:ind w:right="-72"/>
              <w:jc w:val="right"/>
              <w:rPr>
                <w:rFonts w:ascii="Arial" w:hAnsi="Arial" w:cs="Arial"/>
                <w:color w:val="000000"/>
                <w:sz w:val="20"/>
                <w:szCs w:val="20"/>
              </w:rPr>
            </w:pPr>
            <w:r w:rsidRPr="00CD5714">
              <w:rPr>
                <w:rFonts w:ascii="Arial" w:hAnsi="Arial" w:cs="Arial"/>
                <w:color w:val="000000"/>
                <w:sz w:val="20"/>
                <w:szCs w:val="20"/>
                <w:lang w:val="en-GB"/>
              </w:rPr>
              <w:t>2</w:t>
            </w:r>
            <w:r w:rsidR="00601F48" w:rsidRPr="002D2F67">
              <w:rPr>
                <w:rFonts w:ascii="Arial" w:hAnsi="Arial" w:cs="Arial"/>
                <w:color w:val="000000"/>
                <w:sz w:val="20"/>
                <w:szCs w:val="20"/>
              </w:rPr>
              <w:t>,</w:t>
            </w:r>
            <w:r w:rsidRPr="00CD5714">
              <w:rPr>
                <w:rFonts w:ascii="Arial" w:hAnsi="Arial" w:cs="Arial"/>
                <w:color w:val="000000"/>
                <w:sz w:val="20"/>
                <w:szCs w:val="20"/>
                <w:lang w:val="en-GB"/>
              </w:rPr>
              <w:t>934</w:t>
            </w:r>
          </w:p>
        </w:tc>
        <w:tc>
          <w:tcPr>
            <w:tcW w:w="1152" w:type="dxa"/>
            <w:shd w:val="clear" w:color="auto" w:fill="auto"/>
            <w:vAlign w:val="bottom"/>
          </w:tcPr>
          <w:p w14:paraId="3397916C" w14:textId="6726AE03" w:rsidR="00601F48" w:rsidRPr="002D2F67" w:rsidRDefault="00CD5714" w:rsidP="00601F48">
            <w:pPr>
              <w:ind w:right="-72"/>
              <w:jc w:val="right"/>
              <w:rPr>
                <w:rFonts w:ascii="Arial" w:hAnsi="Arial" w:cs="Arial"/>
                <w:color w:val="000000"/>
                <w:sz w:val="20"/>
                <w:szCs w:val="20"/>
              </w:rPr>
            </w:pPr>
            <w:r w:rsidRPr="00CD5714">
              <w:rPr>
                <w:rFonts w:ascii="Arial" w:hAnsi="Arial" w:cs="Arial"/>
                <w:color w:val="000000"/>
                <w:sz w:val="20"/>
                <w:szCs w:val="20"/>
                <w:lang w:val="en-GB"/>
              </w:rPr>
              <w:t>2</w:t>
            </w:r>
            <w:r w:rsidR="00601F48" w:rsidRPr="002D2F67">
              <w:rPr>
                <w:rFonts w:ascii="Arial" w:hAnsi="Arial" w:cs="Arial"/>
                <w:color w:val="000000"/>
                <w:sz w:val="20"/>
                <w:szCs w:val="20"/>
              </w:rPr>
              <w:t>,</w:t>
            </w:r>
            <w:r w:rsidRPr="00CD5714">
              <w:rPr>
                <w:rFonts w:ascii="Arial" w:hAnsi="Arial" w:cs="Arial"/>
                <w:color w:val="000000"/>
                <w:sz w:val="20"/>
                <w:szCs w:val="20"/>
                <w:lang w:val="en-GB"/>
              </w:rPr>
              <w:t>934</w:t>
            </w:r>
          </w:p>
        </w:tc>
      </w:tr>
      <w:tr w:rsidR="00601F48" w:rsidRPr="002D2F67" w14:paraId="5D481DF7" w14:textId="77777777" w:rsidTr="00100E48">
        <w:trPr>
          <w:cantSplit/>
        </w:trPr>
        <w:tc>
          <w:tcPr>
            <w:tcW w:w="3231" w:type="dxa"/>
            <w:shd w:val="clear" w:color="auto" w:fill="auto"/>
            <w:vAlign w:val="bottom"/>
          </w:tcPr>
          <w:p w14:paraId="1BBB778F" w14:textId="77777777" w:rsidR="00601F48" w:rsidRPr="002D2F67" w:rsidRDefault="00601F48" w:rsidP="00601F48">
            <w:pPr>
              <w:ind w:left="-31"/>
              <w:rPr>
                <w:rFonts w:ascii="Arial" w:hAnsi="Arial" w:cs="Arial"/>
                <w:color w:val="000000"/>
                <w:sz w:val="20"/>
                <w:szCs w:val="20"/>
              </w:rPr>
            </w:pPr>
            <w:r w:rsidRPr="002D2F67">
              <w:rPr>
                <w:rFonts w:ascii="Arial" w:hAnsi="Arial" w:cs="Arial"/>
                <w:color w:val="000000"/>
                <w:sz w:val="20"/>
                <w:szCs w:val="20"/>
              </w:rPr>
              <w:t>Lease liabilities</w:t>
            </w:r>
          </w:p>
        </w:tc>
        <w:tc>
          <w:tcPr>
            <w:tcW w:w="1152" w:type="dxa"/>
            <w:shd w:val="clear" w:color="auto" w:fill="auto"/>
          </w:tcPr>
          <w:p w14:paraId="01E65F0D" w14:textId="02D59A2B" w:rsidR="00601F48" w:rsidRPr="002D2F67" w:rsidRDefault="00CD5714" w:rsidP="00601F48">
            <w:pPr>
              <w:ind w:right="-72"/>
              <w:jc w:val="right"/>
              <w:rPr>
                <w:rFonts w:ascii="Arial" w:hAnsi="Arial" w:cs="Arial"/>
                <w:color w:val="000000"/>
                <w:sz w:val="20"/>
                <w:szCs w:val="20"/>
                <w:highlight w:val="cyan"/>
              </w:rPr>
            </w:pPr>
            <w:r w:rsidRPr="00CD5714">
              <w:rPr>
                <w:rFonts w:ascii="Arial" w:hAnsi="Arial" w:cs="Arial"/>
                <w:color w:val="000000"/>
                <w:sz w:val="20"/>
                <w:szCs w:val="22"/>
                <w:lang w:val="en-GB"/>
              </w:rPr>
              <w:t>105</w:t>
            </w:r>
          </w:p>
        </w:tc>
        <w:tc>
          <w:tcPr>
            <w:tcW w:w="1152" w:type="dxa"/>
            <w:shd w:val="clear" w:color="auto" w:fill="auto"/>
          </w:tcPr>
          <w:p w14:paraId="7DD92EBD" w14:textId="0A6DCF9C" w:rsidR="00601F48" w:rsidRPr="002D2F67" w:rsidRDefault="00CD5714" w:rsidP="00601F48">
            <w:pPr>
              <w:ind w:right="-72"/>
              <w:jc w:val="right"/>
              <w:rPr>
                <w:rFonts w:ascii="Arial" w:hAnsi="Arial" w:cs="Arial"/>
                <w:color w:val="000000"/>
                <w:sz w:val="20"/>
                <w:szCs w:val="20"/>
                <w:highlight w:val="cyan"/>
              </w:rPr>
            </w:pPr>
            <w:r w:rsidRPr="00CD5714">
              <w:rPr>
                <w:rFonts w:ascii="Arial" w:hAnsi="Arial" w:cs="Arial"/>
                <w:color w:val="000000"/>
                <w:sz w:val="20"/>
                <w:szCs w:val="22"/>
                <w:lang w:val="en-GB"/>
              </w:rPr>
              <w:t>465</w:t>
            </w:r>
          </w:p>
        </w:tc>
        <w:tc>
          <w:tcPr>
            <w:tcW w:w="1152" w:type="dxa"/>
            <w:shd w:val="clear" w:color="auto" w:fill="auto"/>
          </w:tcPr>
          <w:p w14:paraId="0FE311A2" w14:textId="50FD48B0" w:rsidR="00601F48" w:rsidRPr="002D2F67" w:rsidRDefault="00CD5714" w:rsidP="00601F48">
            <w:pPr>
              <w:ind w:right="-72"/>
              <w:jc w:val="right"/>
              <w:rPr>
                <w:rFonts w:ascii="Arial" w:hAnsi="Arial" w:cs="Arial"/>
                <w:color w:val="000000"/>
                <w:sz w:val="20"/>
                <w:szCs w:val="20"/>
                <w:highlight w:val="cyan"/>
              </w:rPr>
            </w:pPr>
            <w:r w:rsidRPr="00CD5714">
              <w:rPr>
                <w:rFonts w:ascii="Arial" w:hAnsi="Arial" w:cs="Arial"/>
                <w:color w:val="000000"/>
                <w:sz w:val="20"/>
                <w:szCs w:val="22"/>
                <w:lang w:val="en-GB"/>
              </w:rPr>
              <w:t>1</w:t>
            </w:r>
            <w:r w:rsidR="00601F48" w:rsidRPr="002D2F67">
              <w:rPr>
                <w:rFonts w:ascii="Arial" w:hAnsi="Arial" w:cs="Arial"/>
                <w:color w:val="000000"/>
                <w:sz w:val="20"/>
                <w:szCs w:val="22"/>
              </w:rPr>
              <w:t>,</w:t>
            </w:r>
            <w:r w:rsidRPr="00CD5714">
              <w:rPr>
                <w:rFonts w:ascii="Arial" w:hAnsi="Arial" w:cs="Arial"/>
                <w:color w:val="000000"/>
                <w:sz w:val="20"/>
                <w:szCs w:val="22"/>
                <w:lang w:val="en-GB"/>
              </w:rPr>
              <w:t>557</w:t>
            </w:r>
          </w:p>
        </w:tc>
        <w:tc>
          <w:tcPr>
            <w:tcW w:w="1152" w:type="dxa"/>
            <w:shd w:val="clear" w:color="auto" w:fill="auto"/>
          </w:tcPr>
          <w:p w14:paraId="15283FE8" w14:textId="1692B03A" w:rsidR="00601F48" w:rsidRPr="002D2F67" w:rsidRDefault="00CD5714" w:rsidP="00601F48">
            <w:pPr>
              <w:ind w:right="-72"/>
              <w:jc w:val="right"/>
              <w:rPr>
                <w:rFonts w:ascii="Arial" w:hAnsi="Arial" w:cs="Arial"/>
                <w:color w:val="000000"/>
                <w:sz w:val="20"/>
                <w:szCs w:val="20"/>
                <w:highlight w:val="cyan"/>
              </w:rPr>
            </w:pPr>
            <w:r w:rsidRPr="00CD5714">
              <w:rPr>
                <w:rFonts w:ascii="Arial" w:hAnsi="Arial" w:cs="Arial"/>
                <w:color w:val="000000"/>
                <w:sz w:val="20"/>
                <w:szCs w:val="22"/>
                <w:lang w:val="en-GB"/>
              </w:rPr>
              <w:t>2</w:t>
            </w:r>
            <w:r w:rsidR="00601F48" w:rsidRPr="002D2F67">
              <w:rPr>
                <w:rFonts w:ascii="Arial" w:hAnsi="Arial" w:cs="Arial"/>
                <w:color w:val="000000"/>
                <w:sz w:val="20"/>
                <w:szCs w:val="22"/>
              </w:rPr>
              <w:t>,</w:t>
            </w:r>
            <w:r w:rsidRPr="00CD5714">
              <w:rPr>
                <w:rFonts w:ascii="Arial" w:hAnsi="Arial" w:cs="Arial"/>
                <w:color w:val="000000"/>
                <w:sz w:val="20"/>
                <w:szCs w:val="22"/>
                <w:lang w:val="en-GB"/>
              </w:rPr>
              <w:t>127</w:t>
            </w:r>
          </w:p>
        </w:tc>
        <w:tc>
          <w:tcPr>
            <w:tcW w:w="1152" w:type="dxa"/>
            <w:shd w:val="clear" w:color="auto" w:fill="auto"/>
            <w:vAlign w:val="bottom"/>
          </w:tcPr>
          <w:p w14:paraId="442868C5" w14:textId="05588CAB" w:rsidR="00601F48" w:rsidRPr="002D2F67" w:rsidRDefault="00CD5714" w:rsidP="00601F48">
            <w:pPr>
              <w:ind w:right="-72"/>
              <w:jc w:val="right"/>
              <w:rPr>
                <w:rFonts w:ascii="Arial" w:hAnsi="Arial" w:cs="Arial"/>
                <w:color w:val="000000"/>
                <w:sz w:val="20"/>
                <w:szCs w:val="20"/>
              </w:rPr>
            </w:pPr>
            <w:r w:rsidRPr="00CD5714">
              <w:rPr>
                <w:rFonts w:ascii="Arial" w:hAnsi="Arial" w:cs="Arial"/>
                <w:color w:val="000000"/>
                <w:sz w:val="20"/>
                <w:szCs w:val="22"/>
                <w:lang w:val="en-GB"/>
              </w:rPr>
              <w:t>1</w:t>
            </w:r>
            <w:r w:rsidR="00601F48" w:rsidRPr="002D2F67">
              <w:rPr>
                <w:rFonts w:ascii="Arial" w:hAnsi="Arial" w:cs="Arial"/>
                <w:color w:val="000000"/>
                <w:sz w:val="20"/>
                <w:szCs w:val="22"/>
              </w:rPr>
              <w:t>,</w:t>
            </w:r>
            <w:r w:rsidRPr="00CD5714">
              <w:rPr>
                <w:rFonts w:ascii="Arial" w:hAnsi="Arial" w:cs="Arial"/>
                <w:color w:val="000000"/>
                <w:sz w:val="20"/>
                <w:szCs w:val="22"/>
                <w:lang w:val="en-GB"/>
              </w:rPr>
              <w:t>630</w:t>
            </w:r>
          </w:p>
        </w:tc>
      </w:tr>
      <w:tr w:rsidR="00601F48" w:rsidRPr="002D2F67" w14:paraId="2DFC8B38" w14:textId="77777777" w:rsidTr="00100E48">
        <w:trPr>
          <w:cantSplit/>
        </w:trPr>
        <w:tc>
          <w:tcPr>
            <w:tcW w:w="3231" w:type="dxa"/>
            <w:shd w:val="clear" w:color="auto" w:fill="auto"/>
            <w:vAlign w:val="bottom"/>
          </w:tcPr>
          <w:p w14:paraId="32B262C0" w14:textId="77777777" w:rsidR="00601F48" w:rsidRPr="002D2F67" w:rsidRDefault="00601F48" w:rsidP="00601F48">
            <w:pPr>
              <w:ind w:left="-31"/>
              <w:rPr>
                <w:rFonts w:ascii="Arial" w:hAnsi="Arial" w:cs="Arial"/>
                <w:color w:val="000000"/>
                <w:sz w:val="20"/>
                <w:szCs w:val="20"/>
              </w:rPr>
            </w:pPr>
            <w:r w:rsidRPr="002D2F67">
              <w:rPr>
                <w:rFonts w:ascii="Arial" w:hAnsi="Arial" w:cs="Arial"/>
                <w:color w:val="000000"/>
                <w:sz w:val="20"/>
                <w:szCs w:val="20"/>
              </w:rPr>
              <w:t>Long-term loans from financial</w:t>
            </w:r>
          </w:p>
          <w:p w14:paraId="00832750" w14:textId="77777777" w:rsidR="00601F48" w:rsidRPr="002D2F67" w:rsidRDefault="00601F48" w:rsidP="00601F48">
            <w:pPr>
              <w:ind w:left="-31"/>
              <w:rPr>
                <w:rFonts w:ascii="Arial" w:hAnsi="Arial" w:cs="Arial"/>
                <w:color w:val="000000"/>
                <w:sz w:val="20"/>
                <w:szCs w:val="20"/>
              </w:rPr>
            </w:pPr>
            <w:r w:rsidRPr="002D2F67">
              <w:rPr>
                <w:rFonts w:ascii="Arial" w:hAnsi="Arial" w:cs="Arial"/>
                <w:color w:val="000000"/>
                <w:sz w:val="20"/>
                <w:szCs w:val="20"/>
              </w:rPr>
              <w:t xml:space="preserve">   institutions and related interests</w:t>
            </w:r>
          </w:p>
        </w:tc>
        <w:tc>
          <w:tcPr>
            <w:tcW w:w="1152" w:type="dxa"/>
            <w:shd w:val="clear" w:color="auto" w:fill="auto"/>
            <w:vAlign w:val="bottom"/>
          </w:tcPr>
          <w:p w14:paraId="4287C715" w14:textId="472FE9FA" w:rsidR="00601F48" w:rsidRPr="002D2F67" w:rsidRDefault="00CD5714" w:rsidP="00601F48">
            <w:pPr>
              <w:ind w:right="-72"/>
              <w:jc w:val="right"/>
              <w:rPr>
                <w:rFonts w:ascii="Arial" w:hAnsi="Arial" w:cs="Arial"/>
                <w:color w:val="000000"/>
                <w:sz w:val="20"/>
                <w:szCs w:val="20"/>
              </w:rPr>
            </w:pPr>
            <w:r w:rsidRPr="00CD5714">
              <w:rPr>
                <w:rFonts w:ascii="Arial" w:hAnsi="Arial" w:cs="Arial"/>
                <w:color w:val="000000"/>
                <w:sz w:val="20"/>
                <w:szCs w:val="20"/>
                <w:lang w:val="en-GB"/>
              </w:rPr>
              <w:t>7</w:t>
            </w:r>
            <w:r w:rsidR="00601F48" w:rsidRPr="002D2F67">
              <w:rPr>
                <w:rFonts w:ascii="Arial" w:hAnsi="Arial" w:cs="Arial"/>
                <w:color w:val="000000"/>
                <w:sz w:val="20"/>
                <w:szCs w:val="20"/>
              </w:rPr>
              <w:t>,</w:t>
            </w:r>
            <w:r w:rsidRPr="00CD5714">
              <w:rPr>
                <w:rFonts w:ascii="Arial" w:hAnsi="Arial" w:cs="Arial"/>
                <w:color w:val="000000"/>
                <w:sz w:val="20"/>
                <w:szCs w:val="22"/>
                <w:lang w:val="en-GB"/>
              </w:rPr>
              <w:t>901</w:t>
            </w:r>
          </w:p>
        </w:tc>
        <w:tc>
          <w:tcPr>
            <w:tcW w:w="1152" w:type="dxa"/>
            <w:shd w:val="clear" w:color="auto" w:fill="auto"/>
            <w:vAlign w:val="bottom"/>
          </w:tcPr>
          <w:p w14:paraId="6DED521C" w14:textId="513DABE3" w:rsidR="00601F48" w:rsidRPr="002D2F67" w:rsidRDefault="00CD5714" w:rsidP="00601F48">
            <w:pPr>
              <w:ind w:right="-72"/>
              <w:jc w:val="right"/>
              <w:rPr>
                <w:rFonts w:ascii="Arial" w:hAnsi="Arial" w:cs="Arial"/>
                <w:color w:val="000000"/>
                <w:sz w:val="20"/>
                <w:szCs w:val="20"/>
              </w:rPr>
            </w:pPr>
            <w:r w:rsidRPr="00CD5714">
              <w:rPr>
                <w:rFonts w:ascii="Arial" w:hAnsi="Arial" w:cs="Arial"/>
                <w:color w:val="000000"/>
                <w:sz w:val="20"/>
                <w:szCs w:val="22"/>
                <w:lang w:val="en-GB"/>
              </w:rPr>
              <w:t>15</w:t>
            </w:r>
            <w:r w:rsidR="00601F48" w:rsidRPr="002D2F67">
              <w:rPr>
                <w:rFonts w:ascii="Arial" w:hAnsi="Arial" w:cs="Arial"/>
                <w:color w:val="000000"/>
                <w:sz w:val="20"/>
                <w:szCs w:val="22"/>
              </w:rPr>
              <w:t>,</w:t>
            </w:r>
            <w:r w:rsidRPr="00CD5714">
              <w:rPr>
                <w:rFonts w:ascii="Arial" w:hAnsi="Arial" w:cs="Arial"/>
                <w:color w:val="000000"/>
                <w:sz w:val="20"/>
                <w:szCs w:val="22"/>
                <w:lang w:val="en-GB"/>
              </w:rPr>
              <w:t>120</w:t>
            </w:r>
          </w:p>
        </w:tc>
        <w:tc>
          <w:tcPr>
            <w:tcW w:w="1152" w:type="dxa"/>
            <w:shd w:val="clear" w:color="auto" w:fill="auto"/>
            <w:vAlign w:val="bottom"/>
          </w:tcPr>
          <w:p w14:paraId="4473ED8A" w14:textId="715B35E4" w:rsidR="00601F48" w:rsidRPr="002D2F67" w:rsidRDefault="00CD5714" w:rsidP="00601F48">
            <w:pPr>
              <w:ind w:right="-72"/>
              <w:jc w:val="right"/>
              <w:rPr>
                <w:rFonts w:ascii="Arial" w:hAnsi="Arial" w:cs="Arial"/>
                <w:color w:val="000000"/>
                <w:sz w:val="20"/>
                <w:szCs w:val="20"/>
              </w:rPr>
            </w:pPr>
            <w:r w:rsidRPr="00CD5714">
              <w:rPr>
                <w:rFonts w:ascii="Arial" w:hAnsi="Arial" w:cs="Arial"/>
                <w:color w:val="000000"/>
                <w:sz w:val="20"/>
                <w:szCs w:val="20"/>
                <w:lang w:val="en-GB"/>
              </w:rPr>
              <w:t>2</w:t>
            </w:r>
            <w:r w:rsidR="00601F48" w:rsidRPr="002D2F67">
              <w:rPr>
                <w:rFonts w:ascii="Arial" w:hAnsi="Arial" w:cs="Arial"/>
                <w:color w:val="000000"/>
                <w:sz w:val="20"/>
                <w:szCs w:val="20"/>
              </w:rPr>
              <w:t>,</w:t>
            </w:r>
            <w:r w:rsidRPr="00CD5714">
              <w:rPr>
                <w:rFonts w:ascii="Arial" w:hAnsi="Arial" w:cs="Arial"/>
                <w:color w:val="000000"/>
                <w:sz w:val="20"/>
                <w:szCs w:val="22"/>
                <w:lang w:val="en-GB"/>
              </w:rPr>
              <w:t>810</w:t>
            </w:r>
          </w:p>
        </w:tc>
        <w:tc>
          <w:tcPr>
            <w:tcW w:w="1152" w:type="dxa"/>
            <w:shd w:val="clear" w:color="auto" w:fill="auto"/>
            <w:vAlign w:val="bottom"/>
          </w:tcPr>
          <w:p w14:paraId="2E6C9A3B" w14:textId="5DA39CD3" w:rsidR="00601F48" w:rsidRPr="002D2F67" w:rsidRDefault="00CD5714" w:rsidP="00601F48">
            <w:pPr>
              <w:ind w:right="-72"/>
              <w:jc w:val="right"/>
              <w:rPr>
                <w:rFonts w:ascii="Arial" w:hAnsi="Arial" w:cs="Arial"/>
                <w:color w:val="000000"/>
                <w:sz w:val="20"/>
                <w:szCs w:val="20"/>
              </w:rPr>
            </w:pPr>
            <w:r w:rsidRPr="00CD5714">
              <w:rPr>
                <w:rFonts w:ascii="Arial" w:hAnsi="Arial" w:cs="Arial"/>
                <w:color w:val="000000"/>
                <w:sz w:val="20"/>
                <w:szCs w:val="22"/>
                <w:lang w:val="en-GB"/>
              </w:rPr>
              <w:t>25</w:t>
            </w:r>
            <w:r w:rsidR="00601F48" w:rsidRPr="002D2F67">
              <w:rPr>
                <w:rFonts w:ascii="Arial" w:hAnsi="Arial" w:cs="Arial"/>
                <w:color w:val="000000"/>
                <w:sz w:val="20"/>
                <w:szCs w:val="22"/>
              </w:rPr>
              <w:t>,</w:t>
            </w:r>
            <w:r w:rsidRPr="00CD5714">
              <w:rPr>
                <w:rFonts w:ascii="Arial" w:hAnsi="Arial" w:cs="Arial"/>
                <w:color w:val="000000"/>
                <w:sz w:val="20"/>
                <w:szCs w:val="22"/>
                <w:lang w:val="en-GB"/>
              </w:rPr>
              <w:t>831</w:t>
            </w:r>
          </w:p>
        </w:tc>
        <w:tc>
          <w:tcPr>
            <w:tcW w:w="1152" w:type="dxa"/>
            <w:shd w:val="clear" w:color="auto" w:fill="auto"/>
            <w:vAlign w:val="bottom"/>
          </w:tcPr>
          <w:p w14:paraId="17658DC5" w14:textId="4CBDADA3" w:rsidR="00601F48" w:rsidRPr="002D2F67" w:rsidRDefault="00CD5714" w:rsidP="00601F48">
            <w:pPr>
              <w:ind w:right="-72"/>
              <w:jc w:val="right"/>
              <w:rPr>
                <w:rFonts w:ascii="Arial" w:hAnsi="Arial" w:cs="Arial"/>
                <w:color w:val="000000"/>
                <w:sz w:val="20"/>
                <w:szCs w:val="20"/>
              </w:rPr>
            </w:pPr>
            <w:r w:rsidRPr="00CD5714">
              <w:rPr>
                <w:rFonts w:ascii="Arial" w:hAnsi="Arial" w:cs="Arial"/>
                <w:color w:val="000000"/>
                <w:sz w:val="20"/>
                <w:szCs w:val="20"/>
                <w:lang w:val="en-GB"/>
              </w:rPr>
              <w:t>22</w:t>
            </w:r>
            <w:r w:rsidR="00601F48" w:rsidRPr="002D2F67">
              <w:rPr>
                <w:rFonts w:ascii="Arial" w:hAnsi="Arial" w:cs="Arial"/>
                <w:color w:val="000000"/>
                <w:sz w:val="20"/>
                <w:szCs w:val="20"/>
              </w:rPr>
              <w:t>,</w:t>
            </w:r>
            <w:r w:rsidRPr="00CD5714">
              <w:rPr>
                <w:rFonts w:ascii="Arial" w:hAnsi="Arial" w:cs="Arial"/>
                <w:color w:val="000000"/>
                <w:sz w:val="20"/>
                <w:szCs w:val="20"/>
                <w:lang w:val="en-GB"/>
              </w:rPr>
              <w:t>874</w:t>
            </w:r>
          </w:p>
        </w:tc>
      </w:tr>
      <w:tr w:rsidR="00601F48" w:rsidRPr="002D2F67" w14:paraId="53E9E378" w14:textId="77777777" w:rsidTr="00100E48">
        <w:trPr>
          <w:cantSplit/>
        </w:trPr>
        <w:tc>
          <w:tcPr>
            <w:tcW w:w="3231" w:type="dxa"/>
            <w:shd w:val="clear" w:color="auto" w:fill="auto"/>
            <w:vAlign w:val="bottom"/>
          </w:tcPr>
          <w:p w14:paraId="4C75B637" w14:textId="77777777" w:rsidR="00601F48" w:rsidRPr="002D2F67" w:rsidRDefault="00601F48" w:rsidP="00601F48">
            <w:pPr>
              <w:ind w:left="-31"/>
              <w:rPr>
                <w:rFonts w:ascii="Arial" w:hAnsi="Arial" w:cs="Arial"/>
                <w:color w:val="000000"/>
                <w:sz w:val="20"/>
                <w:szCs w:val="20"/>
              </w:rPr>
            </w:pPr>
            <w:r w:rsidRPr="002D2F67">
              <w:rPr>
                <w:rFonts w:ascii="Arial" w:hAnsi="Arial" w:cs="Arial"/>
                <w:color w:val="000000"/>
                <w:sz w:val="20"/>
                <w:szCs w:val="20"/>
              </w:rPr>
              <w:t>Debentures and related interests</w:t>
            </w:r>
          </w:p>
        </w:tc>
        <w:tc>
          <w:tcPr>
            <w:tcW w:w="1152" w:type="dxa"/>
            <w:tcBorders>
              <w:bottom w:val="single" w:sz="4" w:space="0" w:color="auto"/>
            </w:tcBorders>
            <w:shd w:val="clear" w:color="auto" w:fill="auto"/>
            <w:vAlign w:val="bottom"/>
          </w:tcPr>
          <w:p w14:paraId="5ADC31C6" w14:textId="729350B1" w:rsidR="00601F48" w:rsidRPr="002D2F67" w:rsidRDefault="00CD5714" w:rsidP="00601F48">
            <w:pPr>
              <w:ind w:right="-72"/>
              <w:jc w:val="right"/>
              <w:rPr>
                <w:rFonts w:ascii="Arial" w:hAnsi="Arial" w:cs="Arial"/>
                <w:color w:val="000000"/>
                <w:sz w:val="20"/>
                <w:szCs w:val="20"/>
              </w:rPr>
            </w:pPr>
            <w:r w:rsidRPr="00CD5714">
              <w:rPr>
                <w:rFonts w:ascii="Arial" w:hAnsi="Arial" w:cs="Arial"/>
                <w:color w:val="000000"/>
                <w:sz w:val="20"/>
                <w:szCs w:val="20"/>
                <w:lang w:val="en-GB"/>
              </w:rPr>
              <w:t>6</w:t>
            </w:r>
            <w:r w:rsidR="00601F48" w:rsidRPr="002D2F67">
              <w:rPr>
                <w:rFonts w:ascii="Arial" w:hAnsi="Arial" w:cs="Arial"/>
                <w:color w:val="000000"/>
                <w:sz w:val="20"/>
                <w:szCs w:val="20"/>
              </w:rPr>
              <w:t>,</w:t>
            </w:r>
            <w:r w:rsidRPr="00CD5714">
              <w:rPr>
                <w:rFonts w:ascii="Arial" w:hAnsi="Arial" w:cs="Arial"/>
                <w:color w:val="000000"/>
                <w:sz w:val="20"/>
                <w:szCs w:val="20"/>
                <w:lang w:val="en-GB"/>
              </w:rPr>
              <w:t>147</w:t>
            </w:r>
          </w:p>
        </w:tc>
        <w:tc>
          <w:tcPr>
            <w:tcW w:w="1152" w:type="dxa"/>
            <w:tcBorders>
              <w:bottom w:val="single" w:sz="4" w:space="0" w:color="auto"/>
            </w:tcBorders>
            <w:shd w:val="clear" w:color="auto" w:fill="auto"/>
            <w:vAlign w:val="bottom"/>
          </w:tcPr>
          <w:p w14:paraId="4C6E51F2" w14:textId="11E363E1" w:rsidR="00601F48" w:rsidRPr="002D2F67" w:rsidRDefault="00CD5714" w:rsidP="00601F48">
            <w:pPr>
              <w:ind w:right="-72"/>
              <w:jc w:val="right"/>
              <w:rPr>
                <w:rFonts w:ascii="Arial" w:hAnsi="Arial" w:cs="Arial"/>
                <w:color w:val="000000"/>
                <w:sz w:val="20"/>
                <w:szCs w:val="20"/>
              </w:rPr>
            </w:pPr>
            <w:r w:rsidRPr="00CD5714">
              <w:rPr>
                <w:rFonts w:ascii="Arial" w:hAnsi="Arial" w:cs="Arial"/>
                <w:color w:val="000000"/>
                <w:sz w:val="20"/>
                <w:szCs w:val="20"/>
                <w:lang w:val="en-GB"/>
              </w:rPr>
              <w:t>16</w:t>
            </w:r>
            <w:r w:rsidR="00601F48" w:rsidRPr="002D2F67">
              <w:rPr>
                <w:rFonts w:ascii="Arial" w:hAnsi="Arial" w:cs="Arial"/>
                <w:color w:val="000000"/>
                <w:sz w:val="20"/>
                <w:szCs w:val="20"/>
              </w:rPr>
              <w:t>,</w:t>
            </w:r>
            <w:r w:rsidRPr="00CD5714">
              <w:rPr>
                <w:rFonts w:ascii="Arial" w:hAnsi="Arial" w:cs="Arial"/>
                <w:color w:val="000000"/>
                <w:sz w:val="20"/>
                <w:szCs w:val="20"/>
                <w:lang w:val="en-GB"/>
              </w:rPr>
              <w:t>532</w:t>
            </w:r>
          </w:p>
        </w:tc>
        <w:tc>
          <w:tcPr>
            <w:tcW w:w="1152" w:type="dxa"/>
            <w:tcBorders>
              <w:bottom w:val="single" w:sz="4" w:space="0" w:color="auto"/>
            </w:tcBorders>
            <w:shd w:val="clear" w:color="auto" w:fill="auto"/>
            <w:vAlign w:val="bottom"/>
          </w:tcPr>
          <w:p w14:paraId="3F4A82A9" w14:textId="26B03273" w:rsidR="00601F48" w:rsidRPr="002D2F67" w:rsidRDefault="00CD5714" w:rsidP="00601F48">
            <w:pPr>
              <w:ind w:right="-72"/>
              <w:jc w:val="right"/>
              <w:rPr>
                <w:rFonts w:ascii="Arial" w:hAnsi="Arial" w:cs="Arial"/>
                <w:color w:val="000000"/>
                <w:sz w:val="20"/>
                <w:szCs w:val="20"/>
              </w:rPr>
            </w:pPr>
            <w:r w:rsidRPr="00CD5714">
              <w:rPr>
                <w:rFonts w:ascii="Arial" w:hAnsi="Arial" w:cs="Arial"/>
                <w:color w:val="000000"/>
                <w:sz w:val="20"/>
                <w:szCs w:val="20"/>
                <w:lang w:val="en-GB"/>
              </w:rPr>
              <w:t>11</w:t>
            </w:r>
            <w:r w:rsidR="00601F48" w:rsidRPr="002D2F67">
              <w:rPr>
                <w:rFonts w:ascii="Arial" w:hAnsi="Arial" w:cs="Arial"/>
                <w:color w:val="000000"/>
                <w:sz w:val="20"/>
                <w:szCs w:val="20"/>
              </w:rPr>
              <w:t>,</w:t>
            </w:r>
            <w:r w:rsidRPr="00CD5714">
              <w:rPr>
                <w:rFonts w:ascii="Arial" w:hAnsi="Arial" w:cs="Arial"/>
                <w:color w:val="000000"/>
                <w:sz w:val="20"/>
                <w:szCs w:val="20"/>
                <w:lang w:val="en-GB"/>
              </w:rPr>
              <w:t>463</w:t>
            </w:r>
          </w:p>
        </w:tc>
        <w:tc>
          <w:tcPr>
            <w:tcW w:w="1152" w:type="dxa"/>
            <w:tcBorders>
              <w:bottom w:val="single" w:sz="4" w:space="0" w:color="auto"/>
            </w:tcBorders>
            <w:shd w:val="clear" w:color="auto" w:fill="auto"/>
            <w:vAlign w:val="bottom"/>
          </w:tcPr>
          <w:p w14:paraId="28836DC1" w14:textId="0B381F39" w:rsidR="00601F48" w:rsidRPr="002D2F67" w:rsidRDefault="00CD5714" w:rsidP="00601F48">
            <w:pPr>
              <w:ind w:right="-72"/>
              <w:jc w:val="right"/>
              <w:rPr>
                <w:rFonts w:ascii="Arial" w:hAnsi="Arial" w:cs="Arial"/>
                <w:color w:val="000000"/>
                <w:sz w:val="20"/>
                <w:szCs w:val="20"/>
              </w:rPr>
            </w:pPr>
            <w:r w:rsidRPr="00CD5714">
              <w:rPr>
                <w:rFonts w:ascii="Arial" w:hAnsi="Arial" w:cs="Arial"/>
                <w:color w:val="000000"/>
                <w:sz w:val="20"/>
                <w:szCs w:val="20"/>
                <w:lang w:val="en-GB"/>
              </w:rPr>
              <w:t>34</w:t>
            </w:r>
            <w:r w:rsidR="00601F48" w:rsidRPr="002D2F67">
              <w:rPr>
                <w:rFonts w:ascii="Arial" w:hAnsi="Arial" w:cs="Arial"/>
                <w:color w:val="000000"/>
                <w:sz w:val="20"/>
                <w:szCs w:val="20"/>
              </w:rPr>
              <w:t>,</w:t>
            </w:r>
            <w:r w:rsidRPr="00CD5714">
              <w:rPr>
                <w:rFonts w:ascii="Arial" w:hAnsi="Arial" w:cs="Arial"/>
                <w:color w:val="000000"/>
                <w:sz w:val="20"/>
                <w:szCs w:val="20"/>
                <w:lang w:val="en-GB"/>
              </w:rPr>
              <w:t>142</w:t>
            </w:r>
          </w:p>
        </w:tc>
        <w:tc>
          <w:tcPr>
            <w:tcW w:w="1152" w:type="dxa"/>
            <w:tcBorders>
              <w:bottom w:val="single" w:sz="4" w:space="0" w:color="auto"/>
            </w:tcBorders>
            <w:shd w:val="clear" w:color="auto" w:fill="auto"/>
            <w:vAlign w:val="bottom"/>
          </w:tcPr>
          <w:p w14:paraId="55164F37" w14:textId="77B5FF94" w:rsidR="00601F48" w:rsidRPr="002D2F67" w:rsidRDefault="00CD5714" w:rsidP="00601F48">
            <w:pPr>
              <w:ind w:right="-72"/>
              <w:jc w:val="right"/>
              <w:rPr>
                <w:rFonts w:ascii="Arial" w:hAnsi="Arial" w:cs="Arial"/>
                <w:color w:val="000000"/>
                <w:sz w:val="20"/>
                <w:szCs w:val="20"/>
              </w:rPr>
            </w:pPr>
            <w:r w:rsidRPr="00CD5714">
              <w:rPr>
                <w:rFonts w:ascii="Arial" w:hAnsi="Arial" w:cs="Arial"/>
                <w:color w:val="000000"/>
                <w:sz w:val="20"/>
                <w:szCs w:val="20"/>
                <w:lang w:val="en-GB"/>
              </w:rPr>
              <w:t>31</w:t>
            </w:r>
            <w:r w:rsidR="00601F48" w:rsidRPr="002D2F67">
              <w:rPr>
                <w:rFonts w:ascii="Arial" w:hAnsi="Arial" w:cs="Arial"/>
                <w:color w:val="000000"/>
                <w:sz w:val="20"/>
                <w:szCs w:val="20"/>
              </w:rPr>
              <w:t>,</w:t>
            </w:r>
            <w:r w:rsidRPr="00CD5714">
              <w:rPr>
                <w:rFonts w:ascii="Arial" w:hAnsi="Arial" w:cs="Arial"/>
                <w:color w:val="000000"/>
                <w:sz w:val="20"/>
                <w:szCs w:val="20"/>
                <w:lang w:val="en-GB"/>
              </w:rPr>
              <w:t>144</w:t>
            </w:r>
          </w:p>
        </w:tc>
      </w:tr>
      <w:tr w:rsidR="00601F48" w:rsidRPr="002D2F67" w14:paraId="67262A9C" w14:textId="77777777" w:rsidTr="00100E48">
        <w:trPr>
          <w:cantSplit/>
        </w:trPr>
        <w:tc>
          <w:tcPr>
            <w:tcW w:w="3231" w:type="dxa"/>
            <w:shd w:val="clear" w:color="auto" w:fill="auto"/>
            <w:vAlign w:val="bottom"/>
          </w:tcPr>
          <w:p w14:paraId="4EC8616A" w14:textId="77777777" w:rsidR="00601F48" w:rsidRPr="002D2F67" w:rsidRDefault="00601F48" w:rsidP="00601F48">
            <w:pPr>
              <w:ind w:left="-31"/>
              <w:rPr>
                <w:rFonts w:ascii="Arial" w:hAnsi="Arial" w:cs="Arial"/>
                <w:b/>
                <w:bCs/>
                <w:color w:val="000000"/>
                <w:sz w:val="14"/>
                <w:szCs w:val="14"/>
              </w:rPr>
            </w:pPr>
          </w:p>
        </w:tc>
        <w:tc>
          <w:tcPr>
            <w:tcW w:w="1152" w:type="dxa"/>
            <w:tcBorders>
              <w:top w:val="single" w:sz="4" w:space="0" w:color="auto"/>
            </w:tcBorders>
            <w:shd w:val="clear" w:color="auto" w:fill="auto"/>
            <w:vAlign w:val="bottom"/>
          </w:tcPr>
          <w:p w14:paraId="784DEBC8" w14:textId="77777777" w:rsidR="00601F48" w:rsidRPr="002D2F67" w:rsidRDefault="00601F48" w:rsidP="00601F48">
            <w:pPr>
              <w:ind w:right="-72"/>
              <w:jc w:val="right"/>
              <w:rPr>
                <w:rFonts w:ascii="Arial" w:hAnsi="Arial" w:cs="Arial"/>
                <w:color w:val="000000"/>
                <w:sz w:val="14"/>
                <w:szCs w:val="14"/>
              </w:rPr>
            </w:pPr>
          </w:p>
        </w:tc>
        <w:tc>
          <w:tcPr>
            <w:tcW w:w="1152" w:type="dxa"/>
            <w:tcBorders>
              <w:top w:val="single" w:sz="4" w:space="0" w:color="auto"/>
            </w:tcBorders>
            <w:shd w:val="clear" w:color="auto" w:fill="auto"/>
            <w:vAlign w:val="bottom"/>
          </w:tcPr>
          <w:p w14:paraId="605B5469" w14:textId="77777777" w:rsidR="00601F48" w:rsidRPr="002D2F67" w:rsidRDefault="00601F48" w:rsidP="00601F48">
            <w:pPr>
              <w:ind w:right="-72"/>
              <w:jc w:val="right"/>
              <w:rPr>
                <w:rFonts w:ascii="Arial" w:hAnsi="Arial" w:cs="Arial"/>
                <w:color w:val="000000"/>
                <w:sz w:val="14"/>
                <w:szCs w:val="14"/>
              </w:rPr>
            </w:pPr>
          </w:p>
        </w:tc>
        <w:tc>
          <w:tcPr>
            <w:tcW w:w="1152" w:type="dxa"/>
            <w:tcBorders>
              <w:top w:val="single" w:sz="4" w:space="0" w:color="auto"/>
            </w:tcBorders>
            <w:shd w:val="clear" w:color="auto" w:fill="auto"/>
            <w:vAlign w:val="bottom"/>
          </w:tcPr>
          <w:p w14:paraId="2AC22A9F" w14:textId="77777777" w:rsidR="00601F48" w:rsidRPr="002D2F67" w:rsidRDefault="00601F48" w:rsidP="00601F48">
            <w:pPr>
              <w:ind w:right="-72"/>
              <w:jc w:val="right"/>
              <w:rPr>
                <w:rFonts w:ascii="Arial" w:hAnsi="Arial" w:cs="Arial"/>
                <w:color w:val="000000"/>
                <w:sz w:val="14"/>
                <w:szCs w:val="14"/>
              </w:rPr>
            </w:pPr>
          </w:p>
        </w:tc>
        <w:tc>
          <w:tcPr>
            <w:tcW w:w="1152" w:type="dxa"/>
            <w:tcBorders>
              <w:top w:val="single" w:sz="4" w:space="0" w:color="auto"/>
            </w:tcBorders>
            <w:shd w:val="clear" w:color="auto" w:fill="auto"/>
            <w:vAlign w:val="bottom"/>
          </w:tcPr>
          <w:p w14:paraId="75E9CD81" w14:textId="77777777" w:rsidR="00601F48" w:rsidRPr="002D2F67" w:rsidRDefault="00601F48" w:rsidP="00601F48">
            <w:pPr>
              <w:ind w:right="-72"/>
              <w:jc w:val="right"/>
              <w:rPr>
                <w:rFonts w:ascii="Arial" w:hAnsi="Arial" w:cs="Arial"/>
                <w:color w:val="000000"/>
                <w:sz w:val="14"/>
                <w:szCs w:val="14"/>
              </w:rPr>
            </w:pPr>
          </w:p>
        </w:tc>
        <w:tc>
          <w:tcPr>
            <w:tcW w:w="1152" w:type="dxa"/>
            <w:tcBorders>
              <w:top w:val="single" w:sz="4" w:space="0" w:color="auto"/>
            </w:tcBorders>
            <w:shd w:val="clear" w:color="auto" w:fill="auto"/>
            <w:vAlign w:val="bottom"/>
          </w:tcPr>
          <w:p w14:paraId="257DD376" w14:textId="77777777" w:rsidR="00601F48" w:rsidRPr="002D2F67" w:rsidRDefault="00601F48" w:rsidP="00601F48">
            <w:pPr>
              <w:ind w:right="-72"/>
              <w:jc w:val="right"/>
              <w:rPr>
                <w:rFonts w:ascii="Arial" w:hAnsi="Arial" w:cs="Arial"/>
                <w:color w:val="000000"/>
                <w:sz w:val="14"/>
                <w:szCs w:val="14"/>
              </w:rPr>
            </w:pPr>
          </w:p>
        </w:tc>
      </w:tr>
      <w:tr w:rsidR="00601F48" w:rsidRPr="002D2F67" w14:paraId="0021037D" w14:textId="77777777" w:rsidTr="00100E48">
        <w:trPr>
          <w:cantSplit/>
        </w:trPr>
        <w:tc>
          <w:tcPr>
            <w:tcW w:w="3231" w:type="dxa"/>
            <w:shd w:val="clear" w:color="auto" w:fill="auto"/>
            <w:vAlign w:val="bottom"/>
          </w:tcPr>
          <w:p w14:paraId="28903717" w14:textId="77777777" w:rsidR="00737849" w:rsidRPr="002D2F67" w:rsidRDefault="00601F48" w:rsidP="00737849">
            <w:pPr>
              <w:ind w:left="-31"/>
              <w:rPr>
                <w:rFonts w:ascii="Arial" w:hAnsi="Arial" w:cs="Arial"/>
                <w:b/>
                <w:bCs/>
                <w:color w:val="000000"/>
                <w:sz w:val="20"/>
                <w:szCs w:val="20"/>
              </w:rPr>
            </w:pPr>
            <w:r w:rsidRPr="002D2F67">
              <w:rPr>
                <w:rFonts w:ascii="Arial" w:hAnsi="Arial" w:cs="Arial"/>
                <w:b/>
                <w:bCs/>
                <w:color w:val="000000"/>
                <w:sz w:val="20"/>
                <w:szCs w:val="20"/>
              </w:rPr>
              <w:t>Total non-derivatives</w:t>
            </w:r>
            <w:r w:rsidR="00737849" w:rsidRPr="002D2F67">
              <w:rPr>
                <w:rFonts w:ascii="Arial" w:hAnsi="Arial" w:cs="Arial"/>
                <w:b/>
                <w:bCs/>
                <w:color w:val="000000"/>
                <w:sz w:val="20"/>
                <w:szCs w:val="20"/>
              </w:rPr>
              <w:t xml:space="preserve"> </w:t>
            </w:r>
          </w:p>
          <w:p w14:paraId="3E3D8D38" w14:textId="3F9E4253" w:rsidR="00601F48" w:rsidRPr="002D2F67" w:rsidRDefault="00737849" w:rsidP="00737849">
            <w:pPr>
              <w:ind w:left="-31" w:firstLine="167"/>
              <w:rPr>
                <w:rFonts w:ascii="Arial" w:hAnsi="Arial" w:cs="Arial"/>
                <w:b/>
                <w:bCs/>
                <w:color w:val="000000"/>
                <w:sz w:val="20"/>
                <w:szCs w:val="20"/>
              </w:rPr>
            </w:pPr>
            <w:r w:rsidRPr="002D2F67">
              <w:rPr>
                <w:rFonts w:ascii="Arial" w:hAnsi="Arial" w:cs="Arial"/>
                <w:b/>
                <w:bCs/>
                <w:color w:val="000000"/>
                <w:sz w:val="20"/>
                <w:szCs w:val="20"/>
              </w:rPr>
              <w:t>financial liabilities</w:t>
            </w:r>
          </w:p>
        </w:tc>
        <w:tc>
          <w:tcPr>
            <w:tcW w:w="1152" w:type="dxa"/>
            <w:tcBorders>
              <w:bottom w:val="single" w:sz="4" w:space="0" w:color="auto"/>
            </w:tcBorders>
            <w:shd w:val="clear" w:color="auto" w:fill="auto"/>
          </w:tcPr>
          <w:p w14:paraId="2DAE4C9A" w14:textId="77777777" w:rsidR="00025083" w:rsidRPr="002D2F67" w:rsidRDefault="00025083" w:rsidP="00025083">
            <w:pPr>
              <w:ind w:right="-72"/>
              <w:jc w:val="right"/>
              <w:rPr>
                <w:rFonts w:ascii="Arial" w:hAnsi="Arial" w:cs="Arial"/>
                <w:color w:val="000000"/>
                <w:sz w:val="20"/>
                <w:szCs w:val="20"/>
              </w:rPr>
            </w:pPr>
          </w:p>
          <w:p w14:paraId="5A5F826C" w14:textId="5C9E6CB2" w:rsidR="00601F48" w:rsidRPr="002D2F67" w:rsidRDefault="00CD5714" w:rsidP="00601F48">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25</w:t>
            </w:r>
            <w:r w:rsidR="00601F48" w:rsidRPr="002D2F67">
              <w:rPr>
                <w:rFonts w:ascii="Arial" w:hAnsi="Arial" w:cs="Arial"/>
                <w:color w:val="000000"/>
                <w:sz w:val="20"/>
                <w:szCs w:val="20"/>
              </w:rPr>
              <w:t>,</w:t>
            </w:r>
            <w:r w:rsidRPr="00CD5714">
              <w:rPr>
                <w:rFonts w:ascii="Arial" w:hAnsi="Arial" w:cs="Arial"/>
                <w:color w:val="000000"/>
                <w:sz w:val="20"/>
                <w:szCs w:val="20"/>
                <w:lang w:val="en-GB"/>
              </w:rPr>
              <w:t>814</w:t>
            </w:r>
          </w:p>
        </w:tc>
        <w:tc>
          <w:tcPr>
            <w:tcW w:w="1152" w:type="dxa"/>
            <w:tcBorders>
              <w:bottom w:val="single" w:sz="4" w:space="0" w:color="auto"/>
            </w:tcBorders>
            <w:shd w:val="clear" w:color="auto" w:fill="auto"/>
          </w:tcPr>
          <w:p w14:paraId="5314A0B7" w14:textId="77777777" w:rsidR="00025083" w:rsidRPr="002D2F67" w:rsidRDefault="00025083" w:rsidP="00025083">
            <w:pPr>
              <w:ind w:right="-72"/>
              <w:jc w:val="right"/>
              <w:rPr>
                <w:rFonts w:ascii="Arial" w:hAnsi="Arial" w:cs="Arial"/>
                <w:color w:val="000000"/>
                <w:sz w:val="20"/>
                <w:szCs w:val="20"/>
              </w:rPr>
            </w:pPr>
          </w:p>
          <w:p w14:paraId="1D1B445A" w14:textId="3CEBD244" w:rsidR="00601F48" w:rsidRPr="002D2F67" w:rsidRDefault="00CD5714" w:rsidP="00601F48">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32</w:t>
            </w:r>
            <w:r w:rsidR="00601F48" w:rsidRPr="002D2F67">
              <w:rPr>
                <w:rFonts w:ascii="Arial" w:hAnsi="Arial" w:cs="Arial"/>
                <w:color w:val="000000"/>
                <w:sz w:val="20"/>
                <w:szCs w:val="20"/>
              </w:rPr>
              <w:t>,</w:t>
            </w:r>
            <w:r w:rsidRPr="00CD5714">
              <w:rPr>
                <w:rFonts w:ascii="Arial" w:hAnsi="Arial" w:cs="Arial"/>
                <w:color w:val="000000"/>
                <w:sz w:val="20"/>
                <w:szCs w:val="20"/>
                <w:lang w:val="en-GB"/>
              </w:rPr>
              <w:t>117</w:t>
            </w:r>
          </w:p>
        </w:tc>
        <w:tc>
          <w:tcPr>
            <w:tcW w:w="1152" w:type="dxa"/>
            <w:tcBorders>
              <w:bottom w:val="single" w:sz="4" w:space="0" w:color="auto"/>
            </w:tcBorders>
            <w:shd w:val="clear" w:color="auto" w:fill="auto"/>
          </w:tcPr>
          <w:p w14:paraId="7BB16060" w14:textId="77777777" w:rsidR="00025083" w:rsidRPr="002D2F67" w:rsidRDefault="00025083" w:rsidP="00025083">
            <w:pPr>
              <w:ind w:right="-72"/>
              <w:jc w:val="right"/>
              <w:rPr>
                <w:rFonts w:ascii="Arial" w:hAnsi="Arial" w:cs="Arial"/>
                <w:color w:val="000000"/>
                <w:sz w:val="20"/>
                <w:szCs w:val="20"/>
              </w:rPr>
            </w:pPr>
          </w:p>
          <w:p w14:paraId="3A19DF60" w14:textId="1BF118D6" w:rsidR="00601F48" w:rsidRPr="002D2F67" w:rsidRDefault="00CD5714" w:rsidP="00601F48">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15</w:t>
            </w:r>
            <w:r w:rsidR="00601F48" w:rsidRPr="002D2F67">
              <w:rPr>
                <w:rFonts w:ascii="Arial" w:hAnsi="Arial" w:cs="Arial"/>
                <w:color w:val="000000"/>
                <w:sz w:val="20"/>
                <w:szCs w:val="20"/>
              </w:rPr>
              <w:t>,</w:t>
            </w:r>
            <w:r w:rsidRPr="00CD5714">
              <w:rPr>
                <w:rFonts w:ascii="Arial" w:hAnsi="Arial" w:cs="Arial"/>
                <w:color w:val="000000"/>
                <w:sz w:val="20"/>
                <w:szCs w:val="20"/>
                <w:lang w:val="en-GB"/>
              </w:rPr>
              <w:t>830</w:t>
            </w:r>
          </w:p>
        </w:tc>
        <w:tc>
          <w:tcPr>
            <w:tcW w:w="1152" w:type="dxa"/>
            <w:tcBorders>
              <w:bottom w:val="single" w:sz="4" w:space="0" w:color="auto"/>
            </w:tcBorders>
            <w:shd w:val="clear" w:color="auto" w:fill="auto"/>
          </w:tcPr>
          <w:p w14:paraId="697925F1" w14:textId="77777777" w:rsidR="00025083" w:rsidRPr="002D2F67" w:rsidRDefault="00025083" w:rsidP="00025083">
            <w:pPr>
              <w:ind w:right="-72"/>
              <w:jc w:val="right"/>
              <w:rPr>
                <w:rFonts w:ascii="Arial" w:hAnsi="Arial" w:cs="Arial"/>
                <w:color w:val="000000"/>
                <w:sz w:val="20"/>
                <w:szCs w:val="20"/>
              </w:rPr>
            </w:pPr>
          </w:p>
          <w:p w14:paraId="0D9B45F0" w14:textId="011B43FF" w:rsidR="00601F48" w:rsidRPr="002D2F67" w:rsidRDefault="00CD5714" w:rsidP="00601F48">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73</w:t>
            </w:r>
            <w:r w:rsidR="00601F48" w:rsidRPr="002D2F67">
              <w:rPr>
                <w:rFonts w:ascii="Arial" w:hAnsi="Arial" w:cs="Arial"/>
                <w:color w:val="000000"/>
                <w:sz w:val="20"/>
                <w:szCs w:val="20"/>
              </w:rPr>
              <w:t>,</w:t>
            </w:r>
            <w:r w:rsidRPr="00CD5714">
              <w:rPr>
                <w:rFonts w:ascii="Arial" w:hAnsi="Arial" w:cs="Arial"/>
                <w:color w:val="000000"/>
                <w:sz w:val="20"/>
                <w:szCs w:val="20"/>
                <w:lang w:val="en-GB"/>
              </w:rPr>
              <w:t>761</w:t>
            </w:r>
          </w:p>
        </w:tc>
        <w:tc>
          <w:tcPr>
            <w:tcW w:w="1152" w:type="dxa"/>
            <w:tcBorders>
              <w:bottom w:val="single" w:sz="4" w:space="0" w:color="auto"/>
            </w:tcBorders>
            <w:shd w:val="clear" w:color="auto" w:fill="auto"/>
            <w:vAlign w:val="bottom"/>
          </w:tcPr>
          <w:p w14:paraId="18D6B66C" w14:textId="0E4F2D50" w:rsidR="00601F48" w:rsidRPr="002D2F67" w:rsidRDefault="00CD5714" w:rsidP="00601F48">
            <w:pPr>
              <w:ind w:right="-72"/>
              <w:jc w:val="right"/>
              <w:rPr>
                <w:rFonts w:ascii="Arial" w:hAnsi="Arial" w:cs="Arial"/>
                <w:color w:val="000000"/>
                <w:sz w:val="20"/>
                <w:szCs w:val="20"/>
              </w:rPr>
            </w:pPr>
            <w:r w:rsidRPr="00CD5714">
              <w:rPr>
                <w:rFonts w:ascii="Arial" w:hAnsi="Arial" w:cs="Arial"/>
                <w:color w:val="000000"/>
                <w:sz w:val="20"/>
                <w:szCs w:val="20"/>
                <w:lang w:val="en-GB"/>
              </w:rPr>
              <w:t>67</w:t>
            </w:r>
            <w:r w:rsidR="00601F48" w:rsidRPr="002D2F67">
              <w:rPr>
                <w:rFonts w:ascii="Arial" w:hAnsi="Arial" w:cs="Arial"/>
                <w:color w:val="000000"/>
                <w:sz w:val="20"/>
                <w:szCs w:val="20"/>
              </w:rPr>
              <w:t>,</w:t>
            </w:r>
            <w:r w:rsidRPr="00CD5714">
              <w:rPr>
                <w:rFonts w:ascii="Arial" w:hAnsi="Arial" w:cs="Arial"/>
                <w:color w:val="000000"/>
                <w:sz w:val="20"/>
                <w:szCs w:val="20"/>
                <w:lang w:val="en-GB"/>
              </w:rPr>
              <w:t>309</w:t>
            </w:r>
          </w:p>
        </w:tc>
      </w:tr>
      <w:tr w:rsidR="00601F48" w:rsidRPr="002D2F67" w14:paraId="3DEDC99F" w14:textId="77777777" w:rsidTr="00100E48">
        <w:trPr>
          <w:cantSplit/>
        </w:trPr>
        <w:tc>
          <w:tcPr>
            <w:tcW w:w="3231" w:type="dxa"/>
            <w:shd w:val="clear" w:color="auto" w:fill="auto"/>
            <w:vAlign w:val="bottom"/>
          </w:tcPr>
          <w:p w14:paraId="0D8F7302" w14:textId="77777777" w:rsidR="00601F48" w:rsidRPr="002D2F67" w:rsidRDefault="00601F48" w:rsidP="00601F48">
            <w:pPr>
              <w:ind w:left="-31"/>
              <w:rPr>
                <w:rFonts w:ascii="Arial" w:hAnsi="Arial" w:cs="Arial"/>
                <w:color w:val="000000"/>
                <w:sz w:val="8"/>
                <w:szCs w:val="8"/>
              </w:rPr>
            </w:pPr>
          </w:p>
        </w:tc>
        <w:tc>
          <w:tcPr>
            <w:tcW w:w="1152" w:type="dxa"/>
            <w:tcBorders>
              <w:top w:val="single" w:sz="4" w:space="0" w:color="auto"/>
            </w:tcBorders>
            <w:shd w:val="clear" w:color="auto" w:fill="auto"/>
            <w:vAlign w:val="bottom"/>
          </w:tcPr>
          <w:p w14:paraId="533BC7BA" w14:textId="77777777" w:rsidR="00601F48" w:rsidRPr="002D2F67" w:rsidRDefault="00601F48" w:rsidP="00601F48">
            <w:pPr>
              <w:ind w:left="-31"/>
              <w:rPr>
                <w:rFonts w:ascii="Arial" w:hAnsi="Arial" w:cs="Arial"/>
                <w:color w:val="000000"/>
                <w:sz w:val="8"/>
                <w:szCs w:val="8"/>
              </w:rPr>
            </w:pPr>
          </w:p>
        </w:tc>
        <w:tc>
          <w:tcPr>
            <w:tcW w:w="1152" w:type="dxa"/>
            <w:tcBorders>
              <w:top w:val="single" w:sz="4" w:space="0" w:color="auto"/>
            </w:tcBorders>
            <w:shd w:val="clear" w:color="auto" w:fill="auto"/>
            <w:vAlign w:val="bottom"/>
          </w:tcPr>
          <w:p w14:paraId="376A1507" w14:textId="77777777" w:rsidR="00601F48" w:rsidRPr="002D2F67" w:rsidRDefault="00601F48" w:rsidP="00601F48">
            <w:pPr>
              <w:ind w:left="-31"/>
              <w:rPr>
                <w:rFonts w:ascii="Arial" w:hAnsi="Arial" w:cs="Arial"/>
                <w:color w:val="000000"/>
                <w:sz w:val="8"/>
                <w:szCs w:val="8"/>
              </w:rPr>
            </w:pPr>
          </w:p>
        </w:tc>
        <w:tc>
          <w:tcPr>
            <w:tcW w:w="1152" w:type="dxa"/>
            <w:tcBorders>
              <w:top w:val="single" w:sz="4" w:space="0" w:color="auto"/>
            </w:tcBorders>
            <w:shd w:val="clear" w:color="auto" w:fill="auto"/>
            <w:vAlign w:val="bottom"/>
          </w:tcPr>
          <w:p w14:paraId="7BB56D27" w14:textId="77777777" w:rsidR="00601F48" w:rsidRPr="002D2F67" w:rsidRDefault="00601F48" w:rsidP="00601F48">
            <w:pPr>
              <w:ind w:left="-31"/>
              <w:rPr>
                <w:rFonts w:ascii="Arial" w:hAnsi="Arial" w:cs="Arial"/>
                <w:color w:val="000000"/>
                <w:sz w:val="8"/>
                <w:szCs w:val="8"/>
              </w:rPr>
            </w:pPr>
          </w:p>
        </w:tc>
        <w:tc>
          <w:tcPr>
            <w:tcW w:w="1152" w:type="dxa"/>
            <w:tcBorders>
              <w:top w:val="single" w:sz="4" w:space="0" w:color="auto"/>
            </w:tcBorders>
            <w:shd w:val="clear" w:color="auto" w:fill="auto"/>
            <w:vAlign w:val="bottom"/>
          </w:tcPr>
          <w:p w14:paraId="7A297989" w14:textId="77777777" w:rsidR="00601F48" w:rsidRPr="002D2F67" w:rsidRDefault="00601F48" w:rsidP="00601F48">
            <w:pPr>
              <w:ind w:left="-31"/>
              <w:rPr>
                <w:rFonts w:ascii="Arial" w:hAnsi="Arial" w:cs="Arial"/>
                <w:color w:val="000000"/>
                <w:sz w:val="8"/>
                <w:szCs w:val="8"/>
              </w:rPr>
            </w:pPr>
          </w:p>
        </w:tc>
        <w:tc>
          <w:tcPr>
            <w:tcW w:w="1152" w:type="dxa"/>
            <w:tcBorders>
              <w:top w:val="single" w:sz="4" w:space="0" w:color="auto"/>
            </w:tcBorders>
            <w:shd w:val="clear" w:color="auto" w:fill="auto"/>
            <w:vAlign w:val="bottom"/>
          </w:tcPr>
          <w:p w14:paraId="24286D17" w14:textId="77777777" w:rsidR="00601F48" w:rsidRPr="002D2F67" w:rsidRDefault="00601F48" w:rsidP="00601F48">
            <w:pPr>
              <w:ind w:left="-31"/>
              <w:rPr>
                <w:rFonts w:ascii="Arial" w:hAnsi="Arial" w:cs="Arial"/>
                <w:color w:val="000000"/>
                <w:sz w:val="8"/>
                <w:szCs w:val="8"/>
              </w:rPr>
            </w:pPr>
          </w:p>
        </w:tc>
      </w:tr>
      <w:tr w:rsidR="00601F48" w:rsidRPr="002D2F67" w14:paraId="0CA5D4CF" w14:textId="77777777" w:rsidTr="00100E48">
        <w:trPr>
          <w:cantSplit/>
        </w:trPr>
        <w:tc>
          <w:tcPr>
            <w:tcW w:w="3231" w:type="dxa"/>
            <w:shd w:val="clear" w:color="auto" w:fill="auto"/>
            <w:vAlign w:val="bottom"/>
          </w:tcPr>
          <w:p w14:paraId="665CB06D" w14:textId="77777777" w:rsidR="00601F48" w:rsidRPr="002D2F67" w:rsidRDefault="00601F48" w:rsidP="00601F48">
            <w:pPr>
              <w:ind w:left="-31"/>
              <w:rPr>
                <w:rFonts w:ascii="Arial" w:hAnsi="Arial" w:cs="Arial"/>
                <w:b/>
                <w:bCs/>
                <w:color w:val="000000"/>
                <w:sz w:val="20"/>
                <w:szCs w:val="20"/>
              </w:rPr>
            </w:pPr>
            <w:r w:rsidRPr="002D2F67">
              <w:rPr>
                <w:rFonts w:ascii="Arial" w:hAnsi="Arial" w:cs="Arial"/>
                <w:b/>
                <w:bCs/>
                <w:color w:val="000000"/>
                <w:sz w:val="20"/>
                <w:szCs w:val="20"/>
              </w:rPr>
              <w:t>Derivatives</w:t>
            </w:r>
          </w:p>
        </w:tc>
        <w:tc>
          <w:tcPr>
            <w:tcW w:w="1152" w:type="dxa"/>
            <w:shd w:val="clear" w:color="auto" w:fill="auto"/>
            <w:vAlign w:val="bottom"/>
          </w:tcPr>
          <w:p w14:paraId="0CE9335F" w14:textId="77777777" w:rsidR="00601F48" w:rsidRPr="002D2F67" w:rsidRDefault="00601F48" w:rsidP="00601F48">
            <w:pPr>
              <w:ind w:right="-72"/>
              <w:jc w:val="right"/>
              <w:rPr>
                <w:rFonts w:ascii="Arial" w:hAnsi="Arial" w:cs="Arial"/>
                <w:color w:val="000000"/>
                <w:sz w:val="20"/>
                <w:szCs w:val="20"/>
              </w:rPr>
            </w:pPr>
          </w:p>
        </w:tc>
        <w:tc>
          <w:tcPr>
            <w:tcW w:w="1152" w:type="dxa"/>
            <w:shd w:val="clear" w:color="auto" w:fill="auto"/>
            <w:vAlign w:val="bottom"/>
          </w:tcPr>
          <w:p w14:paraId="69647AF5" w14:textId="77777777" w:rsidR="00601F48" w:rsidRPr="002D2F67" w:rsidRDefault="00601F48" w:rsidP="00601F48">
            <w:pPr>
              <w:ind w:right="-72"/>
              <w:jc w:val="right"/>
              <w:rPr>
                <w:rFonts w:ascii="Arial" w:hAnsi="Arial" w:cs="Arial"/>
                <w:color w:val="000000"/>
                <w:sz w:val="20"/>
                <w:szCs w:val="20"/>
              </w:rPr>
            </w:pPr>
          </w:p>
        </w:tc>
        <w:tc>
          <w:tcPr>
            <w:tcW w:w="1152" w:type="dxa"/>
            <w:shd w:val="clear" w:color="auto" w:fill="auto"/>
            <w:vAlign w:val="bottom"/>
          </w:tcPr>
          <w:p w14:paraId="4ECDF2BA" w14:textId="77777777" w:rsidR="00601F48" w:rsidRPr="002D2F67" w:rsidRDefault="00601F48" w:rsidP="00601F48">
            <w:pPr>
              <w:ind w:right="-72"/>
              <w:jc w:val="right"/>
              <w:rPr>
                <w:rFonts w:ascii="Arial" w:hAnsi="Arial" w:cs="Arial"/>
                <w:color w:val="000000"/>
                <w:sz w:val="20"/>
                <w:szCs w:val="20"/>
              </w:rPr>
            </w:pPr>
          </w:p>
        </w:tc>
        <w:tc>
          <w:tcPr>
            <w:tcW w:w="1152" w:type="dxa"/>
            <w:shd w:val="clear" w:color="auto" w:fill="auto"/>
            <w:vAlign w:val="bottom"/>
          </w:tcPr>
          <w:p w14:paraId="4DE5AEB9" w14:textId="77777777" w:rsidR="00601F48" w:rsidRPr="002D2F67" w:rsidRDefault="00601F48" w:rsidP="00601F48">
            <w:pPr>
              <w:ind w:right="-72"/>
              <w:jc w:val="right"/>
              <w:rPr>
                <w:rFonts w:ascii="Arial" w:hAnsi="Arial" w:cs="Arial"/>
                <w:color w:val="000000"/>
                <w:sz w:val="20"/>
                <w:szCs w:val="20"/>
              </w:rPr>
            </w:pPr>
          </w:p>
        </w:tc>
        <w:tc>
          <w:tcPr>
            <w:tcW w:w="1152" w:type="dxa"/>
            <w:shd w:val="clear" w:color="auto" w:fill="auto"/>
            <w:vAlign w:val="bottom"/>
          </w:tcPr>
          <w:p w14:paraId="7F6CD149" w14:textId="77777777" w:rsidR="00601F48" w:rsidRPr="002D2F67" w:rsidRDefault="00601F48" w:rsidP="00601F48">
            <w:pPr>
              <w:ind w:right="-72"/>
              <w:jc w:val="right"/>
              <w:rPr>
                <w:rFonts w:ascii="Arial" w:hAnsi="Arial" w:cs="Arial"/>
                <w:color w:val="000000"/>
                <w:sz w:val="20"/>
                <w:szCs w:val="20"/>
              </w:rPr>
            </w:pPr>
          </w:p>
        </w:tc>
      </w:tr>
      <w:tr w:rsidR="00601F48" w:rsidRPr="002D2F67" w14:paraId="2DCEF54A" w14:textId="77777777" w:rsidTr="00100E48">
        <w:trPr>
          <w:cantSplit/>
        </w:trPr>
        <w:tc>
          <w:tcPr>
            <w:tcW w:w="3231" w:type="dxa"/>
            <w:shd w:val="clear" w:color="auto" w:fill="auto"/>
            <w:vAlign w:val="bottom"/>
          </w:tcPr>
          <w:p w14:paraId="50E1C345" w14:textId="77777777" w:rsidR="00601F48" w:rsidRPr="002D2F67" w:rsidRDefault="00601F48" w:rsidP="00601F48">
            <w:pPr>
              <w:ind w:left="-31"/>
              <w:rPr>
                <w:rFonts w:ascii="Arial" w:hAnsi="Arial" w:cs="Arial"/>
                <w:color w:val="000000"/>
                <w:sz w:val="8"/>
                <w:szCs w:val="8"/>
              </w:rPr>
            </w:pPr>
          </w:p>
        </w:tc>
        <w:tc>
          <w:tcPr>
            <w:tcW w:w="1152" w:type="dxa"/>
            <w:shd w:val="clear" w:color="auto" w:fill="auto"/>
            <w:vAlign w:val="bottom"/>
          </w:tcPr>
          <w:p w14:paraId="000CFF25" w14:textId="77777777" w:rsidR="00601F48" w:rsidRPr="002D2F67" w:rsidRDefault="00601F48" w:rsidP="00601F48">
            <w:pPr>
              <w:ind w:right="-72"/>
              <w:jc w:val="right"/>
              <w:rPr>
                <w:rFonts w:ascii="Arial" w:hAnsi="Arial" w:cs="Arial"/>
                <w:color w:val="000000"/>
                <w:sz w:val="8"/>
                <w:szCs w:val="8"/>
              </w:rPr>
            </w:pPr>
          </w:p>
        </w:tc>
        <w:tc>
          <w:tcPr>
            <w:tcW w:w="1152" w:type="dxa"/>
            <w:shd w:val="clear" w:color="auto" w:fill="auto"/>
            <w:vAlign w:val="bottom"/>
          </w:tcPr>
          <w:p w14:paraId="0DA4D016" w14:textId="77777777" w:rsidR="00601F48" w:rsidRPr="002D2F67" w:rsidRDefault="00601F48" w:rsidP="00601F48">
            <w:pPr>
              <w:ind w:right="-72"/>
              <w:jc w:val="right"/>
              <w:rPr>
                <w:rFonts w:ascii="Arial" w:hAnsi="Arial" w:cs="Arial"/>
                <w:color w:val="000000"/>
                <w:sz w:val="8"/>
                <w:szCs w:val="8"/>
              </w:rPr>
            </w:pPr>
          </w:p>
        </w:tc>
        <w:tc>
          <w:tcPr>
            <w:tcW w:w="1152" w:type="dxa"/>
            <w:shd w:val="clear" w:color="auto" w:fill="auto"/>
            <w:vAlign w:val="bottom"/>
          </w:tcPr>
          <w:p w14:paraId="06CFA4D4" w14:textId="77777777" w:rsidR="00601F48" w:rsidRPr="002D2F67" w:rsidRDefault="00601F48" w:rsidP="00601F48">
            <w:pPr>
              <w:ind w:right="-72"/>
              <w:jc w:val="right"/>
              <w:rPr>
                <w:rFonts w:ascii="Arial" w:hAnsi="Arial" w:cs="Arial"/>
                <w:color w:val="000000"/>
                <w:sz w:val="8"/>
                <w:szCs w:val="8"/>
              </w:rPr>
            </w:pPr>
          </w:p>
        </w:tc>
        <w:tc>
          <w:tcPr>
            <w:tcW w:w="1152" w:type="dxa"/>
            <w:shd w:val="clear" w:color="auto" w:fill="auto"/>
            <w:vAlign w:val="bottom"/>
          </w:tcPr>
          <w:p w14:paraId="66F30910" w14:textId="77777777" w:rsidR="00601F48" w:rsidRPr="002D2F67" w:rsidRDefault="00601F48" w:rsidP="00601F48">
            <w:pPr>
              <w:ind w:right="-72"/>
              <w:jc w:val="right"/>
              <w:rPr>
                <w:rFonts w:ascii="Arial" w:hAnsi="Arial" w:cs="Arial"/>
                <w:color w:val="000000"/>
                <w:sz w:val="8"/>
                <w:szCs w:val="8"/>
              </w:rPr>
            </w:pPr>
          </w:p>
        </w:tc>
        <w:tc>
          <w:tcPr>
            <w:tcW w:w="1152" w:type="dxa"/>
            <w:shd w:val="clear" w:color="auto" w:fill="auto"/>
            <w:vAlign w:val="bottom"/>
          </w:tcPr>
          <w:p w14:paraId="14AF8D5D" w14:textId="77777777" w:rsidR="00601F48" w:rsidRPr="002D2F67" w:rsidRDefault="00601F48" w:rsidP="00601F48">
            <w:pPr>
              <w:ind w:right="-72"/>
              <w:jc w:val="right"/>
              <w:rPr>
                <w:rFonts w:ascii="Arial" w:hAnsi="Arial" w:cs="Arial"/>
                <w:color w:val="000000"/>
                <w:sz w:val="8"/>
                <w:szCs w:val="8"/>
              </w:rPr>
            </w:pPr>
          </w:p>
        </w:tc>
      </w:tr>
      <w:tr w:rsidR="00601F48" w:rsidRPr="002D2F67" w14:paraId="43755F96" w14:textId="77777777" w:rsidTr="00100E48">
        <w:trPr>
          <w:cantSplit/>
        </w:trPr>
        <w:tc>
          <w:tcPr>
            <w:tcW w:w="3231" w:type="dxa"/>
            <w:shd w:val="clear" w:color="auto" w:fill="auto"/>
            <w:vAlign w:val="bottom"/>
          </w:tcPr>
          <w:p w14:paraId="77A4DCD0" w14:textId="77777777" w:rsidR="00601F48" w:rsidRPr="002D2F67" w:rsidRDefault="00601F48" w:rsidP="00601F48">
            <w:pPr>
              <w:ind w:left="-31"/>
              <w:rPr>
                <w:rFonts w:ascii="Arial" w:hAnsi="Arial" w:cs="Arial"/>
                <w:color w:val="000000"/>
                <w:sz w:val="20"/>
                <w:szCs w:val="20"/>
              </w:rPr>
            </w:pPr>
            <w:r w:rsidRPr="002D2F67">
              <w:rPr>
                <w:rFonts w:ascii="Arial" w:hAnsi="Arial" w:cs="Arial"/>
                <w:color w:val="000000"/>
                <w:sz w:val="20"/>
                <w:szCs w:val="20"/>
              </w:rPr>
              <w:t>Cross currency interest rate</w:t>
            </w:r>
            <w:r w:rsidRPr="002D2F67">
              <w:rPr>
                <w:rFonts w:ascii="Arial" w:hAnsi="Arial" w:cs="Arial"/>
                <w:color w:val="000000"/>
                <w:sz w:val="20"/>
                <w:szCs w:val="20"/>
              </w:rPr>
              <w:br/>
              <w:t xml:space="preserve">   swaps contracts</w:t>
            </w:r>
          </w:p>
        </w:tc>
        <w:tc>
          <w:tcPr>
            <w:tcW w:w="1152" w:type="dxa"/>
            <w:tcBorders>
              <w:bottom w:val="single" w:sz="4" w:space="0" w:color="auto"/>
            </w:tcBorders>
            <w:shd w:val="clear" w:color="auto" w:fill="auto"/>
            <w:vAlign w:val="bottom"/>
          </w:tcPr>
          <w:p w14:paraId="0AB81BF7" w14:textId="68B44625" w:rsidR="00601F48" w:rsidRPr="002D2F67" w:rsidRDefault="00CD5714" w:rsidP="00601F48">
            <w:pPr>
              <w:ind w:right="-72"/>
              <w:jc w:val="right"/>
              <w:rPr>
                <w:rFonts w:ascii="Arial" w:hAnsi="Arial" w:cs="Arial"/>
                <w:color w:val="000000"/>
                <w:sz w:val="20"/>
                <w:szCs w:val="20"/>
              </w:rPr>
            </w:pPr>
            <w:r w:rsidRPr="00CD5714">
              <w:rPr>
                <w:rFonts w:ascii="Arial" w:hAnsi="Arial" w:cs="Arial"/>
                <w:color w:val="000000"/>
                <w:sz w:val="20"/>
                <w:szCs w:val="22"/>
                <w:lang w:val="en-GB"/>
              </w:rPr>
              <w:t>6</w:t>
            </w:r>
          </w:p>
        </w:tc>
        <w:tc>
          <w:tcPr>
            <w:tcW w:w="1152" w:type="dxa"/>
            <w:tcBorders>
              <w:bottom w:val="single" w:sz="4" w:space="0" w:color="auto"/>
            </w:tcBorders>
            <w:shd w:val="clear" w:color="auto" w:fill="auto"/>
            <w:vAlign w:val="bottom"/>
          </w:tcPr>
          <w:p w14:paraId="541584B5" w14:textId="60A2848B" w:rsidR="00601F48" w:rsidRPr="002D2F67" w:rsidRDefault="00CD5714" w:rsidP="00601F48">
            <w:pPr>
              <w:ind w:right="-72"/>
              <w:jc w:val="right"/>
              <w:rPr>
                <w:rFonts w:ascii="Arial" w:hAnsi="Arial" w:cs="Arial"/>
                <w:color w:val="000000"/>
                <w:sz w:val="20"/>
                <w:szCs w:val="20"/>
              </w:rPr>
            </w:pPr>
            <w:r w:rsidRPr="00CD5714">
              <w:rPr>
                <w:rFonts w:ascii="Arial" w:hAnsi="Arial" w:cs="Arial"/>
                <w:color w:val="000000"/>
                <w:sz w:val="20"/>
                <w:szCs w:val="22"/>
                <w:lang w:val="en-GB"/>
              </w:rPr>
              <w:t>139</w:t>
            </w:r>
          </w:p>
        </w:tc>
        <w:tc>
          <w:tcPr>
            <w:tcW w:w="1152" w:type="dxa"/>
            <w:tcBorders>
              <w:bottom w:val="single" w:sz="4" w:space="0" w:color="auto"/>
            </w:tcBorders>
            <w:shd w:val="clear" w:color="auto" w:fill="auto"/>
            <w:vAlign w:val="bottom"/>
          </w:tcPr>
          <w:p w14:paraId="5890F383" w14:textId="007D8325" w:rsidR="00601F48" w:rsidRPr="002D2F67" w:rsidRDefault="00CD5714" w:rsidP="00601F48">
            <w:pPr>
              <w:ind w:right="-72"/>
              <w:jc w:val="right"/>
              <w:rPr>
                <w:rFonts w:ascii="Arial" w:hAnsi="Arial" w:cs="Arial"/>
                <w:color w:val="000000"/>
                <w:sz w:val="20"/>
                <w:szCs w:val="20"/>
              </w:rPr>
            </w:pPr>
            <w:r w:rsidRPr="00CD5714">
              <w:rPr>
                <w:rFonts w:ascii="Arial" w:hAnsi="Arial" w:cs="Arial"/>
                <w:color w:val="000000"/>
                <w:sz w:val="20"/>
                <w:szCs w:val="22"/>
                <w:lang w:val="en-GB"/>
              </w:rPr>
              <w:t>12</w:t>
            </w:r>
          </w:p>
        </w:tc>
        <w:tc>
          <w:tcPr>
            <w:tcW w:w="1152" w:type="dxa"/>
            <w:tcBorders>
              <w:bottom w:val="single" w:sz="4" w:space="0" w:color="auto"/>
            </w:tcBorders>
            <w:shd w:val="clear" w:color="auto" w:fill="auto"/>
            <w:vAlign w:val="bottom"/>
          </w:tcPr>
          <w:p w14:paraId="4BDAC7AC" w14:textId="1A3A937E" w:rsidR="00601F48" w:rsidRPr="002D2F67" w:rsidRDefault="00CD5714" w:rsidP="00601F48">
            <w:pPr>
              <w:ind w:right="-72"/>
              <w:jc w:val="right"/>
              <w:rPr>
                <w:rFonts w:ascii="Arial" w:hAnsi="Arial" w:cs="Arial"/>
                <w:color w:val="000000"/>
                <w:sz w:val="20"/>
                <w:szCs w:val="20"/>
              </w:rPr>
            </w:pPr>
            <w:r w:rsidRPr="00CD5714">
              <w:rPr>
                <w:rFonts w:ascii="Arial" w:hAnsi="Arial" w:cs="Arial"/>
                <w:color w:val="000000"/>
                <w:sz w:val="20"/>
                <w:szCs w:val="20"/>
                <w:lang w:val="en-GB"/>
              </w:rPr>
              <w:t>157</w:t>
            </w:r>
          </w:p>
        </w:tc>
        <w:tc>
          <w:tcPr>
            <w:tcW w:w="1152" w:type="dxa"/>
            <w:tcBorders>
              <w:bottom w:val="single" w:sz="4" w:space="0" w:color="auto"/>
            </w:tcBorders>
            <w:shd w:val="clear" w:color="auto" w:fill="auto"/>
            <w:vAlign w:val="bottom"/>
          </w:tcPr>
          <w:p w14:paraId="232AFE95" w14:textId="35E8A134" w:rsidR="00601F48" w:rsidRPr="002D2F67" w:rsidRDefault="00CD5714" w:rsidP="00601F48">
            <w:pPr>
              <w:ind w:right="-72"/>
              <w:jc w:val="right"/>
              <w:rPr>
                <w:rFonts w:ascii="Arial" w:hAnsi="Arial" w:cs="Arial"/>
                <w:color w:val="000000"/>
                <w:sz w:val="20"/>
                <w:szCs w:val="20"/>
              </w:rPr>
            </w:pPr>
            <w:r w:rsidRPr="00CD5714">
              <w:rPr>
                <w:rFonts w:ascii="Arial" w:hAnsi="Arial" w:cs="Arial"/>
                <w:color w:val="000000"/>
                <w:sz w:val="20"/>
                <w:szCs w:val="22"/>
                <w:lang w:val="en-GB"/>
              </w:rPr>
              <w:t>60</w:t>
            </w:r>
          </w:p>
        </w:tc>
      </w:tr>
      <w:tr w:rsidR="00100E48" w:rsidRPr="002D2F67" w14:paraId="53E87C65" w14:textId="77777777" w:rsidTr="00100E48">
        <w:trPr>
          <w:cantSplit/>
        </w:trPr>
        <w:tc>
          <w:tcPr>
            <w:tcW w:w="3231" w:type="dxa"/>
            <w:shd w:val="clear" w:color="auto" w:fill="auto"/>
            <w:vAlign w:val="bottom"/>
          </w:tcPr>
          <w:p w14:paraId="4CA3CA42" w14:textId="77777777" w:rsidR="00100E48" w:rsidRPr="002D2F67" w:rsidRDefault="00100E48" w:rsidP="00601F48">
            <w:pPr>
              <w:ind w:left="-31"/>
              <w:rPr>
                <w:rFonts w:ascii="Arial" w:hAnsi="Arial" w:cs="Arial"/>
                <w:color w:val="000000"/>
                <w:sz w:val="20"/>
                <w:szCs w:val="20"/>
              </w:rPr>
            </w:pPr>
          </w:p>
        </w:tc>
        <w:tc>
          <w:tcPr>
            <w:tcW w:w="1152" w:type="dxa"/>
            <w:tcBorders>
              <w:top w:val="single" w:sz="4" w:space="0" w:color="auto"/>
            </w:tcBorders>
            <w:shd w:val="clear" w:color="auto" w:fill="auto"/>
            <w:vAlign w:val="bottom"/>
          </w:tcPr>
          <w:p w14:paraId="42932A4E" w14:textId="77777777" w:rsidR="00100E48" w:rsidRPr="002D2F67" w:rsidRDefault="00100E48" w:rsidP="00601F48">
            <w:pPr>
              <w:ind w:right="-72"/>
              <w:jc w:val="right"/>
              <w:rPr>
                <w:rFonts w:ascii="Arial" w:hAnsi="Arial" w:cs="Arial"/>
                <w:color w:val="000000"/>
                <w:sz w:val="20"/>
                <w:szCs w:val="22"/>
              </w:rPr>
            </w:pPr>
          </w:p>
        </w:tc>
        <w:tc>
          <w:tcPr>
            <w:tcW w:w="1152" w:type="dxa"/>
            <w:tcBorders>
              <w:top w:val="single" w:sz="4" w:space="0" w:color="auto"/>
            </w:tcBorders>
            <w:shd w:val="clear" w:color="auto" w:fill="auto"/>
            <w:vAlign w:val="bottom"/>
          </w:tcPr>
          <w:p w14:paraId="22CAD47E" w14:textId="77777777" w:rsidR="00100E48" w:rsidRPr="002D2F67" w:rsidRDefault="00100E48" w:rsidP="00601F48">
            <w:pPr>
              <w:ind w:right="-72"/>
              <w:jc w:val="right"/>
              <w:rPr>
                <w:rFonts w:ascii="Arial" w:hAnsi="Arial" w:cs="Arial"/>
                <w:color w:val="000000"/>
                <w:sz w:val="20"/>
                <w:szCs w:val="22"/>
              </w:rPr>
            </w:pPr>
          </w:p>
        </w:tc>
        <w:tc>
          <w:tcPr>
            <w:tcW w:w="1152" w:type="dxa"/>
            <w:tcBorders>
              <w:top w:val="single" w:sz="4" w:space="0" w:color="auto"/>
            </w:tcBorders>
            <w:shd w:val="clear" w:color="auto" w:fill="auto"/>
            <w:vAlign w:val="bottom"/>
          </w:tcPr>
          <w:p w14:paraId="5A46BDAA" w14:textId="77777777" w:rsidR="00100E48" w:rsidRPr="002D2F67" w:rsidRDefault="00100E48" w:rsidP="00601F48">
            <w:pPr>
              <w:ind w:right="-72"/>
              <w:jc w:val="right"/>
              <w:rPr>
                <w:rFonts w:ascii="Arial" w:hAnsi="Arial" w:cs="Arial"/>
                <w:color w:val="000000"/>
                <w:sz w:val="20"/>
                <w:szCs w:val="22"/>
              </w:rPr>
            </w:pPr>
          </w:p>
        </w:tc>
        <w:tc>
          <w:tcPr>
            <w:tcW w:w="1152" w:type="dxa"/>
            <w:tcBorders>
              <w:top w:val="single" w:sz="4" w:space="0" w:color="auto"/>
            </w:tcBorders>
            <w:shd w:val="clear" w:color="auto" w:fill="auto"/>
            <w:vAlign w:val="bottom"/>
          </w:tcPr>
          <w:p w14:paraId="66E6FF11" w14:textId="77777777" w:rsidR="00100E48" w:rsidRPr="002D2F67" w:rsidRDefault="00100E48" w:rsidP="00601F48">
            <w:pPr>
              <w:ind w:right="-72"/>
              <w:jc w:val="right"/>
              <w:rPr>
                <w:rFonts w:ascii="Arial" w:hAnsi="Arial" w:cs="Arial"/>
                <w:color w:val="000000"/>
                <w:sz w:val="20"/>
                <w:szCs w:val="20"/>
              </w:rPr>
            </w:pPr>
          </w:p>
        </w:tc>
        <w:tc>
          <w:tcPr>
            <w:tcW w:w="1152" w:type="dxa"/>
            <w:tcBorders>
              <w:top w:val="single" w:sz="4" w:space="0" w:color="auto"/>
            </w:tcBorders>
            <w:shd w:val="clear" w:color="auto" w:fill="auto"/>
            <w:vAlign w:val="bottom"/>
          </w:tcPr>
          <w:p w14:paraId="46D426FC" w14:textId="77777777" w:rsidR="00100E48" w:rsidRPr="002D2F67" w:rsidRDefault="00100E48" w:rsidP="00601F48">
            <w:pPr>
              <w:ind w:right="-72"/>
              <w:jc w:val="right"/>
              <w:rPr>
                <w:rFonts w:ascii="Arial" w:hAnsi="Arial" w:cs="Arial"/>
                <w:color w:val="000000"/>
                <w:sz w:val="20"/>
                <w:szCs w:val="22"/>
              </w:rPr>
            </w:pPr>
          </w:p>
        </w:tc>
      </w:tr>
      <w:tr w:rsidR="00601F48" w:rsidRPr="002D2F67" w14:paraId="14B47DBE" w14:textId="77777777" w:rsidTr="00100E48">
        <w:trPr>
          <w:cantSplit/>
        </w:trPr>
        <w:tc>
          <w:tcPr>
            <w:tcW w:w="3231" w:type="dxa"/>
            <w:shd w:val="clear" w:color="auto" w:fill="auto"/>
            <w:vAlign w:val="bottom"/>
          </w:tcPr>
          <w:p w14:paraId="08E0E5F2" w14:textId="7BAA884C" w:rsidR="00601F48" w:rsidRPr="002D2F67" w:rsidRDefault="00601F48" w:rsidP="00601F48">
            <w:pPr>
              <w:ind w:left="-31"/>
              <w:rPr>
                <w:rFonts w:ascii="Arial" w:hAnsi="Arial" w:cs="Arial"/>
                <w:b/>
                <w:bCs/>
                <w:color w:val="000000"/>
                <w:sz w:val="20"/>
                <w:szCs w:val="20"/>
              </w:rPr>
            </w:pPr>
            <w:r w:rsidRPr="002D2F67">
              <w:rPr>
                <w:rFonts w:ascii="Arial" w:hAnsi="Arial" w:cs="Arial"/>
                <w:b/>
                <w:bCs/>
                <w:color w:val="000000"/>
                <w:sz w:val="20"/>
                <w:szCs w:val="20"/>
              </w:rPr>
              <w:t>Total derivatives</w:t>
            </w:r>
            <w:r w:rsidR="00737849" w:rsidRPr="002D2F67">
              <w:rPr>
                <w:rFonts w:ascii="Arial" w:hAnsi="Arial" w:cs="Arial"/>
                <w:b/>
                <w:bCs/>
                <w:color w:val="000000"/>
                <w:sz w:val="20"/>
                <w:szCs w:val="20"/>
              </w:rPr>
              <w:t xml:space="preserve"> </w:t>
            </w:r>
            <w:r w:rsidR="00737849" w:rsidRPr="002D2F67">
              <w:rPr>
                <w:rFonts w:ascii="Arial" w:hAnsi="Arial" w:cs="Arial"/>
                <w:b/>
                <w:bCs/>
                <w:color w:val="000000"/>
                <w:sz w:val="20"/>
                <w:szCs w:val="25"/>
              </w:rPr>
              <w:t>liabilities</w:t>
            </w:r>
          </w:p>
        </w:tc>
        <w:tc>
          <w:tcPr>
            <w:tcW w:w="1152" w:type="dxa"/>
            <w:tcBorders>
              <w:bottom w:val="single" w:sz="4" w:space="0" w:color="auto"/>
            </w:tcBorders>
            <w:shd w:val="clear" w:color="auto" w:fill="auto"/>
            <w:vAlign w:val="bottom"/>
          </w:tcPr>
          <w:p w14:paraId="36E23055" w14:textId="33DA10BA" w:rsidR="00601F48" w:rsidRPr="002D2F67" w:rsidRDefault="00CD5714" w:rsidP="00601F48">
            <w:pPr>
              <w:ind w:right="-72"/>
              <w:jc w:val="right"/>
              <w:rPr>
                <w:rFonts w:ascii="Arial" w:hAnsi="Arial" w:cs="Arial"/>
                <w:color w:val="000000"/>
                <w:sz w:val="20"/>
                <w:szCs w:val="20"/>
              </w:rPr>
            </w:pPr>
            <w:r w:rsidRPr="00CD5714">
              <w:rPr>
                <w:rFonts w:ascii="Arial" w:hAnsi="Arial" w:cs="Arial"/>
                <w:color w:val="000000"/>
                <w:sz w:val="20"/>
                <w:szCs w:val="22"/>
                <w:lang w:val="en-GB"/>
              </w:rPr>
              <w:t>6</w:t>
            </w:r>
          </w:p>
        </w:tc>
        <w:tc>
          <w:tcPr>
            <w:tcW w:w="1152" w:type="dxa"/>
            <w:tcBorders>
              <w:bottom w:val="single" w:sz="4" w:space="0" w:color="auto"/>
            </w:tcBorders>
            <w:shd w:val="clear" w:color="auto" w:fill="auto"/>
            <w:vAlign w:val="bottom"/>
          </w:tcPr>
          <w:p w14:paraId="1E65084B" w14:textId="51A9DBB3" w:rsidR="00601F48" w:rsidRPr="002D2F67" w:rsidRDefault="00CD5714" w:rsidP="00601F48">
            <w:pPr>
              <w:ind w:right="-72"/>
              <w:jc w:val="right"/>
              <w:rPr>
                <w:rFonts w:ascii="Arial" w:hAnsi="Arial" w:cs="Arial"/>
                <w:color w:val="000000"/>
                <w:sz w:val="20"/>
                <w:szCs w:val="20"/>
              </w:rPr>
            </w:pPr>
            <w:r w:rsidRPr="00CD5714">
              <w:rPr>
                <w:rFonts w:ascii="Arial" w:hAnsi="Arial" w:cs="Arial"/>
                <w:color w:val="000000"/>
                <w:sz w:val="20"/>
                <w:szCs w:val="22"/>
                <w:lang w:val="en-GB"/>
              </w:rPr>
              <w:t>139</w:t>
            </w:r>
          </w:p>
        </w:tc>
        <w:tc>
          <w:tcPr>
            <w:tcW w:w="1152" w:type="dxa"/>
            <w:tcBorders>
              <w:bottom w:val="single" w:sz="4" w:space="0" w:color="auto"/>
            </w:tcBorders>
            <w:shd w:val="clear" w:color="auto" w:fill="auto"/>
            <w:vAlign w:val="bottom"/>
          </w:tcPr>
          <w:p w14:paraId="24FBEFCD" w14:textId="6FE582EE" w:rsidR="00601F48" w:rsidRPr="002D2F67" w:rsidRDefault="00CD5714" w:rsidP="00601F48">
            <w:pPr>
              <w:ind w:right="-72"/>
              <w:jc w:val="right"/>
              <w:rPr>
                <w:rFonts w:ascii="Arial" w:hAnsi="Arial" w:cs="Arial"/>
                <w:color w:val="000000"/>
                <w:sz w:val="20"/>
                <w:szCs w:val="20"/>
              </w:rPr>
            </w:pPr>
            <w:r w:rsidRPr="00CD5714">
              <w:rPr>
                <w:rFonts w:ascii="Arial" w:hAnsi="Arial" w:cs="Arial"/>
                <w:color w:val="000000"/>
                <w:sz w:val="20"/>
                <w:szCs w:val="22"/>
                <w:lang w:val="en-GB"/>
              </w:rPr>
              <w:t>12</w:t>
            </w:r>
          </w:p>
        </w:tc>
        <w:tc>
          <w:tcPr>
            <w:tcW w:w="1152" w:type="dxa"/>
            <w:tcBorders>
              <w:bottom w:val="single" w:sz="4" w:space="0" w:color="auto"/>
            </w:tcBorders>
            <w:shd w:val="clear" w:color="auto" w:fill="auto"/>
            <w:vAlign w:val="bottom"/>
          </w:tcPr>
          <w:p w14:paraId="702B5B0B" w14:textId="2BE545D2" w:rsidR="00601F48" w:rsidRPr="002D2F67" w:rsidRDefault="00CD5714" w:rsidP="00601F48">
            <w:pPr>
              <w:ind w:right="-72"/>
              <w:jc w:val="right"/>
              <w:rPr>
                <w:rFonts w:ascii="Arial" w:hAnsi="Arial" w:cs="Arial"/>
                <w:color w:val="000000"/>
                <w:sz w:val="20"/>
                <w:szCs w:val="20"/>
              </w:rPr>
            </w:pPr>
            <w:r w:rsidRPr="00CD5714">
              <w:rPr>
                <w:rFonts w:ascii="Arial" w:hAnsi="Arial" w:cs="Arial"/>
                <w:color w:val="000000"/>
                <w:sz w:val="20"/>
                <w:szCs w:val="20"/>
                <w:lang w:val="en-GB"/>
              </w:rPr>
              <w:t>157</w:t>
            </w:r>
          </w:p>
        </w:tc>
        <w:tc>
          <w:tcPr>
            <w:tcW w:w="1152" w:type="dxa"/>
            <w:tcBorders>
              <w:bottom w:val="single" w:sz="4" w:space="0" w:color="auto"/>
            </w:tcBorders>
            <w:shd w:val="clear" w:color="auto" w:fill="auto"/>
            <w:vAlign w:val="bottom"/>
          </w:tcPr>
          <w:p w14:paraId="4A50B174" w14:textId="270B6256" w:rsidR="00601F48" w:rsidRPr="002D2F67" w:rsidRDefault="00CD5714" w:rsidP="00601F48">
            <w:pPr>
              <w:ind w:right="-72"/>
              <w:jc w:val="right"/>
              <w:rPr>
                <w:rFonts w:ascii="Arial" w:hAnsi="Arial" w:cs="Arial"/>
                <w:color w:val="000000"/>
                <w:sz w:val="20"/>
                <w:szCs w:val="20"/>
              </w:rPr>
            </w:pPr>
            <w:r w:rsidRPr="00CD5714">
              <w:rPr>
                <w:rFonts w:ascii="Arial" w:hAnsi="Arial" w:cs="Arial"/>
                <w:color w:val="000000"/>
                <w:sz w:val="20"/>
                <w:szCs w:val="22"/>
                <w:lang w:val="en-GB"/>
              </w:rPr>
              <w:t>60</w:t>
            </w:r>
          </w:p>
        </w:tc>
      </w:tr>
      <w:tr w:rsidR="00601F48" w:rsidRPr="002D2F67" w14:paraId="7EF943D7" w14:textId="77777777" w:rsidTr="00100E48">
        <w:trPr>
          <w:cantSplit/>
        </w:trPr>
        <w:tc>
          <w:tcPr>
            <w:tcW w:w="3231" w:type="dxa"/>
            <w:shd w:val="clear" w:color="auto" w:fill="auto"/>
            <w:vAlign w:val="bottom"/>
          </w:tcPr>
          <w:p w14:paraId="6B48AA41" w14:textId="77777777" w:rsidR="00601F48" w:rsidRPr="002D2F67" w:rsidRDefault="00601F48" w:rsidP="00601F48">
            <w:pPr>
              <w:ind w:left="-31"/>
              <w:rPr>
                <w:rFonts w:ascii="Arial" w:hAnsi="Arial" w:cs="Arial"/>
                <w:color w:val="000000"/>
                <w:sz w:val="14"/>
                <w:szCs w:val="14"/>
                <w:cs/>
              </w:rPr>
            </w:pPr>
          </w:p>
        </w:tc>
        <w:tc>
          <w:tcPr>
            <w:tcW w:w="1152" w:type="dxa"/>
            <w:tcBorders>
              <w:top w:val="single" w:sz="4" w:space="0" w:color="auto"/>
            </w:tcBorders>
            <w:shd w:val="clear" w:color="auto" w:fill="auto"/>
            <w:vAlign w:val="bottom"/>
          </w:tcPr>
          <w:p w14:paraId="5DB85D59" w14:textId="77777777" w:rsidR="00601F48" w:rsidRPr="002D2F67" w:rsidRDefault="00601F48" w:rsidP="00601F48">
            <w:pPr>
              <w:ind w:right="-72"/>
              <w:jc w:val="right"/>
              <w:rPr>
                <w:rFonts w:ascii="Arial" w:hAnsi="Arial" w:cs="Arial"/>
                <w:color w:val="000000"/>
                <w:sz w:val="8"/>
                <w:szCs w:val="8"/>
              </w:rPr>
            </w:pPr>
          </w:p>
        </w:tc>
        <w:tc>
          <w:tcPr>
            <w:tcW w:w="1152" w:type="dxa"/>
            <w:tcBorders>
              <w:top w:val="single" w:sz="4" w:space="0" w:color="auto"/>
            </w:tcBorders>
            <w:shd w:val="clear" w:color="auto" w:fill="auto"/>
            <w:vAlign w:val="bottom"/>
          </w:tcPr>
          <w:p w14:paraId="04E2022B" w14:textId="77777777" w:rsidR="00601F48" w:rsidRPr="002D2F67" w:rsidRDefault="00601F48" w:rsidP="00601F48">
            <w:pPr>
              <w:ind w:right="-72"/>
              <w:jc w:val="right"/>
              <w:rPr>
                <w:rFonts w:ascii="Arial" w:hAnsi="Arial" w:cs="Arial"/>
                <w:color w:val="000000"/>
                <w:sz w:val="8"/>
                <w:szCs w:val="8"/>
              </w:rPr>
            </w:pPr>
          </w:p>
        </w:tc>
        <w:tc>
          <w:tcPr>
            <w:tcW w:w="1152" w:type="dxa"/>
            <w:tcBorders>
              <w:top w:val="single" w:sz="4" w:space="0" w:color="auto"/>
            </w:tcBorders>
            <w:shd w:val="clear" w:color="auto" w:fill="auto"/>
            <w:vAlign w:val="bottom"/>
          </w:tcPr>
          <w:p w14:paraId="6D79CF22" w14:textId="77777777" w:rsidR="00601F48" w:rsidRPr="002D2F67" w:rsidRDefault="00601F48" w:rsidP="00601F48">
            <w:pPr>
              <w:ind w:right="-72"/>
              <w:jc w:val="right"/>
              <w:rPr>
                <w:rFonts w:ascii="Arial" w:hAnsi="Arial" w:cs="Arial"/>
                <w:color w:val="000000"/>
                <w:sz w:val="8"/>
                <w:szCs w:val="8"/>
              </w:rPr>
            </w:pPr>
          </w:p>
        </w:tc>
        <w:tc>
          <w:tcPr>
            <w:tcW w:w="1152" w:type="dxa"/>
            <w:tcBorders>
              <w:top w:val="single" w:sz="4" w:space="0" w:color="auto"/>
            </w:tcBorders>
            <w:shd w:val="clear" w:color="auto" w:fill="auto"/>
            <w:vAlign w:val="bottom"/>
          </w:tcPr>
          <w:p w14:paraId="750C4F4C" w14:textId="77777777" w:rsidR="00601F48" w:rsidRPr="002D2F67" w:rsidRDefault="00601F48" w:rsidP="00601F48">
            <w:pPr>
              <w:ind w:right="-72"/>
              <w:jc w:val="right"/>
              <w:rPr>
                <w:rFonts w:ascii="Arial" w:hAnsi="Arial" w:cs="Arial"/>
                <w:color w:val="000000"/>
                <w:sz w:val="8"/>
                <w:szCs w:val="8"/>
              </w:rPr>
            </w:pPr>
          </w:p>
        </w:tc>
        <w:tc>
          <w:tcPr>
            <w:tcW w:w="1152" w:type="dxa"/>
            <w:tcBorders>
              <w:top w:val="single" w:sz="4" w:space="0" w:color="auto"/>
            </w:tcBorders>
            <w:shd w:val="clear" w:color="auto" w:fill="auto"/>
            <w:vAlign w:val="bottom"/>
          </w:tcPr>
          <w:p w14:paraId="744B11DD" w14:textId="77777777" w:rsidR="00601F48" w:rsidRPr="002D2F67" w:rsidRDefault="00601F48" w:rsidP="00601F48">
            <w:pPr>
              <w:ind w:right="-72"/>
              <w:jc w:val="right"/>
              <w:rPr>
                <w:rFonts w:ascii="Arial" w:hAnsi="Arial" w:cs="Arial"/>
                <w:color w:val="000000"/>
                <w:sz w:val="8"/>
                <w:szCs w:val="8"/>
              </w:rPr>
            </w:pPr>
          </w:p>
        </w:tc>
      </w:tr>
      <w:tr w:rsidR="00601F48" w:rsidRPr="002D2F67" w14:paraId="516B0E90" w14:textId="77777777" w:rsidTr="00100E48">
        <w:trPr>
          <w:cantSplit/>
        </w:trPr>
        <w:tc>
          <w:tcPr>
            <w:tcW w:w="3231" w:type="dxa"/>
            <w:shd w:val="clear" w:color="auto" w:fill="auto"/>
            <w:vAlign w:val="bottom"/>
          </w:tcPr>
          <w:p w14:paraId="3BAC9959" w14:textId="77777777" w:rsidR="00601F48" w:rsidRPr="002D2F67" w:rsidRDefault="00601F48" w:rsidP="00601F48">
            <w:pPr>
              <w:ind w:left="-31"/>
              <w:rPr>
                <w:rFonts w:ascii="Arial" w:hAnsi="Arial" w:cs="Arial"/>
                <w:b/>
                <w:bCs/>
                <w:color w:val="000000"/>
                <w:sz w:val="20"/>
                <w:szCs w:val="20"/>
              </w:rPr>
            </w:pPr>
            <w:r w:rsidRPr="002D2F67">
              <w:rPr>
                <w:rFonts w:ascii="Arial" w:hAnsi="Arial" w:cs="Arial"/>
                <w:b/>
                <w:bCs/>
                <w:color w:val="000000"/>
                <w:sz w:val="20"/>
                <w:szCs w:val="20"/>
              </w:rPr>
              <w:t>Total</w:t>
            </w:r>
          </w:p>
        </w:tc>
        <w:tc>
          <w:tcPr>
            <w:tcW w:w="1152" w:type="dxa"/>
            <w:tcBorders>
              <w:bottom w:val="single" w:sz="4" w:space="0" w:color="auto"/>
            </w:tcBorders>
            <w:shd w:val="clear" w:color="auto" w:fill="auto"/>
          </w:tcPr>
          <w:p w14:paraId="6783CA1D" w14:textId="76A8FE5E" w:rsidR="00601F48" w:rsidRPr="002D2F67" w:rsidRDefault="00CD5714" w:rsidP="00601F48">
            <w:pPr>
              <w:ind w:right="-72"/>
              <w:jc w:val="right"/>
              <w:rPr>
                <w:rFonts w:ascii="Arial" w:hAnsi="Arial" w:cs="Arial"/>
                <w:color w:val="000000"/>
                <w:sz w:val="20"/>
                <w:szCs w:val="20"/>
                <w:highlight w:val="cyan"/>
              </w:rPr>
            </w:pPr>
            <w:r w:rsidRPr="00CD5714">
              <w:rPr>
                <w:rFonts w:ascii="Arial" w:hAnsi="Arial" w:cs="Arial"/>
                <w:sz w:val="20"/>
                <w:szCs w:val="22"/>
                <w:lang w:val="en-GB"/>
              </w:rPr>
              <w:t>25</w:t>
            </w:r>
            <w:r w:rsidR="00601F48" w:rsidRPr="002D2F67">
              <w:rPr>
                <w:rFonts w:ascii="Arial" w:hAnsi="Arial" w:cs="Arial"/>
                <w:sz w:val="20"/>
                <w:szCs w:val="22"/>
              </w:rPr>
              <w:t>,</w:t>
            </w:r>
            <w:r w:rsidRPr="00CD5714">
              <w:rPr>
                <w:rFonts w:ascii="Arial" w:hAnsi="Arial" w:cs="Arial"/>
                <w:sz w:val="20"/>
                <w:szCs w:val="22"/>
                <w:lang w:val="en-GB"/>
              </w:rPr>
              <w:t>820</w:t>
            </w:r>
          </w:p>
        </w:tc>
        <w:tc>
          <w:tcPr>
            <w:tcW w:w="1152" w:type="dxa"/>
            <w:tcBorders>
              <w:bottom w:val="single" w:sz="4" w:space="0" w:color="auto"/>
            </w:tcBorders>
            <w:shd w:val="clear" w:color="auto" w:fill="auto"/>
          </w:tcPr>
          <w:p w14:paraId="45EDB21F" w14:textId="720F5A51" w:rsidR="00601F48" w:rsidRPr="002D2F67" w:rsidRDefault="00CD5714" w:rsidP="00601F48">
            <w:pPr>
              <w:ind w:right="-72"/>
              <w:jc w:val="right"/>
              <w:rPr>
                <w:rFonts w:ascii="Arial" w:hAnsi="Arial" w:cs="Arial"/>
                <w:color w:val="000000"/>
                <w:sz w:val="20"/>
                <w:szCs w:val="20"/>
                <w:highlight w:val="cyan"/>
              </w:rPr>
            </w:pPr>
            <w:r w:rsidRPr="00CD5714">
              <w:rPr>
                <w:rFonts w:ascii="Arial" w:hAnsi="Arial" w:cs="Arial"/>
                <w:sz w:val="20"/>
                <w:szCs w:val="22"/>
                <w:lang w:val="en-GB"/>
              </w:rPr>
              <w:t>32</w:t>
            </w:r>
            <w:r w:rsidR="00601F48" w:rsidRPr="002D2F67">
              <w:rPr>
                <w:rFonts w:ascii="Arial" w:hAnsi="Arial" w:cs="Arial"/>
                <w:sz w:val="20"/>
                <w:szCs w:val="22"/>
              </w:rPr>
              <w:t>,</w:t>
            </w:r>
            <w:r w:rsidRPr="00CD5714">
              <w:rPr>
                <w:rFonts w:ascii="Arial" w:hAnsi="Arial" w:cs="Arial"/>
                <w:sz w:val="20"/>
                <w:szCs w:val="22"/>
                <w:lang w:val="en-GB"/>
              </w:rPr>
              <w:t>256</w:t>
            </w:r>
          </w:p>
        </w:tc>
        <w:tc>
          <w:tcPr>
            <w:tcW w:w="1152" w:type="dxa"/>
            <w:tcBorders>
              <w:bottom w:val="single" w:sz="4" w:space="0" w:color="auto"/>
            </w:tcBorders>
            <w:shd w:val="clear" w:color="auto" w:fill="auto"/>
          </w:tcPr>
          <w:p w14:paraId="4AD72534" w14:textId="6642FEDB" w:rsidR="00601F48" w:rsidRPr="002D2F67" w:rsidRDefault="00CD5714" w:rsidP="00601F48">
            <w:pPr>
              <w:ind w:right="-72"/>
              <w:jc w:val="right"/>
              <w:rPr>
                <w:rFonts w:ascii="Arial" w:hAnsi="Arial" w:cs="Arial"/>
                <w:color w:val="000000"/>
                <w:sz w:val="20"/>
                <w:szCs w:val="20"/>
                <w:highlight w:val="cyan"/>
              </w:rPr>
            </w:pPr>
            <w:r w:rsidRPr="00CD5714">
              <w:rPr>
                <w:rFonts w:ascii="Arial" w:hAnsi="Arial" w:cs="Arial"/>
                <w:sz w:val="20"/>
                <w:szCs w:val="22"/>
                <w:lang w:val="en-GB"/>
              </w:rPr>
              <w:t>15</w:t>
            </w:r>
            <w:r w:rsidR="00601F48" w:rsidRPr="002D2F67">
              <w:rPr>
                <w:rFonts w:ascii="Arial" w:hAnsi="Arial" w:cs="Arial"/>
                <w:sz w:val="20"/>
                <w:szCs w:val="22"/>
              </w:rPr>
              <w:t>,</w:t>
            </w:r>
            <w:r w:rsidRPr="00CD5714">
              <w:rPr>
                <w:rFonts w:ascii="Arial" w:hAnsi="Arial" w:cs="Arial"/>
                <w:sz w:val="20"/>
                <w:szCs w:val="22"/>
                <w:lang w:val="en-GB"/>
              </w:rPr>
              <w:t>842</w:t>
            </w:r>
          </w:p>
        </w:tc>
        <w:tc>
          <w:tcPr>
            <w:tcW w:w="1152" w:type="dxa"/>
            <w:tcBorders>
              <w:bottom w:val="single" w:sz="4" w:space="0" w:color="auto"/>
            </w:tcBorders>
            <w:shd w:val="clear" w:color="auto" w:fill="auto"/>
          </w:tcPr>
          <w:p w14:paraId="3ABB22D8" w14:textId="48C0A793" w:rsidR="00601F48" w:rsidRPr="002D2F67" w:rsidRDefault="00CD5714" w:rsidP="00601F48">
            <w:pPr>
              <w:ind w:right="-72"/>
              <w:jc w:val="right"/>
              <w:rPr>
                <w:rFonts w:ascii="Arial" w:hAnsi="Arial" w:cs="Arial"/>
                <w:color w:val="000000"/>
                <w:sz w:val="20"/>
                <w:szCs w:val="20"/>
                <w:highlight w:val="cyan"/>
              </w:rPr>
            </w:pPr>
            <w:r w:rsidRPr="00CD5714">
              <w:rPr>
                <w:rFonts w:ascii="Arial" w:hAnsi="Arial" w:cs="Arial"/>
                <w:sz w:val="20"/>
                <w:szCs w:val="22"/>
                <w:lang w:val="en-GB"/>
              </w:rPr>
              <w:t>73</w:t>
            </w:r>
            <w:r w:rsidR="00C477C1" w:rsidRPr="002D2F67">
              <w:rPr>
                <w:rFonts w:ascii="Arial" w:hAnsi="Arial" w:cs="Arial"/>
                <w:sz w:val="20"/>
                <w:szCs w:val="22"/>
              </w:rPr>
              <w:t>,</w:t>
            </w:r>
            <w:r w:rsidRPr="00CD5714">
              <w:rPr>
                <w:rFonts w:ascii="Arial" w:hAnsi="Arial" w:cs="Arial"/>
                <w:sz w:val="20"/>
                <w:szCs w:val="22"/>
                <w:lang w:val="en-GB"/>
              </w:rPr>
              <w:t>918</w:t>
            </w:r>
          </w:p>
        </w:tc>
        <w:tc>
          <w:tcPr>
            <w:tcW w:w="1152" w:type="dxa"/>
            <w:tcBorders>
              <w:bottom w:val="single" w:sz="4" w:space="0" w:color="auto"/>
            </w:tcBorders>
            <w:shd w:val="clear" w:color="auto" w:fill="auto"/>
            <w:vAlign w:val="center"/>
          </w:tcPr>
          <w:p w14:paraId="383481F9" w14:textId="1953E593" w:rsidR="00601F48" w:rsidRPr="002D2F67" w:rsidRDefault="00CD5714" w:rsidP="00601F48">
            <w:pPr>
              <w:ind w:right="-72"/>
              <w:jc w:val="right"/>
              <w:rPr>
                <w:rFonts w:ascii="Arial" w:hAnsi="Arial" w:cs="Arial"/>
                <w:color w:val="000000"/>
                <w:sz w:val="20"/>
                <w:szCs w:val="20"/>
              </w:rPr>
            </w:pPr>
            <w:r w:rsidRPr="00CD5714">
              <w:rPr>
                <w:rFonts w:ascii="Arial" w:hAnsi="Arial" w:cs="Arial"/>
                <w:color w:val="000000"/>
                <w:sz w:val="20"/>
                <w:szCs w:val="20"/>
                <w:lang w:val="en-GB"/>
              </w:rPr>
              <w:t>67</w:t>
            </w:r>
            <w:r w:rsidR="00601F48" w:rsidRPr="002D2F67">
              <w:rPr>
                <w:rFonts w:ascii="Arial" w:hAnsi="Arial" w:cs="Arial"/>
                <w:color w:val="000000"/>
                <w:sz w:val="20"/>
                <w:szCs w:val="20"/>
              </w:rPr>
              <w:t>,</w:t>
            </w:r>
            <w:r w:rsidRPr="00CD5714">
              <w:rPr>
                <w:rFonts w:ascii="Arial" w:hAnsi="Arial" w:cs="Arial"/>
                <w:color w:val="000000"/>
                <w:sz w:val="20"/>
                <w:szCs w:val="22"/>
                <w:lang w:val="en-GB"/>
              </w:rPr>
              <w:t>369</w:t>
            </w:r>
          </w:p>
        </w:tc>
      </w:tr>
      <w:tr w:rsidR="00706C8B" w:rsidRPr="002D2F67" w14:paraId="3BFFD38B" w14:textId="77777777" w:rsidTr="00100E48">
        <w:trPr>
          <w:cantSplit/>
        </w:trPr>
        <w:tc>
          <w:tcPr>
            <w:tcW w:w="3231" w:type="dxa"/>
            <w:shd w:val="clear" w:color="auto" w:fill="auto"/>
            <w:vAlign w:val="bottom"/>
          </w:tcPr>
          <w:p w14:paraId="53D56B48" w14:textId="77777777" w:rsidR="00706C8B" w:rsidRPr="002D2F67" w:rsidRDefault="00706C8B" w:rsidP="00601F48">
            <w:pPr>
              <w:ind w:left="-31"/>
              <w:rPr>
                <w:rFonts w:ascii="Arial" w:hAnsi="Arial" w:cs="Arial"/>
                <w:b/>
                <w:bCs/>
                <w:color w:val="000000"/>
                <w:sz w:val="20"/>
                <w:szCs w:val="20"/>
              </w:rPr>
            </w:pPr>
          </w:p>
        </w:tc>
        <w:tc>
          <w:tcPr>
            <w:tcW w:w="1152" w:type="dxa"/>
            <w:tcBorders>
              <w:top w:val="single" w:sz="4" w:space="0" w:color="auto"/>
              <w:bottom w:val="single" w:sz="4" w:space="0" w:color="auto"/>
            </w:tcBorders>
            <w:shd w:val="clear" w:color="auto" w:fill="auto"/>
          </w:tcPr>
          <w:p w14:paraId="3D818039" w14:textId="77777777" w:rsidR="00706C8B" w:rsidRPr="002D2F67" w:rsidRDefault="00706C8B" w:rsidP="00601F48">
            <w:pPr>
              <w:ind w:right="-72"/>
              <w:jc w:val="right"/>
              <w:rPr>
                <w:rFonts w:ascii="Arial" w:hAnsi="Arial" w:cs="Arial"/>
                <w:sz w:val="20"/>
                <w:szCs w:val="22"/>
              </w:rPr>
            </w:pPr>
          </w:p>
        </w:tc>
        <w:tc>
          <w:tcPr>
            <w:tcW w:w="1152" w:type="dxa"/>
            <w:tcBorders>
              <w:top w:val="single" w:sz="4" w:space="0" w:color="auto"/>
              <w:bottom w:val="single" w:sz="4" w:space="0" w:color="auto"/>
            </w:tcBorders>
            <w:shd w:val="clear" w:color="auto" w:fill="auto"/>
          </w:tcPr>
          <w:p w14:paraId="2C20E718" w14:textId="77777777" w:rsidR="00706C8B" w:rsidRPr="002D2F67" w:rsidRDefault="00706C8B" w:rsidP="00601F48">
            <w:pPr>
              <w:ind w:right="-72"/>
              <w:jc w:val="right"/>
              <w:rPr>
                <w:rFonts w:ascii="Arial" w:hAnsi="Arial" w:cs="Arial"/>
                <w:sz w:val="20"/>
                <w:szCs w:val="22"/>
              </w:rPr>
            </w:pPr>
          </w:p>
        </w:tc>
        <w:tc>
          <w:tcPr>
            <w:tcW w:w="1152" w:type="dxa"/>
            <w:tcBorders>
              <w:top w:val="single" w:sz="4" w:space="0" w:color="auto"/>
              <w:bottom w:val="single" w:sz="4" w:space="0" w:color="auto"/>
            </w:tcBorders>
            <w:shd w:val="clear" w:color="auto" w:fill="auto"/>
          </w:tcPr>
          <w:p w14:paraId="054E5C23" w14:textId="77777777" w:rsidR="00706C8B" w:rsidRPr="002D2F67" w:rsidRDefault="00706C8B" w:rsidP="00601F48">
            <w:pPr>
              <w:ind w:right="-72"/>
              <w:jc w:val="right"/>
              <w:rPr>
                <w:rFonts w:ascii="Arial" w:hAnsi="Arial" w:cs="Arial"/>
                <w:sz w:val="20"/>
                <w:szCs w:val="22"/>
              </w:rPr>
            </w:pPr>
          </w:p>
        </w:tc>
        <w:tc>
          <w:tcPr>
            <w:tcW w:w="1152" w:type="dxa"/>
            <w:tcBorders>
              <w:top w:val="single" w:sz="4" w:space="0" w:color="auto"/>
              <w:bottom w:val="single" w:sz="4" w:space="0" w:color="auto"/>
            </w:tcBorders>
            <w:shd w:val="clear" w:color="auto" w:fill="auto"/>
          </w:tcPr>
          <w:p w14:paraId="2A316B14" w14:textId="77777777" w:rsidR="00706C8B" w:rsidRPr="002D2F67" w:rsidRDefault="00706C8B" w:rsidP="00601F48">
            <w:pPr>
              <w:ind w:right="-72"/>
              <w:jc w:val="right"/>
              <w:rPr>
                <w:rFonts w:ascii="Arial" w:hAnsi="Arial" w:cs="Arial"/>
                <w:sz w:val="20"/>
                <w:szCs w:val="22"/>
              </w:rPr>
            </w:pPr>
          </w:p>
        </w:tc>
        <w:tc>
          <w:tcPr>
            <w:tcW w:w="1152" w:type="dxa"/>
            <w:tcBorders>
              <w:top w:val="single" w:sz="4" w:space="0" w:color="auto"/>
              <w:bottom w:val="single" w:sz="4" w:space="0" w:color="auto"/>
            </w:tcBorders>
            <w:shd w:val="clear" w:color="auto" w:fill="auto"/>
            <w:vAlign w:val="center"/>
          </w:tcPr>
          <w:p w14:paraId="44E5B93B" w14:textId="77777777" w:rsidR="00706C8B" w:rsidRPr="002D2F67" w:rsidRDefault="00706C8B" w:rsidP="00601F48">
            <w:pPr>
              <w:ind w:right="-72"/>
              <w:jc w:val="right"/>
              <w:rPr>
                <w:rFonts w:ascii="Arial" w:hAnsi="Arial" w:cs="Arial"/>
                <w:color w:val="000000"/>
                <w:sz w:val="20"/>
                <w:szCs w:val="20"/>
              </w:rPr>
            </w:pPr>
          </w:p>
        </w:tc>
      </w:tr>
    </w:tbl>
    <w:p w14:paraId="2ACC9856" w14:textId="25133483" w:rsidR="001C51D8" w:rsidRPr="002D2F67" w:rsidRDefault="001C51D8" w:rsidP="005611FE">
      <w:pPr>
        <w:jc w:val="thaiDistribute"/>
        <w:rPr>
          <w:rFonts w:ascii="Arial" w:hAnsi="Arial" w:cs="Arial"/>
          <w:color w:val="000000"/>
          <w:sz w:val="18"/>
          <w:szCs w:val="18"/>
        </w:rPr>
      </w:pPr>
    </w:p>
    <w:tbl>
      <w:tblPr>
        <w:tblW w:w="8987" w:type="dxa"/>
        <w:tblInd w:w="567" w:type="dxa"/>
        <w:tblLayout w:type="fixed"/>
        <w:tblLook w:val="04A0" w:firstRow="1" w:lastRow="0" w:firstColumn="1" w:lastColumn="0" w:noHBand="0" w:noVBand="1"/>
      </w:tblPr>
      <w:tblGrid>
        <w:gridCol w:w="3227"/>
        <w:gridCol w:w="1152"/>
        <w:gridCol w:w="1152"/>
        <w:gridCol w:w="1152"/>
        <w:gridCol w:w="1152"/>
        <w:gridCol w:w="1152"/>
      </w:tblGrid>
      <w:tr w:rsidR="000A2CD3" w:rsidRPr="002D2F67" w14:paraId="51E39A24" w14:textId="77777777" w:rsidTr="4A0317FF">
        <w:tc>
          <w:tcPr>
            <w:tcW w:w="3227" w:type="dxa"/>
            <w:shd w:val="clear" w:color="auto" w:fill="auto"/>
            <w:vAlign w:val="bottom"/>
          </w:tcPr>
          <w:p w14:paraId="5EE9D712" w14:textId="77777777" w:rsidR="000A2CD3" w:rsidRPr="002D2F67" w:rsidRDefault="000A2CD3" w:rsidP="005611FE">
            <w:pPr>
              <w:rPr>
                <w:rFonts w:ascii="Arial" w:hAnsi="Arial" w:cs="Arial"/>
                <w:b/>
                <w:bCs/>
                <w:color w:val="000000"/>
                <w:sz w:val="20"/>
                <w:szCs w:val="20"/>
              </w:rPr>
            </w:pPr>
          </w:p>
        </w:tc>
        <w:tc>
          <w:tcPr>
            <w:tcW w:w="5760" w:type="dxa"/>
            <w:gridSpan w:val="5"/>
            <w:tcBorders>
              <w:bottom w:val="single" w:sz="4" w:space="0" w:color="auto"/>
            </w:tcBorders>
            <w:shd w:val="clear" w:color="auto" w:fill="auto"/>
            <w:vAlign w:val="bottom"/>
          </w:tcPr>
          <w:p w14:paraId="4BECAE32" w14:textId="77777777" w:rsidR="000A2CD3" w:rsidRPr="002D2F67" w:rsidRDefault="000A2CD3" w:rsidP="005611FE">
            <w:pPr>
              <w:ind w:right="-99"/>
              <w:jc w:val="right"/>
              <w:rPr>
                <w:rFonts w:ascii="Arial" w:hAnsi="Arial" w:cs="Arial"/>
                <w:b/>
                <w:bCs/>
                <w:color w:val="000000"/>
                <w:sz w:val="20"/>
                <w:szCs w:val="20"/>
              </w:rPr>
            </w:pPr>
            <w:r w:rsidRPr="002D2F67">
              <w:rPr>
                <w:rFonts w:ascii="Arial" w:hAnsi="Arial" w:cs="Arial"/>
                <w:b/>
                <w:bCs/>
                <w:color w:val="000000"/>
                <w:sz w:val="20"/>
                <w:szCs w:val="20"/>
              </w:rPr>
              <w:t>Separate financial statements</w:t>
            </w:r>
          </w:p>
        </w:tc>
      </w:tr>
      <w:tr w:rsidR="000A2CD3" w:rsidRPr="002D2F67" w14:paraId="5269FC85" w14:textId="77777777" w:rsidTr="4A0317FF">
        <w:tc>
          <w:tcPr>
            <w:tcW w:w="3227" w:type="dxa"/>
            <w:shd w:val="clear" w:color="auto" w:fill="auto"/>
            <w:vAlign w:val="bottom"/>
          </w:tcPr>
          <w:p w14:paraId="239D3916" w14:textId="77777777" w:rsidR="0050601D" w:rsidRPr="002D2F67" w:rsidRDefault="000A2CD3" w:rsidP="005611FE">
            <w:pPr>
              <w:rPr>
                <w:rFonts w:ascii="Arial" w:hAnsi="Arial" w:cs="Arial"/>
                <w:b/>
                <w:bCs/>
                <w:color w:val="000000"/>
                <w:sz w:val="20"/>
                <w:szCs w:val="20"/>
              </w:rPr>
            </w:pPr>
            <w:r w:rsidRPr="002D2F67">
              <w:rPr>
                <w:rFonts w:ascii="Arial" w:hAnsi="Arial" w:cs="Arial"/>
                <w:b/>
                <w:bCs/>
                <w:color w:val="000000"/>
                <w:sz w:val="20"/>
                <w:szCs w:val="20"/>
              </w:rPr>
              <w:t xml:space="preserve">Maturity of financial </w:t>
            </w:r>
            <w:r w:rsidR="002B2973" w:rsidRPr="002D2F67">
              <w:rPr>
                <w:rFonts w:ascii="Arial" w:hAnsi="Arial" w:cs="Arial"/>
                <w:b/>
                <w:bCs/>
                <w:color w:val="000000"/>
                <w:sz w:val="20"/>
                <w:szCs w:val="20"/>
              </w:rPr>
              <w:t>liabilities</w:t>
            </w:r>
            <w:r w:rsidRPr="002D2F67">
              <w:rPr>
                <w:rFonts w:ascii="Arial" w:hAnsi="Arial" w:cs="Arial"/>
                <w:b/>
                <w:bCs/>
                <w:color w:val="000000"/>
                <w:sz w:val="20"/>
                <w:szCs w:val="20"/>
              </w:rPr>
              <w:t xml:space="preserve"> </w:t>
            </w:r>
          </w:p>
          <w:p w14:paraId="61A3CAF2" w14:textId="010E3090" w:rsidR="000A2CD3" w:rsidRPr="002D2F67" w:rsidRDefault="0050601D" w:rsidP="005611FE">
            <w:pPr>
              <w:rPr>
                <w:rFonts w:ascii="Arial" w:hAnsi="Arial" w:cs="Arial"/>
                <w:b/>
                <w:bCs/>
                <w:color w:val="000000"/>
                <w:sz w:val="20"/>
                <w:szCs w:val="20"/>
              </w:rPr>
            </w:pPr>
            <w:r w:rsidRPr="002D2F67">
              <w:rPr>
                <w:rFonts w:ascii="Arial" w:hAnsi="Arial" w:cs="Arial"/>
                <w:b/>
                <w:bCs/>
                <w:color w:val="000000"/>
                <w:sz w:val="20"/>
                <w:szCs w:val="20"/>
              </w:rPr>
              <w:t xml:space="preserve">   </w:t>
            </w:r>
            <w:r w:rsidR="000A2CD3" w:rsidRPr="002D2F67">
              <w:rPr>
                <w:rFonts w:ascii="Arial" w:hAnsi="Arial" w:cs="Arial"/>
                <w:b/>
                <w:bCs/>
                <w:color w:val="000000"/>
                <w:sz w:val="20"/>
                <w:szCs w:val="20"/>
              </w:rPr>
              <w:t xml:space="preserve">as </w:t>
            </w:r>
            <w:proofErr w:type="gramStart"/>
            <w:r w:rsidR="000A2CD3" w:rsidRPr="002D2F67">
              <w:rPr>
                <w:rFonts w:ascii="Arial" w:hAnsi="Arial" w:cs="Arial"/>
                <w:b/>
                <w:bCs/>
                <w:color w:val="000000"/>
                <w:sz w:val="20"/>
                <w:szCs w:val="20"/>
              </w:rPr>
              <w:t>at</w:t>
            </w:r>
            <w:proofErr w:type="gramEnd"/>
            <w:r w:rsidR="000A2CD3"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31</w:t>
            </w:r>
            <w:r w:rsidR="000A2CD3" w:rsidRPr="002D2F67">
              <w:rPr>
                <w:rFonts w:ascii="Arial" w:hAnsi="Arial" w:cs="Arial"/>
                <w:b/>
                <w:bCs/>
                <w:color w:val="000000"/>
                <w:sz w:val="20"/>
                <w:szCs w:val="20"/>
              </w:rPr>
              <w:t xml:space="preserve"> December </w:t>
            </w:r>
            <w:r w:rsidR="00CD5714" w:rsidRPr="00CD5714">
              <w:rPr>
                <w:rFonts w:ascii="Arial" w:hAnsi="Arial" w:cs="Arial"/>
                <w:b/>
                <w:bCs/>
                <w:color w:val="000000"/>
                <w:sz w:val="20"/>
                <w:szCs w:val="20"/>
                <w:lang w:val="en-GB"/>
              </w:rPr>
              <w:t>2024</w:t>
            </w:r>
          </w:p>
        </w:tc>
        <w:tc>
          <w:tcPr>
            <w:tcW w:w="1152" w:type="dxa"/>
            <w:tcBorders>
              <w:top w:val="single" w:sz="4" w:space="0" w:color="auto"/>
              <w:bottom w:val="single" w:sz="4" w:space="0" w:color="auto"/>
            </w:tcBorders>
            <w:shd w:val="clear" w:color="auto" w:fill="auto"/>
            <w:vAlign w:val="bottom"/>
          </w:tcPr>
          <w:p w14:paraId="6FFC353F" w14:textId="77777777" w:rsidR="006B50BF" w:rsidRPr="002D2F67" w:rsidRDefault="000A2CD3"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Within </w:t>
            </w:r>
          </w:p>
          <w:p w14:paraId="63AD8A77" w14:textId="15ACF890" w:rsidR="000A2CD3"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1</w:t>
            </w:r>
            <w:r w:rsidR="000A2CD3" w:rsidRPr="002D2F67">
              <w:rPr>
                <w:rFonts w:ascii="Arial" w:hAnsi="Arial" w:cs="Arial"/>
                <w:b/>
                <w:bCs/>
                <w:color w:val="000000"/>
                <w:sz w:val="20"/>
                <w:szCs w:val="20"/>
              </w:rPr>
              <w:t xml:space="preserve"> year</w:t>
            </w:r>
          </w:p>
          <w:p w14:paraId="13A5EE4B" w14:textId="77777777" w:rsidR="000A2CD3" w:rsidRPr="002D2F67" w:rsidRDefault="000A2CD3" w:rsidP="005611FE">
            <w:pPr>
              <w:ind w:right="-72"/>
              <w:jc w:val="right"/>
              <w:rPr>
                <w:rFonts w:ascii="Arial" w:hAnsi="Arial" w:cs="Arial"/>
                <w:b/>
                <w:bCs/>
                <w:color w:val="000000"/>
                <w:sz w:val="20"/>
                <w:szCs w:val="20"/>
              </w:rPr>
            </w:pPr>
            <w:r w:rsidRPr="002D2F67">
              <w:rPr>
                <w:rFonts w:ascii="Arial" w:hAnsi="Arial" w:cs="Arial"/>
                <w:b/>
                <w:bCs/>
                <w:color w:val="000000"/>
                <w:sz w:val="20"/>
                <w:szCs w:val="20"/>
              </w:rPr>
              <w:t>Million Baht</w:t>
            </w:r>
          </w:p>
        </w:tc>
        <w:tc>
          <w:tcPr>
            <w:tcW w:w="1152" w:type="dxa"/>
            <w:tcBorders>
              <w:top w:val="single" w:sz="4" w:space="0" w:color="auto"/>
              <w:bottom w:val="single" w:sz="4" w:space="0" w:color="auto"/>
            </w:tcBorders>
            <w:shd w:val="clear" w:color="auto" w:fill="auto"/>
            <w:vAlign w:val="bottom"/>
          </w:tcPr>
          <w:p w14:paraId="5FB37EC6" w14:textId="022ED9A2" w:rsidR="000A2CD3"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1</w:t>
            </w:r>
            <w:r w:rsidR="000A2CD3" w:rsidRPr="002D2F67">
              <w:rPr>
                <w:rFonts w:ascii="Arial" w:hAnsi="Arial" w:cs="Arial"/>
                <w:b/>
                <w:bCs/>
                <w:color w:val="000000"/>
                <w:sz w:val="20"/>
                <w:szCs w:val="20"/>
              </w:rPr>
              <w:t>-</w:t>
            </w:r>
            <w:r w:rsidRPr="00CD5714">
              <w:rPr>
                <w:rFonts w:ascii="Arial" w:hAnsi="Arial" w:cs="Arial"/>
                <w:b/>
                <w:bCs/>
                <w:color w:val="000000"/>
                <w:sz w:val="20"/>
                <w:szCs w:val="20"/>
                <w:lang w:val="en-GB"/>
              </w:rPr>
              <w:t>5</w:t>
            </w:r>
            <w:r w:rsidR="000A2CD3" w:rsidRPr="002D2F67">
              <w:rPr>
                <w:rFonts w:ascii="Arial" w:hAnsi="Arial" w:cs="Arial"/>
                <w:b/>
                <w:bCs/>
                <w:color w:val="000000"/>
                <w:sz w:val="20"/>
                <w:szCs w:val="20"/>
              </w:rPr>
              <w:t xml:space="preserve"> </w:t>
            </w:r>
          </w:p>
          <w:p w14:paraId="04134F5F" w14:textId="77777777" w:rsidR="000A2CD3" w:rsidRPr="002D2F67" w:rsidRDefault="000A2CD3" w:rsidP="005611FE">
            <w:pPr>
              <w:ind w:right="-72"/>
              <w:jc w:val="right"/>
              <w:rPr>
                <w:rFonts w:ascii="Arial" w:hAnsi="Arial" w:cs="Arial"/>
                <w:b/>
                <w:bCs/>
                <w:color w:val="000000"/>
                <w:sz w:val="20"/>
                <w:szCs w:val="20"/>
              </w:rPr>
            </w:pPr>
            <w:r w:rsidRPr="002D2F67">
              <w:rPr>
                <w:rFonts w:ascii="Arial" w:hAnsi="Arial" w:cs="Arial"/>
                <w:b/>
                <w:bCs/>
                <w:color w:val="000000"/>
                <w:sz w:val="20"/>
                <w:szCs w:val="20"/>
              </w:rPr>
              <w:t>years</w:t>
            </w:r>
          </w:p>
          <w:p w14:paraId="73D89007" w14:textId="77777777" w:rsidR="000A2CD3" w:rsidRPr="002D2F67" w:rsidRDefault="000A2CD3" w:rsidP="005611FE">
            <w:pPr>
              <w:ind w:right="-72"/>
              <w:jc w:val="right"/>
              <w:rPr>
                <w:rFonts w:ascii="Arial" w:hAnsi="Arial" w:cs="Arial"/>
                <w:b/>
                <w:bCs/>
                <w:color w:val="000000"/>
                <w:sz w:val="20"/>
                <w:szCs w:val="20"/>
              </w:rPr>
            </w:pPr>
            <w:r w:rsidRPr="002D2F67">
              <w:rPr>
                <w:rFonts w:ascii="Arial" w:hAnsi="Arial" w:cs="Arial"/>
                <w:b/>
                <w:bCs/>
                <w:color w:val="000000"/>
                <w:sz w:val="20"/>
                <w:szCs w:val="20"/>
              </w:rPr>
              <w:t>Million Baht</w:t>
            </w:r>
          </w:p>
        </w:tc>
        <w:tc>
          <w:tcPr>
            <w:tcW w:w="1152" w:type="dxa"/>
            <w:tcBorders>
              <w:top w:val="single" w:sz="4" w:space="0" w:color="auto"/>
              <w:bottom w:val="single" w:sz="4" w:space="0" w:color="auto"/>
            </w:tcBorders>
            <w:shd w:val="clear" w:color="auto" w:fill="auto"/>
            <w:vAlign w:val="bottom"/>
          </w:tcPr>
          <w:p w14:paraId="700A6635" w14:textId="77777777" w:rsidR="006B50BF" w:rsidRPr="002D2F67" w:rsidRDefault="000A2CD3"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Over </w:t>
            </w:r>
          </w:p>
          <w:p w14:paraId="561A564D" w14:textId="279C06F6" w:rsidR="000A2CD3"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5</w:t>
            </w:r>
            <w:r w:rsidR="000A2CD3" w:rsidRPr="002D2F67">
              <w:rPr>
                <w:rFonts w:ascii="Arial" w:hAnsi="Arial" w:cs="Arial"/>
                <w:b/>
                <w:bCs/>
                <w:color w:val="000000"/>
                <w:sz w:val="20"/>
                <w:szCs w:val="20"/>
              </w:rPr>
              <w:t xml:space="preserve"> years Million Baht</w:t>
            </w:r>
          </w:p>
        </w:tc>
        <w:tc>
          <w:tcPr>
            <w:tcW w:w="1152" w:type="dxa"/>
            <w:tcBorders>
              <w:top w:val="single" w:sz="4" w:space="0" w:color="auto"/>
              <w:bottom w:val="single" w:sz="4" w:space="0" w:color="auto"/>
            </w:tcBorders>
            <w:shd w:val="clear" w:color="auto" w:fill="auto"/>
            <w:vAlign w:val="bottom"/>
          </w:tcPr>
          <w:p w14:paraId="4B6DA841" w14:textId="77777777" w:rsidR="000A2CD3" w:rsidRPr="002D2F67" w:rsidRDefault="000A2CD3"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 </w:t>
            </w:r>
          </w:p>
          <w:p w14:paraId="48DCAF1D" w14:textId="77777777" w:rsidR="000A2CD3" w:rsidRPr="002D2F67" w:rsidRDefault="000A2CD3" w:rsidP="005611FE">
            <w:pPr>
              <w:ind w:right="-72"/>
              <w:jc w:val="right"/>
              <w:rPr>
                <w:rFonts w:ascii="Arial" w:hAnsi="Arial" w:cs="Arial"/>
                <w:b/>
                <w:bCs/>
                <w:color w:val="000000"/>
                <w:sz w:val="20"/>
                <w:szCs w:val="20"/>
              </w:rPr>
            </w:pPr>
            <w:r w:rsidRPr="002D2F67">
              <w:rPr>
                <w:rFonts w:ascii="Arial" w:hAnsi="Arial" w:cs="Arial"/>
                <w:b/>
                <w:bCs/>
                <w:color w:val="000000"/>
                <w:sz w:val="20"/>
                <w:szCs w:val="20"/>
              </w:rPr>
              <w:t>Total</w:t>
            </w:r>
          </w:p>
          <w:p w14:paraId="5536BBC8" w14:textId="77777777" w:rsidR="000A2CD3" w:rsidRPr="002D2F67" w:rsidRDefault="000A2CD3" w:rsidP="005611FE">
            <w:pPr>
              <w:ind w:right="-72"/>
              <w:jc w:val="right"/>
              <w:rPr>
                <w:rFonts w:ascii="Arial" w:hAnsi="Arial" w:cs="Arial"/>
                <w:b/>
                <w:bCs/>
                <w:color w:val="000000"/>
                <w:sz w:val="20"/>
                <w:szCs w:val="20"/>
              </w:rPr>
            </w:pPr>
            <w:r w:rsidRPr="002D2F67">
              <w:rPr>
                <w:rFonts w:ascii="Arial" w:hAnsi="Arial" w:cs="Arial"/>
                <w:b/>
                <w:bCs/>
                <w:color w:val="000000"/>
                <w:sz w:val="20"/>
                <w:szCs w:val="20"/>
              </w:rPr>
              <w:t>Million Baht</w:t>
            </w:r>
          </w:p>
        </w:tc>
        <w:tc>
          <w:tcPr>
            <w:tcW w:w="1152" w:type="dxa"/>
            <w:tcBorders>
              <w:top w:val="single" w:sz="4" w:space="0" w:color="auto"/>
              <w:bottom w:val="single" w:sz="4" w:space="0" w:color="auto"/>
            </w:tcBorders>
            <w:shd w:val="clear" w:color="auto" w:fill="auto"/>
            <w:vAlign w:val="bottom"/>
          </w:tcPr>
          <w:p w14:paraId="5F829B14" w14:textId="77777777" w:rsidR="006B50BF" w:rsidRPr="002D2F67" w:rsidRDefault="006B50BF" w:rsidP="005611FE">
            <w:pPr>
              <w:ind w:right="-72"/>
              <w:jc w:val="right"/>
              <w:rPr>
                <w:rFonts w:ascii="Arial" w:hAnsi="Arial" w:cs="Arial"/>
                <w:b/>
                <w:bCs/>
                <w:color w:val="000000"/>
                <w:sz w:val="20"/>
                <w:szCs w:val="20"/>
              </w:rPr>
            </w:pPr>
            <w:r w:rsidRPr="002D2F67">
              <w:rPr>
                <w:rFonts w:ascii="Arial" w:hAnsi="Arial" w:cs="Arial"/>
                <w:b/>
                <w:bCs/>
                <w:color w:val="000000"/>
                <w:sz w:val="20"/>
                <w:szCs w:val="20"/>
              </w:rPr>
              <w:t>Carrying amount</w:t>
            </w:r>
          </w:p>
          <w:p w14:paraId="2CF8733F" w14:textId="77777777" w:rsidR="000A2CD3" w:rsidRPr="002D2F67" w:rsidRDefault="000A2CD3" w:rsidP="005611FE">
            <w:pPr>
              <w:ind w:right="-72"/>
              <w:jc w:val="right"/>
              <w:rPr>
                <w:rFonts w:ascii="Arial" w:hAnsi="Arial" w:cs="Arial"/>
                <w:b/>
                <w:bCs/>
                <w:color w:val="000000"/>
                <w:sz w:val="20"/>
                <w:szCs w:val="20"/>
              </w:rPr>
            </w:pPr>
            <w:r w:rsidRPr="002D2F67">
              <w:rPr>
                <w:rFonts w:ascii="Arial" w:hAnsi="Arial" w:cs="Arial"/>
                <w:b/>
                <w:bCs/>
                <w:color w:val="000000"/>
                <w:sz w:val="20"/>
                <w:szCs w:val="20"/>
              </w:rPr>
              <w:t>Million Baht</w:t>
            </w:r>
          </w:p>
        </w:tc>
      </w:tr>
      <w:tr w:rsidR="000A2CD3" w:rsidRPr="002D2F67" w14:paraId="04C7DE6E" w14:textId="77777777" w:rsidTr="4A0317FF">
        <w:tc>
          <w:tcPr>
            <w:tcW w:w="3227" w:type="dxa"/>
            <w:shd w:val="clear" w:color="auto" w:fill="auto"/>
            <w:vAlign w:val="bottom"/>
          </w:tcPr>
          <w:p w14:paraId="470962D7" w14:textId="77777777" w:rsidR="000A2CD3" w:rsidRPr="002D2F67" w:rsidRDefault="000A2CD3" w:rsidP="005611FE">
            <w:pPr>
              <w:rPr>
                <w:rFonts w:ascii="Arial" w:hAnsi="Arial" w:cs="Arial"/>
                <w:color w:val="000000"/>
                <w:sz w:val="14"/>
                <w:szCs w:val="14"/>
              </w:rPr>
            </w:pPr>
          </w:p>
        </w:tc>
        <w:tc>
          <w:tcPr>
            <w:tcW w:w="1152" w:type="dxa"/>
            <w:tcBorders>
              <w:top w:val="single" w:sz="4" w:space="0" w:color="auto"/>
            </w:tcBorders>
            <w:shd w:val="clear" w:color="auto" w:fill="auto"/>
            <w:vAlign w:val="bottom"/>
          </w:tcPr>
          <w:p w14:paraId="4E21BADB" w14:textId="77777777" w:rsidR="000A2CD3" w:rsidRPr="002D2F67" w:rsidRDefault="000A2CD3" w:rsidP="005611FE">
            <w:pPr>
              <w:ind w:right="-72"/>
              <w:jc w:val="right"/>
              <w:rPr>
                <w:rFonts w:ascii="Arial" w:hAnsi="Arial" w:cs="Arial"/>
                <w:color w:val="000000"/>
                <w:sz w:val="14"/>
                <w:szCs w:val="14"/>
              </w:rPr>
            </w:pPr>
          </w:p>
        </w:tc>
        <w:tc>
          <w:tcPr>
            <w:tcW w:w="1152" w:type="dxa"/>
            <w:tcBorders>
              <w:top w:val="single" w:sz="4" w:space="0" w:color="auto"/>
            </w:tcBorders>
            <w:shd w:val="clear" w:color="auto" w:fill="auto"/>
            <w:vAlign w:val="bottom"/>
          </w:tcPr>
          <w:p w14:paraId="7F0A3AD9" w14:textId="77777777" w:rsidR="000A2CD3" w:rsidRPr="002D2F67" w:rsidRDefault="000A2CD3" w:rsidP="005611FE">
            <w:pPr>
              <w:ind w:right="-72"/>
              <w:jc w:val="right"/>
              <w:rPr>
                <w:rFonts w:ascii="Arial" w:hAnsi="Arial" w:cs="Arial"/>
                <w:color w:val="000000"/>
                <w:sz w:val="14"/>
                <w:szCs w:val="14"/>
              </w:rPr>
            </w:pPr>
          </w:p>
        </w:tc>
        <w:tc>
          <w:tcPr>
            <w:tcW w:w="1152" w:type="dxa"/>
            <w:tcBorders>
              <w:top w:val="single" w:sz="4" w:space="0" w:color="auto"/>
            </w:tcBorders>
            <w:shd w:val="clear" w:color="auto" w:fill="auto"/>
            <w:vAlign w:val="bottom"/>
          </w:tcPr>
          <w:p w14:paraId="46808820" w14:textId="77777777" w:rsidR="000A2CD3" w:rsidRPr="002D2F67" w:rsidRDefault="000A2CD3" w:rsidP="005611FE">
            <w:pPr>
              <w:ind w:right="-72"/>
              <w:jc w:val="right"/>
              <w:rPr>
                <w:rFonts w:ascii="Arial" w:hAnsi="Arial" w:cs="Arial"/>
                <w:color w:val="000000"/>
                <w:sz w:val="14"/>
                <w:szCs w:val="14"/>
              </w:rPr>
            </w:pPr>
          </w:p>
        </w:tc>
        <w:tc>
          <w:tcPr>
            <w:tcW w:w="1152" w:type="dxa"/>
            <w:tcBorders>
              <w:top w:val="single" w:sz="4" w:space="0" w:color="auto"/>
            </w:tcBorders>
            <w:shd w:val="clear" w:color="auto" w:fill="auto"/>
            <w:vAlign w:val="bottom"/>
          </w:tcPr>
          <w:p w14:paraId="4BF2FFAD" w14:textId="77777777" w:rsidR="000A2CD3" w:rsidRPr="002D2F67" w:rsidRDefault="000A2CD3" w:rsidP="005611FE">
            <w:pPr>
              <w:ind w:right="-72"/>
              <w:jc w:val="right"/>
              <w:rPr>
                <w:rFonts w:ascii="Arial" w:hAnsi="Arial" w:cs="Arial"/>
                <w:color w:val="000000"/>
                <w:sz w:val="14"/>
                <w:szCs w:val="14"/>
              </w:rPr>
            </w:pPr>
          </w:p>
        </w:tc>
        <w:tc>
          <w:tcPr>
            <w:tcW w:w="1152" w:type="dxa"/>
            <w:tcBorders>
              <w:top w:val="single" w:sz="4" w:space="0" w:color="auto"/>
            </w:tcBorders>
            <w:shd w:val="clear" w:color="auto" w:fill="auto"/>
            <w:vAlign w:val="bottom"/>
          </w:tcPr>
          <w:p w14:paraId="444777B3" w14:textId="77777777" w:rsidR="000A2CD3" w:rsidRPr="002D2F67" w:rsidRDefault="000A2CD3" w:rsidP="005611FE">
            <w:pPr>
              <w:ind w:right="-72"/>
              <w:jc w:val="right"/>
              <w:rPr>
                <w:rFonts w:ascii="Arial" w:hAnsi="Arial" w:cs="Arial"/>
                <w:color w:val="000000"/>
                <w:sz w:val="14"/>
                <w:szCs w:val="14"/>
              </w:rPr>
            </w:pPr>
          </w:p>
        </w:tc>
      </w:tr>
      <w:tr w:rsidR="003D5241" w:rsidRPr="002D2F67" w14:paraId="0BFE84D5" w14:textId="77777777" w:rsidTr="4A0317FF">
        <w:tc>
          <w:tcPr>
            <w:tcW w:w="3227" w:type="dxa"/>
            <w:shd w:val="clear" w:color="auto" w:fill="auto"/>
            <w:vAlign w:val="bottom"/>
          </w:tcPr>
          <w:p w14:paraId="1B546C3D" w14:textId="2B607E3A" w:rsidR="003D5241" w:rsidRPr="002D2F67" w:rsidRDefault="003D5241" w:rsidP="005611FE">
            <w:pPr>
              <w:rPr>
                <w:rFonts w:ascii="Arial" w:hAnsi="Arial" w:cs="Arial"/>
                <w:color w:val="000000"/>
                <w:sz w:val="14"/>
                <w:szCs w:val="14"/>
              </w:rPr>
            </w:pPr>
            <w:r w:rsidRPr="002D2F67">
              <w:rPr>
                <w:rFonts w:ascii="Arial" w:hAnsi="Arial" w:cs="Arial"/>
                <w:b/>
                <w:bCs/>
                <w:color w:val="000000"/>
                <w:sz w:val="20"/>
                <w:szCs w:val="20"/>
              </w:rPr>
              <w:t>Non-derivatives</w:t>
            </w:r>
          </w:p>
        </w:tc>
        <w:tc>
          <w:tcPr>
            <w:tcW w:w="1152" w:type="dxa"/>
            <w:shd w:val="clear" w:color="auto" w:fill="auto"/>
            <w:vAlign w:val="bottom"/>
          </w:tcPr>
          <w:p w14:paraId="10C92552" w14:textId="77777777" w:rsidR="003D5241" w:rsidRPr="002D2F67" w:rsidRDefault="003D5241" w:rsidP="005611FE">
            <w:pPr>
              <w:ind w:right="-72"/>
              <w:jc w:val="right"/>
              <w:rPr>
                <w:rFonts w:ascii="Arial" w:hAnsi="Arial" w:cs="Arial"/>
                <w:color w:val="000000"/>
                <w:sz w:val="14"/>
                <w:szCs w:val="14"/>
              </w:rPr>
            </w:pPr>
          </w:p>
        </w:tc>
        <w:tc>
          <w:tcPr>
            <w:tcW w:w="1152" w:type="dxa"/>
            <w:shd w:val="clear" w:color="auto" w:fill="auto"/>
            <w:vAlign w:val="bottom"/>
          </w:tcPr>
          <w:p w14:paraId="0FA9875E" w14:textId="77777777" w:rsidR="003D5241" w:rsidRPr="002D2F67" w:rsidRDefault="003D5241" w:rsidP="005611FE">
            <w:pPr>
              <w:ind w:right="-72"/>
              <w:jc w:val="right"/>
              <w:rPr>
                <w:rFonts w:ascii="Arial" w:hAnsi="Arial" w:cs="Arial"/>
                <w:color w:val="000000"/>
                <w:sz w:val="14"/>
                <w:szCs w:val="14"/>
              </w:rPr>
            </w:pPr>
          </w:p>
        </w:tc>
        <w:tc>
          <w:tcPr>
            <w:tcW w:w="1152" w:type="dxa"/>
            <w:shd w:val="clear" w:color="auto" w:fill="auto"/>
            <w:vAlign w:val="bottom"/>
          </w:tcPr>
          <w:p w14:paraId="75BAED0C" w14:textId="77777777" w:rsidR="003D5241" w:rsidRPr="002D2F67" w:rsidRDefault="003D5241" w:rsidP="005611FE">
            <w:pPr>
              <w:ind w:right="-72"/>
              <w:jc w:val="right"/>
              <w:rPr>
                <w:rFonts w:ascii="Arial" w:hAnsi="Arial" w:cs="Arial"/>
                <w:color w:val="000000"/>
                <w:sz w:val="14"/>
                <w:szCs w:val="14"/>
              </w:rPr>
            </w:pPr>
          </w:p>
        </w:tc>
        <w:tc>
          <w:tcPr>
            <w:tcW w:w="1152" w:type="dxa"/>
            <w:shd w:val="clear" w:color="auto" w:fill="auto"/>
            <w:vAlign w:val="bottom"/>
          </w:tcPr>
          <w:p w14:paraId="1F24E5A4" w14:textId="77777777" w:rsidR="003D5241" w:rsidRPr="002D2F67" w:rsidRDefault="003D5241" w:rsidP="005611FE">
            <w:pPr>
              <w:ind w:right="-72"/>
              <w:jc w:val="right"/>
              <w:rPr>
                <w:rFonts w:ascii="Arial" w:hAnsi="Arial" w:cs="Arial"/>
                <w:color w:val="000000"/>
                <w:sz w:val="14"/>
                <w:szCs w:val="14"/>
              </w:rPr>
            </w:pPr>
          </w:p>
        </w:tc>
        <w:tc>
          <w:tcPr>
            <w:tcW w:w="1152" w:type="dxa"/>
            <w:shd w:val="clear" w:color="auto" w:fill="auto"/>
            <w:vAlign w:val="bottom"/>
          </w:tcPr>
          <w:p w14:paraId="658A76DA" w14:textId="77777777" w:rsidR="003D5241" w:rsidRPr="002D2F67" w:rsidRDefault="003D5241" w:rsidP="005611FE">
            <w:pPr>
              <w:ind w:right="-72"/>
              <w:jc w:val="right"/>
              <w:rPr>
                <w:rFonts w:ascii="Arial" w:hAnsi="Arial" w:cs="Arial"/>
                <w:color w:val="000000"/>
                <w:sz w:val="14"/>
                <w:szCs w:val="14"/>
              </w:rPr>
            </w:pPr>
          </w:p>
        </w:tc>
      </w:tr>
      <w:tr w:rsidR="00A11D70" w:rsidRPr="002D2F67" w14:paraId="29F6A730" w14:textId="77777777" w:rsidTr="4A0317FF">
        <w:tc>
          <w:tcPr>
            <w:tcW w:w="3227" w:type="dxa"/>
            <w:shd w:val="clear" w:color="auto" w:fill="auto"/>
            <w:vAlign w:val="bottom"/>
          </w:tcPr>
          <w:p w14:paraId="047A635D" w14:textId="56793BD2" w:rsidR="00A11D70" w:rsidRPr="002D2F67" w:rsidRDefault="00A11D70" w:rsidP="005611FE">
            <w:pPr>
              <w:ind w:left="177" w:hanging="177"/>
              <w:rPr>
                <w:rFonts w:ascii="Arial" w:hAnsi="Arial" w:cs="Arial"/>
                <w:color w:val="000000"/>
                <w:sz w:val="20"/>
                <w:szCs w:val="20"/>
              </w:rPr>
            </w:pPr>
            <w:r w:rsidRPr="002D2F67">
              <w:rPr>
                <w:rFonts w:ascii="Arial" w:hAnsi="Arial" w:cs="Arial"/>
                <w:color w:val="000000"/>
                <w:sz w:val="20"/>
                <w:szCs w:val="20"/>
              </w:rPr>
              <w:t>Short-term loans from</w:t>
            </w:r>
            <w:r w:rsidR="004905D9" w:rsidRPr="002D2F67">
              <w:rPr>
                <w:rFonts w:ascii="Arial" w:hAnsi="Arial" w:cs="Arial"/>
                <w:color w:val="000000"/>
                <w:sz w:val="20"/>
                <w:szCs w:val="20"/>
              </w:rPr>
              <w:br/>
            </w:r>
            <w:r w:rsidRPr="002D2F67">
              <w:rPr>
                <w:rFonts w:ascii="Arial" w:hAnsi="Arial" w:cs="Arial"/>
                <w:color w:val="000000"/>
                <w:sz w:val="20"/>
                <w:szCs w:val="20"/>
              </w:rPr>
              <w:t>related parties</w:t>
            </w:r>
          </w:p>
        </w:tc>
        <w:tc>
          <w:tcPr>
            <w:tcW w:w="1152" w:type="dxa"/>
            <w:shd w:val="clear" w:color="auto" w:fill="auto"/>
            <w:vAlign w:val="bottom"/>
          </w:tcPr>
          <w:p w14:paraId="6642A559" w14:textId="7F93C343" w:rsidR="00A11D70"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w:t>
            </w:r>
            <w:r w:rsidR="006D5A3D" w:rsidRPr="002D2F67">
              <w:rPr>
                <w:rFonts w:ascii="Arial" w:hAnsi="Arial" w:cs="Arial"/>
                <w:color w:val="000000"/>
                <w:sz w:val="20"/>
                <w:szCs w:val="20"/>
              </w:rPr>
              <w:t>,</w:t>
            </w:r>
            <w:r w:rsidRPr="00CD5714">
              <w:rPr>
                <w:rFonts w:ascii="Arial" w:hAnsi="Arial" w:cs="Arial"/>
                <w:color w:val="000000"/>
                <w:sz w:val="20"/>
                <w:szCs w:val="20"/>
                <w:lang w:val="en-GB"/>
              </w:rPr>
              <w:t>643</w:t>
            </w:r>
          </w:p>
        </w:tc>
        <w:tc>
          <w:tcPr>
            <w:tcW w:w="1152" w:type="dxa"/>
            <w:shd w:val="clear" w:color="auto" w:fill="auto"/>
            <w:vAlign w:val="bottom"/>
          </w:tcPr>
          <w:p w14:paraId="25CE3AE0" w14:textId="28725366" w:rsidR="00A11D70" w:rsidRPr="002D2F67" w:rsidRDefault="006D5A3D"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152" w:type="dxa"/>
            <w:shd w:val="clear" w:color="auto" w:fill="auto"/>
            <w:vAlign w:val="bottom"/>
          </w:tcPr>
          <w:p w14:paraId="73B55A4B" w14:textId="3202E6FA" w:rsidR="00A11D70" w:rsidRPr="002D2F67" w:rsidRDefault="00EA7D46"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152" w:type="dxa"/>
            <w:shd w:val="clear" w:color="auto" w:fill="auto"/>
            <w:vAlign w:val="bottom"/>
          </w:tcPr>
          <w:p w14:paraId="0F55F4EC" w14:textId="1C258CC3" w:rsidR="00A11D70"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w:t>
            </w:r>
            <w:r w:rsidR="009D6757" w:rsidRPr="002D2F67">
              <w:rPr>
                <w:rFonts w:ascii="Arial" w:hAnsi="Arial" w:cs="Arial"/>
                <w:color w:val="000000"/>
                <w:sz w:val="20"/>
                <w:szCs w:val="20"/>
              </w:rPr>
              <w:t>,</w:t>
            </w:r>
            <w:r w:rsidRPr="00CD5714">
              <w:rPr>
                <w:rFonts w:ascii="Arial" w:hAnsi="Arial" w:cs="Arial"/>
                <w:color w:val="000000"/>
                <w:sz w:val="20"/>
                <w:szCs w:val="20"/>
                <w:lang w:val="en-GB"/>
              </w:rPr>
              <w:t>643</w:t>
            </w:r>
          </w:p>
        </w:tc>
        <w:tc>
          <w:tcPr>
            <w:tcW w:w="1152" w:type="dxa"/>
            <w:shd w:val="clear" w:color="auto" w:fill="auto"/>
            <w:vAlign w:val="bottom"/>
          </w:tcPr>
          <w:p w14:paraId="6FA1B701" w14:textId="794F304B" w:rsidR="00A11D70"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w:t>
            </w:r>
            <w:r w:rsidR="009D6757" w:rsidRPr="002D2F67">
              <w:rPr>
                <w:rFonts w:ascii="Arial" w:hAnsi="Arial" w:cs="Arial"/>
                <w:color w:val="000000"/>
                <w:sz w:val="20"/>
                <w:szCs w:val="20"/>
              </w:rPr>
              <w:t>,</w:t>
            </w:r>
            <w:r w:rsidRPr="00CD5714">
              <w:rPr>
                <w:rFonts w:ascii="Arial" w:hAnsi="Arial" w:cs="Arial"/>
                <w:color w:val="000000"/>
                <w:sz w:val="20"/>
                <w:szCs w:val="20"/>
                <w:lang w:val="en-GB"/>
              </w:rPr>
              <w:t>643</w:t>
            </w:r>
          </w:p>
        </w:tc>
      </w:tr>
      <w:tr w:rsidR="00A11D70" w:rsidRPr="002D2F67" w14:paraId="4513145C" w14:textId="77777777" w:rsidTr="4A0317FF">
        <w:tc>
          <w:tcPr>
            <w:tcW w:w="3227" w:type="dxa"/>
            <w:shd w:val="clear" w:color="auto" w:fill="auto"/>
            <w:vAlign w:val="bottom"/>
          </w:tcPr>
          <w:p w14:paraId="4A18A6EC" w14:textId="355BB57B" w:rsidR="00A11D70" w:rsidRPr="002D2F67" w:rsidRDefault="00A60788" w:rsidP="00601F48">
            <w:pPr>
              <w:ind w:left="147" w:hanging="178"/>
              <w:rPr>
                <w:rFonts w:ascii="Arial" w:hAnsi="Arial" w:cs="Arial"/>
                <w:color w:val="000000"/>
                <w:spacing w:val="-2"/>
                <w:sz w:val="20"/>
                <w:szCs w:val="20"/>
              </w:rPr>
            </w:pPr>
            <w:r w:rsidRPr="002D2F67">
              <w:rPr>
                <w:rFonts w:ascii="Arial" w:hAnsi="Arial" w:cs="Arial"/>
                <w:color w:val="000000"/>
                <w:spacing w:val="-2"/>
                <w:sz w:val="20"/>
                <w:szCs w:val="20"/>
              </w:rPr>
              <w:t xml:space="preserve">Trade and other </w:t>
            </w:r>
            <w:r w:rsidR="6B6B2E01" w:rsidRPr="002D2F67">
              <w:rPr>
                <w:rFonts w:ascii="Arial" w:hAnsi="Arial" w:cs="Arial"/>
                <w:color w:val="000000"/>
                <w:spacing w:val="-2"/>
                <w:sz w:val="20"/>
                <w:szCs w:val="20"/>
              </w:rPr>
              <w:t xml:space="preserve">current </w:t>
            </w:r>
            <w:r w:rsidRPr="002D2F67">
              <w:rPr>
                <w:rFonts w:ascii="Arial" w:hAnsi="Arial" w:cs="Arial"/>
                <w:color w:val="000000"/>
                <w:spacing w:val="-2"/>
                <w:sz w:val="20"/>
                <w:szCs w:val="20"/>
              </w:rPr>
              <w:t>accounts payable</w:t>
            </w:r>
            <w:r w:rsidR="00601F48" w:rsidRPr="002D2F67">
              <w:rPr>
                <w:rFonts w:ascii="Arial" w:hAnsi="Arial" w:cs="Arial"/>
                <w:color w:val="000000"/>
                <w:spacing w:val="-2"/>
                <w:sz w:val="20"/>
                <w:szCs w:val="20"/>
              </w:rPr>
              <w:t xml:space="preserve"> </w:t>
            </w:r>
            <w:r w:rsidRPr="002D2F67">
              <w:rPr>
                <w:rFonts w:ascii="Arial" w:hAnsi="Arial" w:cs="Arial"/>
                <w:color w:val="000000"/>
                <w:sz w:val="20"/>
                <w:szCs w:val="20"/>
              </w:rPr>
              <w:t xml:space="preserve">and construction payables and </w:t>
            </w:r>
            <w:r w:rsidR="00601F48" w:rsidRPr="002D2F67">
              <w:rPr>
                <w:rFonts w:ascii="Arial" w:hAnsi="Arial" w:cs="Arial"/>
                <w:color w:val="000000"/>
                <w:sz w:val="20"/>
                <w:szCs w:val="20"/>
              </w:rPr>
              <w:t>payables of purchase of assets</w:t>
            </w:r>
            <w:r w:rsidRPr="002D2F67">
              <w:rPr>
                <w:rFonts w:ascii="Arial" w:hAnsi="Arial" w:cs="Arial"/>
                <w:color w:val="000000"/>
                <w:sz w:val="20"/>
                <w:szCs w:val="20"/>
              </w:rPr>
              <w:t xml:space="preserve">  </w:t>
            </w:r>
          </w:p>
        </w:tc>
        <w:tc>
          <w:tcPr>
            <w:tcW w:w="1152" w:type="dxa"/>
            <w:shd w:val="clear" w:color="auto" w:fill="auto"/>
            <w:vAlign w:val="bottom"/>
          </w:tcPr>
          <w:p w14:paraId="2EC897C8" w14:textId="386A34A4" w:rsidR="00A11D70"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11</w:t>
            </w:r>
            <w:r w:rsidR="006D5A3D" w:rsidRPr="002D2F67">
              <w:rPr>
                <w:rFonts w:ascii="Arial" w:hAnsi="Arial" w:cs="Arial"/>
                <w:color w:val="000000"/>
                <w:sz w:val="20"/>
                <w:szCs w:val="20"/>
              </w:rPr>
              <w:t>,</w:t>
            </w:r>
            <w:r w:rsidRPr="00CD5714">
              <w:rPr>
                <w:rFonts w:ascii="Arial" w:hAnsi="Arial" w:cs="Arial"/>
                <w:color w:val="000000"/>
                <w:sz w:val="20"/>
                <w:szCs w:val="20"/>
                <w:lang w:val="en-GB"/>
              </w:rPr>
              <w:t>141</w:t>
            </w:r>
          </w:p>
        </w:tc>
        <w:tc>
          <w:tcPr>
            <w:tcW w:w="1152" w:type="dxa"/>
            <w:shd w:val="clear" w:color="auto" w:fill="auto"/>
            <w:vAlign w:val="bottom"/>
          </w:tcPr>
          <w:p w14:paraId="6073AAA5" w14:textId="340744CB" w:rsidR="00A11D70" w:rsidRPr="002D2F67" w:rsidRDefault="006D5A3D"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152" w:type="dxa"/>
            <w:shd w:val="clear" w:color="auto" w:fill="auto"/>
            <w:vAlign w:val="bottom"/>
          </w:tcPr>
          <w:p w14:paraId="506677B9" w14:textId="57B1704B" w:rsidR="00A11D70" w:rsidRPr="002D2F67" w:rsidRDefault="00EA7D46"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152" w:type="dxa"/>
            <w:shd w:val="clear" w:color="auto" w:fill="auto"/>
            <w:vAlign w:val="bottom"/>
          </w:tcPr>
          <w:p w14:paraId="060BD0BF" w14:textId="02A7EA35" w:rsidR="00A11D70"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11</w:t>
            </w:r>
            <w:r w:rsidR="009D6757" w:rsidRPr="002D2F67">
              <w:rPr>
                <w:rFonts w:ascii="Arial" w:hAnsi="Arial" w:cs="Arial"/>
                <w:color w:val="000000"/>
                <w:sz w:val="20"/>
                <w:szCs w:val="20"/>
              </w:rPr>
              <w:t>,</w:t>
            </w:r>
            <w:r w:rsidRPr="00CD5714">
              <w:rPr>
                <w:rFonts w:ascii="Arial" w:hAnsi="Arial" w:cs="Arial"/>
                <w:color w:val="000000"/>
                <w:sz w:val="20"/>
                <w:szCs w:val="20"/>
                <w:lang w:val="en-GB"/>
              </w:rPr>
              <w:t>141</w:t>
            </w:r>
          </w:p>
        </w:tc>
        <w:tc>
          <w:tcPr>
            <w:tcW w:w="1152" w:type="dxa"/>
            <w:shd w:val="clear" w:color="auto" w:fill="auto"/>
            <w:vAlign w:val="bottom"/>
          </w:tcPr>
          <w:p w14:paraId="0E53EF61" w14:textId="2451745A" w:rsidR="00A11D70"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11</w:t>
            </w:r>
            <w:r w:rsidR="00AF34D9" w:rsidRPr="002D2F67">
              <w:rPr>
                <w:rFonts w:ascii="Arial" w:hAnsi="Arial" w:cs="Arial"/>
                <w:color w:val="000000"/>
                <w:sz w:val="20"/>
                <w:szCs w:val="20"/>
              </w:rPr>
              <w:t>,</w:t>
            </w:r>
            <w:r w:rsidRPr="00CD5714">
              <w:rPr>
                <w:rFonts w:ascii="Arial" w:hAnsi="Arial" w:cs="Arial"/>
                <w:color w:val="000000"/>
                <w:sz w:val="20"/>
                <w:szCs w:val="20"/>
                <w:lang w:val="en-GB"/>
              </w:rPr>
              <w:t>141</w:t>
            </w:r>
          </w:p>
        </w:tc>
      </w:tr>
      <w:tr w:rsidR="00A11D70" w:rsidRPr="002D2F67" w14:paraId="3EA5D1BA" w14:textId="77777777" w:rsidTr="4A0317FF">
        <w:tc>
          <w:tcPr>
            <w:tcW w:w="3227" w:type="dxa"/>
            <w:shd w:val="clear" w:color="auto" w:fill="auto"/>
            <w:vAlign w:val="bottom"/>
          </w:tcPr>
          <w:p w14:paraId="0800E923" w14:textId="77777777" w:rsidR="00A11D70" w:rsidRPr="002D2F67" w:rsidRDefault="00A11D70" w:rsidP="005611FE">
            <w:pPr>
              <w:ind w:left="177" w:hanging="177"/>
              <w:rPr>
                <w:rFonts w:ascii="Arial" w:hAnsi="Arial" w:cs="Arial"/>
                <w:color w:val="000000"/>
                <w:sz w:val="20"/>
                <w:szCs w:val="20"/>
              </w:rPr>
            </w:pPr>
            <w:r w:rsidRPr="002D2F67">
              <w:rPr>
                <w:rFonts w:ascii="Arial" w:hAnsi="Arial" w:cs="Arial"/>
                <w:color w:val="000000"/>
                <w:sz w:val="20"/>
                <w:szCs w:val="20"/>
              </w:rPr>
              <w:t>Lease liabilities</w:t>
            </w:r>
          </w:p>
        </w:tc>
        <w:tc>
          <w:tcPr>
            <w:tcW w:w="1152" w:type="dxa"/>
            <w:shd w:val="clear" w:color="auto" w:fill="auto"/>
            <w:vAlign w:val="bottom"/>
          </w:tcPr>
          <w:p w14:paraId="25FCA3C8" w14:textId="6E3326E0" w:rsidR="00A11D70" w:rsidRPr="002D2F67" w:rsidRDefault="00CD5714" w:rsidP="005611FE">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10</w:t>
            </w:r>
          </w:p>
        </w:tc>
        <w:tc>
          <w:tcPr>
            <w:tcW w:w="1152" w:type="dxa"/>
            <w:shd w:val="clear" w:color="auto" w:fill="auto"/>
            <w:vAlign w:val="bottom"/>
          </w:tcPr>
          <w:p w14:paraId="6823EEBE" w14:textId="1C9B37B5" w:rsidR="00A11D70" w:rsidRPr="002D2F67" w:rsidRDefault="00CD5714" w:rsidP="005611FE">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88</w:t>
            </w:r>
          </w:p>
        </w:tc>
        <w:tc>
          <w:tcPr>
            <w:tcW w:w="1152" w:type="dxa"/>
            <w:shd w:val="clear" w:color="auto" w:fill="auto"/>
            <w:vAlign w:val="bottom"/>
          </w:tcPr>
          <w:p w14:paraId="458AECFA" w14:textId="36707B6E" w:rsidR="00A11D70" w:rsidRPr="002D2F67" w:rsidRDefault="00CD5714" w:rsidP="005611FE">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202</w:t>
            </w:r>
          </w:p>
        </w:tc>
        <w:tc>
          <w:tcPr>
            <w:tcW w:w="1152" w:type="dxa"/>
            <w:shd w:val="clear" w:color="auto" w:fill="auto"/>
            <w:vAlign w:val="bottom"/>
          </w:tcPr>
          <w:p w14:paraId="7DB2199E" w14:textId="46CC15BB" w:rsidR="00A11D70" w:rsidRPr="002D2F67" w:rsidRDefault="00CD5714" w:rsidP="005611FE">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300</w:t>
            </w:r>
          </w:p>
        </w:tc>
        <w:tc>
          <w:tcPr>
            <w:tcW w:w="1152" w:type="dxa"/>
            <w:shd w:val="clear" w:color="auto" w:fill="auto"/>
            <w:vAlign w:val="bottom"/>
          </w:tcPr>
          <w:p w14:paraId="348DCAB2" w14:textId="0DDF7142" w:rsidR="00A11D70"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264</w:t>
            </w:r>
          </w:p>
        </w:tc>
      </w:tr>
      <w:tr w:rsidR="00A11D70" w:rsidRPr="002D2F67" w14:paraId="1E82F5AA" w14:textId="77777777" w:rsidTr="4A0317FF">
        <w:tc>
          <w:tcPr>
            <w:tcW w:w="3227" w:type="dxa"/>
            <w:shd w:val="clear" w:color="auto" w:fill="auto"/>
            <w:vAlign w:val="bottom"/>
          </w:tcPr>
          <w:p w14:paraId="0C609867" w14:textId="3287A0C7" w:rsidR="00A11D70" w:rsidRPr="002D2F67" w:rsidRDefault="00A11D70" w:rsidP="005611FE">
            <w:pPr>
              <w:ind w:left="177" w:hanging="177"/>
              <w:rPr>
                <w:rFonts w:ascii="Arial" w:hAnsi="Arial" w:cs="Arial"/>
                <w:color w:val="000000"/>
                <w:sz w:val="20"/>
                <w:szCs w:val="20"/>
              </w:rPr>
            </w:pPr>
            <w:r w:rsidRPr="002D2F67">
              <w:rPr>
                <w:rFonts w:ascii="Arial" w:hAnsi="Arial" w:cs="Arial"/>
                <w:color w:val="000000"/>
                <w:sz w:val="20"/>
                <w:szCs w:val="20"/>
              </w:rPr>
              <w:t>Long-term loans from financial institutions and related interests</w:t>
            </w:r>
          </w:p>
        </w:tc>
        <w:tc>
          <w:tcPr>
            <w:tcW w:w="1152" w:type="dxa"/>
            <w:shd w:val="clear" w:color="auto" w:fill="auto"/>
            <w:vAlign w:val="bottom"/>
          </w:tcPr>
          <w:p w14:paraId="70C3508D" w14:textId="20E1B41E" w:rsidR="00A11D70" w:rsidRPr="002D2F67" w:rsidRDefault="00CD5714" w:rsidP="005611FE">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3</w:t>
            </w:r>
            <w:r w:rsidR="006D5A3D" w:rsidRPr="002D2F67">
              <w:rPr>
                <w:rFonts w:ascii="Arial" w:hAnsi="Arial" w:cs="Arial"/>
                <w:color w:val="000000"/>
                <w:sz w:val="20"/>
                <w:szCs w:val="20"/>
              </w:rPr>
              <w:t>,</w:t>
            </w:r>
            <w:r w:rsidRPr="00CD5714">
              <w:rPr>
                <w:rFonts w:ascii="Arial" w:hAnsi="Arial" w:cs="Arial"/>
                <w:color w:val="000000"/>
                <w:sz w:val="20"/>
                <w:szCs w:val="20"/>
                <w:lang w:val="en-GB"/>
              </w:rPr>
              <w:t>227</w:t>
            </w:r>
          </w:p>
        </w:tc>
        <w:tc>
          <w:tcPr>
            <w:tcW w:w="1152" w:type="dxa"/>
            <w:shd w:val="clear" w:color="auto" w:fill="auto"/>
            <w:vAlign w:val="bottom"/>
          </w:tcPr>
          <w:p w14:paraId="0FF626B7" w14:textId="7BDC4220" w:rsidR="00A11D70" w:rsidRPr="002D2F67" w:rsidRDefault="00CD5714" w:rsidP="005611FE">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8</w:t>
            </w:r>
            <w:r w:rsidR="00EA7D46" w:rsidRPr="002D2F67">
              <w:rPr>
                <w:rFonts w:ascii="Arial" w:hAnsi="Arial" w:cs="Arial"/>
                <w:color w:val="000000"/>
                <w:sz w:val="20"/>
                <w:szCs w:val="20"/>
              </w:rPr>
              <w:t>,</w:t>
            </w:r>
            <w:r w:rsidRPr="00CD5714">
              <w:rPr>
                <w:rFonts w:ascii="Arial" w:hAnsi="Arial" w:cs="Arial"/>
                <w:color w:val="000000"/>
                <w:sz w:val="20"/>
                <w:szCs w:val="20"/>
                <w:lang w:val="en-GB"/>
              </w:rPr>
              <w:t>464</w:t>
            </w:r>
          </w:p>
        </w:tc>
        <w:tc>
          <w:tcPr>
            <w:tcW w:w="1152" w:type="dxa"/>
            <w:shd w:val="clear" w:color="auto" w:fill="auto"/>
            <w:vAlign w:val="bottom"/>
          </w:tcPr>
          <w:p w14:paraId="7137E6C3" w14:textId="3FFCEEB9" w:rsidR="00A11D70" w:rsidRPr="002D2F67" w:rsidRDefault="00CD5714" w:rsidP="005611FE">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746</w:t>
            </w:r>
          </w:p>
        </w:tc>
        <w:tc>
          <w:tcPr>
            <w:tcW w:w="1152" w:type="dxa"/>
            <w:shd w:val="clear" w:color="auto" w:fill="auto"/>
            <w:vAlign w:val="bottom"/>
          </w:tcPr>
          <w:p w14:paraId="089CAE18" w14:textId="0B40F3A5" w:rsidR="00A11D70" w:rsidRPr="002D2F67" w:rsidRDefault="00CD5714" w:rsidP="005611FE">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12</w:t>
            </w:r>
            <w:r w:rsidR="009D6757" w:rsidRPr="002D2F67">
              <w:rPr>
                <w:rFonts w:ascii="Arial" w:hAnsi="Arial" w:cs="Arial"/>
                <w:color w:val="000000"/>
                <w:sz w:val="20"/>
                <w:szCs w:val="20"/>
              </w:rPr>
              <w:t>,</w:t>
            </w:r>
            <w:r w:rsidRPr="00CD5714">
              <w:rPr>
                <w:rFonts w:ascii="Arial" w:hAnsi="Arial" w:cs="Arial"/>
                <w:color w:val="000000"/>
                <w:sz w:val="20"/>
                <w:szCs w:val="20"/>
                <w:lang w:val="en-GB"/>
              </w:rPr>
              <w:t>437</w:t>
            </w:r>
          </w:p>
        </w:tc>
        <w:tc>
          <w:tcPr>
            <w:tcW w:w="1152" w:type="dxa"/>
            <w:shd w:val="clear" w:color="auto" w:fill="auto"/>
            <w:vAlign w:val="bottom"/>
          </w:tcPr>
          <w:p w14:paraId="7DCF8DE1" w14:textId="2DFAE879" w:rsidR="00A11D70"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11</w:t>
            </w:r>
            <w:r w:rsidR="00AF34D9" w:rsidRPr="002D2F67">
              <w:rPr>
                <w:rFonts w:ascii="Arial" w:hAnsi="Arial" w:cs="Arial"/>
                <w:color w:val="000000"/>
                <w:sz w:val="20"/>
                <w:szCs w:val="20"/>
              </w:rPr>
              <w:t>,</w:t>
            </w:r>
            <w:r w:rsidRPr="00CD5714">
              <w:rPr>
                <w:rFonts w:ascii="Arial" w:hAnsi="Arial" w:cs="Arial"/>
                <w:color w:val="000000"/>
                <w:sz w:val="20"/>
                <w:szCs w:val="20"/>
                <w:lang w:val="en-GB"/>
              </w:rPr>
              <w:t>687</w:t>
            </w:r>
          </w:p>
        </w:tc>
      </w:tr>
      <w:tr w:rsidR="00A11D70" w:rsidRPr="002D2F67" w14:paraId="438D5EA4" w14:textId="77777777" w:rsidTr="4A0317FF">
        <w:tc>
          <w:tcPr>
            <w:tcW w:w="3227" w:type="dxa"/>
            <w:shd w:val="clear" w:color="auto" w:fill="auto"/>
            <w:vAlign w:val="bottom"/>
          </w:tcPr>
          <w:p w14:paraId="2117373A" w14:textId="77777777" w:rsidR="00A11D70" w:rsidRPr="002D2F67" w:rsidRDefault="00A11D70" w:rsidP="005611FE">
            <w:pPr>
              <w:ind w:left="177" w:hanging="177"/>
              <w:rPr>
                <w:rFonts w:ascii="Arial" w:hAnsi="Arial" w:cs="Arial"/>
                <w:color w:val="000000"/>
                <w:sz w:val="20"/>
                <w:szCs w:val="20"/>
              </w:rPr>
            </w:pPr>
            <w:r w:rsidRPr="002D2F67">
              <w:rPr>
                <w:rFonts w:ascii="Arial" w:hAnsi="Arial" w:cs="Arial"/>
                <w:color w:val="000000"/>
                <w:sz w:val="20"/>
                <w:szCs w:val="20"/>
              </w:rPr>
              <w:t>Debentures and related interests</w:t>
            </w:r>
          </w:p>
        </w:tc>
        <w:tc>
          <w:tcPr>
            <w:tcW w:w="1152" w:type="dxa"/>
            <w:tcBorders>
              <w:bottom w:val="single" w:sz="4" w:space="0" w:color="auto"/>
            </w:tcBorders>
            <w:shd w:val="clear" w:color="auto" w:fill="auto"/>
            <w:vAlign w:val="bottom"/>
          </w:tcPr>
          <w:p w14:paraId="12AE75F4" w14:textId="4F548602" w:rsidR="00A11D70" w:rsidRPr="002D2F67" w:rsidRDefault="00CD5714" w:rsidP="005611FE">
            <w:pPr>
              <w:ind w:right="-72"/>
              <w:jc w:val="right"/>
              <w:rPr>
                <w:rFonts w:ascii="Arial" w:hAnsi="Arial" w:cs="Arial"/>
                <w:color w:val="000000"/>
                <w:sz w:val="20"/>
                <w:szCs w:val="22"/>
              </w:rPr>
            </w:pPr>
            <w:r w:rsidRPr="00CD5714">
              <w:rPr>
                <w:rFonts w:ascii="Arial" w:hAnsi="Arial" w:cs="Arial"/>
                <w:color w:val="000000"/>
                <w:sz w:val="20"/>
                <w:szCs w:val="22"/>
                <w:lang w:val="en-GB"/>
              </w:rPr>
              <w:t>8</w:t>
            </w:r>
            <w:r w:rsidR="006D5A3D" w:rsidRPr="002D2F67">
              <w:rPr>
                <w:rFonts w:ascii="Arial" w:hAnsi="Arial" w:cs="Arial"/>
                <w:color w:val="000000"/>
                <w:sz w:val="20"/>
                <w:szCs w:val="22"/>
              </w:rPr>
              <w:t>,</w:t>
            </w:r>
            <w:r w:rsidRPr="00CD5714">
              <w:rPr>
                <w:rFonts w:ascii="Arial" w:hAnsi="Arial" w:cs="Arial"/>
                <w:color w:val="000000"/>
                <w:sz w:val="20"/>
                <w:szCs w:val="22"/>
                <w:lang w:val="en-GB"/>
              </w:rPr>
              <w:t>219</w:t>
            </w:r>
          </w:p>
        </w:tc>
        <w:tc>
          <w:tcPr>
            <w:tcW w:w="1152" w:type="dxa"/>
            <w:tcBorders>
              <w:bottom w:val="single" w:sz="4" w:space="0" w:color="auto"/>
            </w:tcBorders>
            <w:shd w:val="clear" w:color="auto" w:fill="auto"/>
            <w:vAlign w:val="bottom"/>
          </w:tcPr>
          <w:p w14:paraId="49EFC8DD" w14:textId="7A36D528" w:rsidR="00A11D70"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19</w:t>
            </w:r>
            <w:r w:rsidR="00EA7D46" w:rsidRPr="002D2F67">
              <w:rPr>
                <w:rFonts w:ascii="Arial" w:hAnsi="Arial" w:cs="Arial"/>
                <w:color w:val="000000"/>
                <w:sz w:val="20"/>
                <w:szCs w:val="20"/>
              </w:rPr>
              <w:t>,</w:t>
            </w:r>
            <w:r w:rsidRPr="00CD5714">
              <w:rPr>
                <w:rFonts w:ascii="Arial" w:hAnsi="Arial" w:cs="Arial"/>
                <w:color w:val="000000"/>
                <w:sz w:val="20"/>
                <w:szCs w:val="20"/>
                <w:lang w:val="en-GB"/>
              </w:rPr>
              <w:t>942</w:t>
            </w:r>
          </w:p>
        </w:tc>
        <w:tc>
          <w:tcPr>
            <w:tcW w:w="1152" w:type="dxa"/>
            <w:tcBorders>
              <w:bottom w:val="single" w:sz="4" w:space="0" w:color="auto"/>
            </w:tcBorders>
            <w:shd w:val="clear" w:color="auto" w:fill="auto"/>
            <w:vAlign w:val="bottom"/>
          </w:tcPr>
          <w:p w14:paraId="0EF99B1B" w14:textId="15B17FB4" w:rsidR="00A11D70"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5</w:t>
            </w:r>
            <w:r w:rsidR="00637D6F" w:rsidRPr="002D2F67">
              <w:rPr>
                <w:rFonts w:ascii="Arial" w:hAnsi="Arial" w:cs="Arial"/>
                <w:color w:val="000000"/>
                <w:sz w:val="20"/>
                <w:szCs w:val="20"/>
              </w:rPr>
              <w:t>,</w:t>
            </w:r>
            <w:r w:rsidRPr="00CD5714">
              <w:rPr>
                <w:rFonts w:ascii="Arial" w:hAnsi="Arial" w:cs="Arial"/>
                <w:color w:val="000000"/>
                <w:sz w:val="20"/>
                <w:szCs w:val="20"/>
                <w:lang w:val="en-GB"/>
              </w:rPr>
              <w:t>996</w:t>
            </w:r>
          </w:p>
        </w:tc>
        <w:tc>
          <w:tcPr>
            <w:tcW w:w="1152" w:type="dxa"/>
            <w:tcBorders>
              <w:bottom w:val="single" w:sz="4" w:space="0" w:color="auto"/>
            </w:tcBorders>
            <w:shd w:val="clear" w:color="auto" w:fill="auto"/>
            <w:vAlign w:val="bottom"/>
          </w:tcPr>
          <w:p w14:paraId="18C025F7" w14:textId="5AAD3EFB" w:rsidR="00A11D70"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34</w:t>
            </w:r>
            <w:r w:rsidR="009D6757" w:rsidRPr="002D2F67">
              <w:rPr>
                <w:rFonts w:ascii="Arial" w:hAnsi="Arial" w:cs="Arial"/>
                <w:color w:val="000000"/>
                <w:sz w:val="20"/>
                <w:szCs w:val="20"/>
              </w:rPr>
              <w:t>,</w:t>
            </w:r>
            <w:r w:rsidRPr="00CD5714">
              <w:rPr>
                <w:rFonts w:ascii="Arial" w:hAnsi="Arial" w:cs="Arial"/>
                <w:color w:val="000000"/>
                <w:sz w:val="20"/>
                <w:szCs w:val="20"/>
                <w:lang w:val="en-GB"/>
              </w:rPr>
              <w:t>157</w:t>
            </w:r>
          </w:p>
        </w:tc>
        <w:tc>
          <w:tcPr>
            <w:tcW w:w="1152" w:type="dxa"/>
            <w:tcBorders>
              <w:bottom w:val="single" w:sz="4" w:space="0" w:color="auto"/>
            </w:tcBorders>
            <w:shd w:val="clear" w:color="auto" w:fill="auto"/>
            <w:vAlign w:val="bottom"/>
          </w:tcPr>
          <w:p w14:paraId="1E7D2F54" w14:textId="16D6DF93" w:rsidR="00A11D70"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31</w:t>
            </w:r>
            <w:r w:rsidR="00AF34D9" w:rsidRPr="002D2F67">
              <w:rPr>
                <w:rFonts w:ascii="Arial" w:hAnsi="Arial" w:cs="Arial"/>
                <w:color w:val="000000"/>
                <w:sz w:val="20"/>
                <w:szCs w:val="20"/>
              </w:rPr>
              <w:t>,</w:t>
            </w:r>
            <w:r w:rsidRPr="00CD5714">
              <w:rPr>
                <w:rFonts w:ascii="Arial" w:hAnsi="Arial" w:cs="Arial"/>
                <w:color w:val="000000"/>
                <w:sz w:val="20"/>
                <w:szCs w:val="20"/>
                <w:lang w:val="en-GB"/>
              </w:rPr>
              <w:t>152</w:t>
            </w:r>
          </w:p>
        </w:tc>
      </w:tr>
      <w:tr w:rsidR="0098515B" w:rsidRPr="002D2F67" w14:paraId="12DA7672" w14:textId="77777777" w:rsidTr="4A0317FF">
        <w:tc>
          <w:tcPr>
            <w:tcW w:w="3227" w:type="dxa"/>
            <w:shd w:val="clear" w:color="auto" w:fill="auto"/>
            <w:vAlign w:val="bottom"/>
          </w:tcPr>
          <w:p w14:paraId="21748B1A" w14:textId="77777777" w:rsidR="0098515B" w:rsidRPr="002D2F67" w:rsidRDefault="0098515B" w:rsidP="005611FE">
            <w:pPr>
              <w:rPr>
                <w:rFonts w:ascii="Arial" w:hAnsi="Arial" w:cs="Arial"/>
                <w:b/>
                <w:bCs/>
                <w:color w:val="000000"/>
                <w:sz w:val="14"/>
                <w:szCs w:val="14"/>
              </w:rPr>
            </w:pPr>
          </w:p>
        </w:tc>
        <w:tc>
          <w:tcPr>
            <w:tcW w:w="1152" w:type="dxa"/>
            <w:tcBorders>
              <w:top w:val="single" w:sz="4" w:space="0" w:color="auto"/>
            </w:tcBorders>
            <w:shd w:val="clear" w:color="auto" w:fill="auto"/>
            <w:vAlign w:val="bottom"/>
          </w:tcPr>
          <w:p w14:paraId="0F092FE7" w14:textId="77777777" w:rsidR="0098515B" w:rsidRPr="002D2F67" w:rsidRDefault="0098515B" w:rsidP="005611FE">
            <w:pPr>
              <w:ind w:left="-138" w:right="-72"/>
              <w:jc w:val="right"/>
              <w:rPr>
                <w:rFonts w:ascii="Arial" w:hAnsi="Arial" w:cs="Arial"/>
                <w:b/>
                <w:bCs/>
                <w:color w:val="000000"/>
                <w:sz w:val="14"/>
                <w:szCs w:val="14"/>
              </w:rPr>
            </w:pPr>
          </w:p>
        </w:tc>
        <w:tc>
          <w:tcPr>
            <w:tcW w:w="1152" w:type="dxa"/>
            <w:tcBorders>
              <w:top w:val="single" w:sz="4" w:space="0" w:color="auto"/>
            </w:tcBorders>
            <w:shd w:val="clear" w:color="auto" w:fill="auto"/>
            <w:vAlign w:val="bottom"/>
          </w:tcPr>
          <w:p w14:paraId="6E7F6105" w14:textId="77777777" w:rsidR="0098515B" w:rsidRPr="002D2F67" w:rsidRDefault="0098515B" w:rsidP="005611FE">
            <w:pPr>
              <w:ind w:left="-138" w:right="-72"/>
              <w:jc w:val="right"/>
              <w:rPr>
                <w:rFonts w:ascii="Arial" w:hAnsi="Arial" w:cs="Arial"/>
                <w:b/>
                <w:bCs/>
                <w:color w:val="000000"/>
                <w:sz w:val="14"/>
                <w:szCs w:val="14"/>
              </w:rPr>
            </w:pPr>
          </w:p>
        </w:tc>
        <w:tc>
          <w:tcPr>
            <w:tcW w:w="1152" w:type="dxa"/>
            <w:tcBorders>
              <w:top w:val="single" w:sz="4" w:space="0" w:color="auto"/>
            </w:tcBorders>
            <w:shd w:val="clear" w:color="auto" w:fill="auto"/>
            <w:vAlign w:val="bottom"/>
          </w:tcPr>
          <w:p w14:paraId="27B9EE2F" w14:textId="77777777" w:rsidR="0098515B" w:rsidRPr="002D2F67" w:rsidRDefault="0098515B" w:rsidP="005611FE">
            <w:pPr>
              <w:ind w:left="-138" w:right="-72"/>
              <w:jc w:val="right"/>
              <w:rPr>
                <w:rFonts w:ascii="Arial" w:hAnsi="Arial" w:cs="Arial"/>
                <w:b/>
                <w:bCs/>
                <w:color w:val="000000"/>
                <w:sz w:val="14"/>
                <w:szCs w:val="14"/>
              </w:rPr>
            </w:pPr>
          </w:p>
        </w:tc>
        <w:tc>
          <w:tcPr>
            <w:tcW w:w="1152" w:type="dxa"/>
            <w:tcBorders>
              <w:top w:val="single" w:sz="4" w:space="0" w:color="auto"/>
            </w:tcBorders>
            <w:shd w:val="clear" w:color="auto" w:fill="auto"/>
            <w:vAlign w:val="bottom"/>
          </w:tcPr>
          <w:p w14:paraId="22F3542C" w14:textId="77777777" w:rsidR="0098515B" w:rsidRPr="002D2F67" w:rsidRDefault="0098515B" w:rsidP="005611FE">
            <w:pPr>
              <w:ind w:left="-138" w:right="-72"/>
              <w:jc w:val="right"/>
              <w:rPr>
                <w:rFonts w:ascii="Arial" w:hAnsi="Arial" w:cs="Arial"/>
                <w:b/>
                <w:bCs/>
                <w:color w:val="000000"/>
                <w:sz w:val="14"/>
                <w:szCs w:val="14"/>
              </w:rPr>
            </w:pPr>
          </w:p>
        </w:tc>
        <w:tc>
          <w:tcPr>
            <w:tcW w:w="1152" w:type="dxa"/>
            <w:tcBorders>
              <w:top w:val="single" w:sz="4" w:space="0" w:color="auto"/>
            </w:tcBorders>
            <w:shd w:val="clear" w:color="auto" w:fill="auto"/>
            <w:vAlign w:val="bottom"/>
          </w:tcPr>
          <w:p w14:paraId="6BF0E051" w14:textId="77777777" w:rsidR="0098515B" w:rsidRPr="002D2F67" w:rsidRDefault="0098515B" w:rsidP="005611FE">
            <w:pPr>
              <w:ind w:left="-138" w:right="-72"/>
              <w:jc w:val="right"/>
              <w:rPr>
                <w:rFonts w:ascii="Arial" w:hAnsi="Arial" w:cs="Arial"/>
                <w:b/>
                <w:bCs/>
                <w:color w:val="000000"/>
                <w:sz w:val="14"/>
                <w:szCs w:val="14"/>
              </w:rPr>
            </w:pPr>
          </w:p>
        </w:tc>
      </w:tr>
      <w:tr w:rsidR="00566681" w:rsidRPr="002D2F67" w14:paraId="0318F150" w14:textId="77777777" w:rsidTr="4A0317FF">
        <w:tc>
          <w:tcPr>
            <w:tcW w:w="3227" w:type="dxa"/>
            <w:shd w:val="clear" w:color="auto" w:fill="auto"/>
            <w:vAlign w:val="bottom"/>
          </w:tcPr>
          <w:p w14:paraId="4DB18534" w14:textId="77777777" w:rsidR="00351EC5" w:rsidRPr="002D2F67" w:rsidRDefault="00566681" w:rsidP="00351EC5">
            <w:pPr>
              <w:ind w:left="-31"/>
              <w:rPr>
                <w:rFonts w:ascii="Arial" w:hAnsi="Arial" w:cs="Arial"/>
                <w:b/>
                <w:bCs/>
                <w:color w:val="000000"/>
                <w:sz w:val="20"/>
                <w:szCs w:val="20"/>
              </w:rPr>
            </w:pPr>
            <w:r w:rsidRPr="002D2F67">
              <w:rPr>
                <w:rFonts w:ascii="Arial" w:hAnsi="Arial" w:cs="Arial"/>
                <w:b/>
                <w:bCs/>
                <w:color w:val="000000"/>
                <w:sz w:val="20"/>
                <w:szCs w:val="20"/>
              </w:rPr>
              <w:t>Total</w:t>
            </w:r>
            <w:r w:rsidR="000A489D" w:rsidRPr="002D2F67">
              <w:rPr>
                <w:rFonts w:ascii="Arial" w:hAnsi="Arial" w:cs="Arial"/>
                <w:b/>
                <w:bCs/>
                <w:color w:val="000000"/>
                <w:sz w:val="20"/>
                <w:szCs w:val="20"/>
              </w:rPr>
              <w:t xml:space="preserve"> </w:t>
            </w:r>
            <w:r w:rsidR="00351EC5" w:rsidRPr="002D2F67">
              <w:rPr>
                <w:rFonts w:ascii="Arial" w:hAnsi="Arial" w:cs="Arial"/>
                <w:b/>
                <w:bCs/>
                <w:color w:val="000000"/>
                <w:sz w:val="20"/>
                <w:szCs w:val="20"/>
              </w:rPr>
              <w:t>non</w:t>
            </w:r>
            <w:r w:rsidR="000A489D" w:rsidRPr="002D2F67">
              <w:rPr>
                <w:rFonts w:ascii="Arial" w:hAnsi="Arial" w:cs="Arial"/>
                <w:b/>
                <w:bCs/>
                <w:color w:val="000000"/>
                <w:sz w:val="20"/>
                <w:szCs w:val="20"/>
              </w:rPr>
              <w:t>-derivatives</w:t>
            </w:r>
            <w:r w:rsidR="00351EC5" w:rsidRPr="002D2F67">
              <w:rPr>
                <w:rFonts w:ascii="Arial" w:hAnsi="Arial" w:cs="Arial"/>
                <w:b/>
                <w:bCs/>
                <w:color w:val="000000"/>
                <w:sz w:val="20"/>
                <w:szCs w:val="20"/>
              </w:rPr>
              <w:t xml:space="preserve"> </w:t>
            </w:r>
          </w:p>
          <w:p w14:paraId="61FE9FFF" w14:textId="2E500D09" w:rsidR="00566681" w:rsidRPr="002D2F67" w:rsidRDefault="00351EC5" w:rsidP="00351EC5">
            <w:pPr>
              <w:ind w:firstLine="136"/>
              <w:rPr>
                <w:rFonts w:ascii="Arial" w:hAnsi="Arial" w:cs="Arial"/>
                <w:b/>
                <w:bCs/>
                <w:color w:val="000000"/>
                <w:sz w:val="20"/>
                <w:szCs w:val="20"/>
              </w:rPr>
            </w:pPr>
            <w:r w:rsidRPr="002D2F67">
              <w:rPr>
                <w:rFonts w:ascii="Arial" w:hAnsi="Arial" w:cs="Arial"/>
                <w:b/>
                <w:bCs/>
                <w:color w:val="000000"/>
                <w:sz w:val="20"/>
                <w:szCs w:val="20"/>
              </w:rPr>
              <w:t>financial liabilities</w:t>
            </w:r>
          </w:p>
        </w:tc>
        <w:tc>
          <w:tcPr>
            <w:tcW w:w="1152" w:type="dxa"/>
            <w:tcBorders>
              <w:bottom w:val="single" w:sz="4" w:space="0" w:color="auto"/>
            </w:tcBorders>
            <w:shd w:val="clear" w:color="auto" w:fill="auto"/>
            <w:vAlign w:val="center"/>
          </w:tcPr>
          <w:p w14:paraId="3BDCE639" w14:textId="77777777" w:rsidR="00351EC5" w:rsidRPr="002D2F67" w:rsidRDefault="00351EC5" w:rsidP="005611FE">
            <w:pPr>
              <w:ind w:right="-72"/>
              <w:jc w:val="right"/>
              <w:rPr>
                <w:rFonts w:ascii="Arial" w:hAnsi="Arial" w:cs="Arial"/>
                <w:color w:val="000000"/>
                <w:sz w:val="20"/>
                <w:szCs w:val="20"/>
              </w:rPr>
            </w:pPr>
          </w:p>
          <w:p w14:paraId="004CD667" w14:textId="54D2E11C" w:rsidR="00566681" w:rsidRPr="002D2F67" w:rsidRDefault="00CD5714" w:rsidP="005611FE">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27</w:t>
            </w:r>
            <w:r w:rsidR="666865EC" w:rsidRPr="002D2F67">
              <w:rPr>
                <w:rFonts w:ascii="Arial" w:hAnsi="Arial" w:cs="Arial"/>
                <w:color w:val="000000"/>
                <w:sz w:val="20"/>
                <w:szCs w:val="20"/>
              </w:rPr>
              <w:t>,</w:t>
            </w:r>
            <w:r w:rsidRPr="00CD5714">
              <w:rPr>
                <w:rFonts w:ascii="Arial" w:hAnsi="Arial" w:cs="Arial"/>
                <w:color w:val="000000"/>
                <w:sz w:val="20"/>
                <w:szCs w:val="20"/>
                <w:lang w:val="en-GB"/>
              </w:rPr>
              <w:t>240</w:t>
            </w:r>
          </w:p>
        </w:tc>
        <w:tc>
          <w:tcPr>
            <w:tcW w:w="1152" w:type="dxa"/>
            <w:tcBorders>
              <w:bottom w:val="single" w:sz="4" w:space="0" w:color="auto"/>
            </w:tcBorders>
            <w:shd w:val="clear" w:color="auto" w:fill="auto"/>
            <w:vAlign w:val="center"/>
          </w:tcPr>
          <w:p w14:paraId="31700188" w14:textId="77777777" w:rsidR="00351EC5" w:rsidRPr="002D2F67" w:rsidRDefault="00351EC5" w:rsidP="005611FE">
            <w:pPr>
              <w:ind w:right="-72"/>
              <w:jc w:val="right"/>
              <w:rPr>
                <w:rFonts w:ascii="Arial" w:hAnsi="Arial" w:cs="Arial"/>
                <w:color w:val="000000"/>
                <w:sz w:val="20"/>
                <w:szCs w:val="20"/>
              </w:rPr>
            </w:pPr>
          </w:p>
          <w:p w14:paraId="1EC9DBF3" w14:textId="340DBD7B" w:rsidR="00566681" w:rsidRPr="002D2F67" w:rsidRDefault="00CD5714" w:rsidP="005611FE">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28</w:t>
            </w:r>
            <w:r w:rsidR="336B0B5E" w:rsidRPr="002D2F67">
              <w:rPr>
                <w:rFonts w:ascii="Arial" w:hAnsi="Arial" w:cs="Arial"/>
                <w:color w:val="000000"/>
                <w:sz w:val="20"/>
                <w:szCs w:val="20"/>
              </w:rPr>
              <w:t>,</w:t>
            </w:r>
            <w:r w:rsidRPr="00CD5714">
              <w:rPr>
                <w:rFonts w:ascii="Arial" w:hAnsi="Arial" w:cs="Arial"/>
                <w:color w:val="000000"/>
                <w:sz w:val="20"/>
                <w:szCs w:val="20"/>
                <w:lang w:val="en-GB"/>
              </w:rPr>
              <w:t>494</w:t>
            </w:r>
          </w:p>
        </w:tc>
        <w:tc>
          <w:tcPr>
            <w:tcW w:w="1152" w:type="dxa"/>
            <w:tcBorders>
              <w:bottom w:val="single" w:sz="4" w:space="0" w:color="auto"/>
            </w:tcBorders>
            <w:shd w:val="clear" w:color="auto" w:fill="auto"/>
            <w:vAlign w:val="center"/>
          </w:tcPr>
          <w:p w14:paraId="489EC7F4" w14:textId="77777777" w:rsidR="00351EC5" w:rsidRPr="002D2F67" w:rsidRDefault="00351EC5" w:rsidP="005611FE">
            <w:pPr>
              <w:ind w:right="-72"/>
              <w:jc w:val="right"/>
              <w:rPr>
                <w:rFonts w:ascii="Arial" w:hAnsi="Arial" w:cs="Arial"/>
                <w:color w:val="000000"/>
                <w:sz w:val="20"/>
                <w:szCs w:val="20"/>
              </w:rPr>
            </w:pPr>
          </w:p>
          <w:p w14:paraId="4107CB67" w14:textId="1E0AEFAD" w:rsidR="00566681" w:rsidRPr="002D2F67" w:rsidRDefault="00CD5714" w:rsidP="005611FE">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6</w:t>
            </w:r>
            <w:r w:rsidR="00C20E39" w:rsidRPr="002D2F67">
              <w:rPr>
                <w:rFonts w:ascii="Arial" w:hAnsi="Arial" w:cs="Arial"/>
                <w:color w:val="000000"/>
                <w:sz w:val="20"/>
                <w:szCs w:val="20"/>
              </w:rPr>
              <w:t>,</w:t>
            </w:r>
            <w:r w:rsidRPr="00CD5714">
              <w:rPr>
                <w:rFonts w:ascii="Arial" w:hAnsi="Arial" w:cs="Arial"/>
                <w:color w:val="000000"/>
                <w:sz w:val="20"/>
                <w:szCs w:val="20"/>
                <w:lang w:val="en-GB"/>
              </w:rPr>
              <w:t>944</w:t>
            </w:r>
          </w:p>
        </w:tc>
        <w:tc>
          <w:tcPr>
            <w:tcW w:w="1152" w:type="dxa"/>
            <w:tcBorders>
              <w:bottom w:val="single" w:sz="4" w:space="0" w:color="auto"/>
            </w:tcBorders>
            <w:shd w:val="clear" w:color="auto" w:fill="auto"/>
            <w:vAlign w:val="center"/>
          </w:tcPr>
          <w:p w14:paraId="505AFD86" w14:textId="77777777" w:rsidR="00351EC5" w:rsidRPr="002D2F67" w:rsidRDefault="00351EC5" w:rsidP="005611FE">
            <w:pPr>
              <w:ind w:right="-72"/>
              <w:jc w:val="right"/>
              <w:rPr>
                <w:rFonts w:ascii="Arial" w:hAnsi="Arial" w:cs="Arial"/>
                <w:color w:val="000000"/>
                <w:sz w:val="20"/>
                <w:szCs w:val="20"/>
              </w:rPr>
            </w:pPr>
          </w:p>
          <w:p w14:paraId="6312F346" w14:textId="229E3A55" w:rsidR="00566681" w:rsidRPr="002D2F67" w:rsidRDefault="00CD5714" w:rsidP="005611FE">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62</w:t>
            </w:r>
            <w:r w:rsidR="4F46D07C" w:rsidRPr="002D2F67">
              <w:rPr>
                <w:rFonts w:ascii="Arial" w:hAnsi="Arial" w:cs="Arial"/>
                <w:color w:val="000000"/>
                <w:sz w:val="20"/>
                <w:szCs w:val="20"/>
              </w:rPr>
              <w:t>,</w:t>
            </w:r>
            <w:r w:rsidRPr="00CD5714">
              <w:rPr>
                <w:rFonts w:ascii="Arial" w:hAnsi="Arial" w:cs="Arial"/>
                <w:color w:val="000000"/>
                <w:sz w:val="20"/>
                <w:szCs w:val="20"/>
                <w:lang w:val="en-GB"/>
              </w:rPr>
              <w:t>678</w:t>
            </w:r>
          </w:p>
        </w:tc>
        <w:tc>
          <w:tcPr>
            <w:tcW w:w="1152" w:type="dxa"/>
            <w:tcBorders>
              <w:bottom w:val="single" w:sz="4" w:space="0" w:color="auto"/>
            </w:tcBorders>
            <w:shd w:val="clear" w:color="auto" w:fill="auto"/>
            <w:vAlign w:val="center"/>
          </w:tcPr>
          <w:p w14:paraId="0B8254A8" w14:textId="77777777" w:rsidR="00351EC5" w:rsidRPr="002D2F67" w:rsidRDefault="00351EC5" w:rsidP="005611FE">
            <w:pPr>
              <w:ind w:right="-72"/>
              <w:jc w:val="right"/>
              <w:rPr>
                <w:rFonts w:ascii="Arial" w:hAnsi="Arial" w:cs="Arial"/>
                <w:color w:val="000000"/>
                <w:sz w:val="20"/>
                <w:szCs w:val="20"/>
              </w:rPr>
            </w:pPr>
          </w:p>
          <w:p w14:paraId="690BC1DC" w14:textId="35FD2D40" w:rsidR="00566681" w:rsidRPr="002D2F67" w:rsidRDefault="00CD5714" w:rsidP="005611FE">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58</w:t>
            </w:r>
            <w:r w:rsidR="00AF34D9" w:rsidRPr="002D2F67">
              <w:rPr>
                <w:rFonts w:ascii="Arial" w:hAnsi="Arial" w:cs="Arial"/>
                <w:color w:val="000000"/>
                <w:sz w:val="20"/>
                <w:szCs w:val="20"/>
              </w:rPr>
              <w:t>,</w:t>
            </w:r>
            <w:r w:rsidRPr="00CD5714">
              <w:rPr>
                <w:rFonts w:ascii="Arial" w:hAnsi="Arial" w:cs="Arial"/>
                <w:color w:val="000000"/>
                <w:sz w:val="20"/>
                <w:szCs w:val="20"/>
                <w:lang w:val="en-GB"/>
              </w:rPr>
              <w:t>887</w:t>
            </w:r>
          </w:p>
        </w:tc>
      </w:tr>
      <w:tr w:rsidR="00800063" w:rsidRPr="002D2F67" w14:paraId="0ABBD86D" w14:textId="77777777" w:rsidTr="4A0317FF">
        <w:tc>
          <w:tcPr>
            <w:tcW w:w="3227" w:type="dxa"/>
            <w:shd w:val="clear" w:color="auto" w:fill="auto"/>
            <w:vAlign w:val="bottom"/>
          </w:tcPr>
          <w:p w14:paraId="599BEE3D" w14:textId="77777777" w:rsidR="00800063" w:rsidRPr="002D2F67" w:rsidRDefault="00800063" w:rsidP="005611FE">
            <w:pPr>
              <w:rPr>
                <w:rFonts w:ascii="Arial" w:hAnsi="Arial" w:cs="Arial"/>
                <w:color w:val="000000"/>
                <w:sz w:val="14"/>
                <w:szCs w:val="14"/>
              </w:rPr>
            </w:pPr>
          </w:p>
        </w:tc>
        <w:tc>
          <w:tcPr>
            <w:tcW w:w="1152" w:type="dxa"/>
            <w:tcBorders>
              <w:top w:val="single" w:sz="4" w:space="0" w:color="auto"/>
            </w:tcBorders>
            <w:shd w:val="clear" w:color="auto" w:fill="auto"/>
            <w:vAlign w:val="center"/>
          </w:tcPr>
          <w:p w14:paraId="4E0F847C" w14:textId="77777777" w:rsidR="00800063" w:rsidRPr="002D2F67" w:rsidRDefault="00800063" w:rsidP="005611FE">
            <w:pPr>
              <w:ind w:right="-72"/>
              <w:jc w:val="right"/>
              <w:rPr>
                <w:rFonts w:ascii="Arial" w:hAnsi="Arial" w:cs="Arial"/>
                <w:color w:val="000000"/>
                <w:sz w:val="14"/>
                <w:szCs w:val="14"/>
              </w:rPr>
            </w:pPr>
          </w:p>
        </w:tc>
        <w:tc>
          <w:tcPr>
            <w:tcW w:w="1152" w:type="dxa"/>
            <w:tcBorders>
              <w:top w:val="single" w:sz="4" w:space="0" w:color="auto"/>
            </w:tcBorders>
            <w:shd w:val="clear" w:color="auto" w:fill="auto"/>
            <w:vAlign w:val="center"/>
          </w:tcPr>
          <w:p w14:paraId="445A5938" w14:textId="77777777" w:rsidR="00800063" w:rsidRPr="002D2F67" w:rsidRDefault="00800063" w:rsidP="005611FE">
            <w:pPr>
              <w:ind w:right="-72"/>
              <w:jc w:val="right"/>
              <w:rPr>
                <w:rFonts w:ascii="Arial" w:hAnsi="Arial" w:cs="Arial"/>
                <w:color w:val="000000"/>
                <w:sz w:val="14"/>
                <w:szCs w:val="14"/>
              </w:rPr>
            </w:pPr>
          </w:p>
        </w:tc>
        <w:tc>
          <w:tcPr>
            <w:tcW w:w="1152" w:type="dxa"/>
            <w:tcBorders>
              <w:top w:val="single" w:sz="4" w:space="0" w:color="auto"/>
            </w:tcBorders>
            <w:shd w:val="clear" w:color="auto" w:fill="auto"/>
            <w:vAlign w:val="center"/>
          </w:tcPr>
          <w:p w14:paraId="591DA0D2" w14:textId="77777777" w:rsidR="00800063" w:rsidRPr="002D2F67" w:rsidRDefault="00800063" w:rsidP="005611FE">
            <w:pPr>
              <w:ind w:right="-72"/>
              <w:jc w:val="right"/>
              <w:rPr>
                <w:rFonts w:ascii="Arial" w:hAnsi="Arial" w:cs="Arial"/>
                <w:color w:val="000000"/>
                <w:sz w:val="14"/>
                <w:szCs w:val="14"/>
              </w:rPr>
            </w:pPr>
          </w:p>
        </w:tc>
        <w:tc>
          <w:tcPr>
            <w:tcW w:w="1152" w:type="dxa"/>
            <w:tcBorders>
              <w:top w:val="single" w:sz="4" w:space="0" w:color="auto"/>
            </w:tcBorders>
            <w:shd w:val="clear" w:color="auto" w:fill="auto"/>
            <w:vAlign w:val="center"/>
          </w:tcPr>
          <w:p w14:paraId="60AF6C35" w14:textId="77777777" w:rsidR="00800063" w:rsidRPr="002D2F67" w:rsidRDefault="00800063" w:rsidP="005611FE">
            <w:pPr>
              <w:ind w:right="-72"/>
              <w:jc w:val="right"/>
              <w:rPr>
                <w:rFonts w:ascii="Arial" w:hAnsi="Arial" w:cs="Arial"/>
                <w:color w:val="000000"/>
                <w:sz w:val="14"/>
                <w:szCs w:val="14"/>
              </w:rPr>
            </w:pPr>
          </w:p>
        </w:tc>
        <w:tc>
          <w:tcPr>
            <w:tcW w:w="1152" w:type="dxa"/>
            <w:tcBorders>
              <w:top w:val="single" w:sz="4" w:space="0" w:color="auto"/>
            </w:tcBorders>
            <w:shd w:val="clear" w:color="auto" w:fill="auto"/>
            <w:vAlign w:val="center"/>
          </w:tcPr>
          <w:p w14:paraId="44D717E0" w14:textId="77777777" w:rsidR="00800063" w:rsidRPr="002D2F67" w:rsidRDefault="00800063" w:rsidP="005611FE">
            <w:pPr>
              <w:ind w:right="-72"/>
              <w:jc w:val="right"/>
              <w:rPr>
                <w:rFonts w:ascii="Arial" w:hAnsi="Arial" w:cs="Arial"/>
                <w:color w:val="000000"/>
                <w:sz w:val="14"/>
                <w:szCs w:val="14"/>
              </w:rPr>
            </w:pPr>
          </w:p>
        </w:tc>
      </w:tr>
      <w:tr w:rsidR="00800063" w:rsidRPr="002D2F67" w14:paraId="4C537B57" w14:textId="77777777" w:rsidTr="4A0317FF">
        <w:tc>
          <w:tcPr>
            <w:tcW w:w="3227" w:type="dxa"/>
            <w:shd w:val="clear" w:color="auto" w:fill="auto"/>
            <w:vAlign w:val="bottom"/>
          </w:tcPr>
          <w:p w14:paraId="43D81CBD" w14:textId="77777777" w:rsidR="00800063" w:rsidRPr="002D2F67" w:rsidRDefault="00800063" w:rsidP="005611FE">
            <w:pPr>
              <w:rPr>
                <w:rFonts w:ascii="Arial" w:hAnsi="Arial" w:cs="Arial"/>
                <w:b/>
                <w:bCs/>
                <w:color w:val="000000"/>
                <w:sz w:val="20"/>
                <w:szCs w:val="20"/>
              </w:rPr>
            </w:pPr>
            <w:r w:rsidRPr="002D2F67">
              <w:rPr>
                <w:rFonts w:ascii="Arial" w:hAnsi="Arial" w:cs="Arial"/>
                <w:b/>
                <w:bCs/>
                <w:color w:val="000000"/>
                <w:sz w:val="20"/>
                <w:szCs w:val="20"/>
              </w:rPr>
              <w:t>Derivatives</w:t>
            </w:r>
          </w:p>
        </w:tc>
        <w:tc>
          <w:tcPr>
            <w:tcW w:w="1152" w:type="dxa"/>
            <w:shd w:val="clear" w:color="auto" w:fill="auto"/>
            <w:vAlign w:val="center"/>
          </w:tcPr>
          <w:p w14:paraId="54D3489D" w14:textId="77777777" w:rsidR="00800063" w:rsidRPr="002D2F67" w:rsidRDefault="00800063" w:rsidP="005611FE">
            <w:pPr>
              <w:ind w:right="-72"/>
              <w:jc w:val="right"/>
              <w:rPr>
                <w:rFonts w:ascii="Arial" w:hAnsi="Arial" w:cs="Arial"/>
                <w:color w:val="000000"/>
                <w:sz w:val="20"/>
                <w:szCs w:val="20"/>
              </w:rPr>
            </w:pPr>
          </w:p>
        </w:tc>
        <w:tc>
          <w:tcPr>
            <w:tcW w:w="1152" w:type="dxa"/>
            <w:shd w:val="clear" w:color="auto" w:fill="auto"/>
            <w:vAlign w:val="center"/>
          </w:tcPr>
          <w:p w14:paraId="48959397" w14:textId="77777777" w:rsidR="00800063" w:rsidRPr="002D2F67" w:rsidRDefault="00800063" w:rsidP="005611FE">
            <w:pPr>
              <w:ind w:right="-72"/>
              <w:jc w:val="right"/>
              <w:rPr>
                <w:rFonts w:ascii="Arial" w:hAnsi="Arial" w:cs="Arial"/>
                <w:color w:val="000000"/>
                <w:sz w:val="20"/>
                <w:szCs w:val="20"/>
              </w:rPr>
            </w:pPr>
          </w:p>
        </w:tc>
        <w:tc>
          <w:tcPr>
            <w:tcW w:w="1152" w:type="dxa"/>
            <w:shd w:val="clear" w:color="auto" w:fill="auto"/>
            <w:vAlign w:val="center"/>
          </w:tcPr>
          <w:p w14:paraId="2D4BD88E" w14:textId="77777777" w:rsidR="00800063" w:rsidRPr="002D2F67" w:rsidRDefault="00800063" w:rsidP="005611FE">
            <w:pPr>
              <w:ind w:right="-72"/>
              <w:jc w:val="right"/>
              <w:rPr>
                <w:rFonts w:ascii="Arial" w:hAnsi="Arial" w:cs="Arial"/>
                <w:color w:val="000000"/>
                <w:sz w:val="20"/>
                <w:szCs w:val="20"/>
              </w:rPr>
            </w:pPr>
          </w:p>
        </w:tc>
        <w:tc>
          <w:tcPr>
            <w:tcW w:w="1152" w:type="dxa"/>
            <w:shd w:val="clear" w:color="auto" w:fill="auto"/>
            <w:vAlign w:val="center"/>
          </w:tcPr>
          <w:p w14:paraId="51BF8B1D" w14:textId="77777777" w:rsidR="00800063" w:rsidRPr="002D2F67" w:rsidRDefault="00800063" w:rsidP="005611FE">
            <w:pPr>
              <w:ind w:right="-72"/>
              <w:jc w:val="right"/>
              <w:rPr>
                <w:rFonts w:ascii="Arial" w:hAnsi="Arial" w:cs="Arial"/>
                <w:color w:val="000000"/>
                <w:sz w:val="20"/>
                <w:szCs w:val="20"/>
              </w:rPr>
            </w:pPr>
          </w:p>
        </w:tc>
        <w:tc>
          <w:tcPr>
            <w:tcW w:w="1152" w:type="dxa"/>
            <w:shd w:val="clear" w:color="auto" w:fill="auto"/>
            <w:vAlign w:val="center"/>
          </w:tcPr>
          <w:p w14:paraId="3C48B4F9" w14:textId="77777777" w:rsidR="00800063" w:rsidRPr="002D2F67" w:rsidRDefault="00800063" w:rsidP="005611FE">
            <w:pPr>
              <w:ind w:right="-72"/>
              <w:jc w:val="right"/>
              <w:rPr>
                <w:rFonts w:ascii="Arial" w:hAnsi="Arial" w:cs="Arial"/>
                <w:color w:val="000000"/>
                <w:sz w:val="20"/>
                <w:szCs w:val="20"/>
              </w:rPr>
            </w:pPr>
          </w:p>
        </w:tc>
      </w:tr>
      <w:tr w:rsidR="00800063" w:rsidRPr="002D2F67" w14:paraId="683E0A70" w14:textId="77777777" w:rsidTr="4A0317FF">
        <w:tc>
          <w:tcPr>
            <w:tcW w:w="3227" w:type="dxa"/>
            <w:shd w:val="clear" w:color="auto" w:fill="auto"/>
            <w:vAlign w:val="bottom"/>
          </w:tcPr>
          <w:p w14:paraId="07444760" w14:textId="16F3270E" w:rsidR="00800063" w:rsidRPr="002D2F67" w:rsidRDefault="00A32022" w:rsidP="005611FE">
            <w:pPr>
              <w:rPr>
                <w:rFonts w:ascii="Arial" w:hAnsi="Arial" w:cs="Arial"/>
                <w:color w:val="000000"/>
                <w:sz w:val="20"/>
                <w:szCs w:val="20"/>
              </w:rPr>
            </w:pPr>
            <w:r w:rsidRPr="002D2F67">
              <w:rPr>
                <w:rFonts w:ascii="Arial" w:hAnsi="Arial" w:cs="Arial"/>
                <w:color w:val="000000"/>
                <w:sz w:val="20"/>
                <w:szCs w:val="20"/>
              </w:rPr>
              <w:t>Cross</w:t>
            </w:r>
            <w:r w:rsidR="00800063" w:rsidRPr="002D2F67">
              <w:rPr>
                <w:rFonts w:ascii="Arial" w:hAnsi="Arial" w:cs="Arial"/>
                <w:color w:val="000000"/>
                <w:sz w:val="20"/>
                <w:szCs w:val="20"/>
              </w:rPr>
              <w:t xml:space="preserve"> currency interest rate</w:t>
            </w:r>
            <w:r w:rsidR="00800063" w:rsidRPr="002D2F67">
              <w:rPr>
                <w:rFonts w:ascii="Arial" w:hAnsi="Arial" w:cs="Arial"/>
                <w:color w:val="000000"/>
                <w:sz w:val="20"/>
                <w:szCs w:val="20"/>
              </w:rPr>
              <w:br/>
              <w:t xml:space="preserve">   swaps contracts</w:t>
            </w:r>
          </w:p>
        </w:tc>
        <w:tc>
          <w:tcPr>
            <w:tcW w:w="1152" w:type="dxa"/>
            <w:tcBorders>
              <w:bottom w:val="single" w:sz="4" w:space="0" w:color="auto"/>
            </w:tcBorders>
            <w:shd w:val="clear" w:color="auto" w:fill="auto"/>
            <w:vAlign w:val="bottom"/>
          </w:tcPr>
          <w:p w14:paraId="6172DB81" w14:textId="61A1A9B3" w:rsidR="00800063"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20</w:t>
            </w:r>
          </w:p>
        </w:tc>
        <w:tc>
          <w:tcPr>
            <w:tcW w:w="1152" w:type="dxa"/>
            <w:tcBorders>
              <w:bottom w:val="single" w:sz="4" w:space="0" w:color="auto"/>
            </w:tcBorders>
            <w:shd w:val="clear" w:color="auto" w:fill="auto"/>
            <w:vAlign w:val="bottom"/>
          </w:tcPr>
          <w:p w14:paraId="0E5BD575" w14:textId="4F60D7A7" w:rsidR="00800063"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377</w:t>
            </w:r>
          </w:p>
        </w:tc>
        <w:tc>
          <w:tcPr>
            <w:tcW w:w="1152" w:type="dxa"/>
            <w:tcBorders>
              <w:bottom w:val="single" w:sz="4" w:space="0" w:color="auto"/>
            </w:tcBorders>
            <w:shd w:val="clear" w:color="auto" w:fill="auto"/>
            <w:vAlign w:val="bottom"/>
          </w:tcPr>
          <w:p w14:paraId="7418AB10" w14:textId="1B7472F6" w:rsidR="00800063" w:rsidRPr="002D2F67" w:rsidRDefault="00637D6F"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152" w:type="dxa"/>
            <w:tcBorders>
              <w:bottom w:val="single" w:sz="4" w:space="0" w:color="auto"/>
            </w:tcBorders>
            <w:shd w:val="clear" w:color="auto" w:fill="auto"/>
            <w:vAlign w:val="bottom"/>
          </w:tcPr>
          <w:p w14:paraId="7167828A" w14:textId="30DE06D0" w:rsidR="00800063"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397</w:t>
            </w:r>
          </w:p>
        </w:tc>
        <w:tc>
          <w:tcPr>
            <w:tcW w:w="1152" w:type="dxa"/>
            <w:tcBorders>
              <w:bottom w:val="single" w:sz="4" w:space="0" w:color="auto"/>
            </w:tcBorders>
            <w:shd w:val="clear" w:color="auto" w:fill="auto"/>
            <w:vAlign w:val="bottom"/>
          </w:tcPr>
          <w:p w14:paraId="2B07E08B" w14:textId="4CFD5492" w:rsidR="00800063"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325</w:t>
            </w:r>
          </w:p>
        </w:tc>
      </w:tr>
      <w:tr w:rsidR="00F05B5E" w:rsidRPr="002D2F67" w14:paraId="654389B0" w14:textId="77777777" w:rsidTr="4A0317FF">
        <w:tc>
          <w:tcPr>
            <w:tcW w:w="3227" w:type="dxa"/>
            <w:shd w:val="clear" w:color="auto" w:fill="auto"/>
            <w:vAlign w:val="bottom"/>
          </w:tcPr>
          <w:p w14:paraId="445BCD35" w14:textId="77777777" w:rsidR="00F05B5E" w:rsidRPr="002D2F67" w:rsidRDefault="00F05B5E" w:rsidP="005611FE">
            <w:pPr>
              <w:rPr>
                <w:rFonts w:ascii="Arial" w:hAnsi="Arial" w:cs="Arial"/>
                <w:color w:val="000000"/>
                <w:sz w:val="16"/>
                <w:szCs w:val="16"/>
              </w:rPr>
            </w:pPr>
          </w:p>
        </w:tc>
        <w:tc>
          <w:tcPr>
            <w:tcW w:w="1152" w:type="dxa"/>
            <w:tcBorders>
              <w:top w:val="single" w:sz="4" w:space="0" w:color="auto"/>
            </w:tcBorders>
            <w:shd w:val="clear" w:color="auto" w:fill="auto"/>
            <w:vAlign w:val="bottom"/>
          </w:tcPr>
          <w:p w14:paraId="10DC510F" w14:textId="5EFD5973" w:rsidR="00F05B5E" w:rsidRPr="002D2F67" w:rsidRDefault="00F05B5E" w:rsidP="005611FE">
            <w:pPr>
              <w:ind w:right="-72"/>
              <w:jc w:val="right"/>
              <w:rPr>
                <w:rFonts w:ascii="Arial" w:hAnsi="Arial" w:cs="Arial"/>
                <w:color w:val="000000"/>
                <w:sz w:val="16"/>
                <w:szCs w:val="16"/>
              </w:rPr>
            </w:pPr>
          </w:p>
        </w:tc>
        <w:tc>
          <w:tcPr>
            <w:tcW w:w="1152" w:type="dxa"/>
            <w:tcBorders>
              <w:top w:val="single" w:sz="4" w:space="0" w:color="auto"/>
            </w:tcBorders>
            <w:shd w:val="clear" w:color="auto" w:fill="auto"/>
            <w:vAlign w:val="bottom"/>
          </w:tcPr>
          <w:p w14:paraId="6F1E6804" w14:textId="77777777" w:rsidR="00F05B5E" w:rsidRPr="002D2F67" w:rsidRDefault="00F05B5E" w:rsidP="005611FE">
            <w:pPr>
              <w:ind w:right="-72"/>
              <w:jc w:val="right"/>
              <w:rPr>
                <w:rFonts w:ascii="Arial" w:hAnsi="Arial" w:cs="Arial"/>
                <w:color w:val="000000"/>
                <w:sz w:val="16"/>
                <w:szCs w:val="16"/>
              </w:rPr>
            </w:pPr>
          </w:p>
        </w:tc>
        <w:tc>
          <w:tcPr>
            <w:tcW w:w="1152" w:type="dxa"/>
            <w:tcBorders>
              <w:top w:val="single" w:sz="4" w:space="0" w:color="auto"/>
            </w:tcBorders>
            <w:shd w:val="clear" w:color="auto" w:fill="auto"/>
            <w:vAlign w:val="bottom"/>
          </w:tcPr>
          <w:p w14:paraId="7C894ACD" w14:textId="77777777" w:rsidR="00F05B5E" w:rsidRPr="002D2F67" w:rsidRDefault="00F05B5E" w:rsidP="005611FE">
            <w:pPr>
              <w:ind w:right="-72"/>
              <w:jc w:val="right"/>
              <w:rPr>
                <w:rFonts w:ascii="Arial" w:hAnsi="Arial" w:cs="Arial"/>
                <w:color w:val="000000"/>
                <w:sz w:val="16"/>
                <w:szCs w:val="16"/>
              </w:rPr>
            </w:pPr>
          </w:p>
        </w:tc>
        <w:tc>
          <w:tcPr>
            <w:tcW w:w="1152" w:type="dxa"/>
            <w:tcBorders>
              <w:top w:val="single" w:sz="4" w:space="0" w:color="auto"/>
            </w:tcBorders>
            <w:shd w:val="clear" w:color="auto" w:fill="auto"/>
            <w:vAlign w:val="bottom"/>
          </w:tcPr>
          <w:p w14:paraId="3A07834C" w14:textId="77777777" w:rsidR="00F05B5E" w:rsidRPr="002D2F67" w:rsidRDefault="00F05B5E" w:rsidP="005611FE">
            <w:pPr>
              <w:ind w:right="-72"/>
              <w:jc w:val="right"/>
              <w:rPr>
                <w:rFonts w:ascii="Arial" w:hAnsi="Arial" w:cs="Arial"/>
                <w:color w:val="000000"/>
                <w:sz w:val="16"/>
                <w:szCs w:val="16"/>
              </w:rPr>
            </w:pPr>
          </w:p>
        </w:tc>
        <w:tc>
          <w:tcPr>
            <w:tcW w:w="1152" w:type="dxa"/>
            <w:tcBorders>
              <w:top w:val="single" w:sz="4" w:space="0" w:color="auto"/>
            </w:tcBorders>
            <w:shd w:val="clear" w:color="auto" w:fill="auto"/>
            <w:vAlign w:val="bottom"/>
          </w:tcPr>
          <w:p w14:paraId="4D44D8F2" w14:textId="77777777" w:rsidR="00F05B5E" w:rsidRPr="002D2F67" w:rsidRDefault="00F05B5E" w:rsidP="005611FE">
            <w:pPr>
              <w:ind w:right="-72"/>
              <w:jc w:val="right"/>
              <w:rPr>
                <w:rFonts w:ascii="Arial" w:hAnsi="Arial" w:cs="Arial"/>
                <w:color w:val="000000"/>
                <w:sz w:val="16"/>
                <w:szCs w:val="16"/>
              </w:rPr>
            </w:pPr>
          </w:p>
        </w:tc>
      </w:tr>
      <w:tr w:rsidR="00357ECF" w:rsidRPr="002D2F67" w14:paraId="650BCA05" w14:textId="77777777" w:rsidTr="4A0317FF">
        <w:tc>
          <w:tcPr>
            <w:tcW w:w="3227" w:type="dxa"/>
            <w:shd w:val="clear" w:color="auto" w:fill="auto"/>
            <w:vAlign w:val="bottom"/>
          </w:tcPr>
          <w:p w14:paraId="7D76EF49" w14:textId="3DB69A93" w:rsidR="00357ECF" w:rsidRPr="002D2F67" w:rsidRDefault="00357ECF" w:rsidP="005611FE">
            <w:pPr>
              <w:rPr>
                <w:rFonts w:ascii="Arial" w:hAnsi="Arial" w:cs="Arial"/>
                <w:color w:val="000000"/>
                <w:sz w:val="20"/>
                <w:szCs w:val="20"/>
              </w:rPr>
            </w:pPr>
            <w:r w:rsidRPr="002D2F67">
              <w:rPr>
                <w:rFonts w:ascii="Arial" w:hAnsi="Arial" w:cs="Arial"/>
                <w:b/>
                <w:bCs/>
                <w:color w:val="000000"/>
                <w:sz w:val="20"/>
                <w:szCs w:val="20"/>
              </w:rPr>
              <w:t xml:space="preserve">Total </w:t>
            </w:r>
            <w:r w:rsidR="00D22FA4" w:rsidRPr="002D2F67">
              <w:rPr>
                <w:rFonts w:ascii="Arial" w:hAnsi="Arial" w:cs="Arial"/>
                <w:b/>
                <w:bCs/>
                <w:color w:val="000000"/>
                <w:sz w:val="20"/>
                <w:szCs w:val="20"/>
              </w:rPr>
              <w:t>d</w:t>
            </w:r>
            <w:r w:rsidRPr="002D2F67">
              <w:rPr>
                <w:rFonts w:ascii="Arial" w:hAnsi="Arial" w:cs="Arial"/>
                <w:b/>
                <w:bCs/>
                <w:color w:val="000000"/>
                <w:sz w:val="20"/>
                <w:szCs w:val="20"/>
              </w:rPr>
              <w:t>erivatives</w:t>
            </w:r>
            <w:r w:rsidR="00351EC5" w:rsidRPr="002D2F67">
              <w:rPr>
                <w:rFonts w:ascii="Arial" w:hAnsi="Arial" w:cs="Arial"/>
                <w:b/>
                <w:bCs/>
                <w:color w:val="000000"/>
                <w:sz w:val="20"/>
                <w:szCs w:val="20"/>
              </w:rPr>
              <w:t xml:space="preserve"> liabilities</w:t>
            </w:r>
          </w:p>
        </w:tc>
        <w:tc>
          <w:tcPr>
            <w:tcW w:w="1152" w:type="dxa"/>
            <w:tcBorders>
              <w:bottom w:val="single" w:sz="4" w:space="0" w:color="auto"/>
            </w:tcBorders>
            <w:shd w:val="clear" w:color="auto" w:fill="auto"/>
            <w:vAlign w:val="bottom"/>
          </w:tcPr>
          <w:p w14:paraId="56C6AC31" w14:textId="05674ABB" w:rsidR="00357ECF" w:rsidRPr="002D2F67" w:rsidRDefault="00CD5714" w:rsidP="005611FE">
            <w:pPr>
              <w:ind w:right="-72"/>
              <w:jc w:val="right"/>
              <w:rPr>
                <w:rFonts w:ascii="Arial" w:hAnsi="Arial" w:cs="Arial"/>
                <w:color w:val="000000"/>
                <w:sz w:val="20"/>
                <w:szCs w:val="22"/>
              </w:rPr>
            </w:pPr>
            <w:r w:rsidRPr="00CD5714">
              <w:rPr>
                <w:rFonts w:ascii="Arial" w:hAnsi="Arial" w:cs="Arial"/>
                <w:color w:val="000000"/>
                <w:sz w:val="20"/>
                <w:szCs w:val="22"/>
                <w:lang w:val="en-GB"/>
              </w:rPr>
              <w:t>20</w:t>
            </w:r>
          </w:p>
        </w:tc>
        <w:tc>
          <w:tcPr>
            <w:tcW w:w="1152" w:type="dxa"/>
            <w:tcBorders>
              <w:bottom w:val="single" w:sz="4" w:space="0" w:color="auto"/>
            </w:tcBorders>
            <w:shd w:val="clear" w:color="auto" w:fill="auto"/>
            <w:vAlign w:val="bottom"/>
          </w:tcPr>
          <w:p w14:paraId="1EC8CA91" w14:textId="063CB7EB" w:rsidR="00357ECF" w:rsidRPr="002D2F67" w:rsidRDefault="00CD5714" w:rsidP="005611FE">
            <w:pPr>
              <w:ind w:right="-72"/>
              <w:jc w:val="right"/>
              <w:rPr>
                <w:rFonts w:ascii="Arial" w:hAnsi="Arial" w:cs="Arial"/>
                <w:color w:val="000000"/>
                <w:sz w:val="20"/>
                <w:szCs w:val="22"/>
              </w:rPr>
            </w:pPr>
            <w:r w:rsidRPr="00CD5714">
              <w:rPr>
                <w:rFonts w:ascii="Arial" w:hAnsi="Arial" w:cs="Arial"/>
                <w:color w:val="000000"/>
                <w:sz w:val="20"/>
                <w:szCs w:val="22"/>
                <w:lang w:val="en-GB"/>
              </w:rPr>
              <w:t>377</w:t>
            </w:r>
          </w:p>
        </w:tc>
        <w:tc>
          <w:tcPr>
            <w:tcW w:w="1152" w:type="dxa"/>
            <w:tcBorders>
              <w:bottom w:val="single" w:sz="4" w:space="0" w:color="auto"/>
            </w:tcBorders>
            <w:shd w:val="clear" w:color="auto" w:fill="auto"/>
            <w:vAlign w:val="bottom"/>
          </w:tcPr>
          <w:p w14:paraId="180FCC55" w14:textId="52F7F7CD" w:rsidR="00357ECF" w:rsidRPr="002D2F67" w:rsidRDefault="00637D6F" w:rsidP="005611FE">
            <w:pPr>
              <w:ind w:right="-72"/>
              <w:jc w:val="right"/>
              <w:rPr>
                <w:rFonts w:ascii="Arial" w:hAnsi="Arial" w:cs="Arial"/>
                <w:color w:val="000000"/>
                <w:sz w:val="20"/>
                <w:szCs w:val="22"/>
              </w:rPr>
            </w:pPr>
            <w:r w:rsidRPr="002D2F67">
              <w:rPr>
                <w:rFonts w:ascii="Arial" w:hAnsi="Arial" w:cs="Arial"/>
                <w:color w:val="000000"/>
                <w:sz w:val="20"/>
                <w:szCs w:val="22"/>
              </w:rPr>
              <w:t>-</w:t>
            </w:r>
          </w:p>
        </w:tc>
        <w:tc>
          <w:tcPr>
            <w:tcW w:w="1152" w:type="dxa"/>
            <w:tcBorders>
              <w:bottom w:val="single" w:sz="4" w:space="0" w:color="auto"/>
            </w:tcBorders>
            <w:shd w:val="clear" w:color="auto" w:fill="auto"/>
            <w:vAlign w:val="bottom"/>
          </w:tcPr>
          <w:p w14:paraId="311EA070" w14:textId="4414B98D" w:rsidR="00357ECF" w:rsidRPr="002D2F67" w:rsidRDefault="00CD5714" w:rsidP="005611FE">
            <w:pPr>
              <w:ind w:right="-72"/>
              <w:jc w:val="right"/>
              <w:rPr>
                <w:rFonts w:ascii="Arial" w:hAnsi="Arial" w:cs="Arial"/>
                <w:color w:val="000000"/>
                <w:sz w:val="20"/>
                <w:szCs w:val="22"/>
              </w:rPr>
            </w:pPr>
            <w:r w:rsidRPr="00CD5714">
              <w:rPr>
                <w:rFonts w:ascii="Arial" w:hAnsi="Arial" w:cs="Arial"/>
                <w:color w:val="000000"/>
                <w:sz w:val="20"/>
                <w:szCs w:val="22"/>
                <w:lang w:val="en-GB"/>
              </w:rPr>
              <w:t>397</w:t>
            </w:r>
          </w:p>
        </w:tc>
        <w:tc>
          <w:tcPr>
            <w:tcW w:w="1152" w:type="dxa"/>
            <w:tcBorders>
              <w:bottom w:val="single" w:sz="4" w:space="0" w:color="auto"/>
            </w:tcBorders>
            <w:shd w:val="clear" w:color="auto" w:fill="auto"/>
            <w:vAlign w:val="bottom"/>
          </w:tcPr>
          <w:p w14:paraId="7EFDAE11" w14:textId="452D8595" w:rsidR="00357ECF" w:rsidRPr="002D2F67" w:rsidRDefault="00CD5714" w:rsidP="005611FE">
            <w:pPr>
              <w:ind w:right="-72"/>
              <w:jc w:val="right"/>
              <w:rPr>
                <w:rFonts w:ascii="Arial" w:hAnsi="Arial" w:cs="Arial"/>
                <w:color w:val="000000"/>
                <w:sz w:val="20"/>
                <w:szCs w:val="22"/>
              </w:rPr>
            </w:pPr>
            <w:r w:rsidRPr="00CD5714">
              <w:rPr>
                <w:rFonts w:ascii="Arial" w:hAnsi="Arial" w:cs="Arial"/>
                <w:color w:val="000000"/>
                <w:sz w:val="20"/>
                <w:szCs w:val="22"/>
                <w:lang w:val="en-GB"/>
              </w:rPr>
              <w:t>325</w:t>
            </w:r>
          </w:p>
        </w:tc>
      </w:tr>
      <w:tr w:rsidR="00800063" w:rsidRPr="002D2F67" w14:paraId="3F44C476" w14:textId="77777777" w:rsidTr="4A0317FF">
        <w:tc>
          <w:tcPr>
            <w:tcW w:w="3227" w:type="dxa"/>
            <w:shd w:val="clear" w:color="auto" w:fill="auto"/>
            <w:vAlign w:val="bottom"/>
          </w:tcPr>
          <w:p w14:paraId="2F2351A4" w14:textId="77777777" w:rsidR="00800063" w:rsidRPr="002D2F67" w:rsidRDefault="00800063" w:rsidP="005611FE">
            <w:pPr>
              <w:rPr>
                <w:rFonts w:ascii="Arial" w:hAnsi="Arial" w:cs="Arial"/>
                <w:color w:val="000000"/>
                <w:sz w:val="14"/>
                <w:szCs w:val="14"/>
              </w:rPr>
            </w:pPr>
          </w:p>
        </w:tc>
        <w:tc>
          <w:tcPr>
            <w:tcW w:w="1152" w:type="dxa"/>
            <w:tcBorders>
              <w:top w:val="single" w:sz="4" w:space="0" w:color="auto"/>
            </w:tcBorders>
            <w:shd w:val="clear" w:color="auto" w:fill="auto"/>
            <w:vAlign w:val="center"/>
          </w:tcPr>
          <w:p w14:paraId="78FFCA14" w14:textId="77777777" w:rsidR="00800063" w:rsidRPr="002D2F67" w:rsidRDefault="00800063" w:rsidP="005611FE">
            <w:pPr>
              <w:ind w:right="-72"/>
              <w:jc w:val="right"/>
              <w:rPr>
                <w:rFonts w:ascii="Arial" w:hAnsi="Arial" w:cs="Arial"/>
                <w:color w:val="000000"/>
                <w:sz w:val="14"/>
                <w:szCs w:val="14"/>
                <w:highlight w:val="cyan"/>
              </w:rPr>
            </w:pPr>
          </w:p>
        </w:tc>
        <w:tc>
          <w:tcPr>
            <w:tcW w:w="1152" w:type="dxa"/>
            <w:tcBorders>
              <w:top w:val="single" w:sz="4" w:space="0" w:color="auto"/>
            </w:tcBorders>
            <w:shd w:val="clear" w:color="auto" w:fill="auto"/>
            <w:vAlign w:val="center"/>
          </w:tcPr>
          <w:p w14:paraId="07F868BD" w14:textId="77777777" w:rsidR="00800063" w:rsidRPr="002D2F67" w:rsidRDefault="00800063" w:rsidP="005611FE">
            <w:pPr>
              <w:ind w:right="-72"/>
              <w:jc w:val="right"/>
              <w:rPr>
                <w:rFonts w:ascii="Arial" w:hAnsi="Arial" w:cs="Arial"/>
                <w:color w:val="000000"/>
                <w:sz w:val="14"/>
                <w:szCs w:val="14"/>
                <w:highlight w:val="cyan"/>
              </w:rPr>
            </w:pPr>
          </w:p>
        </w:tc>
        <w:tc>
          <w:tcPr>
            <w:tcW w:w="1152" w:type="dxa"/>
            <w:tcBorders>
              <w:top w:val="single" w:sz="4" w:space="0" w:color="auto"/>
            </w:tcBorders>
            <w:shd w:val="clear" w:color="auto" w:fill="auto"/>
            <w:vAlign w:val="center"/>
          </w:tcPr>
          <w:p w14:paraId="5FD6DDB8" w14:textId="77777777" w:rsidR="00800063" w:rsidRPr="002D2F67" w:rsidRDefault="00800063" w:rsidP="005611FE">
            <w:pPr>
              <w:ind w:right="-72"/>
              <w:jc w:val="right"/>
              <w:rPr>
                <w:rFonts w:ascii="Arial" w:hAnsi="Arial" w:cs="Arial"/>
                <w:color w:val="000000"/>
                <w:sz w:val="14"/>
                <w:szCs w:val="14"/>
                <w:highlight w:val="cyan"/>
              </w:rPr>
            </w:pPr>
          </w:p>
        </w:tc>
        <w:tc>
          <w:tcPr>
            <w:tcW w:w="1152" w:type="dxa"/>
            <w:tcBorders>
              <w:top w:val="single" w:sz="4" w:space="0" w:color="auto"/>
            </w:tcBorders>
            <w:shd w:val="clear" w:color="auto" w:fill="auto"/>
            <w:vAlign w:val="center"/>
          </w:tcPr>
          <w:p w14:paraId="5104CB7C" w14:textId="77777777" w:rsidR="00800063" w:rsidRPr="002D2F67" w:rsidRDefault="00800063" w:rsidP="005611FE">
            <w:pPr>
              <w:ind w:right="-72"/>
              <w:jc w:val="right"/>
              <w:rPr>
                <w:rFonts w:ascii="Arial" w:hAnsi="Arial" w:cs="Arial"/>
                <w:color w:val="000000"/>
                <w:sz w:val="14"/>
                <w:szCs w:val="14"/>
                <w:highlight w:val="cyan"/>
              </w:rPr>
            </w:pPr>
          </w:p>
        </w:tc>
        <w:tc>
          <w:tcPr>
            <w:tcW w:w="1152" w:type="dxa"/>
            <w:tcBorders>
              <w:top w:val="single" w:sz="4" w:space="0" w:color="auto"/>
            </w:tcBorders>
            <w:shd w:val="clear" w:color="auto" w:fill="auto"/>
            <w:vAlign w:val="center"/>
          </w:tcPr>
          <w:p w14:paraId="3FFF469D" w14:textId="77777777" w:rsidR="00800063" w:rsidRPr="002D2F67" w:rsidRDefault="00800063" w:rsidP="005611FE">
            <w:pPr>
              <w:ind w:right="-72"/>
              <w:jc w:val="right"/>
              <w:rPr>
                <w:rFonts w:ascii="Arial" w:hAnsi="Arial" w:cs="Arial"/>
                <w:color w:val="000000"/>
                <w:sz w:val="14"/>
                <w:szCs w:val="14"/>
                <w:highlight w:val="cyan"/>
              </w:rPr>
            </w:pPr>
          </w:p>
        </w:tc>
      </w:tr>
      <w:tr w:rsidR="00800063" w:rsidRPr="002D2F67" w14:paraId="54E96178" w14:textId="77777777" w:rsidTr="4A0317FF">
        <w:tc>
          <w:tcPr>
            <w:tcW w:w="3227" w:type="dxa"/>
            <w:shd w:val="clear" w:color="auto" w:fill="auto"/>
            <w:vAlign w:val="bottom"/>
          </w:tcPr>
          <w:p w14:paraId="4C31AB06" w14:textId="77777777" w:rsidR="00800063" w:rsidRPr="002D2F67" w:rsidRDefault="00800063" w:rsidP="005611FE">
            <w:pPr>
              <w:rPr>
                <w:rFonts w:ascii="Arial" w:hAnsi="Arial" w:cs="Arial"/>
                <w:b/>
                <w:bCs/>
                <w:color w:val="000000"/>
                <w:sz w:val="20"/>
                <w:szCs w:val="20"/>
              </w:rPr>
            </w:pPr>
            <w:r w:rsidRPr="002D2F67">
              <w:rPr>
                <w:rFonts w:ascii="Arial" w:hAnsi="Arial" w:cs="Arial"/>
                <w:b/>
                <w:bCs/>
                <w:color w:val="000000"/>
                <w:sz w:val="20"/>
                <w:szCs w:val="20"/>
              </w:rPr>
              <w:t>Total</w:t>
            </w:r>
          </w:p>
        </w:tc>
        <w:tc>
          <w:tcPr>
            <w:tcW w:w="1152" w:type="dxa"/>
            <w:tcBorders>
              <w:bottom w:val="single" w:sz="4" w:space="0" w:color="auto"/>
            </w:tcBorders>
            <w:shd w:val="clear" w:color="auto" w:fill="auto"/>
            <w:vAlign w:val="center"/>
          </w:tcPr>
          <w:p w14:paraId="287ADBF3" w14:textId="1DD023AE" w:rsidR="00800063" w:rsidRPr="002D2F67" w:rsidRDefault="00CD5714" w:rsidP="005611FE">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27</w:t>
            </w:r>
            <w:r w:rsidR="666865EC" w:rsidRPr="002D2F67">
              <w:rPr>
                <w:rFonts w:ascii="Arial" w:hAnsi="Arial" w:cs="Arial"/>
                <w:color w:val="000000"/>
                <w:sz w:val="20"/>
                <w:szCs w:val="20"/>
              </w:rPr>
              <w:t>,</w:t>
            </w:r>
            <w:r w:rsidRPr="00CD5714">
              <w:rPr>
                <w:rFonts w:ascii="Arial" w:hAnsi="Arial" w:cs="Arial"/>
                <w:color w:val="000000"/>
                <w:sz w:val="20"/>
                <w:szCs w:val="20"/>
                <w:lang w:val="en-GB"/>
              </w:rPr>
              <w:t>260</w:t>
            </w:r>
          </w:p>
        </w:tc>
        <w:tc>
          <w:tcPr>
            <w:tcW w:w="1152" w:type="dxa"/>
            <w:tcBorders>
              <w:bottom w:val="single" w:sz="4" w:space="0" w:color="auto"/>
            </w:tcBorders>
            <w:shd w:val="clear" w:color="auto" w:fill="auto"/>
            <w:vAlign w:val="center"/>
          </w:tcPr>
          <w:p w14:paraId="0C54B9CB" w14:textId="135833C9" w:rsidR="00800063" w:rsidRPr="002D2F67" w:rsidRDefault="00CD5714" w:rsidP="005611FE">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28</w:t>
            </w:r>
            <w:r w:rsidR="00A849E6" w:rsidRPr="002D2F67">
              <w:rPr>
                <w:rFonts w:ascii="Arial" w:hAnsi="Arial" w:cs="Arial"/>
                <w:color w:val="000000"/>
                <w:sz w:val="20"/>
                <w:szCs w:val="20"/>
              </w:rPr>
              <w:t>,</w:t>
            </w:r>
            <w:r w:rsidRPr="00CD5714">
              <w:rPr>
                <w:rFonts w:ascii="Arial" w:hAnsi="Arial" w:cs="Arial"/>
                <w:color w:val="000000"/>
                <w:sz w:val="20"/>
                <w:szCs w:val="20"/>
                <w:lang w:val="en-GB"/>
              </w:rPr>
              <w:t>871</w:t>
            </w:r>
          </w:p>
        </w:tc>
        <w:tc>
          <w:tcPr>
            <w:tcW w:w="1152" w:type="dxa"/>
            <w:tcBorders>
              <w:bottom w:val="single" w:sz="4" w:space="0" w:color="auto"/>
            </w:tcBorders>
            <w:shd w:val="clear" w:color="auto" w:fill="auto"/>
            <w:vAlign w:val="center"/>
          </w:tcPr>
          <w:p w14:paraId="29686349" w14:textId="4695693D" w:rsidR="00800063" w:rsidRPr="002D2F67" w:rsidRDefault="00CD5714" w:rsidP="005611FE">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6</w:t>
            </w:r>
            <w:r w:rsidR="005F29A9" w:rsidRPr="002D2F67">
              <w:rPr>
                <w:rFonts w:ascii="Arial" w:hAnsi="Arial" w:cs="Arial"/>
                <w:color w:val="000000"/>
                <w:sz w:val="20"/>
                <w:szCs w:val="20"/>
              </w:rPr>
              <w:t>,</w:t>
            </w:r>
            <w:r w:rsidRPr="00CD5714">
              <w:rPr>
                <w:rFonts w:ascii="Arial" w:hAnsi="Arial" w:cs="Arial"/>
                <w:color w:val="000000"/>
                <w:sz w:val="20"/>
                <w:szCs w:val="20"/>
                <w:lang w:val="en-GB"/>
              </w:rPr>
              <w:t>944</w:t>
            </w:r>
          </w:p>
        </w:tc>
        <w:tc>
          <w:tcPr>
            <w:tcW w:w="1152" w:type="dxa"/>
            <w:tcBorders>
              <w:bottom w:val="single" w:sz="4" w:space="0" w:color="auto"/>
            </w:tcBorders>
            <w:shd w:val="clear" w:color="auto" w:fill="auto"/>
            <w:vAlign w:val="center"/>
          </w:tcPr>
          <w:p w14:paraId="24B5A663" w14:textId="72E2949C" w:rsidR="00800063" w:rsidRPr="002D2F67" w:rsidRDefault="00CD5714" w:rsidP="005611FE">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63</w:t>
            </w:r>
            <w:r w:rsidR="4F46D07C" w:rsidRPr="002D2F67">
              <w:rPr>
                <w:rFonts w:ascii="Arial" w:hAnsi="Arial" w:cs="Arial"/>
                <w:color w:val="000000"/>
                <w:sz w:val="20"/>
                <w:szCs w:val="20"/>
              </w:rPr>
              <w:t>,</w:t>
            </w:r>
            <w:r w:rsidRPr="00CD5714">
              <w:rPr>
                <w:rFonts w:ascii="Arial" w:hAnsi="Arial" w:cs="Arial"/>
                <w:color w:val="000000"/>
                <w:sz w:val="20"/>
                <w:szCs w:val="20"/>
                <w:lang w:val="en-GB"/>
              </w:rPr>
              <w:t>075</w:t>
            </w:r>
          </w:p>
        </w:tc>
        <w:tc>
          <w:tcPr>
            <w:tcW w:w="1152" w:type="dxa"/>
            <w:tcBorders>
              <w:bottom w:val="single" w:sz="4" w:space="0" w:color="auto"/>
            </w:tcBorders>
            <w:shd w:val="clear" w:color="auto" w:fill="auto"/>
            <w:vAlign w:val="center"/>
          </w:tcPr>
          <w:p w14:paraId="67BCE6A6" w14:textId="46B7E6FE" w:rsidR="00800063" w:rsidRPr="002D2F67" w:rsidRDefault="00CD5714" w:rsidP="005611FE">
            <w:pPr>
              <w:ind w:right="-72"/>
              <w:jc w:val="right"/>
              <w:rPr>
                <w:rFonts w:ascii="Arial" w:hAnsi="Arial" w:cs="Arial"/>
                <w:color w:val="000000"/>
                <w:sz w:val="20"/>
                <w:szCs w:val="20"/>
                <w:highlight w:val="cyan"/>
              </w:rPr>
            </w:pPr>
            <w:r w:rsidRPr="00CD5714">
              <w:rPr>
                <w:rFonts w:ascii="Arial" w:hAnsi="Arial" w:cs="Arial"/>
                <w:color w:val="000000"/>
                <w:sz w:val="20"/>
                <w:szCs w:val="20"/>
                <w:lang w:val="en-GB"/>
              </w:rPr>
              <w:t>59</w:t>
            </w:r>
            <w:r w:rsidR="00AF34D9" w:rsidRPr="002D2F67">
              <w:rPr>
                <w:rFonts w:ascii="Arial" w:hAnsi="Arial" w:cs="Arial"/>
                <w:color w:val="000000"/>
                <w:sz w:val="20"/>
                <w:szCs w:val="20"/>
              </w:rPr>
              <w:t>,</w:t>
            </w:r>
            <w:r w:rsidRPr="00CD5714">
              <w:rPr>
                <w:rFonts w:ascii="Arial" w:hAnsi="Arial" w:cs="Arial"/>
                <w:color w:val="000000"/>
                <w:sz w:val="20"/>
                <w:szCs w:val="20"/>
                <w:lang w:val="en-GB"/>
              </w:rPr>
              <w:t>212</w:t>
            </w:r>
          </w:p>
        </w:tc>
      </w:tr>
    </w:tbl>
    <w:p w14:paraId="7751F11D" w14:textId="77777777" w:rsidR="005F29A9" w:rsidRPr="002D2F67" w:rsidRDefault="00706C8B" w:rsidP="005611FE">
      <w:pPr>
        <w:ind w:left="540"/>
        <w:jc w:val="thaiDistribute"/>
        <w:rPr>
          <w:rFonts w:ascii="Arial" w:hAnsi="Arial" w:cs="Arial"/>
          <w:color w:val="000000"/>
          <w:sz w:val="20"/>
          <w:szCs w:val="20"/>
        </w:rPr>
      </w:pPr>
      <w:r w:rsidRPr="002D2F67">
        <w:rPr>
          <w:rFonts w:ascii="Arial" w:hAnsi="Arial" w:cs="Arial"/>
          <w:color w:val="000000"/>
          <w:sz w:val="18"/>
          <w:szCs w:val="18"/>
        </w:rPr>
        <w:br w:type="page"/>
      </w:r>
    </w:p>
    <w:tbl>
      <w:tblPr>
        <w:tblW w:w="8987" w:type="dxa"/>
        <w:tblInd w:w="567" w:type="dxa"/>
        <w:tblLayout w:type="fixed"/>
        <w:tblLook w:val="04A0" w:firstRow="1" w:lastRow="0" w:firstColumn="1" w:lastColumn="0" w:noHBand="0" w:noVBand="1"/>
      </w:tblPr>
      <w:tblGrid>
        <w:gridCol w:w="3227"/>
        <w:gridCol w:w="1152"/>
        <w:gridCol w:w="1152"/>
        <w:gridCol w:w="1152"/>
        <w:gridCol w:w="1152"/>
        <w:gridCol w:w="1152"/>
      </w:tblGrid>
      <w:tr w:rsidR="00AB4B3A" w:rsidRPr="002D2F67" w14:paraId="7D8F1D13" w14:textId="77777777" w:rsidTr="008255E8">
        <w:tc>
          <w:tcPr>
            <w:tcW w:w="3227" w:type="dxa"/>
            <w:shd w:val="clear" w:color="auto" w:fill="auto"/>
            <w:vAlign w:val="bottom"/>
          </w:tcPr>
          <w:p w14:paraId="131EB261" w14:textId="77777777" w:rsidR="00AB4B3A" w:rsidRPr="002D2F67" w:rsidRDefault="00AB4B3A" w:rsidP="005611FE">
            <w:pPr>
              <w:rPr>
                <w:rFonts w:ascii="Arial" w:hAnsi="Arial" w:cs="Arial"/>
                <w:b/>
                <w:bCs/>
                <w:color w:val="000000"/>
                <w:sz w:val="20"/>
                <w:szCs w:val="20"/>
              </w:rPr>
            </w:pPr>
          </w:p>
        </w:tc>
        <w:tc>
          <w:tcPr>
            <w:tcW w:w="5760" w:type="dxa"/>
            <w:gridSpan w:val="5"/>
            <w:tcBorders>
              <w:bottom w:val="single" w:sz="4" w:space="0" w:color="auto"/>
            </w:tcBorders>
            <w:shd w:val="clear" w:color="auto" w:fill="auto"/>
            <w:vAlign w:val="bottom"/>
          </w:tcPr>
          <w:p w14:paraId="1BAE01FE" w14:textId="77777777" w:rsidR="00AB4B3A" w:rsidRPr="002D2F67" w:rsidRDefault="00AB4B3A" w:rsidP="005611FE">
            <w:pPr>
              <w:ind w:right="-99"/>
              <w:jc w:val="right"/>
              <w:rPr>
                <w:rFonts w:ascii="Arial" w:hAnsi="Arial" w:cs="Arial"/>
                <w:b/>
                <w:bCs/>
                <w:color w:val="000000"/>
                <w:sz w:val="20"/>
                <w:szCs w:val="20"/>
              </w:rPr>
            </w:pPr>
            <w:r w:rsidRPr="002D2F67">
              <w:rPr>
                <w:rFonts w:ascii="Arial" w:hAnsi="Arial" w:cs="Arial"/>
                <w:b/>
                <w:bCs/>
                <w:color w:val="000000"/>
                <w:sz w:val="20"/>
                <w:szCs w:val="20"/>
              </w:rPr>
              <w:t>Separate financial statements</w:t>
            </w:r>
          </w:p>
        </w:tc>
      </w:tr>
      <w:tr w:rsidR="00AB4B3A" w:rsidRPr="002D2F67" w14:paraId="63938225" w14:textId="77777777" w:rsidTr="005611FE">
        <w:tc>
          <w:tcPr>
            <w:tcW w:w="3227" w:type="dxa"/>
            <w:shd w:val="clear" w:color="auto" w:fill="auto"/>
            <w:vAlign w:val="bottom"/>
          </w:tcPr>
          <w:p w14:paraId="765B5DC1" w14:textId="77777777" w:rsidR="00AB4B3A" w:rsidRPr="002D2F67" w:rsidRDefault="00AB4B3A" w:rsidP="005611FE">
            <w:pPr>
              <w:rPr>
                <w:rFonts w:ascii="Arial" w:hAnsi="Arial" w:cs="Arial"/>
                <w:b/>
                <w:bCs/>
                <w:color w:val="000000"/>
                <w:sz w:val="20"/>
                <w:szCs w:val="20"/>
              </w:rPr>
            </w:pPr>
            <w:r w:rsidRPr="002D2F67">
              <w:rPr>
                <w:rFonts w:ascii="Arial" w:hAnsi="Arial" w:cs="Arial"/>
                <w:b/>
                <w:bCs/>
                <w:color w:val="000000"/>
                <w:sz w:val="20"/>
                <w:szCs w:val="20"/>
              </w:rPr>
              <w:t xml:space="preserve">Maturity of financial liabilities </w:t>
            </w:r>
          </w:p>
          <w:p w14:paraId="2A28BF0F" w14:textId="27AA6669" w:rsidR="00AB4B3A" w:rsidRPr="002D2F67" w:rsidRDefault="00AB4B3A" w:rsidP="005611FE">
            <w:pPr>
              <w:rPr>
                <w:rFonts w:ascii="Arial" w:hAnsi="Arial" w:cs="Arial"/>
                <w:b/>
                <w:bCs/>
                <w:color w:val="000000"/>
                <w:sz w:val="20"/>
                <w:szCs w:val="20"/>
              </w:rPr>
            </w:pPr>
            <w:r w:rsidRPr="002D2F67">
              <w:rPr>
                <w:rFonts w:ascii="Arial" w:hAnsi="Arial" w:cs="Arial"/>
                <w:b/>
                <w:bCs/>
                <w:color w:val="000000"/>
                <w:sz w:val="20"/>
                <w:szCs w:val="20"/>
              </w:rPr>
              <w:t xml:space="preserve">   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 </w:t>
            </w:r>
            <w:r w:rsidR="00CD5714" w:rsidRPr="00CD5714">
              <w:rPr>
                <w:rFonts w:ascii="Arial" w:hAnsi="Arial" w:cs="Arial"/>
                <w:b/>
                <w:bCs/>
                <w:color w:val="000000"/>
                <w:sz w:val="20"/>
                <w:szCs w:val="20"/>
                <w:lang w:val="en-GB"/>
              </w:rPr>
              <w:t>2023</w:t>
            </w:r>
          </w:p>
        </w:tc>
        <w:tc>
          <w:tcPr>
            <w:tcW w:w="1152" w:type="dxa"/>
            <w:tcBorders>
              <w:top w:val="single" w:sz="4" w:space="0" w:color="auto"/>
              <w:bottom w:val="single" w:sz="4" w:space="0" w:color="auto"/>
            </w:tcBorders>
            <w:shd w:val="clear" w:color="auto" w:fill="auto"/>
            <w:vAlign w:val="bottom"/>
          </w:tcPr>
          <w:p w14:paraId="7836655B" w14:textId="77777777" w:rsidR="00AB4B3A" w:rsidRPr="002D2F67" w:rsidRDefault="00AB4B3A"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Within </w:t>
            </w:r>
          </w:p>
          <w:p w14:paraId="59DB5C21" w14:textId="3E2DD2F3" w:rsidR="00AB4B3A"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1</w:t>
            </w:r>
            <w:r w:rsidR="00AB4B3A" w:rsidRPr="002D2F67">
              <w:rPr>
                <w:rFonts w:ascii="Arial" w:hAnsi="Arial" w:cs="Arial"/>
                <w:b/>
                <w:bCs/>
                <w:color w:val="000000"/>
                <w:sz w:val="20"/>
                <w:szCs w:val="20"/>
              </w:rPr>
              <w:t xml:space="preserve"> year</w:t>
            </w:r>
          </w:p>
          <w:p w14:paraId="4F6A326F" w14:textId="77777777" w:rsidR="00AB4B3A" w:rsidRPr="002D2F67" w:rsidRDefault="00AB4B3A" w:rsidP="005611FE">
            <w:pPr>
              <w:ind w:right="-72"/>
              <w:jc w:val="right"/>
              <w:rPr>
                <w:rFonts w:ascii="Arial" w:hAnsi="Arial" w:cs="Arial"/>
                <w:b/>
                <w:bCs/>
                <w:color w:val="000000"/>
                <w:sz w:val="20"/>
                <w:szCs w:val="20"/>
              </w:rPr>
            </w:pPr>
            <w:r w:rsidRPr="002D2F67">
              <w:rPr>
                <w:rFonts w:ascii="Arial" w:hAnsi="Arial" w:cs="Arial"/>
                <w:b/>
                <w:bCs/>
                <w:color w:val="000000"/>
                <w:sz w:val="20"/>
                <w:szCs w:val="20"/>
              </w:rPr>
              <w:t>Million Baht</w:t>
            </w:r>
          </w:p>
        </w:tc>
        <w:tc>
          <w:tcPr>
            <w:tcW w:w="1152" w:type="dxa"/>
            <w:tcBorders>
              <w:top w:val="single" w:sz="4" w:space="0" w:color="auto"/>
              <w:bottom w:val="single" w:sz="4" w:space="0" w:color="auto"/>
            </w:tcBorders>
            <w:shd w:val="clear" w:color="auto" w:fill="auto"/>
            <w:vAlign w:val="bottom"/>
          </w:tcPr>
          <w:p w14:paraId="381D9B00" w14:textId="6BCE1B04" w:rsidR="00AB4B3A"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1</w:t>
            </w:r>
            <w:r w:rsidR="00AB4B3A" w:rsidRPr="002D2F67">
              <w:rPr>
                <w:rFonts w:ascii="Arial" w:hAnsi="Arial" w:cs="Arial"/>
                <w:b/>
                <w:bCs/>
                <w:color w:val="000000"/>
                <w:sz w:val="20"/>
                <w:szCs w:val="20"/>
              </w:rPr>
              <w:t>-</w:t>
            </w:r>
            <w:r w:rsidRPr="00CD5714">
              <w:rPr>
                <w:rFonts w:ascii="Arial" w:hAnsi="Arial" w:cs="Arial"/>
                <w:b/>
                <w:bCs/>
                <w:color w:val="000000"/>
                <w:sz w:val="20"/>
                <w:szCs w:val="20"/>
                <w:lang w:val="en-GB"/>
              </w:rPr>
              <w:t>5</w:t>
            </w:r>
            <w:r w:rsidR="00AB4B3A" w:rsidRPr="002D2F67">
              <w:rPr>
                <w:rFonts w:ascii="Arial" w:hAnsi="Arial" w:cs="Arial"/>
                <w:b/>
                <w:bCs/>
                <w:color w:val="000000"/>
                <w:sz w:val="20"/>
                <w:szCs w:val="20"/>
              </w:rPr>
              <w:t xml:space="preserve"> </w:t>
            </w:r>
          </w:p>
          <w:p w14:paraId="62D01E33" w14:textId="77777777" w:rsidR="00AB4B3A" w:rsidRPr="002D2F67" w:rsidRDefault="00AB4B3A" w:rsidP="005611FE">
            <w:pPr>
              <w:ind w:right="-72"/>
              <w:jc w:val="right"/>
              <w:rPr>
                <w:rFonts w:ascii="Arial" w:hAnsi="Arial" w:cs="Arial"/>
                <w:b/>
                <w:bCs/>
                <w:color w:val="000000"/>
                <w:sz w:val="20"/>
                <w:szCs w:val="20"/>
              </w:rPr>
            </w:pPr>
            <w:r w:rsidRPr="002D2F67">
              <w:rPr>
                <w:rFonts w:ascii="Arial" w:hAnsi="Arial" w:cs="Arial"/>
                <w:b/>
                <w:bCs/>
                <w:color w:val="000000"/>
                <w:sz w:val="20"/>
                <w:szCs w:val="20"/>
              </w:rPr>
              <w:t>years</w:t>
            </w:r>
          </w:p>
          <w:p w14:paraId="65236424" w14:textId="77777777" w:rsidR="00AB4B3A" w:rsidRPr="002D2F67" w:rsidRDefault="00AB4B3A" w:rsidP="005611FE">
            <w:pPr>
              <w:ind w:right="-72"/>
              <w:jc w:val="right"/>
              <w:rPr>
                <w:rFonts w:ascii="Arial" w:hAnsi="Arial" w:cs="Arial"/>
                <w:b/>
                <w:bCs/>
                <w:color w:val="000000"/>
                <w:sz w:val="20"/>
                <w:szCs w:val="20"/>
              </w:rPr>
            </w:pPr>
            <w:r w:rsidRPr="002D2F67">
              <w:rPr>
                <w:rFonts w:ascii="Arial" w:hAnsi="Arial" w:cs="Arial"/>
                <w:b/>
                <w:bCs/>
                <w:color w:val="000000"/>
                <w:sz w:val="20"/>
                <w:szCs w:val="20"/>
              </w:rPr>
              <w:t>Million Baht</w:t>
            </w:r>
          </w:p>
        </w:tc>
        <w:tc>
          <w:tcPr>
            <w:tcW w:w="1152" w:type="dxa"/>
            <w:tcBorders>
              <w:top w:val="single" w:sz="4" w:space="0" w:color="auto"/>
              <w:bottom w:val="single" w:sz="4" w:space="0" w:color="auto"/>
            </w:tcBorders>
            <w:shd w:val="clear" w:color="auto" w:fill="auto"/>
            <w:vAlign w:val="bottom"/>
          </w:tcPr>
          <w:p w14:paraId="19C59C36" w14:textId="77777777" w:rsidR="00AB4B3A" w:rsidRPr="002D2F67" w:rsidRDefault="00AB4B3A"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Over </w:t>
            </w:r>
          </w:p>
          <w:p w14:paraId="4D068302" w14:textId="665854BE" w:rsidR="00AB4B3A"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5</w:t>
            </w:r>
            <w:r w:rsidR="00AB4B3A" w:rsidRPr="002D2F67">
              <w:rPr>
                <w:rFonts w:ascii="Arial" w:hAnsi="Arial" w:cs="Arial"/>
                <w:b/>
                <w:bCs/>
                <w:color w:val="000000"/>
                <w:sz w:val="20"/>
                <w:szCs w:val="20"/>
              </w:rPr>
              <w:t xml:space="preserve"> years Million Baht</w:t>
            </w:r>
          </w:p>
        </w:tc>
        <w:tc>
          <w:tcPr>
            <w:tcW w:w="1152" w:type="dxa"/>
            <w:tcBorders>
              <w:top w:val="single" w:sz="4" w:space="0" w:color="auto"/>
              <w:bottom w:val="single" w:sz="4" w:space="0" w:color="auto"/>
            </w:tcBorders>
            <w:shd w:val="clear" w:color="auto" w:fill="auto"/>
            <w:vAlign w:val="bottom"/>
          </w:tcPr>
          <w:p w14:paraId="0DDCB0D5" w14:textId="77777777" w:rsidR="00AB4B3A" w:rsidRPr="002D2F67" w:rsidRDefault="00AB4B3A"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 </w:t>
            </w:r>
          </w:p>
          <w:p w14:paraId="66788B55" w14:textId="77777777" w:rsidR="00AB4B3A" w:rsidRPr="002D2F67" w:rsidRDefault="00AB4B3A" w:rsidP="005611FE">
            <w:pPr>
              <w:ind w:right="-72"/>
              <w:jc w:val="right"/>
              <w:rPr>
                <w:rFonts w:ascii="Arial" w:hAnsi="Arial" w:cs="Arial"/>
                <w:b/>
                <w:bCs/>
                <w:color w:val="000000"/>
                <w:sz w:val="20"/>
                <w:szCs w:val="20"/>
              </w:rPr>
            </w:pPr>
            <w:r w:rsidRPr="002D2F67">
              <w:rPr>
                <w:rFonts w:ascii="Arial" w:hAnsi="Arial" w:cs="Arial"/>
                <w:b/>
                <w:bCs/>
                <w:color w:val="000000"/>
                <w:sz w:val="20"/>
                <w:szCs w:val="20"/>
              </w:rPr>
              <w:t>Total</w:t>
            </w:r>
          </w:p>
          <w:p w14:paraId="39861F4F" w14:textId="77777777" w:rsidR="00AB4B3A" w:rsidRPr="002D2F67" w:rsidRDefault="00AB4B3A" w:rsidP="005611FE">
            <w:pPr>
              <w:ind w:right="-72"/>
              <w:jc w:val="right"/>
              <w:rPr>
                <w:rFonts w:ascii="Arial" w:hAnsi="Arial" w:cs="Arial"/>
                <w:b/>
                <w:bCs/>
                <w:color w:val="000000"/>
                <w:sz w:val="20"/>
                <w:szCs w:val="20"/>
              </w:rPr>
            </w:pPr>
            <w:r w:rsidRPr="002D2F67">
              <w:rPr>
                <w:rFonts w:ascii="Arial" w:hAnsi="Arial" w:cs="Arial"/>
                <w:b/>
                <w:bCs/>
                <w:color w:val="000000"/>
                <w:sz w:val="20"/>
                <w:szCs w:val="20"/>
              </w:rPr>
              <w:t>Million Baht</w:t>
            </w:r>
          </w:p>
        </w:tc>
        <w:tc>
          <w:tcPr>
            <w:tcW w:w="1152" w:type="dxa"/>
            <w:tcBorders>
              <w:top w:val="single" w:sz="4" w:space="0" w:color="auto"/>
              <w:bottom w:val="single" w:sz="4" w:space="0" w:color="auto"/>
            </w:tcBorders>
            <w:shd w:val="clear" w:color="auto" w:fill="auto"/>
            <w:vAlign w:val="bottom"/>
          </w:tcPr>
          <w:p w14:paraId="696BF4F6" w14:textId="77777777" w:rsidR="00AB4B3A" w:rsidRPr="002D2F67" w:rsidRDefault="00AB4B3A" w:rsidP="005611FE">
            <w:pPr>
              <w:ind w:right="-72"/>
              <w:jc w:val="right"/>
              <w:rPr>
                <w:rFonts w:ascii="Arial" w:hAnsi="Arial" w:cs="Arial"/>
                <w:b/>
                <w:bCs/>
                <w:color w:val="000000"/>
                <w:sz w:val="20"/>
                <w:szCs w:val="20"/>
              </w:rPr>
            </w:pPr>
            <w:r w:rsidRPr="002D2F67">
              <w:rPr>
                <w:rFonts w:ascii="Arial" w:hAnsi="Arial" w:cs="Arial"/>
                <w:b/>
                <w:bCs/>
                <w:color w:val="000000"/>
                <w:sz w:val="20"/>
                <w:szCs w:val="20"/>
              </w:rPr>
              <w:t>Carrying amount</w:t>
            </w:r>
          </w:p>
          <w:p w14:paraId="6DA16458" w14:textId="77777777" w:rsidR="00AB4B3A" w:rsidRPr="002D2F67" w:rsidRDefault="00AB4B3A" w:rsidP="005611FE">
            <w:pPr>
              <w:ind w:right="-72"/>
              <w:jc w:val="right"/>
              <w:rPr>
                <w:rFonts w:ascii="Arial" w:hAnsi="Arial" w:cs="Arial"/>
                <w:b/>
                <w:bCs/>
                <w:color w:val="000000"/>
                <w:sz w:val="20"/>
                <w:szCs w:val="20"/>
              </w:rPr>
            </w:pPr>
            <w:r w:rsidRPr="002D2F67">
              <w:rPr>
                <w:rFonts w:ascii="Arial" w:hAnsi="Arial" w:cs="Arial"/>
                <w:b/>
                <w:bCs/>
                <w:color w:val="000000"/>
                <w:sz w:val="20"/>
                <w:szCs w:val="20"/>
              </w:rPr>
              <w:t>Million Baht</w:t>
            </w:r>
          </w:p>
        </w:tc>
      </w:tr>
      <w:tr w:rsidR="00AB4B3A" w:rsidRPr="002D2F67" w14:paraId="422C5C17" w14:textId="77777777" w:rsidTr="005611FE">
        <w:tc>
          <w:tcPr>
            <w:tcW w:w="3227" w:type="dxa"/>
            <w:shd w:val="clear" w:color="auto" w:fill="auto"/>
            <w:vAlign w:val="bottom"/>
          </w:tcPr>
          <w:p w14:paraId="2CF4C126" w14:textId="77777777" w:rsidR="00AB4B3A" w:rsidRPr="002D2F67" w:rsidRDefault="00AB4B3A" w:rsidP="005611FE">
            <w:pPr>
              <w:rPr>
                <w:rFonts w:ascii="Arial" w:hAnsi="Arial" w:cs="Arial"/>
                <w:color w:val="000000"/>
                <w:sz w:val="14"/>
                <w:szCs w:val="14"/>
              </w:rPr>
            </w:pPr>
          </w:p>
        </w:tc>
        <w:tc>
          <w:tcPr>
            <w:tcW w:w="1152" w:type="dxa"/>
            <w:tcBorders>
              <w:top w:val="single" w:sz="4" w:space="0" w:color="auto"/>
            </w:tcBorders>
            <w:shd w:val="clear" w:color="auto" w:fill="auto"/>
            <w:vAlign w:val="bottom"/>
          </w:tcPr>
          <w:p w14:paraId="44A2A45F" w14:textId="77777777" w:rsidR="00AB4B3A" w:rsidRPr="002D2F67" w:rsidRDefault="00AB4B3A" w:rsidP="005611FE">
            <w:pPr>
              <w:ind w:right="-72"/>
              <w:jc w:val="right"/>
              <w:rPr>
                <w:rFonts w:ascii="Arial" w:hAnsi="Arial" w:cs="Arial"/>
                <w:color w:val="000000"/>
                <w:sz w:val="14"/>
                <w:szCs w:val="14"/>
              </w:rPr>
            </w:pPr>
          </w:p>
        </w:tc>
        <w:tc>
          <w:tcPr>
            <w:tcW w:w="1152" w:type="dxa"/>
            <w:tcBorders>
              <w:top w:val="single" w:sz="4" w:space="0" w:color="auto"/>
            </w:tcBorders>
            <w:shd w:val="clear" w:color="auto" w:fill="auto"/>
            <w:vAlign w:val="bottom"/>
          </w:tcPr>
          <w:p w14:paraId="2E88BAFC" w14:textId="77777777" w:rsidR="00AB4B3A" w:rsidRPr="002D2F67" w:rsidRDefault="00AB4B3A" w:rsidP="005611FE">
            <w:pPr>
              <w:ind w:right="-72"/>
              <w:jc w:val="right"/>
              <w:rPr>
                <w:rFonts w:ascii="Arial" w:hAnsi="Arial" w:cs="Arial"/>
                <w:color w:val="000000"/>
                <w:sz w:val="14"/>
                <w:szCs w:val="14"/>
              </w:rPr>
            </w:pPr>
          </w:p>
        </w:tc>
        <w:tc>
          <w:tcPr>
            <w:tcW w:w="1152" w:type="dxa"/>
            <w:tcBorders>
              <w:top w:val="single" w:sz="4" w:space="0" w:color="auto"/>
            </w:tcBorders>
            <w:shd w:val="clear" w:color="auto" w:fill="auto"/>
            <w:vAlign w:val="bottom"/>
          </w:tcPr>
          <w:p w14:paraId="4E7A33A8" w14:textId="77777777" w:rsidR="00AB4B3A" w:rsidRPr="002D2F67" w:rsidRDefault="00AB4B3A" w:rsidP="005611FE">
            <w:pPr>
              <w:ind w:right="-72"/>
              <w:jc w:val="right"/>
              <w:rPr>
                <w:rFonts w:ascii="Arial" w:hAnsi="Arial" w:cs="Arial"/>
                <w:color w:val="000000"/>
                <w:sz w:val="14"/>
                <w:szCs w:val="14"/>
              </w:rPr>
            </w:pPr>
          </w:p>
        </w:tc>
        <w:tc>
          <w:tcPr>
            <w:tcW w:w="1152" w:type="dxa"/>
            <w:tcBorders>
              <w:top w:val="single" w:sz="4" w:space="0" w:color="auto"/>
            </w:tcBorders>
            <w:shd w:val="clear" w:color="auto" w:fill="auto"/>
            <w:vAlign w:val="bottom"/>
          </w:tcPr>
          <w:p w14:paraId="411C9344" w14:textId="77777777" w:rsidR="00AB4B3A" w:rsidRPr="002D2F67" w:rsidRDefault="00AB4B3A" w:rsidP="005611FE">
            <w:pPr>
              <w:ind w:right="-72"/>
              <w:jc w:val="right"/>
              <w:rPr>
                <w:rFonts w:ascii="Arial" w:hAnsi="Arial" w:cs="Arial"/>
                <w:color w:val="000000"/>
                <w:sz w:val="14"/>
                <w:szCs w:val="14"/>
              </w:rPr>
            </w:pPr>
          </w:p>
        </w:tc>
        <w:tc>
          <w:tcPr>
            <w:tcW w:w="1152" w:type="dxa"/>
            <w:tcBorders>
              <w:top w:val="single" w:sz="4" w:space="0" w:color="auto"/>
            </w:tcBorders>
            <w:shd w:val="clear" w:color="auto" w:fill="auto"/>
            <w:vAlign w:val="bottom"/>
          </w:tcPr>
          <w:p w14:paraId="004A6C60" w14:textId="77777777" w:rsidR="00AB4B3A" w:rsidRPr="002D2F67" w:rsidRDefault="00AB4B3A" w:rsidP="005611FE">
            <w:pPr>
              <w:ind w:right="-72"/>
              <w:jc w:val="right"/>
              <w:rPr>
                <w:rFonts w:ascii="Arial" w:hAnsi="Arial" w:cs="Arial"/>
                <w:color w:val="000000"/>
                <w:sz w:val="14"/>
                <w:szCs w:val="14"/>
              </w:rPr>
            </w:pPr>
          </w:p>
        </w:tc>
      </w:tr>
      <w:tr w:rsidR="00AB4B3A" w:rsidRPr="002D2F67" w14:paraId="76A4B2D3" w14:textId="77777777" w:rsidTr="005611FE">
        <w:tc>
          <w:tcPr>
            <w:tcW w:w="3227" w:type="dxa"/>
            <w:shd w:val="clear" w:color="auto" w:fill="auto"/>
            <w:vAlign w:val="bottom"/>
          </w:tcPr>
          <w:p w14:paraId="3AD5C78F" w14:textId="77777777" w:rsidR="00AB4B3A" w:rsidRPr="002D2F67" w:rsidRDefault="00AB4B3A" w:rsidP="005611FE">
            <w:pPr>
              <w:rPr>
                <w:rFonts w:ascii="Arial" w:hAnsi="Arial" w:cs="Arial"/>
                <w:color w:val="000000"/>
                <w:sz w:val="14"/>
                <w:szCs w:val="14"/>
              </w:rPr>
            </w:pPr>
            <w:r w:rsidRPr="002D2F67">
              <w:rPr>
                <w:rFonts w:ascii="Arial" w:hAnsi="Arial" w:cs="Arial"/>
                <w:b/>
                <w:bCs/>
                <w:color w:val="000000"/>
                <w:sz w:val="20"/>
                <w:szCs w:val="20"/>
              </w:rPr>
              <w:t>Non-derivatives</w:t>
            </w:r>
          </w:p>
        </w:tc>
        <w:tc>
          <w:tcPr>
            <w:tcW w:w="1152" w:type="dxa"/>
            <w:shd w:val="clear" w:color="auto" w:fill="auto"/>
            <w:vAlign w:val="bottom"/>
          </w:tcPr>
          <w:p w14:paraId="36557BB6" w14:textId="77777777" w:rsidR="00AB4B3A" w:rsidRPr="002D2F67" w:rsidRDefault="00AB4B3A" w:rsidP="005611FE">
            <w:pPr>
              <w:ind w:right="-72"/>
              <w:jc w:val="right"/>
              <w:rPr>
                <w:rFonts w:ascii="Arial" w:hAnsi="Arial" w:cs="Arial"/>
                <w:color w:val="000000"/>
                <w:sz w:val="14"/>
                <w:szCs w:val="14"/>
              </w:rPr>
            </w:pPr>
          </w:p>
        </w:tc>
        <w:tc>
          <w:tcPr>
            <w:tcW w:w="1152" w:type="dxa"/>
            <w:shd w:val="clear" w:color="auto" w:fill="auto"/>
            <w:vAlign w:val="bottom"/>
          </w:tcPr>
          <w:p w14:paraId="0877C8E4" w14:textId="77777777" w:rsidR="00AB4B3A" w:rsidRPr="002D2F67" w:rsidRDefault="00AB4B3A" w:rsidP="005611FE">
            <w:pPr>
              <w:ind w:right="-72"/>
              <w:jc w:val="right"/>
              <w:rPr>
                <w:rFonts w:ascii="Arial" w:hAnsi="Arial" w:cs="Arial"/>
                <w:color w:val="000000"/>
                <w:sz w:val="14"/>
                <w:szCs w:val="14"/>
              </w:rPr>
            </w:pPr>
          </w:p>
        </w:tc>
        <w:tc>
          <w:tcPr>
            <w:tcW w:w="1152" w:type="dxa"/>
            <w:shd w:val="clear" w:color="auto" w:fill="auto"/>
            <w:vAlign w:val="bottom"/>
          </w:tcPr>
          <w:p w14:paraId="76628926" w14:textId="77777777" w:rsidR="00AB4B3A" w:rsidRPr="002D2F67" w:rsidRDefault="00AB4B3A" w:rsidP="005611FE">
            <w:pPr>
              <w:ind w:right="-72"/>
              <w:jc w:val="right"/>
              <w:rPr>
                <w:rFonts w:ascii="Arial" w:hAnsi="Arial" w:cs="Arial"/>
                <w:color w:val="000000"/>
                <w:sz w:val="14"/>
                <w:szCs w:val="14"/>
              </w:rPr>
            </w:pPr>
          </w:p>
        </w:tc>
        <w:tc>
          <w:tcPr>
            <w:tcW w:w="1152" w:type="dxa"/>
            <w:shd w:val="clear" w:color="auto" w:fill="auto"/>
            <w:vAlign w:val="bottom"/>
          </w:tcPr>
          <w:p w14:paraId="3D346B18" w14:textId="77777777" w:rsidR="00AB4B3A" w:rsidRPr="002D2F67" w:rsidRDefault="00AB4B3A" w:rsidP="005611FE">
            <w:pPr>
              <w:ind w:right="-72"/>
              <w:jc w:val="right"/>
              <w:rPr>
                <w:rFonts w:ascii="Arial" w:hAnsi="Arial" w:cs="Arial"/>
                <w:color w:val="000000"/>
                <w:sz w:val="14"/>
                <w:szCs w:val="14"/>
              </w:rPr>
            </w:pPr>
          </w:p>
        </w:tc>
        <w:tc>
          <w:tcPr>
            <w:tcW w:w="1152" w:type="dxa"/>
            <w:shd w:val="clear" w:color="auto" w:fill="auto"/>
            <w:vAlign w:val="bottom"/>
          </w:tcPr>
          <w:p w14:paraId="1EFD4DF7" w14:textId="77777777" w:rsidR="00AB4B3A" w:rsidRPr="002D2F67" w:rsidRDefault="00AB4B3A" w:rsidP="005611FE">
            <w:pPr>
              <w:ind w:right="-72"/>
              <w:jc w:val="right"/>
              <w:rPr>
                <w:rFonts w:ascii="Arial" w:hAnsi="Arial" w:cs="Arial"/>
                <w:color w:val="000000"/>
                <w:sz w:val="14"/>
                <w:szCs w:val="14"/>
              </w:rPr>
            </w:pPr>
          </w:p>
        </w:tc>
      </w:tr>
      <w:tr w:rsidR="00AB4B3A" w:rsidRPr="002D2F67" w14:paraId="79244DDB" w14:textId="77777777" w:rsidTr="005611FE">
        <w:tc>
          <w:tcPr>
            <w:tcW w:w="3227" w:type="dxa"/>
            <w:shd w:val="clear" w:color="auto" w:fill="auto"/>
            <w:vAlign w:val="bottom"/>
          </w:tcPr>
          <w:p w14:paraId="276D4E67" w14:textId="77777777" w:rsidR="00AB4B3A" w:rsidRPr="002D2F67" w:rsidRDefault="00AB4B3A" w:rsidP="005611FE">
            <w:pPr>
              <w:ind w:left="177" w:hanging="177"/>
              <w:rPr>
                <w:rFonts w:ascii="Arial" w:hAnsi="Arial" w:cs="Arial"/>
                <w:color w:val="000000"/>
                <w:sz w:val="20"/>
                <w:szCs w:val="20"/>
              </w:rPr>
            </w:pPr>
            <w:r w:rsidRPr="002D2F67">
              <w:rPr>
                <w:rFonts w:ascii="Arial" w:hAnsi="Arial" w:cs="Arial"/>
                <w:color w:val="000000"/>
                <w:sz w:val="20"/>
                <w:szCs w:val="20"/>
              </w:rPr>
              <w:t xml:space="preserve">Short-term loans from </w:t>
            </w:r>
            <w:r w:rsidRPr="002D2F67">
              <w:rPr>
                <w:rFonts w:ascii="Arial" w:hAnsi="Arial" w:cs="Arial"/>
                <w:color w:val="000000"/>
                <w:sz w:val="20"/>
                <w:szCs w:val="20"/>
              </w:rPr>
              <w:br/>
              <w:t>financial institutions</w:t>
            </w:r>
          </w:p>
        </w:tc>
        <w:tc>
          <w:tcPr>
            <w:tcW w:w="1152" w:type="dxa"/>
            <w:shd w:val="clear" w:color="auto" w:fill="auto"/>
            <w:vAlign w:val="bottom"/>
          </w:tcPr>
          <w:p w14:paraId="276581BD" w14:textId="6F81E00F"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w:t>
            </w:r>
            <w:r w:rsidR="00AB4B3A" w:rsidRPr="002D2F67">
              <w:rPr>
                <w:rFonts w:ascii="Arial" w:hAnsi="Arial" w:cs="Arial"/>
                <w:color w:val="000000"/>
                <w:sz w:val="20"/>
                <w:szCs w:val="20"/>
              </w:rPr>
              <w:t>,</w:t>
            </w:r>
            <w:r w:rsidRPr="00CD5714">
              <w:rPr>
                <w:rFonts w:ascii="Arial" w:hAnsi="Arial" w:cs="Arial"/>
                <w:color w:val="000000"/>
                <w:sz w:val="20"/>
                <w:szCs w:val="20"/>
                <w:lang w:val="en-GB"/>
              </w:rPr>
              <w:t>140</w:t>
            </w:r>
          </w:p>
        </w:tc>
        <w:tc>
          <w:tcPr>
            <w:tcW w:w="1152" w:type="dxa"/>
            <w:shd w:val="clear" w:color="auto" w:fill="auto"/>
            <w:vAlign w:val="bottom"/>
          </w:tcPr>
          <w:p w14:paraId="7C2EEB99" w14:textId="77777777" w:rsidR="00AB4B3A" w:rsidRPr="002D2F67" w:rsidRDefault="00AB4B3A"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152" w:type="dxa"/>
            <w:shd w:val="clear" w:color="auto" w:fill="auto"/>
            <w:vAlign w:val="bottom"/>
          </w:tcPr>
          <w:p w14:paraId="2F1158C6" w14:textId="77777777" w:rsidR="00AB4B3A" w:rsidRPr="002D2F67" w:rsidRDefault="00AB4B3A"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152" w:type="dxa"/>
            <w:shd w:val="clear" w:color="auto" w:fill="auto"/>
            <w:vAlign w:val="bottom"/>
          </w:tcPr>
          <w:p w14:paraId="47877813" w14:textId="3DB11179"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w:t>
            </w:r>
            <w:r w:rsidR="00AB4B3A" w:rsidRPr="002D2F67">
              <w:rPr>
                <w:rFonts w:ascii="Arial" w:hAnsi="Arial" w:cs="Arial"/>
                <w:color w:val="000000"/>
                <w:sz w:val="20"/>
                <w:szCs w:val="20"/>
              </w:rPr>
              <w:t>,</w:t>
            </w:r>
            <w:r w:rsidRPr="00CD5714">
              <w:rPr>
                <w:rFonts w:ascii="Arial" w:hAnsi="Arial" w:cs="Arial"/>
                <w:color w:val="000000"/>
                <w:sz w:val="20"/>
                <w:szCs w:val="20"/>
                <w:lang w:val="en-GB"/>
              </w:rPr>
              <w:t>140</w:t>
            </w:r>
          </w:p>
        </w:tc>
        <w:tc>
          <w:tcPr>
            <w:tcW w:w="1152" w:type="dxa"/>
            <w:shd w:val="clear" w:color="auto" w:fill="auto"/>
            <w:vAlign w:val="bottom"/>
          </w:tcPr>
          <w:p w14:paraId="33164A11" w14:textId="67AC46FE"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w:t>
            </w:r>
            <w:r w:rsidR="00AB4B3A" w:rsidRPr="002D2F67">
              <w:rPr>
                <w:rFonts w:ascii="Arial" w:hAnsi="Arial" w:cs="Arial"/>
                <w:color w:val="000000"/>
                <w:sz w:val="20"/>
                <w:szCs w:val="20"/>
              </w:rPr>
              <w:t>,</w:t>
            </w:r>
            <w:r w:rsidRPr="00CD5714">
              <w:rPr>
                <w:rFonts w:ascii="Arial" w:hAnsi="Arial" w:cs="Arial"/>
                <w:color w:val="000000"/>
                <w:sz w:val="20"/>
                <w:szCs w:val="20"/>
                <w:lang w:val="en-GB"/>
              </w:rPr>
              <w:t>140</w:t>
            </w:r>
          </w:p>
        </w:tc>
      </w:tr>
      <w:tr w:rsidR="00AB4B3A" w:rsidRPr="002D2F67" w14:paraId="3B2C18DC" w14:textId="77777777" w:rsidTr="005611FE">
        <w:tc>
          <w:tcPr>
            <w:tcW w:w="3227" w:type="dxa"/>
            <w:shd w:val="clear" w:color="auto" w:fill="auto"/>
            <w:vAlign w:val="bottom"/>
          </w:tcPr>
          <w:p w14:paraId="00CBC90B" w14:textId="77777777" w:rsidR="00AB4B3A" w:rsidRPr="002D2F67" w:rsidRDefault="00AB4B3A" w:rsidP="005611FE">
            <w:pPr>
              <w:ind w:left="177" w:hanging="177"/>
              <w:rPr>
                <w:rFonts w:ascii="Arial" w:hAnsi="Arial" w:cs="Arial"/>
                <w:color w:val="000000"/>
                <w:sz w:val="20"/>
                <w:szCs w:val="20"/>
              </w:rPr>
            </w:pPr>
            <w:r w:rsidRPr="002D2F67">
              <w:rPr>
                <w:rFonts w:ascii="Arial" w:hAnsi="Arial" w:cs="Arial"/>
                <w:color w:val="000000"/>
                <w:sz w:val="20"/>
                <w:szCs w:val="20"/>
              </w:rPr>
              <w:t>Short-term loans from</w:t>
            </w:r>
            <w:r w:rsidRPr="002D2F67">
              <w:rPr>
                <w:rFonts w:ascii="Arial" w:hAnsi="Arial" w:cs="Arial"/>
                <w:color w:val="000000"/>
                <w:sz w:val="20"/>
                <w:szCs w:val="20"/>
              </w:rPr>
              <w:br/>
              <w:t>related parties</w:t>
            </w:r>
          </w:p>
        </w:tc>
        <w:tc>
          <w:tcPr>
            <w:tcW w:w="1152" w:type="dxa"/>
            <w:shd w:val="clear" w:color="auto" w:fill="auto"/>
            <w:vAlign w:val="bottom"/>
          </w:tcPr>
          <w:p w14:paraId="24EC4F7D" w14:textId="40BC05FE"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706</w:t>
            </w:r>
          </w:p>
        </w:tc>
        <w:tc>
          <w:tcPr>
            <w:tcW w:w="1152" w:type="dxa"/>
            <w:shd w:val="clear" w:color="auto" w:fill="auto"/>
            <w:vAlign w:val="bottom"/>
          </w:tcPr>
          <w:p w14:paraId="18B2337F" w14:textId="77777777" w:rsidR="00AB4B3A" w:rsidRPr="002D2F67" w:rsidRDefault="00AB4B3A"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152" w:type="dxa"/>
            <w:shd w:val="clear" w:color="auto" w:fill="auto"/>
            <w:vAlign w:val="bottom"/>
          </w:tcPr>
          <w:p w14:paraId="076E6040" w14:textId="77777777" w:rsidR="00AB4B3A" w:rsidRPr="002D2F67" w:rsidRDefault="00AB4B3A"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152" w:type="dxa"/>
            <w:shd w:val="clear" w:color="auto" w:fill="auto"/>
            <w:vAlign w:val="bottom"/>
          </w:tcPr>
          <w:p w14:paraId="306F2F8F" w14:textId="69861A3D"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706</w:t>
            </w:r>
          </w:p>
        </w:tc>
        <w:tc>
          <w:tcPr>
            <w:tcW w:w="1152" w:type="dxa"/>
            <w:shd w:val="clear" w:color="auto" w:fill="auto"/>
            <w:vAlign w:val="bottom"/>
          </w:tcPr>
          <w:p w14:paraId="34805AE7" w14:textId="7C1A098B"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706</w:t>
            </w:r>
          </w:p>
        </w:tc>
      </w:tr>
      <w:tr w:rsidR="00AB4B3A" w:rsidRPr="002D2F67" w14:paraId="29BB21A9" w14:textId="77777777" w:rsidTr="005611FE">
        <w:tc>
          <w:tcPr>
            <w:tcW w:w="3227" w:type="dxa"/>
            <w:shd w:val="clear" w:color="auto" w:fill="auto"/>
            <w:vAlign w:val="bottom"/>
          </w:tcPr>
          <w:p w14:paraId="59D86699" w14:textId="444D538F" w:rsidR="00AB4B3A" w:rsidRPr="002D2F67" w:rsidRDefault="00AB4B3A" w:rsidP="00601F48">
            <w:pPr>
              <w:ind w:left="147" w:hanging="178"/>
              <w:rPr>
                <w:rFonts w:ascii="Arial" w:hAnsi="Arial" w:cs="Arial"/>
                <w:color w:val="000000"/>
                <w:spacing w:val="-2"/>
                <w:sz w:val="20"/>
                <w:szCs w:val="20"/>
              </w:rPr>
            </w:pPr>
            <w:r w:rsidRPr="002D2F67">
              <w:rPr>
                <w:rFonts w:ascii="Arial" w:hAnsi="Arial" w:cs="Arial"/>
                <w:color w:val="000000"/>
                <w:spacing w:val="-2"/>
                <w:sz w:val="20"/>
                <w:szCs w:val="20"/>
              </w:rPr>
              <w:t xml:space="preserve">Trade and other </w:t>
            </w:r>
            <w:r w:rsidR="45E9DBCB" w:rsidRPr="002D2F67">
              <w:rPr>
                <w:rFonts w:ascii="Arial" w:hAnsi="Arial" w:cs="Arial"/>
                <w:color w:val="000000"/>
                <w:spacing w:val="-2"/>
                <w:sz w:val="20"/>
                <w:szCs w:val="20"/>
              </w:rPr>
              <w:t xml:space="preserve">current </w:t>
            </w:r>
            <w:r w:rsidRPr="002D2F67">
              <w:rPr>
                <w:rFonts w:ascii="Arial" w:hAnsi="Arial" w:cs="Arial"/>
                <w:color w:val="000000"/>
                <w:spacing w:val="-2"/>
                <w:sz w:val="20"/>
                <w:szCs w:val="20"/>
              </w:rPr>
              <w:t>accounts payable</w:t>
            </w:r>
            <w:r w:rsidR="00601F48" w:rsidRPr="002D2F67">
              <w:rPr>
                <w:rFonts w:ascii="Arial" w:hAnsi="Arial" w:cs="Arial"/>
                <w:color w:val="000000"/>
                <w:spacing w:val="-2"/>
                <w:sz w:val="20"/>
                <w:szCs w:val="20"/>
              </w:rPr>
              <w:t xml:space="preserve"> </w:t>
            </w:r>
            <w:r w:rsidRPr="002D2F67">
              <w:rPr>
                <w:rFonts w:ascii="Arial" w:hAnsi="Arial" w:cs="Arial"/>
                <w:color w:val="000000"/>
                <w:sz w:val="20"/>
                <w:szCs w:val="20"/>
              </w:rPr>
              <w:t xml:space="preserve">and construction payables and </w:t>
            </w:r>
            <w:r w:rsidR="00601F48" w:rsidRPr="002D2F67">
              <w:rPr>
                <w:rFonts w:ascii="Arial" w:hAnsi="Arial" w:cs="Arial"/>
                <w:color w:val="000000"/>
                <w:sz w:val="20"/>
                <w:szCs w:val="20"/>
              </w:rPr>
              <w:t>payables of purchase of assets</w:t>
            </w:r>
            <w:r w:rsidRPr="002D2F67">
              <w:rPr>
                <w:rFonts w:ascii="Arial" w:hAnsi="Arial" w:cs="Arial"/>
                <w:color w:val="000000"/>
                <w:sz w:val="20"/>
                <w:szCs w:val="20"/>
              </w:rPr>
              <w:t xml:space="preserve">   </w:t>
            </w:r>
          </w:p>
        </w:tc>
        <w:tc>
          <w:tcPr>
            <w:tcW w:w="1152" w:type="dxa"/>
            <w:shd w:val="clear" w:color="auto" w:fill="auto"/>
            <w:vAlign w:val="bottom"/>
          </w:tcPr>
          <w:p w14:paraId="5DE4F351" w14:textId="6E27DD1B"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2"/>
                <w:lang w:val="en-GB"/>
              </w:rPr>
              <w:t>10</w:t>
            </w:r>
            <w:r w:rsidR="00AB4B3A" w:rsidRPr="002D2F67">
              <w:rPr>
                <w:rFonts w:ascii="Arial" w:hAnsi="Arial" w:cs="Arial"/>
                <w:color w:val="000000"/>
                <w:sz w:val="20"/>
                <w:szCs w:val="22"/>
              </w:rPr>
              <w:t>,</w:t>
            </w:r>
            <w:r w:rsidRPr="00CD5714">
              <w:rPr>
                <w:rFonts w:ascii="Arial" w:hAnsi="Arial" w:cs="Arial"/>
                <w:color w:val="000000"/>
                <w:sz w:val="20"/>
                <w:szCs w:val="22"/>
                <w:lang w:val="en-GB"/>
              </w:rPr>
              <w:t>904</w:t>
            </w:r>
          </w:p>
        </w:tc>
        <w:tc>
          <w:tcPr>
            <w:tcW w:w="1152" w:type="dxa"/>
            <w:shd w:val="clear" w:color="auto" w:fill="auto"/>
            <w:vAlign w:val="bottom"/>
          </w:tcPr>
          <w:p w14:paraId="33574E4E" w14:textId="77777777" w:rsidR="00AB4B3A" w:rsidRPr="002D2F67" w:rsidRDefault="00AB4B3A"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152" w:type="dxa"/>
            <w:shd w:val="clear" w:color="auto" w:fill="auto"/>
            <w:vAlign w:val="bottom"/>
          </w:tcPr>
          <w:p w14:paraId="3763E50C" w14:textId="77777777" w:rsidR="00AB4B3A" w:rsidRPr="002D2F67" w:rsidRDefault="00AB4B3A"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152" w:type="dxa"/>
            <w:shd w:val="clear" w:color="auto" w:fill="auto"/>
            <w:vAlign w:val="bottom"/>
          </w:tcPr>
          <w:p w14:paraId="0E56C79E" w14:textId="42A51211"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2"/>
                <w:lang w:val="en-GB"/>
              </w:rPr>
              <w:t>10</w:t>
            </w:r>
            <w:r w:rsidR="00AB4B3A" w:rsidRPr="002D2F67">
              <w:rPr>
                <w:rFonts w:ascii="Arial" w:hAnsi="Arial" w:cs="Arial"/>
                <w:color w:val="000000"/>
                <w:sz w:val="20"/>
                <w:szCs w:val="22"/>
              </w:rPr>
              <w:t>,</w:t>
            </w:r>
            <w:r w:rsidRPr="00CD5714">
              <w:rPr>
                <w:rFonts w:ascii="Arial" w:hAnsi="Arial" w:cs="Arial"/>
                <w:color w:val="000000"/>
                <w:sz w:val="20"/>
                <w:szCs w:val="22"/>
                <w:lang w:val="en-GB"/>
              </w:rPr>
              <w:t>904</w:t>
            </w:r>
          </w:p>
        </w:tc>
        <w:tc>
          <w:tcPr>
            <w:tcW w:w="1152" w:type="dxa"/>
            <w:shd w:val="clear" w:color="auto" w:fill="auto"/>
            <w:vAlign w:val="bottom"/>
          </w:tcPr>
          <w:p w14:paraId="3234AC1A" w14:textId="58278134"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2"/>
                <w:lang w:val="en-GB"/>
              </w:rPr>
              <w:t>10</w:t>
            </w:r>
            <w:r w:rsidR="00AB4B3A" w:rsidRPr="002D2F67">
              <w:rPr>
                <w:rFonts w:ascii="Arial" w:hAnsi="Arial" w:cs="Arial"/>
                <w:color w:val="000000"/>
                <w:sz w:val="20"/>
                <w:szCs w:val="22"/>
              </w:rPr>
              <w:t>,</w:t>
            </w:r>
            <w:r w:rsidRPr="00CD5714">
              <w:rPr>
                <w:rFonts w:ascii="Arial" w:hAnsi="Arial" w:cs="Arial"/>
                <w:color w:val="000000"/>
                <w:sz w:val="20"/>
                <w:szCs w:val="22"/>
                <w:lang w:val="en-GB"/>
              </w:rPr>
              <w:t>904</w:t>
            </w:r>
          </w:p>
        </w:tc>
      </w:tr>
      <w:tr w:rsidR="00AB4B3A" w:rsidRPr="002D2F67" w14:paraId="1C268DB2" w14:textId="77777777" w:rsidTr="005611FE">
        <w:tc>
          <w:tcPr>
            <w:tcW w:w="3227" w:type="dxa"/>
            <w:shd w:val="clear" w:color="auto" w:fill="auto"/>
            <w:vAlign w:val="bottom"/>
          </w:tcPr>
          <w:p w14:paraId="0B071D6D" w14:textId="77777777" w:rsidR="00AB4B3A" w:rsidRPr="002D2F67" w:rsidRDefault="00AB4B3A" w:rsidP="005611FE">
            <w:pPr>
              <w:ind w:left="177" w:hanging="177"/>
              <w:rPr>
                <w:rFonts w:ascii="Arial" w:hAnsi="Arial" w:cs="Arial"/>
                <w:color w:val="000000"/>
                <w:sz w:val="20"/>
                <w:szCs w:val="20"/>
              </w:rPr>
            </w:pPr>
            <w:r w:rsidRPr="002D2F67">
              <w:rPr>
                <w:rFonts w:ascii="Arial" w:hAnsi="Arial" w:cs="Arial"/>
                <w:color w:val="000000"/>
                <w:sz w:val="20"/>
                <w:szCs w:val="20"/>
              </w:rPr>
              <w:t>Lease liabilities</w:t>
            </w:r>
          </w:p>
        </w:tc>
        <w:tc>
          <w:tcPr>
            <w:tcW w:w="1152" w:type="dxa"/>
            <w:shd w:val="clear" w:color="auto" w:fill="auto"/>
            <w:vAlign w:val="bottom"/>
          </w:tcPr>
          <w:p w14:paraId="2B008796" w14:textId="053E14CD"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56</w:t>
            </w:r>
          </w:p>
        </w:tc>
        <w:tc>
          <w:tcPr>
            <w:tcW w:w="1152" w:type="dxa"/>
            <w:shd w:val="clear" w:color="auto" w:fill="auto"/>
            <w:vAlign w:val="bottom"/>
          </w:tcPr>
          <w:p w14:paraId="4E5E46AE" w14:textId="22785226"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90</w:t>
            </w:r>
          </w:p>
        </w:tc>
        <w:tc>
          <w:tcPr>
            <w:tcW w:w="1152" w:type="dxa"/>
            <w:shd w:val="clear" w:color="auto" w:fill="auto"/>
            <w:vAlign w:val="bottom"/>
          </w:tcPr>
          <w:p w14:paraId="11CA5C1A" w14:textId="1DC52725"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201</w:t>
            </w:r>
          </w:p>
        </w:tc>
        <w:tc>
          <w:tcPr>
            <w:tcW w:w="1152" w:type="dxa"/>
            <w:shd w:val="clear" w:color="auto" w:fill="auto"/>
            <w:vAlign w:val="bottom"/>
          </w:tcPr>
          <w:p w14:paraId="1B3C1196" w14:textId="585C63AD"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347</w:t>
            </w:r>
          </w:p>
        </w:tc>
        <w:tc>
          <w:tcPr>
            <w:tcW w:w="1152" w:type="dxa"/>
            <w:shd w:val="clear" w:color="auto" w:fill="auto"/>
            <w:vAlign w:val="bottom"/>
          </w:tcPr>
          <w:p w14:paraId="6A7B6D8C" w14:textId="3098C51C"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285</w:t>
            </w:r>
          </w:p>
        </w:tc>
      </w:tr>
      <w:tr w:rsidR="00AB4B3A" w:rsidRPr="002D2F67" w14:paraId="3C99B820" w14:textId="77777777" w:rsidTr="005611FE">
        <w:tc>
          <w:tcPr>
            <w:tcW w:w="3227" w:type="dxa"/>
            <w:shd w:val="clear" w:color="auto" w:fill="auto"/>
            <w:vAlign w:val="bottom"/>
          </w:tcPr>
          <w:p w14:paraId="0E16A67B" w14:textId="77777777" w:rsidR="00AB4B3A" w:rsidRPr="002D2F67" w:rsidRDefault="00AB4B3A" w:rsidP="005611FE">
            <w:pPr>
              <w:ind w:left="177" w:hanging="177"/>
              <w:rPr>
                <w:rFonts w:ascii="Arial" w:hAnsi="Arial" w:cs="Arial"/>
                <w:color w:val="000000"/>
                <w:sz w:val="20"/>
                <w:szCs w:val="20"/>
              </w:rPr>
            </w:pPr>
            <w:r w:rsidRPr="002D2F67">
              <w:rPr>
                <w:rFonts w:ascii="Arial" w:hAnsi="Arial" w:cs="Arial"/>
                <w:color w:val="000000"/>
                <w:sz w:val="20"/>
                <w:szCs w:val="20"/>
              </w:rPr>
              <w:t>Long-term loans from financial institutions and related interests</w:t>
            </w:r>
          </w:p>
        </w:tc>
        <w:tc>
          <w:tcPr>
            <w:tcW w:w="1152" w:type="dxa"/>
            <w:shd w:val="clear" w:color="auto" w:fill="auto"/>
            <w:vAlign w:val="bottom"/>
          </w:tcPr>
          <w:p w14:paraId="15FD74BC" w14:textId="443BAFFA"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2"/>
                <w:lang w:val="en-GB"/>
              </w:rPr>
              <w:t>5</w:t>
            </w:r>
            <w:r w:rsidR="00AB4B3A" w:rsidRPr="002D2F67">
              <w:rPr>
                <w:rFonts w:ascii="Arial" w:hAnsi="Arial" w:cs="Arial"/>
                <w:color w:val="000000"/>
                <w:sz w:val="20"/>
                <w:szCs w:val="22"/>
              </w:rPr>
              <w:t>,</w:t>
            </w:r>
            <w:r w:rsidRPr="00CD5714">
              <w:rPr>
                <w:rFonts w:ascii="Arial" w:hAnsi="Arial" w:cs="Arial"/>
                <w:color w:val="000000"/>
                <w:sz w:val="20"/>
                <w:szCs w:val="22"/>
                <w:lang w:val="en-GB"/>
              </w:rPr>
              <w:t>119</w:t>
            </w:r>
          </w:p>
        </w:tc>
        <w:tc>
          <w:tcPr>
            <w:tcW w:w="1152" w:type="dxa"/>
            <w:shd w:val="clear" w:color="auto" w:fill="auto"/>
            <w:vAlign w:val="bottom"/>
          </w:tcPr>
          <w:p w14:paraId="3773FEAE" w14:textId="2C5BBB5D"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7</w:t>
            </w:r>
            <w:r w:rsidR="00AB4B3A" w:rsidRPr="002D2F67">
              <w:rPr>
                <w:rFonts w:ascii="Arial" w:hAnsi="Arial" w:cs="Arial"/>
                <w:color w:val="000000"/>
                <w:sz w:val="20"/>
                <w:szCs w:val="20"/>
              </w:rPr>
              <w:t>,</w:t>
            </w:r>
            <w:r w:rsidRPr="00CD5714">
              <w:rPr>
                <w:rFonts w:ascii="Arial" w:hAnsi="Arial" w:cs="Arial"/>
                <w:color w:val="000000"/>
                <w:sz w:val="20"/>
                <w:szCs w:val="22"/>
                <w:lang w:val="en-GB"/>
              </w:rPr>
              <w:t>677</w:t>
            </w:r>
          </w:p>
        </w:tc>
        <w:tc>
          <w:tcPr>
            <w:tcW w:w="1152" w:type="dxa"/>
            <w:shd w:val="clear" w:color="auto" w:fill="auto"/>
            <w:vAlign w:val="bottom"/>
          </w:tcPr>
          <w:p w14:paraId="77FE1D65" w14:textId="271AAA8D"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AB4B3A" w:rsidRPr="002D2F67">
              <w:rPr>
                <w:rFonts w:ascii="Arial" w:hAnsi="Arial" w:cs="Arial"/>
                <w:color w:val="000000"/>
                <w:sz w:val="20"/>
                <w:szCs w:val="20"/>
              </w:rPr>
              <w:t>,</w:t>
            </w:r>
            <w:r w:rsidRPr="00CD5714">
              <w:rPr>
                <w:rFonts w:ascii="Arial" w:hAnsi="Arial" w:cs="Arial"/>
                <w:color w:val="000000"/>
                <w:sz w:val="20"/>
                <w:szCs w:val="22"/>
                <w:lang w:val="en-GB"/>
              </w:rPr>
              <w:t>219</w:t>
            </w:r>
          </w:p>
        </w:tc>
        <w:tc>
          <w:tcPr>
            <w:tcW w:w="1152" w:type="dxa"/>
            <w:shd w:val="clear" w:color="auto" w:fill="auto"/>
            <w:vAlign w:val="bottom"/>
          </w:tcPr>
          <w:p w14:paraId="6ABA90C4" w14:textId="6E8FA4F0"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2"/>
                <w:lang w:val="en-GB"/>
              </w:rPr>
              <w:t>14</w:t>
            </w:r>
            <w:r w:rsidR="00AB4B3A" w:rsidRPr="002D2F67">
              <w:rPr>
                <w:rFonts w:ascii="Arial" w:hAnsi="Arial" w:cs="Arial"/>
                <w:color w:val="000000"/>
                <w:sz w:val="20"/>
                <w:szCs w:val="22"/>
              </w:rPr>
              <w:t>,</w:t>
            </w:r>
            <w:r w:rsidRPr="00CD5714">
              <w:rPr>
                <w:rFonts w:ascii="Arial" w:hAnsi="Arial" w:cs="Arial"/>
                <w:color w:val="000000"/>
                <w:sz w:val="20"/>
                <w:szCs w:val="22"/>
                <w:lang w:val="en-GB"/>
              </w:rPr>
              <w:t>015</w:t>
            </w:r>
          </w:p>
        </w:tc>
        <w:tc>
          <w:tcPr>
            <w:tcW w:w="1152" w:type="dxa"/>
            <w:shd w:val="clear" w:color="auto" w:fill="auto"/>
            <w:vAlign w:val="bottom"/>
          </w:tcPr>
          <w:p w14:paraId="1250B0C2" w14:textId="6405B249"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13</w:t>
            </w:r>
            <w:r w:rsidR="00AB4B3A" w:rsidRPr="002D2F67">
              <w:rPr>
                <w:rFonts w:ascii="Arial" w:hAnsi="Arial" w:cs="Arial"/>
                <w:color w:val="000000"/>
                <w:sz w:val="20"/>
                <w:szCs w:val="20"/>
              </w:rPr>
              <w:t>,</w:t>
            </w:r>
            <w:r w:rsidRPr="00CD5714">
              <w:rPr>
                <w:rFonts w:ascii="Arial" w:hAnsi="Arial" w:cs="Arial"/>
                <w:color w:val="000000"/>
                <w:sz w:val="20"/>
                <w:szCs w:val="20"/>
                <w:lang w:val="en-GB"/>
              </w:rPr>
              <w:t>383</w:t>
            </w:r>
          </w:p>
        </w:tc>
      </w:tr>
      <w:tr w:rsidR="00AB4B3A" w:rsidRPr="002D2F67" w14:paraId="5DBAABEE" w14:textId="77777777" w:rsidTr="005611FE">
        <w:tc>
          <w:tcPr>
            <w:tcW w:w="3227" w:type="dxa"/>
            <w:shd w:val="clear" w:color="auto" w:fill="auto"/>
            <w:vAlign w:val="bottom"/>
          </w:tcPr>
          <w:p w14:paraId="70397F8F" w14:textId="77777777" w:rsidR="00AB4B3A" w:rsidRPr="002D2F67" w:rsidRDefault="00AB4B3A" w:rsidP="005611FE">
            <w:pPr>
              <w:ind w:left="177" w:hanging="177"/>
              <w:rPr>
                <w:rFonts w:ascii="Arial" w:hAnsi="Arial" w:cs="Arial"/>
                <w:color w:val="000000"/>
                <w:sz w:val="20"/>
                <w:szCs w:val="20"/>
              </w:rPr>
            </w:pPr>
            <w:r w:rsidRPr="002D2F67">
              <w:rPr>
                <w:rFonts w:ascii="Arial" w:hAnsi="Arial" w:cs="Arial"/>
                <w:color w:val="000000"/>
                <w:sz w:val="20"/>
                <w:szCs w:val="20"/>
              </w:rPr>
              <w:t>Debentures and related interests</w:t>
            </w:r>
          </w:p>
        </w:tc>
        <w:tc>
          <w:tcPr>
            <w:tcW w:w="1152" w:type="dxa"/>
            <w:tcBorders>
              <w:bottom w:val="single" w:sz="4" w:space="0" w:color="auto"/>
            </w:tcBorders>
            <w:shd w:val="clear" w:color="auto" w:fill="auto"/>
            <w:vAlign w:val="bottom"/>
          </w:tcPr>
          <w:p w14:paraId="68DF8C47" w14:textId="7CAB87BF" w:rsidR="00AB4B3A" w:rsidRPr="002D2F67" w:rsidRDefault="00CD5714" w:rsidP="005611FE">
            <w:pPr>
              <w:ind w:right="-72"/>
              <w:jc w:val="right"/>
              <w:rPr>
                <w:rFonts w:ascii="Arial" w:hAnsi="Arial" w:cs="Arial"/>
                <w:color w:val="000000"/>
                <w:sz w:val="20"/>
                <w:szCs w:val="22"/>
              </w:rPr>
            </w:pPr>
            <w:r w:rsidRPr="00CD5714">
              <w:rPr>
                <w:rFonts w:ascii="Arial" w:hAnsi="Arial" w:cs="Arial"/>
                <w:color w:val="000000"/>
                <w:sz w:val="20"/>
                <w:szCs w:val="20"/>
                <w:lang w:val="en-GB"/>
              </w:rPr>
              <w:t>6</w:t>
            </w:r>
            <w:r w:rsidR="00AB4B3A" w:rsidRPr="002D2F67">
              <w:rPr>
                <w:rFonts w:ascii="Arial" w:hAnsi="Arial" w:cs="Arial"/>
                <w:color w:val="000000"/>
                <w:sz w:val="20"/>
                <w:szCs w:val="20"/>
              </w:rPr>
              <w:t>,</w:t>
            </w:r>
            <w:r w:rsidRPr="00CD5714">
              <w:rPr>
                <w:rFonts w:ascii="Arial" w:hAnsi="Arial" w:cs="Arial"/>
                <w:color w:val="000000"/>
                <w:sz w:val="20"/>
                <w:szCs w:val="20"/>
                <w:lang w:val="en-GB"/>
              </w:rPr>
              <w:t>147</w:t>
            </w:r>
          </w:p>
        </w:tc>
        <w:tc>
          <w:tcPr>
            <w:tcW w:w="1152" w:type="dxa"/>
            <w:tcBorders>
              <w:bottom w:val="single" w:sz="4" w:space="0" w:color="auto"/>
            </w:tcBorders>
            <w:shd w:val="clear" w:color="auto" w:fill="auto"/>
            <w:vAlign w:val="bottom"/>
          </w:tcPr>
          <w:p w14:paraId="63157F65" w14:textId="4E7E06E2"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16</w:t>
            </w:r>
            <w:r w:rsidR="00AB4B3A" w:rsidRPr="002D2F67">
              <w:rPr>
                <w:rFonts w:ascii="Arial" w:hAnsi="Arial" w:cs="Arial"/>
                <w:color w:val="000000"/>
                <w:sz w:val="20"/>
                <w:szCs w:val="20"/>
              </w:rPr>
              <w:t>,</w:t>
            </w:r>
            <w:r w:rsidRPr="00CD5714">
              <w:rPr>
                <w:rFonts w:ascii="Arial" w:hAnsi="Arial" w:cs="Arial"/>
                <w:color w:val="000000"/>
                <w:sz w:val="20"/>
                <w:szCs w:val="20"/>
                <w:lang w:val="en-GB"/>
              </w:rPr>
              <w:t>532</w:t>
            </w:r>
          </w:p>
        </w:tc>
        <w:tc>
          <w:tcPr>
            <w:tcW w:w="1152" w:type="dxa"/>
            <w:tcBorders>
              <w:bottom w:val="single" w:sz="4" w:space="0" w:color="auto"/>
            </w:tcBorders>
            <w:shd w:val="clear" w:color="auto" w:fill="auto"/>
            <w:vAlign w:val="bottom"/>
          </w:tcPr>
          <w:p w14:paraId="4AC52C58" w14:textId="0DC5B678"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11</w:t>
            </w:r>
            <w:r w:rsidR="00AB4B3A" w:rsidRPr="002D2F67">
              <w:rPr>
                <w:rFonts w:ascii="Arial" w:hAnsi="Arial" w:cs="Arial"/>
                <w:color w:val="000000"/>
                <w:sz w:val="20"/>
                <w:szCs w:val="20"/>
              </w:rPr>
              <w:t>,</w:t>
            </w:r>
            <w:r w:rsidRPr="00CD5714">
              <w:rPr>
                <w:rFonts w:ascii="Arial" w:hAnsi="Arial" w:cs="Arial"/>
                <w:color w:val="000000"/>
                <w:sz w:val="20"/>
                <w:szCs w:val="20"/>
                <w:lang w:val="en-GB"/>
              </w:rPr>
              <w:t>463</w:t>
            </w:r>
          </w:p>
        </w:tc>
        <w:tc>
          <w:tcPr>
            <w:tcW w:w="1152" w:type="dxa"/>
            <w:tcBorders>
              <w:bottom w:val="single" w:sz="4" w:space="0" w:color="auto"/>
            </w:tcBorders>
            <w:shd w:val="clear" w:color="auto" w:fill="auto"/>
            <w:vAlign w:val="bottom"/>
          </w:tcPr>
          <w:p w14:paraId="0942FFF8" w14:textId="7B4415DF"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34</w:t>
            </w:r>
            <w:r w:rsidR="00AB4B3A" w:rsidRPr="002D2F67">
              <w:rPr>
                <w:rFonts w:ascii="Arial" w:hAnsi="Arial" w:cs="Arial"/>
                <w:color w:val="000000"/>
                <w:sz w:val="20"/>
                <w:szCs w:val="20"/>
              </w:rPr>
              <w:t>,</w:t>
            </w:r>
            <w:r w:rsidRPr="00CD5714">
              <w:rPr>
                <w:rFonts w:ascii="Arial" w:hAnsi="Arial" w:cs="Arial"/>
                <w:color w:val="000000"/>
                <w:sz w:val="20"/>
                <w:szCs w:val="20"/>
                <w:lang w:val="en-GB"/>
              </w:rPr>
              <w:t>142</w:t>
            </w:r>
          </w:p>
        </w:tc>
        <w:tc>
          <w:tcPr>
            <w:tcW w:w="1152" w:type="dxa"/>
            <w:tcBorders>
              <w:bottom w:val="single" w:sz="4" w:space="0" w:color="auto"/>
            </w:tcBorders>
            <w:shd w:val="clear" w:color="auto" w:fill="auto"/>
            <w:vAlign w:val="bottom"/>
          </w:tcPr>
          <w:p w14:paraId="6A6271F5" w14:textId="1D8DE971"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31</w:t>
            </w:r>
            <w:r w:rsidR="00AB4B3A" w:rsidRPr="002D2F67">
              <w:rPr>
                <w:rFonts w:ascii="Arial" w:hAnsi="Arial" w:cs="Arial"/>
                <w:color w:val="000000"/>
                <w:sz w:val="20"/>
                <w:szCs w:val="20"/>
              </w:rPr>
              <w:t>,</w:t>
            </w:r>
            <w:r w:rsidRPr="00CD5714">
              <w:rPr>
                <w:rFonts w:ascii="Arial" w:hAnsi="Arial" w:cs="Arial"/>
                <w:color w:val="000000"/>
                <w:sz w:val="20"/>
                <w:szCs w:val="20"/>
                <w:lang w:val="en-GB"/>
              </w:rPr>
              <w:t>144</w:t>
            </w:r>
          </w:p>
        </w:tc>
      </w:tr>
      <w:tr w:rsidR="00AB4B3A" w:rsidRPr="002D2F67" w14:paraId="4477D421" w14:textId="77777777" w:rsidTr="005611FE">
        <w:tc>
          <w:tcPr>
            <w:tcW w:w="3227" w:type="dxa"/>
            <w:shd w:val="clear" w:color="auto" w:fill="auto"/>
            <w:vAlign w:val="bottom"/>
          </w:tcPr>
          <w:p w14:paraId="5D62A0D3" w14:textId="77777777" w:rsidR="00AB4B3A" w:rsidRPr="002D2F67" w:rsidRDefault="00AB4B3A" w:rsidP="005611FE">
            <w:pPr>
              <w:rPr>
                <w:rFonts w:ascii="Arial" w:hAnsi="Arial" w:cs="Arial"/>
                <w:b/>
                <w:bCs/>
                <w:color w:val="000000"/>
                <w:sz w:val="14"/>
                <w:szCs w:val="14"/>
              </w:rPr>
            </w:pPr>
          </w:p>
        </w:tc>
        <w:tc>
          <w:tcPr>
            <w:tcW w:w="1152" w:type="dxa"/>
            <w:tcBorders>
              <w:top w:val="single" w:sz="4" w:space="0" w:color="auto"/>
            </w:tcBorders>
            <w:shd w:val="clear" w:color="auto" w:fill="auto"/>
            <w:vAlign w:val="bottom"/>
          </w:tcPr>
          <w:p w14:paraId="2BC0B6EA" w14:textId="77777777" w:rsidR="00AB4B3A" w:rsidRPr="002D2F67" w:rsidRDefault="00AB4B3A" w:rsidP="005611FE">
            <w:pPr>
              <w:ind w:left="-138" w:right="-72"/>
              <w:jc w:val="right"/>
              <w:rPr>
                <w:rFonts w:ascii="Arial" w:hAnsi="Arial" w:cs="Arial"/>
                <w:b/>
                <w:bCs/>
                <w:color w:val="000000"/>
                <w:sz w:val="14"/>
                <w:szCs w:val="14"/>
              </w:rPr>
            </w:pPr>
          </w:p>
        </w:tc>
        <w:tc>
          <w:tcPr>
            <w:tcW w:w="1152" w:type="dxa"/>
            <w:tcBorders>
              <w:top w:val="single" w:sz="4" w:space="0" w:color="auto"/>
            </w:tcBorders>
            <w:shd w:val="clear" w:color="auto" w:fill="auto"/>
            <w:vAlign w:val="bottom"/>
          </w:tcPr>
          <w:p w14:paraId="1B35F6F1" w14:textId="77777777" w:rsidR="00AB4B3A" w:rsidRPr="002D2F67" w:rsidRDefault="00AB4B3A" w:rsidP="005611FE">
            <w:pPr>
              <w:ind w:left="-138" w:right="-72"/>
              <w:jc w:val="right"/>
              <w:rPr>
                <w:rFonts w:ascii="Arial" w:hAnsi="Arial" w:cs="Arial"/>
                <w:b/>
                <w:bCs/>
                <w:color w:val="000000"/>
                <w:sz w:val="14"/>
                <w:szCs w:val="14"/>
              </w:rPr>
            </w:pPr>
          </w:p>
        </w:tc>
        <w:tc>
          <w:tcPr>
            <w:tcW w:w="1152" w:type="dxa"/>
            <w:tcBorders>
              <w:top w:val="single" w:sz="4" w:space="0" w:color="auto"/>
            </w:tcBorders>
            <w:shd w:val="clear" w:color="auto" w:fill="auto"/>
            <w:vAlign w:val="bottom"/>
          </w:tcPr>
          <w:p w14:paraId="004F3D6B" w14:textId="77777777" w:rsidR="00AB4B3A" w:rsidRPr="002D2F67" w:rsidRDefault="00AB4B3A" w:rsidP="005611FE">
            <w:pPr>
              <w:ind w:left="-138" w:right="-72"/>
              <w:jc w:val="right"/>
              <w:rPr>
                <w:rFonts w:ascii="Arial" w:hAnsi="Arial" w:cs="Arial"/>
                <w:b/>
                <w:bCs/>
                <w:color w:val="000000"/>
                <w:sz w:val="14"/>
                <w:szCs w:val="14"/>
              </w:rPr>
            </w:pPr>
          </w:p>
        </w:tc>
        <w:tc>
          <w:tcPr>
            <w:tcW w:w="1152" w:type="dxa"/>
            <w:tcBorders>
              <w:top w:val="single" w:sz="4" w:space="0" w:color="auto"/>
            </w:tcBorders>
            <w:shd w:val="clear" w:color="auto" w:fill="auto"/>
            <w:vAlign w:val="bottom"/>
          </w:tcPr>
          <w:p w14:paraId="7AF3D862" w14:textId="77777777" w:rsidR="00AB4B3A" w:rsidRPr="002D2F67" w:rsidRDefault="00AB4B3A" w:rsidP="005611FE">
            <w:pPr>
              <w:ind w:left="-138" w:right="-72"/>
              <w:jc w:val="right"/>
              <w:rPr>
                <w:rFonts w:ascii="Arial" w:hAnsi="Arial" w:cs="Arial"/>
                <w:b/>
                <w:bCs/>
                <w:color w:val="000000"/>
                <w:sz w:val="14"/>
                <w:szCs w:val="14"/>
              </w:rPr>
            </w:pPr>
          </w:p>
        </w:tc>
        <w:tc>
          <w:tcPr>
            <w:tcW w:w="1152" w:type="dxa"/>
            <w:tcBorders>
              <w:top w:val="single" w:sz="4" w:space="0" w:color="auto"/>
            </w:tcBorders>
            <w:shd w:val="clear" w:color="auto" w:fill="auto"/>
            <w:vAlign w:val="bottom"/>
          </w:tcPr>
          <w:p w14:paraId="77C10F60" w14:textId="77777777" w:rsidR="00AB4B3A" w:rsidRPr="002D2F67" w:rsidRDefault="00AB4B3A" w:rsidP="005611FE">
            <w:pPr>
              <w:ind w:left="-138" w:right="-72"/>
              <w:jc w:val="right"/>
              <w:rPr>
                <w:rFonts w:ascii="Arial" w:hAnsi="Arial" w:cs="Arial"/>
                <w:b/>
                <w:bCs/>
                <w:color w:val="000000"/>
                <w:sz w:val="14"/>
                <w:szCs w:val="14"/>
              </w:rPr>
            </w:pPr>
          </w:p>
        </w:tc>
      </w:tr>
      <w:tr w:rsidR="00AB4B3A" w:rsidRPr="002D2F67" w14:paraId="0F9E6968" w14:textId="77777777" w:rsidTr="000A489D">
        <w:tc>
          <w:tcPr>
            <w:tcW w:w="3227" w:type="dxa"/>
            <w:shd w:val="clear" w:color="auto" w:fill="auto"/>
            <w:vAlign w:val="bottom"/>
          </w:tcPr>
          <w:p w14:paraId="4206496D" w14:textId="77777777" w:rsidR="00351EC5" w:rsidRPr="002D2F67" w:rsidRDefault="00AB4B3A" w:rsidP="00351EC5">
            <w:pPr>
              <w:ind w:left="-31"/>
              <w:rPr>
                <w:rFonts w:ascii="Arial" w:hAnsi="Arial" w:cs="Arial"/>
                <w:b/>
                <w:bCs/>
                <w:color w:val="000000"/>
                <w:sz w:val="20"/>
                <w:szCs w:val="20"/>
              </w:rPr>
            </w:pPr>
            <w:r w:rsidRPr="002D2F67">
              <w:rPr>
                <w:rFonts w:ascii="Arial" w:hAnsi="Arial" w:cs="Arial"/>
                <w:b/>
                <w:bCs/>
                <w:color w:val="000000"/>
                <w:sz w:val="20"/>
                <w:szCs w:val="20"/>
              </w:rPr>
              <w:t>Total</w:t>
            </w:r>
            <w:r w:rsidR="000A489D" w:rsidRPr="002D2F67">
              <w:rPr>
                <w:rFonts w:ascii="Arial" w:hAnsi="Arial" w:cs="Arial"/>
                <w:b/>
                <w:bCs/>
                <w:color w:val="000000"/>
                <w:sz w:val="20"/>
                <w:szCs w:val="20"/>
              </w:rPr>
              <w:t xml:space="preserve"> </w:t>
            </w:r>
            <w:r w:rsidR="00351EC5" w:rsidRPr="002D2F67">
              <w:rPr>
                <w:rFonts w:ascii="Arial" w:hAnsi="Arial" w:cs="Arial"/>
                <w:b/>
                <w:bCs/>
                <w:color w:val="000000"/>
                <w:sz w:val="20"/>
                <w:szCs w:val="20"/>
              </w:rPr>
              <w:t>non</w:t>
            </w:r>
            <w:r w:rsidR="000A489D" w:rsidRPr="002D2F67">
              <w:rPr>
                <w:rFonts w:ascii="Arial" w:hAnsi="Arial" w:cs="Arial"/>
                <w:b/>
                <w:bCs/>
                <w:color w:val="000000"/>
                <w:sz w:val="20"/>
                <w:szCs w:val="20"/>
              </w:rPr>
              <w:t>-derivatives</w:t>
            </w:r>
            <w:r w:rsidR="00351EC5" w:rsidRPr="002D2F67">
              <w:rPr>
                <w:rFonts w:ascii="Arial" w:hAnsi="Arial" w:cs="Arial"/>
                <w:b/>
                <w:bCs/>
                <w:color w:val="000000"/>
                <w:sz w:val="20"/>
                <w:szCs w:val="20"/>
              </w:rPr>
              <w:t xml:space="preserve"> </w:t>
            </w:r>
          </w:p>
          <w:p w14:paraId="4411D260" w14:textId="063BC287" w:rsidR="00AB4B3A" w:rsidRPr="002D2F67" w:rsidRDefault="00351EC5" w:rsidP="00351EC5">
            <w:pPr>
              <w:ind w:firstLine="136"/>
              <w:rPr>
                <w:rFonts w:ascii="Arial" w:hAnsi="Arial" w:cs="Arial"/>
                <w:b/>
                <w:bCs/>
                <w:color w:val="000000"/>
                <w:sz w:val="20"/>
                <w:szCs w:val="20"/>
              </w:rPr>
            </w:pPr>
            <w:r w:rsidRPr="002D2F67">
              <w:rPr>
                <w:rFonts w:ascii="Arial" w:hAnsi="Arial" w:cs="Arial"/>
                <w:b/>
                <w:bCs/>
                <w:color w:val="000000"/>
                <w:sz w:val="20"/>
                <w:szCs w:val="20"/>
              </w:rPr>
              <w:t>financial liabilities</w:t>
            </w:r>
          </w:p>
        </w:tc>
        <w:tc>
          <w:tcPr>
            <w:tcW w:w="1152" w:type="dxa"/>
            <w:tcBorders>
              <w:bottom w:val="single" w:sz="4" w:space="0" w:color="auto"/>
            </w:tcBorders>
            <w:shd w:val="clear" w:color="auto" w:fill="auto"/>
            <w:vAlign w:val="center"/>
          </w:tcPr>
          <w:p w14:paraId="04EC2D7C" w14:textId="77777777" w:rsidR="009D6313" w:rsidRPr="002D2F67" w:rsidRDefault="009D6313" w:rsidP="005611FE">
            <w:pPr>
              <w:ind w:right="-72"/>
              <w:jc w:val="right"/>
              <w:rPr>
                <w:rFonts w:ascii="Arial" w:hAnsi="Arial" w:cs="Arial"/>
                <w:color w:val="000000"/>
                <w:sz w:val="20"/>
                <w:szCs w:val="22"/>
              </w:rPr>
            </w:pPr>
          </w:p>
          <w:p w14:paraId="7AC0854A" w14:textId="6459BE6E"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2"/>
                <w:lang w:val="en-GB"/>
              </w:rPr>
              <w:t>26</w:t>
            </w:r>
            <w:r w:rsidR="00AB4B3A" w:rsidRPr="002D2F67">
              <w:rPr>
                <w:rFonts w:ascii="Arial" w:hAnsi="Arial" w:cs="Arial"/>
                <w:color w:val="000000"/>
                <w:sz w:val="20"/>
                <w:szCs w:val="22"/>
              </w:rPr>
              <w:t>,</w:t>
            </w:r>
            <w:r w:rsidRPr="00CD5714">
              <w:rPr>
                <w:rFonts w:ascii="Arial" w:hAnsi="Arial" w:cs="Arial"/>
                <w:color w:val="000000"/>
                <w:sz w:val="20"/>
                <w:szCs w:val="22"/>
                <w:lang w:val="en-GB"/>
              </w:rPr>
              <w:t>072</w:t>
            </w:r>
          </w:p>
        </w:tc>
        <w:tc>
          <w:tcPr>
            <w:tcW w:w="1152" w:type="dxa"/>
            <w:tcBorders>
              <w:bottom w:val="single" w:sz="4" w:space="0" w:color="auto"/>
            </w:tcBorders>
            <w:shd w:val="clear" w:color="auto" w:fill="auto"/>
            <w:vAlign w:val="center"/>
          </w:tcPr>
          <w:p w14:paraId="2DEFAC5E" w14:textId="77777777" w:rsidR="009D6313" w:rsidRPr="002D2F67" w:rsidRDefault="009D6313" w:rsidP="005611FE">
            <w:pPr>
              <w:ind w:right="-72"/>
              <w:jc w:val="right"/>
              <w:rPr>
                <w:rFonts w:ascii="Arial" w:hAnsi="Arial" w:cs="Arial"/>
                <w:color w:val="000000"/>
                <w:sz w:val="20"/>
                <w:szCs w:val="22"/>
              </w:rPr>
            </w:pPr>
          </w:p>
          <w:p w14:paraId="46C64E9C" w14:textId="20518EF1"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2"/>
                <w:lang w:val="en-GB"/>
              </w:rPr>
              <w:t>24</w:t>
            </w:r>
            <w:r w:rsidR="00AB4B3A" w:rsidRPr="002D2F67">
              <w:rPr>
                <w:rFonts w:ascii="Arial" w:hAnsi="Arial" w:cs="Arial"/>
                <w:color w:val="000000"/>
                <w:sz w:val="20"/>
                <w:szCs w:val="22"/>
              </w:rPr>
              <w:t>,</w:t>
            </w:r>
            <w:r w:rsidRPr="00CD5714">
              <w:rPr>
                <w:rFonts w:ascii="Arial" w:hAnsi="Arial" w:cs="Arial"/>
                <w:color w:val="000000"/>
                <w:sz w:val="20"/>
                <w:szCs w:val="22"/>
                <w:lang w:val="en-GB"/>
              </w:rPr>
              <w:t>299</w:t>
            </w:r>
          </w:p>
        </w:tc>
        <w:tc>
          <w:tcPr>
            <w:tcW w:w="1152" w:type="dxa"/>
            <w:tcBorders>
              <w:bottom w:val="single" w:sz="4" w:space="0" w:color="auto"/>
            </w:tcBorders>
            <w:shd w:val="clear" w:color="auto" w:fill="auto"/>
            <w:vAlign w:val="center"/>
          </w:tcPr>
          <w:p w14:paraId="784945FD" w14:textId="77777777" w:rsidR="009D6313" w:rsidRPr="002D2F67" w:rsidRDefault="009D6313" w:rsidP="005611FE">
            <w:pPr>
              <w:ind w:right="-72"/>
              <w:jc w:val="right"/>
              <w:rPr>
                <w:rFonts w:ascii="Arial" w:hAnsi="Arial" w:cs="Arial"/>
                <w:color w:val="000000"/>
                <w:sz w:val="20"/>
                <w:szCs w:val="20"/>
              </w:rPr>
            </w:pPr>
          </w:p>
          <w:p w14:paraId="40C291B6" w14:textId="334CAF43"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12</w:t>
            </w:r>
            <w:r w:rsidR="00AB4B3A" w:rsidRPr="002D2F67">
              <w:rPr>
                <w:rFonts w:ascii="Arial" w:hAnsi="Arial" w:cs="Arial"/>
                <w:color w:val="000000"/>
                <w:sz w:val="20"/>
                <w:szCs w:val="20"/>
              </w:rPr>
              <w:t>,</w:t>
            </w:r>
            <w:r w:rsidRPr="00CD5714">
              <w:rPr>
                <w:rFonts w:ascii="Arial" w:hAnsi="Arial" w:cs="Arial"/>
                <w:color w:val="000000"/>
                <w:sz w:val="20"/>
                <w:szCs w:val="22"/>
                <w:lang w:val="en-GB"/>
              </w:rPr>
              <w:t>883</w:t>
            </w:r>
          </w:p>
        </w:tc>
        <w:tc>
          <w:tcPr>
            <w:tcW w:w="1152" w:type="dxa"/>
            <w:tcBorders>
              <w:bottom w:val="single" w:sz="4" w:space="0" w:color="auto"/>
            </w:tcBorders>
            <w:shd w:val="clear" w:color="auto" w:fill="auto"/>
            <w:vAlign w:val="center"/>
          </w:tcPr>
          <w:p w14:paraId="22341033" w14:textId="77777777" w:rsidR="009D6313" w:rsidRPr="002D2F67" w:rsidRDefault="009D6313" w:rsidP="005611FE">
            <w:pPr>
              <w:ind w:right="-72"/>
              <w:jc w:val="right"/>
              <w:rPr>
                <w:rFonts w:ascii="Arial" w:hAnsi="Arial" w:cs="Arial"/>
                <w:color w:val="000000"/>
                <w:sz w:val="20"/>
                <w:szCs w:val="22"/>
              </w:rPr>
            </w:pPr>
          </w:p>
          <w:p w14:paraId="035CC132" w14:textId="15F8DD37"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2"/>
                <w:lang w:val="en-GB"/>
              </w:rPr>
              <w:t>63</w:t>
            </w:r>
            <w:r w:rsidR="00AB4B3A" w:rsidRPr="002D2F67">
              <w:rPr>
                <w:rFonts w:ascii="Arial" w:hAnsi="Arial" w:cs="Arial"/>
                <w:color w:val="000000"/>
                <w:sz w:val="20"/>
                <w:szCs w:val="22"/>
              </w:rPr>
              <w:t>,</w:t>
            </w:r>
            <w:r w:rsidRPr="00CD5714">
              <w:rPr>
                <w:rFonts w:ascii="Arial" w:hAnsi="Arial" w:cs="Arial"/>
                <w:color w:val="000000"/>
                <w:sz w:val="20"/>
                <w:szCs w:val="22"/>
                <w:lang w:val="en-GB"/>
              </w:rPr>
              <w:t>254</w:t>
            </w:r>
          </w:p>
        </w:tc>
        <w:tc>
          <w:tcPr>
            <w:tcW w:w="1152" w:type="dxa"/>
            <w:tcBorders>
              <w:bottom w:val="single" w:sz="4" w:space="0" w:color="auto"/>
            </w:tcBorders>
            <w:shd w:val="clear" w:color="auto" w:fill="auto"/>
            <w:vAlign w:val="center"/>
          </w:tcPr>
          <w:p w14:paraId="30EC8324" w14:textId="77777777" w:rsidR="009D6313" w:rsidRPr="002D2F67" w:rsidRDefault="009D6313" w:rsidP="005611FE">
            <w:pPr>
              <w:ind w:right="-72"/>
              <w:jc w:val="right"/>
              <w:rPr>
                <w:rFonts w:ascii="Arial" w:hAnsi="Arial" w:cs="Arial"/>
                <w:color w:val="000000"/>
                <w:sz w:val="20"/>
                <w:szCs w:val="22"/>
              </w:rPr>
            </w:pPr>
          </w:p>
          <w:p w14:paraId="186C58FC" w14:textId="46CA59E2"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2"/>
                <w:lang w:val="en-GB"/>
              </w:rPr>
              <w:t>59</w:t>
            </w:r>
            <w:r w:rsidR="00AB4B3A" w:rsidRPr="002D2F67">
              <w:rPr>
                <w:rFonts w:ascii="Arial" w:hAnsi="Arial" w:cs="Arial"/>
                <w:color w:val="000000"/>
                <w:sz w:val="20"/>
                <w:szCs w:val="22"/>
              </w:rPr>
              <w:t>,</w:t>
            </w:r>
            <w:r w:rsidRPr="00CD5714">
              <w:rPr>
                <w:rFonts w:ascii="Arial" w:hAnsi="Arial" w:cs="Arial"/>
                <w:color w:val="000000"/>
                <w:sz w:val="20"/>
                <w:szCs w:val="22"/>
                <w:lang w:val="en-GB"/>
              </w:rPr>
              <w:t>562</w:t>
            </w:r>
          </w:p>
        </w:tc>
      </w:tr>
      <w:tr w:rsidR="00AB4B3A" w:rsidRPr="002D2F67" w14:paraId="019A79D2" w14:textId="77777777" w:rsidTr="000A489D">
        <w:tc>
          <w:tcPr>
            <w:tcW w:w="3227" w:type="dxa"/>
            <w:shd w:val="clear" w:color="auto" w:fill="auto"/>
            <w:vAlign w:val="bottom"/>
          </w:tcPr>
          <w:p w14:paraId="4B3E748D" w14:textId="77777777" w:rsidR="00AB4B3A" w:rsidRPr="002D2F67" w:rsidRDefault="00AB4B3A" w:rsidP="005611FE">
            <w:pPr>
              <w:rPr>
                <w:rFonts w:ascii="Arial" w:hAnsi="Arial" w:cs="Arial"/>
                <w:color w:val="000000"/>
                <w:sz w:val="14"/>
                <w:szCs w:val="14"/>
              </w:rPr>
            </w:pPr>
          </w:p>
        </w:tc>
        <w:tc>
          <w:tcPr>
            <w:tcW w:w="1152" w:type="dxa"/>
            <w:tcBorders>
              <w:top w:val="single" w:sz="4" w:space="0" w:color="auto"/>
            </w:tcBorders>
            <w:shd w:val="clear" w:color="auto" w:fill="auto"/>
            <w:vAlign w:val="center"/>
          </w:tcPr>
          <w:p w14:paraId="360A20C9" w14:textId="77777777" w:rsidR="00AB4B3A" w:rsidRPr="002D2F67" w:rsidRDefault="00AB4B3A" w:rsidP="005611FE">
            <w:pPr>
              <w:ind w:right="-72"/>
              <w:jc w:val="right"/>
              <w:rPr>
                <w:rFonts w:ascii="Arial" w:hAnsi="Arial" w:cs="Arial"/>
                <w:color w:val="000000"/>
                <w:sz w:val="14"/>
                <w:szCs w:val="14"/>
              </w:rPr>
            </w:pPr>
          </w:p>
        </w:tc>
        <w:tc>
          <w:tcPr>
            <w:tcW w:w="1152" w:type="dxa"/>
            <w:tcBorders>
              <w:top w:val="single" w:sz="4" w:space="0" w:color="auto"/>
            </w:tcBorders>
            <w:shd w:val="clear" w:color="auto" w:fill="auto"/>
            <w:vAlign w:val="center"/>
          </w:tcPr>
          <w:p w14:paraId="3D989783" w14:textId="77777777" w:rsidR="00AB4B3A" w:rsidRPr="002D2F67" w:rsidRDefault="00AB4B3A" w:rsidP="005611FE">
            <w:pPr>
              <w:ind w:right="-72"/>
              <w:jc w:val="right"/>
              <w:rPr>
                <w:rFonts w:ascii="Arial" w:hAnsi="Arial" w:cs="Arial"/>
                <w:color w:val="000000"/>
                <w:sz w:val="14"/>
                <w:szCs w:val="14"/>
              </w:rPr>
            </w:pPr>
          </w:p>
        </w:tc>
        <w:tc>
          <w:tcPr>
            <w:tcW w:w="1152" w:type="dxa"/>
            <w:tcBorders>
              <w:top w:val="single" w:sz="4" w:space="0" w:color="auto"/>
            </w:tcBorders>
            <w:shd w:val="clear" w:color="auto" w:fill="auto"/>
            <w:vAlign w:val="center"/>
          </w:tcPr>
          <w:p w14:paraId="21F943EC" w14:textId="77777777" w:rsidR="00AB4B3A" w:rsidRPr="002D2F67" w:rsidRDefault="00AB4B3A" w:rsidP="005611FE">
            <w:pPr>
              <w:ind w:right="-72"/>
              <w:jc w:val="right"/>
              <w:rPr>
                <w:rFonts w:ascii="Arial" w:hAnsi="Arial" w:cs="Arial"/>
                <w:color w:val="000000"/>
                <w:sz w:val="14"/>
                <w:szCs w:val="14"/>
              </w:rPr>
            </w:pPr>
          </w:p>
        </w:tc>
        <w:tc>
          <w:tcPr>
            <w:tcW w:w="1152" w:type="dxa"/>
            <w:tcBorders>
              <w:top w:val="single" w:sz="4" w:space="0" w:color="auto"/>
            </w:tcBorders>
            <w:shd w:val="clear" w:color="auto" w:fill="auto"/>
            <w:vAlign w:val="center"/>
          </w:tcPr>
          <w:p w14:paraId="72AF8B93" w14:textId="77777777" w:rsidR="00AB4B3A" w:rsidRPr="002D2F67" w:rsidRDefault="00AB4B3A" w:rsidP="005611FE">
            <w:pPr>
              <w:ind w:right="-72"/>
              <w:jc w:val="right"/>
              <w:rPr>
                <w:rFonts w:ascii="Arial" w:hAnsi="Arial" w:cs="Arial"/>
                <w:color w:val="000000"/>
                <w:sz w:val="14"/>
                <w:szCs w:val="14"/>
              </w:rPr>
            </w:pPr>
          </w:p>
        </w:tc>
        <w:tc>
          <w:tcPr>
            <w:tcW w:w="1152" w:type="dxa"/>
            <w:tcBorders>
              <w:top w:val="single" w:sz="4" w:space="0" w:color="auto"/>
            </w:tcBorders>
            <w:shd w:val="clear" w:color="auto" w:fill="auto"/>
            <w:vAlign w:val="center"/>
          </w:tcPr>
          <w:p w14:paraId="538A743F" w14:textId="77777777" w:rsidR="00AB4B3A" w:rsidRPr="002D2F67" w:rsidRDefault="00AB4B3A" w:rsidP="005611FE">
            <w:pPr>
              <w:ind w:right="-72"/>
              <w:jc w:val="right"/>
              <w:rPr>
                <w:rFonts w:ascii="Arial" w:hAnsi="Arial" w:cs="Arial"/>
                <w:color w:val="000000"/>
                <w:sz w:val="14"/>
                <w:szCs w:val="14"/>
              </w:rPr>
            </w:pPr>
          </w:p>
        </w:tc>
      </w:tr>
      <w:tr w:rsidR="00AB4B3A" w:rsidRPr="002D2F67" w14:paraId="606AF95E" w14:textId="77777777" w:rsidTr="005611FE">
        <w:tc>
          <w:tcPr>
            <w:tcW w:w="3227" w:type="dxa"/>
            <w:shd w:val="clear" w:color="auto" w:fill="auto"/>
            <w:vAlign w:val="bottom"/>
          </w:tcPr>
          <w:p w14:paraId="1E40141B" w14:textId="77777777" w:rsidR="00AB4B3A" w:rsidRPr="002D2F67" w:rsidRDefault="00AB4B3A" w:rsidP="005611FE">
            <w:pPr>
              <w:rPr>
                <w:rFonts w:ascii="Arial" w:hAnsi="Arial" w:cs="Arial"/>
                <w:b/>
                <w:bCs/>
                <w:color w:val="000000"/>
                <w:sz w:val="20"/>
                <w:szCs w:val="20"/>
              </w:rPr>
            </w:pPr>
            <w:r w:rsidRPr="002D2F67">
              <w:rPr>
                <w:rFonts w:ascii="Arial" w:hAnsi="Arial" w:cs="Arial"/>
                <w:b/>
                <w:bCs/>
                <w:color w:val="000000"/>
                <w:sz w:val="20"/>
                <w:szCs w:val="20"/>
              </w:rPr>
              <w:t>Derivatives</w:t>
            </w:r>
          </w:p>
        </w:tc>
        <w:tc>
          <w:tcPr>
            <w:tcW w:w="1152" w:type="dxa"/>
            <w:shd w:val="clear" w:color="auto" w:fill="auto"/>
            <w:vAlign w:val="center"/>
          </w:tcPr>
          <w:p w14:paraId="1B5006BC" w14:textId="77777777" w:rsidR="00AB4B3A" w:rsidRPr="002D2F67" w:rsidRDefault="00AB4B3A" w:rsidP="005611FE">
            <w:pPr>
              <w:ind w:right="-72"/>
              <w:jc w:val="right"/>
              <w:rPr>
                <w:rFonts w:ascii="Arial" w:hAnsi="Arial" w:cs="Arial"/>
                <w:color w:val="000000"/>
                <w:sz w:val="20"/>
                <w:szCs w:val="20"/>
              </w:rPr>
            </w:pPr>
          </w:p>
        </w:tc>
        <w:tc>
          <w:tcPr>
            <w:tcW w:w="1152" w:type="dxa"/>
            <w:shd w:val="clear" w:color="auto" w:fill="auto"/>
            <w:vAlign w:val="center"/>
          </w:tcPr>
          <w:p w14:paraId="681F1EBE" w14:textId="77777777" w:rsidR="00AB4B3A" w:rsidRPr="002D2F67" w:rsidRDefault="00AB4B3A" w:rsidP="005611FE">
            <w:pPr>
              <w:ind w:right="-72"/>
              <w:jc w:val="right"/>
              <w:rPr>
                <w:rFonts w:ascii="Arial" w:hAnsi="Arial" w:cs="Arial"/>
                <w:color w:val="000000"/>
                <w:sz w:val="20"/>
                <w:szCs w:val="20"/>
              </w:rPr>
            </w:pPr>
          </w:p>
        </w:tc>
        <w:tc>
          <w:tcPr>
            <w:tcW w:w="1152" w:type="dxa"/>
            <w:shd w:val="clear" w:color="auto" w:fill="auto"/>
            <w:vAlign w:val="center"/>
          </w:tcPr>
          <w:p w14:paraId="0CEB4950" w14:textId="77777777" w:rsidR="00AB4B3A" w:rsidRPr="002D2F67" w:rsidRDefault="00AB4B3A" w:rsidP="005611FE">
            <w:pPr>
              <w:ind w:right="-72"/>
              <w:jc w:val="right"/>
              <w:rPr>
                <w:rFonts w:ascii="Arial" w:hAnsi="Arial" w:cs="Arial"/>
                <w:color w:val="000000"/>
                <w:sz w:val="20"/>
                <w:szCs w:val="20"/>
              </w:rPr>
            </w:pPr>
          </w:p>
        </w:tc>
        <w:tc>
          <w:tcPr>
            <w:tcW w:w="1152" w:type="dxa"/>
            <w:shd w:val="clear" w:color="auto" w:fill="auto"/>
            <w:vAlign w:val="center"/>
          </w:tcPr>
          <w:p w14:paraId="39683B9C" w14:textId="77777777" w:rsidR="00AB4B3A" w:rsidRPr="002D2F67" w:rsidRDefault="00AB4B3A" w:rsidP="005611FE">
            <w:pPr>
              <w:ind w:right="-72"/>
              <w:jc w:val="right"/>
              <w:rPr>
                <w:rFonts w:ascii="Arial" w:hAnsi="Arial" w:cs="Arial"/>
                <w:color w:val="000000"/>
                <w:sz w:val="20"/>
                <w:szCs w:val="20"/>
              </w:rPr>
            </w:pPr>
          </w:p>
        </w:tc>
        <w:tc>
          <w:tcPr>
            <w:tcW w:w="1152" w:type="dxa"/>
            <w:shd w:val="clear" w:color="auto" w:fill="auto"/>
            <w:vAlign w:val="center"/>
          </w:tcPr>
          <w:p w14:paraId="6EC39654" w14:textId="77777777" w:rsidR="00AB4B3A" w:rsidRPr="002D2F67" w:rsidRDefault="00AB4B3A" w:rsidP="005611FE">
            <w:pPr>
              <w:ind w:right="-72"/>
              <w:jc w:val="right"/>
              <w:rPr>
                <w:rFonts w:ascii="Arial" w:hAnsi="Arial" w:cs="Arial"/>
                <w:color w:val="000000"/>
                <w:sz w:val="20"/>
                <w:szCs w:val="20"/>
              </w:rPr>
            </w:pPr>
          </w:p>
        </w:tc>
      </w:tr>
      <w:tr w:rsidR="00AB4B3A" w:rsidRPr="002D2F67" w14:paraId="0771CA21" w14:textId="77777777" w:rsidTr="005611FE">
        <w:tc>
          <w:tcPr>
            <w:tcW w:w="3227" w:type="dxa"/>
            <w:shd w:val="clear" w:color="auto" w:fill="auto"/>
            <w:vAlign w:val="bottom"/>
          </w:tcPr>
          <w:p w14:paraId="02ED77E0" w14:textId="77777777" w:rsidR="00AB4B3A" w:rsidRPr="002D2F67" w:rsidRDefault="00AB4B3A" w:rsidP="005611FE">
            <w:pPr>
              <w:rPr>
                <w:rFonts w:ascii="Arial" w:hAnsi="Arial" w:cs="Arial"/>
                <w:color w:val="000000"/>
                <w:sz w:val="20"/>
                <w:szCs w:val="20"/>
              </w:rPr>
            </w:pPr>
            <w:r w:rsidRPr="002D2F67">
              <w:rPr>
                <w:rFonts w:ascii="Arial" w:hAnsi="Arial" w:cs="Arial"/>
                <w:color w:val="000000"/>
                <w:sz w:val="20"/>
                <w:szCs w:val="20"/>
              </w:rPr>
              <w:t>Cross currency interest rate</w:t>
            </w:r>
            <w:r w:rsidRPr="002D2F67">
              <w:rPr>
                <w:rFonts w:ascii="Arial" w:hAnsi="Arial" w:cs="Arial"/>
                <w:color w:val="000000"/>
                <w:sz w:val="20"/>
                <w:szCs w:val="20"/>
              </w:rPr>
              <w:br/>
              <w:t xml:space="preserve">   swaps contracts</w:t>
            </w:r>
          </w:p>
        </w:tc>
        <w:tc>
          <w:tcPr>
            <w:tcW w:w="1152" w:type="dxa"/>
            <w:tcBorders>
              <w:bottom w:val="single" w:sz="4" w:space="0" w:color="auto"/>
            </w:tcBorders>
            <w:shd w:val="clear" w:color="auto" w:fill="auto"/>
            <w:vAlign w:val="bottom"/>
          </w:tcPr>
          <w:p w14:paraId="6B1C6EFD" w14:textId="3E664E2A"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2"/>
                <w:lang w:val="en-GB"/>
              </w:rPr>
              <w:t>6</w:t>
            </w:r>
          </w:p>
        </w:tc>
        <w:tc>
          <w:tcPr>
            <w:tcW w:w="1152" w:type="dxa"/>
            <w:tcBorders>
              <w:bottom w:val="single" w:sz="4" w:space="0" w:color="auto"/>
            </w:tcBorders>
            <w:shd w:val="clear" w:color="auto" w:fill="auto"/>
            <w:vAlign w:val="bottom"/>
          </w:tcPr>
          <w:p w14:paraId="3CDADCF8" w14:textId="480560F3"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2"/>
                <w:lang w:val="en-GB"/>
              </w:rPr>
              <w:t>139</w:t>
            </w:r>
          </w:p>
        </w:tc>
        <w:tc>
          <w:tcPr>
            <w:tcW w:w="1152" w:type="dxa"/>
            <w:tcBorders>
              <w:bottom w:val="single" w:sz="4" w:space="0" w:color="auto"/>
            </w:tcBorders>
            <w:shd w:val="clear" w:color="auto" w:fill="auto"/>
            <w:vAlign w:val="bottom"/>
          </w:tcPr>
          <w:p w14:paraId="335BE6A5" w14:textId="5565DF97"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2"/>
                <w:lang w:val="en-GB"/>
              </w:rPr>
              <w:t>12</w:t>
            </w:r>
          </w:p>
        </w:tc>
        <w:tc>
          <w:tcPr>
            <w:tcW w:w="1152" w:type="dxa"/>
            <w:tcBorders>
              <w:bottom w:val="single" w:sz="4" w:space="0" w:color="auto"/>
            </w:tcBorders>
            <w:shd w:val="clear" w:color="auto" w:fill="auto"/>
            <w:vAlign w:val="bottom"/>
          </w:tcPr>
          <w:p w14:paraId="67AC0588" w14:textId="1F192308"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2"/>
                <w:lang w:val="en-GB"/>
              </w:rPr>
              <w:t>157</w:t>
            </w:r>
          </w:p>
        </w:tc>
        <w:tc>
          <w:tcPr>
            <w:tcW w:w="1152" w:type="dxa"/>
            <w:tcBorders>
              <w:bottom w:val="single" w:sz="4" w:space="0" w:color="auto"/>
            </w:tcBorders>
            <w:shd w:val="clear" w:color="auto" w:fill="auto"/>
            <w:vAlign w:val="bottom"/>
          </w:tcPr>
          <w:p w14:paraId="4D5D1815" w14:textId="00F359AE"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2"/>
                <w:lang w:val="en-GB"/>
              </w:rPr>
              <w:t>60</w:t>
            </w:r>
          </w:p>
        </w:tc>
      </w:tr>
      <w:tr w:rsidR="00AB4B3A" w:rsidRPr="002D2F67" w14:paraId="0421741B" w14:textId="77777777" w:rsidTr="005611FE">
        <w:tc>
          <w:tcPr>
            <w:tcW w:w="3227" w:type="dxa"/>
            <w:shd w:val="clear" w:color="auto" w:fill="auto"/>
            <w:vAlign w:val="bottom"/>
          </w:tcPr>
          <w:p w14:paraId="33640811" w14:textId="77777777" w:rsidR="00AB4B3A" w:rsidRPr="002D2F67" w:rsidRDefault="00AB4B3A" w:rsidP="005611FE">
            <w:pPr>
              <w:rPr>
                <w:rFonts w:ascii="Arial" w:hAnsi="Arial" w:cs="Arial"/>
                <w:color w:val="000000"/>
                <w:sz w:val="16"/>
                <w:szCs w:val="16"/>
              </w:rPr>
            </w:pPr>
          </w:p>
        </w:tc>
        <w:tc>
          <w:tcPr>
            <w:tcW w:w="1152" w:type="dxa"/>
            <w:tcBorders>
              <w:top w:val="single" w:sz="4" w:space="0" w:color="auto"/>
            </w:tcBorders>
            <w:shd w:val="clear" w:color="auto" w:fill="auto"/>
            <w:vAlign w:val="bottom"/>
          </w:tcPr>
          <w:p w14:paraId="1F9630DF" w14:textId="77777777" w:rsidR="00AB4B3A" w:rsidRPr="002D2F67" w:rsidRDefault="00AB4B3A" w:rsidP="005611FE">
            <w:pPr>
              <w:ind w:right="-72"/>
              <w:jc w:val="right"/>
              <w:rPr>
                <w:rFonts w:ascii="Arial" w:hAnsi="Arial" w:cs="Arial"/>
                <w:color w:val="000000"/>
                <w:sz w:val="16"/>
                <w:szCs w:val="16"/>
              </w:rPr>
            </w:pPr>
          </w:p>
        </w:tc>
        <w:tc>
          <w:tcPr>
            <w:tcW w:w="1152" w:type="dxa"/>
            <w:tcBorders>
              <w:top w:val="single" w:sz="4" w:space="0" w:color="auto"/>
            </w:tcBorders>
            <w:shd w:val="clear" w:color="auto" w:fill="auto"/>
            <w:vAlign w:val="bottom"/>
          </w:tcPr>
          <w:p w14:paraId="5FDD936E" w14:textId="77777777" w:rsidR="00AB4B3A" w:rsidRPr="002D2F67" w:rsidRDefault="00AB4B3A" w:rsidP="005611FE">
            <w:pPr>
              <w:ind w:right="-72"/>
              <w:jc w:val="right"/>
              <w:rPr>
                <w:rFonts w:ascii="Arial" w:hAnsi="Arial" w:cs="Arial"/>
                <w:color w:val="000000"/>
                <w:sz w:val="16"/>
                <w:szCs w:val="16"/>
              </w:rPr>
            </w:pPr>
          </w:p>
        </w:tc>
        <w:tc>
          <w:tcPr>
            <w:tcW w:w="1152" w:type="dxa"/>
            <w:tcBorders>
              <w:top w:val="single" w:sz="4" w:space="0" w:color="auto"/>
            </w:tcBorders>
            <w:shd w:val="clear" w:color="auto" w:fill="auto"/>
            <w:vAlign w:val="bottom"/>
          </w:tcPr>
          <w:p w14:paraId="526DDA8C" w14:textId="77777777" w:rsidR="00AB4B3A" w:rsidRPr="002D2F67" w:rsidRDefault="00AB4B3A" w:rsidP="005611FE">
            <w:pPr>
              <w:ind w:right="-72"/>
              <w:jc w:val="right"/>
              <w:rPr>
                <w:rFonts w:ascii="Arial" w:hAnsi="Arial" w:cs="Arial"/>
                <w:color w:val="000000"/>
                <w:sz w:val="16"/>
                <w:szCs w:val="16"/>
              </w:rPr>
            </w:pPr>
          </w:p>
        </w:tc>
        <w:tc>
          <w:tcPr>
            <w:tcW w:w="1152" w:type="dxa"/>
            <w:tcBorders>
              <w:top w:val="single" w:sz="4" w:space="0" w:color="auto"/>
            </w:tcBorders>
            <w:shd w:val="clear" w:color="auto" w:fill="auto"/>
            <w:vAlign w:val="bottom"/>
          </w:tcPr>
          <w:p w14:paraId="5B6602CD" w14:textId="77777777" w:rsidR="00AB4B3A" w:rsidRPr="002D2F67" w:rsidRDefault="00AB4B3A" w:rsidP="005611FE">
            <w:pPr>
              <w:ind w:right="-72"/>
              <w:jc w:val="right"/>
              <w:rPr>
                <w:rFonts w:ascii="Arial" w:hAnsi="Arial" w:cs="Arial"/>
                <w:color w:val="000000"/>
                <w:sz w:val="16"/>
                <w:szCs w:val="16"/>
              </w:rPr>
            </w:pPr>
          </w:p>
        </w:tc>
        <w:tc>
          <w:tcPr>
            <w:tcW w:w="1152" w:type="dxa"/>
            <w:tcBorders>
              <w:top w:val="single" w:sz="4" w:space="0" w:color="auto"/>
            </w:tcBorders>
            <w:shd w:val="clear" w:color="auto" w:fill="auto"/>
            <w:vAlign w:val="bottom"/>
          </w:tcPr>
          <w:p w14:paraId="7386596C" w14:textId="77777777" w:rsidR="00AB4B3A" w:rsidRPr="002D2F67" w:rsidRDefault="00AB4B3A" w:rsidP="005611FE">
            <w:pPr>
              <w:ind w:right="-72"/>
              <w:jc w:val="right"/>
              <w:rPr>
                <w:rFonts w:ascii="Arial" w:hAnsi="Arial" w:cs="Arial"/>
                <w:color w:val="000000"/>
                <w:sz w:val="16"/>
                <w:szCs w:val="16"/>
              </w:rPr>
            </w:pPr>
          </w:p>
        </w:tc>
      </w:tr>
      <w:tr w:rsidR="00AB4B3A" w:rsidRPr="002D2F67" w14:paraId="404A1983" w14:textId="77777777" w:rsidTr="005611FE">
        <w:tc>
          <w:tcPr>
            <w:tcW w:w="3227" w:type="dxa"/>
            <w:shd w:val="clear" w:color="auto" w:fill="auto"/>
            <w:vAlign w:val="bottom"/>
          </w:tcPr>
          <w:p w14:paraId="126FEAA1" w14:textId="4E0247B9" w:rsidR="00AB4B3A" w:rsidRPr="002D2F67" w:rsidRDefault="00AB4B3A" w:rsidP="005611FE">
            <w:pPr>
              <w:rPr>
                <w:rFonts w:ascii="Arial" w:hAnsi="Arial" w:cs="Arial"/>
                <w:color w:val="000000"/>
                <w:sz w:val="20"/>
                <w:szCs w:val="20"/>
              </w:rPr>
            </w:pPr>
            <w:r w:rsidRPr="002D2F67">
              <w:rPr>
                <w:rFonts w:ascii="Arial" w:hAnsi="Arial" w:cs="Arial"/>
                <w:b/>
                <w:bCs/>
                <w:color w:val="000000"/>
                <w:sz w:val="20"/>
                <w:szCs w:val="20"/>
              </w:rPr>
              <w:t>Total derivatives</w:t>
            </w:r>
            <w:r w:rsidR="00351EC5" w:rsidRPr="002D2F67">
              <w:rPr>
                <w:rFonts w:ascii="Arial" w:hAnsi="Arial" w:cs="Arial"/>
                <w:b/>
                <w:bCs/>
                <w:color w:val="000000"/>
                <w:sz w:val="20"/>
                <w:szCs w:val="20"/>
              </w:rPr>
              <w:t xml:space="preserve"> liabilities</w:t>
            </w:r>
          </w:p>
        </w:tc>
        <w:tc>
          <w:tcPr>
            <w:tcW w:w="1152" w:type="dxa"/>
            <w:tcBorders>
              <w:bottom w:val="single" w:sz="4" w:space="0" w:color="auto"/>
            </w:tcBorders>
            <w:shd w:val="clear" w:color="auto" w:fill="auto"/>
            <w:vAlign w:val="bottom"/>
          </w:tcPr>
          <w:p w14:paraId="6A88EC84" w14:textId="0810C47E" w:rsidR="00AB4B3A" w:rsidRPr="002D2F67" w:rsidRDefault="00CD5714" w:rsidP="005611FE">
            <w:pPr>
              <w:ind w:right="-72"/>
              <w:jc w:val="right"/>
              <w:rPr>
                <w:rFonts w:ascii="Arial" w:hAnsi="Arial" w:cs="Arial"/>
                <w:color w:val="000000"/>
                <w:sz w:val="20"/>
                <w:szCs w:val="22"/>
              </w:rPr>
            </w:pPr>
            <w:r w:rsidRPr="00CD5714">
              <w:rPr>
                <w:rFonts w:ascii="Arial" w:hAnsi="Arial" w:cs="Arial"/>
                <w:color w:val="000000"/>
                <w:sz w:val="20"/>
                <w:szCs w:val="22"/>
                <w:lang w:val="en-GB"/>
              </w:rPr>
              <w:t>6</w:t>
            </w:r>
          </w:p>
        </w:tc>
        <w:tc>
          <w:tcPr>
            <w:tcW w:w="1152" w:type="dxa"/>
            <w:tcBorders>
              <w:bottom w:val="single" w:sz="4" w:space="0" w:color="auto"/>
            </w:tcBorders>
            <w:shd w:val="clear" w:color="auto" w:fill="auto"/>
            <w:vAlign w:val="bottom"/>
          </w:tcPr>
          <w:p w14:paraId="21E66F7A" w14:textId="705B223D" w:rsidR="00AB4B3A" w:rsidRPr="002D2F67" w:rsidRDefault="00CD5714" w:rsidP="005611FE">
            <w:pPr>
              <w:ind w:right="-72"/>
              <w:jc w:val="right"/>
              <w:rPr>
                <w:rFonts w:ascii="Arial" w:hAnsi="Arial" w:cs="Arial"/>
                <w:color w:val="000000"/>
                <w:sz w:val="20"/>
                <w:szCs w:val="22"/>
              </w:rPr>
            </w:pPr>
            <w:r w:rsidRPr="00CD5714">
              <w:rPr>
                <w:rFonts w:ascii="Arial" w:hAnsi="Arial" w:cs="Arial"/>
                <w:color w:val="000000"/>
                <w:sz w:val="20"/>
                <w:szCs w:val="22"/>
                <w:lang w:val="en-GB"/>
              </w:rPr>
              <w:t>139</w:t>
            </w:r>
          </w:p>
        </w:tc>
        <w:tc>
          <w:tcPr>
            <w:tcW w:w="1152" w:type="dxa"/>
            <w:tcBorders>
              <w:bottom w:val="single" w:sz="4" w:space="0" w:color="auto"/>
            </w:tcBorders>
            <w:shd w:val="clear" w:color="auto" w:fill="auto"/>
            <w:vAlign w:val="bottom"/>
          </w:tcPr>
          <w:p w14:paraId="204F67E6" w14:textId="5EAEE85E" w:rsidR="00AB4B3A" w:rsidRPr="002D2F67" w:rsidRDefault="00CD5714" w:rsidP="005611FE">
            <w:pPr>
              <w:ind w:right="-72"/>
              <w:jc w:val="right"/>
              <w:rPr>
                <w:rFonts w:ascii="Arial" w:hAnsi="Arial" w:cs="Arial"/>
                <w:color w:val="000000"/>
                <w:sz w:val="20"/>
                <w:szCs w:val="22"/>
              </w:rPr>
            </w:pPr>
            <w:r w:rsidRPr="00CD5714">
              <w:rPr>
                <w:rFonts w:ascii="Arial" w:hAnsi="Arial" w:cs="Arial"/>
                <w:color w:val="000000"/>
                <w:sz w:val="20"/>
                <w:szCs w:val="22"/>
                <w:lang w:val="en-GB"/>
              </w:rPr>
              <w:t>12</w:t>
            </w:r>
          </w:p>
        </w:tc>
        <w:tc>
          <w:tcPr>
            <w:tcW w:w="1152" w:type="dxa"/>
            <w:tcBorders>
              <w:bottom w:val="single" w:sz="4" w:space="0" w:color="auto"/>
            </w:tcBorders>
            <w:shd w:val="clear" w:color="auto" w:fill="auto"/>
            <w:vAlign w:val="bottom"/>
          </w:tcPr>
          <w:p w14:paraId="2151AE76" w14:textId="196EC148" w:rsidR="00AB4B3A" w:rsidRPr="002D2F67" w:rsidRDefault="00CD5714" w:rsidP="005611FE">
            <w:pPr>
              <w:ind w:right="-72"/>
              <w:jc w:val="right"/>
              <w:rPr>
                <w:rFonts w:ascii="Arial" w:hAnsi="Arial" w:cs="Arial"/>
                <w:color w:val="000000"/>
                <w:sz w:val="20"/>
                <w:szCs w:val="22"/>
              </w:rPr>
            </w:pPr>
            <w:r w:rsidRPr="00CD5714">
              <w:rPr>
                <w:rFonts w:ascii="Arial" w:hAnsi="Arial" w:cs="Arial"/>
                <w:color w:val="000000"/>
                <w:sz w:val="20"/>
                <w:szCs w:val="22"/>
                <w:lang w:val="en-GB"/>
              </w:rPr>
              <w:t>157</w:t>
            </w:r>
          </w:p>
        </w:tc>
        <w:tc>
          <w:tcPr>
            <w:tcW w:w="1152" w:type="dxa"/>
            <w:tcBorders>
              <w:bottom w:val="single" w:sz="4" w:space="0" w:color="auto"/>
            </w:tcBorders>
            <w:shd w:val="clear" w:color="auto" w:fill="auto"/>
            <w:vAlign w:val="bottom"/>
          </w:tcPr>
          <w:p w14:paraId="559E986B" w14:textId="1A7B1C1B" w:rsidR="00AB4B3A" w:rsidRPr="002D2F67" w:rsidRDefault="00CD5714" w:rsidP="005611FE">
            <w:pPr>
              <w:ind w:right="-72"/>
              <w:jc w:val="right"/>
              <w:rPr>
                <w:rFonts w:ascii="Arial" w:hAnsi="Arial" w:cs="Arial"/>
                <w:color w:val="000000"/>
                <w:sz w:val="20"/>
                <w:szCs w:val="22"/>
              </w:rPr>
            </w:pPr>
            <w:r w:rsidRPr="00CD5714">
              <w:rPr>
                <w:rFonts w:ascii="Arial" w:hAnsi="Arial" w:cs="Arial"/>
                <w:color w:val="000000"/>
                <w:sz w:val="20"/>
                <w:szCs w:val="22"/>
                <w:lang w:val="en-GB"/>
              </w:rPr>
              <w:t>60</w:t>
            </w:r>
          </w:p>
        </w:tc>
      </w:tr>
      <w:tr w:rsidR="00AB4B3A" w:rsidRPr="002D2F67" w14:paraId="54E890EF" w14:textId="77777777" w:rsidTr="005611FE">
        <w:tc>
          <w:tcPr>
            <w:tcW w:w="3227" w:type="dxa"/>
            <w:shd w:val="clear" w:color="auto" w:fill="auto"/>
            <w:vAlign w:val="bottom"/>
          </w:tcPr>
          <w:p w14:paraId="75C18BDB" w14:textId="77777777" w:rsidR="00AB4B3A" w:rsidRPr="002D2F67" w:rsidRDefault="00AB4B3A" w:rsidP="005611FE">
            <w:pPr>
              <w:rPr>
                <w:rFonts w:ascii="Arial" w:hAnsi="Arial" w:cs="Arial"/>
                <w:color w:val="000000"/>
                <w:sz w:val="14"/>
                <w:szCs w:val="14"/>
              </w:rPr>
            </w:pPr>
          </w:p>
        </w:tc>
        <w:tc>
          <w:tcPr>
            <w:tcW w:w="1152" w:type="dxa"/>
            <w:tcBorders>
              <w:top w:val="single" w:sz="4" w:space="0" w:color="auto"/>
            </w:tcBorders>
            <w:shd w:val="clear" w:color="auto" w:fill="auto"/>
            <w:vAlign w:val="center"/>
          </w:tcPr>
          <w:p w14:paraId="1D1F4586" w14:textId="77777777" w:rsidR="00AB4B3A" w:rsidRPr="002D2F67" w:rsidRDefault="00AB4B3A" w:rsidP="005611FE">
            <w:pPr>
              <w:ind w:right="-72"/>
              <w:jc w:val="right"/>
              <w:rPr>
                <w:rFonts w:ascii="Arial" w:hAnsi="Arial" w:cs="Arial"/>
                <w:color w:val="000000"/>
                <w:sz w:val="14"/>
                <w:szCs w:val="14"/>
              </w:rPr>
            </w:pPr>
          </w:p>
        </w:tc>
        <w:tc>
          <w:tcPr>
            <w:tcW w:w="1152" w:type="dxa"/>
            <w:tcBorders>
              <w:top w:val="single" w:sz="4" w:space="0" w:color="auto"/>
            </w:tcBorders>
            <w:shd w:val="clear" w:color="auto" w:fill="auto"/>
            <w:vAlign w:val="center"/>
          </w:tcPr>
          <w:p w14:paraId="53BAEDFC" w14:textId="77777777" w:rsidR="00AB4B3A" w:rsidRPr="002D2F67" w:rsidRDefault="00AB4B3A" w:rsidP="005611FE">
            <w:pPr>
              <w:ind w:right="-72"/>
              <w:jc w:val="right"/>
              <w:rPr>
                <w:rFonts w:ascii="Arial" w:hAnsi="Arial" w:cs="Arial"/>
                <w:color w:val="000000"/>
                <w:sz w:val="14"/>
                <w:szCs w:val="14"/>
              </w:rPr>
            </w:pPr>
          </w:p>
        </w:tc>
        <w:tc>
          <w:tcPr>
            <w:tcW w:w="1152" w:type="dxa"/>
            <w:tcBorders>
              <w:top w:val="single" w:sz="4" w:space="0" w:color="auto"/>
            </w:tcBorders>
            <w:shd w:val="clear" w:color="auto" w:fill="auto"/>
            <w:vAlign w:val="center"/>
          </w:tcPr>
          <w:p w14:paraId="4548C140" w14:textId="77777777" w:rsidR="00AB4B3A" w:rsidRPr="002D2F67" w:rsidRDefault="00AB4B3A" w:rsidP="005611FE">
            <w:pPr>
              <w:ind w:right="-72"/>
              <w:jc w:val="right"/>
              <w:rPr>
                <w:rFonts w:ascii="Arial" w:hAnsi="Arial" w:cs="Arial"/>
                <w:color w:val="000000"/>
                <w:sz w:val="14"/>
                <w:szCs w:val="14"/>
              </w:rPr>
            </w:pPr>
          </w:p>
        </w:tc>
        <w:tc>
          <w:tcPr>
            <w:tcW w:w="1152" w:type="dxa"/>
            <w:tcBorders>
              <w:top w:val="single" w:sz="4" w:space="0" w:color="auto"/>
            </w:tcBorders>
            <w:shd w:val="clear" w:color="auto" w:fill="auto"/>
            <w:vAlign w:val="center"/>
          </w:tcPr>
          <w:p w14:paraId="132A92E3" w14:textId="77777777" w:rsidR="00AB4B3A" w:rsidRPr="002D2F67" w:rsidRDefault="00AB4B3A" w:rsidP="005611FE">
            <w:pPr>
              <w:ind w:right="-72"/>
              <w:jc w:val="right"/>
              <w:rPr>
                <w:rFonts w:ascii="Arial" w:hAnsi="Arial" w:cs="Arial"/>
                <w:color w:val="000000"/>
                <w:sz w:val="14"/>
                <w:szCs w:val="14"/>
              </w:rPr>
            </w:pPr>
          </w:p>
        </w:tc>
        <w:tc>
          <w:tcPr>
            <w:tcW w:w="1152" w:type="dxa"/>
            <w:tcBorders>
              <w:top w:val="single" w:sz="4" w:space="0" w:color="auto"/>
            </w:tcBorders>
            <w:shd w:val="clear" w:color="auto" w:fill="auto"/>
            <w:vAlign w:val="center"/>
          </w:tcPr>
          <w:p w14:paraId="6351D1C0" w14:textId="77777777" w:rsidR="00AB4B3A" w:rsidRPr="002D2F67" w:rsidRDefault="00AB4B3A" w:rsidP="005611FE">
            <w:pPr>
              <w:ind w:right="-72"/>
              <w:jc w:val="right"/>
              <w:rPr>
                <w:rFonts w:ascii="Arial" w:hAnsi="Arial" w:cs="Arial"/>
                <w:color w:val="000000"/>
                <w:sz w:val="14"/>
                <w:szCs w:val="14"/>
              </w:rPr>
            </w:pPr>
          </w:p>
        </w:tc>
      </w:tr>
      <w:tr w:rsidR="00AB4B3A" w:rsidRPr="002D2F67" w14:paraId="171453B4" w14:textId="77777777" w:rsidTr="00AB4B3A">
        <w:tc>
          <w:tcPr>
            <w:tcW w:w="3227" w:type="dxa"/>
            <w:shd w:val="clear" w:color="auto" w:fill="auto"/>
            <w:vAlign w:val="bottom"/>
          </w:tcPr>
          <w:p w14:paraId="790D0706" w14:textId="77777777" w:rsidR="00AB4B3A" w:rsidRPr="002D2F67" w:rsidRDefault="00AB4B3A" w:rsidP="005611FE">
            <w:pPr>
              <w:rPr>
                <w:rFonts w:ascii="Arial" w:hAnsi="Arial" w:cs="Arial"/>
                <w:b/>
                <w:bCs/>
                <w:color w:val="000000"/>
                <w:sz w:val="20"/>
                <w:szCs w:val="20"/>
              </w:rPr>
            </w:pPr>
            <w:r w:rsidRPr="002D2F67">
              <w:rPr>
                <w:rFonts w:ascii="Arial" w:hAnsi="Arial" w:cs="Arial"/>
                <w:b/>
                <w:bCs/>
                <w:color w:val="000000"/>
                <w:sz w:val="20"/>
                <w:szCs w:val="20"/>
              </w:rPr>
              <w:t>Total</w:t>
            </w:r>
          </w:p>
        </w:tc>
        <w:tc>
          <w:tcPr>
            <w:tcW w:w="1152" w:type="dxa"/>
            <w:tcBorders>
              <w:bottom w:val="single" w:sz="4" w:space="0" w:color="auto"/>
            </w:tcBorders>
            <w:shd w:val="clear" w:color="auto" w:fill="auto"/>
            <w:vAlign w:val="center"/>
          </w:tcPr>
          <w:p w14:paraId="03D36818" w14:textId="4A189A40"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2"/>
                <w:lang w:val="en-GB"/>
              </w:rPr>
              <w:t>26</w:t>
            </w:r>
            <w:r w:rsidR="00AB4B3A" w:rsidRPr="002D2F67">
              <w:rPr>
                <w:rFonts w:ascii="Arial" w:hAnsi="Arial" w:cs="Arial"/>
                <w:color w:val="000000"/>
                <w:sz w:val="20"/>
                <w:szCs w:val="22"/>
              </w:rPr>
              <w:t>,</w:t>
            </w:r>
            <w:r w:rsidRPr="00CD5714">
              <w:rPr>
                <w:rFonts w:ascii="Arial" w:hAnsi="Arial" w:cs="Arial"/>
                <w:color w:val="000000"/>
                <w:sz w:val="20"/>
                <w:szCs w:val="22"/>
                <w:lang w:val="en-GB"/>
              </w:rPr>
              <w:t>078</w:t>
            </w:r>
          </w:p>
        </w:tc>
        <w:tc>
          <w:tcPr>
            <w:tcW w:w="1152" w:type="dxa"/>
            <w:tcBorders>
              <w:bottom w:val="single" w:sz="4" w:space="0" w:color="auto"/>
            </w:tcBorders>
            <w:shd w:val="clear" w:color="auto" w:fill="auto"/>
            <w:vAlign w:val="center"/>
          </w:tcPr>
          <w:p w14:paraId="604D1E62" w14:textId="039E7F6E"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2"/>
                <w:lang w:val="en-GB"/>
              </w:rPr>
              <w:t>24</w:t>
            </w:r>
            <w:r w:rsidR="00AB4B3A" w:rsidRPr="002D2F67">
              <w:rPr>
                <w:rFonts w:ascii="Arial" w:hAnsi="Arial" w:cs="Arial"/>
                <w:color w:val="000000"/>
                <w:sz w:val="20"/>
                <w:szCs w:val="22"/>
              </w:rPr>
              <w:t>,</w:t>
            </w:r>
            <w:r w:rsidRPr="00CD5714">
              <w:rPr>
                <w:rFonts w:ascii="Arial" w:hAnsi="Arial" w:cs="Arial"/>
                <w:color w:val="000000"/>
                <w:sz w:val="20"/>
                <w:szCs w:val="22"/>
                <w:lang w:val="en-GB"/>
              </w:rPr>
              <w:t>438</w:t>
            </w:r>
          </w:p>
        </w:tc>
        <w:tc>
          <w:tcPr>
            <w:tcW w:w="1152" w:type="dxa"/>
            <w:tcBorders>
              <w:bottom w:val="single" w:sz="4" w:space="0" w:color="auto"/>
            </w:tcBorders>
            <w:shd w:val="clear" w:color="auto" w:fill="auto"/>
            <w:vAlign w:val="center"/>
          </w:tcPr>
          <w:p w14:paraId="09938240" w14:textId="197603EA"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12</w:t>
            </w:r>
            <w:r w:rsidR="00AB4B3A" w:rsidRPr="002D2F67">
              <w:rPr>
                <w:rFonts w:ascii="Arial" w:hAnsi="Arial" w:cs="Arial"/>
                <w:color w:val="000000"/>
                <w:sz w:val="20"/>
                <w:szCs w:val="20"/>
              </w:rPr>
              <w:t>,</w:t>
            </w:r>
            <w:r w:rsidRPr="00CD5714">
              <w:rPr>
                <w:rFonts w:ascii="Arial" w:hAnsi="Arial" w:cs="Arial"/>
                <w:color w:val="000000"/>
                <w:sz w:val="20"/>
                <w:szCs w:val="22"/>
                <w:lang w:val="en-GB"/>
              </w:rPr>
              <w:t>895</w:t>
            </w:r>
          </w:p>
        </w:tc>
        <w:tc>
          <w:tcPr>
            <w:tcW w:w="1152" w:type="dxa"/>
            <w:tcBorders>
              <w:bottom w:val="single" w:sz="4" w:space="0" w:color="auto"/>
            </w:tcBorders>
            <w:shd w:val="clear" w:color="auto" w:fill="auto"/>
            <w:vAlign w:val="center"/>
          </w:tcPr>
          <w:p w14:paraId="7AF89342" w14:textId="0E0E0D3B"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2"/>
                <w:lang w:val="en-GB"/>
              </w:rPr>
              <w:t>63</w:t>
            </w:r>
            <w:r w:rsidR="00AB4B3A" w:rsidRPr="002D2F67">
              <w:rPr>
                <w:rFonts w:ascii="Arial" w:hAnsi="Arial" w:cs="Arial"/>
                <w:color w:val="000000"/>
                <w:sz w:val="20"/>
                <w:szCs w:val="22"/>
              </w:rPr>
              <w:t>,</w:t>
            </w:r>
            <w:r w:rsidRPr="00CD5714">
              <w:rPr>
                <w:rFonts w:ascii="Arial" w:hAnsi="Arial" w:cs="Arial"/>
                <w:color w:val="000000"/>
                <w:sz w:val="20"/>
                <w:szCs w:val="22"/>
                <w:lang w:val="en-GB"/>
              </w:rPr>
              <w:t>411</w:t>
            </w:r>
          </w:p>
        </w:tc>
        <w:tc>
          <w:tcPr>
            <w:tcW w:w="1152" w:type="dxa"/>
            <w:tcBorders>
              <w:bottom w:val="single" w:sz="4" w:space="0" w:color="auto"/>
            </w:tcBorders>
            <w:shd w:val="clear" w:color="auto" w:fill="auto"/>
            <w:vAlign w:val="center"/>
          </w:tcPr>
          <w:p w14:paraId="2D364C28" w14:textId="6E626ADA" w:rsidR="00AB4B3A"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2"/>
                <w:lang w:val="en-GB"/>
              </w:rPr>
              <w:t>59</w:t>
            </w:r>
            <w:r w:rsidR="00AB4B3A" w:rsidRPr="002D2F67">
              <w:rPr>
                <w:rFonts w:ascii="Arial" w:hAnsi="Arial" w:cs="Arial"/>
                <w:color w:val="000000"/>
                <w:sz w:val="20"/>
                <w:szCs w:val="22"/>
              </w:rPr>
              <w:t>,</w:t>
            </w:r>
            <w:r w:rsidRPr="00CD5714">
              <w:rPr>
                <w:rFonts w:ascii="Arial" w:hAnsi="Arial" w:cs="Arial"/>
                <w:color w:val="000000"/>
                <w:sz w:val="20"/>
                <w:szCs w:val="22"/>
                <w:lang w:val="en-GB"/>
              </w:rPr>
              <w:t>622</w:t>
            </w:r>
          </w:p>
        </w:tc>
      </w:tr>
    </w:tbl>
    <w:p w14:paraId="121C5206" w14:textId="756A93FA" w:rsidR="009878CA" w:rsidRPr="002D2F67" w:rsidRDefault="009878CA" w:rsidP="00E04B57">
      <w:pPr>
        <w:pStyle w:val="HeadSub1-5EA"/>
        <w:ind w:left="0" w:firstLine="0"/>
        <w:rPr>
          <w:rFonts w:ascii="Arial" w:hAnsi="Arial" w:cs="Arial"/>
          <w:b w:val="0"/>
          <w:bCs w:val="0"/>
          <w:color w:val="000000"/>
          <w:sz w:val="16"/>
          <w:szCs w:val="16"/>
        </w:rPr>
      </w:pPr>
    </w:p>
    <w:p w14:paraId="3F0DFB4E" w14:textId="1F4DBFE4" w:rsidR="0016427C" w:rsidRPr="002D2F67" w:rsidRDefault="00CD5714" w:rsidP="005611FE">
      <w:pPr>
        <w:pStyle w:val="HeadSub1-5EA"/>
        <w:rPr>
          <w:rFonts w:ascii="Arial" w:hAnsi="Arial" w:cs="Arial"/>
          <w:b w:val="0"/>
          <w:bCs w:val="0"/>
          <w:color w:val="000000"/>
          <w:sz w:val="20"/>
          <w:szCs w:val="20"/>
        </w:rPr>
      </w:pPr>
      <w:r w:rsidRPr="00CD5714">
        <w:rPr>
          <w:rFonts w:ascii="Arial" w:hAnsi="Arial" w:cs="Arial"/>
          <w:color w:val="000000"/>
          <w:sz w:val="20"/>
          <w:szCs w:val="20"/>
          <w:lang w:val="en-GB"/>
        </w:rPr>
        <w:t>6</w:t>
      </w:r>
      <w:r w:rsidR="00084462" w:rsidRPr="002D2F67">
        <w:rPr>
          <w:rFonts w:ascii="Arial" w:hAnsi="Arial" w:cs="Arial"/>
          <w:color w:val="000000"/>
          <w:sz w:val="20"/>
          <w:szCs w:val="20"/>
        </w:rPr>
        <w:t>.</w:t>
      </w:r>
      <w:r w:rsidRPr="00CD5714">
        <w:rPr>
          <w:rFonts w:ascii="Arial" w:hAnsi="Arial" w:cs="Arial"/>
          <w:color w:val="000000"/>
          <w:sz w:val="20"/>
          <w:szCs w:val="20"/>
          <w:lang w:val="en-GB"/>
        </w:rPr>
        <w:t>2</w:t>
      </w:r>
      <w:r w:rsidR="00084462" w:rsidRPr="002D2F67">
        <w:rPr>
          <w:rFonts w:ascii="Arial" w:hAnsi="Arial" w:cs="Arial"/>
          <w:color w:val="000000"/>
          <w:sz w:val="20"/>
          <w:szCs w:val="20"/>
        </w:rPr>
        <w:tab/>
      </w:r>
      <w:r w:rsidR="0016427C" w:rsidRPr="002D2F67">
        <w:rPr>
          <w:rFonts w:ascii="Arial" w:hAnsi="Arial" w:cs="Arial"/>
          <w:color w:val="000000"/>
          <w:sz w:val="20"/>
          <w:szCs w:val="20"/>
        </w:rPr>
        <w:t>Capital management</w:t>
      </w:r>
    </w:p>
    <w:p w14:paraId="166EC3BE" w14:textId="77777777" w:rsidR="0016427C" w:rsidRPr="002D2F67" w:rsidRDefault="0016427C" w:rsidP="005611FE">
      <w:pPr>
        <w:ind w:left="540"/>
        <w:rPr>
          <w:rFonts w:ascii="Arial" w:hAnsi="Arial" w:cs="Arial"/>
          <w:color w:val="000000"/>
          <w:sz w:val="16"/>
          <w:szCs w:val="16"/>
        </w:rPr>
      </w:pPr>
    </w:p>
    <w:p w14:paraId="325812C9" w14:textId="6F48EA51" w:rsidR="0016427C" w:rsidRPr="002D2F67" w:rsidRDefault="0016427C" w:rsidP="005611FE">
      <w:pPr>
        <w:keepNext/>
        <w:keepLines/>
        <w:tabs>
          <w:tab w:val="left" w:pos="585"/>
        </w:tabs>
        <w:ind w:left="540"/>
        <w:outlineLvl w:val="2"/>
        <w:rPr>
          <w:rFonts w:ascii="Arial" w:eastAsia="Arial" w:hAnsi="Arial" w:cs="Arial"/>
          <w:bCs/>
          <w:color w:val="000000"/>
          <w:sz w:val="20"/>
          <w:szCs w:val="20"/>
        </w:rPr>
      </w:pPr>
      <w:bookmarkStart w:id="2" w:name="_Toc48736049"/>
      <w:r w:rsidRPr="002D2F67">
        <w:rPr>
          <w:rFonts w:ascii="Arial" w:eastAsia="Arial" w:hAnsi="Arial" w:cs="Arial"/>
          <w:bCs/>
          <w:color w:val="000000"/>
          <w:sz w:val="20"/>
          <w:szCs w:val="20"/>
        </w:rPr>
        <w:t>Risk management</w:t>
      </w:r>
      <w:bookmarkEnd w:id="2"/>
    </w:p>
    <w:p w14:paraId="77D57CC9" w14:textId="77777777" w:rsidR="0016427C" w:rsidRPr="002D2F67" w:rsidRDefault="0016427C" w:rsidP="005611FE">
      <w:pPr>
        <w:ind w:left="540"/>
        <w:rPr>
          <w:rFonts w:ascii="Arial" w:hAnsi="Arial" w:cs="Arial"/>
          <w:color w:val="000000"/>
          <w:sz w:val="16"/>
          <w:szCs w:val="16"/>
        </w:rPr>
      </w:pPr>
    </w:p>
    <w:p w14:paraId="54212E11" w14:textId="1F87B00E" w:rsidR="0016427C" w:rsidRPr="002D2F67" w:rsidRDefault="0016427C" w:rsidP="005611FE">
      <w:pPr>
        <w:ind w:left="540"/>
        <w:jc w:val="thaiDistribute"/>
        <w:rPr>
          <w:rFonts w:ascii="Arial" w:hAnsi="Arial" w:cs="Arial"/>
          <w:color w:val="000000"/>
          <w:sz w:val="20"/>
          <w:szCs w:val="20"/>
        </w:rPr>
      </w:pPr>
      <w:r w:rsidRPr="002D2F67">
        <w:rPr>
          <w:rFonts w:ascii="Arial" w:hAnsi="Arial" w:cs="Arial"/>
          <w:color w:val="000000"/>
          <w:spacing w:val="-6"/>
          <w:sz w:val="20"/>
          <w:szCs w:val="20"/>
        </w:rPr>
        <w:t xml:space="preserve">The </w:t>
      </w:r>
      <w:r w:rsidR="003E15E5" w:rsidRPr="002D2F67">
        <w:rPr>
          <w:rFonts w:ascii="Arial" w:hAnsi="Arial" w:cs="Arial"/>
          <w:color w:val="000000"/>
          <w:spacing w:val="-6"/>
          <w:sz w:val="20"/>
          <w:szCs w:val="20"/>
        </w:rPr>
        <w:t xml:space="preserve">Group’s </w:t>
      </w:r>
      <w:r w:rsidRPr="002D2F67">
        <w:rPr>
          <w:rFonts w:ascii="Arial" w:hAnsi="Arial" w:cs="Arial"/>
          <w:color w:val="000000"/>
          <w:spacing w:val="-6"/>
          <w:sz w:val="20"/>
          <w:szCs w:val="20"/>
        </w:rPr>
        <w:t xml:space="preserve">objectives when managing capital are to safeguard </w:t>
      </w:r>
      <w:r w:rsidR="004647F5" w:rsidRPr="002D2F67">
        <w:rPr>
          <w:rFonts w:ascii="Arial" w:hAnsi="Arial" w:cs="Arial"/>
          <w:color w:val="000000"/>
          <w:spacing w:val="-6"/>
          <w:sz w:val="20"/>
          <w:szCs w:val="20"/>
        </w:rPr>
        <w:t>its</w:t>
      </w:r>
      <w:r w:rsidRPr="002D2F67">
        <w:rPr>
          <w:rFonts w:ascii="Arial" w:hAnsi="Arial" w:cs="Arial"/>
          <w:color w:val="000000"/>
          <w:spacing w:val="-6"/>
          <w:sz w:val="20"/>
          <w:szCs w:val="20"/>
        </w:rPr>
        <w:t xml:space="preserve"> ability to continue as a going concern,</w:t>
      </w:r>
      <w:r w:rsidRPr="002D2F67">
        <w:rPr>
          <w:rFonts w:ascii="Arial" w:hAnsi="Arial" w:cs="Arial"/>
          <w:color w:val="000000"/>
          <w:sz w:val="20"/>
          <w:szCs w:val="20"/>
        </w:rPr>
        <w:t xml:space="preserve"> </w:t>
      </w:r>
      <w:r w:rsidRPr="002D2F67">
        <w:rPr>
          <w:rFonts w:ascii="Arial" w:hAnsi="Arial" w:cs="Arial"/>
          <w:color w:val="000000"/>
          <w:spacing w:val="-4"/>
          <w:sz w:val="20"/>
          <w:szCs w:val="20"/>
        </w:rPr>
        <w:t xml:space="preserve">to </w:t>
      </w:r>
      <w:r w:rsidRPr="002D2F67">
        <w:rPr>
          <w:rFonts w:ascii="Arial" w:hAnsi="Arial" w:cs="Arial"/>
          <w:color w:val="000000"/>
          <w:spacing w:val="-8"/>
          <w:sz w:val="20"/>
          <w:szCs w:val="20"/>
        </w:rPr>
        <w:t>provide returns for shareholders and benefits for other stakeholders and maintain an optimal capital structure</w:t>
      </w:r>
      <w:r w:rsidRPr="002D2F67">
        <w:rPr>
          <w:rFonts w:ascii="Arial" w:hAnsi="Arial" w:cs="Arial"/>
          <w:color w:val="000000"/>
          <w:sz w:val="20"/>
          <w:szCs w:val="20"/>
        </w:rPr>
        <w:t xml:space="preserve"> to reduce the cost of capital.</w:t>
      </w:r>
    </w:p>
    <w:p w14:paraId="17F1368B" w14:textId="77777777" w:rsidR="0016427C" w:rsidRPr="002D2F67" w:rsidRDefault="0016427C" w:rsidP="005611FE">
      <w:pPr>
        <w:ind w:left="540"/>
        <w:jc w:val="thaiDistribute"/>
        <w:rPr>
          <w:rFonts w:ascii="Arial" w:hAnsi="Arial" w:cs="Arial"/>
          <w:color w:val="000000"/>
          <w:sz w:val="16"/>
          <w:szCs w:val="16"/>
        </w:rPr>
      </w:pPr>
    </w:p>
    <w:p w14:paraId="1BC62959" w14:textId="3A911036" w:rsidR="0016427C" w:rsidRPr="002D2F67" w:rsidRDefault="003E15E5" w:rsidP="005611FE">
      <w:pPr>
        <w:ind w:left="540"/>
        <w:jc w:val="thaiDistribute"/>
        <w:rPr>
          <w:rFonts w:ascii="Arial" w:hAnsi="Arial" w:cs="Arial"/>
          <w:color w:val="000000"/>
          <w:sz w:val="20"/>
          <w:szCs w:val="20"/>
        </w:rPr>
      </w:pPr>
      <w:r w:rsidRPr="002D2F67">
        <w:rPr>
          <w:rFonts w:ascii="Arial" w:hAnsi="Arial" w:cs="Arial"/>
          <w:color w:val="000000"/>
          <w:sz w:val="20"/>
          <w:szCs w:val="20"/>
        </w:rPr>
        <w:t xml:space="preserve">As </w:t>
      </w:r>
      <w:proofErr w:type="gramStart"/>
      <w:r w:rsidRPr="002D2F67">
        <w:rPr>
          <w:rFonts w:ascii="Arial" w:hAnsi="Arial" w:cs="Arial"/>
          <w:color w:val="000000"/>
          <w:sz w:val="20"/>
          <w:szCs w:val="20"/>
        </w:rPr>
        <w:t>at</w:t>
      </w:r>
      <w:proofErr w:type="gramEnd"/>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31</w:t>
      </w:r>
      <w:r w:rsidRPr="002D2F67">
        <w:rPr>
          <w:rFonts w:ascii="Arial" w:hAnsi="Arial" w:cs="Arial"/>
          <w:color w:val="000000"/>
          <w:sz w:val="20"/>
          <w:szCs w:val="20"/>
        </w:rPr>
        <w:t xml:space="preserve"> December, net deb</w:t>
      </w:r>
      <w:r w:rsidR="0005726C" w:rsidRPr="002D2F67">
        <w:rPr>
          <w:rFonts w:ascii="Arial" w:hAnsi="Arial" w:cs="Arial"/>
          <w:color w:val="000000"/>
          <w:sz w:val="20"/>
          <w:szCs w:val="20"/>
        </w:rPr>
        <w:t>t</w:t>
      </w:r>
      <w:r w:rsidRPr="002D2F67">
        <w:rPr>
          <w:rFonts w:ascii="Arial" w:hAnsi="Arial" w:cs="Arial"/>
          <w:color w:val="000000"/>
          <w:sz w:val="20"/>
          <w:szCs w:val="20"/>
        </w:rPr>
        <w:t xml:space="preserve"> to equity ratios of the Group are as follows:</w:t>
      </w:r>
    </w:p>
    <w:p w14:paraId="1C2CED50" w14:textId="77777777" w:rsidR="0016427C" w:rsidRPr="002D2F67" w:rsidRDefault="0016427C" w:rsidP="005611FE">
      <w:pPr>
        <w:ind w:left="540"/>
        <w:jc w:val="thaiDistribute"/>
        <w:rPr>
          <w:rFonts w:ascii="Arial" w:hAnsi="Arial" w:cs="Arial"/>
          <w:color w:val="000000"/>
          <w:sz w:val="16"/>
          <w:szCs w:val="16"/>
        </w:rPr>
      </w:pPr>
    </w:p>
    <w:tbl>
      <w:tblPr>
        <w:tblW w:w="9022" w:type="dxa"/>
        <w:tblInd w:w="534" w:type="dxa"/>
        <w:tblLayout w:type="fixed"/>
        <w:tblLook w:val="04A0" w:firstRow="1" w:lastRow="0" w:firstColumn="1" w:lastColumn="0" w:noHBand="0" w:noVBand="1"/>
      </w:tblPr>
      <w:tblGrid>
        <w:gridCol w:w="6433"/>
        <w:gridCol w:w="1235"/>
        <w:gridCol w:w="1354"/>
      </w:tblGrid>
      <w:tr w:rsidR="00776554" w:rsidRPr="002D2F67" w14:paraId="64BAFF02" w14:textId="77777777" w:rsidTr="00776554">
        <w:tc>
          <w:tcPr>
            <w:tcW w:w="6433" w:type="dxa"/>
            <w:shd w:val="clear" w:color="auto" w:fill="auto"/>
          </w:tcPr>
          <w:p w14:paraId="1CF43519" w14:textId="77777777" w:rsidR="00776554" w:rsidRPr="002D2F67" w:rsidRDefault="00776554" w:rsidP="005611FE">
            <w:pPr>
              <w:rPr>
                <w:rFonts w:ascii="Arial" w:eastAsia="Cambria" w:hAnsi="Arial" w:cs="Arial"/>
                <w:color w:val="000000"/>
                <w:spacing w:val="-2"/>
                <w:sz w:val="20"/>
                <w:szCs w:val="20"/>
              </w:rPr>
            </w:pPr>
          </w:p>
        </w:tc>
        <w:tc>
          <w:tcPr>
            <w:tcW w:w="2589" w:type="dxa"/>
            <w:gridSpan w:val="2"/>
            <w:tcBorders>
              <w:top w:val="single" w:sz="4" w:space="0" w:color="auto"/>
              <w:bottom w:val="single" w:sz="4" w:space="0" w:color="000000"/>
            </w:tcBorders>
            <w:shd w:val="clear" w:color="auto" w:fill="auto"/>
          </w:tcPr>
          <w:p w14:paraId="76C03A42" w14:textId="2ABECB8E" w:rsidR="00776554" w:rsidRPr="002D2F67" w:rsidRDefault="00776554" w:rsidP="005611FE">
            <w:pPr>
              <w:pStyle w:val="BlockText"/>
              <w:ind w:left="0" w:right="-55"/>
              <w:jc w:val="right"/>
              <w:rPr>
                <w:rFonts w:ascii="Arial" w:hAnsi="Arial" w:cs="Arial"/>
                <w:b/>
                <w:bCs/>
                <w:color w:val="000000"/>
              </w:rPr>
            </w:pPr>
            <w:r w:rsidRPr="002D2F67">
              <w:rPr>
                <w:rFonts w:ascii="Arial" w:hAnsi="Arial" w:cs="Arial"/>
                <w:b/>
                <w:bCs/>
                <w:color w:val="000000"/>
              </w:rPr>
              <w:t xml:space="preserve">Consolidated </w:t>
            </w:r>
            <w:r w:rsidRPr="002D2F67">
              <w:rPr>
                <w:rFonts w:ascii="Arial" w:hAnsi="Arial" w:cs="Arial"/>
                <w:b/>
                <w:bCs/>
                <w:color w:val="000000"/>
              </w:rPr>
              <w:br/>
              <w:t>financial statements</w:t>
            </w:r>
          </w:p>
        </w:tc>
      </w:tr>
      <w:tr w:rsidR="00776554" w:rsidRPr="002D2F67" w14:paraId="5F873608" w14:textId="0A4E9026" w:rsidTr="00776554">
        <w:tc>
          <w:tcPr>
            <w:tcW w:w="6433" w:type="dxa"/>
            <w:shd w:val="clear" w:color="auto" w:fill="auto"/>
          </w:tcPr>
          <w:p w14:paraId="2D7C4CD0" w14:textId="77777777" w:rsidR="00776554" w:rsidRPr="002D2F67" w:rsidRDefault="00776554" w:rsidP="005611FE">
            <w:pPr>
              <w:rPr>
                <w:rFonts w:ascii="Arial" w:eastAsia="Cambria" w:hAnsi="Arial" w:cs="Arial"/>
                <w:color w:val="000000"/>
                <w:spacing w:val="-2"/>
                <w:sz w:val="20"/>
                <w:szCs w:val="20"/>
              </w:rPr>
            </w:pPr>
          </w:p>
        </w:tc>
        <w:tc>
          <w:tcPr>
            <w:tcW w:w="1235" w:type="dxa"/>
            <w:tcBorders>
              <w:top w:val="single" w:sz="4" w:space="0" w:color="auto"/>
              <w:bottom w:val="single" w:sz="4" w:space="0" w:color="000000"/>
            </w:tcBorders>
            <w:shd w:val="clear" w:color="auto" w:fill="auto"/>
          </w:tcPr>
          <w:p w14:paraId="149B83CF" w14:textId="3388332B" w:rsidR="00776554" w:rsidRPr="002D2F67" w:rsidRDefault="00776554" w:rsidP="005611FE">
            <w:pPr>
              <w:pStyle w:val="BlockText"/>
              <w:ind w:left="0" w:right="-55"/>
              <w:jc w:val="right"/>
              <w:rPr>
                <w:rFonts w:ascii="Arial" w:hAnsi="Arial" w:cs="Arial"/>
                <w:b/>
                <w:bCs/>
                <w:color w:val="000000"/>
              </w:rPr>
            </w:pPr>
            <w:r w:rsidRPr="00CD5714">
              <w:rPr>
                <w:rFonts w:ascii="Arial" w:hAnsi="Arial" w:cs="Arial"/>
                <w:b/>
                <w:bCs/>
                <w:color w:val="000000"/>
                <w:lang w:val="en-GB"/>
              </w:rPr>
              <w:t>2024</w:t>
            </w:r>
          </w:p>
          <w:p w14:paraId="2D1C512D" w14:textId="77777777" w:rsidR="00776554" w:rsidRPr="002D2F67" w:rsidRDefault="00776554" w:rsidP="005611FE">
            <w:pPr>
              <w:pStyle w:val="BlockText"/>
              <w:ind w:left="0" w:right="-55"/>
              <w:jc w:val="right"/>
              <w:rPr>
                <w:rFonts w:ascii="Arial" w:hAnsi="Arial" w:cs="Arial"/>
                <w:b/>
                <w:bCs/>
                <w:color w:val="000000"/>
              </w:rPr>
            </w:pPr>
            <w:r w:rsidRPr="002D2F67">
              <w:rPr>
                <w:rFonts w:ascii="Arial" w:hAnsi="Arial" w:cs="Arial"/>
                <w:b/>
                <w:bCs/>
                <w:color w:val="000000"/>
              </w:rPr>
              <w:t>Million Baht</w:t>
            </w:r>
          </w:p>
        </w:tc>
        <w:tc>
          <w:tcPr>
            <w:tcW w:w="1354" w:type="dxa"/>
            <w:tcBorders>
              <w:top w:val="single" w:sz="4" w:space="0" w:color="auto"/>
              <w:bottom w:val="single" w:sz="4" w:space="0" w:color="000000"/>
            </w:tcBorders>
            <w:shd w:val="clear" w:color="auto" w:fill="auto"/>
          </w:tcPr>
          <w:p w14:paraId="3262EEEF" w14:textId="0EF0FCD0" w:rsidR="00776554" w:rsidRPr="002D2F67" w:rsidRDefault="00776554" w:rsidP="005611FE">
            <w:pPr>
              <w:pStyle w:val="BlockText"/>
              <w:ind w:left="0" w:right="-55"/>
              <w:jc w:val="right"/>
              <w:rPr>
                <w:rFonts w:ascii="Arial" w:hAnsi="Arial" w:cs="Arial"/>
                <w:b/>
                <w:bCs/>
                <w:color w:val="000000"/>
              </w:rPr>
            </w:pPr>
            <w:r w:rsidRPr="00CD5714">
              <w:rPr>
                <w:rFonts w:ascii="Arial" w:hAnsi="Arial" w:cs="Arial"/>
                <w:b/>
                <w:bCs/>
                <w:color w:val="000000"/>
                <w:lang w:val="en-GB"/>
              </w:rPr>
              <w:t>2023</w:t>
            </w:r>
          </w:p>
          <w:p w14:paraId="18751A86" w14:textId="6CE01F92" w:rsidR="00776554" w:rsidRPr="002D2F67" w:rsidRDefault="00776554" w:rsidP="005611FE">
            <w:pPr>
              <w:pStyle w:val="BlockText"/>
              <w:ind w:left="0" w:right="-55"/>
              <w:jc w:val="right"/>
              <w:rPr>
                <w:rFonts w:ascii="Arial" w:hAnsi="Arial" w:cs="Arial"/>
                <w:b/>
                <w:bCs/>
                <w:color w:val="000000"/>
              </w:rPr>
            </w:pPr>
            <w:r w:rsidRPr="002D2F67">
              <w:rPr>
                <w:rFonts w:ascii="Arial" w:hAnsi="Arial" w:cs="Arial"/>
                <w:b/>
                <w:bCs/>
                <w:color w:val="000000"/>
              </w:rPr>
              <w:t xml:space="preserve">Million </w:t>
            </w:r>
            <w:r w:rsidRPr="002D2F67">
              <w:rPr>
                <w:rFonts w:ascii="Arial" w:hAnsi="Arial" w:cs="Arial"/>
                <w:b/>
                <w:bCs/>
                <w:color w:val="000000"/>
              </w:rPr>
              <w:br/>
              <w:t>Baht</w:t>
            </w:r>
          </w:p>
        </w:tc>
      </w:tr>
      <w:tr w:rsidR="00776554" w:rsidRPr="002D2F67" w14:paraId="32929C0F" w14:textId="643858FD" w:rsidTr="00776554">
        <w:tc>
          <w:tcPr>
            <w:tcW w:w="6433" w:type="dxa"/>
            <w:shd w:val="clear" w:color="auto" w:fill="auto"/>
          </w:tcPr>
          <w:p w14:paraId="6130C950" w14:textId="77777777" w:rsidR="00776554" w:rsidRPr="002D2F67" w:rsidRDefault="00776554" w:rsidP="005611FE">
            <w:pPr>
              <w:rPr>
                <w:rFonts w:ascii="Arial" w:eastAsia="Cambria" w:hAnsi="Arial" w:cs="Arial"/>
                <w:color w:val="000000"/>
                <w:spacing w:val="-2"/>
                <w:sz w:val="12"/>
                <w:szCs w:val="12"/>
              </w:rPr>
            </w:pPr>
          </w:p>
        </w:tc>
        <w:tc>
          <w:tcPr>
            <w:tcW w:w="1235" w:type="dxa"/>
            <w:tcBorders>
              <w:top w:val="single" w:sz="4" w:space="0" w:color="000000"/>
            </w:tcBorders>
            <w:shd w:val="clear" w:color="auto" w:fill="auto"/>
          </w:tcPr>
          <w:p w14:paraId="27A7FE4C" w14:textId="77777777" w:rsidR="00776554" w:rsidRPr="002D2F67" w:rsidRDefault="00776554" w:rsidP="005611FE">
            <w:pPr>
              <w:ind w:right="-55"/>
              <w:jc w:val="right"/>
              <w:rPr>
                <w:rFonts w:ascii="Arial" w:eastAsia="Cambria" w:hAnsi="Arial" w:cs="Arial"/>
                <w:color w:val="000000"/>
                <w:spacing w:val="-2"/>
                <w:sz w:val="12"/>
                <w:szCs w:val="12"/>
              </w:rPr>
            </w:pPr>
          </w:p>
        </w:tc>
        <w:tc>
          <w:tcPr>
            <w:tcW w:w="1354" w:type="dxa"/>
            <w:tcBorders>
              <w:top w:val="single" w:sz="4" w:space="0" w:color="000000"/>
            </w:tcBorders>
            <w:shd w:val="clear" w:color="auto" w:fill="auto"/>
          </w:tcPr>
          <w:p w14:paraId="72D3633A" w14:textId="77777777" w:rsidR="00776554" w:rsidRPr="002D2F67" w:rsidRDefault="00776554" w:rsidP="005611FE">
            <w:pPr>
              <w:ind w:right="-55"/>
              <w:jc w:val="right"/>
              <w:rPr>
                <w:rFonts w:ascii="Arial" w:eastAsia="Cambria" w:hAnsi="Arial" w:cs="Arial"/>
                <w:color w:val="000000"/>
                <w:spacing w:val="-2"/>
                <w:sz w:val="12"/>
                <w:szCs w:val="12"/>
              </w:rPr>
            </w:pPr>
          </w:p>
        </w:tc>
      </w:tr>
      <w:tr w:rsidR="00776554" w:rsidRPr="002D2F67" w14:paraId="6F1AB8B3" w14:textId="29F1C222" w:rsidTr="00776554">
        <w:tc>
          <w:tcPr>
            <w:tcW w:w="6433" w:type="dxa"/>
            <w:shd w:val="clear" w:color="auto" w:fill="auto"/>
          </w:tcPr>
          <w:p w14:paraId="3D79CC2F" w14:textId="77777777" w:rsidR="00776554" w:rsidRPr="002D2F67" w:rsidRDefault="00776554" w:rsidP="00C3380B">
            <w:pPr>
              <w:rPr>
                <w:rFonts w:ascii="Arial" w:eastAsia="Cambria" w:hAnsi="Arial" w:cs="Arial"/>
                <w:color w:val="000000"/>
                <w:spacing w:val="-2"/>
                <w:sz w:val="20"/>
                <w:szCs w:val="20"/>
              </w:rPr>
            </w:pPr>
            <w:r w:rsidRPr="002D2F67">
              <w:rPr>
                <w:rFonts w:ascii="Arial" w:eastAsia="Cambria" w:hAnsi="Arial" w:cs="Arial"/>
                <w:color w:val="000000"/>
                <w:spacing w:val="-2"/>
                <w:sz w:val="20"/>
                <w:szCs w:val="20"/>
              </w:rPr>
              <w:t>Net debt</w:t>
            </w:r>
          </w:p>
        </w:tc>
        <w:tc>
          <w:tcPr>
            <w:tcW w:w="1235" w:type="dxa"/>
            <w:shd w:val="clear" w:color="auto" w:fill="auto"/>
          </w:tcPr>
          <w:p w14:paraId="049AEDA9" w14:textId="2B68B622" w:rsidR="00776554" w:rsidRPr="002D2F67" w:rsidRDefault="00776554" w:rsidP="00C3380B">
            <w:pPr>
              <w:ind w:right="-55"/>
              <w:jc w:val="right"/>
              <w:rPr>
                <w:rFonts w:ascii="Arial" w:eastAsia="Arial" w:hAnsi="Arial" w:cs="Arial"/>
                <w:color w:val="000000"/>
                <w:sz w:val="20"/>
                <w:szCs w:val="20"/>
              </w:rPr>
            </w:pPr>
            <w:r w:rsidRPr="00CD5714">
              <w:rPr>
                <w:rFonts w:ascii="Arial" w:eastAsia="Arial" w:hAnsi="Arial" w:cs="Arial"/>
                <w:sz w:val="20"/>
                <w:szCs w:val="20"/>
                <w:lang w:val="en-GB"/>
              </w:rPr>
              <w:t>58</w:t>
            </w:r>
            <w:r w:rsidRPr="002D2F67">
              <w:rPr>
                <w:rFonts w:ascii="Arial" w:eastAsia="Arial" w:hAnsi="Arial" w:cs="Arial"/>
                <w:sz w:val="20"/>
                <w:szCs w:val="20"/>
              </w:rPr>
              <w:t>,</w:t>
            </w:r>
            <w:r w:rsidRPr="00CD5714">
              <w:rPr>
                <w:rFonts w:ascii="Arial" w:eastAsia="Arial" w:hAnsi="Arial" w:cs="Arial"/>
                <w:sz w:val="20"/>
                <w:szCs w:val="20"/>
                <w:lang w:val="en-GB"/>
              </w:rPr>
              <w:t>369</w:t>
            </w:r>
          </w:p>
        </w:tc>
        <w:tc>
          <w:tcPr>
            <w:tcW w:w="1354" w:type="dxa"/>
            <w:shd w:val="clear" w:color="auto" w:fill="auto"/>
          </w:tcPr>
          <w:p w14:paraId="469C23EB" w14:textId="2E1A1050" w:rsidR="00776554" w:rsidRPr="002D2F67" w:rsidRDefault="00776554" w:rsidP="00C3380B">
            <w:pPr>
              <w:ind w:right="-55"/>
              <w:jc w:val="right"/>
              <w:rPr>
                <w:rFonts w:ascii="Arial" w:eastAsia="Cambria" w:hAnsi="Arial" w:cs="Arial"/>
                <w:color w:val="000000"/>
                <w:spacing w:val="-2"/>
                <w:sz w:val="20"/>
                <w:szCs w:val="20"/>
              </w:rPr>
            </w:pPr>
            <w:r w:rsidRPr="00CD5714">
              <w:rPr>
                <w:rFonts w:ascii="Arial" w:eastAsia="Cambria" w:hAnsi="Arial" w:cs="Arial"/>
                <w:color w:val="000000"/>
                <w:sz w:val="20"/>
                <w:szCs w:val="20"/>
                <w:lang w:val="en-GB"/>
              </w:rPr>
              <w:t>62</w:t>
            </w:r>
            <w:r w:rsidRPr="002D2F67">
              <w:rPr>
                <w:rFonts w:ascii="Arial" w:eastAsia="Cambria" w:hAnsi="Arial" w:cs="Arial"/>
                <w:color w:val="000000"/>
                <w:sz w:val="20"/>
                <w:szCs w:val="20"/>
              </w:rPr>
              <w:t>,</w:t>
            </w:r>
            <w:r w:rsidRPr="00CD5714">
              <w:rPr>
                <w:rFonts w:ascii="Arial" w:eastAsia="Cambria" w:hAnsi="Arial" w:cs="Arial"/>
                <w:color w:val="000000"/>
                <w:sz w:val="20"/>
                <w:szCs w:val="20"/>
                <w:lang w:val="en-GB"/>
              </w:rPr>
              <w:t>806</w:t>
            </w:r>
          </w:p>
        </w:tc>
      </w:tr>
      <w:tr w:rsidR="00776554" w:rsidRPr="002D2F67" w14:paraId="5FBAA129" w14:textId="744A7735" w:rsidTr="00776554">
        <w:tc>
          <w:tcPr>
            <w:tcW w:w="6433" w:type="dxa"/>
            <w:shd w:val="clear" w:color="auto" w:fill="auto"/>
          </w:tcPr>
          <w:p w14:paraId="0D0C64F1" w14:textId="77777777" w:rsidR="00776554" w:rsidRPr="002D2F67" w:rsidRDefault="00776554" w:rsidP="00C3380B">
            <w:pPr>
              <w:rPr>
                <w:rFonts w:ascii="Arial" w:eastAsia="Cambria" w:hAnsi="Arial" w:cs="Arial"/>
                <w:color w:val="000000"/>
                <w:spacing w:val="-2"/>
                <w:sz w:val="20"/>
                <w:szCs w:val="20"/>
              </w:rPr>
            </w:pPr>
            <w:r w:rsidRPr="002D2F67">
              <w:rPr>
                <w:rFonts w:ascii="Arial" w:eastAsia="Cambria" w:hAnsi="Arial" w:cs="Arial"/>
                <w:color w:val="000000"/>
                <w:spacing w:val="-2"/>
                <w:sz w:val="20"/>
                <w:szCs w:val="20"/>
              </w:rPr>
              <w:t>Equity (including</w:t>
            </w:r>
          </w:p>
          <w:p w14:paraId="6F2C8C0F" w14:textId="3E13100C" w:rsidR="00776554" w:rsidRPr="002D2F67" w:rsidRDefault="00776554" w:rsidP="00C3380B">
            <w:pPr>
              <w:rPr>
                <w:rFonts w:ascii="Arial" w:eastAsia="Cambria" w:hAnsi="Arial" w:cs="Arial"/>
                <w:color w:val="000000"/>
                <w:spacing w:val="-2"/>
                <w:sz w:val="20"/>
                <w:szCs w:val="20"/>
              </w:rPr>
            </w:pPr>
            <w:r w:rsidRPr="002D2F67">
              <w:rPr>
                <w:rFonts w:ascii="Arial" w:eastAsia="Cambria" w:hAnsi="Arial" w:cs="Arial"/>
                <w:color w:val="000000"/>
                <w:spacing w:val="-2"/>
                <w:sz w:val="20"/>
                <w:szCs w:val="20"/>
                <w:cs/>
              </w:rPr>
              <w:t xml:space="preserve">  </w:t>
            </w:r>
            <w:r w:rsidRPr="002D2F67">
              <w:rPr>
                <w:rFonts w:ascii="Arial" w:eastAsia="Cambria" w:hAnsi="Arial" w:cs="Arial"/>
                <w:color w:val="000000"/>
                <w:spacing w:val="-2"/>
                <w:sz w:val="20"/>
                <w:szCs w:val="20"/>
              </w:rPr>
              <w:t xml:space="preserve"> non-controlling interests)</w:t>
            </w:r>
          </w:p>
        </w:tc>
        <w:tc>
          <w:tcPr>
            <w:tcW w:w="1235" w:type="dxa"/>
            <w:tcBorders>
              <w:bottom w:val="single" w:sz="4" w:space="0" w:color="000000"/>
            </w:tcBorders>
            <w:shd w:val="clear" w:color="auto" w:fill="auto"/>
          </w:tcPr>
          <w:p w14:paraId="52EB6D73" w14:textId="77777777" w:rsidR="00776554" w:rsidRPr="002D2F67" w:rsidRDefault="00776554" w:rsidP="00C3380B">
            <w:pPr>
              <w:ind w:right="-55"/>
              <w:jc w:val="right"/>
              <w:rPr>
                <w:rFonts w:ascii="Arial" w:eastAsia="Arial" w:hAnsi="Arial" w:cs="Arial"/>
                <w:sz w:val="20"/>
                <w:szCs w:val="20"/>
              </w:rPr>
            </w:pPr>
          </w:p>
          <w:p w14:paraId="1B05FDFC" w14:textId="5843F402" w:rsidR="00776554" w:rsidRPr="002D2F67" w:rsidRDefault="00776554" w:rsidP="00C3380B">
            <w:pPr>
              <w:ind w:right="-55"/>
              <w:jc w:val="right"/>
              <w:rPr>
                <w:rFonts w:ascii="Arial" w:eastAsia="Arial" w:hAnsi="Arial" w:cs="Arial"/>
                <w:color w:val="000000"/>
                <w:sz w:val="20"/>
                <w:szCs w:val="20"/>
              </w:rPr>
            </w:pPr>
            <w:r w:rsidRPr="00CD5714">
              <w:rPr>
                <w:rFonts w:ascii="Arial" w:eastAsia="Arial" w:hAnsi="Arial" w:cs="Arial"/>
                <w:sz w:val="20"/>
                <w:szCs w:val="20"/>
                <w:lang w:val="en-GB"/>
              </w:rPr>
              <w:t>30</w:t>
            </w:r>
            <w:r w:rsidRPr="002D2F67">
              <w:rPr>
                <w:rFonts w:ascii="Arial" w:eastAsia="Arial" w:hAnsi="Arial" w:cs="Arial"/>
                <w:sz w:val="20"/>
                <w:szCs w:val="20"/>
              </w:rPr>
              <w:t>,</w:t>
            </w:r>
            <w:r w:rsidRPr="00CD5714">
              <w:rPr>
                <w:rFonts w:ascii="Arial" w:eastAsia="Arial" w:hAnsi="Arial" w:cs="Arial"/>
                <w:color w:val="000000"/>
                <w:sz w:val="20"/>
                <w:szCs w:val="20"/>
                <w:lang w:val="en-GB"/>
              </w:rPr>
              <w:t>136</w:t>
            </w:r>
          </w:p>
        </w:tc>
        <w:tc>
          <w:tcPr>
            <w:tcW w:w="1354" w:type="dxa"/>
            <w:tcBorders>
              <w:bottom w:val="single" w:sz="4" w:space="0" w:color="000000"/>
            </w:tcBorders>
            <w:shd w:val="clear" w:color="auto" w:fill="auto"/>
          </w:tcPr>
          <w:p w14:paraId="70182B16" w14:textId="77777777" w:rsidR="00776554" w:rsidRPr="002D2F67" w:rsidRDefault="00776554" w:rsidP="00C3380B">
            <w:pPr>
              <w:ind w:right="-55"/>
              <w:jc w:val="right"/>
              <w:rPr>
                <w:rFonts w:ascii="Arial" w:eastAsia="Cambria" w:hAnsi="Arial" w:cs="Arial"/>
                <w:color w:val="000000"/>
                <w:sz w:val="20"/>
                <w:szCs w:val="20"/>
              </w:rPr>
            </w:pPr>
          </w:p>
          <w:p w14:paraId="4FED5AA1" w14:textId="7BD0D8B0" w:rsidR="00776554" w:rsidRPr="002D2F67" w:rsidRDefault="00776554" w:rsidP="00C3380B">
            <w:pPr>
              <w:ind w:right="-55"/>
              <w:jc w:val="right"/>
              <w:rPr>
                <w:rFonts w:ascii="Arial" w:eastAsia="Cambria" w:hAnsi="Arial" w:cs="Arial"/>
                <w:color w:val="000000"/>
                <w:spacing w:val="-2"/>
                <w:sz w:val="20"/>
                <w:szCs w:val="20"/>
              </w:rPr>
            </w:pPr>
            <w:r w:rsidRPr="00CD5714">
              <w:rPr>
                <w:rFonts w:ascii="Arial" w:eastAsia="Cambria" w:hAnsi="Arial" w:cs="Arial"/>
                <w:color w:val="000000"/>
                <w:sz w:val="20"/>
                <w:szCs w:val="20"/>
                <w:lang w:val="en-GB"/>
              </w:rPr>
              <w:t>44</w:t>
            </w:r>
            <w:r w:rsidRPr="002D2F67">
              <w:rPr>
                <w:rFonts w:ascii="Arial" w:eastAsia="Cambria" w:hAnsi="Arial" w:cs="Arial"/>
                <w:color w:val="000000"/>
                <w:sz w:val="20"/>
                <w:szCs w:val="20"/>
              </w:rPr>
              <w:t>,</w:t>
            </w:r>
            <w:r w:rsidRPr="00CD5714">
              <w:rPr>
                <w:rFonts w:ascii="Arial" w:eastAsia="Cambria" w:hAnsi="Arial" w:cs="Arial"/>
                <w:color w:val="000000"/>
                <w:sz w:val="20"/>
                <w:szCs w:val="20"/>
                <w:lang w:val="en-GB"/>
              </w:rPr>
              <w:t>010</w:t>
            </w:r>
          </w:p>
        </w:tc>
      </w:tr>
      <w:tr w:rsidR="00776554" w:rsidRPr="002D2F67" w14:paraId="1BF3714C" w14:textId="124690D2" w:rsidTr="00776554">
        <w:tc>
          <w:tcPr>
            <w:tcW w:w="6433" w:type="dxa"/>
            <w:shd w:val="clear" w:color="auto" w:fill="auto"/>
          </w:tcPr>
          <w:p w14:paraId="15C59776" w14:textId="77777777" w:rsidR="00776554" w:rsidRPr="002D2F67" w:rsidRDefault="00776554" w:rsidP="005611FE">
            <w:pPr>
              <w:rPr>
                <w:rFonts w:ascii="Arial" w:eastAsia="Cambria" w:hAnsi="Arial" w:cs="Arial"/>
                <w:b/>
                <w:bCs/>
                <w:color w:val="000000"/>
                <w:spacing w:val="-2"/>
                <w:sz w:val="20"/>
                <w:szCs w:val="20"/>
              </w:rPr>
            </w:pPr>
          </w:p>
        </w:tc>
        <w:tc>
          <w:tcPr>
            <w:tcW w:w="1235" w:type="dxa"/>
            <w:tcBorders>
              <w:top w:val="single" w:sz="4" w:space="0" w:color="000000"/>
            </w:tcBorders>
            <w:shd w:val="clear" w:color="auto" w:fill="auto"/>
          </w:tcPr>
          <w:p w14:paraId="58503D1E" w14:textId="77777777" w:rsidR="00776554" w:rsidRPr="002D2F67" w:rsidRDefault="00776554" w:rsidP="005611FE">
            <w:pPr>
              <w:ind w:right="-55"/>
              <w:jc w:val="right"/>
              <w:rPr>
                <w:rFonts w:ascii="Arial" w:eastAsia="Cambria" w:hAnsi="Arial" w:cs="Arial"/>
                <w:b/>
                <w:bCs/>
                <w:color w:val="000000"/>
                <w:spacing w:val="-2"/>
                <w:sz w:val="20"/>
                <w:szCs w:val="20"/>
              </w:rPr>
            </w:pPr>
          </w:p>
        </w:tc>
        <w:tc>
          <w:tcPr>
            <w:tcW w:w="1354" w:type="dxa"/>
            <w:tcBorders>
              <w:top w:val="single" w:sz="4" w:space="0" w:color="000000"/>
            </w:tcBorders>
            <w:shd w:val="clear" w:color="auto" w:fill="auto"/>
          </w:tcPr>
          <w:p w14:paraId="19458B08" w14:textId="77777777" w:rsidR="00776554" w:rsidRPr="002D2F67" w:rsidRDefault="00776554" w:rsidP="005611FE">
            <w:pPr>
              <w:ind w:right="-55"/>
              <w:jc w:val="right"/>
              <w:rPr>
                <w:rFonts w:ascii="Arial" w:eastAsia="Cambria" w:hAnsi="Arial" w:cs="Arial"/>
                <w:b/>
                <w:bCs/>
                <w:color w:val="000000"/>
                <w:spacing w:val="-2"/>
                <w:sz w:val="20"/>
                <w:szCs w:val="20"/>
              </w:rPr>
            </w:pPr>
          </w:p>
        </w:tc>
      </w:tr>
      <w:tr w:rsidR="00776554" w:rsidRPr="002D2F67" w14:paraId="0AFA4561" w14:textId="6D6F953B" w:rsidTr="00776554">
        <w:tc>
          <w:tcPr>
            <w:tcW w:w="6433" w:type="dxa"/>
            <w:shd w:val="clear" w:color="auto" w:fill="auto"/>
          </w:tcPr>
          <w:p w14:paraId="654E3DB5" w14:textId="77777777" w:rsidR="00776554" w:rsidRPr="002D2F67" w:rsidRDefault="00776554" w:rsidP="005611FE">
            <w:pPr>
              <w:rPr>
                <w:rFonts w:ascii="Arial" w:eastAsia="Cambria" w:hAnsi="Arial" w:cs="Arial"/>
                <w:b/>
                <w:bCs/>
                <w:color w:val="000000"/>
                <w:spacing w:val="-2"/>
                <w:sz w:val="20"/>
                <w:szCs w:val="20"/>
              </w:rPr>
            </w:pPr>
            <w:r w:rsidRPr="002D2F67">
              <w:rPr>
                <w:rFonts w:ascii="Arial" w:eastAsia="Cambria" w:hAnsi="Arial" w:cs="Arial"/>
                <w:b/>
                <w:bCs/>
                <w:color w:val="000000"/>
                <w:spacing w:val="-2"/>
                <w:sz w:val="20"/>
                <w:szCs w:val="20"/>
              </w:rPr>
              <w:t>Net debt to equity ratio</w:t>
            </w:r>
          </w:p>
        </w:tc>
        <w:tc>
          <w:tcPr>
            <w:tcW w:w="1235" w:type="dxa"/>
            <w:tcBorders>
              <w:bottom w:val="single" w:sz="4" w:space="0" w:color="auto"/>
            </w:tcBorders>
            <w:shd w:val="clear" w:color="auto" w:fill="auto"/>
          </w:tcPr>
          <w:p w14:paraId="05A24570" w14:textId="3505E75C" w:rsidR="00776554" w:rsidRPr="002D2F67" w:rsidRDefault="00776554" w:rsidP="005611FE">
            <w:pPr>
              <w:ind w:right="-55"/>
              <w:jc w:val="right"/>
              <w:rPr>
                <w:rFonts w:ascii="Arial" w:eastAsia="Cambria" w:hAnsi="Arial" w:cs="Arial"/>
                <w:b/>
                <w:bCs/>
                <w:color w:val="000000"/>
                <w:spacing w:val="-2"/>
                <w:sz w:val="20"/>
                <w:szCs w:val="20"/>
              </w:rPr>
            </w:pPr>
            <w:r w:rsidRPr="00CD5714">
              <w:rPr>
                <w:rFonts w:ascii="Arial" w:eastAsia="Cambria" w:hAnsi="Arial" w:cs="Arial"/>
                <w:b/>
                <w:bCs/>
                <w:color w:val="000000"/>
                <w:spacing w:val="-2"/>
                <w:sz w:val="20"/>
                <w:szCs w:val="20"/>
                <w:lang w:val="en-GB"/>
              </w:rPr>
              <w:t>1</w:t>
            </w:r>
            <w:r w:rsidRPr="002D2F67">
              <w:rPr>
                <w:rFonts w:ascii="Arial" w:eastAsia="Cambria" w:hAnsi="Arial" w:cs="Arial"/>
                <w:b/>
                <w:bCs/>
                <w:color w:val="000000"/>
                <w:spacing w:val="-2"/>
                <w:sz w:val="20"/>
                <w:szCs w:val="20"/>
              </w:rPr>
              <w:t>.</w:t>
            </w:r>
            <w:r w:rsidRPr="00CD5714">
              <w:rPr>
                <w:rFonts w:ascii="Arial" w:eastAsia="Cambria" w:hAnsi="Arial" w:cs="Arial"/>
                <w:b/>
                <w:bCs/>
                <w:color w:val="000000"/>
                <w:spacing w:val="-2"/>
                <w:sz w:val="20"/>
                <w:szCs w:val="20"/>
                <w:lang w:val="en-GB"/>
              </w:rPr>
              <w:t>94</w:t>
            </w:r>
          </w:p>
        </w:tc>
        <w:tc>
          <w:tcPr>
            <w:tcW w:w="1354" w:type="dxa"/>
            <w:tcBorders>
              <w:bottom w:val="single" w:sz="4" w:space="0" w:color="auto"/>
            </w:tcBorders>
            <w:shd w:val="clear" w:color="auto" w:fill="auto"/>
          </w:tcPr>
          <w:p w14:paraId="3D4E96C1" w14:textId="15A7AEC0" w:rsidR="00776554" w:rsidRPr="002D2F67" w:rsidRDefault="00776554" w:rsidP="005611FE">
            <w:pPr>
              <w:ind w:right="-55"/>
              <w:jc w:val="right"/>
              <w:rPr>
                <w:rFonts w:ascii="Arial" w:eastAsia="Cambria" w:hAnsi="Arial" w:cs="Arial"/>
                <w:b/>
                <w:bCs/>
                <w:color w:val="000000"/>
                <w:spacing w:val="-2"/>
                <w:sz w:val="20"/>
                <w:szCs w:val="20"/>
              </w:rPr>
            </w:pPr>
            <w:r w:rsidRPr="00CD5714">
              <w:rPr>
                <w:rFonts w:ascii="Arial" w:eastAsia="Cambria" w:hAnsi="Arial" w:cs="Arial"/>
                <w:b/>
                <w:bCs/>
                <w:color w:val="000000"/>
                <w:sz w:val="20"/>
                <w:szCs w:val="20"/>
                <w:lang w:val="en-GB"/>
              </w:rPr>
              <w:t>1</w:t>
            </w:r>
            <w:r w:rsidRPr="002D2F67">
              <w:rPr>
                <w:rFonts w:ascii="Arial" w:eastAsia="Cambria" w:hAnsi="Arial" w:cs="Arial"/>
                <w:b/>
                <w:bCs/>
                <w:color w:val="000000"/>
                <w:sz w:val="20"/>
                <w:szCs w:val="20"/>
              </w:rPr>
              <w:t>.</w:t>
            </w:r>
            <w:r w:rsidRPr="00CD5714">
              <w:rPr>
                <w:rFonts w:ascii="Arial" w:eastAsia="Cambria" w:hAnsi="Arial" w:cs="Arial"/>
                <w:b/>
                <w:bCs/>
                <w:color w:val="000000"/>
                <w:sz w:val="20"/>
                <w:szCs w:val="20"/>
                <w:lang w:val="en-GB"/>
              </w:rPr>
              <w:t>43</w:t>
            </w:r>
          </w:p>
        </w:tc>
      </w:tr>
    </w:tbl>
    <w:p w14:paraId="4F229E56" w14:textId="77777777" w:rsidR="00706C8B" w:rsidRPr="002D2F67" w:rsidRDefault="00706C8B" w:rsidP="00603A7C">
      <w:pPr>
        <w:keepNext/>
        <w:keepLines/>
        <w:tabs>
          <w:tab w:val="left" w:pos="585"/>
        </w:tabs>
        <w:ind w:left="540"/>
        <w:outlineLvl w:val="2"/>
        <w:rPr>
          <w:rFonts w:ascii="Arial" w:eastAsia="Arial" w:hAnsi="Arial" w:cs="Arial"/>
          <w:bCs/>
          <w:color w:val="000000"/>
          <w:sz w:val="16"/>
          <w:szCs w:val="16"/>
        </w:rPr>
      </w:pPr>
    </w:p>
    <w:p w14:paraId="4C1FAD8A" w14:textId="36575347" w:rsidR="00603A7C" w:rsidRPr="002D2F67" w:rsidRDefault="00603A7C" w:rsidP="00603A7C">
      <w:pPr>
        <w:keepNext/>
        <w:keepLines/>
        <w:tabs>
          <w:tab w:val="left" w:pos="585"/>
        </w:tabs>
        <w:ind w:left="540"/>
        <w:outlineLvl w:val="2"/>
        <w:rPr>
          <w:rFonts w:ascii="Arial" w:eastAsia="Arial" w:hAnsi="Arial" w:cs="Arial"/>
          <w:b/>
          <w:color w:val="000000"/>
          <w:sz w:val="20"/>
          <w:szCs w:val="20"/>
        </w:rPr>
      </w:pPr>
      <w:r w:rsidRPr="002D2F67">
        <w:rPr>
          <w:rFonts w:ascii="Arial" w:eastAsia="Arial" w:hAnsi="Arial" w:cs="Arial"/>
          <w:b/>
          <w:color w:val="000000"/>
          <w:sz w:val="20"/>
          <w:szCs w:val="20"/>
        </w:rPr>
        <w:t>Loan covenants</w:t>
      </w:r>
    </w:p>
    <w:p w14:paraId="09AAC09F" w14:textId="77777777" w:rsidR="00603A7C" w:rsidRPr="002D2F67" w:rsidRDefault="00603A7C" w:rsidP="00603A7C">
      <w:pPr>
        <w:keepNext/>
        <w:keepLines/>
        <w:tabs>
          <w:tab w:val="left" w:pos="585"/>
        </w:tabs>
        <w:ind w:left="540"/>
        <w:outlineLvl w:val="2"/>
        <w:rPr>
          <w:rFonts w:ascii="Arial" w:eastAsia="Arial" w:hAnsi="Arial" w:cs="Arial"/>
          <w:bCs/>
          <w:color w:val="000000"/>
          <w:sz w:val="16"/>
          <w:szCs w:val="16"/>
        </w:rPr>
      </w:pPr>
    </w:p>
    <w:p w14:paraId="5220F1D5" w14:textId="119880C9" w:rsidR="00603A7C" w:rsidRPr="002D2F67" w:rsidRDefault="00603A7C" w:rsidP="00603A7C">
      <w:pPr>
        <w:keepNext/>
        <w:keepLines/>
        <w:tabs>
          <w:tab w:val="left" w:pos="585"/>
        </w:tabs>
        <w:ind w:left="540"/>
        <w:jc w:val="both"/>
        <w:outlineLvl w:val="2"/>
        <w:rPr>
          <w:rFonts w:ascii="Arial" w:eastAsia="Arial" w:hAnsi="Arial" w:cs="Arial"/>
          <w:color w:val="000000"/>
          <w:spacing w:val="-4"/>
          <w:sz w:val="20"/>
          <w:szCs w:val="20"/>
        </w:rPr>
      </w:pPr>
      <w:r w:rsidRPr="002D2F67">
        <w:rPr>
          <w:rFonts w:ascii="Arial" w:eastAsia="Arial" w:hAnsi="Arial" w:cs="Arial"/>
          <w:color w:val="000000"/>
          <w:spacing w:val="-4"/>
          <w:sz w:val="20"/>
          <w:szCs w:val="20"/>
        </w:rPr>
        <w:t>Under the terms of the bank loans, the Group is required to comply with the following financial covenants:</w:t>
      </w:r>
    </w:p>
    <w:p w14:paraId="3D69741E" w14:textId="77777777" w:rsidR="00603A7C" w:rsidRPr="002D2F67" w:rsidRDefault="00603A7C" w:rsidP="00603A7C">
      <w:pPr>
        <w:keepNext/>
        <w:keepLines/>
        <w:tabs>
          <w:tab w:val="left" w:pos="585"/>
        </w:tabs>
        <w:ind w:left="540"/>
        <w:jc w:val="both"/>
        <w:outlineLvl w:val="2"/>
        <w:rPr>
          <w:rFonts w:ascii="Arial" w:eastAsia="Arial" w:hAnsi="Arial" w:cs="Arial"/>
          <w:bCs/>
          <w:color w:val="000000"/>
          <w:spacing w:val="4"/>
          <w:sz w:val="16"/>
          <w:szCs w:val="16"/>
        </w:rPr>
      </w:pPr>
    </w:p>
    <w:p w14:paraId="0601B905" w14:textId="61531F13" w:rsidR="007E5EDE" w:rsidRPr="002D2F67" w:rsidRDefault="007E5EDE" w:rsidP="007E5EDE">
      <w:pPr>
        <w:pStyle w:val="ListParagraph"/>
        <w:numPr>
          <w:ilvl w:val="0"/>
          <w:numId w:val="42"/>
        </w:numPr>
        <w:tabs>
          <w:tab w:val="left" w:pos="851"/>
        </w:tabs>
        <w:spacing w:after="0" w:line="240" w:lineRule="auto"/>
        <w:ind w:left="851" w:hanging="284"/>
        <w:contextualSpacing w:val="0"/>
        <w:jc w:val="thaiDistribute"/>
        <w:rPr>
          <w:rFonts w:ascii="Arial" w:hAnsi="Arial" w:cs="Arial"/>
          <w:sz w:val="20"/>
          <w:szCs w:val="20"/>
        </w:rPr>
      </w:pPr>
      <w:r w:rsidRPr="002D2F67">
        <w:rPr>
          <w:rFonts w:ascii="Arial" w:hAnsi="Arial" w:cs="Arial"/>
          <w:sz w:val="20"/>
          <w:szCs w:val="20"/>
        </w:rPr>
        <w:t xml:space="preserve">the debt-to-equity ratio must be not more than </w:t>
      </w:r>
      <w:r w:rsidR="00CD5714" w:rsidRPr="00CD5714">
        <w:rPr>
          <w:rFonts w:ascii="Arial" w:hAnsi="Arial" w:cs="Arial"/>
          <w:sz w:val="20"/>
          <w:szCs w:val="20"/>
          <w:lang w:val="en-GB"/>
        </w:rPr>
        <w:t>3</w:t>
      </w:r>
      <w:r w:rsidRPr="002D2F67">
        <w:rPr>
          <w:rFonts w:ascii="Arial" w:hAnsi="Arial" w:cs="Arial"/>
          <w:sz w:val="20"/>
          <w:szCs w:val="20"/>
        </w:rPr>
        <w:t>.</w:t>
      </w:r>
      <w:r w:rsidR="00CD5714" w:rsidRPr="00CD5714">
        <w:rPr>
          <w:rFonts w:ascii="Arial" w:hAnsi="Arial" w:cs="Arial"/>
          <w:sz w:val="20"/>
          <w:szCs w:val="20"/>
          <w:lang w:val="en-GB"/>
        </w:rPr>
        <w:t>5</w:t>
      </w:r>
      <w:r w:rsidRPr="002D2F67">
        <w:rPr>
          <w:rFonts w:ascii="Arial" w:hAnsi="Arial" w:cs="Arial"/>
          <w:sz w:val="20"/>
          <w:szCs w:val="20"/>
        </w:rPr>
        <w:t>:</w:t>
      </w:r>
      <w:r w:rsidR="00CD5714" w:rsidRPr="00CD5714">
        <w:rPr>
          <w:rFonts w:ascii="Arial" w:hAnsi="Arial" w:cs="Arial"/>
          <w:sz w:val="20"/>
          <w:szCs w:val="20"/>
          <w:lang w:val="en-GB"/>
        </w:rPr>
        <w:t>1</w:t>
      </w:r>
      <w:r w:rsidRPr="002D2F67">
        <w:rPr>
          <w:rFonts w:ascii="Arial" w:hAnsi="Arial" w:cs="Arial"/>
          <w:sz w:val="20"/>
          <w:szCs w:val="20"/>
        </w:rPr>
        <w:t>, and</w:t>
      </w:r>
    </w:p>
    <w:p w14:paraId="0B23ADEA" w14:textId="3279F1A1" w:rsidR="007E5EDE" w:rsidRPr="002D2F67" w:rsidRDefault="007E5EDE" w:rsidP="007E5EDE">
      <w:pPr>
        <w:pStyle w:val="ListParagraph"/>
        <w:numPr>
          <w:ilvl w:val="0"/>
          <w:numId w:val="42"/>
        </w:numPr>
        <w:tabs>
          <w:tab w:val="left" w:pos="851"/>
        </w:tabs>
        <w:spacing w:after="0" w:line="240" w:lineRule="auto"/>
        <w:ind w:left="851" w:hanging="284"/>
        <w:contextualSpacing w:val="0"/>
        <w:jc w:val="thaiDistribute"/>
        <w:rPr>
          <w:rFonts w:ascii="Arial" w:hAnsi="Arial" w:cs="Arial"/>
          <w:sz w:val="20"/>
          <w:szCs w:val="20"/>
        </w:rPr>
      </w:pPr>
      <w:r w:rsidRPr="002D2F67">
        <w:rPr>
          <w:rFonts w:ascii="Arial" w:hAnsi="Arial" w:cs="Arial"/>
          <w:sz w:val="20"/>
          <w:szCs w:val="20"/>
        </w:rPr>
        <w:t xml:space="preserve">the debt service coverage ratio must be not more than </w:t>
      </w:r>
      <w:r w:rsidR="00CD5714" w:rsidRPr="00CD5714">
        <w:rPr>
          <w:rFonts w:ascii="Arial" w:hAnsi="Arial" w:cs="Arial"/>
          <w:sz w:val="20"/>
          <w:szCs w:val="20"/>
          <w:lang w:val="en-GB"/>
        </w:rPr>
        <w:t>1</w:t>
      </w:r>
      <w:r w:rsidR="000A0A79" w:rsidRPr="002D2F67">
        <w:rPr>
          <w:rFonts w:ascii="Arial" w:hAnsi="Arial" w:cs="Arial"/>
          <w:sz w:val="20"/>
          <w:szCs w:val="20"/>
        </w:rPr>
        <w:t>.</w:t>
      </w:r>
      <w:r w:rsidR="00CD5714" w:rsidRPr="00CD5714">
        <w:rPr>
          <w:rFonts w:ascii="Arial" w:hAnsi="Arial" w:cs="Arial"/>
          <w:sz w:val="20"/>
          <w:szCs w:val="20"/>
          <w:lang w:val="en-GB"/>
        </w:rPr>
        <w:t>05</w:t>
      </w:r>
      <w:r w:rsidR="000A0A79" w:rsidRPr="002D2F67">
        <w:rPr>
          <w:rFonts w:ascii="Arial" w:hAnsi="Arial" w:cs="Arial"/>
          <w:sz w:val="20"/>
          <w:szCs w:val="20"/>
        </w:rPr>
        <w:t xml:space="preserve"> and </w:t>
      </w:r>
      <w:r w:rsidR="00CD5714" w:rsidRPr="00CD5714">
        <w:rPr>
          <w:rFonts w:ascii="Arial" w:hAnsi="Arial" w:cs="Arial"/>
          <w:sz w:val="20"/>
          <w:szCs w:val="20"/>
          <w:lang w:val="en-GB"/>
        </w:rPr>
        <w:t>1</w:t>
      </w:r>
      <w:r w:rsidR="000A0A79" w:rsidRPr="002D2F67">
        <w:rPr>
          <w:rFonts w:ascii="Arial" w:hAnsi="Arial" w:cs="Arial"/>
          <w:sz w:val="20"/>
          <w:szCs w:val="20"/>
        </w:rPr>
        <w:t>.</w:t>
      </w:r>
      <w:r w:rsidR="00CD5714" w:rsidRPr="00CD5714">
        <w:rPr>
          <w:rFonts w:ascii="Arial" w:hAnsi="Arial" w:cs="Arial"/>
          <w:sz w:val="20"/>
          <w:szCs w:val="20"/>
          <w:lang w:val="en-GB"/>
        </w:rPr>
        <w:t>10</w:t>
      </w:r>
    </w:p>
    <w:p w14:paraId="72D3AD37" w14:textId="77777777" w:rsidR="007E5EDE" w:rsidRPr="002D2F67" w:rsidRDefault="007E5EDE" w:rsidP="007E5EDE">
      <w:pPr>
        <w:tabs>
          <w:tab w:val="left" w:pos="1891"/>
        </w:tabs>
        <w:ind w:left="1080"/>
        <w:jc w:val="thaiDistribute"/>
        <w:rPr>
          <w:rFonts w:ascii="Arial" w:hAnsi="Arial" w:cs="Arial"/>
          <w:sz w:val="16"/>
          <w:szCs w:val="16"/>
        </w:rPr>
      </w:pPr>
    </w:p>
    <w:p w14:paraId="3DA91490" w14:textId="0F771452" w:rsidR="007E5EDE" w:rsidRPr="002D2F67" w:rsidRDefault="007E5EDE" w:rsidP="00706C8B">
      <w:pPr>
        <w:keepNext/>
        <w:keepLines/>
        <w:tabs>
          <w:tab w:val="left" w:pos="540"/>
        </w:tabs>
        <w:ind w:left="540"/>
        <w:jc w:val="both"/>
        <w:outlineLvl w:val="2"/>
        <w:rPr>
          <w:rFonts w:ascii="Arial" w:eastAsia="Arial" w:hAnsi="Arial" w:cs="Arial"/>
          <w:color w:val="000000"/>
          <w:spacing w:val="-4"/>
          <w:sz w:val="20"/>
          <w:szCs w:val="20"/>
        </w:rPr>
      </w:pPr>
      <w:r w:rsidRPr="002D2F67">
        <w:rPr>
          <w:rFonts w:ascii="Arial" w:eastAsia="Arial" w:hAnsi="Arial" w:cs="Arial"/>
          <w:color w:val="000000"/>
          <w:spacing w:val="-4"/>
          <w:sz w:val="20"/>
          <w:szCs w:val="20"/>
        </w:rPr>
        <w:t>The Group has complied with these covenants throughout the reporting period.</w:t>
      </w:r>
    </w:p>
    <w:p w14:paraId="3F835C5D" w14:textId="77777777" w:rsidR="00603A7C" w:rsidRPr="002D2F67" w:rsidRDefault="00603A7C" w:rsidP="00603A7C">
      <w:pPr>
        <w:keepNext/>
        <w:keepLines/>
        <w:tabs>
          <w:tab w:val="left" w:pos="585"/>
        </w:tabs>
        <w:ind w:left="540"/>
        <w:jc w:val="both"/>
        <w:outlineLvl w:val="2"/>
        <w:rPr>
          <w:rFonts w:ascii="Arial" w:eastAsia="Arial" w:hAnsi="Arial" w:cs="Arial"/>
          <w:bCs/>
          <w:color w:val="000000"/>
          <w:spacing w:val="4"/>
          <w:sz w:val="20"/>
          <w:szCs w:val="20"/>
        </w:rPr>
      </w:pPr>
    </w:p>
    <w:p w14:paraId="125D48F5" w14:textId="691D10E1" w:rsidR="00603A7C" w:rsidRPr="002D2F67" w:rsidRDefault="00603A7C" w:rsidP="00603A7C">
      <w:pPr>
        <w:keepNext/>
        <w:keepLines/>
        <w:tabs>
          <w:tab w:val="left" w:pos="585"/>
        </w:tabs>
        <w:ind w:left="540"/>
        <w:jc w:val="both"/>
        <w:outlineLvl w:val="2"/>
        <w:rPr>
          <w:rFonts w:ascii="Arial" w:eastAsia="Arial" w:hAnsi="Arial" w:cs="Arial"/>
          <w:bCs/>
          <w:color w:val="000000"/>
          <w:spacing w:val="4"/>
          <w:sz w:val="20"/>
          <w:szCs w:val="20"/>
        </w:rPr>
        <w:sectPr w:rsidR="00603A7C" w:rsidRPr="002D2F67" w:rsidSect="002A66C6">
          <w:pgSz w:w="11906" w:h="16838" w:code="9"/>
          <w:pgMar w:top="1440" w:right="720" w:bottom="720" w:left="1728" w:header="706" w:footer="706" w:gutter="0"/>
          <w:pgNumType w:start="30"/>
          <w:cols w:space="720"/>
        </w:sectPr>
      </w:pPr>
    </w:p>
    <w:p w14:paraId="1FC48C90" w14:textId="0A2D967E" w:rsidR="00FF408A" w:rsidRPr="002D2F67" w:rsidRDefault="00FF408A" w:rsidP="005611FE">
      <w:pPr>
        <w:pStyle w:val="BodyTextIndent2"/>
        <w:spacing w:line="240" w:lineRule="auto"/>
        <w:ind w:left="0"/>
        <w:jc w:val="left"/>
        <w:rPr>
          <w:rFonts w:ascii="Arial" w:hAnsi="Arial" w:cs="Arial"/>
          <w:spacing w:val="-2"/>
        </w:rPr>
      </w:pPr>
    </w:p>
    <w:p w14:paraId="6B71E326" w14:textId="20EC7512" w:rsidR="00084462"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7</w:t>
      </w:r>
      <w:r w:rsidR="00084462" w:rsidRPr="002D2F67">
        <w:rPr>
          <w:rFonts w:ascii="Arial" w:hAnsi="Arial" w:cs="Arial"/>
          <w:b/>
          <w:bCs/>
          <w:color w:val="000000"/>
          <w:kern w:val="26"/>
          <w:position w:val="-24"/>
          <w:sz w:val="20"/>
          <w:szCs w:val="20"/>
          <w:cs/>
        </w:rPr>
        <w:tab/>
      </w:r>
      <w:r w:rsidR="00084462" w:rsidRPr="002D2F67">
        <w:rPr>
          <w:rFonts w:ascii="Arial" w:hAnsi="Arial" w:cs="Arial"/>
          <w:b/>
          <w:bCs/>
          <w:color w:val="000000"/>
          <w:kern w:val="26"/>
          <w:position w:val="-24"/>
          <w:sz w:val="20"/>
          <w:szCs w:val="20"/>
        </w:rPr>
        <w:t>Fair value</w:t>
      </w:r>
    </w:p>
    <w:p w14:paraId="11F315F3" w14:textId="359DCB44" w:rsidR="00FF408A" w:rsidRPr="002D2F67" w:rsidRDefault="00FF408A" w:rsidP="005611FE">
      <w:pPr>
        <w:pStyle w:val="BodyTextIndent2"/>
        <w:spacing w:line="240" w:lineRule="auto"/>
        <w:ind w:left="0"/>
        <w:jc w:val="left"/>
        <w:rPr>
          <w:rFonts w:ascii="Arial" w:hAnsi="Arial" w:cs="Arial"/>
          <w:spacing w:val="-2"/>
        </w:rPr>
      </w:pPr>
    </w:p>
    <w:p w14:paraId="2FFCEBF7" w14:textId="44389F3A" w:rsidR="00FF408A" w:rsidRPr="002D2F67" w:rsidRDefault="00FF408A" w:rsidP="005611FE">
      <w:pPr>
        <w:jc w:val="both"/>
        <w:rPr>
          <w:rFonts w:ascii="Arial" w:eastAsia="Arial Unicode MS" w:hAnsi="Arial" w:cs="Arial"/>
          <w:color w:val="000000"/>
          <w:sz w:val="20"/>
          <w:szCs w:val="20"/>
        </w:rPr>
      </w:pPr>
      <w:r w:rsidRPr="002D2F67">
        <w:rPr>
          <w:rFonts w:ascii="Arial" w:eastAsia="Arial Unicode MS" w:hAnsi="Arial" w:cs="Arial"/>
          <w:color w:val="000000"/>
          <w:sz w:val="20"/>
          <w:szCs w:val="20"/>
        </w:rPr>
        <w:t>The following table</w:t>
      </w:r>
      <w:r w:rsidR="004647F5" w:rsidRPr="002D2F67">
        <w:rPr>
          <w:rFonts w:ascii="Arial" w:eastAsia="Arial Unicode MS" w:hAnsi="Arial" w:cs="Arial"/>
          <w:color w:val="000000"/>
          <w:sz w:val="20"/>
          <w:szCs w:val="20"/>
        </w:rPr>
        <w:t>s</w:t>
      </w:r>
      <w:r w:rsidRPr="002D2F67">
        <w:rPr>
          <w:rFonts w:ascii="Arial" w:eastAsia="Arial Unicode MS" w:hAnsi="Arial" w:cs="Arial"/>
          <w:color w:val="000000"/>
          <w:sz w:val="20"/>
          <w:szCs w:val="20"/>
        </w:rPr>
        <w:t xml:space="preserve"> present financial assets and liabilities that are measured at fair value </w:t>
      </w:r>
      <w:r w:rsidR="008C14EE" w:rsidRPr="002D2F67">
        <w:rPr>
          <w:rFonts w:ascii="Arial" w:eastAsia="Arial Unicode MS" w:hAnsi="Arial" w:cs="Arial"/>
          <w:color w:val="000000"/>
          <w:sz w:val="20"/>
          <w:szCs w:val="20"/>
        </w:rPr>
        <w:t xml:space="preserve">and book value </w:t>
      </w:r>
      <w:r w:rsidRPr="002D2F67">
        <w:rPr>
          <w:rFonts w:ascii="Arial" w:eastAsia="Arial Unicode MS" w:hAnsi="Arial" w:cs="Arial"/>
          <w:color w:val="000000"/>
          <w:sz w:val="20"/>
          <w:szCs w:val="20"/>
        </w:rPr>
        <w:t>in each level including fair value</w:t>
      </w:r>
      <w:r w:rsidRPr="002D2F67">
        <w:rPr>
          <w:rFonts w:ascii="Arial" w:eastAsia="Arial Unicode MS" w:hAnsi="Arial" w:cs="Arial"/>
          <w:color w:val="000000"/>
          <w:sz w:val="20"/>
          <w:szCs w:val="20"/>
          <w:cs/>
        </w:rPr>
        <w:t xml:space="preserve"> </w:t>
      </w:r>
      <w:r w:rsidRPr="002D2F67">
        <w:rPr>
          <w:rFonts w:ascii="Arial" w:eastAsia="Arial Unicode MS" w:hAnsi="Arial" w:cs="Arial"/>
          <w:color w:val="000000"/>
          <w:sz w:val="20"/>
          <w:szCs w:val="20"/>
        </w:rPr>
        <w:t>of financial assets and liabilities. The table</w:t>
      </w:r>
      <w:r w:rsidR="008C14EE" w:rsidRPr="002D2F67">
        <w:rPr>
          <w:rFonts w:ascii="Arial" w:eastAsia="Arial Unicode MS" w:hAnsi="Arial" w:cs="Arial"/>
          <w:color w:val="000000"/>
          <w:sz w:val="20"/>
          <w:szCs w:val="20"/>
        </w:rPr>
        <w:t>s</w:t>
      </w:r>
      <w:r w:rsidRPr="002D2F67">
        <w:rPr>
          <w:rFonts w:ascii="Arial" w:eastAsia="Arial Unicode MS" w:hAnsi="Arial" w:cs="Arial"/>
          <w:color w:val="000000"/>
          <w:sz w:val="20"/>
          <w:szCs w:val="20"/>
        </w:rPr>
        <w:t xml:space="preserve"> exclude financial assets and liabilities measured at amortised cost where their carrying value approximated fair value. </w:t>
      </w:r>
    </w:p>
    <w:p w14:paraId="14F53F46" w14:textId="77777777" w:rsidR="00FF408A" w:rsidRPr="002D2F67" w:rsidRDefault="00FF408A" w:rsidP="005611FE">
      <w:pPr>
        <w:ind w:right="36"/>
        <w:jc w:val="thaiDistribute"/>
        <w:rPr>
          <w:rFonts w:ascii="Arial" w:hAnsi="Arial" w:cs="Arial"/>
          <w:color w:val="000000"/>
          <w:sz w:val="20"/>
          <w:szCs w:val="20"/>
        </w:rPr>
      </w:pPr>
    </w:p>
    <w:tbl>
      <w:tblPr>
        <w:tblW w:w="14271" w:type="dxa"/>
        <w:tblInd w:w="108" w:type="dxa"/>
        <w:tblLayout w:type="fixed"/>
        <w:tblLook w:val="04A0" w:firstRow="1" w:lastRow="0" w:firstColumn="1" w:lastColumn="0" w:noHBand="0" w:noVBand="1"/>
      </w:tblPr>
      <w:tblGrid>
        <w:gridCol w:w="4253"/>
        <w:gridCol w:w="992"/>
        <w:gridCol w:w="1843"/>
        <w:gridCol w:w="1984"/>
        <w:gridCol w:w="1728"/>
        <w:gridCol w:w="1728"/>
        <w:gridCol w:w="1743"/>
      </w:tblGrid>
      <w:tr w:rsidR="00FF408A" w:rsidRPr="002D2F67" w14:paraId="4FCBBE2F" w14:textId="77777777" w:rsidTr="00C57CB9">
        <w:trPr>
          <w:trHeight w:val="20"/>
        </w:trPr>
        <w:tc>
          <w:tcPr>
            <w:tcW w:w="4253" w:type="dxa"/>
            <w:shd w:val="clear" w:color="auto" w:fill="auto"/>
            <w:vAlign w:val="bottom"/>
          </w:tcPr>
          <w:p w14:paraId="1F89110F" w14:textId="77777777" w:rsidR="00FF408A" w:rsidRPr="002D2F67" w:rsidRDefault="00FF408A" w:rsidP="005611FE">
            <w:pPr>
              <w:ind w:left="-101"/>
              <w:rPr>
                <w:rFonts w:ascii="Arial" w:eastAsia="Arial Unicode MS" w:hAnsi="Arial" w:cs="Arial"/>
                <w:color w:val="000000"/>
                <w:sz w:val="20"/>
                <w:szCs w:val="20"/>
              </w:rPr>
            </w:pPr>
          </w:p>
        </w:tc>
        <w:tc>
          <w:tcPr>
            <w:tcW w:w="10013" w:type="dxa"/>
            <w:gridSpan w:val="6"/>
            <w:tcBorders>
              <w:bottom w:val="single" w:sz="4" w:space="0" w:color="auto"/>
            </w:tcBorders>
            <w:shd w:val="clear" w:color="auto" w:fill="auto"/>
            <w:vAlign w:val="bottom"/>
          </w:tcPr>
          <w:p w14:paraId="686041DE" w14:textId="77777777" w:rsidR="00FF408A" w:rsidRPr="002D2F67" w:rsidRDefault="00FF408A" w:rsidP="005611FE">
            <w:pPr>
              <w:ind w:right="-68"/>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 xml:space="preserve">Consolidated financial </w:t>
            </w:r>
            <w:r w:rsidR="007F1766" w:rsidRPr="002D2F67">
              <w:rPr>
                <w:rFonts w:ascii="Arial" w:eastAsia="Arial Unicode MS" w:hAnsi="Arial" w:cs="Arial"/>
                <w:b/>
                <w:bCs/>
                <w:color w:val="000000"/>
                <w:sz w:val="20"/>
                <w:szCs w:val="20"/>
              </w:rPr>
              <w:t>statements</w:t>
            </w:r>
          </w:p>
        </w:tc>
      </w:tr>
      <w:tr w:rsidR="00FF408A" w:rsidRPr="002D2F67" w14:paraId="27F2D9D4" w14:textId="77777777" w:rsidTr="00C57CB9">
        <w:trPr>
          <w:trHeight w:val="20"/>
        </w:trPr>
        <w:tc>
          <w:tcPr>
            <w:tcW w:w="4253" w:type="dxa"/>
            <w:shd w:val="clear" w:color="auto" w:fill="auto"/>
            <w:vAlign w:val="bottom"/>
          </w:tcPr>
          <w:p w14:paraId="564BF76D" w14:textId="77777777" w:rsidR="00FF408A" w:rsidRPr="002D2F67" w:rsidRDefault="00FF408A" w:rsidP="005611FE">
            <w:pPr>
              <w:ind w:left="-101"/>
              <w:rPr>
                <w:rFonts w:ascii="Arial" w:eastAsia="Arial Unicode MS" w:hAnsi="Arial" w:cs="Arial"/>
                <w:color w:val="000000"/>
                <w:sz w:val="20"/>
                <w:szCs w:val="20"/>
              </w:rPr>
            </w:pPr>
          </w:p>
        </w:tc>
        <w:tc>
          <w:tcPr>
            <w:tcW w:w="992" w:type="dxa"/>
            <w:vMerge w:val="restart"/>
            <w:tcBorders>
              <w:top w:val="single" w:sz="4" w:space="0" w:color="auto"/>
              <w:bottom w:val="single" w:sz="4" w:space="0" w:color="auto"/>
            </w:tcBorders>
            <w:shd w:val="clear" w:color="auto" w:fill="auto"/>
            <w:vAlign w:val="bottom"/>
          </w:tcPr>
          <w:p w14:paraId="3B5FEF15" w14:textId="77777777" w:rsidR="00FF408A" w:rsidRPr="002D2F67" w:rsidRDefault="00FF408A" w:rsidP="005611FE">
            <w:pPr>
              <w:jc w:val="center"/>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Fair value level</w:t>
            </w:r>
          </w:p>
        </w:tc>
        <w:tc>
          <w:tcPr>
            <w:tcW w:w="1843" w:type="dxa"/>
            <w:tcBorders>
              <w:top w:val="single" w:sz="4" w:space="0" w:color="auto"/>
            </w:tcBorders>
            <w:shd w:val="clear" w:color="auto" w:fill="auto"/>
            <w:vAlign w:val="bottom"/>
          </w:tcPr>
          <w:p w14:paraId="6A63D457" w14:textId="2C853228" w:rsidR="00FF408A" w:rsidRPr="002D2F67" w:rsidRDefault="00FF408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FVPL</w:t>
            </w:r>
          </w:p>
        </w:tc>
        <w:tc>
          <w:tcPr>
            <w:tcW w:w="1984" w:type="dxa"/>
            <w:tcBorders>
              <w:top w:val="single" w:sz="4" w:space="0" w:color="auto"/>
            </w:tcBorders>
            <w:shd w:val="clear" w:color="auto" w:fill="auto"/>
            <w:vAlign w:val="bottom"/>
          </w:tcPr>
          <w:p w14:paraId="12D5F409" w14:textId="506E82A3" w:rsidR="00FF408A" w:rsidRPr="002D2F67" w:rsidRDefault="00FF408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FVOCI</w:t>
            </w:r>
          </w:p>
        </w:tc>
        <w:tc>
          <w:tcPr>
            <w:tcW w:w="1728" w:type="dxa"/>
            <w:tcBorders>
              <w:top w:val="single" w:sz="4" w:space="0" w:color="auto"/>
            </w:tcBorders>
            <w:shd w:val="clear" w:color="auto" w:fill="auto"/>
            <w:vAlign w:val="bottom"/>
          </w:tcPr>
          <w:p w14:paraId="34FFBC5C" w14:textId="58B1BB01" w:rsidR="00FF408A" w:rsidRPr="002D2F67" w:rsidRDefault="00FF408A" w:rsidP="005611FE">
            <w:pPr>
              <w:ind w:right="-75"/>
              <w:jc w:val="right"/>
              <w:rPr>
                <w:rFonts w:ascii="Arial" w:eastAsia="Arial Unicode MS" w:hAnsi="Arial" w:cs="Arial"/>
                <w:b/>
                <w:bCs/>
                <w:color w:val="000000"/>
                <w:sz w:val="20"/>
                <w:szCs w:val="20"/>
                <w:cs/>
              </w:rPr>
            </w:pPr>
            <w:r w:rsidRPr="002D2F67">
              <w:rPr>
                <w:rFonts w:ascii="Arial" w:eastAsia="Arial Unicode MS" w:hAnsi="Arial" w:cs="Arial"/>
                <w:b/>
                <w:bCs/>
                <w:color w:val="000000"/>
                <w:sz w:val="20"/>
                <w:szCs w:val="20"/>
              </w:rPr>
              <w:t>Amortised cost</w:t>
            </w:r>
          </w:p>
        </w:tc>
        <w:tc>
          <w:tcPr>
            <w:tcW w:w="1728" w:type="dxa"/>
            <w:tcBorders>
              <w:top w:val="single" w:sz="4" w:space="0" w:color="auto"/>
            </w:tcBorders>
            <w:shd w:val="clear" w:color="auto" w:fill="auto"/>
            <w:vAlign w:val="bottom"/>
          </w:tcPr>
          <w:p w14:paraId="51E9ED03" w14:textId="77777777" w:rsidR="00FF408A" w:rsidRPr="002D2F67" w:rsidRDefault="00FF408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Total</w:t>
            </w:r>
          </w:p>
          <w:p w14:paraId="163672E5" w14:textId="59F87193" w:rsidR="00FF408A" w:rsidRPr="002D2F67" w:rsidRDefault="00822C1F"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ca</w:t>
            </w:r>
            <w:r w:rsidR="00FF408A" w:rsidRPr="002D2F67">
              <w:rPr>
                <w:rFonts w:ascii="Arial" w:eastAsia="Arial Unicode MS" w:hAnsi="Arial" w:cs="Arial"/>
                <w:b/>
                <w:bCs/>
                <w:color w:val="000000"/>
                <w:sz w:val="20"/>
                <w:szCs w:val="20"/>
              </w:rPr>
              <w:t xml:space="preserve">rrying </w:t>
            </w:r>
            <w:r w:rsidRPr="002D2F67">
              <w:rPr>
                <w:rFonts w:ascii="Arial" w:eastAsia="Arial Unicode MS" w:hAnsi="Arial" w:cs="Arial"/>
                <w:b/>
                <w:bCs/>
                <w:color w:val="000000"/>
                <w:sz w:val="20"/>
                <w:szCs w:val="20"/>
              </w:rPr>
              <w:t>amount</w:t>
            </w:r>
          </w:p>
        </w:tc>
        <w:tc>
          <w:tcPr>
            <w:tcW w:w="1743" w:type="dxa"/>
            <w:tcBorders>
              <w:top w:val="single" w:sz="4" w:space="0" w:color="auto"/>
            </w:tcBorders>
            <w:shd w:val="clear" w:color="auto" w:fill="auto"/>
            <w:vAlign w:val="bottom"/>
          </w:tcPr>
          <w:p w14:paraId="41E276C2" w14:textId="688DD6FC" w:rsidR="00FF408A" w:rsidRPr="002D2F67" w:rsidRDefault="00822C1F"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F</w:t>
            </w:r>
            <w:r w:rsidR="00FF408A" w:rsidRPr="002D2F67">
              <w:rPr>
                <w:rFonts w:ascii="Arial" w:eastAsia="Arial Unicode MS" w:hAnsi="Arial" w:cs="Arial"/>
                <w:b/>
                <w:bCs/>
                <w:color w:val="000000"/>
                <w:sz w:val="20"/>
                <w:szCs w:val="20"/>
              </w:rPr>
              <w:t xml:space="preserve">air </w:t>
            </w:r>
            <w:r w:rsidRPr="002D2F67">
              <w:rPr>
                <w:rFonts w:ascii="Arial" w:eastAsia="Arial Unicode MS" w:hAnsi="Arial" w:cs="Arial"/>
                <w:b/>
                <w:bCs/>
                <w:color w:val="000000"/>
                <w:sz w:val="20"/>
                <w:szCs w:val="20"/>
              </w:rPr>
              <w:t>v</w:t>
            </w:r>
            <w:r w:rsidR="00FF408A" w:rsidRPr="002D2F67">
              <w:rPr>
                <w:rFonts w:ascii="Arial" w:eastAsia="Arial Unicode MS" w:hAnsi="Arial" w:cs="Arial"/>
                <w:b/>
                <w:bCs/>
                <w:color w:val="000000"/>
                <w:sz w:val="20"/>
                <w:szCs w:val="20"/>
              </w:rPr>
              <w:t>alue</w:t>
            </w:r>
          </w:p>
        </w:tc>
      </w:tr>
      <w:tr w:rsidR="00FF408A" w:rsidRPr="002D2F67" w14:paraId="40B72984" w14:textId="77777777" w:rsidTr="1A000F6E">
        <w:trPr>
          <w:trHeight w:val="20"/>
        </w:trPr>
        <w:tc>
          <w:tcPr>
            <w:tcW w:w="4253" w:type="dxa"/>
            <w:shd w:val="clear" w:color="auto" w:fill="auto"/>
            <w:vAlign w:val="bottom"/>
          </w:tcPr>
          <w:p w14:paraId="2A9B5C54" w14:textId="77777777" w:rsidR="00FF408A" w:rsidRPr="002D2F67" w:rsidRDefault="00FF408A" w:rsidP="005611FE">
            <w:pPr>
              <w:ind w:left="-101"/>
              <w:rPr>
                <w:rFonts w:ascii="Arial" w:eastAsia="Arial Unicode MS" w:hAnsi="Arial" w:cs="Arial"/>
                <w:color w:val="000000"/>
                <w:sz w:val="20"/>
                <w:szCs w:val="20"/>
              </w:rPr>
            </w:pPr>
          </w:p>
        </w:tc>
        <w:tc>
          <w:tcPr>
            <w:tcW w:w="992" w:type="dxa"/>
            <w:vMerge/>
            <w:vAlign w:val="bottom"/>
          </w:tcPr>
          <w:p w14:paraId="2531D2D7" w14:textId="77777777" w:rsidR="00FF408A" w:rsidRPr="002D2F67" w:rsidRDefault="00FF408A" w:rsidP="005611FE">
            <w:pPr>
              <w:jc w:val="right"/>
              <w:rPr>
                <w:rFonts w:ascii="Arial" w:eastAsia="Arial Unicode MS" w:hAnsi="Arial" w:cs="Arial"/>
                <w:b/>
                <w:bCs/>
                <w:color w:val="000000"/>
                <w:sz w:val="20"/>
                <w:szCs w:val="20"/>
              </w:rPr>
            </w:pPr>
          </w:p>
        </w:tc>
        <w:tc>
          <w:tcPr>
            <w:tcW w:w="1843" w:type="dxa"/>
            <w:tcBorders>
              <w:bottom w:val="single" w:sz="4" w:space="0" w:color="auto"/>
            </w:tcBorders>
            <w:shd w:val="clear" w:color="auto" w:fill="auto"/>
            <w:vAlign w:val="bottom"/>
          </w:tcPr>
          <w:p w14:paraId="03725129" w14:textId="77777777" w:rsidR="00FF408A" w:rsidRPr="002D2F67" w:rsidRDefault="00FF408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Million Baht</w:t>
            </w:r>
          </w:p>
        </w:tc>
        <w:tc>
          <w:tcPr>
            <w:tcW w:w="1984" w:type="dxa"/>
            <w:tcBorders>
              <w:bottom w:val="single" w:sz="4" w:space="0" w:color="auto"/>
            </w:tcBorders>
            <w:shd w:val="clear" w:color="auto" w:fill="auto"/>
            <w:vAlign w:val="bottom"/>
          </w:tcPr>
          <w:p w14:paraId="53A03735" w14:textId="77777777" w:rsidR="00FF408A" w:rsidRPr="002D2F67" w:rsidRDefault="00FF408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Million Baht</w:t>
            </w:r>
          </w:p>
        </w:tc>
        <w:tc>
          <w:tcPr>
            <w:tcW w:w="1728" w:type="dxa"/>
            <w:tcBorders>
              <w:bottom w:val="single" w:sz="4" w:space="0" w:color="auto"/>
            </w:tcBorders>
            <w:shd w:val="clear" w:color="auto" w:fill="auto"/>
            <w:vAlign w:val="bottom"/>
          </w:tcPr>
          <w:p w14:paraId="4472D7A0" w14:textId="77777777" w:rsidR="00FF408A" w:rsidRPr="002D2F67" w:rsidRDefault="00FF408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Million Baht</w:t>
            </w:r>
          </w:p>
        </w:tc>
        <w:tc>
          <w:tcPr>
            <w:tcW w:w="1728" w:type="dxa"/>
            <w:tcBorders>
              <w:bottom w:val="single" w:sz="4" w:space="0" w:color="auto"/>
            </w:tcBorders>
            <w:shd w:val="clear" w:color="auto" w:fill="auto"/>
            <w:vAlign w:val="bottom"/>
          </w:tcPr>
          <w:p w14:paraId="04C6FA22" w14:textId="77777777" w:rsidR="00FF408A" w:rsidRPr="002D2F67" w:rsidRDefault="00FF408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Million Baht</w:t>
            </w:r>
          </w:p>
        </w:tc>
        <w:tc>
          <w:tcPr>
            <w:tcW w:w="1743" w:type="dxa"/>
            <w:tcBorders>
              <w:bottom w:val="single" w:sz="4" w:space="0" w:color="auto"/>
            </w:tcBorders>
            <w:shd w:val="clear" w:color="auto" w:fill="auto"/>
            <w:vAlign w:val="bottom"/>
          </w:tcPr>
          <w:p w14:paraId="60769822" w14:textId="77777777" w:rsidR="00FF408A" w:rsidRPr="002D2F67" w:rsidRDefault="00FF408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Million Baht</w:t>
            </w:r>
          </w:p>
        </w:tc>
      </w:tr>
      <w:tr w:rsidR="005611FE" w:rsidRPr="002D2F67" w14:paraId="723B686D" w14:textId="77777777" w:rsidTr="00C57CB9">
        <w:trPr>
          <w:trHeight w:val="20"/>
        </w:trPr>
        <w:tc>
          <w:tcPr>
            <w:tcW w:w="4253" w:type="dxa"/>
            <w:shd w:val="clear" w:color="auto" w:fill="auto"/>
            <w:vAlign w:val="bottom"/>
          </w:tcPr>
          <w:p w14:paraId="4DC08CA3" w14:textId="71847FB6" w:rsidR="00FF408A" w:rsidRPr="002D2F67" w:rsidRDefault="00FF408A" w:rsidP="005611FE">
            <w:pPr>
              <w:ind w:left="-101"/>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 xml:space="preserve">As </w:t>
            </w:r>
            <w:proofErr w:type="gramStart"/>
            <w:r w:rsidRPr="002D2F67">
              <w:rPr>
                <w:rFonts w:ascii="Arial" w:eastAsia="Arial Unicode MS" w:hAnsi="Arial" w:cs="Arial"/>
                <w:b/>
                <w:bCs/>
                <w:color w:val="000000"/>
                <w:sz w:val="20"/>
                <w:szCs w:val="20"/>
              </w:rPr>
              <w:t>at</w:t>
            </w:r>
            <w:proofErr w:type="gramEnd"/>
            <w:r w:rsidRPr="002D2F67">
              <w:rPr>
                <w:rFonts w:ascii="Arial" w:eastAsia="Arial Unicode MS" w:hAnsi="Arial" w:cs="Arial"/>
                <w:b/>
                <w:bCs/>
                <w:color w:val="000000"/>
                <w:sz w:val="20"/>
                <w:szCs w:val="20"/>
              </w:rPr>
              <w:t xml:space="preserve"> </w:t>
            </w:r>
            <w:r w:rsidR="00CD5714" w:rsidRPr="00CD5714">
              <w:rPr>
                <w:rFonts w:ascii="Arial" w:eastAsia="Arial Unicode MS" w:hAnsi="Arial" w:cs="Arial"/>
                <w:b/>
                <w:bCs/>
                <w:color w:val="000000"/>
                <w:sz w:val="20"/>
                <w:szCs w:val="20"/>
                <w:lang w:val="en-GB"/>
              </w:rPr>
              <w:t>31</w:t>
            </w:r>
            <w:r w:rsidRPr="002D2F67">
              <w:rPr>
                <w:rFonts w:ascii="Arial" w:eastAsia="Arial Unicode MS" w:hAnsi="Arial" w:cs="Arial"/>
                <w:b/>
                <w:bCs/>
                <w:color w:val="000000"/>
                <w:sz w:val="20"/>
                <w:szCs w:val="20"/>
              </w:rPr>
              <w:t xml:space="preserve"> December </w:t>
            </w:r>
            <w:r w:rsidR="00CD5714" w:rsidRPr="00CD5714">
              <w:rPr>
                <w:rFonts w:ascii="Arial" w:eastAsia="Arial Unicode MS" w:hAnsi="Arial" w:cs="Arial"/>
                <w:b/>
                <w:bCs/>
                <w:color w:val="000000"/>
                <w:sz w:val="20"/>
                <w:szCs w:val="20"/>
                <w:lang w:val="en-GB"/>
              </w:rPr>
              <w:t>2024</w:t>
            </w:r>
          </w:p>
        </w:tc>
        <w:tc>
          <w:tcPr>
            <w:tcW w:w="992" w:type="dxa"/>
            <w:tcBorders>
              <w:top w:val="single" w:sz="4" w:space="0" w:color="auto"/>
            </w:tcBorders>
            <w:shd w:val="clear" w:color="auto" w:fill="auto"/>
            <w:vAlign w:val="bottom"/>
          </w:tcPr>
          <w:p w14:paraId="6EE02154" w14:textId="77777777" w:rsidR="00FF408A" w:rsidRPr="002D2F67" w:rsidRDefault="00FF408A" w:rsidP="005611FE">
            <w:pPr>
              <w:jc w:val="center"/>
              <w:rPr>
                <w:rFonts w:ascii="Arial" w:eastAsia="Arial Unicode MS" w:hAnsi="Arial" w:cs="Arial"/>
                <w:color w:val="000000"/>
                <w:sz w:val="20"/>
                <w:szCs w:val="20"/>
              </w:rPr>
            </w:pPr>
          </w:p>
        </w:tc>
        <w:tc>
          <w:tcPr>
            <w:tcW w:w="1843" w:type="dxa"/>
            <w:tcBorders>
              <w:top w:val="single" w:sz="4" w:space="0" w:color="auto"/>
            </w:tcBorders>
            <w:shd w:val="clear" w:color="auto" w:fill="auto"/>
            <w:vAlign w:val="bottom"/>
          </w:tcPr>
          <w:p w14:paraId="276B84BC" w14:textId="77777777" w:rsidR="00FF408A" w:rsidRPr="002D2F67" w:rsidRDefault="00FF408A" w:rsidP="005611FE">
            <w:pPr>
              <w:ind w:right="-75"/>
              <w:jc w:val="right"/>
              <w:rPr>
                <w:rFonts w:ascii="Arial" w:eastAsia="Arial Unicode MS" w:hAnsi="Arial" w:cs="Arial"/>
                <w:color w:val="000000"/>
                <w:sz w:val="20"/>
                <w:szCs w:val="20"/>
              </w:rPr>
            </w:pPr>
          </w:p>
        </w:tc>
        <w:tc>
          <w:tcPr>
            <w:tcW w:w="1984" w:type="dxa"/>
            <w:tcBorders>
              <w:top w:val="single" w:sz="4" w:space="0" w:color="auto"/>
            </w:tcBorders>
            <w:shd w:val="clear" w:color="auto" w:fill="auto"/>
            <w:vAlign w:val="bottom"/>
          </w:tcPr>
          <w:p w14:paraId="62CFE574" w14:textId="77777777" w:rsidR="00FF408A" w:rsidRPr="002D2F67" w:rsidRDefault="00FF408A" w:rsidP="005611FE">
            <w:pPr>
              <w:ind w:right="-75"/>
              <w:jc w:val="right"/>
              <w:rPr>
                <w:rFonts w:ascii="Arial" w:eastAsia="Arial Unicode MS" w:hAnsi="Arial" w:cs="Arial"/>
                <w:color w:val="000000"/>
                <w:sz w:val="20"/>
                <w:szCs w:val="20"/>
              </w:rPr>
            </w:pPr>
          </w:p>
        </w:tc>
        <w:tc>
          <w:tcPr>
            <w:tcW w:w="1728" w:type="dxa"/>
            <w:tcBorders>
              <w:top w:val="single" w:sz="4" w:space="0" w:color="auto"/>
            </w:tcBorders>
            <w:shd w:val="clear" w:color="auto" w:fill="auto"/>
            <w:vAlign w:val="bottom"/>
          </w:tcPr>
          <w:p w14:paraId="5CA28614" w14:textId="77777777" w:rsidR="00FF408A" w:rsidRPr="002D2F67" w:rsidRDefault="00FF408A" w:rsidP="005611FE">
            <w:pPr>
              <w:ind w:right="-75"/>
              <w:jc w:val="right"/>
              <w:rPr>
                <w:rFonts w:ascii="Arial" w:eastAsia="Arial Unicode MS" w:hAnsi="Arial" w:cs="Arial"/>
                <w:color w:val="000000"/>
                <w:sz w:val="20"/>
                <w:szCs w:val="20"/>
              </w:rPr>
            </w:pPr>
          </w:p>
        </w:tc>
        <w:tc>
          <w:tcPr>
            <w:tcW w:w="1728" w:type="dxa"/>
            <w:tcBorders>
              <w:top w:val="single" w:sz="4" w:space="0" w:color="auto"/>
            </w:tcBorders>
            <w:shd w:val="clear" w:color="auto" w:fill="auto"/>
            <w:vAlign w:val="bottom"/>
          </w:tcPr>
          <w:p w14:paraId="61FE9F88" w14:textId="77777777" w:rsidR="00FF408A" w:rsidRPr="002D2F67" w:rsidRDefault="00FF408A" w:rsidP="005611FE">
            <w:pPr>
              <w:ind w:right="-75"/>
              <w:jc w:val="right"/>
              <w:rPr>
                <w:rFonts w:ascii="Arial" w:eastAsia="Arial Unicode MS" w:hAnsi="Arial" w:cs="Arial"/>
                <w:color w:val="000000"/>
                <w:sz w:val="20"/>
                <w:szCs w:val="20"/>
              </w:rPr>
            </w:pPr>
          </w:p>
        </w:tc>
        <w:tc>
          <w:tcPr>
            <w:tcW w:w="1743" w:type="dxa"/>
            <w:tcBorders>
              <w:top w:val="single" w:sz="4" w:space="0" w:color="auto"/>
            </w:tcBorders>
            <w:shd w:val="clear" w:color="auto" w:fill="auto"/>
            <w:vAlign w:val="bottom"/>
          </w:tcPr>
          <w:p w14:paraId="003AFE53" w14:textId="77777777" w:rsidR="00FF408A" w:rsidRPr="002D2F67" w:rsidRDefault="00FF408A" w:rsidP="005611FE">
            <w:pPr>
              <w:ind w:right="-75"/>
              <w:jc w:val="right"/>
              <w:rPr>
                <w:rFonts w:ascii="Arial" w:eastAsia="Arial Unicode MS" w:hAnsi="Arial" w:cs="Arial"/>
                <w:color w:val="000000"/>
                <w:sz w:val="20"/>
                <w:szCs w:val="20"/>
              </w:rPr>
            </w:pPr>
          </w:p>
        </w:tc>
      </w:tr>
      <w:tr w:rsidR="00FF408A" w:rsidRPr="002D2F67" w14:paraId="3749E5FF" w14:textId="77777777" w:rsidTr="00C57CB9">
        <w:trPr>
          <w:trHeight w:val="20"/>
        </w:trPr>
        <w:tc>
          <w:tcPr>
            <w:tcW w:w="4253" w:type="dxa"/>
            <w:shd w:val="clear" w:color="auto" w:fill="auto"/>
            <w:vAlign w:val="bottom"/>
          </w:tcPr>
          <w:p w14:paraId="6C22193A" w14:textId="77777777" w:rsidR="00FF408A" w:rsidRPr="002D2F67" w:rsidRDefault="00FF408A" w:rsidP="005611FE">
            <w:pPr>
              <w:ind w:left="-101"/>
              <w:rPr>
                <w:rFonts w:ascii="Arial" w:eastAsia="Arial Unicode MS" w:hAnsi="Arial" w:cs="Arial"/>
                <w:b/>
                <w:bCs/>
                <w:color w:val="000000"/>
                <w:sz w:val="20"/>
                <w:szCs w:val="20"/>
              </w:rPr>
            </w:pPr>
          </w:p>
        </w:tc>
        <w:tc>
          <w:tcPr>
            <w:tcW w:w="992" w:type="dxa"/>
            <w:shd w:val="clear" w:color="auto" w:fill="auto"/>
            <w:vAlign w:val="bottom"/>
          </w:tcPr>
          <w:p w14:paraId="732EC96B" w14:textId="77777777" w:rsidR="00FF408A" w:rsidRPr="002D2F67" w:rsidRDefault="00FF408A" w:rsidP="005611FE">
            <w:pPr>
              <w:jc w:val="center"/>
              <w:rPr>
                <w:rFonts w:ascii="Arial" w:eastAsia="Arial Unicode MS" w:hAnsi="Arial" w:cs="Arial"/>
                <w:color w:val="000000"/>
                <w:sz w:val="20"/>
                <w:szCs w:val="20"/>
              </w:rPr>
            </w:pPr>
          </w:p>
        </w:tc>
        <w:tc>
          <w:tcPr>
            <w:tcW w:w="1843" w:type="dxa"/>
            <w:shd w:val="clear" w:color="auto" w:fill="auto"/>
            <w:vAlign w:val="bottom"/>
          </w:tcPr>
          <w:p w14:paraId="64F1F7BE" w14:textId="77777777" w:rsidR="00FF408A" w:rsidRPr="002D2F67" w:rsidRDefault="00FF408A" w:rsidP="005611FE">
            <w:pPr>
              <w:ind w:right="-75"/>
              <w:jc w:val="right"/>
              <w:rPr>
                <w:rFonts w:ascii="Arial" w:eastAsia="Arial Unicode MS" w:hAnsi="Arial" w:cs="Arial"/>
                <w:color w:val="000000"/>
                <w:sz w:val="20"/>
                <w:szCs w:val="20"/>
              </w:rPr>
            </w:pPr>
          </w:p>
        </w:tc>
        <w:tc>
          <w:tcPr>
            <w:tcW w:w="1984" w:type="dxa"/>
            <w:shd w:val="clear" w:color="auto" w:fill="auto"/>
            <w:vAlign w:val="bottom"/>
          </w:tcPr>
          <w:p w14:paraId="31BA2730" w14:textId="77777777" w:rsidR="00FF408A" w:rsidRPr="002D2F67" w:rsidRDefault="00FF408A"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4D7E3D3F" w14:textId="77777777" w:rsidR="00FF408A" w:rsidRPr="002D2F67" w:rsidRDefault="00FF408A"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7F00676F" w14:textId="77777777" w:rsidR="00FF408A" w:rsidRPr="002D2F67" w:rsidRDefault="00FF408A" w:rsidP="005611FE">
            <w:pPr>
              <w:ind w:right="-75"/>
              <w:jc w:val="right"/>
              <w:rPr>
                <w:rFonts w:ascii="Arial" w:eastAsia="Arial Unicode MS" w:hAnsi="Arial" w:cs="Arial"/>
                <w:color w:val="000000"/>
                <w:sz w:val="20"/>
                <w:szCs w:val="20"/>
              </w:rPr>
            </w:pPr>
          </w:p>
        </w:tc>
        <w:tc>
          <w:tcPr>
            <w:tcW w:w="1743" w:type="dxa"/>
            <w:shd w:val="clear" w:color="auto" w:fill="auto"/>
            <w:vAlign w:val="bottom"/>
          </w:tcPr>
          <w:p w14:paraId="4D8D0D73" w14:textId="77777777" w:rsidR="00FF408A" w:rsidRPr="002D2F67" w:rsidRDefault="00FF408A" w:rsidP="005611FE">
            <w:pPr>
              <w:ind w:right="-75"/>
              <w:jc w:val="right"/>
              <w:rPr>
                <w:rFonts w:ascii="Arial" w:eastAsia="Arial Unicode MS" w:hAnsi="Arial" w:cs="Arial"/>
                <w:color w:val="000000"/>
                <w:sz w:val="20"/>
                <w:szCs w:val="20"/>
              </w:rPr>
            </w:pPr>
          </w:p>
        </w:tc>
      </w:tr>
      <w:tr w:rsidR="00FF408A" w:rsidRPr="002D2F67" w14:paraId="7E7DEA7E" w14:textId="77777777" w:rsidTr="00C57CB9">
        <w:trPr>
          <w:trHeight w:val="20"/>
        </w:trPr>
        <w:tc>
          <w:tcPr>
            <w:tcW w:w="4253" w:type="dxa"/>
            <w:shd w:val="clear" w:color="auto" w:fill="auto"/>
            <w:vAlign w:val="bottom"/>
          </w:tcPr>
          <w:p w14:paraId="29092CB9" w14:textId="77777777" w:rsidR="00FF408A" w:rsidRPr="002D2F67" w:rsidRDefault="00FF408A" w:rsidP="005611FE">
            <w:pPr>
              <w:ind w:left="-101"/>
              <w:rPr>
                <w:rFonts w:ascii="Arial" w:eastAsia="Arial Unicode MS" w:hAnsi="Arial" w:cs="Arial"/>
                <w:color w:val="000000"/>
                <w:sz w:val="20"/>
                <w:szCs w:val="20"/>
              </w:rPr>
            </w:pPr>
            <w:r w:rsidRPr="002D2F67">
              <w:rPr>
                <w:rFonts w:ascii="Arial" w:eastAsia="Arial Unicode MS" w:hAnsi="Arial" w:cs="Arial"/>
                <w:b/>
                <w:bCs/>
                <w:color w:val="000000"/>
                <w:sz w:val="20"/>
                <w:szCs w:val="20"/>
              </w:rPr>
              <w:t>Assets</w:t>
            </w:r>
          </w:p>
        </w:tc>
        <w:tc>
          <w:tcPr>
            <w:tcW w:w="992" w:type="dxa"/>
            <w:shd w:val="clear" w:color="auto" w:fill="auto"/>
            <w:vAlign w:val="bottom"/>
          </w:tcPr>
          <w:p w14:paraId="60057AD0" w14:textId="77777777" w:rsidR="00FF408A" w:rsidRPr="002D2F67" w:rsidRDefault="00FF408A" w:rsidP="005611FE">
            <w:pPr>
              <w:jc w:val="center"/>
              <w:rPr>
                <w:rFonts w:ascii="Arial" w:eastAsia="Arial Unicode MS" w:hAnsi="Arial" w:cs="Arial"/>
                <w:color w:val="000000"/>
                <w:sz w:val="20"/>
                <w:szCs w:val="20"/>
              </w:rPr>
            </w:pPr>
          </w:p>
        </w:tc>
        <w:tc>
          <w:tcPr>
            <w:tcW w:w="1843" w:type="dxa"/>
            <w:shd w:val="clear" w:color="auto" w:fill="auto"/>
            <w:vAlign w:val="bottom"/>
          </w:tcPr>
          <w:p w14:paraId="4D4573F3" w14:textId="77777777" w:rsidR="00FF408A" w:rsidRPr="002D2F67" w:rsidRDefault="00FF408A" w:rsidP="005611FE">
            <w:pPr>
              <w:ind w:right="-75"/>
              <w:jc w:val="right"/>
              <w:rPr>
                <w:rFonts w:ascii="Arial" w:eastAsia="Arial Unicode MS" w:hAnsi="Arial" w:cs="Arial"/>
                <w:color w:val="000000"/>
                <w:sz w:val="20"/>
                <w:szCs w:val="20"/>
              </w:rPr>
            </w:pPr>
          </w:p>
        </w:tc>
        <w:tc>
          <w:tcPr>
            <w:tcW w:w="1984" w:type="dxa"/>
            <w:shd w:val="clear" w:color="auto" w:fill="auto"/>
            <w:vAlign w:val="bottom"/>
          </w:tcPr>
          <w:p w14:paraId="7C7E0AD0" w14:textId="77777777" w:rsidR="00FF408A" w:rsidRPr="002D2F67" w:rsidRDefault="00FF408A"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0A71D017" w14:textId="77777777" w:rsidR="00FF408A" w:rsidRPr="002D2F67" w:rsidRDefault="00FF408A"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4B48C604" w14:textId="77777777" w:rsidR="00FF408A" w:rsidRPr="002D2F67" w:rsidRDefault="00FF408A" w:rsidP="005611FE">
            <w:pPr>
              <w:ind w:right="-75"/>
              <w:jc w:val="right"/>
              <w:rPr>
                <w:rFonts w:ascii="Arial" w:eastAsia="Arial Unicode MS" w:hAnsi="Arial" w:cs="Arial"/>
                <w:color w:val="000000"/>
                <w:sz w:val="20"/>
                <w:szCs w:val="20"/>
              </w:rPr>
            </w:pPr>
          </w:p>
        </w:tc>
        <w:tc>
          <w:tcPr>
            <w:tcW w:w="1743" w:type="dxa"/>
            <w:shd w:val="clear" w:color="auto" w:fill="auto"/>
            <w:vAlign w:val="bottom"/>
          </w:tcPr>
          <w:p w14:paraId="41E1621E" w14:textId="77777777" w:rsidR="00FF408A" w:rsidRPr="002D2F67" w:rsidRDefault="00FF408A" w:rsidP="005611FE">
            <w:pPr>
              <w:ind w:right="-75"/>
              <w:jc w:val="right"/>
              <w:rPr>
                <w:rFonts w:ascii="Arial" w:eastAsia="Arial Unicode MS" w:hAnsi="Arial" w:cs="Arial"/>
                <w:color w:val="000000"/>
                <w:sz w:val="20"/>
                <w:szCs w:val="20"/>
              </w:rPr>
            </w:pPr>
          </w:p>
        </w:tc>
      </w:tr>
      <w:tr w:rsidR="00FF408A" w:rsidRPr="002D2F67" w14:paraId="0EDA2788" w14:textId="77777777" w:rsidTr="00C57CB9">
        <w:trPr>
          <w:trHeight w:val="20"/>
        </w:trPr>
        <w:tc>
          <w:tcPr>
            <w:tcW w:w="4253" w:type="dxa"/>
            <w:shd w:val="clear" w:color="auto" w:fill="auto"/>
            <w:vAlign w:val="bottom"/>
          </w:tcPr>
          <w:p w14:paraId="3F99DC8F" w14:textId="77777777" w:rsidR="00FF408A" w:rsidRPr="002D2F67" w:rsidRDefault="00FF408A" w:rsidP="005611FE">
            <w:pPr>
              <w:ind w:left="-101"/>
              <w:rPr>
                <w:rFonts w:ascii="Arial" w:eastAsia="Arial Unicode MS" w:hAnsi="Arial" w:cs="Arial"/>
                <w:color w:val="000000"/>
                <w:sz w:val="20"/>
                <w:szCs w:val="20"/>
              </w:rPr>
            </w:pPr>
            <w:r w:rsidRPr="002D2F67">
              <w:rPr>
                <w:rFonts w:ascii="Arial" w:eastAsia="Arial Unicode MS" w:hAnsi="Arial" w:cs="Arial"/>
                <w:color w:val="000000"/>
                <w:sz w:val="20"/>
                <w:szCs w:val="20"/>
              </w:rPr>
              <w:t>Financial assets</w:t>
            </w:r>
          </w:p>
        </w:tc>
        <w:tc>
          <w:tcPr>
            <w:tcW w:w="992" w:type="dxa"/>
            <w:shd w:val="clear" w:color="auto" w:fill="auto"/>
            <w:vAlign w:val="bottom"/>
          </w:tcPr>
          <w:p w14:paraId="0CAF2C4D" w14:textId="77777777" w:rsidR="00FF408A" w:rsidRPr="002D2F67" w:rsidRDefault="00FF408A" w:rsidP="005611FE">
            <w:pPr>
              <w:jc w:val="center"/>
              <w:rPr>
                <w:rFonts w:ascii="Arial" w:eastAsia="Arial Unicode MS" w:hAnsi="Arial" w:cs="Arial"/>
                <w:color w:val="000000"/>
                <w:sz w:val="20"/>
                <w:szCs w:val="20"/>
              </w:rPr>
            </w:pPr>
          </w:p>
        </w:tc>
        <w:tc>
          <w:tcPr>
            <w:tcW w:w="1843" w:type="dxa"/>
            <w:shd w:val="clear" w:color="auto" w:fill="auto"/>
            <w:vAlign w:val="bottom"/>
          </w:tcPr>
          <w:p w14:paraId="37432AFD" w14:textId="77777777" w:rsidR="00FF408A" w:rsidRPr="002D2F67" w:rsidRDefault="00FF408A" w:rsidP="005611FE">
            <w:pPr>
              <w:ind w:right="-75"/>
              <w:jc w:val="right"/>
              <w:rPr>
                <w:rFonts w:ascii="Arial" w:eastAsia="Arial Unicode MS" w:hAnsi="Arial" w:cs="Arial"/>
                <w:color w:val="000000"/>
                <w:sz w:val="20"/>
                <w:szCs w:val="20"/>
              </w:rPr>
            </w:pPr>
          </w:p>
        </w:tc>
        <w:tc>
          <w:tcPr>
            <w:tcW w:w="1984" w:type="dxa"/>
            <w:shd w:val="clear" w:color="auto" w:fill="auto"/>
            <w:vAlign w:val="bottom"/>
          </w:tcPr>
          <w:p w14:paraId="26D4FB69" w14:textId="77777777" w:rsidR="00FF408A" w:rsidRPr="002D2F67" w:rsidRDefault="00FF408A"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53BDBA45" w14:textId="77777777" w:rsidR="00FF408A" w:rsidRPr="002D2F67" w:rsidRDefault="00FF408A"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309FBBB7" w14:textId="77777777" w:rsidR="00FF408A" w:rsidRPr="002D2F67" w:rsidRDefault="00FF408A" w:rsidP="005611FE">
            <w:pPr>
              <w:ind w:right="-75"/>
              <w:jc w:val="right"/>
              <w:rPr>
                <w:rFonts w:ascii="Arial" w:eastAsia="Arial Unicode MS" w:hAnsi="Arial" w:cs="Arial"/>
                <w:color w:val="000000"/>
                <w:sz w:val="20"/>
                <w:szCs w:val="20"/>
              </w:rPr>
            </w:pPr>
          </w:p>
        </w:tc>
        <w:tc>
          <w:tcPr>
            <w:tcW w:w="1743" w:type="dxa"/>
            <w:shd w:val="clear" w:color="auto" w:fill="auto"/>
            <w:vAlign w:val="bottom"/>
          </w:tcPr>
          <w:p w14:paraId="7AF11C5D" w14:textId="77777777" w:rsidR="00FF408A" w:rsidRPr="002D2F67" w:rsidRDefault="00FF408A" w:rsidP="005611FE">
            <w:pPr>
              <w:ind w:right="-75"/>
              <w:jc w:val="right"/>
              <w:rPr>
                <w:rFonts w:ascii="Arial" w:eastAsia="Arial Unicode MS" w:hAnsi="Arial" w:cs="Arial"/>
                <w:color w:val="000000"/>
                <w:sz w:val="20"/>
                <w:szCs w:val="20"/>
              </w:rPr>
            </w:pPr>
          </w:p>
        </w:tc>
      </w:tr>
      <w:tr w:rsidR="00225155" w:rsidRPr="002D2F67" w14:paraId="1A928652" w14:textId="77777777" w:rsidTr="00C57CB9">
        <w:trPr>
          <w:trHeight w:val="20"/>
        </w:trPr>
        <w:tc>
          <w:tcPr>
            <w:tcW w:w="4253" w:type="dxa"/>
            <w:shd w:val="clear" w:color="auto" w:fill="auto"/>
            <w:vAlign w:val="bottom"/>
          </w:tcPr>
          <w:p w14:paraId="7BCBBE7C" w14:textId="3621D42C" w:rsidR="00225155" w:rsidRPr="002D2F67" w:rsidRDefault="00225155" w:rsidP="005611FE">
            <w:pPr>
              <w:ind w:left="-101"/>
              <w:rPr>
                <w:rFonts w:ascii="Arial" w:eastAsia="Arial Unicode MS" w:hAnsi="Arial" w:cs="Arial"/>
                <w:color w:val="000000"/>
                <w:sz w:val="20"/>
                <w:szCs w:val="20"/>
              </w:rPr>
            </w:pPr>
            <w:r w:rsidRPr="002D2F67">
              <w:rPr>
                <w:rFonts w:ascii="Arial" w:eastAsia="Arial Unicode MS" w:hAnsi="Arial" w:cs="Arial"/>
                <w:color w:val="000000"/>
                <w:sz w:val="20"/>
                <w:szCs w:val="20"/>
              </w:rPr>
              <w:t xml:space="preserve">   - Listed equity securities</w:t>
            </w:r>
          </w:p>
        </w:tc>
        <w:tc>
          <w:tcPr>
            <w:tcW w:w="992" w:type="dxa"/>
            <w:shd w:val="clear" w:color="auto" w:fill="auto"/>
            <w:vAlign w:val="bottom"/>
          </w:tcPr>
          <w:p w14:paraId="5257A3F1" w14:textId="6145AD38" w:rsidR="00225155" w:rsidRPr="002D2F67" w:rsidRDefault="00CD5714" w:rsidP="005611FE">
            <w:pPr>
              <w:jc w:val="center"/>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w:t>
            </w:r>
          </w:p>
        </w:tc>
        <w:tc>
          <w:tcPr>
            <w:tcW w:w="1843" w:type="dxa"/>
            <w:shd w:val="clear" w:color="auto" w:fill="auto"/>
            <w:vAlign w:val="bottom"/>
          </w:tcPr>
          <w:p w14:paraId="07392900" w14:textId="552A6EA7" w:rsidR="00225155" w:rsidRPr="002D2F67" w:rsidRDefault="00E25E9D"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984" w:type="dxa"/>
            <w:shd w:val="clear" w:color="auto" w:fill="auto"/>
            <w:vAlign w:val="bottom"/>
          </w:tcPr>
          <w:p w14:paraId="36E68D50" w14:textId="4C6536A5" w:rsidR="00225155"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853</w:t>
            </w:r>
          </w:p>
        </w:tc>
        <w:tc>
          <w:tcPr>
            <w:tcW w:w="1728" w:type="dxa"/>
            <w:shd w:val="clear" w:color="auto" w:fill="auto"/>
            <w:vAlign w:val="bottom"/>
          </w:tcPr>
          <w:p w14:paraId="45C80543" w14:textId="6504B3B8" w:rsidR="00225155" w:rsidRPr="002D2F67" w:rsidRDefault="00046AFB"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728" w:type="dxa"/>
            <w:shd w:val="clear" w:color="auto" w:fill="auto"/>
            <w:vAlign w:val="bottom"/>
          </w:tcPr>
          <w:p w14:paraId="257EB4F5" w14:textId="08496ABB" w:rsidR="00225155"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853</w:t>
            </w:r>
          </w:p>
        </w:tc>
        <w:tc>
          <w:tcPr>
            <w:tcW w:w="1743" w:type="dxa"/>
            <w:shd w:val="clear" w:color="auto" w:fill="auto"/>
            <w:vAlign w:val="bottom"/>
          </w:tcPr>
          <w:p w14:paraId="08F0D7C6" w14:textId="4FD97617" w:rsidR="00225155"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853</w:t>
            </w:r>
          </w:p>
        </w:tc>
      </w:tr>
      <w:tr w:rsidR="00225155" w:rsidRPr="002D2F67" w14:paraId="1DBAC054" w14:textId="77777777" w:rsidTr="00C57CB9">
        <w:trPr>
          <w:trHeight w:val="20"/>
        </w:trPr>
        <w:tc>
          <w:tcPr>
            <w:tcW w:w="4253" w:type="dxa"/>
            <w:shd w:val="clear" w:color="auto" w:fill="auto"/>
            <w:vAlign w:val="bottom"/>
          </w:tcPr>
          <w:p w14:paraId="622B36BD" w14:textId="7BA08E21" w:rsidR="00225155" w:rsidRPr="002D2F67" w:rsidRDefault="00225155" w:rsidP="005611FE">
            <w:pPr>
              <w:ind w:left="-101"/>
              <w:rPr>
                <w:rFonts w:ascii="Arial" w:eastAsia="Arial Unicode MS" w:hAnsi="Arial" w:cs="Arial"/>
                <w:color w:val="000000"/>
                <w:sz w:val="20"/>
                <w:szCs w:val="20"/>
              </w:rPr>
            </w:pPr>
            <w:r w:rsidRPr="002D2F67">
              <w:rPr>
                <w:rFonts w:ascii="Arial" w:eastAsia="Arial Unicode MS" w:hAnsi="Arial" w:cs="Arial"/>
                <w:color w:val="000000"/>
                <w:sz w:val="20"/>
                <w:szCs w:val="20"/>
              </w:rPr>
              <w:t xml:space="preserve">   - </w:t>
            </w:r>
            <w:r w:rsidR="00783801" w:rsidRPr="002D2F67">
              <w:rPr>
                <w:rFonts w:ascii="Arial" w:eastAsia="Arial Unicode MS" w:hAnsi="Arial" w:cs="Arial"/>
                <w:color w:val="000000"/>
                <w:sz w:val="20"/>
                <w:szCs w:val="20"/>
              </w:rPr>
              <w:t>Unlisted equity securities</w:t>
            </w:r>
          </w:p>
        </w:tc>
        <w:tc>
          <w:tcPr>
            <w:tcW w:w="992" w:type="dxa"/>
            <w:shd w:val="clear" w:color="auto" w:fill="auto"/>
            <w:vAlign w:val="bottom"/>
          </w:tcPr>
          <w:p w14:paraId="2EDFE28D" w14:textId="1A866940" w:rsidR="00225155" w:rsidRPr="002D2F67" w:rsidRDefault="00CD5714" w:rsidP="005611FE">
            <w:pPr>
              <w:jc w:val="center"/>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w:t>
            </w:r>
          </w:p>
        </w:tc>
        <w:tc>
          <w:tcPr>
            <w:tcW w:w="1843" w:type="dxa"/>
            <w:shd w:val="clear" w:color="auto" w:fill="auto"/>
            <w:vAlign w:val="bottom"/>
          </w:tcPr>
          <w:p w14:paraId="5E0318A8" w14:textId="57E3DAED" w:rsidR="00225155" w:rsidRPr="002D2F67" w:rsidRDefault="00E25E9D"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984" w:type="dxa"/>
            <w:shd w:val="clear" w:color="auto" w:fill="auto"/>
            <w:vAlign w:val="bottom"/>
          </w:tcPr>
          <w:p w14:paraId="37D5D247" w14:textId="33F47809" w:rsidR="00225155"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w:t>
            </w:r>
            <w:r w:rsidR="00DB2B9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993</w:t>
            </w:r>
          </w:p>
        </w:tc>
        <w:tc>
          <w:tcPr>
            <w:tcW w:w="1728" w:type="dxa"/>
            <w:shd w:val="clear" w:color="auto" w:fill="auto"/>
            <w:vAlign w:val="bottom"/>
          </w:tcPr>
          <w:p w14:paraId="20F0C131" w14:textId="006F7B1B" w:rsidR="00225155" w:rsidRPr="002D2F67" w:rsidRDefault="00046AFB"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728" w:type="dxa"/>
            <w:shd w:val="clear" w:color="auto" w:fill="auto"/>
            <w:vAlign w:val="bottom"/>
          </w:tcPr>
          <w:p w14:paraId="4F302EA5" w14:textId="5C175720" w:rsidR="00225155"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w:t>
            </w:r>
            <w:r w:rsidR="00DB2B9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993</w:t>
            </w:r>
          </w:p>
        </w:tc>
        <w:tc>
          <w:tcPr>
            <w:tcW w:w="1743" w:type="dxa"/>
            <w:shd w:val="clear" w:color="auto" w:fill="auto"/>
            <w:vAlign w:val="bottom"/>
          </w:tcPr>
          <w:p w14:paraId="067A527A" w14:textId="5DBF8976" w:rsidR="00225155"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w:t>
            </w:r>
            <w:r w:rsidR="00DB2B9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993</w:t>
            </w:r>
          </w:p>
        </w:tc>
      </w:tr>
      <w:tr w:rsidR="005611FE" w:rsidRPr="002D2F67" w14:paraId="1E8A64BE" w14:textId="77777777" w:rsidTr="00C57CB9">
        <w:trPr>
          <w:trHeight w:val="20"/>
        </w:trPr>
        <w:tc>
          <w:tcPr>
            <w:tcW w:w="4253" w:type="dxa"/>
            <w:shd w:val="clear" w:color="auto" w:fill="auto"/>
            <w:vAlign w:val="bottom"/>
          </w:tcPr>
          <w:p w14:paraId="324C7F2C" w14:textId="3865B916" w:rsidR="00225155" w:rsidRPr="002D2F67" w:rsidRDefault="00225155" w:rsidP="005611FE">
            <w:pPr>
              <w:ind w:left="-101"/>
              <w:rPr>
                <w:rFonts w:ascii="Arial" w:eastAsia="Arial Unicode MS" w:hAnsi="Arial" w:cs="Arial"/>
                <w:color w:val="000000"/>
                <w:sz w:val="20"/>
                <w:szCs w:val="20"/>
              </w:rPr>
            </w:pPr>
            <w:r w:rsidRPr="002D2F67">
              <w:rPr>
                <w:rFonts w:ascii="Arial" w:eastAsia="Arial Unicode MS" w:hAnsi="Arial" w:cs="Arial"/>
                <w:color w:val="000000"/>
                <w:sz w:val="20"/>
                <w:szCs w:val="20"/>
              </w:rPr>
              <w:t>Long-term loans to other parties</w:t>
            </w:r>
          </w:p>
        </w:tc>
        <w:tc>
          <w:tcPr>
            <w:tcW w:w="992" w:type="dxa"/>
            <w:shd w:val="clear" w:color="auto" w:fill="auto"/>
            <w:vAlign w:val="bottom"/>
          </w:tcPr>
          <w:p w14:paraId="3BB78730" w14:textId="6901E4C2" w:rsidR="00225155" w:rsidRPr="002D2F67" w:rsidRDefault="00CD5714" w:rsidP="005611FE">
            <w:pPr>
              <w:jc w:val="center"/>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w:t>
            </w:r>
          </w:p>
        </w:tc>
        <w:tc>
          <w:tcPr>
            <w:tcW w:w="1843" w:type="dxa"/>
            <w:tcBorders>
              <w:bottom w:val="single" w:sz="4" w:space="0" w:color="auto"/>
            </w:tcBorders>
            <w:shd w:val="clear" w:color="auto" w:fill="auto"/>
            <w:vAlign w:val="bottom"/>
          </w:tcPr>
          <w:p w14:paraId="0ACA0BDD" w14:textId="5B52A344" w:rsidR="00225155" w:rsidRPr="002D2F67" w:rsidRDefault="00E25E9D"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984" w:type="dxa"/>
            <w:tcBorders>
              <w:bottom w:val="single" w:sz="4" w:space="0" w:color="auto"/>
            </w:tcBorders>
            <w:shd w:val="clear" w:color="auto" w:fill="auto"/>
            <w:vAlign w:val="bottom"/>
          </w:tcPr>
          <w:p w14:paraId="0435E572" w14:textId="352BDD37" w:rsidR="00225155" w:rsidRPr="002D2F67" w:rsidRDefault="00E25E9D"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728" w:type="dxa"/>
            <w:tcBorders>
              <w:bottom w:val="single" w:sz="4" w:space="0" w:color="auto"/>
            </w:tcBorders>
            <w:shd w:val="clear" w:color="auto" w:fill="auto"/>
            <w:vAlign w:val="bottom"/>
          </w:tcPr>
          <w:p w14:paraId="22AFF6D2" w14:textId="27688F2B" w:rsidR="00225155"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65</w:t>
            </w:r>
          </w:p>
        </w:tc>
        <w:tc>
          <w:tcPr>
            <w:tcW w:w="1728" w:type="dxa"/>
            <w:tcBorders>
              <w:bottom w:val="single" w:sz="4" w:space="0" w:color="auto"/>
            </w:tcBorders>
            <w:shd w:val="clear" w:color="auto" w:fill="auto"/>
            <w:vAlign w:val="bottom"/>
          </w:tcPr>
          <w:p w14:paraId="539C96CD" w14:textId="1EF448D0" w:rsidR="00225155"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65</w:t>
            </w:r>
          </w:p>
        </w:tc>
        <w:tc>
          <w:tcPr>
            <w:tcW w:w="1743" w:type="dxa"/>
            <w:tcBorders>
              <w:bottom w:val="single" w:sz="4" w:space="0" w:color="auto"/>
            </w:tcBorders>
            <w:shd w:val="clear" w:color="auto" w:fill="auto"/>
            <w:vAlign w:val="bottom"/>
          </w:tcPr>
          <w:p w14:paraId="39521F5F" w14:textId="5EAD7E0A" w:rsidR="00225155"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65</w:t>
            </w:r>
          </w:p>
        </w:tc>
      </w:tr>
      <w:tr w:rsidR="005611FE" w:rsidRPr="002D2F67" w14:paraId="436C62E3" w14:textId="77777777" w:rsidTr="00C57CB9">
        <w:trPr>
          <w:trHeight w:val="20"/>
        </w:trPr>
        <w:tc>
          <w:tcPr>
            <w:tcW w:w="4253" w:type="dxa"/>
            <w:shd w:val="clear" w:color="auto" w:fill="auto"/>
            <w:vAlign w:val="bottom"/>
          </w:tcPr>
          <w:p w14:paraId="20711E39" w14:textId="77777777" w:rsidR="00FF408A" w:rsidRPr="002D2F67" w:rsidRDefault="00FF408A" w:rsidP="005611FE">
            <w:pPr>
              <w:ind w:left="-101"/>
              <w:rPr>
                <w:rFonts w:ascii="Arial" w:eastAsia="Arial Unicode MS" w:hAnsi="Arial" w:cs="Arial"/>
                <w:color w:val="000000"/>
                <w:sz w:val="20"/>
                <w:szCs w:val="20"/>
              </w:rPr>
            </w:pPr>
          </w:p>
        </w:tc>
        <w:tc>
          <w:tcPr>
            <w:tcW w:w="992" w:type="dxa"/>
            <w:shd w:val="clear" w:color="auto" w:fill="auto"/>
            <w:vAlign w:val="bottom"/>
          </w:tcPr>
          <w:p w14:paraId="2EA14407" w14:textId="77777777" w:rsidR="00FF408A" w:rsidRPr="002D2F67" w:rsidRDefault="00FF408A" w:rsidP="005611FE">
            <w:pPr>
              <w:jc w:val="center"/>
              <w:rPr>
                <w:rFonts w:ascii="Arial" w:eastAsia="Arial Unicode MS" w:hAnsi="Arial" w:cs="Arial"/>
                <w:color w:val="000000"/>
                <w:sz w:val="20"/>
                <w:szCs w:val="20"/>
              </w:rPr>
            </w:pPr>
          </w:p>
        </w:tc>
        <w:tc>
          <w:tcPr>
            <w:tcW w:w="1843" w:type="dxa"/>
            <w:tcBorders>
              <w:top w:val="single" w:sz="4" w:space="0" w:color="auto"/>
            </w:tcBorders>
            <w:shd w:val="clear" w:color="auto" w:fill="auto"/>
            <w:vAlign w:val="bottom"/>
          </w:tcPr>
          <w:p w14:paraId="7BBB99C7" w14:textId="77777777" w:rsidR="00FF408A" w:rsidRPr="002D2F67" w:rsidRDefault="00FF408A" w:rsidP="005611FE">
            <w:pPr>
              <w:ind w:right="-75"/>
              <w:jc w:val="right"/>
              <w:rPr>
                <w:rFonts w:ascii="Arial" w:eastAsia="Arial Unicode MS" w:hAnsi="Arial" w:cs="Arial"/>
                <w:color w:val="000000"/>
                <w:sz w:val="20"/>
                <w:szCs w:val="20"/>
              </w:rPr>
            </w:pPr>
          </w:p>
        </w:tc>
        <w:tc>
          <w:tcPr>
            <w:tcW w:w="1984" w:type="dxa"/>
            <w:tcBorders>
              <w:top w:val="single" w:sz="4" w:space="0" w:color="auto"/>
            </w:tcBorders>
            <w:shd w:val="clear" w:color="auto" w:fill="auto"/>
            <w:vAlign w:val="bottom"/>
          </w:tcPr>
          <w:p w14:paraId="6707744E" w14:textId="77777777" w:rsidR="00FF408A" w:rsidRPr="002D2F67" w:rsidRDefault="00FF408A" w:rsidP="005611FE">
            <w:pPr>
              <w:ind w:right="-75"/>
              <w:jc w:val="right"/>
              <w:rPr>
                <w:rFonts w:ascii="Arial" w:eastAsia="Arial Unicode MS" w:hAnsi="Arial" w:cs="Arial"/>
                <w:color w:val="000000"/>
                <w:sz w:val="20"/>
                <w:szCs w:val="20"/>
              </w:rPr>
            </w:pPr>
          </w:p>
        </w:tc>
        <w:tc>
          <w:tcPr>
            <w:tcW w:w="1728" w:type="dxa"/>
            <w:tcBorders>
              <w:top w:val="single" w:sz="4" w:space="0" w:color="auto"/>
            </w:tcBorders>
            <w:shd w:val="clear" w:color="auto" w:fill="auto"/>
            <w:vAlign w:val="bottom"/>
          </w:tcPr>
          <w:p w14:paraId="2405CED9" w14:textId="77777777" w:rsidR="00FF408A" w:rsidRPr="002D2F67" w:rsidRDefault="00FF408A" w:rsidP="005611FE">
            <w:pPr>
              <w:ind w:right="-75"/>
              <w:jc w:val="right"/>
              <w:rPr>
                <w:rFonts w:ascii="Arial" w:eastAsia="Arial Unicode MS" w:hAnsi="Arial" w:cs="Arial"/>
                <w:color w:val="000000"/>
                <w:sz w:val="20"/>
                <w:szCs w:val="20"/>
              </w:rPr>
            </w:pPr>
          </w:p>
        </w:tc>
        <w:tc>
          <w:tcPr>
            <w:tcW w:w="1728" w:type="dxa"/>
            <w:tcBorders>
              <w:top w:val="single" w:sz="4" w:space="0" w:color="auto"/>
            </w:tcBorders>
            <w:shd w:val="clear" w:color="auto" w:fill="auto"/>
            <w:vAlign w:val="bottom"/>
          </w:tcPr>
          <w:p w14:paraId="0DDD0DA3" w14:textId="77777777" w:rsidR="00FF408A" w:rsidRPr="002D2F67" w:rsidRDefault="00FF408A" w:rsidP="005611FE">
            <w:pPr>
              <w:ind w:right="-75"/>
              <w:jc w:val="right"/>
              <w:rPr>
                <w:rFonts w:ascii="Arial" w:eastAsia="Arial Unicode MS" w:hAnsi="Arial" w:cs="Arial"/>
                <w:color w:val="000000"/>
                <w:sz w:val="20"/>
                <w:szCs w:val="20"/>
              </w:rPr>
            </w:pPr>
          </w:p>
        </w:tc>
        <w:tc>
          <w:tcPr>
            <w:tcW w:w="1743" w:type="dxa"/>
            <w:tcBorders>
              <w:top w:val="single" w:sz="4" w:space="0" w:color="auto"/>
            </w:tcBorders>
            <w:shd w:val="clear" w:color="auto" w:fill="auto"/>
            <w:vAlign w:val="bottom"/>
          </w:tcPr>
          <w:p w14:paraId="7460DF88" w14:textId="77777777" w:rsidR="00FF408A" w:rsidRPr="002D2F67" w:rsidRDefault="00FF408A" w:rsidP="005611FE">
            <w:pPr>
              <w:ind w:right="-75"/>
              <w:jc w:val="right"/>
              <w:rPr>
                <w:rFonts w:ascii="Arial" w:eastAsia="Arial Unicode MS" w:hAnsi="Arial" w:cs="Arial"/>
                <w:color w:val="000000"/>
                <w:sz w:val="20"/>
                <w:szCs w:val="20"/>
              </w:rPr>
            </w:pPr>
          </w:p>
        </w:tc>
      </w:tr>
      <w:tr w:rsidR="00225155" w:rsidRPr="002D2F67" w14:paraId="71392C1D" w14:textId="77777777" w:rsidTr="00C57CB9">
        <w:trPr>
          <w:trHeight w:val="20"/>
        </w:trPr>
        <w:tc>
          <w:tcPr>
            <w:tcW w:w="4253" w:type="dxa"/>
            <w:shd w:val="clear" w:color="auto" w:fill="auto"/>
            <w:vAlign w:val="bottom"/>
          </w:tcPr>
          <w:p w14:paraId="301A6952" w14:textId="77777777" w:rsidR="00225155" w:rsidRPr="002D2F67" w:rsidRDefault="00225155" w:rsidP="005611FE">
            <w:pPr>
              <w:ind w:left="-101"/>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Total assets</w:t>
            </w:r>
          </w:p>
        </w:tc>
        <w:tc>
          <w:tcPr>
            <w:tcW w:w="992" w:type="dxa"/>
            <w:shd w:val="clear" w:color="auto" w:fill="auto"/>
            <w:vAlign w:val="bottom"/>
          </w:tcPr>
          <w:p w14:paraId="004733E1" w14:textId="77777777" w:rsidR="00225155" w:rsidRPr="002D2F67" w:rsidRDefault="00225155" w:rsidP="005611FE">
            <w:pPr>
              <w:jc w:val="center"/>
              <w:rPr>
                <w:rFonts w:ascii="Arial" w:eastAsia="Arial Unicode MS" w:hAnsi="Arial" w:cs="Arial"/>
                <w:color w:val="000000"/>
                <w:sz w:val="20"/>
                <w:szCs w:val="20"/>
              </w:rPr>
            </w:pPr>
          </w:p>
        </w:tc>
        <w:tc>
          <w:tcPr>
            <w:tcW w:w="1843" w:type="dxa"/>
            <w:tcBorders>
              <w:bottom w:val="single" w:sz="4" w:space="0" w:color="auto"/>
            </w:tcBorders>
            <w:shd w:val="clear" w:color="auto" w:fill="auto"/>
            <w:vAlign w:val="bottom"/>
          </w:tcPr>
          <w:p w14:paraId="469DDDFC" w14:textId="0C4E5A7F" w:rsidR="00225155" w:rsidRPr="002D2F67" w:rsidRDefault="00E25E9D"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984" w:type="dxa"/>
            <w:tcBorders>
              <w:bottom w:val="single" w:sz="4" w:space="0" w:color="auto"/>
            </w:tcBorders>
            <w:shd w:val="clear" w:color="auto" w:fill="auto"/>
            <w:vAlign w:val="bottom"/>
          </w:tcPr>
          <w:p w14:paraId="3159DC93" w14:textId="2573B732" w:rsidR="00225155"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4</w:t>
            </w:r>
            <w:r w:rsidR="00046AFB"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846</w:t>
            </w:r>
          </w:p>
        </w:tc>
        <w:tc>
          <w:tcPr>
            <w:tcW w:w="1728" w:type="dxa"/>
            <w:tcBorders>
              <w:bottom w:val="single" w:sz="4" w:space="0" w:color="auto"/>
            </w:tcBorders>
            <w:shd w:val="clear" w:color="auto" w:fill="auto"/>
            <w:vAlign w:val="bottom"/>
          </w:tcPr>
          <w:p w14:paraId="5F6FB4F7" w14:textId="7564F95E" w:rsidR="00225155"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65</w:t>
            </w:r>
          </w:p>
        </w:tc>
        <w:tc>
          <w:tcPr>
            <w:tcW w:w="1728" w:type="dxa"/>
            <w:tcBorders>
              <w:bottom w:val="single" w:sz="4" w:space="0" w:color="auto"/>
            </w:tcBorders>
            <w:shd w:val="clear" w:color="auto" w:fill="auto"/>
            <w:vAlign w:val="bottom"/>
          </w:tcPr>
          <w:p w14:paraId="5B7E3F18" w14:textId="3CA2B4A0" w:rsidR="00225155"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4</w:t>
            </w:r>
            <w:r w:rsidR="00DB2B9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911</w:t>
            </w:r>
          </w:p>
        </w:tc>
        <w:tc>
          <w:tcPr>
            <w:tcW w:w="1743" w:type="dxa"/>
            <w:tcBorders>
              <w:bottom w:val="single" w:sz="4" w:space="0" w:color="auto"/>
            </w:tcBorders>
            <w:shd w:val="clear" w:color="auto" w:fill="auto"/>
            <w:vAlign w:val="bottom"/>
          </w:tcPr>
          <w:p w14:paraId="154773FB" w14:textId="77427C7C" w:rsidR="00225155"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4</w:t>
            </w:r>
            <w:r w:rsidR="00DB2B9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911</w:t>
            </w:r>
          </w:p>
        </w:tc>
      </w:tr>
      <w:tr w:rsidR="00FF408A" w:rsidRPr="002D2F67" w14:paraId="0311BB6A" w14:textId="77777777" w:rsidTr="00C57CB9">
        <w:trPr>
          <w:trHeight w:val="20"/>
        </w:trPr>
        <w:tc>
          <w:tcPr>
            <w:tcW w:w="4253" w:type="dxa"/>
            <w:shd w:val="clear" w:color="auto" w:fill="auto"/>
            <w:vAlign w:val="bottom"/>
          </w:tcPr>
          <w:p w14:paraId="395E3CC3" w14:textId="77777777" w:rsidR="00FF408A" w:rsidRPr="002D2F67" w:rsidRDefault="00FF408A" w:rsidP="005611FE">
            <w:pPr>
              <w:ind w:left="-101"/>
              <w:rPr>
                <w:rFonts w:ascii="Arial" w:eastAsia="Arial Unicode MS" w:hAnsi="Arial" w:cs="Arial"/>
                <w:b/>
                <w:bCs/>
                <w:color w:val="000000"/>
                <w:sz w:val="20"/>
                <w:szCs w:val="20"/>
              </w:rPr>
            </w:pPr>
          </w:p>
        </w:tc>
        <w:tc>
          <w:tcPr>
            <w:tcW w:w="992" w:type="dxa"/>
            <w:shd w:val="clear" w:color="auto" w:fill="auto"/>
            <w:vAlign w:val="bottom"/>
          </w:tcPr>
          <w:p w14:paraId="6F4DD1CA" w14:textId="77777777" w:rsidR="00FF408A" w:rsidRPr="002D2F67" w:rsidRDefault="00FF408A" w:rsidP="005611FE">
            <w:pPr>
              <w:jc w:val="center"/>
              <w:rPr>
                <w:rFonts w:ascii="Arial" w:eastAsia="Arial Unicode MS" w:hAnsi="Arial" w:cs="Arial"/>
                <w:color w:val="000000"/>
                <w:sz w:val="20"/>
                <w:szCs w:val="20"/>
              </w:rPr>
            </w:pPr>
          </w:p>
        </w:tc>
        <w:tc>
          <w:tcPr>
            <w:tcW w:w="1843" w:type="dxa"/>
            <w:tcBorders>
              <w:top w:val="single" w:sz="4" w:space="0" w:color="auto"/>
            </w:tcBorders>
            <w:shd w:val="clear" w:color="auto" w:fill="auto"/>
            <w:vAlign w:val="bottom"/>
          </w:tcPr>
          <w:p w14:paraId="17762121" w14:textId="77777777" w:rsidR="00FF408A" w:rsidRPr="002D2F67" w:rsidRDefault="00FF408A" w:rsidP="005611FE">
            <w:pPr>
              <w:ind w:right="-75"/>
              <w:jc w:val="right"/>
              <w:rPr>
                <w:rFonts w:ascii="Arial" w:eastAsia="Arial Unicode MS" w:hAnsi="Arial" w:cs="Arial"/>
                <w:color w:val="000000"/>
                <w:sz w:val="20"/>
                <w:szCs w:val="20"/>
              </w:rPr>
            </w:pPr>
          </w:p>
        </w:tc>
        <w:tc>
          <w:tcPr>
            <w:tcW w:w="1984" w:type="dxa"/>
            <w:tcBorders>
              <w:top w:val="single" w:sz="4" w:space="0" w:color="auto"/>
            </w:tcBorders>
            <w:shd w:val="clear" w:color="auto" w:fill="auto"/>
            <w:vAlign w:val="bottom"/>
          </w:tcPr>
          <w:p w14:paraId="29E1B473" w14:textId="77777777" w:rsidR="00FF408A" w:rsidRPr="002D2F67" w:rsidRDefault="00FF408A" w:rsidP="005611FE">
            <w:pPr>
              <w:ind w:right="-75"/>
              <w:jc w:val="right"/>
              <w:rPr>
                <w:rFonts w:ascii="Arial" w:eastAsia="Arial Unicode MS" w:hAnsi="Arial" w:cs="Arial"/>
                <w:color w:val="000000"/>
                <w:sz w:val="20"/>
                <w:szCs w:val="20"/>
              </w:rPr>
            </w:pPr>
          </w:p>
        </w:tc>
        <w:tc>
          <w:tcPr>
            <w:tcW w:w="1728" w:type="dxa"/>
            <w:tcBorders>
              <w:top w:val="single" w:sz="4" w:space="0" w:color="auto"/>
            </w:tcBorders>
            <w:shd w:val="clear" w:color="auto" w:fill="auto"/>
            <w:vAlign w:val="bottom"/>
          </w:tcPr>
          <w:p w14:paraId="52D461DD" w14:textId="77777777" w:rsidR="00FF408A" w:rsidRPr="002D2F67" w:rsidRDefault="00FF408A" w:rsidP="005611FE">
            <w:pPr>
              <w:ind w:right="-75"/>
              <w:jc w:val="right"/>
              <w:rPr>
                <w:rFonts w:ascii="Arial" w:eastAsia="Arial Unicode MS" w:hAnsi="Arial" w:cs="Arial"/>
                <w:color w:val="000000"/>
                <w:sz w:val="20"/>
                <w:szCs w:val="20"/>
              </w:rPr>
            </w:pPr>
          </w:p>
        </w:tc>
        <w:tc>
          <w:tcPr>
            <w:tcW w:w="1728" w:type="dxa"/>
            <w:tcBorders>
              <w:top w:val="single" w:sz="4" w:space="0" w:color="auto"/>
            </w:tcBorders>
            <w:shd w:val="clear" w:color="auto" w:fill="auto"/>
            <w:vAlign w:val="bottom"/>
          </w:tcPr>
          <w:p w14:paraId="38BB3D11" w14:textId="77777777" w:rsidR="00FF408A" w:rsidRPr="002D2F67" w:rsidRDefault="00FF408A" w:rsidP="005611FE">
            <w:pPr>
              <w:ind w:right="-75"/>
              <w:jc w:val="right"/>
              <w:rPr>
                <w:rFonts w:ascii="Arial" w:eastAsia="Arial Unicode MS" w:hAnsi="Arial" w:cs="Arial"/>
                <w:color w:val="000000"/>
                <w:sz w:val="20"/>
                <w:szCs w:val="20"/>
              </w:rPr>
            </w:pPr>
          </w:p>
        </w:tc>
        <w:tc>
          <w:tcPr>
            <w:tcW w:w="1743" w:type="dxa"/>
            <w:tcBorders>
              <w:top w:val="single" w:sz="4" w:space="0" w:color="auto"/>
            </w:tcBorders>
            <w:shd w:val="clear" w:color="auto" w:fill="auto"/>
            <w:vAlign w:val="bottom"/>
          </w:tcPr>
          <w:p w14:paraId="02229098" w14:textId="77777777" w:rsidR="00FF408A" w:rsidRPr="002D2F67" w:rsidRDefault="00FF408A" w:rsidP="005611FE">
            <w:pPr>
              <w:ind w:right="-75"/>
              <w:jc w:val="right"/>
              <w:rPr>
                <w:rFonts w:ascii="Arial" w:eastAsia="Arial Unicode MS" w:hAnsi="Arial" w:cs="Arial"/>
                <w:color w:val="000000"/>
                <w:sz w:val="20"/>
                <w:szCs w:val="20"/>
              </w:rPr>
            </w:pPr>
          </w:p>
        </w:tc>
      </w:tr>
      <w:tr w:rsidR="00FF408A" w:rsidRPr="002D2F67" w14:paraId="6FBA5D78" w14:textId="77777777" w:rsidTr="00C57CB9">
        <w:trPr>
          <w:trHeight w:val="20"/>
        </w:trPr>
        <w:tc>
          <w:tcPr>
            <w:tcW w:w="4253" w:type="dxa"/>
            <w:shd w:val="clear" w:color="auto" w:fill="auto"/>
            <w:vAlign w:val="bottom"/>
          </w:tcPr>
          <w:p w14:paraId="5A4F7AB8" w14:textId="77777777" w:rsidR="00FF408A" w:rsidRPr="002D2F67" w:rsidRDefault="00FF408A" w:rsidP="005611FE">
            <w:pPr>
              <w:ind w:left="-101"/>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Liabilities</w:t>
            </w:r>
          </w:p>
        </w:tc>
        <w:tc>
          <w:tcPr>
            <w:tcW w:w="992" w:type="dxa"/>
            <w:shd w:val="clear" w:color="auto" w:fill="auto"/>
            <w:vAlign w:val="bottom"/>
          </w:tcPr>
          <w:p w14:paraId="3623D1F0" w14:textId="77777777" w:rsidR="00FF408A" w:rsidRPr="002D2F67" w:rsidRDefault="00FF408A" w:rsidP="005611FE">
            <w:pPr>
              <w:jc w:val="center"/>
              <w:rPr>
                <w:rFonts w:ascii="Arial" w:eastAsia="Arial Unicode MS" w:hAnsi="Arial" w:cs="Arial"/>
                <w:color w:val="000000"/>
                <w:sz w:val="20"/>
                <w:szCs w:val="20"/>
              </w:rPr>
            </w:pPr>
          </w:p>
        </w:tc>
        <w:tc>
          <w:tcPr>
            <w:tcW w:w="1843" w:type="dxa"/>
            <w:shd w:val="clear" w:color="auto" w:fill="auto"/>
            <w:vAlign w:val="bottom"/>
          </w:tcPr>
          <w:p w14:paraId="1739A202" w14:textId="77777777" w:rsidR="00FF408A" w:rsidRPr="002D2F67" w:rsidRDefault="00FF408A" w:rsidP="005611FE">
            <w:pPr>
              <w:ind w:right="-75"/>
              <w:jc w:val="right"/>
              <w:rPr>
                <w:rFonts w:ascii="Arial" w:eastAsia="Arial Unicode MS" w:hAnsi="Arial" w:cs="Arial"/>
                <w:color w:val="000000"/>
                <w:sz w:val="20"/>
                <w:szCs w:val="20"/>
              </w:rPr>
            </w:pPr>
          </w:p>
        </w:tc>
        <w:tc>
          <w:tcPr>
            <w:tcW w:w="1984" w:type="dxa"/>
            <w:shd w:val="clear" w:color="auto" w:fill="auto"/>
            <w:vAlign w:val="bottom"/>
          </w:tcPr>
          <w:p w14:paraId="1908D496" w14:textId="77777777" w:rsidR="00FF408A" w:rsidRPr="002D2F67" w:rsidRDefault="00FF408A"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02D03844" w14:textId="77777777" w:rsidR="00FF408A" w:rsidRPr="002D2F67" w:rsidRDefault="00FF408A"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090B3DE8" w14:textId="77777777" w:rsidR="00FF408A" w:rsidRPr="002D2F67" w:rsidRDefault="00FF408A" w:rsidP="005611FE">
            <w:pPr>
              <w:ind w:right="-75"/>
              <w:jc w:val="right"/>
              <w:rPr>
                <w:rFonts w:ascii="Arial" w:eastAsia="Arial Unicode MS" w:hAnsi="Arial" w:cs="Arial"/>
                <w:color w:val="000000"/>
                <w:sz w:val="20"/>
                <w:szCs w:val="20"/>
              </w:rPr>
            </w:pPr>
          </w:p>
        </w:tc>
        <w:tc>
          <w:tcPr>
            <w:tcW w:w="1743" w:type="dxa"/>
            <w:shd w:val="clear" w:color="auto" w:fill="auto"/>
            <w:vAlign w:val="bottom"/>
          </w:tcPr>
          <w:p w14:paraId="0F529F6A" w14:textId="77777777" w:rsidR="00FF408A" w:rsidRPr="002D2F67" w:rsidRDefault="00FF408A" w:rsidP="005611FE">
            <w:pPr>
              <w:ind w:right="-75"/>
              <w:jc w:val="right"/>
              <w:rPr>
                <w:rFonts w:ascii="Arial" w:eastAsia="Arial Unicode MS" w:hAnsi="Arial" w:cs="Arial"/>
                <w:color w:val="000000"/>
                <w:sz w:val="20"/>
                <w:szCs w:val="20"/>
              </w:rPr>
            </w:pPr>
          </w:p>
        </w:tc>
      </w:tr>
      <w:tr w:rsidR="00A448C1" w:rsidRPr="002D2F67" w14:paraId="25A8AFE7" w14:textId="77777777" w:rsidTr="00C57CB9">
        <w:trPr>
          <w:trHeight w:val="20"/>
        </w:trPr>
        <w:tc>
          <w:tcPr>
            <w:tcW w:w="4253" w:type="dxa"/>
            <w:shd w:val="clear" w:color="auto" w:fill="auto"/>
            <w:vAlign w:val="bottom"/>
          </w:tcPr>
          <w:p w14:paraId="5BA0A97C" w14:textId="77777777" w:rsidR="00A448C1" w:rsidRPr="002D2F67" w:rsidRDefault="00A448C1" w:rsidP="005611FE">
            <w:pPr>
              <w:ind w:left="-101"/>
              <w:rPr>
                <w:rFonts w:ascii="Arial" w:eastAsia="Arial Unicode MS" w:hAnsi="Arial" w:cs="Arial"/>
                <w:color w:val="000000"/>
                <w:sz w:val="20"/>
                <w:szCs w:val="20"/>
              </w:rPr>
            </w:pPr>
            <w:r w:rsidRPr="002D2F67">
              <w:rPr>
                <w:rFonts w:ascii="Arial" w:eastAsia="Arial Unicode MS" w:hAnsi="Arial" w:cs="Arial"/>
                <w:color w:val="000000"/>
                <w:sz w:val="20"/>
                <w:szCs w:val="20"/>
              </w:rPr>
              <w:t>Long-term loans from financial institutions, net</w:t>
            </w:r>
          </w:p>
        </w:tc>
        <w:tc>
          <w:tcPr>
            <w:tcW w:w="992" w:type="dxa"/>
            <w:shd w:val="clear" w:color="auto" w:fill="auto"/>
            <w:vAlign w:val="bottom"/>
          </w:tcPr>
          <w:p w14:paraId="3D92D709" w14:textId="2B89B748" w:rsidR="00A448C1" w:rsidRPr="002D2F67" w:rsidRDefault="00CD5714" w:rsidP="005611FE">
            <w:pPr>
              <w:jc w:val="center"/>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w:t>
            </w:r>
          </w:p>
        </w:tc>
        <w:tc>
          <w:tcPr>
            <w:tcW w:w="1843" w:type="dxa"/>
            <w:shd w:val="clear" w:color="auto" w:fill="auto"/>
            <w:vAlign w:val="bottom"/>
          </w:tcPr>
          <w:p w14:paraId="455037B4" w14:textId="34F2781A" w:rsidR="00A448C1" w:rsidRPr="002D2F67" w:rsidRDefault="00E25E9D"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984" w:type="dxa"/>
            <w:shd w:val="clear" w:color="auto" w:fill="auto"/>
            <w:vAlign w:val="bottom"/>
          </w:tcPr>
          <w:p w14:paraId="3175E083" w14:textId="05A0DA6B" w:rsidR="00A448C1" w:rsidRPr="002D2F67" w:rsidRDefault="00046AFB"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728" w:type="dxa"/>
            <w:shd w:val="clear" w:color="auto" w:fill="auto"/>
            <w:vAlign w:val="bottom"/>
          </w:tcPr>
          <w:p w14:paraId="1232DF8E" w14:textId="70EDD227" w:rsidR="00A448C1"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9</w:t>
            </w:r>
            <w:r w:rsidR="00046AFB"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229</w:t>
            </w:r>
          </w:p>
        </w:tc>
        <w:tc>
          <w:tcPr>
            <w:tcW w:w="1728" w:type="dxa"/>
            <w:shd w:val="clear" w:color="auto" w:fill="auto"/>
            <w:vAlign w:val="bottom"/>
          </w:tcPr>
          <w:p w14:paraId="44B6F585" w14:textId="1DB9F186" w:rsidR="00A448C1"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9</w:t>
            </w:r>
            <w:r w:rsidR="00CB25C2"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229</w:t>
            </w:r>
          </w:p>
        </w:tc>
        <w:tc>
          <w:tcPr>
            <w:tcW w:w="1743" w:type="dxa"/>
            <w:shd w:val="clear" w:color="auto" w:fill="auto"/>
            <w:vAlign w:val="bottom"/>
          </w:tcPr>
          <w:p w14:paraId="39F5CC3A" w14:textId="40B36FE9" w:rsidR="00A448C1"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9</w:t>
            </w:r>
            <w:r w:rsidR="00CB25C2"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278</w:t>
            </w:r>
          </w:p>
        </w:tc>
      </w:tr>
      <w:tr w:rsidR="00911E6B" w:rsidRPr="002D2F67" w14:paraId="104F2E2D" w14:textId="77777777" w:rsidTr="00C57CB9">
        <w:trPr>
          <w:trHeight w:val="20"/>
        </w:trPr>
        <w:tc>
          <w:tcPr>
            <w:tcW w:w="4253" w:type="dxa"/>
            <w:shd w:val="clear" w:color="auto" w:fill="auto"/>
            <w:vAlign w:val="bottom"/>
          </w:tcPr>
          <w:p w14:paraId="66267E1C" w14:textId="013A4F07" w:rsidR="00911E6B" w:rsidRPr="002D2F67" w:rsidRDefault="00911E6B" w:rsidP="005611FE">
            <w:pPr>
              <w:ind w:left="-101"/>
              <w:rPr>
                <w:rFonts w:ascii="Arial" w:eastAsia="Arial Unicode MS" w:hAnsi="Arial" w:cs="Arial"/>
                <w:color w:val="000000"/>
                <w:sz w:val="20"/>
                <w:szCs w:val="20"/>
              </w:rPr>
            </w:pPr>
            <w:r w:rsidRPr="002D2F67">
              <w:rPr>
                <w:rFonts w:ascii="Arial" w:eastAsia="Arial Unicode MS" w:hAnsi="Arial" w:cs="Arial"/>
                <w:color w:val="000000"/>
                <w:sz w:val="20"/>
                <w:szCs w:val="20"/>
              </w:rPr>
              <w:t>Derivatives not qualifying as hedge accounting</w:t>
            </w:r>
          </w:p>
        </w:tc>
        <w:tc>
          <w:tcPr>
            <w:tcW w:w="992" w:type="dxa"/>
            <w:shd w:val="clear" w:color="auto" w:fill="auto"/>
            <w:vAlign w:val="bottom"/>
          </w:tcPr>
          <w:p w14:paraId="6DC0DFB8" w14:textId="77777777" w:rsidR="00911E6B" w:rsidRPr="002D2F67" w:rsidRDefault="00911E6B" w:rsidP="005611FE">
            <w:pPr>
              <w:jc w:val="center"/>
              <w:rPr>
                <w:rFonts w:ascii="Arial" w:eastAsia="Arial Unicode MS" w:hAnsi="Arial" w:cs="Arial"/>
                <w:color w:val="000000"/>
                <w:sz w:val="20"/>
                <w:szCs w:val="20"/>
              </w:rPr>
            </w:pPr>
          </w:p>
        </w:tc>
        <w:tc>
          <w:tcPr>
            <w:tcW w:w="1843" w:type="dxa"/>
            <w:shd w:val="clear" w:color="auto" w:fill="auto"/>
            <w:vAlign w:val="bottom"/>
          </w:tcPr>
          <w:p w14:paraId="1B539719" w14:textId="2E796234" w:rsidR="00911E6B" w:rsidRPr="002D2F67" w:rsidRDefault="00911E6B" w:rsidP="005611FE">
            <w:pPr>
              <w:ind w:right="-75"/>
              <w:jc w:val="right"/>
              <w:rPr>
                <w:rFonts w:ascii="Arial" w:eastAsia="Arial Unicode MS" w:hAnsi="Arial" w:cs="Arial"/>
                <w:color w:val="000000"/>
                <w:sz w:val="20"/>
                <w:szCs w:val="20"/>
              </w:rPr>
            </w:pPr>
          </w:p>
        </w:tc>
        <w:tc>
          <w:tcPr>
            <w:tcW w:w="1984" w:type="dxa"/>
            <w:shd w:val="clear" w:color="auto" w:fill="auto"/>
            <w:vAlign w:val="bottom"/>
          </w:tcPr>
          <w:p w14:paraId="70D85A4B" w14:textId="0A6AA11C" w:rsidR="00911E6B" w:rsidRPr="002D2F67" w:rsidRDefault="00911E6B"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370CE2A3" w14:textId="77777777" w:rsidR="00911E6B" w:rsidRPr="002D2F67" w:rsidRDefault="00911E6B"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045F5691" w14:textId="77777777" w:rsidR="00911E6B" w:rsidRPr="002D2F67" w:rsidRDefault="00911E6B" w:rsidP="005611FE">
            <w:pPr>
              <w:ind w:right="-75"/>
              <w:jc w:val="right"/>
              <w:rPr>
                <w:rFonts w:ascii="Arial" w:eastAsia="Arial Unicode MS" w:hAnsi="Arial" w:cs="Arial"/>
                <w:color w:val="000000"/>
                <w:sz w:val="20"/>
                <w:szCs w:val="20"/>
              </w:rPr>
            </w:pPr>
          </w:p>
        </w:tc>
        <w:tc>
          <w:tcPr>
            <w:tcW w:w="1743" w:type="dxa"/>
            <w:shd w:val="clear" w:color="auto" w:fill="auto"/>
            <w:vAlign w:val="bottom"/>
          </w:tcPr>
          <w:p w14:paraId="5888B9DD" w14:textId="77777777" w:rsidR="00911E6B" w:rsidRPr="002D2F67" w:rsidRDefault="00911E6B" w:rsidP="005611FE">
            <w:pPr>
              <w:ind w:right="-75"/>
              <w:jc w:val="right"/>
              <w:rPr>
                <w:rFonts w:ascii="Arial" w:eastAsia="Arial Unicode MS" w:hAnsi="Arial" w:cs="Arial"/>
                <w:color w:val="000000"/>
                <w:sz w:val="20"/>
                <w:szCs w:val="20"/>
              </w:rPr>
            </w:pPr>
          </w:p>
        </w:tc>
      </w:tr>
      <w:tr w:rsidR="00911E6B" w:rsidRPr="002D2F67" w14:paraId="5D2F6E06" w14:textId="77777777" w:rsidTr="00311BC7">
        <w:trPr>
          <w:trHeight w:val="20"/>
        </w:trPr>
        <w:tc>
          <w:tcPr>
            <w:tcW w:w="4253" w:type="dxa"/>
            <w:shd w:val="clear" w:color="auto" w:fill="auto"/>
            <w:vAlign w:val="bottom"/>
          </w:tcPr>
          <w:p w14:paraId="0FE74F4B" w14:textId="34F6824E" w:rsidR="00911E6B" w:rsidRPr="002D2F67" w:rsidRDefault="00911E6B" w:rsidP="005611FE">
            <w:pPr>
              <w:ind w:left="-101"/>
              <w:rPr>
                <w:rFonts w:ascii="Arial" w:eastAsia="Arial Unicode MS" w:hAnsi="Arial" w:cs="Arial"/>
                <w:color w:val="000000"/>
                <w:sz w:val="20"/>
                <w:szCs w:val="20"/>
              </w:rPr>
            </w:pPr>
            <w:r w:rsidRPr="002D2F67">
              <w:rPr>
                <w:rFonts w:ascii="Arial" w:eastAsia="Arial Unicode MS" w:hAnsi="Arial" w:cs="Arial"/>
                <w:color w:val="000000"/>
                <w:sz w:val="20"/>
                <w:szCs w:val="20"/>
              </w:rPr>
              <w:t xml:space="preserve">   - Cross currency interest rate swap</w:t>
            </w:r>
          </w:p>
        </w:tc>
        <w:tc>
          <w:tcPr>
            <w:tcW w:w="992" w:type="dxa"/>
            <w:shd w:val="clear" w:color="auto" w:fill="auto"/>
            <w:vAlign w:val="bottom"/>
          </w:tcPr>
          <w:p w14:paraId="37D9AFB6" w14:textId="2CC02297" w:rsidR="00911E6B" w:rsidRPr="002D2F67" w:rsidRDefault="00CD5714" w:rsidP="005611FE">
            <w:pPr>
              <w:jc w:val="center"/>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w:t>
            </w:r>
          </w:p>
        </w:tc>
        <w:tc>
          <w:tcPr>
            <w:tcW w:w="1843" w:type="dxa"/>
            <w:shd w:val="clear" w:color="auto" w:fill="auto"/>
            <w:vAlign w:val="bottom"/>
          </w:tcPr>
          <w:p w14:paraId="3536AD30" w14:textId="11410C34" w:rsidR="00911E6B"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325</w:t>
            </w:r>
          </w:p>
        </w:tc>
        <w:tc>
          <w:tcPr>
            <w:tcW w:w="1984" w:type="dxa"/>
            <w:shd w:val="clear" w:color="auto" w:fill="auto"/>
            <w:vAlign w:val="bottom"/>
          </w:tcPr>
          <w:p w14:paraId="0D9EDCA3" w14:textId="37B37861" w:rsidR="00911E6B" w:rsidRPr="002D2F67" w:rsidRDefault="00046AFB"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728" w:type="dxa"/>
            <w:shd w:val="clear" w:color="auto" w:fill="auto"/>
            <w:vAlign w:val="bottom"/>
          </w:tcPr>
          <w:p w14:paraId="228316A8" w14:textId="234A9F75" w:rsidR="00911E6B" w:rsidRPr="002D2F67" w:rsidRDefault="00046AFB"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728" w:type="dxa"/>
            <w:shd w:val="clear" w:color="auto" w:fill="auto"/>
            <w:vAlign w:val="bottom"/>
          </w:tcPr>
          <w:p w14:paraId="1A0902C6" w14:textId="034BAD05" w:rsidR="00911E6B"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325</w:t>
            </w:r>
          </w:p>
        </w:tc>
        <w:tc>
          <w:tcPr>
            <w:tcW w:w="1743" w:type="dxa"/>
            <w:shd w:val="clear" w:color="auto" w:fill="auto"/>
            <w:vAlign w:val="bottom"/>
          </w:tcPr>
          <w:p w14:paraId="66BC344D" w14:textId="7838F382" w:rsidR="00911E6B"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325</w:t>
            </w:r>
          </w:p>
        </w:tc>
      </w:tr>
      <w:tr w:rsidR="0058305E" w:rsidRPr="002D2F67" w14:paraId="7512DDA8" w14:textId="77777777" w:rsidTr="00311BC7">
        <w:trPr>
          <w:trHeight w:val="20"/>
        </w:trPr>
        <w:tc>
          <w:tcPr>
            <w:tcW w:w="4253" w:type="dxa"/>
            <w:shd w:val="clear" w:color="auto" w:fill="auto"/>
            <w:vAlign w:val="bottom"/>
          </w:tcPr>
          <w:p w14:paraId="1B113BC4" w14:textId="298D2A8E" w:rsidR="0058305E" w:rsidRPr="002D2F67" w:rsidRDefault="0058305E" w:rsidP="0058305E">
            <w:pPr>
              <w:ind w:left="-101"/>
              <w:rPr>
                <w:rFonts w:ascii="Arial" w:eastAsia="Arial Unicode MS" w:hAnsi="Arial" w:cs="Arial"/>
                <w:color w:val="000000"/>
                <w:sz w:val="20"/>
                <w:szCs w:val="20"/>
              </w:rPr>
            </w:pPr>
            <w:r w:rsidRPr="002D2F67">
              <w:rPr>
                <w:rFonts w:ascii="Arial" w:eastAsia="Arial Unicode MS" w:hAnsi="Arial" w:cs="Arial"/>
                <w:color w:val="000000"/>
                <w:sz w:val="20"/>
                <w:szCs w:val="20"/>
              </w:rPr>
              <w:t xml:space="preserve">   - Interest rate swap</w:t>
            </w:r>
          </w:p>
        </w:tc>
        <w:tc>
          <w:tcPr>
            <w:tcW w:w="992" w:type="dxa"/>
            <w:shd w:val="clear" w:color="auto" w:fill="auto"/>
            <w:vAlign w:val="bottom"/>
          </w:tcPr>
          <w:p w14:paraId="7F2E9AED" w14:textId="0C8A738C" w:rsidR="0058305E" w:rsidRPr="002D2F67" w:rsidRDefault="00CD5714" w:rsidP="005611FE">
            <w:pPr>
              <w:jc w:val="center"/>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w:t>
            </w:r>
          </w:p>
        </w:tc>
        <w:tc>
          <w:tcPr>
            <w:tcW w:w="1843" w:type="dxa"/>
            <w:shd w:val="clear" w:color="auto" w:fill="auto"/>
            <w:vAlign w:val="bottom"/>
          </w:tcPr>
          <w:p w14:paraId="39FA764D" w14:textId="14EFAA3E" w:rsidR="0058305E"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75</w:t>
            </w:r>
          </w:p>
        </w:tc>
        <w:tc>
          <w:tcPr>
            <w:tcW w:w="1984" w:type="dxa"/>
            <w:shd w:val="clear" w:color="auto" w:fill="auto"/>
            <w:vAlign w:val="bottom"/>
          </w:tcPr>
          <w:p w14:paraId="589939B8" w14:textId="2425FCDD" w:rsidR="0058305E" w:rsidRPr="002D2F67" w:rsidRDefault="0058305E"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728" w:type="dxa"/>
            <w:shd w:val="clear" w:color="auto" w:fill="auto"/>
            <w:vAlign w:val="bottom"/>
          </w:tcPr>
          <w:p w14:paraId="09482835" w14:textId="60627044" w:rsidR="0058305E" w:rsidRPr="002D2F67" w:rsidRDefault="0058305E"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728" w:type="dxa"/>
            <w:shd w:val="clear" w:color="auto" w:fill="auto"/>
            <w:vAlign w:val="bottom"/>
          </w:tcPr>
          <w:p w14:paraId="303B1CFF" w14:textId="6CFF2B13" w:rsidR="0058305E"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75</w:t>
            </w:r>
          </w:p>
        </w:tc>
        <w:tc>
          <w:tcPr>
            <w:tcW w:w="1743" w:type="dxa"/>
            <w:shd w:val="clear" w:color="auto" w:fill="auto"/>
            <w:vAlign w:val="bottom"/>
          </w:tcPr>
          <w:p w14:paraId="66D42EC3" w14:textId="534EF5F1" w:rsidR="0058305E"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75</w:t>
            </w:r>
          </w:p>
        </w:tc>
      </w:tr>
      <w:tr w:rsidR="005611FE" w:rsidRPr="002D2F67" w14:paraId="7009E0A1" w14:textId="77777777" w:rsidTr="00311BC7">
        <w:trPr>
          <w:trHeight w:val="20"/>
        </w:trPr>
        <w:tc>
          <w:tcPr>
            <w:tcW w:w="4253" w:type="dxa"/>
            <w:shd w:val="clear" w:color="auto" w:fill="auto"/>
            <w:vAlign w:val="bottom"/>
          </w:tcPr>
          <w:p w14:paraId="5370FACC" w14:textId="77777777" w:rsidR="00911E6B" w:rsidRPr="002D2F67" w:rsidRDefault="00911E6B" w:rsidP="005611FE">
            <w:pPr>
              <w:ind w:left="-101"/>
              <w:rPr>
                <w:rFonts w:ascii="Arial" w:eastAsia="Arial Unicode MS" w:hAnsi="Arial" w:cs="Arial"/>
                <w:color w:val="000000"/>
                <w:sz w:val="20"/>
                <w:szCs w:val="20"/>
              </w:rPr>
            </w:pPr>
            <w:r w:rsidRPr="002D2F67">
              <w:rPr>
                <w:rFonts w:ascii="Arial" w:eastAsia="Arial Unicode MS" w:hAnsi="Arial" w:cs="Arial"/>
                <w:color w:val="000000"/>
                <w:sz w:val="20"/>
                <w:szCs w:val="20"/>
              </w:rPr>
              <w:t>Debentures, net</w:t>
            </w:r>
          </w:p>
        </w:tc>
        <w:tc>
          <w:tcPr>
            <w:tcW w:w="992" w:type="dxa"/>
            <w:shd w:val="clear" w:color="auto" w:fill="auto"/>
            <w:vAlign w:val="bottom"/>
          </w:tcPr>
          <w:p w14:paraId="305241B2" w14:textId="55CD52FF" w:rsidR="00911E6B" w:rsidRPr="002D2F67" w:rsidRDefault="00CD5714" w:rsidP="005611FE">
            <w:pPr>
              <w:jc w:val="center"/>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w:t>
            </w:r>
          </w:p>
        </w:tc>
        <w:tc>
          <w:tcPr>
            <w:tcW w:w="1843" w:type="dxa"/>
            <w:tcBorders>
              <w:bottom w:val="single" w:sz="4" w:space="0" w:color="auto"/>
            </w:tcBorders>
            <w:shd w:val="clear" w:color="auto" w:fill="auto"/>
            <w:vAlign w:val="bottom"/>
          </w:tcPr>
          <w:p w14:paraId="5EAF1E7B" w14:textId="270D3E8D" w:rsidR="00911E6B" w:rsidRPr="002D2F67" w:rsidRDefault="00311BC7"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5"/>
              </w:rPr>
              <w:t>-</w:t>
            </w:r>
          </w:p>
        </w:tc>
        <w:tc>
          <w:tcPr>
            <w:tcW w:w="1984" w:type="dxa"/>
            <w:tcBorders>
              <w:bottom w:val="single" w:sz="4" w:space="0" w:color="auto"/>
            </w:tcBorders>
            <w:shd w:val="clear" w:color="auto" w:fill="auto"/>
            <w:vAlign w:val="bottom"/>
          </w:tcPr>
          <w:p w14:paraId="7F314632" w14:textId="7B1DE678" w:rsidR="00911E6B" w:rsidRPr="002D2F67" w:rsidRDefault="00046AFB"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728" w:type="dxa"/>
            <w:tcBorders>
              <w:bottom w:val="single" w:sz="4" w:space="0" w:color="auto"/>
            </w:tcBorders>
            <w:shd w:val="clear" w:color="auto" w:fill="auto"/>
            <w:vAlign w:val="bottom"/>
          </w:tcPr>
          <w:p w14:paraId="205EF37D" w14:textId="3529E501" w:rsidR="00911E6B"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31</w:t>
            </w:r>
            <w:r w:rsidR="00046AFB"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152</w:t>
            </w:r>
          </w:p>
        </w:tc>
        <w:tc>
          <w:tcPr>
            <w:tcW w:w="1728" w:type="dxa"/>
            <w:tcBorders>
              <w:bottom w:val="single" w:sz="4" w:space="0" w:color="auto"/>
            </w:tcBorders>
            <w:shd w:val="clear" w:color="auto" w:fill="auto"/>
            <w:vAlign w:val="bottom"/>
          </w:tcPr>
          <w:p w14:paraId="75AFB7AE" w14:textId="600ED43D" w:rsidR="00911E6B"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31</w:t>
            </w:r>
            <w:r w:rsidR="00CB25C2"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152</w:t>
            </w:r>
          </w:p>
        </w:tc>
        <w:tc>
          <w:tcPr>
            <w:tcW w:w="1743" w:type="dxa"/>
            <w:tcBorders>
              <w:bottom w:val="single" w:sz="4" w:space="0" w:color="auto"/>
            </w:tcBorders>
            <w:shd w:val="clear" w:color="auto" w:fill="auto"/>
            <w:vAlign w:val="bottom"/>
          </w:tcPr>
          <w:p w14:paraId="71269408" w14:textId="3F27093C" w:rsidR="00911E6B"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27</w:t>
            </w:r>
            <w:r w:rsidR="00CB25C2"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051</w:t>
            </w:r>
          </w:p>
        </w:tc>
      </w:tr>
      <w:tr w:rsidR="005611FE" w:rsidRPr="002D2F67" w14:paraId="3163C6AB" w14:textId="77777777" w:rsidTr="00C57CB9">
        <w:trPr>
          <w:trHeight w:val="20"/>
        </w:trPr>
        <w:tc>
          <w:tcPr>
            <w:tcW w:w="4253" w:type="dxa"/>
            <w:shd w:val="clear" w:color="auto" w:fill="auto"/>
            <w:vAlign w:val="bottom"/>
          </w:tcPr>
          <w:p w14:paraId="42ABC29A" w14:textId="77777777" w:rsidR="00911E6B" w:rsidRPr="002D2F67" w:rsidRDefault="00911E6B" w:rsidP="005611FE">
            <w:pPr>
              <w:ind w:left="-101"/>
              <w:rPr>
                <w:rFonts w:ascii="Arial" w:eastAsia="Arial Unicode MS" w:hAnsi="Arial" w:cs="Arial"/>
                <w:color w:val="000000"/>
                <w:sz w:val="20"/>
                <w:szCs w:val="20"/>
              </w:rPr>
            </w:pPr>
          </w:p>
        </w:tc>
        <w:tc>
          <w:tcPr>
            <w:tcW w:w="992" w:type="dxa"/>
            <w:shd w:val="clear" w:color="auto" w:fill="auto"/>
            <w:vAlign w:val="bottom"/>
          </w:tcPr>
          <w:p w14:paraId="52555E0B" w14:textId="77777777" w:rsidR="00911E6B" w:rsidRPr="002D2F67" w:rsidRDefault="00911E6B" w:rsidP="005611FE">
            <w:pPr>
              <w:jc w:val="center"/>
              <w:rPr>
                <w:rFonts w:ascii="Arial" w:eastAsia="Arial Unicode MS" w:hAnsi="Arial" w:cs="Arial"/>
                <w:color w:val="000000"/>
                <w:sz w:val="20"/>
                <w:szCs w:val="20"/>
              </w:rPr>
            </w:pPr>
          </w:p>
        </w:tc>
        <w:tc>
          <w:tcPr>
            <w:tcW w:w="1843" w:type="dxa"/>
            <w:tcBorders>
              <w:top w:val="single" w:sz="4" w:space="0" w:color="auto"/>
            </w:tcBorders>
            <w:shd w:val="clear" w:color="auto" w:fill="auto"/>
            <w:vAlign w:val="bottom"/>
          </w:tcPr>
          <w:p w14:paraId="3005AC81" w14:textId="77777777" w:rsidR="00911E6B" w:rsidRPr="002D2F67" w:rsidRDefault="00911E6B" w:rsidP="005611FE">
            <w:pPr>
              <w:ind w:right="-75"/>
              <w:jc w:val="right"/>
              <w:rPr>
                <w:rFonts w:ascii="Arial" w:eastAsia="Arial Unicode MS" w:hAnsi="Arial" w:cs="Arial"/>
                <w:color w:val="000000"/>
                <w:sz w:val="20"/>
                <w:szCs w:val="20"/>
              </w:rPr>
            </w:pPr>
          </w:p>
        </w:tc>
        <w:tc>
          <w:tcPr>
            <w:tcW w:w="1984" w:type="dxa"/>
            <w:tcBorders>
              <w:top w:val="single" w:sz="4" w:space="0" w:color="auto"/>
            </w:tcBorders>
            <w:shd w:val="clear" w:color="auto" w:fill="auto"/>
            <w:vAlign w:val="bottom"/>
          </w:tcPr>
          <w:p w14:paraId="64B7A8E7" w14:textId="77777777" w:rsidR="00911E6B" w:rsidRPr="002D2F67" w:rsidRDefault="00911E6B" w:rsidP="005611FE">
            <w:pPr>
              <w:ind w:right="-75"/>
              <w:jc w:val="right"/>
              <w:rPr>
                <w:rFonts w:ascii="Arial" w:eastAsia="Arial Unicode MS" w:hAnsi="Arial" w:cs="Arial"/>
                <w:color w:val="000000"/>
                <w:sz w:val="20"/>
                <w:szCs w:val="20"/>
              </w:rPr>
            </w:pPr>
          </w:p>
        </w:tc>
        <w:tc>
          <w:tcPr>
            <w:tcW w:w="1728" w:type="dxa"/>
            <w:tcBorders>
              <w:top w:val="single" w:sz="4" w:space="0" w:color="auto"/>
            </w:tcBorders>
            <w:shd w:val="clear" w:color="auto" w:fill="auto"/>
            <w:vAlign w:val="bottom"/>
          </w:tcPr>
          <w:p w14:paraId="74D7902A" w14:textId="77777777" w:rsidR="00911E6B" w:rsidRPr="002D2F67" w:rsidRDefault="00911E6B" w:rsidP="005611FE">
            <w:pPr>
              <w:ind w:right="-75"/>
              <w:jc w:val="right"/>
              <w:rPr>
                <w:rFonts w:ascii="Arial" w:eastAsia="Arial Unicode MS" w:hAnsi="Arial" w:cs="Arial"/>
                <w:color w:val="000000"/>
                <w:sz w:val="20"/>
                <w:szCs w:val="20"/>
              </w:rPr>
            </w:pPr>
          </w:p>
        </w:tc>
        <w:tc>
          <w:tcPr>
            <w:tcW w:w="1728" w:type="dxa"/>
            <w:tcBorders>
              <w:top w:val="single" w:sz="4" w:space="0" w:color="auto"/>
            </w:tcBorders>
            <w:shd w:val="clear" w:color="auto" w:fill="auto"/>
            <w:vAlign w:val="bottom"/>
          </w:tcPr>
          <w:p w14:paraId="0CC28AD4" w14:textId="77777777" w:rsidR="00911E6B" w:rsidRPr="002D2F67" w:rsidRDefault="00911E6B" w:rsidP="005611FE">
            <w:pPr>
              <w:ind w:right="-75"/>
              <w:jc w:val="right"/>
              <w:rPr>
                <w:rFonts w:ascii="Arial" w:eastAsia="Arial Unicode MS" w:hAnsi="Arial" w:cs="Arial"/>
                <w:color w:val="000000"/>
                <w:sz w:val="20"/>
                <w:szCs w:val="20"/>
              </w:rPr>
            </w:pPr>
          </w:p>
        </w:tc>
        <w:tc>
          <w:tcPr>
            <w:tcW w:w="1743" w:type="dxa"/>
            <w:tcBorders>
              <w:top w:val="single" w:sz="4" w:space="0" w:color="auto"/>
            </w:tcBorders>
            <w:shd w:val="clear" w:color="auto" w:fill="auto"/>
            <w:vAlign w:val="bottom"/>
          </w:tcPr>
          <w:p w14:paraId="1E54AC54" w14:textId="77777777" w:rsidR="00911E6B" w:rsidRPr="002D2F67" w:rsidRDefault="00911E6B" w:rsidP="005611FE">
            <w:pPr>
              <w:ind w:right="-75"/>
              <w:jc w:val="right"/>
              <w:rPr>
                <w:rFonts w:ascii="Arial" w:eastAsia="Arial Unicode MS" w:hAnsi="Arial" w:cs="Arial"/>
                <w:color w:val="000000"/>
                <w:sz w:val="20"/>
                <w:szCs w:val="20"/>
              </w:rPr>
            </w:pPr>
          </w:p>
        </w:tc>
      </w:tr>
      <w:tr w:rsidR="00911E6B" w:rsidRPr="002D2F67" w14:paraId="1F706D17" w14:textId="77777777" w:rsidTr="00C57CB9">
        <w:trPr>
          <w:trHeight w:val="20"/>
        </w:trPr>
        <w:tc>
          <w:tcPr>
            <w:tcW w:w="4253" w:type="dxa"/>
            <w:shd w:val="clear" w:color="auto" w:fill="auto"/>
            <w:vAlign w:val="bottom"/>
          </w:tcPr>
          <w:p w14:paraId="5BC951C8" w14:textId="77777777" w:rsidR="00911E6B" w:rsidRPr="002D2F67" w:rsidRDefault="00911E6B" w:rsidP="005611FE">
            <w:pPr>
              <w:ind w:left="-101"/>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Total liabilities</w:t>
            </w:r>
          </w:p>
        </w:tc>
        <w:tc>
          <w:tcPr>
            <w:tcW w:w="992" w:type="dxa"/>
            <w:shd w:val="clear" w:color="auto" w:fill="auto"/>
            <w:vAlign w:val="bottom"/>
          </w:tcPr>
          <w:p w14:paraId="55534052" w14:textId="77777777" w:rsidR="00911E6B" w:rsidRPr="002D2F67" w:rsidRDefault="00911E6B" w:rsidP="005611FE">
            <w:pPr>
              <w:jc w:val="center"/>
              <w:rPr>
                <w:rFonts w:ascii="Arial" w:eastAsia="Arial Unicode MS" w:hAnsi="Arial" w:cs="Arial"/>
                <w:b/>
                <w:bCs/>
                <w:color w:val="000000"/>
                <w:sz w:val="20"/>
                <w:szCs w:val="20"/>
              </w:rPr>
            </w:pPr>
          </w:p>
        </w:tc>
        <w:tc>
          <w:tcPr>
            <w:tcW w:w="1843" w:type="dxa"/>
            <w:tcBorders>
              <w:bottom w:val="single" w:sz="4" w:space="0" w:color="auto"/>
            </w:tcBorders>
            <w:shd w:val="clear" w:color="auto" w:fill="auto"/>
            <w:vAlign w:val="bottom"/>
          </w:tcPr>
          <w:p w14:paraId="75D75B62" w14:textId="37C306A3" w:rsidR="00911E6B"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400</w:t>
            </w:r>
          </w:p>
        </w:tc>
        <w:tc>
          <w:tcPr>
            <w:tcW w:w="1984" w:type="dxa"/>
            <w:tcBorders>
              <w:bottom w:val="single" w:sz="4" w:space="0" w:color="auto"/>
            </w:tcBorders>
            <w:shd w:val="clear" w:color="auto" w:fill="auto"/>
            <w:vAlign w:val="bottom"/>
          </w:tcPr>
          <w:p w14:paraId="61D9B762" w14:textId="451F8381" w:rsidR="00911E6B" w:rsidRPr="002D2F67" w:rsidRDefault="00046AFB"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728" w:type="dxa"/>
            <w:tcBorders>
              <w:bottom w:val="single" w:sz="4" w:space="0" w:color="auto"/>
            </w:tcBorders>
            <w:shd w:val="clear" w:color="auto" w:fill="auto"/>
            <w:vAlign w:val="bottom"/>
          </w:tcPr>
          <w:p w14:paraId="785D234F" w14:textId="6BC99405" w:rsidR="00911E6B"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40</w:t>
            </w:r>
            <w:r w:rsidR="00046AFB"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381</w:t>
            </w:r>
          </w:p>
        </w:tc>
        <w:tc>
          <w:tcPr>
            <w:tcW w:w="1728" w:type="dxa"/>
            <w:tcBorders>
              <w:bottom w:val="single" w:sz="4" w:space="0" w:color="auto"/>
            </w:tcBorders>
            <w:shd w:val="clear" w:color="auto" w:fill="auto"/>
            <w:vAlign w:val="bottom"/>
          </w:tcPr>
          <w:p w14:paraId="28207F71" w14:textId="54BA37BE" w:rsidR="00911E6B"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40</w:t>
            </w:r>
            <w:r w:rsidR="00CB25C2"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781</w:t>
            </w:r>
          </w:p>
        </w:tc>
        <w:tc>
          <w:tcPr>
            <w:tcW w:w="1743" w:type="dxa"/>
            <w:tcBorders>
              <w:bottom w:val="single" w:sz="4" w:space="0" w:color="auto"/>
            </w:tcBorders>
            <w:shd w:val="clear" w:color="auto" w:fill="auto"/>
            <w:vAlign w:val="bottom"/>
          </w:tcPr>
          <w:p w14:paraId="01C5E1B4" w14:textId="28E852E0" w:rsidR="00911E6B"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36</w:t>
            </w:r>
            <w:r w:rsidR="00CB25C2"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729</w:t>
            </w:r>
          </w:p>
        </w:tc>
      </w:tr>
    </w:tbl>
    <w:p w14:paraId="3715D5C3" w14:textId="77777777" w:rsidR="003E15E5" w:rsidRPr="002D2F67" w:rsidRDefault="003E15E5" w:rsidP="005611FE">
      <w:pPr>
        <w:ind w:right="36"/>
        <w:jc w:val="thaiDistribute"/>
        <w:rPr>
          <w:rFonts w:ascii="Arial" w:hAnsi="Arial" w:cs="Arial"/>
          <w:color w:val="000000"/>
          <w:sz w:val="18"/>
          <w:szCs w:val="18"/>
        </w:rPr>
      </w:pPr>
    </w:p>
    <w:p w14:paraId="5BB6727B" w14:textId="77777777" w:rsidR="00FF408A" w:rsidRPr="002D2F67" w:rsidRDefault="003E15E5" w:rsidP="005611FE">
      <w:pPr>
        <w:ind w:right="36"/>
        <w:jc w:val="thaiDistribute"/>
        <w:rPr>
          <w:rFonts w:ascii="Arial" w:hAnsi="Arial" w:cs="Arial"/>
          <w:color w:val="000000"/>
          <w:sz w:val="20"/>
          <w:szCs w:val="20"/>
        </w:rPr>
      </w:pPr>
      <w:r w:rsidRPr="002D2F67">
        <w:rPr>
          <w:rFonts w:ascii="Arial" w:hAnsi="Arial" w:cs="Arial"/>
          <w:color w:val="000000"/>
          <w:sz w:val="18"/>
          <w:szCs w:val="18"/>
        </w:rPr>
        <w:br w:type="page"/>
      </w:r>
    </w:p>
    <w:tbl>
      <w:tblPr>
        <w:tblW w:w="14243" w:type="dxa"/>
        <w:tblInd w:w="108" w:type="dxa"/>
        <w:tblLayout w:type="fixed"/>
        <w:tblLook w:val="04A0" w:firstRow="1" w:lastRow="0" w:firstColumn="1" w:lastColumn="0" w:noHBand="0" w:noVBand="1"/>
      </w:tblPr>
      <w:tblGrid>
        <w:gridCol w:w="4253"/>
        <w:gridCol w:w="992"/>
        <w:gridCol w:w="1843"/>
        <w:gridCol w:w="1984"/>
        <w:gridCol w:w="1728"/>
        <w:gridCol w:w="1728"/>
        <w:gridCol w:w="1715"/>
      </w:tblGrid>
      <w:tr w:rsidR="00FF408A" w:rsidRPr="002D2F67" w14:paraId="76C26AC1" w14:textId="77777777" w:rsidTr="00C57CB9">
        <w:tc>
          <w:tcPr>
            <w:tcW w:w="4253" w:type="dxa"/>
            <w:shd w:val="clear" w:color="auto" w:fill="auto"/>
            <w:vAlign w:val="bottom"/>
          </w:tcPr>
          <w:p w14:paraId="0152ADF5" w14:textId="77777777" w:rsidR="00FF408A" w:rsidRPr="002D2F67" w:rsidRDefault="00FF408A" w:rsidP="005611FE">
            <w:pPr>
              <w:ind w:left="-101"/>
              <w:rPr>
                <w:rFonts w:ascii="Arial" w:eastAsia="Arial Unicode MS" w:hAnsi="Arial" w:cs="Arial"/>
                <w:color w:val="000000"/>
                <w:sz w:val="20"/>
                <w:szCs w:val="20"/>
              </w:rPr>
            </w:pPr>
          </w:p>
        </w:tc>
        <w:tc>
          <w:tcPr>
            <w:tcW w:w="9985" w:type="dxa"/>
            <w:gridSpan w:val="6"/>
            <w:tcBorders>
              <w:bottom w:val="single" w:sz="4" w:space="0" w:color="auto"/>
            </w:tcBorders>
            <w:shd w:val="clear" w:color="auto" w:fill="auto"/>
            <w:vAlign w:val="bottom"/>
          </w:tcPr>
          <w:p w14:paraId="5BE8383D" w14:textId="77777777" w:rsidR="00FF408A" w:rsidRPr="002D2F67" w:rsidRDefault="00FF408A" w:rsidP="005611FE">
            <w:pPr>
              <w:ind w:right="-68"/>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 xml:space="preserve">Separate financial </w:t>
            </w:r>
            <w:r w:rsidR="007F1766" w:rsidRPr="002D2F67">
              <w:rPr>
                <w:rFonts w:ascii="Arial" w:eastAsia="Arial Unicode MS" w:hAnsi="Arial" w:cs="Arial"/>
                <w:b/>
                <w:bCs/>
                <w:color w:val="000000"/>
                <w:sz w:val="20"/>
                <w:szCs w:val="20"/>
              </w:rPr>
              <w:t>statements</w:t>
            </w:r>
          </w:p>
        </w:tc>
      </w:tr>
      <w:tr w:rsidR="00822C1F" w:rsidRPr="002D2F67" w14:paraId="1C6BE96F" w14:textId="77777777" w:rsidTr="00C57CB9">
        <w:tc>
          <w:tcPr>
            <w:tcW w:w="4253" w:type="dxa"/>
            <w:shd w:val="clear" w:color="auto" w:fill="auto"/>
            <w:vAlign w:val="bottom"/>
          </w:tcPr>
          <w:p w14:paraId="1B865751" w14:textId="77777777" w:rsidR="00822C1F" w:rsidRPr="002D2F67" w:rsidRDefault="00822C1F" w:rsidP="005611FE">
            <w:pPr>
              <w:ind w:left="-101"/>
              <w:rPr>
                <w:rFonts w:ascii="Arial" w:eastAsia="Arial Unicode MS" w:hAnsi="Arial" w:cs="Arial"/>
                <w:color w:val="000000"/>
                <w:sz w:val="20"/>
                <w:szCs w:val="20"/>
              </w:rPr>
            </w:pPr>
          </w:p>
        </w:tc>
        <w:tc>
          <w:tcPr>
            <w:tcW w:w="992" w:type="dxa"/>
            <w:vMerge w:val="restart"/>
            <w:tcBorders>
              <w:top w:val="single" w:sz="4" w:space="0" w:color="auto"/>
              <w:bottom w:val="single" w:sz="4" w:space="0" w:color="auto"/>
            </w:tcBorders>
            <w:shd w:val="clear" w:color="auto" w:fill="auto"/>
            <w:vAlign w:val="bottom"/>
          </w:tcPr>
          <w:p w14:paraId="0BD072CE" w14:textId="77777777" w:rsidR="00822C1F" w:rsidRPr="002D2F67" w:rsidRDefault="00822C1F" w:rsidP="005611FE">
            <w:pPr>
              <w:jc w:val="center"/>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Fair value level</w:t>
            </w:r>
          </w:p>
        </w:tc>
        <w:tc>
          <w:tcPr>
            <w:tcW w:w="1843" w:type="dxa"/>
            <w:tcBorders>
              <w:top w:val="single" w:sz="4" w:space="0" w:color="auto"/>
            </w:tcBorders>
            <w:shd w:val="clear" w:color="auto" w:fill="auto"/>
            <w:vAlign w:val="bottom"/>
          </w:tcPr>
          <w:p w14:paraId="56D0FB09" w14:textId="74F12B48" w:rsidR="00822C1F" w:rsidRPr="002D2F67" w:rsidRDefault="00822C1F"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FVPL</w:t>
            </w:r>
          </w:p>
        </w:tc>
        <w:tc>
          <w:tcPr>
            <w:tcW w:w="1984" w:type="dxa"/>
            <w:tcBorders>
              <w:top w:val="single" w:sz="4" w:space="0" w:color="auto"/>
            </w:tcBorders>
            <w:shd w:val="clear" w:color="auto" w:fill="auto"/>
            <w:vAlign w:val="bottom"/>
          </w:tcPr>
          <w:p w14:paraId="2A3B7CEF" w14:textId="60F88744" w:rsidR="00822C1F" w:rsidRPr="002D2F67" w:rsidRDefault="00822C1F"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FVOCI</w:t>
            </w:r>
          </w:p>
        </w:tc>
        <w:tc>
          <w:tcPr>
            <w:tcW w:w="1728" w:type="dxa"/>
            <w:tcBorders>
              <w:top w:val="single" w:sz="4" w:space="0" w:color="auto"/>
            </w:tcBorders>
            <w:shd w:val="clear" w:color="auto" w:fill="auto"/>
            <w:vAlign w:val="bottom"/>
          </w:tcPr>
          <w:p w14:paraId="4734AF8C" w14:textId="13A998DD" w:rsidR="00822C1F" w:rsidRPr="002D2F67" w:rsidRDefault="00822C1F" w:rsidP="005611FE">
            <w:pPr>
              <w:ind w:right="-75"/>
              <w:jc w:val="right"/>
              <w:rPr>
                <w:rFonts w:ascii="Arial" w:eastAsia="Arial Unicode MS" w:hAnsi="Arial" w:cs="Arial"/>
                <w:b/>
                <w:bCs/>
                <w:color w:val="000000"/>
                <w:sz w:val="20"/>
                <w:szCs w:val="20"/>
                <w:cs/>
              </w:rPr>
            </w:pPr>
            <w:r w:rsidRPr="002D2F67">
              <w:rPr>
                <w:rFonts w:ascii="Arial" w:eastAsia="Arial Unicode MS" w:hAnsi="Arial" w:cs="Arial"/>
                <w:b/>
                <w:bCs/>
                <w:color w:val="000000"/>
                <w:sz w:val="20"/>
                <w:szCs w:val="20"/>
              </w:rPr>
              <w:t>Amortised cost</w:t>
            </w:r>
          </w:p>
        </w:tc>
        <w:tc>
          <w:tcPr>
            <w:tcW w:w="1728" w:type="dxa"/>
            <w:tcBorders>
              <w:top w:val="single" w:sz="4" w:space="0" w:color="auto"/>
            </w:tcBorders>
            <w:shd w:val="clear" w:color="auto" w:fill="auto"/>
            <w:vAlign w:val="bottom"/>
          </w:tcPr>
          <w:p w14:paraId="10BD4CCE" w14:textId="77777777" w:rsidR="00822C1F" w:rsidRPr="002D2F67" w:rsidRDefault="00822C1F"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Total</w:t>
            </w:r>
          </w:p>
          <w:p w14:paraId="57C82EBC" w14:textId="49382804" w:rsidR="00822C1F" w:rsidRPr="002D2F67" w:rsidRDefault="00822C1F"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carrying amount</w:t>
            </w:r>
          </w:p>
        </w:tc>
        <w:tc>
          <w:tcPr>
            <w:tcW w:w="1715" w:type="dxa"/>
            <w:tcBorders>
              <w:top w:val="single" w:sz="4" w:space="0" w:color="auto"/>
            </w:tcBorders>
            <w:shd w:val="clear" w:color="auto" w:fill="auto"/>
            <w:vAlign w:val="bottom"/>
          </w:tcPr>
          <w:p w14:paraId="35B5D9A9" w14:textId="3BB73ADF" w:rsidR="00822C1F" w:rsidRPr="002D2F67" w:rsidRDefault="00822C1F"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Fair value</w:t>
            </w:r>
          </w:p>
        </w:tc>
      </w:tr>
      <w:tr w:rsidR="00FF408A" w:rsidRPr="002D2F67" w14:paraId="0B664143" w14:textId="77777777" w:rsidTr="1A000F6E">
        <w:tc>
          <w:tcPr>
            <w:tcW w:w="4253" w:type="dxa"/>
            <w:shd w:val="clear" w:color="auto" w:fill="auto"/>
            <w:vAlign w:val="bottom"/>
          </w:tcPr>
          <w:p w14:paraId="72E71446" w14:textId="77777777" w:rsidR="00FF408A" w:rsidRPr="002D2F67" w:rsidRDefault="00FF408A" w:rsidP="005611FE">
            <w:pPr>
              <w:ind w:left="-101"/>
              <w:rPr>
                <w:rFonts w:ascii="Arial" w:eastAsia="Arial Unicode MS" w:hAnsi="Arial" w:cs="Arial"/>
                <w:color w:val="000000"/>
                <w:sz w:val="20"/>
                <w:szCs w:val="20"/>
              </w:rPr>
            </w:pPr>
          </w:p>
        </w:tc>
        <w:tc>
          <w:tcPr>
            <w:tcW w:w="992" w:type="dxa"/>
            <w:vMerge/>
            <w:vAlign w:val="bottom"/>
          </w:tcPr>
          <w:p w14:paraId="2601B02D" w14:textId="77777777" w:rsidR="00FF408A" w:rsidRPr="002D2F67" w:rsidRDefault="00FF408A" w:rsidP="005611FE">
            <w:pPr>
              <w:jc w:val="right"/>
              <w:rPr>
                <w:rFonts w:ascii="Arial" w:eastAsia="Arial Unicode MS" w:hAnsi="Arial" w:cs="Arial"/>
                <w:b/>
                <w:bCs/>
                <w:color w:val="000000"/>
                <w:sz w:val="20"/>
                <w:szCs w:val="20"/>
              </w:rPr>
            </w:pPr>
          </w:p>
        </w:tc>
        <w:tc>
          <w:tcPr>
            <w:tcW w:w="1843" w:type="dxa"/>
            <w:tcBorders>
              <w:bottom w:val="single" w:sz="4" w:space="0" w:color="auto"/>
            </w:tcBorders>
            <w:shd w:val="clear" w:color="auto" w:fill="auto"/>
            <w:vAlign w:val="bottom"/>
          </w:tcPr>
          <w:p w14:paraId="29D073CF" w14:textId="77777777" w:rsidR="00FF408A" w:rsidRPr="002D2F67" w:rsidRDefault="00FF408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Million Baht</w:t>
            </w:r>
          </w:p>
        </w:tc>
        <w:tc>
          <w:tcPr>
            <w:tcW w:w="1984" w:type="dxa"/>
            <w:tcBorders>
              <w:bottom w:val="single" w:sz="4" w:space="0" w:color="auto"/>
            </w:tcBorders>
            <w:shd w:val="clear" w:color="auto" w:fill="auto"/>
            <w:vAlign w:val="bottom"/>
          </w:tcPr>
          <w:p w14:paraId="3CF78E49" w14:textId="77777777" w:rsidR="00FF408A" w:rsidRPr="002D2F67" w:rsidRDefault="00FF408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Million Baht</w:t>
            </w:r>
          </w:p>
        </w:tc>
        <w:tc>
          <w:tcPr>
            <w:tcW w:w="1728" w:type="dxa"/>
            <w:tcBorders>
              <w:bottom w:val="single" w:sz="4" w:space="0" w:color="auto"/>
            </w:tcBorders>
            <w:shd w:val="clear" w:color="auto" w:fill="auto"/>
            <w:vAlign w:val="bottom"/>
          </w:tcPr>
          <w:p w14:paraId="001A684E" w14:textId="77777777" w:rsidR="00FF408A" w:rsidRPr="002D2F67" w:rsidRDefault="00FF408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Million Baht</w:t>
            </w:r>
          </w:p>
        </w:tc>
        <w:tc>
          <w:tcPr>
            <w:tcW w:w="1728" w:type="dxa"/>
            <w:tcBorders>
              <w:bottom w:val="single" w:sz="4" w:space="0" w:color="auto"/>
            </w:tcBorders>
            <w:shd w:val="clear" w:color="auto" w:fill="auto"/>
            <w:vAlign w:val="bottom"/>
          </w:tcPr>
          <w:p w14:paraId="10202D63" w14:textId="77777777" w:rsidR="00FF408A" w:rsidRPr="002D2F67" w:rsidRDefault="00FF408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Million Baht</w:t>
            </w:r>
          </w:p>
        </w:tc>
        <w:tc>
          <w:tcPr>
            <w:tcW w:w="1715" w:type="dxa"/>
            <w:tcBorders>
              <w:bottom w:val="single" w:sz="4" w:space="0" w:color="auto"/>
            </w:tcBorders>
            <w:shd w:val="clear" w:color="auto" w:fill="auto"/>
            <w:vAlign w:val="bottom"/>
          </w:tcPr>
          <w:p w14:paraId="3D79F985" w14:textId="77777777" w:rsidR="00FF408A" w:rsidRPr="002D2F67" w:rsidRDefault="00FF408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Million Baht</w:t>
            </w:r>
          </w:p>
        </w:tc>
      </w:tr>
      <w:tr w:rsidR="005611FE" w:rsidRPr="002D2F67" w14:paraId="28E14E27" w14:textId="77777777" w:rsidTr="00C57CB9">
        <w:tc>
          <w:tcPr>
            <w:tcW w:w="4253" w:type="dxa"/>
            <w:shd w:val="clear" w:color="auto" w:fill="auto"/>
            <w:vAlign w:val="bottom"/>
          </w:tcPr>
          <w:p w14:paraId="6CE25A24" w14:textId="68C21B50" w:rsidR="00FF408A" w:rsidRPr="002D2F67" w:rsidRDefault="00FF408A" w:rsidP="005611FE">
            <w:pPr>
              <w:ind w:left="-101"/>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 xml:space="preserve">As </w:t>
            </w:r>
            <w:proofErr w:type="gramStart"/>
            <w:r w:rsidRPr="002D2F67">
              <w:rPr>
                <w:rFonts w:ascii="Arial" w:eastAsia="Arial Unicode MS" w:hAnsi="Arial" w:cs="Arial"/>
                <w:b/>
                <w:bCs/>
                <w:color w:val="000000"/>
                <w:sz w:val="20"/>
                <w:szCs w:val="20"/>
              </w:rPr>
              <w:t>at</w:t>
            </w:r>
            <w:proofErr w:type="gramEnd"/>
            <w:r w:rsidRPr="002D2F67">
              <w:rPr>
                <w:rFonts w:ascii="Arial" w:eastAsia="Arial Unicode MS" w:hAnsi="Arial" w:cs="Arial"/>
                <w:b/>
                <w:bCs/>
                <w:color w:val="000000"/>
                <w:sz w:val="20"/>
                <w:szCs w:val="20"/>
              </w:rPr>
              <w:t xml:space="preserve"> </w:t>
            </w:r>
            <w:r w:rsidR="00CD5714" w:rsidRPr="00CD5714">
              <w:rPr>
                <w:rFonts w:ascii="Arial" w:eastAsia="Arial Unicode MS" w:hAnsi="Arial" w:cs="Arial"/>
                <w:b/>
                <w:bCs/>
                <w:color w:val="000000"/>
                <w:sz w:val="20"/>
                <w:szCs w:val="20"/>
                <w:lang w:val="en-GB"/>
              </w:rPr>
              <w:t>31</w:t>
            </w:r>
            <w:r w:rsidRPr="002D2F67">
              <w:rPr>
                <w:rFonts w:ascii="Arial" w:eastAsia="Arial Unicode MS" w:hAnsi="Arial" w:cs="Arial"/>
                <w:b/>
                <w:bCs/>
                <w:color w:val="000000"/>
                <w:sz w:val="20"/>
                <w:szCs w:val="20"/>
              </w:rPr>
              <w:t xml:space="preserve"> December </w:t>
            </w:r>
            <w:r w:rsidR="00CD5714" w:rsidRPr="00CD5714">
              <w:rPr>
                <w:rFonts w:ascii="Arial" w:eastAsia="Arial Unicode MS" w:hAnsi="Arial" w:cs="Arial"/>
                <w:b/>
                <w:bCs/>
                <w:color w:val="000000"/>
                <w:sz w:val="20"/>
                <w:szCs w:val="20"/>
                <w:lang w:val="en-GB"/>
              </w:rPr>
              <w:t>2024</w:t>
            </w:r>
          </w:p>
        </w:tc>
        <w:tc>
          <w:tcPr>
            <w:tcW w:w="992" w:type="dxa"/>
            <w:tcBorders>
              <w:top w:val="single" w:sz="4" w:space="0" w:color="auto"/>
            </w:tcBorders>
            <w:shd w:val="clear" w:color="auto" w:fill="auto"/>
            <w:vAlign w:val="bottom"/>
          </w:tcPr>
          <w:p w14:paraId="42A8F6C3" w14:textId="77777777" w:rsidR="00FF408A" w:rsidRPr="002D2F67" w:rsidRDefault="00FF408A" w:rsidP="005611FE">
            <w:pPr>
              <w:jc w:val="center"/>
              <w:rPr>
                <w:rFonts w:ascii="Arial" w:eastAsia="Arial Unicode MS" w:hAnsi="Arial" w:cs="Arial"/>
                <w:color w:val="000000"/>
                <w:sz w:val="20"/>
                <w:szCs w:val="20"/>
              </w:rPr>
            </w:pPr>
          </w:p>
        </w:tc>
        <w:tc>
          <w:tcPr>
            <w:tcW w:w="1843" w:type="dxa"/>
            <w:tcBorders>
              <w:top w:val="single" w:sz="4" w:space="0" w:color="auto"/>
            </w:tcBorders>
            <w:shd w:val="clear" w:color="auto" w:fill="auto"/>
            <w:vAlign w:val="bottom"/>
          </w:tcPr>
          <w:p w14:paraId="670F6F07" w14:textId="77777777" w:rsidR="00FF408A" w:rsidRPr="002D2F67" w:rsidRDefault="00FF408A" w:rsidP="005611FE">
            <w:pPr>
              <w:ind w:right="-75"/>
              <w:jc w:val="right"/>
              <w:rPr>
                <w:rFonts w:ascii="Arial" w:eastAsia="Arial Unicode MS" w:hAnsi="Arial" w:cs="Arial"/>
                <w:color w:val="000000"/>
                <w:sz w:val="20"/>
                <w:szCs w:val="20"/>
              </w:rPr>
            </w:pPr>
          </w:p>
        </w:tc>
        <w:tc>
          <w:tcPr>
            <w:tcW w:w="1984" w:type="dxa"/>
            <w:tcBorders>
              <w:top w:val="single" w:sz="4" w:space="0" w:color="auto"/>
            </w:tcBorders>
            <w:shd w:val="clear" w:color="auto" w:fill="auto"/>
            <w:vAlign w:val="bottom"/>
          </w:tcPr>
          <w:p w14:paraId="562357BA" w14:textId="77777777" w:rsidR="00FF408A" w:rsidRPr="002D2F67" w:rsidRDefault="00FF408A" w:rsidP="005611FE">
            <w:pPr>
              <w:ind w:right="-75"/>
              <w:jc w:val="right"/>
              <w:rPr>
                <w:rFonts w:ascii="Arial" w:eastAsia="Arial Unicode MS" w:hAnsi="Arial" w:cs="Arial"/>
                <w:color w:val="000000"/>
                <w:sz w:val="20"/>
                <w:szCs w:val="20"/>
              </w:rPr>
            </w:pPr>
          </w:p>
        </w:tc>
        <w:tc>
          <w:tcPr>
            <w:tcW w:w="1728" w:type="dxa"/>
            <w:tcBorders>
              <w:top w:val="single" w:sz="4" w:space="0" w:color="auto"/>
            </w:tcBorders>
            <w:shd w:val="clear" w:color="auto" w:fill="auto"/>
            <w:vAlign w:val="bottom"/>
          </w:tcPr>
          <w:p w14:paraId="24E961E6" w14:textId="77777777" w:rsidR="00FF408A" w:rsidRPr="002D2F67" w:rsidRDefault="00FF408A" w:rsidP="005611FE">
            <w:pPr>
              <w:ind w:right="-75"/>
              <w:jc w:val="right"/>
              <w:rPr>
                <w:rFonts w:ascii="Arial" w:eastAsia="Arial Unicode MS" w:hAnsi="Arial" w:cs="Arial"/>
                <w:color w:val="000000"/>
                <w:sz w:val="20"/>
                <w:szCs w:val="20"/>
              </w:rPr>
            </w:pPr>
          </w:p>
        </w:tc>
        <w:tc>
          <w:tcPr>
            <w:tcW w:w="1728" w:type="dxa"/>
            <w:tcBorders>
              <w:top w:val="single" w:sz="4" w:space="0" w:color="auto"/>
            </w:tcBorders>
            <w:shd w:val="clear" w:color="auto" w:fill="auto"/>
            <w:vAlign w:val="bottom"/>
          </w:tcPr>
          <w:p w14:paraId="285D7A8A" w14:textId="77777777" w:rsidR="00FF408A" w:rsidRPr="002D2F67" w:rsidRDefault="00FF408A" w:rsidP="005611FE">
            <w:pPr>
              <w:ind w:right="-75"/>
              <w:jc w:val="right"/>
              <w:rPr>
                <w:rFonts w:ascii="Arial" w:eastAsia="Arial Unicode MS" w:hAnsi="Arial" w:cs="Arial"/>
                <w:color w:val="000000"/>
                <w:sz w:val="20"/>
                <w:szCs w:val="20"/>
              </w:rPr>
            </w:pPr>
          </w:p>
        </w:tc>
        <w:tc>
          <w:tcPr>
            <w:tcW w:w="1715" w:type="dxa"/>
            <w:tcBorders>
              <w:top w:val="single" w:sz="4" w:space="0" w:color="auto"/>
            </w:tcBorders>
            <w:shd w:val="clear" w:color="auto" w:fill="auto"/>
            <w:vAlign w:val="bottom"/>
          </w:tcPr>
          <w:p w14:paraId="2532CCA3" w14:textId="77777777" w:rsidR="00FF408A" w:rsidRPr="002D2F67" w:rsidRDefault="00FF408A" w:rsidP="005611FE">
            <w:pPr>
              <w:ind w:right="-75"/>
              <w:jc w:val="right"/>
              <w:rPr>
                <w:rFonts w:ascii="Arial" w:eastAsia="Arial Unicode MS" w:hAnsi="Arial" w:cs="Arial"/>
                <w:color w:val="000000"/>
                <w:sz w:val="20"/>
                <w:szCs w:val="20"/>
              </w:rPr>
            </w:pPr>
          </w:p>
        </w:tc>
      </w:tr>
      <w:tr w:rsidR="00FF408A" w:rsidRPr="002D2F67" w14:paraId="63FD6EA2" w14:textId="77777777" w:rsidTr="00C57CB9">
        <w:tc>
          <w:tcPr>
            <w:tcW w:w="4253" w:type="dxa"/>
            <w:shd w:val="clear" w:color="auto" w:fill="auto"/>
            <w:vAlign w:val="bottom"/>
          </w:tcPr>
          <w:p w14:paraId="667FE5D6" w14:textId="77777777" w:rsidR="00FF408A" w:rsidRPr="002D2F67" w:rsidRDefault="00FF408A" w:rsidP="005611FE">
            <w:pPr>
              <w:ind w:left="-101"/>
              <w:rPr>
                <w:rFonts w:ascii="Arial" w:eastAsia="Arial Unicode MS" w:hAnsi="Arial" w:cs="Arial"/>
                <w:b/>
                <w:bCs/>
                <w:color w:val="000000"/>
                <w:sz w:val="18"/>
                <w:szCs w:val="18"/>
              </w:rPr>
            </w:pPr>
          </w:p>
        </w:tc>
        <w:tc>
          <w:tcPr>
            <w:tcW w:w="992" w:type="dxa"/>
            <w:shd w:val="clear" w:color="auto" w:fill="auto"/>
            <w:vAlign w:val="bottom"/>
          </w:tcPr>
          <w:p w14:paraId="53A1415F" w14:textId="77777777" w:rsidR="00FF408A" w:rsidRPr="002D2F67" w:rsidRDefault="00FF408A" w:rsidP="005611FE">
            <w:pPr>
              <w:jc w:val="center"/>
              <w:rPr>
                <w:rFonts w:ascii="Arial" w:eastAsia="Arial Unicode MS" w:hAnsi="Arial" w:cs="Arial"/>
                <w:color w:val="000000"/>
                <w:sz w:val="18"/>
                <w:szCs w:val="18"/>
              </w:rPr>
            </w:pPr>
          </w:p>
        </w:tc>
        <w:tc>
          <w:tcPr>
            <w:tcW w:w="1843" w:type="dxa"/>
            <w:shd w:val="clear" w:color="auto" w:fill="auto"/>
            <w:vAlign w:val="bottom"/>
          </w:tcPr>
          <w:p w14:paraId="6C55B24D" w14:textId="77777777" w:rsidR="00FF408A" w:rsidRPr="002D2F67" w:rsidRDefault="00FF408A" w:rsidP="005611FE">
            <w:pPr>
              <w:ind w:right="-75"/>
              <w:jc w:val="right"/>
              <w:rPr>
                <w:rFonts w:ascii="Arial" w:eastAsia="Arial Unicode MS" w:hAnsi="Arial" w:cs="Arial"/>
                <w:color w:val="000000"/>
                <w:sz w:val="18"/>
                <w:szCs w:val="18"/>
              </w:rPr>
            </w:pPr>
          </w:p>
        </w:tc>
        <w:tc>
          <w:tcPr>
            <w:tcW w:w="1984" w:type="dxa"/>
            <w:shd w:val="clear" w:color="auto" w:fill="auto"/>
            <w:vAlign w:val="bottom"/>
          </w:tcPr>
          <w:p w14:paraId="2EA6172E" w14:textId="77777777" w:rsidR="00FF408A" w:rsidRPr="002D2F67" w:rsidRDefault="00FF408A" w:rsidP="005611FE">
            <w:pPr>
              <w:ind w:right="-75"/>
              <w:jc w:val="right"/>
              <w:rPr>
                <w:rFonts w:ascii="Arial" w:eastAsia="Arial Unicode MS" w:hAnsi="Arial" w:cs="Arial"/>
                <w:color w:val="000000"/>
                <w:sz w:val="18"/>
                <w:szCs w:val="18"/>
              </w:rPr>
            </w:pPr>
          </w:p>
        </w:tc>
        <w:tc>
          <w:tcPr>
            <w:tcW w:w="1728" w:type="dxa"/>
            <w:shd w:val="clear" w:color="auto" w:fill="auto"/>
            <w:vAlign w:val="bottom"/>
          </w:tcPr>
          <w:p w14:paraId="34D40612" w14:textId="77777777" w:rsidR="00FF408A" w:rsidRPr="002D2F67" w:rsidRDefault="00FF408A" w:rsidP="005611FE">
            <w:pPr>
              <w:ind w:right="-75"/>
              <w:jc w:val="right"/>
              <w:rPr>
                <w:rFonts w:ascii="Arial" w:eastAsia="Arial Unicode MS" w:hAnsi="Arial" w:cs="Arial"/>
                <w:color w:val="000000"/>
                <w:sz w:val="18"/>
                <w:szCs w:val="18"/>
              </w:rPr>
            </w:pPr>
          </w:p>
        </w:tc>
        <w:tc>
          <w:tcPr>
            <w:tcW w:w="1728" w:type="dxa"/>
            <w:shd w:val="clear" w:color="auto" w:fill="auto"/>
            <w:vAlign w:val="bottom"/>
          </w:tcPr>
          <w:p w14:paraId="44F9A985" w14:textId="77777777" w:rsidR="00FF408A" w:rsidRPr="002D2F67" w:rsidRDefault="00FF408A" w:rsidP="005611FE">
            <w:pPr>
              <w:ind w:right="-75"/>
              <w:jc w:val="right"/>
              <w:rPr>
                <w:rFonts w:ascii="Arial" w:eastAsia="Arial Unicode MS" w:hAnsi="Arial" w:cs="Arial"/>
                <w:color w:val="000000"/>
                <w:sz w:val="18"/>
                <w:szCs w:val="18"/>
              </w:rPr>
            </w:pPr>
          </w:p>
        </w:tc>
        <w:tc>
          <w:tcPr>
            <w:tcW w:w="1715" w:type="dxa"/>
            <w:shd w:val="clear" w:color="auto" w:fill="auto"/>
            <w:vAlign w:val="bottom"/>
          </w:tcPr>
          <w:p w14:paraId="38E92A02" w14:textId="77777777" w:rsidR="00FF408A" w:rsidRPr="002D2F67" w:rsidRDefault="00FF408A" w:rsidP="005611FE">
            <w:pPr>
              <w:ind w:right="-75"/>
              <w:jc w:val="right"/>
              <w:rPr>
                <w:rFonts w:ascii="Arial" w:eastAsia="Arial Unicode MS" w:hAnsi="Arial" w:cs="Arial"/>
                <w:color w:val="000000"/>
                <w:sz w:val="18"/>
                <w:szCs w:val="18"/>
              </w:rPr>
            </w:pPr>
          </w:p>
        </w:tc>
      </w:tr>
      <w:tr w:rsidR="00FF408A" w:rsidRPr="002D2F67" w14:paraId="3F71953D" w14:textId="77777777" w:rsidTr="00C57CB9">
        <w:tc>
          <w:tcPr>
            <w:tcW w:w="4253" w:type="dxa"/>
            <w:shd w:val="clear" w:color="auto" w:fill="auto"/>
            <w:vAlign w:val="bottom"/>
          </w:tcPr>
          <w:p w14:paraId="0C8A29E0" w14:textId="77777777" w:rsidR="00FF408A" w:rsidRPr="002D2F67" w:rsidRDefault="00FF408A" w:rsidP="005611FE">
            <w:pPr>
              <w:ind w:left="-101"/>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Assets</w:t>
            </w:r>
          </w:p>
        </w:tc>
        <w:tc>
          <w:tcPr>
            <w:tcW w:w="992" w:type="dxa"/>
            <w:shd w:val="clear" w:color="auto" w:fill="auto"/>
            <w:vAlign w:val="bottom"/>
          </w:tcPr>
          <w:p w14:paraId="2B7534DE" w14:textId="77777777" w:rsidR="00FF408A" w:rsidRPr="002D2F67" w:rsidRDefault="00FF408A" w:rsidP="005611FE">
            <w:pPr>
              <w:jc w:val="center"/>
              <w:rPr>
                <w:rFonts w:ascii="Arial" w:eastAsia="Arial Unicode MS" w:hAnsi="Arial" w:cs="Arial"/>
                <w:color w:val="000000"/>
                <w:sz w:val="20"/>
                <w:szCs w:val="20"/>
              </w:rPr>
            </w:pPr>
          </w:p>
        </w:tc>
        <w:tc>
          <w:tcPr>
            <w:tcW w:w="1843" w:type="dxa"/>
            <w:shd w:val="clear" w:color="auto" w:fill="auto"/>
            <w:vAlign w:val="bottom"/>
          </w:tcPr>
          <w:p w14:paraId="4A79EEDB" w14:textId="77777777" w:rsidR="00FF408A" w:rsidRPr="002D2F67" w:rsidRDefault="00FF408A" w:rsidP="005611FE">
            <w:pPr>
              <w:ind w:right="-75"/>
              <w:jc w:val="right"/>
              <w:rPr>
                <w:rFonts w:ascii="Arial" w:eastAsia="Arial Unicode MS" w:hAnsi="Arial" w:cs="Arial"/>
                <w:color w:val="000000"/>
                <w:sz w:val="20"/>
                <w:szCs w:val="20"/>
              </w:rPr>
            </w:pPr>
          </w:p>
        </w:tc>
        <w:tc>
          <w:tcPr>
            <w:tcW w:w="1984" w:type="dxa"/>
            <w:shd w:val="clear" w:color="auto" w:fill="auto"/>
            <w:vAlign w:val="bottom"/>
          </w:tcPr>
          <w:p w14:paraId="42CD28F7" w14:textId="77777777" w:rsidR="00FF408A" w:rsidRPr="002D2F67" w:rsidRDefault="00FF408A"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53A96AAA" w14:textId="77777777" w:rsidR="00FF408A" w:rsidRPr="002D2F67" w:rsidRDefault="00FF408A"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256DDAEB" w14:textId="77777777" w:rsidR="00FF408A" w:rsidRPr="002D2F67" w:rsidRDefault="00FF408A" w:rsidP="005611FE">
            <w:pPr>
              <w:ind w:right="-75"/>
              <w:jc w:val="right"/>
              <w:rPr>
                <w:rFonts w:ascii="Arial" w:eastAsia="Arial Unicode MS" w:hAnsi="Arial" w:cs="Arial"/>
                <w:color w:val="000000"/>
                <w:sz w:val="20"/>
                <w:szCs w:val="20"/>
              </w:rPr>
            </w:pPr>
          </w:p>
        </w:tc>
        <w:tc>
          <w:tcPr>
            <w:tcW w:w="1715" w:type="dxa"/>
            <w:shd w:val="clear" w:color="auto" w:fill="auto"/>
            <w:vAlign w:val="bottom"/>
          </w:tcPr>
          <w:p w14:paraId="02743713" w14:textId="77777777" w:rsidR="00FF408A" w:rsidRPr="002D2F67" w:rsidRDefault="00FF408A" w:rsidP="005611FE">
            <w:pPr>
              <w:ind w:right="-75"/>
              <w:jc w:val="right"/>
              <w:rPr>
                <w:rFonts w:ascii="Arial" w:eastAsia="Arial Unicode MS" w:hAnsi="Arial" w:cs="Arial"/>
                <w:color w:val="000000"/>
                <w:sz w:val="20"/>
                <w:szCs w:val="20"/>
              </w:rPr>
            </w:pPr>
          </w:p>
        </w:tc>
      </w:tr>
      <w:tr w:rsidR="00FF408A" w:rsidRPr="002D2F67" w14:paraId="23684072" w14:textId="77777777" w:rsidTr="00C57CB9">
        <w:tc>
          <w:tcPr>
            <w:tcW w:w="4253" w:type="dxa"/>
            <w:shd w:val="clear" w:color="auto" w:fill="auto"/>
            <w:vAlign w:val="bottom"/>
          </w:tcPr>
          <w:p w14:paraId="03772DFE" w14:textId="77777777" w:rsidR="00FF408A" w:rsidRPr="002D2F67" w:rsidRDefault="00FF408A" w:rsidP="005611FE">
            <w:pPr>
              <w:ind w:left="-101"/>
              <w:rPr>
                <w:rFonts w:ascii="Arial" w:eastAsia="Arial Unicode MS" w:hAnsi="Arial" w:cs="Arial"/>
                <w:b/>
                <w:bCs/>
                <w:color w:val="000000"/>
                <w:sz w:val="20"/>
                <w:szCs w:val="20"/>
              </w:rPr>
            </w:pPr>
            <w:r w:rsidRPr="002D2F67">
              <w:rPr>
                <w:rFonts w:ascii="Arial" w:eastAsia="Arial Unicode MS" w:hAnsi="Arial" w:cs="Arial"/>
                <w:color w:val="000000"/>
                <w:sz w:val="20"/>
                <w:szCs w:val="20"/>
              </w:rPr>
              <w:t>Financial assets</w:t>
            </w:r>
          </w:p>
        </w:tc>
        <w:tc>
          <w:tcPr>
            <w:tcW w:w="992" w:type="dxa"/>
            <w:shd w:val="clear" w:color="auto" w:fill="auto"/>
            <w:vAlign w:val="bottom"/>
          </w:tcPr>
          <w:p w14:paraId="0E2C11D0" w14:textId="77777777" w:rsidR="00FF408A" w:rsidRPr="002D2F67" w:rsidRDefault="00FF408A" w:rsidP="005611FE">
            <w:pPr>
              <w:jc w:val="center"/>
              <w:rPr>
                <w:rFonts w:ascii="Arial" w:eastAsia="Arial Unicode MS" w:hAnsi="Arial" w:cs="Arial"/>
                <w:color w:val="000000"/>
                <w:sz w:val="20"/>
                <w:szCs w:val="20"/>
              </w:rPr>
            </w:pPr>
          </w:p>
        </w:tc>
        <w:tc>
          <w:tcPr>
            <w:tcW w:w="1843" w:type="dxa"/>
            <w:shd w:val="clear" w:color="auto" w:fill="auto"/>
            <w:vAlign w:val="bottom"/>
          </w:tcPr>
          <w:p w14:paraId="4BB4164E" w14:textId="77777777" w:rsidR="00FF408A" w:rsidRPr="002D2F67" w:rsidRDefault="00FF408A" w:rsidP="005611FE">
            <w:pPr>
              <w:ind w:right="-75"/>
              <w:jc w:val="right"/>
              <w:rPr>
                <w:rFonts w:ascii="Arial" w:eastAsia="Arial Unicode MS" w:hAnsi="Arial" w:cs="Arial"/>
                <w:color w:val="000000"/>
                <w:sz w:val="20"/>
                <w:szCs w:val="20"/>
              </w:rPr>
            </w:pPr>
          </w:p>
        </w:tc>
        <w:tc>
          <w:tcPr>
            <w:tcW w:w="1984" w:type="dxa"/>
            <w:shd w:val="clear" w:color="auto" w:fill="auto"/>
            <w:vAlign w:val="bottom"/>
          </w:tcPr>
          <w:p w14:paraId="56C87B96" w14:textId="77777777" w:rsidR="00FF408A" w:rsidRPr="002D2F67" w:rsidRDefault="00FF408A"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643A0DBF" w14:textId="77777777" w:rsidR="00FF408A" w:rsidRPr="002D2F67" w:rsidRDefault="00FF408A"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222E3394" w14:textId="77777777" w:rsidR="00FF408A" w:rsidRPr="002D2F67" w:rsidRDefault="00FF408A" w:rsidP="005611FE">
            <w:pPr>
              <w:ind w:right="-75"/>
              <w:jc w:val="right"/>
              <w:rPr>
                <w:rFonts w:ascii="Arial" w:eastAsia="Arial Unicode MS" w:hAnsi="Arial" w:cs="Arial"/>
                <w:color w:val="000000"/>
                <w:sz w:val="20"/>
                <w:szCs w:val="20"/>
              </w:rPr>
            </w:pPr>
          </w:p>
        </w:tc>
        <w:tc>
          <w:tcPr>
            <w:tcW w:w="1715" w:type="dxa"/>
            <w:shd w:val="clear" w:color="auto" w:fill="auto"/>
            <w:vAlign w:val="bottom"/>
          </w:tcPr>
          <w:p w14:paraId="617D6A6A" w14:textId="77777777" w:rsidR="00FF408A" w:rsidRPr="002D2F67" w:rsidRDefault="00FF408A" w:rsidP="005611FE">
            <w:pPr>
              <w:ind w:right="-75"/>
              <w:jc w:val="right"/>
              <w:rPr>
                <w:rFonts w:ascii="Arial" w:eastAsia="Arial Unicode MS" w:hAnsi="Arial" w:cs="Arial"/>
                <w:color w:val="000000"/>
                <w:sz w:val="20"/>
                <w:szCs w:val="20"/>
              </w:rPr>
            </w:pPr>
          </w:p>
        </w:tc>
      </w:tr>
      <w:tr w:rsidR="004721FE" w:rsidRPr="002D2F67" w14:paraId="112793F8" w14:textId="77777777" w:rsidTr="00C57CB9">
        <w:tc>
          <w:tcPr>
            <w:tcW w:w="4253" w:type="dxa"/>
            <w:shd w:val="clear" w:color="auto" w:fill="auto"/>
            <w:vAlign w:val="bottom"/>
          </w:tcPr>
          <w:p w14:paraId="717D2A61" w14:textId="3BF799A6" w:rsidR="004721FE" w:rsidRPr="002D2F67" w:rsidRDefault="004721FE" w:rsidP="005611FE">
            <w:pPr>
              <w:ind w:left="-101"/>
              <w:rPr>
                <w:rFonts w:ascii="Arial" w:eastAsia="Arial Unicode MS" w:hAnsi="Arial" w:cs="Arial"/>
                <w:b/>
                <w:bCs/>
                <w:color w:val="000000"/>
                <w:sz w:val="20"/>
                <w:szCs w:val="20"/>
              </w:rPr>
            </w:pPr>
            <w:r w:rsidRPr="002D2F67">
              <w:rPr>
                <w:rFonts w:ascii="Arial" w:eastAsia="Arial Unicode MS" w:hAnsi="Arial" w:cs="Arial"/>
                <w:color w:val="000000"/>
                <w:sz w:val="20"/>
                <w:szCs w:val="20"/>
              </w:rPr>
              <w:t xml:space="preserve">   - Unlisted equity securities</w:t>
            </w:r>
          </w:p>
        </w:tc>
        <w:tc>
          <w:tcPr>
            <w:tcW w:w="992" w:type="dxa"/>
            <w:shd w:val="clear" w:color="auto" w:fill="auto"/>
            <w:vAlign w:val="bottom"/>
          </w:tcPr>
          <w:p w14:paraId="69CFCAB0" w14:textId="6CD7D0DF" w:rsidR="004721FE" w:rsidRPr="002D2F67" w:rsidRDefault="00CD5714" w:rsidP="005611FE">
            <w:pPr>
              <w:jc w:val="center"/>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w:t>
            </w:r>
          </w:p>
        </w:tc>
        <w:tc>
          <w:tcPr>
            <w:tcW w:w="1843" w:type="dxa"/>
            <w:shd w:val="clear" w:color="auto" w:fill="auto"/>
            <w:vAlign w:val="bottom"/>
          </w:tcPr>
          <w:p w14:paraId="639FC117" w14:textId="20B6A300" w:rsidR="004721FE" w:rsidRPr="002D2F67" w:rsidRDefault="00CF1F68"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984" w:type="dxa"/>
            <w:shd w:val="clear" w:color="auto" w:fill="auto"/>
            <w:vAlign w:val="bottom"/>
          </w:tcPr>
          <w:p w14:paraId="02BF7291" w14:textId="2CEF1160" w:rsidR="004721FE"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w:t>
            </w:r>
            <w:r w:rsidR="00DB2B9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938</w:t>
            </w:r>
          </w:p>
        </w:tc>
        <w:tc>
          <w:tcPr>
            <w:tcW w:w="1728" w:type="dxa"/>
            <w:shd w:val="clear" w:color="auto" w:fill="auto"/>
            <w:vAlign w:val="bottom"/>
          </w:tcPr>
          <w:p w14:paraId="059AC4AD" w14:textId="4CFBDA4E" w:rsidR="004721FE" w:rsidRPr="002D2F67" w:rsidRDefault="00CF1F68"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728" w:type="dxa"/>
            <w:shd w:val="clear" w:color="auto" w:fill="auto"/>
            <w:vAlign w:val="bottom"/>
          </w:tcPr>
          <w:p w14:paraId="1D77C378" w14:textId="706DDA3E" w:rsidR="004721FE"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w:t>
            </w:r>
            <w:r w:rsidR="00DB2B9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938</w:t>
            </w:r>
          </w:p>
        </w:tc>
        <w:tc>
          <w:tcPr>
            <w:tcW w:w="1715" w:type="dxa"/>
            <w:shd w:val="clear" w:color="auto" w:fill="auto"/>
            <w:vAlign w:val="bottom"/>
          </w:tcPr>
          <w:p w14:paraId="169299EB" w14:textId="45FFCDDF" w:rsidR="004721FE"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w:t>
            </w:r>
            <w:r w:rsidR="00DB2B9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938</w:t>
            </w:r>
          </w:p>
        </w:tc>
      </w:tr>
      <w:tr w:rsidR="005611FE" w:rsidRPr="002D2F67" w14:paraId="2E710708" w14:textId="77777777" w:rsidTr="00C57CB9">
        <w:tc>
          <w:tcPr>
            <w:tcW w:w="4253" w:type="dxa"/>
            <w:shd w:val="clear" w:color="auto" w:fill="auto"/>
            <w:vAlign w:val="bottom"/>
          </w:tcPr>
          <w:p w14:paraId="366446C8" w14:textId="77777777" w:rsidR="004721FE" w:rsidRPr="002D2F67" w:rsidRDefault="004721FE" w:rsidP="005611FE">
            <w:pPr>
              <w:ind w:left="-101"/>
              <w:rPr>
                <w:rFonts w:ascii="Arial" w:eastAsia="Arial Unicode MS" w:hAnsi="Arial" w:cs="Arial"/>
                <w:color w:val="000000"/>
                <w:sz w:val="20"/>
                <w:szCs w:val="20"/>
              </w:rPr>
            </w:pPr>
            <w:r w:rsidRPr="002D2F67">
              <w:rPr>
                <w:rFonts w:ascii="Arial" w:eastAsia="Arial Unicode MS" w:hAnsi="Arial" w:cs="Arial"/>
                <w:color w:val="000000"/>
                <w:sz w:val="20"/>
                <w:szCs w:val="20"/>
              </w:rPr>
              <w:t>Long-term loans to related parties</w:t>
            </w:r>
          </w:p>
        </w:tc>
        <w:tc>
          <w:tcPr>
            <w:tcW w:w="992" w:type="dxa"/>
            <w:shd w:val="clear" w:color="auto" w:fill="auto"/>
            <w:vAlign w:val="bottom"/>
          </w:tcPr>
          <w:p w14:paraId="3FFC32E5" w14:textId="3DC2D323" w:rsidR="004721FE" w:rsidRPr="002D2F67" w:rsidRDefault="00CD5714" w:rsidP="005611FE">
            <w:pPr>
              <w:jc w:val="center"/>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w:t>
            </w:r>
          </w:p>
        </w:tc>
        <w:tc>
          <w:tcPr>
            <w:tcW w:w="1843" w:type="dxa"/>
            <w:tcBorders>
              <w:bottom w:val="single" w:sz="4" w:space="0" w:color="auto"/>
            </w:tcBorders>
            <w:shd w:val="clear" w:color="auto" w:fill="auto"/>
            <w:vAlign w:val="bottom"/>
          </w:tcPr>
          <w:p w14:paraId="4939613E" w14:textId="1997F558" w:rsidR="004721FE" w:rsidRPr="002D2F67" w:rsidRDefault="00CF1F68"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984" w:type="dxa"/>
            <w:tcBorders>
              <w:bottom w:val="single" w:sz="4" w:space="0" w:color="auto"/>
            </w:tcBorders>
            <w:shd w:val="clear" w:color="auto" w:fill="auto"/>
            <w:vAlign w:val="bottom"/>
          </w:tcPr>
          <w:p w14:paraId="39547080" w14:textId="2CE4B001" w:rsidR="004721FE" w:rsidRPr="002D2F67" w:rsidRDefault="00CF1F68"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728" w:type="dxa"/>
            <w:tcBorders>
              <w:bottom w:val="single" w:sz="4" w:space="0" w:color="auto"/>
            </w:tcBorders>
            <w:shd w:val="clear" w:color="auto" w:fill="auto"/>
            <w:vAlign w:val="bottom"/>
          </w:tcPr>
          <w:p w14:paraId="776CA455" w14:textId="1B33C075" w:rsidR="004721FE"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15</w:t>
            </w:r>
            <w:r w:rsidR="00401A4C"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831</w:t>
            </w:r>
          </w:p>
        </w:tc>
        <w:tc>
          <w:tcPr>
            <w:tcW w:w="1728" w:type="dxa"/>
            <w:tcBorders>
              <w:bottom w:val="single" w:sz="4" w:space="0" w:color="auto"/>
            </w:tcBorders>
            <w:shd w:val="clear" w:color="auto" w:fill="auto"/>
            <w:vAlign w:val="bottom"/>
          </w:tcPr>
          <w:p w14:paraId="1DE935CF" w14:textId="4639F0DA" w:rsidR="004721FE"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15</w:t>
            </w:r>
            <w:r w:rsidR="000260D5"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831</w:t>
            </w:r>
          </w:p>
        </w:tc>
        <w:tc>
          <w:tcPr>
            <w:tcW w:w="1715" w:type="dxa"/>
            <w:tcBorders>
              <w:bottom w:val="single" w:sz="4" w:space="0" w:color="auto"/>
            </w:tcBorders>
            <w:shd w:val="clear" w:color="auto" w:fill="auto"/>
            <w:vAlign w:val="bottom"/>
          </w:tcPr>
          <w:p w14:paraId="16C21374" w14:textId="33BE4611" w:rsidR="004721FE"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16</w:t>
            </w:r>
            <w:r w:rsidR="009D4168"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843</w:t>
            </w:r>
          </w:p>
        </w:tc>
      </w:tr>
      <w:tr w:rsidR="005611FE" w:rsidRPr="002D2F67" w14:paraId="2E3C19EA" w14:textId="77777777" w:rsidTr="00C57CB9">
        <w:tc>
          <w:tcPr>
            <w:tcW w:w="4253" w:type="dxa"/>
            <w:shd w:val="clear" w:color="auto" w:fill="auto"/>
            <w:vAlign w:val="bottom"/>
          </w:tcPr>
          <w:p w14:paraId="41279918" w14:textId="77777777" w:rsidR="00FF408A" w:rsidRPr="002D2F67" w:rsidRDefault="00FF408A" w:rsidP="005611FE">
            <w:pPr>
              <w:ind w:left="-101"/>
              <w:rPr>
                <w:rFonts w:ascii="Arial" w:eastAsia="Arial Unicode MS" w:hAnsi="Arial" w:cs="Arial"/>
                <w:color w:val="000000"/>
                <w:sz w:val="20"/>
                <w:szCs w:val="20"/>
              </w:rPr>
            </w:pPr>
          </w:p>
        </w:tc>
        <w:tc>
          <w:tcPr>
            <w:tcW w:w="992" w:type="dxa"/>
            <w:shd w:val="clear" w:color="auto" w:fill="auto"/>
            <w:vAlign w:val="bottom"/>
          </w:tcPr>
          <w:p w14:paraId="272909BC" w14:textId="77777777" w:rsidR="00FF408A" w:rsidRPr="002D2F67" w:rsidRDefault="00FF408A" w:rsidP="005611FE">
            <w:pPr>
              <w:jc w:val="center"/>
              <w:rPr>
                <w:rFonts w:ascii="Arial" w:eastAsia="Arial Unicode MS" w:hAnsi="Arial" w:cs="Arial"/>
                <w:color w:val="000000"/>
                <w:sz w:val="20"/>
                <w:szCs w:val="20"/>
              </w:rPr>
            </w:pPr>
          </w:p>
        </w:tc>
        <w:tc>
          <w:tcPr>
            <w:tcW w:w="1843" w:type="dxa"/>
            <w:tcBorders>
              <w:top w:val="single" w:sz="4" w:space="0" w:color="auto"/>
            </w:tcBorders>
            <w:shd w:val="clear" w:color="auto" w:fill="auto"/>
            <w:vAlign w:val="bottom"/>
          </w:tcPr>
          <w:p w14:paraId="6C6726DE" w14:textId="77777777" w:rsidR="00FF408A" w:rsidRPr="002D2F67" w:rsidRDefault="00FF408A" w:rsidP="005611FE">
            <w:pPr>
              <w:ind w:right="-75"/>
              <w:jc w:val="right"/>
              <w:rPr>
                <w:rFonts w:ascii="Arial" w:eastAsia="Arial Unicode MS" w:hAnsi="Arial" w:cs="Arial"/>
                <w:color w:val="000000"/>
                <w:sz w:val="20"/>
                <w:szCs w:val="20"/>
              </w:rPr>
            </w:pPr>
          </w:p>
        </w:tc>
        <w:tc>
          <w:tcPr>
            <w:tcW w:w="1984" w:type="dxa"/>
            <w:tcBorders>
              <w:top w:val="single" w:sz="4" w:space="0" w:color="auto"/>
            </w:tcBorders>
            <w:shd w:val="clear" w:color="auto" w:fill="auto"/>
            <w:vAlign w:val="bottom"/>
          </w:tcPr>
          <w:p w14:paraId="4C4B0DFB" w14:textId="77777777" w:rsidR="00FF408A" w:rsidRPr="002D2F67" w:rsidRDefault="00FF408A" w:rsidP="005611FE">
            <w:pPr>
              <w:ind w:right="-75"/>
              <w:jc w:val="right"/>
              <w:rPr>
                <w:rFonts w:ascii="Arial" w:eastAsia="Arial Unicode MS" w:hAnsi="Arial" w:cs="Arial"/>
                <w:color w:val="000000"/>
                <w:sz w:val="20"/>
                <w:szCs w:val="20"/>
              </w:rPr>
            </w:pPr>
          </w:p>
        </w:tc>
        <w:tc>
          <w:tcPr>
            <w:tcW w:w="1728" w:type="dxa"/>
            <w:tcBorders>
              <w:top w:val="single" w:sz="4" w:space="0" w:color="auto"/>
            </w:tcBorders>
            <w:shd w:val="clear" w:color="auto" w:fill="auto"/>
            <w:vAlign w:val="bottom"/>
          </w:tcPr>
          <w:p w14:paraId="76642F6C" w14:textId="77777777" w:rsidR="00FF408A" w:rsidRPr="002D2F67" w:rsidRDefault="00FF408A" w:rsidP="005611FE">
            <w:pPr>
              <w:ind w:right="-75"/>
              <w:jc w:val="right"/>
              <w:rPr>
                <w:rFonts w:ascii="Arial" w:eastAsia="Arial Unicode MS" w:hAnsi="Arial" w:cs="Arial"/>
                <w:color w:val="000000"/>
                <w:sz w:val="20"/>
                <w:szCs w:val="20"/>
              </w:rPr>
            </w:pPr>
          </w:p>
        </w:tc>
        <w:tc>
          <w:tcPr>
            <w:tcW w:w="1728" w:type="dxa"/>
            <w:tcBorders>
              <w:top w:val="single" w:sz="4" w:space="0" w:color="auto"/>
            </w:tcBorders>
            <w:shd w:val="clear" w:color="auto" w:fill="auto"/>
            <w:vAlign w:val="bottom"/>
          </w:tcPr>
          <w:p w14:paraId="7C7C28E2" w14:textId="77777777" w:rsidR="00FF408A" w:rsidRPr="002D2F67" w:rsidRDefault="00FF408A" w:rsidP="005611FE">
            <w:pPr>
              <w:ind w:right="-75"/>
              <w:jc w:val="right"/>
              <w:rPr>
                <w:rFonts w:ascii="Arial" w:eastAsia="Arial Unicode MS" w:hAnsi="Arial" w:cs="Arial"/>
                <w:color w:val="000000"/>
                <w:sz w:val="20"/>
                <w:szCs w:val="20"/>
              </w:rPr>
            </w:pPr>
          </w:p>
        </w:tc>
        <w:tc>
          <w:tcPr>
            <w:tcW w:w="1715" w:type="dxa"/>
            <w:tcBorders>
              <w:top w:val="single" w:sz="4" w:space="0" w:color="auto"/>
            </w:tcBorders>
            <w:shd w:val="clear" w:color="auto" w:fill="auto"/>
            <w:vAlign w:val="bottom"/>
          </w:tcPr>
          <w:p w14:paraId="4239609C" w14:textId="77777777" w:rsidR="00FF408A" w:rsidRPr="002D2F67" w:rsidRDefault="00FF408A" w:rsidP="005611FE">
            <w:pPr>
              <w:ind w:right="-75"/>
              <w:jc w:val="right"/>
              <w:rPr>
                <w:rFonts w:ascii="Arial" w:eastAsia="Arial Unicode MS" w:hAnsi="Arial" w:cs="Arial"/>
                <w:color w:val="000000"/>
                <w:sz w:val="20"/>
                <w:szCs w:val="20"/>
              </w:rPr>
            </w:pPr>
          </w:p>
        </w:tc>
      </w:tr>
      <w:tr w:rsidR="002F70D1" w:rsidRPr="002D2F67" w14:paraId="09D9CA6F" w14:textId="77777777" w:rsidTr="00C57CB9">
        <w:tc>
          <w:tcPr>
            <w:tcW w:w="4253" w:type="dxa"/>
            <w:shd w:val="clear" w:color="auto" w:fill="auto"/>
            <w:vAlign w:val="bottom"/>
          </w:tcPr>
          <w:p w14:paraId="52BAE64C" w14:textId="77777777" w:rsidR="002F70D1" w:rsidRPr="002D2F67" w:rsidRDefault="002F70D1" w:rsidP="005611FE">
            <w:pPr>
              <w:ind w:left="-101"/>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Total assets</w:t>
            </w:r>
          </w:p>
        </w:tc>
        <w:tc>
          <w:tcPr>
            <w:tcW w:w="992" w:type="dxa"/>
            <w:shd w:val="clear" w:color="auto" w:fill="auto"/>
            <w:vAlign w:val="bottom"/>
          </w:tcPr>
          <w:p w14:paraId="6721C59A" w14:textId="77777777" w:rsidR="002F70D1" w:rsidRPr="002D2F67" w:rsidRDefault="002F70D1" w:rsidP="005611FE">
            <w:pPr>
              <w:jc w:val="center"/>
              <w:rPr>
                <w:rFonts w:ascii="Arial" w:eastAsia="Arial Unicode MS" w:hAnsi="Arial" w:cs="Arial"/>
                <w:color w:val="000000"/>
                <w:sz w:val="20"/>
                <w:szCs w:val="20"/>
              </w:rPr>
            </w:pPr>
          </w:p>
        </w:tc>
        <w:tc>
          <w:tcPr>
            <w:tcW w:w="1843" w:type="dxa"/>
            <w:tcBorders>
              <w:bottom w:val="single" w:sz="4" w:space="0" w:color="auto"/>
            </w:tcBorders>
            <w:shd w:val="clear" w:color="auto" w:fill="auto"/>
            <w:vAlign w:val="bottom"/>
          </w:tcPr>
          <w:p w14:paraId="15A6968A" w14:textId="75ABE93D" w:rsidR="002F70D1" w:rsidRPr="002D2F67" w:rsidRDefault="00CF1F68"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984" w:type="dxa"/>
            <w:tcBorders>
              <w:bottom w:val="single" w:sz="4" w:space="0" w:color="auto"/>
            </w:tcBorders>
            <w:shd w:val="clear" w:color="auto" w:fill="auto"/>
            <w:vAlign w:val="bottom"/>
          </w:tcPr>
          <w:p w14:paraId="32E9EDB2" w14:textId="1BCF4B2C" w:rsidR="002F70D1"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w:t>
            </w:r>
            <w:r w:rsidR="00DB2B9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938</w:t>
            </w:r>
          </w:p>
        </w:tc>
        <w:tc>
          <w:tcPr>
            <w:tcW w:w="1728" w:type="dxa"/>
            <w:tcBorders>
              <w:bottom w:val="single" w:sz="4" w:space="0" w:color="auto"/>
            </w:tcBorders>
            <w:shd w:val="clear" w:color="auto" w:fill="auto"/>
            <w:vAlign w:val="bottom"/>
          </w:tcPr>
          <w:p w14:paraId="53509D08" w14:textId="27485F3D" w:rsidR="002F70D1"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15</w:t>
            </w:r>
            <w:r w:rsidR="00B338B8"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831</w:t>
            </w:r>
          </w:p>
        </w:tc>
        <w:tc>
          <w:tcPr>
            <w:tcW w:w="1728" w:type="dxa"/>
            <w:tcBorders>
              <w:bottom w:val="single" w:sz="4" w:space="0" w:color="auto"/>
            </w:tcBorders>
            <w:shd w:val="clear" w:color="auto" w:fill="auto"/>
            <w:vAlign w:val="bottom"/>
          </w:tcPr>
          <w:p w14:paraId="56A50DCD" w14:textId="5C54E6AF" w:rsidR="002F70D1"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19</w:t>
            </w:r>
            <w:r w:rsidR="00581EAF"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769</w:t>
            </w:r>
          </w:p>
        </w:tc>
        <w:tc>
          <w:tcPr>
            <w:tcW w:w="1715" w:type="dxa"/>
            <w:tcBorders>
              <w:bottom w:val="single" w:sz="4" w:space="0" w:color="auto"/>
            </w:tcBorders>
            <w:shd w:val="clear" w:color="auto" w:fill="auto"/>
            <w:vAlign w:val="bottom"/>
          </w:tcPr>
          <w:p w14:paraId="150F5FC5" w14:textId="58CB5BAD" w:rsidR="002F70D1"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20</w:t>
            </w:r>
            <w:r w:rsidR="008653CC"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781</w:t>
            </w:r>
          </w:p>
        </w:tc>
      </w:tr>
      <w:tr w:rsidR="00FF408A" w:rsidRPr="002D2F67" w14:paraId="7C7728F7" w14:textId="77777777" w:rsidTr="00C57CB9">
        <w:tc>
          <w:tcPr>
            <w:tcW w:w="4253" w:type="dxa"/>
            <w:shd w:val="clear" w:color="auto" w:fill="auto"/>
            <w:vAlign w:val="bottom"/>
          </w:tcPr>
          <w:p w14:paraId="0337AAD7" w14:textId="77777777" w:rsidR="00FF408A" w:rsidRPr="002D2F67" w:rsidRDefault="00FF408A" w:rsidP="005611FE">
            <w:pPr>
              <w:ind w:left="-101"/>
              <w:rPr>
                <w:rFonts w:ascii="Arial" w:eastAsia="Arial Unicode MS" w:hAnsi="Arial" w:cs="Arial"/>
                <w:b/>
                <w:bCs/>
                <w:color w:val="000000"/>
                <w:sz w:val="20"/>
                <w:szCs w:val="20"/>
              </w:rPr>
            </w:pPr>
          </w:p>
        </w:tc>
        <w:tc>
          <w:tcPr>
            <w:tcW w:w="992" w:type="dxa"/>
            <w:shd w:val="clear" w:color="auto" w:fill="auto"/>
            <w:vAlign w:val="bottom"/>
          </w:tcPr>
          <w:p w14:paraId="09A1BB86" w14:textId="77777777" w:rsidR="00FF408A" w:rsidRPr="002D2F67" w:rsidRDefault="00FF408A" w:rsidP="005611FE">
            <w:pPr>
              <w:jc w:val="center"/>
              <w:rPr>
                <w:rFonts w:ascii="Arial" w:eastAsia="Arial Unicode MS" w:hAnsi="Arial" w:cs="Arial"/>
                <w:color w:val="000000"/>
                <w:sz w:val="20"/>
                <w:szCs w:val="20"/>
              </w:rPr>
            </w:pPr>
          </w:p>
        </w:tc>
        <w:tc>
          <w:tcPr>
            <w:tcW w:w="1843" w:type="dxa"/>
            <w:tcBorders>
              <w:top w:val="single" w:sz="4" w:space="0" w:color="auto"/>
            </w:tcBorders>
            <w:shd w:val="clear" w:color="auto" w:fill="auto"/>
            <w:vAlign w:val="bottom"/>
          </w:tcPr>
          <w:p w14:paraId="1CA3A6C0" w14:textId="77777777" w:rsidR="00FF408A" w:rsidRPr="002D2F67" w:rsidRDefault="00FF408A" w:rsidP="005611FE">
            <w:pPr>
              <w:ind w:right="-75"/>
              <w:jc w:val="right"/>
              <w:rPr>
                <w:rFonts w:ascii="Arial" w:eastAsia="Arial Unicode MS" w:hAnsi="Arial" w:cs="Arial"/>
                <w:color w:val="000000"/>
                <w:sz w:val="20"/>
                <w:szCs w:val="20"/>
              </w:rPr>
            </w:pPr>
          </w:p>
        </w:tc>
        <w:tc>
          <w:tcPr>
            <w:tcW w:w="1984" w:type="dxa"/>
            <w:tcBorders>
              <w:top w:val="single" w:sz="4" w:space="0" w:color="auto"/>
            </w:tcBorders>
            <w:shd w:val="clear" w:color="auto" w:fill="auto"/>
            <w:vAlign w:val="bottom"/>
          </w:tcPr>
          <w:p w14:paraId="4D40DE85" w14:textId="77777777" w:rsidR="00FF408A" w:rsidRPr="002D2F67" w:rsidRDefault="00FF408A" w:rsidP="005611FE">
            <w:pPr>
              <w:ind w:right="-75"/>
              <w:jc w:val="right"/>
              <w:rPr>
                <w:rFonts w:ascii="Arial" w:eastAsia="Arial Unicode MS" w:hAnsi="Arial" w:cs="Arial"/>
                <w:color w:val="000000"/>
                <w:sz w:val="20"/>
                <w:szCs w:val="20"/>
              </w:rPr>
            </w:pPr>
          </w:p>
        </w:tc>
        <w:tc>
          <w:tcPr>
            <w:tcW w:w="1728" w:type="dxa"/>
            <w:tcBorders>
              <w:top w:val="single" w:sz="4" w:space="0" w:color="auto"/>
            </w:tcBorders>
            <w:shd w:val="clear" w:color="auto" w:fill="auto"/>
            <w:vAlign w:val="bottom"/>
          </w:tcPr>
          <w:p w14:paraId="4CA5698C" w14:textId="77777777" w:rsidR="00FF408A" w:rsidRPr="002D2F67" w:rsidRDefault="00FF408A" w:rsidP="005611FE">
            <w:pPr>
              <w:ind w:right="-75"/>
              <w:jc w:val="right"/>
              <w:rPr>
                <w:rFonts w:ascii="Arial" w:eastAsia="Arial Unicode MS" w:hAnsi="Arial" w:cs="Arial"/>
                <w:color w:val="000000"/>
                <w:sz w:val="20"/>
                <w:szCs w:val="20"/>
              </w:rPr>
            </w:pPr>
          </w:p>
        </w:tc>
        <w:tc>
          <w:tcPr>
            <w:tcW w:w="1728" w:type="dxa"/>
            <w:tcBorders>
              <w:top w:val="single" w:sz="4" w:space="0" w:color="auto"/>
            </w:tcBorders>
            <w:shd w:val="clear" w:color="auto" w:fill="auto"/>
            <w:vAlign w:val="bottom"/>
          </w:tcPr>
          <w:p w14:paraId="00CEFE20" w14:textId="77777777" w:rsidR="00FF408A" w:rsidRPr="002D2F67" w:rsidRDefault="00FF408A" w:rsidP="005611FE">
            <w:pPr>
              <w:ind w:right="-75"/>
              <w:jc w:val="right"/>
              <w:rPr>
                <w:rFonts w:ascii="Arial" w:eastAsia="Arial Unicode MS" w:hAnsi="Arial" w:cs="Arial"/>
                <w:color w:val="000000"/>
                <w:sz w:val="20"/>
                <w:szCs w:val="20"/>
              </w:rPr>
            </w:pPr>
          </w:p>
        </w:tc>
        <w:tc>
          <w:tcPr>
            <w:tcW w:w="1715" w:type="dxa"/>
            <w:tcBorders>
              <w:top w:val="single" w:sz="4" w:space="0" w:color="auto"/>
            </w:tcBorders>
            <w:shd w:val="clear" w:color="auto" w:fill="auto"/>
            <w:vAlign w:val="bottom"/>
          </w:tcPr>
          <w:p w14:paraId="1FF7B212" w14:textId="77777777" w:rsidR="00FF408A" w:rsidRPr="002D2F67" w:rsidRDefault="00FF408A" w:rsidP="005611FE">
            <w:pPr>
              <w:ind w:right="-75"/>
              <w:jc w:val="right"/>
              <w:rPr>
                <w:rFonts w:ascii="Arial" w:eastAsia="Arial Unicode MS" w:hAnsi="Arial" w:cs="Arial"/>
                <w:color w:val="000000"/>
                <w:sz w:val="20"/>
                <w:szCs w:val="20"/>
              </w:rPr>
            </w:pPr>
          </w:p>
        </w:tc>
      </w:tr>
      <w:tr w:rsidR="00FF408A" w:rsidRPr="002D2F67" w14:paraId="5CB28F32" w14:textId="77777777" w:rsidTr="00C57CB9">
        <w:tc>
          <w:tcPr>
            <w:tcW w:w="4253" w:type="dxa"/>
            <w:shd w:val="clear" w:color="auto" w:fill="auto"/>
            <w:vAlign w:val="bottom"/>
          </w:tcPr>
          <w:p w14:paraId="026B7B91" w14:textId="77777777" w:rsidR="00FF408A" w:rsidRPr="002D2F67" w:rsidRDefault="00FF408A" w:rsidP="005611FE">
            <w:pPr>
              <w:ind w:left="-101"/>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Liabilities</w:t>
            </w:r>
          </w:p>
        </w:tc>
        <w:tc>
          <w:tcPr>
            <w:tcW w:w="992" w:type="dxa"/>
            <w:shd w:val="clear" w:color="auto" w:fill="auto"/>
            <w:vAlign w:val="bottom"/>
          </w:tcPr>
          <w:p w14:paraId="70700DDD" w14:textId="77777777" w:rsidR="00FF408A" w:rsidRPr="002D2F67" w:rsidRDefault="00FF408A" w:rsidP="005611FE">
            <w:pPr>
              <w:jc w:val="center"/>
              <w:rPr>
                <w:rFonts w:ascii="Arial" w:eastAsia="Arial Unicode MS" w:hAnsi="Arial" w:cs="Arial"/>
                <w:color w:val="000000"/>
                <w:sz w:val="20"/>
                <w:szCs w:val="20"/>
              </w:rPr>
            </w:pPr>
          </w:p>
        </w:tc>
        <w:tc>
          <w:tcPr>
            <w:tcW w:w="1843" w:type="dxa"/>
            <w:shd w:val="clear" w:color="auto" w:fill="auto"/>
            <w:vAlign w:val="bottom"/>
          </w:tcPr>
          <w:p w14:paraId="15D0CD3A" w14:textId="77777777" w:rsidR="00FF408A" w:rsidRPr="002D2F67" w:rsidRDefault="00FF408A" w:rsidP="005611FE">
            <w:pPr>
              <w:ind w:right="-75"/>
              <w:jc w:val="right"/>
              <w:rPr>
                <w:rFonts w:ascii="Arial" w:eastAsia="Arial Unicode MS" w:hAnsi="Arial" w:cs="Arial"/>
                <w:color w:val="000000"/>
                <w:sz w:val="20"/>
                <w:szCs w:val="20"/>
              </w:rPr>
            </w:pPr>
          </w:p>
        </w:tc>
        <w:tc>
          <w:tcPr>
            <w:tcW w:w="1984" w:type="dxa"/>
            <w:shd w:val="clear" w:color="auto" w:fill="auto"/>
            <w:vAlign w:val="bottom"/>
          </w:tcPr>
          <w:p w14:paraId="065DF0E2" w14:textId="77777777" w:rsidR="00FF408A" w:rsidRPr="002D2F67" w:rsidRDefault="00FF408A"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5CEEB42A" w14:textId="77777777" w:rsidR="00FF408A" w:rsidRPr="002D2F67" w:rsidRDefault="00FF408A"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4C829396" w14:textId="77777777" w:rsidR="00FF408A" w:rsidRPr="002D2F67" w:rsidRDefault="00FF408A" w:rsidP="005611FE">
            <w:pPr>
              <w:ind w:right="-75"/>
              <w:jc w:val="right"/>
              <w:rPr>
                <w:rFonts w:ascii="Arial" w:eastAsia="Arial Unicode MS" w:hAnsi="Arial" w:cs="Arial"/>
                <w:color w:val="000000"/>
                <w:sz w:val="20"/>
                <w:szCs w:val="20"/>
              </w:rPr>
            </w:pPr>
          </w:p>
        </w:tc>
        <w:tc>
          <w:tcPr>
            <w:tcW w:w="1715" w:type="dxa"/>
            <w:shd w:val="clear" w:color="auto" w:fill="auto"/>
            <w:vAlign w:val="bottom"/>
          </w:tcPr>
          <w:p w14:paraId="4864C3A6" w14:textId="77777777" w:rsidR="00FF408A" w:rsidRPr="002D2F67" w:rsidRDefault="00FF408A" w:rsidP="005611FE">
            <w:pPr>
              <w:ind w:right="-75"/>
              <w:jc w:val="right"/>
              <w:rPr>
                <w:rFonts w:ascii="Arial" w:eastAsia="Arial Unicode MS" w:hAnsi="Arial" w:cs="Arial"/>
                <w:color w:val="000000"/>
                <w:sz w:val="20"/>
                <w:szCs w:val="20"/>
              </w:rPr>
            </w:pPr>
          </w:p>
        </w:tc>
      </w:tr>
      <w:tr w:rsidR="00107841" w:rsidRPr="002D2F67" w14:paraId="5C3D04F4" w14:textId="77777777" w:rsidTr="00C57CB9">
        <w:tc>
          <w:tcPr>
            <w:tcW w:w="4253" w:type="dxa"/>
            <w:shd w:val="clear" w:color="auto" w:fill="auto"/>
            <w:vAlign w:val="bottom"/>
          </w:tcPr>
          <w:p w14:paraId="492C4D7A" w14:textId="77777777" w:rsidR="00107841" w:rsidRPr="002D2F67" w:rsidRDefault="00107841" w:rsidP="005611FE">
            <w:pPr>
              <w:ind w:left="-101"/>
              <w:rPr>
                <w:rFonts w:ascii="Arial" w:eastAsia="Arial Unicode MS" w:hAnsi="Arial" w:cs="Arial"/>
                <w:color w:val="000000"/>
                <w:sz w:val="20"/>
                <w:szCs w:val="20"/>
              </w:rPr>
            </w:pPr>
            <w:r w:rsidRPr="002D2F67">
              <w:rPr>
                <w:rFonts w:ascii="Arial" w:eastAsia="Arial Unicode MS" w:hAnsi="Arial" w:cs="Arial"/>
                <w:color w:val="000000"/>
                <w:sz w:val="20"/>
                <w:szCs w:val="20"/>
              </w:rPr>
              <w:t>Long-term loans from financial institutions, net</w:t>
            </w:r>
          </w:p>
        </w:tc>
        <w:tc>
          <w:tcPr>
            <w:tcW w:w="992" w:type="dxa"/>
            <w:shd w:val="clear" w:color="auto" w:fill="auto"/>
            <w:vAlign w:val="bottom"/>
          </w:tcPr>
          <w:p w14:paraId="43A512C4" w14:textId="38FE3B7A" w:rsidR="00107841" w:rsidRPr="002D2F67" w:rsidRDefault="00CD5714" w:rsidP="005611FE">
            <w:pPr>
              <w:jc w:val="center"/>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w:t>
            </w:r>
          </w:p>
        </w:tc>
        <w:tc>
          <w:tcPr>
            <w:tcW w:w="1843" w:type="dxa"/>
            <w:shd w:val="clear" w:color="auto" w:fill="auto"/>
            <w:vAlign w:val="bottom"/>
          </w:tcPr>
          <w:p w14:paraId="2ECDD40D" w14:textId="745CBC75" w:rsidR="00107841" w:rsidRPr="002D2F67" w:rsidRDefault="00CF1F68"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984" w:type="dxa"/>
            <w:shd w:val="clear" w:color="auto" w:fill="auto"/>
            <w:vAlign w:val="bottom"/>
          </w:tcPr>
          <w:p w14:paraId="294CD150" w14:textId="27F8921C" w:rsidR="00107841" w:rsidRPr="002D2F67" w:rsidRDefault="00CF1F68"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728" w:type="dxa"/>
            <w:shd w:val="clear" w:color="auto" w:fill="auto"/>
            <w:vAlign w:val="bottom"/>
          </w:tcPr>
          <w:p w14:paraId="0306B4B2" w14:textId="566A3A10" w:rsidR="00107841"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w:t>
            </w:r>
            <w:r w:rsidR="00CF1F68"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401</w:t>
            </w:r>
          </w:p>
        </w:tc>
        <w:tc>
          <w:tcPr>
            <w:tcW w:w="1728" w:type="dxa"/>
            <w:shd w:val="clear" w:color="auto" w:fill="auto"/>
            <w:vAlign w:val="bottom"/>
          </w:tcPr>
          <w:p w14:paraId="334EC0D8" w14:textId="3E4090FB" w:rsidR="00107841"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w:t>
            </w:r>
            <w:r w:rsidR="00CF1F68"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401</w:t>
            </w:r>
          </w:p>
        </w:tc>
        <w:tc>
          <w:tcPr>
            <w:tcW w:w="1715" w:type="dxa"/>
            <w:shd w:val="clear" w:color="auto" w:fill="auto"/>
            <w:vAlign w:val="bottom"/>
          </w:tcPr>
          <w:p w14:paraId="6F48F071" w14:textId="7314199C" w:rsidR="00107841"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w:t>
            </w:r>
            <w:r w:rsidR="00CF1F68"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401</w:t>
            </w:r>
          </w:p>
        </w:tc>
      </w:tr>
      <w:tr w:rsidR="00FE0DD6" w:rsidRPr="002D2F67" w14:paraId="4C087CF2" w14:textId="77777777" w:rsidTr="00C57CB9">
        <w:tc>
          <w:tcPr>
            <w:tcW w:w="4253" w:type="dxa"/>
            <w:shd w:val="clear" w:color="auto" w:fill="auto"/>
            <w:vAlign w:val="bottom"/>
          </w:tcPr>
          <w:p w14:paraId="4DF779B4" w14:textId="11A48B66" w:rsidR="00FE0DD6" w:rsidRPr="002D2F67" w:rsidRDefault="00FE0DD6" w:rsidP="005611FE">
            <w:pPr>
              <w:ind w:left="-101"/>
              <w:rPr>
                <w:rFonts w:ascii="Arial" w:eastAsia="Arial Unicode MS" w:hAnsi="Arial" w:cs="Arial"/>
                <w:color w:val="000000"/>
                <w:sz w:val="20"/>
                <w:szCs w:val="20"/>
              </w:rPr>
            </w:pPr>
            <w:r w:rsidRPr="002D2F67">
              <w:rPr>
                <w:rFonts w:ascii="Arial" w:eastAsia="Arial Unicode MS" w:hAnsi="Arial" w:cs="Arial"/>
                <w:color w:val="000000"/>
                <w:sz w:val="20"/>
                <w:szCs w:val="20"/>
              </w:rPr>
              <w:t>Derivatives not qualifying as hedge accounting</w:t>
            </w:r>
          </w:p>
        </w:tc>
        <w:tc>
          <w:tcPr>
            <w:tcW w:w="992" w:type="dxa"/>
            <w:shd w:val="clear" w:color="auto" w:fill="auto"/>
            <w:vAlign w:val="bottom"/>
          </w:tcPr>
          <w:p w14:paraId="2A04C3F6" w14:textId="77777777" w:rsidR="00FE0DD6" w:rsidRPr="002D2F67" w:rsidRDefault="00FE0DD6" w:rsidP="005611FE">
            <w:pPr>
              <w:jc w:val="center"/>
              <w:rPr>
                <w:rFonts w:ascii="Arial" w:eastAsia="Arial Unicode MS" w:hAnsi="Arial" w:cs="Arial"/>
                <w:color w:val="000000"/>
                <w:sz w:val="20"/>
                <w:szCs w:val="20"/>
              </w:rPr>
            </w:pPr>
          </w:p>
        </w:tc>
        <w:tc>
          <w:tcPr>
            <w:tcW w:w="1843" w:type="dxa"/>
            <w:shd w:val="clear" w:color="auto" w:fill="auto"/>
            <w:vAlign w:val="bottom"/>
          </w:tcPr>
          <w:p w14:paraId="13DE787B" w14:textId="77777777" w:rsidR="00FE0DD6" w:rsidRPr="002D2F67" w:rsidRDefault="00FE0DD6" w:rsidP="005611FE">
            <w:pPr>
              <w:ind w:right="-75"/>
              <w:jc w:val="right"/>
              <w:rPr>
                <w:rFonts w:ascii="Arial" w:eastAsia="Arial Unicode MS" w:hAnsi="Arial" w:cs="Arial"/>
                <w:color w:val="000000"/>
                <w:sz w:val="20"/>
                <w:szCs w:val="20"/>
              </w:rPr>
            </w:pPr>
          </w:p>
        </w:tc>
        <w:tc>
          <w:tcPr>
            <w:tcW w:w="1984" w:type="dxa"/>
            <w:shd w:val="clear" w:color="auto" w:fill="auto"/>
            <w:vAlign w:val="bottom"/>
          </w:tcPr>
          <w:p w14:paraId="58C0BE6E" w14:textId="77777777" w:rsidR="00FE0DD6" w:rsidRPr="002D2F67" w:rsidRDefault="00FE0DD6"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75566131" w14:textId="77777777" w:rsidR="00FE0DD6" w:rsidRPr="002D2F67" w:rsidRDefault="00FE0DD6"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0DDB8FD6" w14:textId="77777777" w:rsidR="00FE0DD6" w:rsidRPr="002D2F67" w:rsidRDefault="00FE0DD6" w:rsidP="005611FE">
            <w:pPr>
              <w:ind w:right="-75"/>
              <w:jc w:val="right"/>
              <w:rPr>
                <w:rFonts w:ascii="Arial" w:eastAsia="Arial Unicode MS" w:hAnsi="Arial" w:cs="Arial"/>
                <w:color w:val="000000"/>
                <w:sz w:val="20"/>
                <w:szCs w:val="20"/>
              </w:rPr>
            </w:pPr>
          </w:p>
        </w:tc>
        <w:tc>
          <w:tcPr>
            <w:tcW w:w="1715" w:type="dxa"/>
            <w:shd w:val="clear" w:color="auto" w:fill="auto"/>
            <w:vAlign w:val="bottom"/>
          </w:tcPr>
          <w:p w14:paraId="3B29C21C" w14:textId="77777777" w:rsidR="00FE0DD6" w:rsidRPr="002D2F67" w:rsidRDefault="00FE0DD6" w:rsidP="005611FE">
            <w:pPr>
              <w:ind w:right="-75"/>
              <w:jc w:val="right"/>
              <w:rPr>
                <w:rFonts w:ascii="Arial" w:eastAsia="Arial Unicode MS" w:hAnsi="Arial" w:cs="Arial"/>
                <w:color w:val="000000"/>
                <w:sz w:val="20"/>
                <w:szCs w:val="20"/>
              </w:rPr>
            </w:pPr>
          </w:p>
        </w:tc>
      </w:tr>
      <w:tr w:rsidR="00FE0DD6" w:rsidRPr="002D2F67" w14:paraId="67618320" w14:textId="77777777" w:rsidTr="00C57CB9">
        <w:tc>
          <w:tcPr>
            <w:tcW w:w="4253" w:type="dxa"/>
            <w:shd w:val="clear" w:color="auto" w:fill="auto"/>
            <w:vAlign w:val="bottom"/>
          </w:tcPr>
          <w:p w14:paraId="1F486C70" w14:textId="70847E26" w:rsidR="00FE0DD6" w:rsidRPr="002D2F67" w:rsidRDefault="00FE0DD6" w:rsidP="005611FE">
            <w:pPr>
              <w:ind w:left="-101"/>
              <w:rPr>
                <w:rFonts w:ascii="Arial" w:eastAsia="Arial Unicode MS" w:hAnsi="Arial" w:cs="Arial"/>
                <w:color w:val="000000"/>
                <w:sz w:val="20"/>
                <w:szCs w:val="20"/>
              </w:rPr>
            </w:pPr>
            <w:r w:rsidRPr="002D2F67">
              <w:rPr>
                <w:rFonts w:ascii="Arial" w:eastAsia="Arial Unicode MS" w:hAnsi="Arial" w:cs="Arial"/>
                <w:color w:val="000000"/>
                <w:sz w:val="20"/>
                <w:szCs w:val="20"/>
              </w:rPr>
              <w:t xml:space="preserve">   - Cross currency interest rate swap</w:t>
            </w:r>
          </w:p>
        </w:tc>
        <w:tc>
          <w:tcPr>
            <w:tcW w:w="992" w:type="dxa"/>
            <w:shd w:val="clear" w:color="auto" w:fill="auto"/>
            <w:vAlign w:val="bottom"/>
          </w:tcPr>
          <w:p w14:paraId="3874B757" w14:textId="7A0437D6" w:rsidR="00FE0DD6" w:rsidRPr="002D2F67" w:rsidRDefault="00CD5714" w:rsidP="005611FE">
            <w:pPr>
              <w:jc w:val="center"/>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w:t>
            </w:r>
          </w:p>
        </w:tc>
        <w:tc>
          <w:tcPr>
            <w:tcW w:w="1843" w:type="dxa"/>
            <w:shd w:val="clear" w:color="auto" w:fill="auto"/>
            <w:vAlign w:val="bottom"/>
          </w:tcPr>
          <w:p w14:paraId="70AA5659" w14:textId="1A4F392C" w:rsidR="00FE0DD6"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325</w:t>
            </w:r>
          </w:p>
        </w:tc>
        <w:tc>
          <w:tcPr>
            <w:tcW w:w="1984" w:type="dxa"/>
            <w:shd w:val="clear" w:color="auto" w:fill="auto"/>
            <w:vAlign w:val="bottom"/>
          </w:tcPr>
          <w:p w14:paraId="51BF9B0D" w14:textId="0609F220" w:rsidR="00FE0DD6" w:rsidRPr="002D2F67" w:rsidRDefault="00CF1F68"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728" w:type="dxa"/>
            <w:shd w:val="clear" w:color="auto" w:fill="auto"/>
            <w:vAlign w:val="bottom"/>
          </w:tcPr>
          <w:p w14:paraId="3EAC3257" w14:textId="2B2E2B3A" w:rsidR="00FE0DD6" w:rsidRPr="002D2F67" w:rsidRDefault="00CF1F68"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728" w:type="dxa"/>
            <w:shd w:val="clear" w:color="auto" w:fill="auto"/>
            <w:vAlign w:val="bottom"/>
          </w:tcPr>
          <w:p w14:paraId="6F140DAB" w14:textId="7A3B0428" w:rsidR="00FE0DD6"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325</w:t>
            </w:r>
          </w:p>
        </w:tc>
        <w:tc>
          <w:tcPr>
            <w:tcW w:w="1715" w:type="dxa"/>
            <w:shd w:val="clear" w:color="auto" w:fill="auto"/>
            <w:vAlign w:val="bottom"/>
          </w:tcPr>
          <w:p w14:paraId="6F5D3FB2" w14:textId="490D680B" w:rsidR="00FE0DD6"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325</w:t>
            </w:r>
          </w:p>
        </w:tc>
      </w:tr>
      <w:tr w:rsidR="00FE0DD6" w:rsidRPr="002D2F67" w14:paraId="58143144" w14:textId="77777777" w:rsidTr="00C57CB9">
        <w:tc>
          <w:tcPr>
            <w:tcW w:w="4253" w:type="dxa"/>
            <w:shd w:val="clear" w:color="auto" w:fill="auto"/>
            <w:vAlign w:val="bottom"/>
          </w:tcPr>
          <w:p w14:paraId="2BF3DFAE" w14:textId="77777777" w:rsidR="00FE0DD6" w:rsidRPr="002D2F67" w:rsidRDefault="00FE0DD6" w:rsidP="005611FE">
            <w:pPr>
              <w:ind w:left="-101"/>
              <w:rPr>
                <w:rFonts w:ascii="Arial" w:eastAsia="Arial Unicode MS" w:hAnsi="Arial" w:cs="Arial"/>
                <w:color w:val="000000"/>
                <w:sz w:val="20"/>
                <w:szCs w:val="20"/>
              </w:rPr>
            </w:pPr>
            <w:r w:rsidRPr="002D2F67">
              <w:rPr>
                <w:rFonts w:ascii="Arial" w:eastAsia="Arial Unicode MS" w:hAnsi="Arial" w:cs="Arial"/>
                <w:color w:val="000000"/>
                <w:sz w:val="20"/>
                <w:szCs w:val="20"/>
              </w:rPr>
              <w:t>Debentures, net</w:t>
            </w:r>
          </w:p>
        </w:tc>
        <w:tc>
          <w:tcPr>
            <w:tcW w:w="992" w:type="dxa"/>
            <w:shd w:val="clear" w:color="auto" w:fill="auto"/>
            <w:vAlign w:val="bottom"/>
          </w:tcPr>
          <w:p w14:paraId="45D8E449" w14:textId="0A5F3F1B" w:rsidR="00FE0DD6" w:rsidRPr="002D2F67" w:rsidRDefault="00CD5714" w:rsidP="005611FE">
            <w:pPr>
              <w:jc w:val="center"/>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w:t>
            </w:r>
          </w:p>
        </w:tc>
        <w:tc>
          <w:tcPr>
            <w:tcW w:w="1843" w:type="dxa"/>
            <w:tcBorders>
              <w:bottom w:val="single" w:sz="4" w:space="0" w:color="auto"/>
            </w:tcBorders>
            <w:shd w:val="clear" w:color="auto" w:fill="auto"/>
            <w:vAlign w:val="bottom"/>
          </w:tcPr>
          <w:p w14:paraId="2CBAA8B3" w14:textId="076B387B" w:rsidR="00FE0DD6" w:rsidRPr="002D2F67" w:rsidRDefault="00CF1F68"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984" w:type="dxa"/>
            <w:tcBorders>
              <w:bottom w:val="single" w:sz="4" w:space="0" w:color="auto"/>
            </w:tcBorders>
            <w:shd w:val="clear" w:color="auto" w:fill="auto"/>
            <w:vAlign w:val="bottom"/>
          </w:tcPr>
          <w:p w14:paraId="0FE6AF40" w14:textId="469A60B5" w:rsidR="00FE0DD6" w:rsidRPr="002D2F67" w:rsidRDefault="00CF1F68"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728" w:type="dxa"/>
            <w:tcBorders>
              <w:bottom w:val="single" w:sz="4" w:space="0" w:color="auto"/>
            </w:tcBorders>
            <w:shd w:val="clear" w:color="auto" w:fill="auto"/>
            <w:vAlign w:val="bottom"/>
          </w:tcPr>
          <w:p w14:paraId="1FDDE406" w14:textId="7093C329" w:rsidR="00FE0DD6"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31</w:t>
            </w:r>
            <w:r w:rsidR="00CF1F68"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152</w:t>
            </w:r>
          </w:p>
        </w:tc>
        <w:tc>
          <w:tcPr>
            <w:tcW w:w="1728" w:type="dxa"/>
            <w:tcBorders>
              <w:bottom w:val="single" w:sz="4" w:space="0" w:color="auto"/>
            </w:tcBorders>
            <w:shd w:val="clear" w:color="auto" w:fill="auto"/>
            <w:vAlign w:val="bottom"/>
          </w:tcPr>
          <w:p w14:paraId="1E816F62" w14:textId="3E70146C" w:rsidR="00FE0DD6"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31</w:t>
            </w:r>
            <w:r w:rsidR="00CF1F68"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152</w:t>
            </w:r>
          </w:p>
        </w:tc>
        <w:tc>
          <w:tcPr>
            <w:tcW w:w="1715" w:type="dxa"/>
            <w:tcBorders>
              <w:bottom w:val="single" w:sz="4" w:space="0" w:color="auto"/>
            </w:tcBorders>
            <w:shd w:val="clear" w:color="auto" w:fill="auto"/>
            <w:vAlign w:val="bottom"/>
          </w:tcPr>
          <w:p w14:paraId="669AB4BA" w14:textId="29E7563B" w:rsidR="00FE0DD6"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27</w:t>
            </w:r>
            <w:r w:rsidR="00CF1F68"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051</w:t>
            </w:r>
          </w:p>
        </w:tc>
      </w:tr>
      <w:tr w:rsidR="00FE0DD6" w:rsidRPr="002D2F67" w14:paraId="7ACD9340" w14:textId="77777777" w:rsidTr="00C57CB9">
        <w:tc>
          <w:tcPr>
            <w:tcW w:w="4253" w:type="dxa"/>
            <w:shd w:val="clear" w:color="auto" w:fill="auto"/>
            <w:vAlign w:val="bottom"/>
          </w:tcPr>
          <w:p w14:paraId="19B2D48C" w14:textId="77777777" w:rsidR="00FE0DD6" w:rsidRPr="002D2F67" w:rsidRDefault="00FE0DD6" w:rsidP="005611FE">
            <w:pPr>
              <w:ind w:left="-101"/>
              <w:rPr>
                <w:rFonts w:ascii="Arial" w:eastAsia="Arial Unicode MS" w:hAnsi="Arial" w:cs="Arial"/>
                <w:color w:val="000000"/>
                <w:sz w:val="20"/>
                <w:szCs w:val="20"/>
              </w:rPr>
            </w:pPr>
          </w:p>
        </w:tc>
        <w:tc>
          <w:tcPr>
            <w:tcW w:w="992" w:type="dxa"/>
            <w:shd w:val="clear" w:color="auto" w:fill="auto"/>
            <w:vAlign w:val="bottom"/>
          </w:tcPr>
          <w:p w14:paraId="7C90C656" w14:textId="77777777" w:rsidR="00FE0DD6" w:rsidRPr="002D2F67" w:rsidRDefault="00FE0DD6" w:rsidP="005611FE">
            <w:pPr>
              <w:jc w:val="center"/>
              <w:rPr>
                <w:rFonts w:ascii="Arial" w:eastAsia="Arial Unicode MS" w:hAnsi="Arial" w:cs="Arial"/>
                <w:color w:val="000000"/>
                <w:sz w:val="20"/>
                <w:szCs w:val="20"/>
              </w:rPr>
            </w:pPr>
          </w:p>
        </w:tc>
        <w:tc>
          <w:tcPr>
            <w:tcW w:w="1843" w:type="dxa"/>
            <w:tcBorders>
              <w:top w:val="single" w:sz="4" w:space="0" w:color="auto"/>
            </w:tcBorders>
            <w:shd w:val="clear" w:color="auto" w:fill="auto"/>
            <w:vAlign w:val="bottom"/>
          </w:tcPr>
          <w:p w14:paraId="5915DC62" w14:textId="77777777" w:rsidR="00FE0DD6" w:rsidRPr="002D2F67" w:rsidRDefault="00FE0DD6" w:rsidP="005611FE">
            <w:pPr>
              <w:ind w:right="-75"/>
              <w:jc w:val="right"/>
              <w:rPr>
                <w:rFonts w:ascii="Arial" w:eastAsia="Arial Unicode MS" w:hAnsi="Arial" w:cs="Arial"/>
                <w:color w:val="000000"/>
                <w:sz w:val="20"/>
                <w:szCs w:val="20"/>
              </w:rPr>
            </w:pPr>
          </w:p>
        </w:tc>
        <w:tc>
          <w:tcPr>
            <w:tcW w:w="1984" w:type="dxa"/>
            <w:tcBorders>
              <w:top w:val="single" w:sz="4" w:space="0" w:color="auto"/>
            </w:tcBorders>
            <w:shd w:val="clear" w:color="auto" w:fill="auto"/>
            <w:vAlign w:val="bottom"/>
          </w:tcPr>
          <w:p w14:paraId="36B48148" w14:textId="77777777" w:rsidR="00FE0DD6" w:rsidRPr="002D2F67" w:rsidRDefault="00FE0DD6" w:rsidP="005611FE">
            <w:pPr>
              <w:ind w:right="-75"/>
              <w:jc w:val="right"/>
              <w:rPr>
                <w:rFonts w:ascii="Arial" w:eastAsia="Arial Unicode MS" w:hAnsi="Arial" w:cs="Arial"/>
                <w:color w:val="000000"/>
                <w:sz w:val="20"/>
                <w:szCs w:val="20"/>
              </w:rPr>
            </w:pPr>
          </w:p>
        </w:tc>
        <w:tc>
          <w:tcPr>
            <w:tcW w:w="1728" w:type="dxa"/>
            <w:tcBorders>
              <w:top w:val="single" w:sz="4" w:space="0" w:color="auto"/>
            </w:tcBorders>
            <w:shd w:val="clear" w:color="auto" w:fill="auto"/>
            <w:vAlign w:val="bottom"/>
          </w:tcPr>
          <w:p w14:paraId="45D06D4A" w14:textId="77777777" w:rsidR="00FE0DD6" w:rsidRPr="002D2F67" w:rsidRDefault="00FE0DD6" w:rsidP="005611FE">
            <w:pPr>
              <w:ind w:right="-75"/>
              <w:jc w:val="right"/>
              <w:rPr>
                <w:rFonts w:ascii="Arial" w:eastAsia="Arial Unicode MS" w:hAnsi="Arial" w:cs="Arial"/>
                <w:color w:val="000000"/>
                <w:sz w:val="20"/>
                <w:szCs w:val="20"/>
              </w:rPr>
            </w:pPr>
          </w:p>
        </w:tc>
        <w:tc>
          <w:tcPr>
            <w:tcW w:w="1728" w:type="dxa"/>
            <w:tcBorders>
              <w:top w:val="single" w:sz="4" w:space="0" w:color="auto"/>
            </w:tcBorders>
            <w:shd w:val="clear" w:color="auto" w:fill="auto"/>
            <w:vAlign w:val="bottom"/>
          </w:tcPr>
          <w:p w14:paraId="67FD8A52" w14:textId="77777777" w:rsidR="00FE0DD6" w:rsidRPr="002D2F67" w:rsidRDefault="00FE0DD6" w:rsidP="005611FE">
            <w:pPr>
              <w:ind w:right="-75"/>
              <w:jc w:val="right"/>
              <w:rPr>
                <w:rFonts w:ascii="Arial" w:eastAsia="Arial Unicode MS" w:hAnsi="Arial" w:cs="Arial"/>
                <w:color w:val="000000"/>
                <w:sz w:val="20"/>
                <w:szCs w:val="20"/>
              </w:rPr>
            </w:pPr>
          </w:p>
        </w:tc>
        <w:tc>
          <w:tcPr>
            <w:tcW w:w="1715" w:type="dxa"/>
            <w:tcBorders>
              <w:top w:val="single" w:sz="4" w:space="0" w:color="auto"/>
            </w:tcBorders>
            <w:shd w:val="clear" w:color="auto" w:fill="auto"/>
            <w:vAlign w:val="bottom"/>
          </w:tcPr>
          <w:p w14:paraId="04B04ED9" w14:textId="77777777" w:rsidR="00FE0DD6" w:rsidRPr="002D2F67" w:rsidRDefault="00FE0DD6" w:rsidP="005611FE">
            <w:pPr>
              <w:ind w:right="-75"/>
              <w:jc w:val="right"/>
              <w:rPr>
                <w:rFonts w:ascii="Arial" w:eastAsia="Arial Unicode MS" w:hAnsi="Arial" w:cs="Arial"/>
                <w:color w:val="000000"/>
                <w:sz w:val="20"/>
                <w:szCs w:val="20"/>
              </w:rPr>
            </w:pPr>
          </w:p>
        </w:tc>
      </w:tr>
      <w:tr w:rsidR="00FE0DD6" w:rsidRPr="002D2F67" w14:paraId="6BD10AA2" w14:textId="77777777" w:rsidTr="00C57CB9">
        <w:tc>
          <w:tcPr>
            <w:tcW w:w="4253" w:type="dxa"/>
            <w:shd w:val="clear" w:color="auto" w:fill="auto"/>
            <w:vAlign w:val="bottom"/>
          </w:tcPr>
          <w:p w14:paraId="3B96F5D6" w14:textId="77777777" w:rsidR="00FE0DD6" w:rsidRPr="002D2F67" w:rsidRDefault="00FE0DD6" w:rsidP="005611FE">
            <w:pPr>
              <w:ind w:left="-101"/>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Total liabilities</w:t>
            </w:r>
          </w:p>
        </w:tc>
        <w:tc>
          <w:tcPr>
            <w:tcW w:w="992" w:type="dxa"/>
            <w:shd w:val="clear" w:color="auto" w:fill="auto"/>
            <w:vAlign w:val="bottom"/>
          </w:tcPr>
          <w:p w14:paraId="2961E8B0" w14:textId="77777777" w:rsidR="00FE0DD6" w:rsidRPr="002D2F67" w:rsidRDefault="00FE0DD6" w:rsidP="005611FE">
            <w:pPr>
              <w:jc w:val="center"/>
              <w:rPr>
                <w:rFonts w:ascii="Arial" w:eastAsia="Arial Unicode MS" w:hAnsi="Arial" w:cs="Arial"/>
                <w:color w:val="000000"/>
                <w:sz w:val="20"/>
                <w:szCs w:val="20"/>
              </w:rPr>
            </w:pPr>
          </w:p>
        </w:tc>
        <w:tc>
          <w:tcPr>
            <w:tcW w:w="1843" w:type="dxa"/>
            <w:tcBorders>
              <w:bottom w:val="single" w:sz="4" w:space="0" w:color="auto"/>
            </w:tcBorders>
            <w:shd w:val="clear" w:color="auto" w:fill="auto"/>
            <w:vAlign w:val="bottom"/>
          </w:tcPr>
          <w:p w14:paraId="2C286887" w14:textId="2B67F04B" w:rsidR="00FE0DD6"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325</w:t>
            </w:r>
          </w:p>
        </w:tc>
        <w:tc>
          <w:tcPr>
            <w:tcW w:w="1984" w:type="dxa"/>
            <w:tcBorders>
              <w:bottom w:val="single" w:sz="4" w:space="0" w:color="auto"/>
            </w:tcBorders>
            <w:shd w:val="clear" w:color="auto" w:fill="auto"/>
            <w:vAlign w:val="bottom"/>
          </w:tcPr>
          <w:p w14:paraId="253ECC8D" w14:textId="2B7CEA9A" w:rsidR="00FE0DD6" w:rsidRPr="002D2F67" w:rsidRDefault="00CF1F68"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728" w:type="dxa"/>
            <w:tcBorders>
              <w:bottom w:val="single" w:sz="4" w:space="0" w:color="auto"/>
            </w:tcBorders>
            <w:shd w:val="clear" w:color="auto" w:fill="auto"/>
            <w:vAlign w:val="bottom"/>
          </w:tcPr>
          <w:p w14:paraId="7539F7F7" w14:textId="3AAF7431" w:rsidR="00FE0DD6"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33</w:t>
            </w:r>
            <w:r w:rsidR="00CF1F68"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553</w:t>
            </w:r>
          </w:p>
        </w:tc>
        <w:tc>
          <w:tcPr>
            <w:tcW w:w="1728" w:type="dxa"/>
            <w:tcBorders>
              <w:bottom w:val="single" w:sz="4" w:space="0" w:color="auto"/>
            </w:tcBorders>
            <w:shd w:val="clear" w:color="auto" w:fill="auto"/>
            <w:vAlign w:val="bottom"/>
          </w:tcPr>
          <w:p w14:paraId="4BEAA827" w14:textId="4E7E6EA3" w:rsidR="00FE0DD6"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33</w:t>
            </w:r>
            <w:r w:rsidR="00CF1F68"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878</w:t>
            </w:r>
          </w:p>
        </w:tc>
        <w:tc>
          <w:tcPr>
            <w:tcW w:w="1715" w:type="dxa"/>
            <w:tcBorders>
              <w:bottom w:val="single" w:sz="4" w:space="0" w:color="auto"/>
            </w:tcBorders>
            <w:shd w:val="clear" w:color="auto" w:fill="auto"/>
            <w:vAlign w:val="bottom"/>
          </w:tcPr>
          <w:p w14:paraId="0441CFE4" w14:textId="0BB3EFE4" w:rsidR="00FE0DD6"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29</w:t>
            </w:r>
            <w:r w:rsidR="00CF1F68"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777</w:t>
            </w:r>
          </w:p>
        </w:tc>
      </w:tr>
    </w:tbl>
    <w:p w14:paraId="32FF9238" w14:textId="77777777" w:rsidR="00430848" w:rsidRPr="002D2F67" w:rsidRDefault="00FF408A" w:rsidP="005611FE">
      <w:pPr>
        <w:ind w:right="36"/>
        <w:jc w:val="thaiDistribute"/>
        <w:rPr>
          <w:rFonts w:ascii="Arial" w:hAnsi="Arial" w:cs="Arial"/>
          <w:color w:val="000000"/>
          <w:sz w:val="12"/>
          <w:szCs w:val="12"/>
        </w:rPr>
      </w:pPr>
      <w:r w:rsidRPr="002D2F67">
        <w:rPr>
          <w:rFonts w:ascii="Arial" w:hAnsi="Arial" w:cs="Arial"/>
          <w:color w:val="000000"/>
          <w:sz w:val="20"/>
          <w:szCs w:val="20"/>
        </w:rPr>
        <w:br w:type="page"/>
      </w:r>
    </w:p>
    <w:tbl>
      <w:tblPr>
        <w:tblW w:w="14271" w:type="dxa"/>
        <w:tblInd w:w="108" w:type="dxa"/>
        <w:tblLayout w:type="fixed"/>
        <w:tblLook w:val="04A0" w:firstRow="1" w:lastRow="0" w:firstColumn="1" w:lastColumn="0" w:noHBand="0" w:noVBand="1"/>
      </w:tblPr>
      <w:tblGrid>
        <w:gridCol w:w="4253"/>
        <w:gridCol w:w="992"/>
        <w:gridCol w:w="1843"/>
        <w:gridCol w:w="1984"/>
        <w:gridCol w:w="1728"/>
        <w:gridCol w:w="1728"/>
        <w:gridCol w:w="1743"/>
      </w:tblGrid>
      <w:tr w:rsidR="00AB4B3A" w:rsidRPr="002D2F67" w14:paraId="5922AFAC" w14:textId="77777777" w:rsidTr="00C57CB9">
        <w:trPr>
          <w:trHeight w:val="20"/>
        </w:trPr>
        <w:tc>
          <w:tcPr>
            <w:tcW w:w="4253" w:type="dxa"/>
            <w:shd w:val="clear" w:color="auto" w:fill="auto"/>
            <w:vAlign w:val="bottom"/>
          </w:tcPr>
          <w:p w14:paraId="483A0E16" w14:textId="77777777" w:rsidR="00AB4B3A" w:rsidRPr="002D2F67" w:rsidRDefault="00AB4B3A" w:rsidP="005611FE">
            <w:pPr>
              <w:ind w:left="-101"/>
              <w:rPr>
                <w:rFonts w:ascii="Arial" w:eastAsia="Arial Unicode MS" w:hAnsi="Arial" w:cs="Arial"/>
                <w:color w:val="000000"/>
                <w:sz w:val="20"/>
                <w:szCs w:val="20"/>
              </w:rPr>
            </w:pPr>
          </w:p>
        </w:tc>
        <w:tc>
          <w:tcPr>
            <w:tcW w:w="10013" w:type="dxa"/>
            <w:gridSpan w:val="6"/>
            <w:tcBorders>
              <w:bottom w:val="single" w:sz="4" w:space="0" w:color="auto"/>
            </w:tcBorders>
            <w:shd w:val="clear" w:color="auto" w:fill="auto"/>
            <w:vAlign w:val="bottom"/>
          </w:tcPr>
          <w:p w14:paraId="763B39BB" w14:textId="77777777" w:rsidR="00AB4B3A" w:rsidRPr="002D2F67" w:rsidRDefault="00AB4B3A" w:rsidP="005611FE">
            <w:pPr>
              <w:ind w:right="-68"/>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Consolidated financial statements</w:t>
            </w:r>
          </w:p>
        </w:tc>
      </w:tr>
      <w:tr w:rsidR="00AB4B3A" w:rsidRPr="002D2F67" w14:paraId="454E13A0" w14:textId="77777777" w:rsidTr="00C57CB9">
        <w:trPr>
          <w:trHeight w:val="20"/>
        </w:trPr>
        <w:tc>
          <w:tcPr>
            <w:tcW w:w="4253" w:type="dxa"/>
            <w:shd w:val="clear" w:color="auto" w:fill="auto"/>
            <w:vAlign w:val="bottom"/>
          </w:tcPr>
          <w:p w14:paraId="22BA3353" w14:textId="77777777" w:rsidR="00AB4B3A" w:rsidRPr="002D2F67" w:rsidRDefault="00AB4B3A" w:rsidP="005611FE">
            <w:pPr>
              <w:ind w:left="-101"/>
              <w:rPr>
                <w:rFonts w:ascii="Arial" w:eastAsia="Arial Unicode MS" w:hAnsi="Arial" w:cs="Arial"/>
                <w:color w:val="000000"/>
                <w:sz w:val="20"/>
                <w:szCs w:val="20"/>
              </w:rPr>
            </w:pPr>
          </w:p>
        </w:tc>
        <w:tc>
          <w:tcPr>
            <w:tcW w:w="992" w:type="dxa"/>
            <w:vMerge w:val="restart"/>
            <w:tcBorders>
              <w:top w:val="single" w:sz="4" w:space="0" w:color="auto"/>
              <w:bottom w:val="single" w:sz="4" w:space="0" w:color="auto"/>
            </w:tcBorders>
            <w:shd w:val="clear" w:color="auto" w:fill="auto"/>
            <w:vAlign w:val="bottom"/>
          </w:tcPr>
          <w:p w14:paraId="5C4FC8D3" w14:textId="77777777" w:rsidR="00AB4B3A" w:rsidRPr="002D2F67" w:rsidRDefault="00AB4B3A" w:rsidP="005611FE">
            <w:pPr>
              <w:jc w:val="center"/>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Fair value level</w:t>
            </w:r>
          </w:p>
        </w:tc>
        <w:tc>
          <w:tcPr>
            <w:tcW w:w="1843" w:type="dxa"/>
            <w:tcBorders>
              <w:top w:val="single" w:sz="4" w:space="0" w:color="auto"/>
            </w:tcBorders>
            <w:shd w:val="clear" w:color="auto" w:fill="auto"/>
            <w:vAlign w:val="bottom"/>
          </w:tcPr>
          <w:p w14:paraId="7BD8200A" w14:textId="77777777" w:rsidR="00AB4B3A" w:rsidRPr="002D2F67" w:rsidRDefault="00AB4B3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FVPL</w:t>
            </w:r>
          </w:p>
        </w:tc>
        <w:tc>
          <w:tcPr>
            <w:tcW w:w="1984" w:type="dxa"/>
            <w:tcBorders>
              <w:top w:val="single" w:sz="4" w:space="0" w:color="auto"/>
            </w:tcBorders>
            <w:shd w:val="clear" w:color="auto" w:fill="auto"/>
            <w:vAlign w:val="bottom"/>
          </w:tcPr>
          <w:p w14:paraId="2D521439" w14:textId="77777777" w:rsidR="00AB4B3A" w:rsidRPr="002D2F67" w:rsidRDefault="00AB4B3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FVOCI</w:t>
            </w:r>
          </w:p>
        </w:tc>
        <w:tc>
          <w:tcPr>
            <w:tcW w:w="1728" w:type="dxa"/>
            <w:tcBorders>
              <w:top w:val="single" w:sz="4" w:space="0" w:color="auto"/>
            </w:tcBorders>
            <w:shd w:val="clear" w:color="auto" w:fill="auto"/>
            <w:vAlign w:val="bottom"/>
          </w:tcPr>
          <w:p w14:paraId="40DE9A76" w14:textId="4F063D6D" w:rsidR="00AB4B3A" w:rsidRPr="002D2F67" w:rsidRDefault="00AB4B3A" w:rsidP="005611FE">
            <w:pPr>
              <w:ind w:right="-75"/>
              <w:jc w:val="right"/>
              <w:rPr>
                <w:rFonts w:ascii="Arial" w:eastAsia="Arial Unicode MS" w:hAnsi="Arial" w:cs="Arial"/>
                <w:b/>
                <w:bCs/>
                <w:color w:val="000000"/>
                <w:sz w:val="20"/>
                <w:szCs w:val="20"/>
                <w:cs/>
              </w:rPr>
            </w:pPr>
            <w:r w:rsidRPr="002D2F67">
              <w:rPr>
                <w:rFonts w:ascii="Arial" w:eastAsia="Arial Unicode MS" w:hAnsi="Arial" w:cs="Arial"/>
                <w:b/>
                <w:bCs/>
                <w:color w:val="000000"/>
                <w:sz w:val="20"/>
                <w:szCs w:val="20"/>
              </w:rPr>
              <w:t>Amortised cost</w:t>
            </w:r>
          </w:p>
        </w:tc>
        <w:tc>
          <w:tcPr>
            <w:tcW w:w="1728" w:type="dxa"/>
            <w:tcBorders>
              <w:top w:val="single" w:sz="4" w:space="0" w:color="auto"/>
            </w:tcBorders>
            <w:shd w:val="clear" w:color="auto" w:fill="auto"/>
            <w:vAlign w:val="bottom"/>
          </w:tcPr>
          <w:p w14:paraId="36D86CD8" w14:textId="77777777" w:rsidR="00AB4B3A" w:rsidRPr="002D2F67" w:rsidRDefault="00AB4B3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Total</w:t>
            </w:r>
          </w:p>
          <w:p w14:paraId="27D47B5A" w14:textId="77777777" w:rsidR="00AB4B3A" w:rsidRPr="002D2F67" w:rsidRDefault="00AB4B3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carrying amount</w:t>
            </w:r>
          </w:p>
        </w:tc>
        <w:tc>
          <w:tcPr>
            <w:tcW w:w="1743" w:type="dxa"/>
            <w:tcBorders>
              <w:top w:val="single" w:sz="4" w:space="0" w:color="auto"/>
            </w:tcBorders>
            <w:shd w:val="clear" w:color="auto" w:fill="auto"/>
            <w:vAlign w:val="bottom"/>
          </w:tcPr>
          <w:p w14:paraId="1D8D0038" w14:textId="77777777" w:rsidR="00AB4B3A" w:rsidRPr="002D2F67" w:rsidRDefault="00AB4B3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Fair value</w:t>
            </w:r>
          </w:p>
        </w:tc>
      </w:tr>
      <w:tr w:rsidR="00AB4B3A" w:rsidRPr="002D2F67" w14:paraId="4D3CFB05" w14:textId="77777777" w:rsidTr="1A000F6E">
        <w:trPr>
          <w:trHeight w:val="20"/>
        </w:trPr>
        <w:tc>
          <w:tcPr>
            <w:tcW w:w="4253" w:type="dxa"/>
            <w:shd w:val="clear" w:color="auto" w:fill="auto"/>
            <w:vAlign w:val="bottom"/>
          </w:tcPr>
          <w:p w14:paraId="5F53AC34" w14:textId="77777777" w:rsidR="00AB4B3A" w:rsidRPr="002D2F67" w:rsidRDefault="00AB4B3A" w:rsidP="005611FE">
            <w:pPr>
              <w:ind w:left="-101"/>
              <w:rPr>
                <w:rFonts w:ascii="Arial" w:eastAsia="Arial Unicode MS" w:hAnsi="Arial" w:cs="Arial"/>
                <w:color w:val="000000"/>
                <w:sz w:val="20"/>
                <w:szCs w:val="20"/>
              </w:rPr>
            </w:pPr>
          </w:p>
        </w:tc>
        <w:tc>
          <w:tcPr>
            <w:tcW w:w="992" w:type="dxa"/>
            <w:vMerge/>
            <w:vAlign w:val="bottom"/>
          </w:tcPr>
          <w:p w14:paraId="280220E2" w14:textId="77777777" w:rsidR="00AB4B3A" w:rsidRPr="002D2F67" w:rsidRDefault="00AB4B3A" w:rsidP="005611FE">
            <w:pPr>
              <w:jc w:val="right"/>
              <w:rPr>
                <w:rFonts w:ascii="Arial" w:eastAsia="Arial Unicode MS" w:hAnsi="Arial" w:cs="Arial"/>
                <w:b/>
                <w:bCs/>
                <w:color w:val="000000"/>
                <w:sz w:val="20"/>
                <w:szCs w:val="20"/>
              </w:rPr>
            </w:pPr>
          </w:p>
        </w:tc>
        <w:tc>
          <w:tcPr>
            <w:tcW w:w="1843" w:type="dxa"/>
            <w:tcBorders>
              <w:bottom w:val="single" w:sz="4" w:space="0" w:color="auto"/>
            </w:tcBorders>
            <w:shd w:val="clear" w:color="auto" w:fill="auto"/>
            <w:vAlign w:val="bottom"/>
          </w:tcPr>
          <w:p w14:paraId="74B43758" w14:textId="77777777" w:rsidR="00AB4B3A" w:rsidRPr="002D2F67" w:rsidRDefault="00AB4B3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Million Baht</w:t>
            </w:r>
          </w:p>
        </w:tc>
        <w:tc>
          <w:tcPr>
            <w:tcW w:w="1984" w:type="dxa"/>
            <w:tcBorders>
              <w:bottom w:val="single" w:sz="4" w:space="0" w:color="auto"/>
            </w:tcBorders>
            <w:shd w:val="clear" w:color="auto" w:fill="auto"/>
            <w:vAlign w:val="bottom"/>
          </w:tcPr>
          <w:p w14:paraId="40BC227B" w14:textId="77777777" w:rsidR="00AB4B3A" w:rsidRPr="002D2F67" w:rsidRDefault="00AB4B3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Million Baht</w:t>
            </w:r>
          </w:p>
        </w:tc>
        <w:tc>
          <w:tcPr>
            <w:tcW w:w="1728" w:type="dxa"/>
            <w:tcBorders>
              <w:bottom w:val="single" w:sz="4" w:space="0" w:color="auto"/>
            </w:tcBorders>
            <w:shd w:val="clear" w:color="auto" w:fill="auto"/>
            <w:vAlign w:val="bottom"/>
          </w:tcPr>
          <w:p w14:paraId="0C8397BD" w14:textId="77777777" w:rsidR="00AB4B3A" w:rsidRPr="002D2F67" w:rsidRDefault="00AB4B3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Million Baht</w:t>
            </w:r>
          </w:p>
        </w:tc>
        <w:tc>
          <w:tcPr>
            <w:tcW w:w="1728" w:type="dxa"/>
            <w:tcBorders>
              <w:bottom w:val="single" w:sz="4" w:space="0" w:color="auto"/>
            </w:tcBorders>
            <w:shd w:val="clear" w:color="auto" w:fill="auto"/>
            <w:vAlign w:val="bottom"/>
          </w:tcPr>
          <w:p w14:paraId="2F60D2FA" w14:textId="77777777" w:rsidR="00AB4B3A" w:rsidRPr="002D2F67" w:rsidRDefault="00AB4B3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Million Baht</w:t>
            </w:r>
          </w:p>
        </w:tc>
        <w:tc>
          <w:tcPr>
            <w:tcW w:w="1743" w:type="dxa"/>
            <w:tcBorders>
              <w:bottom w:val="single" w:sz="4" w:space="0" w:color="auto"/>
            </w:tcBorders>
            <w:shd w:val="clear" w:color="auto" w:fill="auto"/>
            <w:vAlign w:val="bottom"/>
          </w:tcPr>
          <w:p w14:paraId="308A85D5" w14:textId="77777777" w:rsidR="00AB4B3A" w:rsidRPr="002D2F67" w:rsidRDefault="00AB4B3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Million Baht</w:t>
            </w:r>
          </w:p>
        </w:tc>
      </w:tr>
      <w:tr w:rsidR="00AB4B3A" w:rsidRPr="002D2F67" w14:paraId="03FE4D93" w14:textId="77777777" w:rsidTr="00C57CB9">
        <w:trPr>
          <w:trHeight w:val="20"/>
        </w:trPr>
        <w:tc>
          <w:tcPr>
            <w:tcW w:w="4253" w:type="dxa"/>
            <w:shd w:val="clear" w:color="auto" w:fill="auto"/>
            <w:vAlign w:val="bottom"/>
          </w:tcPr>
          <w:p w14:paraId="3776C2F6" w14:textId="16BC501C" w:rsidR="00AB4B3A" w:rsidRPr="002D2F67" w:rsidRDefault="00AB4B3A" w:rsidP="005611FE">
            <w:pPr>
              <w:ind w:left="-101"/>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 xml:space="preserve">As </w:t>
            </w:r>
            <w:proofErr w:type="gramStart"/>
            <w:r w:rsidRPr="002D2F67">
              <w:rPr>
                <w:rFonts w:ascii="Arial" w:eastAsia="Arial Unicode MS" w:hAnsi="Arial" w:cs="Arial"/>
                <w:b/>
                <w:bCs/>
                <w:color w:val="000000"/>
                <w:sz w:val="20"/>
                <w:szCs w:val="20"/>
              </w:rPr>
              <w:t>at</w:t>
            </w:r>
            <w:proofErr w:type="gramEnd"/>
            <w:r w:rsidRPr="002D2F67">
              <w:rPr>
                <w:rFonts w:ascii="Arial" w:eastAsia="Arial Unicode MS" w:hAnsi="Arial" w:cs="Arial"/>
                <w:b/>
                <w:bCs/>
                <w:color w:val="000000"/>
                <w:sz w:val="20"/>
                <w:szCs w:val="20"/>
              </w:rPr>
              <w:t xml:space="preserve"> </w:t>
            </w:r>
            <w:r w:rsidR="00CD5714" w:rsidRPr="00CD5714">
              <w:rPr>
                <w:rFonts w:ascii="Arial" w:eastAsia="Arial Unicode MS" w:hAnsi="Arial" w:cs="Arial"/>
                <w:b/>
                <w:bCs/>
                <w:color w:val="000000"/>
                <w:sz w:val="20"/>
                <w:szCs w:val="20"/>
                <w:lang w:val="en-GB"/>
              </w:rPr>
              <w:t>31</w:t>
            </w:r>
            <w:r w:rsidRPr="002D2F67">
              <w:rPr>
                <w:rFonts w:ascii="Arial" w:eastAsia="Arial Unicode MS" w:hAnsi="Arial" w:cs="Arial"/>
                <w:b/>
                <w:bCs/>
                <w:color w:val="000000"/>
                <w:sz w:val="20"/>
                <w:szCs w:val="20"/>
              </w:rPr>
              <w:t xml:space="preserve"> December </w:t>
            </w:r>
            <w:r w:rsidR="00CD5714" w:rsidRPr="00CD5714">
              <w:rPr>
                <w:rFonts w:ascii="Arial" w:eastAsia="Arial Unicode MS" w:hAnsi="Arial" w:cs="Arial"/>
                <w:b/>
                <w:bCs/>
                <w:color w:val="000000"/>
                <w:sz w:val="20"/>
                <w:szCs w:val="20"/>
                <w:lang w:val="en-GB"/>
              </w:rPr>
              <w:t>2023</w:t>
            </w:r>
          </w:p>
        </w:tc>
        <w:tc>
          <w:tcPr>
            <w:tcW w:w="992" w:type="dxa"/>
            <w:tcBorders>
              <w:top w:val="single" w:sz="4" w:space="0" w:color="auto"/>
            </w:tcBorders>
            <w:shd w:val="clear" w:color="auto" w:fill="auto"/>
            <w:vAlign w:val="bottom"/>
          </w:tcPr>
          <w:p w14:paraId="62223088" w14:textId="77777777" w:rsidR="00AB4B3A" w:rsidRPr="002D2F67" w:rsidRDefault="00AB4B3A" w:rsidP="005611FE">
            <w:pPr>
              <w:jc w:val="center"/>
              <w:rPr>
                <w:rFonts w:ascii="Arial" w:eastAsia="Arial Unicode MS" w:hAnsi="Arial" w:cs="Arial"/>
                <w:color w:val="000000"/>
                <w:sz w:val="20"/>
                <w:szCs w:val="20"/>
              </w:rPr>
            </w:pPr>
          </w:p>
        </w:tc>
        <w:tc>
          <w:tcPr>
            <w:tcW w:w="1843" w:type="dxa"/>
            <w:tcBorders>
              <w:top w:val="single" w:sz="4" w:space="0" w:color="auto"/>
            </w:tcBorders>
            <w:shd w:val="clear" w:color="auto" w:fill="auto"/>
            <w:vAlign w:val="bottom"/>
          </w:tcPr>
          <w:p w14:paraId="54ACB117" w14:textId="77777777" w:rsidR="00AB4B3A" w:rsidRPr="002D2F67" w:rsidRDefault="00AB4B3A" w:rsidP="005611FE">
            <w:pPr>
              <w:ind w:right="-75"/>
              <w:jc w:val="right"/>
              <w:rPr>
                <w:rFonts w:ascii="Arial" w:eastAsia="Arial Unicode MS" w:hAnsi="Arial" w:cs="Arial"/>
                <w:color w:val="000000"/>
                <w:sz w:val="20"/>
                <w:szCs w:val="20"/>
              </w:rPr>
            </w:pPr>
          </w:p>
        </w:tc>
        <w:tc>
          <w:tcPr>
            <w:tcW w:w="1984" w:type="dxa"/>
            <w:tcBorders>
              <w:top w:val="single" w:sz="4" w:space="0" w:color="auto"/>
            </w:tcBorders>
            <w:shd w:val="clear" w:color="auto" w:fill="auto"/>
            <w:vAlign w:val="bottom"/>
          </w:tcPr>
          <w:p w14:paraId="0012977A" w14:textId="77777777" w:rsidR="00AB4B3A" w:rsidRPr="002D2F67" w:rsidRDefault="00AB4B3A" w:rsidP="005611FE">
            <w:pPr>
              <w:ind w:right="-75"/>
              <w:jc w:val="right"/>
              <w:rPr>
                <w:rFonts w:ascii="Arial" w:eastAsia="Arial Unicode MS" w:hAnsi="Arial" w:cs="Arial"/>
                <w:color w:val="000000"/>
                <w:sz w:val="20"/>
                <w:szCs w:val="20"/>
              </w:rPr>
            </w:pPr>
          </w:p>
        </w:tc>
        <w:tc>
          <w:tcPr>
            <w:tcW w:w="1728" w:type="dxa"/>
            <w:tcBorders>
              <w:top w:val="single" w:sz="4" w:space="0" w:color="auto"/>
            </w:tcBorders>
            <w:shd w:val="clear" w:color="auto" w:fill="auto"/>
            <w:vAlign w:val="bottom"/>
          </w:tcPr>
          <w:p w14:paraId="6449C7CF" w14:textId="77777777" w:rsidR="00AB4B3A" w:rsidRPr="002D2F67" w:rsidRDefault="00AB4B3A" w:rsidP="005611FE">
            <w:pPr>
              <w:ind w:right="-75"/>
              <w:jc w:val="right"/>
              <w:rPr>
                <w:rFonts w:ascii="Arial" w:eastAsia="Arial Unicode MS" w:hAnsi="Arial" w:cs="Arial"/>
                <w:color w:val="000000"/>
                <w:sz w:val="20"/>
                <w:szCs w:val="20"/>
              </w:rPr>
            </w:pPr>
          </w:p>
        </w:tc>
        <w:tc>
          <w:tcPr>
            <w:tcW w:w="1728" w:type="dxa"/>
            <w:tcBorders>
              <w:top w:val="single" w:sz="4" w:space="0" w:color="auto"/>
            </w:tcBorders>
            <w:shd w:val="clear" w:color="auto" w:fill="auto"/>
            <w:vAlign w:val="bottom"/>
          </w:tcPr>
          <w:p w14:paraId="7D833BA5" w14:textId="77777777" w:rsidR="00AB4B3A" w:rsidRPr="002D2F67" w:rsidRDefault="00AB4B3A" w:rsidP="005611FE">
            <w:pPr>
              <w:ind w:right="-75"/>
              <w:jc w:val="right"/>
              <w:rPr>
                <w:rFonts w:ascii="Arial" w:eastAsia="Arial Unicode MS" w:hAnsi="Arial" w:cs="Arial"/>
                <w:color w:val="000000"/>
                <w:sz w:val="20"/>
                <w:szCs w:val="20"/>
              </w:rPr>
            </w:pPr>
          </w:p>
        </w:tc>
        <w:tc>
          <w:tcPr>
            <w:tcW w:w="1743" w:type="dxa"/>
            <w:tcBorders>
              <w:top w:val="single" w:sz="4" w:space="0" w:color="auto"/>
            </w:tcBorders>
            <w:shd w:val="clear" w:color="auto" w:fill="auto"/>
            <w:vAlign w:val="bottom"/>
          </w:tcPr>
          <w:p w14:paraId="2E94228D" w14:textId="77777777" w:rsidR="00AB4B3A" w:rsidRPr="002D2F67" w:rsidRDefault="00AB4B3A" w:rsidP="005611FE">
            <w:pPr>
              <w:ind w:right="-75"/>
              <w:jc w:val="right"/>
              <w:rPr>
                <w:rFonts w:ascii="Arial" w:eastAsia="Arial Unicode MS" w:hAnsi="Arial" w:cs="Arial"/>
                <w:color w:val="000000"/>
                <w:sz w:val="20"/>
                <w:szCs w:val="20"/>
              </w:rPr>
            </w:pPr>
          </w:p>
        </w:tc>
      </w:tr>
      <w:tr w:rsidR="00AB4B3A" w:rsidRPr="002D2F67" w14:paraId="070CDF94" w14:textId="77777777" w:rsidTr="00C57CB9">
        <w:trPr>
          <w:trHeight w:val="20"/>
        </w:trPr>
        <w:tc>
          <w:tcPr>
            <w:tcW w:w="4253" w:type="dxa"/>
            <w:shd w:val="clear" w:color="auto" w:fill="auto"/>
            <w:vAlign w:val="bottom"/>
          </w:tcPr>
          <w:p w14:paraId="4DF2A56B" w14:textId="77777777" w:rsidR="00AB4B3A" w:rsidRPr="002D2F67" w:rsidRDefault="00AB4B3A" w:rsidP="005611FE">
            <w:pPr>
              <w:ind w:left="-101"/>
              <w:rPr>
                <w:rFonts w:ascii="Arial" w:eastAsia="Arial Unicode MS" w:hAnsi="Arial" w:cs="Arial"/>
                <w:b/>
                <w:bCs/>
                <w:color w:val="000000"/>
                <w:sz w:val="8"/>
                <w:szCs w:val="8"/>
              </w:rPr>
            </w:pPr>
          </w:p>
        </w:tc>
        <w:tc>
          <w:tcPr>
            <w:tcW w:w="992" w:type="dxa"/>
            <w:shd w:val="clear" w:color="auto" w:fill="auto"/>
            <w:vAlign w:val="bottom"/>
          </w:tcPr>
          <w:p w14:paraId="70C0C95E" w14:textId="77777777" w:rsidR="00AB4B3A" w:rsidRPr="002D2F67" w:rsidRDefault="00AB4B3A" w:rsidP="005611FE">
            <w:pPr>
              <w:jc w:val="center"/>
              <w:rPr>
                <w:rFonts w:ascii="Arial" w:eastAsia="Arial Unicode MS" w:hAnsi="Arial" w:cs="Arial"/>
                <w:color w:val="000000"/>
                <w:sz w:val="8"/>
                <w:szCs w:val="8"/>
              </w:rPr>
            </w:pPr>
          </w:p>
        </w:tc>
        <w:tc>
          <w:tcPr>
            <w:tcW w:w="1843" w:type="dxa"/>
            <w:shd w:val="clear" w:color="auto" w:fill="auto"/>
            <w:vAlign w:val="bottom"/>
          </w:tcPr>
          <w:p w14:paraId="2EFA10A3" w14:textId="77777777" w:rsidR="00AB4B3A" w:rsidRPr="002D2F67" w:rsidRDefault="00AB4B3A" w:rsidP="005611FE">
            <w:pPr>
              <w:ind w:right="-75"/>
              <w:jc w:val="right"/>
              <w:rPr>
                <w:rFonts w:ascii="Arial" w:eastAsia="Arial Unicode MS" w:hAnsi="Arial" w:cs="Arial"/>
                <w:color w:val="000000"/>
                <w:sz w:val="8"/>
                <w:szCs w:val="8"/>
              </w:rPr>
            </w:pPr>
          </w:p>
        </w:tc>
        <w:tc>
          <w:tcPr>
            <w:tcW w:w="1984" w:type="dxa"/>
            <w:shd w:val="clear" w:color="auto" w:fill="auto"/>
            <w:vAlign w:val="bottom"/>
          </w:tcPr>
          <w:p w14:paraId="4A5D0FDC" w14:textId="77777777" w:rsidR="00AB4B3A" w:rsidRPr="002D2F67" w:rsidRDefault="00AB4B3A" w:rsidP="005611FE">
            <w:pPr>
              <w:ind w:right="-75"/>
              <w:jc w:val="right"/>
              <w:rPr>
                <w:rFonts w:ascii="Arial" w:eastAsia="Arial Unicode MS" w:hAnsi="Arial" w:cs="Arial"/>
                <w:color w:val="000000"/>
                <w:sz w:val="8"/>
                <w:szCs w:val="8"/>
              </w:rPr>
            </w:pPr>
          </w:p>
        </w:tc>
        <w:tc>
          <w:tcPr>
            <w:tcW w:w="1728" w:type="dxa"/>
            <w:shd w:val="clear" w:color="auto" w:fill="auto"/>
            <w:vAlign w:val="bottom"/>
          </w:tcPr>
          <w:p w14:paraId="6F36522C" w14:textId="77777777" w:rsidR="00AB4B3A" w:rsidRPr="002D2F67" w:rsidRDefault="00AB4B3A" w:rsidP="005611FE">
            <w:pPr>
              <w:ind w:right="-75"/>
              <w:jc w:val="right"/>
              <w:rPr>
                <w:rFonts w:ascii="Arial" w:eastAsia="Arial Unicode MS" w:hAnsi="Arial" w:cs="Arial"/>
                <w:color w:val="000000"/>
                <w:sz w:val="8"/>
                <w:szCs w:val="8"/>
              </w:rPr>
            </w:pPr>
          </w:p>
        </w:tc>
        <w:tc>
          <w:tcPr>
            <w:tcW w:w="1728" w:type="dxa"/>
            <w:shd w:val="clear" w:color="auto" w:fill="auto"/>
            <w:vAlign w:val="bottom"/>
          </w:tcPr>
          <w:p w14:paraId="11FB475E" w14:textId="77777777" w:rsidR="00AB4B3A" w:rsidRPr="002D2F67" w:rsidRDefault="00AB4B3A" w:rsidP="005611FE">
            <w:pPr>
              <w:ind w:right="-75"/>
              <w:jc w:val="right"/>
              <w:rPr>
                <w:rFonts w:ascii="Arial" w:eastAsia="Arial Unicode MS" w:hAnsi="Arial" w:cs="Arial"/>
                <w:color w:val="000000"/>
                <w:sz w:val="8"/>
                <w:szCs w:val="8"/>
              </w:rPr>
            </w:pPr>
          </w:p>
        </w:tc>
        <w:tc>
          <w:tcPr>
            <w:tcW w:w="1743" w:type="dxa"/>
            <w:shd w:val="clear" w:color="auto" w:fill="auto"/>
            <w:vAlign w:val="bottom"/>
          </w:tcPr>
          <w:p w14:paraId="6FED8B7B" w14:textId="77777777" w:rsidR="00AB4B3A" w:rsidRPr="002D2F67" w:rsidRDefault="00AB4B3A" w:rsidP="005611FE">
            <w:pPr>
              <w:ind w:right="-75"/>
              <w:jc w:val="right"/>
              <w:rPr>
                <w:rFonts w:ascii="Arial" w:eastAsia="Arial Unicode MS" w:hAnsi="Arial" w:cs="Arial"/>
                <w:color w:val="000000"/>
                <w:sz w:val="8"/>
                <w:szCs w:val="8"/>
              </w:rPr>
            </w:pPr>
          </w:p>
        </w:tc>
      </w:tr>
      <w:tr w:rsidR="00AB4B3A" w:rsidRPr="002D2F67" w14:paraId="497F74CD" w14:textId="77777777" w:rsidTr="00C57CB9">
        <w:trPr>
          <w:trHeight w:val="20"/>
        </w:trPr>
        <w:tc>
          <w:tcPr>
            <w:tcW w:w="4253" w:type="dxa"/>
            <w:shd w:val="clear" w:color="auto" w:fill="auto"/>
            <w:vAlign w:val="bottom"/>
          </w:tcPr>
          <w:p w14:paraId="13E9E7D7" w14:textId="77777777" w:rsidR="00AB4B3A" w:rsidRPr="002D2F67" w:rsidRDefault="00AB4B3A" w:rsidP="005611FE">
            <w:pPr>
              <w:ind w:left="-101"/>
              <w:rPr>
                <w:rFonts w:ascii="Arial" w:eastAsia="Arial Unicode MS" w:hAnsi="Arial" w:cs="Arial"/>
                <w:color w:val="000000"/>
                <w:sz w:val="20"/>
                <w:szCs w:val="20"/>
              </w:rPr>
            </w:pPr>
            <w:r w:rsidRPr="002D2F67">
              <w:rPr>
                <w:rFonts w:ascii="Arial" w:eastAsia="Arial Unicode MS" w:hAnsi="Arial" w:cs="Arial"/>
                <w:b/>
                <w:bCs/>
                <w:color w:val="000000"/>
                <w:sz w:val="20"/>
                <w:szCs w:val="20"/>
              </w:rPr>
              <w:t>Assets</w:t>
            </w:r>
          </w:p>
        </w:tc>
        <w:tc>
          <w:tcPr>
            <w:tcW w:w="992" w:type="dxa"/>
            <w:shd w:val="clear" w:color="auto" w:fill="auto"/>
            <w:vAlign w:val="bottom"/>
          </w:tcPr>
          <w:p w14:paraId="0F6FE9FE" w14:textId="77777777" w:rsidR="00AB4B3A" w:rsidRPr="002D2F67" w:rsidRDefault="00AB4B3A" w:rsidP="005611FE">
            <w:pPr>
              <w:jc w:val="center"/>
              <w:rPr>
                <w:rFonts w:ascii="Arial" w:eastAsia="Arial Unicode MS" w:hAnsi="Arial" w:cs="Arial"/>
                <w:color w:val="000000"/>
                <w:sz w:val="20"/>
                <w:szCs w:val="20"/>
              </w:rPr>
            </w:pPr>
          </w:p>
        </w:tc>
        <w:tc>
          <w:tcPr>
            <w:tcW w:w="1843" w:type="dxa"/>
            <w:shd w:val="clear" w:color="auto" w:fill="auto"/>
            <w:vAlign w:val="bottom"/>
          </w:tcPr>
          <w:p w14:paraId="5370624E" w14:textId="77777777" w:rsidR="00AB4B3A" w:rsidRPr="002D2F67" w:rsidRDefault="00AB4B3A" w:rsidP="005611FE">
            <w:pPr>
              <w:ind w:right="-75"/>
              <w:jc w:val="right"/>
              <w:rPr>
                <w:rFonts w:ascii="Arial" w:eastAsia="Arial Unicode MS" w:hAnsi="Arial" w:cs="Arial"/>
                <w:color w:val="000000"/>
                <w:sz w:val="20"/>
                <w:szCs w:val="20"/>
              </w:rPr>
            </w:pPr>
          </w:p>
        </w:tc>
        <w:tc>
          <w:tcPr>
            <w:tcW w:w="1984" w:type="dxa"/>
            <w:shd w:val="clear" w:color="auto" w:fill="auto"/>
            <w:vAlign w:val="bottom"/>
          </w:tcPr>
          <w:p w14:paraId="19782A8C" w14:textId="77777777" w:rsidR="00AB4B3A" w:rsidRPr="002D2F67" w:rsidRDefault="00AB4B3A"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3204F907" w14:textId="77777777" w:rsidR="00AB4B3A" w:rsidRPr="002D2F67" w:rsidRDefault="00AB4B3A"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03D255EB" w14:textId="77777777" w:rsidR="00AB4B3A" w:rsidRPr="002D2F67" w:rsidRDefault="00AB4B3A" w:rsidP="005611FE">
            <w:pPr>
              <w:ind w:right="-75"/>
              <w:jc w:val="right"/>
              <w:rPr>
                <w:rFonts w:ascii="Arial" w:eastAsia="Arial Unicode MS" w:hAnsi="Arial" w:cs="Arial"/>
                <w:color w:val="000000"/>
                <w:sz w:val="20"/>
                <w:szCs w:val="20"/>
              </w:rPr>
            </w:pPr>
          </w:p>
        </w:tc>
        <w:tc>
          <w:tcPr>
            <w:tcW w:w="1743" w:type="dxa"/>
            <w:shd w:val="clear" w:color="auto" w:fill="auto"/>
            <w:vAlign w:val="bottom"/>
          </w:tcPr>
          <w:p w14:paraId="3736B9B7" w14:textId="77777777" w:rsidR="00AB4B3A" w:rsidRPr="002D2F67" w:rsidRDefault="00AB4B3A" w:rsidP="005611FE">
            <w:pPr>
              <w:ind w:right="-75"/>
              <w:jc w:val="right"/>
              <w:rPr>
                <w:rFonts w:ascii="Arial" w:eastAsia="Arial Unicode MS" w:hAnsi="Arial" w:cs="Arial"/>
                <w:color w:val="000000"/>
                <w:sz w:val="20"/>
                <w:szCs w:val="20"/>
              </w:rPr>
            </w:pPr>
          </w:p>
        </w:tc>
      </w:tr>
      <w:tr w:rsidR="00AB4B3A" w:rsidRPr="002D2F67" w14:paraId="2B7AD47A" w14:textId="77777777" w:rsidTr="00C57CB9">
        <w:trPr>
          <w:trHeight w:val="20"/>
        </w:trPr>
        <w:tc>
          <w:tcPr>
            <w:tcW w:w="4253" w:type="dxa"/>
            <w:shd w:val="clear" w:color="auto" w:fill="auto"/>
            <w:vAlign w:val="bottom"/>
          </w:tcPr>
          <w:p w14:paraId="39B0B5B7" w14:textId="77777777" w:rsidR="00AB4B3A" w:rsidRPr="002D2F67" w:rsidRDefault="00AB4B3A" w:rsidP="005611FE">
            <w:pPr>
              <w:ind w:left="-101"/>
              <w:rPr>
                <w:rFonts w:ascii="Arial" w:eastAsia="Arial Unicode MS" w:hAnsi="Arial" w:cs="Arial"/>
                <w:color w:val="000000"/>
                <w:sz w:val="20"/>
                <w:szCs w:val="20"/>
              </w:rPr>
            </w:pPr>
            <w:r w:rsidRPr="002D2F67">
              <w:rPr>
                <w:rFonts w:ascii="Arial" w:eastAsia="Arial Unicode MS" w:hAnsi="Arial" w:cs="Arial"/>
                <w:color w:val="000000"/>
                <w:sz w:val="20"/>
                <w:szCs w:val="20"/>
              </w:rPr>
              <w:t>Financial assets</w:t>
            </w:r>
          </w:p>
        </w:tc>
        <w:tc>
          <w:tcPr>
            <w:tcW w:w="992" w:type="dxa"/>
            <w:shd w:val="clear" w:color="auto" w:fill="auto"/>
            <w:vAlign w:val="bottom"/>
          </w:tcPr>
          <w:p w14:paraId="4B37EDC5" w14:textId="77777777" w:rsidR="00AB4B3A" w:rsidRPr="002D2F67" w:rsidRDefault="00AB4B3A" w:rsidP="005611FE">
            <w:pPr>
              <w:jc w:val="center"/>
              <w:rPr>
                <w:rFonts w:ascii="Arial" w:eastAsia="Arial Unicode MS" w:hAnsi="Arial" w:cs="Arial"/>
                <w:color w:val="000000"/>
                <w:sz w:val="20"/>
                <w:szCs w:val="20"/>
              </w:rPr>
            </w:pPr>
          </w:p>
        </w:tc>
        <w:tc>
          <w:tcPr>
            <w:tcW w:w="1843" w:type="dxa"/>
            <w:shd w:val="clear" w:color="auto" w:fill="auto"/>
            <w:vAlign w:val="bottom"/>
          </w:tcPr>
          <w:p w14:paraId="3BA97290" w14:textId="77777777" w:rsidR="00AB4B3A" w:rsidRPr="002D2F67" w:rsidRDefault="00AB4B3A" w:rsidP="005611FE">
            <w:pPr>
              <w:ind w:right="-75"/>
              <w:jc w:val="right"/>
              <w:rPr>
                <w:rFonts w:ascii="Arial" w:eastAsia="Arial Unicode MS" w:hAnsi="Arial" w:cs="Arial"/>
                <w:color w:val="000000"/>
                <w:sz w:val="20"/>
                <w:szCs w:val="20"/>
              </w:rPr>
            </w:pPr>
          </w:p>
        </w:tc>
        <w:tc>
          <w:tcPr>
            <w:tcW w:w="1984" w:type="dxa"/>
            <w:shd w:val="clear" w:color="auto" w:fill="auto"/>
            <w:vAlign w:val="bottom"/>
          </w:tcPr>
          <w:p w14:paraId="6E9CC98A" w14:textId="77777777" w:rsidR="00AB4B3A" w:rsidRPr="002D2F67" w:rsidRDefault="00AB4B3A"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0FEC9B10" w14:textId="77777777" w:rsidR="00AB4B3A" w:rsidRPr="002D2F67" w:rsidRDefault="00AB4B3A"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030565E5" w14:textId="77777777" w:rsidR="00AB4B3A" w:rsidRPr="002D2F67" w:rsidRDefault="00AB4B3A" w:rsidP="005611FE">
            <w:pPr>
              <w:ind w:right="-75"/>
              <w:jc w:val="right"/>
              <w:rPr>
                <w:rFonts w:ascii="Arial" w:eastAsia="Arial Unicode MS" w:hAnsi="Arial" w:cs="Arial"/>
                <w:color w:val="000000"/>
                <w:sz w:val="20"/>
                <w:szCs w:val="20"/>
              </w:rPr>
            </w:pPr>
          </w:p>
        </w:tc>
        <w:tc>
          <w:tcPr>
            <w:tcW w:w="1743" w:type="dxa"/>
            <w:shd w:val="clear" w:color="auto" w:fill="auto"/>
            <w:vAlign w:val="bottom"/>
          </w:tcPr>
          <w:p w14:paraId="0122B4B2" w14:textId="77777777" w:rsidR="00AB4B3A" w:rsidRPr="002D2F67" w:rsidRDefault="00AB4B3A" w:rsidP="005611FE">
            <w:pPr>
              <w:ind w:right="-75"/>
              <w:jc w:val="right"/>
              <w:rPr>
                <w:rFonts w:ascii="Arial" w:eastAsia="Arial Unicode MS" w:hAnsi="Arial" w:cs="Arial"/>
                <w:color w:val="000000"/>
                <w:sz w:val="20"/>
                <w:szCs w:val="20"/>
              </w:rPr>
            </w:pPr>
          </w:p>
        </w:tc>
      </w:tr>
      <w:tr w:rsidR="00AB4B3A" w:rsidRPr="002D2F67" w14:paraId="5DAD5A08" w14:textId="77777777" w:rsidTr="00C57CB9">
        <w:trPr>
          <w:trHeight w:val="20"/>
        </w:trPr>
        <w:tc>
          <w:tcPr>
            <w:tcW w:w="4253" w:type="dxa"/>
            <w:shd w:val="clear" w:color="auto" w:fill="auto"/>
            <w:vAlign w:val="bottom"/>
          </w:tcPr>
          <w:p w14:paraId="2236258E" w14:textId="77777777" w:rsidR="00AB4B3A" w:rsidRPr="002D2F67" w:rsidRDefault="00AB4B3A" w:rsidP="005611FE">
            <w:pPr>
              <w:ind w:left="-101"/>
              <w:rPr>
                <w:rFonts w:ascii="Arial" w:eastAsia="Arial Unicode MS" w:hAnsi="Arial" w:cs="Arial"/>
                <w:color w:val="000000"/>
                <w:sz w:val="20"/>
                <w:szCs w:val="20"/>
              </w:rPr>
            </w:pPr>
            <w:r w:rsidRPr="002D2F67">
              <w:rPr>
                <w:rFonts w:ascii="Arial" w:eastAsia="Arial Unicode MS" w:hAnsi="Arial" w:cs="Arial"/>
                <w:color w:val="000000"/>
                <w:sz w:val="20"/>
                <w:szCs w:val="20"/>
              </w:rPr>
              <w:t xml:space="preserve">   - Listed equity securities</w:t>
            </w:r>
          </w:p>
        </w:tc>
        <w:tc>
          <w:tcPr>
            <w:tcW w:w="992" w:type="dxa"/>
            <w:shd w:val="clear" w:color="auto" w:fill="auto"/>
            <w:vAlign w:val="bottom"/>
          </w:tcPr>
          <w:p w14:paraId="124B8C19" w14:textId="3A050527" w:rsidR="00AB4B3A" w:rsidRPr="002D2F67" w:rsidRDefault="00CD5714" w:rsidP="005611FE">
            <w:pPr>
              <w:jc w:val="center"/>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w:t>
            </w:r>
          </w:p>
        </w:tc>
        <w:tc>
          <w:tcPr>
            <w:tcW w:w="1843" w:type="dxa"/>
            <w:shd w:val="clear" w:color="auto" w:fill="auto"/>
            <w:vAlign w:val="bottom"/>
          </w:tcPr>
          <w:p w14:paraId="774A4C32" w14:textId="77777777" w:rsidR="00AB4B3A" w:rsidRPr="002D2F67" w:rsidRDefault="00AB4B3A"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984" w:type="dxa"/>
            <w:shd w:val="clear" w:color="auto" w:fill="auto"/>
            <w:vAlign w:val="bottom"/>
          </w:tcPr>
          <w:p w14:paraId="785A09B1" w14:textId="0CC31B0F"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4</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478</w:t>
            </w:r>
          </w:p>
        </w:tc>
        <w:tc>
          <w:tcPr>
            <w:tcW w:w="1728" w:type="dxa"/>
            <w:shd w:val="clear" w:color="auto" w:fill="auto"/>
            <w:vAlign w:val="bottom"/>
          </w:tcPr>
          <w:p w14:paraId="3132C6B5" w14:textId="77777777" w:rsidR="00AB4B3A" w:rsidRPr="002D2F67" w:rsidRDefault="00AB4B3A"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728" w:type="dxa"/>
            <w:shd w:val="clear" w:color="auto" w:fill="auto"/>
            <w:vAlign w:val="bottom"/>
          </w:tcPr>
          <w:p w14:paraId="03FDEDE4" w14:textId="5F5E339A"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4</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478</w:t>
            </w:r>
          </w:p>
        </w:tc>
        <w:tc>
          <w:tcPr>
            <w:tcW w:w="1743" w:type="dxa"/>
            <w:shd w:val="clear" w:color="auto" w:fill="auto"/>
            <w:vAlign w:val="bottom"/>
          </w:tcPr>
          <w:p w14:paraId="3F9BF907" w14:textId="4695AE18"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4</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478</w:t>
            </w:r>
          </w:p>
        </w:tc>
      </w:tr>
      <w:tr w:rsidR="00AB4B3A" w:rsidRPr="002D2F67" w14:paraId="09B5C4B3" w14:textId="77777777" w:rsidTr="00C57CB9">
        <w:trPr>
          <w:trHeight w:val="20"/>
        </w:trPr>
        <w:tc>
          <w:tcPr>
            <w:tcW w:w="4253" w:type="dxa"/>
            <w:shd w:val="clear" w:color="auto" w:fill="auto"/>
            <w:vAlign w:val="bottom"/>
          </w:tcPr>
          <w:p w14:paraId="5E63D29A" w14:textId="77777777" w:rsidR="00AB4B3A" w:rsidRPr="002D2F67" w:rsidRDefault="00AB4B3A" w:rsidP="005611FE">
            <w:pPr>
              <w:ind w:left="-101"/>
              <w:rPr>
                <w:rFonts w:ascii="Arial" w:eastAsia="Arial Unicode MS" w:hAnsi="Arial" w:cs="Arial"/>
                <w:color w:val="000000"/>
                <w:sz w:val="20"/>
                <w:szCs w:val="20"/>
              </w:rPr>
            </w:pPr>
            <w:r w:rsidRPr="002D2F67">
              <w:rPr>
                <w:rFonts w:ascii="Arial" w:eastAsia="Arial Unicode MS" w:hAnsi="Arial" w:cs="Arial"/>
                <w:color w:val="000000"/>
                <w:sz w:val="20"/>
                <w:szCs w:val="20"/>
              </w:rPr>
              <w:t xml:space="preserve">   - Unlisted equity securities</w:t>
            </w:r>
          </w:p>
        </w:tc>
        <w:tc>
          <w:tcPr>
            <w:tcW w:w="992" w:type="dxa"/>
            <w:shd w:val="clear" w:color="auto" w:fill="auto"/>
            <w:vAlign w:val="bottom"/>
          </w:tcPr>
          <w:p w14:paraId="369334CA" w14:textId="06BE0A1D" w:rsidR="00AB4B3A" w:rsidRPr="002D2F67" w:rsidRDefault="00CD5714" w:rsidP="005611FE">
            <w:pPr>
              <w:jc w:val="center"/>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w:t>
            </w:r>
          </w:p>
        </w:tc>
        <w:tc>
          <w:tcPr>
            <w:tcW w:w="1843" w:type="dxa"/>
            <w:shd w:val="clear" w:color="auto" w:fill="auto"/>
            <w:vAlign w:val="bottom"/>
          </w:tcPr>
          <w:p w14:paraId="485CF0DD" w14:textId="77777777" w:rsidR="00AB4B3A" w:rsidRPr="002D2F67" w:rsidRDefault="00AB4B3A"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984" w:type="dxa"/>
            <w:shd w:val="clear" w:color="auto" w:fill="auto"/>
            <w:vAlign w:val="bottom"/>
          </w:tcPr>
          <w:p w14:paraId="30913311" w14:textId="484E54B3"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4</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891</w:t>
            </w:r>
          </w:p>
        </w:tc>
        <w:tc>
          <w:tcPr>
            <w:tcW w:w="1728" w:type="dxa"/>
            <w:shd w:val="clear" w:color="auto" w:fill="auto"/>
            <w:vAlign w:val="bottom"/>
          </w:tcPr>
          <w:p w14:paraId="4D60D26A" w14:textId="77777777" w:rsidR="00AB4B3A" w:rsidRPr="002D2F67" w:rsidRDefault="00AB4B3A"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728" w:type="dxa"/>
            <w:shd w:val="clear" w:color="auto" w:fill="auto"/>
            <w:vAlign w:val="bottom"/>
          </w:tcPr>
          <w:p w14:paraId="1675120A" w14:textId="1FFFD934"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4</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891</w:t>
            </w:r>
          </w:p>
        </w:tc>
        <w:tc>
          <w:tcPr>
            <w:tcW w:w="1743" w:type="dxa"/>
            <w:shd w:val="clear" w:color="auto" w:fill="auto"/>
            <w:vAlign w:val="bottom"/>
          </w:tcPr>
          <w:p w14:paraId="2441C1D5" w14:textId="6A33EFF8"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4</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891</w:t>
            </w:r>
          </w:p>
        </w:tc>
      </w:tr>
      <w:tr w:rsidR="00AB4B3A" w:rsidRPr="002D2F67" w14:paraId="6ECE7D2B" w14:textId="77777777" w:rsidTr="00C57CB9">
        <w:trPr>
          <w:trHeight w:val="20"/>
        </w:trPr>
        <w:tc>
          <w:tcPr>
            <w:tcW w:w="4253" w:type="dxa"/>
            <w:shd w:val="clear" w:color="auto" w:fill="auto"/>
            <w:vAlign w:val="bottom"/>
          </w:tcPr>
          <w:p w14:paraId="1D47C2F9" w14:textId="77777777" w:rsidR="00AB4B3A" w:rsidRPr="002D2F67" w:rsidRDefault="00AB4B3A" w:rsidP="005611FE">
            <w:pPr>
              <w:ind w:left="-101"/>
              <w:rPr>
                <w:rFonts w:ascii="Arial" w:eastAsia="Arial Unicode MS" w:hAnsi="Arial" w:cs="Arial"/>
                <w:color w:val="000000"/>
                <w:sz w:val="20"/>
                <w:szCs w:val="20"/>
              </w:rPr>
            </w:pPr>
            <w:r w:rsidRPr="002D2F67">
              <w:rPr>
                <w:rFonts w:ascii="Arial" w:eastAsia="Arial Unicode MS" w:hAnsi="Arial" w:cs="Arial"/>
                <w:color w:val="000000"/>
                <w:sz w:val="20"/>
                <w:szCs w:val="20"/>
              </w:rPr>
              <w:t>Long-term loans to other parties</w:t>
            </w:r>
          </w:p>
        </w:tc>
        <w:tc>
          <w:tcPr>
            <w:tcW w:w="992" w:type="dxa"/>
            <w:shd w:val="clear" w:color="auto" w:fill="auto"/>
            <w:vAlign w:val="bottom"/>
          </w:tcPr>
          <w:p w14:paraId="650F89EB" w14:textId="3947D442" w:rsidR="00AB4B3A" w:rsidRPr="002D2F67" w:rsidRDefault="00CD5714" w:rsidP="005611FE">
            <w:pPr>
              <w:jc w:val="center"/>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w:t>
            </w:r>
          </w:p>
        </w:tc>
        <w:tc>
          <w:tcPr>
            <w:tcW w:w="1843" w:type="dxa"/>
            <w:tcBorders>
              <w:bottom w:val="single" w:sz="4" w:space="0" w:color="auto"/>
            </w:tcBorders>
            <w:shd w:val="clear" w:color="auto" w:fill="auto"/>
            <w:vAlign w:val="bottom"/>
          </w:tcPr>
          <w:p w14:paraId="202AF6CE" w14:textId="77777777" w:rsidR="00AB4B3A" w:rsidRPr="002D2F67" w:rsidRDefault="00AB4B3A"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984" w:type="dxa"/>
            <w:tcBorders>
              <w:bottom w:val="single" w:sz="4" w:space="0" w:color="auto"/>
            </w:tcBorders>
            <w:shd w:val="clear" w:color="auto" w:fill="auto"/>
            <w:vAlign w:val="bottom"/>
          </w:tcPr>
          <w:p w14:paraId="2B4B0F09" w14:textId="77777777" w:rsidR="00AB4B3A" w:rsidRPr="002D2F67" w:rsidRDefault="00AB4B3A"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728" w:type="dxa"/>
            <w:tcBorders>
              <w:bottom w:val="single" w:sz="4" w:space="0" w:color="auto"/>
            </w:tcBorders>
            <w:shd w:val="clear" w:color="auto" w:fill="auto"/>
            <w:vAlign w:val="bottom"/>
          </w:tcPr>
          <w:p w14:paraId="798C89B5" w14:textId="01C197EF"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65</w:t>
            </w:r>
          </w:p>
        </w:tc>
        <w:tc>
          <w:tcPr>
            <w:tcW w:w="1728" w:type="dxa"/>
            <w:tcBorders>
              <w:bottom w:val="single" w:sz="4" w:space="0" w:color="auto"/>
            </w:tcBorders>
            <w:shd w:val="clear" w:color="auto" w:fill="auto"/>
            <w:vAlign w:val="bottom"/>
          </w:tcPr>
          <w:p w14:paraId="1F8BE2DC" w14:textId="27DBC6DA"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65</w:t>
            </w:r>
          </w:p>
        </w:tc>
        <w:tc>
          <w:tcPr>
            <w:tcW w:w="1743" w:type="dxa"/>
            <w:tcBorders>
              <w:bottom w:val="single" w:sz="4" w:space="0" w:color="auto"/>
            </w:tcBorders>
            <w:shd w:val="clear" w:color="auto" w:fill="auto"/>
            <w:vAlign w:val="bottom"/>
          </w:tcPr>
          <w:p w14:paraId="548AE05F" w14:textId="020F3D96"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65</w:t>
            </w:r>
          </w:p>
        </w:tc>
      </w:tr>
      <w:tr w:rsidR="00AB4B3A" w:rsidRPr="002D2F67" w14:paraId="21F52012" w14:textId="77777777" w:rsidTr="00C57CB9">
        <w:trPr>
          <w:trHeight w:val="20"/>
        </w:trPr>
        <w:tc>
          <w:tcPr>
            <w:tcW w:w="4253" w:type="dxa"/>
            <w:shd w:val="clear" w:color="auto" w:fill="auto"/>
            <w:vAlign w:val="bottom"/>
          </w:tcPr>
          <w:p w14:paraId="02A4C09A" w14:textId="77777777" w:rsidR="00AB4B3A" w:rsidRPr="002D2F67" w:rsidRDefault="00AB4B3A" w:rsidP="005611FE">
            <w:pPr>
              <w:ind w:left="-101"/>
              <w:rPr>
                <w:rFonts w:ascii="Arial" w:eastAsia="Arial Unicode MS" w:hAnsi="Arial" w:cs="Arial"/>
                <w:color w:val="000000"/>
                <w:sz w:val="8"/>
                <w:szCs w:val="8"/>
              </w:rPr>
            </w:pPr>
          </w:p>
        </w:tc>
        <w:tc>
          <w:tcPr>
            <w:tcW w:w="992" w:type="dxa"/>
            <w:shd w:val="clear" w:color="auto" w:fill="auto"/>
            <w:vAlign w:val="bottom"/>
          </w:tcPr>
          <w:p w14:paraId="057D8FAB" w14:textId="77777777" w:rsidR="00AB4B3A" w:rsidRPr="002D2F67" w:rsidRDefault="00AB4B3A" w:rsidP="005611FE">
            <w:pPr>
              <w:jc w:val="center"/>
              <w:rPr>
                <w:rFonts w:ascii="Arial" w:eastAsia="Arial Unicode MS" w:hAnsi="Arial" w:cs="Arial"/>
                <w:color w:val="000000"/>
                <w:sz w:val="8"/>
                <w:szCs w:val="8"/>
              </w:rPr>
            </w:pPr>
          </w:p>
        </w:tc>
        <w:tc>
          <w:tcPr>
            <w:tcW w:w="1843" w:type="dxa"/>
            <w:tcBorders>
              <w:top w:val="single" w:sz="4" w:space="0" w:color="auto"/>
            </w:tcBorders>
            <w:shd w:val="clear" w:color="auto" w:fill="auto"/>
            <w:vAlign w:val="bottom"/>
          </w:tcPr>
          <w:p w14:paraId="3CFD3DAF" w14:textId="77777777" w:rsidR="00AB4B3A" w:rsidRPr="002D2F67" w:rsidRDefault="00AB4B3A" w:rsidP="005611FE">
            <w:pPr>
              <w:ind w:right="-75"/>
              <w:jc w:val="right"/>
              <w:rPr>
                <w:rFonts w:ascii="Arial" w:eastAsia="Arial Unicode MS" w:hAnsi="Arial" w:cs="Arial"/>
                <w:color w:val="000000"/>
                <w:sz w:val="8"/>
                <w:szCs w:val="8"/>
              </w:rPr>
            </w:pPr>
          </w:p>
        </w:tc>
        <w:tc>
          <w:tcPr>
            <w:tcW w:w="1984" w:type="dxa"/>
            <w:tcBorders>
              <w:top w:val="single" w:sz="4" w:space="0" w:color="auto"/>
            </w:tcBorders>
            <w:shd w:val="clear" w:color="auto" w:fill="auto"/>
            <w:vAlign w:val="bottom"/>
          </w:tcPr>
          <w:p w14:paraId="5A3433A3" w14:textId="77777777" w:rsidR="00AB4B3A" w:rsidRPr="002D2F67" w:rsidRDefault="00AB4B3A" w:rsidP="005611FE">
            <w:pPr>
              <w:ind w:right="-75"/>
              <w:jc w:val="right"/>
              <w:rPr>
                <w:rFonts w:ascii="Arial" w:eastAsia="Arial Unicode MS" w:hAnsi="Arial" w:cs="Arial"/>
                <w:color w:val="000000"/>
                <w:sz w:val="8"/>
                <w:szCs w:val="8"/>
              </w:rPr>
            </w:pPr>
          </w:p>
        </w:tc>
        <w:tc>
          <w:tcPr>
            <w:tcW w:w="1728" w:type="dxa"/>
            <w:tcBorders>
              <w:top w:val="single" w:sz="4" w:space="0" w:color="auto"/>
            </w:tcBorders>
            <w:shd w:val="clear" w:color="auto" w:fill="auto"/>
            <w:vAlign w:val="bottom"/>
          </w:tcPr>
          <w:p w14:paraId="1FADD34D" w14:textId="77777777" w:rsidR="00AB4B3A" w:rsidRPr="002D2F67" w:rsidRDefault="00AB4B3A" w:rsidP="005611FE">
            <w:pPr>
              <w:ind w:right="-75"/>
              <w:jc w:val="right"/>
              <w:rPr>
                <w:rFonts w:ascii="Arial" w:eastAsia="Arial Unicode MS" w:hAnsi="Arial" w:cs="Arial"/>
                <w:color w:val="000000"/>
                <w:sz w:val="8"/>
                <w:szCs w:val="8"/>
              </w:rPr>
            </w:pPr>
          </w:p>
        </w:tc>
        <w:tc>
          <w:tcPr>
            <w:tcW w:w="1728" w:type="dxa"/>
            <w:tcBorders>
              <w:top w:val="single" w:sz="4" w:space="0" w:color="auto"/>
            </w:tcBorders>
            <w:shd w:val="clear" w:color="auto" w:fill="auto"/>
            <w:vAlign w:val="bottom"/>
          </w:tcPr>
          <w:p w14:paraId="6A8FF7B4" w14:textId="77777777" w:rsidR="00AB4B3A" w:rsidRPr="002D2F67" w:rsidRDefault="00AB4B3A" w:rsidP="005611FE">
            <w:pPr>
              <w:ind w:right="-75"/>
              <w:jc w:val="right"/>
              <w:rPr>
                <w:rFonts w:ascii="Arial" w:eastAsia="Arial Unicode MS" w:hAnsi="Arial" w:cs="Arial"/>
                <w:color w:val="000000"/>
                <w:sz w:val="8"/>
                <w:szCs w:val="8"/>
              </w:rPr>
            </w:pPr>
          </w:p>
        </w:tc>
        <w:tc>
          <w:tcPr>
            <w:tcW w:w="1743" w:type="dxa"/>
            <w:tcBorders>
              <w:top w:val="single" w:sz="4" w:space="0" w:color="auto"/>
            </w:tcBorders>
            <w:shd w:val="clear" w:color="auto" w:fill="auto"/>
            <w:vAlign w:val="bottom"/>
          </w:tcPr>
          <w:p w14:paraId="301EA037" w14:textId="77777777" w:rsidR="00AB4B3A" w:rsidRPr="002D2F67" w:rsidRDefault="00AB4B3A" w:rsidP="005611FE">
            <w:pPr>
              <w:ind w:right="-75"/>
              <w:jc w:val="right"/>
              <w:rPr>
                <w:rFonts w:ascii="Arial" w:eastAsia="Arial Unicode MS" w:hAnsi="Arial" w:cs="Arial"/>
                <w:color w:val="000000"/>
                <w:sz w:val="8"/>
                <w:szCs w:val="8"/>
              </w:rPr>
            </w:pPr>
          </w:p>
        </w:tc>
      </w:tr>
      <w:tr w:rsidR="00AB4B3A" w:rsidRPr="002D2F67" w14:paraId="5B558195" w14:textId="77777777" w:rsidTr="00C57CB9">
        <w:trPr>
          <w:trHeight w:val="20"/>
        </w:trPr>
        <w:tc>
          <w:tcPr>
            <w:tcW w:w="4253" w:type="dxa"/>
            <w:shd w:val="clear" w:color="auto" w:fill="auto"/>
            <w:vAlign w:val="bottom"/>
          </w:tcPr>
          <w:p w14:paraId="53DC0DF5" w14:textId="77777777" w:rsidR="00AB4B3A" w:rsidRPr="002D2F67" w:rsidRDefault="00AB4B3A" w:rsidP="005611FE">
            <w:pPr>
              <w:ind w:left="-101"/>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Total assets</w:t>
            </w:r>
          </w:p>
        </w:tc>
        <w:tc>
          <w:tcPr>
            <w:tcW w:w="992" w:type="dxa"/>
            <w:shd w:val="clear" w:color="auto" w:fill="auto"/>
            <w:vAlign w:val="bottom"/>
          </w:tcPr>
          <w:p w14:paraId="3C104B6B" w14:textId="77777777" w:rsidR="00AB4B3A" w:rsidRPr="002D2F67" w:rsidRDefault="00AB4B3A" w:rsidP="005611FE">
            <w:pPr>
              <w:jc w:val="center"/>
              <w:rPr>
                <w:rFonts w:ascii="Arial" w:eastAsia="Arial Unicode MS" w:hAnsi="Arial" w:cs="Arial"/>
                <w:color w:val="000000"/>
                <w:sz w:val="20"/>
                <w:szCs w:val="20"/>
              </w:rPr>
            </w:pPr>
          </w:p>
        </w:tc>
        <w:tc>
          <w:tcPr>
            <w:tcW w:w="1843" w:type="dxa"/>
            <w:tcBorders>
              <w:bottom w:val="single" w:sz="4" w:space="0" w:color="auto"/>
            </w:tcBorders>
            <w:shd w:val="clear" w:color="auto" w:fill="auto"/>
            <w:vAlign w:val="bottom"/>
          </w:tcPr>
          <w:p w14:paraId="582A126C" w14:textId="77777777" w:rsidR="00AB4B3A" w:rsidRPr="002D2F67" w:rsidRDefault="00AB4B3A"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984" w:type="dxa"/>
            <w:tcBorders>
              <w:bottom w:val="single" w:sz="4" w:space="0" w:color="auto"/>
            </w:tcBorders>
            <w:shd w:val="clear" w:color="auto" w:fill="auto"/>
            <w:vAlign w:val="bottom"/>
          </w:tcPr>
          <w:p w14:paraId="6111AF2B" w14:textId="7B153013"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9</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369</w:t>
            </w:r>
          </w:p>
        </w:tc>
        <w:tc>
          <w:tcPr>
            <w:tcW w:w="1728" w:type="dxa"/>
            <w:tcBorders>
              <w:bottom w:val="single" w:sz="4" w:space="0" w:color="auto"/>
            </w:tcBorders>
            <w:shd w:val="clear" w:color="auto" w:fill="auto"/>
            <w:vAlign w:val="bottom"/>
          </w:tcPr>
          <w:p w14:paraId="7E7A0113" w14:textId="0C26030F"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65</w:t>
            </w:r>
          </w:p>
        </w:tc>
        <w:tc>
          <w:tcPr>
            <w:tcW w:w="1728" w:type="dxa"/>
            <w:tcBorders>
              <w:bottom w:val="single" w:sz="4" w:space="0" w:color="auto"/>
            </w:tcBorders>
            <w:shd w:val="clear" w:color="auto" w:fill="auto"/>
            <w:vAlign w:val="bottom"/>
          </w:tcPr>
          <w:p w14:paraId="29882ACB" w14:textId="5EB469AA"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9</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434</w:t>
            </w:r>
          </w:p>
        </w:tc>
        <w:tc>
          <w:tcPr>
            <w:tcW w:w="1743" w:type="dxa"/>
            <w:tcBorders>
              <w:bottom w:val="single" w:sz="4" w:space="0" w:color="auto"/>
            </w:tcBorders>
            <w:shd w:val="clear" w:color="auto" w:fill="auto"/>
            <w:vAlign w:val="bottom"/>
          </w:tcPr>
          <w:p w14:paraId="67DE6F02" w14:textId="0FA6B390"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9</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434</w:t>
            </w:r>
          </w:p>
        </w:tc>
      </w:tr>
      <w:tr w:rsidR="00AB4B3A" w:rsidRPr="002D2F67" w14:paraId="6CE206DF" w14:textId="77777777" w:rsidTr="00C57CB9">
        <w:trPr>
          <w:trHeight w:val="20"/>
        </w:trPr>
        <w:tc>
          <w:tcPr>
            <w:tcW w:w="4253" w:type="dxa"/>
            <w:shd w:val="clear" w:color="auto" w:fill="auto"/>
            <w:vAlign w:val="bottom"/>
          </w:tcPr>
          <w:p w14:paraId="7A591382" w14:textId="77777777" w:rsidR="00AB4B3A" w:rsidRPr="002D2F67" w:rsidRDefault="00AB4B3A" w:rsidP="005611FE">
            <w:pPr>
              <w:ind w:left="-101"/>
              <w:rPr>
                <w:rFonts w:ascii="Arial" w:eastAsia="Arial Unicode MS" w:hAnsi="Arial" w:cs="Arial"/>
                <w:color w:val="000000"/>
                <w:sz w:val="8"/>
                <w:szCs w:val="8"/>
              </w:rPr>
            </w:pPr>
          </w:p>
        </w:tc>
        <w:tc>
          <w:tcPr>
            <w:tcW w:w="992" w:type="dxa"/>
            <w:shd w:val="clear" w:color="auto" w:fill="auto"/>
            <w:vAlign w:val="bottom"/>
          </w:tcPr>
          <w:p w14:paraId="464E4F06" w14:textId="77777777" w:rsidR="00AB4B3A" w:rsidRPr="002D2F67" w:rsidRDefault="00AB4B3A" w:rsidP="005611FE">
            <w:pPr>
              <w:ind w:left="-101"/>
              <w:rPr>
                <w:rFonts w:ascii="Arial" w:eastAsia="Arial Unicode MS" w:hAnsi="Arial" w:cs="Arial"/>
                <w:color w:val="000000"/>
                <w:sz w:val="8"/>
                <w:szCs w:val="8"/>
              </w:rPr>
            </w:pPr>
          </w:p>
        </w:tc>
        <w:tc>
          <w:tcPr>
            <w:tcW w:w="1843" w:type="dxa"/>
            <w:tcBorders>
              <w:top w:val="single" w:sz="4" w:space="0" w:color="auto"/>
            </w:tcBorders>
            <w:shd w:val="clear" w:color="auto" w:fill="auto"/>
            <w:vAlign w:val="bottom"/>
          </w:tcPr>
          <w:p w14:paraId="453A6921" w14:textId="77777777" w:rsidR="00AB4B3A" w:rsidRPr="002D2F67" w:rsidRDefault="00AB4B3A" w:rsidP="005611FE">
            <w:pPr>
              <w:ind w:left="-101"/>
              <w:rPr>
                <w:rFonts w:ascii="Arial" w:eastAsia="Arial Unicode MS" w:hAnsi="Arial" w:cs="Arial"/>
                <w:color w:val="000000"/>
                <w:sz w:val="8"/>
                <w:szCs w:val="8"/>
              </w:rPr>
            </w:pPr>
          </w:p>
        </w:tc>
        <w:tc>
          <w:tcPr>
            <w:tcW w:w="1984" w:type="dxa"/>
            <w:tcBorders>
              <w:top w:val="single" w:sz="4" w:space="0" w:color="auto"/>
            </w:tcBorders>
            <w:shd w:val="clear" w:color="auto" w:fill="auto"/>
            <w:vAlign w:val="bottom"/>
          </w:tcPr>
          <w:p w14:paraId="6CDFE98F" w14:textId="77777777" w:rsidR="00AB4B3A" w:rsidRPr="002D2F67" w:rsidRDefault="00AB4B3A" w:rsidP="005611FE">
            <w:pPr>
              <w:ind w:left="-101"/>
              <w:rPr>
                <w:rFonts w:ascii="Arial" w:eastAsia="Arial Unicode MS" w:hAnsi="Arial" w:cs="Arial"/>
                <w:color w:val="000000"/>
                <w:sz w:val="8"/>
                <w:szCs w:val="8"/>
              </w:rPr>
            </w:pPr>
          </w:p>
        </w:tc>
        <w:tc>
          <w:tcPr>
            <w:tcW w:w="1728" w:type="dxa"/>
            <w:tcBorders>
              <w:top w:val="single" w:sz="4" w:space="0" w:color="auto"/>
            </w:tcBorders>
            <w:shd w:val="clear" w:color="auto" w:fill="auto"/>
            <w:vAlign w:val="bottom"/>
          </w:tcPr>
          <w:p w14:paraId="650FF33B" w14:textId="77777777" w:rsidR="00AB4B3A" w:rsidRPr="002D2F67" w:rsidRDefault="00AB4B3A" w:rsidP="005611FE">
            <w:pPr>
              <w:ind w:left="-101"/>
              <w:rPr>
                <w:rFonts w:ascii="Arial" w:eastAsia="Arial Unicode MS" w:hAnsi="Arial" w:cs="Arial"/>
                <w:color w:val="000000"/>
                <w:sz w:val="8"/>
                <w:szCs w:val="8"/>
              </w:rPr>
            </w:pPr>
          </w:p>
        </w:tc>
        <w:tc>
          <w:tcPr>
            <w:tcW w:w="1728" w:type="dxa"/>
            <w:tcBorders>
              <w:top w:val="single" w:sz="4" w:space="0" w:color="auto"/>
            </w:tcBorders>
            <w:shd w:val="clear" w:color="auto" w:fill="auto"/>
            <w:vAlign w:val="bottom"/>
          </w:tcPr>
          <w:p w14:paraId="2FF30802" w14:textId="77777777" w:rsidR="00AB4B3A" w:rsidRPr="002D2F67" w:rsidRDefault="00AB4B3A" w:rsidP="005611FE">
            <w:pPr>
              <w:ind w:left="-101"/>
              <w:rPr>
                <w:rFonts w:ascii="Arial" w:eastAsia="Arial Unicode MS" w:hAnsi="Arial" w:cs="Arial"/>
                <w:color w:val="000000"/>
                <w:sz w:val="8"/>
                <w:szCs w:val="8"/>
              </w:rPr>
            </w:pPr>
          </w:p>
        </w:tc>
        <w:tc>
          <w:tcPr>
            <w:tcW w:w="1743" w:type="dxa"/>
            <w:tcBorders>
              <w:top w:val="single" w:sz="4" w:space="0" w:color="auto"/>
            </w:tcBorders>
            <w:shd w:val="clear" w:color="auto" w:fill="auto"/>
            <w:vAlign w:val="bottom"/>
          </w:tcPr>
          <w:p w14:paraId="19870BF2" w14:textId="77777777" w:rsidR="00AB4B3A" w:rsidRPr="002D2F67" w:rsidRDefault="00AB4B3A" w:rsidP="005611FE">
            <w:pPr>
              <w:ind w:left="-101"/>
              <w:rPr>
                <w:rFonts w:ascii="Arial" w:eastAsia="Arial Unicode MS" w:hAnsi="Arial" w:cs="Arial"/>
                <w:color w:val="000000"/>
                <w:sz w:val="8"/>
                <w:szCs w:val="8"/>
              </w:rPr>
            </w:pPr>
          </w:p>
        </w:tc>
      </w:tr>
      <w:tr w:rsidR="00AB4B3A" w:rsidRPr="002D2F67" w14:paraId="3ACE154C" w14:textId="77777777" w:rsidTr="00C57CB9">
        <w:trPr>
          <w:trHeight w:val="20"/>
        </w:trPr>
        <w:tc>
          <w:tcPr>
            <w:tcW w:w="4253" w:type="dxa"/>
            <w:shd w:val="clear" w:color="auto" w:fill="auto"/>
            <w:vAlign w:val="bottom"/>
          </w:tcPr>
          <w:p w14:paraId="362E8F8D" w14:textId="77777777" w:rsidR="00AB4B3A" w:rsidRPr="002D2F67" w:rsidRDefault="00AB4B3A" w:rsidP="005611FE">
            <w:pPr>
              <w:ind w:left="-101"/>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Liabilities</w:t>
            </w:r>
          </w:p>
        </w:tc>
        <w:tc>
          <w:tcPr>
            <w:tcW w:w="992" w:type="dxa"/>
            <w:shd w:val="clear" w:color="auto" w:fill="auto"/>
            <w:vAlign w:val="bottom"/>
          </w:tcPr>
          <w:p w14:paraId="3345D57C" w14:textId="77777777" w:rsidR="00AB4B3A" w:rsidRPr="002D2F67" w:rsidRDefault="00AB4B3A" w:rsidP="005611FE">
            <w:pPr>
              <w:jc w:val="center"/>
              <w:rPr>
                <w:rFonts w:ascii="Arial" w:eastAsia="Arial Unicode MS" w:hAnsi="Arial" w:cs="Arial"/>
                <w:color w:val="000000"/>
                <w:sz w:val="20"/>
                <w:szCs w:val="20"/>
              </w:rPr>
            </w:pPr>
          </w:p>
        </w:tc>
        <w:tc>
          <w:tcPr>
            <w:tcW w:w="1843" w:type="dxa"/>
            <w:shd w:val="clear" w:color="auto" w:fill="auto"/>
            <w:vAlign w:val="bottom"/>
          </w:tcPr>
          <w:p w14:paraId="191BD7E8" w14:textId="77777777" w:rsidR="00AB4B3A" w:rsidRPr="002D2F67" w:rsidRDefault="00AB4B3A" w:rsidP="005611FE">
            <w:pPr>
              <w:ind w:right="-75"/>
              <w:jc w:val="right"/>
              <w:rPr>
                <w:rFonts w:ascii="Arial" w:eastAsia="Arial Unicode MS" w:hAnsi="Arial" w:cs="Arial"/>
                <w:color w:val="000000"/>
                <w:sz w:val="20"/>
                <w:szCs w:val="20"/>
              </w:rPr>
            </w:pPr>
          </w:p>
        </w:tc>
        <w:tc>
          <w:tcPr>
            <w:tcW w:w="1984" w:type="dxa"/>
            <w:shd w:val="clear" w:color="auto" w:fill="auto"/>
            <w:vAlign w:val="bottom"/>
          </w:tcPr>
          <w:p w14:paraId="5C369B4C" w14:textId="77777777" w:rsidR="00AB4B3A" w:rsidRPr="002D2F67" w:rsidRDefault="00AB4B3A"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35F09F68" w14:textId="77777777" w:rsidR="00AB4B3A" w:rsidRPr="002D2F67" w:rsidRDefault="00AB4B3A"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6B2028BA" w14:textId="77777777" w:rsidR="00AB4B3A" w:rsidRPr="002D2F67" w:rsidRDefault="00AB4B3A" w:rsidP="005611FE">
            <w:pPr>
              <w:ind w:right="-75"/>
              <w:jc w:val="right"/>
              <w:rPr>
                <w:rFonts w:ascii="Arial" w:eastAsia="Arial Unicode MS" w:hAnsi="Arial" w:cs="Arial"/>
                <w:color w:val="000000"/>
                <w:sz w:val="20"/>
                <w:szCs w:val="20"/>
              </w:rPr>
            </w:pPr>
          </w:p>
        </w:tc>
        <w:tc>
          <w:tcPr>
            <w:tcW w:w="1743" w:type="dxa"/>
            <w:shd w:val="clear" w:color="auto" w:fill="auto"/>
            <w:vAlign w:val="bottom"/>
          </w:tcPr>
          <w:p w14:paraId="4BC76081" w14:textId="77777777" w:rsidR="00AB4B3A" w:rsidRPr="002D2F67" w:rsidRDefault="00AB4B3A" w:rsidP="005611FE">
            <w:pPr>
              <w:ind w:right="-75"/>
              <w:jc w:val="right"/>
              <w:rPr>
                <w:rFonts w:ascii="Arial" w:eastAsia="Arial Unicode MS" w:hAnsi="Arial" w:cs="Arial"/>
                <w:color w:val="000000"/>
                <w:sz w:val="20"/>
                <w:szCs w:val="20"/>
              </w:rPr>
            </w:pPr>
          </w:p>
        </w:tc>
      </w:tr>
      <w:tr w:rsidR="00AB4B3A" w:rsidRPr="002D2F67" w14:paraId="0E8CE1D7" w14:textId="77777777" w:rsidTr="00C57CB9">
        <w:trPr>
          <w:trHeight w:val="20"/>
        </w:trPr>
        <w:tc>
          <w:tcPr>
            <w:tcW w:w="4253" w:type="dxa"/>
            <w:shd w:val="clear" w:color="auto" w:fill="auto"/>
            <w:vAlign w:val="bottom"/>
          </w:tcPr>
          <w:p w14:paraId="0F13D5AF" w14:textId="77777777" w:rsidR="00AB4B3A" w:rsidRPr="002D2F67" w:rsidRDefault="00AB4B3A" w:rsidP="005611FE">
            <w:pPr>
              <w:ind w:left="-101"/>
              <w:rPr>
                <w:rFonts w:ascii="Arial" w:eastAsia="Arial Unicode MS" w:hAnsi="Arial" w:cs="Arial"/>
                <w:color w:val="000000"/>
                <w:sz w:val="20"/>
                <w:szCs w:val="20"/>
              </w:rPr>
            </w:pPr>
            <w:r w:rsidRPr="002D2F67">
              <w:rPr>
                <w:rFonts w:ascii="Arial" w:eastAsia="Arial Unicode MS" w:hAnsi="Arial" w:cs="Arial"/>
                <w:color w:val="000000"/>
                <w:sz w:val="20"/>
                <w:szCs w:val="20"/>
              </w:rPr>
              <w:t>Long-term loans from financial institutions, net</w:t>
            </w:r>
          </w:p>
        </w:tc>
        <w:tc>
          <w:tcPr>
            <w:tcW w:w="992" w:type="dxa"/>
            <w:shd w:val="clear" w:color="auto" w:fill="auto"/>
            <w:vAlign w:val="bottom"/>
          </w:tcPr>
          <w:p w14:paraId="06F96296" w14:textId="7F40E246" w:rsidR="00AB4B3A" w:rsidRPr="002D2F67" w:rsidRDefault="00CD5714" w:rsidP="005611FE">
            <w:pPr>
              <w:jc w:val="center"/>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w:t>
            </w:r>
          </w:p>
        </w:tc>
        <w:tc>
          <w:tcPr>
            <w:tcW w:w="1843" w:type="dxa"/>
            <w:shd w:val="clear" w:color="auto" w:fill="auto"/>
            <w:vAlign w:val="bottom"/>
          </w:tcPr>
          <w:p w14:paraId="2847B6F6" w14:textId="77777777" w:rsidR="00AB4B3A" w:rsidRPr="002D2F67" w:rsidRDefault="00AB4B3A"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984" w:type="dxa"/>
            <w:shd w:val="clear" w:color="auto" w:fill="auto"/>
            <w:vAlign w:val="bottom"/>
          </w:tcPr>
          <w:p w14:paraId="6242C41F" w14:textId="77777777" w:rsidR="00AB4B3A" w:rsidRPr="002D2F67" w:rsidRDefault="00AB4B3A"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728" w:type="dxa"/>
            <w:shd w:val="clear" w:color="auto" w:fill="auto"/>
            <w:vAlign w:val="bottom"/>
          </w:tcPr>
          <w:p w14:paraId="366AC16A" w14:textId="13493966"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213</w:t>
            </w:r>
          </w:p>
        </w:tc>
        <w:tc>
          <w:tcPr>
            <w:tcW w:w="1728" w:type="dxa"/>
            <w:shd w:val="clear" w:color="auto" w:fill="auto"/>
            <w:vAlign w:val="bottom"/>
          </w:tcPr>
          <w:p w14:paraId="388AC56B" w14:textId="5529ECE1"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213</w:t>
            </w:r>
          </w:p>
        </w:tc>
        <w:tc>
          <w:tcPr>
            <w:tcW w:w="1743" w:type="dxa"/>
            <w:shd w:val="clear" w:color="auto" w:fill="auto"/>
            <w:vAlign w:val="bottom"/>
          </w:tcPr>
          <w:p w14:paraId="3EC45F68" w14:textId="7D82C750"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216</w:t>
            </w:r>
          </w:p>
        </w:tc>
      </w:tr>
      <w:tr w:rsidR="00AB4B3A" w:rsidRPr="002D2F67" w14:paraId="26F0437D" w14:textId="77777777" w:rsidTr="00C57CB9">
        <w:trPr>
          <w:trHeight w:val="20"/>
        </w:trPr>
        <w:tc>
          <w:tcPr>
            <w:tcW w:w="4253" w:type="dxa"/>
            <w:shd w:val="clear" w:color="auto" w:fill="auto"/>
            <w:vAlign w:val="bottom"/>
          </w:tcPr>
          <w:p w14:paraId="4DC0AC67" w14:textId="77777777" w:rsidR="00AB4B3A" w:rsidRPr="002D2F67" w:rsidRDefault="00AB4B3A" w:rsidP="005611FE">
            <w:pPr>
              <w:ind w:left="-101"/>
              <w:rPr>
                <w:rFonts w:ascii="Arial" w:eastAsia="Arial Unicode MS" w:hAnsi="Arial" w:cs="Arial"/>
                <w:color w:val="000000"/>
                <w:sz w:val="20"/>
                <w:szCs w:val="20"/>
              </w:rPr>
            </w:pPr>
            <w:r w:rsidRPr="002D2F67">
              <w:rPr>
                <w:rFonts w:ascii="Arial" w:eastAsia="Arial Unicode MS" w:hAnsi="Arial" w:cs="Arial"/>
                <w:color w:val="000000"/>
                <w:sz w:val="20"/>
                <w:szCs w:val="20"/>
              </w:rPr>
              <w:t>Derivatives not qualifying as hedge accounting</w:t>
            </w:r>
          </w:p>
        </w:tc>
        <w:tc>
          <w:tcPr>
            <w:tcW w:w="992" w:type="dxa"/>
            <w:shd w:val="clear" w:color="auto" w:fill="auto"/>
            <w:vAlign w:val="bottom"/>
          </w:tcPr>
          <w:p w14:paraId="73A2C734" w14:textId="77777777" w:rsidR="00AB4B3A" w:rsidRPr="002D2F67" w:rsidRDefault="00AB4B3A" w:rsidP="005611FE">
            <w:pPr>
              <w:jc w:val="center"/>
              <w:rPr>
                <w:rFonts w:ascii="Arial" w:eastAsia="Arial Unicode MS" w:hAnsi="Arial" w:cs="Arial"/>
                <w:color w:val="000000"/>
                <w:sz w:val="20"/>
                <w:szCs w:val="20"/>
              </w:rPr>
            </w:pPr>
          </w:p>
        </w:tc>
        <w:tc>
          <w:tcPr>
            <w:tcW w:w="1843" w:type="dxa"/>
            <w:shd w:val="clear" w:color="auto" w:fill="auto"/>
            <w:vAlign w:val="bottom"/>
          </w:tcPr>
          <w:p w14:paraId="46C10349" w14:textId="77777777" w:rsidR="00AB4B3A" w:rsidRPr="002D2F67" w:rsidRDefault="00AB4B3A" w:rsidP="005611FE">
            <w:pPr>
              <w:ind w:right="-75"/>
              <w:jc w:val="right"/>
              <w:rPr>
                <w:rFonts w:ascii="Arial" w:eastAsia="Arial Unicode MS" w:hAnsi="Arial" w:cs="Arial"/>
                <w:color w:val="000000"/>
                <w:sz w:val="20"/>
                <w:szCs w:val="20"/>
              </w:rPr>
            </w:pPr>
          </w:p>
        </w:tc>
        <w:tc>
          <w:tcPr>
            <w:tcW w:w="1984" w:type="dxa"/>
            <w:shd w:val="clear" w:color="auto" w:fill="auto"/>
            <w:vAlign w:val="bottom"/>
          </w:tcPr>
          <w:p w14:paraId="75A7E8D9" w14:textId="77777777" w:rsidR="00AB4B3A" w:rsidRPr="002D2F67" w:rsidRDefault="00AB4B3A"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459CCB29" w14:textId="77777777" w:rsidR="00AB4B3A" w:rsidRPr="002D2F67" w:rsidRDefault="00AB4B3A"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2B2AC753" w14:textId="77777777" w:rsidR="00AB4B3A" w:rsidRPr="002D2F67" w:rsidRDefault="00AB4B3A" w:rsidP="005611FE">
            <w:pPr>
              <w:ind w:right="-75"/>
              <w:jc w:val="right"/>
              <w:rPr>
                <w:rFonts w:ascii="Arial" w:eastAsia="Arial Unicode MS" w:hAnsi="Arial" w:cs="Arial"/>
                <w:color w:val="000000"/>
                <w:sz w:val="20"/>
                <w:szCs w:val="20"/>
              </w:rPr>
            </w:pPr>
          </w:p>
        </w:tc>
        <w:tc>
          <w:tcPr>
            <w:tcW w:w="1743" w:type="dxa"/>
            <w:shd w:val="clear" w:color="auto" w:fill="auto"/>
            <w:vAlign w:val="bottom"/>
          </w:tcPr>
          <w:p w14:paraId="232D966B" w14:textId="77777777" w:rsidR="00AB4B3A" w:rsidRPr="002D2F67" w:rsidRDefault="00AB4B3A" w:rsidP="005611FE">
            <w:pPr>
              <w:ind w:right="-75"/>
              <w:jc w:val="right"/>
              <w:rPr>
                <w:rFonts w:ascii="Arial" w:eastAsia="Arial Unicode MS" w:hAnsi="Arial" w:cs="Arial"/>
                <w:color w:val="000000"/>
                <w:sz w:val="20"/>
                <w:szCs w:val="20"/>
              </w:rPr>
            </w:pPr>
          </w:p>
        </w:tc>
      </w:tr>
      <w:tr w:rsidR="00AB4B3A" w:rsidRPr="002D2F67" w14:paraId="489111BB" w14:textId="77777777" w:rsidTr="00C57CB9">
        <w:trPr>
          <w:trHeight w:val="20"/>
        </w:trPr>
        <w:tc>
          <w:tcPr>
            <w:tcW w:w="4253" w:type="dxa"/>
            <w:shd w:val="clear" w:color="auto" w:fill="auto"/>
            <w:vAlign w:val="bottom"/>
          </w:tcPr>
          <w:p w14:paraId="6A59EA39" w14:textId="77777777" w:rsidR="00AB4B3A" w:rsidRPr="002D2F67" w:rsidRDefault="00AB4B3A" w:rsidP="005611FE">
            <w:pPr>
              <w:ind w:left="-101"/>
              <w:rPr>
                <w:rFonts w:ascii="Arial" w:eastAsia="Arial Unicode MS" w:hAnsi="Arial" w:cs="Arial"/>
                <w:color w:val="000000"/>
                <w:sz w:val="20"/>
                <w:szCs w:val="20"/>
              </w:rPr>
            </w:pPr>
            <w:r w:rsidRPr="002D2F67">
              <w:rPr>
                <w:rFonts w:ascii="Arial" w:eastAsia="Arial Unicode MS" w:hAnsi="Arial" w:cs="Arial"/>
                <w:color w:val="000000"/>
                <w:sz w:val="20"/>
                <w:szCs w:val="20"/>
              </w:rPr>
              <w:t xml:space="preserve">   - Cross currency interest rate swap</w:t>
            </w:r>
          </w:p>
        </w:tc>
        <w:tc>
          <w:tcPr>
            <w:tcW w:w="992" w:type="dxa"/>
            <w:shd w:val="clear" w:color="auto" w:fill="auto"/>
            <w:vAlign w:val="bottom"/>
          </w:tcPr>
          <w:p w14:paraId="167B886B" w14:textId="7C49486F" w:rsidR="00AB4B3A" w:rsidRPr="002D2F67" w:rsidRDefault="00CD5714" w:rsidP="005611FE">
            <w:pPr>
              <w:jc w:val="center"/>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w:t>
            </w:r>
          </w:p>
        </w:tc>
        <w:tc>
          <w:tcPr>
            <w:tcW w:w="1843" w:type="dxa"/>
            <w:shd w:val="clear" w:color="auto" w:fill="auto"/>
            <w:vAlign w:val="bottom"/>
          </w:tcPr>
          <w:p w14:paraId="1C2D2014" w14:textId="36EB3190"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60</w:t>
            </w:r>
          </w:p>
        </w:tc>
        <w:tc>
          <w:tcPr>
            <w:tcW w:w="1984" w:type="dxa"/>
            <w:shd w:val="clear" w:color="auto" w:fill="auto"/>
            <w:vAlign w:val="bottom"/>
          </w:tcPr>
          <w:p w14:paraId="0A346361" w14:textId="77777777" w:rsidR="00AB4B3A" w:rsidRPr="002D2F67" w:rsidRDefault="00AB4B3A"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728" w:type="dxa"/>
            <w:shd w:val="clear" w:color="auto" w:fill="auto"/>
            <w:vAlign w:val="bottom"/>
          </w:tcPr>
          <w:p w14:paraId="16D537FD" w14:textId="77777777" w:rsidR="00AB4B3A" w:rsidRPr="002D2F67" w:rsidRDefault="00AB4B3A"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728" w:type="dxa"/>
            <w:shd w:val="clear" w:color="auto" w:fill="auto"/>
            <w:vAlign w:val="bottom"/>
          </w:tcPr>
          <w:p w14:paraId="0CD19DC9" w14:textId="6115D77D"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60</w:t>
            </w:r>
          </w:p>
        </w:tc>
        <w:tc>
          <w:tcPr>
            <w:tcW w:w="1743" w:type="dxa"/>
            <w:shd w:val="clear" w:color="auto" w:fill="auto"/>
            <w:vAlign w:val="bottom"/>
          </w:tcPr>
          <w:p w14:paraId="609ED653" w14:textId="6B237B2D"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60</w:t>
            </w:r>
          </w:p>
        </w:tc>
      </w:tr>
      <w:tr w:rsidR="00AB4B3A" w:rsidRPr="002D2F67" w14:paraId="511B53BB" w14:textId="77777777" w:rsidTr="00C57CB9">
        <w:trPr>
          <w:trHeight w:val="20"/>
        </w:trPr>
        <w:tc>
          <w:tcPr>
            <w:tcW w:w="4253" w:type="dxa"/>
            <w:shd w:val="clear" w:color="auto" w:fill="auto"/>
            <w:vAlign w:val="bottom"/>
          </w:tcPr>
          <w:p w14:paraId="00621C23" w14:textId="77777777" w:rsidR="00AB4B3A" w:rsidRPr="002D2F67" w:rsidRDefault="00AB4B3A" w:rsidP="005611FE">
            <w:pPr>
              <w:ind w:left="-101"/>
              <w:rPr>
                <w:rFonts w:ascii="Arial" w:eastAsia="Arial Unicode MS" w:hAnsi="Arial" w:cs="Arial"/>
                <w:color w:val="000000"/>
                <w:sz w:val="20"/>
                <w:szCs w:val="20"/>
              </w:rPr>
            </w:pPr>
            <w:r w:rsidRPr="002D2F67">
              <w:rPr>
                <w:rFonts w:ascii="Arial" w:eastAsia="Arial Unicode MS" w:hAnsi="Arial" w:cs="Arial"/>
                <w:color w:val="000000"/>
                <w:sz w:val="20"/>
                <w:szCs w:val="20"/>
              </w:rPr>
              <w:t>Debentures, net</w:t>
            </w:r>
          </w:p>
        </w:tc>
        <w:tc>
          <w:tcPr>
            <w:tcW w:w="992" w:type="dxa"/>
            <w:shd w:val="clear" w:color="auto" w:fill="auto"/>
            <w:vAlign w:val="bottom"/>
          </w:tcPr>
          <w:p w14:paraId="4EDE1F17" w14:textId="441DDDB8" w:rsidR="00AB4B3A" w:rsidRPr="002D2F67" w:rsidRDefault="00CD5714" w:rsidP="005611FE">
            <w:pPr>
              <w:jc w:val="center"/>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w:t>
            </w:r>
          </w:p>
        </w:tc>
        <w:tc>
          <w:tcPr>
            <w:tcW w:w="1843" w:type="dxa"/>
            <w:tcBorders>
              <w:bottom w:val="single" w:sz="4" w:space="0" w:color="auto"/>
            </w:tcBorders>
            <w:shd w:val="clear" w:color="auto" w:fill="auto"/>
            <w:vAlign w:val="bottom"/>
          </w:tcPr>
          <w:p w14:paraId="3A5B8DEC" w14:textId="77777777" w:rsidR="00AB4B3A" w:rsidRPr="002D2F67" w:rsidRDefault="00AB4B3A"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984" w:type="dxa"/>
            <w:tcBorders>
              <w:bottom w:val="single" w:sz="4" w:space="0" w:color="auto"/>
            </w:tcBorders>
            <w:shd w:val="clear" w:color="auto" w:fill="auto"/>
            <w:vAlign w:val="bottom"/>
          </w:tcPr>
          <w:p w14:paraId="6560736B" w14:textId="77777777" w:rsidR="00AB4B3A" w:rsidRPr="002D2F67" w:rsidRDefault="00AB4B3A"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728" w:type="dxa"/>
            <w:tcBorders>
              <w:bottom w:val="single" w:sz="4" w:space="0" w:color="auto"/>
            </w:tcBorders>
            <w:shd w:val="clear" w:color="auto" w:fill="auto"/>
            <w:vAlign w:val="bottom"/>
          </w:tcPr>
          <w:p w14:paraId="4038C429" w14:textId="5FD3445A"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31</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144</w:t>
            </w:r>
          </w:p>
        </w:tc>
        <w:tc>
          <w:tcPr>
            <w:tcW w:w="1728" w:type="dxa"/>
            <w:tcBorders>
              <w:bottom w:val="single" w:sz="4" w:space="0" w:color="auto"/>
            </w:tcBorders>
            <w:shd w:val="clear" w:color="auto" w:fill="auto"/>
            <w:vAlign w:val="bottom"/>
          </w:tcPr>
          <w:p w14:paraId="5CCA2F23" w14:textId="1C1A82D7"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31</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144</w:t>
            </w:r>
          </w:p>
        </w:tc>
        <w:tc>
          <w:tcPr>
            <w:tcW w:w="1743" w:type="dxa"/>
            <w:tcBorders>
              <w:bottom w:val="single" w:sz="4" w:space="0" w:color="auto"/>
            </w:tcBorders>
            <w:shd w:val="clear" w:color="auto" w:fill="auto"/>
            <w:vAlign w:val="bottom"/>
          </w:tcPr>
          <w:p w14:paraId="537F2E2D" w14:textId="710ABB8F"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31</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061</w:t>
            </w:r>
          </w:p>
        </w:tc>
      </w:tr>
      <w:tr w:rsidR="00AB4B3A" w:rsidRPr="002D2F67" w14:paraId="03B9DDA8" w14:textId="77777777" w:rsidTr="00C57CB9">
        <w:trPr>
          <w:trHeight w:val="20"/>
        </w:trPr>
        <w:tc>
          <w:tcPr>
            <w:tcW w:w="4253" w:type="dxa"/>
            <w:shd w:val="clear" w:color="auto" w:fill="auto"/>
            <w:vAlign w:val="bottom"/>
          </w:tcPr>
          <w:p w14:paraId="20680F8B" w14:textId="77777777" w:rsidR="00AB4B3A" w:rsidRPr="002D2F67" w:rsidRDefault="00AB4B3A" w:rsidP="005611FE">
            <w:pPr>
              <w:ind w:left="-101"/>
              <w:rPr>
                <w:rFonts w:ascii="Arial" w:eastAsia="Arial Unicode MS" w:hAnsi="Arial" w:cs="Arial"/>
                <w:color w:val="000000"/>
                <w:sz w:val="8"/>
                <w:szCs w:val="8"/>
              </w:rPr>
            </w:pPr>
          </w:p>
        </w:tc>
        <w:tc>
          <w:tcPr>
            <w:tcW w:w="992" w:type="dxa"/>
            <w:shd w:val="clear" w:color="auto" w:fill="auto"/>
            <w:vAlign w:val="bottom"/>
          </w:tcPr>
          <w:p w14:paraId="5328FC78" w14:textId="77777777" w:rsidR="00AB4B3A" w:rsidRPr="002D2F67" w:rsidRDefault="00AB4B3A" w:rsidP="005611FE">
            <w:pPr>
              <w:ind w:left="-101"/>
              <w:rPr>
                <w:rFonts w:ascii="Arial" w:eastAsia="Arial Unicode MS" w:hAnsi="Arial" w:cs="Arial"/>
                <w:color w:val="000000"/>
                <w:sz w:val="8"/>
                <w:szCs w:val="8"/>
              </w:rPr>
            </w:pPr>
          </w:p>
        </w:tc>
        <w:tc>
          <w:tcPr>
            <w:tcW w:w="1843" w:type="dxa"/>
            <w:tcBorders>
              <w:top w:val="single" w:sz="4" w:space="0" w:color="auto"/>
            </w:tcBorders>
            <w:shd w:val="clear" w:color="auto" w:fill="auto"/>
            <w:vAlign w:val="bottom"/>
          </w:tcPr>
          <w:p w14:paraId="666A718A" w14:textId="77777777" w:rsidR="00AB4B3A" w:rsidRPr="002D2F67" w:rsidRDefault="00AB4B3A" w:rsidP="005611FE">
            <w:pPr>
              <w:ind w:left="-101"/>
              <w:rPr>
                <w:rFonts w:ascii="Arial" w:eastAsia="Arial Unicode MS" w:hAnsi="Arial" w:cs="Arial"/>
                <w:color w:val="000000"/>
                <w:sz w:val="8"/>
                <w:szCs w:val="8"/>
              </w:rPr>
            </w:pPr>
          </w:p>
        </w:tc>
        <w:tc>
          <w:tcPr>
            <w:tcW w:w="1984" w:type="dxa"/>
            <w:tcBorders>
              <w:top w:val="single" w:sz="4" w:space="0" w:color="auto"/>
            </w:tcBorders>
            <w:shd w:val="clear" w:color="auto" w:fill="auto"/>
            <w:vAlign w:val="bottom"/>
          </w:tcPr>
          <w:p w14:paraId="1C92B532" w14:textId="77777777" w:rsidR="00AB4B3A" w:rsidRPr="002D2F67" w:rsidRDefault="00AB4B3A" w:rsidP="005611FE">
            <w:pPr>
              <w:ind w:left="-101"/>
              <w:rPr>
                <w:rFonts w:ascii="Arial" w:eastAsia="Arial Unicode MS" w:hAnsi="Arial" w:cs="Arial"/>
                <w:color w:val="000000"/>
                <w:sz w:val="8"/>
                <w:szCs w:val="8"/>
              </w:rPr>
            </w:pPr>
          </w:p>
        </w:tc>
        <w:tc>
          <w:tcPr>
            <w:tcW w:w="1728" w:type="dxa"/>
            <w:tcBorders>
              <w:top w:val="single" w:sz="4" w:space="0" w:color="auto"/>
            </w:tcBorders>
            <w:shd w:val="clear" w:color="auto" w:fill="auto"/>
            <w:vAlign w:val="bottom"/>
          </w:tcPr>
          <w:p w14:paraId="433DEE85" w14:textId="77777777" w:rsidR="00AB4B3A" w:rsidRPr="002D2F67" w:rsidRDefault="00AB4B3A" w:rsidP="005611FE">
            <w:pPr>
              <w:ind w:left="-101"/>
              <w:rPr>
                <w:rFonts w:ascii="Arial" w:eastAsia="Arial Unicode MS" w:hAnsi="Arial" w:cs="Arial"/>
                <w:color w:val="000000"/>
                <w:sz w:val="8"/>
                <w:szCs w:val="8"/>
              </w:rPr>
            </w:pPr>
          </w:p>
        </w:tc>
        <w:tc>
          <w:tcPr>
            <w:tcW w:w="1728" w:type="dxa"/>
            <w:tcBorders>
              <w:top w:val="single" w:sz="4" w:space="0" w:color="auto"/>
            </w:tcBorders>
            <w:shd w:val="clear" w:color="auto" w:fill="auto"/>
            <w:vAlign w:val="bottom"/>
          </w:tcPr>
          <w:p w14:paraId="39F4365D" w14:textId="77777777" w:rsidR="00AB4B3A" w:rsidRPr="002D2F67" w:rsidRDefault="00AB4B3A" w:rsidP="005611FE">
            <w:pPr>
              <w:ind w:left="-101"/>
              <w:rPr>
                <w:rFonts w:ascii="Arial" w:eastAsia="Arial Unicode MS" w:hAnsi="Arial" w:cs="Arial"/>
                <w:color w:val="000000"/>
                <w:sz w:val="8"/>
                <w:szCs w:val="8"/>
              </w:rPr>
            </w:pPr>
          </w:p>
        </w:tc>
        <w:tc>
          <w:tcPr>
            <w:tcW w:w="1743" w:type="dxa"/>
            <w:tcBorders>
              <w:top w:val="single" w:sz="4" w:space="0" w:color="auto"/>
            </w:tcBorders>
            <w:shd w:val="clear" w:color="auto" w:fill="auto"/>
            <w:vAlign w:val="bottom"/>
          </w:tcPr>
          <w:p w14:paraId="68D663A7" w14:textId="77777777" w:rsidR="00AB4B3A" w:rsidRPr="002D2F67" w:rsidRDefault="00AB4B3A" w:rsidP="005611FE">
            <w:pPr>
              <w:ind w:left="-101"/>
              <w:rPr>
                <w:rFonts w:ascii="Arial" w:eastAsia="Arial Unicode MS" w:hAnsi="Arial" w:cs="Arial"/>
                <w:color w:val="000000"/>
                <w:sz w:val="8"/>
                <w:szCs w:val="8"/>
              </w:rPr>
            </w:pPr>
          </w:p>
        </w:tc>
      </w:tr>
      <w:tr w:rsidR="00AB4B3A" w:rsidRPr="002D2F67" w14:paraId="0BB7787B" w14:textId="77777777" w:rsidTr="00C57CB9">
        <w:trPr>
          <w:trHeight w:val="20"/>
        </w:trPr>
        <w:tc>
          <w:tcPr>
            <w:tcW w:w="4253" w:type="dxa"/>
            <w:shd w:val="clear" w:color="auto" w:fill="auto"/>
            <w:vAlign w:val="bottom"/>
          </w:tcPr>
          <w:p w14:paraId="0C791D4C" w14:textId="77777777" w:rsidR="00AB4B3A" w:rsidRPr="002D2F67" w:rsidRDefault="00AB4B3A" w:rsidP="005611FE">
            <w:pPr>
              <w:ind w:left="-101"/>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Total liabilities</w:t>
            </w:r>
          </w:p>
        </w:tc>
        <w:tc>
          <w:tcPr>
            <w:tcW w:w="992" w:type="dxa"/>
            <w:shd w:val="clear" w:color="auto" w:fill="auto"/>
            <w:vAlign w:val="bottom"/>
          </w:tcPr>
          <w:p w14:paraId="1D65A6FB" w14:textId="77777777" w:rsidR="00AB4B3A" w:rsidRPr="002D2F67" w:rsidRDefault="00AB4B3A" w:rsidP="005611FE">
            <w:pPr>
              <w:jc w:val="center"/>
              <w:rPr>
                <w:rFonts w:ascii="Arial" w:eastAsia="Arial Unicode MS" w:hAnsi="Arial" w:cs="Arial"/>
                <w:b/>
                <w:bCs/>
                <w:color w:val="000000"/>
                <w:sz w:val="20"/>
                <w:szCs w:val="20"/>
              </w:rPr>
            </w:pPr>
          </w:p>
        </w:tc>
        <w:tc>
          <w:tcPr>
            <w:tcW w:w="1843" w:type="dxa"/>
            <w:tcBorders>
              <w:bottom w:val="single" w:sz="4" w:space="0" w:color="auto"/>
            </w:tcBorders>
            <w:shd w:val="clear" w:color="auto" w:fill="auto"/>
            <w:vAlign w:val="bottom"/>
          </w:tcPr>
          <w:p w14:paraId="5FC3B1C4" w14:textId="43ACA6C7"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60</w:t>
            </w:r>
          </w:p>
        </w:tc>
        <w:tc>
          <w:tcPr>
            <w:tcW w:w="1984" w:type="dxa"/>
            <w:tcBorders>
              <w:bottom w:val="single" w:sz="4" w:space="0" w:color="auto"/>
            </w:tcBorders>
            <w:shd w:val="clear" w:color="auto" w:fill="auto"/>
            <w:vAlign w:val="bottom"/>
          </w:tcPr>
          <w:p w14:paraId="71878A16" w14:textId="77777777" w:rsidR="00AB4B3A" w:rsidRPr="002D2F67" w:rsidRDefault="00AB4B3A"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728" w:type="dxa"/>
            <w:tcBorders>
              <w:bottom w:val="single" w:sz="4" w:space="0" w:color="auto"/>
            </w:tcBorders>
            <w:shd w:val="clear" w:color="auto" w:fill="auto"/>
            <w:vAlign w:val="bottom"/>
          </w:tcPr>
          <w:p w14:paraId="77C95EAE" w14:textId="797C0D0E"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33</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357</w:t>
            </w:r>
          </w:p>
        </w:tc>
        <w:tc>
          <w:tcPr>
            <w:tcW w:w="1728" w:type="dxa"/>
            <w:tcBorders>
              <w:bottom w:val="single" w:sz="4" w:space="0" w:color="auto"/>
            </w:tcBorders>
            <w:shd w:val="clear" w:color="auto" w:fill="auto"/>
            <w:vAlign w:val="bottom"/>
          </w:tcPr>
          <w:p w14:paraId="0342409C" w14:textId="552FD653"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33</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417</w:t>
            </w:r>
          </w:p>
        </w:tc>
        <w:tc>
          <w:tcPr>
            <w:tcW w:w="1743" w:type="dxa"/>
            <w:tcBorders>
              <w:bottom w:val="single" w:sz="4" w:space="0" w:color="auto"/>
            </w:tcBorders>
            <w:shd w:val="clear" w:color="auto" w:fill="auto"/>
            <w:vAlign w:val="bottom"/>
          </w:tcPr>
          <w:p w14:paraId="1FB55CD7" w14:textId="10BA18FA"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33</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337</w:t>
            </w:r>
          </w:p>
        </w:tc>
      </w:tr>
    </w:tbl>
    <w:p w14:paraId="68893FF2" w14:textId="5127B287" w:rsidR="00430848" w:rsidRPr="002D2F67" w:rsidRDefault="00430848" w:rsidP="005611FE">
      <w:pPr>
        <w:ind w:right="36"/>
        <w:jc w:val="thaiDistribute"/>
        <w:rPr>
          <w:rFonts w:ascii="Arial" w:hAnsi="Arial" w:cs="Arial"/>
          <w:color w:val="000000"/>
          <w:sz w:val="12"/>
          <w:szCs w:val="12"/>
        </w:rPr>
      </w:pPr>
    </w:p>
    <w:tbl>
      <w:tblPr>
        <w:tblW w:w="14243" w:type="dxa"/>
        <w:tblInd w:w="108" w:type="dxa"/>
        <w:tblLayout w:type="fixed"/>
        <w:tblLook w:val="04A0" w:firstRow="1" w:lastRow="0" w:firstColumn="1" w:lastColumn="0" w:noHBand="0" w:noVBand="1"/>
      </w:tblPr>
      <w:tblGrid>
        <w:gridCol w:w="4253"/>
        <w:gridCol w:w="992"/>
        <w:gridCol w:w="1843"/>
        <w:gridCol w:w="1984"/>
        <w:gridCol w:w="1728"/>
        <w:gridCol w:w="1728"/>
        <w:gridCol w:w="1715"/>
      </w:tblGrid>
      <w:tr w:rsidR="00AB4B3A" w:rsidRPr="002D2F67" w14:paraId="61CA207D" w14:textId="77777777" w:rsidTr="00C57CB9">
        <w:tc>
          <w:tcPr>
            <w:tcW w:w="4253" w:type="dxa"/>
            <w:shd w:val="clear" w:color="auto" w:fill="auto"/>
            <w:vAlign w:val="bottom"/>
          </w:tcPr>
          <w:p w14:paraId="61180FAB" w14:textId="77777777" w:rsidR="00AB4B3A" w:rsidRPr="002D2F67" w:rsidRDefault="00AB4B3A" w:rsidP="005611FE">
            <w:pPr>
              <w:ind w:left="-101"/>
              <w:rPr>
                <w:rFonts w:ascii="Arial" w:eastAsia="Arial Unicode MS" w:hAnsi="Arial" w:cs="Arial"/>
                <w:color w:val="000000"/>
                <w:sz w:val="20"/>
                <w:szCs w:val="20"/>
              </w:rPr>
            </w:pPr>
          </w:p>
        </w:tc>
        <w:tc>
          <w:tcPr>
            <w:tcW w:w="9985" w:type="dxa"/>
            <w:gridSpan w:val="6"/>
            <w:tcBorders>
              <w:bottom w:val="single" w:sz="4" w:space="0" w:color="auto"/>
            </w:tcBorders>
            <w:shd w:val="clear" w:color="auto" w:fill="auto"/>
            <w:vAlign w:val="bottom"/>
          </w:tcPr>
          <w:p w14:paraId="731E059C" w14:textId="77777777" w:rsidR="00AB4B3A" w:rsidRPr="002D2F67" w:rsidRDefault="00AB4B3A" w:rsidP="005611FE">
            <w:pPr>
              <w:ind w:right="-68"/>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Separate financial statements</w:t>
            </w:r>
          </w:p>
        </w:tc>
      </w:tr>
      <w:tr w:rsidR="00AB4B3A" w:rsidRPr="002D2F67" w14:paraId="048D96C3" w14:textId="77777777" w:rsidTr="00C57CB9">
        <w:tc>
          <w:tcPr>
            <w:tcW w:w="4253" w:type="dxa"/>
            <w:shd w:val="clear" w:color="auto" w:fill="auto"/>
            <w:vAlign w:val="bottom"/>
          </w:tcPr>
          <w:p w14:paraId="224D4E21" w14:textId="77777777" w:rsidR="00AB4B3A" w:rsidRPr="002D2F67" w:rsidRDefault="00AB4B3A" w:rsidP="005611FE">
            <w:pPr>
              <w:ind w:left="-101"/>
              <w:rPr>
                <w:rFonts w:ascii="Arial" w:eastAsia="Arial Unicode MS" w:hAnsi="Arial" w:cs="Arial"/>
                <w:color w:val="000000"/>
                <w:sz w:val="20"/>
                <w:szCs w:val="20"/>
              </w:rPr>
            </w:pPr>
          </w:p>
        </w:tc>
        <w:tc>
          <w:tcPr>
            <w:tcW w:w="992" w:type="dxa"/>
            <w:vMerge w:val="restart"/>
            <w:tcBorders>
              <w:top w:val="single" w:sz="4" w:space="0" w:color="auto"/>
              <w:bottom w:val="single" w:sz="4" w:space="0" w:color="auto"/>
            </w:tcBorders>
            <w:shd w:val="clear" w:color="auto" w:fill="auto"/>
            <w:vAlign w:val="bottom"/>
          </w:tcPr>
          <w:p w14:paraId="0ABAFEFD" w14:textId="77777777" w:rsidR="00AB4B3A" w:rsidRPr="002D2F67" w:rsidRDefault="00AB4B3A" w:rsidP="005611FE">
            <w:pPr>
              <w:jc w:val="center"/>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Fair value level</w:t>
            </w:r>
          </w:p>
        </w:tc>
        <w:tc>
          <w:tcPr>
            <w:tcW w:w="1843" w:type="dxa"/>
            <w:tcBorders>
              <w:top w:val="single" w:sz="4" w:space="0" w:color="auto"/>
            </w:tcBorders>
            <w:shd w:val="clear" w:color="auto" w:fill="auto"/>
            <w:vAlign w:val="bottom"/>
          </w:tcPr>
          <w:p w14:paraId="42D4EFD3" w14:textId="77777777" w:rsidR="00AB4B3A" w:rsidRPr="002D2F67" w:rsidRDefault="00AB4B3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FVPL</w:t>
            </w:r>
          </w:p>
        </w:tc>
        <w:tc>
          <w:tcPr>
            <w:tcW w:w="1984" w:type="dxa"/>
            <w:tcBorders>
              <w:top w:val="single" w:sz="4" w:space="0" w:color="auto"/>
            </w:tcBorders>
            <w:shd w:val="clear" w:color="auto" w:fill="auto"/>
            <w:vAlign w:val="bottom"/>
          </w:tcPr>
          <w:p w14:paraId="7E01492A" w14:textId="77777777" w:rsidR="00AB4B3A" w:rsidRPr="002D2F67" w:rsidRDefault="00AB4B3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FVOCI</w:t>
            </w:r>
          </w:p>
        </w:tc>
        <w:tc>
          <w:tcPr>
            <w:tcW w:w="1728" w:type="dxa"/>
            <w:tcBorders>
              <w:top w:val="single" w:sz="4" w:space="0" w:color="auto"/>
            </w:tcBorders>
            <w:shd w:val="clear" w:color="auto" w:fill="auto"/>
            <w:vAlign w:val="bottom"/>
          </w:tcPr>
          <w:p w14:paraId="1260D675" w14:textId="77777777" w:rsidR="00AB4B3A" w:rsidRPr="002D2F67" w:rsidRDefault="00AB4B3A" w:rsidP="005611FE">
            <w:pPr>
              <w:ind w:right="-75"/>
              <w:jc w:val="right"/>
              <w:rPr>
                <w:rFonts w:ascii="Arial" w:eastAsia="Arial Unicode MS" w:hAnsi="Arial" w:cs="Arial"/>
                <w:b/>
                <w:bCs/>
                <w:color w:val="000000"/>
                <w:sz w:val="20"/>
                <w:szCs w:val="20"/>
                <w:cs/>
              </w:rPr>
            </w:pPr>
            <w:r w:rsidRPr="002D2F67">
              <w:rPr>
                <w:rFonts w:ascii="Arial" w:eastAsia="Arial Unicode MS" w:hAnsi="Arial" w:cs="Arial"/>
                <w:b/>
                <w:bCs/>
                <w:color w:val="000000"/>
                <w:sz w:val="20"/>
                <w:szCs w:val="20"/>
              </w:rPr>
              <w:t>Amortised cost</w:t>
            </w:r>
          </w:p>
        </w:tc>
        <w:tc>
          <w:tcPr>
            <w:tcW w:w="1728" w:type="dxa"/>
            <w:tcBorders>
              <w:top w:val="single" w:sz="4" w:space="0" w:color="auto"/>
            </w:tcBorders>
            <w:shd w:val="clear" w:color="auto" w:fill="auto"/>
            <w:vAlign w:val="bottom"/>
          </w:tcPr>
          <w:p w14:paraId="28100645" w14:textId="77777777" w:rsidR="00AB4B3A" w:rsidRPr="002D2F67" w:rsidRDefault="00AB4B3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Total</w:t>
            </w:r>
          </w:p>
          <w:p w14:paraId="09CD4EA6" w14:textId="77777777" w:rsidR="00AB4B3A" w:rsidRPr="002D2F67" w:rsidRDefault="00AB4B3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carrying amount</w:t>
            </w:r>
          </w:p>
        </w:tc>
        <w:tc>
          <w:tcPr>
            <w:tcW w:w="1715" w:type="dxa"/>
            <w:tcBorders>
              <w:top w:val="single" w:sz="4" w:space="0" w:color="auto"/>
            </w:tcBorders>
            <w:shd w:val="clear" w:color="auto" w:fill="auto"/>
            <w:vAlign w:val="bottom"/>
          </w:tcPr>
          <w:p w14:paraId="244EF805" w14:textId="77777777" w:rsidR="00AB4B3A" w:rsidRPr="002D2F67" w:rsidRDefault="00AB4B3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Fair value</w:t>
            </w:r>
          </w:p>
        </w:tc>
      </w:tr>
      <w:tr w:rsidR="00AB4B3A" w:rsidRPr="002D2F67" w14:paraId="4A2EFDA9" w14:textId="77777777" w:rsidTr="00C57CB9">
        <w:tc>
          <w:tcPr>
            <w:tcW w:w="4253" w:type="dxa"/>
            <w:shd w:val="clear" w:color="auto" w:fill="auto"/>
            <w:vAlign w:val="bottom"/>
          </w:tcPr>
          <w:p w14:paraId="46DD5A22" w14:textId="77777777" w:rsidR="00AB4B3A" w:rsidRPr="002D2F67" w:rsidRDefault="00AB4B3A" w:rsidP="005611FE">
            <w:pPr>
              <w:ind w:left="-101"/>
              <w:rPr>
                <w:rFonts w:ascii="Arial" w:eastAsia="Arial Unicode MS" w:hAnsi="Arial" w:cs="Arial"/>
                <w:color w:val="000000"/>
                <w:sz w:val="20"/>
                <w:szCs w:val="20"/>
              </w:rPr>
            </w:pPr>
          </w:p>
        </w:tc>
        <w:tc>
          <w:tcPr>
            <w:tcW w:w="992" w:type="dxa"/>
            <w:vMerge/>
            <w:tcBorders>
              <w:top w:val="single" w:sz="4" w:space="0" w:color="auto"/>
              <w:bottom w:val="single" w:sz="4" w:space="0" w:color="auto"/>
            </w:tcBorders>
            <w:shd w:val="clear" w:color="auto" w:fill="auto"/>
            <w:vAlign w:val="bottom"/>
          </w:tcPr>
          <w:p w14:paraId="34D79308" w14:textId="77777777" w:rsidR="00AB4B3A" w:rsidRPr="002D2F67" w:rsidRDefault="00AB4B3A" w:rsidP="005611FE">
            <w:pPr>
              <w:jc w:val="right"/>
              <w:rPr>
                <w:rFonts w:ascii="Arial" w:eastAsia="Arial Unicode MS" w:hAnsi="Arial" w:cs="Arial"/>
                <w:b/>
                <w:bCs/>
                <w:color w:val="000000"/>
                <w:sz w:val="20"/>
                <w:szCs w:val="20"/>
              </w:rPr>
            </w:pPr>
          </w:p>
        </w:tc>
        <w:tc>
          <w:tcPr>
            <w:tcW w:w="1843" w:type="dxa"/>
            <w:tcBorders>
              <w:bottom w:val="single" w:sz="4" w:space="0" w:color="auto"/>
            </w:tcBorders>
            <w:shd w:val="clear" w:color="auto" w:fill="auto"/>
            <w:vAlign w:val="bottom"/>
          </w:tcPr>
          <w:p w14:paraId="4D307B16" w14:textId="77777777" w:rsidR="00AB4B3A" w:rsidRPr="002D2F67" w:rsidRDefault="00AB4B3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Million Baht</w:t>
            </w:r>
          </w:p>
        </w:tc>
        <w:tc>
          <w:tcPr>
            <w:tcW w:w="1984" w:type="dxa"/>
            <w:tcBorders>
              <w:bottom w:val="single" w:sz="4" w:space="0" w:color="auto"/>
            </w:tcBorders>
            <w:shd w:val="clear" w:color="auto" w:fill="auto"/>
            <w:vAlign w:val="bottom"/>
          </w:tcPr>
          <w:p w14:paraId="57EEEB62" w14:textId="77777777" w:rsidR="00AB4B3A" w:rsidRPr="002D2F67" w:rsidRDefault="00AB4B3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Million Baht</w:t>
            </w:r>
          </w:p>
        </w:tc>
        <w:tc>
          <w:tcPr>
            <w:tcW w:w="1728" w:type="dxa"/>
            <w:tcBorders>
              <w:bottom w:val="single" w:sz="4" w:space="0" w:color="auto"/>
            </w:tcBorders>
            <w:shd w:val="clear" w:color="auto" w:fill="auto"/>
            <w:vAlign w:val="bottom"/>
          </w:tcPr>
          <w:p w14:paraId="03C8FA21" w14:textId="77777777" w:rsidR="00AB4B3A" w:rsidRPr="002D2F67" w:rsidRDefault="00AB4B3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Million Baht</w:t>
            </w:r>
          </w:p>
        </w:tc>
        <w:tc>
          <w:tcPr>
            <w:tcW w:w="1728" w:type="dxa"/>
            <w:tcBorders>
              <w:bottom w:val="single" w:sz="4" w:space="0" w:color="auto"/>
            </w:tcBorders>
            <w:shd w:val="clear" w:color="auto" w:fill="auto"/>
            <w:vAlign w:val="bottom"/>
          </w:tcPr>
          <w:p w14:paraId="50306A33" w14:textId="77777777" w:rsidR="00AB4B3A" w:rsidRPr="002D2F67" w:rsidRDefault="00AB4B3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Million Baht</w:t>
            </w:r>
          </w:p>
        </w:tc>
        <w:tc>
          <w:tcPr>
            <w:tcW w:w="1715" w:type="dxa"/>
            <w:tcBorders>
              <w:bottom w:val="single" w:sz="4" w:space="0" w:color="auto"/>
            </w:tcBorders>
            <w:shd w:val="clear" w:color="auto" w:fill="auto"/>
            <w:vAlign w:val="bottom"/>
          </w:tcPr>
          <w:p w14:paraId="6C6718CA" w14:textId="77777777" w:rsidR="00AB4B3A" w:rsidRPr="002D2F67" w:rsidRDefault="00AB4B3A" w:rsidP="005611FE">
            <w:pPr>
              <w:ind w:right="-75"/>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Million Baht</w:t>
            </w:r>
          </w:p>
        </w:tc>
      </w:tr>
      <w:tr w:rsidR="00AB4B3A" w:rsidRPr="002D2F67" w14:paraId="2711B58F" w14:textId="77777777" w:rsidTr="00C57CB9">
        <w:tc>
          <w:tcPr>
            <w:tcW w:w="4253" w:type="dxa"/>
            <w:shd w:val="clear" w:color="auto" w:fill="auto"/>
            <w:vAlign w:val="bottom"/>
          </w:tcPr>
          <w:p w14:paraId="07C6150A" w14:textId="2209BE82" w:rsidR="00AB4B3A" w:rsidRPr="002D2F67" w:rsidRDefault="00AB4B3A" w:rsidP="005611FE">
            <w:pPr>
              <w:ind w:left="-101"/>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 xml:space="preserve">As </w:t>
            </w:r>
            <w:proofErr w:type="gramStart"/>
            <w:r w:rsidRPr="002D2F67">
              <w:rPr>
                <w:rFonts w:ascii="Arial" w:eastAsia="Arial Unicode MS" w:hAnsi="Arial" w:cs="Arial"/>
                <w:b/>
                <w:bCs/>
                <w:color w:val="000000"/>
                <w:sz w:val="20"/>
                <w:szCs w:val="20"/>
              </w:rPr>
              <w:t>at</w:t>
            </w:r>
            <w:proofErr w:type="gramEnd"/>
            <w:r w:rsidRPr="002D2F67">
              <w:rPr>
                <w:rFonts w:ascii="Arial" w:eastAsia="Arial Unicode MS" w:hAnsi="Arial" w:cs="Arial"/>
                <w:b/>
                <w:bCs/>
                <w:color w:val="000000"/>
                <w:sz w:val="20"/>
                <w:szCs w:val="20"/>
              </w:rPr>
              <w:t xml:space="preserve"> </w:t>
            </w:r>
            <w:r w:rsidR="00CD5714" w:rsidRPr="00CD5714">
              <w:rPr>
                <w:rFonts w:ascii="Arial" w:eastAsia="Arial Unicode MS" w:hAnsi="Arial" w:cs="Arial"/>
                <w:b/>
                <w:bCs/>
                <w:color w:val="000000"/>
                <w:sz w:val="20"/>
                <w:szCs w:val="20"/>
                <w:lang w:val="en-GB"/>
              </w:rPr>
              <w:t>31</w:t>
            </w:r>
            <w:r w:rsidRPr="002D2F67">
              <w:rPr>
                <w:rFonts w:ascii="Arial" w:eastAsia="Arial Unicode MS" w:hAnsi="Arial" w:cs="Arial"/>
                <w:b/>
                <w:bCs/>
                <w:color w:val="000000"/>
                <w:sz w:val="20"/>
                <w:szCs w:val="20"/>
              </w:rPr>
              <w:t xml:space="preserve"> December </w:t>
            </w:r>
            <w:r w:rsidR="00CD5714" w:rsidRPr="00CD5714">
              <w:rPr>
                <w:rFonts w:ascii="Arial" w:eastAsia="Arial Unicode MS" w:hAnsi="Arial" w:cs="Arial"/>
                <w:b/>
                <w:bCs/>
                <w:color w:val="000000"/>
                <w:sz w:val="20"/>
                <w:szCs w:val="20"/>
                <w:lang w:val="en-GB"/>
              </w:rPr>
              <w:t>2023</w:t>
            </w:r>
          </w:p>
        </w:tc>
        <w:tc>
          <w:tcPr>
            <w:tcW w:w="992" w:type="dxa"/>
            <w:tcBorders>
              <w:top w:val="single" w:sz="4" w:space="0" w:color="auto"/>
            </w:tcBorders>
            <w:shd w:val="clear" w:color="auto" w:fill="auto"/>
            <w:vAlign w:val="bottom"/>
          </w:tcPr>
          <w:p w14:paraId="5521CF89" w14:textId="77777777" w:rsidR="00AB4B3A" w:rsidRPr="002D2F67" w:rsidRDefault="00AB4B3A" w:rsidP="005611FE">
            <w:pPr>
              <w:jc w:val="center"/>
              <w:rPr>
                <w:rFonts w:ascii="Arial" w:eastAsia="Arial Unicode MS" w:hAnsi="Arial" w:cs="Arial"/>
                <w:color w:val="000000"/>
                <w:sz w:val="20"/>
                <w:szCs w:val="20"/>
              </w:rPr>
            </w:pPr>
          </w:p>
        </w:tc>
        <w:tc>
          <w:tcPr>
            <w:tcW w:w="1843" w:type="dxa"/>
            <w:tcBorders>
              <w:top w:val="single" w:sz="4" w:space="0" w:color="auto"/>
            </w:tcBorders>
            <w:shd w:val="clear" w:color="auto" w:fill="auto"/>
            <w:vAlign w:val="bottom"/>
          </w:tcPr>
          <w:p w14:paraId="0D23AFBC" w14:textId="77777777" w:rsidR="00AB4B3A" w:rsidRPr="002D2F67" w:rsidRDefault="00AB4B3A" w:rsidP="005611FE">
            <w:pPr>
              <w:ind w:right="-75"/>
              <w:jc w:val="right"/>
              <w:rPr>
                <w:rFonts w:ascii="Arial" w:eastAsia="Arial Unicode MS" w:hAnsi="Arial" w:cs="Arial"/>
                <w:color w:val="000000"/>
                <w:sz w:val="20"/>
                <w:szCs w:val="20"/>
              </w:rPr>
            </w:pPr>
          </w:p>
        </w:tc>
        <w:tc>
          <w:tcPr>
            <w:tcW w:w="1984" w:type="dxa"/>
            <w:tcBorders>
              <w:top w:val="single" w:sz="4" w:space="0" w:color="auto"/>
            </w:tcBorders>
            <w:shd w:val="clear" w:color="auto" w:fill="auto"/>
            <w:vAlign w:val="bottom"/>
          </w:tcPr>
          <w:p w14:paraId="2D198787" w14:textId="77777777" w:rsidR="00AB4B3A" w:rsidRPr="002D2F67" w:rsidRDefault="00AB4B3A" w:rsidP="005611FE">
            <w:pPr>
              <w:ind w:right="-75"/>
              <w:jc w:val="right"/>
              <w:rPr>
                <w:rFonts w:ascii="Arial" w:eastAsia="Arial Unicode MS" w:hAnsi="Arial" w:cs="Arial"/>
                <w:color w:val="000000"/>
                <w:sz w:val="20"/>
                <w:szCs w:val="20"/>
              </w:rPr>
            </w:pPr>
          </w:p>
        </w:tc>
        <w:tc>
          <w:tcPr>
            <w:tcW w:w="1728" w:type="dxa"/>
            <w:tcBorders>
              <w:top w:val="single" w:sz="4" w:space="0" w:color="auto"/>
            </w:tcBorders>
            <w:shd w:val="clear" w:color="auto" w:fill="auto"/>
            <w:vAlign w:val="bottom"/>
          </w:tcPr>
          <w:p w14:paraId="477123C7" w14:textId="77777777" w:rsidR="00AB4B3A" w:rsidRPr="002D2F67" w:rsidRDefault="00AB4B3A" w:rsidP="005611FE">
            <w:pPr>
              <w:ind w:right="-75"/>
              <w:jc w:val="right"/>
              <w:rPr>
                <w:rFonts w:ascii="Arial" w:eastAsia="Arial Unicode MS" w:hAnsi="Arial" w:cs="Arial"/>
                <w:color w:val="000000"/>
                <w:sz w:val="20"/>
                <w:szCs w:val="20"/>
              </w:rPr>
            </w:pPr>
          </w:p>
        </w:tc>
        <w:tc>
          <w:tcPr>
            <w:tcW w:w="1728" w:type="dxa"/>
            <w:tcBorders>
              <w:top w:val="single" w:sz="4" w:space="0" w:color="auto"/>
            </w:tcBorders>
            <w:shd w:val="clear" w:color="auto" w:fill="auto"/>
            <w:vAlign w:val="bottom"/>
          </w:tcPr>
          <w:p w14:paraId="5A766C0C" w14:textId="77777777" w:rsidR="00AB4B3A" w:rsidRPr="002D2F67" w:rsidRDefault="00AB4B3A" w:rsidP="005611FE">
            <w:pPr>
              <w:ind w:right="-75"/>
              <w:jc w:val="right"/>
              <w:rPr>
                <w:rFonts w:ascii="Arial" w:eastAsia="Arial Unicode MS" w:hAnsi="Arial" w:cs="Arial"/>
                <w:color w:val="000000"/>
                <w:sz w:val="20"/>
                <w:szCs w:val="20"/>
              </w:rPr>
            </w:pPr>
          </w:p>
        </w:tc>
        <w:tc>
          <w:tcPr>
            <w:tcW w:w="1715" w:type="dxa"/>
            <w:tcBorders>
              <w:top w:val="single" w:sz="4" w:space="0" w:color="auto"/>
            </w:tcBorders>
            <w:shd w:val="clear" w:color="auto" w:fill="auto"/>
            <w:vAlign w:val="bottom"/>
          </w:tcPr>
          <w:p w14:paraId="0C1BF1A3" w14:textId="77777777" w:rsidR="00AB4B3A" w:rsidRPr="002D2F67" w:rsidRDefault="00AB4B3A" w:rsidP="005611FE">
            <w:pPr>
              <w:ind w:right="-75"/>
              <w:jc w:val="right"/>
              <w:rPr>
                <w:rFonts w:ascii="Arial" w:eastAsia="Arial Unicode MS" w:hAnsi="Arial" w:cs="Arial"/>
                <w:color w:val="000000"/>
                <w:sz w:val="20"/>
                <w:szCs w:val="20"/>
              </w:rPr>
            </w:pPr>
          </w:p>
        </w:tc>
      </w:tr>
      <w:tr w:rsidR="00AB4B3A" w:rsidRPr="002D2F67" w14:paraId="4CDF5B79" w14:textId="77777777" w:rsidTr="00C57CB9">
        <w:tc>
          <w:tcPr>
            <w:tcW w:w="4253" w:type="dxa"/>
            <w:shd w:val="clear" w:color="auto" w:fill="auto"/>
            <w:vAlign w:val="bottom"/>
          </w:tcPr>
          <w:p w14:paraId="6D6F0364" w14:textId="77777777" w:rsidR="00AB4B3A" w:rsidRPr="002D2F67" w:rsidRDefault="00AB4B3A" w:rsidP="00706C8B">
            <w:pPr>
              <w:ind w:left="-101"/>
              <w:rPr>
                <w:rFonts w:ascii="Arial" w:eastAsia="Arial Unicode MS" w:hAnsi="Arial" w:cs="Arial"/>
                <w:color w:val="000000"/>
                <w:sz w:val="8"/>
                <w:szCs w:val="8"/>
              </w:rPr>
            </w:pPr>
          </w:p>
        </w:tc>
        <w:tc>
          <w:tcPr>
            <w:tcW w:w="992" w:type="dxa"/>
            <w:shd w:val="clear" w:color="auto" w:fill="auto"/>
            <w:vAlign w:val="bottom"/>
          </w:tcPr>
          <w:p w14:paraId="56E2085D" w14:textId="77777777" w:rsidR="00AB4B3A" w:rsidRPr="002D2F67" w:rsidRDefault="00AB4B3A" w:rsidP="00706C8B">
            <w:pPr>
              <w:ind w:left="-101"/>
              <w:rPr>
                <w:rFonts w:ascii="Arial" w:eastAsia="Arial Unicode MS" w:hAnsi="Arial" w:cs="Arial"/>
                <w:color w:val="000000"/>
                <w:sz w:val="8"/>
                <w:szCs w:val="8"/>
              </w:rPr>
            </w:pPr>
          </w:p>
        </w:tc>
        <w:tc>
          <w:tcPr>
            <w:tcW w:w="1843" w:type="dxa"/>
            <w:shd w:val="clear" w:color="auto" w:fill="auto"/>
            <w:vAlign w:val="bottom"/>
          </w:tcPr>
          <w:p w14:paraId="3867CD80" w14:textId="77777777" w:rsidR="00AB4B3A" w:rsidRPr="002D2F67" w:rsidRDefault="00AB4B3A" w:rsidP="00706C8B">
            <w:pPr>
              <w:ind w:left="-101"/>
              <w:rPr>
                <w:rFonts w:ascii="Arial" w:eastAsia="Arial Unicode MS" w:hAnsi="Arial" w:cs="Arial"/>
                <w:color w:val="000000"/>
                <w:sz w:val="8"/>
                <w:szCs w:val="8"/>
              </w:rPr>
            </w:pPr>
          </w:p>
        </w:tc>
        <w:tc>
          <w:tcPr>
            <w:tcW w:w="1984" w:type="dxa"/>
            <w:shd w:val="clear" w:color="auto" w:fill="auto"/>
            <w:vAlign w:val="bottom"/>
          </w:tcPr>
          <w:p w14:paraId="014368B1" w14:textId="77777777" w:rsidR="00AB4B3A" w:rsidRPr="002D2F67" w:rsidRDefault="00AB4B3A" w:rsidP="00706C8B">
            <w:pPr>
              <w:ind w:left="-101"/>
              <w:rPr>
                <w:rFonts w:ascii="Arial" w:eastAsia="Arial Unicode MS" w:hAnsi="Arial" w:cs="Arial"/>
                <w:color w:val="000000"/>
                <w:sz w:val="8"/>
                <w:szCs w:val="8"/>
              </w:rPr>
            </w:pPr>
          </w:p>
        </w:tc>
        <w:tc>
          <w:tcPr>
            <w:tcW w:w="1728" w:type="dxa"/>
            <w:shd w:val="clear" w:color="auto" w:fill="auto"/>
            <w:vAlign w:val="bottom"/>
          </w:tcPr>
          <w:p w14:paraId="121402D4" w14:textId="77777777" w:rsidR="00AB4B3A" w:rsidRPr="002D2F67" w:rsidRDefault="00AB4B3A" w:rsidP="00706C8B">
            <w:pPr>
              <w:ind w:left="-101"/>
              <w:rPr>
                <w:rFonts w:ascii="Arial" w:eastAsia="Arial Unicode MS" w:hAnsi="Arial" w:cs="Arial"/>
                <w:color w:val="000000"/>
                <w:sz w:val="8"/>
                <w:szCs w:val="8"/>
              </w:rPr>
            </w:pPr>
          </w:p>
        </w:tc>
        <w:tc>
          <w:tcPr>
            <w:tcW w:w="1728" w:type="dxa"/>
            <w:shd w:val="clear" w:color="auto" w:fill="auto"/>
            <w:vAlign w:val="bottom"/>
          </w:tcPr>
          <w:p w14:paraId="24BD3F28" w14:textId="77777777" w:rsidR="00AB4B3A" w:rsidRPr="002D2F67" w:rsidRDefault="00AB4B3A" w:rsidP="00706C8B">
            <w:pPr>
              <w:ind w:left="-101"/>
              <w:rPr>
                <w:rFonts w:ascii="Arial" w:eastAsia="Arial Unicode MS" w:hAnsi="Arial" w:cs="Arial"/>
                <w:color w:val="000000"/>
                <w:sz w:val="8"/>
                <w:szCs w:val="8"/>
              </w:rPr>
            </w:pPr>
          </w:p>
        </w:tc>
        <w:tc>
          <w:tcPr>
            <w:tcW w:w="1715" w:type="dxa"/>
            <w:shd w:val="clear" w:color="auto" w:fill="auto"/>
            <w:vAlign w:val="bottom"/>
          </w:tcPr>
          <w:p w14:paraId="0B2CB318" w14:textId="77777777" w:rsidR="00AB4B3A" w:rsidRPr="002D2F67" w:rsidRDefault="00AB4B3A" w:rsidP="00706C8B">
            <w:pPr>
              <w:ind w:left="-101"/>
              <w:rPr>
                <w:rFonts w:ascii="Arial" w:eastAsia="Arial Unicode MS" w:hAnsi="Arial" w:cs="Arial"/>
                <w:color w:val="000000"/>
                <w:sz w:val="8"/>
                <w:szCs w:val="8"/>
              </w:rPr>
            </w:pPr>
          </w:p>
        </w:tc>
      </w:tr>
      <w:tr w:rsidR="00AB4B3A" w:rsidRPr="002D2F67" w14:paraId="5EFC417F" w14:textId="77777777" w:rsidTr="00C57CB9">
        <w:tc>
          <w:tcPr>
            <w:tcW w:w="4253" w:type="dxa"/>
            <w:shd w:val="clear" w:color="auto" w:fill="auto"/>
            <w:vAlign w:val="bottom"/>
          </w:tcPr>
          <w:p w14:paraId="2FC5188C" w14:textId="77777777" w:rsidR="00AB4B3A" w:rsidRPr="002D2F67" w:rsidRDefault="00AB4B3A" w:rsidP="005611FE">
            <w:pPr>
              <w:ind w:left="-101"/>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Assets</w:t>
            </w:r>
          </w:p>
        </w:tc>
        <w:tc>
          <w:tcPr>
            <w:tcW w:w="992" w:type="dxa"/>
            <w:shd w:val="clear" w:color="auto" w:fill="auto"/>
            <w:vAlign w:val="bottom"/>
          </w:tcPr>
          <w:p w14:paraId="374B7E17" w14:textId="77777777" w:rsidR="00AB4B3A" w:rsidRPr="002D2F67" w:rsidRDefault="00AB4B3A" w:rsidP="005611FE">
            <w:pPr>
              <w:jc w:val="center"/>
              <w:rPr>
                <w:rFonts w:ascii="Arial" w:eastAsia="Arial Unicode MS" w:hAnsi="Arial" w:cs="Arial"/>
                <w:color w:val="000000"/>
                <w:sz w:val="20"/>
                <w:szCs w:val="20"/>
              </w:rPr>
            </w:pPr>
          </w:p>
        </w:tc>
        <w:tc>
          <w:tcPr>
            <w:tcW w:w="1843" w:type="dxa"/>
            <w:shd w:val="clear" w:color="auto" w:fill="auto"/>
            <w:vAlign w:val="bottom"/>
          </w:tcPr>
          <w:p w14:paraId="6630F9EA" w14:textId="77777777" w:rsidR="00AB4B3A" w:rsidRPr="002D2F67" w:rsidRDefault="00AB4B3A" w:rsidP="005611FE">
            <w:pPr>
              <w:ind w:right="-75"/>
              <w:jc w:val="right"/>
              <w:rPr>
                <w:rFonts w:ascii="Arial" w:eastAsia="Arial Unicode MS" w:hAnsi="Arial" w:cs="Arial"/>
                <w:color w:val="000000"/>
                <w:sz w:val="20"/>
                <w:szCs w:val="20"/>
              </w:rPr>
            </w:pPr>
          </w:p>
        </w:tc>
        <w:tc>
          <w:tcPr>
            <w:tcW w:w="1984" w:type="dxa"/>
            <w:shd w:val="clear" w:color="auto" w:fill="auto"/>
            <w:vAlign w:val="bottom"/>
          </w:tcPr>
          <w:p w14:paraId="7FF083BC" w14:textId="77777777" w:rsidR="00AB4B3A" w:rsidRPr="002D2F67" w:rsidRDefault="00AB4B3A"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48FABB8E" w14:textId="77777777" w:rsidR="00AB4B3A" w:rsidRPr="002D2F67" w:rsidRDefault="00AB4B3A"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55FA24F4" w14:textId="77777777" w:rsidR="00AB4B3A" w:rsidRPr="002D2F67" w:rsidRDefault="00AB4B3A" w:rsidP="005611FE">
            <w:pPr>
              <w:ind w:right="-75"/>
              <w:jc w:val="right"/>
              <w:rPr>
                <w:rFonts w:ascii="Arial" w:eastAsia="Arial Unicode MS" w:hAnsi="Arial" w:cs="Arial"/>
                <w:color w:val="000000"/>
                <w:sz w:val="20"/>
                <w:szCs w:val="20"/>
              </w:rPr>
            </w:pPr>
          </w:p>
        </w:tc>
        <w:tc>
          <w:tcPr>
            <w:tcW w:w="1715" w:type="dxa"/>
            <w:shd w:val="clear" w:color="auto" w:fill="auto"/>
            <w:vAlign w:val="bottom"/>
          </w:tcPr>
          <w:p w14:paraId="786893D5" w14:textId="77777777" w:rsidR="00AB4B3A" w:rsidRPr="002D2F67" w:rsidRDefault="00AB4B3A" w:rsidP="005611FE">
            <w:pPr>
              <w:ind w:right="-75"/>
              <w:jc w:val="right"/>
              <w:rPr>
                <w:rFonts w:ascii="Arial" w:eastAsia="Arial Unicode MS" w:hAnsi="Arial" w:cs="Arial"/>
                <w:color w:val="000000"/>
                <w:sz w:val="20"/>
                <w:szCs w:val="20"/>
              </w:rPr>
            </w:pPr>
          </w:p>
        </w:tc>
      </w:tr>
      <w:tr w:rsidR="00AB4B3A" w:rsidRPr="002D2F67" w14:paraId="5E0C9D66" w14:textId="77777777" w:rsidTr="00C57CB9">
        <w:tc>
          <w:tcPr>
            <w:tcW w:w="4253" w:type="dxa"/>
            <w:shd w:val="clear" w:color="auto" w:fill="auto"/>
            <w:vAlign w:val="bottom"/>
          </w:tcPr>
          <w:p w14:paraId="0E698D5E" w14:textId="77777777" w:rsidR="00AB4B3A" w:rsidRPr="002D2F67" w:rsidRDefault="00AB4B3A" w:rsidP="005611FE">
            <w:pPr>
              <w:ind w:left="-101"/>
              <w:rPr>
                <w:rFonts w:ascii="Arial" w:eastAsia="Arial Unicode MS" w:hAnsi="Arial" w:cs="Arial"/>
                <w:b/>
                <w:bCs/>
                <w:color w:val="000000"/>
                <w:sz w:val="20"/>
                <w:szCs w:val="20"/>
              </w:rPr>
            </w:pPr>
            <w:r w:rsidRPr="002D2F67">
              <w:rPr>
                <w:rFonts w:ascii="Arial" w:eastAsia="Arial Unicode MS" w:hAnsi="Arial" w:cs="Arial"/>
                <w:color w:val="000000"/>
                <w:sz w:val="20"/>
                <w:szCs w:val="20"/>
              </w:rPr>
              <w:t>Financial assets</w:t>
            </w:r>
          </w:p>
        </w:tc>
        <w:tc>
          <w:tcPr>
            <w:tcW w:w="992" w:type="dxa"/>
            <w:shd w:val="clear" w:color="auto" w:fill="auto"/>
            <w:vAlign w:val="bottom"/>
          </w:tcPr>
          <w:p w14:paraId="0260F5AA" w14:textId="77777777" w:rsidR="00AB4B3A" w:rsidRPr="002D2F67" w:rsidRDefault="00AB4B3A" w:rsidP="005611FE">
            <w:pPr>
              <w:jc w:val="center"/>
              <w:rPr>
                <w:rFonts w:ascii="Arial" w:eastAsia="Arial Unicode MS" w:hAnsi="Arial" w:cs="Arial"/>
                <w:color w:val="000000"/>
                <w:sz w:val="20"/>
                <w:szCs w:val="20"/>
              </w:rPr>
            </w:pPr>
          </w:p>
        </w:tc>
        <w:tc>
          <w:tcPr>
            <w:tcW w:w="1843" w:type="dxa"/>
            <w:shd w:val="clear" w:color="auto" w:fill="auto"/>
            <w:vAlign w:val="bottom"/>
          </w:tcPr>
          <w:p w14:paraId="5CBD3C2B" w14:textId="77777777" w:rsidR="00AB4B3A" w:rsidRPr="002D2F67" w:rsidRDefault="00AB4B3A" w:rsidP="005611FE">
            <w:pPr>
              <w:ind w:right="-75"/>
              <w:jc w:val="right"/>
              <w:rPr>
                <w:rFonts w:ascii="Arial" w:eastAsia="Arial Unicode MS" w:hAnsi="Arial" w:cs="Arial"/>
                <w:color w:val="000000"/>
                <w:sz w:val="20"/>
                <w:szCs w:val="20"/>
              </w:rPr>
            </w:pPr>
          </w:p>
        </w:tc>
        <w:tc>
          <w:tcPr>
            <w:tcW w:w="1984" w:type="dxa"/>
            <w:shd w:val="clear" w:color="auto" w:fill="auto"/>
            <w:vAlign w:val="bottom"/>
          </w:tcPr>
          <w:p w14:paraId="62BA2D6A" w14:textId="77777777" w:rsidR="00AB4B3A" w:rsidRPr="002D2F67" w:rsidRDefault="00AB4B3A"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1B6D2CA7" w14:textId="77777777" w:rsidR="00AB4B3A" w:rsidRPr="002D2F67" w:rsidRDefault="00AB4B3A"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4656C0C9" w14:textId="77777777" w:rsidR="00AB4B3A" w:rsidRPr="002D2F67" w:rsidRDefault="00AB4B3A" w:rsidP="005611FE">
            <w:pPr>
              <w:ind w:right="-75"/>
              <w:jc w:val="right"/>
              <w:rPr>
                <w:rFonts w:ascii="Arial" w:eastAsia="Arial Unicode MS" w:hAnsi="Arial" w:cs="Arial"/>
                <w:color w:val="000000"/>
                <w:sz w:val="20"/>
                <w:szCs w:val="20"/>
              </w:rPr>
            </w:pPr>
          </w:p>
        </w:tc>
        <w:tc>
          <w:tcPr>
            <w:tcW w:w="1715" w:type="dxa"/>
            <w:shd w:val="clear" w:color="auto" w:fill="auto"/>
            <w:vAlign w:val="bottom"/>
          </w:tcPr>
          <w:p w14:paraId="092EA8C1" w14:textId="77777777" w:rsidR="00AB4B3A" w:rsidRPr="002D2F67" w:rsidRDefault="00AB4B3A" w:rsidP="005611FE">
            <w:pPr>
              <w:ind w:right="-75"/>
              <w:jc w:val="right"/>
              <w:rPr>
                <w:rFonts w:ascii="Arial" w:eastAsia="Arial Unicode MS" w:hAnsi="Arial" w:cs="Arial"/>
                <w:color w:val="000000"/>
                <w:sz w:val="20"/>
                <w:szCs w:val="20"/>
              </w:rPr>
            </w:pPr>
          </w:p>
        </w:tc>
      </w:tr>
      <w:tr w:rsidR="00AB4B3A" w:rsidRPr="002D2F67" w14:paraId="5C8C7DE2" w14:textId="77777777" w:rsidTr="00C57CB9">
        <w:tc>
          <w:tcPr>
            <w:tcW w:w="4253" w:type="dxa"/>
            <w:shd w:val="clear" w:color="auto" w:fill="auto"/>
            <w:vAlign w:val="bottom"/>
          </w:tcPr>
          <w:p w14:paraId="24FF2F1E" w14:textId="77777777" w:rsidR="00AB4B3A" w:rsidRPr="002D2F67" w:rsidRDefault="00AB4B3A" w:rsidP="005611FE">
            <w:pPr>
              <w:ind w:left="-101"/>
              <w:rPr>
                <w:rFonts w:ascii="Arial" w:eastAsia="Arial Unicode MS" w:hAnsi="Arial" w:cs="Arial"/>
                <w:b/>
                <w:bCs/>
                <w:color w:val="000000"/>
                <w:sz w:val="20"/>
                <w:szCs w:val="20"/>
              </w:rPr>
            </w:pPr>
            <w:r w:rsidRPr="002D2F67">
              <w:rPr>
                <w:rFonts w:ascii="Arial" w:eastAsia="Arial Unicode MS" w:hAnsi="Arial" w:cs="Arial"/>
                <w:color w:val="000000"/>
                <w:sz w:val="20"/>
                <w:szCs w:val="20"/>
              </w:rPr>
              <w:t xml:space="preserve">   - Unlisted equity securities</w:t>
            </w:r>
          </w:p>
        </w:tc>
        <w:tc>
          <w:tcPr>
            <w:tcW w:w="992" w:type="dxa"/>
            <w:shd w:val="clear" w:color="auto" w:fill="auto"/>
            <w:vAlign w:val="bottom"/>
          </w:tcPr>
          <w:p w14:paraId="6CBF5C4D" w14:textId="6EA0751F" w:rsidR="00AB4B3A" w:rsidRPr="002D2F67" w:rsidRDefault="00CD5714" w:rsidP="005611FE">
            <w:pPr>
              <w:jc w:val="center"/>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w:t>
            </w:r>
          </w:p>
        </w:tc>
        <w:tc>
          <w:tcPr>
            <w:tcW w:w="1843" w:type="dxa"/>
            <w:shd w:val="clear" w:color="auto" w:fill="auto"/>
            <w:vAlign w:val="bottom"/>
          </w:tcPr>
          <w:p w14:paraId="0444DDFA" w14:textId="77777777" w:rsidR="00AB4B3A" w:rsidRPr="002D2F67" w:rsidRDefault="00AB4B3A"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984" w:type="dxa"/>
            <w:shd w:val="clear" w:color="auto" w:fill="auto"/>
            <w:vAlign w:val="bottom"/>
          </w:tcPr>
          <w:p w14:paraId="610477CA" w14:textId="5077B1F9"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4</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841</w:t>
            </w:r>
          </w:p>
        </w:tc>
        <w:tc>
          <w:tcPr>
            <w:tcW w:w="1728" w:type="dxa"/>
            <w:shd w:val="clear" w:color="auto" w:fill="auto"/>
            <w:vAlign w:val="bottom"/>
          </w:tcPr>
          <w:p w14:paraId="03747487" w14:textId="77777777" w:rsidR="00AB4B3A" w:rsidRPr="002D2F67" w:rsidRDefault="00AB4B3A"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728" w:type="dxa"/>
            <w:shd w:val="clear" w:color="auto" w:fill="auto"/>
            <w:vAlign w:val="bottom"/>
          </w:tcPr>
          <w:p w14:paraId="25A700FD" w14:textId="0945AF82"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4</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841</w:t>
            </w:r>
          </w:p>
        </w:tc>
        <w:tc>
          <w:tcPr>
            <w:tcW w:w="1715" w:type="dxa"/>
            <w:shd w:val="clear" w:color="auto" w:fill="auto"/>
            <w:vAlign w:val="bottom"/>
          </w:tcPr>
          <w:p w14:paraId="12DDA841" w14:textId="098FD14E"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4</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841</w:t>
            </w:r>
          </w:p>
        </w:tc>
      </w:tr>
      <w:tr w:rsidR="00AB4B3A" w:rsidRPr="002D2F67" w14:paraId="21C9A6D3" w14:textId="77777777" w:rsidTr="00C57CB9">
        <w:tc>
          <w:tcPr>
            <w:tcW w:w="4253" w:type="dxa"/>
            <w:shd w:val="clear" w:color="auto" w:fill="auto"/>
            <w:vAlign w:val="bottom"/>
          </w:tcPr>
          <w:p w14:paraId="14C630C1" w14:textId="77777777" w:rsidR="00AB4B3A" w:rsidRPr="002D2F67" w:rsidRDefault="00AB4B3A" w:rsidP="005611FE">
            <w:pPr>
              <w:ind w:left="-101"/>
              <w:rPr>
                <w:rFonts w:ascii="Arial" w:eastAsia="Arial Unicode MS" w:hAnsi="Arial" w:cs="Arial"/>
                <w:color w:val="000000"/>
                <w:sz w:val="20"/>
                <w:szCs w:val="20"/>
              </w:rPr>
            </w:pPr>
            <w:r w:rsidRPr="002D2F67">
              <w:rPr>
                <w:rFonts w:ascii="Arial" w:eastAsia="Arial Unicode MS" w:hAnsi="Arial" w:cs="Arial"/>
                <w:color w:val="000000"/>
                <w:sz w:val="20"/>
                <w:szCs w:val="20"/>
              </w:rPr>
              <w:t>Long-term loans to related parties</w:t>
            </w:r>
          </w:p>
        </w:tc>
        <w:tc>
          <w:tcPr>
            <w:tcW w:w="992" w:type="dxa"/>
            <w:shd w:val="clear" w:color="auto" w:fill="auto"/>
            <w:vAlign w:val="bottom"/>
          </w:tcPr>
          <w:p w14:paraId="124913F0" w14:textId="51065DA2" w:rsidR="00AB4B3A" w:rsidRPr="002D2F67" w:rsidRDefault="00CD5714" w:rsidP="005611FE">
            <w:pPr>
              <w:jc w:val="center"/>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w:t>
            </w:r>
          </w:p>
        </w:tc>
        <w:tc>
          <w:tcPr>
            <w:tcW w:w="1843" w:type="dxa"/>
            <w:tcBorders>
              <w:bottom w:val="single" w:sz="4" w:space="0" w:color="auto"/>
            </w:tcBorders>
            <w:shd w:val="clear" w:color="auto" w:fill="auto"/>
            <w:vAlign w:val="bottom"/>
          </w:tcPr>
          <w:p w14:paraId="188E9E07" w14:textId="77777777" w:rsidR="00AB4B3A" w:rsidRPr="002D2F67" w:rsidRDefault="00AB4B3A"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984" w:type="dxa"/>
            <w:tcBorders>
              <w:bottom w:val="single" w:sz="4" w:space="0" w:color="auto"/>
            </w:tcBorders>
            <w:shd w:val="clear" w:color="auto" w:fill="auto"/>
            <w:vAlign w:val="bottom"/>
          </w:tcPr>
          <w:p w14:paraId="32514318" w14:textId="77777777" w:rsidR="00AB4B3A" w:rsidRPr="002D2F67" w:rsidRDefault="00AB4B3A"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728" w:type="dxa"/>
            <w:tcBorders>
              <w:bottom w:val="single" w:sz="4" w:space="0" w:color="auto"/>
            </w:tcBorders>
            <w:shd w:val="clear" w:color="auto" w:fill="auto"/>
            <w:vAlign w:val="bottom"/>
          </w:tcPr>
          <w:p w14:paraId="7287AD4F" w14:textId="5C42B0B4"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17</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405</w:t>
            </w:r>
          </w:p>
        </w:tc>
        <w:tc>
          <w:tcPr>
            <w:tcW w:w="1728" w:type="dxa"/>
            <w:tcBorders>
              <w:bottom w:val="single" w:sz="4" w:space="0" w:color="auto"/>
            </w:tcBorders>
            <w:shd w:val="clear" w:color="auto" w:fill="auto"/>
            <w:vAlign w:val="bottom"/>
          </w:tcPr>
          <w:p w14:paraId="5A109560" w14:textId="5F2594DA"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17</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405</w:t>
            </w:r>
          </w:p>
        </w:tc>
        <w:tc>
          <w:tcPr>
            <w:tcW w:w="1715" w:type="dxa"/>
            <w:tcBorders>
              <w:bottom w:val="single" w:sz="4" w:space="0" w:color="auto"/>
            </w:tcBorders>
            <w:shd w:val="clear" w:color="auto" w:fill="auto"/>
            <w:vAlign w:val="bottom"/>
          </w:tcPr>
          <w:p w14:paraId="493F7072" w14:textId="306AC7CE"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18</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727</w:t>
            </w:r>
          </w:p>
        </w:tc>
      </w:tr>
      <w:tr w:rsidR="00AB4B3A" w:rsidRPr="002D2F67" w14:paraId="25766DE3" w14:textId="77777777" w:rsidTr="00C57CB9">
        <w:tc>
          <w:tcPr>
            <w:tcW w:w="4253" w:type="dxa"/>
            <w:shd w:val="clear" w:color="auto" w:fill="auto"/>
            <w:vAlign w:val="bottom"/>
          </w:tcPr>
          <w:p w14:paraId="5011A539" w14:textId="77777777" w:rsidR="00AB4B3A" w:rsidRPr="002D2F67" w:rsidRDefault="00AB4B3A" w:rsidP="005611FE">
            <w:pPr>
              <w:ind w:left="-101"/>
              <w:rPr>
                <w:rFonts w:ascii="Arial" w:eastAsia="Arial Unicode MS" w:hAnsi="Arial" w:cs="Arial"/>
                <w:color w:val="000000"/>
                <w:sz w:val="8"/>
                <w:szCs w:val="8"/>
              </w:rPr>
            </w:pPr>
          </w:p>
        </w:tc>
        <w:tc>
          <w:tcPr>
            <w:tcW w:w="992" w:type="dxa"/>
            <w:shd w:val="clear" w:color="auto" w:fill="auto"/>
            <w:vAlign w:val="bottom"/>
          </w:tcPr>
          <w:p w14:paraId="4FFC5ADE" w14:textId="77777777" w:rsidR="00AB4B3A" w:rsidRPr="002D2F67" w:rsidRDefault="00AB4B3A" w:rsidP="005611FE">
            <w:pPr>
              <w:ind w:left="-101"/>
              <w:rPr>
                <w:rFonts w:ascii="Arial" w:eastAsia="Arial Unicode MS" w:hAnsi="Arial" w:cs="Arial"/>
                <w:color w:val="000000"/>
                <w:sz w:val="8"/>
                <w:szCs w:val="8"/>
              </w:rPr>
            </w:pPr>
          </w:p>
        </w:tc>
        <w:tc>
          <w:tcPr>
            <w:tcW w:w="1843" w:type="dxa"/>
            <w:tcBorders>
              <w:top w:val="single" w:sz="4" w:space="0" w:color="auto"/>
            </w:tcBorders>
            <w:shd w:val="clear" w:color="auto" w:fill="auto"/>
            <w:vAlign w:val="bottom"/>
          </w:tcPr>
          <w:p w14:paraId="1F36C45A" w14:textId="77777777" w:rsidR="00AB4B3A" w:rsidRPr="002D2F67" w:rsidRDefault="00AB4B3A" w:rsidP="005611FE">
            <w:pPr>
              <w:ind w:left="-101"/>
              <w:rPr>
                <w:rFonts w:ascii="Arial" w:eastAsia="Arial Unicode MS" w:hAnsi="Arial" w:cs="Arial"/>
                <w:color w:val="000000"/>
                <w:sz w:val="8"/>
                <w:szCs w:val="8"/>
              </w:rPr>
            </w:pPr>
          </w:p>
        </w:tc>
        <w:tc>
          <w:tcPr>
            <w:tcW w:w="1984" w:type="dxa"/>
            <w:tcBorders>
              <w:top w:val="single" w:sz="4" w:space="0" w:color="auto"/>
            </w:tcBorders>
            <w:shd w:val="clear" w:color="auto" w:fill="auto"/>
            <w:vAlign w:val="bottom"/>
          </w:tcPr>
          <w:p w14:paraId="13177209" w14:textId="77777777" w:rsidR="00AB4B3A" w:rsidRPr="002D2F67" w:rsidRDefault="00AB4B3A" w:rsidP="005611FE">
            <w:pPr>
              <w:ind w:left="-101"/>
              <w:rPr>
                <w:rFonts w:ascii="Arial" w:eastAsia="Arial Unicode MS" w:hAnsi="Arial" w:cs="Arial"/>
                <w:color w:val="000000"/>
                <w:sz w:val="8"/>
                <w:szCs w:val="8"/>
              </w:rPr>
            </w:pPr>
          </w:p>
        </w:tc>
        <w:tc>
          <w:tcPr>
            <w:tcW w:w="1728" w:type="dxa"/>
            <w:tcBorders>
              <w:top w:val="single" w:sz="4" w:space="0" w:color="auto"/>
            </w:tcBorders>
            <w:shd w:val="clear" w:color="auto" w:fill="auto"/>
            <w:vAlign w:val="bottom"/>
          </w:tcPr>
          <w:p w14:paraId="057E85BC" w14:textId="77777777" w:rsidR="00AB4B3A" w:rsidRPr="002D2F67" w:rsidRDefault="00AB4B3A" w:rsidP="005611FE">
            <w:pPr>
              <w:ind w:left="-101"/>
              <w:rPr>
                <w:rFonts w:ascii="Arial" w:eastAsia="Arial Unicode MS" w:hAnsi="Arial" w:cs="Arial"/>
                <w:color w:val="000000"/>
                <w:sz w:val="8"/>
                <w:szCs w:val="8"/>
              </w:rPr>
            </w:pPr>
          </w:p>
        </w:tc>
        <w:tc>
          <w:tcPr>
            <w:tcW w:w="1728" w:type="dxa"/>
            <w:tcBorders>
              <w:top w:val="single" w:sz="4" w:space="0" w:color="auto"/>
            </w:tcBorders>
            <w:shd w:val="clear" w:color="auto" w:fill="auto"/>
            <w:vAlign w:val="bottom"/>
          </w:tcPr>
          <w:p w14:paraId="61DD3531" w14:textId="77777777" w:rsidR="00AB4B3A" w:rsidRPr="002D2F67" w:rsidRDefault="00AB4B3A" w:rsidP="005611FE">
            <w:pPr>
              <w:ind w:left="-101"/>
              <w:rPr>
                <w:rFonts w:ascii="Arial" w:eastAsia="Arial Unicode MS" w:hAnsi="Arial" w:cs="Arial"/>
                <w:color w:val="000000"/>
                <w:sz w:val="8"/>
                <w:szCs w:val="8"/>
              </w:rPr>
            </w:pPr>
          </w:p>
        </w:tc>
        <w:tc>
          <w:tcPr>
            <w:tcW w:w="1715" w:type="dxa"/>
            <w:tcBorders>
              <w:top w:val="single" w:sz="4" w:space="0" w:color="auto"/>
            </w:tcBorders>
            <w:shd w:val="clear" w:color="auto" w:fill="auto"/>
            <w:vAlign w:val="bottom"/>
          </w:tcPr>
          <w:p w14:paraId="7E4E85F8" w14:textId="77777777" w:rsidR="00AB4B3A" w:rsidRPr="002D2F67" w:rsidRDefault="00AB4B3A" w:rsidP="005611FE">
            <w:pPr>
              <w:ind w:left="-101"/>
              <w:rPr>
                <w:rFonts w:ascii="Arial" w:eastAsia="Arial Unicode MS" w:hAnsi="Arial" w:cs="Arial"/>
                <w:color w:val="000000"/>
                <w:sz w:val="8"/>
                <w:szCs w:val="8"/>
              </w:rPr>
            </w:pPr>
          </w:p>
        </w:tc>
      </w:tr>
      <w:tr w:rsidR="00AB4B3A" w:rsidRPr="002D2F67" w14:paraId="3C7EBDD8" w14:textId="77777777" w:rsidTr="00C57CB9">
        <w:tc>
          <w:tcPr>
            <w:tcW w:w="4253" w:type="dxa"/>
            <w:shd w:val="clear" w:color="auto" w:fill="auto"/>
            <w:vAlign w:val="bottom"/>
          </w:tcPr>
          <w:p w14:paraId="4B625B6E" w14:textId="77777777" w:rsidR="00AB4B3A" w:rsidRPr="002D2F67" w:rsidRDefault="00AB4B3A" w:rsidP="005611FE">
            <w:pPr>
              <w:ind w:left="-101"/>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Total assets</w:t>
            </w:r>
          </w:p>
        </w:tc>
        <w:tc>
          <w:tcPr>
            <w:tcW w:w="992" w:type="dxa"/>
            <w:shd w:val="clear" w:color="auto" w:fill="auto"/>
            <w:vAlign w:val="bottom"/>
          </w:tcPr>
          <w:p w14:paraId="175A6D1F" w14:textId="77777777" w:rsidR="00AB4B3A" w:rsidRPr="002D2F67" w:rsidRDefault="00AB4B3A" w:rsidP="005611FE">
            <w:pPr>
              <w:jc w:val="center"/>
              <w:rPr>
                <w:rFonts w:ascii="Arial" w:eastAsia="Arial Unicode MS" w:hAnsi="Arial" w:cs="Arial"/>
                <w:color w:val="000000"/>
                <w:sz w:val="20"/>
                <w:szCs w:val="20"/>
              </w:rPr>
            </w:pPr>
          </w:p>
        </w:tc>
        <w:tc>
          <w:tcPr>
            <w:tcW w:w="1843" w:type="dxa"/>
            <w:tcBorders>
              <w:bottom w:val="single" w:sz="4" w:space="0" w:color="auto"/>
            </w:tcBorders>
            <w:shd w:val="clear" w:color="auto" w:fill="auto"/>
            <w:vAlign w:val="bottom"/>
          </w:tcPr>
          <w:p w14:paraId="0318EFCB" w14:textId="77777777" w:rsidR="00AB4B3A" w:rsidRPr="002D2F67" w:rsidRDefault="00AB4B3A"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984" w:type="dxa"/>
            <w:tcBorders>
              <w:bottom w:val="single" w:sz="4" w:space="0" w:color="auto"/>
            </w:tcBorders>
            <w:shd w:val="clear" w:color="auto" w:fill="auto"/>
            <w:vAlign w:val="bottom"/>
          </w:tcPr>
          <w:p w14:paraId="6EB3F4B1" w14:textId="4617782E"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4</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841</w:t>
            </w:r>
          </w:p>
        </w:tc>
        <w:tc>
          <w:tcPr>
            <w:tcW w:w="1728" w:type="dxa"/>
            <w:tcBorders>
              <w:bottom w:val="single" w:sz="4" w:space="0" w:color="auto"/>
            </w:tcBorders>
            <w:shd w:val="clear" w:color="auto" w:fill="auto"/>
            <w:vAlign w:val="bottom"/>
          </w:tcPr>
          <w:p w14:paraId="08BF221E" w14:textId="6BA82A8E"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17</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405</w:t>
            </w:r>
          </w:p>
        </w:tc>
        <w:tc>
          <w:tcPr>
            <w:tcW w:w="1728" w:type="dxa"/>
            <w:tcBorders>
              <w:bottom w:val="single" w:sz="4" w:space="0" w:color="auto"/>
            </w:tcBorders>
            <w:shd w:val="clear" w:color="auto" w:fill="auto"/>
            <w:vAlign w:val="bottom"/>
          </w:tcPr>
          <w:p w14:paraId="278C8E06" w14:textId="40FD6A1F"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22</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246</w:t>
            </w:r>
          </w:p>
        </w:tc>
        <w:tc>
          <w:tcPr>
            <w:tcW w:w="1715" w:type="dxa"/>
            <w:tcBorders>
              <w:bottom w:val="single" w:sz="4" w:space="0" w:color="auto"/>
            </w:tcBorders>
            <w:shd w:val="clear" w:color="auto" w:fill="auto"/>
            <w:vAlign w:val="bottom"/>
          </w:tcPr>
          <w:p w14:paraId="56314DB3" w14:textId="423F7FA3"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23</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568</w:t>
            </w:r>
          </w:p>
        </w:tc>
      </w:tr>
      <w:tr w:rsidR="00AB4B3A" w:rsidRPr="002D2F67" w14:paraId="55F48437" w14:textId="77777777" w:rsidTr="00C57CB9">
        <w:tc>
          <w:tcPr>
            <w:tcW w:w="4253" w:type="dxa"/>
            <w:shd w:val="clear" w:color="auto" w:fill="auto"/>
            <w:vAlign w:val="bottom"/>
          </w:tcPr>
          <w:p w14:paraId="6545DDEF" w14:textId="77777777" w:rsidR="00AB4B3A" w:rsidRPr="002D2F67" w:rsidRDefault="00AB4B3A" w:rsidP="005611FE">
            <w:pPr>
              <w:ind w:left="-101"/>
              <w:rPr>
                <w:rFonts w:ascii="Arial" w:eastAsia="Arial Unicode MS" w:hAnsi="Arial" w:cs="Arial"/>
                <w:color w:val="000000"/>
                <w:sz w:val="8"/>
                <w:szCs w:val="8"/>
              </w:rPr>
            </w:pPr>
          </w:p>
        </w:tc>
        <w:tc>
          <w:tcPr>
            <w:tcW w:w="992" w:type="dxa"/>
            <w:shd w:val="clear" w:color="auto" w:fill="auto"/>
            <w:vAlign w:val="bottom"/>
          </w:tcPr>
          <w:p w14:paraId="44600B31" w14:textId="77777777" w:rsidR="00AB4B3A" w:rsidRPr="002D2F67" w:rsidRDefault="00AB4B3A" w:rsidP="005611FE">
            <w:pPr>
              <w:ind w:left="-101"/>
              <w:rPr>
                <w:rFonts w:ascii="Arial" w:eastAsia="Arial Unicode MS" w:hAnsi="Arial" w:cs="Arial"/>
                <w:color w:val="000000"/>
                <w:sz w:val="8"/>
                <w:szCs w:val="8"/>
              </w:rPr>
            </w:pPr>
          </w:p>
        </w:tc>
        <w:tc>
          <w:tcPr>
            <w:tcW w:w="1843" w:type="dxa"/>
            <w:tcBorders>
              <w:top w:val="single" w:sz="4" w:space="0" w:color="auto"/>
            </w:tcBorders>
            <w:shd w:val="clear" w:color="auto" w:fill="auto"/>
            <w:vAlign w:val="bottom"/>
          </w:tcPr>
          <w:p w14:paraId="339A29D3" w14:textId="77777777" w:rsidR="00AB4B3A" w:rsidRPr="002D2F67" w:rsidRDefault="00AB4B3A" w:rsidP="005611FE">
            <w:pPr>
              <w:ind w:left="-101"/>
              <w:rPr>
                <w:rFonts w:ascii="Arial" w:eastAsia="Arial Unicode MS" w:hAnsi="Arial" w:cs="Arial"/>
                <w:color w:val="000000"/>
                <w:sz w:val="8"/>
                <w:szCs w:val="8"/>
              </w:rPr>
            </w:pPr>
          </w:p>
        </w:tc>
        <w:tc>
          <w:tcPr>
            <w:tcW w:w="1984" w:type="dxa"/>
            <w:tcBorders>
              <w:top w:val="single" w:sz="4" w:space="0" w:color="auto"/>
            </w:tcBorders>
            <w:shd w:val="clear" w:color="auto" w:fill="auto"/>
            <w:vAlign w:val="bottom"/>
          </w:tcPr>
          <w:p w14:paraId="3C434105" w14:textId="77777777" w:rsidR="00AB4B3A" w:rsidRPr="002D2F67" w:rsidRDefault="00AB4B3A" w:rsidP="005611FE">
            <w:pPr>
              <w:ind w:left="-101"/>
              <w:rPr>
                <w:rFonts w:ascii="Arial" w:eastAsia="Arial Unicode MS" w:hAnsi="Arial" w:cs="Arial"/>
                <w:color w:val="000000"/>
                <w:sz w:val="8"/>
                <w:szCs w:val="8"/>
              </w:rPr>
            </w:pPr>
          </w:p>
        </w:tc>
        <w:tc>
          <w:tcPr>
            <w:tcW w:w="1728" w:type="dxa"/>
            <w:tcBorders>
              <w:top w:val="single" w:sz="4" w:space="0" w:color="auto"/>
            </w:tcBorders>
            <w:shd w:val="clear" w:color="auto" w:fill="auto"/>
            <w:vAlign w:val="bottom"/>
          </w:tcPr>
          <w:p w14:paraId="7B222D96" w14:textId="77777777" w:rsidR="00AB4B3A" w:rsidRPr="002D2F67" w:rsidRDefault="00AB4B3A" w:rsidP="005611FE">
            <w:pPr>
              <w:ind w:left="-101"/>
              <w:rPr>
                <w:rFonts w:ascii="Arial" w:eastAsia="Arial Unicode MS" w:hAnsi="Arial" w:cs="Arial"/>
                <w:color w:val="000000"/>
                <w:sz w:val="8"/>
                <w:szCs w:val="8"/>
              </w:rPr>
            </w:pPr>
          </w:p>
        </w:tc>
        <w:tc>
          <w:tcPr>
            <w:tcW w:w="1728" w:type="dxa"/>
            <w:tcBorders>
              <w:top w:val="single" w:sz="4" w:space="0" w:color="auto"/>
            </w:tcBorders>
            <w:shd w:val="clear" w:color="auto" w:fill="auto"/>
            <w:vAlign w:val="bottom"/>
          </w:tcPr>
          <w:p w14:paraId="693BCC59" w14:textId="77777777" w:rsidR="00AB4B3A" w:rsidRPr="002D2F67" w:rsidRDefault="00AB4B3A" w:rsidP="005611FE">
            <w:pPr>
              <w:ind w:left="-101"/>
              <w:rPr>
                <w:rFonts w:ascii="Arial" w:eastAsia="Arial Unicode MS" w:hAnsi="Arial" w:cs="Arial"/>
                <w:color w:val="000000"/>
                <w:sz w:val="8"/>
                <w:szCs w:val="8"/>
              </w:rPr>
            </w:pPr>
          </w:p>
        </w:tc>
        <w:tc>
          <w:tcPr>
            <w:tcW w:w="1715" w:type="dxa"/>
            <w:tcBorders>
              <w:top w:val="single" w:sz="4" w:space="0" w:color="auto"/>
            </w:tcBorders>
            <w:shd w:val="clear" w:color="auto" w:fill="auto"/>
            <w:vAlign w:val="bottom"/>
          </w:tcPr>
          <w:p w14:paraId="361B7216" w14:textId="77777777" w:rsidR="00AB4B3A" w:rsidRPr="002D2F67" w:rsidRDefault="00AB4B3A" w:rsidP="005611FE">
            <w:pPr>
              <w:ind w:left="-101"/>
              <w:rPr>
                <w:rFonts w:ascii="Arial" w:eastAsia="Arial Unicode MS" w:hAnsi="Arial" w:cs="Arial"/>
                <w:color w:val="000000"/>
                <w:sz w:val="8"/>
                <w:szCs w:val="8"/>
              </w:rPr>
            </w:pPr>
          </w:p>
        </w:tc>
      </w:tr>
      <w:tr w:rsidR="00AB4B3A" w:rsidRPr="002D2F67" w14:paraId="6202CEB7" w14:textId="77777777" w:rsidTr="00C57CB9">
        <w:tc>
          <w:tcPr>
            <w:tcW w:w="4253" w:type="dxa"/>
            <w:shd w:val="clear" w:color="auto" w:fill="auto"/>
            <w:vAlign w:val="bottom"/>
          </w:tcPr>
          <w:p w14:paraId="20812419" w14:textId="77777777" w:rsidR="00AB4B3A" w:rsidRPr="002D2F67" w:rsidRDefault="00AB4B3A" w:rsidP="005611FE">
            <w:pPr>
              <w:ind w:left="-101"/>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Liabilities</w:t>
            </w:r>
          </w:p>
        </w:tc>
        <w:tc>
          <w:tcPr>
            <w:tcW w:w="992" w:type="dxa"/>
            <w:shd w:val="clear" w:color="auto" w:fill="auto"/>
            <w:vAlign w:val="bottom"/>
          </w:tcPr>
          <w:p w14:paraId="15529F10" w14:textId="77777777" w:rsidR="00AB4B3A" w:rsidRPr="002D2F67" w:rsidRDefault="00AB4B3A" w:rsidP="005611FE">
            <w:pPr>
              <w:jc w:val="center"/>
              <w:rPr>
                <w:rFonts w:ascii="Arial" w:eastAsia="Arial Unicode MS" w:hAnsi="Arial" w:cs="Arial"/>
                <w:color w:val="000000"/>
                <w:sz w:val="20"/>
                <w:szCs w:val="20"/>
              </w:rPr>
            </w:pPr>
          </w:p>
        </w:tc>
        <w:tc>
          <w:tcPr>
            <w:tcW w:w="1843" w:type="dxa"/>
            <w:shd w:val="clear" w:color="auto" w:fill="auto"/>
            <w:vAlign w:val="bottom"/>
          </w:tcPr>
          <w:p w14:paraId="1DACE355" w14:textId="77777777" w:rsidR="00AB4B3A" w:rsidRPr="002D2F67" w:rsidRDefault="00AB4B3A" w:rsidP="005611FE">
            <w:pPr>
              <w:ind w:right="-75"/>
              <w:jc w:val="right"/>
              <w:rPr>
                <w:rFonts w:ascii="Arial" w:eastAsia="Arial Unicode MS" w:hAnsi="Arial" w:cs="Arial"/>
                <w:color w:val="000000"/>
                <w:sz w:val="20"/>
                <w:szCs w:val="20"/>
              </w:rPr>
            </w:pPr>
          </w:p>
        </w:tc>
        <w:tc>
          <w:tcPr>
            <w:tcW w:w="1984" w:type="dxa"/>
            <w:shd w:val="clear" w:color="auto" w:fill="auto"/>
            <w:vAlign w:val="bottom"/>
          </w:tcPr>
          <w:p w14:paraId="0C9A0867" w14:textId="77777777" w:rsidR="00AB4B3A" w:rsidRPr="002D2F67" w:rsidRDefault="00AB4B3A"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0C4106B4" w14:textId="77777777" w:rsidR="00AB4B3A" w:rsidRPr="002D2F67" w:rsidRDefault="00AB4B3A"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35AACC1B" w14:textId="77777777" w:rsidR="00AB4B3A" w:rsidRPr="002D2F67" w:rsidRDefault="00AB4B3A" w:rsidP="005611FE">
            <w:pPr>
              <w:ind w:right="-75"/>
              <w:jc w:val="right"/>
              <w:rPr>
                <w:rFonts w:ascii="Arial" w:eastAsia="Arial Unicode MS" w:hAnsi="Arial" w:cs="Arial"/>
                <w:color w:val="000000"/>
                <w:sz w:val="20"/>
                <w:szCs w:val="20"/>
              </w:rPr>
            </w:pPr>
          </w:p>
        </w:tc>
        <w:tc>
          <w:tcPr>
            <w:tcW w:w="1715" w:type="dxa"/>
            <w:shd w:val="clear" w:color="auto" w:fill="auto"/>
            <w:vAlign w:val="bottom"/>
          </w:tcPr>
          <w:p w14:paraId="746501CB" w14:textId="77777777" w:rsidR="00AB4B3A" w:rsidRPr="002D2F67" w:rsidRDefault="00AB4B3A" w:rsidP="005611FE">
            <w:pPr>
              <w:ind w:right="-75"/>
              <w:jc w:val="right"/>
              <w:rPr>
                <w:rFonts w:ascii="Arial" w:eastAsia="Arial Unicode MS" w:hAnsi="Arial" w:cs="Arial"/>
                <w:color w:val="000000"/>
                <w:sz w:val="20"/>
                <w:szCs w:val="20"/>
              </w:rPr>
            </w:pPr>
          </w:p>
        </w:tc>
      </w:tr>
      <w:tr w:rsidR="00AB4B3A" w:rsidRPr="002D2F67" w14:paraId="08C44BAF" w14:textId="77777777" w:rsidTr="00C57CB9">
        <w:tc>
          <w:tcPr>
            <w:tcW w:w="4253" w:type="dxa"/>
            <w:shd w:val="clear" w:color="auto" w:fill="auto"/>
            <w:vAlign w:val="bottom"/>
          </w:tcPr>
          <w:p w14:paraId="20C139FE" w14:textId="77777777" w:rsidR="00AB4B3A" w:rsidRPr="002D2F67" w:rsidRDefault="00AB4B3A" w:rsidP="005611FE">
            <w:pPr>
              <w:ind w:left="-101"/>
              <w:rPr>
                <w:rFonts w:ascii="Arial" w:eastAsia="Arial Unicode MS" w:hAnsi="Arial" w:cs="Arial"/>
                <w:color w:val="000000"/>
                <w:sz w:val="20"/>
                <w:szCs w:val="20"/>
              </w:rPr>
            </w:pPr>
            <w:r w:rsidRPr="002D2F67">
              <w:rPr>
                <w:rFonts w:ascii="Arial" w:eastAsia="Arial Unicode MS" w:hAnsi="Arial" w:cs="Arial"/>
                <w:color w:val="000000"/>
                <w:sz w:val="20"/>
                <w:szCs w:val="20"/>
              </w:rPr>
              <w:t>Long-term loans from financial institutions, net</w:t>
            </w:r>
          </w:p>
        </w:tc>
        <w:tc>
          <w:tcPr>
            <w:tcW w:w="992" w:type="dxa"/>
            <w:shd w:val="clear" w:color="auto" w:fill="auto"/>
            <w:vAlign w:val="bottom"/>
          </w:tcPr>
          <w:p w14:paraId="2FDA9440" w14:textId="1AC69389" w:rsidR="00AB4B3A" w:rsidRPr="002D2F67" w:rsidRDefault="00CD5714" w:rsidP="005611FE">
            <w:pPr>
              <w:jc w:val="center"/>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w:t>
            </w:r>
          </w:p>
        </w:tc>
        <w:tc>
          <w:tcPr>
            <w:tcW w:w="1843" w:type="dxa"/>
            <w:shd w:val="clear" w:color="auto" w:fill="auto"/>
            <w:vAlign w:val="bottom"/>
          </w:tcPr>
          <w:p w14:paraId="6F761FF5" w14:textId="77777777" w:rsidR="00AB4B3A" w:rsidRPr="002D2F67" w:rsidRDefault="00AB4B3A"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984" w:type="dxa"/>
            <w:shd w:val="clear" w:color="auto" w:fill="auto"/>
            <w:vAlign w:val="bottom"/>
          </w:tcPr>
          <w:p w14:paraId="21B4E980" w14:textId="77777777" w:rsidR="00AB4B3A" w:rsidRPr="002D2F67" w:rsidRDefault="00AB4B3A"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728" w:type="dxa"/>
            <w:shd w:val="clear" w:color="auto" w:fill="auto"/>
            <w:vAlign w:val="bottom"/>
          </w:tcPr>
          <w:p w14:paraId="346E91C4" w14:textId="0CE12E00"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174</w:t>
            </w:r>
          </w:p>
        </w:tc>
        <w:tc>
          <w:tcPr>
            <w:tcW w:w="1728" w:type="dxa"/>
            <w:shd w:val="clear" w:color="auto" w:fill="auto"/>
            <w:vAlign w:val="bottom"/>
          </w:tcPr>
          <w:p w14:paraId="10DAE3DF" w14:textId="7D64F242"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174</w:t>
            </w:r>
          </w:p>
        </w:tc>
        <w:tc>
          <w:tcPr>
            <w:tcW w:w="1715" w:type="dxa"/>
            <w:shd w:val="clear" w:color="auto" w:fill="auto"/>
            <w:vAlign w:val="bottom"/>
          </w:tcPr>
          <w:p w14:paraId="3864A96B" w14:textId="2CB041E4"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177</w:t>
            </w:r>
          </w:p>
        </w:tc>
      </w:tr>
      <w:tr w:rsidR="00AB4B3A" w:rsidRPr="002D2F67" w14:paraId="25C0DF27" w14:textId="77777777" w:rsidTr="00C57CB9">
        <w:tc>
          <w:tcPr>
            <w:tcW w:w="4253" w:type="dxa"/>
            <w:shd w:val="clear" w:color="auto" w:fill="auto"/>
            <w:vAlign w:val="bottom"/>
          </w:tcPr>
          <w:p w14:paraId="6D983BEF" w14:textId="77777777" w:rsidR="00AB4B3A" w:rsidRPr="002D2F67" w:rsidRDefault="00AB4B3A" w:rsidP="005611FE">
            <w:pPr>
              <w:ind w:left="-101"/>
              <w:rPr>
                <w:rFonts w:ascii="Arial" w:eastAsia="Arial Unicode MS" w:hAnsi="Arial" w:cs="Arial"/>
                <w:color w:val="000000"/>
                <w:sz w:val="20"/>
                <w:szCs w:val="20"/>
              </w:rPr>
            </w:pPr>
            <w:r w:rsidRPr="002D2F67">
              <w:rPr>
                <w:rFonts w:ascii="Arial" w:eastAsia="Arial Unicode MS" w:hAnsi="Arial" w:cs="Arial"/>
                <w:color w:val="000000"/>
                <w:sz w:val="20"/>
                <w:szCs w:val="20"/>
              </w:rPr>
              <w:t>Derivatives not qualifying as hedge accounting</w:t>
            </w:r>
          </w:p>
        </w:tc>
        <w:tc>
          <w:tcPr>
            <w:tcW w:w="992" w:type="dxa"/>
            <w:shd w:val="clear" w:color="auto" w:fill="auto"/>
            <w:vAlign w:val="bottom"/>
          </w:tcPr>
          <w:p w14:paraId="044024FB" w14:textId="77777777" w:rsidR="00AB4B3A" w:rsidRPr="002D2F67" w:rsidRDefault="00AB4B3A" w:rsidP="005611FE">
            <w:pPr>
              <w:jc w:val="center"/>
              <w:rPr>
                <w:rFonts w:ascii="Arial" w:eastAsia="Arial Unicode MS" w:hAnsi="Arial" w:cs="Arial"/>
                <w:color w:val="000000"/>
                <w:sz w:val="20"/>
                <w:szCs w:val="20"/>
              </w:rPr>
            </w:pPr>
          </w:p>
        </w:tc>
        <w:tc>
          <w:tcPr>
            <w:tcW w:w="1843" w:type="dxa"/>
            <w:shd w:val="clear" w:color="auto" w:fill="auto"/>
            <w:vAlign w:val="bottom"/>
          </w:tcPr>
          <w:p w14:paraId="2BD76D0E" w14:textId="77777777" w:rsidR="00AB4B3A" w:rsidRPr="002D2F67" w:rsidRDefault="00AB4B3A" w:rsidP="005611FE">
            <w:pPr>
              <w:ind w:right="-75"/>
              <w:jc w:val="right"/>
              <w:rPr>
                <w:rFonts w:ascii="Arial" w:eastAsia="Arial Unicode MS" w:hAnsi="Arial" w:cs="Arial"/>
                <w:color w:val="000000"/>
                <w:sz w:val="20"/>
                <w:szCs w:val="20"/>
              </w:rPr>
            </w:pPr>
          </w:p>
        </w:tc>
        <w:tc>
          <w:tcPr>
            <w:tcW w:w="1984" w:type="dxa"/>
            <w:shd w:val="clear" w:color="auto" w:fill="auto"/>
            <w:vAlign w:val="bottom"/>
          </w:tcPr>
          <w:p w14:paraId="027F6A96" w14:textId="77777777" w:rsidR="00AB4B3A" w:rsidRPr="002D2F67" w:rsidRDefault="00AB4B3A"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6D28AE51" w14:textId="77777777" w:rsidR="00AB4B3A" w:rsidRPr="002D2F67" w:rsidRDefault="00AB4B3A" w:rsidP="005611FE">
            <w:pPr>
              <w:ind w:right="-75"/>
              <w:jc w:val="right"/>
              <w:rPr>
                <w:rFonts w:ascii="Arial" w:eastAsia="Arial Unicode MS" w:hAnsi="Arial" w:cs="Arial"/>
                <w:color w:val="000000"/>
                <w:sz w:val="20"/>
                <w:szCs w:val="20"/>
              </w:rPr>
            </w:pPr>
          </w:p>
        </w:tc>
        <w:tc>
          <w:tcPr>
            <w:tcW w:w="1728" w:type="dxa"/>
            <w:shd w:val="clear" w:color="auto" w:fill="auto"/>
            <w:vAlign w:val="bottom"/>
          </w:tcPr>
          <w:p w14:paraId="4CB4519D" w14:textId="77777777" w:rsidR="00AB4B3A" w:rsidRPr="002D2F67" w:rsidRDefault="00AB4B3A" w:rsidP="005611FE">
            <w:pPr>
              <w:ind w:right="-75"/>
              <w:jc w:val="right"/>
              <w:rPr>
                <w:rFonts w:ascii="Arial" w:eastAsia="Arial Unicode MS" w:hAnsi="Arial" w:cs="Arial"/>
                <w:color w:val="000000"/>
                <w:sz w:val="20"/>
                <w:szCs w:val="20"/>
              </w:rPr>
            </w:pPr>
          </w:p>
        </w:tc>
        <w:tc>
          <w:tcPr>
            <w:tcW w:w="1715" w:type="dxa"/>
            <w:shd w:val="clear" w:color="auto" w:fill="auto"/>
            <w:vAlign w:val="bottom"/>
          </w:tcPr>
          <w:p w14:paraId="3CABCC14" w14:textId="77777777" w:rsidR="00AB4B3A" w:rsidRPr="002D2F67" w:rsidRDefault="00AB4B3A" w:rsidP="005611FE">
            <w:pPr>
              <w:ind w:right="-75"/>
              <w:jc w:val="right"/>
              <w:rPr>
                <w:rFonts w:ascii="Arial" w:eastAsia="Arial Unicode MS" w:hAnsi="Arial" w:cs="Arial"/>
                <w:color w:val="000000"/>
                <w:sz w:val="20"/>
                <w:szCs w:val="20"/>
              </w:rPr>
            </w:pPr>
          </w:p>
        </w:tc>
      </w:tr>
      <w:tr w:rsidR="00AB4B3A" w:rsidRPr="002D2F67" w14:paraId="1443AFA5" w14:textId="77777777" w:rsidTr="00C57CB9">
        <w:tc>
          <w:tcPr>
            <w:tcW w:w="4253" w:type="dxa"/>
            <w:shd w:val="clear" w:color="auto" w:fill="auto"/>
            <w:vAlign w:val="bottom"/>
          </w:tcPr>
          <w:p w14:paraId="733DA45F" w14:textId="77777777" w:rsidR="00AB4B3A" w:rsidRPr="002D2F67" w:rsidRDefault="00AB4B3A" w:rsidP="005611FE">
            <w:pPr>
              <w:ind w:left="-101"/>
              <w:rPr>
                <w:rFonts w:ascii="Arial" w:eastAsia="Arial Unicode MS" w:hAnsi="Arial" w:cs="Arial"/>
                <w:color w:val="000000"/>
                <w:sz w:val="20"/>
                <w:szCs w:val="20"/>
              </w:rPr>
            </w:pPr>
            <w:r w:rsidRPr="002D2F67">
              <w:rPr>
                <w:rFonts w:ascii="Arial" w:eastAsia="Arial Unicode MS" w:hAnsi="Arial" w:cs="Arial"/>
                <w:color w:val="000000"/>
                <w:sz w:val="20"/>
                <w:szCs w:val="20"/>
              </w:rPr>
              <w:t xml:space="preserve">   - Cross currency interest rate swap</w:t>
            </w:r>
          </w:p>
        </w:tc>
        <w:tc>
          <w:tcPr>
            <w:tcW w:w="992" w:type="dxa"/>
            <w:shd w:val="clear" w:color="auto" w:fill="auto"/>
            <w:vAlign w:val="bottom"/>
          </w:tcPr>
          <w:p w14:paraId="1ED7BC1C" w14:textId="7E42F76B" w:rsidR="00AB4B3A" w:rsidRPr="002D2F67" w:rsidRDefault="00CD5714" w:rsidP="005611FE">
            <w:pPr>
              <w:jc w:val="center"/>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w:t>
            </w:r>
          </w:p>
        </w:tc>
        <w:tc>
          <w:tcPr>
            <w:tcW w:w="1843" w:type="dxa"/>
            <w:shd w:val="clear" w:color="auto" w:fill="auto"/>
            <w:vAlign w:val="bottom"/>
          </w:tcPr>
          <w:p w14:paraId="555851B7" w14:textId="489401AE"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60</w:t>
            </w:r>
          </w:p>
        </w:tc>
        <w:tc>
          <w:tcPr>
            <w:tcW w:w="1984" w:type="dxa"/>
            <w:shd w:val="clear" w:color="auto" w:fill="auto"/>
            <w:vAlign w:val="bottom"/>
          </w:tcPr>
          <w:p w14:paraId="3843C7A0" w14:textId="77777777" w:rsidR="00AB4B3A" w:rsidRPr="002D2F67" w:rsidRDefault="00AB4B3A"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728" w:type="dxa"/>
            <w:shd w:val="clear" w:color="auto" w:fill="auto"/>
            <w:vAlign w:val="bottom"/>
          </w:tcPr>
          <w:p w14:paraId="1B4E1F6B" w14:textId="77777777" w:rsidR="00AB4B3A" w:rsidRPr="002D2F67" w:rsidRDefault="00AB4B3A"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728" w:type="dxa"/>
            <w:shd w:val="clear" w:color="auto" w:fill="auto"/>
            <w:vAlign w:val="bottom"/>
          </w:tcPr>
          <w:p w14:paraId="1F17FAA1" w14:textId="3E868F94"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60</w:t>
            </w:r>
          </w:p>
        </w:tc>
        <w:tc>
          <w:tcPr>
            <w:tcW w:w="1715" w:type="dxa"/>
            <w:shd w:val="clear" w:color="auto" w:fill="auto"/>
            <w:vAlign w:val="bottom"/>
          </w:tcPr>
          <w:p w14:paraId="75F6B326" w14:textId="47ED7754"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60</w:t>
            </w:r>
          </w:p>
        </w:tc>
      </w:tr>
      <w:tr w:rsidR="00AB4B3A" w:rsidRPr="002D2F67" w14:paraId="1B1E1B60" w14:textId="77777777" w:rsidTr="00C57CB9">
        <w:tc>
          <w:tcPr>
            <w:tcW w:w="4253" w:type="dxa"/>
            <w:shd w:val="clear" w:color="auto" w:fill="auto"/>
            <w:vAlign w:val="bottom"/>
          </w:tcPr>
          <w:p w14:paraId="03B603B8" w14:textId="77777777" w:rsidR="00AB4B3A" w:rsidRPr="002D2F67" w:rsidRDefault="00AB4B3A" w:rsidP="005611FE">
            <w:pPr>
              <w:ind w:left="-101"/>
              <w:rPr>
                <w:rFonts w:ascii="Arial" w:eastAsia="Arial Unicode MS" w:hAnsi="Arial" w:cs="Arial"/>
                <w:color w:val="000000"/>
                <w:sz w:val="20"/>
                <w:szCs w:val="20"/>
              </w:rPr>
            </w:pPr>
            <w:r w:rsidRPr="002D2F67">
              <w:rPr>
                <w:rFonts w:ascii="Arial" w:eastAsia="Arial Unicode MS" w:hAnsi="Arial" w:cs="Arial"/>
                <w:color w:val="000000"/>
                <w:sz w:val="20"/>
                <w:szCs w:val="20"/>
              </w:rPr>
              <w:t>Debentures, net</w:t>
            </w:r>
          </w:p>
        </w:tc>
        <w:tc>
          <w:tcPr>
            <w:tcW w:w="992" w:type="dxa"/>
            <w:shd w:val="clear" w:color="auto" w:fill="auto"/>
            <w:vAlign w:val="bottom"/>
          </w:tcPr>
          <w:p w14:paraId="78B954D9" w14:textId="2025DB8C" w:rsidR="00AB4B3A" w:rsidRPr="002D2F67" w:rsidRDefault="00CD5714" w:rsidP="005611FE">
            <w:pPr>
              <w:jc w:val="center"/>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w:t>
            </w:r>
          </w:p>
        </w:tc>
        <w:tc>
          <w:tcPr>
            <w:tcW w:w="1843" w:type="dxa"/>
            <w:tcBorders>
              <w:bottom w:val="single" w:sz="4" w:space="0" w:color="auto"/>
            </w:tcBorders>
            <w:shd w:val="clear" w:color="auto" w:fill="auto"/>
            <w:vAlign w:val="bottom"/>
          </w:tcPr>
          <w:p w14:paraId="78F91312" w14:textId="77777777" w:rsidR="00AB4B3A" w:rsidRPr="002D2F67" w:rsidRDefault="00AB4B3A"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984" w:type="dxa"/>
            <w:tcBorders>
              <w:bottom w:val="single" w:sz="4" w:space="0" w:color="auto"/>
            </w:tcBorders>
            <w:shd w:val="clear" w:color="auto" w:fill="auto"/>
            <w:vAlign w:val="bottom"/>
          </w:tcPr>
          <w:p w14:paraId="065D9EB1" w14:textId="77777777" w:rsidR="00AB4B3A" w:rsidRPr="002D2F67" w:rsidRDefault="00AB4B3A"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728" w:type="dxa"/>
            <w:tcBorders>
              <w:bottom w:val="single" w:sz="4" w:space="0" w:color="auto"/>
            </w:tcBorders>
            <w:shd w:val="clear" w:color="auto" w:fill="auto"/>
            <w:vAlign w:val="bottom"/>
          </w:tcPr>
          <w:p w14:paraId="509D973C" w14:textId="14BE54DA"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31</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144</w:t>
            </w:r>
          </w:p>
        </w:tc>
        <w:tc>
          <w:tcPr>
            <w:tcW w:w="1728" w:type="dxa"/>
            <w:tcBorders>
              <w:bottom w:val="single" w:sz="4" w:space="0" w:color="auto"/>
            </w:tcBorders>
            <w:shd w:val="clear" w:color="auto" w:fill="auto"/>
            <w:vAlign w:val="bottom"/>
          </w:tcPr>
          <w:p w14:paraId="48BFB5B5" w14:textId="219EB3EE"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31</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144</w:t>
            </w:r>
          </w:p>
        </w:tc>
        <w:tc>
          <w:tcPr>
            <w:tcW w:w="1715" w:type="dxa"/>
            <w:tcBorders>
              <w:bottom w:val="single" w:sz="4" w:space="0" w:color="auto"/>
            </w:tcBorders>
            <w:shd w:val="clear" w:color="auto" w:fill="auto"/>
            <w:vAlign w:val="bottom"/>
          </w:tcPr>
          <w:p w14:paraId="7DAAC395" w14:textId="4D84D0E2"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31</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061</w:t>
            </w:r>
          </w:p>
        </w:tc>
      </w:tr>
      <w:tr w:rsidR="00AB4B3A" w:rsidRPr="002D2F67" w14:paraId="1C07D37F" w14:textId="77777777" w:rsidTr="00C57CB9">
        <w:tc>
          <w:tcPr>
            <w:tcW w:w="4253" w:type="dxa"/>
            <w:shd w:val="clear" w:color="auto" w:fill="auto"/>
            <w:vAlign w:val="bottom"/>
          </w:tcPr>
          <w:p w14:paraId="6D0CE93F" w14:textId="77777777" w:rsidR="00AB4B3A" w:rsidRPr="002D2F67" w:rsidRDefault="00AB4B3A" w:rsidP="005611FE">
            <w:pPr>
              <w:ind w:left="-101"/>
              <w:rPr>
                <w:rFonts w:ascii="Arial" w:eastAsia="Arial Unicode MS" w:hAnsi="Arial" w:cs="Arial"/>
                <w:color w:val="000000"/>
                <w:sz w:val="8"/>
                <w:szCs w:val="8"/>
              </w:rPr>
            </w:pPr>
          </w:p>
        </w:tc>
        <w:tc>
          <w:tcPr>
            <w:tcW w:w="992" w:type="dxa"/>
            <w:shd w:val="clear" w:color="auto" w:fill="auto"/>
            <w:vAlign w:val="bottom"/>
          </w:tcPr>
          <w:p w14:paraId="235CF8A5" w14:textId="77777777" w:rsidR="00AB4B3A" w:rsidRPr="002D2F67" w:rsidRDefault="00AB4B3A" w:rsidP="005611FE">
            <w:pPr>
              <w:ind w:left="-101"/>
              <w:rPr>
                <w:rFonts w:ascii="Arial" w:eastAsia="Arial Unicode MS" w:hAnsi="Arial" w:cs="Arial"/>
                <w:color w:val="000000"/>
                <w:sz w:val="8"/>
                <w:szCs w:val="8"/>
              </w:rPr>
            </w:pPr>
          </w:p>
        </w:tc>
        <w:tc>
          <w:tcPr>
            <w:tcW w:w="1843" w:type="dxa"/>
            <w:tcBorders>
              <w:top w:val="single" w:sz="4" w:space="0" w:color="auto"/>
            </w:tcBorders>
            <w:shd w:val="clear" w:color="auto" w:fill="auto"/>
            <w:vAlign w:val="bottom"/>
          </w:tcPr>
          <w:p w14:paraId="40BB9501" w14:textId="77777777" w:rsidR="00AB4B3A" w:rsidRPr="002D2F67" w:rsidRDefault="00AB4B3A" w:rsidP="005611FE">
            <w:pPr>
              <w:ind w:left="-101"/>
              <w:rPr>
                <w:rFonts w:ascii="Arial" w:eastAsia="Arial Unicode MS" w:hAnsi="Arial" w:cs="Arial"/>
                <w:color w:val="000000"/>
                <w:sz w:val="8"/>
                <w:szCs w:val="8"/>
              </w:rPr>
            </w:pPr>
          </w:p>
        </w:tc>
        <w:tc>
          <w:tcPr>
            <w:tcW w:w="1984" w:type="dxa"/>
            <w:tcBorders>
              <w:top w:val="single" w:sz="4" w:space="0" w:color="auto"/>
            </w:tcBorders>
            <w:shd w:val="clear" w:color="auto" w:fill="auto"/>
            <w:vAlign w:val="bottom"/>
          </w:tcPr>
          <w:p w14:paraId="775010A4" w14:textId="77777777" w:rsidR="00AB4B3A" w:rsidRPr="002D2F67" w:rsidRDefault="00AB4B3A" w:rsidP="005611FE">
            <w:pPr>
              <w:ind w:left="-101"/>
              <w:rPr>
                <w:rFonts w:ascii="Arial" w:eastAsia="Arial Unicode MS" w:hAnsi="Arial" w:cs="Arial"/>
                <w:color w:val="000000"/>
                <w:sz w:val="8"/>
                <w:szCs w:val="8"/>
              </w:rPr>
            </w:pPr>
          </w:p>
        </w:tc>
        <w:tc>
          <w:tcPr>
            <w:tcW w:w="1728" w:type="dxa"/>
            <w:tcBorders>
              <w:top w:val="single" w:sz="4" w:space="0" w:color="auto"/>
            </w:tcBorders>
            <w:shd w:val="clear" w:color="auto" w:fill="auto"/>
            <w:vAlign w:val="bottom"/>
          </w:tcPr>
          <w:p w14:paraId="559B5624" w14:textId="77777777" w:rsidR="00AB4B3A" w:rsidRPr="002D2F67" w:rsidRDefault="00AB4B3A" w:rsidP="005611FE">
            <w:pPr>
              <w:ind w:left="-101"/>
              <w:rPr>
                <w:rFonts w:ascii="Arial" w:eastAsia="Arial Unicode MS" w:hAnsi="Arial" w:cs="Arial"/>
                <w:color w:val="000000"/>
                <w:sz w:val="8"/>
                <w:szCs w:val="8"/>
              </w:rPr>
            </w:pPr>
          </w:p>
        </w:tc>
        <w:tc>
          <w:tcPr>
            <w:tcW w:w="1728" w:type="dxa"/>
            <w:tcBorders>
              <w:top w:val="single" w:sz="4" w:space="0" w:color="auto"/>
            </w:tcBorders>
            <w:shd w:val="clear" w:color="auto" w:fill="auto"/>
            <w:vAlign w:val="bottom"/>
          </w:tcPr>
          <w:p w14:paraId="434498F1" w14:textId="77777777" w:rsidR="00AB4B3A" w:rsidRPr="002D2F67" w:rsidRDefault="00AB4B3A" w:rsidP="005611FE">
            <w:pPr>
              <w:ind w:left="-101"/>
              <w:rPr>
                <w:rFonts w:ascii="Arial" w:eastAsia="Arial Unicode MS" w:hAnsi="Arial" w:cs="Arial"/>
                <w:color w:val="000000"/>
                <w:sz w:val="8"/>
                <w:szCs w:val="8"/>
              </w:rPr>
            </w:pPr>
          </w:p>
        </w:tc>
        <w:tc>
          <w:tcPr>
            <w:tcW w:w="1715" w:type="dxa"/>
            <w:tcBorders>
              <w:top w:val="single" w:sz="4" w:space="0" w:color="auto"/>
            </w:tcBorders>
            <w:shd w:val="clear" w:color="auto" w:fill="auto"/>
            <w:vAlign w:val="bottom"/>
          </w:tcPr>
          <w:p w14:paraId="39AC24AD" w14:textId="77777777" w:rsidR="00AB4B3A" w:rsidRPr="002D2F67" w:rsidRDefault="00AB4B3A" w:rsidP="005611FE">
            <w:pPr>
              <w:ind w:left="-101"/>
              <w:rPr>
                <w:rFonts w:ascii="Arial" w:eastAsia="Arial Unicode MS" w:hAnsi="Arial" w:cs="Arial"/>
                <w:color w:val="000000"/>
                <w:sz w:val="8"/>
                <w:szCs w:val="8"/>
              </w:rPr>
            </w:pPr>
          </w:p>
        </w:tc>
      </w:tr>
      <w:tr w:rsidR="00AB4B3A" w:rsidRPr="002D2F67" w14:paraId="2C3FE36E" w14:textId="77777777" w:rsidTr="00C57CB9">
        <w:tc>
          <w:tcPr>
            <w:tcW w:w="4253" w:type="dxa"/>
            <w:shd w:val="clear" w:color="auto" w:fill="auto"/>
            <w:vAlign w:val="bottom"/>
          </w:tcPr>
          <w:p w14:paraId="73497006" w14:textId="77777777" w:rsidR="00AB4B3A" w:rsidRPr="002D2F67" w:rsidRDefault="00AB4B3A" w:rsidP="005611FE">
            <w:pPr>
              <w:ind w:left="-101"/>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Total liabilities</w:t>
            </w:r>
          </w:p>
        </w:tc>
        <w:tc>
          <w:tcPr>
            <w:tcW w:w="992" w:type="dxa"/>
            <w:shd w:val="clear" w:color="auto" w:fill="auto"/>
            <w:vAlign w:val="bottom"/>
          </w:tcPr>
          <w:p w14:paraId="635B7B8E" w14:textId="77777777" w:rsidR="00AB4B3A" w:rsidRPr="002D2F67" w:rsidRDefault="00AB4B3A" w:rsidP="005611FE">
            <w:pPr>
              <w:jc w:val="center"/>
              <w:rPr>
                <w:rFonts w:ascii="Arial" w:eastAsia="Arial Unicode MS" w:hAnsi="Arial" w:cs="Arial"/>
                <w:color w:val="000000"/>
                <w:sz w:val="20"/>
                <w:szCs w:val="20"/>
              </w:rPr>
            </w:pPr>
          </w:p>
        </w:tc>
        <w:tc>
          <w:tcPr>
            <w:tcW w:w="1843" w:type="dxa"/>
            <w:tcBorders>
              <w:bottom w:val="single" w:sz="4" w:space="0" w:color="auto"/>
            </w:tcBorders>
            <w:shd w:val="clear" w:color="auto" w:fill="auto"/>
            <w:vAlign w:val="bottom"/>
          </w:tcPr>
          <w:p w14:paraId="479FEDA6" w14:textId="08C290D8"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60</w:t>
            </w:r>
          </w:p>
        </w:tc>
        <w:tc>
          <w:tcPr>
            <w:tcW w:w="1984" w:type="dxa"/>
            <w:tcBorders>
              <w:bottom w:val="single" w:sz="4" w:space="0" w:color="auto"/>
            </w:tcBorders>
            <w:shd w:val="clear" w:color="auto" w:fill="auto"/>
            <w:vAlign w:val="bottom"/>
          </w:tcPr>
          <w:p w14:paraId="5D6CC4D5" w14:textId="77777777" w:rsidR="00AB4B3A" w:rsidRPr="002D2F67" w:rsidRDefault="00AB4B3A" w:rsidP="005611FE">
            <w:pPr>
              <w:ind w:right="-75"/>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728" w:type="dxa"/>
            <w:tcBorders>
              <w:bottom w:val="single" w:sz="4" w:space="0" w:color="auto"/>
            </w:tcBorders>
            <w:shd w:val="clear" w:color="auto" w:fill="auto"/>
            <w:vAlign w:val="bottom"/>
          </w:tcPr>
          <w:p w14:paraId="30C7FCD1" w14:textId="271A5D3E"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33</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318</w:t>
            </w:r>
          </w:p>
        </w:tc>
        <w:tc>
          <w:tcPr>
            <w:tcW w:w="1728" w:type="dxa"/>
            <w:tcBorders>
              <w:bottom w:val="single" w:sz="4" w:space="0" w:color="auto"/>
            </w:tcBorders>
            <w:shd w:val="clear" w:color="auto" w:fill="auto"/>
            <w:vAlign w:val="bottom"/>
          </w:tcPr>
          <w:p w14:paraId="033AA4D0" w14:textId="43A9D635"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33</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378</w:t>
            </w:r>
          </w:p>
        </w:tc>
        <w:tc>
          <w:tcPr>
            <w:tcW w:w="1715" w:type="dxa"/>
            <w:tcBorders>
              <w:bottom w:val="single" w:sz="4" w:space="0" w:color="auto"/>
            </w:tcBorders>
            <w:shd w:val="clear" w:color="auto" w:fill="auto"/>
            <w:vAlign w:val="bottom"/>
          </w:tcPr>
          <w:p w14:paraId="7BD16C97" w14:textId="7826968D" w:rsidR="00AB4B3A" w:rsidRPr="002D2F67" w:rsidRDefault="00CD5714" w:rsidP="005611FE">
            <w:pPr>
              <w:ind w:right="-75"/>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33</w:t>
            </w:r>
            <w:r w:rsidR="00AB4B3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298</w:t>
            </w:r>
          </w:p>
        </w:tc>
      </w:tr>
    </w:tbl>
    <w:p w14:paraId="3E686820" w14:textId="77777777" w:rsidR="00917F81" w:rsidRPr="002D2F67" w:rsidRDefault="00917F81" w:rsidP="005611FE">
      <w:pPr>
        <w:ind w:right="36"/>
        <w:rPr>
          <w:rFonts w:ascii="Arial" w:eastAsia="Arial Unicode MS" w:hAnsi="Arial" w:cs="Arial"/>
          <w:color w:val="000000"/>
          <w:sz w:val="20"/>
          <w:szCs w:val="20"/>
        </w:rPr>
        <w:sectPr w:rsidR="00917F81" w:rsidRPr="002D2F67" w:rsidSect="00BC5B63">
          <w:pgSz w:w="16838" w:h="11906" w:orient="landscape" w:code="9"/>
          <w:pgMar w:top="1440" w:right="1296" w:bottom="720" w:left="1296" w:header="706" w:footer="706" w:gutter="0"/>
          <w:cols w:space="720"/>
        </w:sectPr>
      </w:pPr>
    </w:p>
    <w:p w14:paraId="466F74F5" w14:textId="77777777" w:rsidR="00FF408A" w:rsidRPr="002D2F67" w:rsidRDefault="00FF408A" w:rsidP="005611FE">
      <w:pPr>
        <w:rPr>
          <w:rFonts w:ascii="Arial" w:eastAsia="Arial Unicode MS" w:hAnsi="Arial" w:cs="Arial"/>
          <w:color w:val="000000"/>
          <w:sz w:val="18"/>
          <w:szCs w:val="18"/>
        </w:rPr>
      </w:pPr>
    </w:p>
    <w:p w14:paraId="3CE6B2F8" w14:textId="41B74A67" w:rsidR="00FF408A" w:rsidRPr="002D2F67" w:rsidRDefault="00FF408A" w:rsidP="005611FE">
      <w:pPr>
        <w:jc w:val="both"/>
        <w:rPr>
          <w:rFonts w:ascii="Arial" w:eastAsia="Arial Unicode MS" w:hAnsi="Arial" w:cs="Arial"/>
          <w:color w:val="000000"/>
          <w:sz w:val="20"/>
          <w:szCs w:val="20"/>
        </w:rPr>
      </w:pPr>
      <w:r w:rsidRPr="002D2F67">
        <w:rPr>
          <w:rFonts w:ascii="Arial" w:eastAsia="Arial Unicode MS" w:hAnsi="Arial" w:cs="Arial"/>
          <w:color w:val="000000"/>
          <w:spacing w:val="-2"/>
          <w:sz w:val="20"/>
          <w:szCs w:val="20"/>
        </w:rPr>
        <w:t>Fair value of</w:t>
      </w:r>
      <w:r w:rsidR="008B7AEF">
        <w:rPr>
          <w:rFonts w:ascii="Arial" w:eastAsia="Arial Unicode MS" w:hAnsi="Arial" w:cs="Arial"/>
          <w:color w:val="000000"/>
          <w:spacing w:val="-2"/>
          <w:sz w:val="20"/>
          <w:szCs w:val="20"/>
        </w:rPr>
        <w:t xml:space="preserve"> the</w:t>
      </w:r>
      <w:r w:rsidRPr="002D2F67">
        <w:rPr>
          <w:rFonts w:ascii="Arial" w:eastAsia="Arial Unicode MS" w:hAnsi="Arial" w:cs="Arial"/>
          <w:color w:val="000000"/>
          <w:spacing w:val="-2"/>
          <w:sz w:val="20"/>
          <w:szCs w:val="20"/>
        </w:rPr>
        <w:t xml:space="preserve"> following financial assets and liabilities measured at amortised cost where their carrying value approximated</w:t>
      </w:r>
      <w:r w:rsidRPr="002D2F67">
        <w:rPr>
          <w:rFonts w:ascii="Arial" w:eastAsia="Arial Unicode MS" w:hAnsi="Arial" w:cs="Arial"/>
          <w:color w:val="000000"/>
          <w:sz w:val="20"/>
          <w:szCs w:val="20"/>
        </w:rPr>
        <w:t xml:space="preserve"> fair value </w:t>
      </w:r>
      <w:r w:rsidR="00FB11DC" w:rsidRPr="002D2F67">
        <w:rPr>
          <w:rFonts w:ascii="Arial" w:eastAsia="Arial Unicode MS" w:hAnsi="Arial" w:cs="Arial"/>
          <w:color w:val="000000"/>
          <w:sz w:val="20"/>
          <w:szCs w:val="20"/>
        </w:rPr>
        <w:t>wer</w:t>
      </w:r>
      <w:r w:rsidRPr="002D2F67">
        <w:rPr>
          <w:rFonts w:ascii="Arial" w:eastAsia="Arial Unicode MS" w:hAnsi="Arial" w:cs="Arial"/>
          <w:color w:val="000000"/>
          <w:sz w:val="20"/>
          <w:szCs w:val="20"/>
        </w:rPr>
        <w:t>e as follows:</w:t>
      </w:r>
    </w:p>
    <w:p w14:paraId="796CB75F" w14:textId="77777777" w:rsidR="00FF408A" w:rsidRPr="002D2F67" w:rsidRDefault="00FF408A" w:rsidP="005611FE">
      <w:pPr>
        <w:jc w:val="both"/>
        <w:rPr>
          <w:rFonts w:ascii="Arial" w:eastAsia="Arial Unicode MS" w:hAnsi="Arial" w:cs="Arial"/>
          <w:color w:val="000000"/>
          <w:sz w:val="20"/>
          <w:szCs w:val="20"/>
        </w:rPr>
      </w:pPr>
    </w:p>
    <w:tbl>
      <w:tblPr>
        <w:tblW w:w="9490" w:type="dxa"/>
        <w:tblInd w:w="108" w:type="dxa"/>
        <w:tblLook w:val="04A0" w:firstRow="1" w:lastRow="0" w:firstColumn="1" w:lastColumn="0" w:noHBand="0" w:noVBand="1"/>
      </w:tblPr>
      <w:tblGrid>
        <w:gridCol w:w="4590"/>
        <w:gridCol w:w="4900"/>
      </w:tblGrid>
      <w:tr w:rsidR="00FF408A" w:rsidRPr="002D2F67" w14:paraId="4CBBD2D1" w14:textId="77777777" w:rsidTr="008255E8">
        <w:tc>
          <w:tcPr>
            <w:tcW w:w="4590" w:type="dxa"/>
            <w:tcBorders>
              <w:bottom w:val="single" w:sz="4" w:space="0" w:color="auto"/>
            </w:tcBorders>
            <w:shd w:val="clear" w:color="auto" w:fill="auto"/>
          </w:tcPr>
          <w:p w14:paraId="5AC3AB33" w14:textId="77777777" w:rsidR="00FF408A" w:rsidRPr="002D2F67" w:rsidRDefault="00FF408A" w:rsidP="005611FE">
            <w:pPr>
              <w:tabs>
                <w:tab w:val="left" w:pos="161"/>
              </w:tabs>
              <w:spacing w:line="240" w:lineRule="atLeast"/>
              <w:ind w:left="161" w:hanging="233"/>
              <w:jc w:val="center"/>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 xml:space="preserve">Consolidated financial </w:t>
            </w:r>
            <w:r w:rsidR="00685B4E" w:rsidRPr="002D2F67">
              <w:rPr>
                <w:rFonts w:ascii="Arial" w:eastAsia="Arial Unicode MS" w:hAnsi="Arial" w:cs="Arial"/>
                <w:b/>
                <w:bCs/>
                <w:color w:val="000000"/>
                <w:sz w:val="20"/>
                <w:szCs w:val="20"/>
              </w:rPr>
              <w:t>statements</w:t>
            </w:r>
          </w:p>
        </w:tc>
        <w:tc>
          <w:tcPr>
            <w:tcW w:w="4900" w:type="dxa"/>
            <w:tcBorders>
              <w:bottom w:val="single" w:sz="4" w:space="0" w:color="auto"/>
            </w:tcBorders>
            <w:shd w:val="clear" w:color="auto" w:fill="auto"/>
          </w:tcPr>
          <w:p w14:paraId="1F8BAEC1" w14:textId="77777777" w:rsidR="00FF408A" w:rsidRPr="002D2F67" w:rsidRDefault="00FF408A" w:rsidP="005611FE">
            <w:pPr>
              <w:tabs>
                <w:tab w:val="left" w:pos="198"/>
              </w:tabs>
              <w:spacing w:line="240" w:lineRule="atLeast"/>
              <w:ind w:left="198" w:hanging="270"/>
              <w:jc w:val="center"/>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 xml:space="preserve">Separate financial </w:t>
            </w:r>
            <w:r w:rsidR="00685B4E" w:rsidRPr="002D2F67">
              <w:rPr>
                <w:rFonts w:ascii="Arial" w:eastAsia="Arial Unicode MS" w:hAnsi="Arial" w:cs="Arial"/>
                <w:b/>
                <w:bCs/>
                <w:color w:val="000000"/>
                <w:sz w:val="20"/>
                <w:szCs w:val="20"/>
              </w:rPr>
              <w:t>statements</w:t>
            </w:r>
          </w:p>
        </w:tc>
      </w:tr>
      <w:tr w:rsidR="00FF408A" w:rsidRPr="002D2F67" w14:paraId="3A23C80C" w14:textId="77777777" w:rsidTr="005611FE">
        <w:tc>
          <w:tcPr>
            <w:tcW w:w="4590" w:type="dxa"/>
            <w:tcBorders>
              <w:top w:val="single" w:sz="4" w:space="0" w:color="auto"/>
            </w:tcBorders>
            <w:shd w:val="clear" w:color="auto" w:fill="auto"/>
          </w:tcPr>
          <w:p w14:paraId="5C937850" w14:textId="77777777" w:rsidR="00FF408A" w:rsidRPr="002D2F67" w:rsidRDefault="00FF408A" w:rsidP="005611FE">
            <w:pPr>
              <w:tabs>
                <w:tab w:val="left" w:pos="161"/>
              </w:tabs>
              <w:ind w:left="161" w:hanging="233"/>
              <w:rPr>
                <w:rFonts w:ascii="Arial" w:eastAsia="Arial Unicode MS" w:hAnsi="Arial" w:cs="Arial"/>
                <w:b/>
                <w:bCs/>
                <w:color w:val="000000"/>
                <w:sz w:val="18"/>
                <w:szCs w:val="18"/>
              </w:rPr>
            </w:pPr>
          </w:p>
        </w:tc>
        <w:tc>
          <w:tcPr>
            <w:tcW w:w="4900" w:type="dxa"/>
            <w:tcBorders>
              <w:top w:val="single" w:sz="4" w:space="0" w:color="auto"/>
            </w:tcBorders>
            <w:shd w:val="clear" w:color="auto" w:fill="auto"/>
          </w:tcPr>
          <w:p w14:paraId="207B6D7B" w14:textId="77777777" w:rsidR="00FF408A" w:rsidRPr="002D2F67" w:rsidRDefault="00FF408A" w:rsidP="005611FE">
            <w:pPr>
              <w:tabs>
                <w:tab w:val="left" w:pos="198"/>
              </w:tabs>
              <w:ind w:left="198" w:hanging="270"/>
              <w:rPr>
                <w:rFonts w:ascii="Arial" w:eastAsia="Arial Unicode MS" w:hAnsi="Arial" w:cs="Arial"/>
                <w:b/>
                <w:bCs/>
                <w:color w:val="000000"/>
                <w:sz w:val="18"/>
                <w:szCs w:val="18"/>
              </w:rPr>
            </w:pPr>
          </w:p>
        </w:tc>
      </w:tr>
      <w:tr w:rsidR="00FF408A" w:rsidRPr="002D2F67" w14:paraId="4928CE47" w14:textId="77777777" w:rsidTr="005611FE">
        <w:trPr>
          <w:trHeight w:val="45"/>
        </w:trPr>
        <w:tc>
          <w:tcPr>
            <w:tcW w:w="4590" w:type="dxa"/>
            <w:shd w:val="clear" w:color="auto" w:fill="auto"/>
          </w:tcPr>
          <w:p w14:paraId="09BE4F53" w14:textId="77777777" w:rsidR="00FF408A" w:rsidRPr="002D2F67" w:rsidRDefault="00FF408A" w:rsidP="005611FE">
            <w:pPr>
              <w:tabs>
                <w:tab w:val="left" w:pos="161"/>
              </w:tabs>
              <w:ind w:left="-79"/>
              <w:contextualSpacing/>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Financial assets</w:t>
            </w:r>
          </w:p>
        </w:tc>
        <w:tc>
          <w:tcPr>
            <w:tcW w:w="4900" w:type="dxa"/>
            <w:shd w:val="clear" w:color="auto" w:fill="auto"/>
          </w:tcPr>
          <w:p w14:paraId="64F5EA42" w14:textId="77777777" w:rsidR="00FF408A" w:rsidRPr="002D2F67" w:rsidRDefault="00FF408A" w:rsidP="005611FE">
            <w:pPr>
              <w:tabs>
                <w:tab w:val="left" w:pos="198"/>
              </w:tabs>
              <w:ind w:left="-79"/>
              <w:contextualSpacing/>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Financial assets</w:t>
            </w:r>
          </w:p>
        </w:tc>
      </w:tr>
      <w:tr w:rsidR="00FF408A" w:rsidRPr="002D2F67" w14:paraId="7B9FB9D0" w14:textId="77777777" w:rsidTr="005611FE">
        <w:tc>
          <w:tcPr>
            <w:tcW w:w="4590" w:type="dxa"/>
            <w:shd w:val="clear" w:color="auto" w:fill="auto"/>
          </w:tcPr>
          <w:p w14:paraId="3D7E4DA3" w14:textId="77777777" w:rsidR="00FF408A" w:rsidRPr="002D2F67" w:rsidRDefault="00FF408A" w:rsidP="005611FE">
            <w:pPr>
              <w:pStyle w:val="ListParagraph"/>
              <w:numPr>
                <w:ilvl w:val="0"/>
                <w:numId w:val="10"/>
              </w:numPr>
              <w:tabs>
                <w:tab w:val="left" w:pos="161"/>
                <w:tab w:val="left" w:pos="426"/>
              </w:tabs>
              <w:spacing w:after="0" w:line="256" w:lineRule="auto"/>
              <w:ind w:left="161" w:hanging="233"/>
              <w:rPr>
                <w:rFonts w:ascii="Arial" w:hAnsi="Arial" w:cs="Arial"/>
                <w:color w:val="000000"/>
                <w:sz w:val="20"/>
                <w:szCs w:val="20"/>
              </w:rPr>
            </w:pPr>
            <w:r w:rsidRPr="002D2F67">
              <w:rPr>
                <w:rFonts w:ascii="Arial" w:hAnsi="Arial" w:cs="Arial"/>
                <w:color w:val="000000"/>
                <w:sz w:val="20"/>
                <w:szCs w:val="20"/>
              </w:rPr>
              <w:t>Cash and cash equivalents</w:t>
            </w:r>
          </w:p>
        </w:tc>
        <w:tc>
          <w:tcPr>
            <w:tcW w:w="4900" w:type="dxa"/>
            <w:shd w:val="clear" w:color="auto" w:fill="auto"/>
          </w:tcPr>
          <w:p w14:paraId="317549DF" w14:textId="77777777" w:rsidR="00FF408A" w:rsidRPr="002D2F67" w:rsidRDefault="00FF408A" w:rsidP="005611FE">
            <w:pPr>
              <w:pStyle w:val="ListParagraph"/>
              <w:numPr>
                <w:ilvl w:val="0"/>
                <w:numId w:val="10"/>
              </w:numPr>
              <w:tabs>
                <w:tab w:val="left" w:pos="198"/>
                <w:tab w:val="left" w:pos="448"/>
              </w:tabs>
              <w:spacing w:after="0" w:line="256" w:lineRule="auto"/>
              <w:ind w:left="198" w:hanging="270"/>
              <w:rPr>
                <w:rFonts w:ascii="Arial" w:hAnsi="Arial" w:cs="Arial"/>
                <w:color w:val="000000"/>
                <w:sz w:val="20"/>
                <w:szCs w:val="20"/>
              </w:rPr>
            </w:pPr>
            <w:r w:rsidRPr="002D2F67">
              <w:rPr>
                <w:rFonts w:ascii="Arial" w:hAnsi="Arial" w:cs="Arial"/>
                <w:color w:val="000000"/>
                <w:sz w:val="20"/>
                <w:szCs w:val="20"/>
              </w:rPr>
              <w:t>Cash and cash equivalents</w:t>
            </w:r>
            <w:r w:rsidRPr="002D2F67">
              <w:rPr>
                <w:rFonts w:ascii="Arial" w:hAnsi="Arial" w:cs="Arial"/>
                <w:color w:val="000000"/>
                <w:sz w:val="20"/>
                <w:szCs w:val="20"/>
                <w:cs/>
              </w:rPr>
              <w:t xml:space="preserve"> </w:t>
            </w:r>
          </w:p>
        </w:tc>
      </w:tr>
      <w:tr w:rsidR="00FF408A" w:rsidRPr="002D2F67" w14:paraId="6AE17177" w14:textId="77777777" w:rsidTr="005611FE">
        <w:tc>
          <w:tcPr>
            <w:tcW w:w="4590" w:type="dxa"/>
            <w:shd w:val="clear" w:color="auto" w:fill="auto"/>
          </w:tcPr>
          <w:p w14:paraId="39A85D8B" w14:textId="77777777" w:rsidR="00FF408A" w:rsidRPr="002D2F67" w:rsidRDefault="00FF408A" w:rsidP="005611FE">
            <w:pPr>
              <w:pStyle w:val="ListParagraph"/>
              <w:numPr>
                <w:ilvl w:val="0"/>
                <w:numId w:val="10"/>
              </w:numPr>
              <w:tabs>
                <w:tab w:val="left" w:pos="161"/>
                <w:tab w:val="left" w:pos="426"/>
              </w:tabs>
              <w:spacing w:after="0" w:line="256" w:lineRule="auto"/>
              <w:ind w:left="161" w:hanging="233"/>
              <w:rPr>
                <w:rFonts w:ascii="Arial" w:hAnsi="Arial" w:cs="Arial"/>
                <w:color w:val="000000"/>
                <w:spacing w:val="-4"/>
                <w:sz w:val="20"/>
                <w:szCs w:val="20"/>
                <w:cs/>
              </w:rPr>
            </w:pPr>
            <w:r w:rsidRPr="002D2F67">
              <w:rPr>
                <w:rFonts w:ascii="Arial" w:hAnsi="Arial" w:cs="Arial"/>
                <w:color w:val="000000"/>
                <w:spacing w:val="-4"/>
                <w:sz w:val="20"/>
                <w:szCs w:val="20"/>
              </w:rPr>
              <w:t>Deposits at financial institutions used as collateral</w:t>
            </w:r>
          </w:p>
        </w:tc>
        <w:tc>
          <w:tcPr>
            <w:tcW w:w="4900" w:type="dxa"/>
            <w:shd w:val="clear" w:color="auto" w:fill="auto"/>
          </w:tcPr>
          <w:p w14:paraId="0B197671" w14:textId="77777777" w:rsidR="00FF408A" w:rsidRPr="002D2F67" w:rsidRDefault="00FF408A" w:rsidP="005611FE">
            <w:pPr>
              <w:pStyle w:val="ListParagraph"/>
              <w:numPr>
                <w:ilvl w:val="0"/>
                <w:numId w:val="10"/>
              </w:numPr>
              <w:tabs>
                <w:tab w:val="left" w:pos="198"/>
                <w:tab w:val="left" w:pos="448"/>
              </w:tabs>
              <w:spacing w:after="0" w:line="256" w:lineRule="auto"/>
              <w:ind w:left="198" w:hanging="270"/>
              <w:rPr>
                <w:rFonts w:ascii="Arial" w:hAnsi="Arial" w:cs="Arial"/>
                <w:color w:val="000000"/>
                <w:spacing w:val="-4"/>
                <w:sz w:val="20"/>
                <w:szCs w:val="20"/>
              </w:rPr>
            </w:pPr>
            <w:r w:rsidRPr="002D2F67">
              <w:rPr>
                <w:rFonts w:ascii="Arial" w:hAnsi="Arial" w:cs="Arial"/>
                <w:color w:val="000000"/>
                <w:spacing w:val="-4"/>
                <w:sz w:val="20"/>
                <w:szCs w:val="20"/>
              </w:rPr>
              <w:t>Deposits at financial institutions used as collateral</w:t>
            </w:r>
          </w:p>
        </w:tc>
      </w:tr>
      <w:tr w:rsidR="00FF408A" w:rsidRPr="002D2F67" w14:paraId="455B1D5A" w14:textId="77777777" w:rsidTr="005611FE">
        <w:tc>
          <w:tcPr>
            <w:tcW w:w="4590" w:type="dxa"/>
            <w:shd w:val="clear" w:color="auto" w:fill="auto"/>
          </w:tcPr>
          <w:p w14:paraId="65CAC6B5" w14:textId="168724C3" w:rsidR="00FF408A" w:rsidRPr="002D2F67" w:rsidRDefault="00FF408A" w:rsidP="005611FE">
            <w:pPr>
              <w:pStyle w:val="ListParagraph"/>
              <w:numPr>
                <w:ilvl w:val="0"/>
                <w:numId w:val="10"/>
              </w:numPr>
              <w:tabs>
                <w:tab w:val="left" w:pos="161"/>
                <w:tab w:val="left" w:pos="426"/>
              </w:tabs>
              <w:spacing w:after="0" w:line="256" w:lineRule="auto"/>
              <w:ind w:left="161" w:hanging="233"/>
              <w:rPr>
                <w:rFonts w:ascii="Arial" w:hAnsi="Arial" w:cs="Arial"/>
                <w:color w:val="000000"/>
                <w:sz w:val="20"/>
                <w:szCs w:val="20"/>
              </w:rPr>
            </w:pPr>
            <w:r w:rsidRPr="002D2F67">
              <w:rPr>
                <w:rFonts w:ascii="Arial" w:hAnsi="Arial" w:cs="Arial"/>
                <w:color w:val="000000"/>
                <w:sz w:val="20"/>
                <w:szCs w:val="20"/>
              </w:rPr>
              <w:t>Trade accounts receivable</w:t>
            </w:r>
            <w:r w:rsidR="00FC13AE" w:rsidRPr="002D2F67">
              <w:rPr>
                <w:rFonts w:ascii="Arial" w:hAnsi="Arial" w:cs="Arial"/>
                <w:color w:val="000000"/>
                <w:sz w:val="20"/>
                <w:szCs w:val="20"/>
              </w:rPr>
              <w:t>, net</w:t>
            </w:r>
          </w:p>
        </w:tc>
        <w:tc>
          <w:tcPr>
            <w:tcW w:w="4900" w:type="dxa"/>
            <w:shd w:val="clear" w:color="auto" w:fill="auto"/>
          </w:tcPr>
          <w:p w14:paraId="2F35FDEC" w14:textId="74816223" w:rsidR="00FF408A" w:rsidRPr="002D2F67" w:rsidRDefault="00FF408A" w:rsidP="005611FE">
            <w:pPr>
              <w:pStyle w:val="ListParagraph"/>
              <w:numPr>
                <w:ilvl w:val="0"/>
                <w:numId w:val="10"/>
              </w:numPr>
              <w:tabs>
                <w:tab w:val="left" w:pos="198"/>
                <w:tab w:val="left" w:pos="448"/>
              </w:tabs>
              <w:spacing w:after="0" w:line="256" w:lineRule="auto"/>
              <w:ind w:left="198" w:hanging="270"/>
              <w:rPr>
                <w:rFonts w:ascii="Arial" w:hAnsi="Arial" w:cs="Arial"/>
                <w:color w:val="000000"/>
                <w:sz w:val="20"/>
                <w:szCs w:val="20"/>
              </w:rPr>
            </w:pPr>
            <w:r w:rsidRPr="002D2F67">
              <w:rPr>
                <w:rFonts w:ascii="Arial" w:hAnsi="Arial" w:cs="Arial"/>
                <w:color w:val="000000"/>
                <w:sz w:val="20"/>
                <w:szCs w:val="20"/>
              </w:rPr>
              <w:t>Trade accounts receivable</w:t>
            </w:r>
            <w:r w:rsidR="00FC13AE" w:rsidRPr="002D2F67">
              <w:rPr>
                <w:rFonts w:ascii="Arial" w:hAnsi="Arial" w:cs="Arial"/>
                <w:color w:val="000000"/>
                <w:sz w:val="20"/>
                <w:szCs w:val="20"/>
              </w:rPr>
              <w:t>, net</w:t>
            </w:r>
          </w:p>
        </w:tc>
      </w:tr>
      <w:tr w:rsidR="00BE4BB4" w:rsidRPr="002D2F67" w14:paraId="11BF3DC1" w14:textId="77777777" w:rsidTr="005611FE">
        <w:tc>
          <w:tcPr>
            <w:tcW w:w="4590" w:type="dxa"/>
            <w:shd w:val="clear" w:color="auto" w:fill="auto"/>
          </w:tcPr>
          <w:p w14:paraId="5381DEA2" w14:textId="72CFFB14" w:rsidR="00BE4BB4" w:rsidRPr="002D2F67" w:rsidRDefault="004000AD" w:rsidP="005611FE">
            <w:pPr>
              <w:pStyle w:val="ListParagraph"/>
              <w:numPr>
                <w:ilvl w:val="0"/>
                <w:numId w:val="10"/>
              </w:numPr>
              <w:tabs>
                <w:tab w:val="left" w:pos="161"/>
                <w:tab w:val="left" w:pos="426"/>
              </w:tabs>
              <w:spacing w:after="0" w:line="256" w:lineRule="auto"/>
              <w:ind w:left="161" w:hanging="233"/>
              <w:rPr>
                <w:rFonts w:ascii="Arial" w:hAnsi="Arial" w:cs="Arial"/>
                <w:color w:val="000000"/>
                <w:sz w:val="20"/>
                <w:szCs w:val="20"/>
              </w:rPr>
            </w:pPr>
            <w:r w:rsidRPr="002D2F67">
              <w:rPr>
                <w:rFonts w:ascii="Arial" w:hAnsi="Arial" w:cs="Arial"/>
                <w:color w:val="000000"/>
                <w:sz w:val="20"/>
                <w:szCs w:val="20"/>
              </w:rPr>
              <w:t>Instalment receivable</w:t>
            </w:r>
            <w:r w:rsidR="0047445B" w:rsidRPr="002D2F67">
              <w:rPr>
                <w:rFonts w:ascii="Arial" w:hAnsi="Arial" w:cs="Arial"/>
                <w:color w:val="000000"/>
                <w:sz w:val="20"/>
                <w:szCs w:val="20"/>
              </w:rPr>
              <w:t xml:space="preserve"> </w:t>
            </w:r>
            <w:r w:rsidR="000C2722" w:rsidRPr="002D2F67">
              <w:rPr>
                <w:rFonts w:ascii="Arial" w:hAnsi="Arial" w:cs="Arial"/>
                <w:color w:val="000000"/>
                <w:sz w:val="20"/>
                <w:szCs w:val="20"/>
              </w:rPr>
              <w:t>-</w:t>
            </w:r>
            <w:r w:rsidR="0047445B" w:rsidRPr="002D2F67">
              <w:rPr>
                <w:rFonts w:ascii="Arial" w:hAnsi="Arial" w:cs="Arial"/>
                <w:color w:val="000000"/>
                <w:sz w:val="20"/>
                <w:szCs w:val="20"/>
              </w:rPr>
              <w:t xml:space="preserve"> related party</w:t>
            </w:r>
            <w:r w:rsidRPr="002D2F67">
              <w:rPr>
                <w:rFonts w:ascii="Arial" w:hAnsi="Arial" w:cs="Arial"/>
                <w:color w:val="000000"/>
                <w:sz w:val="20"/>
                <w:szCs w:val="20"/>
              </w:rPr>
              <w:t>, net</w:t>
            </w:r>
          </w:p>
        </w:tc>
        <w:tc>
          <w:tcPr>
            <w:tcW w:w="4900" w:type="dxa"/>
            <w:shd w:val="clear" w:color="auto" w:fill="auto"/>
          </w:tcPr>
          <w:p w14:paraId="3846DDFE" w14:textId="55D6461F" w:rsidR="00BE4BB4" w:rsidRPr="002D2F67" w:rsidRDefault="00BE4BB4" w:rsidP="005611FE">
            <w:pPr>
              <w:pStyle w:val="ListParagraph"/>
              <w:numPr>
                <w:ilvl w:val="0"/>
                <w:numId w:val="10"/>
              </w:numPr>
              <w:tabs>
                <w:tab w:val="left" w:pos="198"/>
                <w:tab w:val="left" w:pos="448"/>
              </w:tabs>
              <w:spacing w:after="0" w:line="256" w:lineRule="auto"/>
              <w:ind w:left="198" w:hanging="270"/>
              <w:rPr>
                <w:rFonts w:ascii="Arial" w:hAnsi="Arial" w:cs="Arial"/>
                <w:color w:val="000000"/>
                <w:sz w:val="20"/>
                <w:szCs w:val="20"/>
              </w:rPr>
            </w:pPr>
            <w:r w:rsidRPr="002D2F67">
              <w:rPr>
                <w:rFonts w:ascii="Arial" w:hAnsi="Arial" w:cs="Arial"/>
                <w:color w:val="000000"/>
                <w:sz w:val="20"/>
                <w:szCs w:val="20"/>
              </w:rPr>
              <w:t xml:space="preserve">Other </w:t>
            </w:r>
            <w:r w:rsidR="00FE2349">
              <w:rPr>
                <w:rFonts w:ascii="Arial" w:hAnsi="Arial" w:cs="Arial"/>
                <w:color w:val="000000"/>
                <w:sz w:val="20"/>
                <w:szCs w:val="20"/>
              </w:rPr>
              <w:t>current</w:t>
            </w:r>
            <w:r w:rsidRPr="002D2F67">
              <w:rPr>
                <w:rFonts w:ascii="Arial" w:hAnsi="Arial" w:cs="Arial"/>
                <w:color w:val="000000"/>
                <w:sz w:val="20"/>
                <w:szCs w:val="20"/>
              </w:rPr>
              <w:t xml:space="preserve"> receivable</w:t>
            </w:r>
            <w:r w:rsidR="00FE2349">
              <w:rPr>
                <w:rFonts w:ascii="Arial" w:hAnsi="Arial" w:cs="Arial"/>
                <w:color w:val="000000"/>
                <w:sz w:val="20"/>
                <w:szCs w:val="20"/>
              </w:rPr>
              <w:t>s</w:t>
            </w:r>
            <w:r w:rsidRPr="002D2F67">
              <w:rPr>
                <w:rFonts w:ascii="Arial" w:hAnsi="Arial" w:cs="Arial"/>
                <w:color w:val="000000"/>
                <w:sz w:val="20"/>
                <w:szCs w:val="20"/>
              </w:rPr>
              <w:t>, net</w:t>
            </w:r>
          </w:p>
        </w:tc>
      </w:tr>
      <w:tr w:rsidR="00BE4BB4" w:rsidRPr="002D2F67" w14:paraId="60136008" w14:textId="77777777" w:rsidTr="005611FE">
        <w:tc>
          <w:tcPr>
            <w:tcW w:w="4590" w:type="dxa"/>
            <w:shd w:val="clear" w:color="auto" w:fill="auto"/>
          </w:tcPr>
          <w:p w14:paraId="70B0DED7" w14:textId="1DE38CCA" w:rsidR="00BE4BB4" w:rsidRPr="002D2F67" w:rsidRDefault="008A381F" w:rsidP="005611FE">
            <w:pPr>
              <w:pStyle w:val="ListParagraph"/>
              <w:numPr>
                <w:ilvl w:val="0"/>
                <w:numId w:val="10"/>
              </w:numPr>
              <w:tabs>
                <w:tab w:val="left" w:pos="161"/>
                <w:tab w:val="left" w:pos="426"/>
              </w:tabs>
              <w:spacing w:after="0" w:line="256" w:lineRule="auto"/>
              <w:ind w:left="161" w:hanging="233"/>
              <w:rPr>
                <w:rFonts w:ascii="Arial" w:hAnsi="Arial" w:cs="Arial"/>
                <w:color w:val="000000"/>
                <w:sz w:val="20"/>
                <w:szCs w:val="20"/>
              </w:rPr>
            </w:pPr>
            <w:r w:rsidRPr="002D2F67">
              <w:rPr>
                <w:rFonts w:ascii="Arial" w:hAnsi="Arial" w:cs="Arial"/>
                <w:color w:val="000000"/>
                <w:sz w:val="20"/>
                <w:szCs w:val="20"/>
              </w:rPr>
              <w:t xml:space="preserve">Finance lease receivable, net </w:t>
            </w:r>
          </w:p>
        </w:tc>
        <w:tc>
          <w:tcPr>
            <w:tcW w:w="4900" w:type="dxa"/>
            <w:shd w:val="clear" w:color="auto" w:fill="auto"/>
          </w:tcPr>
          <w:p w14:paraId="4C61D41E" w14:textId="12C1FE8D" w:rsidR="00BE4BB4" w:rsidRPr="002D2F67" w:rsidRDefault="00BE4BB4" w:rsidP="005611FE">
            <w:pPr>
              <w:pStyle w:val="ListParagraph"/>
              <w:numPr>
                <w:ilvl w:val="0"/>
                <w:numId w:val="10"/>
              </w:numPr>
              <w:tabs>
                <w:tab w:val="left" w:pos="198"/>
                <w:tab w:val="left" w:pos="448"/>
              </w:tabs>
              <w:spacing w:after="0" w:line="256" w:lineRule="auto"/>
              <w:ind w:left="198" w:hanging="270"/>
              <w:rPr>
                <w:rFonts w:ascii="Arial" w:hAnsi="Arial" w:cs="Arial"/>
                <w:color w:val="000000"/>
                <w:sz w:val="20"/>
                <w:szCs w:val="20"/>
                <w:cs/>
              </w:rPr>
            </w:pPr>
            <w:r w:rsidRPr="002D2F67">
              <w:rPr>
                <w:rFonts w:ascii="Arial" w:hAnsi="Arial" w:cs="Arial"/>
                <w:color w:val="000000"/>
                <w:sz w:val="20"/>
                <w:szCs w:val="20"/>
              </w:rPr>
              <w:t>Short-term loans to related parties, net</w:t>
            </w:r>
          </w:p>
        </w:tc>
      </w:tr>
      <w:tr w:rsidR="00BB7964" w:rsidRPr="002D2F67" w14:paraId="33E67C37" w14:textId="77777777" w:rsidTr="005611FE">
        <w:tc>
          <w:tcPr>
            <w:tcW w:w="4590" w:type="dxa"/>
            <w:shd w:val="clear" w:color="auto" w:fill="auto"/>
          </w:tcPr>
          <w:p w14:paraId="62580AA4" w14:textId="74F35F59" w:rsidR="00BB7964" w:rsidRPr="002D2F67" w:rsidRDefault="00C240E5" w:rsidP="005611FE">
            <w:pPr>
              <w:pStyle w:val="ListParagraph"/>
              <w:numPr>
                <w:ilvl w:val="0"/>
                <w:numId w:val="10"/>
              </w:numPr>
              <w:tabs>
                <w:tab w:val="left" w:pos="161"/>
                <w:tab w:val="left" w:pos="426"/>
              </w:tabs>
              <w:spacing w:after="0" w:line="256" w:lineRule="auto"/>
              <w:ind w:left="161" w:hanging="233"/>
              <w:rPr>
                <w:rFonts w:ascii="Arial" w:hAnsi="Arial" w:cs="Arial"/>
                <w:color w:val="000000"/>
                <w:sz w:val="20"/>
                <w:szCs w:val="20"/>
              </w:rPr>
            </w:pPr>
            <w:r w:rsidRPr="002D2F67">
              <w:rPr>
                <w:rFonts w:ascii="Arial" w:hAnsi="Arial" w:cs="Arial"/>
                <w:color w:val="000000"/>
                <w:sz w:val="20"/>
                <w:szCs w:val="20"/>
              </w:rPr>
              <w:t xml:space="preserve">Other </w:t>
            </w:r>
            <w:r w:rsidR="008B7AEF">
              <w:rPr>
                <w:rFonts w:ascii="Arial" w:hAnsi="Arial" w:cs="Arial"/>
                <w:color w:val="000000"/>
                <w:sz w:val="20"/>
                <w:szCs w:val="20"/>
              </w:rPr>
              <w:t xml:space="preserve">current </w:t>
            </w:r>
            <w:r w:rsidRPr="002D2F67">
              <w:rPr>
                <w:rFonts w:ascii="Arial" w:hAnsi="Arial" w:cs="Arial"/>
                <w:color w:val="000000"/>
                <w:sz w:val="20"/>
                <w:szCs w:val="20"/>
              </w:rPr>
              <w:t>receivable</w:t>
            </w:r>
            <w:r w:rsidR="008B7AEF">
              <w:rPr>
                <w:rFonts w:ascii="Arial" w:hAnsi="Arial" w:cs="Arial"/>
                <w:color w:val="000000"/>
                <w:sz w:val="20"/>
                <w:szCs w:val="20"/>
              </w:rPr>
              <w:t>s</w:t>
            </w:r>
            <w:r w:rsidRPr="002D2F67">
              <w:rPr>
                <w:rFonts w:ascii="Arial" w:hAnsi="Arial" w:cs="Arial"/>
                <w:color w:val="000000"/>
                <w:sz w:val="20"/>
                <w:szCs w:val="20"/>
              </w:rPr>
              <w:t>, net</w:t>
            </w:r>
          </w:p>
        </w:tc>
        <w:tc>
          <w:tcPr>
            <w:tcW w:w="4900" w:type="dxa"/>
            <w:shd w:val="clear" w:color="auto" w:fill="auto"/>
          </w:tcPr>
          <w:p w14:paraId="669D1975" w14:textId="4D7E3E25" w:rsidR="00BB7964" w:rsidRPr="002D2F67" w:rsidRDefault="00BB7964" w:rsidP="005611FE">
            <w:pPr>
              <w:pStyle w:val="ListParagraph"/>
              <w:numPr>
                <w:ilvl w:val="0"/>
                <w:numId w:val="10"/>
              </w:numPr>
              <w:tabs>
                <w:tab w:val="left" w:pos="198"/>
                <w:tab w:val="left" w:pos="448"/>
              </w:tabs>
              <w:spacing w:after="0" w:line="256" w:lineRule="auto"/>
              <w:ind w:left="198" w:hanging="270"/>
              <w:rPr>
                <w:rFonts w:ascii="Arial" w:hAnsi="Arial" w:cs="Arial"/>
                <w:color w:val="000000"/>
                <w:sz w:val="20"/>
                <w:szCs w:val="20"/>
                <w:cs/>
              </w:rPr>
            </w:pPr>
            <w:r w:rsidRPr="002D2F67">
              <w:rPr>
                <w:rFonts w:ascii="Arial" w:hAnsi="Arial" w:cs="Arial"/>
                <w:color w:val="000000"/>
                <w:sz w:val="20"/>
                <w:szCs w:val="20"/>
              </w:rPr>
              <w:t>Long-term loans to related parties</w:t>
            </w:r>
          </w:p>
        </w:tc>
      </w:tr>
      <w:tr w:rsidR="00BB7964" w:rsidRPr="002D2F67" w14:paraId="3AD2AD80" w14:textId="77777777" w:rsidTr="005611FE">
        <w:tc>
          <w:tcPr>
            <w:tcW w:w="4590" w:type="dxa"/>
            <w:shd w:val="clear" w:color="auto" w:fill="auto"/>
          </w:tcPr>
          <w:p w14:paraId="2C38143C" w14:textId="6869E612" w:rsidR="00BB7964" w:rsidRPr="002D2F67" w:rsidRDefault="00C240E5" w:rsidP="005611FE">
            <w:pPr>
              <w:pStyle w:val="ListParagraph"/>
              <w:numPr>
                <w:ilvl w:val="0"/>
                <w:numId w:val="10"/>
              </w:numPr>
              <w:tabs>
                <w:tab w:val="left" w:pos="161"/>
                <w:tab w:val="left" w:pos="426"/>
              </w:tabs>
              <w:spacing w:after="0" w:line="256" w:lineRule="auto"/>
              <w:ind w:left="161" w:hanging="233"/>
              <w:rPr>
                <w:rFonts w:ascii="Arial" w:hAnsi="Arial" w:cs="Arial"/>
                <w:color w:val="000000"/>
                <w:sz w:val="20"/>
                <w:szCs w:val="20"/>
              </w:rPr>
            </w:pPr>
            <w:r w:rsidRPr="002D2F67">
              <w:rPr>
                <w:rFonts w:ascii="Arial" w:hAnsi="Arial" w:cs="Arial"/>
                <w:color w:val="000000"/>
                <w:sz w:val="20"/>
                <w:szCs w:val="20"/>
              </w:rPr>
              <w:t xml:space="preserve">Short-term loans to </w:t>
            </w:r>
            <w:r w:rsidR="0095708B" w:rsidRPr="002D2F67">
              <w:rPr>
                <w:rFonts w:ascii="Arial" w:hAnsi="Arial" w:cs="Arial"/>
                <w:color w:val="000000"/>
                <w:sz w:val="20"/>
                <w:szCs w:val="20"/>
              </w:rPr>
              <w:t>related</w:t>
            </w:r>
            <w:r w:rsidRPr="002D2F67">
              <w:rPr>
                <w:rFonts w:ascii="Arial" w:hAnsi="Arial" w:cs="Arial"/>
                <w:color w:val="000000"/>
                <w:sz w:val="20"/>
                <w:szCs w:val="20"/>
              </w:rPr>
              <w:t xml:space="preserve"> parties, net</w:t>
            </w:r>
          </w:p>
        </w:tc>
        <w:tc>
          <w:tcPr>
            <w:tcW w:w="4900" w:type="dxa"/>
            <w:shd w:val="clear" w:color="auto" w:fill="auto"/>
          </w:tcPr>
          <w:p w14:paraId="7E6D1BDB" w14:textId="109D14D4" w:rsidR="00BB7964" w:rsidRPr="002D2F67" w:rsidRDefault="00BB7964" w:rsidP="005611FE">
            <w:pPr>
              <w:tabs>
                <w:tab w:val="left" w:pos="198"/>
              </w:tabs>
              <w:spacing w:line="240" w:lineRule="atLeast"/>
              <w:ind w:left="198" w:hanging="270"/>
              <w:rPr>
                <w:rFonts w:ascii="Arial" w:eastAsia="Arial Unicode MS" w:hAnsi="Arial" w:cs="Arial"/>
                <w:color w:val="000000"/>
                <w:sz w:val="20"/>
                <w:szCs w:val="20"/>
              </w:rPr>
            </w:pPr>
            <w:r w:rsidRPr="002D2F67">
              <w:rPr>
                <w:rFonts w:ascii="Arial" w:hAnsi="Arial" w:cs="Arial"/>
                <w:color w:val="000000"/>
                <w:sz w:val="20"/>
                <w:szCs w:val="20"/>
              </w:rPr>
              <w:t xml:space="preserve">   </w:t>
            </w:r>
            <w:r w:rsidR="004000AD" w:rsidRPr="002D2F67">
              <w:rPr>
                <w:rFonts w:ascii="Arial" w:hAnsi="Arial" w:cs="Arial"/>
                <w:color w:val="000000"/>
                <w:sz w:val="20"/>
                <w:szCs w:val="20"/>
              </w:rPr>
              <w:t xml:space="preserve"> </w:t>
            </w:r>
            <w:r w:rsidRPr="002D2F67">
              <w:rPr>
                <w:rFonts w:ascii="Arial" w:hAnsi="Arial" w:cs="Arial"/>
                <w:color w:val="000000"/>
                <w:sz w:val="20"/>
                <w:szCs w:val="20"/>
              </w:rPr>
              <w:t xml:space="preserve">    (floating interest rate)</w:t>
            </w:r>
          </w:p>
        </w:tc>
      </w:tr>
      <w:tr w:rsidR="000D75D5" w:rsidRPr="002D2F67" w14:paraId="4D8F63C5" w14:textId="77777777" w:rsidTr="005611FE">
        <w:tc>
          <w:tcPr>
            <w:tcW w:w="4590" w:type="dxa"/>
            <w:shd w:val="clear" w:color="auto" w:fill="auto"/>
          </w:tcPr>
          <w:p w14:paraId="3F56D49A" w14:textId="7830F85A" w:rsidR="000D75D5" w:rsidRPr="002D2F67" w:rsidRDefault="000D75D5" w:rsidP="005611FE">
            <w:pPr>
              <w:pStyle w:val="ListParagraph"/>
              <w:numPr>
                <w:ilvl w:val="0"/>
                <w:numId w:val="10"/>
              </w:numPr>
              <w:tabs>
                <w:tab w:val="left" w:pos="161"/>
                <w:tab w:val="left" w:pos="605"/>
              </w:tabs>
              <w:spacing w:after="0" w:line="256" w:lineRule="auto"/>
              <w:ind w:left="161" w:hanging="233"/>
              <w:rPr>
                <w:rFonts w:ascii="Arial" w:hAnsi="Arial" w:cs="Arial"/>
                <w:color w:val="000000"/>
                <w:sz w:val="20"/>
                <w:szCs w:val="20"/>
              </w:rPr>
            </w:pPr>
            <w:r w:rsidRPr="002D2F67">
              <w:rPr>
                <w:rFonts w:ascii="Arial" w:hAnsi="Arial" w:cs="Arial"/>
                <w:color w:val="000000"/>
                <w:sz w:val="20"/>
                <w:szCs w:val="20"/>
              </w:rPr>
              <w:t xml:space="preserve">Investments in debt securities measured </w:t>
            </w:r>
            <w:r w:rsidRPr="002D2F67">
              <w:rPr>
                <w:rFonts w:ascii="Arial" w:hAnsi="Arial" w:cs="Arial"/>
                <w:color w:val="000000"/>
                <w:sz w:val="20"/>
                <w:szCs w:val="20"/>
              </w:rPr>
              <w:br/>
              <w:t xml:space="preserve">   at amortised cost</w:t>
            </w:r>
          </w:p>
        </w:tc>
        <w:tc>
          <w:tcPr>
            <w:tcW w:w="4900" w:type="dxa"/>
            <w:shd w:val="clear" w:color="auto" w:fill="auto"/>
          </w:tcPr>
          <w:p w14:paraId="0126EE44" w14:textId="3307937F" w:rsidR="000D75D5" w:rsidRPr="002D2F67" w:rsidRDefault="000D75D5" w:rsidP="005611FE">
            <w:pPr>
              <w:pStyle w:val="ListParagraph"/>
              <w:numPr>
                <w:ilvl w:val="0"/>
                <w:numId w:val="10"/>
              </w:numPr>
              <w:tabs>
                <w:tab w:val="left" w:pos="161"/>
                <w:tab w:val="left" w:pos="426"/>
              </w:tabs>
              <w:spacing w:after="0" w:line="256" w:lineRule="auto"/>
              <w:ind w:left="161" w:hanging="233"/>
              <w:rPr>
                <w:rFonts w:ascii="Arial" w:hAnsi="Arial" w:cs="Arial"/>
                <w:color w:val="000000"/>
                <w:sz w:val="20"/>
                <w:szCs w:val="20"/>
              </w:rPr>
            </w:pPr>
            <w:r w:rsidRPr="002D2F67">
              <w:rPr>
                <w:rFonts w:ascii="Arial" w:hAnsi="Arial" w:cs="Arial"/>
                <w:color w:val="000000"/>
                <w:sz w:val="20"/>
                <w:szCs w:val="20"/>
              </w:rPr>
              <w:t xml:space="preserve">Investments in debt securities measured </w:t>
            </w:r>
            <w:r w:rsidRPr="002D2F67">
              <w:rPr>
                <w:rFonts w:ascii="Arial" w:hAnsi="Arial" w:cs="Arial"/>
                <w:color w:val="000000"/>
                <w:sz w:val="20"/>
                <w:szCs w:val="20"/>
              </w:rPr>
              <w:br/>
              <w:t xml:space="preserve">   at amortised cost</w:t>
            </w:r>
          </w:p>
        </w:tc>
      </w:tr>
      <w:tr w:rsidR="000D75D5" w:rsidRPr="002D2F67" w14:paraId="101A33F6" w14:textId="77777777" w:rsidTr="005611FE">
        <w:tc>
          <w:tcPr>
            <w:tcW w:w="4590" w:type="dxa"/>
            <w:shd w:val="clear" w:color="auto" w:fill="auto"/>
          </w:tcPr>
          <w:p w14:paraId="67BFE8C7" w14:textId="77777777" w:rsidR="000D75D5" w:rsidRPr="002D2F67" w:rsidRDefault="000D75D5" w:rsidP="005611FE">
            <w:pPr>
              <w:tabs>
                <w:tab w:val="left" w:pos="161"/>
              </w:tabs>
              <w:ind w:left="161" w:hanging="233"/>
              <w:rPr>
                <w:rFonts w:ascii="Arial" w:eastAsia="Arial Unicode MS" w:hAnsi="Arial" w:cs="Arial"/>
                <w:b/>
                <w:bCs/>
                <w:color w:val="000000"/>
                <w:sz w:val="20"/>
                <w:szCs w:val="20"/>
              </w:rPr>
            </w:pPr>
          </w:p>
        </w:tc>
        <w:tc>
          <w:tcPr>
            <w:tcW w:w="4900" w:type="dxa"/>
            <w:shd w:val="clear" w:color="auto" w:fill="auto"/>
          </w:tcPr>
          <w:p w14:paraId="485215C6" w14:textId="77777777" w:rsidR="000D75D5" w:rsidRPr="002D2F67" w:rsidRDefault="000D75D5" w:rsidP="005611FE">
            <w:pPr>
              <w:tabs>
                <w:tab w:val="left" w:pos="198"/>
              </w:tabs>
              <w:ind w:left="198" w:hanging="270"/>
              <w:rPr>
                <w:rFonts w:ascii="Arial" w:eastAsia="Arial Unicode MS" w:hAnsi="Arial" w:cs="Arial"/>
                <w:b/>
                <w:bCs/>
                <w:color w:val="000000"/>
                <w:sz w:val="20"/>
                <w:szCs w:val="20"/>
              </w:rPr>
            </w:pPr>
          </w:p>
        </w:tc>
      </w:tr>
      <w:tr w:rsidR="000D75D5" w:rsidRPr="002D2F67" w14:paraId="7C37D4AA" w14:textId="77777777" w:rsidTr="005611FE">
        <w:tc>
          <w:tcPr>
            <w:tcW w:w="4590" w:type="dxa"/>
            <w:shd w:val="clear" w:color="auto" w:fill="auto"/>
          </w:tcPr>
          <w:p w14:paraId="10F357D5" w14:textId="7CC58F7D" w:rsidR="000D75D5" w:rsidRPr="002D2F67" w:rsidRDefault="000D75D5" w:rsidP="005611FE">
            <w:pPr>
              <w:pStyle w:val="ListParagraph"/>
              <w:tabs>
                <w:tab w:val="left" w:pos="448"/>
              </w:tabs>
              <w:spacing w:after="0" w:line="256" w:lineRule="auto"/>
              <w:ind w:left="-78"/>
              <w:rPr>
                <w:rFonts w:ascii="Arial" w:hAnsi="Arial" w:cs="Arial"/>
                <w:color w:val="000000"/>
                <w:sz w:val="20"/>
                <w:szCs w:val="20"/>
              </w:rPr>
            </w:pPr>
            <w:r w:rsidRPr="002D2F67">
              <w:rPr>
                <w:rFonts w:ascii="Arial" w:eastAsia="Arial Unicode MS" w:hAnsi="Arial" w:cs="Arial"/>
                <w:b/>
                <w:bCs/>
                <w:color w:val="000000"/>
                <w:sz w:val="20"/>
                <w:szCs w:val="20"/>
              </w:rPr>
              <w:t>Financial liabilities</w:t>
            </w:r>
          </w:p>
        </w:tc>
        <w:tc>
          <w:tcPr>
            <w:tcW w:w="4900" w:type="dxa"/>
            <w:shd w:val="clear" w:color="auto" w:fill="auto"/>
          </w:tcPr>
          <w:p w14:paraId="627D4E75" w14:textId="16B88872" w:rsidR="000D75D5" w:rsidRPr="002D2F67" w:rsidRDefault="000D75D5" w:rsidP="005611FE">
            <w:pPr>
              <w:pStyle w:val="ListParagraph"/>
              <w:tabs>
                <w:tab w:val="left" w:pos="198"/>
                <w:tab w:val="left" w:pos="448"/>
              </w:tabs>
              <w:spacing w:after="0" w:line="256" w:lineRule="auto"/>
              <w:ind w:left="-78"/>
              <w:rPr>
                <w:rFonts w:ascii="Arial" w:hAnsi="Arial" w:cs="Arial"/>
                <w:color w:val="000000"/>
                <w:sz w:val="20"/>
                <w:szCs w:val="20"/>
              </w:rPr>
            </w:pPr>
            <w:r w:rsidRPr="002D2F67">
              <w:rPr>
                <w:rFonts w:ascii="Arial" w:eastAsia="Arial Unicode MS" w:hAnsi="Arial" w:cs="Arial"/>
                <w:b/>
                <w:bCs/>
                <w:color w:val="000000"/>
                <w:sz w:val="20"/>
                <w:szCs w:val="20"/>
              </w:rPr>
              <w:t>Financial liabilities</w:t>
            </w:r>
          </w:p>
        </w:tc>
      </w:tr>
      <w:tr w:rsidR="000D75D5" w:rsidRPr="002D2F67" w14:paraId="3A7F01F7" w14:textId="77777777" w:rsidTr="005611FE">
        <w:tc>
          <w:tcPr>
            <w:tcW w:w="4590" w:type="dxa"/>
            <w:shd w:val="clear" w:color="auto" w:fill="auto"/>
          </w:tcPr>
          <w:p w14:paraId="04E668C2" w14:textId="5C434FC5" w:rsidR="000D75D5" w:rsidRPr="002D2F67" w:rsidRDefault="000D75D5" w:rsidP="005611FE">
            <w:pPr>
              <w:pStyle w:val="ListParagraph"/>
              <w:numPr>
                <w:ilvl w:val="0"/>
                <w:numId w:val="10"/>
              </w:numPr>
              <w:tabs>
                <w:tab w:val="left" w:pos="161"/>
                <w:tab w:val="left" w:pos="448"/>
              </w:tabs>
              <w:spacing w:after="0" w:line="256" w:lineRule="auto"/>
              <w:ind w:left="161" w:hanging="233"/>
              <w:rPr>
                <w:rFonts w:ascii="Arial" w:hAnsi="Arial" w:cs="Arial"/>
                <w:color w:val="000000"/>
                <w:sz w:val="20"/>
                <w:szCs w:val="20"/>
              </w:rPr>
            </w:pPr>
            <w:r w:rsidRPr="002D2F67">
              <w:rPr>
                <w:rFonts w:ascii="Arial" w:hAnsi="Arial" w:cs="Arial"/>
                <w:color w:val="000000"/>
                <w:sz w:val="20"/>
                <w:szCs w:val="20"/>
              </w:rPr>
              <w:t>Short-term loans from financial institutions, net</w:t>
            </w:r>
          </w:p>
        </w:tc>
        <w:tc>
          <w:tcPr>
            <w:tcW w:w="4900" w:type="dxa"/>
            <w:shd w:val="clear" w:color="auto" w:fill="auto"/>
          </w:tcPr>
          <w:p w14:paraId="164D9CA4" w14:textId="2139F14A" w:rsidR="000D75D5" w:rsidRPr="002D2F67" w:rsidRDefault="000D75D5" w:rsidP="005611FE">
            <w:pPr>
              <w:pStyle w:val="ListParagraph"/>
              <w:numPr>
                <w:ilvl w:val="0"/>
                <w:numId w:val="10"/>
              </w:numPr>
              <w:tabs>
                <w:tab w:val="left" w:pos="198"/>
                <w:tab w:val="left" w:pos="448"/>
              </w:tabs>
              <w:spacing w:after="0" w:line="256" w:lineRule="auto"/>
              <w:ind w:left="198" w:hanging="270"/>
              <w:rPr>
                <w:rFonts w:ascii="Arial" w:hAnsi="Arial" w:cs="Arial"/>
                <w:color w:val="000000"/>
                <w:sz w:val="20"/>
                <w:szCs w:val="20"/>
              </w:rPr>
            </w:pPr>
            <w:r w:rsidRPr="002D2F67">
              <w:rPr>
                <w:rFonts w:ascii="Arial" w:hAnsi="Arial" w:cs="Arial"/>
                <w:color w:val="000000"/>
                <w:sz w:val="20"/>
                <w:szCs w:val="20"/>
              </w:rPr>
              <w:t>Short-term loans from financial institutions, net</w:t>
            </w:r>
          </w:p>
        </w:tc>
      </w:tr>
      <w:tr w:rsidR="000D75D5" w:rsidRPr="002D2F67" w14:paraId="3567433A" w14:textId="77777777" w:rsidTr="005611FE">
        <w:tc>
          <w:tcPr>
            <w:tcW w:w="4590" w:type="dxa"/>
            <w:shd w:val="clear" w:color="auto" w:fill="auto"/>
          </w:tcPr>
          <w:p w14:paraId="357B3806" w14:textId="4429EAA8" w:rsidR="000D75D5" w:rsidRPr="002D2F67" w:rsidRDefault="000D75D5" w:rsidP="005611FE">
            <w:pPr>
              <w:pStyle w:val="ListParagraph"/>
              <w:numPr>
                <w:ilvl w:val="0"/>
                <w:numId w:val="10"/>
              </w:numPr>
              <w:tabs>
                <w:tab w:val="left" w:pos="161"/>
                <w:tab w:val="left" w:pos="448"/>
              </w:tabs>
              <w:spacing w:after="0" w:line="256" w:lineRule="auto"/>
              <w:ind w:left="161" w:hanging="233"/>
              <w:rPr>
                <w:rFonts w:ascii="Arial" w:hAnsi="Arial" w:cs="Arial"/>
                <w:color w:val="000000"/>
                <w:sz w:val="20"/>
                <w:szCs w:val="20"/>
              </w:rPr>
            </w:pPr>
            <w:r w:rsidRPr="002D2F67">
              <w:rPr>
                <w:rFonts w:ascii="Arial" w:hAnsi="Arial" w:cs="Arial"/>
                <w:color w:val="000000"/>
                <w:sz w:val="20"/>
                <w:szCs w:val="20"/>
              </w:rPr>
              <w:t>Trade accounts payable</w:t>
            </w:r>
          </w:p>
        </w:tc>
        <w:tc>
          <w:tcPr>
            <w:tcW w:w="4900" w:type="dxa"/>
            <w:shd w:val="clear" w:color="auto" w:fill="auto"/>
          </w:tcPr>
          <w:p w14:paraId="5321091B" w14:textId="06289443" w:rsidR="000D75D5" w:rsidRPr="002D2F67" w:rsidRDefault="000D75D5" w:rsidP="005611FE">
            <w:pPr>
              <w:pStyle w:val="ListParagraph"/>
              <w:numPr>
                <w:ilvl w:val="0"/>
                <w:numId w:val="10"/>
              </w:numPr>
              <w:tabs>
                <w:tab w:val="left" w:pos="198"/>
                <w:tab w:val="left" w:pos="448"/>
              </w:tabs>
              <w:spacing w:after="0" w:line="256" w:lineRule="auto"/>
              <w:ind w:left="198" w:hanging="270"/>
              <w:rPr>
                <w:rFonts w:ascii="Arial" w:hAnsi="Arial" w:cs="Arial"/>
                <w:color w:val="000000"/>
                <w:sz w:val="20"/>
                <w:szCs w:val="20"/>
              </w:rPr>
            </w:pPr>
            <w:r w:rsidRPr="002D2F67">
              <w:rPr>
                <w:rFonts w:ascii="Arial" w:hAnsi="Arial" w:cs="Arial"/>
                <w:color w:val="000000"/>
                <w:sz w:val="20"/>
                <w:szCs w:val="20"/>
              </w:rPr>
              <w:t>Trade accounts payable</w:t>
            </w:r>
          </w:p>
        </w:tc>
      </w:tr>
      <w:tr w:rsidR="000D75D5" w:rsidRPr="002D2F67" w14:paraId="0C38834E" w14:textId="77777777" w:rsidTr="005611FE">
        <w:tc>
          <w:tcPr>
            <w:tcW w:w="4590" w:type="dxa"/>
            <w:shd w:val="clear" w:color="auto" w:fill="auto"/>
          </w:tcPr>
          <w:p w14:paraId="3FB0C54C" w14:textId="4395DA44" w:rsidR="000D75D5" w:rsidRPr="002D2F67" w:rsidRDefault="000D75D5" w:rsidP="005611FE">
            <w:pPr>
              <w:pStyle w:val="ListParagraph"/>
              <w:numPr>
                <w:ilvl w:val="0"/>
                <w:numId w:val="10"/>
              </w:numPr>
              <w:tabs>
                <w:tab w:val="left" w:pos="161"/>
                <w:tab w:val="left" w:pos="448"/>
              </w:tabs>
              <w:spacing w:after="0" w:line="256" w:lineRule="auto"/>
              <w:ind w:left="161" w:hanging="233"/>
              <w:rPr>
                <w:rFonts w:ascii="Arial" w:hAnsi="Arial" w:cs="Arial"/>
                <w:color w:val="000000"/>
                <w:sz w:val="20"/>
                <w:szCs w:val="20"/>
              </w:rPr>
            </w:pPr>
            <w:r w:rsidRPr="002D2F67">
              <w:rPr>
                <w:rFonts w:ascii="Arial" w:hAnsi="Arial" w:cs="Arial"/>
                <w:color w:val="000000"/>
                <w:sz w:val="20"/>
                <w:szCs w:val="20"/>
              </w:rPr>
              <w:t xml:space="preserve">Other </w:t>
            </w:r>
            <w:r w:rsidR="00960409" w:rsidRPr="002D2F67">
              <w:rPr>
                <w:rFonts w:ascii="Arial" w:hAnsi="Arial" w:cs="Arial"/>
                <w:color w:val="000000"/>
                <w:sz w:val="20"/>
                <w:szCs w:val="20"/>
              </w:rPr>
              <w:t xml:space="preserve">current </w:t>
            </w:r>
            <w:r w:rsidRPr="002D2F67">
              <w:rPr>
                <w:rFonts w:ascii="Arial" w:hAnsi="Arial" w:cs="Arial"/>
                <w:color w:val="000000"/>
                <w:sz w:val="20"/>
                <w:szCs w:val="20"/>
              </w:rPr>
              <w:t>payable</w:t>
            </w:r>
            <w:r w:rsidR="003C2C7F">
              <w:rPr>
                <w:rFonts w:ascii="Arial" w:hAnsi="Arial" w:cs="Arial"/>
                <w:color w:val="000000"/>
                <w:sz w:val="20"/>
                <w:szCs w:val="20"/>
              </w:rPr>
              <w:t>s</w:t>
            </w:r>
          </w:p>
        </w:tc>
        <w:tc>
          <w:tcPr>
            <w:tcW w:w="4900" w:type="dxa"/>
            <w:shd w:val="clear" w:color="auto" w:fill="auto"/>
          </w:tcPr>
          <w:p w14:paraId="7B8DDBDC" w14:textId="50483226" w:rsidR="000D75D5" w:rsidRPr="002D2F67" w:rsidRDefault="000D75D5" w:rsidP="005611FE">
            <w:pPr>
              <w:pStyle w:val="ListParagraph"/>
              <w:numPr>
                <w:ilvl w:val="0"/>
                <w:numId w:val="10"/>
              </w:numPr>
              <w:tabs>
                <w:tab w:val="left" w:pos="198"/>
                <w:tab w:val="left" w:pos="448"/>
              </w:tabs>
              <w:spacing w:after="0" w:line="256" w:lineRule="auto"/>
              <w:ind w:left="198" w:hanging="270"/>
              <w:rPr>
                <w:rFonts w:ascii="Arial" w:hAnsi="Arial" w:cs="Arial"/>
                <w:color w:val="000000"/>
                <w:sz w:val="20"/>
                <w:szCs w:val="20"/>
              </w:rPr>
            </w:pPr>
            <w:r w:rsidRPr="002D2F67">
              <w:rPr>
                <w:rFonts w:ascii="Arial" w:hAnsi="Arial" w:cs="Arial"/>
                <w:color w:val="000000"/>
                <w:sz w:val="20"/>
                <w:szCs w:val="20"/>
              </w:rPr>
              <w:t xml:space="preserve">Other </w:t>
            </w:r>
            <w:r w:rsidR="00960409" w:rsidRPr="002D2F67">
              <w:rPr>
                <w:rFonts w:ascii="Arial" w:hAnsi="Arial" w:cs="Arial"/>
                <w:color w:val="000000"/>
                <w:sz w:val="20"/>
                <w:szCs w:val="20"/>
              </w:rPr>
              <w:t xml:space="preserve">current </w:t>
            </w:r>
            <w:r w:rsidR="003C2C7F">
              <w:rPr>
                <w:rFonts w:ascii="Arial" w:hAnsi="Arial" w:cs="Arial"/>
                <w:color w:val="000000"/>
                <w:sz w:val="20"/>
                <w:szCs w:val="20"/>
              </w:rPr>
              <w:t>p</w:t>
            </w:r>
            <w:r w:rsidRPr="002D2F67">
              <w:rPr>
                <w:rFonts w:ascii="Arial" w:hAnsi="Arial" w:cs="Arial"/>
                <w:color w:val="000000"/>
                <w:sz w:val="20"/>
                <w:szCs w:val="20"/>
              </w:rPr>
              <w:t>ayable</w:t>
            </w:r>
            <w:r w:rsidR="003C2C7F">
              <w:rPr>
                <w:rFonts w:ascii="Arial" w:hAnsi="Arial" w:cs="Arial"/>
                <w:color w:val="000000"/>
                <w:sz w:val="20"/>
                <w:szCs w:val="20"/>
              </w:rPr>
              <w:t>s</w:t>
            </w:r>
          </w:p>
        </w:tc>
      </w:tr>
      <w:tr w:rsidR="000D75D5" w:rsidRPr="002D2F67" w14:paraId="231B835A" w14:textId="77777777" w:rsidTr="005611FE">
        <w:tc>
          <w:tcPr>
            <w:tcW w:w="4590" w:type="dxa"/>
            <w:shd w:val="clear" w:color="auto" w:fill="auto"/>
          </w:tcPr>
          <w:p w14:paraId="558AC98F" w14:textId="5028911B" w:rsidR="000D75D5" w:rsidRPr="002D2F67" w:rsidRDefault="000D75D5" w:rsidP="005611FE">
            <w:pPr>
              <w:pStyle w:val="ListParagraph"/>
              <w:numPr>
                <w:ilvl w:val="0"/>
                <w:numId w:val="10"/>
              </w:numPr>
              <w:tabs>
                <w:tab w:val="left" w:pos="161"/>
                <w:tab w:val="left" w:pos="448"/>
              </w:tabs>
              <w:spacing w:after="0" w:line="256" w:lineRule="auto"/>
              <w:ind w:left="161" w:hanging="233"/>
              <w:rPr>
                <w:rFonts w:ascii="Arial" w:hAnsi="Arial" w:cs="Arial"/>
                <w:color w:val="000000"/>
                <w:sz w:val="20"/>
                <w:szCs w:val="20"/>
              </w:rPr>
            </w:pPr>
            <w:r w:rsidRPr="002D2F67">
              <w:rPr>
                <w:rFonts w:ascii="Arial" w:hAnsi="Arial" w:cs="Arial"/>
                <w:color w:val="000000"/>
                <w:sz w:val="20"/>
                <w:szCs w:val="20"/>
              </w:rPr>
              <w:t>Construction payables and payables</w:t>
            </w:r>
          </w:p>
        </w:tc>
        <w:tc>
          <w:tcPr>
            <w:tcW w:w="4900" w:type="dxa"/>
            <w:shd w:val="clear" w:color="auto" w:fill="auto"/>
          </w:tcPr>
          <w:p w14:paraId="48634359" w14:textId="7FA71147" w:rsidR="000D75D5" w:rsidRPr="002D2F67" w:rsidRDefault="000D75D5" w:rsidP="005611FE">
            <w:pPr>
              <w:pStyle w:val="ListParagraph"/>
              <w:numPr>
                <w:ilvl w:val="0"/>
                <w:numId w:val="10"/>
              </w:numPr>
              <w:tabs>
                <w:tab w:val="left" w:pos="198"/>
                <w:tab w:val="left" w:pos="448"/>
              </w:tabs>
              <w:spacing w:after="0" w:line="256" w:lineRule="auto"/>
              <w:ind w:left="198" w:hanging="270"/>
              <w:rPr>
                <w:rFonts w:ascii="Arial" w:hAnsi="Arial" w:cs="Arial"/>
                <w:color w:val="000000"/>
                <w:sz w:val="20"/>
                <w:szCs w:val="20"/>
                <w:cs/>
              </w:rPr>
            </w:pPr>
            <w:r w:rsidRPr="002D2F67">
              <w:rPr>
                <w:rFonts w:ascii="Arial" w:hAnsi="Arial" w:cs="Arial"/>
                <w:color w:val="000000"/>
                <w:sz w:val="20"/>
                <w:szCs w:val="20"/>
              </w:rPr>
              <w:t>Short-term loans from related parties</w:t>
            </w:r>
          </w:p>
        </w:tc>
      </w:tr>
      <w:tr w:rsidR="000D75D5" w:rsidRPr="002D2F67" w14:paraId="367BDA65" w14:textId="77777777" w:rsidTr="005611FE">
        <w:tc>
          <w:tcPr>
            <w:tcW w:w="4590" w:type="dxa"/>
            <w:shd w:val="clear" w:color="auto" w:fill="auto"/>
          </w:tcPr>
          <w:p w14:paraId="4719D851" w14:textId="069499C9" w:rsidR="000D75D5" w:rsidRPr="002D2F67" w:rsidRDefault="000D75D5" w:rsidP="005611FE">
            <w:pPr>
              <w:pStyle w:val="ListParagraph"/>
              <w:tabs>
                <w:tab w:val="left" w:pos="161"/>
                <w:tab w:val="left" w:pos="448"/>
              </w:tabs>
              <w:spacing w:after="0" w:line="256" w:lineRule="auto"/>
              <w:ind w:left="0"/>
              <w:rPr>
                <w:rFonts w:ascii="Arial" w:hAnsi="Arial" w:cs="Arial"/>
                <w:color w:val="000000"/>
                <w:sz w:val="20"/>
                <w:szCs w:val="20"/>
              </w:rPr>
            </w:pPr>
            <w:r w:rsidRPr="002D2F67">
              <w:rPr>
                <w:rFonts w:ascii="Arial" w:hAnsi="Arial" w:cs="Arial"/>
                <w:color w:val="000000"/>
                <w:sz w:val="20"/>
                <w:szCs w:val="20"/>
              </w:rPr>
              <w:t xml:space="preserve">       for purchase of assets</w:t>
            </w:r>
          </w:p>
        </w:tc>
        <w:tc>
          <w:tcPr>
            <w:tcW w:w="4900" w:type="dxa"/>
            <w:shd w:val="clear" w:color="auto" w:fill="auto"/>
          </w:tcPr>
          <w:p w14:paraId="458C67ED" w14:textId="50E28A2F" w:rsidR="000D75D5" w:rsidRPr="002D2F67" w:rsidRDefault="000D75D5" w:rsidP="005611FE">
            <w:pPr>
              <w:pStyle w:val="ListParagraph"/>
              <w:numPr>
                <w:ilvl w:val="0"/>
                <w:numId w:val="10"/>
              </w:numPr>
              <w:tabs>
                <w:tab w:val="left" w:pos="198"/>
                <w:tab w:val="left" w:pos="448"/>
              </w:tabs>
              <w:spacing w:after="0" w:line="256" w:lineRule="auto"/>
              <w:ind w:left="198" w:hanging="270"/>
              <w:rPr>
                <w:rFonts w:ascii="Arial" w:hAnsi="Arial" w:cs="Arial"/>
                <w:color w:val="000000"/>
                <w:sz w:val="20"/>
                <w:szCs w:val="20"/>
              </w:rPr>
            </w:pPr>
            <w:r w:rsidRPr="002D2F67">
              <w:rPr>
                <w:rFonts w:ascii="Arial" w:hAnsi="Arial" w:cs="Arial"/>
                <w:color w:val="000000"/>
                <w:sz w:val="20"/>
                <w:szCs w:val="20"/>
              </w:rPr>
              <w:t>Long-term loans from related parties</w:t>
            </w:r>
          </w:p>
        </w:tc>
      </w:tr>
      <w:tr w:rsidR="000D75D5" w:rsidRPr="002D2F67" w14:paraId="58614544" w14:textId="77777777" w:rsidTr="005611FE">
        <w:tc>
          <w:tcPr>
            <w:tcW w:w="4590" w:type="dxa"/>
            <w:shd w:val="clear" w:color="auto" w:fill="auto"/>
          </w:tcPr>
          <w:p w14:paraId="718ADB40" w14:textId="3EFA83B9" w:rsidR="000D75D5" w:rsidRPr="002D2F67" w:rsidRDefault="000D75D5" w:rsidP="005611FE">
            <w:pPr>
              <w:pStyle w:val="ListParagraph"/>
              <w:numPr>
                <w:ilvl w:val="0"/>
                <w:numId w:val="10"/>
              </w:numPr>
              <w:tabs>
                <w:tab w:val="left" w:pos="161"/>
                <w:tab w:val="left" w:pos="448"/>
              </w:tabs>
              <w:spacing w:after="0" w:line="256" w:lineRule="auto"/>
              <w:ind w:left="161" w:hanging="233"/>
              <w:rPr>
                <w:rFonts w:ascii="Arial" w:hAnsi="Arial" w:cs="Arial"/>
                <w:color w:val="000000"/>
                <w:sz w:val="20"/>
                <w:szCs w:val="20"/>
              </w:rPr>
            </w:pPr>
            <w:r w:rsidRPr="002D2F67">
              <w:rPr>
                <w:rFonts w:ascii="Arial" w:hAnsi="Arial" w:cs="Arial"/>
                <w:color w:val="000000"/>
                <w:sz w:val="20"/>
                <w:szCs w:val="20"/>
              </w:rPr>
              <w:t>Short-term loan from other parties</w:t>
            </w:r>
          </w:p>
        </w:tc>
        <w:tc>
          <w:tcPr>
            <w:tcW w:w="4900" w:type="dxa"/>
            <w:shd w:val="clear" w:color="auto" w:fill="auto"/>
          </w:tcPr>
          <w:p w14:paraId="770A11FE" w14:textId="31A55FE3" w:rsidR="000D75D5" w:rsidRPr="002D2F67" w:rsidRDefault="000D75D5" w:rsidP="005611FE">
            <w:pPr>
              <w:pStyle w:val="ListParagraph"/>
              <w:tabs>
                <w:tab w:val="left" w:pos="198"/>
                <w:tab w:val="left" w:pos="448"/>
              </w:tabs>
              <w:spacing w:after="0" w:line="256" w:lineRule="auto"/>
              <w:ind w:left="0"/>
              <w:rPr>
                <w:rFonts w:ascii="Arial" w:hAnsi="Arial" w:cs="Arial"/>
                <w:color w:val="000000"/>
                <w:sz w:val="20"/>
                <w:szCs w:val="20"/>
                <w:cs/>
              </w:rPr>
            </w:pPr>
            <w:r w:rsidRPr="002D2F67">
              <w:rPr>
                <w:rFonts w:ascii="Arial" w:hAnsi="Arial" w:cs="Arial"/>
                <w:color w:val="000000"/>
                <w:sz w:val="20"/>
                <w:szCs w:val="20"/>
              </w:rPr>
              <w:t xml:space="preserve">      (floating interest rate)</w:t>
            </w:r>
          </w:p>
        </w:tc>
      </w:tr>
      <w:tr w:rsidR="000D75D5" w:rsidRPr="002D2F67" w14:paraId="335BC3A1" w14:textId="77777777" w:rsidTr="005611FE">
        <w:tc>
          <w:tcPr>
            <w:tcW w:w="4590" w:type="dxa"/>
            <w:shd w:val="clear" w:color="auto" w:fill="auto"/>
          </w:tcPr>
          <w:p w14:paraId="1BCD65B4" w14:textId="416CE7C9" w:rsidR="000D75D5" w:rsidRPr="002D2F67" w:rsidRDefault="000D75D5" w:rsidP="005611FE">
            <w:pPr>
              <w:pStyle w:val="ListParagraph"/>
              <w:numPr>
                <w:ilvl w:val="0"/>
                <w:numId w:val="10"/>
              </w:numPr>
              <w:tabs>
                <w:tab w:val="left" w:pos="161"/>
                <w:tab w:val="left" w:pos="448"/>
              </w:tabs>
              <w:spacing w:after="0" w:line="256" w:lineRule="auto"/>
              <w:ind w:left="161" w:hanging="233"/>
              <w:rPr>
                <w:rFonts w:ascii="Arial" w:hAnsi="Arial" w:cs="Arial"/>
                <w:color w:val="000000"/>
                <w:sz w:val="20"/>
                <w:szCs w:val="20"/>
              </w:rPr>
            </w:pPr>
            <w:r w:rsidRPr="002D2F67">
              <w:rPr>
                <w:rFonts w:ascii="Arial" w:hAnsi="Arial" w:cs="Arial"/>
                <w:color w:val="000000"/>
                <w:sz w:val="20"/>
                <w:szCs w:val="20"/>
              </w:rPr>
              <w:t>Long-term loans from financial institutions, net</w:t>
            </w:r>
          </w:p>
        </w:tc>
        <w:tc>
          <w:tcPr>
            <w:tcW w:w="4900" w:type="dxa"/>
            <w:shd w:val="clear" w:color="auto" w:fill="auto"/>
          </w:tcPr>
          <w:p w14:paraId="31C37B3E" w14:textId="7F87D56B" w:rsidR="000D75D5" w:rsidRPr="002D2F67" w:rsidRDefault="000D75D5" w:rsidP="005611FE">
            <w:pPr>
              <w:pStyle w:val="ListParagraph"/>
              <w:numPr>
                <w:ilvl w:val="0"/>
                <w:numId w:val="10"/>
              </w:numPr>
              <w:tabs>
                <w:tab w:val="left" w:pos="198"/>
                <w:tab w:val="left" w:pos="448"/>
              </w:tabs>
              <w:spacing w:after="0" w:line="256" w:lineRule="auto"/>
              <w:ind w:left="198" w:hanging="270"/>
              <w:rPr>
                <w:rFonts w:ascii="Arial" w:hAnsi="Arial" w:cs="Arial"/>
                <w:color w:val="000000"/>
                <w:sz w:val="20"/>
                <w:szCs w:val="20"/>
              </w:rPr>
            </w:pPr>
            <w:r w:rsidRPr="002D2F67">
              <w:rPr>
                <w:rFonts w:ascii="Arial" w:hAnsi="Arial" w:cs="Arial"/>
                <w:color w:val="000000"/>
                <w:sz w:val="20"/>
                <w:szCs w:val="20"/>
              </w:rPr>
              <w:t>Long-term loans from financial institutions, net</w:t>
            </w:r>
          </w:p>
        </w:tc>
      </w:tr>
      <w:tr w:rsidR="000D75D5" w:rsidRPr="002D2F67" w14:paraId="5BF36326" w14:textId="77777777" w:rsidTr="00E765A7">
        <w:tc>
          <w:tcPr>
            <w:tcW w:w="4590" w:type="dxa"/>
            <w:shd w:val="clear" w:color="auto" w:fill="auto"/>
          </w:tcPr>
          <w:p w14:paraId="759BA681" w14:textId="27F3E928" w:rsidR="000D75D5" w:rsidRPr="002D2F67" w:rsidRDefault="000D75D5" w:rsidP="005611FE">
            <w:pPr>
              <w:pStyle w:val="ListParagraph"/>
              <w:tabs>
                <w:tab w:val="left" w:pos="161"/>
                <w:tab w:val="left" w:pos="448"/>
              </w:tabs>
              <w:spacing w:after="0" w:line="256" w:lineRule="auto"/>
              <w:ind w:left="0"/>
              <w:rPr>
                <w:rFonts w:ascii="Arial" w:hAnsi="Arial" w:cs="Arial"/>
                <w:color w:val="000000"/>
                <w:sz w:val="20"/>
                <w:szCs w:val="20"/>
              </w:rPr>
            </w:pPr>
            <w:r w:rsidRPr="002D2F67">
              <w:rPr>
                <w:rFonts w:ascii="Arial" w:hAnsi="Arial" w:cs="Arial"/>
                <w:color w:val="000000"/>
                <w:sz w:val="20"/>
                <w:szCs w:val="20"/>
              </w:rPr>
              <w:t xml:space="preserve">       (floating interest rate)</w:t>
            </w:r>
          </w:p>
        </w:tc>
        <w:tc>
          <w:tcPr>
            <w:tcW w:w="4900" w:type="dxa"/>
            <w:shd w:val="clear" w:color="auto" w:fill="auto"/>
          </w:tcPr>
          <w:p w14:paraId="6F4F9AD2" w14:textId="29B9D243" w:rsidR="000D75D5" w:rsidRPr="002D2F67" w:rsidRDefault="000D75D5" w:rsidP="005611FE">
            <w:pPr>
              <w:tabs>
                <w:tab w:val="left" w:pos="198"/>
              </w:tabs>
              <w:spacing w:line="240" w:lineRule="atLeast"/>
              <w:ind w:left="198" w:hanging="270"/>
              <w:rPr>
                <w:rFonts w:ascii="Arial" w:eastAsia="Arial Unicode MS" w:hAnsi="Arial" w:cs="Arial"/>
                <w:color w:val="000000"/>
                <w:sz w:val="20"/>
                <w:szCs w:val="20"/>
              </w:rPr>
            </w:pPr>
            <w:r w:rsidRPr="002D2F67">
              <w:rPr>
                <w:rFonts w:ascii="Arial" w:hAnsi="Arial" w:cs="Arial"/>
                <w:color w:val="000000"/>
                <w:sz w:val="20"/>
                <w:szCs w:val="20"/>
              </w:rPr>
              <w:t xml:space="preserve">       (floating interest rate)</w:t>
            </w:r>
          </w:p>
        </w:tc>
      </w:tr>
    </w:tbl>
    <w:p w14:paraId="538ECFF0" w14:textId="77777777" w:rsidR="00FF408A" w:rsidRPr="002D2F67" w:rsidRDefault="00FF408A" w:rsidP="005611FE">
      <w:pPr>
        <w:jc w:val="both"/>
        <w:rPr>
          <w:rFonts w:ascii="Arial" w:eastAsia="Arial Unicode MS" w:hAnsi="Arial" w:cs="Arial"/>
          <w:b/>
          <w:bCs/>
          <w:color w:val="000000"/>
          <w:sz w:val="20"/>
          <w:szCs w:val="20"/>
        </w:rPr>
      </w:pPr>
    </w:p>
    <w:p w14:paraId="28CC10B1" w14:textId="61B84DE9" w:rsidR="00FF408A" w:rsidRPr="002D2F67" w:rsidRDefault="00CD5714" w:rsidP="005611FE">
      <w:pPr>
        <w:pStyle w:val="HeadSub1-5EA"/>
        <w:rPr>
          <w:rFonts w:ascii="Arial" w:hAnsi="Arial" w:cs="Arial"/>
          <w:color w:val="000000"/>
          <w:sz w:val="20"/>
          <w:szCs w:val="25"/>
        </w:rPr>
      </w:pPr>
      <w:r w:rsidRPr="00CD5714">
        <w:rPr>
          <w:rFonts w:ascii="Arial" w:hAnsi="Arial" w:cs="Arial"/>
          <w:color w:val="000000"/>
          <w:sz w:val="20"/>
          <w:szCs w:val="20"/>
          <w:lang w:val="en-GB"/>
        </w:rPr>
        <w:t>7</w:t>
      </w:r>
      <w:r w:rsidR="00FF408A" w:rsidRPr="002D2F67">
        <w:rPr>
          <w:rFonts w:ascii="Arial" w:hAnsi="Arial" w:cs="Arial"/>
          <w:color w:val="000000"/>
          <w:sz w:val="20"/>
          <w:szCs w:val="20"/>
          <w:cs/>
        </w:rPr>
        <w:t>.</w:t>
      </w:r>
      <w:r w:rsidRPr="00CD5714">
        <w:rPr>
          <w:rFonts w:ascii="Arial" w:hAnsi="Arial" w:cs="Arial"/>
          <w:color w:val="000000"/>
          <w:sz w:val="20"/>
          <w:szCs w:val="20"/>
          <w:lang w:val="en-GB"/>
        </w:rPr>
        <w:t>1</w:t>
      </w:r>
      <w:r w:rsidR="00FF408A" w:rsidRPr="002D2F67">
        <w:rPr>
          <w:rFonts w:ascii="Arial" w:hAnsi="Arial" w:cs="Arial"/>
          <w:color w:val="000000"/>
          <w:sz w:val="20"/>
          <w:szCs w:val="20"/>
        </w:rPr>
        <w:tab/>
        <w:t>Valuation technique used to measure fair value level</w:t>
      </w:r>
      <w:r w:rsidR="002D1E28" w:rsidRPr="002D2F67">
        <w:rPr>
          <w:rFonts w:ascii="Arial" w:hAnsi="Arial" w:cs="Arial"/>
          <w:color w:val="000000"/>
          <w:sz w:val="20"/>
          <w:szCs w:val="20"/>
        </w:rPr>
        <w:t xml:space="preserve"> </w:t>
      </w:r>
      <w:r w:rsidRPr="00CD5714">
        <w:rPr>
          <w:rFonts w:ascii="Arial" w:hAnsi="Arial" w:cs="Arial"/>
          <w:color w:val="000000"/>
          <w:sz w:val="20"/>
          <w:szCs w:val="20"/>
          <w:lang w:val="en-GB"/>
        </w:rPr>
        <w:t>1</w:t>
      </w:r>
    </w:p>
    <w:p w14:paraId="37A91C5C" w14:textId="77777777" w:rsidR="00FF408A" w:rsidRPr="002D2F67" w:rsidRDefault="00FF408A" w:rsidP="005611FE">
      <w:pPr>
        <w:ind w:left="540"/>
        <w:jc w:val="thaiDistribute"/>
        <w:rPr>
          <w:rFonts w:ascii="Arial" w:eastAsia="Arial Unicode MS" w:hAnsi="Arial" w:cs="Arial"/>
          <w:color w:val="000000"/>
          <w:sz w:val="20"/>
          <w:szCs w:val="20"/>
        </w:rPr>
      </w:pPr>
    </w:p>
    <w:p w14:paraId="45A160EC" w14:textId="4B5BD290" w:rsidR="00CF0C7C" w:rsidRPr="002D2F67" w:rsidRDefault="002D1E28" w:rsidP="005611FE">
      <w:pPr>
        <w:ind w:left="540"/>
        <w:jc w:val="thaiDistribute"/>
        <w:rPr>
          <w:rFonts w:ascii="Arial" w:eastAsia="Cordia New" w:hAnsi="Arial" w:cs="Arial"/>
          <w:color w:val="000000"/>
          <w:sz w:val="20"/>
          <w:szCs w:val="20"/>
        </w:rPr>
      </w:pPr>
      <w:r w:rsidRPr="002D2F67">
        <w:rPr>
          <w:rFonts w:ascii="Arial" w:eastAsia="Cordia New" w:hAnsi="Arial" w:cs="Arial"/>
          <w:color w:val="000000"/>
          <w:sz w:val="20"/>
          <w:szCs w:val="20"/>
        </w:rPr>
        <w:t xml:space="preserve">Fair value level </w:t>
      </w:r>
      <w:r w:rsidR="00CD5714" w:rsidRPr="00CD5714">
        <w:rPr>
          <w:rFonts w:ascii="Arial" w:eastAsia="Cordia New" w:hAnsi="Arial" w:cs="Arial"/>
          <w:color w:val="000000"/>
          <w:sz w:val="20"/>
          <w:szCs w:val="20"/>
          <w:lang w:val="en-GB"/>
        </w:rPr>
        <w:t>1</w:t>
      </w:r>
      <w:r w:rsidRPr="002D2F67">
        <w:rPr>
          <w:rFonts w:ascii="Arial" w:eastAsia="Cordia New" w:hAnsi="Arial" w:cs="Arial"/>
          <w:color w:val="000000"/>
          <w:sz w:val="20"/>
          <w:szCs w:val="20"/>
        </w:rPr>
        <w:t xml:space="preserve"> of listed equity securities is based on the closing price which is referenced from the Stock Exchange of Thailand.</w:t>
      </w:r>
    </w:p>
    <w:p w14:paraId="5B102330" w14:textId="77777777" w:rsidR="00CF0C7C" w:rsidRPr="002D2F67" w:rsidRDefault="00CF0C7C" w:rsidP="005611FE">
      <w:pPr>
        <w:ind w:left="540"/>
        <w:jc w:val="thaiDistribute"/>
        <w:rPr>
          <w:rFonts w:ascii="Arial" w:eastAsia="Cordia New" w:hAnsi="Arial" w:cs="Arial"/>
          <w:color w:val="000000"/>
          <w:sz w:val="20"/>
          <w:szCs w:val="20"/>
        </w:rPr>
      </w:pPr>
    </w:p>
    <w:p w14:paraId="1522C008" w14:textId="520369E4" w:rsidR="00FF408A" w:rsidRPr="002D2F67" w:rsidRDefault="00CD5714" w:rsidP="005611FE">
      <w:pPr>
        <w:pStyle w:val="HeadSub1-5EA"/>
        <w:rPr>
          <w:rFonts w:ascii="Arial" w:hAnsi="Arial" w:cs="Arial"/>
          <w:color w:val="000000"/>
          <w:sz w:val="20"/>
          <w:szCs w:val="20"/>
        </w:rPr>
      </w:pPr>
      <w:r w:rsidRPr="00CD5714">
        <w:rPr>
          <w:rFonts w:ascii="Arial" w:hAnsi="Arial" w:cs="Arial"/>
          <w:color w:val="000000"/>
          <w:sz w:val="20"/>
          <w:szCs w:val="20"/>
          <w:lang w:val="en-GB"/>
        </w:rPr>
        <w:t>7</w:t>
      </w:r>
      <w:r w:rsidR="00FF408A" w:rsidRPr="002D2F67">
        <w:rPr>
          <w:rFonts w:ascii="Arial" w:hAnsi="Arial" w:cs="Arial"/>
          <w:color w:val="000000"/>
          <w:sz w:val="20"/>
          <w:szCs w:val="20"/>
          <w:cs/>
        </w:rPr>
        <w:t>.</w:t>
      </w:r>
      <w:r w:rsidRPr="00CD5714">
        <w:rPr>
          <w:rFonts w:ascii="Arial" w:hAnsi="Arial" w:cs="Arial"/>
          <w:color w:val="000000"/>
          <w:sz w:val="20"/>
          <w:szCs w:val="20"/>
          <w:lang w:val="en-GB"/>
        </w:rPr>
        <w:t>2</w:t>
      </w:r>
      <w:r w:rsidR="00FF408A" w:rsidRPr="002D2F67">
        <w:rPr>
          <w:rFonts w:ascii="Arial" w:hAnsi="Arial" w:cs="Arial"/>
          <w:color w:val="000000"/>
          <w:sz w:val="20"/>
          <w:szCs w:val="20"/>
        </w:rPr>
        <w:tab/>
        <w:t xml:space="preserve">Valuation technique used to measure fair value level </w:t>
      </w:r>
      <w:r w:rsidRPr="00CD5714">
        <w:rPr>
          <w:rFonts w:ascii="Arial" w:hAnsi="Arial" w:cs="Arial"/>
          <w:color w:val="000000"/>
          <w:sz w:val="20"/>
          <w:szCs w:val="20"/>
          <w:lang w:val="en-GB"/>
        </w:rPr>
        <w:t>2</w:t>
      </w:r>
    </w:p>
    <w:p w14:paraId="712DB358" w14:textId="08425743" w:rsidR="00FF408A" w:rsidRPr="002D2F67" w:rsidRDefault="00FF408A" w:rsidP="005611FE">
      <w:pPr>
        <w:ind w:left="540"/>
        <w:jc w:val="thaiDistribute"/>
        <w:rPr>
          <w:rFonts w:ascii="Arial" w:eastAsia="Arial Unicode MS" w:hAnsi="Arial" w:cs="Arial"/>
          <w:color w:val="000000"/>
          <w:sz w:val="20"/>
          <w:szCs w:val="20"/>
        </w:rPr>
      </w:pPr>
    </w:p>
    <w:p w14:paraId="741A5943" w14:textId="07B70778" w:rsidR="002D1E28" w:rsidRPr="002D2F67" w:rsidRDefault="002D1E28" w:rsidP="005611FE">
      <w:pPr>
        <w:ind w:left="540"/>
        <w:jc w:val="thaiDistribute"/>
        <w:rPr>
          <w:rFonts w:ascii="Arial" w:eastAsia="Arial Unicode MS" w:hAnsi="Arial" w:cs="Arial"/>
          <w:color w:val="000000"/>
          <w:sz w:val="20"/>
          <w:szCs w:val="20"/>
        </w:rPr>
      </w:pPr>
      <w:r w:rsidRPr="002D2F67">
        <w:rPr>
          <w:rFonts w:ascii="Arial" w:eastAsia="Arial Unicode MS" w:hAnsi="Arial" w:cs="Arial"/>
          <w:color w:val="000000"/>
          <w:sz w:val="20"/>
          <w:szCs w:val="20"/>
        </w:rPr>
        <w:t xml:space="preserve">Valuation techniques used to measure fair value level </w:t>
      </w:r>
      <w:r w:rsidR="00CD5714" w:rsidRPr="00CD5714">
        <w:rPr>
          <w:rFonts w:ascii="Arial" w:eastAsia="Arial Unicode MS" w:hAnsi="Arial" w:cs="Arial"/>
          <w:color w:val="000000"/>
          <w:sz w:val="20"/>
          <w:szCs w:val="20"/>
          <w:lang w:val="en-GB"/>
        </w:rPr>
        <w:t>2</w:t>
      </w:r>
      <w:r w:rsidRPr="002D2F67">
        <w:rPr>
          <w:rFonts w:ascii="Arial" w:eastAsia="Arial Unicode MS" w:hAnsi="Arial" w:cs="Arial"/>
          <w:color w:val="000000"/>
          <w:sz w:val="20"/>
          <w:szCs w:val="20"/>
        </w:rPr>
        <w:t xml:space="preserve"> of loans and debenture are calculated from the net present value of future cash flows discounted by market interest rates. The fair value of foreign exchange contracts is determined using forward exchange rates quoted in the active market. </w:t>
      </w:r>
      <w:r w:rsidRPr="00611E9B">
        <w:rPr>
          <w:rFonts w:ascii="Arial" w:eastAsia="Arial Unicode MS" w:hAnsi="Arial" w:cs="Arial"/>
          <w:color w:val="000000"/>
          <w:spacing w:val="-4"/>
          <w:sz w:val="20"/>
          <w:szCs w:val="20"/>
        </w:rPr>
        <w:t xml:space="preserve">The fair </w:t>
      </w:r>
      <w:r w:rsidR="00CE62C1" w:rsidRPr="00611E9B">
        <w:rPr>
          <w:rFonts w:ascii="Arial" w:eastAsia="Arial Unicode MS" w:hAnsi="Arial" w:cs="Arial"/>
          <w:color w:val="000000"/>
          <w:spacing w:val="-4"/>
          <w:sz w:val="20"/>
          <w:szCs w:val="20"/>
        </w:rPr>
        <w:t xml:space="preserve">value </w:t>
      </w:r>
      <w:r w:rsidR="00611E9B" w:rsidRPr="00611E9B">
        <w:rPr>
          <w:rFonts w:ascii="Arial" w:eastAsia="Arial Unicode MS" w:hAnsi="Arial" w:cs="Arial"/>
          <w:color w:val="000000"/>
          <w:spacing w:val="-4"/>
          <w:sz w:val="20"/>
          <w:szCs w:val="20"/>
        </w:rPr>
        <w:t>of</w:t>
      </w:r>
      <w:r w:rsidR="00CE62C1" w:rsidRPr="00611E9B">
        <w:rPr>
          <w:rFonts w:ascii="Arial" w:eastAsia="Arial Unicode MS" w:hAnsi="Arial" w:cs="Arial"/>
          <w:color w:val="000000"/>
          <w:spacing w:val="-4"/>
          <w:sz w:val="20"/>
          <w:szCs w:val="20"/>
        </w:rPr>
        <w:t xml:space="preserve"> interest rate swaps is determined using forward interested extracted from observable</w:t>
      </w:r>
      <w:r w:rsidR="00CE62C1" w:rsidRPr="002D2F67">
        <w:rPr>
          <w:rFonts w:ascii="Arial" w:eastAsia="Arial Unicode MS" w:hAnsi="Arial" w:cs="Arial"/>
          <w:color w:val="000000"/>
          <w:sz w:val="20"/>
          <w:szCs w:val="20"/>
        </w:rPr>
        <w:t xml:space="preserve"> yield curves. The effects of discounting are generally insignificant for level </w:t>
      </w:r>
      <w:r w:rsidR="00CD5714" w:rsidRPr="00CD5714">
        <w:rPr>
          <w:rFonts w:ascii="Arial" w:eastAsia="Arial Unicode MS" w:hAnsi="Arial" w:cs="Arial"/>
          <w:color w:val="000000"/>
          <w:sz w:val="20"/>
          <w:szCs w:val="20"/>
          <w:lang w:val="en-GB"/>
        </w:rPr>
        <w:t>2</w:t>
      </w:r>
      <w:r w:rsidR="00CE62C1" w:rsidRPr="002D2F67">
        <w:rPr>
          <w:rFonts w:ascii="Arial" w:eastAsia="Arial Unicode MS" w:hAnsi="Arial" w:cs="Arial"/>
          <w:color w:val="000000"/>
          <w:sz w:val="20"/>
          <w:szCs w:val="20"/>
        </w:rPr>
        <w:t xml:space="preserve"> derivatives.</w:t>
      </w:r>
    </w:p>
    <w:p w14:paraId="7D18DCFC" w14:textId="77777777" w:rsidR="009A2869" w:rsidRPr="002D2F67" w:rsidRDefault="009A2869" w:rsidP="005611FE">
      <w:pPr>
        <w:jc w:val="thaiDistribute"/>
        <w:rPr>
          <w:rFonts w:ascii="Arial" w:eastAsia="Cordia New" w:hAnsi="Arial" w:cs="Arial"/>
          <w:color w:val="000000"/>
          <w:sz w:val="20"/>
          <w:szCs w:val="20"/>
        </w:rPr>
      </w:pPr>
    </w:p>
    <w:p w14:paraId="3A8BB68F" w14:textId="34DA643E" w:rsidR="009A2869" w:rsidRPr="002D2F67" w:rsidRDefault="00CD5714" w:rsidP="005611FE">
      <w:pPr>
        <w:pStyle w:val="HeadSub1-5EA"/>
        <w:rPr>
          <w:rFonts w:ascii="Arial" w:eastAsia="Arial Unicode MS" w:hAnsi="Arial" w:cs="Arial"/>
          <w:b w:val="0"/>
          <w:bCs w:val="0"/>
          <w:color w:val="000000"/>
          <w:sz w:val="20"/>
          <w:szCs w:val="20"/>
        </w:rPr>
      </w:pPr>
      <w:r w:rsidRPr="00CD5714">
        <w:rPr>
          <w:rFonts w:ascii="Arial" w:hAnsi="Arial" w:cs="Arial"/>
          <w:color w:val="000000"/>
          <w:sz w:val="20"/>
          <w:szCs w:val="20"/>
          <w:lang w:val="en-GB"/>
        </w:rPr>
        <w:t>7</w:t>
      </w:r>
      <w:r w:rsidR="009A2869" w:rsidRPr="002D2F67">
        <w:rPr>
          <w:rFonts w:ascii="Arial" w:eastAsia="Arial Unicode MS" w:hAnsi="Arial" w:cs="Arial"/>
          <w:color w:val="000000"/>
          <w:sz w:val="20"/>
          <w:szCs w:val="20"/>
          <w:cs/>
        </w:rPr>
        <w:t>.</w:t>
      </w:r>
      <w:r w:rsidRPr="00CD5714">
        <w:rPr>
          <w:rFonts w:ascii="Arial" w:eastAsia="Arial Unicode MS" w:hAnsi="Arial" w:cs="Arial"/>
          <w:color w:val="000000"/>
          <w:sz w:val="20"/>
          <w:szCs w:val="20"/>
          <w:lang w:val="en-GB"/>
        </w:rPr>
        <w:t>3</w:t>
      </w:r>
      <w:r w:rsidR="009A2869" w:rsidRPr="002D2F67">
        <w:rPr>
          <w:rFonts w:ascii="Arial" w:eastAsia="Arial Unicode MS" w:hAnsi="Arial" w:cs="Arial"/>
          <w:color w:val="000000"/>
          <w:sz w:val="20"/>
          <w:szCs w:val="20"/>
        </w:rPr>
        <w:tab/>
        <w:t xml:space="preserve">Valuation technique used to measure fair value level </w:t>
      </w:r>
      <w:r w:rsidRPr="00CD5714">
        <w:rPr>
          <w:rFonts w:ascii="Arial" w:eastAsia="Arial Unicode MS" w:hAnsi="Arial" w:cs="Arial"/>
          <w:color w:val="000000"/>
          <w:sz w:val="20"/>
          <w:szCs w:val="20"/>
          <w:lang w:val="en-GB"/>
        </w:rPr>
        <w:t>3</w:t>
      </w:r>
    </w:p>
    <w:p w14:paraId="1CE74F16" w14:textId="77777777" w:rsidR="009A2869" w:rsidRPr="002D2F67" w:rsidRDefault="009A2869" w:rsidP="005611FE">
      <w:pPr>
        <w:ind w:left="549" w:hanging="9"/>
        <w:jc w:val="thaiDistribute"/>
        <w:rPr>
          <w:rFonts w:ascii="Arial" w:eastAsia="Cordia New" w:hAnsi="Arial" w:cs="Arial"/>
          <w:color w:val="000000"/>
          <w:sz w:val="20"/>
          <w:szCs w:val="20"/>
        </w:rPr>
      </w:pPr>
    </w:p>
    <w:p w14:paraId="70D1CF3D" w14:textId="0B14EF95" w:rsidR="009A2869" w:rsidRPr="002D2F67" w:rsidRDefault="009A2869" w:rsidP="005611FE">
      <w:pPr>
        <w:ind w:left="549" w:hanging="9"/>
        <w:jc w:val="thaiDistribute"/>
        <w:rPr>
          <w:rFonts w:ascii="Arial" w:eastAsia="Cordia New" w:hAnsi="Arial" w:cs="Arial"/>
          <w:color w:val="000000"/>
          <w:sz w:val="20"/>
          <w:szCs w:val="20"/>
        </w:rPr>
      </w:pPr>
      <w:r w:rsidRPr="002D2F67">
        <w:rPr>
          <w:rFonts w:ascii="Arial" w:eastAsia="Cordia New" w:hAnsi="Arial" w:cs="Arial"/>
          <w:color w:val="000000"/>
          <w:spacing w:val="-8"/>
          <w:sz w:val="20"/>
          <w:szCs w:val="20"/>
        </w:rPr>
        <w:t xml:space="preserve">The Group’s valuation technique used to measure fair value level </w:t>
      </w:r>
      <w:r w:rsidR="00CD5714" w:rsidRPr="00CD5714">
        <w:rPr>
          <w:rFonts w:ascii="Arial" w:eastAsia="Cordia New" w:hAnsi="Arial" w:cs="Arial"/>
          <w:color w:val="000000"/>
          <w:spacing w:val="-8"/>
          <w:sz w:val="20"/>
          <w:szCs w:val="20"/>
          <w:lang w:val="en-GB"/>
        </w:rPr>
        <w:t>3</w:t>
      </w:r>
      <w:r w:rsidRPr="002D2F67">
        <w:rPr>
          <w:rFonts w:ascii="Arial" w:eastAsia="Cordia New" w:hAnsi="Arial" w:cs="Arial"/>
          <w:color w:val="000000"/>
          <w:spacing w:val="-8"/>
          <w:sz w:val="20"/>
          <w:szCs w:val="20"/>
        </w:rPr>
        <w:t xml:space="preserve"> is discounted cash flows for measurement</w:t>
      </w:r>
      <w:r w:rsidRPr="002D2F67">
        <w:rPr>
          <w:rFonts w:ascii="Arial" w:eastAsia="Cordia New" w:hAnsi="Arial" w:cs="Arial"/>
          <w:color w:val="000000"/>
          <w:sz w:val="20"/>
          <w:szCs w:val="20"/>
        </w:rPr>
        <w:t xml:space="preserve"> of financial assets measured at FVOCI.</w:t>
      </w:r>
    </w:p>
    <w:p w14:paraId="3C08459B" w14:textId="77777777" w:rsidR="009A2869" w:rsidRPr="002D2F67" w:rsidRDefault="009A2869" w:rsidP="005611FE">
      <w:pPr>
        <w:ind w:left="549" w:hanging="9"/>
        <w:jc w:val="thaiDistribute"/>
        <w:rPr>
          <w:rFonts w:ascii="Arial" w:eastAsia="Cordia New" w:hAnsi="Arial" w:cs="Arial"/>
          <w:color w:val="000000"/>
          <w:sz w:val="20"/>
          <w:szCs w:val="20"/>
        </w:rPr>
      </w:pPr>
    </w:p>
    <w:p w14:paraId="24631B42" w14:textId="6D5C4153" w:rsidR="009A2869" w:rsidRPr="002D2F67" w:rsidRDefault="009A2869" w:rsidP="005611FE">
      <w:pPr>
        <w:ind w:left="549" w:hanging="9"/>
        <w:jc w:val="thaiDistribute"/>
        <w:rPr>
          <w:rFonts w:ascii="Arial" w:eastAsia="Cordia New" w:hAnsi="Arial" w:cs="Arial"/>
          <w:color w:val="000000"/>
          <w:sz w:val="20"/>
          <w:szCs w:val="20"/>
        </w:rPr>
      </w:pPr>
      <w:r w:rsidRPr="002D2F67">
        <w:rPr>
          <w:rFonts w:ascii="Arial" w:eastAsia="Cordia New" w:hAnsi="Arial" w:cs="Arial"/>
          <w:color w:val="000000"/>
          <w:spacing w:val="-4"/>
          <w:sz w:val="20"/>
          <w:szCs w:val="20"/>
        </w:rPr>
        <w:t xml:space="preserve">Change in financial assets that are measured by fair value level </w:t>
      </w:r>
      <w:r w:rsidR="00CD5714" w:rsidRPr="00CD5714">
        <w:rPr>
          <w:rFonts w:ascii="Arial" w:eastAsia="Cordia New" w:hAnsi="Arial" w:cs="Arial"/>
          <w:color w:val="000000"/>
          <w:spacing w:val="-4"/>
          <w:sz w:val="20"/>
          <w:szCs w:val="20"/>
          <w:lang w:val="en-GB"/>
        </w:rPr>
        <w:t>3</w:t>
      </w:r>
      <w:r w:rsidRPr="002D2F67">
        <w:rPr>
          <w:rFonts w:ascii="Arial" w:eastAsia="Cordia New" w:hAnsi="Arial" w:cs="Arial"/>
          <w:color w:val="000000"/>
          <w:spacing w:val="-4"/>
          <w:sz w:val="20"/>
          <w:szCs w:val="20"/>
        </w:rPr>
        <w:t xml:space="preserve"> through other comprehensive income</w:t>
      </w:r>
      <w:r w:rsidRPr="002D2F67">
        <w:rPr>
          <w:rFonts w:ascii="Arial" w:eastAsia="Cordia New" w:hAnsi="Arial" w:cs="Arial"/>
          <w:color w:val="000000"/>
          <w:sz w:val="20"/>
          <w:szCs w:val="20"/>
        </w:rPr>
        <w:t xml:space="preserve"> are disclosed in Note </w:t>
      </w:r>
      <w:r w:rsidR="00CD5714" w:rsidRPr="00CD5714">
        <w:rPr>
          <w:rFonts w:ascii="Arial" w:eastAsia="Cordia New" w:hAnsi="Arial" w:cs="Arial"/>
          <w:color w:val="000000"/>
          <w:sz w:val="20"/>
          <w:szCs w:val="20"/>
          <w:lang w:val="en-GB"/>
        </w:rPr>
        <w:t>18</w:t>
      </w:r>
      <w:r w:rsidRPr="002D2F67">
        <w:rPr>
          <w:rFonts w:ascii="Arial" w:eastAsia="Cordia New" w:hAnsi="Arial" w:cs="Arial"/>
          <w:color w:val="000000"/>
          <w:sz w:val="20"/>
          <w:szCs w:val="20"/>
        </w:rPr>
        <w:t>.</w:t>
      </w:r>
    </w:p>
    <w:p w14:paraId="7AC292F8" w14:textId="1F1713D2" w:rsidR="00917F81" w:rsidRPr="002D2F67" w:rsidRDefault="00C445AF" w:rsidP="005611FE">
      <w:pPr>
        <w:ind w:left="549" w:hanging="9"/>
        <w:jc w:val="thaiDistribute"/>
        <w:rPr>
          <w:rFonts w:ascii="Arial" w:eastAsia="Cordia New" w:hAnsi="Arial" w:cs="Arial"/>
          <w:color w:val="000000"/>
          <w:sz w:val="20"/>
          <w:szCs w:val="20"/>
        </w:rPr>
      </w:pPr>
      <w:r w:rsidRPr="002D2F67">
        <w:rPr>
          <w:rFonts w:ascii="Arial" w:eastAsia="Cordia New" w:hAnsi="Arial" w:cs="Arial"/>
          <w:color w:val="000000"/>
          <w:sz w:val="20"/>
          <w:szCs w:val="20"/>
        </w:rPr>
        <w:br w:type="page"/>
      </w:r>
    </w:p>
    <w:p w14:paraId="158D28D6" w14:textId="092FF014" w:rsidR="00FF408A" w:rsidRPr="002D2F67" w:rsidRDefault="00FF408A" w:rsidP="005611FE">
      <w:pPr>
        <w:ind w:left="540"/>
        <w:jc w:val="thaiDistribute"/>
        <w:rPr>
          <w:rFonts w:ascii="Arial" w:eastAsia="Cordia New" w:hAnsi="Arial" w:cs="Arial"/>
          <w:color w:val="000000"/>
          <w:sz w:val="20"/>
          <w:szCs w:val="20"/>
        </w:rPr>
      </w:pPr>
      <w:r w:rsidRPr="002D2F67">
        <w:rPr>
          <w:rFonts w:ascii="Arial" w:eastAsia="Cordia New" w:hAnsi="Arial" w:cs="Arial"/>
          <w:color w:val="000000"/>
          <w:spacing w:val="-6"/>
          <w:sz w:val="20"/>
          <w:szCs w:val="20"/>
        </w:rPr>
        <w:t>The following table summarises the quantitative information about the significant unobservable inputs used</w:t>
      </w:r>
      <w:r w:rsidRPr="002D2F67">
        <w:rPr>
          <w:rFonts w:ascii="Arial" w:eastAsia="Cordia New" w:hAnsi="Arial" w:cs="Arial"/>
          <w:color w:val="000000"/>
          <w:sz w:val="20"/>
          <w:szCs w:val="20"/>
        </w:rPr>
        <w:t xml:space="preserve"> in level </w:t>
      </w:r>
      <w:r w:rsidR="00CD5714" w:rsidRPr="00CD5714">
        <w:rPr>
          <w:rFonts w:ascii="Arial" w:eastAsia="Cordia New" w:hAnsi="Arial" w:cs="Arial"/>
          <w:color w:val="000000"/>
          <w:sz w:val="20"/>
          <w:szCs w:val="20"/>
          <w:lang w:val="en-GB"/>
        </w:rPr>
        <w:t>3</w:t>
      </w:r>
      <w:r w:rsidRPr="002D2F67">
        <w:rPr>
          <w:rFonts w:ascii="Arial" w:eastAsia="Cordia New" w:hAnsi="Arial" w:cs="Arial"/>
          <w:color w:val="000000"/>
          <w:sz w:val="20"/>
          <w:szCs w:val="20"/>
          <w:cs/>
        </w:rPr>
        <w:t xml:space="preserve"> </w:t>
      </w:r>
      <w:r w:rsidRPr="002D2F67">
        <w:rPr>
          <w:rFonts w:ascii="Arial" w:eastAsia="Cordia New" w:hAnsi="Arial" w:cs="Arial"/>
          <w:color w:val="000000"/>
          <w:sz w:val="20"/>
          <w:szCs w:val="20"/>
        </w:rPr>
        <w:t>fair value measurements.</w:t>
      </w:r>
    </w:p>
    <w:p w14:paraId="63644D37" w14:textId="5C4372C9" w:rsidR="00FF408A" w:rsidRPr="002D2F67" w:rsidRDefault="00FF408A" w:rsidP="005611FE">
      <w:pPr>
        <w:pStyle w:val="ListParagraph"/>
        <w:spacing w:after="0" w:line="240" w:lineRule="auto"/>
        <w:ind w:left="540"/>
        <w:jc w:val="both"/>
        <w:rPr>
          <w:rFonts w:ascii="Arial" w:eastAsia="Arial Unicode MS" w:hAnsi="Arial" w:cs="Arial"/>
          <w:color w:val="000000"/>
          <w:sz w:val="20"/>
          <w:szCs w:val="20"/>
        </w:rPr>
      </w:pPr>
    </w:p>
    <w:tbl>
      <w:tblPr>
        <w:tblW w:w="8931" w:type="dxa"/>
        <w:tblInd w:w="626" w:type="dxa"/>
        <w:tblLayout w:type="fixed"/>
        <w:tblLook w:val="04A0" w:firstRow="1" w:lastRow="0" w:firstColumn="1" w:lastColumn="0" w:noHBand="0" w:noVBand="1"/>
      </w:tblPr>
      <w:tblGrid>
        <w:gridCol w:w="2410"/>
        <w:gridCol w:w="1276"/>
        <w:gridCol w:w="1276"/>
        <w:gridCol w:w="1421"/>
        <w:gridCol w:w="1274"/>
        <w:gridCol w:w="1274"/>
      </w:tblGrid>
      <w:tr w:rsidR="00C445AF" w:rsidRPr="002D2F67" w14:paraId="523D43DF" w14:textId="77777777" w:rsidTr="008255E8">
        <w:trPr>
          <w:trHeight w:val="52"/>
        </w:trPr>
        <w:tc>
          <w:tcPr>
            <w:tcW w:w="2410" w:type="dxa"/>
            <w:shd w:val="clear" w:color="auto" w:fill="auto"/>
            <w:vAlign w:val="center"/>
          </w:tcPr>
          <w:p w14:paraId="5E969553" w14:textId="77777777" w:rsidR="00C445AF" w:rsidRPr="002D2F67" w:rsidRDefault="00C445AF" w:rsidP="005611FE">
            <w:pPr>
              <w:widowControl w:val="0"/>
              <w:ind w:left="27"/>
              <w:contextualSpacing/>
              <w:jc w:val="right"/>
              <w:rPr>
                <w:rFonts w:ascii="Arial" w:eastAsia="Arial Unicode MS" w:hAnsi="Arial" w:cs="Arial"/>
                <w:b/>
                <w:bCs/>
                <w:color w:val="000000"/>
                <w:sz w:val="18"/>
                <w:szCs w:val="18"/>
                <w:cs/>
              </w:rPr>
            </w:pPr>
          </w:p>
        </w:tc>
        <w:tc>
          <w:tcPr>
            <w:tcW w:w="6521" w:type="dxa"/>
            <w:gridSpan w:val="5"/>
            <w:tcBorders>
              <w:bottom w:val="single" w:sz="4" w:space="0" w:color="auto"/>
            </w:tcBorders>
            <w:shd w:val="clear" w:color="auto" w:fill="auto"/>
            <w:vAlign w:val="center"/>
          </w:tcPr>
          <w:p w14:paraId="51EB7D93" w14:textId="32B26758" w:rsidR="00C445AF" w:rsidRPr="002D2F67" w:rsidRDefault="00C445AF" w:rsidP="005611FE">
            <w:pPr>
              <w:widowControl w:val="0"/>
              <w:ind w:right="-72"/>
              <w:contextualSpacing/>
              <w:jc w:val="right"/>
              <w:rPr>
                <w:rFonts w:ascii="Arial" w:eastAsia="Arial Unicode MS" w:hAnsi="Arial" w:cs="Arial"/>
                <w:b/>
                <w:bCs/>
                <w:color w:val="000000"/>
                <w:sz w:val="18"/>
                <w:szCs w:val="18"/>
                <w:cs/>
              </w:rPr>
            </w:pPr>
            <w:r w:rsidRPr="002D2F67">
              <w:rPr>
                <w:rFonts w:ascii="Arial" w:eastAsia="Arial Unicode MS" w:hAnsi="Arial" w:cs="Arial"/>
                <w:b/>
                <w:bCs/>
                <w:color w:val="000000"/>
                <w:sz w:val="18"/>
                <w:szCs w:val="18"/>
              </w:rPr>
              <w:t>Consolidated financial statements</w:t>
            </w:r>
          </w:p>
        </w:tc>
      </w:tr>
      <w:tr w:rsidR="00E765A7" w:rsidRPr="002D2F67" w14:paraId="23AEDBE7" w14:textId="77777777" w:rsidTr="005611FE">
        <w:trPr>
          <w:trHeight w:val="52"/>
        </w:trPr>
        <w:tc>
          <w:tcPr>
            <w:tcW w:w="2410" w:type="dxa"/>
            <w:shd w:val="clear" w:color="auto" w:fill="auto"/>
          </w:tcPr>
          <w:p w14:paraId="1361A931" w14:textId="77777777" w:rsidR="00E765A7" w:rsidRPr="002D2F67" w:rsidRDefault="00E765A7" w:rsidP="005611FE">
            <w:pPr>
              <w:widowControl w:val="0"/>
              <w:ind w:left="27"/>
              <w:contextualSpacing/>
              <w:rPr>
                <w:rFonts w:ascii="Arial" w:eastAsia="Arial Unicode MS" w:hAnsi="Arial" w:cs="Arial"/>
                <w:b/>
                <w:bCs/>
                <w:color w:val="000000"/>
                <w:sz w:val="18"/>
                <w:szCs w:val="18"/>
              </w:rPr>
            </w:pPr>
          </w:p>
        </w:tc>
        <w:tc>
          <w:tcPr>
            <w:tcW w:w="1276" w:type="dxa"/>
            <w:tcBorders>
              <w:top w:val="single" w:sz="4" w:space="0" w:color="auto"/>
              <w:bottom w:val="single" w:sz="4" w:space="0" w:color="auto"/>
              <w:right w:val="nil"/>
            </w:tcBorders>
            <w:shd w:val="clear" w:color="auto" w:fill="auto"/>
          </w:tcPr>
          <w:p w14:paraId="24A474D9" w14:textId="77777777" w:rsidR="00E765A7" w:rsidRPr="002D2F67" w:rsidRDefault="00E765A7" w:rsidP="005611FE">
            <w:pPr>
              <w:widowControl w:val="0"/>
              <w:ind w:right="-75"/>
              <w:contextualSpacing/>
              <w:jc w:val="right"/>
              <w:rPr>
                <w:rFonts w:ascii="Arial" w:eastAsia="Arial Unicode MS" w:hAnsi="Arial" w:cs="Arial"/>
                <w:b/>
                <w:bCs/>
                <w:color w:val="000000"/>
                <w:sz w:val="18"/>
                <w:szCs w:val="18"/>
                <w:cs/>
              </w:rPr>
            </w:pPr>
          </w:p>
        </w:tc>
        <w:tc>
          <w:tcPr>
            <w:tcW w:w="1276" w:type="dxa"/>
            <w:tcBorders>
              <w:top w:val="single" w:sz="4" w:space="0" w:color="auto"/>
              <w:left w:val="nil"/>
              <w:bottom w:val="single" w:sz="4" w:space="0" w:color="auto"/>
            </w:tcBorders>
            <w:shd w:val="clear" w:color="auto" w:fill="auto"/>
            <w:vAlign w:val="center"/>
          </w:tcPr>
          <w:p w14:paraId="54237D93" w14:textId="6D266C96" w:rsidR="00E765A7" w:rsidRPr="002D2F67" w:rsidRDefault="00E765A7" w:rsidP="005611FE">
            <w:pPr>
              <w:widowControl w:val="0"/>
              <w:ind w:right="-75"/>
              <w:contextualSpacing/>
              <w:jc w:val="right"/>
              <w:rPr>
                <w:rFonts w:ascii="Arial" w:eastAsia="Arial Unicode MS" w:hAnsi="Arial" w:cs="Arial"/>
                <w:b/>
                <w:bCs/>
                <w:color w:val="000000"/>
                <w:sz w:val="18"/>
                <w:szCs w:val="18"/>
              </w:rPr>
            </w:pPr>
            <w:r w:rsidRPr="002D2F67">
              <w:rPr>
                <w:rFonts w:ascii="Arial" w:eastAsia="Arial Unicode MS" w:hAnsi="Arial" w:cs="Arial"/>
                <w:b/>
                <w:bCs/>
                <w:color w:val="000000"/>
                <w:sz w:val="18"/>
                <w:szCs w:val="18"/>
              </w:rPr>
              <w:t>Fair value</w:t>
            </w:r>
          </w:p>
        </w:tc>
        <w:tc>
          <w:tcPr>
            <w:tcW w:w="1421" w:type="dxa"/>
            <w:tcBorders>
              <w:top w:val="single" w:sz="4" w:space="0" w:color="auto"/>
            </w:tcBorders>
            <w:shd w:val="clear" w:color="auto" w:fill="auto"/>
            <w:vAlign w:val="center"/>
          </w:tcPr>
          <w:p w14:paraId="70955AF3" w14:textId="77777777" w:rsidR="00E765A7" w:rsidRPr="002D2F67" w:rsidRDefault="00E765A7" w:rsidP="005611FE">
            <w:pPr>
              <w:widowControl w:val="0"/>
              <w:ind w:right="-72"/>
              <w:contextualSpacing/>
              <w:jc w:val="right"/>
              <w:rPr>
                <w:rFonts w:ascii="Arial" w:eastAsia="Arial Unicode MS" w:hAnsi="Arial" w:cs="Arial"/>
                <w:b/>
                <w:bCs/>
                <w:color w:val="000000"/>
                <w:sz w:val="18"/>
                <w:szCs w:val="18"/>
              </w:rPr>
            </w:pPr>
          </w:p>
        </w:tc>
        <w:tc>
          <w:tcPr>
            <w:tcW w:w="2548" w:type="dxa"/>
            <w:gridSpan w:val="2"/>
            <w:tcBorders>
              <w:top w:val="single" w:sz="4" w:space="0" w:color="auto"/>
              <w:bottom w:val="single" w:sz="4" w:space="0" w:color="auto"/>
            </w:tcBorders>
            <w:shd w:val="clear" w:color="auto" w:fill="auto"/>
            <w:vAlign w:val="center"/>
          </w:tcPr>
          <w:p w14:paraId="1C73DB40" w14:textId="6725767E" w:rsidR="00E765A7" w:rsidRPr="002D2F67" w:rsidRDefault="00E765A7" w:rsidP="005611FE">
            <w:pPr>
              <w:widowControl w:val="0"/>
              <w:ind w:right="-114"/>
              <w:contextualSpacing/>
              <w:jc w:val="right"/>
              <w:rPr>
                <w:rFonts w:ascii="Arial" w:eastAsia="Arial Unicode MS" w:hAnsi="Arial" w:cs="Arial"/>
                <w:b/>
                <w:bCs/>
                <w:color w:val="000000"/>
                <w:sz w:val="18"/>
                <w:szCs w:val="18"/>
              </w:rPr>
            </w:pPr>
            <w:r w:rsidRPr="002D2F67">
              <w:rPr>
                <w:rFonts w:ascii="Arial" w:hAnsi="Arial" w:cs="Arial"/>
                <w:b/>
                <w:bCs/>
                <w:color w:val="000000"/>
                <w:sz w:val="18"/>
                <w:szCs w:val="18"/>
              </w:rPr>
              <w:t>Range of inputs</w:t>
            </w:r>
          </w:p>
        </w:tc>
      </w:tr>
      <w:tr w:rsidR="00C445AF" w:rsidRPr="002D2F67" w14:paraId="15546364" w14:textId="77777777" w:rsidTr="005611FE">
        <w:trPr>
          <w:trHeight w:val="253"/>
        </w:trPr>
        <w:tc>
          <w:tcPr>
            <w:tcW w:w="2410" w:type="dxa"/>
            <w:shd w:val="clear" w:color="auto" w:fill="auto"/>
          </w:tcPr>
          <w:p w14:paraId="0636E27F" w14:textId="77777777" w:rsidR="00C445AF" w:rsidRPr="002D2F67" w:rsidRDefault="00C445AF" w:rsidP="005611FE">
            <w:pPr>
              <w:widowControl w:val="0"/>
              <w:contextualSpacing/>
              <w:jc w:val="right"/>
              <w:rPr>
                <w:rFonts w:ascii="Arial" w:eastAsia="Arial Unicode MS" w:hAnsi="Arial" w:cs="Arial"/>
                <w:b/>
                <w:bCs/>
                <w:color w:val="000000"/>
                <w:sz w:val="18"/>
                <w:szCs w:val="18"/>
              </w:rPr>
            </w:pPr>
          </w:p>
        </w:tc>
        <w:tc>
          <w:tcPr>
            <w:tcW w:w="1276" w:type="dxa"/>
            <w:tcBorders>
              <w:top w:val="single" w:sz="4" w:space="0" w:color="auto"/>
              <w:bottom w:val="single" w:sz="4" w:space="0" w:color="auto"/>
            </w:tcBorders>
            <w:shd w:val="clear" w:color="auto" w:fill="auto"/>
            <w:vAlign w:val="bottom"/>
          </w:tcPr>
          <w:p w14:paraId="06D1CD2D" w14:textId="6F10E536" w:rsidR="00C445AF" w:rsidRPr="002D2F67" w:rsidRDefault="00CD5714" w:rsidP="005611FE">
            <w:pPr>
              <w:widowControl w:val="0"/>
              <w:ind w:left="-83" w:right="-72"/>
              <w:contextualSpacing/>
              <w:jc w:val="right"/>
              <w:rPr>
                <w:rFonts w:ascii="Arial" w:eastAsia="Arial Unicode MS" w:hAnsi="Arial" w:cs="Arial"/>
                <w:b/>
                <w:bCs/>
                <w:color w:val="000000"/>
                <w:spacing w:val="-4"/>
                <w:sz w:val="18"/>
                <w:szCs w:val="18"/>
              </w:rPr>
            </w:pPr>
            <w:r w:rsidRPr="00CD5714">
              <w:rPr>
                <w:rFonts w:ascii="Arial" w:eastAsia="Arial Unicode MS" w:hAnsi="Arial" w:cs="Arial"/>
                <w:b/>
                <w:bCs/>
                <w:color w:val="000000"/>
                <w:spacing w:val="-4"/>
                <w:sz w:val="18"/>
                <w:szCs w:val="18"/>
                <w:lang w:val="en-GB"/>
              </w:rPr>
              <w:t>31</w:t>
            </w:r>
            <w:r w:rsidR="00C445AF" w:rsidRPr="002D2F67">
              <w:rPr>
                <w:rFonts w:ascii="Arial" w:eastAsia="Arial Unicode MS" w:hAnsi="Arial" w:cs="Arial"/>
                <w:b/>
                <w:bCs/>
                <w:color w:val="000000"/>
                <w:spacing w:val="-4"/>
                <w:sz w:val="18"/>
                <w:szCs w:val="18"/>
              </w:rPr>
              <w:t xml:space="preserve"> December</w:t>
            </w:r>
          </w:p>
          <w:p w14:paraId="528AE355" w14:textId="48C1E0CC" w:rsidR="00C445AF" w:rsidRPr="002D2F67" w:rsidRDefault="00CD5714" w:rsidP="005611FE">
            <w:pPr>
              <w:widowControl w:val="0"/>
              <w:ind w:left="-83" w:right="-72"/>
              <w:contextualSpacing/>
              <w:jc w:val="right"/>
              <w:rPr>
                <w:rFonts w:ascii="Arial" w:eastAsia="Arial Unicode MS" w:hAnsi="Arial" w:cs="Arial"/>
                <w:b/>
                <w:bCs/>
                <w:color w:val="000000"/>
                <w:spacing w:val="-4"/>
                <w:sz w:val="18"/>
                <w:szCs w:val="18"/>
              </w:rPr>
            </w:pPr>
            <w:r w:rsidRPr="00CD5714">
              <w:rPr>
                <w:rFonts w:ascii="Arial" w:eastAsia="Arial Unicode MS" w:hAnsi="Arial" w:cs="Arial"/>
                <w:b/>
                <w:bCs/>
                <w:color w:val="000000"/>
                <w:spacing w:val="-4"/>
                <w:sz w:val="18"/>
                <w:szCs w:val="18"/>
                <w:lang w:val="en-GB"/>
              </w:rPr>
              <w:t>2024</w:t>
            </w:r>
          </w:p>
          <w:p w14:paraId="60264B40" w14:textId="3540028E" w:rsidR="00C445AF" w:rsidRPr="002D2F67" w:rsidRDefault="00C445AF" w:rsidP="005611FE">
            <w:pPr>
              <w:widowControl w:val="0"/>
              <w:ind w:left="-83" w:right="-72"/>
              <w:contextualSpacing/>
              <w:jc w:val="right"/>
              <w:rPr>
                <w:rFonts w:ascii="Arial" w:eastAsia="Arial Unicode MS" w:hAnsi="Arial" w:cs="Arial"/>
                <w:b/>
                <w:bCs/>
                <w:color w:val="000000"/>
                <w:spacing w:val="-4"/>
                <w:sz w:val="18"/>
                <w:szCs w:val="18"/>
              </w:rPr>
            </w:pPr>
            <w:r w:rsidRPr="002D2F67">
              <w:rPr>
                <w:rFonts w:ascii="Arial" w:eastAsia="Arial Unicode MS" w:hAnsi="Arial" w:cs="Arial"/>
                <w:b/>
                <w:bCs/>
                <w:color w:val="000000"/>
                <w:spacing w:val="-4"/>
                <w:sz w:val="18"/>
                <w:szCs w:val="18"/>
              </w:rPr>
              <w:t>Million Baht</w:t>
            </w:r>
          </w:p>
        </w:tc>
        <w:tc>
          <w:tcPr>
            <w:tcW w:w="1276" w:type="dxa"/>
            <w:tcBorders>
              <w:top w:val="single" w:sz="4" w:space="0" w:color="auto"/>
              <w:bottom w:val="single" w:sz="4" w:space="0" w:color="auto"/>
            </w:tcBorders>
            <w:shd w:val="clear" w:color="auto" w:fill="auto"/>
            <w:vAlign w:val="bottom"/>
          </w:tcPr>
          <w:p w14:paraId="42739461" w14:textId="183BD894" w:rsidR="00C445AF" w:rsidRPr="002D2F67" w:rsidRDefault="00CD5714" w:rsidP="005611FE">
            <w:pPr>
              <w:widowControl w:val="0"/>
              <w:ind w:left="-83" w:right="-72"/>
              <w:contextualSpacing/>
              <w:jc w:val="right"/>
              <w:rPr>
                <w:rFonts w:ascii="Arial" w:eastAsia="Arial Unicode MS" w:hAnsi="Arial" w:cs="Arial"/>
                <w:b/>
                <w:bCs/>
                <w:color w:val="000000"/>
                <w:spacing w:val="-4"/>
                <w:sz w:val="18"/>
                <w:szCs w:val="18"/>
              </w:rPr>
            </w:pPr>
            <w:r w:rsidRPr="00CD5714">
              <w:rPr>
                <w:rFonts w:ascii="Arial" w:eastAsia="Arial Unicode MS" w:hAnsi="Arial" w:cs="Arial"/>
                <w:b/>
                <w:bCs/>
                <w:color w:val="000000"/>
                <w:spacing w:val="-4"/>
                <w:sz w:val="18"/>
                <w:szCs w:val="18"/>
                <w:lang w:val="en-GB"/>
              </w:rPr>
              <w:t>31</w:t>
            </w:r>
            <w:r w:rsidR="00C445AF" w:rsidRPr="002D2F67">
              <w:rPr>
                <w:rFonts w:ascii="Arial" w:eastAsia="Arial Unicode MS" w:hAnsi="Arial" w:cs="Arial"/>
                <w:b/>
                <w:bCs/>
                <w:color w:val="000000"/>
                <w:spacing w:val="-4"/>
                <w:sz w:val="18"/>
                <w:szCs w:val="18"/>
              </w:rPr>
              <w:t xml:space="preserve"> December</w:t>
            </w:r>
          </w:p>
          <w:p w14:paraId="67102068" w14:textId="02AAA50B" w:rsidR="00C445AF" w:rsidRPr="002D2F67" w:rsidRDefault="00CD5714" w:rsidP="005611FE">
            <w:pPr>
              <w:widowControl w:val="0"/>
              <w:ind w:left="-83" w:right="-72"/>
              <w:contextualSpacing/>
              <w:jc w:val="right"/>
              <w:rPr>
                <w:rFonts w:ascii="Arial" w:eastAsia="Arial Unicode MS" w:hAnsi="Arial" w:cs="Arial"/>
                <w:b/>
                <w:bCs/>
                <w:color w:val="000000"/>
                <w:spacing w:val="-4"/>
                <w:sz w:val="18"/>
                <w:szCs w:val="18"/>
              </w:rPr>
            </w:pPr>
            <w:r w:rsidRPr="00CD5714">
              <w:rPr>
                <w:rFonts w:ascii="Arial" w:eastAsia="Arial Unicode MS" w:hAnsi="Arial" w:cs="Arial"/>
                <w:b/>
                <w:bCs/>
                <w:color w:val="000000"/>
                <w:spacing w:val="-4"/>
                <w:sz w:val="18"/>
                <w:szCs w:val="18"/>
                <w:lang w:val="en-GB"/>
              </w:rPr>
              <w:t>2023</w:t>
            </w:r>
          </w:p>
          <w:p w14:paraId="22B002DF" w14:textId="70B82772" w:rsidR="00C445AF" w:rsidRPr="002D2F67" w:rsidRDefault="00C445AF" w:rsidP="005611FE">
            <w:pPr>
              <w:widowControl w:val="0"/>
              <w:ind w:left="-83" w:right="-72"/>
              <w:contextualSpacing/>
              <w:jc w:val="right"/>
              <w:rPr>
                <w:rFonts w:ascii="Arial" w:eastAsia="Arial Unicode MS" w:hAnsi="Arial" w:cs="Arial"/>
                <w:b/>
                <w:bCs/>
                <w:color w:val="000000"/>
                <w:spacing w:val="-4"/>
                <w:sz w:val="18"/>
                <w:szCs w:val="18"/>
              </w:rPr>
            </w:pPr>
            <w:r w:rsidRPr="002D2F67">
              <w:rPr>
                <w:rFonts w:ascii="Arial" w:eastAsia="Arial Unicode MS" w:hAnsi="Arial" w:cs="Arial"/>
                <w:b/>
                <w:bCs/>
                <w:color w:val="000000"/>
                <w:spacing w:val="-4"/>
                <w:sz w:val="18"/>
                <w:szCs w:val="18"/>
              </w:rPr>
              <w:t>Million Baht</w:t>
            </w:r>
          </w:p>
        </w:tc>
        <w:tc>
          <w:tcPr>
            <w:tcW w:w="1421" w:type="dxa"/>
            <w:tcBorders>
              <w:bottom w:val="single" w:sz="4" w:space="0" w:color="auto"/>
            </w:tcBorders>
            <w:shd w:val="clear" w:color="auto" w:fill="auto"/>
            <w:vAlign w:val="bottom"/>
          </w:tcPr>
          <w:p w14:paraId="4961E500" w14:textId="77777777" w:rsidR="00C445AF" w:rsidRPr="002D2F67" w:rsidRDefault="00C445AF" w:rsidP="005611FE">
            <w:pPr>
              <w:contextualSpacing/>
              <w:jc w:val="center"/>
              <w:rPr>
                <w:rFonts w:ascii="Arial" w:eastAsia="Arial Unicode MS" w:hAnsi="Arial" w:cs="Arial"/>
                <w:b/>
                <w:bCs/>
                <w:color w:val="000000"/>
                <w:sz w:val="18"/>
                <w:szCs w:val="18"/>
              </w:rPr>
            </w:pPr>
            <w:r w:rsidRPr="002D2F67">
              <w:rPr>
                <w:rFonts w:ascii="Arial" w:eastAsia="Arial Unicode MS" w:hAnsi="Arial" w:cs="Arial"/>
                <w:b/>
                <w:bCs/>
                <w:color w:val="000000"/>
                <w:sz w:val="18"/>
                <w:szCs w:val="18"/>
              </w:rPr>
              <w:t>Unobservable</w:t>
            </w:r>
          </w:p>
          <w:p w14:paraId="7F0B9B90" w14:textId="110C2258" w:rsidR="00C445AF" w:rsidRPr="002D2F67" w:rsidRDefault="00C445AF" w:rsidP="005611FE">
            <w:pPr>
              <w:contextualSpacing/>
              <w:jc w:val="center"/>
              <w:rPr>
                <w:rFonts w:ascii="Arial" w:hAnsi="Arial" w:cs="Arial"/>
                <w:color w:val="000000"/>
                <w:sz w:val="18"/>
                <w:szCs w:val="18"/>
              </w:rPr>
            </w:pPr>
            <w:r w:rsidRPr="002D2F67">
              <w:rPr>
                <w:rFonts w:ascii="Arial" w:eastAsia="Arial Unicode MS" w:hAnsi="Arial" w:cs="Arial"/>
                <w:b/>
                <w:bCs/>
                <w:color w:val="000000"/>
                <w:sz w:val="18"/>
                <w:szCs w:val="18"/>
              </w:rPr>
              <w:t>inputs</w:t>
            </w:r>
          </w:p>
        </w:tc>
        <w:tc>
          <w:tcPr>
            <w:tcW w:w="1274" w:type="dxa"/>
            <w:tcBorders>
              <w:top w:val="single" w:sz="4" w:space="0" w:color="auto"/>
              <w:bottom w:val="single" w:sz="4" w:space="0" w:color="auto"/>
            </w:tcBorders>
            <w:shd w:val="clear" w:color="auto" w:fill="auto"/>
            <w:vAlign w:val="bottom"/>
          </w:tcPr>
          <w:p w14:paraId="4C6C43AC" w14:textId="3EB6DCE0" w:rsidR="00C445AF" w:rsidRPr="002D2F67" w:rsidRDefault="00CD5714" w:rsidP="005611FE">
            <w:pPr>
              <w:widowControl w:val="0"/>
              <w:ind w:left="-83" w:right="-72"/>
              <w:contextualSpacing/>
              <w:jc w:val="right"/>
              <w:rPr>
                <w:rFonts w:ascii="Arial" w:eastAsia="Arial Unicode MS" w:hAnsi="Arial" w:cs="Arial"/>
                <w:b/>
                <w:bCs/>
                <w:color w:val="000000"/>
                <w:spacing w:val="-4"/>
                <w:sz w:val="18"/>
                <w:szCs w:val="18"/>
              </w:rPr>
            </w:pPr>
            <w:r w:rsidRPr="00CD5714">
              <w:rPr>
                <w:rFonts w:ascii="Arial" w:eastAsia="Arial Unicode MS" w:hAnsi="Arial" w:cs="Arial"/>
                <w:b/>
                <w:bCs/>
                <w:color w:val="000000"/>
                <w:spacing w:val="-4"/>
                <w:sz w:val="18"/>
                <w:szCs w:val="18"/>
                <w:lang w:val="en-GB"/>
              </w:rPr>
              <w:t>31</w:t>
            </w:r>
            <w:r w:rsidR="00C445AF" w:rsidRPr="002D2F67">
              <w:rPr>
                <w:rFonts w:ascii="Arial" w:eastAsia="Arial Unicode MS" w:hAnsi="Arial" w:cs="Arial"/>
                <w:b/>
                <w:bCs/>
                <w:color w:val="000000"/>
                <w:spacing w:val="-4"/>
                <w:sz w:val="18"/>
                <w:szCs w:val="18"/>
              </w:rPr>
              <w:t xml:space="preserve"> December</w:t>
            </w:r>
          </w:p>
          <w:p w14:paraId="110E5B4A" w14:textId="4C97B04A" w:rsidR="00C445AF" w:rsidRPr="002D2F67" w:rsidRDefault="00CD5714" w:rsidP="005611FE">
            <w:pPr>
              <w:widowControl w:val="0"/>
              <w:ind w:left="-83" w:right="-72"/>
              <w:contextualSpacing/>
              <w:jc w:val="right"/>
              <w:rPr>
                <w:rFonts w:ascii="Arial" w:eastAsia="Arial Unicode MS" w:hAnsi="Arial" w:cs="Arial"/>
                <w:b/>
                <w:bCs/>
                <w:color w:val="000000"/>
                <w:spacing w:val="-4"/>
                <w:sz w:val="18"/>
                <w:szCs w:val="18"/>
              </w:rPr>
            </w:pPr>
            <w:r w:rsidRPr="00CD5714">
              <w:rPr>
                <w:rFonts w:ascii="Arial" w:eastAsia="Arial Unicode MS" w:hAnsi="Arial" w:cs="Arial"/>
                <w:b/>
                <w:bCs/>
                <w:color w:val="000000"/>
                <w:spacing w:val="-4"/>
                <w:sz w:val="18"/>
                <w:szCs w:val="18"/>
                <w:lang w:val="en-GB"/>
              </w:rPr>
              <w:t>2024</w:t>
            </w:r>
          </w:p>
        </w:tc>
        <w:tc>
          <w:tcPr>
            <w:tcW w:w="1274" w:type="dxa"/>
            <w:tcBorders>
              <w:top w:val="single" w:sz="4" w:space="0" w:color="auto"/>
              <w:bottom w:val="single" w:sz="4" w:space="0" w:color="auto"/>
            </w:tcBorders>
            <w:shd w:val="clear" w:color="auto" w:fill="auto"/>
            <w:vAlign w:val="bottom"/>
          </w:tcPr>
          <w:p w14:paraId="35EAE6E7" w14:textId="3E8B24E8" w:rsidR="00C445AF" w:rsidRPr="002D2F67" w:rsidRDefault="00CD5714" w:rsidP="005611FE">
            <w:pPr>
              <w:widowControl w:val="0"/>
              <w:ind w:left="-83" w:right="-72"/>
              <w:contextualSpacing/>
              <w:jc w:val="right"/>
              <w:rPr>
                <w:rFonts w:ascii="Arial" w:eastAsia="Arial Unicode MS" w:hAnsi="Arial" w:cs="Arial"/>
                <w:b/>
                <w:bCs/>
                <w:color w:val="000000"/>
                <w:spacing w:val="-4"/>
                <w:sz w:val="18"/>
                <w:szCs w:val="18"/>
              </w:rPr>
            </w:pPr>
            <w:r w:rsidRPr="00CD5714">
              <w:rPr>
                <w:rFonts w:ascii="Arial" w:eastAsia="Arial Unicode MS" w:hAnsi="Arial" w:cs="Arial"/>
                <w:b/>
                <w:bCs/>
                <w:color w:val="000000"/>
                <w:spacing w:val="-4"/>
                <w:sz w:val="18"/>
                <w:szCs w:val="18"/>
                <w:lang w:val="en-GB"/>
              </w:rPr>
              <w:t>31</w:t>
            </w:r>
            <w:r w:rsidR="00C445AF" w:rsidRPr="002D2F67">
              <w:rPr>
                <w:rFonts w:ascii="Arial" w:eastAsia="Arial Unicode MS" w:hAnsi="Arial" w:cs="Arial"/>
                <w:b/>
                <w:bCs/>
                <w:color w:val="000000"/>
                <w:spacing w:val="-4"/>
                <w:sz w:val="18"/>
                <w:szCs w:val="18"/>
              </w:rPr>
              <w:t xml:space="preserve"> December</w:t>
            </w:r>
          </w:p>
          <w:p w14:paraId="5EB65E81" w14:textId="3C774E83" w:rsidR="00C445AF" w:rsidRPr="002D2F67" w:rsidRDefault="00CD5714" w:rsidP="005611FE">
            <w:pPr>
              <w:widowControl w:val="0"/>
              <w:ind w:left="-83" w:right="-72"/>
              <w:contextualSpacing/>
              <w:jc w:val="right"/>
              <w:rPr>
                <w:rFonts w:ascii="Arial" w:eastAsia="Arial Unicode MS" w:hAnsi="Arial" w:cs="Arial"/>
                <w:b/>
                <w:bCs/>
                <w:color w:val="000000"/>
                <w:spacing w:val="-4"/>
                <w:sz w:val="18"/>
                <w:szCs w:val="18"/>
              </w:rPr>
            </w:pPr>
            <w:r w:rsidRPr="00CD5714">
              <w:rPr>
                <w:rFonts w:ascii="Arial" w:eastAsia="Arial Unicode MS" w:hAnsi="Arial" w:cs="Arial"/>
                <w:b/>
                <w:bCs/>
                <w:color w:val="000000"/>
                <w:spacing w:val="-4"/>
                <w:sz w:val="18"/>
                <w:szCs w:val="18"/>
                <w:lang w:val="en-GB"/>
              </w:rPr>
              <w:t>2023</w:t>
            </w:r>
          </w:p>
        </w:tc>
      </w:tr>
      <w:tr w:rsidR="00C445AF" w:rsidRPr="002D2F67" w14:paraId="45FF111A" w14:textId="77777777" w:rsidTr="005611FE">
        <w:trPr>
          <w:trHeight w:val="52"/>
        </w:trPr>
        <w:tc>
          <w:tcPr>
            <w:tcW w:w="2410" w:type="dxa"/>
            <w:shd w:val="clear" w:color="auto" w:fill="auto"/>
          </w:tcPr>
          <w:p w14:paraId="6175B5B6" w14:textId="77777777" w:rsidR="00C445AF" w:rsidRPr="002D2F67" w:rsidRDefault="00C445AF" w:rsidP="005611FE">
            <w:pPr>
              <w:widowControl w:val="0"/>
              <w:ind w:left="27"/>
              <w:contextualSpacing/>
              <w:rPr>
                <w:rFonts w:ascii="Arial" w:eastAsia="Arial Unicode MS" w:hAnsi="Arial" w:cs="Arial"/>
                <w:b/>
                <w:bCs/>
                <w:color w:val="000000"/>
                <w:sz w:val="18"/>
                <w:szCs w:val="18"/>
              </w:rPr>
            </w:pPr>
          </w:p>
        </w:tc>
        <w:tc>
          <w:tcPr>
            <w:tcW w:w="1276" w:type="dxa"/>
            <w:tcBorders>
              <w:top w:val="single" w:sz="4" w:space="0" w:color="auto"/>
            </w:tcBorders>
            <w:shd w:val="clear" w:color="auto" w:fill="auto"/>
          </w:tcPr>
          <w:p w14:paraId="7BC904C5" w14:textId="571A0A12" w:rsidR="00C445AF" w:rsidRPr="002D2F67" w:rsidRDefault="00C445AF" w:rsidP="005611FE">
            <w:pPr>
              <w:widowControl w:val="0"/>
              <w:ind w:right="-72"/>
              <w:contextualSpacing/>
              <w:jc w:val="right"/>
              <w:rPr>
                <w:rFonts w:ascii="Arial" w:eastAsia="Arial Unicode MS" w:hAnsi="Arial" w:cs="Arial"/>
                <w:b/>
                <w:bCs/>
                <w:color w:val="000000"/>
                <w:sz w:val="18"/>
                <w:szCs w:val="18"/>
                <w:cs/>
              </w:rPr>
            </w:pPr>
          </w:p>
        </w:tc>
        <w:tc>
          <w:tcPr>
            <w:tcW w:w="1276" w:type="dxa"/>
            <w:tcBorders>
              <w:top w:val="single" w:sz="4" w:space="0" w:color="auto"/>
            </w:tcBorders>
            <w:shd w:val="clear" w:color="auto" w:fill="auto"/>
          </w:tcPr>
          <w:p w14:paraId="69C8EADB" w14:textId="77777777" w:rsidR="00C445AF" w:rsidRPr="002D2F67" w:rsidRDefault="00C445AF" w:rsidP="005611FE">
            <w:pPr>
              <w:widowControl w:val="0"/>
              <w:ind w:right="-72"/>
              <w:contextualSpacing/>
              <w:jc w:val="right"/>
              <w:rPr>
                <w:rFonts w:ascii="Arial" w:eastAsia="Arial Unicode MS" w:hAnsi="Arial" w:cs="Arial"/>
                <w:b/>
                <w:bCs/>
                <w:color w:val="000000"/>
                <w:sz w:val="18"/>
                <w:szCs w:val="18"/>
                <w:cs/>
              </w:rPr>
            </w:pPr>
          </w:p>
        </w:tc>
        <w:tc>
          <w:tcPr>
            <w:tcW w:w="1421" w:type="dxa"/>
            <w:tcBorders>
              <w:top w:val="single" w:sz="4" w:space="0" w:color="auto"/>
            </w:tcBorders>
            <w:shd w:val="clear" w:color="auto" w:fill="auto"/>
          </w:tcPr>
          <w:p w14:paraId="5BE6C5F9" w14:textId="77777777" w:rsidR="00C445AF" w:rsidRPr="002D2F67" w:rsidRDefault="00C445AF" w:rsidP="005611FE">
            <w:pPr>
              <w:widowControl w:val="0"/>
              <w:ind w:right="-72"/>
              <w:contextualSpacing/>
              <w:jc w:val="center"/>
              <w:rPr>
                <w:rFonts w:ascii="Arial" w:eastAsia="Arial Unicode MS" w:hAnsi="Arial" w:cs="Arial"/>
                <w:b/>
                <w:bCs/>
                <w:color w:val="000000"/>
                <w:sz w:val="18"/>
                <w:szCs w:val="18"/>
                <w:cs/>
              </w:rPr>
            </w:pPr>
          </w:p>
        </w:tc>
        <w:tc>
          <w:tcPr>
            <w:tcW w:w="1274" w:type="dxa"/>
            <w:tcBorders>
              <w:top w:val="single" w:sz="4" w:space="0" w:color="auto"/>
            </w:tcBorders>
            <w:shd w:val="clear" w:color="auto" w:fill="auto"/>
          </w:tcPr>
          <w:p w14:paraId="3F45C94F" w14:textId="77777777" w:rsidR="00C445AF" w:rsidRPr="002D2F67" w:rsidRDefault="00C445AF" w:rsidP="005611FE">
            <w:pPr>
              <w:widowControl w:val="0"/>
              <w:ind w:right="-72"/>
              <w:contextualSpacing/>
              <w:jc w:val="right"/>
              <w:rPr>
                <w:rFonts w:ascii="Arial" w:eastAsia="Arial Unicode MS" w:hAnsi="Arial" w:cs="Arial"/>
                <w:b/>
                <w:bCs/>
                <w:color w:val="000000"/>
                <w:sz w:val="18"/>
                <w:szCs w:val="18"/>
                <w:cs/>
              </w:rPr>
            </w:pPr>
          </w:p>
        </w:tc>
        <w:tc>
          <w:tcPr>
            <w:tcW w:w="1274" w:type="dxa"/>
            <w:tcBorders>
              <w:top w:val="single" w:sz="4" w:space="0" w:color="auto"/>
            </w:tcBorders>
            <w:shd w:val="clear" w:color="auto" w:fill="auto"/>
          </w:tcPr>
          <w:p w14:paraId="7348AC18" w14:textId="77777777" w:rsidR="00C445AF" w:rsidRPr="002D2F67" w:rsidRDefault="00C445AF" w:rsidP="005611FE">
            <w:pPr>
              <w:widowControl w:val="0"/>
              <w:ind w:right="-72"/>
              <w:contextualSpacing/>
              <w:jc w:val="right"/>
              <w:rPr>
                <w:rFonts w:ascii="Arial" w:eastAsia="Arial Unicode MS" w:hAnsi="Arial" w:cs="Arial"/>
                <w:b/>
                <w:bCs/>
                <w:color w:val="000000"/>
                <w:sz w:val="18"/>
                <w:szCs w:val="18"/>
                <w:cs/>
              </w:rPr>
            </w:pPr>
          </w:p>
        </w:tc>
      </w:tr>
      <w:tr w:rsidR="00AB4B3A" w:rsidRPr="002D2F67" w14:paraId="04042853" w14:textId="77777777" w:rsidTr="005611FE">
        <w:trPr>
          <w:trHeight w:val="619"/>
        </w:trPr>
        <w:tc>
          <w:tcPr>
            <w:tcW w:w="2410" w:type="dxa"/>
            <w:shd w:val="clear" w:color="auto" w:fill="auto"/>
          </w:tcPr>
          <w:p w14:paraId="078C5CB5" w14:textId="43855FA9" w:rsidR="00AB4B3A" w:rsidRPr="002D2F67" w:rsidRDefault="00AB4B3A" w:rsidP="005611FE">
            <w:pPr>
              <w:widowControl w:val="0"/>
              <w:ind w:left="-72" w:right="-113"/>
              <w:contextualSpacing/>
              <w:rPr>
                <w:rFonts w:ascii="Arial" w:eastAsia="Arial Unicode MS" w:hAnsi="Arial" w:cs="Arial"/>
                <w:color w:val="000000"/>
                <w:sz w:val="18"/>
                <w:szCs w:val="18"/>
              </w:rPr>
            </w:pPr>
            <w:r w:rsidRPr="002D2F67">
              <w:rPr>
                <w:rFonts w:ascii="Arial" w:eastAsia="Arial Unicode MS" w:hAnsi="Arial" w:cs="Arial"/>
                <w:color w:val="000000"/>
                <w:sz w:val="18"/>
                <w:szCs w:val="18"/>
              </w:rPr>
              <w:t>Financial assets measured</w:t>
            </w:r>
          </w:p>
          <w:p w14:paraId="017E2FEA" w14:textId="7E3AA271" w:rsidR="00AB4B3A" w:rsidRPr="002D2F67" w:rsidRDefault="00AB4B3A" w:rsidP="005611FE">
            <w:pPr>
              <w:widowControl w:val="0"/>
              <w:ind w:left="-72" w:right="-113"/>
              <w:contextualSpacing/>
              <w:rPr>
                <w:rFonts w:ascii="Arial" w:eastAsia="Arial Unicode MS" w:hAnsi="Arial" w:cs="Arial"/>
                <w:color w:val="000000"/>
                <w:sz w:val="18"/>
                <w:szCs w:val="18"/>
              </w:rPr>
            </w:pPr>
            <w:r w:rsidRPr="002D2F67">
              <w:rPr>
                <w:rFonts w:ascii="Arial" w:eastAsia="Arial Unicode MS" w:hAnsi="Arial" w:cs="Arial"/>
                <w:color w:val="000000"/>
                <w:sz w:val="18"/>
                <w:szCs w:val="18"/>
              </w:rPr>
              <w:t xml:space="preserve">   at fair value through other </w:t>
            </w:r>
          </w:p>
          <w:p w14:paraId="22D109DF" w14:textId="305A2FE5" w:rsidR="00AB4B3A" w:rsidRPr="002D2F67" w:rsidRDefault="00AB4B3A" w:rsidP="005611FE">
            <w:pPr>
              <w:widowControl w:val="0"/>
              <w:ind w:left="-72" w:right="-113"/>
              <w:contextualSpacing/>
              <w:rPr>
                <w:rFonts w:ascii="Arial" w:eastAsia="Arial Unicode MS" w:hAnsi="Arial" w:cs="Arial"/>
                <w:color w:val="000000"/>
                <w:sz w:val="18"/>
                <w:szCs w:val="18"/>
              </w:rPr>
            </w:pPr>
            <w:r w:rsidRPr="002D2F67">
              <w:rPr>
                <w:rFonts w:ascii="Arial" w:eastAsia="Arial Unicode MS" w:hAnsi="Arial" w:cs="Arial"/>
                <w:color w:val="000000"/>
                <w:sz w:val="18"/>
                <w:szCs w:val="18"/>
              </w:rPr>
              <w:t xml:space="preserve">   comprehensive income</w:t>
            </w:r>
          </w:p>
        </w:tc>
        <w:tc>
          <w:tcPr>
            <w:tcW w:w="1276" w:type="dxa"/>
            <w:shd w:val="clear" w:color="auto" w:fill="auto"/>
          </w:tcPr>
          <w:p w14:paraId="48746F8D" w14:textId="599F017E" w:rsidR="00AB4B3A" w:rsidRPr="002D2F67" w:rsidRDefault="00CD5714" w:rsidP="005611FE">
            <w:pPr>
              <w:ind w:left="-86" w:right="-72"/>
              <w:contextualSpacing/>
              <w:jc w:val="right"/>
              <w:rPr>
                <w:rFonts w:ascii="Arial" w:eastAsia="Arial Unicode MS" w:hAnsi="Arial" w:cs="Arial"/>
                <w:color w:val="000000"/>
                <w:sz w:val="18"/>
                <w:szCs w:val="18"/>
              </w:rPr>
            </w:pPr>
            <w:r w:rsidRPr="00CD5714">
              <w:rPr>
                <w:rFonts w:ascii="Arial" w:eastAsia="Arial Unicode MS" w:hAnsi="Arial" w:cs="Arial"/>
                <w:color w:val="000000"/>
                <w:sz w:val="18"/>
                <w:szCs w:val="18"/>
                <w:lang w:val="en-GB"/>
              </w:rPr>
              <w:t>3</w:t>
            </w:r>
            <w:r w:rsidR="00DB2B9A" w:rsidRPr="002D2F67">
              <w:rPr>
                <w:rFonts w:ascii="Arial" w:eastAsia="Arial Unicode MS" w:hAnsi="Arial" w:cs="Arial"/>
                <w:color w:val="000000"/>
                <w:sz w:val="18"/>
                <w:szCs w:val="18"/>
              </w:rPr>
              <w:t>,</w:t>
            </w:r>
            <w:r w:rsidRPr="00CD5714">
              <w:rPr>
                <w:rFonts w:ascii="Arial" w:eastAsia="Arial Unicode MS" w:hAnsi="Arial" w:cs="Arial"/>
                <w:color w:val="000000"/>
                <w:sz w:val="18"/>
                <w:szCs w:val="18"/>
                <w:lang w:val="en-GB"/>
              </w:rPr>
              <w:t>993</w:t>
            </w:r>
          </w:p>
        </w:tc>
        <w:tc>
          <w:tcPr>
            <w:tcW w:w="1276" w:type="dxa"/>
            <w:shd w:val="clear" w:color="auto" w:fill="auto"/>
          </w:tcPr>
          <w:p w14:paraId="35E84F43" w14:textId="2F6069E9" w:rsidR="00AB4B3A" w:rsidRPr="002D2F67" w:rsidRDefault="00CD5714" w:rsidP="005611FE">
            <w:pPr>
              <w:ind w:left="-86" w:right="-72"/>
              <w:contextualSpacing/>
              <w:jc w:val="right"/>
              <w:rPr>
                <w:rFonts w:ascii="Arial" w:eastAsia="Arial Unicode MS" w:hAnsi="Arial" w:cs="Arial"/>
                <w:color w:val="000000"/>
                <w:sz w:val="18"/>
                <w:szCs w:val="18"/>
              </w:rPr>
            </w:pPr>
            <w:r w:rsidRPr="00CD5714">
              <w:rPr>
                <w:rFonts w:ascii="Arial" w:eastAsia="Arial Unicode MS" w:hAnsi="Arial" w:cs="Arial"/>
                <w:color w:val="000000"/>
                <w:sz w:val="18"/>
                <w:szCs w:val="18"/>
                <w:lang w:val="en-GB"/>
              </w:rPr>
              <w:t>4</w:t>
            </w:r>
            <w:r w:rsidR="00AB4B3A" w:rsidRPr="002D2F67">
              <w:rPr>
                <w:rFonts w:ascii="Arial" w:eastAsia="Arial Unicode MS" w:hAnsi="Arial" w:cs="Arial"/>
                <w:color w:val="000000"/>
                <w:sz w:val="18"/>
                <w:szCs w:val="18"/>
              </w:rPr>
              <w:t>,</w:t>
            </w:r>
            <w:r w:rsidRPr="00CD5714">
              <w:rPr>
                <w:rFonts w:ascii="Arial" w:eastAsia="Arial Unicode MS" w:hAnsi="Arial" w:cs="Arial"/>
                <w:color w:val="000000"/>
                <w:sz w:val="18"/>
                <w:szCs w:val="18"/>
                <w:lang w:val="en-GB"/>
              </w:rPr>
              <w:t>891</w:t>
            </w:r>
          </w:p>
        </w:tc>
        <w:tc>
          <w:tcPr>
            <w:tcW w:w="1421" w:type="dxa"/>
            <w:shd w:val="clear" w:color="auto" w:fill="auto"/>
          </w:tcPr>
          <w:p w14:paraId="2066D858" w14:textId="77777777" w:rsidR="00AB4B3A" w:rsidRPr="002D2F67" w:rsidRDefault="00AB4B3A" w:rsidP="005611FE">
            <w:pPr>
              <w:widowControl w:val="0"/>
              <w:ind w:left="-121" w:right="-104"/>
              <w:contextualSpacing/>
              <w:jc w:val="center"/>
              <w:rPr>
                <w:rFonts w:ascii="Arial" w:hAnsi="Arial" w:cs="Arial"/>
                <w:color w:val="000000"/>
                <w:sz w:val="18"/>
                <w:szCs w:val="18"/>
              </w:rPr>
            </w:pPr>
            <w:r w:rsidRPr="002D2F67">
              <w:rPr>
                <w:rFonts w:ascii="Arial" w:hAnsi="Arial" w:cs="Arial"/>
                <w:color w:val="000000"/>
                <w:sz w:val="18"/>
                <w:szCs w:val="18"/>
              </w:rPr>
              <w:t xml:space="preserve">Risk-adjusted </w:t>
            </w:r>
          </w:p>
          <w:p w14:paraId="1D3245B0" w14:textId="45D53BE0" w:rsidR="00AB4B3A" w:rsidRPr="002D2F67" w:rsidRDefault="00AB4B3A" w:rsidP="005611FE">
            <w:pPr>
              <w:widowControl w:val="0"/>
              <w:ind w:left="-121" w:right="-104"/>
              <w:contextualSpacing/>
              <w:jc w:val="center"/>
              <w:rPr>
                <w:rFonts w:ascii="Arial" w:eastAsia="Arial Unicode MS" w:hAnsi="Arial" w:cs="Arial"/>
                <w:color w:val="000000"/>
                <w:sz w:val="18"/>
                <w:szCs w:val="18"/>
                <w:cs/>
              </w:rPr>
            </w:pPr>
            <w:r w:rsidRPr="002D2F67">
              <w:rPr>
                <w:rFonts w:ascii="Arial" w:hAnsi="Arial" w:cs="Arial"/>
                <w:color w:val="000000"/>
                <w:sz w:val="18"/>
                <w:szCs w:val="18"/>
              </w:rPr>
              <w:t>discount rate</w:t>
            </w:r>
          </w:p>
        </w:tc>
        <w:tc>
          <w:tcPr>
            <w:tcW w:w="1274" w:type="dxa"/>
            <w:shd w:val="clear" w:color="auto" w:fill="auto"/>
          </w:tcPr>
          <w:p w14:paraId="2CA84529" w14:textId="77677248" w:rsidR="00AB4B3A" w:rsidRPr="002D2F67" w:rsidRDefault="00CD5714" w:rsidP="005611FE">
            <w:pPr>
              <w:widowControl w:val="0"/>
              <w:ind w:right="-72"/>
              <w:contextualSpacing/>
              <w:jc w:val="right"/>
              <w:rPr>
                <w:rFonts w:ascii="Arial" w:eastAsia="Arial Unicode MS" w:hAnsi="Arial" w:cs="Arial"/>
                <w:color w:val="000000"/>
                <w:sz w:val="18"/>
                <w:szCs w:val="18"/>
                <w:cs/>
              </w:rPr>
            </w:pPr>
            <w:r w:rsidRPr="00CD5714">
              <w:rPr>
                <w:rFonts w:ascii="Arial" w:eastAsia="Arial Unicode MS" w:hAnsi="Arial" w:cs="Arial"/>
                <w:color w:val="000000"/>
                <w:sz w:val="18"/>
                <w:szCs w:val="18"/>
                <w:lang w:val="en-GB"/>
              </w:rPr>
              <w:t>9</w:t>
            </w:r>
            <w:r w:rsidR="006E1091" w:rsidRPr="002D2F67">
              <w:rPr>
                <w:rFonts w:ascii="Arial" w:eastAsia="Arial Unicode MS" w:hAnsi="Arial" w:cs="Arial"/>
                <w:color w:val="000000"/>
                <w:sz w:val="18"/>
                <w:szCs w:val="18"/>
              </w:rPr>
              <w:t>.</w:t>
            </w:r>
            <w:r w:rsidRPr="00CD5714">
              <w:rPr>
                <w:rFonts w:ascii="Arial" w:eastAsia="Arial Unicode MS" w:hAnsi="Arial" w:cs="Arial"/>
                <w:color w:val="000000"/>
                <w:sz w:val="18"/>
                <w:szCs w:val="18"/>
                <w:lang w:val="en-GB"/>
              </w:rPr>
              <w:t>95</w:t>
            </w:r>
            <w:r w:rsidR="00AB4B3A" w:rsidRPr="002D2F67">
              <w:rPr>
                <w:rFonts w:ascii="Arial" w:eastAsia="Arial Unicode MS" w:hAnsi="Arial" w:cs="Arial"/>
                <w:color w:val="000000"/>
                <w:sz w:val="18"/>
                <w:szCs w:val="18"/>
              </w:rPr>
              <w:t>%</w:t>
            </w:r>
          </w:p>
        </w:tc>
        <w:tc>
          <w:tcPr>
            <w:tcW w:w="1274" w:type="dxa"/>
            <w:shd w:val="clear" w:color="auto" w:fill="auto"/>
          </w:tcPr>
          <w:p w14:paraId="4E71EFAA" w14:textId="17F6D957" w:rsidR="00AB4B3A" w:rsidRPr="002D2F67" w:rsidRDefault="00CD5714" w:rsidP="005611FE">
            <w:pPr>
              <w:widowControl w:val="0"/>
              <w:ind w:right="-72"/>
              <w:contextualSpacing/>
              <w:jc w:val="right"/>
              <w:rPr>
                <w:rFonts w:ascii="Arial" w:eastAsia="Arial Unicode MS" w:hAnsi="Arial" w:cs="Arial"/>
                <w:color w:val="000000"/>
                <w:sz w:val="18"/>
                <w:szCs w:val="18"/>
              </w:rPr>
            </w:pPr>
            <w:r w:rsidRPr="00CD5714">
              <w:rPr>
                <w:rFonts w:ascii="Arial" w:eastAsia="Arial Unicode MS" w:hAnsi="Arial" w:cs="Arial"/>
                <w:color w:val="000000"/>
                <w:sz w:val="18"/>
                <w:szCs w:val="18"/>
                <w:lang w:val="en-GB"/>
              </w:rPr>
              <w:t>8</w:t>
            </w:r>
            <w:r w:rsidR="00AB4B3A" w:rsidRPr="002D2F67">
              <w:rPr>
                <w:rFonts w:ascii="Arial" w:eastAsia="Arial Unicode MS" w:hAnsi="Arial" w:cs="Arial"/>
                <w:color w:val="000000"/>
                <w:sz w:val="18"/>
                <w:szCs w:val="18"/>
              </w:rPr>
              <w:t>.</w:t>
            </w:r>
            <w:r w:rsidRPr="00CD5714">
              <w:rPr>
                <w:rFonts w:ascii="Arial" w:eastAsia="Arial Unicode MS" w:hAnsi="Arial" w:cs="Arial"/>
                <w:color w:val="000000"/>
                <w:sz w:val="18"/>
                <w:szCs w:val="18"/>
                <w:lang w:val="en-GB"/>
              </w:rPr>
              <w:t>55</w:t>
            </w:r>
            <w:r w:rsidR="00AB4B3A" w:rsidRPr="002D2F67">
              <w:rPr>
                <w:rFonts w:ascii="Arial" w:eastAsia="Arial Unicode MS" w:hAnsi="Arial" w:cs="Arial"/>
                <w:color w:val="000000"/>
                <w:sz w:val="18"/>
                <w:szCs w:val="18"/>
              </w:rPr>
              <w:t>%</w:t>
            </w:r>
          </w:p>
        </w:tc>
      </w:tr>
      <w:tr w:rsidR="00AB4B3A" w:rsidRPr="002D2F67" w14:paraId="1E5A687B" w14:textId="77777777" w:rsidTr="005611FE">
        <w:trPr>
          <w:trHeight w:val="561"/>
        </w:trPr>
        <w:tc>
          <w:tcPr>
            <w:tcW w:w="2410" w:type="dxa"/>
            <w:shd w:val="clear" w:color="auto" w:fill="auto"/>
          </w:tcPr>
          <w:p w14:paraId="2E8BAA48" w14:textId="77777777" w:rsidR="00AB4B3A" w:rsidRPr="002D2F67" w:rsidRDefault="00AB4B3A" w:rsidP="005611FE">
            <w:pPr>
              <w:ind w:left="27"/>
              <w:contextualSpacing/>
              <w:rPr>
                <w:rFonts w:ascii="Arial" w:eastAsia="Arial Unicode MS" w:hAnsi="Arial" w:cs="Arial"/>
                <w:color w:val="000000"/>
                <w:sz w:val="18"/>
                <w:szCs w:val="18"/>
                <w:cs/>
              </w:rPr>
            </w:pPr>
          </w:p>
        </w:tc>
        <w:tc>
          <w:tcPr>
            <w:tcW w:w="1276" w:type="dxa"/>
            <w:shd w:val="clear" w:color="auto" w:fill="auto"/>
          </w:tcPr>
          <w:p w14:paraId="3F10537D" w14:textId="77777777" w:rsidR="00AB4B3A" w:rsidRPr="002D2F67" w:rsidRDefault="00AB4B3A" w:rsidP="005611FE">
            <w:pPr>
              <w:contextualSpacing/>
              <w:rPr>
                <w:rFonts w:ascii="Arial" w:eastAsia="Arial Unicode MS" w:hAnsi="Arial" w:cs="Arial"/>
                <w:color w:val="000000"/>
                <w:sz w:val="18"/>
                <w:szCs w:val="18"/>
              </w:rPr>
            </w:pPr>
          </w:p>
        </w:tc>
        <w:tc>
          <w:tcPr>
            <w:tcW w:w="1276" w:type="dxa"/>
            <w:shd w:val="clear" w:color="auto" w:fill="auto"/>
          </w:tcPr>
          <w:p w14:paraId="705FB940" w14:textId="77777777" w:rsidR="00AB4B3A" w:rsidRPr="002D2F67" w:rsidRDefault="00AB4B3A" w:rsidP="005611FE">
            <w:pPr>
              <w:contextualSpacing/>
              <w:rPr>
                <w:rFonts w:ascii="Arial" w:eastAsia="Arial Unicode MS" w:hAnsi="Arial" w:cs="Arial"/>
                <w:color w:val="000000"/>
                <w:sz w:val="18"/>
                <w:szCs w:val="18"/>
              </w:rPr>
            </w:pPr>
          </w:p>
        </w:tc>
        <w:tc>
          <w:tcPr>
            <w:tcW w:w="1421" w:type="dxa"/>
            <w:shd w:val="clear" w:color="auto" w:fill="auto"/>
          </w:tcPr>
          <w:p w14:paraId="52D925CA" w14:textId="77777777" w:rsidR="00AB4B3A" w:rsidRPr="002D2F67" w:rsidRDefault="00AB4B3A" w:rsidP="005611FE">
            <w:pPr>
              <w:widowControl w:val="0"/>
              <w:ind w:left="-121" w:right="-104"/>
              <w:contextualSpacing/>
              <w:jc w:val="center"/>
              <w:rPr>
                <w:rFonts w:ascii="Arial" w:hAnsi="Arial" w:cs="Arial"/>
                <w:color w:val="000000"/>
                <w:sz w:val="18"/>
                <w:szCs w:val="18"/>
              </w:rPr>
            </w:pPr>
            <w:r w:rsidRPr="002D2F67">
              <w:rPr>
                <w:rFonts w:ascii="Arial" w:hAnsi="Arial" w:cs="Arial"/>
                <w:color w:val="000000"/>
                <w:sz w:val="18"/>
                <w:szCs w:val="18"/>
              </w:rPr>
              <w:t xml:space="preserve">Growth rate of </w:t>
            </w:r>
          </w:p>
          <w:p w14:paraId="37BA0FA6" w14:textId="248664E3" w:rsidR="00AB4B3A" w:rsidRPr="002D2F67" w:rsidRDefault="00AB4B3A" w:rsidP="005611FE">
            <w:pPr>
              <w:widowControl w:val="0"/>
              <w:ind w:left="-121" w:right="-104"/>
              <w:contextualSpacing/>
              <w:jc w:val="center"/>
              <w:rPr>
                <w:rFonts w:ascii="Arial" w:eastAsia="Arial Unicode MS" w:hAnsi="Arial" w:cs="Arial"/>
                <w:color w:val="000000"/>
                <w:sz w:val="18"/>
                <w:szCs w:val="18"/>
                <w:cs/>
              </w:rPr>
            </w:pPr>
            <w:r w:rsidRPr="002D2F67">
              <w:rPr>
                <w:rFonts w:ascii="Arial" w:hAnsi="Arial" w:cs="Arial"/>
                <w:color w:val="000000"/>
                <w:sz w:val="18"/>
                <w:szCs w:val="18"/>
              </w:rPr>
              <w:t>land price</w:t>
            </w:r>
          </w:p>
        </w:tc>
        <w:tc>
          <w:tcPr>
            <w:tcW w:w="1274" w:type="dxa"/>
            <w:shd w:val="clear" w:color="auto" w:fill="auto"/>
          </w:tcPr>
          <w:p w14:paraId="77F7207A" w14:textId="628CC3B8" w:rsidR="00AB4B3A" w:rsidRPr="002D2F67" w:rsidRDefault="00CD5714" w:rsidP="005611FE">
            <w:pPr>
              <w:widowControl w:val="0"/>
              <w:ind w:right="-72"/>
              <w:contextualSpacing/>
              <w:jc w:val="right"/>
              <w:rPr>
                <w:rFonts w:ascii="Arial" w:eastAsia="Arial Unicode MS" w:hAnsi="Arial" w:cs="Arial"/>
                <w:color w:val="000000"/>
                <w:sz w:val="18"/>
                <w:szCs w:val="18"/>
                <w:cs/>
              </w:rPr>
            </w:pPr>
            <w:r w:rsidRPr="00CD5714">
              <w:rPr>
                <w:rFonts w:ascii="Arial" w:eastAsia="Arial Unicode MS" w:hAnsi="Arial" w:cs="Arial"/>
                <w:color w:val="000000"/>
                <w:sz w:val="18"/>
                <w:szCs w:val="18"/>
                <w:lang w:val="en-GB"/>
              </w:rPr>
              <w:t>10</w:t>
            </w:r>
            <w:r w:rsidR="006E1091" w:rsidRPr="002D2F67">
              <w:rPr>
                <w:rFonts w:ascii="Arial" w:eastAsia="Arial Unicode MS" w:hAnsi="Arial" w:cs="Arial"/>
                <w:color w:val="000000"/>
                <w:sz w:val="18"/>
                <w:szCs w:val="18"/>
              </w:rPr>
              <w:t>.</w:t>
            </w:r>
            <w:r w:rsidRPr="00CD5714">
              <w:rPr>
                <w:rFonts w:ascii="Arial" w:eastAsia="Arial Unicode MS" w:hAnsi="Arial" w:cs="Arial"/>
                <w:color w:val="000000"/>
                <w:sz w:val="18"/>
                <w:szCs w:val="18"/>
                <w:lang w:val="en-GB"/>
              </w:rPr>
              <w:t>05</w:t>
            </w:r>
            <w:r w:rsidR="00AB4B3A" w:rsidRPr="002D2F67">
              <w:rPr>
                <w:rFonts w:ascii="Arial" w:eastAsia="Arial Unicode MS" w:hAnsi="Arial" w:cs="Arial"/>
                <w:color w:val="000000"/>
                <w:sz w:val="18"/>
                <w:szCs w:val="18"/>
              </w:rPr>
              <w:t>%</w:t>
            </w:r>
          </w:p>
        </w:tc>
        <w:tc>
          <w:tcPr>
            <w:tcW w:w="1274" w:type="dxa"/>
            <w:shd w:val="clear" w:color="auto" w:fill="auto"/>
          </w:tcPr>
          <w:p w14:paraId="5EA5EBF8" w14:textId="47736788" w:rsidR="00AB4B3A" w:rsidRPr="002D2F67" w:rsidRDefault="00CD5714" w:rsidP="005611FE">
            <w:pPr>
              <w:widowControl w:val="0"/>
              <w:ind w:right="-72"/>
              <w:contextualSpacing/>
              <w:jc w:val="right"/>
              <w:rPr>
                <w:rFonts w:ascii="Arial" w:eastAsia="Arial Unicode MS" w:hAnsi="Arial" w:cs="Arial"/>
                <w:color w:val="000000"/>
                <w:sz w:val="18"/>
                <w:szCs w:val="18"/>
              </w:rPr>
            </w:pPr>
            <w:r w:rsidRPr="00CD5714">
              <w:rPr>
                <w:rFonts w:ascii="Arial" w:eastAsia="Arial Unicode MS" w:hAnsi="Arial" w:cs="Arial"/>
                <w:color w:val="000000"/>
                <w:sz w:val="18"/>
                <w:szCs w:val="18"/>
                <w:lang w:val="en-GB"/>
              </w:rPr>
              <w:t>10</w:t>
            </w:r>
            <w:r w:rsidR="00AB4B3A" w:rsidRPr="002D2F67">
              <w:rPr>
                <w:rFonts w:ascii="Arial" w:eastAsia="Arial Unicode MS" w:hAnsi="Arial" w:cs="Arial"/>
                <w:color w:val="000000"/>
                <w:sz w:val="18"/>
                <w:szCs w:val="18"/>
              </w:rPr>
              <w:t>.</w:t>
            </w:r>
            <w:r w:rsidRPr="00CD5714">
              <w:rPr>
                <w:rFonts w:ascii="Arial" w:eastAsia="Arial Unicode MS" w:hAnsi="Arial" w:cs="Arial"/>
                <w:color w:val="000000"/>
                <w:sz w:val="18"/>
                <w:szCs w:val="18"/>
                <w:lang w:val="en-GB"/>
              </w:rPr>
              <w:t>05</w:t>
            </w:r>
            <w:r w:rsidR="00AB4B3A" w:rsidRPr="002D2F67">
              <w:rPr>
                <w:rFonts w:ascii="Arial" w:eastAsia="Arial Unicode MS" w:hAnsi="Arial" w:cs="Arial"/>
                <w:color w:val="000000"/>
                <w:sz w:val="18"/>
                <w:szCs w:val="18"/>
              </w:rPr>
              <w:t>%</w:t>
            </w:r>
          </w:p>
        </w:tc>
      </w:tr>
    </w:tbl>
    <w:p w14:paraId="22977EBC" w14:textId="28E5B37C" w:rsidR="00C445AF" w:rsidRPr="002D2F67" w:rsidRDefault="00C445AF" w:rsidP="005611FE">
      <w:pPr>
        <w:pStyle w:val="ListParagraph"/>
        <w:spacing w:after="0" w:line="240" w:lineRule="auto"/>
        <w:ind w:left="540"/>
        <w:jc w:val="both"/>
        <w:rPr>
          <w:rFonts w:ascii="Arial" w:eastAsia="Arial Unicode MS" w:hAnsi="Arial" w:cs="Arial"/>
          <w:color w:val="000000"/>
          <w:sz w:val="20"/>
          <w:szCs w:val="20"/>
        </w:rPr>
      </w:pPr>
    </w:p>
    <w:tbl>
      <w:tblPr>
        <w:tblW w:w="8931" w:type="dxa"/>
        <w:tblInd w:w="626" w:type="dxa"/>
        <w:tblLayout w:type="fixed"/>
        <w:tblLook w:val="04A0" w:firstRow="1" w:lastRow="0" w:firstColumn="1" w:lastColumn="0" w:noHBand="0" w:noVBand="1"/>
      </w:tblPr>
      <w:tblGrid>
        <w:gridCol w:w="2410"/>
        <w:gridCol w:w="1276"/>
        <w:gridCol w:w="1276"/>
        <w:gridCol w:w="1421"/>
        <w:gridCol w:w="1274"/>
        <w:gridCol w:w="1274"/>
      </w:tblGrid>
      <w:tr w:rsidR="00C445AF" w:rsidRPr="002D2F67" w14:paraId="49EB6A08" w14:textId="77777777" w:rsidTr="008255E8">
        <w:trPr>
          <w:trHeight w:val="52"/>
        </w:trPr>
        <w:tc>
          <w:tcPr>
            <w:tcW w:w="2410" w:type="dxa"/>
            <w:shd w:val="clear" w:color="auto" w:fill="auto"/>
            <w:vAlign w:val="center"/>
          </w:tcPr>
          <w:p w14:paraId="496A4032" w14:textId="77777777" w:rsidR="00C445AF" w:rsidRPr="002D2F67" w:rsidRDefault="00C445AF" w:rsidP="005611FE">
            <w:pPr>
              <w:widowControl w:val="0"/>
              <w:ind w:left="27"/>
              <w:jc w:val="right"/>
              <w:rPr>
                <w:rFonts w:ascii="Arial" w:eastAsia="Arial Unicode MS" w:hAnsi="Arial" w:cs="Arial"/>
                <w:b/>
                <w:bCs/>
                <w:color w:val="000000"/>
                <w:sz w:val="18"/>
                <w:szCs w:val="18"/>
                <w:cs/>
              </w:rPr>
            </w:pPr>
          </w:p>
        </w:tc>
        <w:tc>
          <w:tcPr>
            <w:tcW w:w="6521" w:type="dxa"/>
            <w:gridSpan w:val="5"/>
            <w:tcBorders>
              <w:bottom w:val="single" w:sz="4" w:space="0" w:color="auto"/>
            </w:tcBorders>
            <w:shd w:val="clear" w:color="auto" w:fill="auto"/>
            <w:vAlign w:val="center"/>
          </w:tcPr>
          <w:p w14:paraId="0C2D88F2" w14:textId="7F5E9270" w:rsidR="00C445AF" w:rsidRPr="002D2F67" w:rsidRDefault="00C445AF" w:rsidP="005611FE">
            <w:pPr>
              <w:widowControl w:val="0"/>
              <w:ind w:right="-72"/>
              <w:jc w:val="right"/>
              <w:rPr>
                <w:rFonts w:ascii="Arial" w:eastAsia="Arial Unicode MS" w:hAnsi="Arial" w:cs="Arial"/>
                <w:b/>
                <w:bCs/>
                <w:color w:val="000000"/>
                <w:sz w:val="18"/>
                <w:szCs w:val="18"/>
                <w:cs/>
              </w:rPr>
            </w:pPr>
            <w:r w:rsidRPr="002D2F67">
              <w:rPr>
                <w:rFonts w:ascii="Arial" w:eastAsia="Arial Unicode MS" w:hAnsi="Arial" w:cs="Arial"/>
                <w:b/>
                <w:bCs/>
                <w:color w:val="000000"/>
                <w:sz w:val="18"/>
                <w:szCs w:val="18"/>
              </w:rPr>
              <w:t>Separate financial statements</w:t>
            </w:r>
          </w:p>
        </w:tc>
      </w:tr>
      <w:tr w:rsidR="00E765A7" w:rsidRPr="002D2F67" w14:paraId="6BF96818" w14:textId="77777777" w:rsidTr="005611FE">
        <w:trPr>
          <w:trHeight w:val="52"/>
        </w:trPr>
        <w:tc>
          <w:tcPr>
            <w:tcW w:w="2410" w:type="dxa"/>
            <w:shd w:val="clear" w:color="auto" w:fill="auto"/>
          </w:tcPr>
          <w:p w14:paraId="674F7EA2" w14:textId="77777777" w:rsidR="00E765A7" w:rsidRPr="002D2F67" w:rsidRDefault="00E765A7" w:rsidP="005611FE">
            <w:pPr>
              <w:widowControl w:val="0"/>
              <w:ind w:left="27"/>
              <w:rPr>
                <w:rFonts w:ascii="Arial" w:eastAsia="Arial Unicode MS" w:hAnsi="Arial" w:cs="Arial"/>
                <w:b/>
                <w:bCs/>
                <w:color w:val="000000"/>
                <w:sz w:val="18"/>
                <w:szCs w:val="18"/>
              </w:rPr>
            </w:pPr>
          </w:p>
        </w:tc>
        <w:tc>
          <w:tcPr>
            <w:tcW w:w="1276" w:type="dxa"/>
            <w:tcBorders>
              <w:top w:val="single" w:sz="4" w:space="0" w:color="auto"/>
              <w:bottom w:val="single" w:sz="4" w:space="0" w:color="auto"/>
              <w:right w:val="nil"/>
            </w:tcBorders>
            <w:shd w:val="clear" w:color="auto" w:fill="auto"/>
          </w:tcPr>
          <w:p w14:paraId="6FBA02DC" w14:textId="77777777" w:rsidR="00E765A7" w:rsidRPr="002D2F67" w:rsidRDefault="00E765A7" w:rsidP="005611FE">
            <w:pPr>
              <w:widowControl w:val="0"/>
              <w:ind w:right="-75"/>
              <w:jc w:val="right"/>
              <w:rPr>
                <w:rFonts w:ascii="Arial" w:eastAsia="Arial Unicode MS" w:hAnsi="Arial" w:cs="Arial"/>
                <w:b/>
                <w:bCs/>
                <w:color w:val="000000"/>
                <w:sz w:val="18"/>
                <w:szCs w:val="18"/>
                <w:cs/>
              </w:rPr>
            </w:pPr>
          </w:p>
        </w:tc>
        <w:tc>
          <w:tcPr>
            <w:tcW w:w="1276" w:type="dxa"/>
            <w:tcBorders>
              <w:top w:val="single" w:sz="4" w:space="0" w:color="auto"/>
              <w:left w:val="nil"/>
              <w:bottom w:val="single" w:sz="4" w:space="0" w:color="auto"/>
            </w:tcBorders>
            <w:shd w:val="clear" w:color="auto" w:fill="auto"/>
            <w:vAlign w:val="center"/>
          </w:tcPr>
          <w:p w14:paraId="4E0CB558" w14:textId="77777777" w:rsidR="00E765A7" w:rsidRPr="002D2F67" w:rsidRDefault="00E765A7" w:rsidP="005611FE">
            <w:pPr>
              <w:widowControl w:val="0"/>
              <w:ind w:right="-75"/>
              <w:jc w:val="right"/>
              <w:rPr>
                <w:rFonts w:ascii="Arial" w:eastAsia="Arial Unicode MS" w:hAnsi="Arial" w:cs="Arial"/>
                <w:b/>
                <w:bCs/>
                <w:color w:val="000000"/>
                <w:sz w:val="18"/>
                <w:szCs w:val="18"/>
              </w:rPr>
            </w:pPr>
            <w:r w:rsidRPr="002D2F67">
              <w:rPr>
                <w:rFonts w:ascii="Arial" w:eastAsia="Arial Unicode MS" w:hAnsi="Arial" w:cs="Arial"/>
                <w:b/>
                <w:bCs/>
                <w:color w:val="000000"/>
                <w:sz w:val="18"/>
                <w:szCs w:val="18"/>
              </w:rPr>
              <w:t>Fair value</w:t>
            </w:r>
          </w:p>
        </w:tc>
        <w:tc>
          <w:tcPr>
            <w:tcW w:w="1421" w:type="dxa"/>
            <w:tcBorders>
              <w:top w:val="single" w:sz="4" w:space="0" w:color="auto"/>
            </w:tcBorders>
            <w:shd w:val="clear" w:color="auto" w:fill="auto"/>
            <w:vAlign w:val="center"/>
          </w:tcPr>
          <w:p w14:paraId="5895E1E2" w14:textId="77777777" w:rsidR="00E765A7" w:rsidRPr="002D2F67" w:rsidRDefault="00E765A7" w:rsidP="005611FE">
            <w:pPr>
              <w:widowControl w:val="0"/>
              <w:ind w:right="-72"/>
              <w:jc w:val="right"/>
              <w:rPr>
                <w:rFonts w:ascii="Arial" w:eastAsia="Arial Unicode MS" w:hAnsi="Arial" w:cs="Arial"/>
                <w:b/>
                <w:bCs/>
                <w:color w:val="000000"/>
                <w:sz w:val="18"/>
                <w:szCs w:val="18"/>
              </w:rPr>
            </w:pPr>
          </w:p>
        </w:tc>
        <w:tc>
          <w:tcPr>
            <w:tcW w:w="2548" w:type="dxa"/>
            <w:gridSpan w:val="2"/>
            <w:tcBorders>
              <w:top w:val="single" w:sz="4" w:space="0" w:color="auto"/>
              <w:bottom w:val="single" w:sz="4" w:space="0" w:color="auto"/>
            </w:tcBorders>
            <w:shd w:val="clear" w:color="auto" w:fill="auto"/>
            <w:vAlign w:val="center"/>
          </w:tcPr>
          <w:p w14:paraId="025402BB" w14:textId="77777777" w:rsidR="00E765A7" w:rsidRPr="002D2F67" w:rsidRDefault="00E765A7" w:rsidP="005611FE">
            <w:pPr>
              <w:widowControl w:val="0"/>
              <w:ind w:right="-114"/>
              <w:jc w:val="right"/>
              <w:rPr>
                <w:rFonts w:ascii="Arial" w:eastAsia="Arial Unicode MS" w:hAnsi="Arial" w:cs="Arial"/>
                <w:b/>
                <w:bCs/>
                <w:color w:val="000000"/>
                <w:sz w:val="18"/>
                <w:szCs w:val="18"/>
              </w:rPr>
            </w:pPr>
            <w:r w:rsidRPr="002D2F67">
              <w:rPr>
                <w:rFonts w:ascii="Arial" w:hAnsi="Arial" w:cs="Arial"/>
                <w:b/>
                <w:bCs/>
                <w:color w:val="000000"/>
                <w:sz w:val="18"/>
                <w:szCs w:val="18"/>
              </w:rPr>
              <w:t>Range of inputs</w:t>
            </w:r>
          </w:p>
        </w:tc>
      </w:tr>
      <w:tr w:rsidR="00BA4595" w:rsidRPr="002D2F67" w14:paraId="528D36D6" w14:textId="77777777" w:rsidTr="005611FE">
        <w:trPr>
          <w:trHeight w:val="615"/>
        </w:trPr>
        <w:tc>
          <w:tcPr>
            <w:tcW w:w="2410" w:type="dxa"/>
            <w:shd w:val="clear" w:color="auto" w:fill="auto"/>
          </w:tcPr>
          <w:p w14:paraId="5A1B4858" w14:textId="77777777" w:rsidR="00BA4595" w:rsidRPr="002D2F67" w:rsidRDefault="00BA4595" w:rsidP="005611FE">
            <w:pPr>
              <w:widowControl w:val="0"/>
              <w:rPr>
                <w:rFonts w:ascii="Arial" w:eastAsia="Arial Unicode MS" w:hAnsi="Arial" w:cs="Arial"/>
                <w:b/>
                <w:bCs/>
                <w:color w:val="000000"/>
                <w:sz w:val="18"/>
                <w:szCs w:val="18"/>
              </w:rPr>
            </w:pPr>
          </w:p>
        </w:tc>
        <w:tc>
          <w:tcPr>
            <w:tcW w:w="1276" w:type="dxa"/>
            <w:tcBorders>
              <w:top w:val="single" w:sz="4" w:space="0" w:color="auto"/>
              <w:bottom w:val="single" w:sz="4" w:space="0" w:color="auto"/>
            </w:tcBorders>
            <w:shd w:val="clear" w:color="auto" w:fill="auto"/>
            <w:vAlign w:val="bottom"/>
          </w:tcPr>
          <w:p w14:paraId="3548ABFA" w14:textId="0C0370AD" w:rsidR="00BA4595" w:rsidRPr="002D2F67" w:rsidRDefault="00CD5714" w:rsidP="005611FE">
            <w:pPr>
              <w:widowControl w:val="0"/>
              <w:ind w:right="-72"/>
              <w:jc w:val="right"/>
              <w:rPr>
                <w:rFonts w:ascii="Arial" w:eastAsia="Arial Unicode MS" w:hAnsi="Arial" w:cs="Arial"/>
                <w:b/>
                <w:bCs/>
                <w:color w:val="000000"/>
                <w:spacing w:val="-4"/>
                <w:sz w:val="18"/>
                <w:szCs w:val="18"/>
              </w:rPr>
            </w:pPr>
            <w:r w:rsidRPr="00CD5714">
              <w:rPr>
                <w:rFonts w:ascii="Arial" w:eastAsia="Arial Unicode MS" w:hAnsi="Arial" w:cs="Arial"/>
                <w:b/>
                <w:bCs/>
                <w:color w:val="000000"/>
                <w:spacing w:val="-4"/>
                <w:sz w:val="18"/>
                <w:szCs w:val="18"/>
                <w:lang w:val="en-GB"/>
              </w:rPr>
              <w:t>31</w:t>
            </w:r>
            <w:r w:rsidR="00BA4595" w:rsidRPr="002D2F67">
              <w:rPr>
                <w:rFonts w:ascii="Arial" w:eastAsia="Arial Unicode MS" w:hAnsi="Arial" w:cs="Arial"/>
                <w:b/>
                <w:bCs/>
                <w:color w:val="000000"/>
                <w:spacing w:val="-4"/>
                <w:sz w:val="18"/>
                <w:szCs w:val="18"/>
              </w:rPr>
              <w:t xml:space="preserve"> December</w:t>
            </w:r>
          </w:p>
          <w:p w14:paraId="3FFA56C9" w14:textId="5107F95A" w:rsidR="00BA4595" w:rsidRPr="002D2F67" w:rsidRDefault="00CD5714" w:rsidP="005611FE">
            <w:pPr>
              <w:widowControl w:val="0"/>
              <w:ind w:right="-72"/>
              <w:jc w:val="right"/>
              <w:rPr>
                <w:rFonts w:ascii="Arial" w:eastAsia="Arial Unicode MS" w:hAnsi="Arial" w:cs="Arial"/>
                <w:b/>
                <w:bCs/>
                <w:color w:val="000000"/>
                <w:spacing w:val="-4"/>
                <w:sz w:val="18"/>
                <w:szCs w:val="18"/>
              </w:rPr>
            </w:pPr>
            <w:r w:rsidRPr="00CD5714">
              <w:rPr>
                <w:rFonts w:ascii="Arial" w:eastAsia="Arial Unicode MS" w:hAnsi="Arial" w:cs="Arial"/>
                <w:b/>
                <w:bCs/>
                <w:color w:val="000000"/>
                <w:spacing w:val="-4"/>
                <w:sz w:val="18"/>
                <w:szCs w:val="18"/>
                <w:lang w:val="en-GB"/>
              </w:rPr>
              <w:t>2024</w:t>
            </w:r>
          </w:p>
          <w:p w14:paraId="739CBA22" w14:textId="01E02302" w:rsidR="00BA4595" w:rsidRPr="002D2F67" w:rsidRDefault="00BA4595" w:rsidP="005611FE">
            <w:pPr>
              <w:widowControl w:val="0"/>
              <w:ind w:right="-72"/>
              <w:jc w:val="right"/>
              <w:rPr>
                <w:rFonts w:ascii="Arial" w:eastAsia="Arial Unicode MS" w:hAnsi="Arial" w:cs="Arial"/>
                <w:b/>
                <w:bCs/>
                <w:color w:val="000000"/>
                <w:spacing w:val="-4"/>
                <w:sz w:val="18"/>
                <w:szCs w:val="18"/>
              </w:rPr>
            </w:pPr>
            <w:r w:rsidRPr="002D2F67">
              <w:rPr>
                <w:rFonts w:ascii="Arial" w:eastAsia="Arial Unicode MS" w:hAnsi="Arial" w:cs="Arial"/>
                <w:b/>
                <w:bCs/>
                <w:color w:val="000000"/>
                <w:spacing w:val="-4"/>
                <w:sz w:val="18"/>
                <w:szCs w:val="18"/>
              </w:rPr>
              <w:t>Million Baht</w:t>
            </w:r>
          </w:p>
        </w:tc>
        <w:tc>
          <w:tcPr>
            <w:tcW w:w="1276" w:type="dxa"/>
            <w:tcBorders>
              <w:top w:val="single" w:sz="4" w:space="0" w:color="auto"/>
              <w:bottom w:val="single" w:sz="4" w:space="0" w:color="auto"/>
            </w:tcBorders>
            <w:shd w:val="clear" w:color="auto" w:fill="auto"/>
            <w:vAlign w:val="bottom"/>
          </w:tcPr>
          <w:p w14:paraId="6AA06E95" w14:textId="3A9AE4F7" w:rsidR="00BA4595" w:rsidRPr="002D2F67" w:rsidRDefault="00CD5714" w:rsidP="005611FE">
            <w:pPr>
              <w:widowControl w:val="0"/>
              <w:ind w:right="-72"/>
              <w:jc w:val="right"/>
              <w:rPr>
                <w:rFonts w:ascii="Arial" w:eastAsia="Arial Unicode MS" w:hAnsi="Arial" w:cs="Arial"/>
                <w:b/>
                <w:bCs/>
                <w:color w:val="000000"/>
                <w:spacing w:val="-4"/>
                <w:sz w:val="18"/>
                <w:szCs w:val="18"/>
              </w:rPr>
            </w:pPr>
            <w:r w:rsidRPr="00CD5714">
              <w:rPr>
                <w:rFonts w:ascii="Arial" w:eastAsia="Arial Unicode MS" w:hAnsi="Arial" w:cs="Arial"/>
                <w:b/>
                <w:bCs/>
                <w:color w:val="000000"/>
                <w:spacing w:val="-4"/>
                <w:sz w:val="18"/>
                <w:szCs w:val="18"/>
                <w:lang w:val="en-GB"/>
              </w:rPr>
              <w:t>31</w:t>
            </w:r>
            <w:r w:rsidR="00BA4595" w:rsidRPr="002D2F67">
              <w:rPr>
                <w:rFonts w:ascii="Arial" w:eastAsia="Arial Unicode MS" w:hAnsi="Arial" w:cs="Arial"/>
                <w:b/>
                <w:bCs/>
                <w:color w:val="000000"/>
                <w:spacing w:val="-4"/>
                <w:sz w:val="18"/>
                <w:szCs w:val="18"/>
              </w:rPr>
              <w:t xml:space="preserve"> December</w:t>
            </w:r>
          </w:p>
          <w:p w14:paraId="27BF3F2B" w14:textId="5C5E06F4" w:rsidR="00BA4595" w:rsidRPr="002D2F67" w:rsidRDefault="00CD5714" w:rsidP="005611FE">
            <w:pPr>
              <w:widowControl w:val="0"/>
              <w:ind w:right="-72"/>
              <w:jc w:val="right"/>
              <w:rPr>
                <w:rFonts w:ascii="Arial" w:eastAsia="Arial Unicode MS" w:hAnsi="Arial" w:cs="Arial"/>
                <w:b/>
                <w:bCs/>
                <w:color w:val="000000"/>
                <w:spacing w:val="-4"/>
                <w:sz w:val="18"/>
                <w:szCs w:val="18"/>
              </w:rPr>
            </w:pPr>
            <w:r w:rsidRPr="00CD5714">
              <w:rPr>
                <w:rFonts w:ascii="Arial" w:eastAsia="Arial Unicode MS" w:hAnsi="Arial" w:cs="Arial"/>
                <w:b/>
                <w:bCs/>
                <w:color w:val="000000"/>
                <w:spacing w:val="-4"/>
                <w:sz w:val="18"/>
                <w:szCs w:val="18"/>
                <w:lang w:val="en-GB"/>
              </w:rPr>
              <w:t>2023</w:t>
            </w:r>
          </w:p>
          <w:p w14:paraId="303092AC" w14:textId="6EE723D1" w:rsidR="00BA4595" w:rsidRPr="002D2F67" w:rsidRDefault="00BA4595" w:rsidP="005611FE">
            <w:pPr>
              <w:widowControl w:val="0"/>
              <w:ind w:right="-72"/>
              <w:jc w:val="right"/>
              <w:rPr>
                <w:rFonts w:ascii="Arial" w:eastAsia="Arial Unicode MS" w:hAnsi="Arial" w:cs="Arial"/>
                <w:b/>
                <w:bCs/>
                <w:color w:val="000000"/>
                <w:spacing w:val="-4"/>
                <w:sz w:val="18"/>
                <w:szCs w:val="18"/>
              </w:rPr>
            </w:pPr>
            <w:r w:rsidRPr="002D2F67">
              <w:rPr>
                <w:rFonts w:ascii="Arial" w:eastAsia="Arial Unicode MS" w:hAnsi="Arial" w:cs="Arial"/>
                <w:b/>
                <w:bCs/>
                <w:color w:val="000000"/>
                <w:spacing w:val="-4"/>
                <w:sz w:val="18"/>
                <w:szCs w:val="18"/>
              </w:rPr>
              <w:t>Million Baht</w:t>
            </w:r>
          </w:p>
        </w:tc>
        <w:tc>
          <w:tcPr>
            <w:tcW w:w="1421" w:type="dxa"/>
            <w:tcBorders>
              <w:bottom w:val="single" w:sz="4" w:space="0" w:color="auto"/>
            </w:tcBorders>
            <w:shd w:val="clear" w:color="auto" w:fill="auto"/>
            <w:vAlign w:val="bottom"/>
          </w:tcPr>
          <w:p w14:paraId="63A0690C" w14:textId="77777777" w:rsidR="00BA4595" w:rsidRPr="002D2F67" w:rsidRDefault="00BA4595" w:rsidP="005611FE">
            <w:pPr>
              <w:jc w:val="center"/>
              <w:rPr>
                <w:rFonts w:ascii="Arial" w:eastAsia="Arial Unicode MS" w:hAnsi="Arial" w:cs="Arial"/>
                <w:b/>
                <w:bCs/>
                <w:color w:val="000000"/>
                <w:spacing w:val="-4"/>
                <w:sz w:val="18"/>
                <w:szCs w:val="18"/>
              </w:rPr>
            </w:pPr>
            <w:r w:rsidRPr="002D2F67">
              <w:rPr>
                <w:rFonts w:ascii="Arial" w:eastAsia="Arial Unicode MS" w:hAnsi="Arial" w:cs="Arial"/>
                <w:b/>
                <w:bCs/>
                <w:color w:val="000000"/>
                <w:spacing w:val="-4"/>
                <w:sz w:val="18"/>
                <w:szCs w:val="18"/>
              </w:rPr>
              <w:t>Unobservable</w:t>
            </w:r>
          </w:p>
          <w:p w14:paraId="4FC8F21F" w14:textId="1BEAD71D" w:rsidR="00BA4595" w:rsidRPr="002D2F67" w:rsidRDefault="00BA4595" w:rsidP="005611FE">
            <w:pPr>
              <w:jc w:val="center"/>
              <w:rPr>
                <w:rFonts w:ascii="Arial" w:hAnsi="Arial" w:cs="Arial"/>
                <w:color w:val="000000"/>
                <w:spacing w:val="-4"/>
                <w:sz w:val="18"/>
                <w:szCs w:val="18"/>
              </w:rPr>
            </w:pPr>
            <w:r w:rsidRPr="002D2F67">
              <w:rPr>
                <w:rFonts w:ascii="Arial" w:eastAsia="Arial Unicode MS" w:hAnsi="Arial" w:cs="Arial"/>
                <w:b/>
                <w:bCs/>
                <w:color w:val="000000"/>
                <w:spacing w:val="-4"/>
                <w:sz w:val="18"/>
                <w:szCs w:val="18"/>
              </w:rPr>
              <w:t>inputs</w:t>
            </w:r>
          </w:p>
        </w:tc>
        <w:tc>
          <w:tcPr>
            <w:tcW w:w="1274" w:type="dxa"/>
            <w:tcBorders>
              <w:top w:val="single" w:sz="4" w:space="0" w:color="auto"/>
              <w:bottom w:val="single" w:sz="4" w:space="0" w:color="auto"/>
            </w:tcBorders>
            <w:shd w:val="clear" w:color="auto" w:fill="auto"/>
            <w:vAlign w:val="bottom"/>
          </w:tcPr>
          <w:p w14:paraId="30FB8389" w14:textId="3C153819" w:rsidR="00BA4595" w:rsidRPr="002D2F67" w:rsidRDefault="00CD5714" w:rsidP="005611FE">
            <w:pPr>
              <w:widowControl w:val="0"/>
              <w:ind w:right="-72"/>
              <w:jc w:val="right"/>
              <w:rPr>
                <w:rFonts w:ascii="Arial" w:eastAsia="Arial Unicode MS" w:hAnsi="Arial" w:cs="Arial"/>
                <w:b/>
                <w:bCs/>
                <w:color w:val="000000"/>
                <w:spacing w:val="-4"/>
                <w:sz w:val="18"/>
                <w:szCs w:val="18"/>
              </w:rPr>
            </w:pPr>
            <w:r w:rsidRPr="00CD5714">
              <w:rPr>
                <w:rFonts w:ascii="Arial" w:eastAsia="Arial Unicode MS" w:hAnsi="Arial" w:cs="Arial"/>
                <w:b/>
                <w:bCs/>
                <w:color w:val="000000"/>
                <w:spacing w:val="-4"/>
                <w:sz w:val="18"/>
                <w:szCs w:val="18"/>
                <w:lang w:val="en-GB"/>
              </w:rPr>
              <w:t>31</w:t>
            </w:r>
            <w:r w:rsidR="00BA4595" w:rsidRPr="002D2F67">
              <w:rPr>
                <w:rFonts w:ascii="Arial" w:eastAsia="Arial Unicode MS" w:hAnsi="Arial" w:cs="Arial"/>
                <w:b/>
                <w:bCs/>
                <w:color w:val="000000"/>
                <w:spacing w:val="-4"/>
                <w:sz w:val="18"/>
                <w:szCs w:val="18"/>
              </w:rPr>
              <w:t xml:space="preserve"> December</w:t>
            </w:r>
          </w:p>
          <w:p w14:paraId="19453EA2" w14:textId="26B62B1F" w:rsidR="00BA4595" w:rsidRPr="002D2F67" w:rsidRDefault="00CD5714" w:rsidP="005611FE">
            <w:pPr>
              <w:widowControl w:val="0"/>
              <w:ind w:right="-72"/>
              <w:jc w:val="right"/>
              <w:rPr>
                <w:rFonts w:ascii="Arial" w:eastAsia="Arial Unicode MS" w:hAnsi="Arial" w:cs="Arial"/>
                <w:b/>
                <w:bCs/>
                <w:color w:val="000000"/>
                <w:spacing w:val="-4"/>
                <w:sz w:val="18"/>
                <w:szCs w:val="18"/>
              </w:rPr>
            </w:pPr>
            <w:r w:rsidRPr="00CD5714">
              <w:rPr>
                <w:rFonts w:ascii="Arial" w:eastAsia="Arial Unicode MS" w:hAnsi="Arial" w:cs="Arial"/>
                <w:b/>
                <w:bCs/>
                <w:color w:val="000000"/>
                <w:spacing w:val="-4"/>
                <w:sz w:val="18"/>
                <w:szCs w:val="18"/>
                <w:lang w:val="en-GB"/>
              </w:rPr>
              <w:t>2024</w:t>
            </w:r>
          </w:p>
        </w:tc>
        <w:tc>
          <w:tcPr>
            <w:tcW w:w="1274" w:type="dxa"/>
            <w:tcBorders>
              <w:top w:val="single" w:sz="4" w:space="0" w:color="auto"/>
              <w:bottom w:val="single" w:sz="4" w:space="0" w:color="auto"/>
            </w:tcBorders>
            <w:shd w:val="clear" w:color="auto" w:fill="auto"/>
            <w:vAlign w:val="bottom"/>
          </w:tcPr>
          <w:p w14:paraId="2A211558" w14:textId="047AEE69" w:rsidR="00BA4595" w:rsidRPr="002D2F67" w:rsidRDefault="00CD5714" w:rsidP="005611FE">
            <w:pPr>
              <w:widowControl w:val="0"/>
              <w:ind w:right="-72"/>
              <w:jc w:val="right"/>
              <w:rPr>
                <w:rFonts w:ascii="Arial" w:eastAsia="Arial Unicode MS" w:hAnsi="Arial" w:cs="Arial"/>
                <w:b/>
                <w:bCs/>
                <w:color w:val="000000"/>
                <w:spacing w:val="-4"/>
                <w:sz w:val="18"/>
                <w:szCs w:val="18"/>
              </w:rPr>
            </w:pPr>
            <w:r w:rsidRPr="00CD5714">
              <w:rPr>
                <w:rFonts w:ascii="Arial" w:eastAsia="Arial Unicode MS" w:hAnsi="Arial" w:cs="Arial"/>
                <w:b/>
                <w:bCs/>
                <w:color w:val="000000"/>
                <w:spacing w:val="-4"/>
                <w:sz w:val="18"/>
                <w:szCs w:val="18"/>
                <w:lang w:val="en-GB"/>
              </w:rPr>
              <w:t>31</w:t>
            </w:r>
            <w:r w:rsidR="00BA4595" w:rsidRPr="002D2F67">
              <w:rPr>
                <w:rFonts w:ascii="Arial" w:eastAsia="Arial Unicode MS" w:hAnsi="Arial" w:cs="Arial"/>
                <w:b/>
                <w:bCs/>
                <w:color w:val="000000"/>
                <w:spacing w:val="-4"/>
                <w:sz w:val="18"/>
                <w:szCs w:val="18"/>
              </w:rPr>
              <w:t xml:space="preserve"> December</w:t>
            </w:r>
          </w:p>
          <w:p w14:paraId="2FA7C715" w14:textId="07C2F8B1" w:rsidR="00BA4595" w:rsidRPr="002D2F67" w:rsidRDefault="00CD5714" w:rsidP="005611FE">
            <w:pPr>
              <w:widowControl w:val="0"/>
              <w:ind w:right="-72"/>
              <w:jc w:val="right"/>
              <w:rPr>
                <w:rFonts w:ascii="Arial" w:eastAsia="Arial Unicode MS" w:hAnsi="Arial" w:cs="Arial"/>
                <w:b/>
                <w:bCs/>
                <w:color w:val="000000"/>
                <w:spacing w:val="-4"/>
                <w:sz w:val="18"/>
                <w:szCs w:val="18"/>
              </w:rPr>
            </w:pPr>
            <w:r w:rsidRPr="00CD5714">
              <w:rPr>
                <w:rFonts w:ascii="Arial" w:eastAsia="Arial Unicode MS" w:hAnsi="Arial" w:cs="Arial"/>
                <w:b/>
                <w:bCs/>
                <w:color w:val="000000"/>
                <w:spacing w:val="-4"/>
                <w:sz w:val="18"/>
                <w:szCs w:val="18"/>
                <w:lang w:val="en-GB"/>
              </w:rPr>
              <w:t>2023</w:t>
            </w:r>
          </w:p>
        </w:tc>
      </w:tr>
      <w:tr w:rsidR="00BA4595" w:rsidRPr="002D2F67" w14:paraId="19E853D5" w14:textId="77777777" w:rsidTr="005611FE">
        <w:trPr>
          <w:trHeight w:val="323"/>
        </w:trPr>
        <w:tc>
          <w:tcPr>
            <w:tcW w:w="2410" w:type="dxa"/>
            <w:shd w:val="clear" w:color="auto" w:fill="auto"/>
          </w:tcPr>
          <w:p w14:paraId="0E7D9127" w14:textId="77777777" w:rsidR="00BA4595" w:rsidRPr="002D2F67" w:rsidRDefault="00BA4595" w:rsidP="005611FE">
            <w:pPr>
              <w:widowControl w:val="0"/>
              <w:ind w:left="27"/>
              <w:rPr>
                <w:rFonts w:ascii="Arial" w:eastAsia="Arial Unicode MS" w:hAnsi="Arial" w:cs="Arial"/>
                <w:b/>
                <w:bCs/>
                <w:color w:val="000000"/>
                <w:sz w:val="18"/>
                <w:szCs w:val="18"/>
              </w:rPr>
            </w:pPr>
          </w:p>
        </w:tc>
        <w:tc>
          <w:tcPr>
            <w:tcW w:w="1276" w:type="dxa"/>
            <w:tcBorders>
              <w:top w:val="single" w:sz="4" w:space="0" w:color="auto"/>
            </w:tcBorders>
            <w:shd w:val="clear" w:color="auto" w:fill="auto"/>
          </w:tcPr>
          <w:p w14:paraId="02363DBE" w14:textId="77777777" w:rsidR="00BA4595" w:rsidRPr="002D2F67" w:rsidRDefault="00BA4595" w:rsidP="005611FE">
            <w:pPr>
              <w:widowControl w:val="0"/>
              <w:ind w:right="-72"/>
              <w:jc w:val="right"/>
              <w:rPr>
                <w:rFonts w:ascii="Arial" w:eastAsia="Arial Unicode MS" w:hAnsi="Arial" w:cs="Arial"/>
                <w:b/>
                <w:bCs/>
                <w:color w:val="000000"/>
                <w:sz w:val="18"/>
                <w:szCs w:val="18"/>
                <w:cs/>
              </w:rPr>
            </w:pPr>
          </w:p>
        </w:tc>
        <w:tc>
          <w:tcPr>
            <w:tcW w:w="1276" w:type="dxa"/>
            <w:tcBorders>
              <w:top w:val="single" w:sz="4" w:space="0" w:color="auto"/>
            </w:tcBorders>
            <w:shd w:val="clear" w:color="auto" w:fill="auto"/>
          </w:tcPr>
          <w:p w14:paraId="75EB5AD1" w14:textId="77777777" w:rsidR="00BA4595" w:rsidRPr="002D2F67" w:rsidRDefault="00BA4595" w:rsidP="005611FE">
            <w:pPr>
              <w:widowControl w:val="0"/>
              <w:ind w:right="-72"/>
              <w:jc w:val="right"/>
              <w:rPr>
                <w:rFonts w:ascii="Arial" w:eastAsia="Arial Unicode MS" w:hAnsi="Arial" w:cs="Arial"/>
                <w:b/>
                <w:bCs/>
                <w:color w:val="000000"/>
                <w:sz w:val="18"/>
                <w:szCs w:val="18"/>
                <w:cs/>
              </w:rPr>
            </w:pPr>
          </w:p>
        </w:tc>
        <w:tc>
          <w:tcPr>
            <w:tcW w:w="1421" w:type="dxa"/>
            <w:tcBorders>
              <w:top w:val="single" w:sz="4" w:space="0" w:color="auto"/>
            </w:tcBorders>
            <w:shd w:val="clear" w:color="auto" w:fill="auto"/>
          </w:tcPr>
          <w:p w14:paraId="6107F7FE" w14:textId="77777777" w:rsidR="00BA4595" w:rsidRPr="002D2F67" w:rsidRDefault="00BA4595" w:rsidP="005611FE">
            <w:pPr>
              <w:widowControl w:val="0"/>
              <w:ind w:right="-72"/>
              <w:jc w:val="center"/>
              <w:rPr>
                <w:rFonts w:ascii="Arial" w:eastAsia="Arial Unicode MS" w:hAnsi="Arial" w:cs="Arial"/>
                <w:b/>
                <w:bCs/>
                <w:color w:val="000000"/>
                <w:sz w:val="18"/>
                <w:szCs w:val="18"/>
                <w:cs/>
              </w:rPr>
            </w:pPr>
          </w:p>
        </w:tc>
        <w:tc>
          <w:tcPr>
            <w:tcW w:w="1274" w:type="dxa"/>
            <w:tcBorders>
              <w:top w:val="single" w:sz="4" w:space="0" w:color="auto"/>
            </w:tcBorders>
            <w:shd w:val="clear" w:color="auto" w:fill="auto"/>
          </w:tcPr>
          <w:p w14:paraId="09C1A39E" w14:textId="77777777" w:rsidR="00BA4595" w:rsidRPr="002D2F67" w:rsidRDefault="00BA4595" w:rsidP="005611FE">
            <w:pPr>
              <w:widowControl w:val="0"/>
              <w:ind w:right="-72"/>
              <w:jc w:val="right"/>
              <w:rPr>
                <w:rFonts w:ascii="Arial" w:eastAsia="Arial Unicode MS" w:hAnsi="Arial" w:cs="Arial"/>
                <w:b/>
                <w:bCs/>
                <w:color w:val="000000"/>
                <w:sz w:val="18"/>
                <w:szCs w:val="18"/>
                <w:cs/>
              </w:rPr>
            </w:pPr>
          </w:p>
        </w:tc>
        <w:tc>
          <w:tcPr>
            <w:tcW w:w="1274" w:type="dxa"/>
            <w:tcBorders>
              <w:top w:val="single" w:sz="4" w:space="0" w:color="auto"/>
            </w:tcBorders>
            <w:shd w:val="clear" w:color="auto" w:fill="auto"/>
          </w:tcPr>
          <w:p w14:paraId="64AE9DCB" w14:textId="77777777" w:rsidR="00BA4595" w:rsidRPr="002D2F67" w:rsidRDefault="00BA4595" w:rsidP="005611FE">
            <w:pPr>
              <w:widowControl w:val="0"/>
              <w:ind w:right="-72"/>
              <w:jc w:val="right"/>
              <w:rPr>
                <w:rFonts w:ascii="Arial" w:eastAsia="Arial Unicode MS" w:hAnsi="Arial" w:cs="Arial"/>
                <w:b/>
                <w:bCs/>
                <w:color w:val="000000"/>
                <w:sz w:val="18"/>
                <w:szCs w:val="18"/>
                <w:cs/>
              </w:rPr>
            </w:pPr>
          </w:p>
        </w:tc>
      </w:tr>
      <w:tr w:rsidR="00AB4B3A" w:rsidRPr="002D2F67" w14:paraId="57204E10" w14:textId="77777777" w:rsidTr="005611FE">
        <w:trPr>
          <w:trHeight w:val="619"/>
        </w:trPr>
        <w:tc>
          <w:tcPr>
            <w:tcW w:w="2410" w:type="dxa"/>
            <w:shd w:val="clear" w:color="auto" w:fill="auto"/>
          </w:tcPr>
          <w:p w14:paraId="030A01DD" w14:textId="54CBE220" w:rsidR="00AB4B3A" w:rsidRPr="002D2F67" w:rsidRDefault="00AB4B3A" w:rsidP="005611FE">
            <w:pPr>
              <w:widowControl w:val="0"/>
              <w:ind w:left="-72" w:right="-113"/>
              <w:rPr>
                <w:rFonts w:ascii="Arial" w:eastAsia="Arial Unicode MS" w:hAnsi="Arial" w:cs="Arial"/>
                <w:color w:val="000000"/>
                <w:sz w:val="18"/>
                <w:szCs w:val="18"/>
              </w:rPr>
            </w:pPr>
            <w:r w:rsidRPr="002D2F67">
              <w:rPr>
                <w:rFonts w:ascii="Arial" w:eastAsia="Arial Unicode MS" w:hAnsi="Arial" w:cs="Arial"/>
                <w:color w:val="000000"/>
                <w:sz w:val="18"/>
                <w:szCs w:val="18"/>
              </w:rPr>
              <w:t>Financial assets measured</w:t>
            </w:r>
          </w:p>
          <w:p w14:paraId="31F62000" w14:textId="26FA380E" w:rsidR="00AB4B3A" w:rsidRPr="002D2F67" w:rsidRDefault="00AB4B3A" w:rsidP="005611FE">
            <w:pPr>
              <w:widowControl w:val="0"/>
              <w:ind w:left="-72" w:right="-113"/>
              <w:rPr>
                <w:rFonts w:ascii="Arial" w:eastAsia="Arial Unicode MS" w:hAnsi="Arial" w:cs="Arial"/>
                <w:color w:val="000000"/>
                <w:sz w:val="18"/>
                <w:szCs w:val="18"/>
              </w:rPr>
            </w:pPr>
            <w:r w:rsidRPr="002D2F67">
              <w:rPr>
                <w:rFonts w:ascii="Arial" w:eastAsia="Arial Unicode MS" w:hAnsi="Arial" w:cs="Arial"/>
                <w:color w:val="000000"/>
                <w:sz w:val="18"/>
                <w:szCs w:val="18"/>
              </w:rPr>
              <w:t xml:space="preserve">   at fair value through other </w:t>
            </w:r>
          </w:p>
          <w:p w14:paraId="6669F2FE" w14:textId="4A3679FE" w:rsidR="00AB4B3A" w:rsidRPr="002D2F67" w:rsidRDefault="00AB4B3A" w:rsidP="005611FE">
            <w:pPr>
              <w:widowControl w:val="0"/>
              <w:ind w:left="-72" w:right="-113"/>
              <w:rPr>
                <w:rFonts w:ascii="Arial" w:eastAsia="Arial Unicode MS" w:hAnsi="Arial" w:cs="Arial"/>
                <w:color w:val="000000"/>
                <w:sz w:val="18"/>
                <w:szCs w:val="18"/>
              </w:rPr>
            </w:pPr>
            <w:r w:rsidRPr="002D2F67">
              <w:rPr>
                <w:rFonts w:ascii="Arial" w:eastAsia="Arial Unicode MS" w:hAnsi="Arial" w:cs="Arial"/>
                <w:color w:val="000000"/>
                <w:sz w:val="18"/>
                <w:szCs w:val="18"/>
              </w:rPr>
              <w:t xml:space="preserve">   comprehensive income</w:t>
            </w:r>
          </w:p>
        </w:tc>
        <w:tc>
          <w:tcPr>
            <w:tcW w:w="1276" w:type="dxa"/>
            <w:shd w:val="clear" w:color="auto" w:fill="auto"/>
          </w:tcPr>
          <w:p w14:paraId="099BE2BA" w14:textId="27264A4B" w:rsidR="00AB4B3A" w:rsidRPr="002D2F67" w:rsidRDefault="00CD5714" w:rsidP="005611FE">
            <w:pPr>
              <w:ind w:left="-86" w:right="-72"/>
              <w:jc w:val="right"/>
              <w:rPr>
                <w:rFonts w:ascii="Arial" w:eastAsia="Arial Unicode MS" w:hAnsi="Arial" w:cs="Arial"/>
                <w:color w:val="000000"/>
                <w:sz w:val="18"/>
                <w:szCs w:val="18"/>
              </w:rPr>
            </w:pPr>
            <w:r w:rsidRPr="00CD5714">
              <w:rPr>
                <w:rFonts w:ascii="Arial" w:eastAsia="Arial Unicode MS" w:hAnsi="Arial" w:cs="Arial"/>
                <w:color w:val="000000"/>
                <w:sz w:val="18"/>
                <w:szCs w:val="18"/>
                <w:lang w:val="en-GB"/>
              </w:rPr>
              <w:t>3</w:t>
            </w:r>
            <w:r w:rsidR="00DB2B9A" w:rsidRPr="002D2F67">
              <w:rPr>
                <w:rFonts w:ascii="Arial" w:eastAsia="Arial Unicode MS" w:hAnsi="Arial" w:cs="Arial"/>
                <w:color w:val="000000"/>
                <w:sz w:val="18"/>
                <w:szCs w:val="18"/>
              </w:rPr>
              <w:t>,</w:t>
            </w:r>
            <w:r w:rsidRPr="00CD5714">
              <w:rPr>
                <w:rFonts w:ascii="Arial" w:eastAsia="Arial Unicode MS" w:hAnsi="Arial" w:cs="Arial"/>
                <w:color w:val="000000"/>
                <w:sz w:val="18"/>
                <w:szCs w:val="18"/>
                <w:lang w:val="en-GB"/>
              </w:rPr>
              <w:t>938</w:t>
            </w:r>
          </w:p>
        </w:tc>
        <w:tc>
          <w:tcPr>
            <w:tcW w:w="1276" w:type="dxa"/>
            <w:shd w:val="clear" w:color="auto" w:fill="auto"/>
          </w:tcPr>
          <w:p w14:paraId="3C55C074" w14:textId="136549AA" w:rsidR="00AB4B3A" w:rsidRPr="002D2F67" w:rsidRDefault="00CD5714" w:rsidP="005611FE">
            <w:pPr>
              <w:ind w:left="-86" w:right="-72"/>
              <w:jc w:val="right"/>
              <w:rPr>
                <w:rFonts w:ascii="Arial" w:eastAsia="Arial Unicode MS" w:hAnsi="Arial" w:cs="Arial"/>
                <w:color w:val="000000"/>
                <w:sz w:val="18"/>
                <w:szCs w:val="18"/>
              </w:rPr>
            </w:pPr>
            <w:r w:rsidRPr="00CD5714">
              <w:rPr>
                <w:rFonts w:ascii="Arial" w:eastAsia="Arial Unicode MS" w:hAnsi="Arial" w:cs="Arial"/>
                <w:color w:val="000000"/>
                <w:sz w:val="18"/>
                <w:szCs w:val="18"/>
                <w:lang w:val="en-GB"/>
              </w:rPr>
              <w:t>4</w:t>
            </w:r>
            <w:r w:rsidR="00AB4B3A" w:rsidRPr="002D2F67">
              <w:rPr>
                <w:rFonts w:ascii="Arial" w:eastAsia="Arial Unicode MS" w:hAnsi="Arial" w:cs="Arial"/>
                <w:color w:val="000000"/>
                <w:sz w:val="18"/>
                <w:szCs w:val="18"/>
              </w:rPr>
              <w:t>,</w:t>
            </w:r>
            <w:r w:rsidRPr="00CD5714">
              <w:rPr>
                <w:rFonts w:ascii="Arial" w:eastAsia="Arial Unicode MS" w:hAnsi="Arial" w:cs="Arial"/>
                <w:color w:val="000000"/>
                <w:sz w:val="18"/>
                <w:szCs w:val="18"/>
                <w:lang w:val="en-GB"/>
              </w:rPr>
              <w:t>841</w:t>
            </w:r>
          </w:p>
        </w:tc>
        <w:tc>
          <w:tcPr>
            <w:tcW w:w="1421" w:type="dxa"/>
            <w:shd w:val="clear" w:color="auto" w:fill="auto"/>
          </w:tcPr>
          <w:p w14:paraId="6B6FF03C" w14:textId="77777777" w:rsidR="00AB4B3A" w:rsidRPr="002D2F67" w:rsidRDefault="00AB4B3A" w:rsidP="005611FE">
            <w:pPr>
              <w:widowControl w:val="0"/>
              <w:ind w:left="-121" w:right="-104"/>
              <w:jc w:val="center"/>
              <w:rPr>
                <w:rFonts w:ascii="Arial" w:hAnsi="Arial" w:cs="Arial"/>
                <w:color w:val="000000"/>
                <w:sz w:val="18"/>
                <w:szCs w:val="18"/>
              </w:rPr>
            </w:pPr>
            <w:r w:rsidRPr="002D2F67">
              <w:rPr>
                <w:rFonts w:ascii="Arial" w:hAnsi="Arial" w:cs="Arial"/>
                <w:color w:val="000000"/>
                <w:sz w:val="18"/>
                <w:szCs w:val="18"/>
              </w:rPr>
              <w:t xml:space="preserve">Risk-adjusted </w:t>
            </w:r>
          </w:p>
          <w:p w14:paraId="40C4F589" w14:textId="464BF7D8" w:rsidR="00AB4B3A" w:rsidRPr="002D2F67" w:rsidRDefault="00AB4B3A" w:rsidP="005611FE">
            <w:pPr>
              <w:widowControl w:val="0"/>
              <w:ind w:left="-121" w:right="-104"/>
              <w:jc w:val="center"/>
              <w:rPr>
                <w:rFonts w:ascii="Arial" w:eastAsia="Arial Unicode MS" w:hAnsi="Arial" w:cs="Arial"/>
                <w:color w:val="000000"/>
                <w:sz w:val="18"/>
                <w:szCs w:val="18"/>
                <w:cs/>
              </w:rPr>
            </w:pPr>
            <w:r w:rsidRPr="002D2F67">
              <w:rPr>
                <w:rFonts w:ascii="Arial" w:hAnsi="Arial" w:cs="Arial"/>
                <w:color w:val="000000"/>
                <w:sz w:val="18"/>
                <w:szCs w:val="18"/>
              </w:rPr>
              <w:t>discount rate</w:t>
            </w:r>
          </w:p>
        </w:tc>
        <w:tc>
          <w:tcPr>
            <w:tcW w:w="1274" w:type="dxa"/>
            <w:shd w:val="clear" w:color="auto" w:fill="auto"/>
          </w:tcPr>
          <w:p w14:paraId="5F0C68FA" w14:textId="75867297" w:rsidR="00AB4B3A" w:rsidRPr="002D2F67" w:rsidRDefault="00CD5714" w:rsidP="005611FE">
            <w:pPr>
              <w:widowControl w:val="0"/>
              <w:ind w:right="-72"/>
              <w:jc w:val="right"/>
              <w:rPr>
                <w:rFonts w:ascii="Arial" w:eastAsia="Arial Unicode MS" w:hAnsi="Arial" w:cs="Arial"/>
                <w:color w:val="000000"/>
                <w:sz w:val="18"/>
                <w:szCs w:val="18"/>
                <w:cs/>
              </w:rPr>
            </w:pPr>
            <w:r w:rsidRPr="00CD5714">
              <w:rPr>
                <w:rFonts w:ascii="Arial" w:eastAsia="Arial Unicode MS" w:hAnsi="Arial" w:cs="Arial"/>
                <w:color w:val="000000"/>
                <w:sz w:val="18"/>
                <w:szCs w:val="18"/>
                <w:lang w:val="en-GB"/>
              </w:rPr>
              <w:t>9</w:t>
            </w:r>
            <w:r w:rsidR="006E1091" w:rsidRPr="002D2F67">
              <w:rPr>
                <w:rFonts w:ascii="Arial" w:eastAsia="Arial Unicode MS" w:hAnsi="Arial" w:cs="Arial"/>
                <w:color w:val="000000"/>
                <w:sz w:val="18"/>
                <w:szCs w:val="18"/>
              </w:rPr>
              <w:t>.</w:t>
            </w:r>
            <w:r w:rsidRPr="00CD5714">
              <w:rPr>
                <w:rFonts w:ascii="Arial" w:eastAsia="Arial Unicode MS" w:hAnsi="Arial" w:cs="Arial"/>
                <w:color w:val="000000"/>
                <w:sz w:val="18"/>
                <w:szCs w:val="18"/>
                <w:lang w:val="en-GB"/>
              </w:rPr>
              <w:t>95</w:t>
            </w:r>
            <w:r w:rsidR="00AB4B3A" w:rsidRPr="002D2F67">
              <w:rPr>
                <w:rFonts w:ascii="Arial" w:eastAsia="Arial Unicode MS" w:hAnsi="Arial" w:cs="Arial"/>
                <w:color w:val="000000"/>
                <w:sz w:val="18"/>
                <w:szCs w:val="18"/>
              </w:rPr>
              <w:t>%</w:t>
            </w:r>
          </w:p>
        </w:tc>
        <w:tc>
          <w:tcPr>
            <w:tcW w:w="1274" w:type="dxa"/>
            <w:shd w:val="clear" w:color="auto" w:fill="auto"/>
          </w:tcPr>
          <w:p w14:paraId="7A242159" w14:textId="1AC2BCD5" w:rsidR="00AB4B3A" w:rsidRPr="002D2F67" w:rsidRDefault="00CD5714" w:rsidP="005611FE">
            <w:pPr>
              <w:widowControl w:val="0"/>
              <w:ind w:right="-72"/>
              <w:jc w:val="right"/>
              <w:rPr>
                <w:rFonts w:ascii="Arial" w:eastAsia="Arial Unicode MS" w:hAnsi="Arial" w:cs="Arial"/>
                <w:color w:val="000000"/>
                <w:sz w:val="18"/>
                <w:szCs w:val="18"/>
              </w:rPr>
            </w:pPr>
            <w:r w:rsidRPr="00CD5714">
              <w:rPr>
                <w:rFonts w:ascii="Arial" w:eastAsia="Arial Unicode MS" w:hAnsi="Arial" w:cs="Arial"/>
                <w:color w:val="000000"/>
                <w:sz w:val="18"/>
                <w:szCs w:val="18"/>
                <w:lang w:val="en-GB"/>
              </w:rPr>
              <w:t>8</w:t>
            </w:r>
            <w:r w:rsidR="00AB4B3A" w:rsidRPr="002D2F67">
              <w:rPr>
                <w:rFonts w:ascii="Arial" w:eastAsia="Arial Unicode MS" w:hAnsi="Arial" w:cs="Arial"/>
                <w:color w:val="000000"/>
                <w:sz w:val="18"/>
                <w:szCs w:val="18"/>
              </w:rPr>
              <w:t>.</w:t>
            </w:r>
            <w:r w:rsidRPr="00CD5714">
              <w:rPr>
                <w:rFonts w:ascii="Arial" w:eastAsia="Arial Unicode MS" w:hAnsi="Arial" w:cs="Arial"/>
                <w:color w:val="000000"/>
                <w:sz w:val="18"/>
                <w:szCs w:val="18"/>
                <w:lang w:val="en-GB"/>
              </w:rPr>
              <w:t>55</w:t>
            </w:r>
            <w:r w:rsidR="00AB4B3A" w:rsidRPr="002D2F67">
              <w:rPr>
                <w:rFonts w:ascii="Arial" w:eastAsia="Arial Unicode MS" w:hAnsi="Arial" w:cs="Arial"/>
                <w:color w:val="000000"/>
                <w:sz w:val="18"/>
                <w:szCs w:val="18"/>
              </w:rPr>
              <w:t>%</w:t>
            </w:r>
          </w:p>
        </w:tc>
      </w:tr>
      <w:tr w:rsidR="00AB4B3A" w:rsidRPr="002D2F67" w14:paraId="3D925F70" w14:textId="77777777" w:rsidTr="005611FE">
        <w:trPr>
          <w:trHeight w:val="561"/>
        </w:trPr>
        <w:tc>
          <w:tcPr>
            <w:tcW w:w="2410" w:type="dxa"/>
            <w:shd w:val="clear" w:color="auto" w:fill="auto"/>
          </w:tcPr>
          <w:p w14:paraId="0D5FAA09" w14:textId="77777777" w:rsidR="00AB4B3A" w:rsidRPr="002D2F67" w:rsidRDefault="00AB4B3A" w:rsidP="005611FE">
            <w:pPr>
              <w:ind w:left="27"/>
              <w:rPr>
                <w:rFonts w:ascii="Arial" w:eastAsia="Arial Unicode MS" w:hAnsi="Arial" w:cs="Arial"/>
                <w:color w:val="000000"/>
                <w:sz w:val="18"/>
                <w:szCs w:val="18"/>
                <w:cs/>
              </w:rPr>
            </w:pPr>
          </w:p>
        </w:tc>
        <w:tc>
          <w:tcPr>
            <w:tcW w:w="1276" w:type="dxa"/>
            <w:shd w:val="clear" w:color="auto" w:fill="auto"/>
          </w:tcPr>
          <w:p w14:paraId="2A0AD62A" w14:textId="77777777" w:rsidR="00AB4B3A" w:rsidRPr="002D2F67" w:rsidRDefault="00AB4B3A" w:rsidP="005611FE">
            <w:pPr>
              <w:rPr>
                <w:rFonts w:ascii="Arial" w:eastAsia="Arial Unicode MS" w:hAnsi="Arial" w:cs="Arial"/>
                <w:color w:val="000000"/>
                <w:sz w:val="18"/>
                <w:szCs w:val="18"/>
              </w:rPr>
            </w:pPr>
          </w:p>
        </w:tc>
        <w:tc>
          <w:tcPr>
            <w:tcW w:w="1276" w:type="dxa"/>
            <w:shd w:val="clear" w:color="auto" w:fill="auto"/>
          </w:tcPr>
          <w:p w14:paraId="7CC6DA40" w14:textId="77777777" w:rsidR="00AB4B3A" w:rsidRPr="002D2F67" w:rsidRDefault="00AB4B3A" w:rsidP="005611FE">
            <w:pPr>
              <w:rPr>
                <w:rFonts w:ascii="Arial" w:eastAsia="Arial Unicode MS" w:hAnsi="Arial" w:cs="Arial"/>
                <w:color w:val="000000"/>
                <w:sz w:val="18"/>
                <w:szCs w:val="18"/>
              </w:rPr>
            </w:pPr>
          </w:p>
        </w:tc>
        <w:tc>
          <w:tcPr>
            <w:tcW w:w="1421" w:type="dxa"/>
            <w:shd w:val="clear" w:color="auto" w:fill="auto"/>
          </w:tcPr>
          <w:p w14:paraId="4105F376" w14:textId="77777777" w:rsidR="00AB4B3A" w:rsidRPr="002D2F67" w:rsidRDefault="00AB4B3A" w:rsidP="005611FE">
            <w:pPr>
              <w:widowControl w:val="0"/>
              <w:ind w:left="-121" w:right="-104"/>
              <w:jc w:val="center"/>
              <w:rPr>
                <w:rFonts w:ascii="Arial" w:hAnsi="Arial" w:cs="Arial"/>
                <w:color w:val="000000"/>
                <w:sz w:val="18"/>
                <w:szCs w:val="18"/>
              </w:rPr>
            </w:pPr>
            <w:r w:rsidRPr="002D2F67">
              <w:rPr>
                <w:rFonts w:ascii="Arial" w:hAnsi="Arial" w:cs="Arial"/>
                <w:color w:val="000000"/>
                <w:sz w:val="18"/>
                <w:szCs w:val="18"/>
              </w:rPr>
              <w:t xml:space="preserve">Growth rate of </w:t>
            </w:r>
          </w:p>
          <w:p w14:paraId="73AFD703" w14:textId="406014AC" w:rsidR="00AB4B3A" w:rsidRPr="002D2F67" w:rsidRDefault="00AB4B3A" w:rsidP="005611FE">
            <w:pPr>
              <w:widowControl w:val="0"/>
              <w:ind w:left="-121" w:right="-104"/>
              <w:jc w:val="center"/>
              <w:rPr>
                <w:rFonts w:ascii="Arial" w:eastAsia="Arial Unicode MS" w:hAnsi="Arial" w:cs="Arial"/>
                <w:color w:val="000000"/>
                <w:sz w:val="18"/>
                <w:szCs w:val="18"/>
                <w:cs/>
              </w:rPr>
            </w:pPr>
            <w:r w:rsidRPr="002D2F67">
              <w:rPr>
                <w:rFonts w:ascii="Arial" w:hAnsi="Arial" w:cs="Arial"/>
                <w:color w:val="000000"/>
                <w:sz w:val="18"/>
                <w:szCs w:val="18"/>
              </w:rPr>
              <w:t>land price</w:t>
            </w:r>
          </w:p>
        </w:tc>
        <w:tc>
          <w:tcPr>
            <w:tcW w:w="1274" w:type="dxa"/>
            <w:shd w:val="clear" w:color="auto" w:fill="auto"/>
          </w:tcPr>
          <w:p w14:paraId="3BD88168" w14:textId="7FC9E8F5" w:rsidR="00AB4B3A" w:rsidRPr="002D2F67" w:rsidRDefault="00CD5714" w:rsidP="005611FE">
            <w:pPr>
              <w:widowControl w:val="0"/>
              <w:ind w:right="-72"/>
              <w:jc w:val="right"/>
              <w:rPr>
                <w:rFonts w:ascii="Arial" w:eastAsia="Arial Unicode MS" w:hAnsi="Arial" w:cs="Arial"/>
                <w:color w:val="000000"/>
                <w:sz w:val="18"/>
                <w:szCs w:val="18"/>
                <w:cs/>
              </w:rPr>
            </w:pPr>
            <w:r w:rsidRPr="00CD5714">
              <w:rPr>
                <w:rFonts w:ascii="Arial" w:eastAsia="Arial Unicode MS" w:hAnsi="Arial" w:cs="Arial"/>
                <w:color w:val="000000"/>
                <w:sz w:val="18"/>
                <w:szCs w:val="18"/>
                <w:lang w:val="en-GB"/>
              </w:rPr>
              <w:t>10</w:t>
            </w:r>
            <w:r w:rsidR="006E1091" w:rsidRPr="002D2F67">
              <w:rPr>
                <w:rFonts w:ascii="Arial" w:eastAsia="Arial Unicode MS" w:hAnsi="Arial" w:cs="Arial"/>
                <w:color w:val="000000"/>
                <w:sz w:val="18"/>
                <w:szCs w:val="18"/>
              </w:rPr>
              <w:t>.</w:t>
            </w:r>
            <w:r w:rsidRPr="00CD5714">
              <w:rPr>
                <w:rFonts w:ascii="Arial" w:eastAsia="Arial Unicode MS" w:hAnsi="Arial" w:cs="Arial"/>
                <w:color w:val="000000"/>
                <w:sz w:val="18"/>
                <w:szCs w:val="18"/>
                <w:lang w:val="en-GB"/>
              </w:rPr>
              <w:t>05</w:t>
            </w:r>
            <w:r w:rsidR="00AB4B3A" w:rsidRPr="002D2F67">
              <w:rPr>
                <w:rFonts w:ascii="Arial" w:eastAsia="Arial Unicode MS" w:hAnsi="Arial" w:cs="Arial"/>
                <w:color w:val="000000"/>
                <w:sz w:val="18"/>
                <w:szCs w:val="18"/>
              </w:rPr>
              <w:t>%</w:t>
            </w:r>
          </w:p>
        </w:tc>
        <w:tc>
          <w:tcPr>
            <w:tcW w:w="1274" w:type="dxa"/>
            <w:shd w:val="clear" w:color="auto" w:fill="auto"/>
          </w:tcPr>
          <w:p w14:paraId="7BE93B3C" w14:textId="5BBE5EC2" w:rsidR="00AB4B3A" w:rsidRPr="002D2F67" w:rsidRDefault="00CD5714" w:rsidP="005611FE">
            <w:pPr>
              <w:widowControl w:val="0"/>
              <w:ind w:right="-72"/>
              <w:jc w:val="right"/>
              <w:rPr>
                <w:rFonts w:ascii="Arial" w:eastAsia="Arial Unicode MS" w:hAnsi="Arial" w:cs="Arial"/>
                <w:color w:val="000000"/>
                <w:sz w:val="18"/>
                <w:szCs w:val="18"/>
              </w:rPr>
            </w:pPr>
            <w:r w:rsidRPr="00CD5714">
              <w:rPr>
                <w:rFonts w:ascii="Arial" w:eastAsia="Arial Unicode MS" w:hAnsi="Arial" w:cs="Arial"/>
                <w:color w:val="000000"/>
                <w:sz w:val="18"/>
                <w:szCs w:val="18"/>
                <w:lang w:val="en-GB"/>
              </w:rPr>
              <w:t>10</w:t>
            </w:r>
            <w:r w:rsidR="00AB4B3A" w:rsidRPr="002D2F67">
              <w:rPr>
                <w:rFonts w:ascii="Arial" w:eastAsia="Arial Unicode MS" w:hAnsi="Arial" w:cs="Arial"/>
                <w:color w:val="000000"/>
                <w:sz w:val="18"/>
                <w:szCs w:val="18"/>
              </w:rPr>
              <w:t>.</w:t>
            </w:r>
            <w:r w:rsidRPr="00CD5714">
              <w:rPr>
                <w:rFonts w:ascii="Arial" w:eastAsia="Arial Unicode MS" w:hAnsi="Arial" w:cs="Arial"/>
                <w:color w:val="000000"/>
                <w:sz w:val="18"/>
                <w:szCs w:val="18"/>
                <w:lang w:val="en-GB"/>
              </w:rPr>
              <w:t>05</w:t>
            </w:r>
            <w:r w:rsidR="00AB4B3A" w:rsidRPr="002D2F67">
              <w:rPr>
                <w:rFonts w:ascii="Arial" w:eastAsia="Arial Unicode MS" w:hAnsi="Arial" w:cs="Arial"/>
                <w:color w:val="000000"/>
                <w:sz w:val="18"/>
                <w:szCs w:val="18"/>
              </w:rPr>
              <w:t>%</w:t>
            </w:r>
          </w:p>
        </w:tc>
      </w:tr>
    </w:tbl>
    <w:p w14:paraId="396031C5" w14:textId="48BDB36A" w:rsidR="003E15E5" w:rsidRPr="002D2F67" w:rsidRDefault="003E15E5" w:rsidP="005611FE">
      <w:pPr>
        <w:pStyle w:val="ListParagraph"/>
        <w:spacing w:after="0" w:line="240" w:lineRule="auto"/>
        <w:ind w:left="540"/>
        <w:jc w:val="both"/>
        <w:rPr>
          <w:rFonts w:ascii="Arial" w:eastAsia="Arial Unicode MS" w:hAnsi="Arial" w:cs="Arial"/>
          <w:color w:val="000000"/>
          <w:sz w:val="20"/>
          <w:szCs w:val="20"/>
        </w:rPr>
      </w:pPr>
    </w:p>
    <w:p w14:paraId="062AE2EB" w14:textId="0113B7CB" w:rsidR="00FF408A" w:rsidRPr="002D2F67" w:rsidRDefault="00FF408A" w:rsidP="005611FE">
      <w:pPr>
        <w:ind w:left="540"/>
        <w:jc w:val="thaiDistribute"/>
        <w:rPr>
          <w:rFonts w:ascii="Arial" w:eastAsia="Cordia New" w:hAnsi="Arial" w:cs="Arial"/>
          <w:color w:val="000000"/>
          <w:sz w:val="20"/>
          <w:szCs w:val="20"/>
        </w:rPr>
      </w:pPr>
      <w:r w:rsidRPr="002D2F67">
        <w:rPr>
          <w:rFonts w:ascii="Arial" w:eastAsia="Cordia New" w:hAnsi="Arial" w:cs="Arial"/>
          <w:color w:val="000000"/>
          <w:sz w:val="20"/>
          <w:szCs w:val="20"/>
        </w:rPr>
        <w:t>Relationship</w:t>
      </w:r>
      <w:r w:rsidR="008C5F75" w:rsidRPr="002D2F67">
        <w:rPr>
          <w:rFonts w:ascii="Arial" w:eastAsia="Cordia New" w:hAnsi="Arial" w:cs="Arial"/>
          <w:color w:val="000000"/>
          <w:sz w:val="20"/>
          <w:szCs w:val="20"/>
        </w:rPr>
        <w:t>s</w:t>
      </w:r>
      <w:r w:rsidRPr="002D2F67">
        <w:rPr>
          <w:rFonts w:ascii="Arial" w:eastAsia="Cordia New" w:hAnsi="Arial" w:cs="Arial"/>
          <w:color w:val="000000"/>
          <w:sz w:val="20"/>
          <w:szCs w:val="20"/>
        </w:rPr>
        <w:t xml:space="preserve"> of unobservable inputs to fair value </w:t>
      </w:r>
      <w:r w:rsidR="00776554">
        <w:rPr>
          <w:rFonts w:ascii="Arial" w:eastAsia="Cordia New" w:hAnsi="Arial" w:cs="Arial"/>
          <w:color w:val="000000"/>
          <w:sz w:val="20"/>
          <w:szCs w:val="20"/>
        </w:rPr>
        <w:t>were</w:t>
      </w:r>
      <w:r w:rsidRPr="002D2F67">
        <w:rPr>
          <w:rFonts w:ascii="Arial" w:eastAsia="Cordia New" w:hAnsi="Arial" w:cs="Arial"/>
          <w:color w:val="000000"/>
          <w:sz w:val="20"/>
          <w:szCs w:val="20"/>
        </w:rPr>
        <w:t xml:space="preserve"> shown as follows:</w:t>
      </w:r>
    </w:p>
    <w:p w14:paraId="36500B84" w14:textId="77777777" w:rsidR="00FF408A" w:rsidRPr="002D2F67" w:rsidRDefault="00FF408A" w:rsidP="005611FE">
      <w:pPr>
        <w:ind w:left="540"/>
        <w:jc w:val="thaiDistribute"/>
        <w:rPr>
          <w:rFonts w:ascii="Arial" w:eastAsia="Arial Unicode MS" w:hAnsi="Arial" w:cs="Arial"/>
          <w:color w:val="000000"/>
          <w:sz w:val="20"/>
          <w:szCs w:val="20"/>
        </w:rPr>
      </w:pPr>
    </w:p>
    <w:tbl>
      <w:tblPr>
        <w:tblW w:w="9177" w:type="dxa"/>
        <w:tblInd w:w="378" w:type="dxa"/>
        <w:tblLayout w:type="fixed"/>
        <w:tblLook w:val="04A0" w:firstRow="1" w:lastRow="0" w:firstColumn="1" w:lastColumn="0" w:noHBand="0" w:noVBand="1"/>
      </w:tblPr>
      <w:tblGrid>
        <w:gridCol w:w="2551"/>
        <w:gridCol w:w="1560"/>
        <w:gridCol w:w="1417"/>
        <w:gridCol w:w="1824"/>
        <w:gridCol w:w="1825"/>
      </w:tblGrid>
      <w:tr w:rsidR="00FF408A" w:rsidRPr="002D2F67" w14:paraId="39E9BDE3" w14:textId="77777777" w:rsidTr="008255E8">
        <w:tc>
          <w:tcPr>
            <w:tcW w:w="2551" w:type="dxa"/>
            <w:shd w:val="clear" w:color="auto" w:fill="auto"/>
            <w:vAlign w:val="center"/>
          </w:tcPr>
          <w:p w14:paraId="37D69EFF" w14:textId="77777777" w:rsidR="00FF408A" w:rsidRPr="002D2F67" w:rsidRDefault="00FF408A" w:rsidP="005611FE">
            <w:pPr>
              <w:widowControl w:val="0"/>
              <w:ind w:left="164" w:right="-63"/>
              <w:jc w:val="right"/>
              <w:rPr>
                <w:rFonts w:ascii="Arial" w:eastAsia="Arial Unicode MS" w:hAnsi="Arial" w:cs="Arial"/>
                <w:b/>
                <w:bCs/>
                <w:color w:val="000000"/>
                <w:sz w:val="18"/>
                <w:szCs w:val="18"/>
                <w:cs/>
              </w:rPr>
            </w:pPr>
          </w:p>
        </w:tc>
        <w:tc>
          <w:tcPr>
            <w:tcW w:w="6626" w:type="dxa"/>
            <w:gridSpan w:val="4"/>
            <w:tcBorders>
              <w:left w:val="nil"/>
              <w:bottom w:val="single" w:sz="4" w:space="0" w:color="auto"/>
            </w:tcBorders>
            <w:shd w:val="clear" w:color="auto" w:fill="auto"/>
            <w:vAlign w:val="center"/>
          </w:tcPr>
          <w:p w14:paraId="3F9E6086" w14:textId="0FD1C35B" w:rsidR="00FF408A" w:rsidRPr="002D2F67" w:rsidRDefault="00CC0816" w:rsidP="005611FE">
            <w:pPr>
              <w:widowControl w:val="0"/>
              <w:ind w:right="-63"/>
              <w:jc w:val="right"/>
              <w:rPr>
                <w:rFonts w:ascii="Arial" w:eastAsia="Arial Unicode MS" w:hAnsi="Arial" w:cs="Arial"/>
                <w:b/>
                <w:bCs/>
                <w:color w:val="000000"/>
                <w:sz w:val="18"/>
                <w:szCs w:val="18"/>
                <w:cs/>
              </w:rPr>
            </w:pPr>
            <w:r w:rsidRPr="002D2F67">
              <w:rPr>
                <w:rFonts w:ascii="Arial" w:eastAsia="Arial Unicode MS" w:hAnsi="Arial" w:cs="Arial"/>
                <w:b/>
                <w:bCs/>
                <w:color w:val="000000"/>
                <w:sz w:val="18"/>
                <w:szCs w:val="18"/>
              </w:rPr>
              <w:t xml:space="preserve">Consolidated </w:t>
            </w:r>
            <w:r w:rsidRPr="002D2F67">
              <w:rPr>
                <w:rFonts w:ascii="Arial" w:hAnsi="Arial" w:cs="Arial"/>
                <w:b/>
                <w:bCs/>
                <w:color w:val="000000"/>
                <w:sz w:val="18"/>
                <w:szCs w:val="18"/>
              </w:rPr>
              <w:t xml:space="preserve">and separate </w:t>
            </w:r>
            <w:r w:rsidRPr="002D2F67">
              <w:rPr>
                <w:rFonts w:ascii="Arial" w:eastAsia="Arial Unicode MS" w:hAnsi="Arial" w:cs="Arial"/>
                <w:b/>
                <w:bCs/>
                <w:color w:val="000000"/>
                <w:sz w:val="18"/>
                <w:szCs w:val="18"/>
              </w:rPr>
              <w:t>financial statements</w:t>
            </w:r>
          </w:p>
        </w:tc>
      </w:tr>
      <w:tr w:rsidR="00FF408A" w:rsidRPr="002D2F67" w14:paraId="09378CA6" w14:textId="77777777" w:rsidTr="005611FE">
        <w:tc>
          <w:tcPr>
            <w:tcW w:w="2551" w:type="dxa"/>
            <w:shd w:val="clear" w:color="auto" w:fill="auto"/>
          </w:tcPr>
          <w:p w14:paraId="572672B3" w14:textId="77777777" w:rsidR="00FF408A" w:rsidRPr="002D2F67" w:rsidRDefault="00FF408A" w:rsidP="005611FE">
            <w:pPr>
              <w:widowControl w:val="0"/>
              <w:ind w:left="164" w:right="-72"/>
              <w:jc w:val="right"/>
              <w:rPr>
                <w:rFonts w:ascii="Arial" w:eastAsia="Arial Unicode MS" w:hAnsi="Arial" w:cs="Arial"/>
                <w:b/>
                <w:bCs/>
                <w:color w:val="000000"/>
                <w:sz w:val="18"/>
                <w:szCs w:val="18"/>
              </w:rPr>
            </w:pPr>
          </w:p>
        </w:tc>
        <w:tc>
          <w:tcPr>
            <w:tcW w:w="1560" w:type="dxa"/>
            <w:tcBorders>
              <w:top w:val="single" w:sz="4" w:space="0" w:color="auto"/>
              <w:left w:val="nil"/>
            </w:tcBorders>
            <w:shd w:val="clear" w:color="auto" w:fill="auto"/>
            <w:vAlign w:val="bottom"/>
          </w:tcPr>
          <w:p w14:paraId="790B1092" w14:textId="77777777" w:rsidR="00FF408A" w:rsidRPr="002D2F67" w:rsidRDefault="00FF408A" w:rsidP="005611FE">
            <w:pPr>
              <w:widowControl w:val="0"/>
              <w:ind w:right="-72"/>
              <w:jc w:val="right"/>
              <w:rPr>
                <w:rFonts w:ascii="Arial" w:eastAsia="Arial Unicode MS" w:hAnsi="Arial" w:cs="Arial"/>
                <w:b/>
                <w:bCs/>
                <w:color w:val="000000"/>
                <w:sz w:val="18"/>
                <w:szCs w:val="18"/>
              </w:rPr>
            </w:pPr>
          </w:p>
        </w:tc>
        <w:tc>
          <w:tcPr>
            <w:tcW w:w="1417" w:type="dxa"/>
            <w:tcBorders>
              <w:top w:val="single" w:sz="4" w:space="0" w:color="auto"/>
            </w:tcBorders>
            <w:shd w:val="clear" w:color="auto" w:fill="auto"/>
          </w:tcPr>
          <w:p w14:paraId="38879F2F" w14:textId="77777777" w:rsidR="00FF408A" w:rsidRPr="002D2F67" w:rsidRDefault="00FF408A" w:rsidP="005611FE">
            <w:pPr>
              <w:widowControl w:val="0"/>
              <w:ind w:right="-72"/>
              <w:jc w:val="right"/>
              <w:rPr>
                <w:rFonts w:ascii="Arial" w:eastAsia="Arial Unicode MS" w:hAnsi="Arial" w:cs="Arial"/>
                <w:b/>
                <w:bCs/>
                <w:color w:val="000000"/>
                <w:sz w:val="18"/>
                <w:szCs w:val="18"/>
              </w:rPr>
            </w:pPr>
          </w:p>
        </w:tc>
        <w:tc>
          <w:tcPr>
            <w:tcW w:w="3649" w:type="dxa"/>
            <w:gridSpan w:val="2"/>
            <w:tcBorders>
              <w:top w:val="single" w:sz="4" w:space="0" w:color="auto"/>
              <w:bottom w:val="single" w:sz="4" w:space="0" w:color="auto"/>
            </w:tcBorders>
            <w:shd w:val="clear" w:color="auto" w:fill="auto"/>
            <w:vAlign w:val="bottom"/>
          </w:tcPr>
          <w:p w14:paraId="45F2A883" w14:textId="77777777" w:rsidR="00FF408A" w:rsidRPr="002D2F67" w:rsidRDefault="00FF408A" w:rsidP="005611FE">
            <w:pPr>
              <w:ind w:right="-72"/>
              <w:jc w:val="right"/>
              <w:rPr>
                <w:rFonts w:ascii="Arial" w:hAnsi="Arial" w:cs="Arial"/>
                <w:b/>
                <w:bCs/>
                <w:color w:val="000000"/>
                <w:sz w:val="18"/>
                <w:szCs w:val="18"/>
              </w:rPr>
            </w:pPr>
            <w:r w:rsidRPr="002D2F67">
              <w:rPr>
                <w:rFonts w:ascii="Arial" w:hAnsi="Arial" w:cs="Arial"/>
                <w:b/>
                <w:bCs/>
                <w:color w:val="000000"/>
                <w:sz w:val="18"/>
                <w:szCs w:val="18"/>
              </w:rPr>
              <w:t>Change in fair value</w:t>
            </w:r>
          </w:p>
        </w:tc>
      </w:tr>
      <w:tr w:rsidR="00FF408A" w:rsidRPr="002D2F67" w14:paraId="402C50BA" w14:textId="77777777" w:rsidTr="005611FE">
        <w:tc>
          <w:tcPr>
            <w:tcW w:w="2551" w:type="dxa"/>
            <w:shd w:val="clear" w:color="auto" w:fill="auto"/>
          </w:tcPr>
          <w:p w14:paraId="331B74BA" w14:textId="77777777" w:rsidR="00FF408A" w:rsidRPr="002D2F67" w:rsidRDefault="00FF408A" w:rsidP="005611FE">
            <w:pPr>
              <w:widowControl w:val="0"/>
              <w:ind w:left="164" w:right="-72"/>
              <w:jc w:val="right"/>
              <w:rPr>
                <w:rFonts w:ascii="Arial" w:eastAsia="Arial Unicode MS" w:hAnsi="Arial" w:cs="Arial"/>
                <w:b/>
                <w:bCs/>
                <w:color w:val="000000"/>
                <w:sz w:val="18"/>
                <w:szCs w:val="18"/>
              </w:rPr>
            </w:pPr>
          </w:p>
        </w:tc>
        <w:tc>
          <w:tcPr>
            <w:tcW w:w="1560" w:type="dxa"/>
            <w:shd w:val="clear" w:color="auto" w:fill="auto"/>
            <w:vAlign w:val="bottom"/>
          </w:tcPr>
          <w:p w14:paraId="3F59D4CB" w14:textId="77777777" w:rsidR="00FF408A" w:rsidRPr="002D2F67" w:rsidRDefault="00FF408A" w:rsidP="005611FE">
            <w:pPr>
              <w:widowControl w:val="0"/>
              <w:ind w:right="-72"/>
              <w:jc w:val="center"/>
              <w:rPr>
                <w:rFonts w:ascii="Arial" w:eastAsia="Arial Unicode MS" w:hAnsi="Arial" w:cs="Arial"/>
                <w:b/>
                <w:bCs/>
                <w:color w:val="000000"/>
                <w:sz w:val="18"/>
                <w:szCs w:val="18"/>
              </w:rPr>
            </w:pPr>
          </w:p>
        </w:tc>
        <w:tc>
          <w:tcPr>
            <w:tcW w:w="1417" w:type="dxa"/>
            <w:shd w:val="clear" w:color="auto" w:fill="auto"/>
          </w:tcPr>
          <w:p w14:paraId="744545B0" w14:textId="77777777" w:rsidR="00FF408A" w:rsidRPr="002D2F67" w:rsidRDefault="00FF408A" w:rsidP="005611FE">
            <w:pPr>
              <w:widowControl w:val="0"/>
              <w:ind w:right="-72"/>
              <w:jc w:val="right"/>
              <w:rPr>
                <w:rFonts w:ascii="Arial" w:eastAsia="Arial Unicode MS" w:hAnsi="Arial" w:cs="Arial"/>
                <w:b/>
                <w:bCs/>
                <w:color w:val="000000"/>
                <w:sz w:val="18"/>
                <w:szCs w:val="18"/>
              </w:rPr>
            </w:pPr>
          </w:p>
        </w:tc>
        <w:tc>
          <w:tcPr>
            <w:tcW w:w="1824" w:type="dxa"/>
            <w:tcBorders>
              <w:top w:val="single" w:sz="4" w:space="0" w:color="auto"/>
              <w:bottom w:val="single" w:sz="4" w:space="0" w:color="auto"/>
            </w:tcBorders>
            <w:shd w:val="clear" w:color="auto" w:fill="auto"/>
            <w:vAlign w:val="bottom"/>
          </w:tcPr>
          <w:p w14:paraId="208F57E4" w14:textId="77777777" w:rsidR="00FF408A" w:rsidRPr="002D2F67" w:rsidRDefault="00FF408A" w:rsidP="005611FE">
            <w:pPr>
              <w:ind w:right="-35"/>
              <w:jc w:val="right"/>
              <w:rPr>
                <w:rFonts w:ascii="Arial" w:hAnsi="Arial" w:cs="Arial"/>
                <w:b/>
                <w:bCs/>
                <w:color w:val="000000"/>
                <w:sz w:val="18"/>
                <w:szCs w:val="18"/>
              </w:rPr>
            </w:pPr>
            <w:r w:rsidRPr="002D2F67">
              <w:rPr>
                <w:rFonts w:ascii="Arial" w:hAnsi="Arial" w:cs="Arial"/>
                <w:b/>
                <w:bCs/>
                <w:color w:val="000000"/>
                <w:sz w:val="18"/>
                <w:szCs w:val="18"/>
              </w:rPr>
              <w:t>Increase in</w:t>
            </w:r>
            <w:r w:rsidRPr="002D2F67">
              <w:rPr>
                <w:rFonts w:ascii="Arial" w:hAnsi="Arial" w:cs="Arial"/>
                <w:b/>
                <w:bCs/>
                <w:color w:val="000000"/>
                <w:sz w:val="18"/>
                <w:szCs w:val="18"/>
              </w:rPr>
              <w:br/>
              <w:t>assumptions</w:t>
            </w:r>
          </w:p>
        </w:tc>
        <w:tc>
          <w:tcPr>
            <w:tcW w:w="1825" w:type="dxa"/>
            <w:tcBorders>
              <w:top w:val="single" w:sz="4" w:space="0" w:color="auto"/>
              <w:bottom w:val="single" w:sz="4" w:space="0" w:color="auto"/>
            </w:tcBorders>
            <w:shd w:val="clear" w:color="auto" w:fill="auto"/>
            <w:vAlign w:val="bottom"/>
          </w:tcPr>
          <w:p w14:paraId="362B8F7C" w14:textId="77777777" w:rsidR="00FF408A" w:rsidRPr="002D2F67" w:rsidRDefault="00FF408A" w:rsidP="005611FE">
            <w:pPr>
              <w:ind w:right="-101"/>
              <w:jc w:val="right"/>
              <w:rPr>
                <w:rFonts w:ascii="Arial" w:hAnsi="Arial" w:cs="Arial"/>
                <w:b/>
                <w:bCs/>
                <w:color w:val="000000"/>
                <w:sz w:val="18"/>
                <w:szCs w:val="18"/>
              </w:rPr>
            </w:pPr>
            <w:r w:rsidRPr="002D2F67">
              <w:rPr>
                <w:rFonts w:ascii="Arial" w:hAnsi="Arial" w:cs="Arial"/>
                <w:b/>
                <w:bCs/>
                <w:color w:val="000000"/>
                <w:sz w:val="18"/>
                <w:szCs w:val="18"/>
              </w:rPr>
              <w:t>Decrease in assumptions</w:t>
            </w:r>
          </w:p>
        </w:tc>
      </w:tr>
      <w:tr w:rsidR="00FF408A" w:rsidRPr="002D2F67" w14:paraId="765D4C7B" w14:textId="77777777" w:rsidTr="005611FE">
        <w:tc>
          <w:tcPr>
            <w:tcW w:w="2551" w:type="dxa"/>
            <w:shd w:val="clear" w:color="auto" w:fill="auto"/>
          </w:tcPr>
          <w:p w14:paraId="7F21D0C0" w14:textId="77777777" w:rsidR="00FF408A" w:rsidRPr="002D2F67" w:rsidRDefault="00FF408A" w:rsidP="005611FE">
            <w:pPr>
              <w:widowControl w:val="0"/>
              <w:ind w:left="164" w:right="-72"/>
              <w:jc w:val="right"/>
              <w:rPr>
                <w:rFonts w:ascii="Arial" w:eastAsia="Arial Unicode MS" w:hAnsi="Arial" w:cs="Arial"/>
                <w:b/>
                <w:bCs/>
                <w:color w:val="000000"/>
                <w:sz w:val="18"/>
                <w:szCs w:val="18"/>
              </w:rPr>
            </w:pPr>
          </w:p>
        </w:tc>
        <w:tc>
          <w:tcPr>
            <w:tcW w:w="1560" w:type="dxa"/>
            <w:tcBorders>
              <w:bottom w:val="single" w:sz="4" w:space="0" w:color="auto"/>
            </w:tcBorders>
            <w:shd w:val="clear" w:color="auto" w:fill="auto"/>
            <w:vAlign w:val="bottom"/>
          </w:tcPr>
          <w:p w14:paraId="4F524624" w14:textId="77777777" w:rsidR="00FF408A" w:rsidRPr="002D2F67" w:rsidRDefault="00FF408A" w:rsidP="005611FE">
            <w:pPr>
              <w:jc w:val="center"/>
              <w:rPr>
                <w:rFonts w:ascii="Arial" w:eastAsia="Arial Unicode MS" w:hAnsi="Arial" w:cs="Arial"/>
                <w:b/>
                <w:bCs/>
                <w:color w:val="000000"/>
                <w:sz w:val="18"/>
                <w:szCs w:val="18"/>
              </w:rPr>
            </w:pPr>
            <w:r w:rsidRPr="002D2F67">
              <w:rPr>
                <w:rFonts w:ascii="Arial" w:hAnsi="Arial" w:cs="Arial"/>
                <w:b/>
                <w:bCs/>
                <w:color w:val="000000"/>
                <w:sz w:val="18"/>
                <w:szCs w:val="18"/>
              </w:rPr>
              <w:t>Unobservable inputs</w:t>
            </w:r>
          </w:p>
        </w:tc>
        <w:tc>
          <w:tcPr>
            <w:tcW w:w="1417" w:type="dxa"/>
            <w:tcBorders>
              <w:bottom w:val="single" w:sz="4" w:space="0" w:color="auto"/>
            </w:tcBorders>
            <w:shd w:val="clear" w:color="auto" w:fill="auto"/>
            <w:vAlign w:val="bottom"/>
          </w:tcPr>
          <w:p w14:paraId="2259BE9A" w14:textId="77777777" w:rsidR="00FF408A" w:rsidRPr="002D2F67" w:rsidRDefault="00FF408A" w:rsidP="005611FE">
            <w:pPr>
              <w:widowControl w:val="0"/>
              <w:ind w:left="-105" w:right="-72"/>
              <w:jc w:val="center"/>
              <w:rPr>
                <w:rFonts w:ascii="Arial" w:eastAsia="Arial Unicode MS" w:hAnsi="Arial" w:cs="Arial"/>
                <w:b/>
                <w:bCs/>
                <w:color w:val="000000"/>
                <w:sz w:val="18"/>
                <w:szCs w:val="18"/>
              </w:rPr>
            </w:pPr>
            <w:r w:rsidRPr="002D2F67">
              <w:rPr>
                <w:rFonts w:ascii="Arial" w:eastAsia="Arial Unicode MS" w:hAnsi="Arial" w:cs="Arial"/>
                <w:b/>
                <w:bCs/>
                <w:color w:val="000000"/>
                <w:sz w:val="18"/>
                <w:szCs w:val="18"/>
              </w:rPr>
              <w:t>Movement</w:t>
            </w:r>
          </w:p>
        </w:tc>
        <w:tc>
          <w:tcPr>
            <w:tcW w:w="1824" w:type="dxa"/>
            <w:tcBorders>
              <w:top w:val="single" w:sz="4" w:space="0" w:color="auto"/>
              <w:bottom w:val="single" w:sz="4" w:space="0" w:color="auto"/>
            </w:tcBorders>
            <w:shd w:val="clear" w:color="auto" w:fill="auto"/>
          </w:tcPr>
          <w:p w14:paraId="67F1E685" w14:textId="586C70C3" w:rsidR="00FF408A" w:rsidRPr="002D2F67" w:rsidRDefault="00CD5714" w:rsidP="005611FE">
            <w:pPr>
              <w:widowControl w:val="0"/>
              <w:ind w:right="-72"/>
              <w:jc w:val="right"/>
              <w:rPr>
                <w:rFonts w:ascii="Arial" w:eastAsia="Arial Unicode MS" w:hAnsi="Arial" w:cs="Arial"/>
                <w:b/>
                <w:bCs/>
                <w:color w:val="000000"/>
                <w:sz w:val="18"/>
                <w:szCs w:val="18"/>
              </w:rPr>
            </w:pPr>
            <w:r w:rsidRPr="00CD5714">
              <w:rPr>
                <w:rFonts w:ascii="Arial" w:eastAsia="Arial Unicode MS" w:hAnsi="Arial" w:cs="Arial"/>
                <w:b/>
                <w:bCs/>
                <w:color w:val="000000"/>
                <w:sz w:val="18"/>
                <w:szCs w:val="18"/>
                <w:lang w:val="en-GB"/>
              </w:rPr>
              <w:t>31</w:t>
            </w:r>
            <w:r w:rsidR="002B0D05" w:rsidRPr="002D2F67">
              <w:rPr>
                <w:rFonts w:ascii="Arial" w:eastAsia="Arial Unicode MS" w:hAnsi="Arial" w:cs="Arial"/>
                <w:b/>
                <w:bCs/>
                <w:color w:val="000000"/>
                <w:sz w:val="18"/>
                <w:szCs w:val="18"/>
              </w:rPr>
              <w:t xml:space="preserve"> December</w:t>
            </w:r>
          </w:p>
          <w:p w14:paraId="46256E95" w14:textId="5F70F5D5" w:rsidR="00FF408A" w:rsidRPr="002D2F67" w:rsidRDefault="00CD5714" w:rsidP="005611FE">
            <w:pPr>
              <w:widowControl w:val="0"/>
              <w:ind w:right="-72"/>
              <w:jc w:val="right"/>
              <w:rPr>
                <w:rFonts w:ascii="Arial" w:eastAsia="Arial Unicode MS" w:hAnsi="Arial" w:cs="Arial"/>
                <w:b/>
                <w:bCs/>
                <w:color w:val="000000"/>
                <w:sz w:val="18"/>
                <w:szCs w:val="18"/>
              </w:rPr>
            </w:pPr>
            <w:r w:rsidRPr="00CD5714">
              <w:rPr>
                <w:rFonts w:ascii="Arial" w:eastAsia="Arial Unicode MS" w:hAnsi="Arial" w:cs="Arial"/>
                <w:b/>
                <w:bCs/>
                <w:color w:val="000000"/>
                <w:sz w:val="18"/>
                <w:szCs w:val="18"/>
                <w:lang w:val="en-GB"/>
              </w:rPr>
              <w:t>2024</w:t>
            </w:r>
          </w:p>
        </w:tc>
        <w:tc>
          <w:tcPr>
            <w:tcW w:w="1825" w:type="dxa"/>
            <w:tcBorders>
              <w:top w:val="single" w:sz="4" w:space="0" w:color="auto"/>
              <w:bottom w:val="single" w:sz="4" w:space="0" w:color="auto"/>
            </w:tcBorders>
            <w:shd w:val="clear" w:color="auto" w:fill="auto"/>
            <w:vAlign w:val="bottom"/>
          </w:tcPr>
          <w:p w14:paraId="2510240B" w14:textId="452B9E4B" w:rsidR="00FF408A" w:rsidRPr="002D2F67" w:rsidRDefault="00CD5714" w:rsidP="005611FE">
            <w:pPr>
              <w:widowControl w:val="0"/>
              <w:ind w:right="-72"/>
              <w:jc w:val="right"/>
              <w:rPr>
                <w:rFonts w:ascii="Arial" w:eastAsia="Arial Unicode MS" w:hAnsi="Arial" w:cs="Arial"/>
                <w:b/>
                <w:bCs/>
                <w:color w:val="000000"/>
                <w:sz w:val="18"/>
                <w:szCs w:val="18"/>
              </w:rPr>
            </w:pPr>
            <w:r w:rsidRPr="00CD5714">
              <w:rPr>
                <w:rFonts w:ascii="Arial" w:eastAsia="Arial Unicode MS" w:hAnsi="Arial" w:cs="Arial"/>
                <w:b/>
                <w:bCs/>
                <w:color w:val="000000"/>
                <w:sz w:val="18"/>
                <w:szCs w:val="18"/>
                <w:lang w:val="en-GB"/>
              </w:rPr>
              <w:t>31</w:t>
            </w:r>
            <w:r w:rsidR="002B0D05" w:rsidRPr="002D2F67">
              <w:rPr>
                <w:rFonts w:ascii="Arial" w:eastAsia="Arial Unicode MS" w:hAnsi="Arial" w:cs="Arial"/>
                <w:b/>
                <w:bCs/>
                <w:color w:val="000000"/>
                <w:sz w:val="18"/>
                <w:szCs w:val="18"/>
              </w:rPr>
              <w:t xml:space="preserve"> December</w:t>
            </w:r>
          </w:p>
          <w:p w14:paraId="774392A2" w14:textId="4332F575" w:rsidR="00FF408A" w:rsidRPr="002D2F67" w:rsidRDefault="00CD5714" w:rsidP="005611FE">
            <w:pPr>
              <w:widowControl w:val="0"/>
              <w:ind w:right="-72"/>
              <w:jc w:val="right"/>
              <w:rPr>
                <w:rFonts w:ascii="Arial" w:eastAsia="Arial Unicode MS" w:hAnsi="Arial" w:cs="Arial"/>
                <w:b/>
                <w:bCs/>
                <w:color w:val="000000"/>
                <w:sz w:val="18"/>
                <w:szCs w:val="18"/>
              </w:rPr>
            </w:pPr>
            <w:r w:rsidRPr="00CD5714">
              <w:rPr>
                <w:rFonts w:ascii="Arial" w:eastAsia="Arial Unicode MS" w:hAnsi="Arial" w:cs="Arial"/>
                <w:b/>
                <w:bCs/>
                <w:color w:val="000000"/>
                <w:sz w:val="18"/>
                <w:szCs w:val="18"/>
                <w:lang w:val="en-GB"/>
              </w:rPr>
              <w:t>2024</w:t>
            </w:r>
          </w:p>
        </w:tc>
      </w:tr>
      <w:tr w:rsidR="00FF408A" w:rsidRPr="002D2F67" w14:paraId="17D93694" w14:textId="77777777" w:rsidTr="005611FE">
        <w:tc>
          <w:tcPr>
            <w:tcW w:w="2551" w:type="dxa"/>
            <w:shd w:val="clear" w:color="auto" w:fill="auto"/>
          </w:tcPr>
          <w:p w14:paraId="744BFFCB" w14:textId="77777777" w:rsidR="00FF408A" w:rsidRPr="002D2F67" w:rsidRDefault="00FF408A" w:rsidP="005611FE">
            <w:pPr>
              <w:widowControl w:val="0"/>
              <w:ind w:left="164" w:right="-113"/>
              <w:rPr>
                <w:rFonts w:ascii="Arial" w:eastAsia="Arial Unicode MS" w:hAnsi="Arial" w:cs="Arial"/>
                <w:color w:val="000000"/>
                <w:sz w:val="18"/>
                <w:szCs w:val="18"/>
              </w:rPr>
            </w:pPr>
          </w:p>
        </w:tc>
        <w:tc>
          <w:tcPr>
            <w:tcW w:w="1560" w:type="dxa"/>
            <w:tcBorders>
              <w:top w:val="single" w:sz="4" w:space="0" w:color="auto"/>
            </w:tcBorders>
            <w:shd w:val="clear" w:color="auto" w:fill="auto"/>
          </w:tcPr>
          <w:p w14:paraId="22A10B5B" w14:textId="77777777" w:rsidR="00FF408A" w:rsidRPr="002D2F67" w:rsidRDefault="00FF408A" w:rsidP="005611FE">
            <w:pPr>
              <w:jc w:val="center"/>
              <w:rPr>
                <w:rFonts w:ascii="Arial" w:hAnsi="Arial" w:cs="Arial"/>
                <w:color w:val="000000"/>
                <w:sz w:val="18"/>
                <w:szCs w:val="18"/>
              </w:rPr>
            </w:pPr>
          </w:p>
        </w:tc>
        <w:tc>
          <w:tcPr>
            <w:tcW w:w="1417" w:type="dxa"/>
            <w:tcBorders>
              <w:top w:val="single" w:sz="4" w:space="0" w:color="auto"/>
            </w:tcBorders>
            <w:shd w:val="clear" w:color="auto" w:fill="auto"/>
          </w:tcPr>
          <w:p w14:paraId="173D583C" w14:textId="77777777" w:rsidR="00FF408A" w:rsidRPr="002D2F67" w:rsidRDefault="00FF408A" w:rsidP="005611FE">
            <w:pPr>
              <w:widowControl w:val="0"/>
              <w:ind w:left="-105" w:right="-72"/>
              <w:jc w:val="center"/>
              <w:rPr>
                <w:rFonts w:ascii="Arial" w:eastAsia="Arial Unicode MS" w:hAnsi="Arial" w:cs="Arial"/>
                <w:color w:val="000000"/>
                <w:sz w:val="18"/>
                <w:szCs w:val="18"/>
              </w:rPr>
            </w:pPr>
          </w:p>
        </w:tc>
        <w:tc>
          <w:tcPr>
            <w:tcW w:w="1824" w:type="dxa"/>
            <w:tcBorders>
              <w:top w:val="single" w:sz="4" w:space="0" w:color="auto"/>
            </w:tcBorders>
            <w:shd w:val="clear" w:color="auto" w:fill="auto"/>
          </w:tcPr>
          <w:p w14:paraId="276EB5CA" w14:textId="77777777" w:rsidR="00FF408A" w:rsidRPr="002D2F67" w:rsidRDefault="00FF408A" w:rsidP="005611FE">
            <w:pPr>
              <w:widowControl w:val="0"/>
              <w:ind w:right="25"/>
              <w:jc w:val="center"/>
              <w:rPr>
                <w:rFonts w:ascii="Arial" w:eastAsia="Arial Unicode MS" w:hAnsi="Arial" w:cs="Arial"/>
                <w:color w:val="000000"/>
                <w:sz w:val="18"/>
                <w:szCs w:val="18"/>
              </w:rPr>
            </w:pPr>
          </w:p>
        </w:tc>
        <w:tc>
          <w:tcPr>
            <w:tcW w:w="1825" w:type="dxa"/>
            <w:tcBorders>
              <w:top w:val="single" w:sz="4" w:space="0" w:color="auto"/>
            </w:tcBorders>
            <w:shd w:val="clear" w:color="auto" w:fill="auto"/>
          </w:tcPr>
          <w:p w14:paraId="5D40BE81" w14:textId="77777777" w:rsidR="00FF408A" w:rsidRPr="002D2F67" w:rsidRDefault="00FF408A" w:rsidP="005611FE">
            <w:pPr>
              <w:widowControl w:val="0"/>
              <w:ind w:right="-14"/>
              <w:jc w:val="center"/>
              <w:rPr>
                <w:rFonts w:ascii="Arial" w:eastAsia="Arial Unicode MS" w:hAnsi="Arial" w:cs="Arial"/>
                <w:color w:val="000000"/>
                <w:sz w:val="18"/>
                <w:szCs w:val="18"/>
              </w:rPr>
            </w:pPr>
          </w:p>
        </w:tc>
      </w:tr>
      <w:tr w:rsidR="00AB4B3A" w:rsidRPr="002D2F67" w14:paraId="1D9474EC" w14:textId="77777777" w:rsidTr="005611FE">
        <w:tc>
          <w:tcPr>
            <w:tcW w:w="2551" w:type="dxa"/>
            <w:shd w:val="clear" w:color="auto" w:fill="auto"/>
          </w:tcPr>
          <w:p w14:paraId="030F8BD5" w14:textId="77777777" w:rsidR="00AB4B3A" w:rsidRPr="002D2F67" w:rsidRDefault="00AB4B3A" w:rsidP="005611FE">
            <w:pPr>
              <w:widowControl w:val="0"/>
              <w:ind w:left="164" w:right="-113"/>
              <w:rPr>
                <w:rFonts w:ascii="Arial" w:eastAsia="Arial Unicode MS" w:hAnsi="Arial" w:cs="Arial"/>
                <w:color w:val="000000"/>
                <w:sz w:val="18"/>
                <w:szCs w:val="18"/>
              </w:rPr>
            </w:pPr>
            <w:r w:rsidRPr="002D2F67">
              <w:rPr>
                <w:rFonts w:ascii="Arial" w:eastAsia="Arial Unicode MS" w:hAnsi="Arial" w:cs="Arial"/>
                <w:color w:val="000000"/>
                <w:sz w:val="18"/>
                <w:szCs w:val="18"/>
              </w:rPr>
              <w:t>Financial assets measured</w:t>
            </w:r>
          </w:p>
          <w:p w14:paraId="06742979" w14:textId="77777777" w:rsidR="00AB4B3A" w:rsidRPr="002D2F67" w:rsidRDefault="00AB4B3A" w:rsidP="005611FE">
            <w:pPr>
              <w:widowControl w:val="0"/>
              <w:ind w:left="164" w:right="-113"/>
              <w:rPr>
                <w:rFonts w:ascii="Arial" w:eastAsia="Arial Unicode MS" w:hAnsi="Arial" w:cs="Arial"/>
                <w:color w:val="000000"/>
                <w:sz w:val="18"/>
                <w:szCs w:val="18"/>
              </w:rPr>
            </w:pPr>
            <w:r w:rsidRPr="002D2F67">
              <w:rPr>
                <w:rFonts w:ascii="Arial" w:eastAsia="Arial Unicode MS" w:hAnsi="Arial" w:cs="Arial"/>
                <w:color w:val="000000"/>
                <w:sz w:val="18"/>
                <w:szCs w:val="18"/>
              </w:rPr>
              <w:t xml:space="preserve">   at fair value through other </w:t>
            </w:r>
          </w:p>
          <w:p w14:paraId="3167B830" w14:textId="77777777" w:rsidR="00AB4B3A" w:rsidRPr="002D2F67" w:rsidRDefault="00AB4B3A" w:rsidP="005611FE">
            <w:pPr>
              <w:widowControl w:val="0"/>
              <w:ind w:left="164" w:right="-113"/>
              <w:rPr>
                <w:rFonts w:ascii="Arial" w:eastAsia="Arial Unicode MS" w:hAnsi="Arial" w:cs="Arial"/>
                <w:color w:val="000000"/>
                <w:sz w:val="18"/>
                <w:szCs w:val="18"/>
              </w:rPr>
            </w:pPr>
            <w:r w:rsidRPr="002D2F67">
              <w:rPr>
                <w:rFonts w:ascii="Arial" w:eastAsia="Arial Unicode MS" w:hAnsi="Arial" w:cs="Arial"/>
                <w:color w:val="000000"/>
                <w:sz w:val="18"/>
                <w:szCs w:val="18"/>
              </w:rPr>
              <w:t xml:space="preserve">   comprehensive income</w:t>
            </w:r>
          </w:p>
        </w:tc>
        <w:tc>
          <w:tcPr>
            <w:tcW w:w="1560" w:type="dxa"/>
            <w:shd w:val="clear" w:color="auto" w:fill="auto"/>
          </w:tcPr>
          <w:p w14:paraId="7311E0DE" w14:textId="77777777" w:rsidR="00AB4B3A" w:rsidRPr="002D2F67" w:rsidRDefault="00AB4B3A" w:rsidP="005611FE">
            <w:pPr>
              <w:jc w:val="center"/>
              <w:rPr>
                <w:rFonts w:ascii="Arial" w:hAnsi="Arial" w:cs="Arial"/>
                <w:color w:val="000000"/>
                <w:sz w:val="18"/>
                <w:szCs w:val="18"/>
              </w:rPr>
            </w:pPr>
            <w:r w:rsidRPr="002D2F67">
              <w:rPr>
                <w:rFonts w:ascii="Arial" w:hAnsi="Arial" w:cs="Arial"/>
                <w:color w:val="000000"/>
                <w:sz w:val="18"/>
                <w:szCs w:val="18"/>
              </w:rPr>
              <w:t>Risk-adjusted discount rate</w:t>
            </w:r>
          </w:p>
        </w:tc>
        <w:tc>
          <w:tcPr>
            <w:tcW w:w="1417" w:type="dxa"/>
            <w:tcBorders>
              <w:left w:val="nil"/>
            </w:tcBorders>
            <w:shd w:val="clear" w:color="auto" w:fill="auto"/>
          </w:tcPr>
          <w:p w14:paraId="0FEC94A2" w14:textId="02E9D91D" w:rsidR="00AB4B3A" w:rsidRPr="002D2F67" w:rsidRDefault="00CD5714" w:rsidP="005611FE">
            <w:pPr>
              <w:widowControl w:val="0"/>
              <w:ind w:left="-105" w:right="-72"/>
              <w:jc w:val="center"/>
              <w:rPr>
                <w:rFonts w:ascii="Arial" w:eastAsia="Arial Unicode MS" w:hAnsi="Arial" w:cs="Arial"/>
                <w:color w:val="000000"/>
                <w:sz w:val="18"/>
                <w:szCs w:val="18"/>
                <w:cs/>
              </w:rPr>
            </w:pPr>
            <w:r w:rsidRPr="00CD5714">
              <w:rPr>
                <w:rFonts w:ascii="Arial" w:eastAsia="Arial Unicode MS" w:hAnsi="Arial" w:cs="Arial"/>
                <w:color w:val="000000"/>
                <w:sz w:val="18"/>
                <w:szCs w:val="18"/>
                <w:lang w:val="en-GB"/>
              </w:rPr>
              <w:t>1</w:t>
            </w:r>
            <w:r w:rsidR="00AB4B3A" w:rsidRPr="002D2F67">
              <w:rPr>
                <w:rFonts w:ascii="Arial" w:eastAsia="Arial Unicode MS" w:hAnsi="Arial" w:cs="Arial"/>
                <w:color w:val="000000"/>
                <w:sz w:val="18"/>
                <w:szCs w:val="18"/>
              </w:rPr>
              <w:t>%</w:t>
            </w:r>
          </w:p>
        </w:tc>
        <w:tc>
          <w:tcPr>
            <w:tcW w:w="1824" w:type="dxa"/>
            <w:shd w:val="clear" w:color="auto" w:fill="auto"/>
          </w:tcPr>
          <w:p w14:paraId="67495ACF" w14:textId="272FBC5C" w:rsidR="00AB4B3A" w:rsidRPr="002D2F67" w:rsidRDefault="00AB4B3A" w:rsidP="005611FE">
            <w:pPr>
              <w:widowControl w:val="0"/>
              <w:ind w:right="-83"/>
              <w:jc w:val="right"/>
              <w:rPr>
                <w:rFonts w:ascii="Arial" w:eastAsia="Arial Unicode MS" w:hAnsi="Arial" w:cs="Arial"/>
                <w:color w:val="000000"/>
                <w:sz w:val="18"/>
                <w:szCs w:val="18"/>
              </w:rPr>
            </w:pPr>
            <w:r w:rsidRPr="002D2F67">
              <w:rPr>
                <w:rFonts w:ascii="Arial" w:eastAsia="Arial Unicode MS" w:hAnsi="Arial" w:cs="Arial"/>
                <w:color w:val="000000"/>
                <w:sz w:val="18"/>
                <w:szCs w:val="18"/>
              </w:rPr>
              <w:t xml:space="preserve">Decrease by </w:t>
            </w:r>
          </w:p>
          <w:p w14:paraId="0A74B085" w14:textId="58D6823A" w:rsidR="00AB4B3A" w:rsidRPr="002D2F67" w:rsidRDefault="00AB4B3A" w:rsidP="005611FE">
            <w:pPr>
              <w:widowControl w:val="0"/>
              <w:ind w:right="-83"/>
              <w:jc w:val="right"/>
              <w:rPr>
                <w:rFonts w:ascii="Arial" w:eastAsia="Arial Unicode MS" w:hAnsi="Arial" w:cs="Arial"/>
                <w:color w:val="000000"/>
                <w:sz w:val="18"/>
                <w:szCs w:val="18"/>
              </w:rPr>
            </w:pPr>
            <w:r w:rsidRPr="002D2F67">
              <w:rPr>
                <w:rFonts w:ascii="Arial" w:eastAsia="Arial Unicode MS" w:hAnsi="Arial" w:cs="Arial"/>
                <w:color w:val="000000"/>
                <w:sz w:val="18"/>
                <w:szCs w:val="18"/>
              </w:rPr>
              <w:t xml:space="preserve">Baht </w:t>
            </w:r>
            <w:r w:rsidR="00CD5714" w:rsidRPr="00CD5714">
              <w:rPr>
                <w:rFonts w:ascii="Arial" w:eastAsia="Arial Unicode MS" w:hAnsi="Arial" w:cs="Arial"/>
                <w:color w:val="000000"/>
                <w:sz w:val="18"/>
                <w:szCs w:val="18"/>
                <w:lang w:val="en-GB"/>
              </w:rPr>
              <w:t>509</w:t>
            </w:r>
            <w:r w:rsidRPr="002D2F67">
              <w:rPr>
                <w:rFonts w:ascii="Arial" w:eastAsia="Arial Unicode MS" w:hAnsi="Arial" w:cs="Arial"/>
                <w:color w:val="000000"/>
                <w:sz w:val="18"/>
                <w:szCs w:val="18"/>
              </w:rPr>
              <w:t xml:space="preserve"> million</w:t>
            </w:r>
          </w:p>
        </w:tc>
        <w:tc>
          <w:tcPr>
            <w:tcW w:w="1825" w:type="dxa"/>
            <w:shd w:val="clear" w:color="auto" w:fill="auto"/>
          </w:tcPr>
          <w:p w14:paraId="430D5929" w14:textId="1F783769" w:rsidR="00AB4B3A" w:rsidRPr="002D2F67" w:rsidRDefault="00DD3E9B" w:rsidP="005611FE">
            <w:pPr>
              <w:widowControl w:val="0"/>
              <w:ind w:right="-83"/>
              <w:jc w:val="right"/>
              <w:rPr>
                <w:rFonts w:ascii="Arial" w:eastAsia="Arial Unicode MS" w:hAnsi="Arial" w:cs="Arial"/>
                <w:color w:val="000000"/>
                <w:sz w:val="18"/>
                <w:szCs w:val="18"/>
              </w:rPr>
            </w:pPr>
            <w:r w:rsidRPr="002D2F67">
              <w:rPr>
                <w:rFonts w:ascii="Arial" w:eastAsia="Arial Unicode MS" w:hAnsi="Arial" w:cs="Arial"/>
                <w:color w:val="000000"/>
                <w:sz w:val="18"/>
                <w:szCs w:val="18"/>
              </w:rPr>
              <w:t>Increase</w:t>
            </w:r>
            <w:r w:rsidR="00AB4B3A" w:rsidRPr="002D2F67">
              <w:rPr>
                <w:rFonts w:ascii="Arial" w:eastAsia="Arial Unicode MS" w:hAnsi="Arial" w:cs="Arial"/>
                <w:color w:val="000000"/>
                <w:sz w:val="18"/>
                <w:szCs w:val="18"/>
              </w:rPr>
              <w:t xml:space="preserve"> by </w:t>
            </w:r>
          </w:p>
          <w:p w14:paraId="79070695" w14:textId="13B60EDB" w:rsidR="00AB4B3A" w:rsidRPr="002D2F67" w:rsidRDefault="00AB4B3A" w:rsidP="005611FE">
            <w:pPr>
              <w:widowControl w:val="0"/>
              <w:ind w:right="-83"/>
              <w:jc w:val="right"/>
              <w:rPr>
                <w:rFonts w:ascii="Arial" w:eastAsia="Arial Unicode MS" w:hAnsi="Arial" w:cs="Arial"/>
                <w:color w:val="000000"/>
                <w:sz w:val="18"/>
                <w:szCs w:val="18"/>
              </w:rPr>
            </w:pPr>
            <w:r w:rsidRPr="002D2F67">
              <w:rPr>
                <w:rFonts w:ascii="Arial" w:eastAsia="Arial Unicode MS" w:hAnsi="Arial" w:cs="Arial"/>
                <w:color w:val="000000"/>
                <w:sz w:val="18"/>
                <w:szCs w:val="18"/>
              </w:rPr>
              <w:t xml:space="preserve">Baht </w:t>
            </w:r>
            <w:r w:rsidR="00CD5714" w:rsidRPr="00CD5714">
              <w:rPr>
                <w:rFonts w:ascii="Arial" w:eastAsia="Arial Unicode MS" w:hAnsi="Arial" w:cs="Arial"/>
                <w:color w:val="000000"/>
                <w:sz w:val="18"/>
                <w:szCs w:val="18"/>
                <w:lang w:val="en-GB"/>
              </w:rPr>
              <w:t>670</w:t>
            </w:r>
            <w:r w:rsidRPr="002D2F67">
              <w:rPr>
                <w:rFonts w:ascii="Arial" w:eastAsia="Arial Unicode MS" w:hAnsi="Arial" w:cs="Arial"/>
                <w:color w:val="000000"/>
                <w:sz w:val="18"/>
                <w:szCs w:val="18"/>
              </w:rPr>
              <w:t xml:space="preserve"> million</w:t>
            </w:r>
          </w:p>
        </w:tc>
      </w:tr>
      <w:tr w:rsidR="00AB4B3A" w:rsidRPr="002D2F67" w14:paraId="6EA19D70" w14:textId="77777777" w:rsidTr="005611FE">
        <w:tc>
          <w:tcPr>
            <w:tcW w:w="2551" w:type="dxa"/>
            <w:shd w:val="clear" w:color="auto" w:fill="auto"/>
          </w:tcPr>
          <w:p w14:paraId="63563FB3" w14:textId="77777777" w:rsidR="00AB4B3A" w:rsidRPr="002D2F67" w:rsidRDefault="00AB4B3A" w:rsidP="005611FE">
            <w:pPr>
              <w:widowControl w:val="0"/>
              <w:ind w:left="164" w:right="-113"/>
              <w:rPr>
                <w:rFonts w:ascii="Arial" w:eastAsia="Arial Unicode MS" w:hAnsi="Arial" w:cs="Arial"/>
                <w:color w:val="000000"/>
                <w:sz w:val="18"/>
                <w:szCs w:val="18"/>
              </w:rPr>
            </w:pPr>
          </w:p>
        </w:tc>
        <w:tc>
          <w:tcPr>
            <w:tcW w:w="1560" w:type="dxa"/>
            <w:shd w:val="clear" w:color="auto" w:fill="auto"/>
          </w:tcPr>
          <w:p w14:paraId="7ED6982E" w14:textId="77777777" w:rsidR="00AB4B3A" w:rsidRPr="002D2F67" w:rsidRDefault="00AB4B3A" w:rsidP="005611FE">
            <w:pPr>
              <w:jc w:val="center"/>
              <w:rPr>
                <w:rFonts w:ascii="Arial" w:hAnsi="Arial" w:cs="Arial"/>
                <w:color w:val="000000"/>
                <w:sz w:val="18"/>
                <w:szCs w:val="18"/>
              </w:rPr>
            </w:pPr>
            <w:r w:rsidRPr="002D2F67">
              <w:rPr>
                <w:rFonts w:ascii="Arial" w:hAnsi="Arial" w:cs="Arial"/>
                <w:color w:val="000000"/>
                <w:sz w:val="18"/>
                <w:szCs w:val="22"/>
              </w:rPr>
              <w:t>Growth rate of land price</w:t>
            </w:r>
          </w:p>
        </w:tc>
        <w:tc>
          <w:tcPr>
            <w:tcW w:w="1417" w:type="dxa"/>
            <w:tcBorders>
              <w:left w:val="nil"/>
            </w:tcBorders>
            <w:shd w:val="clear" w:color="auto" w:fill="auto"/>
          </w:tcPr>
          <w:p w14:paraId="09991AF8" w14:textId="4F5270B1" w:rsidR="00AB4B3A" w:rsidRPr="002D2F67" w:rsidRDefault="00CD5714" w:rsidP="005611FE">
            <w:pPr>
              <w:widowControl w:val="0"/>
              <w:ind w:left="-105" w:right="-72"/>
              <w:jc w:val="center"/>
              <w:rPr>
                <w:rFonts w:ascii="Arial" w:eastAsia="Arial Unicode MS" w:hAnsi="Arial" w:cs="Arial"/>
                <w:color w:val="000000"/>
                <w:sz w:val="18"/>
                <w:szCs w:val="18"/>
              </w:rPr>
            </w:pPr>
            <w:r w:rsidRPr="00CD5714">
              <w:rPr>
                <w:rFonts w:ascii="Arial" w:eastAsia="Arial Unicode MS" w:hAnsi="Arial" w:cs="Arial"/>
                <w:color w:val="000000"/>
                <w:sz w:val="18"/>
                <w:szCs w:val="18"/>
                <w:lang w:val="en-GB"/>
              </w:rPr>
              <w:t>1</w:t>
            </w:r>
            <w:r w:rsidR="00AB4B3A" w:rsidRPr="002D2F67">
              <w:rPr>
                <w:rFonts w:ascii="Arial" w:eastAsia="Arial Unicode MS" w:hAnsi="Arial" w:cs="Arial"/>
                <w:color w:val="000000"/>
                <w:sz w:val="18"/>
                <w:szCs w:val="18"/>
              </w:rPr>
              <w:t>%</w:t>
            </w:r>
          </w:p>
        </w:tc>
        <w:tc>
          <w:tcPr>
            <w:tcW w:w="1824" w:type="dxa"/>
            <w:shd w:val="clear" w:color="auto" w:fill="auto"/>
          </w:tcPr>
          <w:p w14:paraId="41DF3084" w14:textId="0F46BB97" w:rsidR="00AB4B3A" w:rsidRPr="002D2F67" w:rsidRDefault="00AB4B3A" w:rsidP="005611FE">
            <w:pPr>
              <w:widowControl w:val="0"/>
              <w:ind w:right="-83"/>
              <w:jc w:val="right"/>
              <w:rPr>
                <w:rFonts w:ascii="Arial" w:eastAsia="Arial Unicode MS" w:hAnsi="Arial" w:cs="Arial"/>
                <w:color w:val="000000"/>
                <w:sz w:val="18"/>
                <w:szCs w:val="18"/>
              </w:rPr>
            </w:pPr>
            <w:r w:rsidRPr="002D2F67">
              <w:rPr>
                <w:rFonts w:ascii="Arial" w:eastAsia="Arial Unicode MS" w:hAnsi="Arial" w:cs="Arial"/>
                <w:color w:val="000000"/>
                <w:sz w:val="18"/>
                <w:szCs w:val="18"/>
              </w:rPr>
              <w:t>Increase by</w:t>
            </w:r>
          </w:p>
          <w:p w14:paraId="5AD72150" w14:textId="1EE3CD96" w:rsidR="00AB4B3A" w:rsidRPr="002D2F67" w:rsidRDefault="00AB4B3A" w:rsidP="005611FE">
            <w:pPr>
              <w:widowControl w:val="0"/>
              <w:ind w:right="-83"/>
              <w:jc w:val="right"/>
              <w:rPr>
                <w:rFonts w:ascii="Arial" w:eastAsia="Arial Unicode MS" w:hAnsi="Arial" w:cs="Arial"/>
                <w:color w:val="000000"/>
                <w:sz w:val="18"/>
                <w:szCs w:val="18"/>
              </w:rPr>
            </w:pPr>
            <w:r w:rsidRPr="002D2F67">
              <w:rPr>
                <w:rFonts w:ascii="Arial" w:eastAsia="Arial Unicode MS" w:hAnsi="Arial" w:cs="Arial"/>
                <w:color w:val="000000"/>
                <w:sz w:val="18"/>
                <w:szCs w:val="18"/>
              </w:rPr>
              <w:t xml:space="preserve">Baht </w:t>
            </w:r>
            <w:r w:rsidR="00CD5714" w:rsidRPr="00CD5714">
              <w:rPr>
                <w:rFonts w:ascii="Arial" w:eastAsia="Arial Unicode MS" w:hAnsi="Arial" w:cs="Arial"/>
                <w:color w:val="000000"/>
                <w:sz w:val="18"/>
                <w:szCs w:val="18"/>
                <w:lang w:val="en-GB"/>
              </w:rPr>
              <w:t>644</w:t>
            </w:r>
            <w:r w:rsidRPr="002D2F67">
              <w:rPr>
                <w:rFonts w:ascii="Arial" w:eastAsia="Arial Unicode MS" w:hAnsi="Arial" w:cs="Arial"/>
                <w:color w:val="000000"/>
                <w:sz w:val="18"/>
                <w:szCs w:val="18"/>
              </w:rPr>
              <w:t xml:space="preserve"> million</w:t>
            </w:r>
          </w:p>
        </w:tc>
        <w:tc>
          <w:tcPr>
            <w:tcW w:w="1825" w:type="dxa"/>
            <w:shd w:val="clear" w:color="auto" w:fill="auto"/>
          </w:tcPr>
          <w:p w14:paraId="01F50511" w14:textId="3DFA1C35" w:rsidR="00AB4B3A" w:rsidRPr="002D2F67" w:rsidRDefault="00DD3E9B" w:rsidP="005611FE">
            <w:pPr>
              <w:widowControl w:val="0"/>
              <w:ind w:right="-83"/>
              <w:jc w:val="right"/>
              <w:rPr>
                <w:rFonts w:ascii="Arial" w:eastAsia="Arial Unicode MS" w:hAnsi="Arial" w:cs="Arial"/>
                <w:color w:val="000000"/>
                <w:sz w:val="18"/>
                <w:szCs w:val="18"/>
              </w:rPr>
            </w:pPr>
            <w:r w:rsidRPr="002D2F67">
              <w:rPr>
                <w:rFonts w:ascii="Arial" w:eastAsia="Arial Unicode MS" w:hAnsi="Arial" w:cs="Arial"/>
                <w:color w:val="000000"/>
                <w:sz w:val="18"/>
                <w:szCs w:val="18"/>
              </w:rPr>
              <w:t>De</w:t>
            </w:r>
            <w:r w:rsidR="00AB4B3A" w:rsidRPr="002D2F67">
              <w:rPr>
                <w:rFonts w:ascii="Arial" w:eastAsia="Arial Unicode MS" w:hAnsi="Arial" w:cs="Arial"/>
                <w:color w:val="000000"/>
                <w:sz w:val="18"/>
                <w:szCs w:val="18"/>
              </w:rPr>
              <w:t>crease by</w:t>
            </w:r>
          </w:p>
          <w:p w14:paraId="6A2D8058" w14:textId="44296AAF" w:rsidR="00AB4B3A" w:rsidRPr="002D2F67" w:rsidRDefault="00AB4B3A" w:rsidP="005611FE">
            <w:pPr>
              <w:widowControl w:val="0"/>
              <w:ind w:right="-83"/>
              <w:jc w:val="right"/>
              <w:rPr>
                <w:rFonts w:ascii="Arial" w:eastAsia="Arial Unicode MS" w:hAnsi="Arial" w:cs="Arial"/>
                <w:color w:val="000000"/>
                <w:sz w:val="18"/>
                <w:szCs w:val="18"/>
              </w:rPr>
            </w:pPr>
            <w:r w:rsidRPr="002D2F67">
              <w:rPr>
                <w:rFonts w:ascii="Arial" w:eastAsia="Arial Unicode MS" w:hAnsi="Arial" w:cs="Arial"/>
                <w:color w:val="000000"/>
                <w:sz w:val="18"/>
                <w:szCs w:val="18"/>
              </w:rPr>
              <w:t xml:space="preserve">Baht </w:t>
            </w:r>
            <w:r w:rsidR="00CD5714" w:rsidRPr="00CD5714">
              <w:rPr>
                <w:rFonts w:ascii="Arial" w:eastAsia="Arial Unicode MS" w:hAnsi="Arial" w:cs="Arial"/>
                <w:color w:val="000000"/>
                <w:sz w:val="18"/>
                <w:szCs w:val="18"/>
                <w:lang w:val="en-GB"/>
              </w:rPr>
              <w:t>496</w:t>
            </w:r>
            <w:r w:rsidRPr="002D2F67">
              <w:rPr>
                <w:rFonts w:ascii="Arial" w:eastAsia="Arial Unicode MS" w:hAnsi="Arial" w:cs="Arial"/>
                <w:color w:val="000000"/>
                <w:sz w:val="18"/>
                <w:szCs w:val="18"/>
              </w:rPr>
              <w:t xml:space="preserve"> million</w:t>
            </w:r>
          </w:p>
        </w:tc>
      </w:tr>
    </w:tbl>
    <w:p w14:paraId="4921B9FD" w14:textId="77777777" w:rsidR="007320F1" w:rsidRPr="002D2F67" w:rsidRDefault="007320F1" w:rsidP="005611FE">
      <w:pPr>
        <w:ind w:left="540"/>
        <w:jc w:val="thaiDistribute"/>
        <w:rPr>
          <w:rFonts w:ascii="Arial" w:eastAsia="Arial Unicode MS" w:hAnsi="Arial" w:cs="Arial"/>
          <w:color w:val="000000"/>
          <w:sz w:val="20"/>
          <w:szCs w:val="20"/>
        </w:rPr>
      </w:pPr>
    </w:p>
    <w:p w14:paraId="7F6DCDE2" w14:textId="77777777" w:rsidR="00FF408A" w:rsidRPr="002D2F67" w:rsidRDefault="00FF408A" w:rsidP="005611FE">
      <w:pPr>
        <w:pStyle w:val="ListParagraph"/>
        <w:spacing w:after="0" w:line="240" w:lineRule="auto"/>
        <w:ind w:left="539"/>
        <w:jc w:val="both"/>
        <w:outlineLvl w:val="2"/>
        <w:rPr>
          <w:rFonts w:ascii="Arial" w:hAnsi="Arial" w:cs="Arial"/>
          <w:b/>
          <w:bCs/>
          <w:color w:val="000000"/>
          <w:sz w:val="20"/>
          <w:szCs w:val="20"/>
        </w:rPr>
      </w:pPr>
      <w:r w:rsidRPr="002D2F67">
        <w:rPr>
          <w:rFonts w:ascii="Arial" w:hAnsi="Arial" w:cs="Arial"/>
          <w:b/>
          <w:bCs/>
          <w:color w:val="000000"/>
          <w:sz w:val="20"/>
          <w:szCs w:val="20"/>
        </w:rPr>
        <w:t>The Group’s valuation processes</w:t>
      </w:r>
    </w:p>
    <w:p w14:paraId="32805FEC" w14:textId="77777777" w:rsidR="00FF408A" w:rsidRPr="002D2F67" w:rsidRDefault="00FF408A" w:rsidP="005611FE">
      <w:pPr>
        <w:ind w:left="540"/>
        <w:rPr>
          <w:rFonts w:ascii="Arial" w:hAnsi="Arial" w:cs="Arial"/>
          <w:color w:val="000000"/>
          <w:sz w:val="20"/>
          <w:szCs w:val="20"/>
        </w:rPr>
      </w:pPr>
    </w:p>
    <w:p w14:paraId="01ECAE4A" w14:textId="0A5AF55D" w:rsidR="00FF408A" w:rsidRPr="002D2F67" w:rsidRDefault="00FF408A" w:rsidP="005611FE">
      <w:pPr>
        <w:ind w:left="540"/>
        <w:jc w:val="thaiDistribute"/>
        <w:rPr>
          <w:rFonts w:ascii="Arial" w:eastAsia="Cordia New" w:hAnsi="Arial" w:cs="Arial"/>
          <w:color w:val="000000"/>
          <w:sz w:val="20"/>
          <w:szCs w:val="20"/>
        </w:rPr>
      </w:pPr>
      <w:r w:rsidRPr="002D2F67">
        <w:rPr>
          <w:rFonts w:ascii="Arial" w:eastAsia="Cordia New" w:hAnsi="Arial" w:cs="Arial"/>
          <w:color w:val="000000"/>
          <w:sz w:val="20"/>
          <w:szCs w:val="20"/>
        </w:rPr>
        <w:t xml:space="preserve">The </w:t>
      </w:r>
      <w:r w:rsidR="006062B7" w:rsidRPr="002D2F67">
        <w:rPr>
          <w:rFonts w:ascii="Arial" w:eastAsia="Cordia New" w:hAnsi="Arial" w:cs="Arial"/>
          <w:color w:val="000000"/>
          <w:sz w:val="20"/>
          <w:szCs w:val="20"/>
        </w:rPr>
        <w:t>working team from</w:t>
      </w:r>
      <w:r w:rsidRPr="002D2F67">
        <w:rPr>
          <w:rFonts w:ascii="Arial" w:eastAsia="Cordia New" w:hAnsi="Arial" w:cs="Arial"/>
          <w:color w:val="000000"/>
          <w:sz w:val="20"/>
          <w:szCs w:val="20"/>
        </w:rPr>
        <w:t xml:space="preserve"> accounting and </w:t>
      </w:r>
      <w:r w:rsidR="006A7247" w:rsidRPr="002D2F67">
        <w:rPr>
          <w:rFonts w:ascii="Arial" w:eastAsia="Cordia New" w:hAnsi="Arial" w:cs="Arial"/>
          <w:color w:val="000000"/>
          <w:sz w:val="20"/>
          <w:szCs w:val="20"/>
        </w:rPr>
        <w:t>investment planning</w:t>
      </w:r>
      <w:r w:rsidRPr="002D2F67">
        <w:rPr>
          <w:rFonts w:ascii="Arial" w:eastAsia="Cordia New" w:hAnsi="Arial" w:cs="Arial"/>
          <w:color w:val="000000"/>
          <w:sz w:val="20"/>
          <w:szCs w:val="20"/>
        </w:rPr>
        <w:t xml:space="preserve"> </w:t>
      </w:r>
      <w:r w:rsidR="006062B7" w:rsidRPr="002D2F67">
        <w:rPr>
          <w:rFonts w:ascii="Arial" w:eastAsia="Cordia New" w:hAnsi="Arial" w:cs="Arial"/>
          <w:color w:val="000000"/>
          <w:sz w:val="20"/>
          <w:szCs w:val="20"/>
        </w:rPr>
        <w:t>department</w:t>
      </w:r>
      <w:r w:rsidRPr="002D2F67">
        <w:rPr>
          <w:rFonts w:ascii="Arial" w:eastAsia="Cordia New" w:hAnsi="Arial" w:cs="Arial"/>
          <w:color w:val="000000"/>
          <w:sz w:val="20"/>
          <w:szCs w:val="20"/>
        </w:rPr>
        <w:t xml:space="preserve"> discuss valuation processes and results at least </w:t>
      </w:r>
      <w:r w:rsidR="002D7FBF" w:rsidRPr="002D2F67">
        <w:rPr>
          <w:rFonts w:ascii="Arial" w:eastAsia="Cordia New" w:hAnsi="Arial" w:cs="Arial"/>
          <w:color w:val="000000"/>
          <w:sz w:val="20"/>
          <w:szCs w:val="20"/>
        </w:rPr>
        <w:t>once a</w:t>
      </w:r>
      <w:r w:rsidRPr="002D2F67">
        <w:rPr>
          <w:rFonts w:ascii="Arial" w:eastAsia="Cordia New" w:hAnsi="Arial" w:cs="Arial"/>
          <w:color w:val="000000"/>
          <w:sz w:val="20"/>
          <w:szCs w:val="20"/>
        </w:rPr>
        <w:t xml:space="preserve"> quarter. </w:t>
      </w:r>
    </w:p>
    <w:p w14:paraId="6FE70048" w14:textId="77777777" w:rsidR="00FF408A" w:rsidRPr="002D2F67" w:rsidRDefault="00FF408A" w:rsidP="005611FE">
      <w:pPr>
        <w:ind w:left="540"/>
        <w:rPr>
          <w:rFonts w:ascii="Arial" w:hAnsi="Arial" w:cs="Arial"/>
          <w:color w:val="000000"/>
          <w:sz w:val="20"/>
          <w:szCs w:val="20"/>
        </w:rPr>
      </w:pPr>
    </w:p>
    <w:p w14:paraId="0C02BB3B" w14:textId="6C72B767" w:rsidR="00FF408A" w:rsidRPr="002D2F67" w:rsidRDefault="00FF408A" w:rsidP="005611FE">
      <w:pPr>
        <w:ind w:left="540"/>
        <w:jc w:val="both"/>
        <w:rPr>
          <w:rFonts w:ascii="Arial" w:eastAsia="Cordia New" w:hAnsi="Arial" w:cs="Arial"/>
          <w:color w:val="000000"/>
          <w:sz w:val="20"/>
          <w:szCs w:val="20"/>
        </w:rPr>
      </w:pPr>
      <w:r w:rsidRPr="002D2F67">
        <w:rPr>
          <w:rFonts w:ascii="Arial" w:eastAsia="Cordia New" w:hAnsi="Arial" w:cs="Arial"/>
          <w:color w:val="000000"/>
          <w:spacing w:val="-4"/>
          <w:sz w:val="20"/>
          <w:szCs w:val="20"/>
        </w:rPr>
        <w:t xml:space="preserve">Significant unobservable input of fair value hierarchy level </w:t>
      </w:r>
      <w:r w:rsidR="00CD5714" w:rsidRPr="00CD5714">
        <w:rPr>
          <w:rFonts w:ascii="Arial" w:eastAsia="Cordia New" w:hAnsi="Arial" w:cs="Arial"/>
          <w:color w:val="000000"/>
          <w:spacing w:val="-4"/>
          <w:sz w:val="20"/>
          <w:szCs w:val="20"/>
          <w:lang w:val="en-GB"/>
        </w:rPr>
        <w:t>3</w:t>
      </w:r>
      <w:r w:rsidRPr="002D2F67">
        <w:rPr>
          <w:rFonts w:ascii="Arial" w:eastAsia="Cordia New" w:hAnsi="Arial" w:cs="Arial"/>
          <w:color w:val="000000"/>
          <w:spacing w:val="-4"/>
          <w:sz w:val="20"/>
          <w:szCs w:val="20"/>
        </w:rPr>
        <w:t xml:space="preserve"> is risk adjusted discount rate. It is estimated </w:t>
      </w:r>
      <w:r w:rsidRPr="002D2F67">
        <w:rPr>
          <w:rFonts w:ascii="Arial" w:eastAsia="Cordia New" w:hAnsi="Arial" w:cs="Arial"/>
          <w:color w:val="000000"/>
          <w:sz w:val="20"/>
          <w:szCs w:val="20"/>
        </w:rPr>
        <w:t xml:space="preserve">based on public </w:t>
      </w:r>
      <w:r w:rsidR="007E5EDE" w:rsidRPr="002D2F67">
        <w:rPr>
          <w:rFonts w:ascii="Arial" w:eastAsia="Cordia New" w:hAnsi="Arial" w:cs="Arial"/>
          <w:color w:val="000000"/>
          <w:sz w:val="20"/>
          <w:szCs w:val="20"/>
        </w:rPr>
        <w:t>companies</w:t>
      </w:r>
      <w:r w:rsidRPr="002D2F67">
        <w:rPr>
          <w:rFonts w:ascii="Arial" w:eastAsia="Cordia New" w:hAnsi="Arial" w:cs="Arial"/>
          <w:color w:val="000000"/>
          <w:sz w:val="20"/>
          <w:szCs w:val="20"/>
        </w:rPr>
        <w:t xml:space="preserve"> weighted average cost of capital that, in </w:t>
      </w:r>
      <w:r w:rsidR="002D7FBF" w:rsidRPr="002D2F67">
        <w:rPr>
          <w:rFonts w:ascii="Arial" w:eastAsia="Cordia New" w:hAnsi="Arial" w:cs="Arial"/>
          <w:color w:val="000000"/>
          <w:sz w:val="20"/>
          <w:szCs w:val="20"/>
        </w:rPr>
        <w:t xml:space="preserve">the </w:t>
      </w:r>
      <w:r w:rsidRPr="002D2F67">
        <w:rPr>
          <w:rFonts w:ascii="Arial" w:eastAsia="Cordia New" w:hAnsi="Arial" w:cs="Arial"/>
          <w:color w:val="000000"/>
          <w:sz w:val="20"/>
          <w:szCs w:val="20"/>
        </w:rPr>
        <w:t xml:space="preserve">opinion of the Group, </w:t>
      </w:r>
      <w:r w:rsidR="008C5F75" w:rsidRPr="002D2F67">
        <w:rPr>
          <w:rFonts w:ascii="Arial" w:eastAsia="Cordia New" w:hAnsi="Arial" w:cs="Arial"/>
          <w:color w:val="000000"/>
          <w:sz w:val="20"/>
          <w:szCs w:val="20"/>
        </w:rPr>
        <w:t xml:space="preserve">is </w:t>
      </w:r>
      <w:r w:rsidRPr="002D2F67">
        <w:rPr>
          <w:rFonts w:ascii="Arial" w:eastAsia="Cordia New" w:hAnsi="Arial" w:cs="Arial"/>
          <w:color w:val="000000"/>
          <w:sz w:val="20"/>
          <w:szCs w:val="20"/>
        </w:rPr>
        <w:t>in a comparable</w:t>
      </w:r>
      <w:r w:rsidR="003E15E5" w:rsidRPr="002D2F67">
        <w:rPr>
          <w:rFonts w:ascii="Arial" w:eastAsia="Cordia New" w:hAnsi="Arial" w:cs="Arial"/>
          <w:color w:val="000000"/>
          <w:spacing w:val="-6"/>
          <w:sz w:val="20"/>
          <w:szCs w:val="20"/>
        </w:rPr>
        <w:t xml:space="preserve"> nature of business and</w:t>
      </w:r>
      <w:r w:rsidRPr="002D2F67">
        <w:rPr>
          <w:rFonts w:ascii="Arial" w:eastAsia="Cordia New" w:hAnsi="Arial" w:cs="Arial"/>
          <w:color w:val="000000"/>
          <w:spacing w:val="-6"/>
          <w:sz w:val="20"/>
          <w:szCs w:val="20"/>
        </w:rPr>
        <w:t xml:space="preserve"> financial position with the counterparty in the contract. </w:t>
      </w:r>
      <w:r w:rsidR="003E15E5" w:rsidRPr="002D2F67">
        <w:rPr>
          <w:rFonts w:ascii="Arial" w:eastAsia="Cordia New" w:hAnsi="Arial" w:cs="Arial"/>
          <w:color w:val="000000"/>
          <w:spacing w:val="-6"/>
          <w:sz w:val="20"/>
          <w:szCs w:val="20"/>
        </w:rPr>
        <w:t>The g</w:t>
      </w:r>
      <w:r w:rsidRPr="002D2F67">
        <w:rPr>
          <w:rFonts w:ascii="Arial" w:eastAsia="Cordia New" w:hAnsi="Arial" w:cs="Arial"/>
          <w:color w:val="000000"/>
          <w:spacing w:val="-6"/>
          <w:sz w:val="20"/>
          <w:szCs w:val="20"/>
        </w:rPr>
        <w:t xml:space="preserve">rowth rate of land price is based on land price index that, in </w:t>
      </w:r>
      <w:r w:rsidR="002D7FBF" w:rsidRPr="002D2F67">
        <w:rPr>
          <w:rFonts w:ascii="Arial" w:eastAsia="Cordia New" w:hAnsi="Arial" w:cs="Arial"/>
          <w:color w:val="000000"/>
          <w:spacing w:val="-6"/>
          <w:sz w:val="20"/>
          <w:szCs w:val="20"/>
        </w:rPr>
        <w:t xml:space="preserve">the </w:t>
      </w:r>
      <w:r w:rsidRPr="002D2F67">
        <w:rPr>
          <w:rFonts w:ascii="Arial" w:eastAsia="Cordia New" w:hAnsi="Arial" w:cs="Arial"/>
          <w:color w:val="000000"/>
          <w:spacing w:val="-6"/>
          <w:sz w:val="20"/>
          <w:szCs w:val="20"/>
        </w:rPr>
        <w:t xml:space="preserve">opinion of the Group, </w:t>
      </w:r>
      <w:r w:rsidR="008C5F75" w:rsidRPr="002D2F67">
        <w:rPr>
          <w:rFonts w:ascii="Arial" w:eastAsia="Cordia New" w:hAnsi="Arial" w:cs="Arial"/>
          <w:color w:val="000000"/>
          <w:spacing w:val="-6"/>
          <w:sz w:val="20"/>
          <w:szCs w:val="20"/>
        </w:rPr>
        <w:t xml:space="preserve">is </w:t>
      </w:r>
      <w:r w:rsidRPr="002D2F67">
        <w:rPr>
          <w:rFonts w:ascii="Arial" w:eastAsia="Cordia New" w:hAnsi="Arial" w:cs="Arial"/>
          <w:color w:val="000000"/>
          <w:spacing w:val="-6"/>
          <w:sz w:val="20"/>
          <w:szCs w:val="20"/>
        </w:rPr>
        <w:t xml:space="preserve">in a comparable location and </w:t>
      </w:r>
      <w:r w:rsidRPr="002D2F67">
        <w:rPr>
          <w:rFonts w:ascii="Arial" w:eastAsia="Cordia New" w:hAnsi="Arial" w:cs="Arial"/>
          <w:color w:val="000000"/>
          <w:spacing w:val="-4"/>
          <w:sz w:val="20"/>
          <w:szCs w:val="20"/>
        </w:rPr>
        <w:t>characteristic with the Group’s investment</w:t>
      </w:r>
      <w:r w:rsidRPr="002D2F67">
        <w:rPr>
          <w:rFonts w:ascii="Arial" w:eastAsia="Cordia New" w:hAnsi="Arial" w:cs="Arial"/>
          <w:color w:val="000000"/>
          <w:sz w:val="20"/>
          <w:szCs w:val="20"/>
        </w:rPr>
        <w:t>.</w:t>
      </w:r>
    </w:p>
    <w:p w14:paraId="0AEE97EB" w14:textId="56865FC5" w:rsidR="007A6BB8" w:rsidRPr="002D2F67" w:rsidRDefault="00706C8B" w:rsidP="00706C8B">
      <w:pPr>
        <w:jc w:val="both"/>
        <w:rPr>
          <w:rFonts w:ascii="Arial" w:hAnsi="Arial" w:cs="Arial"/>
          <w:color w:val="000000"/>
          <w:sz w:val="20"/>
          <w:szCs w:val="20"/>
        </w:rPr>
      </w:pPr>
      <w:r w:rsidRPr="002D2F67">
        <w:rPr>
          <w:rFonts w:ascii="Arial" w:hAnsi="Arial" w:cs="Arial"/>
          <w:color w:val="000000"/>
          <w:sz w:val="20"/>
          <w:szCs w:val="20"/>
        </w:rPr>
        <w:br w:type="page"/>
      </w:r>
    </w:p>
    <w:p w14:paraId="4D60C7E8" w14:textId="2A067180" w:rsidR="00FD3E8A"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5"/>
          <w:lang w:val="en-GB"/>
        </w:rPr>
        <w:t>8</w:t>
      </w:r>
      <w:r w:rsidR="00FD3E8A" w:rsidRPr="002D2F67">
        <w:rPr>
          <w:rFonts w:ascii="Arial" w:hAnsi="Arial" w:cs="Arial"/>
          <w:b/>
          <w:bCs/>
          <w:color w:val="000000"/>
          <w:kern w:val="26"/>
          <w:position w:val="-24"/>
          <w:sz w:val="20"/>
          <w:szCs w:val="20"/>
          <w:cs/>
        </w:rPr>
        <w:tab/>
      </w:r>
      <w:r w:rsidR="00FD3E8A" w:rsidRPr="002D2F67">
        <w:rPr>
          <w:rFonts w:ascii="Arial" w:hAnsi="Arial" w:cs="Arial"/>
          <w:b/>
          <w:bCs/>
          <w:color w:val="000000"/>
          <w:kern w:val="26"/>
          <w:position w:val="-24"/>
          <w:sz w:val="20"/>
          <w:szCs w:val="20"/>
        </w:rPr>
        <w:t>Critical accounting estimates and judgements</w:t>
      </w:r>
    </w:p>
    <w:p w14:paraId="14E1F4F6" w14:textId="77777777" w:rsidR="00FF408A" w:rsidRPr="002D2F67" w:rsidRDefault="00FF408A" w:rsidP="005611FE">
      <w:pPr>
        <w:pStyle w:val="BodyTextIndent2"/>
        <w:spacing w:line="240" w:lineRule="auto"/>
        <w:ind w:left="0"/>
        <w:jc w:val="left"/>
        <w:rPr>
          <w:rFonts w:ascii="Arial" w:hAnsi="Arial" w:cs="Arial"/>
          <w:spacing w:val="-2"/>
        </w:rPr>
      </w:pPr>
    </w:p>
    <w:p w14:paraId="7C2127E7" w14:textId="51FA49E8" w:rsidR="00FF408A" w:rsidRPr="002D2F67" w:rsidRDefault="007C2AD1" w:rsidP="005611FE">
      <w:pPr>
        <w:jc w:val="thaiDistribute"/>
        <w:rPr>
          <w:rFonts w:ascii="Arial" w:hAnsi="Arial" w:cs="Arial"/>
          <w:color w:val="000000"/>
          <w:spacing w:val="-4"/>
          <w:sz w:val="20"/>
          <w:szCs w:val="20"/>
        </w:rPr>
      </w:pPr>
      <w:r w:rsidRPr="002D2F67">
        <w:rPr>
          <w:rFonts w:ascii="Arial" w:hAnsi="Arial" w:cs="Arial"/>
          <w:color w:val="000000"/>
          <w:spacing w:val="-4"/>
          <w:sz w:val="20"/>
          <w:szCs w:val="20"/>
        </w:rPr>
        <w:t>Estimates and judgements are continually evaluated and are based on historical experience and other factors, including expectations of future events that are believed to be reasonable under the circumstances</w:t>
      </w:r>
      <w:r w:rsidR="006C6DCD" w:rsidRPr="002D2F67">
        <w:rPr>
          <w:rFonts w:ascii="Arial" w:hAnsi="Arial" w:cs="Arial"/>
          <w:color w:val="000000"/>
          <w:spacing w:val="-4"/>
          <w:sz w:val="20"/>
          <w:szCs w:val="20"/>
        </w:rPr>
        <w:t>.</w:t>
      </w:r>
    </w:p>
    <w:p w14:paraId="1F04B484" w14:textId="77777777" w:rsidR="00FF408A" w:rsidRPr="002D2F67" w:rsidRDefault="00FF408A" w:rsidP="005611FE">
      <w:pPr>
        <w:jc w:val="thaiDistribute"/>
        <w:rPr>
          <w:rFonts w:ascii="Arial" w:hAnsi="Arial" w:cs="Arial"/>
          <w:color w:val="000000"/>
          <w:spacing w:val="-2"/>
          <w:sz w:val="20"/>
          <w:szCs w:val="20"/>
          <w:u w:val="single"/>
        </w:rPr>
      </w:pPr>
    </w:p>
    <w:p w14:paraId="128DFF80" w14:textId="0BDD413F" w:rsidR="00FF408A" w:rsidRPr="002D2F67" w:rsidRDefault="007C2AD1" w:rsidP="005611FE">
      <w:pPr>
        <w:tabs>
          <w:tab w:val="left" w:pos="1992"/>
          <w:tab w:val="left" w:pos="2352"/>
        </w:tabs>
        <w:jc w:val="thaiDistribute"/>
        <w:outlineLvl w:val="1"/>
        <w:rPr>
          <w:rFonts w:ascii="Arial" w:eastAsia="MS Mincho" w:hAnsi="Arial" w:cs="Arial"/>
          <w:b/>
          <w:bCs/>
          <w:color w:val="000000"/>
          <w:sz w:val="20"/>
          <w:szCs w:val="20"/>
        </w:rPr>
      </w:pPr>
      <w:r w:rsidRPr="002D2F67">
        <w:rPr>
          <w:rFonts w:ascii="Arial" w:eastAsia="MS Mincho" w:hAnsi="Arial" w:cs="Arial"/>
          <w:b/>
          <w:bCs/>
          <w:color w:val="000000"/>
          <w:sz w:val="20"/>
          <w:szCs w:val="20"/>
        </w:rPr>
        <w:t>I</w:t>
      </w:r>
      <w:r w:rsidR="00FF408A" w:rsidRPr="002D2F67">
        <w:rPr>
          <w:rFonts w:ascii="Arial" w:eastAsia="MS Mincho" w:hAnsi="Arial" w:cs="Arial"/>
          <w:b/>
          <w:bCs/>
          <w:color w:val="000000"/>
          <w:sz w:val="20"/>
          <w:szCs w:val="20"/>
        </w:rPr>
        <w:t>mpairment of goodwill</w:t>
      </w:r>
      <w:r w:rsidR="007E5EDE" w:rsidRPr="002D2F67">
        <w:rPr>
          <w:rFonts w:ascii="Arial" w:eastAsia="MS Mincho" w:hAnsi="Arial" w:cs="Arial"/>
          <w:b/>
          <w:bCs/>
          <w:color w:val="000000"/>
          <w:sz w:val="20"/>
          <w:szCs w:val="20"/>
        </w:rPr>
        <w:t xml:space="preserve"> and net assets of cash-generating units</w:t>
      </w:r>
    </w:p>
    <w:p w14:paraId="6C8F9947" w14:textId="77777777" w:rsidR="00FF408A" w:rsidRPr="002D2F67" w:rsidRDefault="00FF408A" w:rsidP="005611FE">
      <w:pPr>
        <w:jc w:val="thaiDistribute"/>
        <w:rPr>
          <w:rFonts w:ascii="Arial" w:hAnsi="Arial" w:cs="Arial"/>
          <w:color w:val="000000"/>
          <w:spacing w:val="-2"/>
          <w:sz w:val="20"/>
          <w:szCs w:val="20"/>
        </w:rPr>
      </w:pPr>
    </w:p>
    <w:p w14:paraId="5BF83972" w14:textId="17E96407" w:rsidR="00FF408A" w:rsidRPr="002D2F67" w:rsidRDefault="00FF408A" w:rsidP="005611FE">
      <w:pPr>
        <w:jc w:val="thaiDistribute"/>
        <w:rPr>
          <w:rFonts w:ascii="Arial" w:hAnsi="Arial" w:cs="Arial"/>
          <w:color w:val="000000"/>
          <w:spacing w:val="-2"/>
          <w:sz w:val="20"/>
          <w:szCs w:val="20"/>
        </w:rPr>
      </w:pPr>
      <w:r w:rsidRPr="002D2F67">
        <w:rPr>
          <w:rFonts w:ascii="Arial" w:hAnsi="Arial" w:cs="Arial"/>
          <w:color w:val="000000"/>
          <w:spacing w:val="-8"/>
          <w:sz w:val="20"/>
          <w:szCs w:val="20"/>
        </w:rPr>
        <w:t xml:space="preserve">The Group </w:t>
      </w:r>
      <w:r w:rsidR="00FB11DC" w:rsidRPr="002D2F67">
        <w:rPr>
          <w:rFonts w:ascii="Arial" w:hAnsi="Arial" w:cs="Arial"/>
          <w:color w:val="000000"/>
          <w:spacing w:val="-8"/>
          <w:sz w:val="20"/>
          <w:szCs w:val="20"/>
        </w:rPr>
        <w:t>a</w:t>
      </w:r>
      <w:r w:rsidR="00D936FB" w:rsidRPr="002D2F67">
        <w:rPr>
          <w:rFonts w:ascii="Arial" w:hAnsi="Arial" w:cs="Arial"/>
          <w:color w:val="000000"/>
          <w:spacing w:val="-8"/>
          <w:sz w:val="20"/>
          <w:szCs w:val="20"/>
        </w:rPr>
        <w:t>n</w:t>
      </w:r>
      <w:r w:rsidR="00FB11DC" w:rsidRPr="002D2F67">
        <w:rPr>
          <w:rFonts w:ascii="Arial" w:hAnsi="Arial" w:cs="Arial"/>
          <w:color w:val="000000"/>
          <w:spacing w:val="-8"/>
          <w:sz w:val="20"/>
          <w:szCs w:val="20"/>
        </w:rPr>
        <w:t>nually</w:t>
      </w:r>
      <w:r w:rsidRPr="002D2F67">
        <w:rPr>
          <w:rFonts w:ascii="Arial" w:hAnsi="Arial" w:cs="Arial"/>
          <w:color w:val="000000"/>
          <w:spacing w:val="-8"/>
          <w:sz w:val="20"/>
          <w:szCs w:val="20"/>
        </w:rPr>
        <w:t xml:space="preserve"> </w:t>
      </w:r>
      <w:r w:rsidR="00D74824" w:rsidRPr="002D2F67">
        <w:rPr>
          <w:rFonts w:ascii="Arial" w:hAnsi="Arial" w:cs="Arial"/>
          <w:color w:val="000000"/>
          <w:spacing w:val="-8"/>
          <w:sz w:val="20"/>
          <w:szCs w:val="20"/>
        </w:rPr>
        <w:t xml:space="preserve">tests impairment </w:t>
      </w:r>
      <w:r w:rsidR="00FB11DC" w:rsidRPr="002D2F67">
        <w:rPr>
          <w:rFonts w:ascii="Arial" w:hAnsi="Arial" w:cs="Arial"/>
          <w:color w:val="000000"/>
          <w:spacing w:val="-8"/>
          <w:sz w:val="20"/>
          <w:szCs w:val="20"/>
        </w:rPr>
        <w:t>of goodwill</w:t>
      </w:r>
      <w:r w:rsidR="00D74824" w:rsidRPr="002D2F67">
        <w:rPr>
          <w:rFonts w:ascii="Arial" w:hAnsi="Arial" w:cs="Arial"/>
          <w:color w:val="000000"/>
          <w:spacing w:val="-8"/>
          <w:sz w:val="20"/>
          <w:szCs w:val="20"/>
        </w:rPr>
        <w:t xml:space="preserve"> </w:t>
      </w:r>
      <w:r w:rsidR="00782C44">
        <w:rPr>
          <w:rFonts w:ascii="Arial" w:hAnsi="Arial" w:cs="Arial"/>
          <w:color w:val="000000"/>
          <w:spacing w:val="-8"/>
          <w:sz w:val="20"/>
          <w:szCs w:val="20"/>
        </w:rPr>
        <w:t>or</w:t>
      </w:r>
      <w:r w:rsidR="00D74824" w:rsidRPr="002D2F67">
        <w:rPr>
          <w:rFonts w:ascii="Arial" w:hAnsi="Arial" w:cs="Arial"/>
          <w:color w:val="000000"/>
          <w:spacing w:val="-8"/>
          <w:sz w:val="20"/>
          <w:szCs w:val="20"/>
        </w:rPr>
        <w:t xml:space="preserve"> whenever there is an indicator of impairment</w:t>
      </w:r>
      <w:r w:rsidRPr="002D2F67">
        <w:rPr>
          <w:rFonts w:ascii="Arial" w:hAnsi="Arial" w:cs="Arial"/>
          <w:color w:val="000000"/>
          <w:spacing w:val="-8"/>
          <w:sz w:val="20"/>
          <w:szCs w:val="20"/>
        </w:rPr>
        <w:t>. The recoverable</w:t>
      </w:r>
      <w:r w:rsidRPr="002D2F67">
        <w:rPr>
          <w:rFonts w:ascii="Arial" w:hAnsi="Arial" w:cs="Arial"/>
          <w:color w:val="000000"/>
          <w:spacing w:val="-4"/>
          <w:sz w:val="20"/>
          <w:szCs w:val="20"/>
        </w:rPr>
        <w:t xml:space="preserve"> </w:t>
      </w:r>
      <w:r w:rsidRPr="002D2F67">
        <w:rPr>
          <w:rFonts w:ascii="Arial" w:hAnsi="Arial" w:cs="Arial"/>
          <w:color w:val="000000"/>
          <w:spacing w:val="-6"/>
          <w:sz w:val="20"/>
          <w:szCs w:val="20"/>
        </w:rPr>
        <w:t>amounts of cash-generating units have been determined based on value-in-use calculations. These calculations</w:t>
      </w:r>
      <w:r w:rsidRPr="002D2F67">
        <w:rPr>
          <w:rFonts w:ascii="Arial" w:hAnsi="Arial" w:cs="Arial"/>
          <w:color w:val="000000"/>
          <w:spacing w:val="-2"/>
          <w:sz w:val="20"/>
          <w:szCs w:val="20"/>
        </w:rPr>
        <w:t xml:space="preserve"> </w:t>
      </w:r>
      <w:r w:rsidRPr="002D2F67">
        <w:rPr>
          <w:rFonts w:ascii="Arial" w:hAnsi="Arial" w:cs="Arial"/>
          <w:color w:val="000000"/>
          <w:spacing w:val="-6"/>
          <w:sz w:val="20"/>
          <w:szCs w:val="20"/>
        </w:rPr>
        <w:t xml:space="preserve">use cash flow projections based on financial budget covering useful lives of assets used </w:t>
      </w:r>
      <w:r w:rsidR="003605A8" w:rsidRPr="002D2F67">
        <w:rPr>
          <w:rFonts w:ascii="Arial" w:hAnsi="Arial" w:cs="Arial"/>
          <w:color w:val="000000"/>
          <w:spacing w:val="-6"/>
          <w:sz w:val="20"/>
          <w:szCs w:val="20"/>
        </w:rPr>
        <w:t xml:space="preserve">battery </w:t>
      </w:r>
      <w:r w:rsidRPr="002D2F67">
        <w:rPr>
          <w:rFonts w:ascii="Arial" w:hAnsi="Arial" w:cs="Arial"/>
          <w:color w:val="000000"/>
          <w:spacing w:val="-6"/>
          <w:sz w:val="20"/>
          <w:szCs w:val="20"/>
        </w:rPr>
        <w:t>manufacturing</w:t>
      </w:r>
      <w:r w:rsidRPr="002D2F67">
        <w:rPr>
          <w:rFonts w:ascii="Arial" w:hAnsi="Arial" w:cs="Arial"/>
          <w:color w:val="000000"/>
          <w:sz w:val="20"/>
          <w:szCs w:val="20"/>
        </w:rPr>
        <w:t xml:space="preserve"> and distributing </w:t>
      </w:r>
      <w:r w:rsidR="003605A8" w:rsidRPr="002D2F67">
        <w:rPr>
          <w:rFonts w:ascii="Arial" w:hAnsi="Arial" w:cs="Arial"/>
          <w:color w:val="000000"/>
          <w:sz w:val="20"/>
          <w:szCs w:val="20"/>
        </w:rPr>
        <w:t xml:space="preserve">business </w:t>
      </w:r>
      <w:r w:rsidR="007E5116" w:rsidRPr="002D2F67">
        <w:rPr>
          <w:rFonts w:ascii="Arial" w:hAnsi="Arial" w:cs="Arial"/>
          <w:color w:val="000000"/>
          <w:sz w:val="20"/>
          <w:szCs w:val="20"/>
        </w:rPr>
        <w:t xml:space="preserve">as disclosed </w:t>
      </w:r>
      <w:r w:rsidRPr="002D2F67">
        <w:rPr>
          <w:rFonts w:ascii="Arial" w:hAnsi="Arial" w:cs="Arial"/>
          <w:color w:val="000000"/>
          <w:spacing w:val="-2"/>
          <w:sz w:val="20"/>
          <w:szCs w:val="20"/>
        </w:rPr>
        <w:t xml:space="preserve">in </w:t>
      </w:r>
      <w:r w:rsidR="003E15E5" w:rsidRPr="002D2F67">
        <w:rPr>
          <w:rFonts w:ascii="Arial" w:hAnsi="Arial" w:cs="Arial"/>
          <w:color w:val="000000"/>
          <w:spacing w:val="-2"/>
          <w:sz w:val="20"/>
          <w:szCs w:val="20"/>
        </w:rPr>
        <w:t>N</w:t>
      </w:r>
      <w:r w:rsidRPr="002D2F67">
        <w:rPr>
          <w:rFonts w:ascii="Arial" w:hAnsi="Arial" w:cs="Arial"/>
          <w:color w:val="000000"/>
          <w:spacing w:val="-2"/>
          <w:sz w:val="20"/>
          <w:szCs w:val="20"/>
        </w:rPr>
        <w:t xml:space="preserve">ote </w:t>
      </w:r>
      <w:r w:rsidR="00CD5714" w:rsidRPr="00CD5714">
        <w:rPr>
          <w:rFonts w:ascii="Arial" w:hAnsi="Arial" w:cs="Arial"/>
          <w:color w:val="000000"/>
          <w:spacing w:val="-2"/>
          <w:sz w:val="20"/>
          <w:szCs w:val="20"/>
          <w:lang w:val="en-GB"/>
        </w:rPr>
        <w:t>23</w:t>
      </w:r>
      <w:r w:rsidRPr="002D2F67">
        <w:rPr>
          <w:rFonts w:ascii="Arial" w:hAnsi="Arial" w:cs="Arial"/>
          <w:color w:val="000000"/>
          <w:spacing w:val="-2"/>
          <w:sz w:val="20"/>
          <w:szCs w:val="20"/>
        </w:rPr>
        <w:t xml:space="preserve">. </w:t>
      </w:r>
    </w:p>
    <w:p w14:paraId="37184E82" w14:textId="77777777" w:rsidR="007E5EDE" w:rsidRPr="002D2F67" w:rsidRDefault="007E5EDE" w:rsidP="007E5EDE">
      <w:pPr>
        <w:jc w:val="thaiDistribute"/>
        <w:rPr>
          <w:rFonts w:ascii="Arial" w:hAnsi="Arial" w:cs="Arial"/>
          <w:color w:val="000000"/>
          <w:spacing w:val="-2"/>
          <w:sz w:val="20"/>
          <w:szCs w:val="20"/>
        </w:rPr>
      </w:pPr>
      <w:bookmarkStart w:id="3" w:name="_Hlk64406237"/>
    </w:p>
    <w:p w14:paraId="3A88AF57" w14:textId="0E466459" w:rsidR="007E5EDE" w:rsidRPr="002D2F67" w:rsidRDefault="007E5EDE" w:rsidP="007E5EDE">
      <w:pPr>
        <w:tabs>
          <w:tab w:val="left" w:pos="1992"/>
          <w:tab w:val="left" w:pos="2352"/>
        </w:tabs>
        <w:jc w:val="thaiDistribute"/>
        <w:outlineLvl w:val="1"/>
        <w:rPr>
          <w:rFonts w:ascii="Arial" w:eastAsia="MS Mincho" w:hAnsi="Arial" w:cs="Arial"/>
          <w:b/>
          <w:bCs/>
          <w:color w:val="000000"/>
          <w:sz w:val="20"/>
          <w:szCs w:val="20"/>
        </w:rPr>
      </w:pPr>
      <w:r w:rsidRPr="002D2F67">
        <w:rPr>
          <w:rFonts w:ascii="Arial" w:eastAsia="MS Mincho" w:hAnsi="Arial" w:cs="Arial"/>
          <w:b/>
          <w:bCs/>
          <w:color w:val="000000"/>
          <w:sz w:val="20"/>
          <w:szCs w:val="20"/>
        </w:rPr>
        <w:t>Impairment of investments in subsidiaries</w:t>
      </w:r>
    </w:p>
    <w:p w14:paraId="28BB6C7B" w14:textId="77777777" w:rsidR="007E5EDE" w:rsidRPr="002D2F67" w:rsidRDefault="007E5EDE" w:rsidP="007E5EDE">
      <w:pPr>
        <w:jc w:val="thaiDistribute"/>
        <w:rPr>
          <w:rFonts w:ascii="Arial" w:hAnsi="Arial" w:cs="Arial"/>
          <w:color w:val="000000"/>
          <w:sz w:val="20"/>
          <w:szCs w:val="20"/>
        </w:rPr>
      </w:pPr>
    </w:p>
    <w:p w14:paraId="393D7649" w14:textId="2F461638" w:rsidR="007E5EDE" w:rsidRPr="002D2F67" w:rsidRDefault="007E5EDE" w:rsidP="007E5EDE">
      <w:pPr>
        <w:tabs>
          <w:tab w:val="left" w:pos="1056"/>
        </w:tabs>
        <w:jc w:val="both"/>
        <w:rPr>
          <w:rFonts w:ascii="Arial" w:hAnsi="Arial" w:cs="Arial"/>
          <w:color w:val="000000"/>
          <w:spacing w:val="-2"/>
          <w:sz w:val="20"/>
          <w:szCs w:val="20"/>
        </w:rPr>
      </w:pPr>
      <w:r w:rsidRPr="002D2F67">
        <w:rPr>
          <w:rFonts w:ascii="Arial" w:hAnsi="Arial" w:cs="Arial"/>
          <w:spacing w:val="-6"/>
          <w:sz w:val="20"/>
          <w:szCs w:val="20"/>
        </w:rPr>
        <w:t>Impairment assessment of investment in subsidiaries requires the management to estimate</w:t>
      </w:r>
      <w:r w:rsidR="007E5116" w:rsidRPr="002D2F67">
        <w:rPr>
          <w:rFonts w:ascii="Arial" w:hAnsi="Arial" w:cs="Arial"/>
          <w:spacing w:val="-6"/>
          <w:sz w:val="20"/>
          <w:szCs w:val="20"/>
        </w:rPr>
        <w:t xml:space="preserve"> the</w:t>
      </w:r>
      <w:r w:rsidRPr="002D2F67">
        <w:rPr>
          <w:rFonts w:ascii="Arial" w:hAnsi="Arial" w:cs="Arial"/>
          <w:spacing w:val="-6"/>
          <w:sz w:val="20"/>
          <w:szCs w:val="20"/>
        </w:rPr>
        <w:t xml:space="preserve"> recoverable amounts</w:t>
      </w:r>
      <w:r w:rsidRPr="002D2F67">
        <w:rPr>
          <w:rFonts w:ascii="Arial" w:hAnsi="Arial" w:cs="Arial"/>
          <w:spacing w:val="-4"/>
          <w:sz w:val="20"/>
          <w:szCs w:val="20"/>
        </w:rPr>
        <w:t xml:space="preserve"> (higher amount</w:t>
      </w:r>
      <w:r w:rsidRPr="002D2F67">
        <w:rPr>
          <w:rFonts w:ascii="Arial" w:hAnsi="Arial" w:cs="Arial"/>
          <w:spacing w:val="-2"/>
          <w:sz w:val="20"/>
          <w:szCs w:val="20"/>
        </w:rPr>
        <w:t xml:space="preserve"> between value-in-use model or fair value less costs of disposal). By applying the value-in-use model, the management estimate future cash flows at the cash-generating unit level and calculate present value using appropriate discount rate</w:t>
      </w:r>
      <w:r w:rsidRPr="002D2F67">
        <w:rPr>
          <w:rFonts w:ascii="Arial" w:hAnsi="Arial" w:cs="Arial"/>
          <w:color w:val="000000"/>
          <w:spacing w:val="-2"/>
          <w:sz w:val="20"/>
          <w:szCs w:val="20"/>
        </w:rPr>
        <w:t>.</w:t>
      </w:r>
    </w:p>
    <w:p w14:paraId="5491D0E8" w14:textId="77777777" w:rsidR="007E5EDE" w:rsidRPr="002D2F67" w:rsidRDefault="007E5EDE" w:rsidP="005611FE">
      <w:pPr>
        <w:tabs>
          <w:tab w:val="left" w:pos="1992"/>
          <w:tab w:val="left" w:pos="2352"/>
        </w:tabs>
        <w:jc w:val="thaiDistribute"/>
        <w:outlineLvl w:val="1"/>
        <w:rPr>
          <w:rFonts w:ascii="Arial" w:eastAsia="MS Mincho" w:hAnsi="Arial" w:cs="Arial"/>
          <w:b/>
          <w:bCs/>
          <w:color w:val="000000"/>
          <w:sz w:val="20"/>
          <w:szCs w:val="20"/>
        </w:rPr>
      </w:pPr>
    </w:p>
    <w:p w14:paraId="64B7EB4D" w14:textId="3A6D037C" w:rsidR="00FF408A" w:rsidRPr="002D2F67" w:rsidRDefault="00FF408A" w:rsidP="005611FE">
      <w:pPr>
        <w:tabs>
          <w:tab w:val="left" w:pos="1992"/>
          <w:tab w:val="left" w:pos="2352"/>
        </w:tabs>
        <w:jc w:val="thaiDistribute"/>
        <w:outlineLvl w:val="1"/>
        <w:rPr>
          <w:rFonts w:ascii="Arial" w:eastAsia="MS Mincho" w:hAnsi="Arial" w:cs="Arial"/>
          <w:b/>
          <w:bCs/>
          <w:color w:val="000000"/>
          <w:sz w:val="20"/>
          <w:szCs w:val="20"/>
        </w:rPr>
      </w:pPr>
      <w:r w:rsidRPr="002D2F67">
        <w:rPr>
          <w:rFonts w:ascii="Arial" w:eastAsia="MS Mincho" w:hAnsi="Arial" w:cs="Arial"/>
          <w:b/>
          <w:bCs/>
          <w:color w:val="000000"/>
          <w:sz w:val="20"/>
          <w:szCs w:val="20"/>
        </w:rPr>
        <w:t xml:space="preserve">Fair value </w:t>
      </w:r>
      <w:r w:rsidR="003E15E5" w:rsidRPr="002D2F67">
        <w:rPr>
          <w:rFonts w:ascii="Arial" w:eastAsia="MS Mincho" w:hAnsi="Arial" w:cs="Arial"/>
          <w:b/>
          <w:bCs/>
          <w:color w:val="000000"/>
          <w:sz w:val="20"/>
          <w:szCs w:val="20"/>
        </w:rPr>
        <w:t>measurement of equity instrument</w:t>
      </w:r>
    </w:p>
    <w:p w14:paraId="7ECADBAF" w14:textId="77777777" w:rsidR="00FF408A" w:rsidRPr="002D2F67" w:rsidRDefault="00FF408A" w:rsidP="005611FE">
      <w:pPr>
        <w:jc w:val="thaiDistribute"/>
        <w:rPr>
          <w:rFonts w:ascii="Arial" w:hAnsi="Arial" w:cs="Arial"/>
          <w:color w:val="000000"/>
          <w:sz w:val="20"/>
          <w:szCs w:val="20"/>
        </w:rPr>
      </w:pPr>
    </w:p>
    <w:p w14:paraId="475ACC4C" w14:textId="11A4EE0C" w:rsidR="000B740A" w:rsidRPr="002D2F67" w:rsidRDefault="003E15E5" w:rsidP="005611FE">
      <w:pPr>
        <w:tabs>
          <w:tab w:val="left" w:pos="1056"/>
        </w:tabs>
        <w:jc w:val="both"/>
        <w:rPr>
          <w:rFonts w:ascii="Arial" w:hAnsi="Arial" w:cs="Arial"/>
          <w:color w:val="000000"/>
          <w:spacing w:val="-2"/>
          <w:sz w:val="20"/>
          <w:szCs w:val="20"/>
        </w:rPr>
      </w:pPr>
      <w:r w:rsidRPr="002D2F67">
        <w:rPr>
          <w:rFonts w:ascii="Arial" w:hAnsi="Arial" w:cs="Arial"/>
          <w:color w:val="000000"/>
          <w:spacing w:val="-2"/>
          <w:sz w:val="20"/>
          <w:szCs w:val="20"/>
        </w:rPr>
        <w:t xml:space="preserve">Fair value of equity instrument which is not trade in the active market is measured by valuation technique. The Group uses judgement to select a variety of methods and make assumptions that are mainly based on market conditions </w:t>
      </w:r>
      <w:r w:rsidR="007E5116" w:rsidRPr="002D2F67">
        <w:rPr>
          <w:rFonts w:ascii="Arial" w:hAnsi="Arial" w:cs="Arial"/>
          <w:color w:val="000000"/>
          <w:spacing w:val="-2"/>
          <w:sz w:val="20"/>
          <w:szCs w:val="20"/>
        </w:rPr>
        <w:t>th</w:t>
      </w:r>
      <w:r w:rsidR="002C0AEB" w:rsidRPr="002D2F67">
        <w:rPr>
          <w:rFonts w:ascii="Arial" w:hAnsi="Arial" w:cs="Arial"/>
          <w:color w:val="000000"/>
          <w:spacing w:val="-2"/>
          <w:sz w:val="20"/>
          <w:szCs w:val="20"/>
        </w:rPr>
        <w:t>at</w:t>
      </w:r>
      <w:r w:rsidR="007E5116" w:rsidRPr="002D2F67">
        <w:rPr>
          <w:rFonts w:ascii="Arial" w:hAnsi="Arial" w:cs="Arial"/>
          <w:color w:val="000000"/>
          <w:spacing w:val="-2"/>
          <w:sz w:val="20"/>
          <w:szCs w:val="20"/>
        </w:rPr>
        <w:t xml:space="preserve"> </w:t>
      </w:r>
      <w:r w:rsidRPr="002D2F67">
        <w:rPr>
          <w:rFonts w:ascii="Arial" w:hAnsi="Arial" w:cs="Arial"/>
          <w:color w:val="000000"/>
          <w:spacing w:val="-2"/>
          <w:sz w:val="20"/>
          <w:szCs w:val="20"/>
        </w:rPr>
        <w:t xml:space="preserve">exist at the end of each reporting period. Details of key assumptions used are included in Note </w:t>
      </w:r>
      <w:r w:rsidR="00CD5714" w:rsidRPr="00CD5714">
        <w:rPr>
          <w:rFonts w:ascii="Arial" w:hAnsi="Arial" w:cs="Arial"/>
          <w:color w:val="000000"/>
          <w:spacing w:val="-2"/>
          <w:sz w:val="20"/>
          <w:szCs w:val="20"/>
          <w:lang w:val="en-GB"/>
        </w:rPr>
        <w:t>7</w:t>
      </w:r>
      <w:r w:rsidRPr="002D2F67">
        <w:rPr>
          <w:rFonts w:ascii="Arial" w:hAnsi="Arial" w:cs="Arial"/>
          <w:color w:val="000000"/>
          <w:spacing w:val="-2"/>
          <w:sz w:val="20"/>
          <w:szCs w:val="20"/>
        </w:rPr>
        <w:t>.</w:t>
      </w:r>
    </w:p>
    <w:bookmarkEnd w:id="3"/>
    <w:p w14:paraId="6FDBBCDC" w14:textId="77777777" w:rsidR="001A2A1A" w:rsidRPr="002D2F67" w:rsidRDefault="001A2A1A" w:rsidP="005611FE">
      <w:pPr>
        <w:tabs>
          <w:tab w:val="left" w:pos="1056"/>
        </w:tabs>
        <w:jc w:val="both"/>
        <w:rPr>
          <w:rFonts w:ascii="Arial" w:hAnsi="Arial" w:cs="Arial"/>
          <w:color w:val="000000"/>
          <w:sz w:val="20"/>
          <w:szCs w:val="20"/>
        </w:rPr>
      </w:pPr>
    </w:p>
    <w:p w14:paraId="2018587F" w14:textId="26CAFE57" w:rsidR="007E5EDE" w:rsidRPr="002D2F67" w:rsidRDefault="007E5EDE" w:rsidP="007E5EDE">
      <w:pPr>
        <w:tabs>
          <w:tab w:val="left" w:pos="1992"/>
          <w:tab w:val="left" w:pos="2352"/>
        </w:tabs>
        <w:jc w:val="thaiDistribute"/>
        <w:outlineLvl w:val="1"/>
        <w:rPr>
          <w:rFonts w:ascii="Arial" w:eastAsia="MS Mincho" w:hAnsi="Arial" w:cs="Arial"/>
          <w:b/>
          <w:bCs/>
          <w:color w:val="000000"/>
          <w:sz w:val="20"/>
          <w:szCs w:val="20"/>
        </w:rPr>
      </w:pPr>
      <w:r w:rsidRPr="002D2F67">
        <w:rPr>
          <w:rFonts w:ascii="Arial" w:eastAsia="MS Mincho" w:hAnsi="Arial" w:cs="Arial"/>
          <w:b/>
          <w:bCs/>
          <w:color w:val="000000"/>
          <w:sz w:val="20"/>
          <w:szCs w:val="20"/>
        </w:rPr>
        <w:t>Impairment of financial assets</w:t>
      </w:r>
    </w:p>
    <w:p w14:paraId="1C78961F" w14:textId="77777777" w:rsidR="007E5EDE" w:rsidRPr="002D2F67" w:rsidRDefault="007E5EDE" w:rsidP="007E5EDE">
      <w:pPr>
        <w:tabs>
          <w:tab w:val="left" w:pos="1992"/>
          <w:tab w:val="left" w:pos="2352"/>
        </w:tabs>
        <w:jc w:val="thaiDistribute"/>
        <w:outlineLvl w:val="1"/>
        <w:rPr>
          <w:rFonts w:ascii="Arial" w:eastAsia="MS Mincho" w:hAnsi="Arial" w:cs="Arial"/>
          <w:b/>
          <w:bCs/>
          <w:color w:val="000000"/>
          <w:sz w:val="20"/>
          <w:szCs w:val="20"/>
        </w:rPr>
      </w:pPr>
    </w:p>
    <w:p w14:paraId="4E5F48ED" w14:textId="3F2A0819" w:rsidR="007E5EDE" w:rsidRPr="002D2F67" w:rsidRDefault="007E5EDE" w:rsidP="007E5EDE">
      <w:pPr>
        <w:tabs>
          <w:tab w:val="left" w:pos="1056"/>
        </w:tabs>
        <w:jc w:val="both"/>
        <w:rPr>
          <w:rFonts w:ascii="Arial" w:hAnsi="Arial" w:cs="Arial"/>
          <w:color w:val="000000"/>
          <w:spacing w:val="-2"/>
          <w:sz w:val="20"/>
          <w:szCs w:val="20"/>
        </w:rPr>
      </w:pPr>
      <w:r w:rsidRPr="002D2F67">
        <w:rPr>
          <w:rFonts w:ascii="Arial" w:hAnsi="Arial" w:cs="Arial"/>
          <w:color w:val="000000"/>
          <w:spacing w:val="-4"/>
          <w:sz w:val="20"/>
          <w:szCs w:val="20"/>
        </w:rPr>
        <w:t>The loss allowances for financial assets are based on assumptions about default risk and expected loss rates</w:t>
      </w:r>
      <w:r w:rsidRPr="002D2F67">
        <w:rPr>
          <w:rFonts w:ascii="Arial" w:hAnsi="Arial" w:cs="Arial"/>
          <w:color w:val="000000"/>
          <w:spacing w:val="-2"/>
          <w:sz w:val="20"/>
          <w:szCs w:val="20"/>
          <w:cs/>
        </w:rPr>
        <w:t xml:space="preserve">. </w:t>
      </w:r>
      <w:r w:rsidRPr="002D2F67">
        <w:rPr>
          <w:rFonts w:ascii="Arial" w:hAnsi="Arial" w:cs="Arial"/>
          <w:color w:val="000000"/>
          <w:spacing w:val="-2"/>
          <w:sz w:val="20"/>
          <w:szCs w:val="20"/>
        </w:rPr>
        <w:t xml:space="preserve">The Group uses judgement in making these assumptions and selecting the inputs used in the impairment calculation, based on the Group’s </w:t>
      </w:r>
      <w:proofErr w:type="gramStart"/>
      <w:r w:rsidRPr="002D2F67">
        <w:rPr>
          <w:rFonts w:ascii="Arial" w:hAnsi="Arial" w:cs="Arial"/>
          <w:color w:val="000000"/>
          <w:spacing w:val="-2"/>
          <w:sz w:val="20"/>
          <w:szCs w:val="20"/>
        </w:rPr>
        <w:t>past experience</w:t>
      </w:r>
      <w:proofErr w:type="gramEnd"/>
      <w:r w:rsidRPr="002D2F67">
        <w:rPr>
          <w:rFonts w:ascii="Arial" w:hAnsi="Arial" w:cs="Arial"/>
          <w:color w:val="000000"/>
          <w:spacing w:val="-2"/>
          <w:sz w:val="20"/>
          <w:szCs w:val="20"/>
        </w:rPr>
        <w:t xml:space="preserve"> and existing market conditions, as well as forward</w:t>
      </w:r>
      <w:r w:rsidRPr="002D2F67">
        <w:rPr>
          <w:rFonts w:ascii="Arial" w:hAnsi="Arial" w:cs="Arial"/>
          <w:color w:val="000000"/>
          <w:spacing w:val="-2"/>
          <w:sz w:val="20"/>
          <w:szCs w:val="20"/>
          <w:cs/>
        </w:rPr>
        <w:t>-</w:t>
      </w:r>
      <w:r w:rsidRPr="002D2F67">
        <w:rPr>
          <w:rFonts w:ascii="Arial" w:hAnsi="Arial" w:cs="Arial"/>
          <w:color w:val="000000"/>
          <w:spacing w:val="-2"/>
          <w:sz w:val="20"/>
          <w:szCs w:val="20"/>
        </w:rPr>
        <w:t>looking estimates at the end of each reporting period.</w:t>
      </w:r>
    </w:p>
    <w:p w14:paraId="06059B02" w14:textId="77777777" w:rsidR="007E5EDE" w:rsidRPr="002D2F67" w:rsidRDefault="007E5EDE" w:rsidP="005611FE">
      <w:pPr>
        <w:tabs>
          <w:tab w:val="left" w:pos="1056"/>
        </w:tabs>
        <w:jc w:val="both"/>
        <w:rPr>
          <w:rFonts w:ascii="Arial" w:hAnsi="Arial" w:cs="Arial"/>
          <w:color w:val="000000"/>
          <w:sz w:val="20"/>
          <w:szCs w:val="20"/>
        </w:rPr>
      </w:pPr>
    </w:p>
    <w:p w14:paraId="557E7E5C" w14:textId="25352F95" w:rsidR="005D5BFD" w:rsidRPr="002D2F67" w:rsidRDefault="00417DE1" w:rsidP="005D5BFD">
      <w:pPr>
        <w:tabs>
          <w:tab w:val="left" w:pos="1992"/>
          <w:tab w:val="left" w:pos="2352"/>
        </w:tabs>
        <w:jc w:val="thaiDistribute"/>
        <w:outlineLvl w:val="1"/>
        <w:rPr>
          <w:rFonts w:ascii="Arial" w:eastAsia="MS Mincho" w:hAnsi="Arial" w:cs="Arial"/>
          <w:b/>
          <w:bCs/>
          <w:color w:val="000000"/>
          <w:sz w:val="20"/>
          <w:szCs w:val="20"/>
        </w:rPr>
      </w:pPr>
      <w:r w:rsidRPr="002D2F67">
        <w:rPr>
          <w:rFonts w:ascii="Arial" w:eastAsia="MS Mincho" w:hAnsi="Arial" w:cs="Arial"/>
          <w:b/>
          <w:bCs/>
          <w:color w:val="000000"/>
          <w:sz w:val="20"/>
          <w:szCs w:val="20"/>
        </w:rPr>
        <w:t>Net realisable value of inventories</w:t>
      </w:r>
    </w:p>
    <w:p w14:paraId="177CDCE9" w14:textId="71C278C2" w:rsidR="00C77FF4" w:rsidRPr="002D2F67" w:rsidRDefault="00C77FF4" w:rsidP="00C77FF4">
      <w:pPr>
        <w:tabs>
          <w:tab w:val="left" w:pos="1992"/>
          <w:tab w:val="left" w:pos="2352"/>
        </w:tabs>
        <w:jc w:val="thaiDistribute"/>
        <w:outlineLvl w:val="1"/>
        <w:rPr>
          <w:rFonts w:ascii="Arial" w:eastAsia="MS Mincho" w:hAnsi="Arial" w:cs="Arial"/>
          <w:color w:val="000000"/>
          <w:sz w:val="20"/>
          <w:szCs w:val="20"/>
        </w:rPr>
      </w:pPr>
      <w:r w:rsidRPr="002D2F67">
        <w:rPr>
          <w:rFonts w:ascii="Arial" w:eastAsia="MS Mincho" w:hAnsi="Arial" w:cs="Arial"/>
          <w:b/>
          <w:bCs/>
          <w:color w:val="000000"/>
          <w:sz w:val="20"/>
          <w:szCs w:val="20"/>
        </w:rPr>
        <w:br/>
      </w:r>
      <w:r w:rsidRPr="002D2F67">
        <w:rPr>
          <w:rFonts w:ascii="Arial" w:eastAsia="MS Mincho" w:hAnsi="Arial" w:cs="Arial"/>
          <w:color w:val="000000"/>
          <w:sz w:val="20"/>
          <w:szCs w:val="20"/>
        </w:rPr>
        <w:t>The Group measures inventories at the lower of cost and net reali</w:t>
      </w:r>
      <w:r w:rsidR="00706BF6" w:rsidRPr="002D2F67">
        <w:rPr>
          <w:rFonts w:ascii="Arial" w:eastAsia="MS Mincho" w:hAnsi="Arial" w:cs="Arial"/>
          <w:color w:val="000000"/>
          <w:sz w:val="20"/>
          <w:szCs w:val="20"/>
        </w:rPr>
        <w:t>s</w:t>
      </w:r>
      <w:r w:rsidRPr="002D2F67">
        <w:rPr>
          <w:rFonts w:ascii="Arial" w:eastAsia="MS Mincho" w:hAnsi="Arial" w:cs="Arial"/>
          <w:color w:val="000000"/>
          <w:sz w:val="20"/>
          <w:szCs w:val="20"/>
        </w:rPr>
        <w:t>able value. The net reali</w:t>
      </w:r>
      <w:r w:rsidR="00706BF6" w:rsidRPr="002D2F67">
        <w:rPr>
          <w:rFonts w:ascii="Arial" w:eastAsia="MS Mincho" w:hAnsi="Arial" w:cs="Arial"/>
          <w:color w:val="000000"/>
          <w:sz w:val="20"/>
          <w:szCs w:val="20"/>
        </w:rPr>
        <w:t>s</w:t>
      </w:r>
      <w:r w:rsidRPr="002D2F67">
        <w:rPr>
          <w:rFonts w:ascii="Arial" w:eastAsia="MS Mincho" w:hAnsi="Arial" w:cs="Arial"/>
          <w:color w:val="000000"/>
          <w:sz w:val="20"/>
          <w:szCs w:val="20"/>
        </w:rPr>
        <w:t xml:space="preserve">able value of </w:t>
      </w:r>
      <w:r w:rsidRPr="002D2F67">
        <w:rPr>
          <w:rFonts w:ascii="Arial" w:eastAsia="MS Mincho" w:hAnsi="Arial" w:cs="Arial"/>
          <w:color w:val="000000"/>
          <w:spacing w:val="-4"/>
          <w:sz w:val="20"/>
          <w:szCs w:val="20"/>
        </w:rPr>
        <w:t>inventories is calculated as the estimated selling price in the ordinary course of business, less the estimated costs of completion and the estimated costs necessary to make the sale. Factors considered in the calculation include current market selling prices, market trends, and anticipated distribution cost</w:t>
      </w:r>
      <w:r w:rsidR="00490B20" w:rsidRPr="002D2F67">
        <w:rPr>
          <w:rFonts w:ascii="Arial" w:eastAsia="MS Mincho" w:hAnsi="Arial" w:cs="Arial"/>
          <w:color w:val="000000"/>
          <w:spacing w:val="-4"/>
          <w:sz w:val="20"/>
          <w:szCs w:val="20"/>
        </w:rPr>
        <w:t xml:space="preserve"> </w:t>
      </w:r>
      <w:proofErr w:type="gramStart"/>
      <w:r w:rsidR="00490B20" w:rsidRPr="002D2F67">
        <w:rPr>
          <w:rFonts w:ascii="Arial" w:eastAsia="MS Mincho" w:hAnsi="Arial" w:cs="Arial"/>
          <w:color w:val="000000"/>
          <w:spacing w:val="-4"/>
          <w:sz w:val="20"/>
          <w:szCs w:val="20"/>
        </w:rPr>
        <w:t>and etc</w:t>
      </w:r>
      <w:r w:rsidRPr="002D2F67">
        <w:rPr>
          <w:rFonts w:ascii="Arial" w:eastAsia="MS Mincho" w:hAnsi="Arial" w:cs="Arial"/>
          <w:color w:val="000000"/>
          <w:sz w:val="20"/>
          <w:szCs w:val="20"/>
        </w:rPr>
        <w:t>.</w:t>
      </w:r>
      <w:proofErr w:type="gramEnd"/>
    </w:p>
    <w:p w14:paraId="4C0CF59C" w14:textId="77777777" w:rsidR="00917F81" w:rsidRPr="002D2F67" w:rsidRDefault="00917F81" w:rsidP="005611FE">
      <w:pPr>
        <w:tabs>
          <w:tab w:val="left" w:pos="1056"/>
        </w:tabs>
        <w:jc w:val="both"/>
        <w:rPr>
          <w:rFonts w:ascii="Arial" w:hAnsi="Arial" w:cs="Arial"/>
          <w:color w:val="000000"/>
          <w:sz w:val="20"/>
          <w:szCs w:val="20"/>
        </w:rPr>
      </w:pPr>
    </w:p>
    <w:p w14:paraId="1FC4A757" w14:textId="77777777" w:rsidR="00706C8B" w:rsidRPr="002D2F67" w:rsidRDefault="00706C8B" w:rsidP="005611FE">
      <w:pPr>
        <w:tabs>
          <w:tab w:val="left" w:pos="1056"/>
        </w:tabs>
        <w:jc w:val="both"/>
        <w:rPr>
          <w:rFonts w:ascii="Arial" w:hAnsi="Arial" w:cs="Arial"/>
          <w:color w:val="000000"/>
          <w:sz w:val="20"/>
          <w:szCs w:val="20"/>
        </w:rPr>
        <w:sectPr w:rsidR="00706C8B" w:rsidRPr="002D2F67" w:rsidSect="00BC5B63">
          <w:pgSz w:w="11906" w:h="16838" w:code="9"/>
          <w:pgMar w:top="1440" w:right="720" w:bottom="720" w:left="1728" w:header="706" w:footer="706" w:gutter="0"/>
          <w:cols w:space="720"/>
          <w:docGrid w:linePitch="326"/>
        </w:sectPr>
      </w:pPr>
    </w:p>
    <w:p w14:paraId="60E614A6" w14:textId="77777777" w:rsidR="00FF408A" w:rsidRPr="002D2F67" w:rsidRDefault="00FF408A" w:rsidP="005611FE">
      <w:pPr>
        <w:pStyle w:val="BodyTextIndent2"/>
        <w:spacing w:line="240" w:lineRule="auto"/>
        <w:ind w:left="0"/>
        <w:jc w:val="left"/>
        <w:rPr>
          <w:rFonts w:ascii="Arial" w:hAnsi="Arial" w:cs="Arial"/>
          <w:spacing w:val="-2"/>
        </w:rPr>
      </w:pPr>
    </w:p>
    <w:p w14:paraId="75B30EDA" w14:textId="71574727" w:rsidR="006347FC"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9</w:t>
      </w:r>
      <w:r w:rsidR="006347FC" w:rsidRPr="002D2F67">
        <w:rPr>
          <w:rFonts w:ascii="Arial" w:hAnsi="Arial" w:cs="Arial"/>
          <w:b/>
          <w:bCs/>
          <w:color w:val="000000"/>
          <w:kern w:val="26"/>
          <w:position w:val="-24"/>
          <w:sz w:val="20"/>
          <w:szCs w:val="20"/>
          <w:cs/>
        </w:rPr>
        <w:tab/>
      </w:r>
      <w:r w:rsidR="006347FC" w:rsidRPr="002D2F67">
        <w:rPr>
          <w:rFonts w:ascii="Arial" w:hAnsi="Arial" w:cs="Arial"/>
          <w:b/>
          <w:bCs/>
          <w:color w:val="000000"/>
          <w:kern w:val="26"/>
          <w:position w:val="-24"/>
          <w:sz w:val="20"/>
          <w:szCs w:val="20"/>
        </w:rPr>
        <w:t>Segment information</w:t>
      </w:r>
    </w:p>
    <w:p w14:paraId="714DA645" w14:textId="77777777" w:rsidR="00FF408A" w:rsidRPr="002D2F67" w:rsidRDefault="00FF408A" w:rsidP="005611FE">
      <w:pPr>
        <w:pStyle w:val="BodyTextIndent2"/>
        <w:spacing w:line="240" w:lineRule="auto"/>
        <w:ind w:left="0"/>
        <w:jc w:val="left"/>
        <w:rPr>
          <w:rFonts w:ascii="Arial" w:hAnsi="Arial" w:cs="Arial"/>
          <w:spacing w:val="-2"/>
        </w:rPr>
      </w:pPr>
    </w:p>
    <w:p w14:paraId="27421F7C" w14:textId="4537779D" w:rsidR="00FF408A" w:rsidRPr="002D2F67" w:rsidRDefault="00BB1D35" w:rsidP="005611FE">
      <w:pPr>
        <w:tabs>
          <w:tab w:val="left" w:pos="240"/>
          <w:tab w:val="left" w:pos="840"/>
        </w:tabs>
        <w:jc w:val="both"/>
        <w:rPr>
          <w:rFonts w:ascii="Arial" w:hAnsi="Arial" w:cs="Arial"/>
          <w:color w:val="000000"/>
          <w:spacing w:val="-4"/>
          <w:sz w:val="20"/>
          <w:szCs w:val="20"/>
        </w:rPr>
      </w:pPr>
      <w:r w:rsidRPr="002D2F67">
        <w:rPr>
          <w:rFonts w:ascii="Arial" w:hAnsi="Arial" w:cs="Arial"/>
          <w:color w:val="000000"/>
          <w:spacing w:val="-4"/>
          <w:sz w:val="20"/>
          <w:szCs w:val="20"/>
        </w:rPr>
        <w:t xml:space="preserve">The Group has </w:t>
      </w:r>
      <w:r w:rsidR="00BC5B63" w:rsidRPr="002D2F67">
        <w:rPr>
          <w:rFonts w:ascii="Arial" w:hAnsi="Arial" w:cs="Arial"/>
          <w:color w:val="000000"/>
          <w:spacing w:val="-4"/>
          <w:sz w:val="20"/>
          <w:szCs w:val="20"/>
        </w:rPr>
        <w:t>five</w:t>
      </w:r>
      <w:r w:rsidRPr="002D2F67">
        <w:rPr>
          <w:rFonts w:ascii="Arial" w:hAnsi="Arial" w:cs="Arial"/>
          <w:color w:val="000000"/>
          <w:spacing w:val="-4"/>
          <w:sz w:val="20"/>
          <w:szCs w:val="20"/>
        </w:rPr>
        <w:t xml:space="preserve"> reportable segments which comprises of manufacturing and distributing crude palm oil, biodiesel products, and pure </w:t>
      </w:r>
      <w:r w:rsidR="0073149C" w:rsidRPr="002D2F67">
        <w:rPr>
          <w:rFonts w:ascii="Arial" w:hAnsi="Arial" w:cs="Arial"/>
          <w:color w:val="000000"/>
          <w:spacing w:val="-4"/>
          <w:sz w:val="20"/>
          <w:szCs w:val="20"/>
        </w:rPr>
        <w:t>glycerin</w:t>
      </w:r>
      <w:r w:rsidRPr="002D2F67">
        <w:rPr>
          <w:rFonts w:ascii="Arial" w:hAnsi="Arial" w:cs="Arial"/>
          <w:color w:val="000000"/>
          <w:spacing w:val="-4"/>
          <w:sz w:val="20"/>
          <w:szCs w:val="20"/>
        </w:rPr>
        <w:t xml:space="preserve"> products, manufacturing </w:t>
      </w:r>
      <w:r w:rsidRPr="002D2F67">
        <w:rPr>
          <w:rFonts w:ascii="Arial" w:hAnsi="Arial" w:cs="Arial"/>
          <w:color w:val="000000"/>
          <w:spacing w:val="-6"/>
          <w:sz w:val="20"/>
          <w:szCs w:val="20"/>
        </w:rPr>
        <w:t>and distributing electricity from solar</w:t>
      </w:r>
      <w:r w:rsidR="00405E43" w:rsidRPr="002D2F67">
        <w:rPr>
          <w:rFonts w:ascii="Arial" w:hAnsi="Arial" w:cs="Arial"/>
          <w:color w:val="000000"/>
          <w:spacing w:val="-6"/>
          <w:sz w:val="20"/>
          <w:szCs w:val="20"/>
        </w:rPr>
        <w:t xml:space="preserve"> and</w:t>
      </w:r>
      <w:r w:rsidRPr="002D2F67">
        <w:rPr>
          <w:rFonts w:ascii="Arial" w:hAnsi="Arial" w:cs="Arial"/>
          <w:color w:val="000000"/>
          <w:spacing w:val="-6"/>
          <w:sz w:val="20"/>
          <w:szCs w:val="20"/>
        </w:rPr>
        <w:t xml:space="preserve"> wind power</w:t>
      </w:r>
      <w:r w:rsidR="00E32A54" w:rsidRPr="002D2F67">
        <w:rPr>
          <w:rFonts w:ascii="Arial" w:hAnsi="Arial" w:cs="Arial"/>
          <w:color w:val="000000"/>
          <w:spacing w:val="-6"/>
          <w:sz w:val="20"/>
          <w:szCs w:val="20"/>
        </w:rPr>
        <w:t xml:space="preserve"> </w:t>
      </w:r>
      <w:r w:rsidRPr="002D2F67">
        <w:rPr>
          <w:rFonts w:ascii="Arial" w:hAnsi="Arial" w:cs="Arial"/>
          <w:color w:val="000000"/>
          <w:spacing w:val="-6"/>
          <w:sz w:val="20"/>
          <w:szCs w:val="20"/>
        </w:rPr>
        <w:t xml:space="preserve">and biomass, </w:t>
      </w:r>
      <w:r w:rsidR="00E6066B" w:rsidRPr="002D2F67">
        <w:rPr>
          <w:rFonts w:ascii="Arial" w:hAnsi="Arial" w:cs="Arial"/>
          <w:color w:val="000000"/>
          <w:spacing w:val="-6"/>
          <w:sz w:val="20"/>
          <w:szCs w:val="20"/>
        </w:rPr>
        <w:t xml:space="preserve">manufacturing and distributing </w:t>
      </w:r>
      <w:r w:rsidR="00E6066B" w:rsidRPr="002D2F67">
        <w:rPr>
          <w:rFonts w:ascii="Arial" w:hAnsi="Arial" w:cs="Arial"/>
          <w:color w:val="000000"/>
          <w:spacing w:val="-6"/>
          <w:sz w:val="20"/>
          <w:szCs w:val="25"/>
          <w:lang w:val="en-AU"/>
        </w:rPr>
        <w:t>electric vehicles,</w:t>
      </w:r>
      <w:r w:rsidR="00E6066B" w:rsidRPr="002D2F67">
        <w:rPr>
          <w:rFonts w:ascii="Arial" w:hAnsi="Arial" w:cs="Arial"/>
          <w:color w:val="000000"/>
          <w:spacing w:val="-4"/>
          <w:sz w:val="20"/>
          <w:szCs w:val="25"/>
          <w:lang w:val="en-AU"/>
        </w:rPr>
        <w:t xml:space="preserve"> </w:t>
      </w:r>
      <w:r w:rsidR="00E6066B" w:rsidRPr="002D2F67">
        <w:rPr>
          <w:rFonts w:ascii="Arial" w:hAnsi="Arial" w:cs="Arial"/>
          <w:color w:val="000000"/>
          <w:spacing w:val="-4"/>
          <w:sz w:val="20"/>
          <w:szCs w:val="20"/>
        </w:rPr>
        <w:t xml:space="preserve">manufacturing and distributing </w:t>
      </w:r>
      <w:r w:rsidR="00E6066B" w:rsidRPr="002D2F67">
        <w:rPr>
          <w:rFonts w:ascii="Arial" w:hAnsi="Arial" w:cs="Arial"/>
          <w:color w:val="000000"/>
          <w:spacing w:val="-4"/>
          <w:sz w:val="20"/>
          <w:szCs w:val="25"/>
          <w:lang w:val="en-AU"/>
        </w:rPr>
        <w:t>battery</w:t>
      </w:r>
      <w:r w:rsidR="00841B55" w:rsidRPr="002D2F67">
        <w:rPr>
          <w:rFonts w:ascii="Arial" w:hAnsi="Arial" w:cs="Arial"/>
          <w:color w:val="000000"/>
          <w:spacing w:val="-4"/>
          <w:sz w:val="20"/>
          <w:szCs w:val="25"/>
          <w:lang w:val="en-AU"/>
        </w:rPr>
        <w:t>, others</w:t>
      </w:r>
      <w:r w:rsidR="00E6066B" w:rsidRPr="002D2F67">
        <w:rPr>
          <w:rFonts w:ascii="Arial" w:hAnsi="Arial" w:cs="Arial"/>
          <w:color w:val="000000"/>
          <w:spacing w:val="-4"/>
          <w:sz w:val="20"/>
          <w:szCs w:val="25"/>
          <w:lang w:val="en-AU"/>
        </w:rPr>
        <w:t xml:space="preserve"> </w:t>
      </w:r>
      <w:r w:rsidRPr="002D2F67">
        <w:rPr>
          <w:rFonts w:ascii="Arial" w:hAnsi="Arial" w:cs="Arial"/>
          <w:color w:val="000000"/>
          <w:spacing w:val="-4"/>
          <w:sz w:val="20"/>
          <w:szCs w:val="20"/>
        </w:rPr>
        <w:t xml:space="preserve">and head office. The chief operating decision-maker evaluates the segment’s performance by using profit before income tax which is measured in the same basis as profit before income tax in the financial </w:t>
      </w:r>
      <w:r w:rsidR="006447AB" w:rsidRPr="002D2F67">
        <w:rPr>
          <w:rFonts w:ascii="Arial" w:hAnsi="Arial" w:cs="Arial"/>
          <w:color w:val="000000"/>
          <w:spacing w:val="-4"/>
          <w:sz w:val="20"/>
          <w:szCs w:val="20"/>
        </w:rPr>
        <w:t>statements</w:t>
      </w:r>
      <w:r w:rsidRPr="002D2F67">
        <w:rPr>
          <w:rFonts w:ascii="Arial" w:hAnsi="Arial" w:cs="Arial"/>
          <w:color w:val="000000"/>
          <w:spacing w:val="-4"/>
          <w:sz w:val="20"/>
          <w:szCs w:val="20"/>
        </w:rPr>
        <w:t>.</w:t>
      </w:r>
    </w:p>
    <w:p w14:paraId="053AB16A" w14:textId="77777777" w:rsidR="004065BE" w:rsidRPr="002D2F67" w:rsidRDefault="004065BE" w:rsidP="005611FE">
      <w:pPr>
        <w:tabs>
          <w:tab w:val="left" w:pos="240"/>
          <w:tab w:val="left" w:pos="840"/>
        </w:tabs>
        <w:jc w:val="both"/>
        <w:rPr>
          <w:rFonts w:ascii="Arial" w:hAnsi="Arial" w:cs="Arial"/>
          <w:color w:val="000000"/>
          <w:spacing w:val="-4"/>
          <w:sz w:val="20"/>
          <w:szCs w:val="20"/>
        </w:rPr>
      </w:pPr>
    </w:p>
    <w:tbl>
      <w:tblPr>
        <w:tblW w:w="15840" w:type="dxa"/>
        <w:tblInd w:w="-34" w:type="dxa"/>
        <w:tblLayout w:type="fixed"/>
        <w:tblLook w:val="0000" w:firstRow="0" w:lastRow="0" w:firstColumn="0" w:lastColumn="0" w:noHBand="0" w:noVBand="0"/>
      </w:tblPr>
      <w:tblGrid>
        <w:gridCol w:w="3168"/>
        <w:gridCol w:w="792"/>
        <w:gridCol w:w="792"/>
        <w:gridCol w:w="792"/>
        <w:gridCol w:w="792"/>
        <w:gridCol w:w="792"/>
        <w:gridCol w:w="792"/>
        <w:gridCol w:w="792"/>
        <w:gridCol w:w="792"/>
        <w:gridCol w:w="792"/>
        <w:gridCol w:w="792"/>
        <w:gridCol w:w="792"/>
        <w:gridCol w:w="792"/>
        <w:gridCol w:w="792"/>
        <w:gridCol w:w="792"/>
        <w:gridCol w:w="792"/>
        <w:gridCol w:w="792"/>
      </w:tblGrid>
      <w:tr w:rsidR="004065BE" w:rsidRPr="002D2F67" w14:paraId="067FAA1D" w14:textId="77777777" w:rsidTr="002D2F67">
        <w:tc>
          <w:tcPr>
            <w:tcW w:w="3168" w:type="dxa"/>
          </w:tcPr>
          <w:p w14:paraId="31B31339" w14:textId="77777777" w:rsidR="004065BE" w:rsidRPr="002D2F67" w:rsidRDefault="004065BE" w:rsidP="00706C8B">
            <w:pPr>
              <w:ind w:left="30"/>
              <w:rPr>
                <w:rFonts w:ascii="Arial" w:hAnsi="Arial" w:cs="Arial"/>
                <w:sz w:val="16"/>
                <w:szCs w:val="16"/>
              </w:rPr>
            </w:pPr>
          </w:p>
        </w:tc>
        <w:tc>
          <w:tcPr>
            <w:tcW w:w="12672" w:type="dxa"/>
            <w:gridSpan w:val="16"/>
            <w:tcBorders>
              <w:bottom w:val="single" w:sz="4" w:space="0" w:color="auto"/>
            </w:tcBorders>
          </w:tcPr>
          <w:p w14:paraId="3DF54C5F" w14:textId="77777777" w:rsidR="004065BE" w:rsidRPr="002D2F67" w:rsidRDefault="004065BE" w:rsidP="00D21F5E">
            <w:pPr>
              <w:widowControl w:val="0"/>
              <w:ind w:right="-72"/>
              <w:jc w:val="right"/>
              <w:rPr>
                <w:rFonts w:ascii="Arial" w:hAnsi="Arial" w:cs="Arial"/>
                <w:b/>
                <w:bCs/>
                <w:sz w:val="16"/>
                <w:szCs w:val="16"/>
                <w:cs/>
              </w:rPr>
            </w:pPr>
            <w:r w:rsidRPr="002D2F67">
              <w:rPr>
                <w:rFonts w:ascii="Arial" w:eastAsia="Calibri" w:hAnsi="Arial" w:cs="Arial"/>
                <w:b/>
                <w:bCs/>
                <w:sz w:val="16"/>
                <w:szCs w:val="16"/>
              </w:rPr>
              <w:t>Unit: Million Baht</w:t>
            </w:r>
          </w:p>
        </w:tc>
      </w:tr>
      <w:tr w:rsidR="004065BE" w:rsidRPr="002D2F67" w14:paraId="0765910F" w14:textId="77777777" w:rsidTr="002D2F67">
        <w:trPr>
          <w:trHeight w:val="64"/>
        </w:trPr>
        <w:tc>
          <w:tcPr>
            <w:tcW w:w="3168" w:type="dxa"/>
          </w:tcPr>
          <w:p w14:paraId="6AADC697" w14:textId="77777777" w:rsidR="004065BE" w:rsidRPr="002D2F67" w:rsidRDefault="004065BE" w:rsidP="00706C8B">
            <w:pPr>
              <w:ind w:left="30"/>
              <w:rPr>
                <w:rFonts w:ascii="Arial" w:hAnsi="Arial" w:cs="Arial"/>
                <w:sz w:val="16"/>
                <w:szCs w:val="16"/>
              </w:rPr>
            </w:pPr>
          </w:p>
        </w:tc>
        <w:tc>
          <w:tcPr>
            <w:tcW w:w="12672" w:type="dxa"/>
            <w:gridSpan w:val="16"/>
            <w:tcBorders>
              <w:top w:val="single" w:sz="4" w:space="0" w:color="auto"/>
              <w:bottom w:val="single" w:sz="4" w:space="0" w:color="auto"/>
            </w:tcBorders>
          </w:tcPr>
          <w:p w14:paraId="27A88791" w14:textId="3993C218" w:rsidR="004065BE" w:rsidRPr="002D2F67" w:rsidRDefault="004065BE" w:rsidP="00D21F5E">
            <w:pPr>
              <w:widowControl w:val="0"/>
              <w:ind w:right="-72"/>
              <w:jc w:val="right"/>
              <w:rPr>
                <w:rFonts w:ascii="Arial" w:eastAsia="Calibri" w:hAnsi="Arial" w:cs="Arial"/>
                <w:b/>
                <w:bCs/>
                <w:sz w:val="16"/>
                <w:szCs w:val="16"/>
              </w:rPr>
            </w:pPr>
            <w:r w:rsidRPr="002D2F67">
              <w:rPr>
                <w:rFonts w:ascii="Arial" w:eastAsia="Calibri" w:hAnsi="Arial" w:cs="Arial"/>
                <w:b/>
                <w:bCs/>
                <w:sz w:val="16"/>
                <w:szCs w:val="16"/>
              </w:rPr>
              <w:t xml:space="preserve">Consolidated financial </w:t>
            </w:r>
            <w:r w:rsidR="00B42036" w:rsidRPr="002D2F67">
              <w:rPr>
                <w:rFonts w:ascii="Arial" w:eastAsia="Calibri" w:hAnsi="Arial" w:cs="Arial"/>
                <w:b/>
                <w:bCs/>
                <w:sz w:val="16"/>
                <w:szCs w:val="20"/>
              </w:rPr>
              <w:t>statements</w:t>
            </w:r>
          </w:p>
        </w:tc>
      </w:tr>
      <w:tr w:rsidR="004065BE" w:rsidRPr="002D2F67" w14:paraId="0D0C020C" w14:textId="77777777" w:rsidTr="002D2F67">
        <w:trPr>
          <w:trHeight w:val="83"/>
        </w:trPr>
        <w:tc>
          <w:tcPr>
            <w:tcW w:w="3168" w:type="dxa"/>
          </w:tcPr>
          <w:p w14:paraId="5E7A9595" w14:textId="77777777" w:rsidR="004065BE" w:rsidRPr="002D2F67" w:rsidRDefault="004065BE" w:rsidP="00706C8B">
            <w:pPr>
              <w:ind w:left="30"/>
              <w:rPr>
                <w:rFonts w:ascii="Arial" w:hAnsi="Arial" w:cs="Arial"/>
                <w:sz w:val="16"/>
                <w:szCs w:val="16"/>
              </w:rPr>
            </w:pPr>
          </w:p>
        </w:tc>
        <w:tc>
          <w:tcPr>
            <w:tcW w:w="12672" w:type="dxa"/>
            <w:gridSpan w:val="16"/>
          </w:tcPr>
          <w:p w14:paraId="1FC96A9E" w14:textId="7F9D2B38" w:rsidR="004065BE" w:rsidRPr="002D2F67" w:rsidRDefault="004065BE" w:rsidP="00D21F5E">
            <w:pPr>
              <w:widowControl w:val="0"/>
              <w:ind w:right="-72"/>
              <w:jc w:val="right"/>
              <w:rPr>
                <w:rFonts w:ascii="Arial" w:hAnsi="Arial" w:cs="Arial"/>
                <w:b/>
                <w:bCs/>
                <w:sz w:val="16"/>
                <w:szCs w:val="16"/>
                <w:cs/>
              </w:rPr>
            </w:pPr>
            <w:r w:rsidRPr="002D2F67">
              <w:rPr>
                <w:rFonts w:ascii="Arial" w:eastAsia="Calibri" w:hAnsi="Arial" w:cs="Arial"/>
                <w:b/>
                <w:bCs/>
                <w:sz w:val="16"/>
                <w:szCs w:val="16"/>
              </w:rPr>
              <w:t xml:space="preserve">For the years ended </w:t>
            </w:r>
            <w:r w:rsidR="00CD5714" w:rsidRPr="00CD5714">
              <w:rPr>
                <w:rFonts w:ascii="Arial" w:eastAsia="Calibri" w:hAnsi="Arial" w:cs="Arial"/>
                <w:b/>
                <w:bCs/>
                <w:sz w:val="16"/>
                <w:szCs w:val="16"/>
                <w:lang w:val="en-GB"/>
              </w:rPr>
              <w:t>31</w:t>
            </w:r>
            <w:r w:rsidRPr="002D2F67">
              <w:rPr>
                <w:rFonts w:ascii="Arial" w:eastAsia="Calibri" w:hAnsi="Arial" w:cs="Arial"/>
                <w:b/>
                <w:bCs/>
                <w:sz w:val="16"/>
                <w:szCs w:val="16"/>
              </w:rPr>
              <w:t xml:space="preserve"> December   </w:t>
            </w:r>
          </w:p>
        </w:tc>
      </w:tr>
      <w:tr w:rsidR="004065BE" w:rsidRPr="002D2F67" w14:paraId="074E9B45" w14:textId="77777777" w:rsidTr="002D2F67">
        <w:tc>
          <w:tcPr>
            <w:tcW w:w="3168" w:type="dxa"/>
          </w:tcPr>
          <w:p w14:paraId="20B74740" w14:textId="77777777" w:rsidR="004065BE" w:rsidRPr="002D2F67" w:rsidRDefault="004065BE" w:rsidP="00706C8B">
            <w:pPr>
              <w:ind w:left="30"/>
              <w:rPr>
                <w:rFonts w:ascii="Arial" w:hAnsi="Arial" w:cs="Arial"/>
                <w:sz w:val="16"/>
                <w:szCs w:val="20"/>
              </w:rPr>
            </w:pPr>
          </w:p>
        </w:tc>
        <w:tc>
          <w:tcPr>
            <w:tcW w:w="1584" w:type="dxa"/>
            <w:gridSpan w:val="2"/>
            <w:tcBorders>
              <w:top w:val="single" w:sz="4" w:space="0" w:color="auto"/>
            </w:tcBorders>
          </w:tcPr>
          <w:p w14:paraId="32352144" w14:textId="77777777" w:rsidR="004065BE" w:rsidRPr="002D2F67" w:rsidRDefault="004065BE" w:rsidP="00D21F5E">
            <w:pPr>
              <w:widowControl w:val="0"/>
              <w:ind w:left="-61" w:right="-72"/>
              <w:jc w:val="right"/>
              <w:rPr>
                <w:rFonts w:ascii="Arial" w:hAnsi="Arial" w:cs="Arial"/>
                <w:b/>
                <w:bCs/>
                <w:sz w:val="16"/>
                <w:szCs w:val="16"/>
                <w:cs/>
              </w:rPr>
            </w:pPr>
            <w:r w:rsidRPr="002D2F67">
              <w:rPr>
                <w:rFonts w:ascii="Arial" w:hAnsi="Arial" w:cs="Arial"/>
                <w:b/>
                <w:bCs/>
                <w:sz w:val="16"/>
                <w:szCs w:val="16"/>
              </w:rPr>
              <w:t xml:space="preserve">Manufacturing </w:t>
            </w:r>
          </w:p>
        </w:tc>
        <w:tc>
          <w:tcPr>
            <w:tcW w:w="1584" w:type="dxa"/>
            <w:gridSpan w:val="2"/>
            <w:tcBorders>
              <w:top w:val="single" w:sz="4" w:space="0" w:color="auto"/>
            </w:tcBorders>
          </w:tcPr>
          <w:p w14:paraId="3B49FE54" w14:textId="77777777" w:rsidR="004065BE" w:rsidRPr="002D2F67" w:rsidRDefault="004065BE" w:rsidP="00D21F5E">
            <w:pPr>
              <w:widowControl w:val="0"/>
              <w:ind w:left="-61" w:right="-72"/>
              <w:jc w:val="right"/>
              <w:rPr>
                <w:rFonts w:ascii="Arial" w:hAnsi="Arial" w:cs="Arial"/>
                <w:b/>
                <w:bCs/>
                <w:sz w:val="16"/>
                <w:szCs w:val="16"/>
                <w:cs/>
              </w:rPr>
            </w:pPr>
            <w:r w:rsidRPr="002D2F67">
              <w:rPr>
                <w:rFonts w:ascii="Arial" w:hAnsi="Arial" w:cs="Arial"/>
                <w:b/>
                <w:bCs/>
                <w:sz w:val="16"/>
                <w:szCs w:val="16"/>
              </w:rPr>
              <w:t xml:space="preserve">Manufacturing </w:t>
            </w:r>
          </w:p>
        </w:tc>
        <w:tc>
          <w:tcPr>
            <w:tcW w:w="1584" w:type="dxa"/>
            <w:gridSpan w:val="2"/>
            <w:tcBorders>
              <w:top w:val="single" w:sz="4" w:space="0" w:color="auto"/>
            </w:tcBorders>
          </w:tcPr>
          <w:p w14:paraId="20AEA114" w14:textId="77777777" w:rsidR="004065BE" w:rsidRPr="002D2F67" w:rsidRDefault="004065BE" w:rsidP="00D21F5E">
            <w:pPr>
              <w:widowControl w:val="0"/>
              <w:ind w:left="-61" w:right="-72"/>
              <w:jc w:val="right"/>
              <w:rPr>
                <w:rFonts w:ascii="Arial" w:hAnsi="Arial" w:cs="Arial"/>
                <w:b/>
                <w:bCs/>
                <w:sz w:val="16"/>
                <w:szCs w:val="16"/>
                <w:cs/>
              </w:rPr>
            </w:pPr>
          </w:p>
        </w:tc>
        <w:tc>
          <w:tcPr>
            <w:tcW w:w="1584" w:type="dxa"/>
            <w:gridSpan w:val="2"/>
            <w:tcBorders>
              <w:top w:val="single" w:sz="4" w:space="0" w:color="auto"/>
            </w:tcBorders>
          </w:tcPr>
          <w:p w14:paraId="66663775" w14:textId="77777777" w:rsidR="004065BE" w:rsidRPr="002D2F67" w:rsidRDefault="004065BE" w:rsidP="00D21F5E">
            <w:pPr>
              <w:widowControl w:val="0"/>
              <w:ind w:left="-61" w:right="-72"/>
              <w:jc w:val="right"/>
              <w:rPr>
                <w:rFonts w:ascii="Arial" w:hAnsi="Arial" w:cs="Arial"/>
                <w:b/>
                <w:bCs/>
                <w:sz w:val="16"/>
                <w:szCs w:val="16"/>
                <w:cs/>
              </w:rPr>
            </w:pPr>
          </w:p>
        </w:tc>
        <w:tc>
          <w:tcPr>
            <w:tcW w:w="1584" w:type="dxa"/>
            <w:gridSpan w:val="2"/>
            <w:tcBorders>
              <w:top w:val="single" w:sz="4" w:space="0" w:color="auto"/>
            </w:tcBorders>
          </w:tcPr>
          <w:p w14:paraId="7A6A705F" w14:textId="77777777" w:rsidR="004065BE" w:rsidRPr="002D2F67" w:rsidRDefault="004065BE" w:rsidP="00D21F5E">
            <w:pPr>
              <w:widowControl w:val="0"/>
              <w:ind w:left="-61" w:right="-72"/>
              <w:jc w:val="right"/>
              <w:rPr>
                <w:rFonts w:ascii="Arial" w:hAnsi="Arial" w:cs="Arial"/>
                <w:b/>
                <w:bCs/>
                <w:sz w:val="16"/>
                <w:szCs w:val="16"/>
                <w:cs/>
              </w:rPr>
            </w:pPr>
          </w:p>
        </w:tc>
        <w:tc>
          <w:tcPr>
            <w:tcW w:w="1584" w:type="dxa"/>
            <w:gridSpan w:val="2"/>
            <w:tcBorders>
              <w:top w:val="single" w:sz="4" w:space="0" w:color="auto"/>
            </w:tcBorders>
          </w:tcPr>
          <w:p w14:paraId="6065E9CA" w14:textId="77777777" w:rsidR="004065BE" w:rsidRPr="002D2F67" w:rsidRDefault="004065BE" w:rsidP="00D21F5E">
            <w:pPr>
              <w:widowControl w:val="0"/>
              <w:ind w:left="-61" w:right="-72"/>
              <w:jc w:val="right"/>
              <w:rPr>
                <w:rFonts w:ascii="Arial" w:hAnsi="Arial" w:cs="Arial"/>
                <w:b/>
                <w:bCs/>
                <w:sz w:val="16"/>
                <w:szCs w:val="16"/>
                <w:cs/>
              </w:rPr>
            </w:pPr>
          </w:p>
        </w:tc>
        <w:tc>
          <w:tcPr>
            <w:tcW w:w="1584" w:type="dxa"/>
            <w:gridSpan w:val="2"/>
            <w:tcBorders>
              <w:top w:val="single" w:sz="4" w:space="0" w:color="auto"/>
            </w:tcBorders>
          </w:tcPr>
          <w:p w14:paraId="40C6DF32" w14:textId="77777777" w:rsidR="004065BE" w:rsidRPr="002D2F67" w:rsidRDefault="004065BE" w:rsidP="00D21F5E">
            <w:pPr>
              <w:widowControl w:val="0"/>
              <w:ind w:left="-61" w:right="-72"/>
              <w:jc w:val="right"/>
              <w:rPr>
                <w:rFonts w:ascii="Arial" w:hAnsi="Arial" w:cs="Arial"/>
                <w:b/>
                <w:bCs/>
                <w:sz w:val="16"/>
                <w:szCs w:val="16"/>
                <w:cs/>
              </w:rPr>
            </w:pPr>
          </w:p>
        </w:tc>
        <w:tc>
          <w:tcPr>
            <w:tcW w:w="1584" w:type="dxa"/>
            <w:gridSpan w:val="2"/>
            <w:tcBorders>
              <w:top w:val="single" w:sz="4" w:space="0" w:color="auto"/>
            </w:tcBorders>
          </w:tcPr>
          <w:p w14:paraId="286D61D3" w14:textId="77777777" w:rsidR="004065BE" w:rsidRPr="002D2F67" w:rsidRDefault="004065BE" w:rsidP="00D21F5E">
            <w:pPr>
              <w:widowControl w:val="0"/>
              <w:ind w:left="-61" w:right="-72"/>
              <w:jc w:val="right"/>
              <w:rPr>
                <w:rFonts w:ascii="Arial" w:hAnsi="Arial" w:cs="Arial"/>
                <w:b/>
                <w:bCs/>
                <w:sz w:val="16"/>
                <w:szCs w:val="16"/>
                <w:cs/>
              </w:rPr>
            </w:pPr>
          </w:p>
        </w:tc>
      </w:tr>
      <w:tr w:rsidR="004065BE" w:rsidRPr="002D2F67" w14:paraId="314E8F58" w14:textId="77777777" w:rsidTr="002D2F67">
        <w:tc>
          <w:tcPr>
            <w:tcW w:w="3168" w:type="dxa"/>
          </w:tcPr>
          <w:p w14:paraId="6DA761B5" w14:textId="77777777" w:rsidR="004065BE" w:rsidRPr="002D2F67" w:rsidRDefault="004065BE" w:rsidP="00706C8B">
            <w:pPr>
              <w:ind w:left="30"/>
              <w:rPr>
                <w:rFonts w:ascii="Arial" w:hAnsi="Arial" w:cs="Arial"/>
                <w:sz w:val="16"/>
                <w:szCs w:val="16"/>
              </w:rPr>
            </w:pPr>
          </w:p>
        </w:tc>
        <w:tc>
          <w:tcPr>
            <w:tcW w:w="1584" w:type="dxa"/>
            <w:gridSpan w:val="2"/>
          </w:tcPr>
          <w:p w14:paraId="495C4D12" w14:textId="77777777" w:rsidR="004065BE" w:rsidRPr="002D2F67" w:rsidRDefault="004065BE" w:rsidP="00D21F5E">
            <w:pPr>
              <w:widowControl w:val="0"/>
              <w:ind w:left="-61" w:right="-72"/>
              <w:jc w:val="right"/>
              <w:rPr>
                <w:rFonts w:ascii="Arial" w:hAnsi="Arial" w:cs="Arial"/>
                <w:b/>
                <w:bCs/>
                <w:sz w:val="16"/>
                <w:szCs w:val="16"/>
                <w:cs/>
              </w:rPr>
            </w:pPr>
            <w:r w:rsidRPr="002D2F67">
              <w:rPr>
                <w:rFonts w:ascii="Arial" w:hAnsi="Arial" w:cs="Arial"/>
                <w:b/>
                <w:bCs/>
                <w:sz w:val="16"/>
                <w:szCs w:val="16"/>
              </w:rPr>
              <w:t>and distributing</w:t>
            </w:r>
          </w:p>
        </w:tc>
        <w:tc>
          <w:tcPr>
            <w:tcW w:w="1584" w:type="dxa"/>
            <w:gridSpan w:val="2"/>
          </w:tcPr>
          <w:p w14:paraId="7505902A" w14:textId="77777777" w:rsidR="004065BE" w:rsidRPr="002D2F67" w:rsidRDefault="004065BE" w:rsidP="00D21F5E">
            <w:pPr>
              <w:widowControl w:val="0"/>
              <w:ind w:left="-61" w:right="-72"/>
              <w:jc w:val="right"/>
              <w:rPr>
                <w:rFonts w:ascii="Arial" w:hAnsi="Arial" w:cs="Arial"/>
                <w:b/>
                <w:bCs/>
                <w:sz w:val="16"/>
                <w:szCs w:val="16"/>
                <w:cs/>
              </w:rPr>
            </w:pPr>
            <w:r w:rsidRPr="002D2F67">
              <w:rPr>
                <w:rFonts w:ascii="Arial" w:hAnsi="Arial" w:cs="Arial"/>
                <w:b/>
                <w:bCs/>
                <w:sz w:val="16"/>
                <w:szCs w:val="16"/>
              </w:rPr>
              <w:t>and distributing</w:t>
            </w:r>
          </w:p>
        </w:tc>
        <w:tc>
          <w:tcPr>
            <w:tcW w:w="1584" w:type="dxa"/>
            <w:gridSpan w:val="2"/>
          </w:tcPr>
          <w:p w14:paraId="71789949" w14:textId="77777777" w:rsidR="004065BE" w:rsidRPr="002D2F67" w:rsidRDefault="004065BE" w:rsidP="00D21F5E">
            <w:pPr>
              <w:widowControl w:val="0"/>
              <w:ind w:left="-61" w:right="-72"/>
              <w:jc w:val="right"/>
              <w:rPr>
                <w:rFonts w:ascii="Arial" w:hAnsi="Arial" w:cs="Arial"/>
                <w:b/>
                <w:bCs/>
                <w:sz w:val="16"/>
                <w:szCs w:val="16"/>
              </w:rPr>
            </w:pPr>
          </w:p>
        </w:tc>
        <w:tc>
          <w:tcPr>
            <w:tcW w:w="1584" w:type="dxa"/>
            <w:gridSpan w:val="2"/>
          </w:tcPr>
          <w:p w14:paraId="3A9D7371" w14:textId="77777777" w:rsidR="004065BE" w:rsidRPr="002D2F67" w:rsidRDefault="004065BE" w:rsidP="00D21F5E">
            <w:pPr>
              <w:widowControl w:val="0"/>
              <w:ind w:left="-61" w:right="-72"/>
              <w:jc w:val="right"/>
              <w:rPr>
                <w:rFonts w:ascii="Arial" w:hAnsi="Arial" w:cs="Arial"/>
                <w:b/>
                <w:bCs/>
                <w:sz w:val="16"/>
                <w:szCs w:val="16"/>
              </w:rPr>
            </w:pPr>
          </w:p>
        </w:tc>
        <w:tc>
          <w:tcPr>
            <w:tcW w:w="1584" w:type="dxa"/>
            <w:gridSpan w:val="2"/>
          </w:tcPr>
          <w:p w14:paraId="45627B82" w14:textId="77777777" w:rsidR="004065BE" w:rsidRPr="002D2F67" w:rsidRDefault="004065BE" w:rsidP="00D21F5E">
            <w:pPr>
              <w:widowControl w:val="0"/>
              <w:ind w:left="-61" w:right="-72"/>
              <w:jc w:val="right"/>
              <w:rPr>
                <w:rFonts w:ascii="Arial" w:hAnsi="Arial" w:cs="Arial"/>
                <w:b/>
                <w:bCs/>
                <w:sz w:val="16"/>
                <w:szCs w:val="16"/>
              </w:rPr>
            </w:pPr>
          </w:p>
        </w:tc>
        <w:tc>
          <w:tcPr>
            <w:tcW w:w="1584" w:type="dxa"/>
            <w:gridSpan w:val="2"/>
          </w:tcPr>
          <w:p w14:paraId="6E2912AD" w14:textId="77777777" w:rsidR="004065BE" w:rsidRPr="002D2F67" w:rsidRDefault="004065BE" w:rsidP="00D21F5E">
            <w:pPr>
              <w:widowControl w:val="0"/>
              <w:ind w:left="-61" w:right="-72"/>
              <w:jc w:val="right"/>
              <w:rPr>
                <w:rFonts w:ascii="Arial" w:hAnsi="Arial" w:cs="Arial"/>
                <w:b/>
                <w:bCs/>
                <w:sz w:val="16"/>
                <w:szCs w:val="16"/>
              </w:rPr>
            </w:pPr>
          </w:p>
        </w:tc>
        <w:tc>
          <w:tcPr>
            <w:tcW w:w="1584" w:type="dxa"/>
            <w:gridSpan w:val="2"/>
          </w:tcPr>
          <w:p w14:paraId="38BE58A1" w14:textId="77777777" w:rsidR="004065BE" w:rsidRPr="002D2F67" w:rsidRDefault="004065BE" w:rsidP="00D21F5E">
            <w:pPr>
              <w:widowControl w:val="0"/>
              <w:ind w:left="-61" w:right="-72"/>
              <w:jc w:val="right"/>
              <w:rPr>
                <w:rFonts w:ascii="Arial" w:hAnsi="Arial" w:cs="Arial"/>
                <w:b/>
                <w:bCs/>
                <w:sz w:val="16"/>
                <w:szCs w:val="16"/>
              </w:rPr>
            </w:pPr>
          </w:p>
        </w:tc>
        <w:tc>
          <w:tcPr>
            <w:tcW w:w="1584" w:type="dxa"/>
            <w:gridSpan w:val="2"/>
          </w:tcPr>
          <w:p w14:paraId="795AF3F9" w14:textId="77777777" w:rsidR="004065BE" w:rsidRPr="002D2F67" w:rsidRDefault="004065BE" w:rsidP="00D21F5E">
            <w:pPr>
              <w:widowControl w:val="0"/>
              <w:ind w:left="-61" w:right="-72"/>
              <w:jc w:val="right"/>
              <w:rPr>
                <w:rFonts w:ascii="Arial" w:hAnsi="Arial" w:cs="Arial"/>
                <w:b/>
                <w:bCs/>
                <w:sz w:val="16"/>
                <w:szCs w:val="16"/>
              </w:rPr>
            </w:pPr>
          </w:p>
        </w:tc>
      </w:tr>
      <w:tr w:rsidR="004065BE" w:rsidRPr="002D2F67" w14:paraId="7A329C3B" w14:textId="77777777" w:rsidTr="002D2F67">
        <w:tc>
          <w:tcPr>
            <w:tcW w:w="3168" w:type="dxa"/>
          </w:tcPr>
          <w:p w14:paraId="2DDDEE6C" w14:textId="77777777" w:rsidR="004065BE" w:rsidRPr="002D2F67" w:rsidRDefault="004065BE" w:rsidP="00706C8B">
            <w:pPr>
              <w:ind w:left="30"/>
              <w:rPr>
                <w:rFonts w:ascii="Arial" w:hAnsi="Arial" w:cs="Arial"/>
                <w:sz w:val="16"/>
                <w:szCs w:val="16"/>
              </w:rPr>
            </w:pPr>
          </w:p>
        </w:tc>
        <w:tc>
          <w:tcPr>
            <w:tcW w:w="1584" w:type="dxa"/>
            <w:gridSpan w:val="2"/>
          </w:tcPr>
          <w:p w14:paraId="36107BB4" w14:textId="77777777" w:rsidR="004065BE" w:rsidRPr="002D2F67" w:rsidRDefault="004065BE" w:rsidP="00D21F5E">
            <w:pPr>
              <w:widowControl w:val="0"/>
              <w:ind w:left="-61" w:right="-72"/>
              <w:jc w:val="right"/>
              <w:rPr>
                <w:rFonts w:ascii="Arial" w:hAnsi="Arial" w:cs="Arial"/>
                <w:b/>
                <w:bCs/>
                <w:sz w:val="16"/>
                <w:szCs w:val="16"/>
              </w:rPr>
            </w:pPr>
            <w:r w:rsidRPr="002D2F67">
              <w:rPr>
                <w:rFonts w:ascii="Arial" w:hAnsi="Arial" w:cs="Arial"/>
                <w:b/>
                <w:bCs/>
                <w:sz w:val="16"/>
                <w:szCs w:val="16"/>
              </w:rPr>
              <w:t>crude palm oil,</w:t>
            </w:r>
          </w:p>
        </w:tc>
        <w:tc>
          <w:tcPr>
            <w:tcW w:w="1584" w:type="dxa"/>
            <w:gridSpan w:val="2"/>
          </w:tcPr>
          <w:p w14:paraId="31667365" w14:textId="77777777" w:rsidR="004065BE" w:rsidRPr="002D2F67" w:rsidRDefault="004065BE" w:rsidP="00D21F5E">
            <w:pPr>
              <w:widowControl w:val="0"/>
              <w:ind w:left="-61" w:right="-72"/>
              <w:jc w:val="right"/>
              <w:rPr>
                <w:rFonts w:ascii="Arial" w:hAnsi="Arial" w:cs="Arial"/>
                <w:b/>
                <w:bCs/>
                <w:sz w:val="16"/>
                <w:szCs w:val="16"/>
              </w:rPr>
            </w:pPr>
            <w:r w:rsidRPr="002D2F67">
              <w:rPr>
                <w:rFonts w:ascii="Arial" w:hAnsi="Arial" w:cs="Arial"/>
                <w:b/>
                <w:bCs/>
                <w:sz w:val="16"/>
                <w:szCs w:val="16"/>
              </w:rPr>
              <w:t>electricity from</w:t>
            </w:r>
          </w:p>
        </w:tc>
        <w:tc>
          <w:tcPr>
            <w:tcW w:w="1584" w:type="dxa"/>
            <w:gridSpan w:val="2"/>
          </w:tcPr>
          <w:p w14:paraId="4265BCB6" w14:textId="77777777" w:rsidR="004065BE" w:rsidRPr="002D2F67" w:rsidRDefault="004065BE" w:rsidP="00D21F5E">
            <w:pPr>
              <w:widowControl w:val="0"/>
              <w:ind w:left="-61" w:right="-72"/>
              <w:jc w:val="right"/>
              <w:rPr>
                <w:rFonts w:ascii="Arial" w:hAnsi="Arial" w:cs="Arial"/>
                <w:b/>
                <w:bCs/>
                <w:sz w:val="16"/>
                <w:szCs w:val="16"/>
              </w:rPr>
            </w:pPr>
          </w:p>
        </w:tc>
        <w:tc>
          <w:tcPr>
            <w:tcW w:w="1584" w:type="dxa"/>
            <w:gridSpan w:val="2"/>
          </w:tcPr>
          <w:p w14:paraId="540575D9" w14:textId="77777777" w:rsidR="004065BE" w:rsidRPr="002D2F67" w:rsidRDefault="004065BE" w:rsidP="00D21F5E">
            <w:pPr>
              <w:widowControl w:val="0"/>
              <w:ind w:left="-61" w:right="-72"/>
              <w:jc w:val="right"/>
              <w:rPr>
                <w:rFonts w:ascii="Arial" w:hAnsi="Arial" w:cs="Arial"/>
                <w:b/>
                <w:bCs/>
                <w:sz w:val="16"/>
                <w:szCs w:val="16"/>
              </w:rPr>
            </w:pPr>
          </w:p>
        </w:tc>
        <w:tc>
          <w:tcPr>
            <w:tcW w:w="1584" w:type="dxa"/>
            <w:gridSpan w:val="2"/>
          </w:tcPr>
          <w:p w14:paraId="7086D69A" w14:textId="77777777" w:rsidR="004065BE" w:rsidRPr="002D2F67" w:rsidRDefault="004065BE" w:rsidP="00D21F5E">
            <w:pPr>
              <w:widowControl w:val="0"/>
              <w:ind w:left="-61" w:right="-72"/>
              <w:jc w:val="right"/>
              <w:rPr>
                <w:rFonts w:ascii="Arial" w:hAnsi="Arial" w:cs="Arial"/>
                <w:b/>
                <w:bCs/>
                <w:sz w:val="16"/>
                <w:szCs w:val="16"/>
              </w:rPr>
            </w:pPr>
          </w:p>
        </w:tc>
        <w:tc>
          <w:tcPr>
            <w:tcW w:w="1584" w:type="dxa"/>
            <w:gridSpan w:val="2"/>
          </w:tcPr>
          <w:p w14:paraId="7FE3CACD" w14:textId="77777777" w:rsidR="004065BE" w:rsidRPr="002D2F67" w:rsidRDefault="004065BE" w:rsidP="00D21F5E">
            <w:pPr>
              <w:widowControl w:val="0"/>
              <w:ind w:left="-61" w:right="-72"/>
              <w:jc w:val="right"/>
              <w:rPr>
                <w:rFonts w:ascii="Arial" w:hAnsi="Arial" w:cs="Arial"/>
                <w:b/>
                <w:bCs/>
                <w:sz w:val="16"/>
                <w:szCs w:val="16"/>
              </w:rPr>
            </w:pPr>
          </w:p>
        </w:tc>
        <w:tc>
          <w:tcPr>
            <w:tcW w:w="1584" w:type="dxa"/>
            <w:gridSpan w:val="2"/>
          </w:tcPr>
          <w:p w14:paraId="60E81A39" w14:textId="77777777" w:rsidR="004065BE" w:rsidRPr="002D2F67" w:rsidRDefault="004065BE" w:rsidP="00D21F5E">
            <w:pPr>
              <w:widowControl w:val="0"/>
              <w:ind w:left="-61" w:right="-72"/>
              <w:jc w:val="right"/>
              <w:rPr>
                <w:rFonts w:ascii="Arial" w:hAnsi="Arial" w:cs="Arial"/>
                <w:b/>
                <w:bCs/>
                <w:sz w:val="16"/>
                <w:szCs w:val="16"/>
              </w:rPr>
            </w:pPr>
          </w:p>
        </w:tc>
        <w:tc>
          <w:tcPr>
            <w:tcW w:w="1584" w:type="dxa"/>
            <w:gridSpan w:val="2"/>
          </w:tcPr>
          <w:p w14:paraId="4342F15F" w14:textId="77777777" w:rsidR="004065BE" w:rsidRPr="002D2F67" w:rsidRDefault="004065BE" w:rsidP="00D21F5E">
            <w:pPr>
              <w:widowControl w:val="0"/>
              <w:ind w:left="-61" w:right="-72"/>
              <w:jc w:val="right"/>
              <w:rPr>
                <w:rFonts w:ascii="Arial" w:hAnsi="Arial" w:cs="Arial"/>
                <w:b/>
                <w:bCs/>
                <w:sz w:val="16"/>
                <w:szCs w:val="16"/>
              </w:rPr>
            </w:pPr>
          </w:p>
        </w:tc>
      </w:tr>
      <w:tr w:rsidR="004065BE" w:rsidRPr="002D2F67" w14:paraId="74615024" w14:textId="77777777" w:rsidTr="002D2F67">
        <w:tc>
          <w:tcPr>
            <w:tcW w:w="3168" w:type="dxa"/>
          </w:tcPr>
          <w:p w14:paraId="02A071A8" w14:textId="77777777" w:rsidR="004065BE" w:rsidRPr="002D2F67" w:rsidRDefault="004065BE" w:rsidP="00706C8B">
            <w:pPr>
              <w:ind w:left="30"/>
              <w:rPr>
                <w:rFonts w:ascii="Arial" w:hAnsi="Arial" w:cs="Arial"/>
                <w:sz w:val="16"/>
                <w:szCs w:val="16"/>
              </w:rPr>
            </w:pPr>
          </w:p>
        </w:tc>
        <w:tc>
          <w:tcPr>
            <w:tcW w:w="1584" w:type="dxa"/>
            <w:gridSpan w:val="2"/>
          </w:tcPr>
          <w:p w14:paraId="6034F500" w14:textId="36E7E6B1" w:rsidR="004065BE" w:rsidRPr="002D2F67" w:rsidRDefault="004065BE" w:rsidP="00D21F5E">
            <w:pPr>
              <w:widowControl w:val="0"/>
              <w:ind w:left="-61" w:right="-72"/>
              <w:jc w:val="right"/>
              <w:rPr>
                <w:rFonts w:ascii="Arial" w:hAnsi="Arial" w:cs="Arial"/>
                <w:b/>
                <w:bCs/>
                <w:sz w:val="16"/>
                <w:szCs w:val="16"/>
              </w:rPr>
            </w:pPr>
            <w:r w:rsidRPr="002D2F67">
              <w:rPr>
                <w:rFonts w:ascii="Arial" w:hAnsi="Arial" w:cs="Arial"/>
                <w:b/>
                <w:bCs/>
                <w:sz w:val="16"/>
                <w:szCs w:val="16"/>
              </w:rPr>
              <w:t xml:space="preserve">biodiesel </w:t>
            </w:r>
          </w:p>
        </w:tc>
        <w:tc>
          <w:tcPr>
            <w:tcW w:w="1584" w:type="dxa"/>
            <w:gridSpan w:val="2"/>
          </w:tcPr>
          <w:p w14:paraId="6AA7D8F7" w14:textId="77777777" w:rsidR="004065BE" w:rsidRPr="002D2F67" w:rsidRDefault="004065BE" w:rsidP="00D21F5E">
            <w:pPr>
              <w:widowControl w:val="0"/>
              <w:ind w:left="-61" w:right="-72"/>
              <w:jc w:val="right"/>
              <w:rPr>
                <w:rFonts w:ascii="Arial" w:hAnsi="Arial" w:cs="Arial"/>
                <w:b/>
                <w:bCs/>
                <w:sz w:val="16"/>
                <w:szCs w:val="16"/>
              </w:rPr>
            </w:pPr>
            <w:r w:rsidRPr="002D2F67">
              <w:rPr>
                <w:rFonts w:ascii="Arial" w:hAnsi="Arial" w:cs="Arial"/>
                <w:b/>
                <w:bCs/>
                <w:sz w:val="16"/>
                <w:szCs w:val="16"/>
              </w:rPr>
              <w:t xml:space="preserve">solar and </w:t>
            </w:r>
          </w:p>
        </w:tc>
        <w:tc>
          <w:tcPr>
            <w:tcW w:w="1584" w:type="dxa"/>
            <w:gridSpan w:val="2"/>
          </w:tcPr>
          <w:p w14:paraId="443B7603" w14:textId="77777777" w:rsidR="004065BE" w:rsidRPr="002D2F67" w:rsidRDefault="004065BE" w:rsidP="00D21F5E">
            <w:pPr>
              <w:widowControl w:val="0"/>
              <w:ind w:left="-61" w:right="-72"/>
              <w:jc w:val="right"/>
              <w:rPr>
                <w:rFonts w:ascii="Arial" w:hAnsi="Arial" w:cs="Arial"/>
                <w:b/>
                <w:bCs/>
                <w:sz w:val="16"/>
                <w:szCs w:val="16"/>
              </w:rPr>
            </w:pPr>
            <w:r w:rsidRPr="002D2F67">
              <w:rPr>
                <w:rFonts w:ascii="Arial" w:hAnsi="Arial" w:cs="Arial"/>
                <w:b/>
                <w:bCs/>
                <w:sz w:val="16"/>
                <w:szCs w:val="16"/>
              </w:rPr>
              <w:t xml:space="preserve">Manufacturing </w:t>
            </w:r>
          </w:p>
        </w:tc>
        <w:tc>
          <w:tcPr>
            <w:tcW w:w="1584" w:type="dxa"/>
            <w:gridSpan w:val="2"/>
          </w:tcPr>
          <w:p w14:paraId="382B3BB7" w14:textId="77777777" w:rsidR="004065BE" w:rsidRPr="002D2F67" w:rsidRDefault="004065BE" w:rsidP="00D21F5E">
            <w:pPr>
              <w:widowControl w:val="0"/>
              <w:ind w:left="-61" w:right="-72"/>
              <w:jc w:val="right"/>
              <w:rPr>
                <w:rFonts w:ascii="Arial" w:hAnsi="Arial" w:cs="Arial"/>
                <w:b/>
                <w:bCs/>
                <w:sz w:val="16"/>
                <w:szCs w:val="16"/>
              </w:rPr>
            </w:pPr>
            <w:r w:rsidRPr="002D2F67">
              <w:rPr>
                <w:rFonts w:ascii="Arial" w:hAnsi="Arial" w:cs="Arial"/>
                <w:b/>
                <w:bCs/>
                <w:sz w:val="16"/>
                <w:szCs w:val="16"/>
              </w:rPr>
              <w:t xml:space="preserve">Manufacturing </w:t>
            </w:r>
          </w:p>
        </w:tc>
        <w:tc>
          <w:tcPr>
            <w:tcW w:w="1584" w:type="dxa"/>
            <w:gridSpan w:val="2"/>
          </w:tcPr>
          <w:p w14:paraId="6D9EA129" w14:textId="77777777" w:rsidR="004065BE" w:rsidRPr="002D2F67" w:rsidRDefault="004065BE" w:rsidP="00D21F5E">
            <w:pPr>
              <w:widowControl w:val="0"/>
              <w:ind w:left="-61" w:right="-72"/>
              <w:jc w:val="right"/>
              <w:rPr>
                <w:rFonts w:ascii="Arial" w:hAnsi="Arial" w:cs="Arial"/>
                <w:b/>
                <w:bCs/>
                <w:sz w:val="16"/>
                <w:szCs w:val="16"/>
              </w:rPr>
            </w:pPr>
          </w:p>
        </w:tc>
        <w:tc>
          <w:tcPr>
            <w:tcW w:w="1584" w:type="dxa"/>
            <w:gridSpan w:val="2"/>
          </w:tcPr>
          <w:p w14:paraId="79999F3F" w14:textId="77777777" w:rsidR="004065BE" w:rsidRPr="002D2F67" w:rsidRDefault="004065BE" w:rsidP="00D21F5E">
            <w:pPr>
              <w:widowControl w:val="0"/>
              <w:ind w:left="-61" w:right="-72"/>
              <w:jc w:val="right"/>
              <w:rPr>
                <w:rFonts w:ascii="Arial" w:hAnsi="Arial" w:cs="Arial"/>
                <w:b/>
                <w:bCs/>
                <w:sz w:val="16"/>
                <w:szCs w:val="16"/>
              </w:rPr>
            </w:pPr>
          </w:p>
        </w:tc>
        <w:tc>
          <w:tcPr>
            <w:tcW w:w="1584" w:type="dxa"/>
            <w:gridSpan w:val="2"/>
            <w:shd w:val="clear" w:color="auto" w:fill="auto"/>
          </w:tcPr>
          <w:p w14:paraId="157F2FBF" w14:textId="77777777" w:rsidR="004065BE" w:rsidRPr="002D2F67" w:rsidRDefault="004065BE" w:rsidP="00D21F5E">
            <w:pPr>
              <w:widowControl w:val="0"/>
              <w:ind w:left="-61" w:right="-72"/>
              <w:jc w:val="right"/>
              <w:rPr>
                <w:rFonts w:ascii="Arial" w:hAnsi="Arial" w:cs="Arial"/>
                <w:b/>
                <w:bCs/>
                <w:sz w:val="16"/>
                <w:szCs w:val="16"/>
              </w:rPr>
            </w:pPr>
          </w:p>
        </w:tc>
        <w:tc>
          <w:tcPr>
            <w:tcW w:w="1584" w:type="dxa"/>
            <w:gridSpan w:val="2"/>
          </w:tcPr>
          <w:p w14:paraId="4B576F9A" w14:textId="77777777" w:rsidR="004065BE" w:rsidRPr="002D2F67" w:rsidRDefault="004065BE" w:rsidP="00D21F5E">
            <w:pPr>
              <w:widowControl w:val="0"/>
              <w:ind w:left="-61" w:right="-72"/>
              <w:jc w:val="right"/>
              <w:rPr>
                <w:rFonts w:ascii="Arial" w:hAnsi="Arial" w:cs="Arial"/>
                <w:b/>
                <w:bCs/>
                <w:sz w:val="16"/>
                <w:szCs w:val="16"/>
              </w:rPr>
            </w:pPr>
          </w:p>
        </w:tc>
      </w:tr>
      <w:tr w:rsidR="004065BE" w:rsidRPr="002D2F67" w14:paraId="6865A81D" w14:textId="77777777" w:rsidTr="002D2F67">
        <w:tc>
          <w:tcPr>
            <w:tcW w:w="3168" w:type="dxa"/>
          </w:tcPr>
          <w:p w14:paraId="544C762E" w14:textId="77777777" w:rsidR="004065BE" w:rsidRPr="002D2F67" w:rsidRDefault="004065BE" w:rsidP="00706C8B">
            <w:pPr>
              <w:ind w:left="30"/>
              <w:rPr>
                <w:rFonts w:ascii="Arial" w:hAnsi="Arial" w:cs="Arial"/>
                <w:sz w:val="16"/>
                <w:szCs w:val="16"/>
              </w:rPr>
            </w:pPr>
          </w:p>
        </w:tc>
        <w:tc>
          <w:tcPr>
            <w:tcW w:w="1584" w:type="dxa"/>
            <w:gridSpan w:val="2"/>
          </w:tcPr>
          <w:p w14:paraId="145E9B5B" w14:textId="11CD1028" w:rsidR="004065BE" w:rsidRPr="002D2F67" w:rsidRDefault="004065BE" w:rsidP="00D21F5E">
            <w:pPr>
              <w:widowControl w:val="0"/>
              <w:ind w:left="-61" w:right="-72"/>
              <w:jc w:val="right"/>
              <w:rPr>
                <w:rFonts w:ascii="Arial" w:hAnsi="Arial" w:cs="Arial"/>
                <w:b/>
                <w:bCs/>
                <w:sz w:val="16"/>
                <w:szCs w:val="16"/>
              </w:rPr>
            </w:pPr>
            <w:r w:rsidRPr="002D2F67">
              <w:rPr>
                <w:rFonts w:ascii="Arial" w:hAnsi="Arial" w:cs="Arial"/>
                <w:b/>
                <w:bCs/>
                <w:sz w:val="16"/>
                <w:szCs w:val="16"/>
              </w:rPr>
              <w:t xml:space="preserve">and pure </w:t>
            </w:r>
            <w:r w:rsidR="00E322FD" w:rsidRPr="002D2F67">
              <w:rPr>
                <w:rFonts w:ascii="Arial" w:hAnsi="Arial" w:cs="Arial"/>
                <w:b/>
                <w:bCs/>
                <w:sz w:val="16"/>
                <w:szCs w:val="16"/>
              </w:rPr>
              <w:t>glycerin</w:t>
            </w:r>
          </w:p>
        </w:tc>
        <w:tc>
          <w:tcPr>
            <w:tcW w:w="1584" w:type="dxa"/>
            <w:gridSpan w:val="2"/>
          </w:tcPr>
          <w:p w14:paraId="0C7AA0F8" w14:textId="77777777" w:rsidR="004065BE" w:rsidRPr="002D2F67" w:rsidRDefault="004065BE" w:rsidP="00D21F5E">
            <w:pPr>
              <w:widowControl w:val="0"/>
              <w:ind w:left="-61" w:right="-72"/>
              <w:jc w:val="right"/>
              <w:rPr>
                <w:rFonts w:ascii="Arial" w:hAnsi="Arial" w:cs="Arial"/>
                <w:b/>
                <w:bCs/>
                <w:sz w:val="16"/>
                <w:szCs w:val="16"/>
                <w:cs/>
              </w:rPr>
            </w:pPr>
            <w:r w:rsidRPr="002D2F67">
              <w:rPr>
                <w:rFonts w:ascii="Arial" w:hAnsi="Arial" w:cs="Arial"/>
                <w:b/>
                <w:bCs/>
                <w:sz w:val="16"/>
                <w:szCs w:val="16"/>
              </w:rPr>
              <w:t>wind power</w:t>
            </w:r>
          </w:p>
        </w:tc>
        <w:tc>
          <w:tcPr>
            <w:tcW w:w="1584" w:type="dxa"/>
            <w:gridSpan w:val="2"/>
          </w:tcPr>
          <w:p w14:paraId="577DF254" w14:textId="77777777" w:rsidR="004065BE" w:rsidRPr="002D2F67" w:rsidRDefault="004065BE" w:rsidP="00D21F5E">
            <w:pPr>
              <w:widowControl w:val="0"/>
              <w:ind w:left="-61" w:right="-72"/>
              <w:jc w:val="right"/>
              <w:rPr>
                <w:rFonts w:ascii="Arial" w:hAnsi="Arial" w:cs="Arial"/>
                <w:b/>
                <w:bCs/>
                <w:sz w:val="16"/>
                <w:szCs w:val="16"/>
                <w:cs/>
              </w:rPr>
            </w:pPr>
            <w:r w:rsidRPr="002D2F67">
              <w:rPr>
                <w:rFonts w:ascii="Arial" w:hAnsi="Arial" w:cs="Arial"/>
                <w:b/>
                <w:bCs/>
                <w:sz w:val="16"/>
                <w:szCs w:val="16"/>
              </w:rPr>
              <w:t>and distributing</w:t>
            </w:r>
          </w:p>
        </w:tc>
        <w:tc>
          <w:tcPr>
            <w:tcW w:w="1584" w:type="dxa"/>
            <w:gridSpan w:val="2"/>
          </w:tcPr>
          <w:p w14:paraId="15C66F1D" w14:textId="77777777" w:rsidR="004065BE" w:rsidRPr="002D2F67" w:rsidRDefault="004065BE" w:rsidP="00D21F5E">
            <w:pPr>
              <w:widowControl w:val="0"/>
              <w:ind w:left="-61" w:right="-72"/>
              <w:jc w:val="right"/>
              <w:rPr>
                <w:rFonts w:ascii="Arial" w:hAnsi="Arial" w:cs="Arial"/>
                <w:b/>
                <w:bCs/>
                <w:sz w:val="16"/>
                <w:szCs w:val="16"/>
                <w:cs/>
              </w:rPr>
            </w:pPr>
            <w:r w:rsidRPr="002D2F67">
              <w:rPr>
                <w:rFonts w:ascii="Arial" w:hAnsi="Arial" w:cs="Arial"/>
                <w:b/>
                <w:bCs/>
                <w:sz w:val="16"/>
                <w:szCs w:val="16"/>
              </w:rPr>
              <w:t>and distributing</w:t>
            </w:r>
          </w:p>
        </w:tc>
        <w:tc>
          <w:tcPr>
            <w:tcW w:w="1584" w:type="dxa"/>
            <w:gridSpan w:val="2"/>
          </w:tcPr>
          <w:p w14:paraId="78A162E7" w14:textId="77777777" w:rsidR="004065BE" w:rsidRPr="002D2F67" w:rsidRDefault="004065BE" w:rsidP="00D21F5E">
            <w:pPr>
              <w:widowControl w:val="0"/>
              <w:ind w:left="-61" w:right="-72"/>
              <w:jc w:val="right"/>
              <w:rPr>
                <w:rFonts w:ascii="Arial" w:hAnsi="Arial" w:cs="Arial"/>
                <w:b/>
                <w:bCs/>
                <w:sz w:val="16"/>
                <w:szCs w:val="16"/>
              </w:rPr>
            </w:pPr>
          </w:p>
        </w:tc>
        <w:tc>
          <w:tcPr>
            <w:tcW w:w="1584" w:type="dxa"/>
            <w:gridSpan w:val="2"/>
          </w:tcPr>
          <w:p w14:paraId="625C4109" w14:textId="77777777" w:rsidR="004065BE" w:rsidRPr="002D2F67" w:rsidRDefault="004065BE" w:rsidP="00D21F5E">
            <w:pPr>
              <w:widowControl w:val="0"/>
              <w:ind w:left="-61" w:right="-72"/>
              <w:jc w:val="right"/>
              <w:rPr>
                <w:rFonts w:ascii="Arial" w:hAnsi="Arial" w:cs="Arial"/>
                <w:b/>
                <w:bCs/>
                <w:sz w:val="16"/>
                <w:szCs w:val="16"/>
                <w:cs/>
              </w:rPr>
            </w:pPr>
          </w:p>
        </w:tc>
        <w:tc>
          <w:tcPr>
            <w:tcW w:w="1584" w:type="dxa"/>
            <w:gridSpan w:val="2"/>
            <w:shd w:val="clear" w:color="auto" w:fill="auto"/>
          </w:tcPr>
          <w:p w14:paraId="0837DFB3" w14:textId="77777777" w:rsidR="004065BE" w:rsidRPr="002D2F67" w:rsidRDefault="004065BE" w:rsidP="00D21F5E">
            <w:pPr>
              <w:widowControl w:val="0"/>
              <w:ind w:left="-61" w:right="-72"/>
              <w:jc w:val="right"/>
              <w:rPr>
                <w:rFonts w:ascii="Arial" w:hAnsi="Arial" w:cs="Arial"/>
                <w:b/>
                <w:bCs/>
                <w:sz w:val="16"/>
                <w:szCs w:val="16"/>
              </w:rPr>
            </w:pPr>
            <w:r w:rsidRPr="002D2F67">
              <w:rPr>
                <w:rFonts w:ascii="Arial" w:hAnsi="Arial" w:cs="Arial"/>
                <w:b/>
                <w:bCs/>
                <w:sz w:val="16"/>
                <w:szCs w:val="16"/>
              </w:rPr>
              <w:t>Intercompany</w:t>
            </w:r>
          </w:p>
        </w:tc>
        <w:tc>
          <w:tcPr>
            <w:tcW w:w="1584" w:type="dxa"/>
            <w:gridSpan w:val="2"/>
            <w:shd w:val="clear" w:color="auto" w:fill="auto"/>
          </w:tcPr>
          <w:p w14:paraId="628D78F1" w14:textId="77777777" w:rsidR="004065BE" w:rsidRPr="002D2F67" w:rsidRDefault="004065BE" w:rsidP="00D21F5E">
            <w:pPr>
              <w:widowControl w:val="0"/>
              <w:ind w:left="-61" w:right="-72"/>
              <w:jc w:val="right"/>
              <w:rPr>
                <w:rFonts w:ascii="Arial" w:hAnsi="Arial" w:cs="Arial"/>
                <w:b/>
                <w:bCs/>
                <w:sz w:val="16"/>
                <w:szCs w:val="16"/>
                <w:cs/>
              </w:rPr>
            </w:pPr>
          </w:p>
        </w:tc>
      </w:tr>
      <w:tr w:rsidR="004065BE" w:rsidRPr="002D2F67" w14:paraId="3CF7C2E1" w14:textId="77777777" w:rsidTr="002D2F67">
        <w:tc>
          <w:tcPr>
            <w:tcW w:w="3168" w:type="dxa"/>
          </w:tcPr>
          <w:p w14:paraId="1EEF5653" w14:textId="77777777" w:rsidR="004065BE" w:rsidRPr="002D2F67" w:rsidRDefault="004065BE" w:rsidP="00706C8B">
            <w:pPr>
              <w:ind w:left="30"/>
              <w:rPr>
                <w:rFonts w:ascii="Arial" w:hAnsi="Arial" w:cs="Arial"/>
                <w:sz w:val="16"/>
                <w:szCs w:val="16"/>
              </w:rPr>
            </w:pPr>
          </w:p>
        </w:tc>
        <w:tc>
          <w:tcPr>
            <w:tcW w:w="1584" w:type="dxa"/>
            <w:gridSpan w:val="2"/>
            <w:tcBorders>
              <w:bottom w:val="single" w:sz="4" w:space="0" w:color="auto"/>
            </w:tcBorders>
          </w:tcPr>
          <w:p w14:paraId="5ECF764F" w14:textId="77777777" w:rsidR="004065BE" w:rsidRPr="002D2F67" w:rsidRDefault="004065BE" w:rsidP="00D21F5E">
            <w:pPr>
              <w:widowControl w:val="0"/>
              <w:ind w:left="-61" w:right="-72"/>
              <w:jc w:val="right"/>
              <w:rPr>
                <w:rFonts w:ascii="Arial" w:hAnsi="Arial" w:cs="Arial"/>
                <w:b/>
                <w:bCs/>
                <w:sz w:val="16"/>
                <w:szCs w:val="16"/>
              </w:rPr>
            </w:pPr>
            <w:r w:rsidRPr="002D2F67">
              <w:rPr>
                <w:rFonts w:ascii="Arial" w:hAnsi="Arial" w:cs="Arial"/>
                <w:b/>
                <w:bCs/>
                <w:sz w:val="16"/>
                <w:szCs w:val="16"/>
              </w:rPr>
              <w:t>products</w:t>
            </w:r>
          </w:p>
        </w:tc>
        <w:tc>
          <w:tcPr>
            <w:tcW w:w="1584" w:type="dxa"/>
            <w:gridSpan w:val="2"/>
            <w:tcBorders>
              <w:bottom w:val="single" w:sz="4" w:space="0" w:color="auto"/>
            </w:tcBorders>
          </w:tcPr>
          <w:p w14:paraId="57FA8B77" w14:textId="77777777" w:rsidR="004065BE" w:rsidRPr="002D2F67" w:rsidRDefault="004065BE" w:rsidP="00D21F5E">
            <w:pPr>
              <w:widowControl w:val="0"/>
              <w:ind w:left="-61" w:right="-72"/>
              <w:jc w:val="right"/>
              <w:rPr>
                <w:rFonts w:ascii="Arial" w:hAnsi="Arial" w:cs="Arial"/>
                <w:b/>
                <w:bCs/>
                <w:sz w:val="16"/>
                <w:szCs w:val="16"/>
              </w:rPr>
            </w:pPr>
            <w:r w:rsidRPr="002D2F67">
              <w:rPr>
                <w:rFonts w:ascii="Arial" w:hAnsi="Arial" w:cs="Arial"/>
                <w:b/>
                <w:bCs/>
                <w:sz w:val="16"/>
                <w:szCs w:val="16"/>
              </w:rPr>
              <w:t xml:space="preserve">and biomass </w:t>
            </w:r>
          </w:p>
        </w:tc>
        <w:tc>
          <w:tcPr>
            <w:tcW w:w="1584" w:type="dxa"/>
            <w:gridSpan w:val="2"/>
            <w:tcBorders>
              <w:bottom w:val="single" w:sz="4" w:space="0" w:color="auto"/>
            </w:tcBorders>
          </w:tcPr>
          <w:p w14:paraId="41C53B1B" w14:textId="77777777" w:rsidR="004065BE" w:rsidRPr="002D2F67" w:rsidRDefault="004065BE" w:rsidP="00D21F5E">
            <w:pPr>
              <w:widowControl w:val="0"/>
              <w:ind w:left="-61" w:right="-72"/>
              <w:jc w:val="right"/>
              <w:rPr>
                <w:rFonts w:ascii="Arial" w:hAnsi="Arial" w:cs="Arial"/>
                <w:b/>
                <w:bCs/>
                <w:sz w:val="16"/>
                <w:szCs w:val="16"/>
              </w:rPr>
            </w:pPr>
            <w:r w:rsidRPr="002D2F67">
              <w:rPr>
                <w:rFonts w:ascii="Arial" w:hAnsi="Arial" w:cs="Arial"/>
                <w:b/>
                <w:bCs/>
                <w:sz w:val="16"/>
                <w:szCs w:val="16"/>
              </w:rPr>
              <w:t>electric vehicles</w:t>
            </w:r>
          </w:p>
        </w:tc>
        <w:tc>
          <w:tcPr>
            <w:tcW w:w="1584" w:type="dxa"/>
            <w:gridSpan w:val="2"/>
            <w:tcBorders>
              <w:bottom w:val="single" w:sz="4" w:space="0" w:color="auto"/>
            </w:tcBorders>
          </w:tcPr>
          <w:p w14:paraId="467963B5" w14:textId="77777777" w:rsidR="004065BE" w:rsidRPr="002D2F67" w:rsidRDefault="004065BE" w:rsidP="00D21F5E">
            <w:pPr>
              <w:widowControl w:val="0"/>
              <w:ind w:left="-61" w:right="-72"/>
              <w:jc w:val="right"/>
              <w:rPr>
                <w:rFonts w:ascii="Arial" w:hAnsi="Arial" w:cs="Arial"/>
                <w:b/>
                <w:bCs/>
                <w:sz w:val="16"/>
                <w:szCs w:val="16"/>
              </w:rPr>
            </w:pPr>
            <w:r w:rsidRPr="002D2F67">
              <w:rPr>
                <w:rFonts w:ascii="Arial" w:hAnsi="Arial" w:cs="Arial"/>
                <w:b/>
                <w:bCs/>
                <w:sz w:val="16"/>
                <w:szCs w:val="16"/>
              </w:rPr>
              <w:t>battery</w:t>
            </w:r>
          </w:p>
        </w:tc>
        <w:tc>
          <w:tcPr>
            <w:tcW w:w="1584" w:type="dxa"/>
            <w:gridSpan w:val="2"/>
            <w:tcBorders>
              <w:bottom w:val="single" w:sz="4" w:space="0" w:color="auto"/>
            </w:tcBorders>
          </w:tcPr>
          <w:p w14:paraId="39F2FBFC" w14:textId="77777777" w:rsidR="004065BE" w:rsidRPr="002D2F67" w:rsidRDefault="004065BE" w:rsidP="00D21F5E">
            <w:pPr>
              <w:widowControl w:val="0"/>
              <w:ind w:left="-61" w:right="-72"/>
              <w:jc w:val="right"/>
              <w:rPr>
                <w:rFonts w:ascii="Arial" w:hAnsi="Arial" w:cs="Arial"/>
                <w:b/>
                <w:bCs/>
                <w:sz w:val="16"/>
                <w:szCs w:val="16"/>
              </w:rPr>
            </w:pPr>
            <w:r w:rsidRPr="002D2F67">
              <w:rPr>
                <w:rFonts w:ascii="Arial" w:hAnsi="Arial" w:cs="Arial"/>
                <w:b/>
                <w:bCs/>
                <w:sz w:val="16"/>
                <w:szCs w:val="16"/>
              </w:rPr>
              <w:t>Others</w:t>
            </w:r>
          </w:p>
        </w:tc>
        <w:tc>
          <w:tcPr>
            <w:tcW w:w="1584" w:type="dxa"/>
            <w:gridSpan w:val="2"/>
            <w:tcBorders>
              <w:bottom w:val="single" w:sz="4" w:space="0" w:color="auto"/>
            </w:tcBorders>
          </w:tcPr>
          <w:p w14:paraId="39B9B53C" w14:textId="77777777" w:rsidR="004065BE" w:rsidRPr="002D2F67" w:rsidRDefault="004065BE" w:rsidP="00D21F5E">
            <w:pPr>
              <w:widowControl w:val="0"/>
              <w:ind w:right="-72"/>
              <w:jc w:val="right"/>
              <w:rPr>
                <w:rFonts w:ascii="Arial" w:hAnsi="Arial" w:cs="Arial"/>
                <w:b/>
                <w:bCs/>
                <w:sz w:val="16"/>
                <w:szCs w:val="16"/>
              </w:rPr>
            </w:pPr>
            <w:r w:rsidRPr="002D2F67">
              <w:rPr>
                <w:rFonts w:ascii="Arial" w:hAnsi="Arial" w:cs="Arial"/>
                <w:b/>
                <w:bCs/>
                <w:sz w:val="16"/>
                <w:szCs w:val="16"/>
              </w:rPr>
              <w:t>Head office</w:t>
            </w:r>
          </w:p>
        </w:tc>
        <w:tc>
          <w:tcPr>
            <w:tcW w:w="1584" w:type="dxa"/>
            <w:gridSpan w:val="2"/>
            <w:tcBorders>
              <w:bottom w:val="single" w:sz="4" w:space="0" w:color="auto"/>
            </w:tcBorders>
            <w:shd w:val="clear" w:color="auto" w:fill="auto"/>
          </w:tcPr>
          <w:p w14:paraId="246A8B9A" w14:textId="77777777" w:rsidR="004065BE" w:rsidRPr="002D2F67" w:rsidRDefault="004065BE" w:rsidP="00D21F5E">
            <w:pPr>
              <w:widowControl w:val="0"/>
              <w:ind w:left="-61" w:right="-72"/>
              <w:jc w:val="right"/>
              <w:rPr>
                <w:rFonts w:ascii="Arial" w:hAnsi="Arial" w:cs="Arial"/>
                <w:b/>
                <w:bCs/>
                <w:sz w:val="16"/>
                <w:szCs w:val="16"/>
              </w:rPr>
            </w:pPr>
            <w:r w:rsidRPr="002D2F67">
              <w:rPr>
                <w:rFonts w:ascii="Arial" w:hAnsi="Arial" w:cs="Arial"/>
                <w:b/>
                <w:bCs/>
                <w:sz w:val="16"/>
                <w:szCs w:val="16"/>
              </w:rPr>
              <w:t>elimination</w:t>
            </w:r>
          </w:p>
        </w:tc>
        <w:tc>
          <w:tcPr>
            <w:tcW w:w="1584" w:type="dxa"/>
            <w:gridSpan w:val="2"/>
            <w:tcBorders>
              <w:bottom w:val="single" w:sz="4" w:space="0" w:color="auto"/>
            </w:tcBorders>
          </w:tcPr>
          <w:p w14:paraId="267A4D64" w14:textId="77777777" w:rsidR="004065BE" w:rsidRPr="002D2F67" w:rsidRDefault="004065BE" w:rsidP="00D21F5E">
            <w:pPr>
              <w:widowControl w:val="0"/>
              <w:ind w:left="-61" w:right="-72"/>
              <w:jc w:val="right"/>
              <w:rPr>
                <w:rFonts w:ascii="Arial" w:hAnsi="Arial" w:cs="Arial"/>
                <w:b/>
                <w:bCs/>
                <w:sz w:val="16"/>
                <w:szCs w:val="16"/>
              </w:rPr>
            </w:pPr>
            <w:r w:rsidRPr="002D2F67">
              <w:rPr>
                <w:rFonts w:ascii="Arial" w:hAnsi="Arial" w:cs="Arial"/>
                <w:b/>
                <w:bCs/>
                <w:sz w:val="16"/>
                <w:szCs w:val="16"/>
              </w:rPr>
              <w:t>Total</w:t>
            </w:r>
          </w:p>
        </w:tc>
      </w:tr>
      <w:tr w:rsidR="004065BE" w:rsidRPr="002D2F67" w14:paraId="2FF08EF9" w14:textId="77777777" w:rsidTr="002D2F67">
        <w:tc>
          <w:tcPr>
            <w:tcW w:w="3168" w:type="dxa"/>
          </w:tcPr>
          <w:p w14:paraId="66B3ED59" w14:textId="77777777" w:rsidR="004065BE" w:rsidRPr="002D2F67" w:rsidRDefault="004065BE" w:rsidP="00706C8B">
            <w:pPr>
              <w:ind w:left="30"/>
              <w:rPr>
                <w:rFonts w:ascii="Arial" w:hAnsi="Arial" w:cs="Arial"/>
                <w:sz w:val="16"/>
                <w:szCs w:val="16"/>
              </w:rPr>
            </w:pPr>
          </w:p>
        </w:tc>
        <w:tc>
          <w:tcPr>
            <w:tcW w:w="792" w:type="dxa"/>
            <w:tcBorders>
              <w:top w:val="single" w:sz="4" w:space="0" w:color="auto"/>
              <w:bottom w:val="single" w:sz="4" w:space="0" w:color="auto"/>
            </w:tcBorders>
            <w:shd w:val="clear" w:color="auto" w:fill="auto"/>
          </w:tcPr>
          <w:p w14:paraId="1FA55E14" w14:textId="2D0F8993" w:rsidR="004065BE" w:rsidRPr="002D2F67" w:rsidRDefault="00CD5714" w:rsidP="00D21F5E">
            <w:pPr>
              <w:widowControl w:val="0"/>
              <w:ind w:right="-72"/>
              <w:jc w:val="right"/>
              <w:rPr>
                <w:rFonts w:ascii="Arial" w:hAnsi="Arial" w:cs="Arial"/>
                <w:b/>
                <w:bCs/>
                <w:sz w:val="16"/>
                <w:szCs w:val="16"/>
              </w:rPr>
            </w:pPr>
            <w:r w:rsidRPr="00CD5714">
              <w:rPr>
                <w:rFonts w:ascii="Arial" w:hAnsi="Arial" w:cs="Arial"/>
                <w:b/>
                <w:bCs/>
                <w:sz w:val="16"/>
                <w:szCs w:val="16"/>
                <w:lang w:val="en-GB"/>
              </w:rPr>
              <w:t>2024</w:t>
            </w:r>
          </w:p>
        </w:tc>
        <w:tc>
          <w:tcPr>
            <w:tcW w:w="792" w:type="dxa"/>
            <w:tcBorders>
              <w:top w:val="single" w:sz="4" w:space="0" w:color="auto"/>
              <w:bottom w:val="single" w:sz="4" w:space="0" w:color="auto"/>
            </w:tcBorders>
            <w:shd w:val="clear" w:color="auto" w:fill="auto"/>
          </w:tcPr>
          <w:p w14:paraId="2616EA94" w14:textId="6EA5A673" w:rsidR="004065BE" w:rsidRPr="002D2F67" w:rsidRDefault="00CD5714" w:rsidP="00D21F5E">
            <w:pPr>
              <w:widowControl w:val="0"/>
              <w:ind w:right="-72"/>
              <w:jc w:val="right"/>
              <w:rPr>
                <w:rFonts w:ascii="Arial" w:hAnsi="Arial" w:cs="Arial"/>
                <w:b/>
                <w:bCs/>
                <w:sz w:val="16"/>
                <w:szCs w:val="16"/>
              </w:rPr>
            </w:pPr>
            <w:r w:rsidRPr="00CD5714">
              <w:rPr>
                <w:rFonts w:ascii="Arial" w:hAnsi="Arial" w:cs="Arial"/>
                <w:b/>
                <w:bCs/>
                <w:sz w:val="16"/>
                <w:szCs w:val="16"/>
                <w:lang w:val="en-GB"/>
              </w:rPr>
              <w:t>2023</w:t>
            </w:r>
          </w:p>
        </w:tc>
        <w:tc>
          <w:tcPr>
            <w:tcW w:w="792" w:type="dxa"/>
            <w:tcBorders>
              <w:top w:val="single" w:sz="4" w:space="0" w:color="auto"/>
              <w:bottom w:val="single" w:sz="4" w:space="0" w:color="auto"/>
            </w:tcBorders>
            <w:shd w:val="clear" w:color="auto" w:fill="auto"/>
          </w:tcPr>
          <w:p w14:paraId="5831E3EA" w14:textId="327A017A" w:rsidR="004065BE" w:rsidRPr="002D2F67" w:rsidRDefault="00CD5714" w:rsidP="00D21F5E">
            <w:pPr>
              <w:widowControl w:val="0"/>
              <w:ind w:right="-72"/>
              <w:jc w:val="right"/>
              <w:rPr>
                <w:rFonts w:ascii="Arial" w:hAnsi="Arial" w:cs="Arial"/>
                <w:b/>
                <w:bCs/>
                <w:sz w:val="16"/>
                <w:szCs w:val="16"/>
              </w:rPr>
            </w:pPr>
            <w:r w:rsidRPr="00CD5714">
              <w:rPr>
                <w:rFonts w:ascii="Arial" w:hAnsi="Arial" w:cs="Arial"/>
                <w:b/>
                <w:bCs/>
                <w:sz w:val="16"/>
                <w:szCs w:val="16"/>
                <w:lang w:val="en-GB"/>
              </w:rPr>
              <w:t>2024</w:t>
            </w:r>
          </w:p>
        </w:tc>
        <w:tc>
          <w:tcPr>
            <w:tcW w:w="792" w:type="dxa"/>
            <w:tcBorders>
              <w:top w:val="single" w:sz="4" w:space="0" w:color="auto"/>
              <w:bottom w:val="single" w:sz="4" w:space="0" w:color="auto"/>
            </w:tcBorders>
            <w:shd w:val="clear" w:color="auto" w:fill="auto"/>
          </w:tcPr>
          <w:p w14:paraId="0D017209" w14:textId="74DE32C3" w:rsidR="004065BE" w:rsidRPr="002D2F67" w:rsidRDefault="00CD5714" w:rsidP="00D21F5E">
            <w:pPr>
              <w:widowControl w:val="0"/>
              <w:ind w:right="-72"/>
              <w:jc w:val="right"/>
              <w:rPr>
                <w:rFonts w:ascii="Arial" w:hAnsi="Arial" w:cs="Arial"/>
                <w:b/>
                <w:bCs/>
                <w:sz w:val="16"/>
                <w:szCs w:val="16"/>
              </w:rPr>
            </w:pPr>
            <w:r w:rsidRPr="00CD5714">
              <w:rPr>
                <w:rFonts w:ascii="Arial" w:hAnsi="Arial" w:cs="Arial"/>
                <w:b/>
                <w:bCs/>
                <w:sz w:val="16"/>
                <w:szCs w:val="16"/>
                <w:lang w:val="en-GB"/>
              </w:rPr>
              <w:t>2023</w:t>
            </w:r>
          </w:p>
        </w:tc>
        <w:tc>
          <w:tcPr>
            <w:tcW w:w="792" w:type="dxa"/>
            <w:tcBorders>
              <w:top w:val="single" w:sz="4" w:space="0" w:color="auto"/>
              <w:bottom w:val="single" w:sz="4" w:space="0" w:color="auto"/>
            </w:tcBorders>
            <w:shd w:val="clear" w:color="auto" w:fill="auto"/>
          </w:tcPr>
          <w:p w14:paraId="0B807793" w14:textId="04138651" w:rsidR="004065BE" w:rsidRPr="002D2F67" w:rsidRDefault="00CD5714" w:rsidP="00D21F5E">
            <w:pPr>
              <w:widowControl w:val="0"/>
              <w:ind w:right="-72"/>
              <w:jc w:val="right"/>
              <w:rPr>
                <w:rFonts w:ascii="Arial" w:hAnsi="Arial" w:cs="Arial"/>
                <w:b/>
                <w:bCs/>
                <w:sz w:val="16"/>
                <w:szCs w:val="16"/>
              </w:rPr>
            </w:pPr>
            <w:r w:rsidRPr="00CD5714">
              <w:rPr>
                <w:rFonts w:ascii="Arial" w:hAnsi="Arial" w:cs="Arial"/>
                <w:b/>
                <w:bCs/>
                <w:sz w:val="16"/>
                <w:szCs w:val="16"/>
                <w:lang w:val="en-GB"/>
              </w:rPr>
              <w:t>2024</w:t>
            </w:r>
          </w:p>
        </w:tc>
        <w:tc>
          <w:tcPr>
            <w:tcW w:w="792" w:type="dxa"/>
            <w:tcBorders>
              <w:top w:val="single" w:sz="4" w:space="0" w:color="auto"/>
              <w:bottom w:val="single" w:sz="4" w:space="0" w:color="auto"/>
            </w:tcBorders>
            <w:shd w:val="clear" w:color="auto" w:fill="auto"/>
          </w:tcPr>
          <w:p w14:paraId="5A77EDA2" w14:textId="57492531" w:rsidR="004065BE" w:rsidRPr="002D2F67" w:rsidRDefault="00CD5714" w:rsidP="00D21F5E">
            <w:pPr>
              <w:widowControl w:val="0"/>
              <w:ind w:right="-72"/>
              <w:jc w:val="right"/>
              <w:rPr>
                <w:rFonts w:ascii="Arial" w:hAnsi="Arial" w:cs="Arial"/>
                <w:b/>
                <w:bCs/>
                <w:sz w:val="16"/>
                <w:szCs w:val="16"/>
              </w:rPr>
            </w:pPr>
            <w:r w:rsidRPr="00CD5714">
              <w:rPr>
                <w:rFonts w:ascii="Arial" w:hAnsi="Arial" w:cs="Arial"/>
                <w:b/>
                <w:bCs/>
                <w:sz w:val="16"/>
                <w:szCs w:val="16"/>
                <w:lang w:val="en-GB"/>
              </w:rPr>
              <w:t>2023</w:t>
            </w:r>
          </w:p>
        </w:tc>
        <w:tc>
          <w:tcPr>
            <w:tcW w:w="792" w:type="dxa"/>
            <w:tcBorders>
              <w:top w:val="single" w:sz="4" w:space="0" w:color="auto"/>
              <w:bottom w:val="single" w:sz="4" w:space="0" w:color="auto"/>
            </w:tcBorders>
            <w:shd w:val="clear" w:color="auto" w:fill="auto"/>
          </w:tcPr>
          <w:p w14:paraId="45E458A3" w14:textId="3B21593F" w:rsidR="004065BE" w:rsidRPr="002D2F67" w:rsidRDefault="00CD5714" w:rsidP="00D21F5E">
            <w:pPr>
              <w:widowControl w:val="0"/>
              <w:ind w:right="-72"/>
              <w:jc w:val="right"/>
              <w:rPr>
                <w:rFonts w:ascii="Arial" w:hAnsi="Arial" w:cs="Arial"/>
                <w:b/>
                <w:bCs/>
                <w:sz w:val="16"/>
                <w:szCs w:val="16"/>
              </w:rPr>
            </w:pPr>
            <w:r w:rsidRPr="00CD5714">
              <w:rPr>
                <w:rFonts w:ascii="Arial" w:hAnsi="Arial" w:cs="Arial"/>
                <w:b/>
                <w:bCs/>
                <w:sz w:val="16"/>
                <w:szCs w:val="16"/>
                <w:lang w:val="en-GB"/>
              </w:rPr>
              <w:t>2024</w:t>
            </w:r>
          </w:p>
        </w:tc>
        <w:tc>
          <w:tcPr>
            <w:tcW w:w="792" w:type="dxa"/>
            <w:tcBorders>
              <w:top w:val="single" w:sz="4" w:space="0" w:color="auto"/>
              <w:bottom w:val="single" w:sz="4" w:space="0" w:color="auto"/>
            </w:tcBorders>
            <w:shd w:val="clear" w:color="auto" w:fill="auto"/>
          </w:tcPr>
          <w:p w14:paraId="6429378F" w14:textId="14216385" w:rsidR="004065BE" w:rsidRPr="002D2F67" w:rsidRDefault="00CD5714" w:rsidP="00D21F5E">
            <w:pPr>
              <w:widowControl w:val="0"/>
              <w:ind w:right="-72"/>
              <w:jc w:val="right"/>
              <w:rPr>
                <w:rFonts w:ascii="Arial" w:hAnsi="Arial" w:cs="Arial"/>
                <w:b/>
                <w:bCs/>
                <w:sz w:val="16"/>
                <w:szCs w:val="16"/>
              </w:rPr>
            </w:pPr>
            <w:r w:rsidRPr="00CD5714">
              <w:rPr>
                <w:rFonts w:ascii="Arial" w:hAnsi="Arial" w:cs="Arial"/>
                <w:b/>
                <w:bCs/>
                <w:sz w:val="16"/>
                <w:szCs w:val="16"/>
                <w:lang w:val="en-GB"/>
              </w:rPr>
              <w:t>2023</w:t>
            </w:r>
          </w:p>
        </w:tc>
        <w:tc>
          <w:tcPr>
            <w:tcW w:w="792" w:type="dxa"/>
            <w:tcBorders>
              <w:top w:val="single" w:sz="4" w:space="0" w:color="auto"/>
              <w:bottom w:val="single" w:sz="4" w:space="0" w:color="auto"/>
            </w:tcBorders>
            <w:shd w:val="clear" w:color="auto" w:fill="auto"/>
          </w:tcPr>
          <w:p w14:paraId="1C455AB1" w14:textId="30AC1C13" w:rsidR="004065BE" w:rsidRPr="002D2F67" w:rsidRDefault="00CD5714" w:rsidP="00D21F5E">
            <w:pPr>
              <w:widowControl w:val="0"/>
              <w:ind w:right="-72"/>
              <w:jc w:val="right"/>
              <w:rPr>
                <w:rFonts w:ascii="Arial" w:hAnsi="Arial" w:cs="Arial"/>
                <w:b/>
                <w:bCs/>
                <w:sz w:val="16"/>
                <w:szCs w:val="16"/>
              </w:rPr>
            </w:pPr>
            <w:r w:rsidRPr="00CD5714">
              <w:rPr>
                <w:rFonts w:ascii="Arial" w:hAnsi="Arial" w:cs="Arial"/>
                <w:b/>
                <w:bCs/>
                <w:sz w:val="16"/>
                <w:szCs w:val="16"/>
                <w:lang w:val="en-GB"/>
              </w:rPr>
              <w:t>2024</w:t>
            </w:r>
          </w:p>
        </w:tc>
        <w:tc>
          <w:tcPr>
            <w:tcW w:w="792" w:type="dxa"/>
            <w:tcBorders>
              <w:top w:val="single" w:sz="4" w:space="0" w:color="auto"/>
              <w:bottom w:val="single" w:sz="4" w:space="0" w:color="auto"/>
            </w:tcBorders>
            <w:shd w:val="clear" w:color="auto" w:fill="auto"/>
          </w:tcPr>
          <w:p w14:paraId="2BB507CD" w14:textId="224A321D" w:rsidR="004065BE" w:rsidRPr="002D2F67" w:rsidRDefault="00CD5714" w:rsidP="00D21F5E">
            <w:pPr>
              <w:widowControl w:val="0"/>
              <w:ind w:right="-72"/>
              <w:jc w:val="right"/>
              <w:rPr>
                <w:rFonts w:ascii="Arial" w:hAnsi="Arial" w:cs="Arial"/>
                <w:b/>
                <w:bCs/>
                <w:sz w:val="16"/>
                <w:szCs w:val="16"/>
              </w:rPr>
            </w:pPr>
            <w:r w:rsidRPr="00CD5714">
              <w:rPr>
                <w:rFonts w:ascii="Arial" w:hAnsi="Arial" w:cs="Arial"/>
                <w:b/>
                <w:bCs/>
                <w:sz w:val="16"/>
                <w:szCs w:val="16"/>
                <w:lang w:val="en-GB"/>
              </w:rPr>
              <w:t>2023</w:t>
            </w:r>
          </w:p>
        </w:tc>
        <w:tc>
          <w:tcPr>
            <w:tcW w:w="792" w:type="dxa"/>
            <w:tcBorders>
              <w:top w:val="single" w:sz="4" w:space="0" w:color="auto"/>
              <w:bottom w:val="single" w:sz="4" w:space="0" w:color="auto"/>
            </w:tcBorders>
            <w:shd w:val="clear" w:color="auto" w:fill="auto"/>
          </w:tcPr>
          <w:p w14:paraId="5AF91298" w14:textId="70842BC7" w:rsidR="004065BE" w:rsidRPr="002D2F67" w:rsidRDefault="00CD5714" w:rsidP="00D21F5E">
            <w:pPr>
              <w:widowControl w:val="0"/>
              <w:ind w:right="-72"/>
              <w:jc w:val="right"/>
              <w:rPr>
                <w:rFonts w:ascii="Arial" w:hAnsi="Arial" w:cs="Arial"/>
                <w:b/>
                <w:bCs/>
                <w:sz w:val="16"/>
                <w:szCs w:val="16"/>
              </w:rPr>
            </w:pPr>
            <w:r w:rsidRPr="00CD5714">
              <w:rPr>
                <w:rFonts w:ascii="Arial" w:hAnsi="Arial" w:cs="Arial"/>
                <w:b/>
                <w:bCs/>
                <w:sz w:val="16"/>
                <w:szCs w:val="16"/>
                <w:lang w:val="en-GB"/>
              </w:rPr>
              <w:t>2024</w:t>
            </w:r>
          </w:p>
        </w:tc>
        <w:tc>
          <w:tcPr>
            <w:tcW w:w="792" w:type="dxa"/>
            <w:tcBorders>
              <w:top w:val="single" w:sz="4" w:space="0" w:color="auto"/>
              <w:bottom w:val="single" w:sz="4" w:space="0" w:color="auto"/>
            </w:tcBorders>
            <w:shd w:val="clear" w:color="auto" w:fill="auto"/>
          </w:tcPr>
          <w:p w14:paraId="204B4A3B" w14:textId="7D0056EB" w:rsidR="004065BE" w:rsidRPr="002D2F67" w:rsidRDefault="00CD5714" w:rsidP="00D21F5E">
            <w:pPr>
              <w:widowControl w:val="0"/>
              <w:ind w:right="-72"/>
              <w:jc w:val="right"/>
              <w:rPr>
                <w:rFonts w:ascii="Arial" w:hAnsi="Arial" w:cs="Arial"/>
                <w:b/>
                <w:bCs/>
                <w:sz w:val="16"/>
                <w:szCs w:val="16"/>
              </w:rPr>
            </w:pPr>
            <w:r w:rsidRPr="00CD5714">
              <w:rPr>
                <w:rFonts w:ascii="Arial" w:hAnsi="Arial" w:cs="Arial"/>
                <w:b/>
                <w:bCs/>
                <w:sz w:val="16"/>
                <w:szCs w:val="16"/>
                <w:lang w:val="en-GB"/>
              </w:rPr>
              <w:t>2023</w:t>
            </w:r>
          </w:p>
        </w:tc>
        <w:tc>
          <w:tcPr>
            <w:tcW w:w="792" w:type="dxa"/>
            <w:tcBorders>
              <w:top w:val="single" w:sz="4" w:space="0" w:color="auto"/>
              <w:bottom w:val="single" w:sz="4" w:space="0" w:color="auto"/>
            </w:tcBorders>
            <w:shd w:val="clear" w:color="auto" w:fill="auto"/>
          </w:tcPr>
          <w:p w14:paraId="036B7A53" w14:textId="54D4ED17" w:rsidR="004065BE" w:rsidRPr="002D2F67" w:rsidRDefault="00CD5714" w:rsidP="00D21F5E">
            <w:pPr>
              <w:widowControl w:val="0"/>
              <w:ind w:right="-72"/>
              <w:jc w:val="right"/>
              <w:rPr>
                <w:rFonts w:ascii="Arial" w:hAnsi="Arial" w:cs="Arial"/>
                <w:b/>
                <w:bCs/>
                <w:sz w:val="16"/>
                <w:szCs w:val="16"/>
              </w:rPr>
            </w:pPr>
            <w:r w:rsidRPr="00CD5714">
              <w:rPr>
                <w:rFonts w:ascii="Arial" w:hAnsi="Arial" w:cs="Arial"/>
                <w:b/>
                <w:bCs/>
                <w:sz w:val="16"/>
                <w:szCs w:val="16"/>
                <w:lang w:val="en-GB"/>
              </w:rPr>
              <w:t>2024</w:t>
            </w:r>
          </w:p>
        </w:tc>
        <w:tc>
          <w:tcPr>
            <w:tcW w:w="792" w:type="dxa"/>
            <w:tcBorders>
              <w:top w:val="single" w:sz="4" w:space="0" w:color="auto"/>
              <w:bottom w:val="single" w:sz="4" w:space="0" w:color="auto"/>
            </w:tcBorders>
            <w:shd w:val="clear" w:color="auto" w:fill="auto"/>
          </w:tcPr>
          <w:p w14:paraId="4D40812B" w14:textId="301CD666" w:rsidR="004065BE" w:rsidRPr="002D2F67" w:rsidRDefault="00CD5714" w:rsidP="00D21F5E">
            <w:pPr>
              <w:widowControl w:val="0"/>
              <w:ind w:right="-72"/>
              <w:jc w:val="right"/>
              <w:rPr>
                <w:rFonts w:ascii="Arial" w:hAnsi="Arial" w:cs="Arial"/>
                <w:b/>
                <w:bCs/>
                <w:sz w:val="16"/>
                <w:szCs w:val="16"/>
              </w:rPr>
            </w:pPr>
            <w:r w:rsidRPr="00CD5714">
              <w:rPr>
                <w:rFonts w:ascii="Arial" w:hAnsi="Arial" w:cs="Arial"/>
                <w:b/>
                <w:bCs/>
                <w:sz w:val="16"/>
                <w:szCs w:val="16"/>
                <w:lang w:val="en-GB"/>
              </w:rPr>
              <w:t>2023</w:t>
            </w:r>
          </w:p>
        </w:tc>
        <w:tc>
          <w:tcPr>
            <w:tcW w:w="792" w:type="dxa"/>
            <w:tcBorders>
              <w:top w:val="single" w:sz="4" w:space="0" w:color="auto"/>
              <w:bottom w:val="single" w:sz="4" w:space="0" w:color="auto"/>
            </w:tcBorders>
          </w:tcPr>
          <w:p w14:paraId="3EA81F3F" w14:textId="7E4F0B3C" w:rsidR="004065BE" w:rsidRPr="002D2F67" w:rsidRDefault="00CD5714" w:rsidP="00D21F5E">
            <w:pPr>
              <w:widowControl w:val="0"/>
              <w:ind w:right="-72"/>
              <w:jc w:val="right"/>
              <w:rPr>
                <w:rFonts w:ascii="Arial" w:hAnsi="Arial" w:cs="Arial"/>
                <w:b/>
                <w:bCs/>
                <w:sz w:val="16"/>
                <w:szCs w:val="16"/>
              </w:rPr>
            </w:pPr>
            <w:r w:rsidRPr="00CD5714">
              <w:rPr>
                <w:rFonts w:ascii="Arial" w:hAnsi="Arial" w:cs="Arial"/>
                <w:b/>
                <w:bCs/>
                <w:sz w:val="16"/>
                <w:szCs w:val="16"/>
                <w:lang w:val="en-GB"/>
              </w:rPr>
              <w:t>2024</w:t>
            </w:r>
          </w:p>
        </w:tc>
        <w:tc>
          <w:tcPr>
            <w:tcW w:w="792" w:type="dxa"/>
            <w:tcBorders>
              <w:top w:val="single" w:sz="4" w:space="0" w:color="auto"/>
              <w:bottom w:val="single" w:sz="4" w:space="0" w:color="auto"/>
            </w:tcBorders>
          </w:tcPr>
          <w:p w14:paraId="52C37872" w14:textId="5949C310" w:rsidR="004065BE" w:rsidRPr="002D2F67" w:rsidRDefault="00CD5714" w:rsidP="00D21F5E">
            <w:pPr>
              <w:widowControl w:val="0"/>
              <w:ind w:right="-72"/>
              <w:jc w:val="right"/>
              <w:rPr>
                <w:rFonts w:ascii="Arial" w:hAnsi="Arial" w:cs="Arial"/>
                <w:b/>
                <w:bCs/>
                <w:sz w:val="16"/>
                <w:szCs w:val="16"/>
              </w:rPr>
            </w:pPr>
            <w:r w:rsidRPr="00CD5714">
              <w:rPr>
                <w:rFonts w:ascii="Arial" w:hAnsi="Arial" w:cs="Arial"/>
                <w:b/>
                <w:bCs/>
                <w:sz w:val="16"/>
                <w:szCs w:val="16"/>
                <w:lang w:val="en-GB"/>
              </w:rPr>
              <w:t>2023</w:t>
            </w:r>
          </w:p>
        </w:tc>
      </w:tr>
      <w:tr w:rsidR="004065BE" w:rsidRPr="002D2F67" w14:paraId="52FF652E" w14:textId="77777777" w:rsidTr="002D2F67">
        <w:trPr>
          <w:trHeight w:val="47"/>
        </w:trPr>
        <w:tc>
          <w:tcPr>
            <w:tcW w:w="3168" w:type="dxa"/>
          </w:tcPr>
          <w:p w14:paraId="3AA9ACF7" w14:textId="77777777" w:rsidR="004065BE" w:rsidRPr="002D2F67" w:rsidRDefault="004065BE" w:rsidP="00706C8B">
            <w:pPr>
              <w:ind w:left="30"/>
              <w:rPr>
                <w:rFonts w:ascii="Arial" w:hAnsi="Arial" w:cs="Arial"/>
                <w:sz w:val="16"/>
                <w:szCs w:val="16"/>
              </w:rPr>
            </w:pPr>
          </w:p>
        </w:tc>
        <w:tc>
          <w:tcPr>
            <w:tcW w:w="792" w:type="dxa"/>
            <w:tcBorders>
              <w:top w:val="single" w:sz="4" w:space="0" w:color="auto"/>
            </w:tcBorders>
            <w:shd w:val="clear" w:color="auto" w:fill="auto"/>
          </w:tcPr>
          <w:p w14:paraId="1A5D56A6" w14:textId="77777777" w:rsidR="004065BE" w:rsidRPr="002D2F67" w:rsidRDefault="004065BE" w:rsidP="00D21F5E">
            <w:pPr>
              <w:widowControl w:val="0"/>
              <w:ind w:left="-64" w:right="-72"/>
              <w:jc w:val="right"/>
              <w:rPr>
                <w:rFonts w:ascii="Arial" w:hAnsi="Arial" w:cs="Arial"/>
                <w:b/>
                <w:bCs/>
                <w:sz w:val="16"/>
                <w:szCs w:val="16"/>
                <w:cs/>
              </w:rPr>
            </w:pPr>
          </w:p>
        </w:tc>
        <w:tc>
          <w:tcPr>
            <w:tcW w:w="792" w:type="dxa"/>
            <w:tcBorders>
              <w:top w:val="single" w:sz="4" w:space="0" w:color="auto"/>
            </w:tcBorders>
            <w:shd w:val="clear" w:color="auto" w:fill="auto"/>
          </w:tcPr>
          <w:p w14:paraId="09D1ECC2" w14:textId="77777777" w:rsidR="004065BE" w:rsidRPr="002D2F67" w:rsidRDefault="004065BE" w:rsidP="00D21F5E">
            <w:pPr>
              <w:widowControl w:val="0"/>
              <w:ind w:left="-64" w:right="-72"/>
              <w:jc w:val="right"/>
              <w:rPr>
                <w:rFonts w:ascii="Arial" w:hAnsi="Arial" w:cs="Arial"/>
                <w:b/>
                <w:bCs/>
                <w:sz w:val="16"/>
                <w:szCs w:val="16"/>
                <w:cs/>
              </w:rPr>
            </w:pPr>
          </w:p>
        </w:tc>
        <w:tc>
          <w:tcPr>
            <w:tcW w:w="792" w:type="dxa"/>
            <w:tcBorders>
              <w:top w:val="single" w:sz="4" w:space="0" w:color="auto"/>
            </w:tcBorders>
            <w:shd w:val="clear" w:color="auto" w:fill="auto"/>
            <w:vAlign w:val="bottom"/>
          </w:tcPr>
          <w:p w14:paraId="557488C5" w14:textId="77777777" w:rsidR="004065BE" w:rsidRPr="002D2F67" w:rsidRDefault="004065BE" w:rsidP="00D21F5E">
            <w:pPr>
              <w:widowControl w:val="0"/>
              <w:ind w:left="-64" w:right="-72"/>
              <w:jc w:val="right"/>
              <w:rPr>
                <w:rFonts w:ascii="Arial" w:hAnsi="Arial" w:cs="Arial"/>
                <w:b/>
                <w:bCs/>
                <w:sz w:val="16"/>
                <w:szCs w:val="16"/>
                <w:cs/>
              </w:rPr>
            </w:pPr>
          </w:p>
        </w:tc>
        <w:tc>
          <w:tcPr>
            <w:tcW w:w="792" w:type="dxa"/>
            <w:tcBorders>
              <w:top w:val="single" w:sz="4" w:space="0" w:color="auto"/>
            </w:tcBorders>
            <w:shd w:val="clear" w:color="auto" w:fill="auto"/>
            <w:vAlign w:val="bottom"/>
          </w:tcPr>
          <w:p w14:paraId="72AFD38B" w14:textId="77777777" w:rsidR="004065BE" w:rsidRPr="002D2F67" w:rsidRDefault="004065BE" w:rsidP="00D21F5E">
            <w:pPr>
              <w:widowControl w:val="0"/>
              <w:ind w:left="-64" w:right="-72"/>
              <w:jc w:val="right"/>
              <w:rPr>
                <w:rFonts w:ascii="Arial" w:hAnsi="Arial" w:cs="Arial"/>
                <w:b/>
                <w:bCs/>
                <w:sz w:val="16"/>
                <w:szCs w:val="16"/>
                <w:cs/>
              </w:rPr>
            </w:pPr>
          </w:p>
        </w:tc>
        <w:tc>
          <w:tcPr>
            <w:tcW w:w="792" w:type="dxa"/>
            <w:tcBorders>
              <w:top w:val="single" w:sz="4" w:space="0" w:color="auto"/>
            </w:tcBorders>
            <w:shd w:val="clear" w:color="auto" w:fill="auto"/>
            <w:vAlign w:val="bottom"/>
          </w:tcPr>
          <w:p w14:paraId="5E535D80" w14:textId="77777777" w:rsidR="004065BE" w:rsidRPr="002D2F67" w:rsidRDefault="004065BE" w:rsidP="00D21F5E">
            <w:pPr>
              <w:widowControl w:val="0"/>
              <w:ind w:left="-64" w:right="-72"/>
              <w:jc w:val="right"/>
              <w:rPr>
                <w:rFonts w:ascii="Arial" w:hAnsi="Arial" w:cs="Arial"/>
                <w:b/>
                <w:bCs/>
                <w:sz w:val="16"/>
                <w:szCs w:val="16"/>
                <w:cs/>
              </w:rPr>
            </w:pPr>
          </w:p>
        </w:tc>
        <w:tc>
          <w:tcPr>
            <w:tcW w:w="792" w:type="dxa"/>
            <w:tcBorders>
              <w:top w:val="single" w:sz="4" w:space="0" w:color="auto"/>
            </w:tcBorders>
            <w:shd w:val="clear" w:color="auto" w:fill="auto"/>
            <w:vAlign w:val="bottom"/>
          </w:tcPr>
          <w:p w14:paraId="3F36E7D1" w14:textId="77777777" w:rsidR="004065BE" w:rsidRPr="002D2F67" w:rsidRDefault="004065BE" w:rsidP="00D21F5E">
            <w:pPr>
              <w:widowControl w:val="0"/>
              <w:ind w:left="-64" w:right="-72"/>
              <w:jc w:val="right"/>
              <w:rPr>
                <w:rFonts w:ascii="Arial" w:hAnsi="Arial" w:cs="Arial"/>
                <w:b/>
                <w:bCs/>
                <w:sz w:val="16"/>
                <w:szCs w:val="16"/>
                <w:cs/>
              </w:rPr>
            </w:pPr>
          </w:p>
        </w:tc>
        <w:tc>
          <w:tcPr>
            <w:tcW w:w="792" w:type="dxa"/>
            <w:tcBorders>
              <w:top w:val="single" w:sz="4" w:space="0" w:color="auto"/>
            </w:tcBorders>
            <w:shd w:val="clear" w:color="auto" w:fill="auto"/>
            <w:vAlign w:val="bottom"/>
          </w:tcPr>
          <w:p w14:paraId="3868217B" w14:textId="77777777" w:rsidR="004065BE" w:rsidRPr="002D2F67" w:rsidRDefault="004065BE" w:rsidP="00D21F5E">
            <w:pPr>
              <w:widowControl w:val="0"/>
              <w:ind w:left="-64" w:right="-72"/>
              <w:jc w:val="right"/>
              <w:rPr>
                <w:rFonts w:ascii="Arial" w:hAnsi="Arial" w:cs="Arial"/>
                <w:b/>
                <w:bCs/>
                <w:sz w:val="16"/>
                <w:szCs w:val="16"/>
                <w:cs/>
              </w:rPr>
            </w:pPr>
          </w:p>
        </w:tc>
        <w:tc>
          <w:tcPr>
            <w:tcW w:w="792" w:type="dxa"/>
            <w:tcBorders>
              <w:top w:val="single" w:sz="4" w:space="0" w:color="auto"/>
            </w:tcBorders>
            <w:shd w:val="clear" w:color="auto" w:fill="auto"/>
            <w:vAlign w:val="bottom"/>
          </w:tcPr>
          <w:p w14:paraId="0DD93C62" w14:textId="77777777" w:rsidR="004065BE" w:rsidRPr="002D2F67" w:rsidRDefault="004065BE" w:rsidP="00D21F5E">
            <w:pPr>
              <w:widowControl w:val="0"/>
              <w:ind w:left="-64" w:right="-72"/>
              <w:jc w:val="right"/>
              <w:rPr>
                <w:rFonts w:ascii="Arial" w:hAnsi="Arial" w:cs="Arial"/>
                <w:b/>
                <w:bCs/>
                <w:sz w:val="16"/>
                <w:szCs w:val="16"/>
                <w:cs/>
              </w:rPr>
            </w:pPr>
          </w:p>
        </w:tc>
        <w:tc>
          <w:tcPr>
            <w:tcW w:w="792" w:type="dxa"/>
            <w:tcBorders>
              <w:top w:val="single" w:sz="4" w:space="0" w:color="auto"/>
            </w:tcBorders>
            <w:shd w:val="clear" w:color="auto" w:fill="auto"/>
            <w:vAlign w:val="bottom"/>
          </w:tcPr>
          <w:p w14:paraId="61EE4721" w14:textId="77777777" w:rsidR="004065BE" w:rsidRPr="002D2F67" w:rsidRDefault="004065BE" w:rsidP="00D21F5E">
            <w:pPr>
              <w:widowControl w:val="0"/>
              <w:ind w:left="-64" w:right="-72"/>
              <w:jc w:val="right"/>
              <w:rPr>
                <w:rFonts w:ascii="Arial" w:hAnsi="Arial" w:cs="Arial"/>
                <w:b/>
                <w:bCs/>
                <w:sz w:val="16"/>
                <w:szCs w:val="16"/>
                <w:cs/>
              </w:rPr>
            </w:pPr>
          </w:p>
        </w:tc>
        <w:tc>
          <w:tcPr>
            <w:tcW w:w="792" w:type="dxa"/>
            <w:tcBorders>
              <w:top w:val="single" w:sz="4" w:space="0" w:color="auto"/>
            </w:tcBorders>
            <w:shd w:val="clear" w:color="auto" w:fill="auto"/>
            <w:vAlign w:val="bottom"/>
          </w:tcPr>
          <w:p w14:paraId="0D2B9A6D" w14:textId="77777777" w:rsidR="004065BE" w:rsidRPr="002D2F67" w:rsidRDefault="004065BE" w:rsidP="00D21F5E">
            <w:pPr>
              <w:widowControl w:val="0"/>
              <w:ind w:left="-64" w:right="-72"/>
              <w:jc w:val="right"/>
              <w:rPr>
                <w:rFonts w:ascii="Arial" w:hAnsi="Arial" w:cs="Arial"/>
                <w:b/>
                <w:bCs/>
                <w:sz w:val="16"/>
                <w:szCs w:val="16"/>
                <w:cs/>
              </w:rPr>
            </w:pPr>
          </w:p>
        </w:tc>
        <w:tc>
          <w:tcPr>
            <w:tcW w:w="792" w:type="dxa"/>
            <w:tcBorders>
              <w:top w:val="single" w:sz="4" w:space="0" w:color="auto"/>
            </w:tcBorders>
            <w:shd w:val="clear" w:color="auto" w:fill="auto"/>
            <w:vAlign w:val="bottom"/>
          </w:tcPr>
          <w:p w14:paraId="5CD00E7A" w14:textId="77777777" w:rsidR="004065BE" w:rsidRPr="002D2F67" w:rsidRDefault="004065BE" w:rsidP="00D21F5E">
            <w:pPr>
              <w:widowControl w:val="0"/>
              <w:ind w:left="-64" w:right="-72"/>
              <w:jc w:val="right"/>
              <w:rPr>
                <w:rFonts w:ascii="Arial" w:hAnsi="Arial" w:cs="Arial"/>
                <w:b/>
                <w:bCs/>
                <w:sz w:val="16"/>
                <w:szCs w:val="16"/>
                <w:cs/>
              </w:rPr>
            </w:pPr>
          </w:p>
        </w:tc>
        <w:tc>
          <w:tcPr>
            <w:tcW w:w="792" w:type="dxa"/>
            <w:tcBorders>
              <w:top w:val="single" w:sz="4" w:space="0" w:color="auto"/>
            </w:tcBorders>
            <w:shd w:val="clear" w:color="auto" w:fill="auto"/>
            <w:vAlign w:val="bottom"/>
          </w:tcPr>
          <w:p w14:paraId="34C85814" w14:textId="77777777" w:rsidR="004065BE" w:rsidRPr="002D2F67" w:rsidRDefault="004065BE" w:rsidP="00D21F5E">
            <w:pPr>
              <w:widowControl w:val="0"/>
              <w:ind w:left="-64" w:right="-72"/>
              <w:jc w:val="right"/>
              <w:rPr>
                <w:rFonts w:ascii="Arial" w:hAnsi="Arial" w:cs="Arial"/>
                <w:b/>
                <w:bCs/>
                <w:sz w:val="16"/>
                <w:szCs w:val="16"/>
                <w:cs/>
              </w:rPr>
            </w:pPr>
          </w:p>
        </w:tc>
        <w:tc>
          <w:tcPr>
            <w:tcW w:w="792" w:type="dxa"/>
            <w:tcBorders>
              <w:top w:val="single" w:sz="4" w:space="0" w:color="auto"/>
            </w:tcBorders>
            <w:shd w:val="clear" w:color="auto" w:fill="auto"/>
            <w:vAlign w:val="bottom"/>
          </w:tcPr>
          <w:p w14:paraId="04E7D77A" w14:textId="77777777" w:rsidR="004065BE" w:rsidRPr="002D2F67" w:rsidRDefault="004065BE" w:rsidP="00D21F5E">
            <w:pPr>
              <w:widowControl w:val="0"/>
              <w:ind w:left="-64" w:right="-72"/>
              <w:jc w:val="right"/>
              <w:rPr>
                <w:rFonts w:ascii="Arial" w:hAnsi="Arial" w:cs="Arial"/>
                <w:b/>
                <w:bCs/>
                <w:sz w:val="16"/>
                <w:szCs w:val="16"/>
                <w:cs/>
              </w:rPr>
            </w:pPr>
          </w:p>
        </w:tc>
        <w:tc>
          <w:tcPr>
            <w:tcW w:w="792" w:type="dxa"/>
            <w:tcBorders>
              <w:top w:val="single" w:sz="4" w:space="0" w:color="auto"/>
            </w:tcBorders>
            <w:shd w:val="clear" w:color="auto" w:fill="auto"/>
            <w:vAlign w:val="bottom"/>
          </w:tcPr>
          <w:p w14:paraId="4D421F7D" w14:textId="77777777" w:rsidR="004065BE" w:rsidRPr="002D2F67" w:rsidRDefault="004065BE" w:rsidP="00D21F5E">
            <w:pPr>
              <w:widowControl w:val="0"/>
              <w:ind w:left="-64" w:right="-72"/>
              <w:jc w:val="right"/>
              <w:rPr>
                <w:rFonts w:ascii="Arial" w:hAnsi="Arial" w:cs="Arial"/>
                <w:b/>
                <w:bCs/>
                <w:sz w:val="16"/>
                <w:szCs w:val="16"/>
                <w:cs/>
              </w:rPr>
            </w:pPr>
          </w:p>
        </w:tc>
        <w:tc>
          <w:tcPr>
            <w:tcW w:w="792" w:type="dxa"/>
            <w:tcBorders>
              <w:top w:val="single" w:sz="4" w:space="0" w:color="auto"/>
            </w:tcBorders>
            <w:shd w:val="clear" w:color="auto" w:fill="auto"/>
            <w:vAlign w:val="bottom"/>
          </w:tcPr>
          <w:p w14:paraId="7CBED2C7" w14:textId="77777777" w:rsidR="004065BE" w:rsidRPr="002D2F67" w:rsidRDefault="004065BE" w:rsidP="00D21F5E">
            <w:pPr>
              <w:widowControl w:val="0"/>
              <w:ind w:left="-64" w:right="-72"/>
              <w:jc w:val="right"/>
              <w:rPr>
                <w:rFonts w:ascii="Arial" w:hAnsi="Arial" w:cs="Arial"/>
                <w:b/>
                <w:bCs/>
                <w:sz w:val="16"/>
                <w:szCs w:val="16"/>
                <w:cs/>
              </w:rPr>
            </w:pPr>
          </w:p>
        </w:tc>
        <w:tc>
          <w:tcPr>
            <w:tcW w:w="792" w:type="dxa"/>
            <w:tcBorders>
              <w:top w:val="single" w:sz="4" w:space="0" w:color="auto"/>
            </w:tcBorders>
            <w:shd w:val="clear" w:color="auto" w:fill="auto"/>
            <w:vAlign w:val="bottom"/>
          </w:tcPr>
          <w:p w14:paraId="3FA90A5D" w14:textId="77777777" w:rsidR="004065BE" w:rsidRPr="002D2F67" w:rsidRDefault="004065BE" w:rsidP="00D21F5E">
            <w:pPr>
              <w:widowControl w:val="0"/>
              <w:ind w:left="-64" w:right="-72"/>
              <w:jc w:val="right"/>
              <w:rPr>
                <w:rFonts w:ascii="Arial" w:hAnsi="Arial" w:cs="Arial"/>
                <w:b/>
                <w:bCs/>
                <w:sz w:val="16"/>
                <w:szCs w:val="16"/>
                <w:cs/>
              </w:rPr>
            </w:pPr>
          </w:p>
        </w:tc>
      </w:tr>
      <w:tr w:rsidR="004065BE" w:rsidRPr="002D2F67" w14:paraId="7A387F33" w14:textId="77777777" w:rsidTr="002D2F67">
        <w:trPr>
          <w:trHeight w:val="131"/>
        </w:trPr>
        <w:tc>
          <w:tcPr>
            <w:tcW w:w="3168" w:type="dxa"/>
          </w:tcPr>
          <w:p w14:paraId="2AD975EC" w14:textId="77777777" w:rsidR="004065BE" w:rsidRPr="002D2F67" w:rsidRDefault="004065BE" w:rsidP="00706C8B">
            <w:pPr>
              <w:widowControl w:val="0"/>
              <w:ind w:left="30" w:right="-76"/>
              <w:contextualSpacing/>
              <w:rPr>
                <w:rFonts w:ascii="Arial" w:hAnsi="Arial" w:cs="Arial"/>
                <w:sz w:val="16"/>
                <w:szCs w:val="16"/>
              </w:rPr>
            </w:pPr>
            <w:r w:rsidRPr="002D2F67">
              <w:rPr>
                <w:rFonts w:ascii="Arial" w:hAnsi="Arial" w:cs="Arial"/>
                <w:sz w:val="16"/>
                <w:szCs w:val="16"/>
              </w:rPr>
              <w:t>Revenue from sales and services</w:t>
            </w:r>
          </w:p>
        </w:tc>
        <w:tc>
          <w:tcPr>
            <w:tcW w:w="792" w:type="dxa"/>
            <w:shd w:val="clear" w:color="auto" w:fill="auto"/>
            <w:vAlign w:val="bottom"/>
          </w:tcPr>
          <w:p w14:paraId="738D9AE6" w14:textId="77777777" w:rsidR="004065BE" w:rsidRPr="002D2F67" w:rsidRDefault="004065BE" w:rsidP="00D21F5E">
            <w:pPr>
              <w:widowControl w:val="0"/>
              <w:ind w:left="-64" w:right="-72"/>
              <w:contextualSpacing/>
              <w:jc w:val="right"/>
              <w:rPr>
                <w:rFonts w:ascii="Arial" w:hAnsi="Arial" w:cs="Arial"/>
                <w:sz w:val="16"/>
                <w:szCs w:val="16"/>
              </w:rPr>
            </w:pPr>
          </w:p>
        </w:tc>
        <w:tc>
          <w:tcPr>
            <w:tcW w:w="792" w:type="dxa"/>
            <w:shd w:val="clear" w:color="auto" w:fill="auto"/>
            <w:vAlign w:val="bottom"/>
          </w:tcPr>
          <w:p w14:paraId="1A7C644A" w14:textId="77777777" w:rsidR="004065BE" w:rsidRPr="002D2F67" w:rsidRDefault="004065BE" w:rsidP="00D21F5E">
            <w:pPr>
              <w:widowControl w:val="0"/>
              <w:ind w:left="-64" w:right="-72"/>
              <w:contextualSpacing/>
              <w:jc w:val="right"/>
              <w:rPr>
                <w:rFonts w:ascii="Arial" w:hAnsi="Arial" w:cs="Arial"/>
                <w:sz w:val="16"/>
                <w:szCs w:val="16"/>
              </w:rPr>
            </w:pPr>
          </w:p>
        </w:tc>
        <w:tc>
          <w:tcPr>
            <w:tcW w:w="792" w:type="dxa"/>
            <w:shd w:val="clear" w:color="auto" w:fill="auto"/>
            <w:vAlign w:val="bottom"/>
          </w:tcPr>
          <w:p w14:paraId="312032BE" w14:textId="77777777" w:rsidR="004065BE" w:rsidRPr="002D2F67" w:rsidRDefault="004065BE" w:rsidP="00D21F5E">
            <w:pPr>
              <w:widowControl w:val="0"/>
              <w:ind w:left="-64" w:right="-72"/>
              <w:contextualSpacing/>
              <w:jc w:val="right"/>
              <w:rPr>
                <w:rFonts w:ascii="Arial" w:hAnsi="Arial" w:cs="Arial"/>
                <w:sz w:val="16"/>
                <w:szCs w:val="16"/>
              </w:rPr>
            </w:pPr>
          </w:p>
        </w:tc>
        <w:tc>
          <w:tcPr>
            <w:tcW w:w="792" w:type="dxa"/>
            <w:shd w:val="clear" w:color="auto" w:fill="auto"/>
            <w:vAlign w:val="bottom"/>
          </w:tcPr>
          <w:p w14:paraId="3B475DEB" w14:textId="77777777" w:rsidR="004065BE" w:rsidRPr="002D2F67" w:rsidRDefault="004065BE" w:rsidP="00D21F5E">
            <w:pPr>
              <w:ind w:left="-64" w:right="-72"/>
              <w:contextualSpacing/>
              <w:jc w:val="right"/>
              <w:rPr>
                <w:rFonts w:ascii="Arial" w:hAnsi="Arial" w:cs="Arial"/>
                <w:sz w:val="16"/>
                <w:szCs w:val="16"/>
              </w:rPr>
            </w:pPr>
          </w:p>
        </w:tc>
        <w:tc>
          <w:tcPr>
            <w:tcW w:w="792" w:type="dxa"/>
            <w:shd w:val="clear" w:color="auto" w:fill="auto"/>
            <w:vAlign w:val="bottom"/>
          </w:tcPr>
          <w:p w14:paraId="3BEAD15F" w14:textId="77777777" w:rsidR="004065BE" w:rsidRPr="002D2F67" w:rsidRDefault="004065BE" w:rsidP="00D21F5E">
            <w:pPr>
              <w:ind w:left="-64" w:right="-72"/>
              <w:contextualSpacing/>
              <w:jc w:val="right"/>
              <w:rPr>
                <w:rFonts w:ascii="Arial" w:hAnsi="Arial" w:cs="Arial"/>
                <w:sz w:val="16"/>
                <w:szCs w:val="16"/>
              </w:rPr>
            </w:pPr>
          </w:p>
        </w:tc>
        <w:tc>
          <w:tcPr>
            <w:tcW w:w="792" w:type="dxa"/>
            <w:shd w:val="clear" w:color="auto" w:fill="auto"/>
            <w:vAlign w:val="bottom"/>
          </w:tcPr>
          <w:p w14:paraId="3A6EEA8D" w14:textId="77777777" w:rsidR="004065BE" w:rsidRPr="002D2F67" w:rsidRDefault="004065BE" w:rsidP="00D21F5E">
            <w:pPr>
              <w:ind w:left="-64" w:right="-72"/>
              <w:contextualSpacing/>
              <w:jc w:val="right"/>
              <w:rPr>
                <w:rFonts w:ascii="Arial" w:hAnsi="Arial" w:cs="Arial"/>
                <w:sz w:val="16"/>
                <w:szCs w:val="16"/>
              </w:rPr>
            </w:pPr>
          </w:p>
        </w:tc>
        <w:tc>
          <w:tcPr>
            <w:tcW w:w="792" w:type="dxa"/>
            <w:shd w:val="clear" w:color="auto" w:fill="auto"/>
            <w:vAlign w:val="bottom"/>
          </w:tcPr>
          <w:p w14:paraId="4C28F02C" w14:textId="77777777" w:rsidR="004065BE" w:rsidRPr="002D2F67" w:rsidRDefault="004065BE" w:rsidP="00D21F5E">
            <w:pPr>
              <w:ind w:left="-64" w:right="-72"/>
              <w:contextualSpacing/>
              <w:jc w:val="right"/>
              <w:rPr>
                <w:rFonts w:ascii="Arial" w:hAnsi="Arial" w:cs="Arial"/>
                <w:sz w:val="16"/>
                <w:szCs w:val="16"/>
              </w:rPr>
            </w:pPr>
          </w:p>
        </w:tc>
        <w:tc>
          <w:tcPr>
            <w:tcW w:w="792" w:type="dxa"/>
            <w:shd w:val="clear" w:color="auto" w:fill="auto"/>
            <w:vAlign w:val="bottom"/>
          </w:tcPr>
          <w:p w14:paraId="5992B6BA" w14:textId="77777777" w:rsidR="004065BE" w:rsidRPr="002D2F67" w:rsidRDefault="004065BE" w:rsidP="00D21F5E">
            <w:pPr>
              <w:ind w:left="-64" w:right="-72"/>
              <w:contextualSpacing/>
              <w:jc w:val="right"/>
              <w:rPr>
                <w:rFonts w:ascii="Arial" w:hAnsi="Arial" w:cs="Arial"/>
                <w:sz w:val="16"/>
                <w:szCs w:val="16"/>
              </w:rPr>
            </w:pPr>
          </w:p>
        </w:tc>
        <w:tc>
          <w:tcPr>
            <w:tcW w:w="792" w:type="dxa"/>
            <w:shd w:val="clear" w:color="auto" w:fill="auto"/>
            <w:vAlign w:val="bottom"/>
          </w:tcPr>
          <w:p w14:paraId="6C78E93D" w14:textId="77777777" w:rsidR="004065BE" w:rsidRPr="002D2F67" w:rsidRDefault="004065BE" w:rsidP="00D21F5E">
            <w:pPr>
              <w:ind w:left="-64" w:right="-72"/>
              <w:contextualSpacing/>
              <w:jc w:val="right"/>
              <w:rPr>
                <w:rFonts w:ascii="Arial" w:hAnsi="Arial" w:cs="Arial"/>
                <w:sz w:val="16"/>
                <w:szCs w:val="16"/>
              </w:rPr>
            </w:pPr>
          </w:p>
        </w:tc>
        <w:tc>
          <w:tcPr>
            <w:tcW w:w="792" w:type="dxa"/>
            <w:shd w:val="clear" w:color="auto" w:fill="auto"/>
            <w:vAlign w:val="bottom"/>
          </w:tcPr>
          <w:p w14:paraId="7598CA09" w14:textId="77777777" w:rsidR="004065BE" w:rsidRPr="002D2F67" w:rsidRDefault="004065BE" w:rsidP="00D21F5E">
            <w:pPr>
              <w:ind w:left="-64" w:right="-72"/>
              <w:contextualSpacing/>
              <w:jc w:val="right"/>
              <w:rPr>
                <w:rFonts w:ascii="Arial" w:hAnsi="Arial" w:cs="Arial"/>
                <w:sz w:val="16"/>
                <w:szCs w:val="16"/>
              </w:rPr>
            </w:pPr>
          </w:p>
        </w:tc>
        <w:tc>
          <w:tcPr>
            <w:tcW w:w="792" w:type="dxa"/>
            <w:shd w:val="clear" w:color="auto" w:fill="auto"/>
            <w:vAlign w:val="bottom"/>
          </w:tcPr>
          <w:p w14:paraId="018BA54C" w14:textId="77777777" w:rsidR="004065BE" w:rsidRPr="002D2F67" w:rsidRDefault="004065BE" w:rsidP="00D21F5E">
            <w:pPr>
              <w:ind w:left="-64" w:right="-72"/>
              <w:contextualSpacing/>
              <w:jc w:val="right"/>
              <w:rPr>
                <w:rFonts w:ascii="Arial" w:hAnsi="Arial" w:cs="Arial"/>
                <w:sz w:val="16"/>
                <w:szCs w:val="16"/>
              </w:rPr>
            </w:pPr>
          </w:p>
        </w:tc>
        <w:tc>
          <w:tcPr>
            <w:tcW w:w="792" w:type="dxa"/>
            <w:shd w:val="clear" w:color="auto" w:fill="auto"/>
            <w:vAlign w:val="bottom"/>
          </w:tcPr>
          <w:p w14:paraId="655108FB" w14:textId="77777777" w:rsidR="004065BE" w:rsidRPr="002D2F67" w:rsidRDefault="004065BE" w:rsidP="00D21F5E">
            <w:pPr>
              <w:ind w:left="-64" w:right="-72"/>
              <w:contextualSpacing/>
              <w:jc w:val="right"/>
              <w:rPr>
                <w:rFonts w:ascii="Arial" w:hAnsi="Arial" w:cs="Arial"/>
                <w:sz w:val="16"/>
                <w:szCs w:val="16"/>
              </w:rPr>
            </w:pPr>
          </w:p>
        </w:tc>
        <w:tc>
          <w:tcPr>
            <w:tcW w:w="792" w:type="dxa"/>
            <w:shd w:val="clear" w:color="auto" w:fill="auto"/>
            <w:vAlign w:val="bottom"/>
          </w:tcPr>
          <w:p w14:paraId="70D2841C" w14:textId="77777777" w:rsidR="004065BE" w:rsidRPr="002D2F67" w:rsidRDefault="004065BE" w:rsidP="00D21F5E">
            <w:pPr>
              <w:ind w:left="-64" w:right="-72"/>
              <w:contextualSpacing/>
              <w:jc w:val="right"/>
              <w:rPr>
                <w:rFonts w:ascii="Arial" w:hAnsi="Arial" w:cs="Arial"/>
                <w:sz w:val="16"/>
                <w:szCs w:val="16"/>
              </w:rPr>
            </w:pPr>
          </w:p>
        </w:tc>
        <w:tc>
          <w:tcPr>
            <w:tcW w:w="792" w:type="dxa"/>
            <w:shd w:val="clear" w:color="auto" w:fill="auto"/>
            <w:vAlign w:val="bottom"/>
          </w:tcPr>
          <w:p w14:paraId="5723264C" w14:textId="77777777" w:rsidR="004065BE" w:rsidRPr="002D2F67" w:rsidRDefault="004065BE" w:rsidP="00D21F5E">
            <w:pPr>
              <w:ind w:left="-64" w:right="-72"/>
              <w:contextualSpacing/>
              <w:jc w:val="right"/>
              <w:rPr>
                <w:rFonts w:ascii="Arial" w:hAnsi="Arial" w:cs="Arial"/>
                <w:sz w:val="16"/>
                <w:szCs w:val="16"/>
              </w:rPr>
            </w:pPr>
          </w:p>
        </w:tc>
        <w:tc>
          <w:tcPr>
            <w:tcW w:w="792" w:type="dxa"/>
            <w:shd w:val="clear" w:color="auto" w:fill="auto"/>
            <w:vAlign w:val="bottom"/>
          </w:tcPr>
          <w:p w14:paraId="7A8122D3" w14:textId="77777777" w:rsidR="004065BE" w:rsidRPr="002D2F67" w:rsidRDefault="004065BE" w:rsidP="00D21F5E">
            <w:pPr>
              <w:ind w:left="-64" w:right="-72"/>
              <w:contextualSpacing/>
              <w:jc w:val="right"/>
              <w:rPr>
                <w:rFonts w:ascii="Arial" w:hAnsi="Arial" w:cs="Arial"/>
                <w:sz w:val="16"/>
                <w:szCs w:val="16"/>
              </w:rPr>
            </w:pPr>
          </w:p>
        </w:tc>
        <w:tc>
          <w:tcPr>
            <w:tcW w:w="792" w:type="dxa"/>
            <w:shd w:val="clear" w:color="auto" w:fill="auto"/>
            <w:vAlign w:val="bottom"/>
          </w:tcPr>
          <w:p w14:paraId="4721E419" w14:textId="77777777" w:rsidR="004065BE" w:rsidRPr="002D2F67" w:rsidRDefault="004065BE" w:rsidP="00D21F5E">
            <w:pPr>
              <w:ind w:left="-64" w:right="-72"/>
              <w:contextualSpacing/>
              <w:jc w:val="right"/>
              <w:rPr>
                <w:rFonts w:ascii="Arial" w:hAnsi="Arial" w:cs="Arial"/>
                <w:sz w:val="16"/>
                <w:szCs w:val="16"/>
              </w:rPr>
            </w:pPr>
          </w:p>
        </w:tc>
      </w:tr>
      <w:tr w:rsidR="004065BE" w:rsidRPr="002D2F67" w14:paraId="6A9BE809" w14:textId="77777777" w:rsidTr="002D2F67">
        <w:trPr>
          <w:trHeight w:val="131"/>
        </w:trPr>
        <w:tc>
          <w:tcPr>
            <w:tcW w:w="3168" w:type="dxa"/>
          </w:tcPr>
          <w:p w14:paraId="6474CBD9" w14:textId="77777777" w:rsidR="004065BE" w:rsidRPr="002D2F67" w:rsidRDefault="004065BE" w:rsidP="00706C8B">
            <w:pPr>
              <w:widowControl w:val="0"/>
              <w:ind w:left="30" w:right="-76"/>
              <w:contextualSpacing/>
              <w:rPr>
                <w:rFonts w:ascii="Arial" w:hAnsi="Arial" w:cs="Arial"/>
                <w:sz w:val="16"/>
                <w:szCs w:val="16"/>
              </w:rPr>
            </w:pPr>
            <w:r w:rsidRPr="002D2F67">
              <w:rPr>
                <w:rFonts w:ascii="Arial" w:hAnsi="Arial" w:cs="Arial"/>
                <w:sz w:val="16"/>
                <w:szCs w:val="16"/>
              </w:rPr>
              <w:t xml:space="preserve">  -  Segment revenue</w:t>
            </w:r>
          </w:p>
        </w:tc>
        <w:tc>
          <w:tcPr>
            <w:tcW w:w="792" w:type="dxa"/>
            <w:shd w:val="clear" w:color="auto" w:fill="auto"/>
            <w:vAlign w:val="bottom"/>
          </w:tcPr>
          <w:p w14:paraId="6FBD3BA4" w14:textId="24E24ABD" w:rsidR="004065BE" w:rsidRPr="002D2F67" w:rsidRDefault="00CD5714" w:rsidP="00D21F5E">
            <w:pPr>
              <w:widowControl w:val="0"/>
              <w:ind w:left="-64" w:right="-72"/>
              <w:contextualSpacing/>
              <w:jc w:val="right"/>
              <w:rPr>
                <w:rFonts w:ascii="Arial" w:hAnsi="Arial" w:cs="Arial"/>
                <w:sz w:val="16"/>
                <w:szCs w:val="16"/>
              </w:rPr>
            </w:pPr>
            <w:r w:rsidRPr="00CD5714">
              <w:rPr>
                <w:rFonts w:ascii="Arial" w:hAnsi="Arial" w:cs="Arial"/>
                <w:sz w:val="16"/>
                <w:szCs w:val="16"/>
                <w:lang w:val="en-GB"/>
              </w:rPr>
              <w:t>3</w:t>
            </w:r>
            <w:r w:rsidR="004065BE" w:rsidRPr="002D2F67">
              <w:rPr>
                <w:rFonts w:ascii="Arial" w:hAnsi="Arial" w:cs="Arial"/>
                <w:sz w:val="16"/>
                <w:szCs w:val="16"/>
              </w:rPr>
              <w:t>,</w:t>
            </w:r>
            <w:r w:rsidRPr="00CD5714">
              <w:rPr>
                <w:rFonts w:ascii="Arial" w:hAnsi="Arial" w:cs="Arial"/>
                <w:sz w:val="16"/>
                <w:szCs w:val="16"/>
                <w:lang w:val="en-GB"/>
              </w:rPr>
              <w:t>660</w:t>
            </w:r>
          </w:p>
        </w:tc>
        <w:tc>
          <w:tcPr>
            <w:tcW w:w="792" w:type="dxa"/>
            <w:shd w:val="clear" w:color="auto" w:fill="auto"/>
            <w:vAlign w:val="bottom"/>
          </w:tcPr>
          <w:p w14:paraId="49A5ED6D" w14:textId="7776EF67" w:rsidR="004065BE" w:rsidRPr="002D2F67" w:rsidRDefault="00CD5714" w:rsidP="00D21F5E">
            <w:pPr>
              <w:widowControl w:val="0"/>
              <w:ind w:left="-64" w:right="-72"/>
              <w:contextualSpacing/>
              <w:jc w:val="right"/>
              <w:rPr>
                <w:rFonts w:ascii="Arial" w:hAnsi="Arial" w:cs="Arial"/>
                <w:sz w:val="16"/>
                <w:szCs w:val="16"/>
              </w:rPr>
            </w:pPr>
            <w:r w:rsidRPr="00CD5714">
              <w:rPr>
                <w:rFonts w:ascii="Arial" w:hAnsi="Arial" w:cs="Arial"/>
                <w:sz w:val="16"/>
                <w:szCs w:val="16"/>
                <w:lang w:val="en-GB"/>
              </w:rPr>
              <w:t>5</w:t>
            </w:r>
            <w:r w:rsidR="009832F4" w:rsidRPr="002D2F67">
              <w:rPr>
                <w:rFonts w:ascii="Arial" w:hAnsi="Arial" w:cs="Arial"/>
                <w:sz w:val="16"/>
                <w:szCs w:val="16"/>
              </w:rPr>
              <w:t>,</w:t>
            </w:r>
            <w:r w:rsidRPr="00CD5714">
              <w:rPr>
                <w:rFonts w:ascii="Arial" w:hAnsi="Arial" w:cs="Arial"/>
                <w:sz w:val="16"/>
                <w:szCs w:val="16"/>
                <w:lang w:val="en-GB"/>
              </w:rPr>
              <w:t>034</w:t>
            </w:r>
          </w:p>
        </w:tc>
        <w:tc>
          <w:tcPr>
            <w:tcW w:w="792" w:type="dxa"/>
            <w:shd w:val="clear" w:color="auto" w:fill="auto"/>
            <w:vAlign w:val="bottom"/>
          </w:tcPr>
          <w:p w14:paraId="7D924955" w14:textId="4C1FD8E7" w:rsidR="004065BE" w:rsidRPr="002D2F67" w:rsidRDefault="00CD5714" w:rsidP="00D21F5E">
            <w:pPr>
              <w:widowControl w:val="0"/>
              <w:ind w:left="-64" w:right="-72"/>
              <w:contextualSpacing/>
              <w:jc w:val="right"/>
              <w:rPr>
                <w:rFonts w:ascii="Arial" w:hAnsi="Arial" w:cs="Arial"/>
                <w:sz w:val="16"/>
                <w:szCs w:val="16"/>
              </w:rPr>
            </w:pPr>
            <w:r w:rsidRPr="00CD5714">
              <w:rPr>
                <w:rFonts w:ascii="Arial" w:hAnsi="Arial" w:cs="Arial"/>
                <w:sz w:val="16"/>
                <w:szCs w:val="16"/>
                <w:lang w:val="en-GB"/>
              </w:rPr>
              <w:t>10</w:t>
            </w:r>
            <w:r w:rsidR="00765943" w:rsidRPr="002D2F67">
              <w:rPr>
                <w:rFonts w:ascii="Arial" w:hAnsi="Arial" w:cs="Arial"/>
                <w:sz w:val="16"/>
                <w:szCs w:val="16"/>
              </w:rPr>
              <w:t>,</w:t>
            </w:r>
            <w:r w:rsidRPr="00CD5714">
              <w:rPr>
                <w:rFonts w:ascii="Arial" w:hAnsi="Arial" w:cs="Arial"/>
                <w:sz w:val="16"/>
                <w:szCs w:val="16"/>
                <w:lang w:val="en-GB"/>
              </w:rPr>
              <w:t>630</w:t>
            </w:r>
          </w:p>
        </w:tc>
        <w:tc>
          <w:tcPr>
            <w:tcW w:w="792" w:type="dxa"/>
            <w:shd w:val="clear" w:color="auto" w:fill="auto"/>
            <w:vAlign w:val="bottom"/>
          </w:tcPr>
          <w:p w14:paraId="701440CE" w14:textId="227F6AA3"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12</w:t>
            </w:r>
            <w:r w:rsidR="00765943" w:rsidRPr="002D2F67">
              <w:rPr>
                <w:rFonts w:ascii="Arial" w:hAnsi="Arial" w:cs="Arial"/>
                <w:sz w:val="16"/>
                <w:szCs w:val="16"/>
              </w:rPr>
              <w:t>,</w:t>
            </w:r>
            <w:r w:rsidRPr="00CD5714">
              <w:rPr>
                <w:rFonts w:ascii="Arial" w:hAnsi="Arial" w:cs="Arial"/>
                <w:sz w:val="16"/>
                <w:szCs w:val="16"/>
                <w:lang w:val="en-GB"/>
              </w:rPr>
              <w:t>729</w:t>
            </w:r>
          </w:p>
        </w:tc>
        <w:tc>
          <w:tcPr>
            <w:tcW w:w="792" w:type="dxa"/>
            <w:shd w:val="clear" w:color="auto" w:fill="auto"/>
            <w:vAlign w:val="bottom"/>
          </w:tcPr>
          <w:p w14:paraId="540713A6" w14:textId="78F1DB78"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2</w:t>
            </w:r>
            <w:r w:rsidR="001F3B11" w:rsidRPr="002D2F67">
              <w:rPr>
                <w:rFonts w:ascii="Arial" w:hAnsi="Arial" w:cs="Arial"/>
                <w:sz w:val="16"/>
                <w:szCs w:val="16"/>
              </w:rPr>
              <w:t>,</w:t>
            </w:r>
            <w:r w:rsidRPr="00CD5714">
              <w:rPr>
                <w:rFonts w:ascii="Arial" w:hAnsi="Arial" w:cs="Arial"/>
                <w:sz w:val="16"/>
                <w:szCs w:val="16"/>
                <w:lang w:val="en-GB"/>
              </w:rPr>
              <w:t>600</w:t>
            </w:r>
          </w:p>
        </w:tc>
        <w:tc>
          <w:tcPr>
            <w:tcW w:w="792" w:type="dxa"/>
            <w:shd w:val="clear" w:color="auto" w:fill="auto"/>
            <w:vAlign w:val="bottom"/>
          </w:tcPr>
          <w:p w14:paraId="2E89A80A" w14:textId="784285DA"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11</w:t>
            </w:r>
            <w:r w:rsidR="002C7850" w:rsidRPr="002D2F67">
              <w:rPr>
                <w:rFonts w:ascii="Arial" w:hAnsi="Arial" w:cs="Arial"/>
                <w:sz w:val="16"/>
                <w:szCs w:val="16"/>
              </w:rPr>
              <w:t>,</w:t>
            </w:r>
            <w:r w:rsidRPr="00CD5714">
              <w:rPr>
                <w:rFonts w:ascii="Arial" w:hAnsi="Arial" w:cs="Arial"/>
                <w:sz w:val="16"/>
                <w:szCs w:val="16"/>
                <w:lang w:val="en-GB"/>
              </w:rPr>
              <w:t>364</w:t>
            </w:r>
          </w:p>
        </w:tc>
        <w:tc>
          <w:tcPr>
            <w:tcW w:w="792" w:type="dxa"/>
            <w:shd w:val="clear" w:color="auto" w:fill="auto"/>
            <w:vAlign w:val="bottom"/>
          </w:tcPr>
          <w:p w14:paraId="72004E36" w14:textId="428A3453"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102</w:t>
            </w:r>
          </w:p>
        </w:tc>
        <w:tc>
          <w:tcPr>
            <w:tcW w:w="792" w:type="dxa"/>
            <w:shd w:val="clear" w:color="auto" w:fill="auto"/>
            <w:vAlign w:val="bottom"/>
          </w:tcPr>
          <w:p w14:paraId="10C571DE" w14:textId="31EA602B"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244</w:t>
            </w:r>
          </w:p>
        </w:tc>
        <w:tc>
          <w:tcPr>
            <w:tcW w:w="792" w:type="dxa"/>
            <w:shd w:val="clear" w:color="auto" w:fill="auto"/>
            <w:vAlign w:val="bottom"/>
          </w:tcPr>
          <w:p w14:paraId="01AE1C0E" w14:textId="14B14E96"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1</w:t>
            </w:r>
            <w:r w:rsidR="00C06EB8" w:rsidRPr="002D2F67">
              <w:rPr>
                <w:rFonts w:ascii="Arial" w:hAnsi="Arial" w:cs="Arial"/>
                <w:sz w:val="16"/>
                <w:szCs w:val="16"/>
              </w:rPr>
              <w:t>,</w:t>
            </w:r>
            <w:r w:rsidRPr="00CD5714">
              <w:rPr>
                <w:rFonts w:ascii="Arial" w:hAnsi="Arial" w:cs="Arial"/>
                <w:sz w:val="16"/>
                <w:szCs w:val="16"/>
                <w:lang w:val="en-GB"/>
              </w:rPr>
              <w:t>135</w:t>
            </w:r>
          </w:p>
        </w:tc>
        <w:tc>
          <w:tcPr>
            <w:tcW w:w="792" w:type="dxa"/>
            <w:shd w:val="clear" w:color="auto" w:fill="auto"/>
            <w:vAlign w:val="bottom"/>
          </w:tcPr>
          <w:p w14:paraId="0F7706BA" w14:textId="18047C4B"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704</w:t>
            </w:r>
          </w:p>
        </w:tc>
        <w:tc>
          <w:tcPr>
            <w:tcW w:w="792" w:type="dxa"/>
            <w:shd w:val="clear" w:color="auto" w:fill="auto"/>
            <w:vAlign w:val="bottom"/>
          </w:tcPr>
          <w:p w14:paraId="6449C58B" w14:textId="57BF9D12" w:rsidR="004065BE" w:rsidRPr="002D2F67" w:rsidRDefault="00BE4773"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7D2C4A45" w14:textId="6CF995FA" w:rsidR="004065BE" w:rsidRPr="002D2F67" w:rsidRDefault="00BE4773"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272A4509" w14:textId="3DFB7AE0" w:rsidR="004065BE" w:rsidRPr="002D2F67" w:rsidRDefault="008829BE"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1BA72970" w14:textId="73A5C24E" w:rsidR="004065BE" w:rsidRPr="002D2F67" w:rsidRDefault="000862CA"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76ED65E1" w14:textId="46853AFC"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18</w:t>
            </w:r>
            <w:r w:rsidR="00A27D7C" w:rsidRPr="002D2F67">
              <w:rPr>
                <w:rFonts w:ascii="Arial" w:hAnsi="Arial" w:cs="Arial"/>
                <w:sz w:val="16"/>
                <w:szCs w:val="16"/>
              </w:rPr>
              <w:t>,</w:t>
            </w:r>
            <w:r w:rsidRPr="00CD5714">
              <w:rPr>
                <w:rFonts w:ascii="Arial" w:hAnsi="Arial" w:cs="Arial"/>
                <w:sz w:val="16"/>
                <w:szCs w:val="16"/>
                <w:lang w:val="en-GB"/>
              </w:rPr>
              <w:t>127</w:t>
            </w:r>
          </w:p>
        </w:tc>
        <w:tc>
          <w:tcPr>
            <w:tcW w:w="792" w:type="dxa"/>
            <w:shd w:val="clear" w:color="auto" w:fill="auto"/>
            <w:vAlign w:val="bottom"/>
          </w:tcPr>
          <w:p w14:paraId="0C6A71C9" w14:textId="32C79580"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30</w:t>
            </w:r>
            <w:r w:rsidR="00971897" w:rsidRPr="002D2F67">
              <w:rPr>
                <w:rFonts w:ascii="Arial" w:hAnsi="Arial" w:cs="Arial"/>
                <w:sz w:val="16"/>
                <w:szCs w:val="16"/>
              </w:rPr>
              <w:t>,</w:t>
            </w:r>
            <w:r w:rsidRPr="00CD5714">
              <w:rPr>
                <w:rFonts w:ascii="Arial" w:hAnsi="Arial" w:cs="Arial"/>
                <w:sz w:val="16"/>
                <w:szCs w:val="16"/>
                <w:lang w:val="en-GB"/>
              </w:rPr>
              <w:t>075</w:t>
            </w:r>
          </w:p>
        </w:tc>
      </w:tr>
      <w:tr w:rsidR="004065BE" w:rsidRPr="002D2F67" w14:paraId="22FA894B" w14:textId="77777777" w:rsidTr="002D2F67">
        <w:trPr>
          <w:trHeight w:val="131"/>
        </w:trPr>
        <w:tc>
          <w:tcPr>
            <w:tcW w:w="3168" w:type="dxa"/>
          </w:tcPr>
          <w:p w14:paraId="7A218E10" w14:textId="77777777" w:rsidR="004065BE" w:rsidRPr="002D2F67" w:rsidRDefault="004065BE" w:rsidP="00706C8B">
            <w:pPr>
              <w:widowControl w:val="0"/>
              <w:ind w:left="30" w:right="-76"/>
              <w:contextualSpacing/>
              <w:rPr>
                <w:rFonts w:ascii="Arial" w:hAnsi="Arial" w:cs="Arial"/>
                <w:sz w:val="16"/>
                <w:szCs w:val="16"/>
                <w:cs/>
                <w:lang w:val="en-AU"/>
              </w:rPr>
            </w:pPr>
            <w:r w:rsidRPr="002D2F67">
              <w:rPr>
                <w:rFonts w:ascii="Arial" w:hAnsi="Arial" w:cs="Arial"/>
                <w:sz w:val="16"/>
                <w:szCs w:val="16"/>
              </w:rPr>
              <w:t xml:space="preserve">  -  </w:t>
            </w:r>
            <w:r w:rsidRPr="002D2F67">
              <w:rPr>
                <w:rFonts w:ascii="Arial" w:hAnsi="Arial" w:cs="Arial"/>
                <w:sz w:val="16"/>
                <w:szCs w:val="16"/>
                <w:lang w:val="en-AU"/>
              </w:rPr>
              <w:t>Intersegment revenue</w:t>
            </w:r>
          </w:p>
        </w:tc>
        <w:tc>
          <w:tcPr>
            <w:tcW w:w="792" w:type="dxa"/>
            <w:shd w:val="clear" w:color="auto" w:fill="auto"/>
            <w:vAlign w:val="bottom"/>
          </w:tcPr>
          <w:p w14:paraId="7453F21F" w14:textId="17C495C0" w:rsidR="004065BE" w:rsidRPr="002D2F67" w:rsidRDefault="00CD5714" w:rsidP="00D21F5E">
            <w:pPr>
              <w:widowControl w:val="0"/>
              <w:ind w:left="-64" w:right="-72"/>
              <w:contextualSpacing/>
              <w:jc w:val="right"/>
              <w:rPr>
                <w:rFonts w:ascii="Arial" w:hAnsi="Arial" w:cs="Arial"/>
                <w:sz w:val="16"/>
                <w:szCs w:val="16"/>
              </w:rPr>
            </w:pPr>
            <w:r w:rsidRPr="00CD5714">
              <w:rPr>
                <w:rFonts w:ascii="Arial" w:hAnsi="Arial" w:cs="Arial"/>
                <w:sz w:val="16"/>
                <w:szCs w:val="16"/>
                <w:lang w:val="en-GB"/>
              </w:rPr>
              <w:t>75</w:t>
            </w:r>
          </w:p>
        </w:tc>
        <w:tc>
          <w:tcPr>
            <w:tcW w:w="792" w:type="dxa"/>
            <w:shd w:val="clear" w:color="auto" w:fill="auto"/>
            <w:vAlign w:val="bottom"/>
          </w:tcPr>
          <w:p w14:paraId="537C8845" w14:textId="067D9B6D" w:rsidR="004065BE" w:rsidRPr="002D2F67" w:rsidRDefault="00CD5714" w:rsidP="00D21F5E">
            <w:pPr>
              <w:widowControl w:val="0"/>
              <w:ind w:left="-64" w:right="-72"/>
              <w:contextualSpacing/>
              <w:jc w:val="right"/>
              <w:rPr>
                <w:rFonts w:ascii="Arial" w:hAnsi="Arial" w:cs="Arial"/>
                <w:sz w:val="16"/>
                <w:szCs w:val="16"/>
              </w:rPr>
            </w:pPr>
            <w:r w:rsidRPr="00CD5714">
              <w:rPr>
                <w:rFonts w:ascii="Arial" w:hAnsi="Arial" w:cs="Arial"/>
                <w:sz w:val="16"/>
                <w:szCs w:val="16"/>
                <w:lang w:val="en-GB"/>
              </w:rPr>
              <w:t>613</w:t>
            </w:r>
          </w:p>
        </w:tc>
        <w:tc>
          <w:tcPr>
            <w:tcW w:w="792" w:type="dxa"/>
            <w:shd w:val="clear" w:color="auto" w:fill="auto"/>
            <w:vAlign w:val="bottom"/>
          </w:tcPr>
          <w:p w14:paraId="6B84A664" w14:textId="78E4EB0A" w:rsidR="004065BE" w:rsidRPr="002D2F67" w:rsidRDefault="00765943" w:rsidP="00D21F5E">
            <w:pPr>
              <w:widowControl w:val="0"/>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5AF036AC" w14:textId="0119CBBC" w:rsidR="004065BE" w:rsidRPr="002D2F67" w:rsidRDefault="00765943"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4C6E5780" w14:textId="55A98A64" w:rsidR="004065BE" w:rsidRPr="002D2F67" w:rsidRDefault="001F3B11"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401F9C5F" w14:textId="5CCA1BF6"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13</w:t>
            </w:r>
          </w:p>
        </w:tc>
        <w:tc>
          <w:tcPr>
            <w:tcW w:w="792" w:type="dxa"/>
            <w:shd w:val="clear" w:color="auto" w:fill="auto"/>
            <w:vAlign w:val="bottom"/>
          </w:tcPr>
          <w:p w14:paraId="17BEBE4F" w14:textId="7FBAC053"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1</w:t>
            </w:r>
            <w:r w:rsidR="002C7850" w:rsidRPr="002D2F67">
              <w:rPr>
                <w:rFonts w:ascii="Arial" w:hAnsi="Arial" w:cs="Arial"/>
                <w:sz w:val="16"/>
                <w:szCs w:val="16"/>
              </w:rPr>
              <w:t>,</w:t>
            </w:r>
            <w:r w:rsidRPr="00CD5714">
              <w:rPr>
                <w:rFonts w:ascii="Arial" w:hAnsi="Arial" w:cs="Arial"/>
                <w:sz w:val="16"/>
                <w:szCs w:val="16"/>
                <w:lang w:val="en-GB"/>
              </w:rPr>
              <w:t>284</w:t>
            </w:r>
          </w:p>
        </w:tc>
        <w:tc>
          <w:tcPr>
            <w:tcW w:w="792" w:type="dxa"/>
            <w:shd w:val="clear" w:color="auto" w:fill="auto"/>
            <w:vAlign w:val="bottom"/>
          </w:tcPr>
          <w:p w14:paraId="0B978F5B" w14:textId="3B5ED554"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4</w:t>
            </w:r>
            <w:r w:rsidR="004539ED" w:rsidRPr="002D2F67">
              <w:rPr>
                <w:rFonts w:ascii="Arial" w:hAnsi="Arial" w:cs="Arial"/>
                <w:sz w:val="16"/>
                <w:szCs w:val="16"/>
              </w:rPr>
              <w:t>,</w:t>
            </w:r>
            <w:r w:rsidRPr="00CD5714">
              <w:rPr>
                <w:rFonts w:ascii="Arial" w:hAnsi="Arial" w:cs="Arial"/>
                <w:sz w:val="16"/>
                <w:szCs w:val="16"/>
                <w:lang w:val="en-GB"/>
              </w:rPr>
              <w:t>465</w:t>
            </w:r>
          </w:p>
        </w:tc>
        <w:tc>
          <w:tcPr>
            <w:tcW w:w="792" w:type="dxa"/>
            <w:shd w:val="clear" w:color="auto" w:fill="auto"/>
            <w:vAlign w:val="bottom"/>
          </w:tcPr>
          <w:p w14:paraId="50634171" w14:textId="43FCF964"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124</w:t>
            </w:r>
          </w:p>
        </w:tc>
        <w:tc>
          <w:tcPr>
            <w:tcW w:w="792" w:type="dxa"/>
            <w:shd w:val="clear" w:color="auto" w:fill="auto"/>
            <w:vAlign w:val="bottom"/>
          </w:tcPr>
          <w:p w14:paraId="0AD26C6A" w14:textId="1B788331"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111</w:t>
            </w:r>
          </w:p>
        </w:tc>
        <w:tc>
          <w:tcPr>
            <w:tcW w:w="792" w:type="dxa"/>
            <w:shd w:val="clear" w:color="auto" w:fill="auto"/>
            <w:vAlign w:val="bottom"/>
          </w:tcPr>
          <w:p w14:paraId="4595C240" w14:textId="3D9D60EB" w:rsidR="004065BE" w:rsidRPr="002D2F67" w:rsidRDefault="00BE4773"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1D49DD61" w14:textId="599BDF87" w:rsidR="004065BE" w:rsidRPr="002D2F67" w:rsidRDefault="00BE4773"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35BE9AB2" w14:textId="21B54613" w:rsidR="004065BE" w:rsidRPr="002D2F67" w:rsidRDefault="008829BE"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1</w:t>
            </w:r>
            <w:r w:rsidRPr="002D2F67">
              <w:rPr>
                <w:rFonts w:ascii="Arial" w:hAnsi="Arial" w:cs="Arial"/>
                <w:sz w:val="16"/>
                <w:szCs w:val="16"/>
              </w:rPr>
              <w:t>,</w:t>
            </w:r>
            <w:r w:rsidR="00CD5714" w:rsidRPr="00CD5714">
              <w:rPr>
                <w:rFonts w:ascii="Arial" w:hAnsi="Arial" w:cs="Arial"/>
                <w:sz w:val="16"/>
                <w:szCs w:val="16"/>
                <w:lang w:val="en-GB"/>
              </w:rPr>
              <w:t>483</w:t>
            </w:r>
            <w:r w:rsidRPr="002D2F67">
              <w:rPr>
                <w:rFonts w:ascii="Arial" w:hAnsi="Arial" w:cs="Arial"/>
                <w:sz w:val="16"/>
                <w:szCs w:val="16"/>
              </w:rPr>
              <w:t>)</w:t>
            </w:r>
          </w:p>
        </w:tc>
        <w:tc>
          <w:tcPr>
            <w:tcW w:w="792" w:type="dxa"/>
            <w:shd w:val="clear" w:color="auto" w:fill="auto"/>
            <w:vAlign w:val="bottom"/>
          </w:tcPr>
          <w:p w14:paraId="6C416AF0" w14:textId="683DB00A" w:rsidR="004065BE" w:rsidRPr="002D2F67" w:rsidRDefault="000862CA"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5</w:t>
            </w:r>
            <w:r w:rsidRPr="002D2F67">
              <w:rPr>
                <w:rFonts w:ascii="Arial" w:hAnsi="Arial" w:cs="Arial"/>
                <w:sz w:val="16"/>
                <w:szCs w:val="16"/>
              </w:rPr>
              <w:t>,</w:t>
            </w:r>
            <w:r w:rsidR="00CD5714" w:rsidRPr="00CD5714">
              <w:rPr>
                <w:rFonts w:ascii="Arial" w:hAnsi="Arial" w:cs="Arial"/>
                <w:sz w:val="16"/>
                <w:szCs w:val="16"/>
                <w:lang w:val="en-GB"/>
              </w:rPr>
              <w:t>202</w:t>
            </w:r>
            <w:r w:rsidRPr="002D2F67">
              <w:rPr>
                <w:rFonts w:ascii="Arial" w:hAnsi="Arial" w:cs="Arial"/>
                <w:sz w:val="16"/>
                <w:szCs w:val="16"/>
              </w:rPr>
              <w:t>)</w:t>
            </w:r>
          </w:p>
        </w:tc>
        <w:tc>
          <w:tcPr>
            <w:tcW w:w="792" w:type="dxa"/>
            <w:shd w:val="clear" w:color="auto" w:fill="auto"/>
            <w:vAlign w:val="bottom"/>
          </w:tcPr>
          <w:p w14:paraId="24B075F2" w14:textId="37D331CE" w:rsidR="004065BE" w:rsidRPr="002D2F67" w:rsidRDefault="00A27D7C"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20A98907" w14:textId="3C2A6AB4" w:rsidR="004065BE" w:rsidRPr="002D2F67" w:rsidRDefault="00971897" w:rsidP="00D21F5E">
            <w:pPr>
              <w:ind w:left="-64" w:right="-72"/>
              <w:contextualSpacing/>
              <w:jc w:val="right"/>
              <w:rPr>
                <w:rFonts w:ascii="Arial" w:hAnsi="Arial" w:cs="Arial"/>
                <w:sz w:val="16"/>
                <w:szCs w:val="16"/>
              </w:rPr>
            </w:pPr>
            <w:r w:rsidRPr="002D2F67">
              <w:rPr>
                <w:rFonts w:ascii="Arial" w:hAnsi="Arial" w:cs="Arial"/>
                <w:sz w:val="16"/>
                <w:szCs w:val="16"/>
              </w:rPr>
              <w:t>-</w:t>
            </w:r>
          </w:p>
        </w:tc>
      </w:tr>
      <w:tr w:rsidR="004065BE" w:rsidRPr="002D2F67" w14:paraId="06D096E9" w14:textId="77777777" w:rsidTr="002D2F67">
        <w:trPr>
          <w:trHeight w:val="131"/>
        </w:trPr>
        <w:tc>
          <w:tcPr>
            <w:tcW w:w="3168" w:type="dxa"/>
          </w:tcPr>
          <w:p w14:paraId="0071BB1F" w14:textId="77777777" w:rsidR="004065BE" w:rsidRPr="002D2F67" w:rsidRDefault="004065BE" w:rsidP="00706C8B">
            <w:pPr>
              <w:widowControl w:val="0"/>
              <w:ind w:left="30" w:right="-76"/>
              <w:contextualSpacing/>
              <w:rPr>
                <w:rFonts w:ascii="Arial" w:hAnsi="Arial" w:cs="Arial"/>
                <w:sz w:val="16"/>
                <w:szCs w:val="16"/>
              </w:rPr>
            </w:pPr>
            <w:r w:rsidRPr="002D2F67">
              <w:rPr>
                <w:rFonts w:ascii="Arial" w:hAnsi="Arial" w:cs="Arial"/>
                <w:sz w:val="16"/>
                <w:szCs w:val="16"/>
              </w:rPr>
              <w:t>Other segment revenue</w:t>
            </w:r>
          </w:p>
        </w:tc>
        <w:tc>
          <w:tcPr>
            <w:tcW w:w="792" w:type="dxa"/>
            <w:shd w:val="clear" w:color="auto" w:fill="auto"/>
            <w:vAlign w:val="bottom"/>
          </w:tcPr>
          <w:p w14:paraId="26244292" w14:textId="424C3E14" w:rsidR="004065BE" w:rsidRPr="002D2F67" w:rsidRDefault="004065BE" w:rsidP="00D21F5E">
            <w:pPr>
              <w:widowControl w:val="0"/>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581A9841" w14:textId="01F65212" w:rsidR="004065BE" w:rsidRPr="002D2F67" w:rsidRDefault="009832F4" w:rsidP="00D21F5E">
            <w:pPr>
              <w:widowControl w:val="0"/>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0F4FEA51" w14:textId="61B736FB" w:rsidR="004065BE" w:rsidRPr="002D2F67" w:rsidRDefault="00765943" w:rsidP="00D21F5E">
            <w:pPr>
              <w:widowControl w:val="0"/>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07DCE86A" w14:textId="4CC52F19" w:rsidR="004065BE" w:rsidRPr="002D2F67" w:rsidRDefault="00765943"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40CCECD2" w14:textId="43ACC2D9" w:rsidR="004065BE" w:rsidRPr="002D2F67" w:rsidRDefault="001F3B11"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10A6049E" w14:textId="55BBE6D5" w:rsidR="004065BE" w:rsidRPr="002D2F67" w:rsidRDefault="002C7850"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4C0BCA16" w14:textId="249357B7" w:rsidR="004065BE" w:rsidRPr="002D2F67" w:rsidRDefault="002C7850"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7B5479AB" w14:textId="4398D542" w:rsidR="004065BE" w:rsidRPr="002D2F67" w:rsidRDefault="004539ED"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72CC807E" w14:textId="593A0D48" w:rsidR="004065BE" w:rsidRPr="002D2F67" w:rsidRDefault="005C4548"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2A6A46DA" w14:textId="231C67DD" w:rsidR="004065BE" w:rsidRPr="002D2F67" w:rsidRDefault="00C06EB8"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4A2CF462" w14:textId="3C089FED"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6</w:t>
            </w:r>
            <w:r w:rsidR="00BE4773" w:rsidRPr="002D2F67">
              <w:rPr>
                <w:rFonts w:ascii="Arial" w:hAnsi="Arial" w:cs="Arial"/>
                <w:sz w:val="16"/>
                <w:szCs w:val="16"/>
              </w:rPr>
              <w:t>,</w:t>
            </w:r>
            <w:r w:rsidRPr="00CD5714">
              <w:rPr>
                <w:rFonts w:ascii="Arial" w:hAnsi="Arial" w:cs="Arial"/>
                <w:sz w:val="16"/>
                <w:szCs w:val="16"/>
                <w:lang w:val="en-GB"/>
              </w:rPr>
              <w:t>749</w:t>
            </w:r>
          </w:p>
        </w:tc>
        <w:tc>
          <w:tcPr>
            <w:tcW w:w="792" w:type="dxa"/>
            <w:shd w:val="clear" w:color="auto" w:fill="auto"/>
            <w:vAlign w:val="bottom"/>
          </w:tcPr>
          <w:p w14:paraId="39A82F9D" w14:textId="48B021AA"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23</w:t>
            </w:r>
            <w:r w:rsidR="00BE4773" w:rsidRPr="002D2F67">
              <w:rPr>
                <w:rFonts w:ascii="Arial" w:hAnsi="Arial" w:cs="Arial"/>
                <w:sz w:val="16"/>
                <w:szCs w:val="16"/>
              </w:rPr>
              <w:t>,</w:t>
            </w:r>
            <w:r w:rsidRPr="00CD5714">
              <w:rPr>
                <w:rFonts w:ascii="Arial" w:hAnsi="Arial" w:cs="Arial"/>
                <w:sz w:val="16"/>
                <w:szCs w:val="16"/>
                <w:lang w:val="en-GB"/>
              </w:rPr>
              <w:t>015</w:t>
            </w:r>
          </w:p>
        </w:tc>
        <w:tc>
          <w:tcPr>
            <w:tcW w:w="792" w:type="dxa"/>
            <w:shd w:val="clear" w:color="auto" w:fill="auto"/>
            <w:vAlign w:val="bottom"/>
          </w:tcPr>
          <w:p w14:paraId="043775FA" w14:textId="7D198D28" w:rsidR="004065BE" w:rsidRPr="002D2F67" w:rsidRDefault="008829BE"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6</w:t>
            </w:r>
            <w:r w:rsidRPr="002D2F67">
              <w:rPr>
                <w:rFonts w:ascii="Arial" w:hAnsi="Arial" w:cs="Arial"/>
                <w:sz w:val="16"/>
                <w:szCs w:val="16"/>
              </w:rPr>
              <w:t>,</w:t>
            </w:r>
            <w:r w:rsidR="00CD5714" w:rsidRPr="00CD5714">
              <w:rPr>
                <w:rFonts w:ascii="Arial" w:hAnsi="Arial" w:cs="Arial"/>
                <w:sz w:val="16"/>
                <w:szCs w:val="16"/>
                <w:lang w:val="en-GB"/>
              </w:rPr>
              <w:t>354</w:t>
            </w:r>
            <w:r w:rsidRPr="002D2F67">
              <w:rPr>
                <w:rFonts w:ascii="Arial" w:hAnsi="Arial" w:cs="Arial"/>
                <w:sz w:val="16"/>
                <w:szCs w:val="16"/>
              </w:rPr>
              <w:t>)</w:t>
            </w:r>
          </w:p>
        </w:tc>
        <w:tc>
          <w:tcPr>
            <w:tcW w:w="792" w:type="dxa"/>
            <w:shd w:val="clear" w:color="auto" w:fill="auto"/>
            <w:vAlign w:val="bottom"/>
          </w:tcPr>
          <w:p w14:paraId="5EB5A66D" w14:textId="48BB5CAC" w:rsidR="004065BE" w:rsidRPr="002D2F67" w:rsidRDefault="000862CA"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22</w:t>
            </w:r>
            <w:r w:rsidRPr="002D2F67">
              <w:rPr>
                <w:rFonts w:ascii="Arial" w:hAnsi="Arial" w:cs="Arial"/>
                <w:sz w:val="16"/>
                <w:szCs w:val="16"/>
              </w:rPr>
              <w:t>,</w:t>
            </w:r>
            <w:r w:rsidR="00CD5714" w:rsidRPr="00CD5714">
              <w:rPr>
                <w:rFonts w:ascii="Arial" w:hAnsi="Arial" w:cs="Arial"/>
                <w:sz w:val="16"/>
                <w:szCs w:val="16"/>
                <w:lang w:val="en-GB"/>
              </w:rPr>
              <w:t>682</w:t>
            </w:r>
            <w:r w:rsidRPr="002D2F67">
              <w:rPr>
                <w:rFonts w:ascii="Arial" w:hAnsi="Arial" w:cs="Arial"/>
                <w:sz w:val="16"/>
                <w:szCs w:val="16"/>
              </w:rPr>
              <w:t>)</w:t>
            </w:r>
          </w:p>
        </w:tc>
        <w:tc>
          <w:tcPr>
            <w:tcW w:w="792" w:type="dxa"/>
            <w:shd w:val="clear" w:color="auto" w:fill="auto"/>
            <w:vAlign w:val="bottom"/>
          </w:tcPr>
          <w:p w14:paraId="79BE7CAF" w14:textId="475CEF87"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395</w:t>
            </w:r>
          </w:p>
        </w:tc>
        <w:tc>
          <w:tcPr>
            <w:tcW w:w="792" w:type="dxa"/>
            <w:shd w:val="clear" w:color="auto" w:fill="auto"/>
            <w:vAlign w:val="bottom"/>
          </w:tcPr>
          <w:p w14:paraId="1BC244A8" w14:textId="27798EC3"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333</w:t>
            </w:r>
          </w:p>
        </w:tc>
      </w:tr>
      <w:tr w:rsidR="004065BE" w:rsidRPr="002D2F67" w14:paraId="781F8238" w14:textId="77777777" w:rsidTr="002D2F67">
        <w:trPr>
          <w:trHeight w:val="57"/>
        </w:trPr>
        <w:tc>
          <w:tcPr>
            <w:tcW w:w="3168" w:type="dxa"/>
          </w:tcPr>
          <w:p w14:paraId="0B3A0CC3" w14:textId="77777777" w:rsidR="004065BE" w:rsidRPr="002D2F67" w:rsidRDefault="004065BE" w:rsidP="00706C8B">
            <w:pPr>
              <w:widowControl w:val="0"/>
              <w:ind w:left="30" w:right="-76"/>
              <w:contextualSpacing/>
              <w:rPr>
                <w:rFonts w:ascii="Arial" w:hAnsi="Arial" w:cs="Arial"/>
                <w:sz w:val="16"/>
                <w:szCs w:val="16"/>
              </w:rPr>
            </w:pPr>
            <w:r w:rsidRPr="002D2F67">
              <w:rPr>
                <w:rFonts w:ascii="Arial" w:hAnsi="Arial" w:cs="Arial"/>
                <w:sz w:val="16"/>
                <w:szCs w:val="16"/>
              </w:rPr>
              <w:t xml:space="preserve">Gains from fair value measurement </w:t>
            </w:r>
          </w:p>
          <w:p w14:paraId="4D085D72" w14:textId="77777777" w:rsidR="004065BE" w:rsidRPr="002D2F67" w:rsidRDefault="004065BE" w:rsidP="00706C8B">
            <w:pPr>
              <w:widowControl w:val="0"/>
              <w:ind w:left="30" w:right="-76"/>
              <w:contextualSpacing/>
              <w:rPr>
                <w:rFonts w:ascii="Arial" w:hAnsi="Arial" w:cs="Arial"/>
                <w:sz w:val="16"/>
                <w:szCs w:val="16"/>
              </w:rPr>
            </w:pPr>
            <w:r w:rsidRPr="002D2F67">
              <w:rPr>
                <w:rFonts w:ascii="Arial" w:hAnsi="Arial" w:cs="Arial"/>
                <w:sz w:val="16"/>
                <w:szCs w:val="16"/>
              </w:rPr>
              <w:t xml:space="preserve">   of financial assets</w:t>
            </w:r>
          </w:p>
        </w:tc>
        <w:tc>
          <w:tcPr>
            <w:tcW w:w="792" w:type="dxa"/>
            <w:tcBorders>
              <w:bottom w:val="single" w:sz="4" w:space="0" w:color="auto"/>
            </w:tcBorders>
            <w:shd w:val="clear" w:color="auto" w:fill="auto"/>
            <w:vAlign w:val="bottom"/>
          </w:tcPr>
          <w:p w14:paraId="54F5B8A0" w14:textId="565A510B" w:rsidR="004065BE" w:rsidRPr="002D2F67" w:rsidRDefault="004065BE" w:rsidP="00D21F5E">
            <w:pPr>
              <w:widowControl w:val="0"/>
              <w:ind w:left="-64" w:right="-72"/>
              <w:contextualSpacing/>
              <w:jc w:val="right"/>
              <w:rPr>
                <w:rFonts w:ascii="Arial" w:hAnsi="Arial" w:cs="Arial"/>
                <w:sz w:val="16"/>
                <w:szCs w:val="16"/>
              </w:rPr>
            </w:pPr>
            <w:r w:rsidRPr="002D2F67">
              <w:rPr>
                <w:rFonts w:ascii="Arial" w:hAnsi="Arial" w:cs="Arial"/>
                <w:sz w:val="16"/>
                <w:szCs w:val="16"/>
              </w:rPr>
              <w:t>-</w:t>
            </w:r>
          </w:p>
        </w:tc>
        <w:tc>
          <w:tcPr>
            <w:tcW w:w="792" w:type="dxa"/>
            <w:tcBorders>
              <w:bottom w:val="single" w:sz="4" w:space="0" w:color="auto"/>
            </w:tcBorders>
            <w:shd w:val="clear" w:color="auto" w:fill="auto"/>
            <w:vAlign w:val="bottom"/>
          </w:tcPr>
          <w:p w14:paraId="71B8C6A3" w14:textId="61E3FB5F" w:rsidR="004065BE" w:rsidRPr="002D2F67" w:rsidRDefault="009832F4" w:rsidP="00D21F5E">
            <w:pPr>
              <w:widowControl w:val="0"/>
              <w:ind w:left="-64" w:right="-72"/>
              <w:contextualSpacing/>
              <w:jc w:val="right"/>
              <w:rPr>
                <w:rFonts w:ascii="Arial" w:hAnsi="Arial" w:cs="Arial"/>
                <w:sz w:val="16"/>
                <w:szCs w:val="16"/>
              </w:rPr>
            </w:pPr>
            <w:r w:rsidRPr="002D2F67">
              <w:rPr>
                <w:rFonts w:ascii="Arial" w:hAnsi="Arial" w:cs="Arial"/>
                <w:sz w:val="16"/>
                <w:szCs w:val="16"/>
              </w:rPr>
              <w:t>-</w:t>
            </w:r>
          </w:p>
        </w:tc>
        <w:tc>
          <w:tcPr>
            <w:tcW w:w="792" w:type="dxa"/>
            <w:tcBorders>
              <w:bottom w:val="single" w:sz="4" w:space="0" w:color="auto"/>
            </w:tcBorders>
            <w:shd w:val="clear" w:color="auto" w:fill="auto"/>
            <w:vAlign w:val="bottom"/>
          </w:tcPr>
          <w:p w14:paraId="58A9465C" w14:textId="022F4654" w:rsidR="004065BE" w:rsidRPr="002D2F67" w:rsidRDefault="00765943" w:rsidP="00D21F5E">
            <w:pPr>
              <w:widowControl w:val="0"/>
              <w:ind w:left="-64" w:right="-72"/>
              <w:contextualSpacing/>
              <w:jc w:val="right"/>
              <w:rPr>
                <w:rFonts w:ascii="Arial" w:hAnsi="Arial" w:cs="Arial"/>
                <w:sz w:val="16"/>
                <w:szCs w:val="16"/>
              </w:rPr>
            </w:pPr>
            <w:r w:rsidRPr="002D2F67">
              <w:rPr>
                <w:rFonts w:ascii="Arial" w:hAnsi="Arial" w:cs="Arial"/>
                <w:sz w:val="16"/>
                <w:szCs w:val="16"/>
              </w:rPr>
              <w:t>-</w:t>
            </w:r>
          </w:p>
        </w:tc>
        <w:tc>
          <w:tcPr>
            <w:tcW w:w="792" w:type="dxa"/>
            <w:tcBorders>
              <w:bottom w:val="single" w:sz="4" w:space="0" w:color="auto"/>
            </w:tcBorders>
            <w:shd w:val="clear" w:color="auto" w:fill="auto"/>
            <w:vAlign w:val="bottom"/>
          </w:tcPr>
          <w:p w14:paraId="70FD2E08" w14:textId="6AA9BDAF" w:rsidR="004065BE" w:rsidRPr="002D2F67" w:rsidRDefault="00765943"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tcBorders>
              <w:bottom w:val="single" w:sz="4" w:space="0" w:color="auto"/>
            </w:tcBorders>
            <w:shd w:val="clear" w:color="auto" w:fill="auto"/>
            <w:vAlign w:val="bottom"/>
          </w:tcPr>
          <w:p w14:paraId="3BDBD75A" w14:textId="0CDED31F" w:rsidR="004065BE" w:rsidRPr="002D2F67" w:rsidRDefault="001F3B11"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tcBorders>
              <w:bottom w:val="single" w:sz="4" w:space="0" w:color="auto"/>
            </w:tcBorders>
            <w:shd w:val="clear" w:color="auto" w:fill="auto"/>
            <w:vAlign w:val="bottom"/>
          </w:tcPr>
          <w:p w14:paraId="7BE167A4" w14:textId="5B560FFF" w:rsidR="004065BE" w:rsidRPr="002D2F67" w:rsidRDefault="002C7850"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tcBorders>
              <w:bottom w:val="single" w:sz="4" w:space="0" w:color="auto"/>
            </w:tcBorders>
            <w:shd w:val="clear" w:color="auto" w:fill="auto"/>
            <w:vAlign w:val="bottom"/>
          </w:tcPr>
          <w:p w14:paraId="1151F784" w14:textId="0FB08B46" w:rsidR="004065BE" w:rsidRPr="002D2F67" w:rsidRDefault="002C7850"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tcBorders>
              <w:bottom w:val="single" w:sz="4" w:space="0" w:color="auto"/>
            </w:tcBorders>
            <w:shd w:val="clear" w:color="auto" w:fill="auto"/>
            <w:vAlign w:val="bottom"/>
          </w:tcPr>
          <w:p w14:paraId="10913D07" w14:textId="02DBA38C" w:rsidR="004065BE" w:rsidRPr="002D2F67" w:rsidRDefault="004539ED"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tcBorders>
              <w:bottom w:val="single" w:sz="4" w:space="0" w:color="auto"/>
            </w:tcBorders>
            <w:shd w:val="clear" w:color="auto" w:fill="auto"/>
            <w:vAlign w:val="bottom"/>
          </w:tcPr>
          <w:p w14:paraId="2EDEE041" w14:textId="3F1DDE4B" w:rsidR="004065BE" w:rsidRPr="002D2F67" w:rsidRDefault="005C4548"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tcBorders>
              <w:bottom w:val="single" w:sz="4" w:space="0" w:color="auto"/>
            </w:tcBorders>
            <w:shd w:val="clear" w:color="auto" w:fill="auto"/>
            <w:vAlign w:val="bottom"/>
          </w:tcPr>
          <w:p w14:paraId="374DE59F" w14:textId="77E5B212" w:rsidR="004065BE" w:rsidRPr="002D2F67" w:rsidRDefault="00C06EB8"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tcBorders>
              <w:bottom w:val="single" w:sz="4" w:space="0" w:color="auto"/>
            </w:tcBorders>
            <w:shd w:val="clear" w:color="auto" w:fill="auto"/>
            <w:vAlign w:val="bottom"/>
          </w:tcPr>
          <w:p w14:paraId="426ECD98" w14:textId="41ED50AE" w:rsidR="004065BE" w:rsidRPr="002D2F67" w:rsidRDefault="00BE4773"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tcBorders>
              <w:bottom w:val="single" w:sz="4" w:space="0" w:color="auto"/>
            </w:tcBorders>
            <w:shd w:val="clear" w:color="auto" w:fill="auto"/>
            <w:vAlign w:val="bottom"/>
          </w:tcPr>
          <w:p w14:paraId="2FD208FA" w14:textId="5533B3A9"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1</w:t>
            </w:r>
            <w:r w:rsidR="00BE4773" w:rsidRPr="002D2F67">
              <w:rPr>
                <w:rFonts w:ascii="Arial" w:hAnsi="Arial" w:cs="Arial"/>
                <w:sz w:val="16"/>
                <w:szCs w:val="16"/>
              </w:rPr>
              <w:t>,</w:t>
            </w:r>
            <w:r w:rsidRPr="00CD5714">
              <w:rPr>
                <w:rFonts w:ascii="Arial" w:hAnsi="Arial" w:cs="Arial"/>
                <w:sz w:val="16"/>
                <w:szCs w:val="16"/>
                <w:lang w:val="en-GB"/>
              </w:rPr>
              <w:t>190</w:t>
            </w:r>
          </w:p>
        </w:tc>
        <w:tc>
          <w:tcPr>
            <w:tcW w:w="792" w:type="dxa"/>
            <w:tcBorders>
              <w:bottom w:val="single" w:sz="4" w:space="0" w:color="auto"/>
            </w:tcBorders>
            <w:shd w:val="clear" w:color="auto" w:fill="auto"/>
            <w:vAlign w:val="bottom"/>
          </w:tcPr>
          <w:p w14:paraId="27AF209C" w14:textId="6429CB65" w:rsidR="004065BE" w:rsidRPr="002D2F67" w:rsidRDefault="008829BE"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tcBorders>
              <w:bottom w:val="single" w:sz="4" w:space="0" w:color="auto"/>
            </w:tcBorders>
            <w:shd w:val="clear" w:color="auto" w:fill="auto"/>
            <w:vAlign w:val="bottom"/>
          </w:tcPr>
          <w:p w14:paraId="0482C695" w14:textId="326CDE73" w:rsidR="004065BE" w:rsidRPr="002D2F67" w:rsidRDefault="000862CA"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tcBorders>
              <w:bottom w:val="single" w:sz="4" w:space="0" w:color="auto"/>
            </w:tcBorders>
            <w:shd w:val="clear" w:color="auto" w:fill="auto"/>
            <w:vAlign w:val="bottom"/>
          </w:tcPr>
          <w:p w14:paraId="280907AA" w14:textId="159EA5D1" w:rsidR="004065BE" w:rsidRPr="002D2F67" w:rsidRDefault="00A27D7C"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tcBorders>
              <w:bottom w:val="single" w:sz="4" w:space="0" w:color="auto"/>
            </w:tcBorders>
            <w:shd w:val="clear" w:color="auto" w:fill="auto"/>
            <w:vAlign w:val="bottom"/>
          </w:tcPr>
          <w:p w14:paraId="7D77CDCF" w14:textId="40D68E2B"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1</w:t>
            </w:r>
            <w:r w:rsidR="00971897" w:rsidRPr="002D2F67">
              <w:rPr>
                <w:rFonts w:ascii="Arial" w:hAnsi="Arial" w:cs="Arial"/>
                <w:sz w:val="16"/>
                <w:szCs w:val="16"/>
              </w:rPr>
              <w:t>,</w:t>
            </w:r>
            <w:r w:rsidRPr="00CD5714">
              <w:rPr>
                <w:rFonts w:ascii="Arial" w:hAnsi="Arial" w:cs="Arial"/>
                <w:sz w:val="16"/>
                <w:szCs w:val="16"/>
                <w:lang w:val="en-GB"/>
              </w:rPr>
              <w:t>190</w:t>
            </w:r>
          </w:p>
        </w:tc>
      </w:tr>
      <w:tr w:rsidR="004065BE" w:rsidRPr="002D2F67" w14:paraId="5D8BA028" w14:textId="77777777" w:rsidTr="002D2F67">
        <w:trPr>
          <w:trHeight w:val="57"/>
        </w:trPr>
        <w:tc>
          <w:tcPr>
            <w:tcW w:w="3168" w:type="dxa"/>
          </w:tcPr>
          <w:p w14:paraId="6BD3A0A4" w14:textId="77777777" w:rsidR="004065BE" w:rsidRPr="002D2F67" w:rsidRDefault="004065BE" w:rsidP="00706C8B">
            <w:pPr>
              <w:widowControl w:val="0"/>
              <w:ind w:left="30" w:right="-76"/>
              <w:contextualSpacing/>
              <w:rPr>
                <w:rFonts w:ascii="Arial" w:hAnsi="Arial" w:cs="Arial"/>
                <w:sz w:val="16"/>
                <w:szCs w:val="16"/>
              </w:rPr>
            </w:pPr>
          </w:p>
        </w:tc>
        <w:tc>
          <w:tcPr>
            <w:tcW w:w="792" w:type="dxa"/>
            <w:tcBorders>
              <w:top w:val="single" w:sz="4" w:space="0" w:color="auto"/>
            </w:tcBorders>
            <w:shd w:val="clear" w:color="auto" w:fill="auto"/>
            <w:vAlign w:val="bottom"/>
          </w:tcPr>
          <w:p w14:paraId="30C6AEFC" w14:textId="77777777" w:rsidR="004065BE" w:rsidRPr="002D2F67" w:rsidRDefault="004065BE" w:rsidP="00D21F5E">
            <w:pPr>
              <w:widowControl w:val="0"/>
              <w:ind w:left="-64" w:right="-72"/>
              <w:contextualSpacing/>
              <w:jc w:val="right"/>
              <w:rPr>
                <w:rFonts w:ascii="Arial" w:hAnsi="Arial" w:cs="Arial"/>
                <w:sz w:val="16"/>
                <w:szCs w:val="16"/>
              </w:rPr>
            </w:pPr>
          </w:p>
        </w:tc>
        <w:tc>
          <w:tcPr>
            <w:tcW w:w="792" w:type="dxa"/>
            <w:tcBorders>
              <w:top w:val="single" w:sz="4" w:space="0" w:color="auto"/>
            </w:tcBorders>
            <w:shd w:val="clear" w:color="auto" w:fill="auto"/>
            <w:vAlign w:val="bottom"/>
          </w:tcPr>
          <w:p w14:paraId="5133D9AE" w14:textId="77777777" w:rsidR="004065BE" w:rsidRPr="002D2F67" w:rsidRDefault="004065BE" w:rsidP="00D21F5E">
            <w:pPr>
              <w:widowControl w:val="0"/>
              <w:ind w:left="-64" w:right="-72"/>
              <w:contextualSpacing/>
              <w:jc w:val="right"/>
              <w:rPr>
                <w:rFonts w:ascii="Arial" w:hAnsi="Arial" w:cs="Arial"/>
                <w:sz w:val="16"/>
                <w:szCs w:val="16"/>
              </w:rPr>
            </w:pPr>
          </w:p>
        </w:tc>
        <w:tc>
          <w:tcPr>
            <w:tcW w:w="792" w:type="dxa"/>
            <w:tcBorders>
              <w:top w:val="single" w:sz="4" w:space="0" w:color="auto"/>
            </w:tcBorders>
            <w:shd w:val="clear" w:color="auto" w:fill="auto"/>
            <w:vAlign w:val="bottom"/>
          </w:tcPr>
          <w:p w14:paraId="4D32C3C6" w14:textId="77777777" w:rsidR="004065BE" w:rsidRPr="002D2F67" w:rsidRDefault="004065BE" w:rsidP="00D21F5E">
            <w:pPr>
              <w:widowControl w:val="0"/>
              <w:ind w:left="-64" w:right="-72"/>
              <w:contextualSpacing/>
              <w:jc w:val="right"/>
              <w:rPr>
                <w:rFonts w:ascii="Arial" w:hAnsi="Arial" w:cs="Arial"/>
                <w:sz w:val="16"/>
                <w:szCs w:val="16"/>
              </w:rPr>
            </w:pPr>
          </w:p>
        </w:tc>
        <w:tc>
          <w:tcPr>
            <w:tcW w:w="792" w:type="dxa"/>
            <w:tcBorders>
              <w:top w:val="single" w:sz="4" w:space="0" w:color="auto"/>
            </w:tcBorders>
            <w:shd w:val="clear" w:color="auto" w:fill="auto"/>
            <w:vAlign w:val="bottom"/>
          </w:tcPr>
          <w:p w14:paraId="2F8D5B6C" w14:textId="77777777" w:rsidR="004065BE" w:rsidRPr="002D2F67" w:rsidRDefault="004065BE" w:rsidP="00D21F5E">
            <w:pPr>
              <w:ind w:left="-64" w:right="-72"/>
              <w:contextualSpacing/>
              <w:jc w:val="right"/>
              <w:rPr>
                <w:rFonts w:ascii="Arial" w:hAnsi="Arial" w:cs="Arial"/>
                <w:sz w:val="16"/>
                <w:szCs w:val="16"/>
              </w:rPr>
            </w:pPr>
          </w:p>
        </w:tc>
        <w:tc>
          <w:tcPr>
            <w:tcW w:w="792" w:type="dxa"/>
            <w:tcBorders>
              <w:top w:val="single" w:sz="4" w:space="0" w:color="auto"/>
            </w:tcBorders>
            <w:shd w:val="clear" w:color="auto" w:fill="auto"/>
            <w:vAlign w:val="bottom"/>
          </w:tcPr>
          <w:p w14:paraId="5CF90591" w14:textId="77777777" w:rsidR="004065BE" w:rsidRPr="002D2F67" w:rsidRDefault="004065BE" w:rsidP="00D21F5E">
            <w:pPr>
              <w:ind w:left="-64" w:right="-72"/>
              <w:contextualSpacing/>
              <w:jc w:val="right"/>
              <w:rPr>
                <w:rFonts w:ascii="Arial" w:hAnsi="Arial" w:cs="Arial"/>
                <w:sz w:val="16"/>
                <w:szCs w:val="16"/>
              </w:rPr>
            </w:pPr>
          </w:p>
        </w:tc>
        <w:tc>
          <w:tcPr>
            <w:tcW w:w="792" w:type="dxa"/>
            <w:tcBorders>
              <w:top w:val="single" w:sz="4" w:space="0" w:color="auto"/>
            </w:tcBorders>
            <w:shd w:val="clear" w:color="auto" w:fill="auto"/>
            <w:vAlign w:val="bottom"/>
          </w:tcPr>
          <w:p w14:paraId="58576284" w14:textId="77777777" w:rsidR="004065BE" w:rsidRPr="002D2F67" w:rsidRDefault="004065BE" w:rsidP="00D21F5E">
            <w:pPr>
              <w:ind w:left="-64" w:right="-72"/>
              <w:contextualSpacing/>
              <w:jc w:val="right"/>
              <w:rPr>
                <w:rFonts w:ascii="Arial" w:hAnsi="Arial" w:cs="Arial"/>
                <w:sz w:val="16"/>
                <w:szCs w:val="16"/>
              </w:rPr>
            </w:pPr>
          </w:p>
        </w:tc>
        <w:tc>
          <w:tcPr>
            <w:tcW w:w="792" w:type="dxa"/>
            <w:tcBorders>
              <w:top w:val="single" w:sz="4" w:space="0" w:color="auto"/>
            </w:tcBorders>
            <w:shd w:val="clear" w:color="auto" w:fill="auto"/>
            <w:vAlign w:val="bottom"/>
          </w:tcPr>
          <w:p w14:paraId="2B6B4FCD" w14:textId="77777777" w:rsidR="004065BE" w:rsidRPr="002D2F67" w:rsidRDefault="004065BE" w:rsidP="00D21F5E">
            <w:pPr>
              <w:ind w:left="-64" w:right="-72"/>
              <w:contextualSpacing/>
              <w:jc w:val="right"/>
              <w:rPr>
                <w:rFonts w:ascii="Arial" w:hAnsi="Arial" w:cs="Arial"/>
                <w:sz w:val="16"/>
                <w:szCs w:val="16"/>
              </w:rPr>
            </w:pPr>
          </w:p>
        </w:tc>
        <w:tc>
          <w:tcPr>
            <w:tcW w:w="792" w:type="dxa"/>
            <w:tcBorders>
              <w:top w:val="single" w:sz="4" w:space="0" w:color="auto"/>
            </w:tcBorders>
            <w:shd w:val="clear" w:color="auto" w:fill="auto"/>
            <w:vAlign w:val="bottom"/>
          </w:tcPr>
          <w:p w14:paraId="4EE129E3" w14:textId="77777777" w:rsidR="004065BE" w:rsidRPr="002D2F67" w:rsidRDefault="004065BE" w:rsidP="00D21F5E">
            <w:pPr>
              <w:ind w:left="-64" w:right="-72"/>
              <w:contextualSpacing/>
              <w:jc w:val="right"/>
              <w:rPr>
                <w:rFonts w:ascii="Arial" w:hAnsi="Arial" w:cs="Arial"/>
                <w:sz w:val="16"/>
                <w:szCs w:val="16"/>
              </w:rPr>
            </w:pPr>
          </w:p>
        </w:tc>
        <w:tc>
          <w:tcPr>
            <w:tcW w:w="792" w:type="dxa"/>
            <w:tcBorders>
              <w:top w:val="single" w:sz="4" w:space="0" w:color="auto"/>
            </w:tcBorders>
            <w:shd w:val="clear" w:color="auto" w:fill="auto"/>
            <w:vAlign w:val="bottom"/>
          </w:tcPr>
          <w:p w14:paraId="2F10CF12" w14:textId="77777777" w:rsidR="004065BE" w:rsidRPr="002D2F67" w:rsidRDefault="004065BE" w:rsidP="00D21F5E">
            <w:pPr>
              <w:ind w:left="-64" w:right="-72"/>
              <w:contextualSpacing/>
              <w:jc w:val="right"/>
              <w:rPr>
                <w:rFonts w:ascii="Arial" w:hAnsi="Arial" w:cs="Arial"/>
                <w:sz w:val="16"/>
                <w:szCs w:val="16"/>
              </w:rPr>
            </w:pPr>
          </w:p>
        </w:tc>
        <w:tc>
          <w:tcPr>
            <w:tcW w:w="792" w:type="dxa"/>
            <w:tcBorders>
              <w:top w:val="single" w:sz="4" w:space="0" w:color="auto"/>
            </w:tcBorders>
            <w:shd w:val="clear" w:color="auto" w:fill="auto"/>
            <w:vAlign w:val="bottom"/>
          </w:tcPr>
          <w:p w14:paraId="32E4A4B4" w14:textId="77777777" w:rsidR="004065BE" w:rsidRPr="002D2F67" w:rsidRDefault="004065BE" w:rsidP="00D21F5E">
            <w:pPr>
              <w:ind w:left="-64" w:right="-72"/>
              <w:contextualSpacing/>
              <w:jc w:val="right"/>
              <w:rPr>
                <w:rFonts w:ascii="Arial" w:hAnsi="Arial" w:cs="Arial"/>
                <w:sz w:val="16"/>
                <w:szCs w:val="16"/>
              </w:rPr>
            </w:pPr>
          </w:p>
        </w:tc>
        <w:tc>
          <w:tcPr>
            <w:tcW w:w="792" w:type="dxa"/>
            <w:tcBorders>
              <w:top w:val="single" w:sz="4" w:space="0" w:color="auto"/>
            </w:tcBorders>
            <w:shd w:val="clear" w:color="auto" w:fill="auto"/>
            <w:vAlign w:val="bottom"/>
          </w:tcPr>
          <w:p w14:paraId="088F6BF4" w14:textId="77777777" w:rsidR="004065BE" w:rsidRPr="002D2F67" w:rsidRDefault="004065BE" w:rsidP="00D21F5E">
            <w:pPr>
              <w:ind w:left="-64" w:right="-72"/>
              <w:contextualSpacing/>
              <w:jc w:val="right"/>
              <w:rPr>
                <w:rFonts w:ascii="Arial" w:hAnsi="Arial" w:cs="Arial"/>
                <w:sz w:val="16"/>
                <w:szCs w:val="16"/>
              </w:rPr>
            </w:pPr>
          </w:p>
        </w:tc>
        <w:tc>
          <w:tcPr>
            <w:tcW w:w="792" w:type="dxa"/>
            <w:tcBorders>
              <w:top w:val="single" w:sz="4" w:space="0" w:color="auto"/>
            </w:tcBorders>
            <w:shd w:val="clear" w:color="auto" w:fill="auto"/>
            <w:vAlign w:val="bottom"/>
          </w:tcPr>
          <w:p w14:paraId="012D2BF6" w14:textId="77777777" w:rsidR="004065BE" w:rsidRPr="002D2F67" w:rsidRDefault="004065BE" w:rsidP="00D21F5E">
            <w:pPr>
              <w:ind w:left="-64" w:right="-72"/>
              <w:contextualSpacing/>
              <w:jc w:val="right"/>
              <w:rPr>
                <w:rFonts w:ascii="Arial" w:hAnsi="Arial" w:cs="Arial"/>
                <w:sz w:val="16"/>
                <w:szCs w:val="16"/>
              </w:rPr>
            </w:pPr>
          </w:p>
        </w:tc>
        <w:tc>
          <w:tcPr>
            <w:tcW w:w="792" w:type="dxa"/>
            <w:tcBorders>
              <w:top w:val="single" w:sz="4" w:space="0" w:color="auto"/>
            </w:tcBorders>
            <w:shd w:val="clear" w:color="auto" w:fill="auto"/>
            <w:vAlign w:val="bottom"/>
          </w:tcPr>
          <w:p w14:paraId="3CFC384F" w14:textId="2909B08E" w:rsidR="004065BE" w:rsidRPr="002D2F67" w:rsidRDefault="004065BE" w:rsidP="00D21F5E">
            <w:pPr>
              <w:ind w:left="-64" w:right="-72"/>
              <w:contextualSpacing/>
              <w:jc w:val="right"/>
              <w:rPr>
                <w:rFonts w:ascii="Arial" w:hAnsi="Arial" w:cs="Arial"/>
                <w:sz w:val="16"/>
                <w:szCs w:val="16"/>
              </w:rPr>
            </w:pPr>
          </w:p>
        </w:tc>
        <w:tc>
          <w:tcPr>
            <w:tcW w:w="792" w:type="dxa"/>
            <w:tcBorders>
              <w:top w:val="single" w:sz="4" w:space="0" w:color="auto"/>
            </w:tcBorders>
            <w:shd w:val="clear" w:color="auto" w:fill="auto"/>
            <w:vAlign w:val="bottom"/>
          </w:tcPr>
          <w:p w14:paraId="33091487" w14:textId="77777777" w:rsidR="004065BE" w:rsidRPr="002D2F67" w:rsidRDefault="004065BE" w:rsidP="00D21F5E">
            <w:pPr>
              <w:ind w:left="-64" w:right="-72"/>
              <w:contextualSpacing/>
              <w:jc w:val="right"/>
              <w:rPr>
                <w:rFonts w:ascii="Arial" w:hAnsi="Arial" w:cs="Arial"/>
                <w:sz w:val="16"/>
                <w:szCs w:val="16"/>
              </w:rPr>
            </w:pPr>
          </w:p>
        </w:tc>
        <w:tc>
          <w:tcPr>
            <w:tcW w:w="792" w:type="dxa"/>
            <w:tcBorders>
              <w:top w:val="single" w:sz="4" w:space="0" w:color="auto"/>
            </w:tcBorders>
            <w:shd w:val="clear" w:color="auto" w:fill="auto"/>
            <w:vAlign w:val="bottom"/>
          </w:tcPr>
          <w:p w14:paraId="7E655E93" w14:textId="5ADA56C3" w:rsidR="004065BE" w:rsidRPr="002D2F67" w:rsidRDefault="004065BE" w:rsidP="00D21F5E">
            <w:pPr>
              <w:ind w:left="-64" w:right="-72"/>
              <w:contextualSpacing/>
              <w:jc w:val="right"/>
              <w:rPr>
                <w:rFonts w:ascii="Arial" w:hAnsi="Arial" w:cs="Arial"/>
                <w:sz w:val="16"/>
                <w:szCs w:val="16"/>
              </w:rPr>
            </w:pPr>
          </w:p>
        </w:tc>
        <w:tc>
          <w:tcPr>
            <w:tcW w:w="792" w:type="dxa"/>
            <w:tcBorders>
              <w:top w:val="single" w:sz="4" w:space="0" w:color="auto"/>
            </w:tcBorders>
            <w:shd w:val="clear" w:color="auto" w:fill="auto"/>
            <w:vAlign w:val="bottom"/>
          </w:tcPr>
          <w:p w14:paraId="11EA1DF3" w14:textId="77777777" w:rsidR="004065BE" w:rsidRPr="002D2F67" w:rsidRDefault="004065BE" w:rsidP="00D21F5E">
            <w:pPr>
              <w:ind w:left="-64" w:right="-72"/>
              <w:contextualSpacing/>
              <w:jc w:val="right"/>
              <w:rPr>
                <w:rFonts w:ascii="Arial" w:hAnsi="Arial" w:cs="Arial"/>
                <w:color w:val="000000"/>
                <w:sz w:val="16"/>
                <w:szCs w:val="16"/>
              </w:rPr>
            </w:pPr>
          </w:p>
        </w:tc>
      </w:tr>
      <w:tr w:rsidR="004065BE" w:rsidRPr="002D2F67" w14:paraId="7541A50F" w14:textId="77777777" w:rsidTr="002D2F67">
        <w:trPr>
          <w:trHeight w:val="57"/>
        </w:trPr>
        <w:tc>
          <w:tcPr>
            <w:tcW w:w="3168" w:type="dxa"/>
          </w:tcPr>
          <w:p w14:paraId="508C172A" w14:textId="77777777" w:rsidR="004065BE" w:rsidRPr="002D2F67" w:rsidRDefault="004065BE" w:rsidP="00706C8B">
            <w:pPr>
              <w:widowControl w:val="0"/>
              <w:ind w:left="30" w:right="-76"/>
              <w:contextualSpacing/>
              <w:rPr>
                <w:rFonts w:ascii="Arial" w:hAnsi="Arial" w:cs="Arial"/>
                <w:sz w:val="16"/>
                <w:szCs w:val="16"/>
              </w:rPr>
            </w:pPr>
            <w:r w:rsidRPr="002D2F67">
              <w:rPr>
                <w:rFonts w:ascii="Arial" w:hAnsi="Arial" w:cs="Arial"/>
                <w:sz w:val="16"/>
                <w:szCs w:val="16"/>
              </w:rPr>
              <w:t>Total segment revenue</w:t>
            </w:r>
          </w:p>
        </w:tc>
        <w:tc>
          <w:tcPr>
            <w:tcW w:w="792" w:type="dxa"/>
            <w:shd w:val="clear" w:color="auto" w:fill="auto"/>
            <w:vAlign w:val="bottom"/>
          </w:tcPr>
          <w:p w14:paraId="29619108" w14:textId="57897BD2" w:rsidR="004065BE" w:rsidRPr="002D2F67" w:rsidRDefault="00CD5714" w:rsidP="00D21F5E">
            <w:pPr>
              <w:widowControl w:val="0"/>
              <w:ind w:left="-64" w:right="-72"/>
              <w:contextualSpacing/>
              <w:jc w:val="right"/>
              <w:rPr>
                <w:rFonts w:ascii="Arial" w:hAnsi="Arial" w:cs="Arial"/>
                <w:sz w:val="16"/>
                <w:szCs w:val="16"/>
              </w:rPr>
            </w:pPr>
            <w:r w:rsidRPr="00CD5714">
              <w:rPr>
                <w:rFonts w:ascii="Arial" w:hAnsi="Arial" w:cs="Arial"/>
                <w:sz w:val="16"/>
                <w:szCs w:val="16"/>
                <w:lang w:val="en-GB"/>
              </w:rPr>
              <w:t>3</w:t>
            </w:r>
            <w:r w:rsidR="004065BE" w:rsidRPr="002D2F67">
              <w:rPr>
                <w:rFonts w:ascii="Arial" w:hAnsi="Arial" w:cs="Arial"/>
                <w:sz w:val="16"/>
                <w:szCs w:val="16"/>
              </w:rPr>
              <w:t>,</w:t>
            </w:r>
            <w:r w:rsidRPr="00CD5714">
              <w:rPr>
                <w:rFonts w:ascii="Arial" w:hAnsi="Arial" w:cs="Arial"/>
                <w:sz w:val="16"/>
                <w:szCs w:val="16"/>
                <w:lang w:val="en-GB"/>
              </w:rPr>
              <w:t>735</w:t>
            </w:r>
          </w:p>
        </w:tc>
        <w:tc>
          <w:tcPr>
            <w:tcW w:w="792" w:type="dxa"/>
            <w:shd w:val="clear" w:color="auto" w:fill="auto"/>
            <w:vAlign w:val="bottom"/>
          </w:tcPr>
          <w:p w14:paraId="1F05B387" w14:textId="0D4EE9B7" w:rsidR="004065BE" w:rsidRPr="002D2F67" w:rsidRDefault="00CD5714" w:rsidP="00D21F5E">
            <w:pPr>
              <w:widowControl w:val="0"/>
              <w:ind w:left="-64" w:right="-72"/>
              <w:contextualSpacing/>
              <w:jc w:val="right"/>
              <w:rPr>
                <w:rFonts w:ascii="Arial" w:hAnsi="Arial" w:cs="Arial"/>
                <w:sz w:val="16"/>
                <w:szCs w:val="16"/>
              </w:rPr>
            </w:pPr>
            <w:r w:rsidRPr="00CD5714">
              <w:rPr>
                <w:rFonts w:ascii="Arial" w:hAnsi="Arial" w:cs="Arial"/>
                <w:sz w:val="16"/>
                <w:szCs w:val="16"/>
                <w:lang w:val="en-GB"/>
              </w:rPr>
              <w:t>5</w:t>
            </w:r>
            <w:r w:rsidR="009832F4" w:rsidRPr="002D2F67">
              <w:rPr>
                <w:rFonts w:ascii="Arial" w:hAnsi="Arial" w:cs="Arial"/>
                <w:sz w:val="16"/>
                <w:szCs w:val="16"/>
              </w:rPr>
              <w:t>,</w:t>
            </w:r>
            <w:r w:rsidRPr="00CD5714">
              <w:rPr>
                <w:rFonts w:ascii="Arial" w:hAnsi="Arial" w:cs="Arial"/>
                <w:sz w:val="16"/>
                <w:szCs w:val="16"/>
                <w:lang w:val="en-GB"/>
              </w:rPr>
              <w:t>647</w:t>
            </w:r>
          </w:p>
        </w:tc>
        <w:tc>
          <w:tcPr>
            <w:tcW w:w="792" w:type="dxa"/>
            <w:shd w:val="clear" w:color="auto" w:fill="auto"/>
            <w:vAlign w:val="bottom"/>
          </w:tcPr>
          <w:p w14:paraId="38C510CB" w14:textId="79067817" w:rsidR="004065BE" w:rsidRPr="002D2F67" w:rsidRDefault="00CD5714" w:rsidP="00D21F5E">
            <w:pPr>
              <w:widowControl w:val="0"/>
              <w:ind w:left="-64" w:right="-72"/>
              <w:contextualSpacing/>
              <w:jc w:val="right"/>
              <w:rPr>
                <w:rFonts w:ascii="Arial" w:hAnsi="Arial" w:cs="Arial"/>
                <w:sz w:val="16"/>
                <w:szCs w:val="16"/>
              </w:rPr>
            </w:pPr>
            <w:r w:rsidRPr="00CD5714">
              <w:rPr>
                <w:rFonts w:ascii="Arial" w:hAnsi="Arial" w:cs="Arial"/>
                <w:sz w:val="16"/>
                <w:szCs w:val="16"/>
                <w:lang w:val="en-GB"/>
              </w:rPr>
              <w:t>10</w:t>
            </w:r>
            <w:r w:rsidR="00765943" w:rsidRPr="002D2F67">
              <w:rPr>
                <w:rFonts w:ascii="Arial" w:hAnsi="Arial" w:cs="Arial"/>
                <w:sz w:val="16"/>
                <w:szCs w:val="16"/>
              </w:rPr>
              <w:t>,</w:t>
            </w:r>
            <w:r w:rsidRPr="00CD5714">
              <w:rPr>
                <w:rFonts w:ascii="Arial" w:hAnsi="Arial" w:cs="Arial"/>
                <w:sz w:val="16"/>
                <w:szCs w:val="16"/>
                <w:lang w:val="en-GB"/>
              </w:rPr>
              <w:t>630</w:t>
            </w:r>
          </w:p>
        </w:tc>
        <w:tc>
          <w:tcPr>
            <w:tcW w:w="792" w:type="dxa"/>
            <w:shd w:val="clear" w:color="auto" w:fill="auto"/>
            <w:vAlign w:val="bottom"/>
          </w:tcPr>
          <w:p w14:paraId="7B2211E9" w14:textId="0D29F917"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12</w:t>
            </w:r>
            <w:r w:rsidR="00765943" w:rsidRPr="002D2F67">
              <w:rPr>
                <w:rFonts w:ascii="Arial" w:hAnsi="Arial" w:cs="Arial"/>
                <w:sz w:val="16"/>
                <w:szCs w:val="16"/>
              </w:rPr>
              <w:t>,</w:t>
            </w:r>
            <w:r w:rsidRPr="00CD5714">
              <w:rPr>
                <w:rFonts w:ascii="Arial" w:hAnsi="Arial" w:cs="Arial"/>
                <w:sz w:val="16"/>
                <w:szCs w:val="16"/>
                <w:lang w:val="en-GB"/>
              </w:rPr>
              <w:t>729</w:t>
            </w:r>
          </w:p>
        </w:tc>
        <w:tc>
          <w:tcPr>
            <w:tcW w:w="792" w:type="dxa"/>
            <w:shd w:val="clear" w:color="auto" w:fill="auto"/>
            <w:vAlign w:val="bottom"/>
          </w:tcPr>
          <w:p w14:paraId="65161380" w14:textId="346670B3"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2</w:t>
            </w:r>
            <w:r w:rsidR="001F3B11" w:rsidRPr="002D2F67">
              <w:rPr>
                <w:rFonts w:ascii="Arial" w:hAnsi="Arial" w:cs="Arial"/>
                <w:sz w:val="16"/>
                <w:szCs w:val="16"/>
              </w:rPr>
              <w:t>,</w:t>
            </w:r>
            <w:r w:rsidRPr="00CD5714">
              <w:rPr>
                <w:rFonts w:ascii="Arial" w:hAnsi="Arial" w:cs="Arial"/>
                <w:sz w:val="16"/>
                <w:szCs w:val="16"/>
                <w:lang w:val="en-GB"/>
              </w:rPr>
              <w:t>600</w:t>
            </w:r>
          </w:p>
        </w:tc>
        <w:tc>
          <w:tcPr>
            <w:tcW w:w="792" w:type="dxa"/>
            <w:shd w:val="clear" w:color="auto" w:fill="auto"/>
            <w:vAlign w:val="bottom"/>
          </w:tcPr>
          <w:p w14:paraId="1AF6F915" w14:textId="53A69563"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11</w:t>
            </w:r>
            <w:r w:rsidR="002C7850" w:rsidRPr="002D2F67">
              <w:rPr>
                <w:rFonts w:ascii="Arial" w:hAnsi="Arial" w:cs="Arial"/>
                <w:sz w:val="16"/>
                <w:szCs w:val="16"/>
              </w:rPr>
              <w:t>,</w:t>
            </w:r>
            <w:r w:rsidRPr="00CD5714">
              <w:rPr>
                <w:rFonts w:ascii="Arial" w:hAnsi="Arial" w:cs="Arial"/>
                <w:sz w:val="16"/>
                <w:szCs w:val="16"/>
                <w:lang w:val="en-GB"/>
              </w:rPr>
              <w:t>377</w:t>
            </w:r>
          </w:p>
        </w:tc>
        <w:tc>
          <w:tcPr>
            <w:tcW w:w="792" w:type="dxa"/>
            <w:shd w:val="clear" w:color="auto" w:fill="auto"/>
            <w:vAlign w:val="bottom"/>
          </w:tcPr>
          <w:p w14:paraId="0FBE5D78" w14:textId="4572C320"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1</w:t>
            </w:r>
            <w:r w:rsidR="005432AD" w:rsidRPr="002D2F67">
              <w:rPr>
                <w:rFonts w:ascii="Arial" w:hAnsi="Arial" w:cs="Arial"/>
                <w:sz w:val="16"/>
                <w:szCs w:val="16"/>
              </w:rPr>
              <w:t>,</w:t>
            </w:r>
            <w:r w:rsidRPr="00CD5714">
              <w:rPr>
                <w:rFonts w:ascii="Arial" w:hAnsi="Arial" w:cs="Arial"/>
                <w:sz w:val="16"/>
                <w:szCs w:val="16"/>
                <w:lang w:val="en-GB"/>
              </w:rPr>
              <w:t>386</w:t>
            </w:r>
          </w:p>
        </w:tc>
        <w:tc>
          <w:tcPr>
            <w:tcW w:w="792" w:type="dxa"/>
            <w:shd w:val="clear" w:color="auto" w:fill="auto"/>
            <w:vAlign w:val="bottom"/>
          </w:tcPr>
          <w:p w14:paraId="151478F9" w14:textId="6E912EB5"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4</w:t>
            </w:r>
            <w:r w:rsidR="004539ED" w:rsidRPr="002D2F67">
              <w:rPr>
                <w:rFonts w:ascii="Arial" w:hAnsi="Arial" w:cs="Arial"/>
                <w:sz w:val="16"/>
                <w:szCs w:val="16"/>
              </w:rPr>
              <w:t>,</w:t>
            </w:r>
            <w:r w:rsidRPr="00CD5714">
              <w:rPr>
                <w:rFonts w:ascii="Arial" w:hAnsi="Arial" w:cs="Arial"/>
                <w:sz w:val="16"/>
                <w:szCs w:val="16"/>
                <w:lang w:val="en-GB"/>
              </w:rPr>
              <w:t>709</w:t>
            </w:r>
          </w:p>
        </w:tc>
        <w:tc>
          <w:tcPr>
            <w:tcW w:w="792" w:type="dxa"/>
            <w:shd w:val="clear" w:color="auto" w:fill="auto"/>
            <w:vAlign w:val="bottom"/>
          </w:tcPr>
          <w:p w14:paraId="4D719AA9" w14:textId="3BBE3765"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1</w:t>
            </w:r>
            <w:r w:rsidR="005C4548" w:rsidRPr="002D2F67">
              <w:rPr>
                <w:rFonts w:ascii="Arial" w:hAnsi="Arial" w:cs="Arial"/>
                <w:sz w:val="16"/>
                <w:szCs w:val="16"/>
              </w:rPr>
              <w:t>,</w:t>
            </w:r>
            <w:r w:rsidRPr="00CD5714">
              <w:rPr>
                <w:rFonts w:ascii="Arial" w:hAnsi="Arial" w:cs="Arial"/>
                <w:sz w:val="16"/>
                <w:szCs w:val="16"/>
                <w:lang w:val="en-GB"/>
              </w:rPr>
              <w:t>259</w:t>
            </w:r>
          </w:p>
        </w:tc>
        <w:tc>
          <w:tcPr>
            <w:tcW w:w="792" w:type="dxa"/>
            <w:shd w:val="clear" w:color="auto" w:fill="auto"/>
            <w:vAlign w:val="bottom"/>
          </w:tcPr>
          <w:p w14:paraId="1A4713B2" w14:textId="4F5978E8"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815</w:t>
            </w:r>
          </w:p>
        </w:tc>
        <w:tc>
          <w:tcPr>
            <w:tcW w:w="792" w:type="dxa"/>
            <w:shd w:val="clear" w:color="auto" w:fill="auto"/>
            <w:vAlign w:val="bottom"/>
          </w:tcPr>
          <w:p w14:paraId="33CB6663" w14:textId="7A1E1FCB"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6</w:t>
            </w:r>
            <w:r w:rsidR="00BE4773" w:rsidRPr="002D2F67">
              <w:rPr>
                <w:rFonts w:ascii="Arial" w:hAnsi="Arial" w:cs="Arial"/>
                <w:sz w:val="16"/>
                <w:szCs w:val="16"/>
              </w:rPr>
              <w:t>,</w:t>
            </w:r>
            <w:r w:rsidRPr="00CD5714">
              <w:rPr>
                <w:rFonts w:ascii="Arial" w:hAnsi="Arial" w:cs="Arial"/>
                <w:sz w:val="16"/>
                <w:szCs w:val="16"/>
                <w:lang w:val="en-GB"/>
              </w:rPr>
              <w:t>749</w:t>
            </w:r>
          </w:p>
        </w:tc>
        <w:tc>
          <w:tcPr>
            <w:tcW w:w="792" w:type="dxa"/>
            <w:shd w:val="clear" w:color="auto" w:fill="auto"/>
            <w:vAlign w:val="bottom"/>
          </w:tcPr>
          <w:p w14:paraId="1D23ABD3" w14:textId="05969F7A"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24</w:t>
            </w:r>
            <w:r w:rsidR="00BE4773" w:rsidRPr="002D2F67">
              <w:rPr>
                <w:rFonts w:ascii="Arial" w:hAnsi="Arial" w:cs="Arial"/>
                <w:sz w:val="16"/>
                <w:szCs w:val="16"/>
              </w:rPr>
              <w:t>,</w:t>
            </w:r>
            <w:r w:rsidRPr="00CD5714">
              <w:rPr>
                <w:rFonts w:ascii="Arial" w:hAnsi="Arial" w:cs="Arial"/>
                <w:sz w:val="16"/>
                <w:szCs w:val="16"/>
                <w:lang w:val="en-GB"/>
              </w:rPr>
              <w:t>205</w:t>
            </w:r>
          </w:p>
        </w:tc>
        <w:tc>
          <w:tcPr>
            <w:tcW w:w="792" w:type="dxa"/>
            <w:shd w:val="clear" w:color="auto" w:fill="auto"/>
            <w:vAlign w:val="bottom"/>
          </w:tcPr>
          <w:p w14:paraId="7C83788B" w14:textId="71F09AAD" w:rsidR="004065BE" w:rsidRPr="002D2F67" w:rsidRDefault="008829BE"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7</w:t>
            </w:r>
            <w:r w:rsidRPr="002D2F67">
              <w:rPr>
                <w:rFonts w:ascii="Arial" w:hAnsi="Arial" w:cs="Arial"/>
                <w:sz w:val="16"/>
                <w:szCs w:val="16"/>
              </w:rPr>
              <w:t>,</w:t>
            </w:r>
            <w:r w:rsidR="00CD5714" w:rsidRPr="00CD5714">
              <w:rPr>
                <w:rFonts w:ascii="Arial" w:hAnsi="Arial" w:cs="Arial"/>
                <w:sz w:val="16"/>
                <w:szCs w:val="16"/>
                <w:lang w:val="en-GB"/>
              </w:rPr>
              <w:t>837</w:t>
            </w:r>
            <w:r w:rsidRPr="002D2F67">
              <w:rPr>
                <w:rFonts w:ascii="Arial" w:hAnsi="Arial" w:cs="Arial"/>
                <w:sz w:val="16"/>
                <w:szCs w:val="16"/>
              </w:rPr>
              <w:t>)</w:t>
            </w:r>
          </w:p>
        </w:tc>
        <w:tc>
          <w:tcPr>
            <w:tcW w:w="792" w:type="dxa"/>
            <w:shd w:val="clear" w:color="auto" w:fill="auto"/>
            <w:vAlign w:val="bottom"/>
          </w:tcPr>
          <w:p w14:paraId="5AB463DB" w14:textId="0AF5E1B7" w:rsidR="004065BE" w:rsidRPr="002D2F67" w:rsidRDefault="000862CA"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27</w:t>
            </w:r>
            <w:r w:rsidRPr="002D2F67">
              <w:rPr>
                <w:rFonts w:ascii="Arial" w:hAnsi="Arial" w:cs="Arial"/>
                <w:sz w:val="16"/>
                <w:szCs w:val="16"/>
              </w:rPr>
              <w:t>,</w:t>
            </w:r>
            <w:r w:rsidR="00CD5714" w:rsidRPr="00CD5714">
              <w:rPr>
                <w:rFonts w:ascii="Arial" w:hAnsi="Arial" w:cs="Arial"/>
                <w:sz w:val="16"/>
                <w:szCs w:val="16"/>
                <w:lang w:val="en-GB"/>
              </w:rPr>
              <w:t>884</w:t>
            </w:r>
            <w:r w:rsidRPr="002D2F67">
              <w:rPr>
                <w:rFonts w:ascii="Arial" w:hAnsi="Arial" w:cs="Arial"/>
                <w:sz w:val="16"/>
                <w:szCs w:val="16"/>
              </w:rPr>
              <w:t>)</w:t>
            </w:r>
          </w:p>
        </w:tc>
        <w:tc>
          <w:tcPr>
            <w:tcW w:w="792" w:type="dxa"/>
            <w:shd w:val="clear" w:color="auto" w:fill="auto"/>
            <w:vAlign w:val="bottom"/>
          </w:tcPr>
          <w:p w14:paraId="5567B009" w14:textId="6F164E56"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18</w:t>
            </w:r>
            <w:r w:rsidR="00A27D7C" w:rsidRPr="002D2F67">
              <w:rPr>
                <w:rFonts w:ascii="Arial" w:hAnsi="Arial" w:cs="Arial"/>
                <w:sz w:val="16"/>
                <w:szCs w:val="16"/>
              </w:rPr>
              <w:t>,</w:t>
            </w:r>
            <w:r w:rsidRPr="00CD5714">
              <w:rPr>
                <w:rFonts w:ascii="Arial" w:hAnsi="Arial" w:cs="Arial"/>
                <w:sz w:val="16"/>
                <w:szCs w:val="16"/>
                <w:lang w:val="en-GB"/>
              </w:rPr>
              <w:t>522</w:t>
            </w:r>
          </w:p>
        </w:tc>
        <w:tc>
          <w:tcPr>
            <w:tcW w:w="792" w:type="dxa"/>
            <w:shd w:val="clear" w:color="auto" w:fill="auto"/>
            <w:vAlign w:val="bottom"/>
          </w:tcPr>
          <w:p w14:paraId="05D91D31" w14:textId="29B0657B"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31</w:t>
            </w:r>
            <w:r w:rsidR="00971897" w:rsidRPr="002D2F67">
              <w:rPr>
                <w:rFonts w:ascii="Arial" w:hAnsi="Arial" w:cs="Arial"/>
                <w:sz w:val="16"/>
                <w:szCs w:val="16"/>
              </w:rPr>
              <w:t>,</w:t>
            </w:r>
            <w:r w:rsidRPr="00CD5714">
              <w:rPr>
                <w:rFonts w:ascii="Arial" w:hAnsi="Arial" w:cs="Arial"/>
                <w:sz w:val="16"/>
                <w:szCs w:val="16"/>
                <w:lang w:val="en-GB"/>
              </w:rPr>
              <w:t>598</w:t>
            </w:r>
          </w:p>
        </w:tc>
      </w:tr>
      <w:tr w:rsidR="004065BE" w:rsidRPr="002D2F67" w14:paraId="6B33891B" w14:textId="77777777" w:rsidTr="002D2F67">
        <w:trPr>
          <w:trHeight w:val="114"/>
        </w:trPr>
        <w:tc>
          <w:tcPr>
            <w:tcW w:w="3168" w:type="dxa"/>
          </w:tcPr>
          <w:p w14:paraId="72661C7E" w14:textId="77777777" w:rsidR="004065BE" w:rsidRPr="002D2F67" w:rsidRDefault="004065BE" w:rsidP="00706C8B">
            <w:pPr>
              <w:widowControl w:val="0"/>
              <w:ind w:left="30" w:right="-76"/>
              <w:contextualSpacing/>
              <w:rPr>
                <w:rFonts w:ascii="Arial" w:hAnsi="Arial" w:cs="Arial"/>
                <w:sz w:val="16"/>
                <w:szCs w:val="16"/>
              </w:rPr>
            </w:pPr>
            <w:r w:rsidRPr="002D2F67">
              <w:rPr>
                <w:rFonts w:ascii="Arial" w:hAnsi="Arial" w:cs="Arial"/>
                <w:sz w:val="16"/>
                <w:szCs w:val="16"/>
              </w:rPr>
              <w:t>Segment expenses</w:t>
            </w:r>
          </w:p>
        </w:tc>
        <w:tc>
          <w:tcPr>
            <w:tcW w:w="792" w:type="dxa"/>
            <w:shd w:val="clear" w:color="auto" w:fill="auto"/>
            <w:vAlign w:val="bottom"/>
          </w:tcPr>
          <w:p w14:paraId="52600B47" w14:textId="5C721204" w:rsidR="004065BE" w:rsidRPr="002D2F67" w:rsidRDefault="004065BE" w:rsidP="00D21F5E">
            <w:pPr>
              <w:widowControl w:val="0"/>
              <w:ind w:left="-64" w:right="-72"/>
              <w:contextualSpacing/>
              <w:jc w:val="right"/>
              <w:rPr>
                <w:rFonts w:ascii="Arial" w:hAnsi="Arial" w:cs="Arial"/>
                <w:sz w:val="16"/>
                <w:szCs w:val="16"/>
                <w:cs/>
              </w:rPr>
            </w:pPr>
            <w:r w:rsidRPr="002D2F67">
              <w:rPr>
                <w:rFonts w:ascii="Arial" w:hAnsi="Arial" w:cs="Arial"/>
                <w:sz w:val="16"/>
                <w:szCs w:val="16"/>
              </w:rPr>
              <w:t>(</w:t>
            </w:r>
            <w:r w:rsidR="00CD5714" w:rsidRPr="00CD5714">
              <w:rPr>
                <w:rFonts w:ascii="Arial" w:hAnsi="Arial" w:cs="Arial"/>
                <w:sz w:val="16"/>
                <w:szCs w:val="16"/>
                <w:lang w:val="en-GB"/>
              </w:rPr>
              <w:t>3</w:t>
            </w:r>
            <w:r w:rsidRPr="002D2F67">
              <w:rPr>
                <w:rFonts w:ascii="Arial" w:hAnsi="Arial" w:cs="Arial"/>
                <w:sz w:val="16"/>
                <w:szCs w:val="16"/>
              </w:rPr>
              <w:t>,</w:t>
            </w:r>
            <w:r w:rsidR="00CD5714" w:rsidRPr="00CD5714">
              <w:rPr>
                <w:rFonts w:ascii="Arial" w:hAnsi="Arial" w:cs="Arial"/>
                <w:sz w:val="16"/>
                <w:szCs w:val="16"/>
                <w:lang w:val="en-GB"/>
              </w:rPr>
              <w:t>844</w:t>
            </w:r>
            <w:r w:rsidRPr="002D2F67">
              <w:rPr>
                <w:rFonts w:ascii="Arial" w:hAnsi="Arial" w:cs="Arial"/>
                <w:sz w:val="16"/>
                <w:szCs w:val="16"/>
              </w:rPr>
              <w:t>)</w:t>
            </w:r>
          </w:p>
        </w:tc>
        <w:tc>
          <w:tcPr>
            <w:tcW w:w="792" w:type="dxa"/>
            <w:shd w:val="clear" w:color="auto" w:fill="auto"/>
            <w:vAlign w:val="bottom"/>
          </w:tcPr>
          <w:p w14:paraId="499D8639" w14:textId="2C53B07A" w:rsidR="004065BE" w:rsidRPr="002D2F67" w:rsidRDefault="009832F4" w:rsidP="00D21F5E">
            <w:pPr>
              <w:widowControl w:val="0"/>
              <w:ind w:left="-64" w:right="-72"/>
              <w:contextualSpacing/>
              <w:jc w:val="right"/>
              <w:rPr>
                <w:rFonts w:ascii="Arial" w:hAnsi="Arial" w:cs="Arial"/>
                <w:sz w:val="16"/>
                <w:szCs w:val="16"/>
                <w:cs/>
              </w:rPr>
            </w:pPr>
            <w:r w:rsidRPr="002D2F67">
              <w:rPr>
                <w:rFonts w:ascii="Arial" w:hAnsi="Arial" w:cs="Arial"/>
                <w:sz w:val="16"/>
                <w:szCs w:val="16"/>
              </w:rPr>
              <w:t>(</w:t>
            </w:r>
            <w:r w:rsidR="00CD5714" w:rsidRPr="00CD5714">
              <w:rPr>
                <w:rFonts w:ascii="Arial" w:hAnsi="Arial" w:cs="Arial"/>
                <w:sz w:val="16"/>
                <w:szCs w:val="16"/>
                <w:lang w:val="en-GB"/>
              </w:rPr>
              <w:t>5</w:t>
            </w:r>
            <w:r w:rsidRPr="002D2F67">
              <w:rPr>
                <w:rFonts w:ascii="Arial" w:hAnsi="Arial" w:cs="Arial"/>
                <w:sz w:val="16"/>
                <w:szCs w:val="16"/>
              </w:rPr>
              <w:t>,</w:t>
            </w:r>
            <w:r w:rsidR="00CD5714" w:rsidRPr="00CD5714">
              <w:rPr>
                <w:rFonts w:ascii="Arial" w:hAnsi="Arial" w:cs="Arial"/>
                <w:sz w:val="16"/>
                <w:szCs w:val="16"/>
                <w:lang w:val="en-GB"/>
              </w:rPr>
              <w:t>866</w:t>
            </w:r>
            <w:r w:rsidRPr="002D2F67">
              <w:rPr>
                <w:rFonts w:ascii="Arial" w:hAnsi="Arial" w:cs="Arial"/>
                <w:sz w:val="16"/>
                <w:szCs w:val="16"/>
              </w:rPr>
              <w:t>)</w:t>
            </w:r>
          </w:p>
        </w:tc>
        <w:tc>
          <w:tcPr>
            <w:tcW w:w="792" w:type="dxa"/>
            <w:shd w:val="clear" w:color="auto" w:fill="auto"/>
            <w:vAlign w:val="bottom"/>
          </w:tcPr>
          <w:p w14:paraId="3B3313F8" w14:textId="66B50F99" w:rsidR="004065BE" w:rsidRPr="002D2F67" w:rsidRDefault="00765943" w:rsidP="00D21F5E">
            <w:pPr>
              <w:widowControl w:val="0"/>
              <w:ind w:left="-64" w:right="-72"/>
              <w:contextualSpacing/>
              <w:jc w:val="right"/>
              <w:rPr>
                <w:rFonts w:ascii="Arial" w:hAnsi="Arial" w:cs="Arial"/>
                <w:sz w:val="16"/>
                <w:szCs w:val="16"/>
                <w:cs/>
              </w:rPr>
            </w:pPr>
            <w:r w:rsidRPr="002D2F67">
              <w:rPr>
                <w:rFonts w:ascii="Arial" w:hAnsi="Arial" w:cs="Arial"/>
                <w:sz w:val="16"/>
                <w:szCs w:val="16"/>
              </w:rPr>
              <w:t>(</w:t>
            </w:r>
            <w:r w:rsidR="00CD5714" w:rsidRPr="00CD5714">
              <w:rPr>
                <w:rFonts w:ascii="Arial" w:hAnsi="Arial" w:cs="Arial"/>
                <w:sz w:val="16"/>
                <w:szCs w:val="16"/>
                <w:lang w:val="en-GB"/>
              </w:rPr>
              <w:t>3</w:t>
            </w:r>
            <w:r w:rsidRPr="002D2F67">
              <w:rPr>
                <w:rFonts w:ascii="Arial" w:hAnsi="Arial" w:cs="Arial"/>
                <w:sz w:val="16"/>
                <w:szCs w:val="16"/>
              </w:rPr>
              <w:t>,</w:t>
            </w:r>
            <w:r w:rsidR="00CD5714" w:rsidRPr="00CD5714">
              <w:rPr>
                <w:rFonts w:ascii="Arial" w:hAnsi="Arial" w:cs="Arial"/>
                <w:sz w:val="16"/>
                <w:szCs w:val="16"/>
                <w:lang w:val="en-GB"/>
              </w:rPr>
              <w:t>259</w:t>
            </w:r>
            <w:r w:rsidRPr="002D2F67">
              <w:rPr>
                <w:rFonts w:ascii="Arial" w:hAnsi="Arial" w:cs="Arial"/>
                <w:sz w:val="16"/>
                <w:szCs w:val="16"/>
              </w:rPr>
              <w:t>)</w:t>
            </w:r>
          </w:p>
        </w:tc>
        <w:tc>
          <w:tcPr>
            <w:tcW w:w="792" w:type="dxa"/>
            <w:shd w:val="clear" w:color="auto" w:fill="auto"/>
            <w:vAlign w:val="bottom"/>
          </w:tcPr>
          <w:p w14:paraId="3191F413" w14:textId="4E1C9079" w:rsidR="004065BE" w:rsidRPr="002D2F67" w:rsidRDefault="00765943"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3</w:t>
            </w:r>
            <w:r w:rsidRPr="002D2F67">
              <w:rPr>
                <w:rFonts w:ascii="Arial" w:hAnsi="Arial" w:cs="Arial"/>
                <w:sz w:val="16"/>
                <w:szCs w:val="16"/>
              </w:rPr>
              <w:t>,</w:t>
            </w:r>
            <w:r w:rsidR="00CD5714" w:rsidRPr="00CD5714">
              <w:rPr>
                <w:rFonts w:ascii="Arial" w:hAnsi="Arial" w:cs="Arial"/>
                <w:sz w:val="16"/>
                <w:szCs w:val="16"/>
                <w:lang w:val="en-GB"/>
              </w:rPr>
              <w:t>266</w:t>
            </w:r>
            <w:r w:rsidRPr="002D2F67">
              <w:rPr>
                <w:rFonts w:ascii="Arial" w:hAnsi="Arial" w:cs="Arial"/>
                <w:sz w:val="16"/>
                <w:szCs w:val="16"/>
              </w:rPr>
              <w:t>)</w:t>
            </w:r>
          </w:p>
        </w:tc>
        <w:tc>
          <w:tcPr>
            <w:tcW w:w="792" w:type="dxa"/>
            <w:shd w:val="clear" w:color="auto" w:fill="auto"/>
            <w:vAlign w:val="bottom"/>
          </w:tcPr>
          <w:p w14:paraId="474D54B8" w14:textId="5522CCDF" w:rsidR="004065BE" w:rsidRPr="002D2F67" w:rsidRDefault="001F3B11"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2</w:t>
            </w:r>
            <w:r w:rsidR="00DB2B9A" w:rsidRPr="002D2F67">
              <w:rPr>
                <w:rFonts w:ascii="Arial" w:hAnsi="Arial" w:cs="Arial"/>
                <w:sz w:val="16"/>
                <w:szCs w:val="16"/>
              </w:rPr>
              <w:t>,</w:t>
            </w:r>
            <w:r w:rsidR="00CD5714" w:rsidRPr="00CD5714">
              <w:rPr>
                <w:rFonts w:ascii="Arial" w:hAnsi="Arial" w:cs="Arial"/>
                <w:sz w:val="16"/>
                <w:szCs w:val="16"/>
                <w:lang w:val="en-GB"/>
              </w:rPr>
              <w:t>663</w:t>
            </w:r>
            <w:r w:rsidRPr="002D2F67">
              <w:rPr>
                <w:rFonts w:ascii="Arial" w:hAnsi="Arial" w:cs="Arial"/>
                <w:sz w:val="16"/>
                <w:szCs w:val="16"/>
              </w:rPr>
              <w:t>)</w:t>
            </w:r>
          </w:p>
        </w:tc>
        <w:tc>
          <w:tcPr>
            <w:tcW w:w="792" w:type="dxa"/>
            <w:shd w:val="clear" w:color="auto" w:fill="auto"/>
            <w:vAlign w:val="bottom"/>
          </w:tcPr>
          <w:p w14:paraId="7CB7EC2F" w14:textId="66296843" w:rsidR="004065BE" w:rsidRPr="002D2F67" w:rsidRDefault="002C7850" w:rsidP="00D21F5E">
            <w:pPr>
              <w:ind w:left="-64" w:right="-72"/>
              <w:contextualSpacing/>
              <w:jc w:val="right"/>
              <w:rPr>
                <w:rFonts w:ascii="Arial" w:hAnsi="Arial" w:cs="Arial"/>
                <w:sz w:val="16"/>
                <w:szCs w:val="16"/>
                <w:cs/>
              </w:rPr>
            </w:pPr>
            <w:r w:rsidRPr="002D2F67">
              <w:rPr>
                <w:rFonts w:ascii="Arial" w:hAnsi="Arial" w:cs="Arial"/>
                <w:sz w:val="16"/>
                <w:szCs w:val="16"/>
              </w:rPr>
              <w:t>(</w:t>
            </w:r>
            <w:r w:rsidR="00CD5714" w:rsidRPr="00CD5714">
              <w:rPr>
                <w:rFonts w:ascii="Arial" w:hAnsi="Arial" w:cs="Arial"/>
                <w:sz w:val="16"/>
                <w:szCs w:val="16"/>
                <w:lang w:val="en-GB"/>
              </w:rPr>
              <w:t>9</w:t>
            </w:r>
            <w:r w:rsidRPr="002D2F67">
              <w:rPr>
                <w:rFonts w:ascii="Arial" w:hAnsi="Arial" w:cs="Arial"/>
                <w:sz w:val="16"/>
                <w:szCs w:val="16"/>
              </w:rPr>
              <w:t>,</w:t>
            </w:r>
            <w:r w:rsidR="00CD5714" w:rsidRPr="00CD5714">
              <w:rPr>
                <w:rFonts w:ascii="Arial" w:hAnsi="Arial" w:cs="Arial"/>
                <w:sz w:val="16"/>
                <w:szCs w:val="16"/>
                <w:lang w:val="en-GB"/>
              </w:rPr>
              <w:t>904</w:t>
            </w:r>
            <w:r w:rsidRPr="002D2F67">
              <w:rPr>
                <w:rFonts w:ascii="Arial" w:hAnsi="Arial" w:cs="Arial"/>
                <w:sz w:val="16"/>
                <w:szCs w:val="16"/>
              </w:rPr>
              <w:t>)</w:t>
            </w:r>
          </w:p>
        </w:tc>
        <w:tc>
          <w:tcPr>
            <w:tcW w:w="792" w:type="dxa"/>
            <w:shd w:val="clear" w:color="auto" w:fill="auto"/>
            <w:vAlign w:val="bottom"/>
          </w:tcPr>
          <w:p w14:paraId="36ECC302" w14:textId="769E53E8" w:rsidR="004065BE" w:rsidRPr="002D2F67" w:rsidRDefault="00A41007" w:rsidP="00D21F5E">
            <w:pPr>
              <w:ind w:left="-64" w:right="-72"/>
              <w:contextualSpacing/>
              <w:jc w:val="right"/>
              <w:rPr>
                <w:rFonts w:ascii="Arial" w:hAnsi="Arial" w:cs="Arial"/>
                <w:sz w:val="16"/>
                <w:szCs w:val="16"/>
                <w:cs/>
              </w:rPr>
            </w:pPr>
            <w:r w:rsidRPr="002D2F67">
              <w:rPr>
                <w:rFonts w:ascii="Arial" w:hAnsi="Arial" w:cs="Arial"/>
                <w:sz w:val="16"/>
                <w:szCs w:val="16"/>
              </w:rPr>
              <w:t>(</w:t>
            </w:r>
            <w:r w:rsidR="00CD5714" w:rsidRPr="00CD5714">
              <w:rPr>
                <w:rFonts w:ascii="Arial" w:hAnsi="Arial" w:cs="Arial"/>
                <w:sz w:val="16"/>
                <w:szCs w:val="16"/>
                <w:lang w:val="en-GB"/>
              </w:rPr>
              <w:t>2</w:t>
            </w:r>
            <w:r w:rsidRPr="002D2F67">
              <w:rPr>
                <w:rFonts w:ascii="Arial" w:hAnsi="Arial" w:cs="Arial"/>
                <w:sz w:val="16"/>
                <w:szCs w:val="16"/>
              </w:rPr>
              <w:t>,</w:t>
            </w:r>
            <w:r w:rsidR="00CD5714" w:rsidRPr="00CD5714">
              <w:rPr>
                <w:rFonts w:ascii="Arial" w:hAnsi="Arial" w:cs="Arial"/>
                <w:sz w:val="16"/>
                <w:szCs w:val="16"/>
                <w:lang w:val="en-GB"/>
              </w:rPr>
              <w:t>783</w:t>
            </w:r>
            <w:r w:rsidRPr="002D2F67">
              <w:rPr>
                <w:rFonts w:ascii="Arial" w:hAnsi="Arial" w:cs="Arial"/>
                <w:sz w:val="16"/>
                <w:szCs w:val="16"/>
              </w:rPr>
              <w:t>)</w:t>
            </w:r>
          </w:p>
        </w:tc>
        <w:tc>
          <w:tcPr>
            <w:tcW w:w="792" w:type="dxa"/>
            <w:shd w:val="clear" w:color="auto" w:fill="auto"/>
            <w:vAlign w:val="bottom"/>
          </w:tcPr>
          <w:p w14:paraId="3401E7FD" w14:textId="3E68F1F6" w:rsidR="004065BE" w:rsidRPr="002D2F67" w:rsidRDefault="004539ED" w:rsidP="00D21F5E">
            <w:pPr>
              <w:ind w:left="-64" w:right="-72"/>
              <w:contextualSpacing/>
              <w:jc w:val="right"/>
              <w:rPr>
                <w:rFonts w:ascii="Arial" w:hAnsi="Arial" w:cs="Arial"/>
                <w:sz w:val="16"/>
                <w:szCs w:val="16"/>
                <w:cs/>
              </w:rPr>
            </w:pPr>
            <w:r w:rsidRPr="002D2F67">
              <w:rPr>
                <w:rFonts w:ascii="Arial" w:hAnsi="Arial" w:cs="Arial"/>
                <w:sz w:val="16"/>
                <w:szCs w:val="16"/>
              </w:rPr>
              <w:t>(</w:t>
            </w:r>
            <w:r w:rsidR="00CD5714" w:rsidRPr="00CD5714">
              <w:rPr>
                <w:rFonts w:ascii="Arial" w:hAnsi="Arial" w:cs="Arial"/>
                <w:sz w:val="16"/>
                <w:szCs w:val="16"/>
                <w:lang w:val="en-GB"/>
              </w:rPr>
              <w:t>5</w:t>
            </w:r>
            <w:r w:rsidRPr="002D2F67">
              <w:rPr>
                <w:rFonts w:ascii="Arial" w:hAnsi="Arial" w:cs="Arial"/>
                <w:sz w:val="16"/>
                <w:szCs w:val="16"/>
              </w:rPr>
              <w:t>,</w:t>
            </w:r>
            <w:r w:rsidR="00CD5714" w:rsidRPr="00CD5714">
              <w:rPr>
                <w:rFonts w:ascii="Arial" w:hAnsi="Arial" w:cs="Arial"/>
                <w:sz w:val="16"/>
                <w:szCs w:val="16"/>
                <w:lang w:val="en-GB"/>
              </w:rPr>
              <w:t>500</w:t>
            </w:r>
            <w:r w:rsidRPr="002D2F67">
              <w:rPr>
                <w:rFonts w:ascii="Arial" w:hAnsi="Arial" w:cs="Arial"/>
                <w:sz w:val="16"/>
                <w:szCs w:val="16"/>
              </w:rPr>
              <w:t>)</w:t>
            </w:r>
          </w:p>
        </w:tc>
        <w:tc>
          <w:tcPr>
            <w:tcW w:w="792" w:type="dxa"/>
            <w:shd w:val="clear" w:color="auto" w:fill="auto"/>
            <w:vAlign w:val="bottom"/>
          </w:tcPr>
          <w:p w14:paraId="482D9A98" w14:textId="04A3B71D" w:rsidR="004065BE" w:rsidRPr="002D2F67" w:rsidRDefault="005C4548" w:rsidP="00D21F5E">
            <w:pPr>
              <w:ind w:left="-64" w:right="-72"/>
              <w:contextualSpacing/>
              <w:jc w:val="right"/>
              <w:rPr>
                <w:rFonts w:ascii="Arial" w:hAnsi="Arial" w:cs="Arial"/>
                <w:sz w:val="16"/>
                <w:szCs w:val="16"/>
                <w:cs/>
              </w:rPr>
            </w:pPr>
            <w:r w:rsidRPr="002D2F67">
              <w:rPr>
                <w:rFonts w:ascii="Arial" w:hAnsi="Arial" w:cs="Arial"/>
                <w:sz w:val="16"/>
                <w:szCs w:val="16"/>
              </w:rPr>
              <w:t>(</w:t>
            </w:r>
            <w:r w:rsidR="00CD5714" w:rsidRPr="00CD5714">
              <w:rPr>
                <w:rFonts w:ascii="Arial" w:hAnsi="Arial" w:cs="Arial"/>
                <w:sz w:val="16"/>
                <w:szCs w:val="16"/>
                <w:lang w:val="en-GB"/>
              </w:rPr>
              <w:t>1</w:t>
            </w:r>
            <w:r w:rsidRPr="002D2F67">
              <w:rPr>
                <w:rFonts w:ascii="Arial" w:hAnsi="Arial" w:cs="Arial"/>
                <w:sz w:val="16"/>
                <w:szCs w:val="16"/>
              </w:rPr>
              <w:t>,</w:t>
            </w:r>
            <w:r w:rsidR="00CD5714" w:rsidRPr="00CD5714">
              <w:rPr>
                <w:rFonts w:ascii="Arial" w:hAnsi="Arial" w:cs="Arial"/>
                <w:sz w:val="16"/>
                <w:szCs w:val="16"/>
                <w:lang w:val="en-GB"/>
              </w:rPr>
              <w:t>403</w:t>
            </w:r>
            <w:r w:rsidRPr="002D2F67">
              <w:rPr>
                <w:rFonts w:ascii="Arial" w:hAnsi="Arial" w:cs="Arial"/>
                <w:sz w:val="16"/>
                <w:szCs w:val="16"/>
              </w:rPr>
              <w:t>)</w:t>
            </w:r>
          </w:p>
        </w:tc>
        <w:tc>
          <w:tcPr>
            <w:tcW w:w="792" w:type="dxa"/>
            <w:shd w:val="clear" w:color="auto" w:fill="auto"/>
            <w:vAlign w:val="bottom"/>
          </w:tcPr>
          <w:p w14:paraId="18909037" w14:textId="73B91F1B" w:rsidR="004065BE" w:rsidRPr="002D2F67" w:rsidRDefault="00C06EB8" w:rsidP="00D21F5E">
            <w:pPr>
              <w:ind w:left="-64" w:right="-72"/>
              <w:contextualSpacing/>
              <w:jc w:val="right"/>
              <w:rPr>
                <w:rFonts w:ascii="Arial" w:hAnsi="Arial" w:cs="Arial"/>
                <w:sz w:val="16"/>
                <w:szCs w:val="16"/>
                <w:cs/>
              </w:rPr>
            </w:pPr>
            <w:r w:rsidRPr="002D2F67">
              <w:rPr>
                <w:rFonts w:ascii="Arial" w:hAnsi="Arial" w:cs="Arial"/>
                <w:sz w:val="16"/>
                <w:szCs w:val="16"/>
              </w:rPr>
              <w:t>(</w:t>
            </w:r>
            <w:r w:rsidR="00CD5714" w:rsidRPr="00CD5714">
              <w:rPr>
                <w:rFonts w:ascii="Arial" w:hAnsi="Arial" w:cs="Arial"/>
                <w:sz w:val="16"/>
                <w:szCs w:val="16"/>
                <w:lang w:val="en-GB"/>
              </w:rPr>
              <w:t>1</w:t>
            </w:r>
            <w:r w:rsidRPr="002D2F67">
              <w:rPr>
                <w:rFonts w:ascii="Arial" w:hAnsi="Arial" w:cs="Arial"/>
                <w:sz w:val="16"/>
                <w:szCs w:val="16"/>
              </w:rPr>
              <w:t>,</w:t>
            </w:r>
            <w:r w:rsidR="00CD5714" w:rsidRPr="00CD5714">
              <w:rPr>
                <w:rFonts w:ascii="Arial" w:hAnsi="Arial" w:cs="Arial"/>
                <w:sz w:val="16"/>
                <w:szCs w:val="16"/>
                <w:lang w:val="en-GB"/>
              </w:rPr>
              <w:t>088</w:t>
            </w:r>
            <w:r w:rsidRPr="002D2F67">
              <w:rPr>
                <w:rFonts w:ascii="Arial" w:hAnsi="Arial" w:cs="Arial"/>
                <w:sz w:val="16"/>
                <w:szCs w:val="16"/>
              </w:rPr>
              <w:t>)</w:t>
            </w:r>
          </w:p>
        </w:tc>
        <w:tc>
          <w:tcPr>
            <w:tcW w:w="792" w:type="dxa"/>
            <w:shd w:val="clear" w:color="auto" w:fill="auto"/>
            <w:vAlign w:val="bottom"/>
          </w:tcPr>
          <w:p w14:paraId="7CF93D08" w14:textId="3A19A047" w:rsidR="004065BE" w:rsidRPr="002D2F67" w:rsidRDefault="002102A1" w:rsidP="00D21F5E">
            <w:pPr>
              <w:ind w:left="-64" w:right="-72"/>
              <w:contextualSpacing/>
              <w:jc w:val="right"/>
              <w:rPr>
                <w:rFonts w:ascii="Arial" w:hAnsi="Arial" w:cs="Arial"/>
                <w:sz w:val="16"/>
                <w:szCs w:val="16"/>
                <w:cs/>
              </w:rPr>
            </w:pPr>
            <w:r w:rsidRPr="002D2F67">
              <w:rPr>
                <w:rFonts w:ascii="Arial" w:hAnsi="Arial" w:cs="Arial"/>
                <w:sz w:val="16"/>
                <w:szCs w:val="16"/>
              </w:rPr>
              <w:t>(</w:t>
            </w:r>
            <w:r w:rsidR="00CD5714" w:rsidRPr="00CD5714">
              <w:rPr>
                <w:rFonts w:ascii="Arial" w:hAnsi="Arial" w:cs="Arial"/>
                <w:sz w:val="16"/>
                <w:szCs w:val="16"/>
                <w:lang w:val="en-GB"/>
              </w:rPr>
              <w:t>792</w:t>
            </w:r>
            <w:r w:rsidR="00BE4773" w:rsidRPr="002D2F67">
              <w:rPr>
                <w:rFonts w:ascii="Arial" w:hAnsi="Arial" w:cs="Arial"/>
                <w:sz w:val="16"/>
                <w:szCs w:val="16"/>
              </w:rPr>
              <w:t>)</w:t>
            </w:r>
          </w:p>
        </w:tc>
        <w:tc>
          <w:tcPr>
            <w:tcW w:w="792" w:type="dxa"/>
            <w:shd w:val="clear" w:color="auto" w:fill="auto"/>
            <w:vAlign w:val="bottom"/>
          </w:tcPr>
          <w:p w14:paraId="00A75ECF" w14:textId="14C90AF7" w:rsidR="004065BE" w:rsidRPr="002D2F67" w:rsidRDefault="00BE4773" w:rsidP="00D21F5E">
            <w:pPr>
              <w:ind w:left="-64" w:right="-72"/>
              <w:contextualSpacing/>
              <w:jc w:val="right"/>
              <w:rPr>
                <w:rFonts w:ascii="Arial" w:hAnsi="Arial" w:cs="Arial"/>
                <w:sz w:val="16"/>
                <w:szCs w:val="16"/>
                <w:cs/>
              </w:rPr>
            </w:pPr>
            <w:r w:rsidRPr="002D2F67">
              <w:rPr>
                <w:rFonts w:ascii="Arial" w:hAnsi="Arial" w:cs="Arial"/>
                <w:sz w:val="16"/>
                <w:szCs w:val="16"/>
              </w:rPr>
              <w:t>(</w:t>
            </w:r>
            <w:r w:rsidR="00CD5714" w:rsidRPr="00CD5714">
              <w:rPr>
                <w:rFonts w:ascii="Arial" w:hAnsi="Arial" w:cs="Arial"/>
                <w:sz w:val="16"/>
                <w:szCs w:val="16"/>
                <w:lang w:val="en-GB"/>
              </w:rPr>
              <w:t>64</w:t>
            </w:r>
            <w:r w:rsidRPr="002D2F67">
              <w:rPr>
                <w:rFonts w:ascii="Arial" w:hAnsi="Arial" w:cs="Arial"/>
                <w:sz w:val="16"/>
                <w:szCs w:val="16"/>
              </w:rPr>
              <w:t>)</w:t>
            </w:r>
          </w:p>
        </w:tc>
        <w:tc>
          <w:tcPr>
            <w:tcW w:w="792" w:type="dxa"/>
            <w:shd w:val="clear" w:color="auto" w:fill="auto"/>
            <w:vAlign w:val="bottom"/>
          </w:tcPr>
          <w:p w14:paraId="2FECEB44" w14:textId="582F64E2"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1</w:t>
            </w:r>
            <w:r w:rsidR="008829BE" w:rsidRPr="002D2F67">
              <w:rPr>
                <w:rFonts w:ascii="Arial" w:hAnsi="Arial" w:cs="Arial"/>
                <w:sz w:val="16"/>
                <w:szCs w:val="16"/>
              </w:rPr>
              <w:t>,</w:t>
            </w:r>
            <w:r w:rsidRPr="00CD5714">
              <w:rPr>
                <w:rFonts w:ascii="Arial" w:hAnsi="Arial" w:cs="Arial"/>
                <w:sz w:val="16"/>
                <w:szCs w:val="16"/>
                <w:lang w:val="en-GB"/>
              </w:rPr>
              <w:t>392</w:t>
            </w:r>
          </w:p>
        </w:tc>
        <w:tc>
          <w:tcPr>
            <w:tcW w:w="792" w:type="dxa"/>
            <w:shd w:val="clear" w:color="auto" w:fill="auto"/>
            <w:vAlign w:val="bottom"/>
          </w:tcPr>
          <w:p w14:paraId="2F0A4ECC" w14:textId="44DABA7E"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4</w:t>
            </w:r>
            <w:r w:rsidR="00336066" w:rsidRPr="002D2F67">
              <w:rPr>
                <w:rFonts w:ascii="Arial" w:hAnsi="Arial" w:cs="Arial"/>
                <w:sz w:val="16"/>
                <w:szCs w:val="16"/>
              </w:rPr>
              <w:t>,</w:t>
            </w:r>
            <w:r w:rsidRPr="00CD5714">
              <w:rPr>
                <w:rFonts w:ascii="Arial" w:hAnsi="Arial" w:cs="Arial"/>
                <w:sz w:val="16"/>
                <w:szCs w:val="16"/>
                <w:lang w:val="en-GB"/>
              </w:rPr>
              <w:t>591</w:t>
            </w:r>
          </w:p>
        </w:tc>
        <w:tc>
          <w:tcPr>
            <w:tcW w:w="792" w:type="dxa"/>
            <w:shd w:val="clear" w:color="auto" w:fill="auto"/>
            <w:vAlign w:val="bottom"/>
          </w:tcPr>
          <w:p w14:paraId="397DA4D7" w14:textId="0A5F90F9" w:rsidR="004065BE" w:rsidRPr="002D2F67" w:rsidRDefault="00A41007" w:rsidP="00D21F5E">
            <w:pPr>
              <w:ind w:left="-64" w:right="-72"/>
              <w:contextualSpacing/>
              <w:jc w:val="right"/>
              <w:rPr>
                <w:rFonts w:ascii="Arial" w:hAnsi="Arial" w:cs="Arial"/>
                <w:sz w:val="16"/>
                <w:szCs w:val="16"/>
                <w:cs/>
                <w:lang w:val="en-GB"/>
              </w:rPr>
            </w:pPr>
            <w:r w:rsidRPr="002D2F67">
              <w:rPr>
                <w:rFonts w:ascii="Arial" w:hAnsi="Arial" w:cs="Arial"/>
                <w:sz w:val="16"/>
                <w:szCs w:val="16"/>
              </w:rPr>
              <w:t>(</w:t>
            </w:r>
            <w:r w:rsidR="00CD5714" w:rsidRPr="00CD5714">
              <w:rPr>
                <w:rFonts w:ascii="Arial" w:hAnsi="Arial" w:cs="Arial"/>
                <w:sz w:val="16"/>
                <w:szCs w:val="16"/>
                <w:lang w:val="en-GB"/>
              </w:rPr>
              <w:t>13</w:t>
            </w:r>
            <w:r w:rsidRPr="002D2F67">
              <w:rPr>
                <w:rFonts w:ascii="Arial" w:hAnsi="Arial" w:cs="Arial"/>
                <w:sz w:val="16"/>
                <w:szCs w:val="16"/>
              </w:rPr>
              <w:t>,</w:t>
            </w:r>
            <w:r w:rsidR="00CD5714" w:rsidRPr="00CD5714">
              <w:rPr>
                <w:rFonts w:ascii="Arial" w:hAnsi="Arial" w:cs="Arial"/>
                <w:sz w:val="16"/>
                <w:szCs w:val="16"/>
                <w:lang w:val="en-GB"/>
              </w:rPr>
              <w:t>352</w:t>
            </w:r>
            <w:r w:rsidRPr="002D2F67">
              <w:rPr>
                <w:rFonts w:ascii="Arial" w:hAnsi="Arial" w:cs="Arial"/>
                <w:sz w:val="16"/>
                <w:szCs w:val="16"/>
              </w:rPr>
              <w:t>)</w:t>
            </w:r>
          </w:p>
        </w:tc>
        <w:tc>
          <w:tcPr>
            <w:tcW w:w="792" w:type="dxa"/>
            <w:shd w:val="clear" w:color="auto" w:fill="auto"/>
            <w:vAlign w:val="bottom"/>
          </w:tcPr>
          <w:p w14:paraId="24299B32" w14:textId="7C981069" w:rsidR="004065BE" w:rsidRPr="002D2F67" w:rsidRDefault="00971897"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21</w:t>
            </w:r>
            <w:r w:rsidRPr="002D2F67">
              <w:rPr>
                <w:rFonts w:ascii="Arial" w:hAnsi="Arial" w:cs="Arial"/>
                <w:sz w:val="16"/>
                <w:szCs w:val="16"/>
              </w:rPr>
              <w:t>,</w:t>
            </w:r>
            <w:r w:rsidR="00CD5714" w:rsidRPr="00CD5714">
              <w:rPr>
                <w:rFonts w:ascii="Arial" w:hAnsi="Arial" w:cs="Arial"/>
                <w:sz w:val="16"/>
                <w:szCs w:val="16"/>
                <w:lang w:val="en-GB"/>
              </w:rPr>
              <w:t>097</w:t>
            </w:r>
            <w:r w:rsidRPr="002D2F67">
              <w:rPr>
                <w:rFonts w:ascii="Arial" w:hAnsi="Arial" w:cs="Arial"/>
                <w:sz w:val="16"/>
                <w:szCs w:val="16"/>
              </w:rPr>
              <w:t>)</w:t>
            </w:r>
          </w:p>
        </w:tc>
      </w:tr>
      <w:tr w:rsidR="004065BE" w:rsidRPr="002D2F67" w14:paraId="27A9799D" w14:textId="77777777" w:rsidTr="002D2F67">
        <w:trPr>
          <w:trHeight w:val="114"/>
        </w:trPr>
        <w:tc>
          <w:tcPr>
            <w:tcW w:w="3168" w:type="dxa"/>
          </w:tcPr>
          <w:p w14:paraId="1DFFCDD8" w14:textId="77777777" w:rsidR="00706C8B" w:rsidRPr="002D2F67" w:rsidRDefault="004065BE" w:rsidP="00706C8B">
            <w:pPr>
              <w:widowControl w:val="0"/>
              <w:ind w:left="30" w:right="-76"/>
              <w:contextualSpacing/>
              <w:rPr>
                <w:rFonts w:ascii="Arial" w:hAnsi="Arial" w:cs="Arial"/>
                <w:sz w:val="16"/>
                <w:szCs w:val="16"/>
              </w:rPr>
            </w:pPr>
            <w:r w:rsidRPr="002D2F67">
              <w:rPr>
                <w:rFonts w:ascii="Arial" w:hAnsi="Arial" w:cs="Arial"/>
                <w:sz w:val="16"/>
                <w:szCs w:val="16"/>
              </w:rPr>
              <w:t xml:space="preserve">Losses from changes in shareholding </w:t>
            </w:r>
          </w:p>
          <w:p w14:paraId="609B7FAF" w14:textId="77777777" w:rsidR="002D2F67" w:rsidRPr="002D2F67" w:rsidRDefault="00706C8B" w:rsidP="00706C8B">
            <w:pPr>
              <w:widowControl w:val="0"/>
              <w:ind w:left="30" w:right="-76"/>
              <w:contextualSpacing/>
              <w:rPr>
                <w:rFonts w:ascii="Arial" w:hAnsi="Arial" w:cs="Arial"/>
                <w:sz w:val="16"/>
                <w:szCs w:val="16"/>
              </w:rPr>
            </w:pPr>
            <w:r w:rsidRPr="002D2F67">
              <w:rPr>
                <w:rFonts w:ascii="Arial" w:hAnsi="Arial" w:cs="Arial"/>
                <w:sz w:val="16"/>
                <w:szCs w:val="16"/>
              </w:rPr>
              <w:t xml:space="preserve">   </w:t>
            </w:r>
            <w:r w:rsidR="004065BE" w:rsidRPr="002D2F67">
              <w:rPr>
                <w:rFonts w:ascii="Arial" w:hAnsi="Arial" w:cs="Arial"/>
                <w:sz w:val="16"/>
                <w:szCs w:val="16"/>
              </w:rPr>
              <w:t xml:space="preserve">interests in investments </w:t>
            </w:r>
          </w:p>
          <w:p w14:paraId="331FB6A3" w14:textId="358AAFA3" w:rsidR="004065BE" w:rsidRPr="002D2F67" w:rsidRDefault="002D2F67" w:rsidP="00706C8B">
            <w:pPr>
              <w:widowControl w:val="0"/>
              <w:ind w:left="30" w:right="-76"/>
              <w:contextualSpacing/>
              <w:rPr>
                <w:rFonts w:ascii="Arial" w:hAnsi="Arial" w:cs="Arial"/>
                <w:sz w:val="16"/>
                <w:szCs w:val="16"/>
              </w:rPr>
            </w:pPr>
            <w:r w:rsidRPr="002D2F67">
              <w:rPr>
                <w:rFonts w:ascii="Arial" w:hAnsi="Arial" w:cs="Arial"/>
                <w:sz w:val="16"/>
                <w:szCs w:val="16"/>
              </w:rPr>
              <w:t xml:space="preserve">   </w:t>
            </w:r>
            <w:r w:rsidR="004065BE" w:rsidRPr="002D2F67">
              <w:rPr>
                <w:rFonts w:ascii="Arial" w:hAnsi="Arial" w:cs="Arial"/>
                <w:sz w:val="16"/>
                <w:szCs w:val="16"/>
              </w:rPr>
              <w:t>in associates, net</w:t>
            </w:r>
          </w:p>
        </w:tc>
        <w:tc>
          <w:tcPr>
            <w:tcW w:w="792" w:type="dxa"/>
            <w:shd w:val="clear" w:color="auto" w:fill="auto"/>
            <w:vAlign w:val="bottom"/>
          </w:tcPr>
          <w:p w14:paraId="62AE5F5C" w14:textId="5D8FDE08" w:rsidR="004065BE" w:rsidRPr="002D2F67" w:rsidRDefault="004065BE" w:rsidP="00D21F5E">
            <w:pPr>
              <w:widowControl w:val="0"/>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568D2596" w14:textId="7345AFAC" w:rsidR="004065BE" w:rsidRPr="002D2F67" w:rsidRDefault="009832F4" w:rsidP="00D21F5E">
            <w:pPr>
              <w:widowControl w:val="0"/>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7FE7CB2C" w14:textId="5371405C" w:rsidR="004065BE" w:rsidRPr="002D2F67" w:rsidRDefault="00765943" w:rsidP="00D21F5E">
            <w:pPr>
              <w:widowControl w:val="0"/>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7A6A5576" w14:textId="3ABEF266" w:rsidR="004065BE" w:rsidRPr="002D2F67" w:rsidRDefault="00765943"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5C5D8115" w14:textId="4A65F8E3" w:rsidR="004065BE" w:rsidRPr="002D2F67" w:rsidRDefault="001F3B11"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0A2DEE28" w14:textId="450A0165" w:rsidR="004065BE" w:rsidRPr="002D2F67" w:rsidRDefault="002C7850"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1F161ABF" w14:textId="2BE44CDE" w:rsidR="004065BE" w:rsidRPr="002D2F67" w:rsidRDefault="005432AD"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2E0CDD4A" w14:textId="7065BDEE" w:rsidR="004065BE" w:rsidRPr="002D2F67" w:rsidRDefault="004539ED"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3E9239CC" w14:textId="0A345923" w:rsidR="004065BE" w:rsidRPr="002D2F67" w:rsidRDefault="005C4548"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0AC01FC1" w14:textId="154C48FE" w:rsidR="004065BE" w:rsidRPr="002D2F67" w:rsidRDefault="00C06EB8"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078EDE06" w14:textId="08F262D9" w:rsidR="004065BE" w:rsidRPr="002D2F67" w:rsidRDefault="00EA7CC6"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15</w:t>
            </w:r>
            <w:r w:rsidRPr="002D2F67">
              <w:rPr>
                <w:rFonts w:ascii="Arial" w:hAnsi="Arial" w:cs="Arial"/>
                <w:sz w:val="16"/>
                <w:szCs w:val="16"/>
              </w:rPr>
              <w:t>)</w:t>
            </w:r>
          </w:p>
        </w:tc>
        <w:tc>
          <w:tcPr>
            <w:tcW w:w="792" w:type="dxa"/>
            <w:shd w:val="clear" w:color="auto" w:fill="auto"/>
            <w:vAlign w:val="bottom"/>
          </w:tcPr>
          <w:p w14:paraId="0EE8346B" w14:textId="76344402" w:rsidR="004065BE" w:rsidRPr="002D2F67" w:rsidRDefault="00BE4773"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671</w:t>
            </w:r>
            <w:r w:rsidRPr="002D2F67">
              <w:rPr>
                <w:rFonts w:ascii="Arial" w:hAnsi="Arial" w:cs="Arial"/>
                <w:sz w:val="16"/>
                <w:szCs w:val="16"/>
              </w:rPr>
              <w:t>)</w:t>
            </w:r>
          </w:p>
        </w:tc>
        <w:tc>
          <w:tcPr>
            <w:tcW w:w="792" w:type="dxa"/>
            <w:shd w:val="clear" w:color="auto" w:fill="auto"/>
            <w:vAlign w:val="bottom"/>
          </w:tcPr>
          <w:p w14:paraId="7D2FB519" w14:textId="20D36C6D" w:rsidR="004065BE" w:rsidRPr="002D2F67" w:rsidRDefault="008829BE"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2A43842F" w14:textId="69F3558E" w:rsidR="004065BE" w:rsidRPr="002D2F67" w:rsidRDefault="000862CA"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7B32BB8A" w14:textId="47BE2F87" w:rsidR="004065BE" w:rsidRPr="002D2F67" w:rsidRDefault="00EA7CC6"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15</w:t>
            </w:r>
            <w:r w:rsidRPr="002D2F67">
              <w:rPr>
                <w:rFonts w:ascii="Arial" w:hAnsi="Arial" w:cs="Arial"/>
                <w:sz w:val="16"/>
                <w:szCs w:val="16"/>
              </w:rPr>
              <w:t>)</w:t>
            </w:r>
          </w:p>
        </w:tc>
        <w:tc>
          <w:tcPr>
            <w:tcW w:w="792" w:type="dxa"/>
            <w:shd w:val="clear" w:color="auto" w:fill="auto"/>
            <w:vAlign w:val="bottom"/>
          </w:tcPr>
          <w:p w14:paraId="64518D60" w14:textId="08990713" w:rsidR="004065BE" w:rsidRPr="002D2F67" w:rsidRDefault="00971897"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671</w:t>
            </w:r>
            <w:r w:rsidRPr="002D2F67">
              <w:rPr>
                <w:rFonts w:ascii="Arial" w:hAnsi="Arial" w:cs="Arial"/>
                <w:sz w:val="16"/>
                <w:szCs w:val="16"/>
              </w:rPr>
              <w:t>)</w:t>
            </w:r>
          </w:p>
        </w:tc>
      </w:tr>
      <w:tr w:rsidR="004065BE" w:rsidRPr="002D2F67" w14:paraId="2C550C40" w14:textId="77777777" w:rsidTr="002D2F67">
        <w:trPr>
          <w:trHeight w:val="114"/>
        </w:trPr>
        <w:tc>
          <w:tcPr>
            <w:tcW w:w="3168" w:type="dxa"/>
          </w:tcPr>
          <w:p w14:paraId="2BAB386E" w14:textId="77777777" w:rsidR="004065BE" w:rsidRPr="002D2F67" w:rsidRDefault="004065BE" w:rsidP="00706C8B">
            <w:pPr>
              <w:widowControl w:val="0"/>
              <w:ind w:left="30" w:right="-76"/>
              <w:contextualSpacing/>
              <w:rPr>
                <w:rFonts w:ascii="Arial" w:hAnsi="Arial" w:cs="Arial"/>
                <w:sz w:val="16"/>
                <w:szCs w:val="16"/>
              </w:rPr>
            </w:pPr>
            <w:r w:rsidRPr="002D2F67">
              <w:rPr>
                <w:rFonts w:ascii="Arial" w:hAnsi="Arial" w:cs="Arial"/>
                <w:sz w:val="16"/>
                <w:szCs w:val="16"/>
              </w:rPr>
              <w:t>Expected credit loss</w:t>
            </w:r>
          </w:p>
        </w:tc>
        <w:tc>
          <w:tcPr>
            <w:tcW w:w="792" w:type="dxa"/>
            <w:shd w:val="clear" w:color="auto" w:fill="auto"/>
            <w:vAlign w:val="bottom"/>
          </w:tcPr>
          <w:p w14:paraId="62A096DF" w14:textId="26D36D64" w:rsidR="004065BE" w:rsidRPr="002D2F67" w:rsidRDefault="004065BE" w:rsidP="00D21F5E">
            <w:pPr>
              <w:widowControl w:val="0"/>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45C8CAB8" w14:textId="79685914" w:rsidR="004065BE" w:rsidRPr="002D2F67" w:rsidRDefault="001162FF" w:rsidP="00D21F5E">
            <w:pPr>
              <w:widowControl w:val="0"/>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4315C94A" w14:textId="12C1B8E6" w:rsidR="004065BE" w:rsidRPr="002D2F67" w:rsidRDefault="00765943" w:rsidP="00D21F5E">
            <w:pPr>
              <w:widowControl w:val="0"/>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35D7EA8F" w14:textId="046425FC" w:rsidR="004065BE" w:rsidRPr="002D2F67" w:rsidRDefault="00765943"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374E3F26" w14:textId="3F2889C5" w:rsidR="004065BE" w:rsidRPr="002D2F67" w:rsidRDefault="00A41007"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1</w:t>
            </w:r>
            <w:r w:rsidRPr="002D2F67">
              <w:rPr>
                <w:rFonts w:ascii="Arial" w:hAnsi="Arial" w:cs="Arial"/>
                <w:sz w:val="16"/>
                <w:szCs w:val="16"/>
              </w:rPr>
              <w:t>,</w:t>
            </w:r>
            <w:r w:rsidR="00CD5714" w:rsidRPr="00CD5714">
              <w:rPr>
                <w:rFonts w:ascii="Arial" w:hAnsi="Arial" w:cs="Arial"/>
                <w:sz w:val="16"/>
                <w:szCs w:val="16"/>
                <w:lang w:val="en-GB"/>
              </w:rPr>
              <w:t>930</w:t>
            </w:r>
            <w:r w:rsidRPr="002D2F67">
              <w:rPr>
                <w:rFonts w:ascii="Arial" w:hAnsi="Arial" w:cs="Arial"/>
                <w:sz w:val="16"/>
                <w:szCs w:val="16"/>
              </w:rPr>
              <w:t>)</w:t>
            </w:r>
          </w:p>
        </w:tc>
        <w:tc>
          <w:tcPr>
            <w:tcW w:w="792" w:type="dxa"/>
            <w:shd w:val="clear" w:color="auto" w:fill="auto"/>
            <w:vAlign w:val="bottom"/>
          </w:tcPr>
          <w:p w14:paraId="4FD96E6B" w14:textId="003148F1" w:rsidR="004065BE" w:rsidRPr="002D2F67" w:rsidRDefault="002C7850"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636DE200" w14:textId="2B08F39B" w:rsidR="004065BE" w:rsidRPr="002D2F67" w:rsidRDefault="005432AD"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54</w:t>
            </w:r>
            <w:r w:rsidRPr="002D2F67">
              <w:rPr>
                <w:rFonts w:ascii="Arial" w:hAnsi="Arial" w:cs="Arial"/>
                <w:sz w:val="16"/>
                <w:szCs w:val="16"/>
              </w:rPr>
              <w:t>)</w:t>
            </w:r>
          </w:p>
        </w:tc>
        <w:tc>
          <w:tcPr>
            <w:tcW w:w="792" w:type="dxa"/>
            <w:shd w:val="clear" w:color="auto" w:fill="auto"/>
            <w:vAlign w:val="bottom"/>
          </w:tcPr>
          <w:p w14:paraId="0983FFC2" w14:textId="273FD92A" w:rsidR="004065BE" w:rsidRPr="002D2F67" w:rsidRDefault="004539ED"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27F75C37" w14:textId="025A6C16" w:rsidR="004065BE" w:rsidRPr="002D2F67" w:rsidRDefault="00A41007"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225</w:t>
            </w:r>
            <w:r w:rsidRPr="002D2F67">
              <w:rPr>
                <w:rFonts w:ascii="Arial" w:hAnsi="Arial" w:cs="Arial"/>
                <w:sz w:val="16"/>
                <w:szCs w:val="16"/>
              </w:rPr>
              <w:t>)</w:t>
            </w:r>
          </w:p>
        </w:tc>
        <w:tc>
          <w:tcPr>
            <w:tcW w:w="792" w:type="dxa"/>
            <w:shd w:val="clear" w:color="auto" w:fill="auto"/>
            <w:vAlign w:val="bottom"/>
          </w:tcPr>
          <w:p w14:paraId="5799804C" w14:textId="60FBC8F3"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1</w:t>
            </w:r>
          </w:p>
        </w:tc>
        <w:tc>
          <w:tcPr>
            <w:tcW w:w="792" w:type="dxa"/>
            <w:shd w:val="clear" w:color="auto" w:fill="auto"/>
            <w:vAlign w:val="bottom"/>
          </w:tcPr>
          <w:p w14:paraId="36DBC70A" w14:textId="110CF802" w:rsidR="004065BE" w:rsidRPr="002D2F67" w:rsidRDefault="00DB2B9A"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5</w:t>
            </w:r>
            <w:r w:rsidR="006D1768" w:rsidRPr="002D2F67">
              <w:rPr>
                <w:rFonts w:ascii="Arial" w:hAnsi="Arial" w:cs="Arial"/>
                <w:sz w:val="16"/>
                <w:szCs w:val="16"/>
              </w:rPr>
              <w:t>,</w:t>
            </w:r>
            <w:r w:rsidR="00CD5714" w:rsidRPr="00CD5714">
              <w:rPr>
                <w:rFonts w:ascii="Arial" w:hAnsi="Arial" w:cs="Arial"/>
                <w:sz w:val="16"/>
                <w:szCs w:val="16"/>
                <w:lang w:val="en-GB"/>
              </w:rPr>
              <w:t>045</w:t>
            </w:r>
            <w:r w:rsidRPr="002D2F67">
              <w:rPr>
                <w:rFonts w:ascii="Arial" w:hAnsi="Arial" w:cs="Arial"/>
                <w:sz w:val="16"/>
                <w:szCs w:val="16"/>
              </w:rPr>
              <w:t>)</w:t>
            </w:r>
          </w:p>
        </w:tc>
        <w:tc>
          <w:tcPr>
            <w:tcW w:w="792" w:type="dxa"/>
            <w:shd w:val="clear" w:color="auto" w:fill="auto"/>
            <w:vAlign w:val="bottom"/>
          </w:tcPr>
          <w:p w14:paraId="286FA5E6" w14:textId="4FD2DF37" w:rsidR="004065BE" w:rsidRPr="002D2F67" w:rsidRDefault="00707750"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5E3C252C" w14:textId="4ECB7C60"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5</w:t>
            </w:r>
            <w:r w:rsidR="006D1768" w:rsidRPr="002D2F67">
              <w:rPr>
                <w:rFonts w:ascii="Arial" w:hAnsi="Arial" w:cs="Arial"/>
                <w:sz w:val="16"/>
                <w:szCs w:val="16"/>
              </w:rPr>
              <w:t>,</w:t>
            </w:r>
            <w:r w:rsidRPr="00CD5714">
              <w:rPr>
                <w:rFonts w:ascii="Arial" w:hAnsi="Arial" w:cs="Arial"/>
                <w:sz w:val="16"/>
                <w:szCs w:val="16"/>
                <w:lang w:val="en-GB"/>
              </w:rPr>
              <w:t>045</w:t>
            </w:r>
          </w:p>
        </w:tc>
        <w:tc>
          <w:tcPr>
            <w:tcW w:w="792" w:type="dxa"/>
            <w:shd w:val="clear" w:color="auto" w:fill="auto"/>
            <w:vAlign w:val="bottom"/>
          </w:tcPr>
          <w:p w14:paraId="446AE0CD" w14:textId="33E961E3" w:rsidR="004065BE" w:rsidRPr="002D2F67" w:rsidRDefault="000862CA"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533EEDD1" w14:textId="7DFE022D" w:rsidR="004065BE" w:rsidRPr="002D2F67" w:rsidRDefault="00F93CD5"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2</w:t>
            </w:r>
            <w:r w:rsidR="00DB2B9A" w:rsidRPr="002D2F67">
              <w:rPr>
                <w:rFonts w:ascii="Arial" w:hAnsi="Arial" w:cs="Arial"/>
                <w:sz w:val="16"/>
                <w:szCs w:val="16"/>
              </w:rPr>
              <w:t>,</w:t>
            </w:r>
            <w:r w:rsidR="00CD5714" w:rsidRPr="00CD5714">
              <w:rPr>
                <w:rFonts w:ascii="Arial" w:hAnsi="Arial" w:cs="Arial"/>
                <w:sz w:val="16"/>
                <w:szCs w:val="16"/>
                <w:lang w:val="en-GB"/>
              </w:rPr>
              <w:t>209</w:t>
            </w:r>
            <w:r w:rsidRPr="002D2F67">
              <w:rPr>
                <w:rFonts w:ascii="Arial" w:hAnsi="Arial" w:cs="Arial"/>
                <w:sz w:val="16"/>
                <w:szCs w:val="16"/>
              </w:rPr>
              <w:t>)</w:t>
            </w:r>
          </w:p>
        </w:tc>
        <w:tc>
          <w:tcPr>
            <w:tcW w:w="792" w:type="dxa"/>
            <w:shd w:val="clear" w:color="auto" w:fill="auto"/>
            <w:vAlign w:val="bottom"/>
          </w:tcPr>
          <w:p w14:paraId="3036407F" w14:textId="105ADF0D"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1</w:t>
            </w:r>
          </w:p>
        </w:tc>
      </w:tr>
      <w:tr w:rsidR="004065BE" w:rsidRPr="002D2F67" w14:paraId="31A6CFA3" w14:textId="77777777" w:rsidTr="002D2F67">
        <w:trPr>
          <w:trHeight w:val="114"/>
        </w:trPr>
        <w:tc>
          <w:tcPr>
            <w:tcW w:w="3168" w:type="dxa"/>
          </w:tcPr>
          <w:p w14:paraId="55C3AAFF" w14:textId="60CB697A" w:rsidR="004065BE" w:rsidRPr="002D2F67" w:rsidRDefault="00AF7FF8" w:rsidP="00706C8B">
            <w:pPr>
              <w:widowControl w:val="0"/>
              <w:ind w:left="30" w:right="-76"/>
              <w:contextualSpacing/>
              <w:rPr>
                <w:rFonts w:ascii="Arial" w:hAnsi="Arial" w:cs="Arial"/>
                <w:sz w:val="16"/>
                <w:szCs w:val="16"/>
                <w:highlight w:val="yellow"/>
              </w:rPr>
            </w:pPr>
            <w:r w:rsidRPr="002D2F67">
              <w:rPr>
                <w:rFonts w:ascii="Arial" w:hAnsi="Arial" w:cs="Arial"/>
                <w:sz w:val="16"/>
                <w:szCs w:val="16"/>
              </w:rPr>
              <w:t>Impairment losses</w:t>
            </w:r>
          </w:p>
        </w:tc>
        <w:tc>
          <w:tcPr>
            <w:tcW w:w="792" w:type="dxa"/>
            <w:shd w:val="clear" w:color="auto" w:fill="auto"/>
            <w:vAlign w:val="bottom"/>
          </w:tcPr>
          <w:p w14:paraId="4E83D7DF" w14:textId="7547D021" w:rsidR="004065BE" w:rsidRPr="002D2F67" w:rsidRDefault="004065BE" w:rsidP="00D21F5E">
            <w:pPr>
              <w:widowControl w:val="0"/>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32FD5AAF" w14:textId="6482E307" w:rsidR="004065BE" w:rsidRPr="002D2F67" w:rsidRDefault="009832F4" w:rsidP="00D21F5E">
            <w:pPr>
              <w:widowControl w:val="0"/>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3C8CA8CB" w14:textId="6CE8B942" w:rsidR="004065BE" w:rsidRPr="002D2F67" w:rsidRDefault="00765943" w:rsidP="00D21F5E">
            <w:pPr>
              <w:widowControl w:val="0"/>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7B343694" w14:textId="2E605B5D" w:rsidR="004065BE" w:rsidRPr="002D2F67" w:rsidRDefault="00765943"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1D1ECCDF" w14:textId="5EA36E45" w:rsidR="004065BE" w:rsidRPr="002D2F67" w:rsidRDefault="001F3B11"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41A6394A" w14:textId="703A164C" w:rsidR="004065BE" w:rsidRPr="002D2F67" w:rsidRDefault="002C7850"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20F0A127" w14:textId="7BF7D5DB" w:rsidR="004065BE" w:rsidRPr="002D2F67" w:rsidRDefault="005432AD"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4A6323C4" w14:textId="1D816C6B" w:rsidR="004065BE" w:rsidRPr="002D2F67" w:rsidRDefault="00336066"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51</w:t>
            </w:r>
            <w:r w:rsidRPr="002D2F67">
              <w:rPr>
                <w:rFonts w:ascii="Arial" w:hAnsi="Arial" w:cs="Arial"/>
                <w:sz w:val="16"/>
                <w:szCs w:val="16"/>
              </w:rPr>
              <w:t>)</w:t>
            </w:r>
          </w:p>
        </w:tc>
        <w:tc>
          <w:tcPr>
            <w:tcW w:w="792" w:type="dxa"/>
            <w:shd w:val="clear" w:color="auto" w:fill="auto"/>
            <w:vAlign w:val="bottom"/>
          </w:tcPr>
          <w:p w14:paraId="586004CC" w14:textId="7DFBB111" w:rsidR="004065BE" w:rsidRPr="002D2F67" w:rsidRDefault="005C4548"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76A4E3D7" w14:textId="08BD5C9C" w:rsidR="004065BE" w:rsidRPr="002D2F67" w:rsidRDefault="00C06EB8"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2EC5B83A" w14:textId="631CDC0A" w:rsidR="004065BE" w:rsidRPr="002D2F67" w:rsidRDefault="002102A1"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9</w:t>
            </w:r>
            <w:r w:rsidR="00DB2B9A" w:rsidRPr="002D2F67">
              <w:rPr>
                <w:rFonts w:ascii="Arial" w:hAnsi="Arial" w:cs="Arial"/>
                <w:sz w:val="16"/>
                <w:szCs w:val="16"/>
              </w:rPr>
              <w:t>,</w:t>
            </w:r>
            <w:r w:rsidR="00CD5714" w:rsidRPr="00CD5714">
              <w:rPr>
                <w:rFonts w:ascii="Arial" w:hAnsi="Arial" w:cs="Arial"/>
                <w:sz w:val="16"/>
                <w:szCs w:val="16"/>
                <w:lang w:val="en-GB"/>
              </w:rPr>
              <w:t>922</w:t>
            </w:r>
            <w:r w:rsidRPr="002D2F67">
              <w:rPr>
                <w:rFonts w:ascii="Arial" w:hAnsi="Arial" w:cs="Arial"/>
                <w:sz w:val="16"/>
                <w:szCs w:val="16"/>
              </w:rPr>
              <w:t>)</w:t>
            </w:r>
          </w:p>
        </w:tc>
        <w:tc>
          <w:tcPr>
            <w:tcW w:w="792" w:type="dxa"/>
            <w:shd w:val="clear" w:color="auto" w:fill="auto"/>
            <w:vAlign w:val="bottom"/>
          </w:tcPr>
          <w:p w14:paraId="72394C21" w14:textId="41ACC49E" w:rsidR="004065BE" w:rsidRPr="002D2F67" w:rsidRDefault="00707750"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1B2A7DA2" w14:textId="5862F94E"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6</w:t>
            </w:r>
            <w:r w:rsidR="00DB2B9A" w:rsidRPr="002D2F67">
              <w:rPr>
                <w:rFonts w:ascii="Arial" w:hAnsi="Arial" w:cs="Arial"/>
                <w:sz w:val="16"/>
                <w:szCs w:val="16"/>
              </w:rPr>
              <w:t>,</w:t>
            </w:r>
            <w:r w:rsidRPr="00CD5714">
              <w:rPr>
                <w:rFonts w:ascii="Arial" w:hAnsi="Arial" w:cs="Arial"/>
                <w:sz w:val="16"/>
                <w:szCs w:val="16"/>
                <w:lang w:val="en-GB"/>
              </w:rPr>
              <w:t>569</w:t>
            </w:r>
          </w:p>
        </w:tc>
        <w:tc>
          <w:tcPr>
            <w:tcW w:w="792" w:type="dxa"/>
            <w:shd w:val="clear" w:color="auto" w:fill="auto"/>
            <w:vAlign w:val="bottom"/>
          </w:tcPr>
          <w:p w14:paraId="48227C34" w14:textId="51AA6285" w:rsidR="004065BE" w:rsidRPr="002D2F67" w:rsidRDefault="000862CA"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6E03B440" w14:textId="6EF4FD01" w:rsidR="004065BE" w:rsidRPr="002D2F67" w:rsidRDefault="00F93CD5"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3</w:t>
            </w:r>
            <w:r w:rsidR="00DB2B9A" w:rsidRPr="002D2F67">
              <w:rPr>
                <w:rFonts w:ascii="Arial" w:hAnsi="Arial" w:cs="Arial"/>
                <w:sz w:val="16"/>
                <w:szCs w:val="16"/>
              </w:rPr>
              <w:t>,</w:t>
            </w:r>
            <w:r w:rsidR="00CD5714" w:rsidRPr="00CD5714">
              <w:rPr>
                <w:rFonts w:ascii="Arial" w:hAnsi="Arial" w:cs="Arial"/>
                <w:sz w:val="16"/>
                <w:szCs w:val="16"/>
                <w:lang w:val="en-GB"/>
              </w:rPr>
              <w:t>353</w:t>
            </w:r>
            <w:r w:rsidRPr="002D2F67">
              <w:rPr>
                <w:rFonts w:ascii="Arial" w:hAnsi="Arial" w:cs="Arial"/>
                <w:sz w:val="16"/>
                <w:szCs w:val="16"/>
              </w:rPr>
              <w:t>)</w:t>
            </w:r>
          </w:p>
        </w:tc>
        <w:tc>
          <w:tcPr>
            <w:tcW w:w="792" w:type="dxa"/>
            <w:shd w:val="clear" w:color="auto" w:fill="auto"/>
            <w:vAlign w:val="bottom"/>
          </w:tcPr>
          <w:p w14:paraId="1F26E188" w14:textId="21974C19" w:rsidR="004065BE" w:rsidRPr="002D2F67" w:rsidRDefault="00336066"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51</w:t>
            </w:r>
            <w:r w:rsidRPr="002D2F67">
              <w:rPr>
                <w:rFonts w:ascii="Arial" w:hAnsi="Arial" w:cs="Arial"/>
                <w:sz w:val="16"/>
                <w:szCs w:val="16"/>
              </w:rPr>
              <w:t>)</w:t>
            </w:r>
          </w:p>
        </w:tc>
      </w:tr>
      <w:tr w:rsidR="004065BE" w:rsidRPr="002D2F67" w14:paraId="73E618B4" w14:textId="77777777" w:rsidTr="002D2F67">
        <w:trPr>
          <w:trHeight w:val="114"/>
        </w:trPr>
        <w:tc>
          <w:tcPr>
            <w:tcW w:w="3168" w:type="dxa"/>
          </w:tcPr>
          <w:p w14:paraId="47054D86" w14:textId="61FE0784" w:rsidR="00706C8B" w:rsidRPr="00782C44" w:rsidRDefault="00782C44" w:rsidP="00706C8B">
            <w:pPr>
              <w:widowControl w:val="0"/>
              <w:ind w:left="30" w:right="-76"/>
              <w:contextualSpacing/>
              <w:rPr>
                <w:rFonts w:ascii="Arial" w:hAnsi="Arial" w:cs="Arial"/>
                <w:spacing w:val="-4"/>
                <w:sz w:val="16"/>
                <w:szCs w:val="16"/>
              </w:rPr>
            </w:pPr>
            <w:r w:rsidRPr="00782C44">
              <w:rPr>
                <w:rFonts w:ascii="Arial" w:hAnsi="Arial" w:cs="Arial"/>
                <w:spacing w:val="-4"/>
                <w:sz w:val="16"/>
                <w:szCs w:val="16"/>
              </w:rPr>
              <w:t>Reversal (a</w:t>
            </w:r>
            <w:r w:rsidR="000D2C1F" w:rsidRPr="00782C44">
              <w:rPr>
                <w:rFonts w:ascii="Arial" w:hAnsi="Arial" w:cs="Arial"/>
                <w:spacing w:val="-4"/>
                <w:sz w:val="16"/>
                <w:szCs w:val="16"/>
              </w:rPr>
              <w:t>llowance</w:t>
            </w:r>
            <w:r w:rsidRPr="00782C44">
              <w:rPr>
                <w:rFonts w:ascii="Arial" w:hAnsi="Arial" w:cs="Arial"/>
                <w:spacing w:val="-4"/>
                <w:sz w:val="16"/>
                <w:szCs w:val="16"/>
              </w:rPr>
              <w:t>)</w:t>
            </w:r>
            <w:r w:rsidR="000D2C1F" w:rsidRPr="00782C44">
              <w:rPr>
                <w:rFonts w:ascii="Arial" w:hAnsi="Arial" w:cs="Arial"/>
                <w:spacing w:val="-4"/>
                <w:sz w:val="16"/>
                <w:szCs w:val="16"/>
              </w:rPr>
              <w:t xml:space="preserve"> for decrease in</w:t>
            </w:r>
            <w:r w:rsidR="002C19C2" w:rsidRPr="00782C44">
              <w:rPr>
                <w:rFonts w:ascii="Arial" w:hAnsi="Arial" w:cs="Arial"/>
                <w:spacing w:val="-4"/>
                <w:sz w:val="16"/>
                <w:szCs w:val="16"/>
              </w:rPr>
              <w:t xml:space="preserve"> value </w:t>
            </w:r>
          </w:p>
          <w:p w14:paraId="677860A7" w14:textId="6D0F7AC3" w:rsidR="004065BE" w:rsidRPr="002D2F67" w:rsidRDefault="00706C8B" w:rsidP="00706C8B">
            <w:pPr>
              <w:widowControl w:val="0"/>
              <w:ind w:left="30" w:right="-76"/>
              <w:contextualSpacing/>
              <w:rPr>
                <w:rFonts w:ascii="Arial" w:hAnsi="Arial" w:cs="Arial"/>
                <w:sz w:val="16"/>
                <w:szCs w:val="16"/>
                <w:highlight w:val="yellow"/>
                <w:cs/>
              </w:rPr>
            </w:pPr>
            <w:r w:rsidRPr="002D2F67">
              <w:rPr>
                <w:rFonts w:ascii="Arial" w:hAnsi="Arial" w:cs="Arial"/>
                <w:sz w:val="16"/>
                <w:szCs w:val="16"/>
              </w:rPr>
              <w:t xml:space="preserve">   </w:t>
            </w:r>
            <w:r w:rsidR="002C19C2" w:rsidRPr="002D2F67">
              <w:rPr>
                <w:rFonts w:ascii="Arial" w:hAnsi="Arial" w:cs="Arial"/>
                <w:sz w:val="16"/>
                <w:szCs w:val="16"/>
              </w:rPr>
              <w:t>of inventories</w:t>
            </w:r>
          </w:p>
        </w:tc>
        <w:tc>
          <w:tcPr>
            <w:tcW w:w="792" w:type="dxa"/>
            <w:shd w:val="clear" w:color="auto" w:fill="auto"/>
            <w:vAlign w:val="bottom"/>
          </w:tcPr>
          <w:p w14:paraId="1020C89A" w14:textId="40ECFCB1" w:rsidR="004065BE" w:rsidRPr="002D2F67" w:rsidRDefault="00CD5714" w:rsidP="00D21F5E">
            <w:pPr>
              <w:widowControl w:val="0"/>
              <w:ind w:left="-64" w:right="-72"/>
              <w:contextualSpacing/>
              <w:jc w:val="right"/>
              <w:rPr>
                <w:rFonts w:ascii="Arial" w:hAnsi="Arial" w:cs="Arial"/>
                <w:sz w:val="16"/>
                <w:szCs w:val="16"/>
              </w:rPr>
            </w:pPr>
            <w:r w:rsidRPr="00CD5714">
              <w:rPr>
                <w:rFonts w:ascii="Arial" w:hAnsi="Arial" w:cs="Arial"/>
                <w:sz w:val="16"/>
                <w:szCs w:val="16"/>
                <w:lang w:val="en-GB"/>
              </w:rPr>
              <w:t>10</w:t>
            </w:r>
          </w:p>
        </w:tc>
        <w:tc>
          <w:tcPr>
            <w:tcW w:w="792" w:type="dxa"/>
            <w:shd w:val="clear" w:color="auto" w:fill="auto"/>
            <w:vAlign w:val="bottom"/>
          </w:tcPr>
          <w:p w14:paraId="54BC7EEE" w14:textId="31B1DD85" w:rsidR="004065BE" w:rsidRPr="002D2F67" w:rsidRDefault="00336066" w:rsidP="00D21F5E">
            <w:pPr>
              <w:widowControl w:val="0"/>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11</w:t>
            </w:r>
            <w:r w:rsidRPr="002D2F67">
              <w:rPr>
                <w:rFonts w:ascii="Arial" w:hAnsi="Arial" w:cs="Arial"/>
                <w:sz w:val="16"/>
                <w:szCs w:val="16"/>
              </w:rPr>
              <w:t>)</w:t>
            </w:r>
          </w:p>
        </w:tc>
        <w:tc>
          <w:tcPr>
            <w:tcW w:w="792" w:type="dxa"/>
            <w:shd w:val="clear" w:color="auto" w:fill="auto"/>
            <w:vAlign w:val="bottom"/>
          </w:tcPr>
          <w:p w14:paraId="5E5E5922" w14:textId="24A8F98B" w:rsidR="004065BE" w:rsidRPr="002D2F67" w:rsidRDefault="00765943" w:rsidP="00D21F5E">
            <w:pPr>
              <w:widowControl w:val="0"/>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648E6409" w14:textId="448F48A7" w:rsidR="004065BE" w:rsidRPr="002D2F67" w:rsidRDefault="00765943"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45A0A2AF" w14:textId="1AC2BDB2" w:rsidR="004065BE" w:rsidRPr="002D2F67" w:rsidRDefault="00A23FEE"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333</w:t>
            </w:r>
            <w:r w:rsidRPr="002D2F67">
              <w:rPr>
                <w:rFonts w:ascii="Arial" w:hAnsi="Arial" w:cs="Arial"/>
                <w:sz w:val="16"/>
                <w:szCs w:val="16"/>
              </w:rPr>
              <w:t>)</w:t>
            </w:r>
          </w:p>
        </w:tc>
        <w:tc>
          <w:tcPr>
            <w:tcW w:w="792" w:type="dxa"/>
            <w:shd w:val="clear" w:color="auto" w:fill="auto"/>
            <w:vAlign w:val="bottom"/>
          </w:tcPr>
          <w:p w14:paraId="3E8DDF41" w14:textId="18E63309" w:rsidR="004065BE" w:rsidRPr="002D2F67" w:rsidRDefault="00336066"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2</w:t>
            </w:r>
            <w:r w:rsidRPr="002D2F67">
              <w:rPr>
                <w:rFonts w:ascii="Arial" w:hAnsi="Arial" w:cs="Arial"/>
                <w:sz w:val="16"/>
                <w:szCs w:val="16"/>
              </w:rPr>
              <w:t>)</w:t>
            </w:r>
          </w:p>
        </w:tc>
        <w:tc>
          <w:tcPr>
            <w:tcW w:w="792" w:type="dxa"/>
            <w:shd w:val="clear" w:color="auto" w:fill="auto"/>
            <w:vAlign w:val="bottom"/>
          </w:tcPr>
          <w:p w14:paraId="63BA859F" w14:textId="1DCD9FAC" w:rsidR="004065BE" w:rsidRPr="002D2F67" w:rsidRDefault="00A41007"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3</w:t>
            </w:r>
            <w:r w:rsidRPr="002D2F67">
              <w:rPr>
                <w:rFonts w:ascii="Arial" w:hAnsi="Arial" w:cs="Arial"/>
                <w:sz w:val="16"/>
                <w:szCs w:val="16"/>
              </w:rPr>
              <w:t>,</w:t>
            </w:r>
            <w:r w:rsidR="00CD5714" w:rsidRPr="00CD5714">
              <w:rPr>
                <w:rFonts w:ascii="Arial" w:hAnsi="Arial" w:cs="Arial"/>
                <w:sz w:val="16"/>
                <w:szCs w:val="16"/>
                <w:lang w:val="en-GB"/>
              </w:rPr>
              <w:t>718</w:t>
            </w:r>
            <w:r w:rsidRPr="002D2F67">
              <w:rPr>
                <w:rFonts w:ascii="Arial" w:hAnsi="Arial" w:cs="Arial"/>
                <w:sz w:val="16"/>
                <w:szCs w:val="16"/>
              </w:rPr>
              <w:t>)</w:t>
            </w:r>
          </w:p>
        </w:tc>
        <w:tc>
          <w:tcPr>
            <w:tcW w:w="792" w:type="dxa"/>
            <w:shd w:val="clear" w:color="auto" w:fill="auto"/>
            <w:vAlign w:val="bottom"/>
          </w:tcPr>
          <w:p w14:paraId="05A509C5" w14:textId="005F5C72"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7</w:t>
            </w:r>
          </w:p>
        </w:tc>
        <w:tc>
          <w:tcPr>
            <w:tcW w:w="792" w:type="dxa"/>
            <w:shd w:val="clear" w:color="auto" w:fill="auto"/>
            <w:vAlign w:val="bottom"/>
          </w:tcPr>
          <w:p w14:paraId="27747859" w14:textId="1ACB5100" w:rsidR="004065BE" w:rsidRPr="002D2F67" w:rsidRDefault="005C4548"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3A39C77F" w14:textId="64CC1958" w:rsidR="004065BE" w:rsidRPr="002D2F67" w:rsidRDefault="00C06EB8"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55A732D2" w14:textId="4D43BEFF" w:rsidR="004065BE" w:rsidRPr="002D2F67" w:rsidRDefault="002102A1"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0A557A69" w14:textId="0181EC7C" w:rsidR="004065BE" w:rsidRPr="002D2F67" w:rsidRDefault="00707750"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0C45B2A3" w14:textId="4AE1DE08" w:rsidR="004065BE" w:rsidRPr="002D2F67" w:rsidRDefault="008829BE"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68E2DC4C" w14:textId="31F02A94" w:rsidR="004065BE" w:rsidRPr="002D2F67" w:rsidRDefault="000862CA"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622A3B94" w14:textId="2BF08774" w:rsidR="004065BE" w:rsidRPr="002D2F67" w:rsidRDefault="00A41007"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3</w:t>
            </w:r>
            <w:r w:rsidRPr="002D2F67">
              <w:rPr>
                <w:rFonts w:ascii="Arial" w:hAnsi="Arial" w:cs="Arial"/>
                <w:sz w:val="16"/>
                <w:szCs w:val="16"/>
              </w:rPr>
              <w:t>,</w:t>
            </w:r>
            <w:r w:rsidR="00CD5714" w:rsidRPr="00CD5714">
              <w:rPr>
                <w:rFonts w:ascii="Arial" w:hAnsi="Arial" w:cs="Arial"/>
                <w:sz w:val="16"/>
                <w:szCs w:val="16"/>
                <w:lang w:val="en-GB"/>
              </w:rPr>
              <w:t>501</w:t>
            </w:r>
            <w:r w:rsidRPr="002D2F67">
              <w:rPr>
                <w:rFonts w:ascii="Arial" w:hAnsi="Arial" w:cs="Arial"/>
                <w:sz w:val="16"/>
                <w:szCs w:val="16"/>
              </w:rPr>
              <w:t>)</w:t>
            </w:r>
          </w:p>
        </w:tc>
        <w:tc>
          <w:tcPr>
            <w:tcW w:w="792" w:type="dxa"/>
            <w:shd w:val="clear" w:color="auto" w:fill="auto"/>
            <w:vAlign w:val="bottom"/>
          </w:tcPr>
          <w:p w14:paraId="093C9328" w14:textId="25BA2E34" w:rsidR="004065BE" w:rsidRPr="002D2F67" w:rsidRDefault="00336066"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6</w:t>
            </w:r>
            <w:r w:rsidRPr="002D2F67">
              <w:rPr>
                <w:rFonts w:ascii="Arial" w:hAnsi="Arial" w:cs="Arial"/>
                <w:sz w:val="16"/>
                <w:szCs w:val="16"/>
              </w:rPr>
              <w:t>)</w:t>
            </w:r>
          </w:p>
        </w:tc>
      </w:tr>
      <w:tr w:rsidR="004065BE" w:rsidRPr="002D2F67" w14:paraId="51DFAEAF" w14:textId="77777777" w:rsidTr="002D2F67">
        <w:trPr>
          <w:trHeight w:val="114"/>
        </w:trPr>
        <w:tc>
          <w:tcPr>
            <w:tcW w:w="3168" w:type="dxa"/>
          </w:tcPr>
          <w:p w14:paraId="5D4EB3EA" w14:textId="0EFA0068" w:rsidR="004065BE" w:rsidRPr="002D2F67" w:rsidRDefault="00670EF6" w:rsidP="00706C8B">
            <w:pPr>
              <w:widowControl w:val="0"/>
              <w:ind w:left="30" w:right="-76"/>
              <w:contextualSpacing/>
              <w:rPr>
                <w:rFonts w:ascii="Arial" w:hAnsi="Arial" w:cs="Arial"/>
                <w:sz w:val="16"/>
                <w:szCs w:val="16"/>
                <w:cs/>
              </w:rPr>
            </w:pPr>
            <w:r w:rsidRPr="002D2F67">
              <w:rPr>
                <w:rFonts w:ascii="Arial" w:hAnsi="Arial" w:cs="Arial"/>
                <w:sz w:val="16"/>
                <w:szCs w:val="16"/>
              </w:rPr>
              <w:t xml:space="preserve">Losses from </w:t>
            </w:r>
            <w:r w:rsidR="00606126">
              <w:rPr>
                <w:rFonts w:ascii="Arial" w:hAnsi="Arial" w:cs="Arial"/>
                <w:sz w:val="16"/>
                <w:szCs w:val="16"/>
              </w:rPr>
              <w:t>write-off</w:t>
            </w:r>
            <w:r w:rsidRPr="002D2F67">
              <w:rPr>
                <w:rFonts w:ascii="Arial" w:hAnsi="Arial" w:cs="Arial"/>
                <w:sz w:val="16"/>
                <w:szCs w:val="16"/>
              </w:rPr>
              <w:t xml:space="preserve"> of assets</w:t>
            </w:r>
          </w:p>
        </w:tc>
        <w:tc>
          <w:tcPr>
            <w:tcW w:w="792" w:type="dxa"/>
            <w:shd w:val="clear" w:color="auto" w:fill="auto"/>
            <w:vAlign w:val="bottom"/>
          </w:tcPr>
          <w:p w14:paraId="2F590208" w14:textId="0889B94E" w:rsidR="004065BE" w:rsidRPr="002D2F67" w:rsidRDefault="004065BE" w:rsidP="00D21F5E">
            <w:pPr>
              <w:widowControl w:val="0"/>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04AFC793" w14:textId="7B572AE3" w:rsidR="004065BE" w:rsidRPr="002D2F67" w:rsidRDefault="009832F4" w:rsidP="00D21F5E">
            <w:pPr>
              <w:widowControl w:val="0"/>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6687FDA2" w14:textId="79C9C7F5" w:rsidR="004065BE" w:rsidRPr="002D2F67" w:rsidRDefault="00765943" w:rsidP="00D21F5E">
            <w:pPr>
              <w:widowControl w:val="0"/>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0A1A28A4" w14:textId="6A9B7FF9" w:rsidR="004065BE" w:rsidRPr="002D2F67" w:rsidRDefault="00765943"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2895C790" w14:textId="30F9C7B0" w:rsidR="004065BE" w:rsidRPr="002D2F67" w:rsidRDefault="00A23FEE"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1515AAB1" w14:textId="1D17186E" w:rsidR="004065BE" w:rsidRPr="002D2F67" w:rsidRDefault="002C7850"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7B4217CC" w14:textId="6CFD0FE9" w:rsidR="004065BE" w:rsidRPr="002D2F67" w:rsidRDefault="005432AD"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334</w:t>
            </w:r>
            <w:r w:rsidRPr="002D2F67">
              <w:rPr>
                <w:rFonts w:ascii="Arial" w:hAnsi="Arial" w:cs="Arial"/>
                <w:sz w:val="16"/>
                <w:szCs w:val="16"/>
              </w:rPr>
              <w:t>)</w:t>
            </w:r>
          </w:p>
        </w:tc>
        <w:tc>
          <w:tcPr>
            <w:tcW w:w="792" w:type="dxa"/>
            <w:shd w:val="clear" w:color="auto" w:fill="auto"/>
            <w:vAlign w:val="bottom"/>
          </w:tcPr>
          <w:p w14:paraId="3197E299" w14:textId="2414EAD1" w:rsidR="004065BE" w:rsidRPr="002D2F67" w:rsidRDefault="00336066"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11</w:t>
            </w:r>
            <w:r w:rsidRPr="002D2F67">
              <w:rPr>
                <w:rFonts w:ascii="Arial" w:hAnsi="Arial" w:cs="Arial"/>
                <w:sz w:val="16"/>
                <w:szCs w:val="16"/>
              </w:rPr>
              <w:t>)</w:t>
            </w:r>
          </w:p>
        </w:tc>
        <w:tc>
          <w:tcPr>
            <w:tcW w:w="792" w:type="dxa"/>
            <w:shd w:val="clear" w:color="auto" w:fill="auto"/>
            <w:vAlign w:val="bottom"/>
          </w:tcPr>
          <w:p w14:paraId="2ADCDA3B" w14:textId="056F0A1A" w:rsidR="004065BE" w:rsidRPr="002D2F67" w:rsidRDefault="005C4548"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148</w:t>
            </w:r>
            <w:r w:rsidRPr="002D2F67">
              <w:rPr>
                <w:rFonts w:ascii="Arial" w:hAnsi="Arial" w:cs="Arial"/>
                <w:sz w:val="16"/>
                <w:szCs w:val="16"/>
              </w:rPr>
              <w:t>)</w:t>
            </w:r>
          </w:p>
        </w:tc>
        <w:tc>
          <w:tcPr>
            <w:tcW w:w="792" w:type="dxa"/>
            <w:shd w:val="clear" w:color="auto" w:fill="auto"/>
            <w:vAlign w:val="bottom"/>
          </w:tcPr>
          <w:p w14:paraId="75ACCA52" w14:textId="53468370" w:rsidR="004065BE" w:rsidRPr="002D2F67" w:rsidRDefault="00C06EB8"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00DA912C" w14:textId="0AFEAAF5" w:rsidR="004065BE" w:rsidRPr="002D2F67" w:rsidRDefault="002102A1"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5BFFEF51" w14:textId="4DBCF6EC" w:rsidR="004065BE" w:rsidRPr="002D2F67" w:rsidRDefault="00707750"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048CE852" w14:textId="3B895A85" w:rsidR="004065BE" w:rsidRPr="002D2F67" w:rsidRDefault="008829BE"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2CB95454" w14:textId="1EAD70F3" w:rsidR="004065BE" w:rsidRPr="002D2F67" w:rsidRDefault="000862CA"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5CE4D961" w14:textId="1ADF86D7" w:rsidR="004065BE" w:rsidRPr="002D2F67" w:rsidRDefault="00F93CD5"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482</w:t>
            </w:r>
            <w:r w:rsidRPr="002D2F67">
              <w:rPr>
                <w:rFonts w:ascii="Arial" w:hAnsi="Arial" w:cs="Arial"/>
                <w:sz w:val="16"/>
                <w:szCs w:val="16"/>
              </w:rPr>
              <w:t>)</w:t>
            </w:r>
          </w:p>
        </w:tc>
        <w:tc>
          <w:tcPr>
            <w:tcW w:w="792" w:type="dxa"/>
            <w:shd w:val="clear" w:color="auto" w:fill="auto"/>
            <w:vAlign w:val="bottom"/>
          </w:tcPr>
          <w:p w14:paraId="52744749" w14:textId="296C9BEF" w:rsidR="004065BE" w:rsidRPr="002D2F67" w:rsidRDefault="00336066"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11</w:t>
            </w:r>
            <w:r w:rsidRPr="002D2F67">
              <w:rPr>
                <w:rFonts w:ascii="Arial" w:hAnsi="Arial" w:cs="Arial"/>
                <w:sz w:val="16"/>
                <w:szCs w:val="16"/>
              </w:rPr>
              <w:t>)</w:t>
            </w:r>
          </w:p>
        </w:tc>
      </w:tr>
      <w:tr w:rsidR="004065BE" w:rsidRPr="002D2F67" w14:paraId="34DDA1E9" w14:textId="77777777" w:rsidTr="002D2F67">
        <w:trPr>
          <w:trHeight w:val="114"/>
        </w:trPr>
        <w:tc>
          <w:tcPr>
            <w:tcW w:w="3168" w:type="dxa"/>
          </w:tcPr>
          <w:p w14:paraId="0D3D5063" w14:textId="77777777" w:rsidR="004065BE" w:rsidRPr="002D2F67" w:rsidRDefault="004065BE" w:rsidP="00706C8B">
            <w:pPr>
              <w:widowControl w:val="0"/>
              <w:ind w:left="30" w:right="-76"/>
              <w:contextualSpacing/>
              <w:rPr>
                <w:rFonts w:ascii="Arial" w:hAnsi="Arial" w:cs="Arial"/>
                <w:sz w:val="16"/>
                <w:szCs w:val="16"/>
              </w:rPr>
            </w:pPr>
            <w:r w:rsidRPr="002D2F67">
              <w:rPr>
                <w:rFonts w:ascii="Arial" w:hAnsi="Arial" w:cs="Arial"/>
                <w:sz w:val="16"/>
                <w:szCs w:val="16"/>
              </w:rPr>
              <w:t>Finance costs</w:t>
            </w:r>
          </w:p>
        </w:tc>
        <w:tc>
          <w:tcPr>
            <w:tcW w:w="792" w:type="dxa"/>
            <w:shd w:val="clear" w:color="auto" w:fill="auto"/>
            <w:vAlign w:val="bottom"/>
          </w:tcPr>
          <w:p w14:paraId="04418D28" w14:textId="41A499B2" w:rsidR="004065BE" w:rsidRPr="002D2F67" w:rsidRDefault="004065BE" w:rsidP="00D21F5E">
            <w:pPr>
              <w:widowControl w:val="0"/>
              <w:ind w:left="-64" w:right="-72"/>
              <w:contextualSpacing/>
              <w:jc w:val="right"/>
              <w:rPr>
                <w:rFonts w:ascii="Arial" w:hAnsi="Arial" w:cs="Arial"/>
                <w:sz w:val="16"/>
                <w:szCs w:val="16"/>
                <w:cs/>
              </w:rPr>
            </w:pPr>
            <w:r w:rsidRPr="002D2F67">
              <w:rPr>
                <w:rFonts w:ascii="Arial" w:hAnsi="Arial" w:cs="Arial"/>
                <w:sz w:val="16"/>
                <w:szCs w:val="16"/>
              </w:rPr>
              <w:t>(</w:t>
            </w:r>
            <w:r w:rsidR="00CD5714" w:rsidRPr="00CD5714">
              <w:rPr>
                <w:rFonts w:ascii="Arial" w:hAnsi="Arial" w:cs="Arial"/>
                <w:sz w:val="16"/>
                <w:szCs w:val="16"/>
                <w:lang w:val="en-GB"/>
              </w:rPr>
              <w:t>86</w:t>
            </w:r>
            <w:r w:rsidRPr="002D2F67">
              <w:rPr>
                <w:rFonts w:ascii="Arial" w:hAnsi="Arial" w:cs="Arial"/>
                <w:sz w:val="16"/>
                <w:szCs w:val="16"/>
              </w:rPr>
              <w:t>)</w:t>
            </w:r>
          </w:p>
        </w:tc>
        <w:tc>
          <w:tcPr>
            <w:tcW w:w="792" w:type="dxa"/>
            <w:shd w:val="clear" w:color="auto" w:fill="auto"/>
            <w:vAlign w:val="bottom"/>
          </w:tcPr>
          <w:p w14:paraId="61D0EAEE" w14:textId="383077FF" w:rsidR="004065BE" w:rsidRPr="002D2F67" w:rsidRDefault="009832F4" w:rsidP="00D21F5E">
            <w:pPr>
              <w:widowControl w:val="0"/>
              <w:ind w:left="-64" w:right="-72"/>
              <w:contextualSpacing/>
              <w:jc w:val="right"/>
              <w:rPr>
                <w:rFonts w:ascii="Arial" w:hAnsi="Arial" w:cs="Arial"/>
                <w:sz w:val="16"/>
                <w:szCs w:val="16"/>
                <w:cs/>
              </w:rPr>
            </w:pPr>
            <w:r w:rsidRPr="002D2F67">
              <w:rPr>
                <w:rFonts w:ascii="Arial" w:hAnsi="Arial" w:cs="Arial"/>
                <w:sz w:val="16"/>
                <w:szCs w:val="16"/>
              </w:rPr>
              <w:t>(</w:t>
            </w:r>
            <w:r w:rsidR="00CD5714" w:rsidRPr="00CD5714">
              <w:rPr>
                <w:rFonts w:ascii="Arial" w:hAnsi="Arial" w:cs="Arial"/>
                <w:sz w:val="16"/>
                <w:szCs w:val="16"/>
                <w:lang w:val="en-GB"/>
              </w:rPr>
              <w:t>88</w:t>
            </w:r>
            <w:r w:rsidRPr="002D2F67">
              <w:rPr>
                <w:rFonts w:ascii="Arial" w:hAnsi="Arial" w:cs="Arial"/>
                <w:sz w:val="16"/>
                <w:szCs w:val="16"/>
              </w:rPr>
              <w:t>)</w:t>
            </w:r>
          </w:p>
        </w:tc>
        <w:tc>
          <w:tcPr>
            <w:tcW w:w="792" w:type="dxa"/>
            <w:shd w:val="clear" w:color="auto" w:fill="auto"/>
            <w:vAlign w:val="bottom"/>
          </w:tcPr>
          <w:p w14:paraId="26D19D88" w14:textId="560712E4" w:rsidR="004065BE" w:rsidRPr="002D2F67" w:rsidRDefault="00765943" w:rsidP="00D21F5E">
            <w:pPr>
              <w:widowControl w:val="0"/>
              <w:ind w:left="-64" w:right="-72"/>
              <w:contextualSpacing/>
              <w:jc w:val="right"/>
              <w:rPr>
                <w:rFonts w:ascii="Arial" w:hAnsi="Arial" w:cs="Arial"/>
                <w:sz w:val="16"/>
                <w:szCs w:val="16"/>
                <w:cs/>
              </w:rPr>
            </w:pPr>
            <w:r w:rsidRPr="002D2F67">
              <w:rPr>
                <w:rFonts w:ascii="Arial" w:hAnsi="Arial" w:cs="Arial"/>
                <w:sz w:val="16"/>
                <w:szCs w:val="16"/>
              </w:rPr>
              <w:t>(</w:t>
            </w:r>
            <w:r w:rsidR="00CD5714" w:rsidRPr="00CD5714">
              <w:rPr>
                <w:rFonts w:ascii="Arial" w:hAnsi="Arial" w:cs="Arial"/>
                <w:sz w:val="16"/>
                <w:szCs w:val="16"/>
                <w:lang w:val="en-GB"/>
              </w:rPr>
              <w:t>593</w:t>
            </w:r>
            <w:r w:rsidRPr="002D2F67">
              <w:rPr>
                <w:rFonts w:ascii="Arial" w:hAnsi="Arial" w:cs="Arial"/>
                <w:sz w:val="16"/>
                <w:szCs w:val="16"/>
              </w:rPr>
              <w:t>)</w:t>
            </w:r>
          </w:p>
        </w:tc>
        <w:tc>
          <w:tcPr>
            <w:tcW w:w="792" w:type="dxa"/>
            <w:shd w:val="clear" w:color="auto" w:fill="auto"/>
            <w:vAlign w:val="bottom"/>
          </w:tcPr>
          <w:p w14:paraId="5295218D" w14:textId="26FAAFAF" w:rsidR="004065BE" w:rsidRPr="002D2F67" w:rsidRDefault="00765943"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749</w:t>
            </w:r>
            <w:r w:rsidRPr="002D2F67">
              <w:rPr>
                <w:rFonts w:ascii="Arial" w:hAnsi="Arial" w:cs="Arial"/>
                <w:sz w:val="16"/>
                <w:szCs w:val="16"/>
              </w:rPr>
              <w:t>)</w:t>
            </w:r>
          </w:p>
        </w:tc>
        <w:tc>
          <w:tcPr>
            <w:tcW w:w="792" w:type="dxa"/>
            <w:shd w:val="clear" w:color="auto" w:fill="auto"/>
            <w:vAlign w:val="bottom"/>
          </w:tcPr>
          <w:p w14:paraId="3E351270" w14:textId="5ECC10D3" w:rsidR="004065BE" w:rsidRPr="002D2F67" w:rsidRDefault="00A23FEE"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766</w:t>
            </w:r>
            <w:r w:rsidRPr="002D2F67">
              <w:rPr>
                <w:rFonts w:ascii="Arial" w:hAnsi="Arial" w:cs="Arial"/>
                <w:sz w:val="16"/>
                <w:szCs w:val="16"/>
              </w:rPr>
              <w:t>)</w:t>
            </w:r>
          </w:p>
        </w:tc>
        <w:tc>
          <w:tcPr>
            <w:tcW w:w="792" w:type="dxa"/>
            <w:shd w:val="clear" w:color="auto" w:fill="auto"/>
            <w:vAlign w:val="bottom"/>
          </w:tcPr>
          <w:p w14:paraId="151121F7" w14:textId="01838093" w:rsidR="004065BE" w:rsidRPr="002D2F67" w:rsidRDefault="002C7850" w:rsidP="00D21F5E">
            <w:pPr>
              <w:ind w:left="-64" w:right="-72"/>
              <w:contextualSpacing/>
              <w:jc w:val="right"/>
              <w:rPr>
                <w:rFonts w:ascii="Arial" w:hAnsi="Arial" w:cs="Arial"/>
                <w:sz w:val="16"/>
                <w:szCs w:val="16"/>
                <w:cs/>
              </w:rPr>
            </w:pPr>
            <w:r w:rsidRPr="002D2F67">
              <w:rPr>
                <w:rFonts w:ascii="Arial" w:hAnsi="Arial" w:cs="Arial"/>
                <w:sz w:val="16"/>
                <w:szCs w:val="16"/>
              </w:rPr>
              <w:t>(</w:t>
            </w:r>
            <w:r w:rsidR="00CD5714" w:rsidRPr="00CD5714">
              <w:rPr>
                <w:rFonts w:ascii="Arial" w:hAnsi="Arial" w:cs="Arial"/>
                <w:sz w:val="16"/>
                <w:szCs w:val="16"/>
                <w:lang w:val="en-GB"/>
              </w:rPr>
              <w:t>496</w:t>
            </w:r>
            <w:r w:rsidRPr="002D2F67">
              <w:rPr>
                <w:rFonts w:ascii="Arial" w:hAnsi="Arial" w:cs="Arial"/>
                <w:sz w:val="16"/>
                <w:szCs w:val="16"/>
              </w:rPr>
              <w:t>)</w:t>
            </w:r>
          </w:p>
        </w:tc>
        <w:tc>
          <w:tcPr>
            <w:tcW w:w="792" w:type="dxa"/>
            <w:shd w:val="clear" w:color="auto" w:fill="auto"/>
            <w:vAlign w:val="bottom"/>
          </w:tcPr>
          <w:p w14:paraId="4D50BAF3" w14:textId="3E22ADF2" w:rsidR="004065BE" w:rsidRPr="002D2F67" w:rsidRDefault="005432AD" w:rsidP="00D21F5E">
            <w:pPr>
              <w:ind w:left="-64" w:right="-72"/>
              <w:contextualSpacing/>
              <w:jc w:val="right"/>
              <w:rPr>
                <w:rFonts w:ascii="Arial" w:hAnsi="Arial" w:cs="Arial"/>
                <w:sz w:val="16"/>
                <w:szCs w:val="16"/>
                <w:cs/>
              </w:rPr>
            </w:pPr>
            <w:r w:rsidRPr="002D2F67">
              <w:rPr>
                <w:rFonts w:ascii="Arial" w:hAnsi="Arial" w:cs="Arial"/>
                <w:sz w:val="16"/>
                <w:szCs w:val="16"/>
              </w:rPr>
              <w:t>(</w:t>
            </w:r>
            <w:r w:rsidR="00CD5714" w:rsidRPr="00CD5714">
              <w:rPr>
                <w:rFonts w:ascii="Arial" w:hAnsi="Arial" w:cs="Arial"/>
                <w:sz w:val="16"/>
                <w:szCs w:val="16"/>
                <w:lang w:val="en-GB"/>
              </w:rPr>
              <w:t>581</w:t>
            </w:r>
            <w:r w:rsidRPr="002D2F67">
              <w:rPr>
                <w:rFonts w:ascii="Arial" w:hAnsi="Arial" w:cs="Arial"/>
                <w:sz w:val="16"/>
                <w:szCs w:val="16"/>
              </w:rPr>
              <w:t>)</w:t>
            </w:r>
          </w:p>
        </w:tc>
        <w:tc>
          <w:tcPr>
            <w:tcW w:w="792" w:type="dxa"/>
            <w:shd w:val="clear" w:color="auto" w:fill="auto"/>
            <w:vAlign w:val="bottom"/>
          </w:tcPr>
          <w:p w14:paraId="2D20DB4A" w14:textId="64521C4A" w:rsidR="004065BE" w:rsidRPr="002D2F67" w:rsidRDefault="004539ED" w:rsidP="00D21F5E">
            <w:pPr>
              <w:ind w:left="-64" w:right="-72"/>
              <w:contextualSpacing/>
              <w:jc w:val="right"/>
              <w:rPr>
                <w:rFonts w:ascii="Arial" w:hAnsi="Arial" w:cs="Arial"/>
                <w:sz w:val="16"/>
                <w:szCs w:val="16"/>
                <w:cs/>
              </w:rPr>
            </w:pPr>
            <w:r w:rsidRPr="002D2F67">
              <w:rPr>
                <w:rFonts w:ascii="Arial" w:hAnsi="Arial" w:cs="Arial"/>
                <w:sz w:val="16"/>
                <w:szCs w:val="16"/>
              </w:rPr>
              <w:t>(</w:t>
            </w:r>
            <w:r w:rsidR="00CD5714" w:rsidRPr="00CD5714">
              <w:rPr>
                <w:rFonts w:ascii="Arial" w:hAnsi="Arial" w:cs="Arial"/>
                <w:sz w:val="16"/>
                <w:szCs w:val="16"/>
                <w:lang w:val="en-GB"/>
              </w:rPr>
              <w:t>400</w:t>
            </w:r>
            <w:r w:rsidRPr="002D2F67">
              <w:rPr>
                <w:rFonts w:ascii="Arial" w:hAnsi="Arial" w:cs="Arial"/>
                <w:sz w:val="16"/>
                <w:szCs w:val="16"/>
              </w:rPr>
              <w:t>)</w:t>
            </w:r>
          </w:p>
        </w:tc>
        <w:tc>
          <w:tcPr>
            <w:tcW w:w="792" w:type="dxa"/>
            <w:shd w:val="clear" w:color="auto" w:fill="auto"/>
            <w:vAlign w:val="bottom"/>
          </w:tcPr>
          <w:p w14:paraId="608965A5" w14:textId="38C14423" w:rsidR="004065BE" w:rsidRPr="002D2F67" w:rsidRDefault="005C4548" w:rsidP="00D21F5E">
            <w:pPr>
              <w:ind w:left="-64" w:right="-72"/>
              <w:contextualSpacing/>
              <w:jc w:val="right"/>
              <w:rPr>
                <w:rFonts w:ascii="Arial" w:hAnsi="Arial" w:cs="Arial"/>
                <w:sz w:val="16"/>
                <w:szCs w:val="16"/>
                <w:cs/>
              </w:rPr>
            </w:pPr>
            <w:r w:rsidRPr="002D2F67">
              <w:rPr>
                <w:rFonts w:ascii="Arial" w:hAnsi="Arial" w:cs="Arial"/>
                <w:sz w:val="16"/>
                <w:szCs w:val="16"/>
              </w:rPr>
              <w:t>(</w:t>
            </w:r>
            <w:r w:rsidR="00CD5714" w:rsidRPr="00CD5714">
              <w:rPr>
                <w:rFonts w:ascii="Arial" w:hAnsi="Arial" w:cs="Arial"/>
                <w:sz w:val="16"/>
                <w:szCs w:val="16"/>
                <w:lang w:val="en-GB"/>
              </w:rPr>
              <w:t>81</w:t>
            </w:r>
            <w:r w:rsidRPr="002D2F67">
              <w:rPr>
                <w:rFonts w:ascii="Arial" w:hAnsi="Arial" w:cs="Arial"/>
                <w:sz w:val="16"/>
                <w:szCs w:val="16"/>
              </w:rPr>
              <w:t>)</w:t>
            </w:r>
          </w:p>
        </w:tc>
        <w:tc>
          <w:tcPr>
            <w:tcW w:w="792" w:type="dxa"/>
            <w:shd w:val="clear" w:color="auto" w:fill="auto"/>
            <w:vAlign w:val="bottom"/>
          </w:tcPr>
          <w:p w14:paraId="120D5AE3" w14:textId="3549858E" w:rsidR="004065BE" w:rsidRPr="002D2F67" w:rsidRDefault="00C06EB8" w:rsidP="00D21F5E">
            <w:pPr>
              <w:ind w:left="-64" w:right="-72"/>
              <w:contextualSpacing/>
              <w:jc w:val="right"/>
              <w:rPr>
                <w:rFonts w:ascii="Arial" w:hAnsi="Arial" w:cs="Arial"/>
                <w:sz w:val="16"/>
                <w:szCs w:val="16"/>
                <w:cs/>
              </w:rPr>
            </w:pPr>
            <w:r w:rsidRPr="002D2F67">
              <w:rPr>
                <w:rFonts w:ascii="Arial" w:hAnsi="Arial" w:cs="Arial"/>
                <w:sz w:val="16"/>
                <w:szCs w:val="16"/>
              </w:rPr>
              <w:t>(</w:t>
            </w:r>
            <w:r w:rsidR="00CD5714" w:rsidRPr="00CD5714">
              <w:rPr>
                <w:rFonts w:ascii="Arial" w:hAnsi="Arial" w:cs="Arial"/>
                <w:sz w:val="16"/>
                <w:szCs w:val="16"/>
                <w:lang w:val="en-GB"/>
              </w:rPr>
              <w:t>51</w:t>
            </w:r>
            <w:r w:rsidRPr="002D2F67">
              <w:rPr>
                <w:rFonts w:ascii="Arial" w:hAnsi="Arial" w:cs="Arial"/>
                <w:sz w:val="16"/>
                <w:szCs w:val="16"/>
              </w:rPr>
              <w:t>)</w:t>
            </w:r>
          </w:p>
        </w:tc>
        <w:tc>
          <w:tcPr>
            <w:tcW w:w="792" w:type="dxa"/>
            <w:shd w:val="clear" w:color="auto" w:fill="auto"/>
            <w:vAlign w:val="bottom"/>
          </w:tcPr>
          <w:p w14:paraId="2564782E" w14:textId="1CAF3DF6" w:rsidR="004065BE" w:rsidRPr="002D2F67" w:rsidRDefault="002102A1" w:rsidP="00D21F5E">
            <w:pPr>
              <w:ind w:left="-64" w:right="-72"/>
              <w:contextualSpacing/>
              <w:jc w:val="right"/>
              <w:rPr>
                <w:rFonts w:ascii="Arial" w:hAnsi="Arial" w:cs="Arial"/>
                <w:sz w:val="16"/>
                <w:szCs w:val="16"/>
                <w:cs/>
              </w:rPr>
            </w:pPr>
            <w:r w:rsidRPr="002D2F67">
              <w:rPr>
                <w:rFonts w:ascii="Arial" w:hAnsi="Arial" w:cs="Arial"/>
                <w:sz w:val="16"/>
                <w:szCs w:val="16"/>
              </w:rPr>
              <w:t>(</w:t>
            </w:r>
            <w:r w:rsidR="00CD5714" w:rsidRPr="00CD5714">
              <w:rPr>
                <w:rFonts w:ascii="Arial" w:hAnsi="Arial" w:cs="Arial"/>
                <w:sz w:val="16"/>
                <w:szCs w:val="16"/>
                <w:lang w:val="en-GB"/>
              </w:rPr>
              <w:t>2</w:t>
            </w:r>
            <w:r w:rsidRPr="002D2F67">
              <w:rPr>
                <w:rFonts w:ascii="Arial" w:hAnsi="Arial" w:cs="Arial"/>
                <w:sz w:val="16"/>
                <w:szCs w:val="16"/>
              </w:rPr>
              <w:t>,</w:t>
            </w:r>
            <w:r w:rsidR="00CD5714" w:rsidRPr="00CD5714">
              <w:rPr>
                <w:rFonts w:ascii="Arial" w:hAnsi="Arial" w:cs="Arial"/>
                <w:sz w:val="16"/>
                <w:szCs w:val="16"/>
                <w:lang w:val="en-GB"/>
              </w:rPr>
              <w:t>736</w:t>
            </w:r>
            <w:r w:rsidRPr="002D2F67">
              <w:rPr>
                <w:rFonts w:ascii="Arial" w:hAnsi="Arial" w:cs="Arial"/>
                <w:sz w:val="16"/>
                <w:szCs w:val="16"/>
              </w:rPr>
              <w:t>)</w:t>
            </w:r>
          </w:p>
        </w:tc>
        <w:tc>
          <w:tcPr>
            <w:tcW w:w="792" w:type="dxa"/>
            <w:shd w:val="clear" w:color="auto" w:fill="auto"/>
            <w:vAlign w:val="bottom"/>
          </w:tcPr>
          <w:p w14:paraId="1A633BA7" w14:textId="4308844B" w:rsidR="004065BE" w:rsidRPr="002D2F67" w:rsidRDefault="00EB2B50" w:rsidP="00D21F5E">
            <w:pPr>
              <w:ind w:left="-64" w:right="-72"/>
              <w:contextualSpacing/>
              <w:jc w:val="right"/>
              <w:rPr>
                <w:rFonts w:ascii="Arial" w:hAnsi="Arial" w:cs="Arial"/>
                <w:sz w:val="16"/>
                <w:szCs w:val="16"/>
                <w:cs/>
              </w:rPr>
            </w:pPr>
            <w:r w:rsidRPr="002D2F67">
              <w:rPr>
                <w:rFonts w:ascii="Arial" w:hAnsi="Arial" w:cs="Arial"/>
                <w:sz w:val="16"/>
                <w:szCs w:val="16"/>
              </w:rPr>
              <w:t>(</w:t>
            </w:r>
            <w:r w:rsidR="00CD5714" w:rsidRPr="00CD5714">
              <w:rPr>
                <w:rFonts w:ascii="Arial" w:hAnsi="Arial" w:cs="Arial"/>
                <w:sz w:val="16"/>
                <w:szCs w:val="16"/>
                <w:lang w:val="en-GB"/>
              </w:rPr>
              <w:t>2</w:t>
            </w:r>
            <w:r w:rsidRPr="002D2F67">
              <w:rPr>
                <w:rFonts w:ascii="Arial" w:hAnsi="Arial" w:cs="Arial"/>
                <w:sz w:val="16"/>
                <w:szCs w:val="16"/>
              </w:rPr>
              <w:t>,</w:t>
            </w:r>
            <w:r w:rsidR="00CD5714" w:rsidRPr="00CD5714">
              <w:rPr>
                <w:rFonts w:ascii="Arial" w:hAnsi="Arial" w:cs="Arial"/>
                <w:sz w:val="16"/>
                <w:szCs w:val="16"/>
                <w:lang w:val="en-GB"/>
              </w:rPr>
              <w:t>117</w:t>
            </w:r>
            <w:r w:rsidRPr="002D2F67">
              <w:rPr>
                <w:rFonts w:ascii="Arial" w:hAnsi="Arial" w:cs="Arial"/>
                <w:sz w:val="16"/>
                <w:szCs w:val="16"/>
              </w:rPr>
              <w:t>)</w:t>
            </w:r>
          </w:p>
        </w:tc>
        <w:tc>
          <w:tcPr>
            <w:tcW w:w="792" w:type="dxa"/>
            <w:shd w:val="clear" w:color="auto" w:fill="auto"/>
            <w:vAlign w:val="bottom"/>
          </w:tcPr>
          <w:p w14:paraId="6BF43F52" w14:textId="6092CE6C"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2</w:t>
            </w:r>
            <w:r w:rsidR="000862CA" w:rsidRPr="002D2F67">
              <w:rPr>
                <w:rFonts w:ascii="Arial" w:hAnsi="Arial" w:cs="Arial"/>
                <w:sz w:val="16"/>
                <w:szCs w:val="16"/>
              </w:rPr>
              <w:t>,</w:t>
            </w:r>
            <w:r w:rsidRPr="00CD5714">
              <w:rPr>
                <w:rFonts w:ascii="Arial" w:hAnsi="Arial" w:cs="Arial"/>
                <w:sz w:val="16"/>
                <w:szCs w:val="16"/>
                <w:lang w:val="en-GB"/>
              </w:rPr>
              <w:t>145</w:t>
            </w:r>
          </w:p>
        </w:tc>
        <w:tc>
          <w:tcPr>
            <w:tcW w:w="792" w:type="dxa"/>
            <w:shd w:val="clear" w:color="auto" w:fill="auto"/>
            <w:vAlign w:val="bottom"/>
          </w:tcPr>
          <w:p w14:paraId="142E1BD6" w14:textId="22232CF7"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1</w:t>
            </w:r>
            <w:r w:rsidR="00A27D7C" w:rsidRPr="002D2F67">
              <w:rPr>
                <w:rFonts w:ascii="Arial" w:hAnsi="Arial" w:cs="Arial"/>
                <w:sz w:val="16"/>
                <w:szCs w:val="16"/>
              </w:rPr>
              <w:t>,</w:t>
            </w:r>
            <w:r w:rsidRPr="00CD5714">
              <w:rPr>
                <w:rFonts w:ascii="Arial" w:hAnsi="Arial" w:cs="Arial"/>
                <w:sz w:val="16"/>
                <w:szCs w:val="16"/>
                <w:lang w:val="en-GB"/>
              </w:rPr>
              <w:t>614</w:t>
            </w:r>
          </w:p>
        </w:tc>
        <w:tc>
          <w:tcPr>
            <w:tcW w:w="792" w:type="dxa"/>
            <w:shd w:val="clear" w:color="auto" w:fill="auto"/>
            <w:vAlign w:val="bottom"/>
          </w:tcPr>
          <w:p w14:paraId="47EE9BB6" w14:textId="65808BE4" w:rsidR="004065BE" w:rsidRPr="002D2F67" w:rsidRDefault="00F93CD5" w:rsidP="00D21F5E">
            <w:pPr>
              <w:ind w:left="-64" w:right="-72"/>
              <w:contextualSpacing/>
              <w:jc w:val="right"/>
              <w:rPr>
                <w:rFonts w:ascii="Arial" w:hAnsi="Arial" w:cs="Arial"/>
                <w:sz w:val="16"/>
                <w:szCs w:val="16"/>
                <w:cs/>
              </w:rPr>
            </w:pPr>
            <w:r w:rsidRPr="002D2F67">
              <w:rPr>
                <w:rFonts w:ascii="Arial" w:hAnsi="Arial" w:cs="Arial"/>
                <w:sz w:val="16"/>
                <w:szCs w:val="16"/>
              </w:rPr>
              <w:t>(</w:t>
            </w:r>
            <w:r w:rsidR="00CD5714" w:rsidRPr="00CD5714">
              <w:rPr>
                <w:rFonts w:ascii="Arial" w:hAnsi="Arial" w:cs="Arial"/>
                <w:sz w:val="16"/>
                <w:szCs w:val="16"/>
                <w:lang w:val="en-GB"/>
              </w:rPr>
              <w:t>2</w:t>
            </w:r>
            <w:r w:rsidRPr="002D2F67">
              <w:rPr>
                <w:rFonts w:ascii="Arial" w:hAnsi="Arial" w:cs="Arial"/>
                <w:sz w:val="16"/>
                <w:szCs w:val="16"/>
              </w:rPr>
              <w:t>,</w:t>
            </w:r>
            <w:r w:rsidR="00CD5714" w:rsidRPr="00CD5714">
              <w:rPr>
                <w:rFonts w:ascii="Arial" w:hAnsi="Arial" w:cs="Arial"/>
                <w:sz w:val="16"/>
                <w:szCs w:val="16"/>
                <w:lang w:val="en-GB"/>
              </w:rPr>
              <w:t>698</w:t>
            </w:r>
            <w:r w:rsidRPr="002D2F67">
              <w:rPr>
                <w:rFonts w:ascii="Arial" w:hAnsi="Arial" w:cs="Arial"/>
                <w:sz w:val="16"/>
                <w:szCs w:val="16"/>
              </w:rPr>
              <w:t>)</w:t>
            </w:r>
          </w:p>
        </w:tc>
        <w:tc>
          <w:tcPr>
            <w:tcW w:w="792" w:type="dxa"/>
            <w:shd w:val="clear" w:color="auto" w:fill="auto"/>
            <w:vAlign w:val="bottom"/>
          </w:tcPr>
          <w:p w14:paraId="27D86D16" w14:textId="382D96DF" w:rsidR="004065BE" w:rsidRPr="002D2F67" w:rsidRDefault="00A1388C"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2</w:t>
            </w:r>
            <w:r w:rsidRPr="002D2F67">
              <w:rPr>
                <w:rFonts w:ascii="Arial" w:hAnsi="Arial" w:cs="Arial"/>
                <w:sz w:val="16"/>
                <w:szCs w:val="16"/>
              </w:rPr>
              <w:t>,</w:t>
            </w:r>
            <w:r w:rsidR="00CD5714" w:rsidRPr="00CD5714">
              <w:rPr>
                <w:rFonts w:ascii="Arial" w:hAnsi="Arial" w:cs="Arial"/>
                <w:sz w:val="16"/>
                <w:szCs w:val="16"/>
                <w:lang w:val="en-GB"/>
              </w:rPr>
              <w:t>287</w:t>
            </w:r>
            <w:r w:rsidRPr="002D2F67">
              <w:rPr>
                <w:rFonts w:ascii="Arial" w:hAnsi="Arial" w:cs="Arial"/>
                <w:sz w:val="16"/>
                <w:szCs w:val="16"/>
              </w:rPr>
              <w:t>)</w:t>
            </w:r>
          </w:p>
        </w:tc>
      </w:tr>
      <w:tr w:rsidR="004065BE" w:rsidRPr="002D2F67" w14:paraId="7A61A96D" w14:textId="77777777" w:rsidTr="002D2F67">
        <w:trPr>
          <w:trHeight w:val="46"/>
        </w:trPr>
        <w:tc>
          <w:tcPr>
            <w:tcW w:w="3168" w:type="dxa"/>
          </w:tcPr>
          <w:p w14:paraId="7CD1EA05" w14:textId="77777777" w:rsidR="00706C8B" w:rsidRPr="002D2F67" w:rsidRDefault="004065BE" w:rsidP="00706C8B">
            <w:pPr>
              <w:widowControl w:val="0"/>
              <w:ind w:left="30" w:right="-76"/>
              <w:contextualSpacing/>
              <w:rPr>
                <w:rFonts w:ascii="Arial" w:hAnsi="Arial" w:cs="Arial"/>
                <w:sz w:val="16"/>
                <w:szCs w:val="16"/>
              </w:rPr>
            </w:pPr>
            <w:r w:rsidRPr="002D2F67">
              <w:rPr>
                <w:rFonts w:ascii="Arial" w:hAnsi="Arial" w:cs="Arial"/>
                <w:sz w:val="16"/>
                <w:szCs w:val="16"/>
              </w:rPr>
              <w:t xml:space="preserve">Share of profit (loss) from investments </w:t>
            </w:r>
          </w:p>
          <w:p w14:paraId="359934F9" w14:textId="0DEDFABA" w:rsidR="004065BE" w:rsidRPr="002D2F67" w:rsidRDefault="00706C8B" w:rsidP="00706C8B">
            <w:pPr>
              <w:widowControl w:val="0"/>
              <w:ind w:left="30" w:right="-76"/>
              <w:contextualSpacing/>
              <w:rPr>
                <w:rFonts w:ascii="Arial" w:hAnsi="Arial" w:cs="Arial"/>
                <w:sz w:val="16"/>
                <w:szCs w:val="16"/>
              </w:rPr>
            </w:pPr>
            <w:r w:rsidRPr="002D2F67">
              <w:rPr>
                <w:rFonts w:ascii="Arial" w:hAnsi="Arial" w:cs="Arial"/>
                <w:sz w:val="16"/>
                <w:szCs w:val="16"/>
              </w:rPr>
              <w:t xml:space="preserve">   </w:t>
            </w:r>
            <w:r w:rsidR="004065BE" w:rsidRPr="002D2F67">
              <w:rPr>
                <w:rFonts w:ascii="Arial" w:hAnsi="Arial" w:cs="Arial"/>
                <w:sz w:val="16"/>
                <w:szCs w:val="16"/>
              </w:rPr>
              <w:t>in associates and joint ventures, net</w:t>
            </w:r>
          </w:p>
        </w:tc>
        <w:tc>
          <w:tcPr>
            <w:tcW w:w="792" w:type="dxa"/>
            <w:shd w:val="clear" w:color="auto" w:fill="auto"/>
            <w:vAlign w:val="bottom"/>
          </w:tcPr>
          <w:p w14:paraId="5191F951" w14:textId="36D6F358" w:rsidR="004065BE" w:rsidRPr="002D2F67" w:rsidRDefault="004065BE" w:rsidP="00D21F5E">
            <w:pPr>
              <w:widowControl w:val="0"/>
              <w:ind w:left="-64" w:right="-72"/>
              <w:contextualSpacing/>
              <w:jc w:val="right"/>
              <w:rPr>
                <w:rFonts w:ascii="Arial" w:hAnsi="Arial" w:cs="Arial"/>
                <w:sz w:val="16"/>
                <w:szCs w:val="16"/>
                <w:cs/>
              </w:rPr>
            </w:pPr>
            <w:r w:rsidRPr="002D2F67">
              <w:rPr>
                <w:rFonts w:ascii="Arial" w:hAnsi="Arial" w:cs="Arial"/>
                <w:sz w:val="16"/>
                <w:szCs w:val="16"/>
              </w:rPr>
              <w:t>-</w:t>
            </w:r>
          </w:p>
        </w:tc>
        <w:tc>
          <w:tcPr>
            <w:tcW w:w="792" w:type="dxa"/>
            <w:shd w:val="clear" w:color="auto" w:fill="auto"/>
            <w:vAlign w:val="bottom"/>
          </w:tcPr>
          <w:p w14:paraId="68166F7E" w14:textId="6F4258AC" w:rsidR="004065BE" w:rsidRPr="002D2F67" w:rsidRDefault="009832F4" w:rsidP="00D21F5E">
            <w:pPr>
              <w:widowControl w:val="0"/>
              <w:ind w:left="-64" w:right="-72"/>
              <w:contextualSpacing/>
              <w:jc w:val="right"/>
              <w:rPr>
                <w:rFonts w:ascii="Arial" w:hAnsi="Arial" w:cs="Arial"/>
                <w:sz w:val="16"/>
                <w:szCs w:val="16"/>
                <w:cs/>
              </w:rPr>
            </w:pPr>
            <w:r w:rsidRPr="002D2F67">
              <w:rPr>
                <w:rFonts w:ascii="Arial" w:hAnsi="Arial" w:cs="Arial"/>
                <w:sz w:val="16"/>
                <w:szCs w:val="16"/>
              </w:rPr>
              <w:t>-</w:t>
            </w:r>
          </w:p>
        </w:tc>
        <w:tc>
          <w:tcPr>
            <w:tcW w:w="792" w:type="dxa"/>
            <w:shd w:val="clear" w:color="auto" w:fill="auto"/>
            <w:vAlign w:val="bottom"/>
          </w:tcPr>
          <w:p w14:paraId="3FC01129" w14:textId="7A874CCD" w:rsidR="004065BE" w:rsidRPr="002D2F67" w:rsidRDefault="00765943" w:rsidP="00D21F5E">
            <w:pPr>
              <w:widowControl w:val="0"/>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465F2A4F" w14:textId="774D7DAC" w:rsidR="004065BE" w:rsidRPr="002D2F67" w:rsidRDefault="00765943"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4BE6FF6D" w14:textId="72DB2F76" w:rsidR="004065BE" w:rsidRPr="002D2F67" w:rsidRDefault="00624B37"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77E1D38F" w14:textId="5DB8A4FF" w:rsidR="004065BE" w:rsidRPr="002D2F67" w:rsidRDefault="00624B37"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2D7E026C" w14:textId="0F9EB078" w:rsidR="004065BE" w:rsidRPr="002D2F67" w:rsidRDefault="005432AD"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562FAB3F" w14:textId="55E4994D" w:rsidR="004065BE" w:rsidRPr="002D2F67" w:rsidRDefault="004539ED"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7DC96AB2" w14:textId="3DD9F12B" w:rsidR="004065BE" w:rsidRPr="002D2F67" w:rsidRDefault="005C4548"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330F3490" w14:textId="6D05E26C" w:rsidR="004065BE" w:rsidRPr="002D2F67" w:rsidRDefault="00C06EB8"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69604290" w14:textId="15CC4757" w:rsidR="004065BE" w:rsidRPr="002D2F67" w:rsidRDefault="002102A1"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2CE68EBE" w14:textId="58D9A30E" w:rsidR="004065BE" w:rsidRPr="002D2F67" w:rsidRDefault="00EB2B50"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23FECF3D" w14:textId="305130BF" w:rsidR="004065BE" w:rsidRPr="002D2F67" w:rsidRDefault="000862CA"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01612431" w14:textId="066B6B9C" w:rsidR="004065BE" w:rsidRPr="002D2F67" w:rsidRDefault="00A27D7C" w:rsidP="00D21F5E">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06B614CA" w14:textId="02DA5C27" w:rsidR="004065BE" w:rsidRPr="002D2F67" w:rsidRDefault="00F93CD5"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909</w:t>
            </w:r>
            <w:r w:rsidRPr="002D2F67">
              <w:rPr>
                <w:rFonts w:ascii="Arial" w:hAnsi="Arial" w:cs="Arial"/>
                <w:sz w:val="16"/>
                <w:szCs w:val="16"/>
              </w:rPr>
              <w:t>)</w:t>
            </w:r>
          </w:p>
        </w:tc>
        <w:tc>
          <w:tcPr>
            <w:tcW w:w="792" w:type="dxa"/>
            <w:shd w:val="clear" w:color="auto" w:fill="auto"/>
            <w:vAlign w:val="bottom"/>
          </w:tcPr>
          <w:p w14:paraId="12484A93" w14:textId="6E7BCDEC"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260</w:t>
            </w:r>
          </w:p>
        </w:tc>
      </w:tr>
      <w:tr w:rsidR="004065BE" w:rsidRPr="002D2F67" w14:paraId="45FB13D5" w14:textId="77777777" w:rsidTr="002D2F67">
        <w:tc>
          <w:tcPr>
            <w:tcW w:w="3168" w:type="dxa"/>
          </w:tcPr>
          <w:p w14:paraId="0FADAFC0" w14:textId="77777777" w:rsidR="004065BE" w:rsidRPr="002D2F67" w:rsidRDefault="004065BE" w:rsidP="00706C8B">
            <w:pPr>
              <w:ind w:left="30" w:right="-76"/>
              <w:contextualSpacing/>
              <w:rPr>
                <w:rFonts w:ascii="Arial" w:hAnsi="Arial" w:cs="Arial"/>
                <w:sz w:val="16"/>
                <w:szCs w:val="16"/>
              </w:rPr>
            </w:pPr>
          </w:p>
        </w:tc>
        <w:tc>
          <w:tcPr>
            <w:tcW w:w="792" w:type="dxa"/>
            <w:tcBorders>
              <w:top w:val="single" w:sz="4" w:space="0" w:color="auto"/>
            </w:tcBorders>
            <w:shd w:val="clear" w:color="auto" w:fill="auto"/>
            <w:vAlign w:val="bottom"/>
          </w:tcPr>
          <w:p w14:paraId="153C1F43" w14:textId="77777777" w:rsidR="004065BE" w:rsidRPr="002D2F67" w:rsidRDefault="004065BE" w:rsidP="00D21F5E">
            <w:pPr>
              <w:widowControl w:val="0"/>
              <w:ind w:left="-64" w:right="-72"/>
              <w:contextualSpacing/>
              <w:jc w:val="right"/>
              <w:rPr>
                <w:rFonts w:ascii="Arial" w:hAnsi="Arial" w:cs="Arial"/>
                <w:b/>
                <w:bCs/>
                <w:sz w:val="16"/>
                <w:szCs w:val="16"/>
                <w:cs/>
              </w:rPr>
            </w:pPr>
          </w:p>
        </w:tc>
        <w:tc>
          <w:tcPr>
            <w:tcW w:w="792" w:type="dxa"/>
            <w:tcBorders>
              <w:top w:val="single" w:sz="4" w:space="0" w:color="auto"/>
            </w:tcBorders>
            <w:shd w:val="clear" w:color="auto" w:fill="auto"/>
            <w:vAlign w:val="bottom"/>
          </w:tcPr>
          <w:p w14:paraId="3E87FDE5" w14:textId="77777777" w:rsidR="004065BE" w:rsidRPr="002D2F67" w:rsidRDefault="004065BE" w:rsidP="00D21F5E">
            <w:pPr>
              <w:widowControl w:val="0"/>
              <w:ind w:left="-64" w:right="-72"/>
              <w:contextualSpacing/>
              <w:jc w:val="right"/>
              <w:rPr>
                <w:rFonts w:ascii="Arial" w:hAnsi="Arial" w:cs="Arial"/>
                <w:b/>
                <w:bCs/>
                <w:sz w:val="16"/>
                <w:szCs w:val="16"/>
                <w:cs/>
              </w:rPr>
            </w:pPr>
          </w:p>
        </w:tc>
        <w:tc>
          <w:tcPr>
            <w:tcW w:w="792" w:type="dxa"/>
            <w:tcBorders>
              <w:top w:val="single" w:sz="4" w:space="0" w:color="auto"/>
            </w:tcBorders>
            <w:shd w:val="clear" w:color="auto" w:fill="auto"/>
            <w:vAlign w:val="bottom"/>
          </w:tcPr>
          <w:p w14:paraId="022408A5" w14:textId="77777777" w:rsidR="004065BE" w:rsidRPr="002D2F67" w:rsidRDefault="004065BE" w:rsidP="00D21F5E">
            <w:pPr>
              <w:widowControl w:val="0"/>
              <w:ind w:left="-64" w:right="-72"/>
              <w:contextualSpacing/>
              <w:jc w:val="right"/>
              <w:rPr>
                <w:rFonts w:ascii="Arial" w:hAnsi="Arial" w:cs="Arial"/>
                <w:b/>
                <w:bCs/>
                <w:sz w:val="16"/>
                <w:szCs w:val="16"/>
                <w:cs/>
              </w:rPr>
            </w:pPr>
          </w:p>
        </w:tc>
        <w:tc>
          <w:tcPr>
            <w:tcW w:w="792" w:type="dxa"/>
            <w:tcBorders>
              <w:top w:val="single" w:sz="4" w:space="0" w:color="auto"/>
            </w:tcBorders>
            <w:shd w:val="clear" w:color="auto" w:fill="auto"/>
            <w:vAlign w:val="bottom"/>
          </w:tcPr>
          <w:p w14:paraId="3B6C5C3C" w14:textId="77777777" w:rsidR="004065BE" w:rsidRPr="002D2F67" w:rsidRDefault="004065BE" w:rsidP="00D21F5E">
            <w:pPr>
              <w:widowControl w:val="0"/>
              <w:ind w:left="-64" w:right="-72"/>
              <w:contextualSpacing/>
              <w:jc w:val="right"/>
              <w:rPr>
                <w:rFonts w:ascii="Arial" w:hAnsi="Arial" w:cs="Arial"/>
                <w:b/>
                <w:bCs/>
                <w:sz w:val="16"/>
                <w:szCs w:val="16"/>
                <w:cs/>
              </w:rPr>
            </w:pPr>
          </w:p>
        </w:tc>
        <w:tc>
          <w:tcPr>
            <w:tcW w:w="792" w:type="dxa"/>
            <w:tcBorders>
              <w:top w:val="single" w:sz="4" w:space="0" w:color="auto"/>
            </w:tcBorders>
            <w:shd w:val="clear" w:color="auto" w:fill="auto"/>
            <w:vAlign w:val="bottom"/>
          </w:tcPr>
          <w:p w14:paraId="471B4FC7" w14:textId="77777777" w:rsidR="004065BE" w:rsidRPr="002D2F67" w:rsidRDefault="004065BE" w:rsidP="00D21F5E">
            <w:pPr>
              <w:widowControl w:val="0"/>
              <w:ind w:left="-64" w:right="-72"/>
              <w:contextualSpacing/>
              <w:jc w:val="right"/>
              <w:rPr>
                <w:rFonts w:ascii="Arial" w:hAnsi="Arial" w:cs="Arial"/>
                <w:b/>
                <w:bCs/>
                <w:sz w:val="16"/>
                <w:szCs w:val="16"/>
                <w:cs/>
              </w:rPr>
            </w:pPr>
          </w:p>
        </w:tc>
        <w:tc>
          <w:tcPr>
            <w:tcW w:w="792" w:type="dxa"/>
            <w:tcBorders>
              <w:top w:val="single" w:sz="4" w:space="0" w:color="auto"/>
            </w:tcBorders>
            <w:shd w:val="clear" w:color="auto" w:fill="auto"/>
            <w:vAlign w:val="bottom"/>
          </w:tcPr>
          <w:p w14:paraId="7DD057EF" w14:textId="77777777" w:rsidR="004065BE" w:rsidRPr="002D2F67" w:rsidRDefault="004065BE" w:rsidP="00D21F5E">
            <w:pPr>
              <w:widowControl w:val="0"/>
              <w:ind w:left="-64" w:right="-72"/>
              <w:contextualSpacing/>
              <w:jc w:val="right"/>
              <w:rPr>
                <w:rFonts w:ascii="Arial" w:hAnsi="Arial" w:cs="Arial"/>
                <w:b/>
                <w:bCs/>
                <w:sz w:val="16"/>
                <w:szCs w:val="16"/>
                <w:cs/>
              </w:rPr>
            </w:pPr>
          </w:p>
        </w:tc>
        <w:tc>
          <w:tcPr>
            <w:tcW w:w="792" w:type="dxa"/>
            <w:tcBorders>
              <w:top w:val="single" w:sz="4" w:space="0" w:color="auto"/>
            </w:tcBorders>
            <w:shd w:val="clear" w:color="auto" w:fill="auto"/>
            <w:vAlign w:val="bottom"/>
          </w:tcPr>
          <w:p w14:paraId="3CCA7970" w14:textId="77777777" w:rsidR="004065BE" w:rsidRPr="002D2F67" w:rsidRDefault="004065BE" w:rsidP="00D21F5E">
            <w:pPr>
              <w:widowControl w:val="0"/>
              <w:ind w:left="-64" w:right="-72"/>
              <w:contextualSpacing/>
              <w:jc w:val="right"/>
              <w:rPr>
                <w:rFonts w:ascii="Arial" w:hAnsi="Arial" w:cs="Arial"/>
                <w:b/>
                <w:bCs/>
                <w:sz w:val="16"/>
                <w:szCs w:val="16"/>
                <w:cs/>
              </w:rPr>
            </w:pPr>
          </w:p>
        </w:tc>
        <w:tc>
          <w:tcPr>
            <w:tcW w:w="792" w:type="dxa"/>
            <w:tcBorders>
              <w:top w:val="single" w:sz="4" w:space="0" w:color="auto"/>
            </w:tcBorders>
            <w:shd w:val="clear" w:color="auto" w:fill="auto"/>
            <w:vAlign w:val="bottom"/>
          </w:tcPr>
          <w:p w14:paraId="3EA1A337" w14:textId="77777777" w:rsidR="004065BE" w:rsidRPr="002D2F67" w:rsidRDefault="004065BE" w:rsidP="00D21F5E">
            <w:pPr>
              <w:widowControl w:val="0"/>
              <w:ind w:left="-64" w:right="-72"/>
              <w:contextualSpacing/>
              <w:jc w:val="right"/>
              <w:rPr>
                <w:rFonts w:ascii="Arial" w:hAnsi="Arial" w:cs="Arial"/>
                <w:b/>
                <w:bCs/>
                <w:sz w:val="16"/>
                <w:szCs w:val="16"/>
                <w:cs/>
              </w:rPr>
            </w:pPr>
          </w:p>
        </w:tc>
        <w:tc>
          <w:tcPr>
            <w:tcW w:w="792" w:type="dxa"/>
            <w:tcBorders>
              <w:top w:val="single" w:sz="4" w:space="0" w:color="auto"/>
            </w:tcBorders>
            <w:shd w:val="clear" w:color="auto" w:fill="auto"/>
            <w:vAlign w:val="bottom"/>
          </w:tcPr>
          <w:p w14:paraId="59FF538A" w14:textId="77777777" w:rsidR="004065BE" w:rsidRPr="002D2F67" w:rsidRDefault="004065BE" w:rsidP="00D21F5E">
            <w:pPr>
              <w:widowControl w:val="0"/>
              <w:ind w:left="-64" w:right="-72"/>
              <w:contextualSpacing/>
              <w:jc w:val="right"/>
              <w:rPr>
                <w:rFonts w:ascii="Arial" w:hAnsi="Arial" w:cs="Arial"/>
                <w:b/>
                <w:bCs/>
                <w:sz w:val="16"/>
                <w:szCs w:val="16"/>
                <w:cs/>
              </w:rPr>
            </w:pPr>
          </w:p>
        </w:tc>
        <w:tc>
          <w:tcPr>
            <w:tcW w:w="792" w:type="dxa"/>
            <w:tcBorders>
              <w:top w:val="single" w:sz="4" w:space="0" w:color="auto"/>
            </w:tcBorders>
            <w:shd w:val="clear" w:color="auto" w:fill="auto"/>
            <w:vAlign w:val="bottom"/>
          </w:tcPr>
          <w:p w14:paraId="3334B7D1" w14:textId="77777777" w:rsidR="004065BE" w:rsidRPr="002D2F67" w:rsidRDefault="004065BE" w:rsidP="00D21F5E">
            <w:pPr>
              <w:widowControl w:val="0"/>
              <w:ind w:left="-64" w:right="-72"/>
              <w:contextualSpacing/>
              <w:jc w:val="right"/>
              <w:rPr>
                <w:rFonts w:ascii="Arial" w:hAnsi="Arial" w:cs="Arial"/>
                <w:b/>
                <w:bCs/>
                <w:sz w:val="16"/>
                <w:szCs w:val="16"/>
                <w:cs/>
              </w:rPr>
            </w:pPr>
          </w:p>
        </w:tc>
        <w:tc>
          <w:tcPr>
            <w:tcW w:w="792" w:type="dxa"/>
            <w:tcBorders>
              <w:top w:val="single" w:sz="4" w:space="0" w:color="auto"/>
            </w:tcBorders>
            <w:shd w:val="clear" w:color="auto" w:fill="auto"/>
            <w:vAlign w:val="bottom"/>
          </w:tcPr>
          <w:p w14:paraId="087C88DF" w14:textId="77777777" w:rsidR="004065BE" w:rsidRPr="002D2F67" w:rsidRDefault="004065BE" w:rsidP="00D21F5E">
            <w:pPr>
              <w:widowControl w:val="0"/>
              <w:ind w:left="-64" w:right="-72"/>
              <w:contextualSpacing/>
              <w:jc w:val="right"/>
              <w:rPr>
                <w:rFonts w:ascii="Arial" w:hAnsi="Arial" w:cs="Arial"/>
                <w:b/>
                <w:bCs/>
                <w:sz w:val="16"/>
                <w:szCs w:val="16"/>
                <w:cs/>
              </w:rPr>
            </w:pPr>
          </w:p>
        </w:tc>
        <w:tc>
          <w:tcPr>
            <w:tcW w:w="792" w:type="dxa"/>
            <w:tcBorders>
              <w:top w:val="single" w:sz="4" w:space="0" w:color="auto"/>
            </w:tcBorders>
            <w:shd w:val="clear" w:color="auto" w:fill="auto"/>
            <w:vAlign w:val="bottom"/>
          </w:tcPr>
          <w:p w14:paraId="2C9B927A" w14:textId="77777777" w:rsidR="004065BE" w:rsidRPr="002D2F67" w:rsidRDefault="004065BE" w:rsidP="00D21F5E">
            <w:pPr>
              <w:widowControl w:val="0"/>
              <w:ind w:left="-64" w:right="-72"/>
              <w:contextualSpacing/>
              <w:jc w:val="right"/>
              <w:rPr>
                <w:rFonts w:ascii="Arial" w:hAnsi="Arial" w:cs="Arial"/>
                <w:b/>
                <w:bCs/>
                <w:sz w:val="16"/>
                <w:szCs w:val="16"/>
                <w:cs/>
              </w:rPr>
            </w:pPr>
          </w:p>
        </w:tc>
        <w:tc>
          <w:tcPr>
            <w:tcW w:w="792" w:type="dxa"/>
            <w:tcBorders>
              <w:top w:val="single" w:sz="4" w:space="0" w:color="auto"/>
            </w:tcBorders>
            <w:shd w:val="clear" w:color="auto" w:fill="auto"/>
            <w:vAlign w:val="bottom"/>
          </w:tcPr>
          <w:p w14:paraId="674F2663" w14:textId="77777777" w:rsidR="004065BE" w:rsidRPr="002D2F67" w:rsidRDefault="004065BE" w:rsidP="00D21F5E">
            <w:pPr>
              <w:widowControl w:val="0"/>
              <w:ind w:left="-64" w:right="-72"/>
              <w:contextualSpacing/>
              <w:jc w:val="right"/>
              <w:rPr>
                <w:rFonts w:ascii="Arial" w:hAnsi="Arial" w:cs="Arial"/>
                <w:b/>
                <w:bCs/>
                <w:sz w:val="16"/>
                <w:szCs w:val="16"/>
                <w:cs/>
              </w:rPr>
            </w:pPr>
          </w:p>
        </w:tc>
        <w:tc>
          <w:tcPr>
            <w:tcW w:w="792" w:type="dxa"/>
            <w:tcBorders>
              <w:top w:val="single" w:sz="4" w:space="0" w:color="auto"/>
            </w:tcBorders>
            <w:shd w:val="clear" w:color="auto" w:fill="auto"/>
            <w:vAlign w:val="bottom"/>
          </w:tcPr>
          <w:p w14:paraId="62809C86" w14:textId="77777777" w:rsidR="004065BE" w:rsidRPr="002D2F67" w:rsidRDefault="004065BE" w:rsidP="00D21F5E">
            <w:pPr>
              <w:widowControl w:val="0"/>
              <w:ind w:left="-64" w:right="-72"/>
              <w:contextualSpacing/>
              <w:jc w:val="right"/>
              <w:rPr>
                <w:rFonts w:ascii="Arial" w:hAnsi="Arial" w:cs="Arial"/>
                <w:b/>
                <w:bCs/>
                <w:sz w:val="16"/>
                <w:szCs w:val="16"/>
                <w:cs/>
              </w:rPr>
            </w:pPr>
          </w:p>
        </w:tc>
        <w:tc>
          <w:tcPr>
            <w:tcW w:w="792" w:type="dxa"/>
            <w:tcBorders>
              <w:top w:val="single" w:sz="4" w:space="0" w:color="auto"/>
            </w:tcBorders>
            <w:shd w:val="clear" w:color="auto" w:fill="auto"/>
            <w:vAlign w:val="bottom"/>
          </w:tcPr>
          <w:p w14:paraId="7B01A47B" w14:textId="62A798E9" w:rsidR="004065BE" w:rsidRPr="002D2F67" w:rsidRDefault="004065BE" w:rsidP="00336066">
            <w:pPr>
              <w:ind w:left="-64" w:right="-72"/>
              <w:contextualSpacing/>
              <w:jc w:val="right"/>
              <w:rPr>
                <w:rFonts w:ascii="Arial" w:hAnsi="Arial" w:cs="Arial"/>
                <w:sz w:val="16"/>
                <w:szCs w:val="16"/>
                <w:cs/>
              </w:rPr>
            </w:pPr>
          </w:p>
        </w:tc>
        <w:tc>
          <w:tcPr>
            <w:tcW w:w="792" w:type="dxa"/>
            <w:tcBorders>
              <w:top w:val="single" w:sz="4" w:space="0" w:color="auto"/>
            </w:tcBorders>
            <w:shd w:val="clear" w:color="auto" w:fill="auto"/>
            <w:vAlign w:val="bottom"/>
          </w:tcPr>
          <w:p w14:paraId="091000CB" w14:textId="003DEC87" w:rsidR="004065BE" w:rsidRPr="002D2F67" w:rsidRDefault="004065BE" w:rsidP="00336066">
            <w:pPr>
              <w:ind w:left="-64" w:right="-72"/>
              <w:contextualSpacing/>
              <w:jc w:val="right"/>
              <w:rPr>
                <w:rFonts w:ascii="Arial" w:hAnsi="Arial" w:cs="Arial"/>
                <w:sz w:val="16"/>
                <w:szCs w:val="16"/>
                <w:cs/>
              </w:rPr>
            </w:pPr>
          </w:p>
        </w:tc>
      </w:tr>
      <w:tr w:rsidR="004065BE" w:rsidRPr="002D2F67" w14:paraId="5F72F7C9" w14:textId="77777777" w:rsidTr="002D2F67">
        <w:trPr>
          <w:trHeight w:val="57"/>
        </w:trPr>
        <w:tc>
          <w:tcPr>
            <w:tcW w:w="3168" w:type="dxa"/>
          </w:tcPr>
          <w:p w14:paraId="4C34B309" w14:textId="77777777" w:rsidR="004065BE" w:rsidRPr="002D2F67" w:rsidRDefault="004065BE" w:rsidP="00706C8B">
            <w:pPr>
              <w:widowControl w:val="0"/>
              <w:ind w:left="30" w:right="-76"/>
              <w:contextualSpacing/>
              <w:rPr>
                <w:rFonts w:ascii="Arial" w:hAnsi="Arial" w:cs="Arial"/>
                <w:sz w:val="16"/>
                <w:szCs w:val="16"/>
              </w:rPr>
            </w:pPr>
            <w:r w:rsidRPr="002D2F67">
              <w:rPr>
                <w:rFonts w:ascii="Arial" w:hAnsi="Arial" w:cs="Arial"/>
                <w:sz w:val="16"/>
                <w:szCs w:val="16"/>
              </w:rPr>
              <w:t>Profit (loss) before income tax</w:t>
            </w:r>
          </w:p>
        </w:tc>
        <w:tc>
          <w:tcPr>
            <w:tcW w:w="792" w:type="dxa"/>
            <w:shd w:val="clear" w:color="auto" w:fill="auto"/>
          </w:tcPr>
          <w:p w14:paraId="1CC54640" w14:textId="2EE38431" w:rsidR="004065BE" w:rsidRPr="002D2F67" w:rsidRDefault="004065BE" w:rsidP="00D21F5E">
            <w:pPr>
              <w:widowControl w:val="0"/>
              <w:ind w:left="-64" w:right="-72"/>
              <w:contextualSpacing/>
              <w:jc w:val="right"/>
              <w:rPr>
                <w:rFonts w:ascii="Arial" w:hAnsi="Arial" w:cs="Arial"/>
                <w:sz w:val="16"/>
                <w:szCs w:val="16"/>
                <w:cs/>
              </w:rPr>
            </w:pPr>
            <w:r w:rsidRPr="002D2F67">
              <w:rPr>
                <w:rFonts w:ascii="Arial" w:hAnsi="Arial" w:cs="Arial"/>
                <w:sz w:val="16"/>
                <w:szCs w:val="16"/>
              </w:rPr>
              <w:t>(</w:t>
            </w:r>
            <w:r w:rsidR="00CD5714" w:rsidRPr="00CD5714">
              <w:rPr>
                <w:rFonts w:ascii="Arial" w:hAnsi="Arial" w:cs="Arial"/>
                <w:sz w:val="16"/>
                <w:szCs w:val="16"/>
                <w:lang w:val="en-GB"/>
              </w:rPr>
              <w:t>205</w:t>
            </w:r>
            <w:r w:rsidRPr="002D2F67">
              <w:rPr>
                <w:rFonts w:ascii="Arial" w:hAnsi="Arial" w:cs="Arial"/>
                <w:sz w:val="16"/>
                <w:szCs w:val="16"/>
              </w:rPr>
              <w:t>)</w:t>
            </w:r>
          </w:p>
        </w:tc>
        <w:tc>
          <w:tcPr>
            <w:tcW w:w="792" w:type="dxa"/>
            <w:shd w:val="clear" w:color="auto" w:fill="auto"/>
          </w:tcPr>
          <w:p w14:paraId="5724C0E4" w14:textId="06523A3C" w:rsidR="004065BE" w:rsidRPr="002D2F67" w:rsidRDefault="009832F4" w:rsidP="00D21F5E">
            <w:pPr>
              <w:widowControl w:val="0"/>
              <w:ind w:left="-64" w:right="-72"/>
              <w:contextualSpacing/>
              <w:jc w:val="right"/>
              <w:rPr>
                <w:rFonts w:ascii="Arial" w:hAnsi="Arial" w:cs="Arial"/>
                <w:sz w:val="16"/>
                <w:szCs w:val="16"/>
                <w:cs/>
              </w:rPr>
            </w:pPr>
            <w:r w:rsidRPr="002D2F67">
              <w:rPr>
                <w:rFonts w:ascii="Arial" w:hAnsi="Arial" w:cs="Arial"/>
                <w:sz w:val="16"/>
                <w:szCs w:val="16"/>
              </w:rPr>
              <w:t>(</w:t>
            </w:r>
            <w:r w:rsidR="00CD5714" w:rsidRPr="00CD5714">
              <w:rPr>
                <w:rFonts w:ascii="Arial" w:hAnsi="Arial" w:cs="Arial"/>
                <w:sz w:val="16"/>
                <w:szCs w:val="16"/>
                <w:lang w:val="en-GB"/>
              </w:rPr>
              <w:t>318</w:t>
            </w:r>
            <w:r w:rsidRPr="002D2F67">
              <w:rPr>
                <w:rFonts w:ascii="Arial" w:hAnsi="Arial" w:cs="Arial"/>
                <w:sz w:val="16"/>
                <w:szCs w:val="16"/>
              </w:rPr>
              <w:t>)</w:t>
            </w:r>
          </w:p>
        </w:tc>
        <w:tc>
          <w:tcPr>
            <w:tcW w:w="792" w:type="dxa"/>
            <w:shd w:val="clear" w:color="auto" w:fill="auto"/>
          </w:tcPr>
          <w:p w14:paraId="3808DB25" w14:textId="1A5E3497" w:rsidR="004065BE" w:rsidRPr="002D2F67" w:rsidRDefault="00CD5714" w:rsidP="00D21F5E">
            <w:pPr>
              <w:widowControl w:val="0"/>
              <w:ind w:left="-64" w:right="-72"/>
              <w:contextualSpacing/>
              <w:jc w:val="right"/>
              <w:rPr>
                <w:rFonts w:ascii="Arial" w:hAnsi="Arial" w:cs="Arial"/>
                <w:sz w:val="16"/>
                <w:szCs w:val="16"/>
                <w:cs/>
              </w:rPr>
            </w:pPr>
            <w:r w:rsidRPr="00CD5714">
              <w:rPr>
                <w:rFonts w:ascii="Arial" w:hAnsi="Arial" w:cs="Arial"/>
                <w:sz w:val="16"/>
                <w:szCs w:val="16"/>
                <w:lang w:val="en-GB"/>
              </w:rPr>
              <w:t>6</w:t>
            </w:r>
            <w:r w:rsidR="009832F4" w:rsidRPr="002D2F67">
              <w:rPr>
                <w:rFonts w:ascii="Arial" w:hAnsi="Arial" w:cs="Arial"/>
                <w:sz w:val="16"/>
                <w:szCs w:val="16"/>
              </w:rPr>
              <w:t>,</w:t>
            </w:r>
            <w:r w:rsidRPr="00CD5714">
              <w:rPr>
                <w:rFonts w:ascii="Arial" w:hAnsi="Arial" w:cs="Arial"/>
                <w:sz w:val="16"/>
                <w:szCs w:val="16"/>
                <w:lang w:val="en-GB"/>
              </w:rPr>
              <w:t>778</w:t>
            </w:r>
          </w:p>
        </w:tc>
        <w:tc>
          <w:tcPr>
            <w:tcW w:w="792" w:type="dxa"/>
            <w:shd w:val="clear" w:color="auto" w:fill="auto"/>
          </w:tcPr>
          <w:p w14:paraId="46CBFEFF" w14:textId="41DEA542" w:rsidR="004065BE" w:rsidRPr="002D2F67" w:rsidRDefault="00CD5714" w:rsidP="00D21F5E">
            <w:pPr>
              <w:ind w:left="-64" w:right="-72"/>
              <w:contextualSpacing/>
              <w:jc w:val="right"/>
              <w:rPr>
                <w:rFonts w:ascii="Arial" w:hAnsi="Arial" w:cs="Arial"/>
                <w:sz w:val="16"/>
                <w:szCs w:val="16"/>
                <w:cs/>
              </w:rPr>
            </w:pPr>
            <w:r w:rsidRPr="00CD5714">
              <w:rPr>
                <w:rFonts w:ascii="Arial" w:hAnsi="Arial" w:cs="Arial"/>
                <w:sz w:val="16"/>
                <w:szCs w:val="16"/>
                <w:lang w:val="en-GB"/>
              </w:rPr>
              <w:t>8</w:t>
            </w:r>
            <w:r w:rsidR="001F3B11" w:rsidRPr="002D2F67">
              <w:rPr>
                <w:rFonts w:ascii="Arial" w:hAnsi="Arial" w:cs="Arial"/>
                <w:sz w:val="16"/>
                <w:szCs w:val="16"/>
              </w:rPr>
              <w:t>,</w:t>
            </w:r>
            <w:r w:rsidRPr="00CD5714">
              <w:rPr>
                <w:rFonts w:ascii="Arial" w:hAnsi="Arial" w:cs="Arial"/>
                <w:sz w:val="16"/>
                <w:szCs w:val="16"/>
                <w:lang w:val="en-GB"/>
              </w:rPr>
              <w:t>714</w:t>
            </w:r>
          </w:p>
        </w:tc>
        <w:tc>
          <w:tcPr>
            <w:tcW w:w="792" w:type="dxa"/>
            <w:shd w:val="clear" w:color="auto" w:fill="auto"/>
          </w:tcPr>
          <w:p w14:paraId="1B024D56" w14:textId="48A30976" w:rsidR="004065BE" w:rsidRPr="002D2F67" w:rsidRDefault="00A41007" w:rsidP="00D21F5E">
            <w:pPr>
              <w:ind w:left="-64" w:right="-72"/>
              <w:contextualSpacing/>
              <w:jc w:val="right"/>
              <w:rPr>
                <w:rFonts w:ascii="Arial" w:hAnsi="Arial" w:cs="Arial"/>
                <w:sz w:val="16"/>
                <w:szCs w:val="16"/>
                <w:cs/>
              </w:rPr>
            </w:pPr>
            <w:r w:rsidRPr="002D2F67">
              <w:rPr>
                <w:rFonts w:ascii="Arial" w:hAnsi="Arial" w:cs="Arial"/>
                <w:sz w:val="16"/>
                <w:szCs w:val="16"/>
              </w:rPr>
              <w:t>(</w:t>
            </w:r>
            <w:r w:rsidR="00CD5714" w:rsidRPr="00CD5714">
              <w:rPr>
                <w:rFonts w:ascii="Arial" w:hAnsi="Arial" w:cs="Arial"/>
                <w:sz w:val="16"/>
                <w:szCs w:val="16"/>
                <w:lang w:val="en-GB"/>
              </w:rPr>
              <w:t>3</w:t>
            </w:r>
            <w:r w:rsidR="00AC5290" w:rsidRPr="002D2F67">
              <w:rPr>
                <w:rFonts w:ascii="Arial" w:hAnsi="Arial" w:cs="Arial"/>
                <w:sz w:val="16"/>
                <w:szCs w:val="16"/>
              </w:rPr>
              <w:t>,</w:t>
            </w:r>
            <w:r w:rsidR="00CD5714" w:rsidRPr="00CD5714">
              <w:rPr>
                <w:rFonts w:ascii="Arial" w:hAnsi="Arial" w:cs="Arial"/>
                <w:sz w:val="16"/>
                <w:szCs w:val="16"/>
                <w:lang w:val="en-GB"/>
              </w:rPr>
              <w:t>092</w:t>
            </w:r>
            <w:r w:rsidRPr="002D2F67">
              <w:rPr>
                <w:rFonts w:ascii="Arial" w:hAnsi="Arial" w:cs="Arial"/>
                <w:sz w:val="16"/>
                <w:szCs w:val="16"/>
              </w:rPr>
              <w:t>)</w:t>
            </w:r>
          </w:p>
        </w:tc>
        <w:tc>
          <w:tcPr>
            <w:tcW w:w="792" w:type="dxa"/>
            <w:shd w:val="clear" w:color="auto" w:fill="auto"/>
          </w:tcPr>
          <w:p w14:paraId="425DA7C5" w14:textId="19CE8DA9"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975</w:t>
            </w:r>
          </w:p>
        </w:tc>
        <w:tc>
          <w:tcPr>
            <w:tcW w:w="792" w:type="dxa"/>
            <w:shd w:val="clear" w:color="auto" w:fill="auto"/>
          </w:tcPr>
          <w:p w14:paraId="1DFA0E01" w14:textId="3A27042C" w:rsidR="004065BE" w:rsidRPr="002D2F67" w:rsidRDefault="005432AD"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5</w:t>
            </w:r>
            <w:r w:rsidR="00DB2B9A" w:rsidRPr="002D2F67">
              <w:rPr>
                <w:rFonts w:ascii="Arial" w:hAnsi="Arial" w:cs="Arial"/>
                <w:sz w:val="16"/>
                <w:szCs w:val="16"/>
              </w:rPr>
              <w:t>,</w:t>
            </w:r>
            <w:r w:rsidR="00CD5714" w:rsidRPr="00CD5714">
              <w:rPr>
                <w:rFonts w:ascii="Arial" w:hAnsi="Arial" w:cs="Arial"/>
                <w:sz w:val="16"/>
                <w:szCs w:val="16"/>
                <w:lang w:val="en-GB"/>
              </w:rPr>
              <w:t>524</w:t>
            </w:r>
            <w:r w:rsidR="004539ED" w:rsidRPr="002D2F67">
              <w:rPr>
                <w:rFonts w:ascii="Arial" w:hAnsi="Arial" w:cs="Arial"/>
                <w:sz w:val="16"/>
                <w:szCs w:val="16"/>
              </w:rPr>
              <w:t>)</w:t>
            </w:r>
          </w:p>
        </w:tc>
        <w:tc>
          <w:tcPr>
            <w:tcW w:w="792" w:type="dxa"/>
            <w:shd w:val="clear" w:color="auto" w:fill="auto"/>
          </w:tcPr>
          <w:p w14:paraId="1CF8033F" w14:textId="28E320C3" w:rsidR="004065BE" w:rsidRPr="002D2F67" w:rsidRDefault="004539ED"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1</w:t>
            </w:r>
            <w:r w:rsidRPr="002D2F67">
              <w:rPr>
                <w:rFonts w:ascii="Arial" w:hAnsi="Arial" w:cs="Arial"/>
                <w:sz w:val="16"/>
                <w:szCs w:val="16"/>
              </w:rPr>
              <w:t>,</w:t>
            </w:r>
            <w:r w:rsidR="00CD5714" w:rsidRPr="00CD5714">
              <w:rPr>
                <w:rFonts w:ascii="Arial" w:hAnsi="Arial" w:cs="Arial"/>
                <w:sz w:val="16"/>
                <w:szCs w:val="16"/>
                <w:lang w:val="en-GB"/>
              </w:rPr>
              <w:t>246</w:t>
            </w:r>
            <w:r w:rsidRPr="002D2F67">
              <w:rPr>
                <w:rFonts w:ascii="Arial" w:hAnsi="Arial" w:cs="Arial"/>
                <w:sz w:val="16"/>
                <w:szCs w:val="16"/>
              </w:rPr>
              <w:t>)</w:t>
            </w:r>
          </w:p>
        </w:tc>
        <w:tc>
          <w:tcPr>
            <w:tcW w:w="792" w:type="dxa"/>
            <w:shd w:val="clear" w:color="auto" w:fill="auto"/>
          </w:tcPr>
          <w:p w14:paraId="71A15B47" w14:textId="1507D312" w:rsidR="004065BE" w:rsidRPr="002D2F67" w:rsidRDefault="00A41007"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598</w:t>
            </w:r>
            <w:r w:rsidRPr="002D2F67">
              <w:rPr>
                <w:rFonts w:ascii="Arial" w:hAnsi="Arial" w:cs="Arial"/>
                <w:sz w:val="16"/>
                <w:szCs w:val="16"/>
              </w:rPr>
              <w:t>)</w:t>
            </w:r>
          </w:p>
        </w:tc>
        <w:tc>
          <w:tcPr>
            <w:tcW w:w="792" w:type="dxa"/>
            <w:shd w:val="clear" w:color="auto" w:fill="auto"/>
          </w:tcPr>
          <w:p w14:paraId="5637B95D" w14:textId="027A4465" w:rsidR="004065BE" w:rsidRPr="002D2F67" w:rsidRDefault="00C06EB8"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323</w:t>
            </w:r>
            <w:r w:rsidRPr="002D2F67">
              <w:rPr>
                <w:rFonts w:ascii="Arial" w:hAnsi="Arial" w:cs="Arial"/>
                <w:sz w:val="16"/>
                <w:szCs w:val="16"/>
              </w:rPr>
              <w:t>)</w:t>
            </w:r>
          </w:p>
        </w:tc>
        <w:tc>
          <w:tcPr>
            <w:tcW w:w="792" w:type="dxa"/>
            <w:shd w:val="clear" w:color="auto" w:fill="auto"/>
          </w:tcPr>
          <w:p w14:paraId="32CF0751" w14:textId="7DEC9D4D" w:rsidR="004065BE" w:rsidRPr="002D2F67" w:rsidRDefault="002102A1"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11</w:t>
            </w:r>
            <w:r w:rsidR="00DB2B9A" w:rsidRPr="002D2F67">
              <w:rPr>
                <w:rFonts w:ascii="Arial" w:hAnsi="Arial" w:cs="Arial"/>
                <w:sz w:val="16"/>
                <w:szCs w:val="16"/>
              </w:rPr>
              <w:t>,</w:t>
            </w:r>
            <w:r w:rsidR="00CD5714" w:rsidRPr="00CD5714">
              <w:rPr>
                <w:rFonts w:ascii="Arial" w:hAnsi="Arial" w:cs="Arial"/>
                <w:sz w:val="16"/>
                <w:szCs w:val="16"/>
                <w:lang w:val="en-GB"/>
              </w:rPr>
              <w:t>761</w:t>
            </w:r>
            <w:r w:rsidRPr="002D2F67">
              <w:rPr>
                <w:rFonts w:ascii="Arial" w:hAnsi="Arial" w:cs="Arial"/>
                <w:sz w:val="16"/>
                <w:szCs w:val="16"/>
              </w:rPr>
              <w:t>)</w:t>
            </w:r>
          </w:p>
        </w:tc>
        <w:tc>
          <w:tcPr>
            <w:tcW w:w="792" w:type="dxa"/>
            <w:shd w:val="clear" w:color="auto" w:fill="auto"/>
          </w:tcPr>
          <w:p w14:paraId="4B5882CB" w14:textId="62D48892" w:rsidR="004065BE" w:rsidRPr="002D2F67" w:rsidRDefault="00CD5714" w:rsidP="00D21F5E">
            <w:pPr>
              <w:ind w:left="-64" w:right="-72"/>
              <w:contextualSpacing/>
              <w:jc w:val="right"/>
              <w:rPr>
                <w:rFonts w:ascii="Arial" w:hAnsi="Arial" w:cs="Arial"/>
                <w:sz w:val="16"/>
                <w:szCs w:val="16"/>
                <w:cs/>
              </w:rPr>
            </w:pPr>
            <w:r w:rsidRPr="00CD5714">
              <w:rPr>
                <w:rFonts w:ascii="Arial" w:hAnsi="Arial" w:cs="Arial"/>
                <w:sz w:val="16"/>
                <w:szCs w:val="16"/>
                <w:lang w:val="en-GB"/>
              </w:rPr>
              <w:t>21</w:t>
            </w:r>
            <w:r w:rsidR="001F0B66" w:rsidRPr="002D2F67">
              <w:rPr>
                <w:rFonts w:ascii="Arial" w:hAnsi="Arial" w:cs="Arial"/>
                <w:sz w:val="16"/>
                <w:szCs w:val="16"/>
              </w:rPr>
              <w:t>,</w:t>
            </w:r>
            <w:r w:rsidRPr="00CD5714">
              <w:rPr>
                <w:rFonts w:ascii="Arial" w:hAnsi="Arial" w:cs="Arial"/>
                <w:sz w:val="16"/>
                <w:szCs w:val="16"/>
                <w:lang w:val="en-GB"/>
              </w:rPr>
              <w:t>353</w:t>
            </w:r>
          </w:p>
        </w:tc>
        <w:tc>
          <w:tcPr>
            <w:tcW w:w="792" w:type="dxa"/>
            <w:shd w:val="clear" w:color="auto" w:fill="auto"/>
          </w:tcPr>
          <w:p w14:paraId="1D9E93D1" w14:textId="4B579E01"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7</w:t>
            </w:r>
            <w:r w:rsidR="006D1768" w:rsidRPr="002D2F67">
              <w:rPr>
                <w:rFonts w:ascii="Arial" w:hAnsi="Arial" w:cs="Arial"/>
                <w:sz w:val="16"/>
                <w:szCs w:val="16"/>
              </w:rPr>
              <w:t>,</w:t>
            </w:r>
            <w:r w:rsidRPr="00CD5714">
              <w:rPr>
                <w:rFonts w:ascii="Arial" w:hAnsi="Arial" w:cs="Arial"/>
                <w:sz w:val="16"/>
                <w:szCs w:val="16"/>
                <w:lang w:val="en-GB"/>
              </w:rPr>
              <w:t>314</w:t>
            </w:r>
          </w:p>
        </w:tc>
        <w:tc>
          <w:tcPr>
            <w:tcW w:w="792" w:type="dxa"/>
            <w:shd w:val="clear" w:color="auto" w:fill="auto"/>
          </w:tcPr>
          <w:p w14:paraId="67998C3E" w14:textId="6F4AC8E8" w:rsidR="004065BE" w:rsidRPr="002D2F67" w:rsidRDefault="00A27D7C" w:rsidP="00D21F5E">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21</w:t>
            </w:r>
            <w:r w:rsidRPr="002D2F67">
              <w:rPr>
                <w:rFonts w:ascii="Arial" w:hAnsi="Arial" w:cs="Arial"/>
                <w:sz w:val="16"/>
                <w:szCs w:val="16"/>
              </w:rPr>
              <w:t>,</w:t>
            </w:r>
            <w:r w:rsidR="00CD5714" w:rsidRPr="00CD5714">
              <w:rPr>
                <w:rFonts w:ascii="Arial" w:hAnsi="Arial" w:cs="Arial"/>
                <w:sz w:val="16"/>
                <w:szCs w:val="16"/>
                <w:lang w:val="en-GB"/>
              </w:rPr>
              <w:t>679</w:t>
            </w:r>
            <w:r w:rsidRPr="002D2F67">
              <w:rPr>
                <w:rFonts w:ascii="Arial" w:hAnsi="Arial" w:cs="Arial"/>
                <w:sz w:val="16"/>
                <w:szCs w:val="16"/>
              </w:rPr>
              <w:t>)</w:t>
            </w:r>
          </w:p>
        </w:tc>
        <w:tc>
          <w:tcPr>
            <w:tcW w:w="792" w:type="dxa"/>
            <w:shd w:val="clear" w:color="auto" w:fill="auto"/>
          </w:tcPr>
          <w:p w14:paraId="08A62621" w14:textId="25AC462C" w:rsidR="004065BE" w:rsidRPr="002D2F67" w:rsidRDefault="00F93CD5" w:rsidP="00D21F5E">
            <w:pPr>
              <w:ind w:left="-64" w:right="-72"/>
              <w:contextualSpacing/>
              <w:jc w:val="right"/>
              <w:rPr>
                <w:rFonts w:ascii="Arial" w:hAnsi="Arial" w:cs="Arial"/>
                <w:sz w:val="16"/>
                <w:szCs w:val="16"/>
                <w:cs/>
              </w:rPr>
            </w:pPr>
            <w:r w:rsidRPr="002D2F67">
              <w:rPr>
                <w:rFonts w:ascii="Arial" w:hAnsi="Arial" w:cs="Arial"/>
                <w:sz w:val="16"/>
                <w:szCs w:val="16"/>
              </w:rPr>
              <w:t>(</w:t>
            </w:r>
            <w:r w:rsidR="00CD5714" w:rsidRPr="00CD5714">
              <w:rPr>
                <w:rFonts w:ascii="Arial" w:hAnsi="Arial" w:cs="Arial"/>
                <w:sz w:val="16"/>
                <w:szCs w:val="16"/>
                <w:lang w:val="en-GB"/>
              </w:rPr>
              <w:t>7</w:t>
            </w:r>
            <w:r w:rsidR="00DB2B9A" w:rsidRPr="002D2F67">
              <w:rPr>
                <w:rFonts w:ascii="Arial" w:hAnsi="Arial" w:cs="Arial"/>
                <w:sz w:val="16"/>
                <w:szCs w:val="16"/>
              </w:rPr>
              <w:t>,</w:t>
            </w:r>
            <w:r w:rsidR="00CD5714" w:rsidRPr="00CD5714">
              <w:rPr>
                <w:rFonts w:ascii="Arial" w:hAnsi="Arial" w:cs="Arial"/>
                <w:sz w:val="16"/>
                <w:szCs w:val="16"/>
                <w:lang w:val="en-GB"/>
              </w:rPr>
              <w:t>997</w:t>
            </w:r>
            <w:r w:rsidRPr="002D2F67">
              <w:rPr>
                <w:rFonts w:ascii="Arial" w:hAnsi="Arial" w:cs="Arial"/>
                <w:sz w:val="16"/>
                <w:szCs w:val="16"/>
              </w:rPr>
              <w:t>)</w:t>
            </w:r>
          </w:p>
        </w:tc>
        <w:tc>
          <w:tcPr>
            <w:tcW w:w="792" w:type="dxa"/>
            <w:shd w:val="clear" w:color="auto" w:fill="auto"/>
          </w:tcPr>
          <w:p w14:paraId="69118046" w14:textId="0E245D30"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7</w:t>
            </w:r>
            <w:r w:rsidR="00F93CD5" w:rsidRPr="002D2F67">
              <w:rPr>
                <w:rFonts w:ascii="Arial" w:hAnsi="Arial" w:cs="Arial"/>
                <w:sz w:val="16"/>
                <w:szCs w:val="16"/>
              </w:rPr>
              <w:t>,</w:t>
            </w:r>
            <w:r w:rsidRPr="00CD5714">
              <w:rPr>
                <w:rFonts w:ascii="Arial" w:hAnsi="Arial" w:cs="Arial"/>
                <w:sz w:val="16"/>
                <w:szCs w:val="16"/>
                <w:lang w:val="en-GB"/>
              </w:rPr>
              <w:t>736</w:t>
            </w:r>
          </w:p>
        </w:tc>
      </w:tr>
      <w:tr w:rsidR="004065BE" w:rsidRPr="002D2F67" w14:paraId="2545228F" w14:textId="77777777" w:rsidTr="002D2F67">
        <w:trPr>
          <w:trHeight w:val="57"/>
        </w:trPr>
        <w:tc>
          <w:tcPr>
            <w:tcW w:w="3168" w:type="dxa"/>
          </w:tcPr>
          <w:p w14:paraId="5898CB9C" w14:textId="77777777" w:rsidR="004065BE" w:rsidRPr="002D2F67" w:rsidRDefault="004065BE" w:rsidP="00706C8B">
            <w:pPr>
              <w:widowControl w:val="0"/>
              <w:ind w:left="30" w:right="-76"/>
              <w:contextualSpacing/>
              <w:rPr>
                <w:rFonts w:ascii="Arial" w:hAnsi="Arial" w:cs="Arial"/>
                <w:sz w:val="16"/>
                <w:szCs w:val="16"/>
                <w:cs/>
              </w:rPr>
            </w:pPr>
            <w:r w:rsidRPr="002D2F67">
              <w:rPr>
                <w:rFonts w:ascii="Arial" w:hAnsi="Arial" w:cs="Arial"/>
                <w:sz w:val="16"/>
                <w:szCs w:val="16"/>
              </w:rPr>
              <w:t>Income tax</w:t>
            </w:r>
          </w:p>
        </w:tc>
        <w:tc>
          <w:tcPr>
            <w:tcW w:w="792" w:type="dxa"/>
            <w:shd w:val="clear" w:color="auto" w:fill="auto"/>
            <w:vAlign w:val="bottom"/>
          </w:tcPr>
          <w:p w14:paraId="78C80798" w14:textId="77777777" w:rsidR="004065BE" w:rsidRPr="002D2F67" w:rsidRDefault="004065BE" w:rsidP="00D21F5E">
            <w:pPr>
              <w:widowControl w:val="0"/>
              <w:ind w:left="-64" w:right="-72"/>
              <w:contextualSpacing/>
              <w:jc w:val="right"/>
              <w:rPr>
                <w:rFonts w:ascii="Arial" w:hAnsi="Arial" w:cs="Arial"/>
                <w:b/>
                <w:bCs/>
                <w:sz w:val="16"/>
                <w:szCs w:val="16"/>
                <w:cs/>
              </w:rPr>
            </w:pPr>
          </w:p>
        </w:tc>
        <w:tc>
          <w:tcPr>
            <w:tcW w:w="792" w:type="dxa"/>
            <w:shd w:val="clear" w:color="auto" w:fill="auto"/>
            <w:vAlign w:val="bottom"/>
          </w:tcPr>
          <w:p w14:paraId="2CD84FF3" w14:textId="77777777" w:rsidR="004065BE" w:rsidRPr="002D2F67" w:rsidRDefault="004065BE" w:rsidP="00D21F5E">
            <w:pPr>
              <w:widowControl w:val="0"/>
              <w:ind w:left="-64" w:right="-72"/>
              <w:contextualSpacing/>
              <w:jc w:val="right"/>
              <w:rPr>
                <w:rFonts w:ascii="Arial" w:hAnsi="Arial" w:cs="Arial"/>
                <w:b/>
                <w:bCs/>
                <w:sz w:val="16"/>
                <w:szCs w:val="16"/>
                <w:cs/>
              </w:rPr>
            </w:pPr>
          </w:p>
        </w:tc>
        <w:tc>
          <w:tcPr>
            <w:tcW w:w="792" w:type="dxa"/>
            <w:shd w:val="clear" w:color="auto" w:fill="auto"/>
            <w:vAlign w:val="bottom"/>
          </w:tcPr>
          <w:p w14:paraId="017FEF54" w14:textId="77777777" w:rsidR="004065BE" w:rsidRPr="002D2F67" w:rsidRDefault="004065BE" w:rsidP="00D21F5E">
            <w:pPr>
              <w:widowControl w:val="0"/>
              <w:ind w:left="-64" w:right="-72"/>
              <w:contextualSpacing/>
              <w:jc w:val="right"/>
              <w:rPr>
                <w:rFonts w:ascii="Arial" w:hAnsi="Arial" w:cs="Arial"/>
                <w:b/>
                <w:bCs/>
                <w:sz w:val="16"/>
                <w:szCs w:val="16"/>
                <w:cs/>
              </w:rPr>
            </w:pPr>
          </w:p>
        </w:tc>
        <w:tc>
          <w:tcPr>
            <w:tcW w:w="792" w:type="dxa"/>
            <w:shd w:val="clear" w:color="auto" w:fill="auto"/>
            <w:vAlign w:val="bottom"/>
          </w:tcPr>
          <w:p w14:paraId="240D1906" w14:textId="77777777" w:rsidR="004065BE" w:rsidRPr="002D2F67" w:rsidRDefault="004065BE" w:rsidP="00D21F5E">
            <w:pPr>
              <w:ind w:left="-64" w:right="-72"/>
              <w:contextualSpacing/>
              <w:jc w:val="right"/>
              <w:rPr>
                <w:rFonts w:ascii="Arial" w:hAnsi="Arial" w:cs="Arial"/>
                <w:sz w:val="16"/>
                <w:szCs w:val="16"/>
                <w:cs/>
              </w:rPr>
            </w:pPr>
          </w:p>
        </w:tc>
        <w:tc>
          <w:tcPr>
            <w:tcW w:w="792" w:type="dxa"/>
            <w:shd w:val="clear" w:color="auto" w:fill="auto"/>
            <w:vAlign w:val="bottom"/>
          </w:tcPr>
          <w:p w14:paraId="2585B4CD" w14:textId="77777777" w:rsidR="004065BE" w:rsidRPr="002D2F67" w:rsidRDefault="004065BE" w:rsidP="00D21F5E">
            <w:pPr>
              <w:ind w:left="-64" w:right="-72"/>
              <w:contextualSpacing/>
              <w:jc w:val="right"/>
              <w:rPr>
                <w:rFonts w:ascii="Arial" w:hAnsi="Arial" w:cs="Arial"/>
                <w:sz w:val="16"/>
                <w:szCs w:val="16"/>
                <w:cs/>
              </w:rPr>
            </w:pPr>
          </w:p>
        </w:tc>
        <w:tc>
          <w:tcPr>
            <w:tcW w:w="792" w:type="dxa"/>
            <w:shd w:val="clear" w:color="auto" w:fill="auto"/>
            <w:vAlign w:val="bottom"/>
          </w:tcPr>
          <w:p w14:paraId="1575F59A" w14:textId="77777777" w:rsidR="004065BE" w:rsidRPr="002D2F67" w:rsidRDefault="004065BE" w:rsidP="00D21F5E">
            <w:pPr>
              <w:ind w:left="-64" w:right="-72"/>
              <w:contextualSpacing/>
              <w:jc w:val="right"/>
              <w:rPr>
                <w:rFonts w:ascii="Arial" w:hAnsi="Arial" w:cs="Arial"/>
                <w:sz w:val="16"/>
                <w:szCs w:val="16"/>
                <w:cs/>
              </w:rPr>
            </w:pPr>
          </w:p>
        </w:tc>
        <w:tc>
          <w:tcPr>
            <w:tcW w:w="792" w:type="dxa"/>
            <w:shd w:val="clear" w:color="auto" w:fill="auto"/>
            <w:vAlign w:val="bottom"/>
          </w:tcPr>
          <w:p w14:paraId="695BDDF6" w14:textId="77777777" w:rsidR="004065BE" w:rsidRPr="002D2F67" w:rsidRDefault="004065BE" w:rsidP="00D21F5E">
            <w:pPr>
              <w:ind w:left="-64" w:right="-72"/>
              <w:contextualSpacing/>
              <w:jc w:val="right"/>
              <w:rPr>
                <w:rFonts w:ascii="Arial" w:hAnsi="Arial" w:cs="Arial"/>
                <w:sz w:val="16"/>
                <w:szCs w:val="16"/>
                <w:cs/>
              </w:rPr>
            </w:pPr>
          </w:p>
        </w:tc>
        <w:tc>
          <w:tcPr>
            <w:tcW w:w="792" w:type="dxa"/>
            <w:shd w:val="clear" w:color="auto" w:fill="auto"/>
            <w:vAlign w:val="bottom"/>
          </w:tcPr>
          <w:p w14:paraId="045F13BB" w14:textId="77777777" w:rsidR="004065BE" w:rsidRPr="002D2F67" w:rsidRDefault="004065BE" w:rsidP="00D21F5E">
            <w:pPr>
              <w:ind w:left="-64" w:right="-72"/>
              <w:contextualSpacing/>
              <w:jc w:val="right"/>
              <w:rPr>
                <w:rFonts w:ascii="Arial" w:hAnsi="Arial" w:cs="Arial"/>
                <w:sz w:val="16"/>
                <w:szCs w:val="16"/>
                <w:cs/>
              </w:rPr>
            </w:pPr>
          </w:p>
        </w:tc>
        <w:tc>
          <w:tcPr>
            <w:tcW w:w="792" w:type="dxa"/>
            <w:shd w:val="clear" w:color="auto" w:fill="auto"/>
            <w:vAlign w:val="bottom"/>
          </w:tcPr>
          <w:p w14:paraId="4E849133" w14:textId="77777777" w:rsidR="004065BE" w:rsidRPr="002D2F67" w:rsidRDefault="004065BE" w:rsidP="00D21F5E">
            <w:pPr>
              <w:ind w:left="-64" w:right="-72"/>
              <w:contextualSpacing/>
              <w:jc w:val="right"/>
              <w:rPr>
                <w:rFonts w:ascii="Arial" w:hAnsi="Arial" w:cs="Arial"/>
                <w:sz w:val="16"/>
                <w:szCs w:val="16"/>
                <w:cs/>
              </w:rPr>
            </w:pPr>
          </w:p>
        </w:tc>
        <w:tc>
          <w:tcPr>
            <w:tcW w:w="792" w:type="dxa"/>
            <w:shd w:val="clear" w:color="auto" w:fill="auto"/>
            <w:vAlign w:val="bottom"/>
          </w:tcPr>
          <w:p w14:paraId="4EC32812" w14:textId="77777777" w:rsidR="004065BE" w:rsidRPr="002D2F67" w:rsidRDefault="004065BE" w:rsidP="00D21F5E">
            <w:pPr>
              <w:ind w:left="-64" w:right="-72"/>
              <w:contextualSpacing/>
              <w:jc w:val="right"/>
              <w:rPr>
                <w:rFonts w:ascii="Arial" w:hAnsi="Arial" w:cs="Arial"/>
                <w:sz w:val="16"/>
                <w:szCs w:val="16"/>
                <w:cs/>
              </w:rPr>
            </w:pPr>
          </w:p>
        </w:tc>
        <w:tc>
          <w:tcPr>
            <w:tcW w:w="792" w:type="dxa"/>
            <w:shd w:val="clear" w:color="auto" w:fill="auto"/>
            <w:vAlign w:val="bottom"/>
          </w:tcPr>
          <w:p w14:paraId="2FE50C83" w14:textId="77777777" w:rsidR="004065BE" w:rsidRPr="002D2F67" w:rsidRDefault="004065BE" w:rsidP="00D21F5E">
            <w:pPr>
              <w:ind w:left="-64" w:right="-72"/>
              <w:contextualSpacing/>
              <w:jc w:val="right"/>
              <w:rPr>
                <w:rFonts w:ascii="Arial" w:hAnsi="Arial" w:cs="Arial"/>
                <w:sz w:val="16"/>
                <w:szCs w:val="16"/>
                <w:cs/>
              </w:rPr>
            </w:pPr>
          </w:p>
        </w:tc>
        <w:tc>
          <w:tcPr>
            <w:tcW w:w="792" w:type="dxa"/>
            <w:shd w:val="clear" w:color="auto" w:fill="auto"/>
            <w:vAlign w:val="bottom"/>
          </w:tcPr>
          <w:p w14:paraId="011DCC7E" w14:textId="77777777" w:rsidR="004065BE" w:rsidRPr="002D2F67" w:rsidRDefault="004065BE" w:rsidP="00D21F5E">
            <w:pPr>
              <w:ind w:left="-64" w:right="-72"/>
              <w:contextualSpacing/>
              <w:jc w:val="right"/>
              <w:rPr>
                <w:rFonts w:ascii="Arial" w:hAnsi="Arial" w:cs="Arial"/>
                <w:sz w:val="16"/>
                <w:szCs w:val="16"/>
                <w:cs/>
              </w:rPr>
            </w:pPr>
          </w:p>
        </w:tc>
        <w:tc>
          <w:tcPr>
            <w:tcW w:w="792" w:type="dxa"/>
            <w:shd w:val="clear" w:color="auto" w:fill="auto"/>
            <w:vAlign w:val="bottom"/>
          </w:tcPr>
          <w:p w14:paraId="6F3ABB83" w14:textId="77777777" w:rsidR="004065BE" w:rsidRPr="002D2F67" w:rsidRDefault="004065BE" w:rsidP="00D21F5E">
            <w:pPr>
              <w:ind w:left="-64" w:right="-72"/>
              <w:contextualSpacing/>
              <w:jc w:val="right"/>
              <w:rPr>
                <w:rFonts w:ascii="Arial" w:hAnsi="Arial" w:cs="Arial"/>
                <w:sz w:val="16"/>
                <w:szCs w:val="16"/>
              </w:rPr>
            </w:pPr>
          </w:p>
        </w:tc>
        <w:tc>
          <w:tcPr>
            <w:tcW w:w="792" w:type="dxa"/>
            <w:shd w:val="clear" w:color="auto" w:fill="auto"/>
            <w:vAlign w:val="bottom"/>
          </w:tcPr>
          <w:p w14:paraId="3B388435" w14:textId="77777777" w:rsidR="004065BE" w:rsidRPr="002D2F67" w:rsidRDefault="004065BE" w:rsidP="00D21F5E">
            <w:pPr>
              <w:ind w:left="-64" w:right="-72"/>
              <w:contextualSpacing/>
              <w:jc w:val="right"/>
              <w:rPr>
                <w:rFonts w:ascii="Arial" w:hAnsi="Arial" w:cs="Arial"/>
                <w:sz w:val="16"/>
                <w:szCs w:val="16"/>
              </w:rPr>
            </w:pPr>
          </w:p>
        </w:tc>
        <w:tc>
          <w:tcPr>
            <w:tcW w:w="792" w:type="dxa"/>
            <w:tcBorders>
              <w:bottom w:val="single" w:sz="4" w:space="0" w:color="auto"/>
            </w:tcBorders>
            <w:shd w:val="clear" w:color="auto" w:fill="auto"/>
            <w:vAlign w:val="bottom"/>
          </w:tcPr>
          <w:p w14:paraId="0234AEC3" w14:textId="1C54EDDF" w:rsidR="004065BE" w:rsidRPr="002D2F67" w:rsidRDefault="00F93CD5" w:rsidP="00D21F5E">
            <w:pPr>
              <w:ind w:left="-64" w:right="-72"/>
              <w:contextualSpacing/>
              <w:jc w:val="right"/>
              <w:rPr>
                <w:rFonts w:ascii="Arial" w:hAnsi="Arial" w:cs="Arial"/>
                <w:sz w:val="16"/>
                <w:szCs w:val="16"/>
                <w:cs/>
              </w:rPr>
            </w:pPr>
            <w:r w:rsidRPr="002D2F67">
              <w:rPr>
                <w:rFonts w:ascii="Arial" w:hAnsi="Arial" w:cs="Arial"/>
                <w:sz w:val="16"/>
                <w:szCs w:val="16"/>
              </w:rPr>
              <w:t>(</w:t>
            </w:r>
            <w:r w:rsidR="00CD5714" w:rsidRPr="00CD5714">
              <w:rPr>
                <w:rFonts w:ascii="Arial" w:hAnsi="Arial" w:cs="Arial"/>
                <w:sz w:val="16"/>
                <w:szCs w:val="16"/>
                <w:lang w:val="en-GB"/>
              </w:rPr>
              <w:t>253</w:t>
            </w:r>
            <w:r w:rsidRPr="002D2F67">
              <w:rPr>
                <w:rFonts w:ascii="Arial" w:hAnsi="Arial" w:cs="Arial"/>
                <w:sz w:val="16"/>
                <w:szCs w:val="16"/>
              </w:rPr>
              <w:t>)</w:t>
            </w:r>
          </w:p>
        </w:tc>
        <w:tc>
          <w:tcPr>
            <w:tcW w:w="792" w:type="dxa"/>
            <w:tcBorders>
              <w:bottom w:val="single" w:sz="4" w:space="0" w:color="auto"/>
            </w:tcBorders>
            <w:shd w:val="clear" w:color="auto" w:fill="auto"/>
            <w:vAlign w:val="bottom"/>
          </w:tcPr>
          <w:p w14:paraId="3A212996" w14:textId="209A3E20" w:rsidR="004065BE" w:rsidRPr="002D2F67" w:rsidRDefault="00F93CD5" w:rsidP="00D21F5E">
            <w:pPr>
              <w:ind w:left="-64" w:right="-72"/>
              <w:contextualSpacing/>
              <w:jc w:val="right"/>
              <w:rPr>
                <w:rFonts w:ascii="Arial" w:hAnsi="Arial" w:cs="Arial"/>
                <w:sz w:val="16"/>
                <w:szCs w:val="16"/>
                <w:cs/>
              </w:rPr>
            </w:pPr>
            <w:r w:rsidRPr="002D2F67">
              <w:rPr>
                <w:rFonts w:ascii="Arial" w:hAnsi="Arial" w:cs="Arial"/>
                <w:sz w:val="16"/>
                <w:szCs w:val="16"/>
              </w:rPr>
              <w:t>(</w:t>
            </w:r>
            <w:r w:rsidR="00CD5714" w:rsidRPr="00CD5714">
              <w:rPr>
                <w:rFonts w:ascii="Arial" w:hAnsi="Arial" w:cs="Arial"/>
                <w:sz w:val="16"/>
                <w:szCs w:val="16"/>
                <w:lang w:val="en-GB"/>
              </w:rPr>
              <w:t>236</w:t>
            </w:r>
            <w:r w:rsidRPr="002D2F67">
              <w:rPr>
                <w:rFonts w:ascii="Arial" w:hAnsi="Arial" w:cs="Arial"/>
                <w:sz w:val="16"/>
                <w:szCs w:val="16"/>
              </w:rPr>
              <w:t>)</w:t>
            </w:r>
          </w:p>
        </w:tc>
      </w:tr>
      <w:tr w:rsidR="004065BE" w:rsidRPr="002D2F67" w14:paraId="69A075FE" w14:textId="77777777" w:rsidTr="002D2F67">
        <w:trPr>
          <w:trHeight w:val="64"/>
        </w:trPr>
        <w:tc>
          <w:tcPr>
            <w:tcW w:w="3168" w:type="dxa"/>
          </w:tcPr>
          <w:p w14:paraId="684B81DE" w14:textId="77777777" w:rsidR="004065BE" w:rsidRPr="002D2F67" w:rsidRDefault="004065BE" w:rsidP="00706C8B">
            <w:pPr>
              <w:ind w:left="30" w:right="-76"/>
              <w:contextualSpacing/>
              <w:rPr>
                <w:rFonts w:ascii="Arial" w:hAnsi="Arial" w:cs="Arial"/>
                <w:sz w:val="16"/>
                <w:szCs w:val="16"/>
              </w:rPr>
            </w:pPr>
          </w:p>
        </w:tc>
        <w:tc>
          <w:tcPr>
            <w:tcW w:w="792" w:type="dxa"/>
            <w:shd w:val="clear" w:color="auto" w:fill="auto"/>
            <w:vAlign w:val="bottom"/>
          </w:tcPr>
          <w:p w14:paraId="33C20B26" w14:textId="77777777" w:rsidR="004065BE" w:rsidRPr="002D2F67" w:rsidRDefault="004065BE" w:rsidP="00D21F5E">
            <w:pPr>
              <w:widowControl w:val="0"/>
              <w:ind w:left="-64" w:right="-72"/>
              <w:contextualSpacing/>
              <w:jc w:val="right"/>
              <w:rPr>
                <w:rFonts w:ascii="Arial" w:hAnsi="Arial" w:cs="Arial"/>
                <w:b/>
                <w:bCs/>
                <w:sz w:val="16"/>
                <w:szCs w:val="16"/>
                <w:cs/>
              </w:rPr>
            </w:pPr>
          </w:p>
        </w:tc>
        <w:tc>
          <w:tcPr>
            <w:tcW w:w="792" w:type="dxa"/>
            <w:shd w:val="clear" w:color="auto" w:fill="auto"/>
            <w:vAlign w:val="bottom"/>
          </w:tcPr>
          <w:p w14:paraId="3632810E" w14:textId="77777777" w:rsidR="004065BE" w:rsidRPr="002D2F67" w:rsidRDefault="004065BE" w:rsidP="00D21F5E">
            <w:pPr>
              <w:widowControl w:val="0"/>
              <w:ind w:left="-64" w:right="-72"/>
              <w:contextualSpacing/>
              <w:jc w:val="right"/>
              <w:rPr>
                <w:rFonts w:ascii="Arial" w:hAnsi="Arial" w:cs="Arial"/>
                <w:b/>
                <w:bCs/>
                <w:sz w:val="16"/>
                <w:szCs w:val="16"/>
                <w:cs/>
              </w:rPr>
            </w:pPr>
          </w:p>
        </w:tc>
        <w:tc>
          <w:tcPr>
            <w:tcW w:w="792" w:type="dxa"/>
            <w:shd w:val="clear" w:color="auto" w:fill="auto"/>
            <w:vAlign w:val="bottom"/>
          </w:tcPr>
          <w:p w14:paraId="4A8DBE2B" w14:textId="77777777" w:rsidR="004065BE" w:rsidRPr="002D2F67" w:rsidRDefault="004065BE" w:rsidP="00D21F5E">
            <w:pPr>
              <w:widowControl w:val="0"/>
              <w:ind w:left="-64" w:right="-72"/>
              <w:contextualSpacing/>
              <w:jc w:val="right"/>
              <w:rPr>
                <w:rFonts w:ascii="Arial" w:hAnsi="Arial" w:cs="Arial"/>
                <w:b/>
                <w:bCs/>
                <w:sz w:val="16"/>
                <w:szCs w:val="16"/>
                <w:cs/>
              </w:rPr>
            </w:pPr>
          </w:p>
        </w:tc>
        <w:tc>
          <w:tcPr>
            <w:tcW w:w="792" w:type="dxa"/>
            <w:shd w:val="clear" w:color="auto" w:fill="auto"/>
            <w:vAlign w:val="bottom"/>
          </w:tcPr>
          <w:p w14:paraId="3AC5476C" w14:textId="77777777" w:rsidR="004065BE" w:rsidRPr="002D2F67" w:rsidRDefault="004065BE" w:rsidP="00D21F5E">
            <w:pPr>
              <w:widowControl w:val="0"/>
              <w:ind w:left="-64" w:right="-72"/>
              <w:contextualSpacing/>
              <w:jc w:val="right"/>
              <w:rPr>
                <w:rFonts w:ascii="Arial" w:hAnsi="Arial" w:cs="Arial"/>
                <w:sz w:val="16"/>
                <w:szCs w:val="16"/>
                <w:cs/>
              </w:rPr>
            </w:pPr>
          </w:p>
        </w:tc>
        <w:tc>
          <w:tcPr>
            <w:tcW w:w="792" w:type="dxa"/>
            <w:shd w:val="clear" w:color="auto" w:fill="auto"/>
            <w:vAlign w:val="bottom"/>
          </w:tcPr>
          <w:p w14:paraId="3D51BEDF" w14:textId="77777777" w:rsidR="004065BE" w:rsidRPr="002D2F67" w:rsidRDefault="004065BE" w:rsidP="00D21F5E">
            <w:pPr>
              <w:widowControl w:val="0"/>
              <w:ind w:left="-64" w:right="-72"/>
              <w:contextualSpacing/>
              <w:jc w:val="right"/>
              <w:rPr>
                <w:rFonts w:ascii="Arial" w:hAnsi="Arial" w:cs="Arial"/>
                <w:sz w:val="16"/>
                <w:szCs w:val="16"/>
                <w:cs/>
              </w:rPr>
            </w:pPr>
          </w:p>
        </w:tc>
        <w:tc>
          <w:tcPr>
            <w:tcW w:w="792" w:type="dxa"/>
            <w:shd w:val="clear" w:color="auto" w:fill="auto"/>
            <w:vAlign w:val="bottom"/>
          </w:tcPr>
          <w:p w14:paraId="0414332D" w14:textId="77777777" w:rsidR="004065BE" w:rsidRPr="002D2F67" w:rsidRDefault="004065BE" w:rsidP="00D21F5E">
            <w:pPr>
              <w:widowControl w:val="0"/>
              <w:ind w:left="-64" w:right="-72"/>
              <w:contextualSpacing/>
              <w:jc w:val="right"/>
              <w:rPr>
                <w:rFonts w:ascii="Arial" w:hAnsi="Arial" w:cs="Arial"/>
                <w:sz w:val="16"/>
                <w:szCs w:val="16"/>
                <w:cs/>
              </w:rPr>
            </w:pPr>
          </w:p>
        </w:tc>
        <w:tc>
          <w:tcPr>
            <w:tcW w:w="792" w:type="dxa"/>
            <w:shd w:val="clear" w:color="auto" w:fill="auto"/>
            <w:vAlign w:val="bottom"/>
          </w:tcPr>
          <w:p w14:paraId="15FC07BD" w14:textId="77777777" w:rsidR="004065BE" w:rsidRPr="002D2F67" w:rsidRDefault="004065BE" w:rsidP="00D21F5E">
            <w:pPr>
              <w:widowControl w:val="0"/>
              <w:ind w:left="-64" w:right="-72"/>
              <w:contextualSpacing/>
              <w:jc w:val="right"/>
              <w:rPr>
                <w:rFonts w:ascii="Arial" w:hAnsi="Arial" w:cs="Arial"/>
                <w:sz w:val="16"/>
                <w:szCs w:val="16"/>
                <w:cs/>
              </w:rPr>
            </w:pPr>
          </w:p>
        </w:tc>
        <w:tc>
          <w:tcPr>
            <w:tcW w:w="792" w:type="dxa"/>
            <w:shd w:val="clear" w:color="auto" w:fill="auto"/>
            <w:vAlign w:val="bottom"/>
          </w:tcPr>
          <w:p w14:paraId="00C18E98" w14:textId="77777777" w:rsidR="004065BE" w:rsidRPr="002D2F67" w:rsidRDefault="004065BE" w:rsidP="00D21F5E">
            <w:pPr>
              <w:widowControl w:val="0"/>
              <w:ind w:left="-64" w:right="-72"/>
              <w:contextualSpacing/>
              <w:jc w:val="right"/>
              <w:rPr>
                <w:rFonts w:ascii="Arial" w:hAnsi="Arial" w:cs="Arial"/>
                <w:sz w:val="16"/>
                <w:szCs w:val="16"/>
                <w:cs/>
              </w:rPr>
            </w:pPr>
          </w:p>
        </w:tc>
        <w:tc>
          <w:tcPr>
            <w:tcW w:w="792" w:type="dxa"/>
            <w:shd w:val="clear" w:color="auto" w:fill="auto"/>
            <w:vAlign w:val="bottom"/>
          </w:tcPr>
          <w:p w14:paraId="1C8801C9" w14:textId="77777777" w:rsidR="004065BE" w:rsidRPr="002D2F67" w:rsidRDefault="004065BE" w:rsidP="00D21F5E">
            <w:pPr>
              <w:widowControl w:val="0"/>
              <w:ind w:left="-64" w:right="-72"/>
              <w:contextualSpacing/>
              <w:jc w:val="right"/>
              <w:rPr>
                <w:rFonts w:ascii="Arial" w:hAnsi="Arial" w:cs="Arial"/>
                <w:sz w:val="16"/>
                <w:szCs w:val="16"/>
                <w:cs/>
              </w:rPr>
            </w:pPr>
          </w:p>
        </w:tc>
        <w:tc>
          <w:tcPr>
            <w:tcW w:w="792" w:type="dxa"/>
            <w:shd w:val="clear" w:color="auto" w:fill="auto"/>
            <w:vAlign w:val="bottom"/>
          </w:tcPr>
          <w:p w14:paraId="28B94813" w14:textId="77777777" w:rsidR="004065BE" w:rsidRPr="002D2F67" w:rsidRDefault="004065BE" w:rsidP="00D21F5E">
            <w:pPr>
              <w:widowControl w:val="0"/>
              <w:ind w:left="-64" w:right="-72"/>
              <w:contextualSpacing/>
              <w:jc w:val="right"/>
              <w:rPr>
                <w:rFonts w:ascii="Arial" w:hAnsi="Arial" w:cs="Arial"/>
                <w:sz w:val="16"/>
                <w:szCs w:val="16"/>
                <w:cs/>
              </w:rPr>
            </w:pPr>
          </w:p>
        </w:tc>
        <w:tc>
          <w:tcPr>
            <w:tcW w:w="792" w:type="dxa"/>
            <w:shd w:val="clear" w:color="auto" w:fill="auto"/>
            <w:vAlign w:val="bottom"/>
          </w:tcPr>
          <w:p w14:paraId="670ECDE4" w14:textId="77777777" w:rsidR="004065BE" w:rsidRPr="002D2F67" w:rsidRDefault="004065BE" w:rsidP="00D21F5E">
            <w:pPr>
              <w:widowControl w:val="0"/>
              <w:ind w:left="-64" w:right="-72"/>
              <w:contextualSpacing/>
              <w:jc w:val="right"/>
              <w:rPr>
                <w:rFonts w:ascii="Arial" w:hAnsi="Arial" w:cs="Arial"/>
                <w:sz w:val="16"/>
                <w:szCs w:val="16"/>
                <w:cs/>
              </w:rPr>
            </w:pPr>
          </w:p>
        </w:tc>
        <w:tc>
          <w:tcPr>
            <w:tcW w:w="792" w:type="dxa"/>
            <w:shd w:val="clear" w:color="auto" w:fill="auto"/>
            <w:vAlign w:val="bottom"/>
          </w:tcPr>
          <w:p w14:paraId="3DFD82E0" w14:textId="77777777" w:rsidR="004065BE" w:rsidRPr="002D2F67" w:rsidRDefault="004065BE" w:rsidP="00D21F5E">
            <w:pPr>
              <w:widowControl w:val="0"/>
              <w:ind w:left="-64" w:right="-72"/>
              <w:contextualSpacing/>
              <w:jc w:val="right"/>
              <w:rPr>
                <w:rFonts w:ascii="Arial" w:hAnsi="Arial" w:cs="Arial"/>
                <w:sz w:val="16"/>
                <w:szCs w:val="16"/>
                <w:cs/>
              </w:rPr>
            </w:pPr>
          </w:p>
        </w:tc>
        <w:tc>
          <w:tcPr>
            <w:tcW w:w="792" w:type="dxa"/>
            <w:shd w:val="clear" w:color="auto" w:fill="auto"/>
            <w:vAlign w:val="bottom"/>
          </w:tcPr>
          <w:p w14:paraId="4192A1D8" w14:textId="77777777" w:rsidR="004065BE" w:rsidRPr="002D2F67" w:rsidRDefault="004065BE" w:rsidP="00D21F5E">
            <w:pPr>
              <w:widowControl w:val="0"/>
              <w:ind w:left="-64" w:right="-72"/>
              <w:contextualSpacing/>
              <w:jc w:val="right"/>
              <w:rPr>
                <w:rFonts w:ascii="Arial" w:hAnsi="Arial" w:cs="Arial"/>
                <w:sz w:val="16"/>
                <w:szCs w:val="16"/>
                <w:cs/>
              </w:rPr>
            </w:pPr>
          </w:p>
        </w:tc>
        <w:tc>
          <w:tcPr>
            <w:tcW w:w="792" w:type="dxa"/>
            <w:shd w:val="clear" w:color="auto" w:fill="auto"/>
            <w:vAlign w:val="bottom"/>
          </w:tcPr>
          <w:p w14:paraId="3157A679" w14:textId="77777777" w:rsidR="004065BE" w:rsidRPr="002D2F67" w:rsidRDefault="004065BE" w:rsidP="00D21F5E">
            <w:pPr>
              <w:widowControl w:val="0"/>
              <w:ind w:left="-64" w:right="-72"/>
              <w:contextualSpacing/>
              <w:jc w:val="right"/>
              <w:rPr>
                <w:rFonts w:ascii="Arial" w:hAnsi="Arial" w:cs="Arial"/>
                <w:sz w:val="16"/>
                <w:szCs w:val="16"/>
                <w:cs/>
              </w:rPr>
            </w:pPr>
          </w:p>
        </w:tc>
        <w:tc>
          <w:tcPr>
            <w:tcW w:w="792" w:type="dxa"/>
            <w:tcBorders>
              <w:top w:val="single" w:sz="4" w:space="0" w:color="auto"/>
            </w:tcBorders>
            <w:shd w:val="clear" w:color="auto" w:fill="auto"/>
            <w:vAlign w:val="bottom"/>
          </w:tcPr>
          <w:p w14:paraId="0A9A42FB" w14:textId="77777777" w:rsidR="004065BE" w:rsidRPr="002D2F67" w:rsidRDefault="004065BE" w:rsidP="00D21F5E">
            <w:pPr>
              <w:widowControl w:val="0"/>
              <w:ind w:left="-64" w:right="-72"/>
              <w:contextualSpacing/>
              <w:jc w:val="center"/>
              <w:rPr>
                <w:rFonts w:ascii="Arial" w:hAnsi="Arial" w:cs="Arial"/>
                <w:sz w:val="16"/>
                <w:szCs w:val="16"/>
                <w:cs/>
              </w:rPr>
            </w:pPr>
          </w:p>
        </w:tc>
        <w:tc>
          <w:tcPr>
            <w:tcW w:w="792" w:type="dxa"/>
            <w:tcBorders>
              <w:top w:val="single" w:sz="4" w:space="0" w:color="auto"/>
            </w:tcBorders>
            <w:shd w:val="clear" w:color="auto" w:fill="auto"/>
            <w:vAlign w:val="bottom"/>
          </w:tcPr>
          <w:p w14:paraId="5B08548C" w14:textId="77777777" w:rsidR="004065BE" w:rsidRPr="002D2F67" w:rsidRDefault="004065BE" w:rsidP="00D21F5E">
            <w:pPr>
              <w:widowControl w:val="0"/>
              <w:ind w:left="-64" w:right="-72"/>
              <w:contextualSpacing/>
              <w:jc w:val="right"/>
              <w:rPr>
                <w:rFonts w:ascii="Arial" w:hAnsi="Arial" w:cs="Arial"/>
                <w:sz w:val="16"/>
                <w:szCs w:val="16"/>
                <w:cs/>
              </w:rPr>
            </w:pPr>
          </w:p>
        </w:tc>
      </w:tr>
      <w:tr w:rsidR="004065BE" w:rsidRPr="002D2F67" w14:paraId="070B0EBA" w14:textId="77777777" w:rsidTr="002D2F67">
        <w:trPr>
          <w:trHeight w:val="57"/>
        </w:trPr>
        <w:tc>
          <w:tcPr>
            <w:tcW w:w="3168" w:type="dxa"/>
            <w:vAlign w:val="bottom"/>
          </w:tcPr>
          <w:p w14:paraId="4BDB8A22" w14:textId="792B9399" w:rsidR="004065BE" w:rsidRPr="002D2F67" w:rsidRDefault="004065BE" w:rsidP="00706C8B">
            <w:pPr>
              <w:widowControl w:val="0"/>
              <w:ind w:left="30" w:right="-76"/>
              <w:contextualSpacing/>
              <w:rPr>
                <w:rFonts w:ascii="Arial" w:hAnsi="Arial" w:cs="Arial"/>
                <w:sz w:val="16"/>
                <w:szCs w:val="16"/>
              </w:rPr>
            </w:pPr>
            <w:r w:rsidRPr="002D2F67">
              <w:rPr>
                <w:rFonts w:ascii="Arial" w:hAnsi="Arial" w:cs="Arial"/>
                <w:sz w:val="16"/>
                <w:szCs w:val="16"/>
              </w:rPr>
              <w:t>Profit</w:t>
            </w:r>
            <w:r w:rsidR="007F0423" w:rsidRPr="002D2F67">
              <w:rPr>
                <w:rFonts w:ascii="Arial" w:hAnsi="Arial" w:cs="Arial"/>
                <w:sz w:val="16"/>
                <w:szCs w:val="16"/>
              </w:rPr>
              <w:t xml:space="preserve"> (loss)</w:t>
            </w:r>
            <w:r w:rsidRPr="002D2F67">
              <w:rPr>
                <w:rFonts w:ascii="Arial" w:hAnsi="Arial" w:cs="Arial"/>
                <w:sz w:val="16"/>
                <w:szCs w:val="16"/>
              </w:rPr>
              <w:t xml:space="preserve"> for the </w:t>
            </w:r>
            <w:r w:rsidR="00D25471" w:rsidRPr="002D2F67">
              <w:rPr>
                <w:rFonts w:ascii="Arial" w:hAnsi="Arial" w:cs="Arial"/>
                <w:sz w:val="16"/>
                <w:szCs w:val="20"/>
              </w:rPr>
              <w:t>year</w:t>
            </w:r>
          </w:p>
        </w:tc>
        <w:tc>
          <w:tcPr>
            <w:tcW w:w="792" w:type="dxa"/>
            <w:shd w:val="clear" w:color="auto" w:fill="auto"/>
            <w:vAlign w:val="bottom"/>
          </w:tcPr>
          <w:p w14:paraId="404F13AB" w14:textId="77777777" w:rsidR="004065BE" w:rsidRPr="002D2F67" w:rsidRDefault="004065BE" w:rsidP="00D21F5E">
            <w:pPr>
              <w:widowControl w:val="0"/>
              <w:ind w:left="-64" w:right="-72"/>
              <w:contextualSpacing/>
              <w:jc w:val="right"/>
              <w:rPr>
                <w:rFonts w:ascii="Arial" w:hAnsi="Arial" w:cs="Arial"/>
                <w:b/>
                <w:bCs/>
                <w:sz w:val="16"/>
                <w:szCs w:val="16"/>
                <w:cs/>
              </w:rPr>
            </w:pPr>
          </w:p>
        </w:tc>
        <w:tc>
          <w:tcPr>
            <w:tcW w:w="792" w:type="dxa"/>
            <w:shd w:val="clear" w:color="auto" w:fill="auto"/>
            <w:vAlign w:val="bottom"/>
          </w:tcPr>
          <w:p w14:paraId="34B24E61" w14:textId="77777777" w:rsidR="004065BE" w:rsidRPr="002D2F67" w:rsidRDefault="004065BE" w:rsidP="00D21F5E">
            <w:pPr>
              <w:widowControl w:val="0"/>
              <w:ind w:left="-64" w:right="-72"/>
              <w:contextualSpacing/>
              <w:jc w:val="right"/>
              <w:rPr>
                <w:rFonts w:ascii="Arial" w:hAnsi="Arial" w:cs="Arial"/>
                <w:b/>
                <w:bCs/>
                <w:sz w:val="16"/>
                <w:szCs w:val="16"/>
                <w:cs/>
              </w:rPr>
            </w:pPr>
          </w:p>
        </w:tc>
        <w:tc>
          <w:tcPr>
            <w:tcW w:w="792" w:type="dxa"/>
            <w:shd w:val="clear" w:color="auto" w:fill="auto"/>
            <w:vAlign w:val="bottom"/>
          </w:tcPr>
          <w:p w14:paraId="3775AF1D" w14:textId="77777777" w:rsidR="004065BE" w:rsidRPr="002D2F67" w:rsidRDefault="004065BE" w:rsidP="00D21F5E">
            <w:pPr>
              <w:widowControl w:val="0"/>
              <w:ind w:left="-64" w:right="-72"/>
              <w:contextualSpacing/>
              <w:jc w:val="right"/>
              <w:rPr>
                <w:rFonts w:ascii="Arial" w:hAnsi="Arial" w:cs="Arial"/>
                <w:b/>
                <w:bCs/>
                <w:sz w:val="16"/>
                <w:szCs w:val="16"/>
                <w:cs/>
              </w:rPr>
            </w:pPr>
          </w:p>
        </w:tc>
        <w:tc>
          <w:tcPr>
            <w:tcW w:w="792" w:type="dxa"/>
            <w:shd w:val="clear" w:color="auto" w:fill="auto"/>
            <w:vAlign w:val="bottom"/>
          </w:tcPr>
          <w:p w14:paraId="38CBB723" w14:textId="77777777" w:rsidR="004065BE" w:rsidRPr="002D2F67" w:rsidRDefault="004065BE" w:rsidP="00D21F5E">
            <w:pPr>
              <w:widowControl w:val="0"/>
              <w:ind w:left="-64" w:right="-72"/>
              <w:contextualSpacing/>
              <w:jc w:val="right"/>
              <w:rPr>
                <w:rFonts w:ascii="Arial" w:hAnsi="Arial" w:cs="Arial"/>
                <w:sz w:val="16"/>
                <w:szCs w:val="16"/>
                <w:cs/>
              </w:rPr>
            </w:pPr>
          </w:p>
        </w:tc>
        <w:tc>
          <w:tcPr>
            <w:tcW w:w="792" w:type="dxa"/>
            <w:shd w:val="clear" w:color="auto" w:fill="auto"/>
            <w:vAlign w:val="bottom"/>
          </w:tcPr>
          <w:p w14:paraId="7A3D9E1E" w14:textId="77777777" w:rsidR="004065BE" w:rsidRPr="002D2F67" w:rsidRDefault="004065BE" w:rsidP="00D21F5E">
            <w:pPr>
              <w:widowControl w:val="0"/>
              <w:ind w:left="-64" w:right="-72"/>
              <w:contextualSpacing/>
              <w:jc w:val="right"/>
              <w:rPr>
                <w:rFonts w:ascii="Arial" w:hAnsi="Arial" w:cs="Arial"/>
                <w:sz w:val="16"/>
                <w:szCs w:val="16"/>
                <w:cs/>
              </w:rPr>
            </w:pPr>
          </w:p>
        </w:tc>
        <w:tc>
          <w:tcPr>
            <w:tcW w:w="792" w:type="dxa"/>
            <w:shd w:val="clear" w:color="auto" w:fill="auto"/>
            <w:vAlign w:val="bottom"/>
          </w:tcPr>
          <w:p w14:paraId="28E7CE06" w14:textId="77777777" w:rsidR="004065BE" w:rsidRPr="002D2F67" w:rsidRDefault="004065BE" w:rsidP="00D21F5E">
            <w:pPr>
              <w:widowControl w:val="0"/>
              <w:ind w:left="-64" w:right="-72"/>
              <w:contextualSpacing/>
              <w:jc w:val="right"/>
              <w:rPr>
                <w:rFonts w:ascii="Arial" w:hAnsi="Arial" w:cs="Arial"/>
                <w:sz w:val="16"/>
                <w:szCs w:val="16"/>
                <w:cs/>
              </w:rPr>
            </w:pPr>
          </w:p>
        </w:tc>
        <w:tc>
          <w:tcPr>
            <w:tcW w:w="792" w:type="dxa"/>
            <w:shd w:val="clear" w:color="auto" w:fill="auto"/>
            <w:vAlign w:val="bottom"/>
          </w:tcPr>
          <w:p w14:paraId="5FD79006" w14:textId="77777777" w:rsidR="004065BE" w:rsidRPr="002D2F67" w:rsidRDefault="004065BE" w:rsidP="00D21F5E">
            <w:pPr>
              <w:widowControl w:val="0"/>
              <w:ind w:left="-64" w:right="-72"/>
              <w:contextualSpacing/>
              <w:jc w:val="right"/>
              <w:rPr>
                <w:rFonts w:ascii="Arial" w:hAnsi="Arial" w:cs="Arial"/>
                <w:sz w:val="16"/>
                <w:szCs w:val="16"/>
                <w:cs/>
              </w:rPr>
            </w:pPr>
          </w:p>
        </w:tc>
        <w:tc>
          <w:tcPr>
            <w:tcW w:w="792" w:type="dxa"/>
            <w:shd w:val="clear" w:color="auto" w:fill="auto"/>
            <w:vAlign w:val="bottom"/>
          </w:tcPr>
          <w:p w14:paraId="6BBD19D5" w14:textId="77777777" w:rsidR="004065BE" w:rsidRPr="002D2F67" w:rsidRDefault="004065BE" w:rsidP="00D21F5E">
            <w:pPr>
              <w:widowControl w:val="0"/>
              <w:ind w:left="-64" w:right="-72"/>
              <w:contextualSpacing/>
              <w:jc w:val="right"/>
              <w:rPr>
                <w:rFonts w:ascii="Arial" w:hAnsi="Arial" w:cs="Arial"/>
                <w:sz w:val="16"/>
                <w:szCs w:val="16"/>
                <w:cs/>
              </w:rPr>
            </w:pPr>
          </w:p>
        </w:tc>
        <w:tc>
          <w:tcPr>
            <w:tcW w:w="792" w:type="dxa"/>
            <w:shd w:val="clear" w:color="auto" w:fill="auto"/>
            <w:vAlign w:val="bottom"/>
          </w:tcPr>
          <w:p w14:paraId="5094F08C" w14:textId="77777777" w:rsidR="004065BE" w:rsidRPr="002D2F67" w:rsidRDefault="004065BE" w:rsidP="00D21F5E">
            <w:pPr>
              <w:widowControl w:val="0"/>
              <w:ind w:left="-64" w:right="-72"/>
              <w:contextualSpacing/>
              <w:jc w:val="right"/>
              <w:rPr>
                <w:rFonts w:ascii="Arial" w:hAnsi="Arial" w:cs="Arial"/>
                <w:sz w:val="16"/>
                <w:szCs w:val="16"/>
                <w:cs/>
              </w:rPr>
            </w:pPr>
          </w:p>
        </w:tc>
        <w:tc>
          <w:tcPr>
            <w:tcW w:w="792" w:type="dxa"/>
            <w:shd w:val="clear" w:color="auto" w:fill="auto"/>
            <w:vAlign w:val="bottom"/>
          </w:tcPr>
          <w:p w14:paraId="7CDD018C" w14:textId="77777777" w:rsidR="004065BE" w:rsidRPr="002D2F67" w:rsidRDefault="004065BE" w:rsidP="00D21F5E">
            <w:pPr>
              <w:widowControl w:val="0"/>
              <w:ind w:left="-64" w:right="-72"/>
              <w:contextualSpacing/>
              <w:jc w:val="right"/>
              <w:rPr>
                <w:rFonts w:ascii="Arial" w:hAnsi="Arial" w:cs="Arial"/>
                <w:sz w:val="16"/>
                <w:szCs w:val="16"/>
                <w:cs/>
              </w:rPr>
            </w:pPr>
          </w:p>
        </w:tc>
        <w:tc>
          <w:tcPr>
            <w:tcW w:w="792" w:type="dxa"/>
            <w:shd w:val="clear" w:color="auto" w:fill="auto"/>
            <w:vAlign w:val="bottom"/>
          </w:tcPr>
          <w:p w14:paraId="45915E21" w14:textId="77777777" w:rsidR="004065BE" w:rsidRPr="002D2F67" w:rsidRDefault="004065BE" w:rsidP="00D21F5E">
            <w:pPr>
              <w:widowControl w:val="0"/>
              <w:ind w:left="-64" w:right="-72"/>
              <w:contextualSpacing/>
              <w:jc w:val="right"/>
              <w:rPr>
                <w:rFonts w:ascii="Arial" w:hAnsi="Arial" w:cs="Arial"/>
                <w:sz w:val="16"/>
                <w:szCs w:val="16"/>
                <w:cs/>
              </w:rPr>
            </w:pPr>
          </w:p>
        </w:tc>
        <w:tc>
          <w:tcPr>
            <w:tcW w:w="792" w:type="dxa"/>
            <w:shd w:val="clear" w:color="auto" w:fill="auto"/>
            <w:vAlign w:val="bottom"/>
          </w:tcPr>
          <w:p w14:paraId="74D50502" w14:textId="77777777" w:rsidR="004065BE" w:rsidRPr="002D2F67" w:rsidRDefault="004065BE" w:rsidP="00D21F5E">
            <w:pPr>
              <w:widowControl w:val="0"/>
              <w:ind w:left="-64" w:right="-72"/>
              <w:contextualSpacing/>
              <w:jc w:val="right"/>
              <w:rPr>
                <w:rFonts w:ascii="Arial" w:hAnsi="Arial" w:cs="Arial"/>
                <w:sz w:val="16"/>
                <w:szCs w:val="16"/>
                <w:cs/>
              </w:rPr>
            </w:pPr>
          </w:p>
        </w:tc>
        <w:tc>
          <w:tcPr>
            <w:tcW w:w="792" w:type="dxa"/>
            <w:shd w:val="clear" w:color="auto" w:fill="auto"/>
            <w:vAlign w:val="bottom"/>
          </w:tcPr>
          <w:p w14:paraId="2B2E0295" w14:textId="77777777" w:rsidR="004065BE" w:rsidRPr="002D2F67" w:rsidRDefault="004065BE" w:rsidP="00D21F5E">
            <w:pPr>
              <w:widowControl w:val="0"/>
              <w:ind w:left="-64" w:right="-72"/>
              <w:contextualSpacing/>
              <w:jc w:val="right"/>
              <w:rPr>
                <w:rFonts w:ascii="Arial" w:hAnsi="Arial" w:cs="Arial"/>
                <w:sz w:val="16"/>
                <w:szCs w:val="16"/>
              </w:rPr>
            </w:pPr>
          </w:p>
        </w:tc>
        <w:tc>
          <w:tcPr>
            <w:tcW w:w="792" w:type="dxa"/>
            <w:shd w:val="clear" w:color="auto" w:fill="auto"/>
            <w:vAlign w:val="bottom"/>
          </w:tcPr>
          <w:p w14:paraId="1F25D47D" w14:textId="77777777" w:rsidR="004065BE" w:rsidRPr="002D2F67" w:rsidRDefault="004065BE" w:rsidP="00D21F5E">
            <w:pPr>
              <w:widowControl w:val="0"/>
              <w:ind w:left="-64" w:right="-72"/>
              <w:contextualSpacing/>
              <w:jc w:val="right"/>
              <w:rPr>
                <w:rFonts w:ascii="Arial" w:hAnsi="Arial" w:cs="Arial"/>
                <w:sz w:val="16"/>
                <w:szCs w:val="16"/>
              </w:rPr>
            </w:pPr>
          </w:p>
        </w:tc>
        <w:tc>
          <w:tcPr>
            <w:tcW w:w="792" w:type="dxa"/>
            <w:tcBorders>
              <w:bottom w:val="single" w:sz="4" w:space="0" w:color="auto"/>
            </w:tcBorders>
            <w:shd w:val="clear" w:color="auto" w:fill="auto"/>
            <w:vAlign w:val="bottom"/>
          </w:tcPr>
          <w:p w14:paraId="09558865" w14:textId="4B3724C3" w:rsidR="004065BE" w:rsidRPr="002D2F67" w:rsidRDefault="00F93CD5" w:rsidP="00D21F5E">
            <w:pPr>
              <w:ind w:left="-64" w:right="-72"/>
              <w:contextualSpacing/>
              <w:jc w:val="right"/>
              <w:rPr>
                <w:rFonts w:ascii="Arial" w:hAnsi="Arial" w:cs="Arial"/>
                <w:sz w:val="16"/>
                <w:szCs w:val="16"/>
                <w:cs/>
              </w:rPr>
            </w:pPr>
            <w:r w:rsidRPr="002D2F67">
              <w:rPr>
                <w:rFonts w:ascii="Arial" w:hAnsi="Arial" w:cs="Arial"/>
                <w:sz w:val="16"/>
                <w:szCs w:val="16"/>
              </w:rPr>
              <w:t>(</w:t>
            </w:r>
            <w:r w:rsidR="00CD5714" w:rsidRPr="00CD5714">
              <w:rPr>
                <w:rFonts w:ascii="Arial" w:hAnsi="Arial" w:cs="Arial"/>
                <w:sz w:val="16"/>
                <w:szCs w:val="16"/>
                <w:lang w:val="en-GB"/>
              </w:rPr>
              <w:t>8</w:t>
            </w:r>
            <w:r w:rsidR="00DB2B9A" w:rsidRPr="002D2F67">
              <w:rPr>
                <w:rFonts w:ascii="Arial" w:hAnsi="Arial" w:cs="Arial"/>
                <w:sz w:val="16"/>
                <w:szCs w:val="16"/>
              </w:rPr>
              <w:t>,</w:t>
            </w:r>
            <w:r w:rsidR="00CD5714" w:rsidRPr="00CD5714">
              <w:rPr>
                <w:rFonts w:ascii="Arial" w:hAnsi="Arial" w:cs="Arial"/>
                <w:sz w:val="16"/>
                <w:szCs w:val="16"/>
                <w:lang w:val="en-GB"/>
              </w:rPr>
              <w:t>250</w:t>
            </w:r>
            <w:r w:rsidRPr="002D2F67">
              <w:rPr>
                <w:rFonts w:ascii="Arial" w:hAnsi="Arial" w:cs="Arial"/>
                <w:sz w:val="16"/>
                <w:szCs w:val="16"/>
              </w:rPr>
              <w:t>)</w:t>
            </w:r>
          </w:p>
        </w:tc>
        <w:tc>
          <w:tcPr>
            <w:tcW w:w="792" w:type="dxa"/>
            <w:tcBorders>
              <w:bottom w:val="single" w:sz="4" w:space="0" w:color="auto"/>
            </w:tcBorders>
            <w:shd w:val="clear" w:color="auto" w:fill="auto"/>
            <w:vAlign w:val="bottom"/>
          </w:tcPr>
          <w:p w14:paraId="315E3B05" w14:textId="3AD3E30D" w:rsidR="004065BE" w:rsidRPr="002D2F67" w:rsidRDefault="00CD5714" w:rsidP="00D21F5E">
            <w:pPr>
              <w:ind w:left="-64" w:right="-72"/>
              <w:contextualSpacing/>
              <w:jc w:val="right"/>
              <w:rPr>
                <w:rFonts w:ascii="Arial" w:hAnsi="Arial" w:cs="Arial"/>
                <w:sz w:val="16"/>
                <w:szCs w:val="16"/>
              </w:rPr>
            </w:pPr>
            <w:r w:rsidRPr="00CD5714">
              <w:rPr>
                <w:rFonts w:ascii="Arial" w:hAnsi="Arial" w:cs="Arial"/>
                <w:sz w:val="16"/>
                <w:szCs w:val="16"/>
                <w:lang w:val="en-GB"/>
              </w:rPr>
              <w:t>7</w:t>
            </w:r>
            <w:r w:rsidR="00F93CD5" w:rsidRPr="002D2F67">
              <w:rPr>
                <w:rFonts w:ascii="Arial" w:hAnsi="Arial" w:cs="Arial"/>
                <w:sz w:val="16"/>
                <w:szCs w:val="16"/>
              </w:rPr>
              <w:t>,</w:t>
            </w:r>
            <w:r w:rsidRPr="00CD5714">
              <w:rPr>
                <w:rFonts w:ascii="Arial" w:hAnsi="Arial" w:cs="Arial"/>
                <w:sz w:val="16"/>
                <w:szCs w:val="16"/>
                <w:lang w:val="en-GB"/>
              </w:rPr>
              <w:t>500</w:t>
            </w:r>
          </w:p>
        </w:tc>
      </w:tr>
    </w:tbl>
    <w:p w14:paraId="30A9217D" w14:textId="76CF06F5" w:rsidR="00336066" w:rsidRPr="002D2F67" w:rsidRDefault="00706C8B" w:rsidP="005611FE">
      <w:pPr>
        <w:tabs>
          <w:tab w:val="left" w:pos="240"/>
          <w:tab w:val="left" w:pos="840"/>
        </w:tabs>
        <w:jc w:val="both"/>
        <w:rPr>
          <w:rFonts w:ascii="Arial" w:hAnsi="Arial" w:cs="Arial"/>
          <w:color w:val="000000"/>
          <w:sz w:val="20"/>
          <w:szCs w:val="20"/>
        </w:rPr>
      </w:pPr>
      <w:r w:rsidRPr="002D2F67">
        <w:rPr>
          <w:rFonts w:ascii="Arial" w:hAnsi="Arial" w:cs="Arial"/>
          <w:color w:val="000000"/>
          <w:sz w:val="20"/>
          <w:szCs w:val="20"/>
        </w:rPr>
        <w:br w:type="page"/>
      </w:r>
    </w:p>
    <w:tbl>
      <w:tblPr>
        <w:tblW w:w="15704" w:type="dxa"/>
        <w:tblInd w:w="128" w:type="dxa"/>
        <w:tblLayout w:type="fixed"/>
        <w:tblLook w:val="0000" w:firstRow="0" w:lastRow="0" w:firstColumn="0" w:lastColumn="0" w:noHBand="0" w:noVBand="0"/>
      </w:tblPr>
      <w:tblGrid>
        <w:gridCol w:w="3032"/>
        <w:gridCol w:w="792"/>
        <w:gridCol w:w="792"/>
        <w:gridCol w:w="792"/>
        <w:gridCol w:w="792"/>
        <w:gridCol w:w="792"/>
        <w:gridCol w:w="792"/>
        <w:gridCol w:w="792"/>
        <w:gridCol w:w="792"/>
        <w:gridCol w:w="792"/>
        <w:gridCol w:w="792"/>
        <w:gridCol w:w="792"/>
        <w:gridCol w:w="792"/>
        <w:gridCol w:w="792"/>
        <w:gridCol w:w="792"/>
        <w:gridCol w:w="792"/>
        <w:gridCol w:w="792"/>
      </w:tblGrid>
      <w:tr w:rsidR="00D72DDB" w:rsidRPr="002D2F67" w14:paraId="61D321A7" w14:textId="77777777" w:rsidTr="00782C44">
        <w:tc>
          <w:tcPr>
            <w:tcW w:w="3032" w:type="dxa"/>
            <w:shd w:val="clear" w:color="auto" w:fill="auto"/>
          </w:tcPr>
          <w:p w14:paraId="7BC03155" w14:textId="77777777" w:rsidR="00D72DDB" w:rsidRPr="002D2F67" w:rsidRDefault="00D72DDB" w:rsidP="00D72DDB">
            <w:pPr>
              <w:ind w:left="72"/>
              <w:rPr>
                <w:rFonts w:ascii="Arial" w:hAnsi="Arial" w:cs="Arial"/>
                <w:sz w:val="16"/>
                <w:szCs w:val="16"/>
              </w:rPr>
            </w:pPr>
          </w:p>
        </w:tc>
        <w:tc>
          <w:tcPr>
            <w:tcW w:w="12672" w:type="dxa"/>
            <w:gridSpan w:val="16"/>
            <w:tcBorders>
              <w:bottom w:val="single" w:sz="4" w:space="0" w:color="auto"/>
            </w:tcBorders>
            <w:shd w:val="clear" w:color="auto" w:fill="auto"/>
          </w:tcPr>
          <w:p w14:paraId="1731854A" w14:textId="77777777" w:rsidR="00D72DDB" w:rsidRPr="002D2F67" w:rsidRDefault="00D72DDB" w:rsidP="00D72DDB">
            <w:pPr>
              <w:widowControl w:val="0"/>
              <w:ind w:right="-72"/>
              <w:jc w:val="right"/>
              <w:rPr>
                <w:rFonts w:ascii="Arial" w:hAnsi="Arial" w:cs="Arial"/>
                <w:b/>
                <w:bCs/>
                <w:sz w:val="16"/>
                <w:szCs w:val="16"/>
                <w:cs/>
              </w:rPr>
            </w:pPr>
            <w:r w:rsidRPr="002D2F67">
              <w:rPr>
                <w:rFonts w:ascii="Arial" w:eastAsia="Calibri" w:hAnsi="Arial" w:cs="Arial"/>
                <w:b/>
                <w:bCs/>
                <w:sz w:val="16"/>
                <w:szCs w:val="16"/>
              </w:rPr>
              <w:t>Unit: Million Baht</w:t>
            </w:r>
          </w:p>
        </w:tc>
      </w:tr>
      <w:tr w:rsidR="00D72DDB" w:rsidRPr="002D2F67" w14:paraId="1E8AF582" w14:textId="77777777" w:rsidTr="00782C44">
        <w:trPr>
          <w:trHeight w:val="64"/>
        </w:trPr>
        <w:tc>
          <w:tcPr>
            <w:tcW w:w="3032" w:type="dxa"/>
            <w:shd w:val="clear" w:color="auto" w:fill="auto"/>
          </w:tcPr>
          <w:p w14:paraId="7BBEDF3A" w14:textId="77777777" w:rsidR="00D72DDB" w:rsidRPr="002D2F67" w:rsidRDefault="00D72DDB" w:rsidP="00D72DDB">
            <w:pPr>
              <w:ind w:left="72"/>
              <w:rPr>
                <w:rFonts w:ascii="Arial" w:hAnsi="Arial" w:cs="Arial"/>
                <w:sz w:val="16"/>
                <w:szCs w:val="16"/>
              </w:rPr>
            </w:pPr>
          </w:p>
        </w:tc>
        <w:tc>
          <w:tcPr>
            <w:tcW w:w="12672" w:type="dxa"/>
            <w:gridSpan w:val="16"/>
            <w:tcBorders>
              <w:top w:val="single" w:sz="4" w:space="0" w:color="auto"/>
              <w:bottom w:val="single" w:sz="4" w:space="0" w:color="auto"/>
            </w:tcBorders>
            <w:shd w:val="clear" w:color="auto" w:fill="auto"/>
          </w:tcPr>
          <w:p w14:paraId="6486B2EC" w14:textId="60BF5561" w:rsidR="00D72DDB" w:rsidRPr="002D2F67" w:rsidRDefault="00D72DDB" w:rsidP="00D72DDB">
            <w:pPr>
              <w:widowControl w:val="0"/>
              <w:ind w:right="-72"/>
              <w:jc w:val="right"/>
              <w:rPr>
                <w:rFonts w:ascii="Arial" w:eastAsia="Calibri" w:hAnsi="Arial" w:cs="Arial"/>
                <w:b/>
                <w:bCs/>
                <w:sz w:val="16"/>
                <w:szCs w:val="16"/>
              </w:rPr>
            </w:pPr>
            <w:r w:rsidRPr="002D2F67">
              <w:rPr>
                <w:rFonts w:ascii="Arial" w:eastAsia="Calibri" w:hAnsi="Arial" w:cs="Arial"/>
                <w:b/>
                <w:bCs/>
                <w:sz w:val="16"/>
                <w:szCs w:val="16"/>
              </w:rPr>
              <w:t xml:space="preserve">Consolidated financial </w:t>
            </w:r>
            <w:r w:rsidR="00EA7315" w:rsidRPr="002D2F67">
              <w:rPr>
                <w:rFonts w:ascii="Arial" w:eastAsia="Calibri" w:hAnsi="Arial" w:cs="Arial"/>
                <w:b/>
                <w:bCs/>
                <w:sz w:val="16"/>
                <w:szCs w:val="16"/>
              </w:rPr>
              <w:t>statements</w:t>
            </w:r>
          </w:p>
        </w:tc>
      </w:tr>
      <w:tr w:rsidR="00D72DDB" w:rsidRPr="002D2F67" w14:paraId="2C92D169" w14:textId="77777777" w:rsidTr="00782C44">
        <w:trPr>
          <w:trHeight w:val="83"/>
        </w:trPr>
        <w:tc>
          <w:tcPr>
            <w:tcW w:w="3032" w:type="dxa"/>
            <w:shd w:val="clear" w:color="auto" w:fill="auto"/>
          </w:tcPr>
          <w:p w14:paraId="53F933AC" w14:textId="77777777" w:rsidR="00D72DDB" w:rsidRPr="002D2F67" w:rsidRDefault="00D72DDB" w:rsidP="00D72DDB">
            <w:pPr>
              <w:ind w:left="72"/>
              <w:rPr>
                <w:rFonts w:ascii="Arial" w:hAnsi="Arial" w:cs="Arial"/>
                <w:sz w:val="16"/>
                <w:szCs w:val="16"/>
              </w:rPr>
            </w:pPr>
          </w:p>
        </w:tc>
        <w:tc>
          <w:tcPr>
            <w:tcW w:w="12672" w:type="dxa"/>
            <w:gridSpan w:val="16"/>
            <w:shd w:val="clear" w:color="auto" w:fill="auto"/>
          </w:tcPr>
          <w:p w14:paraId="1A403736" w14:textId="25E00035" w:rsidR="00D72DDB" w:rsidRPr="002D2F67" w:rsidRDefault="00D72DDB" w:rsidP="00D72DDB">
            <w:pPr>
              <w:widowControl w:val="0"/>
              <w:ind w:right="-72"/>
              <w:jc w:val="right"/>
              <w:rPr>
                <w:rFonts w:ascii="Arial" w:hAnsi="Arial" w:cs="Arial"/>
                <w:b/>
                <w:bCs/>
                <w:sz w:val="16"/>
                <w:szCs w:val="16"/>
                <w:cs/>
              </w:rPr>
            </w:pPr>
            <w:r w:rsidRPr="002D2F67">
              <w:rPr>
                <w:rFonts w:ascii="Arial" w:eastAsia="Calibri" w:hAnsi="Arial" w:cs="Arial"/>
                <w:b/>
                <w:bCs/>
                <w:sz w:val="16"/>
                <w:szCs w:val="16"/>
              </w:rPr>
              <w:t xml:space="preserve">For the years ended </w:t>
            </w:r>
            <w:r w:rsidR="00CD5714" w:rsidRPr="00CD5714">
              <w:rPr>
                <w:rFonts w:ascii="Arial" w:eastAsia="Calibri" w:hAnsi="Arial" w:cs="Arial"/>
                <w:b/>
                <w:bCs/>
                <w:sz w:val="16"/>
                <w:szCs w:val="16"/>
                <w:lang w:val="en-GB"/>
              </w:rPr>
              <w:t>31</w:t>
            </w:r>
            <w:r w:rsidRPr="002D2F67">
              <w:rPr>
                <w:rFonts w:ascii="Arial" w:eastAsia="Calibri" w:hAnsi="Arial" w:cs="Arial"/>
                <w:b/>
                <w:bCs/>
                <w:sz w:val="16"/>
                <w:szCs w:val="16"/>
              </w:rPr>
              <w:t xml:space="preserve"> December   </w:t>
            </w:r>
          </w:p>
        </w:tc>
      </w:tr>
      <w:tr w:rsidR="00D72DDB" w:rsidRPr="002D2F67" w14:paraId="2186CF72" w14:textId="77777777" w:rsidTr="00782C44">
        <w:tc>
          <w:tcPr>
            <w:tcW w:w="3032" w:type="dxa"/>
            <w:shd w:val="clear" w:color="auto" w:fill="auto"/>
          </w:tcPr>
          <w:p w14:paraId="177864DD" w14:textId="77777777" w:rsidR="00D72DDB" w:rsidRPr="002D2F67" w:rsidRDefault="00D72DDB" w:rsidP="00D72DDB">
            <w:pPr>
              <w:ind w:left="72"/>
              <w:rPr>
                <w:rFonts w:ascii="Arial" w:hAnsi="Arial" w:cs="Arial"/>
                <w:sz w:val="16"/>
                <w:szCs w:val="16"/>
              </w:rPr>
            </w:pPr>
          </w:p>
        </w:tc>
        <w:tc>
          <w:tcPr>
            <w:tcW w:w="1584" w:type="dxa"/>
            <w:gridSpan w:val="2"/>
            <w:tcBorders>
              <w:top w:val="single" w:sz="4" w:space="0" w:color="auto"/>
            </w:tcBorders>
            <w:shd w:val="clear" w:color="auto" w:fill="auto"/>
          </w:tcPr>
          <w:p w14:paraId="00C24336" w14:textId="77777777" w:rsidR="00D72DDB" w:rsidRPr="002D2F67" w:rsidRDefault="00D72DDB" w:rsidP="00D72DDB">
            <w:pPr>
              <w:widowControl w:val="0"/>
              <w:ind w:left="-61" w:right="-72"/>
              <w:jc w:val="right"/>
              <w:rPr>
                <w:rFonts w:ascii="Arial" w:hAnsi="Arial" w:cs="Arial"/>
                <w:b/>
                <w:bCs/>
                <w:sz w:val="16"/>
                <w:szCs w:val="16"/>
                <w:cs/>
              </w:rPr>
            </w:pPr>
            <w:r w:rsidRPr="002D2F67">
              <w:rPr>
                <w:rFonts w:ascii="Arial" w:hAnsi="Arial" w:cs="Arial"/>
                <w:b/>
                <w:bCs/>
                <w:sz w:val="16"/>
                <w:szCs w:val="16"/>
              </w:rPr>
              <w:t xml:space="preserve">Manufacturing </w:t>
            </w:r>
          </w:p>
        </w:tc>
        <w:tc>
          <w:tcPr>
            <w:tcW w:w="1584" w:type="dxa"/>
            <w:gridSpan w:val="2"/>
            <w:tcBorders>
              <w:top w:val="single" w:sz="4" w:space="0" w:color="auto"/>
            </w:tcBorders>
            <w:shd w:val="clear" w:color="auto" w:fill="auto"/>
          </w:tcPr>
          <w:p w14:paraId="379928B0" w14:textId="77777777" w:rsidR="00D72DDB" w:rsidRPr="002D2F67" w:rsidRDefault="00D72DDB" w:rsidP="00D72DDB">
            <w:pPr>
              <w:widowControl w:val="0"/>
              <w:ind w:left="-61" w:right="-72"/>
              <w:jc w:val="right"/>
              <w:rPr>
                <w:rFonts w:ascii="Arial" w:hAnsi="Arial" w:cs="Arial"/>
                <w:b/>
                <w:bCs/>
                <w:sz w:val="16"/>
                <w:szCs w:val="16"/>
                <w:cs/>
              </w:rPr>
            </w:pPr>
            <w:r w:rsidRPr="002D2F67">
              <w:rPr>
                <w:rFonts w:ascii="Arial" w:hAnsi="Arial" w:cs="Arial"/>
                <w:b/>
                <w:bCs/>
                <w:sz w:val="16"/>
                <w:szCs w:val="16"/>
              </w:rPr>
              <w:t xml:space="preserve">Manufacturing </w:t>
            </w:r>
          </w:p>
        </w:tc>
        <w:tc>
          <w:tcPr>
            <w:tcW w:w="1584" w:type="dxa"/>
            <w:gridSpan w:val="2"/>
            <w:tcBorders>
              <w:top w:val="single" w:sz="4" w:space="0" w:color="auto"/>
            </w:tcBorders>
            <w:shd w:val="clear" w:color="auto" w:fill="auto"/>
          </w:tcPr>
          <w:p w14:paraId="09BAB904" w14:textId="77777777" w:rsidR="00D72DDB" w:rsidRPr="002D2F67" w:rsidRDefault="00D72DDB" w:rsidP="00D72DDB">
            <w:pPr>
              <w:widowControl w:val="0"/>
              <w:ind w:left="-61" w:right="-72"/>
              <w:jc w:val="right"/>
              <w:rPr>
                <w:rFonts w:ascii="Arial" w:hAnsi="Arial" w:cs="Arial"/>
                <w:b/>
                <w:bCs/>
                <w:sz w:val="16"/>
                <w:szCs w:val="16"/>
                <w:cs/>
              </w:rPr>
            </w:pPr>
          </w:p>
        </w:tc>
        <w:tc>
          <w:tcPr>
            <w:tcW w:w="1584" w:type="dxa"/>
            <w:gridSpan w:val="2"/>
            <w:tcBorders>
              <w:top w:val="single" w:sz="4" w:space="0" w:color="auto"/>
            </w:tcBorders>
            <w:shd w:val="clear" w:color="auto" w:fill="auto"/>
          </w:tcPr>
          <w:p w14:paraId="5B587B8F" w14:textId="77777777" w:rsidR="00D72DDB" w:rsidRPr="002D2F67" w:rsidRDefault="00D72DDB" w:rsidP="00D72DDB">
            <w:pPr>
              <w:widowControl w:val="0"/>
              <w:ind w:left="-61" w:right="-72"/>
              <w:jc w:val="right"/>
              <w:rPr>
                <w:rFonts w:ascii="Arial" w:hAnsi="Arial" w:cs="Arial"/>
                <w:b/>
                <w:bCs/>
                <w:sz w:val="16"/>
                <w:szCs w:val="16"/>
                <w:cs/>
              </w:rPr>
            </w:pPr>
          </w:p>
        </w:tc>
        <w:tc>
          <w:tcPr>
            <w:tcW w:w="1584" w:type="dxa"/>
            <w:gridSpan w:val="2"/>
            <w:tcBorders>
              <w:top w:val="single" w:sz="4" w:space="0" w:color="auto"/>
            </w:tcBorders>
            <w:shd w:val="clear" w:color="auto" w:fill="auto"/>
          </w:tcPr>
          <w:p w14:paraId="6C890420" w14:textId="77777777" w:rsidR="00D72DDB" w:rsidRPr="002D2F67" w:rsidRDefault="00D72DDB" w:rsidP="00D72DDB">
            <w:pPr>
              <w:widowControl w:val="0"/>
              <w:ind w:left="-61" w:right="-72"/>
              <w:jc w:val="right"/>
              <w:rPr>
                <w:rFonts w:ascii="Arial" w:hAnsi="Arial" w:cs="Arial"/>
                <w:b/>
                <w:bCs/>
                <w:sz w:val="16"/>
                <w:szCs w:val="16"/>
                <w:cs/>
              </w:rPr>
            </w:pPr>
          </w:p>
        </w:tc>
        <w:tc>
          <w:tcPr>
            <w:tcW w:w="1584" w:type="dxa"/>
            <w:gridSpan w:val="2"/>
            <w:tcBorders>
              <w:top w:val="single" w:sz="4" w:space="0" w:color="auto"/>
            </w:tcBorders>
            <w:shd w:val="clear" w:color="auto" w:fill="auto"/>
          </w:tcPr>
          <w:p w14:paraId="5F701E08" w14:textId="77777777" w:rsidR="00D72DDB" w:rsidRPr="002D2F67" w:rsidRDefault="00D72DDB" w:rsidP="00D72DDB">
            <w:pPr>
              <w:widowControl w:val="0"/>
              <w:ind w:left="-61" w:right="-72"/>
              <w:jc w:val="right"/>
              <w:rPr>
                <w:rFonts w:ascii="Arial" w:hAnsi="Arial" w:cs="Arial"/>
                <w:b/>
                <w:bCs/>
                <w:sz w:val="16"/>
                <w:szCs w:val="16"/>
                <w:cs/>
              </w:rPr>
            </w:pPr>
          </w:p>
        </w:tc>
        <w:tc>
          <w:tcPr>
            <w:tcW w:w="1584" w:type="dxa"/>
            <w:gridSpan w:val="2"/>
            <w:tcBorders>
              <w:top w:val="single" w:sz="4" w:space="0" w:color="auto"/>
            </w:tcBorders>
            <w:shd w:val="clear" w:color="auto" w:fill="auto"/>
          </w:tcPr>
          <w:p w14:paraId="6B3D1403" w14:textId="77777777" w:rsidR="00D72DDB" w:rsidRPr="002D2F67" w:rsidRDefault="00D72DDB" w:rsidP="00D72DDB">
            <w:pPr>
              <w:widowControl w:val="0"/>
              <w:ind w:left="-61" w:right="-72"/>
              <w:jc w:val="right"/>
              <w:rPr>
                <w:rFonts w:ascii="Arial" w:hAnsi="Arial" w:cs="Arial"/>
                <w:b/>
                <w:bCs/>
                <w:sz w:val="16"/>
                <w:szCs w:val="16"/>
                <w:cs/>
              </w:rPr>
            </w:pPr>
          </w:p>
        </w:tc>
        <w:tc>
          <w:tcPr>
            <w:tcW w:w="1584" w:type="dxa"/>
            <w:gridSpan w:val="2"/>
            <w:tcBorders>
              <w:top w:val="single" w:sz="4" w:space="0" w:color="auto"/>
            </w:tcBorders>
            <w:shd w:val="clear" w:color="auto" w:fill="auto"/>
          </w:tcPr>
          <w:p w14:paraId="2135A1A4" w14:textId="77777777" w:rsidR="00D72DDB" w:rsidRPr="002D2F67" w:rsidRDefault="00D72DDB" w:rsidP="00D72DDB">
            <w:pPr>
              <w:widowControl w:val="0"/>
              <w:ind w:left="-61" w:right="-72"/>
              <w:jc w:val="right"/>
              <w:rPr>
                <w:rFonts w:ascii="Arial" w:hAnsi="Arial" w:cs="Arial"/>
                <w:b/>
                <w:bCs/>
                <w:sz w:val="16"/>
                <w:szCs w:val="16"/>
                <w:cs/>
              </w:rPr>
            </w:pPr>
          </w:p>
        </w:tc>
      </w:tr>
      <w:tr w:rsidR="00D72DDB" w:rsidRPr="002D2F67" w14:paraId="3C79A17B" w14:textId="77777777" w:rsidTr="00782C44">
        <w:tc>
          <w:tcPr>
            <w:tcW w:w="3032" w:type="dxa"/>
            <w:shd w:val="clear" w:color="auto" w:fill="auto"/>
          </w:tcPr>
          <w:p w14:paraId="4BD10B1A" w14:textId="77777777" w:rsidR="00D72DDB" w:rsidRPr="002D2F67" w:rsidRDefault="00D72DDB" w:rsidP="00D72DDB">
            <w:pPr>
              <w:ind w:left="72"/>
              <w:rPr>
                <w:rFonts w:ascii="Arial" w:hAnsi="Arial" w:cs="Arial"/>
                <w:sz w:val="16"/>
                <w:szCs w:val="16"/>
              </w:rPr>
            </w:pPr>
          </w:p>
        </w:tc>
        <w:tc>
          <w:tcPr>
            <w:tcW w:w="1584" w:type="dxa"/>
            <w:gridSpan w:val="2"/>
            <w:shd w:val="clear" w:color="auto" w:fill="auto"/>
          </w:tcPr>
          <w:p w14:paraId="2DA3B140" w14:textId="77777777" w:rsidR="00D72DDB" w:rsidRPr="002D2F67" w:rsidRDefault="00D72DDB" w:rsidP="00D72DDB">
            <w:pPr>
              <w:widowControl w:val="0"/>
              <w:ind w:left="-61" w:right="-72"/>
              <w:jc w:val="right"/>
              <w:rPr>
                <w:rFonts w:ascii="Arial" w:hAnsi="Arial" w:cs="Arial"/>
                <w:b/>
                <w:bCs/>
                <w:sz w:val="16"/>
                <w:szCs w:val="16"/>
                <w:cs/>
              </w:rPr>
            </w:pPr>
            <w:r w:rsidRPr="002D2F67">
              <w:rPr>
                <w:rFonts w:ascii="Arial" w:hAnsi="Arial" w:cs="Arial"/>
                <w:b/>
                <w:bCs/>
                <w:sz w:val="16"/>
                <w:szCs w:val="16"/>
              </w:rPr>
              <w:t>and distributing</w:t>
            </w:r>
          </w:p>
        </w:tc>
        <w:tc>
          <w:tcPr>
            <w:tcW w:w="1584" w:type="dxa"/>
            <w:gridSpan w:val="2"/>
            <w:shd w:val="clear" w:color="auto" w:fill="auto"/>
          </w:tcPr>
          <w:p w14:paraId="7BD39EB1" w14:textId="77777777" w:rsidR="00D72DDB" w:rsidRPr="002D2F67" w:rsidRDefault="00D72DDB" w:rsidP="00D72DDB">
            <w:pPr>
              <w:widowControl w:val="0"/>
              <w:ind w:left="-61" w:right="-72"/>
              <w:jc w:val="right"/>
              <w:rPr>
                <w:rFonts w:ascii="Arial" w:hAnsi="Arial" w:cs="Arial"/>
                <w:b/>
                <w:bCs/>
                <w:sz w:val="16"/>
                <w:szCs w:val="16"/>
                <w:cs/>
              </w:rPr>
            </w:pPr>
            <w:r w:rsidRPr="002D2F67">
              <w:rPr>
                <w:rFonts w:ascii="Arial" w:hAnsi="Arial" w:cs="Arial"/>
                <w:b/>
                <w:bCs/>
                <w:sz w:val="16"/>
                <w:szCs w:val="16"/>
              </w:rPr>
              <w:t>and distributing</w:t>
            </w:r>
          </w:p>
        </w:tc>
        <w:tc>
          <w:tcPr>
            <w:tcW w:w="1584" w:type="dxa"/>
            <w:gridSpan w:val="2"/>
            <w:shd w:val="clear" w:color="auto" w:fill="auto"/>
          </w:tcPr>
          <w:p w14:paraId="007BE038" w14:textId="77777777" w:rsidR="00D72DDB" w:rsidRPr="002D2F67" w:rsidRDefault="00D72DDB" w:rsidP="00D72DDB">
            <w:pPr>
              <w:widowControl w:val="0"/>
              <w:ind w:left="-61" w:right="-72"/>
              <w:jc w:val="right"/>
              <w:rPr>
                <w:rFonts w:ascii="Arial" w:hAnsi="Arial" w:cs="Arial"/>
                <w:b/>
                <w:bCs/>
                <w:sz w:val="16"/>
                <w:szCs w:val="16"/>
              </w:rPr>
            </w:pPr>
          </w:p>
        </w:tc>
        <w:tc>
          <w:tcPr>
            <w:tcW w:w="1584" w:type="dxa"/>
            <w:gridSpan w:val="2"/>
            <w:shd w:val="clear" w:color="auto" w:fill="auto"/>
          </w:tcPr>
          <w:p w14:paraId="2B5577D2" w14:textId="77777777" w:rsidR="00D72DDB" w:rsidRPr="002D2F67" w:rsidRDefault="00D72DDB" w:rsidP="00D72DDB">
            <w:pPr>
              <w:widowControl w:val="0"/>
              <w:ind w:left="-61" w:right="-72"/>
              <w:jc w:val="right"/>
              <w:rPr>
                <w:rFonts w:ascii="Arial" w:hAnsi="Arial" w:cs="Arial"/>
                <w:b/>
                <w:bCs/>
                <w:sz w:val="16"/>
                <w:szCs w:val="16"/>
              </w:rPr>
            </w:pPr>
          </w:p>
        </w:tc>
        <w:tc>
          <w:tcPr>
            <w:tcW w:w="1584" w:type="dxa"/>
            <w:gridSpan w:val="2"/>
            <w:shd w:val="clear" w:color="auto" w:fill="auto"/>
          </w:tcPr>
          <w:p w14:paraId="08E284F7" w14:textId="77777777" w:rsidR="00D72DDB" w:rsidRPr="002D2F67" w:rsidRDefault="00D72DDB" w:rsidP="00D72DDB">
            <w:pPr>
              <w:widowControl w:val="0"/>
              <w:ind w:left="-61" w:right="-72"/>
              <w:jc w:val="right"/>
              <w:rPr>
                <w:rFonts w:ascii="Arial" w:hAnsi="Arial" w:cs="Arial"/>
                <w:b/>
                <w:bCs/>
                <w:sz w:val="16"/>
                <w:szCs w:val="16"/>
              </w:rPr>
            </w:pPr>
          </w:p>
        </w:tc>
        <w:tc>
          <w:tcPr>
            <w:tcW w:w="1584" w:type="dxa"/>
            <w:gridSpan w:val="2"/>
            <w:shd w:val="clear" w:color="auto" w:fill="auto"/>
          </w:tcPr>
          <w:p w14:paraId="7513B641" w14:textId="77777777" w:rsidR="00D72DDB" w:rsidRPr="002D2F67" w:rsidRDefault="00D72DDB" w:rsidP="00D72DDB">
            <w:pPr>
              <w:widowControl w:val="0"/>
              <w:ind w:left="-61" w:right="-72"/>
              <w:jc w:val="right"/>
              <w:rPr>
                <w:rFonts w:ascii="Arial" w:hAnsi="Arial" w:cs="Arial"/>
                <w:b/>
                <w:bCs/>
                <w:sz w:val="16"/>
                <w:szCs w:val="16"/>
              </w:rPr>
            </w:pPr>
          </w:p>
        </w:tc>
        <w:tc>
          <w:tcPr>
            <w:tcW w:w="1584" w:type="dxa"/>
            <w:gridSpan w:val="2"/>
            <w:shd w:val="clear" w:color="auto" w:fill="auto"/>
          </w:tcPr>
          <w:p w14:paraId="1043DEDA" w14:textId="77777777" w:rsidR="00D72DDB" w:rsidRPr="002D2F67" w:rsidRDefault="00D72DDB" w:rsidP="00D72DDB">
            <w:pPr>
              <w:widowControl w:val="0"/>
              <w:ind w:left="-61" w:right="-72"/>
              <w:jc w:val="right"/>
              <w:rPr>
                <w:rFonts w:ascii="Arial" w:hAnsi="Arial" w:cs="Arial"/>
                <w:b/>
                <w:bCs/>
                <w:sz w:val="16"/>
                <w:szCs w:val="16"/>
              </w:rPr>
            </w:pPr>
          </w:p>
        </w:tc>
        <w:tc>
          <w:tcPr>
            <w:tcW w:w="1584" w:type="dxa"/>
            <w:gridSpan w:val="2"/>
            <w:shd w:val="clear" w:color="auto" w:fill="auto"/>
          </w:tcPr>
          <w:p w14:paraId="16C91D66" w14:textId="77777777" w:rsidR="00D72DDB" w:rsidRPr="002D2F67" w:rsidRDefault="00D72DDB" w:rsidP="00D72DDB">
            <w:pPr>
              <w:widowControl w:val="0"/>
              <w:ind w:left="-61" w:right="-72"/>
              <w:jc w:val="right"/>
              <w:rPr>
                <w:rFonts w:ascii="Arial" w:hAnsi="Arial" w:cs="Arial"/>
                <w:b/>
                <w:bCs/>
                <w:sz w:val="16"/>
                <w:szCs w:val="16"/>
              </w:rPr>
            </w:pPr>
          </w:p>
        </w:tc>
      </w:tr>
      <w:tr w:rsidR="00D72DDB" w:rsidRPr="002D2F67" w14:paraId="1DE09711" w14:textId="77777777" w:rsidTr="00782C44">
        <w:tc>
          <w:tcPr>
            <w:tcW w:w="3032" w:type="dxa"/>
            <w:shd w:val="clear" w:color="auto" w:fill="auto"/>
          </w:tcPr>
          <w:p w14:paraId="2134B3D7" w14:textId="77777777" w:rsidR="00D72DDB" w:rsidRPr="002D2F67" w:rsidRDefault="00D72DDB" w:rsidP="00D72DDB">
            <w:pPr>
              <w:ind w:left="72"/>
              <w:rPr>
                <w:rFonts w:ascii="Arial" w:hAnsi="Arial" w:cs="Arial"/>
                <w:sz w:val="16"/>
                <w:szCs w:val="16"/>
              </w:rPr>
            </w:pPr>
          </w:p>
        </w:tc>
        <w:tc>
          <w:tcPr>
            <w:tcW w:w="1584" w:type="dxa"/>
            <w:gridSpan w:val="2"/>
            <w:shd w:val="clear" w:color="auto" w:fill="auto"/>
          </w:tcPr>
          <w:p w14:paraId="7DE415DE" w14:textId="77777777" w:rsidR="00D72DDB" w:rsidRPr="002D2F67" w:rsidRDefault="00D72DDB" w:rsidP="00D72DDB">
            <w:pPr>
              <w:widowControl w:val="0"/>
              <w:ind w:left="-61" w:right="-72"/>
              <w:jc w:val="right"/>
              <w:rPr>
                <w:rFonts w:ascii="Arial" w:hAnsi="Arial" w:cs="Arial"/>
                <w:b/>
                <w:bCs/>
                <w:sz w:val="16"/>
                <w:szCs w:val="16"/>
              </w:rPr>
            </w:pPr>
            <w:r w:rsidRPr="002D2F67">
              <w:rPr>
                <w:rFonts w:ascii="Arial" w:hAnsi="Arial" w:cs="Arial"/>
                <w:b/>
                <w:bCs/>
                <w:sz w:val="16"/>
                <w:szCs w:val="16"/>
              </w:rPr>
              <w:t>crude palm oil,</w:t>
            </w:r>
          </w:p>
        </w:tc>
        <w:tc>
          <w:tcPr>
            <w:tcW w:w="1584" w:type="dxa"/>
            <w:gridSpan w:val="2"/>
            <w:shd w:val="clear" w:color="auto" w:fill="auto"/>
          </w:tcPr>
          <w:p w14:paraId="3227F2E4" w14:textId="77777777" w:rsidR="00D72DDB" w:rsidRPr="002D2F67" w:rsidRDefault="00D72DDB" w:rsidP="00D72DDB">
            <w:pPr>
              <w:widowControl w:val="0"/>
              <w:ind w:left="-61" w:right="-72"/>
              <w:jc w:val="right"/>
              <w:rPr>
                <w:rFonts w:ascii="Arial" w:hAnsi="Arial" w:cs="Arial"/>
                <w:b/>
                <w:bCs/>
                <w:sz w:val="16"/>
                <w:szCs w:val="16"/>
              </w:rPr>
            </w:pPr>
            <w:r w:rsidRPr="002D2F67">
              <w:rPr>
                <w:rFonts w:ascii="Arial" w:hAnsi="Arial" w:cs="Arial"/>
                <w:b/>
                <w:bCs/>
                <w:sz w:val="16"/>
                <w:szCs w:val="16"/>
              </w:rPr>
              <w:t>electricity from</w:t>
            </w:r>
          </w:p>
        </w:tc>
        <w:tc>
          <w:tcPr>
            <w:tcW w:w="1584" w:type="dxa"/>
            <w:gridSpan w:val="2"/>
            <w:shd w:val="clear" w:color="auto" w:fill="auto"/>
          </w:tcPr>
          <w:p w14:paraId="419DD771" w14:textId="77777777" w:rsidR="00D72DDB" w:rsidRPr="002D2F67" w:rsidRDefault="00D72DDB" w:rsidP="00D72DDB">
            <w:pPr>
              <w:widowControl w:val="0"/>
              <w:ind w:left="-61" w:right="-72"/>
              <w:jc w:val="right"/>
              <w:rPr>
                <w:rFonts w:ascii="Arial" w:hAnsi="Arial" w:cs="Arial"/>
                <w:b/>
                <w:bCs/>
                <w:sz w:val="16"/>
                <w:szCs w:val="16"/>
              </w:rPr>
            </w:pPr>
          </w:p>
        </w:tc>
        <w:tc>
          <w:tcPr>
            <w:tcW w:w="1584" w:type="dxa"/>
            <w:gridSpan w:val="2"/>
            <w:shd w:val="clear" w:color="auto" w:fill="auto"/>
          </w:tcPr>
          <w:p w14:paraId="5F5ECFE2" w14:textId="77777777" w:rsidR="00D72DDB" w:rsidRPr="002D2F67" w:rsidRDefault="00D72DDB" w:rsidP="00D72DDB">
            <w:pPr>
              <w:widowControl w:val="0"/>
              <w:ind w:left="-61" w:right="-72"/>
              <w:jc w:val="right"/>
              <w:rPr>
                <w:rFonts w:ascii="Arial" w:hAnsi="Arial" w:cs="Arial"/>
                <w:b/>
                <w:bCs/>
                <w:sz w:val="16"/>
                <w:szCs w:val="16"/>
              </w:rPr>
            </w:pPr>
          </w:p>
        </w:tc>
        <w:tc>
          <w:tcPr>
            <w:tcW w:w="1584" w:type="dxa"/>
            <w:gridSpan w:val="2"/>
            <w:shd w:val="clear" w:color="auto" w:fill="auto"/>
          </w:tcPr>
          <w:p w14:paraId="5359F607" w14:textId="77777777" w:rsidR="00D72DDB" w:rsidRPr="002D2F67" w:rsidRDefault="00D72DDB" w:rsidP="00D72DDB">
            <w:pPr>
              <w:widowControl w:val="0"/>
              <w:ind w:left="-61" w:right="-72"/>
              <w:jc w:val="right"/>
              <w:rPr>
                <w:rFonts w:ascii="Arial" w:hAnsi="Arial" w:cs="Arial"/>
                <w:b/>
                <w:bCs/>
                <w:sz w:val="16"/>
                <w:szCs w:val="16"/>
              </w:rPr>
            </w:pPr>
          </w:p>
        </w:tc>
        <w:tc>
          <w:tcPr>
            <w:tcW w:w="1584" w:type="dxa"/>
            <w:gridSpan w:val="2"/>
            <w:shd w:val="clear" w:color="auto" w:fill="auto"/>
          </w:tcPr>
          <w:p w14:paraId="3D405E15" w14:textId="77777777" w:rsidR="00D72DDB" w:rsidRPr="002D2F67" w:rsidRDefault="00D72DDB" w:rsidP="00D72DDB">
            <w:pPr>
              <w:widowControl w:val="0"/>
              <w:ind w:left="-61" w:right="-72"/>
              <w:jc w:val="right"/>
              <w:rPr>
                <w:rFonts w:ascii="Arial" w:hAnsi="Arial" w:cs="Arial"/>
                <w:b/>
                <w:bCs/>
                <w:sz w:val="16"/>
                <w:szCs w:val="16"/>
              </w:rPr>
            </w:pPr>
          </w:p>
        </w:tc>
        <w:tc>
          <w:tcPr>
            <w:tcW w:w="1584" w:type="dxa"/>
            <w:gridSpan w:val="2"/>
            <w:shd w:val="clear" w:color="auto" w:fill="auto"/>
          </w:tcPr>
          <w:p w14:paraId="696628EA" w14:textId="77777777" w:rsidR="00D72DDB" w:rsidRPr="002D2F67" w:rsidRDefault="00D72DDB" w:rsidP="00D72DDB">
            <w:pPr>
              <w:widowControl w:val="0"/>
              <w:ind w:left="-61" w:right="-72"/>
              <w:jc w:val="right"/>
              <w:rPr>
                <w:rFonts w:ascii="Arial" w:hAnsi="Arial" w:cs="Arial"/>
                <w:b/>
                <w:bCs/>
                <w:sz w:val="16"/>
                <w:szCs w:val="16"/>
              </w:rPr>
            </w:pPr>
          </w:p>
        </w:tc>
        <w:tc>
          <w:tcPr>
            <w:tcW w:w="1584" w:type="dxa"/>
            <w:gridSpan w:val="2"/>
            <w:shd w:val="clear" w:color="auto" w:fill="auto"/>
          </w:tcPr>
          <w:p w14:paraId="0F3C7852" w14:textId="77777777" w:rsidR="00D72DDB" w:rsidRPr="002D2F67" w:rsidRDefault="00D72DDB" w:rsidP="00D72DDB">
            <w:pPr>
              <w:widowControl w:val="0"/>
              <w:ind w:left="-61" w:right="-72"/>
              <w:jc w:val="right"/>
              <w:rPr>
                <w:rFonts w:ascii="Arial" w:hAnsi="Arial" w:cs="Arial"/>
                <w:b/>
                <w:bCs/>
                <w:sz w:val="16"/>
                <w:szCs w:val="16"/>
              </w:rPr>
            </w:pPr>
          </w:p>
        </w:tc>
      </w:tr>
      <w:tr w:rsidR="00D72DDB" w:rsidRPr="002D2F67" w14:paraId="37ECB814" w14:textId="77777777" w:rsidTr="00782C44">
        <w:tc>
          <w:tcPr>
            <w:tcW w:w="3032" w:type="dxa"/>
            <w:shd w:val="clear" w:color="auto" w:fill="auto"/>
          </w:tcPr>
          <w:p w14:paraId="4C102045" w14:textId="77777777" w:rsidR="00D72DDB" w:rsidRPr="002D2F67" w:rsidRDefault="00D72DDB" w:rsidP="00D72DDB">
            <w:pPr>
              <w:ind w:left="72"/>
              <w:rPr>
                <w:rFonts w:ascii="Arial" w:hAnsi="Arial" w:cs="Arial"/>
                <w:sz w:val="16"/>
                <w:szCs w:val="16"/>
              </w:rPr>
            </w:pPr>
          </w:p>
        </w:tc>
        <w:tc>
          <w:tcPr>
            <w:tcW w:w="1584" w:type="dxa"/>
            <w:gridSpan w:val="2"/>
            <w:shd w:val="clear" w:color="auto" w:fill="auto"/>
          </w:tcPr>
          <w:p w14:paraId="21B2E0A4" w14:textId="58014923" w:rsidR="00D72DDB" w:rsidRPr="002D2F67" w:rsidRDefault="00D72DDB" w:rsidP="00D72DDB">
            <w:pPr>
              <w:widowControl w:val="0"/>
              <w:ind w:left="-61" w:right="-72"/>
              <w:jc w:val="right"/>
              <w:rPr>
                <w:rFonts w:ascii="Arial" w:hAnsi="Arial" w:cs="Arial"/>
                <w:b/>
                <w:bCs/>
                <w:sz w:val="16"/>
                <w:szCs w:val="16"/>
              </w:rPr>
            </w:pPr>
            <w:r w:rsidRPr="002D2F67">
              <w:rPr>
                <w:rFonts w:ascii="Arial" w:hAnsi="Arial" w:cs="Arial"/>
                <w:b/>
                <w:bCs/>
                <w:sz w:val="16"/>
                <w:szCs w:val="16"/>
              </w:rPr>
              <w:t xml:space="preserve">biodiesel </w:t>
            </w:r>
          </w:p>
        </w:tc>
        <w:tc>
          <w:tcPr>
            <w:tcW w:w="1584" w:type="dxa"/>
            <w:gridSpan w:val="2"/>
            <w:shd w:val="clear" w:color="auto" w:fill="auto"/>
          </w:tcPr>
          <w:p w14:paraId="6660CACB" w14:textId="77777777" w:rsidR="00D72DDB" w:rsidRPr="002D2F67" w:rsidRDefault="00D72DDB" w:rsidP="00D72DDB">
            <w:pPr>
              <w:widowControl w:val="0"/>
              <w:ind w:left="-61" w:right="-72"/>
              <w:jc w:val="right"/>
              <w:rPr>
                <w:rFonts w:ascii="Arial" w:hAnsi="Arial" w:cs="Arial"/>
                <w:b/>
                <w:bCs/>
                <w:sz w:val="16"/>
                <w:szCs w:val="16"/>
              </w:rPr>
            </w:pPr>
            <w:r w:rsidRPr="002D2F67">
              <w:rPr>
                <w:rFonts w:ascii="Arial" w:hAnsi="Arial" w:cs="Arial"/>
                <w:b/>
                <w:bCs/>
                <w:sz w:val="16"/>
                <w:szCs w:val="16"/>
              </w:rPr>
              <w:t xml:space="preserve">solar and </w:t>
            </w:r>
          </w:p>
        </w:tc>
        <w:tc>
          <w:tcPr>
            <w:tcW w:w="1584" w:type="dxa"/>
            <w:gridSpan w:val="2"/>
            <w:shd w:val="clear" w:color="auto" w:fill="auto"/>
          </w:tcPr>
          <w:p w14:paraId="2A50B812" w14:textId="77777777" w:rsidR="00D72DDB" w:rsidRPr="002D2F67" w:rsidRDefault="00D72DDB" w:rsidP="00D72DDB">
            <w:pPr>
              <w:widowControl w:val="0"/>
              <w:ind w:left="-61" w:right="-72"/>
              <w:jc w:val="right"/>
              <w:rPr>
                <w:rFonts w:ascii="Arial" w:hAnsi="Arial" w:cs="Arial"/>
                <w:b/>
                <w:bCs/>
                <w:sz w:val="16"/>
                <w:szCs w:val="16"/>
              </w:rPr>
            </w:pPr>
            <w:r w:rsidRPr="002D2F67">
              <w:rPr>
                <w:rFonts w:ascii="Arial" w:hAnsi="Arial" w:cs="Arial"/>
                <w:b/>
                <w:bCs/>
                <w:sz w:val="16"/>
                <w:szCs w:val="16"/>
              </w:rPr>
              <w:t xml:space="preserve">Manufacturing </w:t>
            </w:r>
          </w:p>
        </w:tc>
        <w:tc>
          <w:tcPr>
            <w:tcW w:w="1584" w:type="dxa"/>
            <w:gridSpan w:val="2"/>
            <w:shd w:val="clear" w:color="auto" w:fill="auto"/>
          </w:tcPr>
          <w:p w14:paraId="75B25AB6" w14:textId="77777777" w:rsidR="00D72DDB" w:rsidRPr="002D2F67" w:rsidRDefault="00D72DDB" w:rsidP="00D72DDB">
            <w:pPr>
              <w:widowControl w:val="0"/>
              <w:ind w:left="-61" w:right="-72"/>
              <w:jc w:val="right"/>
              <w:rPr>
                <w:rFonts w:ascii="Arial" w:hAnsi="Arial" w:cs="Arial"/>
                <w:b/>
                <w:bCs/>
                <w:sz w:val="16"/>
                <w:szCs w:val="16"/>
              </w:rPr>
            </w:pPr>
            <w:r w:rsidRPr="002D2F67">
              <w:rPr>
                <w:rFonts w:ascii="Arial" w:hAnsi="Arial" w:cs="Arial"/>
                <w:b/>
                <w:bCs/>
                <w:sz w:val="16"/>
                <w:szCs w:val="16"/>
              </w:rPr>
              <w:t xml:space="preserve">Manufacturing </w:t>
            </w:r>
          </w:p>
        </w:tc>
        <w:tc>
          <w:tcPr>
            <w:tcW w:w="1584" w:type="dxa"/>
            <w:gridSpan w:val="2"/>
            <w:shd w:val="clear" w:color="auto" w:fill="auto"/>
          </w:tcPr>
          <w:p w14:paraId="564EDF98" w14:textId="77777777" w:rsidR="00D72DDB" w:rsidRPr="002D2F67" w:rsidRDefault="00D72DDB" w:rsidP="00D72DDB">
            <w:pPr>
              <w:widowControl w:val="0"/>
              <w:ind w:left="-61" w:right="-72"/>
              <w:jc w:val="right"/>
              <w:rPr>
                <w:rFonts w:ascii="Arial" w:hAnsi="Arial" w:cs="Arial"/>
                <w:b/>
                <w:bCs/>
                <w:sz w:val="16"/>
                <w:szCs w:val="16"/>
              </w:rPr>
            </w:pPr>
          </w:p>
        </w:tc>
        <w:tc>
          <w:tcPr>
            <w:tcW w:w="1584" w:type="dxa"/>
            <w:gridSpan w:val="2"/>
            <w:shd w:val="clear" w:color="auto" w:fill="auto"/>
          </w:tcPr>
          <w:p w14:paraId="2AE49E37" w14:textId="77777777" w:rsidR="00D72DDB" w:rsidRPr="002D2F67" w:rsidRDefault="00D72DDB" w:rsidP="00D72DDB">
            <w:pPr>
              <w:widowControl w:val="0"/>
              <w:ind w:left="-61" w:right="-72"/>
              <w:jc w:val="right"/>
              <w:rPr>
                <w:rFonts w:ascii="Arial" w:hAnsi="Arial" w:cs="Arial"/>
                <w:b/>
                <w:bCs/>
                <w:sz w:val="16"/>
                <w:szCs w:val="16"/>
              </w:rPr>
            </w:pPr>
          </w:p>
        </w:tc>
        <w:tc>
          <w:tcPr>
            <w:tcW w:w="1584" w:type="dxa"/>
            <w:gridSpan w:val="2"/>
            <w:shd w:val="clear" w:color="auto" w:fill="auto"/>
          </w:tcPr>
          <w:p w14:paraId="1F966F36" w14:textId="77777777" w:rsidR="00D72DDB" w:rsidRPr="002D2F67" w:rsidRDefault="00D72DDB" w:rsidP="00D72DDB">
            <w:pPr>
              <w:widowControl w:val="0"/>
              <w:ind w:left="-61" w:right="-72"/>
              <w:jc w:val="right"/>
              <w:rPr>
                <w:rFonts w:ascii="Arial" w:hAnsi="Arial" w:cs="Arial"/>
                <w:b/>
                <w:bCs/>
                <w:sz w:val="16"/>
                <w:szCs w:val="16"/>
              </w:rPr>
            </w:pPr>
          </w:p>
        </w:tc>
        <w:tc>
          <w:tcPr>
            <w:tcW w:w="1584" w:type="dxa"/>
            <w:gridSpan w:val="2"/>
            <w:shd w:val="clear" w:color="auto" w:fill="auto"/>
          </w:tcPr>
          <w:p w14:paraId="69352C2D" w14:textId="77777777" w:rsidR="00D72DDB" w:rsidRPr="002D2F67" w:rsidRDefault="00D72DDB" w:rsidP="00D72DDB">
            <w:pPr>
              <w:widowControl w:val="0"/>
              <w:ind w:left="-61" w:right="-72"/>
              <w:jc w:val="right"/>
              <w:rPr>
                <w:rFonts w:ascii="Arial" w:hAnsi="Arial" w:cs="Arial"/>
                <w:b/>
                <w:bCs/>
                <w:sz w:val="16"/>
                <w:szCs w:val="16"/>
              </w:rPr>
            </w:pPr>
          </w:p>
        </w:tc>
      </w:tr>
      <w:tr w:rsidR="00D72DDB" w:rsidRPr="002D2F67" w14:paraId="098A03D7" w14:textId="77777777" w:rsidTr="00782C44">
        <w:tc>
          <w:tcPr>
            <w:tcW w:w="3032" w:type="dxa"/>
            <w:shd w:val="clear" w:color="auto" w:fill="auto"/>
          </w:tcPr>
          <w:p w14:paraId="0F5EA92A" w14:textId="77777777" w:rsidR="00D72DDB" w:rsidRPr="002D2F67" w:rsidRDefault="00D72DDB" w:rsidP="00D72DDB">
            <w:pPr>
              <w:ind w:left="72"/>
              <w:rPr>
                <w:rFonts w:ascii="Arial" w:hAnsi="Arial" w:cs="Arial"/>
                <w:sz w:val="16"/>
                <w:szCs w:val="16"/>
              </w:rPr>
            </w:pPr>
          </w:p>
        </w:tc>
        <w:tc>
          <w:tcPr>
            <w:tcW w:w="1584" w:type="dxa"/>
            <w:gridSpan w:val="2"/>
            <w:shd w:val="clear" w:color="auto" w:fill="auto"/>
          </w:tcPr>
          <w:p w14:paraId="3D8C7830" w14:textId="43C5AEBB" w:rsidR="00D72DDB" w:rsidRPr="002D2F67" w:rsidRDefault="00D72DDB" w:rsidP="00D72DDB">
            <w:pPr>
              <w:widowControl w:val="0"/>
              <w:ind w:left="-61" w:right="-72"/>
              <w:jc w:val="right"/>
              <w:rPr>
                <w:rFonts w:ascii="Arial" w:hAnsi="Arial" w:cs="Arial"/>
                <w:b/>
                <w:bCs/>
                <w:sz w:val="16"/>
                <w:szCs w:val="16"/>
              </w:rPr>
            </w:pPr>
            <w:r w:rsidRPr="002D2F67">
              <w:rPr>
                <w:rFonts w:ascii="Arial" w:hAnsi="Arial" w:cs="Arial"/>
                <w:b/>
                <w:bCs/>
                <w:sz w:val="16"/>
                <w:szCs w:val="16"/>
              </w:rPr>
              <w:t xml:space="preserve">and pure </w:t>
            </w:r>
            <w:r w:rsidR="002C5929" w:rsidRPr="002D2F67">
              <w:rPr>
                <w:rFonts w:ascii="Arial" w:hAnsi="Arial" w:cs="Arial"/>
                <w:b/>
                <w:bCs/>
                <w:sz w:val="16"/>
                <w:szCs w:val="16"/>
              </w:rPr>
              <w:t>glycerin</w:t>
            </w:r>
          </w:p>
        </w:tc>
        <w:tc>
          <w:tcPr>
            <w:tcW w:w="1584" w:type="dxa"/>
            <w:gridSpan w:val="2"/>
            <w:shd w:val="clear" w:color="auto" w:fill="auto"/>
          </w:tcPr>
          <w:p w14:paraId="50EBB1A9" w14:textId="77777777" w:rsidR="00D72DDB" w:rsidRPr="002D2F67" w:rsidRDefault="00D72DDB" w:rsidP="00D72DDB">
            <w:pPr>
              <w:widowControl w:val="0"/>
              <w:ind w:left="-61" w:right="-72"/>
              <w:jc w:val="right"/>
              <w:rPr>
                <w:rFonts w:ascii="Arial" w:hAnsi="Arial" w:cs="Arial"/>
                <w:b/>
                <w:bCs/>
                <w:sz w:val="16"/>
                <w:szCs w:val="16"/>
                <w:cs/>
              </w:rPr>
            </w:pPr>
            <w:r w:rsidRPr="002D2F67">
              <w:rPr>
                <w:rFonts w:ascii="Arial" w:hAnsi="Arial" w:cs="Arial"/>
                <w:b/>
                <w:bCs/>
                <w:sz w:val="16"/>
                <w:szCs w:val="16"/>
              </w:rPr>
              <w:t>wind power</w:t>
            </w:r>
          </w:p>
        </w:tc>
        <w:tc>
          <w:tcPr>
            <w:tcW w:w="1584" w:type="dxa"/>
            <w:gridSpan w:val="2"/>
            <w:shd w:val="clear" w:color="auto" w:fill="auto"/>
          </w:tcPr>
          <w:p w14:paraId="7D0B93A1" w14:textId="77777777" w:rsidR="00D72DDB" w:rsidRPr="002D2F67" w:rsidRDefault="00D72DDB" w:rsidP="00D72DDB">
            <w:pPr>
              <w:widowControl w:val="0"/>
              <w:ind w:left="-61" w:right="-72"/>
              <w:jc w:val="right"/>
              <w:rPr>
                <w:rFonts w:ascii="Arial" w:hAnsi="Arial" w:cs="Arial"/>
                <w:b/>
                <w:bCs/>
                <w:sz w:val="16"/>
                <w:szCs w:val="16"/>
                <w:cs/>
              </w:rPr>
            </w:pPr>
            <w:r w:rsidRPr="002D2F67">
              <w:rPr>
                <w:rFonts w:ascii="Arial" w:hAnsi="Arial" w:cs="Arial"/>
                <w:b/>
                <w:bCs/>
                <w:sz w:val="16"/>
                <w:szCs w:val="16"/>
              </w:rPr>
              <w:t>and distributing</w:t>
            </w:r>
          </w:p>
        </w:tc>
        <w:tc>
          <w:tcPr>
            <w:tcW w:w="1584" w:type="dxa"/>
            <w:gridSpan w:val="2"/>
            <w:shd w:val="clear" w:color="auto" w:fill="auto"/>
          </w:tcPr>
          <w:p w14:paraId="402B95A1" w14:textId="77777777" w:rsidR="00D72DDB" w:rsidRPr="002D2F67" w:rsidRDefault="00D72DDB" w:rsidP="00D72DDB">
            <w:pPr>
              <w:widowControl w:val="0"/>
              <w:ind w:left="-61" w:right="-72"/>
              <w:jc w:val="right"/>
              <w:rPr>
                <w:rFonts w:ascii="Arial" w:hAnsi="Arial" w:cs="Arial"/>
                <w:b/>
                <w:bCs/>
                <w:sz w:val="16"/>
                <w:szCs w:val="16"/>
                <w:cs/>
              </w:rPr>
            </w:pPr>
            <w:r w:rsidRPr="002D2F67">
              <w:rPr>
                <w:rFonts w:ascii="Arial" w:hAnsi="Arial" w:cs="Arial"/>
                <w:b/>
                <w:bCs/>
                <w:sz w:val="16"/>
                <w:szCs w:val="16"/>
              </w:rPr>
              <w:t>and distributing</w:t>
            </w:r>
          </w:p>
        </w:tc>
        <w:tc>
          <w:tcPr>
            <w:tcW w:w="1584" w:type="dxa"/>
            <w:gridSpan w:val="2"/>
            <w:shd w:val="clear" w:color="auto" w:fill="auto"/>
          </w:tcPr>
          <w:p w14:paraId="63180AFE" w14:textId="77777777" w:rsidR="00D72DDB" w:rsidRPr="002D2F67" w:rsidRDefault="00D72DDB" w:rsidP="00D72DDB">
            <w:pPr>
              <w:widowControl w:val="0"/>
              <w:ind w:left="-61" w:right="-72"/>
              <w:jc w:val="right"/>
              <w:rPr>
                <w:rFonts w:ascii="Arial" w:hAnsi="Arial" w:cs="Arial"/>
                <w:b/>
                <w:bCs/>
                <w:sz w:val="16"/>
                <w:szCs w:val="16"/>
              </w:rPr>
            </w:pPr>
          </w:p>
        </w:tc>
        <w:tc>
          <w:tcPr>
            <w:tcW w:w="1584" w:type="dxa"/>
            <w:gridSpan w:val="2"/>
            <w:shd w:val="clear" w:color="auto" w:fill="auto"/>
          </w:tcPr>
          <w:p w14:paraId="2C6A9362" w14:textId="77777777" w:rsidR="00D72DDB" w:rsidRPr="002D2F67" w:rsidRDefault="00D72DDB" w:rsidP="00D72DDB">
            <w:pPr>
              <w:widowControl w:val="0"/>
              <w:ind w:left="-61" w:right="-72"/>
              <w:jc w:val="right"/>
              <w:rPr>
                <w:rFonts w:ascii="Arial" w:hAnsi="Arial" w:cs="Arial"/>
                <w:b/>
                <w:bCs/>
                <w:sz w:val="16"/>
                <w:szCs w:val="16"/>
                <w:cs/>
              </w:rPr>
            </w:pPr>
          </w:p>
        </w:tc>
        <w:tc>
          <w:tcPr>
            <w:tcW w:w="1584" w:type="dxa"/>
            <w:gridSpan w:val="2"/>
            <w:shd w:val="clear" w:color="auto" w:fill="auto"/>
          </w:tcPr>
          <w:p w14:paraId="0FA4D9AA" w14:textId="77777777" w:rsidR="00D72DDB" w:rsidRPr="002D2F67" w:rsidRDefault="00D72DDB" w:rsidP="00D72DDB">
            <w:pPr>
              <w:widowControl w:val="0"/>
              <w:ind w:left="-61" w:right="-72"/>
              <w:jc w:val="right"/>
              <w:rPr>
                <w:rFonts w:ascii="Arial" w:hAnsi="Arial" w:cs="Arial"/>
                <w:b/>
                <w:bCs/>
                <w:sz w:val="16"/>
                <w:szCs w:val="16"/>
              </w:rPr>
            </w:pPr>
            <w:r w:rsidRPr="002D2F67">
              <w:rPr>
                <w:rFonts w:ascii="Arial" w:hAnsi="Arial" w:cs="Arial"/>
                <w:b/>
                <w:bCs/>
                <w:sz w:val="16"/>
                <w:szCs w:val="16"/>
              </w:rPr>
              <w:t>Intercompany</w:t>
            </w:r>
          </w:p>
        </w:tc>
        <w:tc>
          <w:tcPr>
            <w:tcW w:w="1584" w:type="dxa"/>
            <w:gridSpan w:val="2"/>
            <w:shd w:val="clear" w:color="auto" w:fill="auto"/>
          </w:tcPr>
          <w:p w14:paraId="423F180A" w14:textId="77777777" w:rsidR="00D72DDB" w:rsidRPr="002D2F67" w:rsidRDefault="00D72DDB" w:rsidP="00D72DDB">
            <w:pPr>
              <w:widowControl w:val="0"/>
              <w:ind w:left="-61" w:right="-72"/>
              <w:jc w:val="right"/>
              <w:rPr>
                <w:rFonts w:ascii="Arial" w:hAnsi="Arial" w:cs="Arial"/>
                <w:b/>
                <w:bCs/>
                <w:sz w:val="16"/>
                <w:szCs w:val="16"/>
                <w:cs/>
              </w:rPr>
            </w:pPr>
          </w:p>
        </w:tc>
      </w:tr>
      <w:tr w:rsidR="00D72DDB" w:rsidRPr="002D2F67" w14:paraId="5533E938" w14:textId="77777777" w:rsidTr="00782C44">
        <w:tc>
          <w:tcPr>
            <w:tcW w:w="3032" w:type="dxa"/>
            <w:shd w:val="clear" w:color="auto" w:fill="auto"/>
          </w:tcPr>
          <w:p w14:paraId="0EC1F82B" w14:textId="77777777" w:rsidR="00D72DDB" w:rsidRPr="002D2F67" w:rsidRDefault="00D72DDB" w:rsidP="00D72DDB">
            <w:pPr>
              <w:ind w:left="72"/>
              <w:rPr>
                <w:rFonts w:ascii="Arial" w:hAnsi="Arial" w:cs="Arial"/>
                <w:sz w:val="16"/>
                <w:szCs w:val="16"/>
              </w:rPr>
            </w:pPr>
          </w:p>
        </w:tc>
        <w:tc>
          <w:tcPr>
            <w:tcW w:w="1584" w:type="dxa"/>
            <w:gridSpan w:val="2"/>
            <w:tcBorders>
              <w:bottom w:val="single" w:sz="4" w:space="0" w:color="auto"/>
            </w:tcBorders>
            <w:shd w:val="clear" w:color="auto" w:fill="auto"/>
          </w:tcPr>
          <w:p w14:paraId="425A51C7" w14:textId="77777777" w:rsidR="00D72DDB" w:rsidRPr="002D2F67" w:rsidRDefault="00D72DDB" w:rsidP="00D72DDB">
            <w:pPr>
              <w:widowControl w:val="0"/>
              <w:ind w:left="-61" w:right="-72"/>
              <w:jc w:val="right"/>
              <w:rPr>
                <w:rFonts w:ascii="Arial" w:hAnsi="Arial" w:cs="Arial"/>
                <w:b/>
                <w:bCs/>
                <w:sz w:val="16"/>
                <w:szCs w:val="16"/>
              </w:rPr>
            </w:pPr>
            <w:r w:rsidRPr="002D2F67">
              <w:rPr>
                <w:rFonts w:ascii="Arial" w:hAnsi="Arial" w:cs="Arial"/>
                <w:b/>
                <w:bCs/>
                <w:sz w:val="16"/>
                <w:szCs w:val="16"/>
              </w:rPr>
              <w:t>products</w:t>
            </w:r>
          </w:p>
        </w:tc>
        <w:tc>
          <w:tcPr>
            <w:tcW w:w="1584" w:type="dxa"/>
            <w:gridSpan w:val="2"/>
            <w:tcBorders>
              <w:bottom w:val="single" w:sz="4" w:space="0" w:color="auto"/>
            </w:tcBorders>
            <w:shd w:val="clear" w:color="auto" w:fill="auto"/>
          </w:tcPr>
          <w:p w14:paraId="1E001610" w14:textId="77777777" w:rsidR="00D72DDB" w:rsidRPr="002D2F67" w:rsidRDefault="00D72DDB" w:rsidP="00D72DDB">
            <w:pPr>
              <w:widowControl w:val="0"/>
              <w:ind w:left="-61" w:right="-72"/>
              <w:jc w:val="right"/>
              <w:rPr>
                <w:rFonts w:ascii="Arial" w:hAnsi="Arial" w:cs="Arial"/>
                <w:b/>
                <w:bCs/>
                <w:sz w:val="16"/>
                <w:szCs w:val="16"/>
              </w:rPr>
            </w:pPr>
            <w:r w:rsidRPr="002D2F67">
              <w:rPr>
                <w:rFonts w:ascii="Arial" w:hAnsi="Arial" w:cs="Arial"/>
                <w:b/>
                <w:bCs/>
                <w:sz w:val="16"/>
                <w:szCs w:val="16"/>
              </w:rPr>
              <w:t xml:space="preserve">and biomass </w:t>
            </w:r>
          </w:p>
        </w:tc>
        <w:tc>
          <w:tcPr>
            <w:tcW w:w="1584" w:type="dxa"/>
            <w:gridSpan w:val="2"/>
            <w:tcBorders>
              <w:bottom w:val="single" w:sz="4" w:space="0" w:color="auto"/>
            </w:tcBorders>
            <w:shd w:val="clear" w:color="auto" w:fill="auto"/>
          </w:tcPr>
          <w:p w14:paraId="045B2454" w14:textId="77777777" w:rsidR="00D72DDB" w:rsidRPr="002D2F67" w:rsidRDefault="00D72DDB" w:rsidP="00D72DDB">
            <w:pPr>
              <w:widowControl w:val="0"/>
              <w:ind w:left="-61" w:right="-72"/>
              <w:jc w:val="right"/>
              <w:rPr>
                <w:rFonts w:ascii="Arial" w:hAnsi="Arial" w:cs="Arial"/>
                <w:b/>
                <w:bCs/>
                <w:sz w:val="16"/>
                <w:szCs w:val="16"/>
              </w:rPr>
            </w:pPr>
            <w:r w:rsidRPr="002D2F67">
              <w:rPr>
                <w:rFonts w:ascii="Arial" w:hAnsi="Arial" w:cs="Arial"/>
                <w:b/>
                <w:bCs/>
                <w:sz w:val="16"/>
                <w:szCs w:val="16"/>
              </w:rPr>
              <w:t>electric vehicles</w:t>
            </w:r>
          </w:p>
        </w:tc>
        <w:tc>
          <w:tcPr>
            <w:tcW w:w="1584" w:type="dxa"/>
            <w:gridSpan w:val="2"/>
            <w:tcBorders>
              <w:bottom w:val="single" w:sz="4" w:space="0" w:color="auto"/>
            </w:tcBorders>
            <w:shd w:val="clear" w:color="auto" w:fill="auto"/>
          </w:tcPr>
          <w:p w14:paraId="378D6D0E" w14:textId="77777777" w:rsidR="00D72DDB" w:rsidRPr="002D2F67" w:rsidRDefault="00D72DDB" w:rsidP="00D72DDB">
            <w:pPr>
              <w:widowControl w:val="0"/>
              <w:ind w:left="-61" w:right="-72"/>
              <w:jc w:val="right"/>
              <w:rPr>
                <w:rFonts w:ascii="Arial" w:hAnsi="Arial" w:cs="Arial"/>
                <w:b/>
                <w:bCs/>
                <w:sz w:val="16"/>
                <w:szCs w:val="16"/>
              </w:rPr>
            </w:pPr>
            <w:r w:rsidRPr="002D2F67">
              <w:rPr>
                <w:rFonts w:ascii="Arial" w:hAnsi="Arial" w:cs="Arial"/>
                <w:b/>
                <w:bCs/>
                <w:sz w:val="16"/>
                <w:szCs w:val="16"/>
              </w:rPr>
              <w:t>battery</w:t>
            </w:r>
          </w:p>
        </w:tc>
        <w:tc>
          <w:tcPr>
            <w:tcW w:w="1584" w:type="dxa"/>
            <w:gridSpan w:val="2"/>
            <w:tcBorders>
              <w:bottom w:val="single" w:sz="4" w:space="0" w:color="auto"/>
            </w:tcBorders>
            <w:shd w:val="clear" w:color="auto" w:fill="auto"/>
          </w:tcPr>
          <w:p w14:paraId="479D70F3" w14:textId="77777777" w:rsidR="00D72DDB" w:rsidRPr="002D2F67" w:rsidRDefault="00D72DDB" w:rsidP="00D72DDB">
            <w:pPr>
              <w:widowControl w:val="0"/>
              <w:ind w:left="-61" w:right="-72"/>
              <w:jc w:val="right"/>
              <w:rPr>
                <w:rFonts w:ascii="Arial" w:hAnsi="Arial" w:cs="Arial"/>
                <w:b/>
                <w:bCs/>
                <w:sz w:val="16"/>
                <w:szCs w:val="16"/>
              </w:rPr>
            </w:pPr>
            <w:r w:rsidRPr="002D2F67">
              <w:rPr>
                <w:rFonts w:ascii="Arial" w:hAnsi="Arial" w:cs="Arial"/>
                <w:b/>
                <w:bCs/>
                <w:sz w:val="16"/>
                <w:szCs w:val="16"/>
              </w:rPr>
              <w:t>Others</w:t>
            </w:r>
          </w:p>
        </w:tc>
        <w:tc>
          <w:tcPr>
            <w:tcW w:w="1584" w:type="dxa"/>
            <w:gridSpan w:val="2"/>
            <w:tcBorders>
              <w:bottom w:val="single" w:sz="4" w:space="0" w:color="auto"/>
            </w:tcBorders>
            <w:shd w:val="clear" w:color="auto" w:fill="auto"/>
          </w:tcPr>
          <w:p w14:paraId="7E030353" w14:textId="77777777" w:rsidR="00D72DDB" w:rsidRPr="002D2F67" w:rsidRDefault="00D72DDB" w:rsidP="00D72DDB">
            <w:pPr>
              <w:widowControl w:val="0"/>
              <w:ind w:right="-72"/>
              <w:jc w:val="right"/>
              <w:rPr>
                <w:rFonts w:ascii="Arial" w:hAnsi="Arial" w:cs="Arial"/>
                <w:b/>
                <w:bCs/>
                <w:sz w:val="16"/>
                <w:szCs w:val="16"/>
              </w:rPr>
            </w:pPr>
            <w:r w:rsidRPr="002D2F67">
              <w:rPr>
                <w:rFonts w:ascii="Arial" w:hAnsi="Arial" w:cs="Arial"/>
                <w:b/>
                <w:bCs/>
                <w:sz w:val="16"/>
                <w:szCs w:val="16"/>
              </w:rPr>
              <w:t>Head office</w:t>
            </w:r>
          </w:p>
        </w:tc>
        <w:tc>
          <w:tcPr>
            <w:tcW w:w="1584" w:type="dxa"/>
            <w:gridSpan w:val="2"/>
            <w:tcBorders>
              <w:bottom w:val="single" w:sz="4" w:space="0" w:color="auto"/>
            </w:tcBorders>
            <w:shd w:val="clear" w:color="auto" w:fill="auto"/>
          </w:tcPr>
          <w:p w14:paraId="54A37A51" w14:textId="77777777" w:rsidR="00D72DDB" w:rsidRPr="002D2F67" w:rsidRDefault="00D72DDB" w:rsidP="00D72DDB">
            <w:pPr>
              <w:widowControl w:val="0"/>
              <w:ind w:left="-61" w:right="-72"/>
              <w:jc w:val="right"/>
              <w:rPr>
                <w:rFonts w:ascii="Arial" w:hAnsi="Arial" w:cs="Arial"/>
                <w:b/>
                <w:bCs/>
                <w:sz w:val="16"/>
                <w:szCs w:val="16"/>
              </w:rPr>
            </w:pPr>
            <w:r w:rsidRPr="002D2F67">
              <w:rPr>
                <w:rFonts w:ascii="Arial" w:hAnsi="Arial" w:cs="Arial"/>
                <w:b/>
                <w:bCs/>
                <w:sz w:val="16"/>
                <w:szCs w:val="16"/>
              </w:rPr>
              <w:t>elimination</w:t>
            </w:r>
          </w:p>
        </w:tc>
        <w:tc>
          <w:tcPr>
            <w:tcW w:w="1584" w:type="dxa"/>
            <w:gridSpan w:val="2"/>
            <w:tcBorders>
              <w:bottom w:val="single" w:sz="4" w:space="0" w:color="auto"/>
            </w:tcBorders>
            <w:shd w:val="clear" w:color="auto" w:fill="auto"/>
          </w:tcPr>
          <w:p w14:paraId="1E98564F" w14:textId="77777777" w:rsidR="00D72DDB" w:rsidRPr="002D2F67" w:rsidRDefault="00D72DDB" w:rsidP="00D72DDB">
            <w:pPr>
              <w:widowControl w:val="0"/>
              <w:ind w:left="-61" w:right="-72"/>
              <w:jc w:val="right"/>
              <w:rPr>
                <w:rFonts w:ascii="Arial" w:hAnsi="Arial" w:cs="Arial"/>
                <w:b/>
                <w:bCs/>
                <w:sz w:val="16"/>
                <w:szCs w:val="16"/>
              </w:rPr>
            </w:pPr>
            <w:r w:rsidRPr="002D2F67">
              <w:rPr>
                <w:rFonts w:ascii="Arial" w:hAnsi="Arial" w:cs="Arial"/>
                <w:b/>
                <w:bCs/>
                <w:sz w:val="16"/>
                <w:szCs w:val="16"/>
              </w:rPr>
              <w:t>Total</w:t>
            </w:r>
          </w:p>
        </w:tc>
      </w:tr>
      <w:tr w:rsidR="00D72DDB" w:rsidRPr="002D2F67" w14:paraId="7D3D4938" w14:textId="77777777" w:rsidTr="00782C44">
        <w:tc>
          <w:tcPr>
            <w:tcW w:w="3032" w:type="dxa"/>
            <w:shd w:val="clear" w:color="auto" w:fill="auto"/>
          </w:tcPr>
          <w:p w14:paraId="011D069B" w14:textId="77777777" w:rsidR="00D72DDB" w:rsidRPr="002D2F67" w:rsidRDefault="00D72DDB" w:rsidP="00D72DDB">
            <w:pPr>
              <w:ind w:left="72"/>
              <w:rPr>
                <w:rFonts w:ascii="Arial" w:hAnsi="Arial" w:cs="Arial"/>
                <w:sz w:val="16"/>
                <w:szCs w:val="16"/>
              </w:rPr>
            </w:pPr>
          </w:p>
        </w:tc>
        <w:tc>
          <w:tcPr>
            <w:tcW w:w="792" w:type="dxa"/>
            <w:tcBorders>
              <w:top w:val="single" w:sz="4" w:space="0" w:color="auto"/>
              <w:bottom w:val="single" w:sz="4" w:space="0" w:color="auto"/>
            </w:tcBorders>
            <w:shd w:val="clear" w:color="auto" w:fill="auto"/>
          </w:tcPr>
          <w:p w14:paraId="519319D6" w14:textId="34F48C93" w:rsidR="00D72DDB" w:rsidRPr="002D2F67" w:rsidRDefault="00CD5714" w:rsidP="00D72DDB">
            <w:pPr>
              <w:widowControl w:val="0"/>
              <w:ind w:right="-72"/>
              <w:jc w:val="right"/>
              <w:rPr>
                <w:rFonts w:ascii="Arial" w:hAnsi="Arial" w:cs="Arial"/>
                <w:b/>
                <w:bCs/>
                <w:sz w:val="16"/>
                <w:szCs w:val="16"/>
              </w:rPr>
            </w:pPr>
            <w:r w:rsidRPr="00CD5714">
              <w:rPr>
                <w:rFonts w:ascii="Arial" w:hAnsi="Arial" w:cs="Arial"/>
                <w:b/>
                <w:bCs/>
                <w:sz w:val="16"/>
                <w:szCs w:val="16"/>
                <w:lang w:val="en-GB"/>
              </w:rPr>
              <w:t>2024</w:t>
            </w:r>
          </w:p>
        </w:tc>
        <w:tc>
          <w:tcPr>
            <w:tcW w:w="792" w:type="dxa"/>
            <w:tcBorders>
              <w:top w:val="single" w:sz="4" w:space="0" w:color="auto"/>
              <w:bottom w:val="single" w:sz="4" w:space="0" w:color="auto"/>
            </w:tcBorders>
            <w:shd w:val="clear" w:color="auto" w:fill="auto"/>
          </w:tcPr>
          <w:p w14:paraId="1353030F" w14:textId="23137B3D" w:rsidR="00D72DDB" w:rsidRPr="002D2F67" w:rsidRDefault="00CD5714" w:rsidP="00D72DDB">
            <w:pPr>
              <w:widowControl w:val="0"/>
              <w:ind w:right="-72"/>
              <w:jc w:val="right"/>
              <w:rPr>
                <w:rFonts w:ascii="Arial" w:hAnsi="Arial" w:cs="Arial"/>
                <w:b/>
                <w:bCs/>
                <w:sz w:val="16"/>
                <w:szCs w:val="16"/>
              </w:rPr>
            </w:pPr>
            <w:r w:rsidRPr="00CD5714">
              <w:rPr>
                <w:rFonts w:ascii="Arial" w:hAnsi="Arial" w:cs="Arial"/>
                <w:b/>
                <w:bCs/>
                <w:sz w:val="16"/>
                <w:szCs w:val="16"/>
                <w:lang w:val="en-GB"/>
              </w:rPr>
              <w:t>2023</w:t>
            </w:r>
          </w:p>
        </w:tc>
        <w:tc>
          <w:tcPr>
            <w:tcW w:w="792" w:type="dxa"/>
            <w:tcBorders>
              <w:top w:val="single" w:sz="4" w:space="0" w:color="auto"/>
              <w:bottom w:val="single" w:sz="4" w:space="0" w:color="auto"/>
            </w:tcBorders>
            <w:shd w:val="clear" w:color="auto" w:fill="auto"/>
          </w:tcPr>
          <w:p w14:paraId="72A90CFF" w14:textId="37F02069" w:rsidR="00D72DDB" w:rsidRPr="002D2F67" w:rsidRDefault="00CD5714" w:rsidP="00D72DDB">
            <w:pPr>
              <w:widowControl w:val="0"/>
              <w:ind w:right="-72"/>
              <w:jc w:val="right"/>
              <w:rPr>
                <w:rFonts w:ascii="Arial" w:hAnsi="Arial" w:cs="Arial"/>
                <w:b/>
                <w:bCs/>
                <w:sz w:val="16"/>
                <w:szCs w:val="16"/>
              </w:rPr>
            </w:pPr>
            <w:r w:rsidRPr="00CD5714">
              <w:rPr>
                <w:rFonts w:ascii="Arial" w:hAnsi="Arial" w:cs="Arial"/>
                <w:b/>
                <w:bCs/>
                <w:sz w:val="16"/>
                <w:szCs w:val="16"/>
                <w:lang w:val="en-GB"/>
              </w:rPr>
              <w:t>2024</w:t>
            </w:r>
          </w:p>
        </w:tc>
        <w:tc>
          <w:tcPr>
            <w:tcW w:w="792" w:type="dxa"/>
            <w:tcBorders>
              <w:top w:val="single" w:sz="4" w:space="0" w:color="auto"/>
              <w:bottom w:val="single" w:sz="4" w:space="0" w:color="auto"/>
            </w:tcBorders>
            <w:shd w:val="clear" w:color="auto" w:fill="auto"/>
          </w:tcPr>
          <w:p w14:paraId="5A647577" w14:textId="65C4B716" w:rsidR="00D72DDB" w:rsidRPr="002D2F67" w:rsidRDefault="00CD5714" w:rsidP="00D72DDB">
            <w:pPr>
              <w:widowControl w:val="0"/>
              <w:ind w:right="-72"/>
              <w:jc w:val="right"/>
              <w:rPr>
                <w:rFonts w:ascii="Arial" w:hAnsi="Arial" w:cs="Arial"/>
                <w:b/>
                <w:bCs/>
                <w:sz w:val="16"/>
                <w:szCs w:val="16"/>
              </w:rPr>
            </w:pPr>
            <w:r w:rsidRPr="00CD5714">
              <w:rPr>
                <w:rFonts w:ascii="Arial" w:hAnsi="Arial" w:cs="Arial"/>
                <w:b/>
                <w:bCs/>
                <w:sz w:val="16"/>
                <w:szCs w:val="16"/>
                <w:lang w:val="en-GB"/>
              </w:rPr>
              <w:t>2023</w:t>
            </w:r>
          </w:p>
        </w:tc>
        <w:tc>
          <w:tcPr>
            <w:tcW w:w="792" w:type="dxa"/>
            <w:tcBorders>
              <w:top w:val="single" w:sz="4" w:space="0" w:color="auto"/>
              <w:bottom w:val="single" w:sz="4" w:space="0" w:color="auto"/>
            </w:tcBorders>
            <w:shd w:val="clear" w:color="auto" w:fill="auto"/>
          </w:tcPr>
          <w:p w14:paraId="5AFB468C" w14:textId="45EFF550" w:rsidR="00D72DDB" w:rsidRPr="002D2F67" w:rsidRDefault="00CD5714" w:rsidP="00D72DDB">
            <w:pPr>
              <w:widowControl w:val="0"/>
              <w:ind w:right="-72"/>
              <w:jc w:val="right"/>
              <w:rPr>
                <w:rFonts w:ascii="Arial" w:hAnsi="Arial" w:cs="Arial"/>
                <w:b/>
                <w:bCs/>
                <w:sz w:val="16"/>
                <w:szCs w:val="16"/>
              </w:rPr>
            </w:pPr>
            <w:r w:rsidRPr="00CD5714">
              <w:rPr>
                <w:rFonts w:ascii="Arial" w:hAnsi="Arial" w:cs="Arial"/>
                <w:b/>
                <w:bCs/>
                <w:sz w:val="16"/>
                <w:szCs w:val="16"/>
                <w:lang w:val="en-GB"/>
              </w:rPr>
              <w:t>2024</w:t>
            </w:r>
          </w:p>
        </w:tc>
        <w:tc>
          <w:tcPr>
            <w:tcW w:w="792" w:type="dxa"/>
            <w:tcBorders>
              <w:top w:val="single" w:sz="4" w:space="0" w:color="auto"/>
              <w:bottom w:val="single" w:sz="4" w:space="0" w:color="auto"/>
            </w:tcBorders>
            <w:shd w:val="clear" w:color="auto" w:fill="auto"/>
          </w:tcPr>
          <w:p w14:paraId="74CE4D69" w14:textId="02D18923" w:rsidR="00D72DDB" w:rsidRPr="002D2F67" w:rsidRDefault="00CD5714" w:rsidP="00D72DDB">
            <w:pPr>
              <w:widowControl w:val="0"/>
              <w:ind w:right="-72"/>
              <w:jc w:val="right"/>
              <w:rPr>
                <w:rFonts w:ascii="Arial" w:hAnsi="Arial" w:cs="Arial"/>
                <w:b/>
                <w:bCs/>
                <w:sz w:val="16"/>
                <w:szCs w:val="16"/>
              </w:rPr>
            </w:pPr>
            <w:r w:rsidRPr="00CD5714">
              <w:rPr>
                <w:rFonts w:ascii="Arial" w:hAnsi="Arial" w:cs="Arial"/>
                <w:b/>
                <w:bCs/>
                <w:sz w:val="16"/>
                <w:szCs w:val="16"/>
                <w:lang w:val="en-GB"/>
              </w:rPr>
              <w:t>2023</w:t>
            </w:r>
          </w:p>
        </w:tc>
        <w:tc>
          <w:tcPr>
            <w:tcW w:w="792" w:type="dxa"/>
            <w:tcBorders>
              <w:top w:val="single" w:sz="4" w:space="0" w:color="auto"/>
              <w:bottom w:val="single" w:sz="4" w:space="0" w:color="auto"/>
            </w:tcBorders>
            <w:shd w:val="clear" w:color="auto" w:fill="auto"/>
          </w:tcPr>
          <w:p w14:paraId="297CAC35" w14:textId="009D5AF2" w:rsidR="00D72DDB" w:rsidRPr="002D2F67" w:rsidRDefault="00CD5714" w:rsidP="00D72DDB">
            <w:pPr>
              <w:widowControl w:val="0"/>
              <w:ind w:right="-72"/>
              <w:jc w:val="right"/>
              <w:rPr>
                <w:rFonts w:ascii="Arial" w:hAnsi="Arial" w:cs="Arial"/>
                <w:b/>
                <w:bCs/>
                <w:sz w:val="16"/>
                <w:szCs w:val="16"/>
              </w:rPr>
            </w:pPr>
            <w:r w:rsidRPr="00CD5714">
              <w:rPr>
                <w:rFonts w:ascii="Arial" w:hAnsi="Arial" w:cs="Arial"/>
                <w:b/>
                <w:bCs/>
                <w:sz w:val="16"/>
                <w:szCs w:val="16"/>
                <w:lang w:val="en-GB"/>
              </w:rPr>
              <w:t>2024</w:t>
            </w:r>
          </w:p>
        </w:tc>
        <w:tc>
          <w:tcPr>
            <w:tcW w:w="792" w:type="dxa"/>
            <w:tcBorders>
              <w:top w:val="single" w:sz="4" w:space="0" w:color="auto"/>
              <w:bottom w:val="single" w:sz="4" w:space="0" w:color="auto"/>
            </w:tcBorders>
            <w:shd w:val="clear" w:color="auto" w:fill="auto"/>
          </w:tcPr>
          <w:p w14:paraId="2EE738DC" w14:textId="3CBE06FD" w:rsidR="00D72DDB" w:rsidRPr="002D2F67" w:rsidRDefault="00CD5714" w:rsidP="00D72DDB">
            <w:pPr>
              <w:widowControl w:val="0"/>
              <w:ind w:right="-72"/>
              <w:jc w:val="right"/>
              <w:rPr>
                <w:rFonts w:ascii="Arial" w:hAnsi="Arial" w:cs="Arial"/>
                <w:b/>
                <w:bCs/>
                <w:sz w:val="16"/>
                <w:szCs w:val="16"/>
              </w:rPr>
            </w:pPr>
            <w:r w:rsidRPr="00CD5714">
              <w:rPr>
                <w:rFonts w:ascii="Arial" w:hAnsi="Arial" w:cs="Arial"/>
                <w:b/>
                <w:bCs/>
                <w:sz w:val="16"/>
                <w:szCs w:val="16"/>
                <w:lang w:val="en-GB"/>
              </w:rPr>
              <w:t>2023</w:t>
            </w:r>
          </w:p>
        </w:tc>
        <w:tc>
          <w:tcPr>
            <w:tcW w:w="792" w:type="dxa"/>
            <w:tcBorders>
              <w:top w:val="single" w:sz="4" w:space="0" w:color="auto"/>
              <w:bottom w:val="single" w:sz="4" w:space="0" w:color="auto"/>
            </w:tcBorders>
            <w:shd w:val="clear" w:color="auto" w:fill="auto"/>
          </w:tcPr>
          <w:p w14:paraId="777D0DF6" w14:textId="0D7ED3A7" w:rsidR="00D72DDB" w:rsidRPr="002D2F67" w:rsidRDefault="00CD5714" w:rsidP="00D72DDB">
            <w:pPr>
              <w:widowControl w:val="0"/>
              <w:ind w:right="-72"/>
              <w:jc w:val="right"/>
              <w:rPr>
                <w:rFonts w:ascii="Arial" w:hAnsi="Arial" w:cs="Arial"/>
                <w:b/>
                <w:bCs/>
                <w:sz w:val="16"/>
                <w:szCs w:val="16"/>
              </w:rPr>
            </w:pPr>
            <w:r w:rsidRPr="00CD5714">
              <w:rPr>
                <w:rFonts w:ascii="Arial" w:hAnsi="Arial" w:cs="Arial"/>
                <w:b/>
                <w:bCs/>
                <w:sz w:val="16"/>
                <w:szCs w:val="16"/>
                <w:lang w:val="en-GB"/>
              </w:rPr>
              <w:t>2024</w:t>
            </w:r>
          </w:p>
        </w:tc>
        <w:tc>
          <w:tcPr>
            <w:tcW w:w="792" w:type="dxa"/>
            <w:tcBorders>
              <w:top w:val="single" w:sz="4" w:space="0" w:color="auto"/>
              <w:bottom w:val="single" w:sz="4" w:space="0" w:color="auto"/>
            </w:tcBorders>
            <w:shd w:val="clear" w:color="auto" w:fill="auto"/>
          </w:tcPr>
          <w:p w14:paraId="138D7F7F" w14:textId="7BB9FE15" w:rsidR="00D72DDB" w:rsidRPr="002D2F67" w:rsidRDefault="00CD5714" w:rsidP="00D72DDB">
            <w:pPr>
              <w:widowControl w:val="0"/>
              <w:ind w:right="-72"/>
              <w:jc w:val="right"/>
              <w:rPr>
                <w:rFonts w:ascii="Arial" w:hAnsi="Arial" w:cs="Arial"/>
                <w:b/>
                <w:bCs/>
                <w:sz w:val="16"/>
                <w:szCs w:val="16"/>
              </w:rPr>
            </w:pPr>
            <w:r w:rsidRPr="00CD5714">
              <w:rPr>
                <w:rFonts w:ascii="Arial" w:hAnsi="Arial" w:cs="Arial"/>
                <w:b/>
                <w:bCs/>
                <w:sz w:val="16"/>
                <w:szCs w:val="16"/>
                <w:lang w:val="en-GB"/>
              </w:rPr>
              <w:t>2023</w:t>
            </w:r>
          </w:p>
        </w:tc>
        <w:tc>
          <w:tcPr>
            <w:tcW w:w="792" w:type="dxa"/>
            <w:tcBorders>
              <w:top w:val="single" w:sz="4" w:space="0" w:color="auto"/>
              <w:bottom w:val="single" w:sz="4" w:space="0" w:color="auto"/>
            </w:tcBorders>
            <w:shd w:val="clear" w:color="auto" w:fill="auto"/>
          </w:tcPr>
          <w:p w14:paraId="3660D89E" w14:textId="37BC55B0" w:rsidR="00D72DDB" w:rsidRPr="002D2F67" w:rsidRDefault="00CD5714" w:rsidP="00D72DDB">
            <w:pPr>
              <w:widowControl w:val="0"/>
              <w:ind w:right="-72"/>
              <w:jc w:val="right"/>
              <w:rPr>
                <w:rFonts w:ascii="Arial" w:hAnsi="Arial" w:cs="Arial"/>
                <w:b/>
                <w:bCs/>
                <w:sz w:val="16"/>
                <w:szCs w:val="16"/>
              </w:rPr>
            </w:pPr>
            <w:r w:rsidRPr="00CD5714">
              <w:rPr>
                <w:rFonts w:ascii="Arial" w:hAnsi="Arial" w:cs="Arial"/>
                <w:b/>
                <w:bCs/>
                <w:sz w:val="16"/>
                <w:szCs w:val="16"/>
                <w:lang w:val="en-GB"/>
              </w:rPr>
              <w:t>2024</w:t>
            </w:r>
          </w:p>
        </w:tc>
        <w:tc>
          <w:tcPr>
            <w:tcW w:w="792" w:type="dxa"/>
            <w:tcBorders>
              <w:top w:val="single" w:sz="4" w:space="0" w:color="auto"/>
              <w:bottom w:val="single" w:sz="4" w:space="0" w:color="auto"/>
            </w:tcBorders>
            <w:shd w:val="clear" w:color="auto" w:fill="auto"/>
          </w:tcPr>
          <w:p w14:paraId="3C63090E" w14:textId="4B814E6F" w:rsidR="00D72DDB" w:rsidRPr="002D2F67" w:rsidRDefault="00CD5714" w:rsidP="00D72DDB">
            <w:pPr>
              <w:widowControl w:val="0"/>
              <w:ind w:right="-72"/>
              <w:jc w:val="right"/>
              <w:rPr>
                <w:rFonts w:ascii="Arial" w:hAnsi="Arial" w:cs="Arial"/>
                <w:b/>
                <w:bCs/>
                <w:sz w:val="16"/>
                <w:szCs w:val="16"/>
              </w:rPr>
            </w:pPr>
            <w:r w:rsidRPr="00CD5714">
              <w:rPr>
                <w:rFonts w:ascii="Arial" w:hAnsi="Arial" w:cs="Arial"/>
                <w:b/>
                <w:bCs/>
                <w:sz w:val="16"/>
                <w:szCs w:val="16"/>
                <w:lang w:val="en-GB"/>
              </w:rPr>
              <w:t>2023</w:t>
            </w:r>
          </w:p>
        </w:tc>
        <w:tc>
          <w:tcPr>
            <w:tcW w:w="792" w:type="dxa"/>
            <w:tcBorders>
              <w:top w:val="single" w:sz="4" w:space="0" w:color="auto"/>
              <w:bottom w:val="single" w:sz="4" w:space="0" w:color="auto"/>
            </w:tcBorders>
            <w:shd w:val="clear" w:color="auto" w:fill="auto"/>
          </w:tcPr>
          <w:p w14:paraId="3E5F27E4" w14:textId="04186F1D" w:rsidR="00D72DDB" w:rsidRPr="002D2F67" w:rsidRDefault="00CD5714" w:rsidP="00D72DDB">
            <w:pPr>
              <w:widowControl w:val="0"/>
              <w:ind w:right="-72"/>
              <w:jc w:val="right"/>
              <w:rPr>
                <w:rFonts w:ascii="Arial" w:hAnsi="Arial" w:cs="Arial"/>
                <w:b/>
                <w:bCs/>
                <w:sz w:val="16"/>
                <w:szCs w:val="16"/>
              </w:rPr>
            </w:pPr>
            <w:r w:rsidRPr="00CD5714">
              <w:rPr>
                <w:rFonts w:ascii="Arial" w:hAnsi="Arial" w:cs="Arial"/>
                <w:b/>
                <w:bCs/>
                <w:sz w:val="16"/>
                <w:szCs w:val="16"/>
                <w:lang w:val="en-GB"/>
              </w:rPr>
              <w:t>2024</w:t>
            </w:r>
          </w:p>
        </w:tc>
        <w:tc>
          <w:tcPr>
            <w:tcW w:w="792" w:type="dxa"/>
            <w:tcBorders>
              <w:top w:val="single" w:sz="4" w:space="0" w:color="auto"/>
              <w:bottom w:val="single" w:sz="4" w:space="0" w:color="auto"/>
            </w:tcBorders>
            <w:shd w:val="clear" w:color="auto" w:fill="auto"/>
          </w:tcPr>
          <w:p w14:paraId="638A2C72" w14:textId="492A65F4" w:rsidR="00D72DDB" w:rsidRPr="002D2F67" w:rsidRDefault="00CD5714" w:rsidP="00D72DDB">
            <w:pPr>
              <w:widowControl w:val="0"/>
              <w:ind w:right="-72"/>
              <w:jc w:val="right"/>
              <w:rPr>
                <w:rFonts w:ascii="Arial" w:hAnsi="Arial" w:cs="Arial"/>
                <w:b/>
                <w:bCs/>
                <w:sz w:val="16"/>
                <w:szCs w:val="16"/>
              </w:rPr>
            </w:pPr>
            <w:r w:rsidRPr="00CD5714">
              <w:rPr>
                <w:rFonts w:ascii="Arial" w:hAnsi="Arial" w:cs="Arial"/>
                <w:b/>
                <w:bCs/>
                <w:sz w:val="16"/>
                <w:szCs w:val="16"/>
                <w:lang w:val="en-GB"/>
              </w:rPr>
              <w:t>2023</w:t>
            </w:r>
          </w:p>
        </w:tc>
        <w:tc>
          <w:tcPr>
            <w:tcW w:w="792" w:type="dxa"/>
            <w:tcBorders>
              <w:top w:val="single" w:sz="4" w:space="0" w:color="auto"/>
              <w:bottom w:val="single" w:sz="4" w:space="0" w:color="auto"/>
            </w:tcBorders>
            <w:shd w:val="clear" w:color="auto" w:fill="auto"/>
          </w:tcPr>
          <w:p w14:paraId="46D7EA5B" w14:textId="0BDAD43D" w:rsidR="00D72DDB" w:rsidRPr="002D2F67" w:rsidRDefault="00CD5714" w:rsidP="00D72DDB">
            <w:pPr>
              <w:widowControl w:val="0"/>
              <w:ind w:right="-72"/>
              <w:jc w:val="right"/>
              <w:rPr>
                <w:rFonts w:ascii="Arial" w:hAnsi="Arial" w:cs="Arial"/>
                <w:b/>
                <w:bCs/>
                <w:sz w:val="16"/>
                <w:szCs w:val="16"/>
              </w:rPr>
            </w:pPr>
            <w:r w:rsidRPr="00CD5714">
              <w:rPr>
                <w:rFonts w:ascii="Arial" w:hAnsi="Arial" w:cs="Arial"/>
                <w:b/>
                <w:bCs/>
                <w:sz w:val="16"/>
                <w:szCs w:val="16"/>
                <w:lang w:val="en-GB"/>
              </w:rPr>
              <w:t>2024</w:t>
            </w:r>
          </w:p>
        </w:tc>
        <w:tc>
          <w:tcPr>
            <w:tcW w:w="792" w:type="dxa"/>
            <w:tcBorders>
              <w:top w:val="single" w:sz="4" w:space="0" w:color="auto"/>
              <w:bottom w:val="single" w:sz="4" w:space="0" w:color="auto"/>
            </w:tcBorders>
            <w:shd w:val="clear" w:color="auto" w:fill="auto"/>
          </w:tcPr>
          <w:p w14:paraId="64466FD6" w14:textId="69560A20" w:rsidR="00D72DDB" w:rsidRPr="002D2F67" w:rsidRDefault="00CD5714" w:rsidP="00D72DDB">
            <w:pPr>
              <w:widowControl w:val="0"/>
              <w:ind w:right="-72"/>
              <w:jc w:val="right"/>
              <w:rPr>
                <w:rFonts w:ascii="Arial" w:hAnsi="Arial" w:cs="Arial"/>
                <w:b/>
                <w:bCs/>
                <w:sz w:val="16"/>
                <w:szCs w:val="16"/>
              </w:rPr>
            </w:pPr>
            <w:r w:rsidRPr="00CD5714">
              <w:rPr>
                <w:rFonts w:ascii="Arial" w:hAnsi="Arial" w:cs="Arial"/>
                <w:b/>
                <w:bCs/>
                <w:sz w:val="16"/>
                <w:szCs w:val="16"/>
                <w:lang w:val="en-GB"/>
              </w:rPr>
              <w:t>2023</w:t>
            </w:r>
          </w:p>
        </w:tc>
      </w:tr>
      <w:tr w:rsidR="00B53519" w:rsidRPr="002D2F67" w14:paraId="1E8216AC" w14:textId="77777777" w:rsidTr="00782C44">
        <w:trPr>
          <w:trHeight w:val="47"/>
        </w:trPr>
        <w:tc>
          <w:tcPr>
            <w:tcW w:w="3032" w:type="dxa"/>
            <w:shd w:val="clear" w:color="auto" w:fill="auto"/>
          </w:tcPr>
          <w:p w14:paraId="332ED970" w14:textId="2FCC7837" w:rsidR="00B53519" w:rsidRPr="002D2F67" w:rsidRDefault="00B53519" w:rsidP="00B53519">
            <w:pPr>
              <w:rPr>
                <w:rFonts w:ascii="Arial" w:hAnsi="Arial" w:cs="Arial"/>
                <w:sz w:val="16"/>
                <w:szCs w:val="16"/>
              </w:rPr>
            </w:pPr>
          </w:p>
        </w:tc>
        <w:tc>
          <w:tcPr>
            <w:tcW w:w="792" w:type="dxa"/>
            <w:tcBorders>
              <w:top w:val="single" w:sz="4" w:space="0" w:color="auto"/>
            </w:tcBorders>
            <w:shd w:val="clear" w:color="auto" w:fill="auto"/>
          </w:tcPr>
          <w:p w14:paraId="27586D57" w14:textId="77777777" w:rsidR="00B53519" w:rsidRPr="002D2F67" w:rsidRDefault="00B53519" w:rsidP="00B53519">
            <w:pPr>
              <w:widowControl w:val="0"/>
              <w:ind w:left="-64" w:right="-72"/>
              <w:jc w:val="right"/>
              <w:rPr>
                <w:rFonts w:ascii="Arial" w:hAnsi="Arial" w:cs="Arial"/>
                <w:b/>
                <w:bCs/>
                <w:sz w:val="16"/>
                <w:szCs w:val="16"/>
                <w:cs/>
              </w:rPr>
            </w:pPr>
          </w:p>
        </w:tc>
        <w:tc>
          <w:tcPr>
            <w:tcW w:w="792" w:type="dxa"/>
            <w:tcBorders>
              <w:top w:val="single" w:sz="4" w:space="0" w:color="auto"/>
            </w:tcBorders>
            <w:shd w:val="clear" w:color="auto" w:fill="auto"/>
          </w:tcPr>
          <w:p w14:paraId="0667594F" w14:textId="77777777" w:rsidR="00B53519" w:rsidRPr="002D2F67" w:rsidRDefault="00B53519" w:rsidP="00B53519">
            <w:pPr>
              <w:widowControl w:val="0"/>
              <w:ind w:left="-64" w:right="-72"/>
              <w:jc w:val="right"/>
              <w:rPr>
                <w:rFonts w:ascii="Arial" w:hAnsi="Arial" w:cs="Arial"/>
                <w:b/>
                <w:bCs/>
                <w:sz w:val="16"/>
                <w:szCs w:val="16"/>
                <w:cs/>
              </w:rPr>
            </w:pPr>
          </w:p>
        </w:tc>
        <w:tc>
          <w:tcPr>
            <w:tcW w:w="792" w:type="dxa"/>
            <w:tcBorders>
              <w:top w:val="single" w:sz="4" w:space="0" w:color="auto"/>
            </w:tcBorders>
            <w:shd w:val="clear" w:color="auto" w:fill="auto"/>
            <w:vAlign w:val="bottom"/>
          </w:tcPr>
          <w:p w14:paraId="45D9CFBD" w14:textId="77777777" w:rsidR="00B53519" w:rsidRPr="002D2F67" w:rsidRDefault="00B53519" w:rsidP="00B53519">
            <w:pPr>
              <w:widowControl w:val="0"/>
              <w:ind w:left="-64" w:right="-72"/>
              <w:jc w:val="right"/>
              <w:rPr>
                <w:rFonts w:ascii="Arial" w:hAnsi="Arial" w:cs="Arial"/>
                <w:b/>
                <w:bCs/>
                <w:sz w:val="16"/>
                <w:szCs w:val="16"/>
                <w:cs/>
              </w:rPr>
            </w:pPr>
          </w:p>
        </w:tc>
        <w:tc>
          <w:tcPr>
            <w:tcW w:w="792" w:type="dxa"/>
            <w:tcBorders>
              <w:top w:val="single" w:sz="4" w:space="0" w:color="auto"/>
            </w:tcBorders>
            <w:shd w:val="clear" w:color="auto" w:fill="auto"/>
            <w:vAlign w:val="bottom"/>
          </w:tcPr>
          <w:p w14:paraId="50036DA9" w14:textId="77777777" w:rsidR="00B53519" w:rsidRPr="002D2F67" w:rsidRDefault="00B53519" w:rsidP="00B53519">
            <w:pPr>
              <w:widowControl w:val="0"/>
              <w:ind w:left="-64" w:right="-72"/>
              <w:jc w:val="right"/>
              <w:rPr>
                <w:rFonts w:ascii="Arial" w:hAnsi="Arial" w:cs="Arial"/>
                <w:b/>
                <w:bCs/>
                <w:sz w:val="16"/>
                <w:szCs w:val="16"/>
                <w:cs/>
              </w:rPr>
            </w:pPr>
          </w:p>
        </w:tc>
        <w:tc>
          <w:tcPr>
            <w:tcW w:w="792" w:type="dxa"/>
            <w:tcBorders>
              <w:top w:val="single" w:sz="4" w:space="0" w:color="auto"/>
            </w:tcBorders>
            <w:shd w:val="clear" w:color="auto" w:fill="auto"/>
            <w:vAlign w:val="bottom"/>
          </w:tcPr>
          <w:p w14:paraId="2E92CABB" w14:textId="77777777" w:rsidR="00B53519" w:rsidRPr="002D2F67" w:rsidRDefault="00B53519" w:rsidP="00B53519">
            <w:pPr>
              <w:widowControl w:val="0"/>
              <w:ind w:left="-64" w:right="-72"/>
              <w:jc w:val="right"/>
              <w:rPr>
                <w:rFonts w:ascii="Arial" w:hAnsi="Arial" w:cs="Arial"/>
                <w:b/>
                <w:bCs/>
                <w:sz w:val="16"/>
                <w:szCs w:val="16"/>
                <w:cs/>
              </w:rPr>
            </w:pPr>
          </w:p>
        </w:tc>
        <w:tc>
          <w:tcPr>
            <w:tcW w:w="792" w:type="dxa"/>
            <w:tcBorders>
              <w:top w:val="single" w:sz="4" w:space="0" w:color="auto"/>
            </w:tcBorders>
            <w:shd w:val="clear" w:color="auto" w:fill="auto"/>
            <w:vAlign w:val="bottom"/>
          </w:tcPr>
          <w:p w14:paraId="507835B5" w14:textId="77777777" w:rsidR="00B53519" w:rsidRPr="002D2F67" w:rsidRDefault="00B53519" w:rsidP="00B53519">
            <w:pPr>
              <w:widowControl w:val="0"/>
              <w:ind w:left="-64" w:right="-72"/>
              <w:jc w:val="right"/>
              <w:rPr>
                <w:rFonts w:ascii="Arial" w:hAnsi="Arial" w:cs="Arial"/>
                <w:b/>
                <w:bCs/>
                <w:sz w:val="16"/>
                <w:szCs w:val="16"/>
                <w:cs/>
              </w:rPr>
            </w:pPr>
          </w:p>
        </w:tc>
        <w:tc>
          <w:tcPr>
            <w:tcW w:w="792" w:type="dxa"/>
            <w:tcBorders>
              <w:top w:val="single" w:sz="4" w:space="0" w:color="auto"/>
            </w:tcBorders>
            <w:shd w:val="clear" w:color="auto" w:fill="auto"/>
            <w:vAlign w:val="bottom"/>
          </w:tcPr>
          <w:p w14:paraId="2EB14F6D" w14:textId="77777777" w:rsidR="00B53519" w:rsidRPr="002D2F67" w:rsidRDefault="00B53519" w:rsidP="00B53519">
            <w:pPr>
              <w:widowControl w:val="0"/>
              <w:ind w:left="-64" w:right="-72"/>
              <w:jc w:val="right"/>
              <w:rPr>
                <w:rFonts w:ascii="Arial" w:hAnsi="Arial" w:cs="Arial"/>
                <w:b/>
                <w:bCs/>
                <w:sz w:val="16"/>
                <w:szCs w:val="16"/>
                <w:cs/>
              </w:rPr>
            </w:pPr>
          </w:p>
        </w:tc>
        <w:tc>
          <w:tcPr>
            <w:tcW w:w="792" w:type="dxa"/>
            <w:tcBorders>
              <w:top w:val="single" w:sz="4" w:space="0" w:color="auto"/>
            </w:tcBorders>
            <w:shd w:val="clear" w:color="auto" w:fill="auto"/>
            <w:vAlign w:val="bottom"/>
          </w:tcPr>
          <w:p w14:paraId="6340C6F0" w14:textId="77777777" w:rsidR="00B53519" w:rsidRPr="002D2F67" w:rsidRDefault="00B53519" w:rsidP="00B53519">
            <w:pPr>
              <w:widowControl w:val="0"/>
              <w:ind w:left="-64" w:right="-72"/>
              <w:jc w:val="right"/>
              <w:rPr>
                <w:rFonts w:ascii="Arial" w:hAnsi="Arial" w:cs="Arial"/>
                <w:b/>
                <w:bCs/>
                <w:sz w:val="16"/>
                <w:szCs w:val="16"/>
                <w:cs/>
              </w:rPr>
            </w:pPr>
          </w:p>
        </w:tc>
        <w:tc>
          <w:tcPr>
            <w:tcW w:w="792" w:type="dxa"/>
            <w:tcBorders>
              <w:top w:val="single" w:sz="4" w:space="0" w:color="auto"/>
            </w:tcBorders>
            <w:shd w:val="clear" w:color="auto" w:fill="auto"/>
            <w:vAlign w:val="bottom"/>
          </w:tcPr>
          <w:p w14:paraId="471CC3D2" w14:textId="77777777" w:rsidR="00B53519" w:rsidRPr="002D2F67" w:rsidRDefault="00B53519" w:rsidP="00B53519">
            <w:pPr>
              <w:widowControl w:val="0"/>
              <w:ind w:left="-64" w:right="-72"/>
              <w:jc w:val="right"/>
              <w:rPr>
                <w:rFonts w:ascii="Arial" w:hAnsi="Arial" w:cs="Arial"/>
                <w:b/>
                <w:bCs/>
                <w:sz w:val="16"/>
                <w:szCs w:val="16"/>
                <w:cs/>
              </w:rPr>
            </w:pPr>
          </w:p>
        </w:tc>
        <w:tc>
          <w:tcPr>
            <w:tcW w:w="792" w:type="dxa"/>
            <w:tcBorders>
              <w:top w:val="single" w:sz="4" w:space="0" w:color="auto"/>
            </w:tcBorders>
            <w:shd w:val="clear" w:color="auto" w:fill="auto"/>
            <w:vAlign w:val="bottom"/>
          </w:tcPr>
          <w:p w14:paraId="359138F0" w14:textId="77777777" w:rsidR="00B53519" w:rsidRPr="002D2F67" w:rsidRDefault="00B53519" w:rsidP="00B53519">
            <w:pPr>
              <w:widowControl w:val="0"/>
              <w:ind w:left="-64" w:right="-72"/>
              <w:jc w:val="right"/>
              <w:rPr>
                <w:rFonts w:ascii="Arial" w:hAnsi="Arial" w:cs="Arial"/>
                <w:b/>
                <w:bCs/>
                <w:sz w:val="16"/>
                <w:szCs w:val="16"/>
                <w:cs/>
              </w:rPr>
            </w:pPr>
          </w:p>
        </w:tc>
        <w:tc>
          <w:tcPr>
            <w:tcW w:w="792" w:type="dxa"/>
            <w:tcBorders>
              <w:top w:val="single" w:sz="4" w:space="0" w:color="auto"/>
            </w:tcBorders>
            <w:shd w:val="clear" w:color="auto" w:fill="auto"/>
            <w:vAlign w:val="bottom"/>
          </w:tcPr>
          <w:p w14:paraId="1F422D60" w14:textId="77777777" w:rsidR="00B53519" w:rsidRPr="002D2F67" w:rsidRDefault="00B53519" w:rsidP="00B53519">
            <w:pPr>
              <w:widowControl w:val="0"/>
              <w:ind w:left="-64" w:right="-72"/>
              <w:jc w:val="right"/>
              <w:rPr>
                <w:rFonts w:ascii="Arial" w:hAnsi="Arial" w:cs="Arial"/>
                <w:b/>
                <w:bCs/>
                <w:sz w:val="16"/>
                <w:szCs w:val="16"/>
                <w:cs/>
              </w:rPr>
            </w:pPr>
          </w:p>
        </w:tc>
        <w:tc>
          <w:tcPr>
            <w:tcW w:w="792" w:type="dxa"/>
            <w:tcBorders>
              <w:top w:val="single" w:sz="4" w:space="0" w:color="auto"/>
            </w:tcBorders>
            <w:shd w:val="clear" w:color="auto" w:fill="auto"/>
            <w:vAlign w:val="bottom"/>
          </w:tcPr>
          <w:p w14:paraId="48D37BB7" w14:textId="77777777" w:rsidR="00B53519" w:rsidRPr="002D2F67" w:rsidRDefault="00B53519" w:rsidP="00B53519">
            <w:pPr>
              <w:widowControl w:val="0"/>
              <w:ind w:left="-64" w:right="-72"/>
              <w:jc w:val="right"/>
              <w:rPr>
                <w:rFonts w:ascii="Arial" w:hAnsi="Arial" w:cs="Arial"/>
                <w:b/>
                <w:bCs/>
                <w:sz w:val="16"/>
                <w:szCs w:val="16"/>
                <w:cs/>
              </w:rPr>
            </w:pPr>
          </w:p>
        </w:tc>
        <w:tc>
          <w:tcPr>
            <w:tcW w:w="792" w:type="dxa"/>
            <w:tcBorders>
              <w:top w:val="single" w:sz="4" w:space="0" w:color="auto"/>
            </w:tcBorders>
            <w:shd w:val="clear" w:color="auto" w:fill="auto"/>
            <w:vAlign w:val="bottom"/>
          </w:tcPr>
          <w:p w14:paraId="743DEC07" w14:textId="77777777" w:rsidR="00B53519" w:rsidRPr="002D2F67" w:rsidRDefault="00B53519" w:rsidP="00B53519">
            <w:pPr>
              <w:widowControl w:val="0"/>
              <w:ind w:left="-64" w:right="-72"/>
              <w:jc w:val="right"/>
              <w:rPr>
                <w:rFonts w:ascii="Arial" w:hAnsi="Arial" w:cs="Arial"/>
                <w:b/>
                <w:bCs/>
                <w:sz w:val="16"/>
                <w:szCs w:val="16"/>
                <w:cs/>
              </w:rPr>
            </w:pPr>
          </w:p>
        </w:tc>
        <w:tc>
          <w:tcPr>
            <w:tcW w:w="792" w:type="dxa"/>
            <w:tcBorders>
              <w:top w:val="single" w:sz="4" w:space="0" w:color="auto"/>
            </w:tcBorders>
            <w:shd w:val="clear" w:color="auto" w:fill="auto"/>
            <w:vAlign w:val="bottom"/>
          </w:tcPr>
          <w:p w14:paraId="0694AC80" w14:textId="77777777" w:rsidR="00B53519" w:rsidRPr="002D2F67" w:rsidRDefault="00B53519" w:rsidP="00B53519">
            <w:pPr>
              <w:widowControl w:val="0"/>
              <w:ind w:left="-64" w:right="-72"/>
              <w:jc w:val="right"/>
              <w:rPr>
                <w:rFonts w:ascii="Arial" w:hAnsi="Arial" w:cs="Arial"/>
                <w:b/>
                <w:bCs/>
                <w:sz w:val="16"/>
                <w:szCs w:val="16"/>
                <w:cs/>
              </w:rPr>
            </w:pPr>
          </w:p>
        </w:tc>
        <w:tc>
          <w:tcPr>
            <w:tcW w:w="792" w:type="dxa"/>
            <w:tcBorders>
              <w:top w:val="single" w:sz="4" w:space="0" w:color="auto"/>
            </w:tcBorders>
            <w:shd w:val="clear" w:color="auto" w:fill="auto"/>
            <w:vAlign w:val="bottom"/>
          </w:tcPr>
          <w:p w14:paraId="10AA69F8" w14:textId="77777777" w:rsidR="00B53519" w:rsidRPr="002D2F67" w:rsidRDefault="00B53519" w:rsidP="00B53519">
            <w:pPr>
              <w:widowControl w:val="0"/>
              <w:ind w:left="-64" w:right="-72"/>
              <w:jc w:val="right"/>
              <w:rPr>
                <w:rFonts w:ascii="Arial" w:hAnsi="Arial" w:cs="Arial"/>
                <w:b/>
                <w:bCs/>
                <w:sz w:val="16"/>
                <w:szCs w:val="16"/>
                <w:cs/>
              </w:rPr>
            </w:pPr>
          </w:p>
        </w:tc>
        <w:tc>
          <w:tcPr>
            <w:tcW w:w="792" w:type="dxa"/>
            <w:tcBorders>
              <w:top w:val="single" w:sz="4" w:space="0" w:color="auto"/>
            </w:tcBorders>
            <w:shd w:val="clear" w:color="auto" w:fill="auto"/>
            <w:vAlign w:val="bottom"/>
          </w:tcPr>
          <w:p w14:paraId="74AFFCCC" w14:textId="77777777" w:rsidR="00B53519" w:rsidRPr="002D2F67" w:rsidRDefault="00B53519" w:rsidP="00B53519">
            <w:pPr>
              <w:widowControl w:val="0"/>
              <w:ind w:left="-64" w:right="-72"/>
              <w:jc w:val="right"/>
              <w:rPr>
                <w:rFonts w:ascii="Arial" w:hAnsi="Arial" w:cs="Arial"/>
                <w:b/>
                <w:bCs/>
                <w:sz w:val="16"/>
                <w:szCs w:val="16"/>
                <w:cs/>
              </w:rPr>
            </w:pPr>
          </w:p>
        </w:tc>
      </w:tr>
      <w:tr w:rsidR="005F6893" w:rsidRPr="002D2F67" w14:paraId="713C98B3" w14:textId="77777777" w:rsidTr="00782C44">
        <w:trPr>
          <w:trHeight w:val="131"/>
        </w:trPr>
        <w:tc>
          <w:tcPr>
            <w:tcW w:w="3032" w:type="dxa"/>
            <w:shd w:val="clear" w:color="auto" w:fill="auto"/>
          </w:tcPr>
          <w:p w14:paraId="7FAC81FF" w14:textId="1FCBBD8F" w:rsidR="005F6893" w:rsidRPr="002D2F67" w:rsidRDefault="005F6893" w:rsidP="005F6893">
            <w:pPr>
              <w:widowControl w:val="0"/>
              <w:ind w:left="44" w:right="-76" w:hanging="140"/>
              <w:contextualSpacing/>
              <w:rPr>
                <w:rFonts w:ascii="Arial" w:hAnsi="Arial" w:cs="Arial"/>
                <w:sz w:val="16"/>
                <w:szCs w:val="16"/>
              </w:rPr>
            </w:pPr>
            <w:r w:rsidRPr="002D2F67">
              <w:rPr>
                <w:rFonts w:ascii="Arial" w:hAnsi="Arial" w:cs="Arial"/>
                <w:b/>
                <w:bCs/>
                <w:spacing w:val="-2"/>
                <w:sz w:val="16"/>
                <w:szCs w:val="16"/>
                <w:u w:val="single"/>
              </w:rPr>
              <w:t>Timing of revenue recognition</w:t>
            </w:r>
          </w:p>
        </w:tc>
        <w:tc>
          <w:tcPr>
            <w:tcW w:w="792" w:type="dxa"/>
            <w:shd w:val="clear" w:color="auto" w:fill="auto"/>
            <w:vAlign w:val="bottom"/>
          </w:tcPr>
          <w:p w14:paraId="180418B6" w14:textId="77777777" w:rsidR="005F6893" w:rsidRPr="002D2F67" w:rsidRDefault="005F6893" w:rsidP="005F6893">
            <w:pPr>
              <w:widowControl w:val="0"/>
              <w:ind w:left="-64" w:right="-72"/>
              <w:contextualSpacing/>
              <w:jc w:val="right"/>
              <w:rPr>
                <w:rFonts w:ascii="Arial" w:hAnsi="Arial" w:cs="Arial"/>
                <w:sz w:val="16"/>
                <w:szCs w:val="16"/>
              </w:rPr>
            </w:pPr>
          </w:p>
        </w:tc>
        <w:tc>
          <w:tcPr>
            <w:tcW w:w="792" w:type="dxa"/>
            <w:shd w:val="clear" w:color="auto" w:fill="auto"/>
            <w:vAlign w:val="bottom"/>
          </w:tcPr>
          <w:p w14:paraId="7034C85E" w14:textId="77777777" w:rsidR="005F6893" w:rsidRPr="002D2F67" w:rsidRDefault="005F6893" w:rsidP="005F6893">
            <w:pPr>
              <w:widowControl w:val="0"/>
              <w:ind w:left="-64" w:right="-72"/>
              <w:contextualSpacing/>
              <w:jc w:val="right"/>
              <w:rPr>
                <w:rFonts w:ascii="Arial" w:hAnsi="Arial" w:cs="Arial"/>
                <w:sz w:val="16"/>
                <w:szCs w:val="16"/>
              </w:rPr>
            </w:pPr>
          </w:p>
        </w:tc>
        <w:tc>
          <w:tcPr>
            <w:tcW w:w="792" w:type="dxa"/>
            <w:shd w:val="clear" w:color="auto" w:fill="auto"/>
            <w:vAlign w:val="bottom"/>
          </w:tcPr>
          <w:p w14:paraId="33F7BE94" w14:textId="77777777" w:rsidR="005F6893" w:rsidRPr="002D2F67" w:rsidRDefault="005F6893" w:rsidP="005F6893">
            <w:pPr>
              <w:widowControl w:val="0"/>
              <w:ind w:left="-64" w:right="-72"/>
              <w:contextualSpacing/>
              <w:jc w:val="right"/>
              <w:rPr>
                <w:rFonts w:ascii="Arial" w:hAnsi="Arial" w:cs="Arial"/>
                <w:sz w:val="16"/>
                <w:szCs w:val="16"/>
              </w:rPr>
            </w:pPr>
          </w:p>
        </w:tc>
        <w:tc>
          <w:tcPr>
            <w:tcW w:w="792" w:type="dxa"/>
            <w:shd w:val="clear" w:color="auto" w:fill="auto"/>
            <w:vAlign w:val="bottom"/>
          </w:tcPr>
          <w:p w14:paraId="4256F421" w14:textId="77777777" w:rsidR="005F6893" w:rsidRPr="002D2F67" w:rsidRDefault="005F6893" w:rsidP="005F6893">
            <w:pPr>
              <w:ind w:left="-64" w:right="-72"/>
              <w:contextualSpacing/>
              <w:jc w:val="right"/>
              <w:rPr>
                <w:rFonts w:ascii="Arial" w:hAnsi="Arial" w:cs="Arial"/>
                <w:sz w:val="16"/>
                <w:szCs w:val="16"/>
              </w:rPr>
            </w:pPr>
          </w:p>
        </w:tc>
        <w:tc>
          <w:tcPr>
            <w:tcW w:w="792" w:type="dxa"/>
            <w:shd w:val="clear" w:color="auto" w:fill="auto"/>
            <w:vAlign w:val="bottom"/>
          </w:tcPr>
          <w:p w14:paraId="1CE070F4" w14:textId="77777777" w:rsidR="005F6893" w:rsidRPr="002D2F67" w:rsidRDefault="005F6893" w:rsidP="005F6893">
            <w:pPr>
              <w:ind w:left="-64" w:right="-72"/>
              <w:contextualSpacing/>
              <w:jc w:val="right"/>
              <w:rPr>
                <w:rFonts w:ascii="Arial" w:hAnsi="Arial" w:cs="Arial"/>
                <w:sz w:val="16"/>
                <w:szCs w:val="16"/>
              </w:rPr>
            </w:pPr>
          </w:p>
        </w:tc>
        <w:tc>
          <w:tcPr>
            <w:tcW w:w="792" w:type="dxa"/>
            <w:shd w:val="clear" w:color="auto" w:fill="auto"/>
            <w:vAlign w:val="bottom"/>
          </w:tcPr>
          <w:p w14:paraId="695A07BF" w14:textId="77777777" w:rsidR="005F6893" w:rsidRPr="002D2F67" w:rsidRDefault="005F6893" w:rsidP="005F6893">
            <w:pPr>
              <w:ind w:left="-64" w:right="-72"/>
              <w:contextualSpacing/>
              <w:jc w:val="right"/>
              <w:rPr>
                <w:rFonts w:ascii="Arial" w:hAnsi="Arial" w:cs="Arial"/>
                <w:sz w:val="16"/>
                <w:szCs w:val="16"/>
              </w:rPr>
            </w:pPr>
          </w:p>
        </w:tc>
        <w:tc>
          <w:tcPr>
            <w:tcW w:w="792" w:type="dxa"/>
            <w:shd w:val="clear" w:color="auto" w:fill="auto"/>
            <w:vAlign w:val="bottom"/>
          </w:tcPr>
          <w:p w14:paraId="3DE812B0" w14:textId="77777777" w:rsidR="005F6893" w:rsidRPr="002D2F67" w:rsidRDefault="005F6893" w:rsidP="005F6893">
            <w:pPr>
              <w:ind w:left="-64" w:right="-72"/>
              <w:contextualSpacing/>
              <w:jc w:val="right"/>
              <w:rPr>
                <w:rFonts w:ascii="Arial" w:hAnsi="Arial" w:cs="Arial"/>
                <w:sz w:val="16"/>
                <w:szCs w:val="16"/>
              </w:rPr>
            </w:pPr>
          </w:p>
        </w:tc>
        <w:tc>
          <w:tcPr>
            <w:tcW w:w="792" w:type="dxa"/>
            <w:shd w:val="clear" w:color="auto" w:fill="auto"/>
            <w:vAlign w:val="bottom"/>
          </w:tcPr>
          <w:p w14:paraId="0B21BDC9" w14:textId="77777777" w:rsidR="005F6893" w:rsidRPr="002D2F67" w:rsidRDefault="005F6893" w:rsidP="005F6893">
            <w:pPr>
              <w:ind w:left="-64" w:right="-72"/>
              <w:contextualSpacing/>
              <w:jc w:val="right"/>
              <w:rPr>
                <w:rFonts w:ascii="Arial" w:hAnsi="Arial" w:cs="Arial"/>
                <w:sz w:val="16"/>
                <w:szCs w:val="16"/>
              </w:rPr>
            </w:pPr>
          </w:p>
        </w:tc>
        <w:tc>
          <w:tcPr>
            <w:tcW w:w="792" w:type="dxa"/>
            <w:shd w:val="clear" w:color="auto" w:fill="auto"/>
            <w:vAlign w:val="bottom"/>
          </w:tcPr>
          <w:p w14:paraId="287A8550" w14:textId="77777777" w:rsidR="005F6893" w:rsidRPr="002D2F67" w:rsidRDefault="005F6893" w:rsidP="005F6893">
            <w:pPr>
              <w:ind w:left="-64" w:right="-72"/>
              <w:contextualSpacing/>
              <w:jc w:val="right"/>
              <w:rPr>
                <w:rFonts w:ascii="Arial" w:hAnsi="Arial" w:cs="Arial"/>
                <w:sz w:val="16"/>
                <w:szCs w:val="16"/>
              </w:rPr>
            </w:pPr>
          </w:p>
        </w:tc>
        <w:tc>
          <w:tcPr>
            <w:tcW w:w="792" w:type="dxa"/>
            <w:shd w:val="clear" w:color="auto" w:fill="auto"/>
            <w:vAlign w:val="bottom"/>
          </w:tcPr>
          <w:p w14:paraId="7F5917DD" w14:textId="77777777" w:rsidR="005F6893" w:rsidRPr="002D2F67" w:rsidRDefault="005F6893" w:rsidP="005F6893">
            <w:pPr>
              <w:ind w:left="-64" w:right="-72"/>
              <w:contextualSpacing/>
              <w:jc w:val="right"/>
              <w:rPr>
                <w:rFonts w:ascii="Arial" w:hAnsi="Arial" w:cs="Arial"/>
                <w:sz w:val="16"/>
                <w:szCs w:val="16"/>
              </w:rPr>
            </w:pPr>
          </w:p>
        </w:tc>
        <w:tc>
          <w:tcPr>
            <w:tcW w:w="792" w:type="dxa"/>
            <w:shd w:val="clear" w:color="auto" w:fill="auto"/>
            <w:vAlign w:val="bottom"/>
          </w:tcPr>
          <w:p w14:paraId="17F57645" w14:textId="77777777" w:rsidR="005F6893" w:rsidRPr="002D2F67" w:rsidRDefault="005F6893" w:rsidP="005F6893">
            <w:pPr>
              <w:ind w:left="-64" w:right="-72"/>
              <w:contextualSpacing/>
              <w:jc w:val="right"/>
              <w:rPr>
                <w:rFonts w:ascii="Arial" w:hAnsi="Arial" w:cs="Arial"/>
                <w:sz w:val="16"/>
                <w:szCs w:val="16"/>
              </w:rPr>
            </w:pPr>
          </w:p>
        </w:tc>
        <w:tc>
          <w:tcPr>
            <w:tcW w:w="792" w:type="dxa"/>
            <w:shd w:val="clear" w:color="auto" w:fill="auto"/>
            <w:vAlign w:val="bottom"/>
          </w:tcPr>
          <w:p w14:paraId="3EC6E7A5" w14:textId="77777777" w:rsidR="005F6893" w:rsidRPr="002D2F67" w:rsidRDefault="005F6893" w:rsidP="005F6893">
            <w:pPr>
              <w:ind w:left="-64" w:right="-72"/>
              <w:contextualSpacing/>
              <w:jc w:val="right"/>
              <w:rPr>
                <w:rFonts w:ascii="Arial" w:hAnsi="Arial" w:cs="Arial"/>
                <w:sz w:val="16"/>
                <w:szCs w:val="16"/>
              </w:rPr>
            </w:pPr>
          </w:p>
        </w:tc>
        <w:tc>
          <w:tcPr>
            <w:tcW w:w="792" w:type="dxa"/>
            <w:shd w:val="clear" w:color="auto" w:fill="auto"/>
            <w:vAlign w:val="bottom"/>
          </w:tcPr>
          <w:p w14:paraId="6FB16FB8" w14:textId="77777777" w:rsidR="005F6893" w:rsidRPr="002D2F67" w:rsidRDefault="005F6893" w:rsidP="005F6893">
            <w:pPr>
              <w:ind w:left="-64" w:right="-72"/>
              <w:contextualSpacing/>
              <w:jc w:val="right"/>
              <w:rPr>
                <w:rFonts w:ascii="Arial" w:hAnsi="Arial" w:cs="Arial"/>
                <w:sz w:val="16"/>
                <w:szCs w:val="16"/>
              </w:rPr>
            </w:pPr>
          </w:p>
        </w:tc>
        <w:tc>
          <w:tcPr>
            <w:tcW w:w="792" w:type="dxa"/>
            <w:shd w:val="clear" w:color="auto" w:fill="auto"/>
            <w:vAlign w:val="bottom"/>
          </w:tcPr>
          <w:p w14:paraId="0517CA54" w14:textId="77777777" w:rsidR="005F6893" w:rsidRPr="002D2F67" w:rsidRDefault="005F6893" w:rsidP="005F6893">
            <w:pPr>
              <w:ind w:left="-64" w:right="-72"/>
              <w:contextualSpacing/>
              <w:jc w:val="right"/>
              <w:rPr>
                <w:rFonts w:ascii="Arial" w:hAnsi="Arial" w:cs="Arial"/>
                <w:sz w:val="16"/>
                <w:szCs w:val="16"/>
              </w:rPr>
            </w:pPr>
          </w:p>
        </w:tc>
        <w:tc>
          <w:tcPr>
            <w:tcW w:w="792" w:type="dxa"/>
            <w:shd w:val="clear" w:color="auto" w:fill="auto"/>
            <w:vAlign w:val="bottom"/>
          </w:tcPr>
          <w:p w14:paraId="7CB99BF4" w14:textId="77777777" w:rsidR="005F6893" w:rsidRPr="002D2F67" w:rsidRDefault="005F6893" w:rsidP="005F6893">
            <w:pPr>
              <w:ind w:left="-64" w:right="-72"/>
              <w:contextualSpacing/>
              <w:jc w:val="right"/>
              <w:rPr>
                <w:rFonts w:ascii="Arial" w:hAnsi="Arial" w:cs="Arial"/>
                <w:sz w:val="16"/>
                <w:szCs w:val="16"/>
              </w:rPr>
            </w:pPr>
          </w:p>
        </w:tc>
        <w:tc>
          <w:tcPr>
            <w:tcW w:w="792" w:type="dxa"/>
            <w:shd w:val="clear" w:color="auto" w:fill="auto"/>
            <w:vAlign w:val="bottom"/>
          </w:tcPr>
          <w:p w14:paraId="77A0DC9E" w14:textId="77777777" w:rsidR="005F6893" w:rsidRPr="002D2F67" w:rsidRDefault="005F6893" w:rsidP="005F6893">
            <w:pPr>
              <w:ind w:left="-64" w:right="-72"/>
              <w:contextualSpacing/>
              <w:jc w:val="right"/>
              <w:rPr>
                <w:rFonts w:ascii="Arial" w:hAnsi="Arial" w:cs="Arial"/>
                <w:sz w:val="16"/>
                <w:szCs w:val="16"/>
              </w:rPr>
            </w:pPr>
          </w:p>
        </w:tc>
      </w:tr>
      <w:tr w:rsidR="00E634A6" w:rsidRPr="002D2F67" w14:paraId="01A9D3C5" w14:textId="77777777" w:rsidTr="00782C44">
        <w:trPr>
          <w:trHeight w:val="131"/>
        </w:trPr>
        <w:tc>
          <w:tcPr>
            <w:tcW w:w="3032" w:type="dxa"/>
            <w:shd w:val="clear" w:color="auto" w:fill="auto"/>
          </w:tcPr>
          <w:p w14:paraId="3CBAFC3F" w14:textId="6633CC5F" w:rsidR="00E634A6" w:rsidRPr="002D2F67" w:rsidRDefault="00E634A6" w:rsidP="00E634A6">
            <w:pPr>
              <w:widowControl w:val="0"/>
              <w:ind w:left="44" w:right="-76" w:hanging="140"/>
              <w:contextualSpacing/>
              <w:rPr>
                <w:rFonts w:ascii="Arial" w:hAnsi="Arial" w:cs="Arial"/>
                <w:sz w:val="16"/>
                <w:szCs w:val="16"/>
              </w:rPr>
            </w:pPr>
            <w:r w:rsidRPr="002D2F67">
              <w:rPr>
                <w:rFonts w:ascii="Arial" w:hAnsi="Arial" w:cs="Arial"/>
                <w:spacing w:val="-2"/>
                <w:sz w:val="16"/>
                <w:szCs w:val="16"/>
              </w:rPr>
              <w:t>At a point in time</w:t>
            </w:r>
          </w:p>
        </w:tc>
        <w:tc>
          <w:tcPr>
            <w:tcW w:w="792" w:type="dxa"/>
            <w:shd w:val="clear" w:color="auto" w:fill="auto"/>
            <w:vAlign w:val="bottom"/>
          </w:tcPr>
          <w:p w14:paraId="6C6BC20B" w14:textId="1E62959D" w:rsidR="00E634A6" w:rsidRPr="002D2F67" w:rsidRDefault="00CD5714" w:rsidP="00E634A6">
            <w:pPr>
              <w:widowControl w:val="0"/>
              <w:ind w:left="-64" w:right="-72"/>
              <w:contextualSpacing/>
              <w:jc w:val="right"/>
              <w:rPr>
                <w:rFonts w:ascii="Arial" w:hAnsi="Arial" w:cs="Arial"/>
                <w:sz w:val="16"/>
                <w:szCs w:val="16"/>
              </w:rPr>
            </w:pPr>
            <w:r w:rsidRPr="00CD5714">
              <w:rPr>
                <w:rFonts w:ascii="Arial" w:hAnsi="Arial" w:cs="Arial"/>
                <w:sz w:val="16"/>
                <w:szCs w:val="16"/>
                <w:lang w:val="en-GB"/>
              </w:rPr>
              <w:t>3</w:t>
            </w:r>
            <w:r w:rsidR="00E634A6" w:rsidRPr="002D2F67">
              <w:rPr>
                <w:rFonts w:ascii="Arial" w:hAnsi="Arial" w:cs="Arial"/>
                <w:sz w:val="16"/>
                <w:szCs w:val="16"/>
              </w:rPr>
              <w:t>,</w:t>
            </w:r>
            <w:r w:rsidRPr="00CD5714">
              <w:rPr>
                <w:rFonts w:ascii="Arial" w:hAnsi="Arial" w:cs="Arial"/>
                <w:sz w:val="16"/>
                <w:szCs w:val="16"/>
                <w:lang w:val="en-GB"/>
              </w:rPr>
              <w:t>735</w:t>
            </w:r>
          </w:p>
        </w:tc>
        <w:tc>
          <w:tcPr>
            <w:tcW w:w="792" w:type="dxa"/>
            <w:shd w:val="clear" w:color="auto" w:fill="auto"/>
            <w:vAlign w:val="bottom"/>
          </w:tcPr>
          <w:p w14:paraId="7D0012EF" w14:textId="2B49C8D8" w:rsidR="00E634A6" w:rsidRPr="002D2F67" w:rsidRDefault="00CD5714" w:rsidP="00E634A6">
            <w:pPr>
              <w:widowControl w:val="0"/>
              <w:ind w:left="-64" w:right="-72"/>
              <w:contextualSpacing/>
              <w:jc w:val="right"/>
              <w:rPr>
                <w:rFonts w:ascii="Arial" w:hAnsi="Arial" w:cs="Arial"/>
                <w:sz w:val="16"/>
                <w:szCs w:val="16"/>
              </w:rPr>
            </w:pPr>
            <w:r w:rsidRPr="00CD5714">
              <w:rPr>
                <w:rFonts w:ascii="Arial" w:hAnsi="Arial" w:cs="Arial"/>
                <w:sz w:val="16"/>
                <w:szCs w:val="16"/>
                <w:lang w:val="en-GB"/>
              </w:rPr>
              <w:t>5</w:t>
            </w:r>
            <w:r w:rsidR="00E634A6" w:rsidRPr="002D2F67">
              <w:rPr>
                <w:rFonts w:ascii="Arial" w:hAnsi="Arial" w:cs="Arial"/>
                <w:sz w:val="16"/>
                <w:szCs w:val="16"/>
              </w:rPr>
              <w:t>,</w:t>
            </w:r>
            <w:r w:rsidRPr="00CD5714">
              <w:rPr>
                <w:rFonts w:ascii="Arial" w:hAnsi="Arial" w:cs="Arial"/>
                <w:sz w:val="16"/>
                <w:szCs w:val="16"/>
                <w:lang w:val="en-GB"/>
              </w:rPr>
              <w:t>647</w:t>
            </w:r>
          </w:p>
        </w:tc>
        <w:tc>
          <w:tcPr>
            <w:tcW w:w="792" w:type="dxa"/>
            <w:shd w:val="clear" w:color="auto" w:fill="auto"/>
            <w:vAlign w:val="bottom"/>
          </w:tcPr>
          <w:p w14:paraId="06E34D3E" w14:textId="52E3D287" w:rsidR="00E634A6" w:rsidRPr="002D2F67" w:rsidRDefault="00CD5714" w:rsidP="00E634A6">
            <w:pPr>
              <w:widowControl w:val="0"/>
              <w:ind w:left="-64" w:right="-72"/>
              <w:contextualSpacing/>
              <w:jc w:val="right"/>
              <w:rPr>
                <w:rFonts w:ascii="Arial" w:hAnsi="Arial" w:cs="Arial"/>
                <w:sz w:val="16"/>
                <w:szCs w:val="16"/>
              </w:rPr>
            </w:pPr>
            <w:r w:rsidRPr="00CD5714">
              <w:rPr>
                <w:rFonts w:ascii="Arial" w:hAnsi="Arial" w:cs="Arial"/>
                <w:sz w:val="16"/>
                <w:szCs w:val="16"/>
                <w:lang w:val="en-GB"/>
              </w:rPr>
              <w:t>10</w:t>
            </w:r>
            <w:r w:rsidR="00E634A6" w:rsidRPr="002D2F67">
              <w:rPr>
                <w:rFonts w:ascii="Arial" w:hAnsi="Arial" w:cs="Arial"/>
                <w:sz w:val="16"/>
                <w:szCs w:val="16"/>
              </w:rPr>
              <w:t>,</w:t>
            </w:r>
            <w:r w:rsidRPr="00CD5714">
              <w:rPr>
                <w:rFonts w:ascii="Arial" w:hAnsi="Arial" w:cs="Arial"/>
                <w:sz w:val="16"/>
                <w:szCs w:val="16"/>
                <w:lang w:val="en-GB"/>
              </w:rPr>
              <w:t>630</w:t>
            </w:r>
          </w:p>
        </w:tc>
        <w:tc>
          <w:tcPr>
            <w:tcW w:w="792" w:type="dxa"/>
            <w:shd w:val="clear" w:color="auto" w:fill="auto"/>
            <w:vAlign w:val="bottom"/>
          </w:tcPr>
          <w:p w14:paraId="59170516" w14:textId="4E5E7C94" w:rsidR="00E634A6" w:rsidRPr="002D2F67" w:rsidRDefault="00CD5714" w:rsidP="00E634A6">
            <w:pPr>
              <w:ind w:left="-64" w:right="-72"/>
              <w:contextualSpacing/>
              <w:jc w:val="right"/>
              <w:rPr>
                <w:rFonts w:ascii="Arial" w:hAnsi="Arial" w:cs="Arial"/>
                <w:sz w:val="16"/>
                <w:szCs w:val="16"/>
              </w:rPr>
            </w:pPr>
            <w:r w:rsidRPr="00CD5714">
              <w:rPr>
                <w:rFonts w:ascii="Arial" w:hAnsi="Arial" w:cs="Arial"/>
                <w:sz w:val="16"/>
                <w:szCs w:val="16"/>
                <w:lang w:val="en-GB"/>
              </w:rPr>
              <w:t>12</w:t>
            </w:r>
            <w:r w:rsidR="00E634A6" w:rsidRPr="002D2F67">
              <w:rPr>
                <w:rFonts w:ascii="Arial" w:hAnsi="Arial" w:cs="Arial"/>
                <w:sz w:val="16"/>
                <w:szCs w:val="16"/>
              </w:rPr>
              <w:t>,</w:t>
            </w:r>
            <w:r w:rsidRPr="00CD5714">
              <w:rPr>
                <w:rFonts w:ascii="Arial" w:hAnsi="Arial" w:cs="Arial"/>
                <w:sz w:val="16"/>
                <w:szCs w:val="16"/>
                <w:lang w:val="en-GB"/>
              </w:rPr>
              <w:t>729</w:t>
            </w:r>
          </w:p>
        </w:tc>
        <w:tc>
          <w:tcPr>
            <w:tcW w:w="792" w:type="dxa"/>
            <w:shd w:val="clear" w:color="auto" w:fill="auto"/>
            <w:vAlign w:val="bottom"/>
          </w:tcPr>
          <w:p w14:paraId="632AF45B" w14:textId="791B8209" w:rsidR="00E634A6" w:rsidRPr="002D2F67" w:rsidRDefault="00CD5714" w:rsidP="00E634A6">
            <w:pPr>
              <w:ind w:left="-64" w:right="-72"/>
              <w:contextualSpacing/>
              <w:jc w:val="right"/>
              <w:rPr>
                <w:rFonts w:ascii="Arial" w:hAnsi="Arial" w:cs="Arial"/>
                <w:sz w:val="16"/>
                <w:szCs w:val="16"/>
              </w:rPr>
            </w:pPr>
            <w:r w:rsidRPr="00CD5714">
              <w:rPr>
                <w:rFonts w:ascii="Arial" w:hAnsi="Arial" w:cs="Arial"/>
                <w:sz w:val="16"/>
                <w:szCs w:val="16"/>
                <w:lang w:val="en-GB"/>
              </w:rPr>
              <w:t>2</w:t>
            </w:r>
            <w:r w:rsidR="00E634A6" w:rsidRPr="002D2F67">
              <w:rPr>
                <w:rFonts w:ascii="Arial" w:hAnsi="Arial" w:cs="Arial"/>
                <w:sz w:val="16"/>
                <w:szCs w:val="16"/>
              </w:rPr>
              <w:t>,</w:t>
            </w:r>
            <w:r w:rsidRPr="00CD5714">
              <w:rPr>
                <w:rFonts w:ascii="Arial" w:hAnsi="Arial" w:cs="Arial"/>
                <w:sz w:val="16"/>
                <w:szCs w:val="16"/>
                <w:lang w:val="en-GB"/>
              </w:rPr>
              <w:t>090</w:t>
            </w:r>
          </w:p>
        </w:tc>
        <w:tc>
          <w:tcPr>
            <w:tcW w:w="792" w:type="dxa"/>
            <w:shd w:val="clear" w:color="auto" w:fill="auto"/>
            <w:vAlign w:val="bottom"/>
          </w:tcPr>
          <w:p w14:paraId="01ED3F53" w14:textId="2BF4EBBE" w:rsidR="00E634A6" w:rsidRPr="002D2F67" w:rsidRDefault="00CD5714" w:rsidP="00E634A6">
            <w:pPr>
              <w:ind w:left="-64" w:right="-72"/>
              <w:contextualSpacing/>
              <w:jc w:val="right"/>
              <w:rPr>
                <w:rFonts w:ascii="Arial" w:hAnsi="Arial" w:cs="Arial"/>
                <w:sz w:val="16"/>
                <w:szCs w:val="16"/>
              </w:rPr>
            </w:pPr>
            <w:r w:rsidRPr="00CD5714">
              <w:rPr>
                <w:rFonts w:ascii="Arial" w:hAnsi="Arial" w:cs="Arial"/>
                <w:sz w:val="16"/>
                <w:szCs w:val="16"/>
                <w:lang w:val="en-GB"/>
              </w:rPr>
              <w:t>10</w:t>
            </w:r>
            <w:r w:rsidR="00E634A6" w:rsidRPr="002D2F67">
              <w:rPr>
                <w:rFonts w:ascii="Arial" w:hAnsi="Arial" w:cs="Arial"/>
                <w:sz w:val="16"/>
                <w:szCs w:val="16"/>
              </w:rPr>
              <w:t>,</w:t>
            </w:r>
            <w:r w:rsidRPr="00CD5714">
              <w:rPr>
                <w:rFonts w:ascii="Arial" w:hAnsi="Arial" w:cs="Arial"/>
                <w:sz w:val="16"/>
                <w:szCs w:val="16"/>
                <w:lang w:val="en-GB"/>
              </w:rPr>
              <w:t>724</w:t>
            </w:r>
          </w:p>
        </w:tc>
        <w:tc>
          <w:tcPr>
            <w:tcW w:w="792" w:type="dxa"/>
            <w:shd w:val="clear" w:color="auto" w:fill="auto"/>
            <w:vAlign w:val="bottom"/>
          </w:tcPr>
          <w:p w14:paraId="05A2F4B9" w14:textId="5617C89C" w:rsidR="00E634A6" w:rsidRPr="002D2F67" w:rsidRDefault="00CD5714" w:rsidP="00E634A6">
            <w:pPr>
              <w:ind w:left="-64" w:right="-72"/>
              <w:contextualSpacing/>
              <w:jc w:val="right"/>
              <w:rPr>
                <w:rFonts w:ascii="Arial" w:hAnsi="Arial" w:cs="Arial"/>
                <w:sz w:val="16"/>
                <w:szCs w:val="16"/>
              </w:rPr>
            </w:pPr>
            <w:r w:rsidRPr="00CD5714">
              <w:rPr>
                <w:rFonts w:ascii="Arial" w:hAnsi="Arial" w:cs="Arial"/>
                <w:sz w:val="16"/>
                <w:szCs w:val="16"/>
                <w:lang w:val="en-GB"/>
              </w:rPr>
              <w:t>1</w:t>
            </w:r>
            <w:r w:rsidR="00E634A6" w:rsidRPr="002D2F67">
              <w:rPr>
                <w:rFonts w:ascii="Arial" w:hAnsi="Arial" w:cs="Arial"/>
                <w:sz w:val="16"/>
                <w:szCs w:val="16"/>
              </w:rPr>
              <w:t>,</w:t>
            </w:r>
            <w:r w:rsidRPr="00CD5714">
              <w:rPr>
                <w:rFonts w:ascii="Arial" w:hAnsi="Arial" w:cs="Arial"/>
                <w:sz w:val="16"/>
                <w:szCs w:val="16"/>
                <w:lang w:val="en-GB"/>
              </w:rPr>
              <w:t>386</w:t>
            </w:r>
          </w:p>
        </w:tc>
        <w:tc>
          <w:tcPr>
            <w:tcW w:w="792" w:type="dxa"/>
            <w:shd w:val="clear" w:color="auto" w:fill="auto"/>
            <w:vAlign w:val="bottom"/>
          </w:tcPr>
          <w:p w14:paraId="57931F12" w14:textId="73A2C030" w:rsidR="00E634A6" w:rsidRPr="002D2F67" w:rsidRDefault="00CD5714" w:rsidP="00E634A6">
            <w:pPr>
              <w:ind w:left="-64" w:right="-72"/>
              <w:contextualSpacing/>
              <w:jc w:val="right"/>
              <w:rPr>
                <w:rFonts w:ascii="Arial" w:hAnsi="Arial" w:cs="Arial"/>
                <w:sz w:val="16"/>
                <w:szCs w:val="20"/>
              </w:rPr>
            </w:pPr>
            <w:r w:rsidRPr="00CD5714">
              <w:rPr>
                <w:rFonts w:ascii="Arial" w:hAnsi="Arial" w:cs="Arial"/>
                <w:sz w:val="16"/>
                <w:szCs w:val="16"/>
                <w:lang w:val="en-GB"/>
              </w:rPr>
              <w:t>4</w:t>
            </w:r>
            <w:r w:rsidR="00E634A6" w:rsidRPr="002D2F67">
              <w:rPr>
                <w:rFonts w:ascii="Arial" w:hAnsi="Arial" w:cs="Arial"/>
                <w:sz w:val="16"/>
                <w:szCs w:val="16"/>
              </w:rPr>
              <w:t>,</w:t>
            </w:r>
            <w:r w:rsidRPr="00CD5714">
              <w:rPr>
                <w:rFonts w:ascii="Arial" w:hAnsi="Arial" w:cs="Arial"/>
                <w:sz w:val="16"/>
                <w:szCs w:val="16"/>
                <w:lang w:val="en-GB"/>
              </w:rPr>
              <w:t>709</w:t>
            </w:r>
          </w:p>
        </w:tc>
        <w:tc>
          <w:tcPr>
            <w:tcW w:w="792" w:type="dxa"/>
            <w:shd w:val="clear" w:color="auto" w:fill="auto"/>
            <w:vAlign w:val="bottom"/>
          </w:tcPr>
          <w:p w14:paraId="421BD969" w14:textId="61B9A206" w:rsidR="00E634A6" w:rsidRPr="002D2F67" w:rsidRDefault="00E634A6" w:rsidP="00E634A6">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shd w:val="clear" w:color="auto" w:fill="auto"/>
            <w:vAlign w:val="bottom"/>
          </w:tcPr>
          <w:p w14:paraId="41706092" w14:textId="6F119879" w:rsidR="00E634A6" w:rsidRPr="002D2F67" w:rsidRDefault="00CD5714" w:rsidP="00E634A6">
            <w:pPr>
              <w:ind w:left="-64" w:right="-72"/>
              <w:contextualSpacing/>
              <w:jc w:val="right"/>
              <w:rPr>
                <w:rFonts w:ascii="Arial" w:hAnsi="Arial" w:cs="Arial"/>
                <w:sz w:val="16"/>
                <w:szCs w:val="16"/>
              </w:rPr>
            </w:pPr>
            <w:r w:rsidRPr="00CD5714">
              <w:rPr>
                <w:rFonts w:ascii="Arial" w:hAnsi="Arial" w:cs="Arial"/>
                <w:sz w:val="16"/>
                <w:szCs w:val="16"/>
                <w:lang w:val="en-GB"/>
              </w:rPr>
              <w:t>15</w:t>
            </w:r>
          </w:p>
        </w:tc>
        <w:tc>
          <w:tcPr>
            <w:tcW w:w="792" w:type="dxa"/>
            <w:shd w:val="clear" w:color="auto" w:fill="auto"/>
            <w:vAlign w:val="bottom"/>
          </w:tcPr>
          <w:p w14:paraId="0F358933" w14:textId="552F2CDD" w:rsidR="00E634A6" w:rsidRPr="002D2F67" w:rsidRDefault="00CD5714" w:rsidP="00E634A6">
            <w:pPr>
              <w:ind w:left="-64" w:right="-72"/>
              <w:contextualSpacing/>
              <w:jc w:val="right"/>
              <w:rPr>
                <w:rFonts w:ascii="Arial" w:hAnsi="Arial" w:cs="Arial"/>
                <w:sz w:val="16"/>
                <w:szCs w:val="16"/>
              </w:rPr>
            </w:pPr>
            <w:r w:rsidRPr="00CD5714">
              <w:rPr>
                <w:rFonts w:ascii="Arial" w:hAnsi="Arial" w:cs="Arial"/>
                <w:sz w:val="16"/>
                <w:szCs w:val="16"/>
                <w:lang w:val="en-GB"/>
              </w:rPr>
              <w:t>4</w:t>
            </w:r>
            <w:r w:rsidR="00E634A6" w:rsidRPr="002D2F67">
              <w:rPr>
                <w:rFonts w:ascii="Arial" w:hAnsi="Arial" w:cs="Arial"/>
                <w:sz w:val="16"/>
                <w:szCs w:val="16"/>
              </w:rPr>
              <w:t>,</w:t>
            </w:r>
            <w:r w:rsidRPr="00CD5714">
              <w:rPr>
                <w:rFonts w:ascii="Arial" w:hAnsi="Arial" w:cs="Arial"/>
                <w:sz w:val="16"/>
                <w:szCs w:val="16"/>
                <w:lang w:val="en-GB"/>
              </w:rPr>
              <w:t>266</w:t>
            </w:r>
          </w:p>
        </w:tc>
        <w:tc>
          <w:tcPr>
            <w:tcW w:w="792" w:type="dxa"/>
            <w:shd w:val="clear" w:color="auto" w:fill="auto"/>
            <w:vAlign w:val="bottom"/>
          </w:tcPr>
          <w:p w14:paraId="13DD19EF" w14:textId="2C8B1EAF" w:rsidR="00E634A6" w:rsidRPr="002D2F67" w:rsidRDefault="00CD5714" w:rsidP="00E634A6">
            <w:pPr>
              <w:ind w:left="-64" w:right="-72"/>
              <w:contextualSpacing/>
              <w:jc w:val="right"/>
              <w:rPr>
                <w:rFonts w:ascii="Arial" w:hAnsi="Arial" w:cs="Arial"/>
                <w:sz w:val="16"/>
                <w:szCs w:val="16"/>
              </w:rPr>
            </w:pPr>
            <w:r w:rsidRPr="00CD5714">
              <w:rPr>
                <w:rFonts w:ascii="Arial" w:hAnsi="Arial" w:cs="Arial"/>
                <w:sz w:val="16"/>
                <w:szCs w:val="16"/>
                <w:lang w:val="en-GB"/>
              </w:rPr>
              <w:t>22</w:t>
            </w:r>
            <w:r w:rsidR="00E634A6" w:rsidRPr="002D2F67">
              <w:rPr>
                <w:rFonts w:ascii="Arial" w:hAnsi="Arial" w:cs="Arial"/>
                <w:sz w:val="16"/>
                <w:szCs w:val="16"/>
              </w:rPr>
              <w:t>,</w:t>
            </w:r>
            <w:r w:rsidRPr="00CD5714">
              <w:rPr>
                <w:rFonts w:ascii="Arial" w:hAnsi="Arial" w:cs="Arial"/>
                <w:sz w:val="16"/>
                <w:szCs w:val="16"/>
                <w:lang w:val="en-GB"/>
              </w:rPr>
              <w:t>250</w:t>
            </w:r>
          </w:p>
        </w:tc>
        <w:tc>
          <w:tcPr>
            <w:tcW w:w="792" w:type="dxa"/>
            <w:shd w:val="clear" w:color="auto" w:fill="auto"/>
            <w:vAlign w:val="bottom"/>
          </w:tcPr>
          <w:p w14:paraId="2438A657" w14:textId="73F64B06" w:rsidR="00E634A6" w:rsidRPr="002D2F67" w:rsidRDefault="00E634A6" w:rsidP="00E634A6">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5</w:t>
            </w:r>
            <w:r w:rsidRPr="002D2F67">
              <w:rPr>
                <w:rFonts w:ascii="Arial" w:hAnsi="Arial" w:cs="Arial"/>
                <w:sz w:val="16"/>
                <w:szCs w:val="16"/>
              </w:rPr>
              <w:t>,</w:t>
            </w:r>
            <w:r w:rsidR="00CD5714" w:rsidRPr="00CD5714">
              <w:rPr>
                <w:rFonts w:ascii="Arial" w:hAnsi="Arial" w:cs="Arial"/>
                <w:sz w:val="16"/>
                <w:szCs w:val="16"/>
                <w:lang w:val="en-GB"/>
              </w:rPr>
              <w:t>572</w:t>
            </w:r>
            <w:r w:rsidRPr="002D2F67">
              <w:rPr>
                <w:rFonts w:ascii="Arial" w:hAnsi="Arial" w:cs="Arial"/>
                <w:sz w:val="16"/>
                <w:szCs w:val="16"/>
              </w:rPr>
              <w:t>)</w:t>
            </w:r>
          </w:p>
        </w:tc>
        <w:tc>
          <w:tcPr>
            <w:tcW w:w="792" w:type="dxa"/>
            <w:shd w:val="clear" w:color="auto" w:fill="auto"/>
            <w:vAlign w:val="bottom"/>
          </w:tcPr>
          <w:p w14:paraId="2C521A25" w14:textId="6D919A24" w:rsidR="00E634A6" w:rsidRPr="002D2F67" w:rsidRDefault="00E634A6" w:rsidP="00E634A6">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26</w:t>
            </w:r>
            <w:r w:rsidRPr="002D2F67">
              <w:rPr>
                <w:rFonts w:ascii="Arial" w:hAnsi="Arial" w:cs="Arial"/>
                <w:sz w:val="16"/>
                <w:szCs w:val="16"/>
              </w:rPr>
              <w:t>,</w:t>
            </w:r>
            <w:r w:rsidR="00CD5714" w:rsidRPr="00CD5714">
              <w:rPr>
                <w:rFonts w:ascii="Arial" w:hAnsi="Arial" w:cs="Arial"/>
                <w:sz w:val="16"/>
                <w:szCs w:val="16"/>
                <w:lang w:val="en-GB"/>
              </w:rPr>
              <w:t>162</w:t>
            </w:r>
            <w:r w:rsidRPr="002D2F67">
              <w:rPr>
                <w:rFonts w:ascii="Arial" w:hAnsi="Arial" w:cs="Arial"/>
                <w:sz w:val="16"/>
                <w:szCs w:val="16"/>
              </w:rPr>
              <w:t>)</w:t>
            </w:r>
          </w:p>
        </w:tc>
        <w:tc>
          <w:tcPr>
            <w:tcW w:w="792" w:type="dxa"/>
            <w:shd w:val="clear" w:color="auto" w:fill="auto"/>
            <w:vAlign w:val="bottom"/>
          </w:tcPr>
          <w:p w14:paraId="64C1BC4E" w14:textId="14419F84" w:rsidR="00E634A6" w:rsidRPr="002D2F67" w:rsidRDefault="00CD5714" w:rsidP="00E634A6">
            <w:pPr>
              <w:ind w:left="-64" w:right="-72"/>
              <w:contextualSpacing/>
              <w:jc w:val="right"/>
              <w:rPr>
                <w:rFonts w:ascii="Arial" w:hAnsi="Arial" w:cs="Arial"/>
                <w:sz w:val="16"/>
                <w:szCs w:val="16"/>
              </w:rPr>
            </w:pPr>
            <w:r w:rsidRPr="00CD5714">
              <w:rPr>
                <w:rFonts w:ascii="Arial" w:hAnsi="Arial" w:cs="Arial"/>
                <w:sz w:val="16"/>
                <w:szCs w:val="16"/>
                <w:lang w:val="en-GB"/>
              </w:rPr>
              <w:t>16</w:t>
            </w:r>
            <w:r w:rsidR="00E634A6" w:rsidRPr="002D2F67">
              <w:rPr>
                <w:rFonts w:ascii="Arial" w:hAnsi="Arial" w:cs="Arial"/>
                <w:sz w:val="16"/>
                <w:szCs w:val="16"/>
              </w:rPr>
              <w:t>,</w:t>
            </w:r>
            <w:r w:rsidRPr="00CD5714">
              <w:rPr>
                <w:rFonts w:ascii="Arial" w:hAnsi="Arial" w:cs="Arial"/>
                <w:sz w:val="16"/>
                <w:szCs w:val="16"/>
                <w:lang w:val="en-GB"/>
              </w:rPr>
              <w:t>534</w:t>
            </w:r>
          </w:p>
        </w:tc>
        <w:tc>
          <w:tcPr>
            <w:tcW w:w="792" w:type="dxa"/>
            <w:shd w:val="clear" w:color="auto" w:fill="auto"/>
            <w:vAlign w:val="bottom"/>
          </w:tcPr>
          <w:p w14:paraId="7761E562" w14:textId="6746EED4" w:rsidR="00E634A6" w:rsidRPr="002D2F67" w:rsidRDefault="00CD5714" w:rsidP="00E634A6">
            <w:pPr>
              <w:ind w:left="-64" w:right="-72"/>
              <w:contextualSpacing/>
              <w:jc w:val="right"/>
              <w:rPr>
                <w:rFonts w:ascii="Arial" w:hAnsi="Arial" w:cs="Arial"/>
                <w:sz w:val="16"/>
                <w:szCs w:val="16"/>
              </w:rPr>
            </w:pPr>
            <w:r w:rsidRPr="00CD5714">
              <w:rPr>
                <w:rFonts w:ascii="Arial" w:hAnsi="Arial" w:cs="Arial"/>
                <w:sz w:val="16"/>
                <w:szCs w:val="16"/>
                <w:lang w:val="en-GB"/>
              </w:rPr>
              <w:t>29</w:t>
            </w:r>
            <w:r w:rsidR="00336066" w:rsidRPr="002D2F67">
              <w:rPr>
                <w:rFonts w:ascii="Arial" w:hAnsi="Arial" w:cs="Arial"/>
                <w:sz w:val="16"/>
                <w:szCs w:val="16"/>
              </w:rPr>
              <w:t>,</w:t>
            </w:r>
            <w:r w:rsidRPr="00CD5714">
              <w:rPr>
                <w:rFonts w:ascii="Arial" w:hAnsi="Arial" w:cs="Arial"/>
                <w:sz w:val="16"/>
                <w:szCs w:val="16"/>
                <w:lang w:val="en-GB"/>
              </w:rPr>
              <w:t>912</w:t>
            </w:r>
          </w:p>
        </w:tc>
      </w:tr>
      <w:tr w:rsidR="00E634A6" w:rsidRPr="002D2F67" w14:paraId="7BBB0F99" w14:textId="77777777" w:rsidTr="00782C44">
        <w:trPr>
          <w:trHeight w:val="131"/>
        </w:trPr>
        <w:tc>
          <w:tcPr>
            <w:tcW w:w="3032" w:type="dxa"/>
            <w:shd w:val="clear" w:color="auto" w:fill="auto"/>
          </w:tcPr>
          <w:p w14:paraId="6B2DE715" w14:textId="6C3445E8" w:rsidR="00E634A6" w:rsidRPr="002D2F67" w:rsidRDefault="00E634A6" w:rsidP="00E634A6">
            <w:pPr>
              <w:widowControl w:val="0"/>
              <w:ind w:left="44" w:right="-76" w:hanging="140"/>
              <w:contextualSpacing/>
              <w:rPr>
                <w:rFonts w:ascii="Arial" w:hAnsi="Arial" w:cs="Arial"/>
                <w:sz w:val="16"/>
                <w:szCs w:val="16"/>
                <w:cs/>
                <w:lang w:val="en-AU"/>
              </w:rPr>
            </w:pPr>
            <w:r w:rsidRPr="002D2F67">
              <w:rPr>
                <w:rFonts w:ascii="Arial" w:hAnsi="Arial" w:cs="Arial"/>
                <w:spacing w:val="-2"/>
                <w:sz w:val="16"/>
                <w:szCs w:val="16"/>
              </w:rPr>
              <w:t>Over time</w:t>
            </w:r>
          </w:p>
        </w:tc>
        <w:tc>
          <w:tcPr>
            <w:tcW w:w="792" w:type="dxa"/>
            <w:tcBorders>
              <w:bottom w:val="single" w:sz="4" w:space="0" w:color="auto"/>
            </w:tcBorders>
            <w:shd w:val="clear" w:color="auto" w:fill="auto"/>
            <w:vAlign w:val="bottom"/>
          </w:tcPr>
          <w:p w14:paraId="5B070B83" w14:textId="2789FFAA" w:rsidR="00E634A6" w:rsidRPr="002D2F67" w:rsidRDefault="00E634A6" w:rsidP="00E634A6">
            <w:pPr>
              <w:widowControl w:val="0"/>
              <w:ind w:left="-64" w:right="-72"/>
              <w:contextualSpacing/>
              <w:jc w:val="right"/>
              <w:rPr>
                <w:rFonts w:ascii="Arial" w:hAnsi="Arial" w:cs="Arial"/>
                <w:sz w:val="16"/>
                <w:szCs w:val="16"/>
              </w:rPr>
            </w:pPr>
            <w:r w:rsidRPr="002D2F67">
              <w:rPr>
                <w:rFonts w:ascii="Arial" w:hAnsi="Arial" w:cs="Arial"/>
                <w:sz w:val="16"/>
                <w:szCs w:val="16"/>
              </w:rPr>
              <w:t>-</w:t>
            </w:r>
          </w:p>
        </w:tc>
        <w:tc>
          <w:tcPr>
            <w:tcW w:w="792" w:type="dxa"/>
            <w:tcBorders>
              <w:bottom w:val="single" w:sz="4" w:space="0" w:color="auto"/>
            </w:tcBorders>
            <w:shd w:val="clear" w:color="auto" w:fill="auto"/>
            <w:vAlign w:val="bottom"/>
          </w:tcPr>
          <w:p w14:paraId="385181C6" w14:textId="7421E8A8" w:rsidR="00E634A6" w:rsidRPr="002D2F67" w:rsidRDefault="00E634A6" w:rsidP="00E634A6">
            <w:pPr>
              <w:widowControl w:val="0"/>
              <w:ind w:left="-64" w:right="-72"/>
              <w:contextualSpacing/>
              <w:jc w:val="right"/>
              <w:rPr>
                <w:rFonts w:ascii="Arial" w:hAnsi="Arial" w:cs="Arial"/>
                <w:sz w:val="16"/>
                <w:szCs w:val="16"/>
              </w:rPr>
            </w:pPr>
            <w:r w:rsidRPr="002D2F67">
              <w:rPr>
                <w:rFonts w:ascii="Arial" w:hAnsi="Arial" w:cs="Arial"/>
                <w:sz w:val="16"/>
                <w:szCs w:val="16"/>
              </w:rPr>
              <w:t>-</w:t>
            </w:r>
          </w:p>
        </w:tc>
        <w:tc>
          <w:tcPr>
            <w:tcW w:w="792" w:type="dxa"/>
            <w:tcBorders>
              <w:bottom w:val="single" w:sz="4" w:space="0" w:color="auto"/>
            </w:tcBorders>
            <w:shd w:val="clear" w:color="auto" w:fill="auto"/>
            <w:vAlign w:val="bottom"/>
          </w:tcPr>
          <w:p w14:paraId="29EC52F6" w14:textId="53E7754F" w:rsidR="00E634A6" w:rsidRPr="002D2F67" w:rsidRDefault="00E634A6" w:rsidP="00E634A6">
            <w:pPr>
              <w:widowControl w:val="0"/>
              <w:ind w:left="-64" w:right="-72"/>
              <w:contextualSpacing/>
              <w:jc w:val="right"/>
              <w:rPr>
                <w:rFonts w:ascii="Arial" w:hAnsi="Arial" w:cs="Arial"/>
                <w:sz w:val="16"/>
                <w:szCs w:val="16"/>
              </w:rPr>
            </w:pPr>
            <w:r w:rsidRPr="002D2F67">
              <w:rPr>
                <w:rFonts w:ascii="Arial" w:hAnsi="Arial" w:cs="Arial"/>
                <w:sz w:val="16"/>
                <w:szCs w:val="16"/>
              </w:rPr>
              <w:t>-</w:t>
            </w:r>
          </w:p>
        </w:tc>
        <w:tc>
          <w:tcPr>
            <w:tcW w:w="792" w:type="dxa"/>
            <w:tcBorders>
              <w:bottom w:val="single" w:sz="4" w:space="0" w:color="auto"/>
            </w:tcBorders>
            <w:shd w:val="clear" w:color="auto" w:fill="auto"/>
            <w:vAlign w:val="bottom"/>
          </w:tcPr>
          <w:p w14:paraId="6A376C86" w14:textId="718C3056" w:rsidR="00E634A6" w:rsidRPr="002D2F67" w:rsidRDefault="00E634A6" w:rsidP="00E634A6">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tcBorders>
              <w:bottom w:val="single" w:sz="4" w:space="0" w:color="auto"/>
            </w:tcBorders>
            <w:shd w:val="clear" w:color="auto" w:fill="auto"/>
            <w:vAlign w:val="bottom"/>
          </w:tcPr>
          <w:p w14:paraId="6B4B439E" w14:textId="7631604E" w:rsidR="00E634A6" w:rsidRPr="002D2F67" w:rsidRDefault="00CD5714" w:rsidP="00E634A6">
            <w:pPr>
              <w:ind w:left="-64" w:right="-72"/>
              <w:contextualSpacing/>
              <w:jc w:val="right"/>
              <w:rPr>
                <w:rFonts w:ascii="Arial" w:hAnsi="Arial" w:cs="Arial"/>
                <w:sz w:val="16"/>
                <w:szCs w:val="16"/>
              </w:rPr>
            </w:pPr>
            <w:r w:rsidRPr="00CD5714">
              <w:rPr>
                <w:rFonts w:ascii="Arial" w:hAnsi="Arial" w:cs="Arial"/>
                <w:sz w:val="16"/>
                <w:szCs w:val="16"/>
                <w:lang w:val="en-GB"/>
              </w:rPr>
              <w:t>510</w:t>
            </w:r>
          </w:p>
        </w:tc>
        <w:tc>
          <w:tcPr>
            <w:tcW w:w="792" w:type="dxa"/>
            <w:tcBorders>
              <w:bottom w:val="single" w:sz="4" w:space="0" w:color="auto"/>
            </w:tcBorders>
            <w:shd w:val="clear" w:color="auto" w:fill="auto"/>
            <w:vAlign w:val="bottom"/>
          </w:tcPr>
          <w:p w14:paraId="416DF6AA" w14:textId="42823A3B" w:rsidR="00E634A6" w:rsidRPr="002D2F67" w:rsidRDefault="00CD5714" w:rsidP="00E634A6">
            <w:pPr>
              <w:ind w:left="-64" w:right="-72"/>
              <w:contextualSpacing/>
              <w:jc w:val="right"/>
              <w:rPr>
                <w:rFonts w:ascii="Arial" w:hAnsi="Arial" w:cs="Arial"/>
                <w:sz w:val="16"/>
                <w:szCs w:val="16"/>
              </w:rPr>
            </w:pPr>
            <w:r w:rsidRPr="00CD5714">
              <w:rPr>
                <w:rFonts w:ascii="Arial" w:hAnsi="Arial" w:cs="Arial"/>
                <w:sz w:val="16"/>
                <w:szCs w:val="16"/>
                <w:lang w:val="en-GB"/>
              </w:rPr>
              <w:t>653</w:t>
            </w:r>
          </w:p>
        </w:tc>
        <w:tc>
          <w:tcPr>
            <w:tcW w:w="792" w:type="dxa"/>
            <w:tcBorders>
              <w:bottom w:val="single" w:sz="4" w:space="0" w:color="auto"/>
            </w:tcBorders>
            <w:shd w:val="clear" w:color="auto" w:fill="auto"/>
            <w:vAlign w:val="bottom"/>
          </w:tcPr>
          <w:p w14:paraId="329CB1BF" w14:textId="2C9CBFCB" w:rsidR="00E634A6" w:rsidRPr="002D2F67" w:rsidRDefault="00E634A6" w:rsidP="00E634A6">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tcBorders>
              <w:bottom w:val="single" w:sz="4" w:space="0" w:color="auto"/>
            </w:tcBorders>
            <w:shd w:val="clear" w:color="auto" w:fill="auto"/>
            <w:vAlign w:val="bottom"/>
          </w:tcPr>
          <w:p w14:paraId="405BCBFF" w14:textId="1476A43E" w:rsidR="00E634A6" w:rsidRPr="002D2F67" w:rsidRDefault="00E634A6" w:rsidP="00E634A6">
            <w:pPr>
              <w:ind w:left="-64" w:right="-72"/>
              <w:contextualSpacing/>
              <w:jc w:val="right"/>
              <w:rPr>
                <w:rFonts w:ascii="Arial" w:hAnsi="Arial" w:cs="Arial"/>
                <w:sz w:val="16"/>
                <w:szCs w:val="16"/>
              </w:rPr>
            </w:pPr>
            <w:r w:rsidRPr="002D2F67">
              <w:rPr>
                <w:rFonts w:ascii="Arial" w:hAnsi="Arial" w:cs="Arial"/>
                <w:sz w:val="16"/>
                <w:szCs w:val="16"/>
              </w:rPr>
              <w:t>-</w:t>
            </w:r>
          </w:p>
        </w:tc>
        <w:tc>
          <w:tcPr>
            <w:tcW w:w="792" w:type="dxa"/>
            <w:tcBorders>
              <w:bottom w:val="single" w:sz="4" w:space="0" w:color="auto"/>
            </w:tcBorders>
            <w:shd w:val="clear" w:color="auto" w:fill="auto"/>
            <w:vAlign w:val="bottom"/>
          </w:tcPr>
          <w:p w14:paraId="1CADC6C9" w14:textId="20D64061" w:rsidR="00E634A6" w:rsidRPr="002D2F67" w:rsidRDefault="00CD5714" w:rsidP="00E634A6">
            <w:pPr>
              <w:ind w:left="-64" w:right="-72"/>
              <w:contextualSpacing/>
              <w:jc w:val="right"/>
              <w:rPr>
                <w:rFonts w:ascii="Arial" w:hAnsi="Arial" w:cs="Arial"/>
                <w:sz w:val="16"/>
                <w:szCs w:val="16"/>
              </w:rPr>
            </w:pPr>
            <w:r w:rsidRPr="00CD5714">
              <w:rPr>
                <w:rFonts w:ascii="Arial" w:hAnsi="Arial" w:cs="Arial"/>
                <w:sz w:val="16"/>
                <w:szCs w:val="16"/>
                <w:lang w:val="en-GB"/>
              </w:rPr>
              <w:t>1</w:t>
            </w:r>
            <w:r w:rsidR="00E634A6" w:rsidRPr="002D2F67">
              <w:rPr>
                <w:rFonts w:ascii="Arial" w:hAnsi="Arial" w:cs="Arial"/>
                <w:sz w:val="16"/>
                <w:szCs w:val="16"/>
              </w:rPr>
              <w:t>,</w:t>
            </w:r>
            <w:r w:rsidRPr="00CD5714">
              <w:rPr>
                <w:rFonts w:ascii="Arial" w:hAnsi="Arial" w:cs="Arial"/>
                <w:sz w:val="16"/>
                <w:szCs w:val="16"/>
                <w:lang w:val="en-GB"/>
              </w:rPr>
              <w:t>259</w:t>
            </w:r>
          </w:p>
        </w:tc>
        <w:tc>
          <w:tcPr>
            <w:tcW w:w="792" w:type="dxa"/>
            <w:tcBorders>
              <w:bottom w:val="single" w:sz="4" w:space="0" w:color="auto"/>
            </w:tcBorders>
            <w:shd w:val="clear" w:color="auto" w:fill="auto"/>
            <w:vAlign w:val="bottom"/>
          </w:tcPr>
          <w:p w14:paraId="51AFDBFE" w14:textId="376D4AEF" w:rsidR="00E634A6" w:rsidRPr="002D2F67" w:rsidRDefault="00CD5714" w:rsidP="00E634A6">
            <w:pPr>
              <w:ind w:left="-64" w:right="-72"/>
              <w:contextualSpacing/>
              <w:jc w:val="right"/>
              <w:rPr>
                <w:rFonts w:ascii="Arial" w:hAnsi="Arial" w:cs="Arial"/>
                <w:sz w:val="16"/>
                <w:szCs w:val="16"/>
              </w:rPr>
            </w:pPr>
            <w:r w:rsidRPr="00CD5714">
              <w:rPr>
                <w:rFonts w:ascii="Arial" w:hAnsi="Arial" w:cs="Arial"/>
                <w:sz w:val="16"/>
                <w:szCs w:val="16"/>
                <w:lang w:val="en-GB"/>
              </w:rPr>
              <w:t>800</w:t>
            </w:r>
          </w:p>
        </w:tc>
        <w:tc>
          <w:tcPr>
            <w:tcW w:w="792" w:type="dxa"/>
            <w:tcBorders>
              <w:bottom w:val="single" w:sz="4" w:space="0" w:color="auto"/>
            </w:tcBorders>
            <w:shd w:val="clear" w:color="auto" w:fill="auto"/>
            <w:vAlign w:val="bottom"/>
          </w:tcPr>
          <w:p w14:paraId="62978A58" w14:textId="1FD1A3D0" w:rsidR="00E634A6" w:rsidRPr="002D2F67" w:rsidRDefault="00CD5714" w:rsidP="00E634A6">
            <w:pPr>
              <w:ind w:left="-64" w:right="-72"/>
              <w:contextualSpacing/>
              <w:jc w:val="right"/>
              <w:rPr>
                <w:rFonts w:ascii="Arial" w:hAnsi="Arial" w:cs="Arial"/>
                <w:sz w:val="16"/>
                <w:szCs w:val="16"/>
              </w:rPr>
            </w:pPr>
            <w:r w:rsidRPr="00CD5714">
              <w:rPr>
                <w:rFonts w:ascii="Arial" w:hAnsi="Arial" w:cs="Arial"/>
                <w:sz w:val="16"/>
                <w:szCs w:val="16"/>
                <w:lang w:val="en-GB"/>
              </w:rPr>
              <w:t>2</w:t>
            </w:r>
            <w:r w:rsidR="00E634A6" w:rsidRPr="002D2F67">
              <w:rPr>
                <w:rFonts w:ascii="Arial" w:hAnsi="Arial" w:cs="Arial"/>
                <w:sz w:val="16"/>
                <w:szCs w:val="16"/>
              </w:rPr>
              <w:t>,</w:t>
            </w:r>
            <w:r w:rsidRPr="00CD5714">
              <w:rPr>
                <w:rFonts w:ascii="Arial" w:hAnsi="Arial" w:cs="Arial"/>
                <w:sz w:val="16"/>
                <w:szCs w:val="16"/>
                <w:lang w:val="en-GB"/>
              </w:rPr>
              <w:t>483</w:t>
            </w:r>
          </w:p>
        </w:tc>
        <w:tc>
          <w:tcPr>
            <w:tcW w:w="792" w:type="dxa"/>
            <w:tcBorders>
              <w:bottom w:val="single" w:sz="4" w:space="0" w:color="auto"/>
            </w:tcBorders>
            <w:shd w:val="clear" w:color="auto" w:fill="auto"/>
            <w:vAlign w:val="bottom"/>
          </w:tcPr>
          <w:p w14:paraId="6AA34176" w14:textId="361F56A0" w:rsidR="00E634A6" w:rsidRPr="002D2F67" w:rsidRDefault="00CD5714" w:rsidP="00E634A6">
            <w:pPr>
              <w:ind w:left="-64" w:right="-72"/>
              <w:contextualSpacing/>
              <w:jc w:val="right"/>
              <w:rPr>
                <w:rFonts w:ascii="Arial" w:hAnsi="Arial" w:cs="Arial"/>
                <w:sz w:val="16"/>
                <w:szCs w:val="16"/>
              </w:rPr>
            </w:pPr>
            <w:r w:rsidRPr="00CD5714">
              <w:rPr>
                <w:rFonts w:ascii="Arial" w:hAnsi="Arial" w:cs="Arial"/>
                <w:sz w:val="16"/>
                <w:szCs w:val="16"/>
                <w:lang w:val="en-GB"/>
              </w:rPr>
              <w:t>1</w:t>
            </w:r>
            <w:r w:rsidR="00E634A6" w:rsidRPr="002D2F67">
              <w:rPr>
                <w:rFonts w:ascii="Arial" w:hAnsi="Arial" w:cs="Arial"/>
                <w:sz w:val="16"/>
                <w:szCs w:val="16"/>
              </w:rPr>
              <w:t>,</w:t>
            </w:r>
            <w:r w:rsidRPr="00CD5714">
              <w:rPr>
                <w:rFonts w:ascii="Arial" w:hAnsi="Arial" w:cs="Arial"/>
                <w:sz w:val="16"/>
                <w:szCs w:val="16"/>
                <w:lang w:val="en-GB"/>
              </w:rPr>
              <w:t>955</w:t>
            </w:r>
          </w:p>
        </w:tc>
        <w:tc>
          <w:tcPr>
            <w:tcW w:w="792" w:type="dxa"/>
            <w:tcBorders>
              <w:bottom w:val="single" w:sz="4" w:space="0" w:color="auto"/>
            </w:tcBorders>
            <w:shd w:val="clear" w:color="auto" w:fill="auto"/>
            <w:vAlign w:val="bottom"/>
          </w:tcPr>
          <w:p w14:paraId="14133080" w14:textId="4A3F6968" w:rsidR="00E634A6" w:rsidRPr="002D2F67" w:rsidRDefault="00E634A6" w:rsidP="00E634A6">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2</w:t>
            </w:r>
            <w:r w:rsidRPr="002D2F67">
              <w:rPr>
                <w:rFonts w:ascii="Arial" w:hAnsi="Arial" w:cs="Arial"/>
                <w:sz w:val="16"/>
                <w:szCs w:val="16"/>
              </w:rPr>
              <w:t>,</w:t>
            </w:r>
            <w:r w:rsidR="00CD5714" w:rsidRPr="00CD5714">
              <w:rPr>
                <w:rFonts w:ascii="Arial" w:hAnsi="Arial" w:cs="Arial"/>
                <w:sz w:val="16"/>
                <w:szCs w:val="16"/>
                <w:lang w:val="en-GB"/>
              </w:rPr>
              <w:t>265</w:t>
            </w:r>
            <w:r w:rsidRPr="002D2F67">
              <w:rPr>
                <w:rFonts w:ascii="Arial" w:hAnsi="Arial" w:cs="Arial"/>
                <w:sz w:val="16"/>
                <w:szCs w:val="16"/>
              </w:rPr>
              <w:t>)</w:t>
            </w:r>
          </w:p>
        </w:tc>
        <w:tc>
          <w:tcPr>
            <w:tcW w:w="792" w:type="dxa"/>
            <w:tcBorders>
              <w:bottom w:val="single" w:sz="4" w:space="0" w:color="auto"/>
            </w:tcBorders>
            <w:shd w:val="clear" w:color="auto" w:fill="auto"/>
            <w:vAlign w:val="bottom"/>
          </w:tcPr>
          <w:p w14:paraId="3F384FCE" w14:textId="55C135B6" w:rsidR="00E634A6" w:rsidRPr="002D2F67" w:rsidRDefault="00E634A6" w:rsidP="00E634A6">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1</w:t>
            </w:r>
            <w:r w:rsidRPr="002D2F67">
              <w:rPr>
                <w:rFonts w:ascii="Arial" w:hAnsi="Arial" w:cs="Arial"/>
                <w:sz w:val="16"/>
                <w:szCs w:val="16"/>
              </w:rPr>
              <w:t>,</w:t>
            </w:r>
            <w:r w:rsidR="00CD5714" w:rsidRPr="00CD5714">
              <w:rPr>
                <w:rFonts w:ascii="Arial" w:hAnsi="Arial" w:cs="Arial"/>
                <w:sz w:val="16"/>
                <w:szCs w:val="16"/>
                <w:lang w:val="en-GB"/>
              </w:rPr>
              <w:t>722</w:t>
            </w:r>
            <w:r w:rsidRPr="002D2F67">
              <w:rPr>
                <w:rFonts w:ascii="Arial" w:hAnsi="Arial" w:cs="Arial"/>
                <w:sz w:val="16"/>
                <w:szCs w:val="16"/>
              </w:rPr>
              <w:t>)</w:t>
            </w:r>
          </w:p>
        </w:tc>
        <w:tc>
          <w:tcPr>
            <w:tcW w:w="792" w:type="dxa"/>
            <w:tcBorders>
              <w:bottom w:val="single" w:sz="4" w:space="0" w:color="auto"/>
            </w:tcBorders>
            <w:shd w:val="clear" w:color="auto" w:fill="auto"/>
            <w:vAlign w:val="bottom"/>
          </w:tcPr>
          <w:p w14:paraId="6E5A593D" w14:textId="38A6F1CB" w:rsidR="00E634A6" w:rsidRPr="002D2F67" w:rsidRDefault="00CD5714" w:rsidP="00E634A6">
            <w:pPr>
              <w:ind w:left="-64" w:right="-72"/>
              <w:contextualSpacing/>
              <w:jc w:val="right"/>
              <w:rPr>
                <w:rFonts w:ascii="Arial" w:hAnsi="Arial" w:cs="Arial"/>
                <w:sz w:val="16"/>
                <w:szCs w:val="16"/>
              </w:rPr>
            </w:pPr>
            <w:r w:rsidRPr="00CD5714">
              <w:rPr>
                <w:rFonts w:ascii="Arial" w:hAnsi="Arial" w:cs="Arial"/>
                <w:sz w:val="16"/>
                <w:szCs w:val="16"/>
                <w:lang w:val="en-GB"/>
              </w:rPr>
              <w:t>1</w:t>
            </w:r>
            <w:r w:rsidR="00E634A6" w:rsidRPr="002D2F67">
              <w:rPr>
                <w:rFonts w:ascii="Arial" w:hAnsi="Arial" w:cs="Arial"/>
                <w:sz w:val="16"/>
                <w:szCs w:val="16"/>
              </w:rPr>
              <w:t>,</w:t>
            </w:r>
            <w:r w:rsidRPr="00CD5714">
              <w:rPr>
                <w:rFonts w:ascii="Arial" w:hAnsi="Arial" w:cs="Arial"/>
                <w:sz w:val="16"/>
                <w:szCs w:val="16"/>
                <w:lang w:val="en-GB"/>
              </w:rPr>
              <w:t>988</w:t>
            </w:r>
          </w:p>
        </w:tc>
        <w:tc>
          <w:tcPr>
            <w:tcW w:w="792" w:type="dxa"/>
            <w:tcBorders>
              <w:bottom w:val="single" w:sz="4" w:space="0" w:color="auto"/>
            </w:tcBorders>
            <w:shd w:val="clear" w:color="auto" w:fill="auto"/>
            <w:vAlign w:val="bottom"/>
          </w:tcPr>
          <w:p w14:paraId="1B1E7D56" w14:textId="3B479D03" w:rsidR="00E634A6" w:rsidRPr="002D2F67" w:rsidRDefault="00CD5714" w:rsidP="00E634A6">
            <w:pPr>
              <w:ind w:left="-64" w:right="-72"/>
              <w:contextualSpacing/>
              <w:jc w:val="right"/>
              <w:rPr>
                <w:rFonts w:ascii="Arial" w:hAnsi="Arial" w:cs="Arial"/>
                <w:sz w:val="16"/>
                <w:szCs w:val="16"/>
              </w:rPr>
            </w:pPr>
            <w:r w:rsidRPr="00CD5714">
              <w:rPr>
                <w:rFonts w:ascii="Arial" w:hAnsi="Arial" w:cs="Arial"/>
                <w:sz w:val="16"/>
                <w:szCs w:val="16"/>
                <w:lang w:val="en-GB"/>
              </w:rPr>
              <w:t>1</w:t>
            </w:r>
            <w:r w:rsidR="00336066" w:rsidRPr="002D2F67">
              <w:rPr>
                <w:rFonts w:ascii="Arial" w:hAnsi="Arial" w:cs="Arial"/>
                <w:sz w:val="16"/>
                <w:szCs w:val="16"/>
              </w:rPr>
              <w:t>,</w:t>
            </w:r>
            <w:r w:rsidRPr="00CD5714">
              <w:rPr>
                <w:rFonts w:ascii="Arial" w:hAnsi="Arial" w:cs="Arial"/>
                <w:sz w:val="16"/>
                <w:szCs w:val="16"/>
                <w:lang w:val="en-GB"/>
              </w:rPr>
              <w:t>686</w:t>
            </w:r>
          </w:p>
        </w:tc>
      </w:tr>
      <w:tr w:rsidR="00706C8B" w:rsidRPr="002D2F67" w14:paraId="747290CF" w14:textId="77777777" w:rsidTr="00782C44">
        <w:trPr>
          <w:trHeight w:val="131"/>
        </w:trPr>
        <w:tc>
          <w:tcPr>
            <w:tcW w:w="3032" w:type="dxa"/>
            <w:shd w:val="clear" w:color="auto" w:fill="auto"/>
          </w:tcPr>
          <w:p w14:paraId="2643B429" w14:textId="77777777" w:rsidR="00706C8B" w:rsidRPr="002D2F67" w:rsidRDefault="00706C8B" w:rsidP="00E634A6">
            <w:pPr>
              <w:widowControl w:val="0"/>
              <w:ind w:left="44" w:right="-76" w:hanging="140"/>
              <w:contextualSpacing/>
              <w:rPr>
                <w:rFonts w:ascii="Arial" w:hAnsi="Arial" w:cs="Arial"/>
                <w:spacing w:val="-2"/>
                <w:sz w:val="16"/>
                <w:szCs w:val="16"/>
              </w:rPr>
            </w:pPr>
          </w:p>
        </w:tc>
        <w:tc>
          <w:tcPr>
            <w:tcW w:w="792" w:type="dxa"/>
            <w:tcBorders>
              <w:top w:val="single" w:sz="4" w:space="0" w:color="auto"/>
            </w:tcBorders>
            <w:shd w:val="clear" w:color="auto" w:fill="auto"/>
            <w:vAlign w:val="bottom"/>
          </w:tcPr>
          <w:p w14:paraId="0E6342BE" w14:textId="77777777" w:rsidR="00706C8B" w:rsidRPr="002D2F67" w:rsidRDefault="00706C8B" w:rsidP="00E634A6">
            <w:pPr>
              <w:widowControl w:val="0"/>
              <w:ind w:left="-64" w:right="-72"/>
              <w:contextualSpacing/>
              <w:jc w:val="right"/>
              <w:rPr>
                <w:rFonts w:ascii="Arial" w:hAnsi="Arial" w:cs="Arial"/>
                <w:sz w:val="16"/>
                <w:szCs w:val="16"/>
              </w:rPr>
            </w:pPr>
          </w:p>
        </w:tc>
        <w:tc>
          <w:tcPr>
            <w:tcW w:w="792" w:type="dxa"/>
            <w:tcBorders>
              <w:top w:val="single" w:sz="4" w:space="0" w:color="auto"/>
            </w:tcBorders>
            <w:shd w:val="clear" w:color="auto" w:fill="auto"/>
            <w:vAlign w:val="bottom"/>
          </w:tcPr>
          <w:p w14:paraId="11042F32" w14:textId="77777777" w:rsidR="00706C8B" w:rsidRPr="002D2F67" w:rsidRDefault="00706C8B" w:rsidP="00E634A6">
            <w:pPr>
              <w:widowControl w:val="0"/>
              <w:ind w:left="-64" w:right="-72"/>
              <w:contextualSpacing/>
              <w:jc w:val="right"/>
              <w:rPr>
                <w:rFonts w:ascii="Arial" w:hAnsi="Arial" w:cs="Arial"/>
                <w:sz w:val="16"/>
                <w:szCs w:val="16"/>
              </w:rPr>
            </w:pPr>
          </w:p>
        </w:tc>
        <w:tc>
          <w:tcPr>
            <w:tcW w:w="792" w:type="dxa"/>
            <w:tcBorders>
              <w:top w:val="single" w:sz="4" w:space="0" w:color="auto"/>
            </w:tcBorders>
            <w:shd w:val="clear" w:color="auto" w:fill="auto"/>
            <w:vAlign w:val="bottom"/>
          </w:tcPr>
          <w:p w14:paraId="68933F2B" w14:textId="77777777" w:rsidR="00706C8B" w:rsidRPr="002D2F67" w:rsidRDefault="00706C8B" w:rsidP="00E634A6">
            <w:pPr>
              <w:widowControl w:val="0"/>
              <w:ind w:left="-64" w:right="-72"/>
              <w:contextualSpacing/>
              <w:jc w:val="right"/>
              <w:rPr>
                <w:rFonts w:ascii="Arial" w:hAnsi="Arial" w:cs="Arial"/>
                <w:sz w:val="16"/>
                <w:szCs w:val="16"/>
              </w:rPr>
            </w:pPr>
          </w:p>
        </w:tc>
        <w:tc>
          <w:tcPr>
            <w:tcW w:w="792" w:type="dxa"/>
            <w:tcBorders>
              <w:top w:val="single" w:sz="4" w:space="0" w:color="auto"/>
            </w:tcBorders>
            <w:shd w:val="clear" w:color="auto" w:fill="auto"/>
            <w:vAlign w:val="bottom"/>
          </w:tcPr>
          <w:p w14:paraId="73EB42B0" w14:textId="77777777" w:rsidR="00706C8B" w:rsidRPr="002D2F67" w:rsidRDefault="00706C8B" w:rsidP="00E634A6">
            <w:pPr>
              <w:ind w:left="-64" w:right="-72"/>
              <w:contextualSpacing/>
              <w:jc w:val="right"/>
              <w:rPr>
                <w:rFonts w:ascii="Arial" w:hAnsi="Arial" w:cs="Arial"/>
                <w:sz w:val="16"/>
                <w:szCs w:val="16"/>
              </w:rPr>
            </w:pPr>
          </w:p>
        </w:tc>
        <w:tc>
          <w:tcPr>
            <w:tcW w:w="792" w:type="dxa"/>
            <w:tcBorders>
              <w:top w:val="single" w:sz="4" w:space="0" w:color="auto"/>
            </w:tcBorders>
            <w:shd w:val="clear" w:color="auto" w:fill="auto"/>
            <w:vAlign w:val="bottom"/>
          </w:tcPr>
          <w:p w14:paraId="236A53A0" w14:textId="77777777" w:rsidR="00706C8B" w:rsidRPr="002D2F67" w:rsidRDefault="00706C8B" w:rsidP="00E634A6">
            <w:pPr>
              <w:ind w:left="-64" w:right="-72"/>
              <w:contextualSpacing/>
              <w:jc w:val="right"/>
              <w:rPr>
                <w:rFonts w:ascii="Arial" w:hAnsi="Arial" w:cs="Arial"/>
                <w:sz w:val="16"/>
                <w:szCs w:val="16"/>
              </w:rPr>
            </w:pPr>
          </w:p>
        </w:tc>
        <w:tc>
          <w:tcPr>
            <w:tcW w:w="792" w:type="dxa"/>
            <w:tcBorders>
              <w:top w:val="single" w:sz="4" w:space="0" w:color="auto"/>
            </w:tcBorders>
            <w:shd w:val="clear" w:color="auto" w:fill="auto"/>
            <w:vAlign w:val="bottom"/>
          </w:tcPr>
          <w:p w14:paraId="4116D400" w14:textId="77777777" w:rsidR="00706C8B" w:rsidRPr="002D2F67" w:rsidRDefault="00706C8B" w:rsidP="00E634A6">
            <w:pPr>
              <w:ind w:left="-64" w:right="-72"/>
              <w:contextualSpacing/>
              <w:jc w:val="right"/>
              <w:rPr>
                <w:rFonts w:ascii="Arial" w:hAnsi="Arial" w:cs="Arial"/>
                <w:sz w:val="16"/>
                <w:szCs w:val="16"/>
              </w:rPr>
            </w:pPr>
          </w:p>
        </w:tc>
        <w:tc>
          <w:tcPr>
            <w:tcW w:w="792" w:type="dxa"/>
            <w:tcBorders>
              <w:top w:val="single" w:sz="4" w:space="0" w:color="auto"/>
            </w:tcBorders>
            <w:shd w:val="clear" w:color="auto" w:fill="auto"/>
            <w:vAlign w:val="bottom"/>
          </w:tcPr>
          <w:p w14:paraId="23CFEAA7" w14:textId="77777777" w:rsidR="00706C8B" w:rsidRPr="002D2F67" w:rsidRDefault="00706C8B" w:rsidP="00E634A6">
            <w:pPr>
              <w:ind w:left="-64" w:right="-72"/>
              <w:contextualSpacing/>
              <w:jc w:val="right"/>
              <w:rPr>
                <w:rFonts w:ascii="Arial" w:hAnsi="Arial" w:cs="Arial"/>
                <w:sz w:val="16"/>
                <w:szCs w:val="16"/>
              </w:rPr>
            </w:pPr>
          </w:p>
        </w:tc>
        <w:tc>
          <w:tcPr>
            <w:tcW w:w="792" w:type="dxa"/>
            <w:tcBorders>
              <w:top w:val="single" w:sz="4" w:space="0" w:color="auto"/>
            </w:tcBorders>
            <w:shd w:val="clear" w:color="auto" w:fill="auto"/>
            <w:vAlign w:val="bottom"/>
          </w:tcPr>
          <w:p w14:paraId="7A69DCA9" w14:textId="77777777" w:rsidR="00706C8B" w:rsidRPr="002D2F67" w:rsidRDefault="00706C8B" w:rsidP="00E634A6">
            <w:pPr>
              <w:ind w:left="-64" w:right="-72"/>
              <w:contextualSpacing/>
              <w:jc w:val="right"/>
              <w:rPr>
                <w:rFonts w:ascii="Arial" w:hAnsi="Arial" w:cs="Arial"/>
                <w:sz w:val="16"/>
                <w:szCs w:val="16"/>
              </w:rPr>
            </w:pPr>
          </w:p>
        </w:tc>
        <w:tc>
          <w:tcPr>
            <w:tcW w:w="792" w:type="dxa"/>
            <w:tcBorders>
              <w:top w:val="single" w:sz="4" w:space="0" w:color="auto"/>
            </w:tcBorders>
            <w:shd w:val="clear" w:color="auto" w:fill="auto"/>
            <w:vAlign w:val="bottom"/>
          </w:tcPr>
          <w:p w14:paraId="4A4330FC" w14:textId="77777777" w:rsidR="00706C8B" w:rsidRPr="002D2F67" w:rsidRDefault="00706C8B" w:rsidP="00E634A6">
            <w:pPr>
              <w:ind w:left="-64" w:right="-72"/>
              <w:contextualSpacing/>
              <w:jc w:val="right"/>
              <w:rPr>
                <w:rFonts w:ascii="Arial" w:hAnsi="Arial" w:cs="Arial"/>
                <w:sz w:val="16"/>
                <w:szCs w:val="16"/>
              </w:rPr>
            </w:pPr>
          </w:p>
        </w:tc>
        <w:tc>
          <w:tcPr>
            <w:tcW w:w="792" w:type="dxa"/>
            <w:tcBorders>
              <w:top w:val="single" w:sz="4" w:space="0" w:color="auto"/>
            </w:tcBorders>
            <w:shd w:val="clear" w:color="auto" w:fill="auto"/>
            <w:vAlign w:val="bottom"/>
          </w:tcPr>
          <w:p w14:paraId="0EBB1B7A" w14:textId="77777777" w:rsidR="00706C8B" w:rsidRPr="002D2F67" w:rsidRDefault="00706C8B" w:rsidP="00E634A6">
            <w:pPr>
              <w:ind w:left="-64" w:right="-72"/>
              <w:contextualSpacing/>
              <w:jc w:val="right"/>
              <w:rPr>
                <w:rFonts w:ascii="Arial" w:hAnsi="Arial" w:cs="Arial"/>
                <w:sz w:val="16"/>
                <w:szCs w:val="16"/>
              </w:rPr>
            </w:pPr>
          </w:p>
        </w:tc>
        <w:tc>
          <w:tcPr>
            <w:tcW w:w="792" w:type="dxa"/>
            <w:tcBorders>
              <w:top w:val="single" w:sz="4" w:space="0" w:color="auto"/>
            </w:tcBorders>
            <w:shd w:val="clear" w:color="auto" w:fill="auto"/>
            <w:vAlign w:val="bottom"/>
          </w:tcPr>
          <w:p w14:paraId="3B19C853" w14:textId="77777777" w:rsidR="00706C8B" w:rsidRPr="002D2F67" w:rsidRDefault="00706C8B" w:rsidP="00E634A6">
            <w:pPr>
              <w:ind w:left="-64" w:right="-72"/>
              <w:contextualSpacing/>
              <w:jc w:val="right"/>
              <w:rPr>
                <w:rFonts w:ascii="Arial" w:hAnsi="Arial" w:cs="Arial"/>
                <w:sz w:val="16"/>
                <w:szCs w:val="16"/>
              </w:rPr>
            </w:pPr>
          </w:p>
        </w:tc>
        <w:tc>
          <w:tcPr>
            <w:tcW w:w="792" w:type="dxa"/>
            <w:tcBorders>
              <w:top w:val="single" w:sz="4" w:space="0" w:color="auto"/>
            </w:tcBorders>
            <w:shd w:val="clear" w:color="auto" w:fill="auto"/>
            <w:vAlign w:val="bottom"/>
          </w:tcPr>
          <w:p w14:paraId="6726EA0C" w14:textId="77777777" w:rsidR="00706C8B" w:rsidRPr="002D2F67" w:rsidRDefault="00706C8B" w:rsidP="00E634A6">
            <w:pPr>
              <w:ind w:left="-64" w:right="-72"/>
              <w:contextualSpacing/>
              <w:jc w:val="right"/>
              <w:rPr>
                <w:rFonts w:ascii="Arial" w:hAnsi="Arial" w:cs="Arial"/>
                <w:sz w:val="16"/>
                <w:szCs w:val="16"/>
              </w:rPr>
            </w:pPr>
          </w:p>
        </w:tc>
        <w:tc>
          <w:tcPr>
            <w:tcW w:w="792" w:type="dxa"/>
            <w:tcBorders>
              <w:top w:val="single" w:sz="4" w:space="0" w:color="auto"/>
            </w:tcBorders>
            <w:shd w:val="clear" w:color="auto" w:fill="auto"/>
            <w:vAlign w:val="bottom"/>
          </w:tcPr>
          <w:p w14:paraId="5AEDBCA7" w14:textId="77777777" w:rsidR="00706C8B" w:rsidRPr="002D2F67" w:rsidRDefault="00706C8B" w:rsidP="00E634A6">
            <w:pPr>
              <w:ind w:left="-64" w:right="-72"/>
              <w:contextualSpacing/>
              <w:jc w:val="right"/>
              <w:rPr>
                <w:rFonts w:ascii="Arial" w:hAnsi="Arial" w:cs="Arial"/>
                <w:sz w:val="16"/>
                <w:szCs w:val="16"/>
              </w:rPr>
            </w:pPr>
          </w:p>
        </w:tc>
        <w:tc>
          <w:tcPr>
            <w:tcW w:w="792" w:type="dxa"/>
            <w:tcBorders>
              <w:top w:val="single" w:sz="4" w:space="0" w:color="auto"/>
            </w:tcBorders>
            <w:shd w:val="clear" w:color="auto" w:fill="auto"/>
            <w:vAlign w:val="bottom"/>
          </w:tcPr>
          <w:p w14:paraId="6D6B3AE4" w14:textId="77777777" w:rsidR="00706C8B" w:rsidRPr="002D2F67" w:rsidRDefault="00706C8B" w:rsidP="00E634A6">
            <w:pPr>
              <w:ind w:left="-64" w:right="-72"/>
              <w:contextualSpacing/>
              <w:jc w:val="right"/>
              <w:rPr>
                <w:rFonts w:ascii="Arial" w:hAnsi="Arial" w:cs="Arial"/>
                <w:sz w:val="16"/>
                <w:szCs w:val="16"/>
              </w:rPr>
            </w:pPr>
          </w:p>
        </w:tc>
        <w:tc>
          <w:tcPr>
            <w:tcW w:w="792" w:type="dxa"/>
            <w:tcBorders>
              <w:top w:val="single" w:sz="4" w:space="0" w:color="auto"/>
            </w:tcBorders>
            <w:shd w:val="clear" w:color="auto" w:fill="auto"/>
            <w:vAlign w:val="bottom"/>
          </w:tcPr>
          <w:p w14:paraId="45BF3011" w14:textId="77777777" w:rsidR="00706C8B" w:rsidRPr="002D2F67" w:rsidRDefault="00706C8B" w:rsidP="00E634A6">
            <w:pPr>
              <w:ind w:left="-64" w:right="-72"/>
              <w:contextualSpacing/>
              <w:jc w:val="right"/>
              <w:rPr>
                <w:rFonts w:ascii="Arial" w:hAnsi="Arial" w:cs="Arial"/>
                <w:sz w:val="16"/>
                <w:szCs w:val="16"/>
              </w:rPr>
            </w:pPr>
          </w:p>
        </w:tc>
        <w:tc>
          <w:tcPr>
            <w:tcW w:w="792" w:type="dxa"/>
            <w:tcBorders>
              <w:top w:val="single" w:sz="4" w:space="0" w:color="auto"/>
            </w:tcBorders>
            <w:shd w:val="clear" w:color="auto" w:fill="auto"/>
            <w:vAlign w:val="bottom"/>
          </w:tcPr>
          <w:p w14:paraId="52A3E41A" w14:textId="77777777" w:rsidR="00706C8B" w:rsidRPr="002D2F67" w:rsidRDefault="00706C8B" w:rsidP="00E634A6">
            <w:pPr>
              <w:ind w:left="-64" w:right="-72"/>
              <w:contextualSpacing/>
              <w:jc w:val="right"/>
              <w:rPr>
                <w:rFonts w:ascii="Arial" w:hAnsi="Arial" w:cs="Arial"/>
                <w:sz w:val="16"/>
                <w:szCs w:val="16"/>
              </w:rPr>
            </w:pPr>
          </w:p>
        </w:tc>
      </w:tr>
      <w:tr w:rsidR="00E634A6" w:rsidRPr="002D2F67" w14:paraId="3C990359" w14:textId="77777777" w:rsidTr="00782C44">
        <w:trPr>
          <w:trHeight w:val="131"/>
        </w:trPr>
        <w:tc>
          <w:tcPr>
            <w:tcW w:w="3032" w:type="dxa"/>
            <w:shd w:val="clear" w:color="auto" w:fill="auto"/>
          </w:tcPr>
          <w:p w14:paraId="52526C19" w14:textId="05DEB274" w:rsidR="00E634A6" w:rsidRPr="002D2F67" w:rsidRDefault="007F40BA" w:rsidP="00E634A6">
            <w:pPr>
              <w:widowControl w:val="0"/>
              <w:ind w:left="44" w:right="-76" w:hanging="140"/>
              <w:contextualSpacing/>
              <w:rPr>
                <w:rFonts w:ascii="Arial" w:hAnsi="Arial" w:cs="Arial"/>
                <w:sz w:val="16"/>
                <w:szCs w:val="16"/>
              </w:rPr>
            </w:pPr>
            <w:r w:rsidRPr="002D2F67">
              <w:rPr>
                <w:rFonts w:ascii="Arial" w:hAnsi="Arial" w:cs="Arial"/>
                <w:spacing w:val="-2"/>
                <w:sz w:val="16"/>
                <w:szCs w:val="16"/>
              </w:rPr>
              <w:t>Total segment revenue</w:t>
            </w:r>
          </w:p>
        </w:tc>
        <w:tc>
          <w:tcPr>
            <w:tcW w:w="792" w:type="dxa"/>
            <w:tcBorders>
              <w:bottom w:val="single" w:sz="4" w:space="0" w:color="auto"/>
            </w:tcBorders>
            <w:shd w:val="clear" w:color="auto" w:fill="auto"/>
            <w:vAlign w:val="bottom"/>
          </w:tcPr>
          <w:p w14:paraId="3F09DD50" w14:textId="70FBCB21" w:rsidR="00E634A6" w:rsidRPr="002D2F67" w:rsidRDefault="00CD5714" w:rsidP="00E634A6">
            <w:pPr>
              <w:widowControl w:val="0"/>
              <w:ind w:left="-64" w:right="-72"/>
              <w:contextualSpacing/>
              <w:jc w:val="right"/>
              <w:rPr>
                <w:rFonts w:ascii="Arial" w:hAnsi="Arial" w:cs="Arial"/>
                <w:sz w:val="16"/>
                <w:szCs w:val="16"/>
              </w:rPr>
            </w:pPr>
            <w:r w:rsidRPr="00CD5714">
              <w:rPr>
                <w:rFonts w:ascii="Arial" w:hAnsi="Arial" w:cs="Arial"/>
                <w:sz w:val="16"/>
                <w:szCs w:val="16"/>
                <w:lang w:val="en-GB"/>
              </w:rPr>
              <w:t>3</w:t>
            </w:r>
            <w:r w:rsidR="00E634A6" w:rsidRPr="002D2F67">
              <w:rPr>
                <w:rFonts w:ascii="Arial" w:hAnsi="Arial" w:cs="Arial"/>
                <w:sz w:val="16"/>
                <w:szCs w:val="16"/>
              </w:rPr>
              <w:t>,</w:t>
            </w:r>
            <w:r w:rsidRPr="00CD5714">
              <w:rPr>
                <w:rFonts w:ascii="Arial" w:hAnsi="Arial" w:cs="Arial"/>
                <w:sz w:val="16"/>
                <w:szCs w:val="16"/>
                <w:lang w:val="en-GB"/>
              </w:rPr>
              <w:t>735</w:t>
            </w:r>
          </w:p>
        </w:tc>
        <w:tc>
          <w:tcPr>
            <w:tcW w:w="792" w:type="dxa"/>
            <w:tcBorders>
              <w:bottom w:val="single" w:sz="4" w:space="0" w:color="auto"/>
            </w:tcBorders>
            <w:shd w:val="clear" w:color="auto" w:fill="auto"/>
            <w:vAlign w:val="bottom"/>
          </w:tcPr>
          <w:p w14:paraId="787C24EB" w14:textId="2A44747B" w:rsidR="00E634A6" w:rsidRPr="002D2F67" w:rsidRDefault="00CD5714" w:rsidP="00E634A6">
            <w:pPr>
              <w:widowControl w:val="0"/>
              <w:ind w:left="-64" w:right="-72"/>
              <w:contextualSpacing/>
              <w:jc w:val="right"/>
              <w:rPr>
                <w:rFonts w:ascii="Arial" w:hAnsi="Arial" w:cs="Arial"/>
                <w:sz w:val="16"/>
                <w:szCs w:val="16"/>
              </w:rPr>
            </w:pPr>
            <w:r w:rsidRPr="00CD5714">
              <w:rPr>
                <w:rFonts w:ascii="Arial" w:hAnsi="Arial" w:cs="Arial"/>
                <w:sz w:val="16"/>
                <w:szCs w:val="16"/>
                <w:lang w:val="en-GB"/>
              </w:rPr>
              <w:t>5</w:t>
            </w:r>
            <w:r w:rsidR="00E634A6" w:rsidRPr="002D2F67">
              <w:rPr>
                <w:rFonts w:ascii="Arial" w:hAnsi="Arial" w:cs="Arial"/>
                <w:sz w:val="16"/>
                <w:szCs w:val="16"/>
              </w:rPr>
              <w:t>,</w:t>
            </w:r>
            <w:r w:rsidRPr="00CD5714">
              <w:rPr>
                <w:rFonts w:ascii="Arial" w:hAnsi="Arial" w:cs="Arial"/>
                <w:sz w:val="16"/>
                <w:szCs w:val="16"/>
                <w:lang w:val="en-GB"/>
              </w:rPr>
              <w:t>647</w:t>
            </w:r>
          </w:p>
        </w:tc>
        <w:tc>
          <w:tcPr>
            <w:tcW w:w="792" w:type="dxa"/>
            <w:tcBorders>
              <w:bottom w:val="single" w:sz="4" w:space="0" w:color="auto"/>
            </w:tcBorders>
            <w:shd w:val="clear" w:color="auto" w:fill="auto"/>
            <w:vAlign w:val="bottom"/>
          </w:tcPr>
          <w:p w14:paraId="4DA149ED" w14:textId="50F2730D" w:rsidR="00E634A6" w:rsidRPr="002D2F67" w:rsidRDefault="00CD5714" w:rsidP="00E634A6">
            <w:pPr>
              <w:widowControl w:val="0"/>
              <w:ind w:left="-64" w:right="-72"/>
              <w:contextualSpacing/>
              <w:jc w:val="right"/>
              <w:rPr>
                <w:rFonts w:ascii="Arial" w:hAnsi="Arial" w:cs="Arial"/>
                <w:sz w:val="16"/>
                <w:szCs w:val="16"/>
              </w:rPr>
            </w:pPr>
            <w:r w:rsidRPr="00CD5714">
              <w:rPr>
                <w:rFonts w:ascii="Arial" w:hAnsi="Arial" w:cs="Arial"/>
                <w:sz w:val="16"/>
                <w:szCs w:val="16"/>
                <w:lang w:val="en-GB"/>
              </w:rPr>
              <w:t>10</w:t>
            </w:r>
            <w:r w:rsidR="00E634A6" w:rsidRPr="002D2F67">
              <w:rPr>
                <w:rFonts w:ascii="Arial" w:hAnsi="Arial" w:cs="Arial"/>
                <w:sz w:val="16"/>
                <w:szCs w:val="16"/>
              </w:rPr>
              <w:t>,</w:t>
            </w:r>
            <w:r w:rsidRPr="00CD5714">
              <w:rPr>
                <w:rFonts w:ascii="Arial" w:hAnsi="Arial" w:cs="Arial"/>
                <w:sz w:val="16"/>
                <w:szCs w:val="16"/>
                <w:lang w:val="en-GB"/>
              </w:rPr>
              <w:t>630</w:t>
            </w:r>
          </w:p>
        </w:tc>
        <w:tc>
          <w:tcPr>
            <w:tcW w:w="792" w:type="dxa"/>
            <w:tcBorders>
              <w:bottom w:val="single" w:sz="4" w:space="0" w:color="auto"/>
            </w:tcBorders>
            <w:shd w:val="clear" w:color="auto" w:fill="auto"/>
            <w:vAlign w:val="bottom"/>
          </w:tcPr>
          <w:p w14:paraId="3F9DDAFF" w14:textId="6ECC252A" w:rsidR="00E634A6" w:rsidRPr="002D2F67" w:rsidRDefault="00CD5714" w:rsidP="00E634A6">
            <w:pPr>
              <w:ind w:left="-64" w:right="-72"/>
              <w:contextualSpacing/>
              <w:jc w:val="right"/>
              <w:rPr>
                <w:rFonts w:ascii="Arial" w:hAnsi="Arial" w:cs="Arial"/>
                <w:sz w:val="16"/>
                <w:szCs w:val="16"/>
              </w:rPr>
            </w:pPr>
            <w:r w:rsidRPr="00CD5714">
              <w:rPr>
                <w:rFonts w:ascii="Arial" w:hAnsi="Arial" w:cs="Arial"/>
                <w:sz w:val="16"/>
                <w:szCs w:val="16"/>
                <w:lang w:val="en-GB"/>
              </w:rPr>
              <w:t>12</w:t>
            </w:r>
            <w:r w:rsidR="00E634A6" w:rsidRPr="002D2F67">
              <w:rPr>
                <w:rFonts w:ascii="Arial" w:hAnsi="Arial" w:cs="Arial"/>
                <w:sz w:val="16"/>
                <w:szCs w:val="16"/>
              </w:rPr>
              <w:t>,</w:t>
            </w:r>
            <w:r w:rsidRPr="00CD5714">
              <w:rPr>
                <w:rFonts w:ascii="Arial" w:hAnsi="Arial" w:cs="Arial"/>
                <w:sz w:val="16"/>
                <w:szCs w:val="16"/>
                <w:lang w:val="en-GB"/>
              </w:rPr>
              <w:t>729</w:t>
            </w:r>
          </w:p>
        </w:tc>
        <w:tc>
          <w:tcPr>
            <w:tcW w:w="792" w:type="dxa"/>
            <w:tcBorders>
              <w:bottom w:val="single" w:sz="4" w:space="0" w:color="auto"/>
            </w:tcBorders>
            <w:shd w:val="clear" w:color="auto" w:fill="auto"/>
            <w:vAlign w:val="bottom"/>
          </w:tcPr>
          <w:p w14:paraId="25E73092" w14:textId="7A9AFDAA" w:rsidR="00E634A6" w:rsidRPr="002D2F67" w:rsidRDefault="00CD5714" w:rsidP="00E634A6">
            <w:pPr>
              <w:ind w:left="-64" w:right="-72"/>
              <w:contextualSpacing/>
              <w:jc w:val="right"/>
              <w:rPr>
                <w:rFonts w:ascii="Arial" w:hAnsi="Arial" w:cs="Arial"/>
                <w:sz w:val="16"/>
                <w:szCs w:val="16"/>
              </w:rPr>
            </w:pPr>
            <w:r w:rsidRPr="00CD5714">
              <w:rPr>
                <w:rFonts w:ascii="Arial" w:hAnsi="Arial" w:cs="Arial"/>
                <w:sz w:val="16"/>
                <w:szCs w:val="16"/>
                <w:lang w:val="en-GB"/>
              </w:rPr>
              <w:t>2</w:t>
            </w:r>
            <w:r w:rsidR="00E634A6" w:rsidRPr="002D2F67">
              <w:rPr>
                <w:rFonts w:ascii="Arial" w:hAnsi="Arial" w:cs="Arial"/>
                <w:sz w:val="16"/>
                <w:szCs w:val="16"/>
              </w:rPr>
              <w:t>,</w:t>
            </w:r>
            <w:r w:rsidRPr="00CD5714">
              <w:rPr>
                <w:rFonts w:ascii="Arial" w:hAnsi="Arial" w:cs="Arial"/>
                <w:sz w:val="16"/>
                <w:szCs w:val="16"/>
                <w:lang w:val="en-GB"/>
              </w:rPr>
              <w:t>600</w:t>
            </w:r>
          </w:p>
        </w:tc>
        <w:tc>
          <w:tcPr>
            <w:tcW w:w="792" w:type="dxa"/>
            <w:tcBorders>
              <w:bottom w:val="single" w:sz="4" w:space="0" w:color="auto"/>
            </w:tcBorders>
            <w:shd w:val="clear" w:color="auto" w:fill="auto"/>
            <w:vAlign w:val="bottom"/>
          </w:tcPr>
          <w:p w14:paraId="313F12E7" w14:textId="4E586459" w:rsidR="00E634A6" w:rsidRPr="002D2F67" w:rsidRDefault="00CD5714" w:rsidP="00E634A6">
            <w:pPr>
              <w:ind w:left="-64" w:right="-72"/>
              <w:contextualSpacing/>
              <w:jc w:val="right"/>
              <w:rPr>
                <w:rFonts w:ascii="Arial" w:hAnsi="Arial" w:cs="Arial"/>
                <w:sz w:val="16"/>
                <w:szCs w:val="16"/>
              </w:rPr>
            </w:pPr>
            <w:r w:rsidRPr="00CD5714">
              <w:rPr>
                <w:rFonts w:ascii="Arial" w:hAnsi="Arial" w:cs="Arial"/>
                <w:sz w:val="16"/>
                <w:szCs w:val="16"/>
                <w:lang w:val="en-GB"/>
              </w:rPr>
              <w:t>11</w:t>
            </w:r>
            <w:r w:rsidR="00E634A6" w:rsidRPr="002D2F67">
              <w:rPr>
                <w:rFonts w:ascii="Arial" w:hAnsi="Arial" w:cs="Arial"/>
                <w:sz w:val="16"/>
                <w:szCs w:val="16"/>
              </w:rPr>
              <w:t>,</w:t>
            </w:r>
            <w:r w:rsidRPr="00CD5714">
              <w:rPr>
                <w:rFonts w:ascii="Arial" w:hAnsi="Arial" w:cs="Arial"/>
                <w:sz w:val="16"/>
                <w:szCs w:val="16"/>
                <w:lang w:val="en-GB"/>
              </w:rPr>
              <w:t>377</w:t>
            </w:r>
          </w:p>
        </w:tc>
        <w:tc>
          <w:tcPr>
            <w:tcW w:w="792" w:type="dxa"/>
            <w:tcBorders>
              <w:bottom w:val="single" w:sz="4" w:space="0" w:color="auto"/>
            </w:tcBorders>
            <w:shd w:val="clear" w:color="auto" w:fill="auto"/>
            <w:vAlign w:val="bottom"/>
          </w:tcPr>
          <w:p w14:paraId="5BC4F4CB" w14:textId="743FAAD7" w:rsidR="00E634A6" w:rsidRPr="002D2F67" w:rsidRDefault="00CD5714" w:rsidP="00E634A6">
            <w:pPr>
              <w:ind w:left="-64" w:right="-72"/>
              <w:contextualSpacing/>
              <w:jc w:val="right"/>
              <w:rPr>
                <w:rFonts w:ascii="Arial" w:hAnsi="Arial" w:cs="Arial"/>
                <w:sz w:val="16"/>
                <w:szCs w:val="16"/>
              </w:rPr>
            </w:pPr>
            <w:r w:rsidRPr="00CD5714">
              <w:rPr>
                <w:rFonts w:ascii="Arial" w:hAnsi="Arial" w:cs="Arial"/>
                <w:sz w:val="16"/>
                <w:szCs w:val="16"/>
                <w:lang w:val="en-GB"/>
              </w:rPr>
              <w:t>1</w:t>
            </w:r>
            <w:r w:rsidR="00E634A6" w:rsidRPr="002D2F67">
              <w:rPr>
                <w:rFonts w:ascii="Arial" w:hAnsi="Arial" w:cs="Arial"/>
                <w:sz w:val="16"/>
                <w:szCs w:val="16"/>
              </w:rPr>
              <w:t>,</w:t>
            </w:r>
            <w:r w:rsidRPr="00CD5714">
              <w:rPr>
                <w:rFonts w:ascii="Arial" w:hAnsi="Arial" w:cs="Arial"/>
                <w:sz w:val="16"/>
                <w:szCs w:val="16"/>
                <w:lang w:val="en-GB"/>
              </w:rPr>
              <w:t>386</w:t>
            </w:r>
          </w:p>
        </w:tc>
        <w:tc>
          <w:tcPr>
            <w:tcW w:w="792" w:type="dxa"/>
            <w:tcBorders>
              <w:bottom w:val="single" w:sz="4" w:space="0" w:color="auto"/>
            </w:tcBorders>
            <w:shd w:val="clear" w:color="auto" w:fill="auto"/>
            <w:vAlign w:val="bottom"/>
          </w:tcPr>
          <w:p w14:paraId="2DEFF786" w14:textId="1BB7F0D4" w:rsidR="00E634A6" w:rsidRPr="002D2F67" w:rsidRDefault="00CD5714" w:rsidP="00E634A6">
            <w:pPr>
              <w:ind w:left="-64" w:right="-72"/>
              <w:contextualSpacing/>
              <w:jc w:val="right"/>
              <w:rPr>
                <w:rFonts w:ascii="Arial" w:hAnsi="Arial" w:cs="Arial"/>
                <w:sz w:val="16"/>
                <w:szCs w:val="16"/>
              </w:rPr>
            </w:pPr>
            <w:r w:rsidRPr="00CD5714">
              <w:rPr>
                <w:rFonts w:ascii="Arial" w:hAnsi="Arial" w:cs="Arial"/>
                <w:sz w:val="16"/>
                <w:szCs w:val="16"/>
                <w:lang w:val="en-GB"/>
              </w:rPr>
              <w:t>4</w:t>
            </w:r>
            <w:r w:rsidR="00E634A6" w:rsidRPr="002D2F67">
              <w:rPr>
                <w:rFonts w:ascii="Arial" w:hAnsi="Arial" w:cs="Arial"/>
                <w:sz w:val="16"/>
                <w:szCs w:val="16"/>
              </w:rPr>
              <w:t>,</w:t>
            </w:r>
            <w:r w:rsidRPr="00CD5714">
              <w:rPr>
                <w:rFonts w:ascii="Arial" w:hAnsi="Arial" w:cs="Arial"/>
                <w:sz w:val="16"/>
                <w:szCs w:val="16"/>
                <w:lang w:val="en-GB"/>
              </w:rPr>
              <w:t>709</w:t>
            </w:r>
          </w:p>
        </w:tc>
        <w:tc>
          <w:tcPr>
            <w:tcW w:w="792" w:type="dxa"/>
            <w:tcBorders>
              <w:bottom w:val="single" w:sz="4" w:space="0" w:color="auto"/>
            </w:tcBorders>
            <w:shd w:val="clear" w:color="auto" w:fill="auto"/>
            <w:vAlign w:val="bottom"/>
          </w:tcPr>
          <w:p w14:paraId="69F7991B" w14:textId="351FCB06" w:rsidR="00E634A6" w:rsidRPr="002D2F67" w:rsidRDefault="00CD5714" w:rsidP="00E634A6">
            <w:pPr>
              <w:ind w:left="-64" w:right="-72"/>
              <w:contextualSpacing/>
              <w:jc w:val="right"/>
              <w:rPr>
                <w:rFonts w:ascii="Arial" w:hAnsi="Arial" w:cs="Arial"/>
                <w:sz w:val="16"/>
                <w:szCs w:val="16"/>
              </w:rPr>
            </w:pPr>
            <w:r w:rsidRPr="00CD5714">
              <w:rPr>
                <w:rFonts w:ascii="Arial" w:hAnsi="Arial" w:cs="Arial"/>
                <w:sz w:val="16"/>
                <w:szCs w:val="16"/>
                <w:lang w:val="en-GB"/>
              </w:rPr>
              <w:t>1</w:t>
            </w:r>
            <w:r w:rsidR="00E634A6" w:rsidRPr="002D2F67">
              <w:rPr>
                <w:rFonts w:ascii="Arial" w:hAnsi="Arial" w:cs="Arial"/>
                <w:sz w:val="16"/>
                <w:szCs w:val="16"/>
              </w:rPr>
              <w:t>,</w:t>
            </w:r>
            <w:r w:rsidRPr="00CD5714">
              <w:rPr>
                <w:rFonts w:ascii="Arial" w:hAnsi="Arial" w:cs="Arial"/>
                <w:sz w:val="16"/>
                <w:szCs w:val="16"/>
                <w:lang w:val="en-GB"/>
              </w:rPr>
              <w:t>259</w:t>
            </w:r>
          </w:p>
        </w:tc>
        <w:tc>
          <w:tcPr>
            <w:tcW w:w="792" w:type="dxa"/>
            <w:tcBorders>
              <w:bottom w:val="single" w:sz="4" w:space="0" w:color="auto"/>
            </w:tcBorders>
            <w:shd w:val="clear" w:color="auto" w:fill="auto"/>
            <w:vAlign w:val="bottom"/>
          </w:tcPr>
          <w:p w14:paraId="5AB9A14F" w14:textId="49BCA3D4" w:rsidR="00E634A6" w:rsidRPr="002D2F67" w:rsidRDefault="00CD5714" w:rsidP="00E634A6">
            <w:pPr>
              <w:ind w:left="-64" w:right="-72"/>
              <w:contextualSpacing/>
              <w:jc w:val="right"/>
              <w:rPr>
                <w:rFonts w:ascii="Arial" w:hAnsi="Arial" w:cs="Arial"/>
                <w:sz w:val="16"/>
                <w:szCs w:val="16"/>
              </w:rPr>
            </w:pPr>
            <w:r w:rsidRPr="00CD5714">
              <w:rPr>
                <w:rFonts w:ascii="Arial" w:hAnsi="Arial" w:cs="Arial"/>
                <w:sz w:val="16"/>
                <w:szCs w:val="16"/>
                <w:lang w:val="en-GB"/>
              </w:rPr>
              <w:t>815</w:t>
            </w:r>
          </w:p>
        </w:tc>
        <w:tc>
          <w:tcPr>
            <w:tcW w:w="792" w:type="dxa"/>
            <w:tcBorders>
              <w:bottom w:val="single" w:sz="4" w:space="0" w:color="auto"/>
            </w:tcBorders>
            <w:shd w:val="clear" w:color="auto" w:fill="auto"/>
            <w:vAlign w:val="bottom"/>
          </w:tcPr>
          <w:p w14:paraId="1E6E413F" w14:textId="19A19FB0" w:rsidR="00E634A6" w:rsidRPr="002D2F67" w:rsidRDefault="00CD5714" w:rsidP="00E634A6">
            <w:pPr>
              <w:ind w:left="-64" w:right="-72"/>
              <w:contextualSpacing/>
              <w:jc w:val="right"/>
              <w:rPr>
                <w:rFonts w:ascii="Arial" w:hAnsi="Arial" w:cs="Arial"/>
                <w:sz w:val="16"/>
                <w:szCs w:val="16"/>
              </w:rPr>
            </w:pPr>
            <w:r w:rsidRPr="00CD5714">
              <w:rPr>
                <w:rFonts w:ascii="Arial" w:hAnsi="Arial" w:cs="Arial"/>
                <w:sz w:val="16"/>
                <w:szCs w:val="16"/>
                <w:lang w:val="en-GB"/>
              </w:rPr>
              <w:t>6</w:t>
            </w:r>
            <w:r w:rsidR="00E634A6" w:rsidRPr="002D2F67">
              <w:rPr>
                <w:rFonts w:ascii="Arial" w:hAnsi="Arial" w:cs="Arial"/>
                <w:sz w:val="16"/>
                <w:szCs w:val="16"/>
              </w:rPr>
              <w:t>,</w:t>
            </w:r>
            <w:r w:rsidRPr="00CD5714">
              <w:rPr>
                <w:rFonts w:ascii="Arial" w:hAnsi="Arial" w:cs="Arial"/>
                <w:sz w:val="16"/>
                <w:szCs w:val="16"/>
                <w:lang w:val="en-GB"/>
              </w:rPr>
              <w:t>749</w:t>
            </w:r>
          </w:p>
        </w:tc>
        <w:tc>
          <w:tcPr>
            <w:tcW w:w="792" w:type="dxa"/>
            <w:tcBorders>
              <w:bottom w:val="single" w:sz="4" w:space="0" w:color="auto"/>
            </w:tcBorders>
            <w:shd w:val="clear" w:color="auto" w:fill="auto"/>
            <w:vAlign w:val="bottom"/>
          </w:tcPr>
          <w:p w14:paraId="06C9D6CC" w14:textId="0913D18D" w:rsidR="00E634A6" w:rsidRPr="002D2F67" w:rsidRDefault="00CD5714" w:rsidP="00E634A6">
            <w:pPr>
              <w:ind w:left="-64" w:right="-72"/>
              <w:contextualSpacing/>
              <w:jc w:val="right"/>
              <w:rPr>
                <w:rFonts w:ascii="Arial" w:hAnsi="Arial" w:cs="Arial"/>
                <w:sz w:val="16"/>
                <w:szCs w:val="16"/>
              </w:rPr>
            </w:pPr>
            <w:r w:rsidRPr="00CD5714">
              <w:rPr>
                <w:rFonts w:ascii="Arial" w:hAnsi="Arial" w:cs="Arial"/>
                <w:sz w:val="16"/>
                <w:szCs w:val="16"/>
                <w:lang w:val="en-GB"/>
              </w:rPr>
              <w:t>24</w:t>
            </w:r>
            <w:r w:rsidR="00E634A6" w:rsidRPr="002D2F67">
              <w:rPr>
                <w:rFonts w:ascii="Arial" w:hAnsi="Arial" w:cs="Arial"/>
                <w:sz w:val="16"/>
                <w:szCs w:val="16"/>
              </w:rPr>
              <w:t>,</w:t>
            </w:r>
            <w:r w:rsidRPr="00CD5714">
              <w:rPr>
                <w:rFonts w:ascii="Arial" w:hAnsi="Arial" w:cs="Arial"/>
                <w:sz w:val="16"/>
                <w:szCs w:val="16"/>
                <w:lang w:val="en-GB"/>
              </w:rPr>
              <w:t>205</w:t>
            </w:r>
          </w:p>
        </w:tc>
        <w:tc>
          <w:tcPr>
            <w:tcW w:w="792" w:type="dxa"/>
            <w:tcBorders>
              <w:bottom w:val="single" w:sz="4" w:space="0" w:color="auto"/>
            </w:tcBorders>
            <w:shd w:val="clear" w:color="auto" w:fill="auto"/>
            <w:vAlign w:val="bottom"/>
          </w:tcPr>
          <w:p w14:paraId="0841F979" w14:textId="636C0026" w:rsidR="00E634A6" w:rsidRPr="002D2F67" w:rsidRDefault="00E634A6" w:rsidP="00E634A6">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7</w:t>
            </w:r>
            <w:r w:rsidRPr="002D2F67">
              <w:rPr>
                <w:rFonts w:ascii="Arial" w:hAnsi="Arial" w:cs="Arial"/>
                <w:sz w:val="16"/>
                <w:szCs w:val="16"/>
              </w:rPr>
              <w:t>,</w:t>
            </w:r>
            <w:r w:rsidR="00CD5714" w:rsidRPr="00CD5714">
              <w:rPr>
                <w:rFonts w:ascii="Arial" w:hAnsi="Arial" w:cs="Arial"/>
                <w:sz w:val="16"/>
                <w:szCs w:val="16"/>
                <w:lang w:val="en-GB"/>
              </w:rPr>
              <w:t>837</w:t>
            </w:r>
            <w:r w:rsidRPr="002D2F67">
              <w:rPr>
                <w:rFonts w:ascii="Arial" w:hAnsi="Arial" w:cs="Arial"/>
                <w:sz w:val="16"/>
                <w:szCs w:val="16"/>
              </w:rPr>
              <w:t>)</w:t>
            </w:r>
          </w:p>
        </w:tc>
        <w:tc>
          <w:tcPr>
            <w:tcW w:w="792" w:type="dxa"/>
            <w:tcBorders>
              <w:bottom w:val="single" w:sz="4" w:space="0" w:color="auto"/>
            </w:tcBorders>
            <w:shd w:val="clear" w:color="auto" w:fill="auto"/>
            <w:vAlign w:val="bottom"/>
          </w:tcPr>
          <w:p w14:paraId="660C549F" w14:textId="6C7CAFCC" w:rsidR="00E634A6" w:rsidRPr="002D2F67" w:rsidRDefault="00E634A6" w:rsidP="00E634A6">
            <w:pPr>
              <w:ind w:left="-64" w:right="-72"/>
              <w:contextualSpacing/>
              <w:jc w:val="right"/>
              <w:rPr>
                <w:rFonts w:ascii="Arial" w:hAnsi="Arial" w:cs="Arial"/>
                <w:sz w:val="16"/>
                <w:szCs w:val="16"/>
              </w:rPr>
            </w:pPr>
            <w:r w:rsidRPr="002D2F67">
              <w:rPr>
                <w:rFonts w:ascii="Arial" w:hAnsi="Arial" w:cs="Arial"/>
                <w:sz w:val="16"/>
                <w:szCs w:val="16"/>
              </w:rPr>
              <w:t>(</w:t>
            </w:r>
            <w:r w:rsidR="00CD5714" w:rsidRPr="00CD5714">
              <w:rPr>
                <w:rFonts w:ascii="Arial" w:hAnsi="Arial" w:cs="Arial"/>
                <w:sz w:val="16"/>
                <w:szCs w:val="16"/>
                <w:lang w:val="en-GB"/>
              </w:rPr>
              <w:t>27</w:t>
            </w:r>
            <w:r w:rsidRPr="002D2F67">
              <w:rPr>
                <w:rFonts w:ascii="Arial" w:hAnsi="Arial" w:cs="Arial"/>
                <w:sz w:val="16"/>
                <w:szCs w:val="16"/>
              </w:rPr>
              <w:t>,</w:t>
            </w:r>
            <w:r w:rsidR="00CD5714" w:rsidRPr="00CD5714">
              <w:rPr>
                <w:rFonts w:ascii="Arial" w:hAnsi="Arial" w:cs="Arial"/>
                <w:sz w:val="16"/>
                <w:szCs w:val="16"/>
                <w:lang w:val="en-GB"/>
              </w:rPr>
              <w:t>884</w:t>
            </w:r>
            <w:r w:rsidRPr="002D2F67">
              <w:rPr>
                <w:rFonts w:ascii="Arial" w:hAnsi="Arial" w:cs="Arial"/>
                <w:sz w:val="16"/>
                <w:szCs w:val="16"/>
              </w:rPr>
              <w:t>)</w:t>
            </w:r>
          </w:p>
        </w:tc>
        <w:tc>
          <w:tcPr>
            <w:tcW w:w="792" w:type="dxa"/>
            <w:tcBorders>
              <w:bottom w:val="single" w:sz="4" w:space="0" w:color="auto"/>
            </w:tcBorders>
            <w:shd w:val="clear" w:color="auto" w:fill="auto"/>
            <w:vAlign w:val="bottom"/>
          </w:tcPr>
          <w:p w14:paraId="02174469" w14:textId="38EB96D9" w:rsidR="00E634A6" w:rsidRPr="002D2F67" w:rsidRDefault="00CD5714" w:rsidP="00E634A6">
            <w:pPr>
              <w:ind w:left="-64" w:right="-72"/>
              <w:contextualSpacing/>
              <w:jc w:val="right"/>
              <w:rPr>
                <w:rFonts w:ascii="Arial" w:hAnsi="Arial" w:cs="Arial"/>
                <w:sz w:val="16"/>
                <w:szCs w:val="16"/>
              </w:rPr>
            </w:pPr>
            <w:r w:rsidRPr="00CD5714">
              <w:rPr>
                <w:rFonts w:ascii="Arial" w:hAnsi="Arial" w:cs="Arial"/>
                <w:sz w:val="16"/>
                <w:szCs w:val="16"/>
                <w:lang w:val="en-GB"/>
              </w:rPr>
              <w:t>18</w:t>
            </w:r>
            <w:r w:rsidR="00E634A6" w:rsidRPr="002D2F67">
              <w:rPr>
                <w:rFonts w:ascii="Arial" w:hAnsi="Arial" w:cs="Arial"/>
                <w:sz w:val="16"/>
                <w:szCs w:val="16"/>
              </w:rPr>
              <w:t>,</w:t>
            </w:r>
            <w:r w:rsidRPr="00CD5714">
              <w:rPr>
                <w:rFonts w:ascii="Arial" w:hAnsi="Arial" w:cs="Arial"/>
                <w:sz w:val="16"/>
                <w:szCs w:val="16"/>
                <w:lang w:val="en-GB"/>
              </w:rPr>
              <w:t>522</w:t>
            </w:r>
          </w:p>
        </w:tc>
        <w:tc>
          <w:tcPr>
            <w:tcW w:w="792" w:type="dxa"/>
            <w:tcBorders>
              <w:bottom w:val="single" w:sz="4" w:space="0" w:color="auto"/>
            </w:tcBorders>
            <w:shd w:val="clear" w:color="auto" w:fill="auto"/>
            <w:vAlign w:val="bottom"/>
          </w:tcPr>
          <w:p w14:paraId="51A83228" w14:textId="57A5FAF9" w:rsidR="00E634A6" w:rsidRPr="002D2F67" w:rsidRDefault="00CD5714" w:rsidP="00E634A6">
            <w:pPr>
              <w:ind w:left="-64" w:right="-72"/>
              <w:contextualSpacing/>
              <w:jc w:val="right"/>
              <w:rPr>
                <w:rFonts w:ascii="Arial" w:hAnsi="Arial" w:cs="Arial"/>
                <w:sz w:val="16"/>
                <w:szCs w:val="16"/>
              </w:rPr>
            </w:pPr>
            <w:r w:rsidRPr="00CD5714">
              <w:rPr>
                <w:rFonts w:ascii="Arial" w:hAnsi="Arial" w:cs="Arial"/>
                <w:sz w:val="16"/>
                <w:szCs w:val="16"/>
                <w:lang w:val="en-GB"/>
              </w:rPr>
              <w:t>31</w:t>
            </w:r>
            <w:r w:rsidR="00E634A6" w:rsidRPr="002D2F67">
              <w:rPr>
                <w:rFonts w:ascii="Arial" w:hAnsi="Arial" w:cs="Arial"/>
                <w:sz w:val="16"/>
                <w:szCs w:val="16"/>
              </w:rPr>
              <w:t>,</w:t>
            </w:r>
            <w:r w:rsidRPr="00CD5714">
              <w:rPr>
                <w:rFonts w:ascii="Arial" w:hAnsi="Arial" w:cs="Arial"/>
                <w:sz w:val="16"/>
                <w:szCs w:val="16"/>
                <w:lang w:val="en-GB"/>
              </w:rPr>
              <w:t>598</w:t>
            </w:r>
          </w:p>
        </w:tc>
      </w:tr>
    </w:tbl>
    <w:p w14:paraId="52A88703" w14:textId="455B3059" w:rsidR="003161C7" w:rsidRPr="002D2F67" w:rsidRDefault="003161C7" w:rsidP="005611FE">
      <w:pPr>
        <w:pStyle w:val="BodyTextIndent2"/>
        <w:spacing w:line="240" w:lineRule="auto"/>
        <w:ind w:left="0"/>
        <w:rPr>
          <w:rFonts w:ascii="Arial" w:hAnsi="Arial" w:cs="Arial"/>
          <w:spacing w:val="-2"/>
        </w:rPr>
        <w:sectPr w:rsidR="003161C7" w:rsidRPr="002D2F67" w:rsidSect="002D2F67">
          <w:pgSz w:w="16838" w:h="11906" w:orient="landscape" w:code="9"/>
          <w:pgMar w:top="1440" w:right="576" w:bottom="720" w:left="576" w:header="706" w:footer="706" w:gutter="0"/>
          <w:cols w:space="720"/>
        </w:sectPr>
      </w:pPr>
    </w:p>
    <w:p w14:paraId="3BF17491" w14:textId="77777777" w:rsidR="004065BE" w:rsidRPr="002D2F67" w:rsidRDefault="004065BE" w:rsidP="0017159E">
      <w:pPr>
        <w:jc w:val="both"/>
        <w:rPr>
          <w:rFonts w:ascii="Arial" w:hAnsi="Arial" w:cs="Arial"/>
          <w:sz w:val="20"/>
          <w:szCs w:val="20"/>
        </w:rPr>
      </w:pPr>
    </w:p>
    <w:p w14:paraId="06B51C59" w14:textId="3A20D480" w:rsidR="001E54E1" w:rsidRPr="002D2F67" w:rsidRDefault="00E74F13" w:rsidP="0017159E">
      <w:pPr>
        <w:jc w:val="both"/>
        <w:rPr>
          <w:rFonts w:ascii="Arial" w:hAnsi="Arial" w:cs="Arial"/>
          <w:spacing w:val="-2"/>
          <w:sz w:val="20"/>
          <w:szCs w:val="20"/>
        </w:rPr>
      </w:pPr>
      <w:r w:rsidRPr="002D2F67">
        <w:rPr>
          <w:rFonts w:ascii="Arial" w:hAnsi="Arial" w:cs="Arial"/>
          <w:sz w:val="20"/>
          <w:szCs w:val="20"/>
        </w:rPr>
        <w:t>During</w:t>
      </w:r>
      <w:r w:rsidR="001E54E1" w:rsidRPr="002D2F67">
        <w:rPr>
          <w:rFonts w:ascii="Arial" w:hAnsi="Arial" w:cs="Arial"/>
          <w:sz w:val="20"/>
          <w:szCs w:val="20"/>
        </w:rPr>
        <w:t xml:space="preserve"> </w:t>
      </w:r>
      <w:r w:rsidR="00CD5714" w:rsidRPr="00CD5714">
        <w:rPr>
          <w:rFonts w:ascii="Arial" w:hAnsi="Arial" w:cs="Arial"/>
          <w:sz w:val="20"/>
          <w:szCs w:val="20"/>
          <w:lang w:val="en-GB"/>
        </w:rPr>
        <w:t>2024</w:t>
      </w:r>
      <w:r w:rsidR="00F069E9" w:rsidRPr="002D2F67">
        <w:rPr>
          <w:rFonts w:ascii="Arial" w:hAnsi="Arial" w:cs="Arial"/>
          <w:sz w:val="20"/>
          <w:szCs w:val="20"/>
        </w:rPr>
        <w:t xml:space="preserve">, </w:t>
      </w:r>
      <w:r w:rsidR="0017159E" w:rsidRPr="002D2F67">
        <w:rPr>
          <w:rFonts w:ascii="Arial" w:hAnsi="Arial" w:cs="Arial"/>
          <w:sz w:val="20"/>
          <w:szCs w:val="20"/>
        </w:rPr>
        <w:t>the chief operating decision-maker of the Group considered changing</w:t>
      </w:r>
      <w:r w:rsidR="0017159E" w:rsidRPr="002D2F67">
        <w:rPr>
          <w:rFonts w:ascii="Arial" w:hAnsi="Arial" w:cs="Arial"/>
          <w:spacing w:val="-2"/>
          <w:sz w:val="20"/>
          <w:szCs w:val="20"/>
        </w:rPr>
        <w:t xml:space="preserve"> operating segments by </w:t>
      </w:r>
      <w:r w:rsidR="0017159E" w:rsidRPr="002D2F67">
        <w:rPr>
          <w:rFonts w:ascii="Arial" w:hAnsi="Arial" w:cs="Arial"/>
          <w:spacing w:val="-6"/>
          <w:sz w:val="20"/>
          <w:szCs w:val="20"/>
        </w:rPr>
        <w:t xml:space="preserve">combining the alternative energy consulting business with other </w:t>
      </w:r>
      <w:r w:rsidR="00F069E9" w:rsidRPr="002D2F67">
        <w:rPr>
          <w:rFonts w:ascii="Arial" w:hAnsi="Arial" w:cs="Arial"/>
          <w:spacing w:val="-6"/>
          <w:sz w:val="20"/>
          <w:szCs w:val="20"/>
        </w:rPr>
        <w:t>business. The</w:t>
      </w:r>
      <w:r w:rsidR="0017159E" w:rsidRPr="002D2F67">
        <w:rPr>
          <w:rFonts w:ascii="Arial" w:hAnsi="Arial" w:cs="Arial"/>
          <w:spacing w:val="-6"/>
          <w:sz w:val="20"/>
          <w:szCs w:val="20"/>
        </w:rPr>
        <w:t xml:space="preserve"> Group reclassified comparative</w:t>
      </w:r>
      <w:r w:rsidR="0017159E" w:rsidRPr="002D2F67">
        <w:rPr>
          <w:rFonts w:ascii="Arial" w:hAnsi="Arial" w:cs="Arial"/>
          <w:spacing w:val="-2"/>
          <w:sz w:val="20"/>
          <w:szCs w:val="20"/>
        </w:rPr>
        <w:t xml:space="preserve"> figures to conform with changes in operating segments in the current period.</w:t>
      </w:r>
    </w:p>
    <w:p w14:paraId="2FC78D02" w14:textId="77777777" w:rsidR="001E54E1" w:rsidRPr="002D2F67" w:rsidRDefault="001E54E1" w:rsidP="005611FE">
      <w:pPr>
        <w:pStyle w:val="BodyTextIndent2"/>
        <w:spacing w:line="240" w:lineRule="auto"/>
        <w:ind w:left="0"/>
        <w:jc w:val="thaiDistribute"/>
        <w:rPr>
          <w:rFonts w:ascii="Arial" w:hAnsi="Arial" w:cs="Arial"/>
        </w:rPr>
      </w:pPr>
    </w:p>
    <w:tbl>
      <w:tblPr>
        <w:tblW w:w="9605" w:type="dxa"/>
        <w:tblInd w:w="-45" w:type="dxa"/>
        <w:tblLayout w:type="fixed"/>
        <w:tblLook w:val="0000" w:firstRow="0" w:lastRow="0" w:firstColumn="0" w:lastColumn="0" w:noHBand="0" w:noVBand="0"/>
      </w:tblPr>
      <w:tblGrid>
        <w:gridCol w:w="2808"/>
        <w:gridCol w:w="849"/>
        <w:gridCol w:w="850"/>
        <w:gridCol w:w="849"/>
        <w:gridCol w:w="850"/>
        <w:gridCol w:w="850"/>
        <w:gridCol w:w="849"/>
        <w:gridCol w:w="850"/>
        <w:gridCol w:w="850"/>
      </w:tblGrid>
      <w:tr w:rsidR="004331BA" w:rsidRPr="002D2F67" w14:paraId="0B360962" w14:textId="5E04C70F" w:rsidTr="002D2F67">
        <w:trPr>
          <w:cantSplit/>
        </w:trPr>
        <w:tc>
          <w:tcPr>
            <w:tcW w:w="2808" w:type="dxa"/>
            <w:shd w:val="clear" w:color="auto" w:fill="auto"/>
          </w:tcPr>
          <w:p w14:paraId="08C90ADC" w14:textId="77777777" w:rsidR="00AB4F2C" w:rsidRPr="002D2F67" w:rsidRDefault="00AB4F2C" w:rsidP="002D2F67">
            <w:pPr>
              <w:ind w:left="72"/>
              <w:rPr>
                <w:rFonts w:ascii="Arial" w:hAnsi="Arial" w:cs="Arial"/>
                <w:color w:val="000000"/>
                <w:sz w:val="18"/>
                <w:szCs w:val="18"/>
              </w:rPr>
            </w:pPr>
          </w:p>
        </w:tc>
        <w:tc>
          <w:tcPr>
            <w:tcW w:w="6797" w:type="dxa"/>
            <w:gridSpan w:val="8"/>
            <w:tcBorders>
              <w:bottom w:val="single" w:sz="4" w:space="0" w:color="auto"/>
            </w:tcBorders>
            <w:shd w:val="clear" w:color="auto" w:fill="auto"/>
          </w:tcPr>
          <w:p w14:paraId="785565EF" w14:textId="71F60416" w:rsidR="00AB4F2C" w:rsidRPr="002D2F67" w:rsidRDefault="00AB4F2C" w:rsidP="002D2F67">
            <w:pPr>
              <w:widowControl w:val="0"/>
              <w:ind w:right="-72"/>
              <w:jc w:val="right"/>
              <w:rPr>
                <w:rFonts w:ascii="Arial" w:eastAsia="Calibri" w:hAnsi="Arial" w:cs="Arial"/>
                <w:b/>
                <w:bCs/>
                <w:color w:val="000000"/>
                <w:sz w:val="18"/>
                <w:szCs w:val="18"/>
              </w:rPr>
            </w:pPr>
            <w:r w:rsidRPr="002D2F67">
              <w:rPr>
                <w:rFonts w:ascii="Arial" w:eastAsia="Calibri" w:hAnsi="Arial" w:cs="Arial"/>
                <w:b/>
                <w:bCs/>
                <w:color w:val="000000"/>
                <w:sz w:val="18"/>
                <w:szCs w:val="18"/>
              </w:rPr>
              <w:t>Unit: Million Baht</w:t>
            </w:r>
          </w:p>
        </w:tc>
      </w:tr>
      <w:tr w:rsidR="004331BA" w:rsidRPr="002D2F67" w14:paraId="561D9153" w14:textId="4FBEE595" w:rsidTr="002D2F67">
        <w:trPr>
          <w:cantSplit/>
        </w:trPr>
        <w:tc>
          <w:tcPr>
            <w:tcW w:w="2808" w:type="dxa"/>
            <w:shd w:val="clear" w:color="auto" w:fill="auto"/>
          </w:tcPr>
          <w:p w14:paraId="65038168" w14:textId="77777777" w:rsidR="00AB4F2C" w:rsidRPr="002D2F67" w:rsidRDefault="00AB4F2C" w:rsidP="002D2F67">
            <w:pPr>
              <w:ind w:left="72"/>
              <w:rPr>
                <w:rFonts w:ascii="Arial" w:hAnsi="Arial" w:cs="Arial"/>
                <w:color w:val="000000"/>
                <w:sz w:val="18"/>
                <w:szCs w:val="18"/>
              </w:rPr>
            </w:pPr>
          </w:p>
        </w:tc>
        <w:tc>
          <w:tcPr>
            <w:tcW w:w="6797" w:type="dxa"/>
            <w:gridSpan w:val="8"/>
            <w:tcBorders>
              <w:top w:val="single" w:sz="4" w:space="0" w:color="auto"/>
              <w:bottom w:val="single" w:sz="4" w:space="0" w:color="auto"/>
            </w:tcBorders>
            <w:shd w:val="clear" w:color="auto" w:fill="auto"/>
          </w:tcPr>
          <w:p w14:paraId="697A5719" w14:textId="6F573B22" w:rsidR="00AB4F2C" w:rsidRPr="002D2F67" w:rsidRDefault="00AB4F2C" w:rsidP="002D2F67">
            <w:pPr>
              <w:widowControl w:val="0"/>
              <w:ind w:right="-72"/>
              <w:jc w:val="right"/>
              <w:rPr>
                <w:rFonts w:ascii="Arial" w:eastAsia="Calibri" w:hAnsi="Arial" w:cs="Arial"/>
                <w:b/>
                <w:bCs/>
                <w:color w:val="000000"/>
                <w:sz w:val="18"/>
                <w:szCs w:val="18"/>
              </w:rPr>
            </w:pPr>
            <w:r w:rsidRPr="002D2F67">
              <w:rPr>
                <w:rFonts w:ascii="Arial" w:eastAsia="Calibri" w:hAnsi="Arial" w:cs="Arial"/>
                <w:b/>
                <w:bCs/>
                <w:color w:val="000000"/>
                <w:sz w:val="18"/>
                <w:szCs w:val="18"/>
              </w:rPr>
              <w:t>Separate financial statements</w:t>
            </w:r>
          </w:p>
        </w:tc>
      </w:tr>
      <w:tr w:rsidR="004331BA" w:rsidRPr="002D2F67" w14:paraId="080ACED9" w14:textId="0BDDF128" w:rsidTr="002D2F67">
        <w:trPr>
          <w:cantSplit/>
        </w:trPr>
        <w:tc>
          <w:tcPr>
            <w:tcW w:w="2808" w:type="dxa"/>
            <w:shd w:val="clear" w:color="auto" w:fill="auto"/>
          </w:tcPr>
          <w:p w14:paraId="057AE167" w14:textId="77777777" w:rsidR="00AB4F2C" w:rsidRPr="002D2F67" w:rsidRDefault="00AB4F2C" w:rsidP="002D2F67">
            <w:pPr>
              <w:ind w:left="72"/>
              <w:rPr>
                <w:rFonts w:ascii="Arial" w:hAnsi="Arial" w:cs="Arial"/>
                <w:color w:val="000000"/>
                <w:sz w:val="18"/>
                <w:szCs w:val="18"/>
              </w:rPr>
            </w:pPr>
          </w:p>
        </w:tc>
        <w:tc>
          <w:tcPr>
            <w:tcW w:w="6797" w:type="dxa"/>
            <w:gridSpan w:val="8"/>
            <w:tcBorders>
              <w:top w:val="single" w:sz="4" w:space="0" w:color="auto"/>
              <w:bottom w:val="single" w:sz="4" w:space="0" w:color="auto"/>
            </w:tcBorders>
            <w:shd w:val="clear" w:color="auto" w:fill="auto"/>
          </w:tcPr>
          <w:p w14:paraId="5C79497F" w14:textId="15DD9C96" w:rsidR="00AB4F2C" w:rsidRPr="002D2F67" w:rsidRDefault="00AB4F2C" w:rsidP="002D2F67">
            <w:pPr>
              <w:widowControl w:val="0"/>
              <w:ind w:right="-72"/>
              <w:jc w:val="right"/>
              <w:rPr>
                <w:rFonts w:ascii="Arial" w:eastAsia="Calibri" w:hAnsi="Arial" w:cs="Arial"/>
                <w:b/>
                <w:bCs/>
                <w:color w:val="000000"/>
                <w:sz w:val="18"/>
                <w:szCs w:val="18"/>
              </w:rPr>
            </w:pPr>
            <w:r w:rsidRPr="002D2F67">
              <w:rPr>
                <w:rFonts w:ascii="Arial" w:eastAsia="Calibri" w:hAnsi="Arial" w:cs="Arial"/>
                <w:b/>
                <w:bCs/>
                <w:color w:val="000000"/>
                <w:sz w:val="18"/>
                <w:szCs w:val="18"/>
              </w:rPr>
              <w:t>For the year</w:t>
            </w:r>
            <w:r w:rsidR="00DD0A5A" w:rsidRPr="002D2F67">
              <w:rPr>
                <w:rFonts w:ascii="Arial" w:eastAsia="Calibri" w:hAnsi="Arial" w:cs="Arial"/>
                <w:b/>
                <w:bCs/>
                <w:color w:val="000000"/>
                <w:sz w:val="18"/>
                <w:szCs w:val="18"/>
              </w:rPr>
              <w:t>s</w:t>
            </w:r>
            <w:r w:rsidRPr="002D2F67">
              <w:rPr>
                <w:rFonts w:ascii="Arial" w:eastAsia="Calibri" w:hAnsi="Arial" w:cs="Arial"/>
                <w:b/>
                <w:bCs/>
                <w:color w:val="000000"/>
                <w:sz w:val="18"/>
                <w:szCs w:val="18"/>
              </w:rPr>
              <w:t xml:space="preserve"> ended </w:t>
            </w:r>
            <w:r w:rsidR="00CD5714" w:rsidRPr="00CD5714">
              <w:rPr>
                <w:rFonts w:ascii="Arial" w:eastAsia="Calibri" w:hAnsi="Arial" w:cs="Arial"/>
                <w:b/>
                <w:bCs/>
                <w:color w:val="000000"/>
                <w:sz w:val="18"/>
                <w:szCs w:val="18"/>
                <w:lang w:val="en-GB"/>
              </w:rPr>
              <w:t>31</w:t>
            </w:r>
            <w:r w:rsidRPr="002D2F67">
              <w:rPr>
                <w:rFonts w:ascii="Arial" w:eastAsia="Calibri" w:hAnsi="Arial" w:cs="Arial"/>
                <w:b/>
                <w:bCs/>
                <w:color w:val="000000"/>
                <w:sz w:val="18"/>
                <w:szCs w:val="18"/>
              </w:rPr>
              <w:t xml:space="preserve"> December   </w:t>
            </w:r>
          </w:p>
        </w:tc>
      </w:tr>
      <w:tr w:rsidR="003654F1" w:rsidRPr="002D2F67" w14:paraId="12FA9376" w14:textId="3226E307" w:rsidTr="002D2F67">
        <w:trPr>
          <w:cantSplit/>
        </w:trPr>
        <w:tc>
          <w:tcPr>
            <w:tcW w:w="2808" w:type="dxa"/>
            <w:shd w:val="clear" w:color="auto" w:fill="auto"/>
          </w:tcPr>
          <w:p w14:paraId="21AE0937" w14:textId="77777777" w:rsidR="00AB4F2C" w:rsidRPr="002D2F67" w:rsidRDefault="00AB4F2C" w:rsidP="002D2F67">
            <w:pPr>
              <w:ind w:left="72"/>
              <w:rPr>
                <w:rFonts w:ascii="Arial" w:hAnsi="Arial" w:cs="Arial"/>
                <w:color w:val="000000"/>
                <w:sz w:val="18"/>
                <w:szCs w:val="18"/>
              </w:rPr>
            </w:pPr>
          </w:p>
        </w:tc>
        <w:tc>
          <w:tcPr>
            <w:tcW w:w="1699" w:type="dxa"/>
            <w:gridSpan w:val="2"/>
            <w:tcBorders>
              <w:top w:val="single" w:sz="4" w:space="0" w:color="auto"/>
            </w:tcBorders>
            <w:shd w:val="clear" w:color="auto" w:fill="auto"/>
            <w:vAlign w:val="bottom"/>
          </w:tcPr>
          <w:p w14:paraId="2CA4472B" w14:textId="77777777" w:rsidR="00AB4F2C" w:rsidRPr="002D2F67" w:rsidRDefault="00AB4F2C" w:rsidP="002D2F67">
            <w:pPr>
              <w:widowControl w:val="0"/>
              <w:ind w:left="-106" w:right="-72"/>
              <w:jc w:val="right"/>
              <w:rPr>
                <w:rFonts w:ascii="Arial" w:hAnsi="Arial" w:cs="Arial"/>
                <w:b/>
                <w:bCs/>
                <w:color w:val="000000"/>
                <w:sz w:val="18"/>
                <w:szCs w:val="18"/>
                <w:cs/>
              </w:rPr>
            </w:pPr>
            <w:r w:rsidRPr="002D2F67">
              <w:rPr>
                <w:rFonts w:ascii="Arial" w:hAnsi="Arial" w:cs="Arial"/>
                <w:b/>
                <w:bCs/>
                <w:color w:val="000000"/>
                <w:sz w:val="18"/>
                <w:szCs w:val="18"/>
              </w:rPr>
              <w:t xml:space="preserve">Manufacturing </w:t>
            </w:r>
          </w:p>
        </w:tc>
        <w:tc>
          <w:tcPr>
            <w:tcW w:w="1699" w:type="dxa"/>
            <w:gridSpan w:val="2"/>
            <w:tcBorders>
              <w:top w:val="single" w:sz="4" w:space="0" w:color="auto"/>
            </w:tcBorders>
            <w:shd w:val="clear" w:color="auto" w:fill="auto"/>
            <w:vAlign w:val="bottom"/>
          </w:tcPr>
          <w:p w14:paraId="3DD6911A" w14:textId="6E63BE79" w:rsidR="00AB4F2C" w:rsidRPr="002D2F67" w:rsidRDefault="00E63FEF" w:rsidP="002D2F67">
            <w:pPr>
              <w:widowControl w:val="0"/>
              <w:ind w:left="-106" w:right="-72"/>
              <w:jc w:val="right"/>
              <w:rPr>
                <w:rFonts w:ascii="Arial" w:hAnsi="Arial" w:cs="Arial"/>
                <w:b/>
                <w:bCs/>
                <w:color w:val="000000"/>
                <w:sz w:val="18"/>
                <w:szCs w:val="18"/>
                <w:cs/>
              </w:rPr>
            </w:pPr>
            <w:r w:rsidRPr="002D2F67">
              <w:rPr>
                <w:rFonts w:ascii="Arial" w:hAnsi="Arial" w:cs="Arial"/>
                <w:b/>
                <w:bCs/>
                <w:color w:val="000000"/>
                <w:sz w:val="18"/>
                <w:szCs w:val="18"/>
              </w:rPr>
              <w:t xml:space="preserve">Manufacturing </w:t>
            </w:r>
          </w:p>
        </w:tc>
        <w:tc>
          <w:tcPr>
            <w:tcW w:w="1699" w:type="dxa"/>
            <w:gridSpan w:val="2"/>
            <w:tcBorders>
              <w:top w:val="single" w:sz="4" w:space="0" w:color="auto"/>
            </w:tcBorders>
            <w:shd w:val="clear" w:color="auto" w:fill="auto"/>
            <w:vAlign w:val="bottom"/>
          </w:tcPr>
          <w:p w14:paraId="6B897280" w14:textId="77777777" w:rsidR="00AB4F2C" w:rsidRPr="002D2F67" w:rsidRDefault="00AB4F2C" w:rsidP="002D2F67">
            <w:pPr>
              <w:widowControl w:val="0"/>
              <w:ind w:left="-106" w:right="-72"/>
              <w:jc w:val="right"/>
              <w:rPr>
                <w:rFonts w:ascii="Arial" w:hAnsi="Arial" w:cs="Arial"/>
                <w:b/>
                <w:bCs/>
                <w:color w:val="000000"/>
                <w:sz w:val="18"/>
                <w:szCs w:val="18"/>
                <w:cs/>
              </w:rPr>
            </w:pPr>
          </w:p>
        </w:tc>
        <w:tc>
          <w:tcPr>
            <w:tcW w:w="1700" w:type="dxa"/>
            <w:gridSpan w:val="2"/>
            <w:tcBorders>
              <w:top w:val="single" w:sz="4" w:space="0" w:color="auto"/>
            </w:tcBorders>
            <w:shd w:val="clear" w:color="auto" w:fill="auto"/>
            <w:vAlign w:val="bottom"/>
          </w:tcPr>
          <w:p w14:paraId="18E054FE" w14:textId="2DD26B10" w:rsidR="00AB4F2C" w:rsidRPr="002D2F67" w:rsidRDefault="00AB4F2C" w:rsidP="002D2F67">
            <w:pPr>
              <w:widowControl w:val="0"/>
              <w:ind w:left="-106" w:right="-72"/>
              <w:jc w:val="right"/>
              <w:rPr>
                <w:rFonts w:ascii="Arial" w:hAnsi="Arial" w:cs="Arial"/>
                <w:b/>
                <w:bCs/>
                <w:color w:val="000000"/>
                <w:sz w:val="18"/>
                <w:szCs w:val="18"/>
                <w:cs/>
              </w:rPr>
            </w:pPr>
          </w:p>
        </w:tc>
      </w:tr>
      <w:tr w:rsidR="00B1518C" w:rsidRPr="002D2F67" w14:paraId="606C9794" w14:textId="39E687E1" w:rsidTr="002D2F67">
        <w:trPr>
          <w:cantSplit/>
        </w:trPr>
        <w:tc>
          <w:tcPr>
            <w:tcW w:w="2808" w:type="dxa"/>
            <w:shd w:val="clear" w:color="auto" w:fill="auto"/>
          </w:tcPr>
          <w:p w14:paraId="31F7CC31" w14:textId="77777777" w:rsidR="00AB4F2C" w:rsidRPr="002D2F67" w:rsidRDefault="00AB4F2C" w:rsidP="002D2F67">
            <w:pPr>
              <w:ind w:left="72"/>
              <w:rPr>
                <w:rFonts w:ascii="Arial" w:hAnsi="Arial" w:cs="Arial"/>
                <w:color w:val="000000"/>
                <w:sz w:val="18"/>
                <w:szCs w:val="18"/>
              </w:rPr>
            </w:pPr>
          </w:p>
        </w:tc>
        <w:tc>
          <w:tcPr>
            <w:tcW w:w="1699" w:type="dxa"/>
            <w:gridSpan w:val="2"/>
            <w:shd w:val="clear" w:color="auto" w:fill="auto"/>
            <w:vAlign w:val="bottom"/>
          </w:tcPr>
          <w:p w14:paraId="0A6141BB" w14:textId="77777777" w:rsidR="00AB4F2C" w:rsidRPr="002D2F67" w:rsidRDefault="00AB4F2C" w:rsidP="002D2F67">
            <w:pPr>
              <w:widowControl w:val="0"/>
              <w:ind w:left="-106" w:right="-72"/>
              <w:jc w:val="right"/>
              <w:rPr>
                <w:rFonts w:ascii="Arial" w:hAnsi="Arial" w:cs="Arial"/>
                <w:b/>
                <w:bCs/>
                <w:color w:val="000000"/>
                <w:sz w:val="18"/>
                <w:szCs w:val="18"/>
                <w:cs/>
              </w:rPr>
            </w:pPr>
            <w:r w:rsidRPr="002D2F67">
              <w:rPr>
                <w:rFonts w:ascii="Arial" w:hAnsi="Arial" w:cs="Arial"/>
                <w:b/>
                <w:bCs/>
                <w:color w:val="000000"/>
                <w:sz w:val="18"/>
                <w:szCs w:val="18"/>
              </w:rPr>
              <w:t>and distributing</w:t>
            </w:r>
          </w:p>
        </w:tc>
        <w:tc>
          <w:tcPr>
            <w:tcW w:w="1699" w:type="dxa"/>
            <w:gridSpan w:val="2"/>
            <w:shd w:val="clear" w:color="auto" w:fill="auto"/>
            <w:vAlign w:val="bottom"/>
          </w:tcPr>
          <w:p w14:paraId="30820F91" w14:textId="038F2C6F" w:rsidR="00AB4F2C" w:rsidRPr="002D2F67" w:rsidRDefault="00E63FEF" w:rsidP="002D2F67">
            <w:pPr>
              <w:widowControl w:val="0"/>
              <w:ind w:left="-106" w:right="-72"/>
              <w:jc w:val="right"/>
              <w:rPr>
                <w:rFonts w:ascii="Arial" w:hAnsi="Arial" w:cs="Arial"/>
                <w:b/>
                <w:bCs/>
                <w:color w:val="000000"/>
                <w:sz w:val="18"/>
                <w:szCs w:val="18"/>
              </w:rPr>
            </w:pPr>
            <w:r w:rsidRPr="002D2F67">
              <w:rPr>
                <w:rFonts w:ascii="Arial" w:hAnsi="Arial" w:cs="Arial"/>
                <w:b/>
                <w:bCs/>
                <w:color w:val="000000"/>
                <w:sz w:val="18"/>
                <w:szCs w:val="18"/>
              </w:rPr>
              <w:t>and distributing</w:t>
            </w:r>
          </w:p>
        </w:tc>
        <w:tc>
          <w:tcPr>
            <w:tcW w:w="1699" w:type="dxa"/>
            <w:gridSpan w:val="2"/>
            <w:shd w:val="clear" w:color="auto" w:fill="auto"/>
            <w:vAlign w:val="bottom"/>
          </w:tcPr>
          <w:p w14:paraId="089BE9FF" w14:textId="77777777" w:rsidR="00AB4F2C" w:rsidRPr="002D2F67" w:rsidRDefault="00AB4F2C" w:rsidP="002D2F67">
            <w:pPr>
              <w:widowControl w:val="0"/>
              <w:ind w:left="-106" w:right="-72"/>
              <w:jc w:val="right"/>
              <w:rPr>
                <w:rFonts w:ascii="Arial" w:hAnsi="Arial" w:cs="Arial"/>
                <w:b/>
                <w:bCs/>
                <w:color w:val="000000"/>
                <w:sz w:val="18"/>
                <w:szCs w:val="18"/>
              </w:rPr>
            </w:pPr>
          </w:p>
        </w:tc>
        <w:tc>
          <w:tcPr>
            <w:tcW w:w="1700" w:type="dxa"/>
            <w:gridSpan w:val="2"/>
            <w:shd w:val="clear" w:color="auto" w:fill="auto"/>
            <w:vAlign w:val="bottom"/>
          </w:tcPr>
          <w:p w14:paraId="5BF7A03F" w14:textId="77777777" w:rsidR="00AB4F2C" w:rsidRPr="002D2F67" w:rsidRDefault="00AB4F2C" w:rsidP="002D2F67">
            <w:pPr>
              <w:widowControl w:val="0"/>
              <w:ind w:left="-106" w:right="-72"/>
              <w:jc w:val="right"/>
              <w:rPr>
                <w:rFonts w:ascii="Arial" w:hAnsi="Arial" w:cs="Arial"/>
                <w:b/>
                <w:bCs/>
                <w:color w:val="000000"/>
                <w:sz w:val="18"/>
                <w:szCs w:val="18"/>
              </w:rPr>
            </w:pPr>
          </w:p>
        </w:tc>
      </w:tr>
      <w:tr w:rsidR="00B1518C" w:rsidRPr="002D2F67" w14:paraId="186D323F" w14:textId="33EE446D" w:rsidTr="002D2F67">
        <w:trPr>
          <w:cantSplit/>
        </w:trPr>
        <w:tc>
          <w:tcPr>
            <w:tcW w:w="2808" w:type="dxa"/>
            <w:shd w:val="clear" w:color="auto" w:fill="auto"/>
          </w:tcPr>
          <w:p w14:paraId="40FFEE98" w14:textId="77777777" w:rsidR="00AB4F2C" w:rsidRPr="002D2F67" w:rsidRDefault="00AB4F2C" w:rsidP="002D2F67">
            <w:pPr>
              <w:ind w:left="72"/>
              <w:rPr>
                <w:rFonts w:ascii="Arial" w:hAnsi="Arial" w:cs="Arial"/>
                <w:color w:val="000000"/>
                <w:sz w:val="18"/>
                <w:szCs w:val="18"/>
              </w:rPr>
            </w:pPr>
          </w:p>
        </w:tc>
        <w:tc>
          <w:tcPr>
            <w:tcW w:w="1699" w:type="dxa"/>
            <w:gridSpan w:val="2"/>
            <w:shd w:val="clear" w:color="auto" w:fill="auto"/>
            <w:vAlign w:val="bottom"/>
          </w:tcPr>
          <w:p w14:paraId="3571114A" w14:textId="77777777" w:rsidR="00AB4F2C" w:rsidRPr="002D2F67" w:rsidRDefault="00AB4F2C" w:rsidP="002D2F67">
            <w:pPr>
              <w:widowControl w:val="0"/>
              <w:ind w:left="-106" w:right="-72"/>
              <w:jc w:val="right"/>
              <w:rPr>
                <w:rFonts w:ascii="Arial" w:hAnsi="Arial" w:cs="Arial"/>
                <w:b/>
                <w:bCs/>
                <w:color w:val="000000"/>
                <w:sz w:val="18"/>
                <w:szCs w:val="18"/>
              </w:rPr>
            </w:pPr>
            <w:r w:rsidRPr="002D2F67">
              <w:rPr>
                <w:rFonts w:ascii="Arial" w:hAnsi="Arial" w:cs="Arial"/>
                <w:b/>
                <w:bCs/>
                <w:color w:val="000000"/>
                <w:sz w:val="18"/>
                <w:szCs w:val="18"/>
              </w:rPr>
              <w:t>crude palm oil,</w:t>
            </w:r>
          </w:p>
        </w:tc>
        <w:tc>
          <w:tcPr>
            <w:tcW w:w="1699" w:type="dxa"/>
            <w:gridSpan w:val="2"/>
            <w:shd w:val="clear" w:color="auto" w:fill="auto"/>
            <w:vAlign w:val="bottom"/>
          </w:tcPr>
          <w:p w14:paraId="72CF4747" w14:textId="26A85732" w:rsidR="00AB4F2C" w:rsidRPr="002D2F67" w:rsidRDefault="00E63FEF" w:rsidP="002D2F67">
            <w:pPr>
              <w:widowControl w:val="0"/>
              <w:ind w:left="-106" w:right="-72"/>
              <w:jc w:val="right"/>
              <w:rPr>
                <w:rFonts w:ascii="Arial" w:hAnsi="Arial" w:cs="Arial"/>
                <w:b/>
                <w:bCs/>
                <w:color w:val="000000"/>
                <w:sz w:val="18"/>
                <w:szCs w:val="18"/>
              </w:rPr>
            </w:pPr>
            <w:r w:rsidRPr="002D2F67">
              <w:rPr>
                <w:rFonts w:ascii="Arial" w:hAnsi="Arial" w:cs="Arial"/>
                <w:b/>
                <w:bCs/>
                <w:color w:val="000000"/>
                <w:sz w:val="18"/>
                <w:szCs w:val="18"/>
              </w:rPr>
              <w:t>electricity from</w:t>
            </w:r>
          </w:p>
        </w:tc>
        <w:tc>
          <w:tcPr>
            <w:tcW w:w="1699" w:type="dxa"/>
            <w:gridSpan w:val="2"/>
            <w:shd w:val="clear" w:color="auto" w:fill="auto"/>
            <w:vAlign w:val="bottom"/>
          </w:tcPr>
          <w:p w14:paraId="14EE6389" w14:textId="77777777" w:rsidR="00AB4F2C" w:rsidRPr="002D2F67" w:rsidRDefault="00AB4F2C" w:rsidP="002D2F67">
            <w:pPr>
              <w:widowControl w:val="0"/>
              <w:ind w:left="-106" w:right="-72"/>
              <w:jc w:val="right"/>
              <w:rPr>
                <w:rFonts w:ascii="Arial" w:hAnsi="Arial" w:cs="Arial"/>
                <w:b/>
                <w:bCs/>
                <w:color w:val="000000"/>
                <w:sz w:val="18"/>
                <w:szCs w:val="18"/>
              </w:rPr>
            </w:pPr>
          </w:p>
        </w:tc>
        <w:tc>
          <w:tcPr>
            <w:tcW w:w="1700" w:type="dxa"/>
            <w:gridSpan w:val="2"/>
            <w:shd w:val="clear" w:color="auto" w:fill="auto"/>
            <w:vAlign w:val="bottom"/>
          </w:tcPr>
          <w:p w14:paraId="56C3E89B" w14:textId="77777777" w:rsidR="00AB4F2C" w:rsidRPr="002D2F67" w:rsidRDefault="00AB4F2C" w:rsidP="002D2F67">
            <w:pPr>
              <w:widowControl w:val="0"/>
              <w:ind w:left="-106" w:right="-72"/>
              <w:jc w:val="right"/>
              <w:rPr>
                <w:rFonts w:ascii="Arial" w:hAnsi="Arial" w:cs="Arial"/>
                <w:b/>
                <w:bCs/>
                <w:color w:val="000000"/>
                <w:sz w:val="18"/>
                <w:szCs w:val="18"/>
              </w:rPr>
            </w:pPr>
          </w:p>
        </w:tc>
      </w:tr>
      <w:tr w:rsidR="00B1518C" w:rsidRPr="002D2F67" w14:paraId="322D2777" w14:textId="2A91CAC8" w:rsidTr="002D2F67">
        <w:trPr>
          <w:cantSplit/>
        </w:trPr>
        <w:tc>
          <w:tcPr>
            <w:tcW w:w="2808" w:type="dxa"/>
            <w:shd w:val="clear" w:color="auto" w:fill="auto"/>
          </w:tcPr>
          <w:p w14:paraId="302D6C8F" w14:textId="77777777" w:rsidR="00AB4F2C" w:rsidRPr="002D2F67" w:rsidRDefault="00AB4F2C" w:rsidP="002D2F67">
            <w:pPr>
              <w:ind w:left="72"/>
              <w:rPr>
                <w:rFonts w:ascii="Arial" w:hAnsi="Arial" w:cs="Arial"/>
                <w:color w:val="000000"/>
                <w:sz w:val="18"/>
                <w:szCs w:val="18"/>
              </w:rPr>
            </w:pPr>
          </w:p>
        </w:tc>
        <w:tc>
          <w:tcPr>
            <w:tcW w:w="1699" w:type="dxa"/>
            <w:gridSpan w:val="2"/>
            <w:shd w:val="clear" w:color="auto" w:fill="auto"/>
            <w:vAlign w:val="bottom"/>
          </w:tcPr>
          <w:p w14:paraId="59AA8356" w14:textId="445FB3A8" w:rsidR="00AB4F2C" w:rsidRPr="002D2F67" w:rsidRDefault="00AB4F2C" w:rsidP="002D2F67">
            <w:pPr>
              <w:widowControl w:val="0"/>
              <w:ind w:left="-106" w:right="-72"/>
              <w:jc w:val="right"/>
              <w:rPr>
                <w:rFonts w:ascii="Arial" w:hAnsi="Arial" w:cs="Arial"/>
                <w:b/>
                <w:bCs/>
                <w:color w:val="000000"/>
                <w:sz w:val="18"/>
                <w:szCs w:val="18"/>
              </w:rPr>
            </w:pPr>
            <w:r w:rsidRPr="002D2F67">
              <w:rPr>
                <w:rFonts w:ascii="Arial" w:hAnsi="Arial" w:cs="Arial"/>
                <w:b/>
                <w:bCs/>
                <w:color w:val="000000"/>
                <w:sz w:val="18"/>
                <w:szCs w:val="18"/>
              </w:rPr>
              <w:t xml:space="preserve">biodiesel </w:t>
            </w:r>
          </w:p>
        </w:tc>
        <w:tc>
          <w:tcPr>
            <w:tcW w:w="1699" w:type="dxa"/>
            <w:gridSpan w:val="2"/>
            <w:shd w:val="clear" w:color="auto" w:fill="auto"/>
            <w:vAlign w:val="bottom"/>
          </w:tcPr>
          <w:p w14:paraId="512BBD67" w14:textId="2325EDD6" w:rsidR="00AB4F2C" w:rsidRPr="002D2F67" w:rsidRDefault="00E63FEF" w:rsidP="002D2F67">
            <w:pPr>
              <w:widowControl w:val="0"/>
              <w:ind w:left="-106" w:right="-72"/>
              <w:jc w:val="right"/>
              <w:rPr>
                <w:rFonts w:ascii="Arial" w:hAnsi="Arial" w:cs="Arial"/>
                <w:b/>
                <w:bCs/>
                <w:color w:val="000000"/>
                <w:sz w:val="18"/>
                <w:szCs w:val="18"/>
              </w:rPr>
            </w:pPr>
            <w:r w:rsidRPr="002D2F67">
              <w:rPr>
                <w:rFonts w:ascii="Arial" w:hAnsi="Arial" w:cs="Arial"/>
                <w:b/>
                <w:bCs/>
                <w:color w:val="000000"/>
                <w:sz w:val="18"/>
                <w:szCs w:val="18"/>
              </w:rPr>
              <w:t xml:space="preserve">solar and </w:t>
            </w:r>
          </w:p>
        </w:tc>
        <w:tc>
          <w:tcPr>
            <w:tcW w:w="1699" w:type="dxa"/>
            <w:gridSpan w:val="2"/>
            <w:shd w:val="clear" w:color="auto" w:fill="auto"/>
            <w:vAlign w:val="bottom"/>
          </w:tcPr>
          <w:p w14:paraId="160E0045" w14:textId="77777777" w:rsidR="00AB4F2C" w:rsidRPr="002D2F67" w:rsidRDefault="00AB4F2C" w:rsidP="002D2F67">
            <w:pPr>
              <w:widowControl w:val="0"/>
              <w:ind w:left="-106" w:right="-72"/>
              <w:jc w:val="right"/>
              <w:rPr>
                <w:rFonts w:ascii="Arial" w:hAnsi="Arial" w:cs="Arial"/>
                <w:b/>
                <w:bCs/>
                <w:color w:val="000000"/>
                <w:sz w:val="18"/>
                <w:szCs w:val="18"/>
              </w:rPr>
            </w:pPr>
          </w:p>
        </w:tc>
        <w:tc>
          <w:tcPr>
            <w:tcW w:w="1700" w:type="dxa"/>
            <w:gridSpan w:val="2"/>
            <w:shd w:val="clear" w:color="auto" w:fill="auto"/>
            <w:vAlign w:val="bottom"/>
          </w:tcPr>
          <w:p w14:paraId="361D1999" w14:textId="77777777" w:rsidR="00AB4F2C" w:rsidRPr="002D2F67" w:rsidRDefault="00AB4F2C" w:rsidP="002D2F67">
            <w:pPr>
              <w:widowControl w:val="0"/>
              <w:ind w:left="-106" w:right="-72"/>
              <w:jc w:val="right"/>
              <w:rPr>
                <w:rFonts w:ascii="Arial" w:hAnsi="Arial" w:cs="Arial"/>
                <w:b/>
                <w:bCs/>
                <w:color w:val="000000"/>
                <w:sz w:val="18"/>
                <w:szCs w:val="18"/>
              </w:rPr>
            </w:pPr>
          </w:p>
        </w:tc>
      </w:tr>
      <w:tr w:rsidR="00B1518C" w:rsidRPr="002D2F67" w14:paraId="1405AC21" w14:textId="4E6B0149" w:rsidTr="002D2F67">
        <w:trPr>
          <w:cantSplit/>
        </w:trPr>
        <w:tc>
          <w:tcPr>
            <w:tcW w:w="2808" w:type="dxa"/>
            <w:shd w:val="clear" w:color="auto" w:fill="auto"/>
          </w:tcPr>
          <w:p w14:paraId="094FD640" w14:textId="77777777" w:rsidR="00AB4F2C" w:rsidRPr="002D2F67" w:rsidRDefault="00AB4F2C" w:rsidP="002D2F67">
            <w:pPr>
              <w:ind w:left="72"/>
              <w:rPr>
                <w:rFonts w:ascii="Arial" w:hAnsi="Arial" w:cs="Arial"/>
                <w:color w:val="000000"/>
                <w:sz w:val="18"/>
                <w:szCs w:val="18"/>
              </w:rPr>
            </w:pPr>
          </w:p>
        </w:tc>
        <w:tc>
          <w:tcPr>
            <w:tcW w:w="1699" w:type="dxa"/>
            <w:gridSpan w:val="2"/>
            <w:shd w:val="clear" w:color="auto" w:fill="auto"/>
            <w:vAlign w:val="bottom"/>
          </w:tcPr>
          <w:p w14:paraId="56DB1CCE" w14:textId="3CA291F1" w:rsidR="00AB4F2C" w:rsidRPr="002D2F67" w:rsidRDefault="00AB4F2C" w:rsidP="002D2F67">
            <w:pPr>
              <w:widowControl w:val="0"/>
              <w:ind w:left="-106" w:right="-72"/>
              <w:jc w:val="right"/>
              <w:rPr>
                <w:rFonts w:ascii="Arial" w:hAnsi="Arial" w:cs="Arial"/>
                <w:b/>
                <w:bCs/>
                <w:color w:val="000000"/>
                <w:sz w:val="18"/>
                <w:szCs w:val="18"/>
              </w:rPr>
            </w:pPr>
            <w:r w:rsidRPr="002D2F67">
              <w:rPr>
                <w:rFonts w:ascii="Arial" w:hAnsi="Arial" w:cs="Arial"/>
                <w:b/>
                <w:bCs/>
                <w:color w:val="000000"/>
                <w:sz w:val="18"/>
                <w:szCs w:val="18"/>
              </w:rPr>
              <w:t xml:space="preserve">and pure </w:t>
            </w:r>
            <w:r w:rsidR="00380A72" w:rsidRPr="002D2F67">
              <w:rPr>
                <w:rFonts w:ascii="Arial" w:hAnsi="Arial" w:cs="Arial"/>
                <w:b/>
                <w:bCs/>
                <w:color w:val="000000"/>
                <w:sz w:val="18"/>
                <w:szCs w:val="18"/>
              </w:rPr>
              <w:t>glycerin</w:t>
            </w:r>
          </w:p>
        </w:tc>
        <w:tc>
          <w:tcPr>
            <w:tcW w:w="1699" w:type="dxa"/>
            <w:gridSpan w:val="2"/>
            <w:shd w:val="clear" w:color="auto" w:fill="auto"/>
            <w:vAlign w:val="bottom"/>
          </w:tcPr>
          <w:p w14:paraId="0477AD94" w14:textId="0121E7F6" w:rsidR="00AB4F2C" w:rsidRPr="002D2F67" w:rsidRDefault="00E63FEF" w:rsidP="002D2F67">
            <w:pPr>
              <w:widowControl w:val="0"/>
              <w:ind w:left="-106" w:right="-72"/>
              <w:jc w:val="right"/>
              <w:rPr>
                <w:rFonts w:ascii="Arial" w:hAnsi="Arial" w:cs="Arial"/>
                <w:b/>
                <w:bCs/>
                <w:color w:val="000000"/>
                <w:sz w:val="18"/>
                <w:szCs w:val="18"/>
                <w:cs/>
              </w:rPr>
            </w:pPr>
            <w:r w:rsidRPr="002D2F67">
              <w:rPr>
                <w:rFonts w:ascii="Arial" w:hAnsi="Arial" w:cs="Arial"/>
                <w:b/>
                <w:bCs/>
                <w:color w:val="000000"/>
                <w:sz w:val="18"/>
                <w:szCs w:val="18"/>
              </w:rPr>
              <w:t>wind power</w:t>
            </w:r>
          </w:p>
        </w:tc>
        <w:tc>
          <w:tcPr>
            <w:tcW w:w="1699" w:type="dxa"/>
            <w:gridSpan w:val="2"/>
            <w:shd w:val="clear" w:color="auto" w:fill="auto"/>
            <w:vAlign w:val="bottom"/>
          </w:tcPr>
          <w:p w14:paraId="7E4ABB70" w14:textId="54E01707" w:rsidR="00AB4F2C" w:rsidRPr="002D2F67" w:rsidRDefault="00AB4F2C" w:rsidP="002D2F67">
            <w:pPr>
              <w:widowControl w:val="0"/>
              <w:ind w:left="-106" w:right="-72"/>
              <w:jc w:val="right"/>
              <w:rPr>
                <w:rFonts w:ascii="Arial" w:hAnsi="Arial" w:cs="Arial"/>
                <w:b/>
                <w:bCs/>
                <w:color w:val="000000"/>
                <w:sz w:val="18"/>
                <w:szCs w:val="18"/>
                <w:cs/>
              </w:rPr>
            </w:pPr>
            <w:r w:rsidRPr="002D2F67">
              <w:rPr>
                <w:rFonts w:ascii="Arial" w:hAnsi="Arial" w:cs="Arial"/>
                <w:b/>
                <w:bCs/>
                <w:color w:val="000000"/>
                <w:sz w:val="18"/>
                <w:szCs w:val="18"/>
              </w:rPr>
              <w:t>Head office</w:t>
            </w:r>
          </w:p>
        </w:tc>
        <w:tc>
          <w:tcPr>
            <w:tcW w:w="1700" w:type="dxa"/>
            <w:gridSpan w:val="2"/>
            <w:shd w:val="clear" w:color="auto" w:fill="auto"/>
            <w:vAlign w:val="bottom"/>
          </w:tcPr>
          <w:p w14:paraId="7A1D3DE9" w14:textId="77777777" w:rsidR="00AB4F2C" w:rsidRPr="002D2F67" w:rsidRDefault="00AB4F2C" w:rsidP="002D2F67">
            <w:pPr>
              <w:widowControl w:val="0"/>
              <w:ind w:left="-106" w:right="-72"/>
              <w:jc w:val="right"/>
              <w:rPr>
                <w:rFonts w:ascii="Arial" w:hAnsi="Arial" w:cs="Arial"/>
                <w:b/>
                <w:bCs/>
                <w:color w:val="000000"/>
                <w:sz w:val="18"/>
                <w:szCs w:val="18"/>
                <w:cs/>
              </w:rPr>
            </w:pPr>
          </w:p>
        </w:tc>
      </w:tr>
      <w:tr w:rsidR="003654F1" w:rsidRPr="002D2F67" w14:paraId="25B4127E" w14:textId="55CE1D70" w:rsidTr="002D2F67">
        <w:trPr>
          <w:cantSplit/>
        </w:trPr>
        <w:tc>
          <w:tcPr>
            <w:tcW w:w="2808" w:type="dxa"/>
            <w:shd w:val="clear" w:color="auto" w:fill="auto"/>
          </w:tcPr>
          <w:p w14:paraId="38A92BF4" w14:textId="77777777" w:rsidR="00AB4F2C" w:rsidRPr="002D2F67" w:rsidRDefault="00AB4F2C" w:rsidP="002D2F67">
            <w:pPr>
              <w:ind w:left="72"/>
              <w:rPr>
                <w:rFonts w:ascii="Arial" w:hAnsi="Arial" w:cs="Arial"/>
                <w:color w:val="000000"/>
                <w:sz w:val="18"/>
                <w:szCs w:val="18"/>
              </w:rPr>
            </w:pPr>
          </w:p>
        </w:tc>
        <w:tc>
          <w:tcPr>
            <w:tcW w:w="1699" w:type="dxa"/>
            <w:gridSpan w:val="2"/>
            <w:tcBorders>
              <w:bottom w:val="single" w:sz="4" w:space="0" w:color="auto"/>
            </w:tcBorders>
            <w:shd w:val="clear" w:color="auto" w:fill="auto"/>
            <w:vAlign w:val="bottom"/>
          </w:tcPr>
          <w:p w14:paraId="4D0811CC" w14:textId="77777777" w:rsidR="00AB4F2C" w:rsidRPr="002D2F67" w:rsidRDefault="00AB4F2C" w:rsidP="002D2F67">
            <w:pPr>
              <w:widowControl w:val="0"/>
              <w:ind w:left="-106" w:right="-72"/>
              <w:jc w:val="right"/>
              <w:rPr>
                <w:rFonts w:ascii="Arial" w:hAnsi="Arial" w:cs="Arial"/>
                <w:b/>
                <w:bCs/>
                <w:color w:val="000000"/>
                <w:sz w:val="18"/>
                <w:szCs w:val="18"/>
              </w:rPr>
            </w:pPr>
            <w:r w:rsidRPr="002D2F67">
              <w:rPr>
                <w:rFonts w:ascii="Arial" w:hAnsi="Arial" w:cs="Arial"/>
                <w:b/>
                <w:bCs/>
                <w:color w:val="000000"/>
                <w:sz w:val="18"/>
                <w:szCs w:val="18"/>
              </w:rPr>
              <w:t>products</w:t>
            </w:r>
          </w:p>
        </w:tc>
        <w:tc>
          <w:tcPr>
            <w:tcW w:w="1699" w:type="dxa"/>
            <w:gridSpan w:val="2"/>
            <w:tcBorders>
              <w:bottom w:val="single" w:sz="4" w:space="0" w:color="auto"/>
            </w:tcBorders>
            <w:shd w:val="clear" w:color="auto" w:fill="auto"/>
            <w:vAlign w:val="bottom"/>
          </w:tcPr>
          <w:p w14:paraId="21354983" w14:textId="0CCC8B35" w:rsidR="00AB4F2C" w:rsidRPr="002D2F67" w:rsidRDefault="00E63FEF" w:rsidP="002D2F67">
            <w:pPr>
              <w:widowControl w:val="0"/>
              <w:ind w:left="-106" w:right="-72"/>
              <w:jc w:val="right"/>
              <w:rPr>
                <w:rFonts w:ascii="Arial" w:hAnsi="Arial" w:cs="Arial"/>
                <w:b/>
                <w:bCs/>
                <w:color w:val="000000"/>
                <w:sz w:val="18"/>
                <w:szCs w:val="18"/>
              </w:rPr>
            </w:pPr>
            <w:r w:rsidRPr="002D2F67">
              <w:rPr>
                <w:rFonts w:ascii="Arial" w:hAnsi="Arial" w:cs="Arial"/>
                <w:b/>
                <w:bCs/>
                <w:color w:val="000000"/>
                <w:sz w:val="18"/>
                <w:szCs w:val="18"/>
              </w:rPr>
              <w:t xml:space="preserve">and biomass </w:t>
            </w:r>
          </w:p>
        </w:tc>
        <w:tc>
          <w:tcPr>
            <w:tcW w:w="1699" w:type="dxa"/>
            <w:gridSpan w:val="2"/>
            <w:tcBorders>
              <w:bottom w:val="single" w:sz="4" w:space="0" w:color="auto"/>
            </w:tcBorders>
            <w:shd w:val="clear" w:color="auto" w:fill="auto"/>
            <w:vAlign w:val="bottom"/>
          </w:tcPr>
          <w:p w14:paraId="1451EB14" w14:textId="33E04F9F" w:rsidR="00AB4F2C" w:rsidRPr="002D2F67" w:rsidRDefault="00AB4F2C" w:rsidP="002D2F67">
            <w:pPr>
              <w:widowControl w:val="0"/>
              <w:ind w:left="-106" w:right="-72"/>
              <w:jc w:val="right"/>
              <w:rPr>
                <w:rFonts w:ascii="Arial" w:hAnsi="Arial" w:cs="Arial"/>
                <w:b/>
                <w:bCs/>
                <w:color w:val="000000"/>
                <w:sz w:val="18"/>
                <w:szCs w:val="18"/>
              </w:rPr>
            </w:pPr>
            <w:r w:rsidRPr="002D2F67">
              <w:rPr>
                <w:rFonts w:ascii="Arial" w:hAnsi="Arial" w:cs="Arial"/>
                <w:b/>
                <w:bCs/>
                <w:color w:val="000000"/>
                <w:sz w:val="18"/>
                <w:szCs w:val="18"/>
              </w:rPr>
              <w:t>and others</w:t>
            </w:r>
          </w:p>
        </w:tc>
        <w:tc>
          <w:tcPr>
            <w:tcW w:w="1700" w:type="dxa"/>
            <w:gridSpan w:val="2"/>
            <w:tcBorders>
              <w:bottom w:val="single" w:sz="4" w:space="0" w:color="auto"/>
            </w:tcBorders>
            <w:shd w:val="clear" w:color="auto" w:fill="auto"/>
            <w:vAlign w:val="bottom"/>
          </w:tcPr>
          <w:p w14:paraId="5F4C38A3" w14:textId="62420B75" w:rsidR="00AB4F2C" w:rsidRPr="002D2F67" w:rsidRDefault="00160E6A" w:rsidP="002D2F67">
            <w:pPr>
              <w:widowControl w:val="0"/>
              <w:ind w:left="-106" w:right="-72"/>
              <w:jc w:val="right"/>
              <w:rPr>
                <w:rFonts w:ascii="Arial" w:hAnsi="Arial" w:cs="Arial"/>
                <w:b/>
                <w:bCs/>
                <w:color w:val="000000"/>
                <w:sz w:val="18"/>
                <w:szCs w:val="18"/>
              </w:rPr>
            </w:pPr>
            <w:r w:rsidRPr="002D2F67">
              <w:rPr>
                <w:rFonts w:ascii="Arial" w:hAnsi="Arial" w:cs="Arial"/>
                <w:b/>
                <w:bCs/>
                <w:color w:val="000000"/>
                <w:sz w:val="18"/>
                <w:szCs w:val="18"/>
              </w:rPr>
              <w:t>Total</w:t>
            </w:r>
          </w:p>
        </w:tc>
      </w:tr>
      <w:tr w:rsidR="00211F95" w:rsidRPr="002D2F67" w14:paraId="239B7EA4" w14:textId="2A1B60B9" w:rsidTr="002D2F67">
        <w:trPr>
          <w:cantSplit/>
        </w:trPr>
        <w:tc>
          <w:tcPr>
            <w:tcW w:w="2808" w:type="dxa"/>
            <w:shd w:val="clear" w:color="auto" w:fill="auto"/>
          </w:tcPr>
          <w:p w14:paraId="08363668" w14:textId="77777777" w:rsidR="00AB4F2C" w:rsidRPr="002D2F67" w:rsidRDefault="00AB4F2C" w:rsidP="002D2F67">
            <w:pPr>
              <w:ind w:left="72"/>
              <w:rPr>
                <w:rFonts w:ascii="Arial" w:hAnsi="Arial" w:cs="Arial"/>
                <w:color w:val="000000"/>
                <w:sz w:val="18"/>
                <w:szCs w:val="18"/>
              </w:rPr>
            </w:pPr>
          </w:p>
        </w:tc>
        <w:tc>
          <w:tcPr>
            <w:tcW w:w="849" w:type="dxa"/>
            <w:tcBorders>
              <w:top w:val="single" w:sz="4" w:space="0" w:color="auto"/>
              <w:bottom w:val="single" w:sz="4" w:space="0" w:color="auto"/>
            </w:tcBorders>
            <w:shd w:val="clear" w:color="auto" w:fill="auto"/>
            <w:vAlign w:val="bottom"/>
          </w:tcPr>
          <w:p w14:paraId="22D1E3F6" w14:textId="41B048DE" w:rsidR="00AB4F2C" w:rsidRPr="002D2F67" w:rsidRDefault="00CD5714" w:rsidP="002D2F67">
            <w:pPr>
              <w:widowControl w:val="0"/>
              <w:ind w:right="-72"/>
              <w:jc w:val="right"/>
              <w:rPr>
                <w:rFonts w:ascii="Arial" w:hAnsi="Arial" w:cs="Arial"/>
                <w:b/>
                <w:bCs/>
                <w:color w:val="000000"/>
                <w:sz w:val="18"/>
                <w:szCs w:val="18"/>
              </w:rPr>
            </w:pPr>
            <w:r w:rsidRPr="00CD5714">
              <w:rPr>
                <w:rFonts w:ascii="Arial" w:hAnsi="Arial" w:cs="Arial"/>
                <w:b/>
                <w:bCs/>
                <w:color w:val="000000"/>
                <w:sz w:val="18"/>
                <w:szCs w:val="18"/>
                <w:lang w:val="en-GB"/>
              </w:rPr>
              <w:t>2024</w:t>
            </w:r>
          </w:p>
        </w:tc>
        <w:tc>
          <w:tcPr>
            <w:tcW w:w="850" w:type="dxa"/>
            <w:tcBorders>
              <w:top w:val="single" w:sz="4" w:space="0" w:color="auto"/>
              <w:bottom w:val="single" w:sz="4" w:space="0" w:color="auto"/>
            </w:tcBorders>
            <w:shd w:val="clear" w:color="auto" w:fill="auto"/>
            <w:vAlign w:val="bottom"/>
          </w:tcPr>
          <w:p w14:paraId="69232656" w14:textId="5C56DF4E" w:rsidR="00AB4F2C" w:rsidRPr="002D2F67" w:rsidRDefault="00CD5714" w:rsidP="002D2F67">
            <w:pPr>
              <w:widowControl w:val="0"/>
              <w:ind w:right="-72"/>
              <w:jc w:val="right"/>
              <w:rPr>
                <w:rFonts w:ascii="Arial" w:hAnsi="Arial" w:cs="Arial"/>
                <w:b/>
                <w:bCs/>
                <w:color w:val="000000"/>
                <w:sz w:val="18"/>
                <w:szCs w:val="18"/>
              </w:rPr>
            </w:pPr>
            <w:r w:rsidRPr="00CD5714">
              <w:rPr>
                <w:rFonts w:ascii="Arial" w:hAnsi="Arial" w:cs="Arial"/>
                <w:b/>
                <w:bCs/>
                <w:color w:val="000000"/>
                <w:sz w:val="18"/>
                <w:szCs w:val="18"/>
                <w:lang w:val="en-GB"/>
              </w:rPr>
              <w:t>2023</w:t>
            </w:r>
          </w:p>
        </w:tc>
        <w:tc>
          <w:tcPr>
            <w:tcW w:w="849" w:type="dxa"/>
            <w:tcBorders>
              <w:top w:val="single" w:sz="4" w:space="0" w:color="auto"/>
              <w:bottom w:val="single" w:sz="4" w:space="0" w:color="auto"/>
            </w:tcBorders>
            <w:shd w:val="clear" w:color="auto" w:fill="auto"/>
            <w:vAlign w:val="bottom"/>
          </w:tcPr>
          <w:p w14:paraId="33F136E5" w14:textId="4194D5B9" w:rsidR="00AB4F2C" w:rsidRPr="002D2F67" w:rsidRDefault="00CD5714" w:rsidP="002D2F67">
            <w:pPr>
              <w:widowControl w:val="0"/>
              <w:ind w:right="-72"/>
              <w:jc w:val="right"/>
              <w:rPr>
                <w:rFonts w:ascii="Arial" w:hAnsi="Arial" w:cs="Arial"/>
                <w:b/>
                <w:bCs/>
                <w:color w:val="000000"/>
                <w:sz w:val="18"/>
                <w:szCs w:val="18"/>
              </w:rPr>
            </w:pPr>
            <w:r w:rsidRPr="00CD5714">
              <w:rPr>
                <w:rFonts w:ascii="Arial" w:hAnsi="Arial" w:cs="Arial"/>
                <w:b/>
                <w:bCs/>
                <w:color w:val="000000"/>
                <w:sz w:val="18"/>
                <w:szCs w:val="18"/>
                <w:lang w:val="en-GB"/>
              </w:rPr>
              <w:t>2024</w:t>
            </w:r>
          </w:p>
        </w:tc>
        <w:tc>
          <w:tcPr>
            <w:tcW w:w="850" w:type="dxa"/>
            <w:tcBorders>
              <w:top w:val="single" w:sz="4" w:space="0" w:color="auto"/>
              <w:bottom w:val="single" w:sz="4" w:space="0" w:color="auto"/>
            </w:tcBorders>
            <w:shd w:val="clear" w:color="auto" w:fill="auto"/>
            <w:vAlign w:val="bottom"/>
          </w:tcPr>
          <w:p w14:paraId="47D3CB34" w14:textId="1E2068B1" w:rsidR="00AB4F2C" w:rsidRPr="002D2F67" w:rsidRDefault="00CD5714" w:rsidP="002D2F67">
            <w:pPr>
              <w:widowControl w:val="0"/>
              <w:ind w:right="-72"/>
              <w:jc w:val="right"/>
              <w:rPr>
                <w:rFonts w:ascii="Arial" w:hAnsi="Arial" w:cs="Arial"/>
                <w:b/>
                <w:bCs/>
                <w:color w:val="000000"/>
                <w:sz w:val="18"/>
                <w:szCs w:val="18"/>
              </w:rPr>
            </w:pPr>
            <w:r w:rsidRPr="00CD5714">
              <w:rPr>
                <w:rFonts w:ascii="Arial" w:hAnsi="Arial" w:cs="Arial"/>
                <w:b/>
                <w:bCs/>
                <w:color w:val="000000"/>
                <w:sz w:val="18"/>
                <w:szCs w:val="18"/>
                <w:lang w:val="en-GB"/>
              </w:rPr>
              <w:t>2023</w:t>
            </w:r>
          </w:p>
        </w:tc>
        <w:tc>
          <w:tcPr>
            <w:tcW w:w="850" w:type="dxa"/>
            <w:tcBorders>
              <w:top w:val="single" w:sz="4" w:space="0" w:color="auto"/>
              <w:bottom w:val="single" w:sz="4" w:space="0" w:color="auto"/>
            </w:tcBorders>
            <w:shd w:val="clear" w:color="auto" w:fill="auto"/>
            <w:vAlign w:val="bottom"/>
          </w:tcPr>
          <w:p w14:paraId="232765D4" w14:textId="4966BA45" w:rsidR="00AB4F2C" w:rsidRPr="002D2F67" w:rsidRDefault="00CD5714" w:rsidP="002D2F67">
            <w:pPr>
              <w:widowControl w:val="0"/>
              <w:ind w:right="-72"/>
              <w:jc w:val="right"/>
              <w:rPr>
                <w:rFonts w:ascii="Arial" w:hAnsi="Arial" w:cs="Arial"/>
                <w:b/>
                <w:bCs/>
                <w:color w:val="000000"/>
                <w:sz w:val="18"/>
                <w:szCs w:val="18"/>
              </w:rPr>
            </w:pPr>
            <w:r w:rsidRPr="00CD5714">
              <w:rPr>
                <w:rFonts w:ascii="Arial" w:hAnsi="Arial" w:cs="Arial"/>
                <w:b/>
                <w:bCs/>
                <w:color w:val="000000"/>
                <w:sz w:val="18"/>
                <w:szCs w:val="18"/>
                <w:lang w:val="en-GB"/>
              </w:rPr>
              <w:t>2024</w:t>
            </w:r>
          </w:p>
        </w:tc>
        <w:tc>
          <w:tcPr>
            <w:tcW w:w="849" w:type="dxa"/>
            <w:tcBorders>
              <w:top w:val="single" w:sz="4" w:space="0" w:color="auto"/>
              <w:bottom w:val="single" w:sz="4" w:space="0" w:color="auto"/>
            </w:tcBorders>
            <w:shd w:val="clear" w:color="auto" w:fill="auto"/>
            <w:vAlign w:val="bottom"/>
          </w:tcPr>
          <w:p w14:paraId="397A4AFC" w14:textId="77DD782B" w:rsidR="00AB4F2C" w:rsidRPr="002D2F67" w:rsidRDefault="00CD5714" w:rsidP="002D2F67">
            <w:pPr>
              <w:widowControl w:val="0"/>
              <w:ind w:right="-72"/>
              <w:jc w:val="right"/>
              <w:rPr>
                <w:rFonts w:ascii="Arial" w:hAnsi="Arial" w:cs="Arial"/>
                <w:b/>
                <w:bCs/>
                <w:color w:val="000000"/>
                <w:sz w:val="18"/>
                <w:szCs w:val="18"/>
              </w:rPr>
            </w:pPr>
            <w:r w:rsidRPr="00CD5714">
              <w:rPr>
                <w:rFonts w:ascii="Arial" w:hAnsi="Arial" w:cs="Arial"/>
                <w:b/>
                <w:bCs/>
                <w:color w:val="000000"/>
                <w:sz w:val="18"/>
                <w:szCs w:val="18"/>
                <w:lang w:val="en-GB"/>
              </w:rPr>
              <w:t>2023</w:t>
            </w:r>
          </w:p>
        </w:tc>
        <w:tc>
          <w:tcPr>
            <w:tcW w:w="850" w:type="dxa"/>
            <w:tcBorders>
              <w:top w:val="single" w:sz="4" w:space="0" w:color="auto"/>
              <w:bottom w:val="single" w:sz="4" w:space="0" w:color="auto"/>
            </w:tcBorders>
            <w:shd w:val="clear" w:color="auto" w:fill="auto"/>
            <w:vAlign w:val="bottom"/>
          </w:tcPr>
          <w:p w14:paraId="01AFC774" w14:textId="25D52C01" w:rsidR="00AB4F2C" w:rsidRPr="002D2F67" w:rsidRDefault="00CD5714" w:rsidP="002D2F67">
            <w:pPr>
              <w:widowControl w:val="0"/>
              <w:ind w:right="-72"/>
              <w:jc w:val="right"/>
              <w:rPr>
                <w:rFonts w:ascii="Arial" w:hAnsi="Arial" w:cs="Arial"/>
                <w:b/>
                <w:bCs/>
                <w:color w:val="000000"/>
                <w:sz w:val="18"/>
                <w:szCs w:val="18"/>
              </w:rPr>
            </w:pPr>
            <w:r w:rsidRPr="00CD5714">
              <w:rPr>
                <w:rFonts w:ascii="Arial" w:hAnsi="Arial" w:cs="Arial"/>
                <w:b/>
                <w:bCs/>
                <w:color w:val="000000"/>
                <w:sz w:val="18"/>
                <w:szCs w:val="18"/>
                <w:lang w:val="en-GB"/>
              </w:rPr>
              <w:t>2024</w:t>
            </w:r>
          </w:p>
        </w:tc>
        <w:tc>
          <w:tcPr>
            <w:tcW w:w="850" w:type="dxa"/>
            <w:tcBorders>
              <w:top w:val="single" w:sz="4" w:space="0" w:color="auto"/>
              <w:bottom w:val="single" w:sz="4" w:space="0" w:color="auto"/>
            </w:tcBorders>
            <w:shd w:val="clear" w:color="auto" w:fill="auto"/>
            <w:vAlign w:val="bottom"/>
          </w:tcPr>
          <w:p w14:paraId="775A627C" w14:textId="78AC0A59" w:rsidR="00AB4F2C" w:rsidRPr="002D2F67" w:rsidRDefault="00CD5714" w:rsidP="002D2F67">
            <w:pPr>
              <w:widowControl w:val="0"/>
              <w:ind w:right="-72"/>
              <w:jc w:val="right"/>
              <w:rPr>
                <w:rFonts w:ascii="Arial" w:hAnsi="Arial" w:cs="Arial"/>
                <w:b/>
                <w:bCs/>
                <w:color w:val="000000"/>
                <w:sz w:val="18"/>
                <w:szCs w:val="18"/>
              </w:rPr>
            </w:pPr>
            <w:r w:rsidRPr="00CD5714">
              <w:rPr>
                <w:rFonts w:ascii="Arial" w:hAnsi="Arial" w:cs="Arial"/>
                <w:b/>
                <w:bCs/>
                <w:color w:val="000000"/>
                <w:sz w:val="18"/>
                <w:szCs w:val="18"/>
                <w:lang w:val="en-GB"/>
              </w:rPr>
              <w:t>2023</w:t>
            </w:r>
          </w:p>
        </w:tc>
      </w:tr>
      <w:tr w:rsidR="00DD0A5A" w:rsidRPr="002D2F67" w14:paraId="239104C3" w14:textId="77777777" w:rsidTr="002D2F67">
        <w:trPr>
          <w:cantSplit/>
        </w:trPr>
        <w:tc>
          <w:tcPr>
            <w:tcW w:w="2808" w:type="dxa"/>
            <w:shd w:val="clear" w:color="auto" w:fill="auto"/>
          </w:tcPr>
          <w:p w14:paraId="7BFD5BAE" w14:textId="77777777" w:rsidR="00DD0A5A" w:rsidRPr="002D2F67" w:rsidRDefault="00DD0A5A" w:rsidP="002D2F67">
            <w:pPr>
              <w:ind w:left="72"/>
              <w:rPr>
                <w:rFonts w:ascii="Arial" w:hAnsi="Arial" w:cs="Arial"/>
                <w:color w:val="000000"/>
                <w:sz w:val="12"/>
                <w:szCs w:val="12"/>
              </w:rPr>
            </w:pPr>
          </w:p>
        </w:tc>
        <w:tc>
          <w:tcPr>
            <w:tcW w:w="849" w:type="dxa"/>
            <w:tcBorders>
              <w:top w:val="single" w:sz="4" w:space="0" w:color="auto"/>
            </w:tcBorders>
            <w:shd w:val="clear" w:color="auto" w:fill="auto"/>
            <w:vAlign w:val="bottom"/>
          </w:tcPr>
          <w:p w14:paraId="41B311A1" w14:textId="77777777" w:rsidR="00DD0A5A" w:rsidRPr="002D2F67" w:rsidRDefault="00DD0A5A" w:rsidP="002D2F67">
            <w:pPr>
              <w:widowControl w:val="0"/>
              <w:ind w:right="-72"/>
              <w:jc w:val="right"/>
              <w:rPr>
                <w:rFonts w:ascii="Arial" w:hAnsi="Arial" w:cs="Arial"/>
                <w:b/>
                <w:bCs/>
                <w:color w:val="000000"/>
                <w:sz w:val="12"/>
                <w:szCs w:val="12"/>
              </w:rPr>
            </w:pPr>
          </w:p>
        </w:tc>
        <w:tc>
          <w:tcPr>
            <w:tcW w:w="850" w:type="dxa"/>
            <w:tcBorders>
              <w:top w:val="single" w:sz="4" w:space="0" w:color="auto"/>
            </w:tcBorders>
            <w:shd w:val="clear" w:color="auto" w:fill="auto"/>
            <w:vAlign w:val="bottom"/>
          </w:tcPr>
          <w:p w14:paraId="0DB82B3A" w14:textId="77777777" w:rsidR="00DD0A5A" w:rsidRPr="002D2F67" w:rsidRDefault="00DD0A5A" w:rsidP="002D2F67">
            <w:pPr>
              <w:widowControl w:val="0"/>
              <w:ind w:right="-72"/>
              <w:jc w:val="right"/>
              <w:rPr>
                <w:rFonts w:ascii="Arial" w:hAnsi="Arial" w:cs="Arial"/>
                <w:b/>
                <w:bCs/>
                <w:color w:val="000000"/>
                <w:sz w:val="12"/>
                <w:szCs w:val="12"/>
              </w:rPr>
            </w:pPr>
          </w:p>
        </w:tc>
        <w:tc>
          <w:tcPr>
            <w:tcW w:w="849" w:type="dxa"/>
            <w:tcBorders>
              <w:top w:val="single" w:sz="4" w:space="0" w:color="auto"/>
            </w:tcBorders>
            <w:shd w:val="clear" w:color="auto" w:fill="auto"/>
            <w:vAlign w:val="bottom"/>
          </w:tcPr>
          <w:p w14:paraId="6D5F0C76" w14:textId="77777777" w:rsidR="00DD0A5A" w:rsidRPr="002D2F67" w:rsidRDefault="00DD0A5A" w:rsidP="002D2F67">
            <w:pPr>
              <w:widowControl w:val="0"/>
              <w:ind w:right="-72"/>
              <w:jc w:val="right"/>
              <w:rPr>
                <w:rFonts w:ascii="Arial" w:hAnsi="Arial" w:cs="Arial"/>
                <w:b/>
                <w:bCs/>
                <w:color w:val="000000"/>
                <w:sz w:val="12"/>
                <w:szCs w:val="12"/>
              </w:rPr>
            </w:pPr>
          </w:p>
        </w:tc>
        <w:tc>
          <w:tcPr>
            <w:tcW w:w="850" w:type="dxa"/>
            <w:tcBorders>
              <w:top w:val="single" w:sz="4" w:space="0" w:color="auto"/>
            </w:tcBorders>
            <w:shd w:val="clear" w:color="auto" w:fill="auto"/>
            <w:vAlign w:val="bottom"/>
          </w:tcPr>
          <w:p w14:paraId="726DF424" w14:textId="77777777" w:rsidR="00DD0A5A" w:rsidRPr="002D2F67" w:rsidRDefault="00DD0A5A" w:rsidP="002D2F67">
            <w:pPr>
              <w:widowControl w:val="0"/>
              <w:ind w:right="-72"/>
              <w:jc w:val="right"/>
              <w:rPr>
                <w:rFonts w:ascii="Arial" w:hAnsi="Arial" w:cs="Arial"/>
                <w:b/>
                <w:bCs/>
                <w:color w:val="000000"/>
                <w:sz w:val="12"/>
                <w:szCs w:val="12"/>
              </w:rPr>
            </w:pPr>
          </w:p>
        </w:tc>
        <w:tc>
          <w:tcPr>
            <w:tcW w:w="850" w:type="dxa"/>
            <w:tcBorders>
              <w:top w:val="single" w:sz="4" w:space="0" w:color="auto"/>
            </w:tcBorders>
            <w:shd w:val="clear" w:color="auto" w:fill="auto"/>
            <w:vAlign w:val="bottom"/>
          </w:tcPr>
          <w:p w14:paraId="7F3BEADB" w14:textId="77777777" w:rsidR="00DD0A5A" w:rsidRPr="002D2F67" w:rsidRDefault="00DD0A5A" w:rsidP="002D2F67">
            <w:pPr>
              <w:widowControl w:val="0"/>
              <w:ind w:right="-72"/>
              <w:jc w:val="right"/>
              <w:rPr>
                <w:rFonts w:ascii="Arial" w:hAnsi="Arial" w:cs="Arial"/>
                <w:b/>
                <w:bCs/>
                <w:color w:val="000000"/>
                <w:sz w:val="12"/>
                <w:szCs w:val="12"/>
              </w:rPr>
            </w:pPr>
          </w:p>
        </w:tc>
        <w:tc>
          <w:tcPr>
            <w:tcW w:w="849" w:type="dxa"/>
            <w:tcBorders>
              <w:top w:val="single" w:sz="4" w:space="0" w:color="auto"/>
            </w:tcBorders>
            <w:shd w:val="clear" w:color="auto" w:fill="auto"/>
            <w:vAlign w:val="bottom"/>
          </w:tcPr>
          <w:p w14:paraId="38ADD569" w14:textId="77777777" w:rsidR="00DD0A5A" w:rsidRPr="002D2F67" w:rsidRDefault="00DD0A5A" w:rsidP="002D2F67">
            <w:pPr>
              <w:widowControl w:val="0"/>
              <w:ind w:right="-72"/>
              <w:jc w:val="right"/>
              <w:rPr>
                <w:rFonts w:ascii="Arial" w:hAnsi="Arial" w:cs="Arial"/>
                <w:b/>
                <w:bCs/>
                <w:color w:val="000000"/>
                <w:sz w:val="12"/>
                <w:szCs w:val="12"/>
              </w:rPr>
            </w:pPr>
          </w:p>
        </w:tc>
        <w:tc>
          <w:tcPr>
            <w:tcW w:w="850" w:type="dxa"/>
            <w:tcBorders>
              <w:top w:val="single" w:sz="4" w:space="0" w:color="auto"/>
            </w:tcBorders>
            <w:shd w:val="clear" w:color="auto" w:fill="auto"/>
            <w:vAlign w:val="bottom"/>
          </w:tcPr>
          <w:p w14:paraId="7FE0EEBD" w14:textId="77777777" w:rsidR="00DD0A5A" w:rsidRPr="002D2F67" w:rsidRDefault="00DD0A5A" w:rsidP="002D2F67">
            <w:pPr>
              <w:widowControl w:val="0"/>
              <w:ind w:right="-72"/>
              <w:jc w:val="right"/>
              <w:rPr>
                <w:rFonts w:ascii="Arial" w:hAnsi="Arial" w:cs="Arial"/>
                <w:b/>
                <w:bCs/>
                <w:color w:val="000000"/>
                <w:sz w:val="12"/>
                <w:szCs w:val="12"/>
              </w:rPr>
            </w:pPr>
          </w:p>
        </w:tc>
        <w:tc>
          <w:tcPr>
            <w:tcW w:w="850" w:type="dxa"/>
            <w:tcBorders>
              <w:top w:val="single" w:sz="4" w:space="0" w:color="auto"/>
            </w:tcBorders>
            <w:shd w:val="clear" w:color="auto" w:fill="auto"/>
            <w:vAlign w:val="bottom"/>
          </w:tcPr>
          <w:p w14:paraId="7333C171" w14:textId="77777777" w:rsidR="00DD0A5A" w:rsidRPr="002D2F67" w:rsidRDefault="00DD0A5A" w:rsidP="002D2F67">
            <w:pPr>
              <w:widowControl w:val="0"/>
              <w:ind w:right="-72"/>
              <w:jc w:val="right"/>
              <w:rPr>
                <w:rFonts w:ascii="Arial" w:hAnsi="Arial" w:cs="Arial"/>
                <w:b/>
                <w:bCs/>
                <w:color w:val="000000"/>
                <w:sz w:val="12"/>
                <w:szCs w:val="12"/>
              </w:rPr>
            </w:pPr>
          </w:p>
        </w:tc>
      </w:tr>
      <w:tr w:rsidR="005611FE" w:rsidRPr="002D2F67" w14:paraId="3FD25CC4" w14:textId="5ED87DE4" w:rsidTr="002D2F67">
        <w:trPr>
          <w:cantSplit/>
        </w:trPr>
        <w:tc>
          <w:tcPr>
            <w:tcW w:w="2808" w:type="dxa"/>
            <w:shd w:val="clear" w:color="auto" w:fill="auto"/>
          </w:tcPr>
          <w:p w14:paraId="1F560BEF" w14:textId="3095B460" w:rsidR="003F4D68" w:rsidRPr="002D2F67" w:rsidRDefault="003F4D68" w:rsidP="002D2F67">
            <w:pPr>
              <w:widowControl w:val="0"/>
              <w:ind w:left="72" w:right="-55"/>
              <w:rPr>
                <w:rFonts w:ascii="Arial" w:hAnsi="Arial" w:cs="Arial"/>
                <w:color w:val="000000"/>
                <w:spacing w:val="-2"/>
                <w:sz w:val="18"/>
                <w:szCs w:val="18"/>
              </w:rPr>
            </w:pPr>
            <w:r w:rsidRPr="002D2F67">
              <w:rPr>
                <w:rFonts w:ascii="Arial" w:hAnsi="Arial" w:cs="Arial"/>
                <w:color w:val="000000"/>
                <w:spacing w:val="-2"/>
                <w:sz w:val="18"/>
                <w:szCs w:val="18"/>
              </w:rPr>
              <w:t>Segment revenue</w:t>
            </w:r>
          </w:p>
        </w:tc>
        <w:tc>
          <w:tcPr>
            <w:tcW w:w="849" w:type="dxa"/>
            <w:shd w:val="clear" w:color="auto" w:fill="auto"/>
            <w:vAlign w:val="bottom"/>
          </w:tcPr>
          <w:p w14:paraId="431485B3" w14:textId="511FEDE2" w:rsidR="003F4D68" w:rsidRPr="002D2F67" w:rsidRDefault="00CD5714" w:rsidP="002D2F67">
            <w:pPr>
              <w:widowControl w:val="0"/>
              <w:ind w:right="-72"/>
              <w:jc w:val="right"/>
              <w:rPr>
                <w:rFonts w:ascii="Arial" w:hAnsi="Arial" w:cs="Arial"/>
                <w:color w:val="000000"/>
                <w:sz w:val="18"/>
                <w:szCs w:val="22"/>
                <w:cs/>
              </w:rPr>
            </w:pPr>
            <w:r w:rsidRPr="00CD5714">
              <w:rPr>
                <w:rFonts w:ascii="Arial" w:hAnsi="Arial" w:cs="Arial"/>
                <w:color w:val="000000"/>
                <w:sz w:val="18"/>
                <w:szCs w:val="22"/>
                <w:lang w:val="en-GB"/>
              </w:rPr>
              <w:t>2</w:t>
            </w:r>
            <w:r w:rsidR="002024EB" w:rsidRPr="002D2F67">
              <w:rPr>
                <w:rFonts w:ascii="Arial" w:hAnsi="Arial" w:cs="Arial"/>
                <w:color w:val="000000"/>
                <w:sz w:val="18"/>
                <w:szCs w:val="22"/>
              </w:rPr>
              <w:t>,</w:t>
            </w:r>
            <w:r w:rsidRPr="00CD5714">
              <w:rPr>
                <w:rFonts w:ascii="Arial" w:hAnsi="Arial" w:cs="Arial"/>
                <w:color w:val="000000"/>
                <w:sz w:val="18"/>
                <w:szCs w:val="22"/>
                <w:lang w:val="en-GB"/>
              </w:rPr>
              <w:t>922</w:t>
            </w:r>
          </w:p>
        </w:tc>
        <w:tc>
          <w:tcPr>
            <w:tcW w:w="850" w:type="dxa"/>
            <w:shd w:val="clear" w:color="auto" w:fill="auto"/>
            <w:vAlign w:val="bottom"/>
          </w:tcPr>
          <w:p w14:paraId="0559EE83" w14:textId="15851BFD" w:rsidR="003F4D68" w:rsidRPr="002D2F67" w:rsidRDefault="00CD5714" w:rsidP="002D2F67">
            <w:pPr>
              <w:widowControl w:val="0"/>
              <w:ind w:right="-72"/>
              <w:jc w:val="right"/>
              <w:rPr>
                <w:rFonts w:ascii="Arial" w:hAnsi="Arial" w:cs="Arial"/>
                <w:color w:val="000000"/>
                <w:sz w:val="18"/>
                <w:szCs w:val="22"/>
                <w:cs/>
              </w:rPr>
            </w:pPr>
            <w:r w:rsidRPr="00CD5714">
              <w:rPr>
                <w:rFonts w:ascii="Arial" w:hAnsi="Arial" w:cs="Arial"/>
                <w:color w:val="000000"/>
                <w:sz w:val="18"/>
                <w:szCs w:val="22"/>
                <w:lang w:val="en-GB"/>
              </w:rPr>
              <w:t>4</w:t>
            </w:r>
            <w:r w:rsidR="003F4D68" w:rsidRPr="002D2F67">
              <w:rPr>
                <w:rFonts w:ascii="Arial" w:hAnsi="Arial" w:cs="Arial"/>
                <w:color w:val="000000"/>
                <w:sz w:val="18"/>
                <w:szCs w:val="22"/>
              </w:rPr>
              <w:t>,</w:t>
            </w:r>
            <w:r w:rsidRPr="00CD5714">
              <w:rPr>
                <w:rFonts w:ascii="Arial" w:hAnsi="Arial" w:cs="Arial"/>
                <w:color w:val="000000"/>
                <w:sz w:val="18"/>
                <w:szCs w:val="22"/>
                <w:lang w:val="en-GB"/>
              </w:rPr>
              <w:t>126</w:t>
            </w:r>
          </w:p>
        </w:tc>
        <w:tc>
          <w:tcPr>
            <w:tcW w:w="849" w:type="dxa"/>
            <w:shd w:val="clear" w:color="auto" w:fill="auto"/>
            <w:vAlign w:val="bottom"/>
          </w:tcPr>
          <w:p w14:paraId="591B6FB5" w14:textId="73547251" w:rsidR="003F4D68" w:rsidRPr="002D2F67" w:rsidRDefault="00CD5714" w:rsidP="002D2F67">
            <w:pPr>
              <w:widowControl w:val="0"/>
              <w:ind w:right="-72"/>
              <w:jc w:val="right"/>
              <w:rPr>
                <w:rFonts w:ascii="Arial" w:hAnsi="Arial" w:cs="Arial"/>
                <w:color w:val="000000"/>
                <w:sz w:val="18"/>
                <w:szCs w:val="22"/>
                <w:cs/>
              </w:rPr>
            </w:pPr>
            <w:r w:rsidRPr="00CD5714">
              <w:rPr>
                <w:rFonts w:ascii="Arial" w:hAnsi="Arial" w:cs="Arial"/>
                <w:color w:val="000000"/>
                <w:sz w:val="18"/>
                <w:szCs w:val="22"/>
                <w:lang w:val="en-GB"/>
              </w:rPr>
              <w:t>2</w:t>
            </w:r>
            <w:r w:rsidR="002024EB" w:rsidRPr="002D2F67">
              <w:rPr>
                <w:rFonts w:ascii="Arial" w:hAnsi="Arial" w:cs="Arial"/>
                <w:color w:val="000000"/>
                <w:sz w:val="18"/>
                <w:szCs w:val="22"/>
              </w:rPr>
              <w:t>,</w:t>
            </w:r>
            <w:r w:rsidRPr="00CD5714">
              <w:rPr>
                <w:rFonts w:ascii="Arial" w:hAnsi="Arial" w:cs="Arial"/>
                <w:color w:val="000000"/>
                <w:sz w:val="18"/>
                <w:szCs w:val="22"/>
                <w:lang w:val="en-GB"/>
              </w:rPr>
              <w:t>999</w:t>
            </w:r>
          </w:p>
        </w:tc>
        <w:tc>
          <w:tcPr>
            <w:tcW w:w="850" w:type="dxa"/>
            <w:shd w:val="clear" w:color="auto" w:fill="auto"/>
            <w:vAlign w:val="bottom"/>
          </w:tcPr>
          <w:p w14:paraId="0C995344" w14:textId="663DD707" w:rsidR="003F4D68" w:rsidRPr="002D2F67" w:rsidRDefault="00CD5714" w:rsidP="002D2F67">
            <w:pPr>
              <w:widowControl w:val="0"/>
              <w:ind w:right="-72"/>
              <w:jc w:val="right"/>
              <w:rPr>
                <w:rFonts w:ascii="Arial" w:hAnsi="Arial" w:cs="Arial"/>
                <w:color w:val="000000"/>
                <w:sz w:val="18"/>
                <w:szCs w:val="22"/>
                <w:cs/>
              </w:rPr>
            </w:pPr>
            <w:r w:rsidRPr="00CD5714">
              <w:rPr>
                <w:rFonts w:ascii="Arial" w:hAnsi="Arial" w:cs="Arial"/>
                <w:color w:val="000000"/>
                <w:sz w:val="18"/>
                <w:szCs w:val="22"/>
                <w:lang w:val="en-GB"/>
              </w:rPr>
              <w:t>4</w:t>
            </w:r>
            <w:r w:rsidR="003F4D68" w:rsidRPr="002D2F67">
              <w:rPr>
                <w:rFonts w:ascii="Arial" w:hAnsi="Arial" w:cs="Arial"/>
                <w:color w:val="000000"/>
                <w:sz w:val="18"/>
                <w:szCs w:val="22"/>
              </w:rPr>
              <w:t>,</w:t>
            </w:r>
            <w:r w:rsidRPr="00CD5714">
              <w:rPr>
                <w:rFonts w:ascii="Arial" w:hAnsi="Arial" w:cs="Arial"/>
                <w:color w:val="000000"/>
                <w:sz w:val="18"/>
                <w:szCs w:val="22"/>
                <w:lang w:val="en-GB"/>
              </w:rPr>
              <w:t>534</w:t>
            </w:r>
          </w:p>
        </w:tc>
        <w:tc>
          <w:tcPr>
            <w:tcW w:w="850" w:type="dxa"/>
            <w:shd w:val="clear" w:color="auto" w:fill="auto"/>
            <w:vAlign w:val="bottom"/>
          </w:tcPr>
          <w:p w14:paraId="711C0961" w14:textId="1FC56446" w:rsidR="003F4D68" w:rsidRPr="002D2F67" w:rsidRDefault="00CD5714" w:rsidP="002D2F67">
            <w:pPr>
              <w:widowControl w:val="0"/>
              <w:ind w:right="-72"/>
              <w:jc w:val="right"/>
              <w:rPr>
                <w:rFonts w:ascii="Arial" w:hAnsi="Arial" w:cs="Arial"/>
                <w:color w:val="000000"/>
                <w:sz w:val="18"/>
                <w:szCs w:val="22"/>
                <w:cs/>
              </w:rPr>
            </w:pPr>
            <w:r w:rsidRPr="00CD5714">
              <w:rPr>
                <w:rFonts w:ascii="Arial" w:hAnsi="Arial" w:cs="Arial"/>
                <w:color w:val="000000"/>
                <w:sz w:val="18"/>
                <w:szCs w:val="22"/>
                <w:lang w:val="en-GB"/>
              </w:rPr>
              <w:t>1</w:t>
            </w:r>
            <w:r w:rsidR="0063372D" w:rsidRPr="002D2F67">
              <w:rPr>
                <w:rFonts w:ascii="Arial" w:hAnsi="Arial" w:cs="Arial"/>
                <w:color w:val="000000"/>
                <w:sz w:val="18"/>
                <w:szCs w:val="22"/>
              </w:rPr>
              <w:t>,</w:t>
            </w:r>
            <w:r w:rsidRPr="00CD5714">
              <w:rPr>
                <w:rFonts w:ascii="Arial" w:hAnsi="Arial" w:cs="Arial"/>
                <w:color w:val="000000"/>
                <w:sz w:val="18"/>
                <w:szCs w:val="22"/>
                <w:lang w:val="en-GB"/>
              </w:rPr>
              <w:t>956</w:t>
            </w:r>
          </w:p>
        </w:tc>
        <w:tc>
          <w:tcPr>
            <w:tcW w:w="849" w:type="dxa"/>
            <w:shd w:val="clear" w:color="auto" w:fill="auto"/>
            <w:vAlign w:val="bottom"/>
          </w:tcPr>
          <w:p w14:paraId="5BA0B87C" w14:textId="2D072465" w:rsidR="003F4D68" w:rsidRPr="002D2F67" w:rsidRDefault="00CD5714" w:rsidP="002D2F67">
            <w:pPr>
              <w:widowControl w:val="0"/>
              <w:ind w:right="-72"/>
              <w:jc w:val="right"/>
              <w:rPr>
                <w:rFonts w:ascii="Arial" w:hAnsi="Arial" w:cs="Arial"/>
                <w:color w:val="000000"/>
                <w:sz w:val="18"/>
                <w:szCs w:val="22"/>
                <w:cs/>
              </w:rPr>
            </w:pPr>
            <w:r w:rsidRPr="00CD5714">
              <w:rPr>
                <w:rFonts w:ascii="Arial" w:hAnsi="Arial" w:cs="Arial"/>
                <w:color w:val="000000"/>
                <w:sz w:val="18"/>
                <w:szCs w:val="22"/>
                <w:lang w:val="en-GB"/>
              </w:rPr>
              <w:t>11</w:t>
            </w:r>
            <w:r w:rsidR="003F4D68" w:rsidRPr="002D2F67">
              <w:rPr>
                <w:rFonts w:ascii="Arial" w:hAnsi="Arial" w:cs="Arial"/>
                <w:color w:val="000000"/>
                <w:sz w:val="18"/>
                <w:szCs w:val="22"/>
              </w:rPr>
              <w:t>,</w:t>
            </w:r>
            <w:r w:rsidRPr="00CD5714">
              <w:rPr>
                <w:rFonts w:ascii="Arial" w:hAnsi="Arial" w:cs="Arial"/>
                <w:color w:val="000000"/>
                <w:sz w:val="18"/>
                <w:szCs w:val="22"/>
                <w:lang w:val="en-GB"/>
              </w:rPr>
              <w:t>933</w:t>
            </w:r>
          </w:p>
        </w:tc>
        <w:tc>
          <w:tcPr>
            <w:tcW w:w="850" w:type="dxa"/>
            <w:shd w:val="clear" w:color="auto" w:fill="auto"/>
            <w:vAlign w:val="bottom"/>
          </w:tcPr>
          <w:p w14:paraId="0C9B6A15" w14:textId="735EDB91" w:rsidR="003F4D68" w:rsidRPr="002D2F67" w:rsidRDefault="00CD5714" w:rsidP="002D2F67">
            <w:pPr>
              <w:widowControl w:val="0"/>
              <w:ind w:right="-72"/>
              <w:jc w:val="right"/>
              <w:rPr>
                <w:rFonts w:ascii="Arial" w:hAnsi="Arial" w:cs="Arial"/>
                <w:color w:val="000000"/>
                <w:sz w:val="18"/>
                <w:szCs w:val="22"/>
                <w:cs/>
              </w:rPr>
            </w:pPr>
            <w:r w:rsidRPr="00CD5714">
              <w:rPr>
                <w:rFonts w:ascii="Arial" w:hAnsi="Arial" w:cs="Arial"/>
                <w:color w:val="000000"/>
                <w:sz w:val="18"/>
                <w:szCs w:val="22"/>
                <w:lang w:val="en-GB"/>
              </w:rPr>
              <w:t>7</w:t>
            </w:r>
            <w:r w:rsidR="0063372D" w:rsidRPr="002D2F67">
              <w:rPr>
                <w:rFonts w:ascii="Arial" w:hAnsi="Arial" w:cs="Arial"/>
                <w:color w:val="000000"/>
                <w:sz w:val="18"/>
                <w:szCs w:val="22"/>
              </w:rPr>
              <w:t>,</w:t>
            </w:r>
            <w:r w:rsidRPr="00CD5714">
              <w:rPr>
                <w:rFonts w:ascii="Arial" w:hAnsi="Arial" w:cs="Arial"/>
                <w:color w:val="000000"/>
                <w:sz w:val="18"/>
                <w:szCs w:val="22"/>
                <w:lang w:val="en-GB"/>
              </w:rPr>
              <w:t>877</w:t>
            </w:r>
          </w:p>
        </w:tc>
        <w:tc>
          <w:tcPr>
            <w:tcW w:w="850" w:type="dxa"/>
            <w:shd w:val="clear" w:color="auto" w:fill="auto"/>
            <w:vAlign w:val="bottom"/>
          </w:tcPr>
          <w:p w14:paraId="32628CD7" w14:textId="14456CB9" w:rsidR="003F4D68" w:rsidRPr="002D2F67" w:rsidRDefault="00CD5714" w:rsidP="002D2F67">
            <w:pPr>
              <w:widowControl w:val="0"/>
              <w:ind w:right="-72"/>
              <w:jc w:val="right"/>
              <w:rPr>
                <w:rFonts w:ascii="Arial" w:hAnsi="Arial" w:cs="Arial"/>
                <w:color w:val="000000"/>
                <w:sz w:val="18"/>
                <w:szCs w:val="22"/>
                <w:cs/>
              </w:rPr>
            </w:pPr>
            <w:r w:rsidRPr="00CD5714">
              <w:rPr>
                <w:rFonts w:ascii="Arial" w:hAnsi="Arial" w:cs="Arial"/>
                <w:color w:val="000000"/>
                <w:sz w:val="18"/>
                <w:szCs w:val="22"/>
                <w:lang w:val="en-GB"/>
              </w:rPr>
              <w:t>20</w:t>
            </w:r>
            <w:r w:rsidR="003F4D68" w:rsidRPr="002D2F67">
              <w:rPr>
                <w:rFonts w:ascii="Arial" w:hAnsi="Arial" w:cs="Arial"/>
                <w:color w:val="000000"/>
                <w:sz w:val="18"/>
                <w:szCs w:val="22"/>
              </w:rPr>
              <w:t>,</w:t>
            </w:r>
            <w:r w:rsidRPr="00CD5714">
              <w:rPr>
                <w:rFonts w:ascii="Arial" w:hAnsi="Arial" w:cs="Arial"/>
                <w:color w:val="000000"/>
                <w:sz w:val="18"/>
                <w:szCs w:val="22"/>
                <w:lang w:val="en-GB"/>
              </w:rPr>
              <w:t>593</w:t>
            </w:r>
          </w:p>
        </w:tc>
      </w:tr>
      <w:tr w:rsidR="005611FE" w:rsidRPr="002D2F67" w14:paraId="2D92F375" w14:textId="77777777" w:rsidTr="002D2F67">
        <w:trPr>
          <w:cantSplit/>
        </w:trPr>
        <w:tc>
          <w:tcPr>
            <w:tcW w:w="2808" w:type="dxa"/>
            <w:shd w:val="clear" w:color="auto" w:fill="auto"/>
          </w:tcPr>
          <w:p w14:paraId="27F3C187" w14:textId="7A3583A3" w:rsidR="003F4D68" w:rsidRPr="002D2F67" w:rsidRDefault="003F4D68" w:rsidP="002D2F67">
            <w:pPr>
              <w:widowControl w:val="0"/>
              <w:ind w:left="72" w:right="-55"/>
              <w:rPr>
                <w:rFonts w:ascii="Arial" w:hAnsi="Arial" w:cs="Arial"/>
                <w:color w:val="000000"/>
                <w:spacing w:val="-2"/>
                <w:sz w:val="18"/>
                <w:szCs w:val="18"/>
              </w:rPr>
            </w:pPr>
            <w:r w:rsidRPr="002D2F67">
              <w:rPr>
                <w:rFonts w:ascii="Arial" w:hAnsi="Arial" w:cs="Arial"/>
                <w:color w:val="000000"/>
                <w:spacing w:val="-2"/>
                <w:sz w:val="18"/>
                <w:szCs w:val="18"/>
              </w:rPr>
              <w:t>Other segment revenue</w:t>
            </w:r>
          </w:p>
        </w:tc>
        <w:tc>
          <w:tcPr>
            <w:tcW w:w="849" w:type="dxa"/>
            <w:tcBorders>
              <w:bottom w:val="single" w:sz="4" w:space="0" w:color="auto"/>
            </w:tcBorders>
            <w:shd w:val="clear" w:color="auto" w:fill="auto"/>
            <w:vAlign w:val="bottom"/>
          </w:tcPr>
          <w:p w14:paraId="4D54278B" w14:textId="3DD4CB7C" w:rsidR="003F4D68" w:rsidRPr="002D2F67" w:rsidRDefault="002024EB" w:rsidP="002D2F67">
            <w:pPr>
              <w:widowControl w:val="0"/>
              <w:ind w:right="-72"/>
              <w:jc w:val="right"/>
              <w:rPr>
                <w:rFonts w:ascii="Arial" w:hAnsi="Arial" w:cs="Arial"/>
                <w:color w:val="000000"/>
                <w:sz w:val="18"/>
                <w:szCs w:val="22"/>
                <w:cs/>
              </w:rPr>
            </w:pPr>
            <w:r w:rsidRPr="002D2F67">
              <w:rPr>
                <w:rFonts w:ascii="Arial" w:hAnsi="Arial" w:cs="Arial"/>
                <w:color w:val="000000"/>
                <w:sz w:val="18"/>
                <w:szCs w:val="22"/>
              </w:rPr>
              <w:t>-</w:t>
            </w:r>
          </w:p>
        </w:tc>
        <w:tc>
          <w:tcPr>
            <w:tcW w:w="850" w:type="dxa"/>
            <w:tcBorders>
              <w:bottom w:val="single" w:sz="4" w:space="0" w:color="auto"/>
            </w:tcBorders>
            <w:shd w:val="clear" w:color="auto" w:fill="auto"/>
            <w:vAlign w:val="bottom"/>
          </w:tcPr>
          <w:p w14:paraId="307DCE9F" w14:textId="786BC5A1" w:rsidR="003F4D68" w:rsidRPr="002D2F67" w:rsidRDefault="003F4D68" w:rsidP="002D2F67">
            <w:pPr>
              <w:widowControl w:val="0"/>
              <w:ind w:right="-72"/>
              <w:jc w:val="right"/>
              <w:rPr>
                <w:rFonts w:ascii="Arial" w:hAnsi="Arial" w:cs="Arial"/>
                <w:color w:val="000000"/>
                <w:sz w:val="18"/>
                <w:szCs w:val="22"/>
                <w:cs/>
              </w:rPr>
            </w:pPr>
            <w:r w:rsidRPr="002D2F67">
              <w:rPr>
                <w:rFonts w:ascii="Arial" w:hAnsi="Arial" w:cs="Arial"/>
                <w:color w:val="000000"/>
                <w:sz w:val="18"/>
                <w:szCs w:val="22"/>
              </w:rPr>
              <w:t>-</w:t>
            </w:r>
          </w:p>
        </w:tc>
        <w:tc>
          <w:tcPr>
            <w:tcW w:w="849" w:type="dxa"/>
            <w:tcBorders>
              <w:bottom w:val="single" w:sz="4" w:space="0" w:color="auto"/>
            </w:tcBorders>
            <w:shd w:val="clear" w:color="auto" w:fill="auto"/>
            <w:vAlign w:val="bottom"/>
          </w:tcPr>
          <w:p w14:paraId="656C7C68" w14:textId="04F864CC" w:rsidR="003F4D68" w:rsidRPr="002D2F67" w:rsidRDefault="002024EB" w:rsidP="002D2F67">
            <w:pPr>
              <w:widowControl w:val="0"/>
              <w:ind w:right="-72"/>
              <w:jc w:val="right"/>
              <w:rPr>
                <w:rFonts w:ascii="Arial" w:hAnsi="Arial" w:cs="Arial"/>
                <w:color w:val="000000"/>
                <w:sz w:val="18"/>
                <w:szCs w:val="22"/>
                <w:cs/>
              </w:rPr>
            </w:pPr>
            <w:r w:rsidRPr="002D2F67">
              <w:rPr>
                <w:rFonts w:ascii="Arial" w:hAnsi="Arial" w:cs="Arial"/>
                <w:color w:val="000000"/>
                <w:sz w:val="18"/>
                <w:szCs w:val="22"/>
              </w:rPr>
              <w:t>-</w:t>
            </w:r>
          </w:p>
        </w:tc>
        <w:tc>
          <w:tcPr>
            <w:tcW w:w="850" w:type="dxa"/>
            <w:tcBorders>
              <w:bottom w:val="single" w:sz="4" w:space="0" w:color="auto"/>
            </w:tcBorders>
            <w:shd w:val="clear" w:color="auto" w:fill="auto"/>
            <w:vAlign w:val="bottom"/>
          </w:tcPr>
          <w:p w14:paraId="0DED8909" w14:textId="701A07FF" w:rsidR="003F4D68" w:rsidRPr="002D2F67" w:rsidRDefault="003F4D68" w:rsidP="002D2F67">
            <w:pPr>
              <w:widowControl w:val="0"/>
              <w:ind w:right="-72"/>
              <w:jc w:val="right"/>
              <w:rPr>
                <w:rFonts w:ascii="Arial" w:hAnsi="Arial" w:cs="Arial"/>
                <w:color w:val="000000"/>
                <w:sz w:val="18"/>
                <w:szCs w:val="22"/>
                <w:cs/>
              </w:rPr>
            </w:pPr>
            <w:r w:rsidRPr="002D2F67">
              <w:rPr>
                <w:rFonts w:ascii="Arial" w:hAnsi="Arial" w:cs="Arial"/>
                <w:color w:val="000000"/>
                <w:sz w:val="18"/>
                <w:szCs w:val="22"/>
              </w:rPr>
              <w:t>-</w:t>
            </w:r>
          </w:p>
        </w:tc>
        <w:tc>
          <w:tcPr>
            <w:tcW w:w="850" w:type="dxa"/>
            <w:tcBorders>
              <w:bottom w:val="single" w:sz="4" w:space="0" w:color="auto"/>
            </w:tcBorders>
            <w:shd w:val="clear" w:color="auto" w:fill="auto"/>
            <w:vAlign w:val="bottom"/>
          </w:tcPr>
          <w:p w14:paraId="6CAEDD48" w14:textId="7830A3F8" w:rsidR="003F4D68" w:rsidRPr="002D2F67" w:rsidRDefault="00CD5714" w:rsidP="002D2F67">
            <w:pPr>
              <w:widowControl w:val="0"/>
              <w:ind w:right="-72"/>
              <w:jc w:val="right"/>
              <w:rPr>
                <w:rFonts w:ascii="Arial" w:hAnsi="Arial" w:cs="Arial"/>
                <w:color w:val="000000"/>
                <w:sz w:val="18"/>
                <w:szCs w:val="22"/>
                <w:cs/>
              </w:rPr>
            </w:pPr>
            <w:r w:rsidRPr="00CD5714">
              <w:rPr>
                <w:rFonts w:ascii="Arial" w:hAnsi="Arial" w:cs="Arial"/>
                <w:color w:val="000000"/>
                <w:sz w:val="18"/>
                <w:szCs w:val="22"/>
                <w:lang w:val="en-GB"/>
              </w:rPr>
              <w:t>1</w:t>
            </w:r>
            <w:r w:rsidR="0063372D" w:rsidRPr="002D2F67">
              <w:rPr>
                <w:rFonts w:ascii="Arial" w:hAnsi="Arial" w:cs="Arial"/>
                <w:color w:val="000000"/>
                <w:sz w:val="18"/>
                <w:szCs w:val="22"/>
              </w:rPr>
              <w:t>,</w:t>
            </w:r>
            <w:r w:rsidRPr="00CD5714">
              <w:rPr>
                <w:rFonts w:ascii="Arial" w:hAnsi="Arial" w:cs="Arial"/>
                <w:color w:val="000000"/>
                <w:sz w:val="18"/>
                <w:szCs w:val="22"/>
                <w:lang w:val="en-GB"/>
              </w:rPr>
              <w:t>647</w:t>
            </w:r>
          </w:p>
        </w:tc>
        <w:tc>
          <w:tcPr>
            <w:tcW w:w="849" w:type="dxa"/>
            <w:tcBorders>
              <w:bottom w:val="single" w:sz="4" w:space="0" w:color="auto"/>
            </w:tcBorders>
            <w:shd w:val="clear" w:color="auto" w:fill="auto"/>
            <w:vAlign w:val="bottom"/>
          </w:tcPr>
          <w:p w14:paraId="0B6C0A25" w14:textId="3B2DCBE4" w:rsidR="003F4D68" w:rsidRPr="002D2F67" w:rsidRDefault="00CD5714" w:rsidP="002D2F67">
            <w:pPr>
              <w:widowControl w:val="0"/>
              <w:ind w:right="-72"/>
              <w:jc w:val="right"/>
              <w:rPr>
                <w:rFonts w:ascii="Arial" w:hAnsi="Arial" w:cs="Arial"/>
                <w:color w:val="000000"/>
                <w:sz w:val="18"/>
                <w:szCs w:val="22"/>
                <w:cs/>
              </w:rPr>
            </w:pPr>
            <w:r w:rsidRPr="00CD5714">
              <w:rPr>
                <w:rFonts w:ascii="Arial" w:hAnsi="Arial" w:cs="Arial"/>
                <w:color w:val="000000"/>
                <w:sz w:val="18"/>
                <w:szCs w:val="22"/>
                <w:lang w:val="en-GB"/>
              </w:rPr>
              <w:t>1</w:t>
            </w:r>
            <w:r w:rsidR="003F4D68" w:rsidRPr="002D2F67">
              <w:rPr>
                <w:rFonts w:ascii="Arial" w:hAnsi="Arial" w:cs="Arial"/>
                <w:color w:val="000000"/>
                <w:sz w:val="18"/>
                <w:szCs w:val="22"/>
              </w:rPr>
              <w:t>,</w:t>
            </w:r>
            <w:r w:rsidRPr="00CD5714">
              <w:rPr>
                <w:rFonts w:ascii="Arial" w:hAnsi="Arial" w:cs="Arial"/>
                <w:color w:val="000000"/>
                <w:sz w:val="18"/>
                <w:szCs w:val="22"/>
                <w:lang w:val="en-GB"/>
              </w:rPr>
              <w:t>136</w:t>
            </w:r>
          </w:p>
        </w:tc>
        <w:tc>
          <w:tcPr>
            <w:tcW w:w="850" w:type="dxa"/>
            <w:tcBorders>
              <w:bottom w:val="single" w:sz="4" w:space="0" w:color="auto"/>
            </w:tcBorders>
            <w:shd w:val="clear" w:color="auto" w:fill="auto"/>
            <w:vAlign w:val="bottom"/>
          </w:tcPr>
          <w:p w14:paraId="4ACDF200" w14:textId="529E6C26" w:rsidR="003F4D68" w:rsidRPr="002D2F67" w:rsidRDefault="00CD5714" w:rsidP="002D2F67">
            <w:pPr>
              <w:widowControl w:val="0"/>
              <w:ind w:right="-72"/>
              <w:jc w:val="right"/>
              <w:rPr>
                <w:rFonts w:ascii="Arial" w:hAnsi="Arial" w:cs="Arial"/>
                <w:color w:val="000000"/>
                <w:sz w:val="18"/>
                <w:szCs w:val="22"/>
                <w:cs/>
              </w:rPr>
            </w:pPr>
            <w:r w:rsidRPr="00CD5714">
              <w:rPr>
                <w:rFonts w:ascii="Arial" w:hAnsi="Arial" w:cs="Arial"/>
                <w:color w:val="000000"/>
                <w:sz w:val="18"/>
                <w:szCs w:val="22"/>
                <w:lang w:val="en-GB"/>
              </w:rPr>
              <w:t>1</w:t>
            </w:r>
            <w:r w:rsidR="0063372D" w:rsidRPr="002D2F67">
              <w:rPr>
                <w:rFonts w:ascii="Arial" w:hAnsi="Arial" w:cs="Arial"/>
                <w:color w:val="000000"/>
                <w:sz w:val="18"/>
                <w:szCs w:val="22"/>
              </w:rPr>
              <w:t>,</w:t>
            </w:r>
            <w:r w:rsidRPr="00CD5714">
              <w:rPr>
                <w:rFonts w:ascii="Arial" w:hAnsi="Arial" w:cs="Arial"/>
                <w:color w:val="000000"/>
                <w:sz w:val="18"/>
                <w:szCs w:val="22"/>
                <w:lang w:val="en-GB"/>
              </w:rPr>
              <w:t>647</w:t>
            </w:r>
          </w:p>
        </w:tc>
        <w:tc>
          <w:tcPr>
            <w:tcW w:w="850" w:type="dxa"/>
            <w:tcBorders>
              <w:bottom w:val="single" w:sz="4" w:space="0" w:color="auto"/>
            </w:tcBorders>
            <w:shd w:val="clear" w:color="auto" w:fill="auto"/>
            <w:vAlign w:val="bottom"/>
          </w:tcPr>
          <w:p w14:paraId="59C9CB8E" w14:textId="45D790E4" w:rsidR="003F4D68" w:rsidRPr="002D2F67" w:rsidRDefault="00CD5714" w:rsidP="002D2F67">
            <w:pPr>
              <w:widowControl w:val="0"/>
              <w:ind w:right="-72"/>
              <w:jc w:val="right"/>
              <w:rPr>
                <w:rFonts w:ascii="Arial" w:hAnsi="Arial" w:cs="Arial"/>
                <w:color w:val="000000"/>
                <w:sz w:val="18"/>
                <w:szCs w:val="22"/>
                <w:cs/>
              </w:rPr>
            </w:pPr>
            <w:r w:rsidRPr="00CD5714">
              <w:rPr>
                <w:rFonts w:ascii="Arial" w:hAnsi="Arial" w:cs="Arial"/>
                <w:color w:val="000000"/>
                <w:sz w:val="18"/>
                <w:szCs w:val="22"/>
                <w:lang w:val="en-GB"/>
              </w:rPr>
              <w:t>1</w:t>
            </w:r>
            <w:r w:rsidR="003F4D68" w:rsidRPr="002D2F67">
              <w:rPr>
                <w:rFonts w:ascii="Arial" w:hAnsi="Arial" w:cs="Arial"/>
                <w:color w:val="000000"/>
                <w:sz w:val="18"/>
                <w:szCs w:val="22"/>
              </w:rPr>
              <w:t>,</w:t>
            </w:r>
            <w:r w:rsidRPr="00CD5714">
              <w:rPr>
                <w:rFonts w:ascii="Arial" w:hAnsi="Arial" w:cs="Arial"/>
                <w:color w:val="000000"/>
                <w:sz w:val="18"/>
                <w:szCs w:val="22"/>
                <w:lang w:val="en-GB"/>
              </w:rPr>
              <w:t>136</w:t>
            </w:r>
          </w:p>
        </w:tc>
      </w:tr>
      <w:tr w:rsidR="00336066" w:rsidRPr="002D2F67" w14:paraId="4CFE67DA" w14:textId="77777777" w:rsidTr="002D2F67">
        <w:trPr>
          <w:cantSplit/>
        </w:trPr>
        <w:tc>
          <w:tcPr>
            <w:tcW w:w="2808" w:type="dxa"/>
            <w:shd w:val="clear" w:color="auto" w:fill="auto"/>
          </w:tcPr>
          <w:p w14:paraId="0976E42E" w14:textId="4E244673" w:rsidR="00336066" w:rsidRPr="002D2F67" w:rsidRDefault="00336066" w:rsidP="002D2F67">
            <w:pPr>
              <w:widowControl w:val="0"/>
              <w:ind w:left="72" w:right="-55"/>
              <w:rPr>
                <w:rFonts w:ascii="Arial" w:hAnsi="Arial" w:cs="Arial"/>
                <w:color w:val="000000"/>
                <w:spacing w:val="-2"/>
                <w:sz w:val="18"/>
                <w:szCs w:val="18"/>
              </w:rPr>
            </w:pPr>
            <w:r w:rsidRPr="002D2F67">
              <w:rPr>
                <w:rFonts w:ascii="Arial" w:hAnsi="Arial" w:cs="Arial"/>
                <w:color w:val="000000"/>
                <w:spacing w:val="-2"/>
                <w:sz w:val="18"/>
                <w:szCs w:val="18"/>
              </w:rPr>
              <w:t>Total revenue</w:t>
            </w:r>
          </w:p>
        </w:tc>
        <w:tc>
          <w:tcPr>
            <w:tcW w:w="849" w:type="dxa"/>
            <w:tcBorders>
              <w:top w:val="single" w:sz="4" w:space="0" w:color="auto"/>
              <w:bottom w:val="single" w:sz="4" w:space="0" w:color="auto"/>
            </w:tcBorders>
            <w:shd w:val="clear" w:color="auto" w:fill="auto"/>
          </w:tcPr>
          <w:p w14:paraId="311C66B8" w14:textId="3B6EECF7" w:rsidR="00336066" w:rsidRPr="002D2F67" w:rsidRDefault="00CD5714" w:rsidP="002D2F67">
            <w:pPr>
              <w:widowControl w:val="0"/>
              <w:ind w:right="-72"/>
              <w:jc w:val="right"/>
              <w:rPr>
                <w:rFonts w:ascii="Arial" w:hAnsi="Arial" w:cs="Arial"/>
                <w:color w:val="000000"/>
                <w:sz w:val="18"/>
                <w:szCs w:val="22"/>
              </w:rPr>
            </w:pPr>
            <w:r w:rsidRPr="00CD5714">
              <w:rPr>
                <w:rFonts w:ascii="Arial" w:hAnsi="Arial" w:cs="Arial"/>
                <w:color w:val="000000"/>
                <w:sz w:val="18"/>
                <w:szCs w:val="22"/>
                <w:lang w:val="en-GB"/>
              </w:rPr>
              <w:t>2</w:t>
            </w:r>
            <w:r w:rsidR="00336066" w:rsidRPr="002D2F67">
              <w:rPr>
                <w:rFonts w:ascii="Arial" w:hAnsi="Arial" w:cs="Arial"/>
                <w:color w:val="000000"/>
                <w:sz w:val="18"/>
                <w:szCs w:val="22"/>
              </w:rPr>
              <w:t>,</w:t>
            </w:r>
            <w:r w:rsidRPr="00CD5714">
              <w:rPr>
                <w:rFonts w:ascii="Arial" w:hAnsi="Arial" w:cs="Arial"/>
                <w:color w:val="000000"/>
                <w:sz w:val="18"/>
                <w:szCs w:val="22"/>
                <w:lang w:val="en-GB"/>
              </w:rPr>
              <w:t>922</w:t>
            </w:r>
          </w:p>
        </w:tc>
        <w:tc>
          <w:tcPr>
            <w:tcW w:w="850" w:type="dxa"/>
            <w:tcBorders>
              <w:top w:val="single" w:sz="4" w:space="0" w:color="auto"/>
              <w:bottom w:val="single" w:sz="4" w:space="0" w:color="auto"/>
            </w:tcBorders>
            <w:shd w:val="clear" w:color="auto" w:fill="auto"/>
          </w:tcPr>
          <w:p w14:paraId="299D688D" w14:textId="5F85CB42" w:rsidR="00336066" w:rsidRPr="002D2F67" w:rsidRDefault="00CD5714" w:rsidP="002D2F67">
            <w:pPr>
              <w:widowControl w:val="0"/>
              <w:ind w:right="-72"/>
              <w:jc w:val="right"/>
              <w:rPr>
                <w:rFonts w:ascii="Arial" w:hAnsi="Arial" w:cs="Arial"/>
                <w:color w:val="000000"/>
                <w:sz w:val="18"/>
                <w:szCs w:val="22"/>
              </w:rPr>
            </w:pPr>
            <w:r w:rsidRPr="00CD5714">
              <w:rPr>
                <w:rFonts w:ascii="Arial" w:hAnsi="Arial" w:cs="Arial"/>
                <w:color w:val="000000"/>
                <w:sz w:val="18"/>
                <w:szCs w:val="22"/>
                <w:lang w:val="en-GB"/>
              </w:rPr>
              <w:t>4</w:t>
            </w:r>
            <w:r w:rsidR="00336066" w:rsidRPr="002D2F67">
              <w:rPr>
                <w:rFonts w:ascii="Arial" w:hAnsi="Arial" w:cs="Arial"/>
                <w:color w:val="000000"/>
                <w:sz w:val="18"/>
                <w:szCs w:val="22"/>
              </w:rPr>
              <w:t>,</w:t>
            </w:r>
            <w:r w:rsidRPr="00CD5714">
              <w:rPr>
                <w:rFonts w:ascii="Arial" w:hAnsi="Arial" w:cs="Arial"/>
                <w:color w:val="000000"/>
                <w:sz w:val="18"/>
                <w:szCs w:val="22"/>
                <w:lang w:val="en-GB"/>
              </w:rPr>
              <w:t>126</w:t>
            </w:r>
          </w:p>
        </w:tc>
        <w:tc>
          <w:tcPr>
            <w:tcW w:w="849" w:type="dxa"/>
            <w:tcBorders>
              <w:top w:val="single" w:sz="4" w:space="0" w:color="auto"/>
              <w:bottom w:val="single" w:sz="4" w:space="0" w:color="auto"/>
            </w:tcBorders>
            <w:shd w:val="clear" w:color="auto" w:fill="auto"/>
          </w:tcPr>
          <w:p w14:paraId="16C0BC8C" w14:textId="1533F601" w:rsidR="00336066" w:rsidRPr="002D2F67" w:rsidRDefault="00CD5714" w:rsidP="002D2F67">
            <w:pPr>
              <w:widowControl w:val="0"/>
              <w:ind w:right="-72"/>
              <w:jc w:val="right"/>
              <w:rPr>
                <w:rFonts w:ascii="Arial" w:hAnsi="Arial" w:cs="Arial"/>
                <w:color w:val="000000"/>
                <w:sz w:val="18"/>
                <w:szCs w:val="22"/>
              </w:rPr>
            </w:pPr>
            <w:r w:rsidRPr="00CD5714">
              <w:rPr>
                <w:rFonts w:ascii="Arial" w:hAnsi="Arial" w:cs="Arial"/>
                <w:color w:val="000000"/>
                <w:sz w:val="18"/>
                <w:szCs w:val="22"/>
                <w:lang w:val="en-GB"/>
              </w:rPr>
              <w:t>2</w:t>
            </w:r>
            <w:r w:rsidR="00336066" w:rsidRPr="002D2F67">
              <w:rPr>
                <w:rFonts w:ascii="Arial" w:hAnsi="Arial" w:cs="Arial"/>
                <w:color w:val="000000"/>
                <w:sz w:val="18"/>
                <w:szCs w:val="22"/>
              </w:rPr>
              <w:t>,</w:t>
            </w:r>
            <w:r w:rsidRPr="00CD5714">
              <w:rPr>
                <w:rFonts w:ascii="Arial" w:hAnsi="Arial" w:cs="Arial"/>
                <w:color w:val="000000"/>
                <w:sz w:val="18"/>
                <w:szCs w:val="22"/>
                <w:lang w:val="en-GB"/>
              </w:rPr>
              <w:t>999</w:t>
            </w:r>
          </w:p>
        </w:tc>
        <w:tc>
          <w:tcPr>
            <w:tcW w:w="850" w:type="dxa"/>
            <w:tcBorders>
              <w:top w:val="single" w:sz="4" w:space="0" w:color="auto"/>
              <w:bottom w:val="single" w:sz="4" w:space="0" w:color="auto"/>
            </w:tcBorders>
            <w:shd w:val="clear" w:color="auto" w:fill="auto"/>
          </w:tcPr>
          <w:p w14:paraId="7B0DF9BB" w14:textId="681BA666" w:rsidR="00336066" w:rsidRPr="002D2F67" w:rsidRDefault="00CD5714" w:rsidP="002D2F67">
            <w:pPr>
              <w:widowControl w:val="0"/>
              <w:ind w:right="-72"/>
              <w:jc w:val="right"/>
              <w:rPr>
                <w:rFonts w:ascii="Arial" w:hAnsi="Arial" w:cs="Arial"/>
                <w:color w:val="000000"/>
                <w:sz w:val="18"/>
                <w:szCs w:val="22"/>
              </w:rPr>
            </w:pPr>
            <w:r w:rsidRPr="00CD5714">
              <w:rPr>
                <w:rFonts w:ascii="Arial" w:hAnsi="Arial" w:cs="Arial"/>
                <w:color w:val="000000"/>
                <w:sz w:val="18"/>
                <w:szCs w:val="22"/>
                <w:lang w:val="en-GB"/>
              </w:rPr>
              <w:t>4</w:t>
            </w:r>
            <w:r w:rsidR="00336066" w:rsidRPr="002D2F67">
              <w:rPr>
                <w:rFonts w:ascii="Arial" w:hAnsi="Arial" w:cs="Arial"/>
                <w:color w:val="000000"/>
                <w:sz w:val="18"/>
                <w:szCs w:val="22"/>
              </w:rPr>
              <w:t>,</w:t>
            </w:r>
            <w:r w:rsidRPr="00CD5714">
              <w:rPr>
                <w:rFonts w:ascii="Arial" w:hAnsi="Arial" w:cs="Arial"/>
                <w:color w:val="000000"/>
                <w:sz w:val="18"/>
                <w:szCs w:val="22"/>
                <w:lang w:val="en-GB"/>
              </w:rPr>
              <w:t>534</w:t>
            </w:r>
          </w:p>
        </w:tc>
        <w:tc>
          <w:tcPr>
            <w:tcW w:w="850" w:type="dxa"/>
            <w:tcBorders>
              <w:top w:val="single" w:sz="4" w:space="0" w:color="auto"/>
              <w:bottom w:val="single" w:sz="4" w:space="0" w:color="auto"/>
            </w:tcBorders>
            <w:shd w:val="clear" w:color="auto" w:fill="auto"/>
          </w:tcPr>
          <w:p w14:paraId="623287F2" w14:textId="131F7949" w:rsidR="00336066" w:rsidRPr="002D2F67" w:rsidRDefault="00CD5714" w:rsidP="002D2F67">
            <w:pPr>
              <w:widowControl w:val="0"/>
              <w:ind w:right="-72"/>
              <w:jc w:val="right"/>
              <w:rPr>
                <w:rFonts w:ascii="Arial" w:hAnsi="Arial" w:cs="Arial"/>
                <w:color w:val="000000"/>
                <w:sz w:val="18"/>
                <w:szCs w:val="22"/>
              </w:rPr>
            </w:pPr>
            <w:r w:rsidRPr="00CD5714">
              <w:rPr>
                <w:rFonts w:ascii="Arial" w:hAnsi="Arial" w:cs="Arial"/>
                <w:color w:val="000000"/>
                <w:sz w:val="18"/>
                <w:szCs w:val="22"/>
                <w:lang w:val="en-GB"/>
              </w:rPr>
              <w:t>3</w:t>
            </w:r>
            <w:r w:rsidR="00336066" w:rsidRPr="002D2F67">
              <w:rPr>
                <w:rFonts w:ascii="Arial" w:hAnsi="Arial" w:cs="Arial"/>
                <w:color w:val="000000"/>
                <w:sz w:val="18"/>
                <w:szCs w:val="22"/>
              </w:rPr>
              <w:t>,</w:t>
            </w:r>
            <w:r w:rsidRPr="00CD5714">
              <w:rPr>
                <w:rFonts w:ascii="Arial" w:hAnsi="Arial" w:cs="Arial"/>
                <w:color w:val="000000"/>
                <w:sz w:val="18"/>
                <w:szCs w:val="22"/>
                <w:lang w:val="en-GB"/>
              </w:rPr>
              <w:t>603</w:t>
            </w:r>
          </w:p>
        </w:tc>
        <w:tc>
          <w:tcPr>
            <w:tcW w:w="849" w:type="dxa"/>
            <w:tcBorders>
              <w:top w:val="single" w:sz="4" w:space="0" w:color="auto"/>
              <w:bottom w:val="single" w:sz="4" w:space="0" w:color="auto"/>
            </w:tcBorders>
            <w:shd w:val="clear" w:color="auto" w:fill="auto"/>
          </w:tcPr>
          <w:p w14:paraId="4796496C" w14:textId="634A06D8" w:rsidR="00336066" w:rsidRPr="002D2F67" w:rsidRDefault="00CD5714" w:rsidP="002D2F67">
            <w:pPr>
              <w:widowControl w:val="0"/>
              <w:ind w:right="-72"/>
              <w:jc w:val="right"/>
              <w:rPr>
                <w:rFonts w:ascii="Arial" w:hAnsi="Arial" w:cs="Arial"/>
                <w:color w:val="000000"/>
                <w:sz w:val="18"/>
                <w:szCs w:val="22"/>
              </w:rPr>
            </w:pPr>
            <w:r w:rsidRPr="00CD5714">
              <w:rPr>
                <w:rFonts w:ascii="Arial" w:hAnsi="Arial" w:cs="Arial"/>
                <w:color w:val="000000"/>
                <w:sz w:val="18"/>
                <w:szCs w:val="22"/>
                <w:lang w:val="en-GB"/>
              </w:rPr>
              <w:t>13</w:t>
            </w:r>
            <w:r w:rsidR="00336066" w:rsidRPr="002D2F67">
              <w:rPr>
                <w:rFonts w:ascii="Arial" w:hAnsi="Arial" w:cs="Arial"/>
                <w:color w:val="000000"/>
                <w:sz w:val="18"/>
                <w:szCs w:val="22"/>
              </w:rPr>
              <w:t>,</w:t>
            </w:r>
            <w:r w:rsidRPr="00CD5714">
              <w:rPr>
                <w:rFonts w:ascii="Arial" w:hAnsi="Arial" w:cs="Arial"/>
                <w:color w:val="000000"/>
                <w:sz w:val="18"/>
                <w:szCs w:val="22"/>
                <w:lang w:val="en-GB"/>
              </w:rPr>
              <w:t>069</w:t>
            </w:r>
          </w:p>
        </w:tc>
        <w:tc>
          <w:tcPr>
            <w:tcW w:w="850" w:type="dxa"/>
            <w:tcBorders>
              <w:top w:val="single" w:sz="4" w:space="0" w:color="auto"/>
              <w:bottom w:val="single" w:sz="4" w:space="0" w:color="auto"/>
            </w:tcBorders>
            <w:shd w:val="clear" w:color="auto" w:fill="auto"/>
          </w:tcPr>
          <w:p w14:paraId="6B8B8D66" w14:textId="4A73478E" w:rsidR="00336066" w:rsidRPr="002D2F67" w:rsidRDefault="00CD5714" w:rsidP="002D2F67">
            <w:pPr>
              <w:widowControl w:val="0"/>
              <w:ind w:right="-72"/>
              <w:jc w:val="right"/>
              <w:rPr>
                <w:rFonts w:ascii="Arial" w:hAnsi="Arial" w:cs="Arial"/>
                <w:color w:val="000000"/>
                <w:sz w:val="18"/>
                <w:szCs w:val="22"/>
              </w:rPr>
            </w:pPr>
            <w:r w:rsidRPr="00CD5714">
              <w:rPr>
                <w:rFonts w:ascii="Arial" w:hAnsi="Arial" w:cs="Arial"/>
                <w:color w:val="000000"/>
                <w:sz w:val="18"/>
                <w:szCs w:val="22"/>
                <w:lang w:val="en-GB"/>
              </w:rPr>
              <w:t>9</w:t>
            </w:r>
            <w:r w:rsidR="00336066" w:rsidRPr="002D2F67">
              <w:rPr>
                <w:rFonts w:ascii="Arial" w:hAnsi="Arial" w:cs="Arial"/>
                <w:color w:val="000000"/>
                <w:sz w:val="18"/>
                <w:szCs w:val="22"/>
              </w:rPr>
              <w:t>,</w:t>
            </w:r>
            <w:r w:rsidRPr="00CD5714">
              <w:rPr>
                <w:rFonts w:ascii="Arial" w:hAnsi="Arial" w:cs="Arial"/>
                <w:color w:val="000000"/>
                <w:sz w:val="18"/>
                <w:szCs w:val="22"/>
                <w:lang w:val="en-GB"/>
              </w:rPr>
              <w:t>524</w:t>
            </w:r>
          </w:p>
        </w:tc>
        <w:tc>
          <w:tcPr>
            <w:tcW w:w="850" w:type="dxa"/>
            <w:tcBorders>
              <w:top w:val="single" w:sz="4" w:space="0" w:color="auto"/>
              <w:bottom w:val="single" w:sz="4" w:space="0" w:color="auto"/>
            </w:tcBorders>
            <w:shd w:val="clear" w:color="auto" w:fill="auto"/>
          </w:tcPr>
          <w:p w14:paraId="63BC61BC" w14:textId="10EC5C8C" w:rsidR="00336066" w:rsidRPr="002D2F67" w:rsidRDefault="00CD5714" w:rsidP="002D2F67">
            <w:pPr>
              <w:widowControl w:val="0"/>
              <w:ind w:right="-72"/>
              <w:jc w:val="right"/>
              <w:rPr>
                <w:rFonts w:ascii="Arial" w:hAnsi="Arial" w:cs="Arial"/>
                <w:color w:val="000000"/>
                <w:sz w:val="18"/>
                <w:szCs w:val="22"/>
              </w:rPr>
            </w:pPr>
            <w:r w:rsidRPr="00CD5714">
              <w:rPr>
                <w:rFonts w:ascii="Arial" w:hAnsi="Arial" w:cs="Arial"/>
                <w:color w:val="000000"/>
                <w:sz w:val="18"/>
                <w:szCs w:val="22"/>
                <w:lang w:val="en-GB"/>
              </w:rPr>
              <w:t>21</w:t>
            </w:r>
            <w:r w:rsidR="00336066" w:rsidRPr="002D2F67">
              <w:rPr>
                <w:rFonts w:ascii="Arial" w:hAnsi="Arial" w:cs="Arial"/>
                <w:color w:val="000000"/>
                <w:sz w:val="18"/>
                <w:szCs w:val="22"/>
              </w:rPr>
              <w:t>,</w:t>
            </w:r>
            <w:r w:rsidRPr="00CD5714">
              <w:rPr>
                <w:rFonts w:ascii="Arial" w:hAnsi="Arial" w:cs="Arial"/>
                <w:color w:val="000000"/>
                <w:sz w:val="18"/>
                <w:szCs w:val="22"/>
                <w:lang w:val="en-GB"/>
              </w:rPr>
              <w:t>729</w:t>
            </w:r>
          </w:p>
        </w:tc>
      </w:tr>
      <w:tr w:rsidR="003F4D68" w:rsidRPr="002D2F67" w14:paraId="0F95D3AE" w14:textId="7BBA4C4A" w:rsidTr="002D2F67">
        <w:trPr>
          <w:cantSplit/>
        </w:trPr>
        <w:tc>
          <w:tcPr>
            <w:tcW w:w="2808" w:type="dxa"/>
            <w:shd w:val="clear" w:color="auto" w:fill="auto"/>
          </w:tcPr>
          <w:p w14:paraId="638B1FB9" w14:textId="7609B48E" w:rsidR="003F4D68" w:rsidRPr="002D2F67" w:rsidRDefault="003F4D68" w:rsidP="002D2F67">
            <w:pPr>
              <w:widowControl w:val="0"/>
              <w:ind w:left="72" w:right="-55"/>
              <w:rPr>
                <w:rFonts w:ascii="Arial" w:hAnsi="Arial" w:cs="Arial"/>
                <w:b/>
                <w:bCs/>
                <w:color w:val="000000"/>
                <w:sz w:val="18"/>
                <w:szCs w:val="18"/>
                <w:u w:val="single"/>
              </w:rPr>
            </w:pPr>
            <w:r w:rsidRPr="002D2F67">
              <w:rPr>
                <w:rFonts w:ascii="Arial" w:hAnsi="Arial" w:cs="Arial"/>
                <w:b/>
                <w:bCs/>
                <w:color w:val="000000"/>
                <w:spacing w:val="-2"/>
                <w:sz w:val="18"/>
                <w:szCs w:val="18"/>
                <w:u w:val="single"/>
              </w:rPr>
              <w:t>Timing of revenue recognition</w:t>
            </w:r>
          </w:p>
        </w:tc>
        <w:tc>
          <w:tcPr>
            <w:tcW w:w="849" w:type="dxa"/>
            <w:tcBorders>
              <w:top w:val="single" w:sz="4" w:space="0" w:color="auto"/>
            </w:tcBorders>
            <w:shd w:val="clear" w:color="auto" w:fill="auto"/>
            <w:vAlign w:val="bottom"/>
          </w:tcPr>
          <w:p w14:paraId="6B4CE029" w14:textId="77777777" w:rsidR="003F4D68" w:rsidRPr="002D2F67" w:rsidRDefault="003F4D68" w:rsidP="002D2F67">
            <w:pPr>
              <w:widowControl w:val="0"/>
              <w:ind w:right="-72"/>
              <w:jc w:val="right"/>
              <w:rPr>
                <w:rFonts w:ascii="Arial" w:hAnsi="Arial" w:cs="Arial"/>
                <w:b/>
                <w:bCs/>
                <w:color w:val="000000"/>
                <w:sz w:val="18"/>
                <w:szCs w:val="18"/>
                <w:cs/>
              </w:rPr>
            </w:pPr>
          </w:p>
        </w:tc>
        <w:tc>
          <w:tcPr>
            <w:tcW w:w="850" w:type="dxa"/>
            <w:tcBorders>
              <w:top w:val="single" w:sz="4" w:space="0" w:color="auto"/>
            </w:tcBorders>
            <w:shd w:val="clear" w:color="auto" w:fill="auto"/>
            <w:vAlign w:val="bottom"/>
          </w:tcPr>
          <w:p w14:paraId="7F406A92" w14:textId="77777777" w:rsidR="003F4D68" w:rsidRPr="002D2F67" w:rsidRDefault="003F4D68" w:rsidP="002D2F67">
            <w:pPr>
              <w:widowControl w:val="0"/>
              <w:ind w:right="-72"/>
              <w:jc w:val="right"/>
              <w:rPr>
                <w:rFonts w:ascii="Arial" w:hAnsi="Arial" w:cs="Arial"/>
                <w:b/>
                <w:bCs/>
                <w:color w:val="000000"/>
                <w:sz w:val="18"/>
                <w:szCs w:val="18"/>
                <w:cs/>
              </w:rPr>
            </w:pPr>
          </w:p>
        </w:tc>
        <w:tc>
          <w:tcPr>
            <w:tcW w:w="849" w:type="dxa"/>
            <w:tcBorders>
              <w:top w:val="single" w:sz="4" w:space="0" w:color="auto"/>
            </w:tcBorders>
            <w:shd w:val="clear" w:color="auto" w:fill="auto"/>
            <w:vAlign w:val="bottom"/>
          </w:tcPr>
          <w:p w14:paraId="4A582BEA" w14:textId="77777777" w:rsidR="003F4D68" w:rsidRPr="002D2F67" w:rsidRDefault="003F4D68" w:rsidP="002D2F67">
            <w:pPr>
              <w:widowControl w:val="0"/>
              <w:ind w:right="-72"/>
              <w:jc w:val="right"/>
              <w:rPr>
                <w:rFonts w:ascii="Arial" w:hAnsi="Arial" w:cs="Arial"/>
                <w:color w:val="000000"/>
                <w:sz w:val="18"/>
                <w:szCs w:val="18"/>
                <w:cs/>
              </w:rPr>
            </w:pPr>
          </w:p>
        </w:tc>
        <w:tc>
          <w:tcPr>
            <w:tcW w:w="850" w:type="dxa"/>
            <w:tcBorders>
              <w:top w:val="single" w:sz="4" w:space="0" w:color="auto"/>
            </w:tcBorders>
            <w:shd w:val="clear" w:color="auto" w:fill="auto"/>
            <w:vAlign w:val="bottom"/>
          </w:tcPr>
          <w:p w14:paraId="33999B28" w14:textId="77777777" w:rsidR="003F4D68" w:rsidRPr="002D2F67" w:rsidRDefault="003F4D68" w:rsidP="002D2F67">
            <w:pPr>
              <w:widowControl w:val="0"/>
              <w:ind w:right="-72"/>
              <w:jc w:val="right"/>
              <w:rPr>
                <w:rFonts w:ascii="Arial" w:hAnsi="Arial" w:cs="Arial"/>
                <w:color w:val="000000"/>
                <w:sz w:val="18"/>
                <w:szCs w:val="18"/>
                <w:cs/>
              </w:rPr>
            </w:pPr>
          </w:p>
        </w:tc>
        <w:tc>
          <w:tcPr>
            <w:tcW w:w="850" w:type="dxa"/>
            <w:tcBorders>
              <w:top w:val="single" w:sz="4" w:space="0" w:color="auto"/>
            </w:tcBorders>
            <w:shd w:val="clear" w:color="auto" w:fill="auto"/>
            <w:vAlign w:val="bottom"/>
          </w:tcPr>
          <w:p w14:paraId="26E21DA2" w14:textId="77777777" w:rsidR="003F4D68" w:rsidRPr="002D2F67" w:rsidRDefault="003F4D68" w:rsidP="002D2F67">
            <w:pPr>
              <w:widowControl w:val="0"/>
              <w:ind w:right="-72"/>
              <w:jc w:val="right"/>
              <w:rPr>
                <w:rFonts w:ascii="Arial" w:hAnsi="Arial" w:cs="Arial"/>
                <w:color w:val="000000"/>
                <w:sz w:val="18"/>
                <w:szCs w:val="18"/>
                <w:cs/>
              </w:rPr>
            </w:pPr>
          </w:p>
        </w:tc>
        <w:tc>
          <w:tcPr>
            <w:tcW w:w="849" w:type="dxa"/>
            <w:tcBorders>
              <w:top w:val="single" w:sz="4" w:space="0" w:color="auto"/>
            </w:tcBorders>
            <w:shd w:val="clear" w:color="auto" w:fill="auto"/>
            <w:vAlign w:val="bottom"/>
          </w:tcPr>
          <w:p w14:paraId="4B9789FF" w14:textId="77777777" w:rsidR="003F4D68" w:rsidRPr="002D2F67" w:rsidRDefault="003F4D68" w:rsidP="002D2F67">
            <w:pPr>
              <w:ind w:right="-72"/>
              <w:jc w:val="right"/>
              <w:rPr>
                <w:rFonts w:ascii="Arial" w:hAnsi="Arial" w:cs="Arial"/>
                <w:color w:val="000000"/>
                <w:sz w:val="18"/>
                <w:szCs w:val="18"/>
              </w:rPr>
            </w:pPr>
          </w:p>
        </w:tc>
        <w:tc>
          <w:tcPr>
            <w:tcW w:w="850" w:type="dxa"/>
            <w:tcBorders>
              <w:top w:val="single" w:sz="4" w:space="0" w:color="auto"/>
            </w:tcBorders>
            <w:shd w:val="clear" w:color="auto" w:fill="auto"/>
            <w:vAlign w:val="bottom"/>
          </w:tcPr>
          <w:p w14:paraId="517CDFFA" w14:textId="77777777" w:rsidR="003F4D68" w:rsidRPr="002D2F67" w:rsidRDefault="003F4D68" w:rsidP="002D2F67">
            <w:pPr>
              <w:ind w:right="-72"/>
              <w:jc w:val="right"/>
              <w:rPr>
                <w:rFonts w:ascii="Arial" w:hAnsi="Arial" w:cs="Arial"/>
                <w:color w:val="000000"/>
                <w:sz w:val="18"/>
                <w:szCs w:val="18"/>
              </w:rPr>
            </w:pPr>
          </w:p>
        </w:tc>
        <w:tc>
          <w:tcPr>
            <w:tcW w:w="850" w:type="dxa"/>
            <w:tcBorders>
              <w:top w:val="single" w:sz="4" w:space="0" w:color="auto"/>
            </w:tcBorders>
            <w:shd w:val="clear" w:color="auto" w:fill="auto"/>
            <w:vAlign w:val="bottom"/>
          </w:tcPr>
          <w:p w14:paraId="350D9DCE" w14:textId="77777777" w:rsidR="003F4D68" w:rsidRPr="002D2F67" w:rsidRDefault="003F4D68" w:rsidP="002D2F67">
            <w:pPr>
              <w:ind w:right="-72"/>
              <w:jc w:val="right"/>
              <w:rPr>
                <w:rFonts w:ascii="Arial" w:hAnsi="Arial" w:cs="Arial"/>
                <w:color w:val="000000"/>
                <w:sz w:val="18"/>
                <w:szCs w:val="18"/>
              </w:rPr>
            </w:pPr>
          </w:p>
        </w:tc>
      </w:tr>
      <w:tr w:rsidR="003F4D68" w:rsidRPr="002D2F67" w14:paraId="2F577265" w14:textId="7C1A5B55" w:rsidTr="002D2F67">
        <w:trPr>
          <w:cantSplit/>
        </w:trPr>
        <w:tc>
          <w:tcPr>
            <w:tcW w:w="2808" w:type="dxa"/>
            <w:shd w:val="clear" w:color="auto" w:fill="auto"/>
          </w:tcPr>
          <w:p w14:paraId="01E67E1A" w14:textId="77777777" w:rsidR="003F4D68" w:rsidRPr="002D2F67" w:rsidRDefault="003F4D68" w:rsidP="002D2F67">
            <w:pPr>
              <w:widowControl w:val="0"/>
              <w:ind w:left="72" w:right="-55"/>
              <w:rPr>
                <w:rFonts w:ascii="Arial" w:hAnsi="Arial" w:cs="Arial"/>
                <w:color w:val="000000"/>
                <w:spacing w:val="-2"/>
                <w:sz w:val="18"/>
                <w:szCs w:val="18"/>
              </w:rPr>
            </w:pPr>
            <w:r w:rsidRPr="002D2F67">
              <w:rPr>
                <w:rFonts w:ascii="Arial" w:hAnsi="Arial" w:cs="Arial"/>
                <w:color w:val="000000"/>
                <w:spacing w:val="-2"/>
                <w:sz w:val="18"/>
                <w:szCs w:val="18"/>
              </w:rPr>
              <w:t>At a point in time</w:t>
            </w:r>
          </w:p>
        </w:tc>
        <w:tc>
          <w:tcPr>
            <w:tcW w:w="849" w:type="dxa"/>
            <w:shd w:val="clear" w:color="auto" w:fill="auto"/>
            <w:vAlign w:val="bottom"/>
          </w:tcPr>
          <w:p w14:paraId="02804E4B" w14:textId="65FA4C45" w:rsidR="003F4D68" w:rsidRPr="002D2F67" w:rsidRDefault="00CD5714" w:rsidP="002D2F67">
            <w:pPr>
              <w:widowControl w:val="0"/>
              <w:ind w:right="-72"/>
              <w:jc w:val="right"/>
              <w:rPr>
                <w:rFonts w:ascii="Arial" w:hAnsi="Arial" w:cs="Arial"/>
                <w:color w:val="000000"/>
                <w:sz w:val="18"/>
                <w:szCs w:val="22"/>
                <w:cs/>
              </w:rPr>
            </w:pPr>
            <w:r w:rsidRPr="00CD5714">
              <w:rPr>
                <w:rFonts w:ascii="Arial" w:hAnsi="Arial" w:cs="Arial"/>
                <w:color w:val="000000"/>
                <w:sz w:val="18"/>
                <w:szCs w:val="22"/>
                <w:lang w:val="en-GB"/>
              </w:rPr>
              <w:t>2</w:t>
            </w:r>
            <w:r w:rsidR="002024EB" w:rsidRPr="002D2F67">
              <w:rPr>
                <w:rFonts w:ascii="Arial" w:hAnsi="Arial" w:cs="Arial"/>
                <w:color w:val="000000"/>
                <w:sz w:val="18"/>
                <w:szCs w:val="22"/>
              </w:rPr>
              <w:t>,</w:t>
            </w:r>
            <w:r w:rsidRPr="00CD5714">
              <w:rPr>
                <w:rFonts w:ascii="Arial" w:hAnsi="Arial" w:cs="Arial"/>
                <w:color w:val="000000"/>
                <w:sz w:val="18"/>
                <w:szCs w:val="22"/>
                <w:lang w:val="en-GB"/>
              </w:rPr>
              <w:t>922</w:t>
            </w:r>
          </w:p>
        </w:tc>
        <w:tc>
          <w:tcPr>
            <w:tcW w:w="850" w:type="dxa"/>
            <w:shd w:val="clear" w:color="auto" w:fill="auto"/>
            <w:vAlign w:val="bottom"/>
          </w:tcPr>
          <w:p w14:paraId="0F48321F" w14:textId="01A3C347" w:rsidR="003F4D68" w:rsidRPr="002D2F67" w:rsidRDefault="00CD5714" w:rsidP="002D2F67">
            <w:pPr>
              <w:widowControl w:val="0"/>
              <w:ind w:right="-72"/>
              <w:jc w:val="right"/>
              <w:rPr>
                <w:rFonts w:ascii="Arial" w:hAnsi="Arial" w:cs="Arial"/>
                <w:color w:val="000000"/>
                <w:sz w:val="18"/>
                <w:szCs w:val="22"/>
                <w:cs/>
              </w:rPr>
            </w:pPr>
            <w:r w:rsidRPr="00CD5714">
              <w:rPr>
                <w:rFonts w:ascii="Arial" w:hAnsi="Arial" w:cs="Arial"/>
                <w:color w:val="000000"/>
                <w:sz w:val="18"/>
                <w:szCs w:val="22"/>
                <w:lang w:val="en-GB"/>
              </w:rPr>
              <w:t>4</w:t>
            </w:r>
            <w:r w:rsidR="003F4D68" w:rsidRPr="002D2F67">
              <w:rPr>
                <w:rFonts w:ascii="Arial" w:hAnsi="Arial" w:cs="Arial"/>
                <w:color w:val="000000"/>
                <w:sz w:val="18"/>
                <w:szCs w:val="22"/>
              </w:rPr>
              <w:t>,</w:t>
            </w:r>
            <w:r w:rsidRPr="00CD5714">
              <w:rPr>
                <w:rFonts w:ascii="Arial" w:hAnsi="Arial" w:cs="Arial"/>
                <w:color w:val="000000"/>
                <w:sz w:val="18"/>
                <w:szCs w:val="22"/>
                <w:lang w:val="en-GB"/>
              </w:rPr>
              <w:t>126</w:t>
            </w:r>
          </w:p>
        </w:tc>
        <w:tc>
          <w:tcPr>
            <w:tcW w:w="849" w:type="dxa"/>
            <w:shd w:val="clear" w:color="auto" w:fill="auto"/>
            <w:vAlign w:val="bottom"/>
          </w:tcPr>
          <w:p w14:paraId="6B34CE5D" w14:textId="4CAC5061" w:rsidR="003F4D68" w:rsidRPr="002D2F67" w:rsidRDefault="00CD5714" w:rsidP="002D2F67">
            <w:pPr>
              <w:widowControl w:val="0"/>
              <w:ind w:right="-72"/>
              <w:jc w:val="right"/>
              <w:rPr>
                <w:rFonts w:ascii="Arial" w:hAnsi="Arial" w:cs="Arial"/>
                <w:color w:val="000000"/>
                <w:sz w:val="18"/>
                <w:szCs w:val="22"/>
                <w:cs/>
              </w:rPr>
            </w:pPr>
            <w:r w:rsidRPr="00CD5714">
              <w:rPr>
                <w:rFonts w:ascii="Arial" w:hAnsi="Arial" w:cs="Arial"/>
                <w:color w:val="000000"/>
                <w:sz w:val="18"/>
                <w:szCs w:val="22"/>
                <w:lang w:val="en-GB"/>
              </w:rPr>
              <w:t>2</w:t>
            </w:r>
            <w:r w:rsidR="002024EB" w:rsidRPr="002D2F67">
              <w:rPr>
                <w:rFonts w:ascii="Arial" w:hAnsi="Arial" w:cs="Arial"/>
                <w:color w:val="000000"/>
                <w:sz w:val="18"/>
                <w:szCs w:val="22"/>
              </w:rPr>
              <w:t>,</w:t>
            </w:r>
            <w:r w:rsidRPr="00CD5714">
              <w:rPr>
                <w:rFonts w:ascii="Arial" w:hAnsi="Arial" w:cs="Arial"/>
                <w:color w:val="000000"/>
                <w:sz w:val="18"/>
                <w:szCs w:val="22"/>
                <w:lang w:val="en-GB"/>
              </w:rPr>
              <w:t>999</w:t>
            </w:r>
          </w:p>
        </w:tc>
        <w:tc>
          <w:tcPr>
            <w:tcW w:w="850" w:type="dxa"/>
            <w:shd w:val="clear" w:color="auto" w:fill="auto"/>
            <w:vAlign w:val="bottom"/>
          </w:tcPr>
          <w:p w14:paraId="63DDA757" w14:textId="1CCB0D9B" w:rsidR="003F4D68" w:rsidRPr="002D2F67" w:rsidRDefault="00CD5714" w:rsidP="002D2F67">
            <w:pPr>
              <w:widowControl w:val="0"/>
              <w:ind w:right="-72"/>
              <w:jc w:val="right"/>
              <w:rPr>
                <w:rFonts w:ascii="Arial" w:hAnsi="Arial" w:cs="Arial"/>
                <w:color w:val="000000"/>
                <w:sz w:val="18"/>
                <w:szCs w:val="22"/>
                <w:cs/>
              </w:rPr>
            </w:pPr>
            <w:r w:rsidRPr="00CD5714">
              <w:rPr>
                <w:rFonts w:ascii="Arial" w:hAnsi="Arial" w:cs="Arial"/>
                <w:color w:val="000000"/>
                <w:sz w:val="18"/>
                <w:szCs w:val="18"/>
                <w:lang w:val="en-GB"/>
              </w:rPr>
              <w:t>4</w:t>
            </w:r>
            <w:r w:rsidR="003F4D68" w:rsidRPr="002D2F67">
              <w:rPr>
                <w:rFonts w:ascii="Arial" w:hAnsi="Arial" w:cs="Arial"/>
                <w:color w:val="000000"/>
                <w:sz w:val="18"/>
                <w:szCs w:val="18"/>
              </w:rPr>
              <w:t>,</w:t>
            </w:r>
            <w:r w:rsidRPr="00CD5714">
              <w:rPr>
                <w:rFonts w:ascii="Arial" w:hAnsi="Arial" w:cs="Arial"/>
                <w:color w:val="000000"/>
                <w:sz w:val="18"/>
                <w:szCs w:val="18"/>
                <w:lang w:val="en-GB"/>
              </w:rPr>
              <w:t>534</w:t>
            </w:r>
          </w:p>
        </w:tc>
        <w:tc>
          <w:tcPr>
            <w:tcW w:w="850" w:type="dxa"/>
            <w:shd w:val="clear" w:color="auto" w:fill="auto"/>
            <w:vAlign w:val="bottom"/>
          </w:tcPr>
          <w:p w14:paraId="4969A1A0" w14:textId="1CDF591C" w:rsidR="003F4D68" w:rsidRPr="002D2F67" w:rsidRDefault="00CD5714" w:rsidP="002D2F67">
            <w:pPr>
              <w:widowControl w:val="0"/>
              <w:ind w:right="-72"/>
              <w:jc w:val="right"/>
              <w:rPr>
                <w:rFonts w:ascii="Arial" w:hAnsi="Arial" w:cs="Arial"/>
                <w:color w:val="000000"/>
                <w:sz w:val="18"/>
                <w:szCs w:val="22"/>
                <w:cs/>
              </w:rPr>
            </w:pPr>
            <w:r w:rsidRPr="00CD5714">
              <w:rPr>
                <w:rFonts w:ascii="Arial" w:hAnsi="Arial" w:cs="Arial"/>
                <w:color w:val="000000"/>
                <w:sz w:val="18"/>
                <w:szCs w:val="22"/>
                <w:lang w:val="en-GB"/>
              </w:rPr>
              <w:t>2</w:t>
            </w:r>
            <w:r w:rsidR="0063372D" w:rsidRPr="002D2F67">
              <w:rPr>
                <w:rFonts w:ascii="Arial" w:hAnsi="Arial" w:cs="Arial"/>
                <w:color w:val="000000"/>
                <w:sz w:val="18"/>
                <w:szCs w:val="22"/>
              </w:rPr>
              <w:t>,</w:t>
            </w:r>
            <w:r w:rsidRPr="00CD5714">
              <w:rPr>
                <w:rFonts w:ascii="Arial" w:hAnsi="Arial" w:cs="Arial"/>
                <w:color w:val="000000"/>
                <w:sz w:val="18"/>
                <w:szCs w:val="22"/>
                <w:lang w:val="en-GB"/>
              </w:rPr>
              <w:t>082</w:t>
            </w:r>
          </w:p>
        </w:tc>
        <w:tc>
          <w:tcPr>
            <w:tcW w:w="849" w:type="dxa"/>
            <w:shd w:val="clear" w:color="auto" w:fill="auto"/>
            <w:vAlign w:val="bottom"/>
          </w:tcPr>
          <w:p w14:paraId="746A5BFA" w14:textId="6D553610" w:rsidR="003F4D68" w:rsidRPr="002D2F67" w:rsidRDefault="00CD5714" w:rsidP="002D2F67">
            <w:pPr>
              <w:ind w:right="-72"/>
              <w:jc w:val="right"/>
              <w:rPr>
                <w:rFonts w:ascii="Arial" w:hAnsi="Arial" w:cs="Arial"/>
                <w:color w:val="000000"/>
                <w:sz w:val="18"/>
                <w:szCs w:val="18"/>
              </w:rPr>
            </w:pPr>
            <w:r w:rsidRPr="00CD5714">
              <w:rPr>
                <w:rFonts w:ascii="Arial" w:hAnsi="Arial" w:cs="Arial"/>
                <w:color w:val="000000"/>
                <w:sz w:val="18"/>
                <w:szCs w:val="18"/>
                <w:lang w:val="en-GB"/>
              </w:rPr>
              <w:t>11</w:t>
            </w:r>
            <w:r w:rsidR="003F4D68" w:rsidRPr="002D2F67">
              <w:rPr>
                <w:rFonts w:ascii="Arial" w:hAnsi="Arial" w:cs="Arial"/>
                <w:color w:val="000000"/>
                <w:sz w:val="18"/>
                <w:szCs w:val="18"/>
              </w:rPr>
              <w:t>,</w:t>
            </w:r>
            <w:r w:rsidRPr="00CD5714">
              <w:rPr>
                <w:rFonts w:ascii="Arial" w:hAnsi="Arial" w:cs="Arial"/>
                <w:color w:val="000000"/>
                <w:sz w:val="18"/>
                <w:szCs w:val="22"/>
                <w:lang w:val="en-GB"/>
              </w:rPr>
              <w:t>842</w:t>
            </w:r>
          </w:p>
        </w:tc>
        <w:tc>
          <w:tcPr>
            <w:tcW w:w="850" w:type="dxa"/>
            <w:shd w:val="clear" w:color="auto" w:fill="auto"/>
            <w:vAlign w:val="bottom"/>
          </w:tcPr>
          <w:p w14:paraId="1410031B" w14:textId="42B748D3" w:rsidR="003F4D68" w:rsidRPr="002D2F67" w:rsidRDefault="00CD5714" w:rsidP="002D2F67">
            <w:pPr>
              <w:ind w:right="-72"/>
              <w:jc w:val="right"/>
              <w:rPr>
                <w:rFonts w:ascii="Arial" w:hAnsi="Arial" w:cs="Arial"/>
                <w:color w:val="000000"/>
                <w:sz w:val="18"/>
                <w:szCs w:val="18"/>
              </w:rPr>
            </w:pPr>
            <w:r w:rsidRPr="00CD5714">
              <w:rPr>
                <w:rFonts w:ascii="Arial" w:hAnsi="Arial" w:cs="Arial"/>
                <w:color w:val="000000"/>
                <w:sz w:val="18"/>
                <w:szCs w:val="18"/>
                <w:lang w:val="en-GB"/>
              </w:rPr>
              <w:t>8</w:t>
            </w:r>
            <w:r w:rsidR="002D35D4" w:rsidRPr="002D2F67">
              <w:rPr>
                <w:rFonts w:ascii="Arial" w:hAnsi="Arial" w:cs="Arial"/>
                <w:color w:val="000000"/>
                <w:sz w:val="18"/>
                <w:szCs w:val="18"/>
              </w:rPr>
              <w:t>,</w:t>
            </w:r>
            <w:r w:rsidRPr="00CD5714">
              <w:rPr>
                <w:rFonts w:ascii="Arial" w:hAnsi="Arial" w:cs="Arial"/>
                <w:color w:val="000000"/>
                <w:sz w:val="18"/>
                <w:szCs w:val="18"/>
                <w:lang w:val="en-GB"/>
              </w:rPr>
              <w:t>003</w:t>
            </w:r>
          </w:p>
        </w:tc>
        <w:tc>
          <w:tcPr>
            <w:tcW w:w="850" w:type="dxa"/>
            <w:shd w:val="clear" w:color="auto" w:fill="auto"/>
            <w:vAlign w:val="bottom"/>
          </w:tcPr>
          <w:p w14:paraId="1A2EC112" w14:textId="05B6A450" w:rsidR="003F4D68" w:rsidRPr="002D2F67" w:rsidRDefault="00CD5714" w:rsidP="002D2F67">
            <w:pPr>
              <w:ind w:right="-72"/>
              <w:jc w:val="right"/>
              <w:rPr>
                <w:rFonts w:ascii="Arial" w:hAnsi="Arial" w:cs="Arial"/>
                <w:color w:val="000000"/>
                <w:sz w:val="18"/>
                <w:szCs w:val="18"/>
              </w:rPr>
            </w:pPr>
            <w:r w:rsidRPr="00CD5714">
              <w:rPr>
                <w:rFonts w:ascii="Arial" w:hAnsi="Arial" w:cs="Arial"/>
                <w:color w:val="000000"/>
                <w:sz w:val="18"/>
                <w:szCs w:val="18"/>
                <w:lang w:val="en-GB"/>
              </w:rPr>
              <w:t>20</w:t>
            </w:r>
            <w:r w:rsidR="003F4D68" w:rsidRPr="002D2F67">
              <w:rPr>
                <w:rFonts w:ascii="Arial" w:hAnsi="Arial" w:cs="Arial"/>
                <w:color w:val="000000"/>
                <w:sz w:val="18"/>
                <w:szCs w:val="18"/>
              </w:rPr>
              <w:t>,</w:t>
            </w:r>
            <w:r w:rsidRPr="00CD5714">
              <w:rPr>
                <w:rFonts w:ascii="Arial" w:hAnsi="Arial" w:cs="Arial"/>
                <w:color w:val="000000"/>
                <w:sz w:val="18"/>
                <w:szCs w:val="22"/>
                <w:lang w:val="en-GB"/>
              </w:rPr>
              <w:t>502</w:t>
            </w:r>
          </w:p>
        </w:tc>
      </w:tr>
      <w:tr w:rsidR="003F4D68" w:rsidRPr="002D2F67" w14:paraId="400DDAC6" w14:textId="35049234" w:rsidTr="002D2F67">
        <w:trPr>
          <w:cantSplit/>
        </w:trPr>
        <w:tc>
          <w:tcPr>
            <w:tcW w:w="2808" w:type="dxa"/>
            <w:shd w:val="clear" w:color="auto" w:fill="auto"/>
          </w:tcPr>
          <w:p w14:paraId="48CC47CF" w14:textId="77777777" w:rsidR="003F4D68" w:rsidRPr="002D2F67" w:rsidRDefault="003F4D68" w:rsidP="002D2F67">
            <w:pPr>
              <w:widowControl w:val="0"/>
              <w:ind w:left="72" w:right="-55"/>
              <w:rPr>
                <w:rFonts w:ascii="Arial" w:hAnsi="Arial" w:cs="Arial"/>
                <w:color w:val="000000"/>
                <w:spacing w:val="-2"/>
                <w:sz w:val="18"/>
                <w:szCs w:val="18"/>
              </w:rPr>
            </w:pPr>
            <w:r w:rsidRPr="002D2F67">
              <w:rPr>
                <w:rFonts w:ascii="Arial" w:hAnsi="Arial" w:cs="Arial"/>
                <w:color w:val="000000"/>
                <w:spacing w:val="-2"/>
                <w:sz w:val="18"/>
                <w:szCs w:val="18"/>
              </w:rPr>
              <w:t>Over time</w:t>
            </w:r>
          </w:p>
        </w:tc>
        <w:tc>
          <w:tcPr>
            <w:tcW w:w="849" w:type="dxa"/>
            <w:tcBorders>
              <w:bottom w:val="single" w:sz="4" w:space="0" w:color="auto"/>
            </w:tcBorders>
            <w:shd w:val="clear" w:color="auto" w:fill="auto"/>
            <w:vAlign w:val="bottom"/>
          </w:tcPr>
          <w:p w14:paraId="5FEBB61A" w14:textId="47FA0006" w:rsidR="003F4D68" w:rsidRPr="002D2F67" w:rsidRDefault="002024EB" w:rsidP="002D2F67">
            <w:pPr>
              <w:widowControl w:val="0"/>
              <w:ind w:right="-72"/>
              <w:jc w:val="right"/>
              <w:rPr>
                <w:rFonts w:ascii="Arial" w:hAnsi="Arial" w:cs="Arial"/>
                <w:color w:val="000000"/>
                <w:sz w:val="18"/>
                <w:szCs w:val="22"/>
                <w:cs/>
              </w:rPr>
            </w:pPr>
            <w:r w:rsidRPr="002D2F67">
              <w:rPr>
                <w:rFonts w:ascii="Arial" w:hAnsi="Arial" w:cs="Arial"/>
                <w:color w:val="000000"/>
                <w:sz w:val="18"/>
                <w:szCs w:val="22"/>
              </w:rPr>
              <w:t>-</w:t>
            </w:r>
          </w:p>
        </w:tc>
        <w:tc>
          <w:tcPr>
            <w:tcW w:w="850" w:type="dxa"/>
            <w:tcBorders>
              <w:bottom w:val="single" w:sz="4" w:space="0" w:color="auto"/>
            </w:tcBorders>
            <w:shd w:val="clear" w:color="auto" w:fill="auto"/>
            <w:vAlign w:val="bottom"/>
          </w:tcPr>
          <w:p w14:paraId="70B5DE7B" w14:textId="68F72EDE" w:rsidR="003F4D68" w:rsidRPr="002D2F67" w:rsidRDefault="003F4D68" w:rsidP="002D2F67">
            <w:pPr>
              <w:widowControl w:val="0"/>
              <w:ind w:right="-72"/>
              <w:jc w:val="right"/>
              <w:rPr>
                <w:rFonts w:ascii="Arial" w:hAnsi="Arial" w:cs="Arial"/>
                <w:color w:val="000000"/>
                <w:sz w:val="18"/>
                <w:szCs w:val="22"/>
                <w:cs/>
              </w:rPr>
            </w:pPr>
            <w:r w:rsidRPr="002D2F67">
              <w:rPr>
                <w:rFonts w:ascii="Arial" w:hAnsi="Arial" w:cs="Arial"/>
                <w:color w:val="000000"/>
                <w:sz w:val="18"/>
                <w:szCs w:val="18"/>
              </w:rPr>
              <w:t>-</w:t>
            </w:r>
          </w:p>
        </w:tc>
        <w:tc>
          <w:tcPr>
            <w:tcW w:w="849" w:type="dxa"/>
            <w:tcBorders>
              <w:bottom w:val="single" w:sz="4" w:space="0" w:color="auto"/>
            </w:tcBorders>
            <w:shd w:val="clear" w:color="auto" w:fill="auto"/>
            <w:vAlign w:val="bottom"/>
          </w:tcPr>
          <w:p w14:paraId="41D63C7F" w14:textId="378AE47B" w:rsidR="003F4D68" w:rsidRPr="002D2F67" w:rsidRDefault="002024EB" w:rsidP="002D2F67">
            <w:pPr>
              <w:widowControl w:val="0"/>
              <w:ind w:right="-72"/>
              <w:jc w:val="right"/>
              <w:rPr>
                <w:rFonts w:ascii="Arial" w:hAnsi="Arial" w:cs="Arial"/>
                <w:color w:val="000000"/>
                <w:sz w:val="18"/>
                <w:szCs w:val="22"/>
                <w:cs/>
              </w:rPr>
            </w:pPr>
            <w:r w:rsidRPr="002D2F67">
              <w:rPr>
                <w:rFonts w:ascii="Arial" w:hAnsi="Arial" w:cs="Arial"/>
                <w:color w:val="000000"/>
                <w:sz w:val="18"/>
                <w:szCs w:val="22"/>
              </w:rPr>
              <w:t>-</w:t>
            </w:r>
          </w:p>
        </w:tc>
        <w:tc>
          <w:tcPr>
            <w:tcW w:w="850" w:type="dxa"/>
            <w:tcBorders>
              <w:bottom w:val="single" w:sz="4" w:space="0" w:color="auto"/>
            </w:tcBorders>
            <w:shd w:val="clear" w:color="auto" w:fill="auto"/>
            <w:vAlign w:val="bottom"/>
          </w:tcPr>
          <w:p w14:paraId="52DBA595" w14:textId="53BD129B" w:rsidR="003F4D68" w:rsidRPr="002D2F67" w:rsidRDefault="003F4D68" w:rsidP="002D2F67">
            <w:pPr>
              <w:widowControl w:val="0"/>
              <w:ind w:right="-72"/>
              <w:jc w:val="right"/>
              <w:rPr>
                <w:rFonts w:ascii="Arial" w:hAnsi="Arial" w:cs="Arial"/>
                <w:color w:val="000000"/>
                <w:sz w:val="18"/>
                <w:szCs w:val="22"/>
                <w:cs/>
              </w:rPr>
            </w:pPr>
            <w:r w:rsidRPr="002D2F67">
              <w:rPr>
                <w:rFonts w:ascii="Arial" w:hAnsi="Arial" w:cs="Arial"/>
                <w:color w:val="000000"/>
                <w:sz w:val="18"/>
                <w:szCs w:val="18"/>
              </w:rPr>
              <w:t>-</w:t>
            </w:r>
          </w:p>
        </w:tc>
        <w:tc>
          <w:tcPr>
            <w:tcW w:w="850" w:type="dxa"/>
            <w:tcBorders>
              <w:bottom w:val="single" w:sz="4" w:space="0" w:color="auto"/>
            </w:tcBorders>
            <w:shd w:val="clear" w:color="auto" w:fill="auto"/>
            <w:vAlign w:val="bottom"/>
          </w:tcPr>
          <w:p w14:paraId="4F6C2FFA" w14:textId="4D216EE4" w:rsidR="003F4D68" w:rsidRPr="002D2F67" w:rsidRDefault="00CD5714" w:rsidP="002D2F67">
            <w:pPr>
              <w:widowControl w:val="0"/>
              <w:ind w:right="-72"/>
              <w:jc w:val="right"/>
              <w:rPr>
                <w:rFonts w:ascii="Arial" w:hAnsi="Arial" w:cs="Arial"/>
                <w:color w:val="000000"/>
                <w:sz w:val="18"/>
                <w:szCs w:val="22"/>
                <w:cs/>
              </w:rPr>
            </w:pPr>
            <w:r w:rsidRPr="00CD5714">
              <w:rPr>
                <w:rFonts w:ascii="Arial" w:hAnsi="Arial" w:cs="Arial"/>
                <w:color w:val="000000"/>
                <w:sz w:val="18"/>
                <w:szCs w:val="22"/>
                <w:lang w:val="en-GB"/>
              </w:rPr>
              <w:t>1</w:t>
            </w:r>
            <w:r w:rsidR="0063372D" w:rsidRPr="002D2F67">
              <w:rPr>
                <w:rFonts w:ascii="Arial" w:hAnsi="Arial" w:cs="Arial"/>
                <w:color w:val="000000"/>
                <w:sz w:val="18"/>
                <w:szCs w:val="22"/>
              </w:rPr>
              <w:t>,</w:t>
            </w:r>
            <w:r w:rsidRPr="00CD5714">
              <w:rPr>
                <w:rFonts w:ascii="Arial" w:hAnsi="Arial" w:cs="Arial"/>
                <w:color w:val="000000"/>
                <w:sz w:val="18"/>
                <w:szCs w:val="22"/>
                <w:lang w:val="en-GB"/>
              </w:rPr>
              <w:t>521</w:t>
            </w:r>
          </w:p>
        </w:tc>
        <w:tc>
          <w:tcPr>
            <w:tcW w:w="849" w:type="dxa"/>
            <w:tcBorders>
              <w:bottom w:val="single" w:sz="4" w:space="0" w:color="auto"/>
            </w:tcBorders>
            <w:shd w:val="clear" w:color="auto" w:fill="auto"/>
            <w:vAlign w:val="bottom"/>
          </w:tcPr>
          <w:p w14:paraId="0479646A" w14:textId="7ACE8B71" w:rsidR="003F4D68" w:rsidRPr="002D2F67" w:rsidRDefault="00CD5714" w:rsidP="002D2F67">
            <w:pPr>
              <w:ind w:right="-72"/>
              <w:jc w:val="right"/>
              <w:rPr>
                <w:rFonts w:ascii="Arial" w:hAnsi="Arial" w:cs="Arial"/>
                <w:color w:val="000000"/>
                <w:sz w:val="18"/>
                <w:szCs w:val="18"/>
              </w:rPr>
            </w:pPr>
            <w:r w:rsidRPr="00CD5714">
              <w:rPr>
                <w:rFonts w:ascii="Arial" w:hAnsi="Arial" w:cs="Arial"/>
                <w:color w:val="000000"/>
                <w:sz w:val="18"/>
                <w:szCs w:val="18"/>
                <w:lang w:val="en-GB"/>
              </w:rPr>
              <w:t>1</w:t>
            </w:r>
            <w:r w:rsidR="003F4D68" w:rsidRPr="002D2F67">
              <w:rPr>
                <w:rFonts w:ascii="Arial" w:hAnsi="Arial" w:cs="Arial"/>
                <w:color w:val="000000"/>
                <w:sz w:val="18"/>
                <w:szCs w:val="18"/>
              </w:rPr>
              <w:t>,</w:t>
            </w:r>
            <w:r w:rsidRPr="00CD5714">
              <w:rPr>
                <w:rFonts w:ascii="Arial" w:hAnsi="Arial" w:cs="Arial"/>
                <w:color w:val="000000"/>
                <w:sz w:val="18"/>
                <w:szCs w:val="18"/>
                <w:lang w:val="en-GB"/>
              </w:rPr>
              <w:t>227</w:t>
            </w:r>
          </w:p>
        </w:tc>
        <w:tc>
          <w:tcPr>
            <w:tcW w:w="850" w:type="dxa"/>
            <w:tcBorders>
              <w:bottom w:val="single" w:sz="4" w:space="0" w:color="auto"/>
            </w:tcBorders>
            <w:shd w:val="clear" w:color="auto" w:fill="auto"/>
            <w:vAlign w:val="bottom"/>
          </w:tcPr>
          <w:p w14:paraId="517AA472" w14:textId="44BE4A00" w:rsidR="003F4D68" w:rsidRPr="002D2F67" w:rsidRDefault="00CD5714" w:rsidP="002D2F67">
            <w:pPr>
              <w:ind w:right="-72"/>
              <w:jc w:val="right"/>
              <w:rPr>
                <w:rFonts w:ascii="Arial" w:hAnsi="Arial" w:cs="Arial"/>
                <w:color w:val="000000"/>
                <w:sz w:val="18"/>
                <w:szCs w:val="18"/>
              </w:rPr>
            </w:pPr>
            <w:r w:rsidRPr="00CD5714">
              <w:rPr>
                <w:rFonts w:ascii="Arial" w:hAnsi="Arial" w:cs="Arial"/>
                <w:color w:val="000000"/>
                <w:sz w:val="18"/>
                <w:szCs w:val="18"/>
                <w:lang w:val="en-GB"/>
              </w:rPr>
              <w:t>1</w:t>
            </w:r>
            <w:r w:rsidR="002D35D4" w:rsidRPr="002D2F67">
              <w:rPr>
                <w:rFonts w:ascii="Arial" w:hAnsi="Arial" w:cs="Arial"/>
                <w:color w:val="000000"/>
                <w:sz w:val="18"/>
                <w:szCs w:val="18"/>
              </w:rPr>
              <w:t>,</w:t>
            </w:r>
            <w:r w:rsidRPr="00CD5714">
              <w:rPr>
                <w:rFonts w:ascii="Arial" w:hAnsi="Arial" w:cs="Arial"/>
                <w:color w:val="000000"/>
                <w:sz w:val="18"/>
                <w:szCs w:val="18"/>
                <w:lang w:val="en-GB"/>
              </w:rPr>
              <w:t>521</w:t>
            </w:r>
          </w:p>
        </w:tc>
        <w:tc>
          <w:tcPr>
            <w:tcW w:w="850" w:type="dxa"/>
            <w:tcBorders>
              <w:bottom w:val="single" w:sz="4" w:space="0" w:color="auto"/>
            </w:tcBorders>
            <w:shd w:val="clear" w:color="auto" w:fill="auto"/>
            <w:vAlign w:val="bottom"/>
          </w:tcPr>
          <w:p w14:paraId="0B69B39B" w14:textId="03A50C17" w:rsidR="003F4D68" w:rsidRPr="002D2F67" w:rsidRDefault="00CD5714" w:rsidP="002D2F67">
            <w:pPr>
              <w:ind w:right="-72"/>
              <w:jc w:val="right"/>
              <w:rPr>
                <w:rFonts w:ascii="Arial" w:hAnsi="Arial" w:cs="Arial"/>
                <w:color w:val="000000"/>
                <w:sz w:val="18"/>
                <w:szCs w:val="18"/>
              </w:rPr>
            </w:pPr>
            <w:r w:rsidRPr="00CD5714">
              <w:rPr>
                <w:rFonts w:ascii="Arial" w:hAnsi="Arial" w:cs="Arial"/>
                <w:color w:val="000000"/>
                <w:sz w:val="18"/>
                <w:szCs w:val="18"/>
                <w:lang w:val="en-GB"/>
              </w:rPr>
              <w:t>1</w:t>
            </w:r>
            <w:r w:rsidR="003F4D68" w:rsidRPr="002D2F67">
              <w:rPr>
                <w:rFonts w:ascii="Arial" w:hAnsi="Arial" w:cs="Arial"/>
                <w:color w:val="000000"/>
                <w:sz w:val="18"/>
                <w:szCs w:val="18"/>
              </w:rPr>
              <w:t>,</w:t>
            </w:r>
            <w:r w:rsidRPr="00CD5714">
              <w:rPr>
                <w:rFonts w:ascii="Arial" w:hAnsi="Arial" w:cs="Arial"/>
                <w:color w:val="000000"/>
                <w:sz w:val="18"/>
                <w:szCs w:val="18"/>
                <w:lang w:val="en-GB"/>
              </w:rPr>
              <w:t>227</w:t>
            </w:r>
          </w:p>
        </w:tc>
      </w:tr>
      <w:tr w:rsidR="003F4D68" w:rsidRPr="002D2F67" w14:paraId="75BF7D66" w14:textId="3E411A95" w:rsidTr="002D2F67">
        <w:trPr>
          <w:cantSplit/>
        </w:trPr>
        <w:tc>
          <w:tcPr>
            <w:tcW w:w="2808" w:type="dxa"/>
            <w:shd w:val="clear" w:color="auto" w:fill="auto"/>
            <w:vAlign w:val="bottom"/>
          </w:tcPr>
          <w:p w14:paraId="6E8EB478" w14:textId="77777777" w:rsidR="003F4D68" w:rsidRPr="002D2F67" w:rsidRDefault="003F4D68" w:rsidP="002D2F67">
            <w:pPr>
              <w:widowControl w:val="0"/>
              <w:ind w:left="72" w:right="-55"/>
              <w:jc w:val="right"/>
              <w:rPr>
                <w:rFonts w:ascii="Arial" w:hAnsi="Arial" w:cs="Arial"/>
                <w:color w:val="000000"/>
                <w:spacing w:val="-2"/>
                <w:sz w:val="12"/>
                <w:szCs w:val="12"/>
              </w:rPr>
            </w:pPr>
          </w:p>
        </w:tc>
        <w:tc>
          <w:tcPr>
            <w:tcW w:w="849" w:type="dxa"/>
            <w:tcBorders>
              <w:top w:val="single" w:sz="4" w:space="0" w:color="auto"/>
            </w:tcBorders>
            <w:shd w:val="clear" w:color="auto" w:fill="auto"/>
            <w:vAlign w:val="bottom"/>
          </w:tcPr>
          <w:p w14:paraId="73AE57ED" w14:textId="77777777" w:rsidR="003F4D68" w:rsidRPr="002D2F67" w:rsidRDefault="003F4D68" w:rsidP="002D2F67">
            <w:pPr>
              <w:widowControl w:val="0"/>
              <w:ind w:right="-72"/>
              <w:jc w:val="right"/>
              <w:rPr>
                <w:rFonts w:ascii="Arial" w:hAnsi="Arial" w:cs="Arial"/>
                <w:color w:val="000000"/>
                <w:sz w:val="12"/>
                <w:szCs w:val="12"/>
                <w:cs/>
              </w:rPr>
            </w:pPr>
          </w:p>
        </w:tc>
        <w:tc>
          <w:tcPr>
            <w:tcW w:w="850" w:type="dxa"/>
            <w:tcBorders>
              <w:top w:val="single" w:sz="4" w:space="0" w:color="auto"/>
            </w:tcBorders>
            <w:shd w:val="clear" w:color="auto" w:fill="auto"/>
            <w:vAlign w:val="bottom"/>
          </w:tcPr>
          <w:p w14:paraId="02701484" w14:textId="77777777" w:rsidR="003F4D68" w:rsidRPr="002D2F67" w:rsidRDefault="003F4D68" w:rsidP="002D2F67">
            <w:pPr>
              <w:widowControl w:val="0"/>
              <w:ind w:right="-72"/>
              <w:jc w:val="right"/>
              <w:rPr>
                <w:rFonts w:ascii="Arial" w:hAnsi="Arial" w:cs="Arial"/>
                <w:color w:val="000000"/>
                <w:sz w:val="12"/>
                <w:szCs w:val="12"/>
                <w:cs/>
              </w:rPr>
            </w:pPr>
          </w:p>
        </w:tc>
        <w:tc>
          <w:tcPr>
            <w:tcW w:w="849" w:type="dxa"/>
            <w:tcBorders>
              <w:top w:val="single" w:sz="4" w:space="0" w:color="auto"/>
            </w:tcBorders>
            <w:shd w:val="clear" w:color="auto" w:fill="auto"/>
            <w:vAlign w:val="bottom"/>
          </w:tcPr>
          <w:p w14:paraId="5507ACA4" w14:textId="77777777" w:rsidR="003F4D68" w:rsidRPr="002D2F67" w:rsidRDefault="003F4D68" w:rsidP="002D2F67">
            <w:pPr>
              <w:widowControl w:val="0"/>
              <w:ind w:right="-72"/>
              <w:jc w:val="right"/>
              <w:rPr>
                <w:rFonts w:ascii="Arial" w:hAnsi="Arial" w:cs="Arial"/>
                <w:color w:val="000000"/>
                <w:sz w:val="12"/>
                <w:szCs w:val="12"/>
                <w:cs/>
              </w:rPr>
            </w:pPr>
          </w:p>
        </w:tc>
        <w:tc>
          <w:tcPr>
            <w:tcW w:w="850" w:type="dxa"/>
            <w:tcBorders>
              <w:top w:val="single" w:sz="4" w:space="0" w:color="auto"/>
            </w:tcBorders>
            <w:shd w:val="clear" w:color="auto" w:fill="auto"/>
            <w:vAlign w:val="bottom"/>
          </w:tcPr>
          <w:p w14:paraId="2276E18D" w14:textId="77777777" w:rsidR="003F4D68" w:rsidRPr="002D2F67" w:rsidRDefault="003F4D68" w:rsidP="002D2F67">
            <w:pPr>
              <w:widowControl w:val="0"/>
              <w:ind w:right="-72"/>
              <w:jc w:val="right"/>
              <w:rPr>
                <w:rFonts w:ascii="Arial" w:hAnsi="Arial" w:cs="Arial"/>
                <w:color w:val="000000"/>
                <w:sz w:val="12"/>
                <w:szCs w:val="12"/>
                <w:cs/>
              </w:rPr>
            </w:pPr>
          </w:p>
        </w:tc>
        <w:tc>
          <w:tcPr>
            <w:tcW w:w="850" w:type="dxa"/>
            <w:tcBorders>
              <w:top w:val="single" w:sz="4" w:space="0" w:color="auto"/>
            </w:tcBorders>
            <w:shd w:val="clear" w:color="auto" w:fill="auto"/>
            <w:vAlign w:val="bottom"/>
          </w:tcPr>
          <w:p w14:paraId="45B7AD1F" w14:textId="77777777" w:rsidR="003F4D68" w:rsidRPr="002D2F67" w:rsidRDefault="003F4D68" w:rsidP="002D2F67">
            <w:pPr>
              <w:widowControl w:val="0"/>
              <w:ind w:right="-72"/>
              <w:jc w:val="right"/>
              <w:rPr>
                <w:rFonts w:ascii="Arial" w:hAnsi="Arial" w:cs="Arial"/>
                <w:color w:val="000000"/>
                <w:sz w:val="12"/>
                <w:szCs w:val="12"/>
                <w:cs/>
              </w:rPr>
            </w:pPr>
          </w:p>
        </w:tc>
        <w:tc>
          <w:tcPr>
            <w:tcW w:w="849" w:type="dxa"/>
            <w:tcBorders>
              <w:top w:val="single" w:sz="4" w:space="0" w:color="auto"/>
            </w:tcBorders>
            <w:shd w:val="clear" w:color="auto" w:fill="auto"/>
            <w:vAlign w:val="bottom"/>
          </w:tcPr>
          <w:p w14:paraId="3279625E" w14:textId="77777777" w:rsidR="003F4D68" w:rsidRPr="002D2F67" w:rsidRDefault="003F4D68" w:rsidP="002D2F67">
            <w:pPr>
              <w:ind w:right="-72"/>
              <w:jc w:val="right"/>
              <w:rPr>
                <w:rFonts w:ascii="Arial" w:hAnsi="Arial" w:cs="Arial"/>
                <w:color w:val="000000"/>
                <w:sz w:val="12"/>
                <w:szCs w:val="12"/>
              </w:rPr>
            </w:pPr>
          </w:p>
        </w:tc>
        <w:tc>
          <w:tcPr>
            <w:tcW w:w="850" w:type="dxa"/>
            <w:tcBorders>
              <w:top w:val="single" w:sz="4" w:space="0" w:color="auto"/>
            </w:tcBorders>
            <w:shd w:val="clear" w:color="auto" w:fill="auto"/>
            <w:vAlign w:val="bottom"/>
          </w:tcPr>
          <w:p w14:paraId="4F2B530F" w14:textId="77777777" w:rsidR="003F4D68" w:rsidRPr="002D2F67" w:rsidRDefault="003F4D68" w:rsidP="002D2F67">
            <w:pPr>
              <w:ind w:right="-72"/>
              <w:jc w:val="right"/>
              <w:rPr>
                <w:rFonts w:ascii="Arial" w:hAnsi="Arial" w:cs="Arial"/>
                <w:color w:val="000000"/>
                <w:sz w:val="12"/>
                <w:szCs w:val="12"/>
              </w:rPr>
            </w:pPr>
          </w:p>
        </w:tc>
        <w:tc>
          <w:tcPr>
            <w:tcW w:w="850" w:type="dxa"/>
            <w:tcBorders>
              <w:top w:val="single" w:sz="4" w:space="0" w:color="auto"/>
            </w:tcBorders>
            <w:shd w:val="clear" w:color="auto" w:fill="auto"/>
            <w:vAlign w:val="bottom"/>
          </w:tcPr>
          <w:p w14:paraId="62A5A117" w14:textId="77777777" w:rsidR="003F4D68" w:rsidRPr="002D2F67" w:rsidRDefault="003F4D68" w:rsidP="002D2F67">
            <w:pPr>
              <w:ind w:right="-72"/>
              <w:jc w:val="right"/>
              <w:rPr>
                <w:rFonts w:ascii="Arial" w:hAnsi="Arial" w:cs="Arial"/>
                <w:color w:val="000000"/>
                <w:sz w:val="12"/>
                <w:szCs w:val="12"/>
              </w:rPr>
            </w:pPr>
          </w:p>
        </w:tc>
      </w:tr>
      <w:tr w:rsidR="003F4D68" w:rsidRPr="002D2F67" w14:paraId="3ECFA3C4" w14:textId="5343CE7C" w:rsidTr="002D2F67">
        <w:trPr>
          <w:cantSplit/>
        </w:trPr>
        <w:tc>
          <w:tcPr>
            <w:tcW w:w="2808" w:type="dxa"/>
            <w:shd w:val="clear" w:color="auto" w:fill="auto"/>
          </w:tcPr>
          <w:p w14:paraId="4E3A964F" w14:textId="08EF76C6" w:rsidR="003F4D68" w:rsidRPr="002D2F67" w:rsidRDefault="003F4D68" w:rsidP="002D2F67">
            <w:pPr>
              <w:widowControl w:val="0"/>
              <w:ind w:left="72" w:right="-55"/>
              <w:rPr>
                <w:rFonts w:ascii="Arial" w:hAnsi="Arial" w:cs="Arial"/>
                <w:color w:val="000000"/>
                <w:spacing w:val="-2"/>
                <w:sz w:val="18"/>
                <w:szCs w:val="18"/>
              </w:rPr>
            </w:pPr>
            <w:r w:rsidRPr="002D2F67">
              <w:rPr>
                <w:rFonts w:ascii="Arial" w:hAnsi="Arial" w:cs="Arial"/>
                <w:color w:val="000000"/>
                <w:spacing w:val="-2"/>
                <w:sz w:val="18"/>
                <w:szCs w:val="18"/>
              </w:rPr>
              <w:t>Total segment revenue</w:t>
            </w:r>
          </w:p>
        </w:tc>
        <w:tc>
          <w:tcPr>
            <w:tcW w:w="849" w:type="dxa"/>
            <w:tcBorders>
              <w:bottom w:val="single" w:sz="4" w:space="0" w:color="auto"/>
            </w:tcBorders>
            <w:shd w:val="clear" w:color="auto" w:fill="auto"/>
            <w:vAlign w:val="bottom"/>
          </w:tcPr>
          <w:p w14:paraId="38A5300A" w14:textId="2256F22D" w:rsidR="003F4D68" w:rsidRPr="002D2F67" w:rsidRDefault="00CD5714" w:rsidP="002D2F67">
            <w:pPr>
              <w:widowControl w:val="0"/>
              <w:ind w:right="-72"/>
              <w:jc w:val="right"/>
              <w:rPr>
                <w:rFonts w:ascii="Arial" w:hAnsi="Arial" w:cs="Arial"/>
                <w:color w:val="000000"/>
                <w:sz w:val="18"/>
                <w:szCs w:val="22"/>
                <w:cs/>
              </w:rPr>
            </w:pPr>
            <w:r w:rsidRPr="00CD5714">
              <w:rPr>
                <w:rFonts w:ascii="Arial" w:hAnsi="Arial" w:cs="Arial"/>
                <w:color w:val="000000"/>
                <w:sz w:val="18"/>
                <w:szCs w:val="22"/>
                <w:lang w:val="en-GB"/>
              </w:rPr>
              <w:t>2</w:t>
            </w:r>
            <w:r w:rsidR="002024EB" w:rsidRPr="002D2F67">
              <w:rPr>
                <w:rFonts w:ascii="Arial" w:hAnsi="Arial" w:cs="Arial"/>
                <w:color w:val="000000"/>
                <w:sz w:val="18"/>
                <w:szCs w:val="22"/>
              </w:rPr>
              <w:t>,</w:t>
            </w:r>
            <w:r w:rsidRPr="00CD5714">
              <w:rPr>
                <w:rFonts w:ascii="Arial" w:hAnsi="Arial" w:cs="Arial"/>
                <w:color w:val="000000"/>
                <w:sz w:val="18"/>
                <w:szCs w:val="22"/>
                <w:lang w:val="en-GB"/>
              </w:rPr>
              <w:t>922</w:t>
            </w:r>
          </w:p>
        </w:tc>
        <w:tc>
          <w:tcPr>
            <w:tcW w:w="850" w:type="dxa"/>
            <w:tcBorders>
              <w:bottom w:val="single" w:sz="4" w:space="0" w:color="auto"/>
            </w:tcBorders>
            <w:shd w:val="clear" w:color="auto" w:fill="auto"/>
            <w:vAlign w:val="bottom"/>
          </w:tcPr>
          <w:p w14:paraId="3430B338" w14:textId="164C0726" w:rsidR="003F4D68" w:rsidRPr="002D2F67" w:rsidRDefault="00CD5714" w:rsidP="002D2F67">
            <w:pPr>
              <w:widowControl w:val="0"/>
              <w:ind w:right="-72"/>
              <w:jc w:val="right"/>
              <w:rPr>
                <w:rFonts w:ascii="Arial" w:hAnsi="Arial" w:cs="Arial"/>
                <w:color w:val="000000"/>
                <w:sz w:val="18"/>
                <w:szCs w:val="22"/>
                <w:cs/>
              </w:rPr>
            </w:pPr>
            <w:r w:rsidRPr="00CD5714">
              <w:rPr>
                <w:rFonts w:ascii="Arial" w:hAnsi="Arial" w:cs="Arial"/>
                <w:color w:val="000000"/>
                <w:sz w:val="18"/>
                <w:szCs w:val="18"/>
                <w:lang w:val="en-GB"/>
              </w:rPr>
              <w:t>4</w:t>
            </w:r>
            <w:r w:rsidR="003F4D68" w:rsidRPr="002D2F67">
              <w:rPr>
                <w:rFonts w:ascii="Arial" w:hAnsi="Arial" w:cs="Arial"/>
                <w:color w:val="000000"/>
                <w:sz w:val="18"/>
                <w:szCs w:val="18"/>
              </w:rPr>
              <w:t>,</w:t>
            </w:r>
            <w:r w:rsidRPr="00CD5714">
              <w:rPr>
                <w:rFonts w:ascii="Arial" w:hAnsi="Arial" w:cs="Arial"/>
                <w:color w:val="000000"/>
                <w:sz w:val="18"/>
                <w:szCs w:val="18"/>
                <w:lang w:val="en-GB"/>
              </w:rPr>
              <w:t>126</w:t>
            </w:r>
          </w:p>
        </w:tc>
        <w:tc>
          <w:tcPr>
            <w:tcW w:w="849" w:type="dxa"/>
            <w:tcBorders>
              <w:bottom w:val="single" w:sz="4" w:space="0" w:color="auto"/>
            </w:tcBorders>
            <w:shd w:val="clear" w:color="auto" w:fill="auto"/>
            <w:vAlign w:val="bottom"/>
          </w:tcPr>
          <w:p w14:paraId="2D15B6D0" w14:textId="4E820798" w:rsidR="003F4D68" w:rsidRPr="002D2F67" w:rsidRDefault="00CD5714" w:rsidP="002D2F67">
            <w:pPr>
              <w:widowControl w:val="0"/>
              <w:ind w:right="-72"/>
              <w:jc w:val="right"/>
              <w:rPr>
                <w:rFonts w:ascii="Arial" w:hAnsi="Arial" w:cs="Arial"/>
                <w:color w:val="000000"/>
                <w:sz w:val="18"/>
                <w:szCs w:val="22"/>
                <w:cs/>
              </w:rPr>
            </w:pPr>
            <w:r w:rsidRPr="00CD5714">
              <w:rPr>
                <w:rFonts w:ascii="Arial" w:hAnsi="Arial" w:cs="Arial"/>
                <w:color w:val="000000"/>
                <w:sz w:val="18"/>
                <w:szCs w:val="22"/>
                <w:lang w:val="en-GB"/>
              </w:rPr>
              <w:t>2</w:t>
            </w:r>
            <w:r w:rsidR="002024EB" w:rsidRPr="002D2F67">
              <w:rPr>
                <w:rFonts w:ascii="Arial" w:hAnsi="Arial" w:cs="Arial"/>
                <w:color w:val="000000"/>
                <w:sz w:val="18"/>
                <w:szCs w:val="22"/>
              </w:rPr>
              <w:t>,</w:t>
            </w:r>
            <w:r w:rsidRPr="00CD5714">
              <w:rPr>
                <w:rFonts w:ascii="Arial" w:hAnsi="Arial" w:cs="Arial"/>
                <w:color w:val="000000"/>
                <w:sz w:val="18"/>
                <w:szCs w:val="22"/>
                <w:lang w:val="en-GB"/>
              </w:rPr>
              <w:t>999</w:t>
            </w:r>
          </w:p>
        </w:tc>
        <w:tc>
          <w:tcPr>
            <w:tcW w:w="850" w:type="dxa"/>
            <w:tcBorders>
              <w:bottom w:val="single" w:sz="4" w:space="0" w:color="auto"/>
            </w:tcBorders>
            <w:shd w:val="clear" w:color="auto" w:fill="auto"/>
            <w:vAlign w:val="bottom"/>
          </w:tcPr>
          <w:p w14:paraId="35131744" w14:textId="03ECAF36" w:rsidR="003F4D68" w:rsidRPr="002D2F67" w:rsidRDefault="00CD5714" w:rsidP="002D2F67">
            <w:pPr>
              <w:widowControl w:val="0"/>
              <w:ind w:right="-72"/>
              <w:jc w:val="right"/>
              <w:rPr>
                <w:rFonts w:ascii="Arial" w:hAnsi="Arial" w:cs="Arial"/>
                <w:color w:val="000000"/>
                <w:sz w:val="18"/>
                <w:szCs w:val="22"/>
                <w:cs/>
              </w:rPr>
            </w:pPr>
            <w:r w:rsidRPr="00CD5714">
              <w:rPr>
                <w:rFonts w:ascii="Arial" w:hAnsi="Arial" w:cs="Arial"/>
                <w:color w:val="000000"/>
                <w:sz w:val="18"/>
                <w:szCs w:val="18"/>
                <w:lang w:val="en-GB"/>
              </w:rPr>
              <w:t>4</w:t>
            </w:r>
            <w:r w:rsidR="003F4D68" w:rsidRPr="002D2F67">
              <w:rPr>
                <w:rFonts w:ascii="Arial" w:hAnsi="Arial" w:cs="Arial"/>
                <w:color w:val="000000"/>
                <w:sz w:val="18"/>
                <w:szCs w:val="18"/>
              </w:rPr>
              <w:t>,</w:t>
            </w:r>
            <w:r w:rsidRPr="00CD5714">
              <w:rPr>
                <w:rFonts w:ascii="Arial" w:hAnsi="Arial" w:cs="Arial"/>
                <w:color w:val="000000"/>
                <w:sz w:val="18"/>
                <w:szCs w:val="18"/>
                <w:lang w:val="en-GB"/>
              </w:rPr>
              <w:t>534</w:t>
            </w:r>
          </w:p>
        </w:tc>
        <w:tc>
          <w:tcPr>
            <w:tcW w:w="850" w:type="dxa"/>
            <w:tcBorders>
              <w:bottom w:val="single" w:sz="4" w:space="0" w:color="auto"/>
            </w:tcBorders>
            <w:shd w:val="clear" w:color="auto" w:fill="auto"/>
            <w:vAlign w:val="bottom"/>
          </w:tcPr>
          <w:p w14:paraId="38704D0B" w14:textId="092ED2EB" w:rsidR="003F4D68" w:rsidRPr="002D2F67" w:rsidRDefault="00CD5714" w:rsidP="002D2F67">
            <w:pPr>
              <w:widowControl w:val="0"/>
              <w:ind w:right="-72"/>
              <w:jc w:val="right"/>
              <w:rPr>
                <w:rFonts w:ascii="Arial" w:hAnsi="Arial" w:cs="Arial"/>
                <w:color w:val="000000"/>
                <w:sz w:val="18"/>
                <w:szCs w:val="22"/>
                <w:cs/>
              </w:rPr>
            </w:pPr>
            <w:r w:rsidRPr="00CD5714">
              <w:rPr>
                <w:rFonts w:ascii="Arial" w:hAnsi="Arial" w:cs="Arial"/>
                <w:color w:val="000000"/>
                <w:sz w:val="18"/>
                <w:szCs w:val="22"/>
                <w:lang w:val="en-GB"/>
              </w:rPr>
              <w:t>3</w:t>
            </w:r>
            <w:r w:rsidR="0063372D" w:rsidRPr="002D2F67">
              <w:rPr>
                <w:rFonts w:ascii="Arial" w:hAnsi="Arial" w:cs="Arial"/>
                <w:color w:val="000000"/>
                <w:sz w:val="18"/>
                <w:szCs w:val="22"/>
              </w:rPr>
              <w:t>,</w:t>
            </w:r>
            <w:r w:rsidRPr="00CD5714">
              <w:rPr>
                <w:rFonts w:ascii="Arial" w:hAnsi="Arial" w:cs="Arial"/>
                <w:color w:val="000000"/>
                <w:sz w:val="18"/>
                <w:szCs w:val="22"/>
                <w:lang w:val="en-GB"/>
              </w:rPr>
              <w:t>603</w:t>
            </w:r>
          </w:p>
        </w:tc>
        <w:tc>
          <w:tcPr>
            <w:tcW w:w="849" w:type="dxa"/>
            <w:tcBorders>
              <w:bottom w:val="single" w:sz="4" w:space="0" w:color="auto"/>
            </w:tcBorders>
            <w:shd w:val="clear" w:color="auto" w:fill="auto"/>
            <w:vAlign w:val="bottom"/>
          </w:tcPr>
          <w:p w14:paraId="47486175" w14:textId="1B7FA044" w:rsidR="003F4D68" w:rsidRPr="002D2F67" w:rsidRDefault="00CD5714" w:rsidP="002D2F67">
            <w:pPr>
              <w:ind w:right="-72"/>
              <w:jc w:val="right"/>
              <w:rPr>
                <w:rFonts w:ascii="Arial" w:hAnsi="Arial" w:cs="Arial"/>
                <w:color w:val="000000"/>
                <w:sz w:val="18"/>
                <w:szCs w:val="18"/>
              </w:rPr>
            </w:pPr>
            <w:r w:rsidRPr="00CD5714">
              <w:rPr>
                <w:rFonts w:ascii="Arial" w:hAnsi="Arial" w:cs="Arial"/>
                <w:color w:val="000000"/>
                <w:sz w:val="18"/>
                <w:szCs w:val="18"/>
                <w:lang w:val="en-GB"/>
              </w:rPr>
              <w:t>13</w:t>
            </w:r>
            <w:r w:rsidR="003F4D68" w:rsidRPr="002D2F67">
              <w:rPr>
                <w:rFonts w:ascii="Arial" w:hAnsi="Arial" w:cs="Arial"/>
                <w:color w:val="000000"/>
                <w:sz w:val="18"/>
                <w:szCs w:val="18"/>
              </w:rPr>
              <w:t>,</w:t>
            </w:r>
            <w:r w:rsidRPr="00CD5714">
              <w:rPr>
                <w:rFonts w:ascii="Arial" w:hAnsi="Arial" w:cs="Arial"/>
                <w:color w:val="000000"/>
                <w:sz w:val="18"/>
                <w:szCs w:val="22"/>
                <w:lang w:val="en-GB"/>
              </w:rPr>
              <w:t>069</w:t>
            </w:r>
          </w:p>
        </w:tc>
        <w:tc>
          <w:tcPr>
            <w:tcW w:w="850" w:type="dxa"/>
            <w:tcBorders>
              <w:bottom w:val="single" w:sz="4" w:space="0" w:color="auto"/>
            </w:tcBorders>
            <w:shd w:val="clear" w:color="auto" w:fill="auto"/>
            <w:vAlign w:val="bottom"/>
          </w:tcPr>
          <w:p w14:paraId="69FC4D0B" w14:textId="07F031A1" w:rsidR="003F4D68" w:rsidRPr="002D2F67" w:rsidRDefault="00CD5714" w:rsidP="002D2F67">
            <w:pPr>
              <w:ind w:right="-72"/>
              <w:jc w:val="right"/>
              <w:rPr>
                <w:rFonts w:ascii="Arial" w:hAnsi="Arial" w:cs="Arial"/>
                <w:color w:val="000000"/>
                <w:sz w:val="18"/>
                <w:szCs w:val="18"/>
              </w:rPr>
            </w:pPr>
            <w:r w:rsidRPr="00CD5714">
              <w:rPr>
                <w:rFonts w:ascii="Arial" w:hAnsi="Arial" w:cs="Arial"/>
                <w:color w:val="000000"/>
                <w:sz w:val="18"/>
                <w:szCs w:val="18"/>
                <w:lang w:val="en-GB"/>
              </w:rPr>
              <w:t>9</w:t>
            </w:r>
            <w:r w:rsidR="002D35D4" w:rsidRPr="002D2F67">
              <w:rPr>
                <w:rFonts w:ascii="Arial" w:hAnsi="Arial" w:cs="Arial"/>
                <w:color w:val="000000"/>
                <w:sz w:val="18"/>
                <w:szCs w:val="18"/>
              </w:rPr>
              <w:t>,</w:t>
            </w:r>
            <w:r w:rsidRPr="00CD5714">
              <w:rPr>
                <w:rFonts w:ascii="Arial" w:hAnsi="Arial" w:cs="Arial"/>
                <w:color w:val="000000"/>
                <w:sz w:val="18"/>
                <w:szCs w:val="18"/>
                <w:lang w:val="en-GB"/>
              </w:rPr>
              <w:t>524</w:t>
            </w:r>
          </w:p>
        </w:tc>
        <w:tc>
          <w:tcPr>
            <w:tcW w:w="850" w:type="dxa"/>
            <w:tcBorders>
              <w:bottom w:val="single" w:sz="4" w:space="0" w:color="auto"/>
            </w:tcBorders>
            <w:shd w:val="clear" w:color="auto" w:fill="auto"/>
            <w:vAlign w:val="bottom"/>
          </w:tcPr>
          <w:p w14:paraId="6B554EB3" w14:textId="0DADB526" w:rsidR="003F4D68" w:rsidRPr="002D2F67" w:rsidRDefault="00CD5714" w:rsidP="002D2F67">
            <w:pPr>
              <w:ind w:right="-72"/>
              <w:jc w:val="right"/>
              <w:rPr>
                <w:rFonts w:ascii="Arial" w:hAnsi="Arial" w:cs="Arial"/>
                <w:color w:val="000000"/>
                <w:sz w:val="18"/>
                <w:szCs w:val="18"/>
              </w:rPr>
            </w:pPr>
            <w:r w:rsidRPr="00CD5714">
              <w:rPr>
                <w:rFonts w:ascii="Arial" w:hAnsi="Arial" w:cs="Arial"/>
                <w:color w:val="000000"/>
                <w:sz w:val="18"/>
                <w:szCs w:val="18"/>
                <w:lang w:val="en-GB"/>
              </w:rPr>
              <w:t>21</w:t>
            </w:r>
            <w:r w:rsidR="003F4D68" w:rsidRPr="002D2F67">
              <w:rPr>
                <w:rFonts w:ascii="Arial" w:hAnsi="Arial" w:cs="Arial"/>
                <w:color w:val="000000"/>
                <w:sz w:val="18"/>
                <w:szCs w:val="18"/>
              </w:rPr>
              <w:t>,</w:t>
            </w:r>
            <w:r w:rsidRPr="00CD5714">
              <w:rPr>
                <w:rFonts w:ascii="Arial" w:hAnsi="Arial" w:cs="Arial"/>
                <w:color w:val="000000"/>
                <w:sz w:val="18"/>
                <w:szCs w:val="22"/>
                <w:lang w:val="en-GB"/>
              </w:rPr>
              <w:t>729</w:t>
            </w:r>
          </w:p>
        </w:tc>
      </w:tr>
    </w:tbl>
    <w:p w14:paraId="6FC1EDEE" w14:textId="7DD1AC48" w:rsidR="008B0A0C" w:rsidRPr="002D2F67" w:rsidRDefault="008B0A0C" w:rsidP="005611FE">
      <w:pPr>
        <w:pStyle w:val="BodyTextIndent2"/>
        <w:spacing w:line="240" w:lineRule="auto"/>
        <w:ind w:left="0"/>
        <w:jc w:val="thaiDistribute"/>
        <w:rPr>
          <w:rFonts w:ascii="Arial" w:hAnsi="Arial" w:cs="Arial"/>
          <w:sz w:val="16"/>
          <w:szCs w:val="16"/>
        </w:rPr>
      </w:pPr>
    </w:p>
    <w:p w14:paraId="74DE212C" w14:textId="01CFE4B1" w:rsidR="00C445AF" w:rsidRPr="002D2F67" w:rsidRDefault="00C445AF" w:rsidP="005611FE">
      <w:pPr>
        <w:pStyle w:val="BodyTextIndent2"/>
        <w:spacing w:line="240" w:lineRule="auto"/>
        <w:ind w:left="0"/>
        <w:jc w:val="thaiDistribute"/>
        <w:rPr>
          <w:rFonts w:ascii="Arial" w:hAnsi="Arial" w:cs="Arial"/>
        </w:rPr>
      </w:pPr>
      <w:r w:rsidRPr="002D2F67">
        <w:rPr>
          <w:rFonts w:ascii="Arial" w:hAnsi="Arial" w:cs="Arial"/>
          <w:spacing w:val="-4"/>
        </w:rPr>
        <w:t xml:space="preserve">The Group generates revenue from sales and services by utilising </w:t>
      </w:r>
      <w:proofErr w:type="gramStart"/>
      <w:r w:rsidRPr="002D2F67">
        <w:rPr>
          <w:rFonts w:ascii="Arial" w:hAnsi="Arial" w:cs="Arial"/>
          <w:spacing w:val="-4"/>
        </w:rPr>
        <w:t>the majority of</w:t>
      </w:r>
      <w:proofErr w:type="gramEnd"/>
      <w:r w:rsidRPr="002D2F67">
        <w:rPr>
          <w:rFonts w:ascii="Arial" w:hAnsi="Arial" w:cs="Arial"/>
          <w:spacing w:val="-4"/>
        </w:rPr>
        <w:t xml:space="preserve"> assets located in Thailand and</w:t>
      </w:r>
      <w:r w:rsidRPr="002D2F67">
        <w:rPr>
          <w:rFonts w:ascii="Arial" w:hAnsi="Arial" w:cs="Arial"/>
        </w:rPr>
        <w:t xml:space="preserve"> oversea</w:t>
      </w:r>
      <w:r w:rsidR="00967A61" w:rsidRPr="002D2F67">
        <w:rPr>
          <w:rFonts w:ascii="Arial" w:hAnsi="Arial" w:cs="Arial"/>
        </w:rPr>
        <w:t>s</w:t>
      </w:r>
      <w:r w:rsidRPr="002D2F67">
        <w:rPr>
          <w:rFonts w:ascii="Arial" w:hAnsi="Arial" w:cs="Arial"/>
        </w:rPr>
        <w:t>. The proportions are shown as follows:</w:t>
      </w:r>
    </w:p>
    <w:p w14:paraId="1FBD6488" w14:textId="77777777" w:rsidR="002D2F67" w:rsidRPr="002D2F67" w:rsidRDefault="002D2F67" w:rsidP="005611FE">
      <w:pPr>
        <w:pStyle w:val="BodyTextIndent2"/>
        <w:spacing w:line="240" w:lineRule="auto"/>
        <w:ind w:left="0"/>
        <w:jc w:val="thaiDistribute"/>
        <w:rPr>
          <w:rFonts w:ascii="Arial" w:hAnsi="Arial" w:cs="Arial"/>
          <w:sz w:val="16"/>
          <w:szCs w:val="16"/>
        </w:rPr>
      </w:pPr>
    </w:p>
    <w:tbl>
      <w:tblPr>
        <w:tblW w:w="0" w:type="auto"/>
        <w:tblInd w:w="108" w:type="dxa"/>
        <w:tblLook w:val="04A0" w:firstRow="1" w:lastRow="0" w:firstColumn="1" w:lastColumn="0" w:noHBand="0" w:noVBand="1"/>
      </w:tblPr>
      <w:tblGrid>
        <w:gridCol w:w="5665"/>
        <w:gridCol w:w="1890"/>
        <w:gridCol w:w="1894"/>
      </w:tblGrid>
      <w:tr w:rsidR="00C445AF" w:rsidRPr="002D2F67" w14:paraId="132BF280" w14:textId="77777777" w:rsidTr="008255E8">
        <w:tc>
          <w:tcPr>
            <w:tcW w:w="5665" w:type="dxa"/>
            <w:shd w:val="clear" w:color="auto" w:fill="auto"/>
          </w:tcPr>
          <w:p w14:paraId="395C060D" w14:textId="77777777" w:rsidR="00C445AF" w:rsidRPr="002D2F67" w:rsidRDefault="00C445AF" w:rsidP="005611FE">
            <w:pPr>
              <w:ind w:left="-103"/>
              <w:jc w:val="thaiDistribute"/>
              <w:rPr>
                <w:rFonts w:ascii="Arial" w:hAnsi="Arial" w:cs="Arial"/>
                <w:color w:val="000000"/>
                <w:sz w:val="20"/>
                <w:szCs w:val="20"/>
              </w:rPr>
            </w:pPr>
          </w:p>
        </w:tc>
        <w:tc>
          <w:tcPr>
            <w:tcW w:w="3784" w:type="dxa"/>
            <w:gridSpan w:val="2"/>
            <w:tcBorders>
              <w:bottom w:val="single" w:sz="4" w:space="0" w:color="auto"/>
            </w:tcBorders>
            <w:shd w:val="clear" w:color="auto" w:fill="auto"/>
          </w:tcPr>
          <w:p w14:paraId="1A60EB34" w14:textId="1DA63256" w:rsidR="00C445AF" w:rsidRPr="002D2F67" w:rsidRDefault="00C445AF" w:rsidP="005611FE">
            <w:pPr>
              <w:ind w:right="-81"/>
              <w:jc w:val="right"/>
              <w:rPr>
                <w:rFonts w:ascii="Arial" w:hAnsi="Arial" w:cs="Arial"/>
                <w:b/>
                <w:bCs/>
                <w:color w:val="000000"/>
                <w:sz w:val="20"/>
                <w:szCs w:val="20"/>
                <w:cs/>
              </w:rPr>
            </w:pPr>
            <w:r w:rsidRPr="002D2F67">
              <w:rPr>
                <w:rFonts w:ascii="Arial" w:hAnsi="Arial" w:cs="Arial"/>
                <w:b/>
                <w:bCs/>
                <w:color w:val="000000"/>
                <w:sz w:val="20"/>
                <w:szCs w:val="20"/>
              </w:rPr>
              <w:t>Consolidated financial statements</w:t>
            </w:r>
          </w:p>
        </w:tc>
      </w:tr>
      <w:tr w:rsidR="00C445AF" w:rsidRPr="002D2F67" w14:paraId="7984579D" w14:textId="77777777" w:rsidTr="005611FE">
        <w:tc>
          <w:tcPr>
            <w:tcW w:w="5665" w:type="dxa"/>
            <w:shd w:val="clear" w:color="auto" w:fill="auto"/>
          </w:tcPr>
          <w:p w14:paraId="1802CC5A" w14:textId="77777777" w:rsidR="00C445AF" w:rsidRPr="002D2F67" w:rsidRDefault="00C445AF" w:rsidP="005611FE">
            <w:pPr>
              <w:ind w:left="-103"/>
              <w:jc w:val="thaiDistribute"/>
              <w:rPr>
                <w:rFonts w:ascii="Arial" w:hAnsi="Arial" w:cs="Arial"/>
                <w:color w:val="000000"/>
                <w:sz w:val="20"/>
                <w:szCs w:val="20"/>
              </w:rPr>
            </w:pPr>
          </w:p>
        </w:tc>
        <w:tc>
          <w:tcPr>
            <w:tcW w:w="3784" w:type="dxa"/>
            <w:gridSpan w:val="2"/>
            <w:tcBorders>
              <w:top w:val="single" w:sz="4" w:space="0" w:color="auto"/>
              <w:bottom w:val="single" w:sz="4" w:space="0" w:color="auto"/>
            </w:tcBorders>
            <w:shd w:val="clear" w:color="auto" w:fill="auto"/>
          </w:tcPr>
          <w:p w14:paraId="3E6666D9" w14:textId="11B69A11" w:rsidR="00C445AF" w:rsidRPr="002D2F67" w:rsidRDefault="00C445AF" w:rsidP="005611FE">
            <w:pPr>
              <w:ind w:right="-81"/>
              <w:jc w:val="right"/>
              <w:rPr>
                <w:rFonts w:ascii="Arial" w:hAnsi="Arial" w:cs="Arial"/>
                <w:b/>
                <w:bCs/>
                <w:color w:val="000000"/>
                <w:sz w:val="20"/>
                <w:szCs w:val="20"/>
                <w:cs/>
              </w:rPr>
            </w:pPr>
            <w:r w:rsidRPr="002D2F67">
              <w:rPr>
                <w:rFonts w:ascii="Arial" w:hAnsi="Arial" w:cs="Arial"/>
                <w:b/>
                <w:bCs/>
                <w:color w:val="000000"/>
                <w:sz w:val="20"/>
                <w:szCs w:val="20"/>
              </w:rPr>
              <w:t>Proportion of sales by region</w:t>
            </w:r>
          </w:p>
        </w:tc>
      </w:tr>
      <w:tr w:rsidR="00BA4595" w:rsidRPr="002D2F67" w14:paraId="50643E52" w14:textId="77777777" w:rsidTr="005611FE">
        <w:tc>
          <w:tcPr>
            <w:tcW w:w="5665" w:type="dxa"/>
            <w:shd w:val="clear" w:color="auto" w:fill="auto"/>
          </w:tcPr>
          <w:p w14:paraId="6522187F" w14:textId="133068FA" w:rsidR="00BA4595" w:rsidRPr="002D2F67" w:rsidRDefault="00BA4595" w:rsidP="005611FE">
            <w:pPr>
              <w:ind w:left="-103"/>
              <w:jc w:val="thaiDistribute"/>
              <w:rPr>
                <w:rFonts w:ascii="Arial" w:hAnsi="Arial" w:cs="Arial"/>
                <w:b/>
                <w:bCs/>
                <w:color w:val="000000"/>
                <w:sz w:val="20"/>
                <w:szCs w:val="20"/>
              </w:rPr>
            </w:pPr>
            <w:r w:rsidRPr="002D2F67">
              <w:rPr>
                <w:rFonts w:ascii="Arial" w:hAnsi="Arial" w:cs="Arial"/>
                <w:b/>
                <w:bCs/>
                <w:color w:val="000000"/>
                <w:sz w:val="20"/>
                <w:szCs w:val="20"/>
              </w:rPr>
              <w:t>For the year</w:t>
            </w:r>
            <w:r w:rsidR="00DD0A5A" w:rsidRPr="002D2F67">
              <w:rPr>
                <w:rFonts w:ascii="Arial" w:hAnsi="Arial" w:cs="Arial"/>
                <w:b/>
                <w:bCs/>
                <w:color w:val="000000"/>
                <w:sz w:val="20"/>
                <w:szCs w:val="20"/>
              </w:rPr>
              <w:t>s</w:t>
            </w:r>
            <w:r w:rsidRPr="002D2F67">
              <w:rPr>
                <w:rFonts w:ascii="Arial" w:hAnsi="Arial" w:cs="Arial"/>
                <w:b/>
                <w:bCs/>
                <w:color w:val="000000"/>
                <w:sz w:val="20"/>
                <w:szCs w:val="20"/>
              </w:rPr>
              <w:t xml:space="preserve"> ended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w:t>
            </w:r>
          </w:p>
        </w:tc>
        <w:tc>
          <w:tcPr>
            <w:tcW w:w="1890" w:type="dxa"/>
            <w:tcBorders>
              <w:top w:val="single" w:sz="4" w:space="0" w:color="auto"/>
            </w:tcBorders>
            <w:shd w:val="clear" w:color="auto" w:fill="auto"/>
          </w:tcPr>
          <w:p w14:paraId="6812A0B8" w14:textId="6E320C60" w:rsidR="00BA4595" w:rsidRPr="002D2F67" w:rsidRDefault="00CD5714" w:rsidP="005611FE">
            <w:pPr>
              <w:ind w:right="-81"/>
              <w:jc w:val="right"/>
              <w:rPr>
                <w:rFonts w:ascii="Arial" w:hAnsi="Arial" w:cs="Arial"/>
                <w:color w:val="000000"/>
                <w:sz w:val="20"/>
                <w:szCs w:val="20"/>
              </w:rPr>
            </w:pPr>
            <w:r w:rsidRPr="00CD5714">
              <w:rPr>
                <w:rFonts w:ascii="Arial" w:hAnsi="Arial" w:cs="Arial"/>
                <w:b/>
                <w:bCs/>
                <w:color w:val="000000"/>
                <w:sz w:val="20"/>
                <w:szCs w:val="20"/>
                <w:lang w:val="en-GB"/>
              </w:rPr>
              <w:t>2024</w:t>
            </w:r>
          </w:p>
        </w:tc>
        <w:tc>
          <w:tcPr>
            <w:tcW w:w="1894" w:type="dxa"/>
            <w:tcBorders>
              <w:top w:val="single" w:sz="4" w:space="0" w:color="auto"/>
            </w:tcBorders>
            <w:shd w:val="clear" w:color="auto" w:fill="auto"/>
          </w:tcPr>
          <w:p w14:paraId="2DAC91DB" w14:textId="5587D192" w:rsidR="00BA4595" w:rsidRPr="002D2F67" w:rsidRDefault="00CD5714" w:rsidP="005611FE">
            <w:pPr>
              <w:ind w:right="-81"/>
              <w:jc w:val="right"/>
              <w:rPr>
                <w:rFonts w:ascii="Arial" w:hAnsi="Arial" w:cs="Arial"/>
                <w:color w:val="000000"/>
                <w:sz w:val="20"/>
                <w:szCs w:val="20"/>
              </w:rPr>
            </w:pPr>
            <w:r w:rsidRPr="00CD5714">
              <w:rPr>
                <w:rFonts w:ascii="Arial" w:hAnsi="Arial" w:cs="Arial"/>
                <w:b/>
                <w:bCs/>
                <w:color w:val="000000"/>
                <w:sz w:val="20"/>
                <w:szCs w:val="20"/>
                <w:lang w:val="en-GB"/>
              </w:rPr>
              <w:t>2023</w:t>
            </w:r>
          </w:p>
        </w:tc>
      </w:tr>
      <w:tr w:rsidR="00C445AF" w:rsidRPr="002D2F67" w14:paraId="6EECBF8F" w14:textId="77777777" w:rsidTr="005611FE">
        <w:trPr>
          <w:trHeight w:val="207"/>
        </w:trPr>
        <w:tc>
          <w:tcPr>
            <w:tcW w:w="5665" w:type="dxa"/>
            <w:shd w:val="clear" w:color="auto" w:fill="auto"/>
          </w:tcPr>
          <w:p w14:paraId="30B7BFBC" w14:textId="77777777" w:rsidR="00C445AF" w:rsidRPr="002D2F67" w:rsidRDefault="00C445AF" w:rsidP="005611FE">
            <w:pPr>
              <w:ind w:left="-103"/>
              <w:jc w:val="thaiDistribute"/>
              <w:rPr>
                <w:rFonts w:ascii="Arial" w:hAnsi="Arial" w:cs="Arial"/>
                <w:color w:val="000000"/>
                <w:sz w:val="20"/>
                <w:szCs w:val="20"/>
              </w:rPr>
            </w:pPr>
          </w:p>
        </w:tc>
        <w:tc>
          <w:tcPr>
            <w:tcW w:w="1890" w:type="dxa"/>
            <w:tcBorders>
              <w:bottom w:val="single" w:sz="4" w:space="0" w:color="auto"/>
            </w:tcBorders>
            <w:shd w:val="clear" w:color="auto" w:fill="auto"/>
          </w:tcPr>
          <w:p w14:paraId="14435103" w14:textId="27D2E78A" w:rsidR="00C445AF" w:rsidRPr="002D2F67" w:rsidRDefault="00C445AF" w:rsidP="005611FE">
            <w:pPr>
              <w:ind w:right="-81"/>
              <w:jc w:val="right"/>
              <w:rPr>
                <w:rFonts w:ascii="Arial" w:hAnsi="Arial" w:cs="Arial"/>
                <w:b/>
                <w:bCs/>
                <w:color w:val="000000"/>
                <w:sz w:val="20"/>
                <w:szCs w:val="20"/>
                <w:cs/>
              </w:rPr>
            </w:pPr>
            <w:r w:rsidRPr="002D2F67">
              <w:rPr>
                <w:rFonts w:ascii="Arial" w:hAnsi="Arial" w:cs="Arial"/>
                <w:b/>
                <w:bCs/>
                <w:color w:val="000000"/>
                <w:sz w:val="20"/>
                <w:szCs w:val="20"/>
              </w:rPr>
              <w:t>%</w:t>
            </w:r>
          </w:p>
        </w:tc>
        <w:tc>
          <w:tcPr>
            <w:tcW w:w="1894" w:type="dxa"/>
            <w:tcBorders>
              <w:bottom w:val="single" w:sz="4" w:space="0" w:color="auto"/>
            </w:tcBorders>
            <w:shd w:val="clear" w:color="auto" w:fill="auto"/>
          </w:tcPr>
          <w:p w14:paraId="75879F07" w14:textId="255846A1" w:rsidR="00C445AF" w:rsidRPr="002D2F67" w:rsidRDefault="00C445AF" w:rsidP="005611FE">
            <w:pPr>
              <w:ind w:right="-81"/>
              <w:jc w:val="right"/>
              <w:rPr>
                <w:rFonts w:ascii="Arial" w:hAnsi="Arial" w:cs="Arial"/>
                <w:b/>
                <w:bCs/>
                <w:color w:val="000000"/>
                <w:sz w:val="20"/>
                <w:szCs w:val="20"/>
                <w:cs/>
              </w:rPr>
            </w:pPr>
            <w:r w:rsidRPr="002D2F67">
              <w:rPr>
                <w:rFonts w:ascii="Arial" w:hAnsi="Arial" w:cs="Arial"/>
                <w:b/>
                <w:bCs/>
                <w:color w:val="000000"/>
                <w:sz w:val="20"/>
                <w:szCs w:val="20"/>
              </w:rPr>
              <w:t>%</w:t>
            </w:r>
          </w:p>
        </w:tc>
      </w:tr>
      <w:tr w:rsidR="0016481E" w:rsidRPr="002D2F67" w14:paraId="107CC52D" w14:textId="77777777" w:rsidTr="005611FE">
        <w:tc>
          <w:tcPr>
            <w:tcW w:w="5665" w:type="dxa"/>
            <w:shd w:val="clear" w:color="auto" w:fill="auto"/>
          </w:tcPr>
          <w:p w14:paraId="0B7DC012" w14:textId="724BF1B7" w:rsidR="0016481E" w:rsidRPr="002D2F67" w:rsidRDefault="0016481E" w:rsidP="005611FE">
            <w:pPr>
              <w:ind w:left="-103"/>
              <w:jc w:val="thaiDistribute"/>
              <w:rPr>
                <w:rFonts w:ascii="Arial" w:hAnsi="Arial" w:cs="Arial"/>
                <w:color w:val="000000"/>
                <w:sz w:val="12"/>
                <w:szCs w:val="12"/>
                <w:cs/>
              </w:rPr>
            </w:pPr>
          </w:p>
        </w:tc>
        <w:tc>
          <w:tcPr>
            <w:tcW w:w="1890" w:type="dxa"/>
            <w:tcBorders>
              <w:top w:val="single" w:sz="4" w:space="0" w:color="auto"/>
            </w:tcBorders>
            <w:shd w:val="clear" w:color="auto" w:fill="auto"/>
          </w:tcPr>
          <w:p w14:paraId="723E3466" w14:textId="2A2F43E2" w:rsidR="0016481E" w:rsidRPr="002D2F67" w:rsidRDefault="0016481E" w:rsidP="005611FE">
            <w:pPr>
              <w:ind w:right="-81"/>
              <w:jc w:val="right"/>
              <w:rPr>
                <w:rFonts w:ascii="Arial" w:hAnsi="Arial" w:cs="Arial"/>
                <w:color w:val="000000"/>
                <w:sz w:val="12"/>
                <w:szCs w:val="12"/>
              </w:rPr>
            </w:pPr>
          </w:p>
        </w:tc>
        <w:tc>
          <w:tcPr>
            <w:tcW w:w="1894" w:type="dxa"/>
            <w:tcBorders>
              <w:top w:val="single" w:sz="4" w:space="0" w:color="auto"/>
            </w:tcBorders>
            <w:shd w:val="clear" w:color="auto" w:fill="auto"/>
          </w:tcPr>
          <w:p w14:paraId="576D204B" w14:textId="5D1C8536" w:rsidR="0016481E" w:rsidRPr="002D2F67" w:rsidRDefault="0016481E" w:rsidP="005611FE">
            <w:pPr>
              <w:ind w:right="-81"/>
              <w:jc w:val="right"/>
              <w:rPr>
                <w:rFonts w:ascii="Arial" w:hAnsi="Arial" w:cs="Arial"/>
                <w:color w:val="000000"/>
                <w:sz w:val="12"/>
                <w:szCs w:val="12"/>
              </w:rPr>
            </w:pPr>
          </w:p>
        </w:tc>
      </w:tr>
      <w:tr w:rsidR="003F4D68" w:rsidRPr="002D2F67" w14:paraId="315F82CE" w14:textId="77777777" w:rsidTr="005611FE">
        <w:tc>
          <w:tcPr>
            <w:tcW w:w="5665" w:type="dxa"/>
            <w:shd w:val="clear" w:color="auto" w:fill="auto"/>
          </w:tcPr>
          <w:p w14:paraId="50D88453" w14:textId="15C2D89C" w:rsidR="003F4D68" w:rsidRPr="002D2F67" w:rsidRDefault="003F4D68" w:rsidP="005611FE">
            <w:pPr>
              <w:ind w:left="-103"/>
              <w:jc w:val="thaiDistribute"/>
              <w:rPr>
                <w:rFonts w:ascii="Arial" w:hAnsi="Arial" w:cs="Arial"/>
                <w:color w:val="000000"/>
                <w:sz w:val="20"/>
                <w:szCs w:val="20"/>
              </w:rPr>
            </w:pPr>
            <w:r w:rsidRPr="002D2F67">
              <w:rPr>
                <w:rFonts w:ascii="Arial" w:hAnsi="Arial" w:cs="Arial"/>
                <w:color w:val="000000"/>
                <w:sz w:val="20"/>
                <w:szCs w:val="20"/>
              </w:rPr>
              <w:t>Thailand</w:t>
            </w:r>
          </w:p>
        </w:tc>
        <w:tc>
          <w:tcPr>
            <w:tcW w:w="1890" w:type="dxa"/>
            <w:shd w:val="clear" w:color="auto" w:fill="auto"/>
          </w:tcPr>
          <w:p w14:paraId="1D593B99" w14:textId="4710E37C" w:rsidR="003F4D68" w:rsidRPr="002D2F67" w:rsidRDefault="00CD5714" w:rsidP="005611FE">
            <w:pPr>
              <w:ind w:right="-81"/>
              <w:jc w:val="right"/>
              <w:rPr>
                <w:rFonts w:ascii="Arial" w:hAnsi="Arial" w:cs="Arial"/>
                <w:color w:val="000000"/>
                <w:sz w:val="20"/>
                <w:szCs w:val="20"/>
              </w:rPr>
            </w:pPr>
            <w:r w:rsidRPr="00CD5714">
              <w:rPr>
                <w:rFonts w:ascii="Arial" w:hAnsi="Arial" w:cs="Arial"/>
                <w:color w:val="000000"/>
                <w:sz w:val="20"/>
                <w:szCs w:val="20"/>
                <w:lang w:val="en-GB"/>
              </w:rPr>
              <w:t>99</w:t>
            </w:r>
          </w:p>
        </w:tc>
        <w:tc>
          <w:tcPr>
            <w:tcW w:w="1894" w:type="dxa"/>
            <w:shd w:val="clear" w:color="auto" w:fill="auto"/>
          </w:tcPr>
          <w:p w14:paraId="03500F16" w14:textId="0095EDFA" w:rsidR="003F4D68" w:rsidRPr="002D2F67" w:rsidRDefault="00CD5714" w:rsidP="005611FE">
            <w:pPr>
              <w:ind w:right="-81"/>
              <w:jc w:val="right"/>
              <w:rPr>
                <w:rFonts w:ascii="Arial" w:hAnsi="Arial" w:cs="Arial"/>
                <w:color w:val="000000"/>
                <w:sz w:val="20"/>
                <w:szCs w:val="20"/>
              </w:rPr>
            </w:pPr>
            <w:r w:rsidRPr="00CD5714">
              <w:rPr>
                <w:rFonts w:ascii="Arial" w:hAnsi="Arial" w:cs="Arial"/>
                <w:color w:val="000000"/>
                <w:sz w:val="20"/>
                <w:szCs w:val="20"/>
                <w:lang w:val="en-GB"/>
              </w:rPr>
              <w:t>99</w:t>
            </w:r>
          </w:p>
        </w:tc>
      </w:tr>
      <w:tr w:rsidR="003F4D68" w:rsidRPr="002D2F67" w14:paraId="1FADCB08" w14:textId="77777777" w:rsidTr="005611FE">
        <w:tc>
          <w:tcPr>
            <w:tcW w:w="5665" w:type="dxa"/>
            <w:shd w:val="clear" w:color="auto" w:fill="auto"/>
          </w:tcPr>
          <w:p w14:paraId="1DA5005A" w14:textId="2364CF8B" w:rsidR="003F4D68" w:rsidRPr="002D2F67" w:rsidRDefault="003F4D68" w:rsidP="005611FE">
            <w:pPr>
              <w:ind w:left="-103"/>
              <w:jc w:val="thaiDistribute"/>
              <w:rPr>
                <w:rFonts w:ascii="Arial" w:hAnsi="Arial" w:cs="Arial"/>
                <w:color w:val="000000"/>
                <w:sz w:val="20"/>
                <w:szCs w:val="20"/>
              </w:rPr>
            </w:pPr>
            <w:r w:rsidRPr="002D2F67">
              <w:rPr>
                <w:rFonts w:ascii="Arial" w:hAnsi="Arial" w:cs="Arial"/>
                <w:color w:val="000000"/>
                <w:sz w:val="20"/>
                <w:szCs w:val="20"/>
              </w:rPr>
              <w:t>Overseas</w:t>
            </w:r>
          </w:p>
        </w:tc>
        <w:tc>
          <w:tcPr>
            <w:tcW w:w="1890" w:type="dxa"/>
            <w:shd w:val="clear" w:color="auto" w:fill="auto"/>
          </w:tcPr>
          <w:p w14:paraId="5E0B4E97" w14:textId="77FAAD2B" w:rsidR="003F4D68" w:rsidRPr="002D2F67" w:rsidRDefault="00CD5714" w:rsidP="005611FE">
            <w:pPr>
              <w:ind w:right="-81"/>
              <w:jc w:val="right"/>
              <w:rPr>
                <w:rFonts w:ascii="Arial" w:hAnsi="Arial" w:cs="Arial"/>
                <w:color w:val="000000"/>
                <w:sz w:val="20"/>
                <w:szCs w:val="20"/>
              </w:rPr>
            </w:pPr>
            <w:r w:rsidRPr="00CD5714">
              <w:rPr>
                <w:rFonts w:ascii="Arial" w:hAnsi="Arial" w:cs="Arial"/>
                <w:color w:val="000000"/>
                <w:sz w:val="20"/>
                <w:szCs w:val="20"/>
                <w:lang w:val="en-GB"/>
              </w:rPr>
              <w:t>1</w:t>
            </w:r>
          </w:p>
        </w:tc>
        <w:tc>
          <w:tcPr>
            <w:tcW w:w="1894" w:type="dxa"/>
            <w:shd w:val="clear" w:color="auto" w:fill="auto"/>
          </w:tcPr>
          <w:p w14:paraId="72D2E526" w14:textId="2B021425" w:rsidR="003F4D68" w:rsidRPr="002D2F67" w:rsidRDefault="00CD5714" w:rsidP="005611FE">
            <w:pPr>
              <w:ind w:right="-81"/>
              <w:jc w:val="right"/>
              <w:rPr>
                <w:rFonts w:ascii="Arial" w:hAnsi="Arial" w:cs="Arial"/>
                <w:color w:val="000000"/>
                <w:sz w:val="20"/>
                <w:szCs w:val="20"/>
              </w:rPr>
            </w:pPr>
            <w:r w:rsidRPr="00CD5714">
              <w:rPr>
                <w:rFonts w:ascii="Arial" w:hAnsi="Arial" w:cs="Arial"/>
                <w:color w:val="000000"/>
                <w:sz w:val="20"/>
                <w:szCs w:val="20"/>
                <w:lang w:val="en-GB"/>
              </w:rPr>
              <w:t>1</w:t>
            </w:r>
          </w:p>
        </w:tc>
      </w:tr>
    </w:tbl>
    <w:p w14:paraId="7B379505" w14:textId="561624EE" w:rsidR="0097172D" w:rsidRPr="002D2F67" w:rsidRDefault="0097172D" w:rsidP="005611FE">
      <w:pPr>
        <w:pStyle w:val="BodyTextIndent2"/>
        <w:spacing w:line="240" w:lineRule="auto"/>
        <w:ind w:left="0"/>
        <w:jc w:val="thaiDistribute"/>
        <w:rPr>
          <w:rFonts w:ascii="Arial" w:hAnsi="Arial" w:cs="Arial"/>
          <w:sz w:val="16"/>
          <w:szCs w:val="16"/>
        </w:rPr>
      </w:pPr>
    </w:p>
    <w:p w14:paraId="2A9398FA" w14:textId="577E2EB4" w:rsidR="00602F43" w:rsidRPr="002D2F67" w:rsidRDefault="0053164F" w:rsidP="005611FE">
      <w:pPr>
        <w:pStyle w:val="BodyTextIndent2"/>
        <w:spacing w:line="240" w:lineRule="auto"/>
        <w:ind w:left="0"/>
        <w:rPr>
          <w:rFonts w:ascii="Arial" w:hAnsi="Arial" w:cs="Arial"/>
          <w:b/>
          <w:bCs/>
          <w:spacing w:val="-2"/>
        </w:rPr>
      </w:pPr>
      <w:r w:rsidRPr="002D2F67">
        <w:rPr>
          <w:rFonts w:ascii="Arial" w:hAnsi="Arial" w:cs="Arial"/>
          <w:b/>
          <w:bCs/>
          <w:spacing w:val="-2"/>
        </w:rPr>
        <w:t>Major Customers</w:t>
      </w:r>
    </w:p>
    <w:p w14:paraId="1ED2A195" w14:textId="118DA414" w:rsidR="0053164F" w:rsidRPr="002D2F67" w:rsidRDefault="0053164F" w:rsidP="005611FE">
      <w:pPr>
        <w:pStyle w:val="BodyTextIndent2"/>
        <w:spacing w:line="240" w:lineRule="auto"/>
        <w:ind w:left="0"/>
        <w:jc w:val="thaiDistribute"/>
        <w:rPr>
          <w:rFonts w:ascii="Arial" w:hAnsi="Arial" w:cs="Arial"/>
          <w:sz w:val="16"/>
          <w:szCs w:val="16"/>
        </w:rPr>
      </w:pPr>
    </w:p>
    <w:p w14:paraId="50A476CE" w14:textId="3ABA1CF4" w:rsidR="00753B73" w:rsidRPr="002D2F67" w:rsidRDefault="005936C3" w:rsidP="005611FE">
      <w:pPr>
        <w:pStyle w:val="BodyTextIndent2"/>
        <w:ind w:left="0"/>
        <w:jc w:val="thaiDistribute"/>
        <w:rPr>
          <w:rFonts w:ascii="Arial" w:hAnsi="Arial" w:cs="Arial"/>
          <w:spacing w:val="-2"/>
        </w:rPr>
      </w:pPr>
      <w:r w:rsidRPr="002D2F67">
        <w:rPr>
          <w:rFonts w:ascii="Arial" w:hAnsi="Arial" w:cs="Arial"/>
          <w:spacing w:val="-2"/>
        </w:rPr>
        <w:t xml:space="preserve">For the year ended </w:t>
      </w:r>
      <w:r w:rsidR="00CD5714" w:rsidRPr="00CD5714">
        <w:rPr>
          <w:rFonts w:ascii="Arial" w:hAnsi="Arial" w:cs="Arial"/>
          <w:spacing w:val="-2"/>
          <w:lang w:val="en-GB"/>
        </w:rPr>
        <w:t>31</w:t>
      </w:r>
      <w:r w:rsidRPr="002D2F67">
        <w:rPr>
          <w:rFonts w:ascii="Arial" w:hAnsi="Arial" w:cs="Arial"/>
          <w:spacing w:val="-2"/>
        </w:rPr>
        <w:t xml:space="preserve"> December </w:t>
      </w:r>
      <w:r w:rsidR="00CD5714" w:rsidRPr="00CD5714">
        <w:rPr>
          <w:rFonts w:ascii="Arial" w:hAnsi="Arial" w:cs="Arial"/>
          <w:spacing w:val="-2"/>
          <w:lang w:val="en-GB"/>
        </w:rPr>
        <w:t>2024</w:t>
      </w:r>
      <w:r w:rsidRPr="002D2F67">
        <w:rPr>
          <w:rFonts w:ascii="Arial" w:hAnsi="Arial" w:cs="Arial"/>
          <w:spacing w:val="-2"/>
        </w:rPr>
        <w:t xml:space="preserve">, the Group had </w:t>
      </w:r>
      <w:r w:rsidR="00CD5714" w:rsidRPr="00CD5714">
        <w:rPr>
          <w:rFonts w:ascii="Arial" w:hAnsi="Arial" w:cs="Arial"/>
          <w:spacing w:val="-2"/>
          <w:lang w:val="en-GB"/>
        </w:rPr>
        <w:t>1</w:t>
      </w:r>
      <w:r w:rsidRPr="002D2F67">
        <w:rPr>
          <w:rFonts w:ascii="Arial" w:hAnsi="Arial" w:cs="Arial"/>
          <w:spacing w:val="-2"/>
        </w:rPr>
        <w:t xml:space="preserve"> major customer from manufacturing and distributing </w:t>
      </w:r>
      <w:r w:rsidR="00577AEB" w:rsidRPr="002D2F67">
        <w:rPr>
          <w:rFonts w:ascii="Arial" w:hAnsi="Arial" w:cs="Arial"/>
          <w:spacing w:val="-2"/>
        </w:rPr>
        <w:t xml:space="preserve">crude palm oil, biodiesel and pure </w:t>
      </w:r>
      <w:r w:rsidR="0026586A" w:rsidRPr="002D2F67">
        <w:rPr>
          <w:rFonts w:ascii="Arial" w:hAnsi="Arial" w:cs="Arial"/>
          <w:spacing w:val="-2"/>
        </w:rPr>
        <w:t>glycerin</w:t>
      </w:r>
      <w:r w:rsidR="00B60E88" w:rsidRPr="002D2F67">
        <w:rPr>
          <w:rFonts w:ascii="Arial" w:hAnsi="Arial" w:cs="Arial"/>
          <w:spacing w:val="-2"/>
        </w:rPr>
        <w:t xml:space="preserve"> p</w:t>
      </w:r>
      <w:r w:rsidR="00E97A19" w:rsidRPr="002D2F67">
        <w:rPr>
          <w:rFonts w:ascii="Arial" w:hAnsi="Arial" w:cs="Arial"/>
          <w:spacing w:val="-2"/>
        </w:rPr>
        <w:t>ro</w:t>
      </w:r>
      <w:r w:rsidR="00B60E88" w:rsidRPr="002D2F67">
        <w:rPr>
          <w:rFonts w:ascii="Arial" w:hAnsi="Arial" w:cs="Arial"/>
          <w:spacing w:val="-2"/>
        </w:rPr>
        <w:t>ducts segment</w:t>
      </w:r>
      <w:r w:rsidR="00577AEB" w:rsidRPr="002D2F67">
        <w:rPr>
          <w:rFonts w:ascii="Arial" w:hAnsi="Arial" w:cs="Arial"/>
          <w:spacing w:val="-2"/>
        </w:rPr>
        <w:t xml:space="preserve">, </w:t>
      </w:r>
      <w:r w:rsidR="00CD5714" w:rsidRPr="00CD5714">
        <w:rPr>
          <w:rFonts w:ascii="Arial" w:hAnsi="Arial" w:cs="Arial"/>
          <w:spacing w:val="-2"/>
          <w:lang w:val="en-GB"/>
        </w:rPr>
        <w:t>1</w:t>
      </w:r>
      <w:r w:rsidR="00577AEB" w:rsidRPr="002D2F67">
        <w:rPr>
          <w:rFonts w:ascii="Arial" w:hAnsi="Arial" w:cs="Arial"/>
          <w:spacing w:val="-2"/>
        </w:rPr>
        <w:t xml:space="preserve"> </w:t>
      </w:r>
      <w:r w:rsidRPr="002D2F67">
        <w:rPr>
          <w:rFonts w:ascii="Arial" w:hAnsi="Arial" w:cs="Arial"/>
          <w:spacing w:val="-2"/>
        </w:rPr>
        <w:t>major customer from manufacturing and distributing electricity from solar</w:t>
      </w:r>
      <w:r w:rsidR="00E32A54" w:rsidRPr="002D2F67">
        <w:rPr>
          <w:rFonts w:ascii="Arial" w:hAnsi="Arial" w:cs="Arial"/>
          <w:spacing w:val="-2"/>
        </w:rPr>
        <w:t>,</w:t>
      </w:r>
      <w:r w:rsidRPr="002D2F67">
        <w:rPr>
          <w:rFonts w:ascii="Arial" w:hAnsi="Arial" w:cs="Arial"/>
          <w:spacing w:val="-2"/>
        </w:rPr>
        <w:t xml:space="preserve"> and wind power and biomass se</w:t>
      </w:r>
      <w:r w:rsidR="00E97A19" w:rsidRPr="002D2F67">
        <w:rPr>
          <w:rFonts w:ascii="Arial" w:hAnsi="Arial" w:cs="Arial"/>
          <w:spacing w:val="-2"/>
        </w:rPr>
        <w:t>gment</w:t>
      </w:r>
      <w:r w:rsidRPr="002D2F67">
        <w:rPr>
          <w:rFonts w:ascii="Arial" w:hAnsi="Arial" w:cs="Arial"/>
          <w:spacing w:val="-2"/>
        </w:rPr>
        <w:t xml:space="preserve"> and </w:t>
      </w:r>
      <w:r w:rsidR="00CD5714" w:rsidRPr="00CD5714">
        <w:rPr>
          <w:rFonts w:ascii="Arial" w:hAnsi="Arial" w:cs="Arial"/>
          <w:spacing w:val="-2"/>
          <w:lang w:val="en-GB"/>
        </w:rPr>
        <w:t>1</w:t>
      </w:r>
      <w:r w:rsidRPr="002D2F67">
        <w:rPr>
          <w:rFonts w:ascii="Arial" w:hAnsi="Arial" w:cs="Arial"/>
          <w:spacing w:val="-2"/>
        </w:rPr>
        <w:t xml:space="preserve"> major customer from manufacturing and </w:t>
      </w:r>
      <w:r w:rsidRPr="002D2F67">
        <w:rPr>
          <w:rFonts w:ascii="Arial" w:hAnsi="Arial" w:cs="Arial"/>
          <w:spacing w:val="-4"/>
        </w:rPr>
        <w:t xml:space="preserve">distributing electric vehicles </w:t>
      </w:r>
      <w:r w:rsidR="0055741B" w:rsidRPr="002D2F67">
        <w:rPr>
          <w:rFonts w:ascii="Arial" w:hAnsi="Arial" w:cs="Arial"/>
          <w:spacing w:val="-4"/>
        </w:rPr>
        <w:t>segment</w:t>
      </w:r>
      <w:r w:rsidRPr="002D2F67">
        <w:rPr>
          <w:rFonts w:ascii="Arial" w:hAnsi="Arial" w:cs="Arial"/>
          <w:spacing w:val="-4"/>
        </w:rPr>
        <w:t xml:space="preserve"> </w:t>
      </w:r>
      <w:r w:rsidR="00577AEB" w:rsidRPr="002D2F67">
        <w:rPr>
          <w:rFonts w:ascii="Arial" w:hAnsi="Arial" w:cs="Arial"/>
          <w:spacing w:val="-4"/>
        </w:rPr>
        <w:t>of</w:t>
      </w:r>
      <w:r w:rsidRPr="002D2F67">
        <w:rPr>
          <w:rFonts w:ascii="Arial" w:hAnsi="Arial" w:cs="Arial"/>
          <w:spacing w:val="-4"/>
        </w:rPr>
        <w:t xml:space="preserve"> Baht </w:t>
      </w:r>
      <w:r w:rsidR="00CD5714" w:rsidRPr="00CD5714">
        <w:rPr>
          <w:rFonts w:ascii="Arial" w:hAnsi="Arial" w:cs="Arial"/>
          <w:spacing w:val="-4"/>
          <w:lang w:val="en-GB"/>
        </w:rPr>
        <w:t>16</w:t>
      </w:r>
      <w:r w:rsidR="000D1543" w:rsidRPr="002D2F67">
        <w:rPr>
          <w:rFonts w:ascii="Arial" w:hAnsi="Arial" w:cs="Arial"/>
          <w:spacing w:val="-4"/>
        </w:rPr>
        <w:t>,</w:t>
      </w:r>
      <w:r w:rsidR="00CD5714" w:rsidRPr="00CD5714">
        <w:rPr>
          <w:rFonts w:ascii="Arial" w:hAnsi="Arial" w:cs="Arial"/>
          <w:spacing w:val="-4"/>
          <w:lang w:val="en-GB"/>
        </w:rPr>
        <w:t>756</w:t>
      </w:r>
      <w:r w:rsidR="000D1543" w:rsidRPr="002D2F67">
        <w:rPr>
          <w:rFonts w:ascii="Arial" w:hAnsi="Arial" w:cs="Arial"/>
          <w:spacing w:val="-4"/>
        </w:rPr>
        <w:t xml:space="preserve"> </w:t>
      </w:r>
      <w:r w:rsidRPr="002D2F67">
        <w:rPr>
          <w:rFonts w:ascii="Arial" w:hAnsi="Arial" w:cs="Arial"/>
          <w:spacing w:val="-4"/>
        </w:rPr>
        <w:t xml:space="preserve">million, representing </w:t>
      </w:r>
      <w:r w:rsidR="00CD5714" w:rsidRPr="00CD5714">
        <w:rPr>
          <w:rFonts w:ascii="Arial" w:hAnsi="Arial" w:cs="Arial"/>
          <w:spacing w:val="-4"/>
          <w:lang w:val="en-GB"/>
        </w:rPr>
        <w:t>92</w:t>
      </w:r>
      <w:r w:rsidRPr="002D2F67">
        <w:rPr>
          <w:rFonts w:ascii="Arial" w:hAnsi="Arial" w:cs="Arial"/>
          <w:spacing w:val="-4"/>
        </w:rPr>
        <w:t>% of total revenue. (</w:t>
      </w:r>
      <w:r w:rsidR="00CD5714" w:rsidRPr="00CD5714">
        <w:rPr>
          <w:rFonts w:ascii="Arial" w:hAnsi="Arial" w:cs="Arial"/>
          <w:spacing w:val="-4"/>
          <w:lang w:val="en-GB"/>
        </w:rPr>
        <w:t>2023</w:t>
      </w:r>
      <w:r w:rsidRPr="002D2F67">
        <w:rPr>
          <w:rFonts w:ascii="Arial" w:hAnsi="Arial" w:cs="Arial"/>
          <w:spacing w:val="-4"/>
        </w:rPr>
        <w:t>, the Group</w:t>
      </w:r>
      <w:r w:rsidRPr="002D2F67">
        <w:rPr>
          <w:rFonts w:ascii="Arial" w:hAnsi="Arial" w:cs="Arial"/>
          <w:spacing w:val="-2"/>
        </w:rPr>
        <w:t xml:space="preserve"> had </w:t>
      </w:r>
      <w:r w:rsidR="00CD5714" w:rsidRPr="00CD5714">
        <w:rPr>
          <w:rFonts w:ascii="Arial" w:hAnsi="Arial" w:cs="Arial"/>
          <w:spacing w:val="-2"/>
          <w:lang w:val="en-GB"/>
        </w:rPr>
        <w:t>1</w:t>
      </w:r>
      <w:r w:rsidRPr="002D2F67">
        <w:rPr>
          <w:rFonts w:ascii="Arial" w:hAnsi="Arial" w:cs="Arial"/>
          <w:spacing w:val="-2"/>
        </w:rPr>
        <w:t xml:space="preserve"> major customer from manufacturing and distributing electricity from solar</w:t>
      </w:r>
      <w:r w:rsidR="00E32A54" w:rsidRPr="002D2F67">
        <w:rPr>
          <w:rFonts w:ascii="Arial" w:hAnsi="Arial" w:cs="Arial"/>
          <w:spacing w:val="-2"/>
        </w:rPr>
        <w:t>,</w:t>
      </w:r>
      <w:r w:rsidRPr="002D2F67">
        <w:rPr>
          <w:rFonts w:ascii="Arial" w:hAnsi="Arial" w:cs="Arial"/>
          <w:spacing w:val="-2"/>
        </w:rPr>
        <w:t xml:space="preserve"> wind power </w:t>
      </w:r>
      <w:r w:rsidRPr="002D2F67">
        <w:rPr>
          <w:rFonts w:ascii="Arial" w:hAnsi="Arial" w:cs="Arial"/>
          <w:spacing w:val="-6"/>
        </w:rPr>
        <w:t xml:space="preserve">and biomass </w:t>
      </w:r>
      <w:r w:rsidR="0055741B" w:rsidRPr="002D2F67">
        <w:rPr>
          <w:rFonts w:ascii="Arial" w:hAnsi="Arial" w:cs="Arial"/>
          <w:spacing w:val="-6"/>
        </w:rPr>
        <w:t>segment</w:t>
      </w:r>
      <w:r w:rsidRPr="002D2F67">
        <w:rPr>
          <w:rFonts w:ascii="Arial" w:hAnsi="Arial" w:cs="Arial"/>
          <w:spacing w:val="-6"/>
        </w:rPr>
        <w:t xml:space="preserve"> and </w:t>
      </w:r>
      <w:r w:rsidR="00CD5714" w:rsidRPr="00CD5714">
        <w:rPr>
          <w:rFonts w:ascii="Arial" w:hAnsi="Arial" w:cs="Arial"/>
          <w:spacing w:val="-6"/>
          <w:lang w:val="en-GB"/>
        </w:rPr>
        <w:t>1</w:t>
      </w:r>
      <w:r w:rsidRPr="002D2F67">
        <w:rPr>
          <w:rFonts w:ascii="Arial" w:hAnsi="Arial" w:cs="Arial"/>
          <w:spacing w:val="-6"/>
        </w:rPr>
        <w:t xml:space="preserve"> major customer from manufacturing and distributing electric vehicles </w:t>
      </w:r>
      <w:r w:rsidR="0055741B" w:rsidRPr="002D2F67">
        <w:rPr>
          <w:rFonts w:ascii="Arial" w:hAnsi="Arial" w:cs="Arial"/>
          <w:spacing w:val="-6"/>
        </w:rPr>
        <w:t>segment</w:t>
      </w:r>
      <w:r w:rsidRPr="002D2F67">
        <w:rPr>
          <w:rFonts w:ascii="Arial" w:hAnsi="Arial" w:cs="Arial"/>
          <w:spacing w:val="-6"/>
        </w:rPr>
        <w:t xml:space="preserve"> </w:t>
      </w:r>
      <w:r w:rsidR="00577AEB" w:rsidRPr="002D2F67">
        <w:rPr>
          <w:rFonts w:ascii="Arial" w:hAnsi="Arial" w:cs="Arial"/>
          <w:spacing w:val="-6"/>
        </w:rPr>
        <w:t>of</w:t>
      </w:r>
      <w:r w:rsidRPr="002D2F67">
        <w:rPr>
          <w:rFonts w:ascii="Arial" w:hAnsi="Arial" w:cs="Arial"/>
          <w:spacing w:val="-2"/>
        </w:rPr>
        <w:t xml:space="preserve"> Baht </w:t>
      </w:r>
      <w:r w:rsidR="00CD5714" w:rsidRPr="00CD5714">
        <w:rPr>
          <w:rFonts w:ascii="Arial" w:hAnsi="Arial" w:cs="Arial"/>
          <w:spacing w:val="-2"/>
          <w:lang w:val="en-GB"/>
        </w:rPr>
        <w:t>22</w:t>
      </w:r>
      <w:r w:rsidR="003F4D68" w:rsidRPr="002D2F67">
        <w:rPr>
          <w:rFonts w:ascii="Arial" w:hAnsi="Arial" w:cs="Arial"/>
          <w:spacing w:val="-2"/>
        </w:rPr>
        <w:t>,</w:t>
      </w:r>
      <w:r w:rsidR="00CD5714" w:rsidRPr="00CD5714">
        <w:rPr>
          <w:rFonts w:ascii="Arial" w:hAnsi="Arial" w:cs="Arial"/>
          <w:spacing w:val="-2"/>
          <w:lang w:val="en-GB"/>
        </w:rPr>
        <w:t>913</w:t>
      </w:r>
      <w:r w:rsidR="003F4D68" w:rsidRPr="002D2F67">
        <w:rPr>
          <w:rFonts w:ascii="Arial" w:hAnsi="Arial" w:cs="Arial"/>
          <w:spacing w:val="-2"/>
        </w:rPr>
        <w:t xml:space="preserve"> million, representing </w:t>
      </w:r>
      <w:r w:rsidR="00CD5714" w:rsidRPr="00CD5714">
        <w:rPr>
          <w:rFonts w:ascii="Arial" w:hAnsi="Arial" w:cs="Arial"/>
          <w:spacing w:val="-2"/>
          <w:lang w:val="en-GB"/>
        </w:rPr>
        <w:t>76</w:t>
      </w:r>
      <w:r w:rsidRPr="002D2F67">
        <w:rPr>
          <w:rFonts w:ascii="Arial" w:hAnsi="Arial" w:cs="Arial"/>
          <w:spacing w:val="-2"/>
        </w:rPr>
        <w:t>% of total revenue).</w:t>
      </w:r>
    </w:p>
    <w:p w14:paraId="4106D4F2" w14:textId="75636230" w:rsidR="00753B73" w:rsidRPr="002D2F67" w:rsidRDefault="00753B73" w:rsidP="005611FE">
      <w:pPr>
        <w:pStyle w:val="BodyTextIndent2"/>
        <w:spacing w:line="240" w:lineRule="auto"/>
        <w:ind w:left="0"/>
        <w:jc w:val="thaiDistribute"/>
        <w:rPr>
          <w:rFonts w:ascii="Arial" w:hAnsi="Arial" w:cs="Arial"/>
          <w:sz w:val="16"/>
          <w:szCs w:val="16"/>
        </w:rPr>
      </w:pPr>
    </w:p>
    <w:p w14:paraId="00BAC1C1" w14:textId="77777777" w:rsidR="002327A2" w:rsidRPr="002D2F67" w:rsidRDefault="002327A2" w:rsidP="005611FE">
      <w:pPr>
        <w:pStyle w:val="BodyTextIndent2"/>
        <w:spacing w:line="240" w:lineRule="auto"/>
        <w:ind w:left="0"/>
        <w:jc w:val="thaiDistribute"/>
        <w:rPr>
          <w:rFonts w:ascii="Arial" w:hAnsi="Arial" w:cs="Arial"/>
          <w:sz w:val="16"/>
          <w:szCs w:val="16"/>
        </w:rPr>
      </w:pPr>
    </w:p>
    <w:p w14:paraId="38945782" w14:textId="6999A0CE" w:rsidR="001845CC"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10</w:t>
      </w:r>
      <w:r w:rsidR="001845CC" w:rsidRPr="002D2F67">
        <w:rPr>
          <w:rFonts w:ascii="Arial" w:hAnsi="Arial" w:cs="Arial"/>
          <w:b/>
          <w:bCs/>
          <w:color w:val="000000"/>
          <w:kern w:val="26"/>
          <w:position w:val="-24"/>
          <w:sz w:val="20"/>
          <w:szCs w:val="20"/>
          <w:cs/>
        </w:rPr>
        <w:tab/>
      </w:r>
      <w:r w:rsidR="001845CC" w:rsidRPr="002D2F67">
        <w:rPr>
          <w:rFonts w:ascii="Arial" w:hAnsi="Arial" w:cs="Arial"/>
          <w:b/>
          <w:bCs/>
          <w:color w:val="000000"/>
          <w:kern w:val="26"/>
          <w:position w:val="-24"/>
          <w:sz w:val="20"/>
          <w:szCs w:val="20"/>
        </w:rPr>
        <w:t>Cash and cash equivalents</w:t>
      </w:r>
    </w:p>
    <w:tbl>
      <w:tblPr>
        <w:tblW w:w="9448" w:type="dxa"/>
        <w:tblInd w:w="108" w:type="dxa"/>
        <w:tblLayout w:type="fixed"/>
        <w:tblLook w:val="0000" w:firstRow="0" w:lastRow="0" w:firstColumn="0" w:lastColumn="0" w:noHBand="0" w:noVBand="0"/>
      </w:tblPr>
      <w:tblGrid>
        <w:gridCol w:w="3330"/>
        <w:gridCol w:w="1560"/>
        <w:gridCol w:w="1559"/>
        <w:gridCol w:w="1559"/>
        <w:gridCol w:w="1440"/>
      </w:tblGrid>
      <w:tr w:rsidR="00FF408A" w:rsidRPr="002D2F67" w14:paraId="5FB489C0" w14:textId="77777777" w:rsidTr="008255E8">
        <w:trPr>
          <w:cantSplit/>
        </w:trPr>
        <w:tc>
          <w:tcPr>
            <w:tcW w:w="3330" w:type="dxa"/>
            <w:shd w:val="clear" w:color="auto" w:fill="auto"/>
          </w:tcPr>
          <w:p w14:paraId="4BEA95BA" w14:textId="77777777" w:rsidR="00FF408A" w:rsidRPr="002D2F67" w:rsidRDefault="00FF408A" w:rsidP="005611FE">
            <w:pPr>
              <w:pStyle w:val="BodyTextIndent2"/>
              <w:spacing w:line="240" w:lineRule="auto"/>
              <w:ind w:left="-105"/>
              <w:rPr>
                <w:rFonts w:ascii="Arial" w:hAnsi="Arial" w:cs="Arial"/>
                <w:b/>
                <w:bCs/>
              </w:rPr>
            </w:pPr>
          </w:p>
        </w:tc>
        <w:tc>
          <w:tcPr>
            <w:tcW w:w="3119" w:type="dxa"/>
            <w:gridSpan w:val="2"/>
            <w:tcBorders>
              <w:bottom w:val="single" w:sz="4" w:space="0" w:color="auto"/>
            </w:tcBorders>
            <w:shd w:val="clear" w:color="auto" w:fill="auto"/>
          </w:tcPr>
          <w:p w14:paraId="017EDF22" w14:textId="22202B45" w:rsidR="007F1766" w:rsidRPr="002D2F67" w:rsidRDefault="00FF408A" w:rsidP="005611FE">
            <w:pPr>
              <w:pStyle w:val="BodyTextIndent2"/>
              <w:spacing w:line="240" w:lineRule="auto"/>
              <w:ind w:left="0" w:right="-72"/>
              <w:jc w:val="right"/>
              <w:rPr>
                <w:rFonts w:ascii="Arial" w:hAnsi="Arial" w:cs="Arial"/>
                <w:b/>
                <w:bCs/>
              </w:rPr>
            </w:pPr>
            <w:r w:rsidRPr="002D2F67">
              <w:rPr>
                <w:rFonts w:ascii="Arial" w:hAnsi="Arial" w:cs="Arial"/>
                <w:b/>
                <w:bCs/>
              </w:rPr>
              <w:t>Consolidated</w:t>
            </w:r>
            <w:r w:rsidR="007F1766" w:rsidRPr="002D2F67">
              <w:rPr>
                <w:rFonts w:ascii="Arial" w:hAnsi="Arial" w:cs="Arial"/>
                <w:b/>
                <w:bCs/>
              </w:rPr>
              <w:t xml:space="preserve"> </w:t>
            </w:r>
          </w:p>
          <w:p w14:paraId="7B42D7AA" w14:textId="2B392B60" w:rsidR="00FF408A" w:rsidRPr="002D2F67" w:rsidRDefault="007F1766" w:rsidP="005611FE">
            <w:pPr>
              <w:pStyle w:val="BodyTextIndent2"/>
              <w:spacing w:line="240" w:lineRule="auto"/>
              <w:ind w:left="0" w:right="-72"/>
              <w:jc w:val="right"/>
              <w:rPr>
                <w:rFonts w:ascii="Arial" w:hAnsi="Arial" w:cs="Arial"/>
                <w:b/>
                <w:bCs/>
              </w:rPr>
            </w:pPr>
            <w:r w:rsidRPr="002D2F67">
              <w:rPr>
                <w:rFonts w:ascii="Arial" w:hAnsi="Arial" w:cs="Arial"/>
                <w:b/>
                <w:bCs/>
              </w:rPr>
              <w:t>financial statement</w:t>
            </w:r>
            <w:r w:rsidR="00C1260E" w:rsidRPr="002D2F67">
              <w:rPr>
                <w:rFonts w:ascii="Arial" w:hAnsi="Arial" w:cs="Arial"/>
                <w:b/>
                <w:bCs/>
              </w:rPr>
              <w:t>s</w:t>
            </w:r>
          </w:p>
        </w:tc>
        <w:tc>
          <w:tcPr>
            <w:tcW w:w="2999" w:type="dxa"/>
            <w:gridSpan w:val="2"/>
            <w:tcBorders>
              <w:bottom w:val="single" w:sz="4" w:space="0" w:color="auto"/>
            </w:tcBorders>
            <w:shd w:val="clear" w:color="auto" w:fill="auto"/>
          </w:tcPr>
          <w:p w14:paraId="4E589D6D" w14:textId="77777777" w:rsidR="007F1766" w:rsidRPr="002D2F67" w:rsidRDefault="00FF408A" w:rsidP="005611FE">
            <w:pPr>
              <w:pStyle w:val="BodyTextIndent2"/>
              <w:spacing w:line="240" w:lineRule="auto"/>
              <w:ind w:left="0" w:right="-72"/>
              <w:jc w:val="right"/>
              <w:rPr>
                <w:rFonts w:ascii="Arial" w:hAnsi="Arial" w:cs="Arial"/>
                <w:b/>
                <w:bCs/>
              </w:rPr>
            </w:pPr>
            <w:r w:rsidRPr="002D2F67">
              <w:rPr>
                <w:rFonts w:ascii="Arial" w:hAnsi="Arial" w:cs="Arial"/>
                <w:b/>
                <w:bCs/>
              </w:rPr>
              <w:t>Separate</w:t>
            </w:r>
            <w:r w:rsidR="007F1766" w:rsidRPr="002D2F67">
              <w:rPr>
                <w:rFonts w:ascii="Arial" w:hAnsi="Arial" w:cs="Arial"/>
                <w:b/>
                <w:bCs/>
              </w:rPr>
              <w:t xml:space="preserve"> </w:t>
            </w:r>
          </w:p>
          <w:p w14:paraId="389C4FF7" w14:textId="77777777" w:rsidR="00FF408A" w:rsidRPr="002D2F67" w:rsidRDefault="007F1766" w:rsidP="005611FE">
            <w:pPr>
              <w:pStyle w:val="BodyTextIndent2"/>
              <w:spacing w:line="240" w:lineRule="auto"/>
              <w:ind w:left="0" w:right="-72"/>
              <w:jc w:val="right"/>
              <w:rPr>
                <w:rFonts w:ascii="Arial" w:hAnsi="Arial" w:cs="Arial"/>
                <w:b/>
                <w:bCs/>
              </w:rPr>
            </w:pPr>
            <w:r w:rsidRPr="002D2F67">
              <w:rPr>
                <w:rFonts w:ascii="Arial" w:hAnsi="Arial" w:cs="Arial"/>
                <w:b/>
                <w:bCs/>
              </w:rPr>
              <w:t>financial statements</w:t>
            </w:r>
          </w:p>
        </w:tc>
      </w:tr>
      <w:tr w:rsidR="00BA4595" w:rsidRPr="002D2F67" w14:paraId="6D657872" w14:textId="77777777" w:rsidTr="005611FE">
        <w:trPr>
          <w:cantSplit/>
        </w:trPr>
        <w:tc>
          <w:tcPr>
            <w:tcW w:w="3330" w:type="dxa"/>
            <w:shd w:val="clear" w:color="auto" w:fill="auto"/>
          </w:tcPr>
          <w:p w14:paraId="2C156E7B" w14:textId="263445B3" w:rsidR="00BA4595" w:rsidRPr="002D2F67" w:rsidRDefault="00BA4595" w:rsidP="005611FE">
            <w:pPr>
              <w:pStyle w:val="BodyTextIndent2"/>
              <w:spacing w:line="240" w:lineRule="auto"/>
              <w:ind w:left="-105"/>
              <w:rPr>
                <w:rFonts w:ascii="Arial" w:hAnsi="Arial" w:cs="Arial"/>
                <w:b/>
                <w:bCs/>
              </w:rPr>
            </w:pPr>
            <w:r w:rsidRPr="002D2F67">
              <w:rPr>
                <w:rFonts w:ascii="Arial" w:eastAsia="Arial Unicode MS" w:hAnsi="Arial" w:cs="Arial"/>
                <w:b/>
                <w:bCs/>
              </w:rPr>
              <w:t xml:space="preserve">As </w:t>
            </w:r>
            <w:proofErr w:type="gramStart"/>
            <w:r w:rsidRPr="002D2F67">
              <w:rPr>
                <w:rFonts w:ascii="Arial" w:eastAsia="Arial Unicode MS" w:hAnsi="Arial" w:cs="Arial"/>
                <w:b/>
                <w:bCs/>
              </w:rPr>
              <w:t>at</w:t>
            </w:r>
            <w:proofErr w:type="gramEnd"/>
            <w:r w:rsidRPr="002D2F67">
              <w:rPr>
                <w:rFonts w:ascii="Arial" w:eastAsia="Arial Unicode MS" w:hAnsi="Arial" w:cs="Arial"/>
                <w:b/>
                <w:bCs/>
              </w:rPr>
              <w:t xml:space="preserve"> </w:t>
            </w:r>
            <w:r w:rsidR="00CD5714" w:rsidRPr="00CD5714">
              <w:rPr>
                <w:rFonts w:ascii="Arial" w:eastAsia="Arial Unicode MS" w:hAnsi="Arial" w:cs="Arial"/>
                <w:b/>
                <w:bCs/>
                <w:lang w:val="en-GB"/>
              </w:rPr>
              <w:t>31</w:t>
            </w:r>
            <w:r w:rsidRPr="002D2F67">
              <w:rPr>
                <w:rFonts w:ascii="Arial" w:eastAsia="Arial Unicode MS" w:hAnsi="Arial" w:cs="Arial"/>
                <w:b/>
                <w:bCs/>
              </w:rPr>
              <w:t xml:space="preserve"> December</w:t>
            </w:r>
          </w:p>
        </w:tc>
        <w:tc>
          <w:tcPr>
            <w:tcW w:w="1560" w:type="dxa"/>
            <w:shd w:val="clear" w:color="auto" w:fill="auto"/>
          </w:tcPr>
          <w:p w14:paraId="4D3C3575" w14:textId="313B10FD" w:rsidR="00BA4595"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559" w:type="dxa"/>
            <w:shd w:val="clear" w:color="auto" w:fill="auto"/>
          </w:tcPr>
          <w:p w14:paraId="19DB9C01" w14:textId="6AA25BC5" w:rsidR="00BA4595"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c>
          <w:tcPr>
            <w:tcW w:w="1559" w:type="dxa"/>
            <w:shd w:val="clear" w:color="auto" w:fill="auto"/>
          </w:tcPr>
          <w:p w14:paraId="18FC8551" w14:textId="34F03EA0" w:rsidR="00BA4595"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40" w:type="dxa"/>
            <w:shd w:val="clear" w:color="auto" w:fill="auto"/>
          </w:tcPr>
          <w:p w14:paraId="2A933BAF" w14:textId="42D57454" w:rsidR="00BA4595"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E93C5C" w:rsidRPr="002D2F67" w14:paraId="229DE76D" w14:textId="77777777" w:rsidTr="005611FE">
        <w:trPr>
          <w:cantSplit/>
        </w:trPr>
        <w:tc>
          <w:tcPr>
            <w:tcW w:w="3330" w:type="dxa"/>
            <w:shd w:val="clear" w:color="auto" w:fill="auto"/>
          </w:tcPr>
          <w:p w14:paraId="68CA9F61" w14:textId="77777777" w:rsidR="00E93C5C" w:rsidRPr="002D2F67" w:rsidRDefault="00E93C5C" w:rsidP="005611FE">
            <w:pPr>
              <w:pStyle w:val="BodyTextIndent2"/>
              <w:spacing w:line="240" w:lineRule="auto"/>
              <w:ind w:left="-105"/>
              <w:rPr>
                <w:rFonts w:ascii="Arial" w:hAnsi="Arial" w:cs="Arial"/>
                <w:b/>
                <w:bCs/>
              </w:rPr>
            </w:pPr>
          </w:p>
        </w:tc>
        <w:tc>
          <w:tcPr>
            <w:tcW w:w="1560" w:type="dxa"/>
            <w:tcBorders>
              <w:bottom w:val="single" w:sz="4" w:space="0" w:color="auto"/>
            </w:tcBorders>
            <w:shd w:val="clear" w:color="auto" w:fill="auto"/>
            <w:vAlign w:val="bottom"/>
          </w:tcPr>
          <w:p w14:paraId="405130B8" w14:textId="325FBB0D" w:rsidR="00E93C5C" w:rsidRPr="002D2F67" w:rsidRDefault="00D31B14" w:rsidP="005611FE">
            <w:pPr>
              <w:ind w:right="-72"/>
              <w:jc w:val="right"/>
              <w:rPr>
                <w:rFonts w:ascii="Arial" w:hAnsi="Arial" w:cs="Arial"/>
                <w:color w:val="000000"/>
                <w:sz w:val="20"/>
                <w:szCs w:val="20"/>
                <w:cs/>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559" w:type="dxa"/>
            <w:tcBorders>
              <w:bottom w:val="single" w:sz="4" w:space="0" w:color="auto"/>
            </w:tcBorders>
            <w:shd w:val="clear" w:color="auto" w:fill="auto"/>
          </w:tcPr>
          <w:p w14:paraId="05C6CC94" w14:textId="4C82FC8B" w:rsidR="00E93C5C" w:rsidRPr="002D2F67" w:rsidRDefault="00D31B14" w:rsidP="005611FE">
            <w:pPr>
              <w:ind w:right="-72"/>
              <w:jc w:val="right"/>
              <w:rPr>
                <w:rFonts w:ascii="Arial" w:hAnsi="Arial" w:cs="Arial"/>
                <w:color w:val="000000"/>
                <w:sz w:val="20"/>
                <w:szCs w:val="20"/>
                <w:cs/>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559" w:type="dxa"/>
            <w:tcBorders>
              <w:bottom w:val="single" w:sz="4" w:space="0" w:color="auto"/>
            </w:tcBorders>
            <w:shd w:val="clear" w:color="auto" w:fill="auto"/>
          </w:tcPr>
          <w:p w14:paraId="36A2F30D" w14:textId="60AC06E7" w:rsidR="00E93C5C" w:rsidRPr="002D2F67" w:rsidRDefault="00D31B14" w:rsidP="005611FE">
            <w:pPr>
              <w:ind w:right="-72"/>
              <w:jc w:val="right"/>
              <w:rPr>
                <w:rFonts w:ascii="Arial" w:hAnsi="Arial" w:cs="Arial"/>
                <w:color w:val="000000"/>
                <w:sz w:val="20"/>
                <w:szCs w:val="20"/>
                <w:cs/>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245316C9" w14:textId="55015889" w:rsidR="00E93C5C" w:rsidRPr="002D2F67" w:rsidRDefault="00D31B14" w:rsidP="005611FE">
            <w:pPr>
              <w:ind w:right="-72"/>
              <w:jc w:val="right"/>
              <w:rPr>
                <w:rFonts w:ascii="Arial" w:hAnsi="Arial" w:cs="Arial"/>
                <w:color w:val="000000"/>
                <w:sz w:val="20"/>
                <w:szCs w:val="20"/>
                <w:cs/>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FF408A" w:rsidRPr="002D2F67" w14:paraId="6B6C43E9" w14:textId="77777777" w:rsidTr="005611FE">
        <w:trPr>
          <w:cantSplit/>
        </w:trPr>
        <w:tc>
          <w:tcPr>
            <w:tcW w:w="3330" w:type="dxa"/>
            <w:shd w:val="clear" w:color="auto" w:fill="auto"/>
          </w:tcPr>
          <w:p w14:paraId="1EC4023D" w14:textId="77777777" w:rsidR="00FF408A" w:rsidRPr="002D2F67" w:rsidRDefault="00FF408A" w:rsidP="005611FE">
            <w:pPr>
              <w:pStyle w:val="BodyTextIndent2"/>
              <w:spacing w:line="240" w:lineRule="auto"/>
              <w:ind w:left="-105"/>
              <w:rPr>
                <w:rFonts w:ascii="Arial" w:hAnsi="Arial" w:cs="Arial"/>
                <w:sz w:val="12"/>
                <w:szCs w:val="12"/>
                <w:cs/>
              </w:rPr>
            </w:pPr>
          </w:p>
        </w:tc>
        <w:tc>
          <w:tcPr>
            <w:tcW w:w="1560" w:type="dxa"/>
            <w:tcBorders>
              <w:top w:val="single" w:sz="4" w:space="0" w:color="auto"/>
            </w:tcBorders>
            <w:shd w:val="clear" w:color="auto" w:fill="auto"/>
          </w:tcPr>
          <w:p w14:paraId="60969621" w14:textId="77777777" w:rsidR="00FF408A" w:rsidRPr="002D2F67" w:rsidRDefault="00FF408A" w:rsidP="005611FE">
            <w:pPr>
              <w:pStyle w:val="BodyTextIndent2"/>
              <w:spacing w:line="240" w:lineRule="auto"/>
              <w:ind w:left="0" w:right="-72"/>
              <w:jc w:val="right"/>
              <w:rPr>
                <w:rFonts w:ascii="Arial" w:hAnsi="Arial" w:cs="Arial"/>
                <w:sz w:val="12"/>
                <w:szCs w:val="12"/>
              </w:rPr>
            </w:pPr>
          </w:p>
        </w:tc>
        <w:tc>
          <w:tcPr>
            <w:tcW w:w="1559" w:type="dxa"/>
            <w:tcBorders>
              <w:top w:val="single" w:sz="4" w:space="0" w:color="auto"/>
            </w:tcBorders>
            <w:shd w:val="clear" w:color="auto" w:fill="auto"/>
          </w:tcPr>
          <w:p w14:paraId="0C0A6421" w14:textId="77777777" w:rsidR="00FF408A" w:rsidRPr="002D2F67" w:rsidRDefault="00FF408A" w:rsidP="005611FE">
            <w:pPr>
              <w:pStyle w:val="BodyTextIndent2"/>
              <w:spacing w:line="240" w:lineRule="auto"/>
              <w:ind w:left="0" w:right="-72"/>
              <w:jc w:val="right"/>
              <w:rPr>
                <w:rFonts w:ascii="Arial" w:hAnsi="Arial" w:cs="Arial"/>
                <w:sz w:val="12"/>
                <w:szCs w:val="12"/>
              </w:rPr>
            </w:pPr>
          </w:p>
        </w:tc>
        <w:tc>
          <w:tcPr>
            <w:tcW w:w="1559" w:type="dxa"/>
            <w:tcBorders>
              <w:top w:val="single" w:sz="4" w:space="0" w:color="auto"/>
            </w:tcBorders>
            <w:shd w:val="clear" w:color="auto" w:fill="auto"/>
          </w:tcPr>
          <w:p w14:paraId="05B00E4C" w14:textId="77777777" w:rsidR="00FF408A" w:rsidRPr="002D2F67" w:rsidRDefault="00FF408A" w:rsidP="005611FE">
            <w:pPr>
              <w:pStyle w:val="BodyTextIndent2"/>
              <w:spacing w:line="240" w:lineRule="auto"/>
              <w:ind w:left="0" w:right="-72"/>
              <w:jc w:val="right"/>
              <w:rPr>
                <w:rFonts w:ascii="Arial" w:hAnsi="Arial" w:cs="Arial"/>
                <w:sz w:val="12"/>
                <w:szCs w:val="12"/>
              </w:rPr>
            </w:pPr>
          </w:p>
        </w:tc>
        <w:tc>
          <w:tcPr>
            <w:tcW w:w="1440" w:type="dxa"/>
            <w:tcBorders>
              <w:top w:val="single" w:sz="4" w:space="0" w:color="auto"/>
            </w:tcBorders>
            <w:shd w:val="clear" w:color="auto" w:fill="auto"/>
          </w:tcPr>
          <w:p w14:paraId="4E2137F3" w14:textId="77777777" w:rsidR="00FF408A" w:rsidRPr="002D2F67" w:rsidRDefault="00FF408A" w:rsidP="005611FE">
            <w:pPr>
              <w:pStyle w:val="BodyTextIndent2"/>
              <w:spacing w:line="240" w:lineRule="auto"/>
              <w:ind w:left="0" w:right="-72"/>
              <w:jc w:val="right"/>
              <w:rPr>
                <w:rFonts w:ascii="Arial" w:hAnsi="Arial" w:cs="Arial"/>
                <w:sz w:val="12"/>
                <w:szCs w:val="12"/>
              </w:rPr>
            </w:pPr>
          </w:p>
        </w:tc>
      </w:tr>
      <w:tr w:rsidR="003F4D68" w:rsidRPr="002D2F67" w14:paraId="21B54ACD" w14:textId="77777777" w:rsidTr="005611FE">
        <w:trPr>
          <w:cantSplit/>
        </w:trPr>
        <w:tc>
          <w:tcPr>
            <w:tcW w:w="3330" w:type="dxa"/>
            <w:shd w:val="clear" w:color="auto" w:fill="auto"/>
          </w:tcPr>
          <w:p w14:paraId="33762B4B" w14:textId="77777777" w:rsidR="003F4D68" w:rsidRPr="002D2F67" w:rsidRDefault="003F4D68" w:rsidP="005611FE">
            <w:pPr>
              <w:pStyle w:val="BodyTextIndent2"/>
              <w:spacing w:line="240" w:lineRule="auto"/>
              <w:ind w:left="-105"/>
              <w:rPr>
                <w:rFonts w:ascii="Arial" w:hAnsi="Arial" w:cs="Arial"/>
              </w:rPr>
            </w:pPr>
            <w:r w:rsidRPr="002D2F67">
              <w:rPr>
                <w:rFonts w:ascii="Arial" w:eastAsia="Times New Roman" w:hAnsi="Arial" w:cs="Arial"/>
              </w:rPr>
              <w:t>Cash on hand</w:t>
            </w:r>
            <w:r w:rsidRPr="002D2F67">
              <w:rPr>
                <w:rFonts w:ascii="Arial" w:hAnsi="Arial" w:cs="Arial"/>
              </w:rPr>
              <w:t xml:space="preserve"> </w:t>
            </w:r>
          </w:p>
        </w:tc>
        <w:tc>
          <w:tcPr>
            <w:tcW w:w="1560" w:type="dxa"/>
            <w:shd w:val="clear" w:color="auto" w:fill="auto"/>
          </w:tcPr>
          <w:p w14:paraId="5767BA94" w14:textId="37DD06E4" w:rsidR="003F4D68" w:rsidRPr="002D2F67" w:rsidRDefault="00CD5714" w:rsidP="005611FE">
            <w:pPr>
              <w:pStyle w:val="BodyTextIndent2"/>
              <w:spacing w:line="240" w:lineRule="auto"/>
              <w:ind w:left="0" w:right="-72"/>
              <w:jc w:val="right"/>
              <w:rPr>
                <w:rFonts w:ascii="Arial" w:hAnsi="Arial" w:cs="Arial"/>
                <w:szCs w:val="25"/>
              </w:rPr>
            </w:pPr>
            <w:r w:rsidRPr="00CD5714">
              <w:rPr>
                <w:rFonts w:ascii="Arial" w:hAnsi="Arial" w:cs="Arial"/>
                <w:szCs w:val="25"/>
                <w:lang w:val="en-GB"/>
              </w:rPr>
              <w:t>1</w:t>
            </w:r>
            <w:r w:rsidR="00ED7E9D" w:rsidRPr="002D2F67">
              <w:rPr>
                <w:rFonts w:ascii="Arial" w:hAnsi="Arial" w:cs="Arial"/>
                <w:szCs w:val="25"/>
              </w:rPr>
              <w:t>,</w:t>
            </w:r>
            <w:r w:rsidRPr="00CD5714">
              <w:rPr>
                <w:rFonts w:ascii="Arial" w:hAnsi="Arial" w:cs="Arial"/>
                <w:szCs w:val="25"/>
                <w:lang w:val="en-GB"/>
              </w:rPr>
              <w:t>696</w:t>
            </w:r>
          </w:p>
        </w:tc>
        <w:tc>
          <w:tcPr>
            <w:tcW w:w="1559" w:type="dxa"/>
            <w:shd w:val="clear" w:color="auto" w:fill="auto"/>
          </w:tcPr>
          <w:p w14:paraId="416DB3E8" w14:textId="43775920"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1</w:t>
            </w:r>
            <w:r w:rsidR="003F4D68" w:rsidRPr="002D2F67">
              <w:rPr>
                <w:rFonts w:ascii="Arial" w:hAnsi="Arial" w:cs="Arial"/>
              </w:rPr>
              <w:t>,</w:t>
            </w:r>
            <w:r w:rsidRPr="00CD5714">
              <w:rPr>
                <w:rFonts w:ascii="Arial" w:hAnsi="Arial" w:cs="Arial"/>
                <w:lang w:val="en-GB"/>
              </w:rPr>
              <w:t>929</w:t>
            </w:r>
          </w:p>
        </w:tc>
        <w:tc>
          <w:tcPr>
            <w:tcW w:w="1559" w:type="dxa"/>
            <w:shd w:val="clear" w:color="auto" w:fill="auto"/>
          </w:tcPr>
          <w:p w14:paraId="289B9397" w14:textId="0C414F77"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197</w:t>
            </w:r>
          </w:p>
        </w:tc>
        <w:tc>
          <w:tcPr>
            <w:tcW w:w="1440" w:type="dxa"/>
            <w:shd w:val="clear" w:color="auto" w:fill="auto"/>
          </w:tcPr>
          <w:p w14:paraId="7379C631" w14:textId="08A2553F"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115</w:t>
            </w:r>
          </w:p>
        </w:tc>
      </w:tr>
      <w:tr w:rsidR="003F4D68" w:rsidRPr="002D2F67" w14:paraId="65C96506" w14:textId="77777777" w:rsidTr="005611FE">
        <w:trPr>
          <w:cantSplit/>
        </w:trPr>
        <w:tc>
          <w:tcPr>
            <w:tcW w:w="3330" w:type="dxa"/>
            <w:shd w:val="clear" w:color="auto" w:fill="auto"/>
          </w:tcPr>
          <w:p w14:paraId="43035DD5" w14:textId="77777777" w:rsidR="003F4D68" w:rsidRPr="002D2F67" w:rsidRDefault="003F4D68" w:rsidP="005611FE">
            <w:pPr>
              <w:pStyle w:val="BodyTextIndent2"/>
              <w:spacing w:line="240" w:lineRule="auto"/>
              <w:ind w:left="-105"/>
              <w:rPr>
                <w:rFonts w:ascii="Arial" w:eastAsia="Times New Roman" w:hAnsi="Arial" w:cs="Arial"/>
              </w:rPr>
            </w:pPr>
            <w:r w:rsidRPr="002D2F67">
              <w:rPr>
                <w:rFonts w:ascii="Arial" w:eastAsia="Times New Roman" w:hAnsi="Arial" w:cs="Arial"/>
              </w:rPr>
              <w:t>Cash at banks in current accounts</w:t>
            </w:r>
          </w:p>
        </w:tc>
        <w:tc>
          <w:tcPr>
            <w:tcW w:w="1560" w:type="dxa"/>
            <w:shd w:val="clear" w:color="auto" w:fill="auto"/>
          </w:tcPr>
          <w:p w14:paraId="73339988" w14:textId="444FC17A"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37</w:t>
            </w:r>
            <w:r w:rsidR="00ED7E9D" w:rsidRPr="002D2F67">
              <w:rPr>
                <w:rFonts w:ascii="Arial" w:hAnsi="Arial" w:cs="Arial"/>
              </w:rPr>
              <w:t>,</w:t>
            </w:r>
            <w:r w:rsidRPr="00CD5714">
              <w:rPr>
                <w:rFonts w:ascii="Arial" w:hAnsi="Arial" w:cs="Arial"/>
                <w:lang w:val="en-GB"/>
              </w:rPr>
              <w:t>603</w:t>
            </w:r>
          </w:p>
        </w:tc>
        <w:tc>
          <w:tcPr>
            <w:tcW w:w="1559" w:type="dxa"/>
            <w:shd w:val="clear" w:color="auto" w:fill="auto"/>
          </w:tcPr>
          <w:p w14:paraId="1D95D87D" w14:textId="45E0F6BA"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64</w:t>
            </w:r>
            <w:r w:rsidR="003F4D68" w:rsidRPr="002D2F67">
              <w:rPr>
                <w:rFonts w:ascii="Arial" w:hAnsi="Arial" w:cs="Arial"/>
              </w:rPr>
              <w:t>,</w:t>
            </w:r>
            <w:r w:rsidRPr="00CD5714">
              <w:rPr>
                <w:rFonts w:ascii="Arial" w:hAnsi="Arial" w:cs="Arial"/>
                <w:lang w:val="en-GB"/>
              </w:rPr>
              <w:t>908</w:t>
            </w:r>
          </w:p>
        </w:tc>
        <w:tc>
          <w:tcPr>
            <w:tcW w:w="1559" w:type="dxa"/>
            <w:shd w:val="clear" w:color="auto" w:fill="auto"/>
          </w:tcPr>
          <w:p w14:paraId="189F0469" w14:textId="58C95300"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23</w:t>
            </w:r>
            <w:r w:rsidR="002A474F" w:rsidRPr="002D2F67">
              <w:rPr>
                <w:rFonts w:ascii="Arial" w:hAnsi="Arial" w:cs="Arial"/>
              </w:rPr>
              <w:t>,</w:t>
            </w:r>
            <w:r w:rsidRPr="00CD5714">
              <w:rPr>
                <w:rFonts w:ascii="Arial" w:hAnsi="Arial" w:cs="Arial"/>
                <w:lang w:val="en-GB"/>
              </w:rPr>
              <w:t>827</w:t>
            </w:r>
          </w:p>
        </w:tc>
        <w:tc>
          <w:tcPr>
            <w:tcW w:w="1440" w:type="dxa"/>
            <w:shd w:val="clear" w:color="auto" w:fill="auto"/>
          </w:tcPr>
          <w:p w14:paraId="2778F12F" w14:textId="01384D59"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25</w:t>
            </w:r>
            <w:r w:rsidR="003F4D68" w:rsidRPr="002D2F67">
              <w:rPr>
                <w:rFonts w:ascii="Arial" w:hAnsi="Arial" w:cs="Arial"/>
              </w:rPr>
              <w:t>,</w:t>
            </w:r>
            <w:r w:rsidRPr="00CD5714">
              <w:rPr>
                <w:rFonts w:ascii="Arial" w:hAnsi="Arial" w:cs="Arial"/>
                <w:lang w:val="en-GB"/>
              </w:rPr>
              <w:t>719</w:t>
            </w:r>
          </w:p>
        </w:tc>
      </w:tr>
      <w:tr w:rsidR="003F4D68" w:rsidRPr="002D2F67" w14:paraId="2F40E7A0" w14:textId="77777777" w:rsidTr="005611FE">
        <w:trPr>
          <w:cantSplit/>
        </w:trPr>
        <w:tc>
          <w:tcPr>
            <w:tcW w:w="3330" w:type="dxa"/>
            <w:shd w:val="clear" w:color="auto" w:fill="auto"/>
          </w:tcPr>
          <w:p w14:paraId="7A3585EC" w14:textId="77777777" w:rsidR="003F4D68" w:rsidRPr="002D2F67" w:rsidRDefault="003F4D68" w:rsidP="005611FE">
            <w:pPr>
              <w:pStyle w:val="BodyTextIndent2"/>
              <w:spacing w:line="240" w:lineRule="auto"/>
              <w:ind w:left="-105"/>
              <w:jc w:val="left"/>
              <w:rPr>
                <w:rFonts w:ascii="Arial" w:hAnsi="Arial" w:cs="Arial"/>
              </w:rPr>
            </w:pPr>
            <w:r w:rsidRPr="002D2F67">
              <w:rPr>
                <w:rFonts w:ascii="Arial" w:hAnsi="Arial" w:cs="Arial"/>
              </w:rPr>
              <w:t>Cash at banks in savings accounts</w:t>
            </w:r>
          </w:p>
        </w:tc>
        <w:tc>
          <w:tcPr>
            <w:tcW w:w="1560" w:type="dxa"/>
            <w:shd w:val="clear" w:color="auto" w:fill="auto"/>
          </w:tcPr>
          <w:p w14:paraId="725F9A67" w14:textId="5F19C9C9"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343</w:t>
            </w:r>
            <w:r w:rsidR="00ED7E9D" w:rsidRPr="002D2F67">
              <w:rPr>
                <w:rFonts w:ascii="Arial" w:hAnsi="Arial" w:cs="Arial"/>
              </w:rPr>
              <w:t>,</w:t>
            </w:r>
            <w:r w:rsidRPr="00CD5714">
              <w:rPr>
                <w:rFonts w:ascii="Arial" w:hAnsi="Arial" w:cs="Arial"/>
                <w:lang w:val="en-GB"/>
              </w:rPr>
              <w:t>447</w:t>
            </w:r>
          </w:p>
        </w:tc>
        <w:tc>
          <w:tcPr>
            <w:tcW w:w="1559" w:type="dxa"/>
            <w:shd w:val="clear" w:color="auto" w:fill="auto"/>
          </w:tcPr>
          <w:p w14:paraId="58B3625E" w14:textId="4891C18E"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2</w:t>
            </w:r>
            <w:r w:rsidR="003F4D68" w:rsidRPr="002D2F67">
              <w:rPr>
                <w:rFonts w:ascii="Arial" w:hAnsi="Arial" w:cs="Arial"/>
              </w:rPr>
              <w:t>,</w:t>
            </w:r>
            <w:r w:rsidRPr="00CD5714">
              <w:rPr>
                <w:rFonts w:ascii="Arial" w:hAnsi="Arial" w:cs="Arial"/>
                <w:lang w:val="en-GB"/>
              </w:rPr>
              <w:t>396</w:t>
            </w:r>
            <w:r w:rsidR="003F4D68" w:rsidRPr="002D2F67">
              <w:rPr>
                <w:rFonts w:ascii="Arial" w:hAnsi="Arial" w:cs="Arial"/>
              </w:rPr>
              <w:t>,</w:t>
            </w:r>
            <w:r w:rsidRPr="00CD5714">
              <w:rPr>
                <w:rFonts w:ascii="Arial" w:hAnsi="Arial" w:cs="Arial"/>
                <w:lang w:val="en-GB"/>
              </w:rPr>
              <w:t>746</w:t>
            </w:r>
          </w:p>
        </w:tc>
        <w:tc>
          <w:tcPr>
            <w:tcW w:w="1559" w:type="dxa"/>
            <w:shd w:val="clear" w:color="auto" w:fill="auto"/>
          </w:tcPr>
          <w:p w14:paraId="74D1A136" w14:textId="2880CABC"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129</w:t>
            </w:r>
            <w:r w:rsidR="005B0B04" w:rsidRPr="002D2F67">
              <w:rPr>
                <w:rFonts w:ascii="Arial" w:hAnsi="Arial" w:cs="Arial"/>
              </w:rPr>
              <w:t>,</w:t>
            </w:r>
            <w:r w:rsidRPr="00CD5714">
              <w:rPr>
                <w:rFonts w:ascii="Arial" w:hAnsi="Arial" w:cs="Arial"/>
                <w:lang w:val="en-GB"/>
              </w:rPr>
              <w:t>092</w:t>
            </w:r>
          </w:p>
        </w:tc>
        <w:tc>
          <w:tcPr>
            <w:tcW w:w="1440" w:type="dxa"/>
            <w:shd w:val="clear" w:color="auto" w:fill="auto"/>
          </w:tcPr>
          <w:p w14:paraId="2922987E" w14:textId="6CE24743"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682</w:t>
            </w:r>
            <w:r w:rsidR="003F4D68" w:rsidRPr="002D2F67">
              <w:rPr>
                <w:rFonts w:ascii="Arial" w:hAnsi="Arial" w:cs="Arial"/>
              </w:rPr>
              <w:t>,</w:t>
            </w:r>
            <w:r w:rsidRPr="00CD5714">
              <w:rPr>
                <w:rFonts w:ascii="Arial" w:hAnsi="Arial" w:cs="Arial"/>
                <w:lang w:val="en-GB"/>
              </w:rPr>
              <w:t>185</w:t>
            </w:r>
          </w:p>
        </w:tc>
      </w:tr>
      <w:tr w:rsidR="003F4D68" w:rsidRPr="002D2F67" w14:paraId="129EF5AA" w14:textId="77777777" w:rsidTr="005611FE">
        <w:trPr>
          <w:cantSplit/>
        </w:trPr>
        <w:tc>
          <w:tcPr>
            <w:tcW w:w="3330" w:type="dxa"/>
            <w:shd w:val="clear" w:color="auto" w:fill="auto"/>
          </w:tcPr>
          <w:p w14:paraId="19311EB2" w14:textId="73556D85" w:rsidR="003F4D68" w:rsidRPr="002D2F67" w:rsidRDefault="003F4D68" w:rsidP="005611FE">
            <w:pPr>
              <w:pStyle w:val="BodyTextIndent2"/>
              <w:spacing w:line="240" w:lineRule="auto"/>
              <w:ind w:left="-105"/>
              <w:jc w:val="left"/>
              <w:rPr>
                <w:rFonts w:ascii="Arial" w:hAnsi="Arial" w:cs="Arial"/>
                <w:sz w:val="12"/>
                <w:szCs w:val="12"/>
              </w:rPr>
            </w:pPr>
            <w:r w:rsidRPr="002D2F67">
              <w:rPr>
                <w:rFonts w:ascii="Arial" w:hAnsi="Arial" w:cs="Arial"/>
              </w:rPr>
              <w:t>Short-term fixed deposits</w:t>
            </w:r>
          </w:p>
        </w:tc>
        <w:tc>
          <w:tcPr>
            <w:tcW w:w="1560" w:type="dxa"/>
            <w:tcBorders>
              <w:bottom w:val="single" w:sz="4" w:space="0" w:color="auto"/>
            </w:tcBorders>
            <w:shd w:val="clear" w:color="auto" w:fill="auto"/>
          </w:tcPr>
          <w:p w14:paraId="0C73453E" w14:textId="7C0A87CC" w:rsidR="003F4D68" w:rsidRPr="002D2F67" w:rsidRDefault="002842F9" w:rsidP="005611FE">
            <w:pPr>
              <w:pStyle w:val="BodyTextIndent2"/>
              <w:spacing w:line="240" w:lineRule="auto"/>
              <w:ind w:left="0" w:right="-72"/>
              <w:jc w:val="right"/>
              <w:rPr>
                <w:rFonts w:ascii="Arial" w:hAnsi="Arial" w:cs="Arial"/>
              </w:rPr>
            </w:pPr>
            <w:r w:rsidRPr="002D2F67">
              <w:rPr>
                <w:rFonts w:ascii="Arial" w:hAnsi="Arial" w:cs="Arial"/>
              </w:rPr>
              <w:t>-</w:t>
            </w:r>
          </w:p>
        </w:tc>
        <w:tc>
          <w:tcPr>
            <w:tcW w:w="1559" w:type="dxa"/>
            <w:tcBorders>
              <w:bottom w:val="single" w:sz="4" w:space="0" w:color="auto"/>
            </w:tcBorders>
            <w:shd w:val="clear" w:color="auto" w:fill="auto"/>
          </w:tcPr>
          <w:p w14:paraId="3D34264D" w14:textId="48149AED"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146</w:t>
            </w:r>
          </w:p>
        </w:tc>
        <w:tc>
          <w:tcPr>
            <w:tcW w:w="1559" w:type="dxa"/>
            <w:tcBorders>
              <w:bottom w:val="single" w:sz="4" w:space="0" w:color="auto"/>
            </w:tcBorders>
            <w:shd w:val="clear" w:color="auto" w:fill="auto"/>
          </w:tcPr>
          <w:p w14:paraId="14AE3C74" w14:textId="75CB0E67" w:rsidR="003F4D68" w:rsidRPr="002D2F67" w:rsidRDefault="005B0B04" w:rsidP="005611FE">
            <w:pPr>
              <w:pStyle w:val="BodyTextIndent2"/>
              <w:spacing w:line="240" w:lineRule="auto"/>
              <w:ind w:left="0" w:right="-72"/>
              <w:jc w:val="right"/>
              <w:rPr>
                <w:rFonts w:ascii="Arial" w:hAnsi="Arial" w:cs="Arial"/>
              </w:rPr>
            </w:pPr>
            <w:r w:rsidRPr="002D2F67">
              <w:rPr>
                <w:rFonts w:ascii="Arial" w:hAnsi="Arial" w:cs="Arial"/>
              </w:rPr>
              <w:t>-</w:t>
            </w:r>
          </w:p>
        </w:tc>
        <w:tc>
          <w:tcPr>
            <w:tcW w:w="1440" w:type="dxa"/>
            <w:tcBorders>
              <w:bottom w:val="single" w:sz="4" w:space="0" w:color="auto"/>
            </w:tcBorders>
            <w:shd w:val="clear" w:color="auto" w:fill="auto"/>
          </w:tcPr>
          <w:p w14:paraId="7B51F7DE" w14:textId="0CEFCD14" w:rsidR="003F4D68" w:rsidRPr="002D2F67" w:rsidRDefault="003F4D68" w:rsidP="005611FE">
            <w:pPr>
              <w:pStyle w:val="BodyTextIndent2"/>
              <w:spacing w:line="240" w:lineRule="auto"/>
              <w:ind w:left="0" w:right="-72"/>
              <w:jc w:val="right"/>
              <w:rPr>
                <w:rFonts w:ascii="Arial" w:hAnsi="Arial" w:cs="Arial"/>
              </w:rPr>
            </w:pPr>
            <w:r w:rsidRPr="002D2F67">
              <w:rPr>
                <w:rFonts w:ascii="Arial" w:hAnsi="Arial" w:cs="Arial"/>
              </w:rPr>
              <w:t>-</w:t>
            </w:r>
          </w:p>
        </w:tc>
      </w:tr>
      <w:tr w:rsidR="003F4D68" w:rsidRPr="002D2F67" w14:paraId="4EB349DD" w14:textId="77777777" w:rsidTr="00DC7BDB">
        <w:trPr>
          <w:cantSplit/>
        </w:trPr>
        <w:tc>
          <w:tcPr>
            <w:tcW w:w="3330" w:type="dxa"/>
            <w:shd w:val="clear" w:color="auto" w:fill="auto"/>
          </w:tcPr>
          <w:p w14:paraId="6802B466" w14:textId="77777777" w:rsidR="003F4D68" w:rsidRPr="002D2F67" w:rsidRDefault="003F4D68" w:rsidP="005611FE">
            <w:pPr>
              <w:pStyle w:val="BodyTextIndent2"/>
              <w:spacing w:line="240" w:lineRule="auto"/>
              <w:ind w:left="0"/>
              <w:jc w:val="thaiDistribute"/>
              <w:rPr>
                <w:rFonts w:ascii="Arial" w:hAnsi="Arial" w:cs="Arial"/>
                <w:sz w:val="12"/>
                <w:szCs w:val="12"/>
              </w:rPr>
            </w:pPr>
          </w:p>
        </w:tc>
        <w:tc>
          <w:tcPr>
            <w:tcW w:w="1560" w:type="dxa"/>
            <w:tcBorders>
              <w:top w:val="single" w:sz="4" w:space="0" w:color="auto"/>
            </w:tcBorders>
            <w:shd w:val="clear" w:color="auto" w:fill="auto"/>
          </w:tcPr>
          <w:p w14:paraId="4ACF8DA3" w14:textId="77777777" w:rsidR="003F4D68" w:rsidRPr="002D2F67" w:rsidRDefault="003F4D68" w:rsidP="005611FE">
            <w:pPr>
              <w:pStyle w:val="BodyTextIndent2"/>
              <w:spacing w:line="240" w:lineRule="auto"/>
              <w:ind w:left="0"/>
              <w:jc w:val="thaiDistribute"/>
              <w:rPr>
                <w:rFonts w:ascii="Arial" w:hAnsi="Arial" w:cs="Arial"/>
                <w:sz w:val="12"/>
                <w:szCs w:val="12"/>
              </w:rPr>
            </w:pPr>
          </w:p>
        </w:tc>
        <w:tc>
          <w:tcPr>
            <w:tcW w:w="1559" w:type="dxa"/>
            <w:tcBorders>
              <w:top w:val="single" w:sz="4" w:space="0" w:color="auto"/>
            </w:tcBorders>
            <w:shd w:val="clear" w:color="auto" w:fill="auto"/>
          </w:tcPr>
          <w:p w14:paraId="1779853A" w14:textId="77777777" w:rsidR="003F4D68" w:rsidRPr="002D2F67" w:rsidRDefault="003F4D68" w:rsidP="005611FE">
            <w:pPr>
              <w:pStyle w:val="BodyTextIndent2"/>
              <w:spacing w:line="240" w:lineRule="auto"/>
              <w:ind w:left="0"/>
              <w:jc w:val="thaiDistribute"/>
              <w:rPr>
                <w:rFonts w:ascii="Arial" w:hAnsi="Arial" w:cs="Arial"/>
                <w:sz w:val="12"/>
                <w:szCs w:val="12"/>
              </w:rPr>
            </w:pPr>
          </w:p>
        </w:tc>
        <w:tc>
          <w:tcPr>
            <w:tcW w:w="1559" w:type="dxa"/>
            <w:tcBorders>
              <w:top w:val="single" w:sz="4" w:space="0" w:color="auto"/>
            </w:tcBorders>
            <w:shd w:val="clear" w:color="auto" w:fill="auto"/>
          </w:tcPr>
          <w:p w14:paraId="2BF8C1D6" w14:textId="77777777" w:rsidR="003F4D68" w:rsidRPr="002D2F67" w:rsidRDefault="003F4D68" w:rsidP="005611FE">
            <w:pPr>
              <w:pStyle w:val="BodyTextIndent2"/>
              <w:spacing w:line="240" w:lineRule="auto"/>
              <w:ind w:left="0"/>
              <w:jc w:val="thaiDistribute"/>
              <w:rPr>
                <w:rFonts w:ascii="Arial" w:hAnsi="Arial" w:cs="Arial"/>
                <w:sz w:val="12"/>
                <w:szCs w:val="12"/>
              </w:rPr>
            </w:pPr>
          </w:p>
        </w:tc>
        <w:tc>
          <w:tcPr>
            <w:tcW w:w="1440" w:type="dxa"/>
            <w:tcBorders>
              <w:top w:val="single" w:sz="4" w:space="0" w:color="auto"/>
            </w:tcBorders>
            <w:shd w:val="clear" w:color="auto" w:fill="auto"/>
          </w:tcPr>
          <w:p w14:paraId="0130F853" w14:textId="77777777" w:rsidR="003F4D68" w:rsidRPr="002D2F67" w:rsidRDefault="003F4D68" w:rsidP="005611FE">
            <w:pPr>
              <w:pStyle w:val="BodyTextIndent2"/>
              <w:spacing w:line="240" w:lineRule="auto"/>
              <w:ind w:left="0"/>
              <w:jc w:val="thaiDistribute"/>
              <w:rPr>
                <w:rFonts w:ascii="Arial" w:hAnsi="Arial" w:cs="Arial"/>
                <w:sz w:val="12"/>
                <w:szCs w:val="12"/>
              </w:rPr>
            </w:pPr>
          </w:p>
        </w:tc>
      </w:tr>
      <w:tr w:rsidR="003F4D68" w:rsidRPr="002D2F67" w14:paraId="003969AB" w14:textId="77777777" w:rsidTr="00DC7BDB">
        <w:trPr>
          <w:cantSplit/>
          <w:trHeight w:val="251"/>
        </w:trPr>
        <w:tc>
          <w:tcPr>
            <w:tcW w:w="3330" w:type="dxa"/>
            <w:shd w:val="clear" w:color="auto" w:fill="auto"/>
          </w:tcPr>
          <w:p w14:paraId="4F258897" w14:textId="77777777" w:rsidR="003F4D68" w:rsidRPr="002D2F67" w:rsidRDefault="003F4D68" w:rsidP="005611FE">
            <w:pPr>
              <w:pStyle w:val="BodyTextIndent2"/>
              <w:spacing w:line="240" w:lineRule="auto"/>
              <w:ind w:left="-105"/>
              <w:jc w:val="left"/>
              <w:rPr>
                <w:rFonts w:ascii="Arial" w:hAnsi="Arial" w:cs="Arial"/>
              </w:rPr>
            </w:pPr>
            <w:r w:rsidRPr="002D2F67">
              <w:rPr>
                <w:rFonts w:ascii="Arial" w:hAnsi="Arial" w:cs="Arial"/>
              </w:rPr>
              <w:t>Total cash and cash equivalents</w:t>
            </w:r>
          </w:p>
        </w:tc>
        <w:tc>
          <w:tcPr>
            <w:tcW w:w="1560" w:type="dxa"/>
            <w:tcBorders>
              <w:bottom w:val="single" w:sz="4" w:space="0" w:color="auto"/>
            </w:tcBorders>
            <w:shd w:val="clear" w:color="auto" w:fill="auto"/>
          </w:tcPr>
          <w:p w14:paraId="6DF5DDF9" w14:textId="627E6DC3" w:rsidR="003F4D68" w:rsidRPr="002D2F67" w:rsidRDefault="00CD5714" w:rsidP="005611FE">
            <w:pPr>
              <w:pStyle w:val="BodyTextIndent2"/>
              <w:tabs>
                <w:tab w:val="left" w:pos="1223"/>
              </w:tabs>
              <w:spacing w:line="240" w:lineRule="auto"/>
              <w:ind w:left="0" w:right="-72"/>
              <w:jc w:val="right"/>
              <w:rPr>
                <w:rFonts w:ascii="Arial" w:hAnsi="Arial" w:cs="Arial"/>
              </w:rPr>
            </w:pPr>
            <w:r w:rsidRPr="00CD5714">
              <w:rPr>
                <w:rFonts w:ascii="Arial" w:hAnsi="Arial" w:cs="Arial"/>
                <w:lang w:val="en-GB"/>
              </w:rPr>
              <w:t>382</w:t>
            </w:r>
            <w:r w:rsidR="002A474F" w:rsidRPr="002D2F67">
              <w:rPr>
                <w:rFonts w:ascii="Arial" w:hAnsi="Arial" w:cs="Arial"/>
              </w:rPr>
              <w:t>,</w:t>
            </w:r>
            <w:r w:rsidRPr="00CD5714">
              <w:rPr>
                <w:rFonts w:ascii="Arial" w:hAnsi="Arial" w:cs="Arial"/>
                <w:lang w:val="en-GB"/>
              </w:rPr>
              <w:t>746</w:t>
            </w:r>
          </w:p>
        </w:tc>
        <w:tc>
          <w:tcPr>
            <w:tcW w:w="1559" w:type="dxa"/>
            <w:tcBorders>
              <w:bottom w:val="single" w:sz="4" w:space="0" w:color="auto"/>
            </w:tcBorders>
            <w:shd w:val="clear" w:color="auto" w:fill="auto"/>
          </w:tcPr>
          <w:p w14:paraId="0C51807D" w14:textId="273222FE"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2</w:t>
            </w:r>
            <w:r w:rsidR="003F4D68" w:rsidRPr="002D2F67">
              <w:rPr>
                <w:rFonts w:ascii="Arial" w:hAnsi="Arial" w:cs="Arial"/>
              </w:rPr>
              <w:t>,</w:t>
            </w:r>
            <w:r w:rsidRPr="00CD5714">
              <w:rPr>
                <w:rFonts w:ascii="Arial" w:hAnsi="Arial" w:cs="Arial"/>
                <w:lang w:val="en-GB"/>
              </w:rPr>
              <w:t>463</w:t>
            </w:r>
            <w:r w:rsidR="003F4D68" w:rsidRPr="002D2F67">
              <w:rPr>
                <w:rFonts w:ascii="Arial" w:hAnsi="Arial" w:cs="Arial"/>
              </w:rPr>
              <w:t>,</w:t>
            </w:r>
            <w:r w:rsidRPr="00CD5714">
              <w:rPr>
                <w:rFonts w:ascii="Arial" w:hAnsi="Arial" w:cs="Arial"/>
                <w:lang w:val="en-GB"/>
              </w:rPr>
              <w:t>729</w:t>
            </w:r>
          </w:p>
        </w:tc>
        <w:tc>
          <w:tcPr>
            <w:tcW w:w="1559" w:type="dxa"/>
            <w:tcBorders>
              <w:bottom w:val="single" w:sz="4" w:space="0" w:color="auto"/>
            </w:tcBorders>
            <w:shd w:val="clear" w:color="auto" w:fill="auto"/>
          </w:tcPr>
          <w:p w14:paraId="2DBAE599" w14:textId="23365C27"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153</w:t>
            </w:r>
            <w:r w:rsidR="002A474F" w:rsidRPr="002D2F67">
              <w:rPr>
                <w:rFonts w:ascii="Arial" w:hAnsi="Arial" w:cs="Arial"/>
              </w:rPr>
              <w:t>,</w:t>
            </w:r>
            <w:r w:rsidRPr="00CD5714">
              <w:rPr>
                <w:rFonts w:ascii="Arial" w:hAnsi="Arial" w:cs="Arial"/>
                <w:lang w:val="en-GB"/>
              </w:rPr>
              <w:t>116</w:t>
            </w:r>
          </w:p>
        </w:tc>
        <w:tc>
          <w:tcPr>
            <w:tcW w:w="1440" w:type="dxa"/>
            <w:tcBorders>
              <w:bottom w:val="single" w:sz="4" w:space="0" w:color="auto"/>
            </w:tcBorders>
            <w:shd w:val="clear" w:color="auto" w:fill="auto"/>
          </w:tcPr>
          <w:p w14:paraId="7606DC2C" w14:textId="3197EBA8"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708</w:t>
            </w:r>
            <w:r w:rsidR="003F4D68" w:rsidRPr="002D2F67">
              <w:rPr>
                <w:rFonts w:ascii="Arial" w:hAnsi="Arial" w:cs="Arial"/>
              </w:rPr>
              <w:t>,</w:t>
            </w:r>
            <w:r w:rsidRPr="00CD5714">
              <w:rPr>
                <w:rFonts w:ascii="Arial" w:hAnsi="Arial" w:cs="Arial"/>
                <w:lang w:val="en-GB"/>
              </w:rPr>
              <w:t>019</w:t>
            </w:r>
          </w:p>
        </w:tc>
      </w:tr>
    </w:tbl>
    <w:p w14:paraId="057F0DEE" w14:textId="3B80A222" w:rsidR="00D90B0C" w:rsidRPr="002D2F67" w:rsidRDefault="00706C8B" w:rsidP="00706C8B">
      <w:pPr>
        <w:pStyle w:val="BodyTextIndent2"/>
        <w:spacing w:line="240" w:lineRule="auto"/>
        <w:ind w:left="0"/>
        <w:jc w:val="thaiDistribute"/>
        <w:rPr>
          <w:rFonts w:ascii="Arial" w:hAnsi="Arial" w:cs="Arial"/>
        </w:rPr>
      </w:pPr>
      <w:r w:rsidRPr="002D2F67">
        <w:rPr>
          <w:rFonts w:ascii="Arial" w:hAnsi="Arial" w:cs="Arial"/>
          <w:sz w:val="16"/>
          <w:szCs w:val="16"/>
        </w:rPr>
        <w:br w:type="page"/>
      </w:r>
    </w:p>
    <w:p w14:paraId="64FCFF10" w14:textId="4C45B646" w:rsidR="001845CC"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11</w:t>
      </w:r>
      <w:r w:rsidR="001845CC" w:rsidRPr="002D2F67">
        <w:rPr>
          <w:rFonts w:ascii="Arial" w:hAnsi="Arial" w:cs="Arial"/>
          <w:b/>
          <w:bCs/>
          <w:color w:val="000000"/>
          <w:kern w:val="26"/>
          <w:position w:val="-24"/>
          <w:sz w:val="20"/>
          <w:szCs w:val="20"/>
          <w:cs/>
        </w:rPr>
        <w:tab/>
      </w:r>
      <w:r w:rsidR="001845CC" w:rsidRPr="002D2F67">
        <w:rPr>
          <w:rFonts w:ascii="Arial" w:hAnsi="Arial" w:cs="Arial"/>
          <w:b/>
          <w:bCs/>
          <w:color w:val="000000"/>
          <w:kern w:val="26"/>
          <w:position w:val="-24"/>
          <w:sz w:val="20"/>
          <w:szCs w:val="20"/>
        </w:rPr>
        <w:t>Deposits at financial institutions used as collateral</w:t>
      </w:r>
    </w:p>
    <w:p w14:paraId="7E5D06D4" w14:textId="77777777" w:rsidR="00FF408A" w:rsidRPr="002D2F67" w:rsidRDefault="00FF408A" w:rsidP="005611FE">
      <w:pPr>
        <w:pStyle w:val="BodyTextIndent2"/>
        <w:spacing w:line="240" w:lineRule="auto"/>
        <w:ind w:left="0"/>
        <w:jc w:val="left"/>
        <w:rPr>
          <w:rFonts w:ascii="Arial" w:hAnsi="Arial" w:cs="Arial"/>
          <w:spacing w:val="-2"/>
          <w:sz w:val="16"/>
          <w:szCs w:val="16"/>
        </w:rPr>
      </w:pPr>
    </w:p>
    <w:p w14:paraId="3404C6E7" w14:textId="0B94A315" w:rsidR="00FF408A" w:rsidRPr="002D2F67" w:rsidRDefault="00FF408A" w:rsidP="005611FE">
      <w:pPr>
        <w:jc w:val="both"/>
        <w:rPr>
          <w:rFonts w:ascii="Arial" w:hAnsi="Arial" w:cs="Arial"/>
          <w:color w:val="000000"/>
          <w:spacing w:val="-2"/>
          <w:sz w:val="20"/>
          <w:szCs w:val="20"/>
        </w:rPr>
      </w:pPr>
      <w:r w:rsidRPr="002D2F67">
        <w:rPr>
          <w:rFonts w:ascii="Arial" w:hAnsi="Arial" w:cs="Arial"/>
          <w:color w:val="000000"/>
          <w:spacing w:val="-4"/>
          <w:sz w:val="20"/>
          <w:szCs w:val="20"/>
        </w:rPr>
        <w:t xml:space="preserve">As </w:t>
      </w:r>
      <w:proofErr w:type="gramStart"/>
      <w:r w:rsidRPr="002D2F67">
        <w:rPr>
          <w:rFonts w:ascii="Arial" w:hAnsi="Arial" w:cs="Arial"/>
          <w:color w:val="000000"/>
          <w:spacing w:val="-4"/>
          <w:sz w:val="20"/>
          <w:szCs w:val="20"/>
        </w:rPr>
        <w:t>at</w:t>
      </w:r>
      <w:proofErr w:type="gramEnd"/>
      <w:r w:rsidRPr="002D2F67">
        <w:rPr>
          <w:rFonts w:ascii="Arial" w:hAnsi="Arial" w:cs="Arial"/>
          <w:color w:val="000000"/>
          <w:spacing w:val="-4"/>
          <w:sz w:val="20"/>
          <w:szCs w:val="20"/>
        </w:rPr>
        <w:t xml:space="preserve"> </w:t>
      </w:r>
      <w:r w:rsidR="00CD5714" w:rsidRPr="00CD5714">
        <w:rPr>
          <w:rFonts w:ascii="Arial" w:hAnsi="Arial" w:cs="Arial"/>
          <w:color w:val="000000"/>
          <w:spacing w:val="-4"/>
          <w:sz w:val="20"/>
          <w:szCs w:val="20"/>
          <w:lang w:val="en-GB"/>
        </w:rPr>
        <w:t>31</w:t>
      </w:r>
      <w:r w:rsidRPr="002D2F67">
        <w:rPr>
          <w:rFonts w:ascii="Arial" w:hAnsi="Arial" w:cs="Arial"/>
          <w:color w:val="000000"/>
          <w:spacing w:val="-4"/>
          <w:sz w:val="20"/>
          <w:szCs w:val="20"/>
        </w:rPr>
        <w:t xml:space="preserve"> December </w:t>
      </w:r>
      <w:r w:rsidR="00CD5714" w:rsidRPr="00CD5714">
        <w:rPr>
          <w:rFonts w:ascii="Arial" w:hAnsi="Arial" w:cs="Arial"/>
          <w:color w:val="000000"/>
          <w:spacing w:val="-4"/>
          <w:sz w:val="20"/>
          <w:szCs w:val="20"/>
          <w:lang w:val="en-GB"/>
        </w:rPr>
        <w:t>2024</w:t>
      </w:r>
      <w:r w:rsidRPr="002D2F67">
        <w:rPr>
          <w:rFonts w:ascii="Arial" w:hAnsi="Arial" w:cs="Arial"/>
          <w:color w:val="000000"/>
          <w:spacing w:val="-4"/>
          <w:sz w:val="20"/>
          <w:szCs w:val="20"/>
        </w:rPr>
        <w:t xml:space="preserve">, deposits at financial institutions of the Group and the Company </w:t>
      </w:r>
      <w:r w:rsidR="00557173" w:rsidRPr="002D2F67">
        <w:rPr>
          <w:rFonts w:ascii="Arial" w:hAnsi="Arial" w:cs="Arial"/>
          <w:color w:val="000000"/>
          <w:spacing w:val="-4"/>
          <w:sz w:val="20"/>
          <w:szCs w:val="25"/>
        </w:rPr>
        <w:t>of</w:t>
      </w:r>
      <w:r w:rsidRPr="002D2F67">
        <w:rPr>
          <w:rFonts w:ascii="Arial" w:hAnsi="Arial" w:cs="Arial"/>
          <w:color w:val="000000"/>
          <w:sz w:val="20"/>
          <w:szCs w:val="20"/>
        </w:rPr>
        <w:t xml:space="preserve"> Baht </w:t>
      </w:r>
      <w:r w:rsidR="00CD5714" w:rsidRPr="00CD5714">
        <w:rPr>
          <w:rFonts w:ascii="Arial" w:hAnsi="Arial" w:cs="Arial"/>
          <w:color w:val="000000"/>
          <w:sz w:val="20"/>
          <w:szCs w:val="20"/>
          <w:lang w:val="en-GB"/>
        </w:rPr>
        <w:t>515</w:t>
      </w:r>
      <w:r w:rsidR="0016481E" w:rsidRPr="002D2F67">
        <w:rPr>
          <w:rFonts w:ascii="Arial" w:hAnsi="Arial" w:cs="Arial"/>
          <w:color w:val="000000"/>
          <w:sz w:val="20"/>
          <w:szCs w:val="20"/>
        </w:rPr>
        <w:t xml:space="preserve"> </w:t>
      </w:r>
      <w:r w:rsidRPr="002D2F67">
        <w:rPr>
          <w:rFonts w:ascii="Arial" w:hAnsi="Arial" w:cs="Arial"/>
          <w:color w:val="000000"/>
          <w:sz w:val="20"/>
          <w:szCs w:val="20"/>
        </w:rPr>
        <w:t>million and Baht</w:t>
      </w:r>
      <w:r w:rsidR="002A474F"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254</w:t>
      </w:r>
      <w:r w:rsidR="0016481E" w:rsidRPr="002D2F67">
        <w:rPr>
          <w:rFonts w:ascii="Arial" w:hAnsi="Arial" w:cs="Arial"/>
          <w:color w:val="000000"/>
          <w:sz w:val="20"/>
          <w:szCs w:val="20"/>
        </w:rPr>
        <w:t xml:space="preserve"> </w:t>
      </w:r>
      <w:r w:rsidRPr="002D2F67">
        <w:rPr>
          <w:rFonts w:ascii="Arial" w:hAnsi="Arial" w:cs="Arial"/>
          <w:color w:val="000000"/>
          <w:sz w:val="20"/>
          <w:szCs w:val="20"/>
        </w:rPr>
        <w:t>million</w:t>
      </w:r>
      <w:r w:rsidR="00E11082" w:rsidRPr="002D2F67">
        <w:rPr>
          <w:rFonts w:ascii="Arial" w:hAnsi="Arial" w:cs="Arial"/>
          <w:color w:val="000000"/>
          <w:sz w:val="20"/>
          <w:szCs w:val="20"/>
        </w:rPr>
        <w:t>, respectively</w:t>
      </w:r>
      <w:r w:rsidR="002A474F" w:rsidRPr="002D2F67">
        <w:rPr>
          <w:rFonts w:ascii="Arial" w:hAnsi="Arial" w:cs="Arial"/>
          <w:color w:val="000000"/>
          <w:sz w:val="20"/>
          <w:szCs w:val="20"/>
        </w:rPr>
        <w:t xml:space="preserve"> </w:t>
      </w:r>
      <w:r w:rsidR="002A474F"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2023</w:t>
      </w:r>
      <w:r w:rsidR="002A474F" w:rsidRPr="002D2F67">
        <w:rPr>
          <w:rFonts w:ascii="Arial" w:hAnsi="Arial" w:cs="Arial"/>
          <w:color w:val="000000"/>
          <w:spacing w:val="-4"/>
          <w:sz w:val="20"/>
          <w:szCs w:val="20"/>
        </w:rPr>
        <w:t xml:space="preserve">: Baht </w:t>
      </w:r>
      <w:r w:rsidR="00CD5714" w:rsidRPr="00CD5714">
        <w:rPr>
          <w:rFonts w:ascii="Arial" w:hAnsi="Arial" w:cs="Arial"/>
          <w:color w:val="000000"/>
          <w:spacing w:val="-4"/>
          <w:sz w:val="20"/>
          <w:szCs w:val="20"/>
          <w:lang w:val="en-GB"/>
        </w:rPr>
        <w:t>130</w:t>
      </w:r>
      <w:r w:rsidR="002A474F" w:rsidRPr="002D2F67">
        <w:rPr>
          <w:rFonts w:ascii="Arial" w:hAnsi="Arial" w:cs="Arial"/>
          <w:color w:val="000000"/>
          <w:spacing w:val="-4"/>
          <w:sz w:val="20"/>
          <w:szCs w:val="20"/>
        </w:rPr>
        <w:t xml:space="preserve"> million</w:t>
      </w:r>
      <w:r w:rsidRPr="002D2F67">
        <w:rPr>
          <w:rFonts w:ascii="Arial" w:hAnsi="Arial" w:cs="Arial"/>
          <w:color w:val="000000"/>
          <w:sz w:val="20"/>
          <w:szCs w:val="20"/>
        </w:rPr>
        <w:t xml:space="preserve"> </w:t>
      </w:r>
      <w:r w:rsidR="002A474F" w:rsidRPr="002D2F67">
        <w:rPr>
          <w:rFonts w:ascii="Arial" w:hAnsi="Arial" w:cs="Arial"/>
          <w:color w:val="000000"/>
          <w:sz w:val="20"/>
          <w:szCs w:val="20"/>
        </w:rPr>
        <w:t xml:space="preserve">and Baht </w:t>
      </w:r>
      <w:r w:rsidR="00CD5714" w:rsidRPr="00CD5714">
        <w:rPr>
          <w:rFonts w:ascii="Arial" w:hAnsi="Arial" w:cs="Arial"/>
          <w:color w:val="000000"/>
          <w:sz w:val="20"/>
          <w:szCs w:val="20"/>
          <w:lang w:val="en-GB"/>
        </w:rPr>
        <w:t>0</w:t>
      </w:r>
      <w:r w:rsidR="002A474F" w:rsidRPr="002D2F67">
        <w:rPr>
          <w:rFonts w:ascii="Arial" w:hAnsi="Arial" w:cs="Arial"/>
          <w:color w:val="000000"/>
          <w:sz w:val="20"/>
          <w:szCs w:val="20"/>
        </w:rPr>
        <w:t>.</w:t>
      </w:r>
      <w:r w:rsidR="00CD5714" w:rsidRPr="00CD5714">
        <w:rPr>
          <w:rFonts w:ascii="Arial" w:hAnsi="Arial" w:cs="Arial"/>
          <w:color w:val="000000"/>
          <w:sz w:val="20"/>
          <w:szCs w:val="20"/>
          <w:lang w:val="en-GB"/>
        </w:rPr>
        <w:t>02</w:t>
      </w:r>
      <w:r w:rsidR="002A474F" w:rsidRPr="002D2F67">
        <w:rPr>
          <w:rFonts w:ascii="Arial" w:hAnsi="Arial" w:cs="Arial"/>
          <w:color w:val="000000"/>
          <w:sz w:val="20"/>
          <w:szCs w:val="20"/>
        </w:rPr>
        <w:t xml:space="preserve"> million, respectively) </w:t>
      </w:r>
      <w:r w:rsidRPr="002D2F67">
        <w:rPr>
          <w:rFonts w:ascii="Arial" w:hAnsi="Arial" w:cs="Arial"/>
          <w:color w:val="000000"/>
          <w:sz w:val="20"/>
          <w:szCs w:val="20"/>
        </w:rPr>
        <w:t>are pledged as collateral for issuing the letters of guarantee by commercial banks</w:t>
      </w:r>
      <w:r w:rsidR="005B3748" w:rsidRPr="002D2F67">
        <w:rPr>
          <w:rFonts w:ascii="Arial" w:hAnsi="Arial" w:cs="Arial"/>
          <w:color w:val="000000"/>
          <w:sz w:val="20"/>
          <w:szCs w:val="20"/>
        </w:rPr>
        <w:t xml:space="preserve"> and long-term loans from financial institutions.</w:t>
      </w:r>
      <w:r w:rsidRPr="002D2F67">
        <w:rPr>
          <w:rFonts w:ascii="Arial" w:hAnsi="Arial" w:cs="Arial"/>
          <w:color w:val="000000"/>
          <w:sz w:val="20"/>
          <w:szCs w:val="20"/>
        </w:rPr>
        <w:t xml:space="preserve"> </w:t>
      </w:r>
      <w:r w:rsidR="005B3748" w:rsidRPr="002D2F67">
        <w:rPr>
          <w:rFonts w:ascii="Arial" w:hAnsi="Arial" w:cs="Arial"/>
          <w:color w:val="000000"/>
          <w:sz w:val="20"/>
          <w:szCs w:val="20"/>
        </w:rPr>
        <w:t xml:space="preserve">The </w:t>
      </w:r>
      <w:r w:rsidRPr="002D2F67">
        <w:rPr>
          <w:rFonts w:ascii="Arial" w:hAnsi="Arial" w:cs="Arial"/>
          <w:color w:val="000000"/>
          <w:sz w:val="20"/>
          <w:szCs w:val="20"/>
        </w:rPr>
        <w:t xml:space="preserve">deposits at financial </w:t>
      </w:r>
      <w:r w:rsidRPr="002D2F67">
        <w:rPr>
          <w:rFonts w:ascii="Arial" w:hAnsi="Arial" w:cs="Arial"/>
          <w:color w:val="000000"/>
          <w:spacing w:val="-4"/>
          <w:sz w:val="20"/>
          <w:szCs w:val="20"/>
        </w:rPr>
        <w:t>institutions of the Group</w:t>
      </w:r>
      <w:r w:rsidR="00050295" w:rsidRPr="002D2F67">
        <w:rPr>
          <w:rFonts w:ascii="Arial" w:hAnsi="Arial" w:cs="Arial"/>
          <w:color w:val="000000"/>
          <w:spacing w:val="-4"/>
          <w:sz w:val="20"/>
          <w:szCs w:val="20"/>
        </w:rPr>
        <w:t xml:space="preserve"> </w:t>
      </w:r>
      <w:r w:rsidR="00557173" w:rsidRPr="002D2F67">
        <w:rPr>
          <w:rFonts w:ascii="Arial" w:hAnsi="Arial" w:cs="Arial"/>
          <w:color w:val="000000"/>
          <w:spacing w:val="-4"/>
          <w:sz w:val="20"/>
          <w:szCs w:val="20"/>
        </w:rPr>
        <w:t>of</w:t>
      </w:r>
      <w:r w:rsidRPr="002D2F67">
        <w:rPr>
          <w:rFonts w:ascii="Arial" w:hAnsi="Arial" w:cs="Arial"/>
          <w:color w:val="000000"/>
          <w:spacing w:val="-4"/>
          <w:sz w:val="20"/>
          <w:szCs w:val="20"/>
        </w:rPr>
        <w:t xml:space="preserve"> </w:t>
      </w:r>
      <w:bookmarkStart w:id="4" w:name="_Hlk127524336"/>
      <w:r w:rsidR="00354CFD" w:rsidRPr="002D2F67">
        <w:rPr>
          <w:rFonts w:ascii="Arial" w:hAnsi="Arial" w:cs="Arial"/>
          <w:color w:val="000000"/>
          <w:spacing w:val="-4"/>
          <w:sz w:val="20"/>
          <w:szCs w:val="20"/>
        </w:rPr>
        <w:t xml:space="preserve">Taiwan Dollar </w:t>
      </w:r>
      <w:r w:rsidR="00CD5714" w:rsidRPr="00CD5714">
        <w:rPr>
          <w:rFonts w:ascii="Arial" w:hAnsi="Arial" w:cs="Arial"/>
          <w:color w:val="000000"/>
          <w:spacing w:val="-4"/>
          <w:sz w:val="20"/>
          <w:szCs w:val="20"/>
          <w:lang w:val="en-GB"/>
        </w:rPr>
        <w:t>0</w:t>
      </w:r>
      <w:r w:rsidR="00B104F1"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27</w:t>
      </w:r>
      <w:r w:rsidR="0016481E" w:rsidRPr="002D2F67">
        <w:rPr>
          <w:rFonts w:ascii="Arial" w:hAnsi="Arial" w:cs="Arial"/>
          <w:color w:val="000000"/>
          <w:spacing w:val="-4"/>
          <w:sz w:val="20"/>
          <w:szCs w:val="20"/>
        </w:rPr>
        <w:t xml:space="preserve"> </w:t>
      </w:r>
      <w:r w:rsidR="00354CFD" w:rsidRPr="002D2F67">
        <w:rPr>
          <w:rFonts w:ascii="Arial" w:hAnsi="Arial" w:cs="Arial"/>
          <w:color w:val="000000"/>
          <w:spacing w:val="-4"/>
          <w:sz w:val="20"/>
          <w:szCs w:val="20"/>
        </w:rPr>
        <w:t xml:space="preserve">million or equivalent </w:t>
      </w:r>
      <w:bookmarkEnd w:id="4"/>
      <w:r w:rsidR="00354CFD" w:rsidRPr="002D2F67">
        <w:rPr>
          <w:rFonts w:ascii="Arial" w:hAnsi="Arial" w:cs="Arial"/>
          <w:color w:val="000000"/>
          <w:spacing w:val="-4"/>
          <w:sz w:val="20"/>
          <w:szCs w:val="20"/>
        </w:rPr>
        <w:t xml:space="preserve">to </w:t>
      </w:r>
      <w:r w:rsidRPr="002D2F67">
        <w:rPr>
          <w:rFonts w:ascii="Arial" w:hAnsi="Arial" w:cs="Arial"/>
          <w:color w:val="000000"/>
          <w:spacing w:val="-4"/>
          <w:sz w:val="20"/>
          <w:szCs w:val="20"/>
        </w:rPr>
        <w:t xml:space="preserve">Baht </w:t>
      </w:r>
      <w:r w:rsidR="00CD5714" w:rsidRPr="00CD5714">
        <w:rPr>
          <w:rFonts w:ascii="Arial" w:hAnsi="Arial" w:cs="Arial"/>
          <w:color w:val="000000"/>
          <w:spacing w:val="-4"/>
          <w:sz w:val="20"/>
          <w:szCs w:val="20"/>
          <w:lang w:val="en-GB"/>
        </w:rPr>
        <w:t>0</w:t>
      </w:r>
      <w:r w:rsidR="00B104F1"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28</w:t>
      </w:r>
      <w:r w:rsidR="00B104F1" w:rsidRPr="002D2F67">
        <w:rPr>
          <w:rFonts w:ascii="Arial" w:hAnsi="Arial" w:cs="Arial"/>
          <w:color w:val="000000"/>
          <w:spacing w:val="-4"/>
          <w:sz w:val="20"/>
          <w:szCs w:val="20"/>
        </w:rPr>
        <w:t xml:space="preserve"> </w:t>
      </w:r>
      <w:r w:rsidRPr="002D2F67">
        <w:rPr>
          <w:rFonts w:ascii="Arial" w:hAnsi="Arial" w:cs="Arial"/>
          <w:color w:val="000000"/>
          <w:spacing w:val="-4"/>
          <w:sz w:val="20"/>
          <w:szCs w:val="20"/>
        </w:rPr>
        <w:t>million (</w:t>
      </w:r>
      <w:r w:rsidR="00CD5714" w:rsidRPr="00CD5714">
        <w:rPr>
          <w:rFonts w:ascii="Arial" w:hAnsi="Arial" w:cs="Arial"/>
          <w:color w:val="000000"/>
          <w:spacing w:val="-4"/>
          <w:sz w:val="20"/>
          <w:szCs w:val="20"/>
          <w:lang w:val="en-GB"/>
        </w:rPr>
        <w:t>2023</w:t>
      </w:r>
      <w:r w:rsidRPr="002D2F67">
        <w:rPr>
          <w:rFonts w:ascii="Arial" w:hAnsi="Arial" w:cs="Arial"/>
          <w:color w:val="000000"/>
          <w:spacing w:val="-4"/>
          <w:sz w:val="20"/>
          <w:szCs w:val="20"/>
        </w:rPr>
        <w:t xml:space="preserve">: </w:t>
      </w:r>
      <w:r w:rsidR="003F4D68" w:rsidRPr="002D2F67">
        <w:rPr>
          <w:rFonts w:ascii="Arial" w:hAnsi="Arial" w:cs="Arial"/>
          <w:color w:val="000000"/>
          <w:spacing w:val="-4"/>
          <w:sz w:val="20"/>
          <w:szCs w:val="20"/>
        </w:rPr>
        <w:t xml:space="preserve">Taiwan Dollar </w:t>
      </w:r>
      <w:r w:rsidR="00CD5714" w:rsidRPr="00CD5714">
        <w:rPr>
          <w:rFonts w:ascii="Arial" w:hAnsi="Arial" w:cs="Arial"/>
          <w:color w:val="000000"/>
          <w:spacing w:val="-4"/>
          <w:sz w:val="20"/>
          <w:szCs w:val="20"/>
          <w:lang w:val="en-GB"/>
        </w:rPr>
        <w:t>9</w:t>
      </w:r>
      <w:r w:rsidR="003F4D68" w:rsidRPr="002D2F67">
        <w:rPr>
          <w:rFonts w:ascii="Arial" w:hAnsi="Arial" w:cs="Arial"/>
          <w:color w:val="000000"/>
          <w:spacing w:val="-4"/>
          <w:sz w:val="20"/>
          <w:szCs w:val="20"/>
        </w:rPr>
        <w:t xml:space="preserve"> million or equivalent to Baht </w:t>
      </w:r>
      <w:r w:rsidR="00CD5714" w:rsidRPr="00CD5714">
        <w:rPr>
          <w:rFonts w:ascii="Arial" w:hAnsi="Arial" w:cs="Arial"/>
          <w:color w:val="000000"/>
          <w:spacing w:val="-4"/>
          <w:sz w:val="20"/>
          <w:szCs w:val="20"/>
          <w:lang w:val="en-GB"/>
        </w:rPr>
        <w:t>10</w:t>
      </w:r>
      <w:r w:rsidR="003F4D68" w:rsidRPr="002D2F67">
        <w:rPr>
          <w:rFonts w:ascii="Arial" w:hAnsi="Arial" w:cs="Arial"/>
          <w:color w:val="000000"/>
          <w:spacing w:val="-4"/>
          <w:sz w:val="20"/>
          <w:szCs w:val="20"/>
        </w:rPr>
        <w:t xml:space="preserve"> million</w:t>
      </w:r>
      <w:r w:rsidRPr="002D2F67">
        <w:rPr>
          <w:rFonts w:ascii="Arial" w:hAnsi="Arial" w:cs="Arial"/>
          <w:color w:val="000000"/>
          <w:spacing w:val="-2"/>
          <w:sz w:val="20"/>
          <w:szCs w:val="20"/>
        </w:rPr>
        <w:t xml:space="preserve">) are pledged as collateral for short-term loans from financial institutions. </w:t>
      </w:r>
    </w:p>
    <w:p w14:paraId="364F5D5E" w14:textId="6851EA26" w:rsidR="00FF408A" w:rsidRPr="002D2F67" w:rsidRDefault="00FF408A" w:rsidP="005611FE">
      <w:pPr>
        <w:pStyle w:val="BodyTextIndent2"/>
        <w:spacing w:line="240" w:lineRule="auto"/>
        <w:ind w:left="0"/>
        <w:jc w:val="left"/>
        <w:rPr>
          <w:rFonts w:ascii="Arial" w:hAnsi="Arial" w:cs="Arial"/>
          <w:spacing w:val="-2"/>
          <w:sz w:val="16"/>
          <w:szCs w:val="16"/>
        </w:rPr>
      </w:pPr>
    </w:p>
    <w:p w14:paraId="29909BBB" w14:textId="03C7D0AD" w:rsidR="002F7D30" w:rsidRPr="002D2F67" w:rsidRDefault="002F7D30" w:rsidP="005611FE">
      <w:pPr>
        <w:pStyle w:val="BodyTextIndent2"/>
        <w:spacing w:line="240" w:lineRule="auto"/>
        <w:ind w:left="0"/>
        <w:jc w:val="left"/>
        <w:rPr>
          <w:rFonts w:ascii="Arial" w:hAnsi="Arial" w:cs="Arial"/>
          <w:spacing w:val="-2"/>
          <w:sz w:val="16"/>
          <w:szCs w:val="16"/>
        </w:rPr>
      </w:pPr>
    </w:p>
    <w:p w14:paraId="1EEE51C6" w14:textId="7FF9E730" w:rsidR="001845CC"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12</w:t>
      </w:r>
      <w:r w:rsidR="001845CC" w:rsidRPr="002D2F67">
        <w:rPr>
          <w:rFonts w:ascii="Arial" w:hAnsi="Arial" w:cs="Arial"/>
          <w:b/>
          <w:bCs/>
          <w:color w:val="000000"/>
          <w:kern w:val="26"/>
          <w:position w:val="-24"/>
          <w:sz w:val="20"/>
          <w:szCs w:val="20"/>
          <w:cs/>
        </w:rPr>
        <w:tab/>
      </w:r>
      <w:r w:rsidR="001845CC" w:rsidRPr="002D2F67">
        <w:rPr>
          <w:rFonts w:ascii="Arial" w:hAnsi="Arial" w:cs="Arial"/>
          <w:b/>
          <w:bCs/>
          <w:color w:val="000000"/>
          <w:kern w:val="26"/>
          <w:position w:val="-24"/>
          <w:sz w:val="20"/>
          <w:szCs w:val="20"/>
        </w:rPr>
        <w:t>Trade</w:t>
      </w:r>
      <w:r w:rsidR="00CF2B96" w:rsidRPr="002D2F67">
        <w:rPr>
          <w:rFonts w:ascii="Arial" w:hAnsi="Arial" w:cs="Arial"/>
          <w:b/>
          <w:bCs/>
          <w:color w:val="000000"/>
          <w:kern w:val="26"/>
          <w:position w:val="-24"/>
          <w:sz w:val="20"/>
          <w:szCs w:val="20"/>
        </w:rPr>
        <w:t xml:space="preserve"> a</w:t>
      </w:r>
      <w:r w:rsidR="001845CC" w:rsidRPr="002D2F67">
        <w:rPr>
          <w:rFonts w:ascii="Arial" w:hAnsi="Arial" w:cs="Arial"/>
          <w:b/>
          <w:bCs/>
          <w:color w:val="000000"/>
          <w:kern w:val="26"/>
          <w:position w:val="-24"/>
          <w:sz w:val="20"/>
          <w:szCs w:val="20"/>
        </w:rPr>
        <w:t>ccounts receivable, net</w:t>
      </w:r>
    </w:p>
    <w:p w14:paraId="37C3ED86" w14:textId="77777777" w:rsidR="00FF408A" w:rsidRPr="002D2F67" w:rsidRDefault="00FF408A" w:rsidP="005611FE">
      <w:pPr>
        <w:pStyle w:val="BodyTextIndent2"/>
        <w:spacing w:line="240" w:lineRule="auto"/>
        <w:ind w:left="0"/>
        <w:jc w:val="left"/>
        <w:rPr>
          <w:rFonts w:ascii="Arial" w:hAnsi="Arial" w:cs="Arial"/>
          <w:spacing w:val="-2"/>
          <w:sz w:val="16"/>
          <w:szCs w:val="16"/>
        </w:rPr>
      </w:pPr>
    </w:p>
    <w:p w14:paraId="32B65C29" w14:textId="7071BDA8" w:rsidR="00FF408A" w:rsidRPr="002D2F67" w:rsidRDefault="00FF408A" w:rsidP="005611FE">
      <w:pPr>
        <w:jc w:val="both"/>
        <w:rPr>
          <w:rFonts w:ascii="Arial" w:hAnsi="Arial" w:cs="Arial"/>
          <w:color w:val="000000"/>
          <w:sz w:val="20"/>
          <w:szCs w:val="20"/>
        </w:rPr>
      </w:pPr>
      <w:r w:rsidRPr="002D2F67">
        <w:rPr>
          <w:rFonts w:ascii="Arial" w:hAnsi="Arial" w:cs="Arial"/>
          <w:color w:val="000000"/>
          <w:sz w:val="20"/>
          <w:szCs w:val="20"/>
        </w:rPr>
        <w:t xml:space="preserve">Trade accounts receivable, net as </w:t>
      </w:r>
      <w:proofErr w:type="gramStart"/>
      <w:r w:rsidRPr="002D2F67">
        <w:rPr>
          <w:rFonts w:ascii="Arial" w:hAnsi="Arial" w:cs="Arial"/>
          <w:color w:val="000000"/>
          <w:sz w:val="20"/>
          <w:szCs w:val="20"/>
        </w:rPr>
        <w:t>at</w:t>
      </w:r>
      <w:proofErr w:type="gramEnd"/>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31</w:t>
      </w:r>
      <w:r w:rsidRPr="002D2F67">
        <w:rPr>
          <w:rFonts w:ascii="Arial" w:hAnsi="Arial" w:cs="Arial"/>
          <w:color w:val="000000"/>
          <w:sz w:val="20"/>
          <w:szCs w:val="20"/>
        </w:rPr>
        <w:t xml:space="preserve"> December can be analysed </w:t>
      </w:r>
      <w:r w:rsidR="00DD6267" w:rsidRPr="002D2F67">
        <w:rPr>
          <w:rFonts w:ascii="Arial" w:hAnsi="Arial" w:cs="Arial"/>
          <w:color w:val="000000"/>
          <w:sz w:val="20"/>
          <w:szCs w:val="20"/>
        </w:rPr>
        <w:t xml:space="preserve">by aging </w:t>
      </w:r>
      <w:r w:rsidRPr="002D2F67">
        <w:rPr>
          <w:rFonts w:ascii="Arial" w:hAnsi="Arial" w:cs="Arial"/>
          <w:color w:val="000000"/>
          <w:sz w:val="20"/>
          <w:szCs w:val="20"/>
        </w:rPr>
        <w:t>as follow</w:t>
      </w:r>
      <w:r w:rsidR="00605790" w:rsidRPr="002D2F67">
        <w:rPr>
          <w:rFonts w:ascii="Arial" w:hAnsi="Arial" w:cs="Arial"/>
          <w:color w:val="000000"/>
          <w:sz w:val="20"/>
          <w:szCs w:val="20"/>
        </w:rPr>
        <w:t>s</w:t>
      </w:r>
      <w:r w:rsidRPr="002D2F67">
        <w:rPr>
          <w:rFonts w:ascii="Arial" w:hAnsi="Arial" w:cs="Arial"/>
          <w:color w:val="000000"/>
          <w:sz w:val="20"/>
          <w:szCs w:val="20"/>
        </w:rPr>
        <w:t>:</w:t>
      </w:r>
    </w:p>
    <w:p w14:paraId="18FA66C4" w14:textId="77777777" w:rsidR="00FF408A" w:rsidRPr="002D2F67" w:rsidRDefault="00FF408A" w:rsidP="00706C8B">
      <w:pPr>
        <w:pStyle w:val="BodyTextIndent2"/>
        <w:spacing w:line="240" w:lineRule="auto"/>
        <w:ind w:left="0"/>
        <w:jc w:val="left"/>
        <w:rPr>
          <w:rFonts w:ascii="Arial" w:hAnsi="Arial" w:cs="Arial"/>
          <w:spacing w:val="-2"/>
          <w:sz w:val="16"/>
          <w:szCs w:val="16"/>
        </w:rPr>
      </w:pPr>
    </w:p>
    <w:tbl>
      <w:tblPr>
        <w:tblW w:w="9470" w:type="dxa"/>
        <w:tblInd w:w="108" w:type="dxa"/>
        <w:tblLook w:val="04A0" w:firstRow="1" w:lastRow="0" w:firstColumn="1" w:lastColumn="0" w:noHBand="0" w:noVBand="1"/>
      </w:tblPr>
      <w:tblGrid>
        <w:gridCol w:w="3658"/>
        <w:gridCol w:w="1559"/>
        <w:gridCol w:w="1418"/>
        <w:gridCol w:w="1417"/>
        <w:gridCol w:w="1418"/>
      </w:tblGrid>
      <w:tr w:rsidR="00CD2D57" w:rsidRPr="002D2F67" w14:paraId="3D1FFDDC" w14:textId="77777777" w:rsidTr="008255E8">
        <w:tc>
          <w:tcPr>
            <w:tcW w:w="3658" w:type="dxa"/>
            <w:shd w:val="clear" w:color="auto" w:fill="auto"/>
          </w:tcPr>
          <w:p w14:paraId="44992C79" w14:textId="77777777" w:rsidR="00197477" w:rsidRPr="002D2F67" w:rsidRDefault="00197477" w:rsidP="005611FE">
            <w:pPr>
              <w:ind w:left="-101"/>
              <w:rPr>
                <w:rFonts w:ascii="Arial" w:eastAsia="Arial Unicode MS" w:hAnsi="Arial" w:cs="Arial"/>
                <w:b/>
                <w:bCs/>
                <w:snapToGrid w:val="0"/>
                <w:color w:val="000000"/>
                <w:sz w:val="20"/>
                <w:szCs w:val="20"/>
                <w:lang w:eastAsia="th-TH"/>
              </w:rPr>
            </w:pPr>
          </w:p>
        </w:tc>
        <w:tc>
          <w:tcPr>
            <w:tcW w:w="2977" w:type="dxa"/>
            <w:gridSpan w:val="2"/>
            <w:tcBorders>
              <w:bottom w:val="single" w:sz="4" w:space="0" w:color="auto"/>
            </w:tcBorders>
            <w:shd w:val="clear" w:color="auto" w:fill="auto"/>
          </w:tcPr>
          <w:p w14:paraId="5B76277A" w14:textId="20089622" w:rsidR="00197477" w:rsidRPr="002D2F67" w:rsidRDefault="004D2CF3" w:rsidP="005611FE">
            <w:pPr>
              <w:ind w:left="-101" w:right="-74"/>
              <w:jc w:val="right"/>
              <w:rPr>
                <w:rFonts w:ascii="Arial" w:eastAsia="Arial Unicode MS" w:hAnsi="Arial" w:cs="Arial"/>
                <w:b/>
                <w:bCs/>
                <w:snapToGrid w:val="0"/>
                <w:color w:val="000000"/>
                <w:sz w:val="20"/>
                <w:szCs w:val="20"/>
                <w:lang w:eastAsia="th-TH"/>
              </w:rPr>
            </w:pPr>
            <w:r w:rsidRPr="002D2F67">
              <w:rPr>
                <w:rFonts w:ascii="Arial" w:eastAsia="Arial Unicode MS" w:hAnsi="Arial" w:cs="Arial"/>
                <w:b/>
                <w:bCs/>
                <w:snapToGrid w:val="0"/>
                <w:color w:val="000000"/>
                <w:sz w:val="20"/>
                <w:szCs w:val="20"/>
                <w:lang w:eastAsia="th-TH"/>
              </w:rPr>
              <w:t>Consolidated</w:t>
            </w:r>
            <w:r w:rsidR="00197477" w:rsidRPr="002D2F67">
              <w:rPr>
                <w:rFonts w:ascii="Arial" w:eastAsia="Arial Unicode MS" w:hAnsi="Arial" w:cs="Arial"/>
                <w:b/>
                <w:bCs/>
                <w:snapToGrid w:val="0"/>
                <w:color w:val="000000"/>
                <w:sz w:val="20"/>
                <w:szCs w:val="20"/>
                <w:lang w:eastAsia="th-TH"/>
              </w:rPr>
              <w:t xml:space="preserve"> </w:t>
            </w:r>
          </w:p>
          <w:p w14:paraId="434BF94B" w14:textId="5ED56BCE" w:rsidR="00197477" w:rsidRPr="002D2F67" w:rsidRDefault="00197477" w:rsidP="005611FE">
            <w:pPr>
              <w:ind w:left="-101" w:right="-74"/>
              <w:jc w:val="right"/>
              <w:rPr>
                <w:rFonts w:ascii="Arial" w:eastAsia="Arial Unicode MS" w:hAnsi="Arial" w:cs="Arial"/>
                <w:b/>
                <w:bCs/>
                <w:snapToGrid w:val="0"/>
                <w:color w:val="000000"/>
                <w:sz w:val="20"/>
                <w:szCs w:val="20"/>
                <w:lang w:eastAsia="th-TH"/>
              </w:rPr>
            </w:pPr>
            <w:r w:rsidRPr="002D2F67">
              <w:rPr>
                <w:rFonts w:ascii="Arial" w:eastAsia="Arial Unicode MS" w:hAnsi="Arial" w:cs="Arial"/>
                <w:b/>
                <w:bCs/>
                <w:snapToGrid w:val="0"/>
                <w:color w:val="000000"/>
                <w:sz w:val="20"/>
                <w:szCs w:val="20"/>
                <w:lang w:eastAsia="th-TH"/>
              </w:rPr>
              <w:t>financial statements</w:t>
            </w:r>
          </w:p>
        </w:tc>
        <w:tc>
          <w:tcPr>
            <w:tcW w:w="2835" w:type="dxa"/>
            <w:gridSpan w:val="2"/>
            <w:tcBorders>
              <w:bottom w:val="single" w:sz="4" w:space="0" w:color="auto"/>
            </w:tcBorders>
            <w:shd w:val="clear" w:color="auto" w:fill="auto"/>
          </w:tcPr>
          <w:p w14:paraId="71AEDA72" w14:textId="77777777" w:rsidR="00197477" w:rsidRPr="002D2F67" w:rsidRDefault="00197477" w:rsidP="005611FE">
            <w:pPr>
              <w:ind w:left="-101" w:right="-74"/>
              <w:jc w:val="right"/>
              <w:rPr>
                <w:rFonts w:ascii="Arial" w:eastAsia="Arial Unicode MS" w:hAnsi="Arial" w:cs="Arial"/>
                <w:b/>
                <w:bCs/>
                <w:snapToGrid w:val="0"/>
                <w:color w:val="000000"/>
                <w:sz w:val="20"/>
                <w:szCs w:val="20"/>
                <w:lang w:eastAsia="th-TH"/>
              </w:rPr>
            </w:pPr>
            <w:r w:rsidRPr="002D2F67">
              <w:rPr>
                <w:rFonts w:ascii="Arial" w:eastAsia="Arial Unicode MS" w:hAnsi="Arial" w:cs="Arial"/>
                <w:b/>
                <w:bCs/>
                <w:snapToGrid w:val="0"/>
                <w:color w:val="000000"/>
                <w:sz w:val="20"/>
                <w:szCs w:val="20"/>
                <w:lang w:eastAsia="th-TH"/>
              </w:rPr>
              <w:t xml:space="preserve">Separate </w:t>
            </w:r>
          </w:p>
          <w:p w14:paraId="54A79C32" w14:textId="5BFF3721" w:rsidR="00197477" w:rsidRPr="002D2F67" w:rsidRDefault="00197477" w:rsidP="005611FE">
            <w:pPr>
              <w:ind w:left="-101" w:right="-74"/>
              <w:jc w:val="right"/>
              <w:rPr>
                <w:rFonts w:ascii="Arial" w:eastAsia="Arial Unicode MS" w:hAnsi="Arial" w:cs="Arial"/>
                <w:b/>
                <w:bCs/>
                <w:snapToGrid w:val="0"/>
                <w:color w:val="000000"/>
                <w:sz w:val="20"/>
                <w:szCs w:val="20"/>
                <w:lang w:eastAsia="th-TH"/>
              </w:rPr>
            </w:pPr>
            <w:r w:rsidRPr="002D2F67">
              <w:rPr>
                <w:rFonts w:ascii="Arial" w:eastAsia="Arial Unicode MS" w:hAnsi="Arial" w:cs="Arial"/>
                <w:b/>
                <w:bCs/>
                <w:snapToGrid w:val="0"/>
                <w:color w:val="000000"/>
                <w:sz w:val="20"/>
                <w:szCs w:val="20"/>
                <w:lang w:eastAsia="th-TH"/>
              </w:rPr>
              <w:t>financial statements</w:t>
            </w:r>
          </w:p>
        </w:tc>
      </w:tr>
      <w:tr w:rsidR="00CD2D57" w:rsidRPr="002D2F67" w14:paraId="1B13AFAE" w14:textId="77777777" w:rsidTr="005611FE">
        <w:tc>
          <w:tcPr>
            <w:tcW w:w="3658" w:type="dxa"/>
            <w:shd w:val="clear" w:color="auto" w:fill="auto"/>
          </w:tcPr>
          <w:p w14:paraId="0F5AB6A5" w14:textId="62C423A8" w:rsidR="00197477" w:rsidRPr="002D2F67" w:rsidRDefault="00197477" w:rsidP="005611FE">
            <w:pPr>
              <w:ind w:left="-101"/>
              <w:rPr>
                <w:rFonts w:ascii="Arial" w:eastAsia="Arial Unicode MS" w:hAnsi="Arial" w:cs="Arial"/>
                <w:b/>
                <w:bCs/>
                <w:snapToGrid w:val="0"/>
                <w:color w:val="000000"/>
                <w:sz w:val="20"/>
                <w:szCs w:val="20"/>
                <w:lang w:eastAsia="th-TH"/>
              </w:rPr>
            </w:pPr>
            <w:r w:rsidRPr="002D2F67">
              <w:rPr>
                <w:rFonts w:ascii="Arial" w:eastAsia="Arial Unicode MS" w:hAnsi="Arial" w:cs="Arial"/>
                <w:b/>
                <w:bCs/>
                <w:snapToGrid w:val="0"/>
                <w:color w:val="000000"/>
                <w:sz w:val="20"/>
                <w:szCs w:val="20"/>
                <w:lang w:eastAsia="th-TH"/>
              </w:rPr>
              <w:t xml:space="preserve">As </w:t>
            </w:r>
            <w:proofErr w:type="gramStart"/>
            <w:r w:rsidRPr="002D2F67">
              <w:rPr>
                <w:rFonts w:ascii="Arial" w:eastAsia="Arial Unicode MS" w:hAnsi="Arial" w:cs="Arial"/>
                <w:b/>
                <w:bCs/>
                <w:snapToGrid w:val="0"/>
                <w:color w:val="000000"/>
                <w:sz w:val="20"/>
                <w:szCs w:val="20"/>
                <w:lang w:eastAsia="th-TH"/>
              </w:rPr>
              <w:t>at</w:t>
            </w:r>
            <w:proofErr w:type="gramEnd"/>
            <w:r w:rsidRPr="002D2F67">
              <w:rPr>
                <w:rFonts w:ascii="Arial" w:eastAsia="Arial Unicode MS" w:hAnsi="Arial" w:cs="Arial"/>
                <w:b/>
                <w:bCs/>
                <w:snapToGrid w:val="0"/>
                <w:color w:val="000000"/>
                <w:sz w:val="20"/>
                <w:szCs w:val="20"/>
                <w:lang w:eastAsia="th-TH"/>
              </w:rPr>
              <w:t xml:space="preserve"> </w:t>
            </w:r>
            <w:r w:rsidR="00CD5714" w:rsidRPr="00CD5714">
              <w:rPr>
                <w:rFonts w:ascii="Arial" w:eastAsia="Arial Unicode MS" w:hAnsi="Arial" w:cs="Arial"/>
                <w:b/>
                <w:bCs/>
                <w:snapToGrid w:val="0"/>
                <w:color w:val="000000"/>
                <w:sz w:val="20"/>
                <w:szCs w:val="20"/>
                <w:lang w:val="en-GB" w:eastAsia="th-TH"/>
              </w:rPr>
              <w:t>31</w:t>
            </w:r>
            <w:r w:rsidRPr="002D2F67">
              <w:rPr>
                <w:rFonts w:ascii="Arial" w:eastAsia="Arial Unicode MS" w:hAnsi="Arial" w:cs="Arial"/>
                <w:b/>
                <w:bCs/>
                <w:snapToGrid w:val="0"/>
                <w:color w:val="000000"/>
                <w:sz w:val="20"/>
                <w:szCs w:val="20"/>
                <w:cs/>
                <w:lang w:eastAsia="th-TH"/>
              </w:rPr>
              <w:t xml:space="preserve"> </w:t>
            </w:r>
            <w:r w:rsidRPr="002D2F67">
              <w:rPr>
                <w:rFonts w:ascii="Arial" w:eastAsia="Arial Unicode MS" w:hAnsi="Arial" w:cs="Arial"/>
                <w:b/>
                <w:bCs/>
                <w:snapToGrid w:val="0"/>
                <w:color w:val="000000"/>
                <w:sz w:val="20"/>
                <w:szCs w:val="20"/>
                <w:lang w:eastAsia="th-TH"/>
              </w:rPr>
              <w:t>December</w:t>
            </w:r>
          </w:p>
        </w:tc>
        <w:tc>
          <w:tcPr>
            <w:tcW w:w="1559" w:type="dxa"/>
            <w:shd w:val="clear" w:color="auto" w:fill="auto"/>
            <w:vAlign w:val="bottom"/>
          </w:tcPr>
          <w:p w14:paraId="261D83A0" w14:textId="1CE3227B" w:rsidR="00197477" w:rsidRPr="002D2F67" w:rsidRDefault="00CD5714" w:rsidP="005611FE">
            <w:pPr>
              <w:ind w:left="-101" w:right="-74"/>
              <w:jc w:val="right"/>
              <w:rPr>
                <w:rFonts w:ascii="Arial" w:eastAsia="Arial Unicode MS" w:hAnsi="Arial" w:cs="Arial"/>
                <w:b/>
                <w:bCs/>
                <w:snapToGrid w:val="0"/>
                <w:color w:val="000000"/>
                <w:sz w:val="20"/>
                <w:szCs w:val="20"/>
                <w:cs/>
                <w:lang w:eastAsia="th-TH"/>
              </w:rPr>
            </w:pPr>
            <w:r w:rsidRPr="00CD5714">
              <w:rPr>
                <w:rFonts w:ascii="Arial" w:eastAsia="Arial Unicode MS" w:hAnsi="Arial" w:cs="Arial"/>
                <w:b/>
                <w:bCs/>
                <w:snapToGrid w:val="0"/>
                <w:color w:val="000000"/>
                <w:sz w:val="20"/>
                <w:szCs w:val="20"/>
                <w:lang w:val="en-GB" w:eastAsia="th-TH"/>
              </w:rPr>
              <w:t>2024</w:t>
            </w:r>
          </w:p>
        </w:tc>
        <w:tc>
          <w:tcPr>
            <w:tcW w:w="1418" w:type="dxa"/>
            <w:shd w:val="clear" w:color="auto" w:fill="auto"/>
            <w:vAlign w:val="bottom"/>
          </w:tcPr>
          <w:p w14:paraId="554F66FE" w14:textId="13B605D1" w:rsidR="00197477" w:rsidRPr="002D2F67" w:rsidRDefault="00CD5714" w:rsidP="005611FE">
            <w:pPr>
              <w:ind w:left="-101" w:right="-74"/>
              <w:jc w:val="right"/>
              <w:rPr>
                <w:rFonts w:ascii="Arial" w:eastAsia="Arial Unicode MS" w:hAnsi="Arial" w:cs="Arial"/>
                <w:b/>
                <w:bCs/>
                <w:snapToGrid w:val="0"/>
                <w:color w:val="000000"/>
                <w:sz w:val="20"/>
                <w:szCs w:val="20"/>
                <w:lang w:eastAsia="th-TH"/>
              </w:rPr>
            </w:pPr>
            <w:r w:rsidRPr="00CD5714">
              <w:rPr>
                <w:rFonts w:ascii="Arial" w:eastAsia="Arial Unicode MS" w:hAnsi="Arial" w:cs="Arial"/>
                <w:b/>
                <w:bCs/>
                <w:snapToGrid w:val="0"/>
                <w:color w:val="000000"/>
                <w:sz w:val="20"/>
                <w:szCs w:val="20"/>
                <w:lang w:val="en-GB" w:eastAsia="th-TH"/>
              </w:rPr>
              <w:t>2023</w:t>
            </w:r>
          </w:p>
        </w:tc>
        <w:tc>
          <w:tcPr>
            <w:tcW w:w="1417" w:type="dxa"/>
            <w:shd w:val="clear" w:color="auto" w:fill="auto"/>
            <w:vAlign w:val="bottom"/>
          </w:tcPr>
          <w:p w14:paraId="622EFE41" w14:textId="52EC0AE6" w:rsidR="00197477" w:rsidRPr="002D2F67" w:rsidRDefault="00CD5714" w:rsidP="005611FE">
            <w:pPr>
              <w:ind w:left="-101" w:right="-74"/>
              <w:jc w:val="right"/>
              <w:rPr>
                <w:rFonts w:ascii="Arial" w:eastAsia="Arial Unicode MS" w:hAnsi="Arial" w:cs="Arial"/>
                <w:b/>
                <w:bCs/>
                <w:snapToGrid w:val="0"/>
                <w:color w:val="000000"/>
                <w:sz w:val="20"/>
                <w:szCs w:val="20"/>
                <w:lang w:eastAsia="th-TH"/>
              </w:rPr>
            </w:pPr>
            <w:r w:rsidRPr="00CD5714">
              <w:rPr>
                <w:rFonts w:ascii="Arial" w:eastAsia="Arial Unicode MS" w:hAnsi="Arial" w:cs="Arial"/>
                <w:b/>
                <w:bCs/>
                <w:snapToGrid w:val="0"/>
                <w:color w:val="000000"/>
                <w:sz w:val="20"/>
                <w:szCs w:val="20"/>
                <w:lang w:val="en-GB" w:eastAsia="th-TH"/>
              </w:rPr>
              <w:t>2024</w:t>
            </w:r>
          </w:p>
        </w:tc>
        <w:tc>
          <w:tcPr>
            <w:tcW w:w="1418" w:type="dxa"/>
            <w:shd w:val="clear" w:color="auto" w:fill="auto"/>
            <w:vAlign w:val="bottom"/>
          </w:tcPr>
          <w:p w14:paraId="3FDCF79A" w14:textId="19FFD8C1" w:rsidR="00197477" w:rsidRPr="002D2F67" w:rsidRDefault="00CD5714" w:rsidP="005611FE">
            <w:pPr>
              <w:ind w:left="-101" w:right="-74"/>
              <w:jc w:val="right"/>
              <w:rPr>
                <w:rFonts w:ascii="Arial" w:eastAsia="Arial Unicode MS" w:hAnsi="Arial" w:cs="Arial"/>
                <w:b/>
                <w:bCs/>
                <w:snapToGrid w:val="0"/>
                <w:color w:val="000000"/>
                <w:sz w:val="20"/>
                <w:szCs w:val="20"/>
                <w:lang w:eastAsia="th-TH"/>
              </w:rPr>
            </w:pPr>
            <w:r w:rsidRPr="00CD5714">
              <w:rPr>
                <w:rFonts w:ascii="Arial" w:eastAsia="Arial Unicode MS" w:hAnsi="Arial" w:cs="Arial"/>
                <w:b/>
                <w:bCs/>
                <w:snapToGrid w:val="0"/>
                <w:color w:val="000000"/>
                <w:sz w:val="20"/>
                <w:szCs w:val="20"/>
                <w:lang w:val="en-GB" w:eastAsia="th-TH"/>
              </w:rPr>
              <w:t>2023</w:t>
            </w:r>
          </w:p>
        </w:tc>
      </w:tr>
      <w:tr w:rsidR="00CD2D57" w:rsidRPr="002D2F67" w14:paraId="61C6C1F4" w14:textId="77777777" w:rsidTr="005611FE">
        <w:tc>
          <w:tcPr>
            <w:tcW w:w="3658" w:type="dxa"/>
            <w:shd w:val="clear" w:color="auto" w:fill="auto"/>
          </w:tcPr>
          <w:p w14:paraId="5D476CCB" w14:textId="77777777" w:rsidR="00197477" w:rsidRPr="002D2F67" w:rsidRDefault="00197477" w:rsidP="005611FE">
            <w:pPr>
              <w:ind w:left="-101"/>
              <w:rPr>
                <w:rFonts w:ascii="Arial" w:eastAsia="Arial Unicode MS" w:hAnsi="Arial" w:cs="Arial"/>
                <w:b/>
                <w:bCs/>
                <w:snapToGrid w:val="0"/>
                <w:color w:val="000000"/>
                <w:sz w:val="20"/>
                <w:szCs w:val="20"/>
                <w:lang w:eastAsia="th-TH"/>
              </w:rPr>
            </w:pPr>
          </w:p>
        </w:tc>
        <w:tc>
          <w:tcPr>
            <w:tcW w:w="1559" w:type="dxa"/>
            <w:tcBorders>
              <w:bottom w:val="single" w:sz="4" w:space="0" w:color="auto"/>
            </w:tcBorders>
            <w:shd w:val="clear" w:color="auto" w:fill="auto"/>
            <w:vAlign w:val="bottom"/>
          </w:tcPr>
          <w:p w14:paraId="182585A2" w14:textId="5C0849DC" w:rsidR="00197477" w:rsidRPr="002D2F67" w:rsidRDefault="00D31B14" w:rsidP="005611FE">
            <w:pPr>
              <w:ind w:left="-101" w:right="-74"/>
              <w:jc w:val="right"/>
              <w:rPr>
                <w:rFonts w:ascii="Arial" w:eastAsia="Arial Unicode MS" w:hAnsi="Arial" w:cs="Arial"/>
                <w:b/>
                <w:bCs/>
                <w:snapToGrid w:val="0"/>
                <w:color w:val="000000"/>
                <w:sz w:val="20"/>
                <w:szCs w:val="20"/>
                <w:lang w:eastAsia="th-TH"/>
              </w:rPr>
            </w:pPr>
            <w:r w:rsidRPr="002D2F67">
              <w:rPr>
                <w:rFonts w:ascii="Arial" w:eastAsia="Arial Unicode MS" w:hAnsi="Arial" w:cs="Arial"/>
                <w:b/>
                <w:bCs/>
                <w:snapToGrid w:val="0"/>
                <w:color w:val="000000"/>
                <w:sz w:val="20"/>
                <w:szCs w:val="20"/>
                <w:lang w:eastAsia="th-TH"/>
              </w:rPr>
              <w:t>Baht’</w:t>
            </w:r>
            <w:r w:rsidR="00CD5714" w:rsidRPr="00CD5714">
              <w:rPr>
                <w:rFonts w:ascii="Arial" w:eastAsia="Arial Unicode MS" w:hAnsi="Arial" w:cs="Arial"/>
                <w:b/>
                <w:bCs/>
                <w:snapToGrid w:val="0"/>
                <w:color w:val="000000"/>
                <w:sz w:val="20"/>
                <w:szCs w:val="20"/>
                <w:lang w:val="en-GB" w:eastAsia="th-TH"/>
              </w:rPr>
              <w:t>000</w:t>
            </w:r>
          </w:p>
        </w:tc>
        <w:tc>
          <w:tcPr>
            <w:tcW w:w="1418" w:type="dxa"/>
            <w:tcBorders>
              <w:bottom w:val="single" w:sz="4" w:space="0" w:color="auto"/>
            </w:tcBorders>
            <w:shd w:val="clear" w:color="auto" w:fill="auto"/>
          </w:tcPr>
          <w:p w14:paraId="7284622D" w14:textId="5EB74768" w:rsidR="00197477" w:rsidRPr="002D2F67" w:rsidRDefault="00D31B14" w:rsidP="005611FE">
            <w:pPr>
              <w:ind w:left="-101" w:right="-74"/>
              <w:jc w:val="right"/>
              <w:rPr>
                <w:rFonts w:ascii="Arial" w:eastAsia="Arial Unicode MS" w:hAnsi="Arial" w:cs="Arial"/>
                <w:b/>
                <w:bCs/>
                <w:snapToGrid w:val="0"/>
                <w:color w:val="000000"/>
                <w:sz w:val="20"/>
                <w:szCs w:val="20"/>
                <w:lang w:eastAsia="th-TH"/>
              </w:rPr>
            </w:pPr>
            <w:r w:rsidRPr="002D2F67">
              <w:rPr>
                <w:rFonts w:ascii="Arial" w:eastAsia="Arial Unicode MS" w:hAnsi="Arial" w:cs="Arial"/>
                <w:b/>
                <w:bCs/>
                <w:snapToGrid w:val="0"/>
                <w:color w:val="000000"/>
                <w:sz w:val="20"/>
                <w:szCs w:val="20"/>
                <w:lang w:eastAsia="th-TH"/>
              </w:rPr>
              <w:t>Baht’</w:t>
            </w:r>
            <w:r w:rsidR="00CD5714" w:rsidRPr="00CD5714">
              <w:rPr>
                <w:rFonts w:ascii="Arial" w:eastAsia="Arial Unicode MS" w:hAnsi="Arial" w:cs="Arial"/>
                <w:b/>
                <w:bCs/>
                <w:snapToGrid w:val="0"/>
                <w:color w:val="000000"/>
                <w:sz w:val="20"/>
                <w:szCs w:val="20"/>
                <w:lang w:val="en-GB" w:eastAsia="th-TH"/>
              </w:rPr>
              <w:t>000</w:t>
            </w:r>
          </w:p>
        </w:tc>
        <w:tc>
          <w:tcPr>
            <w:tcW w:w="1417" w:type="dxa"/>
            <w:tcBorders>
              <w:bottom w:val="single" w:sz="4" w:space="0" w:color="auto"/>
            </w:tcBorders>
            <w:shd w:val="clear" w:color="auto" w:fill="auto"/>
          </w:tcPr>
          <w:p w14:paraId="5BB75FBE" w14:textId="57D18EED" w:rsidR="00197477" w:rsidRPr="002D2F67" w:rsidRDefault="00D31B14" w:rsidP="005611FE">
            <w:pPr>
              <w:ind w:left="-101" w:right="-74"/>
              <w:jc w:val="right"/>
              <w:rPr>
                <w:rFonts w:ascii="Arial" w:eastAsia="Arial Unicode MS" w:hAnsi="Arial" w:cs="Arial"/>
                <w:b/>
                <w:bCs/>
                <w:snapToGrid w:val="0"/>
                <w:color w:val="000000"/>
                <w:sz w:val="20"/>
                <w:szCs w:val="20"/>
                <w:lang w:eastAsia="th-TH"/>
              </w:rPr>
            </w:pPr>
            <w:r w:rsidRPr="002D2F67">
              <w:rPr>
                <w:rFonts w:ascii="Arial" w:eastAsia="Arial Unicode MS" w:hAnsi="Arial" w:cs="Arial"/>
                <w:b/>
                <w:bCs/>
                <w:snapToGrid w:val="0"/>
                <w:color w:val="000000"/>
                <w:sz w:val="20"/>
                <w:szCs w:val="20"/>
                <w:lang w:eastAsia="th-TH"/>
              </w:rPr>
              <w:t>Baht’</w:t>
            </w:r>
            <w:r w:rsidR="00CD5714" w:rsidRPr="00CD5714">
              <w:rPr>
                <w:rFonts w:ascii="Arial" w:eastAsia="Arial Unicode MS" w:hAnsi="Arial" w:cs="Arial"/>
                <w:b/>
                <w:bCs/>
                <w:snapToGrid w:val="0"/>
                <w:color w:val="000000"/>
                <w:sz w:val="20"/>
                <w:szCs w:val="20"/>
                <w:lang w:val="en-GB" w:eastAsia="th-TH"/>
              </w:rPr>
              <w:t>000</w:t>
            </w:r>
          </w:p>
        </w:tc>
        <w:tc>
          <w:tcPr>
            <w:tcW w:w="1418" w:type="dxa"/>
            <w:tcBorders>
              <w:bottom w:val="single" w:sz="4" w:space="0" w:color="auto"/>
            </w:tcBorders>
            <w:shd w:val="clear" w:color="auto" w:fill="auto"/>
          </w:tcPr>
          <w:p w14:paraId="24E0DE8E" w14:textId="26C35DF5" w:rsidR="00197477" w:rsidRPr="002D2F67" w:rsidRDefault="00D31B14" w:rsidP="005611FE">
            <w:pPr>
              <w:ind w:left="-101" w:right="-74"/>
              <w:jc w:val="right"/>
              <w:rPr>
                <w:rFonts w:ascii="Arial" w:eastAsia="Arial Unicode MS" w:hAnsi="Arial" w:cs="Arial"/>
                <w:b/>
                <w:bCs/>
                <w:snapToGrid w:val="0"/>
                <w:color w:val="000000"/>
                <w:sz w:val="20"/>
                <w:szCs w:val="20"/>
                <w:lang w:eastAsia="th-TH"/>
              </w:rPr>
            </w:pPr>
            <w:r w:rsidRPr="002D2F67">
              <w:rPr>
                <w:rFonts w:ascii="Arial" w:eastAsia="Arial Unicode MS" w:hAnsi="Arial" w:cs="Arial"/>
                <w:b/>
                <w:bCs/>
                <w:snapToGrid w:val="0"/>
                <w:color w:val="000000"/>
                <w:sz w:val="20"/>
                <w:szCs w:val="20"/>
                <w:lang w:eastAsia="th-TH"/>
              </w:rPr>
              <w:t>Baht’</w:t>
            </w:r>
            <w:r w:rsidR="00CD5714" w:rsidRPr="00CD5714">
              <w:rPr>
                <w:rFonts w:ascii="Arial" w:eastAsia="Arial Unicode MS" w:hAnsi="Arial" w:cs="Arial"/>
                <w:b/>
                <w:bCs/>
                <w:snapToGrid w:val="0"/>
                <w:color w:val="000000"/>
                <w:sz w:val="20"/>
                <w:szCs w:val="20"/>
                <w:lang w:val="en-GB" w:eastAsia="th-TH"/>
              </w:rPr>
              <w:t>000</w:t>
            </w:r>
          </w:p>
        </w:tc>
      </w:tr>
      <w:tr w:rsidR="00CD2D57" w:rsidRPr="002D2F67" w14:paraId="18FB469E" w14:textId="77777777" w:rsidTr="005611FE">
        <w:tc>
          <w:tcPr>
            <w:tcW w:w="3658" w:type="dxa"/>
            <w:shd w:val="clear" w:color="auto" w:fill="auto"/>
          </w:tcPr>
          <w:p w14:paraId="210B9BB6" w14:textId="77777777" w:rsidR="00197477" w:rsidRPr="002D2F67" w:rsidRDefault="00197477" w:rsidP="005611FE">
            <w:pPr>
              <w:ind w:left="-101"/>
              <w:rPr>
                <w:rFonts w:ascii="Arial" w:eastAsia="Arial Unicode MS" w:hAnsi="Arial" w:cs="Arial"/>
                <w:snapToGrid w:val="0"/>
                <w:color w:val="000000"/>
                <w:sz w:val="8"/>
                <w:szCs w:val="8"/>
                <w:lang w:eastAsia="th-TH"/>
              </w:rPr>
            </w:pPr>
          </w:p>
        </w:tc>
        <w:tc>
          <w:tcPr>
            <w:tcW w:w="1559" w:type="dxa"/>
            <w:tcBorders>
              <w:top w:val="single" w:sz="4" w:space="0" w:color="auto"/>
            </w:tcBorders>
            <w:shd w:val="clear" w:color="auto" w:fill="auto"/>
          </w:tcPr>
          <w:p w14:paraId="55616870" w14:textId="77777777" w:rsidR="00197477" w:rsidRPr="002D2F67" w:rsidRDefault="00197477" w:rsidP="005611FE">
            <w:pPr>
              <w:ind w:left="-101" w:right="-74"/>
              <w:jc w:val="right"/>
              <w:rPr>
                <w:rFonts w:ascii="Arial" w:eastAsia="Arial Unicode MS" w:hAnsi="Arial" w:cs="Arial"/>
                <w:snapToGrid w:val="0"/>
                <w:color w:val="000000"/>
                <w:sz w:val="8"/>
                <w:szCs w:val="8"/>
                <w:lang w:eastAsia="th-TH"/>
              </w:rPr>
            </w:pPr>
          </w:p>
        </w:tc>
        <w:tc>
          <w:tcPr>
            <w:tcW w:w="1418" w:type="dxa"/>
            <w:tcBorders>
              <w:top w:val="single" w:sz="4" w:space="0" w:color="auto"/>
            </w:tcBorders>
            <w:shd w:val="clear" w:color="auto" w:fill="auto"/>
          </w:tcPr>
          <w:p w14:paraId="14F069EE" w14:textId="77777777" w:rsidR="00197477" w:rsidRPr="002D2F67" w:rsidRDefault="00197477" w:rsidP="005611FE">
            <w:pPr>
              <w:ind w:left="-101" w:right="-74"/>
              <w:jc w:val="right"/>
              <w:rPr>
                <w:rFonts w:ascii="Arial" w:eastAsia="Arial Unicode MS" w:hAnsi="Arial" w:cs="Arial"/>
                <w:snapToGrid w:val="0"/>
                <w:color w:val="000000"/>
                <w:sz w:val="8"/>
                <w:szCs w:val="8"/>
                <w:lang w:eastAsia="th-TH"/>
              </w:rPr>
            </w:pPr>
          </w:p>
        </w:tc>
        <w:tc>
          <w:tcPr>
            <w:tcW w:w="1417" w:type="dxa"/>
            <w:tcBorders>
              <w:top w:val="single" w:sz="4" w:space="0" w:color="auto"/>
            </w:tcBorders>
            <w:shd w:val="clear" w:color="auto" w:fill="auto"/>
          </w:tcPr>
          <w:p w14:paraId="661C8FBF" w14:textId="77777777" w:rsidR="00197477" w:rsidRPr="002D2F67" w:rsidRDefault="00197477" w:rsidP="005611FE">
            <w:pPr>
              <w:ind w:left="-101" w:right="-74"/>
              <w:jc w:val="right"/>
              <w:rPr>
                <w:rFonts w:ascii="Arial" w:eastAsia="Arial Unicode MS" w:hAnsi="Arial" w:cs="Arial"/>
                <w:snapToGrid w:val="0"/>
                <w:color w:val="000000"/>
                <w:sz w:val="8"/>
                <w:szCs w:val="8"/>
                <w:lang w:eastAsia="th-TH"/>
              </w:rPr>
            </w:pPr>
          </w:p>
        </w:tc>
        <w:tc>
          <w:tcPr>
            <w:tcW w:w="1418" w:type="dxa"/>
            <w:tcBorders>
              <w:top w:val="single" w:sz="4" w:space="0" w:color="auto"/>
            </w:tcBorders>
            <w:shd w:val="clear" w:color="auto" w:fill="auto"/>
          </w:tcPr>
          <w:p w14:paraId="70C38CBE" w14:textId="77777777" w:rsidR="00197477" w:rsidRPr="002D2F67" w:rsidRDefault="00197477" w:rsidP="005611FE">
            <w:pPr>
              <w:ind w:left="-101" w:right="-74"/>
              <w:jc w:val="right"/>
              <w:rPr>
                <w:rFonts w:ascii="Arial" w:eastAsia="Arial Unicode MS" w:hAnsi="Arial" w:cs="Arial"/>
                <w:snapToGrid w:val="0"/>
                <w:color w:val="000000"/>
                <w:sz w:val="8"/>
                <w:szCs w:val="8"/>
                <w:lang w:eastAsia="th-TH"/>
              </w:rPr>
            </w:pPr>
          </w:p>
        </w:tc>
      </w:tr>
      <w:tr w:rsidR="00CD2D57" w:rsidRPr="002D2F67" w14:paraId="1689BD33" w14:textId="77777777" w:rsidTr="005611FE">
        <w:tc>
          <w:tcPr>
            <w:tcW w:w="3658" w:type="dxa"/>
            <w:shd w:val="clear" w:color="auto" w:fill="auto"/>
          </w:tcPr>
          <w:p w14:paraId="7AD0DCF5" w14:textId="6B6BFA12" w:rsidR="00197477" w:rsidRPr="002D2F67" w:rsidRDefault="005007AD" w:rsidP="005611FE">
            <w:pPr>
              <w:ind w:left="-101"/>
              <w:rPr>
                <w:rFonts w:ascii="Arial" w:eastAsia="Arial Unicode MS" w:hAnsi="Arial" w:cs="Arial"/>
                <w:b/>
                <w:bCs/>
                <w:snapToGrid w:val="0"/>
                <w:color w:val="000000"/>
                <w:sz w:val="20"/>
                <w:szCs w:val="20"/>
                <w:cs/>
                <w:lang w:eastAsia="th-TH"/>
              </w:rPr>
            </w:pPr>
            <w:r w:rsidRPr="002D2F67">
              <w:rPr>
                <w:rFonts w:ascii="Arial" w:eastAsia="Arial Unicode MS" w:hAnsi="Arial" w:cs="Arial"/>
                <w:b/>
                <w:bCs/>
                <w:snapToGrid w:val="0"/>
                <w:color w:val="000000"/>
                <w:sz w:val="20"/>
                <w:szCs w:val="20"/>
                <w:lang w:eastAsia="th-TH"/>
              </w:rPr>
              <w:t>Other</w:t>
            </w:r>
            <w:r w:rsidR="007766E6" w:rsidRPr="002D2F67">
              <w:rPr>
                <w:rFonts w:ascii="Arial" w:eastAsia="Arial Unicode MS" w:hAnsi="Arial" w:cs="Arial"/>
                <w:b/>
                <w:bCs/>
                <w:snapToGrid w:val="0"/>
                <w:color w:val="000000"/>
                <w:sz w:val="20"/>
                <w:szCs w:val="20"/>
                <w:lang w:eastAsia="th-TH"/>
              </w:rPr>
              <w:t xml:space="preserve"> parties</w:t>
            </w:r>
          </w:p>
        </w:tc>
        <w:tc>
          <w:tcPr>
            <w:tcW w:w="1559" w:type="dxa"/>
            <w:shd w:val="clear" w:color="auto" w:fill="auto"/>
          </w:tcPr>
          <w:p w14:paraId="39B9A0BC" w14:textId="77777777" w:rsidR="00197477" w:rsidRPr="002D2F67" w:rsidRDefault="00197477" w:rsidP="005611FE">
            <w:pPr>
              <w:ind w:left="-101" w:right="-74"/>
              <w:jc w:val="right"/>
              <w:rPr>
                <w:rFonts w:ascii="Arial" w:eastAsia="Arial Unicode MS" w:hAnsi="Arial" w:cs="Arial"/>
                <w:snapToGrid w:val="0"/>
                <w:color w:val="000000"/>
                <w:sz w:val="20"/>
                <w:szCs w:val="20"/>
                <w:lang w:eastAsia="th-TH"/>
              </w:rPr>
            </w:pPr>
          </w:p>
        </w:tc>
        <w:tc>
          <w:tcPr>
            <w:tcW w:w="1418" w:type="dxa"/>
            <w:shd w:val="clear" w:color="auto" w:fill="auto"/>
          </w:tcPr>
          <w:p w14:paraId="21581E58" w14:textId="77777777" w:rsidR="00197477" w:rsidRPr="002D2F67" w:rsidRDefault="00197477" w:rsidP="005611FE">
            <w:pPr>
              <w:ind w:left="-101" w:right="-74"/>
              <w:jc w:val="right"/>
              <w:rPr>
                <w:rFonts w:ascii="Arial" w:eastAsia="Arial Unicode MS" w:hAnsi="Arial" w:cs="Arial"/>
                <w:snapToGrid w:val="0"/>
                <w:color w:val="000000"/>
                <w:sz w:val="20"/>
                <w:szCs w:val="20"/>
                <w:lang w:eastAsia="th-TH"/>
              </w:rPr>
            </w:pPr>
          </w:p>
        </w:tc>
        <w:tc>
          <w:tcPr>
            <w:tcW w:w="1417" w:type="dxa"/>
            <w:shd w:val="clear" w:color="auto" w:fill="auto"/>
          </w:tcPr>
          <w:p w14:paraId="4C90EBD6" w14:textId="77777777" w:rsidR="00197477" w:rsidRPr="002D2F67" w:rsidRDefault="00197477" w:rsidP="005611FE">
            <w:pPr>
              <w:ind w:left="-101" w:right="-74"/>
              <w:jc w:val="right"/>
              <w:rPr>
                <w:rFonts w:ascii="Arial" w:eastAsia="Arial Unicode MS" w:hAnsi="Arial" w:cs="Arial"/>
                <w:snapToGrid w:val="0"/>
                <w:color w:val="000000"/>
                <w:sz w:val="20"/>
                <w:szCs w:val="20"/>
                <w:lang w:eastAsia="th-TH"/>
              </w:rPr>
            </w:pPr>
          </w:p>
        </w:tc>
        <w:tc>
          <w:tcPr>
            <w:tcW w:w="1418" w:type="dxa"/>
            <w:shd w:val="clear" w:color="auto" w:fill="auto"/>
          </w:tcPr>
          <w:p w14:paraId="6EB450B9" w14:textId="77777777" w:rsidR="00197477" w:rsidRPr="002D2F67" w:rsidRDefault="00197477" w:rsidP="005611FE">
            <w:pPr>
              <w:ind w:left="-101" w:right="-74"/>
              <w:jc w:val="right"/>
              <w:rPr>
                <w:rFonts w:ascii="Arial" w:eastAsia="Arial Unicode MS" w:hAnsi="Arial" w:cs="Arial"/>
                <w:snapToGrid w:val="0"/>
                <w:color w:val="000000"/>
                <w:sz w:val="20"/>
                <w:szCs w:val="20"/>
                <w:lang w:eastAsia="th-TH"/>
              </w:rPr>
            </w:pPr>
          </w:p>
        </w:tc>
      </w:tr>
      <w:tr w:rsidR="002A474F" w:rsidRPr="002D2F67" w14:paraId="4443AA66" w14:textId="77777777">
        <w:tc>
          <w:tcPr>
            <w:tcW w:w="3658" w:type="dxa"/>
            <w:shd w:val="clear" w:color="auto" w:fill="auto"/>
          </w:tcPr>
          <w:p w14:paraId="3D2C07E6" w14:textId="4FAF0FFA" w:rsidR="002A474F" w:rsidRPr="002D2F67" w:rsidRDefault="002A474F" w:rsidP="002A474F">
            <w:pPr>
              <w:ind w:left="-101"/>
              <w:rPr>
                <w:rFonts w:ascii="Arial" w:eastAsia="Arial Unicode MS" w:hAnsi="Arial" w:cs="Arial"/>
                <w:snapToGrid w:val="0"/>
                <w:color w:val="000000"/>
                <w:sz w:val="20"/>
                <w:szCs w:val="20"/>
                <w:lang w:eastAsia="th-TH"/>
              </w:rPr>
            </w:pPr>
            <w:r w:rsidRPr="002D2F67">
              <w:rPr>
                <w:rFonts w:ascii="Arial" w:eastAsia="Arial Unicode MS" w:hAnsi="Arial" w:cs="Arial"/>
                <w:snapToGrid w:val="0"/>
                <w:color w:val="000000"/>
                <w:sz w:val="20"/>
                <w:szCs w:val="20"/>
                <w:lang w:eastAsia="th-TH"/>
              </w:rPr>
              <w:t xml:space="preserve">   Not yet due</w:t>
            </w:r>
          </w:p>
        </w:tc>
        <w:tc>
          <w:tcPr>
            <w:tcW w:w="1559" w:type="dxa"/>
            <w:shd w:val="clear" w:color="auto" w:fill="auto"/>
          </w:tcPr>
          <w:p w14:paraId="5D37C923" w14:textId="58AC23BB" w:rsidR="002A474F" w:rsidRPr="002D2F67" w:rsidRDefault="00CD5714" w:rsidP="002A474F">
            <w:pPr>
              <w:ind w:left="-101" w:right="-74"/>
              <w:jc w:val="right"/>
              <w:rPr>
                <w:rFonts w:ascii="Arial" w:eastAsia="Arial Unicode MS" w:hAnsi="Arial" w:cs="Arial"/>
                <w:snapToGrid w:val="0"/>
                <w:color w:val="000000"/>
                <w:sz w:val="20"/>
                <w:szCs w:val="20"/>
                <w:lang w:eastAsia="th-TH"/>
              </w:rPr>
            </w:pPr>
            <w:r w:rsidRPr="00CD5714">
              <w:rPr>
                <w:rFonts w:ascii="Arial" w:eastAsia="Arial Unicode MS" w:hAnsi="Arial" w:cs="Arial"/>
                <w:snapToGrid w:val="0"/>
                <w:color w:val="000000"/>
                <w:sz w:val="20"/>
                <w:szCs w:val="20"/>
                <w:lang w:val="en-GB" w:eastAsia="th-TH"/>
              </w:rPr>
              <w:t>2</w:t>
            </w:r>
            <w:r w:rsidR="002A474F"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511</w:t>
            </w:r>
            <w:r w:rsidR="002A474F"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582</w:t>
            </w:r>
          </w:p>
        </w:tc>
        <w:tc>
          <w:tcPr>
            <w:tcW w:w="1418" w:type="dxa"/>
            <w:shd w:val="clear" w:color="auto" w:fill="auto"/>
            <w:vAlign w:val="bottom"/>
          </w:tcPr>
          <w:p w14:paraId="402C219A" w14:textId="3C1C2195" w:rsidR="002A474F" w:rsidRPr="002D2F67" w:rsidRDefault="00CD5714" w:rsidP="002A474F">
            <w:pPr>
              <w:ind w:left="-101" w:right="-74"/>
              <w:jc w:val="right"/>
              <w:rPr>
                <w:rFonts w:ascii="Arial" w:eastAsia="Arial Unicode MS" w:hAnsi="Arial" w:cs="Arial"/>
                <w:snapToGrid w:val="0"/>
                <w:color w:val="000000"/>
                <w:sz w:val="20"/>
                <w:szCs w:val="20"/>
                <w:lang w:eastAsia="th-TH"/>
              </w:rPr>
            </w:pPr>
            <w:r w:rsidRPr="00CD5714">
              <w:rPr>
                <w:rFonts w:ascii="Arial" w:eastAsia="Arial Unicode MS" w:hAnsi="Arial" w:cs="Arial"/>
                <w:color w:val="000000"/>
                <w:sz w:val="20"/>
                <w:szCs w:val="20"/>
                <w:lang w:val="en-GB" w:eastAsia="th-TH"/>
              </w:rPr>
              <w:t>3</w:t>
            </w:r>
            <w:r w:rsidR="002A474F" w:rsidRPr="002D2F67">
              <w:rPr>
                <w:rFonts w:ascii="Arial" w:eastAsia="Arial Unicode MS" w:hAnsi="Arial" w:cs="Arial"/>
                <w:color w:val="000000"/>
                <w:sz w:val="20"/>
                <w:szCs w:val="20"/>
                <w:lang w:eastAsia="th-TH"/>
              </w:rPr>
              <w:t>,</w:t>
            </w:r>
            <w:r w:rsidRPr="00CD5714">
              <w:rPr>
                <w:rFonts w:ascii="Arial" w:eastAsia="Arial Unicode MS" w:hAnsi="Arial" w:cs="Arial"/>
                <w:color w:val="000000"/>
                <w:sz w:val="20"/>
                <w:szCs w:val="20"/>
                <w:lang w:val="en-GB" w:eastAsia="th-TH"/>
              </w:rPr>
              <w:t>096</w:t>
            </w:r>
            <w:r w:rsidR="002A474F" w:rsidRPr="002D2F67">
              <w:rPr>
                <w:rFonts w:ascii="Arial" w:eastAsia="Arial Unicode MS" w:hAnsi="Arial" w:cs="Arial"/>
                <w:color w:val="000000"/>
                <w:sz w:val="20"/>
                <w:szCs w:val="20"/>
                <w:lang w:eastAsia="th-TH"/>
              </w:rPr>
              <w:t>,</w:t>
            </w:r>
            <w:r w:rsidRPr="00CD5714">
              <w:rPr>
                <w:rFonts w:ascii="Arial" w:eastAsia="Arial Unicode MS" w:hAnsi="Arial" w:cs="Arial"/>
                <w:color w:val="000000"/>
                <w:sz w:val="20"/>
                <w:szCs w:val="20"/>
                <w:lang w:val="en-GB" w:eastAsia="th-TH"/>
              </w:rPr>
              <w:t>338</w:t>
            </w:r>
          </w:p>
        </w:tc>
        <w:tc>
          <w:tcPr>
            <w:tcW w:w="1417" w:type="dxa"/>
            <w:shd w:val="clear" w:color="auto" w:fill="auto"/>
            <w:vAlign w:val="bottom"/>
          </w:tcPr>
          <w:p w14:paraId="7811DB45" w14:textId="45B576C8" w:rsidR="002A474F" w:rsidRPr="002D2F67" w:rsidRDefault="00CD5714" w:rsidP="002A474F">
            <w:pPr>
              <w:ind w:left="-101" w:right="-74"/>
              <w:jc w:val="right"/>
              <w:rPr>
                <w:rFonts w:ascii="Arial" w:eastAsia="Arial Unicode MS" w:hAnsi="Arial" w:cs="Arial"/>
                <w:snapToGrid w:val="0"/>
                <w:color w:val="000000"/>
                <w:sz w:val="20"/>
                <w:szCs w:val="20"/>
                <w:lang w:eastAsia="th-TH"/>
              </w:rPr>
            </w:pPr>
            <w:r w:rsidRPr="00CD5714">
              <w:rPr>
                <w:rFonts w:ascii="Arial" w:eastAsia="Arial Unicode MS" w:hAnsi="Arial" w:cs="Arial"/>
                <w:snapToGrid w:val="0"/>
                <w:color w:val="000000"/>
                <w:sz w:val="20"/>
                <w:szCs w:val="20"/>
                <w:lang w:val="en-GB" w:eastAsia="th-TH"/>
              </w:rPr>
              <w:t>497</w:t>
            </w:r>
            <w:r w:rsidR="002A474F"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562</w:t>
            </w:r>
          </w:p>
        </w:tc>
        <w:tc>
          <w:tcPr>
            <w:tcW w:w="1418" w:type="dxa"/>
            <w:shd w:val="clear" w:color="auto" w:fill="auto"/>
            <w:vAlign w:val="bottom"/>
          </w:tcPr>
          <w:p w14:paraId="6015ED76" w14:textId="365EC5B6" w:rsidR="002A474F" w:rsidRPr="002D2F67" w:rsidRDefault="00CD5714" w:rsidP="002A474F">
            <w:pPr>
              <w:ind w:left="-101" w:right="-74"/>
              <w:jc w:val="right"/>
              <w:rPr>
                <w:rFonts w:ascii="Arial" w:eastAsia="Arial Unicode MS" w:hAnsi="Arial" w:cs="Arial"/>
                <w:snapToGrid w:val="0"/>
                <w:color w:val="000000"/>
                <w:sz w:val="20"/>
                <w:szCs w:val="20"/>
                <w:lang w:eastAsia="th-TH"/>
              </w:rPr>
            </w:pPr>
            <w:r w:rsidRPr="00CD5714">
              <w:rPr>
                <w:rFonts w:ascii="Arial" w:eastAsia="Arial Unicode MS" w:hAnsi="Arial" w:cs="Arial"/>
                <w:color w:val="000000"/>
                <w:sz w:val="20"/>
                <w:szCs w:val="20"/>
                <w:lang w:val="en-GB" w:eastAsia="th-TH"/>
              </w:rPr>
              <w:t>1</w:t>
            </w:r>
            <w:r w:rsidR="002A474F" w:rsidRPr="002D2F67">
              <w:rPr>
                <w:rFonts w:ascii="Arial" w:eastAsia="Arial Unicode MS" w:hAnsi="Arial" w:cs="Arial"/>
                <w:color w:val="000000"/>
                <w:sz w:val="20"/>
                <w:szCs w:val="20"/>
                <w:lang w:eastAsia="th-TH"/>
              </w:rPr>
              <w:t>,</w:t>
            </w:r>
            <w:r w:rsidRPr="00CD5714">
              <w:rPr>
                <w:rFonts w:ascii="Arial" w:eastAsia="Arial Unicode MS" w:hAnsi="Arial" w:cs="Arial"/>
                <w:color w:val="000000"/>
                <w:sz w:val="20"/>
                <w:szCs w:val="20"/>
                <w:lang w:val="en-GB" w:eastAsia="th-TH"/>
              </w:rPr>
              <w:t>207</w:t>
            </w:r>
            <w:r w:rsidR="002A474F" w:rsidRPr="002D2F67">
              <w:rPr>
                <w:rFonts w:ascii="Arial" w:eastAsia="Arial Unicode MS" w:hAnsi="Arial" w:cs="Arial"/>
                <w:color w:val="000000"/>
                <w:sz w:val="20"/>
                <w:szCs w:val="20"/>
                <w:lang w:eastAsia="th-TH"/>
              </w:rPr>
              <w:t>,</w:t>
            </w:r>
            <w:r w:rsidRPr="00CD5714">
              <w:rPr>
                <w:rFonts w:ascii="Arial" w:eastAsia="Arial Unicode MS" w:hAnsi="Arial" w:cs="Arial"/>
                <w:color w:val="000000"/>
                <w:sz w:val="20"/>
                <w:szCs w:val="20"/>
                <w:lang w:val="en-GB" w:eastAsia="th-TH"/>
              </w:rPr>
              <w:t>217</w:t>
            </w:r>
          </w:p>
        </w:tc>
      </w:tr>
      <w:tr w:rsidR="002A474F" w:rsidRPr="002D2F67" w14:paraId="518D450A" w14:textId="77777777">
        <w:tc>
          <w:tcPr>
            <w:tcW w:w="3658" w:type="dxa"/>
            <w:shd w:val="clear" w:color="auto" w:fill="auto"/>
          </w:tcPr>
          <w:p w14:paraId="72ECDF6C" w14:textId="5B852432" w:rsidR="002A474F" w:rsidRPr="002D2F67" w:rsidRDefault="002A474F" w:rsidP="002A474F">
            <w:pPr>
              <w:ind w:left="-101"/>
              <w:rPr>
                <w:rFonts w:ascii="Arial" w:eastAsia="Arial Unicode MS" w:hAnsi="Arial" w:cs="Arial"/>
                <w:snapToGrid w:val="0"/>
                <w:color w:val="000000"/>
                <w:sz w:val="20"/>
                <w:szCs w:val="20"/>
                <w:lang w:eastAsia="th-TH"/>
              </w:rPr>
            </w:pPr>
            <w:r w:rsidRPr="002D2F67">
              <w:rPr>
                <w:rFonts w:ascii="Arial" w:eastAsia="Arial Unicode MS" w:hAnsi="Arial" w:cs="Arial"/>
                <w:snapToGrid w:val="0"/>
                <w:color w:val="000000"/>
                <w:sz w:val="20"/>
                <w:szCs w:val="20"/>
                <w:lang w:eastAsia="th-TH"/>
              </w:rPr>
              <w:t xml:space="preserve">   Overdue below </w:t>
            </w:r>
            <w:r w:rsidR="00CD5714" w:rsidRPr="00CD5714">
              <w:rPr>
                <w:rFonts w:ascii="Arial" w:eastAsia="Arial Unicode MS" w:hAnsi="Arial" w:cs="Arial"/>
                <w:snapToGrid w:val="0"/>
                <w:color w:val="000000"/>
                <w:sz w:val="20"/>
                <w:szCs w:val="20"/>
                <w:lang w:val="en-GB" w:eastAsia="th-TH"/>
              </w:rPr>
              <w:t>3</w:t>
            </w:r>
            <w:r w:rsidRPr="002D2F67">
              <w:rPr>
                <w:rFonts w:ascii="Arial" w:eastAsia="Arial Unicode MS" w:hAnsi="Arial" w:cs="Arial"/>
                <w:snapToGrid w:val="0"/>
                <w:color w:val="000000"/>
                <w:sz w:val="20"/>
                <w:szCs w:val="20"/>
                <w:lang w:eastAsia="th-TH"/>
              </w:rPr>
              <w:t xml:space="preserve"> months</w:t>
            </w:r>
          </w:p>
        </w:tc>
        <w:tc>
          <w:tcPr>
            <w:tcW w:w="1559" w:type="dxa"/>
            <w:shd w:val="clear" w:color="auto" w:fill="auto"/>
          </w:tcPr>
          <w:p w14:paraId="0444204F" w14:textId="2D60F98C" w:rsidR="002A474F" w:rsidRPr="002D2F67" w:rsidRDefault="00CD5714" w:rsidP="002A474F">
            <w:pPr>
              <w:ind w:left="-101" w:right="-74"/>
              <w:jc w:val="right"/>
              <w:rPr>
                <w:rFonts w:ascii="Arial" w:eastAsia="Arial Unicode MS" w:hAnsi="Arial" w:cs="Arial"/>
                <w:snapToGrid w:val="0"/>
                <w:color w:val="000000"/>
                <w:sz w:val="20"/>
                <w:szCs w:val="20"/>
                <w:lang w:eastAsia="th-TH"/>
              </w:rPr>
            </w:pPr>
            <w:r w:rsidRPr="00CD5714">
              <w:rPr>
                <w:rFonts w:ascii="Arial" w:eastAsia="Arial Unicode MS" w:hAnsi="Arial" w:cs="Arial"/>
                <w:snapToGrid w:val="0"/>
                <w:color w:val="000000"/>
                <w:sz w:val="20"/>
                <w:szCs w:val="20"/>
                <w:lang w:val="en-GB" w:eastAsia="th-TH"/>
              </w:rPr>
              <w:t>298</w:t>
            </w:r>
            <w:r w:rsidR="002A474F"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934</w:t>
            </w:r>
          </w:p>
        </w:tc>
        <w:tc>
          <w:tcPr>
            <w:tcW w:w="1418" w:type="dxa"/>
            <w:shd w:val="clear" w:color="auto" w:fill="auto"/>
            <w:vAlign w:val="bottom"/>
          </w:tcPr>
          <w:p w14:paraId="449823BB" w14:textId="7AD9B598" w:rsidR="002A474F" w:rsidRPr="002D2F67" w:rsidRDefault="00CD5714" w:rsidP="002A474F">
            <w:pPr>
              <w:ind w:left="-101" w:right="-74"/>
              <w:jc w:val="right"/>
              <w:rPr>
                <w:rFonts w:ascii="Arial" w:eastAsia="Arial Unicode MS" w:hAnsi="Arial" w:cs="Arial"/>
                <w:snapToGrid w:val="0"/>
                <w:color w:val="000000"/>
                <w:sz w:val="20"/>
                <w:szCs w:val="20"/>
                <w:lang w:eastAsia="th-TH"/>
              </w:rPr>
            </w:pPr>
            <w:r w:rsidRPr="00CD5714">
              <w:rPr>
                <w:rFonts w:ascii="Arial" w:eastAsia="Arial Unicode MS" w:hAnsi="Arial" w:cs="Arial"/>
                <w:color w:val="000000"/>
                <w:sz w:val="20"/>
                <w:szCs w:val="20"/>
                <w:lang w:val="en-GB" w:eastAsia="th-TH"/>
              </w:rPr>
              <w:t>115</w:t>
            </w:r>
            <w:r w:rsidR="002A474F" w:rsidRPr="002D2F67">
              <w:rPr>
                <w:rFonts w:ascii="Arial" w:eastAsia="Arial Unicode MS" w:hAnsi="Arial" w:cs="Arial"/>
                <w:color w:val="000000"/>
                <w:sz w:val="20"/>
                <w:szCs w:val="20"/>
                <w:lang w:eastAsia="th-TH"/>
              </w:rPr>
              <w:t>,</w:t>
            </w:r>
            <w:r w:rsidRPr="00CD5714">
              <w:rPr>
                <w:rFonts w:ascii="Arial" w:eastAsia="Arial Unicode MS" w:hAnsi="Arial" w:cs="Arial"/>
                <w:color w:val="000000"/>
                <w:sz w:val="20"/>
                <w:szCs w:val="20"/>
                <w:lang w:val="en-GB" w:eastAsia="th-TH"/>
              </w:rPr>
              <w:t>917</w:t>
            </w:r>
          </w:p>
        </w:tc>
        <w:tc>
          <w:tcPr>
            <w:tcW w:w="1417" w:type="dxa"/>
            <w:shd w:val="clear" w:color="auto" w:fill="auto"/>
            <w:vAlign w:val="bottom"/>
          </w:tcPr>
          <w:p w14:paraId="1B9F9D25" w14:textId="007E7143" w:rsidR="002A474F" w:rsidRPr="002D2F67" w:rsidRDefault="00CD5714" w:rsidP="002A474F">
            <w:pPr>
              <w:ind w:left="-101" w:right="-74"/>
              <w:jc w:val="right"/>
              <w:rPr>
                <w:rFonts w:ascii="Arial" w:eastAsia="Arial Unicode MS" w:hAnsi="Arial" w:cs="Arial"/>
                <w:snapToGrid w:val="0"/>
                <w:color w:val="000000"/>
                <w:sz w:val="20"/>
                <w:szCs w:val="20"/>
                <w:lang w:eastAsia="th-TH"/>
              </w:rPr>
            </w:pPr>
            <w:r w:rsidRPr="00CD5714">
              <w:rPr>
                <w:rFonts w:ascii="Arial" w:eastAsia="Arial Unicode MS" w:hAnsi="Arial" w:cs="Arial"/>
                <w:snapToGrid w:val="0"/>
                <w:color w:val="000000"/>
                <w:sz w:val="20"/>
                <w:szCs w:val="20"/>
                <w:lang w:val="en-GB" w:eastAsia="th-TH"/>
              </w:rPr>
              <w:t>117</w:t>
            </w:r>
            <w:r w:rsidR="002A474F"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309</w:t>
            </w:r>
          </w:p>
        </w:tc>
        <w:tc>
          <w:tcPr>
            <w:tcW w:w="1418" w:type="dxa"/>
            <w:shd w:val="clear" w:color="auto" w:fill="auto"/>
            <w:vAlign w:val="bottom"/>
          </w:tcPr>
          <w:p w14:paraId="555C509C" w14:textId="1ACB4D32" w:rsidR="002A474F" w:rsidRPr="002D2F67" w:rsidRDefault="002A474F" w:rsidP="002A474F">
            <w:pPr>
              <w:ind w:left="-101" w:right="-74"/>
              <w:jc w:val="right"/>
              <w:rPr>
                <w:rFonts w:ascii="Arial" w:eastAsia="Arial Unicode MS" w:hAnsi="Arial" w:cs="Arial"/>
                <w:snapToGrid w:val="0"/>
                <w:color w:val="000000"/>
                <w:sz w:val="20"/>
                <w:szCs w:val="20"/>
                <w:lang w:eastAsia="th-TH"/>
              </w:rPr>
            </w:pPr>
            <w:r w:rsidRPr="002D2F67">
              <w:rPr>
                <w:rFonts w:ascii="Arial" w:eastAsia="Arial Unicode MS" w:hAnsi="Arial" w:cs="Arial"/>
                <w:color w:val="000000"/>
                <w:sz w:val="20"/>
                <w:szCs w:val="20"/>
                <w:lang w:eastAsia="th-TH"/>
              </w:rPr>
              <w:t>-</w:t>
            </w:r>
          </w:p>
        </w:tc>
      </w:tr>
      <w:tr w:rsidR="002A474F" w:rsidRPr="002D2F67" w14:paraId="7053B380" w14:textId="77777777">
        <w:tc>
          <w:tcPr>
            <w:tcW w:w="3658" w:type="dxa"/>
            <w:shd w:val="clear" w:color="auto" w:fill="auto"/>
          </w:tcPr>
          <w:p w14:paraId="339E7EB4" w14:textId="076B6B6E" w:rsidR="002A474F" w:rsidRPr="002D2F67" w:rsidRDefault="002A474F" w:rsidP="002A474F">
            <w:pPr>
              <w:ind w:left="-101"/>
              <w:rPr>
                <w:rFonts w:ascii="Arial" w:eastAsia="Arial Unicode MS" w:hAnsi="Arial" w:cs="Arial"/>
                <w:snapToGrid w:val="0"/>
                <w:color w:val="000000"/>
                <w:sz w:val="20"/>
                <w:szCs w:val="20"/>
                <w:lang w:eastAsia="th-TH"/>
              </w:rPr>
            </w:pPr>
            <w:r w:rsidRPr="002D2F67">
              <w:rPr>
                <w:rFonts w:ascii="Arial" w:eastAsia="Arial Unicode MS" w:hAnsi="Arial" w:cs="Arial"/>
                <w:snapToGrid w:val="0"/>
                <w:color w:val="000000"/>
                <w:sz w:val="20"/>
                <w:szCs w:val="20"/>
                <w:lang w:eastAsia="th-TH"/>
              </w:rPr>
              <w:t xml:space="preserve">   Overdue </w:t>
            </w:r>
            <w:r w:rsidR="00CD5714" w:rsidRPr="00CD5714">
              <w:rPr>
                <w:rFonts w:ascii="Arial" w:eastAsia="Arial Unicode MS" w:hAnsi="Arial" w:cs="Arial"/>
                <w:snapToGrid w:val="0"/>
                <w:color w:val="000000"/>
                <w:sz w:val="20"/>
                <w:szCs w:val="20"/>
                <w:lang w:val="en-GB" w:eastAsia="th-TH"/>
              </w:rPr>
              <w:t>3</w:t>
            </w:r>
            <w:r w:rsidRPr="002D2F67">
              <w:rPr>
                <w:rFonts w:ascii="Arial" w:eastAsia="Arial Unicode MS" w:hAnsi="Arial" w:cs="Arial"/>
                <w:snapToGrid w:val="0"/>
                <w:color w:val="000000"/>
                <w:sz w:val="20"/>
                <w:szCs w:val="20"/>
                <w:cs/>
                <w:lang w:eastAsia="th-TH"/>
              </w:rPr>
              <w:t xml:space="preserve"> - </w:t>
            </w:r>
            <w:r w:rsidR="00CD5714" w:rsidRPr="00CD5714">
              <w:rPr>
                <w:rFonts w:ascii="Arial" w:eastAsia="Arial Unicode MS" w:hAnsi="Arial" w:cs="Arial"/>
                <w:snapToGrid w:val="0"/>
                <w:color w:val="000000"/>
                <w:sz w:val="20"/>
                <w:szCs w:val="20"/>
                <w:lang w:val="en-GB" w:eastAsia="th-TH"/>
              </w:rPr>
              <w:t>6</w:t>
            </w:r>
            <w:r w:rsidRPr="002D2F67">
              <w:rPr>
                <w:rFonts w:ascii="Arial" w:eastAsia="Arial Unicode MS" w:hAnsi="Arial" w:cs="Arial"/>
                <w:snapToGrid w:val="0"/>
                <w:color w:val="000000"/>
                <w:sz w:val="20"/>
                <w:szCs w:val="20"/>
                <w:cs/>
                <w:lang w:eastAsia="th-TH"/>
              </w:rPr>
              <w:t xml:space="preserve"> </w:t>
            </w:r>
            <w:r w:rsidRPr="002D2F67">
              <w:rPr>
                <w:rFonts w:ascii="Arial" w:eastAsia="Arial Unicode MS" w:hAnsi="Arial" w:cs="Arial"/>
                <w:snapToGrid w:val="0"/>
                <w:color w:val="000000"/>
                <w:sz w:val="20"/>
                <w:szCs w:val="20"/>
                <w:lang w:eastAsia="th-TH"/>
              </w:rPr>
              <w:t>months</w:t>
            </w:r>
          </w:p>
        </w:tc>
        <w:tc>
          <w:tcPr>
            <w:tcW w:w="1559" w:type="dxa"/>
            <w:shd w:val="clear" w:color="auto" w:fill="auto"/>
          </w:tcPr>
          <w:p w14:paraId="626F92B6" w14:textId="63665853" w:rsidR="002A474F" w:rsidRPr="002D2F67" w:rsidRDefault="00CD5714" w:rsidP="002A474F">
            <w:pPr>
              <w:ind w:left="-101" w:right="-74"/>
              <w:jc w:val="right"/>
              <w:rPr>
                <w:rFonts w:ascii="Arial" w:eastAsia="Arial Unicode MS" w:hAnsi="Arial" w:cs="Arial"/>
                <w:snapToGrid w:val="0"/>
                <w:color w:val="000000"/>
                <w:sz w:val="20"/>
                <w:szCs w:val="20"/>
                <w:lang w:eastAsia="th-TH"/>
              </w:rPr>
            </w:pPr>
            <w:r w:rsidRPr="00CD5714">
              <w:rPr>
                <w:rFonts w:ascii="Arial" w:eastAsia="Arial Unicode MS" w:hAnsi="Arial" w:cs="Arial"/>
                <w:snapToGrid w:val="0"/>
                <w:color w:val="000000"/>
                <w:sz w:val="20"/>
                <w:szCs w:val="20"/>
                <w:lang w:val="en-GB" w:eastAsia="th-TH"/>
              </w:rPr>
              <w:t>128</w:t>
            </w:r>
            <w:r w:rsidR="002A474F"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235</w:t>
            </w:r>
          </w:p>
        </w:tc>
        <w:tc>
          <w:tcPr>
            <w:tcW w:w="1418" w:type="dxa"/>
            <w:shd w:val="clear" w:color="auto" w:fill="auto"/>
            <w:vAlign w:val="bottom"/>
          </w:tcPr>
          <w:p w14:paraId="6D5C295B" w14:textId="1572EA76" w:rsidR="002A474F" w:rsidRPr="002D2F67" w:rsidRDefault="00CD5714" w:rsidP="002A474F">
            <w:pPr>
              <w:ind w:left="-101" w:right="-74"/>
              <w:jc w:val="right"/>
              <w:rPr>
                <w:rFonts w:ascii="Arial" w:eastAsia="Arial Unicode MS" w:hAnsi="Arial" w:cs="Arial"/>
                <w:snapToGrid w:val="0"/>
                <w:color w:val="000000"/>
                <w:sz w:val="20"/>
                <w:szCs w:val="20"/>
                <w:lang w:eastAsia="th-TH"/>
              </w:rPr>
            </w:pPr>
            <w:r w:rsidRPr="00CD5714">
              <w:rPr>
                <w:rFonts w:ascii="Arial" w:eastAsia="Arial Unicode MS" w:hAnsi="Arial" w:cs="Arial"/>
                <w:color w:val="000000"/>
                <w:sz w:val="20"/>
                <w:szCs w:val="20"/>
                <w:lang w:val="en-GB" w:eastAsia="th-TH"/>
              </w:rPr>
              <w:t>65</w:t>
            </w:r>
            <w:r w:rsidR="002A474F" w:rsidRPr="002D2F67">
              <w:rPr>
                <w:rFonts w:ascii="Arial" w:eastAsia="Arial Unicode MS" w:hAnsi="Arial" w:cs="Arial"/>
                <w:color w:val="000000"/>
                <w:sz w:val="20"/>
                <w:szCs w:val="20"/>
                <w:lang w:eastAsia="th-TH"/>
              </w:rPr>
              <w:t>,</w:t>
            </w:r>
            <w:r w:rsidRPr="00CD5714">
              <w:rPr>
                <w:rFonts w:ascii="Arial" w:eastAsia="Arial Unicode MS" w:hAnsi="Arial" w:cs="Arial"/>
                <w:color w:val="000000"/>
                <w:sz w:val="20"/>
                <w:szCs w:val="20"/>
                <w:lang w:val="en-GB" w:eastAsia="th-TH"/>
              </w:rPr>
              <w:t>991</w:t>
            </w:r>
          </w:p>
        </w:tc>
        <w:tc>
          <w:tcPr>
            <w:tcW w:w="1417" w:type="dxa"/>
            <w:shd w:val="clear" w:color="auto" w:fill="auto"/>
            <w:vAlign w:val="bottom"/>
          </w:tcPr>
          <w:p w14:paraId="03AB6EB7" w14:textId="48619BB3" w:rsidR="002A474F" w:rsidRPr="002D2F67" w:rsidRDefault="00CD5714" w:rsidP="002A474F">
            <w:pPr>
              <w:ind w:left="-101" w:right="-74"/>
              <w:jc w:val="right"/>
              <w:rPr>
                <w:rFonts w:ascii="Arial" w:eastAsia="Arial Unicode MS" w:hAnsi="Arial" w:cs="Arial"/>
                <w:snapToGrid w:val="0"/>
                <w:color w:val="000000"/>
                <w:sz w:val="20"/>
                <w:szCs w:val="20"/>
                <w:lang w:eastAsia="th-TH"/>
              </w:rPr>
            </w:pPr>
            <w:r w:rsidRPr="00CD5714">
              <w:rPr>
                <w:rFonts w:ascii="Arial" w:eastAsia="Arial Unicode MS" w:hAnsi="Arial" w:cs="Arial"/>
                <w:snapToGrid w:val="0"/>
                <w:color w:val="000000"/>
                <w:sz w:val="20"/>
                <w:szCs w:val="20"/>
                <w:lang w:val="en-GB" w:eastAsia="th-TH"/>
              </w:rPr>
              <w:t>818</w:t>
            </w:r>
          </w:p>
        </w:tc>
        <w:tc>
          <w:tcPr>
            <w:tcW w:w="1418" w:type="dxa"/>
            <w:shd w:val="clear" w:color="auto" w:fill="auto"/>
            <w:vAlign w:val="bottom"/>
          </w:tcPr>
          <w:p w14:paraId="62C31043" w14:textId="0550A638" w:rsidR="002A474F" w:rsidRPr="002D2F67" w:rsidRDefault="002A474F" w:rsidP="002A474F">
            <w:pPr>
              <w:ind w:left="-101" w:right="-74"/>
              <w:jc w:val="right"/>
              <w:rPr>
                <w:rFonts w:ascii="Arial" w:eastAsia="Arial Unicode MS" w:hAnsi="Arial" w:cs="Arial"/>
                <w:snapToGrid w:val="0"/>
                <w:color w:val="000000"/>
                <w:sz w:val="20"/>
                <w:szCs w:val="20"/>
                <w:lang w:eastAsia="th-TH"/>
              </w:rPr>
            </w:pPr>
            <w:r w:rsidRPr="002D2F67">
              <w:rPr>
                <w:rFonts w:ascii="Arial" w:eastAsia="Arial Unicode MS" w:hAnsi="Arial" w:cs="Arial"/>
                <w:color w:val="000000"/>
                <w:sz w:val="20"/>
                <w:szCs w:val="20"/>
                <w:lang w:eastAsia="th-TH"/>
              </w:rPr>
              <w:t>-</w:t>
            </w:r>
          </w:p>
        </w:tc>
      </w:tr>
      <w:tr w:rsidR="009B5DF5" w:rsidRPr="002D2F67" w14:paraId="1D33F697" w14:textId="77777777">
        <w:tc>
          <w:tcPr>
            <w:tcW w:w="3658" w:type="dxa"/>
            <w:shd w:val="clear" w:color="auto" w:fill="auto"/>
          </w:tcPr>
          <w:p w14:paraId="561A3B8C" w14:textId="107B822B" w:rsidR="009B5DF5" w:rsidRPr="002D2F67" w:rsidRDefault="009B5DF5" w:rsidP="009B5DF5">
            <w:pPr>
              <w:ind w:left="-101"/>
              <w:rPr>
                <w:rFonts w:ascii="Arial" w:eastAsia="Arial Unicode MS" w:hAnsi="Arial" w:cs="Arial"/>
                <w:snapToGrid w:val="0"/>
                <w:color w:val="000000"/>
                <w:sz w:val="20"/>
                <w:szCs w:val="20"/>
                <w:lang w:eastAsia="th-TH"/>
              </w:rPr>
            </w:pPr>
            <w:r w:rsidRPr="002D2F67">
              <w:rPr>
                <w:rFonts w:ascii="Arial" w:eastAsia="Arial Unicode MS" w:hAnsi="Arial" w:cs="Arial"/>
                <w:snapToGrid w:val="0"/>
                <w:color w:val="000000"/>
                <w:sz w:val="20"/>
                <w:szCs w:val="20"/>
                <w:lang w:eastAsia="th-TH"/>
              </w:rPr>
              <w:t xml:space="preserve">   Overdue </w:t>
            </w:r>
            <w:r w:rsidR="00CD5714" w:rsidRPr="00CD5714">
              <w:rPr>
                <w:rFonts w:ascii="Arial" w:eastAsia="Arial Unicode MS" w:hAnsi="Arial" w:cs="Arial"/>
                <w:snapToGrid w:val="0"/>
                <w:color w:val="000000"/>
                <w:sz w:val="20"/>
                <w:szCs w:val="20"/>
                <w:lang w:val="en-GB" w:eastAsia="th-TH"/>
              </w:rPr>
              <w:t>6</w:t>
            </w:r>
            <w:r w:rsidRPr="002D2F67">
              <w:rPr>
                <w:rFonts w:ascii="Arial" w:eastAsia="Arial Unicode MS" w:hAnsi="Arial" w:cs="Arial"/>
                <w:snapToGrid w:val="0"/>
                <w:color w:val="000000"/>
                <w:sz w:val="20"/>
                <w:szCs w:val="20"/>
                <w:cs/>
                <w:lang w:eastAsia="th-TH"/>
              </w:rPr>
              <w:t xml:space="preserve"> - </w:t>
            </w:r>
            <w:r w:rsidR="00CD5714" w:rsidRPr="00CD5714">
              <w:rPr>
                <w:rFonts w:ascii="Arial" w:eastAsia="Arial Unicode MS" w:hAnsi="Arial" w:cs="Arial"/>
                <w:snapToGrid w:val="0"/>
                <w:color w:val="000000"/>
                <w:sz w:val="20"/>
                <w:szCs w:val="20"/>
                <w:lang w:val="en-GB" w:eastAsia="th-TH"/>
              </w:rPr>
              <w:t>12</w:t>
            </w:r>
            <w:r w:rsidRPr="002D2F67">
              <w:rPr>
                <w:rFonts w:ascii="Arial" w:eastAsia="Arial Unicode MS" w:hAnsi="Arial" w:cs="Arial"/>
                <w:snapToGrid w:val="0"/>
                <w:color w:val="000000"/>
                <w:sz w:val="20"/>
                <w:szCs w:val="20"/>
                <w:cs/>
                <w:lang w:eastAsia="th-TH"/>
              </w:rPr>
              <w:t xml:space="preserve"> </w:t>
            </w:r>
            <w:r w:rsidRPr="002D2F67">
              <w:rPr>
                <w:rFonts w:ascii="Arial" w:eastAsia="Arial Unicode MS" w:hAnsi="Arial" w:cs="Arial"/>
                <w:snapToGrid w:val="0"/>
                <w:color w:val="000000"/>
                <w:sz w:val="20"/>
                <w:szCs w:val="20"/>
                <w:lang w:eastAsia="th-TH"/>
              </w:rPr>
              <w:t>months</w:t>
            </w:r>
          </w:p>
        </w:tc>
        <w:tc>
          <w:tcPr>
            <w:tcW w:w="1559" w:type="dxa"/>
            <w:shd w:val="clear" w:color="auto" w:fill="auto"/>
          </w:tcPr>
          <w:p w14:paraId="476B420D" w14:textId="3FBE8017" w:rsidR="009B5DF5" w:rsidRPr="002D2F67" w:rsidRDefault="00CD5714" w:rsidP="009B5DF5">
            <w:pPr>
              <w:ind w:left="-101" w:right="-74"/>
              <w:jc w:val="right"/>
              <w:rPr>
                <w:rFonts w:ascii="Arial" w:eastAsia="Arial Unicode MS" w:hAnsi="Arial" w:cs="Arial"/>
                <w:color w:val="000000"/>
                <w:sz w:val="20"/>
                <w:szCs w:val="20"/>
                <w:lang w:eastAsia="th-TH"/>
              </w:rPr>
            </w:pPr>
            <w:r w:rsidRPr="00CD5714">
              <w:rPr>
                <w:rFonts w:ascii="Arial" w:eastAsia="Arial Unicode MS" w:hAnsi="Arial" w:cs="Arial"/>
                <w:color w:val="000000"/>
                <w:sz w:val="20"/>
                <w:szCs w:val="20"/>
                <w:lang w:val="en-GB" w:eastAsia="th-TH"/>
              </w:rPr>
              <w:t>534</w:t>
            </w:r>
            <w:r w:rsidR="009B5DF5" w:rsidRPr="002D2F67">
              <w:rPr>
                <w:rFonts w:ascii="Arial" w:eastAsia="Arial Unicode MS" w:hAnsi="Arial" w:cs="Arial"/>
                <w:color w:val="000000"/>
                <w:sz w:val="20"/>
                <w:szCs w:val="20"/>
                <w:lang w:eastAsia="th-TH"/>
              </w:rPr>
              <w:t>,</w:t>
            </w:r>
            <w:r w:rsidRPr="00CD5714">
              <w:rPr>
                <w:rFonts w:ascii="Arial" w:eastAsia="Arial Unicode MS" w:hAnsi="Arial" w:cs="Arial"/>
                <w:color w:val="000000"/>
                <w:sz w:val="20"/>
                <w:szCs w:val="20"/>
                <w:lang w:val="en-GB" w:eastAsia="th-TH"/>
              </w:rPr>
              <w:t>647</w:t>
            </w:r>
            <w:r w:rsidR="009B5DF5" w:rsidRPr="002D2F67">
              <w:rPr>
                <w:rFonts w:ascii="Arial" w:eastAsia="Arial Unicode MS" w:hAnsi="Arial" w:cs="Arial"/>
                <w:color w:val="000000"/>
                <w:sz w:val="20"/>
                <w:szCs w:val="20"/>
                <w:lang w:eastAsia="th-TH"/>
              </w:rPr>
              <w:t xml:space="preserve"> </w:t>
            </w:r>
          </w:p>
        </w:tc>
        <w:tc>
          <w:tcPr>
            <w:tcW w:w="1418" w:type="dxa"/>
            <w:shd w:val="clear" w:color="auto" w:fill="auto"/>
            <w:vAlign w:val="bottom"/>
          </w:tcPr>
          <w:p w14:paraId="78D1BE8B" w14:textId="445E3148" w:rsidR="009B5DF5" w:rsidRPr="002D2F67" w:rsidRDefault="00CD5714" w:rsidP="009B5DF5">
            <w:pPr>
              <w:ind w:left="-101" w:right="-74"/>
              <w:jc w:val="right"/>
              <w:rPr>
                <w:rFonts w:ascii="Arial" w:eastAsia="Arial Unicode MS" w:hAnsi="Arial" w:cs="Arial"/>
                <w:snapToGrid w:val="0"/>
                <w:color w:val="000000"/>
                <w:sz w:val="20"/>
                <w:szCs w:val="20"/>
                <w:lang w:eastAsia="th-TH"/>
              </w:rPr>
            </w:pPr>
            <w:r w:rsidRPr="00CD5714">
              <w:rPr>
                <w:rFonts w:ascii="Arial" w:eastAsia="Arial Unicode MS" w:hAnsi="Arial" w:cs="Arial"/>
                <w:color w:val="000000"/>
                <w:sz w:val="20"/>
                <w:szCs w:val="20"/>
                <w:lang w:val="en-GB" w:eastAsia="th-TH"/>
              </w:rPr>
              <w:t>24</w:t>
            </w:r>
          </w:p>
        </w:tc>
        <w:tc>
          <w:tcPr>
            <w:tcW w:w="1417" w:type="dxa"/>
            <w:shd w:val="clear" w:color="auto" w:fill="auto"/>
            <w:vAlign w:val="bottom"/>
          </w:tcPr>
          <w:p w14:paraId="2187C1D3" w14:textId="43DD64BD" w:rsidR="009B5DF5" w:rsidRPr="002D2F67" w:rsidRDefault="009B5DF5" w:rsidP="009B5DF5">
            <w:pPr>
              <w:ind w:left="-101" w:right="-74"/>
              <w:jc w:val="right"/>
              <w:rPr>
                <w:rFonts w:ascii="Arial" w:eastAsia="Arial Unicode MS" w:hAnsi="Arial" w:cs="Arial"/>
                <w:snapToGrid w:val="0"/>
                <w:color w:val="000000"/>
                <w:sz w:val="20"/>
                <w:szCs w:val="20"/>
                <w:lang w:eastAsia="th-TH"/>
              </w:rPr>
            </w:pPr>
            <w:r w:rsidRPr="002D2F67">
              <w:rPr>
                <w:rFonts w:ascii="Arial" w:eastAsia="Arial Unicode MS" w:hAnsi="Arial" w:cs="Arial"/>
                <w:snapToGrid w:val="0"/>
                <w:color w:val="000000"/>
                <w:sz w:val="20"/>
                <w:szCs w:val="20"/>
                <w:lang w:eastAsia="th-TH"/>
              </w:rPr>
              <w:t>-</w:t>
            </w:r>
          </w:p>
        </w:tc>
        <w:tc>
          <w:tcPr>
            <w:tcW w:w="1418" w:type="dxa"/>
            <w:shd w:val="clear" w:color="auto" w:fill="auto"/>
            <w:vAlign w:val="bottom"/>
          </w:tcPr>
          <w:p w14:paraId="702381B5" w14:textId="24DDB26D" w:rsidR="009B5DF5" w:rsidRPr="002D2F67" w:rsidRDefault="009B5DF5" w:rsidP="009B5DF5">
            <w:pPr>
              <w:ind w:left="-101" w:right="-74"/>
              <w:jc w:val="right"/>
              <w:rPr>
                <w:rFonts w:ascii="Arial" w:eastAsia="Arial Unicode MS" w:hAnsi="Arial" w:cs="Arial"/>
                <w:snapToGrid w:val="0"/>
                <w:color w:val="000000"/>
                <w:sz w:val="20"/>
                <w:szCs w:val="20"/>
                <w:lang w:eastAsia="th-TH"/>
              </w:rPr>
            </w:pPr>
            <w:r w:rsidRPr="002D2F67">
              <w:rPr>
                <w:rFonts w:ascii="Arial" w:eastAsia="Arial Unicode MS" w:hAnsi="Arial" w:cs="Arial"/>
                <w:color w:val="000000"/>
                <w:sz w:val="20"/>
                <w:szCs w:val="20"/>
                <w:lang w:eastAsia="th-TH"/>
              </w:rPr>
              <w:t>-</w:t>
            </w:r>
          </w:p>
        </w:tc>
      </w:tr>
      <w:tr w:rsidR="009B5DF5" w:rsidRPr="002D2F67" w14:paraId="24382543" w14:textId="77777777">
        <w:tc>
          <w:tcPr>
            <w:tcW w:w="3658" w:type="dxa"/>
            <w:shd w:val="clear" w:color="auto" w:fill="auto"/>
          </w:tcPr>
          <w:p w14:paraId="6D87BFD1" w14:textId="66500C85" w:rsidR="009B5DF5" w:rsidRPr="002D2F67" w:rsidRDefault="009B5DF5" w:rsidP="009B5DF5">
            <w:pPr>
              <w:ind w:left="-101"/>
              <w:rPr>
                <w:rFonts w:ascii="Arial" w:eastAsia="Arial Unicode MS" w:hAnsi="Arial" w:cs="Arial"/>
                <w:snapToGrid w:val="0"/>
                <w:color w:val="000000"/>
                <w:sz w:val="20"/>
                <w:szCs w:val="20"/>
                <w:lang w:eastAsia="th-TH"/>
              </w:rPr>
            </w:pPr>
            <w:r w:rsidRPr="002D2F67">
              <w:rPr>
                <w:rFonts w:ascii="Arial" w:eastAsia="Arial Unicode MS" w:hAnsi="Arial" w:cs="Arial"/>
                <w:snapToGrid w:val="0"/>
                <w:color w:val="000000"/>
                <w:sz w:val="20"/>
                <w:szCs w:val="20"/>
                <w:lang w:eastAsia="th-TH"/>
              </w:rPr>
              <w:t xml:space="preserve">   Overdue more than </w:t>
            </w:r>
            <w:r w:rsidR="00CD5714" w:rsidRPr="00CD5714">
              <w:rPr>
                <w:rFonts w:ascii="Arial" w:eastAsia="Arial Unicode MS" w:hAnsi="Arial" w:cs="Arial"/>
                <w:snapToGrid w:val="0"/>
                <w:color w:val="000000"/>
                <w:sz w:val="20"/>
                <w:szCs w:val="20"/>
                <w:lang w:val="en-GB" w:eastAsia="th-TH"/>
              </w:rPr>
              <w:t>12</w:t>
            </w:r>
            <w:r w:rsidRPr="002D2F67">
              <w:rPr>
                <w:rFonts w:ascii="Arial" w:eastAsia="Arial Unicode MS" w:hAnsi="Arial" w:cs="Arial"/>
                <w:snapToGrid w:val="0"/>
                <w:color w:val="000000"/>
                <w:sz w:val="20"/>
                <w:szCs w:val="20"/>
                <w:cs/>
                <w:lang w:eastAsia="th-TH"/>
              </w:rPr>
              <w:t xml:space="preserve"> </w:t>
            </w:r>
            <w:r w:rsidRPr="002D2F67">
              <w:rPr>
                <w:rFonts w:ascii="Arial" w:eastAsia="Arial Unicode MS" w:hAnsi="Arial" w:cs="Arial"/>
                <w:snapToGrid w:val="0"/>
                <w:color w:val="000000"/>
                <w:sz w:val="20"/>
                <w:szCs w:val="20"/>
                <w:lang w:eastAsia="th-TH"/>
              </w:rPr>
              <w:t>months</w:t>
            </w:r>
          </w:p>
        </w:tc>
        <w:tc>
          <w:tcPr>
            <w:tcW w:w="1559" w:type="dxa"/>
            <w:shd w:val="clear" w:color="auto" w:fill="auto"/>
          </w:tcPr>
          <w:p w14:paraId="0BD6A147" w14:textId="3B5AD943" w:rsidR="009B5DF5" w:rsidRPr="002D2F67" w:rsidRDefault="00CD5714" w:rsidP="009B5DF5">
            <w:pPr>
              <w:ind w:left="-101" w:right="-74"/>
              <w:jc w:val="right"/>
              <w:rPr>
                <w:rFonts w:ascii="Arial" w:eastAsia="Arial Unicode MS" w:hAnsi="Arial" w:cs="Arial"/>
                <w:color w:val="000000"/>
                <w:sz w:val="20"/>
                <w:szCs w:val="20"/>
                <w:lang w:eastAsia="th-TH"/>
              </w:rPr>
            </w:pPr>
            <w:r w:rsidRPr="00CD5714">
              <w:rPr>
                <w:rFonts w:ascii="Arial" w:eastAsia="Arial Unicode MS" w:hAnsi="Arial" w:cs="Arial"/>
                <w:color w:val="000000"/>
                <w:sz w:val="20"/>
                <w:szCs w:val="20"/>
                <w:lang w:val="en-GB" w:eastAsia="th-TH"/>
              </w:rPr>
              <w:t>24</w:t>
            </w:r>
            <w:r w:rsidR="009B5DF5" w:rsidRPr="002D2F67">
              <w:rPr>
                <w:rFonts w:ascii="Arial" w:eastAsia="Arial Unicode MS" w:hAnsi="Arial" w:cs="Arial"/>
                <w:color w:val="000000"/>
                <w:sz w:val="20"/>
                <w:szCs w:val="20"/>
                <w:lang w:eastAsia="th-TH"/>
              </w:rPr>
              <w:t>,</w:t>
            </w:r>
            <w:r w:rsidRPr="00CD5714">
              <w:rPr>
                <w:rFonts w:ascii="Arial" w:eastAsia="Arial Unicode MS" w:hAnsi="Arial" w:cs="Arial"/>
                <w:color w:val="000000"/>
                <w:sz w:val="20"/>
                <w:szCs w:val="20"/>
                <w:lang w:val="en-GB" w:eastAsia="th-TH"/>
              </w:rPr>
              <w:t>395</w:t>
            </w:r>
          </w:p>
        </w:tc>
        <w:tc>
          <w:tcPr>
            <w:tcW w:w="1418" w:type="dxa"/>
            <w:shd w:val="clear" w:color="auto" w:fill="auto"/>
            <w:vAlign w:val="bottom"/>
          </w:tcPr>
          <w:p w14:paraId="43F5C715" w14:textId="65E65D2C" w:rsidR="009B5DF5" w:rsidRPr="002D2F67" w:rsidRDefault="00CD5714" w:rsidP="009B5DF5">
            <w:pPr>
              <w:ind w:left="-101" w:right="-74"/>
              <w:jc w:val="right"/>
              <w:rPr>
                <w:rFonts w:ascii="Arial" w:eastAsia="Arial Unicode MS" w:hAnsi="Arial" w:cs="Arial"/>
                <w:snapToGrid w:val="0"/>
                <w:color w:val="000000"/>
                <w:sz w:val="20"/>
                <w:szCs w:val="20"/>
                <w:lang w:eastAsia="th-TH"/>
              </w:rPr>
            </w:pPr>
            <w:r w:rsidRPr="00CD5714">
              <w:rPr>
                <w:rFonts w:ascii="Arial" w:eastAsia="Arial Unicode MS" w:hAnsi="Arial" w:cs="Arial"/>
                <w:color w:val="000000"/>
                <w:sz w:val="20"/>
                <w:szCs w:val="20"/>
                <w:lang w:val="en-GB" w:eastAsia="th-TH"/>
              </w:rPr>
              <w:t>6</w:t>
            </w:r>
            <w:r w:rsidR="009B5DF5" w:rsidRPr="002D2F67">
              <w:rPr>
                <w:rFonts w:ascii="Arial" w:eastAsia="Arial Unicode MS" w:hAnsi="Arial" w:cs="Arial"/>
                <w:color w:val="000000"/>
                <w:sz w:val="20"/>
                <w:szCs w:val="20"/>
                <w:lang w:eastAsia="th-TH"/>
              </w:rPr>
              <w:t>,</w:t>
            </w:r>
            <w:r w:rsidRPr="00CD5714">
              <w:rPr>
                <w:rFonts w:ascii="Arial" w:eastAsia="Arial Unicode MS" w:hAnsi="Arial" w:cs="Arial"/>
                <w:color w:val="000000"/>
                <w:sz w:val="20"/>
                <w:szCs w:val="20"/>
                <w:lang w:val="en-GB" w:eastAsia="th-TH"/>
              </w:rPr>
              <w:t>787</w:t>
            </w:r>
          </w:p>
        </w:tc>
        <w:tc>
          <w:tcPr>
            <w:tcW w:w="1417" w:type="dxa"/>
            <w:shd w:val="clear" w:color="auto" w:fill="auto"/>
            <w:vAlign w:val="bottom"/>
          </w:tcPr>
          <w:p w14:paraId="46E34380" w14:textId="1F6E8945" w:rsidR="009B5DF5" w:rsidRPr="002D2F67" w:rsidRDefault="009B5DF5" w:rsidP="009B5DF5">
            <w:pPr>
              <w:ind w:left="-101" w:right="-74"/>
              <w:jc w:val="right"/>
              <w:rPr>
                <w:rFonts w:ascii="Arial" w:eastAsia="Arial Unicode MS" w:hAnsi="Arial" w:cs="Arial"/>
                <w:snapToGrid w:val="0"/>
                <w:color w:val="000000"/>
                <w:sz w:val="20"/>
                <w:szCs w:val="20"/>
                <w:lang w:eastAsia="th-TH"/>
              </w:rPr>
            </w:pPr>
            <w:r w:rsidRPr="002D2F67">
              <w:rPr>
                <w:rFonts w:ascii="Arial" w:eastAsia="Arial Unicode MS" w:hAnsi="Arial" w:cs="Arial"/>
                <w:snapToGrid w:val="0"/>
                <w:color w:val="000000"/>
                <w:sz w:val="20"/>
                <w:szCs w:val="20"/>
                <w:lang w:eastAsia="th-TH"/>
              </w:rPr>
              <w:t>-</w:t>
            </w:r>
          </w:p>
        </w:tc>
        <w:tc>
          <w:tcPr>
            <w:tcW w:w="1418" w:type="dxa"/>
            <w:shd w:val="clear" w:color="auto" w:fill="auto"/>
            <w:vAlign w:val="bottom"/>
          </w:tcPr>
          <w:p w14:paraId="17A15B4C" w14:textId="35970D17" w:rsidR="009B5DF5" w:rsidRPr="002D2F67" w:rsidRDefault="009B5DF5" w:rsidP="009B5DF5">
            <w:pPr>
              <w:ind w:left="-101" w:right="-74"/>
              <w:jc w:val="right"/>
              <w:rPr>
                <w:rFonts w:ascii="Arial" w:eastAsia="Arial Unicode MS" w:hAnsi="Arial" w:cs="Arial"/>
                <w:snapToGrid w:val="0"/>
                <w:color w:val="000000"/>
                <w:sz w:val="20"/>
                <w:szCs w:val="20"/>
                <w:lang w:eastAsia="th-TH"/>
              </w:rPr>
            </w:pPr>
            <w:r w:rsidRPr="002D2F67">
              <w:rPr>
                <w:rFonts w:ascii="Arial" w:eastAsia="Arial Unicode MS" w:hAnsi="Arial" w:cs="Arial"/>
                <w:color w:val="000000"/>
                <w:sz w:val="20"/>
                <w:szCs w:val="20"/>
                <w:lang w:eastAsia="th-TH"/>
              </w:rPr>
              <w:t>-</w:t>
            </w:r>
          </w:p>
        </w:tc>
      </w:tr>
      <w:tr w:rsidR="009B5DF5" w:rsidRPr="002D2F67" w14:paraId="5BCA5EB2" w14:textId="77777777">
        <w:tc>
          <w:tcPr>
            <w:tcW w:w="3658" w:type="dxa"/>
            <w:shd w:val="clear" w:color="auto" w:fill="auto"/>
          </w:tcPr>
          <w:p w14:paraId="18FA4D17" w14:textId="08BAEF59" w:rsidR="009B5DF5" w:rsidRPr="002D2F67" w:rsidRDefault="009B5DF5" w:rsidP="009B5DF5">
            <w:pPr>
              <w:ind w:left="-101"/>
              <w:rPr>
                <w:rFonts w:ascii="Arial" w:eastAsia="Arial Unicode MS" w:hAnsi="Arial" w:cs="Arial"/>
                <w:snapToGrid w:val="0"/>
                <w:color w:val="000000"/>
                <w:sz w:val="20"/>
                <w:szCs w:val="20"/>
                <w:lang w:eastAsia="th-TH"/>
              </w:rPr>
            </w:pPr>
            <w:r w:rsidRPr="002D2F67">
              <w:rPr>
                <w:rFonts w:ascii="Arial" w:eastAsia="Arial Unicode MS" w:hAnsi="Arial" w:cs="Arial"/>
                <w:snapToGrid w:val="0"/>
                <w:color w:val="000000"/>
                <w:sz w:val="20"/>
                <w:szCs w:val="20"/>
                <w:u w:val="single"/>
                <w:lang w:eastAsia="th-TH"/>
              </w:rPr>
              <w:t>Less</w:t>
            </w:r>
            <w:r w:rsidRPr="002D2F67">
              <w:rPr>
                <w:rFonts w:ascii="Arial" w:eastAsia="Arial Unicode MS" w:hAnsi="Arial" w:cs="Arial"/>
                <w:snapToGrid w:val="0"/>
                <w:color w:val="000000"/>
                <w:sz w:val="20"/>
                <w:szCs w:val="20"/>
                <w:lang w:eastAsia="th-TH"/>
              </w:rPr>
              <w:t xml:space="preserve">  Expected credit loss</w:t>
            </w:r>
          </w:p>
        </w:tc>
        <w:tc>
          <w:tcPr>
            <w:tcW w:w="1559" w:type="dxa"/>
            <w:tcBorders>
              <w:bottom w:val="single" w:sz="4" w:space="0" w:color="auto"/>
            </w:tcBorders>
            <w:shd w:val="clear" w:color="auto" w:fill="auto"/>
          </w:tcPr>
          <w:p w14:paraId="556C2559" w14:textId="6BC5EB61" w:rsidR="009B5DF5" w:rsidRPr="002D2F67" w:rsidRDefault="009B5DF5" w:rsidP="009B5DF5">
            <w:pPr>
              <w:ind w:left="-101" w:right="-74"/>
              <w:jc w:val="right"/>
              <w:rPr>
                <w:rFonts w:ascii="Arial" w:eastAsia="Arial Unicode MS" w:hAnsi="Arial" w:cs="Arial"/>
                <w:color w:val="000000"/>
                <w:sz w:val="20"/>
                <w:szCs w:val="20"/>
                <w:lang w:eastAsia="th-TH"/>
              </w:rPr>
            </w:pPr>
            <w:r w:rsidRPr="002D2F67">
              <w:rPr>
                <w:rFonts w:ascii="Arial" w:eastAsia="Arial Unicode MS" w:hAnsi="Arial" w:cs="Arial"/>
                <w:color w:val="000000"/>
                <w:sz w:val="20"/>
                <w:szCs w:val="20"/>
                <w:lang w:eastAsia="th-TH"/>
              </w:rPr>
              <w:t>(</w:t>
            </w:r>
            <w:r w:rsidR="00CD5714" w:rsidRPr="00CD5714">
              <w:rPr>
                <w:rFonts w:ascii="Arial" w:eastAsia="Arial Unicode MS" w:hAnsi="Arial" w:cs="Arial"/>
                <w:color w:val="000000"/>
                <w:sz w:val="20"/>
                <w:szCs w:val="20"/>
                <w:lang w:val="en-GB" w:eastAsia="th-TH"/>
              </w:rPr>
              <w:t>236</w:t>
            </w:r>
            <w:r w:rsidRPr="002D2F67">
              <w:rPr>
                <w:rFonts w:ascii="Arial" w:eastAsia="Arial Unicode MS" w:hAnsi="Arial" w:cs="Arial"/>
                <w:color w:val="000000"/>
                <w:sz w:val="20"/>
                <w:szCs w:val="20"/>
                <w:lang w:eastAsia="th-TH"/>
              </w:rPr>
              <w:t>,</w:t>
            </w:r>
            <w:r w:rsidR="00CD5714" w:rsidRPr="00CD5714">
              <w:rPr>
                <w:rFonts w:ascii="Arial" w:eastAsia="Arial Unicode MS" w:hAnsi="Arial" w:cs="Arial"/>
                <w:color w:val="000000"/>
                <w:sz w:val="20"/>
                <w:szCs w:val="20"/>
                <w:lang w:val="en-GB" w:eastAsia="th-TH"/>
              </w:rPr>
              <w:t>769</w:t>
            </w:r>
            <w:r w:rsidRPr="002D2F67">
              <w:rPr>
                <w:rFonts w:ascii="Arial" w:eastAsia="Arial Unicode MS" w:hAnsi="Arial" w:cs="Arial"/>
                <w:color w:val="000000"/>
                <w:sz w:val="20"/>
                <w:szCs w:val="20"/>
                <w:lang w:eastAsia="th-TH"/>
              </w:rPr>
              <w:t>)</w:t>
            </w:r>
          </w:p>
        </w:tc>
        <w:tc>
          <w:tcPr>
            <w:tcW w:w="1418" w:type="dxa"/>
            <w:tcBorders>
              <w:bottom w:val="single" w:sz="4" w:space="0" w:color="auto"/>
            </w:tcBorders>
            <w:shd w:val="clear" w:color="auto" w:fill="auto"/>
            <w:vAlign w:val="bottom"/>
          </w:tcPr>
          <w:p w14:paraId="30E1B7CD" w14:textId="6F2EFF27" w:rsidR="009B5DF5" w:rsidRPr="002D2F67" w:rsidRDefault="009B5DF5" w:rsidP="009B5DF5">
            <w:pPr>
              <w:ind w:left="-101" w:right="-74"/>
              <w:jc w:val="right"/>
              <w:rPr>
                <w:rFonts w:ascii="Arial" w:eastAsia="Arial Unicode MS" w:hAnsi="Arial" w:cs="Arial"/>
                <w:snapToGrid w:val="0"/>
                <w:color w:val="000000"/>
                <w:sz w:val="20"/>
                <w:szCs w:val="20"/>
                <w:cs/>
                <w:lang w:eastAsia="th-TH"/>
              </w:rPr>
            </w:pPr>
            <w:r w:rsidRPr="002D2F67">
              <w:rPr>
                <w:rFonts w:ascii="Arial" w:eastAsia="Arial Unicode MS" w:hAnsi="Arial" w:cs="Arial"/>
                <w:color w:val="000000"/>
                <w:sz w:val="20"/>
                <w:szCs w:val="20"/>
                <w:lang w:eastAsia="th-TH"/>
              </w:rPr>
              <w:t>(</w:t>
            </w:r>
            <w:r w:rsidR="00CD5714" w:rsidRPr="00CD5714">
              <w:rPr>
                <w:rFonts w:ascii="Arial" w:eastAsia="Arial Unicode MS" w:hAnsi="Arial" w:cs="Arial"/>
                <w:color w:val="000000"/>
                <w:sz w:val="20"/>
                <w:szCs w:val="20"/>
                <w:lang w:val="en-GB" w:eastAsia="th-TH"/>
              </w:rPr>
              <w:t>11</w:t>
            </w:r>
            <w:r w:rsidRPr="002D2F67">
              <w:rPr>
                <w:rFonts w:ascii="Arial" w:eastAsia="Arial Unicode MS" w:hAnsi="Arial" w:cs="Arial"/>
                <w:color w:val="000000"/>
                <w:sz w:val="20"/>
                <w:szCs w:val="20"/>
                <w:lang w:eastAsia="th-TH"/>
              </w:rPr>
              <w:t>,</w:t>
            </w:r>
            <w:r w:rsidR="00CD5714" w:rsidRPr="00CD5714">
              <w:rPr>
                <w:rFonts w:ascii="Arial" w:eastAsia="Arial Unicode MS" w:hAnsi="Arial" w:cs="Arial"/>
                <w:color w:val="000000"/>
                <w:sz w:val="20"/>
                <w:szCs w:val="20"/>
                <w:lang w:val="en-GB" w:eastAsia="th-TH"/>
              </w:rPr>
              <w:t>102</w:t>
            </w:r>
            <w:r w:rsidRPr="002D2F67">
              <w:rPr>
                <w:rFonts w:ascii="Arial" w:eastAsia="Arial Unicode MS" w:hAnsi="Arial" w:cs="Arial"/>
                <w:color w:val="000000"/>
                <w:sz w:val="20"/>
                <w:szCs w:val="20"/>
                <w:lang w:eastAsia="th-TH"/>
              </w:rPr>
              <w:t>)</w:t>
            </w:r>
          </w:p>
        </w:tc>
        <w:tc>
          <w:tcPr>
            <w:tcW w:w="1417" w:type="dxa"/>
            <w:tcBorders>
              <w:bottom w:val="single" w:sz="4" w:space="0" w:color="auto"/>
            </w:tcBorders>
            <w:shd w:val="clear" w:color="auto" w:fill="auto"/>
            <w:vAlign w:val="bottom"/>
          </w:tcPr>
          <w:p w14:paraId="5E54FF99" w14:textId="6E94D10A" w:rsidR="009B5DF5" w:rsidRPr="002D2F67" w:rsidRDefault="009B5DF5" w:rsidP="009B5DF5">
            <w:pPr>
              <w:ind w:left="-101" w:right="-74"/>
              <w:jc w:val="right"/>
              <w:rPr>
                <w:rFonts w:ascii="Arial" w:eastAsia="Arial Unicode MS" w:hAnsi="Arial" w:cs="Arial"/>
                <w:snapToGrid w:val="0"/>
                <w:color w:val="000000"/>
                <w:sz w:val="20"/>
                <w:szCs w:val="20"/>
                <w:lang w:eastAsia="th-TH"/>
              </w:rPr>
            </w:pPr>
            <w:r w:rsidRPr="002D2F67">
              <w:rPr>
                <w:rFonts w:ascii="Arial" w:eastAsia="Arial Unicode MS" w:hAnsi="Arial" w:cs="Arial"/>
                <w:snapToGrid w:val="0"/>
                <w:color w:val="000000"/>
                <w:sz w:val="20"/>
                <w:szCs w:val="20"/>
                <w:lang w:eastAsia="th-TH"/>
              </w:rPr>
              <w:t>-</w:t>
            </w:r>
          </w:p>
        </w:tc>
        <w:tc>
          <w:tcPr>
            <w:tcW w:w="1418" w:type="dxa"/>
            <w:tcBorders>
              <w:bottom w:val="single" w:sz="4" w:space="0" w:color="auto"/>
            </w:tcBorders>
            <w:shd w:val="clear" w:color="auto" w:fill="auto"/>
            <w:vAlign w:val="bottom"/>
          </w:tcPr>
          <w:p w14:paraId="7DDE7F66" w14:textId="22ABACAE" w:rsidR="009B5DF5" w:rsidRPr="002D2F67" w:rsidRDefault="009B5DF5" w:rsidP="009B5DF5">
            <w:pPr>
              <w:ind w:left="-101" w:right="-74"/>
              <w:jc w:val="right"/>
              <w:rPr>
                <w:rFonts w:ascii="Arial" w:eastAsia="Arial Unicode MS" w:hAnsi="Arial" w:cs="Arial"/>
                <w:snapToGrid w:val="0"/>
                <w:color w:val="000000"/>
                <w:sz w:val="20"/>
                <w:szCs w:val="20"/>
                <w:lang w:eastAsia="th-TH"/>
              </w:rPr>
            </w:pPr>
            <w:r w:rsidRPr="002D2F67">
              <w:rPr>
                <w:rFonts w:ascii="Arial" w:eastAsia="Arial Unicode MS" w:hAnsi="Arial" w:cs="Arial"/>
                <w:color w:val="000000"/>
                <w:sz w:val="20"/>
                <w:szCs w:val="20"/>
                <w:lang w:eastAsia="th-TH"/>
              </w:rPr>
              <w:t>-</w:t>
            </w:r>
          </w:p>
        </w:tc>
      </w:tr>
      <w:tr w:rsidR="003F4D68" w:rsidRPr="002D2F67" w14:paraId="1FC3BFB8" w14:textId="77777777" w:rsidTr="005611FE">
        <w:trPr>
          <w:trHeight w:val="63"/>
        </w:trPr>
        <w:tc>
          <w:tcPr>
            <w:tcW w:w="3658" w:type="dxa"/>
            <w:shd w:val="clear" w:color="auto" w:fill="auto"/>
          </w:tcPr>
          <w:p w14:paraId="23282417" w14:textId="77777777" w:rsidR="003F4D68" w:rsidRPr="002D2F67" w:rsidRDefault="003F4D68" w:rsidP="005611FE">
            <w:pPr>
              <w:ind w:left="-101"/>
              <w:rPr>
                <w:rFonts w:ascii="Arial" w:eastAsia="Arial Unicode MS" w:hAnsi="Arial" w:cs="Arial"/>
                <w:snapToGrid w:val="0"/>
                <w:color w:val="000000"/>
                <w:sz w:val="12"/>
                <w:szCs w:val="12"/>
                <w:u w:val="single"/>
                <w:lang w:eastAsia="th-TH"/>
              </w:rPr>
            </w:pPr>
          </w:p>
        </w:tc>
        <w:tc>
          <w:tcPr>
            <w:tcW w:w="1559" w:type="dxa"/>
            <w:tcBorders>
              <w:top w:val="single" w:sz="4" w:space="0" w:color="auto"/>
            </w:tcBorders>
            <w:shd w:val="clear" w:color="auto" w:fill="auto"/>
            <w:vAlign w:val="bottom"/>
          </w:tcPr>
          <w:p w14:paraId="55FD4645" w14:textId="77777777" w:rsidR="003F4D68" w:rsidRPr="002D2F67" w:rsidRDefault="003F4D68" w:rsidP="005611FE">
            <w:pPr>
              <w:ind w:left="-101" w:right="-74"/>
              <w:jc w:val="right"/>
              <w:rPr>
                <w:rFonts w:ascii="Arial" w:eastAsia="Arial Unicode MS" w:hAnsi="Arial" w:cs="Arial"/>
                <w:color w:val="000000"/>
                <w:sz w:val="12"/>
                <w:szCs w:val="12"/>
                <w:lang w:eastAsia="th-TH"/>
              </w:rPr>
            </w:pPr>
          </w:p>
        </w:tc>
        <w:tc>
          <w:tcPr>
            <w:tcW w:w="1418" w:type="dxa"/>
            <w:tcBorders>
              <w:top w:val="single" w:sz="4" w:space="0" w:color="auto"/>
            </w:tcBorders>
            <w:shd w:val="clear" w:color="auto" w:fill="auto"/>
            <w:vAlign w:val="bottom"/>
          </w:tcPr>
          <w:p w14:paraId="707D9C94" w14:textId="77777777" w:rsidR="003F4D68" w:rsidRPr="002D2F67" w:rsidRDefault="003F4D68" w:rsidP="005611FE">
            <w:pPr>
              <w:ind w:left="-101" w:right="-74"/>
              <w:jc w:val="right"/>
              <w:rPr>
                <w:rFonts w:ascii="Arial" w:eastAsia="Arial Unicode MS" w:hAnsi="Arial" w:cs="Arial"/>
                <w:snapToGrid w:val="0"/>
                <w:color w:val="000000"/>
                <w:sz w:val="12"/>
                <w:szCs w:val="12"/>
                <w:lang w:eastAsia="th-TH"/>
              </w:rPr>
            </w:pPr>
          </w:p>
        </w:tc>
        <w:tc>
          <w:tcPr>
            <w:tcW w:w="1417" w:type="dxa"/>
            <w:tcBorders>
              <w:top w:val="single" w:sz="4" w:space="0" w:color="auto"/>
            </w:tcBorders>
            <w:shd w:val="clear" w:color="auto" w:fill="auto"/>
            <w:vAlign w:val="bottom"/>
          </w:tcPr>
          <w:p w14:paraId="1DECDFF7" w14:textId="77777777" w:rsidR="003F4D68" w:rsidRPr="002D2F67" w:rsidRDefault="003F4D68" w:rsidP="005611FE">
            <w:pPr>
              <w:ind w:left="-101" w:right="-74"/>
              <w:jc w:val="right"/>
              <w:rPr>
                <w:rFonts w:ascii="Arial" w:eastAsia="Arial Unicode MS" w:hAnsi="Arial" w:cs="Arial"/>
                <w:color w:val="000000"/>
                <w:sz w:val="12"/>
                <w:szCs w:val="12"/>
                <w:lang w:eastAsia="th-TH"/>
              </w:rPr>
            </w:pPr>
          </w:p>
        </w:tc>
        <w:tc>
          <w:tcPr>
            <w:tcW w:w="1418" w:type="dxa"/>
            <w:tcBorders>
              <w:top w:val="single" w:sz="4" w:space="0" w:color="auto"/>
            </w:tcBorders>
            <w:shd w:val="clear" w:color="auto" w:fill="auto"/>
            <w:vAlign w:val="bottom"/>
          </w:tcPr>
          <w:p w14:paraId="2358C67F" w14:textId="77777777" w:rsidR="003F4D68" w:rsidRPr="002D2F67" w:rsidRDefault="003F4D68" w:rsidP="005611FE">
            <w:pPr>
              <w:ind w:left="-101" w:right="-74"/>
              <w:jc w:val="right"/>
              <w:rPr>
                <w:rFonts w:ascii="Arial" w:eastAsia="Arial Unicode MS" w:hAnsi="Arial" w:cs="Arial"/>
                <w:snapToGrid w:val="0"/>
                <w:color w:val="000000"/>
                <w:sz w:val="12"/>
                <w:szCs w:val="12"/>
                <w:lang w:eastAsia="th-TH"/>
              </w:rPr>
            </w:pPr>
          </w:p>
        </w:tc>
      </w:tr>
      <w:tr w:rsidR="003F4D68" w:rsidRPr="002D2F67" w14:paraId="70D6EED7" w14:textId="77777777" w:rsidTr="005611FE">
        <w:tc>
          <w:tcPr>
            <w:tcW w:w="3658" w:type="dxa"/>
            <w:shd w:val="clear" w:color="auto" w:fill="auto"/>
          </w:tcPr>
          <w:p w14:paraId="689289CD" w14:textId="1BF8B807" w:rsidR="003F4D68" w:rsidRPr="002D2F67" w:rsidRDefault="003F4D68" w:rsidP="005611FE">
            <w:pPr>
              <w:widowControl w:val="0"/>
              <w:ind w:left="-101"/>
              <w:rPr>
                <w:rFonts w:ascii="Arial" w:hAnsi="Arial" w:cs="Arial"/>
                <w:color w:val="000000"/>
                <w:sz w:val="20"/>
                <w:szCs w:val="20"/>
              </w:rPr>
            </w:pPr>
            <w:r w:rsidRPr="002D2F67">
              <w:rPr>
                <w:rFonts w:ascii="Arial" w:eastAsia="Arial Unicode MS" w:hAnsi="Arial" w:cs="Arial"/>
                <w:snapToGrid w:val="0"/>
                <w:color w:val="000000"/>
                <w:sz w:val="20"/>
                <w:szCs w:val="20"/>
                <w:lang w:eastAsia="th-TH"/>
              </w:rPr>
              <w:t>Total trade accounts receivable</w:t>
            </w:r>
          </w:p>
          <w:p w14:paraId="7D9FA934" w14:textId="742B6C47" w:rsidR="003F4D68" w:rsidRPr="002D2F67" w:rsidRDefault="003F4D68" w:rsidP="005611FE">
            <w:pPr>
              <w:ind w:left="-101"/>
              <w:rPr>
                <w:rFonts w:ascii="Arial" w:eastAsia="Arial Unicode MS" w:hAnsi="Arial" w:cs="Arial"/>
                <w:snapToGrid w:val="0"/>
                <w:color w:val="000000"/>
                <w:sz w:val="20"/>
                <w:szCs w:val="20"/>
                <w:lang w:eastAsia="th-TH"/>
              </w:rPr>
            </w:pPr>
            <w:r w:rsidRPr="002D2F67">
              <w:rPr>
                <w:rFonts w:ascii="Arial" w:hAnsi="Arial" w:cs="Arial"/>
                <w:color w:val="000000"/>
                <w:sz w:val="20"/>
                <w:szCs w:val="20"/>
              </w:rPr>
              <w:t xml:space="preserve">   </w:t>
            </w:r>
            <w:r w:rsidRPr="002D2F67">
              <w:rPr>
                <w:rFonts w:ascii="Arial" w:eastAsia="Arial Unicode MS" w:hAnsi="Arial" w:cs="Arial"/>
                <w:snapToGrid w:val="0"/>
                <w:color w:val="000000"/>
                <w:sz w:val="20"/>
                <w:szCs w:val="20"/>
                <w:lang w:eastAsia="th-TH"/>
              </w:rPr>
              <w:t>- other parties, net</w:t>
            </w:r>
          </w:p>
        </w:tc>
        <w:tc>
          <w:tcPr>
            <w:tcW w:w="1559" w:type="dxa"/>
            <w:tcBorders>
              <w:bottom w:val="single" w:sz="4" w:space="0" w:color="auto"/>
            </w:tcBorders>
            <w:shd w:val="clear" w:color="auto" w:fill="auto"/>
            <w:vAlign w:val="bottom"/>
          </w:tcPr>
          <w:p w14:paraId="712B2839" w14:textId="195CFB7D" w:rsidR="003F4D68" w:rsidRPr="002D2F67" w:rsidRDefault="00CD5714" w:rsidP="005611FE">
            <w:pPr>
              <w:ind w:left="-101" w:right="-74"/>
              <w:jc w:val="right"/>
              <w:rPr>
                <w:rFonts w:ascii="Arial" w:eastAsia="Arial Unicode MS" w:hAnsi="Arial" w:cs="Arial"/>
                <w:snapToGrid w:val="0"/>
                <w:color w:val="000000"/>
                <w:sz w:val="20"/>
                <w:szCs w:val="20"/>
                <w:lang w:eastAsia="th-TH"/>
              </w:rPr>
            </w:pPr>
            <w:r w:rsidRPr="00CD5714">
              <w:rPr>
                <w:rFonts w:ascii="Arial" w:eastAsia="Arial Unicode MS" w:hAnsi="Arial" w:cs="Arial"/>
                <w:snapToGrid w:val="0"/>
                <w:color w:val="000000"/>
                <w:sz w:val="20"/>
                <w:szCs w:val="20"/>
                <w:lang w:val="en-GB" w:eastAsia="th-TH"/>
              </w:rPr>
              <w:t>3</w:t>
            </w:r>
            <w:r w:rsidR="009B5DF5"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261</w:t>
            </w:r>
            <w:r w:rsidR="009B5DF5"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024</w:t>
            </w:r>
          </w:p>
        </w:tc>
        <w:tc>
          <w:tcPr>
            <w:tcW w:w="1418" w:type="dxa"/>
            <w:tcBorders>
              <w:bottom w:val="single" w:sz="4" w:space="0" w:color="auto"/>
            </w:tcBorders>
            <w:shd w:val="clear" w:color="auto" w:fill="auto"/>
            <w:vAlign w:val="bottom"/>
          </w:tcPr>
          <w:p w14:paraId="1FB3081F" w14:textId="1C47C993" w:rsidR="003F4D68" w:rsidRPr="002D2F67" w:rsidRDefault="00CD5714" w:rsidP="005611FE">
            <w:pPr>
              <w:ind w:left="-101" w:right="-74"/>
              <w:jc w:val="right"/>
              <w:rPr>
                <w:rFonts w:ascii="Arial" w:eastAsia="Arial Unicode MS" w:hAnsi="Arial" w:cs="Arial"/>
                <w:snapToGrid w:val="0"/>
                <w:color w:val="000000"/>
                <w:sz w:val="20"/>
                <w:szCs w:val="20"/>
                <w:lang w:eastAsia="th-TH"/>
              </w:rPr>
            </w:pPr>
            <w:r w:rsidRPr="00CD5714">
              <w:rPr>
                <w:rFonts w:ascii="Arial" w:eastAsia="Arial Unicode MS" w:hAnsi="Arial" w:cs="Arial"/>
                <w:color w:val="000000"/>
                <w:sz w:val="20"/>
                <w:szCs w:val="20"/>
                <w:lang w:val="en-GB" w:eastAsia="th-TH"/>
              </w:rPr>
              <w:t>3</w:t>
            </w:r>
            <w:r w:rsidR="003F4D68" w:rsidRPr="002D2F67">
              <w:rPr>
                <w:rFonts w:ascii="Arial" w:eastAsia="Arial Unicode MS" w:hAnsi="Arial" w:cs="Arial"/>
                <w:color w:val="000000"/>
                <w:sz w:val="20"/>
                <w:szCs w:val="20"/>
                <w:lang w:eastAsia="th-TH"/>
              </w:rPr>
              <w:t>,</w:t>
            </w:r>
            <w:r w:rsidRPr="00CD5714">
              <w:rPr>
                <w:rFonts w:ascii="Arial" w:eastAsia="Arial Unicode MS" w:hAnsi="Arial" w:cs="Arial"/>
                <w:color w:val="000000"/>
                <w:sz w:val="20"/>
                <w:szCs w:val="20"/>
                <w:lang w:val="en-GB" w:eastAsia="th-TH"/>
              </w:rPr>
              <w:t>273</w:t>
            </w:r>
            <w:r w:rsidR="003F4D68" w:rsidRPr="002D2F67">
              <w:rPr>
                <w:rFonts w:ascii="Arial" w:eastAsia="Arial Unicode MS" w:hAnsi="Arial" w:cs="Arial"/>
                <w:color w:val="000000"/>
                <w:sz w:val="20"/>
                <w:szCs w:val="20"/>
                <w:lang w:eastAsia="th-TH"/>
              </w:rPr>
              <w:t>,</w:t>
            </w:r>
            <w:r w:rsidRPr="00CD5714">
              <w:rPr>
                <w:rFonts w:ascii="Arial" w:eastAsia="Arial Unicode MS" w:hAnsi="Arial" w:cs="Arial"/>
                <w:color w:val="000000"/>
                <w:sz w:val="20"/>
                <w:szCs w:val="20"/>
                <w:lang w:val="en-GB" w:eastAsia="th-TH"/>
              </w:rPr>
              <w:t>955</w:t>
            </w:r>
          </w:p>
        </w:tc>
        <w:tc>
          <w:tcPr>
            <w:tcW w:w="1417" w:type="dxa"/>
            <w:tcBorders>
              <w:bottom w:val="single" w:sz="4" w:space="0" w:color="auto"/>
            </w:tcBorders>
            <w:shd w:val="clear" w:color="auto" w:fill="auto"/>
            <w:vAlign w:val="bottom"/>
          </w:tcPr>
          <w:p w14:paraId="324B5904" w14:textId="4DD8967B" w:rsidR="003F4D68" w:rsidRPr="002D2F67" w:rsidRDefault="00CD5714" w:rsidP="005611FE">
            <w:pPr>
              <w:ind w:left="-101" w:right="-74"/>
              <w:jc w:val="right"/>
              <w:rPr>
                <w:rFonts w:ascii="Arial" w:eastAsia="Arial Unicode MS" w:hAnsi="Arial" w:cs="Arial"/>
                <w:snapToGrid w:val="0"/>
                <w:color w:val="000000"/>
                <w:sz w:val="20"/>
                <w:szCs w:val="20"/>
                <w:lang w:eastAsia="th-TH"/>
              </w:rPr>
            </w:pPr>
            <w:r w:rsidRPr="00CD5714">
              <w:rPr>
                <w:rFonts w:ascii="Arial" w:eastAsia="Arial Unicode MS" w:hAnsi="Arial" w:cs="Arial"/>
                <w:snapToGrid w:val="0"/>
                <w:color w:val="000000"/>
                <w:sz w:val="20"/>
                <w:szCs w:val="20"/>
                <w:lang w:val="en-GB" w:eastAsia="th-TH"/>
              </w:rPr>
              <w:t>615</w:t>
            </w:r>
            <w:r w:rsidR="00581617"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689</w:t>
            </w:r>
          </w:p>
        </w:tc>
        <w:tc>
          <w:tcPr>
            <w:tcW w:w="1418" w:type="dxa"/>
            <w:tcBorders>
              <w:bottom w:val="single" w:sz="4" w:space="0" w:color="auto"/>
            </w:tcBorders>
            <w:shd w:val="clear" w:color="auto" w:fill="auto"/>
            <w:vAlign w:val="bottom"/>
          </w:tcPr>
          <w:p w14:paraId="0FA2BA6F" w14:textId="6EB5C582" w:rsidR="003F4D68" w:rsidRPr="002D2F67" w:rsidRDefault="00CD5714" w:rsidP="005611FE">
            <w:pPr>
              <w:ind w:left="-101" w:right="-74"/>
              <w:jc w:val="right"/>
              <w:rPr>
                <w:rFonts w:ascii="Arial" w:eastAsia="Arial Unicode MS" w:hAnsi="Arial" w:cs="Arial"/>
                <w:snapToGrid w:val="0"/>
                <w:color w:val="000000"/>
                <w:sz w:val="20"/>
                <w:szCs w:val="20"/>
                <w:lang w:eastAsia="th-TH"/>
              </w:rPr>
            </w:pPr>
            <w:r w:rsidRPr="00CD5714">
              <w:rPr>
                <w:rFonts w:ascii="Arial" w:eastAsia="Arial Unicode MS" w:hAnsi="Arial" w:cs="Arial"/>
                <w:color w:val="000000"/>
                <w:sz w:val="20"/>
                <w:szCs w:val="20"/>
                <w:lang w:val="en-GB" w:eastAsia="th-TH"/>
              </w:rPr>
              <w:t>1</w:t>
            </w:r>
            <w:r w:rsidR="003F4D68" w:rsidRPr="002D2F67">
              <w:rPr>
                <w:rFonts w:ascii="Arial" w:eastAsia="Arial Unicode MS" w:hAnsi="Arial" w:cs="Arial"/>
                <w:color w:val="000000"/>
                <w:sz w:val="20"/>
                <w:szCs w:val="20"/>
                <w:lang w:eastAsia="th-TH"/>
              </w:rPr>
              <w:t>,</w:t>
            </w:r>
            <w:r w:rsidRPr="00CD5714">
              <w:rPr>
                <w:rFonts w:ascii="Arial" w:eastAsia="Arial Unicode MS" w:hAnsi="Arial" w:cs="Arial"/>
                <w:color w:val="000000"/>
                <w:sz w:val="20"/>
                <w:szCs w:val="20"/>
                <w:lang w:val="en-GB" w:eastAsia="th-TH"/>
              </w:rPr>
              <w:t>207</w:t>
            </w:r>
            <w:r w:rsidR="003F4D68" w:rsidRPr="002D2F67">
              <w:rPr>
                <w:rFonts w:ascii="Arial" w:eastAsia="Arial Unicode MS" w:hAnsi="Arial" w:cs="Arial"/>
                <w:color w:val="000000"/>
                <w:sz w:val="20"/>
                <w:szCs w:val="20"/>
                <w:lang w:eastAsia="th-TH"/>
              </w:rPr>
              <w:t>,</w:t>
            </w:r>
            <w:r w:rsidRPr="00CD5714">
              <w:rPr>
                <w:rFonts w:ascii="Arial" w:eastAsia="Arial Unicode MS" w:hAnsi="Arial" w:cs="Arial"/>
                <w:color w:val="000000"/>
                <w:sz w:val="20"/>
                <w:szCs w:val="20"/>
                <w:lang w:val="en-GB" w:eastAsia="th-TH"/>
              </w:rPr>
              <w:t>217</w:t>
            </w:r>
          </w:p>
        </w:tc>
      </w:tr>
      <w:tr w:rsidR="003F4D68" w:rsidRPr="002D2F67" w14:paraId="677FB7EF" w14:textId="77777777" w:rsidTr="005611FE">
        <w:tc>
          <w:tcPr>
            <w:tcW w:w="3658" w:type="dxa"/>
            <w:shd w:val="clear" w:color="auto" w:fill="auto"/>
          </w:tcPr>
          <w:p w14:paraId="0095A8FE" w14:textId="77777777" w:rsidR="003F4D68" w:rsidRPr="002D2F67" w:rsidRDefault="003F4D68" w:rsidP="005611FE">
            <w:pPr>
              <w:ind w:left="-101"/>
              <w:rPr>
                <w:rFonts w:ascii="Arial" w:eastAsia="Arial Unicode MS" w:hAnsi="Arial" w:cs="Arial"/>
                <w:snapToGrid w:val="0"/>
                <w:color w:val="000000"/>
                <w:sz w:val="8"/>
                <w:szCs w:val="8"/>
                <w:lang w:eastAsia="th-TH"/>
              </w:rPr>
            </w:pPr>
          </w:p>
        </w:tc>
        <w:tc>
          <w:tcPr>
            <w:tcW w:w="1559" w:type="dxa"/>
            <w:tcBorders>
              <w:top w:val="single" w:sz="4" w:space="0" w:color="auto"/>
            </w:tcBorders>
            <w:shd w:val="clear" w:color="auto" w:fill="auto"/>
            <w:vAlign w:val="bottom"/>
          </w:tcPr>
          <w:p w14:paraId="0880C78F" w14:textId="77777777" w:rsidR="003F4D68" w:rsidRPr="002D2F67" w:rsidRDefault="003F4D68" w:rsidP="005611FE">
            <w:pPr>
              <w:ind w:left="-101" w:right="-74"/>
              <w:jc w:val="right"/>
              <w:rPr>
                <w:rFonts w:ascii="Arial" w:eastAsia="Arial Unicode MS" w:hAnsi="Arial" w:cs="Arial"/>
                <w:snapToGrid w:val="0"/>
                <w:color w:val="000000"/>
                <w:sz w:val="8"/>
                <w:szCs w:val="8"/>
                <w:lang w:eastAsia="th-TH"/>
              </w:rPr>
            </w:pPr>
          </w:p>
        </w:tc>
        <w:tc>
          <w:tcPr>
            <w:tcW w:w="1418" w:type="dxa"/>
            <w:tcBorders>
              <w:top w:val="single" w:sz="4" w:space="0" w:color="auto"/>
            </w:tcBorders>
            <w:shd w:val="clear" w:color="auto" w:fill="auto"/>
            <w:vAlign w:val="bottom"/>
          </w:tcPr>
          <w:p w14:paraId="4F745DAA" w14:textId="77777777" w:rsidR="003F4D68" w:rsidRPr="002D2F67" w:rsidRDefault="003F4D68" w:rsidP="005611FE">
            <w:pPr>
              <w:ind w:left="-101" w:right="-74"/>
              <w:jc w:val="right"/>
              <w:rPr>
                <w:rFonts w:ascii="Arial" w:eastAsia="Arial Unicode MS" w:hAnsi="Arial" w:cs="Arial"/>
                <w:snapToGrid w:val="0"/>
                <w:color w:val="000000"/>
                <w:sz w:val="8"/>
                <w:szCs w:val="8"/>
                <w:lang w:eastAsia="th-TH"/>
              </w:rPr>
            </w:pPr>
          </w:p>
        </w:tc>
        <w:tc>
          <w:tcPr>
            <w:tcW w:w="1417" w:type="dxa"/>
            <w:tcBorders>
              <w:top w:val="single" w:sz="4" w:space="0" w:color="auto"/>
            </w:tcBorders>
            <w:shd w:val="clear" w:color="auto" w:fill="auto"/>
            <w:vAlign w:val="bottom"/>
          </w:tcPr>
          <w:p w14:paraId="3E3A2840" w14:textId="77777777" w:rsidR="003F4D68" w:rsidRPr="002D2F67" w:rsidRDefault="003F4D68" w:rsidP="005611FE">
            <w:pPr>
              <w:ind w:left="-101" w:right="-74"/>
              <w:jc w:val="right"/>
              <w:rPr>
                <w:rFonts w:ascii="Arial" w:eastAsia="Arial Unicode MS" w:hAnsi="Arial" w:cs="Arial"/>
                <w:snapToGrid w:val="0"/>
                <w:color w:val="000000"/>
                <w:sz w:val="8"/>
                <w:szCs w:val="8"/>
                <w:lang w:eastAsia="th-TH"/>
              </w:rPr>
            </w:pPr>
          </w:p>
        </w:tc>
        <w:tc>
          <w:tcPr>
            <w:tcW w:w="1418" w:type="dxa"/>
            <w:tcBorders>
              <w:top w:val="single" w:sz="4" w:space="0" w:color="auto"/>
            </w:tcBorders>
            <w:shd w:val="clear" w:color="auto" w:fill="auto"/>
            <w:vAlign w:val="bottom"/>
          </w:tcPr>
          <w:p w14:paraId="5826E72E" w14:textId="77777777" w:rsidR="003F4D68" w:rsidRPr="002D2F67" w:rsidRDefault="003F4D68" w:rsidP="005611FE">
            <w:pPr>
              <w:ind w:left="-101" w:right="-74"/>
              <w:jc w:val="right"/>
              <w:rPr>
                <w:rFonts w:ascii="Arial" w:eastAsia="Arial Unicode MS" w:hAnsi="Arial" w:cs="Arial"/>
                <w:snapToGrid w:val="0"/>
                <w:color w:val="000000"/>
                <w:sz w:val="8"/>
                <w:szCs w:val="8"/>
                <w:lang w:eastAsia="th-TH"/>
              </w:rPr>
            </w:pPr>
          </w:p>
        </w:tc>
      </w:tr>
      <w:tr w:rsidR="003F4D68" w:rsidRPr="002D2F67" w14:paraId="42E1248B" w14:textId="77777777" w:rsidTr="005611FE">
        <w:tc>
          <w:tcPr>
            <w:tcW w:w="3658" w:type="dxa"/>
            <w:shd w:val="clear" w:color="auto" w:fill="auto"/>
          </w:tcPr>
          <w:p w14:paraId="29C03F11" w14:textId="0AF769D2" w:rsidR="003F4D68" w:rsidRPr="002D2F67" w:rsidRDefault="003F4D68" w:rsidP="005611FE">
            <w:pPr>
              <w:ind w:left="-101"/>
              <w:rPr>
                <w:rFonts w:ascii="Arial" w:eastAsia="Arial Unicode MS" w:hAnsi="Arial" w:cs="Arial"/>
                <w:b/>
                <w:bCs/>
                <w:snapToGrid w:val="0"/>
                <w:color w:val="000000"/>
                <w:sz w:val="20"/>
                <w:szCs w:val="20"/>
                <w:lang w:eastAsia="th-TH"/>
              </w:rPr>
            </w:pPr>
            <w:r w:rsidRPr="002D2F67">
              <w:rPr>
                <w:rFonts w:ascii="Arial" w:eastAsia="Arial Unicode MS" w:hAnsi="Arial" w:cs="Arial"/>
                <w:b/>
                <w:bCs/>
                <w:snapToGrid w:val="0"/>
                <w:color w:val="000000"/>
                <w:sz w:val="20"/>
                <w:szCs w:val="20"/>
                <w:lang w:eastAsia="th-TH"/>
              </w:rPr>
              <w:t>Related parties</w:t>
            </w:r>
          </w:p>
        </w:tc>
        <w:tc>
          <w:tcPr>
            <w:tcW w:w="1559" w:type="dxa"/>
            <w:shd w:val="clear" w:color="auto" w:fill="auto"/>
            <w:vAlign w:val="bottom"/>
          </w:tcPr>
          <w:p w14:paraId="4F403096" w14:textId="77777777" w:rsidR="003F4D68" w:rsidRPr="002D2F67" w:rsidRDefault="003F4D68" w:rsidP="005611FE">
            <w:pPr>
              <w:ind w:left="-101" w:right="-74"/>
              <w:jc w:val="right"/>
              <w:rPr>
                <w:rFonts w:ascii="Arial" w:eastAsia="Arial Unicode MS" w:hAnsi="Arial" w:cs="Arial"/>
                <w:snapToGrid w:val="0"/>
                <w:color w:val="000000"/>
                <w:sz w:val="20"/>
                <w:szCs w:val="20"/>
                <w:lang w:eastAsia="th-TH"/>
              </w:rPr>
            </w:pPr>
          </w:p>
        </w:tc>
        <w:tc>
          <w:tcPr>
            <w:tcW w:w="1418" w:type="dxa"/>
            <w:shd w:val="clear" w:color="auto" w:fill="auto"/>
            <w:vAlign w:val="bottom"/>
          </w:tcPr>
          <w:p w14:paraId="6C94DA48" w14:textId="77777777" w:rsidR="003F4D68" w:rsidRPr="002D2F67" w:rsidRDefault="003F4D68" w:rsidP="005611FE">
            <w:pPr>
              <w:ind w:left="-101" w:right="-74"/>
              <w:jc w:val="right"/>
              <w:rPr>
                <w:rFonts w:ascii="Arial" w:eastAsia="Arial Unicode MS" w:hAnsi="Arial" w:cs="Arial"/>
                <w:snapToGrid w:val="0"/>
                <w:color w:val="000000"/>
                <w:sz w:val="20"/>
                <w:szCs w:val="20"/>
                <w:lang w:eastAsia="th-TH"/>
              </w:rPr>
            </w:pPr>
          </w:p>
        </w:tc>
        <w:tc>
          <w:tcPr>
            <w:tcW w:w="1417" w:type="dxa"/>
            <w:shd w:val="clear" w:color="auto" w:fill="auto"/>
            <w:vAlign w:val="bottom"/>
          </w:tcPr>
          <w:p w14:paraId="2586FCA9" w14:textId="77777777" w:rsidR="003F4D68" w:rsidRPr="002D2F67" w:rsidRDefault="003F4D68" w:rsidP="005611FE">
            <w:pPr>
              <w:ind w:left="-101" w:right="-74"/>
              <w:jc w:val="right"/>
              <w:rPr>
                <w:rFonts w:ascii="Arial" w:eastAsia="Arial Unicode MS" w:hAnsi="Arial" w:cs="Arial"/>
                <w:snapToGrid w:val="0"/>
                <w:color w:val="000000"/>
                <w:sz w:val="20"/>
                <w:szCs w:val="20"/>
                <w:lang w:eastAsia="th-TH"/>
              </w:rPr>
            </w:pPr>
          </w:p>
        </w:tc>
        <w:tc>
          <w:tcPr>
            <w:tcW w:w="1418" w:type="dxa"/>
            <w:shd w:val="clear" w:color="auto" w:fill="auto"/>
            <w:vAlign w:val="bottom"/>
          </w:tcPr>
          <w:p w14:paraId="4697A6A7" w14:textId="77777777" w:rsidR="003F4D68" w:rsidRPr="002D2F67" w:rsidRDefault="003F4D68" w:rsidP="005611FE">
            <w:pPr>
              <w:ind w:left="-101" w:right="-74"/>
              <w:jc w:val="right"/>
              <w:rPr>
                <w:rFonts w:ascii="Arial" w:eastAsia="Arial Unicode MS" w:hAnsi="Arial" w:cs="Arial"/>
                <w:snapToGrid w:val="0"/>
                <w:color w:val="000000"/>
                <w:sz w:val="20"/>
                <w:szCs w:val="20"/>
                <w:lang w:eastAsia="th-TH"/>
              </w:rPr>
            </w:pPr>
          </w:p>
        </w:tc>
      </w:tr>
      <w:tr w:rsidR="00017371" w:rsidRPr="002D2F67" w14:paraId="795C5E65" w14:textId="77777777" w:rsidTr="005611FE">
        <w:tc>
          <w:tcPr>
            <w:tcW w:w="3658" w:type="dxa"/>
            <w:shd w:val="clear" w:color="auto" w:fill="auto"/>
          </w:tcPr>
          <w:p w14:paraId="5243B419" w14:textId="6F7AFF62" w:rsidR="00017371" w:rsidRPr="002D2F67" w:rsidRDefault="00017371" w:rsidP="00017371">
            <w:pPr>
              <w:ind w:left="-101"/>
              <w:rPr>
                <w:rFonts w:ascii="Arial" w:eastAsia="Arial Unicode MS" w:hAnsi="Arial" w:cs="Arial"/>
                <w:snapToGrid w:val="0"/>
                <w:color w:val="000000"/>
                <w:sz w:val="20"/>
                <w:szCs w:val="20"/>
                <w:lang w:eastAsia="th-TH"/>
              </w:rPr>
            </w:pPr>
            <w:r w:rsidRPr="002D2F67">
              <w:rPr>
                <w:rFonts w:ascii="Arial" w:eastAsia="Arial Unicode MS" w:hAnsi="Arial" w:cs="Arial"/>
                <w:snapToGrid w:val="0"/>
                <w:color w:val="000000"/>
                <w:sz w:val="20"/>
                <w:szCs w:val="20"/>
                <w:lang w:eastAsia="th-TH"/>
              </w:rPr>
              <w:t xml:space="preserve">   Not yet due</w:t>
            </w:r>
          </w:p>
        </w:tc>
        <w:tc>
          <w:tcPr>
            <w:tcW w:w="1559" w:type="dxa"/>
            <w:shd w:val="clear" w:color="auto" w:fill="auto"/>
            <w:vAlign w:val="bottom"/>
          </w:tcPr>
          <w:p w14:paraId="0A61077D" w14:textId="5E8355AD" w:rsidR="00017371" w:rsidRPr="002D2F67" w:rsidRDefault="00CD5714" w:rsidP="00017371">
            <w:pPr>
              <w:ind w:left="-101" w:right="-74"/>
              <w:jc w:val="right"/>
              <w:rPr>
                <w:rFonts w:ascii="Arial" w:eastAsia="Arial Unicode MS" w:hAnsi="Arial" w:cs="Arial"/>
                <w:snapToGrid w:val="0"/>
                <w:color w:val="000000"/>
                <w:sz w:val="20"/>
                <w:szCs w:val="20"/>
                <w:lang w:eastAsia="th-TH"/>
              </w:rPr>
            </w:pPr>
            <w:r w:rsidRPr="00CD5714">
              <w:rPr>
                <w:rFonts w:ascii="Arial" w:eastAsia="Arial Unicode MS" w:hAnsi="Arial" w:cs="Arial"/>
                <w:snapToGrid w:val="0"/>
                <w:color w:val="000000"/>
                <w:sz w:val="20"/>
                <w:szCs w:val="20"/>
                <w:lang w:val="en-GB" w:eastAsia="th-TH"/>
              </w:rPr>
              <w:t>7</w:t>
            </w:r>
            <w:r w:rsidR="00017371"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142</w:t>
            </w:r>
          </w:p>
        </w:tc>
        <w:tc>
          <w:tcPr>
            <w:tcW w:w="1418" w:type="dxa"/>
            <w:shd w:val="clear" w:color="auto" w:fill="auto"/>
            <w:vAlign w:val="bottom"/>
          </w:tcPr>
          <w:p w14:paraId="4769092C" w14:textId="0B16678D" w:rsidR="00017371" w:rsidRPr="002D2F67" w:rsidRDefault="00CD5714" w:rsidP="00017371">
            <w:pPr>
              <w:ind w:left="-101" w:right="-74"/>
              <w:jc w:val="right"/>
              <w:rPr>
                <w:rFonts w:ascii="Arial" w:eastAsia="Arial Unicode MS" w:hAnsi="Arial" w:cs="Arial"/>
                <w:snapToGrid w:val="0"/>
                <w:color w:val="000000"/>
                <w:sz w:val="20"/>
                <w:szCs w:val="20"/>
                <w:lang w:eastAsia="th-TH"/>
              </w:rPr>
            </w:pPr>
            <w:r w:rsidRPr="00CD5714">
              <w:rPr>
                <w:rFonts w:ascii="Arial" w:eastAsia="Arial Unicode MS" w:hAnsi="Arial" w:cs="Arial"/>
                <w:color w:val="000000"/>
                <w:sz w:val="20"/>
                <w:szCs w:val="20"/>
                <w:lang w:val="en-GB" w:eastAsia="th-TH"/>
              </w:rPr>
              <w:t>914</w:t>
            </w:r>
            <w:r w:rsidR="00017371" w:rsidRPr="002D2F67">
              <w:rPr>
                <w:rFonts w:ascii="Arial" w:eastAsia="Arial Unicode MS" w:hAnsi="Arial" w:cs="Arial"/>
                <w:color w:val="000000"/>
                <w:sz w:val="20"/>
                <w:szCs w:val="20"/>
                <w:lang w:eastAsia="th-TH"/>
              </w:rPr>
              <w:t>,</w:t>
            </w:r>
            <w:r w:rsidRPr="00CD5714">
              <w:rPr>
                <w:rFonts w:ascii="Arial" w:eastAsia="Arial Unicode MS" w:hAnsi="Arial" w:cs="Arial"/>
                <w:color w:val="000000"/>
                <w:sz w:val="20"/>
                <w:szCs w:val="20"/>
                <w:lang w:val="en-GB" w:eastAsia="th-TH"/>
              </w:rPr>
              <w:t>850</w:t>
            </w:r>
          </w:p>
        </w:tc>
        <w:tc>
          <w:tcPr>
            <w:tcW w:w="1417" w:type="dxa"/>
            <w:shd w:val="clear" w:color="auto" w:fill="auto"/>
            <w:vAlign w:val="bottom"/>
          </w:tcPr>
          <w:p w14:paraId="2391B0C2" w14:textId="751FA3CD" w:rsidR="00017371" w:rsidRPr="002D2F67" w:rsidRDefault="00017371" w:rsidP="00017371">
            <w:pPr>
              <w:ind w:left="-101" w:right="-74"/>
              <w:jc w:val="right"/>
              <w:rPr>
                <w:rFonts w:ascii="Arial" w:eastAsia="Arial Unicode MS" w:hAnsi="Arial" w:cs="Arial"/>
                <w:snapToGrid w:val="0"/>
                <w:color w:val="000000"/>
                <w:sz w:val="20"/>
                <w:szCs w:val="20"/>
                <w:lang w:eastAsia="th-TH"/>
              </w:rPr>
            </w:pPr>
            <w:r w:rsidRPr="002D2F67">
              <w:rPr>
                <w:rFonts w:ascii="Arial" w:eastAsia="Arial Unicode MS" w:hAnsi="Arial" w:cs="Arial"/>
                <w:color w:val="000000"/>
                <w:sz w:val="20"/>
                <w:szCs w:val="20"/>
                <w:lang w:eastAsia="th-TH"/>
              </w:rPr>
              <w:t>-</w:t>
            </w:r>
          </w:p>
        </w:tc>
        <w:tc>
          <w:tcPr>
            <w:tcW w:w="1418" w:type="dxa"/>
            <w:shd w:val="clear" w:color="auto" w:fill="auto"/>
            <w:vAlign w:val="bottom"/>
          </w:tcPr>
          <w:p w14:paraId="2736B8CD" w14:textId="3A953337" w:rsidR="00017371" w:rsidRPr="002D2F67" w:rsidRDefault="00017371" w:rsidP="00017371">
            <w:pPr>
              <w:ind w:left="-101" w:right="-74"/>
              <w:jc w:val="right"/>
              <w:rPr>
                <w:rFonts w:ascii="Arial" w:eastAsia="Arial Unicode MS" w:hAnsi="Arial" w:cs="Arial"/>
                <w:snapToGrid w:val="0"/>
                <w:color w:val="000000"/>
                <w:sz w:val="20"/>
                <w:szCs w:val="20"/>
                <w:lang w:eastAsia="th-TH"/>
              </w:rPr>
            </w:pPr>
            <w:r w:rsidRPr="002D2F67">
              <w:rPr>
                <w:rFonts w:ascii="Arial" w:eastAsia="Arial Unicode MS" w:hAnsi="Arial" w:cs="Arial"/>
                <w:color w:val="000000"/>
                <w:sz w:val="20"/>
                <w:szCs w:val="20"/>
                <w:lang w:eastAsia="th-TH"/>
              </w:rPr>
              <w:t>-</w:t>
            </w:r>
          </w:p>
        </w:tc>
      </w:tr>
      <w:tr w:rsidR="00017371" w:rsidRPr="002D2F67" w14:paraId="2C87E8DF" w14:textId="77777777" w:rsidTr="005611FE">
        <w:tc>
          <w:tcPr>
            <w:tcW w:w="3658" w:type="dxa"/>
            <w:shd w:val="clear" w:color="auto" w:fill="auto"/>
          </w:tcPr>
          <w:p w14:paraId="679E454C" w14:textId="4DC96D6F" w:rsidR="00017371" w:rsidRPr="002D2F67" w:rsidRDefault="00017371" w:rsidP="00017371">
            <w:pPr>
              <w:ind w:left="-101"/>
              <w:rPr>
                <w:rFonts w:ascii="Arial" w:eastAsia="Arial Unicode MS" w:hAnsi="Arial" w:cs="Arial"/>
                <w:snapToGrid w:val="0"/>
                <w:color w:val="000000"/>
                <w:sz w:val="20"/>
                <w:szCs w:val="20"/>
                <w:lang w:eastAsia="th-TH"/>
              </w:rPr>
            </w:pPr>
            <w:r w:rsidRPr="002D2F67">
              <w:rPr>
                <w:rFonts w:ascii="Arial" w:eastAsia="Arial Unicode MS" w:hAnsi="Arial" w:cs="Arial"/>
                <w:snapToGrid w:val="0"/>
                <w:color w:val="000000"/>
                <w:sz w:val="20"/>
                <w:szCs w:val="20"/>
                <w:lang w:eastAsia="th-TH"/>
              </w:rPr>
              <w:t xml:space="preserve">   Overdue below </w:t>
            </w:r>
            <w:r w:rsidR="00CD5714" w:rsidRPr="00CD5714">
              <w:rPr>
                <w:rFonts w:ascii="Arial" w:eastAsia="Arial Unicode MS" w:hAnsi="Arial" w:cs="Arial"/>
                <w:snapToGrid w:val="0"/>
                <w:color w:val="000000"/>
                <w:sz w:val="20"/>
                <w:szCs w:val="20"/>
                <w:lang w:val="en-GB" w:eastAsia="th-TH"/>
              </w:rPr>
              <w:t>3</w:t>
            </w:r>
            <w:r w:rsidRPr="002D2F67">
              <w:rPr>
                <w:rFonts w:ascii="Arial" w:eastAsia="Arial Unicode MS" w:hAnsi="Arial" w:cs="Arial"/>
                <w:snapToGrid w:val="0"/>
                <w:color w:val="000000"/>
                <w:sz w:val="20"/>
                <w:szCs w:val="20"/>
                <w:lang w:eastAsia="th-TH"/>
              </w:rPr>
              <w:t xml:space="preserve"> months</w:t>
            </w:r>
          </w:p>
        </w:tc>
        <w:tc>
          <w:tcPr>
            <w:tcW w:w="1559" w:type="dxa"/>
            <w:shd w:val="clear" w:color="auto" w:fill="auto"/>
            <w:vAlign w:val="bottom"/>
          </w:tcPr>
          <w:p w14:paraId="3DD55125" w14:textId="1593D04B" w:rsidR="00017371" w:rsidRPr="002D2F67" w:rsidRDefault="00CD5714" w:rsidP="00017371">
            <w:pPr>
              <w:ind w:left="-101" w:right="-74"/>
              <w:jc w:val="right"/>
              <w:rPr>
                <w:rFonts w:ascii="Arial" w:eastAsia="Arial Unicode MS" w:hAnsi="Arial" w:cs="Arial"/>
                <w:snapToGrid w:val="0"/>
                <w:color w:val="000000"/>
                <w:sz w:val="20"/>
                <w:szCs w:val="20"/>
                <w:lang w:eastAsia="th-TH"/>
              </w:rPr>
            </w:pPr>
            <w:r w:rsidRPr="00CD5714">
              <w:rPr>
                <w:rFonts w:ascii="Arial" w:eastAsia="Arial Unicode MS" w:hAnsi="Arial" w:cs="Arial"/>
                <w:snapToGrid w:val="0"/>
                <w:color w:val="000000"/>
                <w:sz w:val="20"/>
                <w:szCs w:val="20"/>
                <w:lang w:val="en-GB" w:eastAsia="th-TH"/>
              </w:rPr>
              <w:t>6</w:t>
            </w:r>
            <w:r w:rsidR="00017371"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902</w:t>
            </w:r>
          </w:p>
        </w:tc>
        <w:tc>
          <w:tcPr>
            <w:tcW w:w="1418" w:type="dxa"/>
            <w:shd w:val="clear" w:color="auto" w:fill="auto"/>
            <w:vAlign w:val="bottom"/>
          </w:tcPr>
          <w:p w14:paraId="3B96DECB" w14:textId="453DE6AB" w:rsidR="00017371" w:rsidRPr="002D2F67" w:rsidRDefault="00CD5714" w:rsidP="00017371">
            <w:pPr>
              <w:ind w:left="-101" w:right="-74"/>
              <w:jc w:val="right"/>
              <w:rPr>
                <w:rFonts w:ascii="Arial" w:eastAsia="Arial Unicode MS" w:hAnsi="Arial" w:cs="Arial"/>
                <w:snapToGrid w:val="0"/>
                <w:color w:val="000000"/>
                <w:sz w:val="20"/>
                <w:szCs w:val="20"/>
                <w:lang w:eastAsia="th-TH"/>
              </w:rPr>
            </w:pPr>
            <w:r w:rsidRPr="00CD5714">
              <w:rPr>
                <w:rFonts w:ascii="Arial" w:eastAsia="Arial Unicode MS" w:hAnsi="Arial" w:cs="Arial"/>
                <w:color w:val="000000"/>
                <w:sz w:val="20"/>
                <w:szCs w:val="20"/>
                <w:lang w:val="en-GB" w:eastAsia="th-TH"/>
              </w:rPr>
              <w:t>1</w:t>
            </w:r>
            <w:r w:rsidR="00017371" w:rsidRPr="002D2F67">
              <w:rPr>
                <w:rFonts w:ascii="Arial" w:eastAsia="Arial Unicode MS" w:hAnsi="Arial" w:cs="Arial"/>
                <w:color w:val="000000"/>
                <w:sz w:val="20"/>
                <w:szCs w:val="20"/>
                <w:lang w:eastAsia="th-TH"/>
              </w:rPr>
              <w:t>,</w:t>
            </w:r>
            <w:r w:rsidRPr="00CD5714">
              <w:rPr>
                <w:rFonts w:ascii="Arial" w:eastAsia="Arial Unicode MS" w:hAnsi="Arial" w:cs="Arial"/>
                <w:color w:val="000000"/>
                <w:sz w:val="20"/>
                <w:szCs w:val="20"/>
                <w:lang w:val="en-GB" w:eastAsia="th-TH"/>
              </w:rPr>
              <w:t>713</w:t>
            </w:r>
            <w:r w:rsidR="00017371" w:rsidRPr="002D2F67">
              <w:rPr>
                <w:rFonts w:ascii="Arial" w:eastAsia="Arial Unicode MS" w:hAnsi="Arial" w:cs="Arial"/>
                <w:color w:val="000000"/>
                <w:sz w:val="20"/>
                <w:szCs w:val="20"/>
                <w:lang w:eastAsia="th-TH"/>
              </w:rPr>
              <w:t>,</w:t>
            </w:r>
            <w:r w:rsidRPr="00CD5714">
              <w:rPr>
                <w:rFonts w:ascii="Arial" w:eastAsia="Arial Unicode MS" w:hAnsi="Arial" w:cs="Arial"/>
                <w:color w:val="000000"/>
                <w:sz w:val="20"/>
                <w:szCs w:val="20"/>
                <w:lang w:val="en-GB" w:eastAsia="th-TH"/>
              </w:rPr>
              <w:t>498</w:t>
            </w:r>
          </w:p>
        </w:tc>
        <w:tc>
          <w:tcPr>
            <w:tcW w:w="1417" w:type="dxa"/>
            <w:shd w:val="clear" w:color="auto" w:fill="auto"/>
            <w:vAlign w:val="bottom"/>
          </w:tcPr>
          <w:p w14:paraId="25EDF03C" w14:textId="59DBEC3A" w:rsidR="00017371" w:rsidRPr="002D2F67" w:rsidRDefault="00017371" w:rsidP="00017371">
            <w:pPr>
              <w:ind w:left="-101" w:right="-74"/>
              <w:jc w:val="right"/>
              <w:rPr>
                <w:rFonts w:ascii="Arial" w:eastAsia="Arial Unicode MS" w:hAnsi="Arial" w:cs="Arial"/>
                <w:snapToGrid w:val="0"/>
                <w:color w:val="000000"/>
                <w:sz w:val="20"/>
                <w:szCs w:val="20"/>
                <w:lang w:eastAsia="th-TH"/>
              </w:rPr>
            </w:pPr>
            <w:r w:rsidRPr="002D2F67">
              <w:rPr>
                <w:rFonts w:ascii="Arial" w:eastAsia="Arial Unicode MS" w:hAnsi="Arial" w:cs="Arial"/>
                <w:color w:val="000000"/>
                <w:sz w:val="20"/>
                <w:szCs w:val="20"/>
                <w:lang w:eastAsia="th-TH"/>
              </w:rPr>
              <w:t>-</w:t>
            </w:r>
          </w:p>
        </w:tc>
        <w:tc>
          <w:tcPr>
            <w:tcW w:w="1418" w:type="dxa"/>
            <w:shd w:val="clear" w:color="auto" w:fill="auto"/>
            <w:vAlign w:val="bottom"/>
          </w:tcPr>
          <w:p w14:paraId="3425E326" w14:textId="43654E7B" w:rsidR="00017371" w:rsidRPr="002D2F67" w:rsidRDefault="00017371" w:rsidP="00017371">
            <w:pPr>
              <w:ind w:left="-101" w:right="-74"/>
              <w:jc w:val="right"/>
              <w:rPr>
                <w:rFonts w:ascii="Arial" w:eastAsia="Arial Unicode MS" w:hAnsi="Arial" w:cs="Arial"/>
                <w:snapToGrid w:val="0"/>
                <w:color w:val="000000"/>
                <w:sz w:val="20"/>
                <w:szCs w:val="20"/>
                <w:lang w:eastAsia="th-TH"/>
              </w:rPr>
            </w:pPr>
            <w:r w:rsidRPr="002D2F67">
              <w:rPr>
                <w:rFonts w:ascii="Arial" w:eastAsia="Arial Unicode MS" w:hAnsi="Arial" w:cs="Arial"/>
                <w:color w:val="000000"/>
                <w:sz w:val="20"/>
                <w:szCs w:val="20"/>
                <w:lang w:eastAsia="th-TH"/>
              </w:rPr>
              <w:t>-</w:t>
            </w:r>
          </w:p>
        </w:tc>
      </w:tr>
      <w:tr w:rsidR="00017371" w:rsidRPr="002D2F67" w14:paraId="02647582" w14:textId="77777777" w:rsidTr="005611FE">
        <w:tc>
          <w:tcPr>
            <w:tcW w:w="3658" w:type="dxa"/>
            <w:shd w:val="clear" w:color="auto" w:fill="auto"/>
          </w:tcPr>
          <w:p w14:paraId="74FD7219" w14:textId="49E4B38A" w:rsidR="00017371" w:rsidRPr="002D2F67" w:rsidRDefault="00017371" w:rsidP="00017371">
            <w:pPr>
              <w:ind w:left="-101"/>
              <w:rPr>
                <w:rFonts w:ascii="Arial" w:eastAsia="Arial Unicode MS" w:hAnsi="Arial" w:cs="Arial"/>
                <w:snapToGrid w:val="0"/>
                <w:color w:val="000000"/>
                <w:sz w:val="20"/>
                <w:szCs w:val="20"/>
                <w:lang w:eastAsia="th-TH"/>
              </w:rPr>
            </w:pPr>
            <w:r w:rsidRPr="002D2F67">
              <w:rPr>
                <w:rFonts w:ascii="Arial" w:eastAsia="Arial Unicode MS" w:hAnsi="Arial" w:cs="Arial"/>
                <w:snapToGrid w:val="0"/>
                <w:color w:val="000000"/>
                <w:sz w:val="20"/>
                <w:szCs w:val="20"/>
                <w:lang w:eastAsia="th-TH"/>
              </w:rPr>
              <w:t xml:space="preserve">   Overdue </w:t>
            </w:r>
            <w:r w:rsidR="00CD5714" w:rsidRPr="00CD5714">
              <w:rPr>
                <w:rFonts w:ascii="Arial" w:eastAsia="Arial Unicode MS" w:hAnsi="Arial" w:cs="Arial"/>
                <w:snapToGrid w:val="0"/>
                <w:color w:val="000000"/>
                <w:sz w:val="20"/>
                <w:szCs w:val="20"/>
                <w:lang w:val="en-GB" w:eastAsia="th-TH"/>
              </w:rPr>
              <w:t>3</w:t>
            </w:r>
            <w:r w:rsidRPr="002D2F67">
              <w:rPr>
                <w:rFonts w:ascii="Arial" w:eastAsia="Arial Unicode MS" w:hAnsi="Arial" w:cs="Arial"/>
                <w:snapToGrid w:val="0"/>
                <w:color w:val="000000"/>
                <w:sz w:val="20"/>
                <w:szCs w:val="20"/>
                <w:cs/>
                <w:lang w:eastAsia="th-TH"/>
              </w:rPr>
              <w:t xml:space="preserve"> - </w:t>
            </w:r>
            <w:r w:rsidR="00CD5714" w:rsidRPr="00CD5714">
              <w:rPr>
                <w:rFonts w:ascii="Arial" w:eastAsia="Arial Unicode MS" w:hAnsi="Arial" w:cs="Arial"/>
                <w:snapToGrid w:val="0"/>
                <w:color w:val="000000"/>
                <w:sz w:val="20"/>
                <w:szCs w:val="20"/>
                <w:lang w:val="en-GB" w:eastAsia="th-TH"/>
              </w:rPr>
              <w:t>6</w:t>
            </w:r>
            <w:r w:rsidRPr="002D2F67">
              <w:rPr>
                <w:rFonts w:ascii="Arial" w:eastAsia="Arial Unicode MS" w:hAnsi="Arial" w:cs="Arial"/>
                <w:snapToGrid w:val="0"/>
                <w:color w:val="000000"/>
                <w:sz w:val="20"/>
                <w:szCs w:val="20"/>
                <w:cs/>
                <w:lang w:eastAsia="th-TH"/>
              </w:rPr>
              <w:t xml:space="preserve"> </w:t>
            </w:r>
            <w:r w:rsidRPr="002D2F67">
              <w:rPr>
                <w:rFonts w:ascii="Arial" w:eastAsia="Arial Unicode MS" w:hAnsi="Arial" w:cs="Arial"/>
                <w:snapToGrid w:val="0"/>
                <w:color w:val="000000"/>
                <w:sz w:val="20"/>
                <w:szCs w:val="20"/>
                <w:lang w:eastAsia="th-TH"/>
              </w:rPr>
              <w:t>months</w:t>
            </w:r>
          </w:p>
        </w:tc>
        <w:tc>
          <w:tcPr>
            <w:tcW w:w="1559" w:type="dxa"/>
            <w:shd w:val="clear" w:color="auto" w:fill="auto"/>
            <w:vAlign w:val="bottom"/>
          </w:tcPr>
          <w:p w14:paraId="3A0F270A" w14:textId="5804FFFD" w:rsidR="00017371" w:rsidRPr="002D2F67" w:rsidRDefault="00CD5714" w:rsidP="00017371">
            <w:pPr>
              <w:ind w:left="-101" w:right="-74"/>
              <w:jc w:val="right"/>
              <w:rPr>
                <w:rFonts w:ascii="Arial" w:eastAsia="Arial Unicode MS" w:hAnsi="Arial" w:cs="Arial"/>
                <w:snapToGrid w:val="0"/>
                <w:color w:val="000000"/>
                <w:sz w:val="20"/>
                <w:szCs w:val="20"/>
                <w:lang w:eastAsia="th-TH"/>
              </w:rPr>
            </w:pPr>
            <w:r w:rsidRPr="00CD5714">
              <w:rPr>
                <w:rFonts w:ascii="Arial" w:eastAsia="Arial Unicode MS" w:hAnsi="Arial" w:cs="Arial"/>
                <w:snapToGrid w:val="0"/>
                <w:color w:val="000000"/>
                <w:sz w:val="20"/>
                <w:szCs w:val="20"/>
                <w:lang w:val="en-GB" w:eastAsia="th-TH"/>
              </w:rPr>
              <w:t>154</w:t>
            </w:r>
            <w:r w:rsidR="00017371"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690</w:t>
            </w:r>
          </w:p>
        </w:tc>
        <w:tc>
          <w:tcPr>
            <w:tcW w:w="1418" w:type="dxa"/>
            <w:shd w:val="clear" w:color="auto" w:fill="auto"/>
            <w:vAlign w:val="bottom"/>
          </w:tcPr>
          <w:p w14:paraId="72596B25" w14:textId="5F7A19E4" w:rsidR="00017371" w:rsidRPr="002D2F67" w:rsidRDefault="00CD5714" w:rsidP="00017371">
            <w:pPr>
              <w:ind w:left="-101" w:right="-74"/>
              <w:jc w:val="right"/>
              <w:rPr>
                <w:rFonts w:ascii="Arial" w:eastAsia="Arial Unicode MS" w:hAnsi="Arial" w:cs="Arial"/>
                <w:snapToGrid w:val="0"/>
                <w:color w:val="000000"/>
                <w:sz w:val="20"/>
                <w:szCs w:val="20"/>
                <w:lang w:eastAsia="th-TH"/>
              </w:rPr>
            </w:pPr>
            <w:r w:rsidRPr="00CD5714">
              <w:rPr>
                <w:rFonts w:ascii="Arial" w:eastAsia="Arial Unicode MS" w:hAnsi="Arial" w:cs="Arial"/>
                <w:color w:val="000000"/>
                <w:sz w:val="20"/>
                <w:szCs w:val="20"/>
                <w:lang w:val="en-GB" w:eastAsia="th-TH"/>
              </w:rPr>
              <w:t>1</w:t>
            </w:r>
            <w:r w:rsidR="00017371" w:rsidRPr="002D2F67">
              <w:rPr>
                <w:rFonts w:ascii="Arial" w:eastAsia="Arial Unicode MS" w:hAnsi="Arial" w:cs="Arial"/>
                <w:color w:val="000000"/>
                <w:sz w:val="20"/>
                <w:szCs w:val="20"/>
                <w:lang w:eastAsia="th-TH"/>
              </w:rPr>
              <w:t>,</w:t>
            </w:r>
            <w:r w:rsidRPr="00CD5714">
              <w:rPr>
                <w:rFonts w:ascii="Arial" w:eastAsia="Arial Unicode MS" w:hAnsi="Arial" w:cs="Arial"/>
                <w:color w:val="000000"/>
                <w:sz w:val="20"/>
                <w:szCs w:val="20"/>
                <w:lang w:val="en-GB" w:eastAsia="th-TH"/>
              </w:rPr>
              <w:t>722</w:t>
            </w:r>
            <w:r w:rsidR="00017371" w:rsidRPr="002D2F67">
              <w:rPr>
                <w:rFonts w:ascii="Arial" w:eastAsia="Arial Unicode MS" w:hAnsi="Arial" w:cs="Arial"/>
                <w:color w:val="000000"/>
                <w:sz w:val="20"/>
                <w:szCs w:val="20"/>
                <w:lang w:eastAsia="th-TH"/>
              </w:rPr>
              <w:t>,</w:t>
            </w:r>
            <w:r w:rsidRPr="00CD5714">
              <w:rPr>
                <w:rFonts w:ascii="Arial" w:eastAsia="Arial Unicode MS" w:hAnsi="Arial" w:cs="Arial"/>
                <w:color w:val="000000"/>
                <w:sz w:val="20"/>
                <w:szCs w:val="20"/>
                <w:lang w:val="en-GB" w:eastAsia="th-TH"/>
              </w:rPr>
              <w:t>423</w:t>
            </w:r>
          </w:p>
        </w:tc>
        <w:tc>
          <w:tcPr>
            <w:tcW w:w="1417" w:type="dxa"/>
            <w:shd w:val="clear" w:color="auto" w:fill="auto"/>
            <w:vAlign w:val="bottom"/>
          </w:tcPr>
          <w:p w14:paraId="6B705357" w14:textId="6502578B" w:rsidR="00017371" w:rsidRPr="002D2F67" w:rsidRDefault="00017371" w:rsidP="00017371">
            <w:pPr>
              <w:ind w:left="-101" w:right="-74"/>
              <w:jc w:val="right"/>
              <w:rPr>
                <w:rFonts w:ascii="Arial" w:eastAsia="Arial Unicode MS" w:hAnsi="Arial" w:cs="Arial"/>
                <w:snapToGrid w:val="0"/>
                <w:color w:val="000000"/>
                <w:sz w:val="20"/>
                <w:szCs w:val="20"/>
                <w:lang w:eastAsia="th-TH"/>
              </w:rPr>
            </w:pPr>
            <w:r w:rsidRPr="002D2F67">
              <w:rPr>
                <w:rFonts w:ascii="Arial" w:eastAsia="Arial Unicode MS" w:hAnsi="Arial" w:cs="Arial"/>
                <w:color w:val="000000"/>
                <w:sz w:val="20"/>
                <w:szCs w:val="20"/>
                <w:lang w:eastAsia="th-TH"/>
              </w:rPr>
              <w:t>-</w:t>
            </w:r>
          </w:p>
        </w:tc>
        <w:tc>
          <w:tcPr>
            <w:tcW w:w="1418" w:type="dxa"/>
            <w:shd w:val="clear" w:color="auto" w:fill="auto"/>
            <w:vAlign w:val="bottom"/>
          </w:tcPr>
          <w:p w14:paraId="4F3A15D5" w14:textId="034275DA" w:rsidR="00017371" w:rsidRPr="002D2F67" w:rsidRDefault="00017371" w:rsidP="00017371">
            <w:pPr>
              <w:ind w:left="-101" w:right="-74"/>
              <w:jc w:val="right"/>
              <w:rPr>
                <w:rFonts w:ascii="Arial" w:eastAsia="Arial Unicode MS" w:hAnsi="Arial" w:cs="Arial"/>
                <w:snapToGrid w:val="0"/>
                <w:color w:val="000000"/>
                <w:sz w:val="20"/>
                <w:szCs w:val="20"/>
                <w:lang w:eastAsia="th-TH"/>
              </w:rPr>
            </w:pPr>
            <w:r w:rsidRPr="002D2F67">
              <w:rPr>
                <w:rFonts w:ascii="Arial" w:eastAsia="Arial Unicode MS" w:hAnsi="Arial" w:cs="Arial"/>
                <w:color w:val="000000"/>
                <w:sz w:val="20"/>
                <w:szCs w:val="20"/>
                <w:lang w:eastAsia="th-TH"/>
              </w:rPr>
              <w:t>-</w:t>
            </w:r>
          </w:p>
        </w:tc>
      </w:tr>
      <w:tr w:rsidR="00017371" w:rsidRPr="002D2F67" w14:paraId="3ED3D179" w14:textId="77777777" w:rsidTr="005611FE">
        <w:tc>
          <w:tcPr>
            <w:tcW w:w="3658" w:type="dxa"/>
            <w:shd w:val="clear" w:color="auto" w:fill="auto"/>
          </w:tcPr>
          <w:p w14:paraId="62FCA9A2" w14:textId="23DF98F4" w:rsidR="00017371" w:rsidRPr="002D2F67" w:rsidRDefault="00017371" w:rsidP="00017371">
            <w:pPr>
              <w:ind w:left="-101"/>
              <w:rPr>
                <w:rFonts w:ascii="Arial" w:eastAsia="Arial Unicode MS" w:hAnsi="Arial" w:cs="Arial"/>
                <w:snapToGrid w:val="0"/>
                <w:color w:val="000000"/>
                <w:sz w:val="20"/>
                <w:szCs w:val="20"/>
                <w:lang w:eastAsia="th-TH"/>
              </w:rPr>
            </w:pPr>
            <w:r w:rsidRPr="002D2F67">
              <w:rPr>
                <w:rFonts w:ascii="Arial" w:eastAsia="Arial Unicode MS" w:hAnsi="Arial" w:cs="Arial"/>
                <w:snapToGrid w:val="0"/>
                <w:color w:val="000000"/>
                <w:sz w:val="20"/>
                <w:szCs w:val="20"/>
                <w:lang w:eastAsia="th-TH"/>
              </w:rPr>
              <w:t xml:space="preserve">   Overdue </w:t>
            </w:r>
            <w:r w:rsidR="00CD5714" w:rsidRPr="00CD5714">
              <w:rPr>
                <w:rFonts w:ascii="Arial" w:eastAsia="Arial Unicode MS" w:hAnsi="Arial" w:cs="Arial"/>
                <w:snapToGrid w:val="0"/>
                <w:color w:val="000000"/>
                <w:sz w:val="20"/>
                <w:szCs w:val="20"/>
                <w:lang w:val="en-GB" w:eastAsia="th-TH"/>
              </w:rPr>
              <w:t>6</w:t>
            </w:r>
            <w:r w:rsidRPr="002D2F67">
              <w:rPr>
                <w:rFonts w:ascii="Arial" w:eastAsia="Arial Unicode MS" w:hAnsi="Arial" w:cs="Arial"/>
                <w:snapToGrid w:val="0"/>
                <w:color w:val="000000"/>
                <w:sz w:val="20"/>
                <w:szCs w:val="20"/>
                <w:cs/>
                <w:lang w:eastAsia="th-TH"/>
              </w:rPr>
              <w:t xml:space="preserve"> - </w:t>
            </w:r>
            <w:r w:rsidR="00CD5714" w:rsidRPr="00CD5714">
              <w:rPr>
                <w:rFonts w:ascii="Arial" w:eastAsia="Arial Unicode MS" w:hAnsi="Arial" w:cs="Arial"/>
                <w:snapToGrid w:val="0"/>
                <w:color w:val="000000"/>
                <w:sz w:val="20"/>
                <w:szCs w:val="20"/>
                <w:lang w:val="en-GB" w:eastAsia="th-TH"/>
              </w:rPr>
              <w:t>12</w:t>
            </w:r>
            <w:r w:rsidRPr="002D2F67">
              <w:rPr>
                <w:rFonts w:ascii="Arial" w:eastAsia="Arial Unicode MS" w:hAnsi="Arial" w:cs="Arial"/>
                <w:snapToGrid w:val="0"/>
                <w:color w:val="000000"/>
                <w:sz w:val="20"/>
                <w:szCs w:val="20"/>
                <w:cs/>
                <w:lang w:eastAsia="th-TH"/>
              </w:rPr>
              <w:t xml:space="preserve"> </w:t>
            </w:r>
            <w:r w:rsidRPr="002D2F67">
              <w:rPr>
                <w:rFonts w:ascii="Arial" w:eastAsia="Arial Unicode MS" w:hAnsi="Arial" w:cs="Arial"/>
                <w:snapToGrid w:val="0"/>
                <w:color w:val="000000"/>
                <w:sz w:val="20"/>
                <w:szCs w:val="20"/>
                <w:lang w:eastAsia="th-TH"/>
              </w:rPr>
              <w:t>months</w:t>
            </w:r>
          </w:p>
        </w:tc>
        <w:tc>
          <w:tcPr>
            <w:tcW w:w="1559" w:type="dxa"/>
            <w:shd w:val="clear" w:color="auto" w:fill="auto"/>
            <w:vAlign w:val="bottom"/>
          </w:tcPr>
          <w:p w14:paraId="1204888B" w14:textId="12542A15" w:rsidR="00017371" w:rsidRPr="002D2F67" w:rsidRDefault="00CD5714" w:rsidP="00017371">
            <w:pPr>
              <w:ind w:left="-101" w:right="-74"/>
              <w:jc w:val="right"/>
              <w:rPr>
                <w:rFonts w:ascii="Arial" w:eastAsia="Arial Unicode MS" w:hAnsi="Arial" w:cs="Arial"/>
                <w:snapToGrid w:val="0"/>
                <w:color w:val="000000"/>
                <w:sz w:val="20"/>
                <w:szCs w:val="20"/>
                <w:lang w:eastAsia="th-TH"/>
              </w:rPr>
            </w:pPr>
            <w:r w:rsidRPr="00CD5714">
              <w:rPr>
                <w:rFonts w:ascii="Arial" w:eastAsia="Arial Unicode MS" w:hAnsi="Arial" w:cs="Arial"/>
                <w:snapToGrid w:val="0"/>
                <w:color w:val="000000"/>
                <w:sz w:val="20"/>
                <w:szCs w:val="20"/>
                <w:lang w:val="en-GB" w:eastAsia="th-TH"/>
              </w:rPr>
              <w:t>2</w:t>
            </w:r>
            <w:r w:rsidR="00017371"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743</w:t>
            </w:r>
            <w:r w:rsidR="00017371"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189</w:t>
            </w:r>
          </w:p>
        </w:tc>
        <w:tc>
          <w:tcPr>
            <w:tcW w:w="1418" w:type="dxa"/>
            <w:shd w:val="clear" w:color="auto" w:fill="auto"/>
            <w:vAlign w:val="bottom"/>
          </w:tcPr>
          <w:p w14:paraId="52F6FB0F" w14:textId="314B976D" w:rsidR="00017371" w:rsidRPr="002D2F67" w:rsidRDefault="00CD5714" w:rsidP="00017371">
            <w:pPr>
              <w:ind w:left="-101" w:right="-74"/>
              <w:jc w:val="right"/>
              <w:rPr>
                <w:rFonts w:ascii="Arial" w:eastAsia="Arial Unicode MS" w:hAnsi="Arial" w:cs="Arial"/>
                <w:snapToGrid w:val="0"/>
                <w:color w:val="000000"/>
                <w:sz w:val="20"/>
                <w:szCs w:val="20"/>
                <w:lang w:eastAsia="th-TH"/>
              </w:rPr>
            </w:pPr>
            <w:r w:rsidRPr="00CD5714">
              <w:rPr>
                <w:rFonts w:ascii="Arial" w:eastAsia="Arial Unicode MS" w:hAnsi="Arial" w:cs="Arial"/>
                <w:color w:val="000000"/>
                <w:sz w:val="20"/>
                <w:szCs w:val="20"/>
                <w:lang w:val="en-GB" w:eastAsia="th-TH"/>
              </w:rPr>
              <w:t>1</w:t>
            </w:r>
            <w:r w:rsidR="00017371" w:rsidRPr="002D2F67">
              <w:rPr>
                <w:rFonts w:ascii="Arial" w:eastAsia="Arial Unicode MS" w:hAnsi="Arial" w:cs="Arial"/>
                <w:color w:val="000000"/>
                <w:sz w:val="20"/>
                <w:szCs w:val="20"/>
                <w:lang w:eastAsia="th-TH"/>
              </w:rPr>
              <w:t>,</w:t>
            </w:r>
            <w:r w:rsidRPr="00CD5714">
              <w:rPr>
                <w:rFonts w:ascii="Arial" w:eastAsia="Arial Unicode MS" w:hAnsi="Arial" w:cs="Arial"/>
                <w:color w:val="000000"/>
                <w:sz w:val="20"/>
                <w:szCs w:val="20"/>
                <w:lang w:val="en-GB" w:eastAsia="th-TH"/>
              </w:rPr>
              <w:t>007</w:t>
            </w:r>
            <w:r w:rsidR="00017371" w:rsidRPr="002D2F67">
              <w:rPr>
                <w:rFonts w:ascii="Arial" w:eastAsia="Arial Unicode MS" w:hAnsi="Arial" w:cs="Arial"/>
                <w:color w:val="000000"/>
                <w:sz w:val="20"/>
                <w:szCs w:val="20"/>
                <w:lang w:eastAsia="th-TH"/>
              </w:rPr>
              <w:t>,</w:t>
            </w:r>
            <w:r w:rsidRPr="00CD5714">
              <w:rPr>
                <w:rFonts w:ascii="Arial" w:eastAsia="Arial Unicode MS" w:hAnsi="Arial" w:cs="Arial"/>
                <w:color w:val="000000"/>
                <w:sz w:val="20"/>
                <w:szCs w:val="20"/>
                <w:lang w:val="en-GB" w:eastAsia="th-TH"/>
              </w:rPr>
              <w:t>728</w:t>
            </w:r>
          </w:p>
        </w:tc>
        <w:tc>
          <w:tcPr>
            <w:tcW w:w="1417" w:type="dxa"/>
            <w:shd w:val="clear" w:color="auto" w:fill="auto"/>
            <w:vAlign w:val="bottom"/>
          </w:tcPr>
          <w:p w14:paraId="680A61FD" w14:textId="25E54D9C" w:rsidR="00017371" w:rsidRPr="002D2F67" w:rsidRDefault="00017371" w:rsidP="00017371">
            <w:pPr>
              <w:ind w:left="-101" w:right="-74"/>
              <w:jc w:val="right"/>
              <w:rPr>
                <w:rFonts w:ascii="Arial" w:eastAsia="Arial Unicode MS" w:hAnsi="Arial" w:cs="Arial"/>
                <w:snapToGrid w:val="0"/>
                <w:color w:val="000000"/>
                <w:sz w:val="20"/>
                <w:szCs w:val="20"/>
                <w:lang w:eastAsia="th-TH"/>
              </w:rPr>
            </w:pPr>
            <w:r w:rsidRPr="002D2F67">
              <w:rPr>
                <w:rFonts w:ascii="Arial" w:eastAsia="Arial Unicode MS" w:hAnsi="Arial" w:cs="Arial"/>
                <w:color w:val="000000"/>
                <w:sz w:val="20"/>
                <w:szCs w:val="20"/>
                <w:lang w:eastAsia="th-TH"/>
              </w:rPr>
              <w:t>-</w:t>
            </w:r>
          </w:p>
        </w:tc>
        <w:tc>
          <w:tcPr>
            <w:tcW w:w="1418" w:type="dxa"/>
            <w:shd w:val="clear" w:color="auto" w:fill="auto"/>
            <w:vAlign w:val="bottom"/>
          </w:tcPr>
          <w:p w14:paraId="715E0431" w14:textId="22D98781" w:rsidR="00017371" w:rsidRPr="002D2F67" w:rsidRDefault="00017371" w:rsidP="00017371">
            <w:pPr>
              <w:ind w:left="-101" w:right="-74"/>
              <w:jc w:val="right"/>
              <w:rPr>
                <w:rFonts w:ascii="Arial" w:eastAsia="Arial Unicode MS" w:hAnsi="Arial" w:cs="Arial"/>
                <w:snapToGrid w:val="0"/>
                <w:color w:val="000000"/>
                <w:sz w:val="20"/>
                <w:szCs w:val="20"/>
                <w:lang w:eastAsia="th-TH"/>
              </w:rPr>
            </w:pPr>
            <w:r w:rsidRPr="002D2F67">
              <w:rPr>
                <w:rFonts w:ascii="Arial" w:eastAsia="Arial Unicode MS" w:hAnsi="Arial" w:cs="Arial"/>
                <w:color w:val="000000"/>
                <w:sz w:val="20"/>
                <w:szCs w:val="20"/>
                <w:lang w:eastAsia="th-TH"/>
              </w:rPr>
              <w:t>-</w:t>
            </w:r>
          </w:p>
        </w:tc>
      </w:tr>
      <w:tr w:rsidR="00017371" w:rsidRPr="002D2F67" w14:paraId="45B28F9E" w14:textId="77777777" w:rsidTr="005611FE">
        <w:tc>
          <w:tcPr>
            <w:tcW w:w="3658" w:type="dxa"/>
            <w:shd w:val="clear" w:color="auto" w:fill="auto"/>
          </w:tcPr>
          <w:p w14:paraId="5F17EA98" w14:textId="23903277" w:rsidR="00017371" w:rsidRPr="002D2F67" w:rsidRDefault="00017371" w:rsidP="00017371">
            <w:pPr>
              <w:ind w:left="-101"/>
              <w:rPr>
                <w:rFonts w:ascii="Arial" w:eastAsia="Arial Unicode MS" w:hAnsi="Arial" w:cs="Arial"/>
                <w:snapToGrid w:val="0"/>
                <w:color w:val="000000"/>
                <w:sz w:val="20"/>
                <w:szCs w:val="20"/>
                <w:lang w:eastAsia="th-TH"/>
              </w:rPr>
            </w:pPr>
            <w:r w:rsidRPr="002D2F67">
              <w:rPr>
                <w:rFonts w:ascii="Arial" w:eastAsia="Arial Unicode MS" w:hAnsi="Arial" w:cs="Arial"/>
                <w:snapToGrid w:val="0"/>
                <w:color w:val="000000"/>
                <w:sz w:val="20"/>
                <w:szCs w:val="20"/>
                <w:lang w:eastAsia="th-TH"/>
              </w:rPr>
              <w:t xml:space="preserve">   Overdue more than </w:t>
            </w:r>
            <w:r w:rsidR="00CD5714" w:rsidRPr="00CD5714">
              <w:rPr>
                <w:rFonts w:ascii="Arial" w:eastAsia="Arial Unicode MS" w:hAnsi="Arial" w:cs="Arial"/>
                <w:snapToGrid w:val="0"/>
                <w:color w:val="000000"/>
                <w:sz w:val="20"/>
                <w:szCs w:val="20"/>
                <w:lang w:val="en-GB" w:eastAsia="th-TH"/>
              </w:rPr>
              <w:t>12</w:t>
            </w:r>
            <w:r w:rsidRPr="002D2F67">
              <w:rPr>
                <w:rFonts w:ascii="Arial" w:eastAsia="Arial Unicode MS" w:hAnsi="Arial" w:cs="Arial"/>
                <w:snapToGrid w:val="0"/>
                <w:color w:val="000000"/>
                <w:sz w:val="20"/>
                <w:szCs w:val="20"/>
                <w:cs/>
                <w:lang w:eastAsia="th-TH"/>
              </w:rPr>
              <w:t xml:space="preserve"> </w:t>
            </w:r>
            <w:r w:rsidRPr="002D2F67">
              <w:rPr>
                <w:rFonts w:ascii="Arial" w:eastAsia="Arial Unicode MS" w:hAnsi="Arial" w:cs="Arial"/>
                <w:snapToGrid w:val="0"/>
                <w:color w:val="000000"/>
                <w:sz w:val="20"/>
                <w:szCs w:val="20"/>
                <w:lang w:eastAsia="th-TH"/>
              </w:rPr>
              <w:t>months</w:t>
            </w:r>
          </w:p>
        </w:tc>
        <w:tc>
          <w:tcPr>
            <w:tcW w:w="1559" w:type="dxa"/>
            <w:shd w:val="clear" w:color="auto" w:fill="auto"/>
            <w:vAlign w:val="bottom"/>
          </w:tcPr>
          <w:p w14:paraId="338FA8AE" w14:textId="264AF60D" w:rsidR="00017371" w:rsidRPr="002D2F67" w:rsidRDefault="00CD5714" w:rsidP="00017371">
            <w:pPr>
              <w:ind w:left="-101" w:right="-74"/>
              <w:jc w:val="right"/>
              <w:rPr>
                <w:rFonts w:ascii="Arial" w:eastAsia="Arial Unicode MS" w:hAnsi="Arial" w:cs="Arial"/>
                <w:snapToGrid w:val="0"/>
                <w:color w:val="000000"/>
                <w:sz w:val="20"/>
                <w:szCs w:val="20"/>
                <w:lang w:eastAsia="th-TH"/>
              </w:rPr>
            </w:pPr>
            <w:r w:rsidRPr="00CD5714">
              <w:rPr>
                <w:rFonts w:ascii="Arial" w:eastAsia="Arial Unicode MS" w:hAnsi="Arial" w:cs="Arial"/>
                <w:snapToGrid w:val="0"/>
                <w:color w:val="000000"/>
                <w:sz w:val="20"/>
                <w:szCs w:val="20"/>
                <w:lang w:val="en-GB" w:eastAsia="th-TH"/>
              </w:rPr>
              <w:t>3</w:t>
            </w:r>
            <w:r w:rsidR="00017371"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089</w:t>
            </w:r>
            <w:r w:rsidR="00017371"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532</w:t>
            </w:r>
          </w:p>
        </w:tc>
        <w:tc>
          <w:tcPr>
            <w:tcW w:w="1418" w:type="dxa"/>
            <w:shd w:val="clear" w:color="auto" w:fill="auto"/>
            <w:vAlign w:val="bottom"/>
          </w:tcPr>
          <w:p w14:paraId="2946DE6C" w14:textId="10C7D5F6" w:rsidR="00017371" w:rsidRPr="002D2F67" w:rsidRDefault="00CD5714" w:rsidP="00017371">
            <w:pPr>
              <w:ind w:left="-101" w:right="-74"/>
              <w:jc w:val="right"/>
              <w:rPr>
                <w:rFonts w:ascii="Arial" w:eastAsia="Arial Unicode MS" w:hAnsi="Arial" w:cs="Arial"/>
                <w:snapToGrid w:val="0"/>
                <w:color w:val="000000"/>
                <w:sz w:val="20"/>
                <w:szCs w:val="20"/>
                <w:lang w:eastAsia="th-TH"/>
              </w:rPr>
            </w:pPr>
            <w:r w:rsidRPr="00CD5714">
              <w:rPr>
                <w:rFonts w:ascii="Arial" w:eastAsia="Arial Unicode MS" w:hAnsi="Arial" w:cs="Arial"/>
                <w:color w:val="000000"/>
                <w:sz w:val="20"/>
                <w:szCs w:val="20"/>
                <w:lang w:val="en-GB" w:eastAsia="th-TH"/>
              </w:rPr>
              <w:t>167</w:t>
            </w:r>
            <w:r w:rsidR="00017371" w:rsidRPr="002D2F67">
              <w:rPr>
                <w:rFonts w:ascii="Arial" w:eastAsia="Arial Unicode MS" w:hAnsi="Arial" w:cs="Arial"/>
                <w:color w:val="000000"/>
                <w:sz w:val="20"/>
                <w:szCs w:val="20"/>
                <w:lang w:eastAsia="th-TH"/>
              </w:rPr>
              <w:t>,</w:t>
            </w:r>
            <w:r w:rsidRPr="00CD5714">
              <w:rPr>
                <w:rFonts w:ascii="Arial" w:eastAsia="Arial Unicode MS" w:hAnsi="Arial" w:cs="Arial"/>
                <w:color w:val="000000"/>
                <w:sz w:val="20"/>
                <w:szCs w:val="20"/>
                <w:lang w:val="en-GB" w:eastAsia="th-TH"/>
              </w:rPr>
              <w:t>723</w:t>
            </w:r>
          </w:p>
        </w:tc>
        <w:tc>
          <w:tcPr>
            <w:tcW w:w="1417" w:type="dxa"/>
            <w:shd w:val="clear" w:color="auto" w:fill="auto"/>
            <w:vAlign w:val="bottom"/>
          </w:tcPr>
          <w:p w14:paraId="1ECFAC74" w14:textId="68DF128A" w:rsidR="00017371" w:rsidRPr="002D2F67" w:rsidRDefault="00017371" w:rsidP="00017371">
            <w:pPr>
              <w:ind w:left="-101" w:right="-74"/>
              <w:jc w:val="right"/>
              <w:rPr>
                <w:rFonts w:ascii="Arial" w:eastAsia="Arial Unicode MS" w:hAnsi="Arial" w:cs="Arial"/>
                <w:snapToGrid w:val="0"/>
                <w:color w:val="000000"/>
                <w:sz w:val="20"/>
                <w:szCs w:val="20"/>
                <w:lang w:eastAsia="th-TH"/>
              </w:rPr>
            </w:pPr>
            <w:r w:rsidRPr="002D2F67">
              <w:rPr>
                <w:rFonts w:ascii="Arial" w:eastAsia="Arial Unicode MS" w:hAnsi="Arial" w:cs="Arial"/>
                <w:color w:val="000000"/>
                <w:sz w:val="20"/>
                <w:szCs w:val="20"/>
                <w:lang w:eastAsia="th-TH"/>
              </w:rPr>
              <w:t>-</w:t>
            </w:r>
          </w:p>
        </w:tc>
        <w:tc>
          <w:tcPr>
            <w:tcW w:w="1418" w:type="dxa"/>
            <w:shd w:val="clear" w:color="auto" w:fill="auto"/>
            <w:vAlign w:val="bottom"/>
          </w:tcPr>
          <w:p w14:paraId="2017A21A" w14:textId="66E11113" w:rsidR="00017371" w:rsidRPr="002D2F67" w:rsidRDefault="00017371" w:rsidP="00017371">
            <w:pPr>
              <w:ind w:left="-101" w:right="-74"/>
              <w:jc w:val="right"/>
              <w:rPr>
                <w:rFonts w:ascii="Arial" w:eastAsia="Arial Unicode MS" w:hAnsi="Arial" w:cs="Arial"/>
                <w:snapToGrid w:val="0"/>
                <w:color w:val="000000"/>
                <w:sz w:val="20"/>
                <w:szCs w:val="20"/>
                <w:lang w:eastAsia="th-TH"/>
              </w:rPr>
            </w:pPr>
            <w:r w:rsidRPr="002D2F67">
              <w:rPr>
                <w:rFonts w:ascii="Arial" w:eastAsia="Arial Unicode MS" w:hAnsi="Arial" w:cs="Arial"/>
                <w:color w:val="000000"/>
                <w:sz w:val="20"/>
                <w:szCs w:val="20"/>
                <w:lang w:eastAsia="th-TH"/>
              </w:rPr>
              <w:t>-</w:t>
            </w:r>
          </w:p>
        </w:tc>
      </w:tr>
      <w:tr w:rsidR="00017371" w:rsidRPr="002D2F67" w14:paraId="60477C73" w14:textId="77777777" w:rsidTr="005611FE">
        <w:tc>
          <w:tcPr>
            <w:tcW w:w="3658" w:type="dxa"/>
            <w:shd w:val="clear" w:color="auto" w:fill="auto"/>
          </w:tcPr>
          <w:p w14:paraId="6E3C87DF" w14:textId="64AB148D" w:rsidR="00017371" w:rsidRPr="002D2F67" w:rsidRDefault="00017371" w:rsidP="00017371">
            <w:pPr>
              <w:ind w:left="-101"/>
              <w:rPr>
                <w:rFonts w:ascii="Arial" w:eastAsia="Arial Unicode MS" w:hAnsi="Arial" w:cs="Arial"/>
                <w:snapToGrid w:val="0"/>
                <w:color w:val="000000"/>
                <w:sz w:val="20"/>
                <w:szCs w:val="20"/>
                <w:lang w:eastAsia="th-TH"/>
              </w:rPr>
            </w:pPr>
            <w:r w:rsidRPr="002D2F67">
              <w:rPr>
                <w:rFonts w:ascii="Arial" w:eastAsia="Arial Unicode MS" w:hAnsi="Arial" w:cs="Arial"/>
                <w:snapToGrid w:val="0"/>
                <w:color w:val="000000"/>
                <w:sz w:val="20"/>
                <w:szCs w:val="20"/>
                <w:u w:val="single"/>
                <w:lang w:eastAsia="th-TH"/>
              </w:rPr>
              <w:t>Less</w:t>
            </w:r>
            <w:r w:rsidRPr="002D2F67">
              <w:rPr>
                <w:rFonts w:ascii="Arial" w:eastAsia="Arial Unicode MS" w:hAnsi="Arial" w:cs="Arial"/>
                <w:snapToGrid w:val="0"/>
                <w:color w:val="000000"/>
                <w:sz w:val="20"/>
                <w:szCs w:val="20"/>
                <w:lang w:eastAsia="th-TH"/>
              </w:rPr>
              <w:t xml:space="preserve">  Expected credit loss</w:t>
            </w:r>
          </w:p>
        </w:tc>
        <w:tc>
          <w:tcPr>
            <w:tcW w:w="1559" w:type="dxa"/>
            <w:tcBorders>
              <w:bottom w:val="single" w:sz="4" w:space="0" w:color="auto"/>
            </w:tcBorders>
            <w:shd w:val="clear" w:color="auto" w:fill="auto"/>
            <w:vAlign w:val="bottom"/>
          </w:tcPr>
          <w:p w14:paraId="2335704C" w14:textId="7A451FA7" w:rsidR="00017371" w:rsidRPr="002D2F67" w:rsidRDefault="002A474F" w:rsidP="00017371">
            <w:pPr>
              <w:ind w:left="-101" w:right="-74"/>
              <w:jc w:val="right"/>
              <w:rPr>
                <w:rFonts w:ascii="Arial" w:eastAsia="Arial Unicode MS" w:hAnsi="Arial" w:cs="Arial"/>
                <w:snapToGrid w:val="0"/>
                <w:color w:val="000000"/>
                <w:sz w:val="20"/>
                <w:szCs w:val="20"/>
                <w:lang w:eastAsia="th-TH"/>
              </w:rPr>
            </w:pPr>
            <w:r w:rsidRPr="002D2F67">
              <w:rPr>
                <w:rFonts w:ascii="Arial" w:eastAsia="Arial Unicode MS" w:hAnsi="Arial" w:cs="Arial"/>
                <w:snapToGrid w:val="0"/>
                <w:color w:val="000000"/>
                <w:sz w:val="20"/>
                <w:szCs w:val="20"/>
                <w:lang w:eastAsia="th-TH"/>
              </w:rPr>
              <w:t>(</w:t>
            </w:r>
            <w:r w:rsidR="00CD5714" w:rsidRPr="00CD5714">
              <w:rPr>
                <w:rFonts w:ascii="Arial" w:eastAsia="Arial Unicode MS" w:hAnsi="Arial" w:cs="Arial"/>
                <w:snapToGrid w:val="0"/>
                <w:color w:val="000000"/>
                <w:sz w:val="20"/>
                <w:szCs w:val="20"/>
                <w:lang w:val="en-GB" w:eastAsia="th-TH"/>
              </w:rPr>
              <w:t>1</w:t>
            </w:r>
            <w:r w:rsidRPr="002D2F67">
              <w:rPr>
                <w:rFonts w:ascii="Arial" w:eastAsia="Arial Unicode MS" w:hAnsi="Arial" w:cs="Arial"/>
                <w:snapToGrid w:val="0"/>
                <w:color w:val="000000"/>
                <w:sz w:val="20"/>
                <w:szCs w:val="20"/>
                <w:lang w:eastAsia="th-TH"/>
              </w:rPr>
              <w:t>,</w:t>
            </w:r>
            <w:r w:rsidR="00CD5714" w:rsidRPr="00CD5714">
              <w:rPr>
                <w:rFonts w:ascii="Arial" w:eastAsia="Arial Unicode MS" w:hAnsi="Arial" w:cs="Arial"/>
                <w:snapToGrid w:val="0"/>
                <w:color w:val="000000"/>
                <w:sz w:val="20"/>
                <w:szCs w:val="20"/>
                <w:lang w:val="en-GB" w:eastAsia="th-TH"/>
              </w:rPr>
              <w:t>315</w:t>
            </w:r>
            <w:r w:rsidRPr="002D2F67">
              <w:rPr>
                <w:rFonts w:ascii="Arial" w:eastAsia="Arial Unicode MS" w:hAnsi="Arial" w:cs="Arial"/>
                <w:snapToGrid w:val="0"/>
                <w:color w:val="000000"/>
                <w:sz w:val="20"/>
                <w:szCs w:val="20"/>
                <w:lang w:eastAsia="th-TH"/>
              </w:rPr>
              <w:t>,</w:t>
            </w:r>
            <w:r w:rsidR="00CD5714" w:rsidRPr="00CD5714">
              <w:rPr>
                <w:rFonts w:ascii="Arial" w:eastAsia="Arial Unicode MS" w:hAnsi="Arial" w:cs="Arial"/>
                <w:snapToGrid w:val="0"/>
                <w:color w:val="000000"/>
                <w:sz w:val="20"/>
                <w:szCs w:val="20"/>
                <w:lang w:val="en-GB" w:eastAsia="th-TH"/>
              </w:rPr>
              <w:t>407</w:t>
            </w:r>
            <w:r w:rsidRPr="002D2F67">
              <w:rPr>
                <w:rFonts w:ascii="Arial" w:eastAsia="Arial Unicode MS" w:hAnsi="Arial" w:cs="Arial"/>
                <w:snapToGrid w:val="0"/>
                <w:color w:val="000000"/>
                <w:sz w:val="20"/>
                <w:szCs w:val="20"/>
                <w:lang w:eastAsia="th-TH"/>
              </w:rPr>
              <w:t>)</w:t>
            </w:r>
          </w:p>
        </w:tc>
        <w:tc>
          <w:tcPr>
            <w:tcW w:w="1418" w:type="dxa"/>
            <w:tcBorders>
              <w:bottom w:val="single" w:sz="4" w:space="0" w:color="auto"/>
            </w:tcBorders>
            <w:shd w:val="clear" w:color="auto" w:fill="auto"/>
            <w:vAlign w:val="bottom"/>
          </w:tcPr>
          <w:p w14:paraId="5421D7DE" w14:textId="528C9054" w:rsidR="00017371" w:rsidRPr="002D2F67" w:rsidRDefault="00017371" w:rsidP="00017371">
            <w:pPr>
              <w:ind w:left="-101" w:right="-74"/>
              <w:jc w:val="right"/>
              <w:rPr>
                <w:rFonts w:ascii="Arial" w:eastAsia="Arial Unicode MS" w:hAnsi="Arial" w:cs="Arial"/>
                <w:snapToGrid w:val="0"/>
                <w:color w:val="000000"/>
                <w:sz w:val="20"/>
                <w:szCs w:val="20"/>
                <w:lang w:eastAsia="th-TH"/>
              </w:rPr>
            </w:pPr>
            <w:r w:rsidRPr="002D2F67">
              <w:rPr>
                <w:rFonts w:ascii="Arial" w:eastAsia="Arial Unicode MS" w:hAnsi="Arial" w:cs="Arial"/>
                <w:color w:val="000000"/>
                <w:sz w:val="20"/>
                <w:szCs w:val="20"/>
                <w:lang w:eastAsia="th-TH"/>
              </w:rPr>
              <w:t>-</w:t>
            </w:r>
          </w:p>
        </w:tc>
        <w:tc>
          <w:tcPr>
            <w:tcW w:w="1417" w:type="dxa"/>
            <w:tcBorders>
              <w:bottom w:val="single" w:sz="4" w:space="0" w:color="auto"/>
            </w:tcBorders>
            <w:shd w:val="clear" w:color="auto" w:fill="auto"/>
            <w:vAlign w:val="bottom"/>
          </w:tcPr>
          <w:p w14:paraId="31634BB2" w14:textId="50D7332A" w:rsidR="00017371" w:rsidRPr="002D2F67" w:rsidRDefault="00017371" w:rsidP="00017371">
            <w:pPr>
              <w:ind w:left="-101" w:right="-74"/>
              <w:jc w:val="right"/>
              <w:rPr>
                <w:rFonts w:ascii="Arial" w:eastAsia="Arial Unicode MS" w:hAnsi="Arial" w:cs="Arial"/>
                <w:snapToGrid w:val="0"/>
                <w:color w:val="000000"/>
                <w:sz w:val="20"/>
                <w:szCs w:val="20"/>
                <w:lang w:eastAsia="th-TH"/>
              </w:rPr>
            </w:pPr>
            <w:r w:rsidRPr="002D2F67">
              <w:rPr>
                <w:rFonts w:ascii="Arial" w:eastAsia="Arial Unicode MS" w:hAnsi="Arial" w:cs="Arial"/>
                <w:color w:val="000000"/>
                <w:sz w:val="20"/>
                <w:szCs w:val="20"/>
                <w:lang w:eastAsia="th-TH"/>
              </w:rPr>
              <w:t>-</w:t>
            </w:r>
          </w:p>
        </w:tc>
        <w:tc>
          <w:tcPr>
            <w:tcW w:w="1418" w:type="dxa"/>
            <w:tcBorders>
              <w:bottom w:val="single" w:sz="4" w:space="0" w:color="auto"/>
            </w:tcBorders>
            <w:shd w:val="clear" w:color="auto" w:fill="auto"/>
            <w:vAlign w:val="bottom"/>
          </w:tcPr>
          <w:p w14:paraId="495BC2A8" w14:textId="67943F44" w:rsidR="00017371" w:rsidRPr="002D2F67" w:rsidRDefault="00017371" w:rsidP="00017371">
            <w:pPr>
              <w:ind w:left="-101" w:right="-74"/>
              <w:jc w:val="right"/>
              <w:rPr>
                <w:rFonts w:ascii="Arial" w:eastAsia="Arial Unicode MS" w:hAnsi="Arial" w:cs="Arial"/>
                <w:snapToGrid w:val="0"/>
                <w:color w:val="000000"/>
                <w:sz w:val="20"/>
                <w:szCs w:val="20"/>
                <w:lang w:eastAsia="th-TH"/>
              </w:rPr>
            </w:pPr>
            <w:r w:rsidRPr="002D2F67">
              <w:rPr>
                <w:rFonts w:ascii="Arial" w:eastAsia="Arial Unicode MS" w:hAnsi="Arial" w:cs="Arial"/>
                <w:color w:val="000000"/>
                <w:sz w:val="20"/>
                <w:szCs w:val="20"/>
                <w:lang w:eastAsia="th-TH"/>
              </w:rPr>
              <w:t>-</w:t>
            </w:r>
          </w:p>
        </w:tc>
      </w:tr>
      <w:tr w:rsidR="00017371" w:rsidRPr="002D2F67" w14:paraId="3C062EB1" w14:textId="77777777" w:rsidTr="005611FE">
        <w:tc>
          <w:tcPr>
            <w:tcW w:w="3658" w:type="dxa"/>
            <w:shd w:val="clear" w:color="auto" w:fill="auto"/>
          </w:tcPr>
          <w:p w14:paraId="4675D9C4" w14:textId="77777777" w:rsidR="00017371" w:rsidRPr="002D2F67" w:rsidRDefault="00017371" w:rsidP="00017371">
            <w:pPr>
              <w:ind w:left="-101"/>
              <w:rPr>
                <w:rFonts w:ascii="Arial" w:eastAsia="Arial Unicode MS" w:hAnsi="Arial" w:cs="Arial"/>
                <w:snapToGrid w:val="0"/>
                <w:color w:val="000000"/>
                <w:sz w:val="12"/>
                <w:szCs w:val="12"/>
                <w:u w:val="single"/>
                <w:lang w:eastAsia="th-TH"/>
              </w:rPr>
            </w:pPr>
          </w:p>
        </w:tc>
        <w:tc>
          <w:tcPr>
            <w:tcW w:w="1559" w:type="dxa"/>
            <w:tcBorders>
              <w:top w:val="single" w:sz="4" w:space="0" w:color="auto"/>
            </w:tcBorders>
            <w:shd w:val="clear" w:color="auto" w:fill="auto"/>
            <w:vAlign w:val="bottom"/>
          </w:tcPr>
          <w:p w14:paraId="32300F78" w14:textId="77777777" w:rsidR="00017371" w:rsidRPr="002D2F67" w:rsidRDefault="00017371" w:rsidP="00017371">
            <w:pPr>
              <w:ind w:left="-101" w:right="-74"/>
              <w:jc w:val="right"/>
              <w:rPr>
                <w:rFonts w:ascii="Arial" w:eastAsia="Arial Unicode MS" w:hAnsi="Arial" w:cs="Arial"/>
                <w:color w:val="000000"/>
                <w:sz w:val="12"/>
                <w:szCs w:val="12"/>
                <w:lang w:eastAsia="th-TH"/>
              </w:rPr>
            </w:pPr>
          </w:p>
        </w:tc>
        <w:tc>
          <w:tcPr>
            <w:tcW w:w="1418" w:type="dxa"/>
            <w:tcBorders>
              <w:top w:val="single" w:sz="4" w:space="0" w:color="auto"/>
            </w:tcBorders>
            <w:shd w:val="clear" w:color="auto" w:fill="auto"/>
            <w:vAlign w:val="bottom"/>
          </w:tcPr>
          <w:p w14:paraId="78CE2B35" w14:textId="77777777" w:rsidR="00017371" w:rsidRPr="002D2F67" w:rsidRDefault="00017371" w:rsidP="00017371">
            <w:pPr>
              <w:ind w:left="-101" w:right="-74"/>
              <w:jc w:val="right"/>
              <w:rPr>
                <w:rFonts w:ascii="Arial" w:eastAsia="Arial Unicode MS" w:hAnsi="Arial" w:cs="Arial"/>
                <w:snapToGrid w:val="0"/>
                <w:color w:val="000000"/>
                <w:sz w:val="12"/>
                <w:szCs w:val="12"/>
                <w:lang w:eastAsia="th-TH"/>
              </w:rPr>
            </w:pPr>
          </w:p>
        </w:tc>
        <w:tc>
          <w:tcPr>
            <w:tcW w:w="1417" w:type="dxa"/>
            <w:tcBorders>
              <w:top w:val="single" w:sz="4" w:space="0" w:color="auto"/>
            </w:tcBorders>
            <w:shd w:val="clear" w:color="auto" w:fill="auto"/>
            <w:vAlign w:val="bottom"/>
          </w:tcPr>
          <w:p w14:paraId="185C8E70" w14:textId="77777777" w:rsidR="00017371" w:rsidRPr="002D2F67" w:rsidRDefault="00017371" w:rsidP="00017371">
            <w:pPr>
              <w:ind w:left="-101" w:right="-74"/>
              <w:jc w:val="right"/>
              <w:rPr>
                <w:rFonts w:ascii="Arial" w:eastAsia="Arial Unicode MS" w:hAnsi="Arial" w:cs="Arial"/>
                <w:color w:val="000000"/>
                <w:sz w:val="12"/>
                <w:szCs w:val="12"/>
                <w:lang w:eastAsia="th-TH"/>
              </w:rPr>
            </w:pPr>
          </w:p>
        </w:tc>
        <w:tc>
          <w:tcPr>
            <w:tcW w:w="1418" w:type="dxa"/>
            <w:tcBorders>
              <w:top w:val="single" w:sz="4" w:space="0" w:color="auto"/>
            </w:tcBorders>
            <w:shd w:val="clear" w:color="auto" w:fill="auto"/>
            <w:vAlign w:val="bottom"/>
          </w:tcPr>
          <w:p w14:paraId="31D10DAB" w14:textId="77777777" w:rsidR="00017371" w:rsidRPr="002D2F67" w:rsidRDefault="00017371" w:rsidP="00017371">
            <w:pPr>
              <w:ind w:left="-101" w:right="-74"/>
              <w:jc w:val="right"/>
              <w:rPr>
                <w:rFonts w:ascii="Arial" w:eastAsia="Arial Unicode MS" w:hAnsi="Arial" w:cs="Arial"/>
                <w:snapToGrid w:val="0"/>
                <w:color w:val="000000"/>
                <w:sz w:val="12"/>
                <w:szCs w:val="12"/>
                <w:lang w:eastAsia="th-TH"/>
              </w:rPr>
            </w:pPr>
          </w:p>
        </w:tc>
      </w:tr>
      <w:tr w:rsidR="00017371" w:rsidRPr="002D2F67" w14:paraId="759684FB" w14:textId="77777777" w:rsidTr="005611FE">
        <w:tc>
          <w:tcPr>
            <w:tcW w:w="3658" w:type="dxa"/>
            <w:shd w:val="clear" w:color="auto" w:fill="auto"/>
          </w:tcPr>
          <w:p w14:paraId="4AF36BD1" w14:textId="0B0704DD" w:rsidR="00017371" w:rsidRPr="002D2F67" w:rsidRDefault="00017371" w:rsidP="00017371">
            <w:pPr>
              <w:widowControl w:val="0"/>
              <w:ind w:left="-101"/>
              <w:rPr>
                <w:rFonts w:ascii="Arial" w:hAnsi="Arial" w:cs="Arial"/>
                <w:color w:val="000000"/>
                <w:sz w:val="20"/>
                <w:szCs w:val="20"/>
              </w:rPr>
            </w:pPr>
            <w:r w:rsidRPr="002D2F67">
              <w:rPr>
                <w:rFonts w:ascii="Arial" w:eastAsia="Arial Unicode MS" w:hAnsi="Arial" w:cs="Arial"/>
                <w:snapToGrid w:val="0"/>
                <w:color w:val="000000"/>
                <w:sz w:val="20"/>
                <w:szCs w:val="20"/>
                <w:lang w:eastAsia="th-TH"/>
              </w:rPr>
              <w:t>Total trade accounts</w:t>
            </w:r>
            <w:r w:rsidRPr="002D2F67">
              <w:rPr>
                <w:rFonts w:ascii="Arial" w:hAnsi="Arial" w:cs="Arial"/>
                <w:color w:val="000000"/>
                <w:sz w:val="20"/>
                <w:szCs w:val="20"/>
              </w:rPr>
              <w:t xml:space="preserve"> </w:t>
            </w:r>
            <w:r w:rsidRPr="002D2F67">
              <w:rPr>
                <w:rFonts w:ascii="Arial" w:eastAsia="Arial Unicode MS" w:hAnsi="Arial" w:cs="Arial"/>
                <w:snapToGrid w:val="0"/>
                <w:color w:val="000000"/>
                <w:sz w:val="20"/>
                <w:szCs w:val="20"/>
                <w:lang w:eastAsia="th-TH"/>
              </w:rPr>
              <w:t>receivable</w:t>
            </w:r>
          </w:p>
          <w:p w14:paraId="317E2451" w14:textId="62D64D82" w:rsidR="00017371" w:rsidRPr="002D2F67" w:rsidRDefault="00017371" w:rsidP="00017371">
            <w:pPr>
              <w:ind w:left="-101"/>
              <w:rPr>
                <w:rFonts w:ascii="Arial" w:eastAsia="Arial Unicode MS" w:hAnsi="Arial" w:cs="Arial"/>
                <w:snapToGrid w:val="0"/>
                <w:color w:val="000000"/>
                <w:sz w:val="20"/>
                <w:szCs w:val="20"/>
                <w:lang w:eastAsia="th-TH"/>
              </w:rPr>
            </w:pPr>
            <w:r w:rsidRPr="002D2F67">
              <w:rPr>
                <w:rFonts w:ascii="Arial" w:hAnsi="Arial" w:cs="Arial"/>
                <w:color w:val="000000"/>
                <w:sz w:val="20"/>
                <w:szCs w:val="20"/>
              </w:rPr>
              <w:t xml:space="preserve">   - </w:t>
            </w:r>
            <w:r w:rsidRPr="002D2F67">
              <w:rPr>
                <w:rFonts w:ascii="Arial" w:eastAsia="Arial Unicode MS" w:hAnsi="Arial" w:cs="Arial"/>
                <w:snapToGrid w:val="0"/>
                <w:color w:val="000000"/>
                <w:sz w:val="20"/>
                <w:szCs w:val="20"/>
                <w:lang w:eastAsia="th-TH"/>
              </w:rPr>
              <w:t>related parties</w:t>
            </w:r>
          </w:p>
        </w:tc>
        <w:tc>
          <w:tcPr>
            <w:tcW w:w="1559" w:type="dxa"/>
            <w:tcBorders>
              <w:bottom w:val="single" w:sz="4" w:space="0" w:color="auto"/>
            </w:tcBorders>
            <w:shd w:val="clear" w:color="auto" w:fill="auto"/>
            <w:vAlign w:val="bottom"/>
          </w:tcPr>
          <w:p w14:paraId="4F43F76A" w14:textId="187FBF48" w:rsidR="00017371" w:rsidRPr="002D2F67" w:rsidRDefault="00CD5714" w:rsidP="00017371">
            <w:pPr>
              <w:ind w:left="-101" w:right="-74"/>
              <w:jc w:val="right"/>
              <w:rPr>
                <w:rFonts w:ascii="Arial" w:eastAsia="Arial Unicode MS" w:hAnsi="Arial" w:cs="Arial"/>
                <w:snapToGrid w:val="0"/>
                <w:color w:val="000000"/>
                <w:sz w:val="20"/>
                <w:szCs w:val="20"/>
                <w:lang w:eastAsia="th-TH"/>
              </w:rPr>
            </w:pPr>
            <w:r w:rsidRPr="00CD5714">
              <w:rPr>
                <w:rFonts w:ascii="Arial" w:eastAsia="Arial Unicode MS" w:hAnsi="Arial" w:cs="Arial"/>
                <w:snapToGrid w:val="0"/>
                <w:color w:val="000000"/>
                <w:sz w:val="20"/>
                <w:szCs w:val="20"/>
                <w:lang w:val="en-GB" w:eastAsia="th-TH"/>
              </w:rPr>
              <w:t>4</w:t>
            </w:r>
            <w:r w:rsidR="002A474F"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686</w:t>
            </w:r>
            <w:r w:rsidR="002A474F"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048</w:t>
            </w:r>
          </w:p>
        </w:tc>
        <w:tc>
          <w:tcPr>
            <w:tcW w:w="1418" w:type="dxa"/>
            <w:tcBorders>
              <w:bottom w:val="single" w:sz="4" w:space="0" w:color="auto"/>
            </w:tcBorders>
            <w:shd w:val="clear" w:color="auto" w:fill="auto"/>
            <w:vAlign w:val="bottom"/>
          </w:tcPr>
          <w:p w14:paraId="7D777BFD" w14:textId="122864A6" w:rsidR="00017371" w:rsidRPr="002D2F67" w:rsidRDefault="00CD5714" w:rsidP="00017371">
            <w:pPr>
              <w:ind w:left="-101" w:right="-74"/>
              <w:jc w:val="right"/>
              <w:rPr>
                <w:rFonts w:ascii="Arial" w:eastAsia="Arial Unicode MS" w:hAnsi="Arial" w:cs="Arial"/>
                <w:snapToGrid w:val="0"/>
                <w:color w:val="000000"/>
                <w:sz w:val="20"/>
                <w:szCs w:val="20"/>
                <w:lang w:eastAsia="th-TH"/>
              </w:rPr>
            </w:pPr>
            <w:r w:rsidRPr="00CD5714">
              <w:rPr>
                <w:rFonts w:ascii="Arial" w:eastAsia="Arial Unicode MS" w:hAnsi="Arial" w:cs="Arial"/>
                <w:color w:val="000000"/>
                <w:sz w:val="20"/>
                <w:szCs w:val="20"/>
                <w:lang w:val="en-GB" w:eastAsia="th-TH"/>
              </w:rPr>
              <w:t>5</w:t>
            </w:r>
            <w:r w:rsidR="00017371" w:rsidRPr="002D2F67">
              <w:rPr>
                <w:rFonts w:ascii="Arial" w:eastAsia="Arial Unicode MS" w:hAnsi="Arial" w:cs="Arial"/>
                <w:color w:val="000000"/>
                <w:sz w:val="20"/>
                <w:szCs w:val="20"/>
                <w:lang w:eastAsia="th-TH"/>
              </w:rPr>
              <w:t>,</w:t>
            </w:r>
            <w:r w:rsidRPr="00CD5714">
              <w:rPr>
                <w:rFonts w:ascii="Arial" w:eastAsia="Arial Unicode MS" w:hAnsi="Arial" w:cs="Arial"/>
                <w:color w:val="000000"/>
                <w:sz w:val="20"/>
                <w:szCs w:val="20"/>
                <w:lang w:val="en-GB" w:eastAsia="th-TH"/>
              </w:rPr>
              <w:t>526</w:t>
            </w:r>
            <w:r w:rsidR="00017371" w:rsidRPr="002D2F67">
              <w:rPr>
                <w:rFonts w:ascii="Arial" w:eastAsia="Arial Unicode MS" w:hAnsi="Arial" w:cs="Arial"/>
                <w:color w:val="000000"/>
                <w:sz w:val="20"/>
                <w:szCs w:val="20"/>
                <w:lang w:eastAsia="th-TH"/>
              </w:rPr>
              <w:t>,</w:t>
            </w:r>
            <w:r w:rsidRPr="00CD5714">
              <w:rPr>
                <w:rFonts w:ascii="Arial" w:eastAsia="Arial Unicode MS" w:hAnsi="Arial" w:cs="Arial"/>
                <w:color w:val="000000"/>
                <w:sz w:val="20"/>
                <w:szCs w:val="20"/>
                <w:lang w:val="en-GB" w:eastAsia="th-TH"/>
              </w:rPr>
              <w:t>222</w:t>
            </w:r>
          </w:p>
        </w:tc>
        <w:tc>
          <w:tcPr>
            <w:tcW w:w="1417" w:type="dxa"/>
            <w:tcBorders>
              <w:bottom w:val="single" w:sz="4" w:space="0" w:color="auto"/>
            </w:tcBorders>
            <w:shd w:val="clear" w:color="auto" w:fill="auto"/>
            <w:vAlign w:val="bottom"/>
          </w:tcPr>
          <w:p w14:paraId="6BDC9AFC" w14:textId="6AD2B5D6" w:rsidR="00017371" w:rsidRPr="002D2F67" w:rsidRDefault="00017371" w:rsidP="00017371">
            <w:pPr>
              <w:ind w:left="-101" w:right="-74"/>
              <w:jc w:val="right"/>
              <w:rPr>
                <w:rFonts w:ascii="Arial" w:eastAsia="Arial Unicode MS" w:hAnsi="Arial" w:cs="Arial"/>
                <w:snapToGrid w:val="0"/>
                <w:color w:val="000000"/>
                <w:sz w:val="20"/>
                <w:szCs w:val="20"/>
                <w:lang w:eastAsia="th-TH"/>
              </w:rPr>
            </w:pPr>
            <w:r w:rsidRPr="002D2F67">
              <w:rPr>
                <w:rFonts w:ascii="Arial" w:eastAsia="Arial Unicode MS" w:hAnsi="Arial" w:cs="Arial"/>
                <w:color w:val="000000"/>
                <w:sz w:val="20"/>
                <w:szCs w:val="20"/>
                <w:lang w:eastAsia="th-TH"/>
              </w:rPr>
              <w:t>-</w:t>
            </w:r>
          </w:p>
        </w:tc>
        <w:tc>
          <w:tcPr>
            <w:tcW w:w="1418" w:type="dxa"/>
            <w:tcBorders>
              <w:bottom w:val="single" w:sz="4" w:space="0" w:color="auto"/>
            </w:tcBorders>
            <w:shd w:val="clear" w:color="auto" w:fill="auto"/>
            <w:vAlign w:val="bottom"/>
          </w:tcPr>
          <w:p w14:paraId="09329BFA" w14:textId="2754831B" w:rsidR="00017371" w:rsidRPr="002D2F67" w:rsidRDefault="00017371" w:rsidP="00017371">
            <w:pPr>
              <w:ind w:left="-101" w:right="-74"/>
              <w:jc w:val="right"/>
              <w:rPr>
                <w:rFonts w:ascii="Arial" w:eastAsia="Arial Unicode MS" w:hAnsi="Arial" w:cs="Arial"/>
                <w:snapToGrid w:val="0"/>
                <w:color w:val="000000"/>
                <w:sz w:val="20"/>
                <w:szCs w:val="20"/>
                <w:lang w:eastAsia="th-TH"/>
              </w:rPr>
            </w:pPr>
            <w:r w:rsidRPr="002D2F67">
              <w:rPr>
                <w:rFonts w:ascii="Arial" w:eastAsia="Arial Unicode MS" w:hAnsi="Arial" w:cs="Arial"/>
                <w:color w:val="000000"/>
                <w:sz w:val="20"/>
                <w:szCs w:val="20"/>
                <w:lang w:eastAsia="th-TH"/>
              </w:rPr>
              <w:t>-</w:t>
            </w:r>
          </w:p>
        </w:tc>
      </w:tr>
      <w:tr w:rsidR="00017371" w:rsidRPr="002D2F67" w14:paraId="69023B48" w14:textId="77777777" w:rsidTr="005611FE">
        <w:tc>
          <w:tcPr>
            <w:tcW w:w="3658" w:type="dxa"/>
            <w:shd w:val="clear" w:color="auto" w:fill="auto"/>
          </w:tcPr>
          <w:p w14:paraId="2A78961C" w14:textId="77777777" w:rsidR="00017371" w:rsidRPr="002D2F67" w:rsidRDefault="00017371" w:rsidP="00017371">
            <w:pPr>
              <w:ind w:left="-101"/>
              <w:rPr>
                <w:rFonts w:ascii="Arial" w:eastAsia="Arial Unicode MS" w:hAnsi="Arial" w:cs="Arial"/>
                <w:snapToGrid w:val="0"/>
                <w:color w:val="000000"/>
                <w:sz w:val="20"/>
                <w:szCs w:val="20"/>
                <w:lang w:eastAsia="th-TH"/>
              </w:rPr>
            </w:pPr>
          </w:p>
        </w:tc>
        <w:tc>
          <w:tcPr>
            <w:tcW w:w="1559" w:type="dxa"/>
            <w:tcBorders>
              <w:top w:val="single" w:sz="4" w:space="0" w:color="auto"/>
            </w:tcBorders>
            <w:shd w:val="clear" w:color="auto" w:fill="auto"/>
            <w:vAlign w:val="bottom"/>
          </w:tcPr>
          <w:p w14:paraId="6F236CA3" w14:textId="77777777" w:rsidR="00017371" w:rsidRPr="002D2F67" w:rsidRDefault="00017371" w:rsidP="00017371">
            <w:pPr>
              <w:ind w:left="-101" w:right="-74"/>
              <w:jc w:val="right"/>
              <w:rPr>
                <w:rFonts w:ascii="Arial" w:eastAsia="Arial Unicode MS" w:hAnsi="Arial" w:cs="Arial"/>
                <w:snapToGrid w:val="0"/>
                <w:color w:val="000000"/>
                <w:sz w:val="20"/>
                <w:szCs w:val="20"/>
                <w:lang w:eastAsia="th-TH"/>
              </w:rPr>
            </w:pPr>
          </w:p>
        </w:tc>
        <w:tc>
          <w:tcPr>
            <w:tcW w:w="1418" w:type="dxa"/>
            <w:tcBorders>
              <w:top w:val="single" w:sz="4" w:space="0" w:color="auto"/>
            </w:tcBorders>
            <w:shd w:val="clear" w:color="auto" w:fill="auto"/>
            <w:vAlign w:val="bottom"/>
          </w:tcPr>
          <w:p w14:paraId="3D0B9975" w14:textId="77777777" w:rsidR="00017371" w:rsidRPr="002D2F67" w:rsidRDefault="00017371" w:rsidP="00017371">
            <w:pPr>
              <w:ind w:left="-101" w:right="-74"/>
              <w:jc w:val="right"/>
              <w:rPr>
                <w:rFonts w:ascii="Arial" w:eastAsia="Arial Unicode MS" w:hAnsi="Arial" w:cs="Arial"/>
                <w:snapToGrid w:val="0"/>
                <w:color w:val="000000"/>
                <w:sz w:val="20"/>
                <w:szCs w:val="20"/>
                <w:lang w:eastAsia="th-TH"/>
              </w:rPr>
            </w:pPr>
          </w:p>
        </w:tc>
        <w:tc>
          <w:tcPr>
            <w:tcW w:w="1417" w:type="dxa"/>
            <w:tcBorders>
              <w:top w:val="single" w:sz="4" w:space="0" w:color="auto"/>
            </w:tcBorders>
            <w:shd w:val="clear" w:color="auto" w:fill="auto"/>
            <w:vAlign w:val="bottom"/>
          </w:tcPr>
          <w:p w14:paraId="010AFB3E" w14:textId="77777777" w:rsidR="00017371" w:rsidRPr="002D2F67" w:rsidRDefault="00017371" w:rsidP="00017371">
            <w:pPr>
              <w:ind w:left="-101" w:right="-74"/>
              <w:jc w:val="right"/>
              <w:rPr>
                <w:rFonts w:ascii="Arial" w:eastAsia="Arial Unicode MS" w:hAnsi="Arial" w:cs="Arial"/>
                <w:snapToGrid w:val="0"/>
                <w:color w:val="000000"/>
                <w:sz w:val="20"/>
                <w:szCs w:val="20"/>
                <w:lang w:eastAsia="th-TH"/>
              </w:rPr>
            </w:pPr>
          </w:p>
        </w:tc>
        <w:tc>
          <w:tcPr>
            <w:tcW w:w="1418" w:type="dxa"/>
            <w:tcBorders>
              <w:top w:val="single" w:sz="4" w:space="0" w:color="auto"/>
            </w:tcBorders>
            <w:shd w:val="clear" w:color="auto" w:fill="auto"/>
            <w:vAlign w:val="bottom"/>
          </w:tcPr>
          <w:p w14:paraId="1D5535EB" w14:textId="77777777" w:rsidR="00017371" w:rsidRPr="002D2F67" w:rsidRDefault="00017371" w:rsidP="00017371">
            <w:pPr>
              <w:ind w:left="-101" w:right="-74"/>
              <w:jc w:val="right"/>
              <w:rPr>
                <w:rFonts w:ascii="Arial" w:eastAsia="Arial Unicode MS" w:hAnsi="Arial" w:cs="Arial"/>
                <w:snapToGrid w:val="0"/>
                <w:color w:val="000000"/>
                <w:sz w:val="20"/>
                <w:szCs w:val="20"/>
                <w:lang w:eastAsia="th-TH"/>
              </w:rPr>
            </w:pPr>
          </w:p>
        </w:tc>
      </w:tr>
      <w:tr w:rsidR="00017371" w:rsidRPr="002D2F67" w14:paraId="5519F2B5" w14:textId="77777777" w:rsidTr="005611FE">
        <w:tc>
          <w:tcPr>
            <w:tcW w:w="3658" w:type="dxa"/>
            <w:shd w:val="clear" w:color="auto" w:fill="auto"/>
          </w:tcPr>
          <w:p w14:paraId="15A9265E" w14:textId="27525606" w:rsidR="00017371" w:rsidRPr="002D2F67" w:rsidRDefault="00017371" w:rsidP="00017371">
            <w:pPr>
              <w:ind w:left="-101"/>
              <w:rPr>
                <w:rFonts w:ascii="Arial" w:eastAsia="Arial Unicode MS" w:hAnsi="Arial" w:cs="Arial"/>
                <w:snapToGrid w:val="0"/>
                <w:color w:val="000000"/>
                <w:sz w:val="20"/>
                <w:szCs w:val="20"/>
                <w:lang w:eastAsia="th-TH"/>
              </w:rPr>
            </w:pPr>
            <w:r w:rsidRPr="002D2F67">
              <w:rPr>
                <w:rFonts w:ascii="Arial" w:eastAsia="Arial Unicode MS" w:hAnsi="Arial" w:cs="Arial"/>
                <w:snapToGrid w:val="0"/>
                <w:color w:val="000000"/>
                <w:sz w:val="20"/>
                <w:szCs w:val="20"/>
                <w:lang w:eastAsia="th-TH"/>
              </w:rPr>
              <w:t>Total trade accounts receivable, net</w:t>
            </w:r>
          </w:p>
        </w:tc>
        <w:tc>
          <w:tcPr>
            <w:tcW w:w="1559" w:type="dxa"/>
            <w:tcBorders>
              <w:bottom w:val="single" w:sz="4" w:space="0" w:color="auto"/>
            </w:tcBorders>
            <w:shd w:val="clear" w:color="auto" w:fill="auto"/>
            <w:vAlign w:val="bottom"/>
          </w:tcPr>
          <w:p w14:paraId="1531A0D8" w14:textId="13E7AC20" w:rsidR="00017371" w:rsidRPr="002D2F67" w:rsidRDefault="00CD5714" w:rsidP="00017371">
            <w:pPr>
              <w:ind w:left="-101" w:right="-74"/>
              <w:jc w:val="right"/>
              <w:rPr>
                <w:rFonts w:ascii="Arial" w:eastAsia="Arial Unicode MS" w:hAnsi="Arial" w:cs="Arial"/>
                <w:snapToGrid w:val="0"/>
                <w:color w:val="000000"/>
                <w:sz w:val="20"/>
                <w:szCs w:val="20"/>
                <w:lang w:eastAsia="th-TH"/>
              </w:rPr>
            </w:pPr>
            <w:r w:rsidRPr="00CD5714">
              <w:rPr>
                <w:rFonts w:ascii="Arial" w:eastAsia="Arial Unicode MS" w:hAnsi="Arial" w:cs="Arial"/>
                <w:snapToGrid w:val="0"/>
                <w:color w:val="000000"/>
                <w:sz w:val="20"/>
                <w:szCs w:val="20"/>
                <w:lang w:val="en-GB" w:eastAsia="th-TH"/>
              </w:rPr>
              <w:t>7</w:t>
            </w:r>
            <w:r w:rsidR="003D2C16"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947</w:t>
            </w:r>
            <w:r w:rsidR="003D2C16"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072</w:t>
            </w:r>
          </w:p>
        </w:tc>
        <w:tc>
          <w:tcPr>
            <w:tcW w:w="1418" w:type="dxa"/>
            <w:tcBorders>
              <w:bottom w:val="single" w:sz="4" w:space="0" w:color="auto"/>
            </w:tcBorders>
            <w:shd w:val="clear" w:color="auto" w:fill="auto"/>
            <w:vAlign w:val="bottom"/>
          </w:tcPr>
          <w:p w14:paraId="2BF436E4" w14:textId="5E48B19A" w:rsidR="00017371" w:rsidRPr="002D2F67" w:rsidRDefault="00CD5714" w:rsidP="00017371">
            <w:pPr>
              <w:ind w:left="-101" w:right="-74"/>
              <w:jc w:val="right"/>
              <w:rPr>
                <w:rFonts w:ascii="Arial" w:eastAsia="Arial Unicode MS" w:hAnsi="Arial" w:cs="Arial"/>
                <w:snapToGrid w:val="0"/>
                <w:color w:val="000000"/>
                <w:sz w:val="20"/>
                <w:szCs w:val="20"/>
                <w:lang w:eastAsia="th-TH"/>
              </w:rPr>
            </w:pPr>
            <w:r w:rsidRPr="00CD5714">
              <w:rPr>
                <w:rFonts w:ascii="Arial" w:eastAsia="Arial Unicode MS" w:hAnsi="Arial" w:cs="Arial"/>
                <w:color w:val="000000"/>
                <w:sz w:val="20"/>
                <w:szCs w:val="20"/>
                <w:lang w:val="en-GB" w:eastAsia="th-TH"/>
              </w:rPr>
              <w:t>8</w:t>
            </w:r>
            <w:r w:rsidR="00017371" w:rsidRPr="002D2F67">
              <w:rPr>
                <w:rFonts w:ascii="Arial" w:eastAsia="Arial Unicode MS" w:hAnsi="Arial" w:cs="Arial"/>
                <w:color w:val="000000"/>
                <w:sz w:val="20"/>
                <w:szCs w:val="20"/>
                <w:lang w:eastAsia="th-TH"/>
              </w:rPr>
              <w:t>,</w:t>
            </w:r>
            <w:r w:rsidRPr="00CD5714">
              <w:rPr>
                <w:rFonts w:ascii="Arial" w:eastAsia="Arial Unicode MS" w:hAnsi="Arial" w:cs="Arial"/>
                <w:color w:val="000000"/>
                <w:sz w:val="20"/>
                <w:szCs w:val="20"/>
                <w:lang w:val="en-GB" w:eastAsia="th-TH"/>
              </w:rPr>
              <w:t>800</w:t>
            </w:r>
            <w:r w:rsidR="00017371" w:rsidRPr="002D2F67">
              <w:rPr>
                <w:rFonts w:ascii="Arial" w:eastAsia="Arial Unicode MS" w:hAnsi="Arial" w:cs="Arial"/>
                <w:color w:val="000000"/>
                <w:sz w:val="20"/>
                <w:szCs w:val="20"/>
                <w:lang w:eastAsia="th-TH"/>
              </w:rPr>
              <w:t>,</w:t>
            </w:r>
            <w:r w:rsidRPr="00CD5714">
              <w:rPr>
                <w:rFonts w:ascii="Arial" w:eastAsia="Arial Unicode MS" w:hAnsi="Arial" w:cs="Arial"/>
                <w:color w:val="000000"/>
                <w:sz w:val="20"/>
                <w:szCs w:val="20"/>
                <w:lang w:val="en-GB" w:eastAsia="th-TH"/>
              </w:rPr>
              <w:t>177</w:t>
            </w:r>
          </w:p>
        </w:tc>
        <w:tc>
          <w:tcPr>
            <w:tcW w:w="1417" w:type="dxa"/>
            <w:tcBorders>
              <w:bottom w:val="single" w:sz="4" w:space="0" w:color="auto"/>
            </w:tcBorders>
            <w:shd w:val="clear" w:color="auto" w:fill="auto"/>
            <w:vAlign w:val="bottom"/>
          </w:tcPr>
          <w:p w14:paraId="52EA9A0D" w14:textId="0A9A89ED" w:rsidR="00017371" w:rsidRPr="002D2F67" w:rsidRDefault="00CD5714" w:rsidP="00017371">
            <w:pPr>
              <w:ind w:left="-101" w:right="-74"/>
              <w:jc w:val="right"/>
              <w:rPr>
                <w:rFonts w:ascii="Arial" w:eastAsia="Arial Unicode MS" w:hAnsi="Arial" w:cs="Arial"/>
                <w:snapToGrid w:val="0"/>
                <w:color w:val="000000"/>
                <w:sz w:val="20"/>
                <w:szCs w:val="20"/>
                <w:cs/>
                <w:lang w:eastAsia="th-TH"/>
              </w:rPr>
            </w:pPr>
            <w:r w:rsidRPr="00CD5714">
              <w:rPr>
                <w:rFonts w:ascii="Arial" w:eastAsia="Arial Unicode MS" w:hAnsi="Arial" w:cs="Arial"/>
                <w:snapToGrid w:val="0"/>
                <w:color w:val="000000"/>
                <w:sz w:val="20"/>
                <w:szCs w:val="20"/>
                <w:lang w:val="en-GB" w:eastAsia="th-TH"/>
              </w:rPr>
              <w:t>615</w:t>
            </w:r>
            <w:r w:rsidR="005841D3"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689</w:t>
            </w:r>
          </w:p>
        </w:tc>
        <w:tc>
          <w:tcPr>
            <w:tcW w:w="1418" w:type="dxa"/>
            <w:tcBorders>
              <w:bottom w:val="single" w:sz="4" w:space="0" w:color="auto"/>
            </w:tcBorders>
            <w:shd w:val="clear" w:color="auto" w:fill="auto"/>
            <w:vAlign w:val="bottom"/>
          </w:tcPr>
          <w:p w14:paraId="0D24BAAB" w14:textId="5E7BD6ED" w:rsidR="00017371" w:rsidRPr="002D2F67" w:rsidRDefault="00CD5714" w:rsidP="00017371">
            <w:pPr>
              <w:ind w:left="-101" w:right="-74"/>
              <w:jc w:val="right"/>
              <w:rPr>
                <w:rFonts w:ascii="Arial" w:eastAsia="Arial Unicode MS" w:hAnsi="Arial" w:cs="Arial"/>
                <w:snapToGrid w:val="0"/>
                <w:color w:val="000000"/>
                <w:sz w:val="20"/>
                <w:szCs w:val="20"/>
                <w:lang w:eastAsia="th-TH"/>
              </w:rPr>
            </w:pPr>
            <w:r w:rsidRPr="00CD5714">
              <w:rPr>
                <w:rFonts w:ascii="Arial" w:eastAsia="Arial Unicode MS" w:hAnsi="Arial" w:cs="Arial"/>
                <w:color w:val="000000"/>
                <w:sz w:val="20"/>
                <w:szCs w:val="20"/>
                <w:lang w:val="en-GB" w:eastAsia="th-TH"/>
              </w:rPr>
              <w:t>1</w:t>
            </w:r>
            <w:r w:rsidR="00017371" w:rsidRPr="002D2F67">
              <w:rPr>
                <w:rFonts w:ascii="Arial" w:eastAsia="Arial Unicode MS" w:hAnsi="Arial" w:cs="Arial"/>
                <w:color w:val="000000"/>
                <w:sz w:val="20"/>
                <w:szCs w:val="20"/>
                <w:lang w:eastAsia="th-TH"/>
              </w:rPr>
              <w:t>,</w:t>
            </w:r>
            <w:r w:rsidRPr="00CD5714">
              <w:rPr>
                <w:rFonts w:ascii="Arial" w:eastAsia="Arial Unicode MS" w:hAnsi="Arial" w:cs="Arial"/>
                <w:color w:val="000000"/>
                <w:sz w:val="20"/>
                <w:szCs w:val="20"/>
                <w:lang w:val="en-GB" w:eastAsia="th-TH"/>
              </w:rPr>
              <w:t>207</w:t>
            </w:r>
            <w:r w:rsidR="00017371" w:rsidRPr="002D2F67">
              <w:rPr>
                <w:rFonts w:ascii="Arial" w:eastAsia="Arial Unicode MS" w:hAnsi="Arial" w:cs="Arial"/>
                <w:color w:val="000000"/>
                <w:sz w:val="20"/>
                <w:szCs w:val="20"/>
                <w:lang w:eastAsia="th-TH"/>
              </w:rPr>
              <w:t>,</w:t>
            </w:r>
            <w:r w:rsidRPr="00CD5714">
              <w:rPr>
                <w:rFonts w:ascii="Arial" w:eastAsia="Arial Unicode MS" w:hAnsi="Arial" w:cs="Arial"/>
                <w:color w:val="000000"/>
                <w:sz w:val="20"/>
                <w:szCs w:val="20"/>
                <w:lang w:val="en-GB" w:eastAsia="th-TH"/>
              </w:rPr>
              <w:t>217</w:t>
            </w:r>
          </w:p>
        </w:tc>
      </w:tr>
    </w:tbl>
    <w:p w14:paraId="3EE3FEE9" w14:textId="687C8AE1" w:rsidR="002A474F" w:rsidRPr="002D2F67" w:rsidRDefault="002A474F" w:rsidP="00706C8B">
      <w:pPr>
        <w:pStyle w:val="BodyTextIndent2"/>
        <w:spacing w:line="240" w:lineRule="auto"/>
        <w:ind w:left="0"/>
        <w:jc w:val="left"/>
        <w:rPr>
          <w:rFonts w:ascii="Arial" w:hAnsi="Arial" w:cs="Arial"/>
          <w:spacing w:val="-2"/>
          <w:sz w:val="16"/>
          <w:szCs w:val="16"/>
        </w:rPr>
      </w:pPr>
    </w:p>
    <w:p w14:paraId="0785FCDA" w14:textId="1903D60E" w:rsidR="007E4C2B" w:rsidRPr="002D2F67" w:rsidRDefault="007E4C2B" w:rsidP="002D126A">
      <w:pPr>
        <w:pStyle w:val="BodyTextIndent2"/>
        <w:spacing w:line="240" w:lineRule="auto"/>
        <w:ind w:left="0"/>
        <w:jc w:val="left"/>
        <w:rPr>
          <w:rFonts w:ascii="Arial" w:hAnsi="Arial" w:cs="Arial"/>
          <w:spacing w:val="-2"/>
        </w:rPr>
      </w:pPr>
      <w:r w:rsidRPr="002D2F67">
        <w:rPr>
          <w:rFonts w:ascii="Arial" w:hAnsi="Arial" w:cs="Arial"/>
          <w:spacing w:val="-2"/>
        </w:rPr>
        <w:t>The expected credit losses for trade</w:t>
      </w:r>
      <w:r w:rsidR="00064DF0" w:rsidRPr="002D2F67">
        <w:rPr>
          <w:rFonts w:ascii="Arial" w:hAnsi="Arial" w:cs="Arial"/>
          <w:spacing w:val="-2"/>
        </w:rPr>
        <w:t xml:space="preserve"> account</w:t>
      </w:r>
      <w:r w:rsidR="007B7B8B" w:rsidRPr="002D2F67">
        <w:rPr>
          <w:rFonts w:ascii="Arial" w:hAnsi="Arial" w:cs="Arial"/>
          <w:spacing w:val="-2"/>
        </w:rPr>
        <w:t>s</w:t>
      </w:r>
      <w:r w:rsidRPr="002D2F67">
        <w:rPr>
          <w:rFonts w:ascii="Arial" w:hAnsi="Arial" w:cs="Arial"/>
          <w:spacing w:val="-2"/>
        </w:rPr>
        <w:t xml:space="preserve"> receivable</w:t>
      </w:r>
      <w:r w:rsidR="00064DF0" w:rsidRPr="002D2F67">
        <w:rPr>
          <w:rFonts w:ascii="Arial" w:hAnsi="Arial" w:cs="Arial"/>
        </w:rPr>
        <w:t xml:space="preserve"> can be analysed by aging</w:t>
      </w:r>
      <w:r w:rsidR="00FC7042" w:rsidRPr="002D2F67">
        <w:rPr>
          <w:rFonts w:ascii="Arial" w:hAnsi="Arial" w:cs="Arial"/>
        </w:rPr>
        <w:t xml:space="preserve"> of payments</w:t>
      </w:r>
      <w:r w:rsidR="00064DF0" w:rsidRPr="002D2F67">
        <w:rPr>
          <w:rFonts w:ascii="Arial" w:hAnsi="Arial" w:cs="Arial"/>
        </w:rPr>
        <w:t xml:space="preserve"> as follows:</w:t>
      </w:r>
    </w:p>
    <w:p w14:paraId="0B4AF763" w14:textId="77777777" w:rsidR="007E4C2B" w:rsidRPr="002D2F67" w:rsidRDefault="007E4C2B" w:rsidP="002D126A">
      <w:pPr>
        <w:pStyle w:val="BodyTextIndent2"/>
        <w:spacing w:line="240" w:lineRule="auto"/>
        <w:ind w:left="0"/>
        <w:jc w:val="left"/>
        <w:rPr>
          <w:rFonts w:ascii="Arial" w:hAnsi="Arial" w:cs="Arial"/>
          <w:spacing w:val="-2"/>
          <w:sz w:val="16"/>
          <w:szCs w:val="16"/>
        </w:rPr>
      </w:pPr>
    </w:p>
    <w:tbl>
      <w:tblPr>
        <w:tblW w:w="9576" w:type="dxa"/>
        <w:tblInd w:w="5" w:type="dxa"/>
        <w:tblLayout w:type="fixed"/>
        <w:tblLook w:val="04A0" w:firstRow="1" w:lastRow="0" w:firstColumn="1" w:lastColumn="0" w:noHBand="0" w:noVBand="1"/>
      </w:tblPr>
      <w:tblGrid>
        <w:gridCol w:w="2664"/>
        <w:gridCol w:w="1152"/>
        <w:gridCol w:w="1152"/>
        <w:gridCol w:w="1152"/>
        <w:gridCol w:w="1152"/>
        <w:gridCol w:w="1152"/>
        <w:gridCol w:w="1152"/>
      </w:tblGrid>
      <w:tr w:rsidR="00B85D13" w:rsidRPr="002D2F67" w14:paraId="409711EF" w14:textId="77777777" w:rsidTr="002D2F67">
        <w:tc>
          <w:tcPr>
            <w:tcW w:w="2664" w:type="dxa"/>
          </w:tcPr>
          <w:p w14:paraId="21D8D6B7" w14:textId="77777777" w:rsidR="00B85D13" w:rsidRPr="002D2F67" w:rsidRDefault="00B85D13">
            <w:pPr>
              <w:ind w:left="434" w:right="-72" w:firstLine="9"/>
              <w:rPr>
                <w:rFonts w:ascii="Arial" w:eastAsia="Arial" w:hAnsi="Arial" w:cs="Arial"/>
                <w:b/>
                <w:bCs/>
                <w:sz w:val="18"/>
                <w:szCs w:val="18"/>
              </w:rPr>
            </w:pPr>
          </w:p>
        </w:tc>
        <w:tc>
          <w:tcPr>
            <w:tcW w:w="6912" w:type="dxa"/>
            <w:gridSpan w:val="6"/>
            <w:tcBorders>
              <w:bottom w:val="single" w:sz="4" w:space="0" w:color="auto"/>
            </w:tcBorders>
            <w:hideMark/>
          </w:tcPr>
          <w:p w14:paraId="16B1DDCF" w14:textId="6E255AFE" w:rsidR="00B85D13" w:rsidRPr="002D2F67" w:rsidRDefault="001642B3">
            <w:pPr>
              <w:ind w:right="-108"/>
              <w:jc w:val="right"/>
              <w:rPr>
                <w:rFonts w:ascii="Arial" w:eastAsia="Arial" w:hAnsi="Arial" w:cs="Arial"/>
                <w:b/>
                <w:bCs/>
                <w:sz w:val="18"/>
                <w:szCs w:val="18"/>
              </w:rPr>
            </w:pPr>
            <w:r w:rsidRPr="002D2F67">
              <w:rPr>
                <w:rFonts w:ascii="Arial" w:eastAsia="Arial" w:hAnsi="Arial" w:cs="Arial"/>
                <w:b/>
                <w:bCs/>
                <w:sz w:val="18"/>
                <w:szCs w:val="18"/>
              </w:rPr>
              <w:t>Consolidated financial statements</w:t>
            </w:r>
          </w:p>
        </w:tc>
      </w:tr>
      <w:tr w:rsidR="001642B3" w:rsidRPr="002D2F67" w14:paraId="006BFE91" w14:textId="77777777" w:rsidTr="002D2F67">
        <w:trPr>
          <w:trHeight w:val="880"/>
        </w:trPr>
        <w:tc>
          <w:tcPr>
            <w:tcW w:w="2664" w:type="dxa"/>
          </w:tcPr>
          <w:p w14:paraId="7E97DF74" w14:textId="77777777" w:rsidR="00B85D13" w:rsidRPr="002D2F67" w:rsidRDefault="00B85D13">
            <w:pPr>
              <w:ind w:left="434" w:right="-72" w:firstLine="9"/>
              <w:rPr>
                <w:rFonts w:ascii="Arial" w:eastAsia="Arial" w:hAnsi="Arial" w:cs="Arial"/>
                <w:b/>
                <w:bCs/>
                <w:sz w:val="18"/>
                <w:szCs w:val="18"/>
              </w:rPr>
            </w:pPr>
          </w:p>
        </w:tc>
        <w:tc>
          <w:tcPr>
            <w:tcW w:w="1152" w:type="dxa"/>
            <w:tcBorders>
              <w:top w:val="single" w:sz="4" w:space="0" w:color="auto"/>
              <w:bottom w:val="single" w:sz="4" w:space="0" w:color="auto"/>
            </w:tcBorders>
            <w:hideMark/>
          </w:tcPr>
          <w:p w14:paraId="332A5F7B" w14:textId="77777777" w:rsidR="001642B3" w:rsidRPr="002D2F67" w:rsidRDefault="001642B3">
            <w:pPr>
              <w:ind w:left="-197" w:right="-72"/>
              <w:jc w:val="right"/>
              <w:rPr>
                <w:rFonts w:ascii="Arial" w:eastAsia="Arial" w:hAnsi="Arial" w:cs="Arial"/>
                <w:b/>
                <w:bCs/>
                <w:sz w:val="18"/>
                <w:szCs w:val="18"/>
              </w:rPr>
            </w:pPr>
          </w:p>
          <w:p w14:paraId="3FB79C36" w14:textId="77777777" w:rsidR="006D6BE4" w:rsidRPr="002D2F67" w:rsidRDefault="006D6BE4">
            <w:pPr>
              <w:ind w:left="-197" w:right="-72"/>
              <w:jc w:val="right"/>
              <w:rPr>
                <w:rFonts w:ascii="Arial" w:eastAsia="Arial" w:hAnsi="Arial" w:cs="Arial"/>
                <w:b/>
                <w:bCs/>
                <w:sz w:val="18"/>
                <w:szCs w:val="18"/>
              </w:rPr>
            </w:pPr>
          </w:p>
          <w:p w14:paraId="236458FB" w14:textId="7AB5FFFC" w:rsidR="00B85D13" w:rsidRPr="002D2F67" w:rsidRDefault="001642B3">
            <w:pPr>
              <w:ind w:left="-197" w:right="-72"/>
              <w:jc w:val="right"/>
              <w:rPr>
                <w:rFonts w:ascii="Arial" w:eastAsia="Arial" w:hAnsi="Arial" w:cs="Arial"/>
                <w:b/>
                <w:bCs/>
                <w:sz w:val="18"/>
                <w:szCs w:val="18"/>
              </w:rPr>
            </w:pPr>
            <w:r w:rsidRPr="002D2F67">
              <w:rPr>
                <w:rFonts w:ascii="Arial" w:eastAsia="Arial" w:hAnsi="Arial" w:cs="Arial"/>
                <w:b/>
                <w:bCs/>
                <w:sz w:val="18"/>
                <w:szCs w:val="18"/>
              </w:rPr>
              <w:t>Not yet due</w:t>
            </w:r>
          </w:p>
          <w:p w14:paraId="5BB66821" w14:textId="1CAC9759" w:rsidR="00B85D13" w:rsidRPr="002D2F67" w:rsidRDefault="006D6BE4">
            <w:pPr>
              <w:ind w:right="-72"/>
              <w:jc w:val="right"/>
              <w:rPr>
                <w:rFonts w:ascii="Arial" w:eastAsia="Arial" w:hAnsi="Arial" w:cs="Arial"/>
                <w:b/>
                <w:bCs/>
                <w:sz w:val="18"/>
                <w:szCs w:val="18"/>
              </w:rPr>
            </w:pPr>
            <w:r w:rsidRPr="002D2F67">
              <w:rPr>
                <w:rFonts w:ascii="Arial" w:eastAsia="Arial Unicode MS" w:hAnsi="Arial" w:cs="Arial"/>
                <w:b/>
                <w:bCs/>
                <w:snapToGrid w:val="0"/>
                <w:color w:val="000000"/>
                <w:sz w:val="18"/>
                <w:szCs w:val="18"/>
                <w:lang w:eastAsia="th-TH"/>
              </w:rPr>
              <w:t>Baht’</w:t>
            </w:r>
            <w:r w:rsidR="00CD5714" w:rsidRPr="00CD5714">
              <w:rPr>
                <w:rFonts w:ascii="Arial" w:eastAsia="Arial Unicode MS" w:hAnsi="Arial" w:cs="Arial"/>
                <w:b/>
                <w:bCs/>
                <w:snapToGrid w:val="0"/>
                <w:color w:val="000000"/>
                <w:sz w:val="18"/>
                <w:szCs w:val="18"/>
                <w:lang w:val="en-GB" w:eastAsia="th-TH"/>
              </w:rPr>
              <w:t>000</w:t>
            </w:r>
          </w:p>
        </w:tc>
        <w:tc>
          <w:tcPr>
            <w:tcW w:w="1152" w:type="dxa"/>
            <w:tcBorders>
              <w:top w:val="single" w:sz="4" w:space="0" w:color="auto"/>
              <w:bottom w:val="single" w:sz="4" w:space="0" w:color="auto"/>
            </w:tcBorders>
            <w:hideMark/>
          </w:tcPr>
          <w:p w14:paraId="47CFDD15" w14:textId="46D54AA1" w:rsidR="001642B3" w:rsidRPr="002D2F67" w:rsidRDefault="001642B3" w:rsidP="001642B3">
            <w:pPr>
              <w:ind w:right="-72"/>
              <w:jc w:val="right"/>
              <w:rPr>
                <w:rFonts w:ascii="Arial" w:eastAsia="Arial" w:hAnsi="Arial" w:cs="Arial"/>
                <w:b/>
                <w:bCs/>
                <w:sz w:val="18"/>
                <w:szCs w:val="18"/>
              </w:rPr>
            </w:pPr>
            <w:r w:rsidRPr="002D2F67">
              <w:rPr>
                <w:rFonts w:ascii="Arial" w:eastAsia="Arial" w:hAnsi="Arial" w:cs="Arial"/>
                <w:b/>
                <w:bCs/>
                <w:sz w:val="18"/>
                <w:szCs w:val="18"/>
              </w:rPr>
              <w:t xml:space="preserve">Overdue below </w:t>
            </w:r>
            <w:r w:rsidR="00CD5714" w:rsidRPr="00CD5714">
              <w:rPr>
                <w:rFonts w:ascii="Arial" w:eastAsia="Arial" w:hAnsi="Arial" w:cs="Arial"/>
                <w:b/>
                <w:bCs/>
                <w:sz w:val="18"/>
                <w:szCs w:val="18"/>
                <w:lang w:val="en-GB"/>
              </w:rPr>
              <w:t>3</w:t>
            </w:r>
            <w:r w:rsidRPr="002D2F67">
              <w:rPr>
                <w:rFonts w:ascii="Arial" w:eastAsia="Arial" w:hAnsi="Arial" w:cs="Arial"/>
                <w:b/>
                <w:bCs/>
                <w:sz w:val="18"/>
                <w:szCs w:val="18"/>
              </w:rPr>
              <w:t xml:space="preserve"> months</w:t>
            </w:r>
            <w:r w:rsidR="00B85D13" w:rsidRPr="002D2F67">
              <w:rPr>
                <w:rFonts w:ascii="Arial" w:eastAsia="Arial" w:hAnsi="Arial" w:cs="Arial"/>
                <w:b/>
                <w:bCs/>
                <w:sz w:val="18"/>
                <w:szCs w:val="18"/>
                <w:cs/>
              </w:rPr>
              <w:t xml:space="preserve"> </w:t>
            </w:r>
          </w:p>
          <w:p w14:paraId="41FF4423" w14:textId="3C660719" w:rsidR="00B85D13" w:rsidRPr="002D2F67" w:rsidRDefault="006D6BE4" w:rsidP="001642B3">
            <w:pPr>
              <w:ind w:right="-72"/>
              <w:jc w:val="right"/>
              <w:rPr>
                <w:rFonts w:ascii="Arial" w:eastAsia="Arial" w:hAnsi="Arial" w:cs="Arial"/>
                <w:b/>
                <w:bCs/>
                <w:sz w:val="18"/>
                <w:szCs w:val="18"/>
              </w:rPr>
            </w:pPr>
            <w:r w:rsidRPr="002D2F67">
              <w:rPr>
                <w:rFonts w:ascii="Arial" w:eastAsia="Arial Unicode MS" w:hAnsi="Arial" w:cs="Arial"/>
                <w:b/>
                <w:bCs/>
                <w:snapToGrid w:val="0"/>
                <w:color w:val="000000"/>
                <w:sz w:val="18"/>
                <w:szCs w:val="18"/>
                <w:lang w:eastAsia="th-TH"/>
              </w:rPr>
              <w:t>Baht’</w:t>
            </w:r>
            <w:r w:rsidR="00CD5714" w:rsidRPr="00CD5714">
              <w:rPr>
                <w:rFonts w:ascii="Arial" w:eastAsia="Arial Unicode MS" w:hAnsi="Arial" w:cs="Arial"/>
                <w:b/>
                <w:bCs/>
                <w:snapToGrid w:val="0"/>
                <w:color w:val="000000"/>
                <w:sz w:val="18"/>
                <w:szCs w:val="18"/>
                <w:lang w:val="en-GB" w:eastAsia="th-TH"/>
              </w:rPr>
              <w:t>000</w:t>
            </w:r>
          </w:p>
        </w:tc>
        <w:tc>
          <w:tcPr>
            <w:tcW w:w="1152" w:type="dxa"/>
            <w:tcBorders>
              <w:top w:val="single" w:sz="4" w:space="0" w:color="auto"/>
              <w:bottom w:val="single" w:sz="4" w:space="0" w:color="auto"/>
            </w:tcBorders>
            <w:hideMark/>
          </w:tcPr>
          <w:p w14:paraId="6FE6181C" w14:textId="77777777" w:rsidR="001642B3" w:rsidRPr="002D2F67" w:rsidRDefault="001642B3">
            <w:pPr>
              <w:ind w:right="-72"/>
              <w:jc w:val="right"/>
              <w:rPr>
                <w:rFonts w:ascii="Arial" w:eastAsia="Arial" w:hAnsi="Arial" w:cs="Arial"/>
                <w:b/>
                <w:bCs/>
                <w:sz w:val="18"/>
                <w:szCs w:val="18"/>
              </w:rPr>
            </w:pPr>
            <w:r w:rsidRPr="002D2F67">
              <w:rPr>
                <w:rFonts w:ascii="Arial" w:eastAsia="Arial" w:hAnsi="Arial" w:cs="Arial"/>
                <w:b/>
                <w:bCs/>
                <w:sz w:val="18"/>
                <w:szCs w:val="18"/>
              </w:rPr>
              <w:t xml:space="preserve">Overdue </w:t>
            </w:r>
          </w:p>
          <w:p w14:paraId="2463840F" w14:textId="2938D4E0" w:rsidR="00B85D13" w:rsidRPr="002D2F67" w:rsidRDefault="00CD5714">
            <w:pPr>
              <w:ind w:right="-72"/>
              <w:jc w:val="right"/>
              <w:rPr>
                <w:rFonts w:ascii="Arial" w:eastAsia="Arial" w:hAnsi="Arial" w:cs="Arial"/>
                <w:b/>
                <w:bCs/>
                <w:sz w:val="18"/>
                <w:szCs w:val="18"/>
              </w:rPr>
            </w:pPr>
            <w:r w:rsidRPr="00CD5714">
              <w:rPr>
                <w:rFonts w:ascii="Arial" w:eastAsia="Arial" w:hAnsi="Arial" w:cs="Arial"/>
                <w:b/>
                <w:bCs/>
                <w:sz w:val="18"/>
                <w:szCs w:val="18"/>
                <w:lang w:val="en-GB"/>
              </w:rPr>
              <w:t>3</w:t>
            </w:r>
            <w:r w:rsidR="001642B3" w:rsidRPr="002D2F67">
              <w:rPr>
                <w:rFonts w:ascii="Arial" w:eastAsia="Arial" w:hAnsi="Arial" w:cs="Arial"/>
                <w:b/>
                <w:bCs/>
                <w:sz w:val="18"/>
                <w:szCs w:val="18"/>
              </w:rPr>
              <w:t xml:space="preserve"> -</w:t>
            </w:r>
            <w:r w:rsidRPr="00CD5714">
              <w:rPr>
                <w:rFonts w:ascii="Arial" w:eastAsia="Arial" w:hAnsi="Arial" w:cs="Arial"/>
                <w:b/>
                <w:bCs/>
                <w:sz w:val="18"/>
                <w:szCs w:val="18"/>
                <w:lang w:val="en-GB"/>
              </w:rPr>
              <w:t>6</w:t>
            </w:r>
            <w:r w:rsidR="001642B3" w:rsidRPr="002D2F67">
              <w:rPr>
                <w:rFonts w:ascii="Arial" w:eastAsia="Arial" w:hAnsi="Arial" w:cs="Arial"/>
                <w:b/>
                <w:bCs/>
                <w:sz w:val="18"/>
                <w:szCs w:val="18"/>
              </w:rPr>
              <w:t xml:space="preserve"> months</w:t>
            </w:r>
            <w:r w:rsidR="00B85D13" w:rsidRPr="002D2F67">
              <w:rPr>
                <w:rFonts w:ascii="Arial" w:eastAsia="Arial" w:hAnsi="Arial" w:cs="Arial"/>
                <w:b/>
                <w:bCs/>
                <w:sz w:val="18"/>
                <w:szCs w:val="18"/>
              </w:rPr>
              <w:t xml:space="preserve"> </w:t>
            </w:r>
            <w:r w:rsidR="006D6BE4" w:rsidRPr="002D2F67">
              <w:rPr>
                <w:rFonts w:ascii="Arial" w:eastAsia="Arial Unicode MS" w:hAnsi="Arial" w:cs="Arial"/>
                <w:b/>
                <w:bCs/>
                <w:snapToGrid w:val="0"/>
                <w:color w:val="000000"/>
                <w:sz w:val="18"/>
                <w:szCs w:val="18"/>
                <w:lang w:eastAsia="th-TH"/>
              </w:rPr>
              <w:t>Baht’</w:t>
            </w:r>
            <w:r w:rsidRPr="00CD5714">
              <w:rPr>
                <w:rFonts w:ascii="Arial" w:eastAsia="Arial Unicode MS" w:hAnsi="Arial" w:cs="Arial"/>
                <w:b/>
                <w:bCs/>
                <w:snapToGrid w:val="0"/>
                <w:color w:val="000000"/>
                <w:sz w:val="18"/>
                <w:szCs w:val="18"/>
                <w:lang w:val="en-GB" w:eastAsia="th-TH"/>
              </w:rPr>
              <w:t>000</w:t>
            </w:r>
          </w:p>
        </w:tc>
        <w:tc>
          <w:tcPr>
            <w:tcW w:w="1152" w:type="dxa"/>
            <w:tcBorders>
              <w:top w:val="single" w:sz="4" w:space="0" w:color="auto"/>
              <w:bottom w:val="single" w:sz="4" w:space="0" w:color="auto"/>
            </w:tcBorders>
            <w:hideMark/>
          </w:tcPr>
          <w:p w14:paraId="3D75EBDD" w14:textId="77777777" w:rsidR="001642B3" w:rsidRPr="002D2F67" w:rsidRDefault="001642B3">
            <w:pPr>
              <w:ind w:right="-72"/>
              <w:jc w:val="right"/>
              <w:rPr>
                <w:rFonts w:ascii="Arial" w:eastAsia="Arial" w:hAnsi="Arial" w:cs="Arial"/>
                <w:b/>
                <w:bCs/>
                <w:sz w:val="18"/>
                <w:szCs w:val="18"/>
              </w:rPr>
            </w:pPr>
            <w:r w:rsidRPr="002D2F67">
              <w:rPr>
                <w:rFonts w:ascii="Arial" w:eastAsia="Arial" w:hAnsi="Arial" w:cs="Arial"/>
                <w:b/>
                <w:bCs/>
                <w:sz w:val="18"/>
                <w:szCs w:val="18"/>
              </w:rPr>
              <w:t xml:space="preserve">Overdue </w:t>
            </w:r>
          </w:p>
          <w:p w14:paraId="322BB537" w14:textId="5BA0520A" w:rsidR="00B85D13" w:rsidRPr="002D2F67" w:rsidRDefault="00CD5714">
            <w:pPr>
              <w:ind w:right="-72"/>
              <w:jc w:val="right"/>
              <w:rPr>
                <w:rFonts w:ascii="Arial" w:eastAsia="Arial" w:hAnsi="Arial" w:cs="Arial"/>
                <w:b/>
                <w:bCs/>
                <w:sz w:val="18"/>
                <w:szCs w:val="18"/>
              </w:rPr>
            </w:pPr>
            <w:r w:rsidRPr="00CD5714">
              <w:rPr>
                <w:rFonts w:ascii="Arial" w:eastAsia="Arial" w:hAnsi="Arial" w:cs="Arial"/>
                <w:b/>
                <w:bCs/>
                <w:sz w:val="18"/>
                <w:szCs w:val="18"/>
                <w:lang w:val="en-GB"/>
              </w:rPr>
              <w:t>6</w:t>
            </w:r>
            <w:r w:rsidR="001642B3" w:rsidRPr="002D2F67">
              <w:rPr>
                <w:rFonts w:ascii="Arial" w:eastAsia="Arial" w:hAnsi="Arial" w:cs="Arial"/>
                <w:b/>
                <w:bCs/>
                <w:sz w:val="18"/>
                <w:szCs w:val="18"/>
              </w:rPr>
              <w:t xml:space="preserve"> </w:t>
            </w:r>
            <w:r w:rsidR="002D2F67" w:rsidRPr="002D2F67">
              <w:rPr>
                <w:rFonts w:ascii="Arial" w:eastAsia="Arial" w:hAnsi="Arial" w:cs="Arial"/>
                <w:b/>
                <w:bCs/>
                <w:sz w:val="18"/>
                <w:szCs w:val="18"/>
              </w:rPr>
              <w:t>-</w:t>
            </w:r>
            <w:r w:rsidR="001642B3" w:rsidRPr="002D2F67">
              <w:rPr>
                <w:rFonts w:ascii="Arial" w:eastAsia="Arial" w:hAnsi="Arial" w:cs="Arial"/>
                <w:b/>
                <w:bCs/>
                <w:sz w:val="18"/>
                <w:szCs w:val="18"/>
              </w:rPr>
              <w:t xml:space="preserve"> </w:t>
            </w:r>
            <w:r w:rsidRPr="00CD5714">
              <w:rPr>
                <w:rFonts w:ascii="Arial" w:eastAsia="Arial" w:hAnsi="Arial" w:cs="Arial"/>
                <w:b/>
                <w:bCs/>
                <w:sz w:val="18"/>
                <w:szCs w:val="18"/>
                <w:lang w:val="en-GB"/>
              </w:rPr>
              <w:t>12</w:t>
            </w:r>
            <w:r w:rsidR="001642B3" w:rsidRPr="002D2F67">
              <w:rPr>
                <w:rFonts w:ascii="Arial" w:eastAsia="Arial" w:hAnsi="Arial" w:cs="Arial"/>
                <w:b/>
                <w:bCs/>
                <w:sz w:val="18"/>
                <w:szCs w:val="18"/>
              </w:rPr>
              <w:t xml:space="preserve"> months</w:t>
            </w:r>
            <w:r w:rsidR="00B85D13" w:rsidRPr="002D2F67">
              <w:rPr>
                <w:rFonts w:ascii="Arial" w:eastAsia="Arial" w:hAnsi="Arial" w:cs="Arial"/>
                <w:b/>
                <w:bCs/>
                <w:sz w:val="18"/>
                <w:szCs w:val="18"/>
              </w:rPr>
              <w:t xml:space="preserve"> </w:t>
            </w:r>
            <w:r w:rsidR="006D6BE4" w:rsidRPr="002D2F67">
              <w:rPr>
                <w:rFonts w:ascii="Arial" w:eastAsia="Arial Unicode MS" w:hAnsi="Arial" w:cs="Arial"/>
                <w:b/>
                <w:bCs/>
                <w:snapToGrid w:val="0"/>
                <w:color w:val="000000"/>
                <w:sz w:val="18"/>
                <w:szCs w:val="18"/>
                <w:lang w:eastAsia="th-TH"/>
              </w:rPr>
              <w:t>Baht’</w:t>
            </w:r>
            <w:r w:rsidRPr="00CD5714">
              <w:rPr>
                <w:rFonts w:ascii="Arial" w:eastAsia="Arial Unicode MS" w:hAnsi="Arial" w:cs="Arial"/>
                <w:b/>
                <w:bCs/>
                <w:snapToGrid w:val="0"/>
                <w:color w:val="000000"/>
                <w:sz w:val="18"/>
                <w:szCs w:val="18"/>
                <w:lang w:val="en-GB" w:eastAsia="th-TH"/>
              </w:rPr>
              <w:t>000</w:t>
            </w:r>
          </w:p>
        </w:tc>
        <w:tc>
          <w:tcPr>
            <w:tcW w:w="1152" w:type="dxa"/>
            <w:tcBorders>
              <w:top w:val="single" w:sz="4" w:space="0" w:color="auto"/>
              <w:bottom w:val="single" w:sz="4" w:space="0" w:color="auto"/>
            </w:tcBorders>
            <w:hideMark/>
          </w:tcPr>
          <w:p w14:paraId="4343AF3A" w14:textId="72B6E106" w:rsidR="00B85D13" w:rsidRPr="002D2F67" w:rsidRDefault="001642B3">
            <w:pPr>
              <w:ind w:right="-72"/>
              <w:jc w:val="right"/>
              <w:rPr>
                <w:rFonts w:ascii="Arial" w:eastAsia="Arial" w:hAnsi="Arial" w:cs="Arial"/>
                <w:b/>
                <w:bCs/>
                <w:sz w:val="18"/>
                <w:szCs w:val="18"/>
              </w:rPr>
            </w:pPr>
            <w:r w:rsidRPr="002D2F67">
              <w:rPr>
                <w:rFonts w:ascii="Arial" w:eastAsia="Arial" w:hAnsi="Arial" w:cs="Arial"/>
                <w:b/>
                <w:bCs/>
                <w:sz w:val="18"/>
                <w:szCs w:val="18"/>
              </w:rPr>
              <w:t xml:space="preserve">Overdue more than </w:t>
            </w:r>
            <w:r w:rsidR="00CD5714" w:rsidRPr="00CD5714">
              <w:rPr>
                <w:rFonts w:ascii="Arial" w:eastAsia="Arial" w:hAnsi="Arial" w:cs="Arial"/>
                <w:b/>
                <w:bCs/>
                <w:sz w:val="18"/>
                <w:szCs w:val="18"/>
                <w:lang w:val="en-GB"/>
              </w:rPr>
              <w:t>12</w:t>
            </w:r>
            <w:r w:rsidR="006D6BE4" w:rsidRPr="002D2F67">
              <w:rPr>
                <w:rFonts w:ascii="Arial" w:eastAsia="Arial" w:hAnsi="Arial" w:cs="Arial"/>
                <w:b/>
                <w:bCs/>
                <w:sz w:val="18"/>
                <w:szCs w:val="18"/>
              </w:rPr>
              <w:t xml:space="preserve"> </w:t>
            </w:r>
            <w:r w:rsidRPr="002D2F67">
              <w:rPr>
                <w:rFonts w:ascii="Arial" w:eastAsia="Arial" w:hAnsi="Arial" w:cs="Arial"/>
                <w:b/>
                <w:bCs/>
                <w:sz w:val="18"/>
                <w:szCs w:val="18"/>
              </w:rPr>
              <w:t>months</w:t>
            </w:r>
          </w:p>
          <w:p w14:paraId="16A60E07" w14:textId="6BBBBAC7" w:rsidR="00B85D13" w:rsidRPr="002D2F67" w:rsidRDefault="006D6BE4">
            <w:pPr>
              <w:ind w:right="-72"/>
              <w:jc w:val="right"/>
              <w:rPr>
                <w:rFonts w:ascii="Arial" w:eastAsia="Arial" w:hAnsi="Arial" w:cs="Arial"/>
                <w:b/>
                <w:bCs/>
                <w:sz w:val="18"/>
                <w:szCs w:val="18"/>
              </w:rPr>
            </w:pPr>
            <w:r w:rsidRPr="002D2F67">
              <w:rPr>
                <w:rFonts w:ascii="Arial" w:eastAsia="Arial Unicode MS" w:hAnsi="Arial" w:cs="Arial"/>
                <w:b/>
                <w:bCs/>
                <w:snapToGrid w:val="0"/>
                <w:color w:val="000000"/>
                <w:sz w:val="18"/>
                <w:szCs w:val="18"/>
                <w:lang w:eastAsia="th-TH"/>
              </w:rPr>
              <w:t>Baht’</w:t>
            </w:r>
            <w:r w:rsidR="00CD5714" w:rsidRPr="00CD5714">
              <w:rPr>
                <w:rFonts w:ascii="Arial" w:eastAsia="Arial Unicode MS" w:hAnsi="Arial" w:cs="Arial"/>
                <w:b/>
                <w:bCs/>
                <w:snapToGrid w:val="0"/>
                <w:color w:val="000000"/>
                <w:sz w:val="18"/>
                <w:szCs w:val="18"/>
                <w:lang w:val="en-GB" w:eastAsia="th-TH"/>
              </w:rPr>
              <w:t>000</w:t>
            </w:r>
          </w:p>
        </w:tc>
        <w:tc>
          <w:tcPr>
            <w:tcW w:w="1152" w:type="dxa"/>
            <w:tcBorders>
              <w:top w:val="single" w:sz="4" w:space="0" w:color="auto"/>
              <w:bottom w:val="single" w:sz="4" w:space="0" w:color="auto"/>
            </w:tcBorders>
            <w:hideMark/>
          </w:tcPr>
          <w:p w14:paraId="5E77F1C6" w14:textId="77777777" w:rsidR="006D6BE4" w:rsidRPr="002D2F67" w:rsidRDefault="006D6BE4">
            <w:pPr>
              <w:ind w:right="-72"/>
              <w:jc w:val="right"/>
              <w:rPr>
                <w:rFonts w:ascii="Arial" w:eastAsia="Arial" w:hAnsi="Arial" w:cs="Arial"/>
                <w:b/>
                <w:bCs/>
                <w:sz w:val="18"/>
                <w:szCs w:val="18"/>
              </w:rPr>
            </w:pPr>
          </w:p>
          <w:p w14:paraId="2D885525" w14:textId="77777777" w:rsidR="00FF418C" w:rsidRPr="002D2F67" w:rsidRDefault="00FF418C">
            <w:pPr>
              <w:ind w:right="-72"/>
              <w:jc w:val="right"/>
              <w:rPr>
                <w:rFonts w:ascii="Arial" w:eastAsia="Arial" w:hAnsi="Arial" w:cs="Arial"/>
                <w:b/>
                <w:bCs/>
                <w:sz w:val="18"/>
                <w:szCs w:val="18"/>
              </w:rPr>
            </w:pPr>
          </w:p>
          <w:p w14:paraId="4DDE5CFE" w14:textId="7FD51B61" w:rsidR="00B85D13" w:rsidRPr="002D2F67" w:rsidRDefault="001642B3">
            <w:pPr>
              <w:ind w:right="-72"/>
              <w:jc w:val="right"/>
              <w:rPr>
                <w:rFonts w:ascii="Arial" w:eastAsia="Arial" w:hAnsi="Arial" w:cs="Arial"/>
                <w:b/>
                <w:bCs/>
                <w:sz w:val="18"/>
                <w:szCs w:val="18"/>
              </w:rPr>
            </w:pPr>
            <w:r w:rsidRPr="002D2F67">
              <w:rPr>
                <w:rFonts w:ascii="Arial" w:eastAsia="Arial" w:hAnsi="Arial" w:cs="Arial"/>
                <w:b/>
                <w:bCs/>
                <w:sz w:val="18"/>
                <w:szCs w:val="18"/>
              </w:rPr>
              <w:t>Total</w:t>
            </w:r>
          </w:p>
          <w:p w14:paraId="66A26E3D" w14:textId="702AAEF2" w:rsidR="00B85D13" w:rsidRPr="002D2F67" w:rsidRDefault="006D6BE4">
            <w:pPr>
              <w:ind w:right="-72"/>
              <w:jc w:val="right"/>
              <w:rPr>
                <w:rFonts w:ascii="Arial" w:eastAsia="Arial" w:hAnsi="Arial" w:cs="Arial"/>
                <w:b/>
                <w:bCs/>
                <w:sz w:val="18"/>
                <w:szCs w:val="18"/>
              </w:rPr>
            </w:pPr>
            <w:r w:rsidRPr="002D2F67">
              <w:rPr>
                <w:rFonts w:ascii="Arial" w:eastAsia="Arial Unicode MS" w:hAnsi="Arial" w:cs="Arial"/>
                <w:b/>
                <w:bCs/>
                <w:snapToGrid w:val="0"/>
                <w:color w:val="000000"/>
                <w:sz w:val="18"/>
                <w:szCs w:val="18"/>
                <w:lang w:eastAsia="th-TH"/>
              </w:rPr>
              <w:t>Baht’</w:t>
            </w:r>
            <w:r w:rsidR="00CD5714" w:rsidRPr="00CD5714">
              <w:rPr>
                <w:rFonts w:ascii="Arial" w:eastAsia="Arial Unicode MS" w:hAnsi="Arial" w:cs="Arial"/>
                <w:b/>
                <w:bCs/>
                <w:snapToGrid w:val="0"/>
                <w:color w:val="000000"/>
                <w:sz w:val="18"/>
                <w:szCs w:val="18"/>
                <w:lang w:val="en-GB" w:eastAsia="th-TH"/>
              </w:rPr>
              <w:t>000</w:t>
            </w:r>
          </w:p>
        </w:tc>
      </w:tr>
      <w:tr w:rsidR="006D6BE4" w:rsidRPr="002D2F67" w14:paraId="4C17C6C1" w14:textId="77777777" w:rsidTr="002D2F67">
        <w:tc>
          <w:tcPr>
            <w:tcW w:w="2664" w:type="dxa"/>
          </w:tcPr>
          <w:p w14:paraId="4A11C370" w14:textId="77777777" w:rsidR="00B85D13" w:rsidRPr="002D2F67" w:rsidRDefault="00B85D13" w:rsidP="009C165E">
            <w:pPr>
              <w:ind w:right="-72" w:firstLine="9"/>
              <w:rPr>
                <w:rFonts w:ascii="Arial" w:eastAsia="Arial" w:hAnsi="Arial" w:cs="Arial"/>
                <w:sz w:val="18"/>
                <w:szCs w:val="18"/>
              </w:rPr>
            </w:pPr>
          </w:p>
        </w:tc>
        <w:tc>
          <w:tcPr>
            <w:tcW w:w="1152" w:type="dxa"/>
            <w:tcBorders>
              <w:top w:val="single" w:sz="4" w:space="0" w:color="auto"/>
            </w:tcBorders>
          </w:tcPr>
          <w:p w14:paraId="26837376" w14:textId="77777777" w:rsidR="00B85D13" w:rsidRPr="002D2F67" w:rsidRDefault="00B85D13">
            <w:pPr>
              <w:ind w:right="-72"/>
              <w:rPr>
                <w:rFonts w:ascii="Arial" w:eastAsia="Arial" w:hAnsi="Arial" w:cs="Arial"/>
                <w:sz w:val="18"/>
                <w:szCs w:val="18"/>
              </w:rPr>
            </w:pPr>
          </w:p>
        </w:tc>
        <w:tc>
          <w:tcPr>
            <w:tcW w:w="1152" w:type="dxa"/>
            <w:tcBorders>
              <w:top w:val="single" w:sz="4" w:space="0" w:color="auto"/>
            </w:tcBorders>
          </w:tcPr>
          <w:p w14:paraId="1BF137A8" w14:textId="77777777" w:rsidR="00B85D13" w:rsidRPr="002D2F67" w:rsidRDefault="00B85D13">
            <w:pPr>
              <w:ind w:right="-72"/>
              <w:jc w:val="right"/>
              <w:rPr>
                <w:rFonts w:ascii="Arial" w:eastAsia="Arial" w:hAnsi="Arial" w:cs="Arial"/>
                <w:sz w:val="18"/>
                <w:szCs w:val="18"/>
              </w:rPr>
            </w:pPr>
          </w:p>
        </w:tc>
        <w:tc>
          <w:tcPr>
            <w:tcW w:w="1152" w:type="dxa"/>
            <w:tcBorders>
              <w:top w:val="single" w:sz="4" w:space="0" w:color="auto"/>
            </w:tcBorders>
          </w:tcPr>
          <w:p w14:paraId="0FF0EDF1" w14:textId="77777777" w:rsidR="00B85D13" w:rsidRPr="002D2F67" w:rsidRDefault="00B85D13">
            <w:pPr>
              <w:ind w:right="-72"/>
              <w:jc w:val="right"/>
              <w:rPr>
                <w:rFonts w:ascii="Arial" w:eastAsia="Arial" w:hAnsi="Arial" w:cs="Arial"/>
                <w:sz w:val="18"/>
                <w:szCs w:val="18"/>
              </w:rPr>
            </w:pPr>
          </w:p>
        </w:tc>
        <w:tc>
          <w:tcPr>
            <w:tcW w:w="1152" w:type="dxa"/>
            <w:tcBorders>
              <w:top w:val="single" w:sz="4" w:space="0" w:color="auto"/>
            </w:tcBorders>
          </w:tcPr>
          <w:p w14:paraId="28E4FC16" w14:textId="77777777" w:rsidR="00B85D13" w:rsidRPr="002D2F67" w:rsidRDefault="00B85D13">
            <w:pPr>
              <w:ind w:right="-72"/>
              <w:jc w:val="right"/>
              <w:rPr>
                <w:rFonts w:ascii="Arial" w:eastAsia="Arial" w:hAnsi="Arial" w:cs="Arial"/>
                <w:sz w:val="18"/>
                <w:szCs w:val="18"/>
              </w:rPr>
            </w:pPr>
          </w:p>
        </w:tc>
        <w:tc>
          <w:tcPr>
            <w:tcW w:w="1152" w:type="dxa"/>
            <w:tcBorders>
              <w:top w:val="single" w:sz="4" w:space="0" w:color="auto"/>
            </w:tcBorders>
          </w:tcPr>
          <w:p w14:paraId="73A7A10B" w14:textId="77777777" w:rsidR="00B85D13" w:rsidRPr="002D2F67" w:rsidRDefault="00B85D13">
            <w:pPr>
              <w:ind w:right="-72"/>
              <w:jc w:val="right"/>
              <w:rPr>
                <w:rFonts w:ascii="Arial" w:eastAsia="Arial" w:hAnsi="Arial" w:cs="Arial"/>
                <w:sz w:val="18"/>
                <w:szCs w:val="18"/>
              </w:rPr>
            </w:pPr>
          </w:p>
        </w:tc>
        <w:tc>
          <w:tcPr>
            <w:tcW w:w="1152" w:type="dxa"/>
            <w:tcBorders>
              <w:top w:val="single" w:sz="4" w:space="0" w:color="auto"/>
            </w:tcBorders>
          </w:tcPr>
          <w:p w14:paraId="00DA2706" w14:textId="77777777" w:rsidR="00B85D13" w:rsidRPr="002D2F67" w:rsidRDefault="00B85D13">
            <w:pPr>
              <w:ind w:right="-72"/>
              <w:jc w:val="right"/>
              <w:rPr>
                <w:rFonts w:ascii="Arial" w:eastAsia="Arial" w:hAnsi="Arial" w:cs="Arial"/>
                <w:sz w:val="18"/>
                <w:szCs w:val="18"/>
              </w:rPr>
            </w:pPr>
          </w:p>
        </w:tc>
      </w:tr>
      <w:tr w:rsidR="006D6BE4" w:rsidRPr="002D2F67" w14:paraId="46E8EBCB" w14:textId="77777777" w:rsidTr="002D2F67">
        <w:tc>
          <w:tcPr>
            <w:tcW w:w="2664" w:type="dxa"/>
          </w:tcPr>
          <w:p w14:paraId="4730AF15" w14:textId="24775E5A" w:rsidR="00B85D13" w:rsidRPr="002D2F67" w:rsidRDefault="00DA4D36" w:rsidP="009C165E">
            <w:pPr>
              <w:ind w:right="-72" w:firstLine="9"/>
              <w:rPr>
                <w:rFonts w:ascii="Arial" w:eastAsia="Arial" w:hAnsi="Arial" w:cs="Arial"/>
                <w:b/>
                <w:bCs/>
                <w:spacing w:val="-6"/>
                <w:sz w:val="18"/>
                <w:szCs w:val="18"/>
                <w:cs/>
              </w:rPr>
            </w:pPr>
            <w:r w:rsidRPr="002D2F67">
              <w:rPr>
                <w:rFonts w:ascii="Arial" w:eastAsia="Arial" w:hAnsi="Arial" w:cs="Arial"/>
                <w:b/>
                <w:bCs/>
                <w:spacing w:val="-6"/>
                <w:sz w:val="18"/>
                <w:szCs w:val="18"/>
              </w:rPr>
              <w:t xml:space="preserve">As </w:t>
            </w:r>
            <w:proofErr w:type="gramStart"/>
            <w:r w:rsidRPr="002D2F67">
              <w:rPr>
                <w:rFonts w:ascii="Arial" w:eastAsia="Arial" w:hAnsi="Arial" w:cs="Arial"/>
                <w:b/>
                <w:bCs/>
                <w:spacing w:val="-6"/>
                <w:sz w:val="18"/>
                <w:szCs w:val="18"/>
              </w:rPr>
              <w:t>at</w:t>
            </w:r>
            <w:proofErr w:type="gramEnd"/>
            <w:r w:rsidRPr="002D2F67">
              <w:rPr>
                <w:rFonts w:ascii="Arial" w:eastAsia="Arial" w:hAnsi="Arial" w:cs="Arial"/>
                <w:b/>
                <w:bCs/>
                <w:spacing w:val="-6"/>
                <w:sz w:val="18"/>
                <w:szCs w:val="18"/>
              </w:rPr>
              <w:t xml:space="preserve"> </w:t>
            </w:r>
            <w:r w:rsidR="00CD5714" w:rsidRPr="00CD5714">
              <w:rPr>
                <w:rFonts w:ascii="Arial" w:eastAsia="Arial" w:hAnsi="Arial" w:cs="Arial"/>
                <w:b/>
                <w:bCs/>
                <w:spacing w:val="-6"/>
                <w:sz w:val="18"/>
                <w:szCs w:val="18"/>
                <w:lang w:val="en-GB"/>
              </w:rPr>
              <w:t>31</w:t>
            </w:r>
            <w:r w:rsidR="008F1E25" w:rsidRPr="002D2F67">
              <w:rPr>
                <w:rFonts w:ascii="Arial" w:eastAsia="Arial" w:hAnsi="Arial" w:cs="Arial"/>
                <w:b/>
                <w:bCs/>
                <w:spacing w:val="-6"/>
                <w:sz w:val="18"/>
                <w:szCs w:val="18"/>
              </w:rPr>
              <w:t xml:space="preserve"> December </w:t>
            </w:r>
            <w:r w:rsidR="00CD5714" w:rsidRPr="00CD5714">
              <w:rPr>
                <w:rFonts w:ascii="Arial" w:eastAsia="Arial" w:hAnsi="Arial" w:cs="Arial"/>
                <w:b/>
                <w:bCs/>
                <w:spacing w:val="-6"/>
                <w:sz w:val="18"/>
                <w:szCs w:val="18"/>
                <w:lang w:val="en-GB"/>
              </w:rPr>
              <w:t>2024</w:t>
            </w:r>
          </w:p>
        </w:tc>
        <w:tc>
          <w:tcPr>
            <w:tcW w:w="1152" w:type="dxa"/>
          </w:tcPr>
          <w:p w14:paraId="31B99D2F" w14:textId="77777777" w:rsidR="00B85D13" w:rsidRPr="002D2F67" w:rsidRDefault="00B85D13">
            <w:pPr>
              <w:ind w:right="-72"/>
              <w:jc w:val="right"/>
              <w:rPr>
                <w:rFonts w:ascii="Arial" w:eastAsia="Arial" w:hAnsi="Arial" w:cs="Arial"/>
                <w:sz w:val="18"/>
                <w:szCs w:val="18"/>
              </w:rPr>
            </w:pPr>
          </w:p>
        </w:tc>
        <w:tc>
          <w:tcPr>
            <w:tcW w:w="1152" w:type="dxa"/>
          </w:tcPr>
          <w:p w14:paraId="38CFE4C6" w14:textId="77777777" w:rsidR="00B85D13" w:rsidRPr="002D2F67" w:rsidRDefault="00B85D13">
            <w:pPr>
              <w:ind w:right="-72"/>
              <w:jc w:val="right"/>
              <w:rPr>
                <w:rFonts w:ascii="Arial" w:eastAsia="Arial" w:hAnsi="Arial" w:cs="Arial"/>
                <w:sz w:val="18"/>
                <w:szCs w:val="18"/>
              </w:rPr>
            </w:pPr>
          </w:p>
        </w:tc>
        <w:tc>
          <w:tcPr>
            <w:tcW w:w="1152" w:type="dxa"/>
          </w:tcPr>
          <w:p w14:paraId="1A884B76" w14:textId="77777777" w:rsidR="00B85D13" w:rsidRPr="002D2F67" w:rsidRDefault="00B85D13">
            <w:pPr>
              <w:ind w:right="-72"/>
              <w:jc w:val="right"/>
              <w:rPr>
                <w:rFonts w:ascii="Arial" w:eastAsia="Arial" w:hAnsi="Arial" w:cs="Arial"/>
                <w:sz w:val="18"/>
                <w:szCs w:val="18"/>
              </w:rPr>
            </w:pPr>
          </w:p>
        </w:tc>
        <w:tc>
          <w:tcPr>
            <w:tcW w:w="1152" w:type="dxa"/>
          </w:tcPr>
          <w:p w14:paraId="79C3A4F0" w14:textId="77777777" w:rsidR="00B85D13" w:rsidRPr="002D2F67" w:rsidRDefault="00B85D13">
            <w:pPr>
              <w:ind w:right="-72"/>
              <w:jc w:val="right"/>
              <w:rPr>
                <w:rFonts w:ascii="Arial" w:eastAsia="Arial" w:hAnsi="Arial" w:cs="Arial"/>
                <w:sz w:val="18"/>
                <w:szCs w:val="18"/>
              </w:rPr>
            </w:pPr>
          </w:p>
        </w:tc>
        <w:tc>
          <w:tcPr>
            <w:tcW w:w="1152" w:type="dxa"/>
          </w:tcPr>
          <w:p w14:paraId="619B786E" w14:textId="77777777" w:rsidR="00B85D13" w:rsidRPr="002D2F67" w:rsidRDefault="00B85D13">
            <w:pPr>
              <w:ind w:right="-72"/>
              <w:jc w:val="right"/>
              <w:rPr>
                <w:rFonts w:ascii="Arial" w:eastAsia="Arial" w:hAnsi="Arial" w:cs="Arial"/>
                <w:sz w:val="18"/>
                <w:szCs w:val="18"/>
              </w:rPr>
            </w:pPr>
          </w:p>
        </w:tc>
        <w:tc>
          <w:tcPr>
            <w:tcW w:w="1152" w:type="dxa"/>
          </w:tcPr>
          <w:p w14:paraId="24680DDF" w14:textId="77777777" w:rsidR="00B85D13" w:rsidRPr="002D2F67" w:rsidRDefault="00B85D13">
            <w:pPr>
              <w:ind w:right="-72"/>
              <w:jc w:val="right"/>
              <w:rPr>
                <w:rFonts w:ascii="Arial" w:eastAsia="Arial" w:hAnsi="Arial" w:cs="Arial"/>
                <w:sz w:val="18"/>
                <w:szCs w:val="18"/>
              </w:rPr>
            </w:pPr>
          </w:p>
        </w:tc>
      </w:tr>
      <w:tr w:rsidR="006D6BE4" w:rsidRPr="002D2F67" w14:paraId="54180540" w14:textId="77777777" w:rsidTr="002D2F67">
        <w:tc>
          <w:tcPr>
            <w:tcW w:w="2664" w:type="dxa"/>
            <w:hideMark/>
          </w:tcPr>
          <w:p w14:paraId="70AAA508" w14:textId="6791F731" w:rsidR="00B85D13" w:rsidRPr="002D2F67" w:rsidRDefault="005C3F79" w:rsidP="009C165E">
            <w:pPr>
              <w:ind w:right="-72" w:firstLine="9"/>
              <w:rPr>
                <w:rFonts w:ascii="Arial" w:eastAsia="Arial" w:hAnsi="Arial" w:cs="Arial"/>
                <w:sz w:val="18"/>
                <w:szCs w:val="18"/>
              </w:rPr>
            </w:pPr>
            <w:r w:rsidRPr="002D2F67">
              <w:rPr>
                <w:rFonts w:ascii="Arial" w:eastAsia="Arial" w:hAnsi="Arial" w:cs="Arial"/>
                <w:sz w:val="18"/>
                <w:szCs w:val="18"/>
              </w:rPr>
              <w:t>Trade receivable</w:t>
            </w:r>
          </w:p>
        </w:tc>
        <w:tc>
          <w:tcPr>
            <w:tcW w:w="1152" w:type="dxa"/>
          </w:tcPr>
          <w:p w14:paraId="5D8A1F63" w14:textId="77777777" w:rsidR="00B85D13" w:rsidRPr="002D2F67" w:rsidRDefault="00B85D13">
            <w:pPr>
              <w:ind w:right="-72"/>
              <w:jc w:val="right"/>
              <w:rPr>
                <w:rFonts w:ascii="Arial" w:eastAsia="Arial" w:hAnsi="Arial" w:cs="Arial"/>
                <w:sz w:val="18"/>
                <w:szCs w:val="18"/>
              </w:rPr>
            </w:pPr>
          </w:p>
        </w:tc>
        <w:tc>
          <w:tcPr>
            <w:tcW w:w="1152" w:type="dxa"/>
          </w:tcPr>
          <w:p w14:paraId="16E2FFFE" w14:textId="77777777" w:rsidR="00B85D13" w:rsidRPr="002D2F67" w:rsidRDefault="00B85D13">
            <w:pPr>
              <w:ind w:right="-72"/>
              <w:jc w:val="right"/>
              <w:rPr>
                <w:rFonts w:ascii="Arial" w:eastAsia="Arial" w:hAnsi="Arial" w:cs="Arial"/>
                <w:sz w:val="18"/>
                <w:szCs w:val="18"/>
              </w:rPr>
            </w:pPr>
          </w:p>
        </w:tc>
        <w:tc>
          <w:tcPr>
            <w:tcW w:w="1152" w:type="dxa"/>
          </w:tcPr>
          <w:p w14:paraId="1D8383C0" w14:textId="77777777" w:rsidR="00B85D13" w:rsidRPr="002D2F67" w:rsidRDefault="00B85D13">
            <w:pPr>
              <w:ind w:right="-72"/>
              <w:jc w:val="right"/>
              <w:rPr>
                <w:rFonts w:ascii="Arial" w:eastAsia="Arial" w:hAnsi="Arial" w:cs="Arial"/>
                <w:sz w:val="18"/>
                <w:szCs w:val="18"/>
              </w:rPr>
            </w:pPr>
          </w:p>
        </w:tc>
        <w:tc>
          <w:tcPr>
            <w:tcW w:w="1152" w:type="dxa"/>
          </w:tcPr>
          <w:p w14:paraId="5962135F" w14:textId="77777777" w:rsidR="00B85D13" w:rsidRPr="002D2F67" w:rsidRDefault="00B85D13">
            <w:pPr>
              <w:ind w:right="-72"/>
              <w:jc w:val="right"/>
              <w:rPr>
                <w:rFonts w:ascii="Arial" w:eastAsia="Arial" w:hAnsi="Arial" w:cs="Arial"/>
                <w:sz w:val="18"/>
                <w:szCs w:val="18"/>
              </w:rPr>
            </w:pPr>
          </w:p>
        </w:tc>
        <w:tc>
          <w:tcPr>
            <w:tcW w:w="1152" w:type="dxa"/>
          </w:tcPr>
          <w:p w14:paraId="228E0D50" w14:textId="77777777" w:rsidR="00B85D13" w:rsidRPr="002D2F67" w:rsidRDefault="00B85D13">
            <w:pPr>
              <w:ind w:right="-72"/>
              <w:jc w:val="right"/>
              <w:rPr>
                <w:rFonts w:ascii="Arial" w:eastAsia="Arial" w:hAnsi="Arial" w:cs="Arial"/>
                <w:sz w:val="18"/>
                <w:szCs w:val="18"/>
              </w:rPr>
            </w:pPr>
          </w:p>
        </w:tc>
        <w:tc>
          <w:tcPr>
            <w:tcW w:w="1152" w:type="dxa"/>
          </w:tcPr>
          <w:p w14:paraId="3EA17BD2" w14:textId="77777777" w:rsidR="00B85D13" w:rsidRPr="002D2F67" w:rsidRDefault="00B85D13">
            <w:pPr>
              <w:ind w:right="-72"/>
              <w:jc w:val="right"/>
              <w:rPr>
                <w:rFonts w:ascii="Arial" w:eastAsia="Arial" w:hAnsi="Arial" w:cs="Arial"/>
                <w:sz w:val="18"/>
                <w:szCs w:val="18"/>
              </w:rPr>
            </w:pPr>
          </w:p>
        </w:tc>
      </w:tr>
      <w:tr w:rsidR="00095777" w:rsidRPr="002D2F67" w14:paraId="381E5177" w14:textId="77777777" w:rsidTr="002D2F67">
        <w:tc>
          <w:tcPr>
            <w:tcW w:w="2664" w:type="dxa"/>
          </w:tcPr>
          <w:p w14:paraId="388E398C" w14:textId="3805B4A2" w:rsidR="00095777" w:rsidRPr="002D2F67" w:rsidRDefault="00095777" w:rsidP="00095777">
            <w:pPr>
              <w:ind w:right="-72" w:firstLine="9"/>
              <w:rPr>
                <w:rFonts w:ascii="Arial" w:eastAsia="Arial" w:hAnsi="Arial" w:cs="Arial"/>
                <w:sz w:val="18"/>
                <w:szCs w:val="18"/>
                <w:cs/>
              </w:rPr>
            </w:pPr>
            <w:r w:rsidRPr="002D2F67">
              <w:rPr>
                <w:rFonts w:ascii="Arial" w:eastAsia="Arial" w:hAnsi="Arial" w:cs="Arial"/>
                <w:sz w:val="18"/>
                <w:szCs w:val="18"/>
                <w:cs/>
              </w:rPr>
              <w:t xml:space="preserve">- </w:t>
            </w:r>
            <w:r w:rsidRPr="002D2F67">
              <w:rPr>
                <w:rFonts w:ascii="Arial" w:eastAsia="Arial" w:hAnsi="Arial" w:cs="Arial"/>
                <w:sz w:val="18"/>
                <w:szCs w:val="18"/>
              </w:rPr>
              <w:t xml:space="preserve"> Other party</w:t>
            </w:r>
          </w:p>
        </w:tc>
        <w:tc>
          <w:tcPr>
            <w:tcW w:w="1152" w:type="dxa"/>
          </w:tcPr>
          <w:p w14:paraId="43428CC5" w14:textId="15873EAC" w:rsidR="00095777" w:rsidRPr="002D2F67" w:rsidRDefault="00095777" w:rsidP="00095777">
            <w:pPr>
              <w:ind w:right="-72"/>
              <w:jc w:val="right"/>
              <w:rPr>
                <w:rFonts w:ascii="Arial" w:eastAsia="Arial" w:hAnsi="Arial" w:cs="Arial"/>
                <w:sz w:val="18"/>
                <w:szCs w:val="18"/>
              </w:rPr>
            </w:pPr>
            <w:r w:rsidRPr="002D2F67">
              <w:rPr>
                <w:rFonts w:ascii="Arial" w:hAnsi="Arial" w:cs="Arial"/>
                <w:sz w:val="18"/>
                <w:szCs w:val="18"/>
              </w:rPr>
              <w:t>(</w:t>
            </w:r>
            <w:r w:rsidR="00CD5714" w:rsidRPr="00CD5714">
              <w:rPr>
                <w:rFonts w:ascii="Arial" w:hAnsi="Arial" w:cs="Arial"/>
                <w:sz w:val="18"/>
                <w:szCs w:val="18"/>
                <w:lang w:val="en-GB"/>
              </w:rPr>
              <w:t>38</w:t>
            </w:r>
            <w:r w:rsidRPr="002D2F67">
              <w:rPr>
                <w:rFonts w:ascii="Arial" w:hAnsi="Arial" w:cs="Arial"/>
                <w:sz w:val="18"/>
                <w:szCs w:val="18"/>
              </w:rPr>
              <w:t>,</w:t>
            </w:r>
            <w:r w:rsidR="00CD5714" w:rsidRPr="00CD5714">
              <w:rPr>
                <w:rFonts w:ascii="Arial" w:hAnsi="Arial" w:cs="Arial"/>
                <w:sz w:val="18"/>
                <w:szCs w:val="18"/>
                <w:lang w:val="en-GB"/>
              </w:rPr>
              <w:t>521</w:t>
            </w:r>
            <w:r w:rsidRPr="002D2F67">
              <w:rPr>
                <w:rFonts w:ascii="Arial" w:hAnsi="Arial" w:cs="Arial"/>
                <w:sz w:val="18"/>
                <w:szCs w:val="18"/>
              </w:rPr>
              <w:t>)</w:t>
            </w:r>
          </w:p>
        </w:tc>
        <w:tc>
          <w:tcPr>
            <w:tcW w:w="1152" w:type="dxa"/>
          </w:tcPr>
          <w:p w14:paraId="6B1F4465" w14:textId="0B5A7091" w:rsidR="00095777" w:rsidRPr="002D2F67" w:rsidRDefault="00095777" w:rsidP="00095777">
            <w:pPr>
              <w:ind w:right="-72"/>
              <w:jc w:val="right"/>
              <w:rPr>
                <w:rFonts w:ascii="Arial" w:hAnsi="Arial" w:cs="Arial"/>
                <w:sz w:val="18"/>
                <w:szCs w:val="18"/>
              </w:rPr>
            </w:pPr>
            <w:r w:rsidRPr="002D2F67">
              <w:rPr>
                <w:rFonts w:ascii="Arial" w:hAnsi="Arial" w:cs="Arial"/>
                <w:sz w:val="18"/>
                <w:szCs w:val="18"/>
              </w:rPr>
              <w:t>(</w:t>
            </w:r>
            <w:r w:rsidR="00CD5714" w:rsidRPr="00CD5714">
              <w:rPr>
                <w:rFonts w:ascii="Arial" w:hAnsi="Arial" w:cs="Arial"/>
                <w:sz w:val="18"/>
                <w:szCs w:val="18"/>
                <w:lang w:val="en-GB"/>
              </w:rPr>
              <w:t>43</w:t>
            </w:r>
            <w:r w:rsidRPr="002D2F67">
              <w:rPr>
                <w:rFonts w:ascii="Arial" w:hAnsi="Arial" w:cs="Arial"/>
                <w:sz w:val="18"/>
                <w:szCs w:val="18"/>
              </w:rPr>
              <w:t>,</w:t>
            </w:r>
            <w:r w:rsidR="00CD5714" w:rsidRPr="00CD5714">
              <w:rPr>
                <w:rFonts w:ascii="Arial" w:hAnsi="Arial" w:cs="Arial"/>
                <w:sz w:val="18"/>
                <w:szCs w:val="18"/>
                <w:lang w:val="en-GB"/>
              </w:rPr>
              <w:t>143</w:t>
            </w:r>
            <w:r w:rsidRPr="002D2F67">
              <w:rPr>
                <w:rFonts w:ascii="Arial" w:hAnsi="Arial" w:cs="Arial"/>
                <w:sz w:val="18"/>
                <w:szCs w:val="18"/>
              </w:rPr>
              <w:t>)</w:t>
            </w:r>
          </w:p>
        </w:tc>
        <w:tc>
          <w:tcPr>
            <w:tcW w:w="1152" w:type="dxa"/>
          </w:tcPr>
          <w:p w14:paraId="298FC6F0" w14:textId="31FD1C2F" w:rsidR="00095777" w:rsidRPr="002D2F67" w:rsidRDefault="00095777" w:rsidP="00095777">
            <w:pPr>
              <w:ind w:right="-72"/>
              <w:jc w:val="right"/>
              <w:rPr>
                <w:rFonts w:ascii="Arial" w:hAnsi="Arial" w:cs="Arial"/>
                <w:sz w:val="18"/>
                <w:szCs w:val="18"/>
              </w:rPr>
            </w:pPr>
            <w:r w:rsidRPr="002D2F67">
              <w:rPr>
                <w:rFonts w:ascii="Arial" w:hAnsi="Arial" w:cs="Arial"/>
                <w:sz w:val="18"/>
                <w:szCs w:val="18"/>
              </w:rPr>
              <w:t>(</w:t>
            </w:r>
            <w:r w:rsidR="00CD5714" w:rsidRPr="00CD5714">
              <w:rPr>
                <w:rFonts w:ascii="Arial" w:hAnsi="Arial" w:cs="Arial"/>
                <w:sz w:val="18"/>
                <w:szCs w:val="18"/>
                <w:lang w:val="en-GB"/>
              </w:rPr>
              <w:t>26</w:t>
            </w:r>
            <w:r w:rsidRPr="002D2F67">
              <w:rPr>
                <w:rFonts w:ascii="Arial" w:hAnsi="Arial" w:cs="Arial"/>
                <w:sz w:val="18"/>
                <w:szCs w:val="18"/>
              </w:rPr>
              <w:t>,</w:t>
            </w:r>
            <w:r w:rsidR="00CD5714" w:rsidRPr="00CD5714">
              <w:rPr>
                <w:rFonts w:ascii="Arial" w:hAnsi="Arial" w:cs="Arial"/>
                <w:sz w:val="18"/>
                <w:szCs w:val="18"/>
                <w:lang w:val="en-GB"/>
              </w:rPr>
              <w:t>482</w:t>
            </w:r>
            <w:r w:rsidRPr="002D2F67">
              <w:rPr>
                <w:rFonts w:ascii="Arial" w:hAnsi="Arial" w:cs="Arial"/>
                <w:sz w:val="18"/>
                <w:szCs w:val="18"/>
              </w:rPr>
              <w:t>)</w:t>
            </w:r>
          </w:p>
        </w:tc>
        <w:tc>
          <w:tcPr>
            <w:tcW w:w="1152" w:type="dxa"/>
          </w:tcPr>
          <w:p w14:paraId="0BCF9C90" w14:textId="4892BF50" w:rsidR="00095777" w:rsidRPr="002D2F67" w:rsidRDefault="00095777" w:rsidP="00095777">
            <w:pPr>
              <w:ind w:right="-72"/>
              <w:jc w:val="right"/>
              <w:rPr>
                <w:rFonts w:ascii="Arial" w:hAnsi="Arial" w:cs="Arial"/>
                <w:sz w:val="18"/>
                <w:szCs w:val="18"/>
              </w:rPr>
            </w:pPr>
            <w:r w:rsidRPr="002D2F67">
              <w:rPr>
                <w:rFonts w:ascii="Arial" w:hAnsi="Arial" w:cs="Arial"/>
                <w:sz w:val="18"/>
                <w:szCs w:val="18"/>
              </w:rPr>
              <w:t>(</w:t>
            </w:r>
            <w:r w:rsidR="00CD5714" w:rsidRPr="00CD5714">
              <w:rPr>
                <w:rFonts w:ascii="Arial" w:hAnsi="Arial" w:cs="Arial"/>
                <w:sz w:val="18"/>
                <w:szCs w:val="18"/>
                <w:lang w:val="en-GB"/>
              </w:rPr>
              <w:t>124</w:t>
            </w:r>
            <w:r w:rsidRPr="002D2F67">
              <w:rPr>
                <w:rFonts w:ascii="Arial" w:hAnsi="Arial" w:cs="Arial"/>
                <w:sz w:val="18"/>
                <w:szCs w:val="18"/>
              </w:rPr>
              <w:t>,</w:t>
            </w:r>
            <w:r w:rsidR="00CD5714" w:rsidRPr="00CD5714">
              <w:rPr>
                <w:rFonts w:ascii="Arial" w:hAnsi="Arial" w:cs="Arial"/>
                <w:sz w:val="18"/>
                <w:szCs w:val="18"/>
                <w:lang w:val="en-GB"/>
              </w:rPr>
              <w:t>922</w:t>
            </w:r>
            <w:r w:rsidRPr="002D2F67">
              <w:rPr>
                <w:rFonts w:ascii="Arial" w:hAnsi="Arial" w:cs="Arial"/>
                <w:sz w:val="18"/>
                <w:szCs w:val="18"/>
              </w:rPr>
              <w:t>)</w:t>
            </w:r>
          </w:p>
        </w:tc>
        <w:tc>
          <w:tcPr>
            <w:tcW w:w="1152" w:type="dxa"/>
          </w:tcPr>
          <w:p w14:paraId="36B5FCB5" w14:textId="7078EFF8" w:rsidR="00095777" w:rsidRPr="002D2F67" w:rsidRDefault="00095777" w:rsidP="00095777">
            <w:pPr>
              <w:ind w:right="-72"/>
              <w:jc w:val="right"/>
              <w:rPr>
                <w:rFonts w:ascii="Arial" w:hAnsi="Arial" w:cs="Arial"/>
                <w:sz w:val="18"/>
                <w:szCs w:val="18"/>
              </w:rPr>
            </w:pPr>
            <w:r w:rsidRPr="002D2F67">
              <w:rPr>
                <w:rFonts w:ascii="Arial" w:hAnsi="Arial" w:cs="Arial"/>
                <w:sz w:val="18"/>
                <w:szCs w:val="18"/>
              </w:rPr>
              <w:t>(</w:t>
            </w:r>
            <w:r w:rsidR="00CD5714" w:rsidRPr="00CD5714">
              <w:rPr>
                <w:rFonts w:ascii="Arial" w:hAnsi="Arial" w:cs="Arial"/>
                <w:sz w:val="18"/>
                <w:szCs w:val="18"/>
                <w:lang w:val="en-GB"/>
              </w:rPr>
              <w:t>3</w:t>
            </w:r>
            <w:r w:rsidRPr="002D2F67">
              <w:rPr>
                <w:rFonts w:ascii="Arial" w:hAnsi="Arial" w:cs="Arial"/>
                <w:sz w:val="18"/>
                <w:szCs w:val="18"/>
              </w:rPr>
              <w:t>,</w:t>
            </w:r>
            <w:r w:rsidR="00CD5714" w:rsidRPr="00CD5714">
              <w:rPr>
                <w:rFonts w:ascii="Arial" w:hAnsi="Arial" w:cs="Arial"/>
                <w:sz w:val="18"/>
                <w:szCs w:val="18"/>
                <w:lang w:val="en-GB"/>
              </w:rPr>
              <w:t>701</w:t>
            </w:r>
            <w:r w:rsidRPr="002D2F67">
              <w:rPr>
                <w:rFonts w:ascii="Arial" w:hAnsi="Arial" w:cs="Arial"/>
                <w:sz w:val="18"/>
                <w:szCs w:val="18"/>
              </w:rPr>
              <w:t>)</w:t>
            </w:r>
          </w:p>
        </w:tc>
        <w:tc>
          <w:tcPr>
            <w:tcW w:w="1152" w:type="dxa"/>
          </w:tcPr>
          <w:p w14:paraId="7EAC6EA9" w14:textId="74067DAD" w:rsidR="00095777" w:rsidRPr="002D2F67" w:rsidRDefault="00095777" w:rsidP="00095777">
            <w:pPr>
              <w:ind w:right="-72"/>
              <w:jc w:val="right"/>
              <w:rPr>
                <w:rFonts w:ascii="Arial" w:hAnsi="Arial" w:cs="Arial"/>
                <w:sz w:val="18"/>
                <w:szCs w:val="18"/>
              </w:rPr>
            </w:pPr>
            <w:r w:rsidRPr="002D2F67">
              <w:rPr>
                <w:rFonts w:ascii="Arial" w:hAnsi="Arial" w:cs="Arial"/>
                <w:sz w:val="18"/>
                <w:szCs w:val="18"/>
              </w:rPr>
              <w:t>(</w:t>
            </w:r>
            <w:r w:rsidR="00CD5714" w:rsidRPr="00CD5714">
              <w:rPr>
                <w:rFonts w:ascii="Arial" w:hAnsi="Arial" w:cs="Arial"/>
                <w:sz w:val="18"/>
                <w:szCs w:val="18"/>
                <w:lang w:val="en-GB"/>
              </w:rPr>
              <w:t>236</w:t>
            </w:r>
            <w:r w:rsidRPr="002D2F67">
              <w:rPr>
                <w:rFonts w:ascii="Arial" w:hAnsi="Arial" w:cs="Arial"/>
                <w:sz w:val="18"/>
                <w:szCs w:val="18"/>
              </w:rPr>
              <w:t>,</w:t>
            </w:r>
            <w:r w:rsidR="00CD5714" w:rsidRPr="00CD5714">
              <w:rPr>
                <w:rFonts w:ascii="Arial" w:hAnsi="Arial" w:cs="Arial"/>
                <w:sz w:val="18"/>
                <w:szCs w:val="18"/>
                <w:lang w:val="en-GB"/>
              </w:rPr>
              <w:t>769</w:t>
            </w:r>
            <w:r w:rsidRPr="002D2F67">
              <w:rPr>
                <w:rFonts w:ascii="Arial" w:hAnsi="Arial" w:cs="Arial"/>
                <w:sz w:val="18"/>
                <w:szCs w:val="18"/>
              </w:rPr>
              <w:t>)</w:t>
            </w:r>
          </w:p>
        </w:tc>
      </w:tr>
      <w:tr w:rsidR="006D6BE4" w:rsidRPr="002D2F67" w14:paraId="7347EC4E" w14:textId="77777777" w:rsidTr="002D2F67">
        <w:tc>
          <w:tcPr>
            <w:tcW w:w="2664" w:type="dxa"/>
          </w:tcPr>
          <w:p w14:paraId="7E2816AC" w14:textId="4DF286B9" w:rsidR="00B85D13" w:rsidRPr="002D2F67" w:rsidRDefault="00B85D13" w:rsidP="009C165E">
            <w:pPr>
              <w:ind w:right="-72" w:firstLine="9"/>
              <w:rPr>
                <w:rFonts w:ascii="Arial" w:eastAsia="Arial" w:hAnsi="Arial" w:cs="Arial"/>
                <w:sz w:val="18"/>
                <w:szCs w:val="18"/>
                <w:cs/>
              </w:rPr>
            </w:pPr>
            <w:r w:rsidRPr="002D2F67">
              <w:rPr>
                <w:rFonts w:ascii="Arial" w:eastAsia="Arial" w:hAnsi="Arial" w:cs="Arial"/>
                <w:sz w:val="18"/>
                <w:szCs w:val="18"/>
                <w:cs/>
              </w:rPr>
              <w:t xml:space="preserve">- </w:t>
            </w:r>
            <w:r w:rsidRPr="002D2F67">
              <w:rPr>
                <w:rFonts w:ascii="Arial" w:eastAsia="Arial" w:hAnsi="Arial" w:cs="Arial"/>
                <w:sz w:val="18"/>
                <w:szCs w:val="18"/>
              </w:rPr>
              <w:t xml:space="preserve"> </w:t>
            </w:r>
            <w:r w:rsidR="00894118" w:rsidRPr="002D2F67">
              <w:rPr>
                <w:rFonts w:ascii="Arial" w:eastAsia="Arial" w:hAnsi="Arial" w:cs="Arial"/>
                <w:sz w:val="18"/>
                <w:szCs w:val="18"/>
              </w:rPr>
              <w:t>Related</w:t>
            </w:r>
            <w:r w:rsidR="008F1E25" w:rsidRPr="002D2F67">
              <w:rPr>
                <w:rFonts w:ascii="Arial" w:eastAsia="Arial" w:hAnsi="Arial" w:cs="Arial"/>
                <w:sz w:val="18"/>
                <w:szCs w:val="18"/>
              </w:rPr>
              <w:t xml:space="preserve"> part</w:t>
            </w:r>
            <w:r w:rsidR="0038043B" w:rsidRPr="002D2F67">
              <w:rPr>
                <w:rFonts w:ascii="Arial" w:eastAsia="Arial" w:hAnsi="Arial" w:cs="Arial"/>
                <w:sz w:val="18"/>
                <w:szCs w:val="18"/>
              </w:rPr>
              <w:t>y</w:t>
            </w:r>
          </w:p>
        </w:tc>
        <w:tc>
          <w:tcPr>
            <w:tcW w:w="1152" w:type="dxa"/>
          </w:tcPr>
          <w:p w14:paraId="62FAB985" w14:textId="556D3DF5" w:rsidR="00B85D13" w:rsidRPr="002D2F67" w:rsidRDefault="00894118">
            <w:pPr>
              <w:ind w:right="-72"/>
              <w:jc w:val="right"/>
              <w:rPr>
                <w:rFonts w:ascii="Arial" w:eastAsia="Arial" w:hAnsi="Arial" w:cs="Arial"/>
                <w:sz w:val="18"/>
                <w:szCs w:val="18"/>
              </w:rPr>
            </w:pPr>
            <w:r w:rsidRPr="002D2F67">
              <w:rPr>
                <w:rFonts w:ascii="Arial" w:hAnsi="Arial" w:cs="Arial"/>
                <w:sz w:val="18"/>
                <w:szCs w:val="18"/>
              </w:rPr>
              <w:t>(</w:t>
            </w:r>
            <w:r w:rsidR="00CD5714" w:rsidRPr="00CD5714">
              <w:rPr>
                <w:rFonts w:ascii="Arial" w:hAnsi="Arial" w:cs="Arial"/>
                <w:sz w:val="18"/>
                <w:szCs w:val="18"/>
                <w:lang w:val="en-GB"/>
              </w:rPr>
              <w:t>1</w:t>
            </w:r>
            <w:r w:rsidRPr="002D2F67">
              <w:rPr>
                <w:rFonts w:ascii="Arial" w:hAnsi="Arial" w:cs="Arial"/>
                <w:sz w:val="18"/>
                <w:szCs w:val="18"/>
              </w:rPr>
              <w:t>,</w:t>
            </w:r>
            <w:r w:rsidR="00CD5714" w:rsidRPr="00CD5714">
              <w:rPr>
                <w:rFonts w:ascii="Arial" w:hAnsi="Arial" w:cs="Arial"/>
                <w:sz w:val="18"/>
                <w:szCs w:val="18"/>
                <w:lang w:val="en-GB"/>
              </w:rPr>
              <w:t>565</w:t>
            </w:r>
            <w:r w:rsidRPr="002D2F67">
              <w:rPr>
                <w:rFonts w:ascii="Arial" w:hAnsi="Arial" w:cs="Arial"/>
                <w:sz w:val="18"/>
                <w:szCs w:val="18"/>
              </w:rPr>
              <w:t>)</w:t>
            </w:r>
          </w:p>
        </w:tc>
        <w:tc>
          <w:tcPr>
            <w:tcW w:w="1152" w:type="dxa"/>
          </w:tcPr>
          <w:p w14:paraId="47AC1907" w14:textId="1D68C411" w:rsidR="00B85D13" w:rsidRPr="002D2F67" w:rsidRDefault="00894118">
            <w:pPr>
              <w:ind w:right="-72"/>
              <w:jc w:val="right"/>
              <w:rPr>
                <w:rFonts w:ascii="Arial" w:eastAsia="Arial" w:hAnsi="Arial" w:cs="Arial"/>
                <w:sz w:val="18"/>
                <w:szCs w:val="18"/>
              </w:rPr>
            </w:pPr>
            <w:r w:rsidRPr="002D2F67">
              <w:rPr>
                <w:rFonts w:ascii="Arial" w:hAnsi="Arial" w:cs="Arial"/>
                <w:sz w:val="18"/>
                <w:szCs w:val="18"/>
              </w:rPr>
              <w:t>(</w:t>
            </w:r>
            <w:r w:rsidR="00CD5714" w:rsidRPr="00CD5714">
              <w:rPr>
                <w:rFonts w:ascii="Arial" w:hAnsi="Arial" w:cs="Arial"/>
                <w:sz w:val="18"/>
                <w:szCs w:val="18"/>
                <w:lang w:val="en-GB"/>
              </w:rPr>
              <w:t>1</w:t>
            </w:r>
            <w:r w:rsidRPr="002D2F67">
              <w:rPr>
                <w:rFonts w:ascii="Arial" w:hAnsi="Arial" w:cs="Arial"/>
                <w:sz w:val="18"/>
                <w:szCs w:val="18"/>
              </w:rPr>
              <w:t>,</w:t>
            </w:r>
            <w:r w:rsidR="00CD5714" w:rsidRPr="00CD5714">
              <w:rPr>
                <w:rFonts w:ascii="Arial" w:hAnsi="Arial" w:cs="Arial"/>
                <w:sz w:val="18"/>
                <w:szCs w:val="18"/>
                <w:lang w:val="en-GB"/>
              </w:rPr>
              <w:t>513</w:t>
            </w:r>
            <w:r w:rsidRPr="002D2F67">
              <w:rPr>
                <w:rFonts w:ascii="Arial" w:hAnsi="Arial" w:cs="Arial"/>
                <w:sz w:val="18"/>
                <w:szCs w:val="18"/>
              </w:rPr>
              <w:t>)</w:t>
            </w:r>
          </w:p>
        </w:tc>
        <w:tc>
          <w:tcPr>
            <w:tcW w:w="1152" w:type="dxa"/>
          </w:tcPr>
          <w:p w14:paraId="30490918" w14:textId="64C50DD9" w:rsidR="00B85D13" w:rsidRPr="002D2F67" w:rsidRDefault="00894118">
            <w:pPr>
              <w:ind w:right="-72"/>
              <w:jc w:val="right"/>
              <w:rPr>
                <w:rFonts w:ascii="Arial" w:eastAsia="Arial" w:hAnsi="Arial" w:cs="Arial"/>
                <w:sz w:val="18"/>
                <w:szCs w:val="18"/>
              </w:rPr>
            </w:pPr>
            <w:r w:rsidRPr="002D2F67">
              <w:rPr>
                <w:rFonts w:ascii="Arial" w:hAnsi="Arial" w:cs="Arial"/>
                <w:sz w:val="18"/>
                <w:szCs w:val="18"/>
              </w:rPr>
              <w:t>(</w:t>
            </w:r>
            <w:r w:rsidR="00CD5714" w:rsidRPr="00CD5714">
              <w:rPr>
                <w:rFonts w:ascii="Arial" w:hAnsi="Arial" w:cs="Arial"/>
                <w:sz w:val="18"/>
                <w:szCs w:val="18"/>
                <w:lang w:val="en-GB"/>
              </w:rPr>
              <w:t>33</w:t>
            </w:r>
            <w:r w:rsidRPr="002D2F67">
              <w:rPr>
                <w:rFonts w:ascii="Arial" w:hAnsi="Arial" w:cs="Arial"/>
                <w:sz w:val="18"/>
                <w:szCs w:val="18"/>
              </w:rPr>
              <w:t>,</w:t>
            </w:r>
            <w:r w:rsidR="00CD5714" w:rsidRPr="00CD5714">
              <w:rPr>
                <w:rFonts w:ascii="Arial" w:hAnsi="Arial" w:cs="Arial"/>
                <w:sz w:val="18"/>
                <w:szCs w:val="18"/>
                <w:lang w:val="en-GB"/>
              </w:rPr>
              <w:t>905</w:t>
            </w:r>
            <w:r w:rsidRPr="002D2F67">
              <w:rPr>
                <w:rFonts w:ascii="Arial" w:hAnsi="Arial" w:cs="Arial"/>
                <w:sz w:val="18"/>
                <w:szCs w:val="18"/>
              </w:rPr>
              <w:t>)</w:t>
            </w:r>
          </w:p>
        </w:tc>
        <w:tc>
          <w:tcPr>
            <w:tcW w:w="1152" w:type="dxa"/>
          </w:tcPr>
          <w:p w14:paraId="7CEEB89A" w14:textId="0BDF8630" w:rsidR="00B85D13" w:rsidRPr="002D2F67" w:rsidRDefault="00894118">
            <w:pPr>
              <w:ind w:right="-72"/>
              <w:jc w:val="right"/>
              <w:rPr>
                <w:rFonts w:ascii="Arial" w:eastAsia="Arial" w:hAnsi="Arial" w:cs="Arial"/>
                <w:sz w:val="18"/>
                <w:szCs w:val="18"/>
              </w:rPr>
            </w:pPr>
            <w:r w:rsidRPr="002D2F67">
              <w:rPr>
                <w:rFonts w:ascii="Arial" w:hAnsi="Arial" w:cs="Arial"/>
                <w:sz w:val="18"/>
                <w:szCs w:val="18"/>
              </w:rPr>
              <w:t>(</w:t>
            </w:r>
            <w:r w:rsidR="00CD5714" w:rsidRPr="00CD5714">
              <w:rPr>
                <w:rFonts w:ascii="Arial" w:hAnsi="Arial" w:cs="Arial"/>
                <w:sz w:val="18"/>
                <w:szCs w:val="18"/>
                <w:lang w:val="en-GB"/>
              </w:rPr>
              <w:t>601</w:t>
            </w:r>
            <w:r w:rsidRPr="002D2F67">
              <w:rPr>
                <w:rFonts w:ascii="Arial" w:hAnsi="Arial" w:cs="Arial"/>
                <w:sz w:val="18"/>
                <w:szCs w:val="18"/>
              </w:rPr>
              <w:t>,</w:t>
            </w:r>
            <w:r w:rsidR="00CD5714" w:rsidRPr="00CD5714">
              <w:rPr>
                <w:rFonts w:ascii="Arial" w:hAnsi="Arial" w:cs="Arial"/>
                <w:sz w:val="18"/>
                <w:szCs w:val="18"/>
                <w:lang w:val="en-GB"/>
              </w:rPr>
              <w:t>256</w:t>
            </w:r>
            <w:r w:rsidRPr="002D2F67">
              <w:rPr>
                <w:rFonts w:ascii="Arial" w:hAnsi="Arial" w:cs="Arial"/>
                <w:sz w:val="18"/>
                <w:szCs w:val="18"/>
              </w:rPr>
              <w:t>)</w:t>
            </w:r>
          </w:p>
        </w:tc>
        <w:tc>
          <w:tcPr>
            <w:tcW w:w="1152" w:type="dxa"/>
          </w:tcPr>
          <w:p w14:paraId="6D2CF8CF" w14:textId="65B4692C" w:rsidR="00B85D13" w:rsidRPr="002D2F67" w:rsidRDefault="00894118">
            <w:pPr>
              <w:ind w:right="-72"/>
              <w:jc w:val="right"/>
              <w:rPr>
                <w:rFonts w:ascii="Arial" w:eastAsia="Arial" w:hAnsi="Arial" w:cs="Arial"/>
                <w:sz w:val="18"/>
                <w:szCs w:val="18"/>
              </w:rPr>
            </w:pPr>
            <w:r w:rsidRPr="002D2F67">
              <w:rPr>
                <w:rFonts w:ascii="Arial" w:hAnsi="Arial" w:cs="Arial"/>
                <w:sz w:val="18"/>
                <w:szCs w:val="18"/>
              </w:rPr>
              <w:t>(</w:t>
            </w:r>
            <w:r w:rsidR="00CD5714" w:rsidRPr="00CD5714">
              <w:rPr>
                <w:rFonts w:ascii="Arial" w:hAnsi="Arial" w:cs="Arial"/>
                <w:sz w:val="18"/>
                <w:szCs w:val="18"/>
                <w:lang w:val="en-GB"/>
              </w:rPr>
              <w:t>677</w:t>
            </w:r>
            <w:r w:rsidRPr="002D2F67">
              <w:rPr>
                <w:rFonts w:ascii="Arial" w:hAnsi="Arial" w:cs="Arial"/>
                <w:sz w:val="18"/>
                <w:szCs w:val="18"/>
              </w:rPr>
              <w:t>,</w:t>
            </w:r>
            <w:r w:rsidR="00CD5714" w:rsidRPr="00CD5714">
              <w:rPr>
                <w:rFonts w:ascii="Arial" w:hAnsi="Arial" w:cs="Arial"/>
                <w:sz w:val="18"/>
                <w:szCs w:val="18"/>
                <w:lang w:val="en-GB"/>
              </w:rPr>
              <w:t>168</w:t>
            </w:r>
            <w:r w:rsidRPr="002D2F67">
              <w:rPr>
                <w:rFonts w:ascii="Arial" w:hAnsi="Arial" w:cs="Arial"/>
                <w:sz w:val="18"/>
                <w:szCs w:val="18"/>
              </w:rPr>
              <w:t>)</w:t>
            </w:r>
          </w:p>
        </w:tc>
        <w:tc>
          <w:tcPr>
            <w:tcW w:w="1152" w:type="dxa"/>
          </w:tcPr>
          <w:p w14:paraId="7152099E" w14:textId="69DE4C22" w:rsidR="00B85D13" w:rsidRPr="002D2F67" w:rsidRDefault="00894118">
            <w:pPr>
              <w:ind w:right="-72"/>
              <w:jc w:val="right"/>
              <w:rPr>
                <w:rFonts w:ascii="Arial" w:eastAsia="Arial" w:hAnsi="Arial" w:cs="Arial"/>
                <w:sz w:val="18"/>
                <w:szCs w:val="18"/>
              </w:rPr>
            </w:pPr>
            <w:r w:rsidRPr="002D2F67">
              <w:rPr>
                <w:rFonts w:ascii="Arial" w:hAnsi="Arial" w:cs="Arial"/>
                <w:sz w:val="18"/>
                <w:szCs w:val="18"/>
              </w:rPr>
              <w:t>(</w:t>
            </w:r>
            <w:r w:rsidR="00CD5714" w:rsidRPr="00CD5714">
              <w:rPr>
                <w:rFonts w:ascii="Arial" w:hAnsi="Arial" w:cs="Arial"/>
                <w:sz w:val="18"/>
                <w:szCs w:val="18"/>
                <w:lang w:val="en-GB"/>
              </w:rPr>
              <w:t>1</w:t>
            </w:r>
            <w:r w:rsidRPr="002D2F67">
              <w:rPr>
                <w:rFonts w:ascii="Arial" w:hAnsi="Arial" w:cs="Arial"/>
                <w:sz w:val="18"/>
                <w:szCs w:val="18"/>
              </w:rPr>
              <w:t>,</w:t>
            </w:r>
            <w:r w:rsidR="00CD5714" w:rsidRPr="00CD5714">
              <w:rPr>
                <w:rFonts w:ascii="Arial" w:hAnsi="Arial" w:cs="Arial"/>
                <w:sz w:val="18"/>
                <w:szCs w:val="18"/>
                <w:lang w:val="en-GB"/>
              </w:rPr>
              <w:t>315</w:t>
            </w:r>
            <w:r w:rsidRPr="002D2F67">
              <w:rPr>
                <w:rFonts w:ascii="Arial" w:hAnsi="Arial" w:cs="Arial"/>
                <w:sz w:val="18"/>
                <w:szCs w:val="18"/>
              </w:rPr>
              <w:t>,</w:t>
            </w:r>
            <w:r w:rsidR="00CD5714" w:rsidRPr="00CD5714">
              <w:rPr>
                <w:rFonts w:ascii="Arial" w:hAnsi="Arial" w:cs="Arial"/>
                <w:sz w:val="18"/>
                <w:szCs w:val="18"/>
                <w:lang w:val="en-GB"/>
              </w:rPr>
              <w:t>407</w:t>
            </w:r>
            <w:r w:rsidRPr="002D2F67">
              <w:rPr>
                <w:rFonts w:ascii="Arial" w:hAnsi="Arial" w:cs="Arial"/>
                <w:sz w:val="18"/>
                <w:szCs w:val="18"/>
              </w:rPr>
              <w:t>)</w:t>
            </w:r>
          </w:p>
        </w:tc>
      </w:tr>
      <w:tr w:rsidR="006D6BE4" w:rsidRPr="002D2F67" w14:paraId="682F4D55" w14:textId="77777777" w:rsidTr="002D2F67">
        <w:tc>
          <w:tcPr>
            <w:tcW w:w="2664" w:type="dxa"/>
            <w:hideMark/>
          </w:tcPr>
          <w:p w14:paraId="29415A8F" w14:textId="7AC622A7" w:rsidR="00B85D13" w:rsidRPr="002D2F67" w:rsidRDefault="00B85D13" w:rsidP="009C165E">
            <w:pPr>
              <w:ind w:right="-72" w:firstLine="9"/>
              <w:rPr>
                <w:rFonts w:ascii="Arial" w:eastAsia="Arial" w:hAnsi="Arial" w:cs="Arial"/>
                <w:sz w:val="18"/>
                <w:szCs w:val="18"/>
              </w:rPr>
            </w:pPr>
          </w:p>
        </w:tc>
        <w:tc>
          <w:tcPr>
            <w:tcW w:w="1152" w:type="dxa"/>
          </w:tcPr>
          <w:p w14:paraId="4B3BDAEB" w14:textId="1E2C4C0B" w:rsidR="00B85D13" w:rsidRPr="002D2F67" w:rsidRDefault="00B85D13">
            <w:pPr>
              <w:ind w:right="-72"/>
              <w:jc w:val="right"/>
              <w:rPr>
                <w:rFonts w:ascii="Arial" w:eastAsia="Arial" w:hAnsi="Arial" w:cs="Arial"/>
                <w:sz w:val="18"/>
                <w:szCs w:val="18"/>
              </w:rPr>
            </w:pPr>
          </w:p>
        </w:tc>
        <w:tc>
          <w:tcPr>
            <w:tcW w:w="1152" w:type="dxa"/>
          </w:tcPr>
          <w:p w14:paraId="524A4156" w14:textId="246E00B7" w:rsidR="00B85D13" w:rsidRPr="002D2F67" w:rsidRDefault="00B85D13">
            <w:pPr>
              <w:ind w:right="-72"/>
              <w:jc w:val="right"/>
              <w:rPr>
                <w:rFonts w:ascii="Arial" w:eastAsia="Arial" w:hAnsi="Arial" w:cs="Arial"/>
                <w:sz w:val="18"/>
                <w:szCs w:val="18"/>
              </w:rPr>
            </w:pPr>
          </w:p>
        </w:tc>
        <w:tc>
          <w:tcPr>
            <w:tcW w:w="1152" w:type="dxa"/>
          </w:tcPr>
          <w:p w14:paraId="05B96387" w14:textId="2B1E213B" w:rsidR="00B85D13" w:rsidRPr="002D2F67" w:rsidRDefault="00B85D13">
            <w:pPr>
              <w:ind w:right="-72"/>
              <w:jc w:val="right"/>
              <w:rPr>
                <w:rFonts w:ascii="Arial" w:eastAsia="Arial" w:hAnsi="Arial" w:cs="Arial"/>
                <w:sz w:val="18"/>
                <w:szCs w:val="18"/>
              </w:rPr>
            </w:pPr>
          </w:p>
        </w:tc>
        <w:tc>
          <w:tcPr>
            <w:tcW w:w="1152" w:type="dxa"/>
          </w:tcPr>
          <w:p w14:paraId="342BD902" w14:textId="3DEDA97A" w:rsidR="00B85D13" w:rsidRPr="002D2F67" w:rsidRDefault="00B85D13">
            <w:pPr>
              <w:ind w:right="-72"/>
              <w:jc w:val="right"/>
              <w:rPr>
                <w:rFonts w:ascii="Arial" w:eastAsia="Arial" w:hAnsi="Arial" w:cs="Arial"/>
                <w:sz w:val="18"/>
                <w:szCs w:val="18"/>
              </w:rPr>
            </w:pPr>
          </w:p>
        </w:tc>
        <w:tc>
          <w:tcPr>
            <w:tcW w:w="1152" w:type="dxa"/>
          </w:tcPr>
          <w:p w14:paraId="1130E697" w14:textId="618B8D60" w:rsidR="00B85D13" w:rsidRPr="002D2F67" w:rsidRDefault="00B85D13">
            <w:pPr>
              <w:ind w:right="-72"/>
              <w:jc w:val="right"/>
              <w:rPr>
                <w:rFonts w:ascii="Arial" w:eastAsia="Arial" w:hAnsi="Arial" w:cs="Arial"/>
                <w:sz w:val="18"/>
                <w:szCs w:val="18"/>
              </w:rPr>
            </w:pPr>
          </w:p>
        </w:tc>
        <w:tc>
          <w:tcPr>
            <w:tcW w:w="1152" w:type="dxa"/>
          </w:tcPr>
          <w:p w14:paraId="1C0ADF90" w14:textId="41BB96D5" w:rsidR="00B85D13" w:rsidRPr="002D2F67" w:rsidRDefault="00B85D13">
            <w:pPr>
              <w:ind w:right="-72"/>
              <w:jc w:val="right"/>
              <w:rPr>
                <w:rFonts w:ascii="Arial" w:eastAsia="Arial" w:hAnsi="Arial" w:cs="Arial"/>
                <w:sz w:val="18"/>
                <w:szCs w:val="18"/>
              </w:rPr>
            </w:pPr>
          </w:p>
        </w:tc>
      </w:tr>
      <w:tr w:rsidR="006D6BE4" w:rsidRPr="002D2F67" w14:paraId="5C7ADCDD" w14:textId="77777777" w:rsidTr="002D2F67">
        <w:tc>
          <w:tcPr>
            <w:tcW w:w="2664" w:type="dxa"/>
            <w:hideMark/>
          </w:tcPr>
          <w:p w14:paraId="79B6B4A8" w14:textId="516B6C5B" w:rsidR="00B85D13" w:rsidRPr="002D2F67" w:rsidRDefault="00DA4D36" w:rsidP="009C165E">
            <w:pPr>
              <w:ind w:right="-72" w:firstLine="9"/>
              <w:rPr>
                <w:rFonts w:ascii="Arial" w:eastAsia="Arial" w:hAnsi="Arial" w:cs="Arial"/>
                <w:sz w:val="18"/>
                <w:szCs w:val="18"/>
              </w:rPr>
            </w:pPr>
            <w:r w:rsidRPr="002D2F67">
              <w:rPr>
                <w:rFonts w:ascii="Arial" w:eastAsia="Arial" w:hAnsi="Arial" w:cs="Arial"/>
                <w:b/>
                <w:bCs/>
                <w:spacing w:val="-6"/>
                <w:sz w:val="18"/>
                <w:szCs w:val="18"/>
              </w:rPr>
              <w:t xml:space="preserve">As </w:t>
            </w:r>
            <w:proofErr w:type="gramStart"/>
            <w:r w:rsidRPr="002D2F67">
              <w:rPr>
                <w:rFonts w:ascii="Arial" w:eastAsia="Arial" w:hAnsi="Arial" w:cs="Arial"/>
                <w:b/>
                <w:bCs/>
                <w:spacing w:val="-6"/>
                <w:sz w:val="18"/>
                <w:szCs w:val="18"/>
              </w:rPr>
              <w:t>at</w:t>
            </w:r>
            <w:proofErr w:type="gramEnd"/>
            <w:r w:rsidRPr="002D2F67">
              <w:rPr>
                <w:rFonts w:ascii="Arial" w:eastAsia="Arial" w:hAnsi="Arial" w:cs="Arial"/>
                <w:b/>
                <w:bCs/>
                <w:spacing w:val="-6"/>
                <w:sz w:val="18"/>
                <w:szCs w:val="18"/>
              </w:rPr>
              <w:t xml:space="preserve"> </w:t>
            </w:r>
            <w:r w:rsidR="00CD5714" w:rsidRPr="00CD5714">
              <w:rPr>
                <w:rFonts w:ascii="Arial" w:eastAsia="Arial" w:hAnsi="Arial" w:cs="Arial"/>
                <w:b/>
                <w:bCs/>
                <w:spacing w:val="-6"/>
                <w:sz w:val="18"/>
                <w:szCs w:val="18"/>
                <w:lang w:val="en-GB"/>
              </w:rPr>
              <w:t>31</w:t>
            </w:r>
            <w:r w:rsidR="00894118" w:rsidRPr="002D2F67">
              <w:rPr>
                <w:rFonts w:ascii="Arial" w:eastAsia="Arial" w:hAnsi="Arial" w:cs="Arial"/>
                <w:b/>
                <w:bCs/>
                <w:spacing w:val="-6"/>
                <w:sz w:val="18"/>
                <w:szCs w:val="18"/>
              </w:rPr>
              <w:t xml:space="preserve"> December </w:t>
            </w:r>
            <w:r w:rsidR="00CD5714" w:rsidRPr="00CD5714">
              <w:rPr>
                <w:rFonts w:ascii="Arial" w:eastAsia="Arial" w:hAnsi="Arial" w:cs="Arial"/>
                <w:b/>
                <w:bCs/>
                <w:spacing w:val="-6"/>
                <w:sz w:val="18"/>
                <w:szCs w:val="18"/>
                <w:lang w:val="en-GB"/>
              </w:rPr>
              <w:t>2023</w:t>
            </w:r>
          </w:p>
        </w:tc>
        <w:tc>
          <w:tcPr>
            <w:tcW w:w="1152" w:type="dxa"/>
          </w:tcPr>
          <w:p w14:paraId="713D77C1" w14:textId="5D76AEFE" w:rsidR="00B85D13" w:rsidRPr="002D2F67" w:rsidRDefault="00B85D13">
            <w:pPr>
              <w:ind w:right="-72"/>
              <w:jc w:val="right"/>
              <w:rPr>
                <w:rFonts w:ascii="Arial" w:eastAsia="Arial" w:hAnsi="Arial" w:cs="Arial"/>
                <w:sz w:val="18"/>
                <w:szCs w:val="18"/>
              </w:rPr>
            </w:pPr>
          </w:p>
        </w:tc>
        <w:tc>
          <w:tcPr>
            <w:tcW w:w="1152" w:type="dxa"/>
          </w:tcPr>
          <w:p w14:paraId="5E282883" w14:textId="2D2423B6" w:rsidR="00B85D13" w:rsidRPr="002D2F67" w:rsidRDefault="00B85D13">
            <w:pPr>
              <w:ind w:right="-72"/>
              <w:jc w:val="right"/>
              <w:rPr>
                <w:rFonts w:ascii="Arial" w:eastAsia="Arial" w:hAnsi="Arial" w:cs="Arial"/>
                <w:sz w:val="18"/>
                <w:szCs w:val="18"/>
              </w:rPr>
            </w:pPr>
          </w:p>
        </w:tc>
        <w:tc>
          <w:tcPr>
            <w:tcW w:w="1152" w:type="dxa"/>
          </w:tcPr>
          <w:p w14:paraId="45A71E1A" w14:textId="5E7AC3FF" w:rsidR="00B85D13" w:rsidRPr="002D2F67" w:rsidRDefault="00B85D13">
            <w:pPr>
              <w:ind w:right="-72"/>
              <w:jc w:val="right"/>
              <w:rPr>
                <w:rFonts w:ascii="Arial" w:eastAsia="Arial" w:hAnsi="Arial" w:cs="Arial"/>
                <w:sz w:val="18"/>
                <w:szCs w:val="18"/>
              </w:rPr>
            </w:pPr>
          </w:p>
        </w:tc>
        <w:tc>
          <w:tcPr>
            <w:tcW w:w="1152" w:type="dxa"/>
          </w:tcPr>
          <w:p w14:paraId="373AB698" w14:textId="26BE0766" w:rsidR="00B85D13" w:rsidRPr="002D2F67" w:rsidRDefault="00B85D13">
            <w:pPr>
              <w:ind w:right="-72"/>
              <w:jc w:val="right"/>
              <w:rPr>
                <w:rFonts w:ascii="Arial" w:eastAsia="Arial" w:hAnsi="Arial" w:cs="Arial"/>
                <w:sz w:val="18"/>
                <w:szCs w:val="18"/>
              </w:rPr>
            </w:pPr>
          </w:p>
        </w:tc>
        <w:tc>
          <w:tcPr>
            <w:tcW w:w="1152" w:type="dxa"/>
          </w:tcPr>
          <w:p w14:paraId="627BB551" w14:textId="632E8DE6" w:rsidR="00B85D13" w:rsidRPr="002D2F67" w:rsidRDefault="00B85D13">
            <w:pPr>
              <w:ind w:right="-72"/>
              <w:jc w:val="right"/>
              <w:rPr>
                <w:rFonts w:ascii="Arial" w:eastAsia="Arial" w:hAnsi="Arial" w:cs="Arial"/>
                <w:sz w:val="18"/>
                <w:szCs w:val="18"/>
              </w:rPr>
            </w:pPr>
          </w:p>
        </w:tc>
        <w:tc>
          <w:tcPr>
            <w:tcW w:w="1152" w:type="dxa"/>
          </w:tcPr>
          <w:p w14:paraId="3EE7C4EF" w14:textId="0C069317" w:rsidR="00B85D13" w:rsidRPr="002D2F67" w:rsidRDefault="00B85D13">
            <w:pPr>
              <w:ind w:right="-72"/>
              <w:jc w:val="right"/>
              <w:rPr>
                <w:rFonts w:ascii="Arial" w:eastAsia="Arial" w:hAnsi="Arial" w:cs="Arial"/>
                <w:sz w:val="18"/>
                <w:szCs w:val="18"/>
              </w:rPr>
            </w:pPr>
          </w:p>
        </w:tc>
      </w:tr>
      <w:tr w:rsidR="006D6BE4" w:rsidRPr="002D2F67" w14:paraId="41FAF519" w14:textId="77777777" w:rsidTr="002D2F67">
        <w:tc>
          <w:tcPr>
            <w:tcW w:w="2664" w:type="dxa"/>
          </w:tcPr>
          <w:p w14:paraId="7077F488" w14:textId="5E64F9CC" w:rsidR="00B85D13" w:rsidRPr="002D2F67" w:rsidRDefault="00894118" w:rsidP="009C165E">
            <w:pPr>
              <w:ind w:right="-72" w:firstLine="9"/>
              <w:rPr>
                <w:rFonts w:ascii="Arial" w:eastAsia="Arial Unicode MS" w:hAnsi="Arial" w:cs="Arial"/>
                <w:b/>
                <w:bCs/>
                <w:sz w:val="18"/>
                <w:szCs w:val="18"/>
                <w:cs/>
              </w:rPr>
            </w:pPr>
            <w:r w:rsidRPr="002D2F67">
              <w:rPr>
                <w:rFonts w:ascii="Arial" w:hAnsi="Arial" w:cs="Arial"/>
                <w:sz w:val="18"/>
                <w:szCs w:val="18"/>
              </w:rPr>
              <w:t>Trade receivable</w:t>
            </w:r>
          </w:p>
        </w:tc>
        <w:tc>
          <w:tcPr>
            <w:tcW w:w="1152" w:type="dxa"/>
          </w:tcPr>
          <w:p w14:paraId="44ECF4F9" w14:textId="77777777" w:rsidR="00B85D13" w:rsidRPr="002D2F67" w:rsidRDefault="00B85D13">
            <w:pPr>
              <w:ind w:right="-72"/>
              <w:jc w:val="right"/>
              <w:rPr>
                <w:rFonts w:ascii="Arial" w:eastAsia="Arial" w:hAnsi="Arial" w:cs="Arial"/>
                <w:sz w:val="18"/>
                <w:szCs w:val="18"/>
              </w:rPr>
            </w:pPr>
          </w:p>
        </w:tc>
        <w:tc>
          <w:tcPr>
            <w:tcW w:w="1152" w:type="dxa"/>
          </w:tcPr>
          <w:p w14:paraId="517EE021" w14:textId="77777777" w:rsidR="00B85D13" w:rsidRPr="002D2F67" w:rsidRDefault="00B85D13">
            <w:pPr>
              <w:ind w:right="-72"/>
              <w:jc w:val="right"/>
              <w:rPr>
                <w:rFonts w:ascii="Arial" w:eastAsia="Arial" w:hAnsi="Arial" w:cs="Arial"/>
                <w:sz w:val="18"/>
                <w:szCs w:val="18"/>
              </w:rPr>
            </w:pPr>
          </w:p>
        </w:tc>
        <w:tc>
          <w:tcPr>
            <w:tcW w:w="1152" w:type="dxa"/>
          </w:tcPr>
          <w:p w14:paraId="0B692C81" w14:textId="77777777" w:rsidR="00B85D13" w:rsidRPr="002D2F67" w:rsidRDefault="00B85D13">
            <w:pPr>
              <w:ind w:right="-72"/>
              <w:jc w:val="right"/>
              <w:rPr>
                <w:rFonts w:ascii="Arial" w:eastAsia="Arial" w:hAnsi="Arial" w:cs="Arial"/>
                <w:sz w:val="18"/>
                <w:szCs w:val="18"/>
              </w:rPr>
            </w:pPr>
          </w:p>
        </w:tc>
        <w:tc>
          <w:tcPr>
            <w:tcW w:w="1152" w:type="dxa"/>
          </w:tcPr>
          <w:p w14:paraId="5CDD1486" w14:textId="77777777" w:rsidR="00B85D13" w:rsidRPr="002D2F67" w:rsidRDefault="00B85D13">
            <w:pPr>
              <w:ind w:right="-72"/>
              <w:jc w:val="right"/>
              <w:rPr>
                <w:rFonts w:ascii="Arial" w:eastAsia="Arial" w:hAnsi="Arial" w:cs="Arial"/>
                <w:sz w:val="18"/>
                <w:szCs w:val="18"/>
              </w:rPr>
            </w:pPr>
          </w:p>
        </w:tc>
        <w:tc>
          <w:tcPr>
            <w:tcW w:w="1152" w:type="dxa"/>
          </w:tcPr>
          <w:p w14:paraId="28693358" w14:textId="77777777" w:rsidR="00B85D13" w:rsidRPr="002D2F67" w:rsidRDefault="00B85D13">
            <w:pPr>
              <w:ind w:right="-72"/>
              <w:jc w:val="right"/>
              <w:rPr>
                <w:rFonts w:ascii="Arial" w:eastAsia="Arial" w:hAnsi="Arial" w:cs="Arial"/>
                <w:sz w:val="18"/>
                <w:szCs w:val="18"/>
              </w:rPr>
            </w:pPr>
          </w:p>
        </w:tc>
        <w:tc>
          <w:tcPr>
            <w:tcW w:w="1152" w:type="dxa"/>
          </w:tcPr>
          <w:p w14:paraId="66E38890" w14:textId="77777777" w:rsidR="00B85D13" w:rsidRPr="002D2F67" w:rsidRDefault="00B85D13">
            <w:pPr>
              <w:ind w:right="-72"/>
              <w:jc w:val="right"/>
              <w:rPr>
                <w:rFonts w:ascii="Arial" w:eastAsia="Arial" w:hAnsi="Arial" w:cs="Arial"/>
                <w:sz w:val="18"/>
                <w:szCs w:val="18"/>
              </w:rPr>
            </w:pPr>
          </w:p>
        </w:tc>
      </w:tr>
      <w:tr w:rsidR="006D6BE4" w:rsidRPr="002D2F67" w14:paraId="0BEA1575" w14:textId="77777777" w:rsidTr="002D2F67">
        <w:tc>
          <w:tcPr>
            <w:tcW w:w="2664" w:type="dxa"/>
          </w:tcPr>
          <w:p w14:paraId="5399926D" w14:textId="0A68EBB7" w:rsidR="00F80D95" w:rsidRPr="002D2F67" w:rsidRDefault="004641A7" w:rsidP="009C165E">
            <w:pPr>
              <w:ind w:right="-72" w:firstLine="9"/>
              <w:rPr>
                <w:rFonts w:ascii="Arial" w:eastAsia="Arial Unicode MS" w:hAnsi="Arial" w:cs="Arial"/>
                <w:b/>
                <w:bCs/>
                <w:sz w:val="18"/>
                <w:szCs w:val="18"/>
                <w:cs/>
              </w:rPr>
            </w:pPr>
            <w:r w:rsidRPr="002D2F67">
              <w:rPr>
                <w:rFonts w:ascii="Arial" w:hAnsi="Arial" w:cs="Arial"/>
                <w:sz w:val="18"/>
                <w:szCs w:val="18"/>
              </w:rPr>
              <w:t>-  Other part</w:t>
            </w:r>
            <w:r w:rsidR="0038043B" w:rsidRPr="002D2F67">
              <w:rPr>
                <w:rFonts w:ascii="Arial" w:hAnsi="Arial" w:cs="Arial"/>
                <w:sz w:val="18"/>
                <w:szCs w:val="18"/>
              </w:rPr>
              <w:t>y</w:t>
            </w:r>
          </w:p>
        </w:tc>
        <w:tc>
          <w:tcPr>
            <w:tcW w:w="1152" w:type="dxa"/>
          </w:tcPr>
          <w:p w14:paraId="45935157" w14:textId="067AE9E8" w:rsidR="00F80D95" w:rsidRPr="002D2F67" w:rsidRDefault="004641A7" w:rsidP="00F80D95">
            <w:pPr>
              <w:ind w:right="-72"/>
              <w:jc w:val="right"/>
              <w:rPr>
                <w:rFonts w:ascii="Arial" w:eastAsia="Arial" w:hAnsi="Arial" w:cs="Arial"/>
                <w:sz w:val="18"/>
                <w:szCs w:val="18"/>
              </w:rPr>
            </w:pPr>
            <w:r w:rsidRPr="002D2F67">
              <w:rPr>
                <w:rFonts w:ascii="Arial" w:eastAsia="Arial" w:hAnsi="Arial" w:cs="Arial"/>
                <w:color w:val="000000"/>
                <w:sz w:val="18"/>
                <w:szCs w:val="18"/>
              </w:rPr>
              <w:t>(</w:t>
            </w:r>
            <w:r w:rsidR="00CD5714" w:rsidRPr="00CD5714">
              <w:rPr>
                <w:rFonts w:ascii="Arial" w:hAnsi="Arial" w:cs="Arial"/>
                <w:color w:val="000000"/>
                <w:sz w:val="18"/>
                <w:szCs w:val="18"/>
                <w:lang w:val="en-GB"/>
              </w:rPr>
              <w:t>9</w:t>
            </w:r>
            <w:r w:rsidRPr="002D2F67">
              <w:rPr>
                <w:rFonts w:ascii="Arial" w:hAnsi="Arial" w:cs="Arial"/>
                <w:color w:val="000000"/>
                <w:sz w:val="18"/>
                <w:szCs w:val="18"/>
              </w:rPr>
              <w:t>,</w:t>
            </w:r>
            <w:r w:rsidR="00CD5714" w:rsidRPr="00CD5714">
              <w:rPr>
                <w:rFonts w:ascii="Arial" w:hAnsi="Arial" w:cs="Arial"/>
                <w:color w:val="000000"/>
                <w:sz w:val="18"/>
                <w:szCs w:val="18"/>
                <w:lang w:val="en-GB"/>
              </w:rPr>
              <w:t>554</w:t>
            </w:r>
            <w:r w:rsidRPr="002D2F67">
              <w:rPr>
                <w:rFonts w:ascii="Arial" w:eastAsia="Arial" w:hAnsi="Arial" w:cs="Arial"/>
                <w:color w:val="000000"/>
                <w:sz w:val="18"/>
                <w:szCs w:val="18"/>
              </w:rPr>
              <w:t>)</w:t>
            </w:r>
          </w:p>
        </w:tc>
        <w:tc>
          <w:tcPr>
            <w:tcW w:w="1152" w:type="dxa"/>
          </w:tcPr>
          <w:p w14:paraId="3FA4461B" w14:textId="1B526FD8" w:rsidR="00F80D95" w:rsidRPr="002D2F67" w:rsidRDefault="004641A7" w:rsidP="00F80D95">
            <w:pPr>
              <w:ind w:right="-72"/>
              <w:jc w:val="right"/>
              <w:rPr>
                <w:rFonts w:ascii="Arial" w:eastAsia="Arial" w:hAnsi="Arial" w:cs="Arial"/>
                <w:sz w:val="18"/>
                <w:szCs w:val="18"/>
              </w:rPr>
            </w:pPr>
            <w:r w:rsidRPr="002D2F67">
              <w:rPr>
                <w:rFonts w:ascii="Arial" w:hAnsi="Arial" w:cs="Arial"/>
                <w:color w:val="000000"/>
                <w:sz w:val="18"/>
                <w:szCs w:val="18"/>
              </w:rPr>
              <w:t>-</w:t>
            </w:r>
          </w:p>
        </w:tc>
        <w:tc>
          <w:tcPr>
            <w:tcW w:w="1152" w:type="dxa"/>
          </w:tcPr>
          <w:p w14:paraId="1C2248EF" w14:textId="44997D39" w:rsidR="00F80D95" w:rsidRPr="002D2F67" w:rsidRDefault="004641A7" w:rsidP="00F80D95">
            <w:pPr>
              <w:ind w:right="-72"/>
              <w:jc w:val="right"/>
              <w:rPr>
                <w:rFonts w:ascii="Arial" w:eastAsia="Arial" w:hAnsi="Arial" w:cs="Arial"/>
                <w:sz w:val="18"/>
                <w:szCs w:val="18"/>
              </w:rPr>
            </w:pPr>
            <w:r w:rsidRPr="002D2F67">
              <w:rPr>
                <w:rFonts w:ascii="Arial" w:hAnsi="Arial" w:cs="Arial"/>
                <w:color w:val="000000"/>
                <w:sz w:val="18"/>
                <w:szCs w:val="18"/>
              </w:rPr>
              <w:t>-</w:t>
            </w:r>
          </w:p>
        </w:tc>
        <w:tc>
          <w:tcPr>
            <w:tcW w:w="1152" w:type="dxa"/>
          </w:tcPr>
          <w:p w14:paraId="6A54CB78" w14:textId="4F65BFAF" w:rsidR="00F80D95" w:rsidRPr="002D2F67" w:rsidRDefault="004641A7" w:rsidP="00F80D95">
            <w:pPr>
              <w:ind w:right="-72"/>
              <w:jc w:val="right"/>
              <w:rPr>
                <w:rFonts w:ascii="Arial" w:eastAsia="Arial" w:hAnsi="Arial" w:cs="Arial"/>
                <w:sz w:val="18"/>
                <w:szCs w:val="18"/>
              </w:rPr>
            </w:pPr>
            <w:r w:rsidRPr="002D2F67">
              <w:rPr>
                <w:rFonts w:ascii="Arial" w:hAnsi="Arial" w:cs="Arial"/>
                <w:color w:val="000000"/>
                <w:sz w:val="18"/>
                <w:szCs w:val="18"/>
              </w:rPr>
              <w:t>-</w:t>
            </w:r>
          </w:p>
        </w:tc>
        <w:tc>
          <w:tcPr>
            <w:tcW w:w="1152" w:type="dxa"/>
          </w:tcPr>
          <w:p w14:paraId="520EA1D8" w14:textId="3A10AD17" w:rsidR="00F80D95" w:rsidRPr="002D2F67" w:rsidRDefault="004641A7" w:rsidP="00F80D95">
            <w:pPr>
              <w:ind w:right="-72"/>
              <w:jc w:val="right"/>
              <w:rPr>
                <w:rFonts w:ascii="Arial" w:eastAsia="Arial" w:hAnsi="Arial" w:cs="Arial"/>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w:t>
            </w:r>
            <w:r w:rsidRPr="002D2F67">
              <w:rPr>
                <w:rFonts w:ascii="Arial" w:hAnsi="Arial" w:cs="Arial"/>
                <w:color w:val="000000"/>
                <w:sz w:val="18"/>
                <w:szCs w:val="18"/>
              </w:rPr>
              <w:t>,</w:t>
            </w:r>
            <w:r w:rsidR="00CD5714" w:rsidRPr="00CD5714">
              <w:rPr>
                <w:rFonts w:ascii="Arial" w:hAnsi="Arial" w:cs="Arial"/>
                <w:color w:val="000000"/>
                <w:sz w:val="18"/>
                <w:szCs w:val="18"/>
                <w:lang w:val="en-GB"/>
              </w:rPr>
              <w:t>548</w:t>
            </w:r>
            <w:r w:rsidRPr="002D2F67">
              <w:rPr>
                <w:rFonts w:ascii="Arial" w:hAnsi="Arial" w:cs="Arial"/>
                <w:color w:val="000000"/>
                <w:sz w:val="18"/>
                <w:szCs w:val="18"/>
              </w:rPr>
              <w:t>)</w:t>
            </w:r>
          </w:p>
        </w:tc>
        <w:tc>
          <w:tcPr>
            <w:tcW w:w="1152" w:type="dxa"/>
          </w:tcPr>
          <w:p w14:paraId="1663C0D9" w14:textId="1A694F7F" w:rsidR="00F80D95" w:rsidRPr="002D2F67" w:rsidRDefault="004641A7" w:rsidP="00F80D95">
            <w:pPr>
              <w:ind w:right="-72"/>
              <w:jc w:val="right"/>
              <w:rPr>
                <w:rFonts w:ascii="Arial" w:eastAsia="Arial" w:hAnsi="Arial" w:cs="Arial"/>
                <w:sz w:val="18"/>
                <w:szCs w:val="18"/>
              </w:rPr>
            </w:pPr>
            <w:r w:rsidRPr="002D2F67">
              <w:rPr>
                <w:rFonts w:ascii="Arial" w:eastAsia="Arial" w:hAnsi="Arial" w:cs="Arial"/>
                <w:color w:val="000000"/>
                <w:sz w:val="18"/>
                <w:szCs w:val="18"/>
              </w:rPr>
              <w:t>(</w:t>
            </w:r>
            <w:r w:rsidR="00CD5714" w:rsidRPr="00CD5714">
              <w:rPr>
                <w:rFonts w:ascii="Arial" w:eastAsia="Arial" w:hAnsi="Arial" w:cs="Arial"/>
                <w:color w:val="000000"/>
                <w:sz w:val="18"/>
                <w:szCs w:val="18"/>
                <w:lang w:val="en-GB"/>
              </w:rPr>
              <w:t>11</w:t>
            </w:r>
            <w:r w:rsidRPr="002D2F67">
              <w:rPr>
                <w:rFonts w:ascii="Arial" w:eastAsia="Arial" w:hAnsi="Arial" w:cs="Arial"/>
                <w:color w:val="000000"/>
                <w:sz w:val="18"/>
                <w:szCs w:val="18"/>
              </w:rPr>
              <w:t>,</w:t>
            </w:r>
            <w:r w:rsidR="00CD5714" w:rsidRPr="00CD5714">
              <w:rPr>
                <w:rFonts w:ascii="Arial" w:eastAsia="Arial" w:hAnsi="Arial" w:cs="Arial"/>
                <w:color w:val="000000"/>
                <w:sz w:val="18"/>
                <w:szCs w:val="18"/>
                <w:lang w:val="en-GB"/>
              </w:rPr>
              <w:t>102</w:t>
            </w:r>
            <w:r w:rsidRPr="002D2F67">
              <w:rPr>
                <w:rFonts w:ascii="Arial" w:eastAsia="Arial" w:hAnsi="Arial" w:cs="Arial"/>
                <w:color w:val="000000"/>
                <w:sz w:val="18"/>
                <w:szCs w:val="18"/>
              </w:rPr>
              <w:t>)</w:t>
            </w:r>
          </w:p>
        </w:tc>
      </w:tr>
      <w:tr w:rsidR="006D6BE4" w:rsidRPr="002D2F67" w14:paraId="3F52C58A" w14:textId="77777777" w:rsidTr="002D2F67">
        <w:tc>
          <w:tcPr>
            <w:tcW w:w="2664" w:type="dxa"/>
            <w:hideMark/>
          </w:tcPr>
          <w:p w14:paraId="2E45EE11" w14:textId="6378CAA9" w:rsidR="00F80D95" w:rsidRPr="002D2F67" w:rsidRDefault="004641A7" w:rsidP="009C165E">
            <w:pPr>
              <w:ind w:right="-72" w:firstLine="9"/>
              <w:rPr>
                <w:rFonts w:ascii="Arial" w:eastAsia="Arial" w:hAnsi="Arial" w:cs="Arial"/>
                <w:sz w:val="18"/>
                <w:szCs w:val="18"/>
              </w:rPr>
            </w:pPr>
            <w:r w:rsidRPr="002D2F67">
              <w:rPr>
                <w:rFonts w:ascii="Arial" w:hAnsi="Arial" w:cs="Arial"/>
                <w:sz w:val="18"/>
                <w:szCs w:val="18"/>
              </w:rPr>
              <w:t>-  Related part</w:t>
            </w:r>
            <w:r w:rsidR="0038043B" w:rsidRPr="002D2F67">
              <w:rPr>
                <w:rFonts w:ascii="Arial" w:hAnsi="Arial" w:cs="Arial"/>
                <w:sz w:val="18"/>
                <w:szCs w:val="18"/>
              </w:rPr>
              <w:t>y</w:t>
            </w:r>
          </w:p>
        </w:tc>
        <w:tc>
          <w:tcPr>
            <w:tcW w:w="1152" w:type="dxa"/>
          </w:tcPr>
          <w:p w14:paraId="4BCABD5E" w14:textId="03FDA9D4" w:rsidR="00F80D95" w:rsidRPr="002D2F67" w:rsidRDefault="004641A7" w:rsidP="00F80D95">
            <w:pPr>
              <w:ind w:right="-72"/>
              <w:jc w:val="right"/>
              <w:rPr>
                <w:rFonts w:ascii="Arial" w:eastAsia="Arial" w:hAnsi="Arial" w:cs="Arial"/>
                <w:sz w:val="18"/>
                <w:szCs w:val="18"/>
              </w:rPr>
            </w:pPr>
            <w:r w:rsidRPr="002D2F67">
              <w:rPr>
                <w:rFonts w:ascii="Arial" w:hAnsi="Arial" w:cs="Arial"/>
                <w:color w:val="000000"/>
                <w:sz w:val="18"/>
                <w:szCs w:val="18"/>
              </w:rPr>
              <w:t>-</w:t>
            </w:r>
          </w:p>
        </w:tc>
        <w:tc>
          <w:tcPr>
            <w:tcW w:w="1152" w:type="dxa"/>
          </w:tcPr>
          <w:p w14:paraId="3BCFAC05" w14:textId="3568CEBB" w:rsidR="00F80D95" w:rsidRPr="002D2F67" w:rsidRDefault="004641A7" w:rsidP="00F80D95">
            <w:pPr>
              <w:ind w:right="-72"/>
              <w:jc w:val="right"/>
              <w:rPr>
                <w:rFonts w:ascii="Arial" w:eastAsia="Arial" w:hAnsi="Arial" w:cs="Arial"/>
                <w:sz w:val="18"/>
                <w:szCs w:val="18"/>
              </w:rPr>
            </w:pPr>
            <w:r w:rsidRPr="002D2F67">
              <w:rPr>
                <w:rFonts w:ascii="Arial" w:hAnsi="Arial" w:cs="Arial"/>
                <w:color w:val="000000"/>
                <w:sz w:val="18"/>
                <w:szCs w:val="18"/>
              </w:rPr>
              <w:t>-</w:t>
            </w:r>
          </w:p>
        </w:tc>
        <w:tc>
          <w:tcPr>
            <w:tcW w:w="1152" w:type="dxa"/>
          </w:tcPr>
          <w:p w14:paraId="290712BC" w14:textId="10CFB5ED" w:rsidR="00F80D95" w:rsidRPr="002D2F67" w:rsidRDefault="004641A7" w:rsidP="00F80D95">
            <w:pPr>
              <w:ind w:right="-72"/>
              <w:jc w:val="right"/>
              <w:rPr>
                <w:rFonts w:ascii="Arial" w:eastAsia="Arial" w:hAnsi="Arial" w:cs="Arial"/>
                <w:sz w:val="18"/>
                <w:szCs w:val="18"/>
              </w:rPr>
            </w:pPr>
            <w:r w:rsidRPr="002D2F67">
              <w:rPr>
                <w:rFonts w:ascii="Arial" w:hAnsi="Arial" w:cs="Arial"/>
                <w:color w:val="000000"/>
                <w:sz w:val="18"/>
                <w:szCs w:val="18"/>
              </w:rPr>
              <w:t>-</w:t>
            </w:r>
          </w:p>
        </w:tc>
        <w:tc>
          <w:tcPr>
            <w:tcW w:w="1152" w:type="dxa"/>
          </w:tcPr>
          <w:p w14:paraId="0F6684C0" w14:textId="0B82FE59" w:rsidR="00F80D95" w:rsidRPr="002D2F67" w:rsidRDefault="004641A7" w:rsidP="00F80D95">
            <w:pPr>
              <w:ind w:right="-72"/>
              <w:jc w:val="right"/>
              <w:rPr>
                <w:rFonts w:ascii="Arial" w:eastAsia="Arial" w:hAnsi="Arial" w:cs="Arial"/>
                <w:sz w:val="18"/>
                <w:szCs w:val="18"/>
              </w:rPr>
            </w:pPr>
            <w:r w:rsidRPr="002D2F67">
              <w:rPr>
                <w:rFonts w:ascii="Arial" w:hAnsi="Arial" w:cs="Arial"/>
                <w:color w:val="000000"/>
                <w:sz w:val="18"/>
                <w:szCs w:val="18"/>
              </w:rPr>
              <w:t>-</w:t>
            </w:r>
          </w:p>
        </w:tc>
        <w:tc>
          <w:tcPr>
            <w:tcW w:w="1152" w:type="dxa"/>
          </w:tcPr>
          <w:p w14:paraId="6AFF740B" w14:textId="3B64471E" w:rsidR="00F80D95" w:rsidRPr="002D2F67" w:rsidRDefault="004641A7" w:rsidP="00F80D95">
            <w:pPr>
              <w:ind w:right="-72"/>
              <w:jc w:val="right"/>
              <w:rPr>
                <w:rFonts w:ascii="Arial" w:eastAsia="Arial" w:hAnsi="Arial" w:cs="Arial"/>
                <w:sz w:val="18"/>
                <w:szCs w:val="18"/>
              </w:rPr>
            </w:pPr>
            <w:r w:rsidRPr="002D2F67">
              <w:rPr>
                <w:rFonts w:ascii="Arial" w:hAnsi="Arial" w:cs="Arial"/>
                <w:color w:val="000000"/>
                <w:sz w:val="18"/>
                <w:szCs w:val="18"/>
              </w:rPr>
              <w:t>-</w:t>
            </w:r>
          </w:p>
        </w:tc>
        <w:tc>
          <w:tcPr>
            <w:tcW w:w="1152" w:type="dxa"/>
          </w:tcPr>
          <w:p w14:paraId="6513AFF9" w14:textId="110918E0" w:rsidR="00F80D95" w:rsidRPr="002D2F67" w:rsidRDefault="004641A7" w:rsidP="00F80D95">
            <w:pPr>
              <w:ind w:right="-72"/>
              <w:jc w:val="right"/>
              <w:rPr>
                <w:rFonts w:ascii="Arial" w:eastAsia="Arial" w:hAnsi="Arial" w:cs="Arial"/>
                <w:sz w:val="18"/>
                <w:szCs w:val="18"/>
              </w:rPr>
            </w:pPr>
            <w:r w:rsidRPr="002D2F67">
              <w:rPr>
                <w:rFonts w:ascii="Arial" w:hAnsi="Arial" w:cs="Arial"/>
                <w:color w:val="000000"/>
                <w:sz w:val="18"/>
                <w:szCs w:val="18"/>
              </w:rPr>
              <w:t>-</w:t>
            </w:r>
          </w:p>
        </w:tc>
      </w:tr>
    </w:tbl>
    <w:p w14:paraId="74DF8746" w14:textId="3B942F36" w:rsidR="00554EFA" w:rsidRPr="002D2F67" w:rsidRDefault="00676C3B" w:rsidP="005611FE">
      <w:pPr>
        <w:pStyle w:val="BodyTextIndent2"/>
        <w:spacing w:line="240" w:lineRule="auto"/>
        <w:ind w:left="0"/>
        <w:jc w:val="left"/>
        <w:rPr>
          <w:rFonts w:ascii="Arial" w:hAnsi="Arial" w:cs="Arial"/>
          <w:spacing w:val="-2"/>
        </w:rPr>
      </w:pPr>
      <w:r w:rsidRPr="002D2F67">
        <w:rPr>
          <w:rFonts w:ascii="Arial" w:hAnsi="Arial" w:cs="Arial"/>
        </w:rPr>
        <w:br w:type="page"/>
      </w:r>
    </w:p>
    <w:p w14:paraId="4490A89C" w14:textId="32332243" w:rsidR="001845CC"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13</w:t>
      </w:r>
      <w:r w:rsidR="001845CC" w:rsidRPr="002D2F67">
        <w:rPr>
          <w:rFonts w:ascii="Arial" w:hAnsi="Arial" w:cs="Arial"/>
          <w:b/>
          <w:bCs/>
          <w:color w:val="000000"/>
          <w:kern w:val="26"/>
          <w:position w:val="-24"/>
          <w:sz w:val="20"/>
          <w:szCs w:val="20"/>
          <w:cs/>
        </w:rPr>
        <w:tab/>
      </w:r>
      <w:r w:rsidR="001845CC" w:rsidRPr="002D2F67">
        <w:rPr>
          <w:rFonts w:ascii="Arial" w:hAnsi="Arial" w:cs="Arial"/>
          <w:b/>
          <w:bCs/>
          <w:color w:val="000000"/>
          <w:kern w:val="26"/>
          <w:position w:val="-24"/>
          <w:sz w:val="20"/>
          <w:szCs w:val="20"/>
        </w:rPr>
        <w:t>Finance lease receivable</w:t>
      </w:r>
      <w:r w:rsidR="00245047" w:rsidRPr="002D2F67">
        <w:rPr>
          <w:rFonts w:ascii="Arial" w:hAnsi="Arial" w:cs="Arial"/>
          <w:b/>
          <w:bCs/>
          <w:color w:val="000000"/>
          <w:kern w:val="26"/>
          <w:position w:val="-24"/>
          <w:sz w:val="20"/>
          <w:szCs w:val="20"/>
        </w:rPr>
        <w:t>s</w:t>
      </w:r>
      <w:r w:rsidR="001845CC" w:rsidRPr="002D2F67">
        <w:rPr>
          <w:rFonts w:ascii="Arial" w:hAnsi="Arial" w:cs="Arial"/>
          <w:b/>
          <w:bCs/>
          <w:color w:val="000000"/>
          <w:kern w:val="26"/>
          <w:position w:val="-24"/>
          <w:sz w:val="20"/>
          <w:szCs w:val="20"/>
        </w:rPr>
        <w:t>, net</w:t>
      </w:r>
    </w:p>
    <w:p w14:paraId="7CA15324" w14:textId="77777777" w:rsidR="00B64FB6" w:rsidRPr="002D2F67" w:rsidRDefault="00B64FB6" w:rsidP="005611FE">
      <w:pPr>
        <w:pStyle w:val="BodyTextIndent2"/>
        <w:spacing w:line="240" w:lineRule="auto"/>
        <w:ind w:left="0"/>
        <w:jc w:val="left"/>
        <w:rPr>
          <w:rFonts w:ascii="Arial" w:hAnsi="Arial" w:cs="Arial"/>
          <w:spacing w:val="-2"/>
        </w:rPr>
      </w:pPr>
    </w:p>
    <w:tbl>
      <w:tblPr>
        <w:tblW w:w="9472" w:type="dxa"/>
        <w:tblInd w:w="108" w:type="dxa"/>
        <w:tblLayout w:type="fixed"/>
        <w:tblLook w:val="0000" w:firstRow="0" w:lastRow="0" w:firstColumn="0" w:lastColumn="0" w:noHBand="0" w:noVBand="0"/>
      </w:tblPr>
      <w:tblGrid>
        <w:gridCol w:w="3690"/>
        <w:gridCol w:w="1474"/>
        <w:gridCol w:w="1417"/>
        <w:gridCol w:w="1474"/>
        <w:gridCol w:w="1417"/>
      </w:tblGrid>
      <w:tr w:rsidR="00B64FB6" w:rsidRPr="002D2F67" w14:paraId="7CCC4304" w14:textId="77777777" w:rsidTr="00EB669A">
        <w:trPr>
          <w:cantSplit/>
        </w:trPr>
        <w:tc>
          <w:tcPr>
            <w:tcW w:w="3690" w:type="dxa"/>
            <w:shd w:val="clear" w:color="auto" w:fill="auto"/>
            <w:vAlign w:val="bottom"/>
          </w:tcPr>
          <w:p w14:paraId="5D363B26" w14:textId="77777777" w:rsidR="00B64FB6" w:rsidRPr="002D2F67" w:rsidRDefault="00B64FB6" w:rsidP="005611FE">
            <w:pPr>
              <w:ind w:left="-101"/>
              <w:rPr>
                <w:rFonts w:ascii="Arial" w:eastAsia="Arial Unicode MS" w:hAnsi="Arial" w:cs="Arial"/>
                <w:snapToGrid w:val="0"/>
                <w:color w:val="000000"/>
                <w:sz w:val="20"/>
                <w:szCs w:val="20"/>
                <w:lang w:val="fr-FR" w:eastAsia="th-TH"/>
              </w:rPr>
            </w:pPr>
          </w:p>
        </w:tc>
        <w:tc>
          <w:tcPr>
            <w:tcW w:w="5782" w:type="dxa"/>
            <w:gridSpan w:val="4"/>
            <w:tcBorders>
              <w:bottom w:val="single" w:sz="4" w:space="0" w:color="auto"/>
            </w:tcBorders>
            <w:shd w:val="clear" w:color="auto" w:fill="auto"/>
            <w:vAlign w:val="bottom"/>
          </w:tcPr>
          <w:p w14:paraId="6FE69AC4" w14:textId="6CD0C326" w:rsidR="00B64FB6" w:rsidRPr="002D2F67" w:rsidRDefault="00B64FB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Consolidated financial </w:t>
            </w:r>
            <w:r w:rsidR="00050295" w:rsidRPr="002D2F67">
              <w:rPr>
                <w:rFonts w:ascii="Arial" w:hAnsi="Arial" w:cs="Arial"/>
                <w:b/>
                <w:bCs/>
                <w:color w:val="000000"/>
                <w:sz w:val="20"/>
                <w:szCs w:val="20"/>
              </w:rPr>
              <w:t>statements</w:t>
            </w:r>
          </w:p>
        </w:tc>
      </w:tr>
      <w:tr w:rsidR="00B64FB6" w:rsidRPr="002D2F67" w14:paraId="6C36ABD2" w14:textId="77777777" w:rsidTr="00EB669A">
        <w:trPr>
          <w:cantSplit/>
        </w:trPr>
        <w:tc>
          <w:tcPr>
            <w:tcW w:w="3690" w:type="dxa"/>
            <w:shd w:val="clear" w:color="auto" w:fill="auto"/>
            <w:vAlign w:val="bottom"/>
          </w:tcPr>
          <w:p w14:paraId="4333ED5C" w14:textId="77777777" w:rsidR="00B64FB6" w:rsidRPr="002D2F67" w:rsidRDefault="00B64FB6" w:rsidP="005611FE">
            <w:pPr>
              <w:ind w:left="-101"/>
              <w:rPr>
                <w:rFonts w:ascii="Arial" w:eastAsia="Arial Unicode MS" w:hAnsi="Arial" w:cs="Arial"/>
                <w:snapToGrid w:val="0"/>
                <w:color w:val="000000"/>
                <w:sz w:val="20"/>
                <w:szCs w:val="20"/>
                <w:lang w:val="fr-FR" w:eastAsia="th-TH"/>
              </w:rPr>
            </w:pPr>
          </w:p>
        </w:tc>
        <w:tc>
          <w:tcPr>
            <w:tcW w:w="2891" w:type="dxa"/>
            <w:gridSpan w:val="2"/>
            <w:tcBorders>
              <w:top w:val="single" w:sz="4" w:space="0" w:color="auto"/>
              <w:bottom w:val="single" w:sz="4" w:space="0" w:color="auto"/>
            </w:tcBorders>
            <w:shd w:val="clear" w:color="auto" w:fill="auto"/>
            <w:vAlign w:val="bottom"/>
          </w:tcPr>
          <w:p w14:paraId="0454A4FB" w14:textId="77777777" w:rsidR="007F7821" w:rsidRPr="002D2F67" w:rsidRDefault="007F7821"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L</w:t>
            </w:r>
            <w:r w:rsidR="00B64FB6" w:rsidRPr="002D2F67">
              <w:rPr>
                <w:rFonts w:ascii="Arial" w:hAnsi="Arial" w:cs="Arial"/>
                <w:b/>
                <w:bCs/>
                <w:color w:val="000000"/>
                <w:sz w:val="20"/>
                <w:szCs w:val="20"/>
              </w:rPr>
              <w:t>ease payment</w:t>
            </w:r>
          </w:p>
          <w:p w14:paraId="3A25B478" w14:textId="03FC6252" w:rsidR="00B64FB6" w:rsidRPr="002D2F67" w:rsidRDefault="007F7821"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to be received</w:t>
            </w:r>
          </w:p>
        </w:tc>
        <w:tc>
          <w:tcPr>
            <w:tcW w:w="2891" w:type="dxa"/>
            <w:gridSpan w:val="2"/>
            <w:tcBorders>
              <w:top w:val="single" w:sz="4" w:space="0" w:color="auto"/>
              <w:bottom w:val="single" w:sz="4" w:space="0" w:color="auto"/>
            </w:tcBorders>
            <w:shd w:val="clear" w:color="auto" w:fill="auto"/>
            <w:vAlign w:val="bottom"/>
          </w:tcPr>
          <w:p w14:paraId="53893576" w14:textId="77777777" w:rsidR="00B64FB6" w:rsidRPr="002D2F67" w:rsidRDefault="00B64FB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Present value of</w:t>
            </w:r>
          </w:p>
          <w:p w14:paraId="51D4CFD9" w14:textId="7E2F0773" w:rsidR="00B64FB6" w:rsidRPr="002D2F67" w:rsidRDefault="007F7821"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net investment in lease</w:t>
            </w:r>
          </w:p>
        </w:tc>
      </w:tr>
      <w:tr w:rsidR="008E366B" w:rsidRPr="002D2F67" w14:paraId="70B05B14" w14:textId="77777777" w:rsidTr="00EB669A">
        <w:trPr>
          <w:cantSplit/>
        </w:trPr>
        <w:tc>
          <w:tcPr>
            <w:tcW w:w="3690" w:type="dxa"/>
            <w:shd w:val="clear" w:color="auto" w:fill="auto"/>
            <w:vAlign w:val="bottom"/>
          </w:tcPr>
          <w:p w14:paraId="086A7806" w14:textId="5F9C0678" w:rsidR="008E366B" w:rsidRPr="002D2F67" w:rsidRDefault="008E366B" w:rsidP="005611FE">
            <w:pPr>
              <w:ind w:left="-101"/>
              <w:rPr>
                <w:rFonts w:ascii="Arial" w:eastAsia="Arial Unicode MS" w:hAnsi="Arial" w:cs="Arial"/>
                <w:b/>
                <w:bCs/>
                <w:snapToGrid w:val="0"/>
                <w:color w:val="000000"/>
                <w:sz w:val="20"/>
                <w:szCs w:val="20"/>
                <w:cs/>
                <w:lang w:eastAsia="th-TH"/>
              </w:rPr>
            </w:pPr>
            <w:r w:rsidRPr="002D2F67">
              <w:rPr>
                <w:rFonts w:ascii="Arial" w:hAnsi="Arial" w:cs="Arial"/>
                <w:b/>
                <w:bCs/>
                <w:color w:val="000000"/>
                <w:sz w:val="20"/>
                <w:szCs w:val="20"/>
              </w:rPr>
              <w:t xml:space="preserve">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w:t>
            </w:r>
          </w:p>
        </w:tc>
        <w:tc>
          <w:tcPr>
            <w:tcW w:w="1474" w:type="dxa"/>
            <w:tcBorders>
              <w:top w:val="single" w:sz="4" w:space="0" w:color="auto"/>
            </w:tcBorders>
            <w:shd w:val="clear" w:color="auto" w:fill="auto"/>
            <w:vAlign w:val="bottom"/>
          </w:tcPr>
          <w:p w14:paraId="108975F1" w14:textId="01B22F27" w:rsidR="008E366B"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1417" w:type="dxa"/>
            <w:tcBorders>
              <w:top w:val="single" w:sz="4" w:space="0" w:color="auto"/>
            </w:tcBorders>
            <w:shd w:val="clear" w:color="auto" w:fill="auto"/>
            <w:vAlign w:val="bottom"/>
          </w:tcPr>
          <w:p w14:paraId="0056A31A" w14:textId="46F9F2AF" w:rsidR="008E366B"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c>
          <w:tcPr>
            <w:tcW w:w="1474" w:type="dxa"/>
            <w:tcBorders>
              <w:top w:val="single" w:sz="4" w:space="0" w:color="auto"/>
            </w:tcBorders>
            <w:shd w:val="clear" w:color="auto" w:fill="auto"/>
            <w:vAlign w:val="bottom"/>
          </w:tcPr>
          <w:p w14:paraId="792798AE" w14:textId="2437D074" w:rsidR="008E366B"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1417" w:type="dxa"/>
            <w:tcBorders>
              <w:top w:val="single" w:sz="4" w:space="0" w:color="auto"/>
            </w:tcBorders>
            <w:shd w:val="clear" w:color="auto" w:fill="auto"/>
            <w:vAlign w:val="bottom"/>
          </w:tcPr>
          <w:p w14:paraId="05F3AFEA" w14:textId="13DEAAA2" w:rsidR="008E366B"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554EFA" w:rsidRPr="002D2F67" w14:paraId="156C209D" w14:textId="77777777" w:rsidTr="00EB669A">
        <w:trPr>
          <w:cantSplit/>
        </w:trPr>
        <w:tc>
          <w:tcPr>
            <w:tcW w:w="3690" w:type="dxa"/>
            <w:shd w:val="clear" w:color="auto" w:fill="auto"/>
            <w:vAlign w:val="bottom"/>
          </w:tcPr>
          <w:p w14:paraId="1E52BF74" w14:textId="77777777" w:rsidR="00554EFA" w:rsidRPr="002D2F67" w:rsidRDefault="00554EFA" w:rsidP="005611FE">
            <w:pPr>
              <w:ind w:left="-101"/>
              <w:rPr>
                <w:rFonts w:ascii="Arial" w:hAnsi="Arial" w:cs="Arial"/>
                <w:b/>
                <w:bCs/>
                <w:color w:val="000000"/>
                <w:sz w:val="20"/>
                <w:szCs w:val="20"/>
              </w:rPr>
            </w:pPr>
          </w:p>
        </w:tc>
        <w:tc>
          <w:tcPr>
            <w:tcW w:w="1474" w:type="dxa"/>
            <w:tcBorders>
              <w:bottom w:val="single" w:sz="4" w:space="0" w:color="auto"/>
            </w:tcBorders>
            <w:shd w:val="clear" w:color="auto" w:fill="auto"/>
            <w:vAlign w:val="bottom"/>
          </w:tcPr>
          <w:p w14:paraId="678774F1" w14:textId="3F000E02" w:rsidR="00554EFA" w:rsidRPr="002D2F67" w:rsidRDefault="00D31B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17" w:type="dxa"/>
            <w:tcBorders>
              <w:bottom w:val="single" w:sz="4" w:space="0" w:color="auto"/>
            </w:tcBorders>
            <w:shd w:val="clear" w:color="auto" w:fill="auto"/>
          </w:tcPr>
          <w:p w14:paraId="529E3D68" w14:textId="13345CD1" w:rsidR="00554EFA" w:rsidRPr="002D2F67" w:rsidRDefault="00D31B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74" w:type="dxa"/>
            <w:tcBorders>
              <w:bottom w:val="single" w:sz="4" w:space="0" w:color="auto"/>
            </w:tcBorders>
            <w:shd w:val="clear" w:color="auto" w:fill="auto"/>
          </w:tcPr>
          <w:p w14:paraId="1BA6A24A" w14:textId="73043896" w:rsidR="00554EFA" w:rsidRPr="002D2F67" w:rsidRDefault="00D31B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17" w:type="dxa"/>
            <w:tcBorders>
              <w:bottom w:val="single" w:sz="4" w:space="0" w:color="auto"/>
            </w:tcBorders>
            <w:shd w:val="clear" w:color="auto" w:fill="auto"/>
          </w:tcPr>
          <w:p w14:paraId="62ACACC0" w14:textId="0F9F3C8A" w:rsidR="00554EFA" w:rsidRPr="002D2F67" w:rsidRDefault="00D31B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B64FB6" w:rsidRPr="002D2F67" w14:paraId="58B20981" w14:textId="77777777" w:rsidTr="00EB669A">
        <w:trPr>
          <w:cantSplit/>
        </w:trPr>
        <w:tc>
          <w:tcPr>
            <w:tcW w:w="3690" w:type="dxa"/>
            <w:shd w:val="clear" w:color="auto" w:fill="auto"/>
            <w:vAlign w:val="bottom"/>
          </w:tcPr>
          <w:p w14:paraId="38A2FB83" w14:textId="77777777" w:rsidR="00B64FB6" w:rsidRPr="002D2F67" w:rsidRDefault="00B64FB6" w:rsidP="005611FE">
            <w:pPr>
              <w:ind w:left="-101"/>
              <w:rPr>
                <w:rFonts w:ascii="Arial" w:eastAsia="Arial Unicode MS" w:hAnsi="Arial" w:cs="Arial"/>
                <w:color w:val="000000"/>
                <w:sz w:val="20"/>
                <w:szCs w:val="20"/>
                <w:cs/>
              </w:rPr>
            </w:pPr>
          </w:p>
        </w:tc>
        <w:tc>
          <w:tcPr>
            <w:tcW w:w="1474" w:type="dxa"/>
            <w:tcBorders>
              <w:top w:val="single" w:sz="4" w:space="0" w:color="auto"/>
            </w:tcBorders>
            <w:shd w:val="clear" w:color="auto" w:fill="auto"/>
            <w:vAlign w:val="bottom"/>
          </w:tcPr>
          <w:p w14:paraId="5F97A422" w14:textId="77777777" w:rsidR="00B64FB6" w:rsidRPr="002D2F67" w:rsidRDefault="00B64FB6" w:rsidP="005611FE">
            <w:pPr>
              <w:ind w:right="-72"/>
              <w:jc w:val="right"/>
              <w:rPr>
                <w:rFonts w:ascii="Arial" w:eastAsia="Arial Unicode MS" w:hAnsi="Arial" w:cs="Arial"/>
                <w:color w:val="000000"/>
                <w:sz w:val="20"/>
                <w:szCs w:val="20"/>
              </w:rPr>
            </w:pPr>
          </w:p>
        </w:tc>
        <w:tc>
          <w:tcPr>
            <w:tcW w:w="1417" w:type="dxa"/>
            <w:tcBorders>
              <w:top w:val="single" w:sz="4" w:space="0" w:color="auto"/>
            </w:tcBorders>
            <w:shd w:val="clear" w:color="auto" w:fill="auto"/>
            <w:vAlign w:val="bottom"/>
          </w:tcPr>
          <w:p w14:paraId="57809A7F" w14:textId="77777777" w:rsidR="00B64FB6" w:rsidRPr="002D2F67" w:rsidRDefault="00B64FB6" w:rsidP="005611FE">
            <w:pPr>
              <w:ind w:right="-72"/>
              <w:jc w:val="right"/>
              <w:rPr>
                <w:rFonts w:ascii="Arial" w:eastAsia="Arial Unicode MS" w:hAnsi="Arial" w:cs="Arial"/>
                <w:color w:val="000000"/>
                <w:sz w:val="20"/>
                <w:szCs w:val="20"/>
              </w:rPr>
            </w:pPr>
          </w:p>
        </w:tc>
        <w:tc>
          <w:tcPr>
            <w:tcW w:w="1474" w:type="dxa"/>
            <w:tcBorders>
              <w:top w:val="single" w:sz="4" w:space="0" w:color="auto"/>
            </w:tcBorders>
            <w:shd w:val="clear" w:color="auto" w:fill="auto"/>
            <w:vAlign w:val="bottom"/>
          </w:tcPr>
          <w:p w14:paraId="7BB3D46C" w14:textId="77777777" w:rsidR="00B64FB6" w:rsidRPr="002D2F67" w:rsidRDefault="00B64FB6" w:rsidP="005611FE">
            <w:pPr>
              <w:ind w:right="-72"/>
              <w:jc w:val="right"/>
              <w:rPr>
                <w:rFonts w:ascii="Arial" w:eastAsia="Arial Unicode MS" w:hAnsi="Arial" w:cs="Arial"/>
                <w:color w:val="000000"/>
                <w:sz w:val="20"/>
                <w:szCs w:val="20"/>
              </w:rPr>
            </w:pPr>
          </w:p>
        </w:tc>
        <w:tc>
          <w:tcPr>
            <w:tcW w:w="1417" w:type="dxa"/>
            <w:tcBorders>
              <w:top w:val="single" w:sz="4" w:space="0" w:color="auto"/>
            </w:tcBorders>
            <w:shd w:val="clear" w:color="auto" w:fill="auto"/>
            <w:vAlign w:val="bottom"/>
          </w:tcPr>
          <w:p w14:paraId="3CE92EB7" w14:textId="77777777" w:rsidR="00B64FB6" w:rsidRPr="002D2F67" w:rsidRDefault="00B64FB6" w:rsidP="005611FE">
            <w:pPr>
              <w:ind w:right="-72"/>
              <w:jc w:val="right"/>
              <w:rPr>
                <w:rFonts w:ascii="Arial" w:eastAsia="Arial Unicode MS" w:hAnsi="Arial" w:cs="Arial"/>
                <w:color w:val="000000"/>
                <w:sz w:val="20"/>
                <w:szCs w:val="20"/>
              </w:rPr>
            </w:pPr>
          </w:p>
        </w:tc>
      </w:tr>
      <w:tr w:rsidR="003F4D68" w:rsidRPr="002D2F67" w14:paraId="7F15676F" w14:textId="77777777" w:rsidTr="00EB669A">
        <w:trPr>
          <w:cantSplit/>
        </w:trPr>
        <w:tc>
          <w:tcPr>
            <w:tcW w:w="3690" w:type="dxa"/>
            <w:shd w:val="clear" w:color="auto" w:fill="auto"/>
            <w:vAlign w:val="bottom"/>
          </w:tcPr>
          <w:p w14:paraId="412390B3" w14:textId="0981B41B" w:rsidR="003F4D68" w:rsidRPr="002D2F67" w:rsidRDefault="003F4D68" w:rsidP="005611FE">
            <w:pPr>
              <w:ind w:left="-101"/>
              <w:rPr>
                <w:rFonts w:ascii="Arial" w:hAnsi="Arial" w:cs="Arial"/>
                <w:color w:val="000000"/>
                <w:sz w:val="20"/>
                <w:szCs w:val="20"/>
                <w:cs/>
              </w:rPr>
            </w:pPr>
            <w:r w:rsidRPr="002D2F67">
              <w:rPr>
                <w:rFonts w:ascii="Arial" w:hAnsi="Arial" w:cs="Arial"/>
                <w:color w:val="000000"/>
                <w:sz w:val="20"/>
                <w:szCs w:val="20"/>
              </w:rPr>
              <w:t xml:space="preserve">Less than </w:t>
            </w:r>
            <w:r w:rsidR="00CD5714" w:rsidRPr="00CD5714">
              <w:rPr>
                <w:rFonts w:ascii="Arial" w:hAnsi="Arial" w:cs="Arial"/>
                <w:color w:val="000000"/>
                <w:sz w:val="20"/>
                <w:szCs w:val="20"/>
                <w:lang w:val="en-GB"/>
              </w:rPr>
              <w:t>1</w:t>
            </w:r>
            <w:r w:rsidRPr="002D2F67">
              <w:rPr>
                <w:rFonts w:ascii="Arial" w:hAnsi="Arial" w:cs="Arial"/>
                <w:color w:val="000000"/>
                <w:sz w:val="20"/>
                <w:szCs w:val="20"/>
              </w:rPr>
              <w:t xml:space="preserve"> year</w:t>
            </w:r>
          </w:p>
        </w:tc>
        <w:tc>
          <w:tcPr>
            <w:tcW w:w="1474" w:type="dxa"/>
            <w:shd w:val="clear" w:color="auto" w:fill="auto"/>
            <w:vAlign w:val="center"/>
          </w:tcPr>
          <w:p w14:paraId="0C730004" w14:textId="7E6A747A" w:rsidR="003F4D68"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w:t>
            </w:r>
            <w:r w:rsidR="005841D3"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542</w:t>
            </w:r>
            <w:r w:rsidR="005841D3"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104</w:t>
            </w:r>
          </w:p>
        </w:tc>
        <w:tc>
          <w:tcPr>
            <w:tcW w:w="1417" w:type="dxa"/>
            <w:shd w:val="clear" w:color="auto" w:fill="auto"/>
            <w:vAlign w:val="center"/>
          </w:tcPr>
          <w:p w14:paraId="32D45CE4" w14:textId="518989D5" w:rsidR="003F4D68"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w:t>
            </w:r>
            <w:r w:rsidR="003F4D68"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358</w:t>
            </w:r>
            <w:r w:rsidR="003F4D68"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527</w:t>
            </w:r>
          </w:p>
        </w:tc>
        <w:tc>
          <w:tcPr>
            <w:tcW w:w="1474" w:type="dxa"/>
            <w:shd w:val="clear" w:color="auto" w:fill="auto"/>
            <w:vAlign w:val="center"/>
          </w:tcPr>
          <w:p w14:paraId="17FC5C97" w14:textId="30FFE284" w:rsidR="003F4D68" w:rsidRPr="002D2F67" w:rsidRDefault="00CD5714"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r w:rsidRPr="00CD5714">
              <w:rPr>
                <w:rFonts w:ascii="Arial" w:eastAsia="Arial Unicode MS" w:hAnsi="Arial" w:cs="Arial"/>
                <w:snapToGrid/>
                <w:lang w:val="en-GB" w:eastAsia="en-US"/>
              </w:rPr>
              <w:t>2</w:t>
            </w:r>
            <w:r w:rsidR="002A474F" w:rsidRPr="002D2F67">
              <w:rPr>
                <w:rFonts w:ascii="Arial" w:eastAsia="Arial Unicode MS" w:hAnsi="Arial" w:cs="Arial"/>
                <w:snapToGrid/>
                <w:lang w:eastAsia="en-US"/>
              </w:rPr>
              <w:t>,</w:t>
            </w:r>
            <w:r w:rsidRPr="00CD5714">
              <w:rPr>
                <w:rFonts w:ascii="Arial" w:eastAsia="Arial Unicode MS" w:hAnsi="Arial" w:cs="Arial"/>
                <w:snapToGrid/>
                <w:lang w:val="en-GB" w:eastAsia="en-US"/>
              </w:rPr>
              <w:t>933</w:t>
            </w:r>
            <w:r w:rsidR="002A474F" w:rsidRPr="002D2F67">
              <w:rPr>
                <w:rFonts w:ascii="Arial" w:eastAsia="Arial Unicode MS" w:hAnsi="Arial" w:cs="Arial"/>
                <w:snapToGrid/>
                <w:lang w:eastAsia="en-US"/>
              </w:rPr>
              <w:t>,</w:t>
            </w:r>
            <w:r w:rsidRPr="00CD5714">
              <w:rPr>
                <w:rFonts w:ascii="Arial" w:eastAsia="Arial Unicode MS" w:hAnsi="Arial" w:cs="Arial"/>
                <w:snapToGrid/>
                <w:lang w:val="en-GB" w:eastAsia="en-US"/>
              </w:rPr>
              <w:t>233</w:t>
            </w:r>
          </w:p>
        </w:tc>
        <w:tc>
          <w:tcPr>
            <w:tcW w:w="1417" w:type="dxa"/>
            <w:shd w:val="clear" w:color="auto" w:fill="auto"/>
            <w:vAlign w:val="center"/>
          </w:tcPr>
          <w:p w14:paraId="4778C474" w14:textId="6FB3EFE4" w:rsidR="003F4D68" w:rsidRPr="002D2F67" w:rsidRDefault="00CD5714"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r w:rsidRPr="00CD5714">
              <w:rPr>
                <w:rFonts w:ascii="Arial" w:eastAsia="Arial Unicode MS" w:hAnsi="Arial" w:cs="Arial"/>
                <w:snapToGrid/>
                <w:lang w:val="en-GB" w:eastAsia="en-US"/>
              </w:rPr>
              <w:t>1</w:t>
            </w:r>
            <w:r w:rsidR="003F4D68" w:rsidRPr="002D2F67">
              <w:rPr>
                <w:rFonts w:ascii="Arial" w:eastAsia="Arial Unicode MS" w:hAnsi="Arial" w:cs="Arial"/>
                <w:snapToGrid/>
                <w:lang w:eastAsia="en-US"/>
              </w:rPr>
              <w:t>,</w:t>
            </w:r>
            <w:r w:rsidRPr="00CD5714">
              <w:rPr>
                <w:rFonts w:ascii="Arial" w:eastAsia="Arial Unicode MS" w:hAnsi="Arial" w:cs="Arial"/>
                <w:snapToGrid/>
                <w:lang w:val="en-GB" w:eastAsia="en-US"/>
              </w:rPr>
              <w:t>911</w:t>
            </w:r>
            <w:r w:rsidR="003F4D68" w:rsidRPr="002D2F67">
              <w:rPr>
                <w:rFonts w:ascii="Arial" w:eastAsia="Arial Unicode MS" w:hAnsi="Arial" w:cs="Arial"/>
                <w:snapToGrid/>
                <w:lang w:eastAsia="en-US"/>
              </w:rPr>
              <w:t>,</w:t>
            </w:r>
            <w:r w:rsidRPr="00CD5714">
              <w:rPr>
                <w:rFonts w:ascii="Arial" w:eastAsia="Arial Unicode MS" w:hAnsi="Arial" w:cs="Arial"/>
                <w:snapToGrid/>
                <w:lang w:val="en-GB" w:eastAsia="en-US"/>
              </w:rPr>
              <w:t>926</w:t>
            </w:r>
          </w:p>
        </w:tc>
      </w:tr>
      <w:tr w:rsidR="003F4D68" w:rsidRPr="002D2F67" w14:paraId="334CE73C" w14:textId="77777777" w:rsidTr="00EB669A">
        <w:trPr>
          <w:cantSplit/>
        </w:trPr>
        <w:tc>
          <w:tcPr>
            <w:tcW w:w="3690" w:type="dxa"/>
            <w:shd w:val="clear" w:color="auto" w:fill="auto"/>
            <w:vAlign w:val="bottom"/>
          </w:tcPr>
          <w:p w14:paraId="493FA06A" w14:textId="25C0BDFC" w:rsidR="003F4D68" w:rsidRPr="002D2F67" w:rsidRDefault="003F4D68" w:rsidP="005611FE">
            <w:pPr>
              <w:ind w:left="-101"/>
              <w:rPr>
                <w:rFonts w:ascii="Arial" w:hAnsi="Arial" w:cs="Arial"/>
                <w:color w:val="000000"/>
                <w:sz w:val="20"/>
                <w:szCs w:val="20"/>
                <w:cs/>
              </w:rPr>
            </w:pPr>
            <w:r w:rsidRPr="002D2F67">
              <w:rPr>
                <w:rFonts w:ascii="Arial" w:hAnsi="Arial" w:cs="Arial"/>
                <w:color w:val="000000"/>
                <w:sz w:val="20"/>
                <w:szCs w:val="20"/>
              </w:rPr>
              <w:t xml:space="preserve">Later than </w:t>
            </w:r>
            <w:r w:rsidR="00CD5714" w:rsidRPr="00CD5714">
              <w:rPr>
                <w:rFonts w:ascii="Arial" w:hAnsi="Arial" w:cs="Arial"/>
                <w:color w:val="000000"/>
                <w:sz w:val="20"/>
                <w:szCs w:val="20"/>
                <w:lang w:val="en-GB"/>
              </w:rPr>
              <w:t>1</w:t>
            </w:r>
            <w:r w:rsidRPr="002D2F67">
              <w:rPr>
                <w:rFonts w:ascii="Arial" w:hAnsi="Arial" w:cs="Arial"/>
                <w:color w:val="000000"/>
                <w:sz w:val="20"/>
                <w:szCs w:val="20"/>
              </w:rPr>
              <w:t xml:space="preserve"> year to </w:t>
            </w:r>
            <w:r w:rsidR="00CD5714" w:rsidRPr="00CD5714">
              <w:rPr>
                <w:rFonts w:ascii="Arial" w:hAnsi="Arial" w:cs="Arial"/>
                <w:color w:val="000000"/>
                <w:sz w:val="20"/>
                <w:szCs w:val="20"/>
                <w:lang w:val="en-GB"/>
              </w:rPr>
              <w:t>5</w:t>
            </w:r>
            <w:r w:rsidRPr="002D2F67">
              <w:rPr>
                <w:rFonts w:ascii="Arial" w:hAnsi="Arial" w:cs="Arial"/>
                <w:color w:val="000000"/>
                <w:sz w:val="20"/>
                <w:szCs w:val="20"/>
              </w:rPr>
              <w:t xml:space="preserve"> years</w:t>
            </w:r>
          </w:p>
        </w:tc>
        <w:tc>
          <w:tcPr>
            <w:tcW w:w="1474" w:type="dxa"/>
            <w:shd w:val="clear" w:color="auto" w:fill="auto"/>
            <w:vAlign w:val="center"/>
          </w:tcPr>
          <w:p w14:paraId="28F9CC77" w14:textId="53FC7C50" w:rsidR="003F4D68"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7</w:t>
            </w:r>
            <w:r w:rsidR="00980C2D"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246</w:t>
            </w:r>
            <w:r w:rsidR="005F1C05"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097</w:t>
            </w:r>
          </w:p>
        </w:tc>
        <w:tc>
          <w:tcPr>
            <w:tcW w:w="1417" w:type="dxa"/>
            <w:shd w:val="clear" w:color="auto" w:fill="auto"/>
            <w:vAlign w:val="center"/>
          </w:tcPr>
          <w:p w14:paraId="1225AF6D" w14:textId="022C8DCA" w:rsidR="003F4D68"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8</w:t>
            </w:r>
            <w:r w:rsidR="003F4D68"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238</w:t>
            </w:r>
            <w:r w:rsidR="003F4D68"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920</w:t>
            </w:r>
          </w:p>
        </w:tc>
        <w:tc>
          <w:tcPr>
            <w:tcW w:w="1474" w:type="dxa"/>
            <w:shd w:val="clear" w:color="auto" w:fill="auto"/>
            <w:vAlign w:val="center"/>
          </w:tcPr>
          <w:p w14:paraId="4AC792EF" w14:textId="103D7732" w:rsidR="003F4D68" w:rsidRPr="002D2F67" w:rsidRDefault="00CD5714"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r w:rsidRPr="00CD5714">
              <w:rPr>
                <w:rFonts w:ascii="Arial" w:eastAsia="Arial Unicode MS" w:hAnsi="Arial" w:cs="Arial"/>
                <w:snapToGrid/>
                <w:lang w:val="en-GB" w:eastAsia="en-US"/>
              </w:rPr>
              <w:t>6</w:t>
            </w:r>
            <w:r w:rsidR="002A474F" w:rsidRPr="002D2F67">
              <w:rPr>
                <w:rFonts w:ascii="Arial" w:eastAsia="Arial Unicode MS" w:hAnsi="Arial" w:cs="Arial"/>
                <w:snapToGrid/>
                <w:lang w:eastAsia="en-US"/>
              </w:rPr>
              <w:t>,</w:t>
            </w:r>
            <w:r w:rsidRPr="00CD5714">
              <w:rPr>
                <w:rFonts w:ascii="Arial" w:eastAsia="Arial Unicode MS" w:hAnsi="Arial" w:cs="Arial"/>
                <w:snapToGrid/>
                <w:lang w:val="en-GB" w:eastAsia="en-US"/>
              </w:rPr>
              <w:t>412</w:t>
            </w:r>
            <w:r w:rsidR="002A474F" w:rsidRPr="002D2F67">
              <w:rPr>
                <w:rFonts w:ascii="Arial" w:eastAsia="Arial Unicode MS" w:hAnsi="Arial" w:cs="Arial"/>
                <w:snapToGrid/>
                <w:lang w:eastAsia="en-US"/>
              </w:rPr>
              <w:t>,</w:t>
            </w:r>
            <w:r w:rsidRPr="00CD5714">
              <w:rPr>
                <w:rFonts w:ascii="Arial" w:eastAsia="Arial Unicode MS" w:hAnsi="Arial" w:cs="Arial"/>
                <w:snapToGrid/>
                <w:lang w:val="en-GB" w:eastAsia="en-US"/>
              </w:rPr>
              <w:t>177</w:t>
            </w:r>
          </w:p>
        </w:tc>
        <w:tc>
          <w:tcPr>
            <w:tcW w:w="1417" w:type="dxa"/>
            <w:shd w:val="clear" w:color="auto" w:fill="auto"/>
            <w:vAlign w:val="center"/>
          </w:tcPr>
          <w:p w14:paraId="2E66A822" w14:textId="5BCA56A5" w:rsidR="003F4D68" w:rsidRPr="002D2F67" w:rsidRDefault="00CD5714"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r w:rsidRPr="00CD5714">
              <w:rPr>
                <w:rFonts w:ascii="Arial" w:eastAsia="Arial Unicode MS" w:hAnsi="Arial" w:cs="Arial"/>
                <w:snapToGrid/>
                <w:lang w:val="en-GB" w:eastAsia="en-US"/>
              </w:rPr>
              <w:t>7</w:t>
            </w:r>
            <w:r w:rsidR="003F4D68" w:rsidRPr="002D2F67">
              <w:rPr>
                <w:rFonts w:ascii="Arial" w:eastAsia="Arial Unicode MS" w:hAnsi="Arial" w:cs="Arial"/>
                <w:snapToGrid/>
                <w:lang w:eastAsia="en-US"/>
              </w:rPr>
              <w:t>,</w:t>
            </w:r>
            <w:r w:rsidRPr="00CD5714">
              <w:rPr>
                <w:rFonts w:ascii="Arial" w:eastAsia="Arial Unicode MS" w:hAnsi="Arial" w:cs="Arial"/>
                <w:snapToGrid/>
                <w:lang w:val="en-GB" w:eastAsia="en-US"/>
              </w:rPr>
              <w:t>516</w:t>
            </w:r>
            <w:r w:rsidR="003F4D68" w:rsidRPr="002D2F67">
              <w:rPr>
                <w:rFonts w:ascii="Arial" w:eastAsia="Arial Unicode MS" w:hAnsi="Arial" w:cs="Arial"/>
                <w:snapToGrid/>
                <w:lang w:eastAsia="en-US"/>
              </w:rPr>
              <w:t>,</w:t>
            </w:r>
            <w:r w:rsidRPr="00CD5714">
              <w:rPr>
                <w:rFonts w:ascii="Arial" w:eastAsia="Arial Unicode MS" w:hAnsi="Arial" w:cs="Arial"/>
                <w:snapToGrid/>
                <w:lang w:val="en-GB" w:eastAsia="en-US"/>
              </w:rPr>
              <w:t>023</w:t>
            </w:r>
          </w:p>
        </w:tc>
      </w:tr>
      <w:tr w:rsidR="003F4D68" w:rsidRPr="002D2F67" w14:paraId="1D925FF5" w14:textId="77777777" w:rsidTr="00EB669A">
        <w:trPr>
          <w:cantSplit/>
        </w:trPr>
        <w:tc>
          <w:tcPr>
            <w:tcW w:w="3690" w:type="dxa"/>
            <w:shd w:val="clear" w:color="auto" w:fill="auto"/>
            <w:vAlign w:val="bottom"/>
          </w:tcPr>
          <w:p w14:paraId="284FBC32" w14:textId="633B4DC8" w:rsidR="003F4D68" w:rsidRPr="002D2F67" w:rsidRDefault="003F4D68" w:rsidP="005611FE">
            <w:pPr>
              <w:ind w:left="-101"/>
              <w:rPr>
                <w:rFonts w:ascii="Arial" w:hAnsi="Arial" w:cs="Arial"/>
                <w:color w:val="000000"/>
                <w:sz w:val="20"/>
                <w:szCs w:val="20"/>
                <w:cs/>
              </w:rPr>
            </w:pPr>
            <w:r w:rsidRPr="002D2F67">
              <w:rPr>
                <w:rFonts w:ascii="Arial" w:hAnsi="Arial" w:cs="Arial"/>
                <w:color w:val="000000"/>
                <w:sz w:val="20"/>
                <w:szCs w:val="20"/>
              </w:rPr>
              <w:t xml:space="preserve">Later than </w:t>
            </w:r>
            <w:r w:rsidR="00CD5714" w:rsidRPr="00CD5714">
              <w:rPr>
                <w:rFonts w:ascii="Arial" w:hAnsi="Arial" w:cs="Arial"/>
                <w:color w:val="000000"/>
                <w:sz w:val="20"/>
                <w:szCs w:val="20"/>
                <w:lang w:val="en-GB"/>
              </w:rPr>
              <w:t>5</w:t>
            </w:r>
            <w:r w:rsidRPr="002D2F67">
              <w:rPr>
                <w:rFonts w:ascii="Arial" w:hAnsi="Arial" w:cs="Arial"/>
                <w:color w:val="000000"/>
                <w:sz w:val="20"/>
                <w:szCs w:val="20"/>
              </w:rPr>
              <w:t xml:space="preserve"> years</w:t>
            </w:r>
          </w:p>
        </w:tc>
        <w:tc>
          <w:tcPr>
            <w:tcW w:w="1474" w:type="dxa"/>
            <w:tcBorders>
              <w:bottom w:val="single" w:sz="4" w:space="0" w:color="auto"/>
            </w:tcBorders>
            <w:shd w:val="clear" w:color="auto" w:fill="auto"/>
            <w:vAlign w:val="center"/>
          </w:tcPr>
          <w:p w14:paraId="15F38403" w14:textId="7B50C1BE" w:rsidR="003F4D68"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11</w:t>
            </w:r>
            <w:r w:rsidR="005F1C05"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410</w:t>
            </w:r>
          </w:p>
        </w:tc>
        <w:tc>
          <w:tcPr>
            <w:tcW w:w="1417" w:type="dxa"/>
            <w:tcBorders>
              <w:bottom w:val="single" w:sz="4" w:space="0" w:color="auto"/>
            </w:tcBorders>
            <w:shd w:val="clear" w:color="auto" w:fill="auto"/>
            <w:vAlign w:val="center"/>
          </w:tcPr>
          <w:p w14:paraId="3A1C2342" w14:textId="1106C090" w:rsidR="003F4D68"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11</w:t>
            </w:r>
            <w:r w:rsidR="003F4D68"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410</w:t>
            </w:r>
          </w:p>
        </w:tc>
        <w:tc>
          <w:tcPr>
            <w:tcW w:w="1474" w:type="dxa"/>
            <w:tcBorders>
              <w:bottom w:val="single" w:sz="4" w:space="0" w:color="auto"/>
            </w:tcBorders>
            <w:shd w:val="clear" w:color="auto" w:fill="auto"/>
            <w:vAlign w:val="center"/>
          </w:tcPr>
          <w:p w14:paraId="64816F58" w14:textId="7C4D95C2" w:rsidR="003F4D68" w:rsidRPr="002D2F67" w:rsidRDefault="00CD5714"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r w:rsidRPr="00CD5714">
              <w:rPr>
                <w:rFonts w:ascii="Arial" w:eastAsia="Arial Unicode MS" w:hAnsi="Arial" w:cs="Arial"/>
                <w:snapToGrid/>
                <w:lang w:val="en-GB" w:eastAsia="en-US"/>
              </w:rPr>
              <w:t>10</w:t>
            </w:r>
            <w:r w:rsidR="00A07DB7" w:rsidRPr="002D2F67">
              <w:rPr>
                <w:rFonts w:ascii="Arial" w:eastAsia="Arial Unicode MS" w:hAnsi="Arial" w:cs="Arial"/>
                <w:snapToGrid/>
                <w:lang w:eastAsia="en-US"/>
              </w:rPr>
              <w:t>,</w:t>
            </w:r>
            <w:r w:rsidRPr="00CD5714">
              <w:rPr>
                <w:rFonts w:ascii="Arial" w:eastAsia="Arial Unicode MS" w:hAnsi="Arial" w:cs="Arial"/>
                <w:snapToGrid/>
                <w:lang w:val="en-GB" w:eastAsia="en-US"/>
              </w:rPr>
              <w:t>415</w:t>
            </w:r>
          </w:p>
        </w:tc>
        <w:tc>
          <w:tcPr>
            <w:tcW w:w="1417" w:type="dxa"/>
            <w:tcBorders>
              <w:bottom w:val="single" w:sz="4" w:space="0" w:color="auto"/>
            </w:tcBorders>
            <w:shd w:val="clear" w:color="auto" w:fill="auto"/>
            <w:vAlign w:val="center"/>
          </w:tcPr>
          <w:p w14:paraId="5499710A" w14:textId="425433FA" w:rsidR="003F4D68" w:rsidRPr="002D2F67" w:rsidRDefault="00CD5714"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r w:rsidRPr="00CD5714">
              <w:rPr>
                <w:rFonts w:ascii="Arial" w:eastAsia="Arial Unicode MS" w:hAnsi="Arial" w:cs="Arial"/>
                <w:snapToGrid/>
                <w:lang w:val="en-GB" w:eastAsia="en-US"/>
              </w:rPr>
              <w:t>10</w:t>
            </w:r>
            <w:r w:rsidR="003F4D68" w:rsidRPr="002D2F67">
              <w:rPr>
                <w:rFonts w:ascii="Arial" w:eastAsia="Arial Unicode MS" w:hAnsi="Arial" w:cs="Arial"/>
                <w:snapToGrid/>
                <w:lang w:eastAsia="en-US"/>
              </w:rPr>
              <w:t>,</w:t>
            </w:r>
            <w:r w:rsidRPr="00CD5714">
              <w:rPr>
                <w:rFonts w:ascii="Arial" w:eastAsia="Arial Unicode MS" w:hAnsi="Arial" w:cs="Arial"/>
                <w:snapToGrid/>
                <w:lang w:val="en-GB" w:eastAsia="en-US"/>
              </w:rPr>
              <w:t>415</w:t>
            </w:r>
          </w:p>
        </w:tc>
      </w:tr>
      <w:tr w:rsidR="003F4D68" w:rsidRPr="002D2F67" w14:paraId="45777684" w14:textId="77777777" w:rsidTr="00EB669A">
        <w:trPr>
          <w:cantSplit/>
        </w:trPr>
        <w:tc>
          <w:tcPr>
            <w:tcW w:w="3690" w:type="dxa"/>
            <w:shd w:val="clear" w:color="auto" w:fill="auto"/>
            <w:vAlign w:val="bottom"/>
          </w:tcPr>
          <w:p w14:paraId="1377ECE2" w14:textId="77777777" w:rsidR="003F4D68" w:rsidRPr="002D2F67" w:rsidRDefault="003F4D68" w:rsidP="005611FE">
            <w:pPr>
              <w:ind w:left="-101"/>
              <w:rPr>
                <w:rFonts w:ascii="Arial" w:hAnsi="Arial" w:cs="Arial"/>
                <w:color w:val="000000"/>
                <w:sz w:val="20"/>
                <w:szCs w:val="20"/>
                <w:cs/>
              </w:rPr>
            </w:pPr>
          </w:p>
        </w:tc>
        <w:tc>
          <w:tcPr>
            <w:tcW w:w="1474" w:type="dxa"/>
            <w:tcBorders>
              <w:top w:val="single" w:sz="4" w:space="0" w:color="auto"/>
            </w:tcBorders>
            <w:shd w:val="clear" w:color="auto" w:fill="auto"/>
            <w:vAlign w:val="bottom"/>
          </w:tcPr>
          <w:p w14:paraId="7AC75A63" w14:textId="77777777" w:rsidR="003F4D68" w:rsidRPr="002D2F67" w:rsidRDefault="003F4D68"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p>
        </w:tc>
        <w:tc>
          <w:tcPr>
            <w:tcW w:w="1417" w:type="dxa"/>
            <w:tcBorders>
              <w:top w:val="single" w:sz="4" w:space="0" w:color="auto"/>
            </w:tcBorders>
            <w:shd w:val="clear" w:color="auto" w:fill="auto"/>
            <w:vAlign w:val="bottom"/>
          </w:tcPr>
          <w:p w14:paraId="4CE38253" w14:textId="77777777" w:rsidR="003F4D68" w:rsidRPr="002D2F67" w:rsidRDefault="003F4D68"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p>
        </w:tc>
        <w:tc>
          <w:tcPr>
            <w:tcW w:w="1474" w:type="dxa"/>
            <w:tcBorders>
              <w:top w:val="single" w:sz="4" w:space="0" w:color="auto"/>
            </w:tcBorders>
            <w:shd w:val="clear" w:color="auto" w:fill="auto"/>
            <w:vAlign w:val="bottom"/>
          </w:tcPr>
          <w:p w14:paraId="4F0B7574" w14:textId="77777777" w:rsidR="003F4D68" w:rsidRPr="002D2F67" w:rsidRDefault="003F4D68"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cs/>
              </w:rPr>
            </w:pPr>
          </w:p>
        </w:tc>
        <w:tc>
          <w:tcPr>
            <w:tcW w:w="1417" w:type="dxa"/>
            <w:tcBorders>
              <w:top w:val="single" w:sz="4" w:space="0" w:color="auto"/>
            </w:tcBorders>
            <w:shd w:val="clear" w:color="auto" w:fill="auto"/>
            <w:vAlign w:val="bottom"/>
          </w:tcPr>
          <w:p w14:paraId="05A5D20A" w14:textId="77777777" w:rsidR="003F4D68" w:rsidRPr="002D2F67" w:rsidRDefault="003F4D68"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p>
        </w:tc>
      </w:tr>
      <w:tr w:rsidR="003F4D68" w:rsidRPr="002D2F67" w14:paraId="0A8EF28B" w14:textId="77777777" w:rsidTr="00EB669A">
        <w:trPr>
          <w:cantSplit/>
          <w:trHeight w:val="153"/>
        </w:trPr>
        <w:tc>
          <w:tcPr>
            <w:tcW w:w="3690" w:type="dxa"/>
            <w:shd w:val="clear" w:color="auto" w:fill="auto"/>
            <w:vAlign w:val="bottom"/>
          </w:tcPr>
          <w:p w14:paraId="130A783A" w14:textId="77777777" w:rsidR="003F4D68" w:rsidRPr="002D2F67" w:rsidRDefault="003F4D68" w:rsidP="005611FE">
            <w:pPr>
              <w:ind w:left="-101"/>
              <w:rPr>
                <w:rFonts w:ascii="Arial" w:hAnsi="Arial" w:cs="Arial"/>
                <w:color w:val="000000"/>
                <w:sz w:val="20"/>
                <w:szCs w:val="20"/>
                <w:cs/>
              </w:rPr>
            </w:pPr>
          </w:p>
        </w:tc>
        <w:tc>
          <w:tcPr>
            <w:tcW w:w="1474" w:type="dxa"/>
            <w:shd w:val="clear" w:color="auto" w:fill="auto"/>
          </w:tcPr>
          <w:p w14:paraId="13B30D7C" w14:textId="7EEB2408" w:rsidR="003F4D68"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10</w:t>
            </w:r>
            <w:r w:rsidR="005F1C05"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799</w:t>
            </w:r>
            <w:r w:rsidR="005F1C05"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611</w:t>
            </w:r>
          </w:p>
        </w:tc>
        <w:tc>
          <w:tcPr>
            <w:tcW w:w="1417" w:type="dxa"/>
            <w:shd w:val="clear" w:color="auto" w:fill="auto"/>
          </w:tcPr>
          <w:p w14:paraId="5718FB4D" w14:textId="19254BAA" w:rsidR="003F4D68"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10</w:t>
            </w:r>
            <w:r w:rsidR="003F4D68"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608</w:t>
            </w:r>
            <w:r w:rsidR="003F4D68"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857</w:t>
            </w:r>
          </w:p>
        </w:tc>
        <w:tc>
          <w:tcPr>
            <w:tcW w:w="1474" w:type="dxa"/>
            <w:tcBorders>
              <w:bottom w:val="single" w:sz="4" w:space="0" w:color="auto"/>
            </w:tcBorders>
            <w:shd w:val="clear" w:color="auto" w:fill="auto"/>
            <w:vAlign w:val="bottom"/>
          </w:tcPr>
          <w:p w14:paraId="746DAE15" w14:textId="28018348" w:rsidR="003F4D68"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9</w:t>
            </w:r>
            <w:r w:rsidR="002A474F"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355</w:t>
            </w:r>
            <w:r w:rsidR="002A474F"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825</w:t>
            </w:r>
          </w:p>
        </w:tc>
        <w:tc>
          <w:tcPr>
            <w:tcW w:w="1417" w:type="dxa"/>
            <w:tcBorders>
              <w:bottom w:val="single" w:sz="4" w:space="0" w:color="auto"/>
            </w:tcBorders>
            <w:shd w:val="clear" w:color="auto" w:fill="auto"/>
            <w:vAlign w:val="bottom"/>
          </w:tcPr>
          <w:p w14:paraId="2EBC5829" w14:textId="36051B4A" w:rsidR="003F4D68" w:rsidRPr="002D2F67" w:rsidRDefault="00CD5714"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r w:rsidRPr="00CD5714">
              <w:rPr>
                <w:rFonts w:ascii="Arial" w:eastAsia="Arial Unicode MS" w:hAnsi="Arial" w:cs="Arial"/>
                <w:lang w:val="en-GB"/>
              </w:rPr>
              <w:t>9</w:t>
            </w:r>
            <w:r w:rsidR="003F4D68" w:rsidRPr="002D2F67">
              <w:rPr>
                <w:rFonts w:ascii="Arial" w:eastAsia="Arial Unicode MS" w:hAnsi="Arial" w:cs="Arial"/>
              </w:rPr>
              <w:t>,</w:t>
            </w:r>
            <w:r w:rsidRPr="00CD5714">
              <w:rPr>
                <w:rFonts w:ascii="Arial" w:eastAsia="Arial Unicode MS" w:hAnsi="Arial" w:cs="Arial"/>
                <w:lang w:val="en-GB"/>
              </w:rPr>
              <w:t>438</w:t>
            </w:r>
            <w:r w:rsidR="003F4D68" w:rsidRPr="002D2F67">
              <w:rPr>
                <w:rFonts w:ascii="Arial" w:eastAsia="Arial Unicode MS" w:hAnsi="Arial" w:cs="Arial"/>
              </w:rPr>
              <w:t>,</w:t>
            </w:r>
            <w:r w:rsidRPr="00CD5714">
              <w:rPr>
                <w:rFonts w:ascii="Arial" w:eastAsia="Arial Unicode MS" w:hAnsi="Arial" w:cs="Arial"/>
                <w:lang w:val="en-GB"/>
              </w:rPr>
              <w:t>364</w:t>
            </w:r>
          </w:p>
        </w:tc>
      </w:tr>
      <w:tr w:rsidR="00AB2395" w:rsidRPr="002D2F67" w14:paraId="3F566648" w14:textId="77777777" w:rsidTr="00EB669A">
        <w:trPr>
          <w:cantSplit/>
          <w:trHeight w:val="153"/>
        </w:trPr>
        <w:tc>
          <w:tcPr>
            <w:tcW w:w="3690" w:type="dxa"/>
            <w:shd w:val="clear" w:color="auto" w:fill="auto"/>
            <w:vAlign w:val="bottom"/>
          </w:tcPr>
          <w:p w14:paraId="25411C08" w14:textId="1219C115" w:rsidR="00AB2395" w:rsidRPr="002D2F67" w:rsidRDefault="00AB2395" w:rsidP="005611FE">
            <w:pPr>
              <w:ind w:left="-101"/>
              <w:rPr>
                <w:rFonts w:ascii="Arial" w:hAnsi="Arial" w:cs="Arial"/>
                <w:color w:val="000000"/>
                <w:sz w:val="20"/>
                <w:szCs w:val="20"/>
                <w:cs/>
              </w:rPr>
            </w:pPr>
            <w:r w:rsidRPr="002D2F67">
              <w:rPr>
                <w:rFonts w:ascii="Arial" w:hAnsi="Arial" w:cs="Arial"/>
                <w:color w:val="000000"/>
                <w:sz w:val="20"/>
                <w:szCs w:val="20"/>
                <w:u w:val="single"/>
              </w:rPr>
              <w:t>Less</w:t>
            </w:r>
            <w:r w:rsidRPr="002D2F67">
              <w:rPr>
                <w:rFonts w:ascii="Arial" w:hAnsi="Arial" w:cs="Arial"/>
                <w:color w:val="000000"/>
                <w:sz w:val="20"/>
                <w:szCs w:val="20"/>
              </w:rPr>
              <w:t xml:space="preserve">  Deferred finance income</w:t>
            </w:r>
          </w:p>
        </w:tc>
        <w:tc>
          <w:tcPr>
            <w:tcW w:w="1474" w:type="dxa"/>
            <w:shd w:val="clear" w:color="auto" w:fill="auto"/>
          </w:tcPr>
          <w:p w14:paraId="4DDD238A" w14:textId="50DCB6E0" w:rsidR="00AB2395" w:rsidRPr="002D2F67" w:rsidRDefault="00E35C04"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r w:rsidR="00CD5714" w:rsidRPr="00CD5714">
              <w:rPr>
                <w:rFonts w:ascii="Arial" w:eastAsia="Arial Unicode MS" w:hAnsi="Arial" w:cs="Arial"/>
                <w:color w:val="000000"/>
                <w:sz w:val="20"/>
                <w:szCs w:val="20"/>
                <w:lang w:val="en-GB"/>
              </w:rPr>
              <w:t>828</w:t>
            </w:r>
            <w:r w:rsidR="00ED727A" w:rsidRPr="002D2F67">
              <w:rPr>
                <w:rFonts w:ascii="Arial" w:eastAsia="Arial Unicode MS" w:hAnsi="Arial" w:cs="Arial"/>
                <w:color w:val="000000"/>
                <w:sz w:val="20"/>
                <w:szCs w:val="20"/>
              </w:rPr>
              <w:t>,</w:t>
            </w:r>
            <w:r w:rsidR="00CD5714" w:rsidRPr="00CD5714">
              <w:rPr>
                <w:rFonts w:ascii="Arial" w:eastAsia="Arial Unicode MS" w:hAnsi="Arial" w:cs="Arial"/>
                <w:color w:val="000000"/>
                <w:sz w:val="20"/>
                <w:szCs w:val="20"/>
                <w:lang w:val="en-GB"/>
              </w:rPr>
              <w:t>934</w:t>
            </w:r>
            <w:r w:rsidR="00ED727A" w:rsidRPr="002D2F67">
              <w:rPr>
                <w:rFonts w:ascii="Arial" w:eastAsia="Arial Unicode MS" w:hAnsi="Arial" w:cs="Arial"/>
                <w:color w:val="000000"/>
                <w:sz w:val="20"/>
                <w:szCs w:val="20"/>
              </w:rPr>
              <w:t>)</w:t>
            </w:r>
          </w:p>
        </w:tc>
        <w:tc>
          <w:tcPr>
            <w:tcW w:w="1417" w:type="dxa"/>
            <w:shd w:val="clear" w:color="auto" w:fill="auto"/>
          </w:tcPr>
          <w:p w14:paraId="37A94DA9" w14:textId="18BC11CF" w:rsidR="00AB2395" w:rsidRPr="002D2F67" w:rsidRDefault="008C4B93"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r w:rsidR="00CD5714" w:rsidRPr="00CD5714">
              <w:rPr>
                <w:rFonts w:ascii="Arial" w:eastAsia="Arial Unicode MS" w:hAnsi="Arial" w:cs="Arial"/>
                <w:color w:val="000000"/>
                <w:sz w:val="20"/>
                <w:szCs w:val="20"/>
                <w:lang w:val="en-GB"/>
              </w:rPr>
              <w:t>1</w:t>
            </w:r>
            <w:r w:rsidRPr="002D2F67">
              <w:rPr>
                <w:rFonts w:ascii="Arial" w:eastAsia="Arial Unicode MS" w:hAnsi="Arial" w:cs="Arial"/>
                <w:color w:val="000000"/>
                <w:sz w:val="20"/>
                <w:szCs w:val="20"/>
              </w:rPr>
              <w:t>,</w:t>
            </w:r>
            <w:r w:rsidR="00CD5714" w:rsidRPr="00CD5714">
              <w:rPr>
                <w:rFonts w:ascii="Arial" w:eastAsia="Arial Unicode MS" w:hAnsi="Arial" w:cs="Arial"/>
                <w:color w:val="000000"/>
                <w:sz w:val="20"/>
                <w:szCs w:val="20"/>
                <w:lang w:val="en-GB"/>
              </w:rPr>
              <w:t>170</w:t>
            </w:r>
            <w:r w:rsidRPr="002D2F67">
              <w:rPr>
                <w:rFonts w:ascii="Arial" w:eastAsia="Arial Unicode MS" w:hAnsi="Arial" w:cs="Arial"/>
                <w:color w:val="000000"/>
                <w:sz w:val="20"/>
                <w:szCs w:val="20"/>
              </w:rPr>
              <w:t>,</w:t>
            </w:r>
            <w:r w:rsidR="00CD5714" w:rsidRPr="00CD5714">
              <w:rPr>
                <w:rFonts w:ascii="Arial" w:eastAsia="Arial Unicode MS" w:hAnsi="Arial" w:cs="Arial"/>
                <w:color w:val="000000"/>
                <w:sz w:val="20"/>
                <w:szCs w:val="20"/>
                <w:lang w:val="en-GB"/>
              </w:rPr>
              <w:t>493</w:t>
            </w:r>
            <w:r w:rsidRPr="002D2F67">
              <w:rPr>
                <w:rFonts w:ascii="Arial" w:eastAsia="Arial Unicode MS" w:hAnsi="Arial" w:cs="Arial"/>
                <w:color w:val="000000"/>
                <w:sz w:val="20"/>
                <w:szCs w:val="20"/>
              </w:rPr>
              <w:t>)</w:t>
            </w:r>
          </w:p>
        </w:tc>
        <w:tc>
          <w:tcPr>
            <w:tcW w:w="1474" w:type="dxa"/>
            <w:shd w:val="clear" w:color="auto" w:fill="auto"/>
            <w:vAlign w:val="bottom"/>
          </w:tcPr>
          <w:p w14:paraId="75150EC7" w14:textId="77777777" w:rsidR="00AB2395" w:rsidRPr="002D2F67" w:rsidRDefault="00AB2395"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p>
        </w:tc>
        <w:tc>
          <w:tcPr>
            <w:tcW w:w="1417" w:type="dxa"/>
            <w:shd w:val="clear" w:color="auto" w:fill="auto"/>
            <w:vAlign w:val="bottom"/>
          </w:tcPr>
          <w:p w14:paraId="43E4E5F3" w14:textId="77777777" w:rsidR="00AB2395" w:rsidRPr="002D2F67" w:rsidRDefault="00AB2395"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rPr>
            </w:pPr>
          </w:p>
        </w:tc>
      </w:tr>
      <w:tr w:rsidR="00EB669A" w:rsidRPr="002D2F67" w14:paraId="6F63D7F4" w14:textId="77777777" w:rsidTr="00EB669A">
        <w:trPr>
          <w:cantSplit/>
        </w:trPr>
        <w:tc>
          <w:tcPr>
            <w:tcW w:w="3690" w:type="dxa"/>
            <w:shd w:val="clear" w:color="auto" w:fill="auto"/>
            <w:vAlign w:val="bottom"/>
          </w:tcPr>
          <w:p w14:paraId="28FB6336" w14:textId="561EE57E" w:rsidR="00EB669A" w:rsidRPr="002D2F67" w:rsidRDefault="00EB669A" w:rsidP="005611FE">
            <w:pPr>
              <w:ind w:left="-101" w:right="-117"/>
              <w:rPr>
                <w:rFonts w:ascii="Arial" w:hAnsi="Arial" w:cs="Arial"/>
                <w:color w:val="000000"/>
                <w:sz w:val="20"/>
                <w:szCs w:val="20"/>
                <w:cs/>
              </w:rPr>
            </w:pPr>
            <w:r w:rsidRPr="002D2F67">
              <w:rPr>
                <w:rFonts w:ascii="Arial" w:hAnsi="Arial" w:cs="Arial"/>
                <w:color w:val="000000"/>
                <w:sz w:val="20"/>
                <w:szCs w:val="20"/>
                <w:u w:val="single"/>
              </w:rPr>
              <w:t>Less</w:t>
            </w:r>
            <w:r w:rsidRPr="002D2F67">
              <w:rPr>
                <w:rFonts w:ascii="Arial" w:hAnsi="Arial" w:cs="Arial"/>
                <w:color w:val="000000"/>
                <w:sz w:val="20"/>
                <w:szCs w:val="20"/>
              </w:rPr>
              <w:t xml:space="preserve">  Expected credit loss</w:t>
            </w:r>
          </w:p>
        </w:tc>
        <w:tc>
          <w:tcPr>
            <w:tcW w:w="1474" w:type="dxa"/>
            <w:tcBorders>
              <w:bottom w:val="single" w:sz="4" w:space="0" w:color="auto"/>
            </w:tcBorders>
            <w:shd w:val="clear" w:color="auto" w:fill="auto"/>
            <w:vAlign w:val="center"/>
          </w:tcPr>
          <w:p w14:paraId="4F19E89B" w14:textId="1FE0CCBF" w:rsidR="00EB669A" w:rsidRPr="002D2F67" w:rsidRDefault="002A474F"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r w:rsidR="00CD5714" w:rsidRPr="00CD5714">
              <w:rPr>
                <w:rFonts w:ascii="Arial" w:eastAsia="Arial Unicode MS" w:hAnsi="Arial" w:cs="Arial"/>
                <w:color w:val="000000"/>
                <w:sz w:val="20"/>
                <w:szCs w:val="20"/>
                <w:lang w:val="en-GB"/>
              </w:rPr>
              <w:t>614</w:t>
            </w:r>
            <w:r w:rsidRPr="002D2F67">
              <w:rPr>
                <w:rFonts w:ascii="Arial" w:eastAsia="Arial Unicode MS" w:hAnsi="Arial" w:cs="Arial"/>
                <w:color w:val="000000"/>
                <w:sz w:val="20"/>
                <w:szCs w:val="20"/>
              </w:rPr>
              <w:t>,</w:t>
            </w:r>
            <w:r w:rsidR="00CD5714" w:rsidRPr="00CD5714">
              <w:rPr>
                <w:rFonts w:ascii="Arial" w:eastAsia="Arial Unicode MS" w:hAnsi="Arial" w:cs="Arial"/>
                <w:color w:val="000000"/>
                <w:sz w:val="20"/>
                <w:szCs w:val="20"/>
                <w:lang w:val="en-GB"/>
              </w:rPr>
              <w:t>852</w:t>
            </w:r>
            <w:r w:rsidRPr="002D2F67">
              <w:rPr>
                <w:rFonts w:ascii="Arial" w:eastAsia="Arial Unicode MS" w:hAnsi="Arial" w:cs="Arial"/>
                <w:color w:val="000000"/>
                <w:sz w:val="20"/>
                <w:szCs w:val="20"/>
              </w:rPr>
              <w:t>)</w:t>
            </w:r>
          </w:p>
        </w:tc>
        <w:tc>
          <w:tcPr>
            <w:tcW w:w="1417" w:type="dxa"/>
            <w:tcBorders>
              <w:bottom w:val="single" w:sz="4" w:space="0" w:color="auto"/>
            </w:tcBorders>
            <w:shd w:val="clear" w:color="auto" w:fill="auto"/>
            <w:vAlign w:val="center"/>
          </w:tcPr>
          <w:p w14:paraId="2FFD61EB" w14:textId="15ACC27A" w:rsidR="00EB669A" w:rsidRPr="002D2F67" w:rsidRDefault="008C4B93"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474" w:type="dxa"/>
            <w:shd w:val="clear" w:color="auto" w:fill="auto"/>
            <w:vAlign w:val="bottom"/>
          </w:tcPr>
          <w:p w14:paraId="26A24585" w14:textId="458D383F" w:rsidR="00EB669A" w:rsidRPr="002D2F67" w:rsidRDefault="00EB669A"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p>
        </w:tc>
        <w:tc>
          <w:tcPr>
            <w:tcW w:w="1417" w:type="dxa"/>
            <w:shd w:val="clear" w:color="auto" w:fill="auto"/>
            <w:vAlign w:val="bottom"/>
          </w:tcPr>
          <w:p w14:paraId="3A51CE4B" w14:textId="77777777" w:rsidR="00EB669A" w:rsidRPr="002D2F67" w:rsidRDefault="00EB669A"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p>
        </w:tc>
      </w:tr>
      <w:tr w:rsidR="00EB669A" w:rsidRPr="002D2F67" w14:paraId="5CC963D6" w14:textId="77777777" w:rsidTr="00EB669A">
        <w:trPr>
          <w:cantSplit/>
        </w:trPr>
        <w:tc>
          <w:tcPr>
            <w:tcW w:w="3690" w:type="dxa"/>
            <w:shd w:val="clear" w:color="auto" w:fill="auto"/>
            <w:vAlign w:val="bottom"/>
          </w:tcPr>
          <w:p w14:paraId="64609B22" w14:textId="77777777" w:rsidR="00EB669A" w:rsidRPr="002D2F67" w:rsidRDefault="00EB669A" w:rsidP="005611FE">
            <w:pPr>
              <w:ind w:left="-101"/>
              <w:rPr>
                <w:rFonts w:ascii="Arial" w:hAnsi="Arial" w:cs="Arial"/>
                <w:color w:val="000000"/>
                <w:sz w:val="20"/>
                <w:szCs w:val="20"/>
              </w:rPr>
            </w:pPr>
          </w:p>
        </w:tc>
        <w:tc>
          <w:tcPr>
            <w:tcW w:w="1474" w:type="dxa"/>
            <w:tcBorders>
              <w:top w:val="single" w:sz="4" w:space="0" w:color="auto"/>
            </w:tcBorders>
            <w:shd w:val="clear" w:color="auto" w:fill="auto"/>
            <w:vAlign w:val="bottom"/>
          </w:tcPr>
          <w:p w14:paraId="692C4BFA" w14:textId="77777777" w:rsidR="00EB669A" w:rsidRPr="002D2F67" w:rsidRDefault="00EB669A"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p>
        </w:tc>
        <w:tc>
          <w:tcPr>
            <w:tcW w:w="1417" w:type="dxa"/>
            <w:tcBorders>
              <w:top w:val="single" w:sz="4" w:space="0" w:color="auto"/>
            </w:tcBorders>
            <w:shd w:val="clear" w:color="auto" w:fill="auto"/>
            <w:vAlign w:val="bottom"/>
          </w:tcPr>
          <w:p w14:paraId="636BB3D9" w14:textId="77777777" w:rsidR="00EB669A" w:rsidRPr="002D2F67" w:rsidRDefault="00EB669A"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p>
        </w:tc>
        <w:tc>
          <w:tcPr>
            <w:tcW w:w="1474" w:type="dxa"/>
            <w:shd w:val="clear" w:color="auto" w:fill="auto"/>
            <w:vAlign w:val="bottom"/>
          </w:tcPr>
          <w:p w14:paraId="35DF799A" w14:textId="77777777" w:rsidR="00EB669A" w:rsidRPr="002D2F67" w:rsidRDefault="00EB669A"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p>
        </w:tc>
        <w:tc>
          <w:tcPr>
            <w:tcW w:w="1417" w:type="dxa"/>
            <w:shd w:val="clear" w:color="auto" w:fill="auto"/>
            <w:vAlign w:val="bottom"/>
          </w:tcPr>
          <w:p w14:paraId="5948E6C1" w14:textId="77777777" w:rsidR="00EB669A" w:rsidRPr="002D2F67" w:rsidRDefault="00EB669A"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p>
        </w:tc>
      </w:tr>
      <w:tr w:rsidR="00EB669A" w:rsidRPr="002D2F67" w14:paraId="4AA59BD1" w14:textId="77777777" w:rsidTr="00EB669A">
        <w:trPr>
          <w:cantSplit/>
        </w:trPr>
        <w:tc>
          <w:tcPr>
            <w:tcW w:w="3690" w:type="dxa"/>
            <w:shd w:val="clear" w:color="auto" w:fill="auto"/>
            <w:vAlign w:val="bottom"/>
          </w:tcPr>
          <w:p w14:paraId="3507EDE5" w14:textId="7E56EC1C" w:rsidR="00EB669A" w:rsidRPr="002D2F67" w:rsidRDefault="00EB669A" w:rsidP="005611FE">
            <w:pPr>
              <w:ind w:left="-101"/>
              <w:rPr>
                <w:rFonts w:ascii="Arial" w:hAnsi="Arial" w:cs="Arial"/>
                <w:color w:val="000000"/>
                <w:sz w:val="20"/>
                <w:szCs w:val="20"/>
                <w:cs/>
              </w:rPr>
            </w:pPr>
            <w:r w:rsidRPr="002D2F67">
              <w:rPr>
                <w:rFonts w:ascii="Arial" w:hAnsi="Arial" w:cs="Arial"/>
                <w:color w:val="000000"/>
                <w:sz w:val="20"/>
                <w:szCs w:val="20"/>
              </w:rPr>
              <w:t>Present value of net investment in lease</w:t>
            </w:r>
          </w:p>
        </w:tc>
        <w:tc>
          <w:tcPr>
            <w:tcW w:w="1474" w:type="dxa"/>
            <w:tcBorders>
              <w:bottom w:val="single" w:sz="4" w:space="0" w:color="auto"/>
            </w:tcBorders>
            <w:shd w:val="clear" w:color="auto" w:fill="auto"/>
            <w:vAlign w:val="bottom"/>
          </w:tcPr>
          <w:p w14:paraId="0C3E4C47" w14:textId="6E26C622" w:rsidR="00EB669A"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9</w:t>
            </w:r>
            <w:r w:rsidR="002A474F"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355</w:t>
            </w:r>
            <w:r w:rsidR="002A474F"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825</w:t>
            </w:r>
          </w:p>
        </w:tc>
        <w:tc>
          <w:tcPr>
            <w:tcW w:w="1417" w:type="dxa"/>
            <w:tcBorders>
              <w:bottom w:val="single" w:sz="4" w:space="0" w:color="auto"/>
            </w:tcBorders>
            <w:shd w:val="clear" w:color="auto" w:fill="auto"/>
            <w:vAlign w:val="bottom"/>
          </w:tcPr>
          <w:p w14:paraId="4D00EA5A" w14:textId="74AB37DD" w:rsidR="00EB669A"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9</w:t>
            </w:r>
            <w:r w:rsidR="00EB669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438</w:t>
            </w:r>
            <w:r w:rsidR="00EB669A"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364</w:t>
            </w:r>
          </w:p>
        </w:tc>
        <w:tc>
          <w:tcPr>
            <w:tcW w:w="1474" w:type="dxa"/>
            <w:shd w:val="clear" w:color="auto" w:fill="auto"/>
            <w:vAlign w:val="bottom"/>
          </w:tcPr>
          <w:p w14:paraId="372B5F21" w14:textId="55B3AA4B" w:rsidR="00EB669A" w:rsidRPr="002D2F67" w:rsidRDefault="00EB669A"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p>
        </w:tc>
        <w:tc>
          <w:tcPr>
            <w:tcW w:w="1417" w:type="dxa"/>
            <w:shd w:val="clear" w:color="auto" w:fill="auto"/>
            <w:vAlign w:val="bottom"/>
          </w:tcPr>
          <w:p w14:paraId="15ED4610" w14:textId="77777777" w:rsidR="00EB669A" w:rsidRPr="002D2F67" w:rsidRDefault="00EB669A"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p>
        </w:tc>
      </w:tr>
    </w:tbl>
    <w:p w14:paraId="4EC540FA" w14:textId="47DEE2FC" w:rsidR="00554EFA" w:rsidRPr="002D2F67" w:rsidRDefault="00554EFA" w:rsidP="005611FE">
      <w:pPr>
        <w:tabs>
          <w:tab w:val="left" w:pos="540"/>
        </w:tabs>
        <w:jc w:val="thaiDistribute"/>
        <w:rPr>
          <w:rFonts w:ascii="Arial" w:eastAsia="Arial Unicode MS" w:hAnsi="Arial" w:cs="Arial"/>
          <w:color w:val="000000"/>
          <w:sz w:val="20"/>
          <w:szCs w:val="20"/>
          <w:u w:val="single"/>
        </w:rPr>
      </w:pPr>
    </w:p>
    <w:tbl>
      <w:tblPr>
        <w:tblW w:w="9472" w:type="dxa"/>
        <w:tblInd w:w="108" w:type="dxa"/>
        <w:tblLayout w:type="fixed"/>
        <w:tblLook w:val="0000" w:firstRow="0" w:lastRow="0" w:firstColumn="0" w:lastColumn="0" w:noHBand="0" w:noVBand="0"/>
      </w:tblPr>
      <w:tblGrid>
        <w:gridCol w:w="3690"/>
        <w:gridCol w:w="1474"/>
        <w:gridCol w:w="1417"/>
        <w:gridCol w:w="1474"/>
        <w:gridCol w:w="1417"/>
      </w:tblGrid>
      <w:tr w:rsidR="003A13C4" w:rsidRPr="002D2F67" w14:paraId="3041F6BA" w14:textId="77777777" w:rsidTr="008255E8">
        <w:trPr>
          <w:cantSplit/>
        </w:trPr>
        <w:tc>
          <w:tcPr>
            <w:tcW w:w="3690" w:type="dxa"/>
            <w:shd w:val="clear" w:color="auto" w:fill="auto"/>
            <w:vAlign w:val="bottom"/>
          </w:tcPr>
          <w:p w14:paraId="4044EA29" w14:textId="77777777" w:rsidR="003A13C4" w:rsidRPr="002D2F67" w:rsidRDefault="003A13C4" w:rsidP="005611FE">
            <w:pPr>
              <w:ind w:left="-101"/>
              <w:rPr>
                <w:rFonts w:ascii="Arial" w:eastAsia="Arial Unicode MS" w:hAnsi="Arial" w:cs="Arial"/>
                <w:snapToGrid w:val="0"/>
                <w:color w:val="000000"/>
                <w:sz w:val="20"/>
                <w:szCs w:val="20"/>
                <w:lang w:val="fr-FR" w:eastAsia="th-TH"/>
              </w:rPr>
            </w:pPr>
          </w:p>
        </w:tc>
        <w:tc>
          <w:tcPr>
            <w:tcW w:w="5782" w:type="dxa"/>
            <w:gridSpan w:val="4"/>
            <w:tcBorders>
              <w:bottom w:val="single" w:sz="4" w:space="0" w:color="auto"/>
            </w:tcBorders>
            <w:shd w:val="clear" w:color="auto" w:fill="auto"/>
            <w:vAlign w:val="bottom"/>
          </w:tcPr>
          <w:p w14:paraId="2ED804EE" w14:textId="1D712933" w:rsidR="003A13C4" w:rsidRPr="002D2F67" w:rsidRDefault="00591CAD"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Separate</w:t>
            </w:r>
            <w:r w:rsidR="003A13C4" w:rsidRPr="002D2F67">
              <w:rPr>
                <w:rFonts w:ascii="Arial" w:hAnsi="Arial" w:cs="Arial"/>
                <w:b/>
                <w:bCs/>
                <w:color w:val="000000"/>
                <w:sz w:val="20"/>
                <w:szCs w:val="20"/>
              </w:rPr>
              <w:t xml:space="preserve"> financial statements</w:t>
            </w:r>
          </w:p>
        </w:tc>
      </w:tr>
      <w:tr w:rsidR="003A13C4" w:rsidRPr="002D2F67" w14:paraId="3F501499" w14:textId="77777777" w:rsidTr="005611FE">
        <w:trPr>
          <w:cantSplit/>
        </w:trPr>
        <w:tc>
          <w:tcPr>
            <w:tcW w:w="3690" w:type="dxa"/>
            <w:shd w:val="clear" w:color="auto" w:fill="auto"/>
            <w:vAlign w:val="bottom"/>
          </w:tcPr>
          <w:p w14:paraId="6DA3165C" w14:textId="77777777" w:rsidR="003A13C4" w:rsidRPr="002D2F67" w:rsidRDefault="003A13C4" w:rsidP="005611FE">
            <w:pPr>
              <w:ind w:left="-101"/>
              <w:rPr>
                <w:rFonts w:ascii="Arial" w:eastAsia="Arial Unicode MS" w:hAnsi="Arial" w:cs="Arial"/>
                <w:snapToGrid w:val="0"/>
                <w:color w:val="000000"/>
                <w:sz w:val="20"/>
                <w:szCs w:val="20"/>
                <w:lang w:val="fr-FR" w:eastAsia="th-TH"/>
              </w:rPr>
            </w:pPr>
          </w:p>
        </w:tc>
        <w:tc>
          <w:tcPr>
            <w:tcW w:w="2891" w:type="dxa"/>
            <w:gridSpan w:val="2"/>
            <w:tcBorders>
              <w:top w:val="single" w:sz="4" w:space="0" w:color="auto"/>
              <w:bottom w:val="single" w:sz="4" w:space="0" w:color="auto"/>
            </w:tcBorders>
            <w:shd w:val="clear" w:color="auto" w:fill="auto"/>
            <w:vAlign w:val="bottom"/>
          </w:tcPr>
          <w:p w14:paraId="249DAAA1" w14:textId="77777777" w:rsidR="003A13C4" w:rsidRPr="002D2F67" w:rsidRDefault="003A13C4"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Lease payment</w:t>
            </w:r>
          </w:p>
          <w:p w14:paraId="4FA7A8D8" w14:textId="77777777" w:rsidR="003A13C4" w:rsidRPr="002D2F67" w:rsidRDefault="003A13C4"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to be received</w:t>
            </w:r>
          </w:p>
        </w:tc>
        <w:tc>
          <w:tcPr>
            <w:tcW w:w="2891" w:type="dxa"/>
            <w:gridSpan w:val="2"/>
            <w:tcBorders>
              <w:top w:val="single" w:sz="4" w:space="0" w:color="auto"/>
              <w:bottom w:val="single" w:sz="4" w:space="0" w:color="auto"/>
            </w:tcBorders>
            <w:shd w:val="clear" w:color="auto" w:fill="auto"/>
            <w:vAlign w:val="bottom"/>
          </w:tcPr>
          <w:p w14:paraId="6E0555CF" w14:textId="77777777" w:rsidR="003A13C4" w:rsidRPr="002D2F67" w:rsidRDefault="003A13C4"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Present value of</w:t>
            </w:r>
          </w:p>
          <w:p w14:paraId="5DB9E341" w14:textId="77777777" w:rsidR="003A13C4" w:rsidRPr="002D2F67" w:rsidRDefault="003A13C4"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net investment in lease</w:t>
            </w:r>
          </w:p>
        </w:tc>
      </w:tr>
      <w:tr w:rsidR="003A13C4" w:rsidRPr="002D2F67" w14:paraId="48988E71" w14:textId="77777777" w:rsidTr="005611FE">
        <w:trPr>
          <w:cantSplit/>
        </w:trPr>
        <w:tc>
          <w:tcPr>
            <w:tcW w:w="3690" w:type="dxa"/>
            <w:shd w:val="clear" w:color="auto" w:fill="auto"/>
            <w:vAlign w:val="bottom"/>
          </w:tcPr>
          <w:p w14:paraId="7E32FF34" w14:textId="1122C7C9" w:rsidR="003A13C4" w:rsidRPr="002D2F67" w:rsidRDefault="003A13C4" w:rsidP="005611FE">
            <w:pPr>
              <w:ind w:left="-101"/>
              <w:rPr>
                <w:rFonts w:ascii="Arial" w:eastAsia="Arial Unicode MS" w:hAnsi="Arial" w:cs="Arial"/>
                <w:b/>
                <w:bCs/>
                <w:snapToGrid w:val="0"/>
                <w:color w:val="000000"/>
                <w:sz w:val="20"/>
                <w:szCs w:val="20"/>
                <w:cs/>
                <w:lang w:eastAsia="th-TH"/>
              </w:rPr>
            </w:pPr>
            <w:r w:rsidRPr="002D2F67">
              <w:rPr>
                <w:rFonts w:ascii="Arial" w:hAnsi="Arial" w:cs="Arial"/>
                <w:b/>
                <w:bCs/>
                <w:color w:val="000000"/>
                <w:sz w:val="20"/>
                <w:szCs w:val="20"/>
              </w:rPr>
              <w:t xml:space="preserve">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w:t>
            </w:r>
          </w:p>
        </w:tc>
        <w:tc>
          <w:tcPr>
            <w:tcW w:w="1474" w:type="dxa"/>
            <w:shd w:val="clear" w:color="auto" w:fill="auto"/>
            <w:vAlign w:val="bottom"/>
          </w:tcPr>
          <w:p w14:paraId="057574FE" w14:textId="5B474291" w:rsidR="003A13C4"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1417" w:type="dxa"/>
            <w:shd w:val="clear" w:color="auto" w:fill="auto"/>
            <w:vAlign w:val="bottom"/>
          </w:tcPr>
          <w:p w14:paraId="0615D492" w14:textId="6EF6A419" w:rsidR="003A13C4"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c>
          <w:tcPr>
            <w:tcW w:w="1474" w:type="dxa"/>
            <w:shd w:val="clear" w:color="auto" w:fill="auto"/>
            <w:vAlign w:val="bottom"/>
          </w:tcPr>
          <w:p w14:paraId="0E88A388" w14:textId="222383BD" w:rsidR="003A13C4"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1417" w:type="dxa"/>
            <w:shd w:val="clear" w:color="auto" w:fill="auto"/>
            <w:vAlign w:val="bottom"/>
          </w:tcPr>
          <w:p w14:paraId="2AF65E9E" w14:textId="7F9DE520" w:rsidR="003A13C4"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3A13C4" w:rsidRPr="002D2F67" w14:paraId="40246D9D" w14:textId="77777777" w:rsidTr="005611FE">
        <w:trPr>
          <w:cantSplit/>
        </w:trPr>
        <w:tc>
          <w:tcPr>
            <w:tcW w:w="3690" w:type="dxa"/>
            <w:shd w:val="clear" w:color="auto" w:fill="auto"/>
            <w:vAlign w:val="bottom"/>
          </w:tcPr>
          <w:p w14:paraId="1F9D63FD" w14:textId="77777777" w:rsidR="003A13C4" w:rsidRPr="002D2F67" w:rsidRDefault="003A13C4" w:rsidP="005611FE">
            <w:pPr>
              <w:ind w:left="-101"/>
              <w:rPr>
                <w:rFonts w:ascii="Arial" w:hAnsi="Arial" w:cs="Arial"/>
                <w:b/>
                <w:bCs/>
                <w:color w:val="000000"/>
                <w:sz w:val="20"/>
                <w:szCs w:val="20"/>
              </w:rPr>
            </w:pPr>
          </w:p>
        </w:tc>
        <w:tc>
          <w:tcPr>
            <w:tcW w:w="1474" w:type="dxa"/>
            <w:tcBorders>
              <w:bottom w:val="single" w:sz="4" w:space="0" w:color="auto"/>
            </w:tcBorders>
            <w:shd w:val="clear" w:color="auto" w:fill="auto"/>
            <w:vAlign w:val="bottom"/>
          </w:tcPr>
          <w:p w14:paraId="741199B4" w14:textId="1B5131CD" w:rsidR="003A13C4" w:rsidRPr="002D2F67" w:rsidRDefault="003A13C4"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17" w:type="dxa"/>
            <w:tcBorders>
              <w:bottom w:val="single" w:sz="4" w:space="0" w:color="auto"/>
            </w:tcBorders>
            <w:shd w:val="clear" w:color="auto" w:fill="auto"/>
          </w:tcPr>
          <w:p w14:paraId="62428274" w14:textId="326DED12" w:rsidR="003A13C4" w:rsidRPr="002D2F67" w:rsidRDefault="003A13C4"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74" w:type="dxa"/>
            <w:tcBorders>
              <w:bottom w:val="single" w:sz="4" w:space="0" w:color="auto"/>
            </w:tcBorders>
            <w:shd w:val="clear" w:color="auto" w:fill="auto"/>
          </w:tcPr>
          <w:p w14:paraId="2C9383EB" w14:textId="08A89190" w:rsidR="003A13C4" w:rsidRPr="002D2F67" w:rsidRDefault="003A13C4"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17" w:type="dxa"/>
            <w:tcBorders>
              <w:bottom w:val="single" w:sz="4" w:space="0" w:color="auto"/>
            </w:tcBorders>
            <w:shd w:val="clear" w:color="auto" w:fill="auto"/>
          </w:tcPr>
          <w:p w14:paraId="323897CD" w14:textId="59296CB0" w:rsidR="003A13C4" w:rsidRPr="002D2F67" w:rsidRDefault="003A13C4"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3A13C4" w:rsidRPr="002D2F67" w14:paraId="7F18958B" w14:textId="77777777" w:rsidTr="005611FE">
        <w:trPr>
          <w:cantSplit/>
        </w:trPr>
        <w:tc>
          <w:tcPr>
            <w:tcW w:w="3690" w:type="dxa"/>
            <w:shd w:val="clear" w:color="auto" w:fill="auto"/>
            <w:vAlign w:val="bottom"/>
          </w:tcPr>
          <w:p w14:paraId="508DE737" w14:textId="77777777" w:rsidR="003A13C4" w:rsidRPr="002D2F67" w:rsidRDefault="003A13C4" w:rsidP="005611FE">
            <w:pPr>
              <w:ind w:left="-101"/>
              <w:rPr>
                <w:rFonts w:ascii="Arial" w:eastAsia="Arial Unicode MS" w:hAnsi="Arial" w:cs="Arial"/>
                <w:color w:val="000000"/>
                <w:sz w:val="20"/>
                <w:szCs w:val="20"/>
                <w:cs/>
              </w:rPr>
            </w:pPr>
          </w:p>
        </w:tc>
        <w:tc>
          <w:tcPr>
            <w:tcW w:w="1474" w:type="dxa"/>
            <w:tcBorders>
              <w:top w:val="single" w:sz="4" w:space="0" w:color="auto"/>
            </w:tcBorders>
            <w:shd w:val="clear" w:color="auto" w:fill="auto"/>
            <w:vAlign w:val="bottom"/>
          </w:tcPr>
          <w:p w14:paraId="6EEC183F" w14:textId="77777777" w:rsidR="003A13C4" w:rsidRPr="002D2F67" w:rsidRDefault="003A13C4" w:rsidP="005611FE">
            <w:pPr>
              <w:ind w:right="-72"/>
              <w:jc w:val="right"/>
              <w:rPr>
                <w:rFonts w:ascii="Arial" w:eastAsia="Arial Unicode MS" w:hAnsi="Arial" w:cs="Arial"/>
                <w:color w:val="000000"/>
                <w:sz w:val="20"/>
                <w:szCs w:val="20"/>
              </w:rPr>
            </w:pPr>
          </w:p>
        </w:tc>
        <w:tc>
          <w:tcPr>
            <w:tcW w:w="1417" w:type="dxa"/>
            <w:tcBorders>
              <w:top w:val="single" w:sz="4" w:space="0" w:color="auto"/>
            </w:tcBorders>
            <w:shd w:val="clear" w:color="auto" w:fill="auto"/>
            <w:vAlign w:val="bottom"/>
          </w:tcPr>
          <w:p w14:paraId="726B1EF9" w14:textId="77777777" w:rsidR="003A13C4" w:rsidRPr="002D2F67" w:rsidRDefault="003A13C4" w:rsidP="005611FE">
            <w:pPr>
              <w:ind w:right="-72"/>
              <w:jc w:val="right"/>
              <w:rPr>
                <w:rFonts w:ascii="Arial" w:eastAsia="Arial Unicode MS" w:hAnsi="Arial" w:cs="Arial"/>
                <w:color w:val="000000"/>
                <w:sz w:val="20"/>
                <w:szCs w:val="20"/>
              </w:rPr>
            </w:pPr>
          </w:p>
        </w:tc>
        <w:tc>
          <w:tcPr>
            <w:tcW w:w="1474" w:type="dxa"/>
            <w:tcBorders>
              <w:top w:val="single" w:sz="4" w:space="0" w:color="auto"/>
            </w:tcBorders>
            <w:shd w:val="clear" w:color="auto" w:fill="auto"/>
            <w:vAlign w:val="bottom"/>
          </w:tcPr>
          <w:p w14:paraId="12901A7D" w14:textId="77777777" w:rsidR="003A13C4" w:rsidRPr="002D2F67" w:rsidRDefault="003A13C4" w:rsidP="005611FE">
            <w:pPr>
              <w:ind w:right="-72"/>
              <w:jc w:val="right"/>
              <w:rPr>
                <w:rFonts w:ascii="Arial" w:eastAsia="Arial Unicode MS" w:hAnsi="Arial" w:cs="Arial"/>
                <w:color w:val="000000"/>
                <w:sz w:val="20"/>
                <w:szCs w:val="20"/>
              </w:rPr>
            </w:pPr>
          </w:p>
        </w:tc>
        <w:tc>
          <w:tcPr>
            <w:tcW w:w="1417" w:type="dxa"/>
            <w:tcBorders>
              <w:top w:val="single" w:sz="4" w:space="0" w:color="auto"/>
            </w:tcBorders>
            <w:shd w:val="clear" w:color="auto" w:fill="auto"/>
            <w:vAlign w:val="bottom"/>
          </w:tcPr>
          <w:p w14:paraId="3D54F3C5" w14:textId="77777777" w:rsidR="003A13C4" w:rsidRPr="002D2F67" w:rsidRDefault="003A13C4" w:rsidP="005611FE">
            <w:pPr>
              <w:ind w:right="-72"/>
              <w:jc w:val="right"/>
              <w:rPr>
                <w:rFonts w:ascii="Arial" w:eastAsia="Arial Unicode MS" w:hAnsi="Arial" w:cs="Arial"/>
                <w:color w:val="000000"/>
                <w:sz w:val="20"/>
                <w:szCs w:val="20"/>
              </w:rPr>
            </w:pPr>
          </w:p>
        </w:tc>
      </w:tr>
      <w:tr w:rsidR="003F4D68" w:rsidRPr="002D2F67" w14:paraId="4D280D38" w14:textId="77777777" w:rsidTr="005611FE">
        <w:trPr>
          <w:cantSplit/>
        </w:trPr>
        <w:tc>
          <w:tcPr>
            <w:tcW w:w="3690" w:type="dxa"/>
            <w:shd w:val="clear" w:color="auto" w:fill="auto"/>
            <w:vAlign w:val="bottom"/>
          </w:tcPr>
          <w:p w14:paraId="6D2DF28D" w14:textId="0B43A579" w:rsidR="003F4D68" w:rsidRPr="002D2F67" w:rsidRDefault="003F4D68" w:rsidP="005611FE">
            <w:pPr>
              <w:ind w:left="-101"/>
              <w:rPr>
                <w:rFonts w:ascii="Arial" w:hAnsi="Arial" w:cs="Arial"/>
                <w:color w:val="000000"/>
                <w:sz w:val="20"/>
                <w:szCs w:val="20"/>
                <w:cs/>
              </w:rPr>
            </w:pPr>
            <w:r w:rsidRPr="002D2F67">
              <w:rPr>
                <w:rFonts w:ascii="Arial" w:hAnsi="Arial" w:cs="Arial"/>
                <w:color w:val="000000"/>
                <w:sz w:val="20"/>
                <w:szCs w:val="20"/>
              </w:rPr>
              <w:t xml:space="preserve">Less than </w:t>
            </w:r>
            <w:r w:rsidR="00CD5714" w:rsidRPr="00CD5714">
              <w:rPr>
                <w:rFonts w:ascii="Arial" w:hAnsi="Arial" w:cs="Arial"/>
                <w:color w:val="000000"/>
                <w:sz w:val="20"/>
                <w:szCs w:val="20"/>
                <w:lang w:val="en-GB"/>
              </w:rPr>
              <w:t>1</w:t>
            </w:r>
            <w:r w:rsidRPr="002D2F67">
              <w:rPr>
                <w:rFonts w:ascii="Arial" w:hAnsi="Arial" w:cs="Arial"/>
                <w:color w:val="000000"/>
                <w:sz w:val="20"/>
                <w:szCs w:val="20"/>
              </w:rPr>
              <w:t xml:space="preserve"> year</w:t>
            </w:r>
          </w:p>
        </w:tc>
        <w:tc>
          <w:tcPr>
            <w:tcW w:w="1474" w:type="dxa"/>
            <w:shd w:val="clear" w:color="auto" w:fill="auto"/>
            <w:vAlign w:val="center"/>
          </w:tcPr>
          <w:p w14:paraId="16BEEB35" w14:textId="40D37CE1" w:rsidR="003F4D68"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w:t>
            </w:r>
            <w:r w:rsidR="00E72F10"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388</w:t>
            </w:r>
          </w:p>
        </w:tc>
        <w:tc>
          <w:tcPr>
            <w:tcW w:w="1417" w:type="dxa"/>
            <w:shd w:val="clear" w:color="auto" w:fill="auto"/>
            <w:vAlign w:val="center"/>
          </w:tcPr>
          <w:p w14:paraId="35521DF5" w14:textId="027765F6" w:rsidR="003F4D68"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w:t>
            </w:r>
            <w:r w:rsidR="003F4D68"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327</w:t>
            </w:r>
          </w:p>
        </w:tc>
        <w:tc>
          <w:tcPr>
            <w:tcW w:w="1474" w:type="dxa"/>
            <w:shd w:val="clear" w:color="auto" w:fill="auto"/>
            <w:vAlign w:val="center"/>
          </w:tcPr>
          <w:p w14:paraId="2A540158" w14:textId="7C2EE686" w:rsidR="003F4D68" w:rsidRPr="002D2F67" w:rsidRDefault="00CD5714"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r w:rsidRPr="00CD5714">
              <w:rPr>
                <w:rFonts w:ascii="Arial" w:eastAsia="Arial Unicode MS" w:hAnsi="Arial" w:cs="Arial"/>
                <w:snapToGrid/>
                <w:lang w:val="en-GB" w:eastAsia="en-US"/>
              </w:rPr>
              <w:t>1</w:t>
            </w:r>
            <w:r w:rsidR="00AC11A3" w:rsidRPr="002D2F67">
              <w:rPr>
                <w:rFonts w:ascii="Arial" w:eastAsia="Arial Unicode MS" w:hAnsi="Arial" w:cs="Arial"/>
                <w:snapToGrid/>
                <w:lang w:eastAsia="en-US"/>
              </w:rPr>
              <w:t>,</w:t>
            </w:r>
            <w:r w:rsidRPr="00CD5714">
              <w:rPr>
                <w:rFonts w:ascii="Arial" w:eastAsia="Arial Unicode MS" w:hAnsi="Arial" w:cs="Arial"/>
                <w:snapToGrid/>
                <w:lang w:val="en-GB" w:eastAsia="en-US"/>
              </w:rPr>
              <w:t>331</w:t>
            </w:r>
          </w:p>
        </w:tc>
        <w:tc>
          <w:tcPr>
            <w:tcW w:w="1417" w:type="dxa"/>
            <w:shd w:val="clear" w:color="auto" w:fill="auto"/>
            <w:vAlign w:val="center"/>
          </w:tcPr>
          <w:p w14:paraId="73C44F6D" w14:textId="6FA7F9E5" w:rsidR="003F4D68" w:rsidRPr="002D2F67" w:rsidRDefault="00CD5714"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r w:rsidRPr="00CD5714">
              <w:rPr>
                <w:rFonts w:ascii="Arial" w:eastAsia="Arial Unicode MS" w:hAnsi="Arial" w:cs="Arial"/>
                <w:snapToGrid/>
                <w:lang w:val="en-GB" w:eastAsia="en-GB"/>
              </w:rPr>
              <w:t>2</w:t>
            </w:r>
            <w:r w:rsidR="003F4D68" w:rsidRPr="002D2F67">
              <w:rPr>
                <w:rFonts w:ascii="Arial" w:eastAsia="Arial Unicode MS" w:hAnsi="Arial" w:cs="Arial"/>
                <w:snapToGrid/>
                <w:lang w:eastAsia="en-GB"/>
              </w:rPr>
              <w:t>,</w:t>
            </w:r>
            <w:r w:rsidRPr="00CD5714">
              <w:rPr>
                <w:rFonts w:ascii="Arial" w:eastAsia="Arial Unicode MS" w:hAnsi="Arial" w:cs="Arial"/>
                <w:snapToGrid/>
                <w:lang w:val="en-GB" w:eastAsia="en-GB"/>
              </w:rPr>
              <w:t>183</w:t>
            </w:r>
          </w:p>
        </w:tc>
      </w:tr>
      <w:tr w:rsidR="003F4D68" w:rsidRPr="002D2F67" w14:paraId="073EAD16" w14:textId="77777777" w:rsidTr="005611FE">
        <w:trPr>
          <w:cantSplit/>
        </w:trPr>
        <w:tc>
          <w:tcPr>
            <w:tcW w:w="3690" w:type="dxa"/>
            <w:shd w:val="clear" w:color="auto" w:fill="auto"/>
            <w:vAlign w:val="bottom"/>
          </w:tcPr>
          <w:p w14:paraId="14900AAB" w14:textId="43B3B7EA" w:rsidR="003F4D68" w:rsidRPr="002D2F67" w:rsidRDefault="003F4D68" w:rsidP="005611FE">
            <w:pPr>
              <w:ind w:left="-101"/>
              <w:rPr>
                <w:rFonts w:ascii="Arial" w:hAnsi="Arial" w:cs="Arial"/>
                <w:color w:val="000000"/>
                <w:sz w:val="20"/>
                <w:szCs w:val="20"/>
                <w:cs/>
              </w:rPr>
            </w:pPr>
            <w:r w:rsidRPr="002D2F67">
              <w:rPr>
                <w:rFonts w:ascii="Arial" w:hAnsi="Arial" w:cs="Arial"/>
                <w:color w:val="000000"/>
                <w:sz w:val="20"/>
                <w:szCs w:val="20"/>
              </w:rPr>
              <w:t xml:space="preserve">Later than </w:t>
            </w:r>
            <w:r w:rsidR="00CD5714" w:rsidRPr="00CD5714">
              <w:rPr>
                <w:rFonts w:ascii="Arial" w:hAnsi="Arial" w:cs="Arial"/>
                <w:color w:val="000000"/>
                <w:sz w:val="20"/>
                <w:szCs w:val="20"/>
                <w:lang w:val="en-GB"/>
              </w:rPr>
              <w:t>1</w:t>
            </w:r>
            <w:r w:rsidRPr="002D2F67">
              <w:rPr>
                <w:rFonts w:ascii="Arial" w:hAnsi="Arial" w:cs="Arial"/>
                <w:color w:val="000000"/>
                <w:sz w:val="20"/>
                <w:szCs w:val="20"/>
              </w:rPr>
              <w:t xml:space="preserve"> year to </w:t>
            </w:r>
            <w:r w:rsidR="00CD5714" w:rsidRPr="00CD5714">
              <w:rPr>
                <w:rFonts w:ascii="Arial" w:hAnsi="Arial" w:cs="Arial"/>
                <w:color w:val="000000"/>
                <w:sz w:val="20"/>
                <w:szCs w:val="20"/>
                <w:lang w:val="en-GB"/>
              </w:rPr>
              <w:t>5</w:t>
            </w:r>
            <w:r w:rsidRPr="002D2F67">
              <w:rPr>
                <w:rFonts w:ascii="Arial" w:hAnsi="Arial" w:cs="Arial"/>
                <w:color w:val="000000"/>
                <w:sz w:val="20"/>
                <w:szCs w:val="20"/>
              </w:rPr>
              <w:t xml:space="preserve"> years</w:t>
            </w:r>
          </w:p>
        </w:tc>
        <w:tc>
          <w:tcPr>
            <w:tcW w:w="1474" w:type="dxa"/>
            <w:shd w:val="clear" w:color="auto" w:fill="auto"/>
            <w:vAlign w:val="center"/>
          </w:tcPr>
          <w:p w14:paraId="74F5F61E" w14:textId="5E7D40CF" w:rsidR="003F4D68"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9</w:t>
            </w:r>
            <w:r w:rsidR="00E72F10"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147</w:t>
            </w:r>
          </w:p>
        </w:tc>
        <w:tc>
          <w:tcPr>
            <w:tcW w:w="1417" w:type="dxa"/>
            <w:shd w:val="clear" w:color="auto" w:fill="auto"/>
            <w:vAlign w:val="center"/>
          </w:tcPr>
          <w:p w14:paraId="1AEFDF5A" w14:textId="4F5DEE42" w:rsidR="003F4D68"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11</w:t>
            </w:r>
            <w:r w:rsidR="003F4D68"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535</w:t>
            </w:r>
          </w:p>
        </w:tc>
        <w:tc>
          <w:tcPr>
            <w:tcW w:w="1474" w:type="dxa"/>
            <w:shd w:val="clear" w:color="auto" w:fill="auto"/>
            <w:vAlign w:val="center"/>
          </w:tcPr>
          <w:p w14:paraId="7F583C4F" w14:textId="66A9A90D" w:rsidR="003F4D68"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5</w:t>
            </w:r>
            <w:r w:rsidR="00AC11A3"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797</w:t>
            </w:r>
          </w:p>
        </w:tc>
        <w:tc>
          <w:tcPr>
            <w:tcW w:w="1417" w:type="dxa"/>
            <w:shd w:val="clear" w:color="auto" w:fill="auto"/>
            <w:vAlign w:val="center"/>
          </w:tcPr>
          <w:p w14:paraId="770EA0E0" w14:textId="731BA444" w:rsidR="003F4D68" w:rsidRPr="002D2F67" w:rsidRDefault="00CD5714"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r w:rsidRPr="00CD5714">
              <w:rPr>
                <w:rFonts w:ascii="Arial" w:eastAsia="Arial Unicode MS" w:hAnsi="Arial" w:cs="Arial"/>
                <w:lang w:val="en-GB"/>
              </w:rPr>
              <w:t>7</w:t>
            </w:r>
            <w:r w:rsidR="003F4D68" w:rsidRPr="002D2F67">
              <w:rPr>
                <w:rFonts w:ascii="Arial" w:eastAsia="Arial Unicode MS" w:hAnsi="Arial" w:cs="Arial"/>
              </w:rPr>
              <w:t>,</w:t>
            </w:r>
            <w:r w:rsidRPr="00CD5714">
              <w:rPr>
                <w:rFonts w:ascii="Arial" w:eastAsia="Arial Unicode MS" w:hAnsi="Arial" w:cs="Arial"/>
                <w:lang w:val="en-GB"/>
              </w:rPr>
              <w:t>128</w:t>
            </w:r>
          </w:p>
        </w:tc>
      </w:tr>
      <w:tr w:rsidR="003F4D68" w:rsidRPr="002D2F67" w14:paraId="72A7D956" w14:textId="77777777" w:rsidTr="005611FE">
        <w:trPr>
          <w:cantSplit/>
        </w:trPr>
        <w:tc>
          <w:tcPr>
            <w:tcW w:w="3690" w:type="dxa"/>
            <w:shd w:val="clear" w:color="auto" w:fill="auto"/>
            <w:vAlign w:val="bottom"/>
          </w:tcPr>
          <w:p w14:paraId="0A82D447" w14:textId="719081DA" w:rsidR="003F4D68" w:rsidRPr="002D2F67" w:rsidRDefault="003F4D68" w:rsidP="005611FE">
            <w:pPr>
              <w:ind w:left="-101"/>
              <w:rPr>
                <w:rFonts w:ascii="Arial" w:hAnsi="Arial" w:cs="Arial"/>
                <w:color w:val="000000"/>
                <w:sz w:val="20"/>
                <w:szCs w:val="20"/>
                <w:cs/>
              </w:rPr>
            </w:pPr>
            <w:r w:rsidRPr="002D2F67">
              <w:rPr>
                <w:rFonts w:ascii="Arial" w:hAnsi="Arial" w:cs="Arial"/>
                <w:color w:val="000000"/>
                <w:sz w:val="20"/>
                <w:szCs w:val="20"/>
              </w:rPr>
              <w:t xml:space="preserve">Later than </w:t>
            </w:r>
            <w:r w:rsidR="00CD5714" w:rsidRPr="00CD5714">
              <w:rPr>
                <w:rFonts w:ascii="Arial" w:hAnsi="Arial" w:cs="Arial"/>
                <w:color w:val="000000"/>
                <w:sz w:val="20"/>
                <w:szCs w:val="20"/>
                <w:lang w:val="en-GB"/>
              </w:rPr>
              <w:t>5</w:t>
            </w:r>
            <w:r w:rsidRPr="002D2F67">
              <w:rPr>
                <w:rFonts w:ascii="Arial" w:hAnsi="Arial" w:cs="Arial"/>
                <w:color w:val="000000"/>
                <w:sz w:val="20"/>
                <w:szCs w:val="20"/>
              </w:rPr>
              <w:t xml:space="preserve"> years</w:t>
            </w:r>
          </w:p>
        </w:tc>
        <w:tc>
          <w:tcPr>
            <w:tcW w:w="1474" w:type="dxa"/>
            <w:tcBorders>
              <w:bottom w:val="single" w:sz="4" w:space="0" w:color="auto"/>
            </w:tcBorders>
            <w:shd w:val="clear" w:color="auto" w:fill="auto"/>
            <w:vAlign w:val="center"/>
          </w:tcPr>
          <w:p w14:paraId="58164C82" w14:textId="71D6689E" w:rsidR="003F4D68"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11</w:t>
            </w:r>
            <w:r w:rsidR="00AC11A3"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410</w:t>
            </w:r>
          </w:p>
        </w:tc>
        <w:tc>
          <w:tcPr>
            <w:tcW w:w="1417" w:type="dxa"/>
            <w:tcBorders>
              <w:bottom w:val="single" w:sz="4" w:space="0" w:color="auto"/>
            </w:tcBorders>
            <w:shd w:val="clear" w:color="auto" w:fill="auto"/>
            <w:vAlign w:val="center"/>
          </w:tcPr>
          <w:p w14:paraId="6A81F137" w14:textId="2CB78D1B" w:rsidR="003F4D68"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11</w:t>
            </w:r>
            <w:r w:rsidR="003F4D68"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410</w:t>
            </w:r>
          </w:p>
        </w:tc>
        <w:tc>
          <w:tcPr>
            <w:tcW w:w="1474" w:type="dxa"/>
            <w:tcBorders>
              <w:bottom w:val="single" w:sz="4" w:space="0" w:color="auto"/>
            </w:tcBorders>
            <w:shd w:val="clear" w:color="auto" w:fill="auto"/>
            <w:vAlign w:val="center"/>
          </w:tcPr>
          <w:p w14:paraId="160FAA98" w14:textId="56F06F08" w:rsidR="003F4D68"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10</w:t>
            </w:r>
            <w:r w:rsidR="00AC11A3"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415</w:t>
            </w:r>
          </w:p>
        </w:tc>
        <w:tc>
          <w:tcPr>
            <w:tcW w:w="1417" w:type="dxa"/>
            <w:tcBorders>
              <w:bottom w:val="single" w:sz="4" w:space="0" w:color="auto"/>
            </w:tcBorders>
            <w:shd w:val="clear" w:color="auto" w:fill="auto"/>
            <w:vAlign w:val="center"/>
          </w:tcPr>
          <w:p w14:paraId="72103400" w14:textId="1A3EDA24" w:rsidR="003F4D68" w:rsidRPr="002D2F67" w:rsidRDefault="00CD5714"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r w:rsidRPr="00CD5714">
              <w:rPr>
                <w:rFonts w:ascii="Arial" w:eastAsia="Arial Unicode MS" w:hAnsi="Arial" w:cs="Arial"/>
                <w:lang w:val="en-GB"/>
              </w:rPr>
              <w:t>10</w:t>
            </w:r>
            <w:r w:rsidR="003F4D68" w:rsidRPr="002D2F67">
              <w:rPr>
                <w:rFonts w:ascii="Arial" w:eastAsia="Arial Unicode MS" w:hAnsi="Arial" w:cs="Arial"/>
              </w:rPr>
              <w:t>,</w:t>
            </w:r>
            <w:r w:rsidRPr="00CD5714">
              <w:rPr>
                <w:rFonts w:ascii="Arial" w:eastAsia="Arial Unicode MS" w:hAnsi="Arial" w:cs="Arial"/>
                <w:lang w:val="en-GB"/>
              </w:rPr>
              <w:t>415</w:t>
            </w:r>
          </w:p>
        </w:tc>
      </w:tr>
      <w:tr w:rsidR="003F4D68" w:rsidRPr="002D2F67" w14:paraId="2753181C" w14:textId="77777777" w:rsidTr="005611FE">
        <w:trPr>
          <w:cantSplit/>
        </w:trPr>
        <w:tc>
          <w:tcPr>
            <w:tcW w:w="3690" w:type="dxa"/>
            <w:shd w:val="clear" w:color="auto" w:fill="auto"/>
            <w:vAlign w:val="bottom"/>
          </w:tcPr>
          <w:p w14:paraId="2C49A377" w14:textId="77777777" w:rsidR="003F4D68" w:rsidRPr="002D2F67" w:rsidRDefault="003F4D68" w:rsidP="005611FE">
            <w:pPr>
              <w:ind w:left="-101"/>
              <w:rPr>
                <w:rFonts w:ascii="Arial" w:hAnsi="Arial" w:cs="Arial"/>
                <w:color w:val="000000"/>
                <w:sz w:val="20"/>
                <w:szCs w:val="20"/>
                <w:cs/>
              </w:rPr>
            </w:pPr>
          </w:p>
        </w:tc>
        <w:tc>
          <w:tcPr>
            <w:tcW w:w="1474" w:type="dxa"/>
            <w:tcBorders>
              <w:top w:val="single" w:sz="4" w:space="0" w:color="auto"/>
            </w:tcBorders>
            <w:shd w:val="clear" w:color="auto" w:fill="auto"/>
            <w:vAlign w:val="bottom"/>
          </w:tcPr>
          <w:p w14:paraId="2010E360" w14:textId="77777777" w:rsidR="003F4D68" w:rsidRPr="002D2F67" w:rsidRDefault="003F4D68"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p>
        </w:tc>
        <w:tc>
          <w:tcPr>
            <w:tcW w:w="1417" w:type="dxa"/>
            <w:tcBorders>
              <w:top w:val="single" w:sz="4" w:space="0" w:color="auto"/>
            </w:tcBorders>
            <w:shd w:val="clear" w:color="auto" w:fill="auto"/>
            <w:vAlign w:val="bottom"/>
          </w:tcPr>
          <w:p w14:paraId="42EF96DE" w14:textId="77777777" w:rsidR="003F4D68" w:rsidRPr="002D2F67" w:rsidRDefault="003F4D68"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p>
        </w:tc>
        <w:tc>
          <w:tcPr>
            <w:tcW w:w="1474" w:type="dxa"/>
            <w:tcBorders>
              <w:top w:val="single" w:sz="4" w:space="0" w:color="auto"/>
            </w:tcBorders>
            <w:shd w:val="clear" w:color="auto" w:fill="auto"/>
            <w:vAlign w:val="bottom"/>
          </w:tcPr>
          <w:p w14:paraId="7C7B96F0" w14:textId="77777777" w:rsidR="003F4D68" w:rsidRPr="002D2F67" w:rsidRDefault="003F4D68"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cs/>
              </w:rPr>
            </w:pPr>
          </w:p>
        </w:tc>
        <w:tc>
          <w:tcPr>
            <w:tcW w:w="1417" w:type="dxa"/>
            <w:tcBorders>
              <w:top w:val="single" w:sz="4" w:space="0" w:color="auto"/>
            </w:tcBorders>
            <w:shd w:val="clear" w:color="auto" w:fill="auto"/>
            <w:vAlign w:val="bottom"/>
          </w:tcPr>
          <w:p w14:paraId="2C5A82A7" w14:textId="77777777" w:rsidR="003F4D68" w:rsidRPr="002D2F67" w:rsidRDefault="003F4D68"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p>
        </w:tc>
      </w:tr>
      <w:tr w:rsidR="003F4D68" w:rsidRPr="002D2F67" w14:paraId="036C3A01" w14:textId="77777777" w:rsidTr="005611FE">
        <w:trPr>
          <w:cantSplit/>
          <w:trHeight w:val="153"/>
        </w:trPr>
        <w:tc>
          <w:tcPr>
            <w:tcW w:w="3690" w:type="dxa"/>
            <w:shd w:val="clear" w:color="auto" w:fill="auto"/>
            <w:vAlign w:val="bottom"/>
          </w:tcPr>
          <w:p w14:paraId="39D0C30A" w14:textId="77777777" w:rsidR="003F4D68" w:rsidRPr="002D2F67" w:rsidRDefault="003F4D68" w:rsidP="005611FE">
            <w:pPr>
              <w:ind w:left="-101"/>
              <w:rPr>
                <w:rFonts w:ascii="Arial" w:hAnsi="Arial" w:cs="Arial"/>
                <w:color w:val="000000"/>
                <w:sz w:val="20"/>
                <w:szCs w:val="20"/>
                <w:cs/>
              </w:rPr>
            </w:pPr>
          </w:p>
        </w:tc>
        <w:tc>
          <w:tcPr>
            <w:tcW w:w="1474" w:type="dxa"/>
            <w:shd w:val="clear" w:color="auto" w:fill="auto"/>
            <w:vAlign w:val="center"/>
          </w:tcPr>
          <w:p w14:paraId="18D71A72" w14:textId="1976E870" w:rsidR="003F4D68"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22</w:t>
            </w:r>
            <w:r w:rsidR="00AC11A3"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945</w:t>
            </w:r>
          </w:p>
        </w:tc>
        <w:tc>
          <w:tcPr>
            <w:tcW w:w="1417" w:type="dxa"/>
            <w:shd w:val="clear" w:color="auto" w:fill="auto"/>
            <w:vAlign w:val="center"/>
          </w:tcPr>
          <w:p w14:paraId="0F1E49A7" w14:textId="1D7979E2" w:rsidR="003F4D68"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26</w:t>
            </w:r>
            <w:r w:rsidR="003F4D68"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272</w:t>
            </w:r>
          </w:p>
        </w:tc>
        <w:tc>
          <w:tcPr>
            <w:tcW w:w="1474" w:type="dxa"/>
            <w:tcBorders>
              <w:bottom w:val="single" w:sz="4" w:space="0" w:color="auto"/>
            </w:tcBorders>
            <w:shd w:val="clear" w:color="auto" w:fill="auto"/>
            <w:vAlign w:val="bottom"/>
          </w:tcPr>
          <w:p w14:paraId="17FC5507" w14:textId="0205E260" w:rsidR="003F4D68"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17</w:t>
            </w:r>
            <w:r w:rsidR="00AC11A3"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543</w:t>
            </w:r>
          </w:p>
        </w:tc>
        <w:tc>
          <w:tcPr>
            <w:tcW w:w="1417" w:type="dxa"/>
            <w:tcBorders>
              <w:bottom w:val="single" w:sz="4" w:space="0" w:color="auto"/>
            </w:tcBorders>
            <w:shd w:val="clear" w:color="auto" w:fill="auto"/>
            <w:vAlign w:val="bottom"/>
          </w:tcPr>
          <w:p w14:paraId="46569A5A" w14:textId="388CC620" w:rsidR="003F4D68" w:rsidRPr="002D2F67" w:rsidRDefault="00CD5714"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r w:rsidRPr="00CD5714">
              <w:rPr>
                <w:rFonts w:ascii="Arial" w:eastAsia="Arial Unicode MS" w:hAnsi="Arial" w:cs="Arial"/>
                <w:lang w:val="en-GB"/>
              </w:rPr>
              <w:t>19</w:t>
            </w:r>
            <w:r w:rsidR="003F4D68" w:rsidRPr="002D2F67">
              <w:rPr>
                <w:rFonts w:ascii="Arial" w:eastAsia="Arial Unicode MS" w:hAnsi="Arial" w:cs="Arial"/>
              </w:rPr>
              <w:t>,</w:t>
            </w:r>
            <w:r w:rsidRPr="00CD5714">
              <w:rPr>
                <w:rFonts w:ascii="Arial" w:eastAsia="Arial Unicode MS" w:hAnsi="Arial" w:cs="Arial"/>
                <w:lang w:val="en-GB"/>
              </w:rPr>
              <w:t>726</w:t>
            </w:r>
          </w:p>
        </w:tc>
      </w:tr>
      <w:tr w:rsidR="003F4D68" w:rsidRPr="002D2F67" w14:paraId="11C8CFAA" w14:textId="77777777" w:rsidTr="005611FE">
        <w:trPr>
          <w:cantSplit/>
        </w:trPr>
        <w:tc>
          <w:tcPr>
            <w:tcW w:w="3690" w:type="dxa"/>
            <w:shd w:val="clear" w:color="auto" w:fill="auto"/>
            <w:vAlign w:val="bottom"/>
          </w:tcPr>
          <w:p w14:paraId="69F9DA87" w14:textId="77777777" w:rsidR="003F4D68" w:rsidRPr="002D2F67" w:rsidRDefault="003F4D68" w:rsidP="005611FE">
            <w:pPr>
              <w:ind w:left="-101" w:right="-117"/>
              <w:rPr>
                <w:rFonts w:ascii="Arial" w:hAnsi="Arial" w:cs="Arial"/>
                <w:color w:val="000000"/>
                <w:sz w:val="20"/>
                <w:szCs w:val="20"/>
                <w:cs/>
              </w:rPr>
            </w:pPr>
            <w:r w:rsidRPr="002D2F67">
              <w:rPr>
                <w:rFonts w:ascii="Arial" w:hAnsi="Arial" w:cs="Arial"/>
                <w:color w:val="000000"/>
                <w:sz w:val="20"/>
                <w:szCs w:val="20"/>
                <w:u w:val="single"/>
              </w:rPr>
              <w:t>Less</w:t>
            </w:r>
            <w:r w:rsidRPr="002D2F67">
              <w:rPr>
                <w:rFonts w:ascii="Arial" w:hAnsi="Arial" w:cs="Arial"/>
                <w:color w:val="000000"/>
                <w:sz w:val="20"/>
                <w:szCs w:val="20"/>
              </w:rPr>
              <w:t xml:space="preserve">  Deferred finance income</w:t>
            </w:r>
          </w:p>
        </w:tc>
        <w:tc>
          <w:tcPr>
            <w:tcW w:w="1474" w:type="dxa"/>
            <w:tcBorders>
              <w:bottom w:val="single" w:sz="4" w:space="0" w:color="auto"/>
            </w:tcBorders>
            <w:shd w:val="clear" w:color="auto" w:fill="auto"/>
            <w:vAlign w:val="center"/>
          </w:tcPr>
          <w:p w14:paraId="314166A7" w14:textId="3BCF89E4" w:rsidR="003F4D68" w:rsidRPr="002D2F67" w:rsidRDefault="00AC11A3"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r w:rsidR="00CD5714" w:rsidRPr="00CD5714">
              <w:rPr>
                <w:rFonts w:ascii="Arial" w:eastAsia="Arial Unicode MS" w:hAnsi="Arial" w:cs="Arial"/>
                <w:color w:val="000000"/>
                <w:sz w:val="20"/>
                <w:szCs w:val="20"/>
                <w:lang w:val="en-GB"/>
              </w:rPr>
              <w:t>5</w:t>
            </w:r>
            <w:r w:rsidRPr="002D2F67">
              <w:rPr>
                <w:rFonts w:ascii="Arial" w:eastAsia="Arial Unicode MS" w:hAnsi="Arial" w:cs="Arial"/>
                <w:color w:val="000000"/>
                <w:sz w:val="20"/>
                <w:szCs w:val="20"/>
              </w:rPr>
              <w:t>,</w:t>
            </w:r>
            <w:r w:rsidR="00CD5714" w:rsidRPr="00CD5714">
              <w:rPr>
                <w:rFonts w:ascii="Arial" w:eastAsia="Arial Unicode MS" w:hAnsi="Arial" w:cs="Arial"/>
                <w:color w:val="000000"/>
                <w:sz w:val="20"/>
                <w:szCs w:val="20"/>
                <w:lang w:val="en-GB"/>
              </w:rPr>
              <w:t>402</w:t>
            </w:r>
            <w:r w:rsidRPr="002D2F67">
              <w:rPr>
                <w:rFonts w:ascii="Arial" w:eastAsia="Arial Unicode MS" w:hAnsi="Arial" w:cs="Arial"/>
                <w:color w:val="000000"/>
                <w:sz w:val="20"/>
                <w:szCs w:val="20"/>
              </w:rPr>
              <w:t>)</w:t>
            </w:r>
          </w:p>
        </w:tc>
        <w:tc>
          <w:tcPr>
            <w:tcW w:w="1417" w:type="dxa"/>
            <w:tcBorders>
              <w:bottom w:val="single" w:sz="4" w:space="0" w:color="auto"/>
            </w:tcBorders>
            <w:shd w:val="clear" w:color="auto" w:fill="auto"/>
            <w:vAlign w:val="center"/>
          </w:tcPr>
          <w:p w14:paraId="350BE6F1" w14:textId="293BDFDC" w:rsidR="003F4D68" w:rsidRPr="002D2F67" w:rsidRDefault="003F4D68"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r w:rsidR="00CD5714" w:rsidRPr="00CD5714">
              <w:rPr>
                <w:rFonts w:ascii="Arial" w:eastAsia="Arial Unicode MS" w:hAnsi="Arial" w:cs="Arial"/>
                <w:color w:val="000000"/>
                <w:sz w:val="20"/>
                <w:szCs w:val="20"/>
                <w:lang w:val="en-GB"/>
              </w:rPr>
              <w:t>6</w:t>
            </w:r>
            <w:r w:rsidRPr="002D2F67">
              <w:rPr>
                <w:rFonts w:ascii="Arial" w:eastAsia="Arial Unicode MS" w:hAnsi="Arial" w:cs="Arial"/>
                <w:color w:val="000000"/>
                <w:sz w:val="20"/>
                <w:szCs w:val="20"/>
              </w:rPr>
              <w:t>,</w:t>
            </w:r>
            <w:r w:rsidR="00CD5714" w:rsidRPr="00CD5714">
              <w:rPr>
                <w:rFonts w:ascii="Arial" w:eastAsia="Arial Unicode MS" w:hAnsi="Arial" w:cs="Arial"/>
                <w:color w:val="000000"/>
                <w:sz w:val="20"/>
                <w:szCs w:val="20"/>
                <w:lang w:val="en-GB"/>
              </w:rPr>
              <w:t>546</w:t>
            </w:r>
            <w:r w:rsidRPr="002D2F67">
              <w:rPr>
                <w:rFonts w:ascii="Arial" w:eastAsia="Arial Unicode MS" w:hAnsi="Arial" w:cs="Arial"/>
                <w:color w:val="000000"/>
                <w:sz w:val="20"/>
                <w:szCs w:val="20"/>
              </w:rPr>
              <w:t>)</w:t>
            </w:r>
          </w:p>
        </w:tc>
        <w:tc>
          <w:tcPr>
            <w:tcW w:w="1474" w:type="dxa"/>
            <w:tcBorders>
              <w:top w:val="single" w:sz="4" w:space="0" w:color="auto"/>
            </w:tcBorders>
            <w:shd w:val="clear" w:color="auto" w:fill="auto"/>
            <w:vAlign w:val="bottom"/>
          </w:tcPr>
          <w:p w14:paraId="24A76FF6" w14:textId="77777777" w:rsidR="003F4D68" w:rsidRPr="002D2F67" w:rsidRDefault="003F4D68"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p>
        </w:tc>
        <w:tc>
          <w:tcPr>
            <w:tcW w:w="1417" w:type="dxa"/>
            <w:tcBorders>
              <w:top w:val="single" w:sz="4" w:space="0" w:color="auto"/>
            </w:tcBorders>
            <w:shd w:val="clear" w:color="auto" w:fill="auto"/>
            <w:vAlign w:val="bottom"/>
          </w:tcPr>
          <w:p w14:paraId="467F03FD" w14:textId="77777777" w:rsidR="003F4D68" w:rsidRPr="002D2F67" w:rsidRDefault="003F4D68"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p>
        </w:tc>
      </w:tr>
      <w:tr w:rsidR="003F4D68" w:rsidRPr="002D2F67" w14:paraId="17F02E02" w14:textId="77777777" w:rsidTr="005611FE">
        <w:trPr>
          <w:cantSplit/>
        </w:trPr>
        <w:tc>
          <w:tcPr>
            <w:tcW w:w="3690" w:type="dxa"/>
            <w:shd w:val="clear" w:color="auto" w:fill="auto"/>
            <w:vAlign w:val="bottom"/>
          </w:tcPr>
          <w:p w14:paraId="5FD35C8F" w14:textId="77777777" w:rsidR="003F4D68" w:rsidRPr="002D2F67" w:rsidRDefault="003F4D68" w:rsidP="005611FE">
            <w:pPr>
              <w:ind w:left="-101"/>
              <w:rPr>
                <w:rFonts w:ascii="Arial" w:hAnsi="Arial" w:cs="Arial"/>
                <w:color w:val="000000"/>
                <w:sz w:val="20"/>
                <w:szCs w:val="20"/>
              </w:rPr>
            </w:pPr>
          </w:p>
        </w:tc>
        <w:tc>
          <w:tcPr>
            <w:tcW w:w="1474" w:type="dxa"/>
            <w:tcBorders>
              <w:top w:val="single" w:sz="4" w:space="0" w:color="auto"/>
            </w:tcBorders>
            <w:shd w:val="clear" w:color="auto" w:fill="auto"/>
            <w:vAlign w:val="bottom"/>
          </w:tcPr>
          <w:p w14:paraId="4A92D5CE" w14:textId="77777777" w:rsidR="003F4D68" w:rsidRPr="002D2F67" w:rsidRDefault="003F4D68"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p>
        </w:tc>
        <w:tc>
          <w:tcPr>
            <w:tcW w:w="1417" w:type="dxa"/>
            <w:tcBorders>
              <w:top w:val="single" w:sz="4" w:space="0" w:color="auto"/>
            </w:tcBorders>
            <w:shd w:val="clear" w:color="auto" w:fill="auto"/>
            <w:vAlign w:val="bottom"/>
          </w:tcPr>
          <w:p w14:paraId="7E212356" w14:textId="77777777" w:rsidR="003F4D68" w:rsidRPr="002D2F67" w:rsidRDefault="003F4D68"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p>
        </w:tc>
        <w:tc>
          <w:tcPr>
            <w:tcW w:w="1474" w:type="dxa"/>
            <w:shd w:val="clear" w:color="auto" w:fill="auto"/>
            <w:vAlign w:val="bottom"/>
          </w:tcPr>
          <w:p w14:paraId="5855A2D6" w14:textId="77777777" w:rsidR="003F4D68" w:rsidRPr="002D2F67" w:rsidRDefault="003F4D68"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p>
        </w:tc>
        <w:tc>
          <w:tcPr>
            <w:tcW w:w="1417" w:type="dxa"/>
            <w:shd w:val="clear" w:color="auto" w:fill="auto"/>
            <w:vAlign w:val="bottom"/>
          </w:tcPr>
          <w:p w14:paraId="6854CAAD" w14:textId="77777777" w:rsidR="003F4D68" w:rsidRPr="002D2F67" w:rsidRDefault="003F4D68"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p>
        </w:tc>
      </w:tr>
      <w:tr w:rsidR="003F4D68" w:rsidRPr="002D2F67" w14:paraId="29874C67" w14:textId="77777777" w:rsidTr="005611FE">
        <w:trPr>
          <w:cantSplit/>
        </w:trPr>
        <w:tc>
          <w:tcPr>
            <w:tcW w:w="3690" w:type="dxa"/>
            <w:shd w:val="clear" w:color="auto" w:fill="auto"/>
            <w:vAlign w:val="bottom"/>
          </w:tcPr>
          <w:p w14:paraId="7421D06D" w14:textId="77777777" w:rsidR="003F4D68" w:rsidRPr="002D2F67" w:rsidRDefault="003F4D68" w:rsidP="005611FE">
            <w:pPr>
              <w:ind w:left="-101"/>
              <w:rPr>
                <w:rFonts w:ascii="Arial" w:hAnsi="Arial" w:cs="Arial"/>
                <w:color w:val="000000"/>
                <w:sz w:val="20"/>
                <w:szCs w:val="20"/>
                <w:cs/>
              </w:rPr>
            </w:pPr>
            <w:r w:rsidRPr="002D2F67">
              <w:rPr>
                <w:rFonts w:ascii="Arial" w:hAnsi="Arial" w:cs="Arial"/>
                <w:color w:val="000000"/>
                <w:sz w:val="20"/>
                <w:szCs w:val="20"/>
              </w:rPr>
              <w:t>Present value of net investment in lease</w:t>
            </w:r>
          </w:p>
        </w:tc>
        <w:tc>
          <w:tcPr>
            <w:tcW w:w="1474" w:type="dxa"/>
            <w:tcBorders>
              <w:bottom w:val="single" w:sz="4" w:space="0" w:color="auto"/>
            </w:tcBorders>
            <w:shd w:val="clear" w:color="auto" w:fill="auto"/>
            <w:vAlign w:val="bottom"/>
          </w:tcPr>
          <w:p w14:paraId="5045CD4C" w14:textId="619DBC29" w:rsidR="003F4D68"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17</w:t>
            </w:r>
            <w:r w:rsidR="00AC11A3"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543</w:t>
            </w:r>
          </w:p>
        </w:tc>
        <w:tc>
          <w:tcPr>
            <w:tcW w:w="1417" w:type="dxa"/>
            <w:tcBorders>
              <w:bottom w:val="single" w:sz="4" w:space="0" w:color="auto"/>
            </w:tcBorders>
            <w:shd w:val="clear" w:color="auto" w:fill="auto"/>
            <w:vAlign w:val="bottom"/>
          </w:tcPr>
          <w:p w14:paraId="20E1C570" w14:textId="1A76AA8B" w:rsidR="003F4D68"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19</w:t>
            </w:r>
            <w:r w:rsidR="003F4D68"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726</w:t>
            </w:r>
          </w:p>
        </w:tc>
        <w:tc>
          <w:tcPr>
            <w:tcW w:w="1474" w:type="dxa"/>
            <w:shd w:val="clear" w:color="auto" w:fill="auto"/>
            <w:vAlign w:val="bottom"/>
          </w:tcPr>
          <w:p w14:paraId="10601196" w14:textId="77777777" w:rsidR="003F4D68" w:rsidRPr="002D2F67" w:rsidRDefault="003F4D68"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p>
        </w:tc>
        <w:tc>
          <w:tcPr>
            <w:tcW w:w="1417" w:type="dxa"/>
            <w:shd w:val="clear" w:color="auto" w:fill="auto"/>
            <w:vAlign w:val="bottom"/>
          </w:tcPr>
          <w:p w14:paraId="508F6E4C" w14:textId="77777777" w:rsidR="003F4D68" w:rsidRPr="002D2F67" w:rsidRDefault="003F4D68"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p>
        </w:tc>
      </w:tr>
    </w:tbl>
    <w:p w14:paraId="79AEC192" w14:textId="6F87A1B4" w:rsidR="003A13C4" w:rsidRPr="002D2F67" w:rsidRDefault="003A13C4" w:rsidP="005611FE">
      <w:pPr>
        <w:tabs>
          <w:tab w:val="left" w:pos="540"/>
        </w:tabs>
        <w:jc w:val="thaiDistribute"/>
        <w:rPr>
          <w:rFonts w:ascii="Arial" w:eastAsia="Arial Unicode MS" w:hAnsi="Arial" w:cs="Arial"/>
          <w:color w:val="000000"/>
          <w:sz w:val="20"/>
          <w:szCs w:val="20"/>
          <w:u w:val="single"/>
        </w:rPr>
      </w:pPr>
    </w:p>
    <w:p w14:paraId="7BC07E26" w14:textId="35420BB2" w:rsidR="00B64FB6" w:rsidRPr="002D2F67" w:rsidRDefault="00E24627" w:rsidP="005611FE">
      <w:pPr>
        <w:rPr>
          <w:rFonts w:ascii="Arial" w:hAnsi="Arial" w:cs="Arial"/>
          <w:color w:val="000000"/>
          <w:sz w:val="20"/>
          <w:szCs w:val="20"/>
        </w:rPr>
      </w:pPr>
      <w:r w:rsidRPr="002D2F67">
        <w:rPr>
          <w:rFonts w:ascii="Arial" w:hAnsi="Arial" w:cs="Arial"/>
          <w:color w:val="000000"/>
          <w:sz w:val="20"/>
          <w:szCs w:val="20"/>
        </w:rPr>
        <w:t>F</w:t>
      </w:r>
      <w:r w:rsidR="00B64FB6" w:rsidRPr="002D2F67">
        <w:rPr>
          <w:rFonts w:ascii="Arial" w:hAnsi="Arial" w:cs="Arial"/>
          <w:color w:val="000000"/>
          <w:sz w:val="20"/>
          <w:szCs w:val="20"/>
        </w:rPr>
        <w:t>inance lease receivable can be analysed as follows:</w:t>
      </w:r>
    </w:p>
    <w:p w14:paraId="22B47F47" w14:textId="77777777" w:rsidR="00B64FB6" w:rsidRPr="002D2F67" w:rsidRDefault="00B64FB6" w:rsidP="005611FE">
      <w:pPr>
        <w:rPr>
          <w:rFonts w:ascii="Arial" w:hAnsi="Arial" w:cs="Arial"/>
          <w:color w:val="000000"/>
          <w:sz w:val="20"/>
          <w:szCs w:val="20"/>
        </w:rPr>
      </w:pPr>
    </w:p>
    <w:tbl>
      <w:tblPr>
        <w:tblW w:w="9454" w:type="dxa"/>
        <w:tblInd w:w="108" w:type="dxa"/>
        <w:tblLayout w:type="fixed"/>
        <w:tblLook w:val="0000" w:firstRow="0" w:lastRow="0" w:firstColumn="0" w:lastColumn="0" w:noHBand="0" w:noVBand="0"/>
      </w:tblPr>
      <w:tblGrid>
        <w:gridCol w:w="3701"/>
        <w:gridCol w:w="1438"/>
        <w:gridCol w:w="1438"/>
        <w:gridCol w:w="1438"/>
        <w:gridCol w:w="1439"/>
      </w:tblGrid>
      <w:tr w:rsidR="00D77446" w:rsidRPr="002D2F67" w14:paraId="26175EBF" w14:textId="313838FD" w:rsidTr="008255E8">
        <w:trPr>
          <w:cantSplit/>
          <w:trHeight w:val="462"/>
        </w:trPr>
        <w:tc>
          <w:tcPr>
            <w:tcW w:w="3701" w:type="dxa"/>
            <w:shd w:val="clear" w:color="auto" w:fill="auto"/>
          </w:tcPr>
          <w:p w14:paraId="0251214F" w14:textId="77777777" w:rsidR="00D77446" w:rsidRPr="002D2F67" w:rsidRDefault="00D77446" w:rsidP="005611FE">
            <w:pPr>
              <w:ind w:left="-101"/>
              <w:rPr>
                <w:rFonts w:ascii="Arial" w:hAnsi="Arial" w:cs="Arial"/>
                <w:color w:val="000000"/>
                <w:sz w:val="20"/>
                <w:szCs w:val="20"/>
              </w:rPr>
            </w:pPr>
          </w:p>
        </w:tc>
        <w:tc>
          <w:tcPr>
            <w:tcW w:w="2876" w:type="dxa"/>
            <w:gridSpan w:val="2"/>
            <w:tcBorders>
              <w:bottom w:val="single" w:sz="4" w:space="0" w:color="auto"/>
            </w:tcBorders>
            <w:shd w:val="clear" w:color="auto" w:fill="auto"/>
          </w:tcPr>
          <w:p w14:paraId="0B985856" w14:textId="77777777" w:rsidR="00D77446" w:rsidRPr="002D2F67" w:rsidRDefault="00D77446" w:rsidP="005611FE">
            <w:pPr>
              <w:pStyle w:val="BodyTextIndent2"/>
              <w:spacing w:line="240" w:lineRule="auto"/>
              <w:ind w:left="0" w:right="-72"/>
              <w:jc w:val="right"/>
              <w:rPr>
                <w:rFonts w:ascii="Arial" w:hAnsi="Arial" w:cs="Arial"/>
                <w:b/>
                <w:bCs/>
              </w:rPr>
            </w:pPr>
            <w:r w:rsidRPr="002D2F67">
              <w:rPr>
                <w:rFonts w:ascii="Arial" w:hAnsi="Arial" w:cs="Arial"/>
                <w:b/>
                <w:bCs/>
              </w:rPr>
              <w:t xml:space="preserve">Consolidated </w:t>
            </w:r>
          </w:p>
          <w:p w14:paraId="6B89F20A" w14:textId="6E8184C0" w:rsidR="00D77446" w:rsidRPr="002D2F67" w:rsidRDefault="00D77446"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r w:rsidRPr="002D2F67">
              <w:rPr>
                <w:rFonts w:ascii="Arial" w:hAnsi="Arial" w:cs="Arial"/>
                <w:b/>
                <w:bCs/>
              </w:rPr>
              <w:t>financial statements</w:t>
            </w:r>
          </w:p>
        </w:tc>
        <w:tc>
          <w:tcPr>
            <w:tcW w:w="2877" w:type="dxa"/>
            <w:gridSpan w:val="2"/>
            <w:tcBorders>
              <w:bottom w:val="single" w:sz="4" w:space="0" w:color="auto"/>
            </w:tcBorders>
            <w:shd w:val="clear" w:color="auto" w:fill="auto"/>
          </w:tcPr>
          <w:p w14:paraId="5B74BABE" w14:textId="7F568DDC" w:rsidR="00D77446" w:rsidRPr="002D2F67" w:rsidRDefault="00E73853" w:rsidP="005611FE">
            <w:pPr>
              <w:pStyle w:val="BodyTextIndent2"/>
              <w:spacing w:line="240" w:lineRule="auto"/>
              <w:ind w:left="0" w:right="-72"/>
              <w:jc w:val="right"/>
              <w:rPr>
                <w:rFonts w:ascii="Arial" w:hAnsi="Arial" w:cs="Arial"/>
                <w:b/>
                <w:bCs/>
              </w:rPr>
            </w:pPr>
            <w:r w:rsidRPr="002D2F67">
              <w:rPr>
                <w:rFonts w:ascii="Arial" w:hAnsi="Arial" w:cs="Arial"/>
                <w:b/>
                <w:bCs/>
              </w:rPr>
              <w:t>S</w:t>
            </w:r>
            <w:r w:rsidR="00D77446" w:rsidRPr="002D2F67">
              <w:rPr>
                <w:rFonts w:ascii="Arial" w:hAnsi="Arial" w:cs="Arial"/>
                <w:b/>
                <w:bCs/>
              </w:rPr>
              <w:t xml:space="preserve">eparate </w:t>
            </w:r>
          </w:p>
          <w:p w14:paraId="54EF10A9" w14:textId="144CA578" w:rsidR="00D77446" w:rsidRPr="002D2F67" w:rsidRDefault="00D77446" w:rsidP="005611FE">
            <w:pPr>
              <w:pStyle w:val="BodyTextIndent2"/>
              <w:spacing w:line="240" w:lineRule="auto"/>
              <w:ind w:left="0" w:right="-72"/>
              <w:jc w:val="right"/>
              <w:rPr>
                <w:rFonts w:ascii="Arial" w:hAnsi="Arial" w:cs="Arial"/>
                <w:b/>
                <w:bCs/>
              </w:rPr>
            </w:pPr>
            <w:r w:rsidRPr="002D2F67">
              <w:rPr>
                <w:rFonts w:ascii="Arial" w:hAnsi="Arial" w:cs="Arial"/>
                <w:b/>
                <w:bCs/>
              </w:rPr>
              <w:t>financial statements</w:t>
            </w:r>
          </w:p>
        </w:tc>
      </w:tr>
      <w:tr w:rsidR="00143FD7" w:rsidRPr="002D2F67" w14:paraId="45CA76C6" w14:textId="43A8686A" w:rsidTr="005611FE">
        <w:trPr>
          <w:cantSplit/>
          <w:trHeight w:val="217"/>
        </w:trPr>
        <w:tc>
          <w:tcPr>
            <w:tcW w:w="3701" w:type="dxa"/>
            <w:shd w:val="clear" w:color="auto" w:fill="auto"/>
          </w:tcPr>
          <w:p w14:paraId="3B278E60" w14:textId="6E12AF7A" w:rsidR="00143FD7" w:rsidRPr="002D2F67" w:rsidRDefault="00143FD7" w:rsidP="005611FE">
            <w:pPr>
              <w:ind w:left="-101"/>
              <w:rPr>
                <w:rFonts w:ascii="Arial" w:hAnsi="Arial" w:cs="Arial"/>
                <w:b/>
                <w:bCs/>
                <w:color w:val="000000"/>
                <w:sz w:val="20"/>
                <w:szCs w:val="20"/>
              </w:rPr>
            </w:pPr>
            <w:r w:rsidRPr="002D2F67">
              <w:rPr>
                <w:rFonts w:ascii="Arial" w:hAnsi="Arial" w:cs="Arial"/>
                <w:b/>
                <w:bCs/>
                <w:color w:val="000000"/>
                <w:sz w:val="20"/>
                <w:szCs w:val="20"/>
              </w:rPr>
              <w:t xml:space="preserve">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w:t>
            </w:r>
          </w:p>
        </w:tc>
        <w:tc>
          <w:tcPr>
            <w:tcW w:w="1438" w:type="dxa"/>
            <w:shd w:val="clear" w:color="auto" w:fill="auto"/>
            <w:vAlign w:val="bottom"/>
          </w:tcPr>
          <w:p w14:paraId="778DDA34" w14:textId="596B6994" w:rsidR="00143FD7" w:rsidRPr="002D2F67" w:rsidRDefault="00CD5714"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b/>
                <w:bCs/>
                <w:snapToGrid/>
                <w:lang w:eastAsia="en-US"/>
              </w:rPr>
            </w:pPr>
            <w:r w:rsidRPr="00CD5714">
              <w:rPr>
                <w:rFonts w:ascii="Arial" w:hAnsi="Arial" w:cs="Arial"/>
                <w:b/>
                <w:bCs/>
                <w:lang w:val="en-GB"/>
              </w:rPr>
              <w:t>2024</w:t>
            </w:r>
          </w:p>
        </w:tc>
        <w:tc>
          <w:tcPr>
            <w:tcW w:w="1438" w:type="dxa"/>
            <w:shd w:val="clear" w:color="auto" w:fill="auto"/>
            <w:vAlign w:val="bottom"/>
          </w:tcPr>
          <w:p w14:paraId="17F8FB39" w14:textId="639F0EE7" w:rsidR="00143FD7" w:rsidRPr="002D2F67" w:rsidRDefault="00CD5714"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b/>
                <w:bCs/>
                <w:snapToGrid/>
                <w:lang w:eastAsia="en-US"/>
              </w:rPr>
            </w:pPr>
            <w:r w:rsidRPr="00CD5714">
              <w:rPr>
                <w:rFonts w:ascii="Arial" w:hAnsi="Arial" w:cs="Arial"/>
                <w:b/>
                <w:bCs/>
                <w:lang w:val="en-GB"/>
              </w:rPr>
              <w:t>2023</w:t>
            </w:r>
          </w:p>
        </w:tc>
        <w:tc>
          <w:tcPr>
            <w:tcW w:w="1438" w:type="dxa"/>
            <w:shd w:val="clear" w:color="auto" w:fill="auto"/>
            <w:vAlign w:val="bottom"/>
          </w:tcPr>
          <w:p w14:paraId="46C3F373" w14:textId="01F5F12B" w:rsidR="00143FD7" w:rsidRPr="002D2F67" w:rsidRDefault="00CD5714"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hAnsi="Arial" w:cs="Arial"/>
                <w:b/>
                <w:bCs/>
              </w:rPr>
            </w:pPr>
            <w:r w:rsidRPr="00CD5714">
              <w:rPr>
                <w:rFonts w:ascii="Arial" w:hAnsi="Arial" w:cs="Arial"/>
                <w:b/>
                <w:bCs/>
                <w:lang w:val="en-GB"/>
              </w:rPr>
              <w:t>2024</w:t>
            </w:r>
          </w:p>
        </w:tc>
        <w:tc>
          <w:tcPr>
            <w:tcW w:w="1439" w:type="dxa"/>
            <w:shd w:val="clear" w:color="auto" w:fill="auto"/>
            <w:vAlign w:val="bottom"/>
          </w:tcPr>
          <w:p w14:paraId="2EBA93B5" w14:textId="234F0358" w:rsidR="00143FD7" w:rsidRPr="002D2F67" w:rsidRDefault="00CD5714"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hAnsi="Arial" w:cs="Arial"/>
                <w:b/>
                <w:bCs/>
              </w:rPr>
            </w:pPr>
            <w:r w:rsidRPr="00CD5714">
              <w:rPr>
                <w:rFonts w:ascii="Arial" w:hAnsi="Arial" w:cs="Arial"/>
                <w:b/>
                <w:bCs/>
                <w:lang w:val="en-GB"/>
              </w:rPr>
              <w:t>2023</w:t>
            </w:r>
          </w:p>
        </w:tc>
      </w:tr>
      <w:tr w:rsidR="00143FD7" w:rsidRPr="002D2F67" w14:paraId="58F9765E" w14:textId="5CAE92E7" w:rsidTr="005611FE">
        <w:trPr>
          <w:cantSplit/>
          <w:trHeight w:val="231"/>
        </w:trPr>
        <w:tc>
          <w:tcPr>
            <w:tcW w:w="3701" w:type="dxa"/>
            <w:shd w:val="clear" w:color="auto" w:fill="auto"/>
          </w:tcPr>
          <w:p w14:paraId="182CCB3F" w14:textId="77777777" w:rsidR="00143FD7" w:rsidRPr="002D2F67" w:rsidRDefault="00143FD7" w:rsidP="005611FE">
            <w:pPr>
              <w:ind w:left="-101"/>
              <w:rPr>
                <w:rFonts w:ascii="Arial" w:hAnsi="Arial" w:cs="Arial"/>
                <w:color w:val="000000"/>
                <w:sz w:val="20"/>
                <w:szCs w:val="20"/>
              </w:rPr>
            </w:pPr>
          </w:p>
        </w:tc>
        <w:tc>
          <w:tcPr>
            <w:tcW w:w="1438" w:type="dxa"/>
            <w:tcBorders>
              <w:bottom w:val="single" w:sz="4" w:space="0" w:color="auto"/>
            </w:tcBorders>
            <w:shd w:val="clear" w:color="auto" w:fill="auto"/>
            <w:vAlign w:val="bottom"/>
          </w:tcPr>
          <w:p w14:paraId="097DEE02" w14:textId="18202AC9" w:rsidR="00143FD7" w:rsidRPr="002D2F67" w:rsidRDefault="00143FD7"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b/>
                <w:bCs/>
                <w:snapToGrid/>
                <w:lang w:eastAsia="en-US"/>
              </w:rPr>
            </w:pPr>
            <w:r w:rsidRPr="002D2F67">
              <w:rPr>
                <w:rFonts w:ascii="Arial" w:hAnsi="Arial" w:cs="Arial"/>
                <w:b/>
                <w:bCs/>
              </w:rPr>
              <w:t>Baht’</w:t>
            </w:r>
            <w:r w:rsidR="00CD5714" w:rsidRPr="00CD5714">
              <w:rPr>
                <w:rFonts w:ascii="Arial" w:hAnsi="Arial" w:cs="Arial"/>
                <w:b/>
                <w:bCs/>
                <w:lang w:val="en-GB"/>
              </w:rPr>
              <w:t>000</w:t>
            </w:r>
          </w:p>
        </w:tc>
        <w:tc>
          <w:tcPr>
            <w:tcW w:w="1438" w:type="dxa"/>
            <w:tcBorders>
              <w:bottom w:val="single" w:sz="4" w:space="0" w:color="auto"/>
            </w:tcBorders>
            <w:shd w:val="clear" w:color="auto" w:fill="auto"/>
          </w:tcPr>
          <w:p w14:paraId="3F206618" w14:textId="08935487" w:rsidR="00143FD7" w:rsidRPr="002D2F67" w:rsidRDefault="00143FD7"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b/>
                <w:bCs/>
                <w:snapToGrid/>
                <w:lang w:eastAsia="en-US"/>
              </w:rPr>
            </w:pPr>
            <w:r w:rsidRPr="002D2F67">
              <w:rPr>
                <w:rFonts w:ascii="Arial" w:hAnsi="Arial" w:cs="Arial"/>
                <w:b/>
                <w:bCs/>
              </w:rPr>
              <w:t>Baht’</w:t>
            </w:r>
            <w:r w:rsidR="00CD5714" w:rsidRPr="00CD5714">
              <w:rPr>
                <w:rFonts w:ascii="Arial" w:hAnsi="Arial" w:cs="Arial"/>
                <w:b/>
                <w:bCs/>
                <w:lang w:val="en-GB"/>
              </w:rPr>
              <w:t>000</w:t>
            </w:r>
          </w:p>
        </w:tc>
        <w:tc>
          <w:tcPr>
            <w:tcW w:w="1438" w:type="dxa"/>
            <w:tcBorders>
              <w:bottom w:val="single" w:sz="4" w:space="0" w:color="auto"/>
            </w:tcBorders>
            <w:shd w:val="clear" w:color="auto" w:fill="auto"/>
            <w:vAlign w:val="bottom"/>
          </w:tcPr>
          <w:p w14:paraId="71237919" w14:textId="140E6C15" w:rsidR="00143FD7" w:rsidRPr="002D2F67" w:rsidRDefault="00143FD7"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hAnsi="Arial" w:cs="Arial"/>
                <w:b/>
                <w:bCs/>
              </w:rPr>
            </w:pPr>
            <w:r w:rsidRPr="002D2F67">
              <w:rPr>
                <w:rFonts w:ascii="Arial" w:hAnsi="Arial" w:cs="Arial"/>
                <w:b/>
                <w:bCs/>
              </w:rPr>
              <w:t>Baht’</w:t>
            </w:r>
            <w:r w:rsidR="00CD5714" w:rsidRPr="00CD5714">
              <w:rPr>
                <w:rFonts w:ascii="Arial" w:hAnsi="Arial" w:cs="Arial"/>
                <w:b/>
                <w:bCs/>
                <w:lang w:val="en-GB"/>
              </w:rPr>
              <w:t>000</w:t>
            </w:r>
          </w:p>
        </w:tc>
        <w:tc>
          <w:tcPr>
            <w:tcW w:w="1439" w:type="dxa"/>
            <w:tcBorders>
              <w:bottom w:val="single" w:sz="4" w:space="0" w:color="auto"/>
            </w:tcBorders>
            <w:shd w:val="clear" w:color="auto" w:fill="auto"/>
          </w:tcPr>
          <w:p w14:paraId="3046A101" w14:textId="0A785563" w:rsidR="00143FD7" w:rsidRPr="002D2F67" w:rsidRDefault="00143FD7"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hAnsi="Arial" w:cs="Arial"/>
                <w:b/>
                <w:bCs/>
              </w:rPr>
            </w:pPr>
            <w:r w:rsidRPr="002D2F67">
              <w:rPr>
                <w:rFonts w:ascii="Arial" w:hAnsi="Arial" w:cs="Arial"/>
                <w:b/>
                <w:bCs/>
              </w:rPr>
              <w:t>Baht’</w:t>
            </w:r>
            <w:r w:rsidR="00CD5714" w:rsidRPr="00CD5714">
              <w:rPr>
                <w:rFonts w:ascii="Arial" w:hAnsi="Arial" w:cs="Arial"/>
                <w:b/>
                <w:bCs/>
                <w:lang w:val="en-GB"/>
              </w:rPr>
              <w:t>000</w:t>
            </w:r>
          </w:p>
        </w:tc>
      </w:tr>
      <w:tr w:rsidR="00143FD7" w:rsidRPr="002D2F67" w14:paraId="64123DB4" w14:textId="4721F8F1" w:rsidTr="005611FE">
        <w:trPr>
          <w:cantSplit/>
          <w:trHeight w:val="231"/>
        </w:trPr>
        <w:tc>
          <w:tcPr>
            <w:tcW w:w="3701" w:type="dxa"/>
            <w:shd w:val="clear" w:color="auto" w:fill="auto"/>
          </w:tcPr>
          <w:p w14:paraId="018389DC" w14:textId="5E0A5780" w:rsidR="00143FD7" w:rsidRPr="002D2F67" w:rsidRDefault="00143FD7" w:rsidP="005611FE">
            <w:pPr>
              <w:ind w:left="-101"/>
              <w:rPr>
                <w:rFonts w:ascii="Arial" w:hAnsi="Arial" w:cs="Arial"/>
                <w:color w:val="000000"/>
                <w:sz w:val="20"/>
                <w:szCs w:val="20"/>
                <w:cs/>
              </w:rPr>
            </w:pPr>
          </w:p>
        </w:tc>
        <w:tc>
          <w:tcPr>
            <w:tcW w:w="1438" w:type="dxa"/>
            <w:tcBorders>
              <w:top w:val="single" w:sz="4" w:space="0" w:color="auto"/>
            </w:tcBorders>
            <w:shd w:val="clear" w:color="auto" w:fill="auto"/>
          </w:tcPr>
          <w:p w14:paraId="4624BCA0" w14:textId="77777777" w:rsidR="00143FD7" w:rsidRPr="002D2F67" w:rsidRDefault="00143FD7"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p>
        </w:tc>
        <w:tc>
          <w:tcPr>
            <w:tcW w:w="1438" w:type="dxa"/>
            <w:tcBorders>
              <w:top w:val="single" w:sz="4" w:space="0" w:color="auto"/>
            </w:tcBorders>
            <w:shd w:val="clear" w:color="auto" w:fill="auto"/>
          </w:tcPr>
          <w:p w14:paraId="0A651CE5" w14:textId="77777777" w:rsidR="00143FD7" w:rsidRPr="002D2F67" w:rsidRDefault="00143FD7"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p>
        </w:tc>
        <w:tc>
          <w:tcPr>
            <w:tcW w:w="1438" w:type="dxa"/>
            <w:tcBorders>
              <w:top w:val="single" w:sz="4" w:space="0" w:color="auto"/>
            </w:tcBorders>
            <w:shd w:val="clear" w:color="auto" w:fill="auto"/>
          </w:tcPr>
          <w:p w14:paraId="015DF228" w14:textId="77777777" w:rsidR="00143FD7" w:rsidRPr="002D2F67" w:rsidRDefault="00143FD7"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p>
        </w:tc>
        <w:tc>
          <w:tcPr>
            <w:tcW w:w="1439" w:type="dxa"/>
            <w:tcBorders>
              <w:top w:val="single" w:sz="4" w:space="0" w:color="auto"/>
            </w:tcBorders>
            <w:shd w:val="clear" w:color="auto" w:fill="auto"/>
          </w:tcPr>
          <w:p w14:paraId="7D581CF3" w14:textId="77777777" w:rsidR="00143FD7" w:rsidRPr="002D2F67" w:rsidRDefault="00143FD7"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p>
        </w:tc>
      </w:tr>
      <w:tr w:rsidR="003F4D68" w:rsidRPr="002D2F67" w14:paraId="4AA3279A" w14:textId="494F3D20" w:rsidTr="005611FE">
        <w:trPr>
          <w:cantSplit/>
          <w:trHeight w:val="231"/>
        </w:trPr>
        <w:tc>
          <w:tcPr>
            <w:tcW w:w="3701" w:type="dxa"/>
            <w:shd w:val="clear" w:color="auto" w:fill="auto"/>
          </w:tcPr>
          <w:p w14:paraId="2AD60B4B" w14:textId="617BBE5E" w:rsidR="003F4D68" w:rsidRPr="002D2F67" w:rsidRDefault="003F4D68" w:rsidP="005611FE">
            <w:pPr>
              <w:ind w:left="-101"/>
              <w:rPr>
                <w:rFonts w:ascii="Arial" w:hAnsi="Arial" w:cs="Arial"/>
                <w:color w:val="000000"/>
                <w:sz w:val="20"/>
                <w:szCs w:val="20"/>
                <w:cs/>
              </w:rPr>
            </w:pPr>
            <w:r w:rsidRPr="002D2F67">
              <w:rPr>
                <w:rFonts w:ascii="Arial" w:hAnsi="Arial" w:cs="Arial"/>
                <w:color w:val="000000"/>
                <w:sz w:val="20"/>
                <w:szCs w:val="20"/>
              </w:rPr>
              <w:t>-  Current portion of finance lease</w:t>
            </w:r>
            <w:r w:rsidRPr="002D2F67">
              <w:rPr>
                <w:rFonts w:ascii="Arial" w:hAnsi="Arial" w:cs="Arial"/>
                <w:color w:val="000000"/>
                <w:sz w:val="20"/>
                <w:szCs w:val="20"/>
              </w:rPr>
              <w:br/>
              <w:t xml:space="preserve">       receivable, net</w:t>
            </w:r>
          </w:p>
        </w:tc>
        <w:tc>
          <w:tcPr>
            <w:tcW w:w="1438" w:type="dxa"/>
            <w:shd w:val="clear" w:color="auto" w:fill="auto"/>
            <w:vAlign w:val="bottom"/>
          </w:tcPr>
          <w:p w14:paraId="18F539A9" w14:textId="2928E65B" w:rsidR="003F4D68"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w:t>
            </w:r>
            <w:r w:rsidR="002A474F"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933</w:t>
            </w:r>
            <w:r w:rsidR="002A474F"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233</w:t>
            </w:r>
          </w:p>
        </w:tc>
        <w:tc>
          <w:tcPr>
            <w:tcW w:w="1438" w:type="dxa"/>
            <w:shd w:val="clear" w:color="auto" w:fill="auto"/>
            <w:vAlign w:val="bottom"/>
          </w:tcPr>
          <w:p w14:paraId="12B1D0C7" w14:textId="439BDE0A" w:rsidR="003F4D68" w:rsidRPr="002D2F67" w:rsidRDefault="00CD5714"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r w:rsidRPr="00CD5714">
              <w:rPr>
                <w:rFonts w:ascii="Arial" w:eastAsia="Arial Unicode MS" w:hAnsi="Arial" w:cs="Arial"/>
                <w:lang w:val="en-GB"/>
              </w:rPr>
              <w:t>1</w:t>
            </w:r>
            <w:r w:rsidR="003F4D68" w:rsidRPr="002D2F67">
              <w:rPr>
                <w:rFonts w:ascii="Arial" w:eastAsia="Arial Unicode MS" w:hAnsi="Arial" w:cs="Arial"/>
              </w:rPr>
              <w:t>,</w:t>
            </w:r>
            <w:r w:rsidRPr="00CD5714">
              <w:rPr>
                <w:rFonts w:ascii="Arial" w:eastAsia="Arial Unicode MS" w:hAnsi="Arial" w:cs="Arial"/>
                <w:lang w:val="en-GB"/>
              </w:rPr>
              <w:t>911</w:t>
            </w:r>
            <w:r w:rsidR="003F4D68" w:rsidRPr="002D2F67">
              <w:rPr>
                <w:rFonts w:ascii="Arial" w:eastAsia="Arial Unicode MS" w:hAnsi="Arial" w:cs="Arial"/>
              </w:rPr>
              <w:t>,</w:t>
            </w:r>
            <w:r w:rsidRPr="00CD5714">
              <w:rPr>
                <w:rFonts w:ascii="Arial" w:eastAsia="Arial Unicode MS" w:hAnsi="Arial" w:cs="Arial"/>
                <w:lang w:val="en-GB"/>
              </w:rPr>
              <w:t>926</w:t>
            </w:r>
          </w:p>
        </w:tc>
        <w:tc>
          <w:tcPr>
            <w:tcW w:w="1438" w:type="dxa"/>
            <w:shd w:val="clear" w:color="auto" w:fill="auto"/>
            <w:vAlign w:val="bottom"/>
          </w:tcPr>
          <w:p w14:paraId="642EBAAE" w14:textId="647FD702" w:rsidR="003F4D68" w:rsidRPr="002D2F67" w:rsidRDefault="00CD5714"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rPr>
            </w:pPr>
            <w:r w:rsidRPr="00CD5714">
              <w:rPr>
                <w:rFonts w:ascii="Arial" w:eastAsia="Arial Unicode MS" w:hAnsi="Arial" w:cs="Arial"/>
                <w:lang w:val="en-GB"/>
              </w:rPr>
              <w:t>1</w:t>
            </w:r>
            <w:r w:rsidR="00AC11A3" w:rsidRPr="002D2F67">
              <w:rPr>
                <w:rFonts w:ascii="Arial" w:eastAsia="Arial Unicode MS" w:hAnsi="Arial" w:cs="Arial"/>
              </w:rPr>
              <w:t>,</w:t>
            </w:r>
            <w:r w:rsidRPr="00CD5714">
              <w:rPr>
                <w:rFonts w:ascii="Arial" w:eastAsia="Arial Unicode MS" w:hAnsi="Arial" w:cs="Arial"/>
                <w:lang w:val="en-GB"/>
              </w:rPr>
              <w:t>331</w:t>
            </w:r>
          </w:p>
        </w:tc>
        <w:tc>
          <w:tcPr>
            <w:tcW w:w="1439" w:type="dxa"/>
            <w:shd w:val="clear" w:color="auto" w:fill="auto"/>
            <w:vAlign w:val="bottom"/>
          </w:tcPr>
          <w:p w14:paraId="7FE8CB04" w14:textId="05001296" w:rsidR="003F4D68" w:rsidRPr="002D2F67" w:rsidRDefault="00CD5714"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rPr>
            </w:pPr>
            <w:r w:rsidRPr="00CD5714">
              <w:rPr>
                <w:rFonts w:ascii="Arial" w:eastAsia="Arial Unicode MS" w:hAnsi="Arial" w:cs="Arial"/>
                <w:lang w:val="en-GB"/>
              </w:rPr>
              <w:t>2</w:t>
            </w:r>
            <w:r w:rsidR="003F4D68" w:rsidRPr="002D2F67">
              <w:rPr>
                <w:rFonts w:ascii="Arial" w:eastAsia="Arial Unicode MS" w:hAnsi="Arial" w:cs="Arial"/>
              </w:rPr>
              <w:t>,</w:t>
            </w:r>
            <w:r w:rsidRPr="00CD5714">
              <w:rPr>
                <w:rFonts w:ascii="Arial" w:eastAsia="Arial Unicode MS" w:hAnsi="Arial" w:cs="Arial"/>
                <w:lang w:val="en-GB"/>
              </w:rPr>
              <w:t>183</w:t>
            </w:r>
          </w:p>
        </w:tc>
      </w:tr>
      <w:tr w:rsidR="003F4D68" w:rsidRPr="002D2F67" w14:paraId="6CFC3E73" w14:textId="5F64D298" w:rsidTr="005611FE">
        <w:trPr>
          <w:cantSplit/>
          <w:trHeight w:val="462"/>
        </w:trPr>
        <w:tc>
          <w:tcPr>
            <w:tcW w:w="3701" w:type="dxa"/>
            <w:shd w:val="clear" w:color="auto" w:fill="auto"/>
          </w:tcPr>
          <w:p w14:paraId="7D4F16B9" w14:textId="72C56CA8" w:rsidR="003F4D68" w:rsidRPr="002D2F67" w:rsidRDefault="003F4D68" w:rsidP="005611FE">
            <w:pPr>
              <w:ind w:left="-101"/>
              <w:rPr>
                <w:rFonts w:ascii="Arial" w:hAnsi="Arial" w:cs="Arial"/>
                <w:color w:val="000000"/>
                <w:sz w:val="20"/>
                <w:szCs w:val="20"/>
                <w:cs/>
              </w:rPr>
            </w:pPr>
            <w:r w:rsidRPr="002D2F67">
              <w:rPr>
                <w:rFonts w:ascii="Arial" w:hAnsi="Arial" w:cs="Arial"/>
                <w:color w:val="000000"/>
                <w:sz w:val="20"/>
                <w:szCs w:val="20"/>
              </w:rPr>
              <w:t>-  Non-current portion of finance lease</w:t>
            </w:r>
            <w:r w:rsidRPr="002D2F67">
              <w:rPr>
                <w:rFonts w:ascii="Arial" w:hAnsi="Arial" w:cs="Arial"/>
                <w:color w:val="000000"/>
                <w:sz w:val="20"/>
                <w:szCs w:val="20"/>
              </w:rPr>
              <w:br/>
              <w:t xml:space="preserve">       receivable, net</w:t>
            </w:r>
          </w:p>
        </w:tc>
        <w:tc>
          <w:tcPr>
            <w:tcW w:w="1438" w:type="dxa"/>
            <w:tcBorders>
              <w:bottom w:val="single" w:sz="4" w:space="0" w:color="auto"/>
            </w:tcBorders>
            <w:shd w:val="clear" w:color="auto" w:fill="auto"/>
            <w:vAlign w:val="bottom"/>
          </w:tcPr>
          <w:p w14:paraId="0770A716" w14:textId="58DE6D21" w:rsidR="003F4D68"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6</w:t>
            </w:r>
            <w:r w:rsidR="002A474F"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422</w:t>
            </w:r>
            <w:r w:rsidR="002A474F"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592</w:t>
            </w:r>
          </w:p>
        </w:tc>
        <w:tc>
          <w:tcPr>
            <w:tcW w:w="1438" w:type="dxa"/>
            <w:tcBorders>
              <w:bottom w:val="single" w:sz="4" w:space="0" w:color="auto"/>
            </w:tcBorders>
            <w:shd w:val="clear" w:color="auto" w:fill="auto"/>
            <w:vAlign w:val="bottom"/>
          </w:tcPr>
          <w:p w14:paraId="07C6B436" w14:textId="17DA1873" w:rsidR="003F4D68" w:rsidRPr="002D2F67" w:rsidRDefault="00CD5714"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r w:rsidRPr="00CD5714">
              <w:rPr>
                <w:rFonts w:ascii="Arial" w:eastAsia="Arial Unicode MS" w:hAnsi="Arial" w:cs="Arial"/>
                <w:lang w:val="en-GB"/>
              </w:rPr>
              <w:t>7</w:t>
            </w:r>
            <w:r w:rsidR="003F4D68" w:rsidRPr="002D2F67">
              <w:rPr>
                <w:rFonts w:ascii="Arial" w:eastAsia="Arial Unicode MS" w:hAnsi="Arial" w:cs="Arial"/>
              </w:rPr>
              <w:t>,</w:t>
            </w:r>
            <w:r w:rsidRPr="00CD5714">
              <w:rPr>
                <w:rFonts w:ascii="Arial" w:eastAsia="Arial Unicode MS" w:hAnsi="Arial" w:cs="Arial"/>
                <w:lang w:val="en-GB"/>
              </w:rPr>
              <w:t>526</w:t>
            </w:r>
            <w:r w:rsidR="003F4D68" w:rsidRPr="002D2F67">
              <w:rPr>
                <w:rFonts w:ascii="Arial" w:eastAsia="Arial Unicode MS" w:hAnsi="Arial" w:cs="Arial"/>
              </w:rPr>
              <w:t>,</w:t>
            </w:r>
            <w:r w:rsidRPr="00CD5714">
              <w:rPr>
                <w:rFonts w:ascii="Arial" w:eastAsia="Arial Unicode MS" w:hAnsi="Arial" w:cs="Arial"/>
                <w:lang w:val="en-GB"/>
              </w:rPr>
              <w:t>438</w:t>
            </w:r>
          </w:p>
        </w:tc>
        <w:tc>
          <w:tcPr>
            <w:tcW w:w="1438" w:type="dxa"/>
            <w:tcBorders>
              <w:bottom w:val="single" w:sz="4" w:space="0" w:color="auto"/>
            </w:tcBorders>
            <w:shd w:val="clear" w:color="auto" w:fill="auto"/>
            <w:vAlign w:val="bottom"/>
          </w:tcPr>
          <w:p w14:paraId="0C6F64DE" w14:textId="1AB4BF7D" w:rsidR="003F4D68" w:rsidRPr="002D2F67" w:rsidRDefault="00CD5714"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rPr>
            </w:pPr>
            <w:r w:rsidRPr="00CD5714">
              <w:rPr>
                <w:rFonts w:ascii="Arial" w:eastAsia="Arial Unicode MS" w:hAnsi="Arial" w:cs="Arial"/>
                <w:lang w:val="en-GB"/>
              </w:rPr>
              <w:t>16</w:t>
            </w:r>
            <w:r w:rsidR="00AC11A3" w:rsidRPr="002D2F67">
              <w:rPr>
                <w:rFonts w:ascii="Arial" w:eastAsia="Arial Unicode MS" w:hAnsi="Arial" w:cs="Arial"/>
              </w:rPr>
              <w:t>,</w:t>
            </w:r>
            <w:r w:rsidRPr="00CD5714">
              <w:rPr>
                <w:rFonts w:ascii="Arial" w:eastAsia="Arial Unicode MS" w:hAnsi="Arial" w:cs="Arial"/>
                <w:lang w:val="en-GB"/>
              </w:rPr>
              <w:t>212</w:t>
            </w:r>
          </w:p>
        </w:tc>
        <w:tc>
          <w:tcPr>
            <w:tcW w:w="1439" w:type="dxa"/>
            <w:tcBorders>
              <w:bottom w:val="single" w:sz="4" w:space="0" w:color="auto"/>
            </w:tcBorders>
            <w:shd w:val="clear" w:color="auto" w:fill="auto"/>
            <w:vAlign w:val="bottom"/>
          </w:tcPr>
          <w:p w14:paraId="39F00BE1" w14:textId="6D0B2886" w:rsidR="003F4D68" w:rsidRPr="002D2F67" w:rsidRDefault="00CD5714"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rPr>
            </w:pPr>
            <w:r w:rsidRPr="00CD5714">
              <w:rPr>
                <w:rFonts w:ascii="Arial" w:eastAsia="Arial Unicode MS" w:hAnsi="Arial" w:cs="Arial"/>
                <w:lang w:val="en-GB"/>
              </w:rPr>
              <w:t>17</w:t>
            </w:r>
            <w:r w:rsidR="003F4D68" w:rsidRPr="002D2F67">
              <w:rPr>
                <w:rFonts w:ascii="Arial" w:eastAsia="Arial Unicode MS" w:hAnsi="Arial" w:cs="Arial"/>
              </w:rPr>
              <w:t>,</w:t>
            </w:r>
            <w:r w:rsidRPr="00CD5714">
              <w:rPr>
                <w:rFonts w:ascii="Arial" w:eastAsia="Arial Unicode MS" w:hAnsi="Arial" w:cs="Arial"/>
                <w:lang w:val="en-GB"/>
              </w:rPr>
              <w:t>543</w:t>
            </w:r>
          </w:p>
        </w:tc>
      </w:tr>
      <w:tr w:rsidR="003F4D68" w:rsidRPr="002D2F67" w14:paraId="40FAAC8E" w14:textId="7D6EC3B4" w:rsidTr="005611FE">
        <w:trPr>
          <w:cantSplit/>
          <w:trHeight w:val="217"/>
        </w:trPr>
        <w:tc>
          <w:tcPr>
            <w:tcW w:w="3701" w:type="dxa"/>
            <w:shd w:val="clear" w:color="auto" w:fill="auto"/>
          </w:tcPr>
          <w:p w14:paraId="23F4C2E1" w14:textId="77777777" w:rsidR="003F4D68" w:rsidRPr="002D2F67" w:rsidRDefault="003F4D68" w:rsidP="005611FE">
            <w:pPr>
              <w:ind w:left="-101"/>
              <w:rPr>
                <w:rFonts w:ascii="Arial" w:hAnsi="Arial" w:cs="Arial"/>
                <w:color w:val="000000"/>
                <w:sz w:val="20"/>
                <w:szCs w:val="20"/>
                <w:cs/>
              </w:rPr>
            </w:pPr>
          </w:p>
        </w:tc>
        <w:tc>
          <w:tcPr>
            <w:tcW w:w="1438" w:type="dxa"/>
            <w:tcBorders>
              <w:top w:val="single" w:sz="4" w:space="0" w:color="auto"/>
            </w:tcBorders>
            <w:shd w:val="clear" w:color="auto" w:fill="auto"/>
            <w:vAlign w:val="bottom"/>
          </w:tcPr>
          <w:p w14:paraId="7D3C49F9" w14:textId="77777777" w:rsidR="003F4D68" w:rsidRPr="002D2F67" w:rsidRDefault="003F4D68"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cs/>
              </w:rPr>
            </w:pPr>
          </w:p>
        </w:tc>
        <w:tc>
          <w:tcPr>
            <w:tcW w:w="1438" w:type="dxa"/>
            <w:tcBorders>
              <w:top w:val="single" w:sz="4" w:space="0" w:color="auto"/>
            </w:tcBorders>
            <w:shd w:val="clear" w:color="auto" w:fill="auto"/>
            <w:vAlign w:val="bottom"/>
          </w:tcPr>
          <w:p w14:paraId="0CEED1FE" w14:textId="77777777" w:rsidR="003F4D68" w:rsidRPr="002D2F67" w:rsidRDefault="003F4D68"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p>
        </w:tc>
        <w:tc>
          <w:tcPr>
            <w:tcW w:w="1438" w:type="dxa"/>
            <w:tcBorders>
              <w:top w:val="single" w:sz="4" w:space="0" w:color="auto"/>
            </w:tcBorders>
            <w:shd w:val="clear" w:color="auto" w:fill="auto"/>
          </w:tcPr>
          <w:p w14:paraId="5CDB39D9" w14:textId="77777777" w:rsidR="003F4D68" w:rsidRPr="002D2F67" w:rsidRDefault="003F4D68"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p>
        </w:tc>
        <w:tc>
          <w:tcPr>
            <w:tcW w:w="1439" w:type="dxa"/>
            <w:tcBorders>
              <w:top w:val="single" w:sz="4" w:space="0" w:color="auto"/>
            </w:tcBorders>
            <w:shd w:val="clear" w:color="auto" w:fill="auto"/>
          </w:tcPr>
          <w:p w14:paraId="1D56BA91" w14:textId="77777777" w:rsidR="003F4D68" w:rsidRPr="002D2F67" w:rsidRDefault="003F4D68"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p>
        </w:tc>
      </w:tr>
      <w:tr w:rsidR="003F4D68" w:rsidRPr="002D2F67" w14:paraId="0CB2FC71" w14:textId="6DC05CD8" w:rsidTr="005611FE">
        <w:trPr>
          <w:cantSplit/>
          <w:trHeight w:val="68"/>
        </w:trPr>
        <w:tc>
          <w:tcPr>
            <w:tcW w:w="3701" w:type="dxa"/>
            <w:shd w:val="clear" w:color="auto" w:fill="auto"/>
          </w:tcPr>
          <w:p w14:paraId="6BBA8EA9" w14:textId="632E730D" w:rsidR="003F4D68" w:rsidRPr="002D2F67" w:rsidRDefault="003F4D68" w:rsidP="005611FE">
            <w:pPr>
              <w:ind w:left="-101"/>
              <w:rPr>
                <w:rFonts w:ascii="Arial" w:hAnsi="Arial" w:cs="Arial"/>
                <w:color w:val="000000"/>
                <w:sz w:val="20"/>
                <w:szCs w:val="20"/>
                <w:cs/>
              </w:rPr>
            </w:pPr>
            <w:r w:rsidRPr="002D2F67">
              <w:rPr>
                <w:rFonts w:ascii="Arial" w:hAnsi="Arial" w:cs="Arial"/>
                <w:color w:val="000000"/>
                <w:sz w:val="20"/>
                <w:szCs w:val="20"/>
              </w:rPr>
              <w:t>Finance lease receivable, net</w:t>
            </w:r>
          </w:p>
        </w:tc>
        <w:tc>
          <w:tcPr>
            <w:tcW w:w="1438" w:type="dxa"/>
            <w:tcBorders>
              <w:bottom w:val="single" w:sz="4" w:space="0" w:color="auto"/>
            </w:tcBorders>
            <w:shd w:val="clear" w:color="auto" w:fill="auto"/>
          </w:tcPr>
          <w:p w14:paraId="0EEF9EBC" w14:textId="68CA3DAE" w:rsidR="003F4D68"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9</w:t>
            </w:r>
            <w:r w:rsidR="002A474F"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355</w:t>
            </w:r>
            <w:r w:rsidR="002A474F"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825</w:t>
            </w:r>
          </w:p>
        </w:tc>
        <w:tc>
          <w:tcPr>
            <w:tcW w:w="1438" w:type="dxa"/>
            <w:tcBorders>
              <w:bottom w:val="single" w:sz="4" w:space="0" w:color="auto"/>
            </w:tcBorders>
            <w:shd w:val="clear" w:color="auto" w:fill="auto"/>
          </w:tcPr>
          <w:p w14:paraId="19A93DC2" w14:textId="5BAEDA4D" w:rsidR="003F4D68" w:rsidRPr="002D2F67" w:rsidRDefault="00CD5714"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lang w:eastAsia="en-US"/>
              </w:rPr>
            </w:pPr>
            <w:r w:rsidRPr="00CD5714">
              <w:rPr>
                <w:rFonts w:ascii="Arial" w:eastAsia="Arial Unicode MS" w:hAnsi="Arial" w:cs="Arial"/>
                <w:lang w:val="en-GB"/>
              </w:rPr>
              <w:t>9</w:t>
            </w:r>
            <w:r w:rsidR="003F4D68" w:rsidRPr="002D2F67">
              <w:rPr>
                <w:rFonts w:ascii="Arial" w:eastAsia="Arial Unicode MS" w:hAnsi="Arial" w:cs="Arial"/>
              </w:rPr>
              <w:t>,</w:t>
            </w:r>
            <w:r w:rsidRPr="00CD5714">
              <w:rPr>
                <w:rFonts w:ascii="Arial" w:eastAsia="Arial Unicode MS" w:hAnsi="Arial" w:cs="Arial"/>
                <w:lang w:val="en-GB"/>
              </w:rPr>
              <w:t>438</w:t>
            </w:r>
            <w:r w:rsidR="003F4D68" w:rsidRPr="002D2F67">
              <w:rPr>
                <w:rFonts w:ascii="Arial" w:eastAsia="Arial Unicode MS" w:hAnsi="Arial" w:cs="Arial"/>
              </w:rPr>
              <w:t>,</w:t>
            </w:r>
            <w:r w:rsidRPr="00CD5714">
              <w:rPr>
                <w:rFonts w:ascii="Arial" w:eastAsia="Arial Unicode MS" w:hAnsi="Arial" w:cs="Arial"/>
                <w:lang w:val="en-GB"/>
              </w:rPr>
              <w:t>364</w:t>
            </w:r>
          </w:p>
        </w:tc>
        <w:tc>
          <w:tcPr>
            <w:tcW w:w="1438" w:type="dxa"/>
            <w:tcBorders>
              <w:bottom w:val="single" w:sz="4" w:space="0" w:color="auto"/>
            </w:tcBorders>
            <w:shd w:val="clear" w:color="auto" w:fill="auto"/>
          </w:tcPr>
          <w:p w14:paraId="5F32B37D" w14:textId="0F19B703" w:rsidR="003F4D68" w:rsidRPr="002D2F67" w:rsidRDefault="00CD5714"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rPr>
            </w:pPr>
            <w:r w:rsidRPr="00CD5714">
              <w:rPr>
                <w:rFonts w:ascii="Arial" w:eastAsia="Arial Unicode MS" w:hAnsi="Arial" w:cs="Arial"/>
                <w:lang w:val="en-GB"/>
              </w:rPr>
              <w:t>17</w:t>
            </w:r>
            <w:r w:rsidR="00AC11A3" w:rsidRPr="002D2F67">
              <w:rPr>
                <w:rFonts w:ascii="Arial" w:eastAsia="Arial Unicode MS" w:hAnsi="Arial" w:cs="Arial"/>
              </w:rPr>
              <w:t>,</w:t>
            </w:r>
            <w:r w:rsidRPr="00CD5714">
              <w:rPr>
                <w:rFonts w:ascii="Arial" w:eastAsia="Arial Unicode MS" w:hAnsi="Arial" w:cs="Arial"/>
                <w:lang w:val="en-GB"/>
              </w:rPr>
              <w:t>543</w:t>
            </w:r>
          </w:p>
        </w:tc>
        <w:tc>
          <w:tcPr>
            <w:tcW w:w="1439" w:type="dxa"/>
            <w:tcBorders>
              <w:bottom w:val="single" w:sz="4" w:space="0" w:color="auto"/>
            </w:tcBorders>
            <w:shd w:val="clear" w:color="auto" w:fill="auto"/>
          </w:tcPr>
          <w:p w14:paraId="07B6BC97" w14:textId="4EE8F0B6" w:rsidR="003F4D68" w:rsidRPr="002D2F67" w:rsidRDefault="00CD5714" w:rsidP="005611F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rPr>
            </w:pPr>
            <w:r w:rsidRPr="00CD5714">
              <w:rPr>
                <w:rFonts w:ascii="Arial" w:eastAsia="Arial Unicode MS" w:hAnsi="Arial" w:cs="Arial"/>
                <w:lang w:val="en-GB"/>
              </w:rPr>
              <w:t>19</w:t>
            </w:r>
            <w:r w:rsidR="003F4D68" w:rsidRPr="002D2F67">
              <w:rPr>
                <w:rFonts w:ascii="Arial" w:eastAsia="Arial Unicode MS" w:hAnsi="Arial" w:cs="Arial"/>
              </w:rPr>
              <w:t>,</w:t>
            </w:r>
            <w:r w:rsidRPr="00CD5714">
              <w:rPr>
                <w:rFonts w:ascii="Arial" w:eastAsia="Arial Unicode MS" w:hAnsi="Arial" w:cs="Arial"/>
                <w:lang w:val="en-GB"/>
              </w:rPr>
              <w:t>726</w:t>
            </w:r>
          </w:p>
        </w:tc>
      </w:tr>
    </w:tbl>
    <w:p w14:paraId="498B4109" w14:textId="77777777" w:rsidR="00B64FB6" w:rsidRPr="002D2F67" w:rsidRDefault="00B64FB6" w:rsidP="005611FE">
      <w:pPr>
        <w:tabs>
          <w:tab w:val="left" w:pos="540"/>
        </w:tabs>
        <w:jc w:val="thaiDistribute"/>
        <w:rPr>
          <w:rFonts w:ascii="Arial" w:eastAsia="Arial Unicode MS" w:hAnsi="Arial" w:cs="Arial"/>
          <w:color w:val="000000"/>
          <w:sz w:val="20"/>
          <w:szCs w:val="20"/>
          <w:u w:val="single"/>
        </w:rPr>
      </w:pPr>
    </w:p>
    <w:p w14:paraId="59376CEF" w14:textId="6C75F009" w:rsidR="00CE2FF7" w:rsidRDefault="00A36267" w:rsidP="005611FE">
      <w:pPr>
        <w:jc w:val="thaiDistribute"/>
        <w:rPr>
          <w:rFonts w:ascii="Arial" w:hAnsi="Arial" w:cs="Arial"/>
          <w:color w:val="000000"/>
          <w:spacing w:val="-2"/>
          <w:sz w:val="20"/>
          <w:szCs w:val="20"/>
        </w:rPr>
      </w:pPr>
      <w:bookmarkStart w:id="5" w:name="_Hlk87279230"/>
      <w:r w:rsidRPr="002D2F67">
        <w:rPr>
          <w:rFonts w:ascii="Arial" w:hAnsi="Arial" w:cs="Arial"/>
          <w:color w:val="000000"/>
          <w:spacing w:val="-6"/>
          <w:sz w:val="20"/>
          <w:szCs w:val="20"/>
        </w:rPr>
        <w:t>During</w:t>
      </w:r>
      <w:r w:rsidR="003A2BCE" w:rsidRPr="002D2F67">
        <w:rPr>
          <w:rFonts w:ascii="Arial" w:hAnsi="Arial" w:cs="Arial"/>
          <w:color w:val="000000"/>
          <w:spacing w:val="-6"/>
          <w:sz w:val="20"/>
          <w:szCs w:val="20"/>
        </w:rPr>
        <w:t xml:space="preserve"> </w:t>
      </w:r>
      <w:r w:rsidR="00CD5714" w:rsidRPr="00CD5714">
        <w:rPr>
          <w:rFonts w:ascii="Arial" w:hAnsi="Arial" w:cs="Arial"/>
          <w:color w:val="000000"/>
          <w:spacing w:val="-6"/>
          <w:sz w:val="20"/>
          <w:szCs w:val="20"/>
          <w:lang w:val="en-GB"/>
        </w:rPr>
        <w:t>2024</w:t>
      </w:r>
      <w:r w:rsidR="003A2BCE" w:rsidRPr="002D2F67">
        <w:rPr>
          <w:rFonts w:ascii="Arial" w:hAnsi="Arial" w:cs="Arial"/>
          <w:color w:val="000000"/>
          <w:spacing w:val="-6"/>
          <w:sz w:val="20"/>
          <w:szCs w:val="20"/>
        </w:rPr>
        <w:t xml:space="preserve">, </w:t>
      </w:r>
      <w:r w:rsidR="003C3F5C" w:rsidRPr="002D2F67">
        <w:rPr>
          <w:rFonts w:ascii="Arial" w:hAnsi="Arial" w:cs="Arial"/>
          <w:color w:val="000000"/>
          <w:spacing w:val="-6"/>
          <w:sz w:val="20"/>
          <w:szCs w:val="20"/>
        </w:rPr>
        <w:t>the Group</w:t>
      </w:r>
      <w:r w:rsidR="00EF792B" w:rsidRPr="002D2F67">
        <w:rPr>
          <w:rFonts w:ascii="Arial" w:hAnsi="Arial" w:cs="Arial"/>
          <w:color w:val="000000"/>
          <w:spacing w:val="-6"/>
          <w:sz w:val="20"/>
          <w:szCs w:val="20"/>
        </w:rPr>
        <w:t xml:space="preserve"> and a third party</w:t>
      </w:r>
      <w:r w:rsidR="003A2BCE" w:rsidRPr="002D2F67">
        <w:rPr>
          <w:rFonts w:ascii="Arial" w:hAnsi="Arial" w:cs="Arial"/>
          <w:color w:val="000000"/>
          <w:spacing w:val="-6"/>
          <w:sz w:val="20"/>
          <w:szCs w:val="20"/>
        </w:rPr>
        <w:t xml:space="preserve"> </w:t>
      </w:r>
      <w:proofErr w:type="gramStart"/>
      <w:r w:rsidR="003A2BCE" w:rsidRPr="002D2F67">
        <w:rPr>
          <w:rFonts w:ascii="Arial" w:hAnsi="Arial" w:cs="Arial"/>
          <w:color w:val="000000"/>
          <w:spacing w:val="-6"/>
          <w:sz w:val="20"/>
          <w:szCs w:val="20"/>
        </w:rPr>
        <w:t>entered</w:t>
      </w:r>
      <w:r w:rsidR="00400441" w:rsidRPr="002D2F67">
        <w:rPr>
          <w:rFonts w:ascii="Arial" w:hAnsi="Arial" w:cs="Arial"/>
          <w:color w:val="000000"/>
          <w:spacing w:val="-6"/>
          <w:sz w:val="20"/>
          <w:szCs w:val="20"/>
        </w:rPr>
        <w:t xml:space="preserve"> into</w:t>
      </w:r>
      <w:proofErr w:type="gramEnd"/>
      <w:r w:rsidR="003A2BCE" w:rsidRPr="002D2F67">
        <w:rPr>
          <w:rFonts w:ascii="Arial" w:hAnsi="Arial" w:cs="Arial"/>
          <w:color w:val="000000"/>
          <w:spacing w:val="-6"/>
          <w:sz w:val="20"/>
          <w:szCs w:val="20"/>
        </w:rPr>
        <w:t xml:space="preserve"> </w:t>
      </w:r>
      <w:r w:rsidR="007C5DE6" w:rsidRPr="002D2F67">
        <w:rPr>
          <w:rFonts w:ascii="Arial" w:hAnsi="Arial" w:cs="Arial"/>
          <w:color w:val="000000"/>
          <w:spacing w:val="-6"/>
          <w:sz w:val="20"/>
          <w:szCs w:val="20"/>
        </w:rPr>
        <w:t xml:space="preserve">electric bus </w:t>
      </w:r>
      <w:r w:rsidR="0018126F" w:rsidRPr="002D2F67">
        <w:rPr>
          <w:rFonts w:ascii="Arial" w:hAnsi="Arial" w:cs="Arial"/>
          <w:color w:val="000000"/>
          <w:spacing w:val="-6"/>
          <w:sz w:val="20"/>
          <w:szCs w:val="20"/>
        </w:rPr>
        <w:t xml:space="preserve">hire purchase </w:t>
      </w:r>
      <w:r w:rsidR="0013115B" w:rsidRPr="002D2F67">
        <w:rPr>
          <w:rFonts w:ascii="Arial" w:hAnsi="Arial" w:cs="Arial"/>
          <w:color w:val="000000"/>
          <w:spacing w:val="-6"/>
          <w:sz w:val="20"/>
          <w:szCs w:val="20"/>
        </w:rPr>
        <w:t>contract</w:t>
      </w:r>
      <w:r w:rsidR="007C5DE6" w:rsidRPr="002D2F67">
        <w:rPr>
          <w:rFonts w:ascii="Arial" w:hAnsi="Arial" w:cs="Arial"/>
          <w:color w:val="000000"/>
          <w:spacing w:val="-6"/>
          <w:sz w:val="20"/>
          <w:szCs w:val="20"/>
        </w:rPr>
        <w:t>s</w:t>
      </w:r>
      <w:r w:rsidR="0013115B" w:rsidRPr="002D2F67">
        <w:rPr>
          <w:rFonts w:ascii="Arial" w:hAnsi="Arial" w:cs="Arial"/>
          <w:color w:val="000000"/>
          <w:spacing w:val="-6"/>
          <w:sz w:val="20"/>
          <w:szCs w:val="20"/>
        </w:rPr>
        <w:t xml:space="preserve"> </w:t>
      </w:r>
      <w:r w:rsidR="00577B2E" w:rsidRPr="002D2F67">
        <w:rPr>
          <w:rFonts w:ascii="Arial" w:hAnsi="Arial" w:cs="Arial"/>
          <w:color w:val="000000"/>
          <w:spacing w:val="-6"/>
          <w:sz w:val="20"/>
          <w:szCs w:val="20"/>
        </w:rPr>
        <w:t xml:space="preserve">totalling Baht </w:t>
      </w:r>
      <w:r w:rsidR="00CD5714" w:rsidRPr="00CD5714">
        <w:rPr>
          <w:rFonts w:ascii="Arial" w:hAnsi="Arial" w:cs="Arial"/>
          <w:color w:val="000000"/>
          <w:spacing w:val="-6"/>
          <w:sz w:val="20"/>
          <w:szCs w:val="20"/>
          <w:lang w:val="en-GB"/>
        </w:rPr>
        <w:t>935</w:t>
      </w:r>
      <w:r w:rsidR="00577B2E" w:rsidRPr="002D2F67">
        <w:rPr>
          <w:rFonts w:ascii="Arial" w:hAnsi="Arial" w:cs="Arial"/>
          <w:color w:val="000000"/>
          <w:spacing w:val="-6"/>
          <w:sz w:val="20"/>
          <w:szCs w:val="20"/>
        </w:rPr>
        <w:t xml:space="preserve"> million</w:t>
      </w:r>
      <w:r w:rsidR="00577B2E" w:rsidRPr="002D2F67">
        <w:rPr>
          <w:rFonts w:ascii="Arial" w:hAnsi="Arial" w:cs="Arial"/>
          <w:color w:val="000000"/>
          <w:spacing w:val="-2"/>
          <w:sz w:val="20"/>
          <w:szCs w:val="20"/>
        </w:rPr>
        <w:t xml:space="preserve"> </w:t>
      </w:r>
      <w:r w:rsidR="003F4D68" w:rsidRPr="002D2F67">
        <w:rPr>
          <w:rFonts w:ascii="Arial" w:hAnsi="Arial" w:cs="Arial"/>
          <w:color w:val="000000"/>
          <w:spacing w:val="-2"/>
          <w:sz w:val="20"/>
          <w:szCs w:val="20"/>
        </w:rPr>
        <w:t>(</w:t>
      </w:r>
      <w:r w:rsidR="00CD5714" w:rsidRPr="00CD5714">
        <w:rPr>
          <w:rFonts w:ascii="Arial" w:hAnsi="Arial" w:cs="Arial"/>
          <w:color w:val="000000"/>
          <w:spacing w:val="-2"/>
          <w:sz w:val="20"/>
          <w:szCs w:val="20"/>
          <w:lang w:val="en-GB"/>
        </w:rPr>
        <w:t>2023</w:t>
      </w:r>
      <w:r w:rsidR="001B0B89" w:rsidRPr="002D2F67">
        <w:rPr>
          <w:rFonts w:ascii="Arial" w:hAnsi="Arial" w:cs="Arial"/>
          <w:color w:val="000000"/>
          <w:spacing w:val="-2"/>
          <w:sz w:val="20"/>
          <w:szCs w:val="25"/>
        </w:rPr>
        <w:t>:</w:t>
      </w:r>
      <w:r w:rsidR="003F4D68" w:rsidRPr="002D2F67">
        <w:rPr>
          <w:rFonts w:ascii="Arial" w:hAnsi="Arial" w:cs="Arial"/>
          <w:color w:val="000000"/>
          <w:spacing w:val="-2"/>
          <w:sz w:val="20"/>
          <w:szCs w:val="20"/>
        </w:rPr>
        <w:t xml:space="preserve"> Baht </w:t>
      </w:r>
      <w:r w:rsidR="00CD5714" w:rsidRPr="00CD5714">
        <w:rPr>
          <w:rFonts w:ascii="Arial" w:hAnsi="Arial" w:cs="Arial"/>
          <w:color w:val="000000"/>
          <w:spacing w:val="-2"/>
          <w:sz w:val="20"/>
          <w:szCs w:val="20"/>
          <w:lang w:val="en-GB"/>
        </w:rPr>
        <w:t>5</w:t>
      </w:r>
      <w:r w:rsidR="003F4D68" w:rsidRPr="002D2F67">
        <w:rPr>
          <w:rFonts w:ascii="Arial" w:hAnsi="Arial" w:cs="Arial"/>
          <w:color w:val="000000"/>
          <w:spacing w:val="-2"/>
          <w:sz w:val="20"/>
          <w:szCs w:val="20"/>
        </w:rPr>
        <w:t>,</w:t>
      </w:r>
      <w:r w:rsidR="00CD5714" w:rsidRPr="00CD5714">
        <w:rPr>
          <w:rFonts w:ascii="Arial" w:hAnsi="Arial" w:cs="Arial"/>
          <w:color w:val="000000"/>
          <w:spacing w:val="-2"/>
          <w:sz w:val="20"/>
          <w:szCs w:val="20"/>
          <w:lang w:val="en-GB"/>
        </w:rPr>
        <w:t>530</w:t>
      </w:r>
      <w:r w:rsidR="003F4D68" w:rsidRPr="002D2F67">
        <w:rPr>
          <w:rFonts w:ascii="Arial" w:hAnsi="Arial" w:cs="Arial"/>
          <w:color w:val="000000"/>
          <w:spacing w:val="-2"/>
          <w:sz w:val="20"/>
          <w:szCs w:val="20"/>
        </w:rPr>
        <w:t xml:space="preserve"> million) </w:t>
      </w:r>
      <w:r w:rsidR="003A2BCE" w:rsidRPr="002D2F67">
        <w:rPr>
          <w:rFonts w:ascii="Arial" w:hAnsi="Arial" w:cs="Arial"/>
          <w:color w:val="000000"/>
          <w:spacing w:val="-2"/>
          <w:sz w:val="20"/>
          <w:szCs w:val="20"/>
        </w:rPr>
        <w:t xml:space="preserve">in which </w:t>
      </w:r>
      <w:r w:rsidR="00015081" w:rsidRPr="002D2F67">
        <w:rPr>
          <w:rFonts w:ascii="Arial" w:hAnsi="Arial" w:cs="Arial"/>
          <w:color w:val="000000"/>
          <w:spacing w:val="-2"/>
          <w:sz w:val="20"/>
          <w:szCs w:val="20"/>
        </w:rPr>
        <w:t xml:space="preserve">the Group </w:t>
      </w:r>
      <w:r w:rsidR="001F10CE" w:rsidRPr="002D2F67">
        <w:rPr>
          <w:rFonts w:ascii="Arial" w:hAnsi="Arial" w:cs="Arial"/>
          <w:color w:val="000000"/>
          <w:spacing w:val="-2"/>
          <w:sz w:val="20"/>
          <w:szCs w:val="20"/>
        </w:rPr>
        <w:t>are</w:t>
      </w:r>
      <w:r w:rsidR="003A2BCE" w:rsidRPr="002D2F67">
        <w:rPr>
          <w:rFonts w:ascii="Arial" w:hAnsi="Arial" w:cs="Arial"/>
          <w:color w:val="000000"/>
          <w:spacing w:val="-2"/>
          <w:sz w:val="20"/>
          <w:szCs w:val="20"/>
        </w:rPr>
        <w:t xml:space="preserve"> lessor</w:t>
      </w:r>
      <w:r w:rsidR="001F10CE" w:rsidRPr="002D2F67">
        <w:rPr>
          <w:rFonts w:ascii="Arial" w:hAnsi="Arial" w:cs="Arial"/>
          <w:color w:val="000000"/>
          <w:spacing w:val="-2"/>
          <w:sz w:val="20"/>
          <w:szCs w:val="20"/>
        </w:rPr>
        <w:t>s</w:t>
      </w:r>
      <w:r w:rsidR="00CE2FF7" w:rsidRPr="002D2F67">
        <w:rPr>
          <w:rFonts w:ascii="Arial" w:hAnsi="Arial" w:cs="Arial"/>
          <w:color w:val="000000"/>
          <w:spacing w:val="-2"/>
          <w:sz w:val="20"/>
          <w:szCs w:val="20"/>
        </w:rPr>
        <w:t>. The contract term</w:t>
      </w:r>
      <w:r w:rsidR="00553EF7" w:rsidRPr="002D2F67">
        <w:rPr>
          <w:rFonts w:ascii="Arial" w:hAnsi="Arial" w:cs="Arial"/>
          <w:color w:val="000000"/>
          <w:spacing w:val="-2"/>
          <w:sz w:val="20"/>
          <w:szCs w:val="20"/>
        </w:rPr>
        <w:t>s</w:t>
      </w:r>
      <w:r w:rsidR="00CE2FF7" w:rsidRPr="002D2F67">
        <w:rPr>
          <w:rFonts w:ascii="Arial" w:hAnsi="Arial" w:cs="Arial"/>
          <w:color w:val="000000"/>
          <w:spacing w:val="-2"/>
          <w:sz w:val="20"/>
          <w:szCs w:val="20"/>
        </w:rPr>
        <w:t xml:space="preserve"> </w:t>
      </w:r>
      <w:r w:rsidR="004F21AF" w:rsidRPr="002D2F67">
        <w:rPr>
          <w:rFonts w:ascii="Arial" w:hAnsi="Arial" w:cs="Arial"/>
          <w:color w:val="000000"/>
          <w:spacing w:val="-2"/>
          <w:sz w:val="20"/>
          <w:szCs w:val="20"/>
        </w:rPr>
        <w:t>are</w:t>
      </w:r>
      <w:r w:rsidR="00CE2FF7" w:rsidRPr="002D2F67">
        <w:rPr>
          <w:rFonts w:ascii="Arial" w:hAnsi="Arial" w:cs="Arial"/>
          <w:color w:val="000000"/>
          <w:spacing w:val="-2"/>
          <w:sz w:val="20"/>
          <w:szCs w:val="20"/>
        </w:rPr>
        <w:t xml:space="preserve"> </w:t>
      </w:r>
      <w:r w:rsidR="00CD5714" w:rsidRPr="00CD5714">
        <w:rPr>
          <w:rFonts w:ascii="Arial" w:hAnsi="Arial" w:cs="Arial"/>
          <w:color w:val="000000"/>
          <w:spacing w:val="-2"/>
          <w:sz w:val="20"/>
          <w:szCs w:val="20"/>
          <w:lang w:val="en-GB"/>
        </w:rPr>
        <w:t>4</w:t>
      </w:r>
      <w:r w:rsidR="00CE2FF7" w:rsidRPr="002D2F67">
        <w:rPr>
          <w:rFonts w:ascii="Arial" w:hAnsi="Arial" w:cs="Arial"/>
          <w:color w:val="000000"/>
          <w:spacing w:val="-2"/>
          <w:sz w:val="20"/>
          <w:szCs w:val="20"/>
        </w:rPr>
        <w:t xml:space="preserve"> years</w:t>
      </w:r>
      <w:r w:rsidR="006A12DE" w:rsidRPr="002D2F67">
        <w:rPr>
          <w:rFonts w:ascii="Arial" w:hAnsi="Arial" w:cs="Arial"/>
          <w:color w:val="000000"/>
          <w:spacing w:val="-2"/>
          <w:sz w:val="20"/>
          <w:szCs w:val="20"/>
        </w:rPr>
        <w:t>,</w:t>
      </w:r>
      <w:r w:rsidR="00CE2FF7" w:rsidRPr="002D2F67">
        <w:rPr>
          <w:rFonts w:ascii="Arial" w:hAnsi="Arial" w:cs="Arial"/>
          <w:color w:val="000000"/>
          <w:spacing w:val="-2"/>
          <w:sz w:val="20"/>
          <w:szCs w:val="20"/>
        </w:rPr>
        <w:t xml:space="preserve"> and interest rate</w:t>
      </w:r>
      <w:r w:rsidR="004E0DBE" w:rsidRPr="002D2F67">
        <w:rPr>
          <w:rFonts w:ascii="Arial" w:hAnsi="Arial" w:cs="Arial"/>
          <w:color w:val="000000"/>
          <w:spacing w:val="-2"/>
          <w:sz w:val="20"/>
          <w:szCs w:val="20"/>
        </w:rPr>
        <w:t>s</w:t>
      </w:r>
      <w:r w:rsidR="00CE2FF7" w:rsidRPr="002D2F67">
        <w:rPr>
          <w:rFonts w:ascii="Arial" w:hAnsi="Arial" w:cs="Arial"/>
          <w:color w:val="000000"/>
          <w:spacing w:val="-2"/>
          <w:sz w:val="20"/>
          <w:szCs w:val="20"/>
        </w:rPr>
        <w:t xml:space="preserve"> </w:t>
      </w:r>
      <w:r w:rsidR="004E0DBE" w:rsidRPr="002D2F67">
        <w:rPr>
          <w:rFonts w:ascii="Arial" w:hAnsi="Arial" w:cs="Arial"/>
          <w:color w:val="000000"/>
          <w:spacing w:val="-2"/>
          <w:sz w:val="20"/>
          <w:szCs w:val="20"/>
        </w:rPr>
        <w:t>are</w:t>
      </w:r>
      <w:r w:rsidR="00CE2FF7" w:rsidRPr="002D2F67">
        <w:rPr>
          <w:rFonts w:ascii="Arial" w:hAnsi="Arial" w:cs="Arial"/>
          <w:color w:val="000000"/>
          <w:spacing w:val="-2"/>
          <w:sz w:val="20"/>
          <w:szCs w:val="20"/>
        </w:rPr>
        <w:t xml:space="preserve"> between </w:t>
      </w:r>
      <w:r w:rsidR="00CD5714" w:rsidRPr="00CD5714">
        <w:rPr>
          <w:rFonts w:ascii="Arial" w:hAnsi="Arial" w:cs="Arial"/>
          <w:color w:val="000000"/>
          <w:spacing w:val="-2"/>
          <w:sz w:val="20"/>
          <w:szCs w:val="20"/>
          <w:lang w:val="en-GB"/>
        </w:rPr>
        <w:t>5</w:t>
      </w:r>
      <w:r w:rsidR="00AC11A3" w:rsidRPr="002D2F67">
        <w:rPr>
          <w:rFonts w:ascii="Arial" w:hAnsi="Arial" w:cs="Arial"/>
          <w:color w:val="000000"/>
          <w:spacing w:val="-2"/>
          <w:sz w:val="20"/>
          <w:szCs w:val="20"/>
        </w:rPr>
        <w:t>.</w:t>
      </w:r>
      <w:r w:rsidR="00CD5714" w:rsidRPr="00CD5714">
        <w:rPr>
          <w:rFonts w:ascii="Arial" w:hAnsi="Arial" w:cs="Arial"/>
          <w:color w:val="000000"/>
          <w:spacing w:val="-2"/>
          <w:sz w:val="20"/>
          <w:szCs w:val="20"/>
          <w:lang w:val="en-GB"/>
        </w:rPr>
        <w:t>22</w:t>
      </w:r>
      <w:r w:rsidR="00CE2FF7" w:rsidRPr="002D2F67">
        <w:rPr>
          <w:rFonts w:ascii="Arial" w:hAnsi="Arial" w:cs="Arial"/>
          <w:color w:val="000000"/>
          <w:spacing w:val="-2"/>
          <w:sz w:val="20"/>
          <w:szCs w:val="20"/>
        </w:rPr>
        <w:t xml:space="preserve">% </w:t>
      </w:r>
      <w:r w:rsidR="004E0DBE" w:rsidRPr="002D2F67">
        <w:rPr>
          <w:rFonts w:ascii="Arial" w:hAnsi="Arial" w:cs="Arial"/>
          <w:color w:val="000000"/>
          <w:spacing w:val="-2"/>
          <w:sz w:val="20"/>
          <w:szCs w:val="20"/>
        </w:rPr>
        <w:t>and</w:t>
      </w:r>
      <w:r w:rsidR="00CE2FF7" w:rsidRPr="002D2F67">
        <w:rPr>
          <w:rFonts w:ascii="Arial" w:hAnsi="Arial" w:cs="Arial"/>
          <w:color w:val="000000"/>
          <w:spacing w:val="-2"/>
          <w:sz w:val="20"/>
          <w:szCs w:val="20"/>
        </w:rPr>
        <w:t xml:space="preserve"> </w:t>
      </w:r>
      <w:r w:rsidR="00CD5714" w:rsidRPr="00CD5714">
        <w:rPr>
          <w:rFonts w:ascii="Arial" w:hAnsi="Arial" w:cs="Arial"/>
          <w:color w:val="000000"/>
          <w:spacing w:val="-2"/>
          <w:sz w:val="20"/>
          <w:szCs w:val="20"/>
          <w:lang w:val="en-GB"/>
        </w:rPr>
        <w:t>6</w:t>
      </w:r>
      <w:r w:rsidR="00893166" w:rsidRPr="002D2F67">
        <w:rPr>
          <w:rFonts w:ascii="Arial" w:hAnsi="Arial" w:cs="Arial"/>
          <w:color w:val="000000"/>
          <w:spacing w:val="-2"/>
          <w:sz w:val="20"/>
          <w:szCs w:val="20"/>
        </w:rPr>
        <w:t>.</w:t>
      </w:r>
      <w:r w:rsidR="00CD5714" w:rsidRPr="00CD5714">
        <w:rPr>
          <w:rFonts w:ascii="Arial" w:hAnsi="Arial" w:cs="Arial"/>
          <w:color w:val="000000"/>
          <w:spacing w:val="-2"/>
          <w:sz w:val="20"/>
          <w:szCs w:val="20"/>
          <w:lang w:val="en-GB"/>
        </w:rPr>
        <w:t>33</w:t>
      </w:r>
      <w:r w:rsidR="00CE2FF7" w:rsidRPr="002D2F67">
        <w:rPr>
          <w:rFonts w:ascii="Arial" w:hAnsi="Arial" w:cs="Arial"/>
          <w:color w:val="000000"/>
          <w:spacing w:val="-2"/>
          <w:sz w:val="20"/>
          <w:szCs w:val="20"/>
        </w:rPr>
        <w:t>% per annum</w:t>
      </w:r>
      <w:r w:rsidR="003F4D68" w:rsidRPr="002D2F67">
        <w:rPr>
          <w:rFonts w:ascii="Arial" w:hAnsi="Arial" w:cs="Arial"/>
          <w:color w:val="000000"/>
          <w:spacing w:val="-2"/>
          <w:sz w:val="20"/>
          <w:szCs w:val="20"/>
        </w:rPr>
        <w:t xml:space="preserve"> (</w:t>
      </w:r>
      <w:r w:rsidR="00CD5714" w:rsidRPr="00CD5714">
        <w:rPr>
          <w:rFonts w:ascii="Arial" w:hAnsi="Arial" w:cs="Arial"/>
          <w:color w:val="000000"/>
          <w:spacing w:val="-2"/>
          <w:sz w:val="20"/>
          <w:szCs w:val="20"/>
          <w:lang w:val="en-GB"/>
        </w:rPr>
        <w:t>2023</w:t>
      </w:r>
      <w:r w:rsidR="003F4D68" w:rsidRPr="002D2F67">
        <w:rPr>
          <w:rFonts w:ascii="Arial" w:hAnsi="Arial" w:cs="Arial"/>
          <w:color w:val="000000"/>
          <w:spacing w:val="-2"/>
          <w:sz w:val="20"/>
          <w:szCs w:val="20"/>
        </w:rPr>
        <w:t xml:space="preserve">: </w:t>
      </w:r>
      <w:r w:rsidR="00CD5714" w:rsidRPr="00CD5714">
        <w:rPr>
          <w:rFonts w:ascii="Arial" w:hAnsi="Arial" w:cs="Arial"/>
          <w:color w:val="000000"/>
          <w:spacing w:val="-2"/>
          <w:sz w:val="20"/>
          <w:szCs w:val="20"/>
          <w:lang w:val="en-GB"/>
        </w:rPr>
        <w:t>5</w:t>
      </w:r>
      <w:r w:rsidR="003F4D68" w:rsidRPr="002D2F67">
        <w:rPr>
          <w:rFonts w:ascii="Arial" w:hAnsi="Arial" w:cs="Arial"/>
          <w:color w:val="000000"/>
          <w:spacing w:val="-2"/>
          <w:sz w:val="20"/>
          <w:szCs w:val="20"/>
        </w:rPr>
        <w:t>.</w:t>
      </w:r>
      <w:r w:rsidR="00CD5714" w:rsidRPr="00CD5714">
        <w:rPr>
          <w:rFonts w:ascii="Arial" w:hAnsi="Arial" w:cs="Arial"/>
          <w:color w:val="000000"/>
          <w:spacing w:val="-2"/>
          <w:sz w:val="20"/>
          <w:szCs w:val="20"/>
          <w:lang w:val="en-GB"/>
        </w:rPr>
        <w:t>22</w:t>
      </w:r>
      <w:r w:rsidR="003F4D68" w:rsidRPr="002D2F67">
        <w:rPr>
          <w:rFonts w:ascii="Arial" w:hAnsi="Arial" w:cs="Arial"/>
          <w:color w:val="000000"/>
          <w:spacing w:val="-2"/>
          <w:sz w:val="20"/>
          <w:szCs w:val="20"/>
        </w:rPr>
        <w:t xml:space="preserve">% and </w:t>
      </w:r>
      <w:r w:rsidR="00CD5714" w:rsidRPr="00CD5714">
        <w:rPr>
          <w:rFonts w:ascii="Arial" w:hAnsi="Arial" w:cs="Arial"/>
          <w:color w:val="000000"/>
          <w:spacing w:val="-2"/>
          <w:sz w:val="20"/>
          <w:szCs w:val="20"/>
          <w:lang w:val="en-GB"/>
        </w:rPr>
        <w:t>6</w:t>
      </w:r>
      <w:r w:rsidR="003F4D68" w:rsidRPr="002D2F67">
        <w:rPr>
          <w:rFonts w:ascii="Arial" w:hAnsi="Arial" w:cs="Arial"/>
          <w:color w:val="000000"/>
          <w:spacing w:val="-2"/>
          <w:sz w:val="20"/>
          <w:szCs w:val="20"/>
        </w:rPr>
        <w:t>.</w:t>
      </w:r>
      <w:r w:rsidR="00CD5714" w:rsidRPr="00CD5714">
        <w:rPr>
          <w:rFonts w:ascii="Arial" w:hAnsi="Arial" w:cs="Arial"/>
          <w:color w:val="000000"/>
          <w:spacing w:val="-2"/>
          <w:sz w:val="20"/>
          <w:szCs w:val="20"/>
          <w:lang w:val="en-GB"/>
        </w:rPr>
        <w:t>33</w:t>
      </w:r>
      <w:r w:rsidR="003F4D68" w:rsidRPr="002D2F67">
        <w:rPr>
          <w:rFonts w:ascii="Arial" w:hAnsi="Arial" w:cs="Arial"/>
          <w:color w:val="000000"/>
          <w:spacing w:val="-2"/>
          <w:sz w:val="20"/>
          <w:szCs w:val="20"/>
        </w:rPr>
        <w:t>% per annum)</w:t>
      </w:r>
      <w:r w:rsidR="00CE2FF7" w:rsidRPr="002D2F67">
        <w:rPr>
          <w:rFonts w:ascii="Arial" w:hAnsi="Arial" w:cs="Arial"/>
          <w:color w:val="000000"/>
          <w:spacing w:val="-2"/>
          <w:sz w:val="20"/>
          <w:szCs w:val="20"/>
        </w:rPr>
        <w:t>. The payment schedule</w:t>
      </w:r>
      <w:r w:rsidR="00212364" w:rsidRPr="002D2F67">
        <w:rPr>
          <w:rFonts w:ascii="Arial" w:hAnsi="Arial" w:cs="Arial"/>
          <w:color w:val="000000"/>
          <w:spacing w:val="-2"/>
          <w:sz w:val="20"/>
          <w:szCs w:val="20"/>
        </w:rPr>
        <w:t>s</w:t>
      </w:r>
      <w:r w:rsidR="00CE2FF7" w:rsidRPr="002D2F67">
        <w:rPr>
          <w:rFonts w:ascii="Arial" w:hAnsi="Arial" w:cs="Arial"/>
          <w:color w:val="000000"/>
          <w:spacing w:val="-2"/>
          <w:sz w:val="20"/>
          <w:szCs w:val="20"/>
        </w:rPr>
        <w:t xml:space="preserve"> </w:t>
      </w:r>
      <w:r w:rsidR="004E0DBE" w:rsidRPr="002D2F67">
        <w:rPr>
          <w:rFonts w:ascii="Arial" w:hAnsi="Arial" w:cs="Arial"/>
          <w:color w:val="000000"/>
          <w:spacing w:val="-2"/>
          <w:sz w:val="20"/>
          <w:szCs w:val="20"/>
        </w:rPr>
        <w:t>are</w:t>
      </w:r>
      <w:r w:rsidR="00CE2FF7" w:rsidRPr="002D2F67">
        <w:rPr>
          <w:rFonts w:ascii="Arial" w:hAnsi="Arial" w:cs="Arial"/>
          <w:color w:val="000000"/>
          <w:spacing w:val="-2"/>
          <w:sz w:val="20"/>
          <w:szCs w:val="20"/>
        </w:rPr>
        <w:t xml:space="preserve"> made </w:t>
      </w:r>
      <w:proofErr w:type="gramStart"/>
      <w:r w:rsidR="00CE2FF7" w:rsidRPr="002D2F67">
        <w:rPr>
          <w:rFonts w:ascii="Arial" w:hAnsi="Arial" w:cs="Arial"/>
          <w:color w:val="000000"/>
          <w:spacing w:val="-2"/>
          <w:sz w:val="20"/>
          <w:szCs w:val="20"/>
        </w:rPr>
        <w:t>on a monthly basis</w:t>
      </w:r>
      <w:proofErr w:type="gramEnd"/>
      <w:r w:rsidR="00CE2FF7" w:rsidRPr="002D2F67">
        <w:rPr>
          <w:rFonts w:ascii="Arial" w:hAnsi="Arial" w:cs="Arial"/>
          <w:color w:val="000000"/>
          <w:spacing w:val="-2"/>
          <w:sz w:val="20"/>
          <w:szCs w:val="20"/>
        </w:rPr>
        <w:t>.</w:t>
      </w:r>
    </w:p>
    <w:p w14:paraId="51CBB5E7" w14:textId="77777777" w:rsidR="00365A44" w:rsidRDefault="00365A44" w:rsidP="005611FE">
      <w:pPr>
        <w:jc w:val="thaiDistribute"/>
        <w:rPr>
          <w:rFonts w:ascii="Arial" w:hAnsi="Arial" w:cs="Arial"/>
          <w:color w:val="000000"/>
          <w:spacing w:val="-2"/>
          <w:sz w:val="20"/>
          <w:szCs w:val="20"/>
        </w:rPr>
      </w:pPr>
    </w:p>
    <w:p w14:paraId="283341BC" w14:textId="364B874D" w:rsidR="00365A44" w:rsidRPr="002D2F67" w:rsidRDefault="00365A44" w:rsidP="005611FE">
      <w:pPr>
        <w:jc w:val="thaiDistribute"/>
        <w:rPr>
          <w:rFonts w:ascii="Arial" w:hAnsi="Arial" w:cs="Arial"/>
          <w:color w:val="000000"/>
          <w:spacing w:val="-2"/>
          <w:sz w:val="20"/>
          <w:szCs w:val="20"/>
        </w:rPr>
      </w:pPr>
      <w:r>
        <w:rPr>
          <w:rFonts w:ascii="Arial" w:hAnsi="Arial" w:cs="Arial"/>
          <w:color w:val="000000"/>
          <w:spacing w:val="-2"/>
          <w:sz w:val="20"/>
          <w:szCs w:val="20"/>
        </w:rPr>
        <w:t xml:space="preserve">As </w:t>
      </w:r>
      <w:proofErr w:type="gramStart"/>
      <w:r>
        <w:rPr>
          <w:rFonts w:ascii="Arial" w:hAnsi="Arial" w:cs="Arial"/>
          <w:color w:val="000000"/>
          <w:spacing w:val="-2"/>
          <w:sz w:val="20"/>
          <w:szCs w:val="20"/>
        </w:rPr>
        <w:t>at</w:t>
      </w:r>
      <w:proofErr w:type="gramEnd"/>
      <w:r>
        <w:rPr>
          <w:rFonts w:ascii="Arial" w:hAnsi="Arial" w:cs="Arial"/>
          <w:color w:val="000000"/>
          <w:spacing w:val="-2"/>
          <w:sz w:val="20"/>
          <w:szCs w:val="20"/>
        </w:rPr>
        <w:t xml:space="preserve"> 31 December 2024, finance lease receivables of the Group of Baht </w:t>
      </w:r>
      <w:r w:rsidR="0041747C" w:rsidRPr="0041747C">
        <w:rPr>
          <w:rFonts w:ascii="Arial" w:hAnsi="Arial" w:cs="Arial"/>
          <w:color w:val="000000"/>
          <w:spacing w:val="-2"/>
          <w:sz w:val="20"/>
          <w:szCs w:val="20"/>
        </w:rPr>
        <w:t>1,093</w:t>
      </w:r>
      <w:r>
        <w:rPr>
          <w:rFonts w:ascii="Arial" w:hAnsi="Arial" w:cs="Arial"/>
          <w:color w:val="000000"/>
          <w:spacing w:val="-2"/>
          <w:sz w:val="20"/>
          <w:szCs w:val="20"/>
        </w:rPr>
        <w:t xml:space="preserve"> million were overdue balance </w:t>
      </w:r>
      <w:r w:rsidRPr="00365A44">
        <w:rPr>
          <w:rFonts w:ascii="Arial" w:hAnsi="Arial" w:cs="Arial"/>
          <w:color w:val="000000"/>
          <w:sz w:val="20"/>
          <w:szCs w:val="20"/>
        </w:rPr>
        <w:t>below 3 months (2023: None) which the Group recognise allowance for expected credit loss on those receivables</w:t>
      </w:r>
      <w:r>
        <w:rPr>
          <w:rFonts w:ascii="Arial" w:hAnsi="Arial" w:cs="Arial"/>
          <w:color w:val="000000"/>
          <w:spacing w:val="-2"/>
          <w:sz w:val="20"/>
          <w:szCs w:val="20"/>
        </w:rPr>
        <w:t xml:space="preserve"> of Baht </w:t>
      </w:r>
      <w:r w:rsidR="0041747C">
        <w:rPr>
          <w:rFonts w:ascii="Arial" w:hAnsi="Arial" w:cs="Arial"/>
          <w:color w:val="000000"/>
          <w:spacing w:val="-2"/>
          <w:sz w:val="20"/>
          <w:szCs w:val="20"/>
        </w:rPr>
        <w:t>66</w:t>
      </w:r>
      <w:r>
        <w:rPr>
          <w:rFonts w:ascii="Arial" w:hAnsi="Arial" w:cs="Arial"/>
          <w:color w:val="000000"/>
          <w:spacing w:val="-2"/>
          <w:sz w:val="20"/>
          <w:szCs w:val="20"/>
        </w:rPr>
        <w:t xml:space="preserve"> million (2023: None)</w:t>
      </w:r>
      <w:r w:rsidR="00387010">
        <w:rPr>
          <w:rFonts w:ascii="Arial" w:hAnsi="Arial" w:cs="Arial"/>
          <w:color w:val="000000"/>
          <w:spacing w:val="-2"/>
          <w:sz w:val="20"/>
          <w:szCs w:val="20"/>
        </w:rPr>
        <w:t>.</w:t>
      </w:r>
    </w:p>
    <w:bookmarkEnd w:id="5"/>
    <w:p w14:paraId="6BB81FB5" w14:textId="2061B197" w:rsidR="00CE2FF7" w:rsidRPr="002D2F67" w:rsidRDefault="00C71086" w:rsidP="005611FE">
      <w:pPr>
        <w:pStyle w:val="BodyTextIndent2"/>
        <w:spacing w:line="240" w:lineRule="auto"/>
        <w:ind w:left="0"/>
        <w:jc w:val="left"/>
        <w:rPr>
          <w:rFonts w:ascii="Arial" w:hAnsi="Arial" w:cs="Arial"/>
          <w:spacing w:val="-2"/>
        </w:rPr>
      </w:pPr>
      <w:r w:rsidRPr="002D2F67">
        <w:rPr>
          <w:rFonts w:ascii="Arial" w:hAnsi="Arial" w:cs="Arial"/>
          <w:spacing w:val="-2"/>
        </w:rPr>
        <w:br w:type="page"/>
      </w:r>
    </w:p>
    <w:p w14:paraId="11A54E21" w14:textId="5F3ED407" w:rsidR="001845CC"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14</w:t>
      </w:r>
      <w:r w:rsidR="001845CC" w:rsidRPr="002D2F67">
        <w:rPr>
          <w:rFonts w:ascii="Arial" w:hAnsi="Arial" w:cs="Arial"/>
          <w:b/>
          <w:bCs/>
          <w:color w:val="000000"/>
          <w:kern w:val="26"/>
          <w:position w:val="-24"/>
          <w:sz w:val="20"/>
          <w:szCs w:val="20"/>
          <w:cs/>
        </w:rPr>
        <w:tab/>
      </w:r>
      <w:r w:rsidR="001845CC" w:rsidRPr="002D2F67">
        <w:rPr>
          <w:rFonts w:ascii="Arial" w:hAnsi="Arial" w:cs="Arial"/>
          <w:b/>
          <w:bCs/>
          <w:color w:val="000000"/>
          <w:kern w:val="26"/>
          <w:position w:val="-24"/>
          <w:sz w:val="20"/>
          <w:szCs w:val="20"/>
        </w:rPr>
        <w:t xml:space="preserve">Other </w:t>
      </w:r>
      <w:r w:rsidR="00CF2B96" w:rsidRPr="002D2F67">
        <w:rPr>
          <w:rFonts w:ascii="Arial" w:hAnsi="Arial" w:cs="Arial"/>
          <w:b/>
          <w:bCs/>
          <w:color w:val="000000"/>
          <w:kern w:val="26"/>
          <w:position w:val="-24"/>
          <w:sz w:val="20"/>
          <w:szCs w:val="20"/>
        </w:rPr>
        <w:t xml:space="preserve">current </w:t>
      </w:r>
      <w:r w:rsidR="001845CC" w:rsidRPr="002D2F67">
        <w:rPr>
          <w:rFonts w:ascii="Arial" w:hAnsi="Arial" w:cs="Arial"/>
          <w:b/>
          <w:bCs/>
          <w:color w:val="000000"/>
          <w:kern w:val="26"/>
          <w:position w:val="-24"/>
          <w:sz w:val="20"/>
          <w:szCs w:val="20"/>
        </w:rPr>
        <w:t>receivable</w:t>
      </w:r>
      <w:r w:rsidR="00CF2B96" w:rsidRPr="002D2F67">
        <w:rPr>
          <w:rFonts w:ascii="Arial" w:hAnsi="Arial" w:cs="Arial"/>
          <w:b/>
          <w:bCs/>
          <w:color w:val="000000"/>
          <w:kern w:val="26"/>
          <w:position w:val="-24"/>
          <w:sz w:val="20"/>
          <w:szCs w:val="20"/>
        </w:rPr>
        <w:t>s</w:t>
      </w:r>
      <w:r w:rsidR="001845CC" w:rsidRPr="002D2F67">
        <w:rPr>
          <w:rFonts w:ascii="Arial" w:hAnsi="Arial" w:cs="Arial"/>
          <w:b/>
          <w:bCs/>
          <w:color w:val="000000"/>
          <w:kern w:val="26"/>
          <w:position w:val="-24"/>
          <w:sz w:val="20"/>
          <w:szCs w:val="20"/>
        </w:rPr>
        <w:t>, net</w:t>
      </w:r>
    </w:p>
    <w:p w14:paraId="0DB306B5" w14:textId="77777777" w:rsidR="00FF408A" w:rsidRPr="002D2F67" w:rsidRDefault="00FF408A" w:rsidP="005611FE">
      <w:pPr>
        <w:pStyle w:val="BodyTextIndent2"/>
        <w:spacing w:line="240" w:lineRule="auto"/>
        <w:ind w:left="0"/>
        <w:jc w:val="left"/>
        <w:rPr>
          <w:rFonts w:ascii="Arial" w:hAnsi="Arial" w:cs="Arial"/>
          <w:spacing w:val="-2"/>
        </w:rPr>
      </w:pPr>
    </w:p>
    <w:tbl>
      <w:tblPr>
        <w:tblW w:w="9450" w:type="dxa"/>
        <w:tblInd w:w="108" w:type="dxa"/>
        <w:tblLayout w:type="fixed"/>
        <w:tblLook w:val="0000" w:firstRow="0" w:lastRow="0" w:firstColumn="0" w:lastColumn="0" w:noHBand="0" w:noVBand="0"/>
      </w:tblPr>
      <w:tblGrid>
        <w:gridCol w:w="3617"/>
        <w:gridCol w:w="1458"/>
        <w:gridCol w:w="1458"/>
        <w:gridCol w:w="1458"/>
        <w:gridCol w:w="1459"/>
      </w:tblGrid>
      <w:tr w:rsidR="00FF408A" w:rsidRPr="002D2F67" w14:paraId="1416DFEE" w14:textId="77777777" w:rsidTr="008255E8">
        <w:trPr>
          <w:cantSplit/>
        </w:trPr>
        <w:tc>
          <w:tcPr>
            <w:tcW w:w="3617" w:type="dxa"/>
            <w:shd w:val="clear" w:color="auto" w:fill="auto"/>
          </w:tcPr>
          <w:p w14:paraId="3F305740" w14:textId="77777777" w:rsidR="00FF408A" w:rsidRPr="002D2F67" w:rsidRDefault="00FF408A" w:rsidP="005611FE">
            <w:pPr>
              <w:pStyle w:val="BodyTextIndent2"/>
              <w:spacing w:line="240" w:lineRule="auto"/>
              <w:ind w:left="-105"/>
              <w:rPr>
                <w:rFonts w:ascii="Arial" w:hAnsi="Arial" w:cs="Arial"/>
                <w:b/>
                <w:bCs/>
              </w:rPr>
            </w:pPr>
          </w:p>
        </w:tc>
        <w:tc>
          <w:tcPr>
            <w:tcW w:w="2916" w:type="dxa"/>
            <w:gridSpan w:val="2"/>
            <w:tcBorders>
              <w:bottom w:val="single" w:sz="4" w:space="0" w:color="auto"/>
            </w:tcBorders>
            <w:shd w:val="clear" w:color="auto" w:fill="auto"/>
          </w:tcPr>
          <w:p w14:paraId="3C8FFE9A" w14:textId="77777777" w:rsidR="00B26023" w:rsidRPr="002D2F67" w:rsidRDefault="00FF408A" w:rsidP="005611FE">
            <w:pPr>
              <w:pStyle w:val="BodyTextIndent2"/>
              <w:spacing w:line="240" w:lineRule="auto"/>
              <w:ind w:left="0" w:right="-72"/>
              <w:jc w:val="right"/>
              <w:rPr>
                <w:rFonts w:ascii="Arial" w:hAnsi="Arial" w:cs="Arial"/>
                <w:b/>
                <w:bCs/>
              </w:rPr>
            </w:pPr>
            <w:r w:rsidRPr="002D2F67">
              <w:rPr>
                <w:rFonts w:ascii="Arial" w:hAnsi="Arial" w:cs="Arial"/>
                <w:b/>
                <w:bCs/>
              </w:rPr>
              <w:t>Consolidated</w:t>
            </w:r>
            <w:r w:rsidR="00B26023" w:rsidRPr="002D2F67">
              <w:rPr>
                <w:rFonts w:ascii="Arial" w:hAnsi="Arial" w:cs="Arial"/>
                <w:b/>
                <w:bCs/>
              </w:rPr>
              <w:t xml:space="preserve"> </w:t>
            </w:r>
          </w:p>
          <w:p w14:paraId="7B27374D" w14:textId="77777777" w:rsidR="00FF408A" w:rsidRPr="002D2F67" w:rsidRDefault="00B26023" w:rsidP="005611FE">
            <w:pPr>
              <w:pStyle w:val="BodyTextIndent2"/>
              <w:spacing w:line="240" w:lineRule="auto"/>
              <w:ind w:left="0" w:right="-72"/>
              <w:jc w:val="right"/>
              <w:rPr>
                <w:rFonts w:ascii="Arial" w:hAnsi="Arial" w:cs="Arial"/>
                <w:b/>
                <w:bCs/>
              </w:rPr>
            </w:pPr>
            <w:r w:rsidRPr="002D2F67">
              <w:rPr>
                <w:rFonts w:ascii="Arial" w:hAnsi="Arial" w:cs="Arial"/>
                <w:b/>
                <w:bCs/>
              </w:rPr>
              <w:t>financial statements</w:t>
            </w:r>
          </w:p>
        </w:tc>
        <w:tc>
          <w:tcPr>
            <w:tcW w:w="2917" w:type="dxa"/>
            <w:gridSpan w:val="2"/>
            <w:tcBorders>
              <w:bottom w:val="single" w:sz="4" w:space="0" w:color="auto"/>
            </w:tcBorders>
            <w:shd w:val="clear" w:color="auto" w:fill="auto"/>
          </w:tcPr>
          <w:p w14:paraId="2A81919D" w14:textId="77777777" w:rsidR="00FF408A" w:rsidRPr="002D2F67" w:rsidRDefault="00FF408A" w:rsidP="005611FE">
            <w:pPr>
              <w:pStyle w:val="BodyTextIndent2"/>
              <w:spacing w:line="240" w:lineRule="auto"/>
              <w:ind w:left="0" w:right="-72"/>
              <w:jc w:val="right"/>
              <w:rPr>
                <w:rFonts w:ascii="Arial" w:hAnsi="Arial" w:cs="Arial"/>
                <w:b/>
                <w:bCs/>
              </w:rPr>
            </w:pPr>
            <w:r w:rsidRPr="002D2F67">
              <w:rPr>
                <w:rFonts w:ascii="Arial" w:hAnsi="Arial" w:cs="Arial"/>
                <w:b/>
                <w:bCs/>
              </w:rPr>
              <w:t>Separate</w:t>
            </w:r>
          </w:p>
          <w:p w14:paraId="47BC0BA0" w14:textId="77777777" w:rsidR="00B26023" w:rsidRPr="002D2F67" w:rsidRDefault="00B26023" w:rsidP="005611FE">
            <w:pPr>
              <w:pStyle w:val="BodyTextIndent2"/>
              <w:spacing w:line="240" w:lineRule="auto"/>
              <w:ind w:left="0" w:right="-72"/>
              <w:jc w:val="right"/>
              <w:rPr>
                <w:rFonts w:ascii="Arial" w:hAnsi="Arial" w:cs="Arial"/>
                <w:b/>
                <w:bCs/>
              </w:rPr>
            </w:pPr>
            <w:r w:rsidRPr="002D2F67">
              <w:rPr>
                <w:rFonts w:ascii="Arial" w:hAnsi="Arial" w:cs="Arial"/>
                <w:b/>
                <w:bCs/>
              </w:rPr>
              <w:t xml:space="preserve"> financial statements</w:t>
            </w:r>
          </w:p>
        </w:tc>
      </w:tr>
      <w:tr w:rsidR="008E366B" w:rsidRPr="002D2F67" w14:paraId="48CF2D16" w14:textId="77777777" w:rsidTr="005611FE">
        <w:trPr>
          <w:cantSplit/>
        </w:trPr>
        <w:tc>
          <w:tcPr>
            <w:tcW w:w="3617" w:type="dxa"/>
            <w:shd w:val="clear" w:color="auto" w:fill="auto"/>
          </w:tcPr>
          <w:p w14:paraId="4C996907" w14:textId="7E6723B8" w:rsidR="008E366B" w:rsidRPr="002D2F67" w:rsidRDefault="008E366B" w:rsidP="005611FE">
            <w:pPr>
              <w:pStyle w:val="BodyTextIndent2"/>
              <w:spacing w:line="240" w:lineRule="auto"/>
              <w:ind w:left="-105"/>
              <w:rPr>
                <w:rFonts w:ascii="Arial" w:hAnsi="Arial" w:cs="Arial"/>
                <w:b/>
                <w:bCs/>
              </w:rPr>
            </w:pPr>
            <w:r w:rsidRPr="002D2F67">
              <w:rPr>
                <w:rFonts w:ascii="Arial" w:eastAsia="Arial Unicode MS" w:hAnsi="Arial" w:cs="Arial"/>
                <w:b/>
                <w:bCs/>
              </w:rPr>
              <w:t xml:space="preserve">As </w:t>
            </w:r>
            <w:proofErr w:type="gramStart"/>
            <w:r w:rsidRPr="002D2F67">
              <w:rPr>
                <w:rFonts w:ascii="Arial" w:eastAsia="Arial Unicode MS" w:hAnsi="Arial" w:cs="Arial"/>
                <w:b/>
                <w:bCs/>
              </w:rPr>
              <w:t>at</w:t>
            </w:r>
            <w:proofErr w:type="gramEnd"/>
            <w:r w:rsidRPr="002D2F67">
              <w:rPr>
                <w:rFonts w:ascii="Arial" w:eastAsia="Arial Unicode MS" w:hAnsi="Arial" w:cs="Arial"/>
                <w:b/>
                <w:bCs/>
              </w:rPr>
              <w:t xml:space="preserve"> </w:t>
            </w:r>
            <w:r w:rsidR="00CD5714" w:rsidRPr="00CD5714">
              <w:rPr>
                <w:rFonts w:ascii="Arial" w:eastAsia="Arial Unicode MS" w:hAnsi="Arial" w:cs="Arial"/>
                <w:b/>
                <w:bCs/>
                <w:lang w:val="en-GB"/>
              </w:rPr>
              <w:t>31</w:t>
            </w:r>
            <w:r w:rsidRPr="002D2F67">
              <w:rPr>
                <w:rFonts w:ascii="Arial" w:eastAsia="Arial Unicode MS" w:hAnsi="Arial" w:cs="Arial"/>
                <w:b/>
                <w:bCs/>
              </w:rPr>
              <w:t xml:space="preserve"> December</w:t>
            </w:r>
          </w:p>
        </w:tc>
        <w:tc>
          <w:tcPr>
            <w:tcW w:w="1458" w:type="dxa"/>
            <w:shd w:val="clear" w:color="auto" w:fill="auto"/>
            <w:vAlign w:val="bottom"/>
          </w:tcPr>
          <w:p w14:paraId="345F1AE5" w14:textId="587D483E" w:rsidR="008E366B"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58" w:type="dxa"/>
            <w:shd w:val="clear" w:color="auto" w:fill="auto"/>
            <w:vAlign w:val="bottom"/>
          </w:tcPr>
          <w:p w14:paraId="3F978581" w14:textId="7F1943FB" w:rsidR="008E366B"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c>
          <w:tcPr>
            <w:tcW w:w="1458" w:type="dxa"/>
            <w:shd w:val="clear" w:color="auto" w:fill="auto"/>
            <w:vAlign w:val="bottom"/>
          </w:tcPr>
          <w:p w14:paraId="32E97630" w14:textId="6F19D9E4" w:rsidR="008E366B"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59" w:type="dxa"/>
            <w:shd w:val="clear" w:color="auto" w:fill="auto"/>
            <w:vAlign w:val="bottom"/>
          </w:tcPr>
          <w:p w14:paraId="4167DE7D" w14:textId="705B11A4" w:rsidR="008E366B"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5B34B7" w:rsidRPr="002D2F67" w14:paraId="1221F44E" w14:textId="77777777" w:rsidTr="005611FE">
        <w:trPr>
          <w:cantSplit/>
        </w:trPr>
        <w:tc>
          <w:tcPr>
            <w:tcW w:w="3617" w:type="dxa"/>
            <w:shd w:val="clear" w:color="auto" w:fill="auto"/>
          </w:tcPr>
          <w:p w14:paraId="4F01905D" w14:textId="77777777" w:rsidR="005B34B7" w:rsidRPr="002D2F67" w:rsidRDefault="005B34B7" w:rsidP="005611FE">
            <w:pPr>
              <w:pStyle w:val="BodyTextIndent2"/>
              <w:spacing w:line="240" w:lineRule="auto"/>
              <w:ind w:left="-105"/>
              <w:rPr>
                <w:rFonts w:ascii="Arial" w:hAnsi="Arial" w:cs="Arial"/>
                <w:b/>
                <w:bCs/>
              </w:rPr>
            </w:pPr>
          </w:p>
        </w:tc>
        <w:tc>
          <w:tcPr>
            <w:tcW w:w="1458" w:type="dxa"/>
            <w:tcBorders>
              <w:bottom w:val="single" w:sz="4" w:space="0" w:color="auto"/>
            </w:tcBorders>
            <w:shd w:val="clear" w:color="auto" w:fill="auto"/>
            <w:vAlign w:val="bottom"/>
          </w:tcPr>
          <w:p w14:paraId="0A0C24CB" w14:textId="3C579B5A" w:rsidR="005B34B7" w:rsidRPr="002D2F67" w:rsidRDefault="00D31B14" w:rsidP="005611FE">
            <w:pPr>
              <w:ind w:right="-72"/>
              <w:jc w:val="right"/>
              <w:rPr>
                <w:rFonts w:ascii="Arial" w:hAnsi="Arial" w:cs="Arial"/>
                <w:color w:val="000000"/>
                <w:sz w:val="20"/>
                <w:szCs w:val="20"/>
                <w:cs/>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58" w:type="dxa"/>
            <w:tcBorders>
              <w:bottom w:val="single" w:sz="4" w:space="0" w:color="auto"/>
            </w:tcBorders>
            <w:shd w:val="clear" w:color="auto" w:fill="auto"/>
          </w:tcPr>
          <w:p w14:paraId="0EEC2D88" w14:textId="3464A5A6" w:rsidR="005B34B7" w:rsidRPr="002D2F67" w:rsidRDefault="00D31B14" w:rsidP="005611FE">
            <w:pPr>
              <w:ind w:right="-72"/>
              <w:jc w:val="right"/>
              <w:rPr>
                <w:rFonts w:ascii="Arial" w:hAnsi="Arial" w:cs="Arial"/>
                <w:color w:val="000000"/>
                <w:sz w:val="20"/>
                <w:szCs w:val="20"/>
                <w:cs/>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58" w:type="dxa"/>
            <w:tcBorders>
              <w:bottom w:val="single" w:sz="4" w:space="0" w:color="auto"/>
            </w:tcBorders>
            <w:shd w:val="clear" w:color="auto" w:fill="auto"/>
            <w:vAlign w:val="bottom"/>
          </w:tcPr>
          <w:p w14:paraId="159B6D36" w14:textId="1D71AF84" w:rsidR="005B34B7" w:rsidRPr="002D2F67" w:rsidRDefault="00D31B14" w:rsidP="005611FE">
            <w:pPr>
              <w:ind w:right="-72"/>
              <w:jc w:val="right"/>
              <w:rPr>
                <w:rFonts w:ascii="Arial" w:hAnsi="Arial" w:cs="Arial"/>
                <w:color w:val="000000"/>
                <w:sz w:val="20"/>
                <w:szCs w:val="20"/>
                <w:cs/>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59" w:type="dxa"/>
            <w:tcBorders>
              <w:bottom w:val="single" w:sz="4" w:space="0" w:color="auto"/>
            </w:tcBorders>
            <w:shd w:val="clear" w:color="auto" w:fill="auto"/>
          </w:tcPr>
          <w:p w14:paraId="06B969F1" w14:textId="31C174CA" w:rsidR="005B34B7" w:rsidRPr="002D2F67" w:rsidRDefault="00D31B14" w:rsidP="005611FE">
            <w:pPr>
              <w:ind w:right="-72"/>
              <w:jc w:val="right"/>
              <w:rPr>
                <w:rFonts w:ascii="Arial" w:hAnsi="Arial" w:cs="Arial"/>
                <w:color w:val="000000"/>
                <w:sz w:val="20"/>
                <w:szCs w:val="20"/>
                <w:cs/>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FF408A" w:rsidRPr="002D2F67" w14:paraId="4E15E544" w14:textId="77777777" w:rsidTr="005611FE">
        <w:trPr>
          <w:cantSplit/>
        </w:trPr>
        <w:tc>
          <w:tcPr>
            <w:tcW w:w="3617" w:type="dxa"/>
            <w:shd w:val="clear" w:color="auto" w:fill="auto"/>
          </w:tcPr>
          <w:p w14:paraId="3BA61F31" w14:textId="77777777" w:rsidR="00FF408A" w:rsidRPr="002D2F67" w:rsidRDefault="00FF408A" w:rsidP="005611FE">
            <w:pPr>
              <w:pStyle w:val="BodyTextIndent2"/>
              <w:spacing w:line="240" w:lineRule="auto"/>
              <w:ind w:left="-105"/>
              <w:rPr>
                <w:rFonts w:ascii="Arial" w:hAnsi="Arial" w:cs="Arial"/>
                <w:cs/>
              </w:rPr>
            </w:pPr>
          </w:p>
        </w:tc>
        <w:tc>
          <w:tcPr>
            <w:tcW w:w="1458" w:type="dxa"/>
            <w:tcBorders>
              <w:top w:val="single" w:sz="4" w:space="0" w:color="auto"/>
            </w:tcBorders>
            <w:shd w:val="clear" w:color="auto" w:fill="auto"/>
          </w:tcPr>
          <w:p w14:paraId="6F075FE2" w14:textId="77777777" w:rsidR="00FF408A" w:rsidRPr="002D2F67" w:rsidRDefault="00FF408A" w:rsidP="005611FE">
            <w:pPr>
              <w:pStyle w:val="BodyTextIndent2"/>
              <w:spacing w:line="240" w:lineRule="auto"/>
              <w:ind w:left="0" w:right="-72"/>
              <w:jc w:val="right"/>
              <w:rPr>
                <w:rFonts w:ascii="Arial" w:hAnsi="Arial" w:cs="Arial"/>
              </w:rPr>
            </w:pPr>
          </w:p>
        </w:tc>
        <w:tc>
          <w:tcPr>
            <w:tcW w:w="1458" w:type="dxa"/>
            <w:tcBorders>
              <w:top w:val="single" w:sz="4" w:space="0" w:color="auto"/>
            </w:tcBorders>
            <w:shd w:val="clear" w:color="auto" w:fill="auto"/>
          </w:tcPr>
          <w:p w14:paraId="08F64D14" w14:textId="77777777" w:rsidR="00FF408A" w:rsidRPr="002D2F67" w:rsidRDefault="00FF408A" w:rsidP="005611FE">
            <w:pPr>
              <w:pStyle w:val="BodyTextIndent2"/>
              <w:spacing w:line="240" w:lineRule="auto"/>
              <w:ind w:left="0" w:right="-72"/>
              <w:jc w:val="right"/>
              <w:rPr>
                <w:rFonts w:ascii="Arial" w:hAnsi="Arial" w:cs="Arial"/>
              </w:rPr>
            </w:pPr>
          </w:p>
        </w:tc>
        <w:tc>
          <w:tcPr>
            <w:tcW w:w="1458" w:type="dxa"/>
            <w:tcBorders>
              <w:top w:val="single" w:sz="4" w:space="0" w:color="auto"/>
            </w:tcBorders>
            <w:shd w:val="clear" w:color="auto" w:fill="auto"/>
          </w:tcPr>
          <w:p w14:paraId="6BF7A200" w14:textId="77777777" w:rsidR="00FF408A" w:rsidRPr="002D2F67" w:rsidRDefault="00FF408A" w:rsidP="005611FE">
            <w:pPr>
              <w:pStyle w:val="BodyTextIndent2"/>
              <w:spacing w:line="240" w:lineRule="auto"/>
              <w:ind w:left="0" w:right="-72"/>
              <w:jc w:val="right"/>
              <w:rPr>
                <w:rFonts w:ascii="Arial" w:hAnsi="Arial" w:cs="Arial"/>
              </w:rPr>
            </w:pPr>
          </w:p>
        </w:tc>
        <w:tc>
          <w:tcPr>
            <w:tcW w:w="1459" w:type="dxa"/>
            <w:tcBorders>
              <w:top w:val="single" w:sz="4" w:space="0" w:color="auto"/>
            </w:tcBorders>
            <w:shd w:val="clear" w:color="auto" w:fill="auto"/>
          </w:tcPr>
          <w:p w14:paraId="160EBA83" w14:textId="77777777" w:rsidR="00FF408A" w:rsidRPr="002D2F67" w:rsidRDefault="00FF408A" w:rsidP="005611FE">
            <w:pPr>
              <w:pStyle w:val="BodyTextIndent2"/>
              <w:spacing w:line="240" w:lineRule="auto"/>
              <w:ind w:left="0" w:right="-72"/>
              <w:jc w:val="right"/>
              <w:rPr>
                <w:rFonts w:ascii="Arial" w:hAnsi="Arial" w:cs="Arial"/>
              </w:rPr>
            </w:pPr>
          </w:p>
        </w:tc>
      </w:tr>
      <w:tr w:rsidR="00FF408A" w:rsidRPr="002D2F67" w14:paraId="25976533" w14:textId="77777777" w:rsidTr="005611FE">
        <w:trPr>
          <w:cantSplit/>
        </w:trPr>
        <w:tc>
          <w:tcPr>
            <w:tcW w:w="3617" w:type="dxa"/>
            <w:shd w:val="clear" w:color="auto" w:fill="auto"/>
            <w:vAlign w:val="bottom"/>
          </w:tcPr>
          <w:p w14:paraId="39094BF4" w14:textId="19D19E54" w:rsidR="00FF408A" w:rsidRPr="002D2F67" w:rsidRDefault="00FF408A" w:rsidP="005611FE">
            <w:pPr>
              <w:pStyle w:val="BodyTextIndent2"/>
              <w:tabs>
                <w:tab w:val="left" w:pos="2592"/>
              </w:tabs>
              <w:spacing w:line="240" w:lineRule="auto"/>
              <w:ind w:left="-105"/>
              <w:rPr>
                <w:rFonts w:ascii="Arial" w:hAnsi="Arial" w:cs="Arial"/>
              </w:rPr>
            </w:pPr>
            <w:r w:rsidRPr="002D2F67">
              <w:rPr>
                <w:rFonts w:ascii="Arial" w:hAnsi="Arial" w:cs="Arial"/>
              </w:rPr>
              <w:t xml:space="preserve">Other </w:t>
            </w:r>
            <w:r w:rsidR="0032191E" w:rsidRPr="002D2F67">
              <w:rPr>
                <w:rFonts w:ascii="Arial" w:hAnsi="Arial" w:cs="Arial"/>
              </w:rPr>
              <w:t xml:space="preserve">current </w:t>
            </w:r>
            <w:r w:rsidRPr="002D2F67">
              <w:rPr>
                <w:rFonts w:ascii="Arial" w:hAnsi="Arial" w:cs="Arial"/>
              </w:rPr>
              <w:t>receivable</w:t>
            </w:r>
            <w:r w:rsidR="0032191E" w:rsidRPr="002D2F67">
              <w:rPr>
                <w:rFonts w:ascii="Arial" w:hAnsi="Arial" w:cs="Arial"/>
              </w:rPr>
              <w:t>s</w:t>
            </w:r>
          </w:p>
        </w:tc>
        <w:tc>
          <w:tcPr>
            <w:tcW w:w="1458" w:type="dxa"/>
            <w:shd w:val="clear" w:color="auto" w:fill="auto"/>
          </w:tcPr>
          <w:p w14:paraId="34B398D9" w14:textId="77777777" w:rsidR="00FF408A" w:rsidRPr="002D2F67" w:rsidRDefault="00FF408A" w:rsidP="005611FE">
            <w:pPr>
              <w:pStyle w:val="BodyTextIndent2"/>
              <w:spacing w:line="240" w:lineRule="auto"/>
              <w:ind w:left="0" w:right="-72"/>
              <w:jc w:val="right"/>
              <w:rPr>
                <w:rFonts w:ascii="Arial" w:hAnsi="Arial" w:cs="Arial"/>
              </w:rPr>
            </w:pPr>
          </w:p>
        </w:tc>
        <w:tc>
          <w:tcPr>
            <w:tcW w:w="1458" w:type="dxa"/>
            <w:shd w:val="clear" w:color="auto" w:fill="auto"/>
            <w:vAlign w:val="bottom"/>
          </w:tcPr>
          <w:p w14:paraId="68FB8210" w14:textId="77777777" w:rsidR="00FF408A" w:rsidRPr="002D2F67" w:rsidRDefault="00FF408A" w:rsidP="005611FE">
            <w:pPr>
              <w:pStyle w:val="BodyTextIndent2"/>
              <w:spacing w:line="240" w:lineRule="auto"/>
              <w:ind w:left="0" w:right="-72"/>
              <w:jc w:val="right"/>
              <w:rPr>
                <w:rFonts w:ascii="Arial" w:hAnsi="Arial" w:cs="Arial"/>
              </w:rPr>
            </w:pPr>
          </w:p>
        </w:tc>
        <w:tc>
          <w:tcPr>
            <w:tcW w:w="1458" w:type="dxa"/>
            <w:shd w:val="clear" w:color="auto" w:fill="auto"/>
          </w:tcPr>
          <w:p w14:paraId="13B999B9" w14:textId="77777777" w:rsidR="00FF408A" w:rsidRPr="002D2F67" w:rsidRDefault="00FF408A" w:rsidP="005611FE">
            <w:pPr>
              <w:pStyle w:val="BodyTextIndent2"/>
              <w:spacing w:line="240" w:lineRule="auto"/>
              <w:ind w:left="0" w:right="-72"/>
              <w:jc w:val="right"/>
              <w:rPr>
                <w:rFonts w:ascii="Arial" w:hAnsi="Arial" w:cs="Arial"/>
              </w:rPr>
            </w:pPr>
          </w:p>
        </w:tc>
        <w:tc>
          <w:tcPr>
            <w:tcW w:w="1459" w:type="dxa"/>
            <w:shd w:val="clear" w:color="auto" w:fill="auto"/>
            <w:vAlign w:val="bottom"/>
          </w:tcPr>
          <w:p w14:paraId="524B15FD" w14:textId="77777777" w:rsidR="00FF408A" w:rsidRPr="002D2F67" w:rsidRDefault="00FF408A" w:rsidP="005611FE">
            <w:pPr>
              <w:pStyle w:val="BodyTextIndent2"/>
              <w:spacing w:line="240" w:lineRule="auto"/>
              <w:ind w:left="0" w:right="-72"/>
              <w:jc w:val="right"/>
              <w:rPr>
                <w:rFonts w:ascii="Arial" w:hAnsi="Arial" w:cs="Arial"/>
              </w:rPr>
            </w:pPr>
          </w:p>
        </w:tc>
      </w:tr>
      <w:tr w:rsidR="00C52E06" w:rsidRPr="002D2F67" w14:paraId="13B73FCC" w14:textId="77777777" w:rsidTr="005611FE">
        <w:trPr>
          <w:cantSplit/>
        </w:trPr>
        <w:tc>
          <w:tcPr>
            <w:tcW w:w="3617" w:type="dxa"/>
            <w:shd w:val="clear" w:color="auto" w:fill="auto"/>
            <w:vAlign w:val="bottom"/>
          </w:tcPr>
          <w:p w14:paraId="3C122AA5" w14:textId="4026BCC1" w:rsidR="00C52E06" w:rsidRPr="002D2F67" w:rsidRDefault="00C52E06" w:rsidP="00C52E06">
            <w:pPr>
              <w:pStyle w:val="BodyTextIndent2"/>
              <w:tabs>
                <w:tab w:val="left" w:pos="2592"/>
              </w:tabs>
              <w:spacing w:line="240" w:lineRule="auto"/>
              <w:ind w:left="-105"/>
              <w:rPr>
                <w:rFonts w:ascii="Arial" w:hAnsi="Arial" w:cs="Arial"/>
              </w:rPr>
            </w:pPr>
            <w:r w:rsidRPr="002D2F67">
              <w:rPr>
                <w:rFonts w:ascii="Arial" w:hAnsi="Arial" w:cs="Arial"/>
              </w:rPr>
              <w:t xml:space="preserve">   - other parties</w:t>
            </w:r>
          </w:p>
        </w:tc>
        <w:tc>
          <w:tcPr>
            <w:tcW w:w="1458" w:type="dxa"/>
            <w:shd w:val="clear" w:color="auto" w:fill="auto"/>
          </w:tcPr>
          <w:p w14:paraId="1FFAE2F8" w14:textId="32BCD9E6" w:rsidR="00C52E06" w:rsidRPr="002D2F67" w:rsidRDefault="00CD5714" w:rsidP="00C52E06">
            <w:pPr>
              <w:pStyle w:val="BodyTextIndent2"/>
              <w:spacing w:line="240" w:lineRule="auto"/>
              <w:ind w:left="0" w:right="-72"/>
              <w:jc w:val="right"/>
              <w:rPr>
                <w:rFonts w:ascii="Arial" w:hAnsi="Arial" w:cs="Arial"/>
              </w:rPr>
            </w:pPr>
            <w:r w:rsidRPr="00CD5714">
              <w:rPr>
                <w:rFonts w:ascii="Arial" w:hAnsi="Arial" w:cs="Arial"/>
                <w:lang w:val="en-GB"/>
              </w:rPr>
              <w:t>286</w:t>
            </w:r>
            <w:r w:rsidR="00C52E06" w:rsidRPr="002D2F67">
              <w:rPr>
                <w:rFonts w:ascii="Arial" w:hAnsi="Arial" w:cs="Arial"/>
              </w:rPr>
              <w:t>,</w:t>
            </w:r>
            <w:r w:rsidRPr="00CD5714">
              <w:rPr>
                <w:rFonts w:ascii="Arial" w:hAnsi="Arial" w:cs="Arial"/>
                <w:lang w:val="en-GB"/>
              </w:rPr>
              <w:t>491</w:t>
            </w:r>
          </w:p>
        </w:tc>
        <w:tc>
          <w:tcPr>
            <w:tcW w:w="1458" w:type="dxa"/>
            <w:shd w:val="clear" w:color="auto" w:fill="auto"/>
          </w:tcPr>
          <w:p w14:paraId="76E21490" w14:textId="3A15B040" w:rsidR="00C52E06" w:rsidRPr="002D2F67" w:rsidRDefault="00CD5714" w:rsidP="00C52E06">
            <w:pPr>
              <w:pStyle w:val="BodyTextIndent2"/>
              <w:spacing w:line="240" w:lineRule="auto"/>
              <w:ind w:left="0" w:right="-72"/>
              <w:jc w:val="right"/>
              <w:rPr>
                <w:rFonts w:ascii="Arial" w:hAnsi="Arial" w:cs="Arial"/>
              </w:rPr>
            </w:pPr>
            <w:r w:rsidRPr="00CD5714">
              <w:rPr>
                <w:rFonts w:ascii="Arial" w:hAnsi="Arial" w:cs="Arial"/>
                <w:lang w:val="en-GB"/>
              </w:rPr>
              <w:t>253</w:t>
            </w:r>
            <w:r w:rsidR="00C52E06" w:rsidRPr="002D2F67">
              <w:rPr>
                <w:rFonts w:ascii="Arial" w:hAnsi="Arial" w:cs="Arial"/>
              </w:rPr>
              <w:t>,</w:t>
            </w:r>
            <w:r w:rsidRPr="00CD5714">
              <w:rPr>
                <w:rFonts w:ascii="Arial" w:hAnsi="Arial" w:cs="Arial"/>
                <w:lang w:val="en-GB"/>
              </w:rPr>
              <w:t>771</w:t>
            </w:r>
          </w:p>
        </w:tc>
        <w:tc>
          <w:tcPr>
            <w:tcW w:w="1458" w:type="dxa"/>
            <w:shd w:val="clear" w:color="auto" w:fill="auto"/>
          </w:tcPr>
          <w:p w14:paraId="5A3BDBA9" w14:textId="4ADB53EB" w:rsidR="00C52E06" w:rsidRPr="002D2F67" w:rsidRDefault="00CD5714" w:rsidP="00C52E06">
            <w:pPr>
              <w:pStyle w:val="BodyTextIndent2"/>
              <w:spacing w:line="240" w:lineRule="auto"/>
              <w:ind w:left="0" w:right="-72"/>
              <w:jc w:val="right"/>
              <w:rPr>
                <w:rFonts w:ascii="Arial" w:hAnsi="Arial" w:cs="Arial"/>
              </w:rPr>
            </w:pPr>
            <w:r w:rsidRPr="00CD5714">
              <w:rPr>
                <w:rFonts w:ascii="Arial" w:hAnsi="Arial" w:cs="Arial"/>
                <w:lang w:val="en-GB"/>
              </w:rPr>
              <w:t>38</w:t>
            </w:r>
            <w:r w:rsidR="00176723" w:rsidRPr="002D2F67">
              <w:rPr>
                <w:rFonts w:ascii="Arial" w:hAnsi="Arial" w:cs="Arial"/>
              </w:rPr>
              <w:t>,</w:t>
            </w:r>
            <w:r w:rsidRPr="00CD5714">
              <w:rPr>
                <w:rFonts w:ascii="Arial" w:hAnsi="Arial" w:cs="Arial"/>
                <w:lang w:val="en-GB"/>
              </w:rPr>
              <w:t>041</w:t>
            </w:r>
          </w:p>
        </w:tc>
        <w:tc>
          <w:tcPr>
            <w:tcW w:w="1459" w:type="dxa"/>
            <w:shd w:val="clear" w:color="auto" w:fill="auto"/>
          </w:tcPr>
          <w:p w14:paraId="4566CC45" w14:textId="3D5E435C" w:rsidR="00C52E06" w:rsidRPr="002D2F67" w:rsidRDefault="00CD5714" w:rsidP="00C52E06">
            <w:pPr>
              <w:pStyle w:val="BodyTextIndent2"/>
              <w:spacing w:line="240" w:lineRule="auto"/>
              <w:ind w:left="0" w:right="-72"/>
              <w:jc w:val="right"/>
              <w:rPr>
                <w:rFonts w:ascii="Arial" w:hAnsi="Arial" w:cs="Arial"/>
              </w:rPr>
            </w:pPr>
            <w:r w:rsidRPr="00CD5714">
              <w:rPr>
                <w:rFonts w:ascii="Arial" w:hAnsi="Arial" w:cs="Arial"/>
                <w:lang w:val="en-GB"/>
              </w:rPr>
              <w:t>38</w:t>
            </w:r>
            <w:r w:rsidR="00C52E06" w:rsidRPr="002D2F67">
              <w:rPr>
                <w:rFonts w:ascii="Arial" w:hAnsi="Arial" w:cs="Arial"/>
              </w:rPr>
              <w:t>,</w:t>
            </w:r>
            <w:r w:rsidRPr="00CD5714">
              <w:rPr>
                <w:rFonts w:ascii="Arial" w:hAnsi="Arial" w:cs="Arial"/>
                <w:lang w:val="en-GB"/>
              </w:rPr>
              <w:t>742</w:t>
            </w:r>
          </w:p>
        </w:tc>
      </w:tr>
      <w:tr w:rsidR="00C52E06" w:rsidRPr="002D2F67" w14:paraId="3F2D1005" w14:textId="77777777" w:rsidTr="005611FE">
        <w:trPr>
          <w:cantSplit/>
        </w:trPr>
        <w:tc>
          <w:tcPr>
            <w:tcW w:w="3617" w:type="dxa"/>
            <w:shd w:val="clear" w:color="auto" w:fill="auto"/>
            <w:vAlign w:val="bottom"/>
          </w:tcPr>
          <w:p w14:paraId="78172895" w14:textId="1064B23D" w:rsidR="00C52E06" w:rsidRPr="002D2F67" w:rsidRDefault="00C52E06" w:rsidP="00C52E06">
            <w:pPr>
              <w:pStyle w:val="BodyTextIndent2"/>
              <w:tabs>
                <w:tab w:val="left" w:pos="2592"/>
              </w:tabs>
              <w:spacing w:line="240" w:lineRule="auto"/>
              <w:ind w:left="-105"/>
              <w:rPr>
                <w:rFonts w:ascii="Arial" w:hAnsi="Arial" w:cs="Arial"/>
              </w:rPr>
            </w:pPr>
            <w:r w:rsidRPr="002D2F67">
              <w:rPr>
                <w:rFonts w:ascii="Arial" w:hAnsi="Arial" w:cs="Arial"/>
              </w:rPr>
              <w:t xml:space="preserve">   - related parties</w:t>
            </w:r>
          </w:p>
        </w:tc>
        <w:tc>
          <w:tcPr>
            <w:tcW w:w="1458" w:type="dxa"/>
            <w:shd w:val="clear" w:color="auto" w:fill="auto"/>
          </w:tcPr>
          <w:p w14:paraId="2B7CD42A" w14:textId="5A572A44" w:rsidR="00C52E06" w:rsidRPr="002D2F67" w:rsidRDefault="00CD5714" w:rsidP="00C52E06">
            <w:pPr>
              <w:pStyle w:val="BodyTextIndent2"/>
              <w:spacing w:line="240" w:lineRule="auto"/>
              <w:ind w:left="0" w:right="-72"/>
              <w:jc w:val="right"/>
              <w:rPr>
                <w:rFonts w:ascii="Arial" w:hAnsi="Arial" w:cs="Arial"/>
              </w:rPr>
            </w:pPr>
            <w:r w:rsidRPr="00CD5714">
              <w:rPr>
                <w:rFonts w:ascii="Arial" w:hAnsi="Arial" w:cs="Arial"/>
                <w:lang w:val="en-GB"/>
              </w:rPr>
              <w:t>43</w:t>
            </w:r>
            <w:r w:rsidR="00C52E06" w:rsidRPr="002D2F67">
              <w:rPr>
                <w:rFonts w:ascii="Arial" w:hAnsi="Arial" w:cs="Arial"/>
              </w:rPr>
              <w:t>,</w:t>
            </w:r>
            <w:r w:rsidRPr="00CD5714">
              <w:rPr>
                <w:rFonts w:ascii="Arial" w:hAnsi="Arial" w:cs="Arial"/>
                <w:lang w:val="en-GB"/>
              </w:rPr>
              <w:t>075</w:t>
            </w:r>
          </w:p>
        </w:tc>
        <w:tc>
          <w:tcPr>
            <w:tcW w:w="1458" w:type="dxa"/>
            <w:shd w:val="clear" w:color="auto" w:fill="auto"/>
          </w:tcPr>
          <w:p w14:paraId="6EE428CB" w14:textId="7FCDBC46" w:rsidR="00C52E06" w:rsidRPr="002D2F67" w:rsidRDefault="00CD5714" w:rsidP="00C52E06">
            <w:pPr>
              <w:pStyle w:val="BodyTextIndent2"/>
              <w:spacing w:line="240" w:lineRule="auto"/>
              <w:ind w:left="0" w:right="-72"/>
              <w:jc w:val="right"/>
              <w:rPr>
                <w:rFonts w:ascii="Arial" w:hAnsi="Arial" w:cs="Arial"/>
              </w:rPr>
            </w:pPr>
            <w:r w:rsidRPr="00CD5714">
              <w:rPr>
                <w:rFonts w:ascii="Arial" w:hAnsi="Arial" w:cs="Arial"/>
                <w:lang w:val="en-GB"/>
              </w:rPr>
              <w:t>1</w:t>
            </w:r>
            <w:r w:rsidR="00C52E06" w:rsidRPr="002D2F67">
              <w:rPr>
                <w:rFonts w:ascii="Arial" w:hAnsi="Arial" w:cs="Arial"/>
              </w:rPr>
              <w:t>,</w:t>
            </w:r>
            <w:r w:rsidRPr="00CD5714">
              <w:rPr>
                <w:rFonts w:ascii="Arial" w:hAnsi="Arial" w:cs="Arial"/>
                <w:lang w:val="en-GB"/>
              </w:rPr>
              <w:t>202</w:t>
            </w:r>
          </w:p>
        </w:tc>
        <w:tc>
          <w:tcPr>
            <w:tcW w:w="1458" w:type="dxa"/>
            <w:shd w:val="clear" w:color="auto" w:fill="auto"/>
          </w:tcPr>
          <w:p w14:paraId="41FDF645" w14:textId="29C0816A" w:rsidR="00C52E06" w:rsidRPr="002D2F67" w:rsidRDefault="00CD5714" w:rsidP="00C52E06">
            <w:pPr>
              <w:pStyle w:val="BodyTextIndent2"/>
              <w:spacing w:line="240" w:lineRule="auto"/>
              <w:ind w:left="0" w:right="-72"/>
              <w:jc w:val="right"/>
              <w:rPr>
                <w:rFonts w:ascii="Arial" w:hAnsi="Arial" w:cs="Arial"/>
              </w:rPr>
            </w:pPr>
            <w:r w:rsidRPr="00CD5714">
              <w:rPr>
                <w:rFonts w:ascii="Arial" w:hAnsi="Arial" w:cs="Arial"/>
                <w:lang w:val="en-GB"/>
              </w:rPr>
              <w:t>413</w:t>
            </w:r>
            <w:r w:rsidR="006D21F4" w:rsidRPr="002D2F67">
              <w:rPr>
                <w:rFonts w:ascii="Arial" w:hAnsi="Arial" w:cs="Arial"/>
              </w:rPr>
              <w:t>,</w:t>
            </w:r>
            <w:r w:rsidRPr="00CD5714">
              <w:rPr>
                <w:rFonts w:ascii="Arial" w:hAnsi="Arial" w:cs="Arial"/>
                <w:lang w:val="en-GB"/>
              </w:rPr>
              <w:t>803</w:t>
            </w:r>
          </w:p>
        </w:tc>
        <w:tc>
          <w:tcPr>
            <w:tcW w:w="1459" w:type="dxa"/>
            <w:shd w:val="clear" w:color="auto" w:fill="auto"/>
          </w:tcPr>
          <w:p w14:paraId="46DD9F17" w14:textId="293E3457" w:rsidR="00C52E06" w:rsidRPr="002D2F67" w:rsidRDefault="00CD5714" w:rsidP="00C52E06">
            <w:pPr>
              <w:pStyle w:val="BodyTextIndent2"/>
              <w:spacing w:line="240" w:lineRule="auto"/>
              <w:ind w:left="0" w:right="-72"/>
              <w:jc w:val="right"/>
              <w:rPr>
                <w:rFonts w:ascii="Arial" w:hAnsi="Arial" w:cs="Arial"/>
              </w:rPr>
            </w:pPr>
            <w:r w:rsidRPr="00CD5714">
              <w:rPr>
                <w:rFonts w:ascii="Arial" w:hAnsi="Arial" w:cs="Arial"/>
                <w:lang w:val="en-GB"/>
              </w:rPr>
              <w:t>60</w:t>
            </w:r>
            <w:r w:rsidR="00C52E06" w:rsidRPr="002D2F67">
              <w:rPr>
                <w:rFonts w:ascii="Arial" w:hAnsi="Arial" w:cs="Arial"/>
              </w:rPr>
              <w:t>,</w:t>
            </w:r>
            <w:r w:rsidRPr="00CD5714">
              <w:rPr>
                <w:rFonts w:ascii="Arial" w:hAnsi="Arial" w:cs="Arial"/>
                <w:lang w:val="en-GB"/>
              </w:rPr>
              <w:t>892</w:t>
            </w:r>
          </w:p>
        </w:tc>
      </w:tr>
      <w:tr w:rsidR="003F4D68" w:rsidRPr="002D2F67" w14:paraId="306568B5" w14:textId="77777777" w:rsidTr="005611FE">
        <w:trPr>
          <w:cantSplit/>
        </w:trPr>
        <w:tc>
          <w:tcPr>
            <w:tcW w:w="3617" w:type="dxa"/>
            <w:shd w:val="clear" w:color="auto" w:fill="auto"/>
            <w:vAlign w:val="bottom"/>
          </w:tcPr>
          <w:p w14:paraId="4A28C360" w14:textId="77777777" w:rsidR="00AA6C5E" w:rsidRPr="002D2F67" w:rsidRDefault="0032191E" w:rsidP="0032191E">
            <w:pPr>
              <w:pStyle w:val="BodyTextIndent2"/>
              <w:tabs>
                <w:tab w:val="left" w:pos="2592"/>
              </w:tabs>
              <w:spacing w:line="240" w:lineRule="auto"/>
              <w:ind w:left="-105"/>
              <w:rPr>
                <w:rFonts w:ascii="Arial" w:hAnsi="Arial" w:cs="Arial"/>
              </w:rPr>
            </w:pPr>
            <w:r w:rsidRPr="002D2F67">
              <w:rPr>
                <w:rFonts w:ascii="Arial" w:hAnsi="Arial" w:cs="Arial"/>
              </w:rPr>
              <w:t>Receivables</w:t>
            </w:r>
            <w:r w:rsidR="003F4D68" w:rsidRPr="002D2F67">
              <w:rPr>
                <w:rFonts w:ascii="Arial" w:hAnsi="Arial" w:cs="Arial"/>
              </w:rPr>
              <w:t xml:space="preserve"> from sales of</w:t>
            </w:r>
          </w:p>
          <w:p w14:paraId="0E688FDA" w14:textId="62F9553C" w:rsidR="003F4D68" w:rsidRPr="002D2F67" w:rsidRDefault="002D2F67" w:rsidP="002D2F67">
            <w:pPr>
              <w:pStyle w:val="BodyTextIndent2"/>
              <w:tabs>
                <w:tab w:val="left" w:pos="2592"/>
              </w:tabs>
              <w:spacing w:line="240" w:lineRule="auto"/>
              <w:ind w:left="-86"/>
              <w:rPr>
                <w:rFonts w:ascii="Arial" w:hAnsi="Arial" w:cs="Arial"/>
              </w:rPr>
            </w:pPr>
            <w:r w:rsidRPr="002D2F67">
              <w:rPr>
                <w:rFonts w:ascii="Arial" w:hAnsi="Arial" w:cs="Arial"/>
              </w:rPr>
              <w:t xml:space="preserve">   </w:t>
            </w:r>
            <w:r w:rsidR="003F4D68" w:rsidRPr="002D2F67">
              <w:rPr>
                <w:rFonts w:ascii="Arial" w:hAnsi="Arial" w:cs="Arial"/>
              </w:rPr>
              <w:t>machines and equipment</w:t>
            </w:r>
          </w:p>
        </w:tc>
        <w:tc>
          <w:tcPr>
            <w:tcW w:w="1458" w:type="dxa"/>
            <w:shd w:val="clear" w:color="auto" w:fill="auto"/>
            <w:vAlign w:val="bottom"/>
          </w:tcPr>
          <w:p w14:paraId="5C634BE6" w14:textId="4E86FD8A" w:rsidR="003F4D68" w:rsidRPr="002D2F67" w:rsidRDefault="003F4D68" w:rsidP="005611FE">
            <w:pPr>
              <w:pStyle w:val="BodyTextIndent2"/>
              <w:spacing w:line="240" w:lineRule="auto"/>
              <w:ind w:left="0" w:right="-72"/>
              <w:jc w:val="right"/>
              <w:rPr>
                <w:rFonts w:ascii="Arial" w:hAnsi="Arial" w:cs="Arial"/>
              </w:rPr>
            </w:pPr>
          </w:p>
        </w:tc>
        <w:tc>
          <w:tcPr>
            <w:tcW w:w="1458" w:type="dxa"/>
            <w:shd w:val="clear" w:color="auto" w:fill="auto"/>
            <w:vAlign w:val="bottom"/>
          </w:tcPr>
          <w:p w14:paraId="6863AF1D" w14:textId="342F8104" w:rsidR="003F4D68" w:rsidRPr="002D2F67" w:rsidRDefault="003F4D68" w:rsidP="005611FE">
            <w:pPr>
              <w:pStyle w:val="BodyTextIndent2"/>
              <w:spacing w:line="240" w:lineRule="auto"/>
              <w:ind w:left="0" w:right="-72"/>
              <w:jc w:val="right"/>
              <w:rPr>
                <w:rFonts w:ascii="Arial" w:hAnsi="Arial" w:cs="Arial"/>
              </w:rPr>
            </w:pPr>
          </w:p>
        </w:tc>
        <w:tc>
          <w:tcPr>
            <w:tcW w:w="1458" w:type="dxa"/>
            <w:shd w:val="clear" w:color="auto" w:fill="auto"/>
            <w:vAlign w:val="bottom"/>
          </w:tcPr>
          <w:p w14:paraId="5341CF57" w14:textId="2DD435E5" w:rsidR="003F4D68" w:rsidRPr="002D2F67" w:rsidRDefault="003F4D68" w:rsidP="005611FE">
            <w:pPr>
              <w:pStyle w:val="BodyTextIndent2"/>
              <w:spacing w:line="240" w:lineRule="auto"/>
              <w:ind w:left="0" w:right="-72"/>
              <w:jc w:val="right"/>
              <w:rPr>
                <w:rFonts w:ascii="Arial" w:hAnsi="Arial" w:cs="Arial"/>
              </w:rPr>
            </w:pPr>
          </w:p>
        </w:tc>
        <w:tc>
          <w:tcPr>
            <w:tcW w:w="1459" w:type="dxa"/>
            <w:shd w:val="clear" w:color="auto" w:fill="auto"/>
            <w:vAlign w:val="bottom"/>
          </w:tcPr>
          <w:p w14:paraId="1EBC1459" w14:textId="09E9246E" w:rsidR="003F4D68" w:rsidRPr="002D2F67" w:rsidRDefault="003F4D68" w:rsidP="005611FE">
            <w:pPr>
              <w:pStyle w:val="BodyTextIndent2"/>
              <w:spacing w:line="240" w:lineRule="auto"/>
              <w:ind w:left="0" w:right="-72"/>
              <w:jc w:val="right"/>
              <w:rPr>
                <w:rFonts w:ascii="Arial" w:hAnsi="Arial" w:cs="Arial"/>
              </w:rPr>
            </w:pPr>
          </w:p>
        </w:tc>
      </w:tr>
      <w:tr w:rsidR="003F4D68" w:rsidRPr="002D2F67" w14:paraId="0F6F4CBD" w14:textId="77777777" w:rsidTr="005611FE">
        <w:trPr>
          <w:cantSplit/>
        </w:trPr>
        <w:tc>
          <w:tcPr>
            <w:tcW w:w="3617" w:type="dxa"/>
            <w:shd w:val="clear" w:color="auto" w:fill="auto"/>
            <w:vAlign w:val="bottom"/>
          </w:tcPr>
          <w:p w14:paraId="000940B6" w14:textId="7A0422F0" w:rsidR="003F4D68" w:rsidRPr="002D2F67" w:rsidRDefault="003F4D68" w:rsidP="005611FE">
            <w:pPr>
              <w:pStyle w:val="BodyTextIndent2"/>
              <w:tabs>
                <w:tab w:val="left" w:pos="2592"/>
              </w:tabs>
              <w:spacing w:line="240" w:lineRule="auto"/>
              <w:ind w:left="-105"/>
              <w:rPr>
                <w:rFonts w:ascii="Arial" w:hAnsi="Arial" w:cs="Arial"/>
              </w:rPr>
            </w:pPr>
            <w:r w:rsidRPr="002D2F67">
              <w:rPr>
                <w:rFonts w:ascii="Arial" w:hAnsi="Arial" w:cs="Arial"/>
              </w:rPr>
              <w:t xml:space="preserve">   - other parties</w:t>
            </w:r>
          </w:p>
        </w:tc>
        <w:tc>
          <w:tcPr>
            <w:tcW w:w="1458" w:type="dxa"/>
            <w:shd w:val="clear" w:color="auto" w:fill="auto"/>
            <w:vAlign w:val="bottom"/>
          </w:tcPr>
          <w:p w14:paraId="7E042908" w14:textId="24F206BB" w:rsidR="003F4D68" w:rsidRPr="002D2F67" w:rsidRDefault="00F4090F" w:rsidP="005611FE">
            <w:pPr>
              <w:pStyle w:val="BodyTextIndent2"/>
              <w:spacing w:line="240" w:lineRule="auto"/>
              <w:ind w:left="0" w:right="-72"/>
              <w:jc w:val="right"/>
              <w:rPr>
                <w:rFonts w:ascii="Arial" w:hAnsi="Arial" w:cs="Arial"/>
              </w:rPr>
            </w:pPr>
            <w:r w:rsidRPr="002D2F67">
              <w:rPr>
                <w:rFonts w:ascii="Arial" w:hAnsi="Arial" w:cs="Arial"/>
              </w:rPr>
              <w:t>-</w:t>
            </w:r>
          </w:p>
        </w:tc>
        <w:tc>
          <w:tcPr>
            <w:tcW w:w="1458" w:type="dxa"/>
            <w:shd w:val="clear" w:color="auto" w:fill="auto"/>
            <w:vAlign w:val="bottom"/>
          </w:tcPr>
          <w:p w14:paraId="00A70A7A" w14:textId="772DA510"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66</w:t>
            </w:r>
            <w:r w:rsidR="003F4D68" w:rsidRPr="002D2F67">
              <w:rPr>
                <w:rFonts w:ascii="Arial" w:hAnsi="Arial" w:cs="Arial"/>
              </w:rPr>
              <w:t>,</w:t>
            </w:r>
            <w:r w:rsidRPr="00CD5714">
              <w:rPr>
                <w:rFonts w:ascii="Arial" w:hAnsi="Arial" w:cs="Arial"/>
                <w:lang w:val="en-GB"/>
              </w:rPr>
              <w:t>308</w:t>
            </w:r>
          </w:p>
        </w:tc>
        <w:tc>
          <w:tcPr>
            <w:tcW w:w="1458" w:type="dxa"/>
            <w:shd w:val="clear" w:color="auto" w:fill="auto"/>
            <w:vAlign w:val="bottom"/>
          </w:tcPr>
          <w:p w14:paraId="2349A118" w14:textId="788F50C5" w:rsidR="003F4D68" w:rsidRPr="002D2F67" w:rsidRDefault="00053F3D" w:rsidP="005611FE">
            <w:pPr>
              <w:pStyle w:val="BodyTextIndent2"/>
              <w:spacing w:line="240" w:lineRule="auto"/>
              <w:ind w:left="0" w:right="-72"/>
              <w:jc w:val="right"/>
              <w:rPr>
                <w:rFonts w:ascii="Arial" w:hAnsi="Arial" w:cs="Arial"/>
              </w:rPr>
            </w:pPr>
            <w:r w:rsidRPr="002D2F67">
              <w:rPr>
                <w:rFonts w:ascii="Arial" w:hAnsi="Arial" w:cs="Arial"/>
              </w:rPr>
              <w:t>-</w:t>
            </w:r>
          </w:p>
        </w:tc>
        <w:tc>
          <w:tcPr>
            <w:tcW w:w="1459" w:type="dxa"/>
            <w:shd w:val="clear" w:color="auto" w:fill="auto"/>
            <w:vAlign w:val="bottom"/>
          </w:tcPr>
          <w:p w14:paraId="5AB5E717" w14:textId="64FC5763"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118</w:t>
            </w:r>
            <w:r w:rsidR="003F4D68" w:rsidRPr="002D2F67">
              <w:rPr>
                <w:rFonts w:ascii="Arial" w:hAnsi="Arial" w:cs="Arial"/>
              </w:rPr>
              <w:t>,</w:t>
            </w:r>
            <w:r w:rsidRPr="00CD5714">
              <w:rPr>
                <w:rFonts w:ascii="Arial" w:hAnsi="Arial" w:cs="Arial"/>
                <w:lang w:val="en-GB"/>
              </w:rPr>
              <w:t>290</w:t>
            </w:r>
          </w:p>
        </w:tc>
      </w:tr>
      <w:tr w:rsidR="003F4D68" w:rsidRPr="002D2F67" w14:paraId="60AAF355" w14:textId="77777777" w:rsidTr="005611FE">
        <w:trPr>
          <w:cantSplit/>
        </w:trPr>
        <w:tc>
          <w:tcPr>
            <w:tcW w:w="3617" w:type="dxa"/>
            <w:shd w:val="clear" w:color="auto" w:fill="auto"/>
            <w:vAlign w:val="bottom"/>
          </w:tcPr>
          <w:p w14:paraId="0F7DCA46" w14:textId="0BBD55E4" w:rsidR="003F4D68" w:rsidRPr="002D2F67" w:rsidRDefault="003F4D68" w:rsidP="005611FE">
            <w:pPr>
              <w:pStyle w:val="BodyTextIndent2"/>
              <w:tabs>
                <w:tab w:val="left" w:pos="2592"/>
              </w:tabs>
              <w:spacing w:line="240" w:lineRule="auto"/>
              <w:ind w:left="-105"/>
              <w:rPr>
                <w:rFonts w:ascii="Arial" w:hAnsi="Arial" w:cs="Arial"/>
              </w:rPr>
            </w:pPr>
            <w:r w:rsidRPr="002D2F67">
              <w:rPr>
                <w:rFonts w:ascii="Arial" w:hAnsi="Arial" w:cs="Arial"/>
              </w:rPr>
              <w:t xml:space="preserve">   - related parties</w:t>
            </w:r>
          </w:p>
        </w:tc>
        <w:tc>
          <w:tcPr>
            <w:tcW w:w="1458" w:type="dxa"/>
            <w:shd w:val="clear" w:color="auto" w:fill="auto"/>
            <w:vAlign w:val="bottom"/>
          </w:tcPr>
          <w:p w14:paraId="67C58E7C" w14:textId="30A379D0"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185</w:t>
            </w:r>
            <w:r w:rsidR="00053F3D" w:rsidRPr="002D2F67">
              <w:rPr>
                <w:rFonts w:ascii="Arial" w:hAnsi="Arial" w:cs="Arial"/>
              </w:rPr>
              <w:t>,</w:t>
            </w:r>
            <w:r w:rsidRPr="00CD5714">
              <w:rPr>
                <w:rFonts w:ascii="Arial" w:hAnsi="Arial" w:cs="Arial"/>
                <w:lang w:val="en-GB"/>
              </w:rPr>
              <w:t>846</w:t>
            </w:r>
          </w:p>
        </w:tc>
        <w:tc>
          <w:tcPr>
            <w:tcW w:w="1458" w:type="dxa"/>
            <w:shd w:val="clear" w:color="auto" w:fill="auto"/>
            <w:vAlign w:val="bottom"/>
          </w:tcPr>
          <w:p w14:paraId="20F80796" w14:textId="5F652053" w:rsidR="003F4D68" w:rsidRPr="002D2F67" w:rsidRDefault="003F4D68" w:rsidP="005611FE">
            <w:pPr>
              <w:pStyle w:val="BodyTextIndent2"/>
              <w:spacing w:line="240" w:lineRule="auto"/>
              <w:ind w:left="0" w:right="-72"/>
              <w:jc w:val="right"/>
              <w:rPr>
                <w:rFonts w:ascii="Arial" w:hAnsi="Arial" w:cs="Arial"/>
              </w:rPr>
            </w:pPr>
            <w:r w:rsidRPr="002D2F67">
              <w:rPr>
                <w:rFonts w:ascii="Arial" w:hAnsi="Arial" w:cs="Arial"/>
              </w:rPr>
              <w:t>-</w:t>
            </w:r>
          </w:p>
        </w:tc>
        <w:tc>
          <w:tcPr>
            <w:tcW w:w="1458" w:type="dxa"/>
            <w:shd w:val="clear" w:color="auto" w:fill="auto"/>
            <w:vAlign w:val="bottom"/>
          </w:tcPr>
          <w:p w14:paraId="6647C57B" w14:textId="2B47AA6D"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74</w:t>
            </w:r>
            <w:r w:rsidR="00053F3D" w:rsidRPr="002D2F67">
              <w:rPr>
                <w:rFonts w:ascii="Arial" w:hAnsi="Arial" w:cs="Arial"/>
              </w:rPr>
              <w:t>,</w:t>
            </w:r>
            <w:r w:rsidRPr="00CD5714">
              <w:rPr>
                <w:rFonts w:ascii="Arial" w:hAnsi="Arial" w:cs="Arial"/>
                <w:lang w:val="en-GB"/>
              </w:rPr>
              <w:t>843</w:t>
            </w:r>
          </w:p>
        </w:tc>
        <w:tc>
          <w:tcPr>
            <w:tcW w:w="1459" w:type="dxa"/>
            <w:shd w:val="clear" w:color="auto" w:fill="auto"/>
            <w:vAlign w:val="bottom"/>
          </w:tcPr>
          <w:p w14:paraId="6A6FDE2A" w14:textId="02449534"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87</w:t>
            </w:r>
            <w:r w:rsidR="003F4D68" w:rsidRPr="002D2F67">
              <w:rPr>
                <w:rFonts w:ascii="Arial" w:hAnsi="Arial" w:cs="Arial"/>
              </w:rPr>
              <w:t>,</w:t>
            </w:r>
            <w:r w:rsidRPr="00CD5714">
              <w:rPr>
                <w:rFonts w:ascii="Arial" w:hAnsi="Arial" w:cs="Arial"/>
                <w:lang w:val="en-GB"/>
              </w:rPr>
              <w:t>106</w:t>
            </w:r>
          </w:p>
        </w:tc>
      </w:tr>
      <w:tr w:rsidR="003F4D68" w:rsidRPr="002D2F67" w14:paraId="7A7065D3" w14:textId="77777777" w:rsidTr="005611FE">
        <w:trPr>
          <w:cantSplit/>
        </w:trPr>
        <w:tc>
          <w:tcPr>
            <w:tcW w:w="3617" w:type="dxa"/>
            <w:shd w:val="clear" w:color="auto" w:fill="auto"/>
          </w:tcPr>
          <w:p w14:paraId="3ECC616A" w14:textId="77777777" w:rsidR="003F4D68" w:rsidRPr="002D2F67" w:rsidRDefault="003F4D68" w:rsidP="005611FE">
            <w:pPr>
              <w:pStyle w:val="BodyTextIndent2"/>
              <w:spacing w:line="240" w:lineRule="auto"/>
              <w:ind w:left="-105"/>
              <w:rPr>
                <w:rFonts w:ascii="Arial" w:hAnsi="Arial" w:cs="Arial"/>
              </w:rPr>
            </w:pPr>
            <w:r w:rsidRPr="002D2F67">
              <w:rPr>
                <w:rFonts w:ascii="Arial" w:eastAsia="Times New Roman" w:hAnsi="Arial" w:cs="Arial"/>
              </w:rPr>
              <w:t>Prepaid expenses</w:t>
            </w:r>
            <w:r w:rsidRPr="002D2F67">
              <w:rPr>
                <w:rFonts w:ascii="Arial" w:hAnsi="Arial" w:cs="Arial"/>
              </w:rPr>
              <w:t xml:space="preserve"> </w:t>
            </w:r>
          </w:p>
        </w:tc>
        <w:tc>
          <w:tcPr>
            <w:tcW w:w="1458" w:type="dxa"/>
            <w:shd w:val="clear" w:color="auto" w:fill="auto"/>
          </w:tcPr>
          <w:p w14:paraId="41C1F1EE" w14:textId="7BBF9DE4"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110</w:t>
            </w:r>
            <w:r w:rsidR="00053F3D" w:rsidRPr="002D2F67">
              <w:rPr>
                <w:rFonts w:ascii="Arial" w:hAnsi="Arial" w:cs="Arial"/>
              </w:rPr>
              <w:t>,</w:t>
            </w:r>
            <w:r w:rsidRPr="00CD5714">
              <w:rPr>
                <w:rFonts w:ascii="Arial" w:hAnsi="Arial" w:cs="Arial"/>
                <w:lang w:val="en-GB"/>
              </w:rPr>
              <w:t>646</w:t>
            </w:r>
          </w:p>
        </w:tc>
        <w:tc>
          <w:tcPr>
            <w:tcW w:w="1458" w:type="dxa"/>
            <w:shd w:val="clear" w:color="auto" w:fill="auto"/>
          </w:tcPr>
          <w:p w14:paraId="486B09CF" w14:textId="7DC99A60"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79</w:t>
            </w:r>
            <w:r w:rsidR="003F4D68" w:rsidRPr="002D2F67">
              <w:rPr>
                <w:rFonts w:ascii="Arial" w:hAnsi="Arial" w:cs="Arial"/>
              </w:rPr>
              <w:t>,</w:t>
            </w:r>
            <w:r w:rsidRPr="00CD5714">
              <w:rPr>
                <w:rFonts w:ascii="Arial" w:hAnsi="Arial" w:cs="Arial"/>
                <w:lang w:val="en-GB"/>
              </w:rPr>
              <w:t>593</w:t>
            </w:r>
          </w:p>
        </w:tc>
        <w:tc>
          <w:tcPr>
            <w:tcW w:w="1458" w:type="dxa"/>
            <w:shd w:val="clear" w:color="auto" w:fill="auto"/>
          </w:tcPr>
          <w:p w14:paraId="4D641594" w14:textId="3E3BB0AC"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16</w:t>
            </w:r>
            <w:r w:rsidR="00053F3D" w:rsidRPr="002D2F67">
              <w:rPr>
                <w:rFonts w:ascii="Arial" w:hAnsi="Arial" w:cs="Arial"/>
              </w:rPr>
              <w:t>,</w:t>
            </w:r>
            <w:r w:rsidRPr="00CD5714">
              <w:rPr>
                <w:rFonts w:ascii="Arial" w:hAnsi="Arial" w:cs="Arial"/>
                <w:lang w:val="en-GB"/>
              </w:rPr>
              <w:t>415</w:t>
            </w:r>
          </w:p>
        </w:tc>
        <w:tc>
          <w:tcPr>
            <w:tcW w:w="1459" w:type="dxa"/>
            <w:shd w:val="clear" w:color="auto" w:fill="auto"/>
          </w:tcPr>
          <w:p w14:paraId="139C9E45" w14:textId="70B48889"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20</w:t>
            </w:r>
            <w:r w:rsidR="003F4D68" w:rsidRPr="002D2F67">
              <w:rPr>
                <w:rFonts w:ascii="Arial" w:hAnsi="Arial" w:cs="Arial"/>
              </w:rPr>
              <w:t>,</w:t>
            </w:r>
            <w:r w:rsidRPr="00CD5714">
              <w:rPr>
                <w:rFonts w:ascii="Arial" w:hAnsi="Arial" w:cs="Arial"/>
                <w:lang w:val="en-GB"/>
              </w:rPr>
              <w:t>264</w:t>
            </w:r>
          </w:p>
        </w:tc>
      </w:tr>
      <w:tr w:rsidR="003F4D68" w:rsidRPr="002D2F67" w14:paraId="7E7F82A3" w14:textId="77777777" w:rsidTr="005611FE">
        <w:trPr>
          <w:cantSplit/>
        </w:trPr>
        <w:tc>
          <w:tcPr>
            <w:tcW w:w="3617" w:type="dxa"/>
            <w:shd w:val="clear" w:color="auto" w:fill="auto"/>
          </w:tcPr>
          <w:p w14:paraId="44FF48A9" w14:textId="7BE19F83" w:rsidR="003F4D68" w:rsidRPr="002D2F67" w:rsidRDefault="00AA6C5E" w:rsidP="00AA6C5E">
            <w:pPr>
              <w:pStyle w:val="BodyTextIndent2"/>
              <w:spacing w:line="240" w:lineRule="auto"/>
              <w:ind w:left="33" w:hanging="138"/>
              <w:jc w:val="left"/>
              <w:rPr>
                <w:rFonts w:ascii="Arial" w:hAnsi="Arial" w:cs="Arial"/>
              </w:rPr>
            </w:pPr>
            <w:r w:rsidRPr="002D2F67">
              <w:rPr>
                <w:rFonts w:ascii="Arial" w:eastAsia="Times New Roman" w:hAnsi="Arial" w:cs="Arial"/>
              </w:rPr>
              <w:t xml:space="preserve">Receivables due from </w:t>
            </w:r>
            <w:r w:rsidRPr="002D2F67">
              <w:rPr>
                <w:rFonts w:ascii="Arial" w:eastAsia="Times New Roman" w:hAnsi="Arial" w:cs="Arial"/>
              </w:rPr>
              <w:br/>
              <w:t>the Revenue Department</w:t>
            </w:r>
          </w:p>
        </w:tc>
        <w:tc>
          <w:tcPr>
            <w:tcW w:w="1458" w:type="dxa"/>
            <w:shd w:val="clear" w:color="auto" w:fill="auto"/>
          </w:tcPr>
          <w:p w14:paraId="44FBD6ED" w14:textId="77777777" w:rsidR="003F4D68" w:rsidRPr="002D2F67" w:rsidRDefault="003F4D68" w:rsidP="005611FE">
            <w:pPr>
              <w:pStyle w:val="BodyTextIndent2"/>
              <w:spacing w:line="240" w:lineRule="auto"/>
              <w:ind w:left="0" w:right="-72"/>
              <w:jc w:val="right"/>
              <w:rPr>
                <w:rFonts w:ascii="Arial" w:hAnsi="Arial" w:cs="Arial"/>
              </w:rPr>
            </w:pPr>
          </w:p>
          <w:p w14:paraId="109362B9" w14:textId="05BC05EA" w:rsidR="00AA6C5E"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1</w:t>
            </w:r>
            <w:r w:rsidR="00053F3D" w:rsidRPr="002D2F67">
              <w:rPr>
                <w:rFonts w:ascii="Arial" w:hAnsi="Arial" w:cs="Arial"/>
              </w:rPr>
              <w:t>,</w:t>
            </w:r>
            <w:r w:rsidRPr="00CD5714">
              <w:rPr>
                <w:rFonts w:ascii="Arial" w:hAnsi="Arial" w:cs="Arial"/>
                <w:lang w:val="en-GB"/>
              </w:rPr>
              <w:t>363</w:t>
            </w:r>
            <w:r w:rsidR="00053F3D" w:rsidRPr="002D2F67">
              <w:rPr>
                <w:rFonts w:ascii="Arial" w:hAnsi="Arial" w:cs="Arial"/>
              </w:rPr>
              <w:t>,</w:t>
            </w:r>
            <w:r w:rsidRPr="00CD5714">
              <w:rPr>
                <w:rFonts w:ascii="Arial" w:hAnsi="Arial" w:cs="Arial"/>
                <w:lang w:val="en-GB"/>
              </w:rPr>
              <w:t>849</w:t>
            </w:r>
          </w:p>
        </w:tc>
        <w:tc>
          <w:tcPr>
            <w:tcW w:w="1458" w:type="dxa"/>
            <w:shd w:val="clear" w:color="auto" w:fill="auto"/>
          </w:tcPr>
          <w:p w14:paraId="68750CF0" w14:textId="77777777" w:rsidR="00AA6C5E" w:rsidRPr="002D2F67" w:rsidRDefault="00AA6C5E" w:rsidP="005611FE">
            <w:pPr>
              <w:pStyle w:val="BodyTextIndent2"/>
              <w:spacing w:line="240" w:lineRule="auto"/>
              <w:ind w:left="0" w:right="-72"/>
              <w:jc w:val="right"/>
              <w:rPr>
                <w:rFonts w:ascii="Arial" w:hAnsi="Arial" w:cs="Arial"/>
              </w:rPr>
            </w:pPr>
          </w:p>
          <w:p w14:paraId="013F1932" w14:textId="49095D7C"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1</w:t>
            </w:r>
            <w:r w:rsidR="003F4D68" w:rsidRPr="002D2F67">
              <w:rPr>
                <w:rFonts w:ascii="Arial" w:hAnsi="Arial" w:cs="Arial"/>
              </w:rPr>
              <w:t>,</w:t>
            </w:r>
            <w:r w:rsidRPr="00CD5714">
              <w:rPr>
                <w:rFonts w:ascii="Arial" w:hAnsi="Arial" w:cs="Arial"/>
                <w:lang w:val="en-GB"/>
              </w:rPr>
              <w:t>327</w:t>
            </w:r>
            <w:r w:rsidR="003F4D68" w:rsidRPr="002D2F67">
              <w:rPr>
                <w:rFonts w:ascii="Arial" w:hAnsi="Arial" w:cs="Arial"/>
              </w:rPr>
              <w:t>,</w:t>
            </w:r>
            <w:r w:rsidRPr="00CD5714">
              <w:rPr>
                <w:rFonts w:ascii="Arial" w:hAnsi="Arial" w:cs="Arial"/>
                <w:lang w:val="en-GB"/>
              </w:rPr>
              <w:t>126</w:t>
            </w:r>
          </w:p>
        </w:tc>
        <w:tc>
          <w:tcPr>
            <w:tcW w:w="1458" w:type="dxa"/>
            <w:shd w:val="clear" w:color="auto" w:fill="auto"/>
          </w:tcPr>
          <w:p w14:paraId="469D5850" w14:textId="77777777" w:rsidR="003F4D68" w:rsidRPr="002D2F67" w:rsidRDefault="003F4D68" w:rsidP="005611FE">
            <w:pPr>
              <w:pStyle w:val="BodyTextIndent2"/>
              <w:spacing w:line="240" w:lineRule="auto"/>
              <w:ind w:left="0" w:right="-72"/>
              <w:jc w:val="right"/>
              <w:rPr>
                <w:rFonts w:ascii="Arial" w:hAnsi="Arial" w:cs="Arial"/>
              </w:rPr>
            </w:pPr>
          </w:p>
          <w:p w14:paraId="6CB6394D" w14:textId="37D28BE8" w:rsidR="00AA6C5E"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35</w:t>
            </w:r>
            <w:r w:rsidR="00466CA3" w:rsidRPr="002D2F67">
              <w:rPr>
                <w:rFonts w:ascii="Arial" w:hAnsi="Arial" w:cs="Arial"/>
              </w:rPr>
              <w:t>,</w:t>
            </w:r>
            <w:r w:rsidRPr="00CD5714">
              <w:rPr>
                <w:rFonts w:ascii="Arial" w:hAnsi="Arial" w:cs="Arial"/>
                <w:lang w:val="en-GB"/>
              </w:rPr>
              <w:t>163</w:t>
            </w:r>
          </w:p>
        </w:tc>
        <w:tc>
          <w:tcPr>
            <w:tcW w:w="1459" w:type="dxa"/>
            <w:shd w:val="clear" w:color="auto" w:fill="auto"/>
          </w:tcPr>
          <w:p w14:paraId="1F6F363D" w14:textId="77777777" w:rsidR="00AA6C5E" w:rsidRPr="002D2F67" w:rsidRDefault="00AA6C5E" w:rsidP="005611FE">
            <w:pPr>
              <w:pStyle w:val="BodyTextIndent2"/>
              <w:spacing w:line="240" w:lineRule="auto"/>
              <w:ind w:left="0" w:right="-72"/>
              <w:jc w:val="right"/>
              <w:rPr>
                <w:rFonts w:ascii="Arial" w:hAnsi="Arial" w:cs="Arial"/>
              </w:rPr>
            </w:pPr>
          </w:p>
          <w:p w14:paraId="25C12A46" w14:textId="43784214"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25</w:t>
            </w:r>
            <w:r w:rsidR="003F4D68" w:rsidRPr="002D2F67">
              <w:rPr>
                <w:rFonts w:ascii="Arial" w:hAnsi="Arial" w:cs="Arial"/>
              </w:rPr>
              <w:t>,</w:t>
            </w:r>
            <w:r w:rsidRPr="00CD5714">
              <w:rPr>
                <w:rFonts w:ascii="Arial" w:hAnsi="Arial" w:cs="Arial"/>
                <w:lang w:val="en-GB"/>
              </w:rPr>
              <w:t>470</w:t>
            </w:r>
          </w:p>
        </w:tc>
      </w:tr>
      <w:tr w:rsidR="003F4D68" w:rsidRPr="002D2F67" w14:paraId="0EC21B6F" w14:textId="77777777" w:rsidTr="005611FE">
        <w:trPr>
          <w:cantSplit/>
        </w:trPr>
        <w:tc>
          <w:tcPr>
            <w:tcW w:w="3617" w:type="dxa"/>
            <w:shd w:val="clear" w:color="auto" w:fill="auto"/>
          </w:tcPr>
          <w:p w14:paraId="7CC3A4CB" w14:textId="77777777" w:rsidR="003F4D68" w:rsidRPr="002D2F67" w:rsidRDefault="003F4D68" w:rsidP="005611FE">
            <w:pPr>
              <w:pStyle w:val="BodyTextIndent2"/>
              <w:spacing w:line="240" w:lineRule="auto"/>
              <w:ind w:left="-105"/>
              <w:jc w:val="left"/>
              <w:rPr>
                <w:rFonts w:ascii="Arial" w:hAnsi="Arial" w:cs="Arial"/>
                <w:cs/>
              </w:rPr>
            </w:pPr>
            <w:r w:rsidRPr="002D2F67">
              <w:rPr>
                <w:rFonts w:ascii="Arial" w:hAnsi="Arial" w:cs="Arial"/>
              </w:rPr>
              <w:t>Undue input tax</w:t>
            </w:r>
          </w:p>
        </w:tc>
        <w:tc>
          <w:tcPr>
            <w:tcW w:w="1458" w:type="dxa"/>
            <w:shd w:val="clear" w:color="auto" w:fill="auto"/>
          </w:tcPr>
          <w:p w14:paraId="7895EA11" w14:textId="1DDFA7DA"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148</w:t>
            </w:r>
            <w:r w:rsidR="00053F3D" w:rsidRPr="002D2F67">
              <w:rPr>
                <w:rFonts w:ascii="Arial" w:hAnsi="Arial" w:cs="Arial"/>
              </w:rPr>
              <w:t>,</w:t>
            </w:r>
            <w:r w:rsidRPr="00CD5714">
              <w:rPr>
                <w:rFonts w:ascii="Arial" w:hAnsi="Arial" w:cs="Arial"/>
                <w:lang w:val="en-GB"/>
              </w:rPr>
              <w:t>109</w:t>
            </w:r>
          </w:p>
        </w:tc>
        <w:tc>
          <w:tcPr>
            <w:tcW w:w="1458" w:type="dxa"/>
            <w:shd w:val="clear" w:color="auto" w:fill="auto"/>
          </w:tcPr>
          <w:p w14:paraId="2A4184CA" w14:textId="4A87A079"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65</w:t>
            </w:r>
            <w:r w:rsidR="003F4D68" w:rsidRPr="002D2F67">
              <w:rPr>
                <w:rFonts w:ascii="Arial" w:hAnsi="Arial" w:cs="Arial"/>
              </w:rPr>
              <w:t>,</w:t>
            </w:r>
            <w:r w:rsidRPr="00CD5714">
              <w:rPr>
                <w:rFonts w:ascii="Arial" w:hAnsi="Arial" w:cs="Arial"/>
                <w:lang w:val="en-GB"/>
              </w:rPr>
              <w:t>127</w:t>
            </w:r>
          </w:p>
        </w:tc>
        <w:tc>
          <w:tcPr>
            <w:tcW w:w="1458" w:type="dxa"/>
            <w:shd w:val="clear" w:color="auto" w:fill="auto"/>
          </w:tcPr>
          <w:p w14:paraId="2E90018A" w14:textId="492E25E5"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9</w:t>
            </w:r>
            <w:r w:rsidR="00466CA3" w:rsidRPr="002D2F67">
              <w:rPr>
                <w:rFonts w:ascii="Arial" w:hAnsi="Arial" w:cs="Arial"/>
              </w:rPr>
              <w:t>,</w:t>
            </w:r>
            <w:r w:rsidRPr="00CD5714">
              <w:rPr>
                <w:rFonts w:ascii="Arial" w:hAnsi="Arial" w:cs="Arial"/>
                <w:lang w:val="en-GB"/>
              </w:rPr>
              <w:t>695</w:t>
            </w:r>
          </w:p>
        </w:tc>
        <w:tc>
          <w:tcPr>
            <w:tcW w:w="1459" w:type="dxa"/>
            <w:shd w:val="clear" w:color="auto" w:fill="auto"/>
          </w:tcPr>
          <w:p w14:paraId="6597E1E6" w14:textId="627025BF"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6</w:t>
            </w:r>
            <w:r w:rsidR="003F4D68" w:rsidRPr="002D2F67">
              <w:rPr>
                <w:rFonts w:ascii="Arial" w:hAnsi="Arial" w:cs="Arial"/>
              </w:rPr>
              <w:t>,</w:t>
            </w:r>
            <w:r w:rsidRPr="00CD5714">
              <w:rPr>
                <w:rFonts w:ascii="Arial" w:hAnsi="Arial" w:cs="Arial"/>
                <w:lang w:val="en-GB"/>
              </w:rPr>
              <w:t>899</w:t>
            </w:r>
          </w:p>
        </w:tc>
      </w:tr>
      <w:tr w:rsidR="003F4D68" w:rsidRPr="002D2F67" w14:paraId="670C1AFB" w14:textId="77777777" w:rsidTr="005611FE">
        <w:trPr>
          <w:cantSplit/>
        </w:trPr>
        <w:tc>
          <w:tcPr>
            <w:tcW w:w="3617" w:type="dxa"/>
            <w:shd w:val="clear" w:color="auto" w:fill="auto"/>
          </w:tcPr>
          <w:p w14:paraId="47A333DC" w14:textId="77777777" w:rsidR="003F4D68" w:rsidRPr="002D2F67" w:rsidRDefault="003F4D68" w:rsidP="005611FE">
            <w:pPr>
              <w:pStyle w:val="BodyTextIndent2"/>
              <w:spacing w:line="240" w:lineRule="auto"/>
              <w:ind w:left="-105"/>
              <w:jc w:val="left"/>
              <w:rPr>
                <w:rFonts w:ascii="Arial" w:hAnsi="Arial" w:cs="Arial"/>
              </w:rPr>
            </w:pPr>
            <w:r w:rsidRPr="002D2F67">
              <w:rPr>
                <w:rFonts w:ascii="Arial" w:hAnsi="Arial" w:cs="Arial"/>
              </w:rPr>
              <w:t>Deposits for goods</w:t>
            </w:r>
          </w:p>
        </w:tc>
        <w:tc>
          <w:tcPr>
            <w:tcW w:w="1458" w:type="dxa"/>
            <w:shd w:val="clear" w:color="auto" w:fill="auto"/>
          </w:tcPr>
          <w:p w14:paraId="5B096426" w14:textId="24F20A91"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406</w:t>
            </w:r>
            <w:r w:rsidR="00053F3D" w:rsidRPr="002D2F67">
              <w:rPr>
                <w:rFonts w:ascii="Arial" w:hAnsi="Arial" w:cs="Arial"/>
              </w:rPr>
              <w:t>,</w:t>
            </w:r>
            <w:r w:rsidRPr="00CD5714">
              <w:rPr>
                <w:rFonts w:ascii="Arial" w:hAnsi="Arial" w:cs="Arial"/>
                <w:lang w:val="en-GB"/>
              </w:rPr>
              <w:t>834</w:t>
            </w:r>
          </w:p>
        </w:tc>
        <w:tc>
          <w:tcPr>
            <w:tcW w:w="1458" w:type="dxa"/>
            <w:shd w:val="clear" w:color="auto" w:fill="auto"/>
          </w:tcPr>
          <w:p w14:paraId="1253EEDB" w14:textId="533530D3"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781</w:t>
            </w:r>
            <w:r w:rsidR="003F4D68" w:rsidRPr="002D2F67">
              <w:rPr>
                <w:rFonts w:ascii="Arial" w:hAnsi="Arial" w:cs="Arial"/>
              </w:rPr>
              <w:t>,</w:t>
            </w:r>
            <w:r w:rsidRPr="00CD5714">
              <w:rPr>
                <w:rFonts w:ascii="Arial" w:hAnsi="Arial" w:cs="Arial"/>
                <w:lang w:val="en-GB"/>
              </w:rPr>
              <w:t>790</w:t>
            </w:r>
          </w:p>
        </w:tc>
        <w:tc>
          <w:tcPr>
            <w:tcW w:w="1458" w:type="dxa"/>
            <w:shd w:val="clear" w:color="auto" w:fill="auto"/>
          </w:tcPr>
          <w:p w14:paraId="38FF145C" w14:textId="27469C47" w:rsidR="003F4D68" w:rsidRPr="002D2F67" w:rsidRDefault="00037B86" w:rsidP="005611FE">
            <w:pPr>
              <w:pStyle w:val="BodyTextIndent2"/>
              <w:spacing w:line="240" w:lineRule="auto"/>
              <w:ind w:left="0" w:right="-72"/>
              <w:jc w:val="right"/>
              <w:rPr>
                <w:rFonts w:ascii="Arial" w:hAnsi="Arial" w:cs="Arial"/>
              </w:rPr>
            </w:pPr>
            <w:r w:rsidRPr="002D2F67">
              <w:rPr>
                <w:rFonts w:ascii="Arial" w:hAnsi="Arial" w:cs="Arial"/>
              </w:rPr>
              <w:t>-</w:t>
            </w:r>
          </w:p>
        </w:tc>
        <w:tc>
          <w:tcPr>
            <w:tcW w:w="1459" w:type="dxa"/>
            <w:shd w:val="clear" w:color="auto" w:fill="auto"/>
          </w:tcPr>
          <w:p w14:paraId="2CBCEE3B" w14:textId="723FF7DA" w:rsidR="003F4D68" w:rsidRPr="002D2F67" w:rsidRDefault="003F4D68" w:rsidP="005611FE">
            <w:pPr>
              <w:pStyle w:val="BodyTextIndent2"/>
              <w:spacing w:line="240" w:lineRule="auto"/>
              <w:ind w:left="0" w:right="-72"/>
              <w:jc w:val="right"/>
              <w:rPr>
                <w:rFonts w:ascii="Arial" w:hAnsi="Arial" w:cs="Arial"/>
              </w:rPr>
            </w:pPr>
            <w:r w:rsidRPr="002D2F67">
              <w:rPr>
                <w:rFonts w:ascii="Arial" w:hAnsi="Arial" w:cs="Arial"/>
              </w:rPr>
              <w:t>-</w:t>
            </w:r>
          </w:p>
        </w:tc>
      </w:tr>
      <w:tr w:rsidR="003F4D68" w:rsidRPr="002D2F67" w14:paraId="71FEA4C0" w14:textId="77777777" w:rsidTr="005611FE">
        <w:trPr>
          <w:cantSplit/>
        </w:trPr>
        <w:tc>
          <w:tcPr>
            <w:tcW w:w="3617" w:type="dxa"/>
            <w:shd w:val="clear" w:color="auto" w:fill="auto"/>
          </w:tcPr>
          <w:p w14:paraId="56740F4F" w14:textId="77777777" w:rsidR="003F4D68" w:rsidRPr="002D2F67" w:rsidRDefault="003F4D68" w:rsidP="005611FE">
            <w:pPr>
              <w:pStyle w:val="BodyTextIndent2"/>
              <w:spacing w:line="240" w:lineRule="auto"/>
              <w:ind w:left="-105"/>
              <w:jc w:val="left"/>
              <w:rPr>
                <w:rFonts w:ascii="Arial" w:hAnsi="Arial" w:cs="Arial"/>
                <w:cs/>
              </w:rPr>
            </w:pPr>
            <w:r w:rsidRPr="002D2F67">
              <w:rPr>
                <w:rFonts w:ascii="Arial" w:hAnsi="Arial" w:cs="Arial"/>
              </w:rPr>
              <w:t>Advance payments</w:t>
            </w:r>
          </w:p>
        </w:tc>
        <w:tc>
          <w:tcPr>
            <w:tcW w:w="1458" w:type="dxa"/>
            <w:shd w:val="clear" w:color="auto" w:fill="auto"/>
          </w:tcPr>
          <w:p w14:paraId="3D7C3AC4" w14:textId="4333D78D"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120</w:t>
            </w:r>
            <w:r w:rsidR="00053F3D" w:rsidRPr="002D2F67">
              <w:rPr>
                <w:rFonts w:ascii="Arial" w:hAnsi="Arial" w:cs="Arial"/>
              </w:rPr>
              <w:t>,</w:t>
            </w:r>
            <w:r w:rsidRPr="00CD5714">
              <w:rPr>
                <w:rFonts w:ascii="Arial" w:hAnsi="Arial" w:cs="Arial"/>
                <w:lang w:val="en-GB"/>
              </w:rPr>
              <w:t>200</w:t>
            </w:r>
          </w:p>
        </w:tc>
        <w:tc>
          <w:tcPr>
            <w:tcW w:w="1458" w:type="dxa"/>
            <w:shd w:val="clear" w:color="auto" w:fill="auto"/>
          </w:tcPr>
          <w:p w14:paraId="61E74EB6" w14:textId="7FD95DF5"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448</w:t>
            </w:r>
            <w:r w:rsidR="003F4D68" w:rsidRPr="002D2F67">
              <w:rPr>
                <w:rFonts w:ascii="Arial" w:hAnsi="Arial" w:cs="Arial"/>
              </w:rPr>
              <w:t>,</w:t>
            </w:r>
            <w:r w:rsidRPr="00CD5714">
              <w:rPr>
                <w:rFonts w:ascii="Arial" w:hAnsi="Arial" w:cs="Arial"/>
                <w:lang w:val="en-GB"/>
              </w:rPr>
              <w:t>898</w:t>
            </w:r>
          </w:p>
        </w:tc>
        <w:tc>
          <w:tcPr>
            <w:tcW w:w="1458" w:type="dxa"/>
            <w:shd w:val="clear" w:color="auto" w:fill="auto"/>
          </w:tcPr>
          <w:p w14:paraId="01C39056" w14:textId="482323E5"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46</w:t>
            </w:r>
            <w:r w:rsidR="00053F3D" w:rsidRPr="002D2F67">
              <w:rPr>
                <w:rFonts w:ascii="Arial" w:hAnsi="Arial" w:cs="Arial"/>
              </w:rPr>
              <w:t>,</w:t>
            </w:r>
            <w:r w:rsidRPr="00CD5714">
              <w:rPr>
                <w:rFonts w:ascii="Arial" w:hAnsi="Arial" w:cs="Arial"/>
                <w:lang w:val="en-GB"/>
              </w:rPr>
              <w:t>516</w:t>
            </w:r>
          </w:p>
        </w:tc>
        <w:tc>
          <w:tcPr>
            <w:tcW w:w="1459" w:type="dxa"/>
            <w:shd w:val="clear" w:color="auto" w:fill="auto"/>
          </w:tcPr>
          <w:p w14:paraId="4684DC27" w14:textId="0D0B409A"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88</w:t>
            </w:r>
            <w:r w:rsidR="003F4D68" w:rsidRPr="002D2F67">
              <w:rPr>
                <w:rFonts w:ascii="Arial" w:hAnsi="Arial" w:cs="Arial"/>
              </w:rPr>
              <w:t>,</w:t>
            </w:r>
            <w:r w:rsidRPr="00CD5714">
              <w:rPr>
                <w:rFonts w:ascii="Arial" w:hAnsi="Arial" w:cs="Arial"/>
                <w:lang w:val="en-GB"/>
              </w:rPr>
              <w:t>085</w:t>
            </w:r>
          </w:p>
        </w:tc>
      </w:tr>
      <w:tr w:rsidR="003F4D68" w:rsidRPr="002D2F67" w14:paraId="7720EE2C" w14:textId="77777777" w:rsidTr="005611FE">
        <w:trPr>
          <w:cantSplit/>
        </w:trPr>
        <w:tc>
          <w:tcPr>
            <w:tcW w:w="3617" w:type="dxa"/>
            <w:shd w:val="clear" w:color="auto" w:fill="auto"/>
          </w:tcPr>
          <w:p w14:paraId="01DFDFB9" w14:textId="1E078247" w:rsidR="003F4D68" w:rsidRPr="002D2F67" w:rsidRDefault="003F4D68" w:rsidP="005611FE">
            <w:pPr>
              <w:pStyle w:val="BodyTextIndent2"/>
              <w:spacing w:line="240" w:lineRule="auto"/>
              <w:ind w:left="-105"/>
              <w:jc w:val="left"/>
              <w:rPr>
                <w:rFonts w:ascii="Arial" w:hAnsi="Arial" w:cs="Arial"/>
              </w:rPr>
            </w:pPr>
            <w:r w:rsidRPr="002D2F67">
              <w:rPr>
                <w:rFonts w:ascii="Arial" w:hAnsi="Arial" w:cs="Arial"/>
              </w:rPr>
              <w:t>Accrued interest</w:t>
            </w:r>
          </w:p>
        </w:tc>
        <w:tc>
          <w:tcPr>
            <w:tcW w:w="1458" w:type="dxa"/>
            <w:shd w:val="clear" w:color="auto" w:fill="auto"/>
          </w:tcPr>
          <w:p w14:paraId="04966499" w14:textId="77777777" w:rsidR="003F4D68" w:rsidRPr="002D2F67" w:rsidRDefault="003F4D68" w:rsidP="005611FE">
            <w:pPr>
              <w:pStyle w:val="BodyTextIndent2"/>
              <w:spacing w:line="240" w:lineRule="auto"/>
              <w:ind w:left="0" w:right="-72"/>
              <w:jc w:val="right"/>
              <w:rPr>
                <w:rFonts w:ascii="Arial" w:hAnsi="Arial" w:cs="Arial"/>
              </w:rPr>
            </w:pPr>
          </w:p>
        </w:tc>
        <w:tc>
          <w:tcPr>
            <w:tcW w:w="1458" w:type="dxa"/>
            <w:shd w:val="clear" w:color="auto" w:fill="auto"/>
          </w:tcPr>
          <w:p w14:paraId="189DF164" w14:textId="77777777" w:rsidR="003F4D68" w:rsidRPr="002D2F67" w:rsidRDefault="003F4D68" w:rsidP="005611FE">
            <w:pPr>
              <w:pStyle w:val="BodyTextIndent2"/>
              <w:spacing w:line="240" w:lineRule="auto"/>
              <w:ind w:left="0" w:right="-72"/>
              <w:jc w:val="right"/>
              <w:rPr>
                <w:rFonts w:ascii="Arial" w:hAnsi="Arial" w:cs="Arial"/>
              </w:rPr>
            </w:pPr>
          </w:p>
        </w:tc>
        <w:tc>
          <w:tcPr>
            <w:tcW w:w="1458" w:type="dxa"/>
            <w:shd w:val="clear" w:color="auto" w:fill="auto"/>
          </w:tcPr>
          <w:p w14:paraId="7E424F73" w14:textId="77777777" w:rsidR="003F4D68" w:rsidRPr="002D2F67" w:rsidRDefault="003F4D68" w:rsidP="005611FE">
            <w:pPr>
              <w:pStyle w:val="BodyTextIndent2"/>
              <w:spacing w:line="240" w:lineRule="auto"/>
              <w:ind w:left="0" w:right="-72"/>
              <w:jc w:val="right"/>
              <w:rPr>
                <w:rFonts w:ascii="Arial" w:hAnsi="Arial" w:cs="Arial"/>
              </w:rPr>
            </w:pPr>
          </w:p>
        </w:tc>
        <w:tc>
          <w:tcPr>
            <w:tcW w:w="1459" w:type="dxa"/>
            <w:shd w:val="clear" w:color="auto" w:fill="auto"/>
          </w:tcPr>
          <w:p w14:paraId="50EEE055" w14:textId="77777777" w:rsidR="003F4D68" w:rsidRPr="002D2F67" w:rsidRDefault="003F4D68" w:rsidP="005611FE">
            <w:pPr>
              <w:pStyle w:val="BodyTextIndent2"/>
              <w:spacing w:line="240" w:lineRule="auto"/>
              <w:ind w:left="0" w:right="-72"/>
              <w:jc w:val="right"/>
              <w:rPr>
                <w:rFonts w:ascii="Arial" w:hAnsi="Arial" w:cs="Arial"/>
              </w:rPr>
            </w:pPr>
          </w:p>
        </w:tc>
      </w:tr>
      <w:tr w:rsidR="003F4D68" w:rsidRPr="002D2F67" w14:paraId="2D86F78C" w14:textId="77777777" w:rsidTr="005611FE">
        <w:trPr>
          <w:cantSplit/>
        </w:trPr>
        <w:tc>
          <w:tcPr>
            <w:tcW w:w="3617" w:type="dxa"/>
            <w:shd w:val="clear" w:color="auto" w:fill="auto"/>
            <w:vAlign w:val="bottom"/>
          </w:tcPr>
          <w:p w14:paraId="1F79EE6B" w14:textId="3F679D42" w:rsidR="003F4D68" w:rsidRPr="002D2F67" w:rsidRDefault="003F4D68" w:rsidP="005611FE">
            <w:pPr>
              <w:pStyle w:val="BodyTextIndent2"/>
              <w:spacing w:line="240" w:lineRule="auto"/>
              <w:ind w:left="-105"/>
              <w:jc w:val="left"/>
              <w:rPr>
                <w:rFonts w:ascii="Arial" w:hAnsi="Arial" w:cs="Arial"/>
              </w:rPr>
            </w:pPr>
            <w:r w:rsidRPr="002D2F67">
              <w:rPr>
                <w:rFonts w:ascii="Arial" w:hAnsi="Arial" w:cs="Arial"/>
              </w:rPr>
              <w:t xml:space="preserve">   - other parties</w:t>
            </w:r>
          </w:p>
        </w:tc>
        <w:tc>
          <w:tcPr>
            <w:tcW w:w="1458" w:type="dxa"/>
            <w:shd w:val="clear" w:color="auto" w:fill="auto"/>
          </w:tcPr>
          <w:p w14:paraId="23BC363F" w14:textId="18BBA45F"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38</w:t>
            </w:r>
            <w:r w:rsidR="00D67E84" w:rsidRPr="002D2F67">
              <w:rPr>
                <w:rFonts w:ascii="Arial" w:hAnsi="Arial" w:cs="Arial"/>
              </w:rPr>
              <w:t>,</w:t>
            </w:r>
            <w:r w:rsidRPr="00CD5714">
              <w:rPr>
                <w:rFonts w:ascii="Arial" w:hAnsi="Arial" w:cs="Arial"/>
                <w:lang w:val="en-GB"/>
              </w:rPr>
              <w:t>079</w:t>
            </w:r>
          </w:p>
        </w:tc>
        <w:tc>
          <w:tcPr>
            <w:tcW w:w="1458" w:type="dxa"/>
            <w:shd w:val="clear" w:color="auto" w:fill="auto"/>
          </w:tcPr>
          <w:p w14:paraId="0679CB48" w14:textId="22A533C6"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176</w:t>
            </w:r>
            <w:r w:rsidR="003F4D68" w:rsidRPr="002D2F67">
              <w:rPr>
                <w:rFonts w:ascii="Arial" w:hAnsi="Arial" w:cs="Arial"/>
              </w:rPr>
              <w:t>,</w:t>
            </w:r>
            <w:r w:rsidRPr="00CD5714">
              <w:rPr>
                <w:rFonts w:ascii="Arial" w:hAnsi="Arial" w:cs="Arial"/>
                <w:lang w:val="en-GB"/>
              </w:rPr>
              <w:t>854</w:t>
            </w:r>
          </w:p>
        </w:tc>
        <w:tc>
          <w:tcPr>
            <w:tcW w:w="1458" w:type="dxa"/>
            <w:shd w:val="clear" w:color="auto" w:fill="auto"/>
          </w:tcPr>
          <w:p w14:paraId="09784C12" w14:textId="4233BA36"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38</w:t>
            </w:r>
            <w:r w:rsidR="00037B86" w:rsidRPr="002D2F67">
              <w:rPr>
                <w:rFonts w:ascii="Arial" w:hAnsi="Arial" w:cs="Arial"/>
              </w:rPr>
              <w:t>,</w:t>
            </w:r>
            <w:r w:rsidRPr="00CD5714">
              <w:rPr>
                <w:rFonts w:ascii="Arial" w:hAnsi="Arial" w:cs="Arial"/>
                <w:lang w:val="en-GB"/>
              </w:rPr>
              <w:t>079</w:t>
            </w:r>
          </w:p>
        </w:tc>
        <w:tc>
          <w:tcPr>
            <w:tcW w:w="1459" w:type="dxa"/>
            <w:shd w:val="clear" w:color="auto" w:fill="auto"/>
          </w:tcPr>
          <w:p w14:paraId="670B09E1" w14:textId="223E9C1D"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176</w:t>
            </w:r>
            <w:r w:rsidR="003F4D68" w:rsidRPr="002D2F67">
              <w:rPr>
                <w:rFonts w:ascii="Arial" w:hAnsi="Arial" w:cs="Arial"/>
              </w:rPr>
              <w:t>,</w:t>
            </w:r>
            <w:r w:rsidRPr="00CD5714">
              <w:rPr>
                <w:rFonts w:ascii="Arial" w:hAnsi="Arial" w:cs="Arial"/>
                <w:lang w:val="en-GB"/>
              </w:rPr>
              <w:t>854</w:t>
            </w:r>
          </w:p>
        </w:tc>
      </w:tr>
      <w:tr w:rsidR="003F4D68" w:rsidRPr="002D2F67" w14:paraId="5B1086E6" w14:textId="77777777" w:rsidTr="005611FE">
        <w:trPr>
          <w:cantSplit/>
        </w:trPr>
        <w:tc>
          <w:tcPr>
            <w:tcW w:w="3617" w:type="dxa"/>
            <w:shd w:val="clear" w:color="auto" w:fill="auto"/>
            <w:vAlign w:val="bottom"/>
          </w:tcPr>
          <w:p w14:paraId="48296338" w14:textId="0508C5B2" w:rsidR="003F4D68" w:rsidRPr="002D2F67" w:rsidRDefault="003F4D68" w:rsidP="005611FE">
            <w:pPr>
              <w:pStyle w:val="BodyTextIndent2"/>
              <w:spacing w:line="240" w:lineRule="auto"/>
              <w:ind w:left="-105"/>
              <w:jc w:val="left"/>
              <w:rPr>
                <w:rFonts w:ascii="Arial" w:hAnsi="Arial" w:cs="Arial"/>
              </w:rPr>
            </w:pPr>
            <w:r w:rsidRPr="002D2F67">
              <w:rPr>
                <w:rFonts w:ascii="Arial" w:hAnsi="Arial" w:cs="Arial"/>
              </w:rPr>
              <w:t xml:space="preserve">   - related parties</w:t>
            </w:r>
          </w:p>
        </w:tc>
        <w:tc>
          <w:tcPr>
            <w:tcW w:w="1458" w:type="dxa"/>
            <w:shd w:val="clear" w:color="auto" w:fill="auto"/>
          </w:tcPr>
          <w:p w14:paraId="76D03A6D" w14:textId="7BFB92FC"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1</w:t>
            </w:r>
            <w:r w:rsidR="00053F3D" w:rsidRPr="002D2F67">
              <w:rPr>
                <w:rFonts w:ascii="Arial" w:hAnsi="Arial" w:cs="Arial"/>
              </w:rPr>
              <w:t>,</w:t>
            </w:r>
            <w:r w:rsidRPr="00CD5714">
              <w:rPr>
                <w:rFonts w:ascii="Arial" w:hAnsi="Arial" w:cs="Arial"/>
                <w:lang w:val="en-GB"/>
              </w:rPr>
              <w:t>181</w:t>
            </w:r>
          </w:p>
        </w:tc>
        <w:tc>
          <w:tcPr>
            <w:tcW w:w="1458" w:type="dxa"/>
            <w:shd w:val="clear" w:color="auto" w:fill="auto"/>
          </w:tcPr>
          <w:p w14:paraId="2D5E54B2" w14:textId="32CF0553"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556</w:t>
            </w:r>
          </w:p>
        </w:tc>
        <w:tc>
          <w:tcPr>
            <w:tcW w:w="1458" w:type="dxa"/>
            <w:shd w:val="clear" w:color="auto" w:fill="auto"/>
          </w:tcPr>
          <w:p w14:paraId="16E3F620" w14:textId="08885D28"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1</w:t>
            </w:r>
            <w:r w:rsidR="00037B86" w:rsidRPr="002D2F67">
              <w:rPr>
                <w:rFonts w:ascii="Arial" w:hAnsi="Arial" w:cs="Arial"/>
              </w:rPr>
              <w:t>,</w:t>
            </w:r>
            <w:r w:rsidRPr="00CD5714">
              <w:rPr>
                <w:rFonts w:ascii="Arial" w:hAnsi="Arial" w:cs="Arial"/>
                <w:lang w:val="en-GB"/>
              </w:rPr>
              <w:t>855</w:t>
            </w:r>
            <w:r w:rsidR="00037B86" w:rsidRPr="002D2F67">
              <w:rPr>
                <w:rFonts w:ascii="Arial" w:hAnsi="Arial" w:cs="Arial"/>
              </w:rPr>
              <w:t>,</w:t>
            </w:r>
            <w:r w:rsidRPr="00CD5714">
              <w:rPr>
                <w:rFonts w:ascii="Arial" w:hAnsi="Arial" w:cs="Arial"/>
                <w:lang w:val="en-GB"/>
              </w:rPr>
              <w:t>203</w:t>
            </w:r>
          </w:p>
        </w:tc>
        <w:tc>
          <w:tcPr>
            <w:tcW w:w="1459" w:type="dxa"/>
            <w:shd w:val="clear" w:color="auto" w:fill="auto"/>
          </w:tcPr>
          <w:p w14:paraId="4265EBB6" w14:textId="0051DB74"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1</w:t>
            </w:r>
            <w:r w:rsidR="003F4D68" w:rsidRPr="002D2F67">
              <w:rPr>
                <w:rFonts w:ascii="Arial" w:hAnsi="Arial" w:cs="Arial"/>
              </w:rPr>
              <w:t>,</w:t>
            </w:r>
            <w:r w:rsidRPr="00CD5714">
              <w:rPr>
                <w:rFonts w:ascii="Arial" w:hAnsi="Arial" w:cs="Arial"/>
                <w:lang w:val="en-GB"/>
              </w:rPr>
              <w:t>006</w:t>
            </w:r>
            <w:r w:rsidR="003F4D68" w:rsidRPr="002D2F67">
              <w:rPr>
                <w:rFonts w:ascii="Arial" w:hAnsi="Arial" w:cs="Arial"/>
              </w:rPr>
              <w:t>,</w:t>
            </w:r>
            <w:r w:rsidRPr="00CD5714">
              <w:rPr>
                <w:rFonts w:ascii="Arial" w:hAnsi="Arial" w:cs="Arial"/>
                <w:lang w:val="en-GB"/>
              </w:rPr>
              <w:t>904</w:t>
            </w:r>
          </w:p>
        </w:tc>
      </w:tr>
      <w:tr w:rsidR="003F4D68" w:rsidRPr="002D2F67" w14:paraId="7BAAB7FC" w14:textId="77777777" w:rsidTr="005611FE">
        <w:trPr>
          <w:cantSplit/>
        </w:trPr>
        <w:tc>
          <w:tcPr>
            <w:tcW w:w="3617" w:type="dxa"/>
            <w:shd w:val="clear" w:color="auto" w:fill="auto"/>
          </w:tcPr>
          <w:p w14:paraId="51034FC3" w14:textId="77777777" w:rsidR="003F4D68" w:rsidRPr="002D2F67" w:rsidRDefault="003F4D68" w:rsidP="005611FE">
            <w:pPr>
              <w:pStyle w:val="BodyTextIndent2"/>
              <w:spacing w:line="240" w:lineRule="auto"/>
              <w:ind w:left="-105"/>
              <w:jc w:val="left"/>
              <w:rPr>
                <w:rFonts w:ascii="Arial" w:hAnsi="Arial" w:cs="Arial"/>
              </w:rPr>
            </w:pPr>
            <w:r w:rsidRPr="002D2F67">
              <w:rPr>
                <w:rFonts w:ascii="Arial" w:hAnsi="Arial" w:cs="Arial"/>
              </w:rPr>
              <w:t>Other</w:t>
            </w:r>
          </w:p>
        </w:tc>
        <w:tc>
          <w:tcPr>
            <w:tcW w:w="1458" w:type="dxa"/>
            <w:shd w:val="clear" w:color="auto" w:fill="auto"/>
          </w:tcPr>
          <w:p w14:paraId="0717C8FB" w14:textId="2F51DEB6" w:rsidR="003F4D68" w:rsidRPr="002D2F67" w:rsidRDefault="00D67E84" w:rsidP="005611FE">
            <w:pPr>
              <w:pStyle w:val="BodyTextIndent2"/>
              <w:spacing w:line="240" w:lineRule="auto"/>
              <w:ind w:left="0" w:right="-72"/>
              <w:jc w:val="right"/>
              <w:rPr>
                <w:rFonts w:ascii="Arial" w:hAnsi="Arial" w:cs="Arial"/>
              </w:rPr>
            </w:pPr>
            <w:r w:rsidRPr="002D2F67">
              <w:rPr>
                <w:rFonts w:ascii="Arial" w:hAnsi="Arial" w:cs="Arial"/>
              </w:rPr>
              <w:t>-</w:t>
            </w:r>
          </w:p>
        </w:tc>
        <w:tc>
          <w:tcPr>
            <w:tcW w:w="1458" w:type="dxa"/>
            <w:shd w:val="clear" w:color="auto" w:fill="auto"/>
          </w:tcPr>
          <w:p w14:paraId="3685F031" w14:textId="79E6CE6E"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11</w:t>
            </w:r>
            <w:r w:rsidR="003F4D68" w:rsidRPr="002D2F67">
              <w:rPr>
                <w:rFonts w:ascii="Arial" w:hAnsi="Arial" w:cs="Arial"/>
              </w:rPr>
              <w:t>,</w:t>
            </w:r>
            <w:r w:rsidRPr="00CD5714">
              <w:rPr>
                <w:rFonts w:ascii="Arial" w:hAnsi="Arial" w:cs="Arial"/>
                <w:lang w:val="en-GB"/>
              </w:rPr>
              <w:t>481</w:t>
            </w:r>
          </w:p>
        </w:tc>
        <w:tc>
          <w:tcPr>
            <w:tcW w:w="1458" w:type="dxa"/>
            <w:shd w:val="clear" w:color="auto" w:fill="auto"/>
          </w:tcPr>
          <w:p w14:paraId="4B5C6BAE" w14:textId="363AB4F7" w:rsidR="003F4D68" w:rsidRPr="002D2F67" w:rsidRDefault="00037B86" w:rsidP="005611FE">
            <w:pPr>
              <w:pStyle w:val="BodyTextIndent2"/>
              <w:spacing w:line="240" w:lineRule="auto"/>
              <w:ind w:left="0" w:right="-72"/>
              <w:jc w:val="right"/>
              <w:rPr>
                <w:rFonts w:ascii="Arial" w:hAnsi="Arial" w:cs="Arial"/>
              </w:rPr>
            </w:pPr>
            <w:r w:rsidRPr="002D2F67">
              <w:rPr>
                <w:rFonts w:ascii="Arial" w:hAnsi="Arial" w:cs="Arial"/>
              </w:rPr>
              <w:t>-</w:t>
            </w:r>
          </w:p>
        </w:tc>
        <w:tc>
          <w:tcPr>
            <w:tcW w:w="1459" w:type="dxa"/>
            <w:shd w:val="clear" w:color="auto" w:fill="auto"/>
          </w:tcPr>
          <w:p w14:paraId="339BD0EC" w14:textId="413138FA"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463</w:t>
            </w:r>
          </w:p>
        </w:tc>
      </w:tr>
      <w:tr w:rsidR="003F4D68" w:rsidRPr="002D2F67" w14:paraId="616C8436" w14:textId="77777777" w:rsidTr="005611FE">
        <w:trPr>
          <w:cantSplit/>
        </w:trPr>
        <w:tc>
          <w:tcPr>
            <w:tcW w:w="3617" w:type="dxa"/>
            <w:shd w:val="clear" w:color="auto" w:fill="auto"/>
          </w:tcPr>
          <w:p w14:paraId="5F613EF9" w14:textId="46331550" w:rsidR="003F4D68" w:rsidRPr="002D2F67" w:rsidRDefault="003F4D68" w:rsidP="005611FE">
            <w:pPr>
              <w:tabs>
                <w:tab w:val="left" w:pos="1134"/>
                <w:tab w:val="left" w:pos="1276"/>
                <w:tab w:val="center" w:pos="3402"/>
                <w:tab w:val="center" w:pos="4536"/>
                <w:tab w:val="center" w:pos="5670"/>
                <w:tab w:val="center" w:pos="6804"/>
                <w:tab w:val="right" w:pos="7655"/>
              </w:tabs>
              <w:ind w:left="-105" w:right="-72"/>
              <w:rPr>
                <w:rFonts w:ascii="Arial" w:hAnsi="Arial" w:cs="Arial"/>
                <w:color w:val="000000"/>
                <w:spacing w:val="-2"/>
                <w:sz w:val="20"/>
                <w:szCs w:val="20"/>
                <w:u w:val="single"/>
              </w:rPr>
            </w:pPr>
            <w:r w:rsidRPr="002D2F67">
              <w:rPr>
                <w:rFonts w:ascii="Arial" w:hAnsi="Arial" w:cs="Arial"/>
                <w:color w:val="000000"/>
                <w:spacing w:val="-2"/>
                <w:sz w:val="20"/>
                <w:szCs w:val="20"/>
                <w:u w:val="single"/>
              </w:rPr>
              <w:t>Less</w:t>
            </w:r>
            <w:r w:rsidRPr="002D2F67">
              <w:rPr>
                <w:rFonts w:ascii="Arial" w:hAnsi="Arial" w:cs="Arial"/>
                <w:color w:val="000000"/>
                <w:spacing w:val="-2"/>
                <w:sz w:val="20"/>
                <w:szCs w:val="20"/>
              </w:rPr>
              <w:t xml:space="preserve">  </w:t>
            </w:r>
            <w:r w:rsidRPr="002D2F67">
              <w:rPr>
                <w:rFonts w:ascii="Arial" w:eastAsia="Arial Unicode MS" w:hAnsi="Arial" w:cs="Arial"/>
                <w:snapToGrid w:val="0"/>
                <w:color w:val="000000"/>
                <w:sz w:val="20"/>
                <w:szCs w:val="20"/>
                <w:lang w:eastAsia="th-TH"/>
              </w:rPr>
              <w:t>Expected credit loss</w:t>
            </w:r>
          </w:p>
        </w:tc>
        <w:tc>
          <w:tcPr>
            <w:tcW w:w="1458" w:type="dxa"/>
            <w:tcBorders>
              <w:bottom w:val="single" w:sz="4" w:space="0" w:color="auto"/>
            </w:tcBorders>
            <w:shd w:val="clear" w:color="auto" w:fill="auto"/>
          </w:tcPr>
          <w:p w14:paraId="30B9BD2F" w14:textId="7FCDD6F3" w:rsidR="003F4D68" w:rsidRPr="002D2F67" w:rsidRDefault="00683D6E" w:rsidP="005611FE">
            <w:pPr>
              <w:pStyle w:val="BodyTextIndent2"/>
              <w:spacing w:line="240" w:lineRule="auto"/>
              <w:ind w:left="0" w:right="-72"/>
              <w:jc w:val="right"/>
              <w:rPr>
                <w:rFonts w:ascii="Arial" w:hAnsi="Arial" w:cs="Arial"/>
              </w:rPr>
            </w:pPr>
            <w:r w:rsidRPr="002D2F67">
              <w:rPr>
                <w:rFonts w:ascii="Arial" w:hAnsi="Arial" w:cs="Arial"/>
              </w:rPr>
              <w:t>(</w:t>
            </w:r>
            <w:r w:rsidR="00CD5714" w:rsidRPr="00CD5714">
              <w:rPr>
                <w:rFonts w:ascii="Arial" w:hAnsi="Arial" w:cs="Arial"/>
                <w:lang w:val="en-GB"/>
              </w:rPr>
              <w:t>54</w:t>
            </w:r>
            <w:r w:rsidRPr="002D2F67">
              <w:rPr>
                <w:rFonts w:ascii="Arial" w:hAnsi="Arial" w:cs="Arial"/>
              </w:rPr>
              <w:t>,</w:t>
            </w:r>
            <w:r w:rsidR="00CD5714" w:rsidRPr="00CD5714">
              <w:rPr>
                <w:rFonts w:ascii="Arial" w:hAnsi="Arial" w:cs="Arial"/>
                <w:lang w:val="en-GB"/>
              </w:rPr>
              <w:t>956</w:t>
            </w:r>
            <w:r w:rsidRPr="002D2F67">
              <w:rPr>
                <w:rFonts w:ascii="Arial" w:hAnsi="Arial" w:cs="Arial"/>
              </w:rPr>
              <w:t>)</w:t>
            </w:r>
          </w:p>
        </w:tc>
        <w:tc>
          <w:tcPr>
            <w:tcW w:w="1458" w:type="dxa"/>
            <w:tcBorders>
              <w:bottom w:val="single" w:sz="4" w:space="0" w:color="auto"/>
            </w:tcBorders>
            <w:shd w:val="clear" w:color="auto" w:fill="auto"/>
          </w:tcPr>
          <w:p w14:paraId="609B8F09" w14:textId="4EBC4A37" w:rsidR="003F4D68" w:rsidRPr="002D2F67" w:rsidRDefault="003F4D68" w:rsidP="005611FE">
            <w:pPr>
              <w:pStyle w:val="BodyTextIndent2"/>
              <w:spacing w:line="240" w:lineRule="auto"/>
              <w:ind w:left="0" w:right="-72"/>
              <w:jc w:val="right"/>
              <w:rPr>
                <w:rFonts w:ascii="Arial" w:hAnsi="Arial" w:cs="Arial"/>
              </w:rPr>
            </w:pPr>
            <w:r w:rsidRPr="002D2F67">
              <w:rPr>
                <w:rFonts w:ascii="Arial" w:hAnsi="Arial" w:cs="Arial"/>
              </w:rPr>
              <w:t>(</w:t>
            </w:r>
            <w:r w:rsidR="00CD5714" w:rsidRPr="00CD5714">
              <w:rPr>
                <w:rFonts w:ascii="Arial" w:hAnsi="Arial" w:cs="Arial"/>
                <w:lang w:val="en-GB"/>
              </w:rPr>
              <w:t>2</w:t>
            </w:r>
            <w:r w:rsidRPr="002D2F67">
              <w:rPr>
                <w:rFonts w:ascii="Arial" w:hAnsi="Arial" w:cs="Arial"/>
              </w:rPr>
              <w:t>,</w:t>
            </w:r>
            <w:r w:rsidR="00CD5714" w:rsidRPr="00CD5714">
              <w:rPr>
                <w:rFonts w:ascii="Arial" w:hAnsi="Arial" w:cs="Arial"/>
                <w:lang w:val="en-GB"/>
              </w:rPr>
              <w:t>115</w:t>
            </w:r>
            <w:r w:rsidRPr="002D2F67">
              <w:rPr>
                <w:rFonts w:ascii="Arial" w:hAnsi="Arial" w:cs="Arial"/>
              </w:rPr>
              <w:t>)</w:t>
            </w:r>
          </w:p>
        </w:tc>
        <w:tc>
          <w:tcPr>
            <w:tcW w:w="1458" w:type="dxa"/>
            <w:tcBorders>
              <w:bottom w:val="single" w:sz="4" w:space="0" w:color="auto"/>
            </w:tcBorders>
            <w:shd w:val="clear" w:color="auto" w:fill="auto"/>
          </w:tcPr>
          <w:p w14:paraId="4ACB39BD" w14:textId="490863D9" w:rsidR="003F4D68" w:rsidRPr="002D2F67" w:rsidRDefault="00214AFA" w:rsidP="005611FE">
            <w:pPr>
              <w:pStyle w:val="BodyTextIndent2"/>
              <w:spacing w:line="240" w:lineRule="auto"/>
              <w:ind w:left="0" w:right="-72"/>
              <w:jc w:val="right"/>
              <w:rPr>
                <w:rFonts w:ascii="Arial" w:hAnsi="Arial" w:cs="Arial"/>
              </w:rPr>
            </w:pPr>
            <w:r w:rsidRPr="002D2F67">
              <w:rPr>
                <w:rFonts w:ascii="Arial" w:hAnsi="Arial" w:cs="Arial"/>
              </w:rPr>
              <w:t>(</w:t>
            </w:r>
            <w:r w:rsidR="00CD5714" w:rsidRPr="00CD5714">
              <w:rPr>
                <w:rFonts w:ascii="Arial" w:hAnsi="Arial" w:cs="Arial"/>
                <w:lang w:val="en-GB"/>
              </w:rPr>
              <w:t>231</w:t>
            </w:r>
            <w:r w:rsidRPr="002D2F67">
              <w:rPr>
                <w:rFonts w:ascii="Arial" w:hAnsi="Arial" w:cs="Arial"/>
              </w:rPr>
              <w:t>,</w:t>
            </w:r>
            <w:r w:rsidR="00CD5714" w:rsidRPr="00CD5714">
              <w:rPr>
                <w:rFonts w:ascii="Arial" w:hAnsi="Arial" w:cs="Arial"/>
                <w:lang w:val="en-GB"/>
              </w:rPr>
              <w:t>189</w:t>
            </w:r>
            <w:r w:rsidRPr="002D2F67">
              <w:rPr>
                <w:rFonts w:ascii="Arial" w:hAnsi="Arial" w:cs="Arial"/>
              </w:rPr>
              <w:t>)</w:t>
            </w:r>
          </w:p>
        </w:tc>
        <w:tc>
          <w:tcPr>
            <w:tcW w:w="1459" w:type="dxa"/>
            <w:tcBorders>
              <w:bottom w:val="single" w:sz="4" w:space="0" w:color="auto"/>
            </w:tcBorders>
            <w:shd w:val="clear" w:color="auto" w:fill="auto"/>
          </w:tcPr>
          <w:p w14:paraId="7172EFF5" w14:textId="4B4E40E7" w:rsidR="003F4D68" w:rsidRPr="002D2F67" w:rsidRDefault="003F4D68" w:rsidP="005611FE">
            <w:pPr>
              <w:pStyle w:val="BodyTextIndent2"/>
              <w:tabs>
                <w:tab w:val="left" w:pos="1202"/>
              </w:tabs>
              <w:spacing w:line="240" w:lineRule="auto"/>
              <w:ind w:left="0" w:right="-72"/>
              <w:jc w:val="right"/>
              <w:rPr>
                <w:rFonts w:ascii="Arial" w:hAnsi="Arial" w:cs="Arial"/>
              </w:rPr>
            </w:pPr>
            <w:r w:rsidRPr="002D2F67">
              <w:rPr>
                <w:rFonts w:ascii="Arial" w:hAnsi="Arial" w:cs="Arial"/>
              </w:rPr>
              <w:t>(</w:t>
            </w:r>
            <w:r w:rsidR="00CD5714" w:rsidRPr="00CD5714">
              <w:rPr>
                <w:rFonts w:ascii="Arial" w:hAnsi="Arial" w:cs="Arial"/>
                <w:lang w:val="en-GB"/>
              </w:rPr>
              <w:t>1</w:t>
            </w:r>
            <w:r w:rsidRPr="002D2F67">
              <w:rPr>
                <w:rFonts w:ascii="Arial" w:hAnsi="Arial" w:cs="Arial"/>
              </w:rPr>
              <w:t>,</w:t>
            </w:r>
            <w:r w:rsidR="00CD5714" w:rsidRPr="00CD5714">
              <w:rPr>
                <w:rFonts w:ascii="Arial" w:hAnsi="Arial" w:cs="Arial"/>
                <w:lang w:val="en-GB"/>
              </w:rPr>
              <w:t>048</w:t>
            </w:r>
            <w:r w:rsidRPr="002D2F67">
              <w:rPr>
                <w:rFonts w:ascii="Arial" w:hAnsi="Arial" w:cs="Arial"/>
              </w:rPr>
              <w:t>)</w:t>
            </w:r>
          </w:p>
        </w:tc>
      </w:tr>
      <w:tr w:rsidR="003F4D68" w:rsidRPr="002D2F67" w14:paraId="3B2ACDF9" w14:textId="77777777" w:rsidTr="005611FE">
        <w:trPr>
          <w:cantSplit/>
        </w:trPr>
        <w:tc>
          <w:tcPr>
            <w:tcW w:w="3617" w:type="dxa"/>
            <w:shd w:val="clear" w:color="auto" w:fill="auto"/>
          </w:tcPr>
          <w:p w14:paraId="1B18EF59" w14:textId="77777777" w:rsidR="003F4D68" w:rsidRPr="002D2F67" w:rsidRDefault="003F4D68" w:rsidP="005611FE">
            <w:pPr>
              <w:pStyle w:val="BodyTextIndent2"/>
              <w:spacing w:line="240" w:lineRule="auto"/>
              <w:ind w:left="-105"/>
              <w:jc w:val="left"/>
              <w:rPr>
                <w:rFonts w:ascii="Arial" w:hAnsi="Arial" w:cs="Arial"/>
                <w:cs/>
              </w:rPr>
            </w:pPr>
          </w:p>
        </w:tc>
        <w:tc>
          <w:tcPr>
            <w:tcW w:w="1458" w:type="dxa"/>
            <w:tcBorders>
              <w:top w:val="single" w:sz="4" w:space="0" w:color="auto"/>
            </w:tcBorders>
            <w:shd w:val="clear" w:color="auto" w:fill="auto"/>
          </w:tcPr>
          <w:p w14:paraId="26A2FA1B" w14:textId="77777777" w:rsidR="003F4D68" w:rsidRPr="002D2F67" w:rsidRDefault="003F4D68" w:rsidP="005611FE">
            <w:pPr>
              <w:pStyle w:val="BodyTextIndent2"/>
              <w:spacing w:line="240" w:lineRule="auto"/>
              <w:ind w:left="0" w:right="-72"/>
              <w:jc w:val="right"/>
              <w:rPr>
                <w:rFonts w:ascii="Arial" w:hAnsi="Arial" w:cs="Arial"/>
              </w:rPr>
            </w:pPr>
          </w:p>
        </w:tc>
        <w:tc>
          <w:tcPr>
            <w:tcW w:w="1458" w:type="dxa"/>
            <w:tcBorders>
              <w:top w:val="single" w:sz="4" w:space="0" w:color="auto"/>
            </w:tcBorders>
            <w:shd w:val="clear" w:color="auto" w:fill="auto"/>
          </w:tcPr>
          <w:p w14:paraId="5561B04E" w14:textId="77777777" w:rsidR="003F4D68" w:rsidRPr="002D2F67" w:rsidRDefault="003F4D68" w:rsidP="005611FE">
            <w:pPr>
              <w:pStyle w:val="BodyTextIndent2"/>
              <w:spacing w:line="240" w:lineRule="auto"/>
              <w:ind w:left="0" w:right="-72"/>
              <w:jc w:val="right"/>
              <w:rPr>
                <w:rFonts w:ascii="Arial" w:hAnsi="Arial" w:cs="Arial"/>
              </w:rPr>
            </w:pPr>
          </w:p>
        </w:tc>
        <w:tc>
          <w:tcPr>
            <w:tcW w:w="1458" w:type="dxa"/>
            <w:tcBorders>
              <w:top w:val="single" w:sz="4" w:space="0" w:color="auto"/>
            </w:tcBorders>
            <w:shd w:val="clear" w:color="auto" w:fill="auto"/>
          </w:tcPr>
          <w:p w14:paraId="1FB579A7" w14:textId="77777777" w:rsidR="003F4D68" w:rsidRPr="002D2F67" w:rsidRDefault="003F4D68" w:rsidP="005611FE">
            <w:pPr>
              <w:pStyle w:val="BodyTextIndent2"/>
              <w:spacing w:line="240" w:lineRule="auto"/>
              <w:ind w:left="0" w:right="-72"/>
              <w:jc w:val="right"/>
              <w:rPr>
                <w:rFonts w:ascii="Arial" w:hAnsi="Arial" w:cs="Arial"/>
              </w:rPr>
            </w:pPr>
          </w:p>
        </w:tc>
        <w:tc>
          <w:tcPr>
            <w:tcW w:w="1459" w:type="dxa"/>
            <w:tcBorders>
              <w:top w:val="single" w:sz="4" w:space="0" w:color="auto"/>
            </w:tcBorders>
            <w:shd w:val="clear" w:color="auto" w:fill="auto"/>
          </w:tcPr>
          <w:p w14:paraId="1008C2EE" w14:textId="77777777" w:rsidR="003F4D68" w:rsidRPr="002D2F67" w:rsidRDefault="003F4D68" w:rsidP="005611FE">
            <w:pPr>
              <w:pStyle w:val="BodyTextIndent2"/>
              <w:spacing w:line="240" w:lineRule="auto"/>
              <w:ind w:left="0" w:right="-72"/>
              <w:jc w:val="right"/>
              <w:rPr>
                <w:rFonts w:ascii="Arial" w:hAnsi="Arial" w:cs="Arial"/>
              </w:rPr>
            </w:pPr>
          </w:p>
        </w:tc>
      </w:tr>
      <w:tr w:rsidR="003F4D68" w:rsidRPr="002D2F67" w14:paraId="2EA693E7" w14:textId="77777777" w:rsidTr="005611FE">
        <w:trPr>
          <w:cantSplit/>
          <w:trHeight w:val="81"/>
        </w:trPr>
        <w:tc>
          <w:tcPr>
            <w:tcW w:w="3617" w:type="dxa"/>
            <w:shd w:val="clear" w:color="auto" w:fill="auto"/>
          </w:tcPr>
          <w:p w14:paraId="742C950F" w14:textId="6870EA24" w:rsidR="003F4D68" w:rsidRPr="002D2F67" w:rsidRDefault="003F4D68" w:rsidP="005611FE">
            <w:pPr>
              <w:pStyle w:val="BodyTextIndent2"/>
              <w:spacing w:line="240" w:lineRule="auto"/>
              <w:ind w:left="-105"/>
              <w:jc w:val="left"/>
              <w:rPr>
                <w:rFonts w:ascii="Arial" w:hAnsi="Arial" w:cs="Arial"/>
              </w:rPr>
            </w:pPr>
            <w:r w:rsidRPr="002D2F67">
              <w:rPr>
                <w:rFonts w:ascii="Arial" w:hAnsi="Arial" w:cs="Arial"/>
              </w:rPr>
              <w:t xml:space="preserve">Total other </w:t>
            </w:r>
            <w:r w:rsidR="00AA6C5E" w:rsidRPr="002D2F67">
              <w:rPr>
                <w:rFonts w:ascii="Arial" w:hAnsi="Arial" w:cs="Arial"/>
              </w:rPr>
              <w:t xml:space="preserve">current </w:t>
            </w:r>
            <w:r w:rsidRPr="002D2F67">
              <w:rPr>
                <w:rFonts w:ascii="Arial" w:hAnsi="Arial" w:cs="Arial"/>
              </w:rPr>
              <w:t>receivable</w:t>
            </w:r>
            <w:r w:rsidR="00AA6C5E" w:rsidRPr="002D2F67">
              <w:rPr>
                <w:rFonts w:ascii="Arial" w:hAnsi="Arial" w:cs="Arial"/>
              </w:rPr>
              <w:t>s</w:t>
            </w:r>
            <w:r w:rsidRPr="002D2F67">
              <w:rPr>
                <w:rFonts w:ascii="Arial" w:hAnsi="Arial" w:cs="Arial"/>
              </w:rPr>
              <w:t>, net</w:t>
            </w:r>
          </w:p>
        </w:tc>
        <w:tc>
          <w:tcPr>
            <w:tcW w:w="1458" w:type="dxa"/>
            <w:tcBorders>
              <w:bottom w:val="single" w:sz="4" w:space="0" w:color="auto"/>
            </w:tcBorders>
            <w:shd w:val="clear" w:color="auto" w:fill="auto"/>
          </w:tcPr>
          <w:p w14:paraId="6D5F44DA" w14:textId="1BEF1CE9"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2</w:t>
            </w:r>
            <w:r w:rsidR="0021025F" w:rsidRPr="002D2F67">
              <w:rPr>
                <w:rFonts w:ascii="Arial" w:hAnsi="Arial" w:cs="Arial"/>
              </w:rPr>
              <w:t>,</w:t>
            </w:r>
            <w:r w:rsidRPr="00CD5714">
              <w:rPr>
                <w:rFonts w:ascii="Arial" w:hAnsi="Arial" w:cs="Arial"/>
                <w:lang w:val="en-GB"/>
              </w:rPr>
              <w:t>649</w:t>
            </w:r>
            <w:r w:rsidR="0021025F" w:rsidRPr="002D2F67">
              <w:rPr>
                <w:rFonts w:ascii="Arial" w:hAnsi="Arial" w:cs="Arial"/>
              </w:rPr>
              <w:t>,</w:t>
            </w:r>
            <w:r w:rsidRPr="00CD5714">
              <w:rPr>
                <w:rFonts w:ascii="Arial" w:hAnsi="Arial" w:cs="Arial"/>
                <w:lang w:val="en-GB"/>
              </w:rPr>
              <w:t>354</w:t>
            </w:r>
          </w:p>
        </w:tc>
        <w:tc>
          <w:tcPr>
            <w:tcW w:w="1458" w:type="dxa"/>
            <w:tcBorders>
              <w:bottom w:val="single" w:sz="4" w:space="0" w:color="auto"/>
            </w:tcBorders>
            <w:shd w:val="clear" w:color="auto" w:fill="auto"/>
          </w:tcPr>
          <w:p w14:paraId="7AE14851" w14:textId="67D33214"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3</w:t>
            </w:r>
            <w:r w:rsidR="003F4D68" w:rsidRPr="002D2F67">
              <w:rPr>
                <w:rFonts w:ascii="Arial" w:hAnsi="Arial" w:cs="Arial"/>
              </w:rPr>
              <w:t>,</w:t>
            </w:r>
            <w:r w:rsidRPr="00CD5714">
              <w:rPr>
                <w:rFonts w:ascii="Arial" w:hAnsi="Arial" w:cs="Arial"/>
                <w:lang w:val="en-GB"/>
              </w:rPr>
              <w:t>210</w:t>
            </w:r>
            <w:r w:rsidR="003F4D68" w:rsidRPr="002D2F67">
              <w:rPr>
                <w:rFonts w:ascii="Arial" w:hAnsi="Arial" w:cs="Arial"/>
              </w:rPr>
              <w:t>,</w:t>
            </w:r>
            <w:r w:rsidRPr="00CD5714">
              <w:rPr>
                <w:rFonts w:ascii="Arial" w:hAnsi="Arial" w:cs="Arial"/>
                <w:lang w:val="en-GB"/>
              </w:rPr>
              <w:t>591</w:t>
            </w:r>
          </w:p>
        </w:tc>
        <w:tc>
          <w:tcPr>
            <w:tcW w:w="1458" w:type="dxa"/>
            <w:tcBorders>
              <w:bottom w:val="single" w:sz="4" w:space="0" w:color="auto"/>
            </w:tcBorders>
            <w:shd w:val="clear" w:color="auto" w:fill="auto"/>
          </w:tcPr>
          <w:p w14:paraId="2FA045A3" w14:textId="62E7B1BE"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2</w:t>
            </w:r>
            <w:r w:rsidR="00D007FD" w:rsidRPr="002D2F67">
              <w:rPr>
                <w:rFonts w:ascii="Arial" w:hAnsi="Arial" w:cs="Arial"/>
              </w:rPr>
              <w:t>,</w:t>
            </w:r>
            <w:r w:rsidRPr="00CD5714">
              <w:rPr>
                <w:rFonts w:ascii="Arial" w:hAnsi="Arial" w:cs="Arial"/>
                <w:lang w:val="en-GB"/>
              </w:rPr>
              <w:t>296</w:t>
            </w:r>
            <w:r w:rsidR="00D007FD" w:rsidRPr="002D2F67">
              <w:rPr>
                <w:rFonts w:ascii="Arial" w:hAnsi="Arial" w:cs="Arial"/>
              </w:rPr>
              <w:t>,</w:t>
            </w:r>
            <w:r w:rsidRPr="00CD5714">
              <w:rPr>
                <w:rFonts w:ascii="Arial" w:hAnsi="Arial" w:cs="Arial"/>
                <w:lang w:val="en-GB"/>
              </w:rPr>
              <w:t>569</w:t>
            </w:r>
          </w:p>
        </w:tc>
        <w:tc>
          <w:tcPr>
            <w:tcW w:w="1459" w:type="dxa"/>
            <w:tcBorders>
              <w:bottom w:val="single" w:sz="4" w:space="0" w:color="auto"/>
            </w:tcBorders>
            <w:shd w:val="clear" w:color="auto" w:fill="auto"/>
          </w:tcPr>
          <w:p w14:paraId="329C3B95" w14:textId="64631FDF"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1</w:t>
            </w:r>
            <w:r w:rsidR="003F4D68" w:rsidRPr="002D2F67">
              <w:rPr>
                <w:rFonts w:ascii="Arial" w:hAnsi="Arial" w:cs="Arial"/>
              </w:rPr>
              <w:t>,</w:t>
            </w:r>
            <w:r w:rsidRPr="00CD5714">
              <w:rPr>
                <w:rFonts w:ascii="Arial" w:hAnsi="Arial" w:cs="Arial"/>
                <w:lang w:val="en-GB"/>
              </w:rPr>
              <w:t>628</w:t>
            </w:r>
            <w:r w:rsidR="003F4D68" w:rsidRPr="002D2F67">
              <w:rPr>
                <w:rFonts w:ascii="Arial" w:hAnsi="Arial" w:cs="Arial"/>
              </w:rPr>
              <w:t>,</w:t>
            </w:r>
            <w:r w:rsidRPr="00CD5714">
              <w:rPr>
                <w:rFonts w:ascii="Arial" w:hAnsi="Arial" w:cs="Arial"/>
                <w:lang w:val="en-GB"/>
              </w:rPr>
              <w:t>921</w:t>
            </w:r>
          </w:p>
        </w:tc>
      </w:tr>
    </w:tbl>
    <w:p w14:paraId="398244CF" w14:textId="2DAFE597" w:rsidR="00F760A0" w:rsidRPr="002D2F67" w:rsidRDefault="00F760A0" w:rsidP="005611FE">
      <w:pPr>
        <w:pStyle w:val="BodyTextIndent2"/>
        <w:spacing w:line="240" w:lineRule="auto"/>
        <w:ind w:left="0"/>
        <w:jc w:val="left"/>
        <w:rPr>
          <w:rFonts w:ascii="Arial" w:hAnsi="Arial" w:cs="Arial"/>
          <w:spacing w:val="-2"/>
        </w:rPr>
      </w:pPr>
    </w:p>
    <w:p w14:paraId="4F0DA50B" w14:textId="77777777" w:rsidR="0077624B" w:rsidRPr="002D2F67" w:rsidRDefault="0077624B" w:rsidP="005611FE">
      <w:pPr>
        <w:pStyle w:val="BodyTextIndent2"/>
        <w:spacing w:line="240" w:lineRule="auto"/>
        <w:ind w:left="0"/>
        <w:jc w:val="left"/>
        <w:rPr>
          <w:rFonts w:ascii="Arial" w:hAnsi="Arial" w:cs="Arial"/>
          <w:spacing w:val="-2"/>
        </w:rPr>
      </w:pPr>
    </w:p>
    <w:p w14:paraId="1C0E7397" w14:textId="7FEF8B7B" w:rsidR="00556212"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15</w:t>
      </w:r>
      <w:r w:rsidR="00556212" w:rsidRPr="002D2F67">
        <w:rPr>
          <w:rFonts w:ascii="Arial" w:hAnsi="Arial" w:cs="Arial"/>
          <w:b/>
          <w:bCs/>
          <w:color w:val="000000"/>
          <w:kern w:val="26"/>
          <w:position w:val="-24"/>
          <w:sz w:val="20"/>
          <w:szCs w:val="20"/>
          <w:cs/>
        </w:rPr>
        <w:tab/>
      </w:r>
      <w:r w:rsidR="00556212" w:rsidRPr="002D2F67">
        <w:rPr>
          <w:rFonts w:ascii="Arial" w:hAnsi="Arial" w:cs="Arial"/>
          <w:b/>
          <w:bCs/>
          <w:color w:val="000000"/>
          <w:kern w:val="26"/>
          <w:position w:val="-24"/>
          <w:sz w:val="20"/>
          <w:szCs w:val="20"/>
        </w:rPr>
        <w:t>Inventories, net</w:t>
      </w:r>
    </w:p>
    <w:p w14:paraId="717524D8" w14:textId="77777777" w:rsidR="00FF408A" w:rsidRPr="002D2F67" w:rsidRDefault="00FF408A" w:rsidP="005611FE">
      <w:pPr>
        <w:pStyle w:val="BodyTextIndent2"/>
        <w:spacing w:line="240" w:lineRule="auto"/>
        <w:ind w:left="0"/>
        <w:jc w:val="left"/>
        <w:rPr>
          <w:rFonts w:ascii="Arial" w:hAnsi="Arial" w:cs="Arial"/>
          <w:spacing w:val="-2"/>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B26023" w:rsidRPr="002D2F67" w14:paraId="0982FEB7" w14:textId="77777777" w:rsidTr="008255E8">
        <w:trPr>
          <w:cantSplit/>
        </w:trPr>
        <w:tc>
          <w:tcPr>
            <w:tcW w:w="3690" w:type="dxa"/>
            <w:shd w:val="clear" w:color="auto" w:fill="auto"/>
          </w:tcPr>
          <w:p w14:paraId="19AB09DA" w14:textId="77777777" w:rsidR="00B26023" w:rsidRPr="002D2F67" w:rsidRDefault="00B26023" w:rsidP="005611FE">
            <w:pPr>
              <w:pStyle w:val="BodyTextIndent2"/>
              <w:spacing w:line="240" w:lineRule="auto"/>
              <w:ind w:left="65"/>
              <w:rPr>
                <w:rFonts w:ascii="Arial" w:hAnsi="Arial" w:cs="Arial"/>
                <w:b/>
                <w:bCs/>
              </w:rPr>
            </w:pPr>
          </w:p>
        </w:tc>
        <w:tc>
          <w:tcPr>
            <w:tcW w:w="2880" w:type="dxa"/>
            <w:gridSpan w:val="2"/>
            <w:tcBorders>
              <w:bottom w:val="single" w:sz="4" w:space="0" w:color="auto"/>
            </w:tcBorders>
            <w:shd w:val="clear" w:color="auto" w:fill="auto"/>
          </w:tcPr>
          <w:p w14:paraId="51A5B9ED" w14:textId="77777777" w:rsidR="00B26023" w:rsidRPr="002D2F67" w:rsidRDefault="00B26023" w:rsidP="005611FE">
            <w:pPr>
              <w:pStyle w:val="BodyTextIndent2"/>
              <w:spacing w:line="240" w:lineRule="auto"/>
              <w:ind w:left="0" w:right="-72"/>
              <w:jc w:val="right"/>
              <w:rPr>
                <w:rFonts w:ascii="Arial" w:hAnsi="Arial" w:cs="Arial"/>
                <w:b/>
                <w:bCs/>
              </w:rPr>
            </w:pPr>
            <w:r w:rsidRPr="002D2F67">
              <w:rPr>
                <w:rFonts w:ascii="Arial" w:hAnsi="Arial" w:cs="Arial"/>
                <w:b/>
                <w:bCs/>
              </w:rPr>
              <w:t xml:space="preserve">Consolidated </w:t>
            </w:r>
          </w:p>
          <w:p w14:paraId="5DDA88BF" w14:textId="77777777" w:rsidR="00B26023" w:rsidRPr="002D2F67" w:rsidRDefault="00B26023" w:rsidP="005611FE">
            <w:pPr>
              <w:pStyle w:val="BodyTextIndent2"/>
              <w:spacing w:line="240" w:lineRule="auto"/>
              <w:ind w:left="0" w:right="-72"/>
              <w:jc w:val="right"/>
              <w:rPr>
                <w:rFonts w:ascii="Arial" w:hAnsi="Arial" w:cs="Arial"/>
                <w:b/>
                <w:bCs/>
              </w:rPr>
            </w:pPr>
            <w:r w:rsidRPr="002D2F67">
              <w:rPr>
                <w:rFonts w:ascii="Arial" w:hAnsi="Arial" w:cs="Arial"/>
                <w:b/>
                <w:bCs/>
              </w:rPr>
              <w:t>financial statements</w:t>
            </w:r>
          </w:p>
        </w:tc>
        <w:tc>
          <w:tcPr>
            <w:tcW w:w="2880" w:type="dxa"/>
            <w:gridSpan w:val="2"/>
            <w:tcBorders>
              <w:bottom w:val="single" w:sz="4" w:space="0" w:color="auto"/>
            </w:tcBorders>
            <w:shd w:val="clear" w:color="auto" w:fill="auto"/>
          </w:tcPr>
          <w:p w14:paraId="23BCE473" w14:textId="77777777" w:rsidR="00B26023" w:rsidRPr="002D2F67" w:rsidRDefault="00B26023" w:rsidP="005611FE">
            <w:pPr>
              <w:pStyle w:val="BodyTextIndent2"/>
              <w:spacing w:line="240" w:lineRule="auto"/>
              <w:ind w:left="0" w:right="-72"/>
              <w:jc w:val="right"/>
              <w:rPr>
                <w:rFonts w:ascii="Arial" w:hAnsi="Arial" w:cs="Arial"/>
                <w:b/>
                <w:bCs/>
              </w:rPr>
            </w:pPr>
            <w:r w:rsidRPr="002D2F67">
              <w:rPr>
                <w:rFonts w:ascii="Arial" w:hAnsi="Arial" w:cs="Arial"/>
                <w:b/>
                <w:bCs/>
              </w:rPr>
              <w:t>Separate</w:t>
            </w:r>
          </w:p>
          <w:p w14:paraId="2094DA2F" w14:textId="77777777" w:rsidR="00B26023" w:rsidRPr="002D2F67" w:rsidRDefault="00B26023" w:rsidP="005611FE">
            <w:pPr>
              <w:pStyle w:val="BodyTextIndent2"/>
              <w:spacing w:line="240" w:lineRule="auto"/>
              <w:ind w:left="0" w:right="-72"/>
              <w:jc w:val="right"/>
              <w:rPr>
                <w:rFonts w:ascii="Arial" w:hAnsi="Arial" w:cs="Arial"/>
                <w:b/>
                <w:bCs/>
              </w:rPr>
            </w:pPr>
            <w:r w:rsidRPr="002D2F67">
              <w:rPr>
                <w:rFonts w:ascii="Arial" w:hAnsi="Arial" w:cs="Arial"/>
                <w:b/>
                <w:bCs/>
              </w:rPr>
              <w:t xml:space="preserve"> financial statements</w:t>
            </w:r>
          </w:p>
        </w:tc>
      </w:tr>
      <w:tr w:rsidR="008E366B" w:rsidRPr="002D2F67" w14:paraId="4FDA716C" w14:textId="77777777" w:rsidTr="005611FE">
        <w:trPr>
          <w:cantSplit/>
        </w:trPr>
        <w:tc>
          <w:tcPr>
            <w:tcW w:w="3690" w:type="dxa"/>
            <w:shd w:val="clear" w:color="auto" w:fill="auto"/>
          </w:tcPr>
          <w:p w14:paraId="01726A75" w14:textId="61684CAF" w:rsidR="008E366B" w:rsidRPr="002D2F67" w:rsidRDefault="008E366B" w:rsidP="005611FE">
            <w:pPr>
              <w:pStyle w:val="BodyTextIndent2"/>
              <w:spacing w:line="240" w:lineRule="auto"/>
              <w:ind w:left="-108"/>
              <w:rPr>
                <w:rFonts w:ascii="Arial" w:hAnsi="Arial" w:cs="Arial"/>
                <w:b/>
                <w:bCs/>
              </w:rPr>
            </w:pPr>
            <w:r w:rsidRPr="002D2F67">
              <w:rPr>
                <w:rFonts w:ascii="Arial" w:eastAsia="Arial Unicode MS" w:hAnsi="Arial" w:cs="Arial"/>
                <w:b/>
                <w:bCs/>
              </w:rPr>
              <w:t xml:space="preserve">As </w:t>
            </w:r>
            <w:proofErr w:type="gramStart"/>
            <w:r w:rsidRPr="002D2F67">
              <w:rPr>
                <w:rFonts w:ascii="Arial" w:eastAsia="Arial Unicode MS" w:hAnsi="Arial" w:cs="Arial"/>
                <w:b/>
                <w:bCs/>
              </w:rPr>
              <w:t>at</w:t>
            </w:r>
            <w:proofErr w:type="gramEnd"/>
            <w:r w:rsidRPr="002D2F67">
              <w:rPr>
                <w:rFonts w:ascii="Arial" w:eastAsia="Arial Unicode MS" w:hAnsi="Arial" w:cs="Arial"/>
                <w:b/>
                <w:bCs/>
              </w:rPr>
              <w:t xml:space="preserve"> </w:t>
            </w:r>
            <w:r w:rsidR="00CD5714" w:rsidRPr="00CD5714">
              <w:rPr>
                <w:rFonts w:ascii="Arial" w:eastAsia="Arial Unicode MS" w:hAnsi="Arial" w:cs="Arial"/>
                <w:b/>
                <w:bCs/>
                <w:lang w:val="en-GB"/>
              </w:rPr>
              <w:t>31</w:t>
            </w:r>
            <w:r w:rsidRPr="002D2F67">
              <w:rPr>
                <w:rFonts w:ascii="Arial" w:eastAsia="Arial Unicode MS" w:hAnsi="Arial" w:cs="Arial"/>
                <w:b/>
                <w:bCs/>
              </w:rPr>
              <w:t xml:space="preserve"> December</w:t>
            </w:r>
          </w:p>
        </w:tc>
        <w:tc>
          <w:tcPr>
            <w:tcW w:w="1440" w:type="dxa"/>
            <w:shd w:val="clear" w:color="auto" w:fill="auto"/>
            <w:vAlign w:val="bottom"/>
          </w:tcPr>
          <w:p w14:paraId="1D6AB1EB" w14:textId="726AA981" w:rsidR="008E366B"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40" w:type="dxa"/>
            <w:shd w:val="clear" w:color="auto" w:fill="auto"/>
            <w:vAlign w:val="bottom"/>
          </w:tcPr>
          <w:p w14:paraId="21384CAE" w14:textId="74C6FFAD" w:rsidR="008E366B"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c>
          <w:tcPr>
            <w:tcW w:w="1440" w:type="dxa"/>
            <w:shd w:val="clear" w:color="auto" w:fill="auto"/>
            <w:vAlign w:val="bottom"/>
          </w:tcPr>
          <w:p w14:paraId="07E2790E" w14:textId="6AC27472" w:rsidR="008E366B"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40" w:type="dxa"/>
            <w:shd w:val="clear" w:color="auto" w:fill="auto"/>
            <w:vAlign w:val="bottom"/>
          </w:tcPr>
          <w:p w14:paraId="164AD502" w14:textId="197DA482" w:rsidR="008E366B"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5B34B7" w:rsidRPr="002D2F67" w14:paraId="7181B372" w14:textId="77777777" w:rsidTr="005611FE">
        <w:trPr>
          <w:cantSplit/>
        </w:trPr>
        <w:tc>
          <w:tcPr>
            <w:tcW w:w="3690" w:type="dxa"/>
            <w:shd w:val="clear" w:color="auto" w:fill="auto"/>
          </w:tcPr>
          <w:p w14:paraId="0A3E2D91" w14:textId="77777777" w:rsidR="005B34B7" w:rsidRPr="002D2F67" w:rsidRDefault="005B34B7" w:rsidP="005611FE">
            <w:pPr>
              <w:pStyle w:val="BodyTextIndent2"/>
              <w:spacing w:line="240" w:lineRule="auto"/>
              <w:ind w:left="65"/>
              <w:rPr>
                <w:rFonts w:ascii="Arial" w:hAnsi="Arial" w:cs="Arial"/>
                <w:b/>
                <w:bCs/>
              </w:rPr>
            </w:pPr>
          </w:p>
        </w:tc>
        <w:tc>
          <w:tcPr>
            <w:tcW w:w="1440" w:type="dxa"/>
            <w:tcBorders>
              <w:bottom w:val="single" w:sz="4" w:space="0" w:color="auto"/>
            </w:tcBorders>
            <w:shd w:val="clear" w:color="auto" w:fill="auto"/>
            <w:vAlign w:val="bottom"/>
          </w:tcPr>
          <w:p w14:paraId="0E66D012" w14:textId="5ED66B60" w:rsidR="005B34B7" w:rsidRPr="002D2F67" w:rsidRDefault="00D31B14" w:rsidP="005611FE">
            <w:pPr>
              <w:ind w:right="-72"/>
              <w:jc w:val="right"/>
              <w:rPr>
                <w:rFonts w:ascii="Arial" w:hAnsi="Arial" w:cs="Arial"/>
                <w:color w:val="000000"/>
                <w:sz w:val="20"/>
                <w:szCs w:val="20"/>
                <w:cs/>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19490574" w14:textId="33FF814F" w:rsidR="005B34B7" w:rsidRPr="002D2F67" w:rsidRDefault="00D31B14" w:rsidP="005611FE">
            <w:pPr>
              <w:ind w:right="-72"/>
              <w:jc w:val="right"/>
              <w:rPr>
                <w:rFonts w:ascii="Arial" w:hAnsi="Arial" w:cs="Arial"/>
                <w:color w:val="000000"/>
                <w:sz w:val="20"/>
                <w:szCs w:val="20"/>
                <w:cs/>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vAlign w:val="bottom"/>
          </w:tcPr>
          <w:p w14:paraId="2162EE7C" w14:textId="2D3419FB" w:rsidR="005B34B7" w:rsidRPr="002D2F67" w:rsidRDefault="00D31B14" w:rsidP="005611FE">
            <w:pPr>
              <w:ind w:right="-72"/>
              <w:jc w:val="right"/>
              <w:rPr>
                <w:rFonts w:ascii="Arial" w:hAnsi="Arial" w:cs="Arial"/>
                <w:color w:val="000000"/>
                <w:sz w:val="20"/>
                <w:szCs w:val="20"/>
                <w:cs/>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6B63DF7D" w14:textId="26EE7F61" w:rsidR="005B34B7" w:rsidRPr="002D2F67" w:rsidRDefault="00D31B14" w:rsidP="005611FE">
            <w:pPr>
              <w:ind w:right="-72"/>
              <w:jc w:val="right"/>
              <w:rPr>
                <w:rFonts w:ascii="Arial" w:hAnsi="Arial" w:cs="Arial"/>
                <w:color w:val="000000"/>
                <w:sz w:val="20"/>
                <w:szCs w:val="20"/>
                <w:cs/>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FF408A" w:rsidRPr="002D2F67" w14:paraId="4448BBBF" w14:textId="77777777" w:rsidTr="005611FE">
        <w:trPr>
          <w:cantSplit/>
        </w:trPr>
        <w:tc>
          <w:tcPr>
            <w:tcW w:w="3690" w:type="dxa"/>
            <w:shd w:val="clear" w:color="auto" w:fill="auto"/>
          </w:tcPr>
          <w:p w14:paraId="17CE1221" w14:textId="77777777" w:rsidR="00FF408A" w:rsidRPr="002D2F67" w:rsidRDefault="00FF408A" w:rsidP="005611FE">
            <w:pPr>
              <w:pStyle w:val="BodyTextIndent2"/>
              <w:spacing w:line="240" w:lineRule="auto"/>
              <w:ind w:left="65" w:right="-72"/>
              <w:jc w:val="left"/>
              <w:rPr>
                <w:rFonts w:ascii="Arial" w:hAnsi="Arial" w:cs="Arial"/>
              </w:rPr>
            </w:pPr>
          </w:p>
        </w:tc>
        <w:tc>
          <w:tcPr>
            <w:tcW w:w="1440" w:type="dxa"/>
            <w:tcBorders>
              <w:top w:val="single" w:sz="4" w:space="0" w:color="auto"/>
            </w:tcBorders>
            <w:shd w:val="clear" w:color="auto" w:fill="auto"/>
          </w:tcPr>
          <w:p w14:paraId="579A3D40" w14:textId="77777777" w:rsidR="00FF408A" w:rsidRPr="002D2F67" w:rsidRDefault="00FF408A" w:rsidP="005611FE">
            <w:pPr>
              <w:pStyle w:val="BodyTextIndent2"/>
              <w:spacing w:line="240" w:lineRule="auto"/>
              <w:ind w:left="0" w:right="-72"/>
              <w:jc w:val="right"/>
              <w:rPr>
                <w:rFonts w:ascii="Arial" w:hAnsi="Arial" w:cs="Arial"/>
              </w:rPr>
            </w:pPr>
          </w:p>
        </w:tc>
        <w:tc>
          <w:tcPr>
            <w:tcW w:w="1440" w:type="dxa"/>
            <w:tcBorders>
              <w:top w:val="single" w:sz="4" w:space="0" w:color="auto"/>
            </w:tcBorders>
            <w:shd w:val="clear" w:color="auto" w:fill="auto"/>
          </w:tcPr>
          <w:p w14:paraId="532CA21B" w14:textId="77777777" w:rsidR="00FF408A" w:rsidRPr="002D2F67" w:rsidRDefault="00FF408A" w:rsidP="005611FE">
            <w:pPr>
              <w:pStyle w:val="BodyTextIndent2"/>
              <w:spacing w:line="240" w:lineRule="auto"/>
              <w:ind w:left="0" w:right="-72"/>
              <w:jc w:val="right"/>
              <w:rPr>
                <w:rFonts w:ascii="Arial" w:hAnsi="Arial" w:cs="Arial"/>
              </w:rPr>
            </w:pPr>
          </w:p>
        </w:tc>
        <w:tc>
          <w:tcPr>
            <w:tcW w:w="1440" w:type="dxa"/>
            <w:tcBorders>
              <w:top w:val="single" w:sz="4" w:space="0" w:color="auto"/>
            </w:tcBorders>
            <w:shd w:val="clear" w:color="auto" w:fill="auto"/>
          </w:tcPr>
          <w:p w14:paraId="7253C830" w14:textId="77777777" w:rsidR="00FF408A" w:rsidRPr="002D2F67" w:rsidRDefault="00FF408A" w:rsidP="005611FE">
            <w:pPr>
              <w:pStyle w:val="BodyTextIndent2"/>
              <w:spacing w:line="240" w:lineRule="auto"/>
              <w:ind w:left="0" w:right="-72"/>
              <w:jc w:val="right"/>
              <w:rPr>
                <w:rFonts w:ascii="Arial" w:hAnsi="Arial" w:cs="Arial"/>
              </w:rPr>
            </w:pPr>
          </w:p>
        </w:tc>
        <w:tc>
          <w:tcPr>
            <w:tcW w:w="1440" w:type="dxa"/>
            <w:tcBorders>
              <w:top w:val="single" w:sz="4" w:space="0" w:color="auto"/>
            </w:tcBorders>
            <w:shd w:val="clear" w:color="auto" w:fill="auto"/>
          </w:tcPr>
          <w:p w14:paraId="1333C63D" w14:textId="77777777" w:rsidR="00FF408A" w:rsidRPr="002D2F67" w:rsidRDefault="00FF408A" w:rsidP="005611FE">
            <w:pPr>
              <w:pStyle w:val="BodyTextIndent2"/>
              <w:spacing w:line="240" w:lineRule="auto"/>
              <w:ind w:left="0" w:right="-72"/>
              <w:jc w:val="right"/>
              <w:rPr>
                <w:rFonts w:ascii="Arial" w:hAnsi="Arial" w:cs="Arial"/>
              </w:rPr>
            </w:pPr>
          </w:p>
        </w:tc>
      </w:tr>
      <w:tr w:rsidR="003F4D68" w:rsidRPr="002D2F67" w14:paraId="127EB0C7" w14:textId="77777777" w:rsidTr="005611FE">
        <w:trPr>
          <w:cantSplit/>
        </w:trPr>
        <w:tc>
          <w:tcPr>
            <w:tcW w:w="3690" w:type="dxa"/>
            <w:shd w:val="clear" w:color="auto" w:fill="auto"/>
          </w:tcPr>
          <w:p w14:paraId="355760F5" w14:textId="77777777" w:rsidR="003F4D68" w:rsidRPr="002D2F67" w:rsidRDefault="003F4D68" w:rsidP="005611FE">
            <w:pPr>
              <w:pStyle w:val="BodyTextIndent2"/>
              <w:spacing w:line="240" w:lineRule="auto"/>
              <w:ind w:left="-108"/>
              <w:rPr>
                <w:rFonts w:ascii="Arial" w:hAnsi="Arial" w:cs="Arial"/>
              </w:rPr>
            </w:pPr>
            <w:r w:rsidRPr="002D2F67">
              <w:rPr>
                <w:rFonts w:ascii="Arial" w:hAnsi="Arial" w:cs="Arial"/>
              </w:rPr>
              <w:t>Raw materials</w:t>
            </w:r>
          </w:p>
        </w:tc>
        <w:tc>
          <w:tcPr>
            <w:tcW w:w="1440" w:type="dxa"/>
            <w:shd w:val="clear" w:color="auto" w:fill="auto"/>
          </w:tcPr>
          <w:p w14:paraId="742F7749" w14:textId="34114ADA" w:rsidR="003F4D68" w:rsidRPr="002D2F67" w:rsidRDefault="00CD5714" w:rsidP="005611FE">
            <w:pPr>
              <w:ind w:right="-72"/>
              <w:jc w:val="right"/>
              <w:rPr>
                <w:rFonts w:ascii="Arial" w:eastAsia="Cordia New" w:hAnsi="Arial" w:cs="Arial"/>
                <w:snapToGrid w:val="0"/>
                <w:color w:val="000000"/>
                <w:sz w:val="20"/>
                <w:szCs w:val="20"/>
                <w:lang w:eastAsia="th-TH"/>
              </w:rPr>
            </w:pPr>
            <w:r w:rsidRPr="00CD5714">
              <w:rPr>
                <w:rFonts w:ascii="Arial" w:eastAsia="Cordia New" w:hAnsi="Arial" w:cs="Arial"/>
                <w:snapToGrid w:val="0"/>
                <w:color w:val="000000"/>
                <w:sz w:val="20"/>
                <w:szCs w:val="20"/>
                <w:lang w:val="en-GB" w:eastAsia="th-TH"/>
              </w:rPr>
              <w:t>836</w:t>
            </w:r>
            <w:r w:rsidR="0022533D" w:rsidRPr="002D2F67">
              <w:rPr>
                <w:rFonts w:ascii="Arial" w:eastAsia="Cordia New" w:hAnsi="Arial" w:cs="Arial"/>
                <w:snapToGrid w:val="0"/>
                <w:color w:val="000000"/>
                <w:sz w:val="20"/>
                <w:szCs w:val="20"/>
                <w:lang w:eastAsia="th-TH"/>
              </w:rPr>
              <w:t>,</w:t>
            </w:r>
            <w:r w:rsidRPr="00CD5714">
              <w:rPr>
                <w:rFonts w:ascii="Arial" w:eastAsia="Cordia New" w:hAnsi="Arial" w:cs="Arial"/>
                <w:snapToGrid w:val="0"/>
                <w:color w:val="000000"/>
                <w:sz w:val="20"/>
                <w:szCs w:val="20"/>
                <w:lang w:val="en-GB" w:eastAsia="th-TH"/>
              </w:rPr>
              <w:t>333</w:t>
            </w:r>
          </w:p>
        </w:tc>
        <w:tc>
          <w:tcPr>
            <w:tcW w:w="1440" w:type="dxa"/>
            <w:shd w:val="clear" w:color="auto" w:fill="auto"/>
          </w:tcPr>
          <w:p w14:paraId="5C001504" w14:textId="6D6E07B0" w:rsidR="003F4D68" w:rsidRPr="002D2F67" w:rsidRDefault="00CD5714" w:rsidP="005611FE">
            <w:pPr>
              <w:ind w:right="-72"/>
              <w:jc w:val="right"/>
              <w:rPr>
                <w:rFonts w:ascii="Arial" w:eastAsia="Cordia New" w:hAnsi="Arial" w:cs="Arial"/>
                <w:snapToGrid w:val="0"/>
                <w:color w:val="000000"/>
                <w:sz w:val="20"/>
                <w:szCs w:val="20"/>
                <w:lang w:eastAsia="th-TH"/>
              </w:rPr>
            </w:pPr>
            <w:r w:rsidRPr="00CD5714">
              <w:rPr>
                <w:rFonts w:ascii="Arial" w:eastAsia="Cordia New" w:hAnsi="Arial" w:cs="Arial"/>
                <w:snapToGrid w:val="0"/>
                <w:color w:val="000000"/>
                <w:sz w:val="20"/>
                <w:szCs w:val="20"/>
                <w:lang w:val="en-GB" w:eastAsia="th-TH"/>
              </w:rPr>
              <w:t>1</w:t>
            </w:r>
            <w:r w:rsidR="003F4D68" w:rsidRPr="002D2F67">
              <w:rPr>
                <w:rFonts w:ascii="Arial" w:eastAsia="Cordia New" w:hAnsi="Arial" w:cs="Arial"/>
                <w:snapToGrid w:val="0"/>
                <w:color w:val="000000"/>
                <w:sz w:val="20"/>
                <w:szCs w:val="20"/>
                <w:lang w:eastAsia="th-TH"/>
              </w:rPr>
              <w:t>,</w:t>
            </w:r>
            <w:r w:rsidRPr="00CD5714">
              <w:rPr>
                <w:rFonts w:ascii="Arial" w:eastAsia="Cordia New" w:hAnsi="Arial" w:cs="Arial"/>
                <w:snapToGrid w:val="0"/>
                <w:color w:val="000000"/>
                <w:sz w:val="20"/>
                <w:szCs w:val="20"/>
                <w:lang w:val="en-GB" w:eastAsia="th-TH"/>
              </w:rPr>
              <w:t>470</w:t>
            </w:r>
            <w:r w:rsidR="003F4D68" w:rsidRPr="002D2F67">
              <w:rPr>
                <w:rFonts w:ascii="Arial" w:eastAsia="Cordia New" w:hAnsi="Arial" w:cs="Arial"/>
                <w:snapToGrid w:val="0"/>
                <w:color w:val="000000"/>
                <w:sz w:val="20"/>
                <w:szCs w:val="20"/>
                <w:lang w:eastAsia="th-TH"/>
              </w:rPr>
              <w:t>,</w:t>
            </w:r>
            <w:r w:rsidRPr="00CD5714">
              <w:rPr>
                <w:rFonts w:ascii="Arial" w:eastAsia="Cordia New" w:hAnsi="Arial" w:cs="Arial"/>
                <w:snapToGrid w:val="0"/>
                <w:color w:val="000000"/>
                <w:sz w:val="20"/>
                <w:szCs w:val="20"/>
                <w:lang w:val="en-GB" w:eastAsia="th-TH"/>
              </w:rPr>
              <w:t>225</w:t>
            </w:r>
          </w:p>
        </w:tc>
        <w:tc>
          <w:tcPr>
            <w:tcW w:w="1440" w:type="dxa"/>
            <w:shd w:val="clear" w:color="auto" w:fill="auto"/>
            <w:vAlign w:val="bottom"/>
          </w:tcPr>
          <w:p w14:paraId="0A333111" w14:textId="2ECD05A9" w:rsidR="003F4D68" w:rsidRPr="002D2F67" w:rsidRDefault="00CD5714" w:rsidP="005611FE">
            <w:pPr>
              <w:ind w:right="-72"/>
              <w:jc w:val="right"/>
              <w:rPr>
                <w:rFonts w:ascii="Arial" w:eastAsia="Cordia New" w:hAnsi="Arial" w:cs="Arial"/>
                <w:snapToGrid w:val="0"/>
                <w:color w:val="000000"/>
                <w:sz w:val="20"/>
                <w:szCs w:val="20"/>
                <w:lang w:eastAsia="th-TH"/>
              </w:rPr>
            </w:pPr>
            <w:r w:rsidRPr="00CD5714">
              <w:rPr>
                <w:rFonts w:ascii="Arial" w:eastAsia="Cordia New" w:hAnsi="Arial" w:cs="Arial"/>
                <w:snapToGrid w:val="0"/>
                <w:color w:val="000000"/>
                <w:sz w:val="20"/>
                <w:szCs w:val="20"/>
                <w:lang w:val="en-GB" w:eastAsia="th-TH"/>
              </w:rPr>
              <w:t>17</w:t>
            </w:r>
            <w:r w:rsidR="00912EFC" w:rsidRPr="002D2F67">
              <w:rPr>
                <w:rFonts w:ascii="Arial" w:eastAsia="Cordia New" w:hAnsi="Arial" w:cs="Arial"/>
                <w:snapToGrid w:val="0"/>
                <w:color w:val="000000"/>
                <w:sz w:val="20"/>
                <w:szCs w:val="20"/>
                <w:lang w:eastAsia="th-TH"/>
              </w:rPr>
              <w:t>,</w:t>
            </w:r>
            <w:r w:rsidRPr="00CD5714">
              <w:rPr>
                <w:rFonts w:ascii="Arial" w:eastAsia="Cordia New" w:hAnsi="Arial" w:cs="Arial"/>
                <w:snapToGrid w:val="0"/>
                <w:color w:val="000000"/>
                <w:sz w:val="20"/>
                <w:szCs w:val="20"/>
                <w:lang w:val="en-GB" w:eastAsia="th-TH"/>
              </w:rPr>
              <w:t>413</w:t>
            </w:r>
          </w:p>
        </w:tc>
        <w:tc>
          <w:tcPr>
            <w:tcW w:w="1440" w:type="dxa"/>
            <w:shd w:val="clear" w:color="auto" w:fill="auto"/>
            <w:vAlign w:val="bottom"/>
          </w:tcPr>
          <w:p w14:paraId="68EE2141" w14:textId="7D00A2E0" w:rsidR="003F4D68" w:rsidRPr="002D2F67" w:rsidRDefault="00CD5714" w:rsidP="005611FE">
            <w:pPr>
              <w:ind w:right="-72"/>
              <w:jc w:val="right"/>
              <w:rPr>
                <w:rFonts w:ascii="Arial" w:eastAsia="Cordia New" w:hAnsi="Arial" w:cs="Arial"/>
                <w:snapToGrid w:val="0"/>
                <w:color w:val="000000"/>
                <w:sz w:val="20"/>
                <w:szCs w:val="20"/>
                <w:lang w:eastAsia="th-TH"/>
              </w:rPr>
            </w:pPr>
            <w:r w:rsidRPr="00CD5714">
              <w:rPr>
                <w:rFonts w:ascii="Arial" w:eastAsia="Cordia New" w:hAnsi="Arial" w:cs="Arial"/>
                <w:snapToGrid w:val="0"/>
                <w:color w:val="000000"/>
                <w:sz w:val="20"/>
                <w:szCs w:val="20"/>
                <w:lang w:val="en-GB" w:eastAsia="th-TH"/>
              </w:rPr>
              <w:t>60</w:t>
            </w:r>
            <w:r w:rsidR="003F4D68" w:rsidRPr="002D2F67">
              <w:rPr>
                <w:rFonts w:ascii="Arial" w:eastAsia="Cordia New" w:hAnsi="Arial" w:cs="Arial"/>
                <w:snapToGrid w:val="0"/>
                <w:color w:val="000000"/>
                <w:sz w:val="20"/>
                <w:szCs w:val="20"/>
                <w:lang w:eastAsia="th-TH"/>
              </w:rPr>
              <w:t>,</w:t>
            </w:r>
            <w:r w:rsidRPr="00CD5714">
              <w:rPr>
                <w:rFonts w:ascii="Arial" w:eastAsia="Cordia New" w:hAnsi="Arial" w:cs="Arial"/>
                <w:snapToGrid w:val="0"/>
                <w:color w:val="000000"/>
                <w:sz w:val="20"/>
                <w:szCs w:val="20"/>
                <w:lang w:val="en-GB" w:eastAsia="th-TH"/>
              </w:rPr>
              <w:t>987</w:t>
            </w:r>
          </w:p>
        </w:tc>
      </w:tr>
      <w:tr w:rsidR="003F4D68" w:rsidRPr="002D2F67" w14:paraId="1FB581F6" w14:textId="77777777" w:rsidTr="005611FE">
        <w:trPr>
          <w:cantSplit/>
        </w:trPr>
        <w:tc>
          <w:tcPr>
            <w:tcW w:w="3690" w:type="dxa"/>
            <w:shd w:val="clear" w:color="auto" w:fill="auto"/>
          </w:tcPr>
          <w:p w14:paraId="215086EE" w14:textId="77777777" w:rsidR="003F4D68" w:rsidRPr="002D2F67" w:rsidRDefault="003F4D68" w:rsidP="005611FE">
            <w:pPr>
              <w:pStyle w:val="BodyTextIndent2"/>
              <w:spacing w:line="240" w:lineRule="auto"/>
              <w:ind w:left="-108"/>
              <w:rPr>
                <w:rFonts w:ascii="Arial" w:hAnsi="Arial" w:cs="Arial"/>
              </w:rPr>
            </w:pPr>
            <w:r w:rsidRPr="002D2F67">
              <w:rPr>
                <w:rFonts w:ascii="Arial" w:hAnsi="Arial" w:cs="Arial"/>
              </w:rPr>
              <w:t>Work in process</w:t>
            </w:r>
          </w:p>
        </w:tc>
        <w:tc>
          <w:tcPr>
            <w:tcW w:w="1440" w:type="dxa"/>
            <w:shd w:val="clear" w:color="auto" w:fill="auto"/>
          </w:tcPr>
          <w:p w14:paraId="29551AA0" w14:textId="25A87DB3" w:rsidR="003F4D68" w:rsidRPr="002D2F67" w:rsidRDefault="00CD5714" w:rsidP="005611FE">
            <w:pPr>
              <w:ind w:right="-72"/>
              <w:jc w:val="right"/>
              <w:rPr>
                <w:rFonts w:ascii="Arial" w:eastAsia="Cordia New" w:hAnsi="Arial" w:cs="Arial"/>
                <w:snapToGrid w:val="0"/>
                <w:color w:val="000000"/>
                <w:sz w:val="20"/>
                <w:szCs w:val="20"/>
                <w:lang w:eastAsia="th-TH"/>
              </w:rPr>
            </w:pPr>
            <w:r w:rsidRPr="00CD5714">
              <w:rPr>
                <w:rFonts w:ascii="Arial" w:eastAsia="Cordia New" w:hAnsi="Arial" w:cs="Arial"/>
                <w:snapToGrid w:val="0"/>
                <w:color w:val="000000"/>
                <w:sz w:val="20"/>
                <w:szCs w:val="20"/>
                <w:lang w:val="en-GB" w:eastAsia="th-TH"/>
              </w:rPr>
              <w:t>2</w:t>
            </w:r>
            <w:r w:rsidR="0022533D" w:rsidRPr="002D2F67">
              <w:rPr>
                <w:rFonts w:ascii="Arial" w:eastAsia="Cordia New" w:hAnsi="Arial" w:cs="Arial"/>
                <w:snapToGrid w:val="0"/>
                <w:color w:val="000000"/>
                <w:sz w:val="20"/>
                <w:szCs w:val="20"/>
                <w:lang w:eastAsia="th-TH"/>
              </w:rPr>
              <w:t>,</w:t>
            </w:r>
            <w:r w:rsidRPr="00CD5714">
              <w:rPr>
                <w:rFonts w:ascii="Arial" w:eastAsia="Cordia New" w:hAnsi="Arial" w:cs="Arial"/>
                <w:snapToGrid w:val="0"/>
                <w:color w:val="000000"/>
                <w:sz w:val="20"/>
                <w:szCs w:val="20"/>
                <w:lang w:val="en-GB" w:eastAsia="th-TH"/>
              </w:rPr>
              <w:t>844</w:t>
            </w:r>
            <w:r w:rsidR="0022533D" w:rsidRPr="002D2F67">
              <w:rPr>
                <w:rFonts w:ascii="Arial" w:eastAsia="Cordia New" w:hAnsi="Arial" w:cs="Arial"/>
                <w:snapToGrid w:val="0"/>
                <w:color w:val="000000"/>
                <w:sz w:val="20"/>
                <w:szCs w:val="20"/>
                <w:lang w:eastAsia="th-TH"/>
              </w:rPr>
              <w:t>,</w:t>
            </w:r>
            <w:r w:rsidRPr="00CD5714">
              <w:rPr>
                <w:rFonts w:ascii="Arial" w:eastAsia="Cordia New" w:hAnsi="Arial" w:cs="Arial"/>
                <w:snapToGrid w:val="0"/>
                <w:color w:val="000000"/>
                <w:sz w:val="20"/>
                <w:szCs w:val="20"/>
                <w:lang w:val="en-GB" w:eastAsia="th-TH"/>
              </w:rPr>
              <w:t>580</w:t>
            </w:r>
          </w:p>
        </w:tc>
        <w:tc>
          <w:tcPr>
            <w:tcW w:w="1440" w:type="dxa"/>
            <w:shd w:val="clear" w:color="auto" w:fill="auto"/>
          </w:tcPr>
          <w:p w14:paraId="40EB2E83" w14:textId="10D1198B" w:rsidR="003F4D68" w:rsidRPr="002D2F67" w:rsidRDefault="00CD5714" w:rsidP="005611FE">
            <w:pPr>
              <w:ind w:right="-72"/>
              <w:jc w:val="right"/>
              <w:rPr>
                <w:rFonts w:ascii="Arial" w:eastAsia="Cordia New" w:hAnsi="Arial" w:cs="Arial"/>
                <w:snapToGrid w:val="0"/>
                <w:color w:val="000000"/>
                <w:sz w:val="20"/>
                <w:szCs w:val="20"/>
                <w:lang w:eastAsia="th-TH"/>
              </w:rPr>
            </w:pPr>
            <w:r w:rsidRPr="00CD5714">
              <w:rPr>
                <w:rFonts w:ascii="Arial" w:eastAsia="Cordia New" w:hAnsi="Arial" w:cs="Arial"/>
                <w:snapToGrid w:val="0"/>
                <w:color w:val="000000"/>
                <w:sz w:val="20"/>
                <w:szCs w:val="20"/>
                <w:lang w:val="en-GB" w:eastAsia="th-TH"/>
              </w:rPr>
              <w:t>2</w:t>
            </w:r>
            <w:r w:rsidR="003F4D68" w:rsidRPr="002D2F67">
              <w:rPr>
                <w:rFonts w:ascii="Arial" w:eastAsia="Cordia New" w:hAnsi="Arial" w:cs="Arial"/>
                <w:snapToGrid w:val="0"/>
                <w:color w:val="000000"/>
                <w:sz w:val="20"/>
                <w:szCs w:val="20"/>
                <w:lang w:eastAsia="th-TH"/>
              </w:rPr>
              <w:t>,</w:t>
            </w:r>
            <w:r w:rsidRPr="00CD5714">
              <w:rPr>
                <w:rFonts w:ascii="Arial" w:eastAsia="Cordia New" w:hAnsi="Arial" w:cs="Arial"/>
                <w:snapToGrid w:val="0"/>
                <w:color w:val="000000"/>
                <w:sz w:val="20"/>
                <w:szCs w:val="20"/>
                <w:lang w:val="en-GB" w:eastAsia="th-TH"/>
              </w:rPr>
              <w:t>634</w:t>
            </w:r>
            <w:r w:rsidR="003F4D68" w:rsidRPr="002D2F67">
              <w:rPr>
                <w:rFonts w:ascii="Arial" w:eastAsia="Cordia New" w:hAnsi="Arial" w:cs="Arial"/>
                <w:snapToGrid w:val="0"/>
                <w:color w:val="000000"/>
                <w:sz w:val="20"/>
                <w:szCs w:val="20"/>
                <w:lang w:eastAsia="th-TH"/>
              </w:rPr>
              <w:t>,</w:t>
            </w:r>
            <w:r w:rsidRPr="00CD5714">
              <w:rPr>
                <w:rFonts w:ascii="Arial" w:eastAsia="Cordia New" w:hAnsi="Arial" w:cs="Arial"/>
                <w:snapToGrid w:val="0"/>
                <w:color w:val="000000"/>
                <w:sz w:val="20"/>
                <w:szCs w:val="20"/>
                <w:lang w:val="en-GB" w:eastAsia="th-TH"/>
              </w:rPr>
              <w:t>242</w:t>
            </w:r>
          </w:p>
        </w:tc>
        <w:tc>
          <w:tcPr>
            <w:tcW w:w="1440" w:type="dxa"/>
            <w:shd w:val="clear" w:color="auto" w:fill="auto"/>
            <w:vAlign w:val="bottom"/>
          </w:tcPr>
          <w:p w14:paraId="19642EE2" w14:textId="6133CCEC" w:rsidR="003F4D68" w:rsidRPr="002D2F67" w:rsidRDefault="00CD5714" w:rsidP="005611FE">
            <w:pPr>
              <w:ind w:right="-72"/>
              <w:jc w:val="right"/>
              <w:rPr>
                <w:rFonts w:ascii="Arial" w:eastAsia="Cordia New" w:hAnsi="Arial" w:cs="Arial"/>
                <w:snapToGrid w:val="0"/>
                <w:color w:val="000000"/>
                <w:sz w:val="20"/>
                <w:szCs w:val="20"/>
                <w:lang w:eastAsia="th-TH"/>
              </w:rPr>
            </w:pPr>
            <w:r w:rsidRPr="00CD5714">
              <w:rPr>
                <w:rFonts w:ascii="Arial" w:eastAsia="Cordia New" w:hAnsi="Arial" w:cs="Arial"/>
                <w:snapToGrid w:val="0"/>
                <w:color w:val="000000"/>
                <w:sz w:val="20"/>
                <w:szCs w:val="20"/>
                <w:lang w:val="en-GB" w:eastAsia="th-TH"/>
              </w:rPr>
              <w:t>93</w:t>
            </w:r>
            <w:r w:rsidR="00912EFC" w:rsidRPr="002D2F67">
              <w:rPr>
                <w:rFonts w:ascii="Arial" w:eastAsia="Cordia New" w:hAnsi="Arial" w:cs="Arial"/>
                <w:snapToGrid w:val="0"/>
                <w:color w:val="000000"/>
                <w:sz w:val="20"/>
                <w:szCs w:val="20"/>
                <w:lang w:eastAsia="th-TH"/>
              </w:rPr>
              <w:t>,</w:t>
            </w:r>
            <w:r w:rsidRPr="00CD5714">
              <w:rPr>
                <w:rFonts w:ascii="Arial" w:eastAsia="Cordia New" w:hAnsi="Arial" w:cs="Arial"/>
                <w:snapToGrid w:val="0"/>
                <w:color w:val="000000"/>
                <w:sz w:val="20"/>
                <w:szCs w:val="20"/>
                <w:lang w:val="en-GB" w:eastAsia="th-TH"/>
              </w:rPr>
              <w:t>826</w:t>
            </w:r>
          </w:p>
        </w:tc>
        <w:tc>
          <w:tcPr>
            <w:tcW w:w="1440" w:type="dxa"/>
            <w:shd w:val="clear" w:color="auto" w:fill="auto"/>
            <w:vAlign w:val="bottom"/>
          </w:tcPr>
          <w:p w14:paraId="33675F08" w14:textId="6A50FAF5" w:rsidR="003F4D68" w:rsidRPr="002D2F67" w:rsidRDefault="00CD5714" w:rsidP="005611FE">
            <w:pPr>
              <w:ind w:right="-72"/>
              <w:jc w:val="right"/>
              <w:rPr>
                <w:rFonts w:ascii="Arial" w:eastAsia="Cordia New" w:hAnsi="Arial" w:cs="Arial"/>
                <w:snapToGrid w:val="0"/>
                <w:color w:val="000000"/>
                <w:sz w:val="20"/>
                <w:szCs w:val="20"/>
                <w:lang w:eastAsia="th-TH"/>
              </w:rPr>
            </w:pPr>
            <w:r w:rsidRPr="00CD5714">
              <w:rPr>
                <w:rFonts w:ascii="Arial" w:eastAsia="Cordia New" w:hAnsi="Arial" w:cs="Arial"/>
                <w:snapToGrid w:val="0"/>
                <w:color w:val="000000"/>
                <w:sz w:val="20"/>
                <w:szCs w:val="20"/>
                <w:lang w:val="en-GB" w:eastAsia="th-TH"/>
              </w:rPr>
              <w:t>81</w:t>
            </w:r>
            <w:r w:rsidR="003F4D68" w:rsidRPr="002D2F67">
              <w:rPr>
                <w:rFonts w:ascii="Arial" w:eastAsia="Cordia New" w:hAnsi="Arial" w:cs="Arial"/>
                <w:snapToGrid w:val="0"/>
                <w:color w:val="000000"/>
                <w:sz w:val="20"/>
                <w:szCs w:val="20"/>
                <w:lang w:eastAsia="th-TH"/>
              </w:rPr>
              <w:t>,</w:t>
            </w:r>
            <w:r w:rsidRPr="00CD5714">
              <w:rPr>
                <w:rFonts w:ascii="Arial" w:eastAsia="Cordia New" w:hAnsi="Arial" w:cs="Arial"/>
                <w:snapToGrid w:val="0"/>
                <w:color w:val="000000"/>
                <w:sz w:val="20"/>
                <w:szCs w:val="20"/>
                <w:lang w:val="en-GB" w:eastAsia="th-TH"/>
              </w:rPr>
              <w:t>925</w:t>
            </w:r>
          </w:p>
        </w:tc>
      </w:tr>
      <w:tr w:rsidR="003F4D68" w:rsidRPr="002D2F67" w14:paraId="34AA257B" w14:textId="77777777" w:rsidTr="005611FE">
        <w:trPr>
          <w:cantSplit/>
        </w:trPr>
        <w:tc>
          <w:tcPr>
            <w:tcW w:w="3690" w:type="dxa"/>
            <w:shd w:val="clear" w:color="auto" w:fill="auto"/>
          </w:tcPr>
          <w:p w14:paraId="11477BDC" w14:textId="77777777" w:rsidR="003F4D68" w:rsidRPr="002D2F67" w:rsidRDefault="003F4D68" w:rsidP="005611FE">
            <w:pPr>
              <w:pStyle w:val="BodyTextIndent2"/>
              <w:spacing w:line="240" w:lineRule="auto"/>
              <w:ind w:left="-108"/>
              <w:rPr>
                <w:rFonts w:ascii="Arial" w:hAnsi="Arial" w:cs="Arial"/>
              </w:rPr>
            </w:pPr>
            <w:r w:rsidRPr="002D2F67">
              <w:rPr>
                <w:rFonts w:ascii="Arial" w:hAnsi="Arial" w:cs="Arial"/>
              </w:rPr>
              <w:t>Finished goods</w:t>
            </w:r>
          </w:p>
        </w:tc>
        <w:tc>
          <w:tcPr>
            <w:tcW w:w="1440" w:type="dxa"/>
            <w:shd w:val="clear" w:color="auto" w:fill="auto"/>
          </w:tcPr>
          <w:p w14:paraId="7E6750F4" w14:textId="197B27D4" w:rsidR="003F4D68" w:rsidRPr="002D2F67" w:rsidRDefault="00CD5714" w:rsidP="005611FE">
            <w:pPr>
              <w:ind w:right="-72"/>
              <w:jc w:val="right"/>
              <w:rPr>
                <w:rFonts w:ascii="Arial" w:eastAsia="Cordia New" w:hAnsi="Arial" w:cs="Arial"/>
                <w:snapToGrid w:val="0"/>
                <w:color w:val="000000"/>
                <w:sz w:val="20"/>
                <w:szCs w:val="20"/>
                <w:lang w:eastAsia="th-TH"/>
              </w:rPr>
            </w:pPr>
            <w:r w:rsidRPr="00CD5714">
              <w:rPr>
                <w:rFonts w:ascii="Arial" w:eastAsia="Cordia New" w:hAnsi="Arial" w:cs="Arial"/>
                <w:snapToGrid w:val="0"/>
                <w:color w:val="000000"/>
                <w:sz w:val="20"/>
                <w:szCs w:val="20"/>
                <w:lang w:val="en-GB" w:eastAsia="th-TH"/>
              </w:rPr>
              <w:t>3</w:t>
            </w:r>
            <w:r w:rsidR="0022533D" w:rsidRPr="002D2F67">
              <w:rPr>
                <w:rFonts w:ascii="Arial" w:eastAsia="Cordia New" w:hAnsi="Arial" w:cs="Arial"/>
                <w:snapToGrid w:val="0"/>
                <w:color w:val="000000"/>
                <w:sz w:val="20"/>
                <w:szCs w:val="20"/>
                <w:lang w:eastAsia="th-TH"/>
              </w:rPr>
              <w:t>,</w:t>
            </w:r>
            <w:r w:rsidRPr="00CD5714">
              <w:rPr>
                <w:rFonts w:ascii="Arial" w:eastAsia="Cordia New" w:hAnsi="Arial" w:cs="Arial"/>
                <w:snapToGrid w:val="0"/>
                <w:color w:val="000000"/>
                <w:sz w:val="20"/>
                <w:szCs w:val="20"/>
                <w:lang w:val="en-GB" w:eastAsia="th-TH"/>
              </w:rPr>
              <w:t>781</w:t>
            </w:r>
            <w:r w:rsidR="00A018C8" w:rsidRPr="002D2F67">
              <w:rPr>
                <w:rFonts w:ascii="Arial" w:eastAsia="Cordia New" w:hAnsi="Arial" w:cs="Arial"/>
                <w:snapToGrid w:val="0"/>
                <w:color w:val="000000"/>
                <w:sz w:val="20"/>
                <w:szCs w:val="20"/>
                <w:lang w:eastAsia="th-TH"/>
              </w:rPr>
              <w:t>,</w:t>
            </w:r>
            <w:r w:rsidRPr="00CD5714">
              <w:rPr>
                <w:rFonts w:ascii="Arial" w:eastAsia="Cordia New" w:hAnsi="Arial" w:cs="Arial"/>
                <w:snapToGrid w:val="0"/>
                <w:color w:val="000000"/>
                <w:sz w:val="20"/>
                <w:szCs w:val="20"/>
                <w:lang w:val="en-GB" w:eastAsia="th-TH"/>
              </w:rPr>
              <w:t>025</w:t>
            </w:r>
          </w:p>
        </w:tc>
        <w:tc>
          <w:tcPr>
            <w:tcW w:w="1440" w:type="dxa"/>
            <w:shd w:val="clear" w:color="auto" w:fill="auto"/>
          </w:tcPr>
          <w:p w14:paraId="5C999D05" w14:textId="209D9FAB" w:rsidR="003F4D68" w:rsidRPr="002D2F67" w:rsidRDefault="00CD5714" w:rsidP="005611FE">
            <w:pPr>
              <w:ind w:right="-72"/>
              <w:jc w:val="right"/>
              <w:rPr>
                <w:rFonts w:ascii="Arial" w:eastAsia="Cordia New" w:hAnsi="Arial" w:cs="Arial"/>
                <w:snapToGrid w:val="0"/>
                <w:color w:val="000000"/>
                <w:sz w:val="20"/>
                <w:szCs w:val="20"/>
                <w:lang w:eastAsia="th-TH"/>
              </w:rPr>
            </w:pPr>
            <w:r w:rsidRPr="00CD5714">
              <w:rPr>
                <w:rFonts w:ascii="Arial" w:eastAsia="Cordia New" w:hAnsi="Arial" w:cs="Arial"/>
                <w:snapToGrid w:val="0"/>
                <w:color w:val="000000"/>
                <w:sz w:val="20"/>
                <w:szCs w:val="20"/>
                <w:lang w:val="en-GB" w:eastAsia="th-TH"/>
              </w:rPr>
              <w:t>2</w:t>
            </w:r>
            <w:r w:rsidR="003F4D68" w:rsidRPr="002D2F67">
              <w:rPr>
                <w:rFonts w:ascii="Arial" w:eastAsia="Cordia New" w:hAnsi="Arial" w:cs="Arial"/>
                <w:snapToGrid w:val="0"/>
                <w:color w:val="000000"/>
                <w:sz w:val="20"/>
                <w:szCs w:val="20"/>
                <w:lang w:eastAsia="th-TH"/>
              </w:rPr>
              <w:t>,</w:t>
            </w:r>
            <w:r w:rsidRPr="00CD5714">
              <w:rPr>
                <w:rFonts w:ascii="Arial" w:eastAsia="Cordia New" w:hAnsi="Arial" w:cs="Arial"/>
                <w:snapToGrid w:val="0"/>
                <w:color w:val="000000"/>
                <w:sz w:val="20"/>
                <w:szCs w:val="20"/>
                <w:lang w:val="en-GB" w:eastAsia="th-TH"/>
              </w:rPr>
              <w:t>927</w:t>
            </w:r>
            <w:r w:rsidR="003F4D68" w:rsidRPr="002D2F67">
              <w:rPr>
                <w:rFonts w:ascii="Arial" w:eastAsia="Cordia New" w:hAnsi="Arial" w:cs="Arial"/>
                <w:snapToGrid w:val="0"/>
                <w:color w:val="000000"/>
                <w:sz w:val="20"/>
                <w:szCs w:val="20"/>
                <w:lang w:eastAsia="th-TH"/>
              </w:rPr>
              <w:t>,</w:t>
            </w:r>
            <w:r w:rsidRPr="00CD5714">
              <w:rPr>
                <w:rFonts w:ascii="Arial" w:eastAsia="Cordia New" w:hAnsi="Arial" w:cs="Arial"/>
                <w:snapToGrid w:val="0"/>
                <w:color w:val="000000"/>
                <w:sz w:val="20"/>
                <w:szCs w:val="20"/>
                <w:lang w:val="en-GB" w:eastAsia="th-TH"/>
              </w:rPr>
              <w:t>516</w:t>
            </w:r>
          </w:p>
        </w:tc>
        <w:tc>
          <w:tcPr>
            <w:tcW w:w="1440" w:type="dxa"/>
            <w:shd w:val="clear" w:color="auto" w:fill="auto"/>
            <w:vAlign w:val="bottom"/>
          </w:tcPr>
          <w:p w14:paraId="0C29B6BD" w14:textId="32D14265" w:rsidR="003F4D68" w:rsidRPr="002D2F67" w:rsidRDefault="00CD5714" w:rsidP="005611FE">
            <w:pPr>
              <w:ind w:right="-72"/>
              <w:jc w:val="right"/>
              <w:rPr>
                <w:rFonts w:ascii="Arial" w:eastAsia="Cordia New" w:hAnsi="Arial" w:cs="Arial"/>
                <w:snapToGrid w:val="0"/>
                <w:color w:val="000000"/>
                <w:sz w:val="20"/>
                <w:szCs w:val="20"/>
                <w:lang w:eastAsia="th-TH"/>
              </w:rPr>
            </w:pPr>
            <w:r w:rsidRPr="00CD5714">
              <w:rPr>
                <w:rFonts w:ascii="Arial" w:eastAsia="Cordia New" w:hAnsi="Arial" w:cs="Arial"/>
                <w:snapToGrid w:val="0"/>
                <w:color w:val="000000"/>
                <w:sz w:val="20"/>
                <w:szCs w:val="20"/>
                <w:lang w:val="en-GB" w:eastAsia="th-TH"/>
              </w:rPr>
              <w:t>92</w:t>
            </w:r>
            <w:r w:rsidR="00912EFC" w:rsidRPr="002D2F67">
              <w:rPr>
                <w:rFonts w:ascii="Arial" w:eastAsia="Cordia New" w:hAnsi="Arial" w:cs="Arial"/>
                <w:snapToGrid w:val="0"/>
                <w:color w:val="000000"/>
                <w:sz w:val="20"/>
                <w:szCs w:val="20"/>
                <w:lang w:eastAsia="th-TH"/>
              </w:rPr>
              <w:t>,</w:t>
            </w:r>
            <w:r w:rsidRPr="00CD5714">
              <w:rPr>
                <w:rFonts w:ascii="Arial" w:eastAsia="Cordia New" w:hAnsi="Arial" w:cs="Arial"/>
                <w:snapToGrid w:val="0"/>
                <w:color w:val="000000"/>
                <w:sz w:val="20"/>
                <w:szCs w:val="20"/>
                <w:lang w:val="en-GB" w:eastAsia="th-TH"/>
              </w:rPr>
              <w:t>590</w:t>
            </w:r>
          </w:p>
        </w:tc>
        <w:tc>
          <w:tcPr>
            <w:tcW w:w="1440" w:type="dxa"/>
            <w:shd w:val="clear" w:color="auto" w:fill="auto"/>
            <w:vAlign w:val="bottom"/>
          </w:tcPr>
          <w:p w14:paraId="3754360B" w14:textId="1AF6DADC" w:rsidR="003F4D68" w:rsidRPr="002D2F67" w:rsidRDefault="00CD5714" w:rsidP="005611FE">
            <w:pPr>
              <w:ind w:right="-72"/>
              <w:jc w:val="right"/>
              <w:rPr>
                <w:rFonts w:ascii="Arial" w:eastAsia="Cordia New" w:hAnsi="Arial" w:cs="Arial"/>
                <w:snapToGrid w:val="0"/>
                <w:color w:val="000000"/>
                <w:sz w:val="20"/>
                <w:szCs w:val="20"/>
                <w:lang w:eastAsia="th-TH"/>
              </w:rPr>
            </w:pPr>
            <w:r w:rsidRPr="00CD5714">
              <w:rPr>
                <w:rFonts w:ascii="Arial" w:eastAsia="Cordia New" w:hAnsi="Arial" w:cs="Arial"/>
                <w:snapToGrid w:val="0"/>
                <w:color w:val="000000"/>
                <w:sz w:val="20"/>
                <w:szCs w:val="20"/>
                <w:lang w:val="en-GB" w:eastAsia="th-TH"/>
              </w:rPr>
              <w:t>69</w:t>
            </w:r>
            <w:r w:rsidR="003F4D68" w:rsidRPr="002D2F67">
              <w:rPr>
                <w:rFonts w:ascii="Arial" w:eastAsia="Cordia New" w:hAnsi="Arial" w:cs="Arial"/>
                <w:snapToGrid w:val="0"/>
                <w:color w:val="000000"/>
                <w:sz w:val="20"/>
                <w:szCs w:val="20"/>
                <w:lang w:eastAsia="th-TH"/>
              </w:rPr>
              <w:t>,</w:t>
            </w:r>
            <w:r w:rsidRPr="00CD5714">
              <w:rPr>
                <w:rFonts w:ascii="Arial" w:eastAsia="Cordia New" w:hAnsi="Arial" w:cs="Arial"/>
                <w:snapToGrid w:val="0"/>
                <w:color w:val="000000"/>
                <w:sz w:val="20"/>
                <w:szCs w:val="20"/>
                <w:lang w:val="en-GB" w:eastAsia="th-TH"/>
              </w:rPr>
              <w:t>369</w:t>
            </w:r>
          </w:p>
        </w:tc>
      </w:tr>
      <w:tr w:rsidR="003F4D68" w:rsidRPr="002D2F67" w14:paraId="1E6CB22E" w14:textId="77777777" w:rsidTr="005611FE">
        <w:trPr>
          <w:cantSplit/>
        </w:trPr>
        <w:tc>
          <w:tcPr>
            <w:tcW w:w="3690" w:type="dxa"/>
            <w:shd w:val="clear" w:color="auto" w:fill="auto"/>
          </w:tcPr>
          <w:p w14:paraId="7E6C9F38" w14:textId="77777777" w:rsidR="003F4D68" w:rsidRPr="002D2F67" w:rsidRDefault="003F4D68" w:rsidP="005611FE">
            <w:pPr>
              <w:pStyle w:val="BodyTextIndent2"/>
              <w:spacing w:line="240" w:lineRule="auto"/>
              <w:ind w:left="-108"/>
              <w:jc w:val="left"/>
              <w:rPr>
                <w:rFonts w:ascii="Arial" w:hAnsi="Arial" w:cs="Arial"/>
              </w:rPr>
            </w:pPr>
            <w:r w:rsidRPr="002D2F67">
              <w:rPr>
                <w:rFonts w:ascii="Arial" w:hAnsi="Arial" w:cs="Arial"/>
              </w:rPr>
              <w:t>Spare parts and supplies</w:t>
            </w:r>
          </w:p>
        </w:tc>
        <w:tc>
          <w:tcPr>
            <w:tcW w:w="1440" w:type="dxa"/>
            <w:shd w:val="clear" w:color="auto" w:fill="auto"/>
          </w:tcPr>
          <w:p w14:paraId="282528BF" w14:textId="52FAE22C" w:rsidR="003F4D68" w:rsidRPr="002D2F67" w:rsidRDefault="00CD5714" w:rsidP="005611FE">
            <w:pPr>
              <w:ind w:right="-72"/>
              <w:jc w:val="right"/>
              <w:rPr>
                <w:rFonts w:ascii="Arial" w:eastAsia="Cordia New" w:hAnsi="Arial" w:cs="Arial"/>
                <w:snapToGrid w:val="0"/>
                <w:color w:val="000000"/>
                <w:sz w:val="20"/>
                <w:szCs w:val="20"/>
                <w:lang w:eastAsia="th-TH"/>
              </w:rPr>
            </w:pPr>
            <w:r w:rsidRPr="00CD5714">
              <w:rPr>
                <w:rFonts w:ascii="Arial" w:eastAsia="Cordia New" w:hAnsi="Arial" w:cs="Arial"/>
                <w:snapToGrid w:val="0"/>
                <w:color w:val="000000"/>
                <w:sz w:val="20"/>
                <w:szCs w:val="20"/>
                <w:lang w:val="en-GB" w:eastAsia="th-TH"/>
              </w:rPr>
              <w:t>373</w:t>
            </w:r>
            <w:r w:rsidR="007B58C6" w:rsidRPr="002D2F67">
              <w:rPr>
                <w:rFonts w:ascii="Arial" w:eastAsia="Cordia New" w:hAnsi="Arial" w:cs="Arial"/>
                <w:snapToGrid w:val="0"/>
                <w:color w:val="000000"/>
                <w:sz w:val="20"/>
                <w:szCs w:val="20"/>
                <w:lang w:eastAsia="th-TH"/>
              </w:rPr>
              <w:t>,</w:t>
            </w:r>
            <w:r w:rsidRPr="00CD5714">
              <w:rPr>
                <w:rFonts w:ascii="Arial" w:eastAsia="Cordia New" w:hAnsi="Arial" w:cs="Arial"/>
                <w:snapToGrid w:val="0"/>
                <w:color w:val="000000"/>
                <w:sz w:val="20"/>
                <w:szCs w:val="20"/>
                <w:lang w:val="en-GB" w:eastAsia="th-TH"/>
              </w:rPr>
              <w:t>179</w:t>
            </w:r>
          </w:p>
        </w:tc>
        <w:tc>
          <w:tcPr>
            <w:tcW w:w="1440" w:type="dxa"/>
            <w:shd w:val="clear" w:color="auto" w:fill="auto"/>
          </w:tcPr>
          <w:p w14:paraId="3498F58A" w14:textId="55DD0106" w:rsidR="003F4D68" w:rsidRPr="002D2F67" w:rsidRDefault="00CD5714" w:rsidP="005611FE">
            <w:pPr>
              <w:ind w:right="-72"/>
              <w:jc w:val="right"/>
              <w:rPr>
                <w:rFonts w:ascii="Arial" w:eastAsia="Cordia New" w:hAnsi="Arial" w:cs="Arial"/>
                <w:snapToGrid w:val="0"/>
                <w:color w:val="000000"/>
                <w:sz w:val="20"/>
                <w:szCs w:val="20"/>
                <w:lang w:eastAsia="th-TH"/>
              </w:rPr>
            </w:pPr>
            <w:r w:rsidRPr="00CD5714">
              <w:rPr>
                <w:rFonts w:ascii="Arial" w:eastAsia="Cordia New" w:hAnsi="Arial" w:cs="Arial"/>
                <w:color w:val="000000"/>
                <w:sz w:val="20"/>
                <w:szCs w:val="20"/>
                <w:lang w:val="en-GB" w:eastAsia="th-TH"/>
              </w:rPr>
              <w:t>394</w:t>
            </w:r>
            <w:r w:rsidR="003F4D68" w:rsidRPr="002D2F67">
              <w:rPr>
                <w:rFonts w:ascii="Arial" w:eastAsia="Cordia New" w:hAnsi="Arial" w:cs="Arial"/>
                <w:color w:val="000000"/>
                <w:sz w:val="20"/>
                <w:szCs w:val="20"/>
                <w:lang w:eastAsia="th-TH"/>
              </w:rPr>
              <w:t>,</w:t>
            </w:r>
            <w:r w:rsidRPr="00CD5714">
              <w:rPr>
                <w:rFonts w:ascii="Arial" w:eastAsia="Cordia New" w:hAnsi="Arial" w:cs="Arial"/>
                <w:color w:val="000000"/>
                <w:sz w:val="20"/>
                <w:szCs w:val="20"/>
                <w:lang w:val="en-GB" w:eastAsia="th-TH"/>
              </w:rPr>
              <w:t>058</w:t>
            </w:r>
          </w:p>
        </w:tc>
        <w:tc>
          <w:tcPr>
            <w:tcW w:w="1440" w:type="dxa"/>
            <w:shd w:val="clear" w:color="auto" w:fill="auto"/>
            <w:vAlign w:val="bottom"/>
          </w:tcPr>
          <w:p w14:paraId="6B1073EA" w14:textId="2661857C" w:rsidR="003F4D68" w:rsidRPr="002D2F67" w:rsidRDefault="00CD5714" w:rsidP="005611FE">
            <w:pPr>
              <w:ind w:right="-72"/>
              <w:jc w:val="right"/>
              <w:rPr>
                <w:rFonts w:ascii="Arial" w:eastAsia="Cordia New" w:hAnsi="Arial" w:cs="Arial"/>
                <w:snapToGrid w:val="0"/>
                <w:color w:val="000000"/>
                <w:sz w:val="20"/>
                <w:szCs w:val="20"/>
                <w:lang w:eastAsia="th-TH"/>
              </w:rPr>
            </w:pPr>
            <w:r w:rsidRPr="00CD5714">
              <w:rPr>
                <w:rFonts w:ascii="Arial" w:eastAsia="Cordia New" w:hAnsi="Arial" w:cs="Arial"/>
                <w:snapToGrid w:val="0"/>
                <w:color w:val="000000"/>
                <w:sz w:val="20"/>
                <w:szCs w:val="20"/>
                <w:lang w:val="en-GB" w:eastAsia="th-TH"/>
              </w:rPr>
              <w:t>25</w:t>
            </w:r>
            <w:r w:rsidR="00912EFC" w:rsidRPr="002D2F67">
              <w:rPr>
                <w:rFonts w:ascii="Arial" w:eastAsia="Cordia New" w:hAnsi="Arial" w:cs="Arial"/>
                <w:snapToGrid w:val="0"/>
                <w:color w:val="000000"/>
                <w:sz w:val="20"/>
                <w:szCs w:val="20"/>
                <w:lang w:eastAsia="th-TH"/>
              </w:rPr>
              <w:t>,</w:t>
            </w:r>
            <w:r w:rsidRPr="00CD5714">
              <w:rPr>
                <w:rFonts w:ascii="Arial" w:eastAsia="Cordia New" w:hAnsi="Arial" w:cs="Arial"/>
                <w:snapToGrid w:val="0"/>
                <w:color w:val="000000"/>
                <w:sz w:val="20"/>
                <w:szCs w:val="20"/>
                <w:lang w:val="en-GB" w:eastAsia="th-TH"/>
              </w:rPr>
              <w:t>232</w:t>
            </w:r>
          </w:p>
        </w:tc>
        <w:tc>
          <w:tcPr>
            <w:tcW w:w="1440" w:type="dxa"/>
            <w:shd w:val="clear" w:color="auto" w:fill="auto"/>
            <w:vAlign w:val="bottom"/>
          </w:tcPr>
          <w:p w14:paraId="713BCE77" w14:textId="3923EFB3" w:rsidR="003F4D68" w:rsidRPr="002D2F67" w:rsidRDefault="00CD5714" w:rsidP="005611FE">
            <w:pPr>
              <w:ind w:right="-72"/>
              <w:jc w:val="right"/>
              <w:rPr>
                <w:rFonts w:ascii="Arial" w:eastAsia="Cordia New" w:hAnsi="Arial" w:cs="Arial"/>
                <w:snapToGrid w:val="0"/>
                <w:color w:val="000000"/>
                <w:sz w:val="20"/>
                <w:szCs w:val="20"/>
                <w:lang w:eastAsia="th-TH"/>
              </w:rPr>
            </w:pPr>
            <w:r w:rsidRPr="00CD5714">
              <w:rPr>
                <w:rFonts w:ascii="Arial" w:eastAsia="Cordia New" w:hAnsi="Arial" w:cs="Arial"/>
                <w:snapToGrid w:val="0"/>
                <w:color w:val="000000"/>
                <w:sz w:val="20"/>
                <w:szCs w:val="20"/>
                <w:lang w:val="en-GB" w:eastAsia="th-TH"/>
              </w:rPr>
              <w:t>23</w:t>
            </w:r>
            <w:r w:rsidR="003F4D68" w:rsidRPr="002D2F67">
              <w:rPr>
                <w:rFonts w:ascii="Arial" w:eastAsia="Cordia New" w:hAnsi="Arial" w:cs="Arial"/>
                <w:snapToGrid w:val="0"/>
                <w:color w:val="000000"/>
                <w:sz w:val="20"/>
                <w:szCs w:val="20"/>
                <w:lang w:eastAsia="th-TH"/>
              </w:rPr>
              <w:t>,</w:t>
            </w:r>
            <w:r w:rsidRPr="00CD5714">
              <w:rPr>
                <w:rFonts w:ascii="Arial" w:eastAsia="Cordia New" w:hAnsi="Arial" w:cs="Arial"/>
                <w:snapToGrid w:val="0"/>
                <w:color w:val="000000"/>
                <w:sz w:val="20"/>
                <w:szCs w:val="20"/>
                <w:lang w:val="en-GB" w:eastAsia="th-TH"/>
              </w:rPr>
              <w:t>823</w:t>
            </w:r>
          </w:p>
        </w:tc>
      </w:tr>
      <w:tr w:rsidR="003F4D68" w:rsidRPr="002D2F67" w14:paraId="2052E84A" w14:textId="77777777" w:rsidTr="005611FE">
        <w:trPr>
          <w:cantSplit/>
        </w:trPr>
        <w:tc>
          <w:tcPr>
            <w:tcW w:w="3690" w:type="dxa"/>
            <w:shd w:val="clear" w:color="auto" w:fill="auto"/>
          </w:tcPr>
          <w:p w14:paraId="4033E190" w14:textId="5198BE94" w:rsidR="003F4D68" w:rsidRPr="002D2F67" w:rsidRDefault="003F4D68" w:rsidP="005611FE">
            <w:pPr>
              <w:pStyle w:val="BodyTextIndent2"/>
              <w:spacing w:line="240" w:lineRule="auto"/>
              <w:ind w:left="-108"/>
              <w:jc w:val="left"/>
              <w:rPr>
                <w:rFonts w:ascii="Arial" w:hAnsi="Arial" w:cs="Arial"/>
              </w:rPr>
            </w:pPr>
            <w:r w:rsidRPr="002D2F67">
              <w:rPr>
                <w:rFonts w:ascii="Arial" w:hAnsi="Arial" w:cs="Arial"/>
              </w:rPr>
              <w:t>Goods in transit</w:t>
            </w:r>
          </w:p>
        </w:tc>
        <w:tc>
          <w:tcPr>
            <w:tcW w:w="1440" w:type="dxa"/>
            <w:tcBorders>
              <w:bottom w:val="single" w:sz="4" w:space="0" w:color="auto"/>
            </w:tcBorders>
            <w:shd w:val="clear" w:color="auto" w:fill="auto"/>
          </w:tcPr>
          <w:p w14:paraId="2161186C" w14:textId="557C6D76" w:rsidR="003F4D68" w:rsidRPr="002D2F67" w:rsidRDefault="00A018C8" w:rsidP="005611FE">
            <w:pPr>
              <w:ind w:right="-72"/>
              <w:jc w:val="right"/>
              <w:rPr>
                <w:rFonts w:ascii="Arial" w:eastAsia="Cordia New" w:hAnsi="Arial" w:cs="Arial"/>
                <w:snapToGrid w:val="0"/>
                <w:color w:val="000000"/>
                <w:sz w:val="20"/>
                <w:szCs w:val="20"/>
                <w:lang w:eastAsia="th-TH"/>
              </w:rPr>
            </w:pPr>
            <w:r w:rsidRPr="002D2F67">
              <w:rPr>
                <w:rFonts w:ascii="Arial" w:eastAsia="Cordia New" w:hAnsi="Arial" w:cs="Arial"/>
                <w:snapToGrid w:val="0"/>
                <w:color w:val="000000"/>
                <w:sz w:val="20"/>
                <w:szCs w:val="20"/>
                <w:lang w:eastAsia="th-TH"/>
              </w:rPr>
              <w:t>-</w:t>
            </w:r>
          </w:p>
        </w:tc>
        <w:tc>
          <w:tcPr>
            <w:tcW w:w="1440" w:type="dxa"/>
            <w:tcBorders>
              <w:bottom w:val="single" w:sz="4" w:space="0" w:color="auto"/>
            </w:tcBorders>
            <w:shd w:val="clear" w:color="auto" w:fill="auto"/>
          </w:tcPr>
          <w:p w14:paraId="24F2A92C" w14:textId="417EEBDA" w:rsidR="003F4D68" w:rsidRPr="002D2F67" w:rsidRDefault="00CD5714" w:rsidP="005611FE">
            <w:pPr>
              <w:ind w:right="-72"/>
              <w:jc w:val="right"/>
              <w:rPr>
                <w:rFonts w:ascii="Arial" w:eastAsia="Cordia New" w:hAnsi="Arial" w:cs="Arial"/>
                <w:snapToGrid w:val="0"/>
                <w:color w:val="000000"/>
                <w:sz w:val="20"/>
                <w:szCs w:val="20"/>
                <w:lang w:eastAsia="th-TH"/>
              </w:rPr>
            </w:pPr>
            <w:r w:rsidRPr="00CD5714">
              <w:rPr>
                <w:rFonts w:ascii="Arial" w:eastAsia="Cordia New" w:hAnsi="Arial" w:cs="Arial"/>
                <w:snapToGrid w:val="0"/>
                <w:color w:val="000000"/>
                <w:sz w:val="20"/>
                <w:szCs w:val="20"/>
                <w:lang w:val="en-GB" w:eastAsia="th-TH"/>
              </w:rPr>
              <w:t>52</w:t>
            </w:r>
            <w:r w:rsidR="003F4D68" w:rsidRPr="002D2F67">
              <w:rPr>
                <w:rFonts w:ascii="Arial" w:eastAsia="Cordia New" w:hAnsi="Arial" w:cs="Arial"/>
                <w:snapToGrid w:val="0"/>
                <w:color w:val="000000"/>
                <w:sz w:val="20"/>
                <w:szCs w:val="20"/>
                <w:lang w:eastAsia="th-TH"/>
              </w:rPr>
              <w:t>,</w:t>
            </w:r>
            <w:r w:rsidRPr="00CD5714">
              <w:rPr>
                <w:rFonts w:ascii="Arial" w:eastAsia="Cordia New" w:hAnsi="Arial" w:cs="Arial"/>
                <w:snapToGrid w:val="0"/>
                <w:color w:val="000000"/>
                <w:sz w:val="20"/>
                <w:szCs w:val="20"/>
                <w:lang w:val="en-GB" w:eastAsia="th-TH"/>
              </w:rPr>
              <w:t>099</w:t>
            </w:r>
          </w:p>
        </w:tc>
        <w:tc>
          <w:tcPr>
            <w:tcW w:w="1440" w:type="dxa"/>
            <w:tcBorders>
              <w:bottom w:val="single" w:sz="4" w:space="0" w:color="auto"/>
            </w:tcBorders>
            <w:shd w:val="clear" w:color="auto" w:fill="auto"/>
            <w:vAlign w:val="bottom"/>
          </w:tcPr>
          <w:p w14:paraId="0C50D0D5" w14:textId="4830F66B" w:rsidR="003F4D68" w:rsidRPr="002D2F67" w:rsidRDefault="00912EFC" w:rsidP="005611FE">
            <w:pPr>
              <w:ind w:right="-72"/>
              <w:jc w:val="right"/>
              <w:rPr>
                <w:rFonts w:ascii="Arial" w:eastAsia="Cordia New" w:hAnsi="Arial" w:cs="Arial"/>
                <w:snapToGrid w:val="0"/>
                <w:color w:val="000000"/>
                <w:sz w:val="20"/>
                <w:szCs w:val="20"/>
                <w:lang w:eastAsia="th-TH"/>
              </w:rPr>
            </w:pPr>
            <w:r w:rsidRPr="002D2F67">
              <w:rPr>
                <w:rFonts w:ascii="Arial" w:eastAsia="Cordia New" w:hAnsi="Arial" w:cs="Arial"/>
                <w:snapToGrid w:val="0"/>
                <w:color w:val="000000"/>
                <w:sz w:val="20"/>
                <w:szCs w:val="20"/>
                <w:lang w:eastAsia="th-TH"/>
              </w:rPr>
              <w:t>-</w:t>
            </w:r>
          </w:p>
        </w:tc>
        <w:tc>
          <w:tcPr>
            <w:tcW w:w="1440" w:type="dxa"/>
            <w:tcBorders>
              <w:bottom w:val="single" w:sz="4" w:space="0" w:color="auto"/>
            </w:tcBorders>
            <w:shd w:val="clear" w:color="auto" w:fill="auto"/>
            <w:vAlign w:val="bottom"/>
          </w:tcPr>
          <w:p w14:paraId="136838AC" w14:textId="07DBE010" w:rsidR="003F4D68" w:rsidRPr="002D2F67" w:rsidRDefault="003F4D68" w:rsidP="005611FE">
            <w:pPr>
              <w:ind w:right="-72"/>
              <w:jc w:val="right"/>
              <w:rPr>
                <w:rFonts w:ascii="Arial" w:eastAsia="Cordia New" w:hAnsi="Arial" w:cs="Arial"/>
                <w:snapToGrid w:val="0"/>
                <w:color w:val="000000"/>
                <w:sz w:val="20"/>
                <w:szCs w:val="20"/>
                <w:lang w:eastAsia="th-TH"/>
              </w:rPr>
            </w:pPr>
            <w:r w:rsidRPr="002D2F67">
              <w:rPr>
                <w:rFonts w:ascii="Arial" w:eastAsia="Cordia New" w:hAnsi="Arial" w:cs="Arial"/>
                <w:snapToGrid w:val="0"/>
                <w:color w:val="000000"/>
                <w:sz w:val="20"/>
                <w:szCs w:val="20"/>
                <w:lang w:eastAsia="th-TH"/>
              </w:rPr>
              <w:t>-</w:t>
            </w:r>
          </w:p>
        </w:tc>
      </w:tr>
      <w:tr w:rsidR="003F4D68" w:rsidRPr="002D2F67" w14:paraId="20EB9CB7" w14:textId="77777777" w:rsidTr="005611FE">
        <w:trPr>
          <w:cantSplit/>
        </w:trPr>
        <w:tc>
          <w:tcPr>
            <w:tcW w:w="3690" w:type="dxa"/>
            <w:shd w:val="clear" w:color="auto" w:fill="auto"/>
          </w:tcPr>
          <w:p w14:paraId="36E61B58" w14:textId="77777777" w:rsidR="003F4D68" w:rsidRPr="002D2F67" w:rsidRDefault="003F4D68" w:rsidP="005611FE">
            <w:pPr>
              <w:pStyle w:val="BodyTextIndent2"/>
              <w:spacing w:line="240" w:lineRule="auto"/>
              <w:ind w:left="-108" w:right="-72"/>
              <w:jc w:val="left"/>
              <w:rPr>
                <w:rFonts w:ascii="Arial" w:hAnsi="Arial" w:cs="Arial"/>
              </w:rPr>
            </w:pPr>
          </w:p>
        </w:tc>
        <w:tc>
          <w:tcPr>
            <w:tcW w:w="1440" w:type="dxa"/>
            <w:tcBorders>
              <w:top w:val="single" w:sz="4" w:space="0" w:color="auto"/>
            </w:tcBorders>
            <w:shd w:val="clear" w:color="auto" w:fill="auto"/>
          </w:tcPr>
          <w:p w14:paraId="34B3D0B7" w14:textId="77777777" w:rsidR="003F4D68" w:rsidRPr="002D2F67" w:rsidRDefault="003F4D68" w:rsidP="005611FE">
            <w:pPr>
              <w:pStyle w:val="BodyTextIndent2"/>
              <w:spacing w:line="240" w:lineRule="auto"/>
              <w:ind w:left="0" w:right="-72"/>
              <w:jc w:val="right"/>
              <w:rPr>
                <w:rFonts w:ascii="Arial" w:hAnsi="Arial" w:cs="Arial"/>
              </w:rPr>
            </w:pPr>
          </w:p>
        </w:tc>
        <w:tc>
          <w:tcPr>
            <w:tcW w:w="1440" w:type="dxa"/>
            <w:tcBorders>
              <w:top w:val="single" w:sz="4" w:space="0" w:color="auto"/>
            </w:tcBorders>
            <w:shd w:val="clear" w:color="auto" w:fill="auto"/>
          </w:tcPr>
          <w:p w14:paraId="715ADCD6" w14:textId="77777777" w:rsidR="003F4D68" w:rsidRPr="002D2F67" w:rsidRDefault="003F4D68" w:rsidP="005611FE">
            <w:pPr>
              <w:pStyle w:val="BodyTextIndent2"/>
              <w:spacing w:line="240" w:lineRule="auto"/>
              <w:ind w:left="0" w:right="-72"/>
              <w:jc w:val="right"/>
              <w:rPr>
                <w:rFonts w:ascii="Arial" w:hAnsi="Arial" w:cs="Arial"/>
              </w:rPr>
            </w:pPr>
          </w:p>
        </w:tc>
        <w:tc>
          <w:tcPr>
            <w:tcW w:w="1440" w:type="dxa"/>
            <w:tcBorders>
              <w:top w:val="single" w:sz="4" w:space="0" w:color="auto"/>
            </w:tcBorders>
            <w:shd w:val="clear" w:color="auto" w:fill="auto"/>
          </w:tcPr>
          <w:p w14:paraId="45D6EE36" w14:textId="77777777" w:rsidR="003F4D68" w:rsidRPr="002D2F67" w:rsidRDefault="003F4D68" w:rsidP="005611FE">
            <w:pPr>
              <w:pStyle w:val="BodyTextIndent2"/>
              <w:spacing w:line="240" w:lineRule="auto"/>
              <w:ind w:left="0" w:right="-72"/>
              <w:jc w:val="right"/>
              <w:rPr>
                <w:rFonts w:ascii="Arial" w:hAnsi="Arial" w:cs="Arial"/>
              </w:rPr>
            </w:pPr>
          </w:p>
        </w:tc>
        <w:tc>
          <w:tcPr>
            <w:tcW w:w="1440" w:type="dxa"/>
            <w:tcBorders>
              <w:top w:val="single" w:sz="4" w:space="0" w:color="auto"/>
            </w:tcBorders>
            <w:shd w:val="clear" w:color="auto" w:fill="auto"/>
          </w:tcPr>
          <w:p w14:paraId="617D59D1" w14:textId="77777777" w:rsidR="003F4D68" w:rsidRPr="002D2F67" w:rsidRDefault="003F4D68" w:rsidP="005611FE">
            <w:pPr>
              <w:pStyle w:val="BodyTextIndent2"/>
              <w:spacing w:line="240" w:lineRule="auto"/>
              <w:ind w:left="0" w:right="-72"/>
              <w:jc w:val="right"/>
              <w:rPr>
                <w:rFonts w:ascii="Arial" w:hAnsi="Arial" w:cs="Arial"/>
              </w:rPr>
            </w:pPr>
          </w:p>
        </w:tc>
      </w:tr>
      <w:tr w:rsidR="003F4D68" w:rsidRPr="002D2F67" w14:paraId="021C86A3" w14:textId="77777777" w:rsidTr="005611FE">
        <w:trPr>
          <w:cantSplit/>
        </w:trPr>
        <w:tc>
          <w:tcPr>
            <w:tcW w:w="3690" w:type="dxa"/>
            <w:shd w:val="clear" w:color="auto" w:fill="auto"/>
          </w:tcPr>
          <w:p w14:paraId="4AFC476E" w14:textId="77777777" w:rsidR="003F4D68" w:rsidRPr="002D2F67" w:rsidRDefault="003F4D68" w:rsidP="005611FE">
            <w:pPr>
              <w:pStyle w:val="BodyTextIndent2"/>
              <w:spacing w:line="240" w:lineRule="auto"/>
              <w:ind w:left="-108" w:right="-72"/>
              <w:jc w:val="left"/>
              <w:rPr>
                <w:rFonts w:ascii="Arial" w:hAnsi="Arial" w:cs="Arial"/>
              </w:rPr>
            </w:pPr>
          </w:p>
        </w:tc>
        <w:tc>
          <w:tcPr>
            <w:tcW w:w="1440" w:type="dxa"/>
            <w:shd w:val="clear" w:color="auto" w:fill="auto"/>
          </w:tcPr>
          <w:p w14:paraId="4B4D340E" w14:textId="0E903E71"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7</w:t>
            </w:r>
            <w:r w:rsidR="00674D4F" w:rsidRPr="002D2F67">
              <w:rPr>
                <w:rFonts w:ascii="Arial" w:hAnsi="Arial" w:cs="Arial"/>
              </w:rPr>
              <w:t>,</w:t>
            </w:r>
            <w:r w:rsidRPr="00CD5714">
              <w:rPr>
                <w:rFonts w:ascii="Arial" w:hAnsi="Arial" w:cs="Arial"/>
                <w:lang w:val="en-GB"/>
              </w:rPr>
              <w:t>835</w:t>
            </w:r>
            <w:r w:rsidR="00674D4F" w:rsidRPr="002D2F67">
              <w:rPr>
                <w:rFonts w:ascii="Arial" w:hAnsi="Arial" w:cs="Arial"/>
              </w:rPr>
              <w:t>,</w:t>
            </w:r>
            <w:r w:rsidRPr="00CD5714">
              <w:rPr>
                <w:rFonts w:ascii="Arial" w:hAnsi="Arial" w:cs="Arial"/>
                <w:lang w:val="en-GB"/>
              </w:rPr>
              <w:t>117</w:t>
            </w:r>
          </w:p>
        </w:tc>
        <w:tc>
          <w:tcPr>
            <w:tcW w:w="1440" w:type="dxa"/>
            <w:shd w:val="clear" w:color="auto" w:fill="auto"/>
          </w:tcPr>
          <w:p w14:paraId="6BD2E8E8" w14:textId="08EC40BF"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7</w:t>
            </w:r>
            <w:r w:rsidR="003F4D68" w:rsidRPr="002D2F67">
              <w:rPr>
                <w:rFonts w:ascii="Arial" w:hAnsi="Arial" w:cs="Arial"/>
              </w:rPr>
              <w:t>,</w:t>
            </w:r>
            <w:r w:rsidRPr="00CD5714">
              <w:rPr>
                <w:rFonts w:ascii="Arial" w:hAnsi="Arial" w:cs="Arial"/>
                <w:lang w:val="en-GB"/>
              </w:rPr>
              <w:t>478</w:t>
            </w:r>
            <w:r w:rsidR="003F4D68" w:rsidRPr="002D2F67">
              <w:rPr>
                <w:rFonts w:ascii="Arial" w:hAnsi="Arial" w:cs="Arial"/>
              </w:rPr>
              <w:t>,</w:t>
            </w:r>
            <w:r w:rsidRPr="00CD5714">
              <w:rPr>
                <w:rFonts w:ascii="Arial" w:hAnsi="Arial" w:cs="Arial"/>
                <w:lang w:val="en-GB"/>
              </w:rPr>
              <w:t>140</w:t>
            </w:r>
          </w:p>
        </w:tc>
        <w:tc>
          <w:tcPr>
            <w:tcW w:w="1440" w:type="dxa"/>
            <w:shd w:val="clear" w:color="auto" w:fill="auto"/>
          </w:tcPr>
          <w:p w14:paraId="153DF4BC" w14:textId="2F8C9530"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229</w:t>
            </w:r>
            <w:r w:rsidR="006678C9" w:rsidRPr="002D2F67">
              <w:rPr>
                <w:rFonts w:ascii="Arial" w:hAnsi="Arial" w:cs="Arial"/>
              </w:rPr>
              <w:t>,</w:t>
            </w:r>
            <w:r w:rsidRPr="00CD5714">
              <w:rPr>
                <w:rFonts w:ascii="Arial" w:hAnsi="Arial" w:cs="Arial"/>
                <w:lang w:val="en-GB"/>
              </w:rPr>
              <w:t>061</w:t>
            </w:r>
          </w:p>
        </w:tc>
        <w:tc>
          <w:tcPr>
            <w:tcW w:w="1440" w:type="dxa"/>
            <w:shd w:val="clear" w:color="auto" w:fill="auto"/>
          </w:tcPr>
          <w:p w14:paraId="04E28BDE" w14:textId="289BB2DF"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236</w:t>
            </w:r>
            <w:r w:rsidR="003F4D68" w:rsidRPr="002D2F67">
              <w:rPr>
                <w:rFonts w:ascii="Arial" w:hAnsi="Arial" w:cs="Arial"/>
              </w:rPr>
              <w:t>,</w:t>
            </w:r>
            <w:r w:rsidRPr="00CD5714">
              <w:rPr>
                <w:rFonts w:ascii="Arial" w:hAnsi="Arial" w:cs="Arial"/>
                <w:lang w:val="en-GB"/>
              </w:rPr>
              <w:t>104</w:t>
            </w:r>
          </w:p>
        </w:tc>
      </w:tr>
      <w:tr w:rsidR="003F4D68" w:rsidRPr="002D2F67" w14:paraId="02B40DA1" w14:textId="77777777" w:rsidTr="005611FE">
        <w:trPr>
          <w:cantSplit/>
        </w:trPr>
        <w:tc>
          <w:tcPr>
            <w:tcW w:w="3690" w:type="dxa"/>
            <w:shd w:val="clear" w:color="auto" w:fill="auto"/>
          </w:tcPr>
          <w:p w14:paraId="11DE564A" w14:textId="77777777" w:rsidR="003F4D68" w:rsidRPr="002D2F67" w:rsidRDefault="003F4D68" w:rsidP="005611FE">
            <w:pPr>
              <w:pStyle w:val="BodyTextIndent2"/>
              <w:tabs>
                <w:tab w:val="left" w:pos="427"/>
              </w:tabs>
              <w:spacing w:line="240" w:lineRule="auto"/>
              <w:ind w:left="-108"/>
              <w:rPr>
                <w:rFonts w:ascii="Arial" w:hAnsi="Arial" w:cs="Arial"/>
              </w:rPr>
            </w:pPr>
            <w:r w:rsidRPr="002D2F67">
              <w:rPr>
                <w:rFonts w:ascii="Arial" w:hAnsi="Arial" w:cs="Arial"/>
                <w:u w:val="single"/>
              </w:rPr>
              <w:t>Less</w:t>
            </w:r>
            <w:r w:rsidRPr="002D2F67">
              <w:rPr>
                <w:rFonts w:ascii="Arial" w:hAnsi="Arial" w:cs="Arial"/>
              </w:rPr>
              <w:tab/>
              <w:t xml:space="preserve">Allowance for decrease in value </w:t>
            </w:r>
          </w:p>
        </w:tc>
        <w:tc>
          <w:tcPr>
            <w:tcW w:w="1440" w:type="dxa"/>
            <w:shd w:val="clear" w:color="auto" w:fill="auto"/>
          </w:tcPr>
          <w:p w14:paraId="19A10C2F" w14:textId="53E4AAB5" w:rsidR="003F4D68" w:rsidRPr="002D2F67" w:rsidRDefault="003F4D68" w:rsidP="005611FE">
            <w:pPr>
              <w:pStyle w:val="BodyTextIndent2"/>
              <w:spacing w:line="240" w:lineRule="auto"/>
              <w:ind w:left="0" w:right="-72"/>
              <w:jc w:val="right"/>
              <w:rPr>
                <w:rFonts w:ascii="Arial" w:hAnsi="Arial" w:cs="Arial"/>
              </w:rPr>
            </w:pPr>
          </w:p>
        </w:tc>
        <w:tc>
          <w:tcPr>
            <w:tcW w:w="1440" w:type="dxa"/>
            <w:shd w:val="clear" w:color="auto" w:fill="auto"/>
          </w:tcPr>
          <w:p w14:paraId="525D1C7F" w14:textId="4CA43DD3" w:rsidR="003F4D68" w:rsidRPr="002D2F67" w:rsidRDefault="003F4D68" w:rsidP="005611FE">
            <w:pPr>
              <w:pStyle w:val="BodyTextIndent2"/>
              <w:spacing w:line="240" w:lineRule="auto"/>
              <w:ind w:left="0" w:right="-72"/>
              <w:jc w:val="right"/>
              <w:rPr>
                <w:rFonts w:ascii="Arial" w:hAnsi="Arial" w:cs="Arial"/>
              </w:rPr>
            </w:pPr>
          </w:p>
        </w:tc>
        <w:tc>
          <w:tcPr>
            <w:tcW w:w="1440" w:type="dxa"/>
            <w:shd w:val="clear" w:color="auto" w:fill="auto"/>
          </w:tcPr>
          <w:p w14:paraId="591B2188" w14:textId="19B194C0" w:rsidR="003F4D68" w:rsidRPr="002D2F67" w:rsidRDefault="003F4D68" w:rsidP="005611FE">
            <w:pPr>
              <w:pStyle w:val="BodyTextIndent2"/>
              <w:spacing w:line="240" w:lineRule="auto"/>
              <w:ind w:left="0" w:right="-72"/>
              <w:jc w:val="right"/>
              <w:rPr>
                <w:rFonts w:ascii="Arial" w:hAnsi="Arial" w:cs="Arial"/>
              </w:rPr>
            </w:pPr>
          </w:p>
        </w:tc>
        <w:tc>
          <w:tcPr>
            <w:tcW w:w="1440" w:type="dxa"/>
            <w:shd w:val="clear" w:color="auto" w:fill="auto"/>
          </w:tcPr>
          <w:p w14:paraId="00E23FBE" w14:textId="79144540" w:rsidR="003F4D68" w:rsidRPr="002D2F67" w:rsidRDefault="003F4D68" w:rsidP="005611FE">
            <w:pPr>
              <w:pStyle w:val="BodyTextIndent2"/>
              <w:spacing w:line="240" w:lineRule="auto"/>
              <w:ind w:left="0" w:right="-72"/>
              <w:jc w:val="right"/>
              <w:rPr>
                <w:rFonts w:ascii="Arial" w:hAnsi="Arial" w:cs="Arial"/>
              </w:rPr>
            </w:pPr>
          </w:p>
        </w:tc>
      </w:tr>
      <w:tr w:rsidR="003F4D68" w:rsidRPr="002D2F67" w14:paraId="0B0CE508" w14:textId="77777777" w:rsidTr="005611FE">
        <w:trPr>
          <w:cantSplit/>
        </w:trPr>
        <w:tc>
          <w:tcPr>
            <w:tcW w:w="3690" w:type="dxa"/>
            <w:shd w:val="clear" w:color="auto" w:fill="auto"/>
          </w:tcPr>
          <w:p w14:paraId="507B9668" w14:textId="33104F3F" w:rsidR="003F4D68" w:rsidRPr="002D2F67" w:rsidRDefault="003F4D68" w:rsidP="005611FE">
            <w:pPr>
              <w:pStyle w:val="BodyTextIndent2"/>
              <w:tabs>
                <w:tab w:val="left" w:pos="427"/>
              </w:tabs>
              <w:spacing w:line="240" w:lineRule="auto"/>
              <w:ind w:left="-108"/>
              <w:jc w:val="left"/>
              <w:rPr>
                <w:rFonts w:ascii="Arial" w:hAnsi="Arial" w:cs="Arial"/>
              </w:rPr>
            </w:pPr>
            <w:r w:rsidRPr="002D2F67">
              <w:rPr>
                <w:rFonts w:ascii="Arial" w:hAnsi="Arial" w:cs="Arial"/>
              </w:rPr>
              <w:tab/>
              <w:t xml:space="preserve">   of </w:t>
            </w:r>
            <w:r w:rsidR="00AA6C5E" w:rsidRPr="002D2F67">
              <w:rPr>
                <w:rFonts w:ascii="Arial" w:hAnsi="Arial" w:cs="Arial"/>
              </w:rPr>
              <w:t>inventories</w:t>
            </w:r>
          </w:p>
        </w:tc>
        <w:tc>
          <w:tcPr>
            <w:tcW w:w="1440" w:type="dxa"/>
            <w:shd w:val="clear" w:color="auto" w:fill="auto"/>
          </w:tcPr>
          <w:p w14:paraId="3045EC9C" w14:textId="508599B6" w:rsidR="003F4D68" w:rsidRPr="002D2F67" w:rsidRDefault="00DF6305" w:rsidP="005611FE">
            <w:pPr>
              <w:pStyle w:val="BodyTextIndent2"/>
              <w:spacing w:line="240" w:lineRule="auto"/>
              <w:ind w:left="0" w:right="-72"/>
              <w:jc w:val="right"/>
              <w:rPr>
                <w:rFonts w:ascii="Arial" w:hAnsi="Arial" w:cs="Arial"/>
              </w:rPr>
            </w:pPr>
            <w:r w:rsidRPr="002D2F67">
              <w:rPr>
                <w:rFonts w:ascii="Arial" w:hAnsi="Arial" w:cs="Arial"/>
              </w:rPr>
              <w:t>(</w:t>
            </w:r>
            <w:r w:rsidR="00CD5714" w:rsidRPr="00CD5714">
              <w:rPr>
                <w:rFonts w:ascii="Arial" w:hAnsi="Arial" w:cs="Arial"/>
                <w:lang w:val="en-GB"/>
              </w:rPr>
              <w:t>3</w:t>
            </w:r>
            <w:r w:rsidRPr="002D2F67">
              <w:rPr>
                <w:rFonts w:ascii="Arial" w:hAnsi="Arial" w:cs="Arial"/>
              </w:rPr>
              <w:t>,</w:t>
            </w:r>
            <w:r w:rsidR="00CD5714" w:rsidRPr="00CD5714">
              <w:rPr>
                <w:rFonts w:ascii="Arial" w:hAnsi="Arial" w:cs="Arial"/>
                <w:lang w:val="en-GB"/>
              </w:rPr>
              <w:t>56</w:t>
            </w:r>
            <w:r w:rsidR="00CD5714" w:rsidRPr="00CD5714">
              <w:rPr>
                <w:rFonts w:ascii="Arial" w:hAnsi="Arial" w:cs="Arial"/>
                <w:szCs w:val="25"/>
                <w:lang w:val="en-GB"/>
              </w:rPr>
              <w:t>6</w:t>
            </w:r>
            <w:r w:rsidRPr="002D2F67">
              <w:rPr>
                <w:rFonts w:ascii="Arial" w:hAnsi="Arial" w:cs="Arial"/>
              </w:rPr>
              <w:t>,</w:t>
            </w:r>
            <w:r w:rsidR="00CD5714" w:rsidRPr="00CD5714">
              <w:rPr>
                <w:rFonts w:ascii="Arial" w:hAnsi="Arial" w:cs="Arial"/>
                <w:lang w:val="en-GB"/>
              </w:rPr>
              <w:t>730</w:t>
            </w:r>
            <w:r w:rsidRPr="002D2F67">
              <w:rPr>
                <w:rFonts w:ascii="Arial" w:hAnsi="Arial" w:cs="Arial"/>
              </w:rPr>
              <w:t>)</w:t>
            </w:r>
          </w:p>
        </w:tc>
        <w:tc>
          <w:tcPr>
            <w:tcW w:w="1440" w:type="dxa"/>
            <w:shd w:val="clear" w:color="auto" w:fill="auto"/>
          </w:tcPr>
          <w:p w14:paraId="0592D938" w14:textId="324FD4E7" w:rsidR="003F4D68" w:rsidRPr="002D2F67" w:rsidRDefault="005E611F" w:rsidP="005611FE">
            <w:pPr>
              <w:pStyle w:val="BodyTextIndent2"/>
              <w:spacing w:line="240" w:lineRule="auto"/>
              <w:ind w:left="0" w:right="-72"/>
              <w:jc w:val="right"/>
              <w:rPr>
                <w:rFonts w:ascii="Arial" w:hAnsi="Arial" w:cs="Arial"/>
              </w:rPr>
            </w:pPr>
            <w:r w:rsidRPr="002D2F67">
              <w:rPr>
                <w:rFonts w:ascii="Arial" w:hAnsi="Arial" w:cs="Arial"/>
              </w:rPr>
              <w:t>(</w:t>
            </w:r>
            <w:r w:rsidR="00CD5714" w:rsidRPr="00CD5714">
              <w:rPr>
                <w:rFonts w:ascii="Arial" w:hAnsi="Arial" w:cs="Arial"/>
                <w:lang w:val="en-GB"/>
              </w:rPr>
              <w:t>65</w:t>
            </w:r>
            <w:r w:rsidRPr="002D2F67">
              <w:rPr>
                <w:rFonts w:ascii="Arial" w:hAnsi="Arial" w:cs="Arial"/>
              </w:rPr>
              <w:t>,</w:t>
            </w:r>
            <w:r w:rsidR="00CD5714" w:rsidRPr="00CD5714">
              <w:rPr>
                <w:rFonts w:ascii="Arial" w:hAnsi="Arial" w:cs="Arial"/>
                <w:lang w:val="en-GB"/>
              </w:rPr>
              <w:t>956</w:t>
            </w:r>
            <w:r w:rsidRPr="002D2F67">
              <w:rPr>
                <w:rFonts w:ascii="Arial" w:hAnsi="Arial" w:cs="Arial"/>
              </w:rPr>
              <w:t>)</w:t>
            </w:r>
          </w:p>
        </w:tc>
        <w:tc>
          <w:tcPr>
            <w:tcW w:w="1440" w:type="dxa"/>
            <w:shd w:val="clear" w:color="auto" w:fill="auto"/>
          </w:tcPr>
          <w:p w14:paraId="6DA3E3D3" w14:textId="5DFB4B52" w:rsidR="003F4D68" w:rsidRPr="002D2F67" w:rsidRDefault="006678C9" w:rsidP="005611FE">
            <w:pPr>
              <w:pStyle w:val="BodyTextIndent2"/>
              <w:spacing w:line="240" w:lineRule="auto"/>
              <w:ind w:left="0" w:right="-72"/>
              <w:jc w:val="right"/>
              <w:rPr>
                <w:rFonts w:ascii="Arial" w:hAnsi="Arial" w:cs="Arial"/>
              </w:rPr>
            </w:pPr>
            <w:r w:rsidRPr="002D2F67">
              <w:rPr>
                <w:rFonts w:ascii="Arial" w:hAnsi="Arial" w:cs="Arial"/>
              </w:rPr>
              <w:t>(</w:t>
            </w:r>
            <w:r w:rsidR="00CD5714" w:rsidRPr="00CD5714">
              <w:rPr>
                <w:rFonts w:ascii="Arial" w:hAnsi="Arial" w:cs="Arial"/>
                <w:lang w:val="en-GB"/>
              </w:rPr>
              <w:t>1</w:t>
            </w:r>
            <w:r w:rsidRPr="002D2F67">
              <w:rPr>
                <w:rFonts w:ascii="Arial" w:hAnsi="Arial" w:cs="Arial"/>
              </w:rPr>
              <w:t>,</w:t>
            </w:r>
            <w:r w:rsidR="00CD5714" w:rsidRPr="00CD5714">
              <w:rPr>
                <w:rFonts w:ascii="Arial" w:hAnsi="Arial" w:cs="Arial"/>
                <w:lang w:val="en-GB"/>
              </w:rPr>
              <w:t>540</w:t>
            </w:r>
            <w:r w:rsidRPr="002D2F67">
              <w:rPr>
                <w:rFonts w:ascii="Arial" w:hAnsi="Arial" w:cs="Arial"/>
              </w:rPr>
              <w:t>)</w:t>
            </w:r>
          </w:p>
        </w:tc>
        <w:tc>
          <w:tcPr>
            <w:tcW w:w="1440" w:type="dxa"/>
            <w:shd w:val="clear" w:color="auto" w:fill="auto"/>
          </w:tcPr>
          <w:p w14:paraId="4368157B" w14:textId="21CB7A5F" w:rsidR="003F4D68" w:rsidRPr="002D2F67" w:rsidRDefault="00257973" w:rsidP="005611FE">
            <w:pPr>
              <w:pStyle w:val="BodyTextIndent2"/>
              <w:spacing w:line="240" w:lineRule="auto"/>
              <w:ind w:left="0" w:right="-72"/>
              <w:jc w:val="right"/>
              <w:rPr>
                <w:rFonts w:ascii="Arial" w:hAnsi="Arial" w:cs="Arial"/>
              </w:rPr>
            </w:pPr>
            <w:r w:rsidRPr="002D2F67">
              <w:rPr>
                <w:rFonts w:ascii="Arial" w:hAnsi="Arial" w:cs="Arial"/>
              </w:rPr>
              <w:t>(</w:t>
            </w:r>
            <w:r w:rsidR="00CD5714" w:rsidRPr="00CD5714">
              <w:rPr>
                <w:rFonts w:ascii="Arial" w:hAnsi="Arial" w:cs="Arial"/>
                <w:lang w:val="en-GB"/>
              </w:rPr>
              <w:t>1</w:t>
            </w:r>
            <w:r w:rsidRPr="002D2F67">
              <w:rPr>
                <w:rFonts w:ascii="Arial" w:hAnsi="Arial" w:cs="Arial"/>
              </w:rPr>
              <w:t>,</w:t>
            </w:r>
            <w:r w:rsidR="00CD5714" w:rsidRPr="00CD5714">
              <w:rPr>
                <w:rFonts w:ascii="Arial" w:hAnsi="Arial" w:cs="Arial"/>
                <w:lang w:val="en-GB"/>
              </w:rPr>
              <w:t>994</w:t>
            </w:r>
            <w:r w:rsidRPr="002D2F67">
              <w:rPr>
                <w:rFonts w:ascii="Arial" w:hAnsi="Arial" w:cs="Arial"/>
              </w:rPr>
              <w:t>)</w:t>
            </w:r>
          </w:p>
        </w:tc>
      </w:tr>
      <w:tr w:rsidR="003F4D68" w:rsidRPr="002D2F67" w14:paraId="3547219A" w14:textId="77777777" w:rsidTr="005611FE">
        <w:trPr>
          <w:cantSplit/>
          <w:trHeight w:val="70"/>
        </w:trPr>
        <w:tc>
          <w:tcPr>
            <w:tcW w:w="3690" w:type="dxa"/>
            <w:shd w:val="clear" w:color="auto" w:fill="auto"/>
          </w:tcPr>
          <w:p w14:paraId="18EC2432" w14:textId="77777777" w:rsidR="003F4D68" w:rsidRPr="002D2F67" w:rsidRDefault="003F4D68" w:rsidP="005611FE">
            <w:pPr>
              <w:pStyle w:val="BodyTextIndent2"/>
              <w:spacing w:line="240" w:lineRule="auto"/>
              <w:ind w:left="-108" w:right="-72"/>
              <w:jc w:val="left"/>
              <w:rPr>
                <w:rFonts w:ascii="Arial" w:hAnsi="Arial" w:cs="Arial"/>
              </w:rPr>
            </w:pPr>
          </w:p>
        </w:tc>
        <w:tc>
          <w:tcPr>
            <w:tcW w:w="1440" w:type="dxa"/>
            <w:tcBorders>
              <w:top w:val="single" w:sz="4" w:space="0" w:color="auto"/>
            </w:tcBorders>
            <w:shd w:val="clear" w:color="auto" w:fill="auto"/>
          </w:tcPr>
          <w:p w14:paraId="36354710" w14:textId="77777777" w:rsidR="003F4D68" w:rsidRPr="002D2F67" w:rsidRDefault="003F4D68" w:rsidP="005446A2">
            <w:pPr>
              <w:pStyle w:val="BodyTextIndent2"/>
              <w:spacing w:line="240" w:lineRule="auto"/>
              <w:ind w:left="0" w:right="-72"/>
              <w:jc w:val="center"/>
              <w:rPr>
                <w:rFonts w:ascii="Arial" w:hAnsi="Arial" w:cs="Arial"/>
              </w:rPr>
            </w:pPr>
          </w:p>
        </w:tc>
        <w:tc>
          <w:tcPr>
            <w:tcW w:w="1440" w:type="dxa"/>
            <w:tcBorders>
              <w:top w:val="single" w:sz="4" w:space="0" w:color="auto"/>
            </w:tcBorders>
            <w:shd w:val="clear" w:color="auto" w:fill="auto"/>
          </w:tcPr>
          <w:p w14:paraId="34F413CB" w14:textId="77777777" w:rsidR="003F4D68" w:rsidRPr="002D2F67" w:rsidRDefault="003F4D68" w:rsidP="005611FE">
            <w:pPr>
              <w:pStyle w:val="BodyTextIndent2"/>
              <w:spacing w:line="240" w:lineRule="auto"/>
              <w:ind w:left="0" w:right="-72"/>
              <w:jc w:val="right"/>
              <w:rPr>
                <w:rFonts w:ascii="Arial" w:hAnsi="Arial" w:cs="Arial"/>
              </w:rPr>
            </w:pPr>
          </w:p>
        </w:tc>
        <w:tc>
          <w:tcPr>
            <w:tcW w:w="1440" w:type="dxa"/>
            <w:tcBorders>
              <w:top w:val="single" w:sz="4" w:space="0" w:color="auto"/>
            </w:tcBorders>
            <w:shd w:val="clear" w:color="auto" w:fill="auto"/>
          </w:tcPr>
          <w:p w14:paraId="12A82A91" w14:textId="77777777" w:rsidR="003F4D68" w:rsidRPr="002D2F67" w:rsidRDefault="003F4D68" w:rsidP="005611FE">
            <w:pPr>
              <w:pStyle w:val="BodyTextIndent2"/>
              <w:spacing w:line="240" w:lineRule="auto"/>
              <w:ind w:left="0" w:right="-72"/>
              <w:jc w:val="right"/>
              <w:rPr>
                <w:rFonts w:ascii="Arial" w:hAnsi="Arial" w:cs="Arial"/>
              </w:rPr>
            </w:pPr>
          </w:p>
        </w:tc>
        <w:tc>
          <w:tcPr>
            <w:tcW w:w="1440" w:type="dxa"/>
            <w:tcBorders>
              <w:top w:val="single" w:sz="4" w:space="0" w:color="auto"/>
            </w:tcBorders>
            <w:shd w:val="clear" w:color="auto" w:fill="auto"/>
          </w:tcPr>
          <w:p w14:paraId="5875ABA8" w14:textId="77777777" w:rsidR="003F4D68" w:rsidRPr="002D2F67" w:rsidRDefault="003F4D68" w:rsidP="005611FE">
            <w:pPr>
              <w:pStyle w:val="BodyTextIndent2"/>
              <w:spacing w:line="240" w:lineRule="auto"/>
              <w:ind w:left="0" w:right="-72"/>
              <w:jc w:val="right"/>
              <w:rPr>
                <w:rFonts w:ascii="Arial" w:hAnsi="Arial" w:cs="Arial"/>
              </w:rPr>
            </w:pPr>
          </w:p>
        </w:tc>
      </w:tr>
      <w:tr w:rsidR="003F4D68" w:rsidRPr="002D2F67" w14:paraId="27C72238" w14:textId="77777777" w:rsidTr="005611FE">
        <w:trPr>
          <w:cantSplit/>
        </w:trPr>
        <w:tc>
          <w:tcPr>
            <w:tcW w:w="3690" w:type="dxa"/>
            <w:shd w:val="clear" w:color="auto" w:fill="auto"/>
          </w:tcPr>
          <w:p w14:paraId="04E0D50F" w14:textId="77777777" w:rsidR="003F4D68" w:rsidRPr="002D2F67" w:rsidRDefault="003F4D68" w:rsidP="005611FE">
            <w:pPr>
              <w:pStyle w:val="BodyTextIndent2"/>
              <w:spacing w:line="240" w:lineRule="auto"/>
              <w:ind w:left="-108"/>
              <w:rPr>
                <w:rFonts w:ascii="Arial" w:hAnsi="Arial" w:cs="Arial"/>
              </w:rPr>
            </w:pPr>
            <w:r w:rsidRPr="002D2F67">
              <w:rPr>
                <w:rFonts w:ascii="Arial" w:hAnsi="Arial" w:cs="Arial"/>
              </w:rPr>
              <w:t>Total inventories, net</w:t>
            </w:r>
          </w:p>
        </w:tc>
        <w:tc>
          <w:tcPr>
            <w:tcW w:w="1440" w:type="dxa"/>
            <w:tcBorders>
              <w:bottom w:val="single" w:sz="4" w:space="0" w:color="auto"/>
            </w:tcBorders>
            <w:shd w:val="clear" w:color="auto" w:fill="auto"/>
          </w:tcPr>
          <w:p w14:paraId="405A5832" w14:textId="01384FB1" w:rsidR="003F4D68" w:rsidRPr="002D2F67" w:rsidRDefault="00CD5714" w:rsidP="005611FE">
            <w:pPr>
              <w:pStyle w:val="BodyTextIndent2"/>
              <w:spacing w:line="240" w:lineRule="auto"/>
              <w:ind w:left="0" w:right="-72"/>
              <w:jc w:val="right"/>
              <w:rPr>
                <w:rFonts w:ascii="Arial" w:hAnsi="Arial" w:cs="Arial"/>
                <w:cs/>
              </w:rPr>
            </w:pPr>
            <w:r w:rsidRPr="00CD5714">
              <w:rPr>
                <w:rFonts w:ascii="Arial" w:hAnsi="Arial" w:cs="Arial"/>
                <w:lang w:val="en-GB"/>
              </w:rPr>
              <w:t>4</w:t>
            </w:r>
            <w:r w:rsidR="00B12975" w:rsidRPr="002D2F67">
              <w:rPr>
                <w:rFonts w:ascii="Arial" w:hAnsi="Arial" w:cs="Arial"/>
              </w:rPr>
              <w:t>,</w:t>
            </w:r>
            <w:r w:rsidRPr="00CD5714">
              <w:rPr>
                <w:rFonts w:ascii="Arial" w:hAnsi="Arial" w:cs="Arial"/>
                <w:lang w:val="en-GB"/>
              </w:rPr>
              <w:t>268</w:t>
            </w:r>
            <w:r w:rsidR="00B12975" w:rsidRPr="002D2F67">
              <w:rPr>
                <w:rFonts w:ascii="Arial" w:hAnsi="Arial" w:cs="Arial"/>
              </w:rPr>
              <w:t>,</w:t>
            </w:r>
            <w:r w:rsidRPr="00CD5714">
              <w:rPr>
                <w:rFonts w:ascii="Arial" w:hAnsi="Arial" w:cs="Arial"/>
                <w:lang w:val="en-GB"/>
              </w:rPr>
              <w:t>387</w:t>
            </w:r>
          </w:p>
        </w:tc>
        <w:tc>
          <w:tcPr>
            <w:tcW w:w="1440" w:type="dxa"/>
            <w:tcBorders>
              <w:bottom w:val="single" w:sz="4" w:space="0" w:color="auto"/>
            </w:tcBorders>
            <w:shd w:val="clear" w:color="auto" w:fill="auto"/>
          </w:tcPr>
          <w:p w14:paraId="64F65565" w14:textId="415B57A2"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7</w:t>
            </w:r>
            <w:r w:rsidR="003F4D68" w:rsidRPr="002D2F67">
              <w:rPr>
                <w:rFonts w:ascii="Arial" w:hAnsi="Arial" w:cs="Arial"/>
              </w:rPr>
              <w:t>,</w:t>
            </w:r>
            <w:r w:rsidRPr="00CD5714">
              <w:rPr>
                <w:rFonts w:ascii="Arial" w:hAnsi="Arial" w:cs="Arial"/>
                <w:lang w:val="en-GB"/>
              </w:rPr>
              <w:t>412</w:t>
            </w:r>
            <w:r w:rsidR="003F4D68" w:rsidRPr="002D2F67">
              <w:rPr>
                <w:rFonts w:ascii="Arial" w:hAnsi="Arial" w:cs="Arial"/>
              </w:rPr>
              <w:t>,</w:t>
            </w:r>
            <w:r w:rsidRPr="00CD5714">
              <w:rPr>
                <w:rFonts w:ascii="Arial" w:hAnsi="Arial" w:cs="Arial"/>
                <w:lang w:val="en-GB"/>
              </w:rPr>
              <w:t>184</w:t>
            </w:r>
          </w:p>
        </w:tc>
        <w:tc>
          <w:tcPr>
            <w:tcW w:w="1440" w:type="dxa"/>
            <w:tcBorders>
              <w:bottom w:val="single" w:sz="4" w:space="0" w:color="auto"/>
            </w:tcBorders>
            <w:shd w:val="clear" w:color="auto" w:fill="auto"/>
          </w:tcPr>
          <w:p w14:paraId="5936FEB9" w14:textId="18279588"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227</w:t>
            </w:r>
            <w:r w:rsidR="006678C9" w:rsidRPr="002D2F67">
              <w:rPr>
                <w:rFonts w:ascii="Arial" w:hAnsi="Arial" w:cs="Arial"/>
              </w:rPr>
              <w:t>,</w:t>
            </w:r>
            <w:r w:rsidRPr="00CD5714">
              <w:rPr>
                <w:rFonts w:ascii="Arial" w:hAnsi="Arial" w:cs="Arial"/>
                <w:lang w:val="en-GB"/>
              </w:rPr>
              <w:t>521</w:t>
            </w:r>
          </w:p>
        </w:tc>
        <w:tc>
          <w:tcPr>
            <w:tcW w:w="1440" w:type="dxa"/>
            <w:tcBorders>
              <w:bottom w:val="single" w:sz="4" w:space="0" w:color="auto"/>
            </w:tcBorders>
            <w:shd w:val="clear" w:color="auto" w:fill="auto"/>
          </w:tcPr>
          <w:p w14:paraId="2DD6E2CA" w14:textId="693E9F4A" w:rsidR="003F4D68" w:rsidRPr="002D2F67" w:rsidRDefault="00CD5714" w:rsidP="005611FE">
            <w:pPr>
              <w:pStyle w:val="BodyTextIndent2"/>
              <w:spacing w:line="240" w:lineRule="auto"/>
              <w:ind w:left="0" w:right="-72"/>
              <w:jc w:val="right"/>
              <w:rPr>
                <w:rFonts w:ascii="Arial" w:hAnsi="Arial" w:cs="Arial"/>
              </w:rPr>
            </w:pPr>
            <w:r w:rsidRPr="00CD5714">
              <w:rPr>
                <w:rFonts w:ascii="Arial" w:hAnsi="Arial" w:cs="Arial"/>
                <w:lang w:val="en-GB"/>
              </w:rPr>
              <w:t>234</w:t>
            </w:r>
            <w:r w:rsidR="003F4D68" w:rsidRPr="002D2F67">
              <w:rPr>
                <w:rFonts w:ascii="Arial" w:hAnsi="Arial" w:cs="Arial"/>
              </w:rPr>
              <w:t>,</w:t>
            </w:r>
            <w:r w:rsidRPr="00CD5714">
              <w:rPr>
                <w:rFonts w:ascii="Arial" w:hAnsi="Arial" w:cs="Arial"/>
                <w:lang w:val="en-GB"/>
              </w:rPr>
              <w:t>110</w:t>
            </w:r>
          </w:p>
        </w:tc>
      </w:tr>
    </w:tbl>
    <w:p w14:paraId="0775EA21" w14:textId="6EF8F58F" w:rsidR="00201C31" w:rsidRPr="002D2F67" w:rsidRDefault="009A4744" w:rsidP="005611FE">
      <w:pPr>
        <w:jc w:val="thaiDistribute"/>
        <w:rPr>
          <w:rFonts w:ascii="Arial" w:hAnsi="Arial" w:cs="Arial"/>
          <w:b/>
          <w:bCs/>
          <w:color w:val="000000"/>
          <w:sz w:val="20"/>
          <w:szCs w:val="20"/>
        </w:rPr>
      </w:pPr>
      <w:r w:rsidRPr="002D2F67">
        <w:rPr>
          <w:rFonts w:ascii="Arial" w:hAnsi="Arial" w:cs="Arial"/>
          <w:b/>
          <w:bCs/>
          <w:color w:val="000000"/>
          <w:sz w:val="20"/>
          <w:szCs w:val="20"/>
          <w:cs/>
        </w:rPr>
        <w:br w:type="page"/>
      </w:r>
    </w:p>
    <w:p w14:paraId="51A3A152" w14:textId="21A4B44F" w:rsidR="00556212"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16</w:t>
      </w:r>
      <w:r w:rsidR="00556212" w:rsidRPr="002D2F67">
        <w:rPr>
          <w:rFonts w:ascii="Arial" w:hAnsi="Arial" w:cs="Arial"/>
          <w:b/>
          <w:bCs/>
          <w:color w:val="000000"/>
          <w:kern w:val="26"/>
          <w:position w:val="-24"/>
          <w:sz w:val="20"/>
          <w:szCs w:val="20"/>
          <w:cs/>
        </w:rPr>
        <w:tab/>
      </w:r>
      <w:r w:rsidR="00556212" w:rsidRPr="002D2F67">
        <w:rPr>
          <w:rFonts w:ascii="Arial" w:hAnsi="Arial" w:cs="Arial"/>
          <w:b/>
          <w:bCs/>
          <w:color w:val="000000"/>
          <w:kern w:val="26"/>
          <w:position w:val="-24"/>
          <w:sz w:val="20"/>
          <w:szCs w:val="20"/>
        </w:rPr>
        <w:t xml:space="preserve">Non-current assets </w:t>
      </w:r>
      <w:r w:rsidR="00EA7E4E" w:rsidRPr="002D2F67">
        <w:rPr>
          <w:rFonts w:ascii="Arial" w:hAnsi="Arial" w:cs="Arial"/>
          <w:b/>
          <w:bCs/>
          <w:color w:val="000000"/>
          <w:kern w:val="26"/>
          <w:position w:val="-24"/>
          <w:sz w:val="20"/>
          <w:szCs w:val="20"/>
        </w:rPr>
        <w:t>held-for-sale</w:t>
      </w:r>
    </w:p>
    <w:p w14:paraId="47D28FEC" w14:textId="77777777" w:rsidR="009A4744" w:rsidRPr="002D2F67" w:rsidRDefault="009A4744" w:rsidP="005611FE">
      <w:pPr>
        <w:jc w:val="thaiDistribute"/>
        <w:rPr>
          <w:rFonts w:ascii="Arial" w:hAnsi="Arial" w:cs="Arial"/>
          <w:b/>
          <w:bCs/>
          <w:color w:val="000000"/>
          <w:sz w:val="20"/>
          <w:szCs w:val="20"/>
        </w:rPr>
      </w:pPr>
    </w:p>
    <w:tbl>
      <w:tblPr>
        <w:tblW w:w="0" w:type="auto"/>
        <w:tblInd w:w="108" w:type="dxa"/>
        <w:tblLook w:val="0000" w:firstRow="0" w:lastRow="0" w:firstColumn="0" w:lastColumn="0" w:noHBand="0" w:noVBand="0"/>
      </w:tblPr>
      <w:tblGrid>
        <w:gridCol w:w="3989"/>
        <w:gridCol w:w="1368"/>
        <w:gridCol w:w="1368"/>
        <w:gridCol w:w="1368"/>
        <w:gridCol w:w="1368"/>
      </w:tblGrid>
      <w:tr w:rsidR="00011072" w:rsidRPr="002D2F67" w14:paraId="1520C79B" w14:textId="77777777" w:rsidTr="008255E8">
        <w:trPr>
          <w:trHeight w:val="57"/>
        </w:trPr>
        <w:tc>
          <w:tcPr>
            <w:tcW w:w="3989" w:type="dxa"/>
            <w:shd w:val="clear" w:color="auto" w:fill="auto"/>
          </w:tcPr>
          <w:p w14:paraId="447937FB" w14:textId="77777777" w:rsidR="00011072" w:rsidRPr="002D2F67" w:rsidRDefault="00011072" w:rsidP="005611FE">
            <w:pPr>
              <w:pStyle w:val="BodyTextIndent2"/>
              <w:spacing w:line="240" w:lineRule="auto"/>
              <w:ind w:left="65"/>
              <w:rPr>
                <w:rFonts w:ascii="Arial" w:hAnsi="Arial" w:cs="Arial"/>
                <w:b/>
                <w:bCs/>
              </w:rPr>
            </w:pPr>
          </w:p>
        </w:tc>
        <w:tc>
          <w:tcPr>
            <w:tcW w:w="2736" w:type="dxa"/>
            <w:gridSpan w:val="2"/>
            <w:tcBorders>
              <w:bottom w:val="single" w:sz="4" w:space="0" w:color="auto"/>
            </w:tcBorders>
            <w:shd w:val="clear" w:color="auto" w:fill="auto"/>
          </w:tcPr>
          <w:p w14:paraId="6D9EC05D" w14:textId="77777777" w:rsidR="00011072" w:rsidRPr="002D2F67" w:rsidRDefault="00011072" w:rsidP="005611FE">
            <w:pPr>
              <w:pStyle w:val="BodyTextIndent2"/>
              <w:spacing w:line="240" w:lineRule="auto"/>
              <w:ind w:left="65" w:right="-85"/>
              <w:jc w:val="right"/>
              <w:rPr>
                <w:rFonts w:ascii="Arial" w:hAnsi="Arial" w:cs="Arial"/>
                <w:b/>
                <w:bCs/>
              </w:rPr>
            </w:pPr>
            <w:r w:rsidRPr="002D2F67">
              <w:rPr>
                <w:rFonts w:ascii="Arial" w:hAnsi="Arial" w:cs="Arial"/>
                <w:b/>
                <w:bCs/>
              </w:rPr>
              <w:t xml:space="preserve">Consolidated </w:t>
            </w:r>
          </w:p>
          <w:p w14:paraId="79656309" w14:textId="7E46B48E" w:rsidR="00011072" w:rsidRPr="002D2F67" w:rsidRDefault="00011072" w:rsidP="005611FE">
            <w:pPr>
              <w:pStyle w:val="BodyTextIndent2"/>
              <w:spacing w:line="240" w:lineRule="auto"/>
              <w:ind w:left="65" w:right="-85"/>
              <w:jc w:val="right"/>
              <w:rPr>
                <w:rFonts w:ascii="Arial" w:hAnsi="Arial" w:cs="Arial"/>
                <w:b/>
                <w:bCs/>
              </w:rPr>
            </w:pPr>
            <w:r w:rsidRPr="002D2F67">
              <w:rPr>
                <w:rFonts w:ascii="Arial" w:hAnsi="Arial" w:cs="Arial"/>
                <w:b/>
                <w:bCs/>
              </w:rPr>
              <w:t>financial statements</w:t>
            </w:r>
          </w:p>
        </w:tc>
        <w:tc>
          <w:tcPr>
            <w:tcW w:w="2736" w:type="dxa"/>
            <w:gridSpan w:val="2"/>
            <w:tcBorders>
              <w:bottom w:val="single" w:sz="4" w:space="0" w:color="auto"/>
            </w:tcBorders>
            <w:shd w:val="clear" w:color="auto" w:fill="auto"/>
          </w:tcPr>
          <w:p w14:paraId="30CCBEED" w14:textId="77777777" w:rsidR="00011072" w:rsidRPr="002D2F67" w:rsidRDefault="00011072" w:rsidP="005611FE">
            <w:pPr>
              <w:pStyle w:val="BodyTextIndent2"/>
              <w:spacing w:line="240" w:lineRule="auto"/>
              <w:ind w:left="65" w:right="-85"/>
              <w:jc w:val="right"/>
              <w:rPr>
                <w:rFonts w:ascii="Arial" w:hAnsi="Arial" w:cs="Arial"/>
                <w:b/>
                <w:bCs/>
              </w:rPr>
            </w:pPr>
            <w:r w:rsidRPr="002D2F67">
              <w:rPr>
                <w:rFonts w:ascii="Arial" w:hAnsi="Arial" w:cs="Arial"/>
                <w:b/>
                <w:bCs/>
              </w:rPr>
              <w:t>Separate</w:t>
            </w:r>
          </w:p>
          <w:p w14:paraId="41953BB8" w14:textId="39C54FDB" w:rsidR="00011072" w:rsidRPr="002D2F67" w:rsidRDefault="00011072" w:rsidP="005611FE">
            <w:pPr>
              <w:pStyle w:val="BodyTextIndent2"/>
              <w:spacing w:line="240" w:lineRule="auto"/>
              <w:ind w:left="65" w:right="-85"/>
              <w:jc w:val="right"/>
              <w:rPr>
                <w:rFonts w:ascii="Arial" w:hAnsi="Arial" w:cs="Arial"/>
                <w:b/>
                <w:bCs/>
              </w:rPr>
            </w:pPr>
            <w:r w:rsidRPr="002D2F67">
              <w:rPr>
                <w:rFonts w:ascii="Arial" w:hAnsi="Arial" w:cs="Arial"/>
                <w:b/>
                <w:bCs/>
              </w:rPr>
              <w:t xml:space="preserve"> financial statements</w:t>
            </w:r>
          </w:p>
        </w:tc>
      </w:tr>
      <w:tr w:rsidR="00011072" w:rsidRPr="002D2F67" w14:paraId="2AB882F1" w14:textId="77777777" w:rsidTr="005611FE">
        <w:trPr>
          <w:trHeight w:val="57"/>
        </w:trPr>
        <w:tc>
          <w:tcPr>
            <w:tcW w:w="3989" w:type="dxa"/>
            <w:shd w:val="clear" w:color="auto" w:fill="auto"/>
          </w:tcPr>
          <w:p w14:paraId="25963CE8" w14:textId="6B5CBBE4" w:rsidR="00011072" w:rsidRPr="002D2F67" w:rsidRDefault="00011072" w:rsidP="005611FE">
            <w:pPr>
              <w:pStyle w:val="BodyTextIndent2"/>
              <w:spacing w:line="240" w:lineRule="auto"/>
              <w:ind w:left="-76"/>
              <w:rPr>
                <w:rFonts w:ascii="Arial" w:hAnsi="Arial" w:cs="Arial"/>
                <w:b/>
                <w:bCs/>
              </w:rPr>
            </w:pPr>
            <w:r w:rsidRPr="002D2F67">
              <w:rPr>
                <w:rFonts w:ascii="Arial" w:hAnsi="Arial" w:cs="Arial"/>
                <w:b/>
                <w:bCs/>
              </w:rPr>
              <w:t xml:space="preserve">As </w:t>
            </w:r>
            <w:proofErr w:type="gramStart"/>
            <w:r w:rsidRPr="002D2F67">
              <w:rPr>
                <w:rFonts w:ascii="Arial" w:hAnsi="Arial" w:cs="Arial"/>
                <w:b/>
                <w:bCs/>
              </w:rPr>
              <w:t>at</w:t>
            </w:r>
            <w:proofErr w:type="gramEnd"/>
            <w:r w:rsidRPr="002D2F67">
              <w:rPr>
                <w:rFonts w:ascii="Arial" w:hAnsi="Arial" w:cs="Arial"/>
                <w:b/>
                <w:bCs/>
              </w:rPr>
              <w:t xml:space="preserve"> </w:t>
            </w:r>
            <w:r w:rsidR="00CD5714" w:rsidRPr="00CD5714">
              <w:rPr>
                <w:rFonts w:ascii="Arial" w:hAnsi="Arial" w:cs="Arial"/>
                <w:b/>
                <w:bCs/>
                <w:lang w:val="en-GB"/>
              </w:rPr>
              <w:t>31</w:t>
            </w:r>
            <w:r w:rsidRPr="002D2F67">
              <w:rPr>
                <w:rFonts w:ascii="Arial" w:hAnsi="Arial" w:cs="Arial"/>
                <w:b/>
                <w:bCs/>
              </w:rPr>
              <w:t xml:space="preserve"> December</w:t>
            </w:r>
          </w:p>
        </w:tc>
        <w:tc>
          <w:tcPr>
            <w:tcW w:w="1368" w:type="dxa"/>
            <w:shd w:val="clear" w:color="auto" w:fill="auto"/>
            <w:vAlign w:val="bottom"/>
          </w:tcPr>
          <w:p w14:paraId="0FAB6195" w14:textId="7F8437C7" w:rsidR="00011072" w:rsidRPr="002D2F67" w:rsidRDefault="00CD5714" w:rsidP="005611FE">
            <w:pPr>
              <w:pStyle w:val="BodyTextIndent2"/>
              <w:spacing w:line="240" w:lineRule="auto"/>
              <w:ind w:left="65" w:right="-84"/>
              <w:jc w:val="right"/>
              <w:rPr>
                <w:rFonts w:ascii="Arial" w:hAnsi="Arial" w:cs="Arial"/>
                <w:b/>
                <w:bCs/>
              </w:rPr>
            </w:pPr>
            <w:r w:rsidRPr="00CD5714">
              <w:rPr>
                <w:rFonts w:ascii="Arial" w:hAnsi="Arial" w:cs="Arial"/>
                <w:b/>
                <w:bCs/>
                <w:lang w:val="en-GB"/>
              </w:rPr>
              <w:t>2024</w:t>
            </w:r>
          </w:p>
        </w:tc>
        <w:tc>
          <w:tcPr>
            <w:tcW w:w="1368" w:type="dxa"/>
            <w:shd w:val="clear" w:color="auto" w:fill="auto"/>
            <w:vAlign w:val="bottom"/>
          </w:tcPr>
          <w:p w14:paraId="3CCB47AD" w14:textId="3F9EF70A" w:rsidR="00011072" w:rsidRPr="002D2F67" w:rsidRDefault="00CD5714" w:rsidP="005611FE">
            <w:pPr>
              <w:pStyle w:val="BodyTextIndent2"/>
              <w:spacing w:line="240" w:lineRule="auto"/>
              <w:ind w:left="65" w:right="-84"/>
              <w:jc w:val="right"/>
              <w:rPr>
                <w:rFonts w:ascii="Arial" w:hAnsi="Arial" w:cs="Arial"/>
                <w:b/>
                <w:bCs/>
              </w:rPr>
            </w:pPr>
            <w:r w:rsidRPr="00CD5714">
              <w:rPr>
                <w:rFonts w:ascii="Arial" w:hAnsi="Arial" w:cs="Arial"/>
                <w:b/>
                <w:bCs/>
                <w:lang w:val="en-GB"/>
              </w:rPr>
              <w:t>2023</w:t>
            </w:r>
          </w:p>
        </w:tc>
        <w:tc>
          <w:tcPr>
            <w:tcW w:w="1368" w:type="dxa"/>
            <w:shd w:val="clear" w:color="auto" w:fill="auto"/>
            <w:vAlign w:val="bottom"/>
          </w:tcPr>
          <w:p w14:paraId="5D899AAD" w14:textId="1A300848" w:rsidR="00011072" w:rsidRPr="002D2F67" w:rsidRDefault="00CD5714" w:rsidP="005611FE">
            <w:pPr>
              <w:pStyle w:val="BodyTextIndent2"/>
              <w:spacing w:line="240" w:lineRule="auto"/>
              <w:ind w:left="65" w:right="-84"/>
              <w:jc w:val="right"/>
              <w:rPr>
                <w:rFonts w:ascii="Arial" w:hAnsi="Arial" w:cs="Arial"/>
                <w:b/>
                <w:bCs/>
              </w:rPr>
            </w:pPr>
            <w:r w:rsidRPr="00CD5714">
              <w:rPr>
                <w:rFonts w:ascii="Arial" w:hAnsi="Arial" w:cs="Arial"/>
                <w:b/>
                <w:bCs/>
                <w:lang w:val="en-GB"/>
              </w:rPr>
              <w:t>2024</w:t>
            </w:r>
          </w:p>
        </w:tc>
        <w:tc>
          <w:tcPr>
            <w:tcW w:w="1368" w:type="dxa"/>
            <w:shd w:val="clear" w:color="auto" w:fill="auto"/>
            <w:vAlign w:val="bottom"/>
          </w:tcPr>
          <w:p w14:paraId="02FFCF18" w14:textId="296E5ADD" w:rsidR="00011072" w:rsidRPr="002D2F67" w:rsidRDefault="00CD5714" w:rsidP="005611FE">
            <w:pPr>
              <w:pStyle w:val="BodyTextIndent2"/>
              <w:spacing w:line="240" w:lineRule="auto"/>
              <w:ind w:left="65" w:right="-84"/>
              <w:jc w:val="right"/>
              <w:rPr>
                <w:rFonts w:ascii="Arial" w:hAnsi="Arial" w:cs="Arial"/>
                <w:b/>
                <w:bCs/>
              </w:rPr>
            </w:pPr>
            <w:r w:rsidRPr="00CD5714">
              <w:rPr>
                <w:rFonts w:ascii="Arial" w:hAnsi="Arial" w:cs="Arial"/>
                <w:b/>
                <w:bCs/>
                <w:lang w:val="en-GB"/>
              </w:rPr>
              <w:t>2023</w:t>
            </w:r>
          </w:p>
        </w:tc>
      </w:tr>
      <w:tr w:rsidR="00011072" w:rsidRPr="002D2F67" w14:paraId="2AD31E65" w14:textId="77777777" w:rsidTr="005611FE">
        <w:trPr>
          <w:trHeight w:val="57"/>
        </w:trPr>
        <w:tc>
          <w:tcPr>
            <w:tcW w:w="3989" w:type="dxa"/>
            <w:shd w:val="clear" w:color="auto" w:fill="auto"/>
          </w:tcPr>
          <w:p w14:paraId="03842C60" w14:textId="77777777" w:rsidR="00011072" w:rsidRPr="002D2F67" w:rsidRDefault="00011072" w:rsidP="005611FE">
            <w:pPr>
              <w:pStyle w:val="BodyTextIndent2"/>
              <w:spacing w:line="240" w:lineRule="auto"/>
              <w:ind w:left="65"/>
              <w:rPr>
                <w:rFonts w:ascii="Arial" w:hAnsi="Arial" w:cs="Arial"/>
                <w:b/>
                <w:bCs/>
              </w:rPr>
            </w:pPr>
          </w:p>
        </w:tc>
        <w:tc>
          <w:tcPr>
            <w:tcW w:w="1368" w:type="dxa"/>
            <w:tcBorders>
              <w:bottom w:val="single" w:sz="4" w:space="0" w:color="auto"/>
            </w:tcBorders>
            <w:shd w:val="clear" w:color="auto" w:fill="auto"/>
            <w:vAlign w:val="bottom"/>
          </w:tcPr>
          <w:p w14:paraId="00A71AAC" w14:textId="470BDC62" w:rsidR="00011072" w:rsidRPr="002D2F67" w:rsidRDefault="00011072" w:rsidP="005611FE">
            <w:pPr>
              <w:pStyle w:val="BodyTextIndent2"/>
              <w:spacing w:line="240" w:lineRule="auto"/>
              <w:ind w:left="65" w:right="-84"/>
              <w:jc w:val="right"/>
              <w:rPr>
                <w:rFonts w:ascii="Arial" w:hAnsi="Arial" w:cs="Arial"/>
                <w:b/>
                <w:bCs/>
              </w:rPr>
            </w:pPr>
            <w:r w:rsidRPr="002D2F67">
              <w:rPr>
                <w:rFonts w:ascii="Arial" w:hAnsi="Arial" w:cs="Arial"/>
                <w:b/>
                <w:bCs/>
              </w:rPr>
              <w:t>Baht’</w:t>
            </w:r>
            <w:r w:rsidR="00CD5714" w:rsidRPr="00CD5714">
              <w:rPr>
                <w:rFonts w:ascii="Arial" w:hAnsi="Arial" w:cs="Arial"/>
                <w:b/>
                <w:bCs/>
                <w:lang w:val="en-GB"/>
              </w:rPr>
              <w:t>000</w:t>
            </w:r>
          </w:p>
        </w:tc>
        <w:tc>
          <w:tcPr>
            <w:tcW w:w="1368" w:type="dxa"/>
            <w:tcBorders>
              <w:bottom w:val="single" w:sz="4" w:space="0" w:color="auto"/>
            </w:tcBorders>
            <w:shd w:val="clear" w:color="auto" w:fill="auto"/>
            <w:vAlign w:val="bottom"/>
          </w:tcPr>
          <w:p w14:paraId="25B6EA04" w14:textId="3D6818CA" w:rsidR="00011072" w:rsidRPr="002D2F67" w:rsidRDefault="00011072" w:rsidP="005611FE">
            <w:pPr>
              <w:pStyle w:val="BodyTextIndent2"/>
              <w:spacing w:line="240" w:lineRule="auto"/>
              <w:ind w:left="65" w:right="-84"/>
              <w:jc w:val="right"/>
              <w:rPr>
                <w:rFonts w:ascii="Arial" w:hAnsi="Arial" w:cs="Arial"/>
                <w:b/>
                <w:bCs/>
              </w:rPr>
            </w:pPr>
            <w:r w:rsidRPr="002D2F67">
              <w:rPr>
                <w:rFonts w:ascii="Arial" w:hAnsi="Arial" w:cs="Arial"/>
                <w:b/>
                <w:bCs/>
              </w:rPr>
              <w:t>Baht’</w:t>
            </w:r>
            <w:r w:rsidR="00CD5714" w:rsidRPr="00CD5714">
              <w:rPr>
                <w:rFonts w:ascii="Arial" w:hAnsi="Arial" w:cs="Arial"/>
                <w:b/>
                <w:bCs/>
                <w:lang w:val="en-GB"/>
              </w:rPr>
              <w:t>000</w:t>
            </w:r>
          </w:p>
        </w:tc>
        <w:tc>
          <w:tcPr>
            <w:tcW w:w="1368" w:type="dxa"/>
            <w:tcBorders>
              <w:bottom w:val="single" w:sz="4" w:space="0" w:color="auto"/>
            </w:tcBorders>
            <w:shd w:val="clear" w:color="auto" w:fill="auto"/>
            <w:vAlign w:val="bottom"/>
          </w:tcPr>
          <w:p w14:paraId="753C5166" w14:textId="0F4F5FC7" w:rsidR="00011072" w:rsidRPr="002D2F67" w:rsidRDefault="00011072" w:rsidP="005611FE">
            <w:pPr>
              <w:pStyle w:val="BodyTextIndent2"/>
              <w:spacing w:line="240" w:lineRule="auto"/>
              <w:ind w:left="65" w:right="-84"/>
              <w:jc w:val="right"/>
              <w:rPr>
                <w:rFonts w:ascii="Arial" w:hAnsi="Arial" w:cs="Arial"/>
                <w:b/>
                <w:bCs/>
              </w:rPr>
            </w:pPr>
            <w:r w:rsidRPr="002D2F67">
              <w:rPr>
                <w:rFonts w:ascii="Arial" w:hAnsi="Arial" w:cs="Arial"/>
                <w:b/>
                <w:bCs/>
              </w:rPr>
              <w:t>Baht’</w:t>
            </w:r>
            <w:r w:rsidR="00CD5714" w:rsidRPr="00CD5714">
              <w:rPr>
                <w:rFonts w:ascii="Arial" w:hAnsi="Arial" w:cs="Arial"/>
                <w:b/>
                <w:bCs/>
                <w:lang w:val="en-GB"/>
              </w:rPr>
              <w:t>000</w:t>
            </w:r>
          </w:p>
        </w:tc>
        <w:tc>
          <w:tcPr>
            <w:tcW w:w="1368" w:type="dxa"/>
            <w:tcBorders>
              <w:bottom w:val="single" w:sz="4" w:space="0" w:color="auto"/>
            </w:tcBorders>
            <w:shd w:val="clear" w:color="auto" w:fill="auto"/>
            <w:vAlign w:val="bottom"/>
          </w:tcPr>
          <w:p w14:paraId="260BB95E" w14:textId="7F24D889" w:rsidR="00011072" w:rsidRPr="002D2F67" w:rsidRDefault="00011072" w:rsidP="005611FE">
            <w:pPr>
              <w:pStyle w:val="BodyTextIndent2"/>
              <w:spacing w:line="240" w:lineRule="auto"/>
              <w:ind w:left="65" w:right="-84"/>
              <w:jc w:val="right"/>
              <w:rPr>
                <w:rFonts w:ascii="Arial" w:hAnsi="Arial" w:cs="Arial"/>
                <w:b/>
                <w:bCs/>
              </w:rPr>
            </w:pPr>
            <w:r w:rsidRPr="002D2F67">
              <w:rPr>
                <w:rFonts w:ascii="Arial" w:hAnsi="Arial" w:cs="Arial"/>
                <w:b/>
                <w:bCs/>
              </w:rPr>
              <w:t>Baht’</w:t>
            </w:r>
            <w:r w:rsidR="00CD5714" w:rsidRPr="00CD5714">
              <w:rPr>
                <w:rFonts w:ascii="Arial" w:hAnsi="Arial" w:cs="Arial"/>
                <w:b/>
                <w:bCs/>
                <w:lang w:val="en-GB"/>
              </w:rPr>
              <w:t>000</w:t>
            </w:r>
          </w:p>
        </w:tc>
      </w:tr>
      <w:tr w:rsidR="00011072" w:rsidRPr="002D2F67" w14:paraId="219D925F" w14:textId="77777777" w:rsidTr="005611FE">
        <w:trPr>
          <w:trHeight w:val="57"/>
        </w:trPr>
        <w:tc>
          <w:tcPr>
            <w:tcW w:w="3989" w:type="dxa"/>
            <w:shd w:val="clear" w:color="auto" w:fill="auto"/>
          </w:tcPr>
          <w:p w14:paraId="0041DAF8" w14:textId="77777777" w:rsidR="00011072" w:rsidRPr="002D2F67" w:rsidRDefault="00011072" w:rsidP="005611FE">
            <w:pPr>
              <w:tabs>
                <w:tab w:val="left" w:pos="327"/>
              </w:tabs>
              <w:ind w:left="-101"/>
              <w:outlineLvl w:val="2"/>
              <w:rPr>
                <w:rFonts w:ascii="Arial" w:hAnsi="Arial" w:cs="Arial"/>
                <w:color w:val="000000"/>
                <w:sz w:val="20"/>
                <w:szCs w:val="20"/>
              </w:rPr>
            </w:pPr>
          </w:p>
        </w:tc>
        <w:tc>
          <w:tcPr>
            <w:tcW w:w="1368" w:type="dxa"/>
            <w:tcBorders>
              <w:top w:val="single" w:sz="4" w:space="0" w:color="auto"/>
            </w:tcBorders>
            <w:shd w:val="clear" w:color="auto" w:fill="auto"/>
          </w:tcPr>
          <w:p w14:paraId="7979FA23" w14:textId="77777777" w:rsidR="00011072" w:rsidRPr="002D2F67" w:rsidRDefault="00011072" w:rsidP="005611FE">
            <w:pPr>
              <w:ind w:right="-72"/>
              <w:jc w:val="right"/>
              <w:rPr>
                <w:rFonts w:ascii="Arial" w:hAnsi="Arial" w:cs="Arial"/>
                <w:color w:val="000000"/>
                <w:sz w:val="20"/>
                <w:szCs w:val="20"/>
              </w:rPr>
            </w:pPr>
          </w:p>
        </w:tc>
        <w:tc>
          <w:tcPr>
            <w:tcW w:w="1368" w:type="dxa"/>
            <w:tcBorders>
              <w:top w:val="single" w:sz="4" w:space="0" w:color="auto"/>
            </w:tcBorders>
            <w:shd w:val="clear" w:color="auto" w:fill="auto"/>
          </w:tcPr>
          <w:p w14:paraId="577E0AB3" w14:textId="77777777" w:rsidR="00011072" w:rsidRPr="002D2F67" w:rsidRDefault="00011072" w:rsidP="005611FE">
            <w:pPr>
              <w:ind w:right="-72"/>
              <w:jc w:val="right"/>
              <w:rPr>
                <w:rFonts w:ascii="Arial" w:hAnsi="Arial" w:cs="Arial"/>
                <w:color w:val="000000"/>
                <w:sz w:val="20"/>
                <w:szCs w:val="20"/>
              </w:rPr>
            </w:pPr>
          </w:p>
        </w:tc>
        <w:tc>
          <w:tcPr>
            <w:tcW w:w="1368" w:type="dxa"/>
            <w:tcBorders>
              <w:top w:val="single" w:sz="4" w:space="0" w:color="auto"/>
            </w:tcBorders>
            <w:shd w:val="clear" w:color="auto" w:fill="auto"/>
          </w:tcPr>
          <w:p w14:paraId="196D522A" w14:textId="77777777" w:rsidR="00011072" w:rsidRPr="002D2F67" w:rsidRDefault="00011072" w:rsidP="005611FE">
            <w:pPr>
              <w:ind w:right="-72"/>
              <w:jc w:val="right"/>
              <w:rPr>
                <w:rFonts w:ascii="Arial" w:hAnsi="Arial" w:cs="Arial"/>
                <w:color w:val="000000"/>
                <w:sz w:val="20"/>
                <w:szCs w:val="20"/>
              </w:rPr>
            </w:pPr>
          </w:p>
        </w:tc>
        <w:tc>
          <w:tcPr>
            <w:tcW w:w="1368" w:type="dxa"/>
            <w:tcBorders>
              <w:top w:val="single" w:sz="4" w:space="0" w:color="auto"/>
            </w:tcBorders>
            <w:shd w:val="clear" w:color="auto" w:fill="auto"/>
          </w:tcPr>
          <w:p w14:paraId="11F5E6A2" w14:textId="77777777" w:rsidR="00011072" w:rsidRPr="002D2F67" w:rsidRDefault="00011072" w:rsidP="005611FE">
            <w:pPr>
              <w:ind w:right="-72"/>
              <w:jc w:val="right"/>
              <w:rPr>
                <w:rFonts w:ascii="Arial" w:hAnsi="Arial" w:cs="Arial"/>
                <w:color w:val="000000"/>
                <w:sz w:val="20"/>
                <w:szCs w:val="20"/>
              </w:rPr>
            </w:pPr>
          </w:p>
        </w:tc>
      </w:tr>
      <w:tr w:rsidR="006678C9" w:rsidRPr="002D2F67" w14:paraId="237A2D26" w14:textId="77777777" w:rsidTr="00D21F5E">
        <w:trPr>
          <w:trHeight w:val="57"/>
        </w:trPr>
        <w:tc>
          <w:tcPr>
            <w:tcW w:w="3989" w:type="dxa"/>
            <w:shd w:val="clear" w:color="auto" w:fill="auto"/>
          </w:tcPr>
          <w:p w14:paraId="3504FEDC" w14:textId="7DBBAE38" w:rsidR="006678C9" w:rsidRPr="002D2F67" w:rsidRDefault="006678C9" w:rsidP="006678C9">
            <w:pPr>
              <w:pStyle w:val="BodyTextIndent2"/>
              <w:spacing w:line="240" w:lineRule="auto"/>
              <w:ind w:left="-108"/>
              <w:jc w:val="left"/>
              <w:rPr>
                <w:rFonts w:ascii="Arial" w:eastAsia="Arial Unicode MS" w:hAnsi="Arial" w:cs="Arial"/>
              </w:rPr>
            </w:pPr>
            <w:r w:rsidRPr="002D2F67">
              <w:rPr>
                <w:rFonts w:ascii="Arial" w:hAnsi="Arial" w:cs="Arial"/>
              </w:rPr>
              <w:t>Property, plant and equipment</w:t>
            </w:r>
          </w:p>
        </w:tc>
        <w:tc>
          <w:tcPr>
            <w:tcW w:w="1368" w:type="dxa"/>
            <w:shd w:val="clear" w:color="auto" w:fill="auto"/>
            <w:vAlign w:val="bottom"/>
          </w:tcPr>
          <w:p w14:paraId="1BB2082E" w14:textId="3FEAA34D" w:rsidR="006678C9" w:rsidRPr="002D2F67" w:rsidRDefault="00CD5714" w:rsidP="006678C9">
            <w:pPr>
              <w:pStyle w:val="BodyTextIndent2"/>
              <w:spacing w:line="240" w:lineRule="auto"/>
              <w:ind w:left="0" w:right="-72"/>
              <w:jc w:val="right"/>
              <w:rPr>
                <w:rFonts w:ascii="Arial" w:hAnsi="Arial" w:cs="Arial"/>
              </w:rPr>
            </w:pPr>
            <w:r w:rsidRPr="00CD5714">
              <w:rPr>
                <w:rFonts w:ascii="Arial" w:hAnsi="Arial" w:cs="Arial"/>
                <w:lang w:val="en-GB"/>
              </w:rPr>
              <w:t>175</w:t>
            </w:r>
            <w:r w:rsidR="006678C9" w:rsidRPr="002D2F67">
              <w:rPr>
                <w:rFonts w:ascii="Arial" w:hAnsi="Arial" w:cs="Arial"/>
              </w:rPr>
              <w:t>,</w:t>
            </w:r>
            <w:r w:rsidRPr="00CD5714">
              <w:rPr>
                <w:rFonts w:ascii="Arial" w:hAnsi="Arial" w:cs="Arial"/>
                <w:lang w:val="en-GB"/>
              </w:rPr>
              <w:t>494</w:t>
            </w:r>
          </w:p>
        </w:tc>
        <w:tc>
          <w:tcPr>
            <w:tcW w:w="1368" w:type="dxa"/>
            <w:shd w:val="clear" w:color="auto" w:fill="auto"/>
            <w:vAlign w:val="bottom"/>
          </w:tcPr>
          <w:p w14:paraId="17F0806A" w14:textId="2305CA99" w:rsidR="006678C9" w:rsidRPr="002D2F67" w:rsidRDefault="00CD5714" w:rsidP="006678C9">
            <w:pPr>
              <w:pStyle w:val="BodyTextIndent2"/>
              <w:spacing w:line="240" w:lineRule="auto"/>
              <w:ind w:left="0" w:right="-72"/>
              <w:jc w:val="right"/>
              <w:rPr>
                <w:rFonts w:ascii="Arial" w:hAnsi="Arial" w:cs="Arial"/>
              </w:rPr>
            </w:pPr>
            <w:r w:rsidRPr="00CD5714">
              <w:rPr>
                <w:rFonts w:ascii="Arial" w:hAnsi="Arial" w:cs="Arial"/>
                <w:lang w:val="en-GB"/>
              </w:rPr>
              <w:t>340</w:t>
            </w:r>
            <w:r w:rsidR="006678C9" w:rsidRPr="002D2F67">
              <w:rPr>
                <w:rFonts w:ascii="Arial" w:hAnsi="Arial" w:cs="Arial"/>
              </w:rPr>
              <w:t>,</w:t>
            </w:r>
            <w:r w:rsidRPr="00CD5714">
              <w:rPr>
                <w:rFonts w:ascii="Arial" w:hAnsi="Arial" w:cs="Arial"/>
                <w:lang w:val="en-GB"/>
              </w:rPr>
              <w:t>048</w:t>
            </w:r>
          </w:p>
        </w:tc>
        <w:tc>
          <w:tcPr>
            <w:tcW w:w="1368" w:type="dxa"/>
            <w:shd w:val="clear" w:color="auto" w:fill="auto"/>
          </w:tcPr>
          <w:p w14:paraId="007B22BA" w14:textId="3D6CF176" w:rsidR="006678C9" w:rsidRPr="002D2F67" w:rsidRDefault="006678C9" w:rsidP="006678C9">
            <w:pPr>
              <w:pStyle w:val="BodyTextIndent2"/>
              <w:spacing w:line="240" w:lineRule="auto"/>
              <w:ind w:left="0" w:right="-72"/>
              <w:jc w:val="right"/>
              <w:rPr>
                <w:rFonts w:ascii="Arial" w:hAnsi="Arial" w:cs="Arial"/>
              </w:rPr>
            </w:pPr>
            <w:r w:rsidRPr="002D2F67">
              <w:rPr>
                <w:rFonts w:ascii="Arial" w:hAnsi="Arial" w:cs="Arial"/>
              </w:rPr>
              <w:t>-</w:t>
            </w:r>
          </w:p>
        </w:tc>
        <w:tc>
          <w:tcPr>
            <w:tcW w:w="1368" w:type="dxa"/>
            <w:shd w:val="clear" w:color="auto" w:fill="auto"/>
            <w:vAlign w:val="bottom"/>
          </w:tcPr>
          <w:p w14:paraId="0EEFE03D" w14:textId="3E13A502" w:rsidR="006678C9" w:rsidRPr="002D2F67" w:rsidRDefault="006678C9" w:rsidP="006678C9">
            <w:pPr>
              <w:pStyle w:val="BodyTextIndent2"/>
              <w:spacing w:line="240" w:lineRule="auto"/>
              <w:ind w:left="0" w:right="-72"/>
              <w:jc w:val="right"/>
              <w:rPr>
                <w:rFonts w:ascii="Arial" w:hAnsi="Arial" w:cs="Arial"/>
              </w:rPr>
            </w:pPr>
            <w:r w:rsidRPr="002D2F67">
              <w:rPr>
                <w:rFonts w:ascii="Arial" w:hAnsi="Arial" w:cs="Arial"/>
              </w:rPr>
              <w:t>-</w:t>
            </w:r>
          </w:p>
        </w:tc>
      </w:tr>
      <w:tr w:rsidR="006678C9" w:rsidRPr="002D2F67" w14:paraId="1E7ABACF" w14:textId="77777777" w:rsidTr="00D21F5E">
        <w:trPr>
          <w:trHeight w:val="57"/>
        </w:trPr>
        <w:tc>
          <w:tcPr>
            <w:tcW w:w="3989" w:type="dxa"/>
            <w:shd w:val="clear" w:color="auto" w:fill="auto"/>
          </w:tcPr>
          <w:p w14:paraId="2122D77F" w14:textId="03394974" w:rsidR="006678C9" w:rsidRPr="002D2F67" w:rsidRDefault="006678C9" w:rsidP="006678C9">
            <w:pPr>
              <w:pStyle w:val="BodyTextIndent2"/>
              <w:spacing w:line="240" w:lineRule="auto"/>
              <w:ind w:left="-108"/>
              <w:jc w:val="left"/>
              <w:rPr>
                <w:rFonts w:ascii="Arial" w:eastAsia="Arial Unicode MS" w:hAnsi="Arial" w:cs="Arial"/>
              </w:rPr>
            </w:pPr>
            <w:r w:rsidRPr="002D2F67">
              <w:rPr>
                <w:rFonts w:ascii="Arial" w:hAnsi="Arial" w:cs="Arial"/>
              </w:rPr>
              <w:t>Goodwill</w:t>
            </w:r>
          </w:p>
        </w:tc>
        <w:tc>
          <w:tcPr>
            <w:tcW w:w="1368" w:type="dxa"/>
            <w:shd w:val="clear" w:color="auto" w:fill="auto"/>
            <w:vAlign w:val="bottom"/>
          </w:tcPr>
          <w:p w14:paraId="50B1E64F" w14:textId="0EFC28CB" w:rsidR="006678C9" w:rsidRPr="002D2F67" w:rsidRDefault="00CD5714" w:rsidP="006678C9">
            <w:pPr>
              <w:pStyle w:val="BodyTextIndent2"/>
              <w:spacing w:line="240" w:lineRule="auto"/>
              <w:ind w:left="0" w:right="-72"/>
              <w:jc w:val="right"/>
              <w:rPr>
                <w:rFonts w:ascii="Arial" w:hAnsi="Arial" w:cs="Arial"/>
              </w:rPr>
            </w:pPr>
            <w:r w:rsidRPr="00CD5714">
              <w:rPr>
                <w:rFonts w:ascii="Arial" w:hAnsi="Arial" w:cs="Arial"/>
                <w:lang w:val="en-GB"/>
              </w:rPr>
              <w:t>165</w:t>
            </w:r>
            <w:r w:rsidR="006678C9" w:rsidRPr="002D2F67">
              <w:rPr>
                <w:rFonts w:ascii="Arial" w:hAnsi="Arial" w:cs="Arial"/>
              </w:rPr>
              <w:t>,</w:t>
            </w:r>
            <w:r w:rsidRPr="00CD5714">
              <w:rPr>
                <w:rFonts w:ascii="Arial" w:hAnsi="Arial" w:cs="Arial"/>
                <w:lang w:val="en-GB"/>
              </w:rPr>
              <w:t>366</w:t>
            </w:r>
          </w:p>
        </w:tc>
        <w:tc>
          <w:tcPr>
            <w:tcW w:w="1368" w:type="dxa"/>
            <w:shd w:val="clear" w:color="auto" w:fill="auto"/>
            <w:vAlign w:val="bottom"/>
          </w:tcPr>
          <w:p w14:paraId="53DD4B9D" w14:textId="6A870FA4" w:rsidR="006678C9" w:rsidRPr="002D2F67" w:rsidRDefault="00CD5714" w:rsidP="006678C9">
            <w:pPr>
              <w:pStyle w:val="BodyTextIndent2"/>
              <w:spacing w:line="240" w:lineRule="auto"/>
              <w:ind w:left="0" w:right="-72"/>
              <w:jc w:val="right"/>
              <w:rPr>
                <w:rFonts w:ascii="Arial" w:hAnsi="Arial" w:cs="Arial"/>
              </w:rPr>
            </w:pPr>
            <w:r w:rsidRPr="00CD5714">
              <w:rPr>
                <w:rFonts w:ascii="Arial" w:hAnsi="Arial" w:cs="Arial"/>
                <w:lang w:val="en-GB"/>
              </w:rPr>
              <w:t>165</w:t>
            </w:r>
            <w:r w:rsidR="006678C9" w:rsidRPr="002D2F67">
              <w:rPr>
                <w:rFonts w:ascii="Arial" w:hAnsi="Arial" w:cs="Arial"/>
              </w:rPr>
              <w:t>,</w:t>
            </w:r>
            <w:r w:rsidRPr="00CD5714">
              <w:rPr>
                <w:rFonts w:ascii="Arial" w:hAnsi="Arial" w:cs="Arial"/>
                <w:lang w:val="en-GB"/>
              </w:rPr>
              <w:t>366</w:t>
            </w:r>
          </w:p>
        </w:tc>
        <w:tc>
          <w:tcPr>
            <w:tcW w:w="1368" w:type="dxa"/>
            <w:shd w:val="clear" w:color="auto" w:fill="auto"/>
          </w:tcPr>
          <w:p w14:paraId="6BAA9F33" w14:textId="17780407" w:rsidR="006678C9" w:rsidRPr="002D2F67" w:rsidRDefault="006678C9" w:rsidP="006678C9">
            <w:pPr>
              <w:pStyle w:val="BodyTextIndent2"/>
              <w:spacing w:line="240" w:lineRule="auto"/>
              <w:ind w:left="0" w:right="-72"/>
              <w:jc w:val="right"/>
              <w:rPr>
                <w:rFonts w:ascii="Arial" w:hAnsi="Arial" w:cs="Arial"/>
              </w:rPr>
            </w:pPr>
            <w:r w:rsidRPr="002D2F67">
              <w:rPr>
                <w:rFonts w:ascii="Arial" w:hAnsi="Arial" w:cs="Arial"/>
              </w:rPr>
              <w:t>-</w:t>
            </w:r>
          </w:p>
        </w:tc>
        <w:tc>
          <w:tcPr>
            <w:tcW w:w="1368" w:type="dxa"/>
            <w:shd w:val="clear" w:color="auto" w:fill="auto"/>
            <w:vAlign w:val="bottom"/>
          </w:tcPr>
          <w:p w14:paraId="0BAA4737" w14:textId="3DD05012" w:rsidR="006678C9" w:rsidRPr="002D2F67" w:rsidRDefault="006678C9" w:rsidP="006678C9">
            <w:pPr>
              <w:pStyle w:val="BodyTextIndent2"/>
              <w:spacing w:line="240" w:lineRule="auto"/>
              <w:ind w:left="0" w:right="-72"/>
              <w:jc w:val="right"/>
              <w:rPr>
                <w:rFonts w:ascii="Arial" w:hAnsi="Arial" w:cs="Arial"/>
              </w:rPr>
            </w:pPr>
            <w:r w:rsidRPr="002D2F67">
              <w:rPr>
                <w:rFonts w:ascii="Arial" w:hAnsi="Arial" w:cs="Arial"/>
              </w:rPr>
              <w:t>-</w:t>
            </w:r>
          </w:p>
        </w:tc>
      </w:tr>
      <w:tr w:rsidR="006678C9" w:rsidRPr="002D2F67" w14:paraId="6FEEFC45" w14:textId="77777777" w:rsidTr="00D21F5E">
        <w:trPr>
          <w:trHeight w:val="57"/>
        </w:trPr>
        <w:tc>
          <w:tcPr>
            <w:tcW w:w="3989" w:type="dxa"/>
            <w:shd w:val="clear" w:color="auto" w:fill="auto"/>
          </w:tcPr>
          <w:p w14:paraId="655D6905" w14:textId="1E5ABE8B" w:rsidR="006678C9" w:rsidRPr="002D2F67" w:rsidRDefault="006678C9" w:rsidP="006678C9">
            <w:pPr>
              <w:pStyle w:val="BodyTextIndent2"/>
              <w:spacing w:line="240" w:lineRule="auto"/>
              <w:ind w:left="-108"/>
              <w:jc w:val="left"/>
              <w:rPr>
                <w:rFonts w:ascii="Arial" w:eastAsia="Arial Unicode MS" w:hAnsi="Arial" w:cs="Arial"/>
              </w:rPr>
            </w:pPr>
            <w:r w:rsidRPr="002D2F67">
              <w:rPr>
                <w:rFonts w:ascii="Arial" w:hAnsi="Arial" w:cs="Arial"/>
              </w:rPr>
              <w:t>Other assets</w:t>
            </w:r>
          </w:p>
        </w:tc>
        <w:tc>
          <w:tcPr>
            <w:tcW w:w="1368" w:type="dxa"/>
            <w:tcBorders>
              <w:bottom w:val="single" w:sz="4" w:space="0" w:color="auto"/>
            </w:tcBorders>
            <w:shd w:val="clear" w:color="auto" w:fill="auto"/>
            <w:vAlign w:val="bottom"/>
          </w:tcPr>
          <w:p w14:paraId="4B92CC24" w14:textId="0379B523" w:rsidR="006678C9" w:rsidRPr="002D2F67" w:rsidRDefault="00CD5714" w:rsidP="006678C9">
            <w:pPr>
              <w:pStyle w:val="BodyTextIndent2"/>
              <w:spacing w:line="240" w:lineRule="auto"/>
              <w:ind w:left="0" w:right="-72"/>
              <w:jc w:val="right"/>
              <w:rPr>
                <w:rFonts w:ascii="Arial" w:hAnsi="Arial" w:cs="Arial"/>
              </w:rPr>
            </w:pPr>
            <w:r w:rsidRPr="00CD5714">
              <w:rPr>
                <w:rFonts w:ascii="Arial" w:hAnsi="Arial" w:cs="Arial"/>
                <w:lang w:val="en-GB"/>
              </w:rPr>
              <w:t>22</w:t>
            </w:r>
            <w:r w:rsidR="006678C9" w:rsidRPr="002D2F67">
              <w:rPr>
                <w:rFonts w:ascii="Arial" w:hAnsi="Arial" w:cs="Arial"/>
              </w:rPr>
              <w:t>,</w:t>
            </w:r>
            <w:r w:rsidRPr="00CD5714">
              <w:rPr>
                <w:rFonts w:ascii="Arial" w:hAnsi="Arial" w:cs="Arial"/>
                <w:lang w:val="en-GB"/>
              </w:rPr>
              <w:t>727</w:t>
            </w:r>
          </w:p>
        </w:tc>
        <w:tc>
          <w:tcPr>
            <w:tcW w:w="1368" w:type="dxa"/>
            <w:tcBorders>
              <w:bottom w:val="single" w:sz="4" w:space="0" w:color="auto"/>
            </w:tcBorders>
            <w:shd w:val="clear" w:color="auto" w:fill="auto"/>
            <w:vAlign w:val="bottom"/>
          </w:tcPr>
          <w:p w14:paraId="59AE6D6C" w14:textId="16BE4116" w:rsidR="006678C9" w:rsidRPr="002D2F67" w:rsidRDefault="00CD5714" w:rsidP="006678C9">
            <w:pPr>
              <w:pStyle w:val="BodyTextIndent2"/>
              <w:spacing w:line="240" w:lineRule="auto"/>
              <w:ind w:left="0" w:right="-72"/>
              <w:jc w:val="right"/>
              <w:rPr>
                <w:rFonts w:ascii="Arial" w:hAnsi="Arial" w:cs="Arial"/>
              </w:rPr>
            </w:pPr>
            <w:r w:rsidRPr="00CD5714">
              <w:rPr>
                <w:rFonts w:ascii="Arial" w:hAnsi="Arial" w:cs="Arial"/>
                <w:lang w:val="en-GB"/>
              </w:rPr>
              <w:t>42</w:t>
            </w:r>
            <w:r w:rsidR="006678C9" w:rsidRPr="002D2F67">
              <w:rPr>
                <w:rFonts w:ascii="Arial" w:hAnsi="Arial" w:cs="Arial"/>
              </w:rPr>
              <w:t>,</w:t>
            </w:r>
            <w:r w:rsidRPr="00CD5714">
              <w:rPr>
                <w:rFonts w:ascii="Arial" w:hAnsi="Arial" w:cs="Arial"/>
                <w:lang w:val="en-GB"/>
              </w:rPr>
              <w:t>985</w:t>
            </w:r>
          </w:p>
        </w:tc>
        <w:tc>
          <w:tcPr>
            <w:tcW w:w="1368" w:type="dxa"/>
            <w:tcBorders>
              <w:bottom w:val="single" w:sz="4" w:space="0" w:color="auto"/>
            </w:tcBorders>
            <w:shd w:val="clear" w:color="auto" w:fill="auto"/>
          </w:tcPr>
          <w:p w14:paraId="13A8BB1A" w14:textId="723F30F2" w:rsidR="006678C9" w:rsidRPr="002D2F67" w:rsidRDefault="006678C9" w:rsidP="006678C9">
            <w:pPr>
              <w:pStyle w:val="BodyTextIndent2"/>
              <w:spacing w:line="240" w:lineRule="auto"/>
              <w:ind w:left="0" w:right="-72"/>
              <w:jc w:val="right"/>
              <w:rPr>
                <w:rFonts w:ascii="Arial" w:hAnsi="Arial" w:cs="Arial"/>
              </w:rPr>
            </w:pPr>
            <w:r w:rsidRPr="002D2F67">
              <w:rPr>
                <w:rFonts w:ascii="Arial" w:hAnsi="Arial" w:cs="Arial"/>
              </w:rPr>
              <w:t>-</w:t>
            </w:r>
          </w:p>
        </w:tc>
        <w:tc>
          <w:tcPr>
            <w:tcW w:w="1368" w:type="dxa"/>
            <w:tcBorders>
              <w:bottom w:val="single" w:sz="4" w:space="0" w:color="auto"/>
            </w:tcBorders>
            <w:shd w:val="clear" w:color="auto" w:fill="auto"/>
            <w:vAlign w:val="bottom"/>
          </w:tcPr>
          <w:p w14:paraId="4B1E9961" w14:textId="40285DEE" w:rsidR="006678C9" w:rsidRPr="002D2F67" w:rsidRDefault="006678C9" w:rsidP="006678C9">
            <w:pPr>
              <w:pStyle w:val="BodyTextIndent2"/>
              <w:spacing w:line="240" w:lineRule="auto"/>
              <w:ind w:left="0" w:right="-72"/>
              <w:jc w:val="right"/>
              <w:rPr>
                <w:rFonts w:ascii="Arial" w:hAnsi="Arial" w:cs="Arial"/>
              </w:rPr>
            </w:pPr>
            <w:r w:rsidRPr="002D2F67">
              <w:rPr>
                <w:rFonts w:ascii="Arial" w:hAnsi="Arial" w:cs="Arial"/>
              </w:rPr>
              <w:t>-</w:t>
            </w:r>
          </w:p>
        </w:tc>
      </w:tr>
      <w:tr w:rsidR="006678C9" w:rsidRPr="002D2F67" w14:paraId="21D67298" w14:textId="77777777" w:rsidTr="00D21F5E">
        <w:trPr>
          <w:trHeight w:val="57"/>
        </w:trPr>
        <w:tc>
          <w:tcPr>
            <w:tcW w:w="3989" w:type="dxa"/>
            <w:shd w:val="clear" w:color="auto" w:fill="auto"/>
          </w:tcPr>
          <w:p w14:paraId="05F647A5" w14:textId="77777777" w:rsidR="006678C9" w:rsidRPr="002D2F67" w:rsidRDefault="006678C9" w:rsidP="006678C9">
            <w:pPr>
              <w:pStyle w:val="BodyTextIndent2"/>
              <w:spacing w:line="240" w:lineRule="auto"/>
              <w:ind w:left="-108"/>
              <w:jc w:val="left"/>
              <w:rPr>
                <w:rFonts w:ascii="Arial" w:hAnsi="Arial" w:cs="Arial"/>
              </w:rPr>
            </w:pPr>
          </w:p>
        </w:tc>
        <w:tc>
          <w:tcPr>
            <w:tcW w:w="1368" w:type="dxa"/>
            <w:tcBorders>
              <w:top w:val="single" w:sz="4" w:space="0" w:color="auto"/>
            </w:tcBorders>
            <w:shd w:val="clear" w:color="auto" w:fill="auto"/>
            <w:vAlign w:val="bottom"/>
          </w:tcPr>
          <w:p w14:paraId="5427478D" w14:textId="77777777" w:rsidR="006678C9" w:rsidRPr="002D2F67" w:rsidRDefault="006678C9" w:rsidP="006678C9">
            <w:pPr>
              <w:pStyle w:val="BodyTextIndent2"/>
              <w:spacing w:line="240" w:lineRule="auto"/>
              <w:ind w:left="0" w:right="-72"/>
              <w:jc w:val="right"/>
              <w:rPr>
                <w:rFonts w:ascii="Arial" w:hAnsi="Arial" w:cs="Arial"/>
              </w:rPr>
            </w:pPr>
          </w:p>
        </w:tc>
        <w:tc>
          <w:tcPr>
            <w:tcW w:w="1368" w:type="dxa"/>
            <w:tcBorders>
              <w:top w:val="single" w:sz="4" w:space="0" w:color="auto"/>
            </w:tcBorders>
            <w:shd w:val="clear" w:color="auto" w:fill="auto"/>
            <w:vAlign w:val="bottom"/>
          </w:tcPr>
          <w:p w14:paraId="01F0D86C" w14:textId="77777777" w:rsidR="006678C9" w:rsidRPr="002D2F67" w:rsidRDefault="006678C9" w:rsidP="006678C9">
            <w:pPr>
              <w:pStyle w:val="BodyTextIndent2"/>
              <w:spacing w:line="240" w:lineRule="auto"/>
              <w:ind w:left="0" w:right="-72"/>
              <w:jc w:val="right"/>
              <w:rPr>
                <w:rFonts w:ascii="Arial" w:hAnsi="Arial" w:cs="Arial"/>
              </w:rPr>
            </w:pPr>
          </w:p>
        </w:tc>
        <w:tc>
          <w:tcPr>
            <w:tcW w:w="1368" w:type="dxa"/>
            <w:tcBorders>
              <w:top w:val="single" w:sz="4" w:space="0" w:color="auto"/>
            </w:tcBorders>
            <w:shd w:val="clear" w:color="auto" w:fill="auto"/>
          </w:tcPr>
          <w:p w14:paraId="0FAB65CE" w14:textId="77777777" w:rsidR="006678C9" w:rsidRPr="002D2F67" w:rsidRDefault="006678C9" w:rsidP="006678C9">
            <w:pPr>
              <w:pStyle w:val="BodyTextIndent2"/>
              <w:spacing w:line="240" w:lineRule="auto"/>
              <w:ind w:left="0" w:right="-72"/>
              <w:jc w:val="right"/>
              <w:rPr>
                <w:rFonts w:ascii="Arial" w:hAnsi="Arial" w:cs="Arial"/>
              </w:rPr>
            </w:pPr>
          </w:p>
        </w:tc>
        <w:tc>
          <w:tcPr>
            <w:tcW w:w="1368" w:type="dxa"/>
            <w:tcBorders>
              <w:top w:val="single" w:sz="4" w:space="0" w:color="auto"/>
            </w:tcBorders>
            <w:shd w:val="clear" w:color="auto" w:fill="auto"/>
            <w:vAlign w:val="bottom"/>
          </w:tcPr>
          <w:p w14:paraId="3D6D36A7" w14:textId="77777777" w:rsidR="006678C9" w:rsidRPr="002D2F67" w:rsidRDefault="006678C9" w:rsidP="006678C9">
            <w:pPr>
              <w:pStyle w:val="BodyTextIndent2"/>
              <w:spacing w:line="240" w:lineRule="auto"/>
              <w:ind w:left="0" w:right="-72"/>
              <w:jc w:val="right"/>
              <w:rPr>
                <w:rFonts w:ascii="Arial" w:hAnsi="Arial" w:cs="Arial"/>
              </w:rPr>
            </w:pPr>
          </w:p>
        </w:tc>
      </w:tr>
      <w:tr w:rsidR="006678C9" w:rsidRPr="002D2F67" w14:paraId="0FE93997" w14:textId="77777777" w:rsidTr="00D21F5E">
        <w:trPr>
          <w:trHeight w:val="57"/>
        </w:trPr>
        <w:tc>
          <w:tcPr>
            <w:tcW w:w="3989" w:type="dxa"/>
            <w:shd w:val="clear" w:color="auto" w:fill="auto"/>
          </w:tcPr>
          <w:p w14:paraId="3E50E1B2" w14:textId="032E8BE9" w:rsidR="006678C9" w:rsidRPr="002D2F67" w:rsidRDefault="006678C9" w:rsidP="006678C9">
            <w:pPr>
              <w:pStyle w:val="BodyTextIndent2"/>
              <w:spacing w:line="240" w:lineRule="auto"/>
              <w:ind w:left="-108"/>
              <w:rPr>
                <w:rFonts w:ascii="Arial" w:eastAsia="Arial Unicode MS" w:hAnsi="Arial" w:cs="Arial"/>
                <w:b/>
                <w:bCs/>
              </w:rPr>
            </w:pPr>
            <w:r w:rsidRPr="002D2F67">
              <w:rPr>
                <w:rFonts w:ascii="Arial" w:hAnsi="Arial" w:cs="Arial"/>
                <w:b/>
                <w:bCs/>
              </w:rPr>
              <w:t>Total non-current assets held-for-sale</w:t>
            </w:r>
          </w:p>
        </w:tc>
        <w:tc>
          <w:tcPr>
            <w:tcW w:w="1368" w:type="dxa"/>
            <w:tcBorders>
              <w:bottom w:val="single" w:sz="4" w:space="0" w:color="auto"/>
            </w:tcBorders>
            <w:shd w:val="clear" w:color="auto" w:fill="auto"/>
            <w:vAlign w:val="bottom"/>
          </w:tcPr>
          <w:p w14:paraId="3FEF429B" w14:textId="4C77627D" w:rsidR="006678C9" w:rsidRPr="002D2F67" w:rsidRDefault="00CD5714" w:rsidP="006678C9">
            <w:pPr>
              <w:pStyle w:val="BodyTextIndent2"/>
              <w:spacing w:line="240" w:lineRule="auto"/>
              <w:ind w:left="0" w:right="-72"/>
              <w:jc w:val="right"/>
              <w:rPr>
                <w:rFonts w:ascii="Arial" w:hAnsi="Arial" w:cs="Arial"/>
              </w:rPr>
            </w:pPr>
            <w:r w:rsidRPr="00CD5714">
              <w:rPr>
                <w:rFonts w:ascii="Arial" w:hAnsi="Arial" w:cs="Arial"/>
                <w:lang w:val="en-GB"/>
              </w:rPr>
              <w:t>363</w:t>
            </w:r>
            <w:r w:rsidR="006678C9" w:rsidRPr="002D2F67">
              <w:rPr>
                <w:rFonts w:ascii="Arial" w:hAnsi="Arial" w:cs="Arial"/>
              </w:rPr>
              <w:t>,</w:t>
            </w:r>
            <w:r w:rsidRPr="00CD5714">
              <w:rPr>
                <w:rFonts w:ascii="Arial" w:hAnsi="Arial" w:cs="Arial"/>
                <w:lang w:val="en-GB"/>
              </w:rPr>
              <w:t>587</w:t>
            </w:r>
          </w:p>
        </w:tc>
        <w:tc>
          <w:tcPr>
            <w:tcW w:w="1368" w:type="dxa"/>
            <w:tcBorders>
              <w:bottom w:val="single" w:sz="4" w:space="0" w:color="auto"/>
            </w:tcBorders>
            <w:shd w:val="clear" w:color="auto" w:fill="auto"/>
            <w:vAlign w:val="bottom"/>
          </w:tcPr>
          <w:p w14:paraId="58DAFF16" w14:textId="0DD6F67B" w:rsidR="006678C9" w:rsidRPr="002D2F67" w:rsidRDefault="00CD5714" w:rsidP="006678C9">
            <w:pPr>
              <w:pStyle w:val="BodyTextIndent2"/>
              <w:spacing w:line="240" w:lineRule="auto"/>
              <w:ind w:left="0" w:right="-72"/>
              <w:jc w:val="right"/>
              <w:rPr>
                <w:rFonts w:ascii="Arial" w:hAnsi="Arial" w:cs="Arial"/>
              </w:rPr>
            </w:pPr>
            <w:r w:rsidRPr="00CD5714">
              <w:rPr>
                <w:rFonts w:ascii="Arial" w:hAnsi="Arial" w:cs="Arial"/>
                <w:lang w:val="en-GB"/>
              </w:rPr>
              <w:t>548</w:t>
            </w:r>
            <w:r w:rsidR="006678C9" w:rsidRPr="002D2F67">
              <w:rPr>
                <w:rFonts w:ascii="Arial" w:hAnsi="Arial" w:cs="Arial"/>
              </w:rPr>
              <w:t>,</w:t>
            </w:r>
            <w:r w:rsidRPr="00CD5714">
              <w:rPr>
                <w:rFonts w:ascii="Arial" w:hAnsi="Arial" w:cs="Arial"/>
                <w:lang w:val="en-GB"/>
              </w:rPr>
              <w:t>399</w:t>
            </w:r>
          </w:p>
        </w:tc>
        <w:tc>
          <w:tcPr>
            <w:tcW w:w="1368" w:type="dxa"/>
            <w:tcBorders>
              <w:bottom w:val="single" w:sz="4" w:space="0" w:color="auto"/>
            </w:tcBorders>
            <w:shd w:val="clear" w:color="auto" w:fill="auto"/>
          </w:tcPr>
          <w:p w14:paraId="6478D378" w14:textId="7D459ACA" w:rsidR="006678C9" w:rsidRPr="002D2F67" w:rsidRDefault="006678C9" w:rsidP="006678C9">
            <w:pPr>
              <w:pStyle w:val="BodyTextIndent2"/>
              <w:spacing w:line="240" w:lineRule="auto"/>
              <w:ind w:left="0" w:right="-72"/>
              <w:jc w:val="right"/>
              <w:rPr>
                <w:rFonts w:ascii="Arial" w:hAnsi="Arial" w:cs="Arial"/>
              </w:rPr>
            </w:pPr>
            <w:r w:rsidRPr="002D2F67">
              <w:rPr>
                <w:rFonts w:ascii="Arial" w:hAnsi="Arial" w:cs="Arial"/>
              </w:rPr>
              <w:t>-</w:t>
            </w:r>
          </w:p>
        </w:tc>
        <w:tc>
          <w:tcPr>
            <w:tcW w:w="1368" w:type="dxa"/>
            <w:tcBorders>
              <w:bottom w:val="single" w:sz="4" w:space="0" w:color="auto"/>
            </w:tcBorders>
            <w:shd w:val="clear" w:color="auto" w:fill="auto"/>
            <w:vAlign w:val="bottom"/>
          </w:tcPr>
          <w:p w14:paraId="0A5592B1" w14:textId="3F4B4D67" w:rsidR="006678C9" w:rsidRPr="002D2F67" w:rsidRDefault="006678C9" w:rsidP="006678C9">
            <w:pPr>
              <w:pStyle w:val="BodyTextIndent2"/>
              <w:spacing w:line="240" w:lineRule="auto"/>
              <w:ind w:left="0" w:right="-72"/>
              <w:jc w:val="right"/>
              <w:rPr>
                <w:rFonts w:ascii="Arial" w:hAnsi="Arial" w:cs="Arial"/>
              </w:rPr>
            </w:pPr>
            <w:r w:rsidRPr="002D2F67">
              <w:rPr>
                <w:rFonts w:ascii="Arial" w:hAnsi="Arial" w:cs="Arial"/>
              </w:rPr>
              <w:t>-</w:t>
            </w:r>
          </w:p>
        </w:tc>
      </w:tr>
      <w:tr w:rsidR="006678C9" w:rsidRPr="002D2F67" w14:paraId="101E8B06" w14:textId="77777777" w:rsidTr="00D21F5E">
        <w:trPr>
          <w:trHeight w:val="57"/>
        </w:trPr>
        <w:tc>
          <w:tcPr>
            <w:tcW w:w="3989" w:type="dxa"/>
            <w:shd w:val="clear" w:color="auto" w:fill="auto"/>
          </w:tcPr>
          <w:p w14:paraId="01530C8F" w14:textId="77777777" w:rsidR="006678C9" w:rsidRPr="002D2F67" w:rsidRDefault="006678C9" w:rsidP="006678C9">
            <w:pPr>
              <w:tabs>
                <w:tab w:val="left" w:pos="6840"/>
              </w:tabs>
              <w:ind w:left="-101"/>
              <w:rPr>
                <w:rFonts w:ascii="Arial" w:eastAsia="Arial Unicode MS" w:hAnsi="Arial" w:cs="Arial"/>
                <w:b/>
                <w:bCs/>
                <w:color w:val="000000"/>
                <w:sz w:val="20"/>
                <w:szCs w:val="20"/>
              </w:rPr>
            </w:pPr>
          </w:p>
        </w:tc>
        <w:tc>
          <w:tcPr>
            <w:tcW w:w="1368" w:type="dxa"/>
            <w:tcBorders>
              <w:top w:val="single" w:sz="4" w:space="0" w:color="auto"/>
            </w:tcBorders>
            <w:shd w:val="clear" w:color="auto" w:fill="auto"/>
            <w:vAlign w:val="bottom"/>
          </w:tcPr>
          <w:p w14:paraId="6A156DFD" w14:textId="77777777" w:rsidR="006678C9" w:rsidRPr="002D2F67" w:rsidRDefault="006678C9" w:rsidP="006678C9">
            <w:pPr>
              <w:pStyle w:val="BodyTextIndent2"/>
              <w:spacing w:line="240" w:lineRule="auto"/>
              <w:ind w:left="0" w:right="-72"/>
              <w:jc w:val="right"/>
              <w:rPr>
                <w:rFonts w:ascii="Arial" w:hAnsi="Arial" w:cs="Arial"/>
              </w:rPr>
            </w:pPr>
          </w:p>
        </w:tc>
        <w:tc>
          <w:tcPr>
            <w:tcW w:w="1368" w:type="dxa"/>
            <w:tcBorders>
              <w:top w:val="single" w:sz="4" w:space="0" w:color="auto"/>
            </w:tcBorders>
            <w:shd w:val="clear" w:color="auto" w:fill="auto"/>
            <w:vAlign w:val="bottom"/>
          </w:tcPr>
          <w:p w14:paraId="53296AE9" w14:textId="77777777" w:rsidR="006678C9" w:rsidRPr="002D2F67" w:rsidRDefault="006678C9" w:rsidP="006678C9">
            <w:pPr>
              <w:pStyle w:val="BodyTextIndent2"/>
              <w:spacing w:line="240" w:lineRule="auto"/>
              <w:ind w:left="0" w:right="-72"/>
              <w:jc w:val="right"/>
              <w:rPr>
                <w:rFonts w:ascii="Arial" w:hAnsi="Arial" w:cs="Arial"/>
              </w:rPr>
            </w:pPr>
          </w:p>
        </w:tc>
        <w:tc>
          <w:tcPr>
            <w:tcW w:w="1368" w:type="dxa"/>
            <w:tcBorders>
              <w:top w:val="single" w:sz="4" w:space="0" w:color="auto"/>
            </w:tcBorders>
            <w:shd w:val="clear" w:color="auto" w:fill="auto"/>
          </w:tcPr>
          <w:p w14:paraId="76F75671" w14:textId="77777777" w:rsidR="006678C9" w:rsidRPr="002D2F67" w:rsidRDefault="006678C9" w:rsidP="006678C9">
            <w:pPr>
              <w:pStyle w:val="BodyTextIndent2"/>
              <w:spacing w:line="240" w:lineRule="auto"/>
              <w:ind w:left="0" w:right="-72"/>
              <w:jc w:val="right"/>
              <w:rPr>
                <w:rFonts w:ascii="Arial" w:hAnsi="Arial" w:cs="Arial"/>
              </w:rPr>
            </w:pPr>
          </w:p>
        </w:tc>
        <w:tc>
          <w:tcPr>
            <w:tcW w:w="1368" w:type="dxa"/>
            <w:tcBorders>
              <w:top w:val="single" w:sz="4" w:space="0" w:color="auto"/>
            </w:tcBorders>
            <w:shd w:val="clear" w:color="auto" w:fill="auto"/>
            <w:vAlign w:val="bottom"/>
          </w:tcPr>
          <w:p w14:paraId="09BC192D" w14:textId="77777777" w:rsidR="006678C9" w:rsidRPr="002D2F67" w:rsidRDefault="006678C9" w:rsidP="006678C9">
            <w:pPr>
              <w:pStyle w:val="BodyTextIndent2"/>
              <w:spacing w:line="240" w:lineRule="auto"/>
              <w:ind w:left="0" w:right="-72"/>
              <w:jc w:val="right"/>
              <w:rPr>
                <w:rFonts w:ascii="Arial" w:hAnsi="Arial" w:cs="Arial"/>
              </w:rPr>
            </w:pPr>
          </w:p>
        </w:tc>
      </w:tr>
      <w:tr w:rsidR="006678C9" w:rsidRPr="002D2F67" w14:paraId="2BCEFBB4" w14:textId="77777777" w:rsidTr="00D21F5E">
        <w:trPr>
          <w:trHeight w:val="57"/>
        </w:trPr>
        <w:tc>
          <w:tcPr>
            <w:tcW w:w="3989" w:type="dxa"/>
            <w:shd w:val="clear" w:color="auto" w:fill="auto"/>
          </w:tcPr>
          <w:p w14:paraId="782C9C81" w14:textId="77777777" w:rsidR="006678C9" w:rsidRPr="002D2F67" w:rsidRDefault="006678C9" w:rsidP="006678C9">
            <w:pPr>
              <w:tabs>
                <w:tab w:val="left" w:pos="6840"/>
              </w:tabs>
              <w:ind w:left="-101"/>
              <w:rPr>
                <w:rFonts w:ascii="Arial" w:hAnsi="Arial" w:cs="Arial"/>
                <w:color w:val="000000"/>
                <w:sz w:val="20"/>
                <w:szCs w:val="20"/>
              </w:rPr>
            </w:pPr>
            <w:r w:rsidRPr="002D2F67">
              <w:rPr>
                <w:rFonts w:ascii="Arial" w:hAnsi="Arial" w:cs="Arial"/>
                <w:color w:val="000000"/>
                <w:sz w:val="20"/>
                <w:szCs w:val="25"/>
              </w:rPr>
              <w:t>L</w:t>
            </w:r>
            <w:r w:rsidRPr="002D2F67">
              <w:rPr>
                <w:rFonts w:ascii="Arial" w:hAnsi="Arial" w:cs="Arial"/>
                <w:color w:val="000000"/>
                <w:sz w:val="20"/>
                <w:szCs w:val="20"/>
              </w:rPr>
              <w:t>oans from financial institutions and other</w:t>
            </w:r>
          </w:p>
          <w:p w14:paraId="7EC81714" w14:textId="6EF54E0F" w:rsidR="006678C9" w:rsidRPr="002D2F67" w:rsidRDefault="006678C9" w:rsidP="006678C9">
            <w:pPr>
              <w:tabs>
                <w:tab w:val="left" w:pos="6840"/>
              </w:tabs>
              <w:ind w:left="-101"/>
              <w:rPr>
                <w:rFonts w:ascii="Arial" w:hAnsi="Arial" w:cs="Arial"/>
                <w:color w:val="000000"/>
                <w:sz w:val="20"/>
                <w:szCs w:val="20"/>
              </w:rPr>
            </w:pPr>
            <w:r w:rsidRPr="002D2F67">
              <w:rPr>
                <w:rFonts w:ascii="Arial" w:hAnsi="Arial" w:cs="Arial"/>
                <w:color w:val="000000"/>
                <w:sz w:val="20"/>
                <w:szCs w:val="20"/>
              </w:rPr>
              <w:t xml:space="preserve">   party</w:t>
            </w:r>
          </w:p>
        </w:tc>
        <w:tc>
          <w:tcPr>
            <w:tcW w:w="1368" w:type="dxa"/>
            <w:shd w:val="clear" w:color="auto" w:fill="auto"/>
            <w:vAlign w:val="bottom"/>
          </w:tcPr>
          <w:p w14:paraId="5D2A596B" w14:textId="3262D915" w:rsidR="006678C9" w:rsidRPr="002D2F67" w:rsidRDefault="00CD5714" w:rsidP="006678C9">
            <w:pPr>
              <w:pStyle w:val="BodyTextIndent2"/>
              <w:spacing w:line="240" w:lineRule="auto"/>
              <w:ind w:left="0" w:right="-72"/>
              <w:jc w:val="right"/>
              <w:rPr>
                <w:rFonts w:ascii="Arial" w:hAnsi="Arial" w:cs="Arial"/>
              </w:rPr>
            </w:pPr>
            <w:r w:rsidRPr="00CD5714">
              <w:rPr>
                <w:rFonts w:ascii="Arial" w:hAnsi="Arial" w:cs="Arial"/>
                <w:lang w:val="en-GB"/>
              </w:rPr>
              <w:t>3</w:t>
            </w:r>
            <w:r w:rsidR="006678C9" w:rsidRPr="002D2F67">
              <w:rPr>
                <w:rFonts w:ascii="Arial" w:hAnsi="Arial" w:cs="Arial"/>
              </w:rPr>
              <w:t>,</w:t>
            </w:r>
            <w:r w:rsidRPr="00CD5714">
              <w:rPr>
                <w:rFonts w:ascii="Arial" w:hAnsi="Arial" w:cs="Arial"/>
                <w:lang w:val="en-GB"/>
              </w:rPr>
              <w:t>889</w:t>
            </w:r>
          </w:p>
        </w:tc>
        <w:tc>
          <w:tcPr>
            <w:tcW w:w="1368" w:type="dxa"/>
            <w:shd w:val="clear" w:color="auto" w:fill="auto"/>
            <w:vAlign w:val="bottom"/>
          </w:tcPr>
          <w:p w14:paraId="3CB54127" w14:textId="0DF1F12A" w:rsidR="006678C9" w:rsidRPr="002D2F67" w:rsidRDefault="00CD5714" w:rsidP="006678C9">
            <w:pPr>
              <w:pStyle w:val="BodyTextIndent2"/>
              <w:spacing w:line="240" w:lineRule="auto"/>
              <w:ind w:left="0" w:right="-72"/>
              <w:jc w:val="right"/>
              <w:rPr>
                <w:rFonts w:ascii="Arial" w:hAnsi="Arial" w:cs="Arial"/>
              </w:rPr>
            </w:pPr>
            <w:r w:rsidRPr="00CD5714">
              <w:rPr>
                <w:rFonts w:ascii="Arial" w:hAnsi="Arial" w:cs="Arial"/>
                <w:lang w:val="en-GB"/>
              </w:rPr>
              <w:t>15</w:t>
            </w:r>
            <w:r w:rsidR="006678C9" w:rsidRPr="002D2F67">
              <w:rPr>
                <w:rFonts w:ascii="Arial" w:hAnsi="Arial" w:cs="Arial"/>
              </w:rPr>
              <w:t>,</w:t>
            </w:r>
            <w:r w:rsidRPr="00CD5714">
              <w:rPr>
                <w:rFonts w:ascii="Arial" w:hAnsi="Arial" w:cs="Arial"/>
                <w:lang w:val="en-GB"/>
              </w:rPr>
              <w:t>370</w:t>
            </w:r>
          </w:p>
        </w:tc>
        <w:tc>
          <w:tcPr>
            <w:tcW w:w="1368" w:type="dxa"/>
            <w:shd w:val="clear" w:color="auto" w:fill="auto"/>
          </w:tcPr>
          <w:p w14:paraId="1091427F" w14:textId="7250205B" w:rsidR="006678C9" w:rsidRPr="002D2F67" w:rsidRDefault="006678C9" w:rsidP="006678C9">
            <w:pPr>
              <w:pStyle w:val="BodyTextIndent2"/>
              <w:spacing w:line="240" w:lineRule="auto"/>
              <w:ind w:left="0" w:right="-72"/>
              <w:jc w:val="right"/>
              <w:rPr>
                <w:rFonts w:ascii="Arial" w:hAnsi="Arial" w:cs="Arial"/>
              </w:rPr>
            </w:pPr>
            <w:r w:rsidRPr="002D2F67">
              <w:rPr>
                <w:rFonts w:ascii="Arial" w:hAnsi="Arial" w:cs="Arial"/>
              </w:rPr>
              <w:t>-</w:t>
            </w:r>
          </w:p>
        </w:tc>
        <w:tc>
          <w:tcPr>
            <w:tcW w:w="1368" w:type="dxa"/>
            <w:shd w:val="clear" w:color="auto" w:fill="auto"/>
            <w:vAlign w:val="bottom"/>
          </w:tcPr>
          <w:p w14:paraId="2FB0C6FF" w14:textId="64037175" w:rsidR="006678C9" w:rsidRPr="002D2F67" w:rsidRDefault="006678C9" w:rsidP="006678C9">
            <w:pPr>
              <w:pStyle w:val="BodyTextIndent2"/>
              <w:spacing w:line="240" w:lineRule="auto"/>
              <w:ind w:left="0" w:right="-72"/>
              <w:jc w:val="right"/>
              <w:rPr>
                <w:rFonts w:ascii="Arial" w:hAnsi="Arial" w:cs="Arial"/>
              </w:rPr>
            </w:pPr>
            <w:r w:rsidRPr="002D2F67">
              <w:rPr>
                <w:rFonts w:ascii="Arial" w:hAnsi="Arial" w:cs="Arial"/>
              </w:rPr>
              <w:t>-</w:t>
            </w:r>
          </w:p>
        </w:tc>
      </w:tr>
      <w:tr w:rsidR="006678C9" w:rsidRPr="002D2F67" w14:paraId="452F3C72" w14:textId="77777777" w:rsidTr="00D21F5E">
        <w:trPr>
          <w:trHeight w:val="57"/>
        </w:trPr>
        <w:tc>
          <w:tcPr>
            <w:tcW w:w="3989" w:type="dxa"/>
            <w:shd w:val="clear" w:color="auto" w:fill="auto"/>
          </w:tcPr>
          <w:p w14:paraId="3E9B04C7" w14:textId="66BA2B11" w:rsidR="006678C9" w:rsidRPr="002D2F67" w:rsidRDefault="006678C9" w:rsidP="006678C9">
            <w:pPr>
              <w:tabs>
                <w:tab w:val="left" w:pos="6840"/>
              </w:tabs>
              <w:ind w:left="-101"/>
              <w:rPr>
                <w:rFonts w:ascii="Arial" w:eastAsia="Arial Unicode MS" w:hAnsi="Arial" w:cs="Arial"/>
                <w:color w:val="000000"/>
                <w:sz w:val="20"/>
                <w:szCs w:val="20"/>
                <w:cs/>
              </w:rPr>
            </w:pPr>
            <w:r w:rsidRPr="002D2F67">
              <w:rPr>
                <w:rFonts w:ascii="Arial" w:hAnsi="Arial" w:cs="Arial"/>
                <w:color w:val="000000"/>
                <w:sz w:val="20"/>
                <w:szCs w:val="20"/>
              </w:rPr>
              <w:t>Trade and other current payables</w:t>
            </w:r>
          </w:p>
        </w:tc>
        <w:tc>
          <w:tcPr>
            <w:tcW w:w="1368" w:type="dxa"/>
            <w:shd w:val="clear" w:color="auto" w:fill="auto"/>
            <w:vAlign w:val="bottom"/>
          </w:tcPr>
          <w:p w14:paraId="5C131EB5" w14:textId="3DB432A2" w:rsidR="006678C9" w:rsidRPr="002D2F67" w:rsidRDefault="00CD5714" w:rsidP="006678C9">
            <w:pPr>
              <w:pStyle w:val="BodyTextIndent2"/>
              <w:spacing w:line="240" w:lineRule="auto"/>
              <w:ind w:left="0" w:right="-72"/>
              <w:jc w:val="right"/>
              <w:rPr>
                <w:rFonts w:ascii="Arial" w:hAnsi="Arial" w:cs="Arial"/>
              </w:rPr>
            </w:pPr>
            <w:r w:rsidRPr="00CD5714">
              <w:rPr>
                <w:rFonts w:ascii="Arial" w:hAnsi="Arial" w:cs="Arial"/>
                <w:lang w:val="en-GB"/>
              </w:rPr>
              <w:t>47</w:t>
            </w:r>
            <w:r w:rsidR="006678C9" w:rsidRPr="002D2F67">
              <w:rPr>
                <w:rFonts w:ascii="Arial" w:hAnsi="Arial" w:cs="Arial"/>
              </w:rPr>
              <w:t>,</w:t>
            </w:r>
            <w:r w:rsidRPr="00CD5714">
              <w:rPr>
                <w:rFonts w:ascii="Arial" w:hAnsi="Arial" w:cs="Arial"/>
                <w:lang w:val="en-GB"/>
              </w:rPr>
              <w:t>419</w:t>
            </w:r>
          </w:p>
        </w:tc>
        <w:tc>
          <w:tcPr>
            <w:tcW w:w="1368" w:type="dxa"/>
            <w:shd w:val="clear" w:color="auto" w:fill="auto"/>
            <w:vAlign w:val="bottom"/>
          </w:tcPr>
          <w:p w14:paraId="648DEC7B" w14:textId="7647F242" w:rsidR="006678C9" w:rsidRPr="002D2F67" w:rsidRDefault="00CD5714" w:rsidP="006678C9">
            <w:pPr>
              <w:pStyle w:val="BodyTextIndent2"/>
              <w:spacing w:line="240" w:lineRule="auto"/>
              <w:ind w:left="0" w:right="-72"/>
              <w:jc w:val="right"/>
              <w:rPr>
                <w:rFonts w:ascii="Arial" w:hAnsi="Arial" w:cs="Arial"/>
              </w:rPr>
            </w:pPr>
            <w:r w:rsidRPr="00CD5714">
              <w:rPr>
                <w:rFonts w:ascii="Arial" w:hAnsi="Arial" w:cs="Arial"/>
                <w:lang w:val="en-GB"/>
              </w:rPr>
              <w:t>8</w:t>
            </w:r>
            <w:r w:rsidR="006678C9" w:rsidRPr="002D2F67">
              <w:rPr>
                <w:rFonts w:ascii="Arial" w:hAnsi="Arial" w:cs="Arial"/>
              </w:rPr>
              <w:t>,</w:t>
            </w:r>
            <w:r w:rsidRPr="00CD5714">
              <w:rPr>
                <w:rFonts w:ascii="Arial" w:hAnsi="Arial" w:cs="Arial"/>
                <w:lang w:val="en-GB"/>
              </w:rPr>
              <w:t>080</w:t>
            </w:r>
          </w:p>
        </w:tc>
        <w:tc>
          <w:tcPr>
            <w:tcW w:w="1368" w:type="dxa"/>
            <w:shd w:val="clear" w:color="auto" w:fill="auto"/>
          </w:tcPr>
          <w:p w14:paraId="33B605A6" w14:textId="06F62F55" w:rsidR="006678C9" w:rsidRPr="002D2F67" w:rsidRDefault="006678C9" w:rsidP="006678C9">
            <w:pPr>
              <w:pStyle w:val="BodyTextIndent2"/>
              <w:spacing w:line="240" w:lineRule="auto"/>
              <w:ind w:left="0" w:right="-72"/>
              <w:jc w:val="right"/>
              <w:rPr>
                <w:rFonts w:ascii="Arial" w:hAnsi="Arial" w:cs="Arial"/>
              </w:rPr>
            </w:pPr>
            <w:r w:rsidRPr="002D2F67">
              <w:rPr>
                <w:rFonts w:ascii="Arial" w:hAnsi="Arial" w:cs="Arial"/>
              </w:rPr>
              <w:t>-</w:t>
            </w:r>
          </w:p>
        </w:tc>
        <w:tc>
          <w:tcPr>
            <w:tcW w:w="1368" w:type="dxa"/>
            <w:shd w:val="clear" w:color="auto" w:fill="auto"/>
            <w:vAlign w:val="bottom"/>
          </w:tcPr>
          <w:p w14:paraId="69037869" w14:textId="5AA4B40D" w:rsidR="006678C9" w:rsidRPr="002D2F67" w:rsidRDefault="006678C9" w:rsidP="006678C9">
            <w:pPr>
              <w:pStyle w:val="BodyTextIndent2"/>
              <w:spacing w:line="240" w:lineRule="auto"/>
              <w:ind w:left="0" w:right="-72"/>
              <w:jc w:val="right"/>
              <w:rPr>
                <w:rFonts w:ascii="Arial" w:hAnsi="Arial" w:cs="Arial"/>
              </w:rPr>
            </w:pPr>
            <w:r w:rsidRPr="002D2F67">
              <w:rPr>
                <w:rFonts w:ascii="Arial" w:hAnsi="Arial" w:cs="Arial"/>
              </w:rPr>
              <w:t>-</w:t>
            </w:r>
          </w:p>
        </w:tc>
      </w:tr>
      <w:tr w:rsidR="006678C9" w:rsidRPr="002D2F67" w14:paraId="415C23BE" w14:textId="77777777" w:rsidTr="00D21F5E">
        <w:trPr>
          <w:trHeight w:val="57"/>
        </w:trPr>
        <w:tc>
          <w:tcPr>
            <w:tcW w:w="3989" w:type="dxa"/>
            <w:shd w:val="clear" w:color="auto" w:fill="auto"/>
          </w:tcPr>
          <w:p w14:paraId="402EB542" w14:textId="0CE21EFE" w:rsidR="006678C9" w:rsidRPr="002D2F67" w:rsidRDefault="006678C9" w:rsidP="006678C9">
            <w:pPr>
              <w:tabs>
                <w:tab w:val="left" w:pos="6840"/>
              </w:tabs>
              <w:ind w:left="-101"/>
              <w:rPr>
                <w:rFonts w:ascii="Arial" w:eastAsia="Arial Unicode MS" w:hAnsi="Arial" w:cs="Arial"/>
                <w:color w:val="000000"/>
                <w:sz w:val="20"/>
                <w:szCs w:val="20"/>
                <w:cs/>
              </w:rPr>
            </w:pPr>
            <w:r w:rsidRPr="002D2F67">
              <w:rPr>
                <w:rFonts w:ascii="Arial" w:hAnsi="Arial" w:cs="Arial"/>
                <w:color w:val="000000"/>
                <w:sz w:val="20"/>
                <w:szCs w:val="20"/>
              </w:rPr>
              <w:t>Other liabilities</w:t>
            </w:r>
          </w:p>
        </w:tc>
        <w:tc>
          <w:tcPr>
            <w:tcW w:w="1368" w:type="dxa"/>
            <w:tcBorders>
              <w:bottom w:val="single" w:sz="4" w:space="0" w:color="auto"/>
            </w:tcBorders>
            <w:shd w:val="clear" w:color="auto" w:fill="auto"/>
            <w:vAlign w:val="bottom"/>
          </w:tcPr>
          <w:p w14:paraId="5AEC88A1" w14:textId="1B399631" w:rsidR="006678C9" w:rsidRPr="002D2F67" w:rsidRDefault="00CD5714" w:rsidP="006678C9">
            <w:pPr>
              <w:pStyle w:val="BodyTextIndent2"/>
              <w:spacing w:line="240" w:lineRule="auto"/>
              <w:ind w:left="0" w:right="-72"/>
              <w:jc w:val="right"/>
              <w:rPr>
                <w:rFonts w:ascii="Arial" w:hAnsi="Arial" w:cs="Arial"/>
              </w:rPr>
            </w:pPr>
            <w:r w:rsidRPr="00CD5714">
              <w:rPr>
                <w:rFonts w:ascii="Arial" w:hAnsi="Arial" w:cs="Arial"/>
                <w:lang w:val="en-GB"/>
              </w:rPr>
              <w:t>536</w:t>
            </w:r>
          </w:p>
        </w:tc>
        <w:tc>
          <w:tcPr>
            <w:tcW w:w="1368" w:type="dxa"/>
            <w:tcBorders>
              <w:bottom w:val="single" w:sz="4" w:space="0" w:color="auto"/>
            </w:tcBorders>
            <w:shd w:val="clear" w:color="auto" w:fill="auto"/>
            <w:vAlign w:val="bottom"/>
          </w:tcPr>
          <w:p w14:paraId="3F4278A8" w14:textId="42144DA1" w:rsidR="006678C9" w:rsidRPr="002D2F67" w:rsidRDefault="00CD5714" w:rsidP="006678C9">
            <w:pPr>
              <w:pStyle w:val="BodyTextIndent2"/>
              <w:spacing w:line="240" w:lineRule="auto"/>
              <w:ind w:left="0" w:right="-72"/>
              <w:jc w:val="right"/>
              <w:rPr>
                <w:rFonts w:ascii="Arial" w:hAnsi="Arial" w:cs="Arial"/>
              </w:rPr>
            </w:pPr>
            <w:r w:rsidRPr="00CD5714">
              <w:rPr>
                <w:rFonts w:ascii="Arial" w:hAnsi="Arial" w:cs="Arial"/>
                <w:lang w:val="en-GB"/>
              </w:rPr>
              <w:t>1</w:t>
            </w:r>
            <w:r w:rsidR="006678C9" w:rsidRPr="002D2F67">
              <w:rPr>
                <w:rFonts w:ascii="Arial" w:hAnsi="Arial" w:cs="Arial"/>
              </w:rPr>
              <w:t>,</w:t>
            </w:r>
            <w:r w:rsidRPr="00CD5714">
              <w:rPr>
                <w:rFonts w:ascii="Arial" w:hAnsi="Arial" w:cs="Arial"/>
                <w:lang w:val="en-GB"/>
              </w:rPr>
              <w:t>491</w:t>
            </w:r>
          </w:p>
        </w:tc>
        <w:tc>
          <w:tcPr>
            <w:tcW w:w="1368" w:type="dxa"/>
            <w:tcBorders>
              <w:bottom w:val="single" w:sz="4" w:space="0" w:color="auto"/>
            </w:tcBorders>
            <w:shd w:val="clear" w:color="auto" w:fill="auto"/>
          </w:tcPr>
          <w:p w14:paraId="741B9BA5" w14:textId="2D82957D" w:rsidR="006678C9" w:rsidRPr="002D2F67" w:rsidRDefault="006678C9" w:rsidP="006678C9">
            <w:pPr>
              <w:pStyle w:val="BodyTextIndent2"/>
              <w:spacing w:line="240" w:lineRule="auto"/>
              <w:ind w:left="0" w:right="-72"/>
              <w:jc w:val="right"/>
              <w:rPr>
                <w:rFonts w:ascii="Arial" w:hAnsi="Arial" w:cs="Arial"/>
              </w:rPr>
            </w:pPr>
            <w:r w:rsidRPr="002D2F67">
              <w:rPr>
                <w:rFonts w:ascii="Arial" w:hAnsi="Arial" w:cs="Arial"/>
              </w:rPr>
              <w:t>-</w:t>
            </w:r>
          </w:p>
        </w:tc>
        <w:tc>
          <w:tcPr>
            <w:tcW w:w="1368" w:type="dxa"/>
            <w:tcBorders>
              <w:bottom w:val="single" w:sz="4" w:space="0" w:color="auto"/>
            </w:tcBorders>
            <w:shd w:val="clear" w:color="auto" w:fill="auto"/>
            <w:vAlign w:val="bottom"/>
          </w:tcPr>
          <w:p w14:paraId="622F083E" w14:textId="318CDB29" w:rsidR="006678C9" w:rsidRPr="002D2F67" w:rsidRDefault="006678C9" w:rsidP="006678C9">
            <w:pPr>
              <w:pStyle w:val="BodyTextIndent2"/>
              <w:spacing w:line="240" w:lineRule="auto"/>
              <w:ind w:left="0" w:right="-72"/>
              <w:jc w:val="right"/>
              <w:rPr>
                <w:rFonts w:ascii="Arial" w:hAnsi="Arial" w:cs="Arial"/>
              </w:rPr>
            </w:pPr>
            <w:r w:rsidRPr="002D2F67">
              <w:rPr>
                <w:rFonts w:ascii="Arial" w:hAnsi="Arial" w:cs="Arial"/>
              </w:rPr>
              <w:t>-</w:t>
            </w:r>
          </w:p>
        </w:tc>
      </w:tr>
      <w:tr w:rsidR="006678C9" w:rsidRPr="002D2F67" w14:paraId="7BBD60B1" w14:textId="77777777" w:rsidTr="00D21F5E">
        <w:trPr>
          <w:trHeight w:val="57"/>
        </w:trPr>
        <w:tc>
          <w:tcPr>
            <w:tcW w:w="3989" w:type="dxa"/>
            <w:shd w:val="clear" w:color="auto" w:fill="auto"/>
          </w:tcPr>
          <w:p w14:paraId="2035AA62" w14:textId="77777777" w:rsidR="006678C9" w:rsidRPr="002D2F67" w:rsidRDefault="006678C9" w:rsidP="006678C9">
            <w:pPr>
              <w:tabs>
                <w:tab w:val="left" w:pos="6840"/>
              </w:tabs>
              <w:ind w:left="-101"/>
              <w:rPr>
                <w:rFonts w:ascii="Arial" w:hAnsi="Arial" w:cs="Arial"/>
                <w:color w:val="000000"/>
                <w:sz w:val="20"/>
                <w:szCs w:val="20"/>
              </w:rPr>
            </w:pPr>
          </w:p>
        </w:tc>
        <w:tc>
          <w:tcPr>
            <w:tcW w:w="1368" w:type="dxa"/>
            <w:tcBorders>
              <w:top w:val="single" w:sz="4" w:space="0" w:color="auto"/>
            </w:tcBorders>
            <w:shd w:val="clear" w:color="auto" w:fill="auto"/>
            <w:vAlign w:val="bottom"/>
          </w:tcPr>
          <w:p w14:paraId="45D6454C" w14:textId="77777777" w:rsidR="006678C9" w:rsidRPr="002D2F67" w:rsidRDefault="006678C9" w:rsidP="006678C9">
            <w:pPr>
              <w:pStyle w:val="BodyTextIndent2"/>
              <w:spacing w:line="240" w:lineRule="auto"/>
              <w:ind w:left="0" w:right="-72"/>
              <w:jc w:val="right"/>
              <w:rPr>
                <w:rFonts w:ascii="Arial" w:hAnsi="Arial" w:cs="Arial"/>
              </w:rPr>
            </w:pPr>
          </w:p>
        </w:tc>
        <w:tc>
          <w:tcPr>
            <w:tcW w:w="1368" w:type="dxa"/>
            <w:tcBorders>
              <w:top w:val="single" w:sz="4" w:space="0" w:color="auto"/>
            </w:tcBorders>
            <w:shd w:val="clear" w:color="auto" w:fill="auto"/>
            <w:vAlign w:val="bottom"/>
          </w:tcPr>
          <w:p w14:paraId="482D4A54" w14:textId="77777777" w:rsidR="006678C9" w:rsidRPr="002D2F67" w:rsidRDefault="006678C9" w:rsidP="006678C9">
            <w:pPr>
              <w:pStyle w:val="BodyTextIndent2"/>
              <w:spacing w:line="240" w:lineRule="auto"/>
              <w:ind w:left="0" w:right="-72"/>
              <w:jc w:val="right"/>
              <w:rPr>
                <w:rFonts w:ascii="Arial" w:hAnsi="Arial" w:cs="Arial"/>
              </w:rPr>
            </w:pPr>
          </w:p>
        </w:tc>
        <w:tc>
          <w:tcPr>
            <w:tcW w:w="1368" w:type="dxa"/>
            <w:tcBorders>
              <w:top w:val="single" w:sz="4" w:space="0" w:color="auto"/>
            </w:tcBorders>
            <w:shd w:val="clear" w:color="auto" w:fill="auto"/>
          </w:tcPr>
          <w:p w14:paraId="0C894A91" w14:textId="77777777" w:rsidR="006678C9" w:rsidRPr="002D2F67" w:rsidRDefault="006678C9" w:rsidP="006678C9">
            <w:pPr>
              <w:pStyle w:val="BodyTextIndent2"/>
              <w:spacing w:line="240" w:lineRule="auto"/>
              <w:ind w:left="0" w:right="-72"/>
              <w:jc w:val="right"/>
              <w:rPr>
                <w:rFonts w:ascii="Arial" w:hAnsi="Arial" w:cs="Arial"/>
              </w:rPr>
            </w:pPr>
          </w:p>
        </w:tc>
        <w:tc>
          <w:tcPr>
            <w:tcW w:w="1368" w:type="dxa"/>
            <w:tcBorders>
              <w:top w:val="single" w:sz="4" w:space="0" w:color="auto"/>
            </w:tcBorders>
            <w:shd w:val="clear" w:color="auto" w:fill="auto"/>
            <w:vAlign w:val="bottom"/>
          </w:tcPr>
          <w:p w14:paraId="09FE4C2F" w14:textId="77777777" w:rsidR="006678C9" w:rsidRPr="002D2F67" w:rsidRDefault="006678C9" w:rsidP="006678C9">
            <w:pPr>
              <w:pStyle w:val="BodyTextIndent2"/>
              <w:spacing w:line="240" w:lineRule="auto"/>
              <w:ind w:left="0" w:right="-72"/>
              <w:jc w:val="right"/>
              <w:rPr>
                <w:rFonts w:ascii="Arial" w:hAnsi="Arial" w:cs="Arial"/>
              </w:rPr>
            </w:pPr>
          </w:p>
        </w:tc>
      </w:tr>
      <w:tr w:rsidR="006678C9" w:rsidRPr="002D2F67" w14:paraId="6176FD84" w14:textId="77777777" w:rsidTr="00D21F5E">
        <w:trPr>
          <w:trHeight w:val="57"/>
        </w:trPr>
        <w:tc>
          <w:tcPr>
            <w:tcW w:w="3989" w:type="dxa"/>
            <w:shd w:val="clear" w:color="auto" w:fill="auto"/>
          </w:tcPr>
          <w:p w14:paraId="06D3F51C" w14:textId="1CD9AD00" w:rsidR="006678C9" w:rsidRPr="002D2F67" w:rsidRDefault="006678C9" w:rsidP="006678C9">
            <w:pPr>
              <w:tabs>
                <w:tab w:val="left" w:pos="6840"/>
              </w:tabs>
              <w:ind w:left="-101"/>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Total non-current liabilities held-for-sale</w:t>
            </w:r>
          </w:p>
        </w:tc>
        <w:tc>
          <w:tcPr>
            <w:tcW w:w="1368" w:type="dxa"/>
            <w:tcBorders>
              <w:bottom w:val="single" w:sz="4" w:space="0" w:color="auto"/>
            </w:tcBorders>
            <w:shd w:val="clear" w:color="auto" w:fill="auto"/>
            <w:vAlign w:val="bottom"/>
          </w:tcPr>
          <w:p w14:paraId="0C6EF8C9" w14:textId="634F41DA" w:rsidR="006678C9" w:rsidRPr="002D2F67" w:rsidRDefault="00CD5714" w:rsidP="006678C9">
            <w:pPr>
              <w:pStyle w:val="BodyTextIndent2"/>
              <w:spacing w:line="240" w:lineRule="auto"/>
              <w:ind w:left="0" w:right="-72"/>
              <w:jc w:val="right"/>
              <w:rPr>
                <w:rFonts w:ascii="Arial" w:hAnsi="Arial" w:cs="Arial"/>
              </w:rPr>
            </w:pPr>
            <w:r w:rsidRPr="00CD5714">
              <w:rPr>
                <w:rFonts w:ascii="Arial" w:hAnsi="Arial" w:cs="Arial"/>
                <w:lang w:val="en-GB"/>
              </w:rPr>
              <w:t>51</w:t>
            </w:r>
            <w:r w:rsidR="006678C9" w:rsidRPr="002D2F67">
              <w:rPr>
                <w:rFonts w:ascii="Arial" w:hAnsi="Arial" w:cs="Arial"/>
              </w:rPr>
              <w:t>,</w:t>
            </w:r>
            <w:r w:rsidRPr="00CD5714">
              <w:rPr>
                <w:rFonts w:ascii="Arial" w:hAnsi="Arial" w:cs="Arial"/>
                <w:lang w:val="en-GB"/>
              </w:rPr>
              <w:t>844</w:t>
            </w:r>
          </w:p>
        </w:tc>
        <w:tc>
          <w:tcPr>
            <w:tcW w:w="1368" w:type="dxa"/>
            <w:tcBorders>
              <w:bottom w:val="single" w:sz="4" w:space="0" w:color="auto"/>
            </w:tcBorders>
            <w:shd w:val="clear" w:color="auto" w:fill="auto"/>
            <w:vAlign w:val="bottom"/>
          </w:tcPr>
          <w:p w14:paraId="184AE0AF" w14:textId="483F5A3D" w:rsidR="006678C9" w:rsidRPr="002D2F67" w:rsidRDefault="00CD5714" w:rsidP="006678C9">
            <w:pPr>
              <w:pStyle w:val="BodyTextIndent2"/>
              <w:spacing w:line="240" w:lineRule="auto"/>
              <w:ind w:left="0" w:right="-72"/>
              <w:jc w:val="right"/>
              <w:rPr>
                <w:rFonts w:ascii="Arial" w:hAnsi="Arial" w:cs="Arial"/>
              </w:rPr>
            </w:pPr>
            <w:r w:rsidRPr="00CD5714">
              <w:rPr>
                <w:rFonts w:ascii="Arial" w:hAnsi="Arial" w:cs="Arial"/>
                <w:lang w:val="en-GB"/>
              </w:rPr>
              <w:t>24</w:t>
            </w:r>
            <w:r w:rsidR="006678C9" w:rsidRPr="002D2F67">
              <w:rPr>
                <w:rFonts w:ascii="Arial" w:hAnsi="Arial" w:cs="Arial"/>
              </w:rPr>
              <w:t>,</w:t>
            </w:r>
            <w:r w:rsidRPr="00CD5714">
              <w:rPr>
                <w:rFonts w:ascii="Arial" w:hAnsi="Arial" w:cs="Arial"/>
                <w:lang w:val="en-GB"/>
              </w:rPr>
              <w:t>941</w:t>
            </w:r>
          </w:p>
        </w:tc>
        <w:tc>
          <w:tcPr>
            <w:tcW w:w="1368" w:type="dxa"/>
            <w:tcBorders>
              <w:bottom w:val="single" w:sz="4" w:space="0" w:color="auto"/>
            </w:tcBorders>
            <w:shd w:val="clear" w:color="auto" w:fill="auto"/>
          </w:tcPr>
          <w:p w14:paraId="0B9A4CC1" w14:textId="05ADAC70" w:rsidR="006678C9" w:rsidRPr="002D2F67" w:rsidRDefault="006678C9" w:rsidP="006678C9">
            <w:pPr>
              <w:pStyle w:val="BodyTextIndent2"/>
              <w:spacing w:line="240" w:lineRule="auto"/>
              <w:ind w:left="0" w:right="-72"/>
              <w:jc w:val="right"/>
              <w:rPr>
                <w:rFonts w:ascii="Arial" w:hAnsi="Arial" w:cs="Arial"/>
              </w:rPr>
            </w:pPr>
            <w:r w:rsidRPr="002D2F67">
              <w:rPr>
                <w:rFonts w:ascii="Arial" w:hAnsi="Arial" w:cs="Arial"/>
              </w:rPr>
              <w:t>-</w:t>
            </w:r>
          </w:p>
        </w:tc>
        <w:tc>
          <w:tcPr>
            <w:tcW w:w="1368" w:type="dxa"/>
            <w:tcBorders>
              <w:bottom w:val="single" w:sz="4" w:space="0" w:color="auto"/>
            </w:tcBorders>
            <w:shd w:val="clear" w:color="auto" w:fill="auto"/>
            <w:vAlign w:val="bottom"/>
          </w:tcPr>
          <w:p w14:paraId="397F3DEA" w14:textId="08F3E60C" w:rsidR="006678C9" w:rsidRPr="002D2F67" w:rsidRDefault="006678C9" w:rsidP="006678C9">
            <w:pPr>
              <w:pStyle w:val="BodyTextIndent2"/>
              <w:spacing w:line="240" w:lineRule="auto"/>
              <w:ind w:left="0" w:right="-72"/>
              <w:jc w:val="right"/>
              <w:rPr>
                <w:rFonts w:ascii="Arial" w:hAnsi="Arial" w:cs="Arial"/>
              </w:rPr>
            </w:pPr>
            <w:r w:rsidRPr="002D2F67">
              <w:rPr>
                <w:rFonts w:ascii="Arial" w:hAnsi="Arial" w:cs="Arial"/>
              </w:rPr>
              <w:t>-</w:t>
            </w:r>
          </w:p>
        </w:tc>
      </w:tr>
    </w:tbl>
    <w:p w14:paraId="7DE10F13" w14:textId="77777777" w:rsidR="001665BA" w:rsidRPr="002D2F67" w:rsidRDefault="001665BA" w:rsidP="005611FE">
      <w:pPr>
        <w:jc w:val="thaiDistribute"/>
        <w:rPr>
          <w:rFonts w:ascii="Arial" w:hAnsi="Arial" w:cs="Arial"/>
          <w:color w:val="000000"/>
          <w:sz w:val="20"/>
          <w:szCs w:val="20"/>
        </w:rPr>
      </w:pPr>
    </w:p>
    <w:p w14:paraId="50244049" w14:textId="39A04D04" w:rsidR="00296573" w:rsidRPr="002D2F67" w:rsidRDefault="001665BA" w:rsidP="00296573">
      <w:pPr>
        <w:jc w:val="both"/>
        <w:rPr>
          <w:rFonts w:ascii="Arial" w:eastAsia="Arial" w:hAnsi="Arial" w:cs="Arial"/>
          <w:color w:val="000000"/>
          <w:sz w:val="20"/>
          <w:szCs w:val="20"/>
        </w:rPr>
      </w:pPr>
      <w:r w:rsidRPr="002D2F67">
        <w:rPr>
          <w:rFonts w:ascii="Arial" w:hAnsi="Arial" w:cs="Arial"/>
          <w:color w:val="000000"/>
          <w:sz w:val="20"/>
          <w:szCs w:val="20"/>
        </w:rPr>
        <w:t xml:space="preserve">As </w:t>
      </w:r>
      <w:proofErr w:type="gramStart"/>
      <w:r w:rsidRPr="002D2F67">
        <w:rPr>
          <w:rFonts w:ascii="Arial" w:hAnsi="Arial" w:cs="Arial"/>
          <w:color w:val="000000"/>
          <w:sz w:val="20"/>
          <w:szCs w:val="20"/>
        </w:rPr>
        <w:t>at</w:t>
      </w:r>
      <w:proofErr w:type="gramEnd"/>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31</w:t>
      </w:r>
      <w:r w:rsidRPr="002D2F67">
        <w:rPr>
          <w:rFonts w:ascii="Arial" w:hAnsi="Arial" w:cs="Arial"/>
          <w:color w:val="000000"/>
          <w:sz w:val="20"/>
          <w:szCs w:val="20"/>
        </w:rPr>
        <w:t xml:space="preserve"> December </w:t>
      </w:r>
      <w:r w:rsidR="00CD5714" w:rsidRPr="00CD5714">
        <w:rPr>
          <w:rFonts w:ascii="Arial" w:hAnsi="Arial" w:cs="Arial"/>
          <w:color w:val="000000"/>
          <w:sz w:val="20"/>
          <w:szCs w:val="20"/>
          <w:lang w:val="en-GB"/>
        </w:rPr>
        <w:t>2024</w:t>
      </w:r>
      <w:r w:rsidRPr="002D2F67">
        <w:rPr>
          <w:rFonts w:ascii="Arial" w:hAnsi="Arial" w:cs="Arial"/>
          <w:color w:val="000000"/>
          <w:sz w:val="20"/>
          <w:szCs w:val="20"/>
        </w:rPr>
        <w:t xml:space="preserve">, </w:t>
      </w:r>
      <w:r w:rsidRPr="002D2F67">
        <w:rPr>
          <w:rFonts w:ascii="Arial" w:hAnsi="Arial" w:cs="Arial"/>
          <w:color w:val="000000"/>
          <w:spacing w:val="-4"/>
          <w:sz w:val="20"/>
          <w:szCs w:val="20"/>
        </w:rPr>
        <w:t>non-current assets held-for-sale of the Group consisted of net assets of Kanjanadi</w:t>
      </w:r>
      <w:r w:rsidRPr="002D2F67">
        <w:rPr>
          <w:rFonts w:ascii="Arial" w:hAnsi="Arial" w:cs="Arial"/>
          <w:color w:val="000000"/>
          <w:sz w:val="20"/>
          <w:szCs w:val="20"/>
        </w:rPr>
        <w:t xml:space="preserve">t </w:t>
      </w:r>
      <w:r w:rsidRPr="002D2F67">
        <w:rPr>
          <w:rFonts w:ascii="Arial" w:hAnsi="Arial" w:cs="Arial"/>
          <w:color w:val="000000"/>
          <w:spacing w:val="-7"/>
          <w:sz w:val="20"/>
          <w:szCs w:val="20"/>
        </w:rPr>
        <w:t>Palm Oil Co., Ltd. (KJD)</w:t>
      </w:r>
      <w:r w:rsidR="009D3F26" w:rsidRPr="002D2F67">
        <w:rPr>
          <w:rFonts w:ascii="Arial" w:hAnsi="Arial" w:cs="Arial"/>
          <w:color w:val="000000"/>
          <w:spacing w:val="-7"/>
          <w:sz w:val="20"/>
          <w:szCs w:val="20"/>
        </w:rPr>
        <w:t xml:space="preserve"> </w:t>
      </w:r>
      <w:r w:rsidR="00DC6088" w:rsidRPr="002D2F67">
        <w:rPr>
          <w:rFonts w:ascii="Arial" w:hAnsi="Arial" w:cs="Arial"/>
          <w:color w:val="000000"/>
          <w:spacing w:val="-7"/>
          <w:sz w:val="20"/>
          <w:szCs w:val="20"/>
        </w:rPr>
        <w:t>of</w:t>
      </w:r>
      <w:r w:rsidR="009D3F26" w:rsidRPr="002D2F67">
        <w:rPr>
          <w:rFonts w:ascii="Arial" w:hAnsi="Arial" w:cs="Arial"/>
          <w:color w:val="000000"/>
          <w:spacing w:val="-7"/>
          <w:sz w:val="20"/>
          <w:szCs w:val="20"/>
        </w:rPr>
        <w:t xml:space="preserve"> Baht </w:t>
      </w:r>
      <w:r w:rsidR="00CD5714" w:rsidRPr="00CD5714">
        <w:rPr>
          <w:rFonts w:ascii="Arial" w:hAnsi="Arial" w:cs="Arial"/>
          <w:color w:val="000000"/>
          <w:spacing w:val="-7"/>
          <w:sz w:val="20"/>
          <w:szCs w:val="20"/>
          <w:lang w:val="en-GB"/>
        </w:rPr>
        <w:t>312</w:t>
      </w:r>
      <w:r w:rsidR="009D3F26" w:rsidRPr="002D2F67">
        <w:rPr>
          <w:rFonts w:ascii="Arial" w:hAnsi="Arial" w:cs="Arial"/>
          <w:color w:val="000000"/>
          <w:spacing w:val="-7"/>
          <w:sz w:val="20"/>
          <w:szCs w:val="20"/>
        </w:rPr>
        <w:t xml:space="preserve"> million (</w:t>
      </w:r>
      <w:r w:rsidR="00CD5714" w:rsidRPr="00CD5714">
        <w:rPr>
          <w:rFonts w:ascii="Arial" w:hAnsi="Arial" w:cs="Arial"/>
          <w:color w:val="000000"/>
          <w:spacing w:val="-7"/>
          <w:sz w:val="20"/>
          <w:szCs w:val="20"/>
          <w:lang w:val="en-GB"/>
        </w:rPr>
        <w:t>2023</w:t>
      </w:r>
      <w:r w:rsidR="006B55B7" w:rsidRPr="002D2F67">
        <w:rPr>
          <w:rFonts w:ascii="Arial" w:hAnsi="Arial" w:cs="Arial"/>
          <w:color w:val="000000"/>
          <w:spacing w:val="-7"/>
          <w:sz w:val="20"/>
          <w:szCs w:val="20"/>
        </w:rPr>
        <w:t xml:space="preserve">: Net assets of KJD of Baht </w:t>
      </w:r>
      <w:r w:rsidR="00CD5714" w:rsidRPr="00CD5714">
        <w:rPr>
          <w:rFonts w:ascii="Arial" w:hAnsi="Arial" w:cs="Arial"/>
          <w:color w:val="000000"/>
          <w:spacing w:val="-7"/>
          <w:sz w:val="20"/>
          <w:szCs w:val="20"/>
          <w:lang w:val="en-GB"/>
        </w:rPr>
        <w:t>358</w:t>
      </w:r>
      <w:r w:rsidR="006B55B7" w:rsidRPr="002D2F67">
        <w:rPr>
          <w:rFonts w:ascii="Arial" w:hAnsi="Arial" w:cs="Arial"/>
          <w:color w:val="000000"/>
          <w:spacing w:val="-7"/>
          <w:sz w:val="20"/>
          <w:szCs w:val="20"/>
        </w:rPr>
        <w:t xml:space="preserve"> million and Solar panel of Baht </w:t>
      </w:r>
      <w:r w:rsidR="00CD5714" w:rsidRPr="00CD5714">
        <w:rPr>
          <w:rFonts w:ascii="Arial" w:hAnsi="Arial" w:cs="Arial"/>
          <w:color w:val="000000"/>
          <w:spacing w:val="-7"/>
          <w:sz w:val="20"/>
          <w:szCs w:val="20"/>
          <w:lang w:val="en-GB"/>
        </w:rPr>
        <w:t>165</w:t>
      </w:r>
      <w:r w:rsidR="006B55B7" w:rsidRPr="002D2F67">
        <w:rPr>
          <w:rFonts w:ascii="Arial" w:hAnsi="Arial" w:cs="Arial"/>
          <w:color w:val="000000"/>
          <w:spacing w:val="-7"/>
          <w:sz w:val="20"/>
          <w:szCs w:val="20"/>
        </w:rPr>
        <w:t xml:space="preserve"> million).</w:t>
      </w:r>
      <w:r w:rsidR="00FB0A35" w:rsidRPr="002D2F67">
        <w:rPr>
          <w:rFonts w:ascii="Arial" w:hAnsi="Arial" w:cs="Arial"/>
          <w:color w:val="000000"/>
          <w:spacing w:val="-7"/>
          <w:sz w:val="20"/>
          <w:szCs w:val="20"/>
          <w:cs/>
        </w:rPr>
        <w:t xml:space="preserve"> </w:t>
      </w:r>
      <w:r w:rsidR="00FB0A35" w:rsidRPr="002D2F67">
        <w:rPr>
          <w:rFonts w:ascii="Arial" w:hAnsi="Arial" w:cs="Arial"/>
          <w:color w:val="000000"/>
          <w:spacing w:val="-7"/>
          <w:sz w:val="20"/>
          <w:szCs w:val="20"/>
        </w:rPr>
        <w:t>The Group</w:t>
      </w:r>
      <w:r w:rsidR="00601805" w:rsidRPr="002D2F67">
        <w:rPr>
          <w:rFonts w:ascii="Arial" w:hAnsi="Arial" w:cs="Arial"/>
          <w:color w:val="000000"/>
          <w:spacing w:val="-7"/>
          <w:sz w:val="20"/>
          <w:szCs w:val="20"/>
        </w:rPr>
        <w:t xml:space="preserve"> measured the assets and liabilities at the lower of carrying amount and fair value less costs </w:t>
      </w:r>
      <w:r w:rsidR="00987A26" w:rsidRPr="002D2F67">
        <w:rPr>
          <w:rFonts w:ascii="Arial" w:hAnsi="Arial" w:cs="Arial"/>
          <w:color w:val="000000"/>
          <w:spacing w:val="-7"/>
          <w:sz w:val="20"/>
          <w:szCs w:val="20"/>
        </w:rPr>
        <w:t>of disposal</w:t>
      </w:r>
      <w:r w:rsidR="00601805" w:rsidRPr="002D2F67">
        <w:rPr>
          <w:rFonts w:ascii="Arial" w:hAnsi="Arial" w:cs="Arial"/>
          <w:color w:val="000000"/>
          <w:spacing w:val="-7"/>
          <w:sz w:val="20"/>
          <w:szCs w:val="20"/>
        </w:rPr>
        <w:t>.</w:t>
      </w:r>
    </w:p>
    <w:p w14:paraId="1D476685" w14:textId="77777777" w:rsidR="00296573" w:rsidRPr="002D2F67" w:rsidRDefault="00296573" w:rsidP="00296573">
      <w:pPr>
        <w:jc w:val="both"/>
        <w:rPr>
          <w:rFonts w:ascii="Arial" w:eastAsia="Arial" w:hAnsi="Arial" w:cs="Arial"/>
          <w:color w:val="000000"/>
          <w:sz w:val="20"/>
          <w:szCs w:val="20"/>
        </w:rPr>
      </w:pPr>
    </w:p>
    <w:p w14:paraId="296B8880" w14:textId="77777777" w:rsidR="00FB4571" w:rsidRPr="002D2F67" w:rsidRDefault="00FB4571" w:rsidP="005611FE">
      <w:pPr>
        <w:jc w:val="thaiDistribute"/>
        <w:rPr>
          <w:rFonts w:ascii="Arial" w:hAnsi="Arial" w:cs="Arial"/>
          <w:color w:val="000000"/>
          <w:sz w:val="20"/>
          <w:szCs w:val="20"/>
        </w:rPr>
      </w:pPr>
    </w:p>
    <w:p w14:paraId="0572B63E" w14:textId="15F61A55" w:rsidR="004F155A" w:rsidRPr="002D2F67" w:rsidRDefault="00CD5714" w:rsidP="00D04D5C">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17</w:t>
      </w:r>
      <w:r w:rsidR="004F155A" w:rsidRPr="002D2F67">
        <w:rPr>
          <w:rFonts w:ascii="Arial" w:hAnsi="Arial" w:cs="Arial"/>
          <w:b/>
          <w:bCs/>
          <w:color w:val="000000"/>
          <w:kern w:val="26"/>
          <w:position w:val="-24"/>
          <w:sz w:val="20"/>
          <w:szCs w:val="20"/>
          <w:cs/>
        </w:rPr>
        <w:tab/>
      </w:r>
      <w:r w:rsidR="00D65B31" w:rsidRPr="002D2F67">
        <w:rPr>
          <w:rFonts w:ascii="Arial" w:hAnsi="Arial" w:cs="Arial"/>
          <w:b/>
          <w:bCs/>
          <w:color w:val="000000"/>
          <w:kern w:val="26"/>
          <w:position w:val="-24"/>
          <w:sz w:val="20"/>
          <w:szCs w:val="20"/>
        </w:rPr>
        <w:t>Financial assets measured at amortised cost</w:t>
      </w:r>
    </w:p>
    <w:p w14:paraId="44AC23EF" w14:textId="77777777" w:rsidR="000617E0" w:rsidRPr="002D2F67" w:rsidRDefault="000617E0" w:rsidP="005611FE">
      <w:pPr>
        <w:jc w:val="thaiDistribute"/>
        <w:rPr>
          <w:rFonts w:ascii="Arial" w:hAnsi="Arial" w:cs="Arial"/>
          <w:color w:val="000000"/>
          <w:sz w:val="20"/>
          <w:szCs w:val="20"/>
          <w:highlight w:val="yellow"/>
        </w:rPr>
      </w:pPr>
    </w:p>
    <w:p w14:paraId="3CF8E1F0" w14:textId="0E7A15DC" w:rsidR="00795DE4" w:rsidRPr="002D2F67" w:rsidRDefault="00297DA5" w:rsidP="005611FE">
      <w:pPr>
        <w:jc w:val="thaiDistribute"/>
        <w:rPr>
          <w:rFonts w:ascii="Arial" w:hAnsi="Arial" w:cs="Arial"/>
          <w:color w:val="000000"/>
          <w:sz w:val="20"/>
          <w:szCs w:val="20"/>
        </w:rPr>
      </w:pPr>
      <w:r w:rsidRPr="002D2F67">
        <w:rPr>
          <w:rFonts w:ascii="Arial" w:hAnsi="Arial" w:cs="Arial"/>
          <w:color w:val="000000"/>
          <w:sz w:val="20"/>
          <w:szCs w:val="20"/>
        </w:rPr>
        <w:t xml:space="preserve">As </w:t>
      </w:r>
      <w:proofErr w:type="gramStart"/>
      <w:r w:rsidRPr="002D2F67">
        <w:rPr>
          <w:rFonts w:ascii="Arial" w:hAnsi="Arial" w:cs="Arial"/>
          <w:color w:val="000000"/>
          <w:sz w:val="20"/>
          <w:szCs w:val="20"/>
        </w:rPr>
        <w:t>at</w:t>
      </w:r>
      <w:proofErr w:type="gramEnd"/>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31</w:t>
      </w:r>
      <w:r w:rsidRPr="002D2F67">
        <w:rPr>
          <w:rFonts w:ascii="Arial" w:hAnsi="Arial" w:cs="Arial"/>
          <w:color w:val="000000"/>
          <w:sz w:val="20"/>
          <w:szCs w:val="20"/>
        </w:rPr>
        <w:t xml:space="preserve"> December </w:t>
      </w:r>
      <w:r w:rsidR="00CD5714" w:rsidRPr="00CD5714">
        <w:rPr>
          <w:rFonts w:ascii="Arial" w:hAnsi="Arial" w:cs="Arial"/>
          <w:color w:val="000000"/>
          <w:sz w:val="20"/>
          <w:szCs w:val="20"/>
          <w:lang w:val="en-GB"/>
        </w:rPr>
        <w:t>2024</w:t>
      </w:r>
      <w:r w:rsidR="00935B06" w:rsidRPr="002D2F67">
        <w:rPr>
          <w:rFonts w:ascii="Arial" w:hAnsi="Arial" w:cs="Arial"/>
          <w:color w:val="000000"/>
          <w:sz w:val="20"/>
          <w:szCs w:val="20"/>
        </w:rPr>
        <w:t xml:space="preserve"> and </w:t>
      </w:r>
      <w:r w:rsidR="00CD5714" w:rsidRPr="00CD5714">
        <w:rPr>
          <w:rFonts w:ascii="Arial" w:hAnsi="Arial" w:cs="Arial"/>
          <w:color w:val="000000"/>
          <w:sz w:val="20"/>
          <w:szCs w:val="20"/>
          <w:lang w:val="en-GB"/>
        </w:rPr>
        <w:t>2023</w:t>
      </w:r>
      <w:r w:rsidR="000617E0" w:rsidRPr="002D2F67">
        <w:rPr>
          <w:rFonts w:ascii="Arial" w:hAnsi="Arial" w:cs="Arial"/>
          <w:color w:val="000000"/>
          <w:sz w:val="20"/>
          <w:szCs w:val="20"/>
        </w:rPr>
        <w:t>,</w:t>
      </w:r>
      <w:r w:rsidR="00542FD5" w:rsidRPr="002D2F67">
        <w:rPr>
          <w:rFonts w:ascii="Arial" w:hAnsi="Arial" w:cs="Arial"/>
          <w:color w:val="000000"/>
          <w:sz w:val="20"/>
          <w:szCs w:val="20"/>
          <w:cs/>
        </w:rPr>
        <w:t xml:space="preserve"> </w:t>
      </w:r>
      <w:r w:rsidR="00542FD5" w:rsidRPr="002D2F67">
        <w:rPr>
          <w:rFonts w:ascii="Arial" w:hAnsi="Arial" w:cs="Arial"/>
          <w:color w:val="000000"/>
          <w:sz w:val="20"/>
          <w:szCs w:val="20"/>
        </w:rPr>
        <w:t>financial assets measured at amortised cost</w:t>
      </w:r>
      <w:r w:rsidR="000617E0" w:rsidRPr="002D2F67">
        <w:rPr>
          <w:rFonts w:ascii="Arial" w:hAnsi="Arial" w:cs="Arial"/>
          <w:color w:val="000000"/>
          <w:sz w:val="20"/>
          <w:szCs w:val="20"/>
        </w:rPr>
        <w:t xml:space="preserve"> </w:t>
      </w:r>
      <w:r w:rsidR="00542FD5" w:rsidRPr="002D2F67">
        <w:rPr>
          <w:rFonts w:ascii="Arial" w:hAnsi="Arial" w:cs="Arial"/>
          <w:color w:val="000000"/>
          <w:sz w:val="20"/>
          <w:szCs w:val="20"/>
        </w:rPr>
        <w:t xml:space="preserve">consist of investments in </w:t>
      </w:r>
      <w:r w:rsidR="00542FD5" w:rsidRPr="002D2F67">
        <w:rPr>
          <w:rFonts w:ascii="Arial" w:hAnsi="Arial" w:cs="Arial"/>
          <w:color w:val="000000"/>
          <w:spacing w:val="-4"/>
          <w:sz w:val="20"/>
          <w:szCs w:val="20"/>
        </w:rPr>
        <w:t xml:space="preserve">government bonds issued by a foreign bank </w:t>
      </w:r>
      <w:r w:rsidR="00DC6088" w:rsidRPr="002D2F67">
        <w:rPr>
          <w:rFonts w:ascii="Arial" w:hAnsi="Arial" w:cs="Arial"/>
          <w:color w:val="000000"/>
          <w:spacing w:val="-4"/>
          <w:sz w:val="20"/>
          <w:szCs w:val="20"/>
        </w:rPr>
        <w:t>of</w:t>
      </w:r>
      <w:r w:rsidR="00542FD5" w:rsidRPr="002D2F67">
        <w:rPr>
          <w:rFonts w:ascii="Arial" w:hAnsi="Arial" w:cs="Arial"/>
          <w:color w:val="000000"/>
          <w:spacing w:val="-4"/>
          <w:sz w:val="20"/>
          <w:szCs w:val="20"/>
        </w:rPr>
        <w:t xml:space="preserve"> Baht </w:t>
      </w:r>
      <w:r w:rsidR="00CD5714" w:rsidRPr="00CD5714">
        <w:rPr>
          <w:rFonts w:ascii="Arial" w:hAnsi="Arial" w:cs="Arial"/>
          <w:color w:val="000000"/>
          <w:spacing w:val="-4"/>
          <w:sz w:val="20"/>
          <w:szCs w:val="20"/>
          <w:lang w:val="en-GB"/>
        </w:rPr>
        <w:t>3</w:t>
      </w:r>
      <w:r w:rsidR="00542FD5"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500</w:t>
      </w:r>
      <w:r w:rsidR="00542FD5" w:rsidRPr="002D2F67">
        <w:rPr>
          <w:rFonts w:ascii="Arial" w:hAnsi="Arial" w:cs="Arial"/>
          <w:color w:val="000000"/>
          <w:spacing w:val="-4"/>
          <w:sz w:val="20"/>
          <w:szCs w:val="20"/>
        </w:rPr>
        <w:t xml:space="preserve"> million</w:t>
      </w:r>
      <w:r w:rsidR="000617E0" w:rsidRPr="002D2F67">
        <w:rPr>
          <w:rFonts w:ascii="Arial" w:hAnsi="Arial" w:cs="Arial"/>
          <w:color w:val="000000"/>
          <w:spacing w:val="-4"/>
          <w:sz w:val="20"/>
          <w:szCs w:val="20"/>
        </w:rPr>
        <w:t>.</w:t>
      </w:r>
      <w:r w:rsidR="004E596E" w:rsidRPr="002D2F67">
        <w:rPr>
          <w:rFonts w:ascii="Arial" w:hAnsi="Arial" w:cs="Arial"/>
          <w:color w:val="000000"/>
          <w:spacing w:val="-4"/>
          <w:sz w:val="20"/>
          <w:szCs w:val="20"/>
        </w:rPr>
        <w:t xml:space="preserve"> </w:t>
      </w:r>
      <w:r w:rsidR="000617E0" w:rsidRPr="002D2F67">
        <w:rPr>
          <w:rFonts w:ascii="Arial" w:hAnsi="Arial" w:cs="Arial"/>
          <w:color w:val="000000"/>
          <w:spacing w:val="-4"/>
          <w:sz w:val="20"/>
          <w:szCs w:val="20"/>
        </w:rPr>
        <w:t>The Government bond b</w:t>
      </w:r>
      <w:r w:rsidR="00400441" w:rsidRPr="002D2F67">
        <w:rPr>
          <w:rFonts w:ascii="Arial" w:hAnsi="Arial" w:cs="Arial"/>
          <w:color w:val="000000"/>
          <w:spacing w:val="-4"/>
          <w:sz w:val="20"/>
          <w:szCs w:val="20"/>
        </w:rPr>
        <w:t>ore</w:t>
      </w:r>
      <w:r w:rsidR="000617E0" w:rsidRPr="002D2F67">
        <w:rPr>
          <w:rFonts w:ascii="Arial" w:hAnsi="Arial" w:cs="Arial"/>
          <w:color w:val="000000"/>
          <w:spacing w:val="-4"/>
          <w:sz w:val="20"/>
          <w:szCs w:val="20"/>
        </w:rPr>
        <w:t xml:space="preserve"> fixed interest</w:t>
      </w:r>
      <w:r w:rsidR="000617E0" w:rsidRPr="002D2F67">
        <w:rPr>
          <w:rFonts w:ascii="Arial" w:hAnsi="Arial" w:cs="Arial"/>
          <w:color w:val="000000"/>
          <w:sz w:val="20"/>
          <w:szCs w:val="20"/>
        </w:rPr>
        <w:t xml:space="preserve"> </w:t>
      </w:r>
      <w:r w:rsidR="000617E0" w:rsidRPr="002D2F67">
        <w:rPr>
          <w:rFonts w:ascii="Arial" w:hAnsi="Arial" w:cs="Arial"/>
          <w:color w:val="000000"/>
          <w:spacing w:val="-4"/>
          <w:sz w:val="20"/>
          <w:szCs w:val="20"/>
        </w:rPr>
        <w:t xml:space="preserve">rate at </w:t>
      </w:r>
      <w:r w:rsidR="00CD5714" w:rsidRPr="00CD5714">
        <w:rPr>
          <w:rFonts w:ascii="Arial" w:hAnsi="Arial" w:cs="Arial"/>
          <w:color w:val="000000"/>
          <w:spacing w:val="-4"/>
          <w:sz w:val="20"/>
          <w:szCs w:val="20"/>
          <w:lang w:val="en-GB"/>
        </w:rPr>
        <w:t>6</w:t>
      </w:r>
      <w:r w:rsidR="000617E0" w:rsidRPr="002D2F67">
        <w:rPr>
          <w:rFonts w:ascii="Arial" w:hAnsi="Arial" w:cs="Arial"/>
          <w:color w:val="000000"/>
          <w:spacing w:val="-4"/>
          <w:sz w:val="20"/>
          <w:szCs w:val="20"/>
        </w:rPr>
        <w:t>% per annum. The terms of principal and interest repayment are specific schedules which are within one year. At maturity, the Company can elect either</w:t>
      </w:r>
      <w:r w:rsidR="000617E0" w:rsidRPr="002D2F67">
        <w:rPr>
          <w:rFonts w:ascii="Arial" w:hAnsi="Arial" w:cs="Arial"/>
          <w:color w:val="000000"/>
          <w:spacing w:val="-4"/>
          <w:sz w:val="20"/>
          <w:szCs w:val="20"/>
          <w:cs/>
        </w:rPr>
        <w:t xml:space="preserve"> </w:t>
      </w:r>
      <w:r w:rsidR="000617E0" w:rsidRPr="002D2F67">
        <w:rPr>
          <w:rFonts w:ascii="Arial" w:hAnsi="Arial" w:cs="Arial"/>
          <w:color w:val="000000"/>
          <w:spacing w:val="-4"/>
          <w:sz w:val="20"/>
          <w:szCs w:val="20"/>
        </w:rPr>
        <w:t xml:space="preserve">to redeem the Government bond or to convert such amount </w:t>
      </w:r>
      <w:r w:rsidR="000617E0" w:rsidRPr="002D2F67">
        <w:rPr>
          <w:rFonts w:ascii="Arial" w:hAnsi="Arial" w:cs="Arial"/>
          <w:color w:val="000000"/>
          <w:spacing w:val="-10"/>
          <w:sz w:val="20"/>
          <w:szCs w:val="20"/>
        </w:rPr>
        <w:t xml:space="preserve">as an equity contribution based on a </w:t>
      </w:r>
      <w:r w:rsidR="00DC6088" w:rsidRPr="002D2F67">
        <w:rPr>
          <w:rFonts w:ascii="Arial" w:hAnsi="Arial" w:cs="Arial"/>
          <w:color w:val="000000"/>
          <w:spacing w:val="-10"/>
          <w:sz w:val="20"/>
          <w:szCs w:val="20"/>
        </w:rPr>
        <w:t>J</w:t>
      </w:r>
      <w:r w:rsidR="000617E0" w:rsidRPr="002D2F67">
        <w:rPr>
          <w:rFonts w:ascii="Arial" w:hAnsi="Arial" w:cs="Arial"/>
          <w:color w:val="000000"/>
          <w:spacing w:val="-10"/>
          <w:sz w:val="20"/>
          <w:szCs w:val="20"/>
        </w:rPr>
        <w:t xml:space="preserve">oint </w:t>
      </w:r>
      <w:r w:rsidR="00DC6088" w:rsidRPr="002D2F67">
        <w:rPr>
          <w:rFonts w:ascii="Arial" w:hAnsi="Arial" w:cs="Arial"/>
          <w:color w:val="000000"/>
          <w:spacing w:val="-10"/>
          <w:sz w:val="20"/>
          <w:szCs w:val="20"/>
        </w:rPr>
        <w:t>C</w:t>
      </w:r>
      <w:r w:rsidR="000617E0" w:rsidRPr="002D2F67">
        <w:rPr>
          <w:rFonts w:ascii="Arial" w:hAnsi="Arial" w:cs="Arial"/>
          <w:color w:val="000000"/>
          <w:spacing w:val="-10"/>
          <w:sz w:val="20"/>
          <w:szCs w:val="20"/>
        </w:rPr>
        <w:t>ollaboration agreement between the Company and that foreign government</w:t>
      </w:r>
      <w:r w:rsidR="004E596E" w:rsidRPr="002D2F67">
        <w:rPr>
          <w:rFonts w:ascii="Arial" w:hAnsi="Arial" w:cs="Arial"/>
          <w:color w:val="000000"/>
          <w:spacing w:val="-10"/>
          <w:sz w:val="20"/>
          <w:szCs w:val="20"/>
        </w:rPr>
        <w:t>.</w:t>
      </w:r>
    </w:p>
    <w:p w14:paraId="74330DDF" w14:textId="07BB715E" w:rsidR="007B75F4" w:rsidRPr="002D2F67" w:rsidRDefault="009A4744" w:rsidP="005611FE">
      <w:pPr>
        <w:jc w:val="thaiDistribute"/>
        <w:rPr>
          <w:rFonts w:ascii="Arial" w:hAnsi="Arial" w:cs="Arial"/>
          <w:color w:val="000000"/>
          <w:sz w:val="20"/>
          <w:szCs w:val="20"/>
        </w:rPr>
      </w:pPr>
      <w:r w:rsidRPr="002D2F67">
        <w:rPr>
          <w:rFonts w:ascii="Arial" w:hAnsi="Arial" w:cs="Arial"/>
          <w:b/>
          <w:bCs/>
          <w:color w:val="000000"/>
          <w:sz w:val="20"/>
          <w:szCs w:val="20"/>
        </w:rPr>
        <w:br w:type="page"/>
      </w:r>
    </w:p>
    <w:p w14:paraId="14ACF344" w14:textId="796EC328" w:rsidR="006D0D7E"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18</w:t>
      </w:r>
      <w:r w:rsidR="006D0D7E" w:rsidRPr="002D2F67">
        <w:rPr>
          <w:rFonts w:ascii="Arial" w:hAnsi="Arial" w:cs="Arial"/>
          <w:b/>
          <w:bCs/>
          <w:color w:val="000000"/>
          <w:kern w:val="26"/>
          <w:position w:val="-24"/>
          <w:sz w:val="20"/>
          <w:szCs w:val="20"/>
          <w:cs/>
        </w:rPr>
        <w:tab/>
      </w:r>
      <w:r w:rsidR="006D0D7E" w:rsidRPr="002D2F67">
        <w:rPr>
          <w:rFonts w:ascii="Arial" w:hAnsi="Arial" w:cs="Arial"/>
          <w:b/>
          <w:bCs/>
          <w:color w:val="000000"/>
          <w:kern w:val="26"/>
          <w:position w:val="-24"/>
          <w:sz w:val="20"/>
          <w:szCs w:val="20"/>
        </w:rPr>
        <w:t>Financial assets measured at fair value through other comprehensive income</w:t>
      </w:r>
    </w:p>
    <w:p w14:paraId="49FD3D63" w14:textId="737409A5" w:rsidR="006D0D7E" w:rsidRPr="002D2F67" w:rsidRDefault="006D0D7E" w:rsidP="005611FE">
      <w:pPr>
        <w:pStyle w:val="BodyTextIndent2"/>
        <w:spacing w:line="240" w:lineRule="auto"/>
        <w:ind w:left="0"/>
        <w:jc w:val="left"/>
        <w:rPr>
          <w:rFonts w:ascii="Arial" w:hAnsi="Arial" w:cs="Arial"/>
          <w:spacing w:val="-2"/>
        </w:rPr>
      </w:pPr>
    </w:p>
    <w:tbl>
      <w:tblPr>
        <w:tblW w:w="9453" w:type="dxa"/>
        <w:tblInd w:w="108" w:type="dxa"/>
        <w:tblLayout w:type="fixed"/>
        <w:tblLook w:val="0000" w:firstRow="0" w:lastRow="0" w:firstColumn="0" w:lastColumn="0" w:noHBand="0" w:noVBand="0"/>
      </w:tblPr>
      <w:tblGrid>
        <w:gridCol w:w="3690"/>
        <w:gridCol w:w="1440"/>
        <w:gridCol w:w="1443"/>
        <w:gridCol w:w="1439"/>
        <w:gridCol w:w="1441"/>
      </w:tblGrid>
      <w:tr w:rsidR="006D0D7E" w:rsidRPr="002D2F67" w14:paraId="043FC517" w14:textId="77777777" w:rsidTr="008255E8">
        <w:trPr>
          <w:cantSplit/>
        </w:trPr>
        <w:tc>
          <w:tcPr>
            <w:tcW w:w="3690" w:type="dxa"/>
            <w:shd w:val="clear" w:color="auto" w:fill="auto"/>
          </w:tcPr>
          <w:p w14:paraId="1328D5F6" w14:textId="77777777" w:rsidR="006D0D7E" w:rsidRPr="002D2F67" w:rsidRDefault="006D0D7E" w:rsidP="002D2F67">
            <w:pPr>
              <w:ind w:left="-101" w:hanging="3"/>
              <w:rPr>
                <w:rFonts w:ascii="Arial" w:eastAsia="Arial Unicode MS" w:hAnsi="Arial" w:cs="Arial"/>
                <w:snapToGrid w:val="0"/>
                <w:color w:val="000000"/>
                <w:sz w:val="20"/>
                <w:szCs w:val="20"/>
                <w:lang w:eastAsia="th-TH"/>
              </w:rPr>
            </w:pPr>
          </w:p>
        </w:tc>
        <w:tc>
          <w:tcPr>
            <w:tcW w:w="2883" w:type="dxa"/>
            <w:gridSpan w:val="2"/>
            <w:tcBorders>
              <w:bottom w:val="single" w:sz="4" w:space="0" w:color="auto"/>
            </w:tcBorders>
            <w:shd w:val="clear" w:color="auto" w:fill="auto"/>
          </w:tcPr>
          <w:p w14:paraId="20A4ED6D" w14:textId="77777777" w:rsidR="006D0D7E" w:rsidRPr="002D2F67" w:rsidRDefault="006D0D7E" w:rsidP="002D2F67">
            <w:pPr>
              <w:pStyle w:val="BodyTextIndent2"/>
              <w:spacing w:line="240" w:lineRule="auto"/>
              <w:ind w:left="0" w:right="-72"/>
              <w:jc w:val="right"/>
              <w:rPr>
                <w:rFonts w:ascii="Arial" w:hAnsi="Arial" w:cs="Arial"/>
                <w:b/>
                <w:bCs/>
              </w:rPr>
            </w:pPr>
            <w:r w:rsidRPr="002D2F67">
              <w:rPr>
                <w:rFonts w:ascii="Arial" w:hAnsi="Arial" w:cs="Arial"/>
                <w:b/>
                <w:bCs/>
              </w:rPr>
              <w:t>Consolidated</w:t>
            </w:r>
          </w:p>
          <w:p w14:paraId="723524C5" w14:textId="77777777" w:rsidR="006D0D7E" w:rsidRPr="002D2F67" w:rsidRDefault="006D0D7E" w:rsidP="002D2F67">
            <w:pPr>
              <w:ind w:right="-72"/>
              <w:jc w:val="right"/>
              <w:rPr>
                <w:rFonts w:ascii="Arial" w:eastAsia="Arial Unicode MS" w:hAnsi="Arial" w:cs="Arial"/>
                <w:b/>
                <w:bCs/>
                <w:color w:val="000000"/>
                <w:sz w:val="20"/>
                <w:szCs w:val="20"/>
              </w:rPr>
            </w:pPr>
            <w:r w:rsidRPr="002D2F67">
              <w:rPr>
                <w:rFonts w:ascii="Arial" w:hAnsi="Arial" w:cs="Arial"/>
                <w:b/>
                <w:bCs/>
                <w:color w:val="000000"/>
                <w:sz w:val="20"/>
                <w:szCs w:val="20"/>
              </w:rPr>
              <w:t>financial statements</w:t>
            </w:r>
          </w:p>
        </w:tc>
        <w:tc>
          <w:tcPr>
            <w:tcW w:w="2880" w:type="dxa"/>
            <w:gridSpan w:val="2"/>
            <w:tcBorders>
              <w:bottom w:val="single" w:sz="4" w:space="0" w:color="auto"/>
            </w:tcBorders>
            <w:shd w:val="clear" w:color="auto" w:fill="auto"/>
          </w:tcPr>
          <w:p w14:paraId="7BD07FEA" w14:textId="77777777" w:rsidR="006D0D7E" w:rsidRPr="002D2F67" w:rsidRDefault="006D0D7E" w:rsidP="002D2F67">
            <w:pPr>
              <w:pStyle w:val="BodyTextIndent2"/>
              <w:spacing w:line="240" w:lineRule="auto"/>
              <w:ind w:left="0" w:right="-72"/>
              <w:jc w:val="right"/>
              <w:rPr>
                <w:rFonts w:ascii="Arial" w:hAnsi="Arial" w:cs="Arial"/>
                <w:b/>
                <w:bCs/>
              </w:rPr>
            </w:pPr>
            <w:r w:rsidRPr="002D2F67">
              <w:rPr>
                <w:rFonts w:ascii="Arial" w:hAnsi="Arial" w:cs="Arial"/>
                <w:b/>
                <w:bCs/>
              </w:rPr>
              <w:t>Separate</w:t>
            </w:r>
          </w:p>
          <w:p w14:paraId="08C83902" w14:textId="77777777" w:rsidR="006D0D7E" w:rsidRPr="002D2F67" w:rsidRDefault="006D0D7E" w:rsidP="002D2F67">
            <w:pPr>
              <w:ind w:right="-72"/>
              <w:jc w:val="right"/>
              <w:rPr>
                <w:rFonts w:ascii="Arial" w:eastAsia="Arial Unicode MS" w:hAnsi="Arial" w:cs="Arial"/>
                <w:b/>
                <w:bCs/>
                <w:color w:val="000000"/>
                <w:sz w:val="20"/>
                <w:szCs w:val="20"/>
              </w:rPr>
            </w:pPr>
            <w:r w:rsidRPr="002D2F67">
              <w:rPr>
                <w:rFonts w:ascii="Arial" w:hAnsi="Arial" w:cs="Arial"/>
                <w:b/>
                <w:bCs/>
                <w:color w:val="000000"/>
                <w:sz w:val="20"/>
                <w:szCs w:val="20"/>
              </w:rPr>
              <w:t>financial statements</w:t>
            </w:r>
          </w:p>
        </w:tc>
      </w:tr>
      <w:tr w:rsidR="006D0D7E" w:rsidRPr="002D2F67" w14:paraId="5A791B11" w14:textId="77777777" w:rsidTr="005611FE">
        <w:trPr>
          <w:cantSplit/>
        </w:trPr>
        <w:tc>
          <w:tcPr>
            <w:tcW w:w="3690" w:type="dxa"/>
            <w:shd w:val="clear" w:color="auto" w:fill="auto"/>
          </w:tcPr>
          <w:p w14:paraId="1D78C226" w14:textId="1B647C6C" w:rsidR="006D0D7E" w:rsidRPr="002D2F67" w:rsidRDefault="006D0D7E" w:rsidP="002D2F67">
            <w:pPr>
              <w:ind w:left="-101" w:hanging="3"/>
              <w:rPr>
                <w:rFonts w:ascii="Arial" w:eastAsia="Arial Unicode MS" w:hAnsi="Arial" w:cs="Arial"/>
                <w:b/>
                <w:bCs/>
                <w:snapToGrid w:val="0"/>
                <w:color w:val="000000"/>
                <w:sz w:val="20"/>
                <w:szCs w:val="20"/>
                <w:cs/>
                <w:lang w:eastAsia="th-TH"/>
              </w:rPr>
            </w:pPr>
            <w:r w:rsidRPr="002D2F67">
              <w:rPr>
                <w:rFonts w:ascii="Arial" w:eastAsia="Arial Unicode MS" w:hAnsi="Arial" w:cs="Arial"/>
                <w:b/>
                <w:bCs/>
                <w:snapToGrid w:val="0"/>
                <w:color w:val="000000"/>
                <w:sz w:val="20"/>
                <w:szCs w:val="20"/>
                <w:lang w:eastAsia="th-TH"/>
              </w:rPr>
              <w:t xml:space="preserve">As </w:t>
            </w:r>
            <w:proofErr w:type="gramStart"/>
            <w:r w:rsidRPr="002D2F67">
              <w:rPr>
                <w:rFonts w:ascii="Arial" w:eastAsia="Arial Unicode MS" w:hAnsi="Arial" w:cs="Arial"/>
                <w:b/>
                <w:bCs/>
                <w:snapToGrid w:val="0"/>
                <w:color w:val="000000"/>
                <w:sz w:val="20"/>
                <w:szCs w:val="20"/>
                <w:lang w:eastAsia="th-TH"/>
              </w:rPr>
              <w:t>at</w:t>
            </w:r>
            <w:proofErr w:type="gramEnd"/>
            <w:r w:rsidRPr="002D2F67">
              <w:rPr>
                <w:rFonts w:ascii="Arial" w:eastAsia="Arial Unicode MS" w:hAnsi="Arial" w:cs="Arial"/>
                <w:b/>
                <w:bCs/>
                <w:snapToGrid w:val="0"/>
                <w:color w:val="000000"/>
                <w:sz w:val="20"/>
                <w:szCs w:val="20"/>
                <w:lang w:eastAsia="th-TH"/>
              </w:rPr>
              <w:t xml:space="preserve"> </w:t>
            </w:r>
            <w:r w:rsidR="00CD5714" w:rsidRPr="00CD5714">
              <w:rPr>
                <w:rFonts w:ascii="Arial" w:eastAsia="Arial Unicode MS" w:hAnsi="Arial" w:cs="Arial"/>
                <w:b/>
                <w:bCs/>
                <w:snapToGrid w:val="0"/>
                <w:color w:val="000000"/>
                <w:sz w:val="20"/>
                <w:szCs w:val="20"/>
                <w:lang w:val="en-GB" w:eastAsia="th-TH"/>
              </w:rPr>
              <w:t>31</w:t>
            </w:r>
            <w:r w:rsidRPr="002D2F67">
              <w:rPr>
                <w:rFonts w:ascii="Arial" w:eastAsia="Arial Unicode MS" w:hAnsi="Arial" w:cs="Arial"/>
                <w:b/>
                <w:bCs/>
                <w:snapToGrid w:val="0"/>
                <w:color w:val="000000"/>
                <w:sz w:val="20"/>
                <w:szCs w:val="20"/>
                <w:lang w:eastAsia="th-TH"/>
              </w:rPr>
              <w:t xml:space="preserve"> December</w:t>
            </w:r>
          </w:p>
        </w:tc>
        <w:tc>
          <w:tcPr>
            <w:tcW w:w="1440" w:type="dxa"/>
            <w:shd w:val="clear" w:color="auto" w:fill="auto"/>
            <w:vAlign w:val="bottom"/>
          </w:tcPr>
          <w:p w14:paraId="3CBCE786" w14:textId="2E51F9EE" w:rsidR="006D0D7E" w:rsidRPr="002D2F67" w:rsidRDefault="00CD5714" w:rsidP="002D2F67">
            <w:pPr>
              <w:ind w:left="-104" w:right="-72"/>
              <w:jc w:val="right"/>
              <w:rPr>
                <w:rFonts w:ascii="Arial" w:eastAsia="Calibri" w:hAnsi="Arial" w:cs="Arial"/>
                <w:b/>
                <w:bCs/>
                <w:color w:val="000000"/>
                <w:sz w:val="20"/>
                <w:szCs w:val="20"/>
                <w:cs/>
              </w:rPr>
            </w:pPr>
            <w:r w:rsidRPr="00CD5714">
              <w:rPr>
                <w:rFonts w:ascii="Arial" w:hAnsi="Arial" w:cs="Arial"/>
                <w:b/>
                <w:bCs/>
                <w:color w:val="000000"/>
                <w:sz w:val="20"/>
                <w:szCs w:val="20"/>
                <w:lang w:val="en-GB"/>
              </w:rPr>
              <w:t>2024</w:t>
            </w:r>
          </w:p>
        </w:tc>
        <w:tc>
          <w:tcPr>
            <w:tcW w:w="1443" w:type="dxa"/>
            <w:shd w:val="clear" w:color="auto" w:fill="auto"/>
            <w:vAlign w:val="bottom"/>
          </w:tcPr>
          <w:p w14:paraId="360AD09A" w14:textId="7580B851" w:rsidR="006D0D7E" w:rsidRPr="002D2F67" w:rsidRDefault="00CD5714" w:rsidP="002D2F67">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c>
          <w:tcPr>
            <w:tcW w:w="1439" w:type="dxa"/>
            <w:shd w:val="clear" w:color="auto" w:fill="auto"/>
            <w:vAlign w:val="bottom"/>
          </w:tcPr>
          <w:p w14:paraId="57F18460" w14:textId="58B899B2" w:rsidR="006D0D7E" w:rsidRPr="002D2F67" w:rsidRDefault="00CD5714" w:rsidP="002D2F67">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41" w:type="dxa"/>
            <w:shd w:val="clear" w:color="auto" w:fill="auto"/>
            <w:vAlign w:val="bottom"/>
          </w:tcPr>
          <w:p w14:paraId="67704E4F" w14:textId="414716E4" w:rsidR="006D0D7E" w:rsidRPr="002D2F67" w:rsidRDefault="00CD5714" w:rsidP="002D2F67">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6D0D7E" w:rsidRPr="002D2F67" w14:paraId="7428C63E" w14:textId="77777777" w:rsidTr="005611FE">
        <w:trPr>
          <w:cantSplit/>
        </w:trPr>
        <w:tc>
          <w:tcPr>
            <w:tcW w:w="3690" w:type="dxa"/>
            <w:shd w:val="clear" w:color="auto" w:fill="auto"/>
          </w:tcPr>
          <w:p w14:paraId="73104A5E" w14:textId="77777777" w:rsidR="006D0D7E" w:rsidRPr="002D2F67" w:rsidRDefault="006D0D7E" w:rsidP="002D2F67">
            <w:pPr>
              <w:ind w:left="-101" w:hanging="3"/>
              <w:rPr>
                <w:rFonts w:ascii="Arial" w:eastAsia="Arial Unicode MS" w:hAnsi="Arial" w:cs="Arial"/>
                <w:b/>
                <w:bCs/>
                <w:snapToGrid w:val="0"/>
                <w:color w:val="000000"/>
                <w:sz w:val="20"/>
                <w:szCs w:val="20"/>
                <w:cs/>
                <w:lang w:eastAsia="th-TH"/>
              </w:rPr>
            </w:pPr>
          </w:p>
        </w:tc>
        <w:tc>
          <w:tcPr>
            <w:tcW w:w="1440" w:type="dxa"/>
            <w:tcBorders>
              <w:bottom w:val="single" w:sz="4" w:space="0" w:color="auto"/>
            </w:tcBorders>
            <w:shd w:val="clear" w:color="auto" w:fill="auto"/>
            <w:vAlign w:val="bottom"/>
          </w:tcPr>
          <w:p w14:paraId="5301E744" w14:textId="780BBDBF" w:rsidR="006D0D7E" w:rsidRPr="002D2F67" w:rsidRDefault="006D0D7E" w:rsidP="002D2F67">
            <w:pPr>
              <w:ind w:left="-104" w:right="-72"/>
              <w:jc w:val="right"/>
              <w:rPr>
                <w:rFonts w:ascii="Arial" w:eastAsia="Calibri" w:hAnsi="Arial" w:cs="Arial"/>
                <w:b/>
                <w:bCs/>
                <w:color w:val="000000"/>
                <w:sz w:val="20"/>
                <w:szCs w:val="20"/>
                <w:cs/>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3" w:type="dxa"/>
            <w:tcBorders>
              <w:bottom w:val="single" w:sz="4" w:space="0" w:color="auto"/>
            </w:tcBorders>
            <w:shd w:val="clear" w:color="auto" w:fill="auto"/>
          </w:tcPr>
          <w:p w14:paraId="0B1203EF" w14:textId="4AE76E24" w:rsidR="006D0D7E" w:rsidRPr="002D2F67" w:rsidRDefault="006D0D7E" w:rsidP="002D2F67">
            <w:pPr>
              <w:ind w:right="-72"/>
              <w:jc w:val="right"/>
              <w:rPr>
                <w:rFonts w:ascii="Arial" w:hAnsi="Arial" w:cs="Arial"/>
                <w:color w:val="000000"/>
                <w:sz w:val="20"/>
                <w:szCs w:val="20"/>
                <w:cs/>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39" w:type="dxa"/>
            <w:tcBorders>
              <w:bottom w:val="single" w:sz="4" w:space="0" w:color="auto"/>
            </w:tcBorders>
            <w:shd w:val="clear" w:color="auto" w:fill="auto"/>
          </w:tcPr>
          <w:p w14:paraId="4D2D8E56" w14:textId="3CF45AE9" w:rsidR="006D0D7E" w:rsidRPr="002D2F67" w:rsidRDefault="006D0D7E" w:rsidP="002D2F67">
            <w:pPr>
              <w:ind w:right="-72"/>
              <w:jc w:val="right"/>
              <w:rPr>
                <w:rFonts w:ascii="Arial" w:hAnsi="Arial" w:cs="Arial"/>
                <w:color w:val="000000"/>
                <w:sz w:val="20"/>
                <w:szCs w:val="20"/>
                <w:cs/>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1" w:type="dxa"/>
            <w:tcBorders>
              <w:bottom w:val="single" w:sz="4" w:space="0" w:color="auto"/>
            </w:tcBorders>
            <w:shd w:val="clear" w:color="auto" w:fill="auto"/>
          </w:tcPr>
          <w:p w14:paraId="67BA6104" w14:textId="07A00752" w:rsidR="006D0D7E" w:rsidRPr="002D2F67" w:rsidRDefault="006D0D7E" w:rsidP="002D2F67">
            <w:pPr>
              <w:ind w:right="-72"/>
              <w:jc w:val="right"/>
              <w:rPr>
                <w:rFonts w:ascii="Arial" w:hAnsi="Arial" w:cs="Arial"/>
                <w:color w:val="000000"/>
                <w:sz w:val="20"/>
                <w:szCs w:val="20"/>
                <w:cs/>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6D0D7E" w:rsidRPr="002D2F67" w14:paraId="5363D411" w14:textId="77777777" w:rsidTr="005611FE">
        <w:trPr>
          <w:cantSplit/>
        </w:trPr>
        <w:tc>
          <w:tcPr>
            <w:tcW w:w="3690" w:type="dxa"/>
            <w:shd w:val="clear" w:color="auto" w:fill="auto"/>
          </w:tcPr>
          <w:p w14:paraId="5B4A3906" w14:textId="77777777" w:rsidR="006D0D7E" w:rsidRPr="002D2F67" w:rsidRDefault="006D0D7E" w:rsidP="002D2F67">
            <w:pPr>
              <w:ind w:left="-101" w:hanging="3"/>
              <w:rPr>
                <w:rFonts w:ascii="Arial" w:eastAsia="Arial Unicode MS" w:hAnsi="Arial" w:cs="Arial"/>
                <w:color w:val="000000"/>
                <w:sz w:val="20"/>
                <w:szCs w:val="20"/>
                <w:cs/>
              </w:rPr>
            </w:pPr>
          </w:p>
        </w:tc>
        <w:tc>
          <w:tcPr>
            <w:tcW w:w="1440" w:type="dxa"/>
            <w:tcBorders>
              <w:top w:val="single" w:sz="4" w:space="0" w:color="auto"/>
            </w:tcBorders>
            <w:shd w:val="clear" w:color="auto" w:fill="auto"/>
          </w:tcPr>
          <w:p w14:paraId="497A88CD" w14:textId="77777777" w:rsidR="006D0D7E" w:rsidRPr="002D2F67" w:rsidRDefault="006D0D7E" w:rsidP="002D2F67">
            <w:pPr>
              <w:ind w:right="-72"/>
              <w:jc w:val="right"/>
              <w:rPr>
                <w:rFonts w:ascii="Arial" w:eastAsia="Arial Unicode MS" w:hAnsi="Arial" w:cs="Arial"/>
                <w:color w:val="000000"/>
                <w:sz w:val="20"/>
                <w:szCs w:val="20"/>
              </w:rPr>
            </w:pPr>
          </w:p>
        </w:tc>
        <w:tc>
          <w:tcPr>
            <w:tcW w:w="1443" w:type="dxa"/>
            <w:tcBorders>
              <w:top w:val="single" w:sz="4" w:space="0" w:color="auto"/>
            </w:tcBorders>
            <w:shd w:val="clear" w:color="auto" w:fill="auto"/>
          </w:tcPr>
          <w:p w14:paraId="7CDEF058" w14:textId="77777777" w:rsidR="006D0D7E" w:rsidRPr="002D2F67" w:rsidRDefault="006D0D7E" w:rsidP="002D2F67">
            <w:pPr>
              <w:ind w:right="-72"/>
              <w:jc w:val="right"/>
              <w:rPr>
                <w:rFonts w:ascii="Arial" w:eastAsia="Arial Unicode MS" w:hAnsi="Arial" w:cs="Arial"/>
                <w:color w:val="000000"/>
                <w:sz w:val="20"/>
                <w:szCs w:val="20"/>
              </w:rPr>
            </w:pPr>
          </w:p>
        </w:tc>
        <w:tc>
          <w:tcPr>
            <w:tcW w:w="1439" w:type="dxa"/>
            <w:tcBorders>
              <w:top w:val="single" w:sz="4" w:space="0" w:color="auto"/>
            </w:tcBorders>
            <w:shd w:val="clear" w:color="auto" w:fill="auto"/>
          </w:tcPr>
          <w:p w14:paraId="0FB751F0" w14:textId="77777777" w:rsidR="006D0D7E" w:rsidRPr="002D2F67" w:rsidRDefault="006D0D7E" w:rsidP="002D2F67">
            <w:pPr>
              <w:ind w:right="-72"/>
              <w:jc w:val="right"/>
              <w:rPr>
                <w:rFonts w:ascii="Arial" w:eastAsia="Arial Unicode MS" w:hAnsi="Arial" w:cs="Arial"/>
                <w:color w:val="000000"/>
                <w:sz w:val="20"/>
                <w:szCs w:val="20"/>
              </w:rPr>
            </w:pPr>
          </w:p>
        </w:tc>
        <w:tc>
          <w:tcPr>
            <w:tcW w:w="1441" w:type="dxa"/>
            <w:tcBorders>
              <w:top w:val="single" w:sz="4" w:space="0" w:color="auto"/>
            </w:tcBorders>
            <w:shd w:val="clear" w:color="auto" w:fill="auto"/>
          </w:tcPr>
          <w:p w14:paraId="06CF224F" w14:textId="77777777" w:rsidR="006D0D7E" w:rsidRPr="002D2F67" w:rsidRDefault="006D0D7E" w:rsidP="002D2F67">
            <w:pPr>
              <w:ind w:right="-72"/>
              <w:jc w:val="right"/>
              <w:rPr>
                <w:rFonts w:ascii="Arial" w:eastAsia="Arial Unicode MS" w:hAnsi="Arial" w:cs="Arial"/>
                <w:color w:val="000000"/>
                <w:sz w:val="20"/>
                <w:szCs w:val="20"/>
              </w:rPr>
            </w:pPr>
          </w:p>
        </w:tc>
      </w:tr>
      <w:tr w:rsidR="00E74A05" w:rsidRPr="002D2F67" w14:paraId="45E18DA1" w14:textId="77777777" w:rsidTr="005611FE">
        <w:trPr>
          <w:cantSplit/>
        </w:trPr>
        <w:tc>
          <w:tcPr>
            <w:tcW w:w="3690" w:type="dxa"/>
            <w:shd w:val="clear" w:color="auto" w:fill="auto"/>
          </w:tcPr>
          <w:p w14:paraId="08F60FD2" w14:textId="77777777" w:rsidR="00E74A05" w:rsidRPr="002D2F67" w:rsidRDefault="00E74A05" w:rsidP="002D2F67">
            <w:pPr>
              <w:pStyle w:val="BodyTextIndent2"/>
              <w:spacing w:line="240" w:lineRule="auto"/>
              <w:ind w:left="-101" w:hanging="3"/>
              <w:jc w:val="left"/>
              <w:rPr>
                <w:rFonts w:ascii="Arial" w:hAnsi="Arial" w:cs="Arial"/>
              </w:rPr>
            </w:pPr>
            <w:r w:rsidRPr="002D2F67">
              <w:rPr>
                <w:rFonts w:ascii="Arial" w:hAnsi="Arial" w:cs="Arial"/>
              </w:rPr>
              <w:t xml:space="preserve">Financial assets </w:t>
            </w:r>
          </w:p>
          <w:p w14:paraId="1027FEB7" w14:textId="57DB26E4" w:rsidR="00E74A05" w:rsidRPr="002D2F67" w:rsidRDefault="00E74A05" w:rsidP="002D2F67">
            <w:pPr>
              <w:pStyle w:val="BodyTextIndent2"/>
              <w:spacing w:line="240" w:lineRule="auto"/>
              <w:ind w:left="-101" w:right="-105" w:hanging="3"/>
              <w:rPr>
                <w:rFonts w:ascii="Arial" w:hAnsi="Arial" w:cs="Arial"/>
                <w:cs/>
              </w:rPr>
            </w:pPr>
            <w:r w:rsidRPr="002D2F67">
              <w:rPr>
                <w:rFonts w:ascii="Arial" w:hAnsi="Arial" w:cs="Arial"/>
              </w:rPr>
              <w:t xml:space="preserve">   - investments in listed equity securities</w:t>
            </w:r>
          </w:p>
        </w:tc>
        <w:tc>
          <w:tcPr>
            <w:tcW w:w="1440" w:type="dxa"/>
            <w:shd w:val="clear" w:color="auto" w:fill="auto"/>
            <w:vAlign w:val="bottom"/>
          </w:tcPr>
          <w:p w14:paraId="69637CE2" w14:textId="588C5D16" w:rsidR="00E74A05" w:rsidRPr="002D2F67" w:rsidRDefault="00CD5714" w:rsidP="002D2F67">
            <w:pPr>
              <w:tabs>
                <w:tab w:val="left" w:pos="6840"/>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853</w:t>
            </w:r>
            <w:r w:rsidR="001717E8"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079</w:t>
            </w:r>
          </w:p>
        </w:tc>
        <w:tc>
          <w:tcPr>
            <w:tcW w:w="1443" w:type="dxa"/>
            <w:shd w:val="clear" w:color="auto" w:fill="auto"/>
            <w:vAlign w:val="bottom"/>
          </w:tcPr>
          <w:p w14:paraId="28BAD21B" w14:textId="77EA62B6" w:rsidR="00E74A05" w:rsidRPr="002D2F67" w:rsidRDefault="00CD5714" w:rsidP="002D2F67">
            <w:pPr>
              <w:tabs>
                <w:tab w:val="left" w:pos="6840"/>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4</w:t>
            </w:r>
            <w:r w:rsidR="00E74A05"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478</w:t>
            </w:r>
            <w:r w:rsidR="00E74A05"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416</w:t>
            </w:r>
          </w:p>
        </w:tc>
        <w:tc>
          <w:tcPr>
            <w:tcW w:w="1439" w:type="dxa"/>
            <w:shd w:val="clear" w:color="auto" w:fill="auto"/>
            <w:vAlign w:val="bottom"/>
          </w:tcPr>
          <w:p w14:paraId="221B0DC8" w14:textId="002C770C" w:rsidR="00E74A05" w:rsidRPr="002D2F67" w:rsidRDefault="00E64AA6" w:rsidP="002D2F67">
            <w:pPr>
              <w:tabs>
                <w:tab w:val="left" w:pos="6840"/>
              </w:tabs>
              <w:ind w:right="-72"/>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441" w:type="dxa"/>
            <w:shd w:val="clear" w:color="auto" w:fill="auto"/>
            <w:vAlign w:val="bottom"/>
          </w:tcPr>
          <w:p w14:paraId="02EC7F70" w14:textId="29BA9645" w:rsidR="00E74A05" w:rsidRPr="002D2F67" w:rsidRDefault="00E74A05" w:rsidP="002D2F67">
            <w:pPr>
              <w:tabs>
                <w:tab w:val="left" w:pos="6840"/>
              </w:tabs>
              <w:ind w:right="-72"/>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r>
      <w:tr w:rsidR="00E74A05" w:rsidRPr="002D2F67" w14:paraId="69E665EB" w14:textId="77777777" w:rsidTr="005611FE">
        <w:trPr>
          <w:cantSplit/>
        </w:trPr>
        <w:tc>
          <w:tcPr>
            <w:tcW w:w="3690" w:type="dxa"/>
            <w:shd w:val="clear" w:color="auto" w:fill="auto"/>
          </w:tcPr>
          <w:p w14:paraId="257E0B17" w14:textId="68A8DFB4" w:rsidR="00E74A05" w:rsidRPr="002D2F67" w:rsidRDefault="00E74A05" w:rsidP="002D2F67">
            <w:pPr>
              <w:pStyle w:val="BodyTextIndent2"/>
              <w:spacing w:line="240" w:lineRule="auto"/>
              <w:ind w:left="-101" w:hanging="3"/>
              <w:rPr>
                <w:rFonts w:ascii="Arial" w:hAnsi="Arial" w:cs="Arial"/>
              </w:rPr>
            </w:pPr>
            <w:r w:rsidRPr="002D2F67">
              <w:rPr>
                <w:rFonts w:ascii="Arial" w:hAnsi="Arial" w:cs="Arial"/>
              </w:rPr>
              <w:t xml:space="preserve">    - investments in unlisted equity </w:t>
            </w:r>
          </w:p>
          <w:p w14:paraId="395E4A59" w14:textId="6F7C3AC8" w:rsidR="00E74A05" w:rsidRPr="002D2F67" w:rsidRDefault="00E74A05" w:rsidP="002D2F67">
            <w:pPr>
              <w:pStyle w:val="BodyTextIndent2"/>
              <w:spacing w:line="240" w:lineRule="auto"/>
              <w:ind w:left="-101" w:hanging="3"/>
              <w:jc w:val="left"/>
              <w:rPr>
                <w:rFonts w:ascii="Arial" w:hAnsi="Arial" w:cs="Arial"/>
              </w:rPr>
            </w:pPr>
            <w:r w:rsidRPr="002D2F67">
              <w:rPr>
                <w:rFonts w:ascii="Arial" w:hAnsi="Arial" w:cs="Arial"/>
              </w:rPr>
              <w:t xml:space="preserve">        securities</w:t>
            </w:r>
          </w:p>
        </w:tc>
        <w:tc>
          <w:tcPr>
            <w:tcW w:w="1440" w:type="dxa"/>
            <w:tcBorders>
              <w:bottom w:val="single" w:sz="4" w:space="0" w:color="auto"/>
            </w:tcBorders>
            <w:shd w:val="clear" w:color="auto" w:fill="auto"/>
            <w:vAlign w:val="bottom"/>
          </w:tcPr>
          <w:p w14:paraId="7156FBEA" w14:textId="0FE07CD8" w:rsidR="00E74A05" w:rsidRPr="002D2F67" w:rsidRDefault="00CD5714" w:rsidP="002D2F67">
            <w:pPr>
              <w:tabs>
                <w:tab w:val="left" w:pos="6840"/>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w:t>
            </w:r>
            <w:r w:rsidR="00C83860"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992</w:t>
            </w:r>
            <w:r w:rsidR="00C83860"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844</w:t>
            </w:r>
          </w:p>
        </w:tc>
        <w:tc>
          <w:tcPr>
            <w:tcW w:w="1443" w:type="dxa"/>
            <w:tcBorders>
              <w:bottom w:val="single" w:sz="4" w:space="0" w:color="auto"/>
            </w:tcBorders>
            <w:shd w:val="clear" w:color="auto" w:fill="auto"/>
            <w:vAlign w:val="bottom"/>
          </w:tcPr>
          <w:p w14:paraId="310B3A11" w14:textId="60F22973" w:rsidR="00E74A05" w:rsidRPr="002D2F67" w:rsidRDefault="00CD5714" w:rsidP="002D2F67">
            <w:pPr>
              <w:tabs>
                <w:tab w:val="left" w:pos="6840"/>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4</w:t>
            </w:r>
            <w:r w:rsidR="00E74A05"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891</w:t>
            </w:r>
            <w:r w:rsidR="00E74A05"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302</w:t>
            </w:r>
            <w:r w:rsidR="00E74A05" w:rsidRPr="002D2F67">
              <w:rPr>
                <w:rFonts w:ascii="Arial" w:eastAsia="Arial Unicode MS" w:hAnsi="Arial" w:cs="Arial"/>
                <w:color w:val="000000"/>
                <w:sz w:val="20"/>
                <w:szCs w:val="20"/>
              </w:rPr>
              <w:t xml:space="preserve"> </w:t>
            </w:r>
          </w:p>
        </w:tc>
        <w:tc>
          <w:tcPr>
            <w:tcW w:w="1439" w:type="dxa"/>
            <w:tcBorders>
              <w:bottom w:val="single" w:sz="4" w:space="0" w:color="auto"/>
            </w:tcBorders>
            <w:shd w:val="clear" w:color="auto" w:fill="auto"/>
            <w:vAlign w:val="bottom"/>
          </w:tcPr>
          <w:p w14:paraId="16BF73F9" w14:textId="69A8904B" w:rsidR="00E74A05" w:rsidRPr="002D2F67" w:rsidRDefault="00CD5714" w:rsidP="002D2F67">
            <w:pPr>
              <w:tabs>
                <w:tab w:val="left" w:pos="6840"/>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3</w:t>
            </w:r>
            <w:r w:rsidR="00407307"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937</w:t>
            </w:r>
            <w:r w:rsidR="00407307"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732</w:t>
            </w:r>
          </w:p>
        </w:tc>
        <w:tc>
          <w:tcPr>
            <w:tcW w:w="1441" w:type="dxa"/>
            <w:tcBorders>
              <w:bottom w:val="single" w:sz="4" w:space="0" w:color="auto"/>
            </w:tcBorders>
            <w:shd w:val="clear" w:color="auto" w:fill="auto"/>
            <w:vAlign w:val="bottom"/>
          </w:tcPr>
          <w:p w14:paraId="49D0CA1C" w14:textId="43743381" w:rsidR="00E74A05" w:rsidRPr="002D2F67" w:rsidRDefault="00CD5714" w:rsidP="002D2F67">
            <w:pPr>
              <w:tabs>
                <w:tab w:val="left" w:pos="6840"/>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4</w:t>
            </w:r>
            <w:r w:rsidR="00E74A05" w:rsidRPr="002D2F67">
              <w:rPr>
                <w:rFonts w:ascii="Arial" w:eastAsia="Arial Unicode MS" w:hAnsi="Arial" w:cs="Arial"/>
                <w:color w:val="000000"/>
                <w:sz w:val="20"/>
                <w:szCs w:val="20"/>
                <w:cs/>
              </w:rPr>
              <w:t>,</w:t>
            </w:r>
            <w:r w:rsidRPr="00CD5714">
              <w:rPr>
                <w:rFonts w:ascii="Arial" w:eastAsia="Arial Unicode MS" w:hAnsi="Arial" w:cs="Arial"/>
                <w:color w:val="000000"/>
                <w:sz w:val="20"/>
                <w:szCs w:val="20"/>
                <w:lang w:val="en-GB"/>
              </w:rPr>
              <w:t>840</w:t>
            </w:r>
            <w:r w:rsidR="00E74A05" w:rsidRPr="002D2F67">
              <w:rPr>
                <w:rFonts w:ascii="Arial" w:eastAsia="Arial Unicode MS" w:hAnsi="Arial" w:cs="Arial"/>
                <w:color w:val="000000"/>
                <w:sz w:val="20"/>
                <w:szCs w:val="20"/>
                <w:cs/>
              </w:rPr>
              <w:t>,</w:t>
            </w:r>
            <w:r w:rsidRPr="00CD5714">
              <w:rPr>
                <w:rFonts w:ascii="Arial" w:eastAsia="Arial Unicode MS" w:hAnsi="Arial" w:cs="Arial"/>
                <w:color w:val="000000"/>
                <w:sz w:val="20"/>
                <w:szCs w:val="20"/>
                <w:lang w:val="en-GB"/>
              </w:rPr>
              <w:t>682</w:t>
            </w:r>
            <w:r w:rsidR="00E74A05" w:rsidRPr="002D2F67">
              <w:rPr>
                <w:rFonts w:ascii="Arial" w:hAnsi="Arial" w:cs="Arial"/>
                <w:color w:val="000000"/>
                <w:szCs w:val="26"/>
                <w:cs/>
              </w:rPr>
              <w:t xml:space="preserve"> </w:t>
            </w:r>
          </w:p>
        </w:tc>
      </w:tr>
      <w:tr w:rsidR="00E74A05" w:rsidRPr="002D2F67" w14:paraId="7FC8E213" w14:textId="77777777" w:rsidTr="005611FE">
        <w:trPr>
          <w:cantSplit/>
        </w:trPr>
        <w:tc>
          <w:tcPr>
            <w:tcW w:w="3690" w:type="dxa"/>
            <w:shd w:val="clear" w:color="auto" w:fill="auto"/>
          </w:tcPr>
          <w:p w14:paraId="48200CDC" w14:textId="77777777" w:rsidR="00E74A05" w:rsidRPr="002D2F67" w:rsidRDefault="00E74A05" w:rsidP="002D2F67">
            <w:pPr>
              <w:pStyle w:val="BodyTextIndent2"/>
              <w:spacing w:line="240" w:lineRule="auto"/>
              <w:ind w:left="-101" w:hanging="3"/>
              <w:jc w:val="left"/>
              <w:rPr>
                <w:rFonts w:ascii="Arial" w:hAnsi="Arial" w:cs="Arial"/>
              </w:rPr>
            </w:pPr>
            <w:r w:rsidRPr="002D2F67">
              <w:rPr>
                <w:rFonts w:ascii="Arial" w:hAnsi="Arial" w:cs="Arial"/>
              </w:rPr>
              <w:t xml:space="preserve">Total financial assets measured </w:t>
            </w:r>
          </w:p>
          <w:p w14:paraId="109A3675" w14:textId="77777777" w:rsidR="00E74A05" w:rsidRPr="002D2F67" w:rsidRDefault="00E74A05" w:rsidP="002D2F67">
            <w:pPr>
              <w:pStyle w:val="BodyTextIndent2"/>
              <w:spacing w:line="240" w:lineRule="auto"/>
              <w:ind w:left="-101" w:hanging="3"/>
              <w:jc w:val="left"/>
              <w:rPr>
                <w:rFonts w:ascii="Arial" w:hAnsi="Arial" w:cs="Arial"/>
              </w:rPr>
            </w:pPr>
            <w:r w:rsidRPr="002D2F67">
              <w:rPr>
                <w:rFonts w:ascii="Arial" w:hAnsi="Arial" w:cs="Arial"/>
              </w:rPr>
              <w:t xml:space="preserve">   at fair value through other</w:t>
            </w:r>
          </w:p>
          <w:p w14:paraId="0727D484" w14:textId="77777777" w:rsidR="00E74A05" w:rsidRPr="002D2F67" w:rsidRDefault="00E74A05" w:rsidP="002D2F67">
            <w:pPr>
              <w:pStyle w:val="BodyTextIndent2"/>
              <w:spacing w:line="240" w:lineRule="auto"/>
              <w:ind w:left="-101" w:hanging="3"/>
              <w:jc w:val="left"/>
              <w:rPr>
                <w:rFonts w:ascii="Arial" w:hAnsi="Arial" w:cs="Arial"/>
                <w:cs/>
              </w:rPr>
            </w:pPr>
            <w:r w:rsidRPr="002D2F67">
              <w:rPr>
                <w:rFonts w:ascii="Arial" w:hAnsi="Arial" w:cs="Arial"/>
              </w:rPr>
              <w:t xml:space="preserve">   comprehensive income</w:t>
            </w:r>
          </w:p>
        </w:tc>
        <w:tc>
          <w:tcPr>
            <w:tcW w:w="1440" w:type="dxa"/>
            <w:tcBorders>
              <w:bottom w:val="single" w:sz="4" w:space="0" w:color="auto"/>
            </w:tcBorders>
            <w:shd w:val="clear" w:color="auto" w:fill="auto"/>
            <w:vAlign w:val="bottom"/>
          </w:tcPr>
          <w:p w14:paraId="1E106D4C" w14:textId="5FDD71E7" w:rsidR="00E74A05" w:rsidRPr="002D2F67" w:rsidRDefault="00CD5714" w:rsidP="002D2F67">
            <w:pPr>
              <w:tabs>
                <w:tab w:val="left" w:pos="6840"/>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4</w:t>
            </w:r>
            <w:r w:rsidR="00066CB0"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845</w:t>
            </w:r>
            <w:r w:rsidR="00066CB0"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923</w:t>
            </w:r>
          </w:p>
        </w:tc>
        <w:tc>
          <w:tcPr>
            <w:tcW w:w="1443" w:type="dxa"/>
            <w:tcBorders>
              <w:bottom w:val="single" w:sz="4" w:space="0" w:color="auto"/>
            </w:tcBorders>
            <w:shd w:val="clear" w:color="auto" w:fill="auto"/>
            <w:vAlign w:val="bottom"/>
          </w:tcPr>
          <w:p w14:paraId="773DCFED" w14:textId="05C68858" w:rsidR="00E74A05" w:rsidRPr="002D2F67" w:rsidRDefault="00CD5714" w:rsidP="002D2F67">
            <w:pPr>
              <w:tabs>
                <w:tab w:val="left" w:pos="6840"/>
              </w:tabs>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9</w:t>
            </w:r>
            <w:r w:rsidR="00E74A05"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369</w:t>
            </w:r>
            <w:r w:rsidR="00E74A05"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718</w:t>
            </w:r>
          </w:p>
        </w:tc>
        <w:tc>
          <w:tcPr>
            <w:tcW w:w="1439" w:type="dxa"/>
            <w:tcBorders>
              <w:bottom w:val="single" w:sz="4" w:space="0" w:color="auto"/>
            </w:tcBorders>
            <w:shd w:val="clear" w:color="auto" w:fill="auto"/>
            <w:vAlign w:val="bottom"/>
          </w:tcPr>
          <w:p w14:paraId="195EB6B4" w14:textId="5D3874D4" w:rsidR="00E74A05" w:rsidRPr="002D2F67" w:rsidRDefault="00CD5714" w:rsidP="002D2F67">
            <w:pPr>
              <w:tabs>
                <w:tab w:val="left" w:pos="6840"/>
              </w:tabs>
              <w:ind w:right="-72"/>
              <w:jc w:val="right"/>
              <w:rPr>
                <w:rFonts w:ascii="Arial" w:eastAsia="Arial Unicode MS" w:hAnsi="Arial" w:cs="Arial"/>
                <w:color w:val="000000"/>
                <w:sz w:val="20"/>
                <w:szCs w:val="20"/>
                <w:cs/>
              </w:rPr>
            </w:pPr>
            <w:r w:rsidRPr="00CD5714">
              <w:rPr>
                <w:rFonts w:ascii="Arial" w:eastAsia="Arial Unicode MS" w:hAnsi="Arial" w:cs="Arial"/>
                <w:color w:val="000000"/>
                <w:sz w:val="20"/>
                <w:szCs w:val="20"/>
                <w:lang w:val="en-GB"/>
              </w:rPr>
              <w:t>3</w:t>
            </w:r>
            <w:r w:rsidR="00407307"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937</w:t>
            </w:r>
            <w:r w:rsidR="00407307"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732</w:t>
            </w:r>
          </w:p>
        </w:tc>
        <w:tc>
          <w:tcPr>
            <w:tcW w:w="1441" w:type="dxa"/>
            <w:tcBorders>
              <w:bottom w:val="single" w:sz="4" w:space="0" w:color="auto"/>
            </w:tcBorders>
            <w:shd w:val="clear" w:color="auto" w:fill="auto"/>
            <w:vAlign w:val="bottom"/>
          </w:tcPr>
          <w:p w14:paraId="6193D7C1" w14:textId="40F4E3A2" w:rsidR="00E74A05" w:rsidRPr="002D2F67" w:rsidRDefault="00CD5714" w:rsidP="002D2F67">
            <w:pPr>
              <w:tabs>
                <w:tab w:val="left" w:pos="6840"/>
              </w:tabs>
              <w:ind w:right="-72"/>
              <w:jc w:val="right"/>
              <w:rPr>
                <w:rFonts w:ascii="Arial" w:eastAsia="Arial Unicode MS" w:hAnsi="Arial" w:cs="Arial"/>
                <w:color w:val="000000"/>
                <w:sz w:val="20"/>
                <w:szCs w:val="20"/>
                <w:cs/>
              </w:rPr>
            </w:pPr>
            <w:r w:rsidRPr="00CD5714">
              <w:rPr>
                <w:rFonts w:ascii="Arial" w:eastAsia="Arial Unicode MS" w:hAnsi="Arial" w:cs="Arial"/>
                <w:color w:val="000000"/>
                <w:sz w:val="20"/>
                <w:szCs w:val="20"/>
                <w:lang w:val="en-GB"/>
              </w:rPr>
              <w:t>4</w:t>
            </w:r>
            <w:r w:rsidR="00E74A05"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840</w:t>
            </w:r>
            <w:r w:rsidR="00E74A05"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682</w:t>
            </w:r>
          </w:p>
        </w:tc>
      </w:tr>
    </w:tbl>
    <w:p w14:paraId="5895E05F" w14:textId="67CD265E" w:rsidR="006D0D7E" w:rsidRPr="002D2F67" w:rsidRDefault="006D0D7E" w:rsidP="005611FE">
      <w:pPr>
        <w:jc w:val="thaiDistribute"/>
        <w:rPr>
          <w:rFonts w:ascii="Arial" w:hAnsi="Arial" w:cs="Arial"/>
          <w:b/>
          <w:bCs/>
          <w:color w:val="000000"/>
          <w:sz w:val="20"/>
          <w:szCs w:val="20"/>
        </w:rPr>
      </w:pPr>
    </w:p>
    <w:tbl>
      <w:tblPr>
        <w:tblW w:w="4888" w:type="pct"/>
        <w:tblInd w:w="108" w:type="dxa"/>
        <w:tblLook w:val="04A0" w:firstRow="1" w:lastRow="0" w:firstColumn="1" w:lastColumn="0" w:noHBand="0" w:noVBand="1"/>
      </w:tblPr>
      <w:tblGrid>
        <w:gridCol w:w="3734"/>
        <w:gridCol w:w="1439"/>
        <w:gridCol w:w="1441"/>
        <w:gridCol w:w="1424"/>
        <w:gridCol w:w="1419"/>
      </w:tblGrid>
      <w:tr w:rsidR="006D0D7E" w:rsidRPr="002D2F67" w14:paraId="0F27522E" w14:textId="77777777" w:rsidTr="008255E8">
        <w:trPr>
          <w:trHeight w:val="47"/>
        </w:trPr>
        <w:tc>
          <w:tcPr>
            <w:tcW w:w="1974" w:type="pct"/>
            <w:shd w:val="clear" w:color="auto" w:fill="auto"/>
            <w:vAlign w:val="center"/>
          </w:tcPr>
          <w:p w14:paraId="08CD84E4" w14:textId="77777777" w:rsidR="006D0D7E" w:rsidRPr="002D2F67" w:rsidRDefault="006D0D7E" w:rsidP="002D2F67">
            <w:pPr>
              <w:ind w:left="-72" w:right="-72"/>
              <w:rPr>
                <w:rFonts w:ascii="Arial" w:eastAsia="Arial Unicode MS" w:hAnsi="Arial" w:cs="Arial"/>
                <w:b/>
                <w:bCs/>
                <w:snapToGrid w:val="0"/>
                <w:color w:val="000000"/>
                <w:sz w:val="20"/>
                <w:szCs w:val="20"/>
                <w:lang w:eastAsia="th-TH"/>
              </w:rPr>
            </w:pPr>
          </w:p>
        </w:tc>
        <w:tc>
          <w:tcPr>
            <w:tcW w:w="1523" w:type="pct"/>
            <w:gridSpan w:val="2"/>
            <w:tcBorders>
              <w:bottom w:val="single" w:sz="4" w:space="0" w:color="auto"/>
            </w:tcBorders>
            <w:shd w:val="clear" w:color="auto" w:fill="auto"/>
          </w:tcPr>
          <w:p w14:paraId="4F6FD347" w14:textId="77777777" w:rsidR="006D0D7E" w:rsidRPr="002D2F67" w:rsidRDefault="006D0D7E" w:rsidP="002D2F67">
            <w:pPr>
              <w:pStyle w:val="BodyTextIndent2"/>
              <w:spacing w:line="240" w:lineRule="auto"/>
              <w:ind w:left="0" w:right="-72"/>
              <w:jc w:val="right"/>
              <w:rPr>
                <w:rFonts w:ascii="Arial" w:hAnsi="Arial" w:cs="Arial"/>
                <w:b/>
                <w:bCs/>
              </w:rPr>
            </w:pPr>
            <w:r w:rsidRPr="002D2F67">
              <w:rPr>
                <w:rFonts w:ascii="Arial" w:hAnsi="Arial" w:cs="Arial"/>
                <w:b/>
                <w:bCs/>
              </w:rPr>
              <w:t>Consolidated</w:t>
            </w:r>
          </w:p>
          <w:p w14:paraId="10092A54" w14:textId="77777777" w:rsidR="006D0D7E" w:rsidRPr="002D2F67" w:rsidRDefault="006D0D7E" w:rsidP="002D2F67">
            <w:pPr>
              <w:pStyle w:val="Heading1"/>
              <w:ind w:left="-108" w:right="-74"/>
              <w:contextualSpacing/>
              <w:rPr>
                <w:rFonts w:ascii="Arial" w:eastAsia="Cordia New" w:hAnsi="Arial" w:cs="Arial"/>
                <w:b/>
                <w:bCs/>
                <w:snapToGrid w:val="0"/>
                <w:color w:val="000000"/>
                <w:u w:val="none"/>
                <w:lang w:eastAsia="th-TH"/>
              </w:rPr>
            </w:pPr>
            <w:r w:rsidRPr="002D2F67">
              <w:rPr>
                <w:rFonts w:ascii="Arial" w:eastAsia="Cordia New" w:hAnsi="Arial" w:cs="Arial"/>
                <w:b/>
                <w:bCs/>
                <w:snapToGrid w:val="0"/>
                <w:color w:val="000000"/>
                <w:u w:val="none"/>
                <w:lang w:eastAsia="th-TH"/>
              </w:rPr>
              <w:t>financial statements</w:t>
            </w:r>
          </w:p>
        </w:tc>
        <w:tc>
          <w:tcPr>
            <w:tcW w:w="1503" w:type="pct"/>
            <w:gridSpan w:val="2"/>
            <w:tcBorders>
              <w:bottom w:val="single" w:sz="4" w:space="0" w:color="auto"/>
            </w:tcBorders>
            <w:shd w:val="clear" w:color="auto" w:fill="auto"/>
            <w:hideMark/>
          </w:tcPr>
          <w:p w14:paraId="4AA9A2B2" w14:textId="77777777" w:rsidR="006D0D7E" w:rsidRPr="002D2F67" w:rsidRDefault="006D0D7E" w:rsidP="002D2F67">
            <w:pPr>
              <w:pStyle w:val="BodyTextIndent2"/>
              <w:spacing w:line="240" w:lineRule="auto"/>
              <w:ind w:left="0" w:right="-72"/>
              <w:jc w:val="right"/>
              <w:rPr>
                <w:rFonts w:ascii="Arial" w:hAnsi="Arial" w:cs="Arial"/>
                <w:b/>
                <w:bCs/>
              </w:rPr>
            </w:pPr>
            <w:r w:rsidRPr="002D2F67">
              <w:rPr>
                <w:rFonts w:ascii="Arial" w:hAnsi="Arial" w:cs="Arial"/>
                <w:b/>
                <w:bCs/>
              </w:rPr>
              <w:t>Separate</w:t>
            </w:r>
          </w:p>
          <w:p w14:paraId="68D359C2" w14:textId="77777777" w:rsidR="006D0D7E" w:rsidRPr="002D2F67" w:rsidRDefault="006D0D7E" w:rsidP="002D2F67">
            <w:pPr>
              <w:pStyle w:val="Heading1"/>
              <w:ind w:left="-108" w:right="-74"/>
              <w:contextualSpacing/>
              <w:rPr>
                <w:rFonts w:ascii="Arial" w:eastAsia="Cordia New" w:hAnsi="Arial" w:cs="Arial"/>
                <w:b/>
                <w:bCs/>
                <w:snapToGrid w:val="0"/>
                <w:color w:val="000000"/>
                <w:u w:val="none"/>
                <w:lang w:eastAsia="th-TH"/>
              </w:rPr>
            </w:pPr>
            <w:r w:rsidRPr="002D2F67">
              <w:rPr>
                <w:rFonts w:ascii="Arial" w:eastAsia="Cordia New" w:hAnsi="Arial" w:cs="Arial"/>
                <w:b/>
                <w:bCs/>
                <w:snapToGrid w:val="0"/>
                <w:color w:val="000000"/>
                <w:u w:val="none"/>
                <w:lang w:eastAsia="th-TH"/>
              </w:rPr>
              <w:t>financial statements</w:t>
            </w:r>
          </w:p>
        </w:tc>
      </w:tr>
      <w:tr w:rsidR="006D0D7E" w:rsidRPr="002D2F67" w14:paraId="28EB2635" w14:textId="77777777" w:rsidTr="008255E8">
        <w:trPr>
          <w:trHeight w:val="20"/>
        </w:trPr>
        <w:tc>
          <w:tcPr>
            <w:tcW w:w="1974" w:type="pct"/>
            <w:shd w:val="clear" w:color="auto" w:fill="auto"/>
            <w:vAlign w:val="center"/>
          </w:tcPr>
          <w:p w14:paraId="728854FF" w14:textId="35CFE420" w:rsidR="006D0D7E" w:rsidRPr="002D2F67" w:rsidRDefault="006D0D7E" w:rsidP="002D2F67">
            <w:pPr>
              <w:ind w:left="-72" w:right="-72"/>
              <w:rPr>
                <w:rFonts w:ascii="Arial" w:eastAsia="Arial Unicode MS" w:hAnsi="Arial" w:cs="Arial"/>
                <w:b/>
                <w:bCs/>
                <w:snapToGrid w:val="0"/>
                <w:color w:val="000000"/>
                <w:sz w:val="20"/>
                <w:szCs w:val="20"/>
                <w:cs/>
                <w:lang w:eastAsia="th-TH"/>
              </w:rPr>
            </w:pPr>
            <w:r w:rsidRPr="002D2F67">
              <w:rPr>
                <w:rFonts w:ascii="Arial" w:eastAsia="Arial Unicode MS" w:hAnsi="Arial" w:cs="Arial"/>
                <w:b/>
                <w:bCs/>
                <w:snapToGrid w:val="0"/>
                <w:color w:val="000000"/>
                <w:sz w:val="20"/>
                <w:szCs w:val="20"/>
                <w:lang w:eastAsia="th-TH"/>
              </w:rPr>
              <w:t>For the year</w:t>
            </w:r>
            <w:r w:rsidR="00C2008A" w:rsidRPr="002D2F67">
              <w:rPr>
                <w:rFonts w:ascii="Arial" w:eastAsia="Arial Unicode MS" w:hAnsi="Arial" w:cs="Arial"/>
                <w:b/>
                <w:bCs/>
                <w:snapToGrid w:val="0"/>
                <w:color w:val="000000"/>
                <w:sz w:val="20"/>
                <w:szCs w:val="20"/>
                <w:lang w:eastAsia="th-TH"/>
              </w:rPr>
              <w:t>s</w:t>
            </w:r>
            <w:r w:rsidRPr="002D2F67">
              <w:rPr>
                <w:rFonts w:ascii="Arial" w:eastAsia="Arial Unicode MS" w:hAnsi="Arial" w:cs="Arial"/>
                <w:b/>
                <w:bCs/>
                <w:snapToGrid w:val="0"/>
                <w:color w:val="000000"/>
                <w:sz w:val="20"/>
                <w:szCs w:val="20"/>
                <w:lang w:eastAsia="th-TH"/>
              </w:rPr>
              <w:t xml:space="preserve"> ended </w:t>
            </w:r>
            <w:r w:rsidR="00CD5714" w:rsidRPr="00CD5714">
              <w:rPr>
                <w:rFonts w:ascii="Arial" w:eastAsia="Arial Unicode MS" w:hAnsi="Arial" w:cs="Arial"/>
                <w:b/>
                <w:bCs/>
                <w:snapToGrid w:val="0"/>
                <w:color w:val="000000"/>
                <w:sz w:val="20"/>
                <w:szCs w:val="20"/>
                <w:lang w:val="en-GB" w:eastAsia="th-TH"/>
              </w:rPr>
              <w:t>31</w:t>
            </w:r>
            <w:r w:rsidRPr="002D2F67">
              <w:rPr>
                <w:rFonts w:ascii="Arial" w:eastAsia="Arial Unicode MS" w:hAnsi="Arial" w:cs="Arial"/>
                <w:b/>
                <w:bCs/>
                <w:snapToGrid w:val="0"/>
                <w:color w:val="000000"/>
                <w:sz w:val="20"/>
                <w:szCs w:val="20"/>
                <w:lang w:eastAsia="th-TH"/>
              </w:rPr>
              <w:t xml:space="preserve"> December</w:t>
            </w:r>
          </w:p>
        </w:tc>
        <w:tc>
          <w:tcPr>
            <w:tcW w:w="761" w:type="pct"/>
            <w:tcBorders>
              <w:top w:val="single" w:sz="4" w:space="0" w:color="auto"/>
            </w:tcBorders>
            <w:shd w:val="clear" w:color="auto" w:fill="auto"/>
            <w:vAlign w:val="bottom"/>
          </w:tcPr>
          <w:p w14:paraId="7331B3DE" w14:textId="4DFA82D0" w:rsidR="006D0D7E" w:rsidRPr="002D2F67" w:rsidRDefault="00CD5714" w:rsidP="002D2F67">
            <w:pPr>
              <w:ind w:right="-72"/>
              <w:jc w:val="right"/>
              <w:rPr>
                <w:rFonts w:ascii="Arial" w:eastAsia="Arial Unicode MS" w:hAnsi="Arial" w:cs="Arial"/>
                <w:b/>
                <w:bCs/>
                <w:snapToGrid w:val="0"/>
                <w:color w:val="000000"/>
                <w:sz w:val="20"/>
                <w:szCs w:val="20"/>
                <w:cs/>
                <w:lang w:eastAsia="th-TH"/>
              </w:rPr>
            </w:pPr>
            <w:r w:rsidRPr="00CD5714">
              <w:rPr>
                <w:rFonts w:ascii="Arial" w:hAnsi="Arial" w:cs="Arial"/>
                <w:b/>
                <w:bCs/>
                <w:color w:val="000000"/>
                <w:sz w:val="20"/>
                <w:szCs w:val="20"/>
                <w:lang w:val="en-GB"/>
              </w:rPr>
              <w:t>2024</w:t>
            </w:r>
          </w:p>
        </w:tc>
        <w:tc>
          <w:tcPr>
            <w:tcW w:w="762" w:type="pct"/>
            <w:tcBorders>
              <w:top w:val="single" w:sz="4" w:space="0" w:color="auto"/>
            </w:tcBorders>
            <w:shd w:val="clear" w:color="auto" w:fill="auto"/>
            <w:vAlign w:val="bottom"/>
          </w:tcPr>
          <w:p w14:paraId="54CE47F4" w14:textId="66180176" w:rsidR="006D0D7E" w:rsidRPr="002D2F67" w:rsidRDefault="00CD5714" w:rsidP="002D2F67">
            <w:pPr>
              <w:ind w:right="-72"/>
              <w:jc w:val="right"/>
              <w:rPr>
                <w:rFonts w:ascii="Arial" w:eastAsia="Arial Unicode MS" w:hAnsi="Arial" w:cs="Arial"/>
                <w:b/>
                <w:bCs/>
                <w:snapToGrid w:val="0"/>
                <w:color w:val="000000"/>
                <w:sz w:val="20"/>
                <w:szCs w:val="20"/>
                <w:cs/>
                <w:lang w:eastAsia="th-TH"/>
              </w:rPr>
            </w:pPr>
            <w:r w:rsidRPr="00CD5714">
              <w:rPr>
                <w:rFonts w:ascii="Arial" w:hAnsi="Arial" w:cs="Arial"/>
                <w:b/>
                <w:bCs/>
                <w:color w:val="000000"/>
                <w:sz w:val="20"/>
                <w:szCs w:val="20"/>
                <w:lang w:val="en-GB"/>
              </w:rPr>
              <w:t>2023</w:t>
            </w:r>
          </w:p>
        </w:tc>
        <w:tc>
          <w:tcPr>
            <w:tcW w:w="753" w:type="pct"/>
            <w:tcBorders>
              <w:top w:val="single" w:sz="4" w:space="0" w:color="auto"/>
            </w:tcBorders>
            <w:shd w:val="clear" w:color="auto" w:fill="auto"/>
            <w:vAlign w:val="bottom"/>
          </w:tcPr>
          <w:p w14:paraId="08AB42AC" w14:textId="2F004761" w:rsidR="006D0D7E" w:rsidRPr="002D2F67" w:rsidRDefault="00CD5714" w:rsidP="002D2F67">
            <w:pPr>
              <w:pStyle w:val="Heading1"/>
              <w:ind w:left="-108" w:right="-74"/>
              <w:contextualSpacing/>
              <w:rPr>
                <w:rFonts w:ascii="Arial" w:eastAsia="Arial Unicode MS" w:hAnsi="Arial" w:cs="Arial"/>
                <w:color w:val="000000"/>
                <w:u w:val="none"/>
                <w:cs/>
              </w:rPr>
            </w:pPr>
            <w:r w:rsidRPr="00CD5714">
              <w:rPr>
                <w:rFonts w:ascii="Arial" w:hAnsi="Arial" w:cs="Arial"/>
                <w:b/>
                <w:bCs/>
                <w:color w:val="000000"/>
                <w:u w:val="none"/>
                <w:lang w:val="en-GB"/>
              </w:rPr>
              <w:t>2024</w:t>
            </w:r>
          </w:p>
        </w:tc>
        <w:tc>
          <w:tcPr>
            <w:tcW w:w="750" w:type="pct"/>
            <w:tcBorders>
              <w:top w:val="single" w:sz="4" w:space="0" w:color="auto"/>
            </w:tcBorders>
            <w:shd w:val="clear" w:color="auto" w:fill="auto"/>
            <w:vAlign w:val="bottom"/>
          </w:tcPr>
          <w:p w14:paraId="2D296A98" w14:textId="21831A35" w:rsidR="006D0D7E" w:rsidRPr="002D2F67" w:rsidRDefault="00CD5714" w:rsidP="002D2F67">
            <w:pPr>
              <w:pStyle w:val="Heading1"/>
              <w:ind w:left="-108" w:right="-74"/>
              <w:contextualSpacing/>
              <w:rPr>
                <w:rFonts w:ascii="Arial" w:eastAsia="Arial Unicode MS" w:hAnsi="Arial" w:cs="Arial"/>
                <w:color w:val="000000"/>
                <w:u w:val="none"/>
              </w:rPr>
            </w:pPr>
            <w:r w:rsidRPr="00CD5714">
              <w:rPr>
                <w:rFonts w:ascii="Arial" w:hAnsi="Arial" w:cs="Arial"/>
                <w:b/>
                <w:bCs/>
                <w:color w:val="000000"/>
                <w:u w:val="none"/>
                <w:lang w:val="en-GB"/>
              </w:rPr>
              <w:t>2023</w:t>
            </w:r>
          </w:p>
        </w:tc>
      </w:tr>
      <w:tr w:rsidR="006D0D7E" w:rsidRPr="002D2F67" w14:paraId="137B0B12" w14:textId="77777777" w:rsidTr="005611FE">
        <w:trPr>
          <w:trHeight w:val="57"/>
        </w:trPr>
        <w:tc>
          <w:tcPr>
            <w:tcW w:w="1974" w:type="pct"/>
            <w:shd w:val="clear" w:color="auto" w:fill="auto"/>
            <w:vAlign w:val="center"/>
          </w:tcPr>
          <w:p w14:paraId="602582B0" w14:textId="77777777" w:rsidR="006D0D7E" w:rsidRPr="002D2F67" w:rsidRDefault="006D0D7E" w:rsidP="002D2F67">
            <w:pPr>
              <w:ind w:left="-72" w:right="-72"/>
              <w:rPr>
                <w:rFonts w:ascii="Arial" w:eastAsia="Arial Unicode MS" w:hAnsi="Arial" w:cs="Arial"/>
                <w:b/>
                <w:bCs/>
                <w:color w:val="000000"/>
                <w:sz w:val="20"/>
                <w:szCs w:val="20"/>
                <w:cs/>
              </w:rPr>
            </w:pPr>
          </w:p>
        </w:tc>
        <w:tc>
          <w:tcPr>
            <w:tcW w:w="761" w:type="pct"/>
            <w:tcBorders>
              <w:bottom w:val="single" w:sz="4" w:space="0" w:color="auto"/>
            </w:tcBorders>
            <w:shd w:val="clear" w:color="auto" w:fill="auto"/>
            <w:vAlign w:val="bottom"/>
          </w:tcPr>
          <w:p w14:paraId="1A138610" w14:textId="4F72B2B2" w:rsidR="006D0D7E" w:rsidRPr="002D2F67" w:rsidRDefault="006D0D7E" w:rsidP="002D2F67">
            <w:pPr>
              <w:ind w:left="-72" w:right="-72"/>
              <w:jc w:val="right"/>
              <w:rPr>
                <w:rFonts w:ascii="Arial" w:eastAsia="Arial Unicode MS" w:hAnsi="Arial" w:cs="Arial"/>
                <w:b/>
                <w:bCs/>
                <w:color w:val="000000"/>
                <w:sz w:val="20"/>
                <w:szCs w:val="20"/>
                <w:cs/>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762" w:type="pct"/>
            <w:tcBorders>
              <w:bottom w:val="single" w:sz="4" w:space="0" w:color="auto"/>
            </w:tcBorders>
            <w:shd w:val="clear" w:color="auto" w:fill="auto"/>
          </w:tcPr>
          <w:p w14:paraId="7A0ACB68" w14:textId="50FD6BD5" w:rsidR="006D0D7E" w:rsidRPr="002D2F67" w:rsidRDefault="006D0D7E" w:rsidP="002D2F67">
            <w:pPr>
              <w:ind w:left="-72" w:right="-72"/>
              <w:jc w:val="right"/>
              <w:rPr>
                <w:rFonts w:ascii="Arial" w:eastAsia="Arial Unicode MS" w:hAnsi="Arial" w:cs="Arial"/>
                <w:b/>
                <w:bCs/>
                <w:color w:val="000000"/>
                <w:sz w:val="20"/>
                <w:szCs w:val="20"/>
                <w:cs/>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753" w:type="pct"/>
            <w:tcBorders>
              <w:bottom w:val="single" w:sz="4" w:space="0" w:color="auto"/>
            </w:tcBorders>
            <w:shd w:val="clear" w:color="auto" w:fill="auto"/>
          </w:tcPr>
          <w:p w14:paraId="0B2A4C72" w14:textId="04E2822B" w:rsidR="006D0D7E" w:rsidRPr="002D2F67" w:rsidRDefault="006D0D7E" w:rsidP="002D2F67">
            <w:pPr>
              <w:ind w:left="-107" w:right="-72"/>
              <w:jc w:val="right"/>
              <w:rPr>
                <w:rFonts w:ascii="Arial" w:eastAsia="Arial Unicode MS"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750" w:type="pct"/>
            <w:tcBorders>
              <w:bottom w:val="single" w:sz="4" w:space="0" w:color="auto"/>
            </w:tcBorders>
            <w:shd w:val="clear" w:color="auto" w:fill="auto"/>
          </w:tcPr>
          <w:p w14:paraId="70C36809" w14:textId="2F6EC9AE" w:rsidR="006D0D7E" w:rsidRPr="002D2F67" w:rsidRDefault="006D0D7E" w:rsidP="002D2F67">
            <w:pPr>
              <w:ind w:left="-107" w:right="-72"/>
              <w:jc w:val="right"/>
              <w:rPr>
                <w:rFonts w:ascii="Arial" w:eastAsia="Arial Unicode MS"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6D0D7E" w:rsidRPr="002D2F67" w14:paraId="3344CF49" w14:textId="77777777" w:rsidTr="005611FE">
        <w:trPr>
          <w:trHeight w:val="20"/>
        </w:trPr>
        <w:tc>
          <w:tcPr>
            <w:tcW w:w="1974" w:type="pct"/>
            <w:shd w:val="clear" w:color="auto" w:fill="auto"/>
            <w:vAlign w:val="center"/>
          </w:tcPr>
          <w:p w14:paraId="7264774B" w14:textId="77777777" w:rsidR="006D0D7E" w:rsidRPr="002D2F67" w:rsidRDefault="006D0D7E" w:rsidP="002D2F67">
            <w:pPr>
              <w:ind w:left="-101" w:right="-72"/>
              <w:rPr>
                <w:rFonts w:ascii="Arial" w:eastAsia="Arial Unicode MS" w:hAnsi="Arial" w:cs="Arial"/>
                <w:b/>
                <w:bCs/>
                <w:snapToGrid w:val="0"/>
                <w:color w:val="000000"/>
                <w:sz w:val="20"/>
                <w:szCs w:val="20"/>
                <w:lang w:eastAsia="th-TH"/>
              </w:rPr>
            </w:pPr>
          </w:p>
        </w:tc>
        <w:tc>
          <w:tcPr>
            <w:tcW w:w="761" w:type="pct"/>
            <w:tcBorders>
              <w:top w:val="single" w:sz="4" w:space="0" w:color="auto"/>
            </w:tcBorders>
            <w:shd w:val="clear" w:color="auto" w:fill="auto"/>
            <w:vAlign w:val="bottom"/>
          </w:tcPr>
          <w:p w14:paraId="13417C93" w14:textId="77777777" w:rsidR="006D0D7E" w:rsidRPr="002D2F67" w:rsidRDefault="006D0D7E" w:rsidP="002D2F67">
            <w:pPr>
              <w:ind w:left="-101" w:right="-72"/>
              <w:jc w:val="right"/>
              <w:rPr>
                <w:rFonts w:ascii="Arial" w:eastAsia="Arial Unicode MS" w:hAnsi="Arial" w:cs="Arial"/>
                <w:b/>
                <w:bCs/>
                <w:snapToGrid w:val="0"/>
                <w:color w:val="000000"/>
                <w:sz w:val="20"/>
                <w:szCs w:val="20"/>
                <w:lang w:eastAsia="th-TH"/>
              </w:rPr>
            </w:pPr>
          </w:p>
        </w:tc>
        <w:tc>
          <w:tcPr>
            <w:tcW w:w="762" w:type="pct"/>
            <w:tcBorders>
              <w:top w:val="single" w:sz="4" w:space="0" w:color="auto"/>
            </w:tcBorders>
            <w:shd w:val="clear" w:color="auto" w:fill="auto"/>
            <w:vAlign w:val="bottom"/>
          </w:tcPr>
          <w:p w14:paraId="5254BE7C" w14:textId="77777777" w:rsidR="006D0D7E" w:rsidRPr="002D2F67" w:rsidRDefault="006D0D7E" w:rsidP="002D2F67">
            <w:pPr>
              <w:ind w:left="-101" w:right="-72"/>
              <w:jc w:val="right"/>
              <w:rPr>
                <w:rFonts w:ascii="Arial" w:eastAsia="Arial Unicode MS" w:hAnsi="Arial" w:cs="Arial"/>
                <w:b/>
                <w:bCs/>
                <w:snapToGrid w:val="0"/>
                <w:color w:val="000000"/>
                <w:sz w:val="20"/>
                <w:szCs w:val="20"/>
                <w:lang w:eastAsia="th-TH"/>
              </w:rPr>
            </w:pPr>
          </w:p>
        </w:tc>
        <w:tc>
          <w:tcPr>
            <w:tcW w:w="753" w:type="pct"/>
            <w:tcBorders>
              <w:top w:val="single" w:sz="4" w:space="0" w:color="auto"/>
            </w:tcBorders>
            <w:shd w:val="clear" w:color="auto" w:fill="auto"/>
            <w:vAlign w:val="bottom"/>
          </w:tcPr>
          <w:p w14:paraId="181C85E6" w14:textId="77777777" w:rsidR="006D0D7E" w:rsidRPr="002D2F67" w:rsidRDefault="006D0D7E" w:rsidP="002D2F67">
            <w:pPr>
              <w:ind w:left="-101" w:right="-72"/>
              <w:jc w:val="right"/>
              <w:rPr>
                <w:rFonts w:ascii="Arial" w:eastAsia="Arial Unicode MS" w:hAnsi="Arial" w:cs="Arial"/>
                <w:snapToGrid w:val="0"/>
                <w:color w:val="000000"/>
                <w:sz w:val="20"/>
                <w:szCs w:val="20"/>
                <w:cs/>
                <w:lang w:eastAsia="th-TH"/>
              </w:rPr>
            </w:pPr>
          </w:p>
        </w:tc>
        <w:tc>
          <w:tcPr>
            <w:tcW w:w="750" w:type="pct"/>
            <w:tcBorders>
              <w:top w:val="single" w:sz="4" w:space="0" w:color="auto"/>
            </w:tcBorders>
            <w:shd w:val="clear" w:color="auto" w:fill="auto"/>
            <w:vAlign w:val="bottom"/>
          </w:tcPr>
          <w:p w14:paraId="19497CC8" w14:textId="77777777" w:rsidR="006D0D7E" w:rsidRPr="002D2F67" w:rsidRDefault="006D0D7E" w:rsidP="002D2F67">
            <w:pPr>
              <w:ind w:left="-101" w:right="-72"/>
              <w:jc w:val="right"/>
              <w:rPr>
                <w:rFonts w:ascii="Arial" w:eastAsia="Arial Unicode MS" w:hAnsi="Arial" w:cs="Arial"/>
                <w:snapToGrid w:val="0"/>
                <w:color w:val="000000"/>
                <w:sz w:val="20"/>
                <w:szCs w:val="20"/>
                <w:lang w:eastAsia="th-TH"/>
              </w:rPr>
            </w:pPr>
          </w:p>
        </w:tc>
      </w:tr>
      <w:tr w:rsidR="00E74A05" w:rsidRPr="002D2F67" w14:paraId="49B99D97" w14:textId="77777777" w:rsidTr="005611FE">
        <w:trPr>
          <w:trHeight w:val="20"/>
        </w:trPr>
        <w:tc>
          <w:tcPr>
            <w:tcW w:w="1974" w:type="pct"/>
            <w:shd w:val="clear" w:color="auto" w:fill="auto"/>
          </w:tcPr>
          <w:p w14:paraId="71D0FA0F" w14:textId="77777777" w:rsidR="00E74A05" w:rsidRPr="002D2F67" w:rsidRDefault="00E74A05" w:rsidP="002D2F67">
            <w:pPr>
              <w:ind w:left="-101"/>
              <w:rPr>
                <w:rFonts w:ascii="Arial" w:eastAsia="Arial Unicode MS" w:hAnsi="Arial" w:cs="Arial"/>
                <w:snapToGrid w:val="0"/>
                <w:color w:val="000000"/>
                <w:sz w:val="20"/>
                <w:szCs w:val="20"/>
                <w:cs/>
                <w:lang w:eastAsia="th-TH"/>
              </w:rPr>
            </w:pPr>
            <w:r w:rsidRPr="002D2F67">
              <w:rPr>
                <w:rFonts w:ascii="Arial" w:hAnsi="Arial" w:cs="Arial"/>
                <w:color w:val="000000"/>
                <w:sz w:val="20"/>
                <w:szCs w:val="20"/>
              </w:rPr>
              <w:t>Opening net book value</w:t>
            </w:r>
          </w:p>
        </w:tc>
        <w:tc>
          <w:tcPr>
            <w:tcW w:w="761" w:type="pct"/>
            <w:shd w:val="clear" w:color="auto" w:fill="auto"/>
            <w:vAlign w:val="bottom"/>
          </w:tcPr>
          <w:p w14:paraId="791609C8" w14:textId="4A30BA36" w:rsidR="00E74A05" w:rsidRPr="002D2F67" w:rsidRDefault="00CD5714" w:rsidP="002D2F67">
            <w:pPr>
              <w:ind w:right="-72"/>
              <w:jc w:val="right"/>
              <w:rPr>
                <w:rFonts w:ascii="Arial" w:eastAsia="Arial Unicode MS" w:hAnsi="Arial" w:cs="Arial"/>
                <w:snapToGrid w:val="0"/>
                <w:color w:val="000000"/>
                <w:sz w:val="20"/>
                <w:szCs w:val="20"/>
                <w:cs/>
                <w:lang w:eastAsia="th-TH"/>
              </w:rPr>
            </w:pPr>
            <w:r w:rsidRPr="00CD5714">
              <w:rPr>
                <w:rFonts w:ascii="Arial" w:eastAsia="Arial Unicode MS" w:hAnsi="Arial" w:cs="Arial"/>
                <w:snapToGrid w:val="0"/>
                <w:color w:val="000000"/>
                <w:sz w:val="20"/>
                <w:szCs w:val="20"/>
                <w:lang w:val="en-GB" w:eastAsia="th-TH"/>
              </w:rPr>
              <w:t>9</w:t>
            </w:r>
            <w:r w:rsidR="003157BF"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369</w:t>
            </w:r>
            <w:r w:rsidR="003157BF"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718</w:t>
            </w:r>
          </w:p>
        </w:tc>
        <w:tc>
          <w:tcPr>
            <w:tcW w:w="762" w:type="pct"/>
            <w:shd w:val="clear" w:color="auto" w:fill="auto"/>
            <w:vAlign w:val="bottom"/>
          </w:tcPr>
          <w:p w14:paraId="5D823311" w14:textId="3664F01A" w:rsidR="00E74A05" w:rsidRPr="002D2F67" w:rsidRDefault="00CD5714" w:rsidP="002D2F67">
            <w:pPr>
              <w:ind w:right="-72"/>
              <w:jc w:val="right"/>
              <w:rPr>
                <w:rFonts w:ascii="Arial" w:eastAsia="Arial Unicode MS" w:hAnsi="Arial" w:cs="Arial"/>
                <w:snapToGrid w:val="0"/>
                <w:color w:val="000000"/>
                <w:sz w:val="20"/>
                <w:szCs w:val="20"/>
                <w:cs/>
                <w:lang w:eastAsia="th-TH"/>
              </w:rPr>
            </w:pPr>
            <w:r w:rsidRPr="00CD5714">
              <w:rPr>
                <w:rFonts w:ascii="Arial" w:eastAsia="Arial Unicode MS" w:hAnsi="Arial" w:cs="Arial"/>
                <w:snapToGrid w:val="0"/>
                <w:color w:val="000000"/>
                <w:sz w:val="20"/>
                <w:szCs w:val="20"/>
                <w:lang w:val="en-GB" w:eastAsia="th-TH"/>
              </w:rPr>
              <w:t>5</w:t>
            </w:r>
            <w:r w:rsidR="00E74A05"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160</w:t>
            </w:r>
            <w:r w:rsidR="00E74A05"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577</w:t>
            </w:r>
          </w:p>
        </w:tc>
        <w:tc>
          <w:tcPr>
            <w:tcW w:w="753" w:type="pct"/>
            <w:shd w:val="clear" w:color="auto" w:fill="auto"/>
            <w:vAlign w:val="bottom"/>
          </w:tcPr>
          <w:p w14:paraId="66EE054A" w14:textId="605754F1" w:rsidR="00E74A05" w:rsidRPr="002D2F67" w:rsidRDefault="00CD5714" w:rsidP="002D2F67">
            <w:pPr>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4</w:t>
            </w:r>
            <w:r w:rsidR="00E64AA6"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840</w:t>
            </w:r>
            <w:r w:rsidR="00E64AA6"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682</w:t>
            </w:r>
          </w:p>
        </w:tc>
        <w:tc>
          <w:tcPr>
            <w:tcW w:w="750" w:type="pct"/>
            <w:shd w:val="clear" w:color="auto" w:fill="auto"/>
            <w:vAlign w:val="bottom"/>
          </w:tcPr>
          <w:p w14:paraId="544DDA39" w14:textId="1FD8CD25" w:rsidR="00E74A05" w:rsidRPr="002D2F67" w:rsidRDefault="00CD5714" w:rsidP="002D2F67">
            <w:pPr>
              <w:ind w:right="-72"/>
              <w:jc w:val="right"/>
              <w:rPr>
                <w:rFonts w:ascii="Arial" w:eastAsia="Arial Unicode MS" w:hAnsi="Arial" w:cs="Arial"/>
                <w:color w:val="000000"/>
                <w:sz w:val="20"/>
                <w:szCs w:val="20"/>
              </w:rPr>
            </w:pPr>
            <w:r w:rsidRPr="00CD5714">
              <w:rPr>
                <w:rFonts w:ascii="Arial" w:eastAsia="Arial Unicode MS" w:hAnsi="Arial" w:cs="Arial"/>
                <w:snapToGrid w:val="0"/>
                <w:color w:val="000000"/>
                <w:sz w:val="20"/>
                <w:szCs w:val="20"/>
                <w:lang w:val="en-GB" w:eastAsia="th-TH"/>
              </w:rPr>
              <w:t>5</w:t>
            </w:r>
            <w:r w:rsidR="00E74A05"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119</w:t>
            </w:r>
            <w:r w:rsidR="00E74A05"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409</w:t>
            </w:r>
          </w:p>
        </w:tc>
      </w:tr>
      <w:tr w:rsidR="00583FCA" w:rsidRPr="002D2F67" w14:paraId="7AB832DE" w14:textId="77777777" w:rsidTr="005611FE">
        <w:trPr>
          <w:trHeight w:val="20"/>
        </w:trPr>
        <w:tc>
          <w:tcPr>
            <w:tcW w:w="1974" w:type="pct"/>
            <w:shd w:val="clear" w:color="auto" w:fill="auto"/>
          </w:tcPr>
          <w:p w14:paraId="7A18A8F2" w14:textId="202603FE" w:rsidR="00583FCA" w:rsidRPr="002D2F67" w:rsidRDefault="00D65B67" w:rsidP="002D2F67">
            <w:pPr>
              <w:ind w:left="-101"/>
              <w:rPr>
                <w:rFonts w:ascii="Arial" w:hAnsi="Arial" w:cs="Arial"/>
                <w:color w:val="000000"/>
                <w:sz w:val="20"/>
                <w:szCs w:val="20"/>
              </w:rPr>
            </w:pPr>
            <w:r w:rsidRPr="002D2F67">
              <w:rPr>
                <w:rFonts w:ascii="Arial" w:hAnsi="Arial" w:cs="Arial"/>
                <w:color w:val="000000"/>
                <w:sz w:val="20"/>
                <w:szCs w:val="20"/>
              </w:rPr>
              <w:t>I</w:t>
            </w:r>
            <w:r w:rsidR="004F0E6F" w:rsidRPr="002D2F67">
              <w:rPr>
                <w:rFonts w:ascii="Arial" w:hAnsi="Arial" w:cs="Arial"/>
                <w:color w:val="000000"/>
                <w:sz w:val="20"/>
                <w:szCs w:val="20"/>
              </w:rPr>
              <w:t>nvest</w:t>
            </w:r>
            <w:r w:rsidR="00A45DCA" w:rsidRPr="002D2F67">
              <w:rPr>
                <w:rFonts w:ascii="Arial" w:hAnsi="Arial" w:cs="Arial"/>
                <w:color w:val="000000"/>
                <w:sz w:val="20"/>
                <w:szCs w:val="20"/>
              </w:rPr>
              <w:t>ing</w:t>
            </w:r>
            <w:r w:rsidR="004F0E6F" w:rsidRPr="002D2F67">
              <w:rPr>
                <w:rFonts w:ascii="Arial" w:hAnsi="Arial" w:cs="Arial"/>
                <w:color w:val="000000"/>
                <w:sz w:val="20"/>
                <w:szCs w:val="20"/>
              </w:rPr>
              <w:t xml:space="preserve"> in listed equity </w:t>
            </w:r>
            <w:r w:rsidRPr="002D2F67">
              <w:rPr>
                <w:rFonts w:ascii="Arial" w:hAnsi="Arial" w:cs="Arial"/>
                <w:color w:val="000000"/>
                <w:sz w:val="20"/>
                <w:szCs w:val="20"/>
              </w:rPr>
              <w:t>s</w:t>
            </w:r>
            <w:r w:rsidR="004F0E6F" w:rsidRPr="002D2F67">
              <w:rPr>
                <w:rFonts w:ascii="Arial" w:hAnsi="Arial" w:cs="Arial"/>
                <w:color w:val="000000"/>
                <w:sz w:val="20"/>
                <w:szCs w:val="20"/>
              </w:rPr>
              <w:t>ecurities</w:t>
            </w:r>
          </w:p>
        </w:tc>
        <w:tc>
          <w:tcPr>
            <w:tcW w:w="761" w:type="pct"/>
            <w:shd w:val="clear" w:color="auto" w:fill="auto"/>
            <w:vAlign w:val="bottom"/>
          </w:tcPr>
          <w:p w14:paraId="1F164C6B" w14:textId="0AB4368A" w:rsidR="00583FCA" w:rsidRPr="002D2F67" w:rsidRDefault="00CD5714" w:rsidP="002D2F67">
            <w:pPr>
              <w:ind w:right="-72"/>
              <w:jc w:val="right"/>
              <w:rPr>
                <w:rFonts w:ascii="Arial" w:eastAsia="Arial Unicode MS" w:hAnsi="Arial" w:cs="Arial"/>
                <w:snapToGrid w:val="0"/>
                <w:color w:val="000000"/>
                <w:sz w:val="20"/>
                <w:szCs w:val="20"/>
                <w:lang w:eastAsia="th-TH"/>
              </w:rPr>
            </w:pPr>
            <w:r w:rsidRPr="00CD5714">
              <w:rPr>
                <w:rFonts w:ascii="Arial" w:eastAsia="Arial Unicode MS" w:hAnsi="Arial" w:cs="Arial"/>
                <w:snapToGrid w:val="0"/>
                <w:color w:val="000000"/>
                <w:sz w:val="20"/>
                <w:szCs w:val="20"/>
                <w:lang w:val="en-GB" w:eastAsia="th-TH"/>
              </w:rPr>
              <w:t>123</w:t>
            </w:r>
            <w:r w:rsidR="00C45B5F"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850</w:t>
            </w:r>
          </w:p>
        </w:tc>
        <w:tc>
          <w:tcPr>
            <w:tcW w:w="762" w:type="pct"/>
            <w:shd w:val="clear" w:color="auto" w:fill="auto"/>
            <w:vAlign w:val="bottom"/>
          </w:tcPr>
          <w:p w14:paraId="357E6C21" w14:textId="2CF24486" w:rsidR="00583FCA" w:rsidRPr="002D2F67" w:rsidRDefault="00D65B67" w:rsidP="002D2F67">
            <w:pPr>
              <w:ind w:right="-72"/>
              <w:jc w:val="right"/>
              <w:rPr>
                <w:rFonts w:ascii="Arial" w:eastAsia="Arial Unicode MS" w:hAnsi="Arial" w:cs="Arial"/>
                <w:snapToGrid w:val="0"/>
                <w:color w:val="000000"/>
                <w:sz w:val="20"/>
                <w:szCs w:val="20"/>
                <w:lang w:eastAsia="th-TH"/>
              </w:rPr>
            </w:pPr>
            <w:r w:rsidRPr="002D2F67">
              <w:rPr>
                <w:rFonts w:ascii="Arial" w:eastAsia="Arial Unicode MS" w:hAnsi="Arial" w:cs="Arial"/>
                <w:snapToGrid w:val="0"/>
                <w:color w:val="000000"/>
                <w:sz w:val="20"/>
                <w:szCs w:val="20"/>
                <w:lang w:eastAsia="th-TH"/>
              </w:rPr>
              <w:t>-</w:t>
            </w:r>
          </w:p>
        </w:tc>
        <w:tc>
          <w:tcPr>
            <w:tcW w:w="753" w:type="pct"/>
            <w:shd w:val="clear" w:color="auto" w:fill="auto"/>
            <w:vAlign w:val="bottom"/>
          </w:tcPr>
          <w:p w14:paraId="4E06FDDC" w14:textId="653B9674" w:rsidR="00583FCA" w:rsidRPr="002D2F67" w:rsidRDefault="00D65B67" w:rsidP="002D2F67">
            <w:pPr>
              <w:ind w:right="-72"/>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750" w:type="pct"/>
            <w:shd w:val="clear" w:color="auto" w:fill="auto"/>
            <w:vAlign w:val="bottom"/>
          </w:tcPr>
          <w:p w14:paraId="7D45D2E2" w14:textId="3A07CECF" w:rsidR="00583FCA" w:rsidRPr="002D2F67" w:rsidRDefault="00D65B67" w:rsidP="002D2F67">
            <w:pPr>
              <w:ind w:right="-72"/>
              <w:jc w:val="right"/>
              <w:rPr>
                <w:rFonts w:ascii="Arial" w:eastAsia="Arial Unicode MS" w:hAnsi="Arial" w:cs="Arial"/>
                <w:snapToGrid w:val="0"/>
                <w:color w:val="000000"/>
                <w:sz w:val="20"/>
                <w:szCs w:val="20"/>
                <w:lang w:eastAsia="th-TH"/>
              </w:rPr>
            </w:pPr>
            <w:r w:rsidRPr="002D2F67">
              <w:rPr>
                <w:rFonts w:ascii="Arial" w:eastAsia="Arial Unicode MS" w:hAnsi="Arial" w:cs="Arial"/>
                <w:snapToGrid w:val="0"/>
                <w:color w:val="000000"/>
                <w:sz w:val="20"/>
                <w:szCs w:val="20"/>
                <w:lang w:eastAsia="th-TH"/>
              </w:rPr>
              <w:t>-</w:t>
            </w:r>
          </w:p>
        </w:tc>
      </w:tr>
      <w:tr w:rsidR="001A5DEA" w:rsidRPr="002D2F67" w14:paraId="67F7365F" w14:textId="77777777" w:rsidTr="005611FE">
        <w:trPr>
          <w:trHeight w:val="20"/>
        </w:trPr>
        <w:tc>
          <w:tcPr>
            <w:tcW w:w="1974" w:type="pct"/>
            <w:shd w:val="clear" w:color="auto" w:fill="auto"/>
            <w:vAlign w:val="center"/>
          </w:tcPr>
          <w:p w14:paraId="48FFFE85" w14:textId="113482A3" w:rsidR="001A5DEA" w:rsidRPr="002D2F67" w:rsidRDefault="001A5DEA" w:rsidP="002D2F67">
            <w:pPr>
              <w:ind w:left="-101" w:right="-72"/>
              <w:rPr>
                <w:rFonts w:ascii="Arial" w:hAnsi="Arial" w:cs="Arial"/>
                <w:color w:val="000000"/>
                <w:sz w:val="20"/>
                <w:szCs w:val="20"/>
              </w:rPr>
            </w:pPr>
            <w:r w:rsidRPr="002D2F67">
              <w:rPr>
                <w:rFonts w:ascii="Arial" w:hAnsi="Arial" w:cs="Arial"/>
                <w:color w:val="000000"/>
                <w:sz w:val="20"/>
                <w:szCs w:val="20"/>
              </w:rPr>
              <w:t xml:space="preserve">Changes in fair value through </w:t>
            </w:r>
          </w:p>
          <w:p w14:paraId="1FD3FF79" w14:textId="77777777" w:rsidR="001A5DEA" w:rsidRPr="002D2F67" w:rsidRDefault="001A5DEA" w:rsidP="002D2F67">
            <w:pPr>
              <w:ind w:left="-101" w:right="-72"/>
              <w:rPr>
                <w:rFonts w:ascii="Arial" w:eastAsia="Arial Unicode MS" w:hAnsi="Arial" w:cs="Arial"/>
                <w:color w:val="000000"/>
                <w:sz w:val="20"/>
                <w:szCs w:val="20"/>
                <w:cs/>
              </w:rPr>
            </w:pPr>
            <w:r w:rsidRPr="002D2F67">
              <w:rPr>
                <w:rFonts w:ascii="Arial" w:hAnsi="Arial" w:cs="Arial"/>
                <w:color w:val="000000"/>
                <w:sz w:val="20"/>
                <w:szCs w:val="20"/>
              </w:rPr>
              <w:t xml:space="preserve">   other comprehensive income</w:t>
            </w:r>
          </w:p>
        </w:tc>
        <w:tc>
          <w:tcPr>
            <w:tcW w:w="761" w:type="pct"/>
            <w:shd w:val="clear" w:color="auto" w:fill="auto"/>
            <w:vAlign w:val="bottom"/>
          </w:tcPr>
          <w:p w14:paraId="22FC7F8E" w14:textId="25D36EB2" w:rsidR="001A5DEA" w:rsidRPr="002D2F67" w:rsidRDefault="004C5E3A" w:rsidP="002D2F67">
            <w:pPr>
              <w:ind w:right="-72"/>
              <w:jc w:val="right"/>
              <w:rPr>
                <w:rFonts w:ascii="Arial" w:eastAsia="Arial Unicode MS" w:hAnsi="Arial" w:cs="Arial"/>
                <w:color w:val="000000"/>
                <w:sz w:val="20"/>
                <w:szCs w:val="20"/>
                <w:cs/>
              </w:rPr>
            </w:pPr>
            <w:r w:rsidRPr="002D2F67">
              <w:rPr>
                <w:rFonts w:ascii="Arial" w:eastAsia="Arial Unicode MS" w:hAnsi="Arial" w:cs="Arial"/>
                <w:snapToGrid w:val="0"/>
                <w:color w:val="000000"/>
                <w:sz w:val="20"/>
                <w:szCs w:val="20"/>
                <w:lang w:eastAsia="th-TH"/>
              </w:rPr>
              <w:t>(</w:t>
            </w:r>
            <w:r w:rsidR="00CD5714" w:rsidRPr="00CD5714">
              <w:rPr>
                <w:rFonts w:ascii="Arial" w:eastAsia="Arial Unicode MS" w:hAnsi="Arial" w:cs="Arial"/>
                <w:snapToGrid w:val="0"/>
                <w:color w:val="000000"/>
                <w:sz w:val="20"/>
                <w:szCs w:val="20"/>
                <w:lang w:val="en-GB" w:eastAsia="th-TH"/>
              </w:rPr>
              <w:t>4</w:t>
            </w:r>
            <w:r w:rsidRPr="002D2F67">
              <w:rPr>
                <w:rFonts w:ascii="Arial" w:eastAsia="Arial Unicode MS" w:hAnsi="Arial" w:cs="Arial"/>
                <w:snapToGrid w:val="0"/>
                <w:color w:val="000000"/>
                <w:sz w:val="20"/>
                <w:szCs w:val="20"/>
                <w:lang w:eastAsia="th-TH"/>
              </w:rPr>
              <w:t>,</w:t>
            </w:r>
            <w:r w:rsidR="00CD5714" w:rsidRPr="00CD5714">
              <w:rPr>
                <w:rFonts w:ascii="Arial" w:eastAsia="Arial Unicode MS" w:hAnsi="Arial" w:cs="Arial"/>
                <w:snapToGrid w:val="0"/>
                <w:color w:val="000000"/>
                <w:sz w:val="20"/>
                <w:szCs w:val="20"/>
                <w:lang w:val="en-GB" w:eastAsia="th-TH"/>
              </w:rPr>
              <w:t>643</w:t>
            </w:r>
            <w:r w:rsidRPr="002D2F67">
              <w:rPr>
                <w:rFonts w:ascii="Arial" w:eastAsia="Arial Unicode MS" w:hAnsi="Arial" w:cs="Arial"/>
                <w:snapToGrid w:val="0"/>
                <w:color w:val="000000"/>
                <w:sz w:val="20"/>
                <w:szCs w:val="20"/>
                <w:lang w:eastAsia="th-TH"/>
              </w:rPr>
              <w:t>,</w:t>
            </w:r>
            <w:r w:rsidR="00CD5714" w:rsidRPr="00CD5714">
              <w:rPr>
                <w:rFonts w:ascii="Arial" w:eastAsia="Arial Unicode MS" w:hAnsi="Arial" w:cs="Arial"/>
                <w:snapToGrid w:val="0"/>
                <w:color w:val="000000"/>
                <w:sz w:val="20"/>
                <w:szCs w:val="20"/>
                <w:lang w:val="en-GB" w:eastAsia="th-TH"/>
              </w:rPr>
              <w:t>851</w:t>
            </w:r>
            <w:r w:rsidRPr="002D2F67">
              <w:rPr>
                <w:rFonts w:ascii="Arial" w:eastAsia="Arial Unicode MS" w:hAnsi="Arial" w:cs="Arial"/>
                <w:snapToGrid w:val="0"/>
                <w:color w:val="000000"/>
                <w:sz w:val="20"/>
                <w:szCs w:val="20"/>
                <w:lang w:eastAsia="th-TH"/>
              </w:rPr>
              <w:t>)</w:t>
            </w:r>
          </w:p>
        </w:tc>
        <w:tc>
          <w:tcPr>
            <w:tcW w:w="762" w:type="pct"/>
            <w:shd w:val="clear" w:color="auto" w:fill="auto"/>
            <w:vAlign w:val="bottom"/>
          </w:tcPr>
          <w:p w14:paraId="4BB61FB6" w14:textId="2E16B1E8" w:rsidR="001A5DEA" w:rsidRPr="002D2F67" w:rsidRDefault="001A5DEA" w:rsidP="002D2F67">
            <w:pPr>
              <w:ind w:right="-72"/>
              <w:jc w:val="right"/>
              <w:rPr>
                <w:rFonts w:ascii="Arial" w:eastAsia="Arial Unicode MS" w:hAnsi="Arial" w:cs="Arial"/>
                <w:color w:val="000000"/>
                <w:sz w:val="20"/>
                <w:szCs w:val="20"/>
                <w:cs/>
              </w:rPr>
            </w:pPr>
            <w:r w:rsidRPr="002D2F67">
              <w:rPr>
                <w:rFonts w:ascii="Arial" w:eastAsia="Arial Unicode MS" w:hAnsi="Arial" w:cs="Arial"/>
                <w:snapToGrid w:val="0"/>
                <w:color w:val="000000"/>
                <w:sz w:val="20"/>
                <w:szCs w:val="20"/>
                <w:lang w:eastAsia="th-TH"/>
              </w:rPr>
              <w:t>(</w:t>
            </w:r>
            <w:r w:rsidR="00CD5714" w:rsidRPr="00CD5714">
              <w:rPr>
                <w:rFonts w:ascii="Arial" w:eastAsia="Arial Unicode MS" w:hAnsi="Arial" w:cs="Arial"/>
                <w:snapToGrid w:val="0"/>
                <w:color w:val="000000"/>
                <w:sz w:val="20"/>
                <w:szCs w:val="20"/>
                <w:lang w:val="en-GB" w:eastAsia="th-TH"/>
              </w:rPr>
              <w:t>3</w:t>
            </w:r>
            <w:r w:rsidRPr="002D2F67">
              <w:rPr>
                <w:rFonts w:ascii="Arial" w:eastAsia="Arial Unicode MS" w:hAnsi="Arial" w:cs="Arial"/>
                <w:snapToGrid w:val="0"/>
                <w:color w:val="000000"/>
                <w:sz w:val="20"/>
                <w:szCs w:val="20"/>
                <w:lang w:eastAsia="th-TH"/>
              </w:rPr>
              <w:t>,</w:t>
            </w:r>
            <w:r w:rsidR="00CD5714" w:rsidRPr="00CD5714">
              <w:rPr>
                <w:rFonts w:ascii="Arial" w:eastAsia="Arial Unicode MS" w:hAnsi="Arial" w:cs="Arial"/>
                <w:snapToGrid w:val="0"/>
                <w:color w:val="000000"/>
                <w:sz w:val="20"/>
                <w:szCs w:val="20"/>
                <w:lang w:val="en-GB" w:eastAsia="th-TH"/>
              </w:rPr>
              <w:t>072</w:t>
            </w:r>
            <w:r w:rsidRPr="002D2F67">
              <w:rPr>
                <w:rFonts w:ascii="Arial" w:eastAsia="Arial Unicode MS" w:hAnsi="Arial" w:cs="Arial"/>
                <w:snapToGrid w:val="0"/>
                <w:color w:val="000000"/>
                <w:sz w:val="20"/>
                <w:szCs w:val="20"/>
                <w:lang w:eastAsia="th-TH"/>
              </w:rPr>
              <w:t>,</w:t>
            </w:r>
            <w:r w:rsidR="00CD5714" w:rsidRPr="00CD5714">
              <w:rPr>
                <w:rFonts w:ascii="Arial" w:eastAsia="Arial Unicode MS" w:hAnsi="Arial" w:cs="Arial"/>
                <w:snapToGrid w:val="0"/>
                <w:color w:val="000000"/>
                <w:sz w:val="20"/>
                <w:szCs w:val="20"/>
                <w:lang w:val="en-GB" w:eastAsia="th-TH"/>
              </w:rPr>
              <w:t>487</w:t>
            </w:r>
            <w:r w:rsidRPr="002D2F67">
              <w:rPr>
                <w:rFonts w:ascii="Arial" w:eastAsia="Arial Unicode MS" w:hAnsi="Arial" w:cs="Arial"/>
                <w:snapToGrid w:val="0"/>
                <w:color w:val="000000"/>
                <w:sz w:val="20"/>
                <w:szCs w:val="20"/>
                <w:lang w:eastAsia="th-TH"/>
              </w:rPr>
              <w:t>)</w:t>
            </w:r>
          </w:p>
        </w:tc>
        <w:tc>
          <w:tcPr>
            <w:tcW w:w="753" w:type="pct"/>
            <w:shd w:val="clear" w:color="auto" w:fill="auto"/>
            <w:vAlign w:val="bottom"/>
          </w:tcPr>
          <w:p w14:paraId="24EB5AA4" w14:textId="783FAC12" w:rsidR="001A5DEA" w:rsidRPr="002D2F67" w:rsidRDefault="009A0A36" w:rsidP="002D2F67">
            <w:pPr>
              <w:ind w:right="-72"/>
              <w:jc w:val="right"/>
              <w:rPr>
                <w:rFonts w:ascii="Arial" w:eastAsia="Arial Unicode MS" w:hAnsi="Arial" w:cs="Arial"/>
                <w:snapToGrid w:val="0"/>
                <w:color w:val="000000"/>
                <w:sz w:val="20"/>
                <w:szCs w:val="20"/>
                <w:cs/>
                <w:lang w:eastAsia="th-TH"/>
              </w:rPr>
            </w:pPr>
            <w:r w:rsidRPr="002D2F67">
              <w:rPr>
                <w:rFonts w:ascii="Arial" w:eastAsia="Arial Unicode MS" w:hAnsi="Arial" w:cs="Arial"/>
                <w:snapToGrid w:val="0"/>
                <w:color w:val="000000"/>
                <w:sz w:val="20"/>
                <w:szCs w:val="20"/>
                <w:lang w:eastAsia="th-TH"/>
              </w:rPr>
              <w:t>(</w:t>
            </w:r>
            <w:r w:rsidR="00CD5714" w:rsidRPr="00CD5714">
              <w:rPr>
                <w:rFonts w:ascii="Arial" w:eastAsia="Arial Unicode MS" w:hAnsi="Arial" w:cs="Arial"/>
                <w:snapToGrid w:val="0"/>
                <w:color w:val="000000"/>
                <w:sz w:val="20"/>
                <w:szCs w:val="20"/>
                <w:lang w:val="en-GB" w:eastAsia="th-TH"/>
              </w:rPr>
              <w:t>902</w:t>
            </w:r>
            <w:r w:rsidRPr="002D2F67">
              <w:rPr>
                <w:rFonts w:ascii="Arial" w:eastAsia="Arial Unicode MS" w:hAnsi="Arial" w:cs="Arial"/>
                <w:snapToGrid w:val="0"/>
                <w:color w:val="000000"/>
                <w:sz w:val="20"/>
                <w:szCs w:val="20"/>
                <w:lang w:eastAsia="th-TH"/>
              </w:rPr>
              <w:t>,</w:t>
            </w:r>
            <w:r w:rsidR="00CD5714" w:rsidRPr="00CD5714">
              <w:rPr>
                <w:rFonts w:ascii="Arial" w:eastAsia="Arial Unicode MS" w:hAnsi="Arial" w:cs="Arial"/>
                <w:snapToGrid w:val="0"/>
                <w:color w:val="000000"/>
                <w:sz w:val="20"/>
                <w:szCs w:val="20"/>
                <w:lang w:val="en-GB" w:eastAsia="th-TH"/>
              </w:rPr>
              <w:t>950</w:t>
            </w:r>
            <w:r w:rsidRPr="002D2F67">
              <w:rPr>
                <w:rFonts w:ascii="Arial" w:eastAsia="Arial Unicode MS" w:hAnsi="Arial" w:cs="Arial"/>
                <w:snapToGrid w:val="0"/>
                <w:color w:val="000000"/>
                <w:sz w:val="20"/>
                <w:szCs w:val="20"/>
                <w:lang w:eastAsia="th-TH"/>
              </w:rPr>
              <w:t>)</w:t>
            </w:r>
          </w:p>
        </w:tc>
        <w:tc>
          <w:tcPr>
            <w:tcW w:w="750" w:type="pct"/>
            <w:shd w:val="clear" w:color="auto" w:fill="auto"/>
            <w:vAlign w:val="bottom"/>
          </w:tcPr>
          <w:p w14:paraId="74011107" w14:textId="0A27EEC5" w:rsidR="001A5DEA" w:rsidRPr="002D2F67" w:rsidRDefault="001A5DEA" w:rsidP="002D2F67">
            <w:pPr>
              <w:ind w:right="-72"/>
              <w:jc w:val="right"/>
              <w:rPr>
                <w:rFonts w:ascii="Arial" w:eastAsia="Arial Unicode MS" w:hAnsi="Arial" w:cs="Arial"/>
                <w:snapToGrid w:val="0"/>
                <w:color w:val="000000"/>
                <w:sz w:val="20"/>
                <w:szCs w:val="20"/>
                <w:cs/>
                <w:lang w:eastAsia="th-TH"/>
              </w:rPr>
            </w:pPr>
            <w:r w:rsidRPr="002D2F67">
              <w:rPr>
                <w:rFonts w:ascii="Arial" w:eastAsia="Arial Unicode MS" w:hAnsi="Arial" w:cs="Arial"/>
                <w:snapToGrid w:val="0"/>
                <w:color w:val="000000"/>
                <w:sz w:val="20"/>
                <w:szCs w:val="20"/>
                <w:lang w:eastAsia="th-TH"/>
              </w:rPr>
              <w:t>(</w:t>
            </w:r>
            <w:r w:rsidR="00CD5714" w:rsidRPr="00CD5714">
              <w:rPr>
                <w:rFonts w:ascii="Arial" w:eastAsia="Arial Unicode MS" w:hAnsi="Arial" w:cs="Arial"/>
                <w:snapToGrid w:val="0"/>
                <w:color w:val="000000"/>
                <w:sz w:val="20"/>
                <w:szCs w:val="20"/>
                <w:lang w:val="en-GB" w:eastAsia="th-TH"/>
              </w:rPr>
              <w:t>278</w:t>
            </w:r>
            <w:r w:rsidRPr="002D2F67">
              <w:rPr>
                <w:rFonts w:ascii="Arial" w:eastAsia="Arial Unicode MS" w:hAnsi="Arial" w:cs="Arial"/>
                <w:snapToGrid w:val="0"/>
                <w:color w:val="000000"/>
                <w:sz w:val="20"/>
                <w:szCs w:val="20"/>
                <w:lang w:eastAsia="th-TH"/>
              </w:rPr>
              <w:t>,</w:t>
            </w:r>
            <w:r w:rsidR="00CD5714" w:rsidRPr="00CD5714">
              <w:rPr>
                <w:rFonts w:ascii="Arial" w:eastAsia="Arial Unicode MS" w:hAnsi="Arial" w:cs="Arial"/>
                <w:snapToGrid w:val="0"/>
                <w:color w:val="000000"/>
                <w:sz w:val="20"/>
                <w:szCs w:val="20"/>
                <w:lang w:val="en-GB" w:eastAsia="th-TH"/>
              </w:rPr>
              <w:t>727</w:t>
            </w:r>
            <w:r w:rsidRPr="002D2F67">
              <w:rPr>
                <w:rFonts w:ascii="Arial" w:eastAsia="Arial Unicode MS" w:hAnsi="Arial" w:cs="Arial"/>
                <w:snapToGrid w:val="0"/>
                <w:color w:val="000000"/>
                <w:sz w:val="20"/>
                <w:szCs w:val="20"/>
                <w:lang w:eastAsia="th-TH"/>
              </w:rPr>
              <w:t>)</w:t>
            </w:r>
          </w:p>
        </w:tc>
      </w:tr>
      <w:tr w:rsidR="001A5DEA" w:rsidRPr="002D2F67" w14:paraId="417FA381" w14:textId="77777777" w:rsidTr="005611FE">
        <w:trPr>
          <w:trHeight w:val="20"/>
        </w:trPr>
        <w:tc>
          <w:tcPr>
            <w:tcW w:w="1974" w:type="pct"/>
            <w:shd w:val="clear" w:color="auto" w:fill="auto"/>
            <w:vAlign w:val="center"/>
          </w:tcPr>
          <w:p w14:paraId="0F056F7C" w14:textId="1DEFA4C0" w:rsidR="001A5DEA" w:rsidRPr="002D2F67" w:rsidRDefault="001A5DEA" w:rsidP="002D2F67">
            <w:pPr>
              <w:ind w:left="-101" w:right="-72"/>
              <w:rPr>
                <w:rFonts w:ascii="Arial" w:hAnsi="Arial" w:cs="Arial"/>
                <w:color w:val="000000"/>
                <w:sz w:val="20"/>
                <w:szCs w:val="20"/>
              </w:rPr>
            </w:pPr>
            <w:r w:rsidRPr="002D2F67">
              <w:rPr>
                <w:rFonts w:ascii="Arial" w:hAnsi="Arial" w:cs="Arial"/>
                <w:color w:val="000000"/>
                <w:sz w:val="20"/>
                <w:szCs w:val="20"/>
              </w:rPr>
              <w:t xml:space="preserve">Reclassification </w:t>
            </w:r>
          </w:p>
        </w:tc>
        <w:tc>
          <w:tcPr>
            <w:tcW w:w="761" w:type="pct"/>
            <w:shd w:val="clear" w:color="auto" w:fill="auto"/>
            <w:vAlign w:val="bottom"/>
          </w:tcPr>
          <w:p w14:paraId="5E92A796" w14:textId="6B484AD8" w:rsidR="001A5DEA" w:rsidRPr="002D2F67" w:rsidRDefault="001A5DEA" w:rsidP="002D2F67">
            <w:pPr>
              <w:ind w:right="-72"/>
              <w:jc w:val="right"/>
              <w:rPr>
                <w:rFonts w:ascii="Arial" w:eastAsia="Arial Unicode MS" w:hAnsi="Arial" w:cs="Arial"/>
                <w:snapToGrid w:val="0"/>
                <w:color w:val="000000"/>
                <w:sz w:val="20"/>
                <w:szCs w:val="20"/>
                <w:cs/>
                <w:lang w:eastAsia="th-TH"/>
              </w:rPr>
            </w:pPr>
            <w:r w:rsidRPr="002D2F67">
              <w:rPr>
                <w:rFonts w:ascii="Arial" w:eastAsia="Arial Unicode MS" w:hAnsi="Arial" w:cs="Arial"/>
                <w:snapToGrid w:val="0"/>
                <w:color w:val="000000"/>
                <w:sz w:val="20"/>
                <w:szCs w:val="20"/>
                <w:lang w:eastAsia="th-TH"/>
              </w:rPr>
              <w:t>-</w:t>
            </w:r>
          </w:p>
        </w:tc>
        <w:tc>
          <w:tcPr>
            <w:tcW w:w="762" w:type="pct"/>
            <w:shd w:val="clear" w:color="auto" w:fill="auto"/>
            <w:vAlign w:val="bottom"/>
          </w:tcPr>
          <w:p w14:paraId="3B340088" w14:textId="70F736AA" w:rsidR="001A5DEA" w:rsidRPr="002D2F67" w:rsidRDefault="00CD5714" w:rsidP="002D2F67">
            <w:pPr>
              <w:ind w:right="-72"/>
              <w:jc w:val="right"/>
              <w:rPr>
                <w:rFonts w:ascii="Arial" w:eastAsia="Arial Unicode MS" w:hAnsi="Arial" w:cs="Arial"/>
                <w:snapToGrid w:val="0"/>
                <w:color w:val="000000"/>
                <w:sz w:val="20"/>
                <w:szCs w:val="20"/>
                <w:lang w:eastAsia="th-TH"/>
              </w:rPr>
            </w:pPr>
            <w:r w:rsidRPr="00CD5714">
              <w:rPr>
                <w:rFonts w:ascii="Arial" w:eastAsia="Arial Unicode MS" w:hAnsi="Arial" w:cs="Arial"/>
                <w:snapToGrid w:val="0"/>
                <w:color w:val="000000"/>
                <w:sz w:val="20"/>
                <w:szCs w:val="20"/>
                <w:lang w:val="en-GB" w:eastAsia="th-TH"/>
              </w:rPr>
              <w:t>7</w:t>
            </w:r>
            <w:r w:rsidR="001A5DEA"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282</w:t>
            </w:r>
            <w:r w:rsidR="001A5DEA"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380</w:t>
            </w:r>
          </w:p>
        </w:tc>
        <w:tc>
          <w:tcPr>
            <w:tcW w:w="753" w:type="pct"/>
            <w:shd w:val="clear" w:color="auto" w:fill="auto"/>
            <w:vAlign w:val="bottom"/>
          </w:tcPr>
          <w:p w14:paraId="55052F7B" w14:textId="1C2E467C" w:rsidR="001A5DEA" w:rsidRPr="002D2F67" w:rsidRDefault="00837E77" w:rsidP="002D2F67">
            <w:pPr>
              <w:ind w:right="-72"/>
              <w:jc w:val="right"/>
              <w:rPr>
                <w:rFonts w:ascii="Arial" w:eastAsia="Arial Unicode MS" w:hAnsi="Arial" w:cs="Arial"/>
                <w:snapToGrid w:val="0"/>
                <w:color w:val="000000"/>
                <w:sz w:val="20"/>
                <w:szCs w:val="20"/>
                <w:cs/>
                <w:lang w:eastAsia="th-TH"/>
              </w:rPr>
            </w:pPr>
            <w:r w:rsidRPr="002D2F67">
              <w:rPr>
                <w:rFonts w:ascii="Arial" w:eastAsia="Arial Unicode MS" w:hAnsi="Arial" w:cs="Arial"/>
                <w:snapToGrid w:val="0"/>
                <w:color w:val="000000"/>
                <w:sz w:val="20"/>
                <w:szCs w:val="20"/>
                <w:lang w:eastAsia="th-TH"/>
              </w:rPr>
              <w:t>-</w:t>
            </w:r>
          </w:p>
        </w:tc>
        <w:tc>
          <w:tcPr>
            <w:tcW w:w="750" w:type="pct"/>
            <w:shd w:val="clear" w:color="auto" w:fill="auto"/>
            <w:vAlign w:val="bottom"/>
          </w:tcPr>
          <w:p w14:paraId="42FB65DD" w14:textId="64C9CFD4" w:rsidR="001A5DEA" w:rsidRPr="002D2F67" w:rsidRDefault="001A5DEA" w:rsidP="002D2F67">
            <w:pPr>
              <w:ind w:right="-72"/>
              <w:jc w:val="right"/>
              <w:rPr>
                <w:rFonts w:ascii="Arial" w:eastAsia="Arial Unicode MS" w:hAnsi="Arial" w:cs="Arial"/>
                <w:snapToGrid w:val="0"/>
                <w:color w:val="000000"/>
                <w:sz w:val="20"/>
                <w:szCs w:val="20"/>
                <w:lang w:eastAsia="th-TH"/>
              </w:rPr>
            </w:pPr>
            <w:r w:rsidRPr="002D2F67">
              <w:rPr>
                <w:rFonts w:ascii="Arial" w:eastAsia="Arial Unicode MS" w:hAnsi="Arial" w:cs="Arial"/>
                <w:snapToGrid w:val="0"/>
                <w:color w:val="000000"/>
                <w:sz w:val="20"/>
                <w:szCs w:val="20"/>
                <w:lang w:eastAsia="th-TH"/>
              </w:rPr>
              <w:t>-</w:t>
            </w:r>
          </w:p>
        </w:tc>
      </w:tr>
      <w:tr w:rsidR="001A5DEA" w:rsidRPr="002D2F67" w14:paraId="54449AC2" w14:textId="77777777" w:rsidTr="005611FE">
        <w:trPr>
          <w:trHeight w:val="20"/>
        </w:trPr>
        <w:tc>
          <w:tcPr>
            <w:tcW w:w="1974" w:type="pct"/>
            <w:shd w:val="clear" w:color="auto" w:fill="auto"/>
            <w:vAlign w:val="center"/>
          </w:tcPr>
          <w:p w14:paraId="11EDCC08" w14:textId="77777777" w:rsidR="001A5DEA" w:rsidRPr="002D2F67" w:rsidRDefault="001A5DEA" w:rsidP="002D2F67">
            <w:pPr>
              <w:ind w:left="-101" w:right="-72"/>
              <w:rPr>
                <w:rFonts w:ascii="Arial" w:eastAsia="Arial Unicode MS" w:hAnsi="Arial" w:cs="Arial"/>
                <w:color w:val="000000"/>
                <w:sz w:val="20"/>
                <w:szCs w:val="20"/>
                <w:cs/>
              </w:rPr>
            </w:pPr>
            <w:r w:rsidRPr="002D2F67">
              <w:rPr>
                <w:rFonts w:ascii="Arial" w:hAnsi="Arial" w:cs="Arial"/>
                <w:color w:val="000000"/>
                <w:sz w:val="20"/>
                <w:szCs w:val="20"/>
              </w:rPr>
              <w:t>Currency translation differences</w:t>
            </w:r>
          </w:p>
        </w:tc>
        <w:tc>
          <w:tcPr>
            <w:tcW w:w="761" w:type="pct"/>
            <w:tcBorders>
              <w:bottom w:val="single" w:sz="4" w:space="0" w:color="auto"/>
            </w:tcBorders>
            <w:shd w:val="clear" w:color="auto" w:fill="auto"/>
            <w:vAlign w:val="bottom"/>
          </w:tcPr>
          <w:p w14:paraId="6AB9097F" w14:textId="05BE6FB4" w:rsidR="001A5DEA" w:rsidRPr="002D2F67" w:rsidRDefault="001A5DEA" w:rsidP="002D2F67">
            <w:pPr>
              <w:ind w:right="-72"/>
              <w:jc w:val="right"/>
              <w:rPr>
                <w:rFonts w:ascii="Arial" w:eastAsia="Arial Unicode MS" w:hAnsi="Arial" w:cs="Arial"/>
                <w:color w:val="000000"/>
                <w:sz w:val="20"/>
                <w:szCs w:val="20"/>
                <w:cs/>
              </w:rPr>
            </w:pPr>
            <w:r w:rsidRPr="002D2F67">
              <w:rPr>
                <w:rFonts w:ascii="Arial" w:eastAsia="Arial Unicode MS" w:hAnsi="Arial" w:cs="Arial"/>
                <w:color w:val="000000"/>
                <w:sz w:val="20"/>
                <w:szCs w:val="20"/>
              </w:rPr>
              <w:t>(</w:t>
            </w:r>
            <w:r w:rsidR="00CD5714" w:rsidRPr="00CD5714">
              <w:rPr>
                <w:rFonts w:ascii="Arial" w:eastAsia="Arial Unicode MS" w:hAnsi="Arial" w:cs="Arial"/>
                <w:color w:val="000000"/>
                <w:sz w:val="20"/>
                <w:szCs w:val="20"/>
                <w:lang w:val="en-GB"/>
              </w:rPr>
              <w:t>3</w:t>
            </w:r>
            <w:r w:rsidRPr="002D2F67">
              <w:rPr>
                <w:rFonts w:ascii="Arial" w:eastAsia="Arial Unicode MS" w:hAnsi="Arial" w:cs="Arial"/>
                <w:color w:val="000000"/>
                <w:sz w:val="20"/>
                <w:szCs w:val="20"/>
              </w:rPr>
              <w:t>,</w:t>
            </w:r>
            <w:r w:rsidR="00CD5714" w:rsidRPr="00CD5714">
              <w:rPr>
                <w:rFonts w:ascii="Arial" w:eastAsia="Arial Unicode MS" w:hAnsi="Arial" w:cs="Arial"/>
                <w:color w:val="000000"/>
                <w:sz w:val="20"/>
                <w:szCs w:val="20"/>
                <w:lang w:val="en-GB"/>
              </w:rPr>
              <w:t>794</w:t>
            </w:r>
            <w:r w:rsidRPr="002D2F67">
              <w:rPr>
                <w:rFonts w:ascii="Arial" w:eastAsia="Arial Unicode MS" w:hAnsi="Arial" w:cs="Arial"/>
                <w:color w:val="000000"/>
                <w:sz w:val="20"/>
                <w:szCs w:val="20"/>
              </w:rPr>
              <w:t>)</w:t>
            </w:r>
          </w:p>
        </w:tc>
        <w:tc>
          <w:tcPr>
            <w:tcW w:w="762" w:type="pct"/>
            <w:tcBorders>
              <w:bottom w:val="single" w:sz="4" w:space="0" w:color="auto"/>
            </w:tcBorders>
            <w:shd w:val="clear" w:color="auto" w:fill="auto"/>
            <w:vAlign w:val="bottom"/>
          </w:tcPr>
          <w:p w14:paraId="57AE4EFC" w14:textId="497EC3F5" w:rsidR="001A5DEA" w:rsidRPr="002D2F67" w:rsidRDefault="001A5DEA" w:rsidP="002D2F67">
            <w:pPr>
              <w:ind w:right="-72"/>
              <w:jc w:val="right"/>
              <w:rPr>
                <w:rFonts w:ascii="Arial" w:eastAsia="Arial Unicode MS" w:hAnsi="Arial" w:cs="Arial"/>
                <w:color w:val="000000"/>
                <w:sz w:val="20"/>
                <w:szCs w:val="20"/>
                <w:cs/>
              </w:rPr>
            </w:pPr>
            <w:r w:rsidRPr="002D2F67">
              <w:rPr>
                <w:rFonts w:ascii="Arial" w:eastAsia="Arial Unicode MS" w:hAnsi="Arial" w:cs="Arial"/>
                <w:snapToGrid w:val="0"/>
                <w:color w:val="000000"/>
                <w:sz w:val="20"/>
                <w:szCs w:val="20"/>
                <w:lang w:eastAsia="th-TH"/>
              </w:rPr>
              <w:t>(</w:t>
            </w:r>
            <w:r w:rsidR="00CD5714" w:rsidRPr="00CD5714">
              <w:rPr>
                <w:rFonts w:ascii="Arial" w:eastAsia="Arial Unicode MS" w:hAnsi="Arial" w:cs="Arial"/>
                <w:snapToGrid w:val="0"/>
                <w:color w:val="000000"/>
                <w:sz w:val="20"/>
                <w:szCs w:val="20"/>
                <w:lang w:val="en-GB" w:eastAsia="th-TH"/>
              </w:rPr>
              <w:t>752</w:t>
            </w:r>
            <w:r w:rsidRPr="002D2F67">
              <w:rPr>
                <w:rFonts w:ascii="Arial" w:eastAsia="Arial Unicode MS" w:hAnsi="Arial" w:cs="Arial"/>
                <w:snapToGrid w:val="0"/>
                <w:color w:val="000000"/>
                <w:sz w:val="20"/>
                <w:szCs w:val="20"/>
                <w:lang w:eastAsia="th-TH"/>
              </w:rPr>
              <w:t>)</w:t>
            </w:r>
          </w:p>
        </w:tc>
        <w:tc>
          <w:tcPr>
            <w:tcW w:w="753" w:type="pct"/>
            <w:tcBorders>
              <w:bottom w:val="single" w:sz="4" w:space="0" w:color="auto"/>
            </w:tcBorders>
            <w:shd w:val="clear" w:color="auto" w:fill="auto"/>
            <w:vAlign w:val="bottom"/>
          </w:tcPr>
          <w:p w14:paraId="5519116E" w14:textId="68D707B3" w:rsidR="001A5DEA" w:rsidRPr="002D2F67" w:rsidRDefault="00837E77" w:rsidP="002D2F67">
            <w:pPr>
              <w:ind w:right="-72"/>
              <w:jc w:val="right"/>
              <w:rPr>
                <w:rFonts w:ascii="Arial" w:eastAsia="Arial Unicode MS" w:hAnsi="Arial" w:cs="Arial"/>
                <w:snapToGrid w:val="0"/>
                <w:color w:val="000000"/>
                <w:sz w:val="20"/>
                <w:szCs w:val="20"/>
                <w:lang w:eastAsia="th-TH"/>
              </w:rPr>
            </w:pPr>
            <w:r w:rsidRPr="002D2F67">
              <w:rPr>
                <w:rFonts w:ascii="Arial" w:eastAsia="Arial Unicode MS" w:hAnsi="Arial" w:cs="Arial"/>
                <w:snapToGrid w:val="0"/>
                <w:color w:val="000000"/>
                <w:sz w:val="20"/>
                <w:szCs w:val="20"/>
                <w:lang w:eastAsia="th-TH"/>
              </w:rPr>
              <w:t>-</w:t>
            </w:r>
          </w:p>
        </w:tc>
        <w:tc>
          <w:tcPr>
            <w:tcW w:w="750" w:type="pct"/>
            <w:tcBorders>
              <w:bottom w:val="single" w:sz="4" w:space="0" w:color="auto"/>
            </w:tcBorders>
            <w:shd w:val="clear" w:color="auto" w:fill="auto"/>
            <w:vAlign w:val="bottom"/>
          </w:tcPr>
          <w:p w14:paraId="3DBE9AC7" w14:textId="2BAA69E5" w:rsidR="001A5DEA" w:rsidRPr="002D2F67" w:rsidRDefault="001A5DEA" w:rsidP="002D2F67">
            <w:pPr>
              <w:ind w:right="-72"/>
              <w:jc w:val="right"/>
              <w:rPr>
                <w:rFonts w:ascii="Arial" w:eastAsia="Arial Unicode MS" w:hAnsi="Arial" w:cs="Arial"/>
                <w:snapToGrid w:val="0"/>
                <w:color w:val="000000"/>
                <w:sz w:val="20"/>
                <w:szCs w:val="20"/>
                <w:lang w:eastAsia="th-TH"/>
              </w:rPr>
            </w:pPr>
            <w:r w:rsidRPr="002D2F67">
              <w:rPr>
                <w:rFonts w:ascii="Arial" w:eastAsia="Arial Unicode MS" w:hAnsi="Arial" w:cs="Arial"/>
                <w:snapToGrid w:val="0"/>
                <w:color w:val="000000"/>
                <w:sz w:val="20"/>
                <w:szCs w:val="20"/>
                <w:lang w:eastAsia="th-TH"/>
              </w:rPr>
              <w:t>-</w:t>
            </w:r>
          </w:p>
        </w:tc>
      </w:tr>
      <w:tr w:rsidR="00A45DCA" w:rsidRPr="002D2F67" w14:paraId="6244CC63" w14:textId="77777777" w:rsidTr="00A45DCA">
        <w:trPr>
          <w:trHeight w:val="20"/>
        </w:trPr>
        <w:tc>
          <w:tcPr>
            <w:tcW w:w="1974" w:type="pct"/>
            <w:shd w:val="clear" w:color="auto" w:fill="auto"/>
            <w:vAlign w:val="center"/>
          </w:tcPr>
          <w:p w14:paraId="3410B769" w14:textId="77777777" w:rsidR="00A45DCA" w:rsidRPr="002D2F67" w:rsidRDefault="00A45DCA" w:rsidP="002D2F67">
            <w:pPr>
              <w:ind w:left="-101" w:right="-72"/>
              <w:rPr>
                <w:rFonts w:ascii="Arial" w:hAnsi="Arial" w:cs="Arial"/>
                <w:color w:val="000000"/>
                <w:sz w:val="20"/>
                <w:szCs w:val="20"/>
              </w:rPr>
            </w:pPr>
          </w:p>
        </w:tc>
        <w:tc>
          <w:tcPr>
            <w:tcW w:w="761" w:type="pct"/>
            <w:shd w:val="clear" w:color="auto" w:fill="auto"/>
            <w:vAlign w:val="bottom"/>
          </w:tcPr>
          <w:p w14:paraId="0058FF4E" w14:textId="77777777" w:rsidR="00A45DCA" w:rsidRPr="002D2F67" w:rsidRDefault="00A45DCA" w:rsidP="002D2F67">
            <w:pPr>
              <w:ind w:right="-72"/>
              <w:jc w:val="right"/>
              <w:rPr>
                <w:rFonts w:ascii="Arial" w:eastAsia="Arial Unicode MS" w:hAnsi="Arial" w:cs="Arial"/>
                <w:color w:val="000000"/>
                <w:sz w:val="20"/>
                <w:szCs w:val="20"/>
              </w:rPr>
            </w:pPr>
          </w:p>
        </w:tc>
        <w:tc>
          <w:tcPr>
            <w:tcW w:w="762" w:type="pct"/>
            <w:shd w:val="clear" w:color="auto" w:fill="auto"/>
            <w:vAlign w:val="bottom"/>
          </w:tcPr>
          <w:p w14:paraId="714703BD" w14:textId="77777777" w:rsidR="00A45DCA" w:rsidRPr="002D2F67" w:rsidRDefault="00A45DCA" w:rsidP="002D2F67">
            <w:pPr>
              <w:ind w:right="-72"/>
              <w:jc w:val="right"/>
              <w:rPr>
                <w:rFonts w:ascii="Arial" w:eastAsia="Arial Unicode MS" w:hAnsi="Arial" w:cs="Arial"/>
                <w:snapToGrid w:val="0"/>
                <w:color w:val="000000"/>
                <w:sz w:val="20"/>
                <w:szCs w:val="20"/>
                <w:lang w:eastAsia="th-TH"/>
              </w:rPr>
            </w:pPr>
          </w:p>
        </w:tc>
        <w:tc>
          <w:tcPr>
            <w:tcW w:w="753" w:type="pct"/>
            <w:shd w:val="clear" w:color="auto" w:fill="auto"/>
            <w:vAlign w:val="bottom"/>
          </w:tcPr>
          <w:p w14:paraId="4C67508A" w14:textId="77777777" w:rsidR="00A45DCA" w:rsidRPr="002D2F67" w:rsidRDefault="00A45DCA" w:rsidP="002D2F67">
            <w:pPr>
              <w:ind w:right="-72"/>
              <w:jc w:val="right"/>
              <w:rPr>
                <w:rFonts w:ascii="Arial" w:eastAsia="Arial Unicode MS" w:hAnsi="Arial" w:cs="Arial"/>
                <w:snapToGrid w:val="0"/>
                <w:color w:val="000000"/>
                <w:sz w:val="20"/>
                <w:szCs w:val="20"/>
                <w:lang w:eastAsia="th-TH"/>
              </w:rPr>
            </w:pPr>
          </w:p>
        </w:tc>
        <w:tc>
          <w:tcPr>
            <w:tcW w:w="750" w:type="pct"/>
            <w:shd w:val="clear" w:color="auto" w:fill="auto"/>
            <w:vAlign w:val="bottom"/>
          </w:tcPr>
          <w:p w14:paraId="32898F22" w14:textId="77777777" w:rsidR="00A45DCA" w:rsidRPr="002D2F67" w:rsidRDefault="00A45DCA" w:rsidP="002D2F67">
            <w:pPr>
              <w:ind w:right="-72"/>
              <w:jc w:val="right"/>
              <w:rPr>
                <w:rFonts w:ascii="Arial" w:eastAsia="Arial Unicode MS" w:hAnsi="Arial" w:cs="Arial"/>
                <w:snapToGrid w:val="0"/>
                <w:color w:val="000000"/>
                <w:sz w:val="20"/>
                <w:szCs w:val="20"/>
                <w:lang w:eastAsia="th-TH"/>
              </w:rPr>
            </w:pPr>
          </w:p>
        </w:tc>
      </w:tr>
      <w:tr w:rsidR="001A5DEA" w:rsidRPr="002D2F67" w14:paraId="5B8DB866" w14:textId="77777777" w:rsidTr="005611FE">
        <w:trPr>
          <w:trHeight w:val="20"/>
        </w:trPr>
        <w:tc>
          <w:tcPr>
            <w:tcW w:w="1974" w:type="pct"/>
            <w:shd w:val="clear" w:color="auto" w:fill="auto"/>
            <w:vAlign w:val="center"/>
          </w:tcPr>
          <w:p w14:paraId="332EF8C0" w14:textId="77777777" w:rsidR="001A5DEA" w:rsidRPr="002D2F67" w:rsidRDefault="001A5DEA" w:rsidP="002D2F67">
            <w:pPr>
              <w:ind w:left="-101" w:right="-72"/>
              <w:rPr>
                <w:rFonts w:ascii="Arial" w:eastAsia="Arial Unicode MS" w:hAnsi="Arial" w:cs="Arial"/>
                <w:snapToGrid w:val="0"/>
                <w:color w:val="000000"/>
                <w:sz w:val="20"/>
                <w:szCs w:val="20"/>
                <w:cs/>
                <w:lang w:eastAsia="th-TH"/>
              </w:rPr>
            </w:pPr>
            <w:r w:rsidRPr="002D2F67">
              <w:rPr>
                <w:rFonts w:ascii="Arial" w:hAnsi="Arial" w:cs="Arial"/>
                <w:color w:val="000000"/>
                <w:sz w:val="20"/>
                <w:szCs w:val="20"/>
              </w:rPr>
              <w:t>Closing net book value</w:t>
            </w:r>
          </w:p>
        </w:tc>
        <w:tc>
          <w:tcPr>
            <w:tcW w:w="761" w:type="pct"/>
            <w:tcBorders>
              <w:bottom w:val="single" w:sz="4" w:space="0" w:color="auto"/>
            </w:tcBorders>
            <w:shd w:val="clear" w:color="auto" w:fill="auto"/>
            <w:vAlign w:val="bottom"/>
          </w:tcPr>
          <w:p w14:paraId="2C09AA7A" w14:textId="478959F7" w:rsidR="001A5DEA" w:rsidRPr="002D2F67" w:rsidRDefault="00CD5714" w:rsidP="002D2F67">
            <w:pPr>
              <w:ind w:right="-72"/>
              <w:jc w:val="right"/>
              <w:rPr>
                <w:rFonts w:ascii="Arial" w:eastAsia="Arial Unicode MS" w:hAnsi="Arial" w:cs="Arial"/>
                <w:snapToGrid w:val="0"/>
                <w:color w:val="000000"/>
                <w:sz w:val="20"/>
                <w:szCs w:val="20"/>
                <w:cs/>
                <w:lang w:eastAsia="th-TH"/>
              </w:rPr>
            </w:pPr>
            <w:r w:rsidRPr="00CD5714">
              <w:rPr>
                <w:rFonts w:ascii="Arial" w:eastAsia="Arial Unicode MS" w:hAnsi="Arial" w:cs="Arial"/>
                <w:snapToGrid w:val="0"/>
                <w:color w:val="000000"/>
                <w:sz w:val="20"/>
                <w:szCs w:val="20"/>
                <w:lang w:val="en-GB" w:eastAsia="th-TH"/>
              </w:rPr>
              <w:t>4</w:t>
            </w:r>
            <w:r w:rsidR="003A4530"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845</w:t>
            </w:r>
            <w:r w:rsidR="003A4530"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923</w:t>
            </w:r>
          </w:p>
        </w:tc>
        <w:tc>
          <w:tcPr>
            <w:tcW w:w="762" w:type="pct"/>
            <w:tcBorders>
              <w:bottom w:val="single" w:sz="4" w:space="0" w:color="auto"/>
            </w:tcBorders>
            <w:shd w:val="clear" w:color="auto" w:fill="auto"/>
            <w:vAlign w:val="bottom"/>
          </w:tcPr>
          <w:p w14:paraId="09DDE42A" w14:textId="0F03DF34" w:rsidR="001A5DEA" w:rsidRPr="002D2F67" w:rsidRDefault="00CD5714" w:rsidP="002D2F67">
            <w:pPr>
              <w:ind w:right="-72"/>
              <w:jc w:val="right"/>
              <w:rPr>
                <w:rFonts w:ascii="Arial" w:eastAsia="Arial Unicode MS" w:hAnsi="Arial" w:cs="Arial"/>
                <w:snapToGrid w:val="0"/>
                <w:color w:val="000000"/>
                <w:sz w:val="20"/>
                <w:szCs w:val="20"/>
                <w:cs/>
                <w:lang w:eastAsia="th-TH"/>
              </w:rPr>
            </w:pPr>
            <w:r w:rsidRPr="00CD5714">
              <w:rPr>
                <w:rFonts w:ascii="Arial" w:eastAsia="Arial Unicode MS" w:hAnsi="Arial" w:cs="Arial"/>
                <w:snapToGrid w:val="0"/>
                <w:color w:val="000000"/>
                <w:sz w:val="20"/>
                <w:szCs w:val="20"/>
                <w:lang w:val="en-GB" w:eastAsia="th-TH"/>
              </w:rPr>
              <w:t>9</w:t>
            </w:r>
            <w:r w:rsidR="001A5DEA"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369</w:t>
            </w:r>
            <w:r w:rsidR="001A5DEA"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718</w:t>
            </w:r>
          </w:p>
        </w:tc>
        <w:tc>
          <w:tcPr>
            <w:tcW w:w="753" w:type="pct"/>
            <w:tcBorders>
              <w:bottom w:val="single" w:sz="4" w:space="0" w:color="auto"/>
            </w:tcBorders>
            <w:shd w:val="clear" w:color="auto" w:fill="auto"/>
            <w:vAlign w:val="bottom"/>
          </w:tcPr>
          <w:p w14:paraId="2086CA92" w14:textId="020D8EE9" w:rsidR="001A5DEA" w:rsidRPr="002D2F67" w:rsidRDefault="00CD5714" w:rsidP="002D2F67">
            <w:pPr>
              <w:ind w:left="-107" w:right="-72"/>
              <w:jc w:val="right"/>
              <w:rPr>
                <w:rFonts w:ascii="Arial" w:eastAsia="Arial Unicode MS" w:hAnsi="Arial" w:cs="Arial"/>
                <w:snapToGrid w:val="0"/>
                <w:color w:val="000000"/>
                <w:sz w:val="20"/>
                <w:szCs w:val="20"/>
                <w:cs/>
                <w:lang w:eastAsia="th-TH"/>
              </w:rPr>
            </w:pPr>
            <w:r w:rsidRPr="00CD5714">
              <w:rPr>
                <w:rFonts w:ascii="Arial" w:eastAsia="Arial Unicode MS" w:hAnsi="Arial" w:cs="Arial"/>
                <w:snapToGrid w:val="0"/>
                <w:color w:val="000000"/>
                <w:sz w:val="20"/>
                <w:szCs w:val="20"/>
                <w:lang w:val="en-GB" w:eastAsia="th-TH"/>
              </w:rPr>
              <w:t>3</w:t>
            </w:r>
            <w:r w:rsidR="00694BC1"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937</w:t>
            </w:r>
            <w:r w:rsidR="00694BC1"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732</w:t>
            </w:r>
          </w:p>
        </w:tc>
        <w:tc>
          <w:tcPr>
            <w:tcW w:w="750" w:type="pct"/>
            <w:tcBorders>
              <w:bottom w:val="single" w:sz="4" w:space="0" w:color="auto"/>
            </w:tcBorders>
            <w:shd w:val="clear" w:color="auto" w:fill="auto"/>
            <w:vAlign w:val="bottom"/>
          </w:tcPr>
          <w:p w14:paraId="6E15F610" w14:textId="7E24EC7A" w:rsidR="001A5DEA" w:rsidRPr="002D2F67" w:rsidRDefault="00CD5714" w:rsidP="002D2F67">
            <w:pPr>
              <w:ind w:left="-107" w:right="-72"/>
              <w:jc w:val="right"/>
              <w:rPr>
                <w:rFonts w:ascii="Arial" w:eastAsia="Arial Unicode MS" w:hAnsi="Arial" w:cs="Arial"/>
                <w:snapToGrid w:val="0"/>
                <w:color w:val="000000"/>
                <w:sz w:val="20"/>
                <w:szCs w:val="20"/>
                <w:cs/>
                <w:lang w:eastAsia="th-TH"/>
              </w:rPr>
            </w:pPr>
            <w:r w:rsidRPr="00CD5714">
              <w:rPr>
                <w:rFonts w:ascii="Arial" w:eastAsia="Arial Unicode MS" w:hAnsi="Arial" w:cs="Arial"/>
                <w:snapToGrid w:val="0"/>
                <w:color w:val="000000"/>
                <w:sz w:val="20"/>
                <w:szCs w:val="20"/>
                <w:lang w:val="en-GB" w:eastAsia="th-TH"/>
              </w:rPr>
              <w:t>4</w:t>
            </w:r>
            <w:r w:rsidR="001A5DEA"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840</w:t>
            </w:r>
            <w:r w:rsidR="001A5DEA" w:rsidRPr="002D2F67">
              <w:rPr>
                <w:rFonts w:ascii="Arial" w:eastAsia="Arial Unicode MS" w:hAnsi="Arial" w:cs="Arial"/>
                <w:snapToGrid w:val="0"/>
                <w:color w:val="000000"/>
                <w:sz w:val="20"/>
                <w:szCs w:val="20"/>
                <w:lang w:eastAsia="th-TH"/>
              </w:rPr>
              <w:t>,</w:t>
            </w:r>
            <w:r w:rsidRPr="00CD5714">
              <w:rPr>
                <w:rFonts w:ascii="Arial" w:eastAsia="Arial Unicode MS" w:hAnsi="Arial" w:cs="Arial"/>
                <w:snapToGrid w:val="0"/>
                <w:color w:val="000000"/>
                <w:sz w:val="20"/>
                <w:szCs w:val="20"/>
                <w:lang w:val="en-GB" w:eastAsia="th-TH"/>
              </w:rPr>
              <w:t>682</w:t>
            </w:r>
          </w:p>
        </w:tc>
      </w:tr>
    </w:tbl>
    <w:p w14:paraId="04476750" w14:textId="6823B566" w:rsidR="006D0D7E" w:rsidRPr="002D2F67" w:rsidRDefault="006D0D7E" w:rsidP="005611FE">
      <w:pPr>
        <w:jc w:val="thaiDistribute"/>
        <w:rPr>
          <w:rFonts w:ascii="Arial" w:hAnsi="Arial" w:cs="Arial"/>
          <w:b/>
          <w:bCs/>
          <w:color w:val="000000"/>
          <w:sz w:val="20"/>
          <w:szCs w:val="20"/>
          <w:cs/>
        </w:rPr>
      </w:pPr>
    </w:p>
    <w:p w14:paraId="7FED3F62" w14:textId="77777777" w:rsidR="00FD1898" w:rsidRPr="002D2F67" w:rsidRDefault="00FD1898" w:rsidP="00FD1898">
      <w:pPr>
        <w:jc w:val="thaiDistribute"/>
        <w:rPr>
          <w:rFonts w:ascii="Arial" w:hAnsi="Arial" w:cs="Arial"/>
          <w:color w:val="000000"/>
          <w:spacing w:val="-4"/>
          <w:sz w:val="20"/>
          <w:szCs w:val="20"/>
          <w:u w:val="single"/>
        </w:rPr>
      </w:pPr>
      <w:r w:rsidRPr="002D2F67">
        <w:rPr>
          <w:rFonts w:ascii="Arial" w:hAnsi="Arial" w:cs="Arial"/>
          <w:color w:val="000000"/>
          <w:spacing w:val="-4"/>
          <w:sz w:val="20"/>
          <w:szCs w:val="20"/>
          <w:u w:val="single"/>
        </w:rPr>
        <w:t>Beyond Securities PCL</w:t>
      </w:r>
    </w:p>
    <w:p w14:paraId="4BA58CCF" w14:textId="77777777" w:rsidR="00FD1898" w:rsidRPr="002D2F67" w:rsidRDefault="00FD1898" w:rsidP="00FD1898">
      <w:pPr>
        <w:jc w:val="thaiDistribute"/>
        <w:rPr>
          <w:rFonts w:ascii="Arial" w:eastAsia="Arial Unicode MS" w:hAnsi="Arial" w:cs="Arial"/>
          <w:sz w:val="20"/>
          <w:szCs w:val="20"/>
        </w:rPr>
      </w:pPr>
    </w:p>
    <w:p w14:paraId="27E99FF5" w14:textId="44F5E31C" w:rsidR="00297DA5" w:rsidRPr="002D2F67" w:rsidRDefault="00FD1898" w:rsidP="006F2ADD">
      <w:pPr>
        <w:pStyle w:val="BodyTextIndent2"/>
        <w:spacing w:line="240" w:lineRule="auto"/>
        <w:ind w:left="0"/>
        <w:rPr>
          <w:rFonts w:ascii="Arial" w:hAnsi="Arial" w:cs="Arial"/>
          <w:b/>
          <w:bCs/>
        </w:rPr>
      </w:pPr>
      <w:r w:rsidRPr="002D2F67">
        <w:rPr>
          <w:rFonts w:ascii="Arial" w:hAnsi="Arial" w:cs="Arial"/>
        </w:rPr>
        <w:t xml:space="preserve">On </w:t>
      </w:r>
      <w:r w:rsidR="00CD5714" w:rsidRPr="00CD5714">
        <w:rPr>
          <w:rFonts w:ascii="Arial" w:hAnsi="Arial" w:cs="Arial"/>
          <w:lang w:val="en-GB"/>
        </w:rPr>
        <w:t>31</w:t>
      </w:r>
      <w:r w:rsidRPr="002D2F67">
        <w:rPr>
          <w:rFonts w:ascii="Arial" w:hAnsi="Arial" w:cs="Arial"/>
        </w:rPr>
        <w:t xml:space="preserve"> May </w:t>
      </w:r>
      <w:r w:rsidR="00CD5714" w:rsidRPr="00CD5714">
        <w:rPr>
          <w:rFonts w:ascii="Arial" w:hAnsi="Arial" w:cs="Arial"/>
          <w:lang w:val="en-GB"/>
        </w:rPr>
        <w:t>2024</w:t>
      </w:r>
      <w:r w:rsidRPr="002D2F67">
        <w:rPr>
          <w:rFonts w:ascii="Arial" w:hAnsi="Arial" w:cs="Arial"/>
        </w:rPr>
        <w:t xml:space="preserve">, the Group acquired newly issued ordinary shares of Beyond Securities PCL </w:t>
      </w:r>
      <w:r w:rsidR="00A03161" w:rsidRPr="002D2F67">
        <w:rPr>
          <w:rFonts w:ascii="Arial" w:hAnsi="Arial" w:cs="Arial"/>
          <w:szCs w:val="25"/>
        </w:rPr>
        <w:t>for</w:t>
      </w:r>
      <w:r w:rsidRPr="002D2F67">
        <w:rPr>
          <w:rFonts w:ascii="Arial" w:hAnsi="Arial" w:cs="Arial"/>
        </w:rPr>
        <w:t xml:space="preserve"> </w:t>
      </w:r>
      <w:r w:rsidR="00CD5714" w:rsidRPr="00CD5714">
        <w:rPr>
          <w:rFonts w:ascii="Arial" w:hAnsi="Arial" w:cs="Arial"/>
          <w:lang w:val="en-GB"/>
        </w:rPr>
        <w:t>49</w:t>
      </w:r>
      <w:r w:rsidRPr="002D2F67">
        <w:rPr>
          <w:rFonts w:ascii="Arial" w:hAnsi="Arial" w:cs="Arial"/>
        </w:rPr>
        <w:t>,</w:t>
      </w:r>
      <w:r w:rsidR="00CD5714" w:rsidRPr="00CD5714">
        <w:rPr>
          <w:rFonts w:ascii="Arial" w:hAnsi="Arial" w:cs="Arial"/>
          <w:lang w:val="en-GB"/>
        </w:rPr>
        <w:t>540</w:t>
      </w:r>
      <w:r w:rsidRPr="002D2F67">
        <w:rPr>
          <w:rFonts w:ascii="Arial" w:hAnsi="Arial" w:cs="Arial"/>
        </w:rPr>
        <w:t>,</w:t>
      </w:r>
      <w:r w:rsidR="00CD5714" w:rsidRPr="00CD5714">
        <w:rPr>
          <w:rFonts w:ascii="Arial" w:hAnsi="Arial" w:cs="Arial"/>
          <w:lang w:val="en-GB"/>
        </w:rPr>
        <w:t>000</w:t>
      </w:r>
      <w:r w:rsidRPr="002D2F67">
        <w:rPr>
          <w:rFonts w:ascii="Arial" w:hAnsi="Arial" w:cs="Arial"/>
        </w:rPr>
        <w:t xml:space="preserve"> shares</w:t>
      </w:r>
      <w:r w:rsidRPr="002D2F67">
        <w:rPr>
          <w:rFonts w:ascii="Arial" w:hAnsi="Arial" w:cs="Arial"/>
          <w:spacing w:val="-2"/>
        </w:rPr>
        <w:t xml:space="preserve"> </w:t>
      </w:r>
      <w:r w:rsidR="00782C44">
        <w:rPr>
          <w:rFonts w:ascii="Arial" w:hAnsi="Arial" w:cs="Browallia New"/>
          <w:spacing w:val="-2"/>
          <w:szCs w:val="25"/>
        </w:rPr>
        <w:t>at</w:t>
      </w:r>
      <w:r w:rsidRPr="002D2F67">
        <w:rPr>
          <w:rFonts w:ascii="Arial" w:hAnsi="Arial" w:cs="Arial"/>
          <w:spacing w:val="-2"/>
        </w:rPr>
        <w:t xml:space="preserve"> Baht </w:t>
      </w:r>
      <w:r w:rsidR="00CD5714" w:rsidRPr="00CD5714">
        <w:rPr>
          <w:rFonts w:ascii="Arial" w:hAnsi="Arial" w:cs="Arial"/>
          <w:spacing w:val="-2"/>
          <w:lang w:val="en-GB"/>
        </w:rPr>
        <w:t>2</w:t>
      </w:r>
      <w:r w:rsidRPr="002D2F67">
        <w:rPr>
          <w:rFonts w:ascii="Arial" w:hAnsi="Arial" w:cs="Arial"/>
          <w:spacing w:val="-2"/>
        </w:rPr>
        <w:t>.</w:t>
      </w:r>
      <w:r w:rsidR="00CD5714" w:rsidRPr="00CD5714">
        <w:rPr>
          <w:rFonts w:ascii="Arial" w:hAnsi="Arial" w:cs="Arial"/>
          <w:spacing w:val="-2"/>
          <w:lang w:val="en-GB"/>
        </w:rPr>
        <w:t>50</w:t>
      </w:r>
      <w:r w:rsidRPr="002D2F67">
        <w:rPr>
          <w:rFonts w:ascii="Arial" w:hAnsi="Arial" w:cs="Arial"/>
          <w:spacing w:val="-2"/>
        </w:rPr>
        <w:t xml:space="preserve"> per share, totalling Baht </w:t>
      </w:r>
      <w:r w:rsidR="00CD5714" w:rsidRPr="00CD5714">
        <w:rPr>
          <w:rFonts w:ascii="Arial" w:hAnsi="Arial" w:cs="Arial"/>
          <w:spacing w:val="-2"/>
          <w:lang w:val="en-GB"/>
        </w:rPr>
        <w:t>124</w:t>
      </w:r>
      <w:r w:rsidRPr="002D2F67">
        <w:rPr>
          <w:rFonts w:ascii="Arial" w:hAnsi="Arial" w:cs="Arial"/>
          <w:spacing w:val="-2"/>
        </w:rPr>
        <w:t xml:space="preserve"> million. As a result, the Group’s shareholding</w:t>
      </w:r>
      <w:r w:rsidRPr="002D2F67">
        <w:rPr>
          <w:rFonts w:ascii="Arial" w:hAnsi="Arial" w:cs="Arial"/>
        </w:rPr>
        <w:t xml:space="preserve"> </w:t>
      </w:r>
      <w:r w:rsidRPr="002D2F67">
        <w:rPr>
          <w:rFonts w:ascii="Arial" w:hAnsi="Arial" w:cs="Arial"/>
          <w:spacing w:val="-5"/>
        </w:rPr>
        <w:t xml:space="preserve">interests increased from </w:t>
      </w:r>
      <w:r w:rsidR="00CD5714" w:rsidRPr="00CD5714">
        <w:rPr>
          <w:rFonts w:ascii="Arial" w:hAnsi="Arial" w:cs="Arial"/>
          <w:spacing w:val="-5"/>
          <w:lang w:val="en-GB"/>
        </w:rPr>
        <w:t>19</w:t>
      </w:r>
      <w:r w:rsidRPr="002D2F67">
        <w:rPr>
          <w:rFonts w:ascii="Arial" w:hAnsi="Arial" w:cs="Arial"/>
          <w:spacing w:val="-5"/>
        </w:rPr>
        <w:t>.</w:t>
      </w:r>
      <w:r w:rsidR="00CD5714" w:rsidRPr="00CD5714">
        <w:rPr>
          <w:rFonts w:ascii="Arial" w:hAnsi="Arial" w:cs="Arial"/>
          <w:spacing w:val="-5"/>
          <w:lang w:val="en-GB"/>
        </w:rPr>
        <w:t>62</w:t>
      </w:r>
      <w:r w:rsidRPr="002D2F67">
        <w:rPr>
          <w:rFonts w:ascii="Arial" w:hAnsi="Arial" w:cs="Arial"/>
          <w:spacing w:val="-5"/>
        </w:rPr>
        <w:t xml:space="preserve">% to </w:t>
      </w:r>
      <w:r w:rsidR="00CD5714" w:rsidRPr="00CD5714">
        <w:rPr>
          <w:rFonts w:ascii="Arial" w:hAnsi="Arial" w:cs="Arial"/>
          <w:spacing w:val="-5"/>
          <w:lang w:val="en-GB"/>
        </w:rPr>
        <w:t>19</w:t>
      </w:r>
      <w:r w:rsidRPr="002D2F67">
        <w:rPr>
          <w:rFonts w:ascii="Arial" w:hAnsi="Arial" w:cs="Arial"/>
          <w:spacing w:val="-5"/>
        </w:rPr>
        <w:t>.</w:t>
      </w:r>
      <w:r w:rsidR="00CD5714" w:rsidRPr="00CD5714">
        <w:rPr>
          <w:rFonts w:ascii="Arial" w:hAnsi="Arial" w:cs="Arial"/>
          <w:spacing w:val="-5"/>
          <w:lang w:val="en-GB"/>
        </w:rPr>
        <w:t>97</w:t>
      </w:r>
      <w:r w:rsidRPr="002D2F67">
        <w:rPr>
          <w:rFonts w:ascii="Arial" w:hAnsi="Arial" w:cs="Arial"/>
          <w:spacing w:val="-5"/>
        </w:rPr>
        <w:t>% of issued and paid-up ordinary shares. The increase in shareholding</w:t>
      </w:r>
      <w:r w:rsidRPr="002D2F67">
        <w:rPr>
          <w:rFonts w:ascii="Arial" w:hAnsi="Arial" w:cs="Arial"/>
        </w:rPr>
        <w:t xml:space="preserve"> interest</w:t>
      </w:r>
      <w:r w:rsidR="001702CE" w:rsidRPr="002D2F67">
        <w:rPr>
          <w:rFonts w:ascii="Arial" w:hAnsi="Arial" w:cs="Arial"/>
        </w:rPr>
        <w:t>s</w:t>
      </w:r>
      <w:r w:rsidRPr="002D2F67">
        <w:rPr>
          <w:rFonts w:ascii="Arial" w:hAnsi="Arial" w:cs="Arial"/>
        </w:rPr>
        <w:t xml:space="preserve"> did not affect the </w:t>
      </w:r>
      <w:r w:rsidR="00782C44">
        <w:rPr>
          <w:rFonts w:ascii="Arial" w:hAnsi="Arial" w:cs="Arial"/>
        </w:rPr>
        <w:t>Group’s c</w:t>
      </w:r>
      <w:r w:rsidRPr="002D2F67">
        <w:rPr>
          <w:rFonts w:ascii="Arial" w:hAnsi="Arial" w:cs="Arial"/>
        </w:rPr>
        <w:t xml:space="preserve">lassification of </w:t>
      </w:r>
      <w:r w:rsidR="00782C44">
        <w:rPr>
          <w:rFonts w:ascii="Arial" w:hAnsi="Arial" w:cs="Arial"/>
        </w:rPr>
        <w:t>this investment</w:t>
      </w:r>
      <w:r w:rsidRPr="002D2F67">
        <w:rPr>
          <w:rFonts w:ascii="Arial" w:hAnsi="Arial" w:cs="Arial"/>
        </w:rPr>
        <w:t>.</w:t>
      </w:r>
    </w:p>
    <w:p w14:paraId="5FDF373F" w14:textId="77777777" w:rsidR="006F2ADD" w:rsidRPr="002D2F67" w:rsidRDefault="006F2ADD" w:rsidP="006F2ADD">
      <w:pPr>
        <w:pStyle w:val="BodyTextIndent2"/>
        <w:spacing w:line="240" w:lineRule="auto"/>
        <w:ind w:left="0"/>
        <w:rPr>
          <w:rFonts w:ascii="Arial" w:hAnsi="Arial" w:cs="Arial"/>
          <w:b/>
          <w:bCs/>
        </w:rPr>
      </w:pPr>
    </w:p>
    <w:p w14:paraId="20D5AB7D" w14:textId="77777777" w:rsidR="007D44BE" w:rsidRPr="002D2F67" w:rsidRDefault="007D44BE" w:rsidP="006F2ADD">
      <w:pPr>
        <w:pStyle w:val="BodyTextIndent2"/>
        <w:spacing w:line="240" w:lineRule="auto"/>
        <w:ind w:left="0"/>
        <w:rPr>
          <w:rFonts w:ascii="Arial" w:hAnsi="Arial" w:cs="Arial"/>
          <w:b/>
          <w:bCs/>
        </w:rPr>
      </w:pPr>
    </w:p>
    <w:p w14:paraId="4386792C" w14:textId="6265B895" w:rsidR="00556212"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19</w:t>
      </w:r>
      <w:r w:rsidR="00556212" w:rsidRPr="002D2F67">
        <w:rPr>
          <w:rFonts w:ascii="Arial" w:hAnsi="Arial" w:cs="Arial"/>
          <w:b/>
          <w:bCs/>
          <w:color w:val="000000"/>
          <w:kern w:val="26"/>
          <w:position w:val="-24"/>
          <w:sz w:val="20"/>
          <w:szCs w:val="20"/>
          <w:cs/>
        </w:rPr>
        <w:tab/>
      </w:r>
      <w:r w:rsidR="00556212" w:rsidRPr="002D2F67">
        <w:rPr>
          <w:rFonts w:ascii="Arial" w:hAnsi="Arial" w:cs="Arial"/>
          <w:b/>
          <w:bCs/>
          <w:color w:val="000000"/>
          <w:kern w:val="26"/>
          <w:position w:val="-24"/>
          <w:sz w:val="20"/>
          <w:szCs w:val="20"/>
        </w:rPr>
        <w:t>Investments in subsidiaries, associates and joint ventures</w:t>
      </w:r>
    </w:p>
    <w:p w14:paraId="18E3639B" w14:textId="77777777" w:rsidR="00FF408A" w:rsidRPr="002D2F67" w:rsidRDefault="00FF408A" w:rsidP="005611FE">
      <w:pPr>
        <w:pStyle w:val="BodyTextIndent2"/>
        <w:spacing w:line="240" w:lineRule="auto"/>
        <w:ind w:left="0"/>
        <w:jc w:val="left"/>
        <w:rPr>
          <w:rFonts w:ascii="Arial" w:hAnsi="Arial" w:cs="Arial"/>
          <w:spacing w:val="-2"/>
        </w:rPr>
      </w:pPr>
    </w:p>
    <w:tbl>
      <w:tblPr>
        <w:tblW w:w="9461" w:type="dxa"/>
        <w:tblInd w:w="108" w:type="dxa"/>
        <w:tblLayout w:type="fixed"/>
        <w:tblLook w:val="0000" w:firstRow="0" w:lastRow="0" w:firstColumn="0" w:lastColumn="0" w:noHBand="0" w:noVBand="0"/>
      </w:tblPr>
      <w:tblGrid>
        <w:gridCol w:w="3125"/>
        <w:gridCol w:w="1584"/>
        <w:gridCol w:w="1584"/>
        <w:gridCol w:w="1584"/>
        <w:gridCol w:w="1584"/>
      </w:tblGrid>
      <w:tr w:rsidR="00B26023" w:rsidRPr="002D2F67" w14:paraId="1765E645" w14:textId="77777777" w:rsidTr="008255E8">
        <w:trPr>
          <w:cantSplit/>
        </w:trPr>
        <w:tc>
          <w:tcPr>
            <w:tcW w:w="3125" w:type="dxa"/>
            <w:shd w:val="clear" w:color="auto" w:fill="auto"/>
            <w:vAlign w:val="bottom"/>
          </w:tcPr>
          <w:p w14:paraId="51A416B0" w14:textId="77777777" w:rsidR="00B26023" w:rsidRPr="002D2F67" w:rsidRDefault="00B26023" w:rsidP="005611FE">
            <w:pPr>
              <w:ind w:left="-101"/>
              <w:jc w:val="thaiDistribute"/>
              <w:rPr>
                <w:rFonts w:ascii="Arial" w:hAnsi="Arial" w:cs="Arial"/>
                <w:b/>
                <w:bCs/>
                <w:color w:val="000000"/>
                <w:sz w:val="20"/>
                <w:szCs w:val="20"/>
                <w:cs/>
              </w:rPr>
            </w:pPr>
          </w:p>
        </w:tc>
        <w:tc>
          <w:tcPr>
            <w:tcW w:w="3168" w:type="dxa"/>
            <w:gridSpan w:val="2"/>
            <w:tcBorders>
              <w:bottom w:val="single" w:sz="4" w:space="0" w:color="auto"/>
            </w:tcBorders>
            <w:shd w:val="clear" w:color="auto" w:fill="auto"/>
            <w:vAlign w:val="bottom"/>
          </w:tcPr>
          <w:p w14:paraId="1F07456A" w14:textId="77777777" w:rsidR="00B26023" w:rsidRPr="002D2F67" w:rsidRDefault="00B26023" w:rsidP="005611FE">
            <w:pPr>
              <w:pStyle w:val="BodyTextIndent2"/>
              <w:spacing w:line="240" w:lineRule="auto"/>
              <w:ind w:left="0" w:right="-72"/>
              <w:jc w:val="right"/>
              <w:rPr>
                <w:rFonts w:ascii="Arial" w:hAnsi="Arial" w:cs="Arial"/>
                <w:b/>
                <w:bCs/>
              </w:rPr>
            </w:pPr>
            <w:r w:rsidRPr="002D2F67">
              <w:rPr>
                <w:rFonts w:ascii="Arial" w:hAnsi="Arial" w:cs="Arial"/>
                <w:b/>
                <w:bCs/>
              </w:rPr>
              <w:t xml:space="preserve">Consolidated </w:t>
            </w:r>
          </w:p>
          <w:p w14:paraId="74FEC76D" w14:textId="77777777" w:rsidR="00B26023" w:rsidRPr="002D2F67" w:rsidRDefault="00B26023" w:rsidP="005611FE">
            <w:pPr>
              <w:pStyle w:val="BodyTextIndent2"/>
              <w:spacing w:line="240" w:lineRule="auto"/>
              <w:ind w:left="0" w:right="-72"/>
              <w:jc w:val="right"/>
              <w:rPr>
                <w:rFonts w:ascii="Arial" w:hAnsi="Arial" w:cs="Arial"/>
                <w:b/>
                <w:bCs/>
              </w:rPr>
            </w:pPr>
            <w:r w:rsidRPr="002D2F67">
              <w:rPr>
                <w:rFonts w:ascii="Arial" w:hAnsi="Arial" w:cs="Arial"/>
                <w:b/>
                <w:bCs/>
              </w:rPr>
              <w:t>financial statements</w:t>
            </w:r>
          </w:p>
        </w:tc>
        <w:tc>
          <w:tcPr>
            <w:tcW w:w="3168" w:type="dxa"/>
            <w:gridSpan w:val="2"/>
            <w:tcBorders>
              <w:bottom w:val="single" w:sz="4" w:space="0" w:color="auto"/>
            </w:tcBorders>
            <w:shd w:val="clear" w:color="auto" w:fill="auto"/>
            <w:vAlign w:val="bottom"/>
          </w:tcPr>
          <w:p w14:paraId="6D358B38" w14:textId="77777777" w:rsidR="00B26023" w:rsidRPr="002D2F67" w:rsidRDefault="00B26023" w:rsidP="005611FE">
            <w:pPr>
              <w:pStyle w:val="BodyTextIndent2"/>
              <w:spacing w:line="240" w:lineRule="auto"/>
              <w:ind w:left="0" w:right="-72"/>
              <w:jc w:val="right"/>
              <w:rPr>
                <w:rFonts w:ascii="Arial" w:hAnsi="Arial" w:cs="Arial"/>
                <w:b/>
                <w:bCs/>
              </w:rPr>
            </w:pPr>
            <w:r w:rsidRPr="002D2F67">
              <w:rPr>
                <w:rFonts w:ascii="Arial" w:hAnsi="Arial" w:cs="Arial"/>
                <w:b/>
                <w:bCs/>
              </w:rPr>
              <w:t>Separate</w:t>
            </w:r>
          </w:p>
          <w:p w14:paraId="3A2ACF77" w14:textId="77777777" w:rsidR="00B26023" w:rsidRPr="002D2F67" w:rsidRDefault="00B26023" w:rsidP="005611FE">
            <w:pPr>
              <w:pStyle w:val="BodyTextIndent2"/>
              <w:spacing w:line="240" w:lineRule="auto"/>
              <w:ind w:left="0" w:right="-72"/>
              <w:jc w:val="right"/>
              <w:rPr>
                <w:rFonts w:ascii="Arial" w:hAnsi="Arial" w:cs="Arial"/>
                <w:b/>
                <w:bCs/>
              </w:rPr>
            </w:pPr>
            <w:r w:rsidRPr="002D2F67">
              <w:rPr>
                <w:rFonts w:ascii="Arial" w:hAnsi="Arial" w:cs="Arial"/>
                <w:b/>
                <w:bCs/>
              </w:rPr>
              <w:t xml:space="preserve"> financial statements</w:t>
            </w:r>
          </w:p>
        </w:tc>
      </w:tr>
      <w:tr w:rsidR="008E366B" w:rsidRPr="002D2F67" w14:paraId="7458C4A6" w14:textId="77777777" w:rsidTr="005611FE">
        <w:trPr>
          <w:cantSplit/>
        </w:trPr>
        <w:tc>
          <w:tcPr>
            <w:tcW w:w="3125" w:type="dxa"/>
            <w:shd w:val="clear" w:color="auto" w:fill="auto"/>
            <w:vAlign w:val="bottom"/>
          </w:tcPr>
          <w:p w14:paraId="3B3F96F8" w14:textId="6B6290FC" w:rsidR="008E366B" w:rsidRPr="002D2F67" w:rsidRDefault="008E366B" w:rsidP="005611FE">
            <w:pPr>
              <w:ind w:left="-101"/>
              <w:jc w:val="thaiDistribute"/>
              <w:rPr>
                <w:rFonts w:ascii="Arial" w:hAnsi="Arial" w:cs="Arial"/>
                <w:color w:val="000000"/>
                <w:sz w:val="20"/>
                <w:szCs w:val="20"/>
              </w:rPr>
            </w:pPr>
            <w:r w:rsidRPr="002D2F67">
              <w:rPr>
                <w:rFonts w:ascii="Arial" w:eastAsia="Arial Unicode MS" w:hAnsi="Arial" w:cs="Arial"/>
                <w:b/>
                <w:bCs/>
                <w:snapToGrid w:val="0"/>
                <w:color w:val="000000"/>
                <w:sz w:val="20"/>
                <w:szCs w:val="20"/>
                <w:lang w:eastAsia="th-TH"/>
              </w:rPr>
              <w:t xml:space="preserve">As </w:t>
            </w:r>
            <w:proofErr w:type="gramStart"/>
            <w:r w:rsidRPr="002D2F67">
              <w:rPr>
                <w:rFonts w:ascii="Arial" w:eastAsia="Arial Unicode MS" w:hAnsi="Arial" w:cs="Arial"/>
                <w:b/>
                <w:bCs/>
                <w:snapToGrid w:val="0"/>
                <w:color w:val="000000"/>
                <w:sz w:val="20"/>
                <w:szCs w:val="20"/>
                <w:lang w:eastAsia="th-TH"/>
              </w:rPr>
              <w:t>at</w:t>
            </w:r>
            <w:proofErr w:type="gramEnd"/>
            <w:r w:rsidRPr="002D2F67">
              <w:rPr>
                <w:rFonts w:ascii="Arial" w:eastAsia="Arial Unicode MS" w:hAnsi="Arial" w:cs="Arial"/>
                <w:b/>
                <w:bCs/>
                <w:snapToGrid w:val="0"/>
                <w:color w:val="000000"/>
                <w:sz w:val="20"/>
                <w:szCs w:val="20"/>
                <w:lang w:eastAsia="th-TH"/>
              </w:rPr>
              <w:t xml:space="preserve"> </w:t>
            </w:r>
            <w:r w:rsidR="00CD5714" w:rsidRPr="00CD5714">
              <w:rPr>
                <w:rFonts w:ascii="Arial" w:eastAsia="Arial Unicode MS" w:hAnsi="Arial" w:cs="Arial"/>
                <w:b/>
                <w:bCs/>
                <w:snapToGrid w:val="0"/>
                <w:color w:val="000000"/>
                <w:sz w:val="20"/>
                <w:szCs w:val="20"/>
                <w:lang w:val="en-GB" w:eastAsia="th-TH"/>
              </w:rPr>
              <w:t>31</w:t>
            </w:r>
            <w:r w:rsidRPr="002D2F67">
              <w:rPr>
                <w:rFonts w:ascii="Arial" w:eastAsia="Arial Unicode MS" w:hAnsi="Arial" w:cs="Arial"/>
                <w:b/>
                <w:bCs/>
                <w:snapToGrid w:val="0"/>
                <w:color w:val="000000"/>
                <w:sz w:val="20"/>
                <w:szCs w:val="20"/>
                <w:lang w:eastAsia="th-TH"/>
              </w:rPr>
              <w:t xml:space="preserve"> December</w:t>
            </w:r>
          </w:p>
        </w:tc>
        <w:tc>
          <w:tcPr>
            <w:tcW w:w="1584" w:type="dxa"/>
            <w:shd w:val="clear" w:color="auto" w:fill="auto"/>
            <w:vAlign w:val="bottom"/>
          </w:tcPr>
          <w:p w14:paraId="118F80E3" w14:textId="615009C8" w:rsidR="008E366B"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584" w:type="dxa"/>
            <w:shd w:val="clear" w:color="auto" w:fill="auto"/>
            <w:vAlign w:val="bottom"/>
          </w:tcPr>
          <w:p w14:paraId="4950414E" w14:textId="0717C2EB" w:rsidR="008E366B"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c>
          <w:tcPr>
            <w:tcW w:w="1584" w:type="dxa"/>
            <w:shd w:val="clear" w:color="auto" w:fill="auto"/>
            <w:vAlign w:val="bottom"/>
          </w:tcPr>
          <w:p w14:paraId="26E63A0F" w14:textId="0AC92FA4" w:rsidR="008E366B"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584" w:type="dxa"/>
            <w:shd w:val="clear" w:color="auto" w:fill="auto"/>
            <w:vAlign w:val="bottom"/>
          </w:tcPr>
          <w:p w14:paraId="694E1A6D" w14:textId="6F896927" w:rsidR="008E366B"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944E46" w:rsidRPr="002D2F67" w14:paraId="22EE94C8" w14:textId="77777777" w:rsidTr="005611FE">
        <w:trPr>
          <w:cantSplit/>
        </w:trPr>
        <w:tc>
          <w:tcPr>
            <w:tcW w:w="3125" w:type="dxa"/>
            <w:shd w:val="clear" w:color="auto" w:fill="auto"/>
            <w:vAlign w:val="bottom"/>
          </w:tcPr>
          <w:p w14:paraId="0C7D1A94" w14:textId="77777777" w:rsidR="00944E46" w:rsidRPr="002D2F67" w:rsidRDefault="00944E46" w:rsidP="005611FE">
            <w:pPr>
              <w:ind w:left="-101"/>
              <w:jc w:val="thaiDistribute"/>
              <w:rPr>
                <w:rFonts w:ascii="Arial" w:hAnsi="Arial" w:cs="Arial"/>
                <w:color w:val="000000"/>
                <w:sz w:val="20"/>
                <w:szCs w:val="20"/>
              </w:rPr>
            </w:pPr>
          </w:p>
        </w:tc>
        <w:tc>
          <w:tcPr>
            <w:tcW w:w="1584" w:type="dxa"/>
            <w:tcBorders>
              <w:bottom w:val="single" w:sz="4" w:space="0" w:color="auto"/>
            </w:tcBorders>
            <w:shd w:val="clear" w:color="auto" w:fill="auto"/>
            <w:vAlign w:val="bottom"/>
          </w:tcPr>
          <w:p w14:paraId="3671666D" w14:textId="7905096C" w:rsidR="00944E46" w:rsidRPr="002D2F67" w:rsidRDefault="00D31B14" w:rsidP="005611FE">
            <w:pPr>
              <w:pStyle w:val="Heading2"/>
              <w:ind w:right="-72"/>
              <w:jc w:val="right"/>
              <w:rPr>
                <w:rFonts w:ascii="Arial" w:hAnsi="Arial" w:cs="Arial"/>
                <w:color w:val="000000"/>
              </w:rPr>
            </w:pPr>
            <w:r w:rsidRPr="002D2F67">
              <w:rPr>
                <w:rFonts w:ascii="Arial" w:hAnsi="Arial" w:cs="Arial"/>
                <w:color w:val="000000"/>
              </w:rPr>
              <w:t>Baht’</w:t>
            </w:r>
            <w:r w:rsidR="00CD5714" w:rsidRPr="00CD5714">
              <w:rPr>
                <w:rFonts w:ascii="Arial" w:hAnsi="Arial" w:cs="Arial"/>
                <w:color w:val="000000"/>
                <w:lang w:val="en-GB"/>
              </w:rPr>
              <w:t>000</w:t>
            </w:r>
          </w:p>
        </w:tc>
        <w:tc>
          <w:tcPr>
            <w:tcW w:w="1584" w:type="dxa"/>
            <w:tcBorders>
              <w:bottom w:val="single" w:sz="4" w:space="0" w:color="auto"/>
            </w:tcBorders>
            <w:shd w:val="clear" w:color="auto" w:fill="auto"/>
          </w:tcPr>
          <w:p w14:paraId="37732217" w14:textId="1D994C8E" w:rsidR="00944E46" w:rsidRPr="002D2F67" w:rsidRDefault="00D31B14" w:rsidP="005611FE">
            <w:pPr>
              <w:pStyle w:val="Heading2"/>
              <w:ind w:right="-72"/>
              <w:jc w:val="right"/>
              <w:rPr>
                <w:rFonts w:ascii="Arial" w:hAnsi="Arial" w:cs="Arial"/>
                <w:color w:val="000000"/>
              </w:rPr>
            </w:pPr>
            <w:r w:rsidRPr="002D2F67">
              <w:rPr>
                <w:rFonts w:ascii="Arial" w:hAnsi="Arial" w:cs="Arial"/>
                <w:color w:val="000000"/>
              </w:rPr>
              <w:t>Baht’</w:t>
            </w:r>
            <w:r w:rsidR="00CD5714" w:rsidRPr="00CD5714">
              <w:rPr>
                <w:rFonts w:ascii="Arial" w:hAnsi="Arial" w:cs="Arial"/>
                <w:color w:val="000000"/>
                <w:lang w:val="en-GB"/>
              </w:rPr>
              <w:t>000</w:t>
            </w:r>
          </w:p>
        </w:tc>
        <w:tc>
          <w:tcPr>
            <w:tcW w:w="1584" w:type="dxa"/>
            <w:tcBorders>
              <w:bottom w:val="single" w:sz="4" w:space="0" w:color="auto"/>
            </w:tcBorders>
            <w:shd w:val="clear" w:color="auto" w:fill="auto"/>
            <w:vAlign w:val="bottom"/>
          </w:tcPr>
          <w:p w14:paraId="56EF9290" w14:textId="68B41177" w:rsidR="00944E46" w:rsidRPr="002D2F67" w:rsidRDefault="00D31B14" w:rsidP="005611FE">
            <w:pPr>
              <w:pStyle w:val="Heading2"/>
              <w:ind w:right="-72"/>
              <w:jc w:val="right"/>
              <w:rPr>
                <w:rFonts w:ascii="Arial" w:hAnsi="Arial" w:cs="Arial"/>
                <w:color w:val="000000"/>
              </w:rPr>
            </w:pPr>
            <w:r w:rsidRPr="002D2F67">
              <w:rPr>
                <w:rFonts w:ascii="Arial" w:hAnsi="Arial" w:cs="Arial"/>
                <w:color w:val="000000"/>
              </w:rPr>
              <w:t>Baht’</w:t>
            </w:r>
            <w:r w:rsidR="00CD5714" w:rsidRPr="00CD5714">
              <w:rPr>
                <w:rFonts w:ascii="Arial" w:hAnsi="Arial" w:cs="Arial"/>
                <w:color w:val="000000"/>
                <w:lang w:val="en-GB"/>
              </w:rPr>
              <w:t>000</w:t>
            </w:r>
          </w:p>
        </w:tc>
        <w:tc>
          <w:tcPr>
            <w:tcW w:w="1584" w:type="dxa"/>
            <w:tcBorders>
              <w:bottom w:val="single" w:sz="4" w:space="0" w:color="auto"/>
            </w:tcBorders>
            <w:shd w:val="clear" w:color="auto" w:fill="auto"/>
          </w:tcPr>
          <w:p w14:paraId="3FD67FB8" w14:textId="106A9B6F" w:rsidR="00944E46" w:rsidRPr="002D2F67" w:rsidRDefault="00D31B14" w:rsidP="005611FE">
            <w:pPr>
              <w:pStyle w:val="Heading2"/>
              <w:ind w:right="-72"/>
              <w:jc w:val="right"/>
              <w:rPr>
                <w:rFonts w:ascii="Arial" w:hAnsi="Arial" w:cs="Arial"/>
                <w:color w:val="000000"/>
              </w:rPr>
            </w:pPr>
            <w:r w:rsidRPr="002D2F67">
              <w:rPr>
                <w:rFonts w:ascii="Arial" w:hAnsi="Arial" w:cs="Arial"/>
                <w:color w:val="000000"/>
              </w:rPr>
              <w:t>Baht’</w:t>
            </w:r>
            <w:r w:rsidR="00CD5714" w:rsidRPr="00CD5714">
              <w:rPr>
                <w:rFonts w:ascii="Arial" w:hAnsi="Arial" w:cs="Arial"/>
                <w:color w:val="000000"/>
                <w:lang w:val="en-GB"/>
              </w:rPr>
              <w:t>000</w:t>
            </w:r>
          </w:p>
        </w:tc>
      </w:tr>
      <w:tr w:rsidR="00FF408A" w:rsidRPr="002D2F67" w14:paraId="354B4AD7" w14:textId="77777777" w:rsidTr="005611FE">
        <w:trPr>
          <w:cantSplit/>
        </w:trPr>
        <w:tc>
          <w:tcPr>
            <w:tcW w:w="3125" w:type="dxa"/>
            <w:shd w:val="clear" w:color="auto" w:fill="auto"/>
            <w:vAlign w:val="bottom"/>
          </w:tcPr>
          <w:p w14:paraId="35CE7574" w14:textId="77777777" w:rsidR="00FF408A" w:rsidRPr="002D2F67" w:rsidRDefault="00FF408A" w:rsidP="005611FE">
            <w:pPr>
              <w:ind w:left="-101"/>
              <w:jc w:val="thaiDistribute"/>
              <w:rPr>
                <w:rFonts w:ascii="Arial" w:hAnsi="Arial" w:cs="Arial"/>
                <w:color w:val="000000"/>
                <w:sz w:val="20"/>
                <w:szCs w:val="20"/>
              </w:rPr>
            </w:pPr>
          </w:p>
        </w:tc>
        <w:tc>
          <w:tcPr>
            <w:tcW w:w="1584" w:type="dxa"/>
            <w:tcBorders>
              <w:top w:val="single" w:sz="4" w:space="0" w:color="auto"/>
            </w:tcBorders>
            <w:shd w:val="clear" w:color="auto" w:fill="auto"/>
            <w:vAlign w:val="bottom"/>
          </w:tcPr>
          <w:p w14:paraId="4C7CB0D7" w14:textId="77777777" w:rsidR="00FF408A" w:rsidRPr="002D2F67" w:rsidRDefault="00FF408A" w:rsidP="005611FE">
            <w:pPr>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66990FCE" w14:textId="77777777" w:rsidR="00FF408A" w:rsidRPr="002D2F67" w:rsidRDefault="00FF408A" w:rsidP="005611FE">
            <w:pPr>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19003AAA" w14:textId="77777777" w:rsidR="00FF408A" w:rsidRPr="002D2F67" w:rsidRDefault="00FF408A" w:rsidP="005611FE">
            <w:pPr>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38D743A8" w14:textId="77777777" w:rsidR="00FF408A" w:rsidRPr="002D2F67" w:rsidRDefault="00FF408A" w:rsidP="005611FE">
            <w:pPr>
              <w:ind w:right="-72"/>
              <w:jc w:val="right"/>
              <w:rPr>
                <w:rFonts w:ascii="Arial" w:hAnsi="Arial" w:cs="Arial"/>
                <w:color w:val="000000"/>
                <w:sz w:val="20"/>
                <w:szCs w:val="20"/>
              </w:rPr>
            </w:pPr>
          </w:p>
        </w:tc>
      </w:tr>
      <w:tr w:rsidR="00E74A05" w:rsidRPr="002D2F67" w14:paraId="28091F3B" w14:textId="77777777" w:rsidTr="005611FE">
        <w:trPr>
          <w:cantSplit/>
        </w:trPr>
        <w:tc>
          <w:tcPr>
            <w:tcW w:w="3125" w:type="dxa"/>
            <w:shd w:val="clear" w:color="auto" w:fill="auto"/>
            <w:vAlign w:val="bottom"/>
          </w:tcPr>
          <w:p w14:paraId="2482E689" w14:textId="77777777" w:rsidR="00E74A05" w:rsidRPr="002D2F67" w:rsidRDefault="00E74A05" w:rsidP="005611FE">
            <w:pPr>
              <w:tabs>
                <w:tab w:val="left" w:pos="6840"/>
              </w:tabs>
              <w:ind w:left="-101"/>
              <w:rPr>
                <w:rFonts w:ascii="Arial" w:hAnsi="Arial" w:cs="Arial"/>
                <w:color w:val="000000"/>
                <w:spacing w:val="-4"/>
                <w:sz w:val="20"/>
                <w:szCs w:val="20"/>
              </w:rPr>
            </w:pPr>
            <w:r w:rsidRPr="002D2F67">
              <w:rPr>
                <w:rFonts w:ascii="Arial" w:hAnsi="Arial" w:cs="Arial"/>
                <w:color w:val="000000"/>
                <w:spacing w:val="-4"/>
                <w:sz w:val="20"/>
                <w:szCs w:val="20"/>
              </w:rPr>
              <w:t xml:space="preserve">Investments in subsidiaries </w:t>
            </w:r>
          </w:p>
          <w:p w14:paraId="4CD2D3BC" w14:textId="52E9A66E" w:rsidR="00E74A05" w:rsidRPr="002D2F67" w:rsidRDefault="00E74A05" w:rsidP="005611FE">
            <w:pPr>
              <w:tabs>
                <w:tab w:val="left" w:pos="6840"/>
              </w:tabs>
              <w:ind w:left="-101"/>
              <w:rPr>
                <w:rFonts w:ascii="Arial" w:hAnsi="Arial" w:cs="Arial"/>
                <w:color w:val="000000"/>
                <w:spacing w:val="-4"/>
                <w:sz w:val="20"/>
                <w:szCs w:val="20"/>
                <w:cs/>
              </w:rPr>
            </w:pPr>
            <w:r w:rsidRPr="002D2F67">
              <w:rPr>
                <w:rFonts w:ascii="Arial" w:hAnsi="Arial" w:cs="Arial"/>
                <w:color w:val="000000"/>
                <w:spacing w:val="-4"/>
                <w:sz w:val="20"/>
                <w:szCs w:val="20"/>
              </w:rPr>
              <w:t xml:space="preserve">   (Note </w:t>
            </w:r>
            <w:r w:rsidR="00CD5714" w:rsidRPr="00CD5714">
              <w:rPr>
                <w:rFonts w:ascii="Arial" w:hAnsi="Arial" w:cs="Arial"/>
                <w:color w:val="000000"/>
                <w:spacing w:val="-4"/>
                <w:sz w:val="20"/>
                <w:szCs w:val="20"/>
                <w:lang w:val="en-GB"/>
              </w:rPr>
              <w:t>19</w:t>
            </w:r>
            <w:r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2</w:t>
            </w:r>
            <w:r w:rsidRPr="002D2F67">
              <w:rPr>
                <w:rFonts w:ascii="Arial" w:hAnsi="Arial" w:cs="Arial"/>
                <w:color w:val="000000"/>
                <w:spacing w:val="-4"/>
                <w:sz w:val="20"/>
                <w:szCs w:val="20"/>
              </w:rPr>
              <w:t>)</w:t>
            </w:r>
            <w:r w:rsidRPr="002D2F67">
              <w:rPr>
                <w:rFonts w:ascii="Arial" w:hAnsi="Arial" w:cs="Arial"/>
                <w:color w:val="000000"/>
                <w:spacing w:val="-4"/>
                <w:sz w:val="20"/>
                <w:szCs w:val="20"/>
                <w:cs/>
              </w:rPr>
              <w:t xml:space="preserve"> </w:t>
            </w:r>
          </w:p>
        </w:tc>
        <w:tc>
          <w:tcPr>
            <w:tcW w:w="1584" w:type="dxa"/>
            <w:tcBorders>
              <w:bottom w:val="single" w:sz="4" w:space="0" w:color="auto"/>
            </w:tcBorders>
            <w:shd w:val="clear" w:color="auto" w:fill="auto"/>
            <w:vAlign w:val="bottom"/>
          </w:tcPr>
          <w:p w14:paraId="4F11B574" w14:textId="1F4C4EE5" w:rsidR="00E74A05" w:rsidRPr="002D2F67" w:rsidRDefault="001F0A1B" w:rsidP="005611FE">
            <w:pPr>
              <w:tabs>
                <w:tab w:val="left" w:pos="6840"/>
              </w:tabs>
              <w:ind w:right="-72"/>
              <w:jc w:val="right"/>
              <w:rPr>
                <w:rFonts w:ascii="Arial" w:hAnsi="Arial" w:cs="Arial"/>
                <w:color w:val="000000"/>
                <w:sz w:val="20"/>
                <w:szCs w:val="20"/>
              </w:rPr>
            </w:pPr>
            <w:r w:rsidRPr="002D2F67">
              <w:rPr>
                <w:rFonts w:ascii="Arial" w:hAnsi="Arial" w:cs="Arial"/>
                <w:color w:val="000000"/>
                <w:sz w:val="20"/>
                <w:szCs w:val="20"/>
              </w:rPr>
              <w:t>-</w:t>
            </w:r>
          </w:p>
        </w:tc>
        <w:tc>
          <w:tcPr>
            <w:tcW w:w="1584" w:type="dxa"/>
            <w:tcBorders>
              <w:bottom w:val="single" w:sz="4" w:space="0" w:color="auto"/>
            </w:tcBorders>
            <w:shd w:val="clear" w:color="auto" w:fill="auto"/>
            <w:vAlign w:val="bottom"/>
          </w:tcPr>
          <w:p w14:paraId="756AFB07" w14:textId="0684C498" w:rsidR="00E74A05" w:rsidRPr="002D2F67" w:rsidRDefault="00E74A05" w:rsidP="005611FE">
            <w:pPr>
              <w:tabs>
                <w:tab w:val="left" w:pos="6840"/>
              </w:tabs>
              <w:ind w:right="-72"/>
              <w:jc w:val="right"/>
              <w:rPr>
                <w:rFonts w:ascii="Arial" w:hAnsi="Arial" w:cs="Arial"/>
                <w:color w:val="000000"/>
                <w:sz w:val="20"/>
                <w:szCs w:val="20"/>
              </w:rPr>
            </w:pPr>
            <w:r w:rsidRPr="002D2F67">
              <w:rPr>
                <w:rFonts w:ascii="Arial" w:hAnsi="Arial" w:cs="Arial"/>
                <w:color w:val="000000"/>
                <w:sz w:val="20"/>
                <w:szCs w:val="20"/>
              </w:rPr>
              <w:t>-</w:t>
            </w:r>
          </w:p>
        </w:tc>
        <w:tc>
          <w:tcPr>
            <w:tcW w:w="1584" w:type="dxa"/>
            <w:tcBorders>
              <w:bottom w:val="single" w:sz="4" w:space="0" w:color="auto"/>
            </w:tcBorders>
            <w:shd w:val="clear" w:color="auto" w:fill="auto"/>
            <w:vAlign w:val="bottom"/>
          </w:tcPr>
          <w:p w14:paraId="242D3E38" w14:textId="78A9F9FB" w:rsidR="00E74A05"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27</w:t>
            </w:r>
            <w:r w:rsidR="00B76EE4" w:rsidRPr="002D2F67">
              <w:rPr>
                <w:rFonts w:ascii="Arial" w:hAnsi="Arial" w:cs="Arial"/>
                <w:color w:val="000000"/>
                <w:sz w:val="20"/>
                <w:szCs w:val="20"/>
              </w:rPr>
              <w:t>,</w:t>
            </w:r>
            <w:r w:rsidRPr="00CD5714">
              <w:rPr>
                <w:rFonts w:ascii="Arial" w:hAnsi="Arial" w:cs="Arial"/>
                <w:color w:val="000000"/>
                <w:sz w:val="20"/>
                <w:szCs w:val="20"/>
                <w:lang w:val="en-GB"/>
              </w:rPr>
              <w:t>386</w:t>
            </w:r>
            <w:r w:rsidR="00B76EE4" w:rsidRPr="002D2F67">
              <w:rPr>
                <w:rFonts w:ascii="Arial" w:hAnsi="Arial" w:cs="Arial"/>
                <w:color w:val="000000"/>
                <w:sz w:val="20"/>
                <w:szCs w:val="20"/>
              </w:rPr>
              <w:t>,</w:t>
            </w:r>
            <w:r w:rsidRPr="00CD5714">
              <w:rPr>
                <w:rFonts w:ascii="Arial" w:hAnsi="Arial" w:cs="Arial"/>
                <w:color w:val="000000"/>
                <w:sz w:val="20"/>
                <w:szCs w:val="20"/>
                <w:lang w:val="en-GB"/>
              </w:rPr>
              <w:t>267</w:t>
            </w:r>
          </w:p>
        </w:tc>
        <w:tc>
          <w:tcPr>
            <w:tcW w:w="1584" w:type="dxa"/>
            <w:tcBorders>
              <w:bottom w:val="single" w:sz="4" w:space="0" w:color="auto"/>
            </w:tcBorders>
            <w:shd w:val="clear" w:color="auto" w:fill="auto"/>
            <w:vAlign w:val="bottom"/>
          </w:tcPr>
          <w:p w14:paraId="76B8BBCA" w14:textId="12B97331" w:rsidR="00E74A05"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37</w:t>
            </w:r>
            <w:r w:rsidR="00E74A05" w:rsidRPr="002D2F67">
              <w:rPr>
                <w:rFonts w:ascii="Arial" w:hAnsi="Arial" w:cs="Arial"/>
                <w:color w:val="000000"/>
                <w:sz w:val="20"/>
                <w:szCs w:val="20"/>
              </w:rPr>
              <w:t>,</w:t>
            </w:r>
            <w:r w:rsidRPr="00CD5714">
              <w:rPr>
                <w:rFonts w:ascii="Arial" w:hAnsi="Arial" w:cs="Arial"/>
                <w:color w:val="000000"/>
                <w:sz w:val="20"/>
                <w:szCs w:val="20"/>
                <w:lang w:val="en-GB"/>
              </w:rPr>
              <w:t>184</w:t>
            </w:r>
            <w:r w:rsidR="00E74A05" w:rsidRPr="002D2F67">
              <w:rPr>
                <w:rFonts w:ascii="Arial" w:hAnsi="Arial" w:cs="Arial"/>
                <w:color w:val="000000"/>
                <w:sz w:val="20"/>
                <w:szCs w:val="20"/>
              </w:rPr>
              <w:t>,</w:t>
            </w:r>
            <w:r w:rsidRPr="00CD5714">
              <w:rPr>
                <w:rFonts w:ascii="Arial" w:hAnsi="Arial" w:cs="Arial"/>
                <w:color w:val="000000"/>
                <w:sz w:val="20"/>
                <w:szCs w:val="20"/>
                <w:lang w:val="en-GB"/>
              </w:rPr>
              <w:t>728</w:t>
            </w:r>
          </w:p>
        </w:tc>
      </w:tr>
      <w:tr w:rsidR="00E74A05" w:rsidRPr="002D2F67" w14:paraId="38B5C1BD" w14:textId="77777777" w:rsidTr="005611FE">
        <w:trPr>
          <w:cantSplit/>
        </w:trPr>
        <w:tc>
          <w:tcPr>
            <w:tcW w:w="3125" w:type="dxa"/>
            <w:shd w:val="clear" w:color="auto" w:fill="auto"/>
            <w:vAlign w:val="bottom"/>
          </w:tcPr>
          <w:p w14:paraId="00FFF52D" w14:textId="77777777" w:rsidR="00E74A05" w:rsidRPr="002D2F67" w:rsidRDefault="00E74A05" w:rsidP="005611FE">
            <w:pPr>
              <w:tabs>
                <w:tab w:val="left" w:pos="6840"/>
              </w:tabs>
              <w:ind w:left="-101"/>
              <w:rPr>
                <w:rFonts w:ascii="Arial" w:hAnsi="Arial" w:cs="Arial"/>
                <w:color w:val="000000"/>
                <w:spacing w:val="-4"/>
                <w:sz w:val="20"/>
                <w:szCs w:val="20"/>
                <w:cs/>
              </w:rPr>
            </w:pPr>
          </w:p>
        </w:tc>
        <w:tc>
          <w:tcPr>
            <w:tcW w:w="1584" w:type="dxa"/>
            <w:tcBorders>
              <w:top w:val="single" w:sz="4" w:space="0" w:color="auto"/>
            </w:tcBorders>
            <w:shd w:val="clear" w:color="auto" w:fill="auto"/>
            <w:vAlign w:val="bottom"/>
          </w:tcPr>
          <w:p w14:paraId="766D718C" w14:textId="77777777" w:rsidR="00E74A05" w:rsidRPr="002D2F67" w:rsidRDefault="00E74A05" w:rsidP="005611FE">
            <w:pPr>
              <w:tabs>
                <w:tab w:val="left" w:pos="6840"/>
              </w:tabs>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5FA9FC86" w14:textId="77777777" w:rsidR="00E74A05" w:rsidRPr="002D2F67" w:rsidRDefault="00E74A05" w:rsidP="005611FE">
            <w:pPr>
              <w:tabs>
                <w:tab w:val="left" w:pos="6840"/>
              </w:tabs>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17497F04" w14:textId="77777777" w:rsidR="00E74A05" w:rsidRPr="002D2F67" w:rsidRDefault="00E74A05" w:rsidP="005611FE">
            <w:pPr>
              <w:tabs>
                <w:tab w:val="left" w:pos="6840"/>
              </w:tabs>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799A8A3A" w14:textId="77777777" w:rsidR="00E74A05" w:rsidRPr="002D2F67" w:rsidRDefault="00E74A05" w:rsidP="005611FE">
            <w:pPr>
              <w:tabs>
                <w:tab w:val="left" w:pos="6840"/>
              </w:tabs>
              <w:ind w:right="-72"/>
              <w:jc w:val="right"/>
              <w:rPr>
                <w:rFonts w:ascii="Arial" w:hAnsi="Arial" w:cs="Arial"/>
                <w:color w:val="000000"/>
                <w:sz w:val="20"/>
                <w:szCs w:val="20"/>
              </w:rPr>
            </w:pPr>
          </w:p>
        </w:tc>
      </w:tr>
      <w:tr w:rsidR="00E74A05" w:rsidRPr="002D2F67" w14:paraId="54CDCC4C" w14:textId="77777777" w:rsidTr="005611FE">
        <w:trPr>
          <w:cantSplit/>
        </w:trPr>
        <w:tc>
          <w:tcPr>
            <w:tcW w:w="3125" w:type="dxa"/>
            <w:shd w:val="clear" w:color="auto" w:fill="auto"/>
            <w:vAlign w:val="bottom"/>
          </w:tcPr>
          <w:p w14:paraId="2FD65471" w14:textId="77777777" w:rsidR="00E74A05" w:rsidRPr="002D2F67" w:rsidRDefault="00E74A05" w:rsidP="005611FE">
            <w:pPr>
              <w:tabs>
                <w:tab w:val="left" w:pos="6840"/>
              </w:tabs>
              <w:ind w:left="-101"/>
              <w:rPr>
                <w:rFonts w:ascii="Arial" w:hAnsi="Arial" w:cs="Arial"/>
                <w:color w:val="000000"/>
                <w:spacing w:val="-4"/>
                <w:sz w:val="20"/>
                <w:szCs w:val="20"/>
              </w:rPr>
            </w:pPr>
            <w:r w:rsidRPr="002D2F67">
              <w:rPr>
                <w:rFonts w:ascii="Arial" w:hAnsi="Arial" w:cs="Arial"/>
                <w:color w:val="000000"/>
                <w:spacing w:val="-4"/>
                <w:sz w:val="20"/>
                <w:szCs w:val="20"/>
              </w:rPr>
              <w:t xml:space="preserve">Investments in associates </w:t>
            </w:r>
          </w:p>
          <w:p w14:paraId="4C72324A" w14:textId="40E05340" w:rsidR="00E74A05" w:rsidRPr="002D2F67" w:rsidRDefault="00E74A05" w:rsidP="005611FE">
            <w:pPr>
              <w:tabs>
                <w:tab w:val="left" w:pos="6840"/>
              </w:tabs>
              <w:ind w:left="-101"/>
              <w:rPr>
                <w:rFonts w:ascii="Arial" w:hAnsi="Arial" w:cs="Arial"/>
                <w:color w:val="000000"/>
                <w:spacing w:val="-4"/>
                <w:sz w:val="20"/>
                <w:szCs w:val="20"/>
                <w:cs/>
              </w:rPr>
            </w:pPr>
            <w:r w:rsidRPr="002D2F67">
              <w:rPr>
                <w:rFonts w:ascii="Arial" w:hAnsi="Arial" w:cs="Arial"/>
                <w:color w:val="000000"/>
                <w:spacing w:val="-4"/>
                <w:sz w:val="20"/>
                <w:szCs w:val="20"/>
              </w:rPr>
              <w:t xml:space="preserve">   (Note </w:t>
            </w:r>
            <w:r w:rsidR="00CD5714" w:rsidRPr="00CD5714">
              <w:rPr>
                <w:rFonts w:ascii="Arial" w:hAnsi="Arial" w:cs="Arial"/>
                <w:color w:val="000000"/>
                <w:spacing w:val="-4"/>
                <w:sz w:val="20"/>
                <w:szCs w:val="20"/>
                <w:lang w:val="en-GB"/>
              </w:rPr>
              <w:t>19</w:t>
            </w:r>
            <w:r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3</w:t>
            </w:r>
            <w:r w:rsidRPr="002D2F67">
              <w:rPr>
                <w:rFonts w:ascii="Arial" w:hAnsi="Arial" w:cs="Arial"/>
                <w:color w:val="000000"/>
                <w:spacing w:val="-4"/>
                <w:sz w:val="20"/>
                <w:szCs w:val="20"/>
              </w:rPr>
              <w:t>)</w:t>
            </w:r>
          </w:p>
        </w:tc>
        <w:tc>
          <w:tcPr>
            <w:tcW w:w="1584" w:type="dxa"/>
            <w:tcBorders>
              <w:bottom w:val="single" w:sz="4" w:space="0" w:color="auto"/>
            </w:tcBorders>
            <w:shd w:val="clear" w:color="auto" w:fill="auto"/>
            <w:vAlign w:val="bottom"/>
          </w:tcPr>
          <w:p w14:paraId="54002669" w14:textId="5FCFBFE2" w:rsidR="00E74A05"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1</w:t>
            </w:r>
            <w:r w:rsidR="00BA6C60" w:rsidRPr="002D2F67">
              <w:rPr>
                <w:rFonts w:ascii="Arial" w:hAnsi="Arial" w:cs="Arial"/>
                <w:color w:val="000000"/>
                <w:sz w:val="20"/>
                <w:szCs w:val="20"/>
              </w:rPr>
              <w:t>,</w:t>
            </w:r>
            <w:r w:rsidRPr="00CD5714">
              <w:rPr>
                <w:rFonts w:ascii="Arial" w:hAnsi="Arial" w:cs="Arial"/>
                <w:color w:val="000000"/>
                <w:sz w:val="20"/>
                <w:szCs w:val="20"/>
                <w:lang w:val="en-GB"/>
              </w:rPr>
              <w:t>375</w:t>
            </w:r>
            <w:r w:rsidR="00BA6C60" w:rsidRPr="002D2F67">
              <w:rPr>
                <w:rFonts w:ascii="Arial" w:hAnsi="Arial" w:cs="Arial"/>
                <w:color w:val="000000"/>
                <w:sz w:val="20"/>
                <w:szCs w:val="20"/>
              </w:rPr>
              <w:t>,</w:t>
            </w:r>
            <w:r w:rsidRPr="00CD5714">
              <w:rPr>
                <w:rFonts w:ascii="Arial" w:hAnsi="Arial" w:cs="Arial"/>
                <w:color w:val="000000"/>
                <w:sz w:val="20"/>
                <w:szCs w:val="20"/>
                <w:lang w:val="en-GB"/>
              </w:rPr>
              <w:t>311</w:t>
            </w:r>
          </w:p>
        </w:tc>
        <w:tc>
          <w:tcPr>
            <w:tcW w:w="1584" w:type="dxa"/>
            <w:tcBorders>
              <w:bottom w:val="single" w:sz="4" w:space="0" w:color="auto"/>
            </w:tcBorders>
            <w:shd w:val="clear" w:color="auto" w:fill="auto"/>
            <w:vAlign w:val="bottom"/>
          </w:tcPr>
          <w:p w14:paraId="24CE68B5" w14:textId="2F2B2AD2" w:rsidR="00E74A05"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1</w:t>
            </w:r>
            <w:r w:rsidR="00E74A05" w:rsidRPr="002D2F67">
              <w:rPr>
                <w:rFonts w:ascii="Arial" w:hAnsi="Arial" w:cs="Arial"/>
                <w:color w:val="000000"/>
                <w:sz w:val="20"/>
                <w:szCs w:val="20"/>
              </w:rPr>
              <w:t>,</w:t>
            </w:r>
            <w:r w:rsidRPr="00CD5714">
              <w:rPr>
                <w:rFonts w:ascii="Arial" w:hAnsi="Arial" w:cs="Arial"/>
                <w:color w:val="000000"/>
                <w:sz w:val="20"/>
                <w:szCs w:val="20"/>
                <w:lang w:val="en-GB"/>
              </w:rPr>
              <w:t>868</w:t>
            </w:r>
            <w:r w:rsidR="00E74A05" w:rsidRPr="002D2F67">
              <w:rPr>
                <w:rFonts w:ascii="Arial" w:hAnsi="Arial" w:cs="Arial"/>
                <w:color w:val="000000"/>
                <w:sz w:val="20"/>
                <w:szCs w:val="20"/>
              </w:rPr>
              <w:t>,</w:t>
            </w:r>
            <w:r w:rsidRPr="00CD5714">
              <w:rPr>
                <w:rFonts w:ascii="Arial" w:hAnsi="Arial" w:cs="Arial"/>
                <w:color w:val="000000"/>
                <w:sz w:val="20"/>
                <w:szCs w:val="20"/>
                <w:lang w:val="en-GB"/>
              </w:rPr>
              <w:t>703</w:t>
            </w:r>
          </w:p>
        </w:tc>
        <w:tc>
          <w:tcPr>
            <w:tcW w:w="1584" w:type="dxa"/>
            <w:tcBorders>
              <w:bottom w:val="single" w:sz="4" w:space="0" w:color="auto"/>
            </w:tcBorders>
            <w:shd w:val="clear" w:color="auto" w:fill="auto"/>
            <w:vAlign w:val="bottom"/>
          </w:tcPr>
          <w:p w14:paraId="1D93A413" w14:textId="35E57E36" w:rsidR="00E74A05" w:rsidRPr="002D2F67" w:rsidRDefault="001F0A1B" w:rsidP="005611FE">
            <w:pPr>
              <w:tabs>
                <w:tab w:val="left" w:pos="6840"/>
              </w:tabs>
              <w:ind w:right="-72"/>
              <w:jc w:val="right"/>
              <w:rPr>
                <w:rFonts w:ascii="Arial" w:hAnsi="Arial" w:cs="Arial"/>
                <w:color w:val="000000"/>
                <w:sz w:val="20"/>
                <w:szCs w:val="20"/>
              </w:rPr>
            </w:pPr>
            <w:r w:rsidRPr="002D2F67">
              <w:rPr>
                <w:rFonts w:ascii="Arial" w:hAnsi="Arial" w:cs="Arial"/>
                <w:color w:val="000000"/>
                <w:sz w:val="20"/>
                <w:szCs w:val="20"/>
              </w:rPr>
              <w:t>-</w:t>
            </w:r>
          </w:p>
        </w:tc>
        <w:tc>
          <w:tcPr>
            <w:tcW w:w="1584" w:type="dxa"/>
            <w:tcBorders>
              <w:bottom w:val="single" w:sz="4" w:space="0" w:color="auto"/>
            </w:tcBorders>
            <w:shd w:val="clear" w:color="auto" w:fill="auto"/>
            <w:vAlign w:val="bottom"/>
          </w:tcPr>
          <w:p w14:paraId="440A28D8" w14:textId="2E77DA17" w:rsidR="00E74A05" w:rsidRPr="002D2F67" w:rsidRDefault="00E74A05" w:rsidP="005611FE">
            <w:pPr>
              <w:tabs>
                <w:tab w:val="left" w:pos="6840"/>
              </w:tabs>
              <w:ind w:right="-72"/>
              <w:jc w:val="right"/>
              <w:rPr>
                <w:rFonts w:ascii="Arial" w:hAnsi="Arial" w:cs="Arial"/>
                <w:color w:val="000000"/>
                <w:sz w:val="20"/>
                <w:szCs w:val="20"/>
              </w:rPr>
            </w:pPr>
            <w:r w:rsidRPr="002D2F67">
              <w:rPr>
                <w:rFonts w:ascii="Arial" w:hAnsi="Arial" w:cs="Arial"/>
                <w:color w:val="000000"/>
                <w:sz w:val="20"/>
                <w:szCs w:val="20"/>
              </w:rPr>
              <w:t>-</w:t>
            </w:r>
          </w:p>
        </w:tc>
      </w:tr>
      <w:tr w:rsidR="00E74A05" w:rsidRPr="002D2F67" w14:paraId="6D7A7457" w14:textId="77777777" w:rsidTr="005611FE">
        <w:trPr>
          <w:cantSplit/>
        </w:trPr>
        <w:tc>
          <w:tcPr>
            <w:tcW w:w="3125" w:type="dxa"/>
            <w:shd w:val="clear" w:color="auto" w:fill="auto"/>
            <w:vAlign w:val="bottom"/>
          </w:tcPr>
          <w:p w14:paraId="762353AD" w14:textId="77777777" w:rsidR="00E74A05" w:rsidRPr="002D2F67" w:rsidRDefault="00E74A05" w:rsidP="005611FE">
            <w:pPr>
              <w:tabs>
                <w:tab w:val="left" w:pos="6840"/>
              </w:tabs>
              <w:ind w:left="-101"/>
              <w:rPr>
                <w:rFonts w:ascii="Arial" w:hAnsi="Arial" w:cs="Arial"/>
                <w:color w:val="000000"/>
                <w:spacing w:val="-4"/>
                <w:sz w:val="20"/>
                <w:szCs w:val="20"/>
                <w:cs/>
              </w:rPr>
            </w:pPr>
          </w:p>
        </w:tc>
        <w:tc>
          <w:tcPr>
            <w:tcW w:w="1584" w:type="dxa"/>
            <w:tcBorders>
              <w:top w:val="single" w:sz="4" w:space="0" w:color="auto"/>
            </w:tcBorders>
            <w:shd w:val="clear" w:color="auto" w:fill="auto"/>
            <w:vAlign w:val="bottom"/>
          </w:tcPr>
          <w:p w14:paraId="444E0C68" w14:textId="77777777" w:rsidR="00E74A05" w:rsidRPr="002D2F67" w:rsidRDefault="00E74A05" w:rsidP="005611FE">
            <w:pPr>
              <w:tabs>
                <w:tab w:val="left" w:pos="6840"/>
              </w:tabs>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013ED5AA" w14:textId="77777777" w:rsidR="00E74A05" w:rsidRPr="002D2F67" w:rsidRDefault="00E74A05" w:rsidP="005611FE">
            <w:pPr>
              <w:tabs>
                <w:tab w:val="left" w:pos="6840"/>
              </w:tabs>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6297931A" w14:textId="77777777" w:rsidR="00E74A05" w:rsidRPr="002D2F67" w:rsidRDefault="00E74A05" w:rsidP="005611FE">
            <w:pPr>
              <w:tabs>
                <w:tab w:val="left" w:pos="6840"/>
              </w:tabs>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6BF33D10" w14:textId="77777777" w:rsidR="00E74A05" w:rsidRPr="002D2F67" w:rsidRDefault="00E74A05" w:rsidP="005611FE">
            <w:pPr>
              <w:tabs>
                <w:tab w:val="left" w:pos="6840"/>
              </w:tabs>
              <w:ind w:right="-72"/>
              <w:jc w:val="right"/>
              <w:rPr>
                <w:rFonts w:ascii="Arial" w:hAnsi="Arial" w:cs="Arial"/>
                <w:color w:val="000000"/>
                <w:sz w:val="20"/>
                <w:szCs w:val="20"/>
              </w:rPr>
            </w:pPr>
          </w:p>
        </w:tc>
      </w:tr>
      <w:tr w:rsidR="00E74A05" w:rsidRPr="002D2F67" w14:paraId="2ECEAF2C" w14:textId="77777777" w:rsidTr="005611FE">
        <w:trPr>
          <w:cantSplit/>
        </w:trPr>
        <w:tc>
          <w:tcPr>
            <w:tcW w:w="3125" w:type="dxa"/>
            <w:shd w:val="clear" w:color="auto" w:fill="auto"/>
            <w:vAlign w:val="bottom"/>
          </w:tcPr>
          <w:p w14:paraId="0DCE0C3E" w14:textId="253E65B4" w:rsidR="00E74A05" w:rsidRPr="002D2F67" w:rsidRDefault="00E74A05" w:rsidP="005611FE">
            <w:pPr>
              <w:tabs>
                <w:tab w:val="left" w:pos="6840"/>
              </w:tabs>
              <w:ind w:left="-101"/>
              <w:rPr>
                <w:rFonts w:ascii="Arial" w:hAnsi="Arial" w:cs="Arial"/>
                <w:color w:val="000000"/>
                <w:spacing w:val="-4"/>
                <w:sz w:val="20"/>
                <w:szCs w:val="20"/>
              </w:rPr>
            </w:pPr>
            <w:r w:rsidRPr="002D2F67">
              <w:rPr>
                <w:rFonts w:ascii="Arial" w:hAnsi="Arial" w:cs="Arial"/>
                <w:color w:val="000000"/>
                <w:spacing w:val="-4"/>
                <w:sz w:val="20"/>
                <w:szCs w:val="20"/>
              </w:rPr>
              <w:t>Investment in joint ventures</w:t>
            </w:r>
          </w:p>
          <w:p w14:paraId="34B869E3" w14:textId="418DBA38" w:rsidR="00E74A05" w:rsidRPr="002D2F67" w:rsidRDefault="00E74A05" w:rsidP="005611FE">
            <w:pPr>
              <w:tabs>
                <w:tab w:val="left" w:pos="6840"/>
              </w:tabs>
              <w:ind w:left="-101"/>
              <w:rPr>
                <w:rFonts w:ascii="Arial" w:hAnsi="Arial" w:cs="Arial"/>
                <w:color w:val="000000"/>
                <w:spacing w:val="-4"/>
                <w:sz w:val="20"/>
                <w:szCs w:val="20"/>
                <w:cs/>
              </w:rPr>
            </w:pPr>
            <w:r w:rsidRPr="002D2F67">
              <w:rPr>
                <w:rFonts w:ascii="Arial" w:hAnsi="Arial" w:cs="Arial"/>
                <w:color w:val="000000"/>
                <w:spacing w:val="-4"/>
                <w:sz w:val="20"/>
                <w:szCs w:val="20"/>
              </w:rPr>
              <w:t xml:space="preserve">   (Note </w:t>
            </w:r>
            <w:r w:rsidR="00CD5714" w:rsidRPr="00CD5714">
              <w:rPr>
                <w:rFonts w:ascii="Arial" w:hAnsi="Arial" w:cs="Arial"/>
                <w:color w:val="000000"/>
                <w:spacing w:val="-4"/>
                <w:sz w:val="20"/>
                <w:szCs w:val="20"/>
                <w:lang w:val="en-GB"/>
              </w:rPr>
              <w:t>19</w:t>
            </w:r>
            <w:r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4</w:t>
            </w:r>
            <w:r w:rsidRPr="002D2F67">
              <w:rPr>
                <w:rFonts w:ascii="Arial" w:hAnsi="Arial" w:cs="Arial"/>
                <w:color w:val="000000"/>
                <w:spacing w:val="-4"/>
                <w:sz w:val="20"/>
                <w:szCs w:val="20"/>
              </w:rPr>
              <w:t>)</w:t>
            </w:r>
            <w:r w:rsidRPr="002D2F67">
              <w:rPr>
                <w:rFonts w:ascii="Arial" w:hAnsi="Arial" w:cs="Arial"/>
                <w:color w:val="000000"/>
                <w:spacing w:val="-4"/>
                <w:sz w:val="20"/>
                <w:szCs w:val="20"/>
                <w:cs/>
              </w:rPr>
              <w:t xml:space="preserve"> </w:t>
            </w:r>
          </w:p>
        </w:tc>
        <w:tc>
          <w:tcPr>
            <w:tcW w:w="1584" w:type="dxa"/>
            <w:tcBorders>
              <w:bottom w:val="single" w:sz="4" w:space="0" w:color="auto"/>
            </w:tcBorders>
            <w:shd w:val="clear" w:color="auto" w:fill="auto"/>
            <w:vAlign w:val="bottom"/>
          </w:tcPr>
          <w:p w14:paraId="21C2E842" w14:textId="4EC70ECE" w:rsidR="00E74A05"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497</w:t>
            </w:r>
            <w:r w:rsidR="007E0024" w:rsidRPr="002D2F67">
              <w:rPr>
                <w:rFonts w:ascii="Arial" w:hAnsi="Arial" w:cs="Arial"/>
                <w:color w:val="000000"/>
                <w:sz w:val="20"/>
                <w:szCs w:val="20"/>
              </w:rPr>
              <w:t>,</w:t>
            </w:r>
            <w:r w:rsidRPr="00CD5714">
              <w:rPr>
                <w:rFonts w:ascii="Arial" w:hAnsi="Arial" w:cs="Arial"/>
                <w:color w:val="000000"/>
                <w:sz w:val="20"/>
                <w:szCs w:val="20"/>
                <w:lang w:val="en-GB"/>
              </w:rPr>
              <w:t>933</w:t>
            </w:r>
          </w:p>
        </w:tc>
        <w:tc>
          <w:tcPr>
            <w:tcW w:w="1584" w:type="dxa"/>
            <w:tcBorders>
              <w:bottom w:val="single" w:sz="4" w:space="0" w:color="auto"/>
            </w:tcBorders>
            <w:shd w:val="clear" w:color="auto" w:fill="auto"/>
            <w:vAlign w:val="bottom"/>
          </w:tcPr>
          <w:p w14:paraId="4D54E7B2" w14:textId="08899C22" w:rsidR="00E74A05"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431</w:t>
            </w:r>
            <w:r w:rsidR="00E74A05" w:rsidRPr="002D2F67">
              <w:rPr>
                <w:rFonts w:ascii="Arial" w:hAnsi="Arial" w:cs="Arial"/>
                <w:color w:val="000000"/>
                <w:sz w:val="20"/>
                <w:szCs w:val="20"/>
              </w:rPr>
              <w:t>,</w:t>
            </w:r>
            <w:r w:rsidRPr="00CD5714">
              <w:rPr>
                <w:rFonts w:ascii="Arial" w:hAnsi="Arial" w:cs="Arial"/>
                <w:color w:val="000000"/>
                <w:sz w:val="20"/>
                <w:szCs w:val="20"/>
                <w:lang w:val="en-GB"/>
              </w:rPr>
              <w:t>007</w:t>
            </w:r>
          </w:p>
        </w:tc>
        <w:tc>
          <w:tcPr>
            <w:tcW w:w="1584" w:type="dxa"/>
            <w:tcBorders>
              <w:bottom w:val="single" w:sz="4" w:space="0" w:color="auto"/>
            </w:tcBorders>
            <w:shd w:val="clear" w:color="auto" w:fill="auto"/>
            <w:vAlign w:val="bottom"/>
          </w:tcPr>
          <w:p w14:paraId="4D496896" w14:textId="38043F83" w:rsidR="00E74A05"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173</w:t>
            </w:r>
            <w:r w:rsidR="001F0A1B" w:rsidRPr="002D2F67">
              <w:rPr>
                <w:rFonts w:ascii="Arial" w:hAnsi="Arial" w:cs="Arial"/>
                <w:color w:val="000000"/>
                <w:sz w:val="20"/>
                <w:szCs w:val="20"/>
              </w:rPr>
              <w:t>,</w:t>
            </w:r>
            <w:r w:rsidRPr="00CD5714">
              <w:rPr>
                <w:rFonts w:ascii="Arial" w:hAnsi="Arial" w:cs="Arial"/>
                <w:color w:val="000000"/>
                <w:sz w:val="20"/>
                <w:szCs w:val="20"/>
                <w:lang w:val="en-GB"/>
              </w:rPr>
              <w:t>469</w:t>
            </w:r>
          </w:p>
        </w:tc>
        <w:tc>
          <w:tcPr>
            <w:tcW w:w="1584" w:type="dxa"/>
            <w:tcBorders>
              <w:bottom w:val="single" w:sz="4" w:space="0" w:color="auto"/>
            </w:tcBorders>
            <w:shd w:val="clear" w:color="auto" w:fill="auto"/>
            <w:vAlign w:val="bottom"/>
          </w:tcPr>
          <w:p w14:paraId="143E22EE" w14:textId="3BEADF7D" w:rsidR="00E74A05"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70</w:t>
            </w:r>
            <w:r w:rsidR="00E74A05" w:rsidRPr="002D2F67">
              <w:rPr>
                <w:rFonts w:ascii="Arial" w:hAnsi="Arial" w:cs="Arial"/>
                <w:color w:val="000000"/>
                <w:sz w:val="20"/>
                <w:szCs w:val="20"/>
              </w:rPr>
              <w:t>,</w:t>
            </w:r>
            <w:r w:rsidRPr="00CD5714">
              <w:rPr>
                <w:rFonts w:ascii="Arial" w:hAnsi="Arial" w:cs="Arial"/>
                <w:color w:val="000000"/>
                <w:sz w:val="20"/>
                <w:szCs w:val="20"/>
                <w:lang w:val="en-GB"/>
              </w:rPr>
              <w:t>471</w:t>
            </w:r>
          </w:p>
        </w:tc>
      </w:tr>
      <w:tr w:rsidR="00E74A05" w:rsidRPr="002D2F67" w14:paraId="42AA2CB0" w14:textId="77777777" w:rsidTr="005611FE">
        <w:trPr>
          <w:cantSplit/>
        </w:trPr>
        <w:tc>
          <w:tcPr>
            <w:tcW w:w="3125" w:type="dxa"/>
            <w:shd w:val="clear" w:color="auto" w:fill="auto"/>
            <w:vAlign w:val="bottom"/>
          </w:tcPr>
          <w:p w14:paraId="4A22F2FD" w14:textId="77777777" w:rsidR="00E74A05" w:rsidRPr="002D2F67" w:rsidRDefault="00E74A05" w:rsidP="005611FE">
            <w:pPr>
              <w:tabs>
                <w:tab w:val="left" w:pos="6840"/>
              </w:tabs>
              <w:ind w:left="-101"/>
              <w:rPr>
                <w:rFonts w:ascii="Arial" w:hAnsi="Arial" w:cs="Arial"/>
                <w:color w:val="000000"/>
                <w:spacing w:val="-4"/>
                <w:sz w:val="20"/>
                <w:szCs w:val="20"/>
              </w:rPr>
            </w:pPr>
          </w:p>
        </w:tc>
        <w:tc>
          <w:tcPr>
            <w:tcW w:w="1584" w:type="dxa"/>
            <w:tcBorders>
              <w:top w:val="single" w:sz="4" w:space="0" w:color="auto"/>
            </w:tcBorders>
            <w:shd w:val="clear" w:color="auto" w:fill="auto"/>
            <w:vAlign w:val="bottom"/>
          </w:tcPr>
          <w:p w14:paraId="39D0C31B" w14:textId="77777777" w:rsidR="00E74A05" w:rsidRPr="002D2F67" w:rsidRDefault="00E74A05" w:rsidP="005611FE">
            <w:pPr>
              <w:tabs>
                <w:tab w:val="left" w:pos="6840"/>
              </w:tabs>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18D9AB91" w14:textId="77777777" w:rsidR="00E74A05" w:rsidRPr="002D2F67" w:rsidRDefault="00E74A05" w:rsidP="005611FE">
            <w:pPr>
              <w:tabs>
                <w:tab w:val="left" w:pos="6840"/>
              </w:tabs>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71979B76" w14:textId="77777777" w:rsidR="00E74A05" w:rsidRPr="002D2F67" w:rsidRDefault="00E74A05" w:rsidP="005611FE">
            <w:pPr>
              <w:tabs>
                <w:tab w:val="left" w:pos="6840"/>
              </w:tabs>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6033EA23" w14:textId="77777777" w:rsidR="00E74A05" w:rsidRPr="002D2F67" w:rsidRDefault="00E74A05" w:rsidP="005611FE">
            <w:pPr>
              <w:tabs>
                <w:tab w:val="left" w:pos="6840"/>
              </w:tabs>
              <w:ind w:right="-72"/>
              <w:jc w:val="right"/>
              <w:rPr>
                <w:rFonts w:ascii="Arial" w:hAnsi="Arial" w:cs="Arial"/>
                <w:color w:val="000000"/>
                <w:sz w:val="20"/>
                <w:szCs w:val="20"/>
              </w:rPr>
            </w:pPr>
          </w:p>
        </w:tc>
      </w:tr>
      <w:tr w:rsidR="00E74A05" w:rsidRPr="002D2F67" w14:paraId="3166A57E" w14:textId="77777777" w:rsidTr="005611FE">
        <w:trPr>
          <w:cantSplit/>
        </w:trPr>
        <w:tc>
          <w:tcPr>
            <w:tcW w:w="3125" w:type="dxa"/>
            <w:shd w:val="clear" w:color="auto" w:fill="auto"/>
            <w:vAlign w:val="bottom"/>
          </w:tcPr>
          <w:p w14:paraId="15812BF7" w14:textId="5164B433" w:rsidR="00E74A05" w:rsidRPr="002D2F67" w:rsidRDefault="00E74A05" w:rsidP="005611FE">
            <w:pPr>
              <w:tabs>
                <w:tab w:val="left" w:pos="6840"/>
              </w:tabs>
              <w:ind w:left="-101"/>
              <w:rPr>
                <w:rFonts w:ascii="Arial" w:hAnsi="Arial" w:cs="Arial"/>
                <w:color w:val="000000"/>
                <w:sz w:val="20"/>
                <w:szCs w:val="20"/>
                <w:cs/>
              </w:rPr>
            </w:pPr>
            <w:r w:rsidRPr="002D2F67">
              <w:rPr>
                <w:rFonts w:ascii="Arial" w:hAnsi="Arial" w:cs="Arial"/>
                <w:color w:val="000000"/>
                <w:sz w:val="20"/>
                <w:szCs w:val="20"/>
              </w:rPr>
              <w:t>Total investments in subsidiaries,</w:t>
            </w:r>
            <w:r w:rsidRPr="002D2F67">
              <w:rPr>
                <w:rFonts w:ascii="Arial" w:hAnsi="Arial" w:cs="Arial"/>
                <w:color w:val="000000"/>
                <w:sz w:val="20"/>
                <w:szCs w:val="20"/>
              </w:rPr>
              <w:br/>
              <w:t xml:space="preserve">   </w:t>
            </w:r>
            <w:r w:rsidRPr="002D2F67">
              <w:rPr>
                <w:rFonts w:ascii="Arial" w:hAnsi="Arial" w:cs="Arial"/>
                <w:color w:val="000000"/>
                <w:spacing w:val="-6"/>
                <w:sz w:val="20"/>
                <w:szCs w:val="20"/>
              </w:rPr>
              <w:t>associates and joint ventures</w:t>
            </w:r>
            <w:r w:rsidR="00297DA5" w:rsidRPr="002D2F67">
              <w:rPr>
                <w:rFonts w:ascii="Arial" w:hAnsi="Arial" w:cs="Arial"/>
                <w:color w:val="000000"/>
                <w:spacing w:val="-6"/>
                <w:sz w:val="20"/>
                <w:szCs w:val="20"/>
              </w:rPr>
              <w:t>, net</w:t>
            </w:r>
          </w:p>
        </w:tc>
        <w:tc>
          <w:tcPr>
            <w:tcW w:w="1584" w:type="dxa"/>
            <w:tcBorders>
              <w:bottom w:val="single" w:sz="4" w:space="0" w:color="auto"/>
            </w:tcBorders>
            <w:shd w:val="clear" w:color="auto" w:fill="auto"/>
            <w:vAlign w:val="bottom"/>
          </w:tcPr>
          <w:p w14:paraId="178055E9" w14:textId="4BDE806B" w:rsidR="00E74A05"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1</w:t>
            </w:r>
            <w:r w:rsidR="00234C41" w:rsidRPr="002D2F67">
              <w:rPr>
                <w:rFonts w:ascii="Arial" w:hAnsi="Arial" w:cs="Arial"/>
                <w:color w:val="000000"/>
                <w:sz w:val="20"/>
                <w:szCs w:val="20"/>
              </w:rPr>
              <w:t>,</w:t>
            </w:r>
            <w:r w:rsidRPr="00CD5714">
              <w:rPr>
                <w:rFonts w:ascii="Arial" w:hAnsi="Arial" w:cs="Arial"/>
                <w:color w:val="000000"/>
                <w:sz w:val="20"/>
                <w:szCs w:val="20"/>
                <w:lang w:val="en-GB"/>
              </w:rPr>
              <w:t>873</w:t>
            </w:r>
            <w:r w:rsidR="00234C41" w:rsidRPr="002D2F67">
              <w:rPr>
                <w:rFonts w:ascii="Arial" w:hAnsi="Arial" w:cs="Arial"/>
                <w:color w:val="000000"/>
                <w:sz w:val="20"/>
                <w:szCs w:val="20"/>
              </w:rPr>
              <w:t>,</w:t>
            </w:r>
            <w:r w:rsidRPr="00CD5714">
              <w:rPr>
                <w:rFonts w:ascii="Arial" w:hAnsi="Arial" w:cs="Arial"/>
                <w:color w:val="000000"/>
                <w:sz w:val="20"/>
                <w:szCs w:val="20"/>
                <w:lang w:val="en-GB"/>
              </w:rPr>
              <w:t>244</w:t>
            </w:r>
          </w:p>
        </w:tc>
        <w:tc>
          <w:tcPr>
            <w:tcW w:w="1584" w:type="dxa"/>
            <w:tcBorders>
              <w:bottom w:val="single" w:sz="4" w:space="0" w:color="auto"/>
            </w:tcBorders>
            <w:shd w:val="clear" w:color="auto" w:fill="auto"/>
            <w:vAlign w:val="bottom"/>
          </w:tcPr>
          <w:p w14:paraId="316C8172" w14:textId="3BE7201E" w:rsidR="00E74A05"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2</w:t>
            </w:r>
            <w:r w:rsidR="00E74A05" w:rsidRPr="002D2F67">
              <w:rPr>
                <w:rFonts w:ascii="Arial" w:hAnsi="Arial" w:cs="Arial"/>
                <w:color w:val="000000"/>
                <w:sz w:val="20"/>
                <w:szCs w:val="20"/>
              </w:rPr>
              <w:t>,</w:t>
            </w:r>
            <w:r w:rsidRPr="00CD5714">
              <w:rPr>
                <w:rFonts w:ascii="Arial" w:hAnsi="Arial" w:cs="Arial"/>
                <w:color w:val="000000"/>
                <w:sz w:val="20"/>
                <w:szCs w:val="20"/>
                <w:lang w:val="en-GB"/>
              </w:rPr>
              <w:t>299</w:t>
            </w:r>
            <w:r w:rsidR="00E74A05" w:rsidRPr="002D2F67">
              <w:rPr>
                <w:rFonts w:ascii="Arial" w:hAnsi="Arial" w:cs="Arial"/>
                <w:color w:val="000000"/>
                <w:sz w:val="20"/>
                <w:szCs w:val="20"/>
              </w:rPr>
              <w:t>,</w:t>
            </w:r>
            <w:r w:rsidRPr="00CD5714">
              <w:rPr>
                <w:rFonts w:ascii="Arial" w:hAnsi="Arial" w:cs="Arial"/>
                <w:color w:val="000000"/>
                <w:sz w:val="20"/>
                <w:szCs w:val="20"/>
                <w:lang w:val="en-GB"/>
              </w:rPr>
              <w:t>710</w:t>
            </w:r>
          </w:p>
        </w:tc>
        <w:tc>
          <w:tcPr>
            <w:tcW w:w="1584" w:type="dxa"/>
            <w:tcBorders>
              <w:bottom w:val="single" w:sz="4" w:space="0" w:color="auto"/>
            </w:tcBorders>
            <w:shd w:val="clear" w:color="auto" w:fill="auto"/>
            <w:vAlign w:val="bottom"/>
          </w:tcPr>
          <w:p w14:paraId="2AAEB5ED" w14:textId="0ED1FA02" w:rsidR="00E74A05"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27</w:t>
            </w:r>
            <w:r w:rsidR="000A629C" w:rsidRPr="002D2F67">
              <w:rPr>
                <w:rFonts w:ascii="Arial" w:hAnsi="Arial" w:cs="Arial"/>
                <w:color w:val="000000"/>
                <w:sz w:val="20"/>
                <w:szCs w:val="20"/>
              </w:rPr>
              <w:t>,</w:t>
            </w:r>
            <w:r w:rsidRPr="00CD5714">
              <w:rPr>
                <w:rFonts w:ascii="Arial" w:hAnsi="Arial" w:cs="Arial"/>
                <w:color w:val="000000"/>
                <w:sz w:val="20"/>
                <w:szCs w:val="20"/>
                <w:lang w:val="en-GB"/>
              </w:rPr>
              <w:t>559</w:t>
            </w:r>
            <w:r w:rsidR="000A629C" w:rsidRPr="002D2F67">
              <w:rPr>
                <w:rFonts w:ascii="Arial" w:hAnsi="Arial" w:cs="Arial"/>
                <w:color w:val="000000"/>
                <w:sz w:val="20"/>
                <w:szCs w:val="20"/>
              </w:rPr>
              <w:t>,</w:t>
            </w:r>
            <w:r w:rsidRPr="00CD5714">
              <w:rPr>
                <w:rFonts w:ascii="Arial" w:hAnsi="Arial" w:cs="Arial"/>
                <w:color w:val="000000"/>
                <w:sz w:val="20"/>
                <w:szCs w:val="20"/>
                <w:lang w:val="en-GB"/>
              </w:rPr>
              <w:t>736</w:t>
            </w:r>
          </w:p>
        </w:tc>
        <w:tc>
          <w:tcPr>
            <w:tcW w:w="1584" w:type="dxa"/>
            <w:tcBorders>
              <w:bottom w:val="single" w:sz="4" w:space="0" w:color="auto"/>
            </w:tcBorders>
            <w:shd w:val="clear" w:color="auto" w:fill="auto"/>
            <w:vAlign w:val="bottom"/>
          </w:tcPr>
          <w:p w14:paraId="0B8611D4" w14:textId="51CEBC4B" w:rsidR="00E74A05"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37</w:t>
            </w:r>
            <w:r w:rsidR="00E74A05" w:rsidRPr="002D2F67">
              <w:rPr>
                <w:rFonts w:ascii="Arial" w:hAnsi="Arial" w:cs="Arial"/>
                <w:color w:val="000000"/>
                <w:sz w:val="20"/>
                <w:szCs w:val="20"/>
              </w:rPr>
              <w:t>,</w:t>
            </w:r>
            <w:r w:rsidRPr="00CD5714">
              <w:rPr>
                <w:rFonts w:ascii="Arial" w:hAnsi="Arial" w:cs="Arial"/>
                <w:color w:val="000000"/>
                <w:sz w:val="20"/>
                <w:szCs w:val="20"/>
                <w:lang w:val="en-GB"/>
              </w:rPr>
              <w:t>255</w:t>
            </w:r>
            <w:r w:rsidR="00E74A05" w:rsidRPr="002D2F67">
              <w:rPr>
                <w:rFonts w:ascii="Arial" w:hAnsi="Arial" w:cs="Arial"/>
                <w:color w:val="000000"/>
                <w:sz w:val="20"/>
                <w:szCs w:val="20"/>
              </w:rPr>
              <w:t>,</w:t>
            </w:r>
            <w:r w:rsidRPr="00CD5714">
              <w:rPr>
                <w:rFonts w:ascii="Arial" w:hAnsi="Arial" w:cs="Arial"/>
                <w:color w:val="000000"/>
                <w:sz w:val="20"/>
                <w:szCs w:val="20"/>
                <w:lang w:val="en-GB"/>
              </w:rPr>
              <w:t>199</w:t>
            </w:r>
          </w:p>
        </w:tc>
      </w:tr>
    </w:tbl>
    <w:p w14:paraId="5D79AAB2" w14:textId="77777777" w:rsidR="009C50F9" w:rsidRPr="002D2F67" w:rsidRDefault="00706C8B" w:rsidP="005611FE">
      <w:pPr>
        <w:jc w:val="both"/>
        <w:rPr>
          <w:rFonts w:ascii="Arial" w:hAnsi="Arial" w:cs="Arial"/>
          <w:b/>
          <w:bCs/>
          <w:color w:val="000000"/>
          <w:sz w:val="20"/>
          <w:szCs w:val="20"/>
        </w:rPr>
      </w:pPr>
      <w:r w:rsidRPr="002D2F67">
        <w:rPr>
          <w:rFonts w:ascii="Arial" w:hAnsi="Arial" w:cs="Arial"/>
          <w:b/>
          <w:bCs/>
          <w:color w:val="000000"/>
          <w:sz w:val="20"/>
          <w:szCs w:val="20"/>
        </w:rPr>
        <w:br w:type="page"/>
      </w:r>
    </w:p>
    <w:p w14:paraId="4D52E710" w14:textId="26B41087" w:rsidR="00FF408A" w:rsidRPr="002D2F67" w:rsidRDefault="00CD5714" w:rsidP="005611FE">
      <w:pPr>
        <w:pStyle w:val="HeadSub1-5EA"/>
        <w:ind w:left="518" w:hanging="518"/>
        <w:rPr>
          <w:rFonts w:ascii="Arial" w:hAnsi="Arial" w:cs="Arial"/>
          <w:color w:val="000000"/>
          <w:sz w:val="20"/>
          <w:szCs w:val="20"/>
        </w:rPr>
      </w:pPr>
      <w:r w:rsidRPr="00CD5714">
        <w:rPr>
          <w:rFonts w:ascii="Arial" w:hAnsi="Arial" w:cs="Arial"/>
          <w:color w:val="000000"/>
          <w:sz w:val="20"/>
          <w:szCs w:val="20"/>
          <w:lang w:val="en-GB"/>
        </w:rPr>
        <w:t>19</w:t>
      </w:r>
      <w:r w:rsidR="00FF408A" w:rsidRPr="002D2F67">
        <w:rPr>
          <w:rFonts w:ascii="Arial" w:hAnsi="Arial" w:cs="Arial"/>
          <w:color w:val="000000"/>
          <w:sz w:val="20"/>
          <w:szCs w:val="20"/>
        </w:rPr>
        <w:t>.</w:t>
      </w:r>
      <w:r w:rsidRPr="00CD5714">
        <w:rPr>
          <w:rFonts w:ascii="Arial" w:hAnsi="Arial" w:cs="Arial"/>
          <w:color w:val="000000"/>
          <w:sz w:val="20"/>
          <w:szCs w:val="20"/>
          <w:lang w:val="en-GB"/>
        </w:rPr>
        <w:t>1</w:t>
      </w:r>
      <w:r w:rsidR="00FF408A" w:rsidRPr="002D2F67">
        <w:rPr>
          <w:rFonts w:ascii="Arial" w:hAnsi="Arial" w:cs="Arial"/>
          <w:color w:val="000000"/>
          <w:sz w:val="20"/>
          <w:szCs w:val="20"/>
        </w:rPr>
        <w:tab/>
      </w:r>
      <w:r w:rsidR="00FF408A" w:rsidRPr="002D2F67">
        <w:rPr>
          <w:rFonts w:ascii="Arial" w:hAnsi="Arial" w:cs="Arial"/>
          <w:color w:val="000000"/>
          <w:spacing w:val="-4"/>
          <w:sz w:val="20"/>
          <w:szCs w:val="20"/>
        </w:rPr>
        <w:t>The movement of the investments in subsidiaries, associates and joint venture</w:t>
      </w:r>
      <w:r w:rsidR="004F6681" w:rsidRPr="002D2F67">
        <w:rPr>
          <w:rFonts w:ascii="Arial" w:hAnsi="Arial" w:cs="Arial"/>
          <w:color w:val="000000"/>
          <w:spacing w:val="-4"/>
          <w:sz w:val="20"/>
          <w:szCs w:val="20"/>
        </w:rPr>
        <w:t>s</w:t>
      </w:r>
      <w:r w:rsidR="00FF408A" w:rsidRPr="002D2F67">
        <w:rPr>
          <w:rFonts w:ascii="Arial" w:hAnsi="Arial" w:cs="Arial"/>
          <w:color w:val="000000"/>
          <w:spacing w:val="-4"/>
          <w:sz w:val="20"/>
          <w:szCs w:val="20"/>
        </w:rPr>
        <w:t xml:space="preserve"> can be analysed </w:t>
      </w:r>
      <w:r w:rsidR="00F31B12" w:rsidRPr="002D2F67">
        <w:rPr>
          <w:rFonts w:ascii="Arial" w:hAnsi="Arial" w:cs="Arial"/>
          <w:color w:val="000000"/>
          <w:spacing w:val="-4"/>
          <w:sz w:val="20"/>
          <w:szCs w:val="20"/>
        </w:rPr>
        <w:t>as follows:</w:t>
      </w:r>
    </w:p>
    <w:p w14:paraId="00771C92" w14:textId="77777777" w:rsidR="00FF408A" w:rsidRPr="002D2F67" w:rsidRDefault="00FF408A" w:rsidP="005611FE">
      <w:pPr>
        <w:ind w:left="540"/>
        <w:jc w:val="thaiDistribute"/>
        <w:rPr>
          <w:rFonts w:ascii="Arial" w:hAnsi="Arial" w:cs="Arial"/>
          <w:color w:val="000000"/>
          <w:sz w:val="20"/>
          <w:szCs w:val="20"/>
        </w:rPr>
      </w:pPr>
    </w:p>
    <w:tbl>
      <w:tblPr>
        <w:tblW w:w="0" w:type="auto"/>
        <w:tblInd w:w="558" w:type="dxa"/>
        <w:tblLayout w:type="fixed"/>
        <w:tblLook w:val="00A0" w:firstRow="1" w:lastRow="0" w:firstColumn="1" w:lastColumn="0" w:noHBand="0" w:noVBand="0"/>
      </w:tblPr>
      <w:tblGrid>
        <w:gridCol w:w="5832"/>
        <w:gridCol w:w="1584"/>
        <w:gridCol w:w="1584"/>
      </w:tblGrid>
      <w:tr w:rsidR="00FF408A" w:rsidRPr="002D2F67" w14:paraId="67C6B49E" w14:textId="77777777" w:rsidTr="008255E8">
        <w:tc>
          <w:tcPr>
            <w:tcW w:w="5832" w:type="dxa"/>
            <w:shd w:val="clear" w:color="auto" w:fill="auto"/>
            <w:vAlign w:val="bottom"/>
          </w:tcPr>
          <w:p w14:paraId="748FB2A6" w14:textId="77777777" w:rsidR="00FF408A" w:rsidRPr="002D2F67" w:rsidRDefault="00FF408A" w:rsidP="00706C8B">
            <w:pPr>
              <w:tabs>
                <w:tab w:val="left" w:pos="1134"/>
                <w:tab w:val="left" w:pos="1276"/>
                <w:tab w:val="center" w:pos="3402"/>
                <w:tab w:val="center" w:pos="4536"/>
                <w:tab w:val="center" w:pos="5670"/>
                <w:tab w:val="center" w:pos="6804"/>
                <w:tab w:val="right" w:pos="7655"/>
              </w:tabs>
              <w:ind w:left="-42"/>
              <w:rPr>
                <w:rFonts w:ascii="Arial" w:hAnsi="Arial" w:cs="Arial"/>
                <w:color w:val="000000"/>
                <w:sz w:val="20"/>
                <w:szCs w:val="20"/>
              </w:rPr>
            </w:pPr>
          </w:p>
        </w:tc>
        <w:tc>
          <w:tcPr>
            <w:tcW w:w="3168" w:type="dxa"/>
            <w:gridSpan w:val="2"/>
            <w:tcBorders>
              <w:bottom w:val="single" w:sz="4" w:space="0" w:color="auto"/>
            </w:tcBorders>
            <w:shd w:val="clear" w:color="auto" w:fill="auto"/>
            <w:vAlign w:val="bottom"/>
          </w:tcPr>
          <w:p w14:paraId="47C5918D" w14:textId="77777777" w:rsidR="00B26023" w:rsidRPr="002D2F67" w:rsidRDefault="00FF408A" w:rsidP="005611FE">
            <w:pPr>
              <w:ind w:right="-72"/>
              <w:jc w:val="right"/>
              <w:rPr>
                <w:rFonts w:ascii="Arial" w:hAnsi="Arial" w:cs="Arial"/>
                <w:b/>
                <w:bCs/>
                <w:color w:val="000000"/>
                <w:sz w:val="20"/>
                <w:szCs w:val="20"/>
              </w:rPr>
            </w:pPr>
            <w:r w:rsidRPr="002D2F67">
              <w:rPr>
                <w:rFonts w:ascii="Arial" w:hAnsi="Arial" w:cs="Arial"/>
                <w:b/>
                <w:bCs/>
                <w:color w:val="000000"/>
                <w:sz w:val="20"/>
                <w:szCs w:val="20"/>
              </w:rPr>
              <w:t>Consolidated</w:t>
            </w:r>
            <w:r w:rsidR="00B26023" w:rsidRPr="002D2F67">
              <w:rPr>
                <w:rFonts w:ascii="Arial" w:hAnsi="Arial" w:cs="Arial"/>
                <w:b/>
                <w:bCs/>
                <w:color w:val="000000"/>
                <w:sz w:val="20"/>
                <w:szCs w:val="20"/>
              </w:rPr>
              <w:t xml:space="preserve"> </w:t>
            </w:r>
          </w:p>
          <w:p w14:paraId="016DAE5C" w14:textId="77777777" w:rsidR="00FF408A" w:rsidRPr="002D2F67" w:rsidRDefault="00B26023" w:rsidP="005611FE">
            <w:pPr>
              <w:ind w:right="-72"/>
              <w:jc w:val="right"/>
              <w:rPr>
                <w:rFonts w:ascii="Arial" w:hAnsi="Arial" w:cs="Arial"/>
                <w:color w:val="000000"/>
                <w:sz w:val="20"/>
                <w:szCs w:val="20"/>
              </w:rPr>
            </w:pPr>
            <w:r w:rsidRPr="002D2F67">
              <w:rPr>
                <w:rFonts w:ascii="Arial" w:hAnsi="Arial" w:cs="Arial"/>
                <w:b/>
                <w:bCs/>
                <w:color w:val="000000"/>
                <w:sz w:val="20"/>
                <w:szCs w:val="20"/>
              </w:rPr>
              <w:t>financial statements</w:t>
            </w:r>
          </w:p>
        </w:tc>
      </w:tr>
      <w:tr w:rsidR="008E366B" w:rsidRPr="002D2F67" w14:paraId="2BCF893B" w14:textId="77777777" w:rsidTr="005611FE">
        <w:tc>
          <w:tcPr>
            <w:tcW w:w="5832" w:type="dxa"/>
            <w:shd w:val="clear" w:color="auto" w:fill="auto"/>
            <w:vAlign w:val="bottom"/>
          </w:tcPr>
          <w:p w14:paraId="4D0C1041" w14:textId="19B384A5" w:rsidR="008E366B" w:rsidRPr="002D2F67" w:rsidRDefault="00717FC7" w:rsidP="00706C8B">
            <w:pPr>
              <w:tabs>
                <w:tab w:val="left" w:pos="1134"/>
                <w:tab w:val="left" w:pos="1276"/>
                <w:tab w:val="center" w:pos="3402"/>
                <w:tab w:val="center" w:pos="4536"/>
                <w:tab w:val="center" w:pos="5670"/>
                <w:tab w:val="center" w:pos="6804"/>
                <w:tab w:val="right" w:pos="7655"/>
              </w:tabs>
              <w:ind w:left="-42"/>
              <w:rPr>
                <w:rFonts w:ascii="Arial" w:hAnsi="Arial" w:cs="Arial"/>
                <w:color w:val="000000"/>
                <w:sz w:val="20"/>
                <w:szCs w:val="20"/>
              </w:rPr>
            </w:pPr>
            <w:r w:rsidRPr="002D2F67">
              <w:rPr>
                <w:rFonts w:ascii="Arial" w:hAnsi="Arial" w:cs="Arial"/>
                <w:b/>
                <w:bCs/>
                <w:color w:val="000000"/>
                <w:sz w:val="20"/>
                <w:szCs w:val="20"/>
              </w:rPr>
              <w:t xml:space="preserve">For the year ended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w:t>
            </w:r>
          </w:p>
        </w:tc>
        <w:tc>
          <w:tcPr>
            <w:tcW w:w="1584" w:type="dxa"/>
            <w:tcBorders>
              <w:top w:val="single" w:sz="4" w:space="0" w:color="auto"/>
            </w:tcBorders>
            <w:shd w:val="clear" w:color="auto" w:fill="auto"/>
            <w:vAlign w:val="bottom"/>
          </w:tcPr>
          <w:p w14:paraId="62D86068" w14:textId="59D0788D" w:rsidR="008E366B"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1584" w:type="dxa"/>
            <w:tcBorders>
              <w:top w:val="single" w:sz="4" w:space="0" w:color="auto"/>
            </w:tcBorders>
            <w:shd w:val="clear" w:color="auto" w:fill="auto"/>
            <w:vAlign w:val="bottom"/>
          </w:tcPr>
          <w:p w14:paraId="21F76AF9" w14:textId="37D9FC96" w:rsidR="008E366B"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944E46" w:rsidRPr="002D2F67" w14:paraId="24A8D40F" w14:textId="77777777" w:rsidTr="005611FE">
        <w:tc>
          <w:tcPr>
            <w:tcW w:w="5832" w:type="dxa"/>
            <w:shd w:val="clear" w:color="auto" w:fill="auto"/>
            <w:vAlign w:val="bottom"/>
          </w:tcPr>
          <w:p w14:paraId="53D06DCE" w14:textId="77777777" w:rsidR="00944E46" w:rsidRPr="002D2F67" w:rsidRDefault="00944E46" w:rsidP="00706C8B">
            <w:pPr>
              <w:tabs>
                <w:tab w:val="left" w:pos="1134"/>
                <w:tab w:val="left" w:pos="1276"/>
                <w:tab w:val="center" w:pos="3402"/>
                <w:tab w:val="center" w:pos="4536"/>
                <w:tab w:val="center" w:pos="5670"/>
                <w:tab w:val="center" w:pos="6804"/>
                <w:tab w:val="right" w:pos="7655"/>
              </w:tabs>
              <w:ind w:left="-42"/>
              <w:rPr>
                <w:rFonts w:ascii="Arial" w:hAnsi="Arial" w:cs="Arial"/>
                <w:color w:val="000000"/>
                <w:sz w:val="20"/>
                <w:szCs w:val="20"/>
              </w:rPr>
            </w:pPr>
          </w:p>
        </w:tc>
        <w:tc>
          <w:tcPr>
            <w:tcW w:w="1584" w:type="dxa"/>
            <w:tcBorders>
              <w:bottom w:val="single" w:sz="4" w:space="0" w:color="auto"/>
            </w:tcBorders>
            <w:shd w:val="clear" w:color="auto" w:fill="auto"/>
            <w:vAlign w:val="bottom"/>
          </w:tcPr>
          <w:p w14:paraId="7E115BB6" w14:textId="2A4089F4" w:rsidR="00944E46" w:rsidRPr="002D2F67" w:rsidRDefault="00D31B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584" w:type="dxa"/>
            <w:tcBorders>
              <w:bottom w:val="single" w:sz="4" w:space="0" w:color="auto"/>
            </w:tcBorders>
            <w:shd w:val="clear" w:color="auto" w:fill="auto"/>
          </w:tcPr>
          <w:p w14:paraId="7AF85A30" w14:textId="7863C9EC" w:rsidR="00944E46" w:rsidRPr="002D2F67" w:rsidRDefault="00D31B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FF408A" w:rsidRPr="002D2F67" w14:paraId="0CB9CB5B" w14:textId="77777777" w:rsidTr="005611FE">
        <w:tc>
          <w:tcPr>
            <w:tcW w:w="5832" w:type="dxa"/>
            <w:shd w:val="clear" w:color="auto" w:fill="auto"/>
            <w:vAlign w:val="bottom"/>
          </w:tcPr>
          <w:p w14:paraId="42727272" w14:textId="51DCBE6C" w:rsidR="00FF408A" w:rsidRPr="002D2F67" w:rsidRDefault="00FF408A" w:rsidP="00706C8B">
            <w:pPr>
              <w:tabs>
                <w:tab w:val="left" w:pos="1134"/>
                <w:tab w:val="left" w:pos="1276"/>
                <w:tab w:val="center" w:pos="3402"/>
                <w:tab w:val="center" w:pos="4536"/>
                <w:tab w:val="center" w:pos="5670"/>
                <w:tab w:val="center" w:pos="6804"/>
                <w:tab w:val="right" w:pos="7655"/>
              </w:tabs>
              <w:ind w:left="-42"/>
              <w:rPr>
                <w:rFonts w:ascii="Arial" w:hAnsi="Arial" w:cs="Arial"/>
                <w:b/>
                <w:bCs/>
                <w:color w:val="000000"/>
                <w:sz w:val="20"/>
                <w:szCs w:val="20"/>
              </w:rPr>
            </w:pPr>
          </w:p>
        </w:tc>
        <w:tc>
          <w:tcPr>
            <w:tcW w:w="1584" w:type="dxa"/>
            <w:shd w:val="clear" w:color="auto" w:fill="auto"/>
            <w:vAlign w:val="bottom"/>
          </w:tcPr>
          <w:p w14:paraId="3B9D4672" w14:textId="77777777" w:rsidR="00FF408A" w:rsidRPr="002D2F67" w:rsidRDefault="00FF408A" w:rsidP="005611FE">
            <w:pPr>
              <w:ind w:right="-72"/>
              <w:jc w:val="right"/>
              <w:rPr>
                <w:rFonts w:ascii="Arial" w:hAnsi="Arial" w:cs="Arial"/>
                <w:color w:val="000000"/>
                <w:sz w:val="20"/>
                <w:szCs w:val="20"/>
              </w:rPr>
            </w:pPr>
          </w:p>
        </w:tc>
        <w:tc>
          <w:tcPr>
            <w:tcW w:w="1584" w:type="dxa"/>
            <w:shd w:val="clear" w:color="auto" w:fill="auto"/>
            <w:vAlign w:val="bottom"/>
          </w:tcPr>
          <w:p w14:paraId="1BA464C0" w14:textId="77777777" w:rsidR="00FF408A" w:rsidRPr="002D2F67" w:rsidRDefault="00FF408A" w:rsidP="005611FE">
            <w:pPr>
              <w:ind w:right="-72"/>
              <w:jc w:val="right"/>
              <w:rPr>
                <w:rFonts w:ascii="Arial" w:hAnsi="Arial" w:cs="Arial"/>
                <w:color w:val="000000"/>
                <w:sz w:val="20"/>
                <w:szCs w:val="20"/>
              </w:rPr>
            </w:pPr>
          </w:p>
        </w:tc>
      </w:tr>
      <w:tr w:rsidR="00E74A05" w:rsidRPr="002D2F67" w14:paraId="542228E6" w14:textId="77777777" w:rsidTr="005611FE">
        <w:tc>
          <w:tcPr>
            <w:tcW w:w="5832" w:type="dxa"/>
            <w:shd w:val="clear" w:color="auto" w:fill="auto"/>
            <w:vAlign w:val="bottom"/>
          </w:tcPr>
          <w:p w14:paraId="4EBB1EFA" w14:textId="77777777" w:rsidR="00E74A05" w:rsidRPr="002D2F67" w:rsidRDefault="00E74A05" w:rsidP="00706C8B">
            <w:pPr>
              <w:tabs>
                <w:tab w:val="left" w:pos="1134"/>
                <w:tab w:val="left" w:pos="1276"/>
                <w:tab w:val="center" w:pos="3402"/>
                <w:tab w:val="center" w:pos="4536"/>
                <w:tab w:val="center" w:pos="5670"/>
                <w:tab w:val="center" w:pos="6804"/>
                <w:tab w:val="right" w:pos="7655"/>
              </w:tabs>
              <w:ind w:left="-42"/>
              <w:rPr>
                <w:rFonts w:ascii="Arial" w:hAnsi="Arial" w:cs="Arial"/>
                <w:color w:val="000000"/>
                <w:sz w:val="20"/>
                <w:szCs w:val="20"/>
                <w:cs/>
              </w:rPr>
            </w:pPr>
            <w:r w:rsidRPr="002D2F67">
              <w:rPr>
                <w:rFonts w:ascii="Arial" w:hAnsi="Arial" w:cs="Arial"/>
                <w:color w:val="000000"/>
                <w:sz w:val="20"/>
                <w:szCs w:val="20"/>
              </w:rPr>
              <w:t>Opening net book value</w:t>
            </w:r>
          </w:p>
        </w:tc>
        <w:tc>
          <w:tcPr>
            <w:tcW w:w="1584" w:type="dxa"/>
            <w:shd w:val="clear" w:color="auto" w:fill="auto"/>
            <w:vAlign w:val="bottom"/>
          </w:tcPr>
          <w:p w14:paraId="7BA02A25" w14:textId="57BB31CF" w:rsidR="00E74A05"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w:t>
            </w:r>
            <w:r w:rsidR="00FD1898" w:rsidRPr="002D2F67">
              <w:rPr>
                <w:rFonts w:ascii="Arial" w:hAnsi="Arial" w:cs="Arial"/>
                <w:color w:val="000000"/>
                <w:sz w:val="20"/>
                <w:szCs w:val="20"/>
              </w:rPr>
              <w:t>,</w:t>
            </w:r>
            <w:r w:rsidRPr="00CD5714">
              <w:rPr>
                <w:rFonts w:ascii="Arial" w:hAnsi="Arial" w:cs="Arial"/>
                <w:color w:val="000000"/>
                <w:sz w:val="20"/>
                <w:szCs w:val="20"/>
                <w:lang w:val="en-GB"/>
              </w:rPr>
              <w:t>299</w:t>
            </w:r>
            <w:r w:rsidR="00FD1898" w:rsidRPr="002D2F67">
              <w:rPr>
                <w:rFonts w:ascii="Arial" w:hAnsi="Arial" w:cs="Arial"/>
                <w:color w:val="000000"/>
                <w:sz w:val="20"/>
                <w:szCs w:val="20"/>
              </w:rPr>
              <w:t>,</w:t>
            </w:r>
            <w:r w:rsidRPr="00CD5714">
              <w:rPr>
                <w:rFonts w:ascii="Arial" w:hAnsi="Arial" w:cs="Arial"/>
                <w:color w:val="000000"/>
                <w:sz w:val="20"/>
                <w:szCs w:val="20"/>
                <w:lang w:val="en-GB"/>
              </w:rPr>
              <w:t>710</w:t>
            </w:r>
          </w:p>
        </w:tc>
        <w:tc>
          <w:tcPr>
            <w:tcW w:w="1584" w:type="dxa"/>
            <w:shd w:val="clear" w:color="auto" w:fill="auto"/>
            <w:vAlign w:val="bottom"/>
          </w:tcPr>
          <w:p w14:paraId="4A7DB8AA" w14:textId="2585FC09" w:rsidR="00E74A05"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8</w:t>
            </w:r>
            <w:r w:rsidR="00E74A05" w:rsidRPr="002D2F67">
              <w:rPr>
                <w:rFonts w:ascii="Arial" w:hAnsi="Arial" w:cs="Arial"/>
                <w:color w:val="000000"/>
                <w:sz w:val="20"/>
                <w:szCs w:val="20"/>
              </w:rPr>
              <w:t>,</w:t>
            </w:r>
            <w:r w:rsidRPr="00CD5714">
              <w:rPr>
                <w:rFonts w:ascii="Arial" w:hAnsi="Arial" w:cs="Arial"/>
                <w:color w:val="000000"/>
                <w:sz w:val="20"/>
                <w:szCs w:val="20"/>
                <w:lang w:val="en-GB"/>
              </w:rPr>
              <w:t>790</w:t>
            </w:r>
            <w:r w:rsidR="00E74A05" w:rsidRPr="002D2F67">
              <w:rPr>
                <w:rFonts w:ascii="Arial" w:hAnsi="Arial" w:cs="Arial"/>
                <w:color w:val="000000"/>
                <w:sz w:val="20"/>
                <w:szCs w:val="20"/>
              </w:rPr>
              <w:t>,</w:t>
            </w:r>
            <w:r w:rsidRPr="00CD5714">
              <w:rPr>
                <w:rFonts w:ascii="Arial" w:hAnsi="Arial" w:cs="Arial"/>
                <w:color w:val="000000"/>
                <w:sz w:val="20"/>
                <w:szCs w:val="20"/>
                <w:lang w:val="en-GB"/>
              </w:rPr>
              <w:t>461</w:t>
            </w:r>
          </w:p>
        </w:tc>
      </w:tr>
      <w:tr w:rsidR="00E74A05" w:rsidRPr="002D2F67" w14:paraId="38C62C53" w14:textId="77777777" w:rsidTr="005611FE">
        <w:tc>
          <w:tcPr>
            <w:tcW w:w="5832" w:type="dxa"/>
            <w:shd w:val="clear" w:color="auto" w:fill="auto"/>
            <w:vAlign w:val="bottom"/>
          </w:tcPr>
          <w:p w14:paraId="3D87E2E9" w14:textId="4FE42AEB" w:rsidR="00E74A05" w:rsidRPr="002D2F67" w:rsidRDefault="00E74A05" w:rsidP="00706C8B">
            <w:pPr>
              <w:tabs>
                <w:tab w:val="left" w:pos="1134"/>
                <w:tab w:val="left" w:pos="1276"/>
                <w:tab w:val="center" w:pos="3402"/>
                <w:tab w:val="center" w:pos="4536"/>
                <w:tab w:val="center" w:pos="5670"/>
                <w:tab w:val="center" w:pos="6804"/>
                <w:tab w:val="right" w:pos="7655"/>
              </w:tabs>
              <w:ind w:left="-42"/>
              <w:rPr>
                <w:rFonts w:ascii="Arial" w:hAnsi="Arial" w:cs="Arial"/>
                <w:color w:val="000000"/>
                <w:sz w:val="20"/>
                <w:szCs w:val="20"/>
              </w:rPr>
            </w:pPr>
            <w:r w:rsidRPr="002D2F67">
              <w:rPr>
                <w:rFonts w:ascii="Arial" w:hAnsi="Arial" w:cs="Arial"/>
                <w:color w:val="000000"/>
                <w:sz w:val="20"/>
                <w:szCs w:val="20"/>
              </w:rPr>
              <w:t>Acquisition of investments in an associate</w:t>
            </w:r>
          </w:p>
        </w:tc>
        <w:tc>
          <w:tcPr>
            <w:tcW w:w="1584" w:type="dxa"/>
            <w:shd w:val="clear" w:color="auto" w:fill="auto"/>
            <w:vAlign w:val="bottom"/>
          </w:tcPr>
          <w:p w14:paraId="2118D8F1" w14:textId="6F4E6DCD" w:rsidR="00E74A05"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407</w:t>
            </w:r>
            <w:r w:rsidR="00BF5989" w:rsidRPr="002D2F67">
              <w:rPr>
                <w:rFonts w:ascii="Arial" w:hAnsi="Arial" w:cs="Arial"/>
                <w:color w:val="000000"/>
                <w:sz w:val="20"/>
                <w:szCs w:val="20"/>
              </w:rPr>
              <w:t>,</w:t>
            </w:r>
            <w:r w:rsidRPr="00CD5714">
              <w:rPr>
                <w:rFonts w:ascii="Arial" w:hAnsi="Arial" w:cs="Arial"/>
                <w:color w:val="000000"/>
                <w:sz w:val="20"/>
                <w:szCs w:val="20"/>
                <w:lang w:val="en-GB"/>
              </w:rPr>
              <w:t>610</w:t>
            </w:r>
          </w:p>
        </w:tc>
        <w:tc>
          <w:tcPr>
            <w:tcW w:w="1584" w:type="dxa"/>
            <w:shd w:val="clear" w:color="auto" w:fill="auto"/>
            <w:vAlign w:val="bottom"/>
          </w:tcPr>
          <w:p w14:paraId="5147564A" w14:textId="0617D550" w:rsidR="00E74A05"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100</w:t>
            </w:r>
          </w:p>
        </w:tc>
      </w:tr>
      <w:tr w:rsidR="00E74A05" w:rsidRPr="002D2F67" w14:paraId="6E71F6EC" w14:textId="77777777" w:rsidTr="005611FE">
        <w:tc>
          <w:tcPr>
            <w:tcW w:w="5832" w:type="dxa"/>
            <w:shd w:val="clear" w:color="auto" w:fill="auto"/>
            <w:vAlign w:val="bottom"/>
          </w:tcPr>
          <w:p w14:paraId="259F4505" w14:textId="574EC23D" w:rsidR="00E74A05" w:rsidRPr="002D2F67" w:rsidRDefault="00E74A05" w:rsidP="00706C8B">
            <w:pPr>
              <w:tabs>
                <w:tab w:val="left" w:pos="1134"/>
                <w:tab w:val="left" w:pos="1276"/>
                <w:tab w:val="center" w:pos="3402"/>
                <w:tab w:val="center" w:pos="4536"/>
                <w:tab w:val="center" w:pos="5670"/>
                <w:tab w:val="center" w:pos="6804"/>
                <w:tab w:val="right" w:pos="7655"/>
              </w:tabs>
              <w:ind w:left="-42"/>
              <w:rPr>
                <w:rFonts w:ascii="Arial" w:hAnsi="Arial" w:cs="Arial"/>
                <w:color w:val="000000"/>
                <w:sz w:val="20"/>
                <w:szCs w:val="20"/>
              </w:rPr>
            </w:pPr>
            <w:r w:rsidRPr="002D2F67">
              <w:rPr>
                <w:rFonts w:ascii="Arial" w:hAnsi="Arial" w:cs="Arial"/>
                <w:color w:val="000000"/>
                <w:sz w:val="20"/>
                <w:szCs w:val="20"/>
              </w:rPr>
              <w:t>Acquisition of investments in joint ventures</w:t>
            </w:r>
          </w:p>
        </w:tc>
        <w:tc>
          <w:tcPr>
            <w:tcW w:w="1584" w:type="dxa"/>
            <w:shd w:val="clear" w:color="auto" w:fill="auto"/>
            <w:vAlign w:val="bottom"/>
          </w:tcPr>
          <w:p w14:paraId="6A2794A0" w14:textId="2CAE05DF" w:rsidR="00E74A05" w:rsidRPr="002D2F67" w:rsidRDefault="00BF5989"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84" w:type="dxa"/>
            <w:shd w:val="clear" w:color="auto" w:fill="auto"/>
            <w:vAlign w:val="bottom"/>
          </w:tcPr>
          <w:p w14:paraId="0B7DA6BA" w14:textId="0889AFDC" w:rsidR="00E74A05"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31</w:t>
            </w:r>
            <w:r w:rsidR="00E74A05" w:rsidRPr="002D2F67">
              <w:rPr>
                <w:rFonts w:ascii="Arial" w:hAnsi="Arial" w:cs="Arial"/>
                <w:color w:val="000000"/>
                <w:sz w:val="20"/>
                <w:szCs w:val="20"/>
              </w:rPr>
              <w:t>,</w:t>
            </w:r>
            <w:r w:rsidRPr="00CD5714">
              <w:rPr>
                <w:rFonts w:ascii="Arial" w:hAnsi="Arial" w:cs="Arial"/>
                <w:color w:val="000000"/>
                <w:sz w:val="20"/>
                <w:szCs w:val="20"/>
                <w:lang w:val="en-GB"/>
              </w:rPr>
              <w:t>430</w:t>
            </w:r>
          </w:p>
        </w:tc>
      </w:tr>
      <w:tr w:rsidR="00E74A05" w:rsidRPr="002D2F67" w14:paraId="505B5906" w14:textId="77777777" w:rsidTr="005611FE">
        <w:tc>
          <w:tcPr>
            <w:tcW w:w="5832" w:type="dxa"/>
            <w:shd w:val="clear" w:color="auto" w:fill="auto"/>
            <w:vAlign w:val="bottom"/>
          </w:tcPr>
          <w:p w14:paraId="251AB545" w14:textId="77777777" w:rsidR="00E74A05" w:rsidRPr="002D2F67" w:rsidRDefault="00E74A05" w:rsidP="00706C8B">
            <w:pPr>
              <w:tabs>
                <w:tab w:val="left" w:pos="1134"/>
                <w:tab w:val="left" w:pos="1276"/>
                <w:tab w:val="center" w:pos="3402"/>
                <w:tab w:val="center" w:pos="4536"/>
                <w:tab w:val="center" w:pos="5670"/>
                <w:tab w:val="center" w:pos="6804"/>
                <w:tab w:val="right" w:pos="7655"/>
              </w:tabs>
              <w:ind w:left="-42"/>
              <w:rPr>
                <w:rFonts w:ascii="Arial" w:hAnsi="Arial" w:cs="Arial"/>
                <w:color w:val="000000"/>
                <w:sz w:val="20"/>
                <w:szCs w:val="20"/>
              </w:rPr>
            </w:pPr>
            <w:r w:rsidRPr="002D2F67">
              <w:rPr>
                <w:rFonts w:ascii="Arial" w:hAnsi="Arial" w:cs="Arial"/>
                <w:color w:val="000000"/>
                <w:sz w:val="20"/>
                <w:szCs w:val="20"/>
              </w:rPr>
              <w:t>Calling for additional capital contributions of a joint venture</w:t>
            </w:r>
          </w:p>
        </w:tc>
        <w:tc>
          <w:tcPr>
            <w:tcW w:w="1584" w:type="dxa"/>
            <w:shd w:val="clear" w:color="auto" w:fill="auto"/>
            <w:vAlign w:val="bottom"/>
          </w:tcPr>
          <w:p w14:paraId="0CA8E386" w14:textId="3DDA259E" w:rsidR="00E74A05"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122</w:t>
            </w:r>
            <w:r w:rsidR="007E6863" w:rsidRPr="002D2F67">
              <w:rPr>
                <w:rFonts w:ascii="Arial" w:hAnsi="Arial" w:cs="Arial"/>
                <w:color w:val="000000"/>
                <w:sz w:val="20"/>
                <w:szCs w:val="20"/>
              </w:rPr>
              <w:t>,</w:t>
            </w:r>
            <w:r w:rsidRPr="00CD5714">
              <w:rPr>
                <w:rFonts w:ascii="Arial" w:hAnsi="Arial" w:cs="Arial"/>
                <w:color w:val="000000"/>
                <w:sz w:val="20"/>
                <w:szCs w:val="20"/>
                <w:lang w:val="en-GB"/>
              </w:rPr>
              <w:t>998</w:t>
            </w:r>
          </w:p>
        </w:tc>
        <w:tc>
          <w:tcPr>
            <w:tcW w:w="1584" w:type="dxa"/>
            <w:shd w:val="clear" w:color="auto" w:fill="auto"/>
            <w:vAlign w:val="bottom"/>
          </w:tcPr>
          <w:p w14:paraId="462D3BC9" w14:textId="3674168D" w:rsidR="00E74A05"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8</w:t>
            </w:r>
            <w:r w:rsidR="00E74A05" w:rsidRPr="002D2F67">
              <w:rPr>
                <w:rFonts w:ascii="Arial" w:hAnsi="Arial" w:cs="Arial"/>
                <w:color w:val="000000"/>
                <w:sz w:val="20"/>
                <w:szCs w:val="20"/>
              </w:rPr>
              <w:t>,</w:t>
            </w:r>
            <w:r w:rsidRPr="00CD5714">
              <w:rPr>
                <w:rFonts w:ascii="Arial" w:hAnsi="Arial" w:cs="Arial"/>
                <w:color w:val="000000"/>
                <w:sz w:val="20"/>
                <w:szCs w:val="20"/>
                <w:lang w:val="en-GB"/>
              </w:rPr>
              <w:t>000</w:t>
            </w:r>
          </w:p>
        </w:tc>
      </w:tr>
      <w:tr w:rsidR="00E74A05" w:rsidRPr="002D2F67" w14:paraId="661FB714" w14:textId="77777777" w:rsidTr="005611FE">
        <w:tc>
          <w:tcPr>
            <w:tcW w:w="5832" w:type="dxa"/>
            <w:shd w:val="clear" w:color="auto" w:fill="auto"/>
            <w:vAlign w:val="bottom"/>
          </w:tcPr>
          <w:p w14:paraId="4E26B6E6" w14:textId="7211972C" w:rsidR="00E74A05" w:rsidRPr="002D2F67" w:rsidRDefault="00E74A05" w:rsidP="00706C8B">
            <w:pPr>
              <w:tabs>
                <w:tab w:val="left" w:pos="1134"/>
                <w:tab w:val="left" w:pos="1276"/>
                <w:tab w:val="center" w:pos="3402"/>
                <w:tab w:val="center" w:pos="4536"/>
                <w:tab w:val="center" w:pos="5670"/>
                <w:tab w:val="center" w:pos="6804"/>
                <w:tab w:val="right" w:pos="7655"/>
              </w:tabs>
              <w:ind w:left="-42"/>
              <w:rPr>
                <w:rFonts w:ascii="Arial" w:hAnsi="Arial" w:cs="Arial"/>
                <w:color w:val="000000"/>
                <w:sz w:val="20"/>
                <w:szCs w:val="20"/>
              </w:rPr>
            </w:pPr>
            <w:r w:rsidRPr="002D2F67">
              <w:rPr>
                <w:rFonts w:ascii="Arial" w:hAnsi="Arial" w:cs="Arial"/>
                <w:color w:val="000000"/>
                <w:sz w:val="20"/>
                <w:szCs w:val="20"/>
              </w:rPr>
              <w:t>Dividend received from an associate</w:t>
            </w:r>
          </w:p>
        </w:tc>
        <w:tc>
          <w:tcPr>
            <w:tcW w:w="1584" w:type="dxa"/>
            <w:shd w:val="clear" w:color="auto" w:fill="auto"/>
            <w:vAlign w:val="bottom"/>
          </w:tcPr>
          <w:p w14:paraId="3E437025" w14:textId="1AC3BBEE" w:rsidR="00E74A05" w:rsidRPr="002D2F67" w:rsidRDefault="00C444D3"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539</w:t>
            </w:r>
            <w:r w:rsidRPr="002D2F67">
              <w:rPr>
                <w:rFonts w:ascii="Arial" w:hAnsi="Arial" w:cs="Arial"/>
                <w:color w:val="000000"/>
                <w:sz w:val="20"/>
                <w:szCs w:val="20"/>
              </w:rPr>
              <w:t>)</w:t>
            </w:r>
          </w:p>
        </w:tc>
        <w:tc>
          <w:tcPr>
            <w:tcW w:w="1584" w:type="dxa"/>
            <w:shd w:val="clear" w:color="auto" w:fill="auto"/>
            <w:vAlign w:val="bottom"/>
          </w:tcPr>
          <w:p w14:paraId="3C320612" w14:textId="1AC91CB8" w:rsidR="00E74A05" w:rsidRPr="002D2F67" w:rsidRDefault="00E74A05" w:rsidP="005611FE">
            <w:pPr>
              <w:ind w:right="-72"/>
              <w:jc w:val="right"/>
              <w:rPr>
                <w:rFonts w:ascii="Arial" w:hAnsi="Arial" w:cs="Arial"/>
                <w:color w:val="000000"/>
                <w:sz w:val="20"/>
                <w:szCs w:val="20"/>
              </w:rPr>
            </w:pPr>
            <w:r w:rsidRPr="002D2F67">
              <w:rPr>
                <w:rFonts w:ascii="Arial" w:hAnsi="Arial" w:cs="Arial"/>
                <w:color w:val="000000"/>
                <w:sz w:val="20"/>
                <w:szCs w:val="20"/>
              </w:rPr>
              <w:t>-</w:t>
            </w:r>
          </w:p>
        </w:tc>
      </w:tr>
      <w:tr w:rsidR="00E74A05" w:rsidRPr="002D2F67" w14:paraId="171723EA" w14:textId="77777777" w:rsidTr="005611FE">
        <w:tc>
          <w:tcPr>
            <w:tcW w:w="5832" w:type="dxa"/>
            <w:shd w:val="clear" w:color="auto" w:fill="auto"/>
          </w:tcPr>
          <w:p w14:paraId="23E6E5FE" w14:textId="249AF3E2" w:rsidR="00E74A05" w:rsidRPr="002D2F67" w:rsidRDefault="00E74A05" w:rsidP="00706C8B">
            <w:pPr>
              <w:tabs>
                <w:tab w:val="left" w:pos="1134"/>
                <w:tab w:val="left" w:pos="1276"/>
                <w:tab w:val="center" w:pos="3402"/>
                <w:tab w:val="center" w:pos="4536"/>
                <w:tab w:val="center" w:pos="5670"/>
                <w:tab w:val="center" w:pos="6804"/>
                <w:tab w:val="right" w:pos="7655"/>
              </w:tabs>
              <w:ind w:left="-42"/>
              <w:rPr>
                <w:rFonts w:ascii="Arial" w:hAnsi="Arial" w:cs="Arial"/>
                <w:color w:val="000000"/>
                <w:sz w:val="20"/>
                <w:szCs w:val="25"/>
              </w:rPr>
            </w:pPr>
            <w:r w:rsidRPr="002D2F67">
              <w:rPr>
                <w:rFonts w:ascii="Arial" w:hAnsi="Arial" w:cs="Arial"/>
                <w:color w:val="000000"/>
                <w:sz w:val="20"/>
                <w:szCs w:val="20"/>
              </w:rPr>
              <w:t>Disposal of</w:t>
            </w:r>
            <w:r w:rsidR="00FD1898" w:rsidRPr="002D2F67">
              <w:rPr>
                <w:rFonts w:ascii="Arial" w:hAnsi="Arial" w:cs="Arial"/>
                <w:color w:val="000000"/>
                <w:sz w:val="20"/>
                <w:szCs w:val="20"/>
              </w:rPr>
              <w:t xml:space="preserve"> an</w:t>
            </w:r>
            <w:r w:rsidRPr="002D2F67">
              <w:rPr>
                <w:rFonts w:ascii="Arial" w:hAnsi="Arial" w:cs="Arial"/>
                <w:color w:val="000000"/>
                <w:sz w:val="20"/>
                <w:szCs w:val="20"/>
              </w:rPr>
              <w:t xml:space="preserve"> investment </w:t>
            </w:r>
            <w:r w:rsidR="00FD1898" w:rsidRPr="002D2F67">
              <w:rPr>
                <w:rFonts w:ascii="Arial" w:hAnsi="Arial" w:cs="Arial"/>
                <w:color w:val="000000"/>
                <w:sz w:val="20"/>
                <w:szCs w:val="20"/>
              </w:rPr>
              <w:t>in a joint venture</w:t>
            </w:r>
          </w:p>
        </w:tc>
        <w:tc>
          <w:tcPr>
            <w:tcW w:w="1584" w:type="dxa"/>
            <w:shd w:val="clear" w:color="auto" w:fill="auto"/>
          </w:tcPr>
          <w:p w14:paraId="6C120D53" w14:textId="5CF09BD1" w:rsidR="00E74A05" w:rsidRPr="002D2F67" w:rsidRDefault="0008578E"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21</w:t>
            </w:r>
            <w:r w:rsidRPr="002D2F67">
              <w:rPr>
                <w:rFonts w:ascii="Arial" w:hAnsi="Arial" w:cs="Arial"/>
                <w:color w:val="000000"/>
                <w:sz w:val="20"/>
                <w:szCs w:val="20"/>
              </w:rPr>
              <w:t>,</w:t>
            </w:r>
            <w:r w:rsidR="00CD5714" w:rsidRPr="00CD5714">
              <w:rPr>
                <w:rFonts w:ascii="Arial" w:hAnsi="Arial" w:cs="Arial"/>
                <w:color w:val="000000"/>
                <w:sz w:val="20"/>
                <w:szCs w:val="20"/>
                <w:lang w:val="en-GB"/>
              </w:rPr>
              <w:t>841</w:t>
            </w:r>
            <w:r w:rsidRPr="002D2F67">
              <w:rPr>
                <w:rFonts w:ascii="Arial" w:hAnsi="Arial" w:cs="Arial"/>
                <w:color w:val="000000"/>
                <w:sz w:val="20"/>
                <w:szCs w:val="20"/>
              </w:rPr>
              <w:t>)</w:t>
            </w:r>
          </w:p>
        </w:tc>
        <w:tc>
          <w:tcPr>
            <w:tcW w:w="1584" w:type="dxa"/>
            <w:shd w:val="clear" w:color="auto" w:fill="auto"/>
          </w:tcPr>
          <w:p w14:paraId="0B961102" w14:textId="58050D38" w:rsidR="00E74A05" w:rsidRPr="002D2F67" w:rsidRDefault="00E74A05" w:rsidP="005611FE">
            <w:pPr>
              <w:ind w:right="-72"/>
              <w:jc w:val="right"/>
              <w:rPr>
                <w:rFonts w:ascii="Arial" w:hAnsi="Arial" w:cs="Arial"/>
                <w:color w:val="000000"/>
                <w:sz w:val="20"/>
                <w:szCs w:val="20"/>
              </w:rPr>
            </w:pPr>
            <w:r w:rsidRPr="002D2F67">
              <w:rPr>
                <w:rFonts w:ascii="Arial" w:hAnsi="Arial" w:cs="Arial"/>
                <w:color w:val="000000"/>
                <w:sz w:val="20"/>
                <w:szCs w:val="20"/>
              </w:rPr>
              <w:t>-</w:t>
            </w:r>
          </w:p>
        </w:tc>
      </w:tr>
      <w:tr w:rsidR="00E74A05" w:rsidRPr="002D2F67" w14:paraId="56B0EC33" w14:textId="77777777" w:rsidTr="005611FE">
        <w:tc>
          <w:tcPr>
            <w:tcW w:w="5832" w:type="dxa"/>
            <w:shd w:val="clear" w:color="auto" w:fill="auto"/>
            <w:vAlign w:val="bottom"/>
          </w:tcPr>
          <w:p w14:paraId="5B730E33" w14:textId="461C8311" w:rsidR="00E74A05" w:rsidRPr="002D2F67" w:rsidRDefault="00E74A05" w:rsidP="00706C8B">
            <w:pPr>
              <w:tabs>
                <w:tab w:val="left" w:pos="1134"/>
                <w:tab w:val="left" w:pos="1276"/>
                <w:tab w:val="center" w:pos="3402"/>
                <w:tab w:val="center" w:pos="4536"/>
                <w:tab w:val="center" w:pos="5670"/>
                <w:tab w:val="center" w:pos="6804"/>
                <w:tab w:val="right" w:pos="7655"/>
              </w:tabs>
              <w:ind w:left="-42"/>
              <w:rPr>
                <w:rFonts w:ascii="Arial" w:hAnsi="Arial" w:cs="Arial"/>
                <w:color w:val="000000"/>
                <w:sz w:val="20"/>
                <w:szCs w:val="20"/>
              </w:rPr>
            </w:pPr>
            <w:r w:rsidRPr="002D2F67">
              <w:rPr>
                <w:rFonts w:ascii="Arial" w:hAnsi="Arial" w:cs="Arial"/>
                <w:color w:val="000000"/>
                <w:sz w:val="20"/>
                <w:szCs w:val="20"/>
              </w:rPr>
              <w:t xml:space="preserve">Share of </w:t>
            </w:r>
            <w:r w:rsidR="00470215" w:rsidRPr="002D2F67">
              <w:rPr>
                <w:rFonts w:ascii="Arial" w:hAnsi="Arial" w:cs="Arial"/>
                <w:color w:val="000000"/>
                <w:sz w:val="20"/>
                <w:szCs w:val="25"/>
              </w:rPr>
              <w:t>profit (loss)</w:t>
            </w:r>
            <w:r w:rsidRPr="002D2F67">
              <w:rPr>
                <w:rFonts w:ascii="Arial" w:hAnsi="Arial" w:cs="Arial"/>
                <w:color w:val="000000"/>
                <w:sz w:val="20"/>
                <w:szCs w:val="20"/>
              </w:rPr>
              <w:t xml:space="preserve"> from investments in associates and </w:t>
            </w:r>
          </w:p>
          <w:p w14:paraId="67F49E41" w14:textId="65972DC2" w:rsidR="00E74A05" w:rsidRPr="002D2F67" w:rsidRDefault="00E74A05" w:rsidP="00706C8B">
            <w:pPr>
              <w:ind w:left="-42"/>
              <w:rPr>
                <w:rFonts w:ascii="Arial" w:hAnsi="Arial" w:cs="Arial"/>
                <w:color w:val="000000"/>
                <w:sz w:val="20"/>
                <w:szCs w:val="20"/>
              </w:rPr>
            </w:pPr>
            <w:r w:rsidRPr="002D2F67">
              <w:rPr>
                <w:rFonts w:ascii="Arial" w:hAnsi="Arial" w:cs="Arial"/>
                <w:color w:val="000000"/>
                <w:sz w:val="20"/>
                <w:szCs w:val="20"/>
              </w:rPr>
              <w:t xml:space="preserve">   joint ventures, net</w:t>
            </w:r>
          </w:p>
        </w:tc>
        <w:tc>
          <w:tcPr>
            <w:tcW w:w="1584" w:type="dxa"/>
            <w:shd w:val="clear" w:color="auto" w:fill="auto"/>
            <w:vAlign w:val="bottom"/>
          </w:tcPr>
          <w:p w14:paraId="2E681AC0" w14:textId="6B1364E0" w:rsidR="00E74A05" w:rsidRPr="002D2F67" w:rsidRDefault="00982A3A"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909</w:t>
            </w:r>
            <w:r w:rsidRPr="002D2F67">
              <w:rPr>
                <w:rFonts w:ascii="Arial" w:hAnsi="Arial" w:cs="Arial"/>
                <w:color w:val="000000"/>
                <w:sz w:val="20"/>
                <w:szCs w:val="20"/>
              </w:rPr>
              <w:t>,</w:t>
            </w:r>
            <w:r w:rsidR="00CD5714" w:rsidRPr="00CD5714">
              <w:rPr>
                <w:rFonts w:ascii="Arial" w:hAnsi="Arial" w:cs="Arial"/>
                <w:color w:val="000000"/>
                <w:sz w:val="20"/>
                <w:szCs w:val="20"/>
                <w:lang w:val="en-GB"/>
              </w:rPr>
              <w:t>434</w:t>
            </w:r>
            <w:r w:rsidRPr="002D2F67">
              <w:rPr>
                <w:rFonts w:ascii="Arial" w:hAnsi="Arial" w:cs="Arial"/>
                <w:color w:val="000000"/>
                <w:sz w:val="20"/>
                <w:szCs w:val="20"/>
              </w:rPr>
              <w:t>)</w:t>
            </w:r>
          </w:p>
        </w:tc>
        <w:tc>
          <w:tcPr>
            <w:tcW w:w="1584" w:type="dxa"/>
            <w:shd w:val="clear" w:color="auto" w:fill="auto"/>
            <w:vAlign w:val="bottom"/>
          </w:tcPr>
          <w:p w14:paraId="6AD70A3E" w14:textId="6253BF83" w:rsidR="00E74A05"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260</w:t>
            </w:r>
            <w:r w:rsidR="00E74A05" w:rsidRPr="002D2F67">
              <w:rPr>
                <w:rFonts w:ascii="Arial" w:hAnsi="Arial" w:cs="Arial"/>
                <w:color w:val="000000"/>
                <w:sz w:val="20"/>
                <w:szCs w:val="20"/>
              </w:rPr>
              <w:t>,</w:t>
            </w:r>
            <w:r w:rsidRPr="00CD5714">
              <w:rPr>
                <w:rFonts w:ascii="Arial" w:hAnsi="Arial" w:cs="Arial"/>
                <w:color w:val="000000"/>
                <w:sz w:val="20"/>
                <w:szCs w:val="20"/>
                <w:lang w:val="en-GB"/>
              </w:rPr>
              <w:t>298</w:t>
            </w:r>
          </w:p>
        </w:tc>
      </w:tr>
      <w:tr w:rsidR="00E74A05" w:rsidRPr="002D2F67" w14:paraId="1CCDEDEA" w14:textId="77777777" w:rsidTr="005611FE">
        <w:tc>
          <w:tcPr>
            <w:tcW w:w="5832" w:type="dxa"/>
            <w:shd w:val="clear" w:color="auto" w:fill="auto"/>
            <w:vAlign w:val="bottom"/>
          </w:tcPr>
          <w:p w14:paraId="6C1A6CE0" w14:textId="198CC623" w:rsidR="00E74A05" w:rsidRPr="002D2F67" w:rsidRDefault="00E74A05" w:rsidP="00706C8B">
            <w:pPr>
              <w:tabs>
                <w:tab w:val="left" w:pos="1134"/>
                <w:tab w:val="left" w:pos="1276"/>
                <w:tab w:val="center" w:pos="3402"/>
                <w:tab w:val="center" w:pos="4536"/>
                <w:tab w:val="center" w:pos="5670"/>
                <w:tab w:val="center" w:pos="6804"/>
                <w:tab w:val="right" w:pos="7655"/>
              </w:tabs>
              <w:ind w:left="-42"/>
              <w:rPr>
                <w:rFonts w:ascii="Arial" w:hAnsi="Arial" w:cs="Arial"/>
                <w:color w:val="000000"/>
                <w:sz w:val="20"/>
                <w:szCs w:val="20"/>
              </w:rPr>
            </w:pPr>
            <w:r w:rsidRPr="002D2F67">
              <w:rPr>
                <w:rFonts w:ascii="Arial" w:hAnsi="Arial" w:cs="Arial"/>
                <w:color w:val="000000"/>
                <w:sz w:val="20"/>
                <w:szCs w:val="20"/>
              </w:rPr>
              <w:t>Share of other comprehensive expense</w:t>
            </w:r>
          </w:p>
          <w:p w14:paraId="239FFF4F" w14:textId="59A9F558" w:rsidR="00E74A05" w:rsidRPr="002D2F67" w:rsidRDefault="00E74A05" w:rsidP="00706C8B">
            <w:pPr>
              <w:tabs>
                <w:tab w:val="left" w:pos="1134"/>
                <w:tab w:val="left" w:pos="1276"/>
                <w:tab w:val="center" w:pos="3402"/>
                <w:tab w:val="center" w:pos="4536"/>
                <w:tab w:val="center" w:pos="5670"/>
                <w:tab w:val="center" w:pos="6804"/>
                <w:tab w:val="right" w:pos="7655"/>
              </w:tabs>
              <w:ind w:left="-42"/>
              <w:rPr>
                <w:rFonts w:ascii="Arial" w:hAnsi="Arial" w:cs="Arial"/>
                <w:color w:val="000000"/>
                <w:sz w:val="20"/>
                <w:szCs w:val="20"/>
              </w:rPr>
            </w:pPr>
            <w:r w:rsidRPr="002D2F67">
              <w:rPr>
                <w:rFonts w:ascii="Arial" w:hAnsi="Arial" w:cs="Arial"/>
                <w:color w:val="000000"/>
                <w:sz w:val="20"/>
                <w:szCs w:val="20"/>
              </w:rPr>
              <w:t xml:space="preserve">   from investments in associates and joint ventures, net</w:t>
            </w:r>
          </w:p>
        </w:tc>
        <w:tc>
          <w:tcPr>
            <w:tcW w:w="1584" w:type="dxa"/>
            <w:shd w:val="clear" w:color="auto" w:fill="auto"/>
            <w:vAlign w:val="bottom"/>
          </w:tcPr>
          <w:p w14:paraId="4C122EBF" w14:textId="3413A110" w:rsidR="00E74A05" w:rsidRPr="002D2F67" w:rsidRDefault="008922C7"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8</w:t>
            </w:r>
            <w:r w:rsidRPr="002D2F67">
              <w:rPr>
                <w:rFonts w:ascii="Arial" w:hAnsi="Arial" w:cs="Arial"/>
                <w:color w:val="000000"/>
                <w:sz w:val="20"/>
                <w:szCs w:val="20"/>
              </w:rPr>
              <w:t>,</w:t>
            </w:r>
            <w:r w:rsidR="00CD5714" w:rsidRPr="00CD5714">
              <w:rPr>
                <w:rFonts w:ascii="Arial" w:hAnsi="Arial" w:cs="Arial"/>
                <w:color w:val="000000"/>
                <w:sz w:val="20"/>
                <w:szCs w:val="20"/>
                <w:lang w:val="en-GB"/>
              </w:rPr>
              <w:t>067</w:t>
            </w:r>
            <w:r w:rsidRPr="002D2F67">
              <w:rPr>
                <w:rFonts w:ascii="Arial" w:hAnsi="Arial" w:cs="Arial"/>
                <w:color w:val="000000"/>
                <w:sz w:val="20"/>
                <w:szCs w:val="20"/>
              </w:rPr>
              <w:t>)</w:t>
            </w:r>
          </w:p>
        </w:tc>
        <w:tc>
          <w:tcPr>
            <w:tcW w:w="1584" w:type="dxa"/>
            <w:shd w:val="clear" w:color="auto" w:fill="auto"/>
            <w:vAlign w:val="bottom"/>
          </w:tcPr>
          <w:p w14:paraId="7098464D" w14:textId="2F5C5D5E" w:rsidR="00E74A05" w:rsidRPr="002D2F67" w:rsidRDefault="00E74A05"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26</w:t>
            </w:r>
            <w:r w:rsidRPr="002D2F67">
              <w:rPr>
                <w:rFonts w:ascii="Arial" w:hAnsi="Arial" w:cs="Arial"/>
                <w:color w:val="000000"/>
                <w:sz w:val="20"/>
                <w:szCs w:val="20"/>
              </w:rPr>
              <w:t>,</w:t>
            </w:r>
            <w:r w:rsidR="00CD5714" w:rsidRPr="00CD5714">
              <w:rPr>
                <w:rFonts w:ascii="Arial" w:hAnsi="Arial" w:cs="Arial"/>
                <w:color w:val="000000"/>
                <w:sz w:val="20"/>
                <w:szCs w:val="20"/>
                <w:lang w:val="en-GB"/>
              </w:rPr>
              <w:t>358</w:t>
            </w:r>
            <w:r w:rsidRPr="002D2F67">
              <w:rPr>
                <w:rFonts w:ascii="Arial" w:hAnsi="Arial" w:cs="Arial"/>
                <w:color w:val="000000"/>
                <w:sz w:val="20"/>
                <w:szCs w:val="20"/>
              </w:rPr>
              <w:t>)</w:t>
            </w:r>
          </w:p>
        </w:tc>
      </w:tr>
      <w:tr w:rsidR="00E74A05" w:rsidRPr="002D2F67" w14:paraId="1E8CDF7D" w14:textId="77777777" w:rsidTr="005611FE">
        <w:tc>
          <w:tcPr>
            <w:tcW w:w="5832" w:type="dxa"/>
            <w:shd w:val="clear" w:color="auto" w:fill="auto"/>
            <w:vAlign w:val="bottom"/>
          </w:tcPr>
          <w:p w14:paraId="1C5D7CFA" w14:textId="62D95108" w:rsidR="00E74A05" w:rsidRPr="002D2F67" w:rsidRDefault="00E74A05" w:rsidP="00706C8B">
            <w:pPr>
              <w:tabs>
                <w:tab w:val="left" w:pos="1134"/>
                <w:tab w:val="left" w:pos="1276"/>
                <w:tab w:val="center" w:pos="3402"/>
                <w:tab w:val="center" w:pos="4536"/>
                <w:tab w:val="center" w:pos="5670"/>
                <w:tab w:val="center" w:pos="6804"/>
                <w:tab w:val="right" w:pos="7655"/>
              </w:tabs>
              <w:ind w:left="-42"/>
              <w:rPr>
                <w:rFonts w:ascii="Arial" w:hAnsi="Arial" w:cs="Arial"/>
                <w:color w:val="000000"/>
                <w:sz w:val="20"/>
                <w:szCs w:val="20"/>
              </w:rPr>
            </w:pPr>
            <w:r w:rsidRPr="002D2F67">
              <w:rPr>
                <w:rFonts w:ascii="Arial" w:hAnsi="Arial" w:cs="Arial"/>
                <w:color w:val="000000"/>
                <w:sz w:val="20"/>
                <w:szCs w:val="20"/>
              </w:rPr>
              <w:t>Change in shareholding interest in associates</w:t>
            </w:r>
            <w:r w:rsidR="007A291B" w:rsidRPr="002D2F67">
              <w:rPr>
                <w:rFonts w:ascii="Arial" w:hAnsi="Arial" w:cs="Arial"/>
                <w:color w:val="000000"/>
                <w:sz w:val="20"/>
                <w:szCs w:val="20"/>
                <w:cs/>
              </w:rPr>
              <w:t xml:space="preserve"> </w:t>
            </w:r>
            <w:r w:rsidR="007A291B" w:rsidRPr="002D2F67">
              <w:rPr>
                <w:rFonts w:ascii="Arial" w:hAnsi="Arial" w:cs="Arial"/>
                <w:color w:val="000000"/>
                <w:sz w:val="20"/>
                <w:szCs w:val="20"/>
              </w:rPr>
              <w:t>and</w:t>
            </w:r>
            <w:r w:rsidR="007A291B" w:rsidRPr="002D2F67">
              <w:rPr>
                <w:rFonts w:ascii="Arial" w:hAnsi="Arial" w:cs="Arial"/>
                <w:color w:val="000000"/>
                <w:sz w:val="20"/>
                <w:szCs w:val="20"/>
              </w:rPr>
              <w:br/>
              <w:t xml:space="preserve">   joint ventures</w:t>
            </w:r>
            <w:r w:rsidRPr="002D2F67">
              <w:rPr>
                <w:rFonts w:ascii="Arial" w:hAnsi="Arial" w:cs="Arial"/>
                <w:color w:val="000000"/>
                <w:sz w:val="20"/>
                <w:szCs w:val="20"/>
              </w:rPr>
              <w:t>, net</w:t>
            </w:r>
          </w:p>
        </w:tc>
        <w:tc>
          <w:tcPr>
            <w:tcW w:w="1584" w:type="dxa"/>
            <w:shd w:val="clear" w:color="auto" w:fill="auto"/>
            <w:vAlign w:val="bottom"/>
          </w:tcPr>
          <w:p w14:paraId="49903865" w14:textId="549069DC" w:rsidR="00E74A05" w:rsidRPr="002D2F67" w:rsidRDefault="00612CFB"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14</w:t>
            </w:r>
            <w:r w:rsidRPr="002D2F67">
              <w:rPr>
                <w:rFonts w:ascii="Arial" w:hAnsi="Arial" w:cs="Arial"/>
                <w:color w:val="000000"/>
                <w:sz w:val="20"/>
                <w:szCs w:val="20"/>
              </w:rPr>
              <w:t>,</w:t>
            </w:r>
            <w:r w:rsidR="00CD5714" w:rsidRPr="00CD5714">
              <w:rPr>
                <w:rFonts w:ascii="Arial" w:hAnsi="Arial" w:cs="Arial"/>
                <w:color w:val="000000"/>
                <w:sz w:val="20"/>
                <w:szCs w:val="20"/>
                <w:lang w:val="en-GB"/>
              </w:rPr>
              <w:t>985</w:t>
            </w:r>
            <w:r w:rsidRPr="002D2F67">
              <w:rPr>
                <w:rFonts w:ascii="Arial" w:hAnsi="Arial" w:cs="Arial"/>
                <w:color w:val="000000"/>
                <w:sz w:val="20"/>
                <w:szCs w:val="20"/>
              </w:rPr>
              <w:t>)</w:t>
            </w:r>
          </w:p>
        </w:tc>
        <w:tc>
          <w:tcPr>
            <w:tcW w:w="1584" w:type="dxa"/>
            <w:shd w:val="clear" w:color="auto" w:fill="auto"/>
            <w:vAlign w:val="bottom"/>
          </w:tcPr>
          <w:p w14:paraId="3CD04FA9" w14:textId="37334C5C" w:rsidR="00E74A05" w:rsidRPr="002D2F67" w:rsidRDefault="00E74A05"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671</w:t>
            </w:r>
            <w:r w:rsidRPr="002D2F67">
              <w:rPr>
                <w:rFonts w:ascii="Arial" w:hAnsi="Arial" w:cs="Arial"/>
                <w:color w:val="000000"/>
                <w:sz w:val="20"/>
                <w:szCs w:val="20"/>
              </w:rPr>
              <w:t>,</w:t>
            </w:r>
            <w:r w:rsidR="00CD5714" w:rsidRPr="00CD5714">
              <w:rPr>
                <w:rFonts w:ascii="Arial" w:hAnsi="Arial" w:cs="Arial"/>
                <w:color w:val="000000"/>
                <w:sz w:val="20"/>
                <w:szCs w:val="20"/>
                <w:lang w:val="en-GB"/>
              </w:rPr>
              <w:t>077</w:t>
            </w:r>
            <w:r w:rsidRPr="002D2F67">
              <w:rPr>
                <w:rFonts w:ascii="Arial" w:hAnsi="Arial" w:cs="Arial"/>
                <w:color w:val="000000"/>
                <w:sz w:val="20"/>
                <w:szCs w:val="20"/>
              </w:rPr>
              <w:t>)</w:t>
            </w:r>
          </w:p>
        </w:tc>
      </w:tr>
      <w:tr w:rsidR="00E74A05" w:rsidRPr="002D2F67" w14:paraId="358BC42B" w14:textId="77777777" w:rsidTr="005611FE">
        <w:tc>
          <w:tcPr>
            <w:tcW w:w="5832" w:type="dxa"/>
            <w:shd w:val="clear" w:color="auto" w:fill="auto"/>
            <w:vAlign w:val="bottom"/>
          </w:tcPr>
          <w:p w14:paraId="3A820554" w14:textId="2400F038" w:rsidR="00E74A05" w:rsidRPr="002D2F67" w:rsidRDefault="00E74A05" w:rsidP="00706C8B">
            <w:pPr>
              <w:tabs>
                <w:tab w:val="left" w:pos="1134"/>
                <w:tab w:val="left" w:pos="1276"/>
                <w:tab w:val="center" w:pos="3402"/>
                <w:tab w:val="center" w:pos="4536"/>
                <w:tab w:val="center" w:pos="5670"/>
                <w:tab w:val="center" w:pos="6804"/>
                <w:tab w:val="right" w:pos="7655"/>
              </w:tabs>
              <w:ind w:left="-42"/>
              <w:rPr>
                <w:rFonts w:ascii="Arial" w:hAnsi="Arial" w:cs="Arial"/>
                <w:color w:val="000000"/>
                <w:sz w:val="20"/>
                <w:szCs w:val="20"/>
              </w:rPr>
            </w:pPr>
            <w:r w:rsidRPr="002D2F67">
              <w:rPr>
                <w:rFonts w:ascii="Arial" w:hAnsi="Arial" w:cs="Arial"/>
                <w:color w:val="000000"/>
                <w:sz w:val="20"/>
                <w:szCs w:val="20"/>
              </w:rPr>
              <w:t>Reclassification</w:t>
            </w:r>
          </w:p>
        </w:tc>
        <w:tc>
          <w:tcPr>
            <w:tcW w:w="1584" w:type="dxa"/>
            <w:shd w:val="clear" w:color="auto" w:fill="auto"/>
            <w:vAlign w:val="bottom"/>
          </w:tcPr>
          <w:p w14:paraId="29134434" w14:textId="0753675A" w:rsidR="00E74A05" w:rsidRPr="002D2F67" w:rsidRDefault="002B0C1C"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84" w:type="dxa"/>
            <w:shd w:val="clear" w:color="auto" w:fill="auto"/>
            <w:vAlign w:val="bottom"/>
          </w:tcPr>
          <w:p w14:paraId="632C4CD0" w14:textId="2368B53F" w:rsidR="00E74A05" w:rsidRPr="002D2F67" w:rsidRDefault="00E74A05"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6</w:t>
            </w:r>
            <w:r w:rsidRPr="002D2F67">
              <w:rPr>
                <w:rFonts w:ascii="Arial" w:hAnsi="Arial" w:cs="Arial"/>
                <w:color w:val="000000"/>
                <w:sz w:val="20"/>
                <w:szCs w:val="20"/>
              </w:rPr>
              <w:t>,</w:t>
            </w:r>
            <w:r w:rsidR="00CD5714" w:rsidRPr="00CD5714">
              <w:rPr>
                <w:rFonts w:ascii="Arial" w:hAnsi="Arial" w:cs="Arial"/>
                <w:color w:val="000000"/>
                <w:sz w:val="20"/>
                <w:szCs w:val="20"/>
                <w:lang w:val="en-GB"/>
              </w:rPr>
              <w:t>092</w:t>
            </w:r>
            <w:r w:rsidRPr="002D2F67">
              <w:rPr>
                <w:rFonts w:ascii="Arial" w:hAnsi="Arial" w:cs="Arial"/>
                <w:color w:val="000000"/>
                <w:sz w:val="20"/>
                <w:szCs w:val="20"/>
              </w:rPr>
              <w:t>,</w:t>
            </w:r>
            <w:r w:rsidR="00CD5714" w:rsidRPr="00CD5714">
              <w:rPr>
                <w:rFonts w:ascii="Arial" w:hAnsi="Arial" w:cs="Arial"/>
                <w:color w:val="000000"/>
                <w:sz w:val="20"/>
                <w:szCs w:val="20"/>
                <w:lang w:val="en-GB"/>
              </w:rPr>
              <w:t>607</w:t>
            </w:r>
            <w:r w:rsidRPr="002D2F67">
              <w:rPr>
                <w:rFonts w:ascii="Arial" w:hAnsi="Arial" w:cs="Arial"/>
                <w:color w:val="000000"/>
                <w:sz w:val="20"/>
                <w:szCs w:val="20"/>
              </w:rPr>
              <w:t>)</w:t>
            </w:r>
          </w:p>
        </w:tc>
      </w:tr>
      <w:tr w:rsidR="00E74A05" w:rsidRPr="002D2F67" w14:paraId="1129E001" w14:textId="77777777" w:rsidTr="005611FE">
        <w:tc>
          <w:tcPr>
            <w:tcW w:w="5832" w:type="dxa"/>
            <w:shd w:val="clear" w:color="auto" w:fill="auto"/>
            <w:vAlign w:val="bottom"/>
          </w:tcPr>
          <w:p w14:paraId="4DF18215" w14:textId="77777777" w:rsidR="00E74A05" w:rsidRPr="002D2F67" w:rsidRDefault="00E74A05" w:rsidP="00706C8B">
            <w:pPr>
              <w:tabs>
                <w:tab w:val="left" w:pos="1134"/>
                <w:tab w:val="left" w:pos="1276"/>
                <w:tab w:val="center" w:pos="3402"/>
                <w:tab w:val="center" w:pos="4536"/>
                <w:tab w:val="center" w:pos="5670"/>
                <w:tab w:val="center" w:pos="6804"/>
                <w:tab w:val="right" w:pos="7655"/>
              </w:tabs>
              <w:ind w:left="-42"/>
              <w:rPr>
                <w:rFonts w:ascii="Arial" w:hAnsi="Arial" w:cs="Arial"/>
                <w:color w:val="000000"/>
                <w:sz w:val="20"/>
                <w:szCs w:val="20"/>
              </w:rPr>
            </w:pPr>
            <w:r w:rsidRPr="002D2F67">
              <w:rPr>
                <w:rFonts w:ascii="Arial" w:hAnsi="Arial" w:cs="Arial"/>
                <w:color w:val="000000"/>
                <w:sz w:val="20"/>
                <w:szCs w:val="20"/>
              </w:rPr>
              <w:t>Currency translation differences</w:t>
            </w:r>
          </w:p>
        </w:tc>
        <w:tc>
          <w:tcPr>
            <w:tcW w:w="1584" w:type="dxa"/>
            <w:tcBorders>
              <w:bottom w:val="single" w:sz="4" w:space="0" w:color="auto"/>
            </w:tcBorders>
            <w:shd w:val="clear" w:color="auto" w:fill="auto"/>
            <w:vAlign w:val="bottom"/>
          </w:tcPr>
          <w:p w14:paraId="45183F03" w14:textId="23F08BCA" w:rsidR="00E74A05" w:rsidRPr="002D2F67" w:rsidRDefault="002B0C1C"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2</w:t>
            </w:r>
            <w:r w:rsidRPr="002D2F67">
              <w:rPr>
                <w:rFonts w:ascii="Arial" w:hAnsi="Arial" w:cs="Arial"/>
                <w:color w:val="000000"/>
                <w:sz w:val="20"/>
                <w:szCs w:val="20"/>
              </w:rPr>
              <w:t>,</w:t>
            </w:r>
            <w:r w:rsidR="00CD5714" w:rsidRPr="00CD5714">
              <w:rPr>
                <w:rFonts w:ascii="Arial" w:hAnsi="Arial" w:cs="Arial"/>
                <w:color w:val="000000"/>
                <w:sz w:val="20"/>
                <w:szCs w:val="20"/>
                <w:lang w:val="en-GB"/>
              </w:rPr>
              <w:t>208</w:t>
            </w:r>
            <w:r w:rsidRPr="002D2F67">
              <w:rPr>
                <w:rFonts w:ascii="Arial" w:hAnsi="Arial" w:cs="Arial"/>
                <w:color w:val="000000"/>
                <w:sz w:val="20"/>
                <w:szCs w:val="20"/>
              </w:rPr>
              <w:t>)</w:t>
            </w:r>
          </w:p>
        </w:tc>
        <w:tc>
          <w:tcPr>
            <w:tcW w:w="1584" w:type="dxa"/>
            <w:tcBorders>
              <w:bottom w:val="single" w:sz="4" w:space="0" w:color="auto"/>
            </w:tcBorders>
            <w:shd w:val="clear" w:color="auto" w:fill="auto"/>
            <w:vAlign w:val="bottom"/>
          </w:tcPr>
          <w:p w14:paraId="4E3638B2" w14:textId="26959996" w:rsidR="00E74A05" w:rsidRPr="002D2F67" w:rsidRDefault="00E74A05"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537</w:t>
            </w:r>
            <w:r w:rsidRPr="002D2F67">
              <w:rPr>
                <w:rFonts w:ascii="Arial" w:hAnsi="Arial" w:cs="Arial"/>
                <w:color w:val="000000"/>
                <w:sz w:val="20"/>
                <w:szCs w:val="20"/>
              </w:rPr>
              <w:t>)</w:t>
            </w:r>
          </w:p>
        </w:tc>
      </w:tr>
      <w:tr w:rsidR="00E74A05" w:rsidRPr="002D2F67" w14:paraId="2939B065" w14:textId="77777777" w:rsidTr="005611FE">
        <w:tc>
          <w:tcPr>
            <w:tcW w:w="5832" w:type="dxa"/>
            <w:shd w:val="clear" w:color="auto" w:fill="auto"/>
            <w:vAlign w:val="bottom"/>
          </w:tcPr>
          <w:p w14:paraId="0E8349F4" w14:textId="77777777" w:rsidR="00E74A05" w:rsidRPr="002D2F67" w:rsidRDefault="00E74A05" w:rsidP="00706C8B">
            <w:pPr>
              <w:pStyle w:val="Header"/>
              <w:tabs>
                <w:tab w:val="left" w:pos="1134"/>
                <w:tab w:val="left" w:pos="1276"/>
                <w:tab w:val="center" w:pos="3402"/>
                <w:tab w:val="center" w:pos="4536"/>
                <w:tab w:val="center" w:pos="5670"/>
                <w:tab w:val="center" w:pos="6804"/>
                <w:tab w:val="right" w:pos="7655"/>
              </w:tabs>
              <w:ind w:left="-42"/>
              <w:rPr>
                <w:rFonts w:ascii="Arial" w:hAnsi="Arial" w:cs="Arial"/>
                <w:b/>
                <w:bCs/>
                <w:color w:val="000000"/>
                <w:sz w:val="20"/>
                <w:szCs w:val="20"/>
              </w:rPr>
            </w:pPr>
          </w:p>
        </w:tc>
        <w:tc>
          <w:tcPr>
            <w:tcW w:w="1584" w:type="dxa"/>
            <w:tcBorders>
              <w:top w:val="single" w:sz="4" w:space="0" w:color="auto"/>
            </w:tcBorders>
            <w:shd w:val="clear" w:color="auto" w:fill="auto"/>
            <w:vAlign w:val="bottom"/>
          </w:tcPr>
          <w:p w14:paraId="5DB8C2F9" w14:textId="77777777" w:rsidR="00E74A05" w:rsidRPr="002D2F67" w:rsidRDefault="00E74A05"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141CA02E" w14:textId="77777777" w:rsidR="00E74A05" w:rsidRPr="002D2F67" w:rsidRDefault="00E74A05"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E74A05" w:rsidRPr="002D2F67" w14:paraId="6E377F82" w14:textId="77777777" w:rsidTr="005611FE">
        <w:trPr>
          <w:trHeight w:val="105"/>
        </w:trPr>
        <w:tc>
          <w:tcPr>
            <w:tcW w:w="5832" w:type="dxa"/>
            <w:shd w:val="clear" w:color="auto" w:fill="auto"/>
            <w:vAlign w:val="bottom"/>
          </w:tcPr>
          <w:p w14:paraId="2530E890" w14:textId="77777777" w:rsidR="00E74A05" w:rsidRPr="002D2F67" w:rsidRDefault="00E74A05" w:rsidP="00706C8B">
            <w:pPr>
              <w:tabs>
                <w:tab w:val="left" w:pos="1134"/>
                <w:tab w:val="left" w:pos="1276"/>
                <w:tab w:val="center" w:pos="3402"/>
                <w:tab w:val="center" w:pos="4536"/>
                <w:tab w:val="center" w:pos="5670"/>
                <w:tab w:val="center" w:pos="6804"/>
                <w:tab w:val="right" w:pos="7655"/>
              </w:tabs>
              <w:ind w:left="-42"/>
              <w:rPr>
                <w:rFonts w:ascii="Arial" w:hAnsi="Arial" w:cs="Arial"/>
                <w:color w:val="000000"/>
                <w:sz w:val="20"/>
                <w:szCs w:val="20"/>
              </w:rPr>
            </w:pPr>
            <w:r w:rsidRPr="002D2F67">
              <w:rPr>
                <w:rFonts w:ascii="Arial" w:hAnsi="Arial" w:cs="Arial"/>
                <w:color w:val="000000"/>
                <w:sz w:val="20"/>
                <w:szCs w:val="20"/>
              </w:rPr>
              <w:t>Closing net book value</w:t>
            </w:r>
          </w:p>
        </w:tc>
        <w:tc>
          <w:tcPr>
            <w:tcW w:w="1584" w:type="dxa"/>
            <w:tcBorders>
              <w:bottom w:val="single" w:sz="4" w:space="0" w:color="auto"/>
            </w:tcBorders>
            <w:shd w:val="clear" w:color="auto" w:fill="auto"/>
          </w:tcPr>
          <w:p w14:paraId="605695EE" w14:textId="5E1BC455" w:rsidR="00E74A05"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F730FD" w:rsidRPr="002D2F67">
              <w:rPr>
                <w:rFonts w:ascii="Arial" w:hAnsi="Arial" w:cs="Arial"/>
                <w:color w:val="000000"/>
                <w:sz w:val="20"/>
                <w:szCs w:val="20"/>
              </w:rPr>
              <w:t>,</w:t>
            </w:r>
            <w:r w:rsidRPr="00CD5714">
              <w:rPr>
                <w:rFonts w:ascii="Arial" w:hAnsi="Arial" w:cs="Arial"/>
                <w:color w:val="000000"/>
                <w:sz w:val="20"/>
                <w:szCs w:val="20"/>
                <w:lang w:val="en-GB"/>
              </w:rPr>
              <w:t>873</w:t>
            </w:r>
            <w:r w:rsidR="00F730FD" w:rsidRPr="002D2F67">
              <w:rPr>
                <w:rFonts w:ascii="Arial" w:hAnsi="Arial" w:cs="Arial"/>
                <w:color w:val="000000"/>
                <w:sz w:val="20"/>
                <w:szCs w:val="20"/>
              </w:rPr>
              <w:t>,</w:t>
            </w:r>
            <w:r w:rsidRPr="00CD5714">
              <w:rPr>
                <w:rFonts w:ascii="Arial" w:hAnsi="Arial" w:cs="Arial"/>
                <w:color w:val="000000"/>
                <w:sz w:val="20"/>
                <w:szCs w:val="20"/>
                <w:lang w:val="en-GB"/>
              </w:rPr>
              <w:t>244</w:t>
            </w:r>
          </w:p>
        </w:tc>
        <w:tc>
          <w:tcPr>
            <w:tcW w:w="1584" w:type="dxa"/>
            <w:tcBorders>
              <w:bottom w:val="single" w:sz="4" w:space="0" w:color="auto"/>
            </w:tcBorders>
            <w:shd w:val="clear" w:color="auto" w:fill="auto"/>
          </w:tcPr>
          <w:p w14:paraId="74C2BF72" w14:textId="0A4BA399" w:rsidR="00E74A05"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w:t>
            </w:r>
            <w:r w:rsidR="00E74A05" w:rsidRPr="002D2F67">
              <w:rPr>
                <w:rFonts w:ascii="Arial" w:hAnsi="Arial" w:cs="Arial"/>
                <w:color w:val="000000"/>
                <w:sz w:val="20"/>
                <w:szCs w:val="20"/>
              </w:rPr>
              <w:t>,</w:t>
            </w:r>
            <w:r w:rsidRPr="00CD5714">
              <w:rPr>
                <w:rFonts w:ascii="Arial" w:hAnsi="Arial" w:cs="Arial"/>
                <w:color w:val="000000"/>
                <w:sz w:val="20"/>
                <w:szCs w:val="20"/>
                <w:lang w:val="en-GB"/>
              </w:rPr>
              <w:t>299</w:t>
            </w:r>
            <w:r w:rsidR="00E74A05" w:rsidRPr="002D2F67">
              <w:rPr>
                <w:rFonts w:ascii="Arial" w:hAnsi="Arial" w:cs="Arial"/>
                <w:color w:val="000000"/>
                <w:sz w:val="20"/>
                <w:szCs w:val="20"/>
              </w:rPr>
              <w:t>,</w:t>
            </w:r>
            <w:r w:rsidRPr="00CD5714">
              <w:rPr>
                <w:rFonts w:ascii="Arial" w:hAnsi="Arial" w:cs="Arial"/>
                <w:color w:val="000000"/>
                <w:sz w:val="20"/>
                <w:szCs w:val="20"/>
                <w:lang w:val="en-GB"/>
              </w:rPr>
              <w:t>710</w:t>
            </w:r>
          </w:p>
        </w:tc>
      </w:tr>
    </w:tbl>
    <w:p w14:paraId="62238B3F" w14:textId="3E7EF615" w:rsidR="00BC4ABF" w:rsidRPr="002D2F67" w:rsidRDefault="00BC4ABF" w:rsidP="005611FE">
      <w:pPr>
        <w:ind w:left="540"/>
        <w:jc w:val="thaiDistribute"/>
        <w:rPr>
          <w:rFonts w:ascii="Arial" w:hAnsi="Arial" w:cs="Arial"/>
          <w:color w:val="000000"/>
          <w:sz w:val="20"/>
          <w:szCs w:val="20"/>
        </w:rPr>
      </w:pPr>
    </w:p>
    <w:tbl>
      <w:tblPr>
        <w:tblW w:w="0" w:type="auto"/>
        <w:tblInd w:w="558" w:type="dxa"/>
        <w:tblLayout w:type="fixed"/>
        <w:tblLook w:val="00A0" w:firstRow="1" w:lastRow="0" w:firstColumn="1" w:lastColumn="0" w:noHBand="0" w:noVBand="0"/>
      </w:tblPr>
      <w:tblGrid>
        <w:gridCol w:w="5832"/>
        <w:gridCol w:w="1584"/>
        <w:gridCol w:w="1584"/>
      </w:tblGrid>
      <w:tr w:rsidR="00FF408A" w:rsidRPr="002D2F67" w14:paraId="4B5BDA3E" w14:textId="77777777" w:rsidTr="008255E8">
        <w:tc>
          <w:tcPr>
            <w:tcW w:w="5832" w:type="dxa"/>
            <w:shd w:val="clear" w:color="auto" w:fill="auto"/>
          </w:tcPr>
          <w:p w14:paraId="08A1D4D2" w14:textId="77777777" w:rsidR="00FF408A" w:rsidRPr="002D2F67" w:rsidRDefault="00FF408A" w:rsidP="00706C8B">
            <w:pPr>
              <w:tabs>
                <w:tab w:val="left" w:pos="1134"/>
                <w:tab w:val="left" w:pos="1276"/>
                <w:tab w:val="center" w:pos="3402"/>
                <w:tab w:val="center" w:pos="4536"/>
                <w:tab w:val="center" w:pos="5670"/>
                <w:tab w:val="center" w:pos="6804"/>
                <w:tab w:val="right" w:pos="7655"/>
              </w:tabs>
              <w:ind w:left="-60"/>
              <w:rPr>
                <w:rFonts w:ascii="Arial" w:hAnsi="Arial" w:cs="Arial"/>
                <w:color w:val="000000"/>
                <w:sz w:val="20"/>
                <w:szCs w:val="20"/>
              </w:rPr>
            </w:pPr>
          </w:p>
        </w:tc>
        <w:tc>
          <w:tcPr>
            <w:tcW w:w="3168" w:type="dxa"/>
            <w:gridSpan w:val="2"/>
            <w:tcBorders>
              <w:bottom w:val="single" w:sz="4" w:space="0" w:color="auto"/>
            </w:tcBorders>
            <w:shd w:val="clear" w:color="auto" w:fill="auto"/>
          </w:tcPr>
          <w:p w14:paraId="436E231A" w14:textId="77777777" w:rsidR="00B26023" w:rsidRPr="002D2F67" w:rsidRDefault="00FF408A" w:rsidP="005611FE">
            <w:pPr>
              <w:ind w:right="-72"/>
              <w:jc w:val="right"/>
              <w:rPr>
                <w:rFonts w:ascii="Arial" w:hAnsi="Arial" w:cs="Arial"/>
                <w:b/>
                <w:bCs/>
                <w:color w:val="000000"/>
                <w:sz w:val="20"/>
                <w:szCs w:val="20"/>
              </w:rPr>
            </w:pPr>
            <w:r w:rsidRPr="002D2F67">
              <w:rPr>
                <w:rFonts w:ascii="Arial" w:hAnsi="Arial" w:cs="Arial"/>
                <w:b/>
                <w:bCs/>
                <w:color w:val="000000"/>
                <w:sz w:val="20"/>
                <w:szCs w:val="20"/>
              </w:rPr>
              <w:t>Separate</w:t>
            </w:r>
            <w:r w:rsidR="00B26023" w:rsidRPr="002D2F67">
              <w:rPr>
                <w:rFonts w:ascii="Arial" w:hAnsi="Arial" w:cs="Arial"/>
                <w:b/>
                <w:bCs/>
                <w:color w:val="000000"/>
                <w:sz w:val="20"/>
                <w:szCs w:val="20"/>
              </w:rPr>
              <w:t xml:space="preserve"> </w:t>
            </w:r>
          </w:p>
          <w:p w14:paraId="734579BA" w14:textId="77777777" w:rsidR="00FF408A" w:rsidRPr="002D2F67" w:rsidRDefault="00B26023" w:rsidP="005611FE">
            <w:pPr>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8E366B" w:rsidRPr="002D2F67" w14:paraId="08861849" w14:textId="77777777" w:rsidTr="005611FE">
        <w:tc>
          <w:tcPr>
            <w:tcW w:w="5832" w:type="dxa"/>
            <w:shd w:val="clear" w:color="auto" w:fill="auto"/>
          </w:tcPr>
          <w:p w14:paraId="1DD0582A" w14:textId="2DC454C1" w:rsidR="008E366B" w:rsidRPr="002D2F67" w:rsidRDefault="00717FC7" w:rsidP="00706C8B">
            <w:pPr>
              <w:tabs>
                <w:tab w:val="left" w:pos="1134"/>
                <w:tab w:val="left" w:pos="1276"/>
                <w:tab w:val="center" w:pos="3402"/>
                <w:tab w:val="center" w:pos="4536"/>
                <w:tab w:val="center" w:pos="5670"/>
                <w:tab w:val="center" w:pos="6804"/>
                <w:tab w:val="right" w:pos="7655"/>
              </w:tabs>
              <w:ind w:left="-60"/>
              <w:rPr>
                <w:rFonts w:ascii="Arial" w:hAnsi="Arial" w:cs="Arial"/>
                <w:color w:val="000000"/>
                <w:sz w:val="20"/>
                <w:szCs w:val="20"/>
              </w:rPr>
            </w:pPr>
            <w:r w:rsidRPr="002D2F67">
              <w:rPr>
                <w:rFonts w:ascii="Arial" w:hAnsi="Arial" w:cs="Arial"/>
                <w:b/>
                <w:bCs/>
                <w:color w:val="000000"/>
                <w:sz w:val="20"/>
                <w:szCs w:val="20"/>
              </w:rPr>
              <w:t xml:space="preserve">For the year ended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w:t>
            </w:r>
          </w:p>
        </w:tc>
        <w:tc>
          <w:tcPr>
            <w:tcW w:w="1584" w:type="dxa"/>
            <w:tcBorders>
              <w:top w:val="single" w:sz="4" w:space="0" w:color="auto"/>
            </w:tcBorders>
            <w:shd w:val="clear" w:color="auto" w:fill="auto"/>
            <w:vAlign w:val="bottom"/>
          </w:tcPr>
          <w:p w14:paraId="5CD2FC5A" w14:textId="2DEFC10B" w:rsidR="008E366B"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1584" w:type="dxa"/>
            <w:tcBorders>
              <w:top w:val="single" w:sz="4" w:space="0" w:color="auto"/>
            </w:tcBorders>
            <w:shd w:val="clear" w:color="auto" w:fill="auto"/>
            <w:vAlign w:val="bottom"/>
          </w:tcPr>
          <w:p w14:paraId="2527F245" w14:textId="35BB15DF" w:rsidR="008E366B"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BC4ABF" w:rsidRPr="002D2F67" w14:paraId="33A62C31" w14:textId="77777777" w:rsidTr="005611FE">
        <w:tc>
          <w:tcPr>
            <w:tcW w:w="5832" w:type="dxa"/>
            <w:shd w:val="clear" w:color="auto" w:fill="auto"/>
          </w:tcPr>
          <w:p w14:paraId="1B5E6C7B" w14:textId="77777777" w:rsidR="00BC4ABF" w:rsidRPr="002D2F67" w:rsidRDefault="00BC4ABF" w:rsidP="00706C8B">
            <w:pPr>
              <w:tabs>
                <w:tab w:val="left" w:pos="1134"/>
                <w:tab w:val="left" w:pos="1276"/>
                <w:tab w:val="center" w:pos="3402"/>
                <w:tab w:val="center" w:pos="4536"/>
                <w:tab w:val="center" w:pos="5670"/>
                <w:tab w:val="center" w:pos="6804"/>
                <w:tab w:val="right" w:pos="7655"/>
              </w:tabs>
              <w:ind w:left="-60"/>
              <w:rPr>
                <w:rFonts w:ascii="Arial" w:hAnsi="Arial" w:cs="Arial"/>
                <w:color w:val="000000"/>
                <w:sz w:val="20"/>
                <w:szCs w:val="20"/>
              </w:rPr>
            </w:pPr>
          </w:p>
        </w:tc>
        <w:tc>
          <w:tcPr>
            <w:tcW w:w="1584" w:type="dxa"/>
            <w:tcBorders>
              <w:bottom w:val="single" w:sz="4" w:space="0" w:color="auto"/>
            </w:tcBorders>
            <w:shd w:val="clear" w:color="auto" w:fill="auto"/>
            <w:vAlign w:val="bottom"/>
          </w:tcPr>
          <w:p w14:paraId="10747ADC" w14:textId="3AB8B319" w:rsidR="00BC4ABF" w:rsidRPr="002D2F67" w:rsidRDefault="00D31B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584" w:type="dxa"/>
            <w:tcBorders>
              <w:bottom w:val="single" w:sz="4" w:space="0" w:color="auto"/>
            </w:tcBorders>
            <w:shd w:val="clear" w:color="auto" w:fill="auto"/>
          </w:tcPr>
          <w:p w14:paraId="5F9A0B08" w14:textId="409C675C" w:rsidR="00BC4ABF" w:rsidRPr="002D2F67" w:rsidRDefault="00D31B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FF408A" w:rsidRPr="002D2F67" w14:paraId="0F0A057C" w14:textId="77777777" w:rsidTr="005611FE">
        <w:tc>
          <w:tcPr>
            <w:tcW w:w="5832" w:type="dxa"/>
            <w:shd w:val="clear" w:color="auto" w:fill="auto"/>
          </w:tcPr>
          <w:p w14:paraId="08FA1810" w14:textId="77777777" w:rsidR="00FF408A" w:rsidRPr="002D2F67" w:rsidRDefault="00FF408A" w:rsidP="00706C8B">
            <w:pPr>
              <w:pStyle w:val="Header"/>
              <w:tabs>
                <w:tab w:val="left" w:pos="1134"/>
                <w:tab w:val="left" w:pos="1276"/>
                <w:tab w:val="center" w:pos="3402"/>
                <w:tab w:val="center" w:pos="4536"/>
                <w:tab w:val="center" w:pos="5670"/>
                <w:tab w:val="center" w:pos="6804"/>
                <w:tab w:val="right" w:pos="7655"/>
              </w:tabs>
              <w:ind w:left="-60"/>
              <w:rPr>
                <w:rFonts w:ascii="Arial" w:hAnsi="Arial" w:cs="Arial"/>
                <w:b/>
                <w:bCs/>
                <w:color w:val="000000"/>
                <w:sz w:val="20"/>
                <w:szCs w:val="20"/>
              </w:rPr>
            </w:pPr>
          </w:p>
        </w:tc>
        <w:tc>
          <w:tcPr>
            <w:tcW w:w="1584" w:type="dxa"/>
            <w:tcBorders>
              <w:top w:val="single" w:sz="4" w:space="0" w:color="auto"/>
            </w:tcBorders>
            <w:shd w:val="clear" w:color="auto" w:fill="auto"/>
          </w:tcPr>
          <w:p w14:paraId="7D79E37E" w14:textId="77777777" w:rsidR="00FF408A" w:rsidRPr="002D2F67" w:rsidRDefault="00FF408A"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584" w:type="dxa"/>
            <w:tcBorders>
              <w:top w:val="single" w:sz="4" w:space="0" w:color="auto"/>
            </w:tcBorders>
            <w:shd w:val="clear" w:color="auto" w:fill="auto"/>
          </w:tcPr>
          <w:p w14:paraId="48195621" w14:textId="77777777" w:rsidR="00FF408A" w:rsidRPr="002D2F67" w:rsidRDefault="00FF408A"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E74A05" w:rsidRPr="002D2F67" w14:paraId="6D4DC2A0" w14:textId="77777777" w:rsidTr="005611FE">
        <w:tc>
          <w:tcPr>
            <w:tcW w:w="5832" w:type="dxa"/>
            <w:shd w:val="clear" w:color="auto" w:fill="auto"/>
          </w:tcPr>
          <w:p w14:paraId="43CB95B2" w14:textId="77777777" w:rsidR="00E74A05" w:rsidRPr="002D2F67" w:rsidRDefault="00E74A05" w:rsidP="00706C8B">
            <w:pPr>
              <w:tabs>
                <w:tab w:val="left" w:pos="1134"/>
                <w:tab w:val="left" w:pos="1276"/>
                <w:tab w:val="center" w:pos="3402"/>
                <w:tab w:val="center" w:pos="4536"/>
                <w:tab w:val="center" w:pos="5670"/>
                <w:tab w:val="center" w:pos="6804"/>
                <w:tab w:val="right" w:pos="7655"/>
              </w:tabs>
              <w:ind w:left="-60"/>
              <w:rPr>
                <w:rFonts w:ascii="Arial" w:hAnsi="Arial" w:cs="Arial"/>
                <w:color w:val="000000"/>
                <w:sz w:val="20"/>
                <w:szCs w:val="20"/>
                <w:cs/>
              </w:rPr>
            </w:pPr>
            <w:r w:rsidRPr="002D2F67">
              <w:rPr>
                <w:rFonts w:ascii="Arial" w:hAnsi="Arial" w:cs="Arial"/>
                <w:color w:val="000000"/>
                <w:sz w:val="20"/>
                <w:szCs w:val="20"/>
              </w:rPr>
              <w:t>Opening net book value</w:t>
            </w:r>
          </w:p>
        </w:tc>
        <w:tc>
          <w:tcPr>
            <w:tcW w:w="1584" w:type="dxa"/>
            <w:shd w:val="clear" w:color="auto" w:fill="auto"/>
          </w:tcPr>
          <w:p w14:paraId="743AB4FD" w14:textId="5560E302" w:rsidR="00E74A05"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37</w:t>
            </w:r>
            <w:r w:rsidR="002360AB" w:rsidRPr="002D2F67">
              <w:rPr>
                <w:rFonts w:ascii="Arial" w:hAnsi="Arial" w:cs="Arial"/>
                <w:color w:val="000000"/>
                <w:sz w:val="20"/>
                <w:szCs w:val="20"/>
              </w:rPr>
              <w:t>,</w:t>
            </w:r>
            <w:r w:rsidRPr="00CD5714">
              <w:rPr>
                <w:rFonts w:ascii="Arial" w:hAnsi="Arial" w:cs="Arial"/>
                <w:color w:val="000000"/>
                <w:sz w:val="20"/>
                <w:szCs w:val="20"/>
                <w:lang w:val="en-GB"/>
              </w:rPr>
              <w:t>255</w:t>
            </w:r>
            <w:r w:rsidR="002360AB" w:rsidRPr="002D2F67">
              <w:rPr>
                <w:rFonts w:ascii="Arial" w:hAnsi="Arial" w:cs="Arial"/>
                <w:color w:val="000000"/>
                <w:sz w:val="20"/>
                <w:szCs w:val="20"/>
              </w:rPr>
              <w:t>,</w:t>
            </w:r>
            <w:r w:rsidRPr="00CD5714">
              <w:rPr>
                <w:rFonts w:ascii="Arial" w:hAnsi="Arial" w:cs="Arial"/>
                <w:color w:val="000000"/>
                <w:sz w:val="20"/>
                <w:szCs w:val="20"/>
                <w:lang w:val="en-GB"/>
              </w:rPr>
              <w:t>199</w:t>
            </w:r>
          </w:p>
        </w:tc>
        <w:tc>
          <w:tcPr>
            <w:tcW w:w="1584" w:type="dxa"/>
            <w:shd w:val="clear" w:color="auto" w:fill="auto"/>
          </w:tcPr>
          <w:p w14:paraId="0B3E3A43" w14:textId="64249455" w:rsidR="00E74A05"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34</w:t>
            </w:r>
            <w:r w:rsidR="00E74A05" w:rsidRPr="002D2F67">
              <w:rPr>
                <w:rFonts w:ascii="Arial" w:hAnsi="Arial" w:cs="Arial"/>
                <w:color w:val="000000"/>
                <w:sz w:val="20"/>
                <w:szCs w:val="20"/>
              </w:rPr>
              <w:t>,</w:t>
            </w:r>
            <w:r w:rsidRPr="00CD5714">
              <w:rPr>
                <w:rFonts w:ascii="Arial" w:hAnsi="Arial" w:cs="Arial"/>
                <w:color w:val="000000"/>
                <w:sz w:val="20"/>
                <w:szCs w:val="20"/>
                <w:lang w:val="en-GB"/>
              </w:rPr>
              <w:t>281</w:t>
            </w:r>
            <w:r w:rsidR="00E74A05" w:rsidRPr="002D2F67">
              <w:rPr>
                <w:rFonts w:ascii="Arial" w:hAnsi="Arial" w:cs="Arial"/>
                <w:color w:val="000000"/>
                <w:sz w:val="20"/>
                <w:szCs w:val="20"/>
              </w:rPr>
              <w:t>,</w:t>
            </w:r>
            <w:r w:rsidRPr="00CD5714">
              <w:rPr>
                <w:rFonts w:ascii="Arial" w:hAnsi="Arial" w:cs="Arial"/>
                <w:color w:val="000000"/>
                <w:sz w:val="20"/>
                <w:szCs w:val="20"/>
                <w:lang w:val="en-GB"/>
              </w:rPr>
              <w:t>099</w:t>
            </w:r>
          </w:p>
        </w:tc>
      </w:tr>
      <w:tr w:rsidR="00E74A05" w:rsidRPr="002D2F67" w14:paraId="3F77D740" w14:textId="77777777" w:rsidTr="005611FE">
        <w:tc>
          <w:tcPr>
            <w:tcW w:w="5832" w:type="dxa"/>
            <w:shd w:val="clear" w:color="auto" w:fill="auto"/>
          </w:tcPr>
          <w:p w14:paraId="3B92C4AC" w14:textId="1120CE33" w:rsidR="00E74A05" w:rsidRPr="002D2F67" w:rsidRDefault="00E74A05" w:rsidP="00706C8B">
            <w:pPr>
              <w:tabs>
                <w:tab w:val="left" w:pos="1134"/>
                <w:tab w:val="left" w:pos="1276"/>
                <w:tab w:val="center" w:pos="3402"/>
                <w:tab w:val="center" w:pos="4536"/>
                <w:tab w:val="center" w:pos="5670"/>
                <w:tab w:val="center" w:pos="6804"/>
                <w:tab w:val="right" w:pos="7655"/>
              </w:tabs>
              <w:ind w:left="-60"/>
              <w:rPr>
                <w:rFonts w:ascii="Arial" w:hAnsi="Arial" w:cs="Arial"/>
                <w:color w:val="000000"/>
                <w:sz w:val="20"/>
                <w:szCs w:val="20"/>
              </w:rPr>
            </w:pPr>
            <w:r w:rsidRPr="002D2F67">
              <w:rPr>
                <w:rFonts w:ascii="Arial" w:hAnsi="Arial" w:cs="Arial"/>
                <w:color w:val="000000"/>
                <w:sz w:val="20"/>
                <w:szCs w:val="20"/>
              </w:rPr>
              <w:t xml:space="preserve">Increase in share capital and calling for additional </w:t>
            </w:r>
          </w:p>
          <w:p w14:paraId="0ADC952A" w14:textId="30736F71" w:rsidR="00E74A05" w:rsidRPr="002D2F67" w:rsidRDefault="00E74A05" w:rsidP="00706C8B">
            <w:pPr>
              <w:tabs>
                <w:tab w:val="left" w:pos="1134"/>
                <w:tab w:val="left" w:pos="1276"/>
                <w:tab w:val="center" w:pos="3402"/>
                <w:tab w:val="center" w:pos="4536"/>
                <w:tab w:val="center" w:pos="5670"/>
                <w:tab w:val="center" w:pos="6804"/>
                <w:tab w:val="right" w:pos="7655"/>
              </w:tabs>
              <w:ind w:left="-60"/>
              <w:rPr>
                <w:rFonts w:ascii="Arial" w:hAnsi="Arial" w:cs="Arial"/>
                <w:color w:val="000000"/>
                <w:sz w:val="20"/>
                <w:szCs w:val="20"/>
              </w:rPr>
            </w:pPr>
            <w:r w:rsidRPr="002D2F67">
              <w:rPr>
                <w:rFonts w:ascii="Arial" w:hAnsi="Arial" w:cs="Arial"/>
                <w:color w:val="000000"/>
                <w:sz w:val="20"/>
                <w:szCs w:val="25"/>
              </w:rPr>
              <w:t xml:space="preserve">   </w:t>
            </w:r>
            <w:r w:rsidR="00D91DA4" w:rsidRPr="002D2F67">
              <w:rPr>
                <w:rFonts w:ascii="Arial" w:hAnsi="Arial" w:cs="Arial"/>
                <w:color w:val="000000"/>
                <w:sz w:val="20"/>
                <w:szCs w:val="25"/>
              </w:rPr>
              <w:t>paid-up capital</w:t>
            </w:r>
            <w:r w:rsidRPr="002D2F67">
              <w:rPr>
                <w:rFonts w:ascii="Arial" w:hAnsi="Arial" w:cs="Arial"/>
                <w:color w:val="000000"/>
                <w:sz w:val="20"/>
                <w:szCs w:val="25"/>
              </w:rPr>
              <w:t xml:space="preserve"> </w:t>
            </w:r>
            <w:r w:rsidRPr="002D2F67">
              <w:rPr>
                <w:rFonts w:ascii="Arial" w:hAnsi="Arial" w:cs="Arial"/>
                <w:color w:val="000000"/>
                <w:sz w:val="20"/>
                <w:szCs w:val="20"/>
              </w:rPr>
              <w:t>of subsidiaries</w:t>
            </w:r>
          </w:p>
        </w:tc>
        <w:tc>
          <w:tcPr>
            <w:tcW w:w="1584" w:type="dxa"/>
            <w:shd w:val="clear" w:color="auto" w:fill="auto"/>
            <w:vAlign w:val="bottom"/>
          </w:tcPr>
          <w:p w14:paraId="4B532401" w14:textId="402EEDF0" w:rsidR="00E74A05"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124</w:t>
            </w:r>
            <w:r w:rsidR="00822030" w:rsidRPr="002D2F67">
              <w:rPr>
                <w:rFonts w:ascii="Arial" w:hAnsi="Arial" w:cs="Arial"/>
                <w:color w:val="000000"/>
                <w:sz w:val="20"/>
                <w:szCs w:val="20"/>
              </w:rPr>
              <w:t>,</w:t>
            </w:r>
            <w:r w:rsidRPr="00CD5714">
              <w:rPr>
                <w:rFonts w:ascii="Arial" w:hAnsi="Arial" w:cs="Arial"/>
                <w:color w:val="000000"/>
                <w:sz w:val="20"/>
                <w:szCs w:val="20"/>
                <w:lang w:val="en-GB"/>
              </w:rPr>
              <w:t>000</w:t>
            </w:r>
          </w:p>
        </w:tc>
        <w:tc>
          <w:tcPr>
            <w:tcW w:w="1584" w:type="dxa"/>
            <w:shd w:val="clear" w:color="auto" w:fill="auto"/>
            <w:vAlign w:val="bottom"/>
          </w:tcPr>
          <w:p w14:paraId="4F991999" w14:textId="2C46A825" w:rsidR="00E74A05"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w:t>
            </w:r>
            <w:r w:rsidR="00E74A05" w:rsidRPr="002D2F67">
              <w:rPr>
                <w:rFonts w:ascii="Arial" w:hAnsi="Arial" w:cs="Arial"/>
                <w:color w:val="000000"/>
                <w:sz w:val="20"/>
                <w:szCs w:val="20"/>
              </w:rPr>
              <w:t>,</w:t>
            </w:r>
            <w:r w:rsidRPr="00CD5714">
              <w:rPr>
                <w:rFonts w:ascii="Arial" w:hAnsi="Arial" w:cs="Arial"/>
                <w:color w:val="000000"/>
                <w:sz w:val="20"/>
                <w:szCs w:val="20"/>
                <w:lang w:val="en-GB"/>
              </w:rPr>
              <w:t>949</w:t>
            </w:r>
            <w:r w:rsidR="00E74A05" w:rsidRPr="002D2F67">
              <w:rPr>
                <w:rFonts w:ascii="Arial" w:hAnsi="Arial" w:cs="Arial"/>
                <w:color w:val="000000"/>
                <w:sz w:val="20"/>
                <w:szCs w:val="20"/>
              </w:rPr>
              <w:t>,</w:t>
            </w:r>
            <w:r w:rsidRPr="00CD5714">
              <w:rPr>
                <w:rFonts w:ascii="Arial" w:hAnsi="Arial" w:cs="Arial"/>
                <w:color w:val="000000"/>
                <w:sz w:val="20"/>
                <w:szCs w:val="20"/>
                <w:lang w:val="en-GB"/>
              </w:rPr>
              <w:t>100</w:t>
            </w:r>
          </w:p>
        </w:tc>
      </w:tr>
      <w:tr w:rsidR="00064CDF" w:rsidRPr="002D2F67" w14:paraId="09EE0B64" w14:textId="77777777" w:rsidTr="005611FE">
        <w:tc>
          <w:tcPr>
            <w:tcW w:w="5832" w:type="dxa"/>
            <w:shd w:val="clear" w:color="auto" w:fill="auto"/>
          </w:tcPr>
          <w:p w14:paraId="015A3866" w14:textId="3E849008" w:rsidR="00064CDF" w:rsidRPr="002D2F67" w:rsidRDefault="00064CDF" w:rsidP="00706C8B">
            <w:pPr>
              <w:tabs>
                <w:tab w:val="left" w:pos="1134"/>
                <w:tab w:val="left" w:pos="1276"/>
                <w:tab w:val="center" w:pos="3402"/>
                <w:tab w:val="center" w:pos="4536"/>
                <w:tab w:val="center" w:pos="5670"/>
                <w:tab w:val="center" w:pos="6804"/>
                <w:tab w:val="right" w:pos="7655"/>
              </w:tabs>
              <w:ind w:left="-60"/>
              <w:rPr>
                <w:rFonts w:ascii="Arial" w:hAnsi="Arial" w:cs="Arial"/>
                <w:color w:val="000000"/>
                <w:sz w:val="20"/>
                <w:szCs w:val="20"/>
              </w:rPr>
            </w:pPr>
            <w:r w:rsidRPr="002D2F67">
              <w:rPr>
                <w:rFonts w:ascii="Arial" w:hAnsi="Arial" w:cs="Arial"/>
                <w:color w:val="000000"/>
                <w:sz w:val="20"/>
                <w:szCs w:val="20"/>
              </w:rPr>
              <w:t>Calling for additional capital contributions of a joint venture</w:t>
            </w:r>
          </w:p>
        </w:tc>
        <w:tc>
          <w:tcPr>
            <w:tcW w:w="1584" w:type="dxa"/>
            <w:shd w:val="clear" w:color="auto" w:fill="auto"/>
            <w:vAlign w:val="bottom"/>
          </w:tcPr>
          <w:p w14:paraId="7D325C9F" w14:textId="0E0574AA" w:rsidR="00064CDF"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122</w:t>
            </w:r>
            <w:r w:rsidR="00064CDF" w:rsidRPr="002D2F67">
              <w:rPr>
                <w:rFonts w:ascii="Arial" w:hAnsi="Arial" w:cs="Arial"/>
                <w:color w:val="000000"/>
                <w:sz w:val="20"/>
                <w:szCs w:val="20"/>
              </w:rPr>
              <w:t>,</w:t>
            </w:r>
            <w:r w:rsidRPr="00CD5714">
              <w:rPr>
                <w:rFonts w:ascii="Arial" w:hAnsi="Arial" w:cs="Arial"/>
                <w:color w:val="000000"/>
                <w:sz w:val="20"/>
                <w:szCs w:val="20"/>
                <w:lang w:val="en-GB"/>
              </w:rPr>
              <w:t>998</w:t>
            </w:r>
          </w:p>
        </w:tc>
        <w:tc>
          <w:tcPr>
            <w:tcW w:w="1584" w:type="dxa"/>
            <w:shd w:val="clear" w:color="auto" w:fill="auto"/>
            <w:vAlign w:val="bottom"/>
          </w:tcPr>
          <w:p w14:paraId="1018291E" w14:textId="17A184EF" w:rsidR="00064CDF" w:rsidRPr="002D2F67" w:rsidRDefault="00822030" w:rsidP="005611FE">
            <w:pPr>
              <w:ind w:right="-72"/>
              <w:jc w:val="right"/>
              <w:rPr>
                <w:rFonts w:ascii="Arial" w:hAnsi="Arial" w:cs="Arial"/>
                <w:color w:val="000000"/>
                <w:sz w:val="20"/>
                <w:szCs w:val="20"/>
              </w:rPr>
            </w:pPr>
            <w:r w:rsidRPr="002D2F67">
              <w:rPr>
                <w:rFonts w:ascii="Arial" w:hAnsi="Arial" w:cs="Arial"/>
                <w:color w:val="000000"/>
                <w:sz w:val="20"/>
                <w:szCs w:val="20"/>
              </w:rPr>
              <w:t>-</w:t>
            </w:r>
          </w:p>
        </w:tc>
      </w:tr>
      <w:tr w:rsidR="00574D15" w:rsidRPr="002D2F67" w14:paraId="3A0D3651" w14:textId="77777777" w:rsidTr="005611FE">
        <w:tc>
          <w:tcPr>
            <w:tcW w:w="5832" w:type="dxa"/>
            <w:shd w:val="clear" w:color="auto" w:fill="auto"/>
          </w:tcPr>
          <w:p w14:paraId="21F4C99F" w14:textId="15C854B7" w:rsidR="00574D15" w:rsidRPr="002D2F67" w:rsidRDefault="00574D15" w:rsidP="00706C8B">
            <w:pPr>
              <w:tabs>
                <w:tab w:val="left" w:pos="1134"/>
                <w:tab w:val="left" w:pos="1276"/>
                <w:tab w:val="center" w:pos="3402"/>
                <w:tab w:val="center" w:pos="4536"/>
                <w:tab w:val="center" w:pos="5670"/>
                <w:tab w:val="center" w:pos="6804"/>
                <w:tab w:val="right" w:pos="7655"/>
              </w:tabs>
              <w:ind w:left="-60"/>
              <w:rPr>
                <w:rFonts w:ascii="Arial" w:hAnsi="Arial" w:cs="Arial"/>
                <w:color w:val="000000"/>
                <w:sz w:val="20"/>
                <w:szCs w:val="20"/>
              </w:rPr>
            </w:pPr>
            <w:r w:rsidRPr="002D2F67">
              <w:rPr>
                <w:rFonts w:ascii="Arial" w:hAnsi="Arial" w:cs="Arial"/>
                <w:color w:val="000000"/>
                <w:sz w:val="20"/>
                <w:szCs w:val="20"/>
              </w:rPr>
              <w:t>Acquisition of investments in a joint venture</w:t>
            </w:r>
          </w:p>
        </w:tc>
        <w:tc>
          <w:tcPr>
            <w:tcW w:w="1584" w:type="dxa"/>
            <w:shd w:val="clear" w:color="auto" w:fill="auto"/>
            <w:vAlign w:val="bottom"/>
          </w:tcPr>
          <w:p w14:paraId="46E7ACC2" w14:textId="0F3D7309" w:rsidR="00574D15" w:rsidRPr="002D2F67" w:rsidRDefault="00064CDF" w:rsidP="00574D15">
            <w:pPr>
              <w:ind w:right="-72"/>
              <w:jc w:val="right"/>
              <w:rPr>
                <w:rFonts w:ascii="Arial" w:hAnsi="Arial" w:cs="Arial"/>
                <w:color w:val="000000"/>
                <w:sz w:val="20"/>
                <w:szCs w:val="20"/>
              </w:rPr>
            </w:pPr>
            <w:r w:rsidRPr="002D2F67">
              <w:rPr>
                <w:rFonts w:ascii="Arial" w:hAnsi="Arial" w:cs="Arial"/>
                <w:color w:val="000000"/>
                <w:sz w:val="20"/>
                <w:szCs w:val="20"/>
              </w:rPr>
              <w:t>-</w:t>
            </w:r>
          </w:p>
        </w:tc>
        <w:tc>
          <w:tcPr>
            <w:tcW w:w="1584" w:type="dxa"/>
            <w:shd w:val="clear" w:color="auto" w:fill="auto"/>
            <w:vAlign w:val="bottom"/>
          </w:tcPr>
          <w:p w14:paraId="40DB59B4" w14:textId="27994E9A" w:rsidR="00574D15" w:rsidRPr="002D2F67" w:rsidRDefault="00CD5714" w:rsidP="00574D15">
            <w:pPr>
              <w:ind w:right="-72"/>
              <w:jc w:val="right"/>
              <w:rPr>
                <w:rFonts w:ascii="Arial" w:hAnsi="Arial" w:cs="Arial"/>
                <w:color w:val="000000"/>
                <w:sz w:val="20"/>
                <w:szCs w:val="20"/>
              </w:rPr>
            </w:pPr>
            <w:r w:rsidRPr="00CD5714">
              <w:rPr>
                <w:rFonts w:ascii="Arial" w:hAnsi="Arial" w:cs="Arial"/>
                <w:color w:val="000000"/>
                <w:sz w:val="20"/>
                <w:szCs w:val="20"/>
                <w:lang w:val="en-GB"/>
              </w:rPr>
              <w:t>25</w:t>
            </w:r>
            <w:r w:rsidR="00064CDF" w:rsidRPr="002D2F67">
              <w:rPr>
                <w:rFonts w:ascii="Arial" w:hAnsi="Arial" w:cs="Arial"/>
                <w:color w:val="000000"/>
                <w:sz w:val="20"/>
                <w:szCs w:val="20"/>
              </w:rPr>
              <w:t>,</w:t>
            </w:r>
            <w:r w:rsidRPr="00CD5714">
              <w:rPr>
                <w:rFonts w:ascii="Arial" w:hAnsi="Arial" w:cs="Arial"/>
                <w:color w:val="000000"/>
                <w:sz w:val="20"/>
                <w:szCs w:val="20"/>
                <w:lang w:val="en-GB"/>
              </w:rPr>
              <w:t>000</w:t>
            </w:r>
          </w:p>
        </w:tc>
      </w:tr>
      <w:tr w:rsidR="00B67A84" w:rsidRPr="002D2F67" w14:paraId="7F87DE01" w14:textId="77777777" w:rsidTr="005611FE">
        <w:tc>
          <w:tcPr>
            <w:tcW w:w="5832" w:type="dxa"/>
            <w:shd w:val="clear" w:color="auto" w:fill="auto"/>
          </w:tcPr>
          <w:p w14:paraId="6CC64AA4" w14:textId="1A5CDACE" w:rsidR="00B67A84" w:rsidRPr="002D2F67" w:rsidRDefault="00B67A84" w:rsidP="00706C8B">
            <w:pPr>
              <w:tabs>
                <w:tab w:val="left" w:pos="1134"/>
                <w:tab w:val="left" w:pos="1276"/>
                <w:tab w:val="center" w:pos="3402"/>
                <w:tab w:val="center" w:pos="4536"/>
                <w:tab w:val="center" w:pos="5670"/>
                <w:tab w:val="center" w:pos="6804"/>
                <w:tab w:val="right" w:pos="7655"/>
              </w:tabs>
              <w:ind w:left="-60"/>
              <w:rPr>
                <w:rFonts w:ascii="Arial" w:hAnsi="Arial" w:cs="Arial"/>
                <w:color w:val="000000"/>
                <w:sz w:val="20"/>
                <w:szCs w:val="20"/>
              </w:rPr>
            </w:pPr>
            <w:r w:rsidRPr="002D2F67">
              <w:rPr>
                <w:rFonts w:ascii="Arial" w:hAnsi="Arial" w:cs="Arial"/>
                <w:color w:val="000000"/>
                <w:sz w:val="20"/>
                <w:szCs w:val="20"/>
              </w:rPr>
              <w:t>Disposal of an investment in a joint venture</w:t>
            </w:r>
          </w:p>
        </w:tc>
        <w:tc>
          <w:tcPr>
            <w:tcW w:w="1584" w:type="dxa"/>
            <w:shd w:val="clear" w:color="auto" w:fill="auto"/>
            <w:vAlign w:val="bottom"/>
          </w:tcPr>
          <w:p w14:paraId="0E2A556A" w14:textId="1E6D491E" w:rsidR="00B67A84" w:rsidRPr="002D2F67" w:rsidRDefault="00064CDF" w:rsidP="00574D15">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20</w:t>
            </w:r>
            <w:r w:rsidRPr="002D2F67">
              <w:rPr>
                <w:rFonts w:ascii="Arial" w:hAnsi="Arial" w:cs="Arial"/>
                <w:color w:val="000000"/>
                <w:sz w:val="20"/>
                <w:szCs w:val="20"/>
              </w:rPr>
              <w:t>,</w:t>
            </w:r>
            <w:r w:rsidR="00CD5714" w:rsidRPr="00CD5714">
              <w:rPr>
                <w:rFonts w:ascii="Arial" w:hAnsi="Arial" w:cs="Arial"/>
                <w:color w:val="000000"/>
                <w:sz w:val="20"/>
                <w:szCs w:val="20"/>
                <w:lang w:val="en-GB"/>
              </w:rPr>
              <w:t>000</w:t>
            </w:r>
            <w:r w:rsidRPr="002D2F67">
              <w:rPr>
                <w:rFonts w:ascii="Arial" w:hAnsi="Arial" w:cs="Arial"/>
                <w:color w:val="000000"/>
                <w:sz w:val="20"/>
                <w:szCs w:val="20"/>
              </w:rPr>
              <w:t>)</w:t>
            </w:r>
          </w:p>
        </w:tc>
        <w:tc>
          <w:tcPr>
            <w:tcW w:w="1584" w:type="dxa"/>
            <w:shd w:val="clear" w:color="auto" w:fill="auto"/>
            <w:vAlign w:val="bottom"/>
          </w:tcPr>
          <w:p w14:paraId="091B8347" w14:textId="73E0B99B" w:rsidR="00B67A84" w:rsidRPr="002D2F67" w:rsidRDefault="00064CDF" w:rsidP="00574D15">
            <w:pPr>
              <w:ind w:right="-72"/>
              <w:jc w:val="right"/>
              <w:rPr>
                <w:rFonts w:ascii="Arial" w:hAnsi="Arial" w:cs="Arial"/>
                <w:color w:val="000000"/>
                <w:sz w:val="20"/>
                <w:szCs w:val="20"/>
              </w:rPr>
            </w:pPr>
            <w:r w:rsidRPr="002D2F67">
              <w:rPr>
                <w:rFonts w:ascii="Arial" w:hAnsi="Arial" w:cs="Arial"/>
                <w:color w:val="000000"/>
                <w:sz w:val="20"/>
                <w:szCs w:val="20"/>
              </w:rPr>
              <w:t>-</w:t>
            </w:r>
          </w:p>
        </w:tc>
      </w:tr>
      <w:tr w:rsidR="00574D15" w:rsidRPr="002D2F67" w14:paraId="19CE9654" w14:textId="77777777" w:rsidTr="005611FE">
        <w:tc>
          <w:tcPr>
            <w:tcW w:w="5832" w:type="dxa"/>
            <w:shd w:val="clear" w:color="auto" w:fill="auto"/>
          </w:tcPr>
          <w:p w14:paraId="2CB89FD7" w14:textId="32E8A753" w:rsidR="00574D15" w:rsidRPr="002D2F67" w:rsidRDefault="00574D15" w:rsidP="00706C8B">
            <w:pPr>
              <w:tabs>
                <w:tab w:val="left" w:pos="1134"/>
                <w:tab w:val="left" w:pos="1276"/>
                <w:tab w:val="center" w:pos="3402"/>
                <w:tab w:val="center" w:pos="4536"/>
                <w:tab w:val="center" w:pos="5670"/>
                <w:tab w:val="center" w:pos="6804"/>
                <w:tab w:val="right" w:pos="7655"/>
              </w:tabs>
              <w:ind w:left="-60"/>
              <w:rPr>
                <w:rFonts w:ascii="Arial" w:hAnsi="Arial" w:cs="Arial"/>
                <w:color w:val="000000"/>
                <w:sz w:val="20"/>
                <w:szCs w:val="20"/>
              </w:rPr>
            </w:pPr>
            <w:r w:rsidRPr="002D2F67">
              <w:rPr>
                <w:rFonts w:ascii="Arial" w:hAnsi="Arial" w:cs="Arial"/>
                <w:color w:val="000000"/>
                <w:sz w:val="20"/>
                <w:szCs w:val="20"/>
              </w:rPr>
              <w:t>Impairment loss on investments in subsidiaries</w:t>
            </w:r>
          </w:p>
        </w:tc>
        <w:tc>
          <w:tcPr>
            <w:tcW w:w="1584" w:type="dxa"/>
            <w:tcBorders>
              <w:bottom w:val="single" w:sz="4" w:space="0" w:color="auto"/>
            </w:tcBorders>
            <w:shd w:val="clear" w:color="auto" w:fill="auto"/>
            <w:vAlign w:val="bottom"/>
          </w:tcPr>
          <w:p w14:paraId="41D8C223" w14:textId="233C03EE" w:rsidR="00574D15" w:rsidRPr="002D2F67" w:rsidRDefault="00B22FAF" w:rsidP="00574D15">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9</w:t>
            </w:r>
            <w:r w:rsidRPr="002D2F67">
              <w:rPr>
                <w:rFonts w:ascii="Arial" w:hAnsi="Arial" w:cs="Arial"/>
                <w:color w:val="000000"/>
                <w:sz w:val="20"/>
                <w:szCs w:val="20"/>
              </w:rPr>
              <w:t>,</w:t>
            </w:r>
            <w:r w:rsidR="00CD5714" w:rsidRPr="00CD5714">
              <w:rPr>
                <w:rFonts w:ascii="Arial" w:hAnsi="Arial" w:cs="Arial"/>
                <w:color w:val="000000"/>
                <w:sz w:val="20"/>
                <w:szCs w:val="20"/>
                <w:lang w:val="en-GB"/>
              </w:rPr>
              <w:t>922</w:t>
            </w:r>
            <w:r w:rsidRPr="002D2F67">
              <w:rPr>
                <w:rFonts w:ascii="Arial" w:hAnsi="Arial" w:cs="Arial"/>
                <w:color w:val="000000"/>
                <w:sz w:val="20"/>
                <w:szCs w:val="20"/>
              </w:rPr>
              <w:t>,</w:t>
            </w:r>
            <w:r w:rsidR="00CD5714" w:rsidRPr="00CD5714">
              <w:rPr>
                <w:rFonts w:ascii="Arial" w:hAnsi="Arial" w:cs="Arial"/>
                <w:color w:val="000000"/>
                <w:sz w:val="20"/>
                <w:szCs w:val="20"/>
                <w:lang w:val="en-GB"/>
              </w:rPr>
              <w:t>461</w:t>
            </w:r>
            <w:r w:rsidRPr="002D2F67">
              <w:rPr>
                <w:rFonts w:ascii="Arial" w:hAnsi="Arial" w:cs="Arial"/>
                <w:color w:val="000000"/>
                <w:sz w:val="20"/>
                <w:szCs w:val="20"/>
              </w:rPr>
              <w:t>)</w:t>
            </w:r>
          </w:p>
        </w:tc>
        <w:tc>
          <w:tcPr>
            <w:tcW w:w="1584" w:type="dxa"/>
            <w:tcBorders>
              <w:bottom w:val="single" w:sz="4" w:space="0" w:color="auto"/>
            </w:tcBorders>
            <w:shd w:val="clear" w:color="auto" w:fill="auto"/>
            <w:vAlign w:val="bottom"/>
          </w:tcPr>
          <w:p w14:paraId="339C9A0C" w14:textId="46AC23C6" w:rsidR="00574D15" w:rsidRPr="002D2F67" w:rsidRDefault="00574D15" w:rsidP="00574D15">
            <w:pPr>
              <w:ind w:right="-72"/>
              <w:jc w:val="right"/>
              <w:rPr>
                <w:rFonts w:ascii="Arial" w:hAnsi="Arial" w:cs="Arial"/>
                <w:color w:val="000000"/>
                <w:sz w:val="20"/>
                <w:szCs w:val="20"/>
              </w:rPr>
            </w:pPr>
            <w:r w:rsidRPr="002D2F67">
              <w:rPr>
                <w:rFonts w:ascii="Arial" w:hAnsi="Arial" w:cs="Arial"/>
                <w:color w:val="000000"/>
                <w:sz w:val="20"/>
                <w:szCs w:val="20"/>
              </w:rPr>
              <w:t>-</w:t>
            </w:r>
          </w:p>
        </w:tc>
      </w:tr>
      <w:tr w:rsidR="00574D15" w:rsidRPr="002D2F67" w14:paraId="28655746" w14:textId="77777777" w:rsidTr="005611FE">
        <w:tc>
          <w:tcPr>
            <w:tcW w:w="5832" w:type="dxa"/>
            <w:shd w:val="clear" w:color="auto" w:fill="auto"/>
          </w:tcPr>
          <w:p w14:paraId="033A37C6" w14:textId="77777777" w:rsidR="00574D15" w:rsidRPr="002D2F67" w:rsidRDefault="00574D15" w:rsidP="00706C8B">
            <w:pPr>
              <w:pStyle w:val="Header"/>
              <w:tabs>
                <w:tab w:val="left" w:pos="1134"/>
                <w:tab w:val="left" w:pos="1276"/>
                <w:tab w:val="center" w:pos="3402"/>
                <w:tab w:val="center" w:pos="4536"/>
                <w:tab w:val="center" w:pos="5670"/>
                <w:tab w:val="center" w:pos="6804"/>
                <w:tab w:val="right" w:pos="7655"/>
              </w:tabs>
              <w:ind w:left="-60"/>
              <w:rPr>
                <w:rFonts w:ascii="Arial" w:hAnsi="Arial" w:cs="Arial"/>
                <w:color w:val="000000"/>
                <w:sz w:val="20"/>
                <w:szCs w:val="20"/>
              </w:rPr>
            </w:pPr>
          </w:p>
        </w:tc>
        <w:tc>
          <w:tcPr>
            <w:tcW w:w="1584" w:type="dxa"/>
            <w:tcBorders>
              <w:top w:val="single" w:sz="4" w:space="0" w:color="auto"/>
            </w:tcBorders>
            <w:shd w:val="clear" w:color="auto" w:fill="auto"/>
          </w:tcPr>
          <w:p w14:paraId="6B7A6857" w14:textId="77777777" w:rsidR="00574D15" w:rsidRPr="002D2F67" w:rsidRDefault="00574D15" w:rsidP="00574D15">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584" w:type="dxa"/>
            <w:tcBorders>
              <w:top w:val="single" w:sz="4" w:space="0" w:color="auto"/>
            </w:tcBorders>
            <w:shd w:val="clear" w:color="auto" w:fill="auto"/>
          </w:tcPr>
          <w:p w14:paraId="5201C166" w14:textId="77777777" w:rsidR="00574D15" w:rsidRPr="002D2F67" w:rsidRDefault="00574D15" w:rsidP="00574D15">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574D15" w:rsidRPr="002D2F67" w14:paraId="52D916C8" w14:textId="77777777" w:rsidTr="005611FE">
        <w:trPr>
          <w:trHeight w:val="57"/>
        </w:trPr>
        <w:tc>
          <w:tcPr>
            <w:tcW w:w="5832" w:type="dxa"/>
            <w:shd w:val="clear" w:color="auto" w:fill="auto"/>
          </w:tcPr>
          <w:p w14:paraId="52D1DD83" w14:textId="77777777" w:rsidR="00574D15" w:rsidRPr="002D2F67" w:rsidRDefault="00574D15" w:rsidP="00706C8B">
            <w:pPr>
              <w:tabs>
                <w:tab w:val="left" w:pos="1134"/>
                <w:tab w:val="left" w:pos="1276"/>
                <w:tab w:val="center" w:pos="3402"/>
                <w:tab w:val="center" w:pos="4536"/>
                <w:tab w:val="center" w:pos="5670"/>
                <w:tab w:val="center" w:pos="6804"/>
                <w:tab w:val="right" w:pos="7655"/>
              </w:tabs>
              <w:ind w:left="-60"/>
              <w:rPr>
                <w:rFonts w:ascii="Arial" w:hAnsi="Arial" w:cs="Arial"/>
                <w:color w:val="000000"/>
                <w:sz w:val="20"/>
                <w:szCs w:val="20"/>
              </w:rPr>
            </w:pPr>
            <w:r w:rsidRPr="002D2F67">
              <w:rPr>
                <w:rFonts w:ascii="Arial" w:hAnsi="Arial" w:cs="Arial"/>
                <w:color w:val="000000"/>
                <w:sz w:val="20"/>
                <w:szCs w:val="20"/>
              </w:rPr>
              <w:t>Closing net book value</w:t>
            </w:r>
          </w:p>
        </w:tc>
        <w:tc>
          <w:tcPr>
            <w:tcW w:w="1584" w:type="dxa"/>
            <w:tcBorders>
              <w:bottom w:val="single" w:sz="4" w:space="0" w:color="auto"/>
            </w:tcBorders>
            <w:shd w:val="clear" w:color="auto" w:fill="auto"/>
          </w:tcPr>
          <w:p w14:paraId="582BD68F" w14:textId="60E595D6" w:rsidR="00574D15" w:rsidRPr="002D2F67" w:rsidRDefault="00CD5714" w:rsidP="00574D15">
            <w:pPr>
              <w:ind w:right="-72"/>
              <w:jc w:val="right"/>
              <w:rPr>
                <w:rFonts w:ascii="Arial" w:hAnsi="Arial" w:cs="Arial"/>
                <w:color w:val="000000"/>
                <w:sz w:val="20"/>
                <w:szCs w:val="20"/>
                <w:cs/>
              </w:rPr>
            </w:pPr>
            <w:r w:rsidRPr="00CD5714">
              <w:rPr>
                <w:rFonts w:ascii="Arial" w:hAnsi="Arial" w:cs="Arial"/>
                <w:color w:val="000000"/>
                <w:sz w:val="20"/>
                <w:szCs w:val="20"/>
                <w:lang w:val="en-GB"/>
              </w:rPr>
              <w:t>27</w:t>
            </w:r>
            <w:r w:rsidR="00A45A53" w:rsidRPr="002D2F67">
              <w:rPr>
                <w:rFonts w:ascii="Arial" w:hAnsi="Arial" w:cs="Arial"/>
                <w:color w:val="000000"/>
                <w:sz w:val="20"/>
                <w:szCs w:val="20"/>
              </w:rPr>
              <w:t>,</w:t>
            </w:r>
            <w:r w:rsidRPr="00CD5714">
              <w:rPr>
                <w:rFonts w:ascii="Arial" w:hAnsi="Arial" w:cs="Arial"/>
                <w:color w:val="000000"/>
                <w:sz w:val="20"/>
                <w:szCs w:val="20"/>
                <w:lang w:val="en-GB"/>
              </w:rPr>
              <w:t>559</w:t>
            </w:r>
            <w:r w:rsidR="00A45A53" w:rsidRPr="002D2F67">
              <w:rPr>
                <w:rFonts w:ascii="Arial" w:hAnsi="Arial" w:cs="Arial"/>
                <w:color w:val="000000"/>
                <w:sz w:val="20"/>
                <w:szCs w:val="20"/>
              </w:rPr>
              <w:t>,</w:t>
            </w:r>
            <w:r w:rsidRPr="00CD5714">
              <w:rPr>
                <w:rFonts w:ascii="Arial" w:hAnsi="Arial" w:cs="Arial"/>
                <w:color w:val="000000"/>
                <w:sz w:val="20"/>
                <w:szCs w:val="20"/>
                <w:lang w:val="en-GB"/>
              </w:rPr>
              <w:t>736</w:t>
            </w:r>
          </w:p>
        </w:tc>
        <w:tc>
          <w:tcPr>
            <w:tcW w:w="1584" w:type="dxa"/>
            <w:tcBorders>
              <w:bottom w:val="single" w:sz="4" w:space="0" w:color="auto"/>
            </w:tcBorders>
            <w:shd w:val="clear" w:color="auto" w:fill="auto"/>
          </w:tcPr>
          <w:p w14:paraId="24D32257" w14:textId="70A5FC89" w:rsidR="00574D15" w:rsidRPr="002D2F67" w:rsidRDefault="00CD5714" w:rsidP="00574D15">
            <w:pPr>
              <w:spacing w:line="259" w:lineRule="auto"/>
              <w:ind w:right="-72"/>
              <w:jc w:val="right"/>
              <w:rPr>
                <w:rFonts w:ascii="Arial" w:hAnsi="Arial" w:cs="Arial"/>
                <w:color w:val="000000"/>
              </w:rPr>
            </w:pPr>
            <w:r w:rsidRPr="00CD5714">
              <w:rPr>
                <w:rFonts w:ascii="Arial" w:hAnsi="Arial" w:cs="Arial"/>
                <w:color w:val="000000"/>
                <w:sz w:val="20"/>
                <w:szCs w:val="20"/>
                <w:lang w:val="en-GB"/>
              </w:rPr>
              <w:t>37</w:t>
            </w:r>
            <w:r w:rsidR="00574D15" w:rsidRPr="002D2F67">
              <w:rPr>
                <w:rFonts w:ascii="Arial" w:hAnsi="Arial" w:cs="Arial"/>
                <w:color w:val="000000"/>
                <w:sz w:val="20"/>
                <w:szCs w:val="20"/>
              </w:rPr>
              <w:t>,</w:t>
            </w:r>
            <w:r w:rsidRPr="00CD5714">
              <w:rPr>
                <w:rFonts w:ascii="Arial" w:hAnsi="Arial" w:cs="Arial"/>
                <w:color w:val="000000"/>
                <w:sz w:val="20"/>
                <w:szCs w:val="20"/>
                <w:lang w:val="en-GB"/>
              </w:rPr>
              <w:t>255</w:t>
            </w:r>
            <w:r w:rsidR="00574D15" w:rsidRPr="002D2F67">
              <w:rPr>
                <w:rFonts w:ascii="Arial" w:hAnsi="Arial" w:cs="Arial"/>
                <w:color w:val="000000"/>
                <w:sz w:val="20"/>
                <w:szCs w:val="20"/>
              </w:rPr>
              <w:t>,</w:t>
            </w:r>
            <w:r w:rsidRPr="00CD5714">
              <w:rPr>
                <w:rFonts w:ascii="Arial" w:hAnsi="Arial" w:cs="Arial"/>
                <w:color w:val="000000"/>
                <w:sz w:val="20"/>
                <w:szCs w:val="20"/>
                <w:lang w:val="en-GB"/>
              </w:rPr>
              <w:t>199</w:t>
            </w:r>
          </w:p>
        </w:tc>
      </w:tr>
    </w:tbl>
    <w:p w14:paraId="6D4BD2D1" w14:textId="203E3240" w:rsidR="00B64FB6" w:rsidRPr="002D2F67" w:rsidRDefault="00B64FB6" w:rsidP="005611FE">
      <w:pPr>
        <w:tabs>
          <w:tab w:val="left" w:pos="2430"/>
        </w:tabs>
        <w:ind w:left="540" w:right="36" w:hanging="540"/>
        <w:jc w:val="both"/>
        <w:rPr>
          <w:rFonts w:ascii="Arial" w:hAnsi="Arial" w:cs="Arial"/>
          <w:color w:val="000000"/>
          <w:spacing w:val="-4"/>
          <w:sz w:val="20"/>
          <w:szCs w:val="25"/>
        </w:rPr>
      </w:pPr>
    </w:p>
    <w:p w14:paraId="10E385CD" w14:textId="7111117A" w:rsidR="00FF408A" w:rsidRPr="002D2F67" w:rsidRDefault="00CD5714" w:rsidP="004A26F2">
      <w:pPr>
        <w:tabs>
          <w:tab w:val="left" w:pos="2430"/>
        </w:tabs>
        <w:ind w:left="567" w:right="34" w:hanging="567"/>
        <w:jc w:val="both"/>
        <w:outlineLvl w:val="2"/>
        <w:rPr>
          <w:rFonts w:ascii="Arial" w:hAnsi="Arial" w:cs="Arial"/>
          <w:color w:val="000000"/>
          <w:sz w:val="20"/>
          <w:szCs w:val="20"/>
        </w:rPr>
      </w:pPr>
      <w:r w:rsidRPr="00CD5714">
        <w:rPr>
          <w:rFonts w:ascii="Arial" w:hAnsi="Arial" w:cs="Arial"/>
          <w:color w:val="000000"/>
          <w:spacing w:val="-10"/>
          <w:sz w:val="20"/>
          <w:szCs w:val="25"/>
          <w:lang w:val="en-GB"/>
        </w:rPr>
        <w:t>19</w:t>
      </w:r>
      <w:r w:rsidR="00FF408A" w:rsidRPr="002D2F67">
        <w:rPr>
          <w:rFonts w:ascii="Arial" w:hAnsi="Arial" w:cs="Arial"/>
          <w:color w:val="000000"/>
          <w:spacing w:val="-10"/>
          <w:sz w:val="20"/>
          <w:szCs w:val="20"/>
        </w:rPr>
        <w:t>.</w:t>
      </w:r>
      <w:r w:rsidRPr="00CD5714">
        <w:rPr>
          <w:rFonts w:ascii="Arial" w:hAnsi="Arial" w:cs="Arial"/>
          <w:color w:val="000000"/>
          <w:spacing w:val="-10"/>
          <w:sz w:val="20"/>
          <w:szCs w:val="20"/>
          <w:lang w:val="en-GB"/>
        </w:rPr>
        <w:t>1</w:t>
      </w:r>
      <w:r w:rsidR="00FF408A" w:rsidRPr="002D2F67">
        <w:rPr>
          <w:rFonts w:ascii="Arial" w:hAnsi="Arial" w:cs="Arial"/>
          <w:color w:val="000000"/>
          <w:spacing w:val="-10"/>
          <w:sz w:val="20"/>
          <w:szCs w:val="20"/>
        </w:rPr>
        <w:t>.</w:t>
      </w:r>
      <w:r w:rsidRPr="00CD5714">
        <w:rPr>
          <w:rFonts w:ascii="Arial" w:hAnsi="Arial" w:cs="Arial"/>
          <w:color w:val="000000"/>
          <w:spacing w:val="-10"/>
          <w:sz w:val="20"/>
          <w:szCs w:val="20"/>
          <w:lang w:val="en-GB"/>
        </w:rPr>
        <w:t>1</w:t>
      </w:r>
      <w:r w:rsidR="00FF408A" w:rsidRPr="002D2F67">
        <w:rPr>
          <w:rFonts w:ascii="Arial" w:hAnsi="Arial" w:cs="Arial"/>
          <w:color w:val="000000"/>
          <w:sz w:val="20"/>
          <w:szCs w:val="20"/>
        </w:rPr>
        <w:tab/>
        <w:t xml:space="preserve">The movement of the investments in subsidiaries during the year ended </w:t>
      </w:r>
      <w:r w:rsidRPr="00CD5714">
        <w:rPr>
          <w:rFonts w:ascii="Arial" w:hAnsi="Arial" w:cs="Arial"/>
          <w:color w:val="000000"/>
          <w:sz w:val="20"/>
          <w:szCs w:val="20"/>
          <w:lang w:val="en-GB"/>
        </w:rPr>
        <w:t>31</w:t>
      </w:r>
      <w:r w:rsidR="00FF408A" w:rsidRPr="002D2F67">
        <w:rPr>
          <w:rFonts w:ascii="Arial" w:hAnsi="Arial" w:cs="Arial"/>
          <w:color w:val="000000"/>
          <w:sz w:val="20"/>
          <w:szCs w:val="20"/>
        </w:rPr>
        <w:t xml:space="preserve"> December </w:t>
      </w:r>
      <w:r w:rsidRPr="00CD5714">
        <w:rPr>
          <w:rFonts w:ascii="Arial" w:hAnsi="Arial" w:cs="Arial"/>
          <w:color w:val="000000"/>
          <w:sz w:val="20"/>
          <w:szCs w:val="20"/>
          <w:lang w:val="en-GB"/>
        </w:rPr>
        <w:t>2024</w:t>
      </w:r>
      <w:r w:rsidR="00E027AE" w:rsidRPr="002D2F67">
        <w:rPr>
          <w:rFonts w:ascii="Arial" w:hAnsi="Arial" w:cs="Arial"/>
          <w:color w:val="000000"/>
          <w:sz w:val="20"/>
          <w:szCs w:val="20"/>
        </w:rPr>
        <w:t xml:space="preserve"> were</w:t>
      </w:r>
      <w:r w:rsidR="00FF408A" w:rsidRPr="002D2F67">
        <w:rPr>
          <w:rFonts w:ascii="Arial" w:hAnsi="Arial" w:cs="Arial"/>
          <w:color w:val="000000"/>
          <w:sz w:val="20"/>
          <w:szCs w:val="20"/>
        </w:rPr>
        <w:t xml:space="preserve"> </w:t>
      </w:r>
      <w:r w:rsidR="00F31B12" w:rsidRPr="002D2F67">
        <w:rPr>
          <w:rFonts w:ascii="Arial" w:hAnsi="Arial" w:cs="Arial"/>
          <w:color w:val="000000"/>
          <w:sz w:val="20"/>
          <w:szCs w:val="20"/>
        </w:rPr>
        <w:t>as follows:</w:t>
      </w:r>
    </w:p>
    <w:p w14:paraId="0390D647" w14:textId="77777777" w:rsidR="00FF408A" w:rsidRPr="002D2F67" w:rsidRDefault="00FF408A" w:rsidP="002D2F67">
      <w:pPr>
        <w:ind w:left="540"/>
        <w:jc w:val="thaiDistribute"/>
        <w:rPr>
          <w:rFonts w:ascii="Arial" w:hAnsi="Arial" w:cs="Arial"/>
          <w:i/>
          <w:iCs/>
          <w:color w:val="000000"/>
          <w:sz w:val="20"/>
          <w:szCs w:val="20"/>
        </w:rPr>
      </w:pPr>
    </w:p>
    <w:p w14:paraId="5ECBDF05" w14:textId="48A3F88B" w:rsidR="00F760A0" w:rsidRPr="002D2F67" w:rsidRDefault="00FF408A" w:rsidP="002D2F67">
      <w:pPr>
        <w:ind w:left="540"/>
        <w:rPr>
          <w:rFonts w:ascii="Arial" w:eastAsia="Arial Unicode MS" w:hAnsi="Arial" w:cs="Arial"/>
          <w:b/>
          <w:bCs/>
          <w:color w:val="000000"/>
          <w:sz w:val="20"/>
          <w:szCs w:val="20"/>
        </w:rPr>
      </w:pPr>
      <w:r w:rsidRPr="002D2F67">
        <w:rPr>
          <w:rFonts w:ascii="Arial" w:hAnsi="Arial" w:cs="Arial"/>
          <w:b/>
          <w:bCs/>
          <w:color w:val="000000"/>
          <w:sz w:val="20"/>
          <w:szCs w:val="20"/>
        </w:rPr>
        <w:t>Direct subsidiaries</w:t>
      </w:r>
    </w:p>
    <w:p w14:paraId="65C0B0CE" w14:textId="29D37F19" w:rsidR="00FF408A" w:rsidRPr="002D2F67" w:rsidRDefault="00FF408A" w:rsidP="002D2F67">
      <w:pPr>
        <w:ind w:left="540"/>
        <w:jc w:val="both"/>
        <w:rPr>
          <w:rFonts w:ascii="Arial" w:hAnsi="Arial" w:cs="Arial"/>
          <w:color w:val="000000"/>
          <w:sz w:val="20"/>
          <w:szCs w:val="20"/>
        </w:rPr>
      </w:pPr>
    </w:p>
    <w:p w14:paraId="0C3F1DF5" w14:textId="77777777" w:rsidR="00374F19" w:rsidRPr="002D2F67" w:rsidRDefault="00374F19" w:rsidP="002D2F67">
      <w:pPr>
        <w:ind w:left="540"/>
        <w:rPr>
          <w:rFonts w:ascii="Arial" w:hAnsi="Arial" w:cs="Arial"/>
          <w:sz w:val="20"/>
          <w:szCs w:val="20"/>
          <w:u w:val="single"/>
        </w:rPr>
      </w:pPr>
      <w:r w:rsidRPr="002D2F67">
        <w:rPr>
          <w:rFonts w:ascii="Arial" w:hAnsi="Arial" w:cs="Arial"/>
          <w:sz w:val="20"/>
          <w:szCs w:val="20"/>
          <w:u w:val="single"/>
        </w:rPr>
        <w:t>EA Mobility Holding Co., Ltd.</w:t>
      </w:r>
    </w:p>
    <w:p w14:paraId="569BE325" w14:textId="77777777" w:rsidR="00706C8B" w:rsidRPr="002D2F67" w:rsidRDefault="00706C8B" w:rsidP="002D2F67">
      <w:pPr>
        <w:ind w:left="540"/>
        <w:jc w:val="both"/>
        <w:rPr>
          <w:rFonts w:ascii="Arial" w:hAnsi="Arial" w:cs="Arial"/>
          <w:sz w:val="20"/>
          <w:szCs w:val="20"/>
        </w:rPr>
      </w:pPr>
    </w:p>
    <w:p w14:paraId="36DFA852" w14:textId="29638487" w:rsidR="00574D15" w:rsidRPr="002D2F67" w:rsidRDefault="001E0079" w:rsidP="002D2F67">
      <w:pPr>
        <w:ind w:left="540"/>
        <w:jc w:val="both"/>
        <w:rPr>
          <w:rFonts w:ascii="Arial" w:hAnsi="Arial" w:cs="Arial"/>
          <w:sz w:val="20"/>
          <w:szCs w:val="25"/>
        </w:rPr>
      </w:pPr>
      <w:r w:rsidRPr="002D2F67">
        <w:rPr>
          <w:rFonts w:ascii="Arial" w:hAnsi="Arial" w:cs="Arial"/>
          <w:sz w:val="20"/>
          <w:szCs w:val="20"/>
        </w:rPr>
        <w:t>A</w:t>
      </w:r>
      <w:r w:rsidR="00374F19" w:rsidRPr="002D2F67">
        <w:rPr>
          <w:rFonts w:ascii="Arial" w:hAnsi="Arial" w:cs="Arial"/>
          <w:sz w:val="20"/>
          <w:szCs w:val="20"/>
        </w:rPr>
        <w:t>t the Board of Directors’ meeting of EA Mobility Holding Company Limited</w:t>
      </w:r>
      <w:r w:rsidRPr="002D2F67">
        <w:rPr>
          <w:rFonts w:ascii="Arial" w:hAnsi="Arial" w:cs="Arial"/>
          <w:sz w:val="20"/>
          <w:szCs w:val="20"/>
        </w:rPr>
        <w:t xml:space="preserve"> on </w:t>
      </w:r>
      <w:r w:rsidR="00CD5714" w:rsidRPr="00CD5714">
        <w:rPr>
          <w:rFonts w:ascii="Arial" w:hAnsi="Arial" w:cs="Arial"/>
          <w:sz w:val="20"/>
          <w:szCs w:val="20"/>
          <w:lang w:val="en-GB"/>
        </w:rPr>
        <w:t>10</w:t>
      </w:r>
      <w:r w:rsidRPr="002D2F67">
        <w:rPr>
          <w:rFonts w:ascii="Arial" w:hAnsi="Arial" w:cs="Arial"/>
          <w:sz w:val="20"/>
          <w:szCs w:val="20"/>
        </w:rPr>
        <w:t xml:space="preserve"> May </w:t>
      </w:r>
      <w:r w:rsidR="00CD5714" w:rsidRPr="00CD5714">
        <w:rPr>
          <w:rFonts w:ascii="Arial" w:hAnsi="Arial" w:cs="Arial"/>
          <w:sz w:val="20"/>
          <w:szCs w:val="20"/>
          <w:lang w:val="en-GB"/>
        </w:rPr>
        <w:t>2024</w:t>
      </w:r>
      <w:r w:rsidR="00374F19" w:rsidRPr="002D2F67">
        <w:rPr>
          <w:rFonts w:ascii="Arial" w:hAnsi="Arial" w:cs="Arial"/>
          <w:sz w:val="20"/>
          <w:szCs w:val="20"/>
        </w:rPr>
        <w:t xml:space="preserve">, the Board of </w:t>
      </w:r>
      <w:r w:rsidR="00374F19" w:rsidRPr="002D2F67">
        <w:rPr>
          <w:rFonts w:ascii="Arial" w:hAnsi="Arial" w:cs="Arial"/>
          <w:spacing w:val="-4"/>
          <w:sz w:val="20"/>
          <w:szCs w:val="20"/>
        </w:rPr>
        <w:t xml:space="preserve">Directors passed a resolution to approve an increase in the registered share capital of Baht </w:t>
      </w:r>
      <w:r w:rsidR="00CD5714" w:rsidRPr="00CD5714">
        <w:rPr>
          <w:rFonts w:ascii="Arial" w:hAnsi="Arial" w:cs="Arial"/>
          <w:spacing w:val="-4"/>
          <w:sz w:val="20"/>
          <w:szCs w:val="20"/>
          <w:lang w:val="en-GB"/>
        </w:rPr>
        <w:t>124</w:t>
      </w:r>
      <w:r w:rsidR="00374F19" w:rsidRPr="002D2F67">
        <w:rPr>
          <w:rFonts w:ascii="Arial" w:hAnsi="Arial" w:cs="Arial"/>
          <w:spacing w:val="-4"/>
          <w:sz w:val="20"/>
          <w:szCs w:val="20"/>
        </w:rPr>
        <w:t xml:space="preserve"> million by newly issu</w:t>
      </w:r>
      <w:r w:rsidR="00C35B2C" w:rsidRPr="002D2F67">
        <w:rPr>
          <w:rFonts w:ascii="Arial" w:hAnsi="Arial" w:cs="Arial"/>
          <w:spacing w:val="-4"/>
          <w:sz w:val="20"/>
          <w:szCs w:val="20"/>
        </w:rPr>
        <w:t>ed</w:t>
      </w:r>
      <w:r w:rsidR="00374F19" w:rsidRPr="002D2F67">
        <w:rPr>
          <w:rFonts w:ascii="Arial" w:hAnsi="Arial" w:cs="Arial"/>
          <w:spacing w:val="-4"/>
          <w:sz w:val="20"/>
          <w:szCs w:val="20"/>
        </w:rPr>
        <w:t xml:space="preserve"> </w:t>
      </w:r>
      <w:r w:rsidR="00CD5714" w:rsidRPr="00CD5714">
        <w:rPr>
          <w:rFonts w:ascii="Arial" w:hAnsi="Arial" w:cs="Arial"/>
          <w:spacing w:val="-4"/>
          <w:sz w:val="20"/>
          <w:szCs w:val="20"/>
          <w:lang w:val="en-GB"/>
        </w:rPr>
        <w:t>12</w:t>
      </w:r>
      <w:r w:rsidR="00374F19" w:rsidRPr="002D2F67">
        <w:rPr>
          <w:rFonts w:ascii="Arial" w:hAnsi="Arial" w:cs="Arial"/>
          <w:spacing w:val="-4"/>
          <w:sz w:val="20"/>
          <w:szCs w:val="20"/>
        </w:rPr>
        <w:t>,</w:t>
      </w:r>
      <w:r w:rsidR="00CD5714" w:rsidRPr="00CD5714">
        <w:rPr>
          <w:rFonts w:ascii="Arial" w:hAnsi="Arial" w:cs="Arial"/>
          <w:spacing w:val="-4"/>
          <w:sz w:val="20"/>
          <w:szCs w:val="20"/>
          <w:lang w:val="en-GB"/>
        </w:rPr>
        <w:t>400</w:t>
      </w:r>
      <w:r w:rsidR="00374F19" w:rsidRPr="002D2F67">
        <w:rPr>
          <w:rFonts w:ascii="Arial" w:hAnsi="Arial" w:cs="Arial"/>
          <w:spacing w:val="-4"/>
          <w:sz w:val="20"/>
          <w:szCs w:val="20"/>
        </w:rPr>
        <w:t>,</w:t>
      </w:r>
      <w:r w:rsidR="00CD5714" w:rsidRPr="00CD5714">
        <w:rPr>
          <w:rFonts w:ascii="Arial" w:hAnsi="Arial" w:cs="Arial"/>
          <w:spacing w:val="-4"/>
          <w:sz w:val="20"/>
          <w:szCs w:val="20"/>
          <w:lang w:val="en-GB"/>
        </w:rPr>
        <w:t>000</w:t>
      </w:r>
      <w:r w:rsidR="00374F19" w:rsidRPr="002D2F67">
        <w:rPr>
          <w:rFonts w:ascii="Arial" w:hAnsi="Arial" w:cs="Arial"/>
          <w:spacing w:val="-4"/>
          <w:sz w:val="20"/>
          <w:szCs w:val="20"/>
        </w:rPr>
        <w:t xml:space="preserve"> ordinary shares at a par value of Baht </w:t>
      </w:r>
      <w:r w:rsidR="00CD5714" w:rsidRPr="00CD5714">
        <w:rPr>
          <w:rFonts w:ascii="Arial" w:hAnsi="Arial" w:cs="Arial"/>
          <w:spacing w:val="-4"/>
          <w:sz w:val="20"/>
          <w:szCs w:val="20"/>
          <w:lang w:val="en-GB"/>
        </w:rPr>
        <w:t>10</w:t>
      </w:r>
      <w:r w:rsidR="00374F19" w:rsidRPr="002D2F67">
        <w:rPr>
          <w:rFonts w:ascii="Arial" w:hAnsi="Arial" w:cs="Arial"/>
          <w:spacing w:val="-4"/>
          <w:sz w:val="20"/>
          <w:szCs w:val="20"/>
        </w:rPr>
        <w:t>, from the registered</w:t>
      </w:r>
      <w:r w:rsidR="00374F19" w:rsidRPr="002D2F67">
        <w:rPr>
          <w:rFonts w:ascii="Arial" w:hAnsi="Arial" w:cs="Arial"/>
          <w:sz w:val="20"/>
          <w:szCs w:val="20"/>
        </w:rPr>
        <w:t xml:space="preserve"> share capital of Baht </w:t>
      </w:r>
      <w:r w:rsidR="00CD5714" w:rsidRPr="00CD5714">
        <w:rPr>
          <w:rFonts w:ascii="Arial" w:hAnsi="Arial" w:cs="Arial"/>
          <w:sz w:val="20"/>
          <w:szCs w:val="20"/>
          <w:lang w:val="en-GB"/>
        </w:rPr>
        <w:t>7</w:t>
      </w:r>
      <w:r w:rsidR="00374F19" w:rsidRPr="002D2F67">
        <w:rPr>
          <w:rFonts w:ascii="Arial" w:hAnsi="Arial" w:cs="Arial"/>
          <w:sz w:val="20"/>
          <w:szCs w:val="20"/>
        </w:rPr>
        <w:t>,</w:t>
      </w:r>
      <w:r w:rsidR="00CD5714" w:rsidRPr="00CD5714">
        <w:rPr>
          <w:rFonts w:ascii="Arial" w:hAnsi="Arial" w:cs="Arial"/>
          <w:sz w:val="20"/>
          <w:szCs w:val="20"/>
          <w:lang w:val="en-GB"/>
        </w:rPr>
        <w:t>963</w:t>
      </w:r>
      <w:r w:rsidR="00374F19" w:rsidRPr="002D2F67">
        <w:rPr>
          <w:rFonts w:ascii="Arial" w:hAnsi="Arial" w:cs="Arial"/>
          <w:sz w:val="20"/>
          <w:szCs w:val="20"/>
        </w:rPr>
        <w:t xml:space="preserve"> million to </w:t>
      </w:r>
      <w:r w:rsidR="00374F19" w:rsidRPr="002D2F67">
        <w:rPr>
          <w:rFonts w:ascii="Arial" w:hAnsi="Arial" w:cs="Arial"/>
          <w:sz w:val="20"/>
          <w:szCs w:val="25"/>
        </w:rPr>
        <w:t xml:space="preserve">Baht </w:t>
      </w:r>
      <w:r w:rsidR="00CD5714" w:rsidRPr="00CD5714">
        <w:rPr>
          <w:rFonts w:ascii="Arial" w:hAnsi="Arial" w:cs="Arial"/>
          <w:sz w:val="20"/>
          <w:szCs w:val="25"/>
          <w:lang w:val="en-GB"/>
        </w:rPr>
        <w:t>8</w:t>
      </w:r>
      <w:r w:rsidR="00374F19" w:rsidRPr="002D2F67">
        <w:rPr>
          <w:rFonts w:ascii="Arial" w:hAnsi="Arial" w:cs="Arial"/>
          <w:sz w:val="20"/>
          <w:szCs w:val="25"/>
        </w:rPr>
        <w:t>,</w:t>
      </w:r>
      <w:r w:rsidR="00CD5714" w:rsidRPr="00CD5714">
        <w:rPr>
          <w:rFonts w:ascii="Arial" w:hAnsi="Arial" w:cs="Arial"/>
          <w:sz w:val="20"/>
          <w:szCs w:val="25"/>
          <w:lang w:val="en-GB"/>
        </w:rPr>
        <w:t>087</w:t>
      </w:r>
      <w:r w:rsidR="00374F19" w:rsidRPr="002D2F67">
        <w:rPr>
          <w:rFonts w:ascii="Arial" w:hAnsi="Arial" w:cs="Arial"/>
          <w:sz w:val="20"/>
          <w:szCs w:val="25"/>
        </w:rPr>
        <w:t xml:space="preserve"> million. The Company paid for the said ordinary shares of Baht </w:t>
      </w:r>
      <w:r w:rsidR="00CD5714" w:rsidRPr="00CD5714">
        <w:rPr>
          <w:rFonts w:ascii="Arial" w:hAnsi="Arial" w:cs="Arial"/>
          <w:sz w:val="20"/>
          <w:szCs w:val="25"/>
          <w:lang w:val="en-GB"/>
        </w:rPr>
        <w:t>124</w:t>
      </w:r>
      <w:r w:rsidR="00374F19" w:rsidRPr="002D2F67">
        <w:rPr>
          <w:rFonts w:ascii="Arial" w:hAnsi="Arial" w:cs="Arial"/>
          <w:sz w:val="20"/>
          <w:szCs w:val="25"/>
        </w:rPr>
        <w:t xml:space="preserve"> million during the year.</w:t>
      </w:r>
    </w:p>
    <w:p w14:paraId="39299D72" w14:textId="21DF26AA" w:rsidR="001E0079" w:rsidRPr="002D2F67" w:rsidRDefault="00706C8B" w:rsidP="00706C8B">
      <w:pPr>
        <w:ind w:left="540"/>
        <w:jc w:val="both"/>
        <w:rPr>
          <w:rFonts w:ascii="Arial" w:hAnsi="Arial" w:cs="Arial"/>
          <w:sz w:val="20"/>
          <w:szCs w:val="25"/>
        </w:rPr>
      </w:pPr>
      <w:r w:rsidRPr="002D2F67">
        <w:rPr>
          <w:rFonts w:ascii="Arial" w:hAnsi="Arial" w:cs="Arial"/>
          <w:sz w:val="20"/>
          <w:szCs w:val="25"/>
        </w:rPr>
        <w:br w:type="page"/>
      </w:r>
    </w:p>
    <w:p w14:paraId="5E7BFB5B" w14:textId="79D5B650" w:rsidR="00655B41" w:rsidRPr="002D2F67" w:rsidRDefault="00640BB3" w:rsidP="00706C8B">
      <w:pPr>
        <w:ind w:left="540"/>
        <w:rPr>
          <w:rFonts w:ascii="Arial" w:hAnsi="Arial" w:cs="Arial"/>
          <w:b/>
          <w:bCs/>
          <w:color w:val="000000"/>
          <w:sz w:val="20"/>
          <w:szCs w:val="20"/>
        </w:rPr>
      </w:pPr>
      <w:r w:rsidRPr="002D2F67">
        <w:rPr>
          <w:rFonts w:ascii="Arial" w:hAnsi="Arial" w:cs="Arial"/>
          <w:b/>
          <w:bCs/>
          <w:color w:val="000000"/>
          <w:sz w:val="20"/>
          <w:szCs w:val="20"/>
        </w:rPr>
        <w:t>Indirect subsidiar</w:t>
      </w:r>
      <w:r w:rsidR="00600AA0" w:rsidRPr="002D2F67">
        <w:rPr>
          <w:rFonts w:ascii="Arial" w:hAnsi="Arial" w:cs="Arial"/>
          <w:b/>
          <w:bCs/>
          <w:color w:val="000000"/>
          <w:sz w:val="20"/>
          <w:szCs w:val="20"/>
        </w:rPr>
        <w:t>y</w:t>
      </w:r>
    </w:p>
    <w:p w14:paraId="053C466D" w14:textId="77777777" w:rsidR="00A812C2" w:rsidRPr="002D2F67" w:rsidRDefault="00A812C2" w:rsidP="00706C8B">
      <w:pPr>
        <w:ind w:left="540"/>
        <w:jc w:val="both"/>
        <w:rPr>
          <w:rFonts w:ascii="Arial" w:hAnsi="Arial" w:cs="Arial"/>
          <w:b/>
          <w:bCs/>
          <w:color w:val="000000"/>
          <w:sz w:val="20"/>
          <w:szCs w:val="20"/>
        </w:rPr>
      </w:pPr>
    </w:p>
    <w:p w14:paraId="181B7AC9" w14:textId="0DEBE80E" w:rsidR="00A812C2" w:rsidRPr="002D2F67" w:rsidRDefault="00A812C2" w:rsidP="00706C8B">
      <w:pPr>
        <w:ind w:left="540"/>
        <w:jc w:val="both"/>
        <w:rPr>
          <w:rFonts w:ascii="Arial" w:hAnsi="Arial" w:cs="Arial"/>
          <w:i/>
          <w:iCs/>
          <w:spacing w:val="-4"/>
          <w:sz w:val="20"/>
          <w:szCs w:val="20"/>
        </w:rPr>
      </w:pPr>
      <w:r w:rsidRPr="002D2F67">
        <w:rPr>
          <w:rFonts w:ascii="Arial" w:hAnsi="Arial" w:cs="Arial"/>
          <w:i/>
          <w:iCs/>
          <w:spacing w:val="-4"/>
          <w:sz w:val="20"/>
          <w:szCs w:val="20"/>
        </w:rPr>
        <w:t xml:space="preserve">Disposal of </w:t>
      </w:r>
      <w:r w:rsidR="002465B0" w:rsidRPr="002D2F67">
        <w:rPr>
          <w:rFonts w:ascii="Arial" w:hAnsi="Arial" w:cs="Arial"/>
          <w:i/>
          <w:iCs/>
          <w:spacing w:val="-4"/>
          <w:sz w:val="20"/>
          <w:szCs w:val="20"/>
        </w:rPr>
        <w:t>i</w:t>
      </w:r>
      <w:r w:rsidRPr="002D2F67">
        <w:rPr>
          <w:rFonts w:ascii="Arial" w:hAnsi="Arial" w:cs="Arial"/>
          <w:i/>
          <w:iCs/>
          <w:spacing w:val="-4"/>
          <w:sz w:val="20"/>
          <w:szCs w:val="20"/>
        </w:rPr>
        <w:t xml:space="preserve">ndirect </w:t>
      </w:r>
      <w:r w:rsidR="001E0079" w:rsidRPr="002D2F67">
        <w:rPr>
          <w:rFonts w:ascii="Arial" w:hAnsi="Arial" w:cs="Arial"/>
          <w:i/>
          <w:iCs/>
          <w:spacing w:val="-4"/>
          <w:sz w:val="20"/>
          <w:szCs w:val="20"/>
        </w:rPr>
        <w:t>i</w:t>
      </w:r>
      <w:r w:rsidRPr="002D2F67">
        <w:rPr>
          <w:rFonts w:ascii="Arial" w:hAnsi="Arial" w:cs="Arial"/>
          <w:i/>
          <w:iCs/>
          <w:spacing w:val="-4"/>
          <w:sz w:val="20"/>
          <w:szCs w:val="20"/>
        </w:rPr>
        <w:t xml:space="preserve">nvestment in </w:t>
      </w:r>
      <w:r w:rsidR="001E0079" w:rsidRPr="002D2F67">
        <w:rPr>
          <w:rFonts w:ascii="Arial" w:hAnsi="Arial" w:cs="Arial"/>
          <w:i/>
          <w:iCs/>
          <w:spacing w:val="-4"/>
          <w:sz w:val="20"/>
          <w:szCs w:val="20"/>
        </w:rPr>
        <w:t>s</w:t>
      </w:r>
      <w:r w:rsidRPr="002D2F67">
        <w:rPr>
          <w:rFonts w:ascii="Arial" w:hAnsi="Arial" w:cs="Arial"/>
          <w:i/>
          <w:iCs/>
          <w:spacing w:val="-4"/>
          <w:sz w:val="20"/>
          <w:szCs w:val="20"/>
        </w:rPr>
        <w:t>ubsidiaries</w:t>
      </w:r>
    </w:p>
    <w:p w14:paraId="3BF60755" w14:textId="77777777" w:rsidR="00574D15" w:rsidRPr="002D2F67" w:rsidRDefault="00574D15" w:rsidP="00706C8B">
      <w:pPr>
        <w:ind w:left="540"/>
        <w:jc w:val="both"/>
        <w:rPr>
          <w:rFonts w:ascii="Arial" w:hAnsi="Arial" w:cs="Arial"/>
          <w:i/>
          <w:iCs/>
          <w:spacing w:val="-4"/>
          <w:sz w:val="20"/>
          <w:szCs w:val="20"/>
        </w:rPr>
      </w:pPr>
    </w:p>
    <w:p w14:paraId="19B4DB49" w14:textId="79871A5F" w:rsidR="00F32C06" w:rsidRPr="002D2F67" w:rsidRDefault="00F32C06" w:rsidP="00706C8B">
      <w:pPr>
        <w:ind w:left="540"/>
        <w:jc w:val="both"/>
        <w:rPr>
          <w:rFonts w:ascii="Arial" w:hAnsi="Arial" w:cs="Arial"/>
          <w:color w:val="000000"/>
          <w:sz w:val="20"/>
          <w:szCs w:val="20"/>
          <w:u w:val="single"/>
        </w:rPr>
      </w:pPr>
      <w:r w:rsidRPr="002D2F67">
        <w:rPr>
          <w:rFonts w:ascii="Arial" w:hAnsi="Arial" w:cs="Arial"/>
          <w:color w:val="000000"/>
          <w:sz w:val="20"/>
          <w:szCs w:val="20"/>
          <w:u w:val="single"/>
        </w:rPr>
        <w:t>Larp Pakdi Palm Co., Ltd.</w:t>
      </w:r>
      <w:r w:rsidR="00600AA0" w:rsidRPr="002D2F67">
        <w:rPr>
          <w:rFonts w:ascii="Arial" w:hAnsi="Arial" w:cs="Arial"/>
          <w:color w:val="000000"/>
          <w:sz w:val="20"/>
          <w:szCs w:val="20"/>
          <w:u w:val="single"/>
        </w:rPr>
        <w:t xml:space="preserve"> (LPD)</w:t>
      </w:r>
    </w:p>
    <w:p w14:paraId="0B5C6CFB" w14:textId="77777777" w:rsidR="00706C8B" w:rsidRPr="002D2F67" w:rsidRDefault="00706C8B" w:rsidP="00706C8B">
      <w:pPr>
        <w:ind w:left="540"/>
        <w:jc w:val="thaiDistribute"/>
        <w:rPr>
          <w:rFonts w:ascii="Arial" w:eastAsia="Arial Unicode MS" w:hAnsi="Arial" w:cs="Arial"/>
          <w:spacing w:val="-4"/>
          <w:sz w:val="20"/>
          <w:szCs w:val="20"/>
        </w:rPr>
      </w:pPr>
    </w:p>
    <w:p w14:paraId="2DDC2923" w14:textId="5B0D72C7" w:rsidR="00F32C06" w:rsidRPr="002D2F67" w:rsidRDefault="00F32C06" w:rsidP="00706C8B">
      <w:pPr>
        <w:ind w:left="540"/>
        <w:jc w:val="thaiDistribute"/>
        <w:rPr>
          <w:rFonts w:ascii="Arial" w:eastAsia="Arial Unicode MS" w:hAnsi="Arial" w:cs="Arial"/>
          <w:sz w:val="20"/>
          <w:szCs w:val="20"/>
        </w:rPr>
      </w:pPr>
      <w:r w:rsidRPr="002D2F67">
        <w:rPr>
          <w:rFonts w:ascii="Arial" w:eastAsia="Arial Unicode MS" w:hAnsi="Arial" w:cs="Arial"/>
          <w:spacing w:val="-4"/>
          <w:sz w:val="20"/>
          <w:szCs w:val="20"/>
        </w:rPr>
        <w:t xml:space="preserve">On </w:t>
      </w:r>
      <w:r w:rsidR="00CD5714" w:rsidRPr="00CD5714">
        <w:rPr>
          <w:rFonts w:ascii="Arial" w:eastAsia="Arial Unicode MS" w:hAnsi="Arial" w:cs="Arial"/>
          <w:spacing w:val="-4"/>
          <w:sz w:val="20"/>
          <w:szCs w:val="20"/>
          <w:lang w:val="en-GB"/>
        </w:rPr>
        <w:t>17</w:t>
      </w:r>
      <w:r w:rsidRPr="002D2F67">
        <w:rPr>
          <w:rFonts w:ascii="Arial" w:eastAsia="Arial Unicode MS" w:hAnsi="Arial" w:cs="Arial"/>
          <w:spacing w:val="-4"/>
          <w:sz w:val="20"/>
          <w:szCs w:val="20"/>
          <w:cs/>
        </w:rPr>
        <w:t xml:space="preserve"> </w:t>
      </w:r>
      <w:r w:rsidRPr="002D2F67">
        <w:rPr>
          <w:rFonts w:ascii="Arial" w:eastAsia="Arial Unicode MS" w:hAnsi="Arial" w:cs="Arial"/>
          <w:spacing w:val="-4"/>
          <w:sz w:val="20"/>
          <w:szCs w:val="20"/>
        </w:rPr>
        <w:t xml:space="preserve">October </w:t>
      </w:r>
      <w:r w:rsidR="00CD5714" w:rsidRPr="00CD5714">
        <w:rPr>
          <w:rFonts w:ascii="Arial" w:eastAsia="Arial Unicode MS" w:hAnsi="Arial" w:cs="Arial"/>
          <w:spacing w:val="-4"/>
          <w:sz w:val="20"/>
          <w:szCs w:val="20"/>
          <w:lang w:val="en-GB"/>
        </w:rPr>
        <w:t>2024</w:t>
      </w:r>
      <w:r w:rsidRPr="002D2F67">
        <w:rPr>
          <w:rFonts w:ascii="Arial" w:eastAsia="Arial Unicode MS" w:hAnsi="Arial" w:cs="Arial"/>
          <w:spacing w:val="-4"/>
          <w:sz w:val="20"/>
          <w:szCs w:val="20"/>
        </w:rPr>
        <w:t xml:space="preserve">, the Group </w:t>
      </w:r>
      <w:r w:rsidR="00600AA0" w:rsidRPr="002D2F67">
        <w:rPr>
          <w:rFonts w:ascii="Arial" w:eastAsia="Arial Unicode MS" w:hAnsi="Arial" w:cs="Arial"/>
          <w:spacing w:val="-4"/>
          <w:sz w:val="20"/>
          <w:szCs w:val="20"/>
        </w:rPr>
        <w:t xml:space="preserve">disposed its entire shareholding </w:t>
      </w:r>
      <w:r w:rsidR="00FA1FD3" w:rsidRPr="002D2F67">
        <w:rPr>
          <w:rFonts w:ascii="Arial" w:eastAsia="Arial Unicode MS" w:hAnsi="Arial" w:cs="Arial"/>
          <w:spacing w:val="-4"/>
          <w:sz w:val="20"/>
          <w:szCs w:val="20"/>
        </w:rPr>
        <w:t>interests</w:t>
      </w:r>
      <w:r w:rsidRPr="002D2F67">
        <w:rPr>
          <w:rFonts w:ascii="Arial" w:eastAsia="Arial Unicode MS" w:hAnsi="Arial" w:cs="Arial"/>
          <w:spacing w:val="-4"/>
          <w:sz w:val="20"/>
          <w:szCs w:val="20"/>
        </w:rPr>
        <w:t xml:space="preserve"> in LPD, an indirect subsidiary</w:t>
      </w:r>
      <w:r w:rsidRPr="002D2F67">
        <w:rPr>
          <w:rFonts w:ascii="Arial" w:eastAsia="Arial Unicode MS" w:hAnsi="Arial" w:cs="Arial"/>
          <w:sz w:val="20"/>
          <w:szCs w:val="20"/>
        </w:rPr>
        <w:t xml:space="preserve"> of the Group, to </w:t>
      </w:r>
      <w:r w:rsidR="00FA1FD3" w:rsidRPr="002D2F67">
        <w:rPr>
          <w:rFonts w:ascii="Arial" w:eastAsia="Arial Unicode MS" w:hAnsi="Arial" w:cs="Arial"/>
          <w:sz w:val="20"/>
          <w:szCs w:val="20"/>
        </w:rPr>
        <w:t>another investor</w:t>
      </w:r>
      <w:r w:rsidRPr="002D2F67">
        <w:rPr>
          <w:rFonts w:ascii="Arial" w:eastAsia="Arial Unicode MS" w:hAnsi="Arial" w:cs="Arial"/>
          <w:sz w:val="20"/>
          <w:szCs w:val="20"/>
        </w:rPr>
        <w:t>.</w:t>
      </w:r>
    </w:p>
    <w:p w14:paraId="5D48B947" w14:textId="77777777" w:rsidR="00FC5297" w:rsidRPr="002D2F67" w:rsidRDefault="00FC5297" w:rsidP="00706C8B">
      <w:pPr>
        <w:ind w:left="540"/>
        <w:jc w:val="thaiDistribute"/>
        <w:rPr>
          <w:rFonts w:ascii="Arial" w:eastAsia="Arial Unicode MS" w:hAnsi="Arial" w:cs="Arial"/>
          <w:sz w:val="20"/>
          <w:szCs w:val="20"/>
        </w:rPr>
      </w:pPr>
    </w:p>
    <w:p w14:paraId="49F8C18B" w14:textId="7C8D1F9F" w:rsidR="00FC5297" w:rsidRPr="002D2F67" w:rsidRDefault="00215B08" w:rsidP="00706C8B">
      <w:pPr>
        <w:ind w:left="540"/>
        <w:jc w:val="thaiDistribute"/>
        <w:rPr>
          <w:rFonts w:ascii="Arial" w:eastAsia="Arial Unicode MS" w:hAnsi="Arial" w:cs="Arial"/>
          <w:sz w:val="20"/>
          <w:szCs w:val="20"/>
        </w:rPr>
      </w:pPr>
      <w:r w:rsidRPr="002D2F67">
        <w:rPr>
          <w:rFonts w:ascii="Arial" w:hAnsi="Arial" w:cs="Arial"/>
          <w:sz w:val="20"/>
          <w:szCs w:val="20"/>
        </w:rPr>
        <w:t xml:space="preserve">The details of the disposal of indirect investment in subsidiaries </w:t>
      </w:r>
      <w:r w:rsidR="00745F33" w:rsidRPr="002D2F67">
        <w:rPr>
          <w:rFonts w:ascii="Arial" w:hAnsi="Arial" w:cs="Arial"/>
          <w:sz w:val="20"/>
          <w:szCs w:val="20"/>
        </w:rPr>
        <w:t>were</w:t>
      </w:r>
      <w:r w:rsidRPr="002D2F67">
        <w:rPr>
          <w:rFonts w:ascii="Arial" w:hAnsi="Arial" w:cs="Arial"/>
          <w:sz w:val="20"/>
          <w:szCs w:val="20"/>
        </w:rPr>
        <w:t xml:space="preserve"> as follows:</w:t>
      </w:r>
    </w:p>
    <w:p w14:paraId="610A9ACD" w14:textId="77777777" w:rsidR="00215B08" w:rsidRPr="002D2F67" w:rsidRDefault="00215B08" w:rsidP="00706C8B">
      <w:pPr>
        <w:ind w:left="540"/>
        <w:jc w:val="thaiDistribute"/>
        <w:rPr>
          <w:rFonts w:ascii="Arial" w:eastAsia="Arial Unicode MS" w:hAnsi="Arial" w:cs="Arial"/>
          <w:sz w:val="20"/>
          <w:szCs w:val="20"/>
        </w:rPr>
      </w:pPr>
    </w:p>
    <w:tbl>
      <w:tblPr>
        <w:tblW w:w="9018" w:type="dxa"/>
        <w:tblInd w:w="556" w:type="dxa"/>
        <w:tblLook w:val="0000" w:firstRow="0" w:lastRow="0" w:firstColumn="0" w:lastColumn="0" w:noHBand="0" w:noVBand="0"/>
      </w:tblPr>
      <w:tblGrid>
        <w:gridCol w:w="6858"/>
        <w:gridCol w:w="2160"/>
      </w:tblGrid>
      <w:tr w:rsidR="00FC5297" w:rsidRPr="002D2F67" w14:paraId="776FA11D" w14:textId="77777777" w:rsidTr="007874F5">
        <w:tc>
          <w:tcPr>
            <w:tcW w:w="6858" w:type="dxa"/>
            <w:vAlign w:val="bottom"/>
          </w:tcPr>
          <w:p w14:paraId="6725C8C9" w14:textId="77777777" w:rsidR="00FC5297" w:rsidRPr="002D2F67" w:rsidRDefault="00FC5297" w:rsidP="00D21F5E">
            <w:pPr>
              <w:ind w:left="-15"/>
              <w:jc w:val="thaiDistribute"/>
              <w:rPr>
                <w:rFonts w:ascii="Arial" w:hAnsi="Arial" w:cs="Arial"/>
                <w:b/>
                <w:bCs/>
                <w:color w:val="000000"/>
                <w:szCs w:val="26"/>
                <w:cs/>
              </w:rPr>
            </w:pPr>
          </w:p>
        </w:tc>
        <w:tc>
          <w:tcPr>
            <w:tcW w:w="2160" w:type="dxa"/>
            <w:tcBorders>
              <w:bottom w:val="single" w:sz="4" w:space="0" w:color="auto"/>
            </w:tcBorders>
            <w:shd w:val="clear" w:color="auto" w:fill="auto"/>
            <w:vAlign w:val="bottom"/>
          </w:tcPr>
          <w:p w14:paraId="24B2F5ED" w14:textId="77777777" w:rsidR="00215B08" w:rsidRPr="002D2F67" w:rsidRDefault="00215B08" w:rsidP="00215B08">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2F94B850" w14:textId="009155BA" w:rsidR="00FC5297" w:rsidRPr="002D2F67" w:rsidRDefault="00215B08" w:rsidP="00D21F5E">
            <w:pPr>
              <w:ind w:right="-72"/>
              <w:jc w:val="right"/>
              <w:rPr>
                <w:rFonts w:ascii="Arial" w:hAnsi="Arial" w:cs="Arial"/>
                <w:b/>
                <w:bCs/>
                <w:color w:val="000000"/>
                <w:szCs w:val="26"/>
                <w:cs/>
              </w:rPr>
            </w:pPr>
            <w:r w:rsidRPr="002D2F67">
              <w:rPr>
                <w:rFonts w:ascii="Arial" w:hAnsi="Arial" w:cs="Arial"/>
                <w:b/>
                <w:bCs/>
                <w:color w:val="000000"/>
                <w:sz w:val="20"/>
                <w:szCs w:val="20"/>
              </w:rPr>
              <w:t>financial statements</w:t>
            </w:r>
          </w:p>
        </w:tc>
      </w:tr>
      <w:tr w:rsidR="00FC5297" w:rsidRPr="002D2F67" w14:paraId="0991388C" w14:textId="77777777" w:rsidTr="007874F5">
        <w:trPr>
          <w:trHeight w:val="125"/>
        </w:trPr>
        <w:tc>
          <w:tcPr>
            <w:tcW w:w="6858" w:type="dxa"/>
            <w:vAlign w:val="bottom"/>
          </w:tcPr>
          <w:p w14:paraId="1084BD64" w14:textId="77777777" w:rsidR="00FC5297" w:rsidRPr="002D2F67" w:rsidRDefault="00FC5297" w:rsidP="00D21F5E">
            <w:pPr>
              <w:ind w:left="-15"/>
              <w:rPr>
                <w:rFonts w:ascii="Arial" w:hAnsi="Arial" w:cs="Arial"/>
                <w:b/>
                <w:bCs/>
                <w:color w:val="000000"/>
                <w:sz w:val="20"/>
                <w:szCs w:val="20"/>
                <w:cs/>
              </w:rPr>
            </w:pPr>
          </w:p>
        </w:tc>
        <w:tc>
          <w:tcPr>
            <w:tcW w:w="2160" w:type="dxa"/>
            <w:tcBorders>
              <w:top w:val="single" w:sz="4" w:space="0" w:color="auto"/>
              <w:bottom w:val="single" w:sz="4" w:space="0" w:color="auto"/>
            </w:tcBorders>
            <w:shd w:val="clear" w:color="auto" w:fill="auto"/>
            <w:vAlign w:val="bottom"/>
          </w:tcPr>
          <w:p w14:paraId="4F624F83" w14:textId="233BD504" w:rsidR="00FC5297" w:rsidRPr="002D2F67" w:rsidRDefault="00215B08" w:rsidP="00D21F5E">
            <w:pPr>
              <w:ind w:right="-72"/>
              <w:jc w:val="right"/>
              <w:rPr>
                <w:rFonts w:ascii="Arial" w:hAnsi="Arial" w:cs="Arial"/>
                <w:b/>
                <w:bCs/>
                <w:color w:val="000000"/>
                <w:sz w:val="20"/>
                <w:szCs w:val="20"/>
                <w:cs/>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5758D6" w:rsidRPr="002D2F67" w14:paraId="110132DA" w14:textId="77777777" w:rsidTr="005758D6">
        <w:trPr>
          <w:trHeight w:val="267"/>
        </w:trPr>
        <w:tc>
          <w:tcPr>
            <w:tcW w:w="6858" w:type="dxa"/>
            <w:vAlign w:val="bottom"/>
          </w:tcPr>
          <w:p w14:paraId="24C92C59" w14:textId="77777777" w:rsidR="005758D6" w:rsidRPr="002D2F67" w:rsidRDefault="005758D6" w:rsidP="00D21F5E">
            <w:pPr>
              <w:ind w:left="-15"/>
              <w:rPr>
                <w:rFonts w:ascii="Arial" w:hAnsi="Arial" w:cs="Arial"/>
                <w:b/>
                <w:bCs/>
                <w:color w:val="000000"/>
                <w:sz w:val="20"/>
                <w:szCs w:val="20"/>
                <w:cs/>
              </w:rPr>
            </w:pPr>
          </w:p>
        </w:tc>
        <w:tc>
          <w:tcPr>
            <w:tcW w:w="2160" w:type="dxa"/>
            <w:tcBorders>
              <w:top w:val="single" w:sz="4" w:space="0" w:color="auto"/>
            </w:tcBorders>
            <w:shd w:val="clear" w:color="auto" w:fill="auto"/>
            <w:vAlign w:val="bottom"/>
          </w:tcPr>
          <w:p w14:paraId="54B72487" w14:textId="77777777" w:rsidR="005758D6" w:rsidRPr="002D2F67" w:rsidRDefault="005758D6" w:rsidP="00D21F5E">
            <w:pPr>
              <w:ind w:right="-72"/>
              <w:jc w:val="right"/>
              <w:rPr>
                <w:rFonts w:ascii="Arial" w:hAnsi="Arial" w:cs="Arial"/>
                <w:b/>
                <w:bCs/>
                <w:color w:val="000000"/>
                <w:sz w:val="20"/>
                <w:szCs w:val="20"/>
              </w:rPr>
            </w:pPr>
          </w:p>
        </w:tc>
      </w:tr>
      <w:tr w:rsidR="00FC5297" w:rsidRPr="002D2F67" w14:paraId="2E17AFBB" w14:textId="77777777" w:rsidTr="007F75F7">
        <w:tc>
          <w:tcPr>
            <w:tcW w:w="6858" w:type="dxa"/>
          </w:tcPr>
          <w:p w14:paraId="2D1B0B65" w14:textId="0574E7B3" w:rsidR="00FC5297" w:rsidRPr="002D2F67" w:rsidRDefault="00215B08" w:rsidP="002C1AE8">
            <w:pPr>
              <w:tabs>
                <w:tab w:val="left" w:pos="1134"/>
                <w:tab w:val="left" w:pos="1276"/>
                <w:tab w:val="center" w:pos="3402"/>
                <w:tab w:val="center" w:pos="4536"/>
                <w:tab w:val="center" w:pos="5670"/>
                <w:tab w:val="center" w:pos="6804"/>
                <w:tab w:val="right" w:pos="7655"/>
              </w:tabs>
              <w:rPr>
                <w:rFonts w:ascii="Arial" w:hAnsi="Arial" w:cs="Arial"/>
                <w:color w:val="000000"/>
                <w:sz w:val="20"/>
                <w:szCs w:val="20"/>
                <w:cs/>
              </w:rPr>
            </w:pPr>
            <w:r w:rsidRPr="002D2F67">
              <w:rPr>
                <w:rFonts w:ascii="Arial" w:hAnsi="Arial" w:cs="Arial"/>
                <w:color w:val="000000"/>
                <w:sz w:val="20"/>
                <w:szCs w:val="20"/>
              </w:rPr>
              <w:t xml:space="preserve">Consideration received from </w:t>
            </w:r>
            <w:r w:rsidR="00E33C06" w:rsidRPr="002D2F67">
              <w:rPr>
                <w:rFonts w:ascii="Arial" w:hAnsi="Arial" w:cs="Arial"/>
                <w:color w:val="000000"/>
                <w:sz w:val="20"/>
                <w:szCs w:val="20"/>
              </w:rPr>
              <w:t>disposal</w:t>
            </w:r>
            <w:r w:rsidRPr="002D2F67">
              <w:rPr>
                <w:rFonts w:ascii="Arial" w:hAnsi="Arial" w:cs="Arial"/>
                <w:color w:val="000000"/>
                <w:sz w:val="20"/>
                <w:szCs w:val="20"/>
              </w:rPr>
              <w:t xml:space="preserve"> of business</w:t>
            </w:r>
            <w:r w:rsidR="005758D6" w:rsidRPr="002D2F67">
              <w:rPr>
                <w:rFonts w:ascii="Arial" w:hAnsi="Arial" w:cs="Arial"/>
                <w:color w:val="000000"/>
                <w:sz w:val="20"/>
                <w:szCs w:val="20"/>
              </w:rPr>
              <w:t xml:space="preserve"> </w:t>
            </w:r>
          </w:p>
        </w:tc>
        <w:tc>
          <w:tcPr>
            <w:tcW w:w="2160" w:type="dxa"/>
            <w:shd w:val="clear" w:color="auto" w:fill="auto"/>
          </w:tcPr>
          <w:p w14:paraId="0190E116" w14:textId="4706D135" w:rsidR="00FC5297" w:rsidRPr="002D2F67" w:rsidRDefault="00CD5714" w:rsidP="00D21F5E">
            <w:pPr>
              <w:ind w:right="-72"/>
              <w:jc w:val="right"/>
              <w:rPr>
                <w:rFonts w:ascii="Arial" w:hAnsi="Arial" w:cs="Arial"/>
                <w:color w:val="000000"/>
                <w:sz w:val="20"/>
                <w:szCs w:val="20"/>
              </w:rPr>
            </w:pPr>
            <w:r w:rsidRPr="00CD5714">
              <w:rPr>
                <w:rFonts w:ascii="Arial" w:hAnsi="Arial" w:cs="Arial"/>
                <w:color w:val="000000"/>
                <w:sz w:val="20"/>
                <w:szCs w:val="20"/>
                <w:lang w:val="en-GB"/>
              </w:rPr>
              <w:t>132</w:t>
            </w:r>
            <w:r w:rsidR="00FC5297" w:rsidRPr="002D2F67">
              <w:rPr>
                <w:rFonts w:ascii="Arial" w:hAnsi="Arial" w:cs="Arial"/>
                <w:color w:val="000000"/>
                <w:sz w:val="20"/>
                <w:szCs w:val="20"/>
              </w:rPr>
              <w:t>,</w:t>
            </w:r>
            <w:r w:rsidRPr="00CD5714">
              <w:rPr>
                <w:rFonts w:ascii="Arial" w:hAnsi="Arial" w:cs="Arial"/>
                <w:color w:val="000000"/>
                <w:sz w:val="20"/>
                <w:szCs w:val="20"/>
                <w:lang w:val="en-GB"/>
              </w:rPr>
              <w:t>730</w:t>
            </w:r>
          </w:p>
        </w:tc>
      </w:tr>
      <w:tr w:rsidR="00FC5297" w:rsidRPr="002D2F67" w14:paraId="0FD5A3AA" w14:textId="77777777" w:rsidTr="007F75F7">
        <w:tc>
          <w:tcPr>
            <w:tcW w:w="6858" w:type="dxa"/>
          </w:tcPr>
          <w:p w14:paraId="5DBD6F40" w14:textId="6F6F1C95" w:rsidR="00FC5297" w:rsidRPr="002D2F67" w:rsidRDefault="00215B08" w:rsidP="002C1AE8">
            <w:pPr>
              <w:tabs>
                <w:tab w:val="left" w:pos="1134"/>
                <w:tab w:val="left" w:pos="1276"/>
                <w:tab w:val="center" w:pos="3402"/>
                <w:tab w:val="center" w:pos="4536"/>
                <w:tab w:val="center" w:pos="5670"/>
                <w:tab w:val="center" w:pos="6804"/>
                <w:tab w:val="right" w:pos="7655"/>
              </w:tabs>
              <w:rPr>
                <w:rFonts w:ascii="Arial" w:hAnsi="Arial" w:cs="Arial"/>
                <w:color w:val="000000"/>
                <w:sz w:val="20"/>
                <w:szCs w:val="20"/>
                <w:cs/>
              </w:rPr>
            </w:pPr>
            <w:r w:rsidRPr="002D2F67">
              <w:rPr>
                <w:rFonts w:ascii="Arial" w:hAnsi="Arial" w:cs="Arial"/>
                <w:color w:val="000000"/>
                <w:sz w:val="20"/>
                <w:szCs w:val="20"/>
                <w:u w:val="single"/>
              </w:rPr>
              <w:t>Less</w:t>
            </w:r>
            <w:r w:rsidRPr="002D2F67">
              <w:rPr>
                <w:rFonts w:ascii="Arial" w:hAnsi="Arial" w:cs="Arial"/>
                <w:color w:val="000000"/>
                <w:sz w:val="20"/>
                <w:szCs w:val="20"/>
              </w:rPr>
              <w:t xml:space="preserve"> Cash and cash equivalents as of the </w:t>
            </w:r>
            <w:r w:rsidR="00600AA0" w:rsidRPr="002D2F67">
              <w:rPr>
                <w:rFonts w:ascii="Arial" w:hAnsi="Arial" w:cs="Arial"/>
                <w:color w:val="000000"/>
                <w:sz w:val="20"/>
                <w:szCs w:val="20"/>
              </w:rPr>
              <w:t>disposal</w:t>
            </w:r>
            <w:r w:rsidRPr="002D2F67">
              <w:rPr>
                <w:rFonts w:ascii="Arial" w:hAnsi="Arial" w:cs="Arial"/>
                <w:color w:val="000000"/>
                <w:sz w:val="20"/>
                <w:szCs w:val="20"/>
              </w:rPr>
              <w:t xml:space="preserve"> date</w:t>
            </w:r>
          </w:p>
        </w:tc>
        <w:tc>
          <w:tcPr>
            <w:tcW w:w="2160" w:type="dxa"/>
            <w:tcBorders>
              <w:bottom w:val="single" w:sz="4" w:space="0" w:color="auto"/>
            </w:tcBorders>
            <w:shd w:val="clear" w:color="auto" w:fill="auto"/>
          </w:tcPr>
          <w:p w14:paraId="4761D92E" w14:textId="4FF4E2C8" w:rsidR="00FC5297" w:rsidRPr="002D2F67" w:rsidRDefault="00FC5297" w:rsidP="00D21F5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222</w:t>
            </w:r>
            <w:r w:rsidRPr="002D2F67">
              <w:rPr>
                <w:rFonts w:ascii="Arial" w:hAnsi="Arial" w:cs="Arial"/>
                <w:color w:val="000000"/>
                <w:sz w:val="20"/>
                <w:szCs w:val="20"/>
              </w:rPr>
              <w:t>)</w:t>
            </w:r>
          </w:p>
        </w:tc>
      </w:tr>
      <w:tr w:rsidR="00E33C06" w:rsidRPr="002D2F67" w14:paraId="5E087EB4" w14:textId="77777777" w:rsidTr="00E33C06">
        <w:tc>
          <w:tcPr>
            <w:tcW w:w="6858" w:type="dxa"/>
          </w:tcPr>
          <w:p w14:paraId="3F75C7BE" w14:textId="77777777" w:rsidR="00E33C06" w:rsidRPr="002D2F67" w:rsidRDefault="00E33C06" w:rsidP="002C1AE8">
            <w:pPr>
              <w:tabs>
                <w:tab w:val="left" w:pos="1134"/>
                <w:tab w:val="left" w:pos="1276"/>
                <w:tab w:val="center" w:pos="3402"/>
                <w:tab w:val="center" w:pos="4536"/>
                <w:tab w:val="center" w:pos="5670"/>
                <w:tab w:val="center" w:pos="6804"/>
                <w:tab w:val="right" w:pos="7655"/>
              </w:tabs>
              <w:rPr>
                <w:rFonts w:ascii="Arial" w:hAnsi="Arial" w:cs="Arial"/>
                <w:color w:val="000000"/>
                <w:sz w:val="20"/>
                <w:szCs w:val="20"/>
                <w:u w:val="single"/>
              </w:rPr>
            </w:pPr>
          </w:p>
        </w:tc>
        <w:tc>
          <w:tcPr>
            <w:tcW w:w="2160" w:type="dxa"/>
            <w:shd w:val="clear" w:color="auto" w:fill="auto"/>
          </w:tcPr>
          <w:p w14:paraId="247CAD13" w14:textId="77777777" w:rsidR="00E33C06" w:rsidRPr="002D2F67" w:rsidRDefault="00E33C06" w:rsidP="00D21F5E">
            <w:pPr>
              <w:ind w:right="-72"/>
              <w:jc w:val="right"/>
              <w:rPr>
                <w:rFonts w:ascii="Arial" w:hAnsi="Arial" w:cs="Arial"/>
                <w:color w:val="000000"/>
                <w:sz w:val="20"/>
                <w:szCs w:val="20"/>
              </w:rPr>
            </w:pPr>
          </w:p>
        </w:tc>
      </w:tr>
      <w:tr w:rsidR="00FC5297" w:rsidRPr="002D2F67" w14:paraId="7EEDA0F2" w14:textId="77777777" w:rsidTr="00E33C06">
        <w:tc>
          <w:tcPr>
            <w:tcW w:w="6858" w:type="dxa"/>
          </w:tcPr>
          <w:p w14:paraId="11F45E18" w14:textId="71E6DD2C" w:rsidR="00FC5297" w:rsidRPr="002D2F67" w:rsidRDefault="00215B08" w:rsidP="002C1AE8">
            <w:pPr>
              <w:tabs>
                <w:tab w:val="left" w:pos="1134"/>
                <w:tab w:val="left" w:pos="1276"/>
                <w:tab w:val="center" w:pos="3402"/>
                <w:tab w:val="center" w:pos="4536"/>
                <w:tab w:val="center" w:pos="5670"/>
                <w:tab w:val="center" w:pos="6804"/>
                <w:tab w:val="right" w:pos="7655"/>
              </w:tabs>
              <w:rPr>
                <w:rFonts w:ascii="Arial" w:hAnsi="Arial" w:cs="Arial"/>
                <w:color w:val="000000"/>
                <w:sz w:val="20"/>
                <w:szCs w:val="20"/>
                <w:cs/>
              </w:rPr>
            </w:pPr>
            <w:r w:rsidRPr="002D2F67">
              <w:rPr>
                <w:rFonts w:ascii="Arial" w:hAnsi="Arial" w:cs="Arial"/>
                <w:color w:val="000000"/>
                <w:sz w:val="20"/>
                <w:szCs w:val="20"/>
              </w:rPr>
              <w:t>Net consideration received from the sale of business</w:t>
            </w:r>
          </w:p>
        </w:tc>
        <w:tc>
          <w:tcPr>
            <w:tcW w:w="2160" w:type="dxa"/>
            <w:shd w:val="clear" w:color="auto" w:fill="auto"/>
          </w:tcPr>
          <w:p w14:paraId="66CA6E12" w14:textId="5850E714" w:rsidR="00FC5297" w:rsidRPr="002D2F67" w:rsidRDefault="00CD5714" w:rsidP="00D21F5E">
            <w:pPr>
              <w:ind w:right="-72"/>
              <w:jc w:val="right"/>
              <w:rPr>
                <w:rFonts w:ascii="Arial" w:hAnsi="Arial" w:cs="Arial"/>
                <w:color w:val="000000"/>
                <w:sz w:val="20"/>
                <w:szCs w:val="20"/>
              </w:rPr>
            </w:pPr>
            <w:r w:rsidRPr="00CD5714">
              <w:rPr>
                <w:rFonts w:ascii="Arial" w:hAnsi="Arial" w:cs="Arial"/>
                <w:color w:val="000000"/>
                <w:sz w:val="20"/>
                <w:szCs w:val="20"/>
                <w:lang w:val="en-GB"/>
              </w:rPr>
              <w:t>132</w:t>
            </w:r>
            <w:r w:rsidR="00FC5297" w:rsidRPr="002D2F67">
              <w:rPr>
                <w:rFonts w:ascii="Arial" w:hAnsi="Arial" w:cs="Arial"/>
                <w:color w:val="000000"/>
                <w:sz w:val="20"/>
                <w:szCs w:val="20"/>
              </w:rPr>
              <w:t>,</w:t>
            </w:r>
            <w:r w:rsidRPr="00CD5714">
              <w:rPr>
                <w:rFonts w:ascii="Arial" w:hAnsi="Arial" w:cs="Arial"/>
                <w:color w:val="000000"/>
                <w:sz w:val="20"/>
                <w:szCs w:val="20"/>
                <w:lang w:val="en-GB"/>
              </w:rPr>
              <w:t>508</w:t>
            </w:r>
          </w:p>
        </w:tc>
      </w:tr>
      <w:tr w:rsidR="00BC3275" w:rsidRPr="002D2F67" w14:paraId="11417994" w14:textId="77777777" w:rsidTr="00E33C06">
        <w:tc>
          <w:tcPr>
            <w:tcW w:w="6858" w:type="dxa"/>
          </w:tcPr>
          <w:p w14:paraId="5C6C6887" w14:textId="77777777" w:rsidR="00BC3275" w:rsidRPr="002D2F67" w:rsidRDefault="00BC3275" w:rsidP="002C1AE8">
            <w:pPr>
              <w:tabs>
                <w:tab w:val="left" w:pos="1134"/>
                <w:tab w:val="left" w:pos="1276"/>
                <w:tab w:val="center" w:pos="3402"/>
                <w:tab w:val="center" w:pos="4536"/>
                <w:tab w:val="center" w:pos="5670"/>
                <w:tab w:val="center" w:pos="6804"/>
                <w:tab w:val="right" w:pos="7655"/>
              </w:tabs>
              <w:rPr>
                <w:rFonts w:ascii="Arial" w:hAnsi="Arial" w:cs="Arial"/>
                <w:color w:val="000000"/>
                <w:sz w:val="20"/>
                <w:szCs w:val="20"/>
              </w:rPr>
            </w:pPr>
          </w:p>
        </w:tc>
        <w:tc>
          <w:tcPr>
            <w:tcW w:w="2160" w:type="dxa"/>
            <w:shd w:val="clear" w:color="auto" w:fill="auto"/>
          </w:tcPr>
          <w:p w14:paraId="45F2DE28" w14:textId="77777777" w:rsidR="00BC3275" w:rsidRPr="002D2F67" w:rsidRDefault="00BC3275" w:rsidP="00D21F5E">
            <w:pPr>
              <w:ind w:right="-72"/>
              <w:jc w:val="right"/>
              <w:rPr>
                <w:rFonts w:ascii="Arial" w:hAnsi="Arial" w:cs="Arial"/>
                <w:color w:val="000000"/>
                <w:sz w:val="20"/>
                <w:szCs w:val="20"/>
              </w:rPr>
            </w:pPr>
          </w:p>
        </w:tc>
      </w:tr>
      <w:tr w:rsidR="00FC5297" w:rsidRPr="002D2F67" w14:paraId="2245220B" w14:textId="77777777" w:rsidTr="007F75F7">
        <w:tc>
          <w:tcPr>
            <w:tcW w:w="6858" w:type="dxa"/>
          </w:tcPr>
          <w:p w14:paraId="7D446024" w14:textId="0CB18A97" w:rsidR="00FC5297" w:rsidRPr="002D2F67" w:rsidRDefault="00215B08" w:rsidP="002C1AE8">
            <w:pPr>
              <w:tabs>
                <w:tab w:val="left" w:pos="1134"/>
                <w:tab w:val="left" w:pos="1276"/>
                <w:tab w:val="center" w:pos="3402"/>
                <w:tab w:val="center" w:pos="4536"/>
                <w:tab w:val="center" w:pos="5670"/>
                <w:tab w:val="center" w:pos="6804"/>
                <w:tab w:val="right" w:pos="7655"/>
              </w:tabs>
              <w:rPr>
                <w:rFonts w:ascii="Arial" w:hAnsi="Arial" w:cs="Arial"/>
                <w:color w:val="000000"/>
                <w:sz w:val="20"/>
                <w:szCs w:val="20"/>
                <w:cs/>
              </w:rPr>
            </w:pPr>
            <w:r w:rsidRPr="002D2F67">
              <w:rPr>
                <w:rFonts w:ascii="Arial" w:hAnsi="Arial" w:cs="Arial"/>
                <w:color w:val="000000"/>
                <w:sz w:val="20"/>
                <w:szCs w:val="20"/>
                <w:u w:val="single"/>
              </w:rPr>
              <w:t>Less</w:t>
            </w:r>
            <w:r w:rsidRPr="002D2F67">
              <w:rPr>
                <w:rFonts w:ascii="Arial" w:hAnsi="Arial" w:cs="Arial"/>
                <w:color w:val="000000"/>
                <w:sz w:val="20"/>
                <w:szCs w:val="20"/>
              </w:rPr>
              <w:t xml:space="preserve"> </w:t>
            </w:r>
            <w:r w:rsidR="00706C8B" w:rsidRPr="002D2F67">
              <w:rPr>
                <w:rFonts w:ascii="Arial" w:hAnsi="Arial" w:cs="Arial"/>
                <w:color w:val="000000"/>
                <w:sz w:val="20"/>
                <w:szCs w:val="20"/>
              </w:rPr>
              <w:t xml:space="preserve"> </w:t>
            </w:r>
            <w:r w:rsidR="00600AA0" w:rsidRPr="002D2F67">
              <w:rPr>
                <w:rFonts w:ascii="Arial" w:hAnsi="Arial" w:cs="Arial"/>
                <w:color w:val="000000"/>
                <w:sz w:val="20"/>
                <w:szCs w:val="20"/>
              </w:rPr>
              <w:t>carrying amount of net asset sold</w:t>
            </w:r>
          </w:p>
        </w:tc>
        <w:tc>
          <w:tcPr>
            <w:tcW w:w="2160" w:type="dxa"/>
            <w:shd w:val="clear" w:color="auto" w:fill="auto"/>
          </w:tcPr>
          <w:p w14:paraId="43294B93" w14:textId="409ABC63" w:rsidR="00FC5297" w:rsidRPr="002D2F67" w:rsidRDefault="00FC5297" w:rsidP="00D21F5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143</w:t>
            </w:r>
            <w:r w:rsidRPr="002D2F67">
              <w:rPr>
                <w:rFonts w:ascii="Arial" w:hAnsi="Arial" w:cs="Arial"/>
                <w:color w:val="000000"/>
                <w:sz w:val="20"/>
                <w:szCs w:val="20"/>
              </w:rPr>
              <w:t>,</w:t>
            </w:r>
            <w:r w:rsidR="00CD5714" w:rsidRPr="00CD5714">
              <w:rPr>
                <w:rFonts w:ascii="Arial" w:hAnsi="Arial" w:cs="Arial"/>
                <w:color w:val="000000"/>
                <w:sz w:val="20"/>
                <w:szCs w:val="20"/>
                <w:lang w:val="en-GB"/>
              </w:rPr>
              <w:t>488</w:t>
            </w:r>
            <w:r w:rsidRPr="002D2F67">
              <w:rPr>
                <w:rFonts w:ascii="Arial" w:hAnsi="Arial" w:cs="Arial"/>
                <w:color w:val="000000"/>
                <w:sz w:val="20"/>
                <w:szCs w:val="20"/>
              </w:rPr>
              <w:t>)</w:t>
            </w:r>
          </w:p>
        </w:tc>
      </w:tr>
      <w:tr w:rsidR="00FC5297" w:rsidRPr="002D2F67" w14:paraId="4CF8D1AD" w14:textId="77777777" w:rsidTr="007F75F7">
        <w:tc>
          <w:tcPr>
            <w:tcW w:w="6858" w:type="dxa"/>
          </w:tcPr>
          <w:p w14:paraId="5137B917" w14:textId="205C36DD" w:rsidR="00FC5297" w:rsidRPr="002D2F67" w:rsidRDefault="00215B08" w:rsidP="002C1AE8">
            <w:pPr>
              <w:tabs>
                <w:tab w:val="left" w:pos="1134"/>
                <w:tab w:val="left" w:pos="1276"/>
                <w:tab w:val="center" w:pos="3402"/>
                <w:tab w:val="center" w:pos="4536"/>
                <w:tab w:val="center" w:pos="5670"/>
                <w:tab w:val="center" w:pos="6804"/>
                <w:tab w:val="right" w:pos="7655"/>
              </w:tabs>
              <w:rPr>
                <w:rFonts w:ascii="Arial" w:hAnsi="Arial" w:cs="Arial"/>
                <w:color w:val="000000"/>
                <w:sz w:val="20"/>
                <w:szCs w:val="20"/>
                <w:cs/>
              </w:rPr>
            </w:pPr>
            <w:r w:rsidRPr="002D2F67">
              <w:rPr>
                <w:rFonts w:ascii="Arial" w:hAnsi="Arial" w:cs="Arial"/>
                <w:color w:val="000000"/>
                <w:sz w:val="20"/>
                <w:szCs w:val="20"/>
                <w:u w:val="single"/>
              </w:rPr>
              <w:t>Less</w:t>
            </w:r>
            <w:r w:rsidRPr="002D2F67">
              <w:rPr>
                <w:rFonts w:ascii="Arial" w:hAnsi="Arial" w:cs="Arial"/>
                <w:color w:val="000000"/>
                <w:sz w:val="20"/>
                <w:szCs w:val="20"/>
              </w:rPr>
              <w:t xml:space="preserve"> </w:t>
            </w:r>
            <w:r w:rsidR="00706C8B" w:rsidRPr="002D2F67">
              <w:rPr>
                <w:rFonts w:ascii="Arial" w:hAnsi="Arial" w:cs="Arial"/>
                <w:color w:val="000000"/>
                <w:sz w:val="20"/>
                <w:szCs w:val="20"/>
              </w:rPr>
              <w:t xml:space="preserve"> </w:t>
            </w:r>
            <w:r w:rsidR="00600AA0" w:rsidRPr="002D2F67">
              <w:rPr>
                <w:rFonts w:ascii="Arial" w:hAnsi="Arial" w:cs="Arial"/>
                <w:color w:val="000000"/>
                <w:sz w:val="20"/>
                <w:szCs w:val="20"/>
              </w:rPr>
              <w:t>n</w:t>
            </w:r>
            <w:r w:rsidRPr="002D2F67">
              <w:rPr>
                <w:rFonts w:ascii="Arial" w:hAnsi="Arial" w:cs="Arial"/>
                <w:color w:val="000000"/>
                <w:sz w:val="20"/>
                <w:szCs w:val="20"/>
              </w:rPr>
              <w:t>on-controlling interests</w:t>
            </w:r>
          </w:p>
        </w:tc>
        <w:tc>
          <w:tcPr>
            <w:tcW w:w="2160" w:type="dxa"/>
            <w:tcBorders>
              <w:bottom w:val="single" w:sz="4" w:space="0" w:color="auto"/>
            </w:tcBorders>
            <w:shd w:val="clear" w:color="auto" w:fill="auto"/>
          </w:tcPr>
          <w:p w14:paraId="61C490ED" w14:textId="07720039" w:rsidR="00FC5297" w:rsidRPr="002D2F67" w:rsidRDefault="00FC5297" w:rsidP="00D21F5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53</w:t>
            </w:r>
            <w:r w:rsidRPr="002D2F67">
              <w:rPr>
                <w:rFonts w:ascii="Arial" w:hAnsi="Arial" w:cs="Arial"/>
                <w:color w:val="000000"/>
                <w:sz w:val="20"/>
                <w:szCs w:val="20"/>
              </w:rPr>
              <w:t>,</w:t>
            </w:r>
            <w:r w:rsidR="00CD5714" w:rsidRPr="00CD5714">
              <w:rPr>
                <w:rFonts w:ascii="Arial" w:hAnsi="Arial" w:cs="Arial"/>
                <w:color w:val="000000"/>
                <w:sz w:val="20"/>
                <w:szCs w:val="20"/>
                <w:lang w:val="en-GB"/>
              </w:rPr>
              <w:t>053</w:t>
            </w:r>
            <w:r w:rsidRPr="002D2F67">
              <w:rPr>
                <w:rFonts w:ascii="Arial" w:hAnsi="Arial" w:cs="Arial"/>
                <w:color w:val="000000"/>
                <w:sz w:val="20"/>
                <w:szCs w:val="20"/>
              </w:rPr>
              <w:t>)</w:t>
            </w:r>
          </w:p>
        </w:tc>
      </w:tr>
      <w:tr w:rsidR="00E33C06" w:rsidRPr="002D2F67" w14:paraId="358D21ED" w14:textId="77777777" w:rsidTr="00E33C06">
        <w:tc>
          <w:tcPr>
            <w:tcW w:w="6858" w:type="dxa"/>
          </w:tcPr>
          <w:p w14:paraId="313FE308" w14:textId="77777777" w:rsidR="00E33C06" w:rsidRPr="002D2F67" w:rsidRDefault="00E33C06" w:rsidP="002C1AE8">
            <w:pPr>
              <w:tabs>
                <w:tab w:val="left" w:pos="1134"/>
                <w:tab w:val="left" w:pos="1276"/>
                <w:tab w:val="center" w:pos="3402"/>
                <w:tab w:val="center" w:pos="4536"/>
                <w:tab w:val="center" w:pos="5670"/>
                <w:tab w:val="center" w:pos="6804"/>
                <w:tab w:val="right" w:pos="7655"/>
              </w:tabs>
              <w:rPr>
                <w:rFonts w:ascii="Arial" w:hAnsi="Arial" w:cs="Arial"/>
                <w:color w:val="000000"/>
                <w:sz w:val="20"/>
                <w:szCs w:val="20"/>
                <w:u w:val="single"/>
              </w:rPr>
            </w:pPr>
          </w:p>
        </w:tc>
        <w:tc>
          <w:tcPr>
            <w:tcW w:w="2160" w:type="dxa"/>
            <w:tcBorders>
              <w:top w:val="single" w:sz="4" w:space="0" w:color="auto"/>
            </w:tcBorders>
            <w:shd w:val="clear" w:color="auto" w:fill="auto"/>
          </w:tcPr>
          <w:p w14:paraId="7AF574C2" w14:textId="77777777" w:rsidR="00E33C06" w:rsidRPr="002D2F67" w:rsidRDefault="00E33C06" w:rsidP="00D21F5E">
            <w:pPr>
              <w:ind w:right="-72"/>
              <w:jc w:val="right"/>
              <w:rPr>
                <w:rFonts w:ascii="Arial" w:hAnsi="Arial" w:cs="Arial"/>
                <w:color w:val="000000"/>
                <w:sz w:val="20"/>
                <w:szCs w:val="20"/>
              </w:rPr>
            </w:pPr>
          </w:p>
        </w:tc>
      </w:tr>
      <w:tr w:rsidR="00FC5297" w:rsidRPr="002D2F67" w14:paraId="60ED9202" w14:textId="77777777" w:rsidTr="00E33C06">
        <w:trPr>
          <w:trHeight w:val="263"/>
        </w:trPr>
        <w:tc>
          <w:tcPr>
            <w:tcW w:w="6858" w:type="dxa"/>
          </w:tcPr>
          <w:p w14:paraId="0090C42D" w14:textId="2B2A3B94" w:rsidR="00FC5297" w:rsidRPr="002D2F67" w:rsidRDefault="00215B08" w:rsidP="002C1AE8">
            <w:pPr>
              <w:tabs>
                <w:tab w:val="left" w:pos="1134"/>
                <w:tab w:val="left" w:pos="1276"/>
                <w:tab w:val="center" w:pos="3402"/>
                <w:tab w:val="center" w:pos="4536"/>
                <w:tab w:val="center" w:pos="5670"/>
                <w:tab w:val="center" w:pos="6804"/>
                <w:tab w:val="right" w:pos="7655"/>
              </w:tabs>
              <w:rPr>
                <w:rFonts w:ascii="Arial" w:hAnsi="Arial" w:cs="Arial"/>
                <w:color w:val="000000"/>
                <w:sz w:val="20"/>
                <w:szCs w:val="20"/>
                <w:cs/>
              </w:rPr>
            </w:pPr>
            <w:r w:rsidRPr="002D2F67">
              <w:rPr>
                <w:rFonts w:ascii="Arial" w:hAnsi="Arial" w:cs="Arial"/>
                <w:color w:val="000000"/>
                <w:sz w:val="20"/>
                <w:szCs w:val="20"/>
              </w:rPr>
              <w:t xml:space="preserve">Loss on disposal of </w:t>
            </w:r>
            <w:r w:rsidR="00E33C06" w:rsidRPr="002D2F67">
              <w:rPr>
                <w:rFonts w:ascii="Arial" w:hAnsi="Arial" w:cs="Arial"/>
                <w:color w:val="000000"/>
                <w:sz w:val="20"/>
                <w:szCs w:val="20"/>
              </w:rPr>
              <w:t>an</w:t>
            </w:r>
            <w:r w:rsidRPr="002D2F67">
              <w:rPr>
                <w:rFonts w:ascii="Arial" w:hAnsi="Arial" w:cs="Arial"/>
                <w:color w:val="000000"/>
                <w:sz w:val="20"/>
                <w:szCs w:val="20"/>
              </w:rPr>
              <w:t xml:space="preserve"> indirect subsidiar</w:t>
            </w:r>
            <w:r w:rsidR="00600AA0" w:rsidRPr="002D2F67">
              <w:rPr>
                <w:rFonts w:ascii="Arial" w:hAnsi="Arial" w:cs="Arial"/>
                <w:color w:val="000000"/>
                <w:sz w:val="20"/>
                <w:szCs w:val="20"/>
              </w:rPr>
              <w:t>y</w:t>
            </w:r>
          </w:p>
        </w:tc>
        <w:tc>
          <w:tcPr>
            <w:tcW w:w="2160" w:type="dxa"/>
            <w:tcBorders>
              <w:bottom w:val="single" w:sz="4" w:space="0" w:color="auto"/>
            </w:tcBorders>
            <w:shd w:val="clear" w:color="auto" w:fill="auto"/>
          </w:tcPr>
          <w:p w14:paraId="4CC29C28" w14:textId="78D7F157" w:rsidR="00FC5297" w:rsidRPr="002D2F67" w:rsidRDefault="00FC5297" w:rsidP="00D21F5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64</w:t>
            </w:r>
            <w:r w:rsidRPr="002D2F67">
              <w:rPr>
                <w:rFonts w:ascii="Arial" w:hAnsi="Arial" w:cs="Arial"/>
                <w:color w:val="000000"/>
                <w:sz w:val="20"/>
                <w:szCs w:val="20"/>
              </w:rPr>
              <w:t>,</w:t>
            </w:r>
            <w:r w:rsidR="00CD5714" w:rsidRPr="00CD5714">
              <w:rPr>
                <w:rFonts w:ascii="Arial" w:hAnsi="Arial" w:cs="Arial"/>
                <w:color w:val="000000"/>
                <w:sz w:val="20"/>
                <w:szCs w:val="20"/>
                <w:lang w:val="en-GB"/>
              </w:rPr>
              <w:t>033</w:t>
            </w:r>
            <w:r w:rsidRPr="002D2F67">
              <w:rPr>
                <w:rFonts w:ascii="Arial" w:hAnsi="Arial" w:cs="Arial"/>
                <w:color w:val="000000"/>
                <w:sz w:val="20"/>
                <w:szCs w:val="20"/>
              </w:rPr>
              <w:t>)</w:t>
            </w:r>
          </w:p>
        </w:tc>
      </w:tr>
    </w:tbl>
    <w:p w14:paraId="5FF1D458" w14:textId="77777777" w:rsidR="00706C8B" w:rsidRPr="002D2F67" w:rsidRDefault="00706C8B" w:rsidP="00FC5297">
      <w:pPr>
        <w:ind w:left="540"/>
        <w:jc w:val="thaiDistribute"/>
        <w:rPr>
          <w:rFonts w:ascii="Arial" w:hAnsi="Arial" w:cs="Arial"/>
          <w:sz w:val="20"/>
          <w:szCs w:val="20"/>
        </w:rPr>
      </w:pPr>
    </w:p>
    <w:p w14:paraId="77A3D03E" w14:textId="7EECDD46" w:rsidR="00EC668C" w:rsidRPr="002D2F67" w:rsidRDefault="00EC668C" w:rsidP="00FC5297">
      <w:pPr>
        <w:ind w:left="540"/>
        <w:jc w:val="thaiDistribute"/>
        <w:rPr>
          <w:rFonts w:ascii="Arial" w:hAnsi="Arial" w:cs="Arial"/>
          <w:sz w:val="20"/>
          <w:szCs w:val="20"/>
        </w:rPr>
      </w:pPr>
      <w:r w:rsidRPr="002D2F67">
        <w:rPr>
          <w:rFonts w:ascii="Arial" w:hAnsi="Arial" w:cs="Arial"/>
          <w:sz w:val="20"/>
          <w:szCs w:val="20"/>
        </w:rPr>
        <w:t xml:space="preserve">The book value of assets and liabilities as </w:t>
      </w:r>
      <w:r w:rsidR="00A203DB" w:rsidRPr="002D2F67">
        <w:rPr>
          <w:rFonts w:ascii="Arial" w:hAnsi="Arial" w:cs="Arial"/>
          <w:sz w:val="20"/>
          <w:szCs w:val="20"/>
        </w:rPr>
        <w:t>of</w:t>
      </w:r>
      <w:r w:rsidRPr="002D2F67">
        <w:rPr>
          <w:rFonts w:ascii="Arial" w:hAnsi="Arial" w:cs="Arial"/>
          <w:sz w:val="20"/>
          <w:szCs w:val="20"/>
        </w:rPr>
        <w:t xml:space="preserve"> the </w:t>
      </w:r>
      <w:r w:rsidR="00A203DB" w:rsidRPr="002D2F67">
        <w:rPr>
          <w:rFonts w:ascii="Arial" w:hAnsi="Arial" w:cs="Arial"/>
          <w:sz w:val="20"/>
          <w:szCs w:val="20"/>
        </w:rPr>
        <w:t>disposal</w:t>
      </w:r>
      <w:r w:rsidRPr="002D2F67">
        <w:rPr>
          <w:rFonts w:ascii="Arial" w:hAnsi="Arial" w:cs="Arial"/>
          <w:sz w:val="20"/>
          <w:szCs w:val="20"/>
        </w:rPr>
        <w:t xml:space="preserve"> date </w:t>
      </w:r>
      <w:r w:rsidR="00600AA0" w:rsidRPr="002D2F67">
        <w:rPr>
          <w:rFonts w:ascii="Arial" w:hAnsi="Arial" w:cs="Arial"/>
          <w:sz w:val="20"/>
          <w:szCs w:val="20"/>
        </w:rPr>
        <w:t>were</w:t>
      </w:r>
      <w:r w:rsidRPr="002D2F67">
        <w:rPr>
          <w:rFonts w:ascii="Arial" w:hAnsi="Arial" w:cs="Arial"/>
          <w:sz w:val="20"/>
          <w:szCs w:val="20"/>
        </w:rPr>
        <w:t xml:space="preserve"> as follows:</w:t>
      </w:r>
    </w:p>
    <w:p w14:paraId="18DE57A2" w14:textId="77777777" w:rsidR="00FC5297" w:rsidRPr="002D2F67" w:rsidRDefault="00FC5297" w:rsidP="00FC5297">
      <w:pPr>
        <w:ind w:left="540"/>
        <w:jc w:val="thaiDistribute"/>
        <w:rPr>
          <w:rFonts w:ascii="Arial" w:eastAsia="Arial Unicode MS" w:hAnsi="Arial" w:cs="Arial"/>
          <w:b/>
          <w:bCs/>
          <w:spacing w:val="-6"/>
          <w:sz w:val="20"/>
          <w:szCs w:val="20"/>
          <w:cs/>
        </w:rPr>
      </w:pPr>
    </w:p>
    <w:tbl>
      <w:tblPr>
        <w:tblW w:w="9000" w:type="dxa"/>
        <w:tblInd w:w="584" w:type="dxa"/>
        <w:tblLayout w:type="fixed"/>
        <w:tblLook w:val="0000" w:firstRow="0" w:lastRow="0" w:firstColumn="0" w:lastColumn="0" w:noHBand="0" w:noVBand="0"/>
      </w:tblPr>
      <w:tblGrid>
        <w:gridCol w:w="6840"/>
        <w:gridCol w:w="2160"/>
      </w:tblGrid>
      <w:tr w:rsidR="00FC5297" w:rsidRPr="002D2F67" w14:paraId="5DCBBE51" w14:textId="77777777" w:rsidTr="007874F5">
        <w:trPr>
          <w:trHeight w:val="338"/>
        </w:trPr>
        <w:tc>
          <w:tcPr>
            <w:tcW w:w="6840" w:type="dxa"/>
            <w:shd w:val="clear" w:color="auto" w:fill="auto"/>
            <w:vAlign w:val="bottom"/>
          </w:tcPr>
          <w:p w14:paraId="24D4A570" w14:textId="77777777" w:rsidR="00FC5297" w:rsidRPr="002D2F67" w:rsidRDefault="00FC5297" w:rsidP="00D21F5E">
            <w:pPr>
              <w:ind w:left="-17" w:right="-72"/>
              <w:rPr>
                <w:rFonts w:ascii="Arial" w:hAnsi="Arial" w:cs="Arial"/>
                <w:snapToGrid w:val="0"/>
                <w:color w:val="000000"/>
                <w:sz w:val="20"/>
                <w:szCs w:val="20"/>
                <w:lang w:eastAsia="th-TH"/>
              </w:rPr>
            </w:pPr>
          </w:p>
        </w:tc>
        <w:tc>
          <w:tcPr>
            <w:tcW w:w="2160" w:type="dxa"/>
            <w:tcBorders>
              <w:bottom w:val="single" w:sz="4" w:space="0" w:color="auto"/>
            </w:tcBorders>
            <w:vAlign w:val="bottom"/>
          </w:tcPr>
          <w:p w14:paraId="4549EFC0" w14:textId="77777777" w:rsidR="00215B08" w:rsidRPr="002D2F67" w:rsidRDefault="00215B08" w:rsidP="00215B08">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0CDB8D63" w14:textId="407F8060" w:rsidR="00FC5297" w:rsidRPr="002D2F67" w:rsidRDefault="00215B08" w:rsidP="00D21F5E">
            <w:pPr>
              <w:ind w:right="-72"/>
              <w:jc w:val="right"/>
              <w:rPr>
                <w:rFonts w:ascii="Arial" w:hAnsi="Arial" w:cs="Arial"/>
                <w:b/>
                <w:bCs/>
                <w:color w:val="000000"/>
                <w:sz w:val="20"/>
                <w:szCs w:val="20"/>
                <w:cs/>
              </w:rPr>
            </w:pPr>
            <w:r w:rsidRPr="002D2F67">
              <w:rPr>
                <w:rFonts w:ascii="Arial" w:hAnsi="Arial" w:cs="Arial"/>
                <w:b/>
                <w:bCs/>
                <w:color w:val="000000"/>
                <w:sz w:val="20"/>
                <w:szCs w:val="20"/>
              </w:rPr>
              <w:t>financial statements</w:t>
            </w:r>
          </w:p>
        </w:tc>
      </w:tr>
      <w:tr w:rsidR="00FC5297" w:rsidRPr="002D2F67" w14:paraId="34CE14CE" w14:textId="77777777" w:rsidTr="007874F5">
        <w:tc>
          <w:tcPr>
            <w:tcW w:w="6840" w:type="dxa"/>
            <w:vAlign w:val="bottom"/>
          </w:tcPr>
          <w:p w14:paraId="6C5121D5" w14:textId="77777777" w:rsidR="00FC5297" w:rsidRPr="002D2F67" w:rsidRDefault="00FC5297" w:rsidP="00D21F5E">
            <w:pPr>
              <w:ind w:left="-17" w:right="-72"/>
              <w:rPr>
                <w:rFonts w:ascii="Arial" w:hAnsi="Arial" w:cs="Arial"/>
                <w:snapToGrid w:val="0"/>
                <w:color w:val="000000"/>
                <w:sz w:val="20"/>
                <w:szCs w:val="20"/>
                <w:lang w:eastAsia="th-TH"/>
              </w:rPr>
            </w:pPr>
          </w:p>
        </w:tc>
        <w:tc>
          <w:tcPr>
            <w:tcW w:w="2160" w:type="dxa"/>
            <w:tcBorders>
              <w:top w:val="single" w:sz="4" w:space="0" w:color="auto"/>
              <w:bottom w:val="single" w:sz="4" w:space="0" w:color="auto"/>
            </w:tcBorders>
            <w:vAlign w:val="bottom"/>
          </w:tcPr>
          <w:p w14:paraId="7F8BE49B" w14:textId="2CDF7529" w:rsidR="00FC5297" w:rsidRPr="002D2F67" w:rsidRDefault="00215B08" w:rsidP="00D21F5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D34814" w:rsidRPr="002D2F67" w14:paraId="52D8763E" w14:textId="77777777" w:rsidTr="00D34814">
        <w:tc>
          <w:tcPr>
            <w:tcW w:w="6840" w:type="dxa"/>
            <w:vAlign w:val="bottom"/>
          </w:tcPr>
          <w:p w14:paraId="0BB1EBE5" w14:textId="77777777" w:rsidR="00D34814" w:rsidRPr="002D2F67" w:rsidRDefault="00D34814" w:rsidP="00D21F5E">
            <w:pPr>
              <w:ind w:left="-17" w:right="-72"/>
              <w:rPr>
                <w:rFonts w:ascii="Arial" w:hAnsi="Arial" w:cs="Arial"/>
                <w:snapToGrid w:val="0"/>
                <w:color w:val="000000"/>
                <w:sz w:val="20"/>
                <w:szCs w:val="20"/>
                <w:lang w:eastAsia="th-TH"/>
              </w:rPr>
            </w:pPr>
          </w:p>
        </w:tc>
        <w:tc>
          <w:tcPr>
            <w:tcW w:w="2160" w:type="dxa"/>
            <w:tcBorders>
              <w:top w:val="single" w:sz="4" w:space="0" w:color="auto"/>
            </w:tcBorders>
            <w:vAlign w:val="bottom"/>
          </w:tcPr>
          <w:p w14:paraId="43B35BE0" w14:textId="77777777" w:rsidR="00D34814" w:rsidRPr="002D2F67" w:rsidRDefault="00D34814" w:rsidP="00D21F5E">
            <w:pPr>
              <w:ind w:right="-72"/>
              <w:jc w:val="right"/>
              <w:rPr>
                <w:rFonts w:ascii="Arial" w:hAnsi="Arial" w:cs="Arial"/>
                <w:b/>
                <w:bCs/>
                <w:color w:val="000000"/>
                <w:sz w:val="20"/>
                <w:szCs w:val="20"/>
              </w:rPr>
            </w:pPr>
          </w:p>
        </w:tc>
      </w:tr>
      <w:tr w:rsidR="00FC5297" w:rsidRPr="002D2F67" w14:paraId="76D39714" w14:textId="77777777" w:rsidTr="00D34814">
        <w:tc>
          <w:tcPr>
            <w:tcW w:w="6840" w:type="dxa"/>
            <w:vAlign w:val="bottom"/>
          </w:tcPr>
          <w:p w14:paraId="6100FE79" w14:textId="08E6E71F" w:rsidR="00FC5297" w:rsidRPr="002D2F67" w:rsidRDefault="00215B08" w:rsidP="002C1AE8">
            <w:pPr>
              <w:tabs>
                <w:tab w:val="left" w:pos="1134"/>
                <w:tab w:val="left" w:pos="1276"/>
                <w:tab w:val="center" w:pos="3402"/>
                <w:tab w:val="center" w:pos="4536"/>
                <w:tab w:val="center" w:pos="5670"/>
                <w:tab w:val="center" w:pos="6804"/>
                <w:tab w:val="right" w:pos="7655"/>
              </w:tabs>
              <w:rPr>
                <w:rFonts w:ascii="Arial" w:hAnsi="Arial" w:cs="Arial"/>
                <w:snapToGrid w:val="0"/>
                <w:color w:val="000000"/>
                <w:sz w:val="20"/>
                <w:szCs w:val="20"/>
                <w:lang w:eastAsia="th-TH"/>
              </w:rPr>
            </w:pPr>
            <w:r w:rsidRPr="002D2F67">
              <w:rPr>
                <w:rFonts w:ascii="Arial" w:hAnsi="Arial" w:cs="Arial"/>
                <w:b/>
                <w:bCs/>
                <w:color w:val="000000"/>
                <w:sz w:val="20"/>
                <w:szCs w:val="20"/>
              </w:rPr>
              <w:t>Asset</w:t>
            </w:r>
          </w:p>
        </w:tc>
        <w:tc>
          <w:tcPr>
            <w:tcW w:w="2160" w:type="dxa"/>
            <w:shd w:val="clear" w:color="auto" w:fill="auto"/>
            <w:vAlign w:val="bottom"/>
          </w:tcPr>
          <w:p w14:paraId="7E2F476A" w14:textId="77777777" w:rsidR="00FC5297" w:rsidRPr="002D2F67" w:rsidRDefault="00FC5297" w:rsidP="00D21F5E">
            <w:pPr>
              <w:ind w:right="-72"/>
              <w:jc w:val="right"/>
              <w:rPr>
                <w:rFonts w:ascii="Arial" w:hAnsi="Arial" w:cs="Arial"/>
                <w:color w:val="000000"/>
                <w:sz w:val="20"/>
                <w:szCs w:val="20"/>
                <w:cs/>
              </w:rPr>
            </w:pPr>
          </w:p>
        </w:tc>
      </w:tr>
      <w:tr w:rsidR="00FC5297" w:rsidRPr="002D2F67" w14:paraId="474A7CAE" w14:textId="77777777" w:rsidTr="00D34814">
        <w:tc>
          <w:tcPr>
            <w:tcW w:w="6840" w:type="dxa"/>
            <w:vAlign w:val="bottom"/>
          </w:tcPr>
          <w:p w14:paraId="2E57D7EC" w14:textId="3710B007" w:rsidR="00FC5297" w:rsidRPr="002D2F67" w:rsidRDefault="00056511" w:rsidP="00D21F5E">
            <w:pPr>
              <w:ind w:left="-17" w:right="-72"/>
              <w:rPr>
                <w:rFonts w:ascii="Arial" w:hAnsi="Arial" w:cs="Arial"/>
                <w:color w:val="000000"/>
                <w:sz w:val="20"/>
                <w:szCs w:val="20"/>
                <w:cs/>
              </w:rPr>
            </w:pPr>
            <w:r w:rsidRPr="002D2F67">
              <w:rPr>
                <w:rFonts w:ascii="Arial" w:hAnsi="Arial" w:cs="Arial"/>
                <w:color w:val="000000"/>
                <w:sz w:val="20"/>
                <w:szCs w:val="20"/>
              </w:rPr>
              <w:t>Property, plant</w:t>
            </w:r>
            <w:r w:rsidR="00EC668C" w:rsidRPr="002D2F67">
              <w:rPr>
                <w:rFonts w:ascii="Arial" w:hAnsi="Arial" w:cs="Arial"/>
                <w:color w:val="000000"/>
                <w:sz w:val="20"/>
                <w:szCs w:val="20"/>
              </w:rPr>
              <w:t xml:space="preserve"> and equipment, net</w:t>
            </w:r>
          </w:p>
        </w:tc>
        <w:tc>
          <w:tcPr>
            <w:tcW w:w="2160" w:type="dxa"/>
            <w:shd w:val="clear" w:color="auto" w:fill="auto"/>
            <w:vAlign w:val="bottom"/>
          </w:tcPr>
          <w:p w14:paraId="7B0343BC" w14:textId="52123FA9" w:rsidR="00FC5297" w:rsidRPr="002D2F67" w:rsidRDefault="00CD5714" w:rsidP="00D21F5E">
            <w:pPr>
              <w:ind w:right="-72"/>
              <w:jc w:val="right"/>
              <w:rPr>
                <w:rFonts w:ascii="Arial" w:hAnsi="Arial" w:cs="Arial"/>
                <w:color w:val="000000"/>
                <w:sz w:val="20"/>
                <w:szCs w:val="20"/>
              </w:rPr>
            </w:pPr>
            <w:r w:rsidRPr="00CD5714">
              <w:rPr>
                <w:rFonts w:ascii="Arial" w:hAnsi="Arial" w:cs="Arial"/>
                <w:color w:val="000000"/>
                <w:sz w:val="20"/>
                <w:szCs w:val="20"/>
                <w:lang w:val="en-GB"/>
              </w:rPr>
              <w:t>232</w:t>
            </w:r>
            <w:r w:rsidR="00FC5297" w:rsidRPr="002D2F67">
              <w:rPr>
                <w:rFonts w:ascii="Arial" w:hAnsi="Arial" w:cs="Arial"/>
                <w:color w:val="000000"/>
                <w:sz w:val="20"/>
                <w:szCs w:val="20"/>
              </w:rPr>
              <w:t>,</w:t>
            </w:r>
            <w:r w:rsidRPr="00CD5714">
              <w:rPr>
                <w:rFonts w:ascii="Arial" w:hAnsi="Arial" w:cs="Arial"/>
                <w:color w:val="000000"/>
                <w:sz w:val="20"/>
                <w:szCs w:val="20"/>
                <w:lang w:val="en-GB"/>
              </w:rPr>
              <w:t>496</w:t>
            </w:r>
          </w:p>
        </w:tc>
      </w:tr>
      <w:tr w:rsidR="00FC5297" w:rsidRPr="002D2F67" w14:paraId="27BD4AA6" w14:textId="77777777" w:rsidTr="00D34814">
        <w:tc>
          <w:tcPr>
            <w:tcW w:w="6840" w:type="dxa"/>
            <w:vAlign w:val="bottom"/>
          </w:tcPr>
          <w:p w14:paraId="0F9E02F2" w14:textId="241FEEA5" w:rsidR="00FC5297" w:rsidRPr="002D2F67" w:rsidRDefault="00EC668C" w:rsidP="00D21F5E">
            <w:pPr>
              <w:ind w:left="-17" w:right="-72"/>
              <w:rPr>
                <w:rFonts w:ascii="Arial" w:hAnsi="Arial" w:cs="Arial"/>
                <w:color w:val="000000"/>
                <w:sz w:val="20"/>
                <w:szCs w:val="20"/>
                <w:cs/>
              </w:rPr>
            </w:pPr>
            <w:r w:rsidRPr="002D2F67">
              <w:rPr>
                <w:rFonts w:ascii="Arial" w:hAnsi="Arial" w:cs="Arial"/>
                <w:color w:val="000000"/>
                <w:sz w:val="20"/>
                <w:szCs w:val="20"/>
              </w:rPr>
              <w:t>Goodwill</w:t>
            </w:r>
          </w:p>
        </w:tc>
        <w:tc>
          <w:tcPr>
            <w:tcW w:w="2160" w:type="dxa"/>
            <w:shd w:val="clear" w:color="auto" w:fill="auto"/>
            <w:vAlign w:val="bottom"/>
          </w:tcPr>
          <w:p w14:paraId="3BE3A853" w14:textId="48CBD309" w:rsidR="00FC5297" w:rsidRPr="002D2F67" w:rsidRDefault="00CD5714" w:rsidP="00D21F5E">
            <w:pPr>
              <w:ind w:right="-72"/>
              <w:jc w:val="right"/>
              <w:rPr>
                <w:rFonts w:ascii="Arial" w:hAnsi="Arial" w:cs="Arial"/>
                <w:color w:val="000000"/>
                <w:sz w:val="20"/>
                <w:szCs w:val="20"/>
              </w:rPr>
            </w:pPr>
            <w:r w:rsidRPr="00CD5714">
              <w:rPr>
                <w:rFonts w:ascii="Arial" w:hAnsi="Arial" w:cs="Arial"/>
                <w:color w:val="000000"/>
                <w:sz w:val="20"/>
                <w:szCs w:val="20"/>
                <w:lang w:val="en-GB"/>
              </w:rPr>
              <w:t>164</w:t>
            </w:r>
            <w:r w:rsidR="00FC5297" w:rsidRPr="002D2F67">
              <w:rPr>
                <w:rFonts w:ascii="Arial" w:hAnsi="Arial" w:cs="Arial"/>
                <w:color w:val="000000"/>
                <w:sz w:val="20"/>
                <w:szCs w:val="20"/>
              </w:rPr>
              <w:t>,</w:t>
            </w:r>
            <w:r w:rsidRPr="00CD5714">
              <w:rPr>
                <w:rFonts w:ascii="Arial" w:hAnsi="Arial" w:cs="Arial"/>
                <w:color w:val="000000"/>
                <w:sz w:val="20"/>
                <w:szCs w:val="20"/>
                <w:lang w:val="en-GB"/>
              </w:rPr>
              <w:t>834</w:t>
            </w:r>
          </w:p>
        </w:tc>
      </w:tr>
      <w:tr w:rsidR="00FC5297" w:rsidRPr="002D2F67" w14:paraId="3E1191B1" w14:textId="77777777" w:rsidTr="00D34814">
        <w:tc>
          <w:tcPr>
            <w:tcW w:w="6840" w:type="dxa"/>
            <w:vAlign w:val="bottom"/>
          </w:tcPr>
          <w:p w14:paraId="23E59B9F" w14:textId="7C46012F" w:rsidR="00FC5297" w:rsidRPr="002D2F67" w:rsidRDefault="00EC668C" w:rsidP="00D21F5E">
            <w:pPr>
              <w:ind w:left="-17" w:right="-72"/>
              <w:rPr>
                <w:rFonts w:ascii="Arial" w:hAnsi="Arial" w:cs="Arial"/>
                <w:color w:val="000000"/>
                <w:sz w:val="20"/>
                <w:szCs w:val="20"/>
                <w:cs/>
              </w:rPr>
            </w:pPr>
            <w:r w:rsidRPr="002D2F67">
              <w:rPr>
                <w:rFonts w:ascii="Arial" w:hAnsi="Arial" w:cs="Arial"/>
                <w:color w:val="000000"/>
                <w:sz w:val="20"/>
                <w:szCs w:val="20"/>
              </w:rPr>
              <w:t>Other assets</w:t>
            </w:r>
          </w:p>
        </w:tc>
        <w:tc>
          <w:tcPr>
            <w:tcW w:w="2160" w:type="dxa"/>
            <w:tcBorders>
              <w:bottom w:val="single" w:sz="4" w:space="0" w:color="auto"/>
            </w:tcBorders>
            <w:shd w:val="clear" w:color="auto" w:fill="auto"/>
            <w:vAlign w:val="bottom"/>
          </w:tcPr>
          <w:p w14:paraId="3A8FEA05" w14:textId="1BCEC802" w:rsidR="00FC5297" w:rsidRPr="002D2F67" w:rsidRDefault="00CD5714" w:rsidP="00D21F5E">
            <w:pPr>
              <w:ind w:right="-72"/>
              <w:jc w:val="right"/>
              <w:rPr>
                <w:rFonts w:ascii="Arial" w:hAnsi="Arial" w:cs="Arial"/>
                <w:color w:val="000000"/>
                <w:sz w:val="20"/>
                <w:szCs w:val="20"/>
              </w:rPr>
            </w:pPr>
            <w:r w:rsidRPr="00CD5714">
              <w:rPr>
                <w:rFonts w:ascii="Arial" w:hAnsi="Arial" w:cs="Arial"/>
                <w:color w:val="000000"/>
                <w:sz w:val="20"/>
                <w:szCs w:val="20"/>
                <w:lang w:val="en-GB"/>
              </w:rPr>
              <w:t>16</w:t>
            </w:r>
            <w:r w:rsidR="00FC5297" w:rsidRPr="002D2F67">
              <w:rPr>
                <w:rFonts w:ascii="Arial" w:hAnsi="Arial" w:cs="Arial"/>
                <w:color w:val="000000"/>
                <w:sz w:val="20"/>
                <w:szCs w:val="20"/>
              </w:rPr>
              <w:t>,</w:t>
            </w:r>
            <w:r w:rsidRPr="00CD5714">
              <w:rPr>
                <w:rFonts w:ascii="Arial" w:hAnsi="Arial" w:cs="Arial"/>
                <w:color w:val="000000"/>
                <w:sz w:val="20"/>
                <w:szCs w:val="20"/>
                <w:lang w:val="en-GB"/>
              </w:rPr>
              <w:t>480</w:t>
            </w:r>
          </w:p>
        </w:tc>
      </w:tr>
      <w:tr w:rsidR="00D34814" w:rsidRPr="002D2F67" w14:paraId="13C2EBF1" w14:textId="77777777" w:rsidTr="00D34814">
        <w:tc>
          <w:tcPr>
            <w:tcW w:w="6840" w:type="dxa"/>
            <w:vAlign w:val="bottom"/>
          </w:tcPr>
          <w:p w14:paraId="0689617E" w14:textId="77777777" w:rsidR="00D34814" w:rsidRPr="002D2F67" w:rsidRDefault="00D34814" w:rsidP="00D21F5E">
            <w:pPr>
              <w:ind w:left="-17" w:right="-72"/>
              <w:rPr>
                <w:rFonts w:ascii="Arial" w:hAnsi="Arial" w:cs="Arial"/>
                <w:color w:val="000000"/>
                <w:sz w:val="20"/>
                <w:szCs w:val="20"/>
              </w:rPr>
            </w:pPr>
          </w:p>
        </w:tc>
        <w:tc>
          <w:tcPr>
            <w:tcW w:w="2160" w:type="dxa"/>
            <w:tcBorders>
              <w:top w:val="single" w:sz="4" w:space="0" w:color="auto"/>
            </w:tcBorders>
            <w:shd w:val="clear" w:color="auto" w:fill="auto"/>
            <w:vAlign w:val="bottom"/>
          </w:tcPr>
          <w:p w14:paraId="5F6DD64B" w14:textId="77777777" w:rsidR="00D34814" w:rsidRPr="002D2F67" w:rsidRDefault="00D34814" w:rsidP="00D21F5E">
            <w:pPr>
              <w:ind w:right="-72"/>
              <w:jc w:val="right"/>
              <w:rPr>
                <w:rFonts w:ascii="Arial" w:hAnsi="Arial" w:cs="Arial"/>
                <w:color w:val="000000"/>
                <w:sz w:val="20"/>
                <w:szCs w:val="20"/>
                <w:cs/>
              </w:rPr>
            </w:pPr>
          </w:p>
        </w:tc>
      </w:tr>
      <w:tr w:rsidR="00FC5297" w:rsidRPr="002D2F67" w14:paraId="42F2DAEA" w14:textId="77777777" w:rsidTr="00D34814">
        <w:tc>
          <w:tcPr>
            <w:tcW w:w="6840" w:type="dxa"/>
            <w:vAlign w:val="bottom"/>
          </w:tcPr>
          <w:p w14:paraId="430EFEE7" w14:textId="3F83A7EF" w:rsidR="00FC5297" w:rsidRPr="002D2F67" w:rsidRDefault="00EC668C" w:rsidP="002C1AE8">
            <w:pPr>
              <w:tabs>
                <w:tab w:val="left" w:pos="1134"/>
                <w:tab w:val="left" w:pos="1276"/>
                <w:tab w:val="center" w:pos="3402"/>
                <w:tab w:val="center" w:pos="4536"/>
                <w:tab w:val="center" w:pos="5670"/>
                <w:tab w:val="center" w:pos="6804"/>
                <w:tab w:val="right" w:pos="7655"/>
              </w:tabs>
              <w:rPr>
                <w:rFonts w:ascii="Arial" w:hAnsi="Arial" w:cs="Arial"/>
                <w:b/>
                <w:bCs/>
                <w:color w:val="000000"/>
                <w:sz w:val="20"/>
                <w:szCs w:val="20"/>
                <w:cs/>
              </w:rPr>
            </w:pPr>
            <w:r w:rsidRPr="002D2F67">
              <w:rPr>
                <w:rFonts w:ascii="Arial" w:hAnsi="Arial" w:cs="Arial"/>
                <w:b/>
                <w:bCs/>
                <w:color w:val="000000"/>
                <w:sz w:val="20"/>
                <w:szCs w:val="20"/>
              </w:rPr>
              <w:t>Total assets</w:t>
            </w:r>
          </w:p>
        </w:tc>
        <w:tc>
          <w:tcPr>
            <w:tcW w:w="2160" w:type="dxa"/>
            <w:tcBorders>
              <w:bottom w:val="single" w:sz="4" w:space="0" w:color="auto"/>
            </w:tcBorders>
            <w:shd w:val="clear" w:color="auto" w:fill="auto"/>
            <w:vAlign w:val="bottom"/>
          </w:tcPr>
          <w:p w14:paraId="3155C853" w14:textId="16A7E3D9" w:rsidR="00FC5297" w:rsidRPr="002D2F67" w:rsidRDefault="00CD5714" w:rsidP="00D21F5E">
            <w:pPr>
              <w:ind w:right="-72"/>
              <w:jc w:val="right"/>
              <w:rPr>
                <w:rFonts w:ascii="Arial" w:hAnsi="Arial" w:cs="Arial"/>
                <w:color w:val="000000"/>
                <w:sz w:val="20"/>
                <w:szCs w:val="20"/>
              </w:rPr>
            </w:pPr>
            <w:r w:rsidRPr="00CD5714">
              <w:rPr>
                <w:rFonts w:ascii="Arial" w:hAnsi="Arial" w:cs="Arial"/>
                <w:color w:val="000000"/>
                <w:sz w:val="20"/>
                <w:szCs w:val="20"/>
                <w:lang w:val="en-GB"/>
              </w:rPr>
              <w:t>413</w:t>
            </w:r>
            <w:r w:rsidR="00FC5297" w:rsidRPr="002D2F67">
              <w:rPr>
                <w:rFonts w:ascii="Arial" w:hAnsi="Arial" w:cs="Arial"/>
                <w:color w:val="000000"/>
                <w:sz w:val="20"/>
                <w:szCs w:val="20"/>
              </w:rPr>
              <w:t>,</w:t>
            </w:r>
            <w:r w:rsidRPr="00CD5714">
              <w:rPr>
                <w:rFonts w:ascii="Arial" w:hAnsi="Arial" w:cs="Arial"/>
                <w:color w:val="000000"/>
                <w:sz w:val="20"/>
                <w:szCs w:val="20"/>
                <w:lang w:val="en-GB"/>
              </w:rPr>
              <w:t>810</w:t>
            </w:r>
          </w:p>
        </w:tc>
      </w:tr>
      <w:tr w:rsidR="00056511" w:rsidRPr="002D2F67" w14:paraId="530DC5B5" w14:textId="77777777" w:rsidTr="00D34814">
        <w:tc>
          <w:tcPr>
            <w:tcW w:w="6840" w:type="dxa"/>
            <w:vAlign w:val="bottom"/>
          </w:tcPr>
          <w:p w14:paraId="143C2174" w14:textId="77777777" w:rsidR="00056511" w:rsidRPr="002D2F67" w:rsidRDefault="00056511" w:rsidP="002C1AE8">
            <w:pPr>
              <w:tabs>
                <w:tab w:val="left" w:pos="1134"/>
                <w:tab w:val="left" w:pos="1276"/>
                <w:tab w:val="center" w:pos="3402"/>
                <w:tab w:val="center" w:pos="4536"/>
                <w:tab w:val="center" w:pos="5670"/>
                <w:tab w:val="center" w:pos="6804"/>
                <w:tab w:val="right" w:pos="7655"/>
              </w:tabs>
              <w:rPr>
                <w:rFonts w:ascii="Arial" w:hAnsi="Arial" w:cs="Arial"/>
                <w:b/>
                <w:bCs/>
                <w:color w:val="000000"/>
                <w:sz w:val="20"/>
                <w:szCs w:val="20"/>
                <w:cs/>
              </w:rPr>
            </w:pPr>
          </w:p>
        </w:tc>
        <w:tc>
          <w:tcPr>
            <w:tcW w:w="2160" w:type="dxa"/>
            <w:tcBorders>
              <w:top w:val="single" w:sz="4" w:space="0" w:color="auto"/>
            </w:tcBorders>
            <w:shd w:val="clear" w:color="auto" w:fill="auto"/>
            <w:vAlign w:val="bottom"/>
          </w:tcPr>
          <w:p w14:paraId="61DC1490" w14:textId="77777777" w:rsidR="00056511" w:rsidRPr="002D2F67" w:rsidRDefault="00056511" w:rsidP="00D21F5E">
            <w:pPr>
              <w:ind w:right="-72"/>
              <w:jc w:val="right"/>
              <w:rPr>
                <w:rFonts w:ascii="Arial" w:hAnsi="Arial" w:cs="Arial"/>
                <w:color w:val="000000"/>
                <w:sz w:val="20"/>
                <w:szCs w:val="20"/>
                <w:cs/>
              </w:rPr>
            </w:pPr>
          </w:p>
        </w:tc>
      </w:tr>
      <w:tr w:rsidR="00FC5297" w:rsidRPr="002D2F67" w14:paraId="5683E72F" w14:textId="77777777" w:rsidTr="00D34814">
        <w:tc>
          <w:tcPr>
            <w:tcW w:w="6840" w:type="dxa"/>
            <w:vAlign w:val="bottom"/>
          </w:tcPr>
          <w:p w14:paraId="79C516C6" w14:textId="7B5B21BE" w:rsidR="00FC5297" w:rsidRPr="002D2F67" w:rsidRDefault="00EC668C" w:rsidP="002C1AE8">
            <w:pPr>
              <w:tabs>
                <w:tab w:val="left" w:pos="1134"/>
                <w:tab w:val="left" w:pos="1276"/>
                <w:tab w:val="center" w:pos="3402"/>
                <w:tab w:val="center" w:pos="4536"/>
                <w:tab w:val="center" w:pos="5670"/>
                <w:tab w:val="center" w:pos="6804"/>
                <w:tab w:val="right" w:pos="7655"/>
              </w:tabs>
              <w:rPr>
                <w:rFonts w:ascii="Arial" w:hAnsi="Arial" w:cs="Arial"/>
                <w:b/>
                <w:bCs/>
                <w:color w:val="000000"/>
                <w:sz w:val="20"/>
                <w:szCs w:val="20"/>
                <w:cs/>
              </w:rPr>
            </w:pPr>
            <w:r w:rsidRPr="002D2F67">
              <w:rPr>
                <w:rFonts w:ascii="Arial" w:hAnsi="Arial" w:cs="Arial"/>
                <w:b/>
                <w:bCs/>
                <w:color w:val="000000"/>
                <w:sz w:val="20"/>
                <w:szCs w:val="20"/>
              </w:rPr>
              <w:t>Liabilities</w:t>
            </w:r>
          </w:p>
        </w:tc>
        <w:tc>
          <w:tcPr>
            <w:tcW w:w="2160" w:type="dxa"/>
            <w:shd w:val="clear" w:color="auto" w:fill="auto"/>
            <w:vAlign w:val="bottom"/>
          </w:tcPr>
          <w:p w14:paraId="1907ACFB" w14:textId="77777777" w:rsidR="00FC5297" w:rsidRPr="002D2F67" w:rsidRDefault="00FC5297" w:rsidP="00D21F5E">
            <w:pPr>
              <w:ind w:right="-72"/>
              <w:jc w:val="right"/>
              <w:rPr>
                <w:rFonts w:ascii="Arial" w:hAnsi="Arial" w:cs="Arial"/>
                <w:color w:val="000000"/>
                <w:sz w:val="20"/>
                <w:szCs w:val="20"/>
              </w:rPr>
            </w:pPr>
          </w:p>
        </w:tc>
      </w:tr>
      <w:tr w:rsidR="00FC5297" w:rsidRPr="002D2F67" w14:paraId="29762AAF" w14:textId="77777777" w:rsidTr="00D34814">
        <w:tc>
          <w:tcPr>
            <w:tcW w:w="6840" w:type="dxa"/>
            <w:vAlign w:val="bottom"/>
          </w:tcPr>
          <w:p w14:paraId="1D48D34A" w14:textId="72BA4A1C" w:rsidR="00FC5297" w:rsidRPr="002D2F67" w:rsidRDefault="00EC668C" w:rsidP="00D21F5E">
            <w:pPr>
              <w:ind w:left="-17" w:right="-72"/>
              <w:rPr>
                <w:rFonts w:ascii="Arial" w:hAnsi="Arial" w:cs="Arial"/>
                <w:color w:val="000000"/>
                <w:sz w:val="20"/>
                <w:szCs w:val="20"/>
                <w:cs/>
              </w:rPr>
            </w:pPr>
            <w:r w:rsidRPr="002D2F67">
              <w:rPr>
                <w:rFonts w:ascii="Arial" w:hAnsi="Arial" w:cs="Arial"/>
                <w:color w:val="000000"/>
                <w:sz w:val="20"/>
                <w:szCs w:val="20"/>
              </w:rPr>
              <w:t>Short-term loans from financial institutions</w:t>
            </w:r>
          </w:p>
        </w:tc>
        <w:tc>
          <w:tcPr>
            <w:tcW w:w="2160" w:type="dxa"/>
            <w:shd w:val="clear" w:color="auto" w:fill="auto"/>
            <w:vAlign w:val="bottom"/>
          </w:tcPr>
          <w:p w14:paraId="0DDE6FDD" w14:textId="37A201F9" w:rsidR="00FC5297" w:rsidRPr="002D2F67" w:rsidRDefault="00FC5297" w:rsidP="00D21F5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139</w:t>
            </w:r>
            <w:r w:rsidRPr="002D2F67">
              <w:rPr>
                <w:rFonts w:ascii="Arial" w:hAnsi="Arial" w:cs="Arial"/>
                <w:color w:val="000000"/>
                <w:sz w:val="20"/>
                <w:szCs w:val="20"/>
              </w:rPr>
              <w:t>,</w:t>
            </w:r>
            <w:r w:rsidR="00CD5714" w:rsidRPr="00CD5714">
              <w:rPr>
                <w:rFonts w:ascii="Arial" w:hAnsi="Arial" w:cs="Arial"/>
                <w:color w:val="000000"/>
                <w:sz w:val="20"/>
                <w:szCs w:val="20"/>
                <w:lang w:val="en-GB"/>
              </w:rPr>
              <w:t>999</w:t>
            </w:r>
            <w:r w:rsidRPr="002D2F67">
              <w:rPr>
                <w:rFonts w:ascii="Arial" w:hAnsi="Arial" w:cs="Arial"/>
                <w:color w:val="000000"/>
                <w:sz w:val="20"/>
                <w:szCs w:val="20"/>
              </w:rPr>
              <w:t>)</w:t>
            </w:r>
          </w:p>
        </w:tc>
      </w:tr>
      <w:tr w:rsidR="00FC5297" w:rsidRPr="002D2F67" w14:paraId="677A0B6D" w14:textId="77777777" w:rsidTr="00D34814">
        <w:tc>
          <w:tcPr>
            <w:tcW w:w="6840" w:type="dxa"/>
            <w:vAlign w:val="bottom"/>
          </w:tcPr>
          <w:p w14:paraId="3550344C" w14:textId="28767123" w:rsidR="00FC5297" w:rsidRPr="002D2F67" w:rsidRDefault="00EC668C" w:rsidP="00D21F5E">
            <w:pPr>
              <w:ind w:left="-17" w:right="-72"/>
              <w:rPr>
                <w:rFonts w:ascii="Arial" w:hAnsi="Arial" w:cs="Arial"/>
                <w:color w:val="000000"/>
                <w:sz w:val="20"/>
                <w:szCs w:val="20"/>
                <w:cs/>
              </w:rPr>
            </w:pPr>
            <w:r w:rsidRPr="002D2F67">
              <w:rPr>
                <w:rFonts w:ascii="Arial" w:hAnsi="Arial" w:cs="Arial"/>
                <w:color w:val="000000"/>
                <w:sz w:val="20"/>
                <w:szCs w:val="20"/>
              </w:rPr>
              <w:t>Long-term loans from financial institutions</w:t>
            </w:r>
          </w:p>
        </w:tc>
        <w:tc>
          <w:tcPr>
            <w:tcW w:w="2160" w:type="dxa"/>
            <w:shd w:val="clear" w:color="auto" w:fill="auto"/>
            <w:vAlign w:val="bottom"/>
          </w:tcPr>
          <w:p w14:paraId="60F30E57" w14:textId="492767EA" w:rsidR="00FC5297" w:rsidRPr="002D2F67" w:rsidRDefault="00FC5297" w:rsidP="00D21F5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81</w:t>
            </w:r>
            <w:r w:rsidRPr="002D2F67">
              <w:rPr>
                <w:rFonts w:ascii="Arial" w:hAnsi="Arial" w:cs="Arial"/>
                <w:color w:val="000000"/>
                <w:sz w:val="20"/>
                <w:szCs w:val="20"/>
              </w:rPr>
              <w:t>,</w:t>
            </w:r>
            <w:r w:rsidR="00CD5714" w:rsidRPr="00CD5714">
              <w:rPr>
                <w:rFonts w:ascii="Arial" w:hAnsi="Arial" w:cs="Arial"/>
                <w:color w:val="000000"/>
                <w:sz w:val="20"/>
                <w:szCs w:val="20"/>
                <w:lang w:val="en-GB"/>
              </w:rPr>
              <w:t>616</w:t>
            </w:r>
            <w:r w:rsidRPr="002D2F67">
              <w:rPr>
                <w:rFonts w:ascii="Arial" w:hAnsi="Arial" w:cs="Arial"/>
                <w:color w:val="000000"/>
                <w:sz w:val="20"/>
                <w:szCs w:val="20"/>
              </w:rPr>
              <w:t>)</w:t>
            </w:r>
          </w:p>
        </w:tc>
      </w:tr>
      <w:tr w:rsidR="00FC5297" w:rsidRPr="002D2F67" w14:paraId="2EF15B7E" w14:textId="77777777" w:rsidTr="00D34814">
        <w:tc>
          <w:tcPr>
            <w:tcW w:w="6840" w:type="dxa"/>
            <w:vAlign w:val="bottom"/>
          </w:tcPr>
          <w:p w14:paraId="50153D0C" w14:textId="5B854E44" w:rsidR="00FC5297" w:rsidRPr="002D2F67" w:rsidRDefault="00EC668C" w:rsidP="00D21F5E">
            <w:pPr>
              <w:ind w:left="-17" w:right="-72"/>
              <w:rPr>
                <w:rFonts w:ascii="Arial" w:hAnsi="Arial" w:cs="Arial"/>
                <w:color w:val="000000"/>
                <w:sz w:val="20"/>
                <w:szCs w:val="20"/>
                <w:cs/>
              </w:rPr>
            </w:pPr>
            <w:r w:rsidRPr="002D2F67">
              <w:rPr>
                <w:rFonts w:ascii="Arial" w:hAnsi="Arial" w:cs="Arial"/>
                <w:color w:val="000000"/>
                <w:sz w:val="20"/>
                <w:szCs w:val="20"/>
              </w:rPr>
              <w:t>Other liabilities</w:t>
            </w:r>
          </w:p>
        </w:tc>
        <w:tc>
          <w:tcPr>
            <w:tcW w:w="2160" w:type="dxa"/>
            <w:tcBorders>
              <w:bottom w:val="single" w:sz="4" w:space="0" w:color="auto"/>
            </w:tcBorders>
            <w:shd w:val="clear" w:color="auto" w:fill="auto"/>
            <w:vAlign w:val="bottom"/>
          </w:tcPr>
          <w:p w14:paraId="59D3D724" w14:textId="7AA4FC79" w:rsidR="00FC5297" w:rsidRPr="002D2F67" w:rsidRDefault="00FC5297" w:rsidP="00D21F5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48</w:t>
            </w:r>
            <w:r w:rsidRPr="002D2F67">
              <w:rPr>
                <w:rFonts w:ascii="Arial" w:hAnsi="Arial" w:cs="Arial"/>
                <w:color w:val="000000"/>
                <w:sz w:val="20"/>
                <w:szCs w:val="20"/>
              </w:rPr>
              <w:t>,</w:t>
            </w:r>
            <w:r w:rsidR="00CD5714" w:rsidRPr="00CD5714">
              <w:rPr>
                <w:rFonts w:ascii="Arial" w:hAnsi="Arial" w:cs="Arial"/>
                <w:color w:val="000000"/>
                <w:sz w:val="20"/>
                <w:szCs w:val="20"/>
                <w:lang w:val="en-GB"/>
              </w:rPr>
              <w:t>707</w:t>
            </w:r>
            <w:r w:rsidRPr="002D2F67">
              <w:rPr>
                <w:rFonts w:ascii="Arial" w:hAnsi="Arial" w:cs="Arial"/>
                <w:color w:val="000000"/>
                <w:sz w:val="20"/>
                <w:szCs w:val="20"/>
              </w:rPr>
              <w:t>)</w:t>
            </w:r>
          </w:p>
        </w:tc>
      </w:tr>
      <w:tr w:rsidR="00D34814" w:rsidRPr="002D2F67" w14:paraId="2F85221C" w14:textId="77777777" w:rsidTr="00D34814">
        <w:tc>
          <w:tcPr>
            <w:tcW w:w="6840" w:type="dxa"/>
            <w:vAlign w:val="bottom"/>
          </w:tcPr>
          <w:p w14:paraId="005AB0C1" w14:textId="77777777" w:rsidR="00D34814" w:rsidRPr="002D2F67" w:rsidRDefault="00D34814" w:rsidP="00D21F5E">
            <w:pPr>
              <w:ind w:left="-17" w:right="-72"/>
              <w:rPr>
                <w:rFonts w:ascii="Arial" w:hAnsi="Arial" w:cs="Arial"/>
                <w:color w:val="000000"/>
                <w:sz w:val="20"/>
                <w:szCs w:val="20"/>
              </w:rPr>
            </w:pPr>
          </w:p>
        </w:tc>
        <w:tc>
          <w:tcPr>
            <w:tcW w:w="2160" w:type="dxa"/>
            <w:tcBorders>
              <w:top w:val="single" w:sz="4" w:space="0" w:color="auto"/>
            </w:tcBorders>
            <w:shd w:val="clear" w:color="auto" w:fill="auto"/>
            <w:vAlign w:val="bottom"/>
          </w:tcPr>
          <w:p w14:paraId="323B7F08" w14:textId="77777777" w:rsidR="00D34814" w:rsidRPr="002D2F67" w:rsidRDefault="00D34814" w:rsidP="00D21F5E">
            <w:pPr>
              <w:ind w:right="-72"/>
              <w:jc w:val="right"/>
              <w:rPr>
                <w:rFonts w:ascii="Arial" w:hAnsi="Arial" w:cs="Arial"/>
                <w:color w:val="000000"/>
                <w:sz w:val="20"/>
                <w:szCs w:val="20"/>
              </w:rPr>
            </w:pPr>
          </w:p>
        </w:tc>
      </w:tr>
      <w:tr w:rsidR="00FC5297" w:rsidRPr="002D2F67" w14:paraId="35172999" w14:textId="77777777" w:rsidTr="00D34814">
        <w:tc>
          <w:tcPr>
            <w:tcW w:w="6840" w:type="dxa"/>
            <w:vAlign w:val="bottom"/>
          </w:tcPr>
          <w:p w14:paraId="7C4FBB53" w14:textId="7D79E08A" w:rsidR="00FC5297" w:rsidRPr="002D2F67" w:rsidRDefault="00EC668C" w:rsidP="002C1AE8">
            <w:pPr>
              <w:tabs>
                <w:tab w:val="left" w:pos="1134"/>
                <w:tab w:val="left" w:pos="1276"/>
                <w:tab w:val="center" w:pos="3402"/>
                <w:tab w:val="center" w:pos="4536"/>
                <w:tab w:val="center" w:pos="5670"/>
                <w:tab w:val="center" w:pos="6804"/>
                <w:tab w:val="right" w:pos="7655"/>
              </w:tabs>
              <w:rPr>
                <w:rFonts w:ascii="Arial" w:hAnsi="Arial" w:cs="Arial"/>
                <w:b/>
                <w:bCs/>
                <w:color w:val="000000"/>
                <w:sz w:val="20"/>
                <w:szCs w:val="20"/>
              </w:rPr>
            </w:pPr>
            <w:r w:rsidRPr="002D2F67">
              <w:rPr>
                <w:rFonts w:ascii="Arial" w:hAnsi="Arial" w:cs="Arial"/>
                <w:b/>
                <w:bCs/>
                <w:color w:val="000000"/>
                <w:sz w:val="20"/>
                <w:szCs w:val="20"/>
              </w:rPr>
              <w:t>Total liabilities</w:t>
            </w:r>
          </w:p>
        </w:tc>
        <w:tc>
          <w:tcPr>
            <w:tcW w:w="2160" w:type="dxa"/>
            <w:tcBorders>
              <w:bottom w:val="single" w:sz="4" w:space="0" w:color="auto"/>
            </w:tcBorders>
            <w:shd w:val="clear" w:color="auto" w:fill="auto"/>
            <w:vAlign w:val="bottom"/>
          </w:tcPr>
          <w:p w14:paraId="19D25518" w14:textId="3226D6EF" w:rsidR="00FC5297" w:rsidRPr="002D2F67" w:rsidRDefault="00FC5297" w:rsidP="00D21F5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270</w:t>
            </w:r>
            <w:r w:rsidRPr="002D2F67">
              <w:rPr>
                <w:rFonts w:ascii="Arial" w:hAnsi="Arial" w:cs="Arial"/>
                <w:color w:val="000000"/>
                <w:sz w:val="20"/>
                <w:szCs w:val="20"/>
              </w:rPr>
              <w:t>,</w:t>
            </w:r>
            <w:r w:rsidR="00CD5714" w:rsidRPr="00CD5714">
              <w:rPr>
                <w:rFonts w:ascii="Arial" w:hAnsi="Arial" w:cs="Arial"/>
                <w:color w:val="000000"/>
                <w:sz w:val="20"/>
                <w:szCs w:val="20"/>
                <w:lang w:val="en-GB"/>
              </w:rPr>
              <w:t>322</w:t>
            </w:r>
            <w:r w:rsidRPr="002D2F67">
              <w:rPr>
                <w:rFonts w:ascii="Arial" w:hAnsi="Arial" w:cs="Arial"/>
                <w:color w:val="000000"/>
                <w:sz w:val="20"/>
                <w:szCs w:val="20"/>
              </w:rPr>
              <w:t>)</w:t>
            </w:r>
          </w:p>
        </w:tc>
      </w:tr>
      <w:tr w:rsidR="00D34814" w:rsidRPr="002D2F67" w14:paraId="1D7F2286" w14:textId="77777777" w:rsidTr="00D34814">
        <w:tc>
          <w:tcPr>
            <w:tcW w:w="6840" w:type="dxa"/>
            <w:vAlign w:val="bottom"/>
          </w:tcPr>
          <w:p w14:paraId="7C0FC86E" w14:textId="77777777" w:rsidR="00D34814" w:rsidRPr="002D2F67" w:rsidRDefault="00D34814" w:rsidP="002C1AE8">
            <w:pPr>
              <w:tabs>
                <w:tab w:val="left" w:pos="1134"/>
                <w:tab w:val="left" w:pos="1276"/>
                <w:tab w:val="center" w:pos="3402"/>
                <w:tab w:val="center" w:pos="4536"/>
                <w:tab w:val="center" w:pos="5670"/>
                <w:tab w:val="center" w:pos="6804"/>
                <w:tab w:val="right" w:pos="7655"/>
              </w:tabs>
              <w:rPr>
                <w:rFonts w:ascii="Arial" w:hAnsi="Arial" w:cs="Arial"/>
                <w:b/>
                <w:bCs/>
                <w:color w:val="000000"/>
                <w:sz w:val="20"/>
                <w:szCs w:val="20"/>
                <w:cs/>
              </w:rPr>
            </w:pPr>
          </w:p>
        </w:tc>
        <w:tc>
          <w:tcPr>
            <w:tcW w:w="2160" w:type="dxa"/>
            <w:tcBorders>
              <w:top w:val="single" w:sz="4" w:space="0" w:color="auto"/>
            </w:tcBorders>
            <w:shd w:val="clear" w:color="auto" w:fill="auto"/>
            <w:vAlign w:val="bottom"/>
          </w:tcPr>
          <w:p w14:paraId="04892C8F" w14:textId="77777777" w:rsidR="00D34814" w:rsidRPr="002D2F67" w:rsidRDefault="00D34814" w:rsidP="00D21F5E">
            <w:pPr>
              <w:ind w:right="-72"/>
              <w:jc w:val="right"/>
              <w:rPr>
                <w:rFonts w:ascii="Arial" w:hAnsi="Arial" w:cs="Arial"/>
                <w:color w:val="000000"/>
                <w:sz w:val="20"/>
                <w:szCs w:val="20"/>
              </w:rPr>
            </w:pPr>
          </w:p>
        </w:tc>
      </w:tr>
      <w:tr w:rsidR="00FC5297" w:rsidRPr="002D2F67" w14:paraId="74D723D7" w14:textId="77777777" w:rsidTr="00D34814">
        <w:tc>
          <w:tcPr>
            <w:tcW w:w="6840" w:type="dxa"/>
            <w:vAlign w:val="bottom"/>
          </w:tcPr>
          <w:p w14:paraId="54A3AF0B" w14:textId="0B4C921F" w:rsidR="00FC5297" w:rsidRPr="002D2F67" w:rsidRDefault="00EC668C" w:rsidP="002C1AE8">
            <w:pPr>
              <w:tabs>
                <w:tab w:val="left" w:pos="1134"/>
                <w:tab w:val="left" w:pos="1276"/>
                <w:tab w:val="center" w:pos="3402"/>
                <w:tab w:val="center" w:pos="4536"/>
                <w:tab w:val="center" w:pos="5670"/>
                <w:tab w:val="center" w:pos="6804"/>
                <w:tab w:val="right" w:pos="7655"/>
              </w:tabs>
              <w:rPr>
                <w:rFonts w:ascii="Arial" w:hAnsi="Arial" w:cs="Arial"/>
                <w:b/>
                <w:bCs/>
                <w:color w:val="000000"/>
                <w:sz w:val="26"/>
                <w:szCs w:val="26"/>
                <w:cs/>
              </w:rPr>
            </w:pPr>
            <w:r w:rsidRPr="002D2F67">
              <w:rPr>
                <w:rFonts w:ascii="Arial" w:hAnsi="Arial" w:cs="Arial"/>
                <w:b/>
                <w:bCs/>
                <w:color w:val="000000"/>
                <w:sz w:val="20"/>
                <w:szCs w:val="20"/>
              </w:rPr>
              <w:t>Net Assets</w:t>
            </w:r>
          </w:p>
        </w:tc>
        <w:tc>
          <w:tcPr>
            <w:tcW w:w="2160" w:type="dxa"/>
            <w:tcBorders>
              <w:bottom w:val="single" w:sz="4" w:space="0" w:color="auto"/>
            </w:tcBorders>
            <w:shd w:val="clear" w:color="auto" w:fill="auto"/>
            <w:vAlign w:val="bottom"/>
          </w:tcPr>
          <w:p w14:paraId="267F1862" w14:textId="15403E21" w:rsidR="00FC5297" w:rsidRPr="002D2F67" w:rsidRDefault="00CD5714" w:rsidP="00D21F5E">
            <w:pPr>
              <w:ind w:right="-72"/>
              <w:jc w:val="right"/>
              <w:rPr>
                <w:rFonts w:ascii="Arial" w:hAnsi="Arial" w:cs="Arial"/>
                <w:color w:val="000000"/>
                <w:sz w:val="20"/>
                <w:szCs w:val="20"/>
              </w:rPr>
            </w:pPr>
            <w:r w:rsidRPr="00CD5714">
              <w:rPr>
                <w:rFonts w:ascii="Arial" w:hAnsi="Arial" w:cs="Arial"/>
                <w:color w:val="000000"/>
                <w:sz w:val="20"/>
                <w:szCs w:val="20"/>
                <w:lang w:val="en-GB"/>
              </w:rPr>
              <w:t>143</w:t>
            </w:r>
            <w:r w:rsidR="00FC5297" w:rsidRPr="002D2F67">
              <w:rPr>
                <w:rFonts w:ascii="Arial" w:hAnsi="Arial" w:cs="Arial"/>
                <w:color w:val="000000"/>
                <w:sz w:val="20"/>
                <w:szCs w:val="20"/>
              </w:rPr>
              <w:t>,</w:t>
            </w:r>
            <w:r w:rsidRPr="00CD5714">
              <w:rPr>
                <w:rFonts w:ascii="Arial" w:hAnsi="Arial" w:cs="Arial"/>
                <w:color w:val="000000"/>
                <w:sz w:val="20"/>
                <w:szCs w:val="20"/>
                <w:lang w:val="en-GB"/>
              </w:rPr>
              <w:t>488</w:t>
            </w:r>
          </w:p>
        </w:tc>
      </w:tr>
    </w:tbl>
    <w:p w14:paraId="4EA7752C" w14:textId="77777777" w:rsidR="0044549B" w:rsidRPr="002D2F67" w:rsidRDefault="0044549B" w:rsidP="005611FE">
      <w:pPr>
        <w:ind w:left="720"/>
        <w:jc w:val="both"/>
        <w:rPr>
          <w:rFonts w:ascii="Arial" w:hAnsi="Arial" w:cs="Arial"/>
          <w:color w:val="000000"/>
          <w:sz w:val="20"/>
          <w:szCs w:val="20"/>
        </w:rPr>
      </w:pPr>
    </w:p>
    <w:p w14:paraId="510B1FF4" w14:textId="783DDAE2" w:rsidR="0019529D" w:rsidRPr="002D2F67" w:rsidRDefault="0019529D" w:rsidP="0027637A">
      <w:pPr>
        <w:ind w:firstLine="567"/>
        <w:rPr>
          <w:rFonts w:ascii="Arial" w:hAnsi="Arial" w:cs="Arial"/>
          <w:b/>
          <w:bCs/>
          <w:color w:val="000000"/>
          <w:sz w:val="20"/>
          <w:szCs w:val="20"/>
        </w:rPr>
      </w:pPr>
      <w:r w:rsidRPr="002D2F67">
        <w:rPr>
          <w:rFonts w:ascii="Arial" w:hAnsi="Arial" w:cs="Arial"/>
          <w:b/>
          <w:bCs/>
          <w:color w:val="000000"/>
          <w:sz w:val="20"/>
          <w:szCs w:val="20"/>
        </w:rPr>
        <w:t xml:space="preserve">Impairment of </w:t>
      </w:r>
      <w:r w:rsidR="007F6977" w:rsidRPr="002D2F67">
        <w:rPr>
          <w:rFonts w:ascii="Arial" w:hAnsi="Arial" w:cs="Arial"/>
          <w:b/>
          <w:bCs/>
          <w:color w:val="000000"/>
          <w:sz w:val="20"/>
          <w:szCs w:val="20"/>
        </w:rPr>
        <w:t>i</w:t>
      </w:r>
      <w:r w:rsidRPr="002D2F67">
        <w:rPr>
          <w:rFonts w:ascii="Arial" w:hAnsi="Arial" w:cs="Arial"/>
          <w:b/>
          <w:bCs/>
          <w:color w:val="000000"/>
          <w:sz w:val="20"/>
          <w:szCs w:val="20"/>
        </w:rPr>
        <w:t xml:space="preserve">nvestments in </w:t>
      </w:r>
      <w:r w:rsidR="007F6977" w:rsidRPr="002D2F67">
        <w:rPr>
          <w:rFonts w:ascii="Arial" w:hAnsi="Arial" w:cs="Arial"/>
          <w:b/>
          <w:bCs/>
          <w:color w:val="000000"/>
          <w:sz w:val="20"/>
          <w:szCs w:val="20"/>
        </w:rPr>
        <w:t>s</w:t>
      </w:r>
      <w:r w:rsidRPr="002D2F67">
        <w:rPr>
          <w:rFonts w:ascii="Arial" w:hAnsi="Arial" w:cs="Arial"/>
          <w:b/>
          <w:bCs/>
          <w:color w:val="000000"/>
          <w:sz w:val="20"/>
          <w:szCs w:val="20"/>
        </w:rPr>
        <w:t>ubsidiaries</w:t>
      </w:r>
    </w:p>
    <w:p w14:paraId="14AFD0D5" w14:textId="77777777" w:rsidR="00706C8B" w:rsidRPr="002D2F67" w:rsidRDefault="00706C8B" w:rsidP="0027637A">
      <w:pPr>
        <w:ind w:firstLine="567"/>
        <w:jc w:val="both"/>
        <w:rPr>
          <w:rFonts w:ascii="Arial" w:hAnsi="Arial" w:cs="Arial"/>
          <w:color w:val="000000"/>
          <w:sz w:val="20"/>
          <w:szCs w:val="20"/>
        </w:rPr>
      </w:pPr>
    </w:p>
    <w:p w14:paraId="4D1C3173" w14:textId="4C953F72" w:rsidR="0019529D" w:rsidRPr="002D2F67" w:rsidRDefault="0019529D" w:rsidP="0027637A">
      <w:pPr>
        <w:ind w:firstLine="567"/>
        <w:jc w:val="both"/>
        <w:rPr>
          <w:rFonts w:ascii="Arial" w:hAnsi="Arial" w:cs="Arial"/>
          <w:color w:val="000000"/>
          <w:sz w:val="20"/>
          <w:szCs w:val="20"/>
          <w:u w:val="single"/>
        </w:rPr>
      </w:pPr>
      <w:r w:rsidRPr="002D2F67">
        <w:rPr>
          <w:rFonts w:ascii="Arial" w:hAnsi="Arial" w:cs="Arial"/>
          <w:color w:val="000000"/>
          <w:sz w:val="20"/>
          <w:szCs w:val="20"/>
          <w:u w:val="single"/>
        </w:rPr>
        <w:t>Amita Technologies Inc.</w:t>
      </w:r>
    </w:p>
    <w:p w14:paraId="349D58D6" w14:textId="77777777" w:rsidR="00706C8B" w:rsidRPr="002D2F67" w:rsidRDefault="00706C8B" w:rsidP="00B42B18">
      <w:pPr>
        <w:ind w:left="567"/>
        <w:jc w:val="both"/>
        <w:rPr>
          <w:rFonts w:ascii="Arial" w:hAnsi="Arial" w:cs="Arial"/>
          <w:spacing w:val="-6"/>
          <w:sz w:val="20"/>
          <w:szCs w:val="20"/>
        </w:rPr>
      </w:pPr>
    </w:p>
    <w:p w14:paraId="222FF850" w14:textId="7FEF8B12" w:rsidR="00B42B18" w:rsidRPr="002D2F67" w:rsidRDefault="0019529D" w:rsidP="00B42B18">
      <w:pPr>
        <w:ind w:left="567"/>
        <w:jc w:val="both"/>
        <w:rPr>
          <w:rFonts w:ascii="Arial" w:hAnsi="Arial" w:cs="Arial"/>
          <w:spacing w:val="-6"/>
          <w:sz w:val="20"/>
          <w:szCs w:val="25"/>
        </w:rPr>
      </w:pPr>
      <w:r w:rsidRPr="002D2F67">
        <w:rPr>
          <w:rFonts w:ascii="Arial" w:hAnsi="Arial" w:cs="Arial"/>
          <w:spacing w:val="-6"/>
          <w:sz w:val="20"/>
          <w:szCs w:val="20"/>
        </w:rPr>
        <w:t xml:space="preserve">During </w:t>
      </w:r>
      <w:r w:rsidR="00CD5714" w:rsidRPr="00CD5714">
        <w:rPr>
          <w:rFonts w:ascii="Arial" w:hAnsi="Arial" w:cs="Arial"/>
          <w:spacing w:val="-6"/>
          <w:sz w:val="20"/>
          <w:szCs w:val="20"/>
          <w:lang w:val="en-GB"/>
        </w:rPr>
        <w:t>2024</w:t>
      </w:r>
      <w:r w:rsidRPr="002D2F67">
        <w:rPr>
          <w:rFonts w:ascii="Arial" w:hAnsi="Arial" w:cs="Arial"/>
          <w:spacing w:val="-6"/>
          <w:sz w:val="20"/>
          <w:szCs w:val="20"/>
        </w:rPr>
        <w:t xml:space="preserve">, </w:t>
      </w:r>
      <w:r w:rsidR="002E1C12" w:rsidRPr="002D2F67">
        <w:rPr>
          <w:rFonts w:ascii="Arial" w:hAnsi="Arial" w:cs="Arial"/>
          <w:spacing w:val="-6"/>
          <w:sz w:val="20"/>
          <w:szCs w:val="20"/>
        </w:rPr>
        <w:t xml:space="preserve">the impairment loss </w:t>
      </w:r>
      <w:r w:rsidR="00153082" w:rsidRPr="002D2F67">
        <w:rPr>
          <w:rFonts w:ascii="Arial" w:hAnsi="Arial" w:cs="Arial"/>
          <w:spacing w:val="-6"/>
          <w:sz w:val="20"/>
          <w:szCs w:val="20"/>
        </w:rPr>
        <w:t xml:space="preserve">of Baht </w:t>
      </w:r>
      <w:r w:rsidR="00CD5714" w:rsidRPr="00CD5714">
        <w:rPr>
          <w:rFonts w:ascii="Arial" w:hAnsi="Arial" w:cs="Arial"/>
          <w:spacing w:val="-6"/>
          <w:sz w:val="20"/>
          <w:szCs w:val="20"/>
          <w:lang w:val="en-GB"/>
        </w:rPr>
        <w:t>4</w:t>
      </w:r>
      <w:r w:rsidR="00153082" w:rsidRPr="002D2F67">
        <w:rPr>
          <w:rFonts w:ascii="Arial" w:hAnsi="Arial" w:cs="Arial"/>
          <w:spacing w:val="-6"/>
          <w:sz w:val="20"/>
          <w:szCs w:val="20"/>
        </w:rPr>
        <w:t>,</w:t>
      </w:r>
      <w:r w:rsidR="00CD5714" w:rsidRPr="00CD5714">
        <w:rPr>
          <w:rFonts w:ascii="Arial" w:hAnsi="Arial" w:cs="Arial"/>
          <w:spacing w:val="-6"/>
          <w:sz w:val="20"/>
          <w:szCs w:val="20"/>
          <w:lang w:val="en-GB"/>
        </w:rPr>
        <w:t>521</w:t>
      </w:r>
      <w:r w:rsidR="00153082" w:rsidRPr="002D2F67">
        <w:rPr>
          <w:rFonts w:ascii="Arial" w:hAnsi="Arial" w:cs="Arial"/>
          <w:spacing w:val="-6"/>
          <w:sz w:val="20"/>
          <w:szCs w:val="20"/>
        </w:rPr>
        <w:t xml:space="preserve"> million </w:t>
      </w:r>
      <w:r w:rsidR="001407A4" w:rsidRPr="002D2F67">
        <w:rPr>
          <w:rFonts w:ascii="Arial" w:hAnsi="Arial" w:cs="Arial"/>
          <w:spacing w:val="-6"/>
          <w:sz w:val="20"/>
          <w:szCs w:val="20"/>
        </w:rPr>
        <w:t>for investme</w:t>
      </w:r>
      <w:r w:rsidR="00692F4C" w:rsidRPr="002D2F67">
        <w:rPr>
          <w:rFonts w:ascii="Arial" w:hAnsi="Arial" w:cs="Arial"/>
          <w:spacing w:val="-6"/>
          <w:sz w:val="20"/>
          <w:szCs w:val="20"/>
        </w:rPr>
        <w:t xml:space="preserve">nts in Amita Technologies Inc. (AMITA), who engaged in </w:t>
      </w:r>
      <w:r w:rsidR="00D00596" w:rsidRPr="002D2F67">
        <w:rPr>
          <w:rFonts w:ascii="Arial" w:hAnsi="Arial" w:cs="Arial"/>
          <w:sz w:val="20"/>
          <w:szCs w:val="20"/>
        </w:rPr>
        <w:t>battery</w:t>
      </w:r>
      <w:r w:rsidR="00692F4C" w:rsidRPr="002D2F67">
        <w:rPr>
          <w:rFonts w:ascii="Arial" w:hAnsi="Arial" w:cs="Arial"/>
          <w:sz w:val="20"/>
          <w:szCs w:val="20"/>
        </w:rPr>
        <w:t xml:space="preserve"> manufacturing and distribution business, has been </w:t>
      </w:r>
      <w:r w:rsidR="00692F4C" w:rsidRPr="002D2F67">
        <w:rPr>
          <w:rFonts w:ascii="Arial" w:hAnsi="Arial" w:cs="Arial"/>
          <w:spacing w:val="-4"/>
          <w:sz w:val="20"/>
          <w:szCs w:val="20"/>
        </w:rPr>
        <w:t xml:space="preserve">recognised </w:t>
      </w:r>
      <w:r w:rsidR="00B33CF2" w:rsidRPr="002D2F67">
        <w:rPr>
          <w:rFonts w:ascii="Arial" w:hAnsi="Arial" w:cs="Arial"/>
          <w:spacing w:val="-4"/>
          <w:sz w:val="20"/>
          <w:szCs w:val="20"/>
        </w:rPr>
        <w:t>due to changes in electric batter</w:t>
      </w:r>
      <w:r w:rsidR="00D51A28" w:rsidRPr="002D2F67">
        <w:rPr>
          <w:rFonts w:ascii="Arial" w:hAnsi="Arial" w:cs="Arial"/>
          <w:spacing w:val="-4"/>
          <w:sz w:val="20"/>
          <w:szCs w:val="20"/>
        </w:rPr>
        <w:t>y</w:t>
      </w:r>
      <w:r w:rsidR="00B33CF2" w:rsidRPr="002D2F67">
        <w:rPr>
          <w:rFonts w:ascii="Arial" w:hAnsi="Arial" w:cs="Arial"/>
          <w:spacing w:val="-4"/>
          <w:sz w:val="20"/>
          <w:szCs w:val="20"/>
        </w:rPr>
        <w:t xml:space="preserve"> industry’s trend and revision of management business plan</w:t>
      </w:r>
      <w:r w:rsidR="00B33CF2" w:rsidRPr="002D2F67">
        <w:rPr>
          <w:rFonts w:ascii="Arial" w:hAnsi="Arial" w:cs="Arial"/>
          <w:sz w:val="20"/>
          <w:szCs w:val="20"/>
        </w:rPr>
        <w:t xml:space="preserve">. </w:t>
      </w:r>
      <w:r w:rsidR="00B33CF2" w:rsidRPr="002D2F67">
        <w:rPr>
          <w:rFonts w:ascii="Arial" w:hAnsi="Arial" w:cs="Arial"/>
          <w:spacing w:val="-2"/>
          <w:sz w:val="20"/>
          <w:szCs w:val="22"/>
        </w:rPr>
        <w:t xml:space="preserve">The recoverable amount </w:t>
      </w:r>
      <w:r w:rsidR="00B33CF2" w:rsidRPr="002D2F67">
        <w:rPr>
          <w:rFonts w:ascii="Arial" w:hAnsi="Arial" w:cs="Arial"/>
          <w:spacing w:val="-4"/>
          <w:sz w:val="20"/>
          <w:szCs w:val="22"/>
        </w:rPr>
        <w:t>was determined using value-in-use</w:t>
      </w:r>
      <w:r w:rsidR="00EC5F96">
        <w:rPr>
          <w:rFonts w:ascii="Arial" w:hAnsi="Arial" w:cs="Arial"/>
          <w:spacing w:val="-4"/>
          <w:sz w:val="20"/>
          <w:szCs w:val="22"/>
        </w:rPr>
        <w:t xml:space="preserve"> which calculated using the discount rate at 10.66% per annu</w:t>
      </w:r>
      <w:r w:rsidR="005A7689">
        <w:rPr>
          <w:rFonts w:ascii="Arial" w:hAnsi="Arial" w:cs="Arial"/>
          <w:spacing w:val="-4"/>
          <w:sz w:val="20"/>
          <w:szCs w:val="22"/>
        </w:rPr>
        <w:t>m</w:t>
      </w:r>
      <w:r w:rsidR="00065A38" w:rsidRPr="002D2F67">
        <w:rPr>
          <w:rFonts w:ascii="Arial" w:hAnsi="Arial" w:cs="Arial"/>
          <w:spacing w:val="-2"/>
          <w:sz w:val="20"/>
          <w:szCs w:val="22"/>
        </w:rPr>
        <w:t>.</w:t>
      </w:r>
    </w:p>
    <w:p w14:paraId="24445AE6" w14:textId="55F6122A" w:rsidR="00B33CF2" w:rsidRPr="002D2F67" w:rsidRDefault="00706C8B" w:rsidP="0019529D">
      <w:pPr>
        <w:jc w:val="both"/>
        <w:rPr>
          <w:rFonts w:ascii="Arial" w:hAnsi="Arial" w:cs="Arial"/>
          <w:sz w:val="20"/>
          <w:szCs w:val="20"/>
        </w:rPr>
      </w:pPr>
      <w:r w:rsidRPr="002D2F67">
        <w:rPr>
          <w:rFonts w:ascii="Arial" w:hAnsi="Arial" w:cs="Arial"/>
          <w:sz w:val="20"/>
          <w:szCs w:val="20"/>
        </w:rPr>
        <w:br w:type="page"/>
      </w:r>
    </w:p>
    <w:p w14:paraId="0788A0CD" w14:textId="77777777" w:rsidR="0019529D" w:rsidRPr="002D2F67" w:rsidRDefault="0019529D" w:rsidP="0027637A">
      <w:pPr>
        <w:ind w:firstLine="567"/>
        <w:jc w:val="both"/>
        <w:rPr>
          <w:rFonts w:ascii="Arial" w:hAnsi="Arial" w:cs="Arial"/>
          <w:color w:val="000000"/>
          <w:sz w:val="20"/>
          <w:szCs w:val="20"/>
          <w:u w:val="single"/>
        </w:rPr>
      </w:pPr>
      <w:r w:rsidRPr="002D2F67">
        <w:rPr>
          <w:rFonts w:ascii="Arial" w:hAnsi="Arial" w:cs="Arial"/>
          <w:color w:val="000000"/>
          <w:sz w:val="20"/>
          <w:szCs w:val="20"/>
          <w:u w:val="single"/>
        </w:rPr>
        <w:t>EA BVI Holding Limited</w:t>
      </w:r>
    </w:p>
    <w:p w14:paraId="02820EA1" w14:textId="77777777" w:rsidR="00706C8B" w:rsidRPr="002D2F67" w:rsidRDefault="00706C8B" w:rsidP="00B33CF2">
      <w:pPr>
        <w:ind w:left="567"/>
        <w:jc w:val="both"/>
        <w:rPr>
          <w:rFonts w:ascii="Arial" w:hAnsi="Arial" w:cs="Arial"/>
          <w:spacing w:val="-4"/>
          <w:sz w:val="20"/>
          <w:szCs w:val="20"/>
        </w:rPr>
      </w:pPr>
    </w:p>
    <w:p w14:paraId="7A30E2CD" w14:textId="045DA67E" w:rsidR="00E90FC1" w:rsidRDefault="00B33CF2" w:rsidP="00B33CF2">
      <w:pPr>
        <w:ind w:left="567"/>
        <w:jc w:val="both"/>
        <w:rPr>
          <w:rFonts w:ascii="Arial" w:hAnsi="Arial" w:cs="Arial"/>
          <w:spacing w:val="-4"/>
          <w:sz w:val="20"/>
          <w:szCs w:val="22"/>
        </w:rPr>
      </w:pPr>
      <w:r w:rsidRPr="002D2F67">
        <w:rPr>
          <w:rFonts w:ascii="Arial" w:hAnsi="Arial" w:cs="Arial"/>
          <w:spacing w:val="-4"/>
          <w:sz w:val="20"/>
          <w:szCs w:val="20"/>
        </w:rPr>
        <w:t xml:space="preserve">During </w:t>
      </w:r>
      <w:r w:rsidR="00CD5714" w:rsidRPr="00CD5714">
        <w:rPr>
          <w:rFonts w:ascii="Arial" w:hAnsi="Arial" w:cs="Arial"/>
          <w:spacing w:val="-4"/>
          <w:sz w:val="20"/>
          <w:szCs w:val="20"/>
          <w:lang w:val="en-GB"/>
        </w:rPr>
        <w:t>2024</w:t>
      </w:r>
      <w:r w:rsidRPr="002D2F67">
        <w:rPr>
          <w:rFonts w:ascii="Arial" w:hAnsi="Arial" w:cs="Arial"/>
          <w:spacing w:val="-4"/>
          <w:sz w:val="20"/>
          <w:szCs w:val="20"/>
        </w:rPr>
        <w:t xml:space="preserve">, the impairment loss of Baht </w:t>
      </w:r>
      <w:r w:rsidR="00CD5714" w:rsidRPr="00CD5714">
        <w:rPr>
          <w:rFonts w:ascii="Arial" w:hAnsi="Arial" w:cs="Arial"/>
          <w:spacing w:val="-4"/>
          <w:sz w:val="20"/>
          <w:szCs w:val="20"/>
          <w:lang w:val="en-GB"/>
        </w:rPr>
        <w:t>16</w:t>
      </w:r>
      <w:r w:rsidRPr="002D2F67">
        <w:rPr>
          <w:rFonts w:ascii="Arial" w:hAnsi="Arial" w:cs="Arial"/>
          <w:spacing w:val="-4"/>
          <w:sz w:val="20"/>
          <w:szCs w:val="20"/>
        </w:rPr>
        <w:t xml:space="preserve"> million for investments in EA BVI Holding Limited (EABVI)</w:t>
      </w:r>
      <w:r w:rsidRPr="002D2F67">
        <w:rPr>
          <w:rFonts w:ascii="Arial" w:hAnsi="Arial" w:cs="Arial"/>
          <w:sz w:val="20"/>
          <w:szCs w:val="20"/>
        </w:rPr>
        <w:t xml:space="preserve">, </w:t>
      </w:r>
      <w:r w:rsidRPr="002D2F67">
        <w:rPr>
          <w:rFonts w:ascii="Arial" w:hAnsi="Arial" w:cs="Arial"/>
          <w:spacing w:val="-4"/>
          <w:sz w:val="20"/>
          <w:szCs w:val="20"/>
        </w:rPr>
        <w:t>who engaged in investing in development, manufacturing, and distribution of electric batter</w:t>
      </w:r>
      <w:r w:rsidR="00D51A28" w:rsidRPr="002D2F67">
        <w:rPr>
          <w:rFonts w:ascii="Arial" w:hAnsi="Arial" w:cs="Arial"/>
          <w:spacing w:val="-4"/>
          <w:sz w:val="20"/>
          <w:szCs w:val="20"/>
        </w:rPr>
        <w:t>y</w:t>
      </w:r>
      <w:r w:rsidRPr="002D2F67">
        <w:rPr>
          <w:rFonts w:ascii="Arial" w:hAnsi="Arial" w:cs="Arial"/>
          <w:spacing w:val="-4"/>
          <w:sz w:val="20"/>
          <w:szCs w:val="20"/>
        </w:rPr>
        <w:t xml:space="preserve"> business (primarily investing in AMITA), </w:t>
      </w:r>
      <w:r w:rsidRPr="002D2F67">
        <w:rPr>
          <w:rFonts w:ascii="Arial" w:hAnsi="Arial" w:cs="Arial"/>
          <w:sz w:val="20"/>
          <w:szCs w:val="20"/>
        </w:rPr>
        <w:t xml:space="preserve">has been </w:t>
      </w:r>
      <w:r w:rsidRPr="002D2F67">
        <w:rPr>
          <w:rFonts w:ascii="Arial" w:hAnsi="Arial" w:cs="Arial"/>
          <w:spacing w:val="-4"/>
          <w:sz w:val="20"/>
          <w:szCs w:val="20"/>
        </w:rPr>
        <w:t>recognised due to changes in electric batter</w:t>
      </w:r>
      <w:r w:rsidR="00D51A28" w:rsidRPr="002D2F67">
        <w:rPr>
          <w:rFonts w:ascii="Arial" w:hAnsi="Arial" w:cs="Arial"/>
          <w:spacing w:val="-4"/>
          <w:sz w:val="20"/>
          <w:szCs w:val="20"/>
        </w:rPr>
        <w:t>y</w:t>
      </w:r>
      <w:r w:rsidRPr="002D2F67">
        <w:rPr>
          <w:rFonts w:ascii="Arial" w:hAnsi="Arial" w:cs="Arial"/>
          <w:spacing w:val="-4"/>
          <w:sz w:val="20"/>
          <w:szCs w:val="20"/>
        </w:rPr>
        <w:t xml:space="preserve"> industry’s trend and revision of management business plan. </w:t>
      </w:r>
      <w:r w:rsidRPr="002D2F67">
        <w:rPr>
          <w:rFonts w:ascii="Arial" w:hAnsi="Arial" w:cs="Arial"/>
          <w:spacing w:val="-4"/>
          <w:sz w:val="20"/>
          <w:szCs w:val="22"/>
        </w:rPr>
        <w:t xml:space="preserve">The recoverable amount was determined using </w:t>
      </w:r>
      <w:r w:rsidR="00574AA2" w:rsidRPr="002D2F67">
        <w:rPr>
          <w:rFonts w:ascii="Arial" w:hAnsi="Arial" w:cs="Arial"/>
          <w:spacing w:val="-4"/>
          <w:sz w:val="20"/>
          <w:szCs w:val="22"/>
        </w:rPr>
        <w:t>fair value less costs of disposal</w:t>
      </w:r>
      <w:r w:rsidR="00E90FC1">
        <w:rPr>
          <w:rFonts w:ascii="Arial" w:hAnsi="Arial" w:cs="Arial"/>
          <w:spacing w:val="-4"/>
          <w:sz w:val="20"/>
          <w:szCs w:val="22"/>
        </w:rPr>
        <w:t xml:space="preserve"> which calculated based on adjusted net assets value that refer from the market price and was considered as level 3 fair value.</w:t>
      </w:r>
    </w:p>
    <w:p w14:paraId="4B3DD35A" w14:textId="77777777" w:rsidR="0019529D" w:rsidRPr="002D2F67" w:rsidRDefault="0019529D" w:rsidP="0019529D">
      <w:pPr>
        <w:jc w:val="both"/>
        <w:rPr>
          <w:rFonts w:ascii="Arial" w:hAnsi="Arial" w:cs="Arial"/>
          <w:color w:val="000000"/>
          <w:sz w:val="20"/>
          <w:szCs w:val="20"/>
          <w:highlight w:val="green"/>
        </w:rPr>
      </w:pPr>
    </w:p>
    <w:p w14:paraId="04998B4B" w14:textId="77777777" w:rsidR="0019529D" w:rsidRPr="002D2F67" w:rsidRDefault="0019529D" w:rsidP="0027637A">
      <w:pPr>
        <w:ind w:firstLine="567"/>
        <w:jc w:val="both"/>
        <w:rPr>
          <w:rFonts w:ascii="Arial" w:hAnsi="Arial" w:cs="Arial"/>
          <w:color w:val="000000"/>
          <w:sz w:val="20"/>
          <w:szCs w:val="20"/>
          <w:u w:val="single"/>
        </w:rPr>
      </w:pPr>
      <w:r w:rsidRPr="002D2F67">
        <w:rPr>
          <w:rFonts w:ascii="Arial" w:hAnsi="Arial" w:cs="Arial"/>
          <w:color w:val="000000"/>
          <w:sz w:val="20"/>
          <w:szCs w:val="20"/>
          <w:u w:val="single"/>
        </w:rPr>
        <w:t>EA Mobility Holding Co., Ltd.</w:t>
      </w:r>
    </w:p>
    <w:p w14:paraId="5BCDAC1F" w14:textId="77777777" w:rsidR="00706C8B" w:rsidRPr="002D2F67" w:rsidRDefault="00706C8B" w:rsidP="00AA709C">
      <w:pPr>
        <w:ind w:left="567"/>
        <w:jc w:val="both"/>
        <w:rPr>
          <w:rFonts w:ascii="Arial" w:hAnsi="Arial" w:cs="Arial"/>
          <w:spacing w:val="-4"/>
          <w:sz w:val="20"/>
          <w:szCs w:val="20"/>
        </w:rPr>
      </w:pPr>
    </w:p>
    <w:p w14:paraId="1902A966" w14:textId="57CAD985" w:rsidR="00AA709C" w:rsidRPr="002D2F67" w:rsidRDefault="00AA709C" w:rsidP="00AA709C">
      <w:pPr>
        <w:ind w:left="567"/>
        <w:jc w:val="both"/>
        <w:rPr>
          <w:rFonts w:ascii="Arial" w:hAnsi="Arial" w:cs="Arial"/>
          <w:spacing w:val="-4"/>
          <w:sz w:val="20"/>
          <w:szCs w:val="20"/>
          <w:cs/>
        </w:rPr>
      </w:pPr>
      <w:r w:rsidRPr="002D2F67">
        <w:rPr>
          <w:rFonts w:ascii="Arial" w:hAnsi="Arial" w:cs="Arial"/>
          <w:spacing w:val="-4"/>
          <w:sz w:val="20"/>
          <w:szCs w:val="20"/>
        </w:rPr>
        <w:t xml:space="preserve">During </w:t>
      </w:r>
      <w:r w:rsidR="00CD5714" w:rsidRPr="00CD5714">
        <w:rPr>
          <w:rFonts w:ascii="Arial" w:hAnsi="Arial" w:cs="Arial"/>
          <w:spacing w:val="-4"/>
          <w:sz w:val="20"/>
          <w:szCs w:val="20"/>
          <w:lang w:val="en-GB"/>
        </w:rPr>
        <w:t>2024</w:t>
      </w:r>
      <w:r w:rsidRPr="002D2F67">
        <w:rPr>
          <w:rFonts w:ascii="Arial" w:hAnsi="Arial" w:cs="Arial"/>
          <w:spacing w:val="-4"/>
          <w:sz w:val="20"/>
          <w:szCs w:val="20"/>
        </w:rPr>
        <w:t xml:space="preserve">, the impairment loss of Baht </w:t>
      </w:r>
      <w:r w:rsidR="00CD5714" w:rsidRPr="00CD5714">
        <w:rPr>
          <w:rFonts w:ascii="Arial" w:hAnsi="Arial" w:cs="Arial"/>
          <w:spacing w:val="-4"/>
          <w:sz w:val="20"/>
          <w:szCs w:val="20"/>
          <w:lang w:val="en-GB"/>
        </w:rPr>
        <w:t>5</w:t>
      </w:r>
      <w:r w:rsidRPr="002D2F67">
        <w:rPr>
          <w:rFonts w:ascii="Arial" w:hAnsi="Arial" w:cs="Arial"/>
          <w:spacing w:val="-4"/>
          <w:sz w:val="20"/>
          <w:szCs w:val="20"/>
        </w:rPr>
        <w:t>,</w:t>
      </w:r>
      <w:r w:rsidR="00CD5714" w:rsidRPr="00CD5714">
        <w:rPr>
          <w:rFonts w:ascii="Arial" w:hAnsi="Arial" w:cs="Arial"/>
          <w:spacing w:val="-4"/>
          <w:sz w:val="20"/>
          <w:szCs w:val="20"/>
          <w:lang w:val="en-GB"/>
        </w:rPr>
        <w:t>385</w:t>
      </w:r>
      <w:r w:rsidRPr="002D2F67">
        <w:rPr>
          <w:rFonts w:ascii="Arial" w:hAnsi="Arial" w:cs="Arial"/>
          <w:spacing w:val="-4"/>
          <w:sz w:val="20"/>
          <w:szCs w:val="20"/>
        </w:rPr>
        <w:t xml:space="preserve"> million for investments in EA Mobility Holding Co., Ltd. </w:t>
      </w:r>
      <w:r w:rsidR="000132D2" w:rsidRPr="002D2F67">
        <w:rPr>
          <w:rFonts w:ascii="Arial" w:hAnsi="Arial" w:cs="Arial"/>
          <w:spacing w:val="-4"/>
          <w:sz w:val="20"/>
          <w:szCs w:val="20"/>
        </w:rPr>
        <w:t>(EMH)</w:t>
      </w:r>
      <w:r w:rsidR="000132D2" w:rsidRPr="002D2F67">
        <w:rPr>
          <w:rFonts w:ascii="Arial" w:hAnsi="Arial" w:cs="Arial"/>
          <w:sz w:val="20"/>
          <w:szCs w:val="20"/>
        </w:rPr>
        <w:t xml:space="preserve">, </w:t>
      </w:r>
      <w:r w:rsidR="000132D2" w:rsidRPr="002D2F67">
        <w:rPr>
          <w:rFonts w:ascii="Arial" w:hAnsi="Arial" w:cs="Arial"/>
          <w:spacing w:val="-4"/>
          <w:sz w:val="20"/>
          <w:szCs w:val="20"/>
        </w:rPr>
        <w:t xml:space="preserve">who engaged in investing in the electric vehicle business and related businesses, has been recognised due to changes in market price and financial performance of Beyond Securities PCL (BYD), in which EMH </w:t>
      </w:r>
      <w:r w:rsidR="00D570CE" w:rsidRPr="002D2F67">
        <w:rPr>
          <w:rFonts w:ascii="Arial" w:hAnsi="Arial" w:cs="Arial"/>
          <w:spacing w:val="-6"/>
          <w:sz w:val="20"/>
          <w:szCs w:val="20"/>
        </w:rPr>
        <w:t xml:space="preserve">directly held </w:t>
      </w:r>
      <w:r w:rsidR="00CD5714" w:rsidRPr="00CD5714">
        <w:rPr>
          <w:rFonts w:ascii="Arial" w:hAnsi="Arial" w:cs="Arial"/>
          <w:spacing w:val="-6"/>
          <w:sz w:val="20"/>
          <w:szCs w:val="20"/>
          <w:lang w:val="en-GB"/>
        </w:rPr>
        <w:t>19</w:t>
      </w:r>
      <w:r w:rsidR="00B853AA" w:rsidRPr="002D2F67">
        <w:rPr>
          <w:rFonts w:ascii="Arial" w:hAnsi="Arial" w:cs="Arial"/>
          <w:spacing w:val="-6"/>
          <w:sz w:val="20"/>
          <w:szCs w:val="20"/>
        </w:rPr>
        <w:t>.</w:t>
      </w:r>
      <w:r w:rsidR="00CD5714" w:rsidRPr="00CD5714">
        <w:rPr>
          <w:rFonts w:ascii="Arial" w:hAnsi="Arial" w:cs="Arial"/>
          <w:spacing w:val="-6"/>
          <w:sz w:val="20"/>
          <w:szCs w:val="20"/>
          <w:lang w:val="en-GB"/>
        </w:rPr>
        <w:t>97</w:t>
      </w:r>
      <w:r w:rsidR="00B853AA" w:rsidRPr="002D2F67">
        <w:rPr>
          <w:rFonts w:ascii="Arial" w:hAnsi="Arial" w:cs="Arial"/>
          <w:spacing w:val="-6"/>
          <w:sz w:val="20"/>
          <w:szCs w:val="20"/>
        </w:rPr>
        <w:t>% of BYD’s issued and paid-up</w:t>
      </w:r>
      <w:r w:rsidR="002A7CAF" w:rsidRPr="002D2F67">
        <w:rPr>
          <w:rFonts w:ascii="Arial" w:hAnsi="Arial" w:cs="Arial"/>
          <w:spacing w:val="-6"/>
          <w:sz w:val="20"/>
          <w:szCs w:val="20"/>
        </w:rPr>
        <w:t xml:space="preserve"> ordinary shares. </w:t>
      </w:r>
      <w:r w:rsidR="002A7CAF" w:rsidRPr="002D2F67">
        <w:rPr>
          <w:rFonts w:ascii="Arial" w:hAnsi="Arial" w:cs="Arial"/>
          <w:spacing w:val="-6"/>
          <w:sz w:val="20"/>
          <w:szCs w:val="22"/>
        </w:rPr>
        <w:t>The recoverable amount</w:t>
      </w:r>
      <w:r w:rsidR="002A7CAF" w:rsidRPr="002D2F67">
        <w:rPr>
          <w:rFonts w:ascii="Arial" w:hAnsi="Arial" w:cs="Arial"/>
          <w:spacing w:val="-4"/>
          <w:sz w:val="20"/>
          <w:szCs w:val="22"/>
        </w:rPr>
        <w:t xml:space="preserve"> was determined using value-in-use</w:t>
      </w:r>
      <w:r w:rsidR="00E90FC1">
        <w:rPr>
          <w:rFonts w:ascii="Arial" w:hAnsi="Arial" w:cstheme="minorBidi" w:hint="cs"/>
          <w:spacing w:val="-4"/>
          <w:sz w:val="20"/>
          <w:szCs w:val="22"/>
          <w:cs/>
        </w:rPr>
        <w:t xml:space="preserve"> </w:t>
      </w:r>
      <w:r w:rsidR="00E90FC1">
        <w:rPr>
          <w:rFonts w:ascii="Arial" w:hAnsi="Arial" w:cs="Arial"/>
          <w:spacing w:val="-4"/>
          <w:sz w:val="20"/>
          <w:szCs w:val="22"/>
        </w:rPr>
        <w:t>which calculated based on adjusted net assets value that refer from the market price and was considered as level 3 fair value</w:t>
      </w:r>
      <w:r w:rsidR="00E922D2" w:rsidRPr="002D2F67">
        <w:rPr>
          <w:rFonts w:ascii="Arial" w:hAnsi="Arial" w:cs="Arial"/>
          <w:spacing w:val="-4"/>
          <w:sz w:val="20"/>
          <w:szCs w:val="22"/>
        </w:rPr>
        <w:t>.</w:t>
      </w:r>
    </w:p>
    <w:p w14:paraId="4C057649" w14:textId="77777777" w:rsidR="0019529D" w:rsidRPr="002D2F67" w:rsidRDefault="0019529D" w:rsidP="00AA709C">
      <w:pPr>
        <w:ind w:left="567"/>
        <w:jc w:val="both"/>
        <w:rPr>
          <w:rFonts w:ascii="Arial" w:hAnsi="Arial" w:cs="Arial"/>
          <w:spacing w:val="-4"/>
          <w:sz w:val="20"/>
          <w:szCs w:val="20"/>
        </w:rPr>
      </w:pPr>
    </w:p>
    <w:p w14:paraId="41E635CE" w14:textId="68222C16" w:rsidR="00A744B4" w:rsidRPr="002D2F67" w:rsidRDefault="00CD5714" w:rsidP="0027637A">
      <w:pPr>
        <w:tabs>
          <w:tab w:val="left" w:pos="2430"/>
        </w:tabs>
        <w:ind w:left="567" w:right="34" w:hanging="567"/>
        <w:jc w:val="thaiDistribute"/>
        <w:outlineLvl w:val="2"/>
        <w:rPr>
          <w:rFonts w:ascii="Arial" w:eastAsia="Arial Unicode MS" w:hAnsi="Arial" w:cs="Arial"/>
          <w:color w:val="000000"/>
          <w:sz w:val="20"/>
          <w:szCs w:val="25"/>
        </w:rPr>
      </w:pPr>
      <w:r w:rsidRPr="00CD5714">
        <w:rPr>
          <w:rFonts w:ascii="Arial" w:eastAsia="Arial Unicode MS" w:hAnsi="Arial" w:cs="Arial"/>
          <w:color w:val="000000"/>
          <w:spacing w:val="-6"/>
          <w:sz w:val="20"/>
          <w:szCs w:val="25"/>
          <w:lang w:val="en-GB"/>
        </w:rPr>
        <w:t>19</w:t>
      </w:r>
      <w:r w:rsidR="00A744B4" w:rsidRPr="002D2F67">
        <w:rPr>
          <w:rFonts w:ascii="Arial" w:eastAsia="Arial Unicode MS" w:hAnsi="Arial" w:cs="Arial"/>
          <w:color w:val="000000"/>
          <w:spacing w:val="-6"/>
          <w:sz w:val="20"/>
          <w:szCs w:val="25"/>
        </w:rPr>
        <w:t>.</w:t>
      </w:r>
      <w:r w:rsidRPr="00CD5714">
        <w:rPr>
          <w:rFonts w:ascii="Arial" w:eastAsia="Arial Unicode MS" w:hAnsi="Arial" w:cs="Arial"/>
          <w:color w:val="000000"/>
          <w:spacing w:val="-6"/>
          <w:sz w:val="20"/>
          <w:szCs w:val="25"/>
          <w:lang w:val="en-GB"/>
        </w:rPr>
        <w:t>1</w:t>
      </w:r>
      <w:r w:rsidR="00A744B4" w:rsidRPr="002D2F67">
        <w:rPr>
          <w:rFonts w:ascii="Arial" w:eastAsia="Arial Unicode MS" w:hAnsi="Arial" w:cs="Arial"/>
          <w:color w:val="000000"/>
          <w:spacing w:val="-6"/>
          <w:sz w:val="20"/>
          <w:szCs w:val="25"/>
        </w:rPr>
        <w:t>.</w:t>
      </w:r>
      <w:r w:rsidRPr="00CD5714">
        <w:rPr>
          <w:rFonts w:ascii="Arial" w:eastAsia="Arial Unicode MS" w:hAnsi="Arial" w:cs="Arial"/>
          <w:color w:val="000000"/>
          <w:spacing w:val="-6"/>
          <w:sz w:val="20"/>
          <w:szCs w:val="25"/>
          <w:lang w:val="en-GB"/>
        </w:rPr>
        <w:t>2</w:t>
      </w:r>
      <w:r w:rsidR="00A744B4" w:rsidRPr="002D2F67">
        <w:rPr>
          <w:rFonts w:ascii="Arial" w:eastAsia="Arial Unicode MS" w:hAnsi="Arial" w:cs="Arial"/>
          <w:color w:val="000000"/>
          <w:sz w:val="20"/>
          <w:szCs w:val="25"/>
        </w:rPr>
        <w:tab/>
      </w:r>
      <w:r w:rsidR="00A744B4" w:rsidRPr="002D2F67">
        <w:rPr>
          <w:rFonts w:ascii="Arial" w:eastAsia="Arial Unicode MS" w:hAnsi="Arial" w:cs="Arial"/>
          <w:color w:val="000000"/>
          <w:spacing w:val="-4"/>
          <w:sz w:val="20"/>
          <w:szCs w:val="20"/>
        </w:rPr>
        <w:t xml:space="preserve">The significant movement of the investments in associates during the </w:t>
      </w:r>
      <w:r w:rsidR="0071060F" w:rsidRPr="002D2F67">
        <w:rPr>
          <w:rFonts w:ascii="Arial" w:eastAsia="Arial Unicode MS" w:hAnsi="Arial" w:cs="Arial"/>
          <w:color w:val="000000"/>
          <w:spacing w:val="-4"/>
          <w:sz w:val="20"/>
          <w:szCs w:val="20"/>
        </w:rPr>
        <w:t>year</w:t>
      </w:r>
      <w:r w:rsidR="00A744B4" w:rsidRPr="002D2F67">
        <w:rPr>
          <w:rFonts w:ascii="Arial" w:eastAsia="Arial Unicode MS" w:hAnsi="Arial" w:cs="Arial"/>
          <w:color w:val="000000"/>
          <w:spacing w:val="-4"/>
          <w:sz w:val="20"/>
          <w:szCs w:val="20"/>
        </w:rPr>
        <w:t xml:space="preserve"> ended </w:t>
      </w:r>
      <w:r w:rsidRPr="00CD5714">
        <w:rPr>
          <w:rFonts w:ascii="Arial" w:eastAsia="Arial Unicode MS" w:hAnsi="Arial" w:cs="Arial"/>
          <w:color w:val="000000"/>
          <w:spacing w:val="-4"/>
          <w:sz w:val="20"/>
          <w:szCs w:val="20"/>
          <w:lang w:val="en-GB"/>
        </w:rPr>
        <w:t>31</w:t>
      </w:r>
      <w:r w:rsidR="00A744B4" w:rsidRPr="002D2F67">
        <w:rPr>
          <w:rFonts w:ascii="Arial" w:eastAsia="Arial Unicode MS" w:hAnsi="Arial" w:cs="Arial"/>
          <w:color w:val="000000"/>
          <w:spacing w:val="-4"/>
          <w:sz w:val="20"/>
          <w:szCs w:val="20"/>
        </w:rPr>
        <w:t xml:space="preserve"> </w:t>
      </w:r>
      <w:r w:rsidR="0071060F" w:rsidRPr="002D2F67">
        <w:rPr>
          <w:rFonts w:ascii="Arial" w:eastAsia="Arial Unicode MS" w:hAnsi="Arial" w:cs="Arial"/>
          <w:color w:val="000000"/>
          <w:spacing w:val="-4"/>
          <w:sz w:val="20"/>
          <w:szCs w:val="20"/>
        </w:rPr>
        <w:t>Decem</w:t>
      </w:r>
      <w:r w:rsidR="00A744B4" w:rsidRPr="002D2F67">
        <w:rPr>
          <w:rFonts w:ascii="Arial" w:eastAsia="Arial Unicode MS" w:hAnsi="Arial" w:cs="Arial"/>
          <w:color w:val="000000"/>
          <w:spacing w:val="-4"/>
          <w:sz w:val="20"/>
          <w:szCs w:val="20"/>
        </w:rPr>
        <w:t xml:space="preserve">ber </w:t>
      </w:r>
      <w:r w:rsidRPr="00CD5714">
        <w:rPr>
          <w:rFonts w:ascii="Arial" w:eastAsia="Arial Unicode MS" w:hAnsi="Arial" w:cs="Arial"/>
          <w:color w:val="000000"/>
          <w:spacing w:val="-4"/>
          <w:sz w:val="20"/>
          <w:szCs w:val="20"/>
          <w:lang w:val="en-GB"/>
        </w:rPr>
        <w:t>2024</w:t>
      </w:r>
      <w:r w:rsidR="00400F8E" w:rsidRPr="002D2F67">
        <w:rPr>
          <w:rFonts w:ascii="Arial" w:eastAsia="Arial Unicode MS" w:hAnsi="Arial" w:cs="Arial"/>
          <w:color w:val="000000"/>
          <w:sz w:val="20"/>
          <w:szCs w:val="20"/>
        </w:rPr>
        <w:t xml:space="preserve"> </w:t>
      </w:r>
      <w:r w:rsidR="00E027AE" w:rsidRPr="002D2F67">
        <w:rPr>
          <w:rFonts w:ascii="Arial" w:eastAsia="Arial Unicode MS" w:hAnsi="Arial" w:cs="Arial"/>
          <w:color w:val="000000"/>
          <w:sz w:val="20"/>
          <w:szCs w:val="20"/>
        </w:rPr>
        <w:t>were</w:t>
      </w:r>
      <w:r w:rsidR="00A744B4" w:rsidRPr="002D2F67">
        <w:rPr>
          <w:rFonts w:ascii="Arial" w:eastAsia="Arial Unicode MS" w:hAnsi="Arial" w:cs="Arial"/>
          <w:color w:val="000000"/>
          <w:sz w:val="20"/>
          <w:szCs w:val="20"/>
        </w:rPr>
        <w:t xml:space="preserve"> as follows:</w:t>
      </w:r>
    </w:p>
    <w:p w14:paraId="37AB0152" w14:textId="77777777" w:rsidR="00A744B4" w:rsidRPr="002D2F67" w:rsidRDefault="00A744B4" w:rsidP="00706C8B">
      <w:pPr>
        <w:ind w:left="540"/>
        <w:jc w:val="both"/>
        <w:rPr>
          <w:rFonts w:ascii="Arial" w:hAnsi="Arial" w:cs="Arial"/>
          <w:color w:val="000000"/>
          <w:sz w:val="20"/>
          <w:szCs w:val="20"/>
        </w:rPr>
      </w:pPr>
    </w:p>
    <w:p w14:paraId="66CC3C6F" w14:textId="55DCF6C9" w:rsidR="41DB717C" w:rsidRPr="002D2F67" w:rsidRDefault="41DB717C" w:rsidP="00706C8B">
      <w:pPr>
        <w:ind w:left="540"/>
        <w:jc w:val="thaiDistribute"/>
        <w:rPr>
          <w:rFonts w:ascii="Arial" w:eastAsia="Arial" w:hAnsi="Arial" w:cs="Arial"/>
          <w:color w:val="000000"/>
          <w:sz w:val="20"/>
          <w:szCs w:val="20"/>
        </w:rPr>
      </w:pPr>
      <w:r w:rsidRPr="002D2F67">
        <w:rPr>
          <w:rFonts w:ascii="Arial" w:eastAsia="Arial" w:hAnsi="Arial" w:cs="Arial"/>
          <w:b/>
          <w:bCs/>
          <w:color w:val="000000"/>
          <w:sz w:val="20"/>
          <w:szCs w:val="20"/>
        </w:rPr>
        <w:t>Indirect associates</w:t>
      </w:r>
    </w:p>
    <w:p w14:paraId="5E887F8D" w14:textId="77777777" w:rsidR="00A744B4" w:rsidRPr="002D2F67" w:rsidRDefault="00A744B4" w:rsidP="00706C8B">
      <w:pPr>
        <w:ind w:left="540"/>
        <w:jc w:val="both"/>
        <w:rPr>
          <w:rFonts w:ascii="Arial" w:hAnsi="Arial" w:cs="Arial"/>
          <w:color w:val="000000"/>
          <w:sz w:val="20"/>
          <w:szCs w:val="20"/>
        </w:rPr>
      </w:pPr>
    </w:p>
    <w:p w14:paraId="70C19D98" w14:textId="2309C159" w:rsidR="00AE6C61" w:rsidRPr="002D2F67" w:rsidRDefault="00AE6C61" w:rsidP="00706C8B">
      <w:pPr>
        <w:ind w:left="540"/>
        <w:jc w:val="thaiDistribute"/>
        <w:rPr>
          <w:rFonts w:ascii="Arial" w:hAnsi="Arial" w:cs="Arial"/>
          <w:color w:val="000000"/>
          <w:sz w:val="20"/>
          <w:szCs w:val="25"/>
          <w:u w:val="single"/>
        </w:rPr>
      </w:pPr>
      <w:r w:rsidRPr="002D2F67">
        <w:rPr>
          <w:rFonts w:ascii="Arial" w:hAnsi="Arial" w:cs="Arial"/>
          <w:color w:val="000000"/>
          <w:sz w:val="20"/>
          <w:szCs w:val="20"/>
          <w:u w:val="single"/>
        </w:rPr>
        <w:t>TC Renewable Energy Co.,</w:t>
      </w:r>
      <w:r w:rsidRPr="002D2F67">
        <w:rPr>
          <w:rFonts w:ascii="Arial" w:hAnsi="Arial" w:cs="Arial"/>
          <w:color w:val="000000"/>
          <w:sz w:val="20"/>
          <w:szCs w:val="20"/>
          <w:u w:val="single"/>
          <w:cs/>
        </w:rPr>
        <w:t xml:space="preserve"> </w:t>
      </w:r>
      <w:r w:rsidRPr="002D2F67">
        <w:rPr>
          <w:rFonts w:ascii="Arial" w:hAnsi="Arial" w:cs="Arial"/>
          <w:color w:val="000000"/>
          <w:sz w:val="20"/>
          <w:szCs w:val="20"/>
          <w:u w:val="single"/>
        </w:rPr>
        <w:t>Ltd</w:t>
      </w:r>
      <w:r w:rsidRPr="002D2F67">
        <w:rPr>
          <w:rFonts w:ascii="Arial" w:hAnsi="Arial" w:cs="Arial"/>
          <w:color w:val="000000"/>
          <w:sz w:val="20"/>
          <w:szCs w:val="25"/>
          <w:u w:val="single"/>
        </w:rPr>
        <w:t>.</w:t>
      </w:r>
      <w:r w:rsidR="002A7CAF" w:rsidRPr="002D2F67">
        <w:rPr>
          <w:rFonts w:ascii="Arial" w:hAnsi="Arial" w:cs="Arial"/>
          <w:color w:val="000000"/>
          <w:sz w:val="20"/>
          <w:szCs w:val="25"/>
          <w:u w:val="single"/>
        </w:rPr>
        <w:t xml:space="preserve"> (TC)</w:t>
      </w:r>
    </w:p>
    <w:p w14:paraId="4EC7D105" w14:textId="77777777" w:rsidR="00AE6C61" w:rsidRPr="002D2F67" w:rsidRDefault="00AE6C61" w:rsidP="00706C8B">
      <w:pPr>
        <w:ind w:left="540"/>
        <w:jc w:val="both"/>
        <w:rPr>
          <w:rFonts w:ascii="Arial" w:hAnsi="Arial" w:cs="Arial"/>
          <w:color w:val="000000"/>
          <w:sz w:val="20"/>
          <w:szCs w:val="20"/>
          <w:u w:val="single"/>
        </w:rPr>
      </w:pPr>
    </w:p>
    <w:p w14:paraId="62AA8FF2" w14:textId="7A70AA75" w:rsidR="00AE6C61" w:rsidRPr="002D2F67" w:rsidRDefault="00AE6C61" w:rsidP="00706C8B">
      <w:pPr>
        <w:ind w:left="540"/>
        <w:jc w:val="both"/>
        <w:rPr>
          <w:rFonts w:ascii="Arial" w:hAnsi="Arial" w:cs="Arial"/>
          <w:color w:val="000000"/>
          <w:sz w:val="20"/>
          <w:szCs w:val="20"/>
        </w:rPr>
      </w:pPr>
      <w:r w:rsidRPr="002D2F67">
        <w:rPr>
          <w:rFonts w:ascii="Arial" w:hAnsi="Arial" w:cs="Arial"/>
          <w:color w:val="000000"/>
          <w:spacing w:val="-4"/>
          <w:sz w:val="20"/>
          <w:szCs w:val="20"/>
        </w:rPr>
        <w:t xml:space="preserve">On </w:t>
      </w:r>
      <w:r w:rsidR="00CD5714" w:rsidRPr="00CD5714">
        <w:rPr>
          <w:rFonts w:ascii="Arial" w:hAnsi="Arial" w:cs="Arial"/>
          <w:color w:val="000000"/>
          <w:spacing w:val="-4"/>
          <w:sz w:val="20"/>
          <w:szCs w:val="20"/>
          <w:lang w:val="en-GB"/>
        </w:rPr>
        <w:t>15</w:t>
      </w:r>
      <w:r w:rsidRPr="002D2F67">
        <w:rPr>
          <w:rFonts w:ascii="Arial" w:hAnsi="Arial" w:cs="Arial"/>
          <w:color w:val="000000"/>
          <w:spacing w:val="-4"/>
          <w:sz w:val="20"/>
          <w:szCs w:val="20"/>
        </w:rPr>
        <w:t xml:space="preserve"> </w:t>
      </w:r>
      <w:r w:rsidRPr="002D2F67">
        <w:rPr>
          <w:rFonts w:ascii="Arial" w:hAnsi="Arial" w:cs="Arial"/>
          <w:spacing w:val="-4"/>
          <w:sz w:val="20"/>
          <w:szCs w:val="20"/>
        </w:rPr>
        <w:t>March</w:t>
      </w:r>
      <w:r w:rsidRPr="002D2F67">
        <w:rPr>
          <w:rFonts w:ascii="Arial" w:hAnsi="Arial" w:cs="Arial"/>
          <w:color w:val="000000"/>
          <w:spacing w:val="-4"/>
          <w:sz w:val="20"/>
          <w:szCs w:val="20"/>
        </w:rPr>
        <w:t xml:space="preserve"> </w:t>
      </w:r>
      <w:r w:rsidR="00CD5714" w:rsidRPr="00CD5714">
        <w:rPr>
          <w:rFonts w:ascii="Arial" w:hAnsi="Arial" w:cs="Arial"/>
          <w:color w:val="000000"/>
          <w:spacing w:val="-4"/>
          <w:sz w:val="20"/>
          <w:szCs w:val="20"/>
          <w:lang w:val="en-GB"/>
        </w:rPr>
        <w:t>2024</w:t>
      </w:r>
      <w:r w:rsidRPr="002D2F67">
        <w:rPr>
          <w:rFonts w:ascii="Arial" w:hAnsi="Arial" w:cs="Arial"/>
          <w:color w:val="000000"/>
          <w:spacing w:val="-4"/>
          <w:sz w:val="20"/>
          <w:szCs w:val="20"/>
        </w:rPr>
        <w:t>, the Group acquired newly issued ordinary shares of TC</w:t>
      </w:r>
      <w:r w:rsidRPr="002D2F67">
        <w:rPr>
          <w:rFonts w:ascii="Arial" w:hAnsi="Arial" w:cs="Arial"/>
          <w:color w:val="000000"/>
          <w:sz w:val="20"/>
          <w:szCs w:val="20"/>
        </w:rPr>
        <w:t xml:space="preserve"> for </w:t>
      </w:r>
      <w:r w:rsidR="00CD5714" w:rsidRPr="00CD5714">
        <w:rPr>
          <w:rFonts w:ascii="Arial" w:hAnsi="Arial" w:cs="Arial"/>
          <w:color w:val="000000"/>
          <w:spacing w:val="-2"/>
          <w:sz w:val="20"/>
          <w:szCs w:val="20"/>
          <w:lang w:val="en-GB"/>
        </w:rPr>
        <w:t>666</w:t>
      </w:r>
      <w:r w:rsidRPr="002D2F67">
        <w:rPr>
          <w:rFonts w:ascii="Arial" w:hAnsi="Arial" w:cs="Arial"/>
          <w:color w:val="000000"/>
          <w:spacing w:val="-2"/>
          <w:sz w:val="20"/>
          <w:szCs w:val="20"/>
        </w:rPr>
        <w:t>,</w:t>
      </w:r>
      <w:r w:rsidR="00CD5714" w:rsidRPr="00CD5714">
        <w:rPr>
          <w:rFonts w:ascii="Arial" w:hAnsi="Arial" w:cs="Arial"/>
          <w:color w:val="000000"/>
          <w:spacing w:val="-2"/>
          <w:sz w:val="20"/>
          <w:szCs w:val="20"/>
          <w:lang w:val="en-GB"/>
        </w:rPr>
        <w:t>666</w:t>
      </w:r>
      <w:r w:rsidRPr="002D2F67">
        <w:rPr>
          <w:rFonts w:ascii="Arial" w:hAnsi="Arial" w:cs="Arial"/>
          <w:color w:val="000000"/>
          <w:spacing w:val="-2"/>
          <w:sz w:val="20"/>
          <w:szCs w:val="20"/>
        </w:rPr>
        <w:t xml:space="preserve"> shares of Baht </w:t>
      </w:r>
      <w:r w:rsidR="00CD5714" w:rsidRPr="00CD5714">
        <w:rPr>
          <w:rFonts w:ascii="Arial" w:hAnsi="Arial" w:cs="Arial"/>
          <w:color w:val="000000"/>
          <w:spacing w:val="-2"/>
          <w:sz w:val="20"/>
          <w:szCs w:val="20"/>
          <w:lang w:val="en-GB"/>
        </w:rPr>
        <w:t>500</w:t>
      </w:r>
      <w:r w:rsidRPr="002D2F67">
        <w:rPr>
          <w:rFonts w:ascii="Arial" w:hAnsi="Arial" w:cs="Arial"/>
          <w:color w:val="000000"/>
          <w:spacing w:val="-2"/>
          <w:sz w:val="20"/>
          <w:szCs w:val="20"/>
        </w:rPr>
        <w:t xml:space="preserve"> per share, totalling Baht </w:t>
      </w:r>
      <w:r w:rsidR="00CD5714" w:rsidRPr="00CD5714">
        <w:rPr>
          <w:rFonts w:ascii="Arial" w:hAnsi="Arial" w:cs="Arial"/>
          <w:color w:val="000000"/>
          <w:spacing w:val="-2"/>
          <w:sz w:val="20"/>
          <w:szCs w:val="20"/>
          <w:lang w:val="en-GB"/>
        </w:rPr>
        <w:t>333</w:t>
      </w:r>
      <w:r w:rsidRPr="002D2F67">
        <w:rPr>
          <w:rFonts w:ascii="Arial" w:hAnsi="Arial" w:cs="Arial"/>
          <w:color w:val="000000"/>
          <w:spacing w:val="-2"/>
          <w:sz w:val="20"/>
          <w:szCs w:val="20"/>
        </w:rPr>
        <w:t xml:space="preserve"> million. As a result, the Group holds </w:t>
      </w:r>
      <w:r w:rsidR="00CD5714" w:rsidRPr="00CD5714">
        <w:rPr>
          <w:rFonts w:ascii="Arial" w:hAnsi="Arial" w:cs="Arial"/>
          <w:color w:val="000000"/>
          <w:spacing w:val="-2"/>
          <w:sz w:val="20"/>
          <w:szCs w:val="20"/>
          <w:lang w:val="en-GB"/>
        </w:rPr>
        <w:t>40</w:t>
      </w:r>
      <w:r w:rsidRPr="002D2F67">
        <w:rPr>
          <w:rFonts w:ascii="Arial" w:hAnsi="Arial" w:cs="Arial"/>
          <w:color w:val="000000"/>
          <w:spacing w:val="-2"/>
          <w:sz w:val="20"/>
          <w:szCs w:val="20"/>
          <w:cs/>
        </w:rPr>
        <w:t>%</w:t>
      </w:r>
      <w:r w:rsidRPr="002D2F67">
        <w:rPr>
          <w:rFonts w:ascii="Arial" w:hAnsi="Arial" w:cs="Arial"/>
          <w:color w:val="000000"/>
          <w:spacing w:val="-2"/>
          <w:sz w:val="20"/>
          <w:szCs w:val="20"/>
        </w:rPr>
        <w:t xml:space="preserve"> of issued</w:t>
      </w:r>
      <w:r w:rsidRPr="002D2F67">
        <w:rPr>
          <w:rFonts w:ascii="Arial" w:hAnsi="Arial" w:cs="Arial"/>
          <w:color w:val="000000"/>
          <w:sz w:val="20"/>
          <w:szCs w:val="20"/>
        </w:rPr>
        <w:t xml:space="preserve"> </w:t>
      </w:r>
      <w:r w:rsidRPr="002D2F67">
        <w:rPr>
          <w:rFonts w:ascii="Arial" w:hAnsi="Arial" w:cs="Arial"/>
          <w:color w:val="000000"/>
          <w:spacing w:val="-4"/>
          <w:sz w:val="20"/>
          <w:szCs w:val="20"/>
        </w:rPr>
        <w:t xml:space="preserve">and paid-up ordinary shares. </w:t>
      </w:r>
      <w:r w:rsidR="002A7CAF" w:rsidRPr="002D2F67">
        <w:rPr>
          <w:rFonts w:ascii="Arial" w:hAnsi="Arial" w:cs="Arial"/>
          <w:color w:val="000000"/>
          <w:spacing w:val="-4"/>
          <w:sz w:val="20"/>
          <w:szCs w:val="20"/>
        </w:rPr>
        <w:t>TC</w:t>
      </w:r>
      <w:r w:rsidRPr="002D2F67">
        <w:rPr>
          <w:rFonts w:ascii="Arial" w:hAnsi="Arial" w:cs="Arial"/>
          <w:color w:val="000000"/>
          <w:spacing w:val="-4"/>
          <w:sz w:val="20"/>
          <w:szCs w:val="20"/>
        </w:rPr>
        <w:t xml:space="preserve"> engage</w:t>
      </w:r>
      <w:r w:rsidR="002A7CAF" w:rsidRPr="002D2F67">
        <w:rPr>
          <w:rFonts w:ascii="Arial" w:hAnsi="Arial" w:cs="Arial"/>
          <w:color w:val="000000"/>
          <w:spacing w:val="-4"/>
          <w:sz w:val="20"/>
          <w:szCs w:val="20"/>
        </w:rPr>
        <w:t>d</w:t>
      </w:r>
      <w:r w:rsidRPr="002D2F67">
        <w:rPr>
          <w:rFonts w:ascii="Arial" w:hAnsi="Arial" w:cs="Arial"/>
          <w:color w:val="000000"/>
          <w:spacing w:val="-4"/>
          <w:sz w:val="20"/>
          <w:szCs w:val="20"/>
        </w:rPr>
        <w:t xml:space="preserve"> in business of designing, installing, and distributing</w:t>
      </w:r>
      <w:r w:rsidRPr="002D2F67">
        <w:rPr>
          <w:rFonts w:ascii="Arial" w:hAnsi="Arial" w:cs="Arial"/>
          <w:color w:val="000000"/>
          <w:sz w:val="20"/>
          <w:szCs w:val="20"/>
        </w:rPr>
        <w:t xml:space="preserve"> products related to solar energy system.</w:t>
      </w:r>
    </w:p>
    <w:p w14:paraId="44611CAB" w14:textId="77777777" w:rsidR="00AE6C61" w:rsidRPr="002D2F67" w:rsidRDefault="00AE6C61" w:rsidP="00706C8B">
      <w:pPr>
        <w:ind w:left="540"/>
        <w:jc w:val="both"/>
        <w:rPr>
          <w:rFonts w:ascii="Arial" w:hAnsi="Arial" w:cs="Arial"/>
          <w:color w:val="000000"/>
          <w:sz w:val="20"/>
          <w:szCs w:val="20"/>
        </w:rPr>
      </w:pPr>
    </w:p>
    <w:p w14:paraId="5C959939" w14:textId="1DC1091D" w:rsidR="00AE6C61" w:rsidRPr="002D2F67" w:rsidRDefault="00AE6C61" w:rsidP="00706C8B">
      <w:pPr>
        <w:ind w:left="540"/>
        <w:jc w:val="both"/>
        <w:rPr>
          <w:rFonts w:ascii="Arial" w:hAnsi="Arial" w:cs="Arial"/>
          <w:color w:val="000000"/>
          <w:spacing w:val="-4"/>
          <w:sz w:val="20"/>
          <w:szCs w:val="20"/>
          <w:lang w:val="en-AU"/>
        </w:rPr>
      </w:pPr>
      <w:r w:rsidRPr="002D2F67">
        <w:rPr>
          <w:rFonts w:ascii="Arial" w:hAnsi="Arial" w:cs="Arial"/>
          <w:color w:val="000000"/>
          <w:spacing w:val="-4"/>
          <w:sz w:val="20"/>
          <w:szCs w:val="20"/>
        </w:rPr>
        <w:t xml:space="preserve">On </w:t>
      </w:r>
      <w:r w:rsidR="00CD5714" w:rsidRPr="00CD5714">
        <w:rPr>
          <w:rFonts w:ascii="Arial" w:hAnsi="Arial" w:cs="Arial"/>
          <w:color w:val="000000"/>
          <w:spacing w:val="-4"/>
          <w:sz w:val="20"/>
          <w:szCs w:val="20"/>
          <w:lang w:val="en-GB"/>
        </w:rPr>
        <w:t>23</w:t>
      </w:r>
      <w:r w:rsidRPr="002D2F67">
        <w:rPr>
          <w:rFonts w:ascii="Arial" w:hAnsi="Arial" w:cs="Arial"/>
          <w:color w:val="000000"/>
          <w:spacing w:val="-4"/>
          <w:sz w:val="20"/>
          <w:szCs w:val="20"/>
        </w:rPr>
        <w:t xml:space="preserve"> June </w:t>
      </w:r>
      <w:r w:rsidR="00CD5714" w:rsidRPr="00CD5714">
        <w:rPr>
          <w:rFonts w:ascii="Arial" w:hAnsi="Arial" w:cs="Arial"/>
          <w:color w:val="000000"/>
          <w:spacing w:val="-4"/>
          <w:sz w:val="20"/>
          <w:szCs w:val="20"/>
          <w:lang w:val="en-GB"/>
        </w:rPr>
        <w:t>2024</w:t>
      </w:r>
      <w:r w:rsidRPr="002D2F67">
        <w:rPr>
          <w:rFonts w:ascii="Arial" w:hAnsi="Arial" w:cs="Arial"/>
          <w:color w:val="000000"/>
          <w:spacing w:val="-4"/>
          <w:sz w:val="20"/>
          <w:szCs w:val="20"/>
        </w:rPr>
        <w:t xml:space="preserve">, the Group purchased newly issued ordinary shares of TC at its shareholding interests for </w:t>
      </w:r>
      <w:r w:rsidR="00CD5714" w:rsidRPr="00CD5714">
        <w:rPr>
          <w:rFonts w:ascii="Arial" w:hAnsi="Arial" w:cs="Arial"/>
          <w:color w:val="000000"/>
          <w:spacing w:val="-4"/>
          <w:sz w:val="20"/>
          <w:szCs w:val="20"/>
          <w:lang w:val="en-GB"/>
        </w:rPr>
        <w:t>533</w:t>
      </w:r>
      <w:r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333</w:t>
      </w:r>
      <w:r w:rsidRPr="002D2F67">
        <w:rPr>
          <w:rFonts w:ascii="Arial" w:hAnsi="Arial" w:cs="Arial"/>
          <w:color w:val="000000"/>
          <w:spacing w:val="-4"/>
          <w:sz w:val="20"/>
          <w:szCs w:val="20"/>
        </w:rPr>
        <w:t xml:space="preserve"> shares of Baht </w:t>
      </w:r>
      <w:r w:rsidR="00CD5714" w:rsidRPr="00CD5714">
        <w:rPr>
          <w:rFonts w:ascii="Arial" w:hAnsi="Arial" w:cs="Arial"/>
          <w:color w:val="000000"/>
          <w:spacing w:val="-4"/>
          <w:sz w:val="20"/>
          <w:szCs w:val="20"/>
          <w:lang w:val="en-GB"/>
        </w:rPr>
        <w:t>100</w:t>
      </w:r>
      <w:r w:rsidRPr="002D2F67">
        <w:rPr>
          <w:rFonts w:ascii="Arial" w:hAnsi="Arial" w:cs="Arial"/>
          <w:color w:val="000000"/>
          <w:spacing w:val="-4"/>
          <w:sz w:val="20"/>
          <w:szCs w:val="20"/>
        </w:rPr>
        <w:t xml:space="preserve"> per share, totalling Baht </w:t>
      </w:r>
      <w:r w:rsidR="00CD5714" w:rsidRPr="00CD5714">
        <w:rPr>
          <w:rFonts w:ascii="Arial" w:hAnsi="Arial" w:cs="Arial"/>
          <w:color w:val="000000"/>
          <w:spacing w:val="-4"/>
          <w:sz w:val="20"/>
          <w:szCs w:val="20"/>
          <w:lang w:val="en-GB"/>
        </w:rPr>
        <w:t>53</w:t>
      </w:r>
      <w:r w:rsidRPr="002D2F67">
        <w:rPr>
          <w:rFonts w:ascii="Arial" w:hAnsi="Arial" w:cs="Arial"/>
          <w:color w:val="000000"/>
          <w:spacing w:val="-4"/>
          <w:sz w:val="20"/>
          <w:szCs w:val="20"/>
        </w:rPr>
        <w:t xml:space="preserve"> million. </w:t>
      </w:r>
      <w:r w:rsidR="002A7CAF" w:rsidRPr="002D2F67">
        <w:rPr>
          <w:rFonts w:ascii="Arial" w:hAnsi="Arial" w:cs="Arial"/>
          <w:color w:val="000000"/>
          <w:spacing w:val="-4"/>
          <w:sz w:val="20"/>
          <w:szCs w:val="20"/>
        </w:rPr>
        <w:t>TC</w:t>
      </w:r>
      <w:r w:rsidRPr="002D2F67">
        <w:rPr>
          <w:rFonts w:ascii="Arial" w:hAnsi="Arial" w:cs="Arial"/>
          <w:color w:val="000000"/>
          <w:spacing w:val="-4"/>
          <w:sz w:val="20"/>
          <w:szCs w:val="20"/>
        </w:rPr>
        <w:t xml:space="preserve"> called for payment of the </w:t>
      </w:r>
      <w:r w:rsidR="002A7CAF" w:rsidRPr="002D2F67">
        <w:rPr>
          <w:rFonts w:ascii="Arial" w:hAnsi="Arial" w:cs="Arial"/>
          <w:color w:val="000000"/>
          <w:spacing w:val="-4"/>
          <w:sz w:val="20"/>
          <w:szCs w:val="20"/>
        </w:rPr>
        <w:t xml:space="preserve">said </w:t>
      </w:r>
      <w:r w:rsidRPr="002D2F67">
        <w:rPr>
          <w:rFonts w:ascii="Arial" w:hAnsi="Arial" w:cs="Arial"/>
          <w:color w:val="000000"/>
          <w:spacing w:val="-2"/>
          <w:sz w:val="20"/>
          <w:szCs w:val="20"/>
        </w:rPr>
        <w:t xml:space="preserve">shares at Baht </w:t>
      </w:r>
      <w:r w:rsidR="00CD5714" w:rsidRPr="00CD5714">
        <w:rPr>
          <w:rFonts w:ascii="Arial" w:hAnsi="Arial" w:cs="Arial"/>
          <w:color w:val="000000"/>
          <w:spacing w:val="-2"/>
          <w:sz w:val="20"/>
          <w:szCs w:val="20"/>
          <w:lang w:val="en-GB"/>
        </w:rPr>
        <w:t>100</w:t>
      </w:r>
      <w:r w:rsidRPr="002D2F67">
        <w:rPr>
          <w:rFonts w:ascii="Arial" w:hAnsi="Arial" w:cs="Arial"/>
          <w:color w:val="000000"/>
          <w:spacing w:val="-2"/>
          <w:sz w:val="20"/>
          <w:szCs w:val="20"/>
        </w:rPr>
        <w:t xml:space="preserve"> per share, totalling Baht </w:t>
      </w:r>
      <w:r w:rsidR="00CD5714" w:rsidRPr="00CD5714">
        <w:rPr>
          <w:rFonts w:ascii="Arial" w:hAnsi="Arial" w:cs="Arial"/>
          <w:color w:val="000000"/>
          <w:spacing w:val="-2"/>
          <w:sz w:val="20"/>
          <w:szCs w:val="20"/>
          <w:lang w:val="en-GB"/>
        </w:rPr>
        <w:t>53</w:t>
      </w:r>
      <w:r w:rsidRPr="002D2F67">
        <w:rPr>
          <w:rFonts w:ascii="Arial" w:hAnsi="Arial" w:cs="Arial"/>
          <w:color w:val="000000"/>
          <w:spacing w:val="-2"/>
          <w:sz w:val="20"/>
          <w:szCs w:val="20"/>
        </w:rPr>
        <w:t xml:space="preserve"> million. The Group already paid </w:t>
      </w:r>
      <w:r w:rsidR="002A7CAF" w:rsidRPr="002D2F67">
        <w:rPr>
          <w:rFonts w:ascii="Arial" w:hAnsi="Arial" w:cs="Arial"/>
          <w:color w:val="000000"/>
          <w:spacing w:val="-2"/>
          <w:sz w:val="20"/>
          <w:szCs w:val="20"/>
        </w:rPr>
        <w:t>for such shares</w:t>
      </w:r>
      <w:r w:rsidRPr="002D2F67">
        <w:rPr>
          <w:rFonts w:ascii="Arial" w:hAnsi="Arial" w:cs="Arial"/>
          <w:color w:val="000000"/>
          <w:spacing w:val="-2"/>
          <w:sz w:val="20"/>
          <w:szCs w:val="20"/>
        </w:rPr>
        <w:t xml:space="preserve"> during </w:t>
      </w:r>
      <w:r w:rsidR="006A3422" w:rsidRPr="002D2F67">
        <w:rPr>
          <w:rFonts w:ascii="Arial" w:hAnsi="Arial" w:cs="Arial"/>
          <w:color w:val="000000"/>
          <w:spacing w:val="-2"/>
          <w:sz w:val="20"/>
          <w:szCs w:val="20"/>
        </w:rPr>
        <w:t>the year</w:t>
      </w:r>
      <w:r w:rsidRPr="002D2F67">
        <w:rPr>
          <w:rFonts w:ascii="Arial" w:hAnsi="Arial" w:cs="Arial"/>
          <w:color w:val="000000"/>
          <w:spacing w:val="-4"/>
          <w:sz w:val="20"/>
          <w:szCs w:val="20"/>
        </w:rPr>
        <w:t>.</w:t>
      </w:r>
    </w:p>
    <w:p w14:paraId="7223F606" w14:textId="77777777" w:rsidR="00AE6C61" w:rsidRPr="002D2F67" w:rsidRDefault="00AE6C61" w:rsidP="00706C8B">
      <w:pPr>
        <w:ind w:left="540"/>
        <w:jc w:val="both"/>
        <w:rPr>
          <w:rFonts w:ascii="Arial" w:hAnsi="Arial" w:cs="Arial"/>
          <w:sz w:val="20"/>
          <w:szCs w:val="20"/>
          <w:lang w:val="en-AU"/>
        </w:rPr>
      </w:pPr>
    </w:p>
    <w:p w14:paraId="24D17BC9" w14:textId="21FCA3CC" w:rsidR="00374F19" w:rsidRPr="002D2F67" w:rsidRDefault="00AE6C61" w:rsidP="00706C8B">
      <w:pPr>
        <w:ind w:left="540"/>
        <w:jc w:val="both"/>
        <w:rPr>
          <w:rFonts w:ascii="Arial" w:hAnsi="Arial" w:cs="Arial"/>
          <w:color w:val="000000"/>
          <w:spacing w:val="-4"/>
          <w:sz w:val="20"/>
          <w:szCs w:val="20"/>
        </w:rPr>
      </w:pPr>
      <w:r w:rsidRPr="002D2F67">
        <w:rPr>
          <w:rFonts w:ascii="Arial" w:hAnsi="Arial" w:cs="Arial"/>
          <w:color w:val="000000"/>
          <w:spacing w:val="-4"/>
          <w:sz w:val="20"/>
          <w:szCs w:val="20"/>
        </w:rPr>
        <w:t xml:space="preserve">As </w:t>
      </w:r>
      <w:proofErr w:type="gramStart"/>
      <w:r w:rsidRPr="002D2F67">
        <w:rPr>
          <w:rFonts w:ascii="Arial" w:hAnsi="Arial" w:cs="Arial"/>
          <w:color w:val="000000"/>
          <w:spacing w:val="-4"/>
          <w:sz w:val="20"/>
          <w:szCs w:val="20"/>
        </w:rPr>
        <w:t>at</w:t>
      </w:r>
      <w:proofErr w:type="gramEnd"/>
      <w:r w:rsidRPr="002D2F67">
        <w:rPr>
          <w:rFonts w:ascii="Arial" w:hAnsi="Arial" w:cs="Arial"/>
          <w:color w:val="000000"/>
          <w:spacing w:val="-4"/>
          <w:sz w:val="20"/>
          <w:szCs w:val="20"/>
        </w:rPr>
        <w:t xml:space="preserve"> </w:t>
      </w:r>
      <w:r w:rsidR="00CD5714" w:rsidRPr="00CD5714">
        <w:rPr>
          <w:rFonts w:ascii="Arial" w:hAnsi="Arial" w:cs="Arial"/>
          <w:color w:val="000000"/>
          <w:spacing w:val="-4"/>
          <w:sz w:val="20"/>
          <w:szCs w:val="20"/>
          <w:lang w:val="en-GB"/>
        </w:rPr>
        <w:t>31</w:t>
      </w:r>
      <w:r w:rsidR="006A3422" w:rsidRPr="002D2F67">
        <w:rPr>
          <w:rFonts w:ascii="Arial" w:hAnsi="Arial" w:cs="Arial"/>
          <w:color w:val="000000"/>
          <w:spacing w:val="-4"/>
          <w:sz w:val="20"/>
          <w:szCs w:val="20"/>
        </w:rPr>
        <w:t xml:space="preserve"> December</w:t>
      </w:r>
      <w:r w:rsidRPr="002D2F67">
        <w:rPr>
          <w:rFonts w:ascii="Arial" w:hAnsi="Arial" w:cs="Arial"/>
          <w:color w:val="000000"/>
          <w:spacing w:val="-4"/>
          <w:sz w:val="20"/>
          <w:szCs w:val="20"/>
        </w:rPr>
        <w:t xml:space="preserve"> </w:t>
      </w:r>
      <w:r w:rsidR="00CD5714" w:rsidRPr="00CD5714">
        <w:rPr>
          <w:rFonts w:ascii="Arial" w:hAnsi="Arial" w:cs="Arial"/>
          <w:color w:val="000000"/>
          <w:spacing w:val="-4"/>
          <w:sz w:val="20"/>
          <w:szCs w:val="20"/>
          <w:lang w:val="en-GB"/>
        </w:rPr>
        <w:t>2024</w:t>
      </w:r>
      <w:r w:rsidRPr="002D2F67">
        <w:rPr>
          <w:rFonts w:ascii="Arial" w:hAnsi="Arial" w:cs="Arial"/>
          <w:color w:val="000000"/>
          <w:spacing w:val="-4"/>
          <w:sz w:val="20"/>
          <w:szCs w:val="20"/>
        </w:rPr>
        <w:t>, the Group is in the process of determining the fair value of net identifiable assets and reviewing purchase price allocation (PPA).</w:t>
      </w:r>
      <w:r w:rsidR="006A3422" w:rsidRPr="002D2F67">
        <w:rPr>
          <w:rFonts w:ascii="Arial" w:hAnsi="Arial" w:cs="Arial"/>
          <w:color w:val="000000"/>
          <w:spacing w:val="-4"/>
          <w:sz w:val="20"/>
          <w:szCs w:val="20"/>
        </w:rPr>
        <w:t xml:space="preserve"> </w:t>
      </w:r>
      <w:r w:rsidRPr="002D2F67">
        <w:rPr>
          <w:rFonts w:ascii="Arial" w:hAnsi="Arial" w:cs="Arial"/>
          <w:color w:val="000000"/>
          <w:spacing w:val="-4"/>
          <w:sz w:val="20"/>
          <w:szCs w:val="20"/>
        </w:rPr>
        <w:t xml:space="preserve">Therefore, any difference between the acquisition cost and net assets carrying value are subjected to further adjustments depending on the determination </w:t>
      </w:r>
      <w:r w:rsidRPr="002D2F67">
        <w:rPr>
          <w:rFonts w:ascii="Arial" w:hAnsi="Arial" w:cs="Arial"/>
          <w:color w:val="000000"/>
          <w:spacing w:val="-2"/>
          <w:sz w:val="20"/>
          <w:szCs w:val="20"/>
        </w:rPr>
        <w:t>of fair value and the results of the PPA. The Group expected to finalise its fair value calculation within</w:t>
      </w:r>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12</w:t>
      </w:r>
      <w:r w:rsidRPr="002D2F67">
        <w:rPr>
          <w:rFonts w:ascii="Arial" w:hAnsi="Arial" w:cs="Arial"/>
          <w:color w:val="000000"/>
          <w:sz w:val="20"/>
          <w:szCs w:val="20"/>
        </w:rPr>
        <w:t xml:space="preserve"> months</w:t>
      </w:r>
      <w:r w:rsidRPr="002D2F67">
        <w:rPr>
          <w:rFonts w:ascii="Arial" w:hAnsi="Arial" w:cs="Arial"/>
          <w:color w:val="000000"/>
          <w:spacing w:val="-4"/>
          <w:sz w:val="20"/>
          <w:szCs w:val="20"/>
        </w:rPr>
        <w:t xml:space="preserve"> from the acquisition date of the investment in such associate. The estimated fair value of net </w:t>
      </w:r>
      <w:r w:rsidRPr="002D2F67">
        <w:rPr>
          <w:rFonts w:ascii="Arial" w:hAnsi="Arial" w:cs="Arial"/>
          <w:color w:val="000000"/>
          <w:sz w:val="20"/>
          <w:szCs w:val="20"/>
        </w:rPr>
        <w:t xml:space="preserve">identifiable assets acquired is Baht </w:t>
      </w:r>
      <w:r w:rsidR="00CD5714" w:rsidRPr="00CD5714">
        <w:rPr>
          <w:rFonts w:ascii="Arial" w:hAnsi="Arial" w:cs="Arial"/>
          <w:color w:val="000000"/>
          <w:sz w:val="20"/>
          <w:szCs w:val="20"/>
          <w:lang w:val="en-GB"/>
        </w:rPr>
        <w:t>256</w:t>
      </w:r>
      <w:r w:rsidRPr="002D2F67">
        <w:rPr>
          <w:rFonts w:ascii="Arial" w:hAnsi="Arial" w:cs="Arial"/>
          <w:color w:val="000000"/>
          <w:sz w:val="20"/>
          <w:szCs w:val="20"/>
        </w:rPr>
        <w:t xml:space="preserve"> million which mainly consists of cash and cash equivalents, property,</w:t>
      </w:r>
      <w:r w:rsidRPr="002D2F67">
        <w:rPr>
          <w:rFonts w:ascii="Arial" w:hAnsi="Arial" w:cs="Arial"/>
          <w:color w:val="000000"/>
          <w:spacing w:val="-4"/>
          <w:sz w:val="20"/>
          <w:szCs w:val="20"/>
        </w:rPr>
        <w:t xml:space="preserve"> plant and equipment, and trade accounts payable.</w:t>
      </w:r>
    </w:p>
    <w:p w14:paraId="3A147B18" w14:textId="77777777" w:rsidR="0019529D" w:rsidRPr="002D2F67" w:rsidRDefault="0019529D" w:rsidP="00706C8B">
      <w:pPr>
        <w:ind w:left="540"/>
        <w:jc w:val="both"/>
        <w:rPr>
          <w:rFonts w:ascii="Arial" w:hAnsi="Arial" w:cs="Arial"/>
          <w:sz w:val="20"/>
          <w:szCs w:val="20"/>
        </w:rPr>
      </w:pPr>
    </w:p>
    <w:p w14:paraId="59581298" w14:textId="7F57BDE1" w:rsidR="00EE6A69" w:rsidRPr="002D2F67" w:rsidRDefault="00EE6A69" w:rsidP="00706C8B">
      <w:pPr>
        <w:ind w:left="540"/>
        <w:jc w:val="thaiDistribute"/>
        <w:rPr>
          <w:rFonts w:ascii="Arial" w:hAnsi="Arial" w:cs="Arial"/>
          <w:color w:val="000000"/>
          <w:sz w:val="20"/>
          <w:szCs w:val="20"/>
          <w:u w:val="single"/>
        </w:rPr>
      </w:pPr>
      <w:r w:rsidRPr="002D2F67">
        <w:rPr>
          <w:rFonts w:ascii="Arial" w:hAnsi="Arial" w:cs="Arial"/>
          <w:color w:val="000000"/>
          <w:sz w:val="20"/>
          <w:szCs w:val="20"/>
          <w:u w:val="single"/>
        </w:rPr>
        <w:t>Terabyte Plus P</w:t>
      </w:r>
      <w:r w:rsidR="0088415F" w:rsidRPr="002D2F67">
        <w:rPr>
          <w:rFonts w:ascii="Arial" w:hAnsi="Arial" w:cs="Arial"/>
          <w:color w:val="000000"/>
          <w:sz w:val="20"/>
          <w:szCs w:val="20"/>
          <w:u w:val="single"/>
        </w:rPr>
        <w:t>ublic Co., Ltd. (TERA)</w:t>
      </w:r>
    </w:p>
    <w:p w14:paraId="22CE35C6" w14:textId="77777777" w:rsidR="00EE6A69" w:rsidRPr="002D2F67" w:rsidRDefault="00EE6A69" w:rsidP="00706C8B">
      <w:pPr>
        <w:ind w:left="540"/>
        <w:jc w:val="thaiDistribute"/>
        <w:rPr>
          <w:rFonts w:ascii="Arial" w:eastAsia="Arial Unicode MS" w:hAnsi="Arial" w:cs="Arial"/>
          <w:sz w:val="20"/>
          <w:szCs w:val="20"/>
          <w:u w:val="single"/>
        </w:rPr>
      </w:pPr>
    </w:p>
    <w:p w14:paraId="08F7AA35" w14:textId="4C70906D" w:rsidR="00FE2AB8" w:rsidRPr="002D2F67" w:rsidRDefault="00EE6A69" w:rsidP="00706C8B">
      <w:pPr>
        <w:ind w:left="540"/>
        <w:jc w:val="both"/>
        <w:rPr>
          <w:rFonts w:ascii="Arial" w:hAnsi="Arial" w:cs="Arial"/>
          <w:color w:val="000000"/>
          <w:spacing w:val="-4"/>
          <w:sz w:val="20"/>
          <w:szCs w:val="20"/>
        </w:rPr>
      </w:pPr>
      <w:r w:rsidRPr="002D2F67">
        <w:rPr>
          <w:rFonts w:ascii="Arial" w:hAnsi="Arial" w:cs="Arial"/>
          <w:color w:val="000000"/>
          <w:spacing w:val="-4"/>
          <w:sz w:val="20"/>
          <w:szCs w:val="20"/>
        </w:rPr>
        <w:t xml:space="preserve">On </w:t>
      </w:r>
      <w:r w:rsidR="00CD5714" w:rsidRPr="00CD5714">
        <w:rPr>
          <w:rFonts w:ascii="Arial" w:hAnsi="Arial" w:cs="Arial"/>
          <w:color w:val="000000"/>
          <w:spacing w:val="-4"/>
          <w:sz w:val="20"/>
          <w:szCs w:val="20"/>
          <w:lang w:val="en-GB"/>
        </w:rPr>
        <w:t>4</w:t>
      </w:r>
      <w:r w:rsidRPr="002D2F67">
        <w:rPr>
          <w:rFonts w:ascii="Arial" w:hAnsi="Arial" w:cs="Arial"/>
          <w:color w:val="000000"/>
          <w:spacing w:val="-4"/>
          <w:sz w:val="20"/>
          <w:szCs w:val="20"/>
          <w:cs/>
        </w:rPr>
        <w:t xml:space="preserve"> </w:t>
      </w:r>
      <w:r w:rsidRPr="002D2F67">
        <w:rPr>
          <w:rFonts w:ascii="Arial" w:hAnsi="Arial" w:cs="Arial"/>
          <w:color w:val="000000"/>
          <w:spacing w:val="-4"/>
          <w:sz w:val="20"/>
          <w:szCs w:val="20"/>
        </w:rPr>
        <w:t xml:space="preserve">April </w:t>
      </w:r>
      <w:r w:rsidR="00CD5714" w:rsidRPr="00CD5714">
        <w:rPr>
          <w:rFonts w:ascii="Arial" w:hAnsi="Arial" w:cs="Arial"/>
          <w:color w:val="000000"/>
          <w:spacing w:val="-4"/>
          <w:sz w:val="20"/>
          <w:szCs w:val="20"/>
          <w:lang w:val="en-GB"/>
        </w:rPr>
        <w:t>2024</w:t>
      </w:r>
      <w:r w:rsidRPr="002D2F67">
        <w:rPr>
          <w:rFonts w:ascii="Arial" w:hAnsi="Arial" w:cs="Arial"/>
          <w:color w:val="000000"/>
          <w:spacing w:val="-4"/>
          <w:sz w:val="20"/>
          <w:szCs w:val="20"/>
        </w:rPr>
        <w:t xml:space="preserve">, the Group acquired newly issued ordinary shares of </w:t>
      </w:r>
      <w:r w:rsidR="00B66716" w:rsidRPr="002D2F67">
        <w:rPr>
          <w:rFonts w:ascii="Arial" w:hAnsi="Arial" w:cs="Arial"/>
          <w:color w:val="000000"/>
          <w:spacing w:val="-4"/>
          <w:sz w:val="20"/>
          <w:szCs w:val="20"/>
        </w:rPr>
        <w:t>TERA</w:t>
      </w:r>
      <w:r w:rsidRPr="002D2F67">
        <w:rPr>
          <w:rFonts w:ascii="Arial" w:hAnsi="Arial" w:cs="Arial"/>
          <w:color w:val="000000"/>
          <w:spacing w:val="-4"/>
          <w:sz w:val="20"/>
          <w:szCs w:val="20"/>
        </w:rPr>
        <w:t xml:space="preserve"> for </w:t>
      </w:r>
      <w:r w:rsidR="00CD5714" w:rsidRPr="00CD5714">
        <w:rPr>
          <w:rFonts w:ascii="Arial" w:hAnsi="Arial" w:cs="Arial"/>
          <w:color w:val="000000"/>
          <w:spacing w:val="-4"/>
          <w:sz w:val="20"/>
          <w:szCs w:val="20"/>
          <w:lang w:val="en-GB"/>
        </w:rPr>
        <w:t>11</w:t>
      </w:r>
      <w:r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967</w:t>
      </w:r>
      <w:r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491</w:t>
      </w:r>
      <w:r w:rsidRPr="002D2F67">
        <w:rPr>
          <w:rFonts w:ascii="Arial" w:hAnsi="Arial" w:cs="Arial"/>
          <w:color w:val="000000"/>
          <w:spacing w:val="-4"/>
          <w:sz w:val="20"/>
          <w:szCs w:val="20"/>
        </w:rPr>
        <w:t xml:space="preserve"> shares of </w:t>
      </w:r>
      <w:r w:rsidRPr="002D2F67">
        <w:rPr>
          <w:rFonts w:ascii="Arial" w:hAnsi="Arial" w:cs="Arial"/>
          <w:color w:val="000000"/>
          <w:spacing w:val="-8"/>
          <w:sz w:val="20"/>
          <w:szCs w:val="20"/>
        </w:rPr>
        <w:t xml:space="preserve">Baht </w:t>
      </w:r>
      <w:r w:rsidR="00CD5714" w:rsidRPr="00CD5714">
        <w:rPr>
          <w:rFonts w:ascii="Arial" w:hAnsi="Arial" w:cs="Arial"/>
          <w:color w:val="000000"/>
          <w:spacing w:val="-8"/>
          <w:sz w:val="20"/>
          <w:szCs w:val="20"/>
          <w:lang w:val="en-GB"/>
        </w:rPr>
        <w:t>1</w:t>
      </w:r>
      <w:r w:rsidRPr="002D2F67">
        <w:rPr>
          <w:rFonts w:ascii="Arial" w:hAnsi="Arial" w:cs="Arial"/>
          <w:color w:val="000000"/>
          <w:spacing w:val="-8"/>
          <w:sz w:val="20"/>
          <w:szCs w:val="20"/>
        </w:rPr>
        <w:t>.</w:t>
      </w:r>
      <w:r w:rsidR="00CD5714" w:rsidRPr="00CD5714">
        <w:rPr>
          <w:rFonts w:ascii="Arial" w:hAnsi="Arial" w:cs="Arial"/>
          <w:color w:val="000000"/>
          <w:spacing w:val="-8"/>
          <w:sz w:val="20"/>
          <w:szCs w:val="20"/>
          <w:lang w:val="en-GB"/>
        </w:rPr>
        <w:t>75</w:t>
      </w:r>
      <w:r w:rsidRPr="002D2F67">
        <w:rPr>
          <w:rFonts w:ascii="Arial" w:hAnsi="Arial" w:cs="Arial"/>
          <w:color w:val="000000"/>
          <w:spacing w:val="-8"/>
          <w:sz w:val="20"/>
          <w:szCs w:val="20"/>
        </w:rPr>
        <w:t xml:space="preserve"> per share, totalling Baht </w:t>
      </w:r>
      <w:r w:rsidR="00CD5714" w:rsidRPr="00CD5714">
        <w:rPr>
          <w:rFonts w:ascii="Arial" w:hAnsi="Arial" w:cs="Arial"/>
          <w:color w:val="000000"/>
          <w:spacing w:val="-8"/>
          <w:sz w:val="20"/>
          <w:szCs w:val="20"/>
          <w:lang w:val="en-GB"/>
        </w:rPr>
        <w:t>21</w:t>
      </w:r>
      <w:r w:rsidRPr="002D2F67">
        <w:rPr>
          <w:rFonts w:ascii="Arial" w:hAnsi="Arial" w:cs="Arial"/>
          <w:color w:val="000000"/>
          <w:spacing w:val="-8"/>
          <w:sz w:val="20"/>
          <w:szCs w:val="20"/>
        </w:rPr>
        <w:t xml:space="preserve"> million. As a result, the Group held </w:t>
      </w:r>
      <w:r w:rsidR="00CD5714" w:rsidRPr="00CD5714">
        <w:rPr>
          <w:rFonts w:ascii="Arial" w:hAnsi="Arial" w:cs="Arial"/>
          <w:color w:val="000000"/>
          <w:spacing w:val="-8"/>
          <w:sz w:val="20"/>
          <w:szCs w:val="20"/>
          <w:lang w:val="en-GB"/>
        </w:rPr>
        <w:t>5</w:t>
      </w:r>
      <w:r w:rsidRPr="002D2F67">
        <w:rPr>
          <w:rFonts w:ascii="Arial" w:hAnsi="Arial" w:cs="Arial"/>
          <w:color w:val="000000"/>
          <w:spacing w:val="-8"/>
          <w:sz w:val="20"/>
          <w:szCs w:val="20"/>
        </w:rPr>
        <w:t>% of issued and paid-up ordinary</w:t>
      </w:r>
      <w:r w:rsidRPr="002D2F67">
        <w:rPr>
          <w:rFonts w:ascii="Arial" w:hAnsi="Arial" w:cs="Arial"/>
          <w:color w:val="000000"/>
          <w:spacing w:val="-4"/>
          <w:sz w:val="20"/>
          <w:szCs w:val="20"/>
        </w:rPr>
        <w:t xml:space="preserve"> shares. </w:t>
      </w:r>
      <w:r w:rsidR="00B66716" w:rsidRPr="002D2F67">
        <w:rPr>
          <w:rFonts w:ascii="Arial" w:hAnsi="Arial" w:cs="Arial"/>
          <w:color w:val="000000"/>
          <w:spacing w:val="-4"/>
          <w:sz w:val="20"/>
          <w:szCs w:val="20"/>
        </w:rPr>
        <w:t>TERA</w:t>
      </w:r>
      <w:r w:rsidRPr="002D2F67">
        <w:rPr>
          <w:rFonts w:ascii="Arial" w:hAnsi="Arial" w:cs="Arial"/>
          <w:color w:val="000000"/>
          <w:spacing w:val="-4"/>
          <w:sz w:val="20"/>
          <w:szCs w:val="20"/>
        </w:rPr>
        <w:t xml:space="preserve"> engages in business of </w:t>
      </w:r>
      <w:r w:rsidRPr="002D2F67">
        <w:rPr>
          <w:rFonts w:ascii="Arial" w:eastAsia="Cordia New" w:hAnsi="Arial" w:cs="Arial"/>
          <w:color w:val="000000"/>
          <w:spacing w:val="-4"/>
          <w:sz w:val="20"/>
          <w:szCs w:val="20"/>
        </w:rPr>
        <w:t>selling the information technology equipment, providing services and consultation for information technology and communications and selling and providing services of the transportation management system and logistics.</w:t>
      </w:r>
      <w:r w:rsidR="00B66716" w:rsidRPr="002D2F67">
        <w:rPr>
          <w:rFonts w:ascii="Arial" w:eastAsia="Cordia New" w:hAnsi="Arial" w:cs="Arial"/>
          <w:color w:val="000000"/>
          <w:spacing w:val="-4"/>
          <w:sz w:val="20"/>
          <w:szCs w:val="20"/>
        </w:rPr>
        <w:t xml:space="preserve"> </w:t>
      </w:r>
      <w:r w:rsidRPr="002D2F67">
        <w:rPr>
          <w:rFonts w:ascii="Arial" w:hAnsi="Arial" w:cs="Arial"/>
          <w:color w:val="000000"/>
          <w:spacing w:val="-4"/>
          <w:sz w:val="20"/>
          <w:szCs w:val="20"/>
        </w:rPr>
        <w:t xml:space="preserve">The Group classifies the investment in </w:t>
      </w:r>
      <w:r w:rsidR="00B66716" w:rsidRPr="002D2F67">
        <w:rPr>
          <w:rFonts w:ascii="Arial" w:hAnsi="Arial" w:cs="Arial"/>
          <w:color w:val="000000"/>
          <w:spacing w:val="-4"/>
          <w:sz w:val="20"/>
          <w:szCs w:val="20"/>
        </w:rPr>
        <w:t>TERA</w:t>
      </w:r>
      <w:r w:rsidRPr="002D2F67">
        <w:rPr>
          <w:rFonts w:ascii="Arial" w:hAnsi="Arial" w:cs="Arial"/>
          <w:color w:val="000000"/>
          <w:spacing w:val="-4"/>
          <w:sz w:val="20"/>
          <w:szCs w:val="20"/>
        </w:rPr>
        <w:t xml:space="preserve"> as an </w:t>
      </w:r>
      <w:r w:rsidRPr="002D2F67">
        <w:rPr>
          <w:rFonts w:ascii="Arial" w:hAnsi="Arial" w:cs="Arial"/>
          <w:color w:val="000000"/>
          <w:spacing w:val="-8"/>
          <w:sz w:val="20"/>
          <w:szCs w:val="20"/>
        </w:rPr>
        <w:t xml:space="preserve">investment in an associate </w:t>
      </w:r>
      <w:r w:rsidR="000132D2" w:rsidRPr="002D2F67">
        <w:rPr>
          <w:rFonts w:ascii="Arial" w:hAnsi="Arial" w:cs="Arial"/>
          <w:color w:val="000000"/>
          <w:spacing w:val="-8"/>
          <w:sz w:val="20"/>
          <w:szCs w:val="20"/>
        </w:rPr>
        <w:t>because</w:t>
      </w:r>
      <w:r w:rsidR="00D763A1" w:rsidRPr="002D2F67">
        <w:rPr>
          <w:rFonts w:ascii="Arial" w:hAnsi="Arial" w:cs="Arial"/>
          <w:color w:val="000000"/>
          <w:spacing w:val="-8"/>
          <w:sz w:val="20"/>
          <w:szCs w:val="20"/>
        </w:rPr>
        <w:t xml:space="preserve"> </w:t>
      </w:r>
      <w:r w:rsidRPr="002D2F67">
        <w:rPr>
          <w:rFonts w:ascii="Arial" w:hAnsi="Arial" w:cs="Arial"/>
          <w:color w:val="000000"/>
          <w:spacing w:val="-8"/>
          <w:sz w:val="20"/>
          <w:szCs w:val="20"/>
        </w:rPr>
        <w:t xml:space="preserve">the Group has significant influence in strategic financial and operational </w:t>
      </w:r>
      <w:r w:rsidRPr="002D2F67">
        <w:rPr>
          <w:rFonts w:ascii="Arial" w:hAnsi="Arial" w:cs="Arial"/>
          <w:color w:val="000000"/>
          <w:spacing w:val="-4"/>
          <w:sz w:val="20"/>
          <w:szCs w:val="20"/>
        </w:rPr>
        <w:t>decisions for various important economic activities.</w:t>
      </w:r>
    </w:p>
    <w:p w14:paraId="5B728BED" w14:textId="2D56EA8F" w:rsidR="007537AF" w:rsidRPr="002D2F67" w:rsidRDefault="00EC4DD5" w:rsidP="00EC4DD5">
      <w:pPr>
        <w:jc w:val="thaiDistribute"/>
        <w:rPr>
          <w:rFonts w:ascii="Arial" w:eastAsia="Arial Unicode MS" w:hAnsi="Arial" w:cs="Arial"/>
          <w:b/>
          <w:bCs/>
          <w:spacing w:val="-6"/>
          <w:sz w:val="20"/>
          <w:szCs w:val="20"/>
        </w:rPr>
      </w:pPr>
      <w:r w:rsidRPr="002D2F67">
        <w:rPr>
          <w:rFonts w:ascii="Arial" w:eastAsia="Arial Unicode MS" w:hAnsi="Arial" w:cs="Arial"/>
          <w:b/>
          <w:bCs/>
          <w:spacing w:val="-6"/>
          <w:sz w:val="20"/>
          <w:szCs w:val="20"/>
        </w:rPr>
        <w:br w:type="page"/>
      </w:r>
    </w:p>
    <w:p w14:paraId="671E97AC" w14:textId="5AF21FDF" w:rsidR="00AA1487" w:rsidRPr="002D2F67" w:rsidRDefault="00CD5714" w:rsidP="00AA1487">
      <w:pPr>
        <w:tabs>
          <w:tab w:val="left" w:pos="2430"/>
        </w:tabs>
        <w:ind w:left="567" w:right="34" w:hanging="567"/>
        <w:jc w:val="thaiDistribute"/>
        <w:outlineLvl w:val="2"/>
        <w:rPr>
          <w:rFonts w:ascii="Arial" w:eastAsia="Arial Unicode MS" w:hAnsi="Arial" w:cs="Arial"/>
          <w:color w:val="000000"/>
          <w:sz w:val="20"/>
          <w:szCs w:val="25"/>
        </w:rPr>
      </w:pPr>
      <w:r w:rsidRPr="00CD5714">
        <w:rPr>
          <w:rFonts w:ascii="Arial" w:eastAsia="Arial Unicode MS" w:hAnsi="Arial" w:cs="Arial"/>
          <w:color w:val="000000"/>
          <w:spacing w:val="-6"/>
          <w:sz w:val="20"/>
          <w:szCs w:val="25"/>
          <w:lang w:val="en-GB"/>
        </w:rPr>
        <w:t>19</w:t>
      </w:r>
      <w:r w:rsidR="00AA1487" w:rsidRPr="002D2F67">
        <w:rPr>
          <w:rFonts w:ascii="Arial" w:eastAsia="Arial Unicode MS" w:hAnsi="Arial" w:cs="Arial"/>
          <w:color w:val="000000"/>
          <w:spacing w:val="-6"/>
          <w:sz w:val="20"/>
          <w:szCs w:val="25"/>
        </w:rPr>
        <w:t>.</w:t>
      </w:r>
      <w:r w:rsidRPr="00CD5714">
        <w:rPr>
          <w:rFonts w:ascii="Arial" w:eastAsia="Arial Unicode MS" w:hAnsi="Arial" w:cs="Arial"/>
          <w:color w:val="000000"/>
          <w:spacing w:val="-6"/>
          <w:sz w:val="20"/>
          <w:szCs w:val="25"/>
          <w:lang w:val="en-GB"/>
        </w:rPr>
        <w:t>1</w:t>
      </w:r>
      <w:r w:rsidR="00AA1487" w:rsidRPr="002D2F67">
        <w:rPr>
          <w:rFonts w:ascii="Arial" w:eastAsia="Arial Unicode MS" w:hAnsi="Arial" w:cs="Arial"/>
          <w:color w:val="000000"/>
          <w:spacing w:val="-6"/>
          <w:sz w:val="20"/>
          <w:szCs w:val="25"/>
        </w:rPr>
        <w:t>.</w:t>
      </w:r>
      <w:r w:rsidRPr="00CD5714">
        <w:rPr>
          <w:rFonts w:ascii="Arial" w:eastAsia="Arial Unicode MS" w:hAnsi="Arial" w:cs="Arial"/>
          <w:color w:val="000000"/>
          <w:spacing w:val="-6"/>
          <w:sz w:val="20"/>
          <w:szCs w:val="25"/>
          <w:lang w:val="en-GB"/>
        </w:rPr>
        <w:t>3</w:t>
      </w:r>
      <w:r w:rsidR="00AA1487" w:rsidRPr="002D2F67">
        <w:rPr>
          <w:rFonts w:ascii="Arial" w:eastAsia="Arial Unicode MS" w:hAnsi="Arial" w:cs="Arial"/>
          <w:color w:val="000000"/>
          <w:sz w:val="20"/>
          <w:szCs w:val="25"/>
        </w:rPr>
        <w:tab/>
      </w:r>
      <w:r w:rsidR="00AA1487" w:rsidRPr="002D2F67">
        <w:rPr>
          <w:rFonts w:ascii="Arial" w:eastAsia="Arial Unicode MS" w:hAnsi="Arial" w:cs="Arial"/>
          <w:color w:val="000000"/>
          <w:spacing w:val="-4"/>
          <w:sz w:val="20"/>
          <w:szCs w:val="25"/>
        </w:rPr>
        <w:t xml:space="preserve">The significant movement of the investments in joint ventures during the year ended </w:t>
      </w:r>
      <w:r w:rsidRPr="00CD5714">
        <w:rPr>
          <w:rFonts w:ascii="Arial" w:eastAsia="Arial Unicode MS" w:hAnsi="Arial" w:cs="Arial"/>
          <w:color w:val="000000"/>
          <w:spacing w:val="-4"/>
          <w:sz w:val="20"/>
          <w:szCs w:val="25"/>
          <w:lang w:val="en-GB"/>
        </w:rPr>
        <w:t>31</w:t>
      </w:r>
      <w:r w:rsidR="00AA1487" w:rsidRPr="002D2F67">
        <w:rPr>
          <w:rFonts w:ascii="Arial" w:eastAsia="Arial Unicode MS" w:hAnsi="Arial" w:cs="Arial"/>
          <w:color w:val="000000"/>
          <w:spacing w:val="-4"/>
          <w:sz w:val="20"/>
          <w:szCs w:val="25"/>
        </w:rPr>
        <w:t xml:space="preserve"> December </w:t>
      </w:r>
      <w:r w:rsidRPr="00CD5714">
        <w:rPr>
          <w:rFonts w:ascii="Arial" w:eastAsia="Arial Unicode MS" w:hAnsi="Arial" w:cs="Arial"/>
          <w:color w:val="000000"/>
          <w:spacing w:val="-4"/>
          <w:sz w:val="20"/>
          <w:szCs w:val="25"/>
          <w:lang w:val="en-GB"/>
        </w:rPr>
        <w:t>2024</w:t>
      </w:r>
      <w:r w:rsidR="00AA1487" w:rsidRPr="002D2F67">
        <w:rPr>
          <w:rFonts w:ascii="Arial" w:eastAsia="Arial Unicode MS" w:hAnsi="Arial" w:cs="Arial"/>
          <w:color w:val="000000"/>
          <w:sz w:val="20"/>
          <w:szCs w:val="25"/>
        </w:rPr>
        <w:t xml:space="preserve"> were as follows:</w:t>
      </w:r>
    </w:p>
    <w:p w14:paraId="72F8AE68" w14:textId="77777777" w:rsidR="00AA1487" w:rsidRPr="002D2F67" w:rsidRDefault="00AA1487" w:rsidP="00EC4DD5">
      <w:pPr>
        <w:ind w:left="540"/>
        <w:jc w:val="thaiDistribute"/>
        <w:rPr>
          <w:rFonts w:ascii="Arial" w:eastAsia="Arial Unicode MS" w:hAnsi="Arial" w:cs="Arial"/>
          <w:b/>
          <w:bCs/>
          <w:spacing w:val="-6"/>
          <w:sz w:val="20"/>
          <w:szCs w:val="20"/>
        </w:rPr>
      </w:pPr>
    </w:p>
    <w:p w14:paraId="11438F23" w14:textId="4947B4AE" w:rsidR="001D124C" w:rsidRPr="002D2F67" w:rsidRDefault="001D124C" w:rsidP="0073591D">
      <w:pPr>
        <w:ind w:firstLine="567"/>
        <w:jc w:val="thaiDistribute"/>
        <w:rPr>
          <w:rFonts w:ascii="Arial" w:eastAsia="Arial" w:hAnsi="Arial" w:cs="Arial"/>
          <w:b/>
          <w:bCs/>
          <w:color w:val="000000"/>
          <w:sz w:val="20"/>
          <w:szCs w:val="20"/>
        </w:rPr>
      </w:pPr>
      <w:r w:rsidRPr="002D2F67">
        <w:rPr>
          <w:rFonts w:ascii="Arial" w:eastAsia="Arial" w:hAnsi="Arial" w:cs="Arial"/>
          <w:b/>
          <w:bCs/>
          <w:color w:val="000000"/>
          <w:sz w:val="20"/>
          <w:szCs w:val="20"/>
        </w:rPr>
        <w:t>Direct joint venture</w:t>
      </w:r>
    </w:p>
    <w:p w14:paraId="67D6E962" w14:textId="77777777" w:rsidR="001D124C" w:rsidRPr="002D2F67" w:rsidRDefault="001D124C" w:rsidP="00EC4DD5">
      <w:pPr>
        <w:ind w:left="540"/>
        <w:jc w:val="thaiDistribute"/>
        <w:rPr>
          <w:rFonts w:ascii="Arial" w:hAnsi="Arial" w:cs="Arial"/>
          <w:sz w:val="20"/>
          <w:szCs w:val="20"/>
        </w:rPr>
      </w:pPr>
    </w:p>
    <w:p w14:paraId="3AC4533B" w14:textId="3BC333E5" w:rsidR="001D124C" w:rsidRPr="002D2F67" w:rsidRDefault="001D124C" w:rsidP="00EC4DD5">
      <w:pPr>
        <w:ind w:left="540"/>
        <w:jc w:val="both"/>
        <w:rPr>
          <w:rFonts w:ascii="Arial" w:hAnsi="Arial" w:cs="Arial"/>
        </w:rPr>
      </w:pPr>
      <w:r w:rsidRPr="002D2F67">
        <w:rPr>
          <w:rFonts w:ascii="Arial" w:eastAsia="Arial" w:hAnsi="Arial" w:cs="Arial"/>
          <w:sz w:val="20"/>
          <w:szCs w:val="20"/>
          <w:u w:val="single"/>
        </w:rPr>
        <w:t>Airports Energy Absolute Co., Ltd.</w:t>
      </w:r>
      <w:r w:rsidR="0073591D" w:rsidRPr="002D2F67">
        <w:rPr>
          <w:rFonts w:ascii="Arial" w:eastAsia="Arial" w:hAnsi="Arial" w:cs="Arial"/>
          <w:sz w:val="20"/>
          <w:szCs w:val="20"/>
          <w:u w:val="single"/>
        </w:rPr>
        <w:t xml:space="preserve"> (AEA)</w:t>
      </w:r>
    </w:p>
    <w:p w14:paraId="18B9D73A" w14:textId="77777777" w:rsidR="001D124C" w:rsidRPr="002D2F67" w:rsidRDefault="001D124C" w:rsidP="00EC4DD5">
      <w:pPr>
        <w:ind w:left="540"/>
        <w:jc w:val="both"/>
        <w:rPr>
          <w:rFonts w:ascii="Arial" w:hAnsi="Arial" w:cs="Arial"/>
          <w:sz w:val="20"/>
          <w:szCs w:val="20"/>
        </w:rPr>
      </w:pPr>
    </w:p>
    <w:p w14:paraId="2C8288EA" w14:textId="6FF62AC1" w:rsidR="001D124C" w:rsidRPr="002D2F67" w:rsidRDefault="001D124C" w:rsidP="00EC4DD5">
      <w:pPr>
        <w:ind w:left="540"/>
        <w:jc w:val="both"/>
        <w:rPr>
          <w:rFonts w:ascii="Arial" w:eastAsia="Arial" w:hAnsi="Arial" w:cs="Arial"/>
          <w:color w:val="000000"/>
          <w:spacing w:val="-4"/>
          <w:sz w:val="20"/>
          <w:szCs w:val="20"/>
        </w:rPr>
      </w:pPr>
      <w:r w:rsidRPr="002D2F67">
        <w:rPr>
          <w:rFonts w:ascii="Arial" w:eastAsia="Arial" w:hAnsi="Arial" w:cs="Arial"/>
          <w:color w:val="000000"/>
          <w:spacing w:val="-6"/>
          <w:sz w:val="20"/>
          <w:szCs w:val="20"/>
        </w:rPr>
        <w:t xml:space="preserve">On </w:t>
      </w:r>
      <w:r w:rsidR="00CD5714" w:rsidRPr="00CD5714">
        <w:rPr>
          <w:rFonts w:ascii="Arial" w:eastAsia="Arial" w:hAnsi="Arial" w:cs="Arial"/>
          <w:color w:val="000000"/>
          <w:spacing w:val="-6"/>
          <w:sz w:val="20"/>
          <w:szCs w:val="20"/>
          <w:lang w:val="en-GB"/>
        </w:rPr>
        <w:t>14</w:t>
      </w:r>
      <w:r w:rsidRPr="002D2F67">
        <w:rPr>
          <w:rFonts w:ascii="Arial" w:eastAsia="Arial" w:hAnsi="Arial" w:cs="Arial"/>
          <w:color w:val="000000"/>
          <w:spacing w:val="-6"/>
          <w:sz w:val="20"/>
          <w:szCs w:val="20"/>
        </w:rPr>
        <w:t xml:space="preserve"> February </w:t>
      </w:r>
      <w:r w:rsidR="00CD5714" w:rsidRPr="00CD5714">
        <w:rPr>
          <w:rFonts w:ascii="Arial" w:eastAsia="Arial" w:hAnsi="Arial" w:cs="Arial"/>
          <w:color w:val="000000"/>
          <w:spacing w:val="-6"/>
          <w:sz w:val="20"/>
          <w:szCs w:val="20"/>
          <w:lang w:val="en-GB"/>
        </w:rPr>
        <w:t>2024</w:t>
      </w:r>
      <w:r w:rsidRPr="002D2F67">
        <w:rPr>
          <w:rFonts w:ascii="Arial" w:eastAsia="Arial" w:hAnsi="Arial" w:cs="Arial"/>
          <w:color w:val="000000"/>
          <w:spacing w:val="-6"/>
          <w:sz w:val="20"/>
          <w:szCs w:val="20"/>
        </w:rPr>
        <w:t xml:space="preserve">, </w:t>
      </w:r>
      <w:r w:rsidR="002305E3" w:rsidRPr="002D2F67">
        <w:rPr>
          <w:rFonts w:ascii="Arial" w:hAnsi="Arial" w:cs="Arial"/>
          <w:color w:val="000000"/>
          <w:spacing w:val="-6"/>
          <w:sz w:val="20"/>
          <w:szCs w:val="20"/>
        </w:rPr>
        <w:t>AEA</w:t>
      </w:r>
      <w:r w:rsidRPr="002D2F67">
        <w:rPr>
          <w:rFonts w:ascii="Arial" w:eastAsia="Arial" w:hAnsi="Arial" w:cs="Arial"/>
          <w:color w:val="000000"/>
          <w:spacing w:val="-6"/>
          <w:sz w:val="20"/>
          <w:szCs w:val="20"/>
        </w:rPr>
        <w:t xml:space="preserve"> called for additional paid-up capital from unpaid portion of Baht </w:t>
      </w:r>
      <w:r w:rsidR="00CD5714" w:rsidRPr="00CD5714">
        <w:rPr>
          <w:rFonts w:ascii="Arial" w:eastAsia="Arial" w:hAnsi="Arial" w:cs="Arial"/>
          <w:color w:val="000000"/>
          <w:spacing w:val="-6"/>
          <w:sz w:val="20"/>
          <w:szCs w:val="20"/>
          <w:lang w:val="en-GB"/>
        </w:rPr>
        <w:t>7</w:t>
      </w:r>
      <w:r w:rsidRPr="002D2F67">
        <w:rPr>
          <w:rFonts w:ascii="Arial" w:eastAsia="Arial" w:hAnsi="Arial" w:cs="Arial"/>
          <w:color w:val="000000"/>
          <w:spacing w:val="-6"/>
          <w:sz w:val="20"/>
          <w:szCs w:val="20"/>
        </w:rPr>
        <w:t>.</w:t>
      </w:r>
      <w:r w:rsidR="00CD5714" w:rsidRPr="00CD5714">
        <w:rPr>
          <w:rFonts w:ascii="Arial" w:eastAsia="Arial" w:hAnsi="Arial" w:cs="Arial"/>
          <w:color w:val="000000"/>
          <w:spacing w:val="-6"/>
          <w:sz w:val="20"/>
          <w:szCs w:val="20"/>
          <w:lang w:val="en-GB"/>
        </w:rPr>
        <w:t>50</w:t>
      </w:r>
      <w:r w:rsidRPr="002D2F67">
        <w:rPr>
          <w:rFonts w:ascii="Arial" w:eastAsia="Arial" w:hAnsi="Arial" w:cs="Arial"/>
          <w:color w:val="000000"/>
          <w:spacing w:val="-6"/>
          <w:sz w:val="20"/>
          <w:szCs w:val="20"/>
        </w:rPr>
        <w:t xml:space="preserve"> per share</w:t>
      </w:r>
      <w:r w:rsidRPr="002D2F67">
        <w:rPr>
          <w:rFonts w:ascii="Arial" w:eastAsia="Arial" w:hAnsi="Arial" w:cs="Arial"/>
          <w:color w:val="000000"/>
          <w:spacing w:val="-4"/>
          <w:sz w:val="20"/>
          <w:szCs w:val="20"/>
        </w:rPr>
        <w:t xml:space="preserve">. The Company paid for </w:t>
      </w:r>
      <w:r w:rsidR="00CD5714" w:rsidRPr="00CD5714">
        <w:rPr>
          <w:rFonts w:ascii="Arial" w:eastAsia="Arial" w:hAnsi="Arial" w:cs="Arial"/>
          <w:color w:val="000000"/>
          <w:spacing w:val="-4"/>
          <w:sz w:val="20"/>
          <w:szCs w:val="20"/>
          <w:lang w:val="en-GB"/>
        </w:rPr>
        <w:t>9</w:t>
      </w:r>
      <w:r w:rsidRPr="002D2F67">
        <w:rPr>
          <w:rFonts w:ascii="Arial" w:eastAsia="Arial" w:hAnsi="Arial" w:cs="Arial"/>
          <w:color w:val="000000"/>
          <w:spacing w:val="-4"/>
          <w:sz w:val="20"/>
          <w:szCs w:val="20"/>
        </w:rPr>
        <w:t>,</w:t>
      </w:r>
      <w:r w:rsidR="00CD5714" w:rsidRPr="00CD5714">
        <w:rPr>
          <w:rFonts w:ascii="Arial" w:eastAsia="Arial" w:hAnsi="Arial" w:cs="Arial"/>
          <w:color w:val="000000"/>
          <w:spacing w:val="-4"/>
          <w:sz w:val="20"/>
          <w:szCs w:val="20"/>
          <w:lang w:val="en-GB"/>
        </w:rPr>
        <w:t>999</w:t>
      </w:r>
      <w:r w:rsidRPr="002D2F67">
        <w:rPr>
          <w:rFonts w:ascii="Arial" w:eastAsia="Arial" w:hAnsi="Arial" w:cs="Arial"/>
          <w:color w:val="000000"/>
          <w:spacing w:val="-4"/>
          <w:sz w:val="20"/>
          <w:szCs w:val="20"/>
        </w:rPr>
        <w:t>,</w:t>
      </w:r>
      <w:r w:rsidR="00CD5714" w:rsidRPr="00CD5714">
        <w:rPr>
          <w:rFonts w:ascii="Arial" w:eastAsia="Arial" w:hAnsi="Arial" w:cs="Arial"/>
          <w:color w:val="000000"/>
          <w:spacing w:val="-4"/>
          <w:sz w:val="20"/>
          <w:szCs w:val="20"/>
          <w:lang w:val="en-GB"/>
        </w:rPr>
        <w:t>700</w:t>
      </w:r>
      <w:r w:rsidRPr="002D2F67">
        <w:rPr>
          <w:rFonts w:ascii="Arial" w:eastAsia="Arial" w:hAnsi="Arial" w:cs="Arial"/>
          <w:color w:val="000000"/>
          <w:spacing w:val="-4"/>
          <w:sz w:val="20"/>
          <w:szCs w:val="20"/>
        </w:rPr>
        <w:t xml:space="preserve"> shares, totalling Baht </w:t>
      </w:r>
      <w:r w:rsidR="00CD5714" w:rsidRPr="00CD5714">
        <w:rPr>
          <w:rFonts w:ascii="Arial" w:eastAsia="Arial" w:hAnsi="Arial" w:cs="Arial"/>
          <w:color w:val="000000"/>
          <w:spacing w:val="-4"/>
          <w:sz w:val="20"/>
          <w:szCs w:val="20"/>
          <w:lang w:val="en-GB"/>
        </w:rPr>
        <w:t>75</w:t>
      </w:r>
      <w:r w:rsidRPr="002D2F67">
        <w:rPr>
          <w:rFonts w:ascii="Arial" w:eastAsia="Arial" w:hAnsi="Arial" w:cs="Arial"/>
          <w:color w:val="000000"/>
          <w:spacing w:val="-4"/>
          <w:sz w:val="20"/>
          <w:szCs w:val="20"/>
        </w:rPr>
        <w:t xml:space="preserve"> million during the period. </w:t>
      </w:r>
    </w:p>
    <w:p w14:paraId="26CB3F5E" w14:textId="77777777" w:rsidR="001D124C" w:rsidRPr="002D2F67" w:rsidRDefault="001D124C" w:rsidP="00EC4DD5">
      <w:pPr>
        <w:ind w:left="540"/>
        <w:jc w:val="both"/>
        <w:rPr>
          <w:rFonts w:ascii="Arial" w:eastAsia="Arial" w:hAnsi="Arial" w:cs="Arial"/>
          <w:sz w:val="20"/>
          <w:szCs w:val="20"/>
        </w:rPr>
      </w:pPr>
    </w:p>
    <w:p w14:paraId="5E4AC221" w14:textId="7F741830" w:rsidR="001D124C" w:rsidRPr="002D2F67" w:rsidRDefault="001D124C" w:rsidP="00EC4DD5">
      <w:pPr>
        <w:ind w:left="540"/>
        <w:jc w:val="both"/>
        <w:rPr>
          <w:rFonts w:ascii="Arial" w:eastAsia="Arial" w:hAnsi="Arial" w:cs="Arial"/>
          <w:color w:val="000000"/>
          <w:spacing w:val="-4"/>
          <w:sz w:val="20"/>
          <w:szCs w:val="20"/>
        </w:rPr>
      </w:pPr>
      <w:r w:rsidRPr="002D2F67">
        <w:rPr>
          <w:rFonts w:ascii="Arial" w:eastAsia="Arial" w:hAnsi="Arial" w:cs="Arial"/>
          <w:color w:val="000000"/>
          <w:spacing w:val="-4"/>
          <w:sz w:val="20"/>
          <w:szCs w:val="20"/>
        </w:rPr>
        <w:t xml:space="preserve">On </w:t>
      </w:r>
      <w:r w:rsidR="00CD5714" w:rsidRPr="00CD5714">
        <w:rPr>
          <w:rFonts w:ascii="Arial" w:eastAsia="Arial" w:hAnsi="Arial" w:cs="Arial"/>
          <w:color w:val="000000"/>
          <w:spacing w:val="-4"/>
          <w:sz w:val="20"/>
          <w:szCs w:val="20"/>
          <w:lang w:val="en-GB"/>
        </w:rPr>
        <w:t>1</w:t>
      </w:r>
      <w:r w:rsidRPr="002D2F67">
        <w:rPr>
          <w:rFonts w:ascii="Arial" w:eastAsia="Arial" w:hAnsi="Arial" w:cs="Arial"/>
          <w:color w:val="000000"/>
          <w:spacing w:val="-4"/>
          <w:sz w:val="20"/>
          <w:szCs w:val="20"/>
        </w:rPr>
        <w:t xml:space="preserve"> March </w:t>
      </w:r>
      <w:r w:rsidR="00CD5714" w:rsidRPr="00CD5714">
        <w:rPr>
          <w:rFonts w:ascii="Arial" w:eastAsia="Arial" w:hAnsi="Arial" w:cs="Arial"/>
          <w:color w:val="000000"/>
          <w:spacing w:val="-4"/>
          <w:sz w:val="20"/>
          <w:szCs w:val="20"/>
          <w:lang w:val="en-GB"/>
        </w:rPr>
        <w:t>2024</w:t>
      </w:r>
      <w:r w:rsidRPr="002D2F67">
        <w:rPr>
          <w:rFonts w:ascii="Arial" w:eastAsia="Arial" w:hAnsi="Arial" w:cs="Arial"/>
          <w:color w:val="000000"/>
          <w:spacing w:val="-4"/>
          <w:sz w:val="20"/>
          <w:szCs w:val="20"/>
        </w:rPr>
        <w:t xml:space="preserve">, the Company disposed ordinary shares of </w:t>
      </w:r>
      <w:r w:rsidR="002305E3" w:rsidRPr="002D2F67">
        <w:rPr>
          <w:rFonts w:ascii="Arial" w:hAnsi="Arial" w:cs="Arial"/>
          <w:color w:val="000000"/>
          <w:spacing w:val="-4"/>
          <w:sz w:val="20"/>
          <w:szCs w:val="20"/>
        </w:rPr>
        <w:t>AEA</w:t>
      </w:r>
      <w:r w:rsidRPr="002D2F67">
        <w:rPr>
          <w:rFonts w:ascii="Arial" w:eastAsia="Arial" w:hAnsi="Arial" w:cs="Arial"/>
          <w:color w:val="000000"/>
          <w:spacing w:val="-4"/>
          <w:sz w:val="20"/>
          <w:szCs w:val="20"/>
        </w:rPr>
        <w:t xml:space="preserve"> to another shareholder for </w:t>
      </w:r>
      <w:r w:rsidR="00CD5714" w:rsidRPr="00CD5714">
        <w:rPr>
          <w:rFonts w:ascii="Arial" w:eastAsia="Arial" w:hAnsi="Arial" w:cs="Arial"/>
          <w:color w:val="000000"/>
          <w:spacing w:val="-4"/>
          <w:sz w:val="20"/>
          <w:szCs w:val="20"/>
          <w:lang w:val="en-GB"/>
        </w:rPr>
        <w:t>2</w:t>
      </w:r>
      <w:r w:rsidRPr="002D2F67">
        <w:rPr>
          <w:rFonts w:ascii="Arial" w:eastAsia="Arial" w:hAnsi="Arial" w:cs="Arial"/>
          <w:color w:val="000000"/>
          <w:spacing w:val="-4"/>
          <w:sz w:val="20"/>
          <w:szCs w:val="20"/>
        </w:rPr>
        <w:t>,</w:t>
      </w:r>
      <w:r w:rsidR="00CD5714" w:rsidRPr="00CD5714">
        <w:rPr>
          <w:rFonts w:ascii="Arial" w:eastAsia="Arial" w:hAnsi="Arial" w:cs="Arial"/>
          <w:color w:val="000000"/>
          <w:spacing w:val="-4"/>
          <w:sz w:val="20"/>
          <w:szCs w:val="20"/>
          <w:lang w:val="en-GB"/>
        </w:rPr>
        <w:t>000</w:t>
      </w:r>
      <w:r w:rsidRPr="002D2F67">
        <w:rPr>
          <w:rFonts w:ascii="Arial" w:eastAsia="Arial" w:hAnsi="Arial" w:cs="Arial"/>
          <w:color w:val="000000"/>
          <w:spacing w:val="-4"/>
          <w:sz w:val="20"/>
          <w:szCs w:val="20"/>
        </w:rPr>
        <w:t>,</w:t>
      </w:r>
      <w:r w:rsidR="00CD5714" w:rsidRPr="00CD5714">
        <w:rPr>
          <w:rFonts w:ascii="Arial" w:eastAsia="Arial" w:hAnsi="Arial" w:cs="Arial"/>
          <w:color w:val="000000"/>
          <w:spacing w:val="-4"/>
          <w:sz w:val="20"/>
          <w:szCs w:val="20"/>
          <w:lang w:val="en-GB"/>
        </w:rPr>
        <w:t>000</w:t>
      </w:r>
      <w:r w:rsidRPr="002D2F67">
        <w:rPr>
          <w:rFonts w:ascii="Arial" w:eastAsia="Arial" w:hAnsi="Arial" w:cs="Arial"/>
          <w:color w:val="000000"/>
          <w:spacing w:val="-4"/>
          <w:sz w:val="20"/>
          <w:szCs w:val="20"/>
        </w:rPr>
        <w:t xml:space="preserve"> shares of Baht </w:t>
      </w:r>
      <w:r w:rsidR="00CD5714" w:rsidRPr="00CD5714">
        <w:rPr>
          <w:rFonts w:ascii="Arial" w:eastAsia="Arial" w:hAnsi="Arial" w:cs="Arial"/>
          <w:color w:val="000000"/>
          <w:spacing w:val="-4"/>
          <w:sz w:val="20"/>
          <w:szCs w:val="20"/>
          <w:lang w:val="en-GB"/>
        </w:rPr>
        <w:t>10</w:t>
      </w:r>
      <w:r w:rsidRPr="002D2F67">
        <w:rPr>
          <w:rFonts w:ascii="Arial" w:eastAsia="Arial" w:hAnsi="Arial" w:cs="Arial"/>
          <w:color w:val="000000"/>
          <w:spacing w:val="-4"/>
          <w:sz w:val="20"/>
          <w:szCs w:val="20"/>
        </w:rPr>
        <w:t xml:space="preserve"> per share, </w:t>
      </w:r>
      <w:r w:rsidR="002305E3" w:rsidRPr="002D2F67">
        <w:rPr>
          <w:rFonts w:ascii="Arial" w:hAnsi="Arial" w:cs="Arial"/>
          <w:color w:val="000000"/>
          <w:spacing w:val="-4"/>
          <w:sz w:val="20"/>
          <w:szCs w:val="20"/>
        </w:rPr>
        <w:t>totalling</w:t>
      </w:r>
      <w:r w:rsidRPr="002D2F67">
        <w:rPr>
          <w:rFonts w:ascii="Arial" w:eastAsia="Arial" w:hAnsi="Arial" w:cs="Arial"/>
          <w:color w:val="000000"/>
          <w:spacing w:val="-4"/>
          <w:sz w:val="20"/>
          <w:szCs w:val="20"/>
        </w:rPr>
        <w:t xml:space="preserve"> Baht </w:t>
      </w:r>
      <w:r w:rsidR="00CD5714" w:rsidRPr="00CD5714">
        <w:rPr>
          <w:rFonts w:ascii="Arial" w:eastAsia="Arial" w:hAnsi="Arial" w:cs="Arial"/>
          <w:color w:val="000000"/>
          <w:spacing w:val="-4"/>
          <w:sz w:val="20"/>
          <w:szCs w:val="20"/>
          <w:lang w:val="en-GB"/>
        </w:rPr>
        <w:t>20</w:t>
      </w:r>
      <w:r w:rsidRPr="002D2F67">
        <w:rPr>
          <w:rFonts w:ascii="Arial" w:eastAsia="Arial" w:hAnsi="Arial" w:cs="Arial"/>
          <w:color w:val="000000"/>
          <w:spacing w:val="-4"/>
          <w:sz w:val="20"/>
          <w:szCs w:val="20"/>
        </w:rPr>
        <w:t xml:space="preserve"> million. As a result, the Group held </w:t>
      </w:r>
      <w:r w:rsidR="00CD5714" w:rsidRPr="00CD5714">
        <w:rPr>
          <w:rFonts w:ascii="Arial" w:eastAsia="Arial" w:hAnsi="Arial" w:cs="Arial"/>
          <w:color w:val="000000"/>
          <w:spacing w:val="-4"/>
          <w:sz w:val="20"/>
          <w:szCs w:val="20"/>
          <w:lang w:val="en-GB"/>
        </w:rPr>
        <w:t>75</w:t>
      </w:r>
      <w:r w:rsidRPr="002D2F67">
        <w:rPr>
          <w:rFonts w:ascii="Arial" w:eastAsia="Arial" w:hAnsi="Arial" w:cs="Arial"/>
          <w:color w:val="000000"/>
          <w:spacing w:val="-4"/>
          <w:sz w:val="20"/>
          <w:szCs w:val="20"/>
        </w:rPr>
        <w:t>% of issued and paid-up ordinary shares. This change did not impact the classification of this investment.</w:t>
      </w:r>
    </w:p>
    <w:p w14:paraId="750642AD" w14:textId="77777777" w:rsidR="001D124C" w:rsidRPr="002D2F67" w:rsidRDefault="001D124C" w:rsidP="00EC4DD5">
      <w:pPr>
        <w:ind w:left="540"/>
        <w:jc w:val="both"/>
        <w:rPr>
          <w:rFonts w:ascii="Arial" w:eastAsia="Arial" w:hAnsi="Arial" w:cs="Arial"/>
          <w:color w:val="000000"/>
          <w:spacing w:val="-4"/>
          <w:sz w:val="20"/>
          <w:szCs w:val="20"/>
        </w:rPr>
      </w:pPr>
    </w:p>
    <w:p w14:paraId="0133522B" w14:textId="2C45FAF4" w:rsidR="00A744B4" w:rsidRPr="002D2F67" w:rsidRDefault="0073591D" w:rsidP="00EC4DD5">
      <w:pPr>
        <w:ind w:left="540"/>
        <w:jc w:val="both"/>
        <w:rPr>
          <w:rFonts w:ascii="Arial" w:hAnsi="Arial" w:cs="Arial"/>
          <w:color w:val="000000"/>
          <w:spacing w:val="-4"/>
          <w:sz w:val="20"/>
          <w:szCs w:val="20"/>
        </w:rPr>
      </w:pPr>
      <w:r w:rsidRPr="002D2F67">
        <w:rPr>
          <w:rFonts w:ascii="Arial" w:hAnsi="Arial" w:cs="Arial"/>
          <w:color w:val="000000"/>
          <w:spacing w:val="-6"/>
          <w:sz w:val="20"/>
          <w:szCs w:val="20"/>
        </w:rPr>
        <w:t>At</w:t>
      </w:r>
      <w:r w:rsidR="001D124C" w:rsidRPr="002D2F67">
        <w:rPr>
          <w:rFonts w:ascii="Arial" w:eastAsia="Arial" w:hAnsi="Arial" w:cs="Arial"/>
          <w:color w:val="000000"/>
          <w:spacing w:val="-6"/>
          <w:sz w:val="20"/>
          <w:szCs w:val="20"/>
        </w:rPr>
        <w:t xml:space="preserve"> the Annual General meeting of </w:t>
      </w:r>
      <w:r w:rsidR="002305E3" w:rsidRPr="002D2F67">
        <w:rPr>
          <w:rFonts w:ascii="Arial" w:hAnsi="Arial" w:cs="Arial"/>
          <w:color w:val="000000"/>
          <w:spacing w:val="-6"/>
          <w:sz w:val="20"/>
          <w:szCs w:val="20"/>
        </w:rPr>
        <w:t>AEA</w:t>
      </w:r>
      <w:r w:rsidRPr="002D2F67">
        <w:rPr>
          <w:rFonts w:ascii="Arial" w:hAnsi="Arial" w:cs="Arial"/>
          <w:color w:val="000000"/>
          <w:spacing w:val="-6"/>
          <w:sz w:val="20"/>
          <w:szCs w:val="20"/>
        </w:rPr>
        <w:t xml:space="preserve"> on </w:t>
      </w:r>
      <w:r w:rsidR="00CD5714" w:rsidRPr="00CD5714">
        <w:rPr>
          <w:rFonts w:ascii="Arial" w:hAnsi="Arial" w:cs="Arial"/>
          <w:color w:val="000000"/>
          <w:spacing w:val="-6"/>
          <w:sz w:val="20"/>
          <w:szCs w:val="20"/>
          <w:lang w:val="en-GB"/>
        </w:rPr>
        <w:t>29</w:t>
      </w:r>
      <w:r w:rsidRPr="002D2F67">
        <w:rPr>
          <w:rFonts w:ascii="Arial" w:hAnsi="Arial" w:cs="Arial"/>
          <w:color w:val="000000"/>
          <w:spacing w:val="-6"/>
          <w:sz w:val="20"/>
          <w:szCs w:val="20"/>
        </w:rPr>
        <w:t xml:space="preserve"> April </w:t>
      </w:r>
      <w:r w:rsidR="00CD5714" w:rsidRPr="00CD5714">
        <w:rPr>
          <w:rFonts w:ascii="Arial" w:hAnsi="Arial" w:cs="Arial"/>
          <w:color w:val="000000"/>
          <w:spacing w:val="-6"/>
          <w:sz w:val="20"/>
          <w:szCs w:val="20"/>
          <w:lang w:val="en-GB"/>
        </w:rPr>
        <w:t>2024</w:t>
      </w:r>
      <w:r w:rsidR="001D124C" w:rsidRPr="002D2F67">
        <w:rPr>
          <w:rFonts w:ascii="Arial" w:hAnsi="Arial" w:cs="Arial"/>
          <w:color w:val="000000"/>
          <w:spacing w:val="-6"/>
          <w:sz w:val="20"/>
          <w:szCs w:val="20"/>
        </w:rPr>
        <w:t>,</w:t>
      </w:r>
      <w:r w:rsidR="001D124C" w:rsidRPr="002D2F67">
        <w:rPr>
          <w:rFonts w:ascii="Arial" w:eastAsia="Arial" w:hAnsi="Arial" w:cs="Arial"/>
          <w:color w:val="000000"/>
          <w:spacing w:val="-6"/>
          <w:sz w:val="20"/>
          <w:szCs w:val="20"/>
        </w:rPr>
        <w:t xml:space="preserve"> the Shareholders passed a resolution to approve</w:t>
      </w:r>
      <w:r w:rsidR="001D124C" w:rsidRPr="002D2F67">
        <w:rPr>
          <w:rFonts w:ascii="Arial" w:eastAsia="Arial" w:hAnsi="Arial" w:cs="Arial"/>
          <w:color w:val="000000"/>
          <w:spacing w:val="-4"/>
          <w:sz w:val="20"/>
          <w:szCs w:val="20"/>
        </w:rPr>
        <w:t xml:space="preserve"> an increase in the registered share capital of Baht </w:t>
      </w:r>
      <w:r w:rsidR="00CD5714" w:rsidRPr="00CD5714">
        <w:rPr>
          <w:rFonts w:ascii="Arial" w:eastAsia="Arial" w:hAnsi="Arial" w:cs="Arial"/>
          <w:color w:val="000000"/>
          <w:spacing w:val="-4"/>
          <w:sz w:val="20"/>
          <w:szCs w:val="20"/>
          <w:lang w:val="en-GB"/>
        </w:rPr>
        <w:t>100</w:t>
      </w:r>
      <w:r w:rsidR="001D124C" w:rsidRPr="002D2F67">
        <w:rPr>
          <w:rFonts w:ascii="Arial" w:eastAsia="Arial" w:hAnsi="Arial" w:cs="Arial"/>
          <w:color w:val="000000"/>
          <w:spacing w:val="-4"/>
          <w:sz w:val="20"/>
          <w:szCs w:val="20"/>
        </w:rPr>
        <w:t xml:space="preserve"> million by newly issuing </w:t>
      </w:r>
      <w:r w:rsidR="00CD5714" w:rsidRPr="00CD5714">
        <w:rPr>
          <w:rFonts w:ascii="Arial" w:eastAsia="Arial" w:hAnsi="Arial" w:cs="Arial"/>
          <w:color w:val="000000"/>
          <w:spacing w:val="-4"/>
          <w:sz w:val="20"/>
          <w:szCs w:val="20"/>
          <w:lang w:val="en-GB"/>
        </w:rPr>
        <w:t>10</w:t>
      </w:r>
      <w:r w:rsidR="001D124C" w:rsidRPr="002D2F67">
        <w:rPr>
          <w:rFonts w:ascii="Arial" w:eastAsia="Arial" w:hAnsi="Arial" w:cs="Arial"/>
          <w:color w:val="000000"/>
          <w:spacing w:val="-4"/>
          <w:sz w:val="20"/>
          <w:szCs w:val="20"/>
        </w:rPr>
        <w:t>,</w:t>
      </w:r>
      <w:r w:rsidR="00CD5714" w:rsidRPr="00CD5714">
        <w:rPr>
          <w:rFonts w:ascii="Arial" w:eastAsia="Arial" w:hAnsi="Arial" w:cs="Arial"/>
          <w:color w:val="000000"/>
          <w:spacing w:val="-4"/>
          <w:sz w:val="20"/>
          <w:szCs w:val="20"/>
          <w:lang w:val="en-GB"/>
        </w:rPr>
        <w:t>000</w:t>
      </w:r>
      <w:r w:rsidR="001D124C" w:rsidRPr="002D2F67">
        <w:rPr>
          <w:rFonts w:ascii="Arial" w:eastAsia="Arial" w:hAnsi="Arial" w:cs="Arial"/>
          <w:color w:val="000000"/>
          <w:spacing w:val="-4"/>
          <w:sz w:val="20"/>
          <w:szCs w:val="20"/>
        </w:rPr>
        <w:t>,</w:t>
      </w:r>
      <w:r w:rsidR="00CD5714" w:rsidRPr="00CD5714">
        <w:rPr>
          <w:rFonts w:ascii="Arial" w:eastAsia="Arial" w:hAnsi="Arial" w:cs="Arial"/>
          <w:color w:val="000000"/>
          <w:spacing w:val="-4"/>
          <w:sz w:val="20"/>
          <w:szCs w:val="20"/>
          <w:lang w:val="en-GB"/>
        </w:rPr>
        <w:t>000</w:t>
      </w:r>
      <w:r w:rsidR="001D124C" w:rsidRPr="002D2F67">
        <w:rPr>
          <w:rFonts w:ascii="Arial" w:eastAsia="Arial" w:hAnsi="Arial" w:cs="Arial"/>
          <w:color w:val="000000"/>
          <w:spacing w:val="-4"/>
          <w:sz w:val="20"/>
          <w:szCs w:val="20"/>
        </w:rPr>
        <w:t xml:space="preserve"> shares at a par value of Baht </w:t>
      </w:r>
      <w:r w:rsidR="00CD5714" w:rsidRPr="00CD5714">
        <w:rPr>
          <w:rFonts w:ascii="Arial" w:eastAsia="Arial" w:hAnsi="Arial" w:cs="Arial"/>
          <w:color w:val="000000"/>
          <w:spacing w:val="-4"/>
          <w:sz w:val="20"/>
          <w:szCs w:val="20"/>
          <w:lang w:val="en-GB"/>
        </w:rPr>
        <w:t>10</w:t>
      </w:r>
      <w:r w:rsidR="001D124C" w:rsidRPr="002D2F67">
        <w:rPr>
          <w:rFonts w:ascii="Arial" w:eastAsia="Arial" w:hAnsi="Arial" w:cs="Arial"/>
          <w:color w:val="000000"/>
          <w:spacing w:val="-4"/>
          <w:sz w:val="20"/>
          <w:szCs w:val="20"/>
        </w:rPr>
        <w:t>, to the existing shareholders.</w:t>
      </w:r>
      <w:r w:rsidRPr="002D2F67">
        <w:rPr>
          <w:rFonts w:ascii="Arial" w:hAnsi="Arial" w:cs="Arial"/>
          <w:color w:val="000000"/>
          <w:spacing w:val="-4"/>
          <w:sz w:val="20"/>
          <w:szCs w:val="20"/>
        </w:rPr>
        <w:t xml:space="preserve"> Subsequently, o</w:t>
      </w:r>
      <w:r w:rsidR="001D124C" w:rsidRPr="002D2F67">
        <w:rPr>
          <w:rFonts w:ascii="Arial" w:hAnsi="Arial" w:cs="Arial"/>
          <w:color w:val="000000"/>
          <w:spacing w:val="-4"/>
          <w:sz w:val="20"/>
          <w:szCs w:val="20"/>
        </w:rPr>
        <w:t>n</w:t>
      </w:r>
      <w:r w:rsidR="001D124C" w:rsidRPr="002D2F67">
        <w:rPr>
          <w:rFonts w:ascii="Arial" w:eastAsia="Arial" w:hAnsi="Arial" w:cs="Arial"/>
          <w:color w:val="000000"/>
          <w:spacing w:val="-4"/>
          <w:sz w:val="20"/>
          <w:szCs w:val="20"/>
        </w:rPr>
        <w:t xml:space="preserve"> </w:t>
      </w:r>
      <w:r w:rsidR="00CD5714" w:rsidRPr="00CD5714">
        <w:rPr>
          <w:rFonts w:ascii="Arial" w:eastAsia="Arial" w:hAnsi="Arial" w:cs="Arial"/>
          <w:color w:val="000000"/>
          <w:spacing w:val="-4"/>
          <w:sz w:val="20"/>
          <w:szCs w:val="20"/>
          <w:lang w:val="en-GB"/>
        </w:rPr>
        <w:t>5</w:t>
      </w:r>
      <w:r w:rsidR="001D124C" w:rsidRPr="002D2F67">
        <w:rPr>
          <w:rFonts w:ascii="Arial" w:eastAsia="Arial" w:hAnsi="Arial" w:cs="Arial"/>
          <w:color w:val="000000"/>
          <w:spacing w:val="-4"/>
          <w:sz w:val="20"/>
          <w:szCs w:val="20"/>
        </w:rPr>
        <w:t xml:space="preserve"> July </w:t>
      </w:r>
      <w:r w:rsidR="00CD5714" w:rsidRPr="00CD5714">
        <w:rPr>
          <w:rFonts w:ascii="Arial" w:eastAsia="Arial" w:hAnsi="Arial" w:cs="Arial"/>
          <w:color w:val="000000"/>
          <w:spacing w:val="-4"/>
          <w:sz w:val="20"/>
          <w:szCs w:val="20"/>
          <w:lang w:val="en-GB"/>
        </w:rPr>
        <w:t>2024</w:t>
      </w:r>
      <w:r w:rsidR="001D124C" w:rsidRPr="002D2F67">
        <w:rPr>
          <w:rFonts w:ascii="Arial" w:eastAsia="Arial" w:hAnsi="Arial" w:cs="Arial"/>
          <w:color w:val="000000"/>
          <w:spacing w:val="-4"/>
          <w:sz w:val="20"/>
          <w:szCs w:val="20"/>
        </w:rPr>
        <w:t xml:space="preserve">, </w:t>
      </w:r>
      <w:r w:rsidR="002305E3" w:rsidRPr="002D2F67">
        <w:rPr>
          <w:rFonts w:ascii="Arial" w:hAnsi="Arial" w:cs="Arial"/>
          <w:color w:val="000000"/>
          <w:spacing w:val="-4"/>
          <w:sz w:val="20"/>
          <w:szCs w:val="20"/>
        </w:rPr>
        <w:t>AEA</w:t>
      </w:r>
      <w:r w:rsidR="001D124C" w:rsidRPr="002D2F67">
        <w:rPr>
          <w:rFonts w:ascii="Arial" w:eastAsia="Arial" w:hAnsi="Arial" w:cs="Arial"/>
          <w:color w:val="000000"/>
          <w:spacing w:val="-4"/>
          <w:sz w:val="20"/>
          <w:szCs w:val="20"/>
        </w:rPr>
        <w:t xml:space="preserve"> called for paid-up </w:t>
      </w:r>
      <w:r w:rsidR="001D124C" w:rsidRPr="002D2F67">
        <w:rPr>
          <w:rFonts w:ascii="Arial" w:eastAsia="Arial" w:hAnsi="Arial" w:cs="Arial"/>
          <w:color w:val="000000"/>
          <w:spacing w:val="-6"/>
          <w:sz w:val="20"/>
          <w:szCs w:val="20"/>
        </w:rPr>
        <w:t xml:space="preserve">from unpaid portion of Baht </w:t>
      </w:r>
      <w:r w:rsidR="00CD5714" w:rsidRPr="00CD5714">
        <w:rPr>
          <w:rFonts w:ascii="Arial" w:eastAsia="Arial" w:hAnsi="Arial" w:cs="Arial"/>
          <w:color w:val="000000"/>
          <w:spacing w:val="-6"/>
          <w:sz w:val="20"/>
          <w:szCs w:val="20"/>
          <w:lang w:val="en-GB"/>
        </w:rPr>
        <w:t>6</w:t>
      </w:r>
      <w:r w:rsidR="001D124C" w:rsidRPr="002D2F67">
        <w:rPr>
          <w:rFonts w:ascii="Arial" w:eastAsia="Arial" w:hAnsi="Arial" w:cs="Arial"/>
          <w:color w:val="000000"/>
          <w:spacing w:val="-6"/>
          <w:sz w:val="20"/>
          <w:szCs w:val="20"/>
        </w:rPr>
        <w:t xml:space="preserve"> per share. The Company paid such additional paid-up for </w:t>
      </w:r>
      <w:r w:rsidR="00CD5714" w:rsidRPr="00CD5714">
        <w:rPr>
          <w:rFonts w:ascii="Arial" w:eastAsia="Arial" w:hAnsi="Arial" w:cs="Arial"/>
          <w:color w:val="000000"/>
          <w:spacing w:val="-6"/>
          <w:sz w:val="20"/>
          <w:szCs w:val="20"/>
          <w:lang w:val="en-GB"/>
        </w:rPr>
        <w:t>8</w:t>
      </w:r>
      <w:r w:rsidR="001D124C" w:rsidRPr="002D2F67">
        <w:rPr>
          <w:rFonts w:ascii="Arial" w:eastAsia="Arial" w:hAnsi="Arial" w:cs="Arial"/>
          <w:color w:val="000000"/>
          <w:spacing w:val="-6"/>
          <w:sz w:val="20"/>
          <w:szCs w:val="20"/>
        </w:rPr>
        <w:t>,</w:t>
      </w:r>
      <w:r w:rsidR="00CD5714" w:rsidRPr="00CD5714">
        <w:rPr>
          <w:rFonts w:ascii="Arial" w:eastAsia="Arial" w:hAnsi="Arial" w:cs="Arial"/>
          <w:color w:val="000000"/>
          <w:spacing w:val="-6"/>
          <w:sz w:val="20"/>
          <w:szCs w:val="20"/>
          <w:lang w:val="en-GB"/>
        </w:rPr>
        <w:t>000</w:t>
      </w:r>
      <w:r w:rsidR="001D124C" w:rsidRPr="002D2F67">
        <w:rPr>
          <w:rFonts w:ascii="Arial" w:eastAsia="Arial" w:hAnsi="Arial" w:cs="Arial"/>
          <w:color w:val="000000"/>
          <w:spacing w:val="-6"/>
          <w:sz w:val="20"/>
          <w:szCs w:val="20"/>
        </w:rPr>
        <w:t>,</w:t>
      </w:r>
      <w:r w:rsidR="00CD5714" w:rsidRPr="00CD5714">
        <w:rPr>
          <w:rFonts w:ascii="Arial" w:eastAsia="Arial" w:hAnsi="Arial" w:cs="Arial"/>
          <w:color w:val="000000"/>
          <w:spacing w:val="-6"/>
          <w:sz w:val="20"/>
          <w:szCs w:val="20"/>
          <w:lang w:val="en-GB"/>
        </w:rPr>
        <w:t>000</w:t>
      </w:r>
      <w:r w:rsidR="001D124C" w:rsidRPr="002D2F67">
        <w:rPr>
          <w:rFonts w:ascii="Arial" w:eastAsia="Arial" w:hAnsi="Arial" w:cs="Arial"/>
          <w:color w:val="000000"/>
          <w:spacing w:val="-6"/>
          <w:sz w:val="20"/>
          <w:szCs w:val="20"/>
        </w:rPr>
        <w:t xml:space="preserve"> shares</w:t>
      </w:r>
      <w:r w:rsidR="001D124C" w:rsidRPr="002D2F67">
        <w:rPr>
          <w:rFonts w:ascii="Arial" w:eastAsia="Arial" w:hAnsi="Arial" w:cs="Arial"/>
          <w:color w:val="000000"/>
          <w:spacing w:val="-4"/>
          <w:sz w:val="20"/>
          <w:szCs w:val="20"/>
        </w:rPr>
        <w:t xml:space="preserve">, totalling Baht </w:t>
      </w:r>
      <w:r w:rsidR="00CD5714" w:rsidRPr="00CD5714">
        <w:rPr>
          <w:rFonts w:ascii="Arial" w:eastAsia="Arial" w:hAnsi="Arial" w:cs="Arial"/>
          <w:color w:val="000000"/>
          <w:spacing w:val="-4"/>
          <w:sz w:val="20"/>
          <w:szCs w:val="20"/>
          <w:lang w:val="en-GB"/>
        </w:rPr>
        <w:t>48</w:t>
      </w:r>
      <w:r w:rsidR="001D124C" w:rsidRPr="002D2F67">
        <w:rPr>
          <w:rFonts w:ascii="Arial" w:eastAsia="Arial" w:hAnsi="Arial" w:cs="Arial"/>
          <w:color w:val="000000"/>
          <w:spacing w:val="-4"/>
          <w:sz w:val="20"/>
          <w:szCs w:val="20"/>
        </w:rPr>
        <w:t xml:space="preserve"> million during the </w:t>
      </w:r>
      <w:r w:rsidR="00AA1487" w:rsidRPr="002D2F67">
        <w:rPr>
          <w:rFonts w:ascii="Arial" w:eastAsia="Arial" w:hAnsi="Arial" w:cs="Arial"/>
          <w:color w:val="000000"/>
          <w:spacing w:val="-4"/>
          <w:sz w:val="20"/>
          <w:szCs w:val="20"/>
        </w:rPr>
        <w:t>year</w:t>
      </w:r>
      <w:r w:rsidR="001D124C" w:rsidRPr="002D2F67">
        <w:rPr>
          <w:rFonts w:ascii="Arial" w:eastAsia="Arial" w:hAnsi="Arial" w:cs="Arial"/>
          <w:color w:val="000000"/>
          <w:spacing w:val="-4"/>
          <w:sz w:val="20"/>
          <w:szCs w:val="20"/>
        </w:rPr>
        <w:t>.</w:t>
      </w:r>
    </w:p>
    <w:p w14:paraId="0B12AB01" w14:textId="77777777" w:rsidR="00EA429B" w:rsidRPr="002D2F67" w:rsidRDefault="00EA429B" w:rsidP="00EC4DD5">
      <w:pPr>
        <w:ind w:left="540"/>
        <w:jc w:val="thaiDistribute"/>
        <w:rPr>
          <w:rFonts w:ascii="Arial" w:hAnsi="Arial" w:cs="Arial"/>
          <w:color w:val="000000"/>
          <w:sz w:val="20"/>
          <w:szCs w:val="20"/>
          <w:u w:val="single"/>
        </w:rPr>
      </w:pPr>
    </w:p>
    <w:p w14:paraId="109BCC8A" w14:textId="77777777" w:rsidR="00C26E52" w:rsidRPr="002D2F67" w:rsidRDefault="00C26E52" w:rsidP="00EC4DD5">
      <w:pPr>
        <w:ind w:left="540"/>
        <w:jc w:val="thaiDistribute"/>
        <w:rPr>
          <w:rFonts w:ascii="Arial" w:hAnsi="Arial" w:cs="Arial"/>
          <w:color w:val="000000"/>
          <w:sz w:val="20"/>
          <w:szCs w:val="20"/>
          <w:u w:val="single"/>
        </w:rPr>
      </w:pPr>
      <w:r w:rsidRPr="002D2F67">
        <w:rPr>
          <w:rFonts w:ascii="Arial" w:hAnsi="Arial" w:cs="Arial"/>
          <w:color w:val="000000"/>
          <w:sz w:val="20"/>
          <w:szCs w:val="20"/>
          <w:u w:val="single"/>
        </w:rPr>
        <w:t>S</w:t>
      </w:r>
      <w:r w:rsidRPr="002D2F67">
        <w:rPr>
          <w:rFonts w:ascii="Arial" w:eastAsia="Arial" w:hAnsi="Arial" w:cs="Arial"/>
          <w:sz w:val="20"/>
          <w:szCs w:val="20"/>
          <w:u w:val="single"/>
        </w:rPr>
        <w:t>henzhen Atess Power Technology Co., Ltd. (ATESS)</w:t>
      </w:r>
    </w:p>
    <w:p w14:paraId="69EF5288" w14:textId="77777777" w:rsidR="00C26E52" w:rsidRPr="002D2F67" w:rsidRDefault="00C26E52" w:rsidP="00EC4DD5">
      <w:pPr>
        <w:ind w:left="540"/>
        <w:jc w:val="both"/>
        <w:rPr>
          <w:rFonts w:ascii="Arial" w:eastAsia="Arial" w:hAnsi="Arial" w:cs="Arial"/>
          <w:spacing w:val="-6"/>
          <w:sz w:val="20"/>
          <w:szCs w:val="20"/>
        </w:rPr>
      </w:pPr>
    </w:p>
    <w:p w14:paraId="3017EA25" w14:textId="40279C56" w:rsidR="00C26E52" w:rsidRPr="002D2F67" w:rsidRDefault="00C26E52" w:rsidP="00EC4DD5">
      <w:pPr>
        <w:ind w:left="540"/>
        <w:jc w:val="both"/>
        <w:rPr>
          <w:rFonts w:ascii="Arial" w:eastAsia="Arial" w:hAnsi="Arial" w:cs="Arial"/>
          <w:color w:val="000000"/>
          <w:spacing w:val="-6"/>
          <w:sz w:val="20"/>
          <w:szCs w:val="20"/>
        </w:rPr>
      </w:pPr>
      <w:r w:rsidRPr="002D2F67">
        <w:rPr>
          <w:rFonts w:ascii="Arial" w:eastAsia="Arial" w:hAnsi="Arial" w:cs="Arial"/>
          <w:color w:val="000000"/>
          <w:sz w:val="20"/>
          <w:szCs w:val="20"/>
        </w:rPr>
        <w:t xml:space="preserve">On </w:t>
      </w:r>
      <w:r w:rsidR="00CD5714" w:rsidRPr="00CD5714">
        <w:rPr>
          <w:rFonts w:ascii="Arial" w:eastAsia="Arial" w:hAnsi="Arial" w:cs="Arial"/>
          <w:color w:val="000000"/>
          <w:sz w:val="20"/>
          <w:szCs w:val="20"/>
          <w:lang w:val="en-GB"/>
        </w:rPr>
        <w:t>18</w:t>
      </w:r>
      <w:r w:rsidR="0075162D" w:rsidRPr="002D2F67">
        <w:rPr>
          <w:rFonts w:ascii="Arial" w:eastAsia="Arial" w:hAnsi="Arial" w:cs="Arial"/>
          <w:color w:val="000000"/>
          <w:sz w:val="20"/>
          <w:szCs w:val="20"/>
        </w:rPr>
        <w:t xml:space="preserve"> </w:t>
      </w:r>
      <w:r w:rsidRPr="002D2F67">
        <w:rPr>
          <w:rFonts w:ascii="Arial" w:eastAsia="Arial" w:hAnsi="Arial" w:cs="Arial"/>
          <w:color w:val="000000"/>
          <w:sz w:val="20"/>
          <w:szCs w:val="20"/>
        </w:rPr>
        <w:t xml:space="preserve">April </w:t>
      </w:r>
      <w:r w:rsidR="00CD5714" w:rsidRPr="00CD5714">
        <w:rPr>
          <w:rFonts w:ascii="Arial" w:eastAsia="Arial" w:hAnsi="Arial" w:cs="Arial"/>
          <w:color w:val="000000"/>
          <w:sz w:val="20"/>
          <w:szCs w:val="20"/>
          <w:lang w:val="en-GB"/>
        </w:rPr>
        <w:t>2024</w:t>
      </w:r>
      <w:r w:rsidRPr="002D2F67">
        <w:rPr>
          <w:rFonts w:ascii="Arial" w:eastAsia="Arial" w:hAnsi="Arial" w:cs="Arial"/>
          <w:color w:val="000000"/>
          <w:sz w:val="20"/>
          <w:szCs w:val="20"/>
        </w:rPr>
        <w:t xml:space="preserve">, ATESS issued </w:t>
      </w:r>
      <w:r w:rsidR="000F6B78" w:rsidRPr="002D2F67">
        <w:rPr>
          <w:rFonts w:ascii="Arial" w:eastAsia="Arial" w:hAnsi="Arial" w:cs="Arial"/>
          <w:color w:val="000000"/>
          <w:sz w:val="20"/>
          <w:szCs w:val="20"/>
        </w:rPr>
        <w:t>new</w:t>
      </w:r>
      <w:r w:rsidRPr="002D2F67">
        <w:rPr>
          <w:rFonts w:ascii="Arial" w:eastAsia="Arial" w:hAnsi="Arial" w:cs="Arial"/>
          <w:color w:val="000000"/>
          <w:sz w:val="20"/>
          <w:szCs w:val="20"/>
        </w:rPr>
        <w:t xml:space="preserve"> </w:t>
      </w:r>
      <w:r w:rsidR="009300A1" w:rsidRPr="002D2F67">
        <w:rPr>
          <w:rFonts w:ascii="Arial" w:eastAsia="Arial" w:hAnsi="Arial" w:cs="Arial"/>
          <w:color w:val="000000"/>
          <w:sz w:val="20"/>
          <w:szCs w:val="20"/>
        </w:rPr>
        <w:t>ordinary</w:t>
      </w:r>
      <w:r w:rsidRPr="002D2F67">
        <w:rPr>
          <w:rFonts w:ascii="Arial" w:eastAsia="Arial" w:hAnsi="Arial" w:cs="Arial"/>
          <w:color w:val="000000"/>
          <w:sz w:val="20"/>
          <w:szCs w:val="20"/>
        </w:rPr>
        <w:t xml:space="preserve"> shares to existing shareholders </w:t>
      </w:r>
      <w:r w:rsidR="002305E3" w:rsidRPr="002D2F67">
        <w:rPr>
          <w:rFonts w:ascii="Arial" w:hAnsi="Arial" w:cs="Arial"/>
          <w:color w:val="000000"/>
          <w:sz w:val="20"/>
          <w:szCs w:val="20"/>
        </w:rPr>
        <w:t>of</w:t>
      </w:r>
      <w:r w:rsidRPr="002D2F67">
        <w:rPr>
          <w:rFonts w:ascii="Arial" w:eastAsia="Arial" w:hAnsi="Arial" w:cs="Arial"/>
          <w:color w:val="000000"/>
          <w:sz w:val="20"/>
          <w:szCs w:val="20"/>
        </w:rPr>
        <w:t xml:space="preserve"> Baht </w:t>
      </w:r>
      <w:r w:rsidR="00CD5714" w:rsidRPr="00CD5714">
        <w:rPr>
          <w:rFonts w:ascii="Arial" w:eastAsia="Arial" w:hAnsi="Arial" w:cs="Arial"/>
          <w:color w:val="000000"/>
          <w:sz w:val="20"/>
          <w:szCs w:val="20"/>
          <w:lang w:val="en-GB"/>
        </w:rPr>
        <w:t>140</w:t>
      </w:r>
      <w:r w:rsidRPr="002D2F67">
        <w:rPr>
          <w:rFonts w:ascii="Arial" w:eastAsia="Arial" w:hAnsi="Arial" w:cs="Arial"/>
          <w:color w:val="000000"/>
          <w:sz w:val="20"/>
          <w:szCs w:val="20"/>
        </w:rPr>
        <w:t xml:space="preserve"> million</w:t>
      </w:r>
      <w:r w:rsidRPr="002D2F67">
        <w:rPr>
          <w:rFonts w:ascii="Arial" w:eastAsia="Arial" w:hAnsi="Arial" w:cs="Arial"/>
          <w:color w:val="000000"/>
          <w:spacing w:val="-6"/>
          <w:sz w:val="20"/>
          <w:szCs w:val="20"/>
        </w:rPr>
        <w:t xml:space="preserve">. </w:t>
      </w:r>
      <w:r w:rsidRPr="002D2F67">
        <w:rPr>
          <w:rFonts w:ascii="Arial" w:hAnsi="Arial" w:cs="Arial"/>
          <w:color w:val="000000"/>
          <w:spacing w:val="-6"/>
          <w:sz w:val="20"/>
          <w:szCs w:val="20"/>
        </w:rPr>
        <w:t>Th</w:t>
      </w:r>
      <w:r w:rsidR="00754939" w:rsidRPr="002D2F67">
        <w:rPr>
          <w:rFonts w:ascii="Arial" w:hAnsi="Arial" w:cs="Arial"/>
          <w:color w:val="000000"/>
          <w:spacing w:val="-6"/>
          <w:sz w:val="20"/>
          <w:szCs w:val="20"/>
        </w:rPr>
        <w:t>e</w:t>
      </w:r>
      <w:r w:rsidR="00A21266" w:rsidRPr="002D2F67">
        <w:rPr>
          <w:rFonts w:ascii="Arial" w:hAnsi="Arial" w:cs="Arial"/>
          <w:color w:val="000000"/>
          <w:spacing w:val="-6"/>
          <w:sz w:val="20"/>
          <w:szCs w:val="25"/>
        </w:rPr>
        <w:t>se</w:t>
      </w:r>
      <w:r w:rsidR="00754939" w:rsidRPr="002D2F67">
        <w:rPr>
          <w:rFonts w:ascii="Arial" w:eastAsia="Arial" w:hAnsi="Arial" w:cs="Arial"/>
          <w:color w:val="000000"/>
          <w:spacing w:val="-6"/>
          <w:sz w:val="20"/>
          <w:szCs w:val="20"/>
        </w:rPr>
        <w:t xml:space="preserve"> newly issued </w:t>
      </w:r>
      <w:r w:rsidR="009300A1" w:rsidRPr="002D2F67">
        <w:rPr>
          <w:rFonts w:ascii="Arial" w:eastAsia="Arial" w:hAnsi="Arial" w:cs="Arial"/>
          <w:color w:val="000000"/>
          <w:spacing w:val="-6"/>
          <w:sz w:val="20"/>
          <w:szCs w:val="20"/>
        </w:rPr>
        <w:t>ordinary</w:t>
      </w:r>
      <w:r w:rsidRPr="002D2F67">
        <w:rPr>
          <w:rFonts w:ascii="Arial" w:eastAsia="Arial" w:hAnsi="Arial" w:cs="Arial"/>
          <w:color w:val="000000"/>
          <w:spacing w:val="-6"/>
          <w:sz w:val="20"/>
          <w:szCs w:val="20"/>
        </w:rPr>
        <w:t xml:space="preserve"> shares </w:t>
      </w:r>
      <w:r w:rsidR="00754939" w:rsidRPr="002D2F67">
        <w:rPr>
          <w:rFonts w:ascii="Arial" w:eastAsia="Arial" w:hAnsi="Arial" w:cs="Arial"/>
          <w:color w:val="000000"/>
          <w:spacing w:val="-6"/>
          <w:sz w:val="20"/>
          <w:szCs w:val="20"/>
        </w:rPr>
        <w:t>decreased the Group’s shareholding interest</w:t>
      </w:r>
      <w:r w:rsidRPr="002D2F67">
        <w:rPr>
          <w:rFonts w:ascii="Arial" w:eastAsia="Arial" w:hAnsi="Arial" w:cs="Arial"/>
          <w:color w:val="000000"/>
          <w:spacing w:val="-6"/>
          <w:sz w:val="20"/>
          <w:szCs w:val="20"/>
        </w:rPr>
        <w:t xml:space="preserve"> from </w:t>
      </w:r>
      <w:r w:rsidR="00CD5714" w:rsidRPr="00CD5714">
        <w:rPr>
          <w:rFonts w:ascii="Arial" w:eastAsia="Arial" w:hAnsi="Arial" w:cs="Arial"/>
          <w:color w:val="000000"/>
          <w:spacing w:val="-6"/>
          <w:sz w:val="20"/>
          <w:szCs w:val="20"/>
          <w:lang w:val="en-GB"/>
        </w:rPr>
        <w:t>38</w:t>
      </w:r>
      <w:r w:rsidRPr="002D2F67">
        <w:rPr>
          <w:rFonts w:ascii="Arial" w:eastAsia="Arial" w:hAnsi="Arial" w:cs="Arial"/>
          <w:color w:val="000000"/>
          <w:spacing w:val="-6"/>
          <w:sz w:val="20"/>
          <w:szCs w:val="20"/>
          <w:cs/>
        </w:rPr>
        <w:t>.</w:t>
      </w:r>
      <w:r w:rsidR="00CD5714" w:rsidRPr="00CD5714">
        <w:rPr>
          <w:rFonts w:ascii="Arial" w:eastAsia="Arial" w:hAnsi="Arial" w:cs="Arial"/>
          <w:color w:val="000000"/>
          <w:spacing w:val="-6"/>
          <w:sz w:val="20"/>
          <w:szCs w:val="20"/>
          <w:lang w:val="en-GB"/>
        </w:rPr>
        <w:t>53</w:t>
      </w:r>
      <w:r w:rsidRPr="002D2F67">
        <w:rPr>
          <w:rFonts w:ascii="Arial" w:eastAsia="Arial" w:hAnsi="Arial" w:cs="Arial"/>
          <w:color w:val="000000"/>
          <w:spacing w:val="-6"/>
          <w:sz w:val="20"/>
          <w:szCs w:val="20"/>
          <w:cs/>
        </w:rPr>
        <w:t>%</w:t>
      </w:r>
      <w:r w:rsidRPr="002D2F67">
        <w:rPr>
          <w:rFonts w:ascii="Arial" w:eastAsia="Arial" w:hAnsi="Arial" w:cs="Arial"/>
          <w:color w:val="000000"/>
          <w:spacing w:val="-6"/>
          <w:sz w:val="20"/>
          <w:szCs w:val="20"/>
        </w:rPr>
        <w:t xml:space="preserve"> to </w:t>
      </w:r>
      <w:r w:rsidR="00CD5714" w:rsidRPr="00CD5714">
        <w:rPr>
          <w:rFonts w:ascii="Arial" w:eastAsia="Arial" w:hAnsi="Arial" w:cs="Arial"/>
          <w:color w:val="000000"/>
          <w:spacing w:val="-6"/>
          <w:sz w:val="20"/>
          <w:szCs w:val="20"/>
          <w:lang w:val="en-GB"/>
        </w:rPr>
        <w:t>34</w:t>
      </w:r>
      <w:r w:rsidRPr="002D2F67">
        <w:rPr>
          <w:rFonts w:ascii="Arial" w:eastAsia="Arial" w:hAnsi="Arial" w:cs="Arial"/>
          <w:color w:val="000000"/>
          <w:spacing w:val="-6"/>
          <w:sz w:val="20"/>
          <w:szCs w:val="20"/>
          <w:cs/>
        </w:rPr>
        <w:t>.</w:t>
      </w:r>
      <w:r w:rsidR="00CD5714" w:rsidRPr="00CD5714">
        <w:rPr>
          <w:rFonts w:ascii="Arial" w:eastAsia="Arial" w:hAnsi="Arial" w:cs="Arial"/>
          <w:color w:val="000000"/>
          <w:spacing w:val="-6"/>
          <w:sz w:val="20"/>
          <w:szCs w:val="20"/>
          <w:lang w:val="en-GB"/>
        </w:rPr>
        <w:t>69</w:t>
      </w:r>
      <w:r w:rsidRPr="002D2F67">
        <w:rPr>
          <w:rFonts w:ascii="Arial" w:eastAsia="Arial" w:hAnsi="Arial" w:cs="Arial"/>
          <w:color w:val="000000"/>
          <w:spacing w:val="-6"/>
          <w:sz w:val="20"/>
          <w:szCs w:val="20"/>
          <w:cs/>
        </w:rPr>
        <w:t>%</w:t>
      </w:r>
      <w:r w:rsidRPr="002D2F67">
        <w:rPr>
          <w:rFonts w:ascii="Arial" w:eastAsia="Arial" w:hAnsi="Arial" w:cs="Arial"/>
          <w:color w:val="000000"/>
          <w:spacing w:val="-6"/>
          <w:sz w:val="20"/>
          <w:szCs w:val="20"/>
        </w:rPr>
        <w:t xml:space="preserve">. </w:t>
      </w:r>
      <w:r w:rsidR="00754939" w:rsidRPr="002D2F67">
        <w:rPr>
          <w:rFonts w:ascii="Arial" w:eastAsia="Arial" w:hAnsi="Arial" w:cs="Arial"/>
          <w:color w:val="000000"/>
          <w:spacing w:val="-6"/>
          <w:sz w:val="20"/>
          <w:szCs w:val="20"/>
        </w:rPr>
        <w:t>T</w:t>
      </w:r>
      <w:r w:rsidRPr="002D2F67">
        <w:rPr>
          <w:rFonts w:ascii="Arial" w:eastAsia="Arial" w:hAnsi="Arial" w:cs="Arial"/>
          <w:color w:val="000000"/>
          <w:spacing w:val="-6"/>
          <w:sz w:val="20"/>
          <w:szCs w:val="20"/>
        </w:rPr>
        <w:t>he Group recogni</w:t>
      </w:r>
      <w:r w:rsidR="009300A1" w:rsidRPr="002D2F67">
        <w:rPr>
          <w:rFonts w:ascii="Arial" w:eastAsia="Arial" w:hAnsi="Arial" w:cs="Arial"/>
          <w:color w:val="000000"/>
          <w:spacing w:val="-6"/>
          <w:sz w:val="20"/>
          <w:szCs w:val="20"/>
        </w:rPr>
        <w:t>s</w:t>
      </w:r>
      <w:r w:rsidRPr="002D2F67">
        <w:rPr>
          <w:rFonts w:ascii="Arial" w:eastAsia="Arial" w:hAnsi="Arial" w:cs="Arial"/>
          <w:color w:val="000000"/>
          <w:spacing w:val="-6"/>
          <w:sz w:val="20"/>
          <w:szCs w:val="20"/>
        </w:rPr>
        <w:t xml:space="preserve">ed </w:t>
      </w:r>
      <w:r w:rsidR="00754939" w:rsidRPr="002D2F67">
        <w:rPr>
          <w:rFonts w:ascii="Arial" w:eastAsia="Arial" w:hAnsi="Arial" w:cs="Arial"/>
          <w:color w:val="000000"/>
          <w:spacing w:val="-6"/>
          <w:sz w:val="20"/>
          <w:szCs w:val="20"/>
        </w:rPr>
        <w:t xml:space="preserve">dilution </w:t>
      </w:r>
      <w:r w:rsidRPr="002D2F67">
        <w:rPr>
          <w:rFonts w:ascii="Arial" w:eastAsia="Arial" w:hAnsi="Arial" w:cs="Arial"/>
          <w:color w:val="000000"/>
          <w:spacing w:val="-6"/>
          <w:sz w:val="20"/>
          <w:szCs w:val="20"/>
        </w:rPr>
        <w:t xml:space="preserve">gain from </w:t>
      </w:r>
      <w:r w:rsidR="00754939" w:rsidRPr="002D2F67">
        <w:rPr>
          <w:rFonts w:ascii="Arial" w:eastAsia="Arial" w:hAnsi="Arial" w:cs="Arial"/>
          <w:color w:val="000000"/>
          <w:spacing w:val="-6"/>
          <w:sz w:val="20"/>
          <w:szCs w:val="20"/>
        </w:rPr>
        <w:t xml:space="preserve">changing in shareholding </w:t>
      </w:r>
      <w:r w:rsidR="00754939" w:rsidRPr="002D2F67">
        <w:rPr>
          <w:rFonts w:ascii="Arial" w:hAnsi="Arial" w:cs="Arial"/>
          <w:color w:val="000000"/>
          <w:spacing w:val="-6"/>
          <w:sz w:val="20"/>
          <w:szCs w:val="20"/>
        </w:rPr>
        <w:t>interest</w:t>
      </w:r>
      <w:r w:rsidR="00A21266" w:rsidRPr="002D2F67">
        <w:rPr>
          <w:rFonts w:ascii="Arial" w:hAnsi="Arial" w:cs="Arial"/>
          <w:color w:val="000000"/>
          <w:spacing w:val="-6"/>
          <w:sz w:val="20"/>
          <w:szCs w:val="20"/>
        </w:rPr>
        <w:t>s</w:t>
      </w:r>
      <w:r w:rsidR="00754939" w:rsidRPr="002D2F67">
        <w:rPr>
          <w:rFonts w:ascii="Arial" w:eastAsia="Arial" w:hAnsi="Arial" w:cs="Arial"/>
          <w:color w:val="000000"/>
          <w:spacing w:val="-6"/>
          <w:sz w:val="20"/>
          <w:szCs w:val="20"/>
        </w:rPr>
        <w:t xml:space="preserve"> in a joint venture</w:t>
      </w:r>
      <w:r w:rsidRPr="002D2F67">
        <w:rPr>
          <w:rFonts w:ascii="Arial" w:eastAsia="Arial" w:hAnsi="Arial" w:cs="Arial"/>
          <w:color w:val="000000"/>
          <w:spacing w:val="-6"/>
          <w:sz w:val="20"/>
          <w:szCs w:val="20"/>
        </w:rPr>
        <w:t xml:space="preserve"> of Baht </w:t>
      </w:r>
      <w:r w:rsidR="00D8454F" w:rsidRPr="002D2F67">
        <w:rPr>
          <w:rFonts w:ascii="Arial" w:hAnsi="Arial" w:cs="Arial"/>
          <w:color w:val="000000"/>
          <w:spacing w:val="-6"/>
          <w:sz w:val="20"/>
          <w:szCs w:val="20"/>
        </w:rPr>
        <w:br/>
      </w:r>
      <w:r w:rsidR="00CD5714" w:rsidRPr="00CD5714">
        <w:rPr>
          <w:rFonts w:ascii="Arial" w:eastAsia="Arial" w:hAnsi="Arial" w:cs="Arial"/>
          <w:color w:val="000000"/>
          <w:spacing w:val="-6"/>
          <w:sz w:val="20"/>
          <w:szCs w:val="20"/>
          <w:lang w:val="en-GB"/>
        </w:rPr>
        <w:t>35</w:t>
      </w:r>
      <w:r w:rsidRPr="002D2F67">
        <w:rPr>
          <w:rFonts w:ascii="Arial" w:eastAsia="Arial" w:hAnsi="Arial" w:cs="Arial"/>
          <w:color w:val="000000"/>
          <w:spacing w:val="-6"/>
          <w:sz w:val="20"/>
          <w:szCs w:val="20"/>
        </w:rPr>
        <w:t xml:space="preserve"> million</w:t>
      </w:r>
      <w:r w:rsidR="00754939" w:rsidRPr="002D2F67">
        <w:rPr>
          <w:rFonts w:ascii="Arial" w:eastAsia="Arial" w:hAnsi="Arial" w:cs="Arial"/>
          <w:color w:val="000000"/>
          <w:spacing w:val="-6"/>
          <w:sz w:val="20"/>
          <w:szCs w:val="20"/>
        </w:rPr>
        <w:t xml:space="preserve"> and presented </w:t>
      </w:r>
      <w:r w:rsidRPr="002D2F67">
        <w:rPr>
          <w:rFonts w:ascii="Arial" w:eastAsia="Arial" w:hAnsi="Arial" w:cs="Arial"/>
          <w:color w:val="000000"/>
          <w:spacing w:val="-6"/>
          <w:sz w:val="20"/>
          <w:szCs w:val="20"/>
        </w:rPr>
        <w:t xml:space="preserve">in the consolidated statement of comprehensive income for the year ended </w:t>
      </w:r>
      <w:r w:rsidR="00D8454F" w:rsidRPr="002D2F67">
        <w:rPr>
          <w:rFonts w:ascii="Arial" w:hAnsi="Arial" w:cs="Arial"/>
          <w:color w:val="000000"/>
          <w:spacing w:val="-6"/>
          <w:sz w:val="20"/>
          <w:szCs w:val="20"/>
        </w:rPr>
        <w:br/>
      </w:r>
      <w:r w:rsidR="00CD5714" w:rsidRPr="00CD5714">
        <w:rPr>
          <w:rFonts w:ascii="Arial" w:eastAsia="Arial" w:hAnsi="Arial" w:cs="Arial"/>
          <w:color w:val="000000"/>
          <w:sz w:val="20"/>
          <w:szCs w:val="20"/>
          <w:lang w:val="en-GB"/>
        </w:rPr>
        <w:t>31</w:t>
      </w:r>
      <w:r w:rsidR="009300A1" w:rsidRPr="002D2F67">
        <w:rPr>
          <w:rFonts w:ascii="Arial" w:eastAsia="Arial" w:hAnsi="Arial" w:cs="Arial"/>
          <w:color w:val="000000"/>
          <w:sz w:val="20"/>
          <w:szCs w:val="20"/>
        </w:rPr>
        <w:t xml:space="preserve"> </w:t>
      </w:r>
      <w:r w:rsidRPr="002D2F67">
        <w:rPr>
          <w:rFonts w:ascii="Arial" w:eastAsia="Arial" w:hAnsi="Arial" w:cs="Arial"/>
          <w:color w:val="000000"/>
          <w:sz w:val="20"/>
          <w:szCs w:val="20"/>
        </w:rPr>
        <w:t xml:space="preserve">December </w:t>
      </w:r>
      <w:r w:rsidR="00CD5714" w:rsidRPr="00CD5714">
        <w:rPr>
          <w:rFonts w:ascii="Arial" w:eastAsia="Arial" w:hAnsi="Arial" w:cs="Arial"/>
          <w:color w:val="000000"/>
          <w:sz w:val="20"/>
          <w:szCs w:val="20"/>
          <w:lang w:val="en-GB"/>
        </w:rPr>
        <w:t>2024</w:t>
      </w:r>
      <w:r w:rsidRPr="002D2F67">
        <w:rPr>
          <w:rFonts w:ascii="Arial" w:eastAsia="Arial" w:hAnsi="Arial" w:cs="Arial"/>
          <w:color w:val="000000"/>
          <w:sz w:val="20"/>
          <w:szCs w:val="20"/>
          <w:cs/>
        </w:rPr>
        <w:t xml:space="preserve">. </w:t>
      </w:r>
      <w:r w:rsidR="00754939" w:rsidRPr="002D2F67">
        <w:rPr>
          <w:rFonts w:ascii="Arial" w:eastAsia="Arial" w:hAnsi="Arial" w:cs="Arial"/>
          <w:color w:val="000000"/>
          <w:sz w:val="20"/>
          <w:szCs w:val="20"/>
        </w:rPr>
        <w:t xml:space="preserve">The </w:t>
      </w:r>
      <w:r w:rsidR="00D8454F" w:rsidRPr="002D2F67">
        <w:rPr>
          <w:rFonts w:ascii="Arial" w:hAnsi="Arial" w:cs="Arial"/>
          <w:color w:val="000000"/>
          <w:sz w:val="20"/>
          <w:szCs w:val="20"/>
        </w:rPr>
        <w:t>decrease in shareholding interests</w:t>
      </w:r>
      <w:r w:rsidR="00754939" w:rsidRPr="002D2F67">
        <w:rPr>
          <w:rFonts w:ascii="Arial" w:eastAsia="Arial" w:hAnsi="Arial" w:cs="Arial"/>
          <w:color w:val="000000"/>
          <w:sz w:val="20"/>
          <w:szCs w:val="20"/>
        </w:rPr>
        <w:t xml:space="preserve"> did not impact to the classification of the</w:t>
      </w:r>
      <w:r w:rsidRPr="002D2F67">
        <w:rPr>
          <w:rFonts w:ascii="Arial" w:eastAsia="Arial" w:hAnsi="Arial" w:cs="Arial"/>
          <w:color w:val="000000"/>
          <w:sz w:val="20"/>
          <w:szCs w:val="20"/>
        </w:rPr>
        <w:t xml:space="preserve"> investment</w:t>
      </w:r>
      <w:r w:rsidR="005C118F" w:rsidRPr="002D2F67">
        <w:rPr>
          <w:rFonts w:ascii="Arial" w:eastAsia="Arial" w:hAnsi="Arial" w:cs="Arial"/>
          <w:color w:val="000000"/>
          <w:sz w:val="20"/>
          <w:szCs w:val="20"/>
        </w:rPr>
        <w:t xml:space="preserve"> of the Group</w:t>
      </w:r>
      <w:r w:rsidRPr="002D2F67">
        <w:rPr>
          <w:rFonts w:ascii="Arial" w:eastAsia="Arial" w:hAnsi="Arial" w:cs="Arial"/>
          <w:color w:val="000000"/>
          <w:spacing w:val="-6"/>
          <w:sz w:val="20"/>
          <w:szCs w:val="20"/>
        </w:rPr>
        <w:t>.</w:t>
      </w:r>
    </w:p>
    <w:p w14:paraId="207E5BD2" w14:textId="77777777" w:rsidR="00C26E52" w:rsidRPr="002D2F67" w:rsidRDefault="00C26E52" w:rsidP="00EC4DD5">
      <w:pPr>
        <w:ind w:left="540"/>
        <w:jc w:val="both"/>
        <w:rPr>
          <w:rFonts w:ascii="Arial" w:eastAsia="Arial" w:hAnsi="Arial" w:cs="Arial"/>
          <w:spacing w:val="-6"/>
          <w:sz w:val="20"/>
          <w:szCs w:val="20"/>
        </w:rPr>
      </w:pPr>
    </w:p>
    <w:p w14:paraId="2A953A9E" w14:textId="3BE89B0E" w:rsidR="00C26E52" w:rsidRPr="002D2F67" w:rsidRDefault="00BC159E" w:rsidP="00EC4DD5">
      <w:pPr>
        <w:ind w:left="540"/>
        <w:jc w:val="thaiDistribute"/>
        <w:rPr>
          <w:rFonts w:ascii="Arial" w:eastAsia="Arial" w:hAnsi="Arial" w:cs="Arial"/>
          <w:b/>
          <w:bCs/>
          <w:color w:val="000000"/>
          <w:sz w:val="20"/>
          <w:szCs w:val="20"/>
        </w:rPr>
      </w:pPr>
      <w:r w:rsidRPr="002D2F67">
        <w:rPr>
          <w:rFonts w:ascii="Arial" w:eastAsia="Arial" w:hAnsi="Arial" w:cs="Arial"/>
          <w:b/>
          <w:bCs/>
          <w:color w:val="000000"/>
          <w:sz w:val="20"/>
          <w:szCs w:val="20"/>
        </w:rPr>
        <w:t xml:space="preserve">Indirect </w:t>
      </w:r>
      <w:r w:rsidR="00C26E52" w:rsidRPr="002D2F67">
        <w:rPr>
          <w:rFonts w:ascii="Arial" w:eastAsia="Arial" w:hAnsi="Arial" w:cs="Arial"/>
          <w:b/>
          <w:bCs/>
          <w:color w:val="000000"/>
          <w:sz w:val="20"/>
          <w:szCs w:val="20"/>
        </w:rPr>
        <w:t>Joint Ventures</w:t>
      </w:r>
    </w:p>
    <w:p w14:paraId="39F68322" w14:textId="77777777" w:rsidR="00C26E52" w:rsidRPr="002D2F67" w:rsidRDefault="00C26E52" w:rsidP="00EC4DD5">
      <w:pPr>
        <w:ind w:left="540"/>
        <w:jc w:val="thaiDistribute"/>
        <w:rPr>
          <w:rFonts w:ascii="Arial" w:eastAsia="Arial" w:hAnsi="Arial" w:cs="Arial"/>
          <w:spacing w:val="-6"/>
          <w:sz w:val="20"/>
          <w:szCs w:val="20"/>
        </w:rPr>
      </w:pPr>
    </w:p>
    <w:p w14:paraId="411190FC" w14:textId="77777777" w:rsidR="00C26E52" w:rsidRPr="002D2F67" w:rsidRDefault="00C26E52" w:rsidP="00EC4DD5">
      <w:pPr>
        <w:ind w:left="540"/>
        <w:jc w:val="both"/>
        <w:rPr>
          <w:rFonts w:ascii="Arial" w:eastAsia="Arial" w:hAnsi="Arial" w:cs="Arial"/>
          <w:spacing w:val="-6"/>
          <w:sz w:val="20"/>
          <w:szCs w:val="20"/>
          <w:u w:val="single"/>
        </w:rPr>
      </w:pPr>
      <w:r w:rsidRPr="002D2F67">
        <w:rPr>
          <w:rFonts w:ascii="Arial" w:eastAsia="Arial" w:hAnsi="Arial" w:cs="Arial"/>
          <w:spacing w:val="-6"/>
          <w:sz w:val="20"/>
          <w:szCs w:val="20"/>
          <w:u w:val="single"/>
        </w:rPr>
        <w:t>Agro Clean Co., Ltd.</w:t>
      </w:r>
    </w:p>
    <w:p w14:paraId="59F3E105" w14:textId="77777777" w:rsidR="00C26E52" w:rsidRPr="002D2F67" w:rsidRDefault="00C26E52" w:rsidP="00EC4DD5">
      <w:pPr>
        <w:ind w:left="540"/>
        <w:jc w:val="both"/>
        <w:rPr>
          <w:rFonts w:ascii="Arial" w:eastAsia="Arial" w:hAnsi="Arial" w:cs="Arial"/>
          <w:spacing w:val="-6"/>
          <w:sz w:val="20"/>
          <w:szCs w:val="20"/>
          <w:highlight w:val="green"/>
        </w:rPr>
      </w:pPr>
    </w:p>
    <w:p w14:paraId="388B4055" w14:textId="45D446C7" w:rsidR="00C26E52" w:rsidRPr="002D2F67" w:rsidRDefault="00C26E52" w:rsidP="00EC4DD5">
      <w:pPr>
        <w:ind w:left="540"/>
        <w:jc w:val="both"/>
        <w:rPr>
          <w:rFonts w:ascii="Arial" w:eastAsia="Arial" w:hAnsi="Arial" w:cs="Arial"/>
          <w:sz w:val="20"/>
          <w:szCs w:val="20"/>
        </w:rPr>
      </w:pPr>
      <w:r w:rsidRPr="002D2F67">
        <w:rPr>
          <w:rFonts w:ascii="Arial" w:eastAsia="Arial" w:hAnsi="Arial" w:cs="Arial"/>
          <w:spacing w:val="-4"/>
          <w:sz w:val="20"/>
          <w:szCs w:val="20"/>
        </w:rPr>
        <w:t xml:space="preserve">On </w:t>
      </w:r>
      <w:r w:rsidR="00CD5714" w:rsidRPr="00CD5714">
        <w:rPr>
          <w:rFonts w:ascii="Arial" w:eastAsia="Arial" w:hAnsi="Arial" w:cs="Arial"/>
          <w:spacing w:val="-4"/>
          <w:sz w:val="20"/>
          <w:szCs w:val="20"/>
          <w:lang w:val="en-GB"/>
        </w:rPr>
        <w:t>29</w:t>
      </w:r>
      <w:r w:rsidR="00BC159E" w:rsidRPr="002D2F67">
        <w:rPr>
          <w:rFonts w:ascii="Arial" w:eastAsia="Arial" w:hAnsi="Arial" w:cs="Arial"/>
          <w:spacing w:val="-4"/>
          <w:sz w:val="20"/>
          <w:szCs w:val="20"/>
        </w:rPr>
        <w:t xml:space="preserve"> </w:t>
      </w:r>
      <w:r w:rsidRPr="002D2F67">
        <w:rPr>
          <w:rFonts w:ascii="Arial" w:eastAsia="Arial" w:hAnsi="Arial" w:cs="Arial"/>
          <w:spacing w:val="-4"/>
          <w:sz w:val="20"/>
          <w:szCs w:val="20"/>
        </w:rPr>
        <w:t xml:space="preserve">February </w:t>
      </w:r>
      <w:r w:rsidR="00CD5714" w:rsidRPr="00CD5714">
        <w:rPr>
          <w:rFonts w:ascii="Arial" w:eastAsia="Arial" w:hAnsi="Arial" w:cs="Arial"/>
          <w:spacing w:val="-4"/>
          <w:sz w:val="20"/>
          <w:szCs w:val="20"/>
          <w:lang w:val="en-GB"/>
        </w:rPr>
        <w:t>2024</w:t>
      </w:r>
      <w:r w:rsidRPr="002D2F67">
        <w:rPr>
          <w:rFonts w:ascii="Arial" w:eastAsia="Arial" w:hAnsi="Arial" w:cs="Arial"/>
          <w:spacing w:val="-4"/>
          <w:sz w:val="20"/>
          <w:szCs w:val="20"/>
        </w:rPr>
        <w:t>, Agro Clean Co., Ltd. registered its dissolution with the Department of Business</w:t>
      </w:r>
      <w:r w:rsidR="00E81C41" w:rsidRPr="002D2F67">
        <w:rPr>
          <w:rFonts w:ascii="Arial" w:eastAsia="Arial" w:hAnsi="Arial" w:cs="Arial"/>
          <w:sz w:val="20"/>
          <w:szCs w:val="20"/>
        </w:rPr>
        <w:t xml:space="preserve"> </w:t>
      </w:r>
      <w:r w:rsidRPr="002D2F67">
        <w:rPr>
          <w:rFonts w:ascii="Arial" w:eastAsia="Arial" w:hAnsi="Arial" w:cs="Arial"/>
          <w:sz w:val="20"/>
          <w:szCs w:val="20"/>
        </w:rPr>
        <w:t>Development</w:t>
      </w:r>
      <w:r w:rsidR="00B2688B" w:rsidRPr="002D2F67">
        <w:rPr>
          <w:rFonts w:ascii="Arial" w:eastAsia="Arial" w:hAnsi="Arial" w:cs="Arial"/>
          <w:sz w:val="20"/>
          <w:szCs w:val="20"/>
        </w:rPr>
        <w:t>. The</w:t>
      </w:r>
      <w:r w:rsidRPr="002D2F67">
        <w:rPr>
          <w:rFonts w:ascii="Arial" w:eastAsia="Arial" w:hAnsi="Arial" w:cs="Arial"/>
          <w:sz w:val="20"/>
          <w:szCs w:val="20"/>
        </w:rPr>
        <w:t xml:space="preserve"> liquidation </w:t>
      </w:r>
      <w:r w:rsidR="00B2688B" w:rsidRPr="002D2F67">
        <w:rPr>
          <w:rFonts w:ascii="Arial" w:eastAsia="Arial" w:hAnsi="Arial" w:cs="Arial"/>
          <w:sz w:val="20"/>
          <w:szCs w:val="20"/>
        </w:rPr>
        <w:t>process had been completed</w:t>
      </w:r>
      <w:r w:rsidRPr="002D2F67">
        <w:rPr>
          <w:rFonts w:ascii="Arial" w:eastAsia="Arial" w:hAnsi="Arial" w:cs="Arial"/>
          <w:sz w:val="20"/>
          <w:szCs w:val="20"/>
        </w:rPr>
        <w:t xml:space="preserve"> during the year.</w:t>
      </w:r>
    </w:p>
    <w:p w14:paraId="1628393A" w14:textId="77777777" w:rsidR="00EA429B" w:rsidRPr="002D2F67" w:rsidRDefault="00EA429B" w:rsidP="00C26E52">
      <w:pPr>
        <w:ind w:left="709"/>
        <w:jc w:val="thaiDistribute"/>
        <w:rPr>
          <w:rFonts w:ascii="Arial" w:eastAsia="Arial" w:hAnsi="Arial" w:cs="Arial"/>
          <w:spacing w:val="-6"/>
          <w:sz w:val="20"/>
          <w:szCs w:val="20"/>
        </w:rPr>
      </w:pPr>
    </w:p>
    <w:p w14:paraId="27B5C4CA" w14:textId="035EB44C" w:rsidR="00EC4DD5" w:rsidRPr="002D2F67" w:rsidRDefault="00EC4DD5" w:rsidP="00C26E52">
      <w:pPr>
        <w:ind w:left="709"/>
        <w:jc w:val="thaiDistribute"/>
        <w:rPr>
          <w:rFonts w:ascii="Arial" w:eastAsia="Arial" w:hAnsi="Arial" w:cs="Arial"/>
          <w:spacing w:val="-6"/>
          <w:sz w:val="20"/>
          <w:szCs w:val="20"/>
        </w:rPr>
        <w:sectPr w:rsidR="00EC4DD5" w:rsidRPr="002D2F67" w:rsidSect="00BC5B63">
          <w:pgSz w:w="11906" w:h="16838" w:code="9"/>
          <w:pgMar w:top="1440" w:right="720" w:bottom="720" w:left="1728" w:header="706" w:footer="706" w:gutter="0"/>
          <w:cols w:space="720"/>
        </w:sectPr>
      </w:pPr>
    </w:p>
    <w:p w14:paraId="034B43A4" w14:textId="77777777" w:rsidR="00FF408A" w:rsidRPr="002D2F67" w:rsidRDefault="00FF408A" w:rsidP="005611FE">
      <w:pPr>
        <w:ind w:left="540" w:hanging="540"/>
        <w:jc w:val="both"/>
        <w:rPr>
          <w:rFonts w:ascii="Arial" w:hAnsi="Arial" w:cs="Arial"/>
          <w:b/>
          <w:bCs/>
          <w:color w:val="000000"/>
          <w:sz w:val="20"/>
          <w:szCs w:val="20"/>
        </w:rPr>
      </w:pPr>
    </w:p>
    <w:p w14:paraId="796E9E47" w14:textId="12AA5097" w:rsidR="00FF408A" w:rsidRPr="002D2F67" w:rsidRDefault="00CD5714" w:rsidP="005611FE">
      <w:pPr>
        <w:pStyle w:val="HeadSub1-5EA"/>
        <w:ind w:left="518" w:hanging="518"/>
        <w:rPr>
          <w:rFonts w:ascii="Arial" w:hAnsi="Arial" w:cs="Arial"/>
          <w:color w:val="000000"/>
          <w:sz w:val="20"/>
          <w:szCs w:val="20"/>
        </w:rPr>
      </w:pPr>
      <w:r w:rsidRPr="00CD5714">
        <w:rPr>
          <w:rFonts w:ascii="Arial" w:hAnsi="Arial" w:cs="Arial"/>
          <w:color w:val="000000"/>
          <w:sz w:val="20"/>
          <w:szCs w:val="20"/>
          <w:lang w:val="en-GB"/>
        </w:rPr>
        <w:t>19</w:t>
      </w:r>
      <w:r w:rsidR="00FF408A" w:rsidRPr="002D2F67">
        <w:rPr>
          <w:rFonts w:ascii="Arial" w:hAnsi="Arial" w:cs="Arial"/>
          <w:color w:val="000000"/>
          <w:sz w:val="20"/>
          <w:szCs w:val="20"/>
        </w:rPr>
        <w:t>.</w:t>
      </w:r>
      <w:r w:rsidRPr="00CD5714">
        <w:rPr>
          <w:rFonts w:ascii="Arial" w:hAnsi="Arial" w:cs="Arial"/>
          <w:color w:val="000000"/>
          <w:sz w:val="20"/>
          <w:szCs w:val="20"/>
          <w:lang w:val="en-GB"/>
        </w:rPr>
        <w:t>2</w:t>
      </w:r>
      <w:r w:rsidR="00FF408A" w:rsidRPr="002D2F67">
        <w:rPr>
          <w:rFonts w:ascii="Arial" w:hAnsi="Arial" w:cs="Arial"/>
          <w:color w:val="000000"/>
          <w:sz w:val="20"/>
          <w:szCs w:val="20"/>
        </w:rPr>
        <w:tab/>
        <w:t>Investments in subsidiaries</w:t>
      </w:r>
      <w:r w:rsidR="00E06C75" w:rsidRPr="002D2F67">
        <w:rPr>
          <w:rFonts w:ascii="Arial" w:hAnsi="Arial" w:cs="Arial"/>
          <w:color w:val="000000"/>
          <w:sz w:val="20"/>
          <w:szCs w:val="20"/>
        </w:rPr>
        <w:t>, net</w:t>
      </w:r>
    </w:p>
    <w:p w14:paraId="23BAF060" w14:textId="77777777" w:rsidR="00FF408A" w:rsidRPr="002D2F67" w:rsidRDefault="00FF408A" w:rsidP="005611FE">
      <w:pPr>
        <w:ind w:left="540"/>
        <w:jc w:val="thaiDistribute"/>
        <w:rPr>
          <w:rFonts w:ascii="Arial" w:hAnsi="Arial" w:cs="Arial"/>
          <w:color w:val="000000"/>
          <w:sz w:val="20"/>
          <w:szCs w:val="20"/>
        </w:rPr>
      </w:pPr>
    </w:p>
    <w:tbl>
      <w:tblPr>
        <w:tblW w:w="14526" w:type="dxa"/>
        <w:tblInd w:w="392" w:type="dxa"/>
        <w:tblLayout w:type="fixed"/>
        <w:tblLook w:val="0000" w:firstRow="0" w:lastRow="0" w:firstColumn="0" w:lastColumn="0" w:noHBand="0" w:noVBand="0"/>
      </w:tblPr>
      <w:tblGrid>
        <w:gridCol w:w="3111"/>
        <w:gridCol w:w="2957"/>
        <w:gridCol w:w="1058"/>
        <w:gridCol w:w="1058"/>
        <w:gridCol w:w="1057"/>
        <w:gridCol w:w="1057"/>
        <w:gridCol w:w="1057"/>
        <w:gridCol w:w="1057"/>
        <w:gridCol w:w="1057"/>
        <w:gridCol w:w="1057"/>
      </w:tblGrid>
      <w:tr w:rsidR="00FF408A" w:rsidRPr="002D2F67" w14:paraId="4E1186EF" w14:textId="77777777" w:rsidTr="008255E8">
        <w:trPr>
          <w:cantSplit/>
          <w:trHeight w:val="57"/>
        </w:trPr>
        <w:tc>
          <w:tcPr>
            <w:tcW w:w="3111" w:type="dxa"/>
            <w:shd w:val="clear" w:color="auto" w:fill="auto"/>
            <w:vAlign w:val="bottom"/>
          </w:tcPr>
          <w:p w14:paraId="55A4508A" w14:textId="77777777" w:rsidR="00FF408A" w:rsidRPr="002D2F67" w:rsidRDefault="00FF408A" w:rsidP="005611FE">
            <w:pPr>
              <w:pStyle w:val="acctfourfigures"/>
              <w:tabs>
                <w:tab w:val="clear" w:pos="765"/>
              </w:tabs>
              <w:spacing w:line="240" w:lineRule="auto"/>
              <w:ind w:left="148" w:right="-72"/>
              <w:jc w:val="center"/>
              <w:rPr>
                <w:rFonts w:ascii="Arial" w:hAnsi="Arial" w:cs="Arial"/>
                <w:b/>
                <w:bCs/>
                <w:color w:val="000000"/>
                <w:sz w:val="14"/>
                <w:szCs w:val="14"/>
                <w:lang w:bidi="th-TH"/>
              </w:rPr>
            </w:pPr>
          </w:p>
        </w:tc>
        <w:tc>
          <w:tcPr>
            <w:tcW w:w="2957" w:type="dxa"/>
            <w:shd w:val="clear" w:color="auto" w:fill="auto"/>
          </w:tcPr>
          <w:p w14:paraId="1BB2AAC8" w14:textId="77777777" w:rsidR="00FF408A" w:rsidRPr="002D2F67" w:rsidRDefault="00FF408A" w:rsidP="005611FE">
            <w:pPr>
              <w:pStyle w:val="acctfourfigures"/>
              <w:tabs>
                <w:tab w:val="clear" w:pos="765"/>
              </w:tabs>
              <w:spacing w:line="240" w:lineRule="auto"/>
              <w:ind w:left="-36" w:right="-72"/>
              <w:jc w:val="center"/>
              <w:rPr>
                <w:rFonts w:ascii="Arial" w:hAnsi="Arial" w:cs="Arial"/>
                <w:b/>
                <w:bCs/>
                <w:color w:val="000000"/>
                <w:sz w:val="14"/>
                <w:szCs w:val="14"/>
                <w:lang w:bidi="th-TH"/>
              </w:rPr>
            </w:pPr>
          </w:p>
        </w:tc>
        <w:tc>
          <w:tcPr>
            <w:tcW w:w="8458" w:type="dxa"/>
            <w:gridSpan w:val="8"/>
            <w:tcBorders>
              <w:bottom w:val="single" w:sz="4" w:space="0" w:color="auto"/>
            </w:tcBorders>
            <w:shd w:val="clear" w:color="auto" w:fill="auto"/>
            <w:vAlign w:val="bottom"/>
          </w:tcPr>
          <w:p w14:paraId="304E7CAB" w14:textId="77777777" w:rsidR="00FF408A" w:rsidRPr="002D2F67" w:rsidRDefault="00C467F7" w:rsidP="005611FE">
            <w:pPr>
              <w:pStyle w:val="acctfourfigures"/>
              <w:tabs>
                <w:tab w:val="clear" w:pos="765"/>
              </w:tabs>
              <w:spacing w:line="240" w:lineRule="auto"/>
              <w:ind w:right="-96"/>
              <w:jc w:val="right"/>
              <w:rPr>
                <w:rFonts w:ascii="Arial" w:hAnsi="Arial" w:cs="Arial"/>
                <w:b/>
                <w:bCs/>
                <w:color w:val="000000"/>
                <w:sz w:val="14"/>
                <w:szCs w:val="14"/>
                <w:lang w:bidi="th-TH"/>
              </w:rPr>
            </w:pPr>
            <w:r w:rsidRPr="002D2F67">
              <w:rPr>
                <w:rFonts w:ascii="Arial" w:hAnsi="Arial" w:cs="Arial"/>
                <w:b/>
                <w:bCs/>
                <w:color w:val="000000"/>
                <w:sz w:val="14"/>
                <w:szCs w:val="14"/>
                <w:lang w:bidi="th-TH"/>
              </w:rPr>
              <w:t xml:space="preserve">Consolidated and </w:t>
            </w:r>
            <w:r w:rsidR="00114D32" w:rsidRPr="002D2F67">
              <w:rPr>
                <w:rFonts w:ascii="Arial" w:hAnsi="Arial" w:cs="Arial"/>
                <w:b/>
                <w:bCs/>
                <w:color w:val="000000"/>
                <w:sz w:val="14"/>
                <w:szCs w:val="14"/>
                <w:lang w:bidi="th-TH"/>
              </w:rPr>
              <w:t>s</w:t>
            </w:r>
            <w:r w:rsidR="00FF408A" w:rsidRPr="002D2F67">
              <w:rPr>
                <w:rFonts w:ascii="Arial" w:hAnsi="Arial" w:cs="Arial"/>
                <w:b/>
                <w:bCs/>
                <w:color w:val="000000"/>
                <w:sz w:val="14"/>
                <w:szCs w:val="14"/>
                <w:lang w:bidi="th-TH"/>
              </w:rPr>
              <w:t>eparate</w:t>
            </w:r>
            <w:r w:rsidR="00A03259" w:rsidRPr="002D2F67">
              <w:rPr>
                <w:rFonts w:ascii="Arial" w:hAnsi="Arial" w:cs="Arial"/>
                <w:b/>
                <w:bCs/>
                <w:color w:val="000000"/>
                <w:sz w:val="14"/>
                <w:szCs w:val="14"/>
                <w:lang w:bidi="th-TH"/>
              </w:rPr>
              <w:t xml:space="preserve"> financial statements</w:t>
            </w:r>
          </w:p>
        </w:tc>
      </w:tr>
      <w:tr w:rsidR="00FF408A" w:rsidRPr="002D2F67" w14:paraId="5DCF2CCA" w14:textId="77777777" w:rsidTr="005611FE">
        <w:trPr>
          <w:cantSplit/>
          <w:trHeight w:val="57"/>
        </w:trPr>
        <w:tc>
          <w:tcPr>
            <w:tcW w:w="3111" w:type="dxa"/>
            <w:shd w:val="clear" w:color="auto" w:fill="auto"/>
            <w:vAlign w:val="bottom"/>
          </w:tcPr>
          <w:p w14:paraId="11725E5C" w14:textId="77777777" w:rsidR="00FF408A" w:rsidRPr="002D2F67" w:rsidRDefault="00FF408A" w:rsidP="005611FE">
            <w:pPr>
              <w:pStyle w:val="acctfourfigures"/>
              <w:tabs>
                <w:tab w:val="clear" w:pos="765"/>
              </w:tabs>
              <w:spacing w:line="240" w:lineRule="auto"/>
              <w:ind w:left="148" w:right="-72"/>
              <w:jc w:val="center"/>
              <w:rPr>
                <w:rFonts w:ascii="Arial" w:hAnsi="Arial" w:cs="Arial"/>
                <w:b/>
                <w:bCs/>
                <w:color w:val="000000"/>
                <w:sz w:val="14"/>
                <w:szCs w:val="14"/>
                <w:lang w:bidi="th-TH"/>
              </w:rPr>
            </w:pPr>
          </w:p>
        </w:tc>
        <w:tc>
          <w:tcPr>
            <w:tcW w:w="2957" w:type="dxa"/>
            <w:shd w:val="clear" w:color="auto" w:fill="auto"/>
          </w:tcPr>
          <w:p w14:paraId="6B9AB999" w14:textId="77777777" w:rsidR="00FF408A" w:rsidRPr="002D2F67" w:rsidRDefault="00FF408A" w:rsidP="005611FE">
            <w:pPr>
              <w:pStyle w:val="acctfourfigures"/>
              <w:tabs>
                <w:tab w:val="clear" w:pos="765"/>
              </w:tabs>
              <w:spacing w:line="240" w:lineRule="auto"/>
              <w:ind w:left="-36" w:right="-72"/>
              <w:jc w:val="center"/>
              <w:rPr>
                <w:rFonts w:ascii="Arial" w:hAnsi="Arial" w:cs="Arial"/>
                <w:b/>
                <w:bCs/>
                <w:color w:val="000000"/>
                <w:sz w:val="14"/>
                <w:szCs w:val="14"/>
                <w:lang w:bidi="th-TH"/>
              </w:rPr>
            </w:pPr>
          </w:p>
        </w:tc>
        <w:tc>
          <w:tcPr>
            <w:tcW w:w="2116" w:type="dxa"/>
            <w:gridSpan w:val="2"/>
            <w:tcBorders>
              <w:top w:val="single" w:sz="4" w:space="0" w:color="auto"/>
              <w:bottom w:val="single" w:sz="4" w:space="0" w:color="auto"/>
            </w:tcBorders>
            <w:shd w:val="clear" w:color="auto" w:fill="auto"/>
            <w:vAlign w:val="bottom"/>
          </w:tcPr>
          <w:p w14:paraId="29CF1C0B" w14:textId="77777777" w:rsidR="00FF408A" w:rsidRPr="002D2F67" w:rsidRDefault="00FF408A" w:rsidP="005611FE">
            <w:pPr>
              <w:pStyle w:val="acctfourfigures"/>
              <w:tabs>
                <w:tab w:val="clear" w:pos="765"/>
              </w:tabs>
              <w:spacing w:line="240" w:lineRule="auto"/>
              <w:ind w:left="-36" w:right="-72"/>
              <w:jc w:val="center"/>
              <w:rPr>
                <w:rFonts w:ascii="Arial" w:hAnsi="Arial" w:cs="Arial"/>
                <w:b/>
                <w:bCs/>
                <w:color w:val="000000"/>
                <w:sz w:val="14"/>
                <w:szCs w:val="14"/>
                <w:lang w:bidi="th-TH"/>
              </w:rPr>
            </w:pPr>
            <w:r w:rsidRPr="002D2F67">
              <w:rPr>
                <w:rFonts w:ascii="Arial" w:hAnsi="Arial" w:cs="Arial"/>
                <w:b/>
                <w:bCs/>
                <w:color w:val="000000"/>
                <w:sz w:val="14"/>
                <w:szCs w:val="14"/>
                <w:lang w:bidi="th-TH"/>
              </w:rPr>
              <w:t>Portion of ordinary shares held by the Company</w:t>
            </w:r>
          </w:p>
        </w:tc>
        <w:tc>
          <w:tcPr>
            <w:tcW w:w="2114" w:type="dxa"/>
            <w:gridSpan w:val="2"/>
            <w:tcBorders>
              <w:top w:val="single" w:sz="4" w:space="0" w:color="auto"/>
              <w:bottom w:val="single" w:sz="4" w:space="0" w:color="auto"/>
            </w:tcBorders>
            <w:shd w:val="clear" w:color="auto" w:fill="auto"/>
            <w:vAlign w:val="bottom"/>
          </w:tcPr>
          <w:p w14:paraId="09739669" w14:textId="07411E35" w:rsidR="00FF408A" w:rsidRPr="002D2F67" w:rsidRDefault="00FF408A" w:rsidP="005611FE">
            <w:pPr>
              <w:pStyle w:val="acctfourfigures"/>
              <w:tabs>
                <w:tab w:val="clear" w:pos="765"/>
              </w:tabs>
              <w:spacing w:line="240" w:lineRule="auto"/>
              <w:ind w:left="-36" w:right="-72"/>
              <w:jc w:val="center"/>
              <w:rPr>
                <w:rFonts w:ascii="Arial" w:hAnsi="Arial" w:cs="Arial"/>
                <w:b/>
                <w:bCs/>
                <w:color w:val="000000"/>
                <w:sz w:val="14"/>
                <w:szCs w:val="14"/>
                <w:lang w:bidi="th-TH"/>
              </w:rPr>
            </w:pPr>
            <w:r w:rsidRPr="002D2F67">
              <w:rPr>
                <w:rFonts w:ascii="Arial" w:hAnsi="Arial" w:cs="Arial"/>
                <w:b/>
                <w:bCs/>
                <w:color w:val="000000"/>
                <w:sz w:val="14"/>
                <w:szCs w:val="14"/>
                <w:lang w:bidi="th-TH"/>
              </w:rPr>
              <w:t xml:space="preserve">Portion of ordinary shares held by the </w:t>
            </w:r>
            <w:r w:rsidR="00F90A5B" w:rsidRPr="002D2F67">
              <w:rPr>
                <w:rFonts w:ascii="Arial" w:hAnsi="Arial" w:cs="Arial"/>
                <w:b/>
                <w:bCs/>
                <w:color w:val="000000"/>
                <w:sz w:val="14"/>
                <w:szCs w:val="14"/>
                <w:lang w:bidi="th-TH"/>
              </w:rPr>
              <w:t>subsidiaries</w:t>
            </w:r>
          </w:p>
        </w:tc>
        <w:tc>
          <w:tcPr>
            <w:tcW w:w="2114" w:type="dxa"/>
            <w:gridSpan w:val="2"/>
            <w:tcBorders>
              <w:top w:val="single" w:sz="4" w:space="0" w:color="auto"/>
              <w:bottom w:val="single" w:sz="4" w:space="0" w:color="auto"/>
            </w:tcBorders>
            <w:shd w:val="clear" w:color="auto" w:fill="auto"/>
            <w:vAlign w:val="bottom"/>
          </w:tcPr>
          <w:p w14:paraId="325DE767" w14:textId="77777777" w:rsidR="00FF408A" w:rsidRPr="002D2F67" w:rsidRDefault="00FF408A" w:rsidP="005611FE">
            <w:pPr>
              <w:pStyle w:val="acctfourfigures"/>
              <w:tabs>
                <w:tab w:val="clear" w:pos="765"/>
                <w:tab w:val="left" w:pos="1168"/>
              </w:tabs>
              <w:spacing w:line="240" w:lineRule="auto"/>
              <w:ind w:left="-36" w:right="-72"/>
              <w:jc w:val="center"/>
              <w:rPr>
                <w:rFonts w:ascii="Arial" w:hAnsi="Arial" w:cs="Arial"/>
                <w:b/>
                <w:bCs/>
                <w:color w:val="000000"/>
                <w:sz w:val="14"/>
                <w:szCs w:val="14"/>
                <w:lang w:bidi="th-TH"/>
              </w:rPr>
            </w:pPr>
            <w:r w:rsidRPr="002D2F67">
              <w:rPr>
                <w:rFonts w:ascii="Arial" w:hAnsi="Arial" w:cs="Arial"/>
                <w:b/>
                <w:bCs/>
                <w:color w:val="000000"/>
                <w:sz w:val="14"/>
                <w:szCs w:val="14"/>
                <w:lang w:bidi="th-TH"/>
              </w:rPr>
              <w:t xml:space="preserve">Cost </w:t>
            </w:r>
            <w:r w:rsidR="00114D32" w:rsidRPr="002D2F67">
              <w:rPr>
                <w:rFonts w:ascii="Arial" w:hAnsi="Arial" w:cs="Arial"/>
                <w:b/>
                <w:bCs/>
                <w:color w:val="000000"/>
                <w:sz w:val="14"/>
                <w:szCs w:val="14"/>
                <w:lang w:bidi="th-TH"/>
              </w:rPr>
              <w:t>m</w:t>
            </w:r>
            <w:r w:rsidRPr="002D2F67">
              <w:rPr>
                <w:rFonts w:ascii="Arial" w:hAnsi="Arial" w:cs="Arial"/>
                <w:b/>
                <w:bCs/>
                <w:color w:val="000000"/>
                <w:sz w:val="14"/>
                <w:szCs w:val="14"/>
                <w:lang w:bidi="th-TH"/>
              </w:rPr>
              <w:t>ethod</w:t>
            </w:r>
          </w:p>
        </w:tc>
        <w:tc>
          <w:tcPr>
            <w:tcW w:w="2114" w:type="dxa"/>
            <w:gridSpan w:val="2"/>
            <w:tcBorders>
              <w:top w:val="single" w:sz="4" w:space="0" w:color="auto"/>
              <w:bottom w:val="single" w:sz="4" w:space="0" w:color="auto"/>
            </w:tcBorders>
            <w:shd w:val="clear" w:color="auto" w:fill="auto"/>
            <w:vAlign w:val="bottom"/>
          </w:tcPr>
          <w:p w14:paraId="5783292B" w14:textId="77777777" w:rsidR="00FF408A" w:rsidRPr="002D2F67" w:rsidRDefault="00FF408A" w:rsidP="005611FE">
            <w:pPr>
              <w:pStyle w:val="acctfourfigures"/>
              <w:tabs>
                <w:tab w:val="clear" w:pos="765"/>
              </w:tabs>
              <w:spacing w:line="240" w:lineRule="auto"/>
              <w:ind w:right="-45"/>
              <w:jc w:val="center"/>
              <w:rPr>
                <w:rFonts w:ascii="Arial" w:hAnsi="Arial" w:cs="Arial"/>
                <w:b/>
                <w:bCs/>
                <w:color w:val="000000"/>
                <w:sz w:val="14"/>
                <w:szCs w:val="14"/>
                <w:lang w:bidi="th-TH"/>
              </w:rPr>
            </w:pPr>
            <w:r w:rsidRPr="002D2F67">
              <w:rPr>
                <w:rFonts w:ascii="Arial" w:hAnsi="Arial" w:cs="Arial"/>
                <w:b/>
                <w:bCs/>
                <w:color w:val="000000"/>
                <w:sz w:val="14"/>
                <w:szCs w:val="14"/>
                <w:lang w:bidi="th-TH"/>
              </w:rPr>
              <w:t>Dividend for the year</w:t>
            </w:r>
          </w:p>
        </w:tc>
      </w:tr>
      <w:tr w:rsidR="00C53924" w:rsidRPr="002D2F67" w14:paraId="1D894546" w14:textId="77777777" w:rsidTr="005611FE">
        <w:trPr>
          <w:cantSplit/>
          <w:trHeight w:val="57"/>
        </w:trPr>
        <w:tc>
          <w:tcPr>
            <w:tcW w:w="3111" w:type="dxa"/>
            <w:shd w:val="clear" w:color="auto" w:fill="auto"/>
            <w:vAlign w:val="bottom"/>
          </w:tcPr>
          <w:p w14:paraId="6FF616E0" w14:textId="77777777" w:rsidR="00C53924" w:rsidRPr="002D2F67" w:rsidRDefault="00C53924" w:rsidP="005611FE">
            <w:pPr>
              <w:pStyle w:val="acctfourfigures"/>
              <w:tabs>
                <w:tab w:val="clear" w:pos="765"/>
              </w:tabs>
              <w:spacing w:line="240" w:lineRule="auto"/>
              <w:ind w:left="148" w:right="-72"/>
              <w:jc w:val="center"/>
              <w:rPr>
                <w:rFonts w:ascii="Arial" w:hAnsi="Arial" w:cs="Arial"/>
                <w:b/>
                <w:bCs/>
                <w:color w:val="000000"/>
                <w:sz w:val="14"/>
                <w:szCs w:val="14"/>
                <w:lang w:bidi="th-TH"/>
              </w:rPr>
            </w:pPr>
          </w:p>
        </w:tc>
        <w:tc>
          <w:tcPr>
            <w:tcW w:w="2957" w:type="dxa"/>
            <w:shd w:val="clear" w:color="auto" w:fill="auto"/>
          </w:tcPr>
          <w:p w14:paraId="4ED872E1" w14:textId="77777777" w:rsidR="00C53924" w:rsidRPr="002D2F67" w:rsidRDefault="00C53924" w:rsidP="005611FE">
            <w:pPr>
              <w:pStyle w:val="acctfourfigures"/>
              <w:tabs>
                <w:tab w:val="clear" w:pos="765"/>
              </w:tabs>
              <w:spacing w:line="240" w:lineRule="auto"/>
              <w:ind w:left="-36" w:right="-72"/>
              <w:jc w:val="right"/>
              <w:rPr>
                <w:rFonts w:ascii="Arial" w:hAnsi="Arial" w:cs="Arial"/>
                <w:b/>
                <w:bCs/>
                <w:color w:val="000000"/>
                <w:spacing w:val="-4"/>
                <w:sz w:val="14"/>
                <w:szCs w:val="14"/>
                <w:lang w:bidi="th-TH"/>
              </w:rPr>
            </w:pPr>
          </w:p>
        </w:tc>
        <w:tc>
          <w:tcPr>
            <w:tcW w:w="1058" w:type="dxa"/>
            <w:tcBorders>
              <w:top w:val="single" w:sz="4" w:space="0" w:color="auto"/>
            </w:tcBorders>
            <w:shd w:val="clear" w:color="auto" w:fill="auto"/>
            <w:vAlign w:val="bottom"/>
          </w:tcPr>
          <w:p w14:paraId="60BC03F8" w14:textId="790E3D15" w:rsidR="00C53924" w:rsidRPr="002D2F67" w:rsidRDefault="00CD5714"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C53924" w:rsidRPr="002D2F67">
              <w:rPr>
                <w:rFonts w:ascii="Arial" w:hAnsi="Arial" w:cs="Arial"/>
                <w:b/>
                <w:bCs/>
                <w:color w:val="000000"/>
                <w:sz w:val="14"/>
                <w:szCs w:val="14"/>
                <w:lang w:bidi="th-TH"/>
              </w:rPr>
              <w:t xml:space="preserve"> December</w:t>
            </w:r>
          </w:p>
          <w:p w14:paraId="27F11FF4" w14:textId="612250CF" w:rsidR="00C53924" w:rsidRPr="002D2F67" w:rsidRDefault="00CD5714" w:rsidP="005611FE">
            <w:pPr>
              <w:pStyle w:val="acctfourfigures"/>
              <w:tabs>
                <w:tab w:val="clear" w:pos="765"/>
              </w:tabs>
              <w:spacing w:line="240" w:lineRule="auto"/>
              <w:ind w:left="-36" w:right="-72"/>
              <w:jc w:val="right"/>
              <w:rPr>
                <w:rFonts w:ascii="Arial" w:hAnsi="Arial" w:cs="Arial"/>
                <w:b/>
                <w:bCs/>
                <w:color w:val="000000"/>
                <w:spacing w:val="-4"/>
                <w:sz w:val="14"/>
                <w:szCs w:val="14"/>
                <w:lang w:bidi="th-TH"/>
              </w:rPr>
            </w:pPr>
            <w:r w:rsidRPr="00CD5714">
              <w:rPr>
                <w:rFonts w:ascii="Arial" w:hAnsi="Arial" w:cs="Arial"/>
                <w:b/>
                <w:bCs/>
                <w:color w:val="000000"/>
                <w:sz w:val="14"/>
                <w:szCs w:val="14"/>
                <w:lang w:val="en-GB" w:bidi="th-TH"/>
              </w:rPr>
              <w:t>2024</w:t>
            </w:r>
          </w:p>
        </w:tc>
        <w:tc>
          <w:tcPr>
            <w:tcW w:w="1058" w:type="dxa"/>
            <w:tcBorders>
              <w:top w:val="single" w:sz="4" w:space="0" w:color="auto"/>
            </w:tcBorders>
            <w:shd w:val="clear" w:color="auto" w:fill="auto"/>
            <w:vAlign w:val="bottom"/>
          </w:tcPr>
          <w:p w14:paraId="6863ABD4" w14:textId="66DEDD36" w:rsidR="00C53924" w:rsidRPr="002D2F67" w:rsidRDefault="00CD5714"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C53924" w:rsidRPr="002D2F67">
              <w:rPr>
                <w:rFonts w:ascii="Arial" w:hAnsi="Arial" w:cs="Arial"/>
                <w:b/>
                <w:bCs/>
                <w:color w:val="000000"/>
                <w:sz w:val="14"/>
                <w:szCs w:val="14"/>
                <w:lang w:bidi="th-TH"/>
              </w:rPr>
              <w:t xml:space="preserve"> December</w:t>
            </w:r>
          </w:p>
          <w:p w14:paraId="52C3DC33" w14:textId="41CC27D6" w:rsidR="00C53924" w:rsidRPr="002D2F67" w:rsidRDefault="00CD5714" w:rsidP="005611FE">
            <w:pPr>
              <w:pStyle w:val="acctfourfigures"/>
              <w:tabs>
                <w:tab w:val="clear" w:pos="765"/>
              </w:tabs>
              <w:spacing w:line="240" w:lineRule="auto"/>
              <w:ind w:left="-36" w:right="-72"/>
              <w:jc w:val="right"/>
              <w:rPr>
                <w:rFonts w:ascii="Arial" w:hAnsi="Arial" w:cs="Arial"/>
                <w:b/>
                <w:bCs/>
                <w:color w:val="000000"/>
                <w:spacing w:val="-4"/>
                <w:sz w:val="14"/>
                <w:szCs w:val="14"/>
                <w:lang w:bidi="th-TH"/>
              </w:rPr>
            </w:pPr>
            <w:r w:rsidRPr="00CD5714">
              <w:rPr>
                <w:rFonts w:ascii="Arial" w:hAnsi="Arial" w:cs="Arial"/>
                <w:b/>
                <w:bCs/>
                <w:color w:val="000000"/>
                <w:sz w:val="14"/>
                <w:szCs w:val="14"/>
                <w:lang w:val="en-GB" w:bidi="th-TH"/>
              </w:rPr>
              <w:t>2023</w:t>
            </w:r>
          </w:p>
        </w:tc>
        <w:tc>
          <w:tcPr>
            <w:tcW w:w="1057" w:type="dxa"/>
            <w:tcBorders>
              <w:top w:val="single" w:sz="4" w:space="0" w:color="auto"/>
            </w:tcBorders>
            <w:shd w:val="clear" w:color="auto" w:fill="auto"/>
            <w:vAlign w:val="bottom"/>
          </w:tcPr>
          <w:p w14:paraId="72EA80D8" w14:textId="1F49D0DD" w:rsidR="00C53924" w:rsidRPr="002D2F67" w:rsidRDefault="00CD5714"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C53924" w:rsidRPr="002D2F67">
              <w:rPr>
                <w:rFonts w:ascii="Arial" w:hAnsi="Arial" w:cs="Arial"/>
                <w:b/>
                <w:bCs/>
                <w:color w:val="000000"/>
                <w:sz w:val="14"/>
                <w:szCs w:val="14"/>
                <w:lang w:bidi="th-TH"/>
              </w:rPr>
              <w:t xml:space="preserve"> December</w:t>
            </w:r>
          </w:p>
          <w:p w14:paraId="3779D28B" w14:textId="46D6DBC5" w:rsidR="00C53924" w:rsidRPr="002D2F67" w:rsidRDefault="00CD5714" w:rsidP="005611FE">
            <w:pPr>
              <w:pStyle w:val="acctfourfigures"/>
              <w:tabs>
                <w:tab w:val="clear" w:pos="765"/>
              </w:tabs>
              <w:spacing w:line="240" w:lineRule="auto"/>
              <w:ind w:left="-36" w:right="-72"/>
              <w:jc w:val="right"/>
              <w:rPr>
                <w:rFonts w:ascii="Arial" w:hAnsi="Arial" w:cs="Arial"/>
                <w:b/>
                <w:bCs/>
                <w:color w:val="000000"/>
                <w:spacing w:val="-4"/>
                <w:sz w:val="14"/>
                <w:szCs w:val="14"/>
                <w:lang w:bidi="th-TH"/>
              </w:rPr>
            </w:pPr>
            <w:r w:rsidRPr="00CD5714">
              <w:rPr>
                <w:rFonts w:ascii="Arial" w:hAnsi="Arial" w:cs="Arial"/>
                <w:b/>
                <w:bCs/>
                <w:color w:val="000000"/>
                <w:sz w:val="14"/>
                <w:szCs w:val="14"/>
                <w:lang w:val="en-GB" w:bidi="th-TH"/>
              </w:rPr>
              <w:t>2024</w:t>
            </w:r>
          </w:p>
        </w:tc>
        <w:tc>
          <w:tcPr>
            <w:tcW w:w="1057" w:type="dxa"/>
            <w:tcBorders>
              <w:top w:val="single" w:sz="4" w:space="0" w:color="auto"/>
            </w:tcBorders>
            <w:shd w:val="clear" w:color="auto" w:fill="auto"/>
            <w:vAlign w:val="bottom"/>
          </w:tcPr>
          <w:p w14:paraId="78D11192" w14:textId="0C2A7009" w:rsidR="00C53924" w:rsidRPr="002D2F67" w:rsidRDefault="00CD5714"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C53924" w:rsidRPr="002D2F67">
              <w:rPr>
                <w:rFonts w:ascii="Arial" w:hAnsi="Arial" w:cs="Arial"/>
                <w:b/>
                <w:bCs/>
                <w:color w:val="000000"/>
                <w:sz w:val="14"/>
                <w:szCs w:val="14"/>
                <w:lang w:bidi="th-TH"/>
              </w:rPr>
              <w:t xml:space="preserve"> December</w:t>
            </w:r>
          </w:p>
          <w:p w14:paraId="20DA23F0" w14:textId="7683C343" w:rsidR="00C53924" w:rsidRPr="002D2F67" w:rsidRDefault="00CD5714" w:rsidP="005611FE">
            <w:pPr>
              <w:pStyle w:val="acctfourfigures"/>
              <w:tabs>
                <w:tab w:val="clear" w:pos="765"/>
              </w:tabs>
              <w:spacing w:line="240" w:lineRule="auto"/>
              <w:ind w:left="-36" w:right="-72"/>
              <w:jc w:val="right"/>
              <w:rPr>
                <w:rFonts w:ascii="Arial" w:hAnsi="Arial" w:cs="Arial"/>
                <w:b/>
                <w:bCs/>
                <w:color w:val="000000"/>
                <w:spacing w:val="-4"/>
                <w:sz w:val="14"/>
                <w:szCs w:val="14"/>
                <w:lang w:bidi="th-TH"/>
              </w:rPr>
            </w:pPr>
            <w:r w:rsidRPr="00CD5714">
              <w:rPr>
                <w:rFonts w:ascii="Arial" w:hAnsi="Arial" w:cs="Arial"/>
                <w:b/>
                <w:bCs/>
                <w:color w:val="000000"/>
                <w:sz w:val="14"/>
                <w:szCs w:val="14"/>
                <w:lang w:val="en-GB" w:bidi="th-TH"/>
              </w:rPr>
              <w:t>2023</w:t>
            </w:r>
          </w:p>
        </w:tc>
        <w:tc>
          <w:tcPr>
            <w:tcW w:w="1057" w:type="dxa"/>
            <w:tcBorders>
              <w:top w:val="single" w:sz="4" w:space="0" w:color="auto"/>
            </w:tcBorders>
            <w:shd w:val="clear" w:color="auto" w:fill="auto"/>
            <w:vAlign w:val="bottom"/>
          </w:tcPr>
          <w:p w14:paraId="3521A74B" w14:textId="303C19AD" w:rsidR="00C53924" w:rsidRPr="002D2F67" w:rsidRDefault="00CD5714"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C53924" w:rsidRPr="002D2F67">
              <w:rPr>
                <w:rFonts w:ascii="Arial" w:hAnsi="Arial" w:cs="Arial"/>
                <w:b/>
                <w:bCs/>
                <w:color w:val="000000"/>
                <w:sz w:val="14"/>
                <w:szCs w:val="14"/>
                <w:lang w:bidi="th-TH"/>
              </w:rPr>
              <w:t xml:space="preserve"> December</w:t>
            </w:r>
          </w:p>
          <w:p w14:paraId="29CD8130" w14:textId="6666642D" w:rsidR="00C53924" w:rsidRPr="002D2F67" w:rsidRDefault="00CD5714" w:rsidP="005611FE">
            <w:pPr>
              <w:pStyle w:val="acctfourfigures"/>
              <w:tabs>
                <w:tab w:val="clear" w:pos="765"/>
              </w:tabs>
              <w:spacing w:line="240" w:lineRule="auto"/>
              <w:ind w:left="-36" w:right="-72"/>
              <w:jc w:val="right"/>
              <w:rPr>
                <w:rFonts w:ascii="Arial" w:hAnsi="Arial" w:cs="Arial"/>
                <w:b/>
                <w:bCs/>
                <w:color w:val="000000"/>
                <w:spacing w:val="-4"/>
                <w:sz w:val="14"/>
                <w:szCs w:val="14"/>
                <w:lang w:bidi="th-TH"/>
              </w:rPr>
            </w:pPr>
            <w:r w:rsidRPr="00CD5714">
              <w:rPr>
                <w:rFonts w:ascii="Arial" w:hAnsi="Arial" w:cs="Arial"/>
                <w:b/>
                <w:bCs/>
                <w:color w:val="000000"/>
                <w:sz w:val="14"/>
                <w:szCs w:val="14"/>
                <w:lang w:val="en-GB" w:bidi="th-TH"/>
              </w:rPr>
              <w:t>2024</w:t>
            </w:r>
          </w:p>
        </w:tc>
        <w:tc>
          <w:tcPr>
            <w:tcW w:w="1057" w:type="dxa"/>
            <w:tcBorders>
              <w:top w:val="single" w:sz="4" w:space="0" w:color="auto"/>
            </w:tcBorders>
            <w:shd w:val="clear" w:color="auto" w:fill="auto"/>
            <w:vAlign w:val="bottom"/>
          </w:tcPr>
          <w:p w14:paraId="662B3E7B" w14:textId="19CAD437" w:rsidR="00C53924" w:rsidRPr="002D2F67" w:rsidRDefault="00CD5714"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C53924" w:rsidRPr="002D2F67">
              <w:rPr>
                <w:rFonts w:ascii="Arial" w:hAnsi="Arial" w:cs="Arial"/>
                <w:b/>
                <w:bCs/>
                <w:color w:val="000000"/>
                <w:sz w:val="14"/>
                <w:szCs w:val="14"/>
                <w:lang w:bidi="th-TH"/>
              </w:rPr>
              <w:t xml:space="preserve"> December</w:t>
            </w:r>
          </w:p>
          <w:p w14:paraId="34763F05" w14:textId="37670522" w:rsidR="00C53924" w:rsidRPr="002D2F67" w:rsidRDefault="00CD5714" w:rsidP="005611FE">
            <w:pPr>
              <w:pStyle w:val="acctfourfigures"/>
              <w:tabs>
                <w:tab w:val="clear" w:pos="765"/>
              </w:tabs>
              <w:spacing w:line="240" w:lineRule="auto"/>
              <w:ind w:left="-36" w:right="-72"/>
              <w:jc w:val="right"/>
              <w:rPr>
                <w:rFonts w:ascii="Arial" w:hAnsi="Arial" w:cs="Arial"/>
                <w:b/>
                <w:bCs/>
                <w:color w:val="000000"/>
                <w:spacing w:val="-4"/>
                <w:sz w:val="14"/>
                <w:szCs w:val="14"/>
                <w:lang w:bidi="th-TH"/>
              </w:rPr>
            </w:pPr>
            <w:r w:rsidRPr="00CD5714">
              <w:rPr>
                <w:rFonts w:ascii="Arial" w:hAnsi="Arial" w:cs="Arial"/>
                <w:b/>
                <w:bCs/>
                <w:color w:val="000000"/>
                <w:sz w:val="14"/>
                <w:szCs w:val="14"/>
                <w:lang w:val="en-GB" w:bidi="th-TH"/>
              </w:rPr>
              <w:t>2023</w:t>
            </w:r>
          </w:p>
        </w:tc>
        <w:tc>
          <w:tcPr>
            <w:tcW w:w="1057" w:type="dxa"/>
            <w:tcBorders>
              <w:top w:val="single" w:sz="4" w:space="0" w:color="auto"/>
            </w:tcBorders>
            <w:shd w:val="clear" w:color="auto" w:fill="auto"/>
            <w:vAlign w:val="bottom"/>
          </w:tcPr>
          <w:p w14:paraId="1B3E2EC7" w14:textId="65974F45" w:rsidR="00C53924" w:rsidRPr="002D2F67" w:rsidRDefault="00CD5714"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C53924" w:rsidRPr="002D2F67">
              <w:rPr>
                <w:rFonts w:ascii="Arial" w:hAnsi="Arial" w:cs="Arial"/>
                <w:b/>
                <w:bCs/>
                <w:color w:val="000000"/>
                <w:sz w:val="14"/>
                <w:szCs w:val="14"/>
                <w:lang w:bidi="th-TH"/>
              </w:rPr>
              <w:t xml:space="preserve"> December</w:t>
            </w:r>
          </w:p>
          <w:p w14:paraId="6DFF7A8D" w14:textId="7747D916" w:rsidR="00C53924" w:rsidRPr="002D2F67" w:rsidRDefault="00CD5714" w:rsidP="005611FE">
            <w:pPr>
              <w:pStyle w:val="acctfourfigures"/>
              <w:tabs>
                <w:tab w:val="clear" w:pos="765"/>
              </w:tabs>
              <w:spacing w:line="240" w:lineRule="auto"/>
              <w:ind w:left="-36" w:right="-72"/>
              <w:jc w:val="right"/>
              <w:rPr>
                <w:rFonts w:ascii="Arial" w:hAnsi="Arial" w:cs="Arial"/>
                <w:b/>
                <w:bCs/>
                <w:color w:val="000000"/>
                <w:spacing w:val="-4"/>
                <w:sz w:val="14"/>
                <w:szCs w:val="14"/>
                <w:lang w:bidi="th-TH"/>
              </w:rPr>
            </w:pPr>
            <w:r w:rsidRPr="00CD5714">
              <w:rPr>
                <w:rFonts w:ascii="Arial" w:hAnsi="Arial" w:cs="Arial"/>
                <w:b/>
                <w:bCs/>
                <w:color w:val="000000"/>
                <w:sz w:val="14"/>
                <w:szCs w:val="14"/>
                <w:lang w:val="en-GB" w:bidi="th-TH"/>
              </w:rPr>
              <w:t>2024</w:t>
            </w:r>
          </w:p>
        </w:tc>
        <w:tc>
          <w:tcPr>
            <w:tcW w:w="1057" w:type="dxa"/>
            <w:tcBorders>
              <w:top w:val="single" w:sz="4" w:space="0" w:color="auto"/>
            </w:tcBorders>
            <w:shd w:val="clear" w:color="auto" w:fill="auto"/>
            <w:vAlign w:val="bottom"/>
          </w:tcPr>
          <w:p w14:paraId="22696DDE" w14:textId="51E3FE86" w:rsidR="00C53924" w:rsidRPr="002D2F67" w:rsidRDefault="00CD5714"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C53924" w:rsidRPr="002D2F67">
              <w:rPr>
                <w:rFonts w:ascii="Arial" w:hAnsi="Arial" w:cs="Arial"/>
                <w:b/>
                <w:bCs/>
                <w:color w:val="000000"/>
                <w:sz w:val="14"/>
                <w:szCs w:val="14"/>
                <w:lang w:bidi="th-TH"/>
              </w:rPr>
              <w:t xml:space="preserve"> December</w:t>
            </w:r>
          </w:p>
          <w:p w14:paraId="068AFFF0" w14:textId="7C6647CB" w:rsidR="00C53924" w:rsidRPr="002D2F67" w:rsidRDefault="00CD5714" w:rsidP="005611FE">
            <w:pPr>
              <w:pStyle w:val="acctfourfigures"/>
              <w:tabs>
                <w:tab w:val="clear" w:pos="765"/>
              </w:tabs>
              <w:spacing w:line="240" w:lineRule="auto"/>
              <w:ind w:left="-36" w:right="-72"/>
              <w:jc w:val="right"/>
              <w:rPr>
                <w:rFonts w:ascii="Arial" w:hAnsi="Arial" w:cs="Arial"/>
                <w:b/>
                <w:bCs/>
                <w:color w:val="000000"/>
                <w:spacing w:val="-4"/>
                <w:sz w:val="14"/>
                <w:szCs w:val="14"/>
                <w:lang w:bidi="th-TH"/>
              </w:rPr>
            </w:pPr>
            <w:r w:rsidRPr="00CD5714">
              <w:rPr>
                <w:rFonts w:ascii="Arial" w:hAnsi="Arial" w:cs="Arial"/>
                <w:b/>
                <w:bCs/>
                <w:color w:val="000000"/>
                <w:sz w:val="14"/>
                <w:szCs w:val="14"/>
                <w:lang w:val="en-GB" w:bidi="th-TH"/>
              </w:rPr>
              <w:t>2023</w:t>
            </w:r>
          </w:p>
        </w:tc>
      </w:tr>
      <w:tr w:rsidR="00FF408A" w:rsidRPr="002D2F67" w14:paraId="7B807762" w14:textId="77777777" w:rsidTr="005611FE">
        <w:trPr>
          <w:cantSplit/>
          <w:trHeight w:val="57"/>
        </w:trPr>
        <w:tc>
          <w:tcPr>
            <w:tcW w:w="3111" w:type="dxa"/>
            <w:shd w:val="clear" w:color="auto" w:fill="auto"/>
            <w:vAlign w:val="bottom"/>
          </w:tcPr>
          <w:p w14:paraId="363352EA" w14:textId="77777777" w:rsidR="00FF408A" w:rsidRPr="002D2F67" w:rsidRDefault="00FF408A" w:rsidP="005611FE">
            <w:pPr>
              <w:pStyle w:val="acctfourfigures"/>
              <w:tabs>
                <w:tab w:val="clear" w:pos="765"/>
              </w:tabs>
              <w:spacing w:line="240" w:lineRule="auto"/>
              <w:ind w:left="148" w:right="-72"/>
              <w:jc w:val="center"/>
              <w:rPr>
                <w:rFonts w:ascii="Arial" w:hAnsi="Arial" w:cs="Arial"/>
                <w:b/>
                <w:bCs/>
                <w:color w:val="000000"/>
                <w:sz w:val="14"/>
                <w:szCs w:val="14"/>
                <w:lang w:bidi="th-TH"/>
              </w:rPr>
            </w:pPr>
          </w:p>
        </w:tc>
        <w:tc>
          <w:tcPr>
            <w:tcW w:w="2957" w:type="dxa"/>
            <w:tcBorders>
              <w:bottom w:val="single" w:sz="4" w:space="0" w:color="auto"/>
            </w:tcBorders>
            <w:shd w:val="clear" w:color="auto" w:fill="auto"/>
            <w:vAlign w:val="bottom"/>
          </w:tcPr>
          <w:p w14:paraId="6A00B598" w14:textId="77777777" w:rsidR="00FF408A" w:rsidRPr="002D2F67" w:rsidRDefault="00FF408A" w:rsidP="005611FE">
            <w:pPr>
              <w:pStyle w:val="acctfourfigures"/>
              <w:tabs>
                <w:tab w:val="clear" w:pos="765"/>
              </w:tabs>
              <w:spacing w:line="240" w:lineRule="auto"/>
              <w:ind w:left="-36" w:right="-72"/>
              <w:jc w:val="center"/>
              <w:rPr>
                <w:rFonts w:ascii="Arial" w:hAnsi="Arial" w:cs="Arial"/>
                <w:b/>
                <w:bCs/>
                <w:color w:val="000000"/>
                <w:sz w:val="14"/>
                <w:szCs w:val="14"/>
                <w:lang w:bidi="th-TH"/>
              </w:rPr>
            </w:pPr>
            <w:r w:rsidRPr="002D2F67">
              <w:rPr>
                <w:rFonts w:ascii="Arial" w:hAnsi="Arial" w:cs="Arial"/>
                <w:b/>
                <w:bCs/>
                <w:color w:val="000000"/>
                <w:sz w:val="14"/>
                <w:szCs w:val="14"/>
              </w:rPr>
              <w:t>Business</w:t>
            </w:r>
          </w:p>
        </w:tc>
        <w:tc>
          <w:tcPr>
            <w:tcW w:w="1058" w:type="dxa"/>
            <w:tcBorders>
              <w:bottom w:val="single" w:sz="4" w:space="0" w:color="auto"/>
            </w:tcBorders>
            <w:shd w:val="clear" w:color="auto" w:fill="auto"/>
            <w:vAlign w:val="bottom"/>
          </w:tcPr>
          <w:p w14:paraId="38437936" w14:textId="77777777" w:rsidR="00FF408A" w:rsidRPr="002D2F67" w:rsidRDefault="00FF408A"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2D2F67">
              <w:rPr>
                <w:rFonts w:ascii="Arial" w:hAnsi="Arial" w:cs="Arial"/>
                <w:b/>
                <w:bCs/>
                <w:color w:val="000000"/>
                <w:sz w:val="14"/>
                <w:szCs w:val="14"/>
              </w:rPr>
              <w:t>%</w:t>
            </w:r>
          </w:p>
        </w:tc>
        <w:tc>
          <w:tcPr>
            <w:tcW w:w="1058" w:type="dxa"/>
            <w:tcBorders>
              <w:bottom w:val="single" w:sz="4" w:space="0" w:color="auto"/>
            </w:tcBorders>
            <w:shd w:val="clear" w:color="auto" w:fill="auto"/>
            <w:vAlign w:val="bottom"/>
          </w:tcPr>
          <w:p w14:paraId="0F8DE32A" w14:textId="77777777" w:rsidR="00FF408A" w:rsidRPr="002D2F67" w:rsidRDefault="00FF408A"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2D2F67">
              <w:rPr>
                <w:rFonts w:ascii="Arial" w:hAnsi="Arial" w:cs="Arial"/>
                <w:b/>
                <w:bCs/>
                <w:color w:val="000000"/>
                <w:sz w:val="14"/>
                <w:szCs w:val="14"/>
                <w:lang w:bidi="th-TH"/>
              </w:rPr>
              <w:t>%</w:t>
            </w:r>
          </w:p>
        </w:tc>
        <w:tc>
          <w:tcPr>
            <w:tcW w:w="1057" w:type="dxa"/>
            <w:tcBorders>
              <w:bottom w:val="single" w:sz="4" w:space="0" w:color="auto"/>
            </w:tcBorders>
            <w:shd w:val="clear" w:color="auto" w:fill="auto"/>
            <w:vAlign w:val="bottom"/>
          </w:tcPr>
          <w:p w14:paraId="51506DDE" w14:textId="77777777" w:rsidR="00FF408A" w:rsidRPr="002D2F67" w:rsidRDefault="00FF408A"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2D2F67">
              <w:rPr>
                <w:rFonts w:ascii="Arial" w:hAnsi="Arial" w:cs="Arial"/>
                <w:b/>
                <w:bCs/>
                <w:color w:val="000000"/>
                <w:sz w:val="14"/>
                <w:szCs w:val="14"/>
                <w:lang w:bidi="th-TH"/>
              </w:rPr>
              <w:t>%</w:t>
            </w:r>
          </w:p>
        </w:tc>
        <w:tc>
          <w:tcPr>
            <w:tcW w:w="1057" w:type="dxa"/>
            <w:tcBorders>
              <w:bottom w:val="single" w:sz="4" w:space="0" w:color="auto"/>
            </w:tcBorders>
            <w:shd w:val="clear" w:color="auto" w:fill="auto"/>
            <w:vAlign w:val="bottom"/>
          </w:tcPr>
          <w:p w14:paraId="1593AC8D" w14:textId="77777777" w:rsidR="00FF408A" w:rsidRPr="002D2F67" w:rsidRDefault="00FF408A"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2D2F67">
              <w:rPr>
                <w:rFonts w:ascii="Arial" w:hAnsi="Arial" w:cs="Arial"/>
                <w:b/>
                <w:bCs/>
                <w:color w:val="000000"/>
                <w:sz w:val="14"/>
                <w:szCs w:val="14"/>
                <w:lang w:bidi="th-TH"/>
              </w:rPr>
              <w:t>%</w:t>
            </w:r>
          </w:p>
        </w:tc>
        <w:tc>
          <w:tcPr>
            <w:tcW w:w="1057" w:type="dxa"/>
            <w:tcBorders>
              <w:bottom w:val="single" w:sz="4" w:space="0" w:color="auto"/>
            </w:tcBorders>
            <w:shd w:val="clear" w:color="auto" w:fill="auto"/>
            <w:vAlign w:val="bottom"/>
          </w:tcPr>
          <w:p w14:paraId="5D4F5AF6" w14:textId="01449524" w:rsidR="00FF408A" w:rsidRPr="002D2F67" w:rsidRDefault="00FF408A" w:rsidP="005611FE">
            <w:pPr>
              <w:pStyle w:val="acctfourfigures"/>
              <w:tabs>
                <w:tab w:val="clear" w:pos="765"/>
              </w:tabs>
              <w:spacing w:line="240" w:lineRule="auto"/>
              <w:ind w:right="-72"/>
              <w:jc w:val="right"/>
              <w:rPr>
                <w:rFonts w:ascii="Arial" w:hAnsi="Arial" w:cs="Arial"/>
                <w:b/>
                <w:bCs/>
                <w:color w:val="000000"/>
                <w:sz w:val="14"/>
                <w:szCs w:val="14"/>
                <w:lang w:bidi="th-TH"/>
              </w:rPr>
            </w:pPr>
            <w:r w:rsidRPr="002D2F67">
              <w:rPr>
                <w:rFonts w:ascii="Arial" w:hAnsi="Arial" w:cs="Arial"/>
                <w:b/>
                <w:bCs/>
                <w:color w:val="000000"/>
                <w:sz w:val="14"/>
                <w:szCs w:val="14"/>
              </w:rPr>
              <w:t>Baht</w:t>
            </w:r>
            <w:r w:rsidR="00E548BD" w:rsidRPr="002D2F67">
              <w:rPr>
                <w:rFonts w:ascii="Arial" w:hAnsi="Arial" w:cs="Arial"/>
                <w:b/>
                <w:bCs/>
                <w:color w:val="000000"/>
                <w:sz w:val="14"/>
                <w:szCs w:val="14"/>
              </w:rPr>
              <w:t>’</w:t>
            </w:r>
            <w:r w:rsidR="00CD5714" w:rsidRPr="00CD5714">
              <w:rPr>
                <w:rFonts w:ascii="Arial" w:hAnsi="Arial" w:cs="Arial"/>
                <w:b/>
                <w:bCs/>
                <w:color w:val="000000"/>
                <w:sz w:val="14"/>
                <w:szCs w:val="14"/>
                <w:lang w:val="en-GB"/>
              </w:rPr>
              <w:t>000</w:t>
            </w:r>
          </w:p>
        </w:tc>
        <w:tc>
          <w:tcPr>
            <w:tcW w:w="1057" w:type="dxa"/>
            <w:tcBorders>
              <w:bottom w:val="single" w:sz="4" w:space="0" w:color="auto"/>
            </w:tcBorders>
            <w:shd w:val="clear" w:color="auto" w:fill="auto"/>
            <w:vAlign w:val="bottom"/>
          </w:tcPr>
          <w:p w14:paraId="486182FB" w14:textId="52E247F4" w:rsidR="00FF408A" w:rsidRPr="002D2F67" w:rsidRDefault="00FF408A" w:rsidP="005611FE">
            <w:pPr>
              <w:pStyle w:val="acctfourfigures"/>
              <w:tabs>
                <w:tab w:val="clear" w:pos="765"/>
              </w:tabs>
              <w:spacing w:line="240" w:lineRule="auto"/>
              <w:ind w:right="-72"/>
              <w:jc w:val="right"/>
              <w:rPr>
                <w:rFonts w:ascii="Arial" w:hAnsi="Arial" w:cs="Arial"/>
                <w:b/>
                <w:bCs/>
                <w:color w:val="000000"/>
                <w:sz w:val="14"/>
                <w:szCs w:val="14"/>
                <w:lang w:bidi="th-TH"/>
              </w:rPr>
            </w:pPr>
            <w:r w:rsidRPr="002D2F67">
              <w:rPr>
                <w:rFonts w:ascii="Arial" w:hAnsi="Arial" w:cs="Arial"/>
                <w:b/>
                <w:bCs/>
                <w:color w:val="000000"/>
                <w:sz w:val="14"/>
                <w:szCs w:val="14"/>
              </w:rPr>
              <w:t>Baht</w:t>
            </w:r>
            <w:r w:rsidR="00E548BD" w:rsidRPr="002D2F67">
              <w:rPr>
                <w:rFonts w:ascii="Arial" w:hAnsi="Arial" w:cs="Arial"/>
                <w:b/>
                <w:bCs/>
                <w:color w:val="000000"/>
                <w:sz w:val="14"/>
                <w:szCs w:val="14"/>
              </w:rPr>
              <w:t>’</w:t>
            </w:r>
            <w:r w:rsidR="00CD5714" w:rsidRPr="00CD5714">
              <w:rPr>
                <w:rFonts w:ascii="Arial" w:hAnsi="Arial" w:cs="Arial"/>
                <w:b/>
                <w:bCs/>
                <w:color w:val="000000"/>
                <w:sz w:val="14"/>
                <w:szCs w:val="14"/>
                <w:lang w:val="en-GB"/>
              </w:rPr>
              <w:t>000</w:t>
            </w:r>
          </w:p>
        </w:tc>
        <w:tc>
          <w:tcPr>
            <w:tcW w:w="1057" w:type="dxa"/>
            <w:tcBorders>
              <w:bottom w:val="single" w:sz="4" w:space="0" w:color="auto"/>
            </w:tcBorders>
            <w:shd w:val="clear" w:color="auto" w:fill="auto"/>
            <w:vAlign w:val="bottom"/>
          </w:tcPr>
          <w:p w14:paraId="5FEABB70" w14:textId="29EEE428" w:rsidR="00FF408A" w:rsidRPr="002D2F67" w:rsidRDefault="00FF408A" w:rsidP="005611FE">
            <w:pPr>
              <w:pStyle w:val="acctfourfigures"/>
              <w:tabs>
                <w:tab w:val="clear" w:pos="765"/>
              </w:tabs>
              <w:spacing w:line="240" w:lineRule="auto"/>
              <w:ind w:right="-72"/>
              <w:jc w:val="right"/>
              <w:rPr>
                <w:rFonts w:ascii="Arial" w:hAnsi="Arial" w:cs="Arial"/>
                <w:b/>
                <w:bCs/>
                <w:color w:val="000000"/>
                <w:sz w:val="14"/>
                <w:szCs w:val="14"/>
                <w:lang w:bidi="th-TH"/>
              </w:rPr>
            </w:pPr>
            <w:r w:rsidRPr="002D2F67">
              <w:rPr>
                <w:rFonts w:ascii="Arial" w:hAnsi="Arial" w:cs="Arial"/>
                <w:b/>
                <w:bCs/>
                <w:color w:val="000000"/>
                <w:sz w:val="14"/>
                <w:szCs w:val="14"/>
              </w:rPr>
              <w:t>Baht</w:t>
            </w:r>
            <w:r w:rsidR="00E548BD" w:rsidRPr="002D2F67">
              <w:rPr>
                <w:rFonts w:ascii="Arial" w:hAnsi="Arial" w:cs="Arial"/>
                <w:b/>
                <w:bCs/>
                <w:color w:val="000000"/>
                <w:sz w:val="14"/>
                <w:szCs w:val="14"/>
              </w:rPr>
              <w:t>’</w:t>
            </w:r>
            <w:r w:rsidR="00CD5714" w:rsidRPr="00CD5714">
              <w:rPr>
                <w:rFonts w:ascii="Arial" w:hAnsi="Arial" w:cs="Arial"/>
                <w:b/>
                <w:bCs/>
                <w:color w:val="000000"/>
                <w:sz w:val="14"/>
                <w:szCs w:val="14"/>
                <w:lang w:val="en-GB"/>
              </w:rPr>
              <w:t>000</w:t>
            </w:r>
          </w:p>
        </w:tc>
        <w:tc>
          <w:tcPr>
            <w:tcW w:w="1057" w:type="dxa"/>
            <w:tcBorders>
              <w:bottom w:val="single" w:sz="4" w:space="0" w:color="auto"/>
            </w:tcBorders>
            <w:shd w:val="clear" w:color="auto" w:fill="auto"/>
            <w:vAlign w:val="bottom"/>
          </w:tcPr>
          <w:p w14:paraId="4B2592E0" w14:textId="11613A3F" w:rsidR="00FF408A" w:rsidRPr="002D2F67" w:rsidRDefault="00FF408A" w:rsidP="005611FE">
            <w:pPr>
              <w:pStyle w:val="acctfourfigures"/>
              <w:tabs>
                <w:tab w:val="clear" w:pos="765"/>
              </w:tabs>
              <w:spacing w:line="240" w:lineRule="auto"/>
              <w:ind w:right="-72"/>
              <w:jc w:val="right"/>
              <w:rPr>
                <w:rFonts w:ascii="Arial" w:hAnsi="Arial" w:cs="Arial"/>
                <w:b/>
                <w:bCs/>
                <w:color w:val="000000"/>
                <w:sz w:val="14"/>
                <w:szCs w:val="14"/>
                <w:lang w:bidi="th-TH"/>
              </w:rPr>
            </w:pPr>
            <w:r w:rsidRPr="002D2F67">
              <w:rPr>
                <w:rFonts w:ascii="Arial" w:hAnsi="Arial" w:cs="Arial"/>
                <w:b/>
                <w:bCs/>
                <w:color w:val="000000"/>
                <w:sz w:val="14"/>
                <w:szCs w:val="14"/>
              </w:rPr>
              <w:t>Baht</w:t>
            </w:r>
            <w:r w:rsidR="00E548BD" w:rsidRPr="002D2F67">
              <w:rPr>
                <w:rFonts w:ascii="Arial" w:hAnsi="Arial" w:cs="Arial"/>
                <w:b/>
                <w:bCs/>
                <w:color w:val="000000"/>
                <w:sz w:val="14"/>
                <w:szCs w:val="14"/>
              </w:rPr>
              <w:t>’</w:t>
            </w:r>
            <w:r w:rsidR="00CD5714" w:rsidRPr="00CD5714">
              <w:rPr>
                <w:rFonts w:ascii="Arial" w:hAnsi="Arial" w:cs="Arial"/>
                <w:b/>
                <w:bCs/>
                <w:color w:val="000000"/>
                <w:sz w:val="14"/>
                <w:szCs w:val="14"/>
                <w:lang w:val="en-GB"/>
              </w:rPr>
              <w:t>000</w:t>
            </w:r>
          </w:p>
        </w:tc>
      </w:tr>
      <w:tr w:rsidR="00FF408A" w:rsidRPr="002D2F67" w14:paraId="6D9EABF9" w14:textId="77777777" w:rsidTr="005611FE">
        <w:trPr>
          <w:cantSplit/>
          <w:trHeight w:val="57"/>
        </w:trPr>
        <w:tc>
          <w:tcPr>
            <w:tcW w:w="3111" w:type="dxa"/>
            <w:shd w:val="clear" w:color="auto" w:fill="auto"/>
          </w:tcPr>
          <w:p w14:paraId="0A70ECE8" w14:textId="77777777" w:rsidR="00FF408A" w:rsidRPr="002D2F67" w:rsidRDefault="00FF408A" w:rsidP="005611FE">
            <w:pPr>
              <w:pStyle w:val="acctfourfigures"/>
              <w:tabs>
                <w:tab w:val="clear" w:pos="765"/>
              </w:tabs>
              <w:spacing w:line="240" w:lineRule="auto"/>
              <w:ind w:left="148" w:right="-72"/>
              <w:rPr>
                <w:rFonts w:ascii="Arial" w:hAnsi="Arial" w:cs="Arial"/>
                <w:color w:val="000000"/>
                <w:sz w:val="14"/>
                <w:szCs w:val="14"/>
                <w:lang w:bidi="th-TH"/>
              </w:rPr>
            </w:pPr>
          </w:p>
        </w:tc>
        <w:tc>
          <w:tcPr>
            <w:tcW w:w="2957" w:type="dxa"/>
            <w:tcBorders>
              <w:top w:val="single" w:sz="4" w:space="0" w:color="auto"/>
            </w:tcBorders>
            <w:shd w:val="clear" w:color="auto" w:fill="auto"/>
          </w:tcPr>
          <w:p w14:paraId="293D2EF7" w14:textId="77777777" w:rsidR="00FF408A" w:rsidRPr="002D2F67" w:rsidRDefault="00FF408A" w:rsidP="005611FE">
            <w:pPr>
              <w:pStyle w:val="acctfourfigures"/>
              <w:tabs>
                <w:tab w:val="clear" w:pos="765"/>
              </w:tabs>
              <w:spacing w:line="240" w:lineRule="auto"/>
              <w:ind w:right="-72"/>
              <w:rPr>
                <w:rFonts w:ascii="Arial" w:hAnsi="Arial" w:cs="Arial"/>
                <w:color w:val="000000"/>
                <w:sz w:val="14"/>
                <w:szCs w:val="14"/>
                <w:lang w:bidi="th-TH"/>
              </w:rPr>
            </w:pPr>
          </w:p>
        </w:tc>
        <w:tc>
          <w:tcPr>
            <w:tcW w:w="1058" w:type="dxa"/>
            <w:tcBorders>
              <w:top w:val="single" w:sz="4" w:space="0" w:color="auto"/>
            </w:tcBorders>
            <w:shd w:val="clear" w:color="auto" w:fill="auto"/>
          </w:tcPr>
          <w:p w14:paraId="2B3F736D" w14:textId="77777777" w:rsidR="00FF408A" w:rsidRPr="002D2F67" w:rsidRDefault="00FF408A" w:rsidP="005611FE">
            <w:pPr>
              <w:pStyle w:val="acctfourfigures"/>
              <w:tabs>
                <w:tab w:val="clear" w:pos="765"/>
                <w:tab w:val="decimal" w:pos="550"/>
              </w:tabs>
              <w:spacing w:line="240" w:lineRule="auto"/>
              <w:ind w:right="-72"/>
              <w:jc w:val="right"/>
              <w:rPr>
                <w:rFonts w:ascii="Arial" w:hAnsi="Arial" w:cs="Arial"/>
                <w:color w:val="000000"/>
                <w:sz w:val="14"/>
                <w:szCs w:val="14"/>
                <w:lang w:bidi="th-TH"/>
              </w:rPr>
            </w:pPr>
          </w:p>
        </w:tc>
        <w:tc>
          <w:tcPr>
            <w:tcW w:w="1058" w:type="dxa"/>
            <w:tcBorders>
              <w:top w:val="single" w:sz="4" w:space="0" w:color="auto"/>
            </w:tcBorders>
            <w:shd w:val="clear" w:color="auto" w:fill="auto"/>
          </w:tcPr>
          <w:p w14:paraId="3C3BF131" w14:textId="77777777" w:rsidR="00FF408A" w:rsidRPr="002D2F67" w:rsidRDefault="00FF408A" w:rsidP="005611FE">
            <w:pPr>
              <w:pStyle w:val="acctfourfigures"/>
              <w:tabs>
                <w:tab w:val="clear" w:pos="765"/>
                <w:tab w:val="decimal" w:pos="550"/>
              </w:tabs>
              <w:spacing w:line="240" w:lineRule="auto"/>
              <w:ind w:right="-72"/>
              <w:jc w:val="right"/>
              <w:rPr>
                <w:rFonts w:ascii="Arial" w:hAnsi="Arial" w:cs="Arial"/>
                <w:color w:val="000000"/>
                <w:sz w:val="14"/>
                <w:szCs w:val="14"/>
                <w:lang w:bidi="th-TH"/>
              </w:rPr>
            </w:pPr>
          </w:p>
        </w:tc>
        <w:tc>
          <w:tcPr>
            <w:tcW w:w="1057" w:type="dxa"/>
            <w:tcBorders>
              <w:top w:val="single" w:sz="4" w:space="0" w:color="auto"/>
            </w:tcBorders>
            <w:shd w:val="clear" w:color="auto" w:fill="auto"/>
          </w:tcPr>
          <w:p w14:paraId="62A0C169" w14:textId="77777777" w:rsidR="00FF408A" w:rsidRPr="002D2F67" w:rsidRDefault="00FF408A" w:rsidP="005611FE">
            <w:pPr>
              <w:pStyle w:val="acctfourfigures"/>
              <w:tabs>
                <w:tab w:val="clear" w:pos="765"/>
                <w:tab w:val="decimal" w:pos="550"/>
              </w:tabs>
              <w:spacing w:line="240" w:lineRule="auto"/>
              <w:ind w:right="-72"/>
              <w:jc w:val="right"/>
              <w:rPr>
                <w:rFonts w:ascii="Arial" w:hAnsi="Arial" w:cs="Arial"/>
                <w:color w:val="000000"/>
                <w:sz w:val="14"/>
                <w:szCs w:val="14"/>
                <w:lang w:bidi="th-TH"/>
              </w:rPr>
            </w:pPr>
          </w:p>
        </w:tc>
        <w:tc>
          <w:tcPr>
            <w:tcW w:w="1057" w:type="dxa"/>
            <w:tcBorders>
              <w:top w:val="single" w:sz="4" w:space="0" w:color="auto"/>
            </w:tcBorders>
            <w:shd w:val="clear" w:color="auto" w:fill="auto"/>
          </w:tcPr>
          <w:p w14:paraId="4C28C677" w14:textId="77777777" w:rsidR="00FF408A" w:rsidRPr="002D2F67" w:rsidRDefault="00FF408A" w:rsidP="005611FE">
            <w:pPr>
              <w:pStyle w:val="acctfourfigures"/>
              <w:tabs>
                <w:tab w:val="clear" w:pos="765"/>
                <w:tab w:val="decimal" w:pos="550"/>
              </w:tabs>
              <w:spacing w:line="240" w:lineRule="auto"/>
              <w:ind w:right="-72"/>
              <w:jc w:val="right"/>
              <w:rPr>
                <w:rFonts w:ascii="Arial" w:hAnsi="Arial" w:cs="Arial"/>
                <w:color w:val="000000"/>
                <w:sz w:val="14"/>
                <w:szCs w:val="14"/>
                <w:lang w:bidi="th-TH"/>
              </w:rPr>
            </w:pPr>
          </w:p>
        </w:tc>
        <w:tc>
          <w:tcPr>
            <w:tcW w:w="1057" w:type="dxa"/>
            <w:tcBorders>
              <w:top w:val="single" w:sz="4" w:space="0" w:color="auto"/>
            </w:tcBorders>
            <w:shd w:val="clear" w:color="auto" w:fill="auto"/>
          </w:tcPr>
          <w:p w14:paraId="53529D98" w14:textId="77777777" w:rsidR="00FF408A" w:rsidRPr="002D2F67" w:rsidRDefault="00FF408A" w:rsidP="005611FE">
            <w:pPr>
              <w:pStyle w:val="acctfourfigures"/>
              <w:tabs>
                <w:tab w:val="clear" w:pos="765"/>
                <w:tab w:val="decimal" w:pos="550"/>
              </w:tabs>
              <w:spacing w:line="240" w:lineRule="auto"/>
              <w:ind w:right="-72"/>
              <w:jc w:val="right"/>
              <w:rPr>
                <w:rFonts w:ascii="Arial" w:hAnsi="Arial" w:cs="Arial"/>
                <w:color w:val="000000"/>
                <w:sz w:val="14"/>
                <w:szCs w:val="14"/>
                <w:lang w:bidi="th-TH"/>
              </w:rPr>
            </w:pPr>
          </w:p>
        </w:tc>
        <w:tc>
          <w:tcPr>
            <w:tcW w:w="1057" w:type="dxa"/>
            <w:tcBorders>
              <w:top w:val="single" w:sz="4" w:space="0" w:color="auto"/>
            </w:tcBorders>
            <w:shd w:val="clear" w:color="auto" w:fill="auto"/>
          </w:tcPr>
          <w:p w14:paraId="2374AC4F" w14:textId="77777777" w:rsidR="00FF408A" w:rsidRPr="002D2F67" w:rsidRDefault="00FF408A" w:rsidP="005611FE">
            <w:pPr>
              <w:pStyle w:val="acctfourfigures"/>
              <w:tabs>
                <w:tab w:val="clear" w:pos="765"/>
                <w:tab w:val="decimal" w:pos="550"/>
              </w:tabs>
              <w:spacing w:line="240" w:lineRule="auto"/>
              <w:ind w:right="-72"/>
              <w:jc w:val="right"/>
              <w:rPr>
                <w:rFonts w:ascii="Arial" w:hAnsi="Arial" w:cs="Arial"/>
                <w:color w:val="000000"/>
                <w:sz w:val="14"/>
                <w:szCs w:val="14"/>
                <w:lang w:bidi="th-TH"/>
              </w:rPr>
            </w:pPr>
          </w:p>
        </w:tc>
        <w:tc>
          <w:tcPr>
            <w:tcW w:w="1057" w:type="dxa"/>
            <w:tcBorders>
              <w:top w:val="single" w:sz="4" w:space="0" w:color="auto"/>
            </w:tcBorders>
            <w:shd w:val="clear" w:color="auto" w:fill="auto"/>
          </w:tcPr>
          <w:p w14:paraId="4E030F3E" w14:textId="77777777" w:rsidR="00FF408A" w:rsidRPr="002D2F67" w:rsidRDefault="00FF408A" w:rsidP="005611FE">
            <w:pPr>
              <w:pStyle w:val="acctfourfigures"/>
              <w:tabs>
                <w:tab w:val="clear" w:pos="765"/>
                <w:tab w:val="decimal" w:pos="533"/>
              </w:tabs>
              <w:spacing w:line="240" w:lineRule="auto"/>
              <w:ind w:right="-72"/>
              <w:jc w:val="right"/>
              <w:rPr>
                <w:rFonts w:ascii="Arial" w:hAnsi="Arial" w:cs="Arial"/>
                <w:color w:val="000000"/>
                <w:sz w:val="14"/>
                <w:szCs w:val="14"/>
                <w:lang w:bidi="th-TH"/>
              </w:rPr>
            </w:pPr>
          </w:p>
        </w:tc>
        <w:tc>
          <w:tcPr>
            <w:tcW w:w="1057" w:type="dxa"/>
            <w:tcBorders>
              <w:top w:val="single" w:sz="4" w:space="0" w:color="auto"/>
            </w:tcBorders>
            <w:shd w:val="clear" w:color="auto" w:fill="auto"/>
          </w:tcPr>
          <w:p w14:paraId="666C8E5E" w14:textId="77777777" w:rsidR="00FF408A" w:rsidRPr="002D2F67" w:rsidRDefault="00FF408A" w:rsidP="005611FE">
            <w:pPr>
              <w:pStyle w:val="acctfourfigures"/>
              <w:tabs>
                <w:tab w:val="clear" w:pos="765"/>
                <w:tab w:val="decimal" w:pos="533"/>
              </w:tabs>
              <w:spacing w:line="240" w:lineRule="auto"/>
              <w:ind w:right="-72"/>
              <w:jc w:val="right"/>
              <w:rPr>
                <w:rFonts w:ascii="Arial" w:hAnsi="Arial" w:cs="Arial"/>
                <w:color w:val="000000"/>
                <w:sz w:val="14"/>
                <w:szCs w:val="14"/>
                <w:lang w:bidi="th-TH"/>
              </w:rPr>
            </w:pPr>
          </w:p>
        </w:tc>
      </w:tr>
      <w:tr w:rsidR="00FF408A" w:rsidRPr="002D2F67" w14:paraId="41CE16CF" w14:textId="77777777" w:rsidTr="005611FE">
        <w:trPr>
          <w:cantSplit/>
          <w:trHeight w:val="57"/>
        </w:trPr>
        <w:tc>
          <w:tcPr>
            <w:tcW w:w="6068" w:type="dxa"/>
            <w:gridSpan w:val="2"/>
            <w:shd w:val="clear" w:color="auto" w:fill="auto"/>
          </w:tcPr>
          <w:p w14:paraId="7B386B03" w14:textId="77777777" w:rsidR="00FF408A" w:rsidRPr="002D2F67" w:rsidRDefault="00FF408A" w:rsidP="005611FE">
            <w:pPr>
              <w:pStyle w:val="acctfourfigures"/>
              <w:tabs>
                <w:tab w:val="clear" w:pos="765"/>
              </w:tabs>
              <w:spacing w:line="240" w:lineRule="auto"/>
              <w:ind w:left="156" w:right="-72"/>
              <w:rPr>
                <w:rFonts w:ascii="Arial" w:hAnsi="Arial" w:cs="Arial"/>
                <w:color w:val="000000"/>
                <w:sz w:val="14"/>
                <w:szCs w:val="14"/>
                <w:lang w:bidi="th-TH"/>
              </w:rPr>
            </w:pPr>
            <w:r w:rsidRPr="002D2F67">
              <w:rPr>
                <w:rFonts w:ascii="Arial" w:hAnsi="Arial" w:cs="Arial"/>
                <w:color w:val="000000"/>
                <w:sz w:val="14"/>
                <w:szCs w:val="14"/>
                <w:lang w:bidi="th-TH"/>
              </w:rPr>
              <w:t>The details of direct subsidiaries incorporated in Thailand</w:t>
            </w:r>
          </w:p>
        </w:tc>
        <w:tc>
          <w:tcPr>
            <w:tcW w:w="1058" w:type="dxa"/>
            <w:shd w:val="clear" w:color="auto" w:fill="auto"/>
          </w:tcPr>
          <w:p w14:paraId="3E6E4029" w14:textId="77777777" w:rsidR="00FF408A" w:rsidRPr="002D2F67" w:rsidRDefault="00FF408A" w:rsidP="005611FE">
            <w:pPr>
              <w:pStyle w:val="acctfourfigures"/>
              <w:tabs>
                <w:tab w:val="clear" w:pos="765"/>
                <w:tab w:val="decimal" w:pos="550"/>
              </w:tabs>
              <w:spacing w:line="240" w:lineRule="auto"/>
              <w:ind w:right="-72"/>
              <w:jc w:val="right"/>
              <w:rPr>
                <w:rFonts w:ascii="Arial" w:hAnsi="Arial" w:cs="Arial"/>
                <w:color w:val="000000"/>
                <w:sz w:val="14"/>
                <w:szCs w:val="14"/>
                <w:lang w:bidi="th-TH"/>
              </w:rPr>
            </w:pPr>
          </w:p>
        </w:tc>
        <w:tc>
          <w:tcPr>
            <w:tcW w:w="1058" w:type="dxa"/>
            <w:shd w:val="clear" w:color="auto" w:fill="auto"/>
          </w:tcPr>
          <w:p w14:paraId="26A0384B" w14:textId="77777777" w:rsidR="00FF408A" w:rsidRPr="002D2F67" w:rsidRDefault="00FF408A" w:rsidP="005611FE">
            <w:pPr>
              <w:pStyle w:val="acctfourfigures"/>
              <w:tabs>
                <w:tab w:val="clear" w:pos="765"/>
                <w:tab w:val="decimal" w:pos="550"/>
              </w:tabs>
              <w:spacing w:line="240" w:lineRule="auto"/>
              <w:ind w:right="-72"/>
              <w:jc w:val="right"/>
              <w:rPr>
                <w:rFonts w:ascii="Arial" w:hAnsi="Arial" w:cs="Arial"/>
                <w:color w:val="000000"/>
                <w:sz w:val="14"/>
                <w:szCs w:val="14"/>
                <w:lang w:bidi="th-TH"/>
              </w:rPr>
            </w:pPr>
          </w:p>
        </w:tc>
        <w:tc>
          <w:tcPr>
            <w:tcW w:w="1057" w:type="dxa"/>
            <w:shd w:val="clear" w:color="auto" w:fill="auto"/>
          </w:tcPr>
          <w:p w14:paraId="6B9C4F17" w14:textId="77777777" w:rsidR="00FF408A" w:rsidRPr="002D2F67" w:rsidRDefault="00FF408A" w:rsidP="005611FE">
            <w:pPr>
              <w:pStyle w:val="acctfourfigures"/>
              <w:tabs>
                <w:tab w:val="clear" w:pos="765"/>
                <w:tab w:val="decimal" w:pos="550"/>
              </w:tabs>
              <w:spacing w:line="240" w:lineRule="auto"/>
              <w:ind w:right="-72"/>
              <w:jc w:val="right"/>
              <w:rPr>
                <w:rFonts w:ascii="Arial" w:hAnsi="Arial" w:cs="Arial"/>
                <w:color w:val="000000"/>
                <w:sz w:val="14"/>
                <w:szCs w:val="14"/>
                <w:lang w:bidi="th-TH"/>
              </w:rPr>
            </w:pPr>
          </w:p>
        </w:tc>
        <w:tc>
          <w:tcPr>
            <w:tcW w:w="1057" w:type="dxa"/>
            <w:shd w:val="clear" w:color="auto" w:fill="auto"/>
          </w:tcPr>
          <w:p w14:paraId="669307E2" w14:textId="77777777" w:rsidR="00FF408A" w:rsidRPr="002D2F67" w:rsidRDefault="00FF408A" w:rsidP="005611FE">
            <w:pPr>
              <w:pStyle w:val="acctfourfigures"/>
              <w:tabs>
                <w:tab w:val="clear" w:pos="765"/>
                <w:tab w:val="decimal" w:pos="550"/>
              </w:tabs>
              <w:spacing w:line="240" w:lineRule="auto"/>
              <w:ind w:right="-72"/>
              <w:jc w:val="right"/>
              <w:rPr>
                <w:rFonts w:ascii="Arial" w:hAnsi="Arial" w:cs="Arial"/>
                <w:color w:val="000000"/>
                <w:sz w:val="14"/>
                <w:szCs w:val="14"/>
                <w:lang w:bidi="th-TH"/>
              </w:rPr>
            </w:pPr>
          </w:p>
        </w:tc>
        <w:tc>
          <w:tcPr>
            <w:tcW w:w="1057" w:type="dxa"/>
            <w:shd w:val="clear" w:color="auto" w:fill="auto"/>
          </w:tcPr>
          <w:p w14:paraId="31A263E9" w14:textId="77777777" w:rsidR="00FF408A" w:rsidRPr="002D2F67" w:rsidRDefault="00FF408A" w:rsidP="005611FE">
            <w:pPr>
              <w:pStyle w:val="acctfourfigures"/>
              <w:tabs>
                <w:tab w:val="clear" w:pos="765"/>
                <w:tab w:val="decimal" w:pos="550"/>
              </w:tabs>
              <w:spacing w:line="240" w:lineRule="auto"/>
              <w:ind w:right="-72"/>
              <w:jc w:val="right"/>
              <w:rPr>
                <w:rFonts w:ascii="Arial" w:hAnsi="Arial" w:cs="Arial"/>
                <w:color w:val="000000"/>
                <w:sz w:val="14"/>
                <w:szCs w:val="14"/>
                <w:lang w:bidi="th-TH"/>
              </w:rPr>
            </w:pPr>
          </w:p>
        </w:tc>
        <w:tc>
          <w:tcPr>
            <w:tcW w:w="1057" w:type="dxa"/>
            <w:shd w:val="clear" w:color="auto" w:fill="auto"/>
          </w:tcPr>
          <w:p w14:paraId="3DDFB052" w14:textId="77777777" w:rsidR="00FF408A" w:rsidRPr="002D2F67" w:rsidRDefault="00FF408A" w:rsidP="005611FE">
            <w:pPr>
              <w:pStyle w:val="acctfourfigures"/>
              <w:tabs>
                <w:tab w:val="clear" w:pos="765"/>
                <w:tab w:val="decimal" w:pos="550"/>
              </w:tabs>
              <w:spacing w:line="240" w:lineRule="auto"/>
              <w:ind w:right="-72"/>
              <w:jc w:val="right"/>
              <w:rPr>
                <w:rFonts w:ascii="Arial" w:hAnsi="Arial" w:cs="Arial"/>
                <w:color w:val="000000"/>
                <w:sz w:val="14"/>
                <w:szCs w:val="14"/>
                <w:lang w:bidi="th-TH"/>
              </w:rPr>
            </w:pPr>
          </w:p>
        </w:tc>
        <w:tc>
          <w:tcPr>
            <w:tcW w:w="1057" w:type="dxa"/>
            <w:shd w:val="clear" w:color="auto" w:fill="auto"/>
          </w:tcPr>
          <w:p w14:paraId="497C08FD" w14:textId="77777777" w:rsidR="00FF408A" w:rsidRPr="002D2F67" w:rsidRDefault="00FF408A" w:rsidP="005611FE">
            <w:pPr>
              <w:pStyle w:val="acctfourfigures"/>
              <w:tabs>
                <w:tab w:val="clear" w:pos="765"/>
                <w:tab w:val="decimal" w:pos="533"/>
              </w:tabs>
              <w:spacing w:line="240" w:lineRule="auto"/>
              <w:ind w:right="-72"/>
              <w:jc w:val="right"/>
              <w:rPr>
                <w:rFonts w:ascii="Arial" w:hAnsi="Arial" w:cs="Arial"/>
                <w:color w:val="000000"/>
                <w:sz w:val="14"/>
                <w:szCs w:val="14"/>
                <w:lang w:bidi="th-TH"/>
              </w:rPr>
            </w:pPr>
          </w:p>
        </w:tc>
        <w:tc>
          <w:tcPr>
            <w:tcW w:w="1057" w:type="dxa"/>
            <w:shd w:val="clear" w:color="auto" w:fill="auto"/>
          </w:tcPr>
          <w:p w14:paraId="3671AB86" w14:textId="77777777" w:rsidR="00FF408A" w:rsidRPr="002D2F67" w:rsidRDefault="00FF408A" w:rsidP="005611FE">
            <w:pPr>
              <w:pStyle w:val="acctfourfigures"/>
              <w:tabs>
                <w:tab w:val="clear" w:pos="765"/>
                <w:tab w:val="decimal" w:pos="533"/>
              </w:tabs>
              <w:spacing w:line="240" w:lineRule="auto"/>
              <w:ind w:right="-72"/>
              <w:jc w:val="right"/>
              <w:rPr>
                <w:rFonts w:ascii="Arial" w:hAnsi="Arial" w:cs="Arial"/>
                <w:color w:val="000000"/>
                <w:sz w:val="14"/>
                <w:szCs w:val="14"/>
                <w:lang w:bidi="th-TH"/>
              </w:rPr>
            </w:pPr>
          </w:p>
        </w:tc>
      </w:tr>
      <w:tr w:rsidR="00FF408A" w:rsidRPr="002D2F67" w14:paraId="07D33227" w14:textId="77777777" w:rsidTr="005611FE">
        <w:trPr>
          <w:cantSplit/>
          <w:trHeight w:val="57"/>
        </w:trPr>
        <w:tc>
          <w:tcPr>
            <w:tcW w:w="6068" w:type="dxa"/>
            <w:gridSpan w:val="2"/>
            <w:shd w:val="clear" w:color="auto" w:fill="auto"/>
          </w:tcPr>
          <w:p w14:paraId="1A4DE8F4" w14:textId="77777777" w:rsidR="00FF408A" w:rsidRPr="002D2F67" w:rsidRDefault="00FF408A" w:rsidP="005611FE">
            <w:pPr>
              <w:pStyle w:val="acctfourfigures"/>
              <w:tabs>
                <w:tab w:val="clear" w:pos="765"/>
              </w:tabs>
              <w:spacing w:line="240" w:lineRule="auto"/>
              <w:ind w:left="156" w:right="-72"/>
              <w:rPr>
                <w:rFonts w:ascii="Arial" w:hAnsi="Arial" w:cs="Arial"/>
                <w:color w:val="000000"/>
                <w:sz w:val="7"/>
                <w:szCs w:val="7"/>
                <w:lang w:bidi="th-TH"/>
              </w:rPr>
            </w:pPr>
          </w:p>
        </w:tc>
        <w:tc>
          <w:tcPr>
            <w:tcW w:w="1058" w:type="dxa"/>
            <w:shd w:val="clear" w:color="auto" w:fill="auto"/>
          </w:tcPr>
          <w:p w14:paraId="39EEA5BE" w14:textId="77777777" w:rsidR="00FF408A" w:rsidRPr="002D2F67" w:rsidRDefault="00FF408A" w:rsidP="005611FE">
            <w:pPr>
              <w:pStyle w:val="acctfourfigures"/>
              <w:tabs>
                <w:tab w:val="clear" w:pos="765"/>
                <w:tab w:val="decimal" w:pos="550"/>
              </w:tabs>
              <w:spacing w:line="240" w:lineRule="auto"/>
              <w:ind w:right="-72"/>
              <w:jc w:val="right"/>
              <w:rPr>
                <w:rFonts w:ascii="Arial" w:hAnsi="Arial" w:cs="Arial"/>
                <w:color w:val="000000"/>
                <w:sz w:val="7"/>
                <w:szCs w:val="7"/>
                <w:lang w:bidi="th-TH"/>
              </w:rPr>
            </w:pPr>
          </w:p>
        </w:tc>
        <w:tc>
          <w:tcPr>
            <w:tcW w:w="1058" w:type="dxa"/>
            <w:shd w:val="clear" w:color="auto" w:fill="auto"/>
          </w:tcPr>
          <w:p w14:paraId="13594058" w14:textId="77777777" w:rsidR="00FF408A" w:rsidRPr="002D2F67" w:rsidRDefault="00FF408A" w:rsidP="005611FE">
            <w:pPr>
              <w:pStyle w:val="acctfourfigures"/>
              <w:tabs>
                <w:tab w:val="clear" w:pos="765"/>
                <w:tab w:val="decimal" w:pos="550"/>
              </w:tabs>
              <w:spacing w:line="240" w:lineRule="auto"/>
              <w:ind w:right="-72"/>
              <w:jc w:val="right"/>
              <w:rPr>
                <w:rFonts w:ascii="Arial" w:hAnsi="Arial" w:cs="Arial"/>
                <w:color w:val="000000"/>
                <w:sz w:val="7"/>
                <w:szCs w:val="7"/>
                <w:lang w:bidi="th-TH"/>
              </w:rPr>
            </w:pPr>
          </w:p>
        </w:tc>
        <w:tc>
          <w:tcPr>
            <w:tcW w:w="1057" w:type="dxa"/>
            <w:shd w:val="clear" w:color="auto" w:fill="auto"/>
          </w:tcPr>
          <w:p w14:paraId="62062D09" w14:textId="77777777" w:rsidR="00FF408A" w:rsidRPr="002D2F67" w:rsidRDefault="00FF408A" w:rsidP="005611FE">
            <w:pPr>
              <w:pStyle w:val="acctfourfigures"/>
              <w:tabs>
                <w:tab w:val="clear" w:pos="765"/>
                <w:tab w:val="decimal" w:pos="550"/>
              </w:tabs>
              <w:spacing w:line="240" w:lineRule="auto"/>
              <w:ind w:right="-72"/>
              <w:jc w:val="right"/>
              <w:rPr>
                <w:rFonts w:ascii="Arial" w:hAnsi="Arial" w:cs="Arial"/>
                <w:color w:val="000000"/>
                <w:sz w:val="7"/>
                <w:szCs w:val="7"/>
                <w:lang w:bidi="th-TH"/>
              </w:rPr>
            </w:pPr>
          </w:p>
        </w:tc>
        <w:tc>
          <w:tcPr>
            <w:tcW w:w="1057" w:type="dxa"/>
            <w:shd w:val="clear" w:color="auto" w:fill="auto"/>
          </w:tcPr>
          <w:p w14:paraId="21FA8D89" w14:textId="77777777" w:rsidR="00FF408A" w:rsidRPr="002D2F67" w:rsidRDefault="00FF408A" w:rsidP="005611FE">
            <w:pPr>
              <w:pStyle w:val="acctfourfigures"/>
              <w:tabs>
                <w:tab w:val="clear" w:pos="765"/>
                <w:tab w:val="decimal" w:pos="550"/>
              </w:tabs>
              <w:spacing w:line="240" w:lineRule="auto"/>
              <w:ind w:right="-72"/>
              <w:jc w:val="right"/>
              <w:rPr>
                <w:rFonts w:ascii="Arial" w:hAnsi="Arial" w:cs="Arial"/>
                <w:color w:val="000000"/>
                <w:sz w:val="7"/>
                <w:szCs w:val="7"/>
                <w:lang w:bidi="th-TH"/>
              </w:rPr>
            </w:pPr>
          </w:p>
        </w:tc>
        <w:tc>
          <w:tcPr>
            <w:tcW w:w="1057" w:type="dxa"/>
            <w:shd w:val="clear" w:color="auto" w:fill="auto"/>
          </w:tcPr>
          <w:p w14:paraId="24147D63" w14:textId="77777777" w:rsidR="00FF408A" w:rsidRPr="002D2F67" w:rsidRDefault="00FF408A" w:rsidP="005611FE">
            <w:pPr>
              <w:pStyle w:val="acctfourfigures"/>
              <w:tabs>
                <w:tab w:val="clear" w:pos="765"/>
                <w:tab w:val="decimal" w:pos="550"/>
              </w:tabs>
              <w:spacing w:line="240" w:lineRule="auto"/>
              <w:ind w:right="-72"/>
              <w:jc w:val="right"/>
              <w:rPr>
                <w:rFonts w:ascii="Arial" w:hAnsi="Arial" w:cs="Arial"/>
                <w:color w:val="000000"/>
                <w:sz w:val="7"/>
                <w:szCs w:val="7"/>
                <w:lang w:bidi="th-TH"/>
              </w:rPr>
            </w:pPr>
          </w:p>
        </w:tc>
        <w:tc>
          <w:tcPr>
            <w:tcW w:w="1057" w:type="dxa"/>
            <w:shd w:val="clear" w:color="auto" w:fill="auto"/>
          </w:tcPr>
          <w:p w14:paraId="411B16C8" w14:textId="77777777" w:rsidR="00FF408A" w:rsidRPr="002D2F67" w:rsidRDefault="00FF408A" w:rsidP="005611FE">
            <w:pPr>
              <w:pStyle w:val="acctfourfigures"/>
              <w:tabs>
                <w:tab w:val="clear" w:pos="765"/>
                <w:tab w:val="decimal" w:pos="550"/>
              </w:tabs>
              <w:spacing w:line="240" w:lineRule="auto"/>
              <w:ind w:right="-72"/>
              <w:jc w:val="right"/>
              <w:rPr>
                <w:rFonts w:ascii="Arial" w:hAnsi="Arial" w:cs="Arial"/>
                <w:color w:val="000000"/>
                <w:sz w:val="7"/>
                <w:szCs w:val="7"/>
                <w:lang w:bidi="th-TH"/>
              </w:rPr>
            </w:pPr>
          </w:p>
        </w:tc>
        <w:tc>
          <w:tcPr>
            <w:tcW w:w="1057" w:type="dxa"/>
            <w:shd w:val="clear" w:color="auto" w:fill="auto"/>
          </w:tcPr>
          <w:p w14:paraId="4745CC00" w14:textId="77777777" w:rsidR="00FF408A" w:rsidRPr="002D2F67" w:rsidRDefault="00FF408A" w:rsidP="005611FE">
            <w:pPr>
              <w:pStyle w:val="acctfourfigures"/>
              <w:tabs>
                <w:tab w:val="clear" w:pos="765"/>
                <w:tab w:val="decimal" w:pos="533"/>
              </w:tabs>
              <w:spacing w:line="240" w:lineRule="auto"/>
              <w:ind w:right="-72"/>
              <w:jc w:val="right"/>
              <w:rPr>
                <w:rFonts w:ascii="Arial" w:hAnsi="Arial" w:cs="Arial"/>
                <w:color w:val="000000"/>
                <w:sz w:val="7"/>
                <w:szCs w:val="7"/>
                <w:lang w:bidi="th-TH"/>
              </w:rPr>
            </w:pPr>
          </w:p>
        </w:tc>
        <w:tc>
          <w:tcPr>
            <w:tcW w:w="1057" w:type="dxa"/>
            <w:shd w:val="clear" w:color="auto" w:fill="auto"/>
          </w:tcPr>
          <w:p w14:paraId="5BAFF191" w14:textId="77777777" w:rsidR="00FF408A" w:rsidRPr="002D2F67" w:rsidRDefault="00FF408A" w:rsidP="005611FE">
            <w:pPr>
              <w:pStyle w:val="acctfourfigures"/>
              <w:tabs>
                <w:tab w:val="clear" w:pos="765"/>
                <w:tab w:val="decimal" w:pos="533"/>
              </w:tabs>
              <w:spacing w:line="240" w:lineRule="auto"/>
              <w:ind w:right="-72"/>
              <w:jc w:val="right"/>
              <w:rPr>
                <w:rFonts w:ascii="Arial" w:hAnsi="Arial" w:cs="Arial"/>
                <w:color w:val="000000"/>
                <w:sz w:val="7"/>
                <w:szCs w:val="7"/>
                <w:lang w:bidi="th-TH"/>
              </w:rPr>
            </w:pPr>
          </w:p>
        </w:tc>
      </w:tr>
      <w:tr w:rsidR="00A70998" w:rsidRPr="002D2F67" w14:paraId="084F3BF1" w14:textId="77777777" w:rsidTr="005611FE">
        <w:trPr>
          <w:cantSplit/>
          <w:trHeight w:val="57"/>
        </w:trPr>
        <w:tc>
          <w:tcPr>
            <w:tcW w:w="3111" w:type="dxa"/>
            <w:shd w:val="clear" w:color="auto" w:fill="auto"/>
          </w:tcPr>
          <w:p w14:paraId="4C37B9EA" w14:textId="2FC5E090" w:rsidR="00A70998" w:rsidRPr="002D2F67" w:rsidRDefault="00A70998" w:rsidP="00A70998">
            <w:pPr>
              <w:ind w:left="148" w:right="-208"/>
              <w:rPr>
                <w:rFonts w:ascii="Arial" w:hAnsi="Arial" w:cs="Arial"/>
                <w:color w:val="000000"/>
                <w:sz w:val="14"/>
                <w:szCs w:val="14"/>
                <w:cs/>
              </w:rPr>
            </w:pPr>
            <w:r w:rsidRPr="002D2F67">
              <w:rPr>
                <w:rFonts w:ascii="Arial" w:hAnsi="Arial" w:cs="Arial"/>
                <w:color w:val="000000"/>
                <w:sz w:val="14"/>
                <w:szCs w:val="14"/>
              </w:rPr>
              <w:t>Surachai (</w:t>
            </w:r>
            <w:r w:rsidR="00CD5714" w:rsidRPr="00CD5714">
              <w:rPr>
                <w:rFonts w:ascii="Arial" w:hAnsi="Arial" w:cs="Arial"/>
                <w:color w:val="000000"/>
                <w:sz w:val="14"/>
                <w:szCs w:val="14"/>
                <w:lang w:val="en-GB"/>
              </w:rPr>
              <w:t>1997</w:t>
            </w:r>
            <w:r w:rsidRPr="002D2F67">
              <w:rPr>
                <w:rFonts w:ascii="Arial" w:hAnsi="Arial" w:cs="Arial"/>
                <w:color w:val="000000"/>
                <w:sz w:val="14"/>
                <w:szCs w:val="14"/>
              </w:rPr>
              <w:t>) Co., Ltd.</w:t>
            </w:r>
          </w:p>
        </w:tc>
        <w:tc>
          <w:tcPr>
            <w:tcW w:w="2957" w:type="dxa"/>
            <w:shd w:val="clear" w:color="auto" w:fill="auto"/>
          </w:tcPr>
          <w:p w14:paraId="10E4253F" w14:textId="4B16D1D7" w:rsidR="00A70998" w:rsidRPr="002D2F67" w:rsidRDefault="00A70998" w:rsidP="00A70998">
            <w:pPr>
              <w:tabs>
                <w:tab w:val="left" w:pos="-3402"/>
                <w:tab w:val="left" w:pos="-3261"/>
                <w:tab w:val="left" w:pos="-3119"/>
              </w:tabs>
              <w:ind w:left="-29"/>
              <w:rPr>
                <w:rFonts w:ascii="Arial" w:hAnsi="Arial" w:cs="Arial"/>
                <w:color w:val="000000"/>
                <w:sz w:val="14"/>
                <w:szCs w:val="14"/>
              </w:rPr>
            </w:pPr>
            <w:r w:rsidRPr="002D2F67">
              <w:rPr>
                <w:rFonts w:ascii="Arial" w:hAnsi="Arial" w:cs="Arial"/>
                <w:color w:val="000000"/>
                <w:sz w:val="14"/>
                <w:szCs w:val="14"/>
              </w:rPr>
              <w:t>Investing in manufacturing and distributing</w:t>
            </w:r>
            <w:r w:rsidRPr="002D2F67">
              <w:rPr>
                <w:rFonts w:ascii="Arial" w:hAnsi="Arial" w:cs="Arial"/>
                <w:color w:val="000000"/>
                <w:sz w:val="14"/>
                <w:szCs w:val="14"/>
              </w:rPr>
              <w:br/>
              <w:t xml:space="preserve">   electricity </w:t>
            </w:r>
          </w:p>
        </w:tc>
        <w:tc>
          <w:tcPr>
            <w:tcW w:w="1058" w:type="dxa"/>
            <w:shd w:val="clear" w:color="auto" w:fill="auto"/>
          </w:tcPr>
          <w:p w14:paraId="1B759032" w14:textId="118B8B4C" w:rsidR="00A70998" w:rsidRPr="002D2F67" w:rsidRDefault="00CD5714" w:rsidP="00A70998">
            <w:pPr>
              <w:ind w:left="-122" w:right="-84"/>
              <w:jc w:val="right"/>
              <w:rPr>
                <w:rFonts w:ascii="Arial" w:hAnsi="Arial" w:cs="Arial"/>
                <w:color w:val="000000"/>
                <w:sz w:val="14"/>
                <w:szCs w:val="14"/>
              </w:rPr>
            </w:pPr>
            <w:r w:rsidRPr="00CD5714">
              <w:rPr>
                <w:rFonts w:ascii="Arial" w:hAnsi="Arial" w:cs="Arial"/>
                <w:color w:val="000000"/>
                <w:sz w:val="14"/>
                <w:szCs w:val="14"/>
                <w:lang w:val="en-GB"/>
              </w:rPr>
              <w:t>99</w:t>
            </w:r>
            <w:r w:rsidR="00A70998" w:rsidRPr="002D2F67">
              <w:rPr>
                <w:rFonts w:ascii="Arial" w:hAnsi="Arial" w:cs="Arial"/>
                <w:color w:val="000000"/>
                <w:sz w:val="14"/>
                <w:szCs w:val="14"/>
              </w:rPr>
              <w:t>.</w:t>
            </w:r>
            <w:r w:rsidRPr="00CD5714">
              <w:rPr>
                <w:rFonts w:ascii="Arial" w:hAnsi="Arial" w:cs="Arial"/>
                <w:color w:val="000000"/>
                <w:sz w:val="14"/>
                <w:szCs w:val="14"/>
                <w:lang w:val="en-GB"/>
              </w:rPr>
              <w:t>90</w:t>
            </w:r>
          </w:p>
        </w:tc>
        <w:tc>
          <w:tcPr>
            <w:tcW w:w="1058" w:type="dxa"/>
            <w:shd w:val="clear" w:color="auto" w:fill="auto"/>
          </w:tcPr>
          <w:p w14:paraId="08298B62" w14:textId="3839CED9" w:rsidR="00A70998" w:rsidRPr="002D2F67" w:rsidRDefault="00CD5714" w:rsidP="00A70998">
            <w:pPr>
              <w:ind w:left="-122" w:right="-84"/>
              <w:jc w:val="right"/>
              <w:rPr>
                <w:rFonts w:ascii="Arial" w:hAnsi="Arial" w:cs="Arial"/>
                <w:color w:val="000000"/>
                <w:sz w:val="14"/>
                <w:szCs w:val="14"/>
              </w:rPr>
            </w:pPr>
            <w:r w:rsidRPr="00CD5714">
              <w:rPr>
                <w:rFonts w:ascii="Arial" w:hAnsi="Arial" w:cs="Arial"/>
                <w:color w:val="000000"/>
                <w:sz w:val="14"/>
                <w:szCs w:val="14"/>
                <w:lang w:val="en-GB"/>
              </w:rPr>
              <w:t>99</w:t>
            </w:r>
            <w:r w:rsidR="00A70998" w:rsidRPr="002D2F67">
              <w:rPr>
                <w:rFonts w:ascii="Arial" w:hAnsi="Arial" w:cs="Arial"/>
                <w:color w:val="000000"/>
                <w:sz w:val="14"/>
                <w:szCs w:val="14"/>
              </w:rPr>
              <w:t>.</w:t>
            </w:r>
            <w:r w:rsidRPr="00CD5714">
              <w:rPr>
                <w:rFonts w:ascii="Arial" w:hAnsi="Arial" w:cs="Arial"/>
                <w:color w:val="000000"/>
                <w:sz w:val="14"/>
                <w:szCs w:val="14"/>
                <w:lang w:val="en-GB"/>
              </w:rPr>
              <w:t>90</w:t>
            </w:r>
          </w:p>
        </w:tc>
        <w:tc>
          <w:tcPr>
            <w:tcW w:w="1057" w:type="dxa"/>
            <w:shd w:val="clear" w:color="auto" w:fill="auto"/>
          </w:tcPr>
          <w:p w14:paraId="3CD4F170" w14:textId="6AF5D89F" w:rsidR="00A70998" w:rsidRPr="002D2F67" w:rsidRDefault="00A70998" w:rsidP="00A70998">
            <w:pPr>
              <w:ind w:left="-122" w:right="-66"/>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503F306D" w14:textId="2423D8F2" w:rsidR="00A70998" w:rsidRPr="002D2F67" w:rsidRDefault="00A70998" w:rsidP="00A70998">
            <w:pPr>
              <w:ind w:left="-122" w:right="-66"/>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23319E2A" w14:textId="489D2F4E" w:rsidR="00A70998" w:rsidRPr="002D2F67" w:rsidRDefault="00CD5714" w:rsidP="00A70998">
            <w:pPr>
              <w:ind w:right="-83"/>
              <w:jc w:val="right"/>
              <w:rPr>
                <w:rFonts w:ascii="Arial" w:hAnsi="Arial" w:cs="Arial"/>
                <w:color w:val="000000"/>
                <w:sz w:val="14"/>
                <w:szCs w:val="14"/>
              </w:rPr>
            </w:pPr>
            <w:r w:rsidRPr="00CD5714">
              <w:rPr>
                <w:rFonts w:ascii="Arial" w:hAnsi="Arial" w:cs="Arial"/>
                <w:color w:val="000000"/>
                <w:sz w:val="14"/>
                <w:szCs w:val="14"/>
                <w:lang w:val="en-GB"/>
              </w:rPr>
              <w:t>231</w:t>
            </w:r>
            <w:r w:rsidR="00A70998" w:rsidRPr="002D2F67">
              <w:rPr>
                <w:rFonts w:ascii="Arial" w:hAnsi="Arial" w:cs="Arial"/>
                <w:color w:val="000000"/>
                <w:sz w:val="14"/>
                <w:szCs w:val="14"/>
              </w:rPr>
              <w:t>,</w:t>
            </w:r>
            <w:r w:rsidRPr="00CD5714">
              <w:rPr>
                <w:rFonts w:ascii="Arial" w:hAnsi="Arial" w:cs="Arial"/>
                <w:color w:val="000000"/>
                <w:sz w:val="14"/>
                <w:szCs w:val="14"/>
                <w:lang w:val="en-GB"/>
              </w:rPr>
              <w:t>550</w:t>
            </w:r>
          </w:p>
        </w:tc>
        <w:tc>
          <w:tcPr>
            <w:tcW w:w="1057" w:type="dxa"/>
            <w:shd w:val="clear" w:color="auto" w:fill="auto"/>
          </w:tcPr>
          <w:p w14:paraId="418D7F8F" w14:textId="1335E7B6" w:rsidR="00A70998" w:rsidRPr="002D2F67" w:rsidRDefault="00CD5714" w:rsidP="00A70998">
            <w:pPr>
              <w:ind w:right="-83"/>
              <w:jc w:val="right"/>
              <w:rPr>
                <w:rFonts w:ascii="Arial" w:hAnsi="Arial" w:cs="Arial"/>
                <w:color w:val="000000"/>
                <w:sz w:val="14"/>
                <w:szCs w:val="14"/>
              </w:rPr>
            </w:pPr>
            <w:r w:rsidRPr="00CD5714">
              <w:rPr>
                <w:rFonts w:ascii="Arial" w:hAnsi="Arial" w:cs="Arial"/>
                <w:color w:val="000000"/>
                <w:sz w:val="14"/>
                <w:szCs w:val="14"/>
                <w:lang w:val="en-GB"/>
              </w:rPr>
              <w:t>231</w:t>
            </w:r>
            <w:r w:rsidR="00A70998" w:rsidRPr="002D2F67">
              <w:rPr>
                <w:rFonts w:ascii="Arial" w:hAnsi="Arial" w:cs="Arial"/>
                <w:color w:val="000000"/>
                <w:sz w:val="14"/>
                <w:szCs w:val="14"/>
              </w:rPr>
              <w:t>,</w:t>
            </w:r>
            <w:r w:rsidRPr="00CD5714">
              <w:rPr>
                <w:rFonts w:ascii="Arial" w:hAnsi="Arial" w:cs="Arial"/>
                <w:color w:val="000000"/>
                <w:sz w:val="14"/>
                <w:szCs w:val="14"/>
                <w:lang w:val="en-GB"/>
              </w:rPr>
              <w:t>550</w:t>
            </w:r>
          </w:p>
        </w:tc>
        <w:tc>
          <w:tcPr>
            <w:tcW w:w="1057" w:type="dxa"/>
            <w:shd w:val="clear" w:color="auto" w:fill="auto"/>
          </w:tcPr>
          <w:p w14:paraId="6C6363AB" w14:textId="5D0E63EA" w:rsidR="00A70998" w:rsidRPr="002D2F67" w:rsidRDefault="007118FA" w:rsidP="00A70998">
            <w:pPr>
              <w:ind w:right="-83"/>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3BF38557" w14:textId="217E2155" w:rsidR="00A70998" w:rsidRPr="002D2F67" w:rsidRDefault="00CD5714" w:rsidP="00A70998">
            <w:pPr>
              <w:ind w:right="-83"/>
              <w:jc w:val="right"/>
              <w:rPr>
                <w:rFonts w:ascii="Arial" w:hAnsi="Arial" w:cs="Arial"/>
                <w:color w:val="000000"/>
                <w:sz w:val="14"/>
                <w:szCs w:val="14"/>
              </w:rPr>
            </w:pPr>
            <w:r w:rsidRPr="00CD5714">
              <w:rPr>
                <w:rFonts w:ascii="Arial" w:hAnsi="Arial" w:cs="Arial"/>
                <w:color w:val="000000"/>
                <w:sz w:val="14"/>
                <w:szCs w:val="14"/>
                <w:lang w:val="en-GB"/>
              </w:rPr>
              <w:t>156</w:t>
            </w:r>
            <w:r w:rsidR="00A70998" w:rsidRPr="002D2F67">
              <w:rPr>
                <w:rFonts w:ascii="Arial" w:hAnsi="Arial" w:cs="Arial"/>
                <w:color w:val="000000"/>
                <w:sz w:val="14"/>
                <w:szCs w:val="14"/>
              </w:rPr>
              <w:t>,</w:t>
            </w:r>
            <w:r w:rsidRPr="00CD5714">
              <w:rPr>
                <w:rFonts w:ascii="Arial" w:hAnsi="Arial" w:cs="Arial"/>
                <w:color w:val="000000"/>
                <w:sz w:val="14"/>
                <w:szCs w:val="14"/>
                <w:lang w:val="en-GB"/>
              </w:rPr>
              <w:t>046</w:t>
            </w:r>
          </w:p>
        </w:tc>
      </w:tr>
      <w:tr w:rsidR="00A70998" w:rsidRPr="002D2F67" w14:paraId="2C21E775" w14:textId="77777777" w:rsidTr="005611FE">
        <w:trPr>
          <w:cantSplit/>
          <w:trHeight w:val="57"/>
        </w:trPr>
        <w:tc>
          <w:tcPr>
            <w:tcW w:w="3111" w:type="dxa"/>
            <w:shd w:val="clear" w:color="auto" w:fill="auto"/>
            <w:vAlign w:val="bottom"/>
          </w:tcPr>
          <w:p w14:paraId="62BB3E27" w14:textId="77777777" w:rsidR="00A70998" w:rsidRPr="002D2F67" w:rsidRDefault="00A70998" w:rsidP="00A70998">
            <w:pPr>
              <w:ind w:left="148" w:right="-208"/>
              <w:rPr>
                <w:rFonts w:ascii="Arial" w:hAnsi="Arial" w:cs="Arial"/>
                <w:color w:val="000000"/>
                <w:sz w:val="14"/>
                <w:szCs w:val="14"/>
              </w:rPr>
            </w:pPr>
            <w:r w:rsidRPr="002D2F67">
              <w:rPr>
                <w:rFonts w:ascii="Arial" w:hAnsi="Arial" w:cs="Arial"/>
                <w:color w:val="000000"/>
                <w:sz w:val="14"/>
                <w:szCs w:val="14"/>
              </w:rPr>
              <w:t>EA Solar Co., Ltd.</w:t>
            </w:r>
          </w:p>
          <w:p w14:paraId="444C4173" w14:textId="77777777" w:rsidR="00A70998" w:rsidRPr="002D2F67" w:rsidRDefault="00A70998" w:rsidP="00A70998">
            <w:pPr>
              <w:ind w:left="148" w:right="-208"/>
              <w:rPr>
                <w:rFonts w:ascii="Arial" w:hAnsi="Arial" w:cs="Arial"/>
                <w:color w:val="000000"/>
                <w:sz w:val="14"/>
                <w:szCs w:val="14"/>
              </w:rPr>
            </w:pPr>
          </w:p>
        </w:tc>
        <w:tc>
          <w:tcPr>
            <w:tcW w:w="2957" w:type="dxa"/>
            <w:shd w:val="clear" w:color="auto" w:fill="auto"/>
          </w:tcPr>
          <w:p w14:paraId="3C77A61B" w14:textId="77777777" w:rsidR="00A70998" w:rsidRPr="002D2F67" w:rsidRDefault="00A70998" w:rsidP="00A70998">
            <w:pPr>
              <w:tabs>
                <w:tab w:val="left" w:pos="-3402"/>
                <w:tab w:val="left" w:pos="-3261"/>
                <w:tab w:val="left" w:pos="-3119"/>
              </w:tabs>
              <w:ind w:left="-29" w:right="-54"/>
              <w:rPr>
                <w:rFonts w:ascii="Arial" w:hAnsi="Arial" w:cs="Arial"/>
                <w:color w:val="000000"/>
                <w:sz w:val="14"/>
                <w:szCs w:val="14"/>
              </w:rPr>
            </w:pPr>
            <w:r w:rsidRPr="002D2F67">
              <w:rPr>
                <w:rFonts w:ascii="Arial" w:hAnsi="Arial" w:cs="Arial"/>
                <w:color w:val="000000"/>
                <w:sz w:val="14"/>
                <w:szCs w:val="14"/>
              </w:rPr>
              <w:t>Manufacturing and distributing electricity</w:t>
            </w:r>
            <w:r w:rsidRPr="002D2F67">
              <w:rPr>
                <w:rFonts w:ascii="Arial" w:hAnsi="Arial" w:cs="Arial"/>
                <w:color w:val="000000"/>
                <w:sz w:val="14"/>
                <w:szCs w:val="14"/>
              </w:rPr>
              <w:br/>
              <w:t xml:space="preserve">   from solar energy</w:t>
            </w:r>
          </w:p>
        </w:tc>
        <w:tc>
          <w:tcPr>
            <w:tcW w:w="1058" w:type="dxa"/>
            <w:shd w:val="clear" w:color="auto" w:fill="auto"/>
          </w:tcPr>
          <w:p w14:paraId="3889FB10" w14:textId="3A3405FC" w:rsidR="00A70998" w:rsidRPr="002D2F67" w:rsidRDefault="00CD5714" w:rsidP="00A70998">
            <w:pPr>
              <w:ind w:right="-84"/>
              <w:jc w:val="right"/>
              <w:rPr>
                <w:rFonts w:ascii="Arial" w:hAnsi="Arial" w:cs="Arial"/>
                <w:color w:val="000000"/>
                <w:sz w:val="14"/>
                <w:szCs w:val="14"/>
              </w:rPr>
            </w:pPr>
            <w:r w:rsidRPr="00CD5714">
              <w:rPr>
                <w:rFonts w:ascii="Arial" w:hAnsi="Arial" w:cs="Arial"/>
                <w:color w:val="000000"/>
                <w:sz w:val="14"/>
                <w:szCs w:val="14"/>
                <w:lang w:val="en-GB"/>
              </w:rPr>
              <w:t>49</w:t>
            </w:r>
            <w:r w:rsidR="00A70998" w:rsidRPr="002D2F67">
              <w:rPr>
                <w:rFonts w:ascii="Arial" w:hAnsi="Arial" w:cs="Arial"/>
                <w:color w:val="000000"/>
                <w:sz w:val="14"/>
                <w:szCs w:val="14"/>
              </w:rPr>
              <w:t>.</w:t>
            </w:r>
            <w:r w:rsidRPr="00CD5714">
              <w:rPr>
                <w:rFonts w:ascii="Arial" w:hAnsi="Arial" w:cs="Arial"/>
                <w:color w:val="000000"/>
                <w:sz w:val="14"/>
                <w:szCs w:val="14"/>
                <w:lang w:val="en-GB"/>
              </w:rPr>
              <w:t>00</w:t>
            </w:r>
          </w:p>
          <w:p w14:paraId="552C1EAB" w14:textId="144D4622" w:rsidR="00A70998" w:rsidRPr="002D2F67" w:rsidRDefault="00A70998" w:rsidP="00A70998">
            <w:pPr>
              <w:ind w:right="-84"/>
              <w:jc w:val="right"/>
              <w:rPr>
                <w:rFonts w:ascii="Arial" w:hAnsi="Arial" w:cs="Arial"/>
                <w:color w:val="000000"/>
                <w:sz w:val="14"/>
                <w:szCs w:val="14"/>
              </w:rPr>
            </w:pPr>
          </w:p>
        </w:tc>
        <w:tc>
          <w:tcPr>
            <w:tcW w:w="1058" w:type="dxa"/>
            <w:shd w:val="clear" w:color="auto" w:fill="auto"/>
          </w:tcPr>
          <w:p w14:paraId="18A15D31" w14:textId="5635D38C" w:rsidR="00A70998" w:rsidRPr="002D2F67" w:rsidRDefault="00CD5714" w:rsidP="00A70998">
            <w:pPr>
              <w:ind w:right="-84"/>
              <w:jc w:val="right"/>
              <w:rPr>
                <w:rFonts w:ascii="Arial" w:hAnsi="Arial" w:cs="Arial"/>
                <w:color w:val="000000"/>
                <w:sz w:val="14"/>
                <w:szCs w:val="14"/>
              </w:rPr>
            </w:pPr>
            <w:r w:rsidRPr="00CD5714">
              <w:rPr>
                <w:rFonts w:ascii="Arial" w:hAnsi="Arial" w:cs="Arial"/>
                <w:color w:val="000000"/>
                <w:sz w:val="14"/>
                <w:szCs w:val="14"/>
                <w:lang w:val="en-GB"/>
              </w:rPr>
              <w:t>49</w:t>
            </w:r>
            <w:r w:rsidR="00A70998" w:rsidRPr="002D2F67">
              <w:rPr>
                <w:rFonts w:ascii="Arial" w:hAnsi="Arial" w:cs="Arial"/>
                <w:color w:val="000000"/>
                <w:sz w:val="14"/>
                <w:szCs w:val="14"/>
              </w:rPr>
              <w:t>.</w:t>
            </w:r>
            <w:r w:rsidRPr="00CD5714">
              <w:rPr>
                <w:rFonts w:ascii="Arial" w:hAnsi="Arial" w:cs="Arial"/>
                <w:color w:val="000000"/>
                <w:sz w:val="14"/>
                <w:szCs w:val="14"/>
                <w:lang w:val="en-GB"/>
              </w:rPr>
              <w:t>00</w:t>
            </w:r>
          </w:p>
        </w:tc>
        <w:tc>
          <w:tcPr>
            <w:tcW w:w="1057" w:type="dxa"/>
            <w:shd w:val="clear" w:color="auto" w:fill="auto"/>
          </w:tcPr>
          <w:p w14:paraId="0180D6D4" w14:textId="4C466340" w:rsidR="00A70998" w:rsidRPr="002D2F67" w:rsidRDefault="00CD5714" w:rsidP="00A70998">
            <w:pPr>
              <w:ind w:right="-66"/>
              <w:jc w:val="right"/>
              <w:rPr>
                <w:rFonts w:ascii="Arial" w:hAnsi="Arial" w:cs="Arial"/>
                <w:color w:val="000000"/>
                <w:sz w:val="14"/>
                <w:szCs w:val="14"/>
              </w:rPr>
            </w:pPr>
            <w:r w:rsidRPr="00CD5714">
              <w:rPr>
                <w:rFonts w:ascii="Arial" w:hAnsi="Arial" w:cs="Arial"/>
                <w:color w:val="000000"/>
                <w:sz w:val="14"/>
                <w:szCs w:val="14"/>
                <w:lang w:val="en-GB"/>
              </w:rPr>
              <w:t>51</w:t>
            </w:r>
            <w:r w:rsidR="00A70998" w:rsidRPr="002D2F67">
              <w:rPr>
                <w:rFonts w:ascii="Arial" w:hAnsi="Arial" w:cs="Arial"/>
                <w:color w:val="000000"/>
                <w:sz w:val="14"/>
                <w:szCs w:val="14"/>
              </w:rPr>
              <w:t>.</w:t>
            </w:r>
            <w:r w:rsidRPr="00CD5714">
              <w:rPr>
                <w:rFonts w:ascii="Arial" w:hAnsi="Arial" w:cs="Arial"/>
                <w:color w:val="000000"/>
                <w:sz w:val="14"/>
                <w:szCs w:val="14"/>
                <w:lang w:val="en-GB"/>
              </w:rPr>
              <w:t>00</w:t>
            </w:r>
          </w:p>
        </w:tc>
        <w:tc>
          <w:tcPr>
            <w:tcW w:w="1057" w:type="dxa"/>
            <w:shd w:val="clear" w:color="auto" w:fill="auto"/>
          </w:tcPr>
          <w:p w14:paraId="46BE3511" w14:textId="005A94E2" w:rsidR="00A70998" w:rsidRPr="002D2F67" w:rsidRDefault="00CD5714" w:rsidP="00A70998">
            <w:pPr>
              <w:ind w:right="-66"/>
              <w:jc w:val="right"/>
              <w:rPr>
                <w:rFonts w:ascii="Arial" w:hAnsi="Arial" w:cs="Arial"/>
                <w:color w:val="000000"/>
                <w:sz w:val="14"/>
                <w:szCs w:val="14"/>
              </w:rPr>
            </w:pPr>
            <w:r w:rsidRPr="00CD5714">
              <w:rPr>
                <w:rFonts w:ascii="Arial" w:hAnsi="Arial" w:cs="Arial"/>
                <w:color w:val="000000"/>
                <w:sz w:val="14"/>
                <w:szCs w:val="14"/>
                <w:lang w:val="en-GB"/>
              </w:rPr>
              <w:t>51</w:t>
            </w:r>
            <w:r w:rsidR="00A70998" w:rsidRPr="002D2F67">
              <w:rPr>
                <w:rFonts w:ascii="Arial" w:hAnsi="Arial" w:cs="Arial"/>
                <w:color w:val="000000"/>
                <w:sz w:val="14"/>
                <w:szCs w:val="14"/>
              </w:rPr>
              <w:t>.</w:t>
            </w:r>
            <w:r w:rsidRPr="00CD5714">
              <w:rPr>
                <w:rFonts w:ascii="Arial" w:hAnsi="Arial" w:cs="Arial"/>
                <w:color w:val="000000"/>
                <w:sz w:val="14"/>
                <w:szCs w:val="14"/>
                <w:lang w:val="en-GB"/>
              </w:rPr>
              <w:t>00</w:t>
            </w:r>
          </w:p>
        </w:tc>
        <w:tc>
          <w:tcPr>
            <w:tcW w:w="1057" w:type="dxa"/>
            <w:shd w:val="clear" w:color="auto" w:fill="auto"/>
          </w:tcPr>
          <w:p w14:paraId="0A06B3E8" w14:textId="3342B55A" w:rsidR="00A70998" w:rsidRPr="002D2F67" w:rsidRDefault="00CD5714" w:rsidP="00A70998">
            <w:pPr>
              <w:ind w:right="-83"/>
              <w:jc w:val="right"/>
              <w:rPr>
                <w:rFonts w:ascii="Arial" w:hAnsi="Arial" w:cs="Arial"/>
                <w:color w:val="000000"/>
                <w:sz w:val="14"/>
                <w:szCs w:val="14"/>
              </w:rPr>
            </w:pPr>
            <w:r w:rsidRPr="00CD5714">
              <w:rPr>
                <w:rFonts w:ascii="Arial" w:hAnsi="Arial" w:cs="Arial"/>
                <w:color w:val="000000"/>
                <w:sz w:val="14"/>
                <w:szCs w:val="14"/>
                <w:lang w:val="en-GB"/>
              </w:rPr>
              <w:t>313</w:t>
            </w:r>
            <w:r w:rsidR="00A70998" w:rsidRPr="002D2F67">
              <w:rPr>
                <w:rFonts w:ascii="Arial" w:hAnsi="Arial" w:cs="Arial"/>
                <w:color w:val="000000"/>
                <w:sz w:val="14"/>
                <w:szCs w:val="14"/>
              </w:rPr>
              <w:t>,</w:t>
            </w:r>
            <w:r w:rsidRPr="00CD5714">
              <w:rPr>
                <w:rFonts w:ascii="Arial" w:hAnsi="Arial" w:cs="Arial"/>
                <w:color w:val="000000"/>
                <w:sz w:val="14"/>
                <w:szCs w:val="14"/>
                <w:lang w:val="en-GB"/>
              </w:rPr>
              <w:t>030</w:t>
            </w:r>
          </w:p>
        </w:tc>
        <w:tc>
          <w:tcPr>
            <w:tcW w:w="1057" w:type="dxa"/>
            <w:shd w:val="clear" w:color="auto" w:fill="auto"/>
          </w:tcPr>
          <w:p w14:paraId="3E308B58" w14:textId="3C896FF1" w:rsidR="00A70998" w:rsidRPr="002D2F67" w:rsidRDefault="00CD5714" w:rsidP="00A70998">
            <w:pPr>
              <w:ind w:right="-83"/>
              <w:jc w:val="right"/>
              <w:rPr>
                <w:rFonts w:ascii="Arial" w:hAnsi="Arial" w:cs="Arial"/>
                <w:color w:val="000000"/>
                <w:sz w:val="14"/>
                <w:szCs w:val="14"/>
              </w:rPr>
            </w:pPr>
            <w:r w:rsidRPr="00CD5714">
              <w:rPr>
                <w:rFonts w:ascii="Arial" w:hAnsi="Arial" w:cs="Arial"/>
                <w:color w:val="000000"/>
                <w:sz w:val="14"/>
                <w:szCs w:val="14"/>
                <w:lang w:val="en-GB"/>
              </w:rPr>
              <w:t>313</w:t>
            </w:r>
            <w:r w:rsidR="00A70998" w:rsidRPr="002D2F67">
              <w:rPr>
                <w:rFonts w:ascii="Arial" w:hAnsi="Arial" w:cs="Arial"/>
                <w:color w:val="000000"/>
                <w:sz w:val="14"/>
                <w:szCs w:val="14"/>
              </w:rPr>
              <w:t>,</w:t>
            </w:r>
            <w:r w:rsidRPr="00CD5714">
              <w:rPr>
                <w:rFonts w:ascii="Arial" w:hAnsi="Arial" w:cs="Arial"/>
                <w:color w:val="000000"/>
                <w:sz w:val="14"/>
                <w:szCs w:val="14"/>
                <w:lang w:val="en-GB"/>
              </w:rPr>
              <w:t>030</w:t>
            </w:r>
          </w:p>
        </w:tc>
        <w:tc>
          <w:tcPr>
            <w:tcW w:w="1057" w:type="dxa"/>
            <w:shd w:val="clear" w:color="auto" w:fill="auto"/>
          </w:tcPr>
          <w:p w14:paraId="675E946B" w14:textId="59742B59" w:rsidR="00A70998" w:rsidRPr="002D2F67" w:rsidRDefault="00CD5714" w:rsidP="00A70998">
            <w:pPr>
              <w:ind w:right="-83"/>
              <w:jc w:val="right"/>
              <w:rPr>
                <w:rFonts w:ascii="Arial" w:hAnsi="Arial" w:cs="Arial"/>
                <w:color w:val="000000"/>
                <w:sz w:val="14"/>
                <w:szCs w:val="14"/>
              </w:rPr>
            </w:pPr>
            <w:r w:rsidRPr="00CD5714">
              <w:rPr>
                <w:rFonts w:ascii="Arial" w:hAnsi="Arial" w:cs="Arial"/>
                <w:color w:val="000000"/>
                <w:sz w:val="14"/>
                <w:szCs w:val="14"/>
                <w:lang w:val="en-GB"/>
              </w:rPr>
              <w:t>9</w:t>
            </w:r>
            <w:r w:rsidR="007118FA" w:rsidRPr="002D2F67">
              <w:rPr>
                <w:rFonts w:ascii="Arial" w:hAnsi="Arial" w:cs="Arial"/>
                <w:color w:val="000000"/>
                <w:sz w:val="14"/>
                <w:szCs w:val="14"/>
              </w:rPr>
              <w:t>,</w:t>
            </w:r>
            <w:r w:rsidRPr="00CD5714">
              <w:rPr>
                <w:rFonts w:ascii="Arial" w:hAnsi="Arial" w:cs="Arial"/>
                <w:color w:val="000000"/>
                <w:sz w:val="14"/>
                <w:szCs w:val="14"/>
                <w:lang w:val="en-GB"/>
              </w:rPr>
              <w:t>001</w:t>
            </w:r>
          </w:p>
        </w:tc>
        <w:tc>
          <w:tcPr>
            <w:tcW w:w="1057" w:type="dxa"/>
            <w:shd w:val="clear" w:color="auto" w:fill="auto"/>
          </w:tcPr>
          <w:p w14:paraId="3270CAD4" w14:textId="54D88A08" w:rsidR="00A70998" w:rsidRPr="002D2F67" w:rsidRDefault="00A70998" w:rsidP="00A70998">
            <w:pPr>
              <w:ind w:right="-83"/>
              <w:jc w:val="right"/>
              <w:rPr>
                <w:rFonts w:ascii="Arial" w:hAnsi="Arial" w:cs="Arial"/>
                <w:color w:val="000000"/>
                <w:sz w:val="14"/>
                <w:szCs w:val="14"/>
              </w:rPr>
            </w:pPr>
            <w:r w:rsidRPr="002D2F67">
              <w:rPr>
                <w:rFonts w:ascii="Arial" w:hAnsi="Arial" w:cs="Arial"/>
                <w:color w:val="000000"/>
                <w:sz w:val="14"/>
                <w:szCs w:val="14"/>
              </w:rPr>
              <w:t>-</w:t>
            </w:r>
          </w:p>
        </w:tc>
      </w:tr>
      <w:tr w:rsidR="00A70998" w:rsidRPr="002D2F67" w14:paraId="0D2AAF4C" w14:textId="77777777" w:rsidTr="005611FE">
        <w:trPr>
          <w:cantSplit/>
          <w:trHeight w:val="57"/>
        </w:trPr>
        <w:tc>
          <w:tcPr>
            <w:tcW w:w="3111" w:type="dxa"/>
            <w:shd w:val="clear" w:color="auto" w:fill="auto"/>
          </w:tcPr>
          <w:p w14:paraId="6AE086A3" w14:textId="77777777" w:rsidR="00A70998" w:rsidRPr="002D2F67" w:rsidRDefault="00A70998" w:rsidP="00A70998">
            <w:pPr>
              <w:ind w:left="148" w:right="-208"/>
              <w:rPr>
                <w:rFonts w:ascii="Arial" w:hAnsi="Arial" w:cs="Arial"/>
                <w:color w:val="000000"/>
                <w:sz w:val="14"/>
                <w:szCs w:val="14"/>
              </w:rPr>
            </w:pPr>
            <w:r w:rsidRPr="002D2F67">
              <w:rPr>
                <w:rFonts w:ascii="Arial" w:hAnsi="Arial" w:cs="Arial"/>
                <w:color w:val="000000"/>
                <w:sz w:val="14"/>
                <w:szCs w:val="14"/>
              </w:rPr>
              <w:t>EA Solar Nakornsawan Co., Ltd.</w:t>
            </w:r>
            <w:r w:rsidR="006E22E2" w:rsidRPr="002D2F67">
              <w:rPr>
                <w:rFonts w:ascii="Arial" w:hAnsi="Arial" w:cs="Arial"/>
                <w:color w:val="000000"/>
                <w:sz w:val="14"/>
                <w:szCs w:val="14"/>
              </w:rPr>
              <w:t xml:space="preserve"> </w:t>
            </w:r>
          </w:p>
          <w:p w14:paraId="7A5220BF" w14:textId="30351866" w:rsidR="006E22E2" w:rsidRPr="002D2F67" w:rsidRDefault="006E22E2" w:rsidP="00A70998">
            <w:pPr>
              <w:ind w:left="148" w:right="-208"/>
              <w:rPr>
                <w:rFonts w:ascii="Arial" w:hAnsi="Arial" w:cs="Arial"/>
                <w:color w:val="000000"/>
                <w:sz w:val="14"/>
                <w:szCs w:val="14"/>
              </w:rPr>
            </w:pPr>
            <w:r w:rsidRPr="002D2F67">
              <w:rPr>
                <w:rFonts w:ascii="Arial" w:hAnsi="Arial" w:cs="Arial"/>
                <w:color w:val="000000"/>
                <w:sz w:val="14"/>
                <w:szCs w:val="14"/>
              </w:rPr>
              <w:t xml:space="preserve">   (in liquidation process)</w:t>
            </w:r>
          </w:p>
        </w:tc>
        <w:tc>
          <w:tcPr>
            <w:tcW w:w="2957" w:type="dxa"/>
            <w:shd w:val="clear" w:color="auto" w:fill="auto"/>
          </w:tcPr>
          <w:p w14:paraId="3BBF2E35" w14:textId="2BDAC67F" w:rsidR="00A70998" w:rsidRPr="002D2F67" w:rsidRDefault="00A70998" w:rsidP="00A70998">
            <w:pPr>
              <w:tabs>
                <w:tab w:val="left" w:pos="-3402"/>
                <w:tab w:val="left" w:pos="-3261"/>
                <w:tab w:val="left" w:pos="-3119"/>
              </w:tabs>
              <w:ind w:left="-29" w:right="-54"/>
              <w:rPr>
                <w:rFonts w:ascii="Arial" w:hAnsi="Arial" w:cs="Arial"/>
                <w:color w:val="000000"/>
                <w:sz w:val="14"/>
                <w:szCs w:val="14"/>
              </w:rPr>
            </w:pPr>
            <w:r w:rsidRPr="002D2F67">
              <w:rPr>
                <w:rFonts w:ascii="Arial" w:hAnsi="Arial" w:cs="Arial"/>
                <w:color w:val="000000"/>
                <w:sz w:val="14"/>
                <w:szCs w:val="14"/>
              </w:rPr>
              <w:t>Manufacturing and distributing electricity</w:t>
            </w:r>
            <w:r w:rsidRPr="002D2F67">
              <w:rPr>
                <w:rFonts w:ascii="Arial" w:hAnsi="Arial" w:cs="Arial"/>
                <w:color w:val="000000"/>
                <w:sz w:val="14"/>
                <w:szCs w:val="14"/>
              </w:rPr>
              <w:br/>
              <w:t xml:space="preserve">   from solar energy</w:t>
            </w:r>
          </w:p>
        </w:tc>
        <w:tc>
          <w:tcPr>
            <w:tcW w:w="1058" w:type="dxa"/>
            <w:shd w:val="clear" w:color="auto" w:fill="auto"/>
          </w:tcPr>
          <w:p w14:paraId="305C739B" w14:textId="02095F0F" w:rsidR="00A70998" w:rsidRPr="002D2F67" w:rsidRDefault="00CD5714" w:rsidP="00A70998">
            <w:pPr>
              <w:ind w:right="-84"/>
              <w:jc w:val="right"/>
              <w:rPr>
                <w:rFonts w:ascii="Arial" w:hAnsi="Arial" w:cs="Arial"/>
                <w:color w:val="000000"/>
                <w:sz w:val="14"/>
                <w:szCs w:val="14"/>
              </w:rPr>
            </w:pPr>
            <w:r w:rsidRPr="00CD5714">
              <w:rPr>
                <w:rFonts w:ascii="Arial" w:hAnsi="Arial" w:cs="Arial"/>
                <w:color w:val="000000"/>
                <w:sz w:val="14"/>
                <w:szCs w:val="14"/>
                <w:lang w:val="en-GB"/>
              </w:rPr>
              <w:t>99</w:t>
            </w:r>
            <w:r w:rsidR="00A70998"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058" w:type="dxa"/>
            <w:shd w:val="clear" w:color="auto" w:fill="auto"/>
          </w:tcPr>
          <w:p w14:paraId="65CBDEAB" w14:textId="3CEC7C32" w:rsidR="00A70998" w:rsidRPr="002D2F67" w:rsidRDefault="00CD5714" w:rsidP="00A70998">
            <w:pPr>
              <w:ind w:right="-84"/>
              <w:jc w:val="right"/>
              <w:rPr>
                <w:rFonts w:ascii="Arial" w:hAnsi="Arial" w:cs="Arial"/>
                <w:color w:val="000000"/>
                <w:sz w:val="14"/>
                <w:szCs w:val="14"/>
              </w:rPr>
            </w:pPr>
            <w:r w:rsidRPr="00CD5714">
              <w:rPr>
                <w:rFonts w:ascii="Arial" w:hAnsi="Arial" w:cs="Arial"/>
                <w:color w:val="000000"/>
                <w:sz w:val="14"/>
                <w:szCs w:val="14"/>
                <w:lang w:val="en-GB"/>
              </w:rPr>
              <w:t>99</w:t>
            </w:r>
            <w:r w:rsidR="00A70998"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057" w:type="dxa"/>
            <w:shd w:val="clear" w:color="auto" w:fill="auto"/>
          </w:tcPr>
          <w:p w14:paraId="592A2C66" w14:textId="113C43C5" w:rsidR="00A70998" w:rsidRPr="002D2F67" w:rsidRDefault="00A70998" w:rsidP="00A70998">
            <w:pPr>
              <w:ind w:right="-66"/>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41F61C92" w14:textId="7E4C6DD7" w:rsidR="00A70998" w:rsidRPr="002D2F67" w:rsidRDefault="00A70998" w:rsidP="00A70998">
            <w:pPr>
              <w:ind w:right="-66"/>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19B2ECE0" w14:textId="67A34D11" w:rsidR="00A70998" w:rsidRPr="002D2F67" w:rsidRDefault="00CD5714" w:rsidP="00A70998">
            <w:pPr>
              <w:ind w:right="-83"/>
              <w:jc w:val="right"/>
              <w:rPr>
                <w:rFonts w:ascii="Arial" w:hAnsi="Arial" w:cs="Arial"/>
                <w:color w:val="000000"/>
                <w:sz w:val="14"/>
                <w:szCs w:val="14"/>
              </w:rPr>
            </w:pPr>
            <w:r w:rsidRPr="00CD5714">
              <w:rPr>
                <w:rFonts w:ascii="Arial" w:hAnsi="Arial" w:cs="Arial"/>
                <w:color w:val="000000"/>
                <w:sz w:val="14"/>
                <w:szCs w:val="14"/>
                <w:lang w:val="en-GB"/>
              </w:rPr>
              <w:t>7</w:t>
            </w:r>
            <w:r w:rsidR="00A70998" w:rsidRPr="002D2F67">
              <w:rPr>
                <w:rFonts w:ascii="Arial" w:hAnsi="Arial" w:cs="Arial"/>
                <w:color w:val="000000"/>
                <w:sz w:val="14"/>
                <w:szCs w:val="14"/>
              </w:rPr>
              <w:t>,</w:t>
            </w:r>
            <w:r w:rsidRPr="00CD5714">
              <w:rPr>
                <w:rFonts w:ascii="Arial" w:hAnsi="Arial" w:cs="Arial"/>
                <w:color w:val="000000"/>
                <w:sz w:val="14"/>
                <w:szCs w:val="14"/>
                <w:lang w:val="en-GB"/>
              </w:rPr>
              <w:t>890</w:t>
            </w:r>
            <w:r w:rsidR="00A70998" w:rsidRPr="002D2F67">
              <w:rPr>
                <w:rFonts w:ascii="Arial" w:hAnsi="Arial" w:cs="Arial"/>
                <w:color w:val="000000"/>
                <w:sz w:val="14"/>
                <w:szCs w:val="14"/>
              </w:rPr>
              <w:t>,</w:t>
            </w:r>
            <w:r w:rsidRPr="00CD5714">
              <w:rPr>
                <w:rFonts w:ascii="Arial" w:hAnsi="Arial" w:cs="Arial"/>
                <w:color w:val="000000"/>
                <w:sz w:val="14"/>
                <w:szCs w:val="14"/>
                <w:lang w:val="en-GB"/>
              </w:rPr>
              <w:t>000</w:t>
            </w:r>
          </w:p>
        </w:tc>
        <w:tc>
          <w:tcPr>
            <w:tcW w:w="1057" w:type="dxa"/>
            <w:shd w:val="clear" w:color="auto" w:fill="auto"/>
          </w:tcPr>
          <w:p w14:paraId="00360D11" w14:textId="1FB97600" w:rsidR="00A70998" w:rsidRPr="002D2F67" w:rsidRDefault="00CD5714" w:rsidP="00A70998">
            <w:pPr>
              <w:ind w:right="-83"/>
              <w:jc w:val="right"/>
              <w:rPr>
                <w:rFonts w:ascii="Arial" w:hAnsi="Arial" w:cs="Arial"/>
                <w:color w:val="000000"/>
                <w:sz w:val="14"/>
                <w:szCs w:val="14"/>
              </w:rPr>
            </w:pPr>
            <w:r w:rsidRPr="00CD5714">
              <w:rPr>
                <w:rFonts w:ascii="Arial" w:hAnsi="Arial" w:cs="Arial"/>
                <w:color w:val="000000"/>
                <w:sz w:val="14"/>
                <w:szCs w:val="14"/>
                <w:lang w:val="en-GB"/>
              </w:rPr>
              <w:t>7</w:t>
            </w:r>
            <w:r w:rsidR="00A70998" w:rsidRPr="002D2F67">
              <w:rPr>
                <w:rFonts w:ascii="Arial" w:hAnsi="Arial" w:cs="Arial"/>
                <w:color w:val="000000"/>
                <w:sz w:val="14"/>
                <w:szCs w:val="14"/>
              </w:rPr>
              <w:t>,</w:t>
            </w:r>
            <w:r w:rsidRPr="00CD5714">
              <w:rPr>
                <w:rFonts w:ascii="Arial" w:hAnsi="Arial" w:cs="Arial"/>
                <w:color w:val="000000"/>
                <w:sz w:val="14"/>
                <w:szCs w:val="14"/>
                <w:lang w:val="en-GB"/>
              </w:rPr>
              <w:t>890</w:t>
            </w:r>
            <w:r w:rsidR="00A70998" w:rsidRPr="002D2F67">
              <w:rPr>
                <w:rFonts w:ascii="Arial" w:hAnsi="Arial" w:cs="Arial"/>
                <w:color w:val="000000"/>
                <w:sz w:val="14"/>
                <w:szCs w:val="14"/>
              </w:rPr>
              <w:t>,</w:t>
            </w:r>
            <w:r w:rsidRPr="00CD5714">
              <w:rPr>
                <w:rFonts w:ascii="Arial" w:hAnsi="Arial" w:cs="Arial"/>
                <w:color w:val="000000"/>
                <w:sz w:val="14"/>
                <w:szCs w:val="14"/>
                <w:lang w:val="en-GB"/>
              </w:rPr>
              <w:t>000</w:t>
            </w:r>
          </w:p>
        </w:tc>
        <w:tc>
          <w:tcPr>
            <w:tcW w:w="1057" w:type="dxa"/>
            <w:shd w:val="clear" w:color="auto" w:fill="auto"/>
          </w:tcPr>
          <w:p w14:paraId="34A007CA" w14:textId="41A24020" w:rsidR="00A70998" w:rsidRPr="002D2F67" w:rsidRDefault="007118FA" w:rsidP="00A70998">
            <w:pPr>
              <w:ind w:right="-83"/>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7A579637" w14:textId="2020491B" w:rsidR="00A70998" w:rsidRPr="002D2F67" w:rsidRDefault="00CD5714" w:rsidP="00A70998">
            <w:pPr>
              <w:ind w:right="-83"/>
              <w:jc w:val="right"/>
              <w:rPr>
                <w:rFonts w:ascii="Arial" w:hAnsi="Arial" w:cs="Arial"/>
                <w:color w:val="000000"/>
                <w:sz w:val="14"/>
                <w:szCs w:val="14"/>
              </w:rPr>
            </w:pPr>
            <w:r w:rsidRPr="00CD5714">
              <w:rPr>
                <w:rFonts w:ascii="Arial" w:hAnsi="Arial" w:cs="Arial"/>
                <w:color w:val="000000"/>
                <w:sz w:val="14"/>
                <w:szCs w:val="14"/>
                <w:lang w:val="en-GB"/>
              </w:rPr>
              <w:t>2</w:t>
            </w:r>
            <w:r w:rsidR="00A70998" w:rsidRPr="002D2F67">
              <w:rPr>
                <w:rFonts w:ascii="Arial" w:hAnsi="Arial" w:cs="Arial"/>
                <w:color w:val="000000"/>
                <w:sz w:val="14"/>
                <w:szCs w:val="14"/>
              </w:rPr>
              <w:t>,</w:t>
            </w:r>
            <w:r w:rsidRPr="00CD5714">
              <w:rPr>
                <w:rFonts w:ascii="Arial" w:hAnsi="Arial" w:cs="Arial"/>
                <w:color w:val="000000"/>
                <w:sz w:val="14"/>
                <w:szCs w:val="14"/>
                <w:lang w:val="en-GB"/>
              </w:rPr>
              <w:t>942</w:t>
            </w:r>
            <w:r w:rsidR="00A70998" w:rsidRPr="002D2F67">
              <w:rPr>
                <w:rFonts w:ascii="Arial" w:hAnsi="Arial" w:cs="Arial"/>
                <w:color w:val="000000"/>
                <w:sz w:val="14"/>
                <w:szCs w:val="14"/>
              </w:rPr>
              <w:t>,</w:t>
            </w:r>
            <w:r w:rsidRPr="00CD5714">
              <w:rPr>
                <w:rFonts w:ascii="Arial" w:hAnsi="Arial" w:cs="Arial"/>
                <w:color w:val="000000"/>
                <w:sz w:val="14"/>
                <w:szCs w:val="14"/>
                <w:lang w:val="en-GB"/>
              </w:rPr>
              <w:t>639</w:t>
            </w:r>
          </w:p>
        </w:tc>
      </w:tr>
      <w:tr w:rsidR="00A70998" w:rsidRPr="002D2F67" w14:paraId="23EAB589" w14:textId="77777777" w:rsidTr="005611FE">
        <w:trPr>
          <w:cantSplit/>
          <w:trHeight w:val="57"/>
        </w:trPr>
        <w:tc>
          <w:tcPr>
            <w:tcW w:w="3111" w:type="dxa"/>
            <w:shd w:val="clear" w:color="auto" w:fill="auto"/>
          </w:tcPr>
          <w:p w14:paraId="78A98505" w14:textId="77777777" w:rsidR="00A70998" w:rsidRPr="002D2F67" w:rsidRDefault="00A70998" w:rsidP="00A70998">
            <w:pPr>
              <w:tabs>
                <w:tab w:val="left" w:pos="197"/>
              </w:tabs>
              <w:ind w:left="148" w:right="-194"/>
              <w:rPr>
                <w:rFonts w:ascii="Arial" w:hAnsi="Arial" w:cs="Arial"/>
                <w:color w:val="000000"/>
                <w:sz w:val="14"/>
                <w:szCs w:val="14"/>
              </w:rPr>
            </w:pPr>
            <w:r w:rsidRPr="002D2F67">
              <w:rPr>
                <w:rFonts w:ascii="Arial" w:hAnsi="Arial" w:cs="Arial"/>
                <w:color w:val="000000"/>
                <w:sz w:val="14"/>
                <w:szCs w:val="14"/>
              </w:rPr>
              <w:t>Energy Solution Management Co., Ltd.</w:t>
            </w:r>
          </w:p>
        </w:tc>
        <w:tc>
          <w:tcPr>
            <w:tcW w:w="2957" w:type="dxa"/>
            <w:shd w:val="clear" w:color="auto" w:fill="auto"/>
          </w:tcPr>
          <w:p w14:paraId="1A610376" w14:textId="77777777" w:rsidR="00A70998" w:rsidRPr="002D2F67" w:rsidRDefault="00A70998" w:rsidP="00A70998">
            <w:pPr>
              <w:tabs>
                <w:tab w:val="left" w:pos="-3402"/>
                <w:tab w:val="left" w:pos="-3261"/>
                <w:tab w:val="left" w:pos="-3119"/>
              </w:tabs>
              <w:ind w:left="-29"/>
              <w:rPr>
                <w:rFonts w:ascii="Arial" w:hAnsi="Arial" w:cs="Arial"/>
                <w:color w:val="000000"/>
                <w:sz w:val="14"/>
                <w:szCs w:val="14"/>
              </w:rPr>
            </w:pPr>
            <w:r w:rsidRPr="002D2F67">
              <w:rPr>
                <w:rFonts w:ascii="Arial" w:hAnsi="Arial" w:cs="Arial"/>
                <w:color w:val="000000"/>
                <w:sz w:val="14"/>
                <w:szCs w:val="14"/>
              </w:rPr>
              <w:t>Consulting in the construction project</w:t>
            </w:r>
          </w:p>
        </w:tc>
        <w:tc>
          <w:tcPr>
            <w:tcW w:w="1058" w:type="dxa"/>
            <w:shd w:val="clear" w:color="auto" w:fill="auto"/>
          </w:tcPr>
          <w:p w14:paraId="16CE760D" w14:textId="381FD700" w:rsidR="00A70998" w:rsidRPr="002D2F67" w:rsidRDefault="00CD5714" w:rsidP="00A70998">
            <w:pPr>
              <w:ind w:left="-122" w:right="-84"/>
              <w:jc w:val="right"/>
              <w:rPr>
                <w:rFonts w:ascii="Arial" w:hAnsi="Arial" w:cs="Arial"/>
                <w:color w:val="000000"/>
                <w:sz w:val="14"/>
                <w:szCs w:val="14"/>
              </w:rPr>
            </w:pPr>
            <w:r w:rsidRPr="00CD5714">
              <w:rPr>
                <w:rFonts w:ascii="Arial" w:hAnsi="Arial" w:cs="Arial"/>
                <w:color w:val="000000"/>
                <w:sz w:val="14"/>
                <w:szCs w:val="14"/>
                <w:lang w:val="en-GB"/>
              </w:rPr>
              <w:t>99</w:t>
            </w:r>
            <w:r w:rsidR="00A70998"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058" w:type="dxa"/>
            <w:shd w:val="clear" w:color="auto" w:fill="auto"/>
          </w:tcPr>
          <w:p w14:paraId="09937C56" w14:textId="0AA2B7BC" w:rsidR="00A70998" w:rsidRPr="002D2F67" w:rsidRDefault="00CD5714" w:rsidP="00A70998">
            <w:pPr>
              <w:ind w:left="-122" w:right="-84"/>
              <w:jc w:val="right"/>
              <w:rPr>
                <w:rFonts w:ascii="Arial" w:hAnsi="Arial" w:cs="Arial"/>
                <w:color w:val="000000"/>
                <w:sz w:val="14"/>
                <w:szCs w:val="14"/>
              </w:rPr>
            </w:pPr>
            <w:r w:rsidRPr="00CD5714">
              <w:rPr>
                <w:rFonts w:ascii="Arial" w:hAnsi="Arial" w:cs="Arial"/>
                <w:color w:val="000000"/>
                <w:sz w:val="14"/>
                <w:szCs w:val="14"/>
                <w:lang w:val="en-GB"/>
              </w:rPr>
              <w:t>99</w:t>
            </w:r>
            <w:r w:rsidR="00A70998"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057" w:type="dxa"/>
            <w:shd w:val="clear" w:color="auto" w:fill="auto"/>
          </w:tcPr>
          <w:p w14:paraId="7A1597C6" w14:textId="5000864D" w:rsidR="00A70998" w:rsidRPr="002D2F67" w:rsidRDefault="00A70998" w:rsidP="00A70998">
            <w:pPr>
              <w:ind w:left="-122" w:right="-66"/>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296C9166" w14:textId="1A47F5C3" w:rsidR="00A70998" w:rsidRPr="002D2F67" w:rsidRDefault="00A70998" w:rsidP="00A70998">
            <w:pPr>
              <w:ind w:left="-122" w:right="-66"/>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4512C34E" w14:textId="75945058" w:rsidR="00A70998" w:rsidRPr="002D2F67" w:rsidRDefault="00CD5714" w:rsidP="00A70998">
            <w:pPr>
              <w:ind w:right="-83"/>
              <w:jc w:val="right"/>
              <w:rPr>
                <w:rFonts w:ascii="Arial" w:hAnsi="Arial" w:cs="Arial"/>
                <w:color w:val="000000"/>
                <w:sz w:val="14"/>
                <w:szCs w:val="14"/>
              </w:rPr>
            </w:pPr>
            <w:r w:rsidRPr="00CD5714">
              <w:rPr>
                <w:rFonts w:ascii="Arial" w:hAnsi="Arial" w:cs="Arial"/>
                <w:color w:val="000000"/>
                <w:sz w:val="14"/>
                <w:szCs w:val="14"/>
                <w:lang w:val="en-GB"/>
              </w:rPr>
              <w:t>530</w:t>
            </w:r>
            <w:r w:rsidR="00A70998" w:rsidRPr="002D2F67">
              <w:rPr>
                <w:rFonts w:ascii="Arial" w:hAnsi="Arial" w:cs="Arial"/>
                <w:color w:val="000000"/>
                <w:sz w:val="14"/>
                <w:szCs w:val="14"/>
              </w:rPr>
              <w:t>,</w:t>
            </w:r>
            <w:r w:rsidRPr="00CD5714">
              <w:rPr>
                <w:rFonts w:ascii="Arial" w:hAnsi="Arial" w:cs="Arial"/>
                <w:color w:val="000000"/>
                <w:sz w:val="14"/>
                <w:szCs w:val="14"/>
                <w:lang w:val="en-GB"/>
              </w:rPr>
              <w:t>000</w:t>
            </w:r>
          </w:p>
        </w:tc>
        <w:tc>
          <w:tcPr>
            <w:tcW w:w="1057" w:type="dxa"/>
            <w:shd w:val="clear" w:color="auto" w:fill="auto"/>
          </w:tcPr>
          <w:p w14:paraId="7BDB6B96" w14:textId="54C9E5DE" w:rsidR="00A70998" w:rsidRPr="002D2F67" w:rsidRDefault="00CD5714" w:rsidP="00A70998">
            <w:pPr>
              <w:ind w:right="-83"/>
              <w:jc w:val="right"/>
              <w:rPr>
                <w:rFonts w:ascii="Arial" w:hAnsi="Arial" w:cs="Arial"/>
                <w:color w:val="000000"/>
                <w:sz w:val="14"/>
                <w:szCs w:val="14"/>
              </w:rPr>
            </w:pPr>
            <w:r w:rsidRPr="00CD5714">
              <w:rPr>
                <w:rFonts w:ascii="Arial" w:hAnsi="Arial" w:cs="Arial"/>
                <w:color w:val="000000"/>
                <w:sz w:val="14"/>
                <w:szCs w:val="14"/>
                <w:lang w:val="en-GB"/>
              </w:rPr>
              <w:t>530</w:t>
            </w:r>
            <w:r w:rsidR="00A70998" w:rsidRPr="002D2F67">
              <w:rPr>
                <w:rFonts w:ascii="Arial" w:hAnsi="Arial" w:cs="Arial"/>
                <w:color w:val="000000"/>
                <w:sz w:val="14"/>
                <w:szCs w:val="14"/>
              </w:rPr>
              <w:t>,</w:t>
            </w:r>
            <w:r w:rsidRPr="00CD5714">
              <w:rPr>
                <w:rFonts w:ascii="Arial" w:hAnsi="Arial" w:cs="Arial"/>
                <w:color w:val="000000"/>
                <w:sz w:val="14"/>
                <w:szCs w:val="14"/>
                <w:lang w:val="en-GB"/>
              </w:rPr>
              <w:t>000</w:t>
            </w:r>
          </w:p>
        </w:tc>
        <w:tc>
          <w:tcPr>
            <w:tcW w:w="1057" w:type="dxa"/>
            <w:shd w:val="clear" w:color="auto" w:fill="auto"/>
          </w:tcPr>
          <w:p w14:paraId="2BBB5B0B" w14:textId="3FF3E77D" w:rsidR="00A70998" w:rsidRPr="002D2F67" w:rsidRDefault="0068744A" w:rsidP="00A70998">
            <w:pPr>
              <w:ind w:right="-83"/>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4DA09115" w14:textId="25BE27FD" w:rsidR="00A70998" w:rsidRPr="002D2F67" w:rsidRDefault="00A70998" w:rsidP="00A70998">
            <w:pPr>
              <w:ind w:right="-83"/>
              <w:jc w:val="right"/>
              <w:rPr>
                <w:rFonts w:ascii="Arial" w:hAnsi="Arial" w:cs="Arial"/>
                <w:color w:val="000000"/>
                <w:sz w:val="14"/>
                <w:szCs w:val="14"/>
              </w:rPr>
            </w:pPr>
            <w:r w:rsidRPr="002D2F67">
              <w:rPr>
                <w:rFonts w:ascii="Arial" w:hAnsi="Arial" w:cs="Arial"/>
                <w:color w:val="000000"/>
                <w:sz w:val="14"/>
                <w:szCs w:val="14"/>
              </w:rPr>
              <w:t>-</w:t>
            </w:r>
          </w:p>
        </w:tc>
      </w:tr>
      <w:tr w:rsidR="00A70998" w:rsidRPr="002D2F67" w14:paraId="19470894" w14:textId="77777777" w:rsidTr="005611FE">
        <w:trPr>
          <w:cantSplit/>
          <w:trHeight w:val="57"/>
        </w:trPr>
        <w:tc>
          <w:tcPr>
            <w:tcW w:w="3111" w:type="dxa"/>
            <w:shd w:val="clear" w:color="auto" w:fill="auto"/>
            <w:vAlign w:val="bottom"/>
          </w:tcPr>
          <w:p w14:paraId="7E43199D" w14:textId="77777777" w:rsidR="00A70998" w:rsidRPr="002D2F67" w:rsidRDefault="00A70998" w:rsidP="00A70998">
            <w:pPr>
              <w:tabs>
                <w:tab w:val="left" w:pos="197"/>
              </w:tabs>
              <w:ind w:left="148" w:right="-194"/>
              <w:rPr>
                <w:rFonts w:ascii="Arial" w:hAnsi="Arial" w:cs="Arial"/>
                <w:color w:val="000000"/>
                <w:sz w:val="14"/>
                <w:szCs w:val="14"/>
              </w:rPr>
            </w:pPr>
            <w:r w:rsidRPr="002D2F67">
              <w:rPr>
                <w:rFonts w:ascii="Arial" w:hAnsi="Arial" w:cs="Arial"/>
                <w:color w:val="000000"/>
                <w:sz w:val="14"/>
                <w:szCs w:val="14"/>
              </w:rPr>
              <w:t>EA Renewable Holding Co., Ltd.</w:t>
            </w:r>
          </w:p>
          <w:p w14:paraId="6F3A9BDC" w14:textId="77777777" w:rsidR="00A70998" w:rsidRPr="002D2F67" w:rsidRDefault="00A70998" w:rsidP="00A70998">
            <w:pPr>
              <w:tabs>
                <w:tab w:val="left" w:pos="197"/>
              </w:tabs>
              <w:ind w:left="148" w:right="-194"/>
              <w:rPr>
                <w:rFonts w:ascii="Arial" w:hAnsi="Arial" w:cs="Arial"/>
                <w:color w:val="000000"/>
                <w:sz w:val="14"/>
                <w:szCs w:val="14"/>
              </w:rPr>
            </w:pPr>
          </w:p>
        </w:tc>
        <w:tc>
          <w:tcPr>
            <w:tcW w:w="2957" w:type="dxa"/>
            <w:shd w:val="clear" w:color="auto" w:fill="auto"/>
          </w:tcPr>
          <w:p w14:paraId="367A42A1" w14:textId="7F185EC7" w:rsidR="00A70998" w:rsidRPr="002D2F67" w:rsidRDefault="00A70998" w:rsidP="00A70998">
            <w:pPr>
              <w:tabs>
                <w:tab w:val="left" w:pos="-3402"/>
                <w:tab w:val="left" w:pos="-3261"/>
                <w:tab w:val="left" w:pos="-3119"/>
              </w:tabs>
              <w:ind w:left="-29"/>
              <w:rPr>
                <w:rFonts w:ascii="Arial" w:hAnsi="Arial" w:cs="Arial"/>
                <w:color w:val="000000"/>
                <w:sz w:val="14"/>
                <w:szCs w:val="14"/>
              </w:rPr>
            </w:pPr>
            <w:r w:rsidRPr="002D2F67">
              <w:rPr>
                <w:rFonts w:ascii="Arial" w:hAnsi="Arial" w:cs="Arial"/>
                <w:color w:val="000000"/>
                <w:sz w:val="14"/>
                <w:szCs w:val="14"/>
              </w:rPr>
              <w:t>Investing in manufacturing and distributing</w:t>
            </w:r>
            <w:r w:rsidRPr="002D2F67">
              <w:rPr>
                <w:rFonts w:ascii="Arial" w:hAnsi="Arial" w:cs="Arial"/>
                <w:color w:val="000000"/>
                <w:sz w:val="14"/>
                <w:szCs w:val="14"/>
              </w:rPr>
              <w:br/>
              <w:t xml:space="preserve">   electricity business</w:t>
            </w:r>
          </w:p>
        </w:tc>
        <w:tc>
          <w:tcPr>
            <w:tcW w:w="1058" w:type="dxa"/>
            <w:shd w:val="clear" w:color="auto" w:fill="auto"/>
          </w:tcPr>
          <w:p w14:paraId="0B5AF023" w14:textId="28C78B80" w:rsidR="00A70998" w:rsidRPr="002D2F67" w:rsidRDefault="00CD5714" w:rsidP="00A70998">
            <w:pPr>
              <w:ind w:left="-122" w:right="-84"/>
              <w:jc w:val="right"/>
              <w:rPr>
                <w:rFonts w:ascii="Arial" w:hAnsi="Arial" w:cs="Arial"/>
                <w:color w:val="000000"/>
                <w:sz w:val="14"/>
                <w:szCs w:val="14"/>
              </w:rPr>
            </w:pPr>
            <w:r w:rsidRPr="00CD5714">
              <w:rPr>
                <w:rFonts w:ascii="Arial" w:hAnsi="Arial" w:cs="Arial"/>
                <w:color w:val="000000"/>
                <w:sz w:val="14"/>
                <w:szCs w:val="14"/>
                <w:lang w:val="en-GB"/>
              </w:rPr>
              <w:t>99</w:t>
            </w:r>
            <w:r w:rsidR="00A70998"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058" w:type="dxa"/>
            <w:shd w:val="clear" w:color="auto" w:fill="auto"/>
          </w:tcPr>
          <w:p w14:paraId="3ABB136E" w14:textId="0249E39D" w:rsidR="00A70998" w:rsidRPr="002D2F67" w:rsidRDefault="00CD5714" w:rsidP="00A70998">
            <w:pPr>
              <w:ind w:left="-122" w:right="-84"/>
              <w:jc w:val="right"/>
              <w:rPr>
                <w:rFonts w:ascii="Arial" w:hAnsi="Arial" w:cs="Arial"/>
                <w:color w:val="000000"/>
                <w:sz w:val="14"/>
                <w:szCs w:val="14"/>
              </w:rPr>
            </w:pPr>
            <w:r w:rsidRPr="00CD5714">
              <w:rPr>
                <w:rFonts w:ascii="Arial" w:hAnsi="Arial" w:cs="Arial"/>
                <w:color w:val="000000"/>
                <w:sz w:val="14"/>
                <w:szCs w:val="14"/>
                <w:lang w:val="en-GB"/>
              </w:rPr>
              <w:t>99</w:t>
            </w:r>
            <w:r w:rsidR="00A70998"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057" w:type="dxa"/>
            <w:shd w:val="clear" w:color="auto" w:fill="auto"/>
          </w:tcPr>
          <w:p w14:paraId="35E53CF3" w14:textId="3F2D187B" w:rsidR="00A70998" w:rsidRPr="002D2F67" w:rsidRDefault="00A70998" w:rsidP="00A70998">
            <w:pPr>
              <w:ind w:left="-122" w:right="-66"/>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366015E3" w14:textId="41851989" w:rsidR="00A70998" w:rsidRPr="002D2F67" w:rsidRDefault="00A70998" w:rsidP="00A70998">
            <w:pPr>
              <w:ind w:left="-122" w:right="-66"/>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1F34769D" w14:textId="2935F981" w:rsidR="00A70998" w:rsidRPr="002D2F67" w:rsidRDefault="00CD5714" w:rsidP="00A70998">
            <w:pPr>
              <w:ind w:right="-83"/>
              <w:jc w:val="right"/>
              <w:rPr>
                <w:rFonts w:ascii="Arial" w:hAnsi="Arial" w:cs="Arial"/>
                <w:color w:val="000000"/>
                <w:sz w:val="14"/>
                <w:szCs w:val="14"/>
              </w:rPr>
            </w:pPr>
            <w:r w:rsidRPr="00CD5714">
              <w:rPr>
                <w:rFonts w:ascii="Arial" w:hAnsi="Arial" w:cs="Arial"/>
                <w:color w:val="000000"/>
                <w:sz w:val="14"/>
                <w:szCs w:val="14"/>
                <w:lang w:val="en-GB"/>
              </w:rPr>
              <w:t>7</w:t>
            </w:r>
            <w:r w:rsidR="00A70998" w:rsidRPr="002D2F67">
              <w:rPr>
                <w:rFonts w:ascii="Arial" w:hAnsi="Arial" w:cs="Arial"/>
                <w:color w:val="000000"/>
                <w:sz w:val="14"/>
                <w:szCs w:val="14"/>
              </w:rPr>
              <w:t>,</w:t>
            </w:r>
            <w:r w:rsidRPr="00CD5714">
              <w:rPr>
                <w:rFonts w:ascii="Arial" w:hAnsi="Arial" w:cs="Arial"/>
                <w:color w:val="000000"/>
                <w:sz w:val="14"/>
                <w:szCs w:val="14"/>
                <w:lang w:val="en-GB"/>
              </w:rPr>
              <w:t>383</w:t>
            </w:r>
            <w:r w:rsidR="00A70998" w:rsidRPr="002D2F67">
              <w:rPr>
                <w:rFonts w:ascii="Arial" w:hAnsi="Arial" w:cs="Arial"/>
                <w:color w:val="000000"/>
                <w:sz w:val="14"/>
                <w:szCs w:val="14"/>
              </w:rPr>
              <w:t>,</w:t>
            </w:r>
            <w:r w:rsidRPr="00CD5714">
              <w:rPr>
                <w:rFonts w:ascii="Arial" w:hAnsi="Arial" w:cs="Arial"/>
                <w:color w:val="000000"/>
                <w:sz w:val="14"/>
                <w:szCs w:val="14"/>
                <w:lang w:val="en-GB"/>
              </w:rPr>
              <w:t>700</w:t>
            </w:r>
          </w:p>
        </w:tc>
        <w:tc>
          <w:tcPr>
            <w:tcW w:w="1057" w:type="dxa"/>
            <w:shd w:val="clear" w:color="auto" w:fill="auto"/>
          </w:tcPr>
          <w:p w14:paraId="3AB73403" w14:textId="33477716" w:rsidR="00A70998" w:rsidRPr="002D2F67" w:rsidRDefault="00CD5714" w:rsidP="00A70998">
            <w:pPr>
              <w:ind w:right="-83"/>
              <w:jc w:val="right"/>
              <w:rPr>
                <w:rFonts w:ascii="Arial" w:hAnsi="Arial" w:cs="Arial"/>
                <w:color w:val="000000"/>
                <w:sz w:val="14"/>
                <w:szCs w:val="14"/>
              </w:rPr>
            </w:pPr>
            <w:r w:rsidRPr="00CD5714">
              <w:rPr>
                <w:rFonts w:ascii="Arial" w:hAnsi="Arial" w:cs="Arial"/>
                <w:color w:val="000000"/>
                <w:sz w:val="14"/>
                <w:szCs w:val="14"/>
                <w:lang w:val="en-GB"/>
              </w:rPr>
              <w:t>7</w:t>
            </w:r>
            <w:r w:rsidR="00A70998" w:rsidRPr="002D2F67">
              <w:rPr>
                <w:rFonts w:ascii="Arial" w:hAnsi="Arial" w:cs="Arial"/>
                <w:color w:val="000000"/>
                <w:sz w:val="14"/>
                <w:szCs w:val="14"/>
              </w:rPr>
              <w:t>,</w:t>
            </w:r>
            <w:r w:rsidRPr="00CD5714">
              <w:rPr>
                <w:rFonts w:ascii="Arial" w:hAnsi="Arial" w:cs="Arial"/>
                <w:color w:val="000000"/>
                <w:sz w:val="14"/>
                <w:szCs w:val="14"/>
                <w:lang w:val="en-GB"/>
              </w:rPr>
              <w:t>383</w:t>
            </w:r>
            <w:r w:rsidR="00A70998" w:rsidRPr="002D2F67">
              <w:rPr>
                <w:rFonts w:ascii="Arial" w:hAnsi="Arial" w:cs="Arial"/>
                <w:color w:val="000000"/>
                <w:sz w:val="14"/>
                <w:szCs w:val="14"/>
              </w:rPr>
              <w:t>,</w:t>
            </w:r>
            <w:r w:rsidRPr="00CD5714">
              <w:rPr>
                <w:rFonts w:ascii="Arial" w:hAnsi="Arial" w:cs="Arial"/>
                <w:color w:val="000000"/>
                <w:sz w:val="14"/>
                <w:szCs w:val="14"/>
                <w:lang w:val="en-GB"/>
              </w:rPr>
              <w:t>700</w:t>
            </w:r>
          </w:p>
        </w:tc>
        <w:tc>
          <w:tcPr>
            <w:tcW w:w="1057" w:type="dxa"/>
            <w:shd w:val="clear" w:color="auto" w:fill="auto"/>
          </w:tcPr>
          <w:p w14:paraId="21531BCD" w14:textId="54F1A5C7" w:rsidR="00A70998" w:rsidRPr="002D2F67" w:rsidRDefault="00CD5714" w:rsidP="00A70998">
            <w:pPr>
              <w:ind w:right="-83"/>
              <w:jc w:val="right"/>
              <w:rPr>
                <w:rFonts w:ascii="Arial" w:hAnsi="Arial" w:cs="Arial"/>
                <w:color w:val="000000"/>
                <w:sz w:val="14"/>
                <w:szCs w:val="14"/>
              </w:rPr>
            </w:pPr>
            <w:r w:rsidRPr="00CD5714">
              <w:rPr>
                <w:rFonts w:ascii="Arial" w:hAnsi="Arial" w:cs="Arial"/>
                <w:color w:val="000000"/>
                <w:sz w:val="14"/>
                <w:szCs w:val="14"/>
                <w:lang w:val="en-GB"/>
              </w:rPr>
              <w:t>1</w:t>
            </w:r>
            <w:r w:rsidR="00705AF6" w:rsidRPr="002D2F67">
              <w:rPr>
                <w:rFonts w:ascii="Arial" w:hAnsi="Arial" w:cs="Arial"/>
                <w:color w:val="000000"/>
                <w:sz w:val="14"/>
                <w:szCs w:val="14"/>
              </w:rPr>
              <w:t>,</w:t>
            </w:r>
            <w:r w:rsidRPr="00CD5714">
              <w:rPr>
                <w:rFonts w:ascii="Arial" w:hAnsi="Arial" w:cs="Arial"/>
                <w:color w:val="000000"/>
                <w:sz w:val="14"/>
                <w:szCs w:val="14"/>
                <w:lang w:val="en-GB"/>
              </w:rPr>
              <w:t>152</w:t>
            </w:r>
            <w:r w:rsidR="00705AF6" w:rsidRPr="002D2F67">
              <w:rPr>
                <w:rFonts w:ascii="Arial" w:hAnsi="Arial" w:cs="Arial"/>
                <w:color w:val="000000"/>
                <w:sz w:val="14"/>
                <w:szCs w:val="14"/>
              </w:rPr>
              <w:t>,</w:t>
            </w:r>
            <w:r w:rsidRPr="00CD5714">
              <w:rPr>
                <w:rFonts w:ascii="Arial" w:hAnsi="Arial" w:cs="Arial"/>
                <w:color w:val="000000"/>
                <w:sz w:val="14"/>
                <w:szCs w:val="14"/>
                <w:lang w:val="en-GB"/>
              </w:rPr>
              <w:t>153</w:t>
            </w:r>
          </w:p>
        </w:tc>
        <w:tc>
          <w:tcPr>
            <w:tcW w:w="1057" w:type="dxa"/>
            <w:shd w:val="clear" w:color="auto" w:fill="auto"/>
          </w:tcPr>
          <w:p w14:paraId="0C5E509B" w14:textId="58998B01" w:rsidR="00A70998" w:rsidRPr="002D2F67" w:rsidRDefault="00CD5714" w:rsidP="00A70998">
            <w:pPr>
              <w:ind w:right="-83"/>
              <w:jc w:val="right"/>
              <w:rPr>
                <w:rFonts w:ascii="Arial" w:hAnsi="Arial" w:cs="Arial"/>
                <w:color w:val="000000"/>
                <w:sz w:val="14"/>
                <w:szCs w:val="14"/>
              </w:rPr>
            </w:pPr>
            <w:r w:rsidRPr="00CD5714">
              <w:rPr>
                <w:rFonts w:ascii="Arial" w:hAnsi="Arial" w:cs="Arial"/>
                <w:color w:val="000000"/>
                <w:sz w:val="14"/>
                <w:szCs w:val="14"/>
                <w:lang w:val="en-GB"/>
              </w:rPr>
              <w:t>8</w:t>
            </w:r>
            <w:r w:rsidR="00A70998" w:rsidRPr="002D2F67">
              <w:rPr>
                <w:rFonts w:ascii="Arial" w:hAnsi="Arial" w:cs="Arial"/>
                <w:color w:val="000000"/>
                <w:sz w:val="14"/>
                <w:szCs w:val="14"/>
              </w:rPr>
              <w:t>,</w:t>
            </w:r>
            <w:r w:rsidRPr="00CD5714">
              <w:rPr>
                <w:rFonts w:ascii="Arial" w:hAnsi="Arial" w:cs="Arial"/>
                <w:color w:val="000000"/>
                <w:sz w:val="14"/>
                <w:szCs w:val="14"/>
                <w:lang w:val="en-GB"/>
              </w:rPr>
              <w:t>602</w:t>
            </w:r>
            <w:r w:rsidR="00A70998" w:rsidRPr="002D2F67">
              <w:rPr>
                <w:rFonts w:ascii="Arial" w:hAnsi="Arial" w:cs="Arial"/>
                <w:color w:val="000000"/>
                <w:sz w:val="14"/>
                <w:szCs w:val="14"/>
              </w:rPr>
              <w:t>,</w:t>
            </w:r>
            <w:r w:rsidRPr="00CD5714">
              <w:rPr>
                <w:rFonts w:ascii="Arial" w:hAnsi="Arial" w:cs="Arial"/>
                <w:color w:val="000000"/>
                <w:sz w:val="14"/>
                <w:szCs w:val="14"/>
                <w:lang w:val="en-GB"/>
              </w:rPr>
              <w:t>683</w:t>
            </w:r>
          </w:p>
        </w:tc>
      </w:tr>
      <w:tr w:rsidR="00A70998" w:rsidRPr="002D2F67" w14:paraId="442059D4" w14:textId="77777777" w:rsidTr="005611FE">
        <w:trPr>
          <w:cantSplit/>
          <w:trHeight w:val="57"/>
        </w:trPr>
        <w:tc>
          <w:tcPr>
            <w:tcW w:w="3111" w:type="dxa"/>
            <w:shd w:val="clear" w:color="auto" w:fill="auto"/>
          </w:tcPr>
          <w:p w14:paraId="5520C711" w14:textId="77777777" w:rsidR="00A70998" w:rsidRPr="002D2F67" w:rsidRDefault="00A70998" w:rsidP="00A70998">
            <w:pPr>
              <w:tabs>
                <w:tab w:val="left" w:pos="197"/>
              </w:tabs>
              <w:ind w:left="148" w:right="-194"/>
              <w:rPr>
                <w:rFonts w:ascii="Arial" w:hAnsi="Arial" w:cs="Arial"/>
                <w:color w:val="000000"/>
                <w:sz w:val="14"/>
                <w:szCs w:val="14"/>
              </w:rPr>
            </w:pPr>
            <w:r w:rsidRPr="002D2F67">
              <w:rPr>
                <w:rFonts w:ascii="Arial" w:hAnsi="Arial" w:cs="Arial"/>
                <w:color w:val="000000"/>
                <w:sz w:val="14"/>
                <w:szCs w:val="14"/>
              </w:rPr>
              <w:t>Wind Nayangklak Co., Ltd.</w:t>
            </w:r>
          </w:p>
        </w:tc>
        <w:tc>
          <w:tcPr>
            <w:tcW w:w="2957" w:type="dxa"/>
            <w:shd w:val="clear" w:color="auto" w:fill="auto"/>
          </w:tcPr>
          <w:p w14:paraId="6581C4F2" w14:textId="790A1C25" w:rsidR="00A70998" w:rsidRPr="002D2F67" w:rsidRDefault="00A70998" w:rsidP="00A70998">
            <w:pPr>
              <w:tabs>
                <w:tab w:val="left" w:pos="-3402"/>
                <w:tab w:val="left" w:pos="-3261"/>
                <w:tab w:val="left" w:pos="-3119"/>
              </w:tabs>
              <w:ind w:left="-29" w:right="-23"/>
              <w:rPr>
                <w:rFonts w:ascii="Arial" w:hAnsi="Arial" w:cs="Arial"/>
                <w:color w:val="000000"/>
                <w:spacing w:val="4"/>
                <w:sz w:val="14"/>
                <w:szCs w:val="14"/>
              </w:rPr>
            </w:pPr>
            <w:r w:rsidRPr="002D2F67">
              <w:rPr>
                <w:rFonts w:ascii="Arial" w:hAnsi="Arial" w:cs="Arial"/>
                <w:color w:val="000000"/>
                <w:sz w:val="14"/>
                <w:szCs w:val="14"/>
              </w:rPr>
              <w:t>Investing in manufacturing and distributing</w:t>
            </w:r>
            <w:r w:rsidRPr="002D2F67">
              <w:rPr>
                <w:rFonts w:ascii="Arial" w:hAnsi="Arial" w:cs="Arial"/>
                <w:color w:val="000000"/>
                <w:sz w:val="14"/>
                <w:szCs w:val="14"/>
              </w:rPr>
              <w:br/>
              <w:t xml:space="preserve">   electricity business</w:t>
            </w:r>
          </w:p>
        </w:tc>
        <w:tc>
          <w:tcPr>
            <w:tcW w:w="1058" w:type="dxa"/>
            <w:shd w:val="clear" w:color="auto" w:fill="auto"/>
          </w:tcPr>
          <w:p w14:paraId="3E6D55BA" w14:textId="2FAE8903" w:rsidR="00A70998" w:rsidRPr="002D2F67" w:rsidRDefault="00CD5714" w:rsidP="00A70998">
            <w:pPr>
              <w:ind w:left="-122" w:right="-84"/>
              <w:jc w:val="right"/>
              <w:rPr>
                <w:rFonts w:ascii="Arial" w:hAnsi="Arial" w:cs="Arial"/>
                <w:color w:val="000000"/>
                <w:sz w:val="14"/>
                <w:szCs w:val="14"/>
              </w:rPr>
            </w:pPr>
            <w:r w:rsidRPr="00CD5714">
              <w:rPr>
                <w:rFonts w:ascii="Arial" w:hAnsi="Arial" w:cs="Arial"/>
                <w:color w:val="000000"/>
                <w:sz w:val="14"/>
                <w:szCs w:val="14"/>
                <w:lang w:val="en-GB"/>
              </w:rPr>
              <w:t>99</w:t>
            </w:r>
            <w:r w:rsidR="00A70998"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058" w:type="dxa"/>
            <w:shd w:val="clear" w:color="auto" w:fill="auto"/>
          </w:tcPr>
          <w:p w14:paraId="037E83EF" w14:textId="2E3B0E15" w:rsidR="00A70998" w:rsidRPr="002D2F67" w:rsidRDefault="00CD5714" w:rsidP="00A70998">
            <w:pPr>
              <w:ind w:left="-122" w:right="-84"/>
              <w:jc w:val="right"/>
              <w:rPr>
                <w:rFonts w:ascii="Arial" w:hAnsi="Arial" w:cs="Arial"/>
                <w:color w:val="000000"/>
                <w:sz w:val="14"/>
                <w:szCs w:val="14"/>
              </w:rPr>
            </w:pPr>
            <w:r w:rsidRPr="00CD5714">
              <w:rPr>
                <w:rFonts w:ascii="Arial" w:hAnsi="Arial" w:cs="Arial"/>
                <w:color w:val="000000"/>
                <w:sz w:val="14"/>
                <w:szCs w:val="14"/>
                <w:lang w:val="en-GB"/>
              </w:rPr>
              <w:t>99</w:t>
            </w:r>
            <w:r w:rsidR="00A70998"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057" w:type="dxa"/>
            <w:shd w:val="clear" w:color="auto" w:fill="auto"/>
          </w:tcPr>
          <w:p w14:paraId="2798269E" w14:textId="4010FEBA" w:rsidR="00A70998" w:rsidRPr="002D2F67" w:rsidRDefault="00A70998" w:rsidP="00A70998">
            <w:pPr>
              <w:ind w:left="-122" w:right="-66"/>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130E371F" w14:textId="4618F66C" w:rsidR="00A70998" w:rsidRPr="002D2F67" w:rsidRDefault="00A70998" w:rsidP="00A70998">
            <w:pPr>
              <w:ind w:left="-122" w:right="-66"/>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23654AD3" w14:textId="25F57FDB" w:rsidR="00A70998" w:rsidRPr="002D2F67" w:rsidRDefault="00CD5714" w:rsidP="00A70998">
            <w:pPr>
              <w:ind w:right="-83"/>
              <w:jc w:val="right"/>
              <w:rPr>
                <w:rFonts w:ascii="Arial" w:hAnsi="Arial" w:cs="Arial"/>
                <w:color w:val="000000"/>
                <w:sz w:val="14"/>
                <w:szCs w:val="14"/>
              </w:rPr>
            </w:pPr>
            <w:r w:rsidRPr="00CD5714">
              <w:rPr>
                <w:rFonts w:ascii="Arial" w:hAnsi="Arial" w:cs="Arial"/>
                <w:color w:val="000000"/>
                <w:sz w:val="14"/>
                <w:szCs w:val="14"/>
                <w:lang w:val="en-GB"/>
              </w:rPr>
              <w:t>1</w:t>
            </w:r>
            <w:r w:rsidR="00A70998" w:rsidRPr="002D2F67">
              <w:rPr>
                <w:rFonts w:ascii="Arial" w:hAnsi="Arial" w:cs="Arial"/>
                <w:color w:val="000000"/>
                <w:sz w:val="14"/>
                <w:szCs w:val="14"/>
              </w:rPr>
              <w:t>,</w:t>
            </w:r>
            <w:r w:rsidRPr="00CD5714">
              <w:rPr>
                <w:rFonts w:ascii="Arial" w:hAnsi="Arial" w:cs="Arial"/>
                <w:color w:val="000000"/>
                <w:sz w:val="14"/>
                <w:szCs w:val="14"/>
                <w:lang w:val="en-GB"/>
              </w:rPr>
              <w:t>879</w:t>
            </w:r>
            <w:r w:rsidR="00A70998" w:rsidRPr="002D2F67">
              <w:rPr>
                <w:rFonts w:ascii="Arial" w:hAnsi="Arial" w:cs="Arial"/>
                <w:color w:val="000000"/>
                <w:sz w:val="14"/>
                <w:szCs w:val="14"/>
              </w:rPr>
              <w:t>,</w:t>
            </w:r>
            <w:r w:rsidRPr="00CD5714">
              <w:rPr>
                <w:rFonts w:ascii="Arial" w:hAnsi="Arial" w:cs="Arial"/>
                <w:color w:val="000000"/>
                <w:sz w:val="14"/>
                <w:szCs w:val="14"/>
                <w:lang w:val="en-GB"/>
              </w:rPr>
              <w:t>500</w:t>
            </w:r>
          </w:p>
        </w:tc>
        <w:tc>
          <w:tcPr>
            <w:tcW w:w="1057" w:type="dxa"/>
            <w:shd w:val="clear" w:color="auto" w:fill="auto"/>
          </w:tcPr>
          <w:p w14:paraId="7FF43AB8" w14:textId="0D48CB5F" w:rsidR="00A70998" w:rsidRPr="002D2F67" w:rsidRDefault="00CD5714" w:rsidP="00A70998">
            <w:pPr>
              <w:ind w:right="-83"/>
              <w:jc w:val="right"/>
              <w:rPr>
                <w:rFonts w:ascii="Arial" w:hAnsi="Arial" w:cs="Arial"/>
                <w:color w:val="000000"/>
                <w:sz w:val="14"/>
                <w:szCs w:val="14"/>
              </w:rPr>
            </w:pPr>
            <w:r w:rsidRPr="00CD5714">
              <w:rPr>
                <w:rFonts w:ascii="Arial" w:hAnsi="Arial" w:cs="Arial"/>
                <w:color w:val="000000"/>
                <w:sz w:val="14"/>
                <w:szCs w:val="14"/>
                <w:lang w:val="en-GB"/>
              </w:rPr>
              <w:t>1</w:t>
            </w:r>
            <w:r w:rsidR="00A70998" w:rsidRPr="002D2F67">
              <w:rPr>
                <w:rFonts w:ascii="Arial" w:hAnsi="Arial" w:cs="Arial"/>
                <w:color w:val="000000"/>
                <w:sz w:val="14"/>
                <w:szCs w:val="14"/>
              </w:rPr>
              <w:t>,</w:t>
            </w:r>
            <w:r w:rsidRPr="00CD5714">
              <w:rPr>
                <w:rFonts w:ascii="Arial" w:hAnsi="Arial" w:cs="Arial"/>
                <w:color w:val="000000"/>
                <w:sz w:val="14"/>
                <w:szCs w:val="14"/>
                <w:lang w:val="en-GB"/>
              </w:rPr>
              <w:t>879</w:t>
            </w:r>
            <w:r w:rsidR="00A70998" w:rsidRPr="002D2F67">
              <w:rPr>
                <w:rFonts w:ascii="Arial" w:hAnsi="Arial" w:cs="Arial"/>
                <w:color w:val="000000"/>
                <w:sz w:val="14"/>
                <w:szCs w:val="14"/>
              </w:rPr>
              <w:t>,</w:t>
            </w:r>
            <w:r w:rsidRPr="00CD5714">
              <w:rPr>
                <w:rFonts w:ascii="Arial" w:hAnsi="Arial" w:cs="Arial"/>
                <w:color w:val="000000"/>
                <w:sz w:val="14"/>
                <w:szCs w:val="14"/>
                <w:lang w:val="en-GB"/>
              </w:rPr>
              <w:t>500</w:t>
            </w:r>
          </w:p>
        </w:tc>
        <w:tc>
          <w:tcPr>
            <w:tcW w:w="1057" w:type="dxa"/>
            <w:shd w:val="clear" w:color="auto" w:fill="auto"/>
          </w:tcPr>
          <w:p w14:paraId="577D9C47" w14:textId="1AA6462E" w:rsidR="00A70998" w:rsidRPr="002D2F67" w:rsidRDefault="00CD5714" w:rsidP="00A70998">
            <w:pPr>
              <w:ind w:right="-83"/>
              <w:jc w:val="right"/>
              <w:rPr>
                <w:rFonts w:ascii="Arial" w:hAnsi="Arial" w:cs="Arial"/>
                <w:color w:val="000000"/>
                <w:sz w:val="14"/>
                <w:szCs w:val="14"/>
              </w:rPr>
            </w:pPr>
            <w:r w:rsidRPr="00CD5714">
              <w:rPr>
                <w:rFonts w:ascii="Arial" w:hAnsi="Arial" w:cs="Arial"/>
                <w:color w:val="000000"/>
                <w:sz w:val="14"/>
                <w:szCs w:val="14"/>
                <w:lang w:val="en-GB"/>
              </w:rPr>
              <w:t>58</w:t>
            </w:r>
            <w:r w:rsidR="00705AF6" w:rsidRPr="002D2F67">
              <w:rPr>
                <w:rFonts w:ascii="Arial" w:hAnsi="Arial" w:cs="Arial"/>
                <w:color w:val="000000"/>
                <w:sz w:val="14"/>
                <w:szCs w:val="14"/>
              </w:rPr>
              <w:t>,</w:t>
            </w:r>
            <w:r w:rsidRPr="00CD5714">
              <w:rPr>
                <w:rFonts w:ascii="Arial" w:hAnsi="Arial" w:cs="Arial"/>
                <w:color w:val="000000"/>
                <w:sz w:val="14"/>
                <w:szCs w:val="14"/>
                <w:lang w:val="en-GB"/>
              </w:rPr>
              <w:t>264</w:t>
            </w:r>
          </w:p>
        </w:tc>
        <w:tc>
          <w:tcPr>
            <w:tcW w:w="1057" w:type="dxa"/>
            <w:shd w:val="clear" w:color="auto" w:fill="auto"/>
          </w:tcPr>
          <w:p w14:paraId="08E13E51" w14:textId="02A1A54C" w:rsidR="00A70998" w:rsidRPr="002D2F67" w:rsidRDefault="00A70998" w:rsidP="00A70998">
            <w:pPr>
              <w:ind w:right="-83"/>
              <w:jc w:val="right"/>
              <w:rPr>
                <w:rFonts w:ascii="Arial" w:hAnsi="Arial" w:cs="Arial"/>
                <w:color w:val="000000"/>
                <w:sz w:val="14"/>
                <w:szCs w:val="14"/>
              </w:rPr>
            </w:pPr>
            <w:r w:rsidRPr="002D2F67">
              <w:rPr>
                <w:rFonts w:ascii="Arial" w:hAnsi="Arial" w:cs="Arial"/>
                <w:color w:val="000000"/>
                <w:sz w:val="14"/>
                <w:szCs w:val="14"/>
              </w:rPr>
              <w:t>-</w:t>
            </w:r>
          </w:p>
        </w:tc>
      </w:tr>
      <w:tr w:rsidR="00A70998" w:rsidRPr="002D2F67" w14:paraId="44C6F2A3" w14:textId="77777777" w:rsidTr="005611FE">
        <w:trPr>
          <w:cantSplit/>
          <w:trHeight w:val="57"/>
        </w:trPr>
        <w:tc>
          <w:tcPr>
            <w:tcW w:w="3111" w:type="dxa"/>
            <w:shd w:val="clear" w:color="auto" w:fill="auto"/>
          </w:tcPr>
          <w:p w14:paraId="282300E5" w14:textId="77777777" w:rsidR="00A70998" w:rsidRPr="002D2F67" w:rsidRDefault="00A70998" w:rsidP="00A70998">
            <w:pPr>
              <w:tabs>
                <w:tab w:val="left" w:pos="197"/>
              </w:tabs>
              <w:ind w:left="148" w:right="-194"/>
              <w:rPr>
                <w:rFonts w:ascii="Arial" w:hAnsi="Arial" w:cs="Arial"/>
                <w:color w:val="000000"/>
                <w:sz w:val="14"/>
                <w:szCs w:val="14"/>
              </w:rPr>
            </w:pPr>
            <w:r w:rsidRPr="002D2F67">
              <w:rPr>
                <w:rFonts w:ascii="Arial" w:hAnsi="Arial" w:cs="Arial"/>
                <w:color w:val="000000"/>
                <w:sz w:val="14"/>
                <w:szCs w:val="14"/>
              </w:rPr>
              <w:t>Wind Progressive Co., Ltd.</w:t>
            </w:r>
          </w:p>
        </w:tc>
        <w:tc>
          <w:tcPr>
            <w:tcW w:w="2957" w:type="dxa"/>
            <w:shd w:val="clear" w:color="auto" w:fill="auto"/>
          </w:tcPr>
          <w:p w14:paraId="61E613BA" w14:textId="126E25BB" w:rsidR="00A70998" w:rsidRPr="002D2F67" w:rsidRDefault="00A70998" w:rsidP="00A70998">
            <w:pPr>
              <w:tabs>
                <w:tab w:val="left" w:pos="-3402"/>
                <w:tab w:val="left" w:pos="-3261"/>
                <w:tab w:val="left" w:pos="-3119"/>
              </w:tabs>
              <w:ind w:left="-29" w:right="-23"/>
              <w:rPr>
                <w:rFonts w:ascii="Arial" w:hAnsi="Arial" w:cs="Arial"/>
                <w:color w:val="000000"/>
                <w:spacing w:val="4"/>
                <w:sz w:val="14"/>
                <w:szCs w:val="14"/>
              </w:rPr>
            </w:pPr>
            <w:r w:rsidRPr="002D2F67">
              <w:rPr>
                <w:rFonts w:ascii="Arial" w:hAnsi="Arial" w:cs="Arial"/>
                <w:color w:val="000000"/>
                <w:sz w:val="14"/>
                <w:szCs w:val="14"/>
              </w:rPr>
              <w:t>Investing in manufacturing and distributing</w:t>
            </w:r>
            <w:r w:rsidRPr="002D2F67">
              <w:rPr>
                <w:rFonts w:ascii="Arial" w:hAnsi="Arial" w:cs="Arial"/>
                <w:color w:val="000000"/>
                <w:sz w:val="14"/>
                <w:szCs w:val="14"/>
              </w:rPr>
              <w:br/>
              <w:t xml:space="preserve">   electricity business</w:t>
            </w:r>
          </w:p>
        </w:tc>
        <w:tc>
          <w:tcPr>
            <w:tcW w:w="1058" w:type="dxa"/>
            <w:shd w:val="clear" w:color="auto" w:fill="auto"/>
          </w:tcPr>
          <w:p w14:paraId="528FABCC" w14:textId="5771229F" w:rsidR="00A70998" w:rsidRPr="002D2F67" w:rsidRDefault="00CD5714" w:rsidP="00A70998">
            <w:pPr>
              <w:ind w:left="-122" w:right="-84"/>
              <w:jc w:val="right"/>
              <w:rPr>
                <w:rFonts w:ascii="Arial" w:hAnsi="Arial" w:cs="Arial"/>
                <w:color w:val="000000"/>
                <w:sz w:val="14"/>
                <w:szCs w:val="14"/>
              </w:rPr>
            </w:pPr>
            <w:r w:rsidRPr="00CD5714">
              <w:rPr>
                <w:rFonts w:ascii="Arial" w:hAnsi="Arial" w:cs="Arial"/>
                <w:color w:val="000000"/>
                <w:sz w:val="14"/>
                <w:szCs w:val="14"/>
                <w:lang w:val="en-GB"/>
              </w:rPr>
              <w:t>99</w:t>
            </w:r>
            <w:r w:rsidR="00A70998"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058" w:type="dxa"/>
            <w:shd w:val="clear" w:color="auto" w:fill="auto"/>
          </w:tcPr>
          <w:p w14:paraId="6CBE9A28" w14:textId="17B7112A" w:rsidR="00A70998" w:rsidRPr="002D2F67" w:rsidRDefault="00CD5714" w:rsidP="00A70998">
            <w:pPr>
              <w:ind w:left="-122" w:right="-84"/>
              <w:jc w:val="right"/>
              <w:rPr>
                <w:rFonts w:ascii="Arial" w:hAnsi="Arial" w:cs="Arial"/>
                <w:color w:val="000000"/>
                <w:sz w:val="14"/>
                <w:szCs w:val="14"/>
              </w:rPr>
            </w:pPr>
            <w:r w:rsidRPr="00CD5714">
              <w:rPr>
                <w:rFonts w:ascii="Arial" w:hAnsi="Arial" w:cs="Arial"/>
                <w:color w:val="000000"/>
                <w:sz w:val="14"/>
                <w:szCs w:val="14"/>
                <w:lang w:val="en-GB"/>
              </w:rPr>
              <w:t>99</w:t>
            </w:r>
            <w:r w:rsidR="00A70998"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057" w:type="dxa"/>
            <w:shd w:val="clear" w:color="auto" w:fill="auto"/>
          </w:tcPr>
          <w:p w14:paraId="672CE3B2" w14:textId="6708E974" w:rsidR="00A70998" w:rsidRPr="002D2F67" w:rsidRDefault="00A70998" w:rsidP="00A70998">
            <w:pPr>
              <w:ind w:left="-122" w:right="-66"/>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4028048C" w14:textId="455FB31E" w:rsidR="00A70998" w:rsidRPr="002D2F67" w:rsidRDefault="00A70998" w:rsidP="00A70998">
            <w:pPr>
              <w:ind w:left="-122" w:right="-66"/>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5A434361" w14:textId="38713871" w:rsidR="00A70998" w:rsidRPr="002D2F67" w:rsidRDefault="00CD5714" w:rsidP="00A70998">
            <w:pPr>
              <w:ind w:right="-83"/>
              <w:jc w:val="right"/>
              <w:rPr>
                <w:rFonts w:ascii="Arial" w:hAnsi="Arial" w:cs="Arial"/>
                <w:color w:val="000000"/>
                <w:sz w:val="14"/>
                <w:szCs w:val="14"/>
              </w:rPr>
            </w:pPr>
            <w:r w:rsidRPr="00CD5714">
              <w:rPr>
                <w:rFonts w:ascii="Arial" w:hAnsi="Arial" w:cs="Arial"/>
                <w:color w:val="000000"/>
                <w:sz w:val="14"/>
                <w:szCs w:val="14"/>
                <w:lang w:val="en-GB"/>
              </w:rPr>
              <w:t>1</w:t>
            </w:r>
            <w:r w:rsidR="00A70998" w:rsidRPr="002D2F67">
              <w:rPr>
                <w:rFonts w:ascii="Arial" w:hAnsi="Arial" w:cs="Arial"/>
                <w:color w:val="000000"/>
                <w:sz w:val="14"/>
                <w:szCs w:val="14"/>
              </w:rPr>
              <w:t>,</w:t>
            </w:r>
            <w:r w:rsidRPr="00CD5714">
              <w:rPr>
                <w:rFonts w:ascii="Arial" w:hAnsi="Arial" w:cs="Arial"/>
                <w:color w:val="000000"/>
                <w:sz w:val="14"/>
                <w:szCs w:val="14"/>
                <w:lang w:val="en-GB"/>
              </w:rPr>
              <w:t>879</w:t>
            </w:r>
            <w:r w:rsidR="00A70998" w:rsidRPr="002D2F67">
              <w:rPr>
                <w:rFonts w:ascii="Arial" w:hAnsi="Arial" w:cs="Arial"/>
                <w:color w:val="000000"/>
                <w:sz w:val="14"/>
                <w:szCs w:val="14"/>
              </w:rPr>
              <w:t>,</w:t>
            </w:r>
            <w:r w:rsidRPr="00CD5714">
              <w:rPr>
                <w:rFonts w:ascii="Arial" w:hAnsi="Arial" w:cs="Arial"/>
                <w:color w:val="000000"/>
                <w:sz w:val="14"/>
                <w:szCs w:val="14"/>
                <w:lang w:val="en-GB"/>
              </w:rPr>
              <w:t>500</w:t>
            </w:r>
          </w:p>
        </w:tc>
        <w:tc>
          <w:tcPr>
            <w:tcW w:w="1057" w:type="dxa"/>
            <w:shd w:val="clear" w:color="auto" w:fill="auto"/>
          </w:tcPr>
          <w:p w14:paraId="617CB5E1" w14:textId="113DED5F" w:rsidR="00A70998" w:rsidRPr="002D2F67" w:rsidRDefault="00CD5714" w:rsidP="00A70998">
            <w:pPr>
              <w:ind w:right="-83"/>
              <w:jc w:val="right"/>
              <w:rPr>
                <w:rFonts w:ascii="Arial" w:hAnsi="Arial" w:cs="Arial"/>
                <w:color w:val="000000"/>
                <w:sz w:val="14"/>
                <w:szCs w:val="14"/>
              </w:rPr>
            </w:pPr>
            <w:r w:rsidRPr="00CD5714">
              <w:rPr>
                <w:rFonts w:ascii="Arial" w:hAnsi="Arial" w:cs="Arial"/>
                <w:color w:val="000000"/>
                <w:sz w:val="14"/>
                <w:szCs w:val="14"/>
                <w:lang w:val="en-GB"/>
              </w:rPr>
              <w:t>1</w:t>
            </w:r>
            <w:r w:rsidR="00A70998" w:rsidRPr="002D2F67">
              <w:rPr>
                <w:rFonts w:ascii="Arial" w:hAnsi="Arial" w:cs="Arial"/>
                <w:color w:val="000000"/>
                <w:sz w:val="14"/>
                <w:szCs w:val="14"/>
              </w:rPr>
              <w:t>,</w:t>
            </w:r>
            <w:r w:rsidRPr="00CD5714">
              <w:rPr>
                <w:rFonts w:ascii="Arial" w:hAnsi="Arial" w:cs="Arial"/>
                <w:color w:val="000000"/>
                <w:sz w:val="14"/>
                <w:szCs w:val="14"/>
                <w:lang w:val="en-GB"/>
              </w:rPr>
              <w:t>879</w:t>
            </w:r>
            <w:r w:rsidR="00A70998" w:rsidRPr="002D2F67">
              <w:rPr>
                <w:rFonts w:ascii="Arial" w:hAnsi="Arial" w:cs="Arial"/>
                <w:color w:val="000000"/>
                <w:sz w:val="14"/>
                <w:szCs w:val="14"/>
              </w:rPr>
              <w:t>,</w:t>
            </w:r>
            <w:r w:rsidRPr="00CD5714">
              <w:rPr>
                <w:rFonts w:ascii="Arial" w:hAnsi="Arial" w:cs="Arial"/>
                <w:color w:val="000000"/>
                <w:sz w:val="14"/>
                <w:szCs w:val="14"/>
                <w:lang w:val="en-GB"/>
              </w:rPr>
              <w:t>500</w:t>
            </w:r>
          </w:p>
        </w:tc>
        <w:tc>
          <w:tcPr>
            <w:tcW w:w="1057" w:type="dxa"/>
            <w:shd w:val="clear" w:color="auto" w:fill="auto"/>
          </w:tcPr>
          <w:p w14:paraId="085A6A2F" w14:textId="0A77A7C8" w:rsidR="00A70998" w:rsidRPr="002D2F67" w:rsidRDefault="00CD5714" w:rsidP="00A70998">
            <w:pPr>
              <w:ind w:right="-83"/>
              <w:jc w:val="right"/>
              <w:rPr>
                <w:rFonts w:ascii="Arial" w:hAnsi="Arial" w:cs="Arial"/>
                <w:color w:val="000000"/>
                <w:sz w:val="14"/>
                <w:szCs w:val="14"/>
              </w:rPr>
            </w:pPr>
            <w:r w:rsidRPr="00CD5714">
              <w:rPr>
                <w:rFonts w:ascii="Arial" w:hAnsi="Arial" w:cs="Arial"/>
                <w:color w:val="000000"/>
                <w:sz w:val="14"/>
                <w:szCs w:val="14"/>
                <w:lang w:val="en-GB"/>
              </w:rPr>
              <w:t>728</w:t>
            </w:r>
            <w:r w:rsidR="00705AF6" w:rsidRPr="002D2F67">
              <w:rPr>
                <w:rFonts w:ascii="Arial" w:hAnsi="Arial" w:cs="Arial"/>
                <w:color w:val="000000"/>
                <w:sz w:val="14"/>
                <w:szCs w:val="14"/>
              </w:rPr>
              <w:t>,</w:t>
            </w:r>
            <w:r w:rsidRPr="00CD5714">
              <w:rPr>
                <w:rFonts w:ascii="Arial" w:hAnsi="Arial" w:cs="Arial"/>
                <w:color w:val="000000"/>
                <w:sz w:val="14"/>
                <w:szCs w:val="14"/>
                <w:lang w:val="en-GB"/>
              </w:rPr>
              <w:t>494</w:t>
            </w:r>
          </w:p>
        </w:tc>
        <w:tc>
          <w:tcPr>
            <w:tcW w:w="1057" w:type="dxa"/>
            <w:shd w:val="clear" w:color="auto" w:fill="auto"/>
          </w:tcPr>
          <w:p w14:paraId="0FA840B4" w14:textId="58CF8161" w:rsidR="00A70998" w:rsidRPr="002D2F67" w:rsidRDefault="00CD5714" w:rsidP="00A70998">
            <w:pPr>
              <w:ind w:right="-83"/>
              <w:jc w:val="right"/>
              <w:rPr>
                <w:rFonts w:ascii="Arial" w:hAnsi="Arial" w:cs="Arial"/>
                <w:color w:val="000000"/>
                <w:sz w:val="14"/>
                <w:szCs w:val="14"/>
              </w:rPr>
            </w:pPr>
            <w:r w:rsidRPr="00CD5714">
              <w:rPr>
                <w:rFonts w:ascii="Arial" w:hAnsi="Arial" w:cs="Arial"/>
                <w:color w:val="000000"/>
                <w:sz w:val="14"/>
                <w:szCs w:val="14"/>
                <w:lang w:val="en-GB"/>
              </w:rPr>
              <w:t>231</w:t>
            </w:r>
            <w:r w:rsidR="00A70998" w:rsidRPr="002D2F67">
              <w:rPr>
                <w:rFonts w:ascii="Arial" w:hAnsi="Arial" w:cs="Arial"/>
                <w:color w:val="000000"/>
                <w:sz w:val="14"/>
                <w:szCs w:val="14"/>
              </w:rPr>
              <w:t>,</w:t>
            </w:r>
            <w:r w:rsidRPr="00CD5714">
              <w:rPr>
                <w:rFonts w:ascii="Arial" w:hAnsi="Arial" w:cs="Arial"/>
                <w:color w:val="000000"/>
                <w:sz w:val="14"/>
                <w:szCs w:val="14"/>
                <w:lang w:val="en-GB"/>
              </w:rPr>
              <w:t>178</w:t>
            </w:r>
          </w:p>
        </w:tc>
      </w:tr>
      <w:tr w:rsidR="00A70998" w:rsidRPr="002D2F67" w14:paraId="19F11617" w14:textId="77777777" w:rsidTr="005611FE">
        <w:trPr>
          <w:cantSplit/>
          <w:trHeight w:val="57"/>
        </w:trPr>
        <w:tc>
          <w:tcPr>
            <w:tcW w:w="3111" w:type="dxa"/>
            <w:shd w:val="clear" w:color="auto" w:fill="auto"/>
          </w:tcPr>
          <w:p w14:paraId="1F57285D" w14:textId="77777777" w:rsidR="00A70998" w:rsidRPr="002D2F67" w:rsidRDefault="00A70998" w:rsidP="00A70998">
            <w:pPr>
              <w:tabs>
                <w:tab w:val="left" w:pos="197"/>
              </w:tabs>
              <w:ind w:left="148" w:right="-194"/>
              <w:rPr>
                <w:rFonts w:ascii="Arial" w:hAnsi="Arial" w:cs="Arial"/>
                <w:color w:val="000000"/>
                <w:sz w:val="14"/>
                <w:szCs w:val="14"/>
              </w:rPr>
            </w:pPr>
            <w:r w:rsidRPr="002D2F67">
              <w:rPr>
                <w:rFonts w:ascii="Arial" w:hAnsi="Arial" w:cs="Arial"/>
                <w:color w:val="000000"/>
                <w:sz w:val="14"/>
                <w:szCs w:val="14"/>
              </w:rPr>
              <w:t>Wind Tossaphum Co., Ltd.</w:t>
            </w:r>
          </w:p>
        </w:tc>
        <w:tc>
          <w:tcPr>
            <w:tcW w:w="2957" w:type="dxa"/>
            <w:shd w:val="clear" w:color="auto" w:fill="auto"/>
          </w:tcPr>
          <w:p w14:paraId="6DB446C2" w14:textId="68E1F30C" w:rsidR="00A70998" w:rsidRPr="002D2F67" w:rsidRDefault="00A70998" w:rsidP="00A70998">
            <w:pPr>
              <w:tabs>
                <w:tab w:val="left" w:pos="-3402"/>
                <w:tab w:val="left" w:pos="-3261"/>
                <w:tab w:val="left" w:pos="-3119"/>
              </w:tabs>
              <w:ind w:left="-29" w:right="-23"/>
              <w:rPr>
                <w:rFonts w:ascii="Arial" w:hAnsi="Arial" w:cs="Arial"/>
                <w:color w:val="000000"/>
                <w:spacing w:val="4"/>
                <w:sz w:val="14"/>
                <w:szCs w:val="14"/>
              </w:rPr>
            </w:pPr>
            <w:r w:rsidRPr="002D2F67">
              <w:rPr>
                <w:rFonts w:ascii="Arial" w:hAnsi="Arial" w:cs="Arial"/>
                <w:color w:val="000000"/>
                <w:sz w:val="14"/>
                <w:szCs w:val="14"/>
              </w:rPr>
              <w:t>Investing in manufacturing and distributing</w:t>
            </w:r>
            <w:r w:rsidRPr="002D2F67">
              <w:rPr>
                <w:rFonts w:ascii="Arial" w:hAnsi="Arial" w:cs="Arial"/>
                <w:color w:val="000000"/>
                <w:sz w:val="14"/>
                <w:szCs w:val="14"/>
              </w:rPr>
              <w:br/>
              <w:t xml:space="preserve">   electricity business</w:t>
            </w:r>
          </w:p>
        </w:tc>
        <w:tc>
          <w:tcPr>
            <w:tcW w:w="1058" w:type="dxa"/>
            <w:shd w:val="clear" w:color="auto" w:fill="auto"/>
          </w:tcPr>
          <w:p w14:paraId="380B6B8D" w14:textId="489A5929" w:rsidR="00A70998" w:rsidRPr="002D2F67" w:rsidRDefault="00CD5714" w:rsidP="00A70998">
            <w:pPr>
              <w:ind w:left="-122" w:right="-84"/>
              <w:jc w:val="right"/>
              <w:rPr>
                <w:rFonts w:ascii="Arial" w:hAnsi="Arial" w:cs="Arial"/>
                <w:color w:val="000000"/>
                <w:sz w:val="14"/>
                <w:szCs w:val="14"/>
              </w:rPr>
            </w:pPr>
            <w:r w:rsidRPr="00CD5714">
              <w:rPr>
                <w:rFonts w:ascii="Arial" w:hAnsi="Arial" w:cs="Arial"/>
                <w:color w:val="000000"/>
                <w:sz w:val="14"/>
                <w:szCs w:val="14"/>
                <w:lang w:val="en-GB"/>
              </w:rPr>
              <w:t>99</w:t>
            </w:r>
            <w:r w:rsidR="00A70998"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058" w:type="dxa"/>
            <w:shd w:val="clear" w:color="auto" w:fill="auto"/>
          </w:tcPr>
          <w:p w14:paraId="2929C96E" w14:textId="079E6A4D" w:rsidR="00A70998" w:rsidRPr="002D2F67" w:rsidRDefault="00CD5714" w:rsidP="00A70998">
            <w:pPr>
              <w:ind w:left="-122" w:right="-84"/>
              <w:jc w:val="right"/>
              <w:rPr>
                <w:rFonts w:ascii="Arial" w:hAnsi="Arial" w:cs="Arial"/>
                <w:color w:val="000000"/>
                <w:sz w:val="14"/>
                <w:szCs w:val="14"/>
              </w:rPr>
            </w:pPr>
            <w:r w:rsidRPr="00CD5714">
              <w:rPr>
                <w:rFonts w:ascii="Arial" w:hAnsi="Arial" w:cs="Arial"/>
                <w:color w:val="000000"/>
                <w:sz w:val="14"/>
                <w:szCs w:val="14"/>
                <w:lang w:val="en-GB"/>
              </w:rPr>
              <w:t>99</w:t>
            </w:r>
            <w:r w:rsidR="00A70998"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057" w:type="dxa"/>
            <w:shd w:val="clear" w:color="auto" w:fill="auto"/>
          </w:tcPr>
          <w:p w14:paraId="43214632" w14:textId="5BF0F6B5" w:rsidR="00A70998" w:rsidRPr="002D2F67" w:rsidRDefault="00A70998" w:rsidP="00A70998">
            <w:pPr>
              <w:ind w:left="-122" w:right="-66"/>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6E8EBFB5" w14:textId="2F830AD3" w:rsidR="00A70998" w:rsidRPr="002D2F67" w:rsidRDefault="00A70998" w:rsidP="00A70998">
            <w:pPr>
              <w:ind w:left="-122" w:right="-66"/>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755D70E5" w14:textId="07798E88" w:rsidR="00A70998" w:rsidRPr="002D2F67" w:rsidRDefault="00CD5714" w:rsidP="00A70998">
            <w:pPr>
              <w:ind w:right="-83"/>
              <w:jc w:val="right"/>
              <w:rPr>
                <w:rFonts w:ascii="Arial" w:hAnsi="Arial" w:cs="Arial"/>
                <w:color w:val="000000"/>
                <w:sz w:val="14"/>
                <w:szCs w:val="14"/>
              </w:rPr>
            </w:pPr>
            <w:r w:rsidRPr="00CD5714">
              <w:rPr>
                <w:rFonts w:ascii="Arial" w:hAnsi="Arial" w:cs="Arial"/>
                <w:color w:val="000000"/>
                <w:sz w:val="14"/>
                <w:szCs w:val="14"/>
                <w:lang w:val="en-GB"/>
              </w:rPr>
              <w:t>1</w:t>
            </w:r>
            <w:r w:rsidR="00A70998" w:rsidRPr="002D2F67">
              <w:rPr>
                <w:rFonts w:ascii="Arial" w:hAnsi="Arial" w:cs="Arial"/>
                <w:color w:val="000000"/>
                <w:sz w:val="14"/>
                <w:szCs w:val="14"/>
              </w:rPr>
              <w:t>,</w:t>
            </w:r>
            <w:r w:rsidRPr="00CD5714">
              <w:rPr>
                <w:rFonts w:ascii="Arial" w:hAnsi="Arial" w:cs="Arial"/>
                <w:color w:val="000000"/>
                <w:sz w:val="14"/>
                <w:szCs w:val="14"/>
                <w:lang w:val="en-GB"/>
              </w:rPr>
              <w:t>670</w:t>
            </w:r>
            <w:r w:rsidR="00A70998" w:rsidRPr="002D2F67">
              <w:rPr>
                <w:rFonts w:ascii="Arial" w:hAnsi="Arial" w:cs="Arial"/>
                <w:color w:val="000000"/>
                <w:sz w:val="14"/>
                <w:szCs w:val="14"/>
              </w:rPr>
              <w:t>,</w:t>
            </w:r>
            <w:r w:rsidRPr="00CD5714">
              <w:rPr>
                <w:rFonts w:ascii="Arial" w:hAnsi="Arial" w:cs="Arial"/>
                <w:color w:val="000000"/>
                <w:sz w:val="14"/>
                <w:szCs w:val="14"/>
                <w:lang w:val="en-GB"/>
              </w:rPr>
              <w:t>000</w:t>
            </w:r>
          </w:p>
        </w:tc>
        <w:tc>
          <w:tcPr>
            <w:tcW w:w="1057" w:type="dxa"/>
            <w:shd w:val="clear" w:color="auto" w:fill="auto"/>
          </w:tcPr>
          <w:p w14:paraId="1CC101FF" w14:textId="6C5D7E30" w:rsidR="00A70998" w:rsidRPr="002D2F67" w:rsidRDefault="00CD5714" w:rsidP="00A70998">
            <w:pPr>
              <w:ind w:right="-83"/>
              <w:jc w:val="right"/>
              <w:rPr>
                <w:rFonts w:ascii="Arial" w:hAnsi="Arial" w:cs="Arial"/>
                <w:color w:val="000000"/>
                <w:sz w:val="14"/>
                <w:szCs w:val="14"/>
              </w:rPr>
            </w:pPr>
            <w:r w:rsidRPr="00CD5714">
              <w:rPr>
                <w:rFonts w:ascii="Arial" w:hAnsi="Arial" w:cs="Arial"/>
                <w:color w:val="000000"/>
                <w:sz w:val="14"/>
                <w:szCs w:val="14"/>
                <w:lang w:val="en-GB"/>
              </w:rPr>
              <w:t>1</w:t>
            </w:r>
            <w:r w:rsidR="00A70998" w:rsidRPr="002D2F67">
              <w:rPr>
                <w:rFonts w:ascii="Arial" w:hAnsi="Arial" w:cs="Arial"/>
                <w:color w:val="000000"/>
                <w:sz w:val="14"/>
                <w:szCs w:val="14"/>
              </w:rPr>
              <w:t>,</w:t>
            </w:r>
            <w:r w:rsidRPr="00CD5714">
              <w:rPr>
                <w:rFonts w:ascii="Arial" w:hAnsi="Arial" w:cs="Arial"/>
                <w:color w:val="000000"/>
                <w:sz w:val="14"/>
                <w:szCs w:val="14"/>
                <w:lang w:val="en-GB"/>
              </w:rPr>
              <w:t>670</w:t>
            </w:r>
            <w:r w:rsidR="00A70998" w:rsidRPr="002D2F67">
              <w:rPr>
                <w:rFonts w:ascii="Arial" w:hAnsi="Arial" w:cs="Arial"/>
                <w:color w:val="000000"/>
                <w:sz w:val="14"/>
                <w:szCs w:val="14"/>
              </w:rPr>
              <w:t>,</w:t>
            </w:r>
            <w:r w:rsidRPr="00CD5714">
              <w:rPr>
                <w:rFonts w:ascii="Arial" w:hAnsi="Arial" w:cs="Arial"/>
                <w:color w:val="000000"/>
                <w:sz w:val="14"/>
                <w:szCs w:val="14"/>
                <w:lang w:val="en-GB"/>
              </w:rPr>
              <w:t>000</w:t>
            </w:r>
          </w:p>
        </w:tc>
        <w:tc>
          <w:tcPr>
            <w:tcW w:w="1057" w:type="dxa"/>
            <w:shd w:val="clear" w:color="auto" w:fill="auto"/>
          </w:tcPr>
          <w:p w14:paraId="33765068" w14:textId="320EC33B" w:rsidR="00A70998" w:rsidRPr="002D2F67" w:rsidRDefault="00CD5714" w:rsidP="00A70998">
            <w:pPr>
              <w:ind w:right="-83"/>
              <w:jc w:val="right"/>
              <w:rPr>
                <w:rFonts w:ascii="Arial" w:hAnsi="Arial" w:cs="Arial"/>
                <w:color w:val="000000"/>
                <w:sz w:val="14"/>
                <w:szCs w:val="14"/>
              </w:rPr>
            </w:pPr>
            <w:r w:rsidRPr="00CD5714">
              <w:rPr>
                <w:rFonts w:ascii="Arial" w:hAnsi="Arial" w:cs="Arial"/>
                <w:color w:val="000000"/>
                <w:sz w:val="14"/>
                <w:szCs w:val="14"/>
                <w:lang w:val="en-GB"/>
              </w:rPr>
              <w:t>8</w:t>
            </w:r>
            <w:r w:rsidR="00705AF6" w:rsidRPr="002D2F67">
              <w:rPr>
                <w:rFonts w:ascii="Arial" w:hAnsi="Arial" w:cs="Arial"/>
                <w:color w:val="000000"/>
                <w:sz w:val="14"/>
                <w:szCs w:val="14"/>
              </w:rPr>
              <w:t>,</w:t>
            </w:r>
            <w:r w:rsidRPr="00CD5714">
              <w:rPr>
                <w:rFonts w:ascii="Arial" w:hAnsi="Arial" w:cs="Arial"/>
                <w:color w:val="000000"/>
                <w:sz w:val="14"/>
                <w:szCs w:val="14"/>
                <w:lang w:val="en-GB"/>
              </w:rPr>
              <w:t>350</w:t>
            </w:r>
          </w:p>
        </w:tc>
        <w:tc>
          <w:tcPr>
            <w:tcW w:w="1057" w:type="dxa"/>
            <w:shd w:val="clear" w:color="auto" w:fill="auto"/>
          </w:tcPr>
          <w:p w14:paraId="5CF7652B" w14:textId="21F064AE" w:rsidR="00A70998" w:rsidRPr="002D2F67" w:rsidRDefault="00A70998" w:rsidP="00A70998">
            <w:pPr>
              <w:ind w:right="-83"/>
              <w:jc w:val="right"/>
              <w:rPr>
                <w:rFonts w:ascii="Arial" w:hAnsi="Arial" w:cs="Arial"/>
                <w:color w:val="000000"/>
                <w:sz w:val="14"/>
                <w:szCs w:val="14"/>
              </w:rPr>
            </w:pPr>
            <w:r w:rsidRPr="002D2F67">
              <w:rPr>
                <w:rFonts w:ascii="Arial" w:hAnsi="Arial" w:cs="Arial"/>
                <w:color w:val="000000"/>
                <w:sz w:val="14"/>
                <w:szCs w:val="14"/>
              </w:rPr>
              <w:t>-</w:t>
            </w:r>
          </w:p>
        </w:tc>
      </w:tr>
      <w:tr w:rsidR="00705AF6" w:rsidRPr="002D2F67" w14:paraId="3050D4EA" w14:textId="77777777" w:rsidTr="005611FE">
        <w:trPr>
          <w:cantSplit/>
          <w:trHeight w:val="57"/>
        </w:trPr>
        <w:tc>
          <w:tcPr>
            <w:tcW w:w="3111" w:type="dxa"/>
            <w:shd w:val="clear" w:color="auto" w:fill="auto"/>
          </w:tcPr>
          <w:p w14:paraId="50E9204F" w14:textId="77777777" w:rsidR="00705AF6" w:rsidRPr="002D2F67" w:rsidRDefault="00705AF6" w:rsidP="00705AF6">
            <w:pPr>
              <w:tabs>
                <w:tab w:val="left" w:pos="197"/>
              </w:tabs>
              <w:ind w:left="148" w:right="-194"/>
              <w:rPr>
                <w:rFonts w:ascii="Arial" w:hAnsi="Arial" w:cs="Arial"/>
                <w:color w:val="000000"/>
                <w:sz w:val="14"/>
                <w:szCs w:val="14"/>
              </w:rPr>
            </w:pPr>
            <w:r w:rsidRPr="002D2F67">
              <w:rPr>
                <w:rFonts w:ascii="Arial" w:hAnsi="Arial" w:cs="Arial"/>
                <w:color w:val="000000"/>
                <w:sz w:val="14"/>
                <w:szCs w:val="14"/>
              </w:rPr>
              <w:t>Emma Corporation Co., Ltd.</w:t>
            </w:r>
          </w:p>
        </w:tc>
        <w:tc>
          <w:tcPr>
            <w:tcW w:w="2957" w:type="dxa"/>
            <w:shd w:val="clear" w:color="auto" w:fill="auto"/>
          </w:tcPr>
          <w:p w14:paraId="1A895A22" w14:textId="77777777" w:rsidR="00705AF6" w:rsidRPr="002D2F67" w:rsidRDefault="00705AF6" w:rsidP="00705AF6">
            <w:pPr>
              <w:tabs>
                <w:tab w:val="left" w:pos="-3402"/>
                <w:tab w:val="left" w:pos="-3261"/>
                <w:tab w:val="left" w:pos="-3119"/>
              </w:tabs>
              <w:ind w:left="-29" w:right="-23"/>
              <w:rPr>
                <w:rFonts w:ascii="Arial" w:hAnsi="Arial" w:cs="Arial"/>
                <w:color w:val="000000"/>
                <w:sz w:val="14"/>
                <w:szCs w:val="14"/>
              </w:rPr>
            </w:pPr>
            <w:r w:rsidRPr="002D2F67">
              <w:rPr>
                <w:rFonts w:ascii="Arial" w:hAnsi="Arial" w:cs="Arial"/>
                <w:color w:val="000000"/>
                <w:sz w:val="14"/>
                <w:szCs w:val="14"/>
              </w:rPr>
              <w:t>Research and development of electricity</w:t>
            </w:r>
            <w:r w:rsidRPr="002D2F67">
              <w:rPr>
                <w:rFonts w:ascii="Arial" w:hAnsi="Arial" w:cs="Arial"/>
                <w:color w:val="000000"/>
                <w:sz w:val="14"/>
                <w:szCs w:val="14"/>
              </w:rPr>
              <w:br/>
              <w:t xml:space="preserve">   equipment (not commercial operations</w:t>
            </w:r>
            <w:r w:rsidRPr="002D2F67">
              <w:rPr>
                <w:rFonts w:ascii="Arial" w:hAnsi="Arial" w:cs="Arial"/>
                <w:color w:val="000000"/>
                <w:sz w:val="14"/>
                <w:szCs w:val="14"/>
                <w:cs/>
              </w:rPr>
              <w:t xml:space="preserve"> </w:t>
            </w:r>
            <w:r w:rsidRPr="002D2F67">
              <w:rPr>
                <w:rFonts w:ascii="Arial" w:hAnsi="Arial" w:cs="Arial"/>
                <w:color w:val="000000"/>
                <w:sz w:val="14"/>
                <w:szCs w:val="14"/>
              </w:rPr>
              <w:t>yet)</w:t>
            </w:r>
          </w:p>
        </w:tc>
        <w:tc>
          <w:tcPr>
            <w:tcW w:w="1058" w:type="dxa"/>
            <w:shd w:val="clear" w:color="auto" w:fill="auto"/>
          </w:tcPr>
          <w:p w14:paraId="22537F41" w14:textId="72434764" w:rsidR="00705AF6" w:rsidRPr="002D2F67" w:rsidRDefault="00CD5714" w:rsidP="00705AF6">
            <w:pPr>
              <w:ind w:left="-122" w:right="-84"/>
              <w:jc w:val="right"/>
              <w:rPr>
                <w:rFonts w:ascii="Arial" w:hAnsi="Arial" w:cs="Arial"/>
                <w:color w:val="000000"/>
                <w:sz w:val="14"/>
                <w:szCs w:val="14"/>
              </w:rPr>
            </w:pPr>
            <w:r w:rsidRPr="00CD5714">
              <w:rPr>
                <w:rFonts w:ascii="Arial" w:hAnsi="Arial" w:cs="Arial"/>
                <w:color w:val="000000"/>
                <w:sz w:val="14"/>
                <w:szCs w:val="14"/>
                <w:lang w:val="en-GB"/>
              </w:rPr>
              <w:t>50</w:t>
            </w:r>
            <w:r w:rsidR="00705AF6" w:rsidRPr="002D2F67">
              <w:rPr>
                <w:rFonts w:ascii="Arial" w:hAnsi="Arial" w:cs="Arial"/>
                <w:color w:val="000000"/>
                <w:sz w:val="14"/>
                <w:szCs w:val="14"/>
              </w:rPr>
              <w:t>.</w:t>
            </w:r>
            <w:r w:rsidRPr="00CD5714">
              <w:rPr>
                <w:rFonts w:ascii="Arial" w:hAnsi="Arial" w:cs="Arial"/>
                <w:color w:val="000000"/>
                <w:sz w:val="14"/>
                <w:szCs w:val="14"/>
                <w:lang w:val="en-GB"/>
              </w:rPr>
              <w:t>00</w:t>
            </w:r>
          </w:p>
        </w:tc>
        <w:tc>
          <w:tcPr>
            <w:tcW w:w="1058" w:type="dxa"/>
            <w:shd w:val="clear" w:color="auto" w:fill="auto"/>
          </w:tcPr>
          <w:p w14:paraId="78459D3A" w14:textId="752592D8" w:rsidR="00705AF6" w:rsidRPr="002D2F67" w:rsidRDefault="00CD5714" w:rsidP="00705AF6">
            <w:pPr>
              <w:ind w:left="-122" w:right="-84"/>
              <w:jc w:val="right"/>
              <w:rPr>
                <w:rFonts w:ascii="Arial" w:hAnsi="Arial" w:cs="Arial"/>
                <w:color w:val="000000"/>
                <w:sz w:val="14"/>
                <w:szCs w:val="14"/>
              </w:rPr>
            </w:pPr>
            <w:r w:rsidRPr="00CD5714">
              <w:rPr>
                <w:rFonts w:ascii="Arial" w:hAnsi="Arial" w:cs="Arial"/>
                <w:color w:val="000000"/>
                <w:sz w:val="14"/>
                <w:szCs w:val="14"/>
                <w:lang w:val="en-GB"/>
              </w:rPr>
              <w:t>50</w:t>
            </w:r>
            <w:r w:rsidR="00705AF6" w:rsidRPr="002D2F67">
              <w:rPr>
                <w:rFonts w:ascii="Arial" w:hAnsi="Arial" w:cs="Arial"/>
                <w:color w:val="000000"/>
                <w:sz w:val="14"/>
                <w:szCs w:val="14"/>
              </w:rPr>
              <w:t>.</w:t>
            </w:r>
            <w:r w:rsidRPr="00CD5714">
              <w:rPr>
                <w:rFonts w:ascii="Arial" w:hAnsi="Arial" w:cs="Arial"/>
                <w:color w:val="000000"/>
                <w:sz w:val="14"/>
                <w:szCs w:val="14"/>
                <w:lang w:val="en-GB"/>
              </w:rPr>
              <w:t>00</w:t>
            </w:r>
          </w:p>
        </w:tc>
        <w:tc>
          <w:tcPr>
            <w:tcW w:w="1057" w:type="dxa"/>
            <w:shd w:val="clear" w:color="auto" w:fill="auto"/>
          </w:tcPr>
          <w:p w14:paraId="21ADB840" w14:textId="4635695A" w:rsidR="00705AF6" w:rsidRPr="002D2F67" w:rsidRDefault="00705AF6" w:rsidP="00705AF6">
            <w:pPr>
              <w:ind w:left="-122" w:right="-66"/>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20824498" w14:textId="15B84CD2" w:rsidR="00705AF6" w:rsidRPr="002D2F67" w:rsidRDefault="00705AF6" w:rsidP="00705AF6">
            <w:pPr>
              <w:ind w:left="-122" w:right="-66"/>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408E50CA" w14:textId="582DAADA" w:rsidR="00705AF6" w:rsidRPr="002D2F67" w:rsidRDefault="00CD5714" w:rsidP="00705AF6">
            <w:pPr>
              <w:ind w:right="-83"/>
              <w:jc w:val="right"/>
              <w:rPr>
                <w:rFonts w:ascii="Arial" w:hAnsi="Arial" w:cs="Arial"/>
                <w:color w:val="000000"/>
                <w:sz w:val="14"/>
                <w:szCs w:val="14"/>
              </w:rPr>
            </w:pPr>
            <w:r w:rsidRPr="00CD5714">
              <w:rPr>
                <w:rFonts w:ascii="Arial" w:hAnsi="Arial" w:cs="Arial"/>
                <w:color w:val="000000"/>
                <w:sz w:val="14"/>
                <w:szCs w:val="14"/>
                <w:lang w:val="en-GB"/>
              </w:rPr>
              <w:t>50</w:t>
            </w:r>
          </w:p>
        </w:tc>
        <w:tc>
          <w:tcPr>
            <w:tcW w:w="1057" w:type="dxa"/>
            <w:shd w:val="clear" w:color="auto" w:fill="auto"/>
          </w:tcPr>
          <w:p w14:paraId="2EBE197E" w14:textId="08AE6809" w:rsidR="00705AF6" w:rsidRPr="002D2F67" w:rsidRDefault="00CD5714" w:rsidP="00705AF6">
            <w:pPr>
              <w:ind w:right="-83"/>
              <w:jc w:val="right"/>
              <w:rPr>
                <w:rFonts w:ascii="Arial" w:hAnsi="Arial" w:cs="Arial"/>
                <w:color w:val="000000"/>
                <w:sz w:val="14"/>
                <w:szCs w:val="14"/>
              </w:rPr>
            </w:pPr>
            <w:r w:rsidRPr="00CD5714">
              <w:rPr>
                <w:rFonts w:ascii="Arial" w:hAnsi="Arial" w:cs="Arial"/>
                <w:color w:val="000000"/>
                <w:sz w:val="14"/>
                <w:szCs w:val="14"/>
                <w:lang w:val="en-GB"/>
              </w:rPr>
              <w:t>50</w:t>
            </w:r>
          </w:p>
        </w:tc>
        <w:tc>
          <w:tcPr>
            <w:tcW w:w="1057" w:type="dxa"/>
            <w:shd w:val="clear" w:color="auto" w:fill="auto"/>
          </w:tcPr>
          <w:p w14:paraId="4DE4D4E2" w14:textId="57C2706F" w:rsidR="00705AF6" w:rsidRPr="002D2F67" w:rsidRDefault="00705AF6" w:rsidP="00705AF6">
            <w:pPr>
              <w:ind w:right="-83"/>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5EC7C155" w14:textId="776CCA00" w:rsidR="00705AF6" w:rsidRPr="002D2F67" w:rsidRDefault="00705AF6" w:rsidP="00705AF6">
            <w:pPr>
              <w:ind w:right="-83"/>
              <w:jc w:val="right"/>
              <w:rPr>
                <w:rFonts w:ascii="Arial" w:hAnsi="Arial" w:cs="Arial"/>
                <w:color w:val="000000"/>
                <w:sz w:val="14"/>
                <w:szCs w:val="14"/>
              </w:rPr>
            </w:pPr>
            <w:r w:rsidRPr="002D2F67">
              <w:rPr>
                <w:rFonts w:ascii="Arial" w:hAnsi="Arial" w:cs="Arial"/>
                <w:color w:val="000000"/>
                <w:sz w:val="14"/>
                <w:szCs w:val="14"/>
              </w:rPr>
              <w:t>-</w:t>
            </w:r>
          </w:p>
        </w:tc>
      </w:tr>
      <w:tr w:rsidR="00705AF6" w:rsidRPr="002D2F67" w14:paraId="582D2696" w14:textId="77777777" w:rsidTr="005611FE">
        <w:trPr>
          <w:cantSplit/>
          <w:trHeight w:val="57"/>
        </w:trPr>
        <w:tc>
          <w:tcPr>
            <w:tcW w:w="3111" w:type="dxa"/>
            <w:shd w:val="clear" w:color="auto" w:fill="auto"/>
          </w:tcPr>
          <w:p w14:paraId="2804D23A" w14:textId="77777777" w:rsidR="00705AF6" w:rsidRPr="002D2F67" w:rsidRDefault="00705AF6" w:rsidP="00705AF6">
            <w:pPr>
              <w:tabs>
                <w:tab w:val="left" w:pos="197"/>
              </w:tabs>
              <w:ind w:left="148" w:right="-194"/>
              <w:rPr>
                <w:rFonts w:ascii="Arial" w:hAnsi="Arial" w:cs="Arial"/>
                <w:color w:val="000000"/>
                <w:sz w:val="14"/>
                <w:szCs w:val="14"/>
              </w:rPr>
            </w:pPr>
            <w:r w:rsidRPr="002D2F67">
              <w:rPr>
                <w:rFonts w:ascii="Arial" w:hAnsi="Arial" w:cs="Arial"/>
                <w:color w:val="000000"/>
                <w:sz w:val="14"/>
                <w:szCs w:val="14"/>
              </w:rPr>
              <w:t>Thepsathit Wind Farm Co., Ltd.</w:t>
            </w:r>
          </w:p>
        </w:tc>
        <w:tc>
          <w:tcPr>
            <w:tcW w:w="2957" w:type="dxa"/>
            <w:shd w:val="clear" w:color="auto" w:fill="auto"/>
          </w:tcPr>
          <w:p w14:paraId="5C01BDE8" w14:textId="77777777" w:rsidR="00705AF6" w:rsidRPr="002D2F67" w:rsidRDefault="00705AF6" w:rsidP="00705AF6">
            <w:pPr>
              <w:tabs>
                <w:tab w:val="left" w:pos="-3402"/>
                <w:tab w:val="left" w:pos="-3261"/>
                <w:tab w:val="left" w:pos="-3119"/>
              </w:tabs>
              <w:ind w:left="-29" w:right="-23"/>
              <w:rPr>
                <w:rFonts w:ascii="Arial" w:hAnsi="Arial" w:cs="Arial"/>
                <w:color w:val="000000"/>
                <w:sz w:val="14"/>
                <w:szCs w:val="14"/>
              </w:rPr>
            </w:pPr>
            <w:r w:rsidRPr="002D2F67">
              <w:rPr>
                <w:rFonts w:ascii="Arial" w:hAnsi="Arial" w:cs="Arial"/>
                <w:color w:val="000000"/>
                <w:sz w:val="14"/>
                <w:szCs w:val="14"/>
              </w:rPr>
              <w:t>Manufacturing and distributing electricity</w:t>
            </w:r>
            <w:r w:rsidRPr="002D2F67">
              <w:rPr>
                <w:rFonts w:ascii="Arial" w:hAnsi="Arial" w:cs="Arial"/>
                <w:color w:val="000000"/>
                <w:sz w:val="14"/>
                <w:szCs w:val="14"/>
              </w:rPr>
              <w:br/>
              <w:t xml:space="preserve">   from wind power (not commercial</w:t>
            </w:r>
            <w:r w:rsidRPr="002D2F67">
              <w:rPr>
                <w:rFonts w:ascii="Arial" w:hAnsi="Arial" w:cs="Arial"/>
                <w:color w:val="000000"/>
                <w:sz w:val="14"/>
                <w:szCs w:val="14"/>
              </w:rPr>
              <w:br/>
              <w:t xml:space="preserve">   operations</w:t>
            </w:r>
            <w:r w:rsidRPr="002D2F67">
              <w:rPr>
                <w:rFonts w:ascii="Arial" w:hAnsi="Arial" w:cs="Arial"/>
                <w:color w:val="000000"/>
                <w:sz w:val="14"/>
                <w:szCs w:val="14"/>
                <w:cs/>
              </w:rPr>
              <w:t xml:space="preserve"> </w:t>
            </w:r>
            <w:r w:rsidRPr="002D2F67">
              <w:rPr>
                <w:rFonts w:ascii="Arial" w:hAnsi="Arial" w:cs="Arial"/>
                <w:color w:val="000000"/>
                <w:sz w:val="14"/>
                <w:szCs w:val="14"/>
              </w:rPr>
              <w:t>yet)</w:t>
            </w:r>
          </w:p>
        </w:tc>
        <w:tc>
          <w:tcPr>
            <w:tcW w:w="1058" w:type="dxa"/>
            <w:shd w:val="clear" w:color="auto" w:fill="auto"/>
          </w:tcPr>
          <w:p w14:paraId="49DF4805" w14:textId="6CBD5BC2" w:rsidR="00705AF6" w:rsidRPr="002D2F67" w:rsidRDefault="00CD5714" w:rsidP="00705AF6">
            <w:pPr>
              <w:ind w:left="-122" w:right="-84"/>
              <w:jc w:val="right"/>
              <w:rPr>
                <w:rFonts w:ascii="Arial" w:hAnsi="Arial" w:cs="Arial"/>
                <w:color w:val="000000"/>
                <w:sz w:val="14"/>
                <w:szCs w:val="14"/>
              </w:rPr>
            </w:pPr>
            <w:r w:rsidRPr="00CD5714">
              <w:rPr>
                <w:rFonts w:ascii="Arial" w:hAnsi="Arial" w:cs="Arial"/>
                <w:color w:val="000000"/>
                <w:sz w:val="14"/>
                <w:szCs w:val="14"/>
                <w:lang w:val="en-GB"/>
              </w:rPr>
              <w:t>99</w:t>
            </w:r>
            <w:r w:rsidR="00705AF6"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058" w:type="dxa"/>
            <w:shd w:val="clear" w:color="auto" w:fill="auto"/>
          </w:tcPr>
          <w:p w14:paraId="15DAC062" w14:textId="2514AED4" w:rsidR="00705AF6" w:rsidRPr="002D2F67" w:rsidRDefault="00CD5714" w:rsidP="00705AF6">
            <w:pPr>
              <w:ind w:left="-122" w:right="-84"/>
              <w:jc w:val="right"/>
              <w:rPr>
                <w:rFonts w:ascii="Arial" w:hAnsi="Arial" w:cs="Arial"/>
                <w:color w:val="000000"/>
                <w:sz w:val="14"/>
                <w:szCs w:val="14"/>
              </w:rPr>
            </w:pPr>
            <w:r w:rsidRPr="00CD5714">
              <w:rPr>
                <w:rFonts w:ascii="Arial" w:hAnsi="Arial" w:cs="Arial"/>
                <w:color w:val="000000"/>
                <w:sz w:val="14"/>
                <w:szCs w:val="14"/>
                <w:lang w:val="en-GB"/>
              </w:rPr>
              <w:t>99</w:t>
            </w:r>
            <w:r w:rsidR="00705AF6"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057" w:type="dxa"/>
            <w:shd w:val="clear" w:color="auto" w:fill="auto"/>
          </w:tcPr>
          <w:p w14:paraId="04133DE8" w14:textId="0A17753E" w:rsidR="00705AF6" w:rsidRPr="002D2F67" w:rsidRDefault="00705AF6" w:rsidP="00705AF6">
            <w:pPr>
              <w:ind w:left="-122" w:right="-66"/>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713A99A3" w14:textId="5B0B5481" w:rsidR="00705AF6" w:rsidRPr="002D2F67" w:rsidRDefault="00705AF6" w:rsidP="00705AF6">
            <w:pPr>
              <w:ind w:left="-122" w:right="-66"/>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7024F06F" w14:textId="2FEEBEA1" w:rsidR="00705AF6" w:rsidRPr="002D2F67" w:rsidRDefault="00CD5714" w:rsidP="00705AF6">
            <w:pPr>
              <w:ind w:right="-83"/>
              <w:jc w:val="right"/>
              <w:rPr>
                <w:rFonts w:ascii="Arial" w:hAnsi="Arial" w:cs="Arial"/>
                <w:color w:val="000000"/>
                <w:sz w:val="14"/>
                <w:szCs w:val="14"/>
              </w:rPr>
            </w:pPr>
            <w:r w:rsidRPr="00CD5714">
              <w:rPr>
                <w:rFonts w:ascii="Arial" w:hAnsi="Arial" w:cs="Arial"/>
                <w:color w:val="000000"/>
                <w:sz w:val="14"/>
                <w:szCs w:val="14"/>
                <w:lang w:val="en-GB"/>
              </w:rPr>
              <w:t>44</w:t>
            </w:r>
            <w:r w:rsidR="00705AF6" w:rsidRPr="002D2F67">
              <w:rPr>
                <w:rFonts w:ascii="Arial" w:hAnsi="Arial" w:cs="Arial"/>
                <w:color w:val="000000"/>
                <w:sz w:val="14"/>
                <w:szCs w:val="14"/>
              </w:rPr>
              <w:t>,</w:t>
            </w:r>
            <w:r w:rsidRPr="00CD5714">
              <w:rPr>
                <w:rFonts w:ascii="Arial" w:hAnsi="Arial" w:cs="Arial"/>
                <w:color w:val="000000"/>
                <w:sz w:val="14"/>
                <w:szCs w:val="14"/>
                <w:lang w:val="en-GB"/>
              </w:rPr>
              <w:t>500</w:t>
            </w:r>
          </w:p>
        </w:tc>
        <w:tc>
          <w:tcPr>
            <w:tcW w:w="1057" w:type="dxa"/>
            <w:shd w:val="clear" w:color="auto" w:fill="auto"/>
          </w:tcPr>
          <w:p w14:paraId="5428B3A8" w14:textId="1B016C54" w:rsidR="00705AF6" w:rsidRPr="002D2F67" w:rsidRDefault="00CD5714" w:rsidP="00705AF6">
            <w:pPr>
              <w:ind w:right="-83"/>
              <w:jc w:val="right"/>
              <w:rPr>
                <w:rFonts w:ascii="Arial" w:hAnsi="Arial" w:cs="Arial"/>
                <w:color w:val="000000"/>
                <w:sz w:val="14"/>
                <w:szCs w:val="14"/>
              </w:rPr>
            </w:pPr>
            <w:r w:rsidRPr="00CD5714">
              <w:rPr>
                <w:rFonts w:ascii="Arial" w:hAnsi="Arial" w:cs="Arial"/>
                <w:color w:val="000000"/>
                <w:sz w:val="14"/>
                <w:szCs w:val="14"/>
                <w:lang w:val="en-GB"/>
              </w:rPr>
              <w:t>44</w:t>
            </w:r>
            <w:r w:rsidR="00705AF6" w:rsidRPr="002D2F67">
              <w:rPr>
                <w:rFonts w:ascii="Arial" w:hAnsi="Arial" w:cs="Arial"/>
                <w:color w:val="000000"/>
                <w:sz w:val="14"/>
                <w:szCs w:val="14"/>
              </w:rPr>
              <w:t>,</w:t>
            </w:r>
            <w:r w:rsidRPr="00CD5714">
              <w:rPr>
                <w:rFonts w:ascii="Arial" w:hAnsi="Arial" w:cs="Arial"/>
                <w:color w:val="000000"/>
                <w:sz w:val="14"/>
                <w:szCs w:val="14"/>
                <w:lang w:val="en-GB"/>
              </w:rPr>
              <w:t>500</w:t>
            </w:r>
          </w:p>
        </w:tc>
        <w:tc>
          <w:tcPr>
            <w:tcW w:w="1057" w:type="dxa"/>
            <w:shd w:val="clear" w:color="auto" w:fill="auto"/>
          </w:tcPr>
          <w:p w14:paraId="38810C13" w14:textId="59602C89" w:rsidR="00705AF6" w:rsidRPr="002D2F67" w:rsidRDefault="00705AF6" w:rsidP="00705AF6">
            <w:pPr>
              <w:ind w:right="-83"/>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49B8F8CA" w14:textId="26BC4943" w:rsidR="00705AF6" w:rsidRPr="002D2F67" w:rsidRDefault="00705AF6" w:rsidP="00705AF6">
            <w:pPr>
              <w:ind w:right="-83"/>
              <w:jc w:val="right"/>
              <w:rPr>
                <w:rFonts w:ascii="Arial" w:hAnsi="Arial" w:cs="Arial"/>
                <w:color w:val="000000"/>
                <w:sz w:val="14"/>
                <w:szCs w:val="14"/>
              </w:rPr>
            </w:pPr>
            <w:r w:rsidRPr="002D2F67">
              <w:rPr>
                <w:rFonts w:ascii="Arial" w:hAnsi="Arial" w:cs="Arial"/>
                <w:color w:val="000000"/>
                <w:sz w:val="14"/>
                <w:szCs w:val="14"/>
              </w:rPr>
              <w:t>-</w:t>
            </w:r>
          </w:p>
        </w:tc>
      </w:tr>
      <w:tr w:rsidR="00705AF6" w:rsidRPr="002D2F67" w14:paraId="5FC86387" w14:textId="77777777" w:rsidTr="005611FE">
        <w:trPr>
          <w:cantSplit/>
          <w:trHeight w:val="57"/>
        </w:trPr>
        <w:tc>
          <w:tcPr>
            <w:tcW w:w="3111" w:type="dxa"/>
            <w:shd w:val="clear" w:color="auto" w:fill="auto"/>
          </w:tcPr>
          <w:p w14:paraId="572E3417" w14:textId="27843DD9" w:rsidR="00705AF6" w:rsidRPr="002D2F67" w:rsidRDefault="00705AF6" w:rsidP="00705AF6">
            <w:pPr>
              <w:tabs>
                <w:tab w:val="left" w:pos="197"/>
              </w:tabs>
              <w:ind w:left="148" w:right="-194"/>
              <w:rPr>
                <w:rFonts w:ascii="Arial" w:hAnsi="Arial" w:cs="Arial"/>
                <w:color w:val="000000"/>
                <w:sz w:val="14"/>
                <w:szCs w:val="14"/>
              </w:rPr>
            </w:pPr>
            <w:r w:rsidRPr="002D2F67">
              <w:rPr>
                <w:rFonts w:ascii="Arial" w:hAnsi="Arial" w:cs="Arial"/>
                <w:color w:val="000000"/>
                <w:sz w:val="14"/>
                <w:szCs w:val="14"/>
              </w:rPr>
              <w:t>Energy Mahanakorn Co., Ltd.</w:t>
            </w:r>
          </w:p>
        </w:tc>
        <w:tc>
          <w:tcPr>
            <w:tcW w:w="2957" w:type="dxa"/>
            <w:shd w:val="clear" w:color="auto" w:fill="auto"/>
          </w:tcPr>
          <w:p w14:paraId="229129E7" w14:textId="77777777" w:rsidR="00705AF6" w:rsidRPr="002D2F67" w:rsidRDefault="00705AF6" w:rsidP="00705AF6">
            <w:pPr>
              <w:tabs>
                <w:tab w:val="left" w:pos="-3402"/>
                <w:tab w:val="left" w:pos="-3261"/>
                <w:tab w:val="left" w:pos="-3119"/>
              </w:tabs>
              <w:ind w:left="-29" w:right="-23"/>
              <w:rPr>
                <w:rFonts w:ascii="Arial" w:hAnsi="Arial" w:cs="Arial"/>
                <w:color w:val="000000"/>
                <w:spacing w:val="4"/>
                <w:sz w:val="14"/>
                <w:szCs w:val="14"/>
              </w:rPr>
            </w:pPr>
            <w:r w:rsidRPr="002D2F67">
              <w:rPr>
                <w:rFonts w:ascii="Arial" w:hAnsi="Arial" w:cs="Arial"/>
                <w:color w:val="000000"/>
                <w:spacing w:val="4"/>
                <w:sz w:val="14"/>
                <w:szCs w:val="14"/>
              </w:rPr>
              <w:t>Charging station</w:t>
            </w:r>
          </w:p>
        </w:tc>
        <w:tc>
          <w:tcPr>
            <w:tcW w:w="1058" w:type="dxa"/>
            <w:shd w:val="clear" w:color="auto" w:fill="auto"/>
          </w:tcPr>
          <w:p w14:paraId="36014AB3" w14:textId="0B8A967F" w:rsidR="00705AF6" w:rsidRPr="002D2F67" w:rsidRDefault="00CD5714" w:rsidP="00705AF6">
            <w:pPr>
              <w:ind w:left="-122" w:right="-84"/>
              <w:jc w:val="right"/>
              <w:rPr>
                <w:rFonts w:ascii="Arial" w:hAnsi="Arial" w:cs="Arial"/>
                <w:color w:val="000000"/>
                <w:sz w:val="14"/>
                <w:szCs w:val="14"/>
              </w:rPr>
            </w:pPr>
            <w:r w:rsidRPr="00CD5714">
              <w:rPr>
                <w:rFonts w:ascii="Arial" w:hAnsi="Arial" w:cs="Arial"/>
                <w:color w:val="000000"/>
                <w:sz w:val="14"/>
                <w:szCs w:val="14"/>
                <w:lang w:val="en-GB"/>
              </w:rPr>
              <w:t>50</w:t>
            </w:r>
            <w:r w:rsidR="00705AF6" w:rsidRPr="002D2F67">
              <w:rPr>
                <w:rFonts w:ascii="Arial" w:hAnsi="Arial" w:cs="Arial"/>
                <w:color w:val="000000"/>
                <w:sz w:val="14"/>
                <w:szCs w:val="14"/>
              </w:rPr>
              <w:t>.</w:t>
            </w:r>
            <w:r w:rsidRPr="00CD5714">
              <w:rPr>
                <w:rFonts w:ascii="Arial" w:hAnsi="Arial" w:cs="Arial"/>
                <w:color w:val="000000"/>
                <w:sz w:val="14"/>
                <w:szCs w:val="14"/>
                <w:lang w:val="en-GB"/>
              </w:rPr>
              <w:t>00</w:t>
            </w:r>
          </w:p>
        </w:tc>
        <w:tc>
          <w:tcPr>
            <w:tcW w:w="1058" w:type="dxa"/>
            <w:shd w:val="clear" w:color="auto" w:fill="auto"/>
          </w:tcPr>
          <w:p w14:paraId="6A9B8F50" w14:textId="7806362B" w:rsidR="00705AF6" w:rsidRPr="002D2F67" w:rsidRDefault="00CD5714" w:rsidP="00705AF6">
            <w:pPr>
              <w:ind w:left="-122" w:right="-84"/>
              <w:jc w:val="right"/>
              <w:rPr>
                <w:rFonts w:ascii="Arial" w:hAnsi="Arial" w:cs="Arial"/>
                <w:color w:val="000000"/>
                <w:sz w:val="14"/>
                <w:szCs w:val="14"/>
              </w:rPr>
            </w:pPr>
            <w:r w:rsidRPr="00CD5714">
              <w:rPr>
                <w:rFonts w:ascii="Arial" w:hAnsi="Arial" w:cs="Arial"/>
                <w:color w:val="000000"/>
                <w:sz w:val="14"/>
                <w:szCs w:val="14"/>
                <w:lang w:val="en-GB"/>
              </w:rPr>
              <w:t>50</w:t>
            </w:r>
            <w:r w:rsidR="00705AF6" w:rsidRPr="002D2F67">
              <w:rPr>
                <w:rFonts w:ascii="Arial" w:hAnsi="Arial" w:cs="Arial"/>
                <w:color w:val="000000"/>
                <w:sz w:val="14"/>
                <w:szCs w:val="14"/>
              </w:rPr>
              <w:t>.</w:t>
            </w:r>
            <w:r w:rsidRPr="00CD5714">
              <w:rPr>
                <w:rFonts w:ascii="Arial" w:hAnsi="Arial" w:cs="Arial"/>
                <w:color w:val="000000"/>
                <w:sz w:val="14"/>
                <w:szCs w:val="14"/>
                <w:lang w:val="en-GB"/>
              </w:rPr>
              <w:t>00</w:t>
            </w:r>
          </w:p>
        </w:tc>
        <w:tc>
          <w:tcPr>
            <w:tcW w:w="1057" w:type="dxa"/>
            <w:shd w:val="clear" w:color="auto" w:fill="auto"/>
          </w:tcPr>
          <w:p w14:paraId="6CD5EB8B" w14:textId="01D72B18" w:rsidR="00705AF6" w:rsidRPr="002D2F67" w:rsidRDefault="00CD5714" w:rsidP="00705AF6">
            <w:pPr>
              <w:ind w:left="-122" w:right="-66"/>
              <w:jc w:val="right"/>
              <w:rPr>
                <w:rFonts w:ascii="Arial" w:hAnsi="Arial" w:cs="Arial"/>
                <w:color w:val="000000"/>
                <w:sz w:val="14"/>
                <w:szCs w:val="14"/>
              </w:rPr>
            </w:pPr>
            <w:r w:rsidRPr="00CD5714">
              <w:rPr>
                <w:rFonts w:ascii="Arial" w:hAnsi="Arial" w:cs="Arial"/>
                <w:color w:val="000000"/>
                <w:sz w:val="14"/>
                <w:szCs w:val="14"/>
                <w:lang w:val="en-GB"/>
              </w:rPr>
              <w:t>2</w:t>
            </w:r>
            <w:r w:rsidR="00705AF6" w:rsidRPr="002D2F67">
              <w:rPr>
                <w:rFonts w:ascii="Arial" w:hAnsi="Arial" w:cs="Arial"/>
                <w:color w:val="000000"/>
                <w:sz w:val="14"/>
                <w:szCs w:val="14"/>
              </w:rPr>
              <w:t>.</w:t>
            </w:r>
            <w:r w:rsidRPr="00CD5714">
              <w:rPr>
                <w:rFonts w:ascii="Arial" w:hAnsi="Arial" w:cs="Arial"/>
                <w:color w:val="000000"/>
                <w:sz w:val="14"/>
                <w:szCs w:val="14"/>
                <w:lang w:val="en-GB"/>
              </w:rPr>
              <w:t>11</w:t>
            </w:r>
          </w:p>
        </w:tc>
        <w:tc>
          <w:tcPr>
            <w:tcW w:w="1057" w:type="dxa"/>
            <w:shd w:val="clear" w:color="auto" w:fill="auto"/>
          </w:tcPr>
          <w:p w14:paraId="65BA1A85" w14:textId="3A7F4B4A" w:rsidR="00705AF6" w:rsidRPr="002D2F67" w:rsidRDefault="00CD5714" w:rsidP="00705AF6">
            <w:pPr>
              <w:ind w:left="-122" w:right="-66"/>
              <w:jc w:val="right"/>
              <w:rPr>
                <w:rFonts w:ascii="Arial" w:hAnsi="Arial" w:cs="Arial"/>
                <w:color w:val="000000"/>
                <w:sz w:val="14"/>
                <w:szCs w:val="14"/>
              </w:rPr>
            </w:pPr>
            <w:r w:rsidRPr="00CD5714">
              <w:rPr>
                <w:rFonts w:ascii="Arial" w:hAnsi="Arial" w:cs="Arial"/>
                <w:color w:val="000000"/>
                <w:sz w:val="14"/>
                <w:szCs w:val="14"/>
                <w:lang w:val="en-GB"/>
              </w:rPr>
              <w:t>2</w:t>
            </w:r>
            <w:r w:rsidR="00705AF6" w:rsidRPr="002D2F67">
              <w:rPr>
                <w:rFonts w:ascii="Arial" w:hAnsi="Arial" w:cs="Arial"/>
                <w:color w:val="000000"/>
                <w:sz w:val="14"/>
                <w:szCs w:val="14"/>
              </w:rPr>
              <w:t>.</w:t>
            </w:r>
            <w:r w:rsidRPr="00CD5714">
              <w:rPr>
                <w:rFonts w:ascii="Arial" w:hAnsi="Arial" w:cs="Arial"/>
                <w:color w:val="000000"/>
                <w:sz w:val="14"/>
                <w:szCs w:val="14"/>
                <w:lang w:val="en-GB"/>
              </w:rPr>
              <w:t>11</w:t>
            </w:r>
          </w:p>
        </w:tc>
        <w:tc>
          <w:tcPr>
            <w:tcW w:w="1057" w:type="dxa"/>
            <w:shd w:val="clear" w:color="auto" w:fill="auto"/>
          </w:tcPr>
          <w:p w14:paraId="2F98573B" w14:textId="4B5F69F6" w:rsidR="00705AF6" w:rsidRPr="002D2F67" w:rsidRDefault="00CD5714" w:rsidP="00705AF6">
            <w:pPr>
              <w:ind w:right="-83"/>
              <w:jc w:val="right"/>
              <w:rPr>
                <w:rFonts w:ascii="Arial" w:hAnsi="Arial" w:cs="Arial"/>
                <w:color w:val="000000"/>
                <w:sz w:val="14"/>
                <w:szCs w:val="14"/>
              </w:rPr>
            </w:pPr>
            <w:r w:rsidRPr="00CD5714">
              <w:rPr>
                <w:rFonts w:ascii="Arial" w:hAnsi="Arial" w:cs="Arial"/>
                <w:color w:val="000000"/>
                <w:sz w:val="14"/>
                <w:szCs w:val="14"/>
                <w:lang w:val="en-GB"/>
              </w:rPr>
              <w:t>100</w:t>
            </w:r>
            <w:r w:rsidR="00705AF6" w:rsidRPr="002D2F67">
              <w:rPr>
                <w:rFonts w:ascii="Arial" w:hAnsi="Arial" w:cs="Arial"/>
                <w:color w:val="000000"/>
                <w:sz w:val="14"/>
                <w:szCs w:val="14"/>
              </w:rPr>
              <w:t>,</w:t>
            </w:r>
            <w:r w:rsidRPr="00CD5714">
              <w:rPr>
                <w:rFonts w:ascii="Arial" w:hAnsi="Arial" w:cs="Arial"/>
                <w:color w:val="000000"/>
                <w:sz w:val="14"/>
                <w:szCs w:val="14"/>
                <w:lang w:val="en-GB"/>
              </w:rPr>
              <w:t>000</w:t>
            </w:r>
          </w:p>
        </w:tc>
        <w:tc>
          <w:tcPr>
            <w:tcW w:w="1057" w:type="dxa"/>
            <w:shd w:val="clear" w:color="auto" w:fill="auto"/>
          </w:tcPr>
          <w:p w14:paraId="02573007" w14:textId="50F69A5D" w:rsidR="00705AF6" w:rsidRPr="002D2F67" w:rsidRDefault="00CD5714" w:rsidP="00705AF6">
            <w:pPr>
              <w:ind w:right="-83"/>
              <w:jc w:val="right"/>
              <w:rPr>
                <w:rFonts w:ascii="Arial" w:hAnsi="Arial" w:cs="Arial"/>
                <w:color w:val="000000"/>
                <w:sz w:val="14"/>
                <w:szCs w:val="14"/>
              </w:rPr>
            </w:pPr>
            <w:r w:rsidRPr="00CD5714">
              <w:rPr>
                <w:rFonts w:ascii="Arial" w:hAnsi="Arial" w:cs="Arial"/>
                <w:color w:val="000000"/>
                <w:sz w:val="14"/>
                <w:szCs w:val="14"/>
                <w:lang w:val="en-GB"/>
              </w:rPr>
              <w:t>100</w:t>
            </w:r>
            <w:r w:rsidR="00705AF6" w:rsidRPr="002D2F67">
              <w:rPr>
                <w:rFonts w:ascii="Arial" w:hAnsi="Arial" w:cs="Arial"/>
                <w:color w:val="000000"/>
                <w:sz w:val="14"/>
                <w:szCs w:val="14"/>
              </w:rPr>
              <w:t>,</w:t>
            </w:r>
            <w:r w:rsidRPr="00CD5714">
              <w:rPr>
                <w:rFonts w:ascii="Arial" w:hAnsi="Arial" w:cs="Arial"/>
                <w:color w:val="000000"/>
                <w:sz w:val="14"/>
                <w:szCs w:val="14"/>
                <w:lang w:val="en-GB"/>
              </w:rPr>
              <w:t>000</w:t>
            </w:r>
          </w:p>
        </w:tc>
        <w:tc>
          <w:tcPr>
            <w:tcW w:w="1057" w:type="dxa"/>
            <w:shd w:val="clear" w:color="auto" w:fill="auto"/>
          </w:tcPr>
          <w:p w14:paraId="65DA3BDB" w14:textId="59997848" w:rsidR="00705AF6" w:rsidRPr="002D2F67" w:rsidRDefault="00705AF6" w:rsidP="00705AF6">
            <w:pPr>
              <w:ind w:right="-83"/>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00372D10" w14:textId="38E3134F" w:rsidR="00705AF6" w:rsidRPr="002D2F67" w:rsidRDefault="00705AF6" w:rsidP="00705AF6">
            <w:pPr>
              <w:ind w:right="-83"/>
              <w:jc w:val="right"/>
              <w:rPr>
                <w:rFonts w:ascii="Arial" w:hAnsi="Arial" w:cs="Arial"/>
                <w:color w:val="000000"/>
                <w:sz w:val="14"/>
                <w:szCs w:val="14"/>
              </w:rPr>
            </w:pPr>
            <w:r w:rsidRPr="002D2F67">
              <w:rPr>
                <w:rFonts w:ascii="Arial" w:hAnsi="Arial" w:cs="Arial"/>
                <w:color w:val="000000"/>
                <w:sz w:val="14"/>
                <w:szCs w:val="14"/>
              </w:rPr>
              <w:t>-</w:t>
            </w:r>
          </w:p>
        </w:tc>
      </w:tr>
      <w:tr w:rsidR="00705AF6" w:rsidRPr="002D2F67" w14:paraId="495A2981" w14:textId="77777777" w:rsidTr="005611FE">
        <w:trPr>
          <w:cantSplit/>
          <w:trHeight w:val="57"/>
        </w:trPr>
        <w:tc>
          <w:tcPr>
            <w:tcW w:w="3111" w:type="dxa"/>
            <w:shd w:val="clear" w:color="auto" w:fill="auto"/>
          </w:tcPr>
          <w:p w14:paraId="259F0C09" w14:textId="77777777" w:rsidR="00705AF6" w:rsidRPr="002D2F67" w:rsidRDefault="00705AF6" w:rsidP="00705AF6">
            <w:pPr>
              <w:tabs>
                <w:tab w:val="left" w:pos="197"/>
              </w:tabs>
              <w:ind w:left="148" w:right="-194"/>
              <w:rPr>
                <w:rFonts w:ascii="Arial" w:hAnsi="Arial" w:cs="Arial"/>
                <w:color w:val="000000"/>
                <w:sz w:val="14"/>
                <w:szCs w:val="14"/>
              </w:rPr>
            </w:pPr>
            <w:r w:rsidRPr="002D2F67">
              <w:rPr>
                <w:rFonts w:ascii="Arial" w:hAnsi="Arial" w:cs="Arial"/>
                <w:color w:val="000000"/>
                <w:sz w:val="14"/>
                <w:szCs w:val="14"/>
              </w:rPr>
              <w:t>Green Technology Research Co., Ltd.</w:t>
            </w:r>
          </w:p>
        </w:tc>
        <w:tc>
          <w:tcPr>
            <w:tcW w:w="2957" w:type="dxa"/>
            <w:shd w:val="clear" w:color="auto" w:fill="auto"/>
          </w:tcPr>
          <w:p w14:paraId="619D7CE6" w14:textId="77777777" w:rsidR="00705AF6" w:rsidRPr="002D2F67" w:rsidRDefault="00705AF6" w:rsidP="00705AF6">
            <w:pPr>
              <w:tabs>
                <w:tab w:val="left" w:pos="-3402"/>
                <w:tab w:val="left" w:pos="-3261"/>
                <w:tab w:val="left" w:pos="-3119"/>
              </w:tabs>
              <w:ind w:left="-29" w:right="-23"/>
              <w:rPr>
                <w:rFonts w:ascii="Arial" w:hAnsi="Arial" w:cs="Arial"/>
                <w:color w:val="000000"/>
                <w:spacing w:val="4"/>
                <w:sz w:val="14"/>
                <w:szCs w:val="14"/>
              </w:rPr>
            </w:pPr>
            <w:r w:rsidRPr="002D2F67">
              <w:rPr>
                <w:rFonts w:ascii="Arial" w:hAnsi="Arial" w:cs="Arial"/>
                <w:color w:val="000000"/>
                <w:spacing w:val="4"/>
                <w:sz w:val="14"/>
                <w:szCs w:val="14"/>
              </w:rPr>
              <w:t>Research and Development of biodiesel</w:t>
            </w:r>
          </w:p>
        </w:tc>
        <w:tc>
          <w:tcPr>
            <w:tcW w:w="1058" w:type="dxa"/>
            <w:shd w:val="clear" w:color="auto" w:fill="auto"/>
          </w:tcPr>
          <w:p w14:paraId="71CD7644" w14:textId="03CB15E8" w:rsidR="00705AF6" w:rsidRPr="002D2F67" w:rsidRDefault="00CD5714" w:rsidP="00705AF6">
            <w:pPr>
              <w:ind w:left="-122" w:right="-84"/>
              <w:jc w:val="right"/>
              <w:rPr>
                <w:rFonts w:ascii="Arial" w:hAnsi="Arial" w:cs="Arial"/>
                <w:color w:val="000000"/>
                <w:sz w:val="14"/>
                <w:szCs w:val="14"/>
              </w:rPr>
            </w:pPr>
            <w:r w:rsidRPr="00CD5714">
              <w:rPr>
                <w:rFonts w:ascii="Arial" w:hAnsi="Arial" w:cs="Arial"/>
                <w:color w:val="000000"/>
                <w:sz w:val="14"/>
                <w:szCs w:val="14"/>
                <w:lang w:val="en-GB"/>
              </w:rPr>
              <w:t>99</w:t>
            </w:r>
            <w:r w:rsidR="00705AF6"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058" w:type="dxa"/>
            <w:shd w:val="clear" w:color="auto" w:fill="auto"/>
          </w:tcPr>
          <w:p w14:paraId="723F126D" w14:textId="69C20FA1" w:rsidR="00705AF6" w:rsidRPr="002D2F67" w:rsidRDefault="00CD5714" w:rsidP="00705AF6">
            <w:pPr>
              <w:ind w:left="-122" w:right="-84"/>
              <w:jc w:val="right"/>
              <w:rPr>
                <w:rFonts w:ascii="Arial" w:hAnsi="Arial" w:cs="Arial"/>
                <w:color w:val="000000"/>
                <w:sz w:val="14"/>
                <w:szCs w:val="14"/>
              </w:rPr>
            </w:pPr>
            <w:r w:rsidRPr="00CD5714">
              <w:rPr>
                <w:rFonts w:ascii="Arial" w:hAnsi="Arial" w:cs="Arial"/>
                <w:color w:val="000000"/>
                <w:sz w:val="14"/>
                <w:szCs w:val="14"/>
                <w:lang w:val="en-GB"/>
              </w:rPr>
              <w:t>99</w:t>
            </w:r>
            <w:r w:rsidR="00705AF6"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057" w:type="dxa"/>
            <w:shd w:val="clear" w:color="auto" w:fill="auto"/>
          </w:tcPr>
          <w:p w14:paraId="78B2C606" w14:textId="4194F1A0" w:rsidR="00705AF6" w:rsidRPr="002D2F67" w:rsidRDefault="00705AF6" w:rsidP="00705AF6">
            <w:pPr>
              <w:ind w:left="-122" w:right="-66"/>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7D63B9B4" w14:textId="7020BB1F" w:rsidR="00705AF6" w:rsidRPr="002D2F67" w:rsidRDefault="00705AF6" w:rsidP="00705AF6">
            <w:pPr>
              <w:ind w:left="-122" w:right="-66"/>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75D83363" w14:textId="5F106F43" w:rsidR="00705AF6" w:rsidRPr="002D2F67" w:rsidRDefault="00CD5714" w:rsidP="00705AF6">
            <w:pPr>
              <w:ind w:right="-83"/>
              <w:jc w:val="right"/>
              <w:rPr>
                <w:rFonts w:ascii="Arial" w:hAnsi="Arial" w:cs="Arial"/>
                <w:color w:val="000000"/>
                <w:sz w:val="14"/>
                <w:szCs w:val="14"/>
              </w:rPr>
            </w:pPr>
            <w:r w:rsidRPr="00CD5714">
              <w:rPr>
                <w:rFonts w:ascii="Arial" w:hAnsi="Arial" w:cs="Arial"/>
                <w:color w:val="000000"/>
                <w:sz w:val="14"/>
                <w:szCs w:val="14"/>
                <w:lang w:val="en-GB"/>
              </w:rPr>
              <w:t>112</w:t>
            </w:r>
            <w:r w:rsidR="00705AF6" w:rsidRPr="002D2F67">
              <w:rPr>
                <w:rFonts w:ascii="Arial" w:hAnsi="Arial" w:cs="Arial"/>
                <w:color w:val="000000"/>
                <w:sz w:val="14"/>
                <w:szCs w:val="14"/>
              </w:rPr>
              <w:t>,</w:t>
            </w:r>
            <w:r w:rsidRPr="00CD5714">
              <w:rPr>
                <w:rFonts w:ascii="Arial" w:hAnsi="Arial" w:cs="Arial"/>
                <w:color w:val="000000"/>
                <w:sz w:val="14"/>
                <w:szCs w:val="14"/>
                <w:lang w:val="en-GB"/>
              </w:rPr>
              <w:t>000</w:t>
            </w:r>
          </w:p>
        </w:tc>
        <w:tc>
          <w:tcPr>
            <w:tcW w:w="1057" w:type="dxa"/>
            <w:shd w:val="clear" w:color="auto" w:fill="auto"/>
          </w:tcPr>
          <w:p w14:paraId="023846B1" w14:textId="73F91920" w:rsidR="00705AF6" w:rsidRPr="002D2F67" w:rsidRDefault="00CD5714" w:rsidP="00705AF6">
            <w:pPr>
              <w:ind w:right="-83"/>
              <w:jc w:val="right"/>
              <w:rPr>
                <w:rFonts w:ascii="Arial" w:hAnsi="Arial" w:cs="Arial"/>
                <w:color w:val="000000"/>
                <w:sz w:val="14"/>
                <w:szCs w:val="14"/>
              </w:rPr>
            </w:pPr>
            <w:r w:rsidRPr="00CD5714">
              <w:rPr>
                <w:rFonts w:ascii="Arial" w:hAnsi="Arial" w:cs="Arial"/>
                <w:color w:val="000000"/>
                <w:sz w:val="14"/>
                <w:szCs w:val="14"/>
                <w:lang w:val="en-GB"/>
              </w:rPr>
              <w:t>112</w:t>
            </w:r>
            <w:r w:rsidR="00705AF6" w:rsidRPr="002D2F67">
              <w:rPr>
                <w:rFonts w:ascii="Arial" w:hAnsi="Arial" w:cs="Arial"/>
                <w:color w:val="000000"/>
                <w:sz w:val="14"/>
                <w:szCs w:val="14"/>
              </w:rPr>
              <w:t>,</w:t>
            </w:r>
            <w:r w:rsidRPr="00CD5714">
              <w:rPr>
                <w:rFonts w:ascii="Arial" w:hAnsi="Arial" w:cs="Arial"/>
                <w:color w:val="000000"/>
                <w:sz w:val="14"/>
                <w:szCs w:val="14"/>
                <w:lang w:val="en-GB"/>
              </w:rPr>
              <w:t>000</w:t>
            </w:r>
          </w:p>
        </w:tc>
        <w:tc>
          <w:tcPr>
            <w:tcW w:w="1057" w:type="dxa"/>
            <w:shd w:val="clear" w:color="auto" w:fill="auto"/>
          </w:tcPr>
          <w:p w14:paraId="43FCB32A" w14:textId="6FA84D4D" w:rsidR="00705AF6" w:rsidRPr="002D2F67" w:rsidRDefault="00705AF6" w:rsidP="00705AF6">
            <w:pPr>
              <w:ind w:right="-83"/>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50723B4F" w14:textId="18BE43FD" w:rsidR="00705AF6" w:rsidRPr="002D2F67" w:rsidRDefault="00705AF6" w:rsidP="00705AF6">
            <w:pPr>
              <w:ind w:right="-83"/>
              <w:jc w:val="right"/>
              <w:rPr>
                <w:rFonts w:ascii="Arial" w:hAnsi="Arial" w:cs="Arial"/>
                <w:color w:val="000000"/>
                <w:sz w:val="14"/>
                <w:szCs w:val="14"/>
              </w:rPr>
            </w:pPr>
            <w:r w:rsidRPr="002D2F67">
              <w:rPr>
                <w:rFonts w:ascii="Arial" w:hAnsi="Arial" w:cs="Arial"/>
                <w:color w:val="000000"/>
                <w:sz w:val="14"/>
                <w:szCs w:val="14"/>
              </w:rPr>
              <w:t>-</w:t>
            </w:r>
          </w:p>
        </w:tc>
      </w:tr>
      <w:tr w:rsidR="00705AF6" w:rsidRPr="002D2F67" w14:paraId="1C002C6B" w14:textId="77777777" w:rsidTr="005611FE">
        <w:trPr>
          <w:cantSplit/>
          <w:trHeight w:val="57"/>
        </w:trPr>
        <w:tc>
          <w:tcPr>
            <w:tcW w:w="3111" w:type="dxa"/>
            <w:shd w:val="clear" w:color="auto" w:fill="auto"/>
          </w:tcPr>
          <w:p w14:paraId="22F7119B" w14:textId="77777777" w:rsidR="00705AF6" w:rsidRPr="002D2F67" w:rsidRDefault="00705AF6" w:rsidP="00705AF6">
            <w:pPr>
              <w:tabs>
                <w:tab w:val="left" w:pos="197"/>
              </w:tabs>
              <w:ind w:left="148" w:right="-194"/>
              <w:rPr>
                <w:rFonts w:ascii="Arial" w:hAnsi="Arial" w:cs="Arial"/>
                <w:color w:val="000000"/>
                <w:sz w:val="14"/>
                <w:szCs w:val="14"/>
              </w:rPr>
            </w:pPr>
            <w:r w:rsidRPr="002D2F67">
              <w:rPr>
                <w:rFonts w:ascii="Arial" w:hAnsi="Arial" w:cs="Arial"/>
                <w:color w:val="000000"/>
                <w:sz w:val="14"/>
                <w:szCs w:val="14"/>
              </w:rPr>
              <w:t>Mine Mobility Research Co., Ltd.</w:t>
            </w:r>
          </w:p>
        </w:tc>
        <w:tc>
          <w:tcPr>
            <w:tcW w:w="2957" w:type="dxa"/>
            <w:shd w:val="clear" w:color="auto" w:fill="auto"/>
          </w:tcPr>
          <w:p w14:paraId="7B6B35AE" w14:textId="77777777" w:rsidR="00705AF6" w:rsidRPr="002D2F67" w:rsidRDefault="00705AF6" w:rsidP="00705AF6">
            <w:pPr>
              <w:tabs>
                <w:tab w:val="left" w:pos="-3402"/>
                <w:tab w:val="left" w:pos="-3261"/>
                <w:tab w:val="left" w:pos="-3119"/>
              </w:tabs>
              <w:ind w:left="-29" w:right="-23"/>
              <w:rPr>
                <w:rFonts w:ascii="Arial" w:hAnsi="Arial" w:cs="Arial"/>
                <w:color w:val="000000"/>
                <w:spacing w:val="4"/>
                <w:sz w:val="14"/>
                <w:szCs w:val="14"/>
              </w:rPr>
            </w:pPr>
            <w:r w:rsidRPr="002D2F67">
              <w:rPr>
                <w:rFonts w:ascii="Arial" w:hAnsi="Arial" w:cs="Arial"/>
                <w:color w:val="000000"/>
                <w:spacing w:val="4"/>
                <w:sz w:val="14"/>
                <w:szCs w:val="14"/>
              </w:rPr>
              <w:t>Research and Development of electricity</w:t>
            </w:r>
            <w:r w:rsidRPr="002D2F67">
              <w:rPr>
                <w:rFonts w:ascii="Arial" w:hAnsi="Arial" w:cs="Arial"/>
                <w:color w:val="000000"/>
                <w:spacing w:val="4"/>
                <w:sz w:val="14"/>
                <w:szCs w:val="14"/>
              </w:rPr>
              <w:br/>
              <w:t xml:space="preserve">   vehicle</w:t>
            </w:r>
          </w:p>
        </w:tc>
        <w:tc>
          <w:tcPr>
            <w:tcW w:w="1058" w:type="dxa"/>
            <w:shd w:val="clear" w:color="auto" w:fill="auto"/>
          </w:tcPr>
          <w:p w14:paraId="5AF75443" w14:textId="23924C5D" w:rsidR="00705AF6" w:rsidRPr="002D2F67" w:rsidRDefault="00CD5714" w:rsidP="00705AF6">
            <w:pPr>
              <w:ind w:left="-122" w:right="-84"/>
              <w:jc w:val="right"/>
              <w:rPr>
                <w:rFonts w:ascii="Arial" w:hAnsi="Arial" w:cs="Arial"/>
                <w:color w:val="000000"/>
                <w:sz w:val="14"/>
                <w:szCs w:val="14"/>
              </w:rPr>
            </w:pPr>
            <w:r w:rsidRPr="00CD5714">
              <w:rPr>
                <w:rFonts w:ascii="Arial" w:hAnsi="Arial" w:cs="Arial"/>
                <w:color w:val="000000"/>
                <w:sz w:val="14"/>
                <w:szCs w:val="14"/>
                <w:lang w:val="en-GB"/>
              </w:rPr>
              <w:t>99</w:t>
            </w:r>
            <w:r w:rsidR="00705AF6"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058" w:type="dxa"/>
            <w:shd w:val="clear" w:color="auto" w:fill="auto"/>
          </w:tcPr>
          <w:p w14:paraId="5D687883" w14:textId="347C0071" w:rsidR="00705AF6" w:rsidRPr="002D2F67" w:rsidRDefault="00CD5714" w:rsidP="00705AF6">
            <w:pPr>
              <w:ind w:left="-122" w:right="-84"/>
              <w:jc w:val="right"/>
              <w:rPr>
                <w:rFonts w:ascii="Arial" w:hAnsi="Arial" w:cs="Arial"/>
                <w:color w:val="000000"/>
                <w:sz w:val="14"/>
                <w:szCs w:val="14"/>
              </w:rPr>
            </w:pPr>
            <w:r w:rsidRPr="00CD5714">
              <w:rPr>
                <w:rFonts w:ascii="Arial" w:hAnsi="Arial" w:cs="Arial"/>
                <w:color w:val="000000"/>
                <w:sz w:val="14"/>
                <w:szCs w:val="14"/>
                <w:lang w:val="en-GB"/>
              </w:rPr>
              <w:t>99</w:t>
            </w:r>
            <w:r w:rsidR="00705AF6"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057" w:type="dxa"/>
            <w:shd w:val="clear" w:color="auto" w:fill="auto"/>
          </w:tcPr>
          <w:p w14:paraId="0BE42231" w14:textId="0A065C3F" w:rsidR="00705AF6" w:rsidRPr="002D2F67" w:rsidRDefault="00705AF6" w:rsidP="00705AF6">
            <w:pPr>
              <w:ind w:left="-122" w:right="-66"/>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4A007B28" w14:textId="47968D40" w:rsidR="00705AF6" w:rsidRPr="002D2F67" w:rsidRDefault="00705AF6" w:rsidP="00705AF6">
            <w:pPr>
              <w:ind w:left="-122" w:right="-66"/>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0F8180B4" w14:textId="70528481" w:rsidR="00705AF6" w:rsidRPr="002D2F67" w:rsidRDefault="00CD5714" w:rsidP="00705AF6">
            <w:pPr>
              <w:ind w:right="-83"/>
              <w:jc w:val="right"/>
              <w:rPr>
                <w:rFonts w:ascii="Arial" w:hAnsi="Arial" w:cs="Arial"/>
                <w:color w:val="000000"/>
                <w:sz w:val="14"/>
                <w:szCs w:val="14"/>
              </w:rPr>
            </w:pPr>
            <w:r w:rsidRPr="00CD5714">
              <w:rPr>
                <w:rFonts w:ascii="Arial" w:hAnsi="Arial" w:cs="Arial"/>
                <w:color w:val="000000"/>
                <w:sz w:val="14"/>
                <w:szCs w:val="14"/>
                <w:lang w:val="en-GB"/>
              </w:rPr>
              <w:t>410</w:t>
            </w:r>
            <w:r w:rsidR="00705AF6" w:rsidRPr="002D2F67">
              <w:rPr>
                <w:rFonts w:ascii="Arial" w:hAnsi="Arial" w:cs="Arial"/>
                <w:color w:val="000000"/>
                <w:sz w:val="14"/>
                <w:szCs w:val="14"/>
              </w:rPr>
              <w:t>,</w:t>
            </w:r>
            <w:r w:rsidRPr="00CD5714">
              <w:rPr>
                <w:rFonts w:ascii="Arial" w:hAnsi="Arial" w:cs="Arial"/>
                <w:color w:val="000000"/>
                <w:sz w:val="14"/>
                <w:szCs w:val="14"/>
                <w:lang w:val="en-GB"/>
              </w:rPr>
              <w:t>000</w:t>
            </w:r>
          </w:p>
        </w:tc>
        <w:tc>
          <w:tcPr>
            <w:tcW w:w="1057" w:type="dxa"/>
            <w:shd w:val="clear" w:color="auto" w:fill="auto"/>
          </w:tcPr>
          <w:p w14:paraId="763344B1" w14:textId="5B845918" w:rsidR="00705AF6" w:rsidRPr="002D2F67" w:rsidRDefault="00CD5714" w:rsidP="00705AF6">
            <w:pPr>
              <w:ind w:right="-83"/>
              <w:jc w:val="right"/>
              <w:rPr>
                <w:rFonts w:ascii="Arial" w:hAnsi="Arial" w:cs="Arial"/>
                <w:color w:val="000000"/>
                <w:sz w:val="14"/>
                <w:szCs w:val="14"/>
              </w:rPr>
            </w:pPr>
            <w:r w:rsidRPr="00CD5714">
              <w:rPr>
                <w:rFonts w:ascii="Arial" w:hAnsi="Arial" w:cs="Arial"/>
                <w:color w:val="000000"/>
                <w:sz w:val="14"/>
                <w:szCs w:val="14"/>
                <w:lang w:val="en-GB"/>
              </w:rPr>
              <w:t>410</w:t>
            </w:r>
            <w:r w:rsidR="00705AF6" w:rsidRPr="002D2F67">
              <w:rPr>
                <w:rFonts w:ascii="Arial" w:hAnsi="Arial" w:cs="Arial"/>
                <w:color w:val="000000"/>
                <w:sz w:val="14"/>
                <w:szCs w:val="14"/>
              </w:rPr>
              <w:t>,</w:t>
            </w:r>
            <w:r w:rsidRPr="00CD5714">
              <w:rPr>
                <w:rFonts w:ascii="Arial" w:hAnsi="Arial" w:cs="Arial"/>
                <w:color w:val="000000"/>
                <w:sz w:val="14"/>
                <w:szCs w:val="14"/>
                <w:lang w:val="en-GB"/>
              </w:rPr>
              <w:t>000</w:t>
            </w:r>
          </w:p>
        </w:tc>
        <w:tc>
          <w:tcPr>
            <w:tcW w:w="1057" w:type="dxa"/>
            <w:shd w:val="clear" w:color="auto" w:fill="auto"/>
          </w:tcPr>
          <w:p w14:paraId="27DF2932" w14:textId="26AA7970" w:rsidR="00705AF6" w:rsidRPr="002D2F67" w:rsidRDefault="00705AF6" w:rsidP="00705AF6">
            <w:pPr>
              <w:ind w:right="-83"/>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373C3669" w14:textId="6532A2C5" w:rsidR="00705AF6" w:rsidRPr="002D2F67" w:rsidRDefault="00705AF6" w:rsidP="00705AF6">
            <w:pPr>
              <w:ind w:right="-83"/>
              <w:jc w:val="right"/>
              <w:rPr>
                <w:rFonts w:ascii="Arial" w:hAnsi="Arial" w:cs="Arial"/>
                <w:color w:val="000000"/>
                <w:sz w:val="14"/>
                <w:szCs w:val="14"/>
              </w:rPr>
            </w:pPr>
            <w:r w:rsidRPr="002D2F67">
              <w:rPr>
                <w:rFonts w:ascii="Arial" w:hAnsi="Arial" w:cs="Arial"/>
                <w:color w:val="000000"/>
                <w:sz w:val="14"/>
                <w:szCs w:val="14"/>
              </w:rPr>
              <w:t>-</w:t>
            </w:r>
          </w:p>
        </w:tc>
      </w:tr>
      <w:tr w:rsidR="00705AF6" w:rsidRPr="002D2F67" w14:paraId="7ED76D52" w14:textId="77777777" w:rsidTr="005611FE">
        <w:trPr>
          <w:cantSplit/>
          <w:trHeight w:val="57"/>
        </w:trPr>
        <w:tc>
          <w:tcPr>
            <w:tcW w:w="3111" w:type="dxa"/>
            <w:shd w:val="clear" w:color="auto" w:fill="auto"/>
          </w:tcPr>
          <w:p w14:paraId="4DB4C948" w14:textId="77777777" w:rsidR="00705AF6" w:rsidRPr="002D2F67" w:rsidRDefault="00705AF6" w:rsidP="00705AF6">
            <w:pPr>
              <w:tabs>
                <w:tab w:val="left" w:pos="197"/>
              </w:tabs>
              <w:ind w:left="148" w:right="-194"/>
              <w:rPr>
                <w:rFonts w:ascii="Arial" w:hAnsi="Arial" w:cs="Arial"/>
                <w:color w:val="000000"/>
                <w:sz w:val="14"/>
                <w:szCs w:val="14"/>
              </w:rPr>
            </w:pPr>
            <w:r w:rsidRPr="002D2F67">
              <w:rPr>
                <w:rFonts w:ascii="Arial" w:hAnsi="Arial" w:cs="Arial"/>
                <w:color w:val="000000"/>
                <w:sz w:val="14"/>
                <w:szCs w:val="14"/>
              </w:rPr>
              <w:t>Energy Beyond Research Co., Ltd.</w:t>
            </w:r>
          </w:p>
        </w:tc>
        <w:tc>
          <w:tcPr>
            <w:tcW w:w="2957" w:type="dxa"/>
            <w:shd w:val="clear" w:color="auto" w:fill="auto"/>
          </w:tcPr>
          <w:p w14:paraId="2B9AA2C7" w14:textId="77777777" w:rsidR="00705AF6" w:rsidRPr="002D2F67" w:rsidRDefault="00705AF6" w:rsidP="00705AF6">
            <w:pPr>
              <w:tabs>
                <w:tab w:val="left" w:pos="-3402"/>
                <w:tab w:val="left" w:pos="-3261"/>
                <w:tab w:val="left" w:pos="-3119"/>
              </w:tabs>
              <w:ind w:left="-29" w:right="-23"/>
              <w:rPr>
                <w:rFonts w:ascii="Arial" w:hAnsi="Arial" w:cs="Arial"/>
                <w:color w:val="000000"/>
                <w:spacing w:val="4"/>
                <w:sz w:val="14"/>
                <w:szCs w:val="14"/>
              </w:rPr>
            </w:pPr>
            <w:r w:rsidRPr="002D2F67">
              <w:rPr>
                <w:rFonts w:ascii="Arial" w:hAnsi="Arial" w:cs="Arial"/>
                <w:color w:val="000000"/>
                <w:spacing w:val="4"/>
                <w:sz w:val="14"/>
                <w:szCs w:val="14"/>
              </w:rPr>
              <w:t>Research and Development of battery</w:t>
            </w:r>
          </w:p>
          <w:p w14:paraId="66637B0A" w14:textId="77777777" w:rsidR="00705AF6" w:rsidRPr="002D2F67" w:rsidRDefault="00705AF6" w:rsidP="00705AF6">
            <w:pPr>
              <w:tabs>
                <w:tab w:val="left" w:pos="-3402"/>
                <w:tab w:val="left" w:pos="-3261"/>
                <w:tab w:val="left" w:pos="-3119"/>
              </w:tabs>
              <w:ind w:left="-29" w:right="-23"/>
              <w:rPr>
                <w:rFonts w:ascii="Arial" w:hAnsi="Arial" w:cs="Arial"/>
                <w:color w:val="000000"/>
                <w:spacing w:val="4"/>
                <w:sz w:val="14"/>
                <w:szCs w:val="14"/>
              </w:rPr>
            </w:pPr>
            <w:r w:rsidRPr="002D2F67">
              <w:rPr>
                <w:rFonts w:ascii="Arial" w:hAnsi="Arial" w:cs="Arial"/>
                <w:color w:val="000000"/>
                <w:spacing w:val="4"/>
                <w:sz w:val="14"/>
                <w:szCs w:val="14"/>
              </w:rPr>
              <w:t xml:space="preserve">   (not commercial operations yet)</w:t>
            </w:r>
          </w:p>
        </w:tc>
        <w:tc>
          <w:tcPr>
            <w:tcW w:w="1058" w:type="dxa"/>
            <w:shd w:val="clear" w:color="auto" w:fill="auto"/>
          </w:tcPr>
          <w:p w14:paraId="11742B2B" w14:textId="6827FE92" w:rsidR="00705AF6" w:rsidRPr="002D2F67" w:rsidRDefault="00CD5714" w:rsidP="00705AF6">
            <w:pPr>
              <w:ind w:left="-122" w:right="-84"/>
              <w:jc w:val="right"/>
              <w:rPr>
                <w:rFonts w:ascii="Arial" w:hAnsi="Arial" w:cs="Arial"/>
                <w:color w:val="000000"/>
                <w:sz w:val="14"/>
                <w:szCs w:val="14"/>
              </w:rPr>
            </w:pPr>
            <w:r w:rsidRPr="00CD5714">
              <w:rPr>
                <w:rFonts w:ascii="Arial" w:hAnsi="Arial" w:cs="Arial"/>
                <w:color w:val="000000"/>
                <w:sz w:val="14"/>
                <w:szCs w:val="14"/>
                <w:lang w:val="en-GB"/>
              </w:rPr>
              <w:t>99</w:t>
            </w:r>
            <w:r w:rsidR="00705AF6"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058" w:type="dxa"/>
            <w:shd w:val="clear" w:color="auto" w:fill="auto"/>
          </w:tcPr>
          <w:p w14:paraId="30A8BFC1" w14:textId="28579A91" w:rsidR="00705AF6" w:rsidRPr="002D2F67" w:rsidRDefault="00CD5714" w:rsidP="00705AF6">
            <w:pPr>
              <w:ind w:left="-122" w:right="-84"/>
              <w:jc w:val="right"/>
              <w:rPr>
                <w:rFonts w:ascii="Arial" w:hAnsi="Arial" w:cs="Arial"/>
                <w:color w:val="000000"/>
                <w:sz w:val="14"/>
                <w:szCs w:val="14"/>
              </w:rPr>
            </w:pPr>
            <w:r w:rsidRPr="00CD5714">
              <w:rPr>
                <w:rFonts w:ascii="Arial" w:hAnsi="Arial" w:cs="Arial"/>
                <w:color w:val="000000"/>
                <w:sz w:val="14"/>
                <w:szCs w:val="14"/>
                <w:lang w:val="en-GB"/>
              </w:rPr>
              <w:t>99</w:t>
            </w:r>
            <w:r w:rsidR="00705AF6"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057" w:type="dxa"/>
            <w:shd w:val="clear" w:color="auto" w:fill="auto"/>
          </w:tcPr>
          <w:p w14:paraId="54D10C41" w14:textId="310D9D8D" w:rsidR="00705AF6" w:rsidRPr="002D2F67" w:rsidRDefault="00705AF6" w:rsidP="00705AF6">
            <w:pPr>
              <w:ind w:left="-122" w:right="-66"/>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72CFFBD7" w14:textId="56509A42" w:rsidR="00705AF6" w:rsidRPr="002D2F67" w:rsidRDefault="00705AF6" w:rsidP="00705AF6">
            <w:pPr>
              <w:ind w:left="-122" w:right="-66"/>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2FFD6C54" w14:textId="0A2A0EA1" w:rsidR="00705AF6" w:rsidRPr="002D2F67" w:rsidRDefault="00CD5714" w:rsidP="00705AF6">
            <w:pPr>
              <w:ind w:right="-83"/>
              <w:jc w:val="right"/>
              <w:rPr>
                <w:rFonts w:ascii="Arial" w:hAnsi="Arial" w:cs="Arial"/>
                <w:color w:val="000000"/>
                <w:sz w:val="14"/>
                <w:szCs w:val="14"/>
              </w:rPr>
            </w:pPr>
            <w:r w:rsidRPr="00CD5714">
              <w:rPr>
                <w:rFonts w:ascii="Arial" w:hAnsi="Arial" w:cs="Arial"/>
                <w:color w:val="000000"/>
                <w:sz w:val="14"/>
                <w:szCs w:val="14"/>
                <w:lang w:val="en-GB"/>
              </w:rPr>
              <w:t>45</w:t>
            </w:r>
            <w:r w:rsidR="00705AF6" w:rsidRPr="002D2F67">
              <w:rPr>
                <w:rFonts w:ascii="Arial" w:hAnsi="Arial" w:cs="Arial"/>
                <w:color w:val="000000"/>
                <w:sz w:val="14"/>
                <w:szCs w:val="14"/>
              </w:rPr>
              <w:t>,</w:t>
            </w:r>
            <w:r w:rsidRPr="00CD5714">
              <w:rPr>
                <w:rFonts w:ascii="Arial" w:hAnsi="Arial" w:cs="Arial"/>
                <w:color w:val="000000"/>
                <w:sz w:val="14"/>
                <w:szCs w:val="14"/>
                <w:lang w:val="en-GB"/>
              </w:rPr>
              <w:t>075</w:t>
            </w:r>
          </w:p>
        </w:tc>
        <w:tc>
          <w:tcPr>
            <w:tcW w:w="1057" w:type="dxa"/>
            <w:shd w:val="clear" w:color="auto" w:fill="auto"/>
          </w:tcPr>
          <w:p w14:paraId="2831AADC" w14:textId="661A731A" w:rsidR="00705AF6" w:rsidRPr="002D2F67" w:rsidRDefault="00CD5714" w:rsidP="00705AF6">
            <w:pPr>
              <w:ind w:right="-83"/>
              <w:jc w:val="right"/>
              <w:rPr>
                <w:rFonts w:ascii="Arial" w:hAnsi="Arial" w:cs="Arial"/>
                <w:color w:val="000000"/>
                <w:sz w:val="14"/>
                <w:szCs w:val="14"/>
              </w:rPr>
            </w:pPr>
            <w:r w:rsidRPr="00CD5714">
              <w:rPr>
                <w:rFonts w:ascii="Arial" w:hAnsi="Arial" w:cs="Arial"/>
                <w:color w:val="000000"/>
                <w:sz w:val="14"/>
                <w:szCs w:val="14"/>
                <w:lang w:val="en-GB"/>
              </w:rPr>
              <w:t>45</w:t>
            </w:r>
            <w:r w:rsidR="00705AF6" w:rsidRPr="002D2F67">
              <w:rPr>
                <w:rFonts w:ascii="Arial" w:hAnsi="Arial" w:cs="Arial"/>
                <w:color w:val="000000"/>
                <w:sz w:val="14"/>
                <w:szCs w:val="14"/>
              </w:rPr>
              <w:t>,</w:t>
            </w:r>
            <w:r w:rsidRPr="00CD5714">
              <w:rPr>
                <w:rFonts w:ascii="Arial" w:hAnsi="Arial" w:cs="Arial"/>
                <w:color w:val="000000"/>
                <w:sz w:val="14"/>
                <w:szCs w:val="14"/>
                <w:lang w:val="en-GB"/>
              </w:rPr>
              <w:t>075</w:t>
            </w:r>
          </w:p>
        </w:tc>
        <w:tc>
          <w:tcPr>
            <w:tcW w:w="1057" w:type="dxa"/>
            <w:shd w:val="clear" w:color="auto" w:fill="auto"/>
          </w:tcPr>
          <w:p w14:paraId="14747352" w14:textId="750177E7" w:rsidR="00705AF6" w:rsidRPr="002D2F67" w:rsidRDefault="00705AF6" w:rsidP="00705AF6">
            <w:pPr>
              <w:ind w:right="-83"/>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5278C982" w14:textId="7835599B" w:rsidR="00705AF6" w:rsidRPr="002D2F67" w:rsidRDefault="00705AF6" w:rsidP="00705AF6">
            <w:pPr>
              <w:ind w:right="-83"/>
              <w:jc w:val="right"/>
              <w:rPr>
                <w:rFonts w:ascii="Arial" w:hAnsi="Arial" w:cs="Arial"/>
                <w:color w:val="000000"/>
                <w:sz w:val="14"/>
                <w:szCs w:val="14"/>
              </w:rPr>
            </w:pPr>
            <w:r w:rsidRPr="002D2F67">
              <w:rPr>
                <w:rFonts w:ascii="Arial" w:hAnsi="Arial" w:cs="Arial"/>
                <w:color w:val="000000"/>
                <w:sz w:val="14"/>
                <w:szCs w:val="14"/>
              </w:rPr>
              <w:t>-</w:t>
            </w:r>
          </w:p>
        </w:tc>
      </w:tr>
      <w:tr w:rsidR="00705AF6" w:rsidRPr="002D2F67" w14:paraId="255E5A4E" w14:textId="77777777" w:rsidTr="005611FE">
        <w:trPr>
          <w:cantSplit/>
          <w:trHeight w:val="57"/>
        </w:trPr>
        <w:tc>
          <w:tcPr>
            <w:tcW w:w="3111" w:type="dxa"/>
            <w:shd w:val="clear" w:color="auto" w:fill="auto"/>
          </w:tcPr>
          <w:p w14:paraId="2989CE9D" w14:textId="77777777" w:rsidR="00705AF6" w:rsidRPr="002D2F67" w:rsidRDefault="00705AF6" w:rsidP="00705AF6">
            <w:pPr>
              <w:tabs>
                <w:tab w:val="left" w:pos="197"/>
              </w:tabs>
              <w:ind w:left="148" w:right="-194"/>
              <w:rPr>
                <w:rFonts w:ascii="Arial" w:hAnsi="Arial" w:cs="Arial"/>
                <w:color w:val="000000"/>
                <w:sz w:val="14"/>
                <w:szCs w:val="14"/>
              </w:rPr>
            </w:pPr>
            <w:r w:rsidRPr="002D2F67">
              <w:rPr>
                <w:rFonts w:ascii="Arial" w:hAnsi="Arial" w:cs="Arial"/>
                <w:color w:val="000000"/>
                <w:sz w:val="14"/>
                <w:szCs w:val="14"/>
              </w:rPr>
              <w:t>EA Bio Innovation Co., Ltd.</w:t>
            </w:r>
          </w:p>
        </w:tc>
        <w:tc>
          <w:tcPr>
            <w:tcW w:w="2957" w:type="dxa"/>
            <w:shd w:val="clear" w:color="auto" w:fill="auto"/>
          </w:tcPr>
          <w:p w14:paraId="26C81F33" w14:textId="77777777" w:rsidR="00705AF6" w:rsidRPr="002D2F67" w:rsidRDefault="00705AF6" w:rsidP="00705AF6">
            <w:pPr>
              <w:tabs>
                <w:tab w:val="left" w:pos="-3402"/>
                <w:tab w:val="left" w:pos="-3261"/>
                <w:tab w:val="left" w:pos="-3119"/>
              </w:tabs>
              <w:ind w:left="-29" w:right="-23"/>
              <w:rPr>
                <w:rFonts w:ascii="Arial" w:hAnsi="Arial" w:cs="Arial"/>
                <w:color w:val="000000"/>
                <w:spacing w:val="4"/>
                <w:sz w:val="14"/>
                <w:szCs w:val="14"/>
              </w:rPr>
            </w:pPr>
            <w:r w:rsidRPr="002D2F67">
              <w:rPr>
                <w:rFonts w:ascii="Arial" w:hAnsi="Arial" w:cs="Arial"/>
                <w:color w:val="000000"/>
                <w:spacing w:val="4"/>
                <w:sz w:val="14"/>
                <w:szCs w:val="14"/>
              </w:rPr>
              <w:t>Manufacturing and distributing biodiesel</w:t>
            </w:r>
          </w:p>
        </w:tc>
        <w:tc>
          <w:tcPr>
            <w:tcW w:w="1058" w:type="dxa"/>
            <w:shd w:val="clear" w:color="auto" w:fill="auto"/>
          </w:tcPr>
          <w:p w14:paraId="6661A9E9" w14:textId="34B7B728" w:rsidR="00705AF6" w:rsidRPr="002D2F67" w:rsidRDefault="00CD5714" w:rsidP="00705AF6">
            <w:pPr>
              <w:ind w:left="-122" w:right="-84"/>
              <w:jc w:val="right"/>
              <w:rPr>
                <w:rFonts w:ascii="Arial" w:hAnsi="Arial" w:cs="Arial"/>
                <w:color w:val="000000"/>
                <w:sz w:val="14"/>
                <w:szCs w:val="14"/>
              </w:rPr>
            </w:pPr>
            <w:r w:rsidRPr="00CD5714">
              <w:rPr>
                <w:rFonts w:ascii="Arial" w:hAnsi="Arial" w:cs="Arial"/>
                <w:color w:val="000000"/>
                <w:sz w:val="14"/>
                <w:szCs w:val="14"/>
                <w:lang w:val="en-GB"/>
              </w:rPr>
              <w:t>99</w:t>
            </w:r>
            <w:r w:rsidR="00705AF6"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058" w:type="dxa"/>
            <w:shd w:val="clear" w:color="auto" w:fill="auto"/>
          </w:tcPr>
          <w:p w14:paraId="4BC04D4D" w14:textId="6360062B" w:rsidR="00705AF6" w:rsidRPr="002D2F67" w:rsidRDefault="00CD5714" w:rsidP="00705AF6">
            <w:pPr>
              <w:ind w:left="-122" w:right="-84"/>
              <w:jc w:val="right"/>
              <w:rPr>
                <w:rFonts w:ascii="Arial" w:hAnsi="Arial" w:cs="Arial"/>
                <w:color w:val="000000"/>
                <w:sz w:val="14"/>
                <w:szCs w:val="14"/>
              </w:rPr>
            </w:pPr>
            <w:r w:rsidRPr="00CD5714">
              <w:rPr>
                <w:rFonts w:ascii="Arial" w:hAnsi="Arial" w:cs="Arial"/>
                <w:color w:val="000000"/>
                <w:sz w:val="14"/>
                <w:szCs w:val="14"/>
                <w:lang w:val="en-GB"/>
              </w:rPr>
              <w:t>99</w:t>
            </w:r>
            <w:r w:rsidR="00705AF6"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057" w:type="dxa"/>
            <w:shd w:val="clear" w:color="auto" w:fill="auto"/>
          </w:tcPr>
          <w:p w14:paraId="2B624DE7" w14:textId="7261FAB1" w:rsidR="00705AF6" w:rsidRPr="002D2F67" w:rsidRDefault="00705AF6" w:rsidP="00705AF6">
            <w:pPr>
              <w:ind w:left="-122" w:right="-66"/>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755362F8" w14:textId="00B3E860" w:rsidR="00705AF6" w:rsidRPr="002D2F67" w:rsidRDefault="00705AF6" w:rsidP="00705AF6">
            <w:pPr>
              <w:ind w:left="-122" w:right="-66"/>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1B08ABF2" w14:textId="3631B1B7" w:rsidR="00705AF6" w:rsidRPr="002D2F67" w:rsidRDefault="00CD5714" w:rsidP="00705AF6">
            <w:pPr>
              <w:ind w:right="-83"/>
              <w:jc w:val="right"/>
              <w:rPr>
                <w:rFonts w:ascii="Arial" w:hAnsi="Arial" w:cs="Arial"/>
                <w:color w:val="000000"/>
                <w:sz w:val="14"/>
                <w:szCs w:val="14"/>
              </w:rPr>
            </w:pPr>
            <w:r w:rsidRPr="00CD5714">
              <w:rPr>
                <w:rFonts w:ascii="Arial" w:hAnsi="Arial" w:cs="Arial"/>
                <w:color w:val="000000"/>
                <w:sz w:val="14"/>
                <w:szCs w:val="14"/>
                <w:lang w:val="en-GB"/>
              </w:rPr>
              <w:t>639</w:t>
            </w:r>
            <w:r w:rsidR="00705AF6" w:rsidRPr="002D2F67">
              <w:rPr>
                <w:rFonts w:ascii="Arial" w:hAnsi="Arial" w:cs="Arial"/>
                <w:color w:val="000000"/>
                <w:sz w:val="14"/>
                <w:szCs w:val="14"/>
              </w:rPr>
              <w:t>,</w:t>
            </w:r>
            <w:r w:rsidRPr="00CD5714">
              <w:rPr>
                <w:rFonts w:ascii="Arial" w:hAnsi="Arial" w:cs="Arial"/>
                <w:color w:val="000000"/>
                <w:sz w:val="14"/>
                <w:szCs w:val="14"/>
                <w:lang w:val="en-GB"/>
              </w:rPr>
              <w:t>200</w:t>
            </w:r>
          </w:p>
        </w:tc>
        <w:tc>
          <w:tcPr>
            <w:tcW w:w="1057" w:type="dxa"/>
            <w:shd w:val="clear" w:color="auto" w:fill="auto"/>
          </w:tcPr>
          <w:p w14:paraId="36B93376" w14:textId="402872F1" w:rsidR="00705AF6" w:rsidRPr="002D2F67" w:rsidRDefault="00CD5714" w:rsidP="00705AF6">
            <w:pPr>
              <w:ind w:right="-83"/>
              <w:jc w:val="right"/>
              <w:rPr>
                <w:rFonts w:ascii="Arial" w:hAnsi="Arial" w:cs="Arial"/>
                <w:color w:val="000000"/>
                <w:sz w:val="14"/>
                <w:szCs w:val="14"/>
              </w:rPr>
            </w:pPr>
            <w:r w:rsidRPr="00CD5714">
              <w:rPr>
                <w:rFonts w:ascii="Arial" w:hAnsi="Arial" w:cs="Arial"/>
                <w:color w:val="000000"/>
                <w:sz w:val="14"/>
                <w:szCs w:val="14"/>
                <w:lang w:val="en-GB"/>
              </w:rPr>
              <w:t>639</w:t>
            </w:r>
            <w:r w:rsidR="00705AF6" w:rsidRPr="002D2F67">
              <w:rPr>
                <w:rFonts w:ascii="Arial" w:hAnsi="Arial" w:cs="Arial"/>
                <w:color w:val="000000"/>
                <w:sz w:val="14"/>
                <w:szCs w:val="14"/>
              </w:rPr>
              <w:t>,</w:t>
            </w:r>
            <w:r w:rsidRPr="00CD5714">
              <w:rPr>
                <w:rFonts w:ascii="Arial" w:hAnsi="Arial" w:cs="Arial"/>
                <w:color w:val="000000"/>
                <w:sz w:val="14"/>
                <w:szCs w:val="14"/>
                <w:lang w:val="en-GB"/>
              </w:rPr>
              <w:t>200</w:t>
            </w:r>
          </w:p>
        </w:tc>
        <w:tc>
          <w:tcPr>
            <w:tcW w:w="1057" w:type="dxa"/>
            <w:shd w:val="clear" w:color="auto" w:fill="auto"/>
          </w:tcPr>
          <w:p w14:paraId="79F819D1" w14:textId="5461DE4A" w:rsidR="00705AF6" w:rsidRPr="002D2F67" w:rsidRDefault="00705AF6" w:rsidP="00705AF6">
            <w:pPr>
              <w:ind w:right="-83"/>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3E0372F8" w14:textId="01557F2C" w:rsidR="00705AF6" w:rsidRPr="002D2F67" w:rsidRDefault="00705AF6" w:rsidP="00705AF6">
            <w:pPr>
              <w:ind w:right="-83"/>
              <w:jc w:val="right"/>
              <w:rPr>
                <w:rFonts w:ascii="Arial" w:hAnsi="Arial" w:cs="Arial"/>
                <w:color w:val="000000"/>
                <w:sz w:val="14"/>
                <w:szCs w:val="14"/>
              </w:rPr>
            </w:pPr>
            <w:r w:rsidRPr="002D2F67">
              <w:rPr>
                <w:rFonts w:ascii="Arial" w:hAnsi="Arial" w:cs="Arial"/>
                <w:color w:val="000000"/>
                <w:sz w:val="14"/>
                <w:szCs w:val="14"/>
              </w:rPr>
              <w:t>-</w:t>
            </w:r>
          </w:p>
        </w:tc>
      </w:tr>
      <w:tr w:rsidR="00705AF6" w:rsidRPr="002D2F67" w14:paraId="769ABCA7" w14:textId="77777777" w:rsidTr="005611FE">
        <w:trPr>
          <w:cantSplit/>
          <w:trHeight w:val="57"/>
        </w:trPr>
        <w:tc>
          <w:tcPr>
            <w:tcW w:w="3111" w:type="dxa"/>
            <w:shd w:val="clear" w:color="auto" w:fill="auto"/>
          </w:tcPr>
          <w:p w14:paraId="3D3C845E" w14:textId="77777777" w:rsidR="00705AF6" w:rsidRPr="002D2F67" w:rsidRDefault="00705AF6" w:rsidP="00705AF6">
            <w:pPr>
              <w:pStyle w:val="acctfourfigures"/>
              <w:tabs>
                <w:tab w:val="clear" w:pos="765"/>
              </w:tabs>
              <w:spacing w:line="240" w:lineRule="auto"/>
              <w:ind w:left="148" w:right="-72"/>
              <w:rPr>
                <w:rFonts w:ascii="Arial" w:hAnsi="Arial" w:cs="Arial"/>
                <w:color w:val="000000"/>
                <w:sz w:val="14"/>
                <w:szCs w:val="14"/>
                <w:lang w:bidi="th-TH"/>
              </w:rPr>
            </w:pPr>
            <w:r w:rsidRPr="002D2F67">
              <w:rPr>
                <w:rFonts w:ascii="Arial" w:hAnsi="Arial" w:cs="Arial"/>
                <w:color w:val="000000"/>
                <w:sz w:val="14"/>
                <w:szCs w:val="14"/>
                <w:lang w:bidi="th-TH"/>
              </w:rPr>
              <w:t>Smart Waste Management Co., Ltd.</w:t>
            </w:r>
          </w:p>
        </w:tc>
        <w:tc>
          <w:tcPr>
            <w:tcW w:w="2957" w:type="dxa"/>
            <w:shd w:val="clear" w:color="auto" w:fill="auto"/>
          </w:tcPr>
          <w:p w14:paraId="55AEE496" w14:textId="77777777" w:rsidR="00705AF6" w:rsidRPr="002D2F67" w:rsidRDefault="00705AF6" w:rsidP="00705AF6">
            <w:pPr>
              <w:tabs>
                <w:tab w:val="left" w:pos="-3402"/>
                <w:tab w:val="left" w:pos="-3261"/>
                <w:tab w:val="left" w:pos="-3119"/>
              </w:tabs>
              <w:ind w:left="-29" w:right="-23"/>
              <w:rPr>
                <w:rFonts w:ascii="Arial" w:hAnsi="Arial" w:cs="Arial"/>
                <w:color w:val="000000"/>
                <w:spacing w:val="4"/>
                <w:sz w:val="14"/>
                <w:szCs w:val="14"/>
              </w:rPr>
            </w:pPr>
            <w:r w:rsidRPr="002D2F67">
              <w:rPr>
                <w:rFonts w:ascii="Arial" w:hAnsi="Arial" w:cs="Arial"/>
                <w:color w:val="000000"/>
                <w:spacing w:val="4"/>
                <w:sz w:val="14"/>
                <w:szCs w:val="14"/>
              </w:rPr>
              <w:t>Service of waste management</w:t>
            </w:r>
          </w:p>
          <w:p w14:paraId="3184318C" w14:textId="77777777" w:rsidR="00705AF6" w:rsidRPr="002D2F67" w:rsidRDefault="00705AF6" w:rsidP="00705AF6">
            <w:pPr>
              <w:tabs>
                <w:tab w:val="left" w:pos="-3402"/>
                <w:tab w:val="left" w:pos="-3261"/>
                <w:tab w:val="left" w:pos="-3119"/>
              </w:tabs>
              <w:ind w:left="-29" w:right="-23"/>
              <w:rPr>
                <w:rFonts w:ascii="Arial" w:hAnsi="Arial" w:cs="Arial"/>
                <w:color w:val="000000"/>
                <w:spacing w:val="4"/>
                <w:sz w:val="14"/>
                <w:szCs w:val="14"/>
              </w:rPr>
            </w:pPr>
            <w:r w:rsidRPr="002D2F67">
              <w:rPr>
                <w:rFonts w:ascii="Arial" w:hAnsi="Arial" w:cs="Arial"/>
                <w:color w:val="000000"/>
                <w:spacing w:val="4"/>
                <w:sz w:val="14"/>
                <w:szCs w:val="14"/>
              </w:rPr>
              <w:t xml:space="preserve">   (not commercial operations yet)</w:t>
            </w:r>
          </w:p>
        </w:tc>
        <w:tc>
          <w:tcPr>
            <w:tcW w:w="1058" w:type="dxa"/>
            <w:shd w:val="clear" w:color="auto" w:fill="auto"/>
          </w:tcPr>
          <w:p w14:paraId="376DA6A5" w14:textId="2BFBCCC4" w:rsidR="00705AF6" w:rsidRPr="002D2F67" w:rsidRDefault="00CD5714" w:rsidP="00705AF6">
            <w:pPr>
              <w:pStyle w:val="acctfourfigures"/>
              <w:tabs>
                <w:tab w:val="clear" w:pos="765"/>
                <w:tab w:val="decimal" w:pos="550"/>
              </w:tabs>
              <w:spacing w:line="240" w:lineRule="auto"/>
              <w:ind w:right="-84"/>
              <w:jc w:val="right"/>
              <w:rPr>
                <w:rFonts w:ascii="Arial" w:hAnsi="Arial" w:cs="Arial"/>
                <w:color w:val="000000"/>
                <w:sz w:val="14"/>
                <w:szCs w:val="14"/>
                <w:lang w:bidi="th-TH"/>
              </w:rPr>
            </w:pPr>
            <w:r w:rsidRPr="00CD5714">
              <w:rPr>
                <w:rFonts w:ascii="Arial" w:hAnsi="Arial" w:cs="Arial"/>
                <w:color w:val="000000"/>
                <w:sz w:val="14"/>
                <w:szCs w:val="14"/>
                <w:lang w:val="en-GB" w:bidi="th-TH"/>
              </w:rPr>
              <w:t>99</w:t>
            </w:r>
            <w:r w:rsidR="00705AF6" w:rsidRPr="002D2F67">
              <w:rPr>
                <w:rFonts w:ascii="Arial" w:hAnsi="Arial" w:cs="Arial"/>
                <w:color w:val="000000"/>
                <w:sz w:val="14"/>
                <w:szCs w:val="14"/>
                <w:lang w:bidi="th-TH"/>
              </w:rPr>
              <w:t>.</w:t>
            </w:r>
            <w:r w:rsidRPr="00CD5714">
              <w:rPr>
                <w:rFonts w:ascii="Arial" w:hAnsi="Arial" w:cs="Arial"/>
                <w:color w:val="000000"/>
                <w:sz w:val="14"/>
                <w:szCs w:val="14"/>
                <w:lang w:val="en-GB" w:bidi="th-TH"/>
              </w:rPr>
              <w:t>99</w:t>
            </w:r>
          </w:p>
        </w:tc>
        <w:tc>
          <w:tcPr>
            <w:tcW w:w="1058" w:type="dxa"/>
            <w:shd w:val="clear" w:color="auto" w:fill="auto"/>
          </w:tcPr>
          <w:p w14:paraId="049ED92B" w14:textId="5FDCCD9B" w:rsidR="00705AF6" w:rsidRPr="002D2F67" w:rsidRDefault="00CD5714" w:rsidP="00705AF6">
            <w:pPr>
              <w:pStyle w:val="acctfourfigures"/>
              <w:tabs>
                <w:tab w:val="clear" w:pos="765"/>
                <w:tab w:val="decimal" w:pos="550"/>
              </w:tabs>
              <w:spacing w:line="240" w:lineRule="auto"/>
              <w:ind w:right="-84"/>
              <w:jc w:val="right"/>
              <w:rPr>
                <w:rFonts w:ascii="Arial" w:hAnsi="Arial" w:cs="Arial"/>
                <w:color w:val="000000"/>
                <w:sz w:val="14"/>
                <w:szCs w:val="14"/>
                <w:lang w:bidi="th-TH"/>
              </w:rPr>
            </w:pPr>
            <w:r w:rsidRPr="00CD5714">
              <w:rPr>
                <w:rFonts w:ascii="Arial" w:hAnsi="Arial" w:cs="Arial"/>
                <w:color w:val="000000"/>
                <w:sz w:val="14"/>
                <w:szCs w:val="14"/>
                <w:lang w:val="en-GB" w:bidi="th-TH"/>
              </w:rPr>
              <w:t>99</w:t>
            </w:r>
            <w:r w:rsidR="00705AF6" w:rsidRPr="002D2F67">
              <w:rPr>
                <w:rFonts w:ascii="Arial" w:hAnsi="Arial" w:cs="Arial"/>
                <w:color w:val="000000"/>
                <w:sz w:val="14"/>
                <w:szCs w:val="14"/>
                <w:lang w:bidi="th-TH"/>
              </w:rPr>
              <w:t>.</w:t>
            </w:r>
            <w:r w:rsidRPr="00CD5714">
              <w:rPr>
                <w:rFonts w:ascii="Arial" w:hAnsi="Arial" w:cs="Arial"/>
                <w:color w:val="000000"/>
                <w:sz w:val="14"/>
                <w:szCs w:val="14"/>
                <w:lang w:val="en-GB" w:bidi="th-TH"/>
              </w:rPr>
              <w:t>99</w:t>
            </w:r>
          </w:p>
        </w:tc>
        <w:tc>
          <w:tcPr>
            <w:tcW w:w="1057" w:type="dxa"/>
            <w:shd w:val="clear" w:color="auto" w:fill="auto"/>
          </w:tcPr>
          <w:p w14:paraId="5CFDF633" w14:textId="33DB5BA7" w:rsidR="00705AF6" w:rsidRPr="002D2F67" w:rsidRDefault="00705AF6" w:rsidP="00705AF6">
            <w:pPr>
              <w:ind w:left="-122" w:right="-66"/>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15DAE97B" w14:textId="71BB68FC" w:rsidR="00705AF6" w:rsidRPr="002D2F67" w:rsidRDefault="00705AF6" w:rsidP="00705AF6">
            <w:pPr>
              <w:ind w:left="-122" w:right="-66"/>
              <w:jc w:val="right"/>
              <w:rPr>
                <w:rFonts w:ascii="Arial" w:hAnsi="Arial" w:cs="Arial"/>
                <w:color w:val="000000"/>
                <w:sz w:val="14"/>
                <w:szCs w:val="14"/>
              </w:rPr>
            </w:pPr>
            <w:r w:rsidRPr="002D2F67">
              <w:rPr>
                <w:rFonts w:ascii="Arial" w:hAnsi="Arial" w:cs="Arial"/>
                <w:color w:val="000000"/>
                <w:sz w:val="14"/>
                <w:szCs w:val="14"/>
              </w:rPr>
              <w:t>-</w:t>
            </w:r>
          </w:p>
        </w:tc>
        <w:tc>
          <w:tcPr>
            <w:tcW w:w="1057" w:type="dxa"/>
            <w:shd w:val="clear" w:color="auto" w:fill="auto"/>
          </w:tcPr>
          <w:p w14:paraId="0A3BDD31" w14:textId="169493C4" w:rsidR="00705AF6" w:rsidRPr="002D2F67" w:rsidRDefault="00CD5714" w:rsidP="00705AF6">
            <w:pPr>
              <w:pStyle w:val="acctfourfigures"/>
              <w:tabs>
                <w:tab w:val="clear" w:pos="765"/>
                <w:tab w:val="decimal" w:pos="550"/>
              </w:tabs>
              <w:spacing w:line="240" w:lineRule="auto"/>
              <w:ind w:right="-83"/>
              <w:jc w:val="right"/>
              <w:rPr>
                <w:rFonts w:ascii="Arial" w:hAnsi="Arial" w:cs="Arial"/>
                <w:color w:val="000000"/>
                <w:sz w:val="14"/>
                <w:szCs w:val="14"/>
                <w:lang w:bidi="th-TH"/>
              </w:rPr>
            </w:pPr>
            <w:r w:rsidRPr="00CD5714">
              <w:rPr>
                <w:rFonts w:ascii="Arial" w:hAnsi="Arial" w:cs="Arial"/>
                <w:color w:val="000000"/>
                <w:sz w:val="14"/>
                <w:szCs w:val="14"/>
                <w:lang w:val="en-GB" w:bidi="th-TH"/>
              </w:rPr>
              <w:t>50</w:t>
            </w:r>
            <w:r w:rsidR="00705AF6" w:rsidRPr="002D2F67">
              <w:rPr>
                <w:rFonts w:ascii="Arial" w:hAnsi="Arial" w:cs="Arial"/>
                <w:color w:val="000000"/>
                <w:sz w:val="14"/>
                <w:szCs w:val="14"/>
                <w:lang w:bidi="th-TH"/>
              </w:rPr>
              <w:t>,</w:t>
            </w:r>
            <w:r w:rsidRPr="00CD5714">
              <w:rPr>
                <w:rFonts w:ascii="Arial" w:hAnsi="Arial" w:cs="Arial"/>
                <w:color w:val="000000"/>
                <w:sz w:val="14"/>
                <w:szCs w:val="14"/>
                <w:lang w:val="en-GB" w:bidi="th-TH"/>
              </w:rPr>
              <w:t>000</w:t>
            </w:r>
          </w:p>
        </w:tc>
        <w:tc>
          <w:tcPr>
            <w:tcW w:w="1057" w:type="dxa"/>
            <w:shd w:val="clear" w:color="auto" w:fill="auto"/>
          </w:tcPr>
          <w:p w14:paraId="35A15B8C" w14:textId="51358F47" w:rsidR="00705AF6" w:rsidRPr="002D2F67" w:rsidRDefault="00CD5714" w:rsidP="00705AF6">
            <w:pPr>
              <w:pStyle w:val="acctfourfigures"/>
              <w:tabs>
                <w:tab w:val="clear" w:pos="765"/>
                <w:tab w:val="decimal" w:pos="550"/>
              </w:tabs>
              <w:spacing w:line="240" w:lineRule="auto"/>
              <w:ind w:right="-83"/>
              <w:jc w:val="right"/>
              <w:rPr>
                <w:rFonts w:ascii="Arial" w:hAnsi="Arial" w:cs="Arial"/>
                <w:color w:val="000000"/>
                <w:sz w:val="14"/>
                <w:szCs w:val="14"/>
                <w:lang w:bidi="th-TH"/>
              </w:rPr>
            </w:pPr>
            <w:r w:rsidRPr="00CD5714">
              <w:rPr>
                <w:rFonts w:ascii="Arial" w:hAnsi="Arial" w:cs="Arial"/>
                <w:color w:val="000000"/>
                <w:sz w:val="14"/>
                <w:szCs w:val="14"/>
                <w:lang w:val="en-GB" w:bidi="th-TH"/>
              </w:rPr>
              <w:t>50</w:t>
            </w:r>
            <w:r w:rsidR="00705AF6" w:rsidRPr="002D2F67">
              <w:rPr>
                <w:rFonts w:ascii="Arial" w:hAnsi="Arial" w:cs="Arial"/>
                <w:color w:val="000000"/>
                <w:sz w:val="14"/>
                <w:szCs w:val="14"/>
                <w:lang w:bidi="th-TH"/>
              </w:rPr>
              <w:t>,</w:t>
            </w:r>
            <w:r w:rsidRPr="00CD5714">
              <w:rPr>
                <w:rFonts w:ascii="Arial" w:hAnsi="Arial" w:cs="Arial"/>
                <w:color w:val="000000"/>
                <w:sz w:val="14"/>
                <w:szCs w:val="14"/>
                <w:lang w:val="en-GB" w:bidi="th-TH"/>
              </w:rPr>
              <w:t>000</w:t>
            </w:r>
          </w:p>
        </w:tc>
        <w:tc>
          <w:tcPr>
            <w:tcW w:w="1057" w:type="dxa"/>
            <w:shd w:val="clear" w:color="auto" w:fill="auto"/>
          </w:tcPr>
          <w:p w14:paraId="0A41CCEC" w14:textId="4999A303" w:rsidR="00705AF6" w:rsidRPr="002D2F67" w:rsidRDefault="00705AF6" w:rsidP="00705AF6">
            <w:pPr>
              <w:pStyle w:val="acctfourfigures"/>
              <w:tabs>
                <w:tab w:val="clear" w:pos="765"/>
                <w:tab w:val="decimal" w:pos="533"/>
              </w:tabs>
              <w:spacing w:line="240" w:lineRule="auto"/>
              <w:ind w:right="-83"/>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057" w:type="dxa"/>
            <w:shd w:val="clear" w:color="auto" w:fill="auto"/>
          </w:tcPr>
          <w:p w14:paraId="195F4304" w14:textId="38F8A41F" w:rsidR="00705AF6" w:rsidRPr="002D2F67" w:rsidRDefault="00705AF6" w:rsidP="00705AF6">
            <w:pPr>
              <w:pStyle w:val="acctfourfigures"/>
              <w:tabs>
                <w:tab w:val="clear" w:pos="765"/>
                <w:tab w:val="decimal" w:pos="533"/>
              </w:tabs>
              <w:spacing w:line="240" w:lineRule="auto"/>
              <w:ind w:right="-83"/>
              <w:jc w:val="right"/>
              <w:rPr>
                <w:rFonts w:ascii="Arial" w:hAnsi="Arial" w:cs="Arial"/>
                <w:color w:val="000000"/>
                <w:sz w:val="14"/>
                <w:szCs w:val="14"/>
                <w:lang w:bidi="th-TH"/>
              </w:rPr>
            </w:pPr>
            <w:r w:rsidRPr="002D2F67">
              <w:rPr>
                <w:rFonts w:ascii="Arial" w:hAnsi="Arial" w:cs="Arial"/>
                <w:color w:val="000000"/>
                <w:sz w:val="14"/>
                <w:szCs w:val="14"/>
                <w:lang w:bidi="th-TH"/>
              </w:rPr>
              <w:t>-</w:t>
            </w:r>
          </w:p>
        </w:tc>
      </w:tr>
      <w:tr w:rsidR="00705AF6" w:rsidRPr="002D2F67" w14:paraId="2F853751" w14:textId="77777777" w:rsidTr="005611FE">
        <w:trPr>
          <w:cantSplit/>
          <w:trHeight w:val="57"/>
        </w:trPr>
        <w:tc>
          <w:tcPr>
            <w:tcW w:w="3111" w:type="dxa"/>
            <w:shd w:val="clear" w:color="auto" w:fill="auto"/>
          </w:tcPr>
          <w:p w14:paraId="7B1475E9" w14:textId="77777777" w:rsidR="00705AF6" w:rsidRPr="002D2F67" w:rsidRDefault="00705AF6" w:rsidP="00705AF6">
            <w:pPr>
              <w:pStyle w:val="acctfourfigures"/>
              <w:tabs>
                <w:tab w:val="clear" w:pos="765"/>
              </w:tabs>
              <w:spacing w:line="240" w:lineRule="auto"/>
              <w:ind w:left="148" w:right="-72"/>
              <w:rPr>
                <w:rFonts w:ascii="Arial" w:hAnsi="Arial" w:cs="Arial"/>
                <w:color w:val="000000"/>
                <w:sz w:val="14"/>
                <w:szCs w:val="14"/>
                <w:lang w:bidi="th-TH"/>
              </w:rPr>
            </w:pPr>
            <w:r w:rsidRPr="002D2F67">
              <w:rPr>
                <w:rFonts w:ascii="Arial" w:hAnsi="Arial" w:cs="Arial"/>
                <w:color w:val="000000"/>
                <w:sz w:val="14"/>
                <w:szCs w:val="14"/>
                <w:lang w:bidi="th-TH"/>
              </w:rPr>
              <w:t>EA Palm Network Co., Ltd.</w:t>
            </w:r>
          </w:p>
        </w:tc>
        <w:tc>
          <w:tcPr>
            <w:tcW w:w="2957" w:type="dxa"/>
            <w:shd w:val="clear" w:color="auto" w:fill="auto"/>
          </w:tcPr>
          <w:p w14:paraId="5AFC7549" w14:textId="77777777" w:rsidR="00705AF6" w:rsidRPr="002D2F67" w:rsidRDefault="00705AF6" w:rsidP="00705AF6">
            <w:pPr>
              <w:tabs>
                <w:tab w:val="left" w:pos="-3402"/>
                <w:tab w:val="left" w:pos="-3261"/>
                <w:tab w:val="left" w:pos="-3119"/>
              </w:tabs>
              <w:ind w:left="-29" w:right="-23"/>
              <w:rPr>
                <w:rFonts w:ascii="Arial" w:hAnsi="Arial" w:cs="Arial"/>
                <w:color w:val="000000"/>
                <w:spacing w:val="4"/>
                <w:sz w:val="14"/>
                <w:szCs w:val="14"/>
              </w:rPr>
            </w:pPr>
            <w:r w:rsidRPr="002D2F67">
              <w:rPr>
                <w:rFonts w:ascii="Arial" w:hAnsi="Arial" w:cs="Arial"/>
                <w:color w:val="000000"/>
                <w:spacing w:val="4"/>
                <w:sz w:val="14"/>
                <w:szCs w:val="14"/>
              </w:rPr>
              <w:t xml:space="preserve">Investing in manufacturing and </w:t>
            </w:r>
          </w:p>
          <w:p w14:paraId="222C6549" w14:textId="53E77D89" w:rsidR="00705AF6" w:rsidRPr="002D2F67" w:rsidRDefault="00705AF6" w:rsidP="00705AF6">
            <w:pPr>
              <w:tabs>
                <w:tab w:val="left" w:pos="-3402"/>
                <w:tab w:val="left" w:pos="-3261"/>
                <w:tab w:val="left" w:pos="-3119"/>
              </w:tabs>
              <w:ind w:left="-29" w:right="-23"/>
              <w:rPr>
                <w:rFonts w:ascii="Arial" w:hAnsi="Arial" w:cs="Arial"/>
                <w:color w:val="000000"/>
                <w:spacing w:val="4"/>
                <w:sz w:val="14"/>
                <w:szCs w:val="14"/>
              </w:rPr>
            </w:pPr>
            <w:r w:rsidRPr="002D2F67">
              <w:rPr>
                <w:rFonts w:ascii="Arial" w:hAnsi="Arial" w:cs="Arial"/>
                <w:color w:val="000000"/>
                <w:spacing w:val="4"/>
                <w:sz w:val="14"/>
                <w:szCs w:val="14"/>
              </w:rPr>
              <w:t xml:space="preserve">   distributing crude palm oil and </w:t>
            </w:r>
          </w:p>
          <w:p w14:paraId="1C366D59" w14:textId="72C7E488" w:rsidR="00705AF6" w:rsidRPr="002D2F67" w:rsidRDefault="00705AF6" w:rsidP="00705AF6">
            <w:pPr>
              <w:tabs>
                <w:tab w:val="left" w:pos="-3402"/>
                <w:tab w:val="left" w:pos="-3261"/>
                <w:tab w:val="left" w:pos="-3119"/>
              </w:tabs>
              <w:ind w:left="-29" w:right="-23"/>
              <w:rPr>
                <w:rFonts w:ascii="Arial" w:hAnsi="Arial" w:cs="Arial"/>
                <w:color w:val="000000"/>
                <w:spacing w:val="4"/>
                <w:sz w:val="14"/>
                <w:szCs w:val="14"/>
              </w:rPr>
            </w:pPr>
            <w:r w:rsidRPr="002D2F67">
              <w:rPr>
                <w:rFonts w:ascii="Arial" w:hAnsi="Arial" w:cs="Arial"/>
                <w:color w:val="000000"/>
                <w:spacing w:val="4"/>
                <w:sz w:val="14"/>
                <w:szCs w:val="14"/>
              </w:rPr>
              <w:t xml:space="preserve">   service of shore tanks rental</w:t>
            </w:r>
          </w:p>
        </w:tc>
        <w:tc>
          <w:tcPr>
            <w:tcW w:w="1058" w:type="dxa"/>
            <w:shd w:val="clear" w:color="auto" w:fill="auto"/>
          </w:tcPr>
          <w:p w14:paraId="6F0DC246" w14:textId="695EAE8E" w:rsidR="00705AF6" w:rsidRPr="002D2F67" w:rsidRDefault="00CD5714" w:rsidP="00705AF6">
            <w:pPr>
              <w:pStyle w:val="acctfourfigures"/>
              <w:tabs>
                <w:tab w:val="clear" w:pos="765"/>
                <w:tab w:val="decimal" w:pos="550"/>
              </w:tabs>
              <w:spacing w:line="240" w:lineRule="auto"/>
              <w:ind w:right="-84"/>
              <w:jc w:val="right"/>
              <w:rPr>
                <w:rFonts w:ascii="Arial" w:hAnsi="Arial" w:cs="Arial"/>
                <w:color w:val="000000"/>
                <w:sz w:val="14"/>
                <w:szCs w:val="14"/>
                <w:lang w:bidi="th-TH"/>
              </w:rPr>
            </w:pPr>
            <w:r w:rsidRPr="00CD5714">
              <w:rPr>
                <w:rFonts w:ascii="Arial" w:hAnsi="Arial" w:cs="Arial"/>
                <w:color w:val="000000"/>
                <w:sz w:val="14"/>
                <w:szCs w:val="14"/>
                <w:lang w:val="en-GB" w:bidi="th-TH"/>
              </w:rPr>
              <w:t>99</w:t>
            </w:r>
            <w:r w:rsidR="00705AF6" w:rsidRPr="002D2F67">
              <w:rPr>
                <w:rFonts w:ascii="Arial" w:hAnsi="Arial" w:cs="Arial"/>
                <w:color w:val="000000"/>
                <w:sz w:val="14"/>
                <w:szCs w:val="14"/>
                <w:lang w:bidi="th-TH"/>
              </w:rPr>
              <w:t>.</w:t>
            </w:r>
            <w:r w:rsidRPr="00CD5714">
              <w:rPr>
                <w:rFonts w:ascii="Arial" w:hAnsi="Arial" w:cs="Arial"/>
                <w:color w:val="000000"/>
                <w:sz w:val="14"/>
                <w:szCs w:val="14"/>
                <w:lang w:val="en-GB" w:bidi="th-TH"/>
              </w:rPr>
              <w:t>99</w:t>
            </w:r>
          </w:p>
        </w:tc>
        <w:tc>
          <w:tcPr>
            <w:tcW w:w="1058" w:type="dxa"/>
            <w:shd w:val="clear" w:color="auto" w:fill="auto"/>
          </w:tcPr>
          <w:p w14:paraId="7DE2FA8D" w14:textId="3CBF7D9A" w:rsidR="00705AF6" w:rsidRPr="002D2F67" w:rsidRDefault="00CD5714" w:rsidP="00705AF6">
            <w:pPr>
              <w:pStyle w:val="acctfourfigures"/>
              <w:tabs>
                <w:tab w:val="clear" w:pos="765"/>
                <w:tab w:val="decimal" w:pos="550"/>
              </w:tabs>
              <w:spacing w:line="240" w:lineRule="auto"/>
              <w:ind w:right="-84"/>
              <w:jc w:val="right"/>
              <w:rPr>
                <w:rFonts w:ascii="Arial" w:hAnsi="Arial" w:cs="Arial"/>
                <w:color w:val="000000"/>
                <w:sz w:val="14"/>
                <w:szCs w:val="14"/>
                <w:lang w:bidi="th-TH"/>
              </w:rPr>
            </w:pPr>
            <w:r w:rsidRPr="00CD5714">
              <w:rPr>
                <w:rFonts w:ascii="Arial" w:hAnsi="Arial" w:cs="Arial"/>
                <w:color w:val="000000"/>
                <w:sz w:val="14"/>
                <w:szCs w:val="14"/>
                <w:lang w:val="en-GB" w:bidi="th-TH"/>
              </w:rPr>
              <w:t>99</w:t>
            </w:r>
            <w:r w:rsidR="00705AF6" w:rsidRPr="002D2F67">
              <w:rPr>
                <w:rFonts w:ascii="Arial" w:hAnsi="Arial" w:cs="Arial"/>
                <w:color w:val="000000"/>
                <w:sz w:val="14"/>
                <w:szCs w:val="14"/>
                <w:lang w:bidi="th-TH"/>
              </w:rPr>
              <w:t>.</w:t>
            </w:r>
            <w:r w:rsidRPr="00CD5714">
              <w:rPr>
                <w:rFonts w:ascii="Arial" w:hAnsi="Arial" w:cs="Arial"/>
                <w:color w:val="000000"/>
                <w:sz w:val="14"/>
                <w:szCs w:val="14"/>
                <w:lang w:val="en-GB" w:bidi="th-TH"/>
              </w:rPr>
              <w:t>99</w:t>
            </w:r>
          </w:p>
        </w:tc>
        <w:tc>
          <w:tcPr>
            <w:tcW w:w="1057" w:type="dxa"/>
            <w:shd w:val="clear" w:color="auto" w:fill="auto"/>
          </w:tcPr>
          <w:p w14:paraId="07B2EEA2" w14:textId="0157D92F" w:rsidR="00705AF6" w:rsidRPr="002D2F67" w:rsidRDefault="00705AF6" w:rsidP="00705AF6">
            <w:pPr>
              <w:pStyle w:val="acctfourfigures"/>
              <w:tabs>
                <w:tab w:val="clear" w:pos="765"/>
                <w:tab w:val="decimal" w:pos="550"/>
              </w:tabs>
              <w:spacing w:line="240" w:lineRule="auto"/>
              <w:ind w:right="-66"/>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057" w:type="dxa"/>
            <w:shd w:val="clear" w:color="auto" w:fill="auto"/>
          </w:tcPr>
          <w:p w14:paraId="7679769E" w14:textId="44863176" w:rsidR="00705AF6" w:rsidRPr="002D2F67" w:rsidRDefault="00705AF6" w:rsidP="00705AF6">
            <w:pPr>
              <w:pStyle w:val="acctfourfigures"/>
              <w:tabs>
                <w:tab w:val="clear" w:pos="765"/>
                <w:tab w:val="decimal" w:pos="550"/>
              </w:tabs>
              <w:spacing w:line="240" w:lineRule="auto"/>
              <w:ind w:right="-66"/>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057" w:type="dxa"/>
            <w:shd w:val="clear" w:color="auto" w:fill="auto"/>
          </w:tcPr>
          <w:p w14:paraId="2CC88D53" w14:textId="5882517C" w:rsidR="00705AF6" w:rsidRPr="002D2F67" w:rsidRDefault="00CD5714" w:rsidP="00705AF6">
            <w:pPr>
              <w:pStyle w:val="acctfourfigures"/>
              <w:tabs>
                <w:tab w:val="clear" w:pos="765"/>
                <w:tab w:val="decimal" w:pos="550"/>
              </w:tabs>
              <w:spacing w:line="240" w:lineRule="auto"/>
              <w:ind w:right="-83"/>
              <w:jc w:val="right"/>
              <w:rPr>
                <w:rFonts w:ascii="Arial" w:hAnsi="Arial" w:cs="Arial"/>
                <w:color w:val="000000"/>
                <w:sz w:val="14"/>
                <w:szCs w:val="14"/>
                <w:lang w:bidi="th-TH"/>
              </w:rPr>
            </w:pPr>
            <w:r w:rsidRPr="00CD5714">
              <w:rPr>
                <w:rFonts w:ascii="Arial" w:hAnsi="Arial" w:cs="Arial"/>
                <w:color w:val="000000"/>
                <w:sz w:val="14"/>
                <w:szCs w:val="14"/>
                <w:lang w:val="en-GB" w:bidi="th-TH"/>
              </w:rPr>
              <w:t>800</w:t>
            </w:r>
            <w:r w:rsidR="00705AF6" w:rsidRPr="002D2F67">
              <w:rPr>
                <w:rFonts w:ascii="Arial" w:hAnsi="Arial" w:cs="Arial"/>
                <w:color w:val="000000"/>
                <w:sz w:val="14"/>
                <w:szCs w:val="14"/>
                <w:lang w:bidi="th-TH"/>
              </w:rPr>
              <w:t>,</w:t>
            </w:r>
            <w:r w:rsidRPr="00CD5714">
              <w:rPr>
                <w:rFonts w:ascii="Arial" w:hAnsi="Arial" w:cs="Arial"/>
                <w:color w:val="000000"/>
                <w:sz w:val="14"/>
                <w:szCs w:val="14"/>
                <w:lang w:val="en-GB" w:bidi="th-TH"/>
              </w:rPr>
              <w:t>000</w:t>
            </w:r>
          </w:p>
        </w:tc>
        <w:tc>
          <w:tcPr>
            <w:tcW w:w="1057" w:type="dxa"/>
            <w:shd w:val="clear" w:color="auto" w:fill="auto"/>
          </w:tcPr>
          <w:p w14:paraId="24E281CB" w14:textId="42826B58" w:rsidR="00705AF6" w:rsidRPr="002D2F67" w:rsidRDefault="00CD5714" w:rsidP="00705AF6">
            <w:pPr>
              <w:pStyle w:val="acctfourfigures"/>
              <w:tabs>
                <w:tab w:val="clear" w:pos="765"/>
                <w:tab w:val="decimal" w:pos="550"/>
              </w:tabs>
              <w:spacing w:line="240" w:lineRule="auto"/>
              <w:ind w:right="-83"/>
              <w:jc w:val="right"/>
              <w:rPr>
                <w:rFonts w:ascii="Arial" w:hAnsi="Arial" w:cs="Arial"/>
                <w:color w:val="000000"/>
                <w:sz w:val="14"/>
                <w:szCs w:val="14"/>
                <w:lang w:bidi="th-TH"/>
              </w:rPr>
            </w:pPr>
            <w:r w:rsidRPr="00CD5714">
              <w:rPr>
                <w:rFonts w:ascii="Arial" w:hAnsi="Arial" w:cs="Arial"/>
                <w:color w:val="000000"/>
                <w:sz w:val="14"/>
                <w:szCs w:val="14"/>
                <w:lang w:val="en-GB" w:bidi="th-TH"/>
              </w:rPr>
              <w:t>800</w:t>
            </w:r>
            <w:r w:rsidR="00705AF6" w:rsidRPr="002D2F67">
              <w:rPr>
                <w:rFonts w:ascii="Arial" w:hAnsi="Arial" w:cs="Arial"/>
                <w:color w:val="000000"/>
                <w:sz w:val="14"/>
                <w:szCs w:val="14"/>
                <w:lang w:bidi="th-TH"/>
              </w:rPr>
              <w:t>,</w:t>
            </w:r>
            <w:r w:rsidRPr="00CD5714">
              <w:rPr>
                <w:rFonts w:ascii="Arial" w:hAnsi="Arial" w:cs="Arial"/>
                <w:color w:val="000000"/>
                <w:sz w:val="14"/>
                <w:szCs w:val="14"/>
                <w:lang w:val="en-GB" w:bidi="th-TH"/>
              </w:rPr>
              <w:t>000</w:t>
            </w:r>
          </w:p>
        </w:tc>
        <w:tc>
          <w:tcPr>
            <w:tcW w:w="1057" w:type="dxa"/>
            <w:shd w:val="clear" w:color="auto" w:fill="auto"/>
          </w:tcPr>
          <w:p w14:paraId="209A1E04" w14:textId="260F73AC" w:rsidR="00705AF6" w:rsidRPr="002D2F67" w:rsidRDefault="00705AF6" w:rsidP="00705AF6">
            <w:pPr>
              <w:pStyle w:val="acctfourfigures"/>
              <w:tabs>
                <w:tab w:val="clear" w:pos="765"/>
                <w:tab w:val="decimal" w:pos="533"/>
              </w:tabs>
              <w:spacing w:line="240" w:lineRule="auto"/>
              <w:ind w:right="-83"/>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057" w:type="dxa"/>
            <w:shd w:val="clear" w:color="auto" w:fill="auto"/>
          </w:tcPr>
          <w:p w14:paraId="537E4E0D" w14:textId="2F147AD4" w:rsidR="00705AF6" w:rsidRPr="002D2F67" w:rsidRDefault="00705AF6" w:rsidP="00705AF6">
            <w:pPr>
              <w:pStyle w:val="acctfourfigures"/>
              <w:tabs>
                <w:tab w:val="clear" w:pos="765"/>
                <w:tab w:val="decimal" w:pos="533"/>
              </w:tabs>
              <w:spacing w:line="240" w:lineRule="auto"/>
              <w:ind w:right="-83"/>
              <w:jc w:val="right"/>
              <w:rPr>
                <w:rFonts w:ascii="Arial" w:hAnsi="Arial" w:cs="Arial"/>
                <w:color w:val="000000"/>
                <w:sz w:val="14"/>
                <w:szCs w:val="14"/>
                <w:lang w:bidi="th-TH"/>
              </w:rPr>
            </w:pPr>
            <w:r w:rsidRPr="002D2F67">
              <w:rPr>
                <w:rFonts w:ascii="Arial" w:hAnsi="Arial" w:cs="Arial"/>
                <w:color w:val="000000"/>
                <w:sz w:val="14"/>
                <w:szCs w:val="14"/>
                <w:lang w:bidi="th-TH"/>
              </w:rPr>
              <w:t>-</w:t>
            </w:r>
          </w:p>
        </w:tc>
      </w:tr>
    </w:tbl>
    <w:p w14:paraId="150A3095" w14:textId="77777777" w:rsidR="00FF408A" w:rsidRPr="002D2F67" w:rsidRDefault="00FF408A" w:rsidP="005611FE">
      <w:pPr>
        <w:ind w:left="567"/>
        <w:jc w:val="thaiDistribute"/>
        <w:rPr>
          <w:rFonts w:ascii="Arial" w:hAnsi="Arial" w:cs="Arial"/>
          <w:color w:val="000000"/>
          <w:sz w:val="20"/>
          <w:szCs w:val="20"/>
        </w:rPr>
      </w:pPr>
      <w:r w:rsidRPr="002D2F67">
        <w:rPr>
          <w:rFonts w:ascii="Arial" w:hAnsi="Arial" w:cs="Arial"/>
          <w:color w:val="000000"/>
          <w:sz w:val="20"/>
          <w:szCs w:val="20"/>
        </w:rPr>
        <w:br w:type="page"/>
      </w:r>
    </w:p>
    <w:tbl>
      <w:tblPr>
        <w:tblW w:w="14542" w:type="dxa"/>
        <w:tblInd w:w="392" w:type="dxa"/>
        <w:tblLayout w:type="fixed"/>
        <w:tblLook w:val="0000" w:firstRow="0" w:lastRow="0" w:firstColumn="0" w:lastColumn="0" w:noHBand="0" w:noVBand="0"/>
      </w:tblPr>
      <w:tblGrid>
        <w:gridCol w:w="2551"/>
        <w:gridCol w:w="3240"/>
        <w:gridCol w:w="1024"/>
        <w:gridCol w:w="1024"/>
        <w:gridCol w:w="1024"/>
        <w:gridCol w:w="1024"/>
        <w:gridCol w:w="1145"/>
        <w:gridCol w:w="1134"/>
        <w:gridCol w:w="1134"/>
        <w:gridCol w:w="1242"/>
      </w:tblGrid>
      <w:tr w:rsidR="00FF408A" w:rsidRPr="002D2F67" w14:paraId="657C8EEA" w14:textId="77777777" w:rsidTr="008255E8">
        <w:trPr>
          <w:cantSplit/>
        </w:trPr>
        <w:tc>
          <w:tcPr>
            <w:tcW w:w="2551" w:type="dxa"/>
            <w:shd w:val="clear" w:color="auto" w:fill="auto"/>
            <w:vAlign w:val="bottom"/>
          </w:tcPr>
          <w:p w14:paraId="42F67F79" w14:textId="77777777" w:rsidR="00FF408A" w:rsidRPr="002D2F67" w:rsidRDefault="00FF408A" w:rsidP="005611FE">
            <w:pPr>
              <w:pStyle w:val="acctfourfigures"/>
              <w:tabs>
                <w:tab w:val="clear" w:pos="765"/>
              </w:tabs>
              <w:spacing w:line="240" w:lineRule="auto"/>
              <w:ind w:left="148" w:right="-72"/>
              <w:rPr>
                <w:rFonts w:ascii="Arial" w:hAnsi="Arial" w:cs="Arial"/>
                <w:b/>
                <w:bCs/>
                <w:color w:val="000000"/>
                <w:sz w:val="14"/>
                <w:szCs w:val="14"/>
                <w:lang w:bidi="th-TH"/>
              </w:rPr>
            </w:pPr>
          </w:p>
        </w:tc>
        <w:tc>
          <w:tcPr>
            <w:tcW w:w="3240" w:type="dxa"/>
            <w:shd w:val="clear" w:color="auto" w:fill="auto"/>
          </w:tcPr>
          <w:p w14:paraId="05851968" w14:textId="77777777" w:rsidR="00FF408A" w:rsidRPr="002D2F67" w:rsidRDefault="00FF408A" w:rsidP="005611FE">
            <w:pPr>
              <w:pStyle w:val="acctfourfigures"/>
              <w:tabs>
                <w:tab w:val="clear" w:pos="765"/>
              </w:tabs>
              <w:spacing w:line="240" w:lineRule="auto"/>
              <w:ind w:left="-36" w:right="-72"/>
              <w:jc w:val="center"/>
              <w:rPr>
                <w:rFonts w:ascii="Arial" w:hAnsi="Arial" w:cs="Arial"/>
                <w:b/>
                <w:bCs/>
                <w:color w:val="000000"/>
                <w:sz w:val="14"/>
                <w:szCs w:val="14"/>
                <w:lang w:bidi="th-TH"/>
              </w:rPr>
            </w:pPr>
          </w:p>
        </w:tc>
        <w:tc>
          <w:tcPr>
            <w:tcW w:w="8751" w:type="dxa"/>
            <w:gridSpan w:val="8"/>
            <w:tcBorders>
              <w:bottom w:val="single" w:sz="4" w:space="0" w:color="auto"/>
            </w:tcBorders>
            <w:shd w:val="clear" w:color="auto" w:fill="auto"/>
            <w:vAlign w:val="bottom"/>
          </w:tcPr>
          <w:p w14:paraId="5E2C5317" w14:textId="77777777" w:rsidR="00FF408A" w:rsidRPr="002D2F67" w:rsidRDefault="009A1375" w:rsidP="005611FE">
            <w:pPr>
              <w:pStyle w:val="acctfourfigures"/>
              <w:tabs>
                <w:tab w:val="clear" w:pos="765"/>
              </w:tabs>
              <w:spacing w:line="240" w:lineRule="auto"/>
              <w:ind w:right="-72"/>
              <w:jc w:val="right"/>
              <w:rPr>
                <w:rFonts w:ascii="Arial" w:hAnsi="Arial" w:cs="Arial"/>
                <w:b/>
                <w:bCs/>
                <w:color w:val="000000"/>
                <w:sz w:val="14"/>
                <w:szCs w:val="14"/>
                <w:lang w:bidi="th-TH"/>
              </w:rPr>
            </w:pPr>
            <w:r w:rsidRPr="002D2F67">
              <w:rPr>
                <w:rFonts w:ascii="Arial" w:hAnsi="Arial" w:cs="Arial"/>
                <w:b/>
                <w:bCs/>
                <w:color w:val="000000"/>
                <w:sz w:val="14"/>
                <w:szCs w:val="14"/>
                <w:lang w:bidi="th-TH"/>
              </w:rPr>
              <w:t xml:space="preserve">Consolidated and </w:t>
            </w:r>
            <w:r w:rsidR="00114D32" w:rsidRPr="002D2F67">
              <w:rPr>
                <w:rFonts w:ascii="Arial" w:hAnsi="Arial" w:cs="Arial"/>
                <w:b/>
                <w:bCs/>
                <w:color w:val="000000"/>
                <w:sz w:val="14"/>
                <w:szCs w:val="14"/>
                <w:lang w:bidi="th-TH"/>
              </w:rPr>
              <w:t>s</w:t>
            </w:r>
            <w:r w:rsidR="00FF408A" w:rsidRPr="002D2F67">
              <w:rPr>
                <w:rFonts w:ascii="Arial" w:hAnsi="Arial" w:cs="Arial"/>
                <w:b/>
                <w:bCs/>
                <w:color w:val="000000"/>
                <w:sz w:val="14"/>
                <w:szCs w:val="14"/>
                <w:lang w:bidi="th-TH"/>
              </w:rPr>
              <w:t>eparate</w:t>
            </w:r>
            <w:r w:rsidR="00A03259" w:rsidRPr="002D2F67">
              <w:rPr>
                <w:rFonts w:ascii="Arial" w:hAnsi="Arial" w:cs="Arial"/>
                <w:b/>
                <w:bCs/>
                <w:color w:val="000000"/>
                <w:sz w:val="14"/>
                <w:szCs w:val="14"/>
                <w:lang w:bidi="th-TH"/>
              </w:rPr>
              <w:t xml:space="preserve"> financial statements</w:t>
            </w:r>
          </w:p>
        </w:tc>
      </w:tr>
      <w:tr w:rsidR="00FF408A" w:rsidRPr="002D2F67" w14:paraId="5B8DCAF9" w14:textId="77777777" w:rsidTr="005611FE">
        <w:trPr>
          <w:cantSplit/>
        </w:trPr>
        <w:tc>
          <w:tcPr>
            <w:tcW w:w="2551" w:type="dxa"/>
            <w:shd w:val="clear" w:color="auto" w:fill="auto"/>
            <w:vAlign w:val="bottom"/>
          </w:tcPr>
          <w:p w14:paraId="7683A6FB" w14:textId="77777777" w:rsidR="00FF408A" w:rsidRPr="002D2F67" w:rsidRDefault="00FF408A" w:rsidP="005611FE">
            <w:pPr>
              <w:pStyle w:val="acctfourfigures"/>
              <w:tabs>
                <w:tab w:val="clear" w:pos="765"/>
              </w:tabs>
              <w:spacing w:line="240" w:lineRule="auto"/>
              <w:ind w:left="148" w:right="-72"/>
              <w:rPr>
                <w:rFonts w:ascii="Arial" w:hAnsi="Arial" w:cs="Arial"/>
                <w:b/>
                <w:bCs/>
                <w:color w:val="000000"/>
                <w:sz w:val="14"/>
                <w:szCs w:val="14"/>
                <w:lang w:bidi="th-TH"/>
              </w:rPr>
            </w:pPr>
          </w:p>
        </w:tc>
        <w:tc>
          <w:tcPr>
            <w:tcW w:w="3240" w:type="dxa"/>
            <w:shd w:val="clear" w:color="auto" w:fill="auto"/>
          </w:tcPr>
          <w:p w14:paraId="33A9F4AE" w14:textId="77777777" w:rsidR="00FF408A" w:rsidRPr="002D2F67" w:rsidRDefault="00FF408A" w:rsidP="005611FE">
            <w:pPr>
              <w:pStyle w:val="acctfourfigures"/>
              <w:tabs>
                <w:tab w:val="clear" w:pos="765"/>
              </w:tabs>
              <w:spacing w:line="240" w:lineRule="auto"/>
              <w:ind w:left="-36" w:right="-72"/>
              <w:jc w:val="center"/>
              <w:rPr>
                <w:rFonts w:ascii="Arial" w:hAnsi="Arial" w:cs="Arial"/>
                <w:b/>
                <w:bCs/>
                <w:color w:val="000000"/>
                <w:sz w:val="14"/>
                <w:szCs w:val="14"/>
                <w:lang w:bidi="th-TH"/>
              </w:rPr>
            </w:pPr>
          </w:p>
        </w:tc>
        <w:tc>
          <w:tcPr>
            <w:tcW w:w="2048" w:type="dxa"/>
            <w:gridSpan w:val="2"/>
            <w:tcBorders>
              <w:top w:val="single" w:sz="4" w:space="0" w:color="auto"/>
              <w:bottom w:val="single" w:sz="4" w:space="0" w:color="auto"/>
            </w:tcBorders>
            <w:shd w:val="clear" w:color="auto" w:fill="auto"/>
            <w:vAlign w:val="bottom"/>
          </w:tcPr>
          <w:p w14:paraId="1A1C76AE" w14:textId="77777777" w:rsidR="00A32282" w:rsidRPr="002D2F67" w:rsidRDefault="00FF408A" w:rsidP="005611FE">
            <w:pPr>
              <w:pStyle w:val="acctfourfigures"/>
              <w:tabs>
                <w:tab w:val="clear" w:pos="765"/>
              </w:tabs>
              <w:spacing w:line="240" w:lineRule="auto"/>
              <w:ind w:right="-72"/>
              <w:jc w:val="center"/>
              <w:rPr>
                <w:rFonts w:ascii="Arial" w:hAnsi="Arial" w:cs="Arial"/>
                <w:b/>
                <w:bCs/>
                <w:color w:val="000000"/>
                <w:sz w:val="14"/>
                <w:szCs w:val="14"/>
                <w:lang w:bidi="th-TH"/>
              </w:rPr>
            </w:pPr>
            <w:r w:rsidRPr="002D2F67">
              <w:rPr>
                <w:rFonts w:ascii="Arial" w:hAnsi="Arial" w:cs="Arial"/>
                <w:b/>
                <w:bCs/>
                <w:color w:val="000000"/>
                <w:sz w:val="14"/>
                <w:szCs w:val="14"/>
                <w:lang w:bidi="th-TH"/>
              </w:rPr>
              <w:t>Portion of ordinary shares</w:t>
            </w:r>
          </w:p>
          <w:p w14:paraId="51019EEB" w14:textId="77777777" w:rsidR="00FF408A" w:rsidRPr="002D2F67" w:rsidRDefault="00FF408A" w:rsidP="005611FE">
            <w:pPr>
              <w:pStyle w:val="acctfourfigures"/>
              <w:tabs>
                <w:tab w:val="clear" w:pos="765"/>
              </w:tabs>
              <w:spacing w:line="240" w:lineRule="auto"/>
              <w:ind w:right="-72"/>
              <w:jc w:val="center"/>
              <w:rPr>
                <w:rFonts w:ascii="Arial" w:hAnsi="Arial" w:cs="Arial"/>
                <w:b/>
                <w:bCs/>
                <w:color w:val="000000"/>
                <w:sz w:val="14"/>
                <w:szCs w:val="14"/>
                <w:lang w:bidi="th-TH"/>
              </w:rPr>
            </w:pPr>
            <w:r w:rsidRPr="002D2F67">
              <w:rPr>
                <w:rFonts w:ascii="Arial" w:hAnsi="Arial" w:cs="Arial"/>
                <w:b/>
                <w:bCs/>
                <w:color w:val="000000"/>
                <w:sz w:val="14"/>
                <w:szCs w:val="14"/>
                <w:lang w:bidi="th-TH"/>
              </w:rPr>
              <w:t>held by the Company</w:t>
            </w:r>
          </w:p>
        </w:tc>
        <w:tc>
          <w:tcPr>
            <w:tcW w:w="2048" w:type="dxa"/>
            <w:gridSpan w:val="2"/>
            <w:tcBorders>
              <w:top w:val="single" w:sz="4" w:space="0" w:color="auto"/>
              <w:bottom w:val="single" w:sz="4" w:space="0" w:color="auto"/>
            </w:tcBorders>
            <w:shd w:val="clear" w:color="auto" w:fill="auto"/>
            <w:vAlign w:val="bottom"/>
          </w:tcPr>
          <w:p w14:paraId="463A6F91" w14:textId="13A8FE5E" w:rsidR="00FF408A" w:rsidRPr="002D2F67" w:rsidRDefault="00FF408A" w:rsidP="005611FE">
            <w:pPr>
              <w:pStyle w:val="acctfourfigures"/>
              <w:tabs>
                <w:tab w:val="clear" w:pos="765"/>
              </w:tabs>
              <w:spacing w:line="240" w:lineRule="auto"/>
              <w:ind w:right="-72"/>
              <w:jc w:val="center"/>
              <w:rPr>
                <w:rFonts w:ascii="Arial" w:hAnsi="Arial" w:cs="Arial"/>
                <w:b/>
                <w:bCs/>
                <w:color w:val="000000"/>
                <w:sz w:val="14"/>
                <w:szCs w:val="14"/>
                <w:lang w:bidi="th-TH"/>
              </w:rPr>
            </w:pPr>
            <w:r w:rsidRPr="002D2F67">
              <w:rPr>
                <w:rFonts w:ascii="Arial" w:hAnsi="Arial" w:cs="Arial"/>
                <w:b/>
                <w:bCs/>
                <w:color w:val="000000"/>
                <w:sz w:val="14"/>
                <w:szCs w:val="14"/>
                <w:lang w:bidi="th-TH"/>
              </w:rPr>
              <w:t xml:space="preserve">Portion of ordinary shares held by the </w:t>
            </w:r>
            <w:r w:rsidR="00CD0A7F" w:rsidRPr="002D2F67">
              <w:rPr>
                <w:rFonts w:ascii="Arial" w:hAnsi="Arial" w:cs="Arial"/>
                <w:b/>
                <w:bCs/>
                <w:color w:val="000000"/>
                <w:sz w:val="14"/>
                <w:szCs w:val="14"/>
                <w:lang w:bidi="th-TH"/>
              </w:rPr>
              <w:t>subsid</w:t>
            </w:r>
            <w:r w:rsidR="00682D96" w:rsidRPr="002D2F67">
              <w:rPr>
                <w:rFonts w:ascii="Arial" w:hAnsi="Arial" w:cs="Arial"/>
                <w:b/>
                <w:bCs/>
                <w:color w:val="000000"/>
                <w:sz w:val="14"/>
                <w:szCs w:val="14"/>
                <w:lang w:bidi="th-TH"/>
              </w:rPr>
              <w:t>i</w:t>
            </w:r>
            <w:r w:rsidR="00CD0A7F" w:rsidRPr="002D2F67">
              <w:rPr>
                <w:rFonts w:ascii="Arial" w:hAnsi="Arial" w:cs="Arial"/>
                <w:b/>
                <w:bCs/>
                <w:color w:val="000000"/>
                <w:sz w:val="14"/>
                <w:szCs w:val="14"/>
                <w:lang w:bidi="th-TH"/>
              </w:rPr>
              <w:t>aries</w:t>
            </w:r>
          </w:p>
        </w:tc>
        <w:tc>
          <w:tcPr>
            <w:tcW w:w="2279" w:type="dxa"/>
            <w:gridSpan w:val="2"/>
            <w:tcBorders>
              <w:top w:val="single" w:sz="4" w:space="0" w:color="auto"/>
              <w:bottom w:val="single" w:sz="4" w:space="0" w:color="auto"/>
            </w:tcBorders>
            <w:shd w:val="clear" w:color="auto" w:fill="auto"/>
            <w:vAlign w:val="bottom"/>
          </w:tcPr>
          <w:p w14:paraId="4AD6F17B" w14:textId="77777777" w:rsidR="00FF408A" w:rsidRPr="002D2F67" w:rsidRDefault="00FF408A" w:rsidP="005611FE">
            <w:pPr>
              <w:pStyle w:val="acctfourfigures"/>
              <w:tabs>
                <w:tab w:val="clear" w:pos="765"/>
                <w:tab w:val="left" w:pos="1168"/>
              </w:tabs>
              <w:spacing w:line="240" w:lineRule="auto"/>
              <w:ind w:right="-72"/>
              <w:jc w:val="center"/>
              <w:rPr>
                <w:rFonts w:ascii="Arial" w:hAnsi="Arial" w:cs="Arial"/>
                <w:b/>
                <w:bCs/>
                <w:color w:val="000000"/>
                <w:sz w:val="14"/>
                <w:szCs w:val="14"/>
                <w:lang w:bidi="th-TH"/>
              </w:rPr>
            </w:pPr>
            <w:r w:rsidRPr="002D2F67">
              <w:rPr>
                <w:rFonts w:ascii="Arial" w:hAnsi="Arial" w:cs="Arial"/>
                <w:b/>
                <w:bCs/>
                <w:color w:val="000000"/>
                <w:sz w:val="14"/>
                <w:szCs w:val="14"/>
                <w:lang w:bidi="th-TH"/>
              </w:rPr>
              <w:t xml:space="preserve">Cost </w:t>
            </w:r>
            <w:r w:rsidR="00114D32" w:rsidRPr="002D2F67">
              <w:rPr>
                <w:rFonts w:ascii="Arial" w:hAnsi="Arial" w:cs="Arial"/>
                <w:b/>
                <w:bCs/>
                <w:color w:val="000000"/>
                <w:sz w:val="14"/>
                <w:szCs w:val="14"/>
                <w:lang w:bidi="th-TH"/>
              </w:rPr>
              <w:t>m</w:t>
            </w:r>
            <w:r w:rsidRPr="002D2F67">
              <w:rPr>
                <w:rFonts w:ascii="Arial" w:hAnsi="Arial" w:cs="Arial"/>
                <w:b/>
                <w:bCs/>
                <w:color w:val="000000"/>
                <w:sz w:val="14"/>
                <w:szCs w:val="14"/>
                <w:lang w:bidi="th-TH"/>
              </w:rPr>
              <w:t>ethod</w:t>
            </w:r>
          </w:p>
        </w:tc>
        <w:tc>
          <w:tcPr>
            <w:tcW w:w="2376" w:type="dxa"/>
            <w:gridSpan w:val="2"/>
            <w:tcBorders>
              <w:top w:val="single" w:sz="4" w:space="0" w:color="auto"/>
              <w:bottom w:val="single" w:sz="4" w:space="0" w:color="auto"/>
            </w:tcBorders>
            <w:shd w:val="clear" w:color="auto" w:fill="auto"/>
            <w:vAlign w:val="bottom"/>
          </w:tcPr>
          <w:p w14:paraId="32FAD36D" w14:textId="77777777" w:rsidR="00FF408A" w:rsidRPr="002D2F67" w:rsidRDefault="00FF408A" w:rsidP="005611FE">
            <w:pPr>
              <w:pStyle w:val="acctfourfigures"/>
              <w:tabs>
                <w:tab w:val="clear" w:pos="765"/>
              </w:tabs>
              <w:spacing w:line="240" w:lineRule="auto"/>
              <w:ind w:right="-72"/>
              <w:jc w:val="center"/>
              <w:rPr>
                <w:rFonts w:ascii="Arial" w:hAnsi="Arial" w:cs="Arial"/>
                <w:b/>
                <w:bCs/>
                <w:color w:val="000000"/>
                <w:sz w:val="14"/>
                <w:szCs w:val="14"/>
                <w:lang w:bidi="th-TH"/>
              </w:rPr>
            </w:pPr>
            <w:r w:rsidRPr="002D2F67">
              <w:rPr>
                <w:rFonts w:ascii="Arial" w:hAnsi="Arial" w:cs="Arial"/>
                <w:b/>
                <w:bCs/>
                <w:color w:val="000000"/>
                <w:sz w:val="14"/>
                <w:szCs w:val="14"/>
                <w:lang w:bidi="th-TH"/>
              </w:rPr>
              <w:t>Dividend for the year</w:t>
            </w:r>
          </w:p>
        </w:tc>
      </w:tr>
      <w:tr w:rsidR="00C53924" w:rsidRPr="002D2F67" w14:paraId="3FF12A32" w14:textId="77777777" w:rsidTr="005611FE">
        <w:trPr>
          <w:cantSplit/>
        </w:trPr>
        <w:tc>
          <w:tcPr>
            <w:tcW w:w="2551" w:type="dxa"/>
            <w:shd w:val="clear" w:color="auto" w:fill="auto"/>
            <w:vAlign w:val="bottom"/>
          </w:tcPr>
          <w:p w14:paraId="69B08C25" w14:textId="77777777" w:rsidR="00C53924" w:rsidRPr="002D2F67" w:rsidRDefault="00C53924" w:rsidP="005611FE">
            <w:pPr>
              <w:pStyle w:val="acctfourfigures"/>
              <w:tabs>
                <w:tab w:val="clear" w:pos="765"/>
              </w:tabs>
              <w:spacing w:line="240" w:lineRule="auto"/>
              <w:ind w:left="148" w:right="-72"/>
              <w:rPr>
                <w:rFonts w:ascii="Arial" w:hAnsi="Arial" w:cs="Arial"/>
                <w:b/>
                <w:bCs/>
                <w:color w:val="000000"/>
                <w:sz w:val="14"/>
                <w:szCs w:val="14"/>
                <w:lang w:bidi="th-TH"/>
              </w:rPr>
            </w:pPr>
          </w:p>
        </w:tc>
        <w:tc>
          <w:tcPr>
            <w:tcW w:w="3240" w:type="dxa"/>
            <w:shd w:val="clear" w:color="auto" w:fill="auto"/>
          </w:tcPr>
          <w:p w14:paraId="34FD518A" w14:textId="77777777" w:rsidR="00C53924" w:rsidRPr="002D2F67" w:rsidRDefault="00C53924" w:rsidP="005611FE">
            <w:pPr>
              <w:pStyle w:val="acctfourfigures"/>
              <w:tabs>
                <w:tab w:val="clear" w:pos="765"/>
              </w:tabs>
              <w:spacing w:line="240" w:lineRule="auto"/>
              <w:ind w:left="-36" w:right="-72"/>
              <w:jc w:val="right"/>
              <w:rPr>
                <w:rFonts w:ascii="Arial" w:hAnsi="Arial" w:cs="Arial"/>
                <w:b/>
                <w:bCs/>
                <w:color w:val="000000"/>
                <w:spacing w:val="-4"/>
                <w:sz w:val="14"/>
                <w:szCs w:val="14"/>
                <w:lang w:bidi="th-TH"/>
              </w:rPr>
            </w:pPr>
          </w:p>
        </w:tc>
        <w:tc>
          <w:tcPr>
            <w:tcW w:w="1024" w:type="dxa"/>
            <w:tcBorders>
              <w:top w:val="single" w:sz="4" w:space="0" w:color="auto"/>
            </w:tcBorders>
            <w:shd w:val="clear" w:color="auto" w:fill="auto"/>
            <w:vAlign w:val="bottom"/>
          </w:tcPr>
          <w:p w14:paraId="61350F08" w14:textId="696D3557" w:rsidR="00C53924" w:rsidRPr="002D2F67" w:rsidRDefault="00CD5714"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C53924" w:rsidRPr="002D2F67">
              <w:rPr>
                <w:rFonts w:ascii="Arial" w:hAnsi="Arial" w:cs="Arial"/>
                <w:b/>
                <w:bCs/>
                <w:color w:val="000000"/>
                <w:sz w:val="14"/>
                <w:szCs w:val="14"/>
                <w:lang w:bidi="th-TH"/>
              </w:rPr>
              <w:t xml:space="preserve"> December</w:t>
            </w:r>
          </w:p>
          <w:p w14:paraId="0046B8AF" w14:textId="3DA4D164" w:rsidR="00C53924" w:rsidRPr="002D2F67" w:rsidRDefault="00CD5714" w:rsidP="005611FE">
            <w:pPr>
              <w:pStyle w:val="acctfourfigures"/>
              <w:tabs>
                <w:tab w:val="clear" w:pos="765"/>
              </w:tabs>
              <w:spacing w:line="240" w:lineRule="auto"/>
              <w:ind w:left="-36" w:right="-72"/>
              <w:jc w:val="right"/>
              <w:rPr>
                <w:rFonts w:ascii="Arial" w:hAnsi="Arial" w:cs="Arial"/>
                <w:b/>
                <w:bCs/>
                <w:color w:val="000000"/>
                <w:spacing w:val="-4"/>
                <w:sz w:val="14"/>
                <w:szCs w:val="14"/>
                <w:lang w:bidi="th-TH"/>
              </w:rPr>
            </w:pPr>
            <w:r w:rsidRPr="00CD5714">
              <w:rPr>
                <w:rFonts w:ascii="Arial" w:hAnsi="Arial" w:cs="Arial"/>
                <w:b/>
                <w:bCs/>
                <w:color w:val="000000"/>
                <w:sz w:val="14"/>
                <w:szCs w:val="14"/>
                <w:lang w:val="en-GB" w:bidi="th-TH"/>
              </w:rPr>
              <w:t>2024</w:t>
            </w:r>
          </w:p>
        </w:tc>
        <w:tc>
          <w:tcPr>
            <w:tcW w:w="1024" w:type="dxa"/>
            <w:tcBorders>
              <w:top w:val="single" w:sz="4" w:space="0" w:color="auto"/>
            </w:tcBorders>
            <w:shd w:val="clear" w:color="auto" w:fill="auto"/>
            <w:vAlign w:val="bottom"/>
          </w:tcPr>
          <w:p w14:paraId="024772D8" w14:textId="41302BE2" w:rsidR="00C53924" w:rsidRPr="002D2F67" w:rsidRDefault="00CD5714"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C53924" w:rsidRPr="002D2F67">
              <w:rPr>
                <w:rFonts w:ascii="Arial" w:hAnsi="Arial" w:cs="Arial"/>
                <w:b/>
                <w:bCs/>
                <w:color w:val="000000"/>
                <w:sz w:val="14"/>
                <w:szCs w:val="14"/>
                <w:lang w:bidi="th-TH"/>
              </w:rPr>
              <w:t xml:space="preserve"> December</w:t>
            </w:r>
          </w:p>
          <w:p w14:paraId="73B6E14B" w14:textId="3C9F5BD6" w:rsidR="00C53924" w:rsidRPr="002D2F67" w:rsidRDefault="00CD5714" w:rsidP="005611FE">
            <w:pPr>
              <w:pStyle w:val="acctfourfigures"/>
              <w:tabs>
                <w:tab w:val="clear" w:pos="765"/>
              </w:tabs>
              <w:spacing w:line="240" w:lineRule="auto"/>
              <w:ind w:left="-36" w:right="-72"/>
              <w:jc w:val="right"/>
              <w:rPr>
                <w:rFonts w:ascii="Arial" w:hAnsi="Arial" w:cs="Arial"/>
                <w:b/>
                <w:bCs/>
                <w:color w:val="000000"/>
                <w:spacing w:val="-4"/>
                <w:sz w:val="14"/>
                <w:szCs w:val="14"/>
                <w:lang w:bidi="th-TH"/>
              </w:rPr>
            </w:pPr>
            <w:r w:rsidRPr="00CD5714">
              <w:rPr>
                <w:rFonts w:ascii="Arial" w:hAnsi="Arial" w:cs="Arial"/>
                <w:b/>
                <w:bCs/>
                <w:color w:val="000000"/>
                <w:sz w:val="14"/>
                <w:szCs w:val="14"/>
                <w:lang w:val="en-GB" w:bidi="th-TH"/>
              </w:rPr>
              <w:t>2023</w:t>
            </w:r>
          </w:p>
        </w:tc>
        <w:tc>
          <w:tcPr>
            <w:tcW w:w="1024" w:type="dxa"/>
            <w:tcBorders>
              <w:top w:val="single" w:sz="4" w:space="0" w:color="auto"/>
            </w:tcBorders>
            <w:shd w:val="clear" w:color="auto" w:fill="auto"/>
            <w:vAlign w:val="bottom"/>
          </w:tcPr>
          <w:p w14:paraId="70474FBF" w14:textId="4A61AF44" w:rsidR="00C53924" w:rsidRPr="002D2F67" w:rsidRDefault="00CD5714"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C53924" w:rsidRPr="002D2F67">
              <w:rPr>
                <w:rFonts w:ascii="Arial" w:hAnsi="Arial" w:cs="Arial"/>
                <w:b/>
                <w:bCs/>
                <w:color w:val="000000"/>
                <w:sz w:val="14"/>
                <w:szCs w:val="14"/>
                <w:lang w:bidi="th-TH"/>
              </w:rPr>
              <w:t xml:space="preserve"> December</w:t>
            </w:r>
          </w:p>
          <w:p w14:paraId="45585172" w14:textId="165360B5" w:rsidR="00C53924" w:rsidRPr="002D2F67" w:rsidRDefault="00CD5714" w:rsidP="005611FE">
            <w:pPr>
              <w:pStyle w:val="acctfourfigures"/>
              <w:tabs>
                <w:tab w:val="clear" w:pos="765"/>
              </w:tabs>
              <w:spacing w:line="240" w:lineRule="auto"/>
              <w:ind w:left="-36" w:right="-72"/>
              <w:jc w:val="right"/>
              <w:rPr>
                <w:rFonts w:ascii="Arial" w:hAnsi="Arial" w:cs="Arial"/>
                <w:b/>
                <w:bCs/>
                <w:color w:val="000000"/>
                <w:spacing w:val="-4"/>
                <w:sz w:val="14"/>
                <w:szCs w:val="14"/>
                <w:lang w:bidi="th-TH"/>
              </w:rPr>
            </w:pPr>
            <w:r w:rsidRPr="00CD5714">
              <w:rPr>
                <w:rFonts w:ascii="Arial" w:hAnsi="Arial" w:cs="Arial"/>
                <w:b/>
                <w:bCs/>
                <w:color w:val="000000"/>
                <w:sz w:val="14"/>
                <w:szCs w:val="14"/>
                <w:lang w:val="en-GB" w:bidi="th-TH"/>
              </w:rPr>
              <w:t>2024</w:t>
            </w:r>
          </w:p>
        </w:tc>
        <w:tc>
          <w:tcPr>
            <w:tcW w:w="1024" w:type="dxa"/>
            <w:tcBorders>
              <w:top w:val="single" w:sz="4" w:space="0" w:color="auto"/>
            </w:tcBorders>
            <w:shd w:val="clear" w:color="auto" w:fill="auto"/>
            <w:vAlign w:val="bottom"/>
          </w:tcPr>
          <w:p w14:paraId="7AEA7140" w14:textId="734C35E4" w:rsidR="00C53924" w:rsidRPr="002D2F67" w:rsidRDefault="00CD5714"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C53924" w:rsidRPr="002D2F67">
              <w:rPr>
                <w:rFonts w:ascii="Arial" w:hAnsi="Arial" w:cs="Arial"/>
                <w:b/>
                <w:bCs/>
                <w:color w:val="000000"/>
                <w:sz w:val="14"/>
                <w:szCs w:val="14"/>
                <w:lang w:bidi="th-TH"/>
              </w:rPr>
              <w:t xml:space="preserve"> December</w:t>
            </w:r>
          </w:p>
          <w:p w14:paraId="797B7377" w14:textId="4E169CD8" w:rsidR="00C53924" w:rsidRPr="002D2F67" w:rsidRDefault="00CD5714" w:rsidP="005611FE">
            <w:pPr>
              <w:pStyle w:val="acctfourfigures"/>
              <w:tabs>
                <w:tab w:val="clear" w:pos="765"/>
              </w:tabs>
              <w:spacing w:line="240" w:lineRule="auto"/>
              <w:ind w:left="-36" w:right="-72"/>
              <w:jc w:val="right"/>
              <w:rPr>
                <w:rFonts w:ascii="Arial" w:hAnsi="Arial" w:cs="Arial"/>
                <w:b/>
                <w:bCs/>
                <w:color w:val="000000"/>
                <w:spacing w:val="-4"/>
                <w:sz w:val="14"/>
                <w:szCs w:val="14"/>
                <w:lang w:bidi="th-TH"/>
              </w:rPr>
            </w:pPr>
            <w:r w:rsidRPr="00CD5714">
              <w:rPr>
                <w:rFonts w:ascii="Arial" w:hAnsi="Arial" w:cs="Arial"/>
                <w:b/>
                <w:bCs/>
                <w:color w:val="000000"/>
                <w:sz w:val="14"/>
                <w:szCs w:val="14"/>
                <w:lang w:val="en-GB" w:bidi="th-TH"/>
              </w:rPr>
              <w:t>2023</w:t>
            </w:r>
          </w:p>
        </w:tc>
        <w:tc>
          <w:tcPr>
            <w:tcW w:w="1145" w:type="dxa"/>
            <w:tcBorders>
              <w:top w:val="single" w:sz="4" w:space="0" w:color="auto"/>
            </w:tcBorders>
            <w:shd w:val="clear" w:color="auto" w:fill="auto"/>
            <w:vAlign w:val="bottom"/>
          </w:tcPr>
          <w:p w14:paraId="1CA11EDD" w14:textId="1923B572" w:rsidR="00C53924" w:rsidRPr="002D2F67" w:rsidRDefault="00CD5714"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C53924" w:rsidRPr="002D2F67">
              <w:rPr>
                <w:rFonts w:ascii="Arial" w:hAnsi="Arial" w:cs="Arial"/>
                <w:b/>
                <w:bCs/>
                <w:color w:val="000000"/>
                <w:sz w:val="14"/>
                <w:szCs w:val="14"/>
                <w:lang w:bidi="th-TH"/>
              </w:rPr>
              <w:t xml:space="preserve"> December</w:t>
            </w:r>
          </w:p>
          <w:p w14:paraId="5C333B1A" w14:textId="169A7718" w:rsidR="00C53924" w:rsidRPr="002D2F67" w:rsidRDefault="00CD5714" w:rsidP="005611FE">
            <w:pPr>
              <w:pStyle w:val="acctfourfigures"/>
              <w:tabs>
                <w:tab w:val="clear" w:pos="765"/>
              </w:tabs>
              <w:spacing w:line="240" w:lineRule="auto"/>
              <w:ind w:left="-36" w:right="-72"/>
              <w:jc w:val="right"/>
              <w:rPr>
                <w:rFonts w:ascii="Arial" w:hAnsi="Arial" w:cs="Arial"/>
                <w:b/>
                <w:bCs/>
                <w:color w:val="000000"/>
                <w:spacing w:val="-4"/>
                <w:sz w:val="14"/>
                <w:szCs w:val="14"/>
                <w:lang w:bidi="th-TH"/>
              </w:rPr>
            </w:pPr>
            <w:r w:rsidRPr="00CD5714">
              <w:rPr>
                <w:rFonts w:ascii="Arial" w:hAnsi="Arial" w:cs="Arial"/>
                <w:b/>
                <w:bCs/>
                <w:color w:val="000000"/>
                <w:sz w:val="14"/>
                <w:szCs w:val="14"/>
                <w:lang w:val="en-GB" w:bidi="th-TH"/>
              </w:rPr>
              <w:t>2024</w:t>
            </w:r>
          </w:p>
        </w:tc>
        <w:tc>
          <w:tcPr>
            <w:tcW w:w="1134" w:type="dxa"/>
            <w:tcBorders>
              <w:top w:val="single" w:sz="4" w:space="0" w:color="auto"/>
            </w:tcBorders>
            <w:shd w:val="clear" w:color="auto" w:fill="auto"/>
            <w:vAlign w:val="bottom"/>
          </w:tcPr>
          <w:p w14:paraId="45970AD2" w14:textId="091DB62E" w:rsidR="00C53924" w:rsidRPr="002D2F67" w:rsidRDefault="00CD5714"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C53924" w:rsidRPr="002D2F67">
              <w:rPr>
                <w:rFonts w:ascii="Arial" w:hAnsi="Arial" w:cs="Arial"/>
                <w:b/>
                <w:bCs/>
                <w:color w:val="000000"/>
                <w:sz w:val="14"/>
                <w:szCs w:val="14"/>
                <w:lang w:bidi="th-TH"/>
              </w:rPr>
              <w:t xml:space="preserve"> December</w:t>
            </w:r>
          </w:p>
          <w:p w14:paraId="293E0D76" w14:textId="3B7700FB" w:rsidR="00C53924" w:rsidRPr="002D2F67" w:rsidRDefault="00CD5714" w:rsidP="005611FE">
            <w:pPr>
              <w:pStyle w:val="acctfourfigures"/>
              <w:tabs>
                <w:tab w:val="clear" w:pos="765"/>
              </w:tabs>
              <w:spacing w:line="240" w:lineRule="auto"/>
              <w:ind w:left="-36" w:right="-72"/>
              <w:jc w:val="right"/>
              <w:rPr>
                <w:rFonts w:ascii="Arial" w:hAnsi="Arial" w:cs="Arial"/>
                <w:b/>
                <w:bCs/>
                <w:color w:val="000000"/>
                <w:spacing w:val="-4"/>
                <w:sz w:val="14"/>
                <w:szCs w:val="14"/>
                <w:lang w:bidi="th-TH"/>
              </w:rPr>
            </w:pPr>
            <w:r w:rsidRPr="00CD5714">
              <w:rPr>
                <w:rFonts w:ascii="Arial" w:hAnsi="Arial" w:cs="Arial"/>
                <w:b/>
                <w:bCs/>
                <w:color w:val="000000"/>
                <w:sz w:val="14"/>
                <w:szCs w:val="14"/>
                <w:lang w:val="en-GB" w:bidi="th-TH"/>
              </w:rPr>
              <w:t>2023</w:t>
            </w:r>
          </w:p>
        </w:tc>
        <w:tc>
          <w:tcPr>
            <w:tcW w:w="1134" w:type="dxa"/>
            <w:tcBorders>
              <w:top w:val="single" w:sz="4" w:space="0" w:color="auto"/>
            </w:tcBorders>
            <w:shd w:val="clear" w:color="auto" w:fill="auto"/>
            <w:vAlign w:val="bottom"/>
          </w:tcPr>
          <w:p w14:paraId="32157CF7" w14:textId="04CC9ABF" w:rsidR="00C53924" w:rsidRPr="002D2F67" w:rsidRDefault="00CD5714"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C53924" w:rsidRPr="002D2F67">
              <w:rPr>
                <w:rFonts w:ascii="Arial" w:hAnsi="Arial" w:cs="Arial"/>
                <w:b/>
                <w:bCs/>
                <w:color w:val="000000"/>
                <w:sz w:val="14"/>
                <w:szCs w:val="14"/>
                <w:lang w:bidi="th-TH"/>
              </w:rPr>
              <w:t xml:space="preserve"> December</w:t>
            </w:r>
          </w:p>
          <w:p w14:paraId="5C6B2BDB" w14:textId="6C33E8CD" w:rsidR="00C53924" w:rsidRPr="002D2F67" w:rsidRDefault="00CD5714" w:rsidP="005611FE">
            <w:pPr>
              <w:pStyle w:val="acctfourfigures"/>
              <w:tabs>
                <w:tab w:val="clear" w:pos="765"/>
              </w:tabs>
              <w:spacing w:line="240" w:lineRule="auto"/>
              <w:ind w:left="-36" w:right="-72"/>
              <w:jc w:val="right"/>
              <w:rPr>
                <w:rFonts w:ascii="Arial" w:hAnsi="Arial" w:cs="Arial"/>
                <w:b/>
                <w:bCs/>
                <w:color w:val="000000"/>
                <w:spacing w:val="-4"/>
                <w:sz w:val="14"/>
                <w:szCs w:val="14"/>
                <w:lang w:bidi="th-TH"/>
              </w:rPr>
            </w:pPr>
            <w:r w:rsidRPr="00CD5714">
              <w:rPr>
                <w:rFonts w:ascii="Arial" w:hAnsi="Arial" w:cs="Arial"/>
                <w:b/>
                <w:bCs/>
                <w:color w:val="000000"/>
                <w:sz w:val="14"/>
                <w:szCs w:val="14"/>
                <w:lang w:val="en-GB" w:bidi="th-TH"/>
              </w:rPr>
              <w:t>2024</w:t>
            </w:r>
          </w:p>
        </w:tc>
        <w:tc>
          <w:tcPr>
            <w:tcW w:w="1242" w:type="dxa"/>
            <w:tcBorders>
              <w:top w:val="single" w:sz="4" w:space="0" w:color="auto"/>
            </w:tcBorders>
            <w:shd w:val="clear" w:color="auto" w:fill="auto"/>
            <w:vAlign w:val="bottom"/>
          </w:tcPr>
          <w:p w14:paraId="2DAF8778" w14:textId="51102259" w:rsidR="00C53924" w:rsidRPr="002D2F67" w:rsidRDefault="00CD5714"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C53924" w:rsidRPr="002D2F67">
              <w:rPr>
                <w:rFonts w:ascii="Arial" w:hAnsi="Arial" w:cs="Arial"/>
                <w:b/>
                <w:bCs/>
                <w:color w:val="000000"/>
                <w:sz w:val="14"/>
                <w:szCs w:val="14"/>
                <w:lang w:bidi="th-TH"/>
              </w:rPr>
              <w:t xml:space="preserve"> December</w:t>
            </w:r>
          </w:p>
          <w:p w14:paraId="060D1BD3" w14:textId="44D19C44" w:rsidR="00C53924" w:rsidRPr="002D2F67" w:rsidRDefault="00CD5714" w:rsidP="005611FE">
            <w:pPr>
              <w:pStyle w:val="acctfourfigures"/>
              <w:tabs>
                <w:tab w:val="clear" w:pos="765"/>
              </w:tabs>
              <w:spacing w:line="240" w:lineRule="auto"/>
              <w:ind w:left="-36" w:right="-72"/>
              <w:jc w:val="right"/>
              <w:rPr>
                <w:rFonts w:ascii="Arial" w:hAnsi="Arial" w:cs="Arial"/>
                <w:b/>
                <w:bCs/>
                <w:color w:val="000000"/>
                <w:spacing w:val="-4"/>
                <w:sz w:val="14"/>
                <w:szCs w:val="14"/>
                <w:lang w:bidi="th-TH"/>
              </w:rPr>
            </w:pPr>
            <w:r w:rsidRPr="00CD5714">
              <w:rPr>
                <w:rFonts w:ascii="Arial" w:hAnsi="Arial" w:cs="Arial"/>
                <w:b/>
                <w:bCs/>
                <w:color w:val="000000"/>
                <w:sz w:val="14"/>
                <w:szCs w:val="14"/>
                <w:lang w:val="en-GB" w:bidi="th-TH"/>
              </w:rPr>
              <w:t>2023</w:t>
            </w:r>
          </w:p>
        </w:tc>
      </w:tr>
      <w:tr w:rsidR="00E548BD" w:rsidRPr="002D2F67" w14:paraId="2463AF83" w14:textId="77777777" w:rsidTr="005611FE">
        <w:trPr>
          <w:cantSplit/>
        </w:trPr>
        <w:tc>
          <w:tcPr>
            <w:tcW w:w="2551" w:type="dxa"/>
            <w:shd w:val="clear" w:color="auto" w:fill="auto"/>
            <w:vAlign w:val="bottom"/>
          </w:tcPr>
          <w:p w14:paraId="21EC9104" w14:textId="77777777" w:rsidR="00E548BD" w:rsidRPr="002D2F67" w:rsidRDefault="00E548BD" w:rsidP="005611FE">
            <w:pPr>
              <w:pStyle w:val="acctfourfigures"/>
              <w:tabs>
                <w:tab w:val="clear" w:pos="765"/>
              </w:tabs>
              <w:spacing w:line="240" w:lineRule="auto"/>
              <w:ind w:left="148" w:right="-72"/>
              <w:rPr>
                <w:rFonts w:ascii="Arial" w:hAnsi="Arial" w:cs="Arial"/>
                <w:b/>
                <w:bCs/>
                <w:color w:val="000000"/>
                <w:sz w:val="14"/>
                <w:szCs w:val="14"/>
                <w:lang w:bidi="th-TH"/>
              </w:rPr>
            </w:pPr>
          </w:p>
        </w:tc>
        <w:tc>
          <w:tcPr>
            <w:tcW w:w="3240" w:type="dxa"/>
            <w:tcBorders>
              <w:bottom w:val="single" w:sz="4" w:space="0" w:color="auto"/>
            </w:tcBorders>
            <w:shd w:val="clear" w:color="auto" w:fill="auto"/>
          </w:tcPr>
          <w:p w14:paraId="0B83F98F" w14:textId="77777777" w:rsidR="00E548BD" w:rsidRPr="002D2F67" w:rsidRDefault="00E548BD" w:rsidP="005611FE">
            <w:pPr>
              <w:pStyle w:val="acctfourfigures"/>
              <w:tabs>
                <w:tab w:val="clear" w:pos="765"/>
              </w:tabs>
              <w:spacing w:line="240" w:lineRule="auto"/>
              <w:ind w:left="-36" w:right="-72"/>
              <w:jc w:val="center"/>
              <w:rPr>
                <w:rFonts w:ascii="Arial" w:hAnsi="Arial" w:cs="Arial"/>
                <w:b/>
                <w:bCs/>
                <w:color w:val="000000"/>
                <w:sz w:val="14"/>
                <w:szCs w:val="14"/>
                <w:lang w:bidi="th-TH"/>
              </w:rPr>
            </w:pPr>
            <w:r w:rsidRPr="002D2F67">
              <w:rPr>
                <w:rFonts w:ascii="Arial" w:hAnsi="Arial" w:cs="Arial"/>
                <w:b/>
                <w:bCs/>
                <w:color w:val="000000"/>
                <w:sz w:val="14"/>
                <w:szCs w:val="14"/>
                <w:lang w:bidi="th-TH"/>
              </w:rPr>
              <w:t>Business</w:t>
            </w:r>
          </w:p>
        </w:tc>
        <w:tc>
          <w:tcPr>
            <w:tcW w:w="1024" w:type="dxa"/>
            <w:tcBorders>
              <w:bottom w:val="single" w:sz="4" w:space="0" w:color="auto"/>
            </w:tcBorders>
            <w:shd w:val="clear" w:color="auto" w:fill="auto"/>
            <w:vAlign w:val="bottom"/>
          </w:tcPr>
          <w:p w14:paraId="610991C7" w14:textId="77777777" w:rsidR="00E548BD" w:rsidRPr="002D2F67" w:rsidRDefault="00E548BD" w:rsidP="005611FE">
            <w:pPr>
              <w:pStyle w:val="acctfourfigures"/>
              <w:tabs>
                <w:tab w:val="clear" w:pos="765"/>
              </w:tabs>
              <w:spacing w:line="240" w:lineRule="auto"/>
              <w:ind w:right="-72"/>
              <w:jc w:val="right"/>
              <w:rPr>
                <w:rFonts w:ascii="Arial" w:hAnsi="Arial" w:cs="Arial"/>
                <w:b/>
                <w:bCs/>
                <w:color w:val="000000"/>
                <w:sz w:val="14"/>
                <w:szCs w:val="14"/>
                <w:lang w:bidi="th-TH"/>
              </w:rPr>
            </w:pPr>
            <w:r w:rsidRPr="002D2F67">
              <w:rPr>
                <w:rFonts w:ascii="Arial" w:hAnsi="Arial" w:cs="Arial"/>
                <w:b/>
                <w:bCs/>
                <w:color w:val="000000"/>
                <w:sz w:val="14"/>
                <w:szCs w:val="14"/>
              </w:rPr>
              <w:t>%</w:t>
            </w:r>
          </w:p>
        </w:tc>
        <w:tc>
          <w:tcPr>
            <w:tcW w:w="1024" w:type="dxa"/>
            <w:tcBorders>
              <w:bottom w:val="single" w:sz="4" w:space="0" w:color="auto"/>
            </w:tcBorders>
            <w:shd w:val="clear" w:color="auto" w:fill="auto"/>
            <w:vAlign w:val="bottom"/>
          </w:tcPr>
          <w:p w14:paraId="472A6D4A" w14:textId="77777777" w:rsidR="00E548BD" w:rsidRPr="002D2F67" w:rsidRDefault="00E548BD" w:rsidP="005611FE">
            <w:pPr>
              <w:pStyle w:val="acctfourfigures"/>
              <w:tabs>
                <w:tab w:val="clear" w:pos="765"/>
              </w:tabs>
              <w:spacing w:line="240" w:lineRule="auto"/>
              <w:ind w:right="-72"/>
              <w:jc w:val="right"/>
              <w:rPr>
                <w:rFonts w:ascii="Arial" w:hAnsi="Arial" w:cs="Arial"/>
                <w:b/>
                <w:bCs/>
                <w:color w:val="000000"/>
                <w:sz w:val="14"/>
                <w:szCs w:val="14"/>
                <w:lang w:bidi="th-TH"/>
              </w:rPr>
            </w:pPr>
            <w:r w:rsidRPr="002D2F67">
              <w:rPr>
                <w:rFonts w:ascii="Arial" w:hAnsi="Arial" w:cs="Arial"/>
                <w:b/>
                <w:bCs/>
                <w:color w:val="000000"/>
                <w:sz w:val="14"/>
                <w:szCs w:val="14"/>
                <w:lang w:bidi="th-TH"/>
              </w:rPr>
              <w:t>%</w:t>
            </w:r>
          </w:p>
        </w:tc>
        <w:tc>
          <w:tcPr>
            <w:tcW w:w="1024" w:type="dxa"/>
            <w:tcBorders>
              <w:bottom w:val="single" w:sz="4" w:space="0" w:color="auto"/>
            </w:tcBorders>
            <w:shd w:val="clear" w:color="auto" w:fill="auto"/>
            <w:vAlign w:val="bottom"/>
          </w:tcPr>
          <w:p w14:paraId="41AF7C3C" w14:textId="77777777" w:rsidR="00E548BD" w:rsidRPr="002D2F67" w:rsidRDefault="00E548BD" w:rsidP="005611FE">
            <w:pPr>
              <w:pStyle w:val="acctfourfigures"/>
              <w:tabs>
                <w:tab w:val="clear" w:pos="765"/>
              </w:tabs>
              <w:spacing w:line="240" w:lineRule="auto"/>
              <w:ind w:right="-72"/>
              <w:jc w:val="right"/>
              <w:rPr>
                <w:rFonts w:ascii="Arial" w:hAnsi="Arial" w:cs="Arial"/>
                <w:b/>
                <w:bCs/>
                <w:color w:val="000000"/>
                <w:sz w:val="14"/>
                <w:szCs w:val="14"/>
                <w:lang w:bidi="th-TH"/>
              </w:rPr>
            </w:pPr>
            <w:r w:rsidRPr="002D2F67">
              <w:rPr>
                <w:rFonts w:ascii="Arial" w:hAnsi="Arial" w:cs="Arial"/>
                <w:b/>
                <w:bCs/>
                <w:color w:val="000000"/>
                <w:sz w:val="14"/>
                <w:szCs w:val="14"/>
                <w:lang w:bidi="th-TH"/>
              </w:rPr>
              <w:t>%</w:t>
            </w:r>
          </w:p>
        </w:tc>
        <w:tc>
          <w:tcPr>
            <w:tcW w:w="1024" w:type="dxa"/>
            <w:tcBorders>
              <w:bottom w:val="single" w:sz="4" w:space="0" w:color="auto"/>
            </w:tcBorders>
            <w:shd w:val="clear" w:color="auto" w:fill="auto"/>
            <w:vAlign w:val="bottom"/>
          </w:tcPr>
          <w:p w14:paraId="043DE729" w14:textId="77777777" w:rsidR="00E548BD" w:rsidRPr="002D2F67" w:rsidRDefault="00E548BD" w:rsidP="005611FE">
            <w:pPr>
              <w:pStyle w:val="acctfourfigures"/>
              <w:tabs>
                <w:tab w:val="clear" w:pos="765"/>
              </w:tabs>
              <w:spacing w:line="240" w:lineRule="auto"/>
              <w:ind w:right="-72"/>
              <w:jc w:val="right"/>
              <w:rPr>
                <w:rFonts w:ascii="Arial" w:hAnsi="Arial" w:cs="Arial"/>
                <w:b/>
                <w:bCs/>
                <w:color w:val="000000"/>
                <w:sz w:val="14"/>
                <w:szCs w:val="14"/>
                <w:lang w:bidi="th-TH"/>
              </w:rPr>
            </w:pPr>
            <w:r w:rsidRPr="002D2F67">
              <w:rPr>
                <w:rFonts w:ascii="Arial" w:hAnsi="Arial" w:cs="Arial"/>
                <w:b/>
                <w:bCs/>
                <w:color w:val="000000"/>
                <w:sz w:val="14"/>
                <w:szCs w:val="14"/>
                <w:lang w:bidi="th-TH"/>
              </w:rPr>
              <w:t>%</w:t>
            </w:r>
          </w:p>
        </w:tc>
        <w:tc>
          <w:tcPr>
            <w:tcW w:w="1145" w:type="dxa"/>
            <w:tcBorders>
              <w:bottom w:val="single" w:sz="4" w:space="0" w:color="auto"/>
            </w:tcBorders>
            <w:shd w:val="clear" w:color="auto" w:fill="auto"/>
          </w:tcPr>
          <w:p w14:paraId="55D9CFCF" w14:textId="0B5AA645" w:rsidR="00E548BD" w:rsidRPr="002D2F67" w:rsidRDefault="00E548BD" w:rsidP="005611FE">
            <w:pPr>
              <w:pStyle w:val="acctfourfigures"/>
              <w:tabs>
                <w:tab w:val="clear" w:pos="765"/>
              </w:tabs>
              <w:spacing w:line="240" w:lineRule="auto"/>
              <w:ind w:right="-72"/>
              <w:jc w:val="right"/>
              <w:rPr>
                <w:rFonts w:ascii="Arial" w:hAnsi="Arial" w:cs="Arial"/>
                <w:b/>
                <w:bCs/>
                <w:color w:val="000000"/>
                <w:sz w:val="14"/>
                <w:szCs w:val="14"/>
                <w:lang w:bidi="th-TH"/>
              </w:rPr>
            </w:pPr>
            <w:r w:rsidRPr="002D2F67">
              <w:rPr>
                <w:rFonts w:ascii="Arial" w:hAnsi="Arial" w:cs="Arial"/>
                <w:b/>
                <w:bCs/>
                <w:color w:val="000000"/>
                <w:sz w:val="14"/>
                <w:szCs w:val="14"/>
              </w:rPr>
              <w:t>Baht’</w:t>
            </w:r>
            <w:r w:rsidR="00CD5714" w:rsidRPr="00CD5714">
              <w:rPr>
                <w:rFonts w:ascii="Arial" w:hAnsi="Arial" w:cs="Arial"/>
                <w:b/>
                <w:bCs/>
                <w:color w:val="000000"/>
                <w:sz w:val="14"/>
                <w:szCs w:val="14"/>
                <w:lang w:val="en-GB"/>
              </w:rPr>
              <w:t>000</w:t>
            </w:r>
          </w:p>
        </w:tc>
        <w:tc>
          <w:tcPr>
            <w:tcW w:w="1134" w:type="dxa"/>
            <w:tcBorders>
              <w:bottom w:val="single" w:sz="4" w:space="0" w:color="auto"/>
            </w:tcBorders>
            <w:shd w:val="clear" w:color="auto" w:fill="auto"/>
          </w:tcPr>
          <w:p w14:paraId="20060FB8" w14:textId="19351EA4" w:rsidR="00E548BD" w:rsidRPr="002D2F67" w:rsidRDefault="00E548BD" w:rsidP="005611FE">
            <w:pPr>
              <w:pStyle w:val="acctfourfigures"/>
              <w:tabs>
                <w:tab w:val="clear" w:pos="765"/>
              </w:tabs>
              <w:spacing w:line="240" w:lineRule="auto"/>
              <w:ind w:right="-72"/>
              <w:jc w:val="right"/>
              <w:rPr>
                <w:rFonts w:ascii="Arial" w:hAnsi="Arial" w:cs="Arial"/>
                <w:b/>
                <w:bCs/>
                <w:color w:val="000000"/>
                <w:sz w:val="14"/>
                <w:szCs w:val="14"/>
                <w:lang w:bidi="th-TH"/>
              </w:rPr>
            </w:pPr>
            <w:r w:rsidRPr="002D2F67">
              <w:rPr>
                <w:rFonts w:ascii="Arial" w:hAnsi="Arial" w:cs="Arial"/>
                <w:b/>
                <w:bCs/>
                <w:color w:val="000000"/>
                <w:sz w:val="14"/>
                <w:szCs w:val="14"/>
              </w:rPr>
              <w:t>Baht’</w:t>
            </w:r>
            <w:r w:rsidR="00CD5714" w:rsidRPr="00CD5714">
              <w:rPr>
                <w:rFonts w:ascii="Arial" w:hAnsi="Arial" w:cs="Arial"/>
                <w:b/>
                <w:bCs/>
                <w:color w:val="000000"/>
                <w:sz w:val="14"/>
                <w:szCs w:val="14"/>
                <w:lang w:val="en-GB"/>
              </w:rPr>
              <w:t>000</w:t>
            </w:r>
          </w:p>
        </w:tc>
        <w:tc>
          <w:tcPr>
            <w:tcW w:w="1134" w:type="dxa"/>
            <w:tcBorders>
              <w:bottom w:val="single" w:sz="4" w:space="0" w:color="auto"/>
            </w:tcBorders>
            <w:shd w:val="clear" w:color="auto" w:fill="auto"/>
          </w:tcPr>
          <w:p w14:paraId="2395BF51" w14:textId="6860E792" w:rsidR="00E548BD" w:rsidRPr="002D2F67" w:rsidRDefault="00E548BD" w:rsidP="005611FE">
            <w:pPr>
              <w:pStyle w:val="acctfourfigures"/>
              <w:tabs>
                <w:tab w:val="clear" w:pos="765"/>
              </w:tabs>
              <w:spacing w:line="240" w:lineRule="auto"/>
              <w:ind w:right="-72"/>
              <w:jc w:val="right"/>
              <w:rPr>
                <w:rFonts w:ascii="Arial" w:hAnsi="Arial" w:cs="Arial"/>
                <w:b/>
                <w:bCs/>
                <w:color w:val="000000"/>
                <w:sz w:val="14"/>
                <w:szCs w:val="14"/>
                <w:lang w:bidi="th-TH"/>
              </w:rPr>
            </w:pPr>
            <w:r w:rsidRPr="002D2F67">
              <w:rPr>
                <w:rFonts w:ascii="Arial" w:hAnsi="Arial" w:cs="Arial"/>
                <w:b/>
                <w:bCs/>
                <w:color w:val="000000"/>
                <w:sz w:val="14"/>
                <w:szCs w:val="14"/>
              </w:rPr>
              <w:t>Baht’</w:t>
            </w:r>
            <w:r w:rsidR="00CD5714" w:rsidRPr="00CD5714">
              <w:rPr>
                <w:rFonts w:ascii="Arial" w:hAnsi="Arial" w:cs="Arial"/>
                <w:b/>
                <w:bCs/>
                <w:color w:val="000000"/>
                <w:sz w:val="14"/>
                <w:szCs w:val="14"/>
                <w:lang w:val="en-GB"/>
              </w:rPr>
              <w:t>000</w:t>
            </w:r>
          </w:p>
        </w:tc>
        <w:tc>
          <w:tcPr>
            <w:tcW w:w="1242" w:type="dxa"/>
            <w:tcBorders>
              <w:bottom w:val="single" w:sz="4" w:space="0" w:color="auto"/>
            </w:tcBorders>
            <w:shd w:val="clear" w:color="auto" w:fill="auto"/>
          </w:tcPr>
          <w:p w14:paraId="42D9461D" w14:textId="1F83B114" w:rsidR="00E548BD" w:rsidRPr="002D2F67" w:rsidRDefault="00E548BD" w:rsidP="005611FE">
            <w:pPr>
              <w:pStyle w:val="acctfourfigures"/>
              <w:tabs>
                <w:tab w:val="clear" w:pos="765"/>
              </w:tabs>
              <w:spacing w:line="240" w:lineRule="auto"/>
              <w:ind w:right="-72"/>
              <w:jc w:val="right"/>
              <w:rPr>
                <w:rFonts w:ascii="Arial" w:hAnsi="Arial" w:cs="Arial"/>
                <w:b/>
                <w:bCs/>
                <w:color w:val="000000"/>
                <w:sz w:val="14"/>
                <w:szCs w:val="14"/>
                <w:lang w:bidi="th-TH"/>
              </w:rPr>
            </w:pPr>
            <w:r w:rsidRPr="002D2F67">
              <w:rPr>
                <w:rFonts w:ascii="Arial" w:hAnsi="Arial" w:cs="Arial"/>
                <w:b/>
                <w:bCs/>
                <w:color w:val="000000"/>
                <w:sz w:val="14"/>
                <w:szCs w:val="14"/>
              </w:rPr>
              <w:t>Baht’</w:t>
            </w:r>
            <w:r w:rsidR="00CD5714" w:rsidRPr="00CD5714">
              <w:rPr>
                <w:rFonts w:ascii="Arial" w:hAnsi="Arial" w:cs="Arial"/>
                <w:b/>
                <w:bCs/>
                <w:color w:val="000000"/>
                <w:sz w:val="14"/>
                <w:szCs w:val="14"/>
                <w:lang w:val="en-GB"/>
              </w:rPr>
              <w:t>000</w:t>
            </w:r>
          </w:p>
        </w:tc>
      </w:tr>
      <w:tr w:rsidR="00FF408A" w:rsidRPr="002D2F67" w14:paraId="1F17C171" w14:textId="77777777" w:rsidTr="005611FE">
        <w:trPr>
          <w:cantSplit/>
        </w:trPr>
        <w:tc>
          <w:tcPr>
            <w:tcW w:w="2551" w:type="dxa"/>
            <w:shd w:val="clear" w:color="auto" w:fill="auto"/>
          </w:tcPr>
          <w:p w14:paraId="1F50FA6D" w14:textId="77777777" w:rsidR="00FF408A" w:rsidRPr="002D2F67" w:rsidRDefault="00FF408A" w:rsidP="005611FE">
            <w:pPr>
              <w:pStyle w:val="acctfourfigures"/>
              <w:tabs>
                <w:tab w:val="clear" w:pos="765"/>
              </w:tabs>
              <w:spacing w:line="240" w:lineRule="auto"/>
              <w:ind w:left="148" w:right="-72"/>
              <w:rPr>
                <w:rFonts w:ascii="Arial" w:hAnsi="Arial" w:cs="Arial"/>
                <w:color w:val="000000"/>
                <w:sz w:val="14"/>
                <w:szCs w:val="14"/>
                <w:lang w:bidi="th-TH"/>
              </w:rPr>
            </w:pPr>
          </w:p>
        </w:tc>
        <w:tc>
          <w:tcPr>
            <w:tcW w:w="3240" w:type="dxa"/>
            <w:tcBorders>
              <w:top w:val="single" w:sz="4" w:space="0" w:color="auto"/>
            </w:tcBorders>
            <w:shd w:val="clear" w:color="auto" w:fill="auto"/>
            <w:vAlign w:val="bottom"/>
          </w:tcPr>
          <w:p w14:paraId="00A3E62B" w14:textId="77777777" w:rsidR="00FF408A" w:rsidRPr="002D2F67" w:rsidRDefault="00FF408A" w:rsidP="005611FE">
            <w:pPr>
              <w:pStyle w:val="acctfourfigures"/>
              <w:tabs>
                <w:tab w:val="clear" w:pos="765"/>
                <w:tab w:val="decimal" w:pos="550"/>
              </w:tabs>
              <w:spacing w:line="240" w:lineRule="auto"/>
              <w:ind w:right="-72"/>
              <w:jc w:val="center"/>
              <w:rPr>
                <w:rFonts w:ascii="Arial" w:hAnsi="Arial" w:cs="Arial"/>
                <w:color w:val="000000"/>
                <w:sz w:val="14"/>
                <w:szCs w:val="14"/>
                <w:lang w:bidi="th-TH"/>
              </w:rPr>
            </w:pPr>
          </w:p>
        </w:tc>
        <w:tc>
          <w:tcPr>
            <w:tcW w:w="1024" w:type="dxa"/>
            <w:tcBorders>
              <w:top w:val="single" w:sz="4" w:space="0" w:color="auto"/>
            </w:tcBorders>
            <w:shd w:val="clear" w:color="auto" w:fill="auto"/>
          </w:tcPr>
          <w:p w14:paraId="2AC1A670" w14:textId="77777777" w:rsidR="00FF408A" w:rsidRPr="002D2F67" w:rsidRDefault="00FF408A" w:rsidP="005611FE">
            <w:pPr>
              <w:pStyle w:val="acctfourfigures"/>
              <w:tabs>
                <w:tab w:val="clear" w:pos="765"/>
              </w:tabs>
              <w:spacing w:line="240" w:lineRule="auto"/>
              <w:ind w:right="-72"/>
              <w:jc w:val="right"/>
              <w:rPr>
                <w:rFonts w:ascii="Arial" w:hAnsi="Arial" w:cs="Arial"/>
                <w:color w:val="000000"/>
                <w:sz w:val="14"/>
                <w:szCs w:val="14"/>
                <w:lang w:bidi="th-TH"/>
              </w:rPr>
            </w:pPr>
          </w:p>
        </w:tc>
        <w:tc>
          <w:tcPr>
            <w:tcW w:w="1024" w:type="dxa"/>
            <w:tcBorders>
              <w:top w:val="single" w:sz="4" w:space="0" w:color="auto"/>
            </w:tcBorders>
            <w:shd w:val="clear" w:color="auto" w:fill="auto"/>
          </w:tcPr>
          <w:p w14:paraId="621ACD9C" w14:textId="77777777" w:rsidR="00FF408A" w:rsidRPr="002D2F67" w:rsidRDefault="00FF408A" w:rsidP="005611FE">
            <w:pPr>
              <w:pStyle w:val="acctfourfigures"/>
              <w:tabs>
                <w:tab w:val="clear" w:pos="765"/>
              </w:tabs>
              <w:spacing w:line="240" w:lineRule="auto"/>
              <w:ind w:right="-72"/>
              <w:jc w:val="right"/>
              <w:rPr>
                <w:rFonts w:ascii="Arial" w:hAnsi="Arial" w:cs="Arial"/>
                <w:color w:val="000000"/>
                <w:sz w:val="14"/>
                <w:szCs w:val="14"/>
                <w:lang w:bidi="th-TH"/>
              </w:rPr>
            </w:pPr>
          </w:p>
        </w:tc>
        <w:tc>
          <w:tcPr>
            <w:tcW w:w="1024" w:type="dxa"/>
            <w:tcBorders>
              <w:top w:val="single" w:sz="4" w:space="0" w:color="auto"/>
            </w:tcBorders>
            <w:shd w:val="clear" w:color="auto" w:fill="auto"/>
          </w:tcPr>
          <w:p w14:paraId="394EC47C" w14:textId="77777777" w:rsidR="00FF408A" w:rsidRPr="002D2F67" w:rsidRDefault="00FF408A" w:rsidP="005611FE">
            <w:pPr>
              <w:pStyle w:val="acctfourfigures"/>
              <w:tabs>
                <w:tab w:val="clear" w:pos="765"/>
              </w:tabs>
              <w:spacing w:line="240" w:lineRule="auto"/>
              <w:ind w:right="-72"/>
              <w:jc w:val="right"/>
              <w:rPr>
                <w:rFonts w:ascii="Arial" w:hAnsi="Arial" w:cs="Arial"/>
                <w:color w:val="000000"/>
                <w:sz w:val="14"/>
                <w:szCs w:val="14"/>
                <w:lang w:bidi="th-TH"/>
              </w:rPr>
            </w:pPr>
          </w:p>
        </w:tc>
        <w:tc>
          <w:tcPr>
            <w:tcW w:w="1024" w:type="dxa"/>
            <w:tcBorders>
              <w:top w:val="single" w:sz="4" w:space="0" w:color="auto"/>
            </w:tcBorders>
            <w:shd w:val="clear" w:color="auto" w:fill="auto"/>
          </w:tcPr>
          <w:p w14:paraId="1DD48CEF" w14:textId="77777777" w:rsidR="00FF408A" w:rsidRPr="002D2F67" w:rsidRDefault="00FF408A" w:rsidP="005611FE">
            <w:pPr>
              <w:pStyle w:val="acctfourfigures"/>
              <w:tabs>
                <w:tab w:val="clear" w:pos="765"/>
              </w:tabs>
              <w:spacing w:line="240" w:lineRule="auto"/>
              <w:ind w:right="-72"/>
              <w:jc w:val="right"/>
              <w:rPr>
                <w:rFonts w:ascii="Arial" w:hAnsi="Arial" w:cs="Arial"/>
                <w:color w:val="000000"/>
                <w:sz w:val="14"/>
                <w:szCs w:val="14"/>
                <w:lang w:bidi="th-TH"/>
              </w:rPr>
            </w:pPr>
          </w:p>
        </w:tc>
        <w:tc>
          <w:tcPr>
            <w:tcW w:w="1145" w:type="dxa"/>
            <w:tcBorders>
              <w:top w:val="single" w:sz="4" w:space="0" w:color="auto"/>
            </w:tcBorders>
            <w:shd w:val="clear" w:color="auto" w:fill="auto"/>
          </w:tcPr>
          <w:p w14:paraId="7E2F7607" w14:textId="77777777" w:rsidR="00FF408A" w:rsidRPr="002D2F67" w:rsidRDefault="00FF408A" w:rsidP="005611FE">
            <w:pPr>
              <w:pStyle w:val="acctfourfigures"/>
              <w:tabs>
                <w:tab w:val="clear" w:pos="765"/>
              </w:tabs>
              <w:spacing w:line="240" w:lineRule="auto"/>
              <w:ind w:right="-72"/>
              <w:jc w:val="right"/>
              <w:rPr>
                <w:rFonts w:ascii="Arial" w:hAnsi="Arial" w:cs="Arial"/>
                <w:color w:val="000000"/>
                <w:sz w:val="14"/>
                <w:szCs w:val="14"/>
                <w:lang w:bidi="th-TH"/>
              </w:rPr>
            </w:pPr>
          </w:p>
        </w:tc>
        <w:tc>
          <w:tcPr>
            <w:tcW w:w="1134" w:type="dxa"/>
            <w:tcBorders>
              <w:top w:val="single" w:sz="4" w:space="0" w:color="auto"/>
            </w:tcBorders>
            <w:shd w:val="clear" w:color="auto" w:fill="auto"/>
          </w:tcPr>
          <w:p w14:paraId="7DCFD623" w14:textId="77777777" w:rsidR="00FF408A" w:rsidRPr="002D2F67" w:rsidRDefault="00FF408A" w:rsidP="005611FE">
            <w:pPr>
              <w:pStyle w:val="acctfourfigures"/>
              <w:tabs>
                <w:tab w:val="clear" w:pos="765"/>
              </w:tabs>
              <w:spacing w:line="240" w:lineRule="auto"/>
              <w:ind w:right="-72"/>
              <w:jc w:val="right"/>
              <w:rPr>
                <w:rFonts w:ascii="Arial" w:hAnsi="Arial" w:cs="Arial"/>
                <w:color w:val="000000"/>
                <w:sz w:val="14"/>
                <w:szCs w:val="14"/>
                <w:lang w:bidi="th-TH"/>
              </w:rPr>
            </w:pPr>
          </w:p>
        </w:tc>
        <w:tc>
          <w:tcPr>
            <w:tcW w:w="1134" w:type="dxa"/>
            <w:tcBorders>
              <w:top w:val="single" w:sz="4" w:space="0" w:color="auto"/>
            </w:tcBorders>
            <w:shd w:val="clear" w:color="auto" w:fill="auto"/>
          </w:tcPr>
          <w:p w14:paraId="2956F6A0" w14:textId="77777777" w:rsidR="00FF408A" w:rsidRPr="002D2F67" w:rsidRDefault="00FF408A" w:rsidP="005611FE">
            <w:pPr>
              <w:pStyle w:val="acctfourfigures"/>
              <w:tabs>
                <w:tab w:val="clear" w:pos="765"/>
              </w:tabs>
              <w:spacing w:line="240" w:lineRule="auto"/>
              <w:ind w:right="-72"/>
              <w:jc w:val="right"/>
              <w:rPr>
                <w:rFonts w:ascii="Arial" w:hAnsi="Arial" w:cs="Arial"/>
                <w:color w:val="000000"/>
                <w:sz w:val="14"/>
                <w:szCs w:val="14"/>
                <w:lang w:bidi="th-TH"/>
              </w:rPr>
            </w:pPr>
          </w:p>
        </w:tc>
        <w:tc>
          <w:tcPr>
            <w:tcW w:w="1242" w:type="dxa"/>
            <w:tcBorders>
              <w:top w:val="single" w:sz="4" w:space="0" w:color="auto"/>
            </w:tcBorders>
            <w:shd w:val="clear" w:color="auto" w:fill="auto"/>
          </w:tcPr>
          <w:p w14:paraId="08401FFC" w14:textId="77777777" w:rsidR="00FF408A" w:rsidRPr="002D2F67" w:rsidRDefault="00FF408A" w:rsidP="005611FE">
            <w:pPr>
              <w:pStyle w:val="acctfourfigures"/>
              <w:tabs>
                <w:tab w:val="clear" w:pos="765"/>
              </w:tabs>
              <w:spacing w:line="240" w:lineRule="auto"/>
              <w:ind w:right="-72"/>
              <w:jc w:val="right"/>
              <w:rPr>
                <w:rFonts w:ascii="Arial" w:hAnsi="Arial" w:cs="Arial"/>
                <w:color w:val="000000"/>
                <w:sz w:val="14"/>
                <w:szCs w:val="14"/>
                <w:lang w:bidi="th-TH"/>
              </w:rPr>
            </w:pPr>
          </w:p>
        </w:tc>
      </w:tr>
      <w:tr w:rsidR="00FF408A" w:rsidRPr="002D2F67" w14:paraId="13710493" w14:textId="77777777" w:rsidTr="005611FE">
        <w:trPr>
          <w:cantSplit/>
        </w:trPr>
        <w:tc>
          <w:tcPr>
            <w:tcW w:w="5791" w:type="dxa"/>
            <w:gridSpan w:val="2"/>
            <w:shd w:val="clear" w:color="auto" w:fill="auto"/>
          </w:tcPr>
          <w:p w14:paraId="6D64DD0C" w14:textId="77777777" w:rsidR="00FF408A" w:rsidRPr="002D2F67" w:rsidRDefault="00FF408A" w:rsidP="005611FE">
            <w:pPr>
              <w:pStyle w:val="acctfourfigures"/>
              <w:tabs>
                <w:tab w:val="clear" w:pos="765"/>
                <w:tab w:val="decimal" w:pos="550"/>
              </w:tabs>
              <w:spacing w:line="240" w:lineRule="auto"/>
              <w:ind w:left="141" w:right="-72"/>
              <w:rPr>
                <w:rFonts w:ascii="Arial" w:hAnsi="Arial" w:cs="Arial"/>
                <w:color w:val="000000"/>
                <w:sz w:val="14"/>
                <w:szCs w:val="14"/>
                <w:lang w:bidi="th-TH"/>
              </w:rPr>
            </w:pPr>
            <w:r w:rsidRPr="002D2F67">
              <w:rPr>
                <w:rFonts w:ascii="Arial" w:hAnsi="Arial" w:cs="Arial"/>
                <w:color w:val="000000"/>
                <w:sz w:val="14"/>
                <w:szCs w:val="14"/>
                <w:lang w:bidi="th-TH"/>
              </w:rPr>
              <w:t>The details of direct subsidiaries incorporated in Thailand (continued)</w:t>
            </w:r>
          </w:p>
        </w:tc>
        <w:tc>
          <w:tcPr>
            <w:tcW w:w="1024" w:type="dxa"/>
            <w:shd w:val="clear" w:color="auto" w:fill="auto"/>
          </w:tcPr>
          <w:p w14:paraId="5180FCC2" w14:textId="77777777" w:rsidR="00FF408A" w:rsidRPr="002D2F67" w:rsidRDefault="00FF408A" w:rsidP="005611FE">
            <w:pPr>
              <w:pStyle w:val="acctfourfigures"/>
              <w:tabs>
                <w:tab w:val="clear" w:pos="765"/>
              </w:tabs>
              <w:spacing w:line="240" w:lineRule="auto"/>
              <w:ind w:right="-72"/>
              <w:jc w:val="right"/>
              <w:rPr>
                <w:rFonts w:ascii="Arial" w:hAnsi="Arial" w:cs="Arial"/>
                <w:color w:val="000000"/>
                <w:sz w:val="14"/>
                <w:szCs w:val="14"/>
                <w:lang w:bidi="th-TH"/>
              </w:rPr>
            </w:pPr>
          </w:p>
        </w:tc>
        <w:tc>
          <w:tcPr>
            <w:tcW w:w="1024" w:type="dxa"/>
            <w:shd w:val="clear" w:color="auto" w:fill="auto"/>
          </w:tcPr>
          <w:p w14:paraId="5C6D91CA" w14:textId="77777777" w:rsidR="00FF408A" w:rsidRPr="002D2F67" w:rsidRDefault="00FF408A" w:rsidP="005611FE">
            <w:pPr>
              <w:pStyle w:val="acctfourfigures"/>
              <w:tabs>
                <w:tab w:val="clear" w:pos="765"/>
              </w:tabs>
              <w:spacing w:line="240" w:lineRule="auto"/>
              <w:ind w:right="-72"/>
              <w:jc w:val="right"/>
              <w:rPr>
                <w:rFonts w:ascii="Arial" w:hAnsi="Arial" w:cs="Arial"/>
                <w:color w:val="000000"/>
                <w:sz w:val="14"/>
                <w:szCs w:val="14"/>
                <w:lang w:bidi="th-TH"/>
              </w:rPr>
            </w:pPr>
          </w:p>
        </w:tc>
        <w:tc>
          <w:tcPr>
            <w:tcW w:w="1024" w:type="dxa"/>
            <w:shd w:val="clear" w:color="auto" w:fill="auto"/>
          </w:tcPr>
          <w:p w14:paraId="727EE120" w14:textId="77777777" w:rsidR="00FF408A" w:rsidRPr="002D2F67" w:rsidRDefault="00FF408A" w:rsidP="005611FE">
            <w:pPr>
              <w:pStyle w:val="acctfourfigures"/>
              <w:tabs>
                <w:tab w:val="clear" w:pos="765"/>
              </w:tabs>
              <w:spacing w:line="240" w:lineRule="auto"/>
              <w:ind w:right="-72"/>
              <w:jc w:val="right"/>
              <w:rPr>
                <w:rFonts w:ascii="Arial" w:hAnsi="Arial" w:cs="Arial"/>
                <w:color w:val="000000"/>
                <w:sz w:val="14"/>
                <w:szCs w:val="14"/>
                <w:lang w:bidi="th-TH"/>
              </w:rPr>
            </w:pPr>
          </w:p>
        </w:tc>
        <w:tc>
          <w:tcPr>
            <w:tcW w:w="1024" w:type="dxa"/>
            <w:shd w:val="clear" w:color="auto" w:fill="auto"/>
          </w:tcPr>
          <w:p w14:paraId="088F744D" w14:textId="77777777" w:rsidR="00FF408A" w:rsidRPr="002D2F67" w:rsidRDefault="00FF408A" w:rsidP="005611FE">
            <w:pPr>
              <w:pStyle w:val="acctfourfigures"/>
              <w:tabs>
                <w:tab w:val="clear" w:pos="765"/>
              </w:tabs>
              <w:spacing w:line="240" w:lineRule="auto"/>
              <w:ind w:right="-72"/>
              <w:jc w:val="right"/>
              <w:rPr>
                <w:rFonts w:ascii="Arial" w:hAnsi="Arial" w:cs="Arial"/>
                <w:color w:val="000000"/>
                <w:sz w:val="14"/>
                <w:szCs w:val="14"/>
                <w:lang w:bidi="th-TH"/>
              </w:rPr>
            </w:pPr>
          </w:p>
        </w:tc>
        <w:tc>
          <w:tcPr>
            <w:tcW w:w="1145" w:type="dxa"/>
            <w:shd w:val="clear" w:color="auto" w:fill="auto"/>
          </w:tcPr>
          <w:p w14:paraId="026D6234" w14:textId="77777777" w:rsidR="00FF408A" w:rsidRPr="002D2F67" w:rsidRDefault="00FF408A" w:rsidP="005611FE">
            <w:pPr>
              <w:pStyle w:val="acctfourfigures"/>
              <w:tabs>
                <w:tab w:val="clear" w:pos="765"/>
              </w:tabs>
              <w:spacing w:line="240" w:lineRule="auto"/>
              <w:ind w:right="-72"/>
              <w:jc w:val="right"/>
              <w:rPr>
                <w:rFonts w:ascii="Arial" w:hAnsi="Arial" w:cs="Arial"/>
                <w:color w:val="000000"/>
                <w:sz w:val="14"/>
                <w:szCs w:val="14"/>
                <w:lang w:bidi="th-TH"/>
              </w:rPr>
            </w:pPr>
          </w:p>
        </w:tc>
        <w:tc>
          <w:tcPr>
            <w:tcW w:w="1134" w:type="dxa"/>
            <w:shd w:val="clear" w:color="auto" w:fill="auto"/>
          </w:tcPr>
          <w:p w14:paraId="395D0928" w14:textId="77777777" w:rsidR="00FF408A" w:rsidRPr="002D2F67" w:rsidRDefault="00FF408A" w:rsidP="005611FE">
            <w:pPr>
              <w:pStyle w:val="acctfourfigures"/>
              <w:tabs>
                <w:tab w:val="clear" w:pos="765"/>
              </w:tabs>
              <w:spacing w:line="240" w:lineRule="auto"/>
              <w:ind w:right="-72"/>
              <w:jc w:val="right"/>
              <w:rPr>
                <w:rFonts w:ascii="Arial" w:hAnsi="Arial" w:cs="Arial"/>
                <w:color w:val="000000"/>
                <w:sz w:val="14"/>
                <w:szCs w:val="14"/>
                <w:lang w:bidi="th-TH"/>
              </w:rPr>
            </w:pPr>
          </w:p>
        </w:tc>
        <w:tc>
          <w:tcPr>
            <w:tcW w:w="1134" w:type="dxa"/>
            <w:shd w:val="clear" w:color="auto" w:fill="auto"/>
          </w:tcPr>
          <w:p w14:paraId="41351A13" w14:textId="77777777" w:rsidR="00FF408A" w:rsidRPr="002D2F67" w:rsidRDefault="00FF408A" w:rsidP="005611FE">
            <w:pPr>
              <w:pStyle w:val="acctfourfigures"/>
              <w:tabs>
                <w:tab w:val="clear" w:pos="765"/>
              </w:tabs>
              <w:spacing w:line="240" w:lineRule="auto"/>
              <w:ind w:right="-72"/>
              <w:jc w:val="right"/>
              <w:rPr>
                <w:rFonts w:ascii="Arial" w:hAnsi="Arial" w:cs="Arial"/>
                <w:color w:val="000000"/>
                <w:sz w:val="14"/>
                <w:szCs w:val="14"/>
                <w:lang w:bidi="th-TH"/>
              </w:rPr>
            </w:pPr>
          </w:p>
        </w:tc>
        <w:tc>
          <w:tcPr>
            <w:tcW w:w="1242" w:type="dxa"/>
            <w:shd w:val="clear" w:color="auto" w:fill="auto"/>
          </w:tcPr>
          <w:p w14:paraId="2D3633E1" w14:textId="77777777" w:rsidR="00FF408A" w:rsidRPr="002D2F67" w:rsidRDefault="00FF408A" w:rsidP="005611FE">
            <w:pPr>
              <w:pStyle w:val="acctfourfigures"/>
              <w:tabs>
                <w:tab w:val="clear" w:pos="765"/>
              </w:tabs>
              <w:spacing w:line="240" w:lineRule="auto"/>
              <w:ind w:right="-72"/>
              <w:jc w:val="right"/>
              <w:rPr>
                <w:rFonts w:ascii="Arial" w:hAnsi="Arial" w:cs="Arial"/>
                <w:color w:val="000000"/>
                <w:sz w:val="14"/>
                <w:szCs w:val="14"/>
                <w:lang w:bidi="th-TH"/>
              </w:rPr>
            </w:pPr>
          </w:p>
        </w:tc>
      </w:tr>
      <w:tr w:rsidR="00FF408A" w:rsidRPr="002D2F67" w14:paraId="47CC60BF" w14:textId="77777777" w:rsidTr="005611FE">
        <w:trPr>
          <w:cantSplit/>
          <w:trHeight w:val="80"/>
        </w:trPr>
        <w:tc>
          <w:tcPr>
            <w:tcW w:w="5791" w:type="dxa"/>
            <w:gridSpan w:val="2"/>
            <w:shd w:val="clear" w:color="auto" w:fill="auto"/>
          </w:tcPr>
          <w:p w14:paraId="71C939F7" w14:textId="77777777" w:rsidR="00FF408A" w:rsidRPr="002D2F67" w:rsidRDefault="00FF408A" w:rsidP="005611FE">
            <w:pPr>
              <w:pStyle w:val="acctfourfigures"/>
              <w:tabs>
                <w:tab w:val="clear" w:pos="765"/>
                <w:tab w:val="decimal" w:pos="550"/>
              </w:tabs>
              <w:spacing w:line="240" w:lineRule="auto"/>
              <w:ind w:left="141" w:right="-72"/>
              <w:rPr>
                <w:rFonts w:ascii="Arial" w:hAnsi="Arial" w:cs="Arial"/>
                <w:color w:val="000000"/>
                <w:sz w:val="12"/>
                <w:szCs w:val="12"/>
                <w:lang w:bidi="th-TH"/>
              </w:rPr>
            </w:pPr>
          </w:p>
        </w:tc>
        <w:tc>
          <w:tcPr>
            <w:tcW w:w="1024" w:type="dxa"/>
            <w:shd w:val="clear" w:color="auto" w:fill="auto"/>
          </w:tcPr>
          <w:p w14:paraId="4FC1AC45" w14:textId="77777777" w:rsidR="00FF408A" w:rsidRPr="002D2F67" w:rsidRDefault="00FF408A" w:rsidP="005611FE">
            <w:pPr>
              <w:pStyle w:val="acctfourfigures"/>
              <w:tabs>
                <w:tab w:val="clear" w:pos="765"/>
              </w:tabs>
              <w:spacing w:line="240" w:lineRule="auto"/>
              <w:ind w:right="-72"/>
              <w:jc w:val="right"/>
              <w:rPr>
                <w:rFonts w:ascii="Arial" w:hAnsi="Arial" w:cs="Arial"/>
                <w:color w:val="000000"/>
                <w:sz w:val="12"/>
                <w:szCs w:val="12"/>
                <w:lang w:bidi="th-TH"/>
              </w:rPr>
            </w:pPr>
          </w:p>
        </w:tc>
        <w:tc>
          <w:tcPr>
            <w:tcW w:w="1024" w:type="dxa"/>
            <w:shd w:val="clear" w:color="auto" w:fill="auto"/>
          </w:tcPr>
          <w:p w14:paraId="53FAB080" w14:textId="77777777" w:rsidR="00FF408A" w:rsidRPr="002D2F67" w:rsidRDefault="00FF408A" w:rsidP="005611FE">
            <w:pPr>
              <w:pStyle w:val="acctfourfigures"/>
              <w:tabs>
                <w:tab w:val="clear" w:pos="765"/>
              </w:tabs>
              <w:spacing w:line="240" w:lineRule="auto"/>
              <w:ind w:right="-72"/>
              <w:jc w:val="right"/>
              <w:rPr>
                <w:rFonts w:ascii="Arial" w:hAnsi="Arial" w:cs="Arial"/>
                <w:color w:val="000000"/>
                <w:sz w:val="12"/>
                <w:szCs w:val="12"/>
                <w:lang w:bidi="th-TH"/>
              </w:rPr>
            </w:pPr>
          </w:p>
        </w:tc>
        <w:tc>
          <w:tcPr>
            <w:tcW w:w="1024" w:type="dxa"/>
            <w:shd w:val="clear" w:color="auto" w:fill="auto"/>
          </w:tcPr>
          <w:p w14:paraId="53520BBF" w14:textId="77777777" w:rsidR="00FF408A" w:rsidRPr="002D2F67" w:rsidRDefault="00FF408A" w:rsidP="005611FE">
            <w:pPr>
              <w:pStyle w:val="acctfourfigures"/>
              <w:tabs>
                <w:tab w:val="clear" w:pos="765"/>
              </w:tabs>
              <w:spacing w:line="240" w:lineRule="auto"/>
              <w:ind w:right="-72"/>
              <w:jc w:val="right"/>
              <w:rPr>
                <w:rFonts w:ascii="Arial" w:hAnsi="Arial" w:cs="Arial"/>
                <w:color w:val="000000"/>
                <w:sz w:val="12"/>
                <w:szCs w:val="12"/>
                <w:lang w:bidi="th-TH"/>
              </w:rPr>
            </w:pPr>
          </w:p>
        </w:tc>
        <w:tc>
          <w:tcPr>
            <w:tcW w:w="1024" w:type="dxa"/>
            <w:shd w:val="clear" w:color="auto" w:fill="auto"/>
          </w:tcPr>
          <w:p w14:paraId="0D9971C9" w14:textId="77777777" w:rsidR="00FF408A" w:rsidRPr="002D2F67" w:rsidRDefault="00FF408A" w:rsidP="005611FE">
            <w:pPr>
              <w:pStyle w:val="acctfourfigures"/>
              <w:tabs>
                <w:tab w:val="clear" w:pos="765"/>
              </w:tabs>
              <w:spacing w:line="240" w:lineRule="auto"/>
              <w:ind w:right="-72"/>
              <w:jc w:val="right"/>
              <w:rPr>
                <w:rFonts w:ascii="Arial" w:hAnsi="Arial" w:cs="Arial"/>
                <w:color w:val="000000"/>
                <w:sz w:val="12"/>
                <w:szCs w:val="12"/>
                <w:lang w:bidi="th-TH"/>
              </w:rPr>
            </w:pPr>
          </w:p>
        </w:tc>
        <w:tc>
          <w:tcPr>
            <w:tcW w:w="1145" w:type="dxa"/>
            <w:shd w:val="clear" w:color="auto" w:fill="auto"/>
          </w:tcPr>
          <w:p w14:paraId="52AEE5DD" w14:textId="77777777" w:rsidR="00FF408A" w:rsidRPr="002D2F67" w:rsidRDefault="00FF408A" w:rsidP="005611FE">
            <w:pPr>
              <w:pStyle w:val="acctfourfigures"/>
              <w:tabs>
                <w:tab w:val="clear" w:pos="765"/>
              </w:tabs>
              <w:spacing w:line="240" w:lineRule="auto"/>
              <w:ind w:right="-72"/>
              <w:jc w:val="right"/>
              <w:rPr>
                <w:rFonts w:ascii="Arial" w:hAnsi="Arial" w:cs="Arial"/>
                <w:color w:val="000000"/>
                <w:sz w:val="12"/>
                <w:szCs w:val="12"/>
                <w:lang w:bidi="th-TH"/>
              </w:rPr>
            </w:pPr>
          </w:p>
        </w:tc>
        <w:tc>
          <w:tcPr>
            <w:tcW w:w="1134" w:type="dxa"/>
            <w:shd w:val="clear" w:color="auto" w:fill="auto"/>
          </w:tcPr>
          <w:p w14:paraId="1AB531D2" w14:textId="77777777" w:rsidR="00FF408A" w:rsidRPr="002D2F67" w:rsidRDefault="00FF408A" w:rsidP="005611FE">
            <w:pPr>
              <w:pStyle w:val="acctfourfigures"/>
              <w:tabs>
                <w:tab w:val="clear" w:pos="765"/>
              </w:tabs>
              <w:spacing w:line="240" w:lineRule="auto"/>
              <w:ind w:right="-72"/>
              <w:jc w:val="right"/>
              <w:rPr>
                <w:rFonts w:ascii="Arial" w:hAnsi="Arial" w:cs="Arial"/>
                <w:color w:val="000000"/>
                <w:sz w:val="12"/>
                <w:szCs w:val="12"/>
                <w:lang w:bidi="th-TH"/>
              </w:rPr>
            </w:pPr>
          </w:p>
        </w:tc>
        <w:tc>
          <w:tcPr>
            <w:tcW w:w="1134" w:type="dxa"/>
            <w:shd w:val="clear" w:color="auto" w:fill="auto"/>
          </w:tcPr>
          <w:p w14:paraId="3444F34C" w14:textId="77777777" w:rsidR="00FF408A" w:rsidRPr="002D2F67" w:rsidRDefault="00FF408A" w:rsidP="005611FE">
            <w:pPr>
              <w:pStyle w:val="acctfourfigures"/>
              <w:tabs>
                <w:tab w:val="clear" w:pos="765"/>
              </w:tabs>
              <w:spacing w:line="240" w:lineRule="auto"/>
              <w:ind w:right="-72"/>
              <w:jc w:val="right"/>
              <w:rPr>
                <w:rFonts w:ascii="Arial" w:hAnsi="Arial" w:cs="Arial"/>
                <w:color w:val="000000"/>
                <w:sz w:val="12"/>
                <w:szCs w:val="12"/>
                <w:lang w:bidi="th-TH"/>
              </w:rPr>
            </w:pPr>
          </w:p>
        </w:tc>
        <w:tc>
          <w:tcPr>
            <w:tcW w:w="1242" w:type="dxa"/>
            <w:shd w:val="clear" w:color="auto" w:fill="auto"/>
          </w:tcPr>
          <w:p w14:paraId="54367251" w14:textId="77777777" w:rsidR="00FF408A" w:rsidRPr="002D2F67" w:rsidRDefault="00FF408A" w:rsidP="005611FE">
            <w:pPr>
              <w:pStyle w:val="acctfourfigures"/>
              <w:tabs>
                <w:tab w:val="clear" w:pos="765"/>
              </w:tabs>
              <w:spacing w:line="240" w:lineRule="auto"/>
              <w:ind w:right="-72"/>
              <w:jc w:val="right"/>
              <w:rPr>
                <w:rFonts w:ascii="Arial" w:hAnsi="Arial" w:cs="Arial"/>
                <w:color w:val="000000"/>
                <w:sz w:val="12"/>
                <w:szCs w:val="12"/>
                <w:lang w:bidi="th-TH"/>
              </w:rPr>
            </w:pPr>
          </w:p>
        </w:tc>
      </w:tr>
      <w:tr w:rsidR="000329D7" w:rsidRPr="002D2F67" w14:paraId="3295F7F5" w14:textId="77777777" w:rsidTr="005611FE">
        <w:trPr>
          <w:cantSplit/>
          <w:trHeight w:val="57"/>
        </w:trPr>
        <w:tc>
          <w:tcPr>
            <w:tcW w:w="2551" w:type="dxa"/>
            <w:shd w:val="clear" w:color="auto" w:fill="auto"/>
          </w:tcPr>
          <w:p w14:paraId="1BF51E4A" w14:textId="45CFBF38" w:rsidR="000329D7" w:rsidRPr="002D2F67" w:rsidRDefault="000329D7" w:rsidP="000329D7">
            <w:pPr>
              <w:ind w:left="148" w:right="-208"/>
              <w:rPr>
                <w:rFonts w:ascii="Arial" w:hAnsi="Arial" w:cs="Arial"/>
                <w:color w:val="000000"/>
                <w:sz w:val="14"/>
                <w:szCs w:val="14"/>
              </w:rPr>
            </w:pPr>
            <w:r w:rsidRPr="002D2F67">
              <w:rPr>
                <w:rFonts w:ascii="Arial" w:hAnsi="Arial" w:cs="Arial"/>
                <w:color w:val="000000"/>
                <w:sz w:val="14"/>
                <w:szCs w:val="14"/>
              </w:rPr>
              <w:t>EA Mobility Holding Co., Ltd.</w:t>
            </w:r>
            <w:r w:rsidRPr="002D2F67">
              <w:rPr>
                <w:rFonts w:ascii="Arial" w:hAnsi="Arial" w:cs="Arial"/>
                <w:color w:val="000000"/>
                <w:spacing w:val="-4"/>
                <w:sz w:val="14"/>
                <w:szCs w:val="14"/>
              </w:rPr>
              <w:t xml:space="preserve"> </w:t>
            </w:r>
          </w:p>
        </w:tc>
        <w:tc>
          <w:tcPr>
            <w:tcW w:w="3240" w:type="dxa"/>
            <w:shd w:val="clear" w:color="auto" w:fill="auto"/>
          </w:tcPr>
          <w:p w14:paraId="2597C81D" w14:textId="7413500B" w:rsidR="000329D7" w:rsidRPr="002D2F67" w:rsidRDefault="000329D7" w:rsidP="001260AE">
            <w:pPr>
              <w:ind w:left="119" w:hanging="119"/>
              <w:rPr>
                <w:rFonts w:ascii="Arial" w:hAnsi="Arial" w:cs="Arial"/>
                <w:color w:val="000000"/>
                <w:sz w:val="14"/>
                <w:szCs w:val="14"/>
                <w:cs/>
              </w:rPr>
            </w:pPr>
            <w:r w:rsidRPr="002D2F67">
              <w:rPr>
                <w:rFonts w:ascii="Arial" w:hAnsi="Arial" w:cs="Arial"/>
                <w:color w:val="000000"/>
                <w:sz w:val="14"/>
                <w:szCs w:val="14"/>
              </w:rPr>
              <w:t>Investing in electric vehicle business</w:t>
            </w:r>
            <w:r w:rsidR="001260AE" w:rsidRPr="002D2F67">
              <w:rPr>
                <w:rFonts w:ascii="Arial" w:hAnsi="Arial" w:cs="Arial"/>
                <w:color w:val="000000"/>
                <w:sz w:val="14"/>
                <w:szCs w:val="14"/>
              </w:rPr>
              <w:t xml:space="preserve"> and related businesses</w:t>
            </w:r>
          </w:p>
        </w:tc>
        <w:tc>
          <w:tcPr>
            <w:tcW w:w="1024" w:type="dxa"/>
            <w:shd w:val="clear" w:color="auto" w:fill="auto"/>
          </w:tcPr>
          <w:p w14:paraId="4AE4C219" w14:textId="5984955A" w:rsidR="000329D7" w:rsidRPr="002D2F67" w:rsidRDefault="00CD5714" w:rsidP="000329D7">
            <w:pPr>
              <w:ind w:right="-72"/>
              <w:jc w:val="right"/>
              <w:rPr>
                <w:rFonts w:ascii="Arial" w:hAnsi="Arial" w:cs="Arial"/>
                <w:color w:val="000000"/>
                <w:sz w:val="14"/>
                <w:szCs w:val="14"/>
              </w:rPr>
            </w:pPr>
            <w:r w:rsidRPr="00CD5714">
              <w:rPr>
                <w:rFonts w:ascii="Arial" w:hAnsi="Arial" w:cs="Arial"/>
                <w:color w:val="000000"/>
                <w:sz w:val="14"/>
                <w:szCs w:val="14"/>
                <w:lang w:val="en-GB"/>
              </w:rPr>
              <w:t>99</w:t>
            </w:r>
            <w:r w:rsidR="000329D7"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024" w:type="dxa"/>
            <w:shd w:val="clear" w:color="auto" w:fill="auto"/>
          </w:tcPr>
          <w:p w14:paraId="44F71073" w14:textId="6B5813E1" w:rsidR="000329D7" w:rsidRPr="002D2F67" w:rsidRDefault="00CD5714" w:rsidP="000329D7">
            <w:pPr>
              <w:ind w:right="-72"/>
              <w:jc w:val="right"/>
              <w:rPr>
                <w:rFonts w:ascii="Arial" w:hAnsi="Arial" w:cs="Arial"/>
                <w:color w:val="000000"/>
                <w:sz w:val="14"/>
                <w:szCs w:val="14"/>
              </w:rPr>
            </w:pPr>
            <w:r w:rsidRPr="00CD5714">
              <w:rPr>
                <w:rFonts w:ascii="Arial" w:hAnsi="Arial" w:cs="Arial"/>
                <w:color w:val="000000"/>
                <w:sz w:val="14"/>
                <w:szCs w:val="14"/>
                <w:lang w:val="en-GB"/>
              </w:rPr>
              <w:t>99</w:t>
            </w:r>
            <w:r w:rsidR="000329D7"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024" w:type="dxa"/>
            <w:shd w:val="clear" w:color="auto" w:fill="auto"/>
          </w:tcPr>
          <w:p w14:paraId="553EDDAC" w14:textId="578E2FEB" w:rsidR="000329D7" w:rsidRPr="002D2F67" w:rsidRDefault="000329D7" w:rsidP="000329D7">
            <w:pPr>
              <w:ind w:right="-72"/>
              <w:jc w:val="right"/>
              <w:rPr>
                <w:rFonts w:ascii="Arial" w:hAnsi="Arial" w:cs="Arial"/>
                <w:color w:val="000000"/>
                <w:sz w:val="14"/>
                <w:szCs w:val="14"/>
              </w:rPr>
            </w:pPr>
            <w:r w:rsidRPr="002D2F67">
              <w:rPr>
                <w:rFonts w:ascii="Arial" w:hAnsi="Arial" w:cs="Arial"/>
                <w:color w:val="000000"/>
                <w:sz w:val="14"/>
                <w:szCs w:val="14"/>
              </w:rPr>
              <w:t>-</w:t>
            </w:r>
          </w:p>
        </w:tc>
        <w:tc>
          <w:tcPr>
            <w:tcW w:w="1024" w:type="dxa"/>
            <w:shd w:val="clear" w:color="auto" w:fill="auto"/>
          </w:tcPr>
          <w:p w14:paraId="67CAFDC7" w14:textId="6D5B454C" w:rsidR="000329D7" w:rsidRPr="002D2F67" w:rsidRDefault="000329D7" w:rsidP="000329D7">
            <w:pPr>
              <w:ind w:right="-72"/>
              <w:jc w:val="right"/>
              <w:rPr>
                <w:rFonts w:ascii="Arial" w:hAnsi="Arial" w:cs="Arial"/>
                <w:color w:val="000000"/>
                <w:sz w:val="14"/>
                <w:szCs w:val="14"/>
              </w:rPr>
            </w:pPr>
            <w:r w:rsidRPr="002D2F67">
              <w:rPr>
                <w:rFonts w:ascii="Arial" w:hAnsi="Arial" w:cs="Arial"/>
                <w:color w:val="000000"/>
                <w:sz w:val="14"/>
                <w:szCs w:val="14"/>
              </w:rPr>
              <w:t>-</w:t>
            </w:r>
          </w:p>
        </w:tc>
        <w:tc>
          <w:tcPr>
            <w:tcW w:w="1145" w:type="dxa"/>
            <w:shd w:val="clear" w:color="auto" w:fill="auto"/>
          </w:tcPr>
          <w:p w14:paraId="7176A384" w14:textId="188BAEA7" w:rsidR="000329D7" w:rsidRPr="002D2F67" w:rsidRDefault="00CD5714" w:rsidP="000329D7">
            <w:pPr>
              <w:pStyle w:val="acctfourfigures"/>
              <w:tabs>
                <w:tab w:val="clear" w:pos="765"/>
                <w:tab w:val="decimal" w:pos="550"/>
              </w:tabs>
              <w:spacing w:line="240" w:lineRule="auto"/>
              <w:ind w:right="-72"/>
              <w:jc w:val="right"/>
              <w:rPr>
                <w:rFonts w:ascii="Arial" w:hAnsi="Arial" w:cs="Arial"/>
                <w:noProof/>
                <w:color w:val="000000"/>
                <w:sz w:val="14"/>
                <w:szCs w:val="14"/>
              </w:rPr>
            </w:pPr>
            <w:r w:rsidRPr="00CD5714">
              <w:rPr>
                <w:rFonts w:ascii="Arial" w:hAnsi="Arial" w:cs="Arial"/>
                <w:noProof/>
                <w:color w:val="000000"/>
                <w:sz w:val="14"/>
                <w:szCs w:val="14"/>
                <w:lang w:val="en-GB"/>
              </w:rPr>
              <w:t>8</w:t>
            </w:r>
            <w:r w:rsidR="000329D7" w:rsidRPr="002D2F67">
              <w:rPr>
                <w:rFonts w:ascii="Arial" w:hAnsi="Arial" w:cs="Arial"/>
                <w:noProof/>
                <w:color w:val="000000"/>
                <w:sz w:val="14"/>
                <w:szCs w:val="14"/>
              </w:rPr>
              <w:t>,</w:t>
            </w:r>
            <w:r w:rsidRPr="00CD5714">
              <w:rPr>
                <w:rFonts w:ascii="Arial" w:hAnsi="Arial" w:cs="Arial"/>
                <w:noProof/>
                <w:color w:val="000000"/>
                <w:sz w:val="14"/>
                <w:szCs w:val="14"/>
                <w:lang w:val="en-GB"/>
              </w:rPr>
              <w:t>087</w:t>
            </w:r>
            <w:r w:rsidR="000329D7" w:rsidRPr="002D2F67">
              <w:rPr>
                <w:rFonts w:ascii="Arial" w:hAnsi="Arial" w:cs="Arial"/>
                <w:noProof/>
                <w:color w:val="000000"/>
                <w:sz w:val="14"/>
                <w:szCs w:val="14"/>
              </w:rPr>
              <w:t>,</w:t>
            </w:r>
            <w:r w:rsidRPr="00CD5714">
              <w:rPr>
                <w:rFonts w:ascii="Arial" w:hAnsi="Arial" w:cs="Arial"/>
                <w:noProof/>
                <w:color w:val="000000"/>
                <w:sz w:val="14"/>
                <w:szCs w:val="14"/>
                <w:lang w:val="en-GB"/>
              </w:rPr>
              <w:t>470</w:t>
            </w:r>
          </w:p>
        </w:tc>
        <w:tc>
          <w:tcPr>
            <w:tcW w:w="1134" w:type="dxa"/>
            <w:shd w:val="clear" w:color="auto" w:fill="auto"/>
          </w:tcPr>
          <w:p w14:paraId="6F6BF231" w14:textId="634DEEA5" w:rsidR="000329D7" w:rsidRPr="002D2F67" w:rsidRDefault="00CD5714" w:rsidP="000329D7">
            <w:pPr>
              <w:pStyle w:val="acctfourfigures"/>
              <w:tabs>
                <w:tab w:val="clear" w:pos="765"/>
                <w:tab w:val="decimal" w:pos="550"/>
              </w:tabs>
              <w:spacing w:line="240" w:lineRule="auto"/>
              <w:ind w:right="-72"/>
              <w:jc w:val="right"/>
              <w:rPr>
                <w:rFonts w:ascii="Arial" w:hAnsi="Arial" w:cs="Arial"/>
                <w:noProof/>
                <w:color w:val="000000"/>
                <w:sz w:val="14"/>
                <w:szCs w:val="14"/>
              </w:rPr>
            </w:pPr>
            <w:r w:rsidRPr="00CD5714">
              <w:rPr>
                <w:rFonts w:ascii="Arial" w:hAnsi="Arial" w:cs="Arial"/>
                <w:noProof/>
                <w:color w:val="000000"/>
                <w:sz w:val="14"/>
                <w:szCs w:val="14"/>
                <w:lang w:val="en-GB"/>
              </w:rPr>
              <w:t>7</w:t>
            </w:r>
            <w:r w:rsidR="000329D7" w:rsidRPr="002D2F67">
              <w:rPr>
                <w:rFonts w:ascii="Arial" w:hAnsi="Arial" w:cs="Arial"/>
                <w:noProof/>
                <w:color w:val="000000"/>
                <w:sz w:val="14"/>
                <w:szCs w:val="14"/>
              </w:rPr>
              <w:t>,</w:t>
            </w:r>
            <w:r w:rsidRPr="00CD5714">
              <w:rPr>
                <w:rFonts w:ascii="Arial" w:hAnsi="Arial" w:cs="Arial"/>
                <w:noProof/>
                <w:color w:val="000000"/>
                <w:sz w:val="14"/>
                <w:szCs w:val="14"/>
                <w:lang w:val="en-GB"/>
              </w:rPr>
              <w:t>963</w:t>
            </w:r>
            <w:r w:rsidR="000329D7" w:rsidRPr="002D2F67">
              <w:rPr>
                <w:rFonts w:ascii="Arial" w:hAnsi="Arial" w:cs="Arial"/>
                <w:noProof/>
                <w:color w:val="000000"/>
                <w:sz w:val="14"/>
                <w:szCs w:val="14"/>
              </w:rPr>
              <w:t>,</w:t>
            </w:r>
            <w:r w:rsidRPr="00CD5714">
              <w:rPr>
                <w:rFonts w:ascii="Arial" w:hAnsi="Arial" w:cs="Arial"/>
                <w:noProof/>
                <w:color w:val="000000"/>
                <w:sz w:val="14"/>
                <w:szCs w:val="14"/>
                <w:lang w:val="en-GB"/>
              </w:rPr>
              <w:t>470</w:t>
            </w:r>
          </w:p>
        </w:tc>
        <w:tc>
          <w:tcPr>
            <w:tcW w:w="1134" w:type="dxa"/>
            <w:shd w:val="clear" w:color="auto" w:fill="auto"/>
          </w:tcPr>
          <w:p w14:paraId="1B3729BB" w14:textId="32A5ED31" w:rsidR="000329D7" w:rsidRPr="002D2F67" w:rsidRDefault="000329D7" w:rsidP="000329D7">
            <w:pPr>
              <w:pStyle w:val="acctfourfigures"/>
              <w:tabs>
                <w:tab w:val="clear" w:pos="765"/>
                <w:tab w:val="decimal" w:pos="533"/>
              </w:tabs>
              <w:spacing w:line="240" w:lineRule="auto"/>
              <w:ind w:right="-72"/>
              <w:jc w:val="right"/>
              <w:rPr>
                <w:rFonts w:ascii="Arial" w:hAnsi="Arial" w:cs="Arial"/>
                <w:noProof/>
                <w:color w:val="000000"/>
                <w:sz w:val="14"/>
                <w:szCs w:val="14"/>
              </w:rPr>
            </w:pPr>
            <w:r w:rsidRPr="002D2F67">
              <w:rPr>
                <w:rFonts w:ascii="Arial" w:hAnsi="Arial" w:cs="Arial"/>
                <w:noProof/>
                <w:color w:val="000000"/>
                <w:sz w:val="14"/>
                <w:szCs w:val="14"/>
              </w:rPr>
              <w:t>-</w:t>
            </w:r>
          </w:p>
        </w:tc>
        <w:tc>
          <w:tcPr>
            <w:tcW w:w="1242" w:type="dxa"/>
            <w:shd w:val="clear" w:color="auto" w:fill="auto"/>
          </w:tcPr>
          <w:p w14:paraId="2E489C03" w14:textId="074297F0" w:rsidR="000329D7" w:rsidRPr="002D2F67" w:rsidRDefault="000329D7" w:rsidP="000329D7">
            <w:pPr>
              <w:pStyle w:val="acctfourfigures"/>
              <w:tabs>
                <w:tab w:val="clear" w:pos="765"/>
                <w:tab w:val="decimal" w:pos="533"/>
              </w:tabs>
              <w:spacing w:line="240" w:lineRule="auto"/>
              <w:ind w:right="-72"/>
              <w:jc w:val="right"/>
              <w:rPr>
                <w:rFonts w:ascii="Arial" w:hAnsi="Arial" w:cs="Arial"/>
                <w:noProof/>
                <w:color w:val="000000"/>
                <w:sz w:val="14"/>
                <w:szCs w:val="14"/>
              </w:rPr>
            </w:pPr>
            <w:r w:rsidRPr="002D2F67">
              <w:rPr>
                <w:rFonts w:ascii="Arial" w:hAnsi="Arial" w:cs="Arial"/>
                <w:noProof/>
                <w:color w:val="000000"/>
                <w:sz w:val="14"/>
                <w:szCs w:val="14"/>
              </w:rPr>
              <w:t>-</w:t>
            </w:r>
          </w:p>
        </w:tc>
      </w:tr>
      <w:tr w:rsidR="000329D7" w:rsidRPr="002D2F67" w14:paraId="4E9E08BD" w14:textId="77777777" w:rsidTr="005611FE">
        <w:trPr>
          <w:cantSplit/>
          <w:trHeight w:val="261"/>
        </w:trPr>
        <w:tc>
          <w:tcPr>
            <w:tcW w:w="2551" w:type="dxa"/>
            <w:shd w:val="clear" w:color="auto" w:fill="auto"/>
          </w:tcPr>
          <w:p w14:paraId="3E5635D0" w14:textId="77777777" w:rsidR="000329D7" w:rsidRPr="002D2F67" w:rsidRDefault="000329D7" w:rsidP="000329D7">
            <w:pPr>
              <w:ind w:left="148" w:right="-208"/>
              <w:rPr>
                <w:rFonts w:ascii="Arial" w:hAnsi="Arial" w:cs="Arial"/>
                <w:color w:val="000000"/>
                <w:sz w:val="14"/>
                <w:szCs w:val="14"/>
              </w:rPr>
            </w:pPr>
            <w:r w:rsidRPr="002D2F67">
              <w:rPr>
                <w:rFonts w:ascii="Arial" w:hAnsi="Arial" w:cs="Arial"/>
                <w:color w:val="000000"/>
                <w:sz w:val="14"/>
                <w:szCs w:val="14"/>
              </w:rPr>
              <w:t>EA Waste Management Co., Ltd.</w:t>
            </w:r>
          </w:p>
        </w:tc>
        <w:tc>
          <w:tcPr>
            <w:tcW w:w="3240" w:type="dxa"/>
            <w:shd w:val="clear" w:color="auto" w:fill="auto"/>
          </w:tcPr>
          <w:p w14:paraId="0C5B552A" w14:textId="77777777" w:rsidR="000329D7" w:rsidRPr="002D2F67" w:rsidRDefault="000329D7" w:rsidP="000329D7">
            <w:pPr>
              <w:rPr>
                <w:rFonts w:ascii="Arial" w:hAnsi="Arial" w:cs="Arial"/>
                <w:color w:val="000000"/>
                <w:sz w:val="14"/>
                <w:szCs w:val="14"/>
              </w:rPr>
            </w:pPr>
            <w:r w:rsidRPr="002D2F67">
              <w:rPr>
                <w:rFonts w:ascii="Arial" w:hAnsi="Arial" w:cs="Arial"/>
                <w:color w:val="000000"/>
                <w:sz w:val="14"/>
                <w:szCs w:val="14"/>
              </w:rPr>
              <w:t xml:space="preserve">Investing in waste management, manufacturing </w:t>
            </w:r>
          </w:p>
          <w:p w14:paraId="52815B34" w14:textId="46969F6E" w:rsidR="000329D7" w:rsidRPr="002D2F67" w:rsidRDefault="000329D7" w:rsidP="000329D7">
            <w:pPr>
              <w:rPr>
                <w:rFonts w:ascii="Arial" w:hAnsi="Arial" w:cs="Arial"/>
                <w:color w:val="000000"/>
                <w:sz w:val="14"/>
                <w:szCs w:val="14"/>
              </w:rPr>
            </w:pPr>
            <w:r w:rsidRPr="002D2F67">
              <w:rPr>
                <w:rFonts w:ascii="Arial" w:hAnsi="Arial" w:cs="Arial"/>
                <w:color w:val="000000"/>
                <w:sz w:val="14"/>
                <w:szCs w:val="14"/>
              </w:rPr>
              <w:t xml:space="preserve">   and distributing elect</w:t>
            </w:r>
            <w:r w:rsidRPr="002D2F67">
              <w:rPr>
                <w:rFonts w:ascii="Arial" w:hAnsi="Arial" w:cs="Arial"/>
                <w:color w:val="000000"/>
                <w:sz w:val="14"/>
                <w:szCs w:val="17"/>
              </w:rPr>
              <w:t>ri</w:t>
            </w:r>
            <w:r w:rsidRPr="002D2F67">
              <w:rPr>
                <w:rFonts w:ascii="Arial" w:hAnsi="Arial" w:cs="Arial"/>
                <w:color w:val="000000"/>
                <w:sz w:val="14"/>
                <w:szCs w:val="14"/>
              </w:rPr>
              <w:t xml:space="preserve">city from waste </w:t>
            </w:r>
            <w:r w:rsidRPr="002D2F67">
              <w:rPr>
                <w:rFonts w:ascii="Arial" w:hAnsi="Arial" w:cs="Arial"/>
                <w:color w:val="000000"/>
                <w:spacing w:val="4"/>
                <w:sz w:val="14"/>
                <w:szCs w:val="14"/>
              </w:rPr>
              <w:t>(not commercial operations yet)</w:t>
            </w:r>
            <w:r w:rsidRPr="002D2F67">
              <w:rPr>
                <w:rFonts w:ascii="Arial" w:hAnsi="Arial" w:cs="Arial"/>
                <w:color w:val="000000"/>
                <w:sz w:val="14"/>
                <w:szCs w:val="14"/>
              </w:rPr>
              <w:t xml:space="preserve"> </w:t>
            </w:r>
          </w:p>
        </w:tc>
        <w:tc>
          <w:tcPr>
            <w:tcW w:w="1024" w:type="dxa"/>
            <w:shd w:val="clear" w:color="auto" w:fill="auto"/>
          </w:tcPr>
          <w:p w14:paraId="4794CB8F" w14:textId="438040D7" w:rsidR="000329D7" w:rsidRPr="002D2F67" w:rsidRDefault="00CD5714" w:rsidP="000329D7">
            <w:pPr>
              <w:ind w:right="-72"/>
              <w:jc w:val="right"/>
              <w:rPr>
                <w:rFonts w:ascii="Arial" w:hAnsi="Arial" w:cs="Arial"/>
                <w:color w:val="000000"/>
                <w:sz w:val="14"/>
                <w:szCs w:val="17"/>
              </w:rPr>
            </w:pPr>
            <w:r w:rsidRPr="00CD5714">
              <w:rPr>
                <w:rFonts w:ascii="Arial" w:hAnsi="Arial" w:cs="Arial"/>
                <w:color w:val="000000"/>
                <w:sz w:val="14"/>
                <w:szCs w:val="17"/>
                <w:lang w:val="en-GB"/>
              </w:rPr>
              <w:t>99</w:t>
            </w:r>
            <w:r w:rsidR="000329D7" w:rsidRPr="002D2F67">
              <w:rPr>
                <w:rFonts w:ascii="Arial" w:hAnsi="Arial" w:cs="Arial"/>
                <w:color w:val="000000"/>
                <w:sz w:val="14"/>
                <w:szCs w:val="17"/>
              </w:rPr>
              <w:t>.</w:t>
            </w:r>
            <w:r w:rsidRPr="00CD5714">
              <w:rPr>
                <w:rFonts w:ascii="Arial" w:hAnsi="Arial" w:cs="Arial"/>
                <w:color w:val="000000"/>
                <w:sz w:val="14"/>
                <w:szCs w:val="17"/>
                <w:lang w:val="en-GB"/>
              </w:rPr>
              <w:t>99</w:t>
            </w:r>
          </w:p>
        </w:tc>
        <w:tc>
          <w:tcPr>
            <w:tcW w:w="1024" w:type="dxa"/>
            <w:shd w:val="clear" w:color="auto" w:fill="auto"/>
          </w:tcPr>
          <w:p w14:paraId="3251F57B" w14:textId="138BB0A5" w:rsidR="000329D7" w:rsidRPr="002D2F67" w:rsidRDefault="00CD5714" w:rsidP="000329D7">
            <w:pPr>
              <w:ind w:right="-72"/>
              <w:jc w:val="right"/>
              <w:rPr>
                <w:rFonts w:ascii="Arial" w:hAnsi="Arial" w:cs="Arial"/>
                <w:color w:val="000000"/>
                <w:sz w:val="14"/>
                <w:szCs w:val="14"/>
              </w:rPr>
            </w:pPr>
            <w:r w:rsidRPr="00CD5714">
              <w:rPr>
                <w:rFonts w:ascii="Arial" w:hAnsi="Arial" w:cs="Arial"/>
                <w:color w:val="000000"/>
                <w:sz w:val="14"/>
                <w:szCs w:val="17"/>
                <w:lang w:val="en-GB"/>
              </w:rPr>
              <w:t>99</w:t>
            </w:r>
            <w:r w:rsidR="000329D7" w:rsidRPr="002D2F67">
              <w:rPr>
                <w:rFonts w:ascii="Arial" w:hAnsi="Arial" w:cs="Arial"/>
                <w:color w:val="000000"/>
                <w:sz w:val="14"/>
                <w:szCs w:val="17"/>
              </w:rPr>
              <w:t>.</w:t>
            </w:r>
            <w:r w:rsidRPr="00CD5714">
              <w:rPr>
                <w:rFonts w:ascii="Arial" w:hAnsi="Arial" w:cs="Arial"/>
                <w:color w:val="000000"/>
                <w:sz w:val="14"/>
                <w:szCs w:val="17"/>
                <w:lang w:val="en-GB"/>
              </w:rPr>
              <w:t>99</w:t>
            </w:r>
          </w:p>
        </w:tc>
        <w:tc>
          <w:tcPr>
            <w:tcW w:w="1024" w:type="dxa"/>
            <w:shd w:val="clear" w:color="auto" w:fill="auto"/>
          </w:tcPr>
          <w:p w14:paraId="0D4342EF" w14:textId="04D13872" w:rsidR="000329D7" w:rsidRPr="002D2F67" w:rsidRDefault="000329D7" w:rsidP="000329D7">
            <w:pPr>
              <w:ind w:right="-72"/>
              <w:jc w:val="right"/>
              <w:rPr>
                <w:rFonts w:ascii="Arial" w:hAnsi="Arial" w:cs="Arial"/>
                <w:color w:val="000000"/>
                <w:sz w:val="14"/>
                <w:szCs w:val="14"/>
              </w:rPr>
            </w:pPr>
            <w:r w:rsidRPr="002D2F67">
              <w:rPr>
                <w:rFonts w:ascii="Arial" w:hAnsi="Arial" w:cs="Arial"/>
                <w:color w:val="000000"/>
                <w:sz w:val="14"/>
                <w:szCs w:val="14"/>
              </w:rPr>
              <w:t>-</w:t>
            </w:r>
          </w:p>
        </w:tc>
        <w:tc>
          <w:tcPr>
            <w:tcW w:w="1024" w:type="dxa"/>
            <w:shd w:val="clear" w:color="auto" w:fill="auto"/>
          </w:tcPr>
          <w:p w14:paraId="686B76BB" w14:textId="49D012B1" w:rsidR="000329D7" w:rsidRPr="002D2F67" w:rsidRDefault="000329D7" w:rsidP="000329D7">
            <w:pPr>
              <w:ind w:right="-72"/>
              <w:jc w:val="right"/>
              <w:rPr>
                <w:rFonts w:ascii="Arial" w:hAnsi="Arial" w:cs="Arial"/>
                <w:color w:val="000000"/>
                <w:sz w:val="14"/>
                <w:szCs w:val="14"/>
              </w:rPr>
            </w:pPr>
            <w:r w:rsidRPr="002D2F67">
              <w:rPr>
                <w:rFonts w:ascii="Arial" w:hAnsi="Arial" w:cs="Arial"/>
                <w:color w:val="000000"/>
                <w:sz w:val="14"/>
                <w:szCs w:val="14"/>
              </w:rPr>
              <w:t>-</w:t>
            </w:r>
          </w:p>
        </w:tc>
        <w:tc>
          <w:tcPr>
            <w:tcW w:w="1145" w:type="dxa"/>
            <w:shd w:val="clear" w:color="auto" w:fill="auto"/>
          </w:tcPr>
          <w:p w14:paraId="7DB6CEB4" w14:textId="52241D73" w:rsidR="000329D7" w:rsidRPr="002D2F67" w:rsidRDefault="00CD5714" w:rsidP="000329D7">
            <w:pPr>
              <w:pStyle w:val="acctfourfigures"/>
              <w:tabs>
                <w:tab w:val="clear" w:pos="765"/>
                <w:tab w:val="decimal" w:pos="550"/>
              </w:tabs>
              <w:spacing w:line="240" w:lineRule="auto"/>
              <w:ind w:right="-72"/>
              <w:jc w:val="right"/>
              <w:rPr>
                <w:rFonts w:ascii="Arial" w:hAnsi="Arial" w:cs="Arial"/>
                <w:noProof/>
                <w:color w:val="000000"/>
                <w:sz w:val="14"/>
                <w:szCs w:val="14"/>
              </w:rPr>
            </w:pPr>
            <w:r w:rsidRPr="00CD5714">
              <w:rPr>
                <w:rFonts w:ascii="Arial" w:hAnsi="Arial" w:cs="Arial"/>
                <w:noProof/>
                <w:color w:val="000000"/>
                <w:sz w:val="14"/>
                <w:szCs w:val="14"/>
                <w:lang w:val="en-GB"/>
              </w:rPr>
              <w:t>617</w:t>
            </w:r>
            <w:r w:rsidR="000329D7" w:rsidRPr="002D2F67">
              <w:rPr>
                <w:rFonts w:ascii="Arial" w:hAnsi="Arial" w:cs="Arial"/>
                <w:noProof/>
                <w:color w:val="000000"/>
                <w:sz w:val="14"/>
                <w:szCs w:val="14"/>
              </w:rPr>
              <w:t>,</w:t>
            </w:r>
            <w:r w:rsidRPr="00CD5714">
              <w:rPr>
                <w:rFonts w:ascii="Arial" w:hAnsi="Arial" w:cs="Arial"/>
                <w:noProof/>
                <w:color w:val="000000"/>
                <w:sz w:val="14"/>
                <w:szCs w:val="14"/>
                <w:lang w:val="en-GB"/>
              </w:rPr>
              <w:t>600</w:t>
            </w:r>
          </w:p>
        </w:tc>
        <w:tc>
          <w:tcPr>
            <w:tcW w:w="1134" w:type="dxa"/>
            <w:shd w:val="clear" w:color="auto" w:fill="auto"/>
          </w:tcPr>
          <w:p w14:paraId="6924C95F" w14:textId="3A831C13" w:rsidR="000329D7" w:rsidRPr="002D2F67" w:rsidRDefault="00CD5714" w:rsidP="000329D7">
            <w:pPr>
              <w:pStyle w:val="acctfourfigures"/>
              <w:tabs>
                <w:tab w:val="decimal" w:pos="550"/>
              </w:tabs>
              <w:spacing w:line="240" w:lineRule="auto"/>
              <w:ind w:right="-72"/>
              <w:jc w:val="right"/>
              <w:rPr>
                <w:rFonts w:ascii="Arial" w:hAnsi="Arial" w:cs="Arial"/>
                <w:noProof/>
                <w:color w:val="000000"/>
                <w:sz w:val="14"/>
                <w:szCs w:val="14"/>
              </w:rPr>
            </w:pPr>
            <w:r w:rsidRPr="00CD5714">
              <w:rPr>
                <w:rFonts w:ascii="Arial" w:hAnsi="Arial" w:cs="Arial"/>
                <w:noProof/>
                <w:color w:val="000000"/>
                <w:sz w:val="14"/>
                <w:szCs w:val="14"/>
                <w:lang w:val="en-GB"/>
              </w:rPr>
              <w:t>617</w:t>
            </w:r>
            <w:r w:rsidR="000329D7" w:rsidRPr="002D2F67">
              <w:rPr>
                <w:rFonts w:ascii="Arial" w:hAnsi="Arial" w:cs="Arial"/>
                <w:noProof/>
                <w:color w:val="000000"/>
                <w:sz w:val="14"/>
                <w:szCs w:val="14"/>
              </w:rPr>
              <w:t>,</w:t>
            </w:r>
            <w:r w:rsidRPr="00CD5714">
              <w:rPr>
                <w:rFonts w:ascii="Arial" w:hAnsi="Arial" w:cs="Arial"/>
                <w:noProof/>
                <w:color w:val="000000"/>
                <w:sz w:val="14"/>
                <w:szCs w:val="14"/>
                <w:lang w:val="en-GB"/>
              </w:rPr>
              <w:t>600</w:t>
            </w:r>
          </w:p>
        </w:tc>
        <w:tc>
          <w:tcPr>
            <w:tcW w:w="1134" w:type="dxa"/>
            <w:shd w:val="clear" w:color="auto" w:fill="auto"/>
          </w:tcPr>
          <w:p w14:paraId="434E36A0" w14:textId="22893FDA" w:rsidR="000329D7" w:rsidRPr="002D2F67" w:rsidRDefault="000329D7" w:rsidP="000329D7">
            <w:pPr>
              <w:pStyle w:val="acctfourfigures"/>
              <w:tabs>
                <w:tab w:val="decimal" w:pos="533"/>
              </w:tabs>
              <w:spacing w:line="240" w:lineRule="auto"/>
              <w:ind w:right="-72"/>
              <w:jc w:val="right"/>
              <w:rPr>
                <w:rFonts w:ascii="Arial" w:hAnsi="Arial" w:cs="Arial"/>
                <w:noProof/>
                <w:color w:val="000000"/>
                <w:sz w:val="14"/>
                <w:szCs w:val="14"/>
              </w:rPr>
            </w:pPr>
            <w:r w:rsidRPr="002D2F67">
              <w:rPr>
                <w:rFonts w:ascii="Arial" w:hAnsi="Arial" w:cs="Arial"/>
                <w:noProof/>
                <w:color w:val="000000"/>
                <w:sz w:val="14"/>
                <w:szCs w:val="14"/>
              </w:rPr>
              <w:t>-</w:t>
            </w:r>
          </w:p>
        </w:tc>
        <w:tc>
          <w:tcPr>
            <w:tcW w:w="1242" w:type="dxa"/>
            <w:shd w:val="clear" w:color="auto" w:fill="auto"/>
          </w:tcPr>
          <w:p w14:paraId="2A926E4B" w14:textId="3C016EDA" w:rsidR="000329D7" w:rsidRPr="002D2F67" w:rsidRDefault="000329D7" w:rsidP="000329D7">
            <w:pPr>
              <w:pStyle w:val="acctfourfigures"/>
              <w:tabs>
                <w:tab w:val="decimal" w:pos="533"/>
              </w:tabs>
              <w:spacing w:line="240" w:lineRule="auto"/>
              <w:ind w:right="-72"/>
              <w:jc w:val="right"/>
              <w:rPr>
                <w:rFonts w:ascii="Arial" w:hAnsi="Arial" w:cs="Arial"/>
                <w:noProof/>
                <w:color w:val="000000"/>
                <w:sz w:val="14"/>
                <w:szCs w:val="14"/>
              </w:rPr>
            </w:pPr>
            <w:r w:rsidRPr="002D2F67">
              <w:rPr>
                <w:rFonts w:ascii="Arial" w:hAnsi="Arial" w:cs="Arial"/>
                <w:noProof/>
                <w:color w:val="000000"/>
                <w:sz w:val="14"/>
                <w:szCs w:val="14"/>
              </w:rPr>
              <w:t>-</w:t>
            </w:r>
          </w:p>
        </w:tc>
      </w:tr>
      <w:tr w:rsidR="000329D7" w:rsidRPr="002D2F67" w14:paraId="1ACA0701" w14:textId="77777777" w:rsidTr="005611FE">
        <w:trPr>
          <w:cantSplit/>
          <w:trHeight w:val="57"/>
        </w:trPr>
        <w:tc>
          <w:tcPr>
            <w:tcW w:w="2551" w:type="dxa"/>
            <w:shd w:val="clear" w:color="auto" w:fill="auto"/>
          </w:tcPr>
          <w:p w14:paraId="495444E6" w14:textId="77777777" w:rsidR="000329D7" w:rsidRPr="002D2F67" w:rsidRDefault="000329D7" w:rsidP="000329D7">
            <w:pPr>
              <w:ind w:left="171"/>
              <w:jc w:val="thaiDistribute"/>
              <w:rPr>
                <w:rFonts w:ascii="Arial" w:hAnsi="Arial" w:cs="Arial"/>
                <w:color w:val="000000"/>
                <w:sz w:val="14"/>
                <w:szCs w:val="14"/>
              </w:rPr>
            </w:pPr>
            <w:r w:rsidRPr="002D2F67">
              <w:rPr>
                <w:rFonts w:ascii="Arial" w:hAnsi="Arial" w:cs="Arial"/>
                <w:color w:val="000000"/>
                <w:sz w:val="14"/>
                <w:szCs w:val="14"/>
              </w:rPr>
              <w:t>Battery Electric Vehicle And</w:t>
            </w:r>
          </w:p>
          <w:p w14:paraId="08B52E17" w14:textId="78EFCF0B" w:rsidR="000329D7" w:rsidRPr="002D2F67" w:rsidRDefault="000329D7" w:rsidP="000329D7">
            <w:pPr>
              <w:ind w:left="171"/>
              <w:jc w:val="thaiDistribute"/>
              <w:rPr>
                <w:rFonts w:ascii="Arial" w:hAnsi="Arial" w:cs="Arial"/>
                <w:color w:val="000000"/>
                <w:sz w:val="14"/>
                <w:szCs w:val="14"/>
              </w:rPr>
            </w:pPr>
            <w:r w:rsidRPr="002D2F67">
              <w:rPr>
                <w:rFonts w:ascii="Arial" w:hAnsi="Arial" w:cs="Arial"/>
                <w:color w:val="000000"/>
                <w:sz w:val="14"/>
                <w:szCs w:val="14"/>
              </w:rPr>
              <w:t xml:space="preserve">   Electronic Products Testing</w:t>
            </w:r>
          </w:p>
          <w:p w14:paraId="1FC21E2B" w14:textId="30138C08" w:rsidR="000329D7" w:rsidRPr="002D2F67" w:rsidRDefault="000329D7" w:rsidP="000329D7">
            <w:pPr>
              <w:ind w:left="171"/>
              <w:jc w:val="thaiDistribute"/>
              <w:rPr>
                <w:rFonts w:ascii="Arial" w:hAnsi="Arial" w:cs="Arial"/>
                <w:color w:val="000000"/>
                <w:sz w:val="12"/>
                <w:szCs w:val="17"/>
              </w:rPr>
            </w:pPr>
            <w:r w:rsidRPr="002D2F67">
              <w:rPr>
                <w:rFonts w:ascii="Arial" w:hAnsi="Arial" w:cs="Arial"/>
                <w:color w:val="000000"/>
                <w:sz w:val="14"/>
                <w:szCs w:val="14"/>
              </w:rPr>
              <w:t xml:space="preserve">   Center </w:t>
            </w:r>
            <w:r w:rsidRPr="002D2F67">
              <w:rPr>
                <w:rFonts w:ascii="Arial" w:hAnsi="Arial" w:cs="Arial"/>
                <w:color w:val="000000"/>
                <w:sz w:val="14"/>
                <w:szCs w:val="17"/>
              </w:rPr>
              <w:t>Co., Ltd.</w:t>
            </w:r>
          </w:p>
        </w:tc>
        <w:tc>
          <w:tcPr>
            <w:tcW w:w="3240" w:type="dxa"/>
            <w:shd w:val="clear" w:color="auto" w:fill="auto"/>
          </w:tcPr>
          <w:p w14:paraId="72FD32FD" w14:textId="6770332E" w:rsidR="000329D7" w:rsidRPr="002D2F67" w:rsidRDefault="000329D7" w:rsidP="000329D7">
            <w:pPr>
              <w:rPr>
                <w:rFonts w:ascii="Arial" w:hAnsi="Arial" w:cs="Arial"/>
                <w:color w:val="000000"/>
                <w:sz w:val="14"/>
                <w:szCs w:val="14"/>
              </w:rPr>
            </w:pPr>
            <w:r w:rsidRPr="002D2F67">
              <w:rPr>
                <w:rFonts w:ascii="Arial" w:hAnsi="Arial" w:cs="Arial"/>
                <w:color w:val="000000"/>
                <w:sz w:val="14"/>
                <w:szCs w:val="14"/>
              </w:rPr>
              <w:t>Research, develop, test, and qualify the quality</w:t>
            </w:r>
          </w:p>
          <w:p w14:paraId="2BCE9A4C" w14:textId="56C550DC" w:rsidR="000329D7" w:rsidRPr="002D2F67" w:rsidRDefault="000329D7" w:rsidP="000329D7">
            <w:pPr>
              <w:rPr>
                <w:rFonts w:ascii="Arial" w:hAnsi="Arial" w:cs="Arial"/>
                <w:color w:val="000000"/>
                <w:sz w:val="14"/>
                <w:szCs w:val="14"/>
              </w:rPr>
            </w:pPr>
            <w:r w:rsidRPr="002D2F67">
              <w:rPr>
                <w:rFonts w:ascii="Arial" w:hAnsi="Arial" w:cs="Arial"/>
                <w:color w:val="000000"/>
                <w:sz w:val="14"/>
                <w:szCs w:val="14"/>
              </w:rPr>
              <w:t xml:space="preserve">   of battery </w:t>
            </w:r>
          </w:p>
          <w:p w14:paraId="750C137C" w14:textId="0C90530C" w:rsidR="000329D7" w:rsidRPr="002D2F67" w:rsidRDefault="000329D7" w:rsidP="000329D7">
            <w:pPr>
              <w:rPr>
                <w:rFonts w:ascii="Arial" w:hAnsi="Arial" w:cs="Arial"/>
                <w:color w:val="000000"/>
                <w:sz w:val="12"/>
                <w:szCs w:val="12"/>
              </w:rPr>
            </w:pPr>
          </w:p>
        </w:tc>
        <w:tc>
          <w:tcPr>
            <w:tcW w:w="1024" w:type="dxa"/>
            <w:shd w:val="clear" w:color="auto" w:fill="auto"/>
          </w:tcPr>
          <w:p w14:paraId="6B548144" w14:textId="6EE43C9F" w:rsidR="000329D7" w:rsidRPr="002D2F67" w:rsidRDefault="00CD5714" w:rsidP="000329D7">
            <w:pPr>
              <w:ind w:right="-72"/>
              <w:jc w:val="right"/>
              <w:rPr>
                <w:rFonts w:ascii="Arial" w:hAnsi="Arial" w:cs="Arial"/>
                <w:color w:val="000000"/>
                <w:sz w:val="14"/>
                <w:szCs w:val="14"/>
              </w:rPr>
            </w:pPr>
            <w:r w:rsidRPr="00CD5714">
              <w:rPr>
                <w:rFonts w:ascii="Arial" w:hAnsi="Arial" w:cs="Arial"/>
                <w:color w:val="000000"/>
                <w:sz w:val="14"/>
                <w:szCs w:val="14"/>
                <w:lang w:val="en-GB"/>
              </w:rPr>
              <w:t>50</w:t>
            </w:r>
            <w:r w:rsidR="000329D7" w:rsidRPr="002D2F67">
              <w:rPr>
                <w:rFonts w:ascii="Arial" w:hAnsi="Arial" w:cs="Arial"/>
                <w:color w:val="000000"/>
                <w:sz w:val="14"/>
                <w:szCs w:val="14"/>
              </w:rPr>
              <w:t>.</w:t>
            </w:r>
            <w:r w:rsidRPr="00CD5714">
              <w:rPr>
                <w:rFonts w:ascii="Arial" w:hAnsi="Arial" w:cs="Arial"/>
                <w:color w:val="000000"/>
                <w:sz w:val="14"/>
                <w:szCs w:val="14"/>
                <w:lang w:val="en-GB"/>
              </w:rPr>
              <w:t>00</w:t>
            </w:r>
          </w:p>
        </w:tc>
        <w:tc>
          <w:tcPr>
            <w:tcW w:w="1024" w:type="dxa"/>
            <w:shd w:val="clear" w:color="auto" w:fill="auto"/>
          </w:tcPr>
          <w:p w14:paraId="23F00C69" w14:textId="44FED17E" w:rsidR="000329D7" w:rsidRPr="002D2F67" w:rsidRDefault="00CD5714" w:rsidP="000329D7">
            <w:pPr>
              <w:ind w:right="-72"/>
              <w:jc w:val="right"/>
              <w:rPr>
                <w:rFonts w:ascii="Arial" w:hAnsi="Arial" w:cs="Arial"/>
                <w:color w:val="000000"/>
                <w:sz w:val="14"/>
                <w:szCs w:val="14"/>
              </w:rPr>
            </w:pPr>
            <w:r w:rsidRPr="00CD5714">
              <w:rPr>
                <w:rFonts w:ascii="Arial" w:hAnsi="Arial" w:cs="Arial"/>
                <w:color w:val="000000"/>
                <w:sz w:val="14"/>
                <w:szCs w:val="14"/>
                <w:lang w:val="en-GB"/>
              </w:rPr>
              <w:t>50</w:t>
            </w:r>
            <w:r w:rsidR="000329D7" w:rsidRPr="002D2F67">
              <w:rPr>
                <w:rFonts w:ascii="Arial" w:hAnsi="Arial" w:cs="Arial"/>
                <w:color w:val="000000"/>
                <w:sz w:val="14"/>
                <w:szCs w:val="14"/>
              </w:rPr>
              <w:t>.</w:t>
            </w:r>
            <w:r w:rsidRPr="00CD5714">
              <w:rPr>
                <w:rFonts w:ascii="Arial" w:hAnsi="Arial" w:cs="Arial"/>
                <w:color w:val="000000"/>
                <w:sz w:val="14"/>
                <w:szCs w:val="14"/>
                <w:lang w:val="en-GB"/>
              </w:rPr>
              <w:t>00</w:t>
            </w:r>
          </w:p>
        </w:tc>
        <w:tc>
          <w:tcPr>
            <w:tcW w:w="1024" w:type="dxa"/>
            <w:shd w:val="clear" w:color="auto" w:fill="auto"/>
          </w:tcPr>
          <w:p w14:paraId="4B18D19D" w14:textId="0A45BE8C" w:rsidR="000329D7" w:rsidRPr="002D2F67" w:rsidRDefault="00CD5714" w:rsidP="000329D7">
            <w:pPr>
              <w:ind w:right="-72"/>
              <w:jc w:val="right"/>
              <w:rPr>
                <w:rFonts w:ascii="Arial" w:hAnsi="Arial" w:cs="Arial"/>
                <w:color w:val="000000"/>
                <w:sz w:val="14"/>
                <w:szCs w:val="14"/>
              </w:rPr>
            </w:pPr>
            <w:r w:rsidRPr="00CD5714">
              <w:rPr>
                <w:rFonts w:ascii="Arial" w:hAnsi="Arial" w:cs="Arial"/>
                <w:color w:val="000000"/>
                <w:sz w:val="14"/>
                <w:szCs w:val="14"/>
                <w:lang w:val="en-GB"/>
              </w:rPr>
              <w:t>47</w:t>
            </w:r>
            <w:r w:rsidR="000329D7"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024" w:type="dxa"/>
            <w:shd w:val="clear" w:color="auto" w:fill="auto"/>
          </w:tcPr>
          <w:p w14:paraId="122E5A17" w14:textId="4EFB690C" w:rsidR="000329D7" w:rsidRPr="002D2F67" w:rsidRDefault="00CD5714" w:rsidP="000329D7">
            <w:pPr>
              <w:ind w:right="-72"/>
              <w:jc w:val="right"/>
              <w:rPr>
                <w:rFonts w:ascii="Arial" w:hAnsi="Arial" w:cs="Arial"/>
                <w:color w:val="000000"/>
                <w:sz w:val="14"/>
                <w:szCs w:val="14"/>
              </w:rPr>
            </w:pPr>
            <w:r w:rsidRPr="00CD5714">
              <w:rPr>
                <w:rFonts w:ascii="Arial" w:hAnsi="Arial" w:cs="Arial"/>
                <w:color w:val="000000"/>
                <w:sz w:val="14"/>
                <w:szCs w:val="14"/>
                <w:lang w:val="en-GB"/>
              </w:rPr>
              <w:t>47</w:t>
            </w:r>
            <w:r w:rsidR="000329D7"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45" w:type="dxa"/>
            <w:shd w:val="clear" w:color="auto" w:fill="auto"/>
          </w:tcPr>
          <w:p w14:paraId="1742E6F8" w14:textId="479E9776" w:rsidR="000329D7" w:rsidRPr="002D2F67" w:rsidRDefault="00CD5714" w:rsidP="000329D7">
            <w:pPr>
              <w:pStyle w:val="acctfourfigures"/>
              <w:tabs>
                <w:tab w:val="decimal" w:pos="550"/>
              </w:tabs>
              <w:spacing w:line="240" w:lineRule="auto"/>
              <w:ind w:right="-72"/>
              <w:jc w:val="right"/>
              <w:rPr>
                <w:rFonts w:ascii="Arial" w:hAnsi="Arial" w:cs="Arial"/>
                <w:noProof/>
                <w:color w:val="000000"/>
                <w:sz w:val="14"/>
                <w:szCs w:val="14"/>
              </w:rPr>
            </w:pPr>
            <w:r w:rsidRPr="00CD5714">
              <w:rPr>
                <w:rFonts w:ascii="Arial" w:hAnsi="Arial" w:cs="Arial"/>
                <w:noProof/>
                <w:color w:val="000000"/>
                <w:sz w:val="14"/>
                <w:szCs w:val="14"/>
                <w:lang w:val="en-GB"/>
              </w:rPr>
              <w:t>35</w:t>
            </w:r>
            <w:r w:rsidR="000329D7" w:rsidRPr="002D2F67">
              <w:rPr>
                <w:rFonts w:ascii="Arial" w:hAnsi="Arial" w:cs="Arial"/>
                <w:noProof/>
                <w:color w:val="000000"/>
                <w:sz w:val="14"/>
                <w:szCs w:val="14"/>
              </w:rPr>
              <w:t>,</w:t>
            </w:r>
            <w:r w:rsidRPr="00CD5714">
              <w:rPr>
                <w:rFonts w:ascii="Arial" w:hAnsi="Arial" w:cs="Arial"/>
                <w:noProof/>
                <w:color w:val="000000"/>
                <w:sz w:val="14"/>
                <w:szCs w:val="14"/>
                <w:lang w:val="en-GB"/>
              </w:rPr>
              <w:t>587</w:t>
            </w:r>
          </w:p>
        </w:tc>
        <w:tc>
          <w:tcPr>
            <w:tcW w:w="1134" w:type="dxa"/>
            <w:shd w:val="clear" w:color="auto" w:fill="auto"/>
          </w:tcPr>
          <w:p w14:paraId="7CA37DEC" w14:textId="7507C419" w:rsidR="000329D7" w:rsidRPr="002D2F67" w:rsidRDefault="00CD5714" w:rsidP="000329D7">
            <w:pPr>
              <w:pStyle w:val="acctfourfigures"/>
              <w:tabs>
                <w:tab w:val="decimal" w:pos="550"/>
              </w:tabs>
              <w:spacing w:line="240" w:lineRule="auto"/>
              <w:ind w:right="-72"/>
              <w:jc w:val="right"/>
              <w:rPr>
                <w:rFonts w:ascii="Arial" w:hAnsi="Arial" w:cs="Arial"/>
                <w:noProof/>
                <w:color w:val="000000"/>
                <w:sz w:val="14"/>
                <w:szCs w:val="14"/>
              </w:rPr>
            </w:pPr>
            <w:r w:rsidRPr="00CD5714">
              <w:rPr>
                <w:rFonts w:ascii="Arial" w:hAnsi="Arial" w:cs="Arial"/>
                <w:noProof/>
                <w:color w:val="000000"/>
                <w:sz w:val="14"/>
                <w:szCs w:val="14"/>
                <w:lang w:val="en-GB"/>
              </w:rPr>
              <w:t>35</w:t>
            </w:r>
            <w:r w:rsidR="000329D7" w:rsidRPr="002D2F67">
              <w:rPr>
                <w:rFonts w:ascii="Arial" w:hAnsi="Arial" w:cs="Arial"/>
                <w:noProof/>
                <w:color w:val="000000"/>
                <w:sz w:val="14"/>
                <w:szCs w:val="14"/>
              </w:rPr>
              <w:t>,</w:t>
            </w:r>
            <w:r w:rsidRPr="00CD5714">
              <w:rPr>
                <w:rFonts w:ascii="Arial" w:hAnsi="Arial" w:cs="Arial"/>
                <w:noProof/>
                <w:color w:val="000000"/>
                <w:sz w:val="14"/>
                <w:szCs w:val="14"/>
                <w:lang w:val="en-GB"/>
              </w:rPr>
              <w:t>587</w:t>
            </w:r>
          </w:p>
        </w:tc>
        <w:tc>
          <w:tcPr>
            <w:tcW w:w="1134" w:type="dxa"/>
            <w:shd w:val="clear" w:color="auto" w:fill="auto"/>
          </w:tcPr>
          <w:p w14:paraId="2722D207" w14:textId="066359E0" w:rsidR="000329D7" w:rsidRPr="002D2F67" w:rsidRDefault="000329D7" w:rsidP="000329D7">
            <w:pPr>
              <w:pStyle w:val="acctfourfigures"/>
              <w:tabs>
                <w:tab w:val="decimal" w:pos="533"/>
              </w:tabs>
              <w:spacing w:line="240" w:lineRule="auto"/>
              <w:ind w:right="-72"/>
              <w:jc w:val="right"/>
              <w:rPr>
                <w:rFonts w:ascii="Arial" w:hAnsi="Arial" w:cs="Arial"/>
                <w:noProof/>
                <w:color w:val="000000"/>
                <w:sz w:val="14"/>
                <w:szCs w:val="14"/>
              </w:rPr>
            </w:pPr>
            <w:r w:rsidRPr="002D2F67">
              <w:rPr>
                <w:rFonts w:ascii="Arial" w:hAnsi="Arial" w:cs="Arial"/>
                <w:noProof/>
                <w:color w:val="000000"/>
                <w:sz w:val="14"/>
                <w:szCs w:val="14"/>
              </w:rPr>
              <w:t>-</w:t>
            </w:r>
          </w:p>
        </w:tc>
        <w:tc>
          <w:tcPr>
            <w:tcW w:w="1242" w:type="dxa"/>
            <w:shd w:val="clear" w:color="auto" w:fill="auto"/>
          </w:tcPr>
          <w:p w14:paraId="7DE023CA" w14:textId="77FE8D35" w:rsidR="000329D7" w:rsidRPr="002D2F67" w:rsidRDefault="000329D7" w:rsidP="000329D7">
            <w:pPr>
              <w:pStyle w:val="acctfourfigures"/>
              <w:tabs>
                <w:tab w:val="decimal" w:pos="533"/>
              </w:tabs>
              <w:spacing w:line="240" w:lineRule="auto"/>
              <w:ind w:right="-72"/>
              <w:jc w:val="right"/>
              <w:rPr>
                <w:rFonts w:ascii="Arial" w:hAnsi="Arial" w:cs="Arial"/>
                <w:noProof/>
                <w:color w:val="000000"/>
                <w:sz w:val="14"/>
                <w:szCs w:val="14"/>
              </w:rPr>
            </w:pPr>
            <w:r w:rsidRPr="002D2F67">
              <w:rPr>
                <w:rFonts w:ascii="Arial" w:hAnsi="Arial" w:cs="Arial"/>
                <w:noProof/>
                <w:color w:val="000000"/>
                <w:sz w:val="14"/>
                <w:szCs w:val="14"/>
              </w:rPr>
              <w:t>-</w:t>
            </w:r>
          </w:p>
        </w:tc>
      </w:tr>
      <w:tr w:rsidR="000329D7" w:rsidRPr="002D2F67" w14:paraId="15B7EEDA" w14:textId="77777777" w:rsidTr="00DB4199">
        <w:trPr>
          <w:cantSplit/>
          <w:trHeight w:val="142"/>
        </w:trPr>
        <w:tc>
          <w:tcPr>
            <w:tcW w:w="2551" w:type="dxa"/>
            <w:shd w:val="clear" w:color="auto" w:fill="auto"/>
          </w:tcPr>
          <w:p w14:paraId="2EE55C23" w14:textId="540D641B" w:rsidR="000329D7" w:rsidRPr="002D2F67" w:rsidRDefault="000329D7" w:rsidP="000329D7">
            <w:pPr>
              <w:ind w:left="171"/>
              <w:jc w:val="thaiDistribute"/>
              <w:rPr>
                <w:rFonts w:ascii="Arial" w:hAnsi="Arial" w:cs="Arial"/>
                <w:color w:val="000000"/>
                <w:sz w:val="14"/>
                <w:szCs w:val="14"/>
              </w:rPr>
            </w:pPr>
            <w:r w:rsidRPr="002D2F67">
              <w:rPr>
                <w:rFonts w:ascii="Arial" w:hAnsi="Arial" w:cs="Arial"/>
                <w:color w:val="000000"/>
                <w:sz w:val="14"/>
                <w:szCs w:val="14"/>
              </w:rPr>
              <w:t>EA Futura Co., Ltd.</w:t>
            </w:r>
          </w:p>
        </w:tc>
        <w:tc>
          <w:tcPr>
            <w:tcW w:w="3240" w:type="dxa"/>
            <w:shd w:val="clear" w:color="auto" w:fill="auto"/>
          </w:tcPr>
          <w:p w14:paraId="300C8694" w14:textId="48B7D251" w:rsidR="000329D7" w:rsidRPr="002D2F67" w:rsidRDefault="000329D7" w:rsidP="000329D7">
            <w:pPr>
              <w:rPr>
                <w:rFonts w:ascii="Arial" w:hAnsi="Arial" w:cs="Arial"/>
                <w:color w:val="000000"/>
                <w:sz w:val="14"/>
                <w:szCs w:val="14"/>
              </w:rPr>
            </w:pPr>
            <w:r w:rsidRPr="002D2F67">
              <w:rPr>
                <w:rFonts w:ascii="Arial" w:hAnsi="Arial" w:cs="Arial"/>
                <w:color w:val="000000"/>
                <w:sz w:val="14"/>
                <w:szCs w:val="14"/>
              </w:rPr>
              <w:t>Consulting in the construction project</w:t>
            </w:r>
          </w:p>
        </w:tc>
        <w:tc>
          <w:tcPr>
            <w:tcW w:w="1024" w:type="dxa"/>
            <w:shd w:val="clear" w:color="auto" w:fill="auto"/>
          </w:tcPr>
          <w:p w14:paraId="6B93A9C3" w14:textId="2B93AD60" w:rsidR="000329D7" w:rsidRPr="002D2F67" w:rsidRDefault="00CD5714" w:rsidP="000329D7">
            <w:pPr>
              <w:ind w:right="-72"/>
              <w:jc w:val="right"/>
              <w:rPr>
                <w:rFonts w:ascii="Arial" w:eastAsia="Arial Unicode MS" w:hAnsi="Arial" w:cs="Arial"/>
                <w:color w:val="000000"/>
                <w:sz w:val="14"/>
                <w:szCs w:val="14"/>
                <w:cs/>
              </w:rPr>
            </w:pPr>
            <w:r w:rsidRPr="00CD5714">
              <w:rPr>
                <w:rFonts w:ascii="Arial" w:eastAsia="Arial Unicode MS" w:hAnsi="Arial" w:cs="Arial"/>
                <w:color w:val="000000"/>
                <w:sz w:val="14"/>
                <w:szCs w:val="14"/>
                <w:lang w:val="en-GB"/>
              </w:rPr>
              <w:t>99</w:t>
            </w:r>
            <w:r w:rsidR="000329D7" w:rsidRPr="002D2F67">
              <w:rPr>
                <w:rFonts w:ascii="Arial" w:eastAsia="Arial Unicode MS" w:hAnsi="Arial" w:cs="Arial"/>
                <w:color w:val="000000"/>
                <w:sz w:val="14"/>
                <w:szCs w:val="14"/>
              </w:rPr>
              <w:t>.</w:t>
            </w:r>
            <w:r w:rsidRPr="00CD5714">
              <w:rPr>
                <w:rFonts w:ascii="Arial" w:eastAsia="Arial Unicode MS" w:hAnsi="Arial" w:cs="Arial"/>
                <w:color w:val="000000"/>
                <w:sz w:val="14"/>
                <w:szCs w:val="14"/>
                <w:lang w:val="en-GB"/>
              </w:rPr>
              <w:t>99</w:t>
            </w:r>
          </w:p>
        </w:tc>
        <w:tc>
          <w:tcPr>
            <w:tcW w:w="1024" w:type="dxa"/>
            <w:shd w:val="clear" w:color="auto" w:fill="auto"/>
          </w:tcPr>
          <w:p w14:paraId="1AE4A16B" w14:textId="2001BABA" w:rsidR="000329D7" w:rsidRPr="002D2F67" w:rsidRDefault="00CD5714" w:rsidP="000329D7">
            <w:pPr>
              <w:ind w:right="-72"/>
              <w:jc w:val="right"/>
              <w:rPr>
                <w:rFonts w:ascii="Arial" w:eastAsia="Arial Unicode MS" w:hAnsi="Arial" w:cs="Arial"/>
                <w:color w:val="000000"/>
                <w:sz w:val="14"/>
                <w:szCs w:val="14"/>
                <w:cs/>
              </w:rPr>
            </w:pPr>
            <w:r w:rsidRPr="00CD5714">
              <w:rPr>
                <w:rFonts w:ascii="Arial" w:eastAsia="Arial Unicode MS" w:hAnsi="Arial" w:cs="Arial"/>
                <w:color w:val="000000"/>
                <w:sz w:val="14"/>
                <w:szCs w:val="14"/>
                <w:lang w:val="en-GB"/>
              </w:rPr>
              <w:t>99</w:t>
            </w:r>
            <w:r w:rsidR="000329D7" w:rsidRPr="002D2F67">
              <w:rPr>
                <w:rFonts w:ascii="Arial" w:eastAsia="Arial Unicode MS" w:hAnsi="Arial" w:cs="Arial"/>
                <w:color w:val="000000"/>
                <w:sz w:val="14"/>
                <w:szCs w:val="14"/>
              </w:rPr>
              <w:t>.</w:t>
            </w:r>
            <w:r w:rsidRPr="00CD5714">
              <w:rPr>
                <w:rFonts w:ascii="Arial" w:eastAsia="Arial Unicode MS" w:hAnsi="Arial" w:cs="Arial"/>
                <w:color w:val="000000"/>
                <w:sz w:val="14"/>
                <w:szCs w:val="14"/>
                <w:lang w:val="en-GB"/>
              </w:rPr>
              <w:t>99</w:t>
            </w:r>
          </w:p>
        </w:tc>
        <w:tc>
          <w:tcPr>
            <w:tcW w:w="1024" w:type="dxa"/>
            <w:shd w:val="clear" w:color="auto" w:fill="auto"/>
          </w:tcPr>
          <w:p w14:paraId="501137D9" w14:textId="665387C0" w:rsidR="000329D7" w:rsidRPr="002D2F67" w:rsidRDefault="000329D7" w:rsidP="000329D7">
            <w:pPr>
              <w:ind w:right="-72"/>
              <w:jc w:val="right"/>
              <w:rPr>
                <w:rFonts w:ascii="Arial" w:hAnsi="Arial" w:cs="Arial"/>
                <w:color w:val="000000"/>
                <w:sz w:val="14"/>
                <w:szCs w:val="14"/>
              </w:rPr>
            </w:pPr>
            <w:r w:rsidRPr="002D2F67">
              <w:rPr>
                <w:rFonts w:ascii="Arial" w:hAnsi="Arial" w:cs="Arial"/>
                <w:color w:val="000000"/>
                <w:sz w:val="14"/>
                <w:szCs w:val="14"/>
              </w:rPr>
              <w:t>-</w:t>
            </w:r>
          </w:p>
        </w:tc>
        <w:tc>
          <w:tcPr>
            <w:tcW w:w="1024" w:type="dxa"/>
            <w:shd w:val="clear" w:color="auto" w:fill="auto"/>
          </w:tcPr>
          <w:p w14:paraId="3F985F97" w14:textId="04A99134" w:rsidR="000329D7" w:rsidRPr="002D2F67" w:rsidRDefault="000329D7" w:rsidP="000329D7">
            <w:pPr>
              <w:ind w:right="-72"/>
              <w:jc w:val="right"/>
              <w:rPr>
                <w:rFonts w:ascii="Arial" w:eastAsia="Arial Unicode MS" w:hAnsi="Arial" w:cs="Arial"/>
                <w:color w:val="000000"/>
                <w:sz w:val="14"/>
                <w:szCs w:val="14"/>
                <w:cs/>
              </w:rPr>
            </w:pPr>
            <w:r w:rsidRPr="002D2F67">
              <w:rPr>
                <w:rFonts w:ascii="Arial" w:hAnsi="Arial" w:cs="Arial"/>
                <w:color w:val="000000"/>
                <w:sz w:val="14"/>
                <w:szCs w:val="14"/>
              </w:rPr>
              <w:t>-</w:t>
            </w:r>
          </w:p>
        </w:tc>
        <w:tc>
          <w:tcPr>
            <w:tcW w:w="1145" w:type="dxa"/>
            <w:tcBorders>
              <w:bottom w:val="single" w:sz="4" w:space="0" w:color="auto"/>
            </w:tcBorders>
            <w:shd w:val="clear" w:color="auto" w:fill="auto"/>
          </w:tcPr>
          <w:p w14:paraId="539802F0" w14:textId="25CEF3C2" w:rsidR="000329D7" w:rsidRPr="002D2F67" w:rsidRDefault="00CD5714" w:rsidP="000329D7">
            <w:pPr>
              <w:pStyle w:val="acctfourfigures"/>
              <w:tabs>
                <w:tab w:val="decimal" w:pos="550"/>
              </w:tabs>
              <w:spacing w:line="240" w:lineRule="auto"/>
              <w:ind w:right="-72"/>
              <w:jc w:val="right"/>
              <w:rPr>
                <w:rFonts w:ascii="Arial" w:hAnsi="Arial" w:cs="Arial"/>
                <w:noProof/>
                <w:color w:val="000000"/>
                <w:sz w:val="14"/>
                <w:szCs w:val="14"/>
              </w:rPr>
            </w:pPr>
            <w:r w:rsidRPr="00CD5714">
              <w:rPr>
                <w:rFonts w:ascii="Arial" w:hAnsi="Arial" w:cs="Arial"/>
                <w:noProof/>
                <w:color w:val="000000"/>
                <w:sz w:val="14"/>
                <w:szCs w:val="14"/>
                <w:lang w:val="en-GB"/>
              </w:rPr>
              <w:t>52</w:t>
            </w:r>
            <w:r w:rsidR="000329D7" w:rsidRPr="002D2F67">
              <w:rPr>
                <w:rFonts w:ascii="Arial" w:hAnsi="Arial" w:cs="Arial"/>
                <w:noProof/>
                <w:color w:val="000000"/>
                <w:sz w:val="14"/>
                <w:szCs w:val="14"/>
              </w:rPr>
              <w:t>,</w:t>
            </w:r>
            <w:r w:rsidRPr="00CD5714">
              <w:rPr>
                <w:rFonts w:ascii="Arial" w:hAnsi="Arial" w:cs="Arial"/>
                <w:noProof/>
                <w:color w:val="000000"/>
                <w:sz w:val="14"/>
                <w:szCs w:val="14"/>
                <w:lang w:val="en-GB"/>
              </w:rPr>
              <w:t>464</w:t>
            </w:r>
          </w:p>
        </w:tc>
        <w:tc>
          <w:tcPr>
            <w:tcW w:w="1134" w:type="dxa"/>
            <w:tcBorders>
              <w:bottom w:val="single" w:sz="4" w:space="0" w:color="auto"/>
            </w:tcBorders>
            <w:shd w:val="clear" w:color="auto" w:fill="auto"/>
          </w:tcPr>
          <w:p w14:paraId="09B59E49" w14:textId="769EAED9" w:rsidR="000329D7" w:rsidRPr="002D2F67" w:rsidRDefault="00CD5714" w:rsidP="000329D7">
            <w:pPr>
              <w:pStyle w:val="acctfourfigures"/>
              <w:tabs>
                <w:tab w:val="decimal" w:pos="550"/>
              </w:tabs>
              <w:spacing w:line="240" w:lineRule="auto"/>
              <w:ind w:right="-72"/>
              <w:jc w:val="right"/>
              <w:rPr>
                <w:rFonts w:ascii="Arial" w:eastAsia="Arial Unicode MS" w:hAnsi="Arial" w:cs="Arial"/>
                <w:noProof/>
                <w:color w:val="000000"/>
                <w:sz w:val="14"/>
                <w:szCs w:val="14"/>
                <w:lang w:bidi="th-TH"/>
              </w:rPr>
            </w:pPr>
            <w:r w:rsidRPr="00CD5714">
              <w:rPr>
                <w:rFonts w:ascii="Arial" w:hAnsi="Arial" w:cs="Arial"/>
                <w:noProof/>
                <w:color w:val="000000"/>
                <w:sz w:val="14"/>
                <w:szCs w:val="14"/>
                <w:lang w:val="en-GB"/>
              </w:rPr>
              <w:t>52</w:t>
            </w:r>
            <w:r w:rsidR="000329D7" w:rsidRPr="002D2F67">
              <w:rPr>
                <w:rFonts w:ascii="Arial" w:hAnsi="Arial" w:cs="Arial"/>
                <w:noProof/>
                <w:color w:val="000000"/>
                <w:sz w:val="14"/>
                <w:szCs w:val="14"/>
              </w:rPr>
              <w:t>,</w:t>
            </w:r>
            <w:r w:rsidRPr="00CD5714">
              <w:rPr>
                <w:rFonts w:ascii="Arial" w:hAnsi="Arial" w:cs="Arial"/>
                <w:noProof/>
                <w:color w:val="000000"/>
                <w:sz w:val="14"/>
                <w:szCs w:val="14"/>
                <w:lang w:val="en-GB"/>
              </w:rPr>
              <w:t>464</w:t>
            </w:r>
          </w:p>
        </w:tc>
        <w:tc>
          <w:tcPr>
            <w:tcW w:w="1134" w:type="dxa"/>
            <w:tcBorders>
              <w:bottom w:val="single" w:sz="4" w:space="0" w:color="auto"/>
            </w:tcBorders>
            <w:shd w:val="clear" w:color="auto" w:fill="auto"/>
          </w:tcPr>
          <w:p w14:paraId="17861BFB" w14:textId="2C7BAB63" w:rsidR="000329D7" w:rsidRPr="002D2F67" w:rsidRDefault="000329D7" w:rsidP="000329D7">
            <w:pPr>
              <w:pStyle w:val="acctfourfigures"/>
              <w:tabs>
                <w:tab w:val="decimal" w:pos="533"/>
              </w:tabs>
              <w:spacing w:line="240" w:lineRule="auto"/>
              <w:ind w:right="-72"/>
              <w:jc w:val="right"/>
              <w:rPr>
                <w:rFonts w:ascii="Arial" w:hAnsi="Arial" w:cs="Arial"/>
                <w:noProof/>
                <w:color w:val="000000"/>
                <w:sz w:val="14"/>
                <w:szCs w:val="14"/>
              </w:rPr>
            </w:pPr>
            <w:r w:rsidRPr="002D2F67">
              <w:rPr>
                <w:rFonts w:ascii="Arial" w:hAnsi="Arial" w:cs="Arial"/>
                <w:noProof/>
                <w:color w:val="000000"/>
                <w:sz w:val="14"/>
                <w:szCs w:val="14"/>
              </w:rPr>
              <w:t>-</w:t>
            </w:r>
          </w:p>
        </w:tc>
        <w:tc>
          <w:tcPr>
            <w:tcW w:w="1242" w:type="dxa"/>
            <w:tcBorders>
              <w:bottom w:val="single" w:sz="4" w:space="0" w:color="auto"/>
            </w:tcBorders>
            <w:shd w:val="clear" w:color="auto" w:fill="auto"/>
          </w:tcPr>
          <w:p w14:paraId="0EEC2E46" w14:textId="656CFC90" w:rsidR="000329D7" w:rsidRPr="002D2F67" w:rsidRDefault="000329D7" w:rsidP="000329D7">
            <w:pPr>
              <w:pStyle w:val="acctfourfigures"/>
              <w:tabs>
                <w:tab w:val="decimal" w:pos="533"/>
              </w:tabs>
              <w:spacing w:line="240" w:lineRule="auto"/>
              <w:ind w:right="-72"/>
              <w:jc w:val="right"/>
              <w:rPr>
                <w:rFonts w:ascii="Arial" w:eastAsia="Arial Unicode MS" w:hAnsi="Arial" w:cs="Arial"/>
                <w:color w:val="000000"/>
                <w:sz w:val="14"/>
                <w:szCs w:val="14"/>
              </w:rPr>
            </w:pPr>
            <w:r w:rsidRPr="002D2F67">
              <w:rPr>
                <w:rFonts w:ascii="Arial" w:hAnsi="Arial" w:cs="Arial"/>
                <w:noProof/>
                <w:color w:val="000000"/>
                <w:sz w:val="14"/>
                <w:szCs w:val="14"/>
              </w:rPr>
              <w:t>-</w:t>
            </w:r>
          </w:p>
        </w:tc>
      </w:tr>
      <w:tr w:rsidR="000329D7" w:rsidRPr="002D2F67" w14:paraId="55EE6464" w14:textId="77777777" w:rsidTr="005611FE">
        <w:trPr>
          <w:cantSplit/>
        </w:trPr>
        <w:tc>
          <w:tcPr>
            <w:tcW w:w="2551" w:type="dxa"/>
            <w:shd w:val="clear" w:color="auto" w:fill="auto"/>
          </w:tcPr>
          <w:p w14:paraId="2A9DC675" w14:textId="77777777" w:rsidR="000329D7" w:rsidRPr="002D2F67" w:rsidRDefault="000329D7" w:rsidP="000329D7">
            <w:pPr>
              <w:ind w:left="148" w:right="-208"/>
              <w:rPr>
                <w:rFonts w:ascii="Arial" w:hAnsi="Arial" w:cs="Arial"/>
                <w:color w:val="000000"/>
                <w:sz w:val="14"/>
                <w:szCs w:val="14"/>
              </w:rPr>
            </w:pPr>
          </w:p>
        </w:tc>
        <w:tc>
          <w:tcPr>
            <w:tcW w:w="3240" w:type="dxa"/>
            <w:shd w:val="clear" w:color="auto" w:fill="auto"/>
          </w:tcPr>
          <w:p w14:paraId="01D347BB" w14:textId="77777777" w:rsidR="000329D7" w:rsidRPr="002D2F67" w:rsidRDefault="000329D7" w:rsidP="000329D7">
            <w:pPr>
              <w:rPr>
                <w:rFonts w:ascii="Arial" w:hAnsi="Arial" w:cs="Arial"/>
                <w:color w:val="000000"/>
                <w:sz w:val="14"/>
                <w:szCs w:val="14"/>
              </w:rPr>
            </w:pPr>
          </w:p>
        </w:tc>
        <w:tc>
          <w:tcPr>
            <w:tcW w:w="1024" w:type="dxa"/>
            <w:shd w:val="clear" w:color="auto" w:fill="auto"/>
          </w:tcPr>
          <w:p w14:paraId="21738084" w14:textId="77777777" w:rsidR="000329D7" w:rsidRPr="002D2F67" w:rsidRDefault="000329D7" w:rsidP="000329D7">
            <w:pPr>
              <w:ind w:right="-72"/>
              <w:jc w:val="right"/>
              <w:rPr>
                <w:rFonts w:ascii="Arial" w:hAnsi="Arial" w:cs="Arial"/>
                <w:color w:val="000000"/>
                <w:sz w:val="14"/>
                <w:szCs w:val="14"/>
              </w:rPr>
            </w:pPr>
          </w:p>
        </w:tc>
        <w:tc>
          <w:tcPr>
            <w:tcW w:w="1024" w:type="dxa"/>
            <w:shd w:val="clear" w:color="auto" w:fill="auto"/>
          </w:tcPr>
          <w:p w14:paraId="6716088B" w14:textId="77777777" w:rsidR="000329D7" w:rsidRPr="002D2F67" w:rsidRDefault="000329D7" w:rsidP="000329D7">
            <w:pPr>
              <w:ind w:right="-72"/>
              <w:jc w:val="right"/>
              <w:rPr>
                <w:rFonts w:ascii="Arial" w:hAnsi="Arial" w:cs="Arial"/>
                <w:color w:val="000000"/>
                <w:sz w:val="14"/>
                <w:szCs w:val="14"/>
              </w:rPr>
            </w:pPr>
          </w:p>
        </w:tc>
        <w:tc>
          <w:tcPr>
            <w:tcW w:w="1024" w:type="dxa"/>
            <w:shd w:val="clear" w:color="auto" w:fill="auto"/>
          </w:tcPr>
          <w:p w14:paraId="53529D01" w14:textId="77777777" w:rsidR="000329D7" w:rsidRPr="002D2F67" w:rsidRDefault="000329D7" w:rsidP="000329D7">
            <w:pPr>
              <w:ind w:right="-72"/>
              <w:jc w:val="right"/>
              <w:rPr>
                <w:rFonts w:ascii="Arial" w:hAnsi="Arial" w:cs="Arial"/>
                <w:color w:val="000000"/>
                <w:sz w:val="14"/>
                <w:szCs w:val="14"/>
              </w:rPr>
            </w:pPr>
          </w:p>
        </w:tc>
        <w:tc>
          <w:tcPr>
            <w:tcW w:w="1024" w:type="dxa"/>
            <w:shd w:val="clear" w:color="auto" w:fill="auto"/>
          </w:tcPr>
          <w:p w14:paraId="235E0768" w14:textId="77777777" w:rsidR="000329D7" w:rsidRPr="002D2F67" w:rsidRDefault="000329D7" w:rsidP="000329D7">
            <w:pPr>
              <w:ind w:right="-72"/>
              <w:jc w:val="right"/>
              <w:rPr>
                <w:rFonts w:ascii="Arial" w:hAnsi="Arial" w:cs="Arial"/>
                <w:color w:val="000000"/>
                <w:sz w:val="14"/>
                <w:szCs w:val="14"/>
              </w:rPr>
            </w:pPr>
          </w:p>
        </w:tc>
        <w:tc>
          <w:tcPr>
            <w:tcW w:w="1145" w:type="dxa"/>
            <w:tcBorders>
              <w:top w:val="single" w:sz="4" w:space="0" w:color="auto"/>
            </w:tcBorders>
            <w:shd w:val="clear" w:color="auto" w:fill="auto"/>
          </w:tcPr>
          <w:p w14:paraId="694EE4AA" w14:textId="77777777" w:rsidR="000329D7" w:rsidRPr="002D2F67" w:rsidRDefault="000329D7" w:rsidP="000329D7">
            <w:pPr>
              <w:pStyle w:val="acctfourfigures"/>
              <w:tabs>
                <w:tab w:val="decimal" w:pos="550"/>
              </w:tabs>
              <w:spacing w:line="240" w:lineRule="auto"/>
              <w:ind w:right="-72"/>
              <w:jc w:val="right"/>
              <w:rPr>
                <w:rFonts w:ascii="Arial" w:hAnsi="Arial" w:cs="Arial"/>
                <w:noProof/>
                <w:color w:val="000000"/>
                <w:sz w:val="14"/>
                <w:szCs w:val="14"/>
              </w:rPr>
            </w:pPr>
          </w:p>
        </w:tc>
        <w:tc>
          <w:tcPr>
            <w:tcW w:w="1134" w:type="dxa"/>
            <w:tcBorders>
              <w:top w:val="single" w:sz="4" w:space="0" w:color="auto"/>
            </w:tcBorders>
            <w:shd w:val="clear" w:color="auto" w:fill="auto"/>
          </w:tcPr>
          <w:p w14:paraId="12A73D54" w14:textId="77777777" w:rsidR="000329D7" w:rsidRPr="002D2F67" w:rsidRDefault="000329D7" w:rsidP="000329D7">
            <w:pPr>
              <w:pStyle w:val="acctfourfigures"/>
              <w:tabs>
                <w:tab w:val="decimal" w:pos="550"/>
              </w:tabs>
              <w:spacing w:line="240" w:lineRule="auto"/>
              <w:ind w:right="-72"/>
              <w:jc w:val="right"/>
              <w:rPr>
                <w:rFonts w:ascii="Arial" w:hAnsi="Arial" w:cs="Arial"/>
                <w:noProof/>
                <w:color w:val="000000"/>
                <w:sz w:val="14"/>
                <w:szCs w:val="14"/>
              </w:rPr>
            </w:pPr>
          </w:p>
        </w:tc>
        <w:tc>
          <w:tcPr>
            <w:tcW w:w="1134" w:type="dxa"/>
            <w:tcBorders>
              <w:top w:val="single" w:sz="4" w:space="0" w:color="auto"/>
            </w:tcBorders>
            <w:shd w:val="clear" w:color="auto" w:fill="auto"/>
          </w:tcPr>
          <w:p w14:paraId="34E884C0" w14:textId="77777777" w:rsidR="000329D7" w:rsidRPr="002D2F67" w:rsidRDefault="000329D7" w:rsidP="000329D7">
            <w:pPr>
              <w:pStyle w:val="acctfourfigures"/>
              <w:tabs>
                <w:tab w:val="decimal" w:pos="533"/>
              </w:tabs>
              <w:spacing w:line="240" w:lineRule="auto"/>
              <w:ind w:right="-72"/>
              <w:jc w:val="right"/>
              <w:rPr>
                <w:rFonts w:ascii="Arial" w:hAnsi="Arial" w:cs="Arial"/>
                <w:noProof/>
                <w:color w:val="000000"/>
                <w:sz w:val="14"/>
                <w:szCs w:val="14"/>
              </w:rPr>
            </w:pPr>
          </w:p>
        </w:tc>
        <w:tc>
          <w:tcPr>
            <w:tcW w:w="1242" w:type="dxa"/>
            <w:tcBorders>
              <w:top w:val="single" w:sz="4" w:space="0" w:color="auto"/>
            </w:tcBorders>
            <w:shd w:val="clear" w:color="auto" w:fill="auto"/>
          </w:tcPr>
          <w:p w14:paraId="57398D4B" w14:textId="77777777" w:rsidR="000329D7" w:rsidRPr="002D2F67" w:rsidRDefault="000329D7" w:rsidP="000329D7">
            <w:pPr>
              <w:pStyle w:val="acctfourfigures"/>
              <w:tabs>
                <w:tab w:val="decimal" w:pos="533"/>
              </w:tabs>
              <w:spacing w:line="240" w:lineRule="auto"/>
              <w:ind w:right="-72"/>
              <w:jc w:val="right"/>
              <w:rPr>
                <w:rFonts w:ascii="Arial" w:hAnsi="Arial" w:cs="Arial"/>
                <w:noProof/>
                <w:color w:val="000000"/>
                <w:sz w:val="14"/>
                <w:szCs w:val="14"/>
              </w:rPr>
            </w:pPr>
          </w:p>
        </w:tc>
      </w:tr>
      <w:tr w:rsidR="000329D7" w:rsidRPr="002D2F67" w14:paraId="5BA59003" w14:textId="77777777" w:rsidTr="005611FE">
        <w:trPr>
          <w:cantSplit/>
        </w:trPr>
        <w:tc>
          <w:tcPr>
            <w:tcW w:w="2551" w:type="dxa"/>
            <w:shd w:val="clear" w:color="auto" w:fill="auto"/>
          </w:tcPr>
          <w:p w14:paraId="537B6656" w14:textId="77777777" w:rsidR="000329D7" w:rsidRPr="002D2F67" w:rsidRDefault="000329D7" w:rsidP="000329D7">
            <w:pPr>
              <w:ind w:left="148" w:right="-208"/>
              <w:rPr>
                <w:rFonts w:ascii="Arial" w:hAnsi="Arial" w:cs="Arial"/>
                <w:color w:val="000000"/>
                <w:sz w:val="14"/>
                <w:szCs w:val="14"/>
              </w:rPr>
            </w:pPr>
            <w:r w:rsidRPr="002D2F67">
              <w:rPr>
                <w:rFonts w:ascii="Arial" w:hAnsi="Arial" w:cs="Arial"/>
                <w:color w:val="000000"/>
                <w:sz w:val="14"/>
                <w:szCs w:val="14"/>
              </w:rPr>
              <w:t>Total</w:t>
            </w:r>
          </w:p>
        </w:tc>
        <w:tc>
          <w:tcPr>
            <w:tcW w:w="3240" w:type="dxa"/>
            <w:shd w:val="clear" w:color="auto" w:fill="auto"/>
          </w:tcPr>
          <w:p w14:paraId="4011DB31" w14:textId="77777777" w:rsidR="000329D7" w:rsidRPr="002D2F67" w:rsidRDefault="000329D7" w:rsidP="000329D7">
            <w:pPr>
              <w:rPr>
                <w:rFonts w:ascii="Arial" w:hAnsi="Arial" w:cs="Arial"/>
                <w:color w:val="000000"/>
                <w:sz w:val="14"/>
                <w:szCs w:val="14"/>
              </w:rPr>
            </w:pPr>
          </w:p>
        </w:tc>
        <w:tc>
          <w:tcPr>
            <w:tcW w:w="1024" w:type="dxa"/>
            <w:shd w:val="clear" w:color="auto" w:fill="auto"/>
          </w:tcPr>
          <w:p w14:paraId="0812BA80" w14:textId="77777777" w:rsidR="000329D7" w:rsidRPr="002D2F67" w:rsidRDefault="000329D7" w:rsidP="000329D7">
            <w:pPr>
              <w:ind w:right="-72"/>
              <w:jc w:val="right"/>
              <w:rPr>
                <w:rFonts w:ascii="Arial" w:hAnsi="Arial" w:cs="Arial"/>
                <w:color w:val="000000"/>
                <w:sz w:val="14"/>
                <w:szCs w:val="14"/>
              </w:rPr>
            </w:pPr>
          </w:p>
        </w:tc>
        <w:tc>
          <w:tcPr>
            <w:tcW w:w="1024" w:type="dxa"/>
            <w:shd w:val="clear" w:color="auto" w:fill="auto"/>
          </w:tcPr>
          <w:p w14:paraId="51896FDB" w14:textId="77777777" w:rsidR="000329D7" w:rsidRPr="002D2F67" w:rsidRDefault="000329D7" w:rsidP="000329D7">
            <w:pPr>
              <w:ind w:right="-72"/>
              <w:jc w:val="right"/>
              <w:rPr>
                <w:rFonts w:ascii="Arial" w:hAnsi="Arial" w:cs="Arial"/>
                <w:color w:val="000000"/>
                <w:sz w:val="14"/>
                <w:szCs w:val="14"/>
              </w:rPr>
            </w:pPr>
          </w:p>
        </w:tc>
        <w:tc>
          <w:tcPr>
            <w:tcW w:w="1024" w:type="dxa"/>
            <w:shd w:val="clear" w:color="auto" w:fill="auto"/>
          </w:tcPr>
          <w:p w14:paraId="2094F69B" w14:textId="77777777" w:rsidR="000329D7" w:rsidRPr="002D2F67" w:rsidRDefault="000329D7" w:rsidP="000329D7">
            <w:pPr>
              <w:ind w:right="-72"/>
              <w:jc w:val="right"/>
              <w:rPr>
                <w:rFonts w:ascii="Arial" w:hAnsi="Arial" w:cs="Arial"/>
                <w:color w:val="000000"/>
                <w:sz w:val="14"/>
                <w:szCs w:val="14"/>
              </w:rPr>
            </w:pPr>
          </w:p>
        </w:tc>
        <w:tc>
          <w:tcPr>
            <w:tcW w:w="1024" w:type="dxa"/>
            <w:shd w:val="clear" w:color="auto" w:fill="auto"/>
          </w:tcPr>
          <w:p w14:paraId="0DC56E2E" w14:textId="77777777" w:rsidR="000329D7" w:rsidRPr="002D2F67" w:rsidRDefault="000329D7" w:rsidP="000329D7">
            <w:pPr>
              <w:ind w:right="-72"/>
              <w:jc w:val="right"/>
              <w:rPr>
                <w:rFonts w:ascii="Arial" w:hAnsi="Arial" w:cs="Arial"/>
                <w:color w:val="000000"/>
                <w:sz w:val="14"/>
                <w:szCs w:val="14"/>
              </w:rPr>
            </w:pPr>
          </w:p>
        </w:tc>
        <w:tc>
          <w:tcPr>
            <w:tcW w:w="1145" w:type="dxa"/>
            <w:tcBorders>
              <w:bottom w:val="single" w:sz="4" w:space="0" w:color="auto"/>
            </w:tcBorders>
            <w:shd w:val="clear" w:color="auto" w:fill="auto"/>
          </w:tcPr>
          <w:p w14:paraId="6A209454" w14:textId="152503A7" w:rsidR="000329D7" w:rsidRPr="002D2F67" w:rsidRDefault="00CD5714" w:rsidP="000329D7">
            <w:pPr>
              <w:pStyle w:val="acctfourfigures"/>
              <w:tabs>
                <w:tab w:val="decimal" w:pos="550"/>
              </w:tabs>
              <w:spacing w:line="240" w:lineRule="auto"/>
              <w:ind w:right="-72"/>
              <w:jc w:val="right"/>
              <w:rPr>
                <w:rFonts w:ascii="Arial" w:hAnsi="Arial" w:cs="Arial"/>
                <w:noProof/>
                <w:color w:val="000000"/>
                <w:sz w:val="14"/>
                <w:szCs w:val="14"/>
              </w:rPr>
            </w:pPr>
            <w:r w:rsidRPr="00CD5714">
              <w:rPr>
                <w:rFonts w:ascii="Arial" w:hAnsi="Arial" w:cs="Arial"/>
                <w:noProof/>
                <w:color w:val="000000"/>
                <w:sz w:val="14"/>
                <w:szCs w:val="14"/>
                <w:lang w:val="en-GB"/>
              </w:rPr>
              <w:t>32</w:t>
            </w:r>
            <w:r w:rsidR="000329D7" w:rsidRPr="002D2F67">
              <w:rPr>
                <w:rFonts w:ascii="Arial" w:hAnsi="Arial" w:cs="Arial"/>
                <w:noProof/>
                <w:color w:val="000000"/>
                <w:sz w:val="14"/>
                <w:szCs w:val="14"/>
              </w:rPr>
              <w:t>,</w:t>
            </w:r>
            <w:r w:rsidRPr="00CD5714">
              <w:rPr>
                <w:rFonts w:ascii="Arial" w:hAnsi="Arial" w:cs="Arial"/>
                <w:noProof/>
                <w:color w:val="000000"/>
                <w:sz w:val="14"/>
                <w:szCs w:val="14"/>
                <w:lang w:val="en-GB"/>
              </w:rPr>
              <w:t>771</w:t>
            </w:r>
            <w:r w:rsidR="000329D7" w:rsidRPr="002D2F67">
              <w:rPr>
                <w:rFonts w:ascii="Arial" w:hAnsi="Arial" w:cs="Arial"/>
                <w:noProof/>
                <w:color w:val="000000"/>
                <w:sz w:val="14"/>
                <w:szCs w:val="14"/>
              </w:rPr>
              <w:t>,</w:t>
            </w:r>
            <w:r w:rsidRPr="00CD5714">
              <w:rPr>
                <w:rFonts w:ascii="Arial" w:hAnsi="Arial" w:cs="Arial"/>
                <w:noProof/>
                <w:color w:val="000000"/>
                <w:sz w:val="14"/>
                <w:szCs w:val="14"/>
                <w:lang w:val="en-GB"/>
              </w:rPr>
              <w:t>226</w:t>
            </w:r>
          </w:p>
        </w:tc>
        <w:tc>
          <w:tcPr>
            <w:tcW w:w="1134" w:type="dxa"/>
            <w:tcBorders>
              <w:bottom w:val="single" w:sz="4" w:space="0" w:color="auto"/>
            </w:tcBorders>
            <w:shd w:val="clear" w:color="auto" w:fill="auto"/>
          </w:tcPr>
          <w:p w14:paraId="7EE74E80" w14:textId="3EF38439" w:rsidR="000329D7" w:rsidRPr="002D2F67" w:rsidRDefault="00CD5714" w:rsidP="000329D7">
            <w:pPr>
              <w:pStyle w:val="acctfourfigures"/>
              <w:tabs>
                <w:tab w:val="decimal" w:pos="550"/>
              </w:tabs>
              <w:spacing w:line="240" w:lineRule="auto"/>
              <w:ind w:right="-72"/>
              <w:jc w:val="right"/>
              <w:rPr>
                <w:rFonts w:ascii="Arial" w:hAnsi="Arial" w:cs="Arial"/>
                <w:noProof/>
                <w:color w:val="000000"/>
                <w:sz w:val="14"/>
                <w:szCs w:val="14"/>
              </w:rPr>
            </w:pPr>
            <w:r w:rsidRPr="00CD5714">
              <w:rPr>
                <w:rFonts w:ascii="Arial" w:hAnsi="Arial" w:cs="Arial"/>
                <w:noProof/>
                <w:color w:val="000000"/>
                <w:sz w:val="14"/>
                <w:szCs w:val="14"/>
                <w:lang w:val="en-GB"/>
              </w:rPr>
              <w:t>32</w:t>
            </w:r>
            <w:r w:rsidR="000329D7" w:rsidRPr="002D2F67">
              <w:rPr>
                <w:rFonts w:ascii="Arial" w:hAnsi="Arial" w:cs="Arial"/>
                <w:noProof/>
                <w:color w:val="000000"/>
                <w:sz w:val="14"/>
                <w:szCs w:val="14"/>
              </w:rPr>
              <w:t>,</w:t>
            </w:r>
            <w:r w:rsidRPr="00CD5714">
              <w:rPr>
                <w:rFonts w:ascii="Arial" w:hAnsi="Arial" w:cs="Arial"/>
                <w:noProof/>
                <w:color w:val="000000"/>
                <w:sz w:val="14"/>
                <w:szCs w:val="14"/>
                <w:lang w:val="en-GB"/>
              </w:rPr>
              <w:t>647</w:t>
            </w:r>
            <w:r w:rsidR="000329D7" w:rsidRPr="002D2F67">
              <w:rPr>
                <w:rFonts w:ascii="Arial" w:hAnsi="Arial" w:cs="Arial"/>
                <w:noProof/>
                <w:color w:val="000000"/>
                <w:sz w:val="14"/>
                <w:szCs w:val="14"/>
              </w:rPr>
              <w:t>,</w:t>
            </w:r>
            <w:r w:rsidRPr="00CD5714">
              <w:rPr>
                <w:rFonts w:ascii="Arial" w:hAnsi="Arial" w:cs="Arial"/>
                <w:noProof/>
                <w:color w:val="000000"/>
                <w:sz w:val="14"/>
                <w:szCs w:val="14"/>
                <w:lang w:val="en-GB"/>
              </w:rPr>
              <w:t>226</w:t>
            </w:r>
          </w:p>
        </w:tc>
        <w:tc>
          <w:tcPr>
            <w:tcW w:w="1134" w:type="dxa"/>
            <w:tcBorders>
              <w:bottom w:val="single" w:sz="4" w:space="0" w:color="auto"/>
            </w:tcBorders>
            <w:shd w:val="clear" w:color="auto" w:fill="auto"/>
          </w:tcPr>
          <w:p w14:paraId="0ABB8B99" w14:textId="2FEE6522" w:rsidR="000329D7" w:rsidRPr="002D2F67" w:rsidRDefault="00CD5714" w:rsidP="000329D7">
            <w:pPr>
              <w:pStyle w:val="acctfourfigures"/>
              <w:tabs>
                <w:tab w:val="decimal" w:pos="533"/>
              </w:tabs>
              <w:spacing w:line="240" w:lineRule="auto"/>
              <w:ind w:right="-72"/>
              <w:jc w:val="right"/>
              <w:rPr>
                <w:rFonts w:ascii="Arial" w:hAnsi="Arial" w:cs="Arial"/>
                <w:color w:val="000000"/>
                <w:sz w:val="14"/>
                <w:szCs w:val="14"/>
              </w:rPr>
            </w:pPr>
            <w:r w:rsidRPr="00CD5714">
              <w:rPr>
                <w:rFonts w:ascii="Arial" w:hAnsi="Arial" w:cs="Arial"/>
                <w:color w:val="000000"/>
                <w:sz w:val="14"/>
                <w:szCs w:val="14"/>
                <w:lang w:val="en-GB"/>
              </w:rPr>
              <w:t>1</w:t>
            </w:r>
            <w:r w:rsidR="00CC0816" w:rsidRPr="002D2F67">
              <w:rPr>
                <w:rFonts w:ascii="Arial" w:hAnsi="Arial" w:cs="Arial"/>
                <w:color w:val="000000"/>
                <w:sz w:val="14"/>
                <w:szCs w:val="14"/>
              </w:rPr>
              <w:t>,</w:t>
            </w:r>
            <w:r w:rsidRPr="00CD5714">
              <w:rPr>
                <w:rFonts w:ascii="Arial" w:hAnsi="Arial" w:cs="Arial"/>
                <w:color w:val="000000"/>
                <w:sz w:val="14"/>
                <w:szCs w:val="14"/>
                <w:lang w:val="en-GB"/>
              </w:rPr>
              <w:t>956</w:t>
            </w:r>
            <w:r w:rsidR="00CC0816" w:rsidRPr="002D2F67">
              <w:rPr>
                <w:rFonts w:ascii="Arial" w:hAnsi="Arial" w:cs="Arial"/>
                <w:color w:val="000000"/>
                <w:sz w:val="14"/>
                <w:szCs w:val="14"/>
              </w:rPr>
              <w:t>,</w:t>
            </w:r>
            <w:r w:rsidRPr="00CD5714">
              <w:rPr>
                <w:rFonts w:ascii="Arial" w:hAnsi="Arial" w:cs="Arial"/>
                <w:color w:val="000000"/>
                <w:sz w:val="14"/>
                <w:szCs w:val="14"/>
                <w:lang w:val="en-GB"/>
              </w:rPr>
              <w:t>262</w:t>
            </w:r>
          </w:p>
        </w:tc>
        <w:tc>
          <w:tcPr>
            <w:tcW w:w="1242" w:type="dxa"/>
            <w:tcBorders>
              <w:bottom w:val="single" w:sz="4" w:space="0" w:color="auto"/>
            </w:tcBorders>
            <w:shd w:val="clear" w:color="auto" w:fill="auto"/>
          </w:tcPr>
          <w:p w14:paraId="57E7333D" w14:textId="13979646" w:rsidR="000329D7" w:rsidRPr="002D2F67" w:rsidRDefault="00CD5714" w:rsidP="000329D7">
            <w:pPr>
              <w:pStyle w:val="acctfourfigures"/>
              <w:tabs>
                <w:tab w:val="decimal" w:pos="533"/>
              </w:tabs>
              <w:spacing w:line="240" w:lineRule="auto"/>
              <w:ind w:right="-72"/>
              <w:jc w:val="right"/>
              <w:rPr>
                <w:rFonts w:ascii="Arial" w:hAnsi="Arial" w:cs="Arial"/>
                <w:color w:val="000000"/>
              </w:rPr>
            </w:pPr>
            <w:r w:rsidRPr="00CD5714">
              <w:rPr>
                <w:rFonts w:ascii="Arial" w:hAnsi="Arial" w:cs="Arial"/>
                <w:color w:val="000000"/>
                <w:sz w:val="14"/>
                <w:szCs w:val="14"/>
                <w:lang w:val="en-GB"/>
              </w:rPr>
              <w:t>11</w:t>
            </w:r>
            <w:r w:rsidR="000329D7" w:rsidRPr="002D2F67">
              <w:rPr>
                <w:rFonts w:ascii="Arial" w:hAnsi="Arial" w:cs="Arial"/>
                <w:color w:val="000000"/>
                <w:sz w:val="14"/>
                <w:szCs w:val="14"/>
              </w:rPr>
              <w:t>,</w:t>
            </w:r>
            <w:r w:rsidRPr="00CD5714">
              <w:rPr>
                <w:rFonts w:ascii="Arial" w:hAnsi="Arial" w:cs="Arial"/>
                <w:color w:val="000000"/>
                <w:sz w:val="14"/>
                <w:szCs w:val="14"/>
                <w:lang w:val="en-GB"/>
              </w:rPr>
              <w:t>932</w:t>
            </w:r>
            <w:r w:rsidR="000329D7" w:rsidRPr="002D2F67">
              <w:rPr>
                <w:rFonts w:ascii="Arial" w:hAnsi="Arial" w:cs="Arial"/>
                <w:color w:val="000000"/>
                <w:sz w:val="14"/>
                <w:szCs w:val="14"/>
              </w:rPr>
              <w:t>,</w:t>
            </w:r>
            <w:r w:rsidRPr="00CD5714">
              <w:rPr>
                <w:rFonts w:ascii="Arial" w:hAnsi="Arial" w:cs="Arial"/>
                <w:noProof/>
                <w:color w:val="000000"/>
                <w:sz w:val="14"/>
                <w:szCs w:val="14"/>
                <w:lang w:val="en-GB"/>
              </w:rPr>
              <w:t>546</w:t>
            </w:r>
          </w:p>
        </w:tc>
      </w:tr>
      <w:tr w:rsidR="000329D7" w:rsidRPr="002D2F67" w14:paraId="3AC04135" w14:textId="77777777" w:rsidTr="005611FE">
        <w:trPr>
          <w:cantSplit/>
        </w:trPr>
        <w:tc>
          <w:tcPr>
            <w:tcW w:w="2551" w:type="dxa"/>
            <w:shd w:val="clear" w:color="auto" w:fill="auto"/>
          </w:tcPr>
          <w:p w14:paraId="7992AFA8" w14:textId="77777777" w:rsidR="000329D7" w:rsidRPr="002D2F67" w:rsidRDefault="000329D7" w:rsidP="000329D7">
            <w:pPr>
              <w:ind w:left="148" w:right="-208"/>
              <w:rPr>
                <w:rFonts w:ascii="Arial" w:hAnsi="Arial" w:cs="Arial"/>
                <w:color w:val="000000"/>
                <w:sz w:val="14"/>
                <w:szCs w:val="14"/>
              </w:rPr>
            </w:pPr>
          </w:p>
        </w:tc>
        <w:tc>
          <w:tcPr>
            <w:tcW w:w="3240" w:type="dxa"/>
            <w:shd w:val="clear" w:color="auto" w:fill="auto"/>
          </w:tcPr>
          <w:p w14:paraId="0B69C7CE" w14:textId="77777777" w:rsidR="000329D7" w:rsidRPr="002D2F67" w:rsidRDefault="000329D7" w:rsidP="000329D7">
            <w:pPr>
              <w:rPr>
                <w:rFonts w:ascii="Arial" w:hAnsi="Arial" w:cs="Arial"/>
                <w:color w:val="000000"/>
                <w:sz w:val="14"/>
                <w:szCs w:val="14"/>
              </w:rPr>
            </w:pPr>
          </w:p>
        </w:tc>
        <w:tc>
          <w:tcPr>
            <w:tcW w:w="1024" w:type="dxa"/>
            <w:shd w:val="clear" w:color="auto" w:fill="auto"/>
          </w:tcPr>
          <w:p w14:paraId="7422E267" w14:textId="77777777" w:rsidR="000329D7" w:rsidRPr="002D2F67" w:rsidRDefault="000329D7" w:rsidP="000329D7">
            <w:pPr>
              <w:ind w:right="-72"/>
              <w:jc w:val="right"/>
              <w:rPr>
                <w:rFonts w:ascii="Arial" w:hAnsi="Arial" w:cs="Arial"/>
                <w:color w:val="000000"/>
                <w:sz w:val="14"/>
                <w:szCs w:val="14"/>
              </w:rPr>
            </w:pPr>
          </w:p>
        </w:tc>
        <w:tc>
          <w:tcPr>
            <w:tcW w:w="1024" w:type="dxa"/>
            <w:shd w:val="clear" w:color="auto" w:fill="auto"/>
          </w:tcPr>
          <w:p w14:paraId="79548EF0" w14:textId="77777777" w:rsidR="000329D7" w:rsidRPr="002D2F67" w:rsidRDefault="000329D7" w:rsidP="000329D7">
            <w:pPr>
              <w:ind w:right="-72"/>
              <w:jc w:val="right"/>
              <w:rPr>
                <w:rFonts w:ascii="Arial" w:hAnsi="Arial" w:cs="Arial"/>
                <w:color w:val="000000"/>
                <w:sz w:val="14"/>
                <w:szCs w:val="14"/>
              </w:rPr>
            </w:pPr>
          </w:p>
        </w:tc>
        <w:tc>
          <w:tcPr>
            <w:tcW w:w="1024" w:type="dxa"/>
            <w:shd w:val="clear" w:color="auto" w:fill="auto"/>
          </w:tcPr>
          <w:p w14:paraId="3BFC8167" w14:textId="77777777" w:rsidR="000329D7" w:rsidRPr="002D2F67" w:rsidRDefault="000329D7" w:rsidP="000329D7">
            <w:pPr>
              <w:ind w:right="-72"/>
              <w:jc w:val="right"/>
              <w:rPr>
                <w:rFonts w:ascii="Arial" w:hAnsi="Arial" w:cs="Arial"/>
                <w:color w:val="000000"/>
                <w:sz w:val="14"/>
                <w:szCs w:val="14"/>
              </w:rPr>
            </w:pPr>
          </w:p>
        </w:tc>
        <w:tc>
          <w:tcPr>
            <w:tcW w:w="1024" w:type="dxa"/>
            <w:shd w:val="clear" w:color="auto" w:fill="auto"/>
          </w:tcPr>
          <w:p w14:paraId="60FD1BC4" w14:textId="77777777" w:rsidR="000329D7" w:rsidRPr="002D2F67" w:rsidRDefault="000329D7" w:rsidP="000329D7">
            <w:pPr>
              <w:ind w:right="-72"/>
              <w:jc w:val="right"/>
              <w:rPr>
                <w:rFonts w:ascii="Arial" w:hAnsi="Arial" w:cs="Arial"/>
                <w:color w:val="000000"/>
                <w:sz w:val="14"/>
                <w:szCs w:val="14"/>
              </w:rPr>
            </w:pPr>
          </w:p>
        </w:tc>
        <w:tc>
          <w:tcPr>
            <w:tcW w:w="1145" w:type="dxa"/>
            <w:tcBorders>
              <w:top w:val="single" w:sz="4" w:space="0" w:color="auto"/>
            </w:tcBorders>
            <w:shd w:val="clear" w:color="auto" w:fill="auto"/>
          </w:tcPr>
          <w:p w14:paraId="691F15C0" w14:textId="77777777" w:rsidR="000329D7" w:rsidRPr="002D2F67" w:rsidRDefault="000329D7" w:rsidP="000329D7">
            <w:pPr>
              <w:pStyle w:val="acctfourfigures"/>
              <w:tabs>
                <w:tab w:val="decimal" w:pos="550"/>
              </w:tabs>
              <w:spacing w:line="240" w:lineRule="auto"/>
              <w:ind w:right="-72"/>
              <w:jc w:val="right"/>
              <w:rPr>
                <w:rFonts w:ascii="Arial" w:hAnsi="Arial" w:cs="Arial"/>
                <w:noProof/>
                <w:color w:val="000000"/>
                <w:sz w:val="14"/>
                <w:szCs w:val="14"/>
              </w:rPr>
            </w:pPr>
          </w:p>
        </w:tc>
        <w:tc>
          <w:tcPr>
            <w:tcW w:w="1134" w:type="dxa"/>
            <w:tcBorders>
              <w:top w:val="single" w:sz="4" w:space="0" w:color="auto"/>
            </w:tcBorders>
            <w:shd w:val="clear" w:color="auto" w:fill="auto"/>
          </w:tcPr>
          <w:p w14:paraId="68926800" w14:textId="77777777" w:rsidR="000329D7" w:rsidRPr="002D2F67" w:rsidRDefault="000329D7" w:rsidP="000329D7">
            <w:pPr>
              <w:pStyle w:val="acctfourfigures"/>
              <w:tabs>
                <w:tab w:val="decimal" w:pos="550"/>
              </w:tabs>
              <w:spacing w:line="240" w:lineRule="auto"/>
              <w:ind w:right="-72"/>
              <w:jc w:val="right"/>
              <w:rPr>
                <w:rFonts w:ascii="Arial" w:hAnsi="Arial" w:cs="Arial"/>
                <w:noProof/>
                <w:color w:val="000000"/>
                <w:sz w:val="14"/>
                <w:szCs w:val="14"/>
              </w:rPr>
            </w:pPr>
          </w:p>
        </w:tc>
        <w:tc>
          <w:tcPr>
            <w:tcW w:w="1134" w:type="dxa"/>
            <w:tcBorders>
              <w:top w:val="single" w:sz="4" w:space="0" w:color="auto"/>
            </w:tcBorders>
            <w:shd w:val="clear" w:color="auto" w:fill="auto"/>
          </w:tcPr>
          <w:p w14:paraId="53ACAE80" w14:textId="77777777" w:rsidR="000329D7" w:rsidRPr="002D2F67" w:rsidRDefault="000329D7" w:rsidP="000329D7">
            <w:pPr>
              <w:pStyle w:val="acctfourfigures"/>
              <w:tabs>
                <w:tab w:val="decimal" w:pos="533"/>
              </w:tabs>
              <w:spacing w:line="240" w:lineRule="auto"/>
              <w:ind w:right="-72"/>
              <w:jc w:val="right"/>
              <w:rPr>
                <w:rFonts w:ascii="Arial" w:hAnsi="Arial" w:cs="Arial"/>
                <w:noProof/>
                <w:color w:val="000000"/>
                <w:sz w:val="14"/>
                <w:szCs w:val="14"/>
              </w:rPr>
            </w:pPr>
          </w:p>
        </w:tc>
        <w:tc>
          <w:tcPr>
            <w:tcW w:w="1242" w:type="dxa"/>
            <w:tcBorders>
              <w:top w:val="single" w:sz="4" w:space="0" w:color="auto"/>
            </w:tcBorders>
            <w:shd w:val="clear" w:color="auto" w:fill="auto"/>
          </w:tcPr>
          <w:p w14:paraId="22AF50EC" w14:textId="77777777" w:rsidR="000329D7" w:rsidRPr="002D2F67" w:rsidRDefault="000329D7" w:rsidP="000329D7">
            <w:pPr>
              <w:pStyle w:val="acctfourfigures"/>
              <w:tabs>
                <w:tab w:val="clear" w:pos="765"/>
                <w:tab w:val="decimal" w:pos="550"/>
              </w:tabs>
              <w:spacing w:line="240" w:lineRule="auto"/>
              <w:ind w:right="-72"/>
              <w:jc w:val="right"/>
              <w:rPr>
                <w:rFonts w:ascii="Arial" w:hAnsi="Arial" w:cs="Arial"/>
                <w:noProof/>
                <w:color w:val="000000"/>
                <w:sz w:val="14"/>
                <w:szCs w:val="14"/>
              </w:rPr>
            </w:pPr>
          </w:p>
        </w:tc>
      </w:tr>
      <w:tr w:rsidR="000329D7" w:rsidRPr="002D2F67" w14:paraId="34EA24F0" w14:textId="77777777" w:rsidTr="005611FE">
        <w:trPr>
          <w:cantSplit/>
        </w:trPr>
        <w:tc>
          <w:tcPr>
            <w:tcW w:w="2551" w:type="dxa"/>
            <w:shd w:val="clear" w:color="auto" w:fill="auto"/>
          </w:tcPr>
          <w:p w14:paraId="7C924F10" w14:textId="77777777" w:rsidR="000329D7" w:rsidRPr="002D2F67" w:rsidRDefault="000329D7" w:rsidP="000329D7">
            <w:pPr>
              <w:ind w:left="148" w:right="-208"/>
              <w:rPr>
                <w:rFonts w:ascii="Arial" w:hAnsi="Arial" w:cs="Arial"/>
                <w:color w:val="000000"/>
                <w:sz w:val="14"/>
                <w:szCs w:val="14"/>
              </w:rPr>
            </w:pPr>
          </w:p>
        </w:tc>
        <w:tc>
          <w:tcPr>
            <w:tcW w:w="3240" w:type="dxa"/>
            <w:shd w:val="clear" w:color="auto" w:fill="auto"/>
          </w:tcPr>
          <w:p w14:paraId="13F01D97" w14:textId="77777777" w:rsidR="000329D7" w:rsidRPr="002D2F67" w:rsidRDefault="000329D7" w:rsidP="000329D7">
            <w:pPr>
              <w:rPr>
                <w:rFonts w:ascii="Arial" w:hAnsi="Arial" w:cs="Arial"/>
                <w:color w:val="000000"/>
                <w:sz w:val="14"/>
                <w:szCs w:val="14"/>
              </w:rPr>
            </w:pPr>
          </w:p>
        </w:tc>
        <w:tc>
          <w:tcPr>
            <w:tcW w:w="1024" w:type="dxa"/>
            <w:shd w:val="clear" w:color="auto" w:fill="auto"/>
          </w:tcPr>
          <w:p w14:paraId="7DABD83C" w14:textId="77777777" w:rsidR="000329D7" w:rsidRPr="002D2F67" w:rsidRDefault="000329D7" w:rsidP="000329D7">
            <w:pPr>
              <w:ind w:right="-72"/>
              <w:jc w:val="right"/>
              <w:rPr>
                <w:rFonts w:ascii="Arial" w:hAnsi="Arial" w:cs="Arial"/>
                <w:color w:val="000000"/>
                <w:sz w:val="14"/>
                <w:szCs w:val="14"/>
              </w:rPr>
            </w:pPr>
          </w:p>
        </w:tc>
        <w:tc>
          <w:tcPr>
            <w:tcW w:w="1024" w:type="dxa"/>
            <w:shd w:val="clear" w:color="auto" w:fill="auto"/>
          </w:tcPr>
          <w:p w14:paraId="44936058" w14:textId="77777777" w:rsidR="000329D7" w:rsidRPr="002D2F67" w:rsidRDefault="000329D7" w:rsidP="000329D7">
            <w:pPr>
              <w:ind w:right="-72"/>
              <w:jc w:val="right"/>
              <w:rPr>
                <w:rFonts w:ascii="Arial" w:hAnsi="Arial" w:cs="Arial"/>
                <w:color w:val="000000"/>
                <w:sz w:val="14"/>
                <w:szCs w:val="14"/>
              </w:rPr>
            </w:pPr>
          </w:p>
        </w:tc>
        <w:tc>
          <w:tcPr>
            <w:tcW w:w="1024" w:type="dxa"/>
            <w:shd w:val="clear" w:color="auto" w:fill="auto"/>
          </w:tcPr>
          <w:p w14:paraId="64E3F532" w14:textId="77777777" w:rsidR="000329D7" w:rsidRPr="002D2F67" w:rsidRDefault="000329D7" w:rsidP="000329D7">
            <w:pPr>
              <w:ind w:right="-72"/>
              <w:jc w:val="right"/>
              <w:rPr>
                <w:rFonts w:ascii="Arial" w:hAnsi="Arial" w:cs="Arial"/>
                <w:color w:val="000000"/>
                <w:sz w:val="14"/>
                <w:szCs w:val="14"/>
              </w:rPr>
            </w:pPr>
          </w:p>
        </w:tc>
        <w:tc>
          <w:tcPr>
            <w:tcW w:w="1024" w:type="dxa"/>
            <w:shd w:val="clear" w:color="auto" w:fill="auto"/>
          </w:tcPr>
          <w:p w14:paraId="18426837" w14:textId="77777777" w:rsidR="000329D7" w:rsidRPr="002D2F67" w:rsidRDefault="000329D7" w:rsidP="000329D7">
            <w:pPr>
              <w:ind w:right="-72"/>
              <w:jc w:val="right"/>
              <w:rPr>
                <w:rFonts w:ascii="Arial" w:hAnsi="Arial" w:cs="Arial"/>
                <w:color w:val="000000"/>
                <w:sz w:val="14"/>
                <w:szCs w:val="14"/>
              </w:rPr>
            </w:pPr>
          </w:p>
        </w:tc>
        <w:tc>
          <w:tcPr>
            <w:tcW w:w="1145" w:type="dxa"/>
            <w:shd w:val="clear" w:color="auto" w:fill="auto"/>
          </w:tcPr>
          <w:p w14:paraId="46A4D2C8" w14:textId="77777777" w:rsidR="000329D7" w:rsidRPr="002D2F67" w:rsidRDefault="000329D7" w:rsidP="000329D7">
            <w:pPr>
              <w:pStyle w:val="acctfourfigures"/>
              <w:tabs>
                <w:tab w:val="decimal" w:pos="550"/>
              </w:tabs>
              <w:spacing w:line="240" w:lineRule="auto"/>
              <w:ind w:right="-72"/>
              <w:jc w:val="right"/>
              <w:rPr>
                <w:rFonts w:ascii="Arial" w:hAnsi="Arial" w:cs="Arial"/>
                <w:noProof/>
                <w:color w:val="000000"/>
                <w:sz w:val="14"/>
                <w:szCs w:val="14"/>
              </w:rPr>
            </w:pPr>
          </w:p>
        </w:tc>
        <w:tc>
          <w:tcPr>
            <w:tcW w:w="1134" w:type="dxa"/>
            <w:shd w:val="clear" w:color="auto" w:fill="auto"/>
          </w:tcPr>
          <w:p w14:paraId="3C372377" w14:textId="77777777" w:rsidR="000329D7" w:rsidRPr="002D2F67" w:rsidRDefault="000329D7" w:rsidP="000329D7">
            <w:pPr>
              <w:pStyle w:val="acctfourfigures"/>
              <w:tabs>
                <w:tab w:val="decimal" w:pos="550"/>
              </w:tabs>
              <w:spacing w:line="240" w:lineRule="auto"/>
              <w:ind w:right="-72"/>
              <w:jc w:val="right"/>
              <w:rPr>
                <w:rFonts w:ascii="Arial" w:hAnsi="Arial" w:cs="Arial"/>
                <w:noProof/>
                <w:color w:val="000000"/>
                <w:sz w:val="14"/>
                <w:szCs w:val="14"/>
              </w:rPr>
            </w:pPr>
          </w:p>
        </w:tc>
        <w:tc>
          <w:tcPr>
            <w:tcW w:w="1134" w:type="dxa"/>
            <w:shd w:val="clear" w:color="auto" w:fill="auto"/>
          </w:tcPr>
          <w:p w14:paraId="2A5859C8" w14:textId="77777777" w:rsidR="000329D7" w:rsidRPr="002D2F67" w:rsidRDefault="000329D7" w:rsidP="000329D7">
            <w:pPr>
              <w:pStyle w:val="acctfourfigures"/>
              <w:tabs>
                <w:tab w:val="decimal" w:pos="533"/>
              </w:tabs>
              <w:spacing w:line="240" w:lineRule="auto"/>
              <w:ind w:right="-72"/>
              <w:jc w:val="right"/>
              <w:rPr>
                <w:rFonts w:ascii="Arial" w:hAnsi="Arial" w:cs="Arial"/>
                <w:noProof/>
                <w:color w:val="000000"/>
                <w:sz w:val="14"/>
                <w:szCs w:val="14"/>
              </w:rPr>
            </w:pPr>
          </w:p>
        </w:tc>
        <w:tc>
          <w:tcPr>
            <w:tcW w:w="1242" w:type="dxa"/>
            <w:shd w:val="clear" w:color="auto" w:fill="auto"/>
          </w:tcPr>
          <w:p w14:paraId="1A79276C" w14:textId="77777777" w:rsidR="000329D7" w:rsidRPr="002D2F67" w:rsidRDefault="000329D7" w:rsidP="000329D7">
            <w:pPr>
              <w:pStyle w:val="acctfourfigures"/>
              <w:tabs>
                <w:tab w:val="clear" w:pos="765"/>
                <w:tab w:val="decimal" w:pos="550"/>
              </w:tabs>
              <w:spacing w:line="240" w:lineRule="auto"/>
              <w:ind w:right="-72"/>
              <w:jc w:val="right"/>
              <w:rPr>
                <w:rFonts w:ascii="Arial" w:hAnsi="Arial" w:cs="Arial"/>
                <w:noProof/>
                <w:color w:val="000000"/>
                <w:sz w:val="14"/>
                <w:szCs w:val="14"/>
              </w:rPr>
            </w:pPr>
          </w:p>
        </w:tc>
      </w:tr>
      <w:tr w:rsidR="000329D7" w:rsidRPr="002D2F67" w14:paraId="6B5A44E6" w14:textId="77777777" w:rsidTr="005611FE">
        <w:trPr>
          <w:cantSplit/>
        </w:trPr>
        <w:tc>
          <w:tcPr>
            <w:tcW w:w="5791" w:type="dxa"/>
            <w:gridSpan w:val="2"/>
            <w:shd w:val="clear" w:color="auto" w:fill="auto"/>
          </w:tcPr>
          <w:p w14:paraId="1597E8B3" w14:textId="77777777" w:rsidR="000329D7" w:rsidRPr="002D2F67" w:rsidRDefault="000329D7" w:rsidP="000329D7">
            <w:pPr>
              <w:pStyle w:val="acctfourfigures"/>
              <w:tabs>
                <w:tab w:val="clear" w:pos="765"/>
                <w:tab w:val="decimal" w:pos="550"/>
              </w:tabs>
              <w:spacing w:line="240" w:lineRule="auto"/>
              <w:ind w:left="141" w:right="-72"/>
              <w:rPr>
                <w:rFonts w:ascii="Arial" w:hAnsi="Arial" w:cs="Arial"/>
                <w:color w:val="000000"/>
                <w:sz w:val="14"/>
                <w:szCs w:val="14"/>
                <w:lang w:bidi="th-TH"/>
              </w:rPr>
            </w:pPr>
            <w:r w:rsidRPr="002D2F67">
              <w:rPr>
                <w:rFonts w:ascii="Arial" w:hAnsi="Arial" w:cs="Arial"/>
                <w:color w:val="000000"/>
                <w:sz w:val="14"/>
                <w:szCs w:val="14"/>
                <w:lang w:bidi="th-TH"/>
              </w:rPr>
              <w:t>The details of direct subsidiaries incorporated in other countries</w:t>
            </w:r>
          </w:p>
        </w:tc>
        <w:tc>
          <w:tcPr>
            <w:tcW w:w="1024" w:type="dxa"/>
            <w:shd w:val="clear" w:color="auto" w:fill="auto"/>
          </w:tcPr>
          <w:p w14:paraId="7FC6E8E0" w14:textId="77777777" w:rsidR="000329D7" w:rsidRPr="002D2F67" w:rsidRDefault="000329D7" w:rsidP="000329D7">
            <w:pPr>
              <w:pStyle w:val="acctfourfigures"/>
              <w:tabs>
                <w:tab w:val="clear" w:pos="765"/>
              </w:tabs>
              <w:spacing w:line="240" w:lineRule="auto"/>
              <w:ind w:right="-72"/>
              <w:jc w:val="right"/>
              <w:rPr>
                <w:rFonts w:ascii="Arial" w:hAnsi="Arial" w:cs="Arial"/>
                <w:color w:val="000000"/>
                <w:sz w:val="14"/>
                <w:szCs w:val="14"/>
                <w:lang w:bidi="th-TH"/>
              </w:rPr>
            </w:pPr>
          </w:p>
        </w:tc>
        <w:tc>
          <w:tcPr>
            <w:tcW w:w="1024" w:type="dxa"/>
            <w:shd w:val="clear" w:color="auto" w:fill="auto"/>
          </w:tcPr>
          <w:p w14:paraId="0CE0CF04" w14:textId="77777777" w:rsidR="000329D7" w:rsidRPr="002D2F67" w:rsidRDefault="000329D7" w:rsidP="000329D7">
            <w:pPr>
              <w:pStyle w:val="acctfourfigures"/>
              <w:tabs>
                <w:tab w:val="clear" w:pos="765"/>
              </w:tabs>
              <w:spacing w:line="240" w:lineRule="auto"/>
              <w:ind w:right="-72"/>
              <w:jc w:val="right"/>
              <w:rPr>
                <w:rFonts w:ascii="Arial" w:hAnsi="Arial" w:cs="Arial"/>
                <w:color w:val="000000"/>
                <w:sz w:val="14"/>
                <w:szCs w:val="14"/>
                <w:lang w:bidi="th-TH"/>
              </w:rPr>
            </w:pPr>
          </w:p>
        </w:tc>
        <w:tc>
          <w:tcPr>
            <w:tcW w:w="1024" w:type="dxa"/>
            <w:shd w:val="clear" w:color="auto" w:fill="auto"/>
          </w:tcPr>
          <w:p w14:paraId="277286D3" w14:textId="77777777" w:rsidR="000329D7" w:rsidRPr="002D2F67" w:rsidRDefault="000329D7" w:rsidP="000329D7">
            <w:pPr>
              <w:pStyle w:val="acctfourfigures"/>
              <w:tabs>
                <w:tab w:val="clear" w:pos="765"/>
              </w:tabs>
              <w:spacing w:line="240" w:lineRule="auto"/>
              <w:ind w:right="-72"/>
              <w:jc w:val="right"/>
              <w:rPr>
                <w:rFonts w:ascii="Arial" w:hAnsi="Arial" w:cs="Arial"/>
                <w:color w:val="000000"/>
                <w:sz w:val="14"/>
                <w:szCs w:val="14"/>
                <w:lang w:bidi="th-TH"/>
              </w:rPr>
            </w:pPr>
          </w:p>
        </w:tc>
        <w:tc>
          <w:tcPr>
            <w:tcW w:w="1024" w:type="dxa"/>
            <w:shd w:val="clear" w:color="auto" w:fill="auto"/>
          </w:tcPr>
          <w:p w14:paraId="6FAB133B" w14:textId="77777777" w:rsidR="000329D7" w:rsidRPr="002D2F67" w:rsidRDefault="000329D7" w:rsidP="000329D7">
            <w:pPr>
              <w:pStyle w:val="acctfourfigures"/>
              <w:tabs>
                <w:tab w:val="clear" w:pos="765"/>
              </w:tabs>
              <w:spacing w:line="240" w:lineRule="auto"/>
              <w:ind w:right="-72"/>
              <w:jc w:val="right"/>
              <w:rPr>
                <w:rFonts w:ascii="Arial" w:hAnsi="Arial" w:cs="Arial"/>
                <w:color w:val="000000"/>
                <w:sz w:val="14"/>
                <w:szCs w:val="14"/>
                <w:lang w:bidi="th-TH"/>
              </w:rPr>
            </w:pPr>
          </w:p>
        </w:tc>
        <w:tc>
          <w:tcPr>
            <w:tcW w:w="1145" w:type="dxa"/>
            <w:shd w:val="clear" w:color="auto" w:fill="auto"/>
          </w:tcPr>
          <w:p w14:paraId="110DC2AF" w14:textId="77777777" w:rsidR="000329D7" w:rsidRPr="002D2F67" w:rsidRDefault="000329D7" w:rsidP="000329D7">
            <w:pPr>
              <w:pStyle w:val="acctfourfigures"/>
              <w:tabs>
                <w:tab w:val="clear" w:pos="765"/>
              </w:tabs>
              <w:spacing w:line="240" w:lineRule="auto"/>
              <w:ind w:right="-72"/>
              <w:jc w:val="right"/>
              <w:rPr>
                <w:rFonts w:ascii="Arial" w:hAnsi="Arial" w:cs="Arial"/>
                <w:color w:val="000000"/>
                <w:sz w:val="14"/>
                <w:szCs w:val="14"/>
                <w:lang w:bidi="th-TH"/>
              </w:rPr>
            </w:pPr>
          </w:p>
        </w:tc>
        <w:tc>
          <w:tcPr>
            <w:tcW w:w="1134" w:type="dxa"/>
            <w:shd w:val="clear" w:color="auto" w:fill="auto"/>
          </w:tcPr>
          <w:p w14:paraId="57F27DFA" w14:textId="77777777" w:rsidR="000329D7" w:rsidRPr="002D2F67" w:rsidRDefault="000329D7" w:rsidP="000329D7">
            <w:pPr>
              <w:pStyle w:val="acctfourfigures"/>
              <w:tabs>
                <w:tab w:val="clear" w:pos="765"/>
              </w:tabs>
              <w:spacing w:line="240" w:lineRule="auto"/>
              <w:ind w:right="-72"/>
              <w:jc w:val="right"/>
              <w:rPr>
                <w:rFonts w:ascii="Arial" w:hAnsi="Arial" w:cs="Arial"/>
                <w:color w:val="000000"/>
                <w:sz w:val="14"/>
                <w:szCs w:val="14"/>
                <w:lang w:bidi="th-TH"/>
              </w:rPr>
            </w:pPr>
          </w:p>
        </w:tc>
        <w:tc>
          <w:tcPr>
            <w:tcW w:w="1134" w:type="dxa"/>
            <w:shd w:val="clear" w:color="auto" w:fill="auto"/>
          </w:tcPr>
          <w:p w14:paraId="0CD7C7D3" w14:textId="77777777" w:rsidR="000329D7" w:rsidRPr="002D2F67" w:rsidRDefault="000329D7" w:rsidP="000329D7">
            <w:pPr>
              <w:pStyle w:val="acctfourfigures"/>
              <w:tabs>
                <w:tab w:val="clear" w:pos="765"/>
              </w:tabs>
              <w:spacing w:line="240" w:lineRule="auto"/>
              <w:ind w:right="-72"/>
              <w:jc w:val="right"/>
              <w:rPr>
                <w:rFonts w:ascii="Arial" w:hAnsi="Arial" w:cs="Arial"/>
                <w:color w:val="000000"/>
                <w:sz w:val="14"/>
                <w:szCs w:val="14"/>
                <w:lang w:bidi="th-TH"/>
              </w:rPr>
            </w:pPr>
          </w:p>
        </w:tc>
        <w:tc>
          <w:tcPr>
            <w:tcW w:w="1242" w:type="dxa"/>
            <w:shd w:val="clear" w:color="auto" w:fill="auto"/>
          </w:tcPr>
          <w:p w14:paraId="4D19A1A0" w14:textId="77777777" w:rsidR="000329D7" w:rsidRPr="002D2F67" w:rsidRDefault="000329D7" w:rsidP="000329D7">
            <w:pPr>
              <w:pStyle w:val="acctfourfigures"/>
              <w:tabs>
                <w:tab w:val="clear" w:pos="765"/>
              </w:tabs>
              <w:spacing w:line="240" w:lineRule="auto"/>
              <w:ind w:right="-72"/>
              <w:jc w:val="right"/>
              <w:rPr>
                <w:rFonts w:ascii="Arial" w:hAnsi="Arial" w:cs="Arial"/>
                <w:color w:val="000000"/>
                <w:sz w:val="14"/>
                <w:szCs w:val="14"/>
                <w:lang w:bidi="th-TH"/>
              </w:rPr>
            </w:pPr>
          </w:p>
        </w:tc>
      </w:tr>
      <w:tr w:rsidR="000329D7" w:rsidRPr="002D2F67" w14:paraId="25673A1E" w14:textId="77777777" w:rsidTr="005611FE">
        <w:trPr>
          <w:cantSplit/>
        </w:trPr>
        <w:tc>
          <w:tcPr>
            <w:tcW w:w="5791" w:type="dxa"/>
            <w:gridSpan w:val="2"/>
            <w:shd w:val="clear" w:color="auto" w:fill="auto"/>
          </w:tcPr>
          <w:p w14:paraId="01121A3A" w14:textId="77777777" w:rsidR="000329D7" w:rsidRPr="002D2F67" w:rsidRDefault="000329D7" w:rsidP="000329D7">
            <w:pPr>
              <w:pStyle w:val="acctfourfigures"/>
              <w:tabs>
                <w:tab w:val="clear" w:pos="765"/>
                <w:tab w:val="decimal" w:pos="550"/>
              </w:tabs>
              <w:spacing w:line="240" w:lineRule="auto"/>
              <w:ind w:left="141" w:right="-72"/>
              <w:rPr>
                <w:rFonts w:ascii="Arial" w:hAnsi="Arial" w:cs="Arial"/>
                <w:color w:val="000000"/>
                <w:sz w:val="12"/>
                <w:szCs w:val="12"/>
                <w:lang w:bidi="th-TH"/>
              </w:rPr>
            </w:pPr>
          </w:p>
        </w:tc>
        <w:tc>
          <w:tcPr>
            <w:tcW w:w="1024" w:type="dxa"/>
            <w:shd w:val="clear" w:color="auto" w:fill="auto"/>
          </w:tcPr>
          <w:p w14:paraId="2E84E17D" w14:textId="77777777" w:rsidR="000329D7" w:rsidRPr="002D2F67" w:rsidRDefault="000329D7" w:rsidP="000329D7">
            <w:pPr>
              <w:pStyle w:val="acctfourfigures"/>
              <w:tabs>
                <w:tab w:val="clear" w:pos="765"/>
              </w:tabs>
              <w:spacing w:line="240" w:lineRule="auto"/>
              <w:ind w:right="-72"/>
              <w:jc w:val="right"/>
              <w:rPr>
                <w:rFonts w:ascii="Arial" w:hAnsi="Arial" w:cs="Arial"/>
                <w:color w:val="000000"/>
                <w:sz w:val="14"/>
                <w:szCs w:val="14"/>
                <w:lang w:bidi="th-TH"/>
              </w:rPr>
            </w:pPr>
          </w:p>
        </w:tc>
        <w:tc>
          <w:tcPr>
            <w:tcW w:w="1024" w:type="dxa"/>
            <w:shd w:val="clear" w:color="auto" w:fill="auto"/>
          </w:tcPr>
          <w:p w14:paraId="3ACB37A7" w14:textId="77777777" w:rsidR="000329D7" w:rsidRPr="002D2F67" w:rsidRDefault="000329D7" w:rsidP="000329D7">
            <w:pPr>
              <w:pStyle w:val="acctfourfigures"/>
              <w:tabs>
                <w:tab w:val="clear" w:pos="765"/>
              </w:tabs>
              <w:spacing w:line="240" w:lineRule="auto"/>
              <w:ind w:right="-72"/>
              <w:jc w:val="right"/>
              <w:rPr>
                <w:rFonts w:ascii="Arial" w:hAnsi="Arial" w:cs="Arial"/>
                <w:color w:val="000000"/>
                <w:sz w:val="14"/>
                <w:szCs w:val="14"/>
                <w:lang w:bidi="th-TH"/>
              </w:rPr>
            </w:pPr>
          </w:p>
        </w:tc>
        <w:tc>
          <w:tcPr>
            <w:tcW w:w="1024" w:type="dxa"/>
            <w:shd w:val="clear" w:color="auto" w:fill="auto"/>
          </w:tcPr>
          <w:p w14:paraId="2122CC56" w14:textId="77777777" w:rsidR="000329D7" w:rsidRPr="002D2F67" w:rsidRDefault="000329D7" w:rsidP="000329D7">
            <w:pPr>
              <w:pStyle w:val="acctfourfigures"/>
              <w:tabs>
                <w:tab w:val="clear" w:pos="765"/>
              </w:tabs>
              <w:spacing w:line="240" w:lineRule="auto"/>
              <w:ind w:right="-72"/>
              <w:jc w:val="right"/>
              <w:rPr>
                <w:rFonts w:ascii="Arial" w:hAnsi="Arial" w:cs="Arial"/>
                <w:color w:val="000000"/>
                <w:sz w:val="14"/>
                <w:szCs w:val="14"/>
                <w:lang w:bidi="th-TH"/>
              </w:rPr>
            </w:pPr>
          </w:p>
        </w:tc>
        <w:tc>
          <w:tcPr>
            <w:tcW w:w="1024" w:type="dxa"/>
            <w:shd w:val="clear" w:color="auto" w:fill="auto"/>
          </w:tcPr>
          <w:p w14:paraId="4F05C620" w14:textId="77777777" w:rsidR="000329D7" w:rsidRPr="002D2F67" w:rsidRDefault="000329D7" w:rsidP="000329D7">
            <w:pPr>
              <w:pStyle w:val="acctfourfigures"/>
              <w:tabs>
                <w:tab w:val="clear" w:pos="765"/>
              </w:tabs>
              <w:spacing w:line="240" w:lineRule="auto"/>
              <w:ind w:right="-72"/>
              <w:jc w:val="right"/>
              <w:rPr>
                <w:rFonts w:ascii="Arial" w:hAnsi="Arial" w:cs="Arial"/>
                <w:color w:val="000000"/>
                <w:sz w:val="14"/>
                <w:szCs w:val="14"/>
                <w:lang w:bidi="th-TH"/>
              </w:rPr>
            </w:pPr>
          </w:p>
        </w:tc>
        <w:tc>
          <w:tcPr>
            <w:tcW w:w="1145" w:type="dxa"/>
            <w:shd w:val="clear" w:color="auto" w:fill="auto"/>
          </w:tcPr>
          <w:p w14:paraId="2B8E8D06" w14:textId="77777777" w:rsidR="000329D7" w:rsidRPr="002D2F67" w:rsidRDefault="000329D7" w:rsidP="000329D7">
            <w:pPr>
              <w:pStyle w:val="acctfourfigures"/>
              <w:tabs>
                <w:tab w:val="clear" w:pos="765"/>
              </w:tabs>
              <w:spacing w:line="240" w:lineRule="auto"/>
              <w:ind w:right="-72"/>
              <w:jc w:val="right"/>
              <w:rPr>
                <w:rFonts w:ascii="Arial" w:hAnsi="Arial" w:cs="Arial"/>
                <w:color w:val="000000"/>
                <w:sz w:val="14"/>
                <w:szCs w:val="14"/>
                <w:lang w:bidi="th-TH"/>
              </w:rPr>
            </w:pPr>
          </w:p>
        </w:tc>
        <w:tc>
          <w:tcPr>
            <w:tcW w:w="1134" w:type="dxa"/>
            <w:shd w:val="clear" w:color="auto" w:fill="auto"/>
          </w:tcPr>
          <w:p w14:paraId="16C4D907" w14:textId="77777777" w:rsidR="000329D7" w:rsidRPr="002D2F67" w:rsidRDefault="000329D7" w:rsidP="000329D7">
            <w:pPr>
              <w:pStyle w:val="acctfourfigures"/>
              <w:tabs>
                <w:tab w:val="clear" w:pos="765"/>
              </w:tabs>
              <w:spacing w:line="240" w:lineRule="auto"/>
              <w:ind w:right="-72"/>
              <w:jc w:val="right"/>
              <w:rPr>
                <w:rFonts w:ascii="Arial" w:hAnsi="Arial" w:cs="Arial"/>
                <w:color w:val="000000"/>
                <w:sz w:val="14"/>
                <w:szCs w:val="14"/>
                <w:lang w:bidi="th-TH"/>
              </w:rPr>
            </w:pPr>
          </w:p>
        </w:tc>
        <w:tc>
          <w:tcPr>
            <w:tcW w:w="1134" w:type="dxa"/>
            <w:shd w:val="clear" w:color="auto" w:fill="auto"/>
          </w:tcPr>
          <w:p w14:paraId="18C69DB7" w14:textId="77777777" w:rsidR="000329D7" w:rsidRPr="002D2F67" w:rsidRDefault="000329D7" w:rsidP="000329D7">
            <w:pPr>
              <w:pStyle w:val="acctfourfigures"/>
              <w:tabs>
                <w:tab w:val="clear" w:pos="765"/>
              </w:tabs>
              <w:spacing w:line="240" w:lineRule="auto"/>
              <w:ind w:right="-72"/>
              <w:jc w:val="right"/>
              <w:rPr>
                <w:rFonts w:ascii="Arial" w:hAnsi="Arial" w:cs="Arial"/>
                <w:color w:val="000000"/>
                <w:sz w:val="14"/>
                <w:szCs w:val="14"/>
                <w:lang w:bidi="th-TH"/>
              </w:rPr>
            </w:pPr>
          </w:p>
        </w:tc>
        <w:tc>
          <w:tcPr>
            <w:tcW w:w="1242" w:type="dxa"/>
            <w:shd w:val="clear" w:color="auto" w:fill="auto"/>
          </w:tcPr>
          <w:p w14:paraId="169D237D" w14:textId="77777777" w:rsidR="000329D7" w:rsidRPr="002D2F67" w:rsidRDefault="000329D7" w:rsidP="000329D7">
            <w:pPr>
              <w:pStyle w:val="acctfourfigures"/>
              <w:tabs>
                <w:tab w:val="clear" w:pos="765"/>
              </w:tabs>
              <w:spacing w:line="240" w:lineRule="auto"/>
              <w:ind w:right="-72"/>
              <w:jc w:val="right"/>
              <w:rPr>
                <w:rFonts w:ascii="Arial" w:hAnsi="Arial" w:cs="Arial"/>
                <w:color w:val="000000"/>
                <w:sz w:val="14"/>
                <w:szCs w:val="14"/>
                <w:lang w:bidi="th-TH"/>
              </w:rPr>
            </w:pPr>
          </w:p>
        </w:tc>
      </w:tr>
      <w:tr w:rsidR="000329D7" w:rsidRPr="002D2F67" w14:paraId="2AB6E7DE" w14:textId="77777777" w:rsidTr="005611FE">
        <w:trPr>
          <w:cantSplit/>
          <w:trHeight w:val="517"/>
        </w:trPr>
        <w:tc>
          <w:tcPr>
            <w:tcW w:w="2551" w:type="dxa"/>
            <w:shd w:val="clear" w:color="auto" w:fill="auto"/>
          </w:tcPr>
          <w:p w14:paraId="042D6439" w14:textId="77777777" w:rsidR="000329D7" w:rsidRPr="002D2F67" w:rsidRDefault="000329D7" w:rsidP="000329D7">
            <w:pPr>
              <w:ind w:left="148" w:right="-208"/>
              <w:rPr>
                <w:rFonts w:ascii="Arial" w:hAnsi="Arial" w:cs="Arial"/>
                <w:color w:val="000000"/>
                <w:spacing w:val="-4"/>
                <w:sz w:val="14"/>
                <w:szCs w:val="14"/>
              </w:rPr>
            </w:pPr>
            <w:r w:rsidRPr="002D2F67">
              <w:rPr>
                <w:rFonts w:ascii="Arial" w:hAnsi="Arial" w:cs="Arial"/>
                <w:color w:val="000000"/>
                <w:sz w:val="14"/>
                <w:szCs w:val="14"/>
              </w:rPr>
              <w:t>Amita Technologies Inc.</w:t>
            </w:r>
            <w:r w:rsidRPr="002D2F67">
              <w:rPr>
                <w:rFonts w:ascii="Arial" w:hAnsi="Arial" w:cs="Arial"/>
                <w:color w:val="000000"/>
                <w:spacing w:val="-4"/>
                <w:sz w:val="14"/>
                <w:szCs w:val="14"/>
              </w:rPr>
              <w:t xml:space="preserve"> </w:t>
            </w:r>
          </w:p>
          <w:p w14:paraId="5C6A9195" w14:textId="77777777" w:rsidR="000329D7" w:rsidRPr="002D2F67" w:rsidRDefault="000329D7" w:rsidP="000329D7">
            <w:pPr>
              <w:ind w:left="148" w:right="-208"/>
              <w:rPr>
                <w:rFonts w:ascii="Arial" w:hAnsi="Arial" w:cs="Arial"/>
                <w:color w:val="000000"/>
                <w:sz w:val="14"/>
                <w:szCs w:val="14"/>
              </w:rPr>
            </w:pPr>
            <w:r w:rsidRPr="002D2F67">
              <w:rPr>
                <w:rFonts w:ascii="Arial" w:hAnsi="Arial" w:cs="Arial"/>
                <w:color w:val="000000"/>
                <w:sz w:val="14"/>
                <w:szCs w:val="14"/>
              </w:rPr>
              <w:t xml:space="preserve">   (Incorporated in the Republic </w:t>
            </w:r>
          </w:p>
          <w:p w14:paraId="7F5FE7C7" w14:textId="77777777" w:rsidR="000329D7" w:rsidRPr="002D2F67" w:rsidRDefault="000329D7" w:rsidP="000329D7">
            <w:pPr>
              <w:ind w:left="148" w:right="-208"/>
              <w:rPr>
                <w:rFonts w:ascii="Arial" w:hAnsi="Arial" w:cs="Arial"/>
                <w:color w:val="000000"/>
                <w:spacing w:val="-4"/>
                <w:sz w:val="14"/>
                <w:szCs w:val="14"/>
              </w:rPr>
            </w:pPr>
            <w:r w:rsidRPr="002D2F67">
              <w:rPr>
                <w:rFonts w:ascii="Arial" w:hAnsi="Arial" w:cs="Arial"/>
                <w:color w:val="000000"/>
                <w:sz w:val="14"/>
                <w:szCs w:val="14"/>
              </w:rPr>
              <w:t xml:space="preserve">   of China (Taiwan))</w:t>
            </w:r>
          </w:p>
        </w:tc>
        <w:tc>
          <w:tcPr>
            <w:tcW w:w="3240" w:type="dxa"/>
            <w:shd w:val="clear" w:color="auto" w:fill="auto"/>
          </w:tcPr>
          <w:p w14:paraId="1D4BB7A7" w14:textId="77777777" w:rsidR="000329D7" w:rsidRPr="002D2F67" w:rsidRDefault="000329D7" w:rsidP="000329D7">
            <w:pPr>
              <w:rPr>
                <w:rFonts w:ascii="Arial" w:hAnsi="Arial" w:cs="Arial"/>
                <w:color w:val="000000"/>
                <w:sz w:val="14"/>
                <w:szCs w:val="14"/>
                <w:cs/>
              </w:rPr>
            </w:pPr>
            <w:r w:rsidRPr="002D2F67">
              <w:rPr>
                <w:rFonts w:ascii="Arial" w:hAnsi="Arial" w:cs="Arial"/>
                <w:color w:val="000000"/>
                <w:sz w:val="14"/>
                <w:szCs w:val="14"/>
              </w:rPr>
              <w:t>Developing, manufacturing and distributing</w:t>
            </w:r>
            <w:r w:rsidRPr="002D2F67">
              <w:rPr>
                <w:rFonts w:ascii="Arial" w:hAnsi="Arial" w:cs="Arial"/>
                <w:color w:val="000000"/>
                <w:sz w:val="14"/>
                <w:szCs w:val="14"/>
              </w:rPr>
              <w:br/>
              <w:t xml:space="preserve">   battery</w:t>
            </w:r>
          </w:p>
        </w:tc>
        <w:tc>
          <w:tcPr>
            <w:tcW w:w="1024" w:type="dxa"/>
            <w:shd w:val="clear" w:color="auto" w:fill="auto"/>
          </w:tcPr>
          <w:p w14:paraId="7CD14CF8" w14:textId="1D21FC84" w:rsidR="000329D7" w:rsidRPr="002D2F67" w:rsidRDefault="00CD5714" w:rsidP="000329D7">
            <w:pPr>
              <w:ind w:right="-72"/>
              <w:jc w:val="right"/>
              <w:rPr>
                <w:rFonts w:ascii="Arial" w:hAnsi="Arial" w:cs="Arial"/>
                <w:color w:val="000000"/>
                <w:sz w:val="14"/>
                <w:szCs w:val="14"/>
              </w:rPr>
            </w:pPr>
            <w:r w:rsidRPr="00CD5714">
              <w:rPr>
                <w:rFonts w:ascii="Arial" w:hAnsi="Arial" w:cs="Arial"/>
                <w:color w:val="000000"/>
                <w:sz w:val="14"/>
                <w:szCs w:val="14"/>
                <w:lang w:val="en-GB"/>
              </w:rPr>
              <w:t>62</w:t>
            </w:r>
            <w:r w:rsidR="000329D7" w:rsidRPr="002D2F67">
              <w:rPr>
                <w:rFonts w:ascii="Arial" w:hAnsi="Arial" w:cs="Arial"/>
                <w:color w:val="000000"/>
                <w:sz w:val="14"/>
                <w:szCs w:val="14"/>
              </w:rPr>
              <w:t>.</w:t>
            </w:r>
            <w:r w:rsidRPr="00CD5714">
              <w:rPr>
                <w:rFonts w:ascii="Arial" w:hAnsi="Arial" w:cs="Arial"/>
                <w:color w:val="000000"/>
                <w:sz w:val="14"/>
                <w:szCs w:val="14"/>
                <w:lang w:val="en-GB"/>
              </w:rPr>
              <w:t>53</w:t>
            </w:r>
          </w:p>
        </w:tc>
        <w:tc>
          <w:tcPr>
            <w:tcW w:w="1024" w:type="dxa"/>
            <w:shd w:val="clear" w:color="auto" w:fill="auto"/>
          </w:tcPr>
          <w:p w14:paraId="0482B4FE" w14:textId="43FACC38" w:rsidR="000329D7" w:rsidRPr="002D2F67" w:rsidRDefault="00CD5714" w:rsidP="000329D7">
            <w:pPr>
              <w:ind w:right="-72"/>
              <w:jc w:val="right"/>
              <w:rPr>
                <w:rFonts w:ascii="Arial" w:hAnsi="Arial" w:cs="Arial"/>
                <w:color w:val="000000"/>
                <w:sz w:val="14"/>
                <w:szCs w:val="14"/>
              </w:rPr>
            </w:pPr>
            <w:r w:rsidRPr="00CD5714">
              <w:rPr>
                <w:rFonts w:ascii="Arial" w:hAnsi="Arial" w:cs="Arial"/>
                <w:color w:val="000000"/>
                <w:sz w:val="14"/>
                <w:szCs w:val="14"/>
                <w:lang w:val="en-GB"/>
              </w:rPr>
              <w:t>62</w:t>
            </w:r>
            <w:r w:rsidR="000329D7" w:rsidRPr="002D2F67">
              <w:rPr>
                <w:rFonts w:ascii="Arial" w:hAnsi="Arial" w:cs="Arial"/>
                <w:color w:val="000000"/>
                <w:sz w:val="14"/>
                <w:szCs w:val="14"/>
              </w:rPr>
              <w:t>.</w:t>
            </w:r>
            <w:r w:rsidRPr="00CD5714">
              <w:rPr>
                <w:rFonts w:ascii="Arial" w:hAnsi="Arial" w:cs="Arial"/>
                <w:color w:val="000000"/>
                <w:sz w:val="14"/>
                <w:szCs w:val="14"/>
                <w:lang w:val="en-GB"/>
              </w:rPr>
              <w:t>53</w:t>
            </w:r>
          </w:p>
        </w:tc>
        <w:tc>
          <w:tcPr>
            <w:tcW w:w="1024" w:type="dxa"/>
            <w:shd w:val="clear" w:color="auto" w:fill="auto"/>
          </w:tcPr>
          <w:p w14:paraId="25662128" w14:textId="47318AD1" w:rsidR="000329D7" w:rsidRPr="002D2F67" w:rsidRDefault="00CD5714" w:rsidP="000329D7">
            <w:pPr>
              <w:ind w:right="-72"/>
              <w:jc w:val="right"/>
              <w:rPr>
                <w:rFonts w:ascii="Arial" w:hAnsi="Arial" w:cs="Arial"/>
                <w:color w:val="000000"/>
                <w:sz w:val="14"/>
                <w:szCs w:val="14"/>
              </w:rPr>
            </w:pPr>
            <w:r w:rsidRPr="00CD5714">
              <w:rPr>
                <w:rFonts w:ascii="Arial" w:hAnsi="Arial" w:cs="Arial"/>
                <w:color w:val="000000"/>
                <w:sz w:val="14"/>
                <w:szCs w:val="14"/>
                <w:lang w:val="en-GB"/>
              </w:rPr>
              <w:t>8</w:t>
            </w:r>
            <w:r w:rsidR="000329D7" w:rsidRPr="002D2F67">
              <w:rPr>
                <w:rFonts w:ascii="Arial" w:hAnsi="Arial" w:cs="Arial"/>
                <w:color w:val="000000"/>
                <w:sz w:val="14"/>
                <w:szCs w:val="14"/>
              </w:rPr>
              <w:t>.</w:t>
            </w:r>
            <w:r w:rsidRPr="00CD5714">
              <w:rPr>
                <w:rFonts w:ascii="Arial" w:hAnsi="Arial" w:cs="Arial"/>
                <w:color w:val="000000"/>
                <w:sz w:val="14"/>
                <w:szCs w:val="14"/>
                <w:lang w:val="en-GB"/>
              </w:rPr>
              <w:t>67</w:t>
            </w:r>
          </w:p>
        </w:tc>
        <w:tc>
          <w:tcPr>
            <w:tcW w:w="1024" w:type="dxa"/>
            <w:shd w:val="clear" w:color="auto" w:fill="auto"/>
          </w:tcPr>
          <w:p w14:paraId="5A12CDCD" w14:textId="7A02AB7B" w:rsidR="000329D7" w:rsidRPr="002D2F67" w:rsidRDefault="00CD5714" w:rsidP="000329D7">
            <w:pPr>
              <w:ind w:right="-72"/>
              <w:jc w:val="right"/>
              <w:rPr>
                <w:rFonts w:ascii="Arial" w:hAnsi="Arial" w:cs="Arial"/>
                <w:color w:val="000000"/>
                <w:sz w:val="14"/>
                <w:szCs w:val="14"/>
              </w:rPr>
            </w:pPr>
            <w:r w:rsidRPr="00CD5714">
              <w:rPr>
                <w:rFonts w:ascii="Arial" w:hAnsi="Arial" w:cs="Arial"/>
                <w:color w:val="000000"/>
                <w:sz w:val="14"/>
                <w:szCs w:val="14"/>
                <w:lang w:val="en-GB"/>
              </w:rPr>
              <w:t>8</w:t>
            </w:r>
            <w:r w:rsidR="000329D7" w:rsidRPr="002D2F67">
              <w:rPr>
                <w:rFonts w:ascii="Arial" w:hAnsi="Arial" w:cs="Arial"/>
                <w:color w:val="000000"/>
                <w:sz w:val="14"/>
                <w:szCs w:val="14"/>
              </w:rPr>
              <w:t>.</w:t>
            </w:r>
            <w:r w:rsidRPr="00CD5714">
              <w:rPr>
                <w:rFonts w:ascii="Arial" w:hAnsi="Arial" w:cs="Arial"/>
                <w:color w:val="000000"/>
                <w:sz w:val="14"/>
                <w:szCs w:val="14"/>
                <w:lang w:val="en-GB"/>
              </w:rPr>
              <w:t>67</w:t>
            </w:r>
          </w:p>
        </w:tc>
        <w:tc>
          <w:tcPr>
            <w:tcW w:w="1145" w:type="dxa"/>
            <w:shd w:val="clear" w:color="auto" w:fill="auto"/>
          </w:tcPr>
          <w:p w14:paraId="1E6E1C3F" w14:textId="2F9753CA" w:rsidR="000329D7" w:rsidRPr="002D2F67" w:rsidRDefault="00CD5714" w:rsidP="000329D7">
            <w:pPr>
              <w:pStyle w:val="acctfourfigures"/>
              <w:tabs>
                <w:tab w:val="clear" w:pos="765"/>
                <w:tab w:val="decimal" w:pos="550"/>
              </w:tabs>
              <w:spacing w:line="240" w:lineRule="auto"/>
              <w:ind w:left="-95" w:right="-72" w:firstLine="95"/>
              <w:jc w:val="right"/>
              <w:rPr>
                <w:rFonts w:ascii="Arial" w:hAnsi="Arial" w:cs="Arial"/>
                <w:noProof/>
                <w:color w:val="000000"/>
                <w:sz w:val="14"/>
                <w:szCs w:val="14"/>
              </w:rPr>
            </w:pPr>
            <w:r w:rsidRPr="00CD5714">
              <w:rPr>
                <w:rFonts w:ascii="Arial" w:hAnsi="Arial" w:cs="Arial"/>
                <w:noProof/>
                <w:color w:val="000000"/>
                <w:sz w:val="14"/>
                <w:szCs w:val="14"/>
                <w:lang w:val="en-GB"/>
              </w:rPr>
              <w:t>4</w:t>
            </w:r>
            <w:r w:rsidR="008911E9" w:rsidRPr="002D2F67">
              <w:rPr>
                <w:rFonts w:ascii="Arial" w:hAnsi="Arial" w:cs="Arial"/>
                <w:noProof/>
                <w:color w:val="000000"/>
                <w:sz w:val="14"/>
                <w:szCs w:val="14"/>
              </w:rPr>
              <w:t>,</w:t>
            </w:r>
            <w:r w:rsidRPr="00CD5714">
              <w:rPr>
                <w:rFonts w:ascii="Arial" w:hAnsi="Arial" w:cs="Arial"/>
                <w:noProof/>
                <w:color w:val="000000"/>
                <w:sz w:val="14"/>
                <w:szCs w:val="14"/>
                <w:lang w:val="en-GB"/>
              </w:rPr>
              <w:t>521</w:t>
            </w:r>
            <w:r w:rsidR="008911E9" w:rsidRPr="002D2F67">
              <w:rPr>
                <w:rFonts w:ascii="Arial" w:hAnsi="Arial" w:cs="Arial"/>
                <w:noProof/>
                <w:color w:val="000000"/>
                <w:sz w:val="14"/>
                <w:szCs w:val="14"/>
              </w:rPr>
              <w:t>,</w:t>
            </w:r>
            <w:r w:rsidRPr="00CD5714">
              <w:rPr>
                <w:rFonts w:ascii="Arial" w:hAnsi="Arial" w:cs="Arial"/>
                <w:noProof/>
                <w:color w:val="000000"/>
                <w:sz w:val="14"/>
                <w:szCs w:val="14"/>
                <w:lang w:val="en-GB"/>
              </w:rPr>
              <w:t>465</w:t>
            </w:r>
          </w:p>
        </w:tc>
        <w:tc>
          <w:tcPr>
            <w:tcW w:w="1134" w:type="dxa"/>
            <w:shd w:val="clear" w:color="auto" w:fill="auto"/>
          </w:tcPr>
          <w:p w14:paraId="013E7083" w14:textId="62A7936E" w:rsidR="000329D7" w:rsidRPr="002D2F67" w:rsidRDefault="00CD5714" w:rsidP="000329D7">
            <w:pPr>
              <w:pStyle w:val="acctfourfigures"/>
              <w:tabs>
                <w:tab w:val="clear" w:pos="765"/>
                <w:tab w:val="decimal" w:pos="550"/>
              </w:tabs>
              <w:spacing w:line="240" w:lineRule="auto"/>
              <w:ind w:left="-95" w:right="-72" w:firstLine="95"/>
              <w:jc w:val="right"/>
              <w:rPr>
                <w:rFonts w:ascii="Arial" w:hAnsi="Arial" w:cs="Arial"/>
                <w:noProof/>
                <w:color w:val="000000"/>
                <w:sz w:val="14"/>
                <w:szCs w:val="14"/>
              </w:rPr>
            </w:pPr>
            <w:r w:rsidRPr="00CD5714">
              <w:rPr>
                <w:rFonts w:ascii="Arial" w:hAnsi="Arial" w:cs="Arial"/>
                <w:noProof/>
                <w:color w:val="000000"/>
                <w:sz w:val="14"/>
                <w:szCs w:val="14"/>
                <w:lang w:val="en-GB"/>
              </w:rPr>
              <w:t>4</w:t>
            </w:r>
            <w:r w:rsidR="000329D7" w:rsidRPr="002D2F67">
              <w:rPr>
                <w:rFonts w:ascii="Arial" w:hAnsi="Arial" w:cs="Arial"/>
                <w:noProof/>
                <w:color w:val="000000"/>
                <w:sz w:val="14"/>
                <w:szCs w:val="14"/>
              </w:rPr>
              <w:t>,</w:t>
            </w:r>
            <w:r w:rsidRPr="00CD5714">
              <w:rPr>
                <w:rFonts w:ascii="Arial" w:hAnsi="Arial" w:cs="Arial"/>
                <w:noProof/>
                <w:color w:val="000000"/>
                <w:sz w:val="14"/>
                <w:szCs w:val="14"/>
                <w:lang w:val="en-GB"/>
              </w:rPr>
              <w:t>521</w:t>
            </w:r>
            <w:r w:rsidR="000329D7" w:rsidRPr="002D2F67">
              <w:rPr>
                <w:rFonts w:ascii="Arial" w:hAnsi="Arial" w:cs="Arial"/>
                <w:noProof/>
                <w:color w:val="000000"/>
                <w:sz w:val="14"/>
                <w:szCs w:val="14"/>
              </w:rPr>
              <w:t>,</w:t>
            </w:r>
            <w:r w:rsidRPr="00CD5714">
              <w:rPr>
                <w:rFonts w:ascii="Arial" w:hAnsi="Arial" w:cs="Arial"/>
                <w:noProof/>
                <w:color w:val="000000"/>
                <w:sz w:val="14"/>
                <w:szCs w:val="14"/>
                <w:lang w:val="en-GB"/>
              </w:rPr>
              <w:t>465</w:t>
            </w:r>
          </w:p>
        </w:tc>
        <w:tc>
          <w:tcPr>
            <w:tcW w:w="1134" w:type="dxa"/>
            <w:shd w:val="clear" w:color="auto" w:fill="auto"/>
          </w:tcPr>
          <w:p w14:paraId="536EF9FA" w14:textId="77AF7B0B" w:rsidR="000329D7" w:rsidRPr="002D2F67" w:rsidRDefault="000329D7" w:rsidP="000329D7">
            <w:pPr>
              <w:pStyle w:val="acctfourfigures"/>
              <w:tabs>
                <w:tab w:val="clear" w:pos="765"/>
                <w:tab w:val="decimal" w:pos="533"/>
              </w:tabs>
              <w:spacing w:line="240" w:lineRule="auto"/>
              <w:ind w:right="-72"/>
              <w:jc w:val="right"/>
              <w:rPr>
                <w:rFonts w:ascii="Arial" w:hAnsi="Arial" w:cs="Arial"/>
                <w:noProof/>
                <w:color w:val="000000"/>
                <w:sz w:val="14"/>
                <w:szCs w:val="14"/>
              </w:rPr>
            </w:pPr>
            <w:r w:rsidRPr="002D2F67">
              <w:rPr>
                <w:rFonts w:ascii="Arial" w:hAnsi="Arial" w:cs="Arial"/>
                <w:noProof/>
                <w:color w:val="000000"/>
                <w:sz w:val="14"/>
                <w:szCs w:val="14"/>
              </w:rPr>
              <w:t>-</w:t>
            </w:r>
          </w:p>
        </w:tc>
        <w:tc>
          <w:tcPr>
            <w:tcW w:w="1242" w:type="dxa"/>
            <w:shd w:val="clear" w:color="auto" w:fill="auto"/>
          </w:tcPr>
          <w:p w14:paraId="6378C1FD" w14:textId="02FD8D5B" w:rsidR="000329D7" w:rsidRPr="002D2F67" w:rsidRDefault="000329D7" w:rsidP="000329D7">
            <w:pPr>
              <w:pStyle w:val="acctfourfigures"/>
              <w:tabs>
                <w:tab w:val="clear" w:pos="765"/>
                <w:tab w:val="decimal" w:pos="533"/>
              </w:tabs>
              <w:spacing w:line="240" w:lineRule="auto"/>
              <w:ind w:right="-72"/>
              <w:jc w:val="right"/>
              <w:rPr>
                <w:rFonts w:ascii="Arial" w:hAnsi="Arial" w:cs="Arial"/>
                <w:noProof/>
                <w:color w:val="000000"/>
                <w:sz w:val="14"/>
                <w:szCs w:val="14"/>
              </w:rPr>
            </w:pPr>
            <w:r w:rsidRPr="002D2F67">
              <w:rPr>
                <w:rFonts w:ascii="Arial" w:hAnsi="Arial" w:cs="Arial"/>
                <w:noProof/>
                <w:color w:val="000000"/>
                <w:sz w:val="14"/>
                <w:szCs w:val="14"/>
              </w:rPr>
              <w:t>-</w:t>
            </w:r>
          </w:p>
        </w:tc>
      </w:tr>
      <w:tr w:rsidR="000329D7" w:rsidRPr="002D2F67" w14:paraId="3F6E7825" w14:textId="77777777" w:rsidTr="005611FE">
        <w:trPr>
          <w:cantSplit/>
        </w:trPr>
        <w:tc>
          <w:tcPr>
            <w:tcW w:w="2551" w:type="dxa"/>
            <w:shd w:val="clear" w:color="auto" w:fill="auto"/>
          </w:tcPr>
          <w:p w14:paraId="45EA0B23" w14:textId="77777777" w:rsidR="000329D7" w:rsidRPr="002D2F67" w:rsidRDefault="000329D7" w:rsidP="000329D7">
            <w:pPr>
              <w:ind w:left="148" w:right="-208"/>
              <w:rPr>
                <w:rFonts w:ascii="Arial" w:hAnsi="Arial" w:cs="Arial"/>
                <w:color w:val="000000"/>
                <w:sz w:val="14"/>
                <w:szCs w:val="14"/>
              </w:rPr>
            </w:pPr>
            <w:r w:rsidRPr="002D2F67">
              <w:rPr>
                <w:rFonts w:ascii="Arial" w:hAnsi="Arial" w:cs="Arial"/>
                <w:color w:val="000000"/>
                <w:sz w:val="14"/>
                <w:szCs w:val="14"/>
              </w:rPr>
              <w:t>EA Con Dao (SG) Pte. Ltd.</w:t>
            </w:r>
          </w:p>
          <w:p w14:paraId="3EBA0F3D" w14:textId="77777777" w:rsidR="000329D7" w:rsidRPr="002D2F67" w:rsidRDefault="000329D7" w:rsidP="000329D7">
            <w:pPr>
              <w:ind w:left="148" w:right="-208"/>
              <w:rPr>
                <w:rFonts w:ascii="Arial" w:hAnsi="Arial" w:cs="Arial"/>
                <w:color w:val="000000"/>
                <w:sz w:val="14"/>
                <w:szCs w:val="14"/>
              </w:rPr>
            </w:pPr>
            <w:r w:rsidRPr="002D2F67">
              <w:rPr>
                <w:rFonts w:ascii="Arial" w:hAnsi="Arial" w:cs="Arial"/>
                <w:color w:val="000000"/>
                <w:sz w:val="14"/>
                <w:szCs w:val="14"/>
              </w:rPr>
              <w:t xml:space="preserve">   (Incorporated in Singapore)</w:t>
            </w:r>
          </w:p>
        </w:tc>
        <w:tc>
          <w:tcPr>
            <w:tcW w:w="3240" w:type="dxa"/>
            <w:shd w:val="clear" w:color="auto" w:fill="auto"/>
          </w:tcPr>
          <w:p w14:paraId="02E7629E" w14:textId="77777777" w:rsidR="000329D7" w:rsidRPr="002D2F67" w:rsidRDefault="000329D7" w:rsidP="000329D7">
            <w:pPr>
              <w:rPr>
                <w:rFonts w:ascii="Arial" w:hAnsi="Arial" w:cs="Arial"/>
                <w:color w:val="000000"/>
                <w:sz w:val="14"/>
                <w:szCs w:val="14"/>
              </w:rPr>
            </w:pPr>
            <w:r w:rsidRPr="002D2F67">
              <w:rPr>
                <w:rFonts w:ascii="Arial" w:hAnsi="Arial" w:cs="Arial"/>
                <w:color w:val="000000"/>
                <w:sz w:val="14"/>
                <w:szCs w:val="14"/>
              </w:rPr>
              <w:t>Investing in manufacturing of electricity energy</w:t>
            </w:r>
            <w:r w:rsidRPr="002D2F67">
              <w:rPr>
                <w:rFonts w:ascii="Arial" w:hAnsi="Arial" w:cs="Arial"/>
                <w:color w:val="000000"/>
                <w:sz w:val="14"/>
                <w:szCs w:val="14"/>
              </w:rPr>
              <w:br/>
              <w:t xml:space="preserve">   business </w:t>
            </w:r>
            <w:r w:rsidRPr="002D2F67">
              <w:rPr>
                <w:rFonts w:ascii="Arial" w:hAnsi="Arial" w:cs="Arial"/>
                <w:color w:val="000000"/>
                <w:spacing w:val="4"/>
                <w:sz w:val="14"/>
                <w:szCs w:val="14"/>
              </w:rPr>
              <w:t>(not commercial operations yet)</w:t>
            </w:r>
          </w:p>
        </w:tc>
        <w:tc>
          <w:tcPr>
            <w:tcW w:w="1024" w:type="dxa"/>
            <w:shd w:val="clear" w:color="auto" w:fill="auto"/>
          </w:tcPr>
          <w:p w14:paraId="01BEF782" w14:textId="1D615F35" w:rsidR="000329D7" w:rsidRPr="002D2F67" w:rsidRDefault="00CD5714" w:rsidP="000329D7">
            <w:pPr>
              <w:ind w:right="-72"/>
              <w:jc w:val="right"/>
              <w:rPr>
                <w:rFonts w:ascii="Arial" w:hAnsi="Arial" w:cs="Arial"/>
                <w:color w:val="000000"/>
                <w:sz w:val="14"/>
                <w:szCs w:val="14"/>
              </w:rPr>
            </w:pPr>
            <w:r w:rsidRPr="00CD5714">
              <w:rPr>
                <w:rFonts w:ascii="Arial" w:hAnsi="Arial" w:cs="Arial"/>
                <w:color w:val="000000"/>
                <w:sz w:val="14"/>
                <w:szCs w:val="14"/>
                <w:lang w:val="en-GB"/>
              </w:rPr>
              <w:t>95</w:t>
            </w:r>
            <w:r w:rsidR="000329D7" w:rsidRPr="002D2F67">
              <w:rPr>
                <w:rFonts w:ascii="Arial" w:hAnsi="Arial" w:cs="Arial"/>
                <w:color w:val="000000"/>
                <w:sz w:val="14"/>
                <w:szCs w:val="14"/>
              </w:rPr>
              <w:t>.</w:t>
            </w:r>
            <w:r w:rsidRPr="00CD5714">
              <w:rPr>
                <w:rFonts w:ascii="Arial" w:hAnsi="Arial" w:cs="Arial"/>
                <w:color w:val="000000"/>
                <w:sz w:val="14"/>
                <w:szCs w:val="14"/>
                <w:lang w:val="en-GB"/>
              </w:rPr>
              <w:t>00</w:t>
            </w:r>
          </w:p>
        </w:tc>
        <w:tc>
          <w:tcPr>
            <w:tcW w:w="1024" w:type="dxa"/>
            <w:shd w:val="clear" w:color="auto" w:fill="auto"/>
          </w:tcPr>
          <w:p w14:paraId="1629DADF" w14:textId="5C4E4C4A" w:rsidR="000329D7" w:rsidRPr="002D2F67" w:rsidRDefault="00CD5714" w:rsidP="000329D7">
            <w:pPr>
              <w:ind w:right="-72"/>
              <w:jc w:val="right"/>
              <w:rPr>
                <w:rFonts w:ascii="Arial" w:hAnsi="Arial" w:cs="Arial"/>
                <w:color w:val="000000"/>
                <w:sz w:val="14"/>
                <w:szCs w:val="14"/>
              </w:rPr>
            </w:pPr>
            <w:r w:rsidRPr="00CD5714">
              <w:rPr>
                <w:rFonts w:ascii="Arial" w:hAnsi="Arial" w:cs="Arial"/>
                <w:color w:val="000000"/>
                <w:sz w:val="14"/>
                <w:szCs w:val="14"/>
                <w:lang w:val="en-GB"/>
              </w:rPr>
              <w:t>95</w:t>
            </w:r>
            <w:r w:rsidR="000329D7" w:rsidRPr="002D2F67">
              <w:rPr>
                <w:rFonts w:ascii="Arial" w:hAnsi="Arial" w:cs="Arial"/>
                <w:color w:val="000000"/>
                <w:sz w:val="14"/>
                <w:szCs w:val="14"/>
              </w:rPr>
              <w:t>.</w:t>
            </w:r>
            <w:r w:rsidRPr="00CD5714">
              <w:rPr>
                <w:rFonts w:ascii="Arial" w:hAnsi="Arial" w:cs="Arial"/>
                <w:color w:val="000000"/>
                <w:sz w:val="14"/>
                <w:szCs w:val="14"/>
                <w:lang w:val="en-GB"/>
              </w:rPr>
              <w:t>00</w:t>
            </w:r>
          </w:p>
        </w:tc>
        <w:tc>
          <w:tcPr>
            <w:tcW w:w="1024" w:type="dxa"/>
            <w:shd w:val="clear" w:color="auto" w:fill="auto"/>
          </w:tcPr>
          <w:p w14:paraId="5EBE60AA" w14:textId="6407BE69" w:rsidR="000329D7" w:rsidRPr="002D2F67" w:rsidRDefault="000329D7" w:rsidP="000329D7">
            <w:pPr>
              <w:ind w:right="-72"/>
              <w:jc w:val="right"/>
              <w:rPr>
                <w:rFonts w:ascii="Arial" w:hAnsi="Arial" w:cs="Arial"/>
                <w:color w:val="000000"/>
                <w:sz w:val="14"/>
                <w:szCs w:val="14"/>
              </w:rPr>
            </w:pPr>
            <w:r w:rsidRPr="002D2F67">
              <w:rPr>
                <w:rFonts w:ascii="Arial" w:hAnsi="Arial" w:cs="Arial"/>
                <w:color w:val="000000"/>
                <w:sz w:val="14"/>
                <w:szCs w:val="14"/>
              </w:rPr>
              <w:t>-</w:t>
            </w:r>
          </w:p>
        </w:tc>
        <w:tc>
          <w:tcPr>
            <w:tcW w:w="1024" w:type="dxa"/>
            <w:shd w:val="clear" w:color="auto" w:fill="auto"/>
          </w:tcPr>
          <w:p w14:paraId="488F5329" w14:textId="6642E9EE" w:rsidR="000329D7" w:rsidRPr="002D2F67" w:rsidRDefault="000329D7" w:rsidP="000329D7">
            <w:pPr>
              <w:ind w:right="-72"/>
              <w:jc w:val="right"/>
              <w:rPr>
                <w:rFonts w:ascii="Arial" w:hAnsi="Arial" w:cs="Arial"/>
                <w:color w:val="000000"/>
                <w:sz w:val="14"/>
                <w:szCs w:val="14"/>
              </w:rPr>
            </w:pPr>
            <w:r w:rsidRPr="002D2F67">
              <w:rPr>
                <w:rFonts w:ascii="Arial" w:hAnsi="Arial" w:cs="Arial"/>
                <w:color w:val="000000"/>
                <w:sz w:val="14"/>
                <w:szCs w:val="14"/>
              </w:rPr>
              <w:t>-</w:t>
            </w:r>
          </w:p>
        </w:tc>
        <w:tc>
          <w:tcPr>
            <w:tcW w:w="1145" w:type="dxa"/>
            <w:shd w:val="clear" w:color="auto" w:fill="auto"/>
          </w:tcPr>
          <w:p w14:paraId="3D7627C2" w14:textId="452CA144" w:rsidR="000329D7" w:rsidRPr="002D2F67" w:rsidRDefault="000329D7" w:rsidP="000329D7">
            <w:pPr>
              <w:pStyle w:val="acctfourfigures"/>
              <w:tabs>
                <w:tab w:val="decimal" w:pos="550"/>
              </w:tabs>
              <w:spacing w:line="240" w:lineRule="auto"/>
              <w:ind w:right="-72"/>
              <w:jc w:val="right"/>
              <w:rPr>
                <w:rFonts w:ascii="Arial" w:hAnsi="Arial" w:cs="Arial"/>
                <w:noProof/>
                <w:color w:val="000000"/>
                <w:sz w:val="14"/>
                <w:szCs w:val="14"/>
              </w:rPr>
            </w:pPr>
            <w:r w:rsidRPr="002D2F67">
              <w:rPr>
                <w:rFonts w:ascii="Arial" w:hAnsi="Arial" w:cs="Arial"/>
                <w:noProof/>
                <w:color w:val="000000"/>
                <w:sz w:val="14"/>
                <w:szCs w:val="14"/>
              </w:rPr>
              <w:t>-</w:t>
            </w:r>
          </w:p>
        </w:tc>
        <w:tc>
          <w:tcPr>
            <w:tcW w:w="1134" w:type="dxa"/>
            <w:shd w:val="clear" w:color="auto" w:fill="auto"/>
          </w:tcPr>
          <w:p w14:paraId="78E00B79" w14:textId="2178C6FE" w:rsidR="000329D7" w:rsidRPr="002D2F67" w:rsidRDefault="000329D7" w:rsidP="000329D7">
            <w:pPr>
              <w:pStyle w:val="acctfourfigures"/>
              <w:tabs>
                <w:tab w:val="decimal" w:pos="550"/>
              </w:tabs>
              <w:spacing w:line="240" w:lineRule="auto"/>
              <w:ind w:right="-72"/>
              <w:jc w:val="right"/>
              <w:rPr>
                <w:rFonts w:ascii="Arial" w:hAnsi="Arial" w:cs="Arial"/>
                <w:noProof/>
                <w:color w:val="000000"/>
                <w:sz w:val="14"/>
                <w:szCs w:val="14"/>
              </w:rPr>
            </w:pPr>
          </w:p>
        </w:tc>
        <w:tc>
          <w:tcPr>
            <w:tcW w:w="1134" w:type="dxa"/>
            <w:shd w:val="clear" w:color="auto" w:fill="auto"/>
          </w:tcPr>
          <w:p w14:paraId="46252488" w14:textId="22105487" w:rsidR="000329D7" w:rsidRPr="002D2F67" w:rsidRDefault="000329D7" w:rsidP="000329D7">
            <w:pPr>
              <w:pStyle w:val="acctfourfigures"/>
              <w:tabs>
                <w:tab w:val="decimal" w:pos="533"/>
              </w:tabs>
              <w:spacing w:line="240" w:lineRule="auto"/>
              <w:ind w:right="-72"/>
              <w:jc w:val="right"/>
              <w:rPr>
                <w:rFonts w:ascii="Arial" w:hAnsi="Arial" w:cs="Arial"/>
                <w:noProof/>
                <w:color w:val="000000"/>
                <w:sz w:val="14"/>
                <w:szCs w:val="14"/>
              </w:rPr>
            </w:pPr>
            <w:r w:rsidRPr="002D2F67">
              <w:rPr>
                <w:rFonts w:ascii="Arial" w:hAnsi="Arial" w:cs="Arial"/>
                <w:noProof/>
                <w:color w:val="000000"/>
                <w:sz w:val="14"/>
                <w:szCs w:val="14"/>
              </w:rPr>
              <w:t>-</w:t>
            </w:r>
          </w:p>
        </w:tc>
        <w:tc>
          <w:tcPr>
            <w:tcW w:w="1242" w:type="dxa"/>
            <w:shd w:val="clear" w:color="auto" w:fill="auto"/>
          </w:tcPr>
          <w:p w14:paraId="19F74DC0" w14:textId="5424887D" w:rsidR="000329D7" w:rsidRPr="002D2F67" w:rsidRDefault="000329D7" w:rsidP="000329D7">
            <w:pPr>
              <w:pStyle w:val="acctfourfigures"/>
              <w:tabs>
                <w:tab w:val="decimal" w:pos="533"/>
              </w:tabs>
              <w:spacing w:line="240" w:lineRule="auto"/>
              <w:ind w:right="-72"/>
              <w:jc w:val="right"/>
              <w:rPr>
                <w:rFonts w:ascii="Arial" w:hAnsi="Arial" w:cs="Arial"/>
                <w:noProof/>
                <w:color w:val="000000"/>
                <w:sz w:val="14"/>
                <w:szCs w:val="14"/>
              </w:rPr>
            </w:pPr>
            <w:r w:rsidRPr="002D2F67">
              <w:rPr>
                <w:rFonts w:ascii="Arial" w:hAnsi="Arial" w:cs="Arial"/>
                <w:noProof/>
                <w:color w:val="000000"/>
                <w:sz w:val="14"/>
                <w:szCs w:val="14"/>
              </w:rPr>
              <w:t>-</w:t>
            </w:r>
          </w:p>
        </w:tc>
      </w:tr>
      <w:tr w:rsidR="000329D7" w:rsidRPr="002D2F67" w14:paraId="1EDD3F0C" w14:textId="77777777" w:rsidTr="005611FE">
        <w:trPr>
          <w:cantSplit/>
        </w:trPr>
        <w:tc>
          <w:tcPr>
            <w:tcW w:w="2551" w:type="dxa"/>
            <w:shd w:val="clear" w:color="auto" w:fill="auto"/>
          </w:tcPr>
          <w:p w14:paraId="0C040287" w14:textId="77777777" w:rsidR="000329D7" w:rsidRPr="002D2F67" w:rsidRDefault="000329D7" w:rsidP="000329D7">
            <w:pPr>
              <w:ind w:left="148" w:right="-208"/>
              <w:rPr>
                <w:rFonts w:ascii="Arial" w:hAnsi="Arial" w:cs="Arial"/>
                <w:color w:val="000000"/>
                <w:sz w:val="14"/>
                <w:szCs w:val="14"/>
              </w:rPr>
            </w:pPr>
            <w:r w:rsidRPr="002D2F67">
              <w:rPr>
                <w:rFonts w:ascii="Arial" w:hAnsi="Arial" w:cs="Arial"/>
                <w:color w:val="000000"/>
                <w:sz w:val="14"/>
                <w:szCs w:val="14"/>
              </w:rPr>
              <w:t>EA BVI Holding Limited</w:t>
            </w:r>
          </w:p>
          <w:p w14:paraId="10E1BBC7" w14:textId="77777777" w:rsidR="000329D7" w:rsidRPr="002D2F67" w:rsidRDefault="000329D7" w:rsidP="000329D7">
            <w:pPr>
              <w:ind w:left="148" w:right="-208"/>
              <w:rPr>
                <w:rFonts w:ascii="Arial" w:hAnsi="Arial" w:cs="Arial"/>
                <w:color w:val="000000"/>
                <w:sz w:val="14"/>
                <w:szCs w:val="14"/>
              </w:rPr>
            </w:pPr>
            <w:r w:rsidRPr="002D2F67">
              <w:rPr>
                <w:rFonts w:ascii="Arial" w:hAnsi="Arial" w:cs="Arial"/>
                <w:color w:val="000000"/>
                <w:sz w:val="14"/>
                <w:szCs w:val="14"/>
              </w:rPr>
              <w:t xml:space="preserve">   (Incorporated in British Virgin </w:t>
            </w:r>
          </w:p>
          <w:p w14:paraId="3EED86C0" w14:textId="256D3529" w:rsidR="000329D7" w:rsidRPr="002D2F67" w:rsidRDefault="000329D7" w:rsidP="000329D7">
            <w:pPr>
              <w:ind w:left="148" w:right="-208"/>
              <w:rPr>
                <w:rFonts w:ascii="Arial" w:hAnsi="Arial" w:cs="Arial"/>
                <w:color w:val="000000"/>
                <w:sz w:val="14"/>
                <w:szCs w:val="14"/>
              </w:rPr>
            </w:pPr>
            <w:r w:rsidRPr="002D2F67">
              <w:rPr>
                <w:rFonts w:ascii="Arial" w:hAnsi="Arial" w:cs="Arial"/>
                <w:color w:val="000000"/>
                <w:sz w:val="14"/>
                <w:szCs w:val="14"/>
              </w:rPr>
              <w:t xml:space="preserve">    Islands)</w:t>
            </w:r>
          </w:p>
        </w:tc>
        <w:tc>
          <w:tcPr>
            <w:tcW w:w="3240" w:type="dxa"/>
            <w:shd w:val="clear" w:color="auto" w:fill="auto"/>
          </w:tcPr>
          <w:p w14:paraId="39575C33" w14:textId="77777777" w:rsidR="000329D7" w:rsidRPr="002D2F67" w:rsidRDefault="000329D7" w:rsidP="000329D7">
            <w:pPr>
              <w:rPr>
                <w:rFonts w:ascii="Arial" w:hAnsi="Arial" w:cs="Arial"/>
                <w:color w:val="000000"/>
                <w:sz w:val="14"/>
                <w:szCs w:val="14"/>
              </w:rPr>
            </w:pPr>
            <w:r w:rsidRPr="002D2F67">
              <w:rPr>
                <w:rFonts w:ascii="Arial" w:hAnsi="Arial" w:cs="Arial"/>
                <w:color w:val="000000"/>
                <w:sz w:val="14"/>
                <w:szCs w:val="14"/>
              </w:rPr>
              <w:t xml:space="preserve">Investing in developing, manufacturing and </w:t>
            </w:r>
          </w:p>
          <w:p w14:paraId="6778F24F" w14:textId="2359B168" w:rsidR="000329D7" w:rsidRPr="002D2F67" w:rsidRDefault="000329D7" w:rsidP="000329D7">
            <w:pPr>
              <w:rPr>
                <w:rFonts w:ascii="Arial" w:hAnsi="Arial" w:cs="Arial"/>
                <w:color w:val="000000"/>
                <w:sz w:val="14"/>
                <w:szCs w:val="14"/>
              </w:rPr>
            </w:pPr>
            <w:r w:rsidRPr="002D2F67">
              <w:rPr>
                <w:rFonts w:ascii="Arial" w:hAnsi="Arial" w:cs="Arial"/>
                <w:color w:val="000000"/>
                <w:sz w:val="14"/>
                <w:szCs w:val="14"/>
              </w:rPr>
              <w:t xml:space="preserve">   distributing battery business</w:t>
            </w:r>
          </w:p>
        </w:tc>
        <w:tc>
          <w:tcPr>
            <w:tcW w:w="1024" w:type="dxa"/>
            <w:shd w:val="clear" w:color="auto" w:fill="auto"/>
          </w:tcPr>
          <w:p w14:paraId="25F49C1D" w14:textId="1316E7C0" w:rsidR="000329D7" w:rsidRPr="002D2F67" w:rsidRDefault="00CD5714" w:rsidP="000329D7">
            <w:pPr>
              <w:ind w:right="-72"/>
              <w:jc w:val="right"/>
              <w:rPr>
                <w:rFonts w:ascii="Arial" w:hAnsi="Arial" w:cs="Arial"/>
                <w:color w:val="000000"/>
                <w:sz w:val="14"/>
                <w:szCs w:val="14"/>
              </w:rPr>
            </w:pPr>
            <w:r w:rsidRPr="00CD5714">
              <w:rPr>
                <w:rFonts w:ascii="Arial" w:hAnsi="Arial" w:cs="Arial"/>
                <w:color w:val="000000"/>
                <w:sz w:val="14"/>
                <w:szCs w:val="14"/>
                <w:lang w:val="en-GB"/>
              </w:rPr>
              <w:t>100</w:t>
            </w:r>
          </w:p>
        </w:tc>
        <w:tc>
          <w:tcPr>
            <w:tcW w:w="1024" w:type="dxa"/>
            <w:shd w:val="clear" w:color="auto" w:fill="auto"/>
          </w:tcPr>
          <w:p w14:paraId="3415CF17" w14:textId="5F9FF6DF" w:rsidR="000329D7" w:rsidRPr="002D2F67" w:rsidRDefault="00CD5714" w:rsidP="000329D7">
            <w:pPr>
              <w:ind w:right="-72"/>
              <w:jc w:val="right"/>
              <w:rPr>
                <w:rFonts w:ascii="Arial" w:hAnsi="Arial" w:cs="Arial"/>
                <w:color w:val="000000"/>
                <w:sz w:val="14"/>
                <w:szCs w:val="14"/>
              </w:rPr>
            </w:pPr>
            <w:r w:rsidRPr="00CD5714">
              <w:rPr>
                <w:rFonts w:ascii="Arial" w:hAnsi="Arial" w:cs="Arial"/>
                <w:color w:val="000000"/>
                <w:sz w:val="14"/>
                <w:szCs w:val="14"/>
                <w:lang w:val="en-GB"/>
              </w:rPr>
              <w:t>100</w:t>
            </w:r>
          </w:p>
        </w:tc>
        <w:tc>
          <w:tcPr>
            <w:tcW w:w="1024" w:type="dxa"/>
            <w:shd w:val="clear" w:color="auto" w:fill="auto"/>
          </w:tcPr>
          <w:p w14:paraId="43B674EE" w14:textId="1820B3BD" w:rsidR="000329D7" w:rsidRPr="002D2F67" w:rsidRDefault="000329D7" w:rsidP="000329D7">
            <w:pPr>
              <w:ind w:right="-72"/>
              <w:jc w:val="right"/>
              <w:rPr>
                <w:rFonts w:ascii="Arial" w:hAnsi="Arial" w:cs="Arial"/>
                <w:color w:val="000000"/>
                <w:sz w:val="14"/>
                <w:szCs w:val="14"/>
              </w:rPr>
            </w:pPr>
            <w:r w:rsidRPr="002D2F67">
              <w:rPr>
                <w:rFonts w:ascii="Arial" w:hAnsi="Arial" w:cs="Arial"/>
                <w:color w:val="000000"/>
                <w:sz w:val="14"/>
                <w:szCs w:val="14"/>
              </w:rPr>
              <w:t>-</w:t>
            </w:r>
          </w:p>
        </w:tc>
        <w:tc>
          <w:tcPr>
            <w:tcW w:w="1024" w:type="dxa"/>
            <w:shd w:val="clear" w:color="auto" w:fill="auto"/>
          </w:tcPr>
          <w:p w14:paraId="49B0A48E" w14:textId="38A74C15" w:rsidR="000329D7" w:rsidRPr="002D2F67" w:rsidRDefault="000329D7" w:rsidP="000329D7">
            <w:pPr>
              <w:ind w:right="-72"/>
              <w:jc w:val="right"/>
              <w:rPr>
                <w:rFonts w:ascii="Arial" w:hAnsi="Arial" w:cs="Arial"/>
                <w:color w:val="000000"/>
                <w:sz w:val="14"/>
                <w:szCs w:val="14"/>
              </w:rPr>
            </w:pPr>
            <w:r w:rsidRPr="002D2F67">
              <w:rPr>
                <w:rFonts w:ascii="Arial" w:hAnsi="Arial" w:cs="Arial"/>
                <w:color w:val="000000"/>
                <w:sz w:val="14"/>
                <w:szCs w:val="14"/>
              </w:rPr>
              <w:t>-</w:t>
            </w:r>
          </w:p>
        </w:tc>
        <w:tc>
          <w:tcPr>
            <w:tcW w:w="1145" w:type="dxa"/>
            <w:shd w:val="clear" w:color="auto" w:fill="auto"/>
          </w:tcPr>
          <w:p w14:paraId="18A5AA1D" w14:textId="32B9AAE9" w:rsidR="000329D7" w:rsidRPr="002D2F67" w:rsidRDefault="00CD5714" w:rsidP="000329D7">
            <w:pPr>
              <w:pStyle w:val="acctfourfigures"/>
              <w:tabs>
                <w:tab w:val="decimal" w:pos="550"/>
              </w:tabs>
              <w:spacing w:line="240" w:lineRule="auto"/>
              <w:ind w:right="-72"/>
              <w:jc w:val="right"/>
              <w:rPr>
                <w:rFonts w:ascii="Arial" w:hAnsi="Arial" w:cs="Arial"/>
                <w:noProof/>
                <w:color w:val="000000"/>
                <w:sz w:val="14"/>
                <w:szCs w:val="14"/>
              </w:rPr>
            </w:pPr>
            <w:r w:rsidRPr="00CD5714">
              <w:rPr>
                <w:rFonts w:ascii="Arial" w:hAnsi="Arial" w:cs="Arial"/>
                <w:noProof/>
                <w:color w:val="000000"/>
                <w:sz w:val="14"/>
                <w:szCs w:val="14"/>
                <w:lang w:val="en-GB"/>
              </w:rPr>
              <w:t>16</w:t>
            </w:r>
            <w:r w:rsidR="00512734" w:rsidRPr="002D2F67">
              <w:rPr>
                <w:rFonts w:ascii="Arial" w:hAnsi="Arial" w:cs="Arial"/>
                <w:noProof/>
                <w:color w:val="000000"/>
                <w:sz w:val="14"/>
                <w:szCs w:val="14"/>
              </w:rPr>
              <w:t>,</w:t>
            </w:r>
            <w:r w:rsidRPr="00CD5714">
              <w:rPr>
                <w:rFonts w:ascii="Arial" w:hAnsi="Arial" w:cs="Arial"/>
                <w:noProof/>
                <w:color w:val="000000"/>
                <w:sz w:val="14"/>
                <w:szCs w:val="14"/>
                <w:lang w:val="en-GB"/>
              </w:rPr>
              <w:t>037</w:t>
            </w:r>
          </w:p>
        </w:tc>
        <w:tc>
          <w:tcPr>
            <w:tcW w:w="1134" w:type="dxa"/>
            <w:shd w:val="clear" w:color="auto" w:fill="auto"/>
          </w:tcPr>
          <w:p w14:paraId="267BDBCD" w14:textId="4EFF7309" w:rsidR="000329D7" w:rsidRPr="002D2F67" w:rsidRDefault="00CD5714" w:rsidP="000329D7">
            <w:pPr>
              <w:pStyle w:val="acctfourfigures"/>
              <w:tabs>
                <w:tab w:val="decimal" w:pos="550"/>
              </w:tabs>
              <w:spacing w:line="240" w:lineRule="auto"/>
              <w:ind w:right="-72"/>
              <w:jc w:val="right"/>
              <w:rPr>
                <w:rFonts w:ascii="Arial" w:hAnsi="Arial" w:cs="Arial"/>
                <w:noProof/>
                <w:color w:val="000000"/>
                <w:sz w:val="14"/>
                <w:szCs w:val="14"/>
              </w:rPr>
            </w:pPr>
            <w:r w:rsidRPr="00CD5714">
              <w:rPr>
                <w:rFonts w:ascii="Arial" w:hAnsi="Arial" w:cs="Arial"/>
                <w:noProof/>
                <w:color w:val="000000"/>
                <w:sz w:val="14"/>
                <w:szCs w:val="14"/>
                <w:lang w:val="en-GB"/>
              </w:rPr>
              <w:t>16</w:t>
            </w:r>
            <w:r w:rsidR="000329D7" w:rsidRPr="002D2F67">
              <w:rPr>
                <w:rFonts w:ascii="Arial" w:hAnsi="Arial" w:cs="Arial"/>
                <w:noProof/>
                <w:color w:val="000000"/>
                <w:sz w:val="14"/>
                <w:szCs w:val="14"/>
              </w:rPr>
              <w:t>,</w:t>
            </w:r>
            <w:r w:rsidRPr="00CD5714">
              <w:rPr>
                <w:rFonts w:ascii="Arial" w:hAnsi="Arial" w:cs="Arial"/>
                <w:noProof/>
                <w:color w:val="000000"/>
                <w:sz w:val="14"/>
                <w:szCs w:val="14"/>
                <w:lang w:val="en-GB"/>
              </w:rPr>
              <w:t>037</w:t>
            </w:r>
          </w:p>
        </w:tc>
        <w:tc>
          <w:tcPr>
            <w:tcW w:w="1134" w:type="dxa"/>
            <w:shd w:val="clear" w:color="auto" w:fill="auto"/>
          </w:tcPr>
          <w:p w14:paraId="78AC02F6" w14:textId="67877883" w:rsidR="000329D7" w:rsidRPr="002D2F67" w:rsidRDefault="000329D7" w:rsidP="000329D7">
            <w:pPr>
              <w:pStyle w:val="acctfourfigures"/>
              <w:tabs>
                <w:tab w:val="decimal" w:pos="533"/>
              </w:tabs>
              <w:spacing w:line="240" w:lineRule="auto"/>
              <w:ind w:right="-72"/>
              <w:jc w:val="right"/>
              <w:rPr>
                <w:rFonts w:ascii="Arial" w:hAnsi="Arial" w:cs="Arial"/>
                <w:noProof/>
                <w:color w:val="000000"/>
                <w:sz w:val="14"/>
                <w:szCs w:val="14"/>
              </w:rPr>
            </w:pPr>
            <w:r w:rsidRPr="002D2F67">
              <w:rPr>
                <w:rFonts w:ascii="Arial" w:hAnsi="Arial" w:cs="Arial"/>
                <w:noProof/>
                <w:color w:val="000000"/>
                <w:sz w:val="14"/>
                <w:szCs w:val="14"/>
              </w:rPr>
              <w:t>-</w:t>
            </w:r>
          </w:p>
        </w:tc>
        <w:tc>
          <w:tcPr>
            <w:tcW w:w="1242" w:type="dxa"/>
            <w:shd w:val="clear" w:color="auto" w:fill="auto"/>
          </w:tcPr>
          <w:p w14:paraId="79FAA01C" w14:textId="125F1684" w:rsidR="000329D7" w:rsidRPr="002D2F67" w:rsidRDefault="000329D7" w:rsidP="000329D7">
            <w:pPr>
              <w:pStyle w:val="acctfourfigures"/>
              <w:tabs>
                <w:tab w:val="decimal" w:pos="533"/>
              </w:tabs>
              <w:spacing w:line="240" w:lineRule="auto"/>
              <w:ind w:right="-72"/>
              <w:jc w:val="right"/>
              <w:rPr>
                <w:rFonts w:ascii="Arial" w:hAnsi="Arial" w:cs="Arial"/>
                <w:noProof/>
                <w:color w:val="000000"/>
                <w:sz w:val="14"/>
                <w:szCs w:val="14"/>
              </w:rPr>
            </w:pPr>
            <w:r w:rsidRPr="002D2F67">
              <w:rPr>
                <w:rFonts w:ascii="Arial" w:hAnsi="Arial" w:cs="Arial"/>
                <w:noProof/>
                <w:color w:val="000000"/>
                <w:sz w:val="14"/>
                <w:szCs w:val="14"/>
              </w:rPr>
              <w:t>-</w:t>
            </w:r>
          </w:p>
        </w:tc>
      </w:tr>
      <w:tr w:rsidR="000329D7" w:rsidRPr="002D2F67" w14:paraId="41F2C71C" w14:textId="77777777" w:rsidTr="005611FE">
        <w:trPr>
          <w:cantSplit/>
        </w:trPr>
        <w:tc>
          <w:tcPr>
            <w:tcW w:w="2551" w:type="dxa"/>
            <w:shd w:val="clear" w:color="auto" w:fill="auto"/>
          </w:tcPr>
          <w:p w14:paraId="596B532E" w14:textId="77777777" w:rsidR="000329D7" w:rsidRPr="002D2F67" w:rsidRDefault="000329D7" w:rsidP="000329D7">
            <w:pPr>
              <w:ind w:left="148" w:right="-208"/>
              <w:rPr>
                <w:rFonts w:ascii="Arial" w:hAnsi="Arial" w:cs="Arial"/>
                <w:color w:val="000000"/>
                <w:sz w:val="14"/>
                <w:szCs w:val="14"/>
              </w:rPr>
            </w:pPr>
            <w:r w:rsidRPr="002D2F67">
              <w:rPr>
                <w:rFonts w:ascii="Arial" w:hAnsi="Arial" w:cs="Arial"/>
                <w:color w:val="000000"/>
                <w:sz w:val="14"/>
                <w:szCs w:val="14"/>
              </w:rPr>
              <w:t xml:space="preserve">Energy Absolute International </w:t>
            </w:r>
          </w:p>
          <w:p w14:paraId="3C0CD352" w14:textId="184612A7" w:rsidR="000329D7" w:rsidRPr="002D2F67" w:rsidRDefault="000329D7" w:rsidP="000329D7">
            <w:pPr>
              <w:ind w:left="148" w:right="-208"/>
              <w:rPr>
                <w:rFonts w:ascii="Arial" w:hAnsi="Arial" w:cs="Arial"/>
                <w:color w:val="000000"/>
                <w:sz w:val="14"/>
                <w:szCs w:val="14"/>
              </w:rPr>
            </w:pPr>
            <w:r w:rsidRPr="002D2F67">
              <w:rPr>
                <w:rFonts w:ascii="Arial" w:hAnsi="Arial" w:cs="Arial"/>
                <w:color w:val="000000"/>
                <w:sz w:val="14"/>
                <w:szCs w:val="14"/>
              </w:rPr>
              <w:t xml:space="preserve">   </w:t>
            </w:r>
            <w:r w:rsidR="00C03E1A" w:rsidRPr="002D2F67">
              <w:rPr>
                <w:rFonts w:ascii="Arial" w:hAnsi="Arial" w:cs="Arial"/>
                <w:color w:val="000000"/>
                <w:sz w:val="14"/>
                <w:szCs w:val="14"/>
              </w:rPr>
              <w:t>H</w:t>
            </w:r>
            <w:r w:rsidRPr="002D2F67">
              <w:rPr>
                <w:rFonts w:ascii="Arial" w:hAnsi="Arial" w:cs="Arial"/>
                <w:color w:val="000000"/>
                <w:sz w:val="14"/>
                <w:szCs w:val="14"/>
              </w:rPr>
              <w:t xml:space="preserve">olding Pte. Ltd; (Incorporated in </w:t>
            </w:r>
          </w:p>
          <w:p w14:paraId="6B1D7C09" w14:textId="147E7B20" w:rsidR="000329D7" w:rsidRPr="002D2F67" w:rsidRDefault="000329D7" w:rsidP="000329D7">
            <w:pPr>
              <w:ind w:left="148" w:right="-208"/>
              <w:rPr>
                <w:rFonts w:ascii="Arial" w:hAnsi="Arial" w:cs="Arial"/>
                <w:color w:val="000000"/>
                <w:sz w:val="14"/>
                <w:szCs w:val="14"/>
              </w:rPr>
            </w:pPr>
            <w:r w:rsidRPr="002D2F67">
              <w:rPr>
                <w:rFonts w:ascii="Arial" w:hAnsi="Arial" w:cs="Arial"/>
                <w:color w:val="000000"/>
                <w:sz w:val="14"/>
                <w:szCs w:val="14"/>
              </w:rPr>
              <w:t xml:space="preserve">    Singapore)</w:t>
            </w:r>
          </w:p>
        </w:tc>
        <w:tc>
          <w:tcPr>
            <w:tcW w:w="3240" w:type="dxa"/>
            <w:shd w:val="clear" w:color="auto" w:fill="auto"/>
          </w:tcPr>
          <w:p w14:paraId="652C66F8" w14:textId="4A3098BA" w:rsidR="000329D7" w:rsidRPr="002D2F67" w:rsidRDefault="000329D7" w:rsidP="000329D7">
            <w:pPr>
              <w:rPr>
                <w:rFonts w:ascii="Arial" w:hAnsi="Arial" w:cs="Arial"/>
                <w:color w:val="000000"/>
                <w:sz w:val="14"/>
                <w:szCs w:val="14"/>
              </w:rPr>
            </w:pPr>
            <w:r w:rsidRPr="002D2F67">
              <w:rPr>
                <w:rFonts w:ascii="Arial" w:hAnsi="Arial" w:cs="Arial"/>
                <w:color w:val="000000"/>
                <w:sz w:val="14"/>
                <w:szCs w:val="14"/>
              </w:rPr>
              <w:t>Investing in other business (not commercial</w:t>
            </w:r>
            <w:r w:rsidRPr="002D2F67">
              <w:rPr>
                <w:rFonts w:ascii="Arial" w:hAnsi="Arial" w:cs="Arial"/>
                <w:color w:val="000000"/>
              </w:rPr>
              <w:br/>
            </w:r>
            <w:r w:rsidRPr="002D2F67">
              <w:rPr>
                <w:rFonts w:ascii="Arial" w:hAnsi="Arial" w:cs="Arial"/>
                <w:color w:val="000000"/>
                <w:sz w:val="14"/>
                <w:szCs w:val="14"/>
              </w:rPr>
              <w:t xml:space="preserve">   operations yet)</w:t>
            </w:r>
          </w:p>
        </w:tc>
        <w:tc>
          <w:tcPr>
            <w:tcW w:w="1024" w:type="dxa"/>
            <w:shd w:val="clear" w:color="auto" w:fill="auto"/>
          </w:tcPr>
          <w:p w14:paraId="7377221D" w14:textId="6865E225" w:rsidR="000329D7" w:rsidRPr="002D2F67" w:rsidRDefault="00CD5714" w:rsidP="000329D7">
            <w:pPr>
              <w:ind w:right="-72"/>
              <w:jc w:val="right"/>
              <w:rPr>
                <w:rFonts w:ascii="Arial" w:hAnsi="Arial" w:cs="Arial"/>
                <w:color w:val="000000"/>
                <w:sz w:val="14"/>
                <w:szCs w:val="14"/>
              </w:rPr>
            </w:pPr>
            <w:r w:rsidRPr="00CD5714">
              <w:rPr>
                <w:rFonts w:ascii="Arial" w:hAnsi="Arial" w:cs="Arial"/>
                <w:color w:val="000000"/>
                <w:sz w:val="14"/>
                <w:szCs w:val="14"/>
                <w:lang w:val="en-GB"/>
              </w:rPr>
              <w:t>100</w:t>
            </w:r>
          </w:p>
        </w:tc>
        <w:tc>
          <w:tcPr>
            <w:tcW w:w="1024" w:type="dxa"/>
            <w:shd w:val="clear" w:color="auto" w:fill="auto"/>
          </w:tcPr>
          <w:p w14:paraId="3C64B390" w14:textId="7D349571" w:rsidR="000329D7" w:rsidRPr="002D2F67" w:rsidRDefault="00CD5714" w:rsidP="000329D7">
            <w:pPr>
              <w:ind w:right="-72"/>
              <w:jc w:val="right"/>
              <w:rPr>
                <w:rFonts w:ascii="Arial" w:eastAsia="Arial Unicode MS" w:hAnsi="Arial" w:cs="Arial"/>
                <w:color w:val="000000"/>
                <w:sz w:val="14"/>
                <w:szCs w:val="14"/>
              </w:rPr>
            </w:pPr>
            <w:r w:rsidRPr="00CD5714">
              <w:rPr>
                <w:rFonts w:ascii="Arial" w:hAnsi="Arial" w:cs="Arial"/>
                <w:color w:val="000000"/>
                <w:sz w:val="14"/>
                <w:szCs w:val="14"/>
                <w:lang w:val="en-GB"/>
              </w:rPr>
              <w:t>100</w:t>
            </w:r>
          </w:p>
        </w:tc>
        <w:tc>
          <w:tcPr>
            <w:tcW w:w="1024" w:type="dxa"/>
            <w:shd w:val="clear" w:color="auto" w:fill="auto"/>
          </w:tcPr>
          <w:p w14:paraId="7E496D0E" w14:textId="399C1B39" w:rsidR="000329D7" w:rsidRPr="002D2F67" w:rsidRDefault="000329D7" w:rsidP="000329D7">
            <w:pPr>
              <w:ind w:right="-72"/>
              <w:jc w:val="right"/>
              <w:rPr>
                <w:rFonts w:ascii="Arial" w:hAnsi="Arial" w:cs="Arial"/>
                <w:color w:val="000000"/>
                <w:sz w:val="14"/>
                <w:szCs w:val="14"/>
              </w:rPr>
            </w:pPr>
            <w:r w:rsidRPr="002D2F67">
              <w:rPr>
                <w:rFonts w:ascii="Arial" w:hAnsi="Arial" w:cs="Arial"/>
                <w:color w:val="000000"/>
                <w:sz w:val="14"/>
                <w:szCs w:val="14"/>
              </w:rPr>
              <w:t>-</w:t>
            </w:r>
          </w:p>
        </w:tc>
        <w:tc>
          <w:tcPr>
            <w:tcW w:w="1024" w:type="dxa"/>
            <w:shd w:val="clear" w:color="auto" w:fill="auto"/>
          </w:tcPr>
          <w:p w14:paraId="61E9B8CE" w14:textId="01B80259" w:rsidR="000329D7" w:rsidRPr="002D2F67" w:rsidRDefault="000329D7" w:rsidP="000329D7">
            <w:pPr>
              <w:ind w:right="-72"/>
              <w:jc w:val="right"/>
              <w:rPr>
                <w:rFonts w:ascii="Arial" w:hAnsi="Arial" w:cs="Arial"/>
                <w:color w:val="000000"/>
                <w:sz w:val="14"/>
                <w:szCs w:val="14"/>
              </w:rPr>
            </w:pPr>
            <w:r w:rsidRPr="002D2F67">
              <w:rPr>
                <w:rFonts w:ascii="Arial" w:hAnsi="Arial" w:cs="Arial"/>
                <w:color w:val="000000"/>
                <w:sz w:val="14"/>
                <w:szCs w:val="14"/>
              </w:rPr>
              <w:t>-</w:t>
            </w:r>
          </w:p>
        </w:tc>
        <w:tc>
          <w:tcPr>
            <w:tcW w:w="1145" w:type="dxa"/>
            <w:tcBorders>
              <w:bottom w:val="single" w:sz="4" w:space="0" w:color="auto"/>
            </w:tcBorders>
            <w:shd w:val="clear" w:color="auto" w:fill="auto"/>
          </w:tcPr>
          <w:p w14:paraId="5E63A774" w14:textId="3F6256FD" w:rsidR="000329D7" w:rsidRPr="002D2F67" w:rsidRDefault="000329D7" w:rsidP="000329D7">
            <w:pPr>
              <w:pStyle w:val="acctfourfigures"/>
              <w:tabs>
                <w:tab w:val="decimal" w:pos="550"/>
              </w:tabs>
              <w:spacing w:line="240" w:lineRule="auto"/>
              <w:ind w:right="-72"/>
              <w:jc w:val="right"/>
              <w:rPr>
                <w:rFonts w:ascii="Arial" w:hAnsi="Arial" w:cs="Arial"/>
                <w:noProof/>
                <w:color w:val="000000"/>
                <w:sz w:val="14"/>
                <w:szCs w:val="14"/>
              </w:rPr>
            </w:pPr>
            <w:r w:rsidRPr="002D2F67">
              <w:rPr>
                <w:rFonts w:ascii="Arial" w:hAnsi="Arial" w:cs="Arial"/>
                <w:noProof/>
                <w:color w:val="000000"/>
                <w:sz w:val="14"/>
                <w:szCs w:val="14"/>
              </w:rPr>
              <w:t>-</w:t>
            </w:r>
          </w:p>
        </w:tc>
        <w:tc>
          <w:tcPr>
            <w:tcW w:w="1134" w:type="dxa"/>
            <w:tcBorders>
              <w:bottom w:val="single" w:sz="4" w:space="0" w:color="auto"/>
            </w:tcBorders>
            <w:shd w:val="clear" w:color="auto" w:fill="auto"/>
          </w:tcPr>
          <w:p w14:paraId="301BE735" w14:textId="27954CC2" w:rsidR="000329D7" w:rsidRPr="002D2F67" w:rsidRDefault="000329D7" w:rsidP="000329D7">
            <w:pPr>
              <w:pStyle w:val="acctfourfigures"/>
              <w:tabs>
                <w:tab w:val="decimal" w:pos="550"/>
              </w:tabs>
              <w:spacing w:line="240" w:lineRule="auto"/>
              <w:ind w:right="-72"/>
              <w:jc w:val="right"/>
              <w:rPr>
                <w:rFonts w:ascii="Arial" w:hAnsi="Arial" w:cs="Arial"/>
                <w:noProof/>
                <w:color w:val="000000"/>
                <w:sz w:val="14"/>
                <w:szCs w:val="14"/>
              </w:rPr>
            </w:pPr>
            <w:r w:rsidRPr="002D2F67">
              <w:rPr>
                <w:rFonts w:ascii="Arial" w:hAnsi="Arial" w:cs="Arial"/>
                <w:noProof/>
                <w:color w:val="000000"/>
                <w:sz w:val="14"/>
                <w:szCs w:val="14"/>
              </w:rPr>
              <w:t>-</w:t>
            </w:r>
          </w:p>
        </w:tc>
        <w:tc>
          <w:tcPr>
            <w:tcW w:w="1134" w:type="dxa"/>
            <w:tcBorders>
              <w:bottom w:val="single" w:sz="4" w:space="0" w:color="auto"/>
            </w:tcBorders>
            <w:shd w:val="clear" w:color="auto" w:fill="auto"/>
          </w:tcPr>
          <w:p w14:paraId="39819C78" w14:textId="53271FA4" w:rsidR="000329D7" w:rsidRPr="002D2F67" w:rsidRDefault="000329D7" w:rsidP="000329D7">
            <w:pPr>
              <w:pStyle w:val="acctfourfigures"/>
              <w:tabs>
                <w:tab w:val="decimal" w:pos="533"/>
              </w:tabs>
              <w:spacing w:line="240" w:lineRule="auto"/>
              <w:ind w:right="-72"/>
              <w:jc w:val="right"/>
              <w:rPr>
                <w:rFonts w:ascii="Arial" w:hAnsi="Arial" w:cs="Arial"/>
                <w:noProof/>
                <w:color w:val="000000"/>
                <w:sz w:val="14"/>
                <w:szCs w:val="14"/>
              </w:rPr>
            </w:pPr>
            <w:r w:rsidRPr="002D2F67">
              <w:rPr>
                <w:rFonts w:ascii="Arial" w:hAnsi="Arial" w:cs="Arial"/>
                <w:noProof/>
                <w:color w:val="000000"/>
                <w:sz w:val="14"/>
                <w:szCs w:val="14"/>
              </w:rPr>
              <w:t>-</w:t>
            </w:r>
          </w:p>
        </w:tc>
        <w:tc>
          <w:tcPr>
            <w:tcW w:w="1242" w:type="dxa"/>
            <w:tcBorders>
              <w:bottom w:val="single" w:sz="4" w:space="0" w:color="auto"/>
            </w:tcBorders>
            <w:shd w:val="clear" w:color="auto" w:fill="auto"/>
          </w:tcPr>
          <w:p w14:paraId="3C5C749F" w14:textId="4F5DF77F" w:rsidR="000329D7" w:rsidRPr="002D2F67" w:rsidRDefault="000329D7" w:rsidP="000329D7">
            <w:pPr>
              <w:pStyle w:val="acctfourfigures"/>
              <w:tabs>
                <w:tab w:val="decimal" w:pos="533"/>
              </w:tabs>
              <w:spacing w:line="240" w:lineRule="auto"/>
              <w:ind w:right="-72"/>
              <w:jc w:val="right"/>
              <w:rPr>
                <w:rFonts w:ascii="Arial" w:hAnsi="Arial" w:cs="Arial"/>
                <w:noProof/>
                <w:color w:val="000000"/>
                <w:sz w:val="14"/>
                <w:szCs w:val="14"/>
              </w:rPr>
            </w:pPr>
            <w:r w:rsidRPr="002D2F67">
              <w:rPr>
                <w:rFonts w:ascii="Arial" w:hAnsi="Arial" w:cs="Arial"/>
                <w:noProof/>
                <w:color w:val="000000"/>
                <w:sz w:val="14"/>
                <w:szCs w:val="14"/>
              </w:rPr>
              <w:t>-</w:t>
            </w:r>
          </w:p>
        </w:tc>
      </w:tr>
      <w:tr w:rsidR="000329D7" w:rsidRPr="002D2F67" w14:paraId="2415C061" w14:textId="77777777" w:rsidTr="005611FE">
        <w:trPr>
          <w:cantSplit/>
        </w:trPr>
        <w:tc>
          <w:tcPr>
            <w:tcW w:w="2551" w:type="dxa"/>
            <w:shd w:val="clear" w:color="auto" w:fill="auto"/>
          </w:tcPr>
          <w:p w14:paraId="28C85FFD" w14:textId="77777777" w:rsidR="000329D7" w:rsidRPr="002D2F67" w:rsidRDefault="000329D7" w:rsidP="000329D7">
            <w:pPr>
              <w:tabs>
                <w:tab w:val="left" w:pos="165"/>
              </w:tabs>
              <w:ind w:left="148" w:right="-208"/>
              <w:rPr>
                <w:rFonts w:ascii="Arial" w:hAnsi="Arial" w:cs="Arial"/>
                <w:color w:val="000000"/>
                <w:sz w:val="12"/>
                <w:szCs w:val="12"/>
              </w:rPr>
            </w:pPr>
          </w:p>
        </w:tc>
        <w:tc>
          <w:tcPr>
            <w:tcW w:w="3240" w:type="dxa"/>
            <w:shd w:val="clear" w:color="auto" w:fill="auto"/>
          </w:tcPr>
          <w:p w14:paraId="2A174254" w14:textId="77777777" w:rsidR="000329D7" w:rsidRPr="002D2F67" w:rsidRDefault="000329D7" w:rsidP="000329D7">
            <w:pPr>
              <w:tabs>
                <w:tab w:val="left" w:pos="-3402"/>
                <w:tab w:val="left" w:pos="-3261"/>
                <w:tab w:val="left" w:pos="-3119"/>
              </w:tabs>
              <w:ind w:left="-29"/>
              <w:rPr>
                <w:rFonts w:ascii="Arial" w:hAnsi="Arial" w:cs="Arial"/>
                <w:color w:val="000000"/>
                <w:sz w:val="12"/>
                <w:szCs w:val="12"/>
              </w:rPr>
            </w:pPr>
          </w:p>
        </w:tc>
        <w:tc>
          <w:tcPr>
            <w:tcW w:w="1024" w:type="dxa"/>
            <w:shd w:val="clear" w:color="auto" w:fill="auto"/>
          </w:tcPr>
          <w:p w14:paraId="59586D0D" w14:textId="77777777" w:rsidR="000329D7" w:rsidRPr="002D2F67" w:rsidRDefault="000329D7" w:rsidP="000329D7">
            <w:pPr>
              <w:ind w:right="-72"/>
              <w:jc w:val="right"/>
              <w:rPr>
                <w:rFonts w:ascii="Arial" w:hAnsi="Arial" w:cs="Arial"/>
                <w:color w:val="000000"/>
                <w:sz w:val="14"/>
                <w:szCs w:val="14"/>
              </w:rPr>
            </w:pPr>
          </w:p>
        </w:tc>
        <w:tc>
          <w:tcPr>
            <w:tcW w:w="1024" w:type="dxa"/>
            <w:shd w:val="clear" w:color="auto" w:fill="auto"/>
          </w:tcPr>
          <w:p w14:paraId="305C7213" w14:textId="77777777" w:rsidR="000329D7" w:rsidRPr="002D2F67" w:rsidRDefault="000329D7" w:rsidP="000329D7">
            <w:pPr>
              <w:ind w:right="-72"/>
              <w:jc w:val="right"/>
              <w:rPr>
                <w:rFonts w:ascii="Arial" w:hAnsi="Arial" w:cs="Arial"/>
                <w:color w:val="000000"/>
                <w:sz w:val="14"/>
                <w:szCs w:val="14"/>
              </w:rPr>
            </w:pPr>
          </w:p>
        </w:tc>
        <w:tc>
          <w:tcPr>
            <w:tcW w:w="1024" w:type="dxa"/>
            <w:shd w:val="clear" w:color="auto" w:fill="auto"/>
          </w:tcPr>
          <w:p w14:paraId="65912163" w14:textId="77777777" w:rsidR="000329D7" w:rsidRPr="002D2F67" w:rsidRDefault="000329D7" w:rsidP="000329D7">
            <w:pPr>
              <w:ind w:right="-72"/>
              <w:jc w:val="right"/>
              <w:rPr>
                <w:rFonts w:ascii="Arial" w:hAnsi="Arial" w:cs="Arial"/>
                <w:color w:val="000000"/>
                <w:sz w:val="14"/>
                <w:szCs w:val="14"/>
              </w:rPr>
            </w:pPr>
          </w:p>
        </w:tc>
        <w:tc>
          <w:tcPr>
            <w:tcW w:w="1024" w:type="dxa"/>
            <w:shd w:val="clear" w:color="auto" w:fill="auto"/>
          </w:tcPr>
          <w:p w14:paraId="0BBAAEAE" w14:textId="77777777" w:rsidR="000329D7" w:rsidRPr="002D2F67" w:rsidRDefault="000329D7" w:rsidP="000329D7">
            <w:pPr>
              <w:ind w:right="-72"/>
              <w:jc w:val="right"/>
              <w:rPr>
                <w:rFonts w:ascii="Arial" w:hAnsi="Arial" w:cs="Arial"/>
                <w:color w:val="000000"/>
                <w:sz w:val="14"/>
                <w:szCs w:val="14"/>
              </w:rPr>
            </w:pPr>
          </w:p>
        </w:tc>
        <w:tc>
          <w:tcPr>
            <w:tcW w:w="1145" w:type="dxa"/>
            <w:tcBorders>
              <w:top w:val="single" w:sz="4" w:space="0" w:color="auto"/>
            </w:tcBorders>
            <w:shd w:val="clear" w:color="auto" w:fill="auto"/>
          </w:tcPr>
          <w:p w14:paraId="13CC0947" w14:textId="77777777" w:rsidR="000329D7" w:rsidRPr="002D2F67" w:rsidRDefault="000329D7" w:rsidP="000329D7">
            <w:pPr>
              <w:ind w:right="-72"/>
              <w:jc w:val="right"/>
              <w:rPr>
                <w:rFonts w:ascii="Arial" w:hAnsi="Arial" w:cs="Arial"/>
                <w:color w:val="000000"/>
                <w:sz w:val="14"/>
                <w:szCs w:val="14"/>
              </w:rPr>
            </w:pPr>
          </w:p>
        </w:tc>
        <w:tc>
          <w:tcPr>
            <w:tcW w:w="1134" w:type="dxa"/>
            <w:tcBorders>
              <w:top w:val="single" w:sz="4" w:space="0" w:color="auto"/>
            </w:tcBorders>
            <w:shd w:val="clear" w:color="auto" w:fill="auto"/>
          </w:tcPr>
          <w:p w14:paraId="158CA7E3" w14:textId="77777777" w:rsidR="000329D7" w:rsidRPr="002D2F67" w:rsidRDefault="000329D7" w:rsidP="000329D7">
            <w:pPr>
              <w:ind w:right="-72"/>
              <w:jc w:val="right"/>
              <w:rPr>
                <w:rFonts w:ascii="Arial" w:hAnsi="Arial" w:cs="Arial"/>
                <w:color w:val="000000"/>
                <w:sz w:val="14"/>
                <w:szCs w:val="14"/>
              </w:rPr>
            </w:pPr>
          </w:p>
        </w:tc>
        <w:tc>
          <w:tcPr>
            <w:tcW w:w="1134" w:type="dxa"/>
            <w:tcBorders>
              <w:top w:val="single" w:sz="4" w:space="0" w:color="auto"/>
            </w:tcBorders>
            <w:shd w:val="clear" w:color="auto" w:fill="auto"/>
          </w:tcPr>
          <w:p w14:paraId="501160B1" w14:textId="77777777" w:rsidR="000329D7" w:rsidRPr="002D2F67" w:rsidRDefault="000329D7" w:rsidP="000329D7">
            <w:pPr>
              <w:ind w:right="-72"/>
              <w:jc w:val="right"/>
              <w:rPr>
                <w:rFonts w:ascii="Arial" w:hAnsi="Arial" w:cs="Arial"/>
                <w:color w:val="000000"/>
                <w:sz w:val="14"/>
                <w:szCs w:val="14"/>
              </w:rPr>
            </w:pPr>
          </w:p>
        </w:tc>
        <w:tc>
          <w:tcPr>
            <w:tcW w:w="1242" w:type="dxa"/>
            <w:tcBorders>
              <w:top w:val="single" w:sz="4" w:space="0" w:color="auto"/>
            </w:tcBorders>
            <w:shd w:val="clear" w:color="auto" w:fill="auto"/>
          </w:tcPr>
          <w:p w14:paraId="45B74D1A" w14:textId="77777777" w:rsidR="000329D7" w:rsidRPr="002D2F67" w:rsidRDefault="000329D7" w:rsidP="000329D7">
            <w:pPr>
              <w:ind w:right="-72"/>
              <w:jc w:val="right"/>
              <w:rPr>
                <w:rFonts w:ascii="Arial" w:hAnsi="Arial" w:cs="Arial"/>
                <w:color w:val="000000"/>
                <w:sz w:val="14"/>
                <w:szCs w:val="14"/>
              </w:rPr>
            </w:pPr>
          </w:p>
        </w:tc>
      </w:tr>
      <w:tr w:rsidR="000329D7" w:rsidRPr="002D2F67" w14:paraId="03A41394" w14:textId="77777777" w:rsidTr="005611FE">
        <w:trPr>
          <w:cantSplit/>
          <w:trHeight w:val="159"/>
        </w:trPr>
        <w:tc>
          <w:tcPr>
            <w:tcW w:w="2551" w:type="dxa"/>
            <w:shd w:val="clear" w:color="auto" w:fill="auto"/>
            <w:vAlign w:val="center"/>
          </w:tcPr>
          <w:p w14:paraId="71820C39" w14:textId="77777777" w:rsidR="000329D7" w:rsidRPr="002D2F67" w:rsidRDefault="000329D7" w:rsidP="000329D7">
            <w:pPr>
              <w:ind w:left="148" w:right="-208"/>
              <w:rPr>
                <w:rFonts w:ascii="Arial" w:hAnsi="Arial" w:cs="Arial"/>
                <w:color w:val="000000"/>
                <w:sz w:val="14"/>
                <w:szCs w:val="14"/>
              </w:rPr>
            </w:pPr>
            <w:r w:rsidRPr="002D2F67">
              <w:rPr>
                <w:rFonts w:ascii="Arial" w:hAnsi="Arial" w:cs="Arial"/>
                <w:color w:val="000000"/>
                <w:sz w:val="14"/>
                <w:szCs w:val="14"/>
              </w:rPr>
              <w:t>Total</w:t>
            </w:r>
          </w:p>
        </w:tc>
        <w:tc>
          <w:tcPr>
            <w:tcW w:w="3240" w:type="dxa"/>
            <w:shd w:val="clear" w:color="auto" w:fill="auto"/>
            <w:vAlign w:val="center"/>
          </w:tcPr>
          <w:p w14:paraId="251BCF62" w14:textId="77777777" w:rsidR="000329D7" w:rsidRPr="002D2F67" w:rsidRDefault="000329D7" w:rsidP="000329D7">
            <w:pPr>
              <w:jc w:val="center"/>
              <w:rPr>
                <w:rFonts w:ascii="Arial" w:hAnsi="Arial" w:cs="Arial"/>
                <w:color w:val="000000"/>
                <w:sz w:val="14"/>
                <w:szCs w:val="14"/>
                <w:cs/>
              </w:rPr>
            </w:pPr>
          </w:p>
        </w:tc>
        <w:tc>
          <w:tcPr>
            <w:tcW w:w="1024" w:type="dxa"/>
            <w:shd w:val="clear" w:color="auto" w:fill="auto"/>
          </w:tcPr>
          <w:p w14:paraId="36EFB300" w14:textId="2C4ED081" w:rsidR="000329D7" w:rsidRPr="002D2F67" w:rsidRDefault="000329D7" w:rsidP="000329D7">
            <w:pPr>
              <w:pStyle w:val="acctfourfigures"/>
              <w:tabs>
                <w:tab w:val="clear" w:pos="765"/>
              </w:tabs>
              <w:spacing w:line="240" w:lineRule="auto"/>
              <w:ind w:right="-72"/>
              <w:jc w:val="right"/>
              <w:rPr>
                <w:rFonts w:ascii="Arial" w:hAnsi="Arial" w:cs="Arial"/>
                <w:color w:val="000000"/>
                <w:sz w:val="14"/>
                <w:szCs w:val="14"/>
                <w:lang w:bidi="th-TH"/>
              </w:rPr>
            </w:pPr>
          </w:p>
        </w:tc>
        <w:tc>
          <w:tcPr>
            <w:tcW w:w="1024" w:type="dxa"/>
            <w:shd w:val="clear" w:color="auto" w:fill="auto"/>
          </w:tcPr>
          <w:p w14:paraId="24B2DD05" w14:textId="3C3A86B6" w:rsidR="000329D7" w:rsidRPr="002D2F67" w:rsidRDefault="000329D7" w:rsidP="000329D7">
            <w:pPr>
              <w:pStyle w:val="acctfourfigures"/>
              <w:tabs>
                <w:tab w:val="clear" w:pos="765"/>
              </w:tabs>
              <w:spacing w:line="240" w:lineRule="auto"/>
              <w:ind w:right="-72"/>
              <w:jc w:val="right"/>
              <w:rPr>
                <w:rFonts w:ascii="Arial" w:hAnsi="Arial" w:cs="Arial"/>
                <w:color w:val="000000"/>
                <w:sz w:val="14"/>
                <w:szCs w:val="14"/>
                <w:lang w:bidi="th-TH"/>
              </w:rPr>
            </w:pPr>
          </w:p>
        </w:tc>
        <w:tc>
          <w:tcPr>
            <w:tcW w:w="1024" w:type="dxa"/>
            <w:shd w:val="clear" w:color="auto" w:fill="auto"/>
          </w:tcPr>
          <w:p w14:paraId="7CD5D05F" w14:textId="6D3598F9" w:rsidR="000329D7" w:rsidRPr="002D2F67" w:rsidRDefault="000329D7" w:rsidP="000329D7">
            <w:pPr>
              <w:pStyle w:val="acctfourfigures"/>
              <w:tabs>
                <w:tab w:val="clear" w:pos="765"/>
                <w:tab w:val="decimal" w:pos="550"/>
              </w:tabs>
              <w:spacing w:line="240" w:lineRule="auto"/>
              <w:ind w:right="-72"/>
              <w:jc w:val="right"/>
              <w:rPr>
                <w:rFonts w:ascii="Arial" w:hAnsi="Arial" w:cs="Arial"/>
                <w:color w:val="000000"/>
                <w:sz w:val="14"/>
                <w:szCs w:val="14"/>
                <w:lang w:bidi="th-TH"/>
              </w:rPr>
            </w:pPr>
          </w:p>
        </w:tc>
        <w:tc>
          <w:tcPr>
            <w:tcW w:w="1024" w:type="dxa"/>
            <w:shd w:val="clear" w:color="auto" w:fill="auto"/>
          </w:tcPr>
          <w:p w14:paraId="31A7B843" w14:textId="0B5C40FB" w:rsidR="000329D7" w:rsidRPr="002D2F67" w:rsidRDefault="000329D7" w:rsidP="000329D7">
            <w:pPr>
              <w:pStyle w:val="acctfourfigures"/>
              <w:tabs>
                <w:tab w:val="clear" w:pos="765"/>
                <w:tab w:val="decimal" w:pos="550"/>
              </w:tabs>
              <w:spacing w:line="240" w:lineRule="auto"/>
              <w:ind w:right="-72"/>
              <w:jc w:val="right"/>
              <w:rPr>
                <w:rFonts w:ascii="Arial" w:hAnsi="Arial" w:cs="Arial"/>
                <w:color w:val="000000"/>
                <w:sz w:val="14"/>
                <w:szCs w:val="14"/>
                <w:lang w:bidi="th-TH"/>
              </w:rPr>
            </w:pPr>
          </w:p>
        </w:tc>
        <w:tc>
          <w:tcPr>
            <w:tcW w:w="1145" w:type="dxa"/>
            <w:tcBorders>
              <w:bottom w:val="single" w:sz="4" w:space="0" w:color="auto"/>
            </w:tcBorders>
            <w:shd w:val="clear" w:color="auto" w:fill="auto"/>
          </w:tcPr>
          <w:p w14:paraId="0A549D9D" w14:textId="79AACEA8" w:rsidR="000329D7" w:rsidRPr="002D2F67" w:rsidRDefault="00CD5714" w:rsidP="000329D7">
            <w:pPr>
              <w:pStyle w:val="acctfourfigures"/>
              <w:tabs>
                <w:tab w:val="clear" w:pos="765"/>
                <w:tab w:val="decimal" w:pos="550"/>
              </w:tabs>
              <w:spacing w:line="240" w:lineRule="auto"/>
              <w:ind w:right="-94"/>
              <w:jc w:val="right"/>
              <w:rPr>
                <w:rFonts w:ascii="Arial" w:hAnsi="Arial" w:cs="Arial"/>
                <w:color w:val="000000"/>
                <w:sz w:val="14"/>
                <w:szCs w:val="14"/>
                <w:lang w:bidi="th-TH"/>
              </w:rPr>
            </w:pPr>
            <w:r w:rsidRPr="00CD5714">
              <w:rPr>
                <w:rFonts w:ascii="Arial" w:hAnsi="Arial" w:cs="Arial"/>
                <w:color w:val="000000"/>
                <w:sz w:val="14"/>
                <w:szCs w:val="14"/>
                <w:lang w:val="en-GB" w:bidi="th-TH"/>
              </w:rPr>
              <w:t>4</w:t>
            </w:r>
            <w:r w:rsidR="0060440A" w:rsidRPr="002D2F67">
              <w:rPr>
                <w:rFonts w:ascii="Arial" w:hAnsi="Arial" w:cs="Arial"/>
                <w:color w:val="000000"/>
                <w:sz w:val="14"/>
                <w:szCs w:val="14"/>
                <w:lang w:bidi="th-TH"/>
              </w:rPr>
              <w:t>,</w:t>
            </w:r>
            <w:r w:rsidRPr="00CD5714">
              <w:rPr>
                <w:rFonts w:ascii="Arial" w:hAnsi="Arial" w:cs="Arial"/>
                <w:color w:val="000000"/>
                <w:sz w:val="14"/>
                <w:szCs w:val="14"/>
                <w:lang w:val="en-GB" w:bidi="th-TH"/>
              </w:rPr>
              <w:t>537</w:t>
            </w:r>
            <w:r w:rsidR="0060440A" w:rsidRPr="002D2F67">
              <w:rPr>
                <w:rFonts w:ascii="Arial" w:hAnsi="Arial" w:cs="Arial"/>
                <w:color w:val="000000"/>
                <w:sz w:val="14"/>
                <w:szCs w:val="14"/>
                <w:lang w:bidi="th-TH"/>
              </w:rPr>
              <w:t>,</w:t>
            </w:r>
            <w:r w:rsidRPr="00CD5714">
              <w:rPr>
                <w:rFonts w:ascii="Arial" w:hAnsi="Arial" w:cs="Arial"/>
                <w:color w:val="000000"/>
                <w:sz w:val="14"/>
                <w:szCs w:val="14"/>
                <w:lang w:val="en-GB" w:bidi="th-TH"/>
              </w:rPr>
              <w:t>502</w:t>
            </w:r>
          </w:p>
        </w:tc>
        <w:tc>
          <w:tcPr>
            <w:tcW w:w="1134" w:type="dxa"/>
            <w:tcBorders>
              <w:bottom w:val="single" w:sz="4" w:space="0" w:color="auto"/>
            </w:tcBorders>
            <w:shd w:val="clear" w:color="auto" w:fill="auto"/>
          </w:tcPr>
          <w:p w14:paraId="6B2F3725" w14:textId="729AEB95" w:rsidR="000329D7" w:rsidRPr="002D2F67" w:rsidRDefault="00CD5714" w:rsidP="000329D7">
            <w:pPr>
              <w:pStyle w:val="acctfourfigures"/>
              <w:tabs>
                <w:tab w:val="clear" w:pos="765"/>
                <w:tab w:val="decimal" w:pos="550"/>
              </w:tabs>
              <w:spacing w:line="240" w:lineRule="auto"/>
              <w:ind w:right="-94"/>
              <w:jc w:val="right"/>
              <w:rPr>
                <w:rFonts w:ascii="Arial" w:hAnsi="Arial" w:cs="Arial"/>
                <w:color w:val="000000"/>
                <w:sz w:val="14"/>
                <w:szCs w:val="14"/>
                <w:lang w:bidi="th-TH"/>
              </w:rPr>
            </w:pPr>
            <w:r w:rsidRPr="00CD5714">
              <w:rPr>
                <w:rFonts w:ascii="Arial" w:hAnsi="Arial" w:cs="Arial"/>
                <w:color w:val="000000"/>
                <w:sz w:val="14"/>
                <w:szCs w:val="14"/>
                <w:lang w:val="en-GB" w:bidi="th-TH"/>
              </w:rPr>
              <w:t>4</w:t>
            </w:r>
            <w:r w:rsidR="000329D7" w:rsidRPr="002D2F67">
              <w:rPr>
                <w:rFonts w:ascii="Arial" w:hAnsi="Arial" w:cs="Arial"/>
                <w:color w:val="000000"/>
                <w:sz w:val="14"/>
                <w:szCs w:val="14"/>
                <w:lang w:bidi="th-TH"/>
              </w:rPr>
              <w:t>,</w:t>
            </w:r>
            <w:r w:rsidRPr="00CD5714">
              <w:rPr>
                <w:rFonts w:ascii="Arial" w:hAnsi="Arial" w:cs="Arial"/>
                <w:color w:val="000000"/>
                <w:sz w:val="14"/>
                <w:szCs w:val="14"/>
                <w:lang w:val="en-GB" w:bidi="th-TH"/>
              </w:rPr>
              <w:t>537</w:t>
            </w:r>
            <w:r w:rsidR="000329D7" w:rsidRPr="002D2F67">
              <w:rPr>
                <w:rFonts w:ascii="Arial" w:hAnsi="Arial" w:cs="Arial"/>
                <w:color w:val="000000"/>
                <w:sz w:val="14"/>
                <w:szCs w:val="14"/>
                <w:lang w:bidi="th-TH"/>
              </w:rPr>
              <w:t>,</w:t>
            </w:r>
            <w:r w:rsidRPr="00CD5714">
              <w:rPr>
                <w:rFonts w:ascii="Arial" w:hAnsi="Arial" w:cs="Arial"/>
                <w:color w:val="000000"/>
                <w:sz w:val="14"/>
                <w:szCs w:val="14"/>
                <w:lang w:val="en-GB" w:bidi="th-TH"/>
              </w:rPr>
              <w:t>502</w:t>
            </w:r>
          </w:p>
        </w:tc>
        <w:tc>
          <w:tcPr>
            <w:tcW w:w="1134" w:type="dxa"/>
            <w:tcBorders>
              <w:bottom w:val="single" w:sz="4" w:space="0" w:color="auto"/>
            </w:tcBorders>
            <w:shd w:val="clear" w:color="auto" w:fill="auto"/>
          </w:tcPr>
          <w:p w14:paraId="0D637F9B" w14:textId="1EF5BF8E" w:rsidR="000329D7" w:rsidRPr="002D2F67" w:rsidRDefault="000329D7" w:rsidP="000329D7">
            <w:pPr>
              <w:pStyle w:val="acctfourfigures"/>
              <w:tabs>
                <w:tab w:val="clear" w:pos="765"/>
                <w:tab w:val="decimal" w:pos="533"/>
              </w:tabs>
              <w:spacing w:line="240" w:lineRule="auto"/>
              <w:ind w:right="-94"/>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242" w:type="dxa"/>
            <w:tcBorders>
              <w:bottom w:val="single" w:sz="4" w:space="0" w:color="auto"/>
            </w:tcBorders>
            <w:shd w:val="clear" w:color="auto" w:fill="auto"/>
          </w:tcPr>
          <w:p w14:paraId="3D2305D8" w14:textId="64EF844B" w:rsidR="000329D7" w:rsidRPr="002D2F67" w:rsidRDefault="000329D7" w:rsidP="000329D7">
            <w:pPr>
              <w:pStyle w:val="acctfourfigures"/>
              <w:tabs>
                <w:tab w:val="clear" w:pos="765"/>
                <w:tab w:val="decimal" w:pos="533"/>
              </w:tabs>
              <w:spacing w:line="240" w:lineRule="auto"/>
              <w:ind w:right="-69"/>
              <w:jc w:val="right"/>
              <w:rPr>
                <w:rFonts w:ascii="Arial" w:hAnsi="Arial" w:cs="Arial"/>
                <w:color w:val="000000"/>
                <w:sz w:val="14"/>
                <w:szCs w:val="14"/>
                <w:lang w:bidi="th-TH"/>
              </w:rPr>
            </w:pPr>
            <w:r w:rsidRPr="002D2F67">
              <w:rPr>
                <w:rFonts w:ascii="Arial" w:hAnsi="Arial" w:cs="Arial"/>
                <w:color w:val="000000"/>
                <w:sz w:val="14"/>
                <w:szCs w:val="14"/>
                <w:lang w:bidi="th-TH"/>
              </w:rPr>
              <w:t>-</w:t>
            </w:r>
          </w:p>
        </w:tc>
      </w:tr>
      <w:tr w:rsidR="000329D7" w:rsidRPr="002D2F67" w14:paraId="1B192D71" w14:textId="77777777" w:rsidTr="005611FE">
        <w:trPr>
          <w:cantSplit/>
        </w:trPr>
        <w:tc>
          <w:tcPr>
            <w:tcW w:w="2551" w:type="dxa"/>
            <w:shd w:val="clear" w:color="auto" w:fill="auto"/>
          </w:tcPr>
          <w:p w14:paraId="488FBBA7" w14:textId="14097AEB" w:rsidR="000329D7" w:rsidRPr="002D2F67" w:rsidRDefault="000329D7" w:rsidP="000329D7">
            <w:pPr>
              <w:tabs>
                <w:tab w:val="left" w:pos="165"/>
              </w:tabs>
              <w:ind w:left="148" w:right="-208"/>
              <w:rPr>
                <w:rFonts w:ascii="Arial" w:hAnsi="Arial" w:cs="Arial"/>
                <w:color w:val="000000"/>
                <w:sz w:val="12"/>
                <w:szCs w:val="15"/>
              </w:rPr>
            </w:pPr>
          </w:p>
        </w:tc>
        <w:tc>
          <w:tcPr>
            <w:tcW w:w="3240" w:type="dxa"/>
            <w:shd w:val="clear" w:color="auto" w:fill="auto"/>
          </w:tcPr>
          <w:p w14:paraId="4D1ED9EC" w14:textId="77777777" w:rsidR="000329D7" w:rsidRPr="002D2F67" w:rsidRDefault="000329D7" w:rsidP="000329D7">
            <w:pPr>
              <w:tabs>
                <w:tab w:val="left" w:pos="-3402"/>
                <w:tab w:val="left" w:pos="-3261"/>
                <w:tab w:val="left" w:pos="-3119"/>
              </w:tabs>
              <w:ind w:left="-29"/>
              <w:rPr>
                <w:rFonts w:ascii="Arial" w:hAnsi="Arial" w:cs="Arial"/>
                <w:color w:val="000000"/>
                <w:sz w:val="12"/>
                <w:szCs w:val="12"/>
              </w:rPr>
            </w:pPr>
          </w:p>
        </w:tc>
        <w:tc>
          <w:tcPr>
            <w:tcW w:w="1024" w:type="dxa"/>
            <w:shd w:val="clear" w:color="auto" w:fill="auto"/>
          </w:tcPr>
          <w:p w14:paraId="339B0DEC" w14:textId="77777777" w:rsidR="000329D7" w:rsidRPr="002D2F67" w:rsidRDefault="000329D7" w:rsidP="000329D7">
            <w:pPr>
              <w:ind w:right="-72"/>
              <w:jc w:val="right"/>
              <w:rPr>
                <w:rFonts w:ascii="Arial" w:hAnsi="Arial" w:cs="Arial"/>
                <w:color w:val="000000"/>
                <w:sz w:val="14"/>
                <w:szCs w:val="14"/>
              </w:rPr>
            </w:pPr>
          </w:p>
        </w:tc>
        <w:tc>
          <w:tcPr>
            <w:tcW w:w="1024" w:type="dxa"/>
            <w:shd w:val="clear" w:color="auto" w:fill="auto"/>
          </w:tcPr>
          <w:p w14:paraId="5E71F2BF" w14:textId="77777777" w:rsidR="000329D7" w:rsidRPr="002D2F67" w:rsidRDefault="000329D7" w:rsidP="000329D7">
            <w:pPr>
              <w:ind w:right="-72"/>
              <w:jc w:val="right"/>
              <w:rPr>
                <w:rFonts w:ascii="Arial" w:hAnsi="Arial" w:cs="Arial"/>
                <w:color w:val="000000"/>
                <w:sz w:val="14"/>
                <w:szCs w:val="14"/>
              </w:rPr>
            </w:pPr>
          </w:p>
        </w:tc>
        <w:tc>
          <w:tcPr>
            <w:tcW w:w="1024" w:type="dxa"/>
            <w:shd w:val="clear" w:color="auto" w:fill="auto"/>
          </w:tcPr>
          <w:p w14:paraId="547A6553" w14:textId="77777777" w:rsidR="000329D7" w:rsidRPr="002D2F67" w:rsidRDefault="000329D7" w:rsidP="000329D7">
            <w:pPr>
              <w:ind w:right="-72"/>
              <w:jc w:val="right"/>
              <w:rPr>
                <w:rFonts w:ascii="Arial" w:hAnsi="Arial" w:cs="Arial"/>
                <w:color w:val="000000"/>
                <w:sz w:val="14"/>
                <w:szCs w:val="14"/>
              </w:rPr>
            </w:pPr>
          </w:p>
        </w:tc>
        <w:tc>
          <w:tcPr>
            <w:tcW w:w="1024" w:type="dxa"/>
            <w:shd w:val="clear" w:color="auto" w:fill="auto"/>
          </w:tcPr>
          <w:p w14:paraId="768DF61E" w14:textId="77777777" w:rsidR="000329D7" w:rsidRPr="002D2F67" w:rsidRDefault="000329D7" w:rsidP="000329D7">
            <w:pPr>
              <w:ind w:right="-72"/>
              <w:jc w:val="right"/>
              <w:rPr>
                <w:rFonts w:ascii="Arial" w:hAnsi="Arial" w:cs="Arial"/>
                <w:color w:val="000000"/>
                <w:sz w:val="14"/>
                <w:szCs w:val="14"/>
              </w:rPr>
            </w:pPr>
          </w:p>
        </w:tc>
        <w:tc>
          <w:tcPr>
            <w:tcW w:w="1145" w:type="dxa"/>
            <w:tcBorders>
              <w:top w:val="single" w:sz="4" w:space="0" w:color="auto"/>
            </w:tcBorders>
            <w:shd w:val="clear" w:color="auto" w:fill="auto"/>
          </w:tcPr>
          <w:p w14:paraId="3F27DC5A" w14:textId="0269CA05" w:rsidR="000329D7" w:rsidRPr="002D2F67" w:rsidRDefault="000329D7" w:rsidP="000329D7">
            <w:pPr>
              <w:ind w:right="-94"/>
              <w:jc w:val="right"/>
              <w:rPr>
                <w:rFonts w:ascii="Arial" w:hAnsi="Arial" w:cs="Arial"/>
                <w:color w:val="000000"/>
                <w:sz w:val="14"/>
                <w:szCs w:val="14"/>
              </w:rPr>
            </w:pPr>
          </w:p>
        </w:tc>
        <w:tc>
          <w:tcPr>
            <w:tcW w:w="1134" w:type="dxa"/>
            <w:tcBorders>
              <w:top w:val="single" w:sz="4" w:space="0" w:color="auto"/>
            </w:tcBorders>
            <w:shd w:val="clear" w:color="auto" w:fill="auto"/>
          </w:tcPr>
          <w:p w14:paraId="773D417B" w14:textId="77777777" w:rsidR="000329D7" w:rsidRPr="002D2F67" w:rsidRDefault="000329D7" w:rsidP="000329D7">
            <w:pPr>
              <w:ind w:right="-94"/>
              <w:jc w:val="right"/>
              <w:rPr>
                <w:rFonts w:ascii="Arial" w:hAnsi="Arial" w:cs="Arial"/>
                <w:color w:val="000000"/>
                <w:sz w:val="14"/>
                <w:szCs w:val="14"/>
              </w:rPr>
            </w:pPr>
          </w:p>
        </w:tc>
        <w:tc>
          <w:tcPr>
            <w:tcW w:w="1134" w:type="dxa"/>
            <w:tcBorders>
              <w:top w:val="single" w:sz="4" w:space="0" w:color="auto"/>
            </w:tcBorders>
            <w:shd w:val="clear" w:color="auto" w:fill="auto"/>
          </w:tcPr>
          <w:p w14:paraId="04061542" w14:textId="77777777" w:rsidR="000329D7" w:rsidRPr="002D2F67" w:rsidRDefault="000329D7" w:rsidP="000329D7">
            <w:pPr>
              <w:ind w:right="-94"/>
              <w:jc w:val="right"/>
              <w:rPr>
                <w:rFonts w:ascii="Arial" w:hAnsi="Arial" w:cs="Arial"/>
                <w:color w:val="000000"/>
                <w:sz w:val="14"/>
                <w:szCs w:val="14"/>
              </w:rPr>
            </w:pPr>
          </w:p>
        </w:tc>
        <w:tc>
          <w:tcPr>
            <w:tcW w:w="1242" w:type="dxa"/>
            <w:tcBorders>
              <w:top w:val="single" w:sz="4" w:space="0" w:color="auto"/>
            </w:tcBorders>
            <w:shd w:val="clear" w:color="auto" w:fill="auto"/>
          </w:tcPr>
          <w:p w14:paraId="786A24F8" w14:textId="77777777" w:rsidR="000329D7" w:rsidRPr="002D2F67" w:rsidRDefault="000329D7" w:rsidP="000329D7">
            <w:pPr>
              <w:ind w:right="-72"/>
              <w:jc w:val="right"/>
              <w:rPr>
                <w:rFonts w:ascii="Arial" w:hAnsi="Arial" w:cs="Arial"/>
                <w:color w:val="000000"/>
                <w:sz w:val="14"/>
                <w:szCs w:val="14"/>
              </w:rPr>
            </w:pPr>
          </w:p>
        </w:tc>
      </w:tr>
      <w:tr w:rsidR="000329D7" w:rsidRPr="002D2F67" w14:paraId="14D65A95" w14:textId="77777777" w:rsidTr="00E3254E">
        <w:trPr>
          <w:cantSplit/>
        </w:trPr>
        <w:tc>
          <w:tcPr>
            <w:tcW w:w="5791" w:type="dxa"/>
            <w:gridSpan w:val="2"/>
            <w:shd w:val="clear" w:color="auto" w:fill="auto"/>
          </w:tcPr>
          <w:p w14:paraId="2FF0F888" w14:textId="7037B2CA" w:rsidR="000329D7" w:rsidRPr="002D2F67" w:rsidRDefault="000329D7" w:rsidP="000329D7">
            <w:pPr>
              <w:tabs>
                <w:tab w:val="left" w:pos="165"/>
              </w:tabs>
              <w:ind w:left="148" w:right="-208"/>
              <w:rPr>
                <w:rFonts w:ascii="Arial" w:hAnsi="Arial" w:cs="Arial"/>
                <w:color w:val="000000"/>
                <w:sz w:val="14"/>
                <w:szCs w:val="14"/>
              </w:rPr>
            </w:pPr>
          </w:p>
        </w:tc>
        <w:tc>
          <w:tcPr>
            <w:tcW w:w="1024" w:type="dxa"/>
            <w:shd w:val="clear" w:color="auto" w:fill="auto"/>
          </w:tcPr>
          <w:p w14:paraId="4A7B40E3" w14:textId="77777777" w:rsidR="000329D7" w:rsidRPr="002D2F67" w:rsidRDefault="000329D7" w:rsidP="000329D7">
            <w:pPr>
              <w:ind w:right="-72"/>
              <w:jc w:val="right"/>
              <w:rPr>
                <w:rFonts w:ascii="Arial" w:hAnsi="Arial" w:cs="Arial"/>
                <w:color w:val="000000"/>
                <w:sz w:val="14"/>
                <w:szCs w:val="14"/>
              </w:rPr>
            </w:pPr>
          </w:p>
        </w:tc>
        <w:tc>
          <w:tcPr>
            <w:tcW w:w="1024" w:type="dxa"/>
            <w:shd w:val="clear" w:color="auto" w:fill="auto"/>
          </w:tcPr>
          <w:p w14:paraId="7575293E" w14:textId="77777777" w:rsidR="000329D7" w:rsidRPr="002D2F67" w:rsidRDefault="000329D7" w:rsidP="000329D7">
            <w:pPr>
              <w:ind w:right="-72"/>
              <w:jc w:val="right"/>
              <w:rPr>
                <w:rFonts w:ascii="Arial" w:hAnsi="Arial" w:cs="Arial"/>
                <w:color w:val="000000"/>
                <w:sz w:val="14"/>
                <w:szCs w:val="14"/>
              </w:rPr>
            </w:pPr>
          </w:p>
        </w:tc>
        <w:tc>
          <w:tcPr>
            <w:tcW w:w="1024" w:type="dxa"/>
            <w:shd w:val="clear" w:color="auto" w:fill="auto"/>
          </w:tcPr>
          <w:p w14:paraId="2ABC1521" w14:textId="77777777" w:rsidR="000329D7" w:rsidRPr="002D2F67" w:rsidRDefault="000329D7" w:rsidP="000329D7">
            <w:pPr>
              <w:ind w:right="-72"/>
              <w:jc w:val="right"/>
              <w:rPr>
                <w:rFonts w:ascii="Arial" w:hAnsi="Arial" w:cs="Arial"/>
                <w:color w:val="000000"/>
                <w:sz w:val="14"/>
                <w:szCs w:val="14"/>
              </w:rPr>
            </w:pPr>
          </w:p>
        </w:tc>
        <w:tc>
          <w:tcPr>
            <w:tcW w:w="1024" w:type="dxa"/>
            <w:shd w:val="clear" w:color="auto" w:fill="auto"/>
          </w:tcPr>
          <w:p w14:paraId="0C835228" w14:textId="77777777" w:rsidR="000329D7" w:rsidRPr="002D2F67" w:rsidRDefault="000329D7" w:rsidP="000329D7">
            <w:pPr>
              <w:ind w:right="-72"/>
              <w:jc w:val="right"/>
              <w:rPr>
                <w:rFonts w:ascii="Arial" w:hAnsi="Arial" w:cs="Arial"/>
                <w:color w:val="000000"/>
                <w:sz w:val="14"/>
                <w:szCs w:val="14"/>
              </w:rPr>
            </w:pPr>
          </w:p>
        </w:tc>
        <w:tc>
          <w:tcPr>
            <w:tcW w:w="1145" w:type="dxa"/>
            <w:shd w:val="clear" w:color="auto" w:fill="auto"/>
          </w:tcPr>
          <w:p w14:paraId="24F380BB" w14:textId="54724E9F" w:rsidR="000329D7" w:rsidRPr="002D2F67" w:rsidRDefault="00CD5714" w:rsidP="000329D7">
            <w:pPr>
              <w:pStyle w:val="acctfourfigures"/>
              <w:tabs>
                <w:tab w:val="clear" w:pos="765"/>
                <w:tab w:val="decimal" w:pos="550"/>
              </w:tabs>
              <w:spacing w:line="240" w:lineRule="auto"/>
              <w:ind w:right="-94"/>
              <w:jc w:val="right"/>
              <w:rPr>
                <w:rFonts w:ascii="Arial" w:hAnsi="Arial" w:cs="Arial"/>
                <w:noProof/>
                <w:color w:val="000000"/>
                <w:sz w:val="14"/>
                <w:szCs w:val="14"/>
              </w:rPr>
            </w:pPr>
            <w:r w:rsidRPr="00CD5714">
              <w:rPr>
                <w:rFonts w:ascii="Arial" w:hAnsi="Arial" w:cs="Arial"/>
                <w:noProof/>
                <w:color w:val="000000"/>
                <w:sz w:val="14"/>
                <w:szCs w:val="14"/>
                <w:lang w:val="en-GB"/>
              </w:rPr>
              <w:t>37</w:t>
            </w:r>
            <w:r w:rsidR="00223B56" w:rsidRPr="002D2F67">
              <w:rPr>
                <w:rFonts w:ascii="Arial" w:hAnsi="Arial" w:cs="Arial"/>
                <w:noProof/>
                <w:color w:val="000000"/>
                <w:sz w:val="14"/>
                <w:szCs w:val="14"/>
              </w:rPr>
              <w:t>,</w:t>
            </w:r>
            <w:r w:rsidRPr="00CD5714">
              <w:rPr>
                <w:rFonts w:ascii="Arial" w:hAnsi="Arial" w:cs="Arial"/>
                <w:noProof/>
                <w:color w:val="000000"/>
                <w:sz w:val="14"/>
                <w:szCs w:val="14"/>
                <w:lang w:val="en-GB"/>
              </w:rPr>
              <w:t>308</w:t>
            </w:r>
            <w:r w:rsidR="00223B56" w:rsidRPr="002D2F67">
              <w:rPr>
                <w:rFonts w:ascii="Arial" w:hAnsi="Arial" w:cs="Arial"/>
                <w:noProof/>
                <w:color w:val="000000"/>
                <w:sz w:val="14"/>
                <w:szCs w:val="14"/>
              </w:rPr>
              <w:t>,</w:t>
            </w:r>
            <w:r w:rsidRPr="00CD5714">
              <w:rPr>
                <w:rFonts w:ascii="Arial" w:hAnsi="Arial" w:cs="Arial"/>
                <w:noProof/>
                <w:color w:val="000000"/>
                <w:sz w:val="14"/>
                <w:szCs w:val="14"/>
                <w:lang w:val="en-GB"/>
              </w:rPr>
              <w:t>728</w:t>
            </w:r>
          </w:p>
        </w:tc>
        <w:tc>
          <w:tcPr>
            <w:tcW w:w="1134" w:type="dxa"/>
            <w:shd w:val="clear" w:color="auto" w:fill="auto"/>
          </w:tcPr>
          <w:p w14:paraId="2C9E4241" w14:textId="29BA600B" w:rsidR="000329D7" w:rsidRPr="002D2F67" w:rsidRDefault="00CD5714" w:rsidP="000329D7">
            <w:pPr>
              <w:pStyle w:val="acctfourfigures"/>
              <w:tabs>
                <w:tab w:val="clear" w:pos="765"/>
                <w:tab w:val="decimal" w:pos="550"/>
              </w:tabs>
              <w:spacing w:line="240" w:lineRule="auto"/>
              <w:ind w:right="-94"/>
              <w:jc w:val="right"/>
              <w:rPr>
                <w:rFonts w:ascii="Arial" w:hAnsi="Arial" w:cs="Arial"/>
                <w:noProof/>
                <w:color w:val="000000"/>
                <w:sz w:val="14"/>
                <w:szCs w:val="14"/>
              </w:rPr>
            </w:pPr>
            <w:r w:rsidRPr="00CD5714">
              <w:rPr>
                <w:rFonts w:ascii="Arial" w:hAnsi="Arial" w:cs="Arial"/>
                <w:noProof/>
                <w:color w:val="000000"/>
                <w:sz w:val="14"/>
                <w:szCs w:val="14"/>
                <w:lang w:val="en-GB"/>
              </w:rPr>
              <w:t>37</w:t>
            </w:r>
            <w:r w:rsidR="000329D7" w:rsidRPr="002D2F67">
              <w:rPr>
                <w:rFonts w:ascii="Arial" w:hAnsi="Arial" w:cs="Arial"/>
                <w:noProof/>
                <w:color w:val="000000"/>
                <w:sz w:val="14"/>
                <w:szCs w:val="14"/>
              </w:rPr>
              <w:t>,</w:t>
            </w:r>
            <w:r w:rsidRPr="00CD5714">
              <w:rPr>
                <w:rFonts w:ascii="Arial" w:hAnsi="Arial" w:cs="Arial"/>
                <w:noProof/>
                <w:color w:val="000000"/>
                <w:sz w:val="14"/>
                <w:szCs w:val="14"/>
                <w:lang w:val="en-GB"/>
              </w:rPr>
              <w:t>184</w:t>
            </w:r>
            <w:r w:rsidR="000329D7" w:rsidRPr="002D2F67">
              <w:rPr>
                <w:rFonts w:ascii="Arial" w:hAnsi="Arial" w:cs="Arial"/>
                <w:noProof/>
                <w:color w:val="000000"/>
                <w:sz w:val="14"/>
                <w:szCs w:val="14"/>
              </w:rPr>
              <w:t>,</w:t>
            </w:r>
            <w:r w:rsidRPr="00CD5714">
              <w:rPr>
                <w:rFonts w:ascii="Arial" w:hAnsi="Arial" w:cs="Arial"/>
                <w:noProof/>
                <w:color w:val="000000"/>
                <w:sz w:val="14"/>
                <w:szCs w:val="14"/>
                <w:lang w:val="en-GB"/>
              </w:rPr>
              <w:t>728</w:t>
            </w:r>
          </w:p>
        </w:tc>
        <w:tc>
          <w:tcPr>
            <w:tcW w:w="1134" w:type="dxa"/>
            <w:shd w:val="clear" w:color="auto" w:fill="auto"/>
          </w:tcPr>
          <w:p w14:paraId="4E60738E" w14:textId="7B52AF69" w:rsidR="000329D7" w:rsidRPr="002D2F67" w:rsidRDefault="00CD5714" w:rsidP="000329D7">
            <w:pPr>
              <w:pStyle w:val="acctfourfigures"/>
              <w:tabs>
                <w:tab w:val="clear" w:pos="765"/>
                <w:tab w:val="decimal" w:pos="550"/>
              </w:tabs>
              <w:spacing w:line="240" w:lineRule="auto"/>
              <w:ind w:right="-94"/>
              <w:jc w:val="right"/>
              <w:rPr>
                <w:rFonts w:ascii="Arial" w:hAnsi="Arial" w:cs="Arial"/>
                <w:noProof/>
                <w:color w:val="000000"/>
                <w:sz w:val="14"/>
                <w:szCs w:val="14"/>
              </w:rPr>
            </w:pPr>
            <w:r w:rsidRPr="00CD5714">
              <w:rPr>
                <w:rFonts w:ascii="Arial" w:hAnsi="Arial" w:cs="Arial"/>
                <w:noProof/>
                <w:color w:val="000000"/>
                <w:sz w:val="14"/>
                <w:szCs w:val="14"/>
                <w:lang w:val="en-GB"/>
              </w:rPr>
              <w:t>1</w:t>
            </w:r>
            <w:r w:rsidR="00CC0816" w:rsidRPr="002D2F67">
              <w:rPr>
                <w:rFonts w:ascii="Arial" w:hAnsi="Arial" w:cs="Arial"/>
                <w:noProof/>
                <w:color w:val="000000"/>
                <w:sz w:val="14"/>
                <w:szCs w:val="14"/>
              </w:rPr>
              <w:t>,</w:t>
            </w:r>
            <w:r w:rsidRPr="00CD5714">
              <w:rPr>
                <w:rFonts w:ascii="Arial" w:hAnsi="Arial" w:cs="Arial"/>
                <w:noProof/>
                <w:color w:val="000000"/>
                <w:sz w:val="14"/>
                <w:szCs w:val="14"/>
                <w:lang w:val="en-GB"/>
              </w:rPr>
              <w:t>956</w:t>
            </w:r>
            <w:r w:rsidR="00CC0816" w:rsidRPr="002D2F67">
              <w:rPr>
                <w:rFonts w:ascii="Arial" w:hAnsi="Arial" w:cs="Arial"/>
                <w:noProof/>
                <w:color w:val="000000"/>
                <w:sz w:val="14"/>
                <w:szCs w:val="14"/>
              </w:rPr>
              <w:t>,</w:t>
            </w:r>
            <w:r w:rsidRPr="00CD5714">
              <w:rPr>
                <w:rFonts w:ascii="Arial" w:hAnsi="Arial" w:cs="Arial"/>
                <w:noProof/>
                <w:color w:val="000000"/>
                <w:sz w:val="14"/>
                <w:szCs w:val="14"/>
                <w:lang w:val="en-GB"/>
              </w:rPr>
              <w:t>262</w:t>
            </w:r>
          </w:p>
        </w:tc>
        <w:tc>
          <w:tcPr>
            <w:tcW w:w="1242" w:type="dxa"/>
            <w:shd w:val="clear" w:color="auto" w:fill="auto"/>
          </w:tcPr>
          <w:p w14:paraId="653DF469" w14:textId="2903D5E8" w:rsidR="000329D7" w:rsidRPr="002D2F67" w:rsidRDefault="00CD5714" w:rsidP="000329D7">
            <w:pPr>
              <w:pStyle w:val="acctfourfigures"/>
              <w:tabs>
                <w:tab w:val="clear" w:pos="765"/>
                <w:tab w:val="decimal" w:pos="550"/>
              </w:tabs>
              <w:spacing w:line="240" w:lineRule="auto"/>
              <w:ind w:right="-72"/>
              <w:jc w:val="right"/>
              <w:rPr>
                <w:rFonts w:ascii="Arial" w:hAnsi="Arial" w:cs="Arial"/>
                <w:color w:val="000000"/>
              </w:rPr>
            </w:pPr>
            <w:r w:rsidRPr="00CD5714">
              <w:rPr>
                <w:rFonts w:ascii="Arial" w:hAnsi="Arial" w:cs="Arial"/>
                <w:noProof/>
                <w:color w:val="000000"/>
                <w:sz w:val="14"/>
                <w:szCs w:val="14"/>
                <w:lang w:val="en-GB"/>
              </w:rPr>
              <w:t>11</w:t>
            </w:r>
            <w:r w:rsidR="000329D7" w:rsidRPr="002D2F67">
              <w:rPr>
                <w:rFonts w:ascii="Arial" w:hAnsi="Arial" w:cs="Arial"/>
                <w:noProof/>
                <w:color w:val="000000"/>
                <w:sz w:val="14"/>
                <w:szCs w:val="14"/>
              </w:rPr>
              <w:t>,</w:t>
            </w:r>
            <w:r w:rsidRPr="00CD5714">
              <w:rPr>
                <w:rFonts w:ascii="Arial" w:hAnsi="Arial" w:cs="Arial"/>
                <w:noProof/>
                <w:color w:val="000000"/>
                <w:sz w:val="14"/>
                <w:szCs w:val="14"/>
                <w:lang w:val="en-GB"/>
              </w:rPr>
              <w:t>932</w:t>
            </w:r>
            <w:r w:rsidR="000329D7" w:rsidRPr="002D2F67">
              <w:rPr>
                <w:rFonts w:ascii="Arial" w:hAnsi="Arial" w:cs="Arial"/>
                <w:noProof/>
                <w:color w:val="000000"/>
                <w:sz w:val="14"/>
                <w:szCs w:val="14"/>
              </w:rPr>
              <w:t>,</w:t>
            </w:r>
            <w:r w:rsidRPr="00CD5714">
              <w:rPr>
                <w:rFonts w:ascii="Arial" w:hAnsi="Arial" w:cs="Arial"/>
                <w:noProof/>
                <w:color w:val="000000"/>
                <w:sz w:val="14"/>
                <w:szCs w:val="14"/>
                <w:lang w:val="en-GB"/>
              </w:rPr>
              <w:t>546</w:t>
            </w:r>
          </w:p>
        </w:tc>
      </w:tr>
      <w:tr w:rsidR="00274BEC" w:rsidRPr="002D2F67" w14:paraId="1D594DCF" w14:textId="77777777" w:rsidTr="00E3254E">
        <w:trPr>
          <w:cantSplit/>
        </w:trPr>
        <w:tc>
          <w:tcPr>
            <w:tcW w:w="5791" w:type="dxa"/>
            <w:gridSpan w:val="2"/>
            <w:shd w:val="clear" w:color="auto" w:fill="auto"/>
          </w:tcPr>
          <w:p w14:paraId="73CE127E" w14:textId="77777777" w:rsidR="00274BEC" w:rsidRPr="002D2F67" w:rsidRDefault="00274BEC" w:rsidP="000329D7">
            <w:pPr>
              <w:tabs>
                <w:tab w:val="left" w:pos="165"/>
              </w:tabs>
              <w:ind w:left="148" w:right="-208"/>
              <w:rPr>
                <w:rFonts w:ascii="Arial" w:hAnsi="Arial" w:cs="Arial"/>
                <w:color w:val="000000"/>
                <w:sz w:val="14"/>
                <w:szCs w:val="14"/>
              </w:rPr>
            </w:pPr>
          </w:p>
        </w:tc>
        <w:tc>
          <w:tcPr>
            <w:tcW w:w="1024" w:type="dxa"/>
            <w:shd w:val="clear" w:color="auto" w:fill="auto"/>
          </w:tcPr>
          <w:p w14:paraId="43A871D2" w14:textId="77777777" w:rsidR="00274BEC" w:rsidRPr="002D2F67" w:rsidRDefault="00274BEC" w:rsidP="000329D7">
            <w:pPr>
              <w:ind w:right="-72"/>
              <w:jc w:val="right"/>
              <w:rPr>
                <w:rFonts w:ascii="Arial" w:hAnsi="Arial" w:cs="Arial"/>
                <w:color w:val="000000"/>
                <w:sz w:val="14"/>
                <w:szCs w:val="14"/>
              </w:rPr>
            </w:pPr>
          </w:p>
        </w:tc>
        <w:tc>
          <w:tcPr>
            <w:tcW w:w="1024" w:type="dxa"/>
            <w:shd w:val="clear" w:color="auto" w:fill="auto"/>
          </w:tcPr>
          <w:p w14:paraId="30235D7B" w14:textId="77777777" w:rsidR="00274BEC" w:rsidRPr="002D2F67" w:rsidRDefault="00274BEC" w:rsidP="000329D7">
            <w:pPr>
              <w:ind w:right="-72"/>
              <w:jc w:val="right"/>
              <w:rPr>
                <w:rFonts w:ascii="Arial" w:hAnsi="Arial" w:cs="Arial"/>
                <w:color w:val="000000"/>
                <w:sz w:val="14"/>
                <w:szCs w:val="14"/>
              </w:rPr>
            </w:pPr>
          </w:p>
        </w:tc>
        <w:tc>
          <w:tcPr>
            <w:tcW w:w="1024" w:type="dxa"/>
            <w:shd w:val="clear" w:color="auto" w:fill="auto"/>
          </w:tcPr>
          <w:p w14:paraId="57C60981" w14:textId="77777777" w:rsidR="00274BEC" w:rsidRPr="002D2F67" w:rsidRDefault="00274BEC" w:rsidP="000329D7">
            <w:pPr>
              <w:ind w:right="-72"/>
              <w:jc w:val="right"/>
              <w:rPr>
                <w:rFonts w:ascii="Arial" w:hAnsi="Arial" w:cs="Arial"/>
                <w:color w:val="000000"/>
                <w:sz w:val="14"/>
                <w:szCs w:val="14"/>
              </w:rPr>
            </w:pPr>
          </w:p>
        </w:tc>
        <w:tc>
          <w:tcPr>
            <w:tcW w:w="1024" w:type="dxa"/>
            <w:shd w:val="clear" w:color="auto" w:fill="auto"/>
          </w:tcPr>
          <w:p w14:paraId="63678130" w14:textId="77777777" w:rsidR="00274BEC" w:rsidRPr="002D2F67" w:rsidRDefault="00274BEC" w:rsidP="000329D7">
            <w:pPr>
              <w:ind w:right="-72"/>
              <w:jc w:val="right"/>
              <w:rPr>
                <w:rFonts w:ascii="Arial" w:hAnsi="Arial" w:cs="Arial"/>
                <w:color w:val="000000"/>
                <w:sz w:val="14"/>
                <w:szCs w:val="14"/>
              </w:rPr>
            </w:pPr>
          </w:p>
        </w:tc>
        <w:tc>
          <w:tcPr>
            <w:tcW w:w="1145" w:type="dxa"/>
            <w:shd w:val="clear" w:color="auto" w:fill="auto"/>
          </w:tcPr>
          <w:p w14:paraId="14D3FAC9" w14:textId="77777777" w:rsidR="00274BEC" w:rsidRPr="002D2F67" w:rsidRDefault="00274BEC" w:rsidP="000329D7">
            <w:pPr>
              <w:pStyle w:val="acctfourfigures"/>
              <w:tabs>
                <w:tab w:val="clear" w:pos="765"/>
                <w:tab w:val="decimal" w:pos="550"/>
              </w:tabs>
              <w:spacing w:line="240" w:lineRule="auto"/>
              <w:ind w:right="-94"/>
              <w:jc w:val="right"/>
              <w:rPr>
                <w:rFonts w:ascii="Arial" w:hAnsi="Arial" w:cs="Arial"/>
                <w:noProof/>
                <w:color w:val="000000"/>
                <w:sz w:val="14"/>
                <w:szCs w:val="14"/>
              </w:rPr>
            </w:pPr>
          </w:p>
        </w:tc>
        <w:tc>
          <w:tcPr>
            <w:tcW w:w="1134" w:type="dxa"/>
            <w:shd w:val="clear" w:color="auto" w:fill="auto"/>
          </w:tcPr>
          <w:p w14:paraId="2348BD86" w14:textId="77777777" w:rsidR="00274BEC" w:rsidRPr="002D2F67" w:rsidRDefault="00274BEC" w:rsidP="000329D7">
            <w:pPr>
              <w:pStyle w:val="acctfourfigures"/>
              <w:tabs>
                <w:tab w:val="clear" w:pos="765"/>
                <w:tab w:val="decimal" w:pos="550"/>
              </w:tabs>
              <w:spacing w:line="240" w:lineRule="auto"/>
              <w:ind w:right="-94"/>
              <w:jc w:val="right"/>
              <w:rPr>
                <w:rFonts w:ascii="Arial" w:hAnsi="Arial" w:cs="Arial"/>
                <w:noProof/>
                <w:color w:val="000000"/>
                <w:sz w:val="14"/>
                <w:szCs w:val="14"/>
              </w:rPr>
            </w:pPr>
          </w:p>
        </w:tc>
        <w:tc>
          <w:tcPr>
            <w:tcW w:w="1134" w:type="dxa"/>
            <w:shd w:val="clear" w:color="auto" w:fill="auto"/>
          </w:tcPr>
          <w:p w14:paraId="389B829D" w14:textId="77777777" w:rsidR="00274BEC" w:rsidRPr="002D2F67" w:rsidRDefault="00274BEC" w:rsidP="000329D7">
            <w:pPr>
              <w:pStyle w:val="acctfourfigures"/>
              <w:tabs>
                <w:tab w:val="clear" w:pos="765"/>
                <w:tab w:val="decimal" w:pos="550"/>
              </w:tabs>
              <w:spacing w:line="240" w:lineRule="auto"/>
              <w:ind w:right="-94"/>
              <w:jc w:val="right"/>
              <w:rPr>
                <w:rFonts w:ascii="Arial" w:hAnsi="Arial" w:cs="Arial"/>
                <w:noProof/>
                <w:color w:val="000000"/>
                <w:sz w:val="14"/>
                <w:szCs w:val="14"/>
              </w:rPr>
            </w:pPr>
          </w:p>
        </w:tc>
        <w:tc>
          <w:tcPr>
            <w:tcW w:w="1242" w:type="dxa"/>
            <w:shd w:val="clear" w:color="auto" w:fill="auto"/>
          </w:tcPr>
          <w:p w14:paraId="40EE9F12" w14:textId="77777777" w:rsidR="00274BEC" w:rsidRPr="002D2F67" w:rsidRDefault="00274BEC" w:rsidP="000329D7">
            <w:pPr>
              <w:pStyle w:val="acctfourfigures"/>
              <w:tabs>
                <w:tab w:val="clear" w:pos="765"/>
                <w:tab w:val="decimal" w:pos="550"/>
              </w:tabs>
              <w:spacing w:line="240" w:lineRule="auto"/>
              <w:ind w:right="-72"/>
              <w:jc w:val="right"/>
              <w:rPr>
                <w:rFonts w:ascii="Arial" w:hAnsi="Arial" w:cs="Arial"/>
                <w:noProof/>
                <w:color w:val="000000"/>
                <w:sz w:val="14"/>
                <w:szCs w:val="14"/>
              </w:rPr>
            </w:pPr>
          </w:p>
        </w:tc>
      </w:tr>
      <w:tr w:rsidR="00E3254E" w:rsidRPr="002D2F67" w14:paraId="4FD1320C" w14:textId="77777777" w:rsidTr="00317510">
        <w:trPr>
          <w:cantSplit/>
        </w:trPr>
        <w:tc>
          <w:tcPr>
            <w:tcW w:w="5791" w:type="dxa"/>
            <w:gridSpan w:val="2"/>
            <w:shd w:val="clear" w:color="auto" w:fill="auto"/>
          </w:tcPr>
          <w:p w14:paraId="3BC88608" w14:textId="5B05A3E2" w:rsidR="00E3254E" w:rsidRPr="002D2F67" w:rsidRDefault="00E3254E" w:rsidP="000329D7">
            <w:pPr>
              <w:tabs>
                <w:tab w:val="left" w:pos="165"/>
              </w:tabs>
              <w:ind w:left="148" w:right="-208"/>
              <w:rPr>
                <w:rFonts w:ascii="Arial" w:hAnsi="Arial" w:cs="Arial"/>
                <w:color w:val="000000"/>
                <w:sz w:val="14"/>
                <w:szCs w:val="17"/>
              </w:rPr>
            </w:pPr>
            <w:r w:rsidRPr="002D2F67">
              <w:rPr>
                <w:rFonts w:ascii="Arial" w:hAnsi="Arial" w:cs="Arial"/>
                <w:color w:val="000000"/>
                <w:sz w:val="14"/>
                <w:szCs w:val="17"/>
                <w:u w:val="single"/>
              </w:rPr>
              <w:t>Less</w:t>
            </w:r>
            <w:r w:rsidRPr="002D2F67">
              <w:rPr>
                <w:rFonts w:ascii="Arial" w:hAnsi="Arial" w:cs="Arial"/>
                <w:color w:val="000000"/>
                <w:sz w:val="14"/>
                <w:szCs w:val="17"/>
              </w:rPr>
              <w:t xml:space="preserve"> </w:t>
            </w:r>
            <w:r w:rsidR="00317510" w:rsidRPr="002D2F67">
              <w:rPr>
                <w:rFonts w:ascii="Arial" w:hAnsi="Arial" w:cs="Arial"/>
                <w:color w:val="000000"/>
                <w:sz w:val="14"/>
                <w:szCs w:val="17"/>
              </w:rPr>
              <w:t>allowance for</w:t>
            </w:r>
            <w:r w:rsidRPr="002D2F67">
              <w:rPr>
                <w:rFonts w:ascii="Arial" w:hAnsi="Arial" w:cs="Arial"/>
                <w:color w:val="000000"/>
                <w:sz w:val="14"/>
                <w:szCs w:val="17"/>
              </w:rPr>
              <w:t xml:space="preserve"> impairment</w:t>
            </w:r>
          </w:p>
        </w:tc>
        <w:tc>
          <w:tcPr>
            <w:tcW w:w="1024" w:type="dxa"/>
            <w:shd w:val="clear" w:color="auto" w:fill="auto"/>
          </w:tcPr>
          <w:p w14:paraId="16CAA8C4" w14:textId="77777777" w:rsidR="00E3254E" w:rsidRPr="002D2F67" w:rsidRDefault="00E3254E" w:rsidP="000329D7">
            <w:pPr>
              <w:ind w:right="-72"/>
              <w:jc w:val="right"/>
              <w:rPr>
                <w:rFonts w:ascii="Arial" w:hAnsi="Arial" w:cs="Arial"/>
                <w:color w:val="000000"/>
                <w:sz w:val="14"/>
                <w:szCs w:val="14"/>
              </w:rPr>
            </w:pPr>
          </w:p>
        </w:tc>
        <w:tc>
          <w:tcPr>
            <w:tcW w:w="1024" w:type="dxa"/>
            <w:shd w:val="clear" w:color="auto" w:fill="auto"/>
          </w:tcPr>
          <w:p w14:paraId="77B92218" w14:textId="77777777" w:rsidR="00E3254E" w:rsidRPr="002D2F67" w:rsidRDefault="00E3254E" w:rsidP="000329D7">
            <w:pPr>
              <w:ind w:right="-72"/>
              <w:jc w:val="right"/>
              <w:rPr>
                <w:rFonts w:ascii="Arial" w:hAnsi="Arial" w:cs="Arial"/>
                <w:color w:val="000000"/>
                <w:sz w:val="14"/>
                <w:szCs w:val="14"/>
              </w:rPr>
            </w:pPr>
          </w:p>
        </w:tc>
        <w:tc>
          <w:tcPr>
            <w:tcW w:w="1024" w:type="dxa"/>
            <w:shd w:val="clear" w:color="auto" w:fill="auto"/>
          </w:tcPr>
          <w:p w14:paraId="145DEA15" w14:textId="77777777" w:rsidR="00E3254E" w:rsidRPr="002D2F67" w:rsidRDefault="00E3254E" w:rsidP="000329D7">
            <w:pPr>
              <w:ind w:right="-72"/>
              <w:jc w:val="right"/>
              <w:rPr>
                <w:rFonts w:ascii="Arial" w:hAnsi="Arial" w:cs="Arial"/>
                <w:color w:val="000000"/>
                <w:sz w:val="14"/>
                <w:szCs w:val="14"/>
              </w:rPr>
            </w:pPr>
          </w:p>
        </w:tc>
        <w:tc>
          <w:tcPr>
            <w:tcW w:w="1024" w:type="dxa"/>
            <w:shd w:val="clear" w:color="auto" w:fill="auto"/>
          </w:tcPr>
          <w:p w14:paraId="71E9E8BD" w14:textId="77777777" w:rsidR="00E3254E" w:rsidRPr="002D2F67" w:rsidRDefault="00E3254E" w:rsidP="000329D7">
            <w:pPr>
              <w:ind w:right="-72"/>
              <w:jc w:val="right"/>
              <w:rPr>
                <w:rFonts w:ascii="Arial" w:hAnsi="Arial" w:cs="Arial"/>
                <w:color w:val="000000"/>
                <w:sz w:val="14"/>
                <w:szCs w:val="14"/>
              </w:rPr>
            </w:pPr>
          </w:p>
        </w:tc>
        <w:tc>
          <w:tcPr>
            <w:tcW w:w="1145" w:type="dxa"/>
            <w:tcBorders>
              <w:bottom w:val="single" w:sz="4" w:space="0" w:color="auto"/>
            </w:tcBorders>
            <w:shd w:val="clear" w:color="auto" w:fill="auto"/>
          </w:tcPr>
          <w:p w14:paraId="359294F2" w14:textId="29A41207" w:rsidR="00E3254E" w:rsidRPr="002D2F67" w:rsidRDefault="00D16481" w:rsidP="000329D7">
            <w:pPr>
              <w:pStyle w:val="acctfourfigures"/>
              <w:tabs>
                <w:tab w:val="clear" w:pos="765"/>
                <w:tab w:val="decimal" w:pos="550"/>
              </w:tabs>
              <w:spacing w:line="240" w:lineRule="auto"/>
              <w:ind w:right="-94"/>
              <w:jc w:val="right"/>
              <w:rPr>
                <w:rFonts w:ascii="Arial" w:hAnsi="Arial" w:cs="Arial"/>
                <w:noProof/>
                <w:color w:val="000000"/>
                <w:sz w:val="14"/>
                <w:szCs w:val="14"/>
              </w:rPr>
            </w:pPr>
            <w:r w:rsidRPr="002D2F67">
              <w:rPr>
                <w:rFonts w:ascii="Arial" w:hAnsi="Arial" w:cs="Arial"/>
                <w:noProof/>
                <w:color w:val="000000"/>
                <w:sz w:val="14"/>
                <w:szCs w:val="14"/>
              </w:rPr>
              <w:t>(</w:t>
            </w:r>
            <w:r w:rsidR="00CD5714" w:rsidRPr="00CD5714">
              <w:rPr>
                <w:rFonts w:ascii="Arial" w:hAnsi="Arial" w:cs="Arial"/>
                <w:noProof/>
                <w:color w:val="000000"/>
                <w:sz w:val="14"/>
                <w:szCs w:val="14"/>
                <w:lang w:val="en-GB"/>
              </w:rPr>
              <w:t>9</w:t>
            </w:r>
            <w:r w:rsidRPr="002D2F67">
              <w:rPr>
                <w:rFonts w:ascii="Arial" w:hAnsi="Arial" w:cs="Arial"/>
                <w:noProof/>
                <w:color w:val="000000"/>
                <w:sz w:val="14"/>
                <w:szCs w:val="14"/>
              </w:rPr>
              <w:t>,</w:t>
            </w:r>
            <w:r w:rsidR="00CD5714" w:rsidRPr="00CD5714">
              <w:rPr>
                <w:rFonts w:ascii="Arial" w:hAnsi="Arial" w:cs="Arial"/>
                <w:noProof/>
                <w:color w:val="000000"/>
                <w:sz w:val="14"/>
                <w:szCs w:val="14"/>
                <w:lang w:val="en-GB"/>
              </w:rPr>
              <w:t>922</w:t>
            </w:r>
            <w:r w:rsidRPr="002D2F67">
              <w:rPr>
                <w:rFonts w:ascii="Arial" w:hAnsi="Arial" w:cs="Arial"/>
                <w:noProof/>
                <w:color w:val="000000"/>
                <w:sz w:val="14"/>
                <w:szCs w:val="14"/>
              </w:rPr>
              <w:t>,</w:t>
            </w:r>
            <w:r w:rsidR="00CD5714" w:rsidRPr="00CD5714">
              <w:rPr>
                <w:rFonts w:ascii="Arial" w:hAnsi="Arial" w:cs="Arial"/>
                <w:noProof/>
                <w:color w:val="000000"/>
                <w:sz w:val="14"/>
                <w:szCs w:val="14"/>
                <w:lang w:val="en-GB"/>
              </w:rPr>
              <w:t>461</w:t>
            </w:r>
            <w:r w:rsidRPr="002D2F67">
              <w:rPr>
                <w:rFonts w:ascii="Arial" w:hAnsi="Arial" w:cs="Arial"/>
                <w:noProof/>
                <w:color w:val="000000"/>
                <w:sz w:val="14"/>
                <w:szCs w:val="14"/>
              </w:rPr>
              <w:t>)</w:t>
            </w:r>
          </w:p>
        </w:tc>
        <w:tc>
          <w:tcPr>
            <w:tcW w:w="1134" w:type="dxa"/>
            <w:tcBorders>
              <w:bottom w:val="single" w:sz="4" w:space="0" w:color="auto"/>
            </w:tcBorders>
            <w:shd w:val="clear" w:color="auto" w:fill="auto"/>
          </w:tcPr>
          <w:p w14:paraId="5368CC2C" w14:textId="6965DB94" w:rsidR="00E3254E" w:rsidRPr="002D2F67" w:rsidRDefault="00641280" w:rsidP="000329D7">
            <w:pPr>
              <w:pStyle w:val="acctfourfigures"/>
              <w:tabs>
                <w:tab w:val="clear" w:pos="765"/>
                <w:tab w:val="decimal" w:pos="550"/>
              </w:tabs>
              <w:spacing w:line="240" w:lineRule="auto"/>
              <w:ind w:right="-94"/>
              <w:jc w:val="right"/>
              <w:rPr>
                <w:rFonts w:ascii="Arial" w:hAnsi="Arial" w:cs="Arial"/>
                <w:noProof/>
                <w:color w:val="000000"/>
                <w:sz w:val="14"/>
                <w:szCs w:val="14"/>
              </w:rPr>
            </w:pPr>
            <w:r w:rsidRPr="002D2F67">
              <w:rPr>
                <w:rFonts w:ascii="Arial" w:hAnsi="Arial" w:cs="Arial"/>
                <w:noProof/>
                <w:color w:val="000000"/>
                <w:sz w:val="14"/>
                <w:szCs w:val="14"/>
              </w:rPr>
              <w:t>-</w:t>
            </w:r>
          </w:p>
        </w:tc>
        <w:tc>
          <w:tcPr>
            <w:tcW w:w="1134" w:type="dxa"/>
            <w:tcBorders>
              <w:bottom w:val="single" w:sz="4" w:space="0" w:color="auto"/>
            </w:tcBorders>
            <w:shd w:val="clear" w:color="auto" w:fill="auto"/>
          </w:tcPr>
          <w:p w14:paraId="766DA007" w14:textId="03A59EA0" w:rsidR="00E3254E" w:rsidRPr="002D2F67" w:rsidRDefault="00641280" w:rsidP="000329D7">
            <w:pPr>
              <w:pStyle w:val="acctfourfigures"/>
              <w:tabs>
                <w:tab w:val="clear" w:pos="765"/>
                <w:tab w:val="decimal" w:pos="550"/>
              </w:tabs>
              <w:spacing w:line="240" w:lineRule="auto"/>
              <w:ind w:right="-94"/>
              <w:jc w:val="right"/>
              <w:rPr>
                <w:rFonts w:ascii="Arial" w:hAnsi="Arial" w:cs="Arial"/>
                <w:noProof/>
                <w:color w:val="000000"/>
                <w:sz w:val="14"/>
                <w:szCs w:val="14"/>
              </w:rPr>
            </w:pPr>
            <w:r w:rsidRPr="002D2F67">
              <w:rPr>
                <w:rFonts w:ascii="Arial" w:hAnsi="Arial" w:cs="Arial"/>
                <w:noProof/>
                <w:color w:val="000000"/>
                <w:sz w:val="14"/>
                <w:szCs w:val="14"/>
              </w:rPr>
              <w:t>-</w:t>
            </w:r>
          </w:p>
        </w:tc>
        <w:tc>
          <w:tcPr>
            <w:tcW w:w="1242" w:type="dxa"/>
            <w:tcBorders>
              <w:bottom w:val="single" w:sz="4" w:space="0" w:color="auto"/>
            </w:tcBorders>
            <w:shd w:val="clear" w:color="auto" w:fill="auto"/>
          </w:tcPr>
          <w:p w14:paraId="66A129E5" w14:textId="40EB91C9" w:rsidR="00E3254E" w:rsidRPr="002D2F67" w:rsidRDefault="00641280" w:rsidP="000329D7">
            <w:pPr>
              <w:pStyle w:val="acctfourfigures"/>
              <w:tabs>
                <w:tab w:val="clear" w:pos="765"/>
                <w:tab w:val="decimal" w:pos="550"/>
              </w:tabs>
              <w:spacing w:line="240" w:lineRule="auto"/>
              <w:ind w:right="-72"/>
              <w:jc w:val="right"/>
              <w:rPr>
                <w:rFonts w:ascii="Arial" w:hAnsi="Arial" w:cs="Arial"/>
                <w:noProof/>
                <w:color w:val="000000"/>
                <w:sz w:val="14"/>
                <w:szCs w:val="14"/>
              </w:rPr>
            </w:pPr>
            <w:r w:rsidRPr="002D2F67">
              <w:rPr>
                <w:rFonts w:ascii="Arial" w:hAnsi="Arial" w:cs="Arial"/>
                <w:noProof/>
                <w:color w:val="000000"/>
                <w:sz w:val="14"/>
                <w:szCs w:val="14"/>
              </w:rPr>
              <w:t>-</w:t>
            </w:r>
          </w:p>
        </w:tc>
      </w:tr>
      <w:tr w:rsidR="00317510" w:rsidRPr="002D2F67" w14:paraId="53E0C022" w14:textId="77777777" w:rsidTr="00317510">
        <w:trPr>
          <w:cantSplit/>
        </w:trPr>
        <w:tc>
          <w:tcPr>
            <w:tcW w:w="5791" w:type="dxa"/>
            <w:gridSpan w:val="2"/>
            <w:shd w:val="clear" w:color="auto" w:fill="auto"/>
          </w:tcPr>
          <w:p w14:paraId="567E1D59" w14:textId="77777777" w:rsidR="00317510" w:rsidRPr="002D2F67" w:rsidRDefault="00317510" w:rsidP="000329D7">
            <w:pPr>
              <w:tabs>
                <w:tab w:val="left" w:pos="165"/>
              </w:tabs>
              <w:ind w:left="148" w:right="-208"/>
              <w:rPr>
                <w:rFonts w:ascii="Arial" w:hAnsi="Arial" w:cs="Arial"/>
                <w:color w:val="000000"/>
                <w:sz w:val="14"/>
                <w:szCs w:val="17"/>
                <w:u w:val="single"/>
              </w:rPr>
            </w:pPr>
          </w:p>
        </w:tc>
        <w:tc>
          <w:tcPr>
            <w:tcW w:w="1024" w:type="dxa"/>
            <w:shd w:val="clear" w:color="auto" w:fill="auto"/>
          </w:tcPr>
          <w:p w14:paraId="3F38B4AD" w14:textId="77777777" w:rsidR="00317510" w:rsidRPr="002D2F67" w:rsidRDefault="00317510" w:rsidP="000329D7">
            <w:pPr>
              <w:ind w:right="-72"/>
              <w:jc w:val="right"/>
              <w:rPr>
                <w:rFonts w:ascii="Arial" w:hAnsi="Arial" w:cs="Arial"/>
                <w:color w:val="000000"/>
                <w:sz w:val="14"/>
                <w:szCs w:val="14"/>
              </w:rPr>
            </w:pPr>
          </w:p>
        </w:tc>
        <w:tc>
          <w:tcPr>
            <w:tcW w:w="1024" w:type="dxa"/>
            <w:shd w:val="clear" w:color="auto" w:fill="auto"/>
          </w:tcPr>
          <w:p w14:paraId="7D78266A" w14:textId="77777777" w:rsidR="00317510" w:rsidRPr="002D2F67" w:rsidRDefault="00317510" w:rsidP="000329D7">
            <w:pPr>
              <w:ind w:right="-72"/>
              <w:jc w:val="right"/>
              <w:rPr>
                <w:rFonts w:ascii="Arial" w:hAnsi="Arial" w:cs="Arial"/>
                <w:color w:val="000000"/>
                <w:sz w:val="14"/>
                <w:szCs w:val="14"/>
              </w:rPr>
            </w:pPr>
          </w:p>
        </w:tc>
        <w:tc>
          <w:tcPr>
            <w:tcW w:w="1024" w:type="dxa"/>
            <w:shd w:val="clear" w:color="auto" w:fill="auto"/>
          </w:tcPr>
          <w:p w14:paraId="05669AFC" w14:textId="77777777" w:rsidR="00317510" w:rsidRPr="002D2F67" w:rsidRDefault="00317510" w:rsidP="000329D7">
            <w:pPr>
              <w:ind w:right="-72"/>
              <w:jc w:val="right"/>
              <w:rPr>
                <w:rFonts w:ascii="Arial" w:hAnsi="Arial" w:cs="Arial"/>
                <w:color w:val="000000"/>
                <w:sz w:val="14"/>
                <w:szCs w:val="14"/>
              </w:rPr>
            </w:pPr>
          </w:p>
        </w:tc>
        <w:tc>
          <w:tcPr>
            <w:tcW w:w="1024" w:type="dxa"/>
            <w:shd w:val="clear" w:color="auto" w:fill="auto"/>
          </w:tcPr>
          <w:p w14:paraId="4C546D5E" w14:textId="77777777" w:rsidR="00317510" w:rsidRPr="002D2F67" w:rsidRDefault="00317510" w:rsidP="000329D7">
            <w:pPr>
              <w:ind w:right="-72"/>
              <w:jc w:val="right"/>
              <w:rPr>
                <w:rFonts w:ascii="Arial" w:hAnsi="Arial" w:cs="Arial"/>
                <w:color w:val="000000"/>
                <w:sz w:val="14"/>
                <w:szCs w:val="14"/>
              </w:rPr>
            </w:pPr>
          </w:p>
        </w:tc>
        <w:tc>
          <w:tcPr>
            <w:tcW w:w="1145" w:type="dxa"/>
            <w:tcBorders>
              <w:top w:val="single" w:sz="4" w:space="0" w:color="auto"/>
            </w:tcBorders>
            <w:shd w:val="clear" w:color="auto" w:fill="auto"/>
          </w:tcPr>
          <w:p w14:paraId="5DF49559" w14:textId="77777777" w:rsidR="00317510" w:rsidRPr="002D2F67" w:rsidRDefault="00317510" w:rsidP="000329D7">
            <w:pPr>
              <w:pStyle w:val="acctfourfigures"/>
              <w:tabs>
                <w:tab w:val="clear" w:pos="765"/>
                <w:tab w:val="decimal" w:pos="550"/>
              </w:tabs>
              <w:spacing w:line="240" w:lineRule="auto"/>
              <w:ind w:right="-94"/>
              <w:jc w:val="right"/>
              <w:rPr>
                <w:rFonts w:ascii="Arial" w:hAnsi="Arial" w:cs="Arial"/>
                <w:noProof/>
                <w:color w:val="000000"/>
                <w:sz w:val="14"/>
                <w:szCs w:val="14"/>
              </w:rPr>
            </w:pPr>
          </w:p>
        </w:tc>
        <w:tc>
          <w:tcPr>
            <w:tcW w:w="1134" w:type="dxa"/>
            <w:tcBorders>
              <w:top w:val="single" w:sz="4" w:space="0" w:color="auto"/>
            </w:tcBorders>
            <w:shd w:val="clear" w:color="auto" w:fill="auto"/>
          </w:tcPr>
          <w:p w14:paraId="0B126E3F" w14:textId="77777777" w:rsidR="00317510" w:rsidRPr="002D2F67" w:rsidRDefault="00317510" w:rsidP="000329D7">
            <w:pPr>
              <w:pStyle w:val="acctfourfigures"/>
              <w:tabs>
                <w:tab w:val="clear" w:pos="765"/>
                <w:tab w:val="decimal" w:pos="550"/>
              </w:tabs>
              <w:spacing w:line="240" w:lineRule="auto"/>
              <w:ind w:right="-94"/>
              <w:jc w:val="right"/>
              <w:rPr>
                <w:rFonts w:ascii="Arial" w:hAnsi="Arial" w:cs="Arial"/>
                <w:noProof/>
                <w:color w:val="000000"/>
                <w:sz w:val="14"/>
                <w:szCs w:val="14"/>
              </w:rPr>
            </w:pPr>
          </w:p>
        </w:tc>
        <w:tc>
          <w:tcPr>
            <w:tcW w:w="1134" w:type="dxa"/>
            <w:tcBorders>
              <w:top w:val="single" w:sz="4" w:space="0" w:color="auto"/>
            </w:tcBorders>
            <w:shd w:val="clear" w:color="auto" w:fill="auto"/>
          </w:tcPr>
          <w:p w14:paraId="5D1C247A" w14:textId="77777777" w:rsidR="00317510" w:rsidRPr="002D2F67" w:rsidRDefault="00317510" w:rsidP="000329D7">
            <w:pPr>
              <w:pStyle w:val="acctfourfigures"/>
              <w:tabs>
                <w:tab w:val="clear" w:pos="765"/>
                <w:tab w:val="decimal" w:pos="550"/>
              </w:tabs>
              <w:spacing w:line="240" w:lineRule="auto"/>
              <w:ind w:right="-94"/>
              <w:jc w:val="right"/>
              <w:rPr>
                <w:rFonts w:ascii="Arial" w:hAnsi="Arial" w:cs="Arial"/>
                <w:noProof/>
                <w:color w:val="000000"/>
                <w:sz w:val="14"/>
                <w:szCs w:val="14"/>
              </w:rPr>
            </w:pPr>
          </w:p>
        </w:tc>
        <w:tc>
          <w:tcPr>
            <w:tcW w:w="1242" w:type="dxa"/>
            <w:tcBorders>
              <w:top w:val="single" w:sz="4" w:space="0" w:color="auto"/>
            </w:tcBorders>
            <w:shd w:val="clear" w:color="auto" w:fill="auto"/>
          </w:tcPr>
          <w:p w14:paraId="1BB04200" w14:textId="77777777" w:rsidR="00317510" w:rsidRPr="002D2F67" w:rsidRDefault="00317510" w:rsidP="000329D7">
            <w:pPr>
              <w:pStyle w:val="acctfourfigures"/>
              <w:tabs>
                <w:tab w:val="clear" w:pos="765"/>
                <w:tab w:val="decimal" w:pos="550"/>
              </w:tabs>
              <w:spacing w:line="240" w:lineRule="auto"/>
              <w:ind w:right="-72"/>
              <w:jc w:val="right"/>
              <w:rPr>
                <w:rFonts w:ascii="Arial" w:hAnsi="Arial" w:cs="Arial"/>
                <w:noProof/>
                <w:color w:val="000000"/>
                <w:sz w:val="14"/>
                <w:szCs w:val="14"/>
              </w:rPr>
            </w:pPr>
          </w:p>
        </w:tc>
      </w:tr>
      <w:tr w:rsidR="00641280" w:rsidRPr="002D2F67" w14:paraId="7D321DA8" w14:textId="77777777" w:rsidTr="005611FE">
        <w:trPr>
          <w:cantSplit/>
        </w:trPr>
        <w:tc>
          <w:tcPr>
            <w:tcW w:w="5791" w:type="dxa"/>
            <w:gridSpan w:val="2"/>
            <w:shd w:val="clear" w:color="auto" w:fill="auto"/>
          </w:tcPr>
          <w:p w14:paraId="4D6A4EE8" w14:textId="6C9C7448" w:rsidR="00641280" w:rsidRPr="002D2F67" w:rsidRDefault="00641280" w:rsidP="00641280">
            <w:pPr>
              <w:tabs>
                <w:tab w:val="left" w:pos="165"/>
              </w:tabs>
              <w:ind w:left="148" w:right="-208"/>
              <w:rPr>
                <w:rFonts w:ascii="Arial" w:hAnsi="Arial" w:cs="Arial"/>
                <w:color w:val="000000"/>
                <w:sz w:val="14"/>
                <w:szCs w:val="14"/>
              </w:rPr>
            </w:pPr>
            <w:r w:rsidRPr="002D2F67">
              <w:rPr>
                <w:rFonts w:ascii="Arial" w:hAnsi="Arial" w:cs="Arial"/>
                <w:color w:val="000000"/>
                <w:sz w:val="14"/>
                <w:szCs w:val="14"/>
              </w:rPr>
              <w:t>Total investments and dividend from subsidiaries</w:t>
            </w:r>
          </w:p>
        </w:tc>
        <w:tc>
          <w:tcPr>
            <w:tcW w:w="1024" w:type="dxa"/>
            <w:shd w:val="clear" w:color="auto" w:fill="auto"/>
          </w:tcPr>
          <w:p w14:paraId="0261F28D" w14:textId="77777777" w:rsidR="00641280" w:rsidRPr="002D2F67" w:rsidRDefault="00641280" w:rsidP="00641280">
            <w:pPr>
              <w:ind w:right="-72"/>
              <w:jc w:val="right"/>
              <w:rPr>
                <w:rFonts w:ascii="Arial" w:hAnsi="Arial" w:cs="Arial"/>
                <w:color w:val="000000"/>
                <w:sz w:val="14"/>
                <w:szCs w:val="14"/>
              </w:rPr>
            </w:pPr>
          </w:p>
        </w:tc>
        <w:tc>
          <w:tcPr>
            <w:tcW w:w="1024" w:type="dxa"/>
            <w:shd w:val="clear" w:color="auto" w:fill="auto"/>
          </w:tcPr>
          <w:p w14:paraId="02A2BDA7" w14:textId="77777777" w:rsidR="00641280" w:rsidRPr="002D2F67" w:rsidRDefault="00641280" w:rsidP="00641280">
            <w:pPr>
              <w:ind w:right="-72"/>
              <w:jc w:val="right"/>
              <w:rPr>
                <w:rFonts w:ascii="Arial" w:hAnsi="Arial" w:cs="Arial"/>
                <w:color w:val="000000"/>
                <w:sz w:val="14"/>
                <w:szCs w:val="14"/>
              </w:rPr>
            </w:pPr>
          </w:p>
        </w:tc>
        <w:tc>
          <w:tcPr>
            <w:tcW w:w="1024" w:type="dxa"/>
            <w:shd w:val="clear" w:color="auto" w:fill="auto"/>
          </w:tcPr>
          <w:p w14:paraId="38526C83" w14:textId="77777777" w:rsidR="00641280" w:rsidRPr="002D2F67" w:rsidRDefault="00641280" w:rsidP="00641280">
            <w:pPr>
              <w:ind w:right="-72"/>
              <w:jc w:val="right"/>
              <w:rPr>
                <w:rFonts w:ascii="Arial" w:hAnsi="Arial" w:cs="Arial"/>
                <w:color w:val="000000"/>
                <w:sz w:val="14"/>
                <w:szCs w:val="14"/>
              </w:rPr>
            </w:pPr>
          </w:p>
        </w:tc>
        <w:tc>
          <w:tcPr>
            <w:tcW w:w="1024" w:type="dxa"/>
            <w:shd w:val="clear" w:color="auto" w:fill="auto"/>
          </w:tcPr>
          <w:p w14:paraId="4D19BAF2" w14:textId="77777777" w:rsidR="00641280" w:rsidRPr="002D2F67" w:rsidRDefault="00641280" w:rsidP="00641280">
            <w:pPr>
              <w:ind w:right="-72"/>
              <w:jc w:val="right"/>
              <w:rPr>
                <w:rFonts w:ascii="Arial" w:hAnsi="Arial" w:cs="Arial"/>
                <w:color w:val="000000"/>
                <w:sz w:val="14"/>
                <w:szCs w:val="14"/>
              </w:rPr>
            </w:pPr>
          </w:p>
        </w:tc>
        <w:tc>
          <w:tcPr>
            <w:tcW w:w="1145" w:type="dxa"/>
            <w:tcBorders>
              <w:bottom w:val="single" w:sz="4" w:space="0" w:color="auto"/>
            </w:tcBorders>
            <w:shd w:val="clear" w:color="auto" w:fill="auto"/>
          </w:tcPr>
          <w:p w14:paraId="6F25B48C" w14:textId="0FCE8575" w:rsidR="00641280" w:rsidRPr="002D2F67" w:rsidRDefault="00CD5714" w:rsidP="00641280">
            <w:pPr>
              <w:pStyle w:val="acctfourfigures"/>
              <w:tabs>
                <w:tab w:val="clear" w:pos="765"/>
                <w:tab w:val="decimal" w:pos="550"/>
              </w:tabs>
              <w:spacing w:line="240" w:lineRule="auto"/>
              <w:ind w:right="-94"/>
              <w:jc w:val="right"/>
              <w:rPr>
                <w:rFonts w:ascii="Arial" w:hAnsi="Arial" w:cs="Arial"/>
                <w:noProof/>
                <w:color w:val="000000"/>
                <w:sz w:val="14"/>
                <w:szCs w:val="14"/>
              </w:rPr>
            </w:pPr>
            <w:r w:rsidRPr="00CD5714">
              <w:rPr>
                <w:rFonts w:ascii="Arial" w:hAnsi="Arial" w:cs="Arial"/>
                <w:noProof/>
                <w:color w:val="000000"/>
                <w:sz w:val="14"/>
                <w:szCs w:val="14"/>
                <w:lang w:val="en-GB"/>
              </w:rPr>
              <w:t>27</w:t>
            </w:r>
            <w:r w:rsidR="00641280" w:rsidRPr="002D2F67">
              <w:rPr>
                <w:rFonts w:ascii="Arial" w:hAnsi="Arial" w:cs="Arial"/>
                <w:noProof/>
                <w:color w:val="000000"/>
                <w:sz w:val="14"/>
                <w:szCs w:val="14"/>
              </w:rPr>
              <w:t>,</w:t>
            </w:r>
            <w:r w:rsidRPr="00CD5714">
              <w:rPr>
                <w:rFonts w:ascii="Arial" w:hAnsi="Arial" w:cs="Arial"/>
                <w:noProof/>
                <w:color w:val="000000"/>
                <w:sz w:val="14"/>
                <w:szCs w:val="14"/>
                <w:lang w:val="en-GB"/>
              </w:rPr>
              <w:t>386</w:t>
            </w:r>
            <w:r w:rsidR="00641280" w:rsidRPr="002D2F67">
              <w:rPr>
                <w:rFonts w:ascii="Arial" w:hAnsi="Arial" w:cs="Arial"/>
                <w:noProof/>
                <w:color w:val="000000"/>
                <w:sz w:val="14"/>
                <w:szCs w:val="14"/>
              </w:rPr>
              <w:t>,</w:t>
            </w:r>
            <w:r w:rsidRPr="00CD5714">
              <w:rPr>
                <w:rFonts w:ascii="Arial" w:hAnsi="Arial" w:cs="Arial"/>
                <w:noProof/>
                <w:color w:val="000000"/>
                <w:sz w:val="14"/>
                <w:szCs w:val="14"/>
                <w:lang w:val="en-GB"/>
              </w:rPr>
              <w:t>267</w:t>
            </w:r>
          </w:p>
        </w:tc>
        <w:tc>
          <w:tcPr>
            <w:tcW w:w="1134" w:type="dxa"/>
            <w:tcBorders>
              <w:bottom w:val="single" w:sz="4" w:space="0" w:color="auto"/>
            </w:tcBorders>
            <w:shd w:val="clear" w:color="auto" w:fill="auto"/>
          </w:tcPr>
          <w:p w14:paraId="148C4883" w14:textId="510AC87B" w:rsidR="00641280" w:rsidRPr="002D2F67" w:rsidRDefault="00CD5714" w:rsidP="00641280">
            <w:pPr>
              <w:pStyle w:val="acctfourfigures"/>
              <w:tabs>
                <w:tab w:val="clear" w:pos="765"/>
                <w:tab w:val="decimal" w:pos="550"/>
              </w:tabs>
              <w:spacing w:line="240" w:lineRule="auto"/>
              <w:ind w:right="-94"/>
              <w:jc w:val="right"/>
              <w:rPr>
                <w:rFonts w:ascii="Arial" w:hAnsi="Arial" w:cs="Arial"/>
                <w:noProof/>
                <w:color w:val="000000"/>
                <w:sz w:val="14"/>
                <w:szCs w:val="14"/>
              </w:rPr>
            </w:pPr>
            <w:r w:rsidRPr="00CD5714">
              <w:rPr>
                <w:rFonts w:ascii="Arial" w:hAnsi="Arial" w:cs="Arial"/>
                <w:noProof/>
                <w:color w:val="000000"/>
                <w:sz w:val="14"/>
                <w:szCs w:val="14"/>
                <w:lang w:val="en-GB"/>
              </w:rPr>
              <w:t>37</w:t>
            </w:r>
            <w:r w:rsidR="00641280" w:rsidRPr="002D2F67">
              <w:rPr>
                <w:rFonts w:ascii="Arial" w:hAnsi="Arial" w:cs="Arial"/>
                <w:noProof/>
                <w:color w:val="000000"/>
                <w:sz w:val="14"/>
                <w:szCs w:val="14"/>
              </w:rPr>
              <w:t>,</w:t>
            </w:r>
            <w:r w:rsidRPr="00CD5714">
              <w:rPr>
                <w:rFonts w:ascii="Arial" w:hAnsi="Arial" w:cs="Arial"/>
                <w:noProof/>
                <w:color w:val="000000"/>
                <w:sz w:val="14"/>
                <w:szCs w:val="14"/>
                <w:lang w:val="en-GB"/>
              </w:rPr>
              <w:t>184</w:t>
            </w:r>
            <w:r w:rsidR="00641280" w:rsidRPr="002D2F67">
              <w:rPr>
                <w:rFonts w:ascii="Arial" w:hAnsi="Arial" w:cs="Arial"/>
                <w:noProof/>
                <w:color w:val="000000"/>
                <w:sz w:val="14"/>
                <w:szCs w:val="14"/>
              </w:rPr>
              <w:t>,</w:t>
            </w:r>
            <w:r w:rsidRPr="00CD5714">
              <w:rPr>
                <w:rFonts w:ascii="Arial" w:hAnsi="Arial" w:cs="Arial"/>
                <w:noProof/>
                <w:color w:val="000000"/>
                <w:sz w:val="14"/>
                <w:szCs w:val="14"/>
                <w:lang w:val="en-GB"/>
              </w:rPr>
              <w:t>728</w:t>
            </w:r>
          </w:p>
        </w:tc>
        <w:tc>
          <w:tcPr>
            <w:tcW w:w="1134" w:type="dxa"/>
            <w:tcBorders>
              <w:bottom w:val="single" w:sz="4" w:space="0" w:color="auto"/>
            </w:tcBorders>
            <w:shd w:val="clear" w:color="auto" w:fill="auto"/>
          </w:tcPr>
          <w:p w14:paraId="64C6818F" w14:textId="3E1AEBC9" w:rsidR="00641280" w:rsidRPr="002D2F67" w:rsidRDefault="00CD5714" w:rsidP="00641280">
            <w:pPr>
              <w:pStyle w:val="acctfourfigures"/>
              <w:tabs>
                <w:tab w:val="clear" w:pos="765"/>
                <w:tab w:val="decimal" w:pos="550"/>
              </w:tabs>
              <w:spacing w:line="240" w:lineRule="auto"/>
              <w:ind w:right="-94"/>
              <w:jc w:val="right"/>
              <w:rPr>
                <w:rFonts w:ascii="Arial" w:hAnsi="Arial" w:cs="Arial"/>
                <w:noProof/>
                <w:color w:val="000000"/>
                <w:sz w:val="14"/>
                <w:szCs w:val="14"/>
              </w:rPr>
            </w:pPr>
            <w:r w:rsidRPr="00CD5714">
              <w:rPr>
                <w:rFonts w:ascii="Arial" w:hAnsi="Arial" w:cs="Arial"/>
                <w:noProof/>
                <w:color w:val="000000"/>
                <w:sz w:val="14"/>
                <w:szCs w:val="14"/>
                <w:lang w:val="en-GB"/>
              </w:rPr>
              <w:t>1</w:t>
            </w:r>
            <w:r w:rsidR="00641280" w:rsidRPr="002D2F67">
              <w:rPr>
                <w:rFonts w:ascii="Arial" w:hAnsi="Arial" w:cs="Arial"/>
                <w:noProof/>
                <w:color w:val="000000"/>
                <w:sz w:val="14"/>
                <w:szCs w:val="14"/>
              </w:rPr>
              <w:t>,</w:t>
            </w:r>
            <w:r w:rsidRPr="00CD5714">
              <w:rPr>
                <w:rFonts w:ascii="Arial" w:hAnsi="Arial" w:cs="Arial"/>
                <w:noProof/>
                <w:color w:val="000000"/>
                <w:sz w:val="14"/>
                <w:szCs w:val="14"/>
                <w:lang w:val="en-GB"/>
              </w:rPr>
              <w:t>956</w:t>
            </w:r>
            <w:r w:rsidR="00641280" w:rsidRPr="002D2F67">
              <w:rPr>
                <w:rFonts w:ascii="Arial" w:hAnsi="Arial" w:cs="Arial"/>
                <w:noProof/>
                <w:color w:val="000000"/>
                <w:sz w:val="14"/>
                <w:szCs w:val="14"/>
              </w:rPr>
              <w:t>,</w:t>
            </w:r>
            <w:r w:rsidRPr="00CD5714">
              <w:rPr>
                <w:rFonts w:ascii="Arial" w:hAnsi="Arial" w:cs="Arial"/>
                <w:noProof/>
                <w:color w:val="000000"/>
                <w:sz w:val="14"/>
                <w:szCs w:val="14"/>
                <w:lang w:val="en-GB"/>
              </w:rPr>
              <w:t>262</w:t>
            </w:r>
          </w:p>
        </w:tc>
        <w:tc>
          <w:tcPr>
            <w:tcW w:w="1242" w:type="dxa"/>
            <w:tcBorders>
              <w:bottom w:val="single" w:sz="4" w:space="0" w:color="auto"/>
            </w:tcBorders>
            <w:shd w:val="clear" w:color="auto" w:fill="auto"/>
          </w:tcPr>
          <w:p w14:paraId="2E653F17" w14:textId="5249C3F2" w:rsidR="00641280" w:rsidRPr="002D2F67" w:rsidRDefault="00CD5714" w:rsidP="00641280">
            <w:pPr>
              <w:pStyle w:val="acctfourfigures"/>
              <w:tabs>
                <w:tab w:val="clear" w:pos="765"/>
                <w:tab w:val="decimal" w:pos="550"/>
              </w:tabs>
              <w:spacing w:line="240" w:lineRule="auto"/>
              <w:ind w:right="-72"/>
              <w:jc w:val="right"/>
              <w:rPr>
                <w:rFonts w:ascii="Arial" w:hAnsi="Arial" w:cs="Arial"/>
                <w:noProof/>
                <w:color w:val="000000"/>
                <w:sz w:val="14"/>
                <w:szCs w:val="14"/>
              </w:rPr>
            </w:pPr>
            <w:r w:rsidRPr="00CD5714">
              <w:rPr>
                <w:rFonts w:ascii="Arial" w:hAnsi="Arial" w:cs="Arial"/>
                <w:noProof/>
                <w:color w:val="000000"/>
                <w:sz w:val="14"/>
                <w:szCs w:val="14"/>
                <w:lang w:val="en-GB"/>
              </w:rPr>
              <w:t>11</w:t>
            </w:r>
            <w:r w:rsidR="00641280" w:rsidRPr="002D2F67">
              <w:rPr>
                <w:rFonts w:ascii="Arial" w:hAnsi="Arial" w:cs="Arial"/>
                <w:noProof/>
                <w:color w:val="000000"/>
                <w:sz w:val="14"/>
                <w:szCs w:val="14"/>
              </w:rPr>
              <w:t>,</w:t>
            </w:r>
            <w:r w:rsidRPr="00CD5714">
              <w:rPr>
                <w:rFonts w:ascii="Arial" w:hAnsi="Arial" w:cs="Arial"/>
                <w:noProof/>
                <w:color w:val="000000"/>
                <w:sz w:val="14"/>
                <w:szCs w:val="14"/>
                <w:lang w:val="en-GB"/>
              </w:rPr>
              <w:t>932</w:t>
            </w:r>
            <w:r w:rsidR="00641280" w:rsidRPr="002D2F67">
              <w:rPr>
                <w:rFonts w:ascii="Arial" w:hAnsi="Arial" w:cs="Arial"/>
                <w:noProof/>
                <w:color w:val="000000"/>
                <w:sz w:val="14"/>
                <w:szCs w:val="14"/>
              </w:rPr>
              <w:t>,</w:t>
            </w:r>
            <w:r w:rsidRPr="00CD5714">
              <w:rPr>
                <w:rFonts w:ascii="Arial" w:hAnsi="Arial" w:cs="Arial"/>
                <w:noProof/>
                <w:color w:val="000000"/>
                <w:sz w:val="14"/>
                <w:szCs w:val="14"/>
                <w:lang w:val="en-GB"/>
              </w:rPr>
              <w:t>546</w:t>
            </w:r>
          </w:p>
        </w:tc>
      </w:tr>
    </w:tbl>
    <w:p w14:paraId="7E5DB1F5" w14:textId="77777777" w:rsidR="00FF408A" w:rsidRPr="002D2F67" w:rsidRDefault="00FF408A" w:rsidP="005611FE">
      <w:pPr>
        <w:ind w:left="540"/>
        <w:jc w:val="thaiDistribute"/>
        <w:rPr>
          <w:rFonts w:ascii="Arial" w:hAnsi="Arial" w:cs="Arial"/>
          <w:color w:val="000000"/>
          <w:sz w:val="18"/>
          <w:szCs w:val="18"/>
        </w:rPr>
      </w:pPr>
    </w:p>
    <w:p w14:paraId="510B2725" w14:textId="77777777" w:rsidR="00E765A7" w:rsidRPr="002D2F67" w:rsidRDefault="00E765A7" w:rsidP="005611FE">
      <w:pPr>
        <w:jc w:val="both"/>
        <w:rPr>
          <w:rFonts w:ascii="Arial" w:hAnsi="Arial" w:cs="Arial"/>
          <w:color w:val="000000"/>
          <w:sz w:val="16"/>
          <w:szCs w:val="16"/>
        </w:rPr>
      </w:pPr>
    </w:p>
    <w:p w14:paraId="510985BA" w14:textId="19404105" w:rsidR="00E765A7" w:rsidRPr="002D2F67" w:rsidRDefault="00E765A7" w:rsidP="005611FE">
      <w:pPr>
        <w:jc w:val="both"/>
        <w:rPr>
          <w:rFonts w:ascii="Arial" w:hAnsi="Arial" w:cs="Arial"/>
          <w:color w:val="000000"/>
          <w:sz w:val="16"/>
          <w:szCs w:val="16"/>
        </w:rPr>
        <w:sectPr w:rsidR="00E765A7" w:rsidRPr="002D2F67" w:rsidSect="00BC5B63">
          <w:pgSz w:w="16838" w:h="11906" w:orient="landscape" w:code="9"/>
          <w:pgMar w:top="1440" w:right="1008" w:bottom="720" w:left="1008" w:header="706" w:footer="706" w:gutter="0"/>
          <w:cols w:space="720"/>
          <w:docGrid w:linePitch="326"/>
        </w:sectPr>
      </w:pPr>
    </w:p>
    <w:p w14:paraId="755BFF04" w14:textId="77777777" w:rsidR="00FF408A" w:rsidRPr="002D2F67" w:rsidRDefault="00FF408A" w:rsidP="005611FE">
      <w:pPr>
        <w:ind w:left="540"/>
        <w:jc w:val="thaiDistribute"/>
        <w:rPr>
          <w:rFonts w:ascii="Arial" w:hAnsi="Arial" w:cs="Arial"/>
          <w:color w:val="000000"/>
          <w:sz w:val="20"/>
          <w:szCs w:val="20"/>
        </w:rPr>
      </w:pPr>
    </w:p>
    <w:tbl>
      <w:tblPr>
        <w:tblW w:w="14548" w:type="dxa"/>
        <w:tblInd w:w="392" w:type="dxa"/>
        <w:tblLayout w:type="fixed"/>
        <w:tblLook w:val="0000" w:firstRow="0" w:lastRow="0" w:firstColumn="0" w:lastColumn="0" w:noHBand="0" w:noVBand="0"/>
      </w:tblPr>
      <w:tblGrid>
        <w:gridCol w:w="3480"/>
        <w:gridCol w:w="4174"/>
        <w:gridCol w:w="1151"/>
        <w:gridCol w:w="1152"/>
        <w:gridCol w:w="1152"/>
        <w:gridCol w:w="1152"/>
        <w:gridCol w:w="1152"/>
        <w:gridCol w:w="1135"/>
      </w:tblGrid>
      <w:tr w:rsidR="00047C52" w:rsidRPr="002D2F67" w14:paraId="3F56011D" w14:textId="77777777" w:rsidTr="004F4DED">
        <w:trPr>
          <w:cantSplit/>
          <w:trHeight w:val="106"/>
        </w:trPr>
        <w:tc>
          <w:tcPr>
            <w:tcW w:w="3480" w:type="dxa"/>
            <w:shd w:val="clear" w:color="auto" w:fill="auto"/>
            <w:vAlign w:val="bottom"/>
          </w:tcPr>
          <w:p w14:paraId="65534379" w14:textId="77777777" w:rsidR="00047C52" w:rsidRPr="002D2F67" w:rsidRDefault="00047C52" w:rsidP="005611FE">
            <w:pPr>
              <w:pStyle w:val="acctfourfigures"/>
              <w:tabs>
                <w:tab w:val="clear" w:pos="765"/>
              </w:tabs>
              <w:spacing w:line="240" w:lineRule="auto"/>
              <w:ind w:left="148" w:right="-72"/>
              <w:jc w:val="center"/>
              <w:rPr>
                <w:rFonts w:ascii="Arial" w:hAnsi="Arial" w:cs="Arial"/>
                <w:b/>
                <w:bCs/>
                <w:color w:val="000000"/>
                <w:sz w:val="14"/>
                <w:szCs w:val="14"/>
                <w:lang w:bidi="th-TH"/>
              </w:rPr>
            </w:pPr>
            <w:bookmarkStart w:id="6" w:name="_Hlk95471527"/>
          </w:p>
        </w:tc>
        <w:tc>
          <w:tcPr>
            <w:tcW w:w="4174" w:type="dxa"/>
            <w:shd w:val="clear" w:color="auto" w:fill="auto"/>
          </w:tcPr>
          <w:p w14:paraId="46505F16" w14:textId="77777777" w:rsidR="00047C52" w:rsidRPr="002D2F67" w:rsidRDefault="00047C52" w:rsidP="005611FE">
            <w:pPr>
              <w:pStyle w:val="acctfourfigures"/>
              <w:tabs>
                <w:tab w:val="clear" w:pos="765"/>
              </w:tabs>
              <w:spacing w:line="240" w:lineRule="auto"/>
              <w:ind w:left="-36" w:right="-72"/>
              <w:jc w:val="center"/>
              <w:rPr>
                <w:rFonts w:ascii="Arial" w:hAnsi="Arial" w:cs="Arial"/>
                <w:b/>
                <w:bCs/>
                <w:color w:val="000000"/>
                <w:sz w:val="14"/>
                <w:szCs w:val="14"/>
                <w:lang w:bidi="th-TH"/>
              </w:rPr>
            </w:pPr>
          </w:p>
        </w:tc>
        <w:tc>
          <w:tcPr>
            <w:tcW w:w="6894" w:type="dxa"/>
            <w:gridSpan w:val="6"/>
            <w:tcBorders>
              <w:bottom w:val="single" w:sz="4" w:space="0" w:color="auto"/>
            </w:tcBorders>
            <w:shd w:val="clear" w:color="auto" w:fill="auto"/>
            <w:vAlign w:val="bottom"/>
          </w:tcPr>
          <w:p w14:paraId="145C9893" w14:textId="228BBC17" w:rsidR="00047C52" w:rsidRPr="002D2F67" w:rsidRDefault="00047C52" w:rsidP="005611FE">
            <w:pPr>
              <w:pStyle w:val="acctfourfigures"/>
              <w:tabs>
                <w:tab w:val="clear" w:pos="765"/>
              </w:tabs>
              <w:spacing w:line="240" w:lineRule="auto"/>
              <w:ind w:right="-45"/>
              <w:jc w:val="right"/>
              <w:rPr>
                <w:rFonts w:ascii="Arial" w:hAnsi="Arial" w:cs="Arial"/>
                <w:b/>
                <w:bCs/>
                <w:color w:val="000000"/>
                <w:sz w:val="14"/>
                <w:szCs w:val="14"/>
                <w:lang w:bidi="th-TH"/>
              </w:rPr>
            </w:pPr>
            <w:r w:rsidRPr="002D2F67">
              <w:rPr>
                <w:rFonts w:ascii="Arial" w:hAnsi="Arial" w:cs="Arial"/>
                <w:b/>
                <w:bCs/>
                <w:color w:val="000000"/>
                <w:sz w:val="14"/>
                <w:szCs w:val="14"/>
                <w:lang w:bidi="th-TH"/>
              </w:rPr>
              <w:t>Consolidated and separate financial statements</w:t>
            </w:r>
          </w:p>
        </w:tc>
      </w:tr>
      <w:tr w:rsidR="00047C52" w:rsidRPr="002D2F67" w14:paraId="19739842" w14:textId="77777777" w:rsidTr="004F4DED">
        <w:trPr>
          <w:cantSplit/>
          <w:trHeight w:val="318"/>
        </w:trPr>
        <w:tc>
          <w:tcPr>
            <w:tcW w:w="3480" w:type="dxa"/>
            <w:shd w:val="clear" w:color="auto" w:fill="auto"/>
            <w:vAlign w:val="bottom"/>
          </w:tcPr>
          <w:p w14:paraId="61759AD6" w14:textId="77777777" w:rsidR="00047C52" w:rsidRPr="002D2F67" w:rsidRDefault="00047C52" w:rsidP="005611FE">
            <w:pPr>
              <w:pStyle w:val="acctfourfigures"/>
              <w:tabs>
                <w:tab w:val="clear" w:pos="765"/>
              </w:tabs>
              <w:spacing w:line="240" w:lineRule="auto"/>
              <w:ind w:left="148" w:right="-72"/>
              <w:jc w:val="center"/>
              <w:rPr>
                <w:rFonts w:ascii="Arial" w:hAnsi="Arial" w:cs="Arial"/>
                <w:b/>
                <w:bCs/>
                <w:color w:val="000000"/>
                <w:sz w:val="14"/>
                <w:szCs w:val="14"/>
                <w:lang w:bidi="th-TH"/>
              </w:rPr>
            </w:pPr>
          </w:p>
        </w:tc>
        <w:tc>
          <w:tcPr>
            <w:tcW w:w="4174" w:type="dxa"/>
            <w:shd w:val="clear" w:color="auto" w:fill="auto"/>
          </w:tcPr>
          <w:p w14:paraId="77C1F3C2" w14:textId="77777777" w:rsidR="00047C52" w:rsidRPr="002D2F67" w:rsidRDefault="00047C52" w:rsidP="005611FE">
            <w:pPr>
              <w:pStyle w:val="acctfourfigures"/>
              <w:tabs>
                <w:tab w:val="clear" w:pos="765"/>
              </w:tabs>
              <w:spacing w:line="240" w:lineRule="auto"/>
              <w:ind w:left="-36" w:right="-72"/>
              <w:jc w:val="center"/>
              <w:rPr>
                <w:rFonts w:ascii="Arial" w:hAnsi="Arial" w:cs="Arial"/>
                <w:b/>
                <w:bCs/>
                <w:color w:val="000000"/>
                <w:sz w:val="14"/>
                <w:szCs w:val="14"/>
                <w:lang w:bidi="th-TH"/>
              </w:rPr>
            </w:pPr>
          </w:p>
        </w:tc>
        <w:tc>
          <w:tcPr>
            <w:tcW w:w="2303" w:type="dxa"/>
            <w:gridSpan w:val="2"/>
            <w:tcBorders>
              <w:top w:val="single" w:sz="4" w:space="0" w:color="auto"/>
              <w:bottom w:val="single" w:sz="4" w:space="0" w:color="auto"/>
            </w:tcBorders>
            <w:shd w:val="clear" w:color="auto" w:fill="auto"/>
            <w:vAlign w:val="bottom"/>
          </w:tcPr>
          <w:p w14:paraId="10247346" w14:textId="27DE76E3" w:rsidR="00047C52" w:rsidRPr="002D2F67" w:rsidRDefault="00047C52" w:rsidP="005611FE">
            <w:pPr>
              <w:pStyle w:val="acctfourfigures"/>
              <w:tabs>
                <w:tab w:val="clear" w:pos="765"/>
              </w:tabs>
              <w:spacing w:line="240" w:lineRule="auto"/>
              <w:ind w:left="-36" w:right="-72"/>
              <w:jc w:val="center"/>
              <w:rPr>
                <w:rFonts w:ascii="Arial" w:hAnsi="Arial" w:cs="Arial"/>
                <w:b/>
                <w:bCs/>
                <w:color w:val="000000"/>
                <w:sz w:val="14"/>
                <w:szCs w:val="14"/>
                <w:lang w:bidi="th-TH"/>
              </w:rPr>
            </w:pPr>
            <w:r w:rsidRPr="002D2F67">
              <w:rPr>
                <w:rFonts w:ascii="Arial" w:hAnsi="Arial" w:cs="Arial"/>
                <w:b/>
                <w:bCs/>
                <w:color w:val="000000"/>
                <w:sz w:val="14"/>
                <w:szCs w:val="14"/>
                <w:lang w:bidi="th-TH"/>
              </w:rPr>
              <w:t>Portion of ordinary shares held by the subsidiaries</w:t>
            </w:r>
          </w:p>
        </w:tc>
        <w:tc>
          <w:tcPr>
            <w:tcW w:w="2304" w:type="dxa"/>
            <w:gridSpan w:val="2"/>
            <w:tcBorders>
              <w:top w:val="single" w:sz="4" w:space="0" w:color="auto"/>
              <w:bottom w:val="single" w:sz="4" w:space="0" w:color="auto"/>
            </w:tcBorders>
            <w:shd w:val="clear" w:color="auto" w:fill="auto"/>
            <w:vAlign w:val="bottom"/>
          </w:tcPr>
          <w:p w14:paraId="61670158" w14:textId="77777777" w:rsidR="00047C52" w:rsidRPr="002D2F67" w:rsidRDefault="00047C52" w:rsidP="005611FE">
            <w:pPr>
              <w:pStyle w:val="acctfourfigures"/>
              <w:tabs>
                <w:tab w:val="clear" w:pos="765"/>
                <w:tab w:val="left" w:pos="1168"/>
              </w:tabs>
              <w:spacing w:line="240" w:lineRule="auto"/>
              <w:ind w:left="-36" w:right="-72"/>
              <w:jc w:val="center"/>
              <w:rPr>
                <w:rFonts w:ascii="Arial" w:hAnsi="Arial" w:cs="Arial"/>
                <w:b/>
                <w:bCs/>
                <w:color w:val="000000"/>
                <w:sz w:val="14"/>
                <w:szCs w:val="14"/>
                <w:lang w:bidi="th-TH"/>
              </w:rPr>
            </w:pPr>
            <w:r w:rsidRPr="002D2F67">
              <w:rPr>
                <w:rFonts w:ascii="Arial" w:hAnsi="Arial" w:cs="Arial"/>
                <w:b/>
                <w:bCs/>
                <w:color w:val="000000"/>
                <w:sz w:val="14"/>
                <w:szCs w:val="14"/>
                <w:lang w:bidi="th-TH"/>
              </w:rPr>
              <w:t>Cost method</w:t>
            </w:r>
          </w:p>
        </w:tc>
        <w:tc>
          <w:tcPr>
            <w:tcW w:w="2287" w:type="dxa"/>
            <w:gridSpan w:val="2"/>
            <w:tcBorders>
              <w:top w:val="single" w:sz="4" w:space="0" w:color="auto"/>
              <w:bottom w:val="single" w:sz="4" w:space="0" w:color="auto"/>
            </w:tcBorders>
            <w:shd w:val="clear" w:color="auto" w:fill="auto"/>
            <w:vAlign w:val="bottom"/>
          </w:tcPr>
          <w:p w14:paraId="47AB80A8" w14:textId="77777777" w:rsidR="00047C52" w:rsidRPr="002D2F67" w:rsidRDefault="00047C52" w:rsidP="005611FE">
            <w:pPr>
              <w:pStyle w:val="acctfourfigures"/>
              <w:tabs>
                <w:tab w:val="clear" w:pos="765"/>
              </w:tabs>
              <w:spacing w:line="240" w:lineRule="auto"/>
              <w:ind w:right="-45"/>
              <w:jc w:val="center"/>
              <w:rPr>
                <w:rFonts w:ascii="Arial" w:hAnsi="Arial" w:cs="Arial"/>
                <w:b/>
                <w:bCs/>
                <w:color w:val="000000"/>
                <w:sz w:val="14"/>
                <w:szCs w:val="14"/>
                <w:lang w:bidi="th-TH"/>
              </w:rPr>
            </w:pPr>
            <w:r w:rsidRPr="002D2F67">
              <w:rPr>
                <w:rFonts w:ascii="Arial" w:hAnsi="Arial" w:cs="Arial"/>
                <w:b/>
                <w:bCs/>
                <w:color w:val="000000"/>
                <w:sz w:val="14"/>
                <w:szCs w:val="14"/>
                <w:lang w:bidi="th-TH"/>
              </w:rPr>
              <w:t>Dividend for the year</w:t>
            </w:r>
          </w:p>
        </w:tc>
      </w:tr>
      <w:tr w:rsidR="00047C52" w:rsidRPr="002D2F67" w14:paraId="24313919" w14:textId="77777777" w:rsidTr="004F4DED">
        <w:trPr>
          <w:cantSplit/>
          <w:trHeight w:val="318"/>
        </w:trPr>
        <w:tc>
          <w:tcPr>
            <w:tcW w:w="3480" w:type="dxa"/>
            <w:shd w:val="clear" w:color="auto" w:fill="auto"/>
            <w:vAlign w:val="bottom"/>
          </w:tcPr>
          <w:p w14:paraId="02A4CCAF" w14:textId="77777777" w:rsidR="00047C52" w:rsidRPr="002D2F67" w:rsidRDefault="00047C52" w:rsidP="005611FE">
            <w:pPr>
              <w:pStyle w:val="acctfourfigures"/>
              <w:tabs>
                <w:tab w:val="clear" w:pos="765"/>
              </w:tabs>
              <w:spacing w:line="240" w:lineRule="auto"/>
              <w:ind w:left="148" w:right="-72"/>
              <w:jc w:val="center"/>
              <w:rPr>
                <w:rFonts w:ascii="Arial" w:hAnsi="Arial" w:cs="Arial"/>
                <w:b/>
                <w:bCs/>
                <w:color w:val="000000"/>
                <w:sz w:val="14"/>
                <w:szCs w:val="14"/>
                <w:lang w:bidi="th-TH"/>
              </w:rPr>
            </w:pPr>
          </w:p>
        </w:tc>
        <w:tc>
          <w:tcPr>
            <w:tcW w:w="4174" w:type="dxa"/>
            <w:shd w:val="clear" w:color="auto" w:fill="auto"/>
          </w:tcPr>
          <w:p w14:paraId="074D0B9A" w14:textId="77777777" w:rsidR="00047C52" w:rsidRPr="002D2F67" w:rsidRDefault="00047C52" w:rsidP="005611FE">
            <w:pPr>
              <w:pStyle w:val="acctfourfigures"/>
              <w:tabs>
                <w:tab w:val="clear" w:pos="765"/>
              </w:tabs>
              <w:spacing w:line="240" w:lineRule="auto"/>
              <w:ind w:left="-36" w:right="-72"/>
              <w:jc w:val="right"/>
              <w:rPr>
                <w:rFonts w:ascii="Arial" w:hAnsi="Arial" w:cs="Arial"/>
                <w:b/>
                <w:bCs/>
                <w:color w:val="000000"/>
                <w:spacing w:val="-4"/>
                <w:sz w:val="14"/>
                <w:szCs w:val="14"/>
                <w:lang w:bidi="th-TH"/>
              </w:rPr>
            </w:pPr>
          </w:p>
        </w:tc>
        <w:tc>
          <w:tcPr>
            <w:tcW w:w="1151" w:type="dxa"/>
            <w:tcBorders>
              <w:top w:val="single" w:sz="4" w:space="0" w:color="auto"/>
            </w:tcBorders>
            <w:shd w:val="clear" w:color="auto" w:fill="auto"/>
            <w:vAlign w:val="bottom"/>
          </w:tcPr>
          <w:p w14:paraId="7E27D588" w14:textId="0B73F3D4" w:rsidR="00047C52" w:rsidRPr="002D2F67" w:rsidRDefault="00CD5714"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047C52" w:rsidRPr="002D2F67">
              <w:rPr>
                <w:rFonts w:ascii="Arial" w:hAnsi="Arial" w:cs="Arial"/>
                <w:b/>
                <w:bCs/>
                <w:color w:val="000000"/>
                <w:sz w:val="14"/>
                <w:szCs w:val="14"/>
                <w:lang w:bidi="th-TH"/>
              </w:rPr>
              <w:t xml:space="preserve"> December</w:t>
            </w:r>
          </w:p>
          <w:p w14:paraId="44ADB527" w14:textId="6EA4E0B6" w:rsidR="00047C52" w:rsidRPr="002D2F67" w:rsidRDefault="00CD5714" w:rsidP="005611FE">
            <w:pPr>
              <w:pStyle w:val="acctfourfigures"/>
              <w:tabs>
                <w:tab w:val="clear" w:pos="765"/>
              </w:tabs>
              <w:spacing w:line="240" w:lineRule="auto"/>
              <w:ind w:left="-36" w:right="-72"/>
              <w:jc w:val="right"/>
              <w:rPr>
                <w:rFonts w:ascii="Arial" w:hAnsi="Arial" w:cs="Arial"/>
                <w:b/>
                <w:bCs/>
                <w:color w:val="000000"/>
                <w:spacing w:val="-4"/>
                <w:sz w:val="14"/>
                <w:szCs w:val="14"/>
                <w:lang w:bidi="th-TH"/>
              </w:rPr>
            </w:pPr>
            <w:r w:rsidRPr="00CD5714">
              <w:rPr>
                <w:rFonts w:ascii="Arial" w:hAnsi="Arial" w:cs="Arial"/>
                <w:b/>
                <w:bCs/>
                <w:color w:val="000000"/>
                <w:sz w:val="14"/>
                <w:szCs w:val="14"/>
                <w:lang w:val="en-GB" w:bidi="th-TH"/>
              </w:rPr>
              <w:t>2024</w:t>
            </w:r>
          </w:p>
        </w:tc>
        <w:tc>
          <w:tcPr>
            <w:tcW w:w="1152" w:type="dxa"/>
            <w:tcBorders>
              <w:top w:val="single" w:sz="4" w:space="0" w:color="auto"/>
            </w:tcBorders>
            <w:shd w:val="clear" w:color="auto" w:fill="auto"/>
            <w:vAlign w:val="bottom"/>
          </w:tcPr>
          <w:p w14:paraId="1CB7A365" w14:textId="7C25D84F" w:rsidR="00047C52" w:rsidRPr="002D2F67" w:rsidRDefault="00CD5714"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047C52" w:rsidRPr="002D2F67">
              <w:rPr>
                <w:rFonts w:ascii="Arial" w:hAnsi="Arial" w:cs="Arial"/>
                <w:b/>
                <w:bCs/>
                <w:color w:val="000000"/>
                <w:sz w:val="14"/>
                <w:szCs w:val="14"/>
                <w:lang w:bidi="th-TH"/>
              </w:rPr>
              <w:t xml:space="preserve"> December</w:t>
            </w:r>
          </w:p>
          <w:p w14:paraId="6D8CE24B" w14:textId="34EE4841" w:rsidR="00047C52" w:rsidRPr="002D2F67" w:rsidRDefault="00CD5714" w:rsidP="005611FE">
            <w:pPr>
              <w:pStyle w:val="acctfourfigures"/>
              <w:tabs>
                <w:tab w:val="clear" w:pos="765"/>
              </w:tabs>
              <w:spacing w:line="240" w:lineRule="auto"/>
              <w:ind w:left="-36" w:right="-72"/>
              <w:jc w:val="right"/>
              <w:rPr>
                <w:rFonts w:ascii="Arial" w:hAnsi="Arial" w:cs="Arial"/>
                <w:b/>
                <w:bCs/>
                <w:color w:val="000000"/>
                <w:spacing w:val="-4"/>
                <w:sz w:val="14"/>
                <w:szCs w:val="14"/>
                <w:lang w:bidi="th-TH"/>
              </w:rPr>
            </w:pPr>
            <w:r w:rsidRPr="00CD5714">
              <w:rPr>
                <w:rFonts w:ascii="Arial" w:hAnsi="Arial" w:cs="Arial"/>
                <w:b/>
                <w:bCs/>
                <w:color w:val="000000"/>
                <w:sz w:val="14"/>
                <w:szCs w:val="14"/>
                <w:lang w:val="en-GB" w:bidi="th-TH"/>
              </w:rPr>
              <w:t>2023</w:t>
            </w:r>
          </w:p>
        </w:tc>
        <w:tc>
          <w:tcPr>
            <w:tcW w:w="1152" w:type="dxa"/>
            <w:tcBorders>
              <w:top w:val="single" w:sz="4" w:space="0" w:color="auto"/>
            </w:tcBorders>
            <w:shd w:val="clear" w:color="auto" w:fill="auto"/>
            <w:vAlign w:val="bottom"/>
          </w:tcPr>
          <w:p w14:paraId="34AA6D1B" w14:textId="7B1063F2" w:rsidR="00047C52" w:rsidRPr="002D2F67" w:rsidRDefault="00CD5714"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047C52" w:rsidRPr="002D2F67">
              <w:rPr>
                <w:rFonts w:ascii="Arial" w:hAnsi="Arial" w:cs="Arial"/>
                <w:b/>
                <w:bCs/>
                <w:color w:val="000000"/>
                <w:sz w:val="14"/>
                <w:szCs w:val="14"/>
                <w:lang w:bidi="th-TH"/>
              </w:rPr>
              <w:t xml:space="preserve"> December</w:t>
            </w:r>
          </w:p>
          <w:p w14:paraId="2D0D8F95" w14:textId="29B38367" w:rsidR="00047C52" w:rsidRPr="002D2F67" w:rsidRDefault="00CD5714" w:rsidP="005611FE">
            <w:pPr>
              <w:pStyle w:val="acctfourfigures"/>
              <w:tabs>
                <w:tab w:val="clear" w:pos="765"/>
              </w:tabs>
              <w:spacing w:line="240" w:lineRule="auto"/>
              <w:ind w:left="-36" w:right="-72"/>
              <w:jc w:val="right"/>
              <w:rPr>
                <w:rFonts w:ascii="Arial" w:hAnsi="Arial" w:cs="Arial"/>
                <w:b/>
                <w:bCs/>
                <w:color w:val="000000"/>
                <w:spacing w:val="-4"/>
                <w:sz w:val="14"/>
                <w:szCs w:val="14"/>
                <w:lang w:bidi="th-TH"/>
              </w:rPr>
            </w:pPr>
            <w:r w:rsidRPr="00CD5714">
              <w:rPr>
                <w:rFonts w:ascii="Arial" w:hAnsi="Arial" w:cs="Arial"/>
                <w:b/>
                <w:bCs/>
                <w:color w:val="000000"/>
                <w:sz w:val="14"/>
                <w:szCs w:val="14"/>
                <w:lang w:val="en-GB" w:bidi="th-TH"/>
              </w:rPr>
              <w:t>2024</w:t>
            </w:r>
          </w:p>
        </w:tc>
        <w:tc>
          <w:tcPr>
            <w:tcW w:w="1152" w:type="dxa"/>
            <w:tcBorders>
              <w:top w:val="single" w:sz="4" w:space="0" w:color="auto"/>
            </w:tcBorders>
            <w:shd w:val="clear" w:color="auto" w:fill="auto"/>
            <w:vAlign w:val="bottom"/>
          </w:tcPr>
          <w:p w14:paraId="0A996282" w14:textId="5F044219" w:rsidR="00047C52" w:rsidRPr="002D2F67" w:rsidRDefault="00CD5714"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047C52" w:rsidRPr="002D2F67">
              <w:rPr>
                <w:rFonts w:ascii="Arial" w:hAnsi="Arial" w:cs="Arial"/>
                <w:b/>
                <w:bCs/>
                <w:color w:val="000000"/>
                <w:sz w:val="14"/>
                <w:szCs w:val="14"/>
                <w:lang w:bidi="th-TH"/>
              </w:rPr>
              <w:t xml:space="preserve"> December</w:t>
            </w:r>
          </w:p>
          <w:p w14:paraId="40A39580" w14:textId="67B32D0C" w:rsidR="00047C52" w:rsidRPr="002D2F67" w:rsidRDefault="00CD5714" w:rsidP="005611FE">
            <w:pPr>
              <w:pStyle w:val="acctfourfigures"/>
              <w:tabs>
                <w:tab w:val="clear" w:pos="765"/>
              </w:tabs>
              <w:spacing w:line="240" w:lineRule="auto"/>
              <w:ind w:left="-36" w:right="-72"/>
              <w:jc w:val="right"/>
              <w:rPr>
                <w:rFonts w:ascii="Arial" w:hAnsi="Arial" w:cs="Arial"/>
                <w:b/>
                <w:bCs/>
                <w:color w:val="000000"/>
                <w:spacing w:val="-4"/>
                <w:sz w:val="14"/>
                <w:szCs w:val="14"/>
                <w:lang w:bidi="th-TH"/>
              </w:rPr>
            </w:pPr>
            <w:r w:rsidRPr="00CD5714">
              <w:rPr>
                <w:rFonts w:ascii="Arial" w:hAnsi="Arial" w:cs="Arial"/>
                <w:b/>
                <w:bCs/>
                <w:color w:val="000000"/>
                <w:sz w:val="14"/>
                <w:szCs w:val="14"/>
                <w:lang w:val="en-GB" w:bidi="th-TH"/>
              </w:rPr>
              <w:t>2023</w:t>
            </w:r>
          </w:p>
        </w:tc>
        <w:tc>
          <w:tcPr>
            <w:tcW w:w="1152" w:type="dxa"/>
            <w:tcBorders>
              <w:top w:val="single" w:sz="4" w:space="0" w:color="auto"/>
            </w:tcBorders>
            <w:shd w:val="clear" w:color="auto" w:fill="auto"/>
            <w:vAlign w:val="bottom"/>
          </w:tcPr>
          <w:p w14:paraId="45BAE5A3" w14:textId="63C3EFC2" w:rsidR="00047C52" w:rsidRPr="002D2F67" w:rsidRDefault="00CD5714"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047C52" w:rsidRPr="002D2F67">
              <w:rPr>
                <w:rFonts w:ascii="Arial" w:hAnsi="Arial" w:cs="Arial"/>
                <w:b/>
                <w:bCs/>
                <w:color w:val="000000"/>
                <w:sz w:val="14"/>
                <w:szCs w:val="14"/>
                <w:lang w:bidi="th-TH"/>
              </w:rPr>
              <w:t xml:space="preserve"> December</w:t>
            </w:r>
          </w:p>
          <w:p w14:paraId="697A27F6" w14:textId="27DF4C8A" w:rsidR="00047C52" w:rsidRPr="002D2F67" w:rsidRDefault="00CD5714" w:rsidP="005611FE">
            <w:pPr>
              <w:pStyle w:val="acctfourfigures"/>
              <w:tabs>
                <w:tab w:val="clear" w:pos="765"/>
              </w:tabs>
              <w:spacing w:line="240" w:lineRule="auto"/>
              <w:ind w:left="-36" w:right="-72"/>
              <w:jc w:val="right"/>
              <w:rPr>
                <w:rFonts w:ascii="Arial" w:hAnsi="Arial" w:cs="Arial"/>
                <w:b/>
                <w:bCs/>
                <w:color w:val="000000"/>
                <w:spacing w:val="-4"/>
                <w:sz w:val="14"/>
                <w:szCs w:val="14"/>
                <w:lang w:bidi="th-TH"/>
              </w:rPr>
            </w:pPr>
            <w:r w:rsidRPr="00CD5714">
              <w:rPr>
                <w:rFonts w:ascii="Arial" w:hAnsi="Arial" w:cs="Arial"/>
                <w:b/>
                <w:bCs/>
                <w:color w:val="000000"/>
                <w:sz w:val="14"/>
                <w:szCs w:val="14"/>
                <w:lang w:val="en-GB" w:bidi="th-TH"/>
              </w:rPr>
              <w:t>2024</w:t>
            </w:r>
          </w:p>
        </w:tc>
        <w:tc>
          <w:tcPr>
            <w:tcW w:w="1135" w:type="dxa"/>
            <w:tcBorders>
              <w:top w:val="single" w:sz="4" w:space="0" w:color="auto"/>
            </w:tcBorders>
            <w:shd w:val="clear" w:color="auto" w:fill="auto"/>
            <w:vAlign w:val="bottom"/>
          </w:tcPr>
          <w:p w14:paraId="663C2E01" w14:textId="007CEE67" w:rsidR="00047C52" w:rsidRPr="002D2F67" w:rsidRDefault="00CD5714"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047C52" w:rsidRPr="002D2F67">
              <w:rPr>
                <w:rFonts w:ascii="Arial" w:hAnsi="Arial" w:cs="Arial"/>
                <w:b/>
                <w:bCs/>
                <w:color w:val="000000"/>
                <w:sz w:val="14"/>
                <w:szCs w:val="14"/>
                <w:lang w:bidi="th-TH"/>
              </w:rPr>
              <w:t xml:space="preserve"> December</w:t>
            </w:r>
          </w:p>
          <w:p w14:paraId="7A90E86B" w14:textId="50DE9F43" w:rsidR="00047C52" w:rsidRPr="002D2F67" w:rsidRDefault="00CD5714" w:rsidP="005611FE">
            <w:pPr>
              <w:pStyle w:val="acctfourfigures"/>
              <w:tabs>
                <w:tab w:val="clear" w:pos="765"/>
              </w:tabs>
              <w:spacing w:line="240" w:lineRule="auto"/>
              <w:ind w:left="-36" w:right="-72"/>
              <w:jc w:val="right"/>
              <w:rPr>
                <w:rFonts w:ascii="Arial" w:hAnsi="Arial" w:cs="Arial"/>
                <w:b/>
                <w:bCs/>
                <w:color w:val="000000"/>
                <w:spacing w:val="-4"/>
                <w:sz w:val="14"/>
                <w:szCs w:val="14"/>
                <w:lang w:bidi="th-TH"/>
              </w:rPr>
            </w:pPr>
            <w:r w:rsidRPr="00CD5714">
              <w:rPr>
                <w:rFonts w:ascii="Arial" w:hAnsi="Arial" w:cs="Arial"/>
                <w:b/>
                <w:bCs/>
                <w:color w:val="000000"/>
                <w:sz w:val="14"/>
                <w:szCs w:val="14"/>
                <w:lang w:val="en-GB" w:bidi="th-TH"/>
              </w:rPr>
              <w:t>2023</w:t>
            </w:r>
          </w:p>
        </w:tc>
      </w:tr>
      <w:tr w:rsidR="00047C52" w:rsidRPr="002D2F67" w14:paraId="554EC7DB" w14:textId="77777777" w:rsidTr="004F4DED">
        <w:trPr>
          <w:cantSplit/>
          <w:trHeight w:val="165"/>
        </w:trPr>
        <w:tc>
          <w:tcPr>
            <w:tcW w:w="3480" w:type="dxa"/>
            <w:shd w:val="clear" w:color="auto" w:fill="auto"/>
            <w:vAlign w:val="bottom"/>
          </w:tcPr>
          <w:p w14:paraId="0F684109" w14:textId="77777777" w:rsidR="00047C52" w:rsidRPr="002D2F67" w:rsidRDefault="00047C52" w:rsidP="005611FE">
            <w:pPr>
              <w:pStyle w:val="acctfourfigures"/>
              <w:tabs>
                <w:tab w:val="clear" w:pos="765"/>
              </w:tabs>
              <w:spacing w:line="240" w:lineRule="auto"/>
              <w:ind w:left="148" w:right="-72"/>
              <w:jc w:val="center"/>
              <w:rPr>
                <w:rFonts w:ascii="Arial" w:hAnsi="Arial" w:cs="Arial"/>
                <w:b/>
                <w:bCs/>
                <w:color w:val="000000"/>
                <w:sz w:val="14"/>
                <w:szCs w:val="14"/>
                <w:lang w:bidi="th-TH"/>
              </w:rPr>
            </w:pPr>
          </w:p>
        </w:tc>
        <w:tc>
          <w:tcPr>
            <w:tcW w:w="4174" w:type="dxa"/>
            <w:tcBorders>
              <w:bottom w:val="single" w:sz="4" w:space="0" w:color="auto"/>
            </w:tcBorders>
            <w:shd w:val="clear" w:color="auto" w:fill="auto"/>
          </w:tcPr>
          <w:p w14:paraId="2D93BEA7" w14:textId="77777777" w:rsidR="00047C52" w:rsidRPr="002D2F67" w:rsidRDefault="00047C52" w:rsidP="005611FE">
            <w:pPr>
              <w:pStyle w:val="acctfourfigures"/>
              <w:tabs>
                <w:tab w:val="clear" w:pos="765"/>
              </w:tabs>
              <w:spacing w:line="240" w:lineRule="auto"/>
              <w:ind w:left="-36" w:right="-72"/>
              <w:jc w:val="center"/>
              <w:rPr>
                <w:rFonts w:ascii="Arial" w:hAnsi="Arial" w:cs="Arial"/>
                <w:b/>
                <w:bCs/>
                <w:color w:val="000000"/>
                <w:sz w:val="14"/>
                <w:szCs w:val="14"/>
                <w:lang w:bidi="th-TH"/>
              </w:rPr>
            </w:pPr>
            <w:r w:rsidRPr="002D2F67">
              <w:rPr>
                <w:rFonts w:ascii="Arial" w:hAnsi="Arial" w:cs="Arial"/>
                <w:b/>
                <w:bCs/>
                <w:color w:val="000000"/>
                <w:sz w:val="14"/>
                <w:szCs w:val="14"/>
                <w:lang w:bidi="th-TH"/>
              </w:rPr>
              <w:t>Business</w:t>
            </w:r>
          </w:p>
        </w:tc>
        <w:tc>
          <w:tcPr>
            <w:tcW w:w="1151" w:type="dxa"/>
            <w:tcBorders>
              <w:bottom w:val="single" w:sz="4" w:space="0" w:color="auto"/>
            </w:tcBorders>
            <w:shd w:val="clear" w:color="auto" w:fill="auto"/>
            <w:vAlign w:val="bottom"/>
          </w:tcPr>
          <w:p w14:paraId="0B452CE8" w14:textId="77777777" w:rsidR="00047C52" w:rsidRPr="002D2F67" w:rsidRDefault="00047C52"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2D2F67">
              <w:rPr>
                <w:rFonts w:ascii="Arial" w:hAnsi="Arial" w:cs="Arial"/>
                <w:b/>
                <w:bCs/>
                <w:color w:val="000000"/>
                <w:sz w:val="14"/>
                <w:szCs w:val="14"/>
                <w:lang w:bidi="th-TH"/>
              </w:rPr>
              <w:t>%</w:t>
            </w:r>
          </w:p>
        </w:tc>
        <w:tc>
          <w:tcPr>
            <w:tcW w:w="1152" w:type="dxa"/>
            <w:tcBorders>
              <w:bottom w:val="single" w:sz="4" w:space="0" w:color="auto"/>
            </w:tcBorders>
            <w:shd w:val="clear" w:color="auto" w:fill="auto"/>
            <w:vAlign w:val="bottom"/>
          </w:tcPr>
          <w:p w14:paraId="77D87494" w14:textId="77777777" w:rsidR="00047C52" w:rsidRPr="002D2F67" w:rsidRDefault="00047C52"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2D2F67">
              <w:rPr>
                <w:rFonts w:ascii="Arial" w:hAnsi="Arial" w:cs="Arial"/>
                <w:b/>
                <w:bCs/>
                <w:color w:val="000000"/>
                <w:sz w:val="14"/>
                <w:szCs w:val="14"/>
                <w:lang w:bidi="th-TH"/>
              </w:rPr>
              <w:t>%</w:t>
            </w:r>
          </w:p>
        </w:tc>
        <w:tc>
          <w:tcPr>
            <w:tcW w:w="1152" w:type="dxa"/>
            <w:tcBorders>
              <w:bottom w:val="single" w:sz="4" w:space="0" w:color="auto"/>
            </w:tcBorders>
            <w:shd w:val="clear" w:color="auto" w:fill="auto"/>
          </w:tcPr>
          <w:p w14:paraId="45FD49BA" w14:textId="136420B6" w:rsidR="00047C52" w:rsidRPr="002D2F67" w:rsidRDefault="00047C52" w:rsidP="005611FE">
            <w:pPr>
              <w:pStyle w:val="acctfourfigures"/>
              <w:tabs>
                <w:tab w:val="clear" w:pos="765"/>
              </w:tabs>
              <w:spacing w:line="240" w:lineRule="auto"/>
              <w:ind w:right="-72"/>
              <w:jc w:val="right"/>
              <w:rPr>
                <w:rFonts w:ascii="Arial" w:hAnsi="Arial" w:cs="Arial"/>
                <w:b/>
                <w:bCs/>
                <w:color w:val="000000"/>
                <w:sz w:val="14"/>
                <w:szCs w:val="14"/>
                <w:lang w:bidi="th-TH"/>
              </w:rPr>
            </w:pPr>
            <w:r w:rsidRPr="002D2F67">
              <w:rPr>
                <w:rFonts w:ascii="Arial" w:hAnsi="Arial" w:cs="Arial"/>
                <w:b/>
                <w:bCs/>
                <w:color w:val="000000"/>
                <w:sz w:val="14"/>
                <w:szCs w:val="14"/>
              </w:rPr>
              <w:t>Baht’</w:t>
            </w:r>
            <w:r w:rsidR="00CD5714" w:rsidRPr="00CD5714">
              <w:rPr>
                <w:rFonts w:ascii="Arial" w:hAnsi="Arial" w:cs="Arial"/>
                <w:b/>
                <w:bCs/>
                <w:color w:val="000000"/>
                <w:sz w:val="14"/>
                <w:szCs w:val="14"/>
                <w:lang w:val="en-GB"/>
              </w:rPr>
              <w:t>000</w:t>
            </w:r>
          </w:p>
        </w:tc>
        <w:tc>
          <w:tcPr>
            <w:tcW w:w="1152" w:type="dxa"/>
            <w:tcBorders>
              <w:bottom w:val="single" w:sz="4" w:space="0" w:color="auto"/>
            </w:tcBorders>
            <w:shd w:val="clear" w:color="auto" w:fill="auto"/>
          </w:tcPr>
          <w:p w14:paraId="21023712" w14:textId="25EC4D50" w:rsidR="00047C52" w:rsidRPr="002D2F67" w:rsidRDefault="00047C52" w:rsidP="005611FE">
            <w:pPr>
              <w:pStyle w:val="acctfourfigures"/>
              <w:tabs>
                <w:tab w:val="clear" w:pos="765"/>
              </w:tabs>
              <w:spacing w:line="240" w:lineRule="auto"/>
              <w:ind w:right="-72"/>
              <w:jc w:val="right"/>
              <w:rPr>
                <w:rFonts w:ascii="Arial" w:hAnsi="Arial" w:cs="Arial"/>
                <w:b/>
                <w:bCs/>
                <w:color w:val="000000"/>
                <w:sz w:val="14"/>
                <w:szCs w:val="14"/>
                <w:lang w:bidi="th-TH"/>
              </w:rPr>
            </w:pPr>
            <w:r w:rsidRPr="002D2F67">
              <w:rPr>
                <w:rFonts w:ascii="Arial" w:hAnsi="Arial" w:cs="Arial"/>
                <w:b/>
                <w:bCs/>
                <w:color w:val="000000"/>
                <w:sz w:val="14"/>
                <w:szCs w:val="14"/>
              </w:rPr>
              <w:t>Baht’</w:t>
            </w:r>
            <w:r w:rsidR="00CD5714" w:rsidRPr="00CD5714">
              <w:rPr>
                <w:rFonts w:ascii="Arial" w:hAnsi="Arial" w:cs="Arial"/>
                <w:b/>
                <w:bCs/>
                <w:color w:val="000000"/>
                <w:sz w:val="14"/>
                <w:szCs w:val="14"/>
                <w:lang w:val="en-GB"/>
              </w:rPr>
              <w:t>000</w:t>
            </w:r>
          </w:p>
        </w:tc>
        <w:tc>
          <w:tcPr>
            <w:tcW w:w="1152" w:type="dxa"/>
            <w:tcBorders>
              <w:bottom w:val="single" w:sz="4" w:space="0" w:color="auto"/>
            </w:tcBorders>
            <w:shd w:val="clear" w:color="auto" w:fill="auto"/>
          </w:tcPr>
          <w:p w14:paraId="6D07607D" w14:textId="14B265D9" w:rsidR="00047C52" w:rsidRPr="002D2F67" w:rsidRDefault="00047C52" w:rsidP="005611FE">
            <w:pPr>
              <w:pStyle w:val="acctfourfigures"/>
              <w:tabs>
                <w:tab w:val="clear" w:pos="765"/>
              </w:tabs>
              <w:spacing w:line="240" w:lineRule="auto"/>
              <w:ind w:right="-72"/>
              <w:jc w:val="right"/>
              <w:rPr>
                <w:rFonts w:ascii="Arial" w:hAnsi="Arial" w:cs="Arial"/>
                <w:b/>
                <w:bCs/>
                <w:color w:val="000000"/>
                <w:sz w:val="14"/>
                <w:szCs w:val="14"/>
                <w:lang w:bidi="th-TH"/>
              </w:rPr>
            </w:pPr>
            <w:r w:rsidRPr="002D2F67">
              <w:rPr>
                <w:rFonts w:ascii="Arial" w:hAnsi="Arial" w:cs="Arial"/>
                <w:b/>
                <w:bCs/>
                <w:color w:val="000000"/>
                <w:sz w:val="14"/>
                <w:szCs w:val="14"/>
              </w:rPr>
              <w:t>Baht’</w:t>
            </w:r>
            <w:r w:rsidR="00CD5714" w:rsidRPr="00CD5714">
              <w:rPr>
                <w:rFonts w:ascii="Arial" w:hAnsi="Arial" w:cs="Arial"/>
                <w:b/>
                <w:bCs/>
                <w:color w:val="000000"/>
                <w:sz w:val="14"/>
                <w:szCs w:val="14"/>
                <w:lang w:val="en-GB"/>
              </w:rPr>
              <w:t>000</w:t>
            </w:r>
          </w:p>
        </w:tc>
        <w:tc>
          <w:tcPr>
            <w:tcW w:w="1135" w:type="dxa"/>
            <w:tcBorders>
              <w:bottom w:val="single" w:sz="4" w:space="0" w:color="auto"/>
            </w:tcBorders>
            <w:shd w:val="clear" w:color="auto" w:fill="auto"/>
          </w:tcPr>
          <w:p w14:paraId="4F0D8908" w14:textId="7811DC04" w:rsidR="00047C52" w:rsidRPr="002D2F67" w:rsidRDefault="00047C52" w:rsidP="005611FE">
            <w:pPr>
              <w:pStyle w:val="acctfourfigures"/>
              <w:tabs>
                <w:tab w:val="clear" w:pos="765"/>
              </w:tabs>
              <w:spacing w:line="240" w:lineRule="auto"/>
              <w:ind w:right="-72"/>
              <w:jc w:val="right"/>
              <w:rPr>
                <w:rFonts w:ascii="Arial" w:hAnsi="Arial" w:cs="Arial"/>
                <w:b/>
                <w:bCs/>
                <w:color w:val="000000"/>
                <w:sz w:val="14"/>
                <w:szCs w:val="14"/>
                <w:lang w:bidi="th-TH"/>
              </w:rPr>
            </w:pPr>
            <w:r w:rsidRPr="002D2F67">
              <w:rPr>
                <w:rFonts w:ascii="Arial" w:hAnsi="Arial" w:cs="Arial"/>
                <w:b/>
                <w:bCs/>
                <w:color w:val="000000"/>
                <w:sz w:val="14"/>
                <w:szCs w:val="14"/>
              </w:rPr>
              <w:t>Baht’</w:t>
            </w:r>
            <w:r w:rsidR="00CD5714" w:rsidRPr="00CD5714">
              <w:rPr>
                <w:rFonts w:ascii="Arial" w:hAnsi="Arial" w:cs="Arial"/>
                <w:b/>
                <w:bCs/>
                <w:color w:val="000000"/>
                <w:sz w:val="14"/>
                <w:szCs w:val="14"/>
                <w:lang w:val="en-GB"/>
              </w:rPr>
              <w:t>000</w:t>
            </w:r>
          </w:p>
        </w:tc>
      </w:tr>
      <w:bookmarkEnd w:id="6"/>
      <w:tr w:rsidR="00047C52" w:rsidRPr="002D2F67" w14:paraId="55844A98" w14:textId="77777777" w:rsidTr="004F4DED">
        <w:trPr>
          <w:cantSplit/>
          <w:trHeight w:val="165"/>
        </w:trPr>
        <w:tc>
          <w:tcPr>
            <w:tcW w:w="3480" w:type="dxa"/>
            <w:shd w:val="clear" w:color="auto" w:fill="auto"/>
          </w:tcPr>
          <w:p w14:paraId="4A55EF21" w14:textId="77777777" w:rsidR="00047C52" w:rsidRPr="002D2F67" w:rsidRDefault="00047C52" w:rsidP="005611FE">
            <w:pPr>
              <w:pStyle w:val="acctfourfigures"/>
              <w:tabs>
                <w:tab w:val="clear" w:pos="765"/>
              </w:tabs>
              <w:spacing w:line="240" w:lineRule="auto"/>
              <w:ind w:left="148" w:right="-72"/>
              <w:rPr>
                <w:rFonts w:ascii="Arial" w:hAnsi="Arial" w:cs="Arial"/>
                <w:color w:val="000000"/>
                <w:sz w:val="14"/>
                <w:szCs w:val="14"/>
                <w:lang w:bidi="th-TH"/>
              </w:rPr>
            </w:pPr>
          </w:p>
        </w:tc>
        <w:tc>
          <w:tcPr>
            <w:tcW w:w="4174" w:type="dxa"/>
            <w:tcBorders>
              <w:top w:val="single" w:sz="4" w:space="0" w:color="auto"/>
            </w:tcBorders>
            <w:shd w:val="clear" w:color="auto" w:fill="auto"/>
          </w:tcPr>
          <w:p w14:paraId="5DC3A545" w14:textId="77777777" w:rsidR="00047C52" w:rsidRPr="002D2F67" w:rsidRDefault="00047C52" w:rsidP="005611FE">
            <w:pPr>
              <w:pStyle w:val="acctfourfigures"/>
              <w:tabs>
                <w:tab w:val="clear" w:pos="765"/>
              </w:tabs>
              <w:spacing w:line="240" w:lineRule="auto"/>
              <w:ind w:right="-72"/>
              <w:rPr>
                <w:rFonts w:ascii="Arial" w:hAnsi="Arial" w:cs="Arial"/>
                <w:color w:val="000000"/>
                <w:sz w:val="14"/>
                <w:szCs w:val="14"/>
                <w:lang w:bidi="th-TH"/>
              </w:rPr>
            </w:pPr>
          </w:p>
        </w:tc>
        <w:tc>
          <w:tcPr>
            <w:tcW w:w="1151" w:type="dxa"/>
            <w:tcBorders>
              <w:top w:val="single" w:sz="4" w:space="0" w:color="auto"/>
            </w:tcBorders>
            <w:shd w:val="clear" w:color="auto" w:fill="auto"/>
          </w:tcPr>
          <w:p w14:paraId="7373E72D" w14:textId="77777777" w:rsidR="00047C52" w:rsidRPr="002D2F67" w:rsidRDefault="00047C52" w:rsidP="005611FE">
            <w:pPr>
              <w:pStyle w:val="acctfourfigures"/>
              <w:tabs>
                <w:tab w:val="clear" w:pos="765"/>
              </w:tabs>
              <w:spacing w:line="240" w:lineRule="auto"/>
              <w:ind w:right="-72"/>
              <w:rPr>
                <w:rFonts w:ascii="Arial" w:hAnsi="Arial" w:cs="Arial"/>
                <w:color w:val="000000"/>
                <w:sz w:val="14"/>
                <w:szCs w:val="14"/>
                <w:lang w:bidi="th-TH"/>
              </w:rPr>
            </w:pPr>
          </w:p>
        </w:tc>
        <w:tc>
          <w:tcPr>
            <w:tcW w:w="1152" w:type="dxa"/>
            <w:tcBorders>
              <w:top w:val="single" w:sz="4" w:space="0" w:color="auto"/>
            </w:tcBorders>
            <w:shd w:val="clear" w:color="auto" w:fill="auto"/>
          </w:tcPr>
          <w:p w14:paraId="40789F83" w14:textId="77777777" w:rsidR="00047C52" w:rsidRPr="002D2F67" w:rsidRDefault="00047C52" w:rsidP="005611FE">
            <w:pPr>
              <w:pStyle w:val="acctfourfigures"/>
              <w:tabs>
                <w:tab w:val="clear" w:pos="765"/>
              </w:tabs>
              <w:spacing w:line="240" w:lineRule="auto"/>
              <w:ind w:right="-72"/>
              <w:rPr>
                <w:rFonts w:ascii="Arial" w:hAnsi="Arial" w:cs="Arial"/>
                <w:color w:val="000000"/>
                <w:sz w:val="14"/>
                <w:szCs w:val="14"/>
                <w:lang w:bidi="th-TH"/>
              </w:rPr>
            </w:pPr>
          </w:p>
        </w:tc>
        <w:tc>
          <w:tcPr>
            <w:tcW w:w="1152" w:type="dxa"/>
            <w:tcBorders>
              <w:top w:val="single" w:sz="4" w:space="0" w:color="auto"/>
            </w:tcBorders>
            <w:shd w:val="clear" w:color="auto" w:fill="auto"/>
          </w:tcPr>
          <w:p w14:paraId="6E8C294C" w14:textId="77777777" w:rsidR="00047C52" w:rsidRPr="002D2F67" w:rsidRDefault="00047C52" w:rsidP="005611FE">
            <w:pPr>
              <w:pStyle w:val="acctfourfigures"/>
              <w:tabs>
                <w:tab w:val="clear" w:pos="765"/>
              </w:tabs>
              <w:spacing w:line="240" w:lineRule="auto"/>
              <w:ind w:right="-72"/>
              <w:rPr>
                <w:rFonts w:ascii="Arial" w:hAnsi="Arial" w:cs="Arial"/>
                <w:color w:val="000000"/>
                <w:sz w:val="14"/>
                <w:szCs w:val="14"/>
                <w:lang w:bidi="th-TH"/>
              </w:rPr>
            </w:pPr>
          </w:p>
        </w:tc>
        <w:tc>
          <w:tcPr>
            <w:tcW w:w="1152" w:type="dxa"/>
            <w:tcBorders>
              <w:top w:val="single" w:sz="4" w:space="0" w:color="auto"/>
            </w:tcBorders>
            <w:shd w:val="clear" w:color="auto" w:fill="auto"/>
          </w:tcPr>
          <w:p w14:paraId="1219381B" w14:textId="77777777" w:rsidR="00047C52" w:rsidRPr="002D2F67" w:rsidRDefault="00047C52" w:rsidP="005611FE">
            <w:pPr>
              <w:pStyle w:val="acctfourfigures"/>
              <w:tabs>
                <w:tab w:val="clear" w:pos="765"/>
              </w:tabs>
              <w:spacing w:line="240" w:lineRule="auto"/>
              <w:ind w:right="-72"/>
              <w:rPr>
                <w:rFonts w:ascii="Arial" w:hAnsi="Arial" w:cs="Arial"/>
                <w:color w:val="000000"/>
                <w:sz w:val="14"/>
                <w:szCs w:val="14"/>
                <w:lang w:bidi="th-TH"/>
              </w:rPr>
            </w:pPr>
          </w:p>
        </w:tc>
        <w:tc>
          <w:tcPr>
            <w:tcW w:w="1152" w:type="dxa"/>
            <w:tcBorders>
              <w:top w:val="single" w:sz="4" w:space="0" w:color="auto"/>
            </w:tcBorders>
            <w:shd w:val="clear" w:color="auto" w:fill="auto"/>
          </w:tcPr>
          <w:p w14:paraId="6C8A2212" w14:textId="77777777" w:rsidR="00047C52" w:rsidRPr="002D2F67" w:rsidRDefault="00047C52" w:rsidP="005611FE">
            <w:pPr>
              <w:pStyle w:val="acctfourfigures"/>
              <w:tabs>
                <w:tab w:val="clear" w:pos="765"/>
              </w:tabs>
              <w:spacing w:line="240" w:lineRule="auto"/>
              <w:ind w:right="-72"/>
              <w:rPr>
                <w:rFonts w:ascii="Arial" w:hAnsi="Arial" w:cs="Arial"/>
                <w:color w:val="000000"/>
                <w:sz w:val="14"/>
                <w:szCs w:val="14"/>
                <w:lang w:bidi="th-TH"/>
              </w:rPr>
            </w:pPr>
          </w:p>
        </w:tc>
        <w:tc>
          <w:tcPr>
            <w:tcW w:w="1135" w:type="dxa"/>
            <w:tcBorders>
              <w:top w:val="single" w:sz="4" w:space="0" w:color="auto"/>
            </w:tcBorders>
            <w:shd w:val="clear" w:color="auto" w:fill="auto"/>
          </w:tcPr>
          <w:p w14:paraId="0A4A0A92" w14:textId="77777777" w:rsidR="00047C52" w:rsidRPr="002D2F67" w:rsidRDefault="00047C52" w:rsidP="005611FE">
            <w:pPr>
              <w:pStyle w:val="acctfourfigures"/>
              <w:tabs>
                <w:tab w:val="clear" w:pos="765"/>
              </w:tabs>
              <w:spacing w:line="240" w:lineRule="auto"/>
              <w:ind w:right="-72"/>
              <w:rPr>
                <w:rFonts w:ascii="Arial" w:hAnsi="Arial" w:cs="Arial"/>
                <w:color w:val="000000"/>
                <w:sz w:val="14"/>
                <w:szCs w:val="14"/>
                <w:lang w:bidi="th-TH"/>
              </w:rPr>
            </w:pPr>
          </w:p>
        </w:tc>
      </w:tr>
      <w:tr w:rsidR="00047C52" w:rsidRPr="002D2F67" w14:paraId="370A70D4" w14:textId="77777777" w:rsidTr="004F4DED">
        <w:trPr>
          <w:cantSplit/>
          <w:trHeight w:val="165"/>
        </w:trPr>
        <w:tc>
          <w:tcPr>
            <w:tcW w:w="7654" w:type="dxa"/>
            <w:gridSpan w:val="2"/>
            <w:shd w:val="clear" w:color="auto" w:fill="auto"/>
          </w:tcPr>
          <w:p w14:paraId="4F2E94F7" w14:textId="77777777" w:rsidR="00047C52" w:rsidRPr="002D2F67" w:rsidRDefault="00047C52" w:rsidP="005611FE">
            <w:pPr>
              <w:pStyle w:val="acctfourfigures"/>
              <w:tabs>
                <w:tab w:val="clear" w:pos="765"/>
              </w:tabs>
              <w:spacing w:line="240" w:lineRule="auto"/>
              <w:ind w:right="-72" w:firstLine="155"/>
              <w:rPr>
                <w:rFonts w:ascii="Arial" w:hAnsi="Arial" w:cs="Arial"/>
                <w:color w:val="000000"/>
                <w:sz w:val="14"/>
                <w:szCs w:val="14"/>
                <w:lang w:bidi="th-TH"/>
              </w:rPr>
            </w:pPr>
            <w:r w:rsidRPr="002D2F67">
              <w:rPr>
                <w:rFonts w:ascii="Arial" w:hAnsi="Arial" w:cs="Arial"/>
                <w:color w:val="000000"/>
                <w:sz w:val="14"/>
                <w:szCs w:val="14"/>
                <w:lang w:bidi="th-TH"/>
              </w:rPr>
              <w:t>The details of indirect subsidiaries incorporated in Thailand</w:t>
            </w:r>
          </w:p>
        </w:tc>
        <w:tc>
          <w:tcPr>
            <w:tcW w:w="1151" w:type="dxa"/>
            <w:shd w:val="clear" w:color="auto" w:fill="auto"/>
          </w:tcPr>
          <w:p w14:paraId="0615635C" w14:textId="77777777" w:rsidR="00047C52" w:rsidRPr="002D2F67" w:rsidRDefault="00047C52" w:rsidP="005611FE">
            <w:pPr>
              <w:pStyle w:val="acctfourfigures"/>
              <w:tabs>
                <w:tab w:val="clear" w:pos="765"/>
              </w:tabs>
              <w:spacing w:line="240" w:lineRule="auto"/>
              <w:ind w:right="-72"/>
              <w:rPr>
                <w:rFonts w:ascii="Arial" w:hAnsi="Arial" w:cs="Arial"/>
                <w:color w:val="000000"/>
                <w:sz w:val="14"/>
                <w:szCs w:val="14"/>
                <w:lang w:bidi="th-TH"/>
              </w:rPr>
            </w:pPr>
          </w:p>
        </w:tc>
        <w:tc>
          <w:tcPr>
            <w:tcW w:w="1152" w:type="dxa"/>
            <w:shd w:val="clear" w:color="auto" w:fill="auto"/>
          </w:tcPr>
          <w:p w14:paraId="7D916821" w14:textId="77777777" w:rsidR="00047C52" w:rsidRPr="002D2F67" w:rsidRDefault="00047C52" w:rsidP="005611FE">
            <w:pPr>
              <w:pStyle w:val="acctfourfigures"/>
              <w:tabs>
                <w:tab w:val="clear" w:pos="765"/>
              </w:tabs>
              <w:spacing w:line="240" w:lineRule="auto"/>
              <w:ind w:right="-72"/>
              <w:rPr>
                <w:rFonts w:ascii="Arial" w:hAnsi="Arial" w:cs="Arial"/>
                <w:color w:val="000000"/>
                <w:sz w:val="14"/>
                <w:szCs w:val="14"/>
                <w:lang w:bidi="th-TH"/>
              </w:rPr>
            </w:pPr>
          </w:p>
        </w:tc>
        <w:tc>
          <w:tcPr>
            <w:tcW w:w="1152" w:type="dxa"/>
            <w:shd w:val="clear" w:color="auto" w:fill="auto"/>
          </w:tcPr>
          <w:p w14:paraId="4E54C488" w14:textId="77777777" w:rsidR="00047C52" w:rsidRPr="002D2F67" w:rsidRDefault="00047C52" w:rsidP="005611FE">
            <w:pPr>
              <w:pStyle w:val="acctfourfigures"/>
              <w:tabs>
                <w:tab w:val="clear" w:pos="765"/>
              </w:tabs>
              <w:spacing w:line="240" w:lineRule="auto"/>
              <w:ind w:right="-72"/>
              <w:rPr>
                <w:rFonts w:ascii="Arial" w:hAnsi="Arial" w:cs="Arial"/>
                <w:color w:val="000000"/>
                <w:sz w:val="14"/>
                <w:szCs w:val="14"/>
                <w:lang w:bidi="th-TH"/>
              </w:rPr>
            </w:pPr>
          </w:p>
        </w:tc>
        <w:tc>
          <w:tcPr>
            <w:tcW w:w="1152" w:type="dxa"/>
            <w:shd w:val="clear" w:color="auto" w:fill="auto"/>
          </w:tcPr>
          <w:p w14:paraId="250469B4" w14:textId="77777777" w:rsidR="00047C52" w:rsidRPr="002D2F67" w:rsidRDefault="00047C52" w:rsidP="005611FE">
            <w:pPr>
              <w:pStyle w:val="acctfourfigures"/>
              <w:tabs>
                <w:tab w:val="clear" w:pos="765"/>
              </w:tabs>
              <w:spacing w:line="240" w:lineRule="auto"/>
              <w:ind w:right="-72"/>
              <w:rPr>
                <w:rFonts w:ascii="Arial" w:hAnsi="Arial" w:cs="Arial"/>
                <w:color w:val="000000"/>
                <w:sz w:val="14"/>
                <w:szCs w:val="14"/>
                <w:lang w:bidi="th-TH"/>
              </w:rPr>
            </w:pPr>
          </w:p>
        </w:tc>
        <w:tc>
          <w:tcPr>
            <w:tcW w:w="1152" w:type="dxa"/>
            <w:shd w:val="clear" w:color="auto" w:fill="auto"/>
          </w:tcPr>
          <w:p w14:paraId="3557DF21" w14:textId="77777777" w:rsidR="00047C52" w:rsidRPr="002D2F67" w:rsidRDefault="00047C52" w:rsidP="005611FE">
            <w:pPr>
              <w:pStyle w:val="acctfourfigures"/>
              <w:tabs>
                <w:tab w:val="clear" w:pos="765"/>
              </w:tabs>
              <w:spacing w:line="240" w:lineRule="auto"/>
              <w:ind w:right="-72"/>
              <w:rPr>
                <w:rFonts w:ascii="Arial" w:hAnsi="Arial" w:cs="Arial"/>
                <w:color w:val="000000"/>
                <w:sz w:val="14"/>
                <w:szCs w:val="14"/>
                <w:lang w:bidi="th-TH"/>
              </w:rPr>
            </w:pPr>
          </w:p>
        </w:tc>
        <w:tc>
          <w:tcPr>
            <w:tcW w:w="1135" w:type="dxa"/>
            <w:shd w:val="clear" w:color="auto" w:fill="auto"/>
          </w:tcPr>
          <w:p w14:paraId="0717CC6F" w14:textId="77777777" w:rsidR="00047C52" w:rsidRPr="002D2F67" w:rsidRDefault="00047C52" w:rsidP="005611FE">
            <w:pPr>
              <w:pStyle w:val="acctfourfigures"/>
              <w:tabs>
                <w:tab w:val="clear" w:pos="765"/>
              </w:tabs>
              <w:spacing w:line="240" w:lineRule="auto"/>
              <w:ind w:right="-72"/>
              <w:rPr>
                <w:rFonts w:ascii="Arial" w:hAnsi="Arial" w:cs="Arial"/>
                <w:color w:val="000000"/>
                <w:sz w:val="14"/>
                <w:szCs w:val="14"/>
                <w:lang w:bidi="th-TH"/>
              </w:rPr>
            </w:pPr>
          </w:p>
        </w:tc>
      </w:tr>
      <w:tr w:rsidR="00047C52" w:rsidRPr="002D2F67" w14:paraId="790E20D5" w14:textId="77777777" w:rsidTr="004F4DED">
        <w:trPr>
          <w:cantSplit/>
          <w:trHeight w:val="132"/>
        </w:trPr>
        <w:tc>
          <w:tcPr>
            <w:tcW w:w="7654" w:type="dxa"/>
            <w:gridSpan w:val="2"/>
            <w:shd w:val="clear" w:color="auto" w:fill="auto"/>
          </w:tcPr>
          <w:p w14:paraId="269738D4" w14:textId="77777777" w:rsidR="00047C52" w:rsidRPr="002D2F67" w:rsidRDefault="00047C52" w:rsidP="005611FE">
            <w:pPr>
              <w:pStyle w:val="acctfourfigures"/>
              <w:tabs>
                <w:tab w:val="clear" w:pos="765"/>
              </w:tabs>
              <w:spacing w:line="240" w:lineRule="auto"/>
              <w:ind w:right="-72" w:firstLine="155"/>
              <w:rPr>
                <w:rFonts w:ascii="Arial" w:hAnsi="Arial" w:cs="Arial"/>
                <w:color w:val="000000"/>
                <w:sz w:val="12"/>
                <w:szCs w:val="12"/>
                <w:lang w:bidi="th-TH"/>
              </w:rPr>
            </w:pPr>
          </w:p>
        </w:tc>
        <w:tc>
          <w:tcPr>
            <w:tcW w:w="1151" w:type="dxa"/>
            <w:shd w:val="clear" w:color="auto" w:fill="auto"/>
          </w:tcPr>
          <w:p w14:paraId="4599C244" w14:textId="77777777" w:rsidR="00047C52" w:rsidRPr="002D2F67" w:rsidRDefault="00047C52" w:rsidP="005611FE">
            <w:pPr>
              <w:pStyle w:val="acctfourfigures"/>
              <w:tabs>
                <w:tab w:val="clear" w:pos="765"/>
              </w:tabs>
              <w:spacing w:line="240" w:lineRule="auto"/>
              <w:ind w:right="-72"/>
              <w:rPr>
                <w:rFonts w:ascii="Arial" w:hAnsi="Arial" w:cs="Arial"/>
                <w:color w:val="000000"/>
                <w:sz w:val="12"/>
                <w:szCs w:val="12"/>
                <w:lang w:bidi="th-TH"/>
              </w:rPr>
            </w:pPr>
          </w:p>
        </w:tc>
        <w:tc>
          <w:tcPr>
            <w:tcW w:w="1152" w:type="dxa"/>
            <w:shd w:val="clear" w:color="auto" w:fill="auto"/>
          </w:tcPr>
          <w:p w14:paraId="36BE7602" w14:textId="77777777" w:rsidR="00047C52" w:rsidRPr="002D2F67" w:rsidRDefault="00047C52" w:rsidP="005611FE">
            <w:pPr>
              <w:pStyle w:val="acctfourfigures"/>
              <w:tabs>
                <w:tab w:val="clear" w:pos="765"/>
              </w:tabs>
              <w:spacing w:line="240" w:lineRule="auto"/>
              <w:ind w:right="-72"/>
              <w:rPr>
                <w:rFonts w:ascii="Arial" w:hAnsi="Arial" w:cs="Arial"/>
                <w:color w:val="000000"/>
                <w:sz w:val="12"/>
                <w:szCs w:val="12"/>
                <w:lang w:bidi="th-TH"/>
              </w:rPr>
            </w:pPr>
          </w:p>
        </w:tc>
        <w:tc>
          <w:tcPr>
            <w:tcW w:w="1152" w:type="dxa"/>
            <w:shd w:val="clear" w:color="auto" w:fill="auto"/>
          </w:tcPr>
          <w:p w14:paraId="43C1F342" w14:textId="77777777" w:rsidR="00047C52" w:rsidRPr="002D2F67" w:rsidRDefault="00047C52" w:rsidP="005611FE">
            <w:pPr>
              <w:pStyle w:val="acctfourfigures"/>
              <w:tabs>
                <w:tab w:val="clear" w:pos="765"/>
              </w:tabs>
              <w:spacing w:line="240" w:lineRule="auto"/>
              <w:ind w:right="-72"/>
              <w:rPr>
                <w:rFonts w:ascii="Arial" w:hAnsi="Arial" w:cs="Arial"/>
                <w:color w:val="000000"/>
                <w:sz w:val="12"/>
                <w:szCs w:val="12"/>
                <w:lang w:bidi="th-TH"/>
              </w:rPr>
            </w:pPr>
          </w:p>
        </w:tc>
        <w:tc>
          <w:tcPr>
            <w:tcW w:w="1152" w:type="dxa"/>
            <w:shd w:val="clear" w:color="auto" w:fill="auto"/>
          </w:tcPr>
          <w:p w14:paraId="029DFE3A" w14:textId="77777777" w:rsidR="00047C52" w:rsidRPr="002D2F67" w:rsidRDefault="00047C52" w:rsidP="005611FE">
            <w:pPr>
              <w:pStyle w:val="acctfourfigures"/>
              <w:tabs>
                <w:tab w:val="clear" w:pos="765"/>
              </w:tabs>
              <w:spacing w:line="240" w:lineRule="auto"/>
              <w:ind w:right="-72"/>
              <w:rPr>
                <w:rFonts w:ascii="Arial" w:hAnsi="Arial" w:cs="Arial"/>
                <w:color w:val="000000"/>
                <w:sz w:val="12"/>
                <w:szCs w:val="12"/>
                <w:lang w:bidi="th-TH"/>
              </w:rPr>
            </w:pPr>
          </w:p>
        </w:tc>
        <w:tc>
          <w:tcPr>
            <w:tcW w:w="1152" w:type="dxa"/>
            <w:shd w:val="clear" w:color="auto" w:fill="auto"/>
          </w:tcPr>
          <w:p w14:paraId="022EA2FB" w14:textId="77777777" w:rsidR="00047C52" w:rsidRPr="002D2F67" w:rsidRDefault="00047C52" w:rsidP="005611FE">
            <w:pPr>
              <w:pStyle w:val="acctfourfigures"/>
              <w:tabs>
                <w:tab w:val="clear" w:pos="765"/>
              </w:tabs>
              <w:spacing w:line="240" w:lineRule="auto"/>
              <w:ind w:right="-72"/>
              <w:rPr>
                <w:rFonts w:ascii="Arial" w:hAnsi="Arial" w:cs="Arial"/>
                <w:color w:val="000000"/>
                <w:sz w:val="12"/>
                <w:szCs w:val="12"/>
                <w:lang w:bidi="th-TH"/>
              </w:rPr>
            </w:pPr>
          </w:p>
        </w:tc>
        <w:tc>
          <w:tcPr>
            <w:tcW w:w="1135" w:type="dxa"/>
            <w:shd w:val="clear" w:color="auto" w:fill="auto"/>
          </w:tcPr>
          <w:p w14:paraId="522F3B98" w14:textId="77777777" w:rsidR="00047C52" w:rsidRPr="002D2F67" w:rsidRDefault="00047C52" w:rsidP="005611FE">
            <w:pPr>
              <w:pStyle w:val="acctfourfigures"/>
              <w:tabs>
                <w:tab w:val="clear" w:pos="765"/>
              </w:tabs>
              <w:spacing w:line="240" w:lineRule="auto"/>
              <w:ind w:right="-72"/>
              <w:rPr>
                <w:rFonts w:ascii="Arial" w:hAnsi="Arial" w:cs="Arial"/>
                <w:color w:val="000000"/>
                <w:sz w:val="12"/>
                <w:szCs w:val="12"/>
                <w:lang w:bidi="th-TH"/>
              </w:rPr>
            </w:pPr>
          </w:p>
        </w:tc>
      </w:tr>
      <w:tr w:rsidR="00047C52" w:rsidRPr="002D2F67" w14:paraId="5C59B7CB" w14:textId="77777777" w:rsidTr="004F4DED">
        <w:trPr>
          <w:cantSplit/>
          <w:trHeight w:val="170"/>
        </w:trPr>
        <w:tc>
          <w:tcPr>
            <w:tcW w:w="3480" w:type="dxa"/>
            <w:shd w:val="clear" w:color="auto" w:fill="auto"/>
          </w:tcPr>
          <w:p w14:paraId="2E0E9626" w14:textId="05010A15" w:rsidR="00047C52" w:rsidRPr="002D2F67" w:rsidRDefault="00047C52" w:rsidP="00CC0816">
            <w:pPr>
              <w:ind w:left="148" w:right="-208"/>
              <w:rPr>
                <w:rFonts w:ascii="Arial" w:hAnsi="Arial" w:cs="Arial"/>
                <w:color w:val="000000"/>
                <w:sz w:val="14"/>
                <w:szCs w:val="14"/>
              </w:rPr>
            </w:pPr>
            <w:r w:rsidRPr="002D2F67">
              <w:rPr>
                <w:rFonts w:ascii="Arial" w:hAnsi="Arial" w:cs="Arial"/>
                <w:color w:val="000000"/>
                <w:sz w:val="14"/>
                <w:szCs w:val="14"/>
              </w:rPr>
              <w:t>Surachai (</w:t>
            </w:r>
            <w:r w:rsidR="00CD5714" w:rsidRPr="00CD5714">
              <w:rPr>
                <w:rFonts w:ascii="Arial" w:hAnsi="Arial" w:cs="Arial"/>
                <w:color w:val="000000"/>
                <w:sz w:val="14"/>
                <w:szCs w:val="14"/>
                <w:lang w:val="en-GB"/>
              </w:rPr>
              <w:t>1997</w:t>
            </w:r>
            <w:r w:rsidRPr="002D2F67">
              <w:rPr>
                <w:rFonts w:ascii="Arial" w:hAnsi="Arial" w:cs="Arial"/>
                <w:color w:val="000000"/>
                <w:sz w:val="14"/>
                <w:szCs w:val="14"/>
              </w:rPr>
              <w:t>) Solar Co., Ltd.</w:t>
            </w:r>
          </w:p>
        </w:tc>
        <w:tc>
          <w:tcPr>
            <w:tcW w:w="4174" w:type="dxa"/>
            <w:shd w:val="clear" w:color="auto" w:fill="auto"/>
          </w:tcPr>
          <w:p w14:paraId="00A2F292" w14:textId="631145D2" w:rsidR="00047C52" w:rsidRPr="002D2F67" w:rsidRDefault="00047C52" w:rsidP="00CC0816">
            <w:pPr>
              <w:tabs>
                <w:tab w:val="left" w:pos="-3402"/>
                <w:tab w:val="left" w:pos="-3261"/>
                <w:tab w:val="left" w:pos="-3119"/>
              </w:tabs>
              <w:ind w:left="-29"/>
              <w:rPr>
                <w:rFonts w:ascii="Arial" w:hAnsi="Arial" w:cs="Arial"/>
                <w:color w:val="000000"/>
                <w:sz w:val="14"/>
                <w:szCs w:val="14"/>
              </w:rPr>
            </w:pPr>
            <w:r w:rsidRPr="002D2F67">
              <w:rPr>
                <w:rFonts w:ascii="Arial" w:hAnsi="Arial" w:cs="Arial"/>
                <w:color w:val="000000"/>
                <w:sz w:val="14"/>
                <w:szCs w:val="14"/>
              </w:rPr>
              <w:t>Investing in manufacturing and</w:t>
            </w:r>
            <w:r w:rsidR="0046477B" w:rsidRPr="002D2F67">
              <w:rPr>
                <w:rFonts w:ascii="Arial" w:hAnsi="Arial" w:cs="Arial"/>
                <w:color w:val="000000"/>
                <w:sz w:val="14"/>
                <w:szCs w:val="14"/>
              </w:rPr>
              <w:t xml:space="preserve"> </w:t>
            </w:r>
            <w:r w:rsidRPr="002D2F67">
              <w:rPr>
                <w:rFonts w:ascii="Arial" w:hAnsi="Arial" w:cs="Arial"/>
                <w:color w:val="000000"/>
                <w:sz w:val="14"/>
                <w:szCs w:val="14"/>
              </w:rPr>
              <w:t xml:space="preserve">distributing electricity </w:t>
            </w:r>
          </w:p>
        </w:tc>
        <w:tc>
          <w:tcPr>
            <w:tcW w:w="1151" w:type="dxa"/>
            <w:shd w:val="clear" w:color="auto" w:fill="auto"/>
          </w:tcPr>
          <w:p w14:paraId="7013E0DD" w14:textId="737F3A60"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45A681EF" w14:textId="43B8DEF4"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1FD38D36" w14:textId="03BE4E1F" w:rsidR="00047C52" w:rsidRPr="002D2F67" w:rsidRDefault="00047C52" w:rsidP="00CC0816">
            <w:pPr>
              <w:ind w:right="-73"/>
              <w:jc w:val="right"/>
              <w:rPr>
                <w:rFonts w:ascii="Arial" w:hAnsi="Arial" w:cs="Arial"/>
                <w:color w:val="000000"/>
                <w:sz w:val="14"/>
                <w:szCs w:val="14"/>
              </w:rPr>
            </w:pPr>
            <w:r w:rsidRPr="002D2F67">
              <w:rPr>
                <w:rFonts w:ascii="Arial" w:hAnsi="Arial" w:cs="Arial"/>
                <w:color w:val="000000"/>
                <w:sz w:val="14"/>
                <w:szCs w:val="14"/>
              </w:rPr>
              <w:t>-</w:t>
            </w:r>
          </w:p>
        </w:tc>
        <w:tc>
          <w:tcPr>
            <w:tcW w:w="1152" w:type="dxa"/>
            <w:shd w:val="clear" w:color="auto" w:fill="auto"/>
          </w:tcPr>
          <w:p w14:paraId="11DD0CDD" w14:textId="0A2BAB79" w:rsidR="00047C52" w:rsidRPr="002D2F67" w:rsidRDefault="00047C52" w:rsidP="00CC0816">
            <w:pPr>
              <w:ind w:right="-73"/>
              <w:jc w:val="right"/>
              <w:rPr>
                <w:rFonts w:ascii="Arial" w:hAnsi="Arial" w:cs="Arial"/>
                <w:color w:val="000000"/>
                <w:sz w:val="14"/>
                <w:szCs w:val="14"/>
              </w:rPr>
            </w:pPr>
            <w:r w:rsidRPr="002D2F67">
              <w:rPr>
                <w:rFonts w:ascii="Arial" w:hAnsi="Arial" w:cs="Arial"/>
                <w:color w:val="000000"/>
                <w:sz w:val="14"/>
                <w:szCs w:val="14"/>
              </w:rPr>
              <w:t>-</w:t>
            </w:r>
          </w:p>
        </w:tc>
        <w:tc>
          <w:tcPr>
            <w:tcW w:w="1152" w:type="dxa"/>
            <w:shd w:val="clear" w:color="auto" w:fill="auto"/>
          </w:tcPr>
          <w:p w14:paraId="68432F42" w14:textId="33D73827" w:rsidR="00047C52" w:rsidRPr="002D2F67" w:rsidRDefault="00047C52" w:rsidP="00CC0816">
            <w:pPr>
              <w:ind w:right="-73"/>
              <w:jc w:val="right"/>
              <w:rPr>
                <w:rFonts w:ascii="Arial" w:hAnsi="Arial" w:cs="Arial"/>
                <w:color w:val="000000"/>
                <w:sz w:val="14"/>
                <w:szCs w:val="14"/>
              </w:rPr>
            </w:pPr>
            <w:r w:rsidRPr="002D2F67">
              <w:rPr>
                <w:rFonts w:ascii="Arial" w:hAnsi="Arial" w:cs="Arial"/>
                <w:color w:val="000000"/>
                <w:sz w:val="14"/>
                <w:szCs w:val="14"/>
              </w:rPr>
              <w:t>-</w:t>
            </w:r>
          </w:p>
        </w:tc>
        <w:tc>
          <w:tcPr>
            <w:tcW w:w="1135" w:type="dxa"/>
            <w:shd w:val="clear" w:color="auto" w:fill="auto"/>
          </w:tcPr>
          <w:p w14:paraId="7478E0EC" w14:textId="0EE06B08" w:rsidR="00047C52" w:rsidRPr="002D2F67" w:rsidRDefault="00047C52" w:rsidP="00CC0816">
            <w:pPr>
              <w:ind w:right="-73"/>
              <w:jc w:val="right"/>
              <w:rPr>
                <w:rFonts w:ascii="Arial" w:hAnsi="Arial" w:cs="Arial"/>
                <w:color w:val="000000"/>
                <w:sz w:val="14"/>
                <w:szCs w:val="14"/>
              </w:rPr>
            </w:pPr>
            <w:r w:rsidRPr="002D2F67">
              <w:rPr>
                <w:rFonts w:ascii="Arial" w:hAnsi="Arial" w:cs="Arial"/>
                <w:color w:val="000000"/>
                <w:sz w:val="14"/>
                <w:szCs w:val="14"/>
              </w:rPr>
              <w:t>-</w:t>
            </w:r>
          </w:p>
        </w:tc>
      </w:tr>
      <w:tr w:rsidR="00047C52" w:rsidRPr="002D2F67" w14:paraId="74F16456" w14:textId="77777777" w:rsidTr="004F4DED">
        <w:trPr>
          <w:cantSplit/>
          <w:trHeight w:val="142"/>
        </w:trPr>
        <w:tc>
          <w:tcPr>
            <w:tcW w:w="3480" w:type="dxa"/>
            <w:shd w:val="clear" w:color="auto" w:fill="auto"/>
          </w:tcPr>
          <w:p w14:paraId="78ECBC89" w14:textId="77777777" w:rsidR="00047C52" w:rsidRPr="002D2F67" w:rsidRDefault="00047C52" w:rsidP="00CC0816">
            <w:pPr>
              <w:ind w:left="148" w:right="-208"/>
              <w:rPr>
                <w:rFonts w:ascii="Arial" w:hAnsi="Arial" w:cs="Arial"/>
                <w:color w:val="000000"/>
                <w:sz w:val="14"/>
                <w:szCs w:val="14"/>
              </w:rPr>
            </w:pPr>
            <w:r w:rsidRPr="002D2F67">
              <w:rPr>
                <w:rFonts w:ascii="Arial" w:hAnsi="Arial" w:cs="Arial"/>
                <w:color w:val="000000"/>
                <w:sz w:val="14"/>
                <w:szCs w:val="14"/>
              </w:rPr>
              <w:t>EA Solar Phitsanulok Co., Ltd.</w:t>
            </w:r>
          </w:p>
        </w:tc>
        <w:tc>
          <w:tcPr>
            <w:tcW w:w="4174" w:type="dxa"/>
            <w:shd w:val="clear" w:color="auto" w:fill="auto"/>
          </w:tcPr>
          <w:p w14:paraId="2D09D326" w14:textId="3A380B3A" w:rsidR="00047C52" w:rsidRPr="002D2F67" w:rsidRDefault="00047C52" w:rsidP="00CC0816">
            <w:pPr>
              <w:tabs>
                <w:tab w:val="left" w:pos="-3402"/>
                <w:tab w:val="left" w:pos="-3261"/>
                <w:tab w:val="left" w:pos="-3119"/>
              </w:tabs>
              <w:ind w:left="-29"/>
              <w:rPr>
                <w:rFonts w:ascii="Arial" w:hAnsi="Arial" w:cs="Arial"/>
                <w:color w:val="000000"/>
                <w:sz w:val="14"/>
                <w:szCs w:val="14"/>
              </w:rPr>
            </w:pPr>
            <w:r w:rsidRPr="002D2F67">
              <w:rPr>
                <w:rFonts w:ascii="Arial" w:hAnsi="Arial" w:cs="Arial"/>
                <w:color w:val="000000"/>
                <w:sz w:val="14"/>
                <w:szCs w:val="14"/>
              </w:rPr>
              <w:t>Manufacturing and distributing electricity</w:t>
            </w:r>
            <w:r w:rsidR="0046477B" w:rsidRPr="002D2F67">
              <w:rPr>
                <w:rFonts w:ascii="Arial" w:hAnsi="Arial" w:cs="Arial"/>
                <w:color w:val="000000"/>
                <w:sz w:val="14"/>
                <w:szCs w:val="14"/>
              </w:rPr>
              <w:t xml:space="preserve"> </w:t>
            </w:r>
            <w:r w:rsidRPr="002D2F67">
              <w:rPr>
                <w:rFonts w:ascii="Arial" w:hAnsi="Arial" w:cs="Arial"/>
                <w:color w:val="000000"/>
                <w:sz w:val="14"/>
                <w:szCs w:val="14"/>
              </w:rPr>
              <w:t>from solar energy</w:t>
            </w:r>
          </w:p>
        </w:tc>
        <w:tc>
          <w:tcPr>
            <w:tcW w:w="1151" w:type="dxa"/>
            <w:shd w:val="clear" w:color="auto" w:fill="auto"/>
          </w:tcPr>
          <w:p w14:paraId="22EC7563" w14:textId="6FE2B51B"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64600AAA" w14:textId="569F7A70"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53860255" w14:textId="36C79BDB" w:rsidR="00047C52" w:rsidRPr="002D2F67" w:rsidRDefault="00047C52" w:rsidP="00CC0816">
            <w:pPr>
              <w:ind w:right="-73"/>
              <w:jc w:val="right"/>
              <w:rPr>
                <w:rFonts w:ascii="Arial" w:hAnsi="Arial" w:cs="Arial"/>
                <w:color w:val="000000"/>
                <w:sz w:val="14"/>
                <w:szCs w:val="14"/>
              </w:rPr>
            </w:pPr>
            <w:r w:rsidRPr="002D2F67">
              <w:rPr>
                <w:rFonts w:ascii="Arial" w:hAnsi="Arial" w:cs="Arial"/>
                <w:color w:val="000000"/>
                <w:sz w:val="14"/>
                <w:szCs w:val="14"/>
              </w:rPr>
              <w:t>-</w:t>
            </w:r>
          </w:p>
        </w:tc>
        <w:tc>
          <w:tcPr>
            <w:tcW w:w="1152" w:type="dxa"/>
            <w:shd w:val="clear" w:color="auto" w:fill="auto"/>
          </w:tcPr>
          <w:p w14:paraId="57146A44" w14:textId="46937B83" w:rsidR="00047C52" w:rsidRPr="002D2F67" w:rsidRDefault="00047C52" w:rsidP="00CC0816">
            <w:pPr>
              <w:ind w:right="-73"/>
              <w:jc w:val="right"/>
              <w:rPr>
                <w:rFonts w:ascii="Arial" w:hAnsi="Arial" w:cs="Arial"/>
                <w:color w:val="000000"/>
                <w:sz w:val="14"/>
                <w:szCs w:val="14"/>
              </w:rPr>
            </w:pPr>
            <w:r w:rsidRPr="002D2F67">
              <w:rPr>
                <w:rFonts w:ascii="Arial" w:hAnsi="Arial" w:cs="Arial"/>
                <w:color w:val="000000"/>
                <w:sz w:val="14"/>
                <w:szCs w:val="14"/>
              </w:rPr>
              <w:t>-</w:t>
            </w:r>
          </w:p>
        </w:tc>
        <w:tc>
          <w:tcPr>
            <w:tcW w:w="1152" w:type="dxa"/>
            <w:shd w:val="clear" w:color="auto" w:fill="auto"/>
          </w:tcPr>
          <w:p w14:paraId="453DA86A" w14:textId="62920DD4" w:rsidR="00047C52" w:rsidRPr="002D2F67" w:rsidRDefault="00047C52" w:rsidP="00CC0816">
            <w:pPr>
              <w:ind w:right="-73"/>
              <w:jc w:val="right"/>
              <w:rPr>
                <w:rFonts w:ascii="Arial" w:hAnsi="Arial" w:cs="Arial"/>
                <w:color w:val="000000"/>
                <w:sz w:val="14"/>
                <w:szCs w:val="14"/>
              </w:rPr>
            </w:pPr>
            <w:r w:rsidRPr="002D2F67">
              <w:rPr>
                <w:rFonts w:ascii="Arial" w:hAnsi="Arial" w:cs="Arial"/>
                <w:color w:val="000000"/>
                <w:sz w:val="14"/>
                <w:szCs w:val="14"/>
              </w:rPr>
              <w:t>-</w:t>
            </w:r>
          </w:p>
        </w:tc>
        <w:tc>
          <w:tcPr>
            <w:tcW w:w="1135" w:type="dxa"/>
            <w:shd w:val="clear" w:color="auto" w:fill="auto"/>
          </w:tcPr>
          <w:p w14:paraId="6972D20E" w14:textId="3519E95D" w:rsidR="00047C52" w:rsidRPr="002D2F67" w:rsidRDefault="00047C52" w:rsidP="00CC0816">
            <w:pPr>
              <w:ind w:right="-73"/>
              <w:jc w:val="right"/>
              <w:rPr>
                <w:rFonts w:ascii="Arial" w:hAnsi="Arial" w:cs="Arial"/>
                <w:color w:val="000000"/>
                <w:sz w:val="14"/>
                <w:szCs w:val="14"/>
              </w:rPr>
            </w:pPr>
            <w:r w:rsidRPr="002D2F67">
              <w:rPr>
                <w:rFonts w:ascii="Arial" w:hAnsi="Arial" w:cs="Arial"/>
                <w:color w:val="000000"/>
                <w:sz w:val="14"/>
                <w:szCs w:val="14"/>
              </w:rPr>
              <w:t>-</w:t>
            </w:r>
          </w:p>
        </w:tc>
      </w:tr>
      <w:tr w:rsidR="00047C52" w:rsidRPr="002D2F67" w14:paraId="40572B47" w14:textId="77777777" w:rsidTr="004F4DED">
        <w:trPr>
          <w:cantSplit/>
          <w:trHeight w:val="346"/>
        </w:trPr>
        <w:tc>
          <w:tcPr>
            <w:tcW w:w="3480" w:type="dxa"/>
            <w:shd w:val="clear" w:color="auto" w:fill="auto"/>
          </w:tcPr>
          <w:p w14:paraId="6BA31DBE" w14:textId="21633441" w:rsidR="00047C52" w:rsidRPr="002D2F67" w:rsidRDefault="00047C52" w:rsidP="00CC0816">
            <w:pPr>
              <w:ind w:left="148" w:right="-208"/>
              <w:rPr>
                <w:rFonts w:ascii="Arial" w:hAnsi="Arial" w:cs="Arial"/>
                <w:color w:val="000000"/>
                <w:sz w:val="14"/>
                <w:szCs w:val="14"/>
              </w:rPr>
            </w:pPr>
            <w:r w:rsidRPr="002D2F67">
              <w:rPr>
                <w:rFonts w:ascii="Arial" w:hAnsi="Arial" w:cs="Arial"/>
                <w:color w:val="000000"/>
                <w:sz w:val="14"/>
                <w:szCs w:val="14"/>
              </w:rPr>
              <w:t xml:space="preserve">EA Wind Hadkanghan </w:t>
            </w:r>
            <w:r w:rsidR="00CD5714" w:rsidRPr="00CD5714">
              <w:rPr>
                <w:rFonts w:ascii="Arial" w:hAnsi="Arial" w:cs="Arial"/>
                <w:color w:val="000000"/>
                <w:sz w:val="14"/>
                <w:szCs w:val="14"/>
                <w:lang w:val="en-GB"/>
              </w:rPr>
              <w:t>2</w:t>
            </w:r>
            <w:r w:rsidRPr="002D2F67">
              <w:rPr>
                <w:rFonts w:ascii="Arial" w:hAnsi="Arial" w:cs="Arial"/>
                <w:color w:val="000000"/>
                <w:sz w:val="14"/>
                <w:szCs w:val="14"/>
              </w:rPr>
              <w:t xml:space="preserve"> Co., Ltd.</w:t>
            </w:r>
          </w:p>
          <w:p w14:paraId="6BB8EE71" w14:textId="77777777" w:rsidR="00047C52" w:rsidRPr="002D2F67" w:rsidRDefault="00047C52" w:rsidP="00CC0816">
            <w:pPr>
              <w:tabs>
                <w:tab w:val="left" w:pos="165"/>
              </w:tabs>
              <w:ind w:left="148" w:right="-208"/>
              <w:rPr>
                <w:rFonts w:ascii="Arial" w:hAnsi="Arial" w:cs="Arial"/>
                <w:color w:val="000000"/>
                <w:sz w:val="14"/>
                <w:szCs w:val="14"/>
              </w:rPr>
            </w:pPr>
          </w:p>
        </w:tc>
        <w:tc>
          <w:tcPr>
            <w:tcW w:w="4174" w:type="dxa"/>
            <w:shd w:val="clear" w:color="auto" w:fill="auto"/>
          </w:tcPr>
          <w:p w14:paraId="6A0421A3" w14:textId="5B185ADD" w:rsidR="00047C52" w:rsidRPr="002D2F67" w:rsidRDefault="00047C52" w:rsidP="00CC0816">
            <w:pPr>
              <w:tabs>
                <w:tab w:val="left" w:pos="-3402"/>
                <w:tab w:val="left" w:pos="-3261"/>
                <w:tab w:val="left" w:pos="-3119"/>
              </w:tabs>
              <w:ind w:left="-29" w:right="-103"/>
              <w:rPr>
                <w:rFonts w:ascii="Arial" w:hAnsi="Arial" w:cs="Arial"/>
                <w:color w:val="000000"/>
                <w:sz w:val="14"/>
                <w:szCs w:val="14"/>
              </w:rPr>
            </w:pPr>
            <w:r w:rsidRPr="002D2F67">
              <w:rPr>
                <w:rFonts w:ascii="Arial" w:hAnsi="Arial" w:cs="Arial"/>
                <w:color w:val="000000"/>
                <w:sz w:val="14"/>
                <w:szCs w:val="14"/>
              </w:rPr>
              <w:t>Manufacturing and distributing electricity</w:t>
            </w:r>
            <w:r w:rsidR="0046477B" w:rsidRPr="002D2F67">
              <w:rPr>
                <w:rFonts w:ascii="Arial" w:hAnsi="Arial" w:cs="Arial"/>
                <w:color w:val="000000"/>
                <w:sz w:val="14"/>
                <w:szCs w:val="14"/>
              </w:rPr>
              <w:t xml:space="preserve"> f</w:t>
            </w:r>
            <w:r w:rsidRPr="002D2F67">
              <w:rPr>
                <w:rFonts w:ascii="Arial" w:hAnsi="Arial" w:cs="Arial"/>
                <w:color w:val="000000"/>
                <w:sz w:val="14"/>
                <w:szCs w:val="14"/>
              </w:rPr>
              <w:t xml:space="preserve">rom wind power </w:t>
            </w:r>
          </w:p>
          <w:p w14:paraId="30A05EF6" w14:textId="63E63C8F" w:rsidR="00047C52" w:rsidRPr="002D2F67" w:rsidRDefault="00ED5D70" w:rsidP="00A43A10">
            <w:pPr>
              <w:tabs>
                <w:tab w:val="left" w:pos="-3402"/>
                <w:tab w:val="left" w:pos="-3261"/>
                <w:tab w:val="left" w:pos="-3119"/>
              </w:tabs>
              <w:ind w:right="-103"/>
              <w:rPr>
                <w:rFonts w:ascii="Arial" w:hAnsi="Arial" w:cs="Arial"/>
                <w:color w:val="000000"/>
                <w:sz w:val="14"/>
                <w:szCs w:val="14"/>
              </w:rPr>
            </w:pPr>
            <w:r w:rsidRPr="002D2F67">
              <w:rPr>
                <w:rFonts w:ascii="Arial" w:hAnsi="Arial" w:cs="Arial"/>
                <w:color w:val="000000"/>
                <w:sz w:val="14"/>
                <w:szCs w:val="14"/>
              </w:rPr>
              <w:t xml:space="preserve">   </w:t>
            </w:r>
            <w:r w:rsidR="00047C52" w:rsidRPr="002D2F67">
              <w:rPr>
                <w:rFonts w:ascii="Arial" w:hAnsi="Arial" w:cs="Arial"/>
                <w:color w:val="000000"/>
                <w:sz w:val="14"/>
                <w:szCs w:val="14"/>
              </w:rPr>
              <w:t>(not commercial operations</w:t>
            </w:r>
            <w:r w:rsidR="00047C52" w:rsidRPr="002D2F67">
              <w:rPr>
                <w:rFonts w:ascii="Arial" w:hAnsi="Arial" w:cs="Arial"/>
                <w:color w:val="000000"/>
                <w:sz w:val="14"/>
                <w:szCs w:val="14"/>
                <w:cs/>
              </w:rPr>
              <w:t xml:space="preserve"> </w:t>
            </w:r>
            <w:r w:rsidR="00047C52" w:rsidRPr="002D2F67">
              <w:rPr>
                <w:rFonts w:ascii="Arial" w:hAnsi="Arial" w:cs="Arial"/>
                <w:color w:val="000000"/>
                <w:sz w:val="14"/>
                <w:szCs w:val="14"/>
              </w:rPr>
              <w:t>yet)</w:t>
            </w:r>
          </w:p>
        </w:tc>
        <w:tc>
          <w:tcPr>
            <w:tcW w:w="1151" w:type="dxa"/>
            <w:shd w:val="clear" w:color="auto" w:fill="auto"/>
          </w:tcPr>
          <w:p w14:paraId="723916BA" w14:textId="3F8C0C0A"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1329C4F9" w14:textId="6EA75BE8"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44765169" w14:textId="22B2FAED" w:rsidR="00047C52" w:rsidRPr="002D2F67" w:rsidRDefault="00047C52" w:rsidP="00CC0816">
            <w:pPr>
              <w:ind w:right="-73"/>
              <w:jc w:val="right"/>
              <w:rPr>
                <w:rFonts w:ascii="Arial" w:hAnsi="Arial" w:cs="Arial"/>
                <w:color w:val="000000"/>
                <w:sz w:val="14"/>
                <w:szCs w:val="14"/>
              </w:rPr>
            </w:pPr>
            <w:r w:rsidRPr="002D2F67">
              <w:rPr>
                <w:rFonts w:ascii="Arial" w:hAnsi="Arial" w:cs="Arial"/>
                <w:color w:val="000000"/>
                <w:sz w:val="14"/>
                <w:szCs w:val="14"/>
              </w:rPr>
              <w:t>-</w:t>
            </w:r>
          </w:p>
        </w:tc>
        <w:tc>
          <w:tcPr>
            <w:tcW w:w="1152" w:type="dxa"/>
            <w:shd w:val="clear" w:color="auto" w:fill="auto"/>
          </w:tcPr>
          <w:p w14:paraId="0A1DF187" w14:textId="18CBC6D0" w:rsidR="00047C52" w:rsidRPr="002D2F67" w:rsidRDefault="00047C52" w:rsidP="00CC0816">
            <w:pPr>
              <w:ind w:right="-73"/>
              <w:jc w:val="right"/>
              <w:rPr>
                <w:rFonts w:ascii="Arial" w:hAnsi="Arial" w:cs="Arial"/>
                <w:color w:val="000000"/>
                <w:sz w:val="14"/>
                <w:szCs w:val="14"/>
              </w:rPr>
            </w:pPr>
            <w:r w:rsidRPr="002D2F67">
              <w:rPr>
                <w:rFonts w:ascii="Arial" w:hAnsi="Arial" w:cs="Arial"/>
                <w:color w:val="000000"/>
                <w:sz w:val="14"/>
                <w:szCs w:val="14"/>
              </w:rPr>
              <w:t>-</w:t>
            </w:r>
          </w:p>
        </w:tc>
        <w:tc>
          <w:tcPr>
            <w:tcW w:w="1152" w:type="dxa"/>
            <w:shd w:val="clear" w:color="auto" w:fill="auto"/>
          </w:tcPr>
          <w:p w14:paraId="39C78D5A" w14:textId="182959CE" w:rsidR="00047C52" w:rsidRPr="002D2F67" w:rsidRDefault="00047C52" w:rsidP="00CC0816">
            <w:pPr>
              <w:ind w:right="-73"/>
              <w:jc w:val="right"/>
              <w:rPr>
                <w:rFonts w:ascii="Arial" w:hAnsi="Arial" w:cs="Arial"/>
                <w:color w:val="000000"/>
                <w:sz w:val="14"/>
                <w:szCs w:val="14"/>
              </w:rPr>
            </w:pPr>
            <w:r w:rsidRPr="002D2F67">
              <w:rPr>
                <w:rFonts w:ascii="Arial" w:hAnsi="Arial" w:cs="Arial"/>
                <w:color w:val="000000"/>
                <w:sz w:val="14"/>
                <w:szCs w:val="14"/>
              </w:rPr>
              <w:t>-</w:t>
            </w:r>
          </w:p>
        </w:tc>
        <w:tc>
          <w:tcPr>
            <w:tcW w:w="1135" w:type="dxa"/>
            <w:shd w:val="clear" w:color="auto" w:fill="auto"/>
          </w:tcPr>
          <w:p w14:paraId="37869036" w14:textId="2141F3D1" w:rsidR="00047C52" w:rsidRPr="002D2F67" w:rsidRDefault="00047C52" w:rsidP="00CC0816">
            <w:pPr>
              <w:ind w:right="-73"/>
              <w:jc w:val="right"/>
              <w:rPr>
                <w:rFonts w:ascii="Arial" w:hAnsi="Arial" w:cs="Arial"/>
                <w:color w:val="000000"/>
                <w:sz w:val="14"/>
                <w:szCs w:val="14"/>
              </w:rPr>
            </w:pPr>
            <w:r w:rsidRPr="002D2F67">
              <w:rPr>
                <w:rFonts w:ascii="Arial" w:hAnsi="Arial" w:cs="Arial"/>
                <w:color w:val="000000"/>
                <w:sz w:val="14"/>
                <w:szCs w:val="14"/>
              </w:rPr>
              <w:t>-</w:t>
            </w:r>
          </w:p>
        </w:tc>
      </w:tr>
      <w:tr w:rsidR="00047C52" w:rsidRPr="002D2F67" w14:paraId="2FCF54AF" w14:textId="77777777" w:rsidTr="004F4DED">
        <w:trPr>
          <w:cantSplit/>
          <w:trHeight w:val="170"/>
        </w:trPr>
        <w:tc>
          <w:tcPr>
            <w:tcW w:w="3480" w:type="dxa"/>
            <w:shd w:val="clear" w:color="auto" w:fill="auto"/>
          </w:tcPr>
          <w:p w14:paraId="638AE319" w14:textId="23EE687E" w:rsidR="00047C52" w:rsidRPr="002D2F67" w:rsidRDefault="00047C52" w:rsidP="003F0770">
            <w:pPr>
              <w:ind w:left="148" w:right="-208"/>
              <w:rPr>
                <w:rFonts w:ascii="Arial" w:hAnsi="Arial" w:cs="Arial"/>
                <w:color w:val="000000"/>
                <w:sz w:val="14"/>
                <w:szCs w:val="14"/>
              </w:rPr>
            </w:pPr>
            <w:r w:rsidRPr="002D2F67">
              <w:rPr>
                <w:rFonts w:ascii="Arial" w:hAnsi="Arial" w:cs="Arial"/>
                <w:color w:val="000000"/>
                <w:sz w:val="14"/>
                <w:szCs w:val="14"/>
              </w:rPr>
              <w:t xml:space="preserve">EA Wind Hadkanghan </w:t>
            </w:r>
            <w:r w:rsidR="00CD5714" w:rsidRPr="00CD5714">
              <w:rPr>
                <w:rFonts w:ascii="Arial" w:hAnsi="Arial" w:cs="Arial"/>
                <w:color w:val="000000"/>
                <w:sz w:val="14"/>
                <w:szCs w:val="14"/>
                <w:lang w:val="en-GB"/>
              </w:rPr>
              <w:t>3</w:t>
            </w:r>
            <w:r w:rsidRPr="002D2F67">
              <w:rPr>
                <w:rFonts w:ascii="Arial" w:hAnsi="Arial" w:cs="Arial"/>
                <w:color w:val="000000"/>
                <w:sz w:val="14"/>
                <w:szCs w:val="14"/>
              </w:rPr>
              <w:t xml:space="preserve"> Co., Ltd.</w:t>
            </w:r>
          </w:p>
        </w:tc>
        <w:tc>
          <w:tcPr>
            <w:tcW w:w="4174" w:type="dxa"/>
            <w:shd w:val="clear" w:color="auto" w:fill="auto"/>
          </w:tcPr>
          <w:p w14:paraId="62372EF1" w14:textId="7C2ED5AD" w:rsidR="00047C52" w:rsidRPr="002D2F67" w:rsidRDefault="00047C52" w:rsidP="00CC0816">
            <w:pPr>
              <w:tabs>
                <w:tab w:val="left" w:pos="-3402"/>
                <w:tab w:val="left" w:pos="-3261"/>
                <w:tab w:val="left" w:pos="-3119"/>
              </w:tabs>
              <w:ind w:left="-29"/>
              <w:rPr>
                <w:rFonts w:ascii="Arial" w:hAnsi="Arial" w:cs="Arial"/>
                <w:color w:val="000000"/>
                <w:sz w:val="14"/>
                <w:szCs w:val="14"/>
              </w:rPr>
            </w:pPr>
            <w:r w:rsidRPr="002D2F67">
              <w:rPr>
                <w:rFonts w:ascii="Arial" w:hAnsi="Arial" w:cs="Arial"/>
                <w:color w:val="000000"/>
                <w:sz w:val="14"/>
                <w:szCs w:val="14"/>
              </w:rPr>
              <w:t>Manufacturing and distributing electricity</w:t>
            </w:r>
            <w:r w:rsidR="0046477B" w:rsidRPr="002D2F67">
              <w:rPr>
                <w:rFonts w:ascii="Arial" w:hAnsi="Arial" w:cs="Arial"/>
                <w:color w:val="000000"/>
                <w:sz w:val="14"/>
                <w:szCs w:val="14"/>
              </w:rPr>
              <w:t xml:space="preserve"> </w:t>
            </w:r>
            <w:r w:rsidRPr="002D2F67">
              <w:rPr>
                <w:rFonts w:ascii="Arial" w:hAnsi="Arial" w:cs="Arial"/>
                <w:color w:val="000000"/>
                <w:sz w:val="14"/>
                <w:szCs w:val="14"/>
              </w:rPr>
              <w:t>from wind power</w:t>
            </w:r>
          </w:p>
        </w:tc>
        <w:tc>
          <w:tcPr>
            <w:tcW w:w="1151" w:type="dxa"/>
            <w:shd w:val="clear" w:color="auto" w:fill="auto"/>
          </w:tcPr>
          <w:p w14:paraId="4A9E9F3B" w14:textId="0F80621F"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424F6D14" w14:textId="430F35B0"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7C187F83" w14:textId="47510BD2" w:rsidR="00047C52" w:rsidRPr="002D2F67" w:rsidRDefault="00047C52" w:rsidP="00CC0816">
            <w:pPr>
              <w:ind w:right="-73"/>
              <w:jc w:val="right"/>
              <w:rPr>
                <w:rFonts w:ascii="Arial" w:hAnsi="Arial" w:cs="Arial"/>
                <w:color w:val="000000"/>
                <w:sz w:val="14"/>
                <w:szCs w:val="14"/>
              </w:rPr>
            </w:pPr>
            <w:r w:rsidRPr="002D2F67">
              <w:rPr>
                <w:rFonts w:ascii="Arial" w:hAnsi="Arial" w:cs="Arial"/>
                <w:color w:val="000000"/>
                <w:sz w:val="14"/>
                <w:szCs w:val="14"/>
              </w:rPr>
              <w:t>-</w:t>
            </w:r>
          </w:p>
        </w:tc>
        <w:tc>
          <w:tcPr>
            <w:tcW w:w="1152" w:type="dxa"/>
            <w:shd w:val="clear" w:color="auto" w:fill="auto"/>
          </w:tcPr>
          <w:p w14:paraId="52E0D055" w14:textId="18182C01" w:rsidR="00047C52" w:rsidRPr="002D2F67" w:rsidRDefault="00047C52" w:rsidP="00CC0816">
            <w:pPr>
              <w:ind w:right="-73"/>
              <w:jc w:val="right"/>
              <w:rPr>
                <w:rFonts w:ascii="Arial" w:hAnsi="Arial" w:cs="Arial"/>
                <w:color w:val="000000"/>
                <w:sz w:val="14"/>
                <w:szCs w:val="14"/>
              </w:rPr>
            </w:pPr>
            <w:r w:rsidRPr="002D2F67">
              <w:rPr>
                <w:rFonts w:ascii="Arial" w:hAnsi="Arial" w:cs="Arial"/>
                <w:color w:val="000000"/>
                <w:sz w:val="14"/>
                <w:szCs w:val="14"/>
              </w:rPr>
              <w:t>-</w:t>
            </w:r>
          </w:p>
        </w:tc>
        <w:tc>
          <w:tcPr>
            <w:tcW w:w="1152" w:type="dxa"/>
            <w:shd w:val="clear" w:color="auto" w:fill="auto"/>
          </w:tcPr>
          <w:p w14:paraId="15A51D94" w14:textId="0566FADF" w:rsidR="00047C52" w:rsidRPr="002D2F67" w:rsidRDefault="00047C52" w:rsidP="00CC0816">
            <w:pPr>
              <w:ind w:right="-73"/>
              <w:jc w:val="right"/>
              <w:rPr>
                <w:rFonts w:ascii="Arial" w:hAnsi="Arial" w:cs="Arial"/>
                <w:color w:val="000000"/>
                <w:sz w:val="14"/>
                <w:szCs w:val="14"/>
              </w:rPr>
            </w:pPr>
            <w:r w:rsidRPr="002D2F67">
              <w:rPr>
                <w:rFonts w:ascii="Arial" w:hAnsi="Arial" w:cs="Arial"/>
                <w:color w:val="000000"/>
                <w:sz w:val="14"/>
                <w:szCs w:val="14"/>
              </w:rPr>
              <w:t>-</w:t>
            </w:r>
          </w:p>
        </w:tc>
        <w:tc>
          <w:tcPr>
            <w:tcW w:w="1135" w:type="dxa"/>
            <w:shd w:val="clear" w:color="auto" w:fill="auto"/>
          </w:tcPr>
          <w:p w14:paraId="7A6C824A" w14:textId="29974878" w:rsidR="00047C52" w:rsidRPr="002D2F67" w:rsidRDefault="00047C52" w:rsidP="00CC0816">
            <w:pPr>
              <w:ind w:right="-73"/>
              <w:jc w:val="right"/>
              <w:rPr>
                <w:rFonts w:ascii="Arial" w:hAnsi="Arial" w:cs="Arial"/>
                <w:color w:val="000000"/>
                <w:sz w:val="14"/>
                <w:szCs w:val="14"/>
              </w:rPr>
            </w:pPr>
            <w:r w:rsidRPr="002D2F67">
              <w:rPr>
                <w:rFonts w:ascii="Arial" w:hAnsi="Arial" w:cs="Arial"/>
                <w:color w:val="000000"/>
                <w:sz w:val="14"/>
                <w:szCs w:val="14"/>
              </w:rPr>
              <w:t>-</w:t>
            </w:r>
          </w:p>
        </w:tc>
      </w:tr>
      <w:tr w:rsidR="00047C52" w:rsidRPr="002D2F67" w14:paraId="57284AE1" w14:textId="77777777" w:rsidTr="004F4DED">
        <w:trPr>
          <w:cantSplit/>
          <w:trHeight w:val="329"/>
        </w:trPr>
        <w:tc>
          <w:tcPr>
            <w:tcW w:w="3480" w:type="dxa"/>
            <w:shd w:val="clear" w:color="auto" w:fill="auto"/>
          </w:tcPr>
          <w:p w14:paraId="75FD003A" w14:textId="3CE66B86" w:rsidR="00047C52" w:rsidRPr="002D2F67" w:rsidRDefault="00047C52" w:rsidP="00CC0816">
            <w:pPr>
              <w:ind w:left="148" w:right="-208"/>
              <w:rPr>
                <w:rFonts w:ascii="Arial" w:hAnsi="Arial" w:cs="Arial"/>
                <w:color w:val="000000"/>
                <w:sz w:val="14"/>
                <w:szCs w:val="14"/>
              </w:rPr>
            </w:pPr>
            <w:r w:rsidRPr="002D2F67">
              <w:rPr>
                <w:rFonts w:ascii="Arial" w:hAnsi="Arial" w:cs="Arial"/>
                <w:color w:val="000000"/>
                <w:sz w:val="14"/>
                <w:szCs w:val="14"/>
              </w:rPr>
              <w:t>EA Solar Lampang Co., Ltd.</w:t>
            </w:r>
          </w:p>
          <w:p w14:paraId="12717075" w14:textId="56D0D12D" w:rsidR="00047C52" w:rsidRPr="002D2F67" w:rsidRDefault="00047C52" w:rsidP="00CC0816">
            <w:pPr>
              <w:ind w:left="148" w:right="-208"/>
              <w:rPr>
                <w:rFonts w:ascii="Arial" w:hAnsi="Arial" w:cs="Arial"/>
                <w:color w:val="000000"/>
                <w:sz w:val="14"/>
                <w:szCs w:val="14"/>
              </w:rPr>
            </w:pPr>
            <w:r w:rsidRPr="002D2F67">
              <w:rPr>
                <w:rFonts w:ascii="Arial" w:hAnsi="Arial" w:cs="Arial"/>
                <w:color w:val="000000"/>
                <w:sz w:val="14"/>
                <w:szCs w:val="14"/>
              </w:rPr>
              <w:t xml:space="preserve">   (in liquidation process)</w:t>
            </w:r>
          </w:p>
        </w:tc>
        <w:tc>
          <w:tcPr>
            <w:tcW w:w="4174" w:type="dxa"/>
            <w:shd w:val="clear" w:color="auto" w:fill="auto"/>
          </w:tcPr>
          <w:p w14:paraId="24F3E863" w14:textId="4DCA7E52" w:rsidR="00047C52" w:rsidRPr="002D2F67" w:rsidRDefault="00047C52" w:rsidP="00CC0816">
            <w:pPr>
              <w:tabs>
                <w:tab w:val="left" w:pos="-3402"/>
                <w:tab w:val="left" w:pos="-3261"/>
                <w:tab w:val="left" w:pos="-3119"/>
              </w:tabs>
              <w:ind w:left="-29"/>
              <w:rPr>
                <w:rFonts w:ascii="Arial" w:hAnsi="Arial" w:cs="Arial"/>
                <w:color w:val="000000"/>
                <w:sz w:val="14"/>
                <w:szCs w:val="14"/>
              </w:rPr>
            </w:pPr>
            <w:r w:rsidRPr="002D2F67">
              <w:rPr>
                <w:rFonts w:ascii="Arial" w:hAnsi="Arial" w:cs="Arial"/>
                <w:color w:val="000000"/>
                <w:sz w:val="14"/>
                <w:szCs w:val="14"/>
              </w:rPr>
              <w:t>Manufacturing and distributing electricity</w:t>
            </w:r>
            <w:r w:rsidR="0046477B" w:rsidRPr="002D2F67">
              <w:rPr>
                <w:rFonts w:ascii="Arial" w:hAnsi="Arial" w:cs="Arial"/>
                <w:color w:val="000000"/>
                <w:sz w:val="14"/>
                <w:szCs w:val="14"/>
              </w:rPr>
              <w:t xml:space="preserve"> </w:t>
            </w:r>
            <w:r w:rsidRPr="002D2F67">
              <w:rPr>
                <w:rFonts w:ascii="Arial" w:hAnsi="Arial" w:cs="Arial"/>
                <w:color w:val="000000"/>
                <w:sz w:val="14"/>
                <w:szCs w:val="14"/>
              </w:rPr>
              <w:t>from solar energy</w:t>
            </w:r>
          </w:p>
        </w:tc>
        <w:tc>
          <w:tcPr>
            <w:tcW w:w="1151" w:type="dxa"/>
            <w:shd w:val="clear" w:color="auto" w:fill="auto"/>
          </w:tcPr>
          <w:p w14:paraId="44DEE5C5" w14:textId="4280DD0A"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362191E8" w14:textId="5900D6A3"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40E734DE" w14:textId="0B3F5A33" w:rsidR="00047C52" w:rsidRPr="002D2F67" w:rsidRDefault="00047C52" w:rsidP="00CC0816">
            <w:pPr>
              <w:ind w:right="-73"/>
              <w:jc w:val="right"/>
              <w:rPr>
                <w:rFonts w:ascii="Arial" w:hAnsi="Arial" w:cs="Arial"/>
                <w:color w:val="000000"/>
                <w:sz w:val="14"/>
                <w:szCs w:val="14"/>
              </w:rPr>
            </w:pPr>
            <w:r w:rsidRPr="002D2F67">
              <w:rPr>
                <w:rFonts w:ascii="Arial" w:hAnsi="Arial" w:cs="Arial"/>
                <w:color w:val="000000"/>
                <w:sz w:val="14"/>
                <w:szCs w:val="14"/>
              </w:rPr>
              <w:t>-</w:t>
            </w:r>
          </w:p>
        </w:tc>
        <w:tc>
          <w:tcPr>
            <w:tcW w:w="1152" w:type="dxa"/>
            <w:shd w:val="clear" w:color="auto" w:fill="auto"/>
          </w:tcPr>
          <w:p w14:paraId="00E3FC59" w14:textId="7B0E000C" w:rsidR="00047C52" w:rsidRPr="002D2F67" w:rsidRDefault="00047C52" w:rsidP="00CC0816">
            <w:pPr>
              <w:ind w:right="-73"/>
              <w:jc w:val="right"/>
              <w:rPr>
                <w:rFonts w:ascii="Arial" w:hAnsi="Arial" w:cs="Arial"/>
                <w:color w:val="000000"/>
                <w:sz w:val="14"/>
                <w:szCs w:val="14"/>
              </w:rPr>
            </w:pPr>
            <w:r w:rsidRPr="002D2F67">
              <w:rPr>
                <w:rFonts w:ascii="Arial" w:hAnsi="Arial" w:cs="Arial"/>
                <w:color w:val="000000"/>
                <w:sz w:val="14"/>
                <w:szCs w:val="14"/>
              </w:rPr>
              <w:t>-</w:t>
            </w:r>
          </w:p>
        </w:tc>
        <w:tc>
          <w:tcPr>
            <w:tcW w:w="1152" w:type="dxa"/>
            <w:shd w:val="clear" w:color="auto" w:fill="auto"/>
          </w:tcPr>
          <w:p w14:paraId="455491B0" w14:textId="5AB2F7FB" w:rsidR="00047C52" w:rsidRPr="002D2F67" w:rsidRDefault="00047C52" w:rsidP="00CC0816">
            <w:pPr>
              <w:ind w:right="-73"/>
              <w:jc w:val="right"/>
              <w:rPr>
                <w:rFonts w:ascii="Arial" w:hAnsi="Arial" w:cs="Arial"/>
                <w:color w:val="000000"/>
                <w:sz w:val="14"/>
                <w:szCs w:val="14"/>
              </w:rPr>
            </w:pPr>
            <w:r w:rsidRPr="002D2F67">
              <w:rPr>
                <w:rFonts w:ascii="Arial" w:hAnsi="Arial" w:cs="Arial"/>
                <w:color w:val="000000"/>
                <w:sz w:val="14"/>
                <w:szCs w:val="14"/>
              </w:rPr>
              <w:t>-</w:t>
            </w:r>
          </w:p>
        </w:tc>
        <w:tc>
          <w:tcPr>
            <w:tcW w:w="1135" w:type="dxa"/>
            <w:shd w:val="clear" w:color="auto" w:fill="auto"/>
          </w:tcPr>
          <w:p w14:paraId="5865DEFC" w14:textId="15CB61DC" w:rsidR="00047C52" w:rsidRPr="002D2F67" w:rsidRDefault="00047C52" w:rsidP="00CC0816">
            <w:pPr>
              <w:ind w:right="-73"/>
              <w:jc w:val="right"/>
              <w:rPr>
                <w:rFonts w:ascii="Arial" w:hAnsi="Arial" w:cs="Arial"/>
                <w:color w:val="000000"/>
                <w:sz w:val="14"/>
                <w:szCs w:val="14"/>
              </w:rPr>
            </w:pPr>
            <w:r w:rsidRPr="002D2F67">
              <w:rPr>
                <w:rFonts w:ascii="Arial" w:hAnsi="Arial" w:cs="Arial"/>
                <w:color w:val="000000"/>
                <w:sz w:val="14"/>
                <w:szCs w:val="14"/>
              </w:rPr>
              <w:t>-</w:t>
            </w:r>
          </w:p>
        </w:tc>
      </w:tr>
      <w:tr w:rsidR="00047C52" w:rsidRPr="002D2F67" w14:paraId="65B2F328" w14:textId="77777777" w:rsidTr="004F4DED">
        <w:trPr>
          <w:cantSplit/>
          <w:trHeight w:val="170"/>
        </w:trPr>
        <w:tc>
          <w:tcPr>
            <w:tcW w:w="3480" w:type="dxa"/>
            <w:shd w:val="clear" w:color="auto" w:fill="auto"/>
          </w:tcPr>
          <w:p w14:paraId="289FE7B9" w14:textId="77777777" w:rsidR="00047C52" w:rsidRPr="002D2F67" w:rsidRDefault="00047C52" w:rsidP="00CC0816">
            <w:pPr>
              <w:ind w:left="148" w:right="-208"/>
              <w:rPr>
                <w:rFonts w:ascii="Arial" w:hAnsi="Arial" w:cs="Arial"/>
                <w:color w:val="000000"/>
                <w:sz w:val="14"/>
                <w:szCs w:val="14"/>
              </w:rPr>
            </w:pPr>
            <w:r w:rsidRPr="002D2F67">
              <w:rPr>
                <w:rFonts w:ascii="Arial" w:hAnsi="Arial" w:cs="Arial"/>
                <w:color w:val="000000"/>
                <w:sz w:val="14"/>
                <w:szCs w:val="14"/>
              </w:rPr>
              <w:t>Nayangklak Development Co., Ltd.</w:t>
            </w:r>
          </w:p>
        </w:tc>
        <w:tc>
          <w:tcPr>
            <w:tcW w:w="4174" w:type="dxa"/>
            <w:shd w:val="clear" w:color="auto" w:fill="auto"/>
          </w:tcPr>
          <w:p w14:paraId="19895DAE" w14:textId="36F671D1" w:rsidR="00047C52" w:rsidRPr="002D2F67" w:rsidRDefault="00047C52" w:rsidP="00CC0816">
            <w:pPr>
              <w:tabs>
                <w:tab w:val="left" w:pos="-3402"/>
                <w:tab w:val="left" w:pos="-3261"/>
                <w:tab w:val="left" w:pos="-3119"/>
              </w:tabs>
              <w:ind w:left="-29" w:right="-166"/>
              <w:rPr>
                <w:rFonts w:ascii="Arial" w:hAnsi="Arial" w:cs="Arial"/>
                <w:color w:val="000000"/>
                <w:sz w:val="14"/>
                <w:szCs w:val="14"/>
              </w:rPr>
            </w:pPr>
            <w:r w:rsidRPr="002D2F67">
              <w:rPr>
                <w:rFonts w:ascii="Arial" w:hAnsi="Arial" w:cs="Arial"/>
                <w:color w:val="000000"/>
                <w:sz w:val="14"/>
                <w:szCs w:val="14"/>
              </w:rPr>
              <w:t>Manufacturing and distributing electricity</w:t>
            </w:r>
            <w:r w:rsidR="0046477B" w:rsidRPr="002D2F67">
              <w:rPr>
                <w:rFonts w:ascii="Arial" w:hAnsi="Arial" w:cs="Arial"/>
                <w:color w:val="000000"/>
                <w:sz w:val="14"/>
                <w:szCs w:val="14"/>
              </w:rPr>
              <w:t xml:space="preserve"> </w:t>
            </w:r>
            <w:r w:rsidRPr="002D2F67">
              <w:rPr>
                <w:rFonts w:ascii="Arial" w:hAnsi="Arial" w:cs="Arial"/>
                <w:color w:val="000000"/>
                <w:sz w:val="14"/>
                <w:szCs w:val="14"/>
              </w:rPr>
              <w:t xml:space="preserve">from wind power </w:t>
            </w:r>
          </w:p>
        </w:tc>
        <w:tc>
          <w:tcPr>
            <w:tcW w:w="1151" w:type="dxa"/>
            <w:shd w:val="clear" w:color="auto" w:fill="auto"/>
          </w:tcPr>
          <w:p w14:paraId="2372BA3E" w14:textId="378848CF"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035F9B18" w14:textId="054C7B0C"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05CD8E89" w14:textId="18740104" w:rsidR="00047C52" w:rsidRPr="002D2F67" w:rsidRDefault="00047C52" w:rsidP="00CC0816">
            <w:pPr>
              <w:ind w:right="-73"/>
              <w:jc w:val="right"/>
              <w:rPr>
                <w:rFonts w:ascii="Arial" w:hAnsi="Arial" w:cs="Arial"/>
                <w:color w:val="000000"/>
                <w:sz w:val="14"/>
                <w:szCs w:val="14"/>
              </w:rPr>
            </w:pPr>
            <w:r w:rsidRPr="002D2F67">
              <w:rPr>
                <w:rFonts w:ascii="Arial" w:hAnsi="Arial" w:cs="Arial"/>
                <w:color w:val="000000"/>
                <w:sz w:val="14"/>
                <w:szCs w:val="14"/>
              </w:rPr>
              <w:t>-</w:t>
            </w:r>
          </w:p>
        </w:tc>
        <w:tc>
          <w:tcPr>
            <w:tcW w:w="1152" w:type="dxa"/>
            <w:shd w:val="clear" w:color="auto" w:fill="auto"/>
          </w:tcPr>
          <w:p w14:paraId="39E1D4B1" w14:textId="30989F4C" w:rsidR="00047C52" w:rsidRPr="002D2F67" w:rsidRDefault="00047C52" w:rsidP="00CC0816">
            <w:pPr>
              <w:ind w:right="-73"/>
              <w:jc w:val="right"/>
              <w:rPr>
                <w:rFonts w:ascii="Arial" w:hAnsi="Arial" w:cs="Arial"/>
                <w:color w:val="000000"/>
                <w:sz w:val="14"/>
                <w:szCs w:val="14"/>
              </w:rPr>
            </w:pPr>
            <w:r w:rsidRPr="002D2F67">
              <w:rPr>
                <w:rFonts w:ascii="Arial" w:hAnsi="Arial" w:cs="Arial"/>
                <w:color w:val="000000"/>
                <w:sz w:val="14"/>
                <w:szCs w:val="14"/>
              </w:rPr>
              <w:t>-</w:t>
            </w:r>
          </w:p>
        </w:tc>
        <w:tc>
          <w:tcPr>
            <w:tcW w:w="1152" w:type="dxa"/>
            <w:shd w:val="clear" w:color="auto" w:fill="auto"/>
          </w:tcPr>
          <w:p w14:paraId="27A9699D" w14:textId="1EE03027" w:rsidR="00047C52" w:rsidRPr="002D2F67" w:rsidRDefault="00047C52" w:rsidP="00CC0816">
            <w:pPr>
              <w:ind w:right="-73"/>
              <w:jc w:val="right"/>
              <w:rPr>
                <w:rFonts w:ascii="Arial" w:hAnsi="Arial" w:cs="Arial"/>
                <w:color w:val="000000"/>
                <w:sz w:val="14"/>
                <w:szCs w:val="14"/>
              </w:rPr>
            </w:pPr>
            <w:r w:rsidRPr="002D2F67">
              <w:rPr>
                <w:rFonts w:ascii="Arial" w:hAnsi="Arial" w:cs="Arial"/>
                <w:color w:val="000000"/>
                <w:sz w:val="14"/>
                <w:szCs w:val="14"/>
              </w:rPr>
              <w:t>-</w:t>
            </w:r>
          </w:p>
        </w:tc>
        <w:tc>
          <w:tcPr>
            <w:tcW w:w="1135" w:type="dxa"/>
            <w:shd w:val="clear" w:color="auto" w:fill="auto"/>
          </w:tcPr>
          <w:p w14:paraId="29456150" w14:textId="7762A7DA" w:rsidR="00047C52" w:rsidRPr="002D2F67" w:rsidRDefault="00047C52" w:rsidP="00CC0816">
            <w:pPr>
              <w:ind w:right="-73"/>
              <w:jc w:val="right"/>
              <w:rPr>
                <w:rFonts w:ascii="Arial" w:hAnsi="Arial" w:cs="Arial"/>
                <w:color w:val="000000"/>
                <w:sz w:val="14"/>
                <w:szCs w:val="14"/>
              </w:rPr>
            </w:pPr>
            <w:r w:rsidRPr="002D2F67">
              <w:rPr>
                <w:rFonts w:ascii="Arial" w:hAnsi="Arial" w:cs="Arial"/>
                <w:color w:val="000000"/>
                <w:sz w:val="14"/>
                <w:szCs w:val="14"/>
              </w:rPr>
              <w:t>-</w:t>
            </w:r>
          </w:p>
        </w:tc>
      </w:tr>
      <w:tr w:rsidR="00047C52" w:rsidRPr="002D2F67" w14:paraId="467868EA" w14:textId="77777777" w:rsidTr="004F4DED">
        <w:trPr>
          <w:cantSplit/>
          <w:trHeight w:val="170"/>
        </w:trPr>
        <w:tc>
          <w:tcPr>
            <w:tcW w:w="3480" w:type="dxa"/>
            <w:shd w:val="clear" w:color="auto" w:fill="auto"/>
          </w:tcPr>
          <w:p w14:paraId="1D272F1C" w14:textId="77777777" w:rsidR="00047C52" w:rsidRPr="002D2F67" w:rsidRDefault="00047C52" w:rsidP="00CC0816">
            <w:pPr>
              <w:ind w:left="148" w:right="-208"/>
              <w:rPr>
                <w:rFonts w:ascii="Arial" w:hAnsi="Arial" w:cs="Arial"/>
                <w:color w:val="000000"/>
                <w:sz w:val="14"/>
                <w:szCs w:val="14"/>
              </w:rPr>
            </w:pPr>
            <w:r w:rsidRPr="002D2F67">
              <w:rPr>
                <w:rFonts w:ascii="Arial" w:hAnsi="Arial" w:cs="Arial"/>
                <w:color w:val="000000"/>
                <w:sz w:val="14"/>
                <w:szCs w:val="14"/>
              </w:rPr>
              <w:t>Nayangklak Wind Power Co., Ltd.</w:t>
            </w:r>
          </w:p>
        </w:tc>
        <w:tc>
          <w:tcPr>
            <w:tcW w:w="4174" w:type="dxa"/>
            <w:shd w:val="clear" w:color="auto" w:fill="auto"/>
          </w:tcPr>
          <w:p w14:paraId="0346F607" w14:textId="4166BBD7" w:rsidR="00047C52" w:rsidRPr="002D2F67" w:rsidRDefault="00047C52" w:rsidP="00CC0816">
            <w:pPr>
              <w:tabs>
                <w:tab w:val="left" w:pos="-3402"/>
                <w:tab w:val="left" w:pos="-3261"/>
                <w:tab w:val="left" w:pos="-3119"/>
              </w:tabs>
              <w:ind w:left="-29" w:right="-76"/>
              <w:rPr>
                <w:rFonts w:ascii="Arial" w:hAnsi="Arial" w:cs="Arial"/>
                <w:color w:val="000000"/>
                <w:sz w:val="14"/>
                <w:szCs w:val="14"/>
              </w:rPr>
            </w:pPr>
            <w:r w:rsidRPr="002D2F67">
              <w:rPr>
                <w:rFonts w:ascii="Arial" w:hAnsi="Arial" w:cs="Arial"/>
                <w:color w:val="000000"/>
                <w:sz w:val="14"/>
                <w:szCs w:val="14"/>
              </w:rPr>
              <w:t>Manufacturing and distributing electricity</w:t>
            </w:r>
            <w:r w:rsidR="00E36631" w:rsidRPr="002D2F67">
              <w:rPr>
                <w:rFonts w:ascii="Arial" w:hAnsi="Arial" w:cs="Arial"/>
                <w:color w:val="000000"/>
                <w:sz w:val="14"/>
                <w:szCs w:val="14"/>
              </w:rPr>
              <w:t xml:space="preserve"> </w:t>
            </w:r>
            <w:r w:rsidRPr="002D2F67">
              <w:rPr>
                <w:rFonts w:ascii="Arial" w:hAnsi="Arial" w:cs="Arial"/>
                <w:color w:val="000000"/>
                <w:sz w:val="14"/>
                <w:szCs w:val="14"/>
              </w:rPr>
              <w:t>from wind power</w:t>
            </w:r>
          </w:p>
        </w:tc>
        <w:tc>
          <w:tcPr>
            <w:tcW w:w="1151" w:type="dxa"/>
            <w:shd w:val="clear" w:color="auto" w:fill="auto"/>
          </w:tcPr>
          <w:p w14:paraId="1E34E6C0" w14:textId="61395F8A"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6E851E9A" w14:textId="7D8F9108"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03F3E566" w14:textId="3557A98E"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52" w:type="dxa"/>
            <w:shd w:val="clear" w:color="auto" w:fill="auto"/>
          </w:tcPr>
          <w:p w14:paraId="3EB41973" w14:textId="70E13F6F"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152" w:type="dxa"/>
            <w:shd w:val="clear" w:color="auto" w:fill="auto"/>
          </w:tcPr>
          <w:p w14:paraId="1E412EBD" w14:textId="19A40516"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35" w:type="dxa"/>
            <w:shd w:val="clear" w:color="auto" w:fill="auto"/>
          </w:tcPr>
          <w:p w14:paraId="45AAD9F5" w14:textId="13C61663"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lang w:bidi="th-TH"/>
              </w:rPr>
              <w:t>-</w:t>
            </w:r>
          </w:p>
        </w:tc>
      </w:tr>
      <w:tr w:rsidR="00047C52" w:rsidRPr="002D2F67" w14:paraId="22CF0694" w14:textId="77777777" w:rsidTr="004F4DED">
        <w:trPr>
          <w:cantSplit/>
          <w:trHeight w:val="170"/>
        </w:trPr>
        <w:tc>
          <w:tcPr>
            <w:tcW w:w="3480" w:type="dxa"/>
            <w:shd w:val="clear" w:color="auto" w:fill="auto"/>
          </w:tcPr>
          <w:p w14:paraId="145DBBD7" w14:textId="77777777" w:rsidR="00047C52" w:rsidRPr="002D2F67" w:rsidRDefault="00047C52" w:rsidP="00CC0816">
            <w:pPr>
              <w:ind w:left="148" w:right="-208"/>
              <w:rPr>
                <w:rFonts w:ascii="Arial" w:hAnsi="Arial" w:cs="Arial"/>
                <w:color w:val="000000"/>
                <w:sz w:val="14"/>
                <w:szCs w:val="14"/>
              </w:rPr>
            </w:pPr>
            <w:r w:rsidRPr="002D2F67">
              <w:rPr>
                <w:rFonts w:ascii="Arial" w:hAnsi="Arial" w:cs="Arial"/>
                <w:color w:val="000000"/>
                <w:sz w:val="14"/>
                <w:szCs w:val="14"/>
              </w:rPr>
              <w:t>Benjarat Development Co., Ltd.</w:t>
            </w:r>
          </w:p>
        </w:tc>
        <w:tc>
          <w:tcPr>
            <w:tcW w:w="4174" w:type="dxa"/>
            <w:shd w:val="clear" w:color="auto" w:fill="auto"/>
          </w:tcPr>
          <w:p w14:paraId="6AFBF0FC" w14:textId="67E5CB82" w:rsidR="00047C52" w:rsidRPr="002D2F67" w:rsidRDefault="00047C52" w:rsidP="00CC0816">
            <w:pPr>
              <w:tabs>
                <w:tab w:val="left" w:pos="-3402"/>
                <w:tab w:val="left" w:pos="-3261"/>
                <w:tab w:val="left" w:pos="-3119"/>
              </w:tabs>
              <w:ind w:left="-29" w:right="-76"/>
              <w:rPr>
                <w:rFonts w:ascii="Arial" w:hAnsi="Arial" w:cs="Arial"/>
                <w:color w:val="000000"/>
                <w:sz w:val="14"/>
                <w:szCs w:val="14"/>
              </w:rPr>
            </w:pPr>
            <w:r w:rsidRPr="002D2F67">
              <w:rPr>
                <w:rFonts w:ascii="Arial" w:hAnsi="Arial" w:cs="Arial"/>
                <w:color w:val="000000"/>
                <w:sz w:val="14"/>
                <w:szCs w:val="14"/>
              </w:rPr>
              <w:t>Manufacturing and distributing electricity</w:t>
            </w:r>
            <w:r w:rsidR="00E36631" w:rsidRPr="002D2F67">
              <w:rPr>
                <w:rFonts w:ascii="Arial" w:hAnsi="Arial" w:cs="Arial"/>
                <w:color w:val="000000"/>
                <w:sz w:val="14"/>
                <w:szCs w:val="14"/>
              </w:rPr>
              <w:t xml:space="preserve"> </w:t>
            </w:r>
            <w:r w:rsidRPr="002D2F67">
              <w:rPr>
                <w:rFonts w:ascii="Arial" w:hAnsi="Arial" w:cs="Arial"/>
                <w:color w:val="000000"/>
                <w:sz w:val="14"/>
                <w:szCs w:val="14"/>
              </w:rPr>
              <w:t>from wind power</w:t>
            </w:r>
          </w:p>
        </w:tc>
        <w:tc>
          <w:tcPr>
            <w:tcW w:w="1151" w:type="dxa"/>
            <w:shd w:val="clear" w:color="auto" w:fill="auto"/>
          </w:tcPr>
          <w:p w14:paraId="2ED07502" w14:textId="67B0CC02"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0E25AA91" w14:textId="7C72CA4E"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560D322C" w14:textId="7F1081C7"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52" w:type="dxa"/>
            <w:shd w:val="clear" w:color="auto" w:fill="auto"/>
          </w:tcPr>
          <w:p w14:paraId="534AB659" w14:textId="71F555B3"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152" w:type="dxa"/>
            <w:shd w:val="clear" w:color="auto" w:fill="auto"/>
          </w:tcPr>
          <w:p w14:paraId="7442518A" w14:textId="4463EA51"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35" w:type="dxa"/>
            <w:shd w:val="clear" w:color="auto" w:fill="auto"/>
          </w:tcPr>
          <w:p w14:paraId="2F3F19D7" w14:textId="19026880"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lang w:bidi="th-TH"/>
              </w:rPr>
              <w:t>-</w:t>
            </w:r>
          </w:p>
        </w:tc>
      </w:tr>
      <w:tr w:rsidR="00047C52" w:rsidRPr="002D2F67" w14:paraId="579BF710" w14:textId="77777777" w:rsidTr="004F4DED">
        <w:trPr>
          <w:cantSplit/>
          <w:trHeight w:val="170"/>
        </w:trPr>
        <w:tc>
          <w:tcPr>
            <w:tcW w:w="3480" w:type="dxa"/>
            <w:shd w:val="clear" w:color="auto" w:fill="auto"/>
          </w:tcPr>
          <w:p w14:paraId="7B3C1B74" w14:textId="77777777" w:rsidR="00047C52" w:rsidRPr="002D2F67" w:rsidRDefault="00047C52" w:rsidP="00CC0816">
            <w:pPr>
              <w:ind w:left="148" w:right="-208"/>
              <w:rPr>
                <w:rFonts w:ascii="Arial" w:hAnsi="Arial" w:cs="Arial"/>
                <w:color w:val="000000"/>
                <w:sz w:val="14"/>
                <w:szCs w:val="14"/>
              </w:rPr>
            </w:pPr>
            <w:r w:rsidRPr="002D2F67">
              <w:rPr>
                <w:rFonts w:ascii="Arial" w:hAnsi="Arial" w:cs="Arial"/>
                <w:color w:val="000000"/>
                <w:sz w:val="14"/>
                <w:szCs w:val="14"/>
              </w:rPr>
              <w:t>Pongnok Development Co., Ltd.</w:t>
            </w:r>
          </w:p>
        </w:tc>
        <w:tc>
          <w:tcPr>
            <w:tcW w:w="4174" w:type="dxa"/>
            <w:shd w:val="clear" w:color="auto" w:fill="auto"/>
          </w:tcPr>
          <w:p w14:paraId="4BF61A1D" w14:textId="0542D197" w:rsidR="00047C52" w:rsidRPr="002D2F67" w:rsidRDefault="00047C52" w:rsidP="00CC0816">
            <w:pPr>
              <w:tabs>
                <w:tab w:val="left" w:pos="-3402"/>
                <w:tab w:val="left" w:pos="-3261"/>
                <w:tab w:val="left" w:pos="-3119"/>
                <w:tab w:val="center" w:pos="1067"/>
              </w:tabs>
              <w:ind w:left="-29" w:right="-76"/>
              <w:rPr>
                <w:rFonts w:ascii="Arial" w:hAnsi="Arial" w:cs="Arial"/>
                <w:color w:val="000000"/>
                <w:sz w:val="14"/>
                <w:szCs w:val="14"/>
              </w:rPr>
            </w:pPr>
            <w:r w:rsidRPr="002D2F67">
              <w:rPr>
                <w:rFonts w:ascii="Arial" w:hAnsi="Arial" w:cs="Arial"/>
                <w:color w:val="000000"/>
                <w:sz w:val="14"/>
                <w:szCs w:val="14"/>
              </w:rPr>
              <w:t>Manufacturing and distributing electricity</w:t>
            </w:r>
            <w:r w:rsidR="00E36631" w:rsidRPr="002D2F67">
              <w:rPr>
                <w:rFonts w:ascii="Arial" w:hAnsi="Arial" w:cs="Arial"/>
                <w:color w:val="000000"/>
                <w:sz w:val="14"/>
                <w:szCs w:val="14"/>
              </w:rPr>
              <w:t xml:space="preserve"> </w:t>
            </w:r>
            <w:r w:rsidRPr="002D2F67">
              <w:rPr>
                <w:rFonts w:ascii="Arial" w:hAnsi="Arial" w:cs="Arial"/>
                <w:color w:val="000000"/>
                <w:sz w:val="14"/>
                <w:szCs w:val="14"/>
              </w:rPr>
              <w:t xml:space="preserve">from wind power </w:t>
            </w:r>
          </w:p>
        </w:tc>
        <w:tc>
          <w:tcPr>
            <w:tcW w:w="1151" w:type="dxa"/>
            <w:shd w:val="clear" w:color="auto" w:fill="auto"/>
          </w:tcPr>
          <w:p w14:paraId="63EE3D5A" w14:textId="53CE181B"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45B4835B" w14:textId="1F21A1ED"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392015D9" w14:textId="374F9D4A"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52" w:type="dxa"/>
            <w:shd w:val="clear" w:color="auto" w:fill="auto"/>
          </w:tcPr>
          <w:p w14:paraId="1EF2ECDE" w14:textId="5FF33C9D"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152" w:type="dxa"/>
            <w:shd w:val="clear" w:color="auto" w:fill="auto"/>
          </w:tcPr>
          <w:p w14:paraId="6875BB9D" w14:textId="482110A6"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35" w:type="dxa"/>
            <w:shd w:val="clear" w:color="auto" w:fill="auto"/>
          </w:tcPr>
          <w:p w14:paraId="07AB745E" w14:textId="70D17588"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lang w:bidi="th-TH"/>
              </w:rPr>
              <w:t>-</w:t>
            </w:r>
          </w:p>
        </w:tc>
      </w:tr>
      <w:tr w:rsidR="00047C52" w:rsidRPr="002D2F67" w14:paraId="4139EB4C" w14:textId="77777777" w:rsidTr="004F4DED">
        <w:trPr>
          <w:cantSplit/>
          <w:trHeight w:val="170"/>
        </w:trPr>
        <w:tc>
          <w:tcPr>
            <w:tcW w:w="3480" w:type="dxa"/>
            <w:shd w:val="clear" w:color="auto" w:fill="auto"/>
          </w:tcPr>
          <w:p w14:paraId="15621481" w14:textId="77777777" w:rsidR="00047C52" w:rsidRPr="002D2F67" w:rsidRDefault="00047C52" w:rsidP="00CC0816">
            <w:pPr>
              <w:ind w:left="148" w:right="-208"/>
              <w:rPr>
                <w:rFonts w:ascii="Arial" w:hAnsi="Arial" w:cs="Arial"/>
                <w:color w:val="000000"/>
                <w:sz w:val="14"/>
                <w:szCs w:val="14"/>
              </w:rPr>
            </w:pPr>
            <w:r w:rsidRPr="002D2F67">
              <w:rPr>
                <w:rFonts w:ascii="Arial" w:hAnsi="Arial" w:cs="Arial"/>
                <w:color w:val="000000"/>
                <w:sz w:val="14"/>
                <w:szCs w:val="14"/>
              </w:rPr>
              <w:t>Banchuan Development Co., Ltd.</w:t>
            </w:r>
          </w:p>
        </w:tc>
        <w:tc>
          <w:tcPr>
            <w:tcW w:w="4174" w:type="dxa"/>
            <w:shd w:val="clear" w:color="auto" w:fill="auto"/>
          </w:tcPr>
          <w:p w14:paraId="6EB95DB8" w14:textId="1A35081E" w:rsidR="00047C52" w:rsidRPr="002D2F67" w:rsidRDefault="00047C52" w:rsidP="00CC0816">
            <w:pPr>
              <w:tabs>
                <w:tab w:val="left" w:pos="-3402"/>
                <w:tab w:val="left" w:pos="-3261"/>
                <w:tab w:val="left" w:pos="-3119"/>
              </w:tabs>
              <w:ind w:left="-29" w:right="-76"/>
              <w:rPr>
                <w:rFonts w:ascii="Arial" w:hAnsi="Arial" w:cs="Arial"/>
                <w:color w:val="000000"/>
                <w:sz w:val="14"/>
                <w:szCs w:val="14"/>
              </w:rPr>
            </w:pPr>
            <w:r w:rsidRPr="002D2F67">
              <w:rPr>
                <w:rFonts w:ascii="Arial" w:hAnsi="Arial" w:cs="Arial"/>
                <w:color w:val="000000"/>
                <w:sz w:val="14"/>
                <w:szCs w:val="14"/>
              </w:rPr>
              <w:t>Manufacturing and distributing electricity</w:t>
            </w:r>
            <w:r w:rsidR="00E36631" w:rsidRPr="002D2F67">
              <w:rPr>
                <w:rFonts w:ascii="Arial" w:hAnsi="Arial" w:cs="Arial"/>
                <w:color w:val="000000"/>
                <w:sz w:val="14"/>
                <w:szCs w:val="14"/>
              </w:rPr>
              <w:t xml:space="preserve"> </w:t>
            </w:r>
            <w:r w:rsidRPr="002D2F67">
              <w:rPr>
                <w:rFonts w:ascii="Arial" w:hAnsi="Arial" w:cs="Arial"/>
                <w:color w:val="000000"/>
                <w:sz w:val="14"/>
                <w:szCs w:val="14"/>
              </w:rPr>
              <w:t>from wind power</w:t>
            </w:r>
          </w:p>
        </w:tc>
        <w:tc>
          <w:tcPr>
            <w:tcW w:w="1151" w:type="dxa"/>
            <w:shd w:val="clear" w:color="auto" w:fill="auto"/>
          </w:tcPr>
          <w:p w14:paraId="40532015" w14:textId="5517208A"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5002A41D" w14:textId="602FEF30"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105EC840" w14:textId="0451EC3D"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52" w:type="dxa"/>
            <w:shd w:val="clear" w:color="auto" w:fill="auto"/>
          </w:tcPr>
          <w:p w14:paraId="1F34FF51" w14:textId="6D0D311C"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152" w:type="dxa"/>
            <w:shd w:val="clear" w:color="auto" w:fill="auto"/>
          </w:tcPr>
          <w:p w14:paraId="4F338584" w14:textId="3788875F"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35" w:type="dxa"/>
            <w:shd w:val="clear" w:color="auto" w:fill="auto"/>
          </w:tcPr>
          <w:p w14:paraId="0695F08C" w14:textId="2CC8A54C"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lang w:bidi="th-TH"/>
              </w:rPr>
              <w:t>-</w:t>
            </w:r>
          </w:p>
        </w:tc>
      </w:tr>
      <w:tr w:rsidR="00047C52" w:rsidRPr="002D2F67" w14:paraId="37FD0B8A" w14:textId="77777777" w:rsidTr="004F4DED">
        <w:trPr>
          <w:cantSplit/>
          <w:trHeight w:val="170"/>
        </w:trPr>
        <w:tc>
          <w:tcPr>
            <w:tcW w:w="3480" w:type="dxa"/>
            <w:shd w:val="clear" w:color="auto" w:fill="auto"/>
          </w:tcPr>
          <w:p w14:paraId="6604A48A" w14:textId="77777777" w:rsidR="00047C52" w:rsidRPr="002D2F67" w:rsidRDefault="00047C52" w:rsidP="00CC0816">
            <w:pPr>
              <w:ind w:left="148" w:right="-208"/>
              <w:rPr>
                <w:rFonts w:ascii="Arial" w:hAnsi="Arial" w:cs="Arial"/>
                <w:color w:val="000000"/>
                <w:sz w:val="14"/>
                <w:szCs w:val="14"/>
              </w:rPr>
            </w:pPr>
            <w:r w:rsidRPr="002D2F67">
              <w:rPr>
                <w:rFonts w:ascii="Arial" w:hAnsi="Arial" w:cs="Arial"/>
                <w:color w:val="000000"/>
                <w:sz w:val="14"/>
                <w:szCs w:val="14"/>
              </w:rPr>
              <w:t>Paypop Co., Ltd.</w:t>
            </w:r>
          </w:p>
        </w:tc>
        <w:tc>
          <w:tcPr>
            <w:tcW w:w="4174" w:type="dxa"/>
            <w:shd w:val="clear" w:color="auto" w:fill="auto"/>
          </w:tcPr>
          <w:p w14:paraId="5B292B7B" w14:textId="66E87C83" w:rsidR="00047C52" w:rsidRPr="002D2F67" w:rsidRDefault="00047C52" w:rsidP="00E36631">
            <w:pPr>
              <w:tabs>
                <w:tab w:val="left" w:pos="-3402"/>
                <w:tab w:val="left" w:pos="-3261"/>
                <w:tab w:val="left" w:pos="-3119"/>
              </w:tabs>
              <w:ind w:left="-29" w:right="-76"/>
              <w:rPr>
                <w:rFonts w:ascii="Arial" w:hAnsi="Arial" w:cs="Arial"/>
                <w:color w:val="000000"/>
                <w:sz w:val="14"/>
                <w:szCs w:val="17"/>
              </w:rPr>
            </w:pPr>
            <w:r w:rsidRPr="002D2F67">
              <w:rPr>
                <w:rFonts w:ascii="Arial" w:hAnsi="Arial" w:cs="Arial"/>
                <w:color w:val="000000"/>
                <w:sz w:val="14"/>
                <w:szCs w:val="17"/>
              </w:rPr>
              <w:t>Providing service of hire purchase of electric vehicle</w:t>
            </w:r>
          </w:p>
        </w:tc>
        <w:tc>
          <w:tcPr>
            <w:tcW w:w="1151" w:type="dxa"/>
            <w:shd w:val="clear" w:color="auto" w:fill="auto"/>
          </w:tcPr>
          <w:p w14:paraId="20C52970" w14:textId="67B1623C"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46D3795D" w14:textId="2B6EE493"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39E3D028" w14:textId="55E09728"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52" w:type="dxa"/>
            <w:shd w:val="clear" w:color="auto" w:fill="auto"/>
          </w:tcPr>
          <w:p w14:paraId="73B57388" w14:textId="3EB9F19B"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152" w:type="dxa"/>
            <w:shd w:val="clear" w:color="auto" w:fill="auto"/>
          </w:tcPr>
          <w:p w14:paraId="131E22EB" w14:textId="0BBE23E7"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35" w:type="dxa"/>
            <w:shd w:val="clear" w:color="auto" w:fill="auto"/>
          </w:tcPr>
          <w:p w14:paraId="062E4440" w14:textId="396A27A4"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lang w:bidi="th-TH"/>
              </w:rPr>
              <w:t>-</w:t>
            </w:r>
          </w:p>
        </w:tc>
      </w:tr>
      <w:tr w:rsidR="00047C52" w:rsidRPr="002D2F67" w14:paraId="4E3FE2FB" w14:textId="77777777" w:rsidTr="004F4DED">
        <w:trPr>
          <w:cantSplit/>
          <w:trHeight w:val="170"/>
        </w:trPr>
        <w:tc>
          <w:tcPr>
            <w:tcW w:w="3480" w:type="dxa"/>
            <w:shd w:val="clear" w:color="auto" w:fill="auto"/>
          </w:tcPr>
          <w:p w14:paraId="01B08122" w14:textId="77777777" w:rsidR="00047C52" w:rsidRPr="002D2F67" w:rsidRDefault="00047C52" w:rsidP="00CC0816">
            <w:pPr>
              <w:ind w:left="148" w:right="-208"/>
              <w:rPr>
                <w:rFonts w:ascii="Arial" w:hAnsi="Arial" w:cs="Arial"/>
                <w:color w:val="000000"/>
                <w:sz w:val="14"/>
                <w:szCs w:val="14"/>
              </w:rPr>
            </w:pPr>
            <w:r w:rsidRPr="002D2F67">
              <w:rPr>
                <w:rFonts w:ascii="Arial" w:hAnsi="Arial" w:cs="Arial"/>
                <w:color w:val="000000"/>
                <w:sz w:val="14"/>
                <w:szCs w:val="14"/>
              </w:rPr>
              <w:t>Amita Technology (Thailand) Co., Ltd.</w:t>
            </w:r>
          </w:p>
        </w:tc>
        <w:tc>
          <w:tcPr>
            <w:tcW w:w="4174" w:type="dxa"/>
            <w:shd w:val="clear" w:color="auto" w:fill="auto"/>
          </w:tcPr>
          <w:p w14:paraId="6B569A37" w14:textId="1187BB8E" w:rsidR="00047C52" w:rsidRPr="002D2F67" w:rsidRDefault="00047C52" w:rsidP="00CC0816">
            <w:pPr>
              <w:tabs>
                <w:tab w:val="left" w:pos="-3402"/>
                <w:tab w:val="left" w:pos="-3261"/>
                <w:tab w:val="left" w:pos="-3119"/>
              </w:tabs>
              <w:ind w:left="-29" w:right="-76"/>
              <w:rPr>
                <w:rFonts w:ascii="Arial" w:hAnsi="Arial" w:cs="Arial"/>
                <w:color w:val="000000"/>
                <w:sz w:val="14"/>
                <w:szCs w:val="14"/>
              </w:rPr>
            </w:pPr>
            <w:r w:rsidRPr="002D2F67">
              <w:rPr>
                <w:rFonts w:ascii="Arial" w:hAnsi="Arial" w:cs="Arial"/>
                <w:color w:val="000000"/>
                <w:sz w:val="14"/>
                <w:szCs w:val="14"/>
              </w:rPr>
              <w:t xml:space="preserve">Manufacturing and distributing battery </w:t>
            </w:r>
          </w:p>
        </w:tc>
        <w:tc>
          <w:tcPr>
            <w:tcW w:w="1151" w:type="dxa"/>
            <w:shd w:val="clear" w:color="auto" w:fill="auto"/>
          </w:tcPr>
          <w:p w14:paraId="39D18893" w14:textId="2595EB05"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36713F21" w14:textId="2B47A0B9"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318F92A8" w14:textId="2413BFCF"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52" w:type="dxa"/>
            <w:shd w:val="clear" w:color="auto" w:fill="auto"/>
          </w:tcPr>
          <w:p w14:paraId="6BF9FD50" w14:textId="42EB7094"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152" w:type="dxa"/>
            <w:shd w:val="clear" w:color="auto" w:fill="auto"/>
          </w:tcPr>
          <w:p w14:paraId="7077CE6F" w14:textId="187406F9"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35" w:type="dxa"/>
            <w:shd w:val="clear" w:color="auto" w:fill="auto"/>
          </w:tcPr>
          <w:p w14:paraId="3F377993" w14:textId="1319F155"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lang w:bidi="th-TH"/>
              </w:rPr>
              <w:t>-</w:t>
            </w:r>
          </w:p>
        </w:tc>
      </w:tr>
      <w:tr w:rsidR="00047C52" w:rsidRPr="002D2F67" w14:paraId="6476043F" w14:textId="77777777" w:rsidTr="004F4DED">
        <w:trPr>
          <w:cantSplit/>
          <w:trHeight w:val="346"/>
        </w:trPr>
        <w:tc>
          <w:tcPr>
            <w:tcW w:w="3480" w:type="dxa"/>
            <w:shd w:val="clear" w:color="auto" w:fill="auto"/>
          </w:tcPr>
          <w:p w14:paraId="03F38437" w14:textId="77777777" w:rsidR="00047C52" w:rsidRPr="002D2F67" w:rsidRDefault="00047C52" w:rsidP="00CC0816">
            <w:pPr>
              <w:ind w:left="148" w:right="-208"/>
              <w:rPr>
                <w:rFonts w:ascii="Arial" w:hAnsi="Arial" w:cs="Arial"/>
                <w:color w:val="000000"/>
                <w:sz w:val="14"/>
                <w:szCs w:val="14"/>
              </w:rPr>
            </w:pPr>
            <w:r w:rsidRPr="002D2F67">
              <w:rPr>
                <w:rFonts w:ascii="Arial" w:hAnsi="Arial" w:cs="Arial"/>
                <w:color w:val="000000"/>
                <w:sz w:val="14"/>
                <w:szCs w:val="14"/>
              </w:rPr>
              <w:t>EA Station Co., Ltd.</w:t>
            </w:r>
          </w:p>
        </w:tc>
        <w:tc>
          <w:tcPr>
            <w:tcW w:w="4174" w:type="dxa"/>
            <w:shd w:val="clear" w:color="auto" w:fill="auto"/>
          </w:tcPr>
          <w:p w14:paraId="3023DAF8" w14:textId="12AE20C9" w:rsidR="00047C52" w:rsidRPr="002D2F67" w:rsidRDefault="00047C52" w:rsidP="00CC0816">
            <w:pPr>
              <w:tabs>
                <w:tab w:val="left" w:pos="-3402"/>
                <w:tab w:val="left" w:pos="-3261"/>
                <w:tab w:val="left" w:pos="-3119"/>
              </w:tabs>
              <w:ind w:left="-29" w:right="-76"/>
              <w:rPr>
                <w:rFonts w:ascii="Arial" w:hAnsi="Arial" w:cs="Arial"/>
                <w:color w:val="000000"/>
                <w:sz w:val="14"/>
                <w:szCs w:val="14"/>
              </w:rPr>
            </w:pPr>
            <w:r w:rsidRPr="002D2F67">
              <w:rPr>
                <w:rFonts w:ascii="Arial" w:hAnsi="Arial" w:cs="Arial"/>
                <w:color w:val="000000"/>
                <w:sz w:val="14"/>
                <w:szCs w:val="14"/>
              </w:rPr>
              <w:t>Charging station for electricity vehicle</w:t>
            </w:r>
            <w:r w:rsidR="00E36631" w:rsidRPr="002D2F67">
              <w:rPr>
                <w:rFonts w:ascii="Arial" w:hAnsi="Arial" w:cs="Arial"/>
                <w:color w:val="000000"/>
                <w:sz w:val="14"/>
                <w:szCs w:val="14"/>
              </w:rPr>
              <w:br/>
            </w:r>
            <w:r w:rsidR="003E4A85" w:rsidRPr="002D2F67">
              <w:rPr>
                <w:rFonts w:ascii="Arial" w:hAnsi="Arial" w:cs="Arial"/>
                <w:color w:val="000000"/>
                <w:sz w:val="14"/>
                <w:szCs w:val="14"/>
              </w:rPr>
              <w:t xml:space="preserve"> </w:t>
            </w:r>
            <w:r w:rsidR="00ED5D70" w:rsidRPr="002D2F67">
              <w:rPr>
                <w:rFonts w:ascii="Arial" w:hAnsi="Arial" w:cs="Arial"/>
                <w:color w:val="000000"/>
                <w:sz w:val="14"/>
                <w:szCs w:val="14"/>
              </w:rPr>
              <w:t xml:space="preserve"> </w:t>
            </w:r>
            <w:r w:rsidR="003E4A85" w:rsidRPr="002D2F67">
              <w:rPr>
                <w:rFonts w:ascii="Arial" w:hAnsi="Arial" w:cs="Arial"/>
                <w:color w:val="000000"/>
                <w:sz w:val="14"/>
                <w:szCs w:val="14"/>
              </w:rPr>
              <w:t xml:space="preserve"> </w:t>
            </w:r>
            <w:r w:rsidRPr="002D2F67">
              <w:rPr>
                <w:rFonts w:ascii="Arial" w:hAnsi="Arial" w:cs="Arial"/>
                <w:color w:val="000000"/>
                <w:sz w:val="14"/>
                <w:szCs w:val="14"/>
              </w:rPr>
              <w:t>(not commercial operations yet)</w:t>
            </w:r>
          </w:p>
        </w:tc>
        <w:tc>
          <w:tcPr>
            <w:tcW w:w="1151" w:type="dxa"/>
            <w:shd w:val="clear" w:color="auto" w:fill="auto"/>
          </w:tcPr>
          <w:p w14:paraId="1FD74280" w14:textId="1C1B2271"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201EEE8F" w14:textId="1C660625"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5DB2B76B" w14:textId="24B23FB8"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52" w:type="dxa"/>
            <w:shd w:val="clear" w:color="auto" w:fill="auto"/>
          </w:tcPr>
          <w:p w14:paraId="2C336B0D" w14:textId="4B00F496"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152" w:type="dxa"/>
            <w:shd w:val="clear" w:color="auto" w:fill="auto"/>
          </w:tcPr>
          <w:p w14:paraId="4B9E89C5" w14:textId="363C3ED2"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35" w:type="dxa"/>
            <w:shd w:val="clear" w:color="auto" w:fill="auto"/>
          </w:tcPr>
          <w:p w14:paraId="1C181F50" w14:textId="545863DD"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lang w:bidi="th-TH"/>
              </w:rPr>
              <w:t>-</w:t>
            </w:r>
          </w:p>
        </w:tc>
      </w:tr>
      <w:tr w:rsidR="00047C52" w:rsidRPr="002D2F67" w14:paraId="10F77ECB" w14:textId="77777777" w:rsidTr="004F4DED">
        <w:trPr>
          <w:cantSplit/>
          <w:trHeight w:val="170"/>
        </w:trPr>
        <w:tc>
          <w:tcPr>
            <w:tcW w:w="3480" w:type="dxa"/>
            <w:shd w:val="clear" w:color="auto" w:fill="auto"/>
          </w:tcPr>
          <w:p w14:paraId="31002C5B" w14:textId="5AF8C020" w:rsidR="00047C52" w:rsidRPr="002D2F67" w:rsidRDefault="00047C52" w:rsidP="00CC0816">
            <w:pPr>
              <w:ind w:left="148" w:right="-208"/>
              <w:rPr>
                <w:rFonts w:ascii="Arial" w:hAnsi="Arial" w:cs="Arial"/>
                <w:color w:val="000000"/>
                <w:sz w:val="14"/>
                <w:szCs w:val="14"/>
              </w:rPr>
            </w:pPr>
            <w:r w:rsidRPr="002D2F67">
              <w:rPr>
                <w:rFonts w:ascii="Arial" w:hAnsi="Arial" w:cs="Arial"/>
                <w:color w:val="000000"/>
                <w:sz w:val="14"/>
                <w:szCs w:val="14"/>
              </w:rPr>
              <w:t>Larp Pakdee Palm Co., Ltd.</w:t>
            </w:r>
          </w:p>
        </w:tc>
        <w:tc>
          <w:tcPr>
            <w:tcW w:w="4174" w:type="dxa"/>
            <w:shd w:val="clear" w:color="auto" w:fill="auto"/>
          </w:tcPr>
          <w:p w14:paraId="6EB26BC8" w14:textId="77777777" w:rsidR="00047C52" w:rsidRPr="002D2F67" w:rsidRDefault="00047C52" w:rsidP="00CC0816">
            <w:pPr>
              <w:tabs>
                <w:tab w:val="left" w:pos="-3402"/>
                <w:tab w:val="left" w:pos="-3261"/>
                <w:tab w:val="left" w:pos="-3119"/>
              </w:tabs>
              <w:ind w:left="-29" w:right="-76"/>
              <w:rPr>
                <w:rFonts w:ascii="Arial" w:hAnsi="Arial" w:cs="Arial"/>
                <w:color w:val="000000"/>
                <w:sz w:val="14"/>
                <w:szCs w:val="14"/>
              </w:rPr>
            </w:pPr>
            <w:r w:rsidRPr="002D2F67">
              <w:rPr>
                <w:rFonts w:ascii="Arial" w:hAnsi="Arial" w:cs="Arial"/>
                <w:color w:val="000000"/>
                <w:sz w:val="14"/>
                <w:szCs w:val="14"/>
              </w:rPr>
              <w:t>Manufacturing and distributing of crude palm oil</w:t>
            </w:r>
          </w:p>
        </w:tc>
        <w:tc>
          <w:tcPr>
            <w:tcW w:w="1151" w:type="dxa"/>
            <w:shd w:val="clear" w:color="auto" w:fill="auto"/>
          </w:tcPr>
          <w:p w14:paraId="1A87547B" w14:textId="5E8E1932" w:rsidR="00047C52" w:rsidRPr="002D2F67" w:rsidRDefault="00047C52" w:rsidP="00CC0816">
            <w:pPr>
              <w:ind w:left="-122" w:right="-73"/>
              <w:jc w:val="right"/>
              <w:rPr>
                <w:rFonts w:ascii="Arial" w:hAnsi="Arial" w:cs="Arial"/>
                <w:color w:val="000000"/>
                <w:sz w:val="14"/>
                <w:szCs w:val="14"/>
              </w:rPr>
            </w:pPr>
            <w:r w:rsidRPr="002D2F67">
              <w:rPr>
                <w:rFonts w:ascii="Arial" w:hAnsi="Arial" w:cs="Arial"/>
                <w:color w:val="000000"/>
                <w:sz w:val="14"/>
                <w:szCs w:val="14"/>
              </w:rPr>
              <w:t>-</w:t>
            </w:r>
          </w:p>
        </w:tc>
        <w:tc>
          <w:tcPr>
            <w:tcW w:w="1152" w:type="dxa"/>
            <w:shd w:val="clear" w:color="auto" w:fill="auto"/>
          </w:tcPr>
          <w:p w14:paraId="54C0BCC9" w14:textId="6D1B8A82"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84</w:t>
            </w:r>
            <w:r w:rsidR="00047C52" w:rsidRPr="002D2F67">
              <w:rPr>
                <w:rFonts w:ascii="Arial" w:hAnsi="Arial" w:cs="Arial"/>
                <w:color w:val="000000"/>
                <w:sz w:val="14"/>
                <w:szCs w:val="14"/>
              </w:rPr>
              <w:t>.</w:t>
            </w:r>
            <w:r w:rsidRPr="00CD5714">
              <w:rPr>
                <w:rFonts w:ascii="Arial" w:hAnsi="Arial" w:cs="Arial"/>
                <w:color w:val="000000"/>
                <w:sz w:val="14"/>
                <w:szCs w:val="14"/>
                <w:lang w:val="en-GB"/>
              </w:rPr>
              <w:t>50</w:t>
            </w:r>
          </w:p>
        </w:tc>
        <w:tc>
          <w:tcPr>
            <w:tcW w:w="1152" w:type="dxa"/>
            <w:shd w:val="clear" w:color="auto" w:fill="auto"/>
          </w:tcPr>
          <w:p w14:paraId="01175D84" w14:textId="65432F50"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52" w:type="dxa"/>
            <w:shd w:val="clear" w:color="auto" w:fill="auto"/>
          </w:tcPr>
          <w:p w14:paraId="786B330B" w14:textId="2177887A"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152" w:type="dxa"/>
            <w:shd w:val="clear" w:color="auto" w:fill="auto"/>
          </w:tcPr>
          <w:p w14:paraId="43921FA3" w14:textId="4042D941"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35" w:type="dxa"/>
            <w:shd w:val="clear" w:color="auto" w:fill="auto"/>
          </w:tcPr>
          <w:p w14:paraId="57D49225" w14:textId="57A9A930"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lang w:bidi="th-TH"/>
              </w:rPr>
              <w:t>-</w:t>
            </w:r>
          </w:p>
        </w:tc>
      </w:tr>
      <w:tr w:rsidR="00047C52" w:rsidRPr="002D2F67" w14:paraId="2D0C324F" w14:textId="77777777" w:rsidTr="004F4DED">
        <w:trPr>
          <w:cantSplit/>
          <w:trHeight w:val="346"/>
        </w:trPr>
        <w:tc>
          <w:tcPr>
            <w:tcW w:w="3480" w:type="dxa"/>
            <w:shd w:val="clear" w:color="auto" w:fill="auto"/>
          </w:tcPr>
          <w:p w14:paraId="01C7F410" w14:textId="5A5C0C8E" w:rsidR="00047C52" w:rsidRPr="002D2F67" w:rsidRDefault="00047C52" w:rsidP="00CC0816">
            <w:pPr>
              <w:ind w:left="148" w:right="-208"/>
              <w:rPr>
                <w:rFonts w:ascii="Arial" w:hAnsi="Arial" w:cs="Arial"/>
                <w:color w:val="000000"/>
                <w:sz w:val="14"/>
                <w:szCs w:val="14"/>
              </w:rPr>
            </w:pPr>
            <w:r w:rsidRPr="002D2F67">
              <w:rPr>
                <w:rFonts w:ascii="Arial" w:hAnsi="Arial" w:cs="Arial"/>
                <w:color w:val="000000"/>
                <w:sz w:val="14"/>
                <w:szCs w:val="14"/>
              </w:rPr>
              <w:t>Subyai Wind Farm (</w:t>
            </w:r>
            <w:r w:rsidR="00CD5714" w:rsidRPr="00CD5714">
              <w:rPr>
                <w:rFonts w:ascii="Arial" w:hAnsi="Arial" w:cs="Arial"/>
                <w:color w:val="000000"/>
                <w:sz w:val="14"/>
                <w:szCs w:val="14"/>
                <w:lang w:val="en-GB"/>
              </w:rPr>
              <w:t>1</w:t>
            </w:r>
            <w:r w:rsidRPr="002D2F67">
              <w:rPr>
                <w:rFonts w:ascii="Arial" w:hAnsi="Arial" w:cs="Arial"/>
                <w:color w:val="000000"/>
                <w:sz w:val="14"/>
                <w:szCs w:val="14"/>
              </w:rPr>
              <w:t>) Co., Ltd.</w:t>
            </w:r>
          </w:p>
        </w:tc>
        <w:tc>
          <w:tcPr>
            <w:tcW w:w="4174" w:type="dxa"/>
            <w:shd w:val="clear" w:color="auto" w:fill="auto"/>
          </w:tcPr>
          <w:p w14:paraId="3CFF81FB" w14:textId="2739B434" w:rsidR="00047C52" w:rsidRPr="002D2F67" w:rsidRDefault="00047C52" w:rsidP="003E4A85">
            <w:pPr>
              <w:tabs>
                <w:tab w:val="left" w:pos="-3402"/>
                <w:tab w:val="left" w:pos="-3261"/>
                <w:tab w:val="left" w:pos="-3119"/>
              </w:tabs>
              <w:ind w:left="-29" w:right="-76"/>
              <w:rPr>
                <w:rFonts w:ascii="Arial" w:hAnsi="Arial" w:cs="Arial"/>
                <w:color w:val="000000"/>
                <w:sz w:val="14"/>
                <w:szCs w:val="14"/>
              </w:rPr>
            </w:pPr>
            <w:r w:rsidRPr="002D2F67">
              <w:rPr>
                <w:rFonts w:ascii="Arial" w:hAnsi="Arial" w:cs="Arial"/>
                <w:color w:val="000000"/>
                <w:sz w:val="14"/>
                <w:szCs w:val="14"/>
              </w:rPr>
              <w:t xml:space="preserve">Manufacturing and distributing of electricity from wind power </w:t>
            </w:r>
            <w:r w:rsidR="008770C8" w:rsidRPr="002D2F67">
              <w:rPr>
                <w:rFonts w:ascii="Arial" w:hAnsi="Arial" w:cs="Arial"/>
                <w:color w:val="000000"/>
                <w:sz w:val="14"/>
                <w:szCs w:val="14"/>
              </w:rPr>
              <w:br/>
            </w:r>
            <w:r w:rsidR="00A43A10" w:rsidRPr="002D2F67">
              <w:rPr>
                <w:rFonts w:ascii="Arial" w:hAnsi="Arial" w:cs="Arial"/>
                <w:color w:val="000000"/>
                <w:sz w:val="14"/>
                <w:szCs w:val="14"/>
              </w:rPr>
              <w:t xml:space="preserve"> </w:t>
            </w:r>
            <w:r w:rsidR="00B540FF" w:rsidRPr="002D2F67">
              <w:rPr>
                <w:rFonts w:ascii="Arial" w:hAnsi="Arial" w:cs="Arial"/>
                <w:color w:val="000000"/>
                <w:sz w:val="14"/>
                <w:szCs w:val="14"/>
              </w:rPr>
              <w:t xml:space="preserve"> </w:t>
            </w:r>
            <w:r w:rsidR="00A43A10" w:rsidRPr="002D2F67">
              <w:rPr>
                <w:rFonts w:ascii="Arial" w:hAnsi="Arial" w:cs="Arial"/>
                <w:color w:val="000000"/>
                <w:sz w:val="14"/>
                <w:szCs w:val="14"/>
              </w:rPr>
              <w:t xml:space="preserve"> </w:t>
            </w:r>
            <w:r w:rsidRPr="002D2F67">
              <w:rPr>
                <w:rFonts w:ascii="Arial" w:hAnsi="Arial" w:cs="Arial"/>
                <w:color w:val="000000"/>
                <w:sz w:val="14"/>
                <w:szCs w:val="14"/>
              </w:rPr>
              <w:t>(not commercial operations yet)</w:t>
            </w:r>
          </w:p>
        </w:tc>
        <w:tc>
          <w:tcPr>
            <w:tcW w:w="1151" w:type="dxa"/>
            <w:shd w:val="clear" w:color="auto" w:fill="auto"/>
          </w:tcPr>
          <w:p w14:paraId="5307C2AF" w14:textId="1E7A29D8"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6BC487A4" w14:textId="71BD267E"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6D949723" w14:textId="5D7AF61D"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52" w:type="dxa"/>
            <w:shd w:val="clear" w:color="auto" w:fill="auto"/>
          </w:tcPr>
          <w:p w14:paraId="7876FD97" w14:textId="46FE6147"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152" w:type="dxa"/>
            <w:shd w:val="clear" w:color="auto" w:fill="auto"/>
          </w:tcPr>
          <w:p w14:paraId="07EB8F02" w14:textId="5F9559B8"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35" w:type="dxa"/>
            <w:shd w:val="clear" w:color="auto" w:fill="auto"/>
          </w:tcPr>
          <w:p w14:paraId="72D9EAA8" w14:textId="000CF134"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lang w:bidi="th-TH"/>
              </w:rPr>
              <w:t>-</w:t>
            </w:r>
          </w:p>
        </w:tc>
      </w:tr>
      <w:tr w:rsidR="00047C52" w:rsidRPr="002D2F67" w14:paraId="12914425" w14:textId="77777777" w:rsidTr="004F4DED">
        <w:trPr>
          <w:cantSplit/>
          <w:trHeight w:val="57"/>
        </w:trPr>
        <w:tc>
          <w:tcPr>
            <w:tcW w:w="3480" w:type="dxa"/>
            <w:shd w:val="clear" w:color="auto" w:fill="auto"/>
          </w:tcPr>
          <w:p w14:paraId="47F2BD2B" w14:textId="5046CB0B" w:rsidR="00047C52" w:rsidRPr="002D2F67" w:rsidRDefault="00047C52" w:rsidP="00CC0816">
            <w:pPr>
              <w:ind w:left="148" w:right="-208"/>
              <w:rPr>
                <w:rFonts w:ascii="Arial" w:hAnsi="Arial" w:cs="Arial"/>
                <w:color w:val="000000"/>
                <w:sz w:val="14"/>
                <w:szCs w:val="14"/>
              </w:rPr>
            </w:pPr>
            <w:r w:rsidRPr="002D2F67">
              <w:rPr>
                <w:rFonts w:ascii="Arial" w:hAnsi="Arial" w:cs="Arial"/>
                <w:color w:val="000000"/>
                <w:sz w:val="14"/>
                <w:szCs w:val="14"/>
              </w:rPr>
              <w:t>Combine Energy Tech Co., Ltd.</w:t>
            </w:r>
          </w:p>
        </w:tc>
        <w:tc>
          <w:tcPr>
            <w:tcW w:w="4174" w:type="dxa"/>
            <w:shd w:val="clear" w:color="auto" w:fill="auto"/>
          </w:tcPr>
          <w:p w14:paraId="01FDE017" w14:textId="18A86441" w:rsidR="00047C52" w:rsidRPr="002D2F67" w:rsidRDefault="00047C52" w:rsidP="00A43A10">
            <w:pPr>
              <w:tabs>
                <w:tab w:val="left" w:pos="-3402"/>
                <w:tab w:val="left" w:pos="-3261"/>
                <w:tab w:val="left" w:pos="-3119"/>
              </w:tabs>
              <w:ind w:left="-29" w:right="-76"/>
              <w:rPr>
                <w:rFonts w:ascii="Arial" w:hAnsi="Arial" w:cs="Arial"/>
                <w:color w:val="000000"/>
                <w:sz w:val="14"/>
                <w:szCs w:val="14"/>
              </w:rPr>
            </w:pPr>
            <w:r w:rsidRPr="002D2F67">
              <w:rPr>
                <w:rFonts w:ascii="Arial" w:hAnsi="Arial" w:cs="Arial"/>
                <w:color w:val="000000"/>
                <w:sz w:val="14"/>
                <w:szCs w:val="14"/>
              </w:rPr>
              <w:t>Service of shore tank rental and crude palm oil pipeline transport</w:t>
            </w:r>
          </w:p>
        </w:tc>
        <w:tc>
          <w:tcPr>
            <w:tcW w:w="1151" w:type="dxa"/>
            <w:shd w:val="clear" w:color="auto" w:fill="auto"/>
          </w:tcPr>
          <w:p w14:paraId="08E3426F" w14:textId="224E1881"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70</w:t>
            </w:r>
            <w:r w:rsidR="00047C52" w:rsidRPr="002D2F67">
              <w:rPr>
                <w:rFonts w:ascii="Arial" w:hAnsi="Arial" w:cs="Arial"/>
                <w:color w:val="000000"/>
                <w:sz w:val="14"/>
                <w:szCs w:val="14"/>
              </w:rPr>
              <w:t>.</w:t>
            </w:r>
            <w:r w:rsidRPr="00CD5714">
              <w:rPr>
                <w:rFonts w:ascii="Arial" w:hAnsi="Arial" w:cs="Arial"/>
                <w:color w:val="000000"/>
                <w:sz w:val="14"/>
                <w:szCs w:val="14"/>
                <w:lang w:val="en-GB"/>
              </w:rPr>
              <w:t>00</w:t>
            </w:r>
          </w:p>
        </w:tc>
        <w:tc>
          <w:tcPr>
            <w:tcW w:w="1152" w:type="dxa"/>
            <w:shd w:val="clear" w:color="auto" w:fill="auto"/>
          </w:tcPr>
          <w:p w14:paraId="11785F8A" w14:textId="3637B84E"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70</w:t>
            </w:r>
            <w:r w:rsidR="00047C52" w:rsidRPr="002D2F67">
              <w:rPr>
                <w:rFonts w:ascii="Arial" w:hAnsi="Arial" w:cs="Arial"/>
                <w:color w:val="000000"/>
                <w:sz w:val="14"/>
                <w:szCs w:val="14"/>
              </w:rPr>
              <w:t>.</w:t>
            </w:r>
            <w:r w:rsidRPr="00CD5714">
              <w:rPr>
                <w:rFonts w:ascii="Arial" w:hAnsi="Arial" w:cs="Arial"/>
                <w:color w:val="000000"/>
                <w:sz w:val="14"/>
                <w:szCs w:val="14"/>
                <w:lang w:val="en-GB"/>
              </w:rPr>
              <w:t>00</w:t>
            </w:r>
          </w:p>
        </w:tc>
        <w:tc>
          <w:tcPr>
            <w:tcW w:w="1152" w:type="dxa"/>
            <w:shd w:val="clear" w:color="auto" w:fill="auto"/>
          </w:tcPr>
          <w:p w14:paraId="51F5E1FC" w14:textId="51409F82"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52" w:type="dxa"/>
            <w:shd w:val="clear" w:color="auto" w:fill="auto"/>
          </w:tcPr>
          <w:p w14:paraId="60EB6ADE" w14:textId="786982D7"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152" w:type="dxa"/>
            <w:shd w:val="clear" w:color="auto" w:fill="auto"/>
          </w:tcPr>
          <w:p w14:paraId="426FBD2F" w14:textId="7F9FD024"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35" w:type="dxa"/>
            <w:shd w:val="clear" w:color="auto" w:fill="auto"/>
          </w:tcPr>
          <w:p w14:paraId="53B99B8D" w14:textId="26531BBD"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lang w:bidi="th-TH"/>
              </w:rPr>
              <w:t>-</w:t>
            </w:r>
          </w:p>
        </w:tc>
      </w:tr>
      <w:tr w:rsidR="00047C52" w:rsidRPr="002D2F67" w14:paraId="655B9789" w14:textId="77777777" w:rsidTr="004F4DED">
        <w:trPr>
          <w:cantSplit/>
          <w:trHeight w:val="346"/>
        </w:trPr>
        <w:tc>
          <w:tcPr>
            <w:tcW w:w="3480" w:type="dxa"/>
            <w:shd w:val="clear" w:color="auto" w:fill="auto"/>
          </w:tcPr>
          <w:p w14:paraId="69F003B3" w14:textId="77777777" w:rsidR="00047C52" w:rsidRPr="002D2F67" w:rsidRDefault="00047C52" w:rsidP="00CC0816">
            <w:pPr>
              <w:ind w:left="148" w:right="-208"/>
              <w:rPr>
                <w:rFonts w:ascii="Arial" w:hAnsi="Arial" w:cs="Arial"/>
                <w:color w:val="000000"/>
                <w:sz w:val="14"/>
                <w:szCs w:val="14"/>
              </w:rPr>
            </w:pPr>
            <w:r w:rsidRPr="002D2F67">
              <w:rPr>
                <w:rFonts w:ascii="Arial" w:hAnsi="Arial" w:cs="Arial"/>
                <w:color w:val="000000"/>
                <w:sz w:val="14"/>
                <w:szCs w:val="14"/>
              </w:rPr>
              <w:t>Absolute Assembly Co., Ltd.</w:t>
            </w:r>
          </w:p>
        </w:tc>
        <w:tc>
          <w:tcPr>
            <w:tcW w:w="4174" w:type="dxa"/>
            <w:shd w:val="clear" w:color="auto" w:fill="auto"/>
          </w:tcPr>
          <w:p w14:paraId="7B836DE4" w14:textId="6BC2FC5D" w:rsidR="00047C52" w:rsidRPr="002D2F67" w:rsidRDefault="00047C52" w:rsidP="00A43A10">
            <w:pPr>
              <w:tabs>
                <w:tab w:val="left" w:pos="-3402"/>
                <w:tab w:val="left" w:pos="-3261"/>
                <w:tab w:val="left" w:pos="-3119"/>
              </w:tabs>
              <w:ind w:left="-29" w:right="-76"/>
              <w:rPr>
                <w:rFonts w:ascii="Arial" w:hAnsi="Arial" w:cs="Arial"/>
                <w:color w:val="000000"/>
                <w:sz w:val="14"/>
                <w:szCs w:val="14"/>
              </w:rPr>
            </w:pPr>
            <w:r w:rsidRPr="002D2F67">
              <w:rPr>
                <w:rFonts w:ascii="Arial" w:hAnsi="Arial" w:cs="Arial"/>
                <w:color w:val="000000"/>
                <w:sz w:val="14"/>
                <w:szCs w:val="14"/>
              </w:rPr>
              <w:t xml:space="preserve">Manufacturing, assembling, distributing, and providing service </w:t>
            </w:r>
            <w:r w:rsidR="00A43A10" w:rsidRPr="002D2F67">
              <w:rPr>
                <w:rFonts w:ascii="Arial" w:hAnsi="Arial" w:cs="Arial"/>
                <w:color w:val="000000"/>
                <w:sz w:val="14"/>
                <w:szCs w:val="14"/>
              </w:rPr>
              <w:br/>
              <w:t xml:space="preserve">  </w:t>
            </w:r>
            <w:r w:rsidR="00B540FF" w:rsidRPr="002D2F67">
              <w:rPr>
                <w:rFonts w:ascii="Arial" w:hAnsi="Arial" w:cs="Arial"/>
                <w:color w:val="000000"/>
                <w:sz w:val="14"/>
                <w:szCs w:val="14"/>
              </w:rPr>
              <w:t xml:space="preserve"> </w:t>
            </w:r>
            <w:r w:rsidRPr="002D2F67">
              <w:rPr>
                <w:rFonts w:ascii="Arial" w:hAnsi="Arial" w:cs="Arial"/>
                <w:color w:val="000000"/>
                <w:sz w:val="14"/>
                <w:szCs w:val="14"/>
              </w:rPr>
              <w:t>related to electric vehicle</w:t>
            </w:r>
          </w:p>
        </w:tc>
        <w:tc>
          <w:tcPr>
            <w:tcW w:w="1151" w:type="dxa"/>
            <w:shd w:val="clear" w:color="auto" w:fill="auto"/>
          </w:tcPr>
          <w:p w14:paraId="4718F7AE" w14:textId="36D159F0"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54</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23E2B3AA" w14:textId="10780795"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54</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4B135859" w14:textId="37342A6D"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52" w:type="dxa"/>
            <w:shd w:val="clear" w:color="auto" w:fill="auto"/>
          </w:tcPr>
          <w:p w14:paraId="40313522" w14:textId="6897568C"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152" w:type="dxa"/>
            <w:shd w:val="clear" w:color="auto" w:fill="auto"/>
          </w:tcPr>
          <w:p w14:paraId="3AD03B49" w14:textId="3100EF4A"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35" w:type="dxa"/>
            <w:shd w:val="clear" w:color="auto" w:fill="auto"/>
          </w:tcPr>
          <w:p w14:paraId="617F2281" w14:textId="2AAF9336"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lang w:bidi="th-TH"/>
              </w:rPr>
              <w:t>-</w:t>
            </w:r>
          </w:p>
        </w:tc>
      </w:tr>
      <w:tr w:rsidR="00047C52" w:rsidRPr="002D2F67" w14:paraId="4BEAD657" w14:textId="77777777" w:rsidTr="004F4DED">
        <w:trPr>
          <w:cantSplit/>
          <w:trHeight w:val="170"/>
        </w:trPr>
        <w:tc>
          <w:tcPr>
            <w:tcW w:w="3480" w:type="dxa"/>
            <w:shd w:val="clear" w:color="auto" w:fill="auto"/>
          </w:tcPr>
          <w:p w14:paraId="05D15976" w14:textId="55AF6271" w:rsidR="00047C52" w:rsidRPr="002D2F67" w:rsidRDefault="00047C52" w:rsidP="00CC0816">
            <w:pPr>
              <w:ind w:left="148" w:right="-208"/>
              <w:rPr>
                <w:rFonts w:ascii="Arial" w:hAnsi="Arial" w:cs="Arial"/>
                <w:color w:val="000000"/>
                <w:sz w:val="14"/>
                <w:szCs w:val="14"/>
                <w:cs/>
              </w:rPr>
            </w:pPr>
            <w:r w:rsidRPr="002D2F67">
              <w:rPr>
                <w:rFonts w:ascii="Arial" w:hAnsi="Arial" w:cs="Arial"/>
                <w:color w:val="000000"/>
                <w:sz w:val="14"/>
                <w:szCs w:val="14"/>
              </w:rPr>
              <w:t>Kanjanadit Palm Oil Co., Ltd.</w:t>
            </w:r>
          </w:p>
        </w:tc>
        <w:tc>
          <w:tcPr>
            <w:tcW w:w="4174" w:type="dxa"/>
            <w:shd w:val="clear" w:color="auto" w:fill="auto"/>
          </w:tcPr>
          <w:p w14:paraId="4B61AC8E" w14:textId="43A9F4E0" w:rsidR="00047C52" w:rsidRPr="002D2F67" w:rsidRDefault="00047C52" w:rsidP="00CC0816">
            <w:pPr>
              <w:tabs>
                <w:tab w:val="left" w:pos="-3402"/>
                <w:tab w:val="left" w:pos="-3261"/>
                <w:tab w:val="left" w:pos="-3119"/>
              </w:tabs>
              <w:ind w:left="-29" w:right="-76"/>
              <w:rPr>
                <w:rFonts w:ascii="Arial" w:hAnsi="Arial" w:cs="Arial"/>
                <w:color w:val="000000"/>
                <w:sz w:val="14"/>
                <w:szCs w:val="14"/>
              </w:rPr>
            </w:pPr>
            <w:r w:rsidRPr="002D2F67">
              <w:rPr>
                <w:rFonts w:ascii="Arial" w:hAnsi="Arial" w:cs="Arial"/>
                <w:color w:val="000000"/>
                <w:sz w:val="14"/>
                <w:szCs w:val="14"/>
              </w:rPr>
              <w:t>Manufacturing and distributing crude palm oil</w:t>
            </w:r>
          </w:p>
        </w:tc>
        <w:tc>
          <w:tcPr>
            <w:tcW w:w="1151" w:type="dxa"/>
            <w:shd w:val="clear" w:color="auto" w:fill="auto"/>
          </w:tcPr>
          <w:p w14:paraId="08ED7333" w14:textId="02CD51E7"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92</w:t>
            </w:r>
            <w:r w:rsidR="00047C52" w:rsidRPr="002D2F67">
              <w:rPr>
                <w:rFonts w:ascii="Arial" w:hAnsi="Arial" w:cs="Arial"/>
                <w:color w:val="000000"/>
                <w:sz w:val="14"/>
                <w:szCs w:val="14"/>
              </w:rPr>
              <w:t>.</w:t>
            </w:r>
            <w:r w:rsidRPr="00CD5714">
              <w:rPr>
                <w:rFonts w:ascii="Arial" w:hAnsi="Arial" w:cs="Arial"/>
                <w:color w:val="000000"/>
                <w:sz w:val="14"/>
                <w:szCs w:val="14"/>
                <w:lang w:val="en-GB"/>
              </w:rPr>
              <w:t>29</w:t>
            </w:r>
          </w:p>
        </w:tc>
        <w:tc>
          <w:tcPr>
            <w:tcW w:w="1152" w:type="dxa"/>
            <w:shd w:val="clear" w:color="auto" w:fill="auto"/>
          </w:tcPr>
          <w:p w14:paraId="18692048" w14:textId="5760A5BB"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92</w:t>
            </w:r>
            <w:r w:rsidR="00047C52" w:rsidRPr="002D2F67">
              <w:rPr>
                <w:rFonts w:ascii="Arial" w:hAnsi="Arial" w:cs="Arial"/>
                <w:color w:val="000000"/>
                <w:sz w:val="14"/>
                <w:szCs w:val="14"/>
              </w:rPr>
              <w:t>.</w:t>
            </w:r>
            <w:r w:rsidRPr="00CD5714">
              <w:rPr>
                <w:rFonts w:ascii="Arial" w:hAnsi="Arial" w:cs="Arial"/>
                <w:color w:val="000000"/>
                <w:sz w:val="14"/>
                <w:szCs w:val="14"/>
                <w:lang w:val="en-GB"/>
              </w:rPr>
              <w:t>29</w:t>
            </w:r>
          </w:p>
        </w:tc>
        <w:tc>
          <w:tcPr>
            <w:tcW w:w="1152" w:type="dxa"/>
            <w:shd w:val="clear" w:color="auto" w:fill="auto"/>
          </w:tcPr>
          <w:p w14:paraId="140818D7" w14:textId="674C5629"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52" w:type="dxa"/>
            <w:shd w:val="clear" w:color="auto" w:fill="auto"/>
          </w:tcPr>
          <w:p w14:paraId="15ADA9CE" w14:textId="44D2A294"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152" w:type="dxa"/>
            <w:shd w:val="clear" w:color="auto" w:fill="auto"/>
          </w:tcPr>
          <w:p w14:paraId="4257F211" w14:textId="0BE8A741"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35" w:type="dxa"/>
            <w:shd w:val="clear" w:color="auto" w:fill="auto"/>
          </w:tcPr>
          <w:p w14:paraId="42EE52CA" w14:textId="720B42A6"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lang w:bidi="th-TH"/>
              </w:rPr>
              <w:t>-</w:t>
            </w:r>
          </w:p>
        </w:tc>
      </w:tr>
      <w:tr w:rsidR="00047C52" w:rsidRPr="002D2F67" w14:paraId="5CB8B668" w14:textId="77777777" w:rsidTr="004F4DED">
        <w:trPr>
          <w:cantSplit/>
          <w:trHeight w:val="346"/>
        </w:trPr>
        <w:tc>
          <w:tcPr>
            <w:tcW w:w="3480" w:type="dxa"/>
            <w:shd w:val="clear" w:color="auto" w:fill="auto"/>
          </w:tcPr>
          <w:p w14:paraId="334E0E02" w14:textId="77777777" w:rsidR="00047C52" w:rsidRPr="002D2F67" w:rsidRDefault="00047C52" w:rsidP="00CC0816">
            <w:pPr>
              <w:pStyle w:val="acctfourfigures"/>
              <w:tabs>
                <w:tab w:val="clear" w:pos="765"/>
              </w:tabs>
              <w:spacing w:line="240" w:lineRule="auto"/>
              <w:ind w:left="148" w:right="-72"/>
              <w:rPr>
                <w:rFonts w:ascii="Arial" w:hAnsi="Arial" w:cs="Arial"/>
                <w:color w:val="000000"/>
                <w:sz w:val="14"/>
                <w:szCs w:val="14"/>
                <w:lang w:bidi="th-TH"/>
              </w:rPr>
            </w:pPr>
            <w:r w:rsidRPr="002D2F67">
              <w:rPr>
                <w:rFonts w:ascii="Arial" w:hAnsi="Arial" w:cs="Arial"/>
                <w:color w:val="000000"/>
                <w:sz w:val="14"/>
                <w:szCs w:val="14"/>
                <w:lang w:bidi="th-TH"/>
              </w:rPr>
              <w:t>Mine Mobility Corporation Co., Ltd.</w:t>
            </w:r>
          </w:p>
          <w:p w14:paraId="285A24F9" w14:textId="18E20E5F" w:rsidR="00047C52" w:rsidRPr="002D2F67" w:rsidRDefault="00047C52" w:rsidP="00CC0816">
            <w:pPr>
              <w:ind w:left="148" w:right="-208"/>
              <w:rPr>
                <w:rFonts w:ascii="Arial" w:hAnsi="Arial" w:cs="Arial"/>
                <w:color w:val="000000"/>
                <w:sz w:val="14"/>
                <w:szCs w:val="14"/>
              </w:rPr>
            </w:pPr>
          </w:p>
        </w:tc>
        <w:tc>
          <w:tcPr>
            <w:tcW w:w="4174" w:type="dxa"/>
            <w:shd w:val="clear" w:color="auto" w:fill="auto"/>
          </w:tcPr>
          <w:p w14:paraId="25493036" w14:textId="061EBA85" w:rsidR="00047C52" w:rsidRPr="002D2F67" w:rsidRDefault="00047C52" w:rsidP="00CC0816">
            <w:pPr>
              <w:tabs>
                <w:tab w:val="left" w:pos="-3402"/>
                <w:tab w:val="left" w:pos="-3261"/>
                <w:tab w:val="left" w:pos="-3119"/>
              </w:tabs>
              <w:ind w:left="-29" w:right="-23"/>
              <w:rPr>
                <w:rFonts w:ascii="Arial" w:hAnsi="Arial" w:cs="Arial"/>
                <w:color w:val="000000"/>
                <w:spacing w:val="4"/>
                <w:sz w:val="14"/>
                <w:szCs w:val="14"/>
              </w:rPr>
            </w:pPr>
            <w:r w:rsidRPr="002D2F67">
              <w:rPr>
                <w:rFonts w:ascii="Arial" w:hAnsi="Arial" w:cs="Arial"/>
                <w:color w:val="000000"/>
                <w:spacing w:val="4"/>
                <w:sz w:val="14"/>
                <w:szCs w:val="14"/>
              </w:rPr>
              <w:t>Manufacturing and distributing electricity</w:t>
            </w:r>
            <w:r w:rsidR="00ED5D70" w:rsidRPr="002D2F67">
              <w:rPr>
                <w:rFonts w:ascii="Arial" w:hAnsi="Arial" w:cs="Arial"/>
                <w:color w:val="000000"/>
                <w:spacing w:val="4"/>
                <w:sz w:val="14"/>
                <w:szCs w:val="14"/>
              </w:rPr>
              <w:t xml:space="preserve"> </w:t>
            </w:r>
            <w:r w:rsidRPr="002D2F67">
              <w:rPr>
                <w:rFonts w:ascii="Arial" w:hAnsi="Arial" w:cs="Arial"/>
                <w:color w:val="000000"/>
                <w:spacing w:val="4"/>
                <w:sz w:val="14"/>
                <w:szCs w:val="14"/>
              </w:rPr>
              <w:t xml:space="preserve">vehicle </w:t>
            </w:r>
            <w:r w:rsidR="00ED5D70" w:rsidRPr="002D2F67">
              <w:rPr>
                <w:rFonts w:ascii="Arial" w:hAnsi="Arial" w:cs="Arial"/>
                <w:color w:val="000000"/>
                <w:spacing w:val="4"/>
                <w:sz w:val="14"/>
                <w:szCs w:val="14"/>
              </w:rPr>
              <w:br/>
              <w:t xml:space="preserve">   </w:t>
            </w:r>
            <w:r w:rsidRPr="002D2F67">
              <w:rPr>
                <w:rFonts w:ascii="Arial" w:hAnsi="Arial" w:cs="Arial"/>
                <w:color w:val="000000"/>
                <w:spacing w:val="4"/>
                <w:sz w:val="14"/>
                <w:szCs w:val="14"/>
              </w:rPr>
              <w:t>and battery pack</w:t>
            </w:r>
          </w:p>
        </w:tc>
        <w:tc>
          <w:tcPr>
            <w:tcW w:w="1151" w:type="dxa"/>
            <w:shd w:val="clear" w:color="auto" w:fill="auto"/>
          </w:tcPr>
          <w:p w14:paraId="45DFECF7" w14:textId="68A1E2BA"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3A929560" w14:textId="764CE99C"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24794EF5" w14:textId="7692566E"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52" w:type="dxa"/>
            <w:shd w:val="clear" w:color="auto" w:fill="auto"/>
          </w:tcPr>
          <w:p w14:paraId="5CD6C0A1" w14:textId="2027D844"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152" w:type="dxa"/>
            <w:shd w:val="clear" w:color="auto" w:fill="auto"/>
          </w:tcPr>
          <w:p w14:paraId="35A8C019" w14:textId="77651305"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35" w:type="dxa"/>
            <w:shd w:val="clear" w:color="auto" w:fill="auto"/>
          </w:tcPr>
          <w:p w14:paraId="25DE503B" w14:textId="1BD44951" w:rsidR="00047C52" w:rsidRPr="002D2F67" w:rsidRDefault="00047C52" w:rsidP="00CC0816">
            <w:pPr>
              <w:pStyle w:val="acctfourfigures"/>
              <w:tabs>
                <w:tab w:val="clear" w:pos="765"/>
              </w:tabs>
              <w:spacing w:line="240" w:lineRule="auto"/>
              <w:ind w:right="-73"/>
              <w:jc w:val="right"/>
              <w:rPr>
                <w:rFonts w:ascii="Arial" w:hAnsi="Arial" w:cs="Arial"/>
                <w:color w:val="000000"/>
                <w:sz w:val="14"/>
                <w:szCs w:val="14"/>
                <w:lang w:bidi="th-TH"/>
              </w:rPr>
            </w:pPr>
            <w:r w:rsidRPr="002D2F67">
              <w:rPr>
                <w:rFonts w:ascii="Arial" w:hAnsi="Arial" w:cs="Arial"/>
                <w:color w:val="000000"/>
                <w:sz w:val="14"/>
                <w:szCs w:val="14"/>
                <w:lang w:bidi="th-TH"/>
              </w:rPr>
              <w:t>-</w:t>
            </w:r>
          </w:p>
        </w:tc>
      </w:tr>
      <w:tr w:rsidR="00047C52" w:rsidRPr="002D2F67" w14:paraId="231A6010" w14:textId="77777777" w:rsidTr="004F4DED">
        <w:trPr>
          <w:cantSplit/>
          <w:trHeight w:val="346"/>
        </w:trPr>
        <w:tc>
          <w:tcPr>
            <w:tcW w:w="3480" w:type="dxa"/>
            <w:shd w:val="clear" w:color="auto" w:fill="auto"/>
          </w:tcPr>
          <w:p w14:paraId="09D522C5" w14:textId="61907B85" w:rsidR="00047C52" w:rsidRPr="002D2F67" w:rsidRDefault="00047C52" w:rsidP="00CC0816">
            <w:pPr>
              <w:pStyle w:val="acctfourfigures"/>
              <w:tabs>
                <w:tab w:val="clear" w:pos="765"/>
              </w:tabs>
              <w:spacing w:line="240" w:lineRule="auto"/>
              <w:ind w:left="148" w:right="-72"/>
              <w:rPr>
                <w:rFonts w:ascii="Arial" w:hAnsi="Arial" w:cs="Arial"/>
                <w:color w:val="000000"/>
                <w:sz w:val="14"/>
                <w:szCs w:val="14"/>
                <w:lang w:bidi="th-TH"/>
              </w:rPr>
            </w:pPr>
            <w:r w:rsidRPr="002D2F67">
              <w:rPr>
                <w:rFonts w:ascii="Arial" w:hAnsi="Arial" w:cs="Arial"/>
                <w:color w:val="000000"/>
                <w:sz w:val="14"/>
                <w:szCs w:val="14"/>
                <w:lang w:bidi="th-TH"/>
              </w:rPr>
              <w:t xml:space="preserve">Wind Kalasin </w:t>
            </w:r>
            <w:r w:rsidR="00CD5714" w:rsidRPr="00CD5714">
              <w:rPr>
                <w:rFonts w:ascii="Arial" w:hAnsi="Arial" w:cs="Arial"/>
                <w:color w:val="000000"/>
                <w:sz w:val="14"/>
                <w:szCs w:val="14"/>
                <w:lang w:val="en-GB" w:bidi="th-TH"/>
              </w:rPr>
              <w:t>1</w:t>
            </w:r>
            <w:r w:rsidRPr="002D2F67">
              <w:rPr>
                <w:rFonts w:ascii="Arial" w:hAnsi="Arial" w:cs="Arial"/>
                <w:color w:val="000000"/>
                <w:sz w:val="14"/>
                <w:szCs w:val="14"/>
                <w:lang w:bidi="th-TH"/>
              </w:rPr>
              <w:t xml:space="preserve"> Co., Ltd.</w:t>
            </w:r>
          </w:p>
        </w:tc>
        <w:tc>
          <w:tcPr>
            <w:tcW w:w="4174" w:type="dxa"/>
            <w:shd w:val="clear" w:color="auto" w:fill="auto"/>
          </w:tcPr>
          <w:p w14:paraId="41C3CB13" w14:textId="77777777" w:rsidR="00047C52" w:rsidRPr="002D2F67" w:rsidRDefault="00047C52" w:rsidP="00CC0816">
            <w:pPr>
              <w:ind w:left="-29" w:right="-23"/>
              <w:rPr>
                <w:rFonts w:ascii="Arial" w:hAnsi="Arial" w:cs="Arial"/>
                <w:color w:val="000000"/>
                <w:spacing w:val="4"/>
                <w:sz w:val="14"/>
                <w:szCs w:val="14"/>
              </w:rPr>
            </w:pPr>
            <w:r w:rsidRPr="002D2F67">
              <w:rPr>
                <w:rFonts w:ascii="Arial" w:hAnsi="Arial" w:cs="Arial"/>
                <w:color w:val="000000"/>
                <w:spacing w:val="4"/>
                <w:sz w:val="14"/>
                <w:szCs w:val="14"/>
              </w:rPr>
              <w:t xml:space="preserve">Research and development of wind power </w:t>
            </w:r>
          </w:p>
          <w:p w14:paraId="2F9A4FAB" w14:textId="184AAABA" w:rsidR="00047C52" w:rsidRPr="002D2F67" w:rsidRDefault="00047C52" w:rsidP="00CC0816">
            <w:pPr>
              <w:ind w:left="-29" w:right="-23"/>
              <w:rPr>
                <w:rFonts w:ascii="Arial" w:hAnsi="Arial" w:cs="Arial"/>
                <w:color w:val="000000"/>
                <w:spacing w:val="4"/>
                <w:sz w:val="14"/>
                <w:szCs w:val="14"/>
              </w:rPr>
            </w:pPr>
            <w:r w:rsidRPr="002D2F67">
              <w:rPr>
                <w:rFonts w:ascii="Arial" w:hAnsi="Arial" w:cs="Arial"/>
                <w:color w:val="000000"/>
                <w:spacing w:val="4"/>
                <w:sz w:val="14"/>
                <w:szCs w:val="14"/>
              </w:rPr>
              <w:t xml:space="preserve">   plant (not commercial operations yet)</w:t>
            </w:r>
          </w:p>
        </w:tc>
        <w:tc>
          <w:tcPr>
            <w:tcW w:w="1151" w:type="dxa"/>
            <w:shd w:val="clear" w:color="auto" w:fill="auto"/>
          </w:tcPr>
          <w:p w14:paraId="35CA5E7C" w14:textId="053D53B0"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2F977B56" w14:textId="6AF9FCF0"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6163663C" w14:textId="670ABD9C" w:rsidR="00047C52" w:rsidRPr="002D2F67" w:rsidRDefault="00047C52" w:rsidP="00CC0816">
            <w:pPr>
              <w:pStyle w:val="acctfourfigures"/>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52" w:type="dxa"/>
            <w:shd w:val="clear" w:color="auto" w:fill="auto"/>
          </w:tcPr>
          <w:p w14:paraId="3D55FD63" w14:textId="77777777" w:rsidR="00047C52" w:rsidRPr="002D2F67" w:rsidRDefault="00047C52" w:rsidP="00CC0816">
            <w:pPr>
              <w:pStyle w:val="acctfourfigures"/>
              <w:ind w:right="-73"/>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152" w:type="dxa"/>
            <w:shd w:val="clear" w:color="auto" w:fill="auto"/>
          </w:tcPr>
          <w:p w14:paraId="26E6A6E4" w14:textId="7B979FAC" w:rsidR="00047C52" w:rsidRPr="002D2F67" w:rsidRDefault="00047C52" w:rsidP="00CC0816">
            <w:pPr>
              <w:pStyle w:val="acctfourfigures"/>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35" w:type="dxa"/>
            <w:shd w:val="clear" w:color="auto" w:fill="auto"/>
          </w:tcPr>
          <w:p w14:paraId="799D5031" w14:textId="77777777" w:rsidR="00047C52" w:rsidRPr="002D2F67" w:rsidRDefault="00047C52" w:rsidP="00CC0816">
            <w:pPr>
              <w:pStyle w:val="acctfourfigures"/>
              <w:ind w:right="-73"/>
              <w:jc w:val="right"/>
              <w:rPr>
                <w:rFonts w:ascii="Arial" w:hAnsi="Arial" w:cs="Arial"/>
                <w:color w:val="000000"/>
                <w:sz w:val="14"/>
                <w:szCs w:val="14"/>
                <w:lang w:bidi="th-TH"/>
              </w:rPr>
            </w:pPr>
            <w:r w:rsidRPr="002D2F67">
              <w:rPr>
                <w:rFonts w:ascii="Arial" w:hAnsi="Arial" w:cs="Arial"/>
                <w:color w:val="000000"/>
                <w:sz w:val="14"/>
                <w:szCs w:val="14"/>
                <w:lang w:bidi="th-TH"/>
              </w:rPr>
              <w:t>-</w:t>
            </w:r>
          </w:p>
        </w:tc>
      </w:tr>
      <w:tr w:rsidR="00047C52" w:rsidRPr="002D2F67" w14:paraId="12185B91" w14:textId="77777777" w:rsidTr="004F4DED">
        <w:trPr>
          <w:cantSplit/>
          <w:trHeight w:val="346"/>
        </w:trPr>
        <w:tc>
          <w:tcPr>
            <w:tcW w:w="3480" w:type="dxa"/>
            <w:shd w:val="clear" w:color="auto" w:fill="auto"/>
          </w:tcPr>
          <w:p w14:paraId="45E40DD2" w14:textId="17475D96" w:rsidR="00047C52" w:rsidRPr="002D2F67" w:rsidRDefault="00047C52" w:rsidP="00CC0816">
            <w:pPr>
              <w:pStyle w:val="acctfourfigures"/>
              <w:tabs>
                <w:tab w:val="clear" w:pos="765"/>
              </w:tabs>
              <w:spacing w:line="240" w:lineRule="auto"/>
              <w:ind w:left="148" w:right="-72"/>
              <w:rPr>
                <w:rFonts w:ascii="Arial" w:hAnsi="Arial" w:cs="Arial"/>
                <w:color w:val="000000"/>
                <w:sz w:val="14"/>
                <w:szCs w:val="14"/>
                <w:lang w:bidi="th-TH"/>
              </w:rPr>
            </w:pPr>
            <w:r w:rsidRPr="002D2F67">
              <w:rPr>
                <w:rFonts w:ascii="Arial" w:hAnsi="Arial" w:cs="Arial"/>
                <w:color w:val="000000"/>
                <w:sz w:val="14"/>
                <w:szCs w:val="14"/>
                <w:lang w:bidi="th-TH"/>
              </w:rPr>
              <w:t xml:space="preserve">Wind Kalasin </w:t>
            </w:r>
            <w:r w:rsidR="00CD5714" w:rsidRPr="00CD5714">
              <w:rPr>
                <w:rFonts w:ascii="Arial" w:hAnsi="Arial" w:cs="Arial"/>
                <w:color w:val="000000"/>
                <w:sz w:val="14"/>
                <w:szCs w:val="14"/>
                <w:lang w:val="en-GB" w:bidi="th-TH"/>
              </w:rPr>
              <w:t>2</w:t>
            </w:r>
            <w:r w:rsidRPr="002D2F67">
              <w:rPr>
                <w:rFonts w:ascii="Arial" w:hAnsi="Arial" w:cs="Arial"/>
                <w:color w:val="000000"/>
                <w:sz w:val="14"/>
                <w:szCs w:val="14"/>
                <w:lang w:bidi="th-TH"/>
              </w:rPr>
              <w:t xml:space="preserve"> Co., Ltd.</w:t>
            </w:r>
          </w:p>
        </w:tc>
        <w:tc>
          <w:tcPr>
            <w:tcW w:w="4174" w:type="dxa"/>
            <w:shd w:val="clear" w:color="auto" w:fill="auto"/>
          </w:tcPr>
          <w:p w14:paraId="07DC123B" w14:textId="77777777" w:rsidR="00047C52" w:rsidRPr="002D2F67" w:rsidRDefault="00047C52" w:rsidP="00CC0816">
            <w:pPr>
              <w:ind w:left="-29" w:right="-23"/>
              <w:rPr>
                <w:rFonts w:ascii="Arial" w:hAnsi="Arial" w:cs="Arial"/>
                <w:color w:val="000000"/>
                <w:spacing w:val="4"/>
                <w:sz w:val="14"/>
                <w:szCs w:val="14"/>
              </w:rPr>
            </w:pPr>
            <w:r w:rsidRPr="002D2F67">
              <w:rPr>
                <w:rFonts w:ascii="Arial" w:hAnsi="Arial" w:cs="Arial"/>
                <w:color w:val="000000"/>
                <w:spacing w:val="4"/>
                <w:sz w:val="14"/>
                <w:szCs w:val="14"/>
              </w:rPr>
              <w:t xml:space="preserve">Research and development of wind power </w:t>
            </w:r>
          </w:p>
          <w:p w14:paraId="7C724004" w14:textId="1548DB07" w:rsidR="00047C52" w:rsidRPr="002D2F67" w:rsidRDefault="00047C52" w:rsidP="00CC0816">
            <w:pPr>
              <w:ind w:left="-29" w:right="-23"/>
              <w:rPr>
                <w:rFonts w:ascii="Arial" w:hAnsi="Arial" w:cs="Arial"/>
                <w:color w:val="000000"/>
                <w:spacing w:val="4"/>
                <w:sz w:val="14"/>
                <w:szCs w:val="14"/>
              </w:rPr>
            </w:pPr>
            <w:r w:rsidRPr="002D2F67">
              <w:rPr>
                <w:rFonts w:ascii="Arial" w:hAnsi="Arial" w:cs="Arial"/>
                <w:color w:val="000000"/>
                <w:spacing w:val="4"/>
                <w:sz w:val="14"/>
                <w:szCs w:val="14"/>
              </w:rPr>
              <w:t xml:space="preserve">   plant (not commercial operations yet)</w:t>
            </w:r>
          </w:p>
        </w:tc>
        <w:tc>
          <w:tcPr>
            <w:tcW w:w="1151" w:type="dxa"/>
            <w:shd w:val="clear" w:color="auto" w:fill="auto"/>
          </w:tcPr>
          <w:p w14:paraId="3441729F" w14:textId="44A61D87"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4DD6FE93" w14:textId="69BFE206" w:rsidR="00047C52" w:rsidRPr="002D2F67" w:rsidRDefault="00CD5714" w:rsidP="00CC0816">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4BF12BD0" w14:textId="2218E90F" w:rsidR="00047C52" w:rsidRPr="002D2F67" w:rsidRDefault="00047C52" w:rsidP="00CC0816">
            <w:pPr>
              <w:pStyle w:val="acctfourfigures"/>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52" w:type="dxa"/>
            <w:shd w:val="clear" w:color="auto" w:fill="auto"/>
          </w:tcPr>
          <w:p w14:paraId="7E2A9F4E" w14:textId="77777777" w:rsidR="00047C52" w:rsidRPr="002D2F67" w:rsidRDefault="00047C52" w:rsidP="00CC0816">
            <w:pPr>
              <w:pStyle w:val="acctfourfigures"/>
              <w:ind w:right="-73"/>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152" w:type="dxa"/>
            <w:shd w:val="clear" w:color="auto" w:fill="auto"/>
          </w:tcPr>
          <w:p w14:paraId="442E5DE2" w14:textId="02D5893E" w:rsidR="00047C52" w:rsidRPr="002D2F67" w:rsidRDefault="00047C52" w:rsidP="00CC0816">
            <w:pPr>
              <w:pStyle w:val="acctfourfigures"/>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35" w:type="dxa"/>
            <w:shd w:val="clear" w:color="auto" w:fill="auto"/>
          </w:tcPr>
          <w:p w14:paraId="41D48C54" w14:textId="77777777" w:rsidR="00047C52" w:rsidRPr="002D2F67" w:rsidRDefault="00047C52" w:rsidP="00CC0816">
            <w:pPr>
              <w:pStyle w:val="acctfourfigures"/>
              <w:ind w:right="-73"/>
              <w:jc w:val="right"/>
              <w:rPr>
                <w:rFonts w:ascii="Arial" w:hAnsi="Arial" w:cs="Arial"/>
                <w:color w:val="000000"/>
                <w:sz w:val="14"/>
                <w:szCs w:val="14"/>
                <w:lang w:bidi="th-TH"/>
              </w:rPr>
            </w:pPr>
            <w:r w:rsidRPr="002D2F67">
              <w:rPr>
                <w:rFonts w:ascii="Arial" w:hAnsi="Arial" w:cs="Arial"/>
                <w:color w:val="000000"/>
                <w:sz w:val="14"/>
                <w:szCs w:val="14"/>
                <w:lang w:bidi="th-TH"/>
              </w:rPr>
              <w:t>-</w:t>
            </w:r>
          </w:p>
        </w:tc>
      </w:tr>
      <w:tr w:rsidR="00DB4199" w:rsidRPr="002D2F67" w14:paraId="60152A69" w14:textId="77777777" w:rsidTr="004F4DED">
        <w:trPr>
          <w:cantSplit/>
          <w:trHeight w:val="346"/>
        </w:trPr>
        <w:tc>
          <w:tcPr>
            <w:tcW w:w="3480" w:type="dxa"/>
            <w:shd w:val="clear" w:color="auto" w:fill="auto"/>
          </w:tcPr>
          <w:p w14:paraId="7648558C" w14:textId="5FD69516" w:rsidR="00DB4199" w:rsidRPr="002D2F67" w:rsidRDefault="00DB4199" w:rsidP="00DB4199">
            <w:pPr>
              <w:pStyle w:val="acctfourfigures"/>
              <w:tabs>
                <w:tab w:val="clear" w:pos="765"/>
              </w:tabs>
              <w:spacing w:line="240" w:lineRule="auto"/>
              <w:ind w:left="148" w:right="-72"/>
              <w:rPr>
                <w:rFonts w:ascii="Arial" w:hAnsi="Arial" w:cs="Arial"/>
                <w:color w:val="000000"/>
                <w:sz w:val="14"/>
                <w:szCs w:val="14"/>
                <w:lang w:bidi="th-TH"/>
              </w:rPr>
            </w:pPr>
            <w:r w:rsidRPr="002D2F67">
              <w:rPr>
                <w:rFonts w:ascii="Arial" w:eastAsia="Arial Unicode MS" w:hAnsi="Arial" w:cs="Arial"/>
                <w:color w:val="000000"/>
                <w:sz w:val="14"/>
                <w:szCs w:val="14"/>
              </w:rPr>
              <w:t xml:space="preserve">Wind Khon Kaen </w:t>
            </w:r>
            <w:r w:rsidR="00CD5714" w:rsidRPr="00CD5714">
              <w:rPr>
                <w:rFonts w:ascii="Arial" w:eastAsia="Arial Unicode MS" w:hAnsi="Arial" w:cs="Arial"/>
                <w:color w:val="000000"/>
                <w:sz w:val="14"/>
                <w:szCs w:val="14"/>
                <w:lang w:val="en-GB"/>
              </w:rPr>
              <w:t>1</w:t>
            </w:r>
            <w:r w:rsidRPr="002D2F67">
              <w:rPr>
                <w:rFonts w:ascii="Arial" w:eastAsia="Arial Unicode MS" w:hAnsi="Arial" w:cs="Arial"/>
                <w:color w:val="000000"/>
                <w:sz w:val="14"/>
                <w:szCs w:val="14"/>
              </w:rPr>
              <w:t xml:space="preserve"> </w:t>
            </w:r>
            <w:r w:rsidRPr="002D2F67">
              <w:rPr>
                <w:rFonts w:ascii="Arial" w:hAnsi="Arial" w:cs="Arial"/>
                <w:color w:val="000000"/>
                <w:sz w:val="14"/>
                <w:szCs w:val="14"/>
              </w:rPr>
              <w:t>Co., Ltd.</w:t>
            </w:r>
          </w:p>
        </w:tc>
        <w:tc>
          <w:tcPr>
            <w:tcW w:w="4174" w:type="dxa"/>
            <w:shd w:val="clear" w:color="auto" w:fill="auto"/>
          </w:tcPr>
          <w:p w14:paraId="7CDE3963" w14:textId="77777777" w:rsidR="00DB4199" w:rsidRPr="002D2F67" w:rsidRDefault="00DB4199" w:rsidP="00DB4199">
            <w:pPr>
              <w:tabs>
                <w:tab w:val="left" w:pos="-3402"/>
                <w:tab w:val="left" w:pos="-3261"/>
                <w:tab w:val="left" w:pos="-3119"/>
              </w:tabs>
              <w:ind w:left="-29" w:right="-23"/>
              <w:rPr>
                <w:rFonts w:ascii="Arial" w:hAnsi="Arial" w:cs="Arial"/>
                <w:color w:val="000000"/>
                <w:sz w:val="14"/>
                <w:szCs w:val="14"/>
              </w:rPr>
            </w:pPr>
            <w:r w:rsidRPr="002D2F67">
              <w:rPr>
                <w:rFonts w:ascii="Arial" w:hAnsi="Arial" w:cs="Arial"/>
                <w:color w:val="000000"/>
                <w:sz w:val="14"/>
                <w:szCs w:val="14"/>
              </w:rPr>
              <w:t>Research and development of wind power plant</w:t>
            </w:r>
          </w:p>
          <w:p w14:paraId="5006D7CA" w14:textId="744C979A" w:rsidR="00DB4199" w:rsidRPr="002D2F67" w:rsidRDefault="00DB4199" w:rsidP="00DB4199">
            <w:pPr>
              <w:ind w:left="-29" w:right="-23"/>
              <w:rPr>
                <w:rFonts w:ascii="Arial" w:hAnsi="Arial" w:cs="Arial"/>
                <w:color w:val="000000"/>
                <w:spacing w:val="4"/>
                <w:sz w:val="14"/>
                <w:szCs w:val="14"/>
              </w:rPr>
            </w:pPr>
            <w:r w:rsidRPr="002D2F67">
              <w:rPr>
                <w:rFonts w:ascii="Arial" w:hAnsi="Arial" w:cs="Arial"/>
                <w:color w:val="000000"/>
                <w:sz w:val="14"/>
                <w:szCs w:val="14"/>
              </w:rPr>
              <w:t xml:space="preserve">   (</w:t>
            </w:r>
            <w:r w:rsidRPr="002D2F67">
              <w:rPr>
                <w:rFonts w:ascii="Arial" w:hAnsi="Arial" w:cs="Arial"/>
                <w:color w:val="000000"/>
                <w:spacing w:val="4"/>
                <w:sz w:val="14"/>
                <w:szCs w:val="14"/>
              </w:rPr>
              <w:t>not commercial operations yet)</w:t>
            </w:r>
          </w:p>
        </w:tc>
        <w:tc>
          <w:tcPr>
            <w:tcW w:w="1151" w:type="dxa"/>
            <w:shd w:val="clear" w:color="auto" w:fill="auto"/>
          </w:tcPr>
          <w:p w14:paraId="31914B02" w14:textId="1A8F1F33" w:rsidR="00DB4199" w:rsidRPr="002D2F67" w:rsidRDefault="00CD5714" w:rsidP="00DB4199">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DB4199"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2DF75169" w14:textId="1095A877" w:rsidR="00DB4199" w:rsidRPr="002D2F67" w:rsidRDefault="00CD5714" w:rsidP="00DB4199">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DB4199"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03FB0024" w14:textId="6C7BD6A8" w:rsidR="00DB4199" w:rsidRPr="002D2F67" w:rsidRDefault="00DB4199" w:rsidP="00DB4199">
            <w:pPr>
              <w:pStyle w:val="acctfourfigures"/>
              <w:ind w:right="-73"/>
              <w:jc w:val="right"/>
              <w:rPr>
                <w:rFonts w:ascii="Arial" w:hAnsi="Arial" w:cs="Arial"/>
                <w:color w:val="000000"/>
                <w:sz w:val="14"/>
                <w:szCs w:val="14"/>
              </w:rPr>
            </w:pPr>
            <w:r w:rsidRPr="002D2F67">
              <w:rPr>
                <w:rFonts w:ascii="Arial" w:hAnsi="Arial" w:cs="Arial"/>
                <w:color w:val="000000"/>
                <w:sz w:val="14"/>
                <w:szCs w:val="14"/>
              </w:rPr>
              <w:t>-</w:t>
            </w:r>
          </w:p>
        </w:tc>
        <w:tc>
          <w:tcPr>
            <w:tcW w:w="1152" w:type="dxa"/>
            <w:shd w:val="clear" w:color="auto" w:fill="auto"/>
          </w:tcPr>
          <w:p w14:paraId="4F411422" w14:textId="65E6DAAC" w:rsidR="00DB4199" w:rsidRPr="002D2F67" w:rsidRDefault="00DB4199" w:rsidP="00DB4199">
            <w:pPr>
              <w:pStyle w:val="acctfourfigures"/>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52" w:type="dxa"/>
            <w:shd w:val="clear" w:color="auto" w:fill="auto"/>
          </w:tcPr>
          <w:p w14:paraId="0EAE38E4" w14:textId="645FEB33" w:rsidR="00DB4199" w:rsidRPr="002D2F67" w:rsidRDefault="00DB4199" w:rsidP="00DB4199">
            <w:pPr>
              <w:pStyle w:val="acctfourfigures"/>
              <w:ind w:right="-73"/>
              <w:jc w:val="right"/>
              <w:rPr>
                <w:rFonts w:ascii="Arial" w:hAnsi="Arial" w:cs="Arial"/>
                <w:color w:val="000000"/>
                <w:sz w:val="14"/>
                <w:szCs w:val="14"/>
              </w:rPr>
            </w:pPr>
            <w:r w:rsidRPr="002D2F67">
              <w:rPr>
                <w:rFonts w:ascii="Arial" w:hAnsi="Arial" w:cs="Arial"/>
                <w:color w:val="000000"/>
                <w:sz w:val="14"/>
                <w:szCs w:val="14"/>
              </w:rPr>
              <w:t>-</w:t>
            </w:r>
          </w:p>
        </w:tc>
        <w:tc>
          <w:tcPr>
            <w:tcW w:w="1135" w:type="dxa"/>
            <w:shd w:val="clear" w:color="auto" w:fill="auto"/>
          </w:tcPr>
          <w:p w14:paraId="4CC942D1" w14:textId="4ECEE0E3" w:rsidR="00DB4199" w:rsidRPr="002D2F67" w:rsidRDefault="00DB4199" w:rsidP="00DB4199">
            <w:pPr>
              <w:pStyle w:val="acctfourfigures"/>
              <w:ind w:right="-73"/>
              <w:jc w:val="right"/>
              <w:rPr>
                <w:rFonts w:ascii="Arial" w:hAnsi="Arial" w:cs="Arial"/>
                <w:color w:val="000000"/>
                <w:sz w:val="14"/>
                <w:szCs w:val="14"/>
                <w:lang w:bidi="th-TH"/>
              </w:rPr>
            </w:pPr>
            <w:r w:rsidRPr="002D2F67">
              <w:rPr>
                <w:rFonts w:ascii="Arial" w:hAnsi="Arial" w:cs="Arial"/>
                <w:color w:val="000000"/>
                <w:sz w:val="14"/>
                <w:szCs w:val="14"/>
              </w:rPr>
              <w:t>-</w:t>
            </w:r>
          </w:p>
        </w:tc>
      </w:tr>
      <w:tr w:rsidR="00DB4199" w:rsidRPr="002D2F67" w14:paraId="23923DD8" w14:textId="77777777" w:rsidTr="004F4DED">
        <w:trPr>
          <w:cantSplit/>
          <w:trHeight w:val="346"/>
        </w:trPr>
        <w:tc>
          <w:tcPr>
            <w:tcW w:w="3480" w:type="dxa"/>
            <w:shd w:val="clear" w:color="auto" w:fill="auto"/>
          </w:tcPr>
          <w:p w14:paraId="54C947A3" w14:textId="0BA2BF63" w:rsidR="00DB4199" w:rsidRPr="002D2F67" w:rsidRDefault="00DB4199" w:rsidP="00DB4199">
            <w:pPr>
              <w:pStyle w:val="acctfourfigures"/>
              <w:tabs>
                <w:tab w:val="clear" w:pos="765"/>
              </w:tabs>
              <w:spacing w:line="240" w:lineRule="auto"/>
              <w:ind w:left="148" w:right="-72"/>
              <w:rPr>
                <w:rFonts w:ascii="Arial" w:hAnsi="Arial" w:cs="Arial"/>
                <w:color w:val="000000"/>
                <w:sz w:val="14"/>
                <w:szCs w:val="14"/>
                <w:lang w:bidi="th-TH"/>
              </w:rPr>
            </w:pPr>
            <w:r w:rsidRPr="002D2F67">
              <w:rPr>
                <w:rFonts w:ascii="Arial" w:eastAsia="Arial Unicode MS" w:hAnsi="Arial" w:cs="Arial"/>
                <w:color w:val="000000"/>
                <w:sz w:val="14"/>
                <w:szCs w:val="14"/>
              </w:rPr>
              <w:t xml:space="preserve">Wind Khon Kaen </w:t>
            </w:r>
            <w:r w:rsidR="00CD5714" w:rsidRPr="00CD5714">
              <w:rPr>
                <w:rFonts w:ascii="Arial" w:eastAsia="Arial Unicode MS" w:hAnsi="Arial" w:cs="Arial"/>
                <w:color w:val="000000"/>
                <w:sz w:val="14"/>
                <w:szCs w:val="14"/>
                <w:lang w:val="en-GB"/>
              </w:rPr>
              <w:t>2</w:t>
            </w:r>
            <w:r w:rsidRPr="002D2F67">
              <w:rPr>
                <w:rFonts w:ascii="Arial" w:eastAsia="Arial Unicode MS" w:hAnsi="Arial" w:cs="Arial"/>
                <w:color w:val="000000"/>
                <w:sz w:val="14"/>
                <w:szCs w:val="14"/>
              </w:rPr>
              <w:t xml:space="preserve"> </w:t>
            </w:r>
            <w:r w:rsidRPr="002D2F67">
              <w:rPr>
                <w:rFonts w:ascii="Arial" w:hAnsi="Arial" w:cs="Arial"/>
                <w:color w:val="000000"/>
                <w:sz w:val="14"/>
                <w:szCs w:val="14"/>
              </w:rPr>
              <w:t>Co., Ltd.</w:t>
            </w:r>
          </w:p>
        </w:tc>
        <w:tc>
          <w:tcPr>
            <w:tcW w:w="4174" w:type="dxa"/>
            <w:shd w:val="clear" w:color="auto" w:fill="auto"/>
          </w:tcPr>
          <w:p w14:paraId="205DEE98" w14:textId="77777777" w:rsidR="00DB4199" w:rsidRPr="002D2F67" w:rsidRDefault="00DB4199" w:rsidP="00DB4199">
            <w:pPr>
              <w:tabs>
                <w:tab w:val="left" w:pos="-3402"/>
                <w:tab w:val="left" w:pos="-3261"/>
                <w:tab w:val="left" w:pos="-3119"/>
              </w:tabs>
              <w:ind w:left="-29" w:right="-23"/>
              <w:rPr>
                <w:rFonts w:ascii="Arial" w:hAnsi="Arial" w:cs="Arial"/>
                <w:color w:val="000000"/>
                <w:sz w:val="14"/>
                <w:szCs w:val="14"/>
              </w:rPr>
            </w:pPr>
            <w:r w:rsidRPr="002D2F67">
              <w:rPr>
                <w:rFonts w:ascii="Arial" w:hAnsi="Arial" w:cs="Arial"/>
                <w:color w:val="000000"/>
                <w:sz w:val="14"/>
                <w:szCs w:val="14"/>
              </w:rPr>
              <w:t>Research and development of wind power plant</w:t>
            </w:r>
          </w:p>
          <w:p w14:paraId="48CE2576" w14:textId="4E970680" w:rsidR="00DB4199" w:rsidRPr="002D2F67" w:rsidRDefault="00DB4199" w:rsidP="00DB4199">
            <w:pPr>
              <w:ind w:left="-29" w:right="-23"/>
              <w:rPr>
                <w:rFonts w:ascii="Arial" w:hAnsi="Arial" w:cs="Arial"/>
                <w:color w:val="000000"/>
                <w:spacing w:val="4"/>
                <w:sz w:val="14"/>
                <w:szCs w:val="14"/>
              </w:rPr>
            </w:pPr>
            <w:r w:rsidRPr="002D2F67">
              <w:rPr>
                <w:rFonts w:ascii="Arial" w:hAnsi="Arial" w:cs="Arial"/>
                <w:color w:val="000000"/>
                <w:sz w:val="14"/>
                <w:szCs w:val="14"/>
              </w:rPr>
              <w:t xml:space="preserve">   (</w:t>
            </w:r>
            <w:r w:rsidRPr="002D2F67">
              <w:rPr>
                <w:rFonts w:ascii="Arial" w:hAnsi="Arial" w:cs="Arial"/>
                <w:color w:val="000000"/>
                <w:spacing w:val="4"/>
                <w:sz w:val="14"/>
                <w:szCs w:val="14"/>
              </w:rPr>
              <w:t>not commercial operations yet)</w:t>
            </w:r>
          </w:p>
        </w:tc>
        <w:tc>
          <w:tcPr>
            <w:tcW w:w="1151" w:type="dxa"/>
            <w:shd w:val="clear" w:color="auto" w:fill="auto"/>
          </w:tcPr>
          <w:p w14:paraId="277FF344" w14:textId="600F7AF1" w:rsidR="00DB4199" w:rsidRPr="002D2F67" w:rsidRDefault="00CD5714" w:rsidP="00DB4199">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DB4199"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72A4318C" w14:textId="6AF3A73C" w:rsidR="00DB4199" w:rsidRPr="002D2F67" w:rsidRDefault="00CD5714" w:rsidP="00DB4199">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DB4199"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200DAA64" w14:textId="68598541" w:rsidR="00DB4199" w:rsidRPr="002D2F67" w:rsidRDefault="00DB4199" w:rsidP="00DB4199">
            <w:pPr>
              <w:pStyle w:val="acctfourfigures"/>
              <w:ind w:right="-73"/>
              <w:jc w:val="right"/>
              <w:rPr>
                <w:rFonts w:ascii="Arial" w:hAnsi="Arial" w:cs="Arial"/>
                <w:color w:val="000000"/>
                <w:sz w:val="14"/>
                <w:szCs w:val="14"/>
              </w:rPr>
            </w:pPr>
            <w:r w:rsidRPr="002D2F67">
              <w:rPr>
                <w:rFonts w:ascii="Arial" w:hAnsi="Arial" w:cs="Arial"/>
                <w:color w:val="000000"/>
                <w:sz w:val="14"/>
                <w:szCs w:val="14"/>
              </w:rPr>
              <w:t>-</w:t>
            </w:r>
          </w:p>
        </w:tc>
        <w:tc>
          <w:tcPr>
            <w:tcW w:w="1152" w:type="dxa"/>
            <w:shd w:val="clear" w:color="auto" w:fill="auto"/>
          </w:tcPr>
          <w:p w14:paraId="474E92C6" w14:textId="4D59F2CB" w:rsidR="00DB4199" w:rsidRPr="002D2F67" w:rsidRDefault="00DB4199" w:rsidP="00DB4199">
            <w:pPr>
              <w:pStyle w:val="acctfourfigures"/>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52" w:type="dxa"/>
            <w:shd w:val="clear" w:color="auto" w:fill="auto"/>
          </w:tcPr>
          <w:p w14:paraId="2C61849B" w14:textId="0EC429F8" w:rsidR="00DB4199" w:rsidRPr="002D2F67" w:rsidRDefault="00DB4199" w:rsidP="00DB4199">
            <w:pPr>
              <w:pStyle w:val="acctfourfigures"/>
              <w:ind w:right="-73"/>
              <w:jc w:val="right"/>
              <w:rPr>
                <w:rFonts w:ascii="Arial" w:hAnsi="Arial" w:cs="Arial"/>
                <w:color w:val="000000"/>
                <w:sz w:val="14"/>
                <w:szCs w:val="14"/>
              </w:rPr>
            </w:pPr>
            <w:r w:rsidRPr="002D2F67">
              <w:rPr>
                <w:rFonts w:ascii="Arial" w:hAnsi="Arial" w:cs="Arial"/>
                <w:color w:val="000000"/>
                <w:sz w:val="14"/>
                <w:szCs w:val="14"/>
              </w:rPr>
              <w:t>-</w:t>
            </w:r>
          </w:p>
        </w:tc>
        <w:tc>
          <w:tcPr>
            <w:tcW w:w="1135" w:type="dxa"/>
            <w:shd w:val="clear" w:color="auto" w:fill="auto"/>
          </w:tcPr>
          <w:p w14:paraId="3428FD82" w14:textId="168AC8DE" w:rsidR="00DB4199" w:rsidRPr="002D2F67" w:rsidRDefault="00DB4199" w:rsidP="00DB4199">
            <w:pPr>
              <w:pStyle w:val="acctfourfigures"/>
              <w:ind w:right="-73"/>
              <w:jc w:val="right"/>
              <w:rPr>
                <w:rFonts w:ascii="Arial" w:hAnsi="Arial" w:cs="Arial"/>
                <w:color w:val="000000"/>
                <w:sz w:val="14"/>
                <w:szCs w:val="14"/>
                <w:lang w:bidi="th-TH"/>
              </w:rPr>
            </w:pPr>
            <w:r w:rsidRPr="002D2F67">
              <w:rPr>
                <w:rFonts w:ascii="Arial" w:hAnsi="Arial" w:cs="Arial"/>
                <w:color w:val="000000"/>
                <w:sz w:val="14"/>
                <w:szCs w:val="14"/>
              </w:rPr>
              <w:t>-</w:t>
            </w:r>
          </w:p>
        </w:tc>
      </w:tr>
      <w:tr w:rsidR="00DB4199" w:rsidRPr="002D2F67" w14:paraId="03B3D219" w14:textId="77777777" w:rsidTr="004F4DED">
        <w:trPr>
          <w:cantSplit/>
          <w:trHeight w:val="346"/>
        </w:trPr>
        <w:tc>
          <w:tcPr>
            <w:tcW w:w="3480" w:type="dxa"/>
            <w:shd w:val="clear" w:color="auto" w:fill="auto"/>
          </w:tcPr>
          <w:p w14:paraId="6689B69D" w14:textId="2F9641ED" w:rsidR="00DB4199" w:rsidRPr="002D2F67" w:rsidRDefault="00DB4199" w:rsidP="00DB4199">
            <w:pPr>
              <w:pStyle w:val="acctfourfigures"/>
              <w:tabs>
                <w:tab w:val="clear" w:pos="765"/>
              </w:tabs>
              <w:spacing w:line="240" w:lineRule="auto"/>
              <w:ind w:left="148" w:right="-72"/>
              <w:rPr>
                <w:rFonts w:ascii="Arial" w:hAnsi="Arial" w:cs="Arial"/>
                <w:color w:val="000000"/>
                <w:sz w:val="14"/>
                <w:szCs w:val="14"/>
                <w:lang w:bidi="th-TH"/>
              </w:rPr>
            </w:pPr>
            <w:r w:rsidRPr="002D2F67">
              <w:rPr>
                <w:rFonts w:ascii="Arial" w:hAnsi="Arial" w:cs="Arial"/>
                <w:color w:val="000000"/>
                <w:sz w:val="14"/>
                <w:szCs w:val="14"/>
              </w:rPr>
              <w:t xml:space="preserve">Wind Amnadcharoen </w:t>
            </w:r>
            <w:r w:rsidR="00CD5714" w:rsidRPr="00CD5714">
              <w:rPr>
                <w:rFonts w:ascii="Arial" w:hAnsi="Arial" w:cs="Arial"/>
                <w:color w:val="000000"/>
                <w:sz w:val="14"/>
                <w:szCs w:val="14"/>
                <w:lang w:val="en-GB"/>
              </w:rPr>
              <w:t>1</w:t>
            </w:r>
            <w:r w:rsidRPr="002D2F67">
              <w:rPr>
                <w:rFonts w:ascii="Arial" w:hAnsi="Arial" w:cs="Arial"/>
                <w:color w:val="000000"/>
                <w:sz w:val="14"/>
                <w:szCs w:val="14"/>
              </w:rPr>
              <w:t xml:space="preserve"> Co., Ltd.</w:t>
            </w:r>
          </w:p>
        </w:tc>
        <w:tc>
          <w:tcPr>
            <w:tcW w:w="4174" w:type="dxa"/>
            <w:shd w:val="clear" w:color="auto" w:fill="auto"/>
          </w:tcPr>
          <w:p w14:paraId="62C96FEA" w14:textId="77777777" w:rsidR="00DB4199" w:rsidRPr="002D2F67" w:rsidRDefault="00DB4199" w:rsidP="00DB4199">
            <w:pPr>
              <w:tabs>
                <w:tab w:val="left" w:pos="-3402"/>
                <w:tab w:val="left" w:pos="-3261"/>
                <w:tab w:val="left" w:pos="-3119"/>
              </w:tabs>
              <w:ind w:left="-29" w:right="-23"/>
              <w:rPr>
                <w:rFonts w:ascii="Arial" w:hAnsi="Arial" w:cs="Arial"/>
                <w:color w:val="000000"/>
                <w:sz w:val="14"/>
                <w:szCs w:val="14"/>
              </w:rPr>
            </w:pPr>
            <w:r w:rsidRPr="002D2F67">
              <w:rPr>
                <w:rFonts w:ascii="Arial" w:hAnsi="Arial" w:cs="Arial"/>
                <w:color w:val="000000"/>
                <w:sz w:val="14"/>
                <w:szCs w:val="14"/>
              </w:rPr>
              <w:t>Research and development of wind power plant</w:t>
            </w:r>
          </w:p>
          <w:p w14:paraId="4C2F8851" w14:textId="64D74244" w:rsidR="00DB4199" w:rsidRPr="002D2F67" w:rsidRDefault="00DB4199" w:rsidP="00DB4199">
            <w:pPr>
              <w:ind w:left="-29" w:right="-23"/>
              <w:rPr>
                <w:rFonts w:ascii="Arial" w:hAnsi="Arial" w:cs="Arial"/>
                <w:color w:val="000000"/>
                <w:spacing w:val="4"/>
                <w:sz w:val="14"/>
                <w:szCs w:val="14"/>
              </w:rPr>
            </w:pPr>
            <w:r w:rsidRPr="002D2F67">
              <w:rPr>
                <w:rFonts w:ascii="Arial" w:hAnsi="Arial" w:cs="Arial"/>
                <w:color w:val="000000"/>
                <w:sz w:val="14"/>
                <w:szCs w:val="14"/>
              </w:rPr>
              <w:t xml:space="preserve">   (</w:t>
            </w:r>
            <w:r w:rsidRPr="002D2F67">
              <w:rPr>
                <w:rFonts w:ascii="Arial" w:hAnsi="Arial" w:cs="Arial"/>
                <w:color w:val="000000"/>
                <w:spacing w:val="4"/>
                <w:sz w:val="14"/>
                <w:szCs w:val="14"/>
              </w:rPr>
              <w:t>not commercial operations yet)</w:t>
            </w:r>
          </w:p>
        </w:tc>
        <w:tc>
          <w:tcPr>
            <w:tcW w:w="1151" w:type="dxa"/>
            <w:shd w:val="clear" w:color="auto" w:fill="auto"/>
          </w:tcPr>
          <w:p w14:paraId="568D58C0" w14:textId="44DFCA8D" w:rsidR="00DB4199" w:rsidRPr="002D2F67" w:rsidRDefault="00CD5714" w:rsidP="00DB4199">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DB4199"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0792A8FA" w14:textId="12B48EC7" w:rsidR="00DB4199" w:rsidRPr="002D2F67" w:rsidRDefault="00CD5714" w:rsidP="00DB4199">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DB4199"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20692F87" w14:textId="3059E6BD" w:rsidR="00DB4199" w:rsidRPr="002D2F67" w:rsidRDefault="00DB4199" w:rsidP="00DB4199">
            <w:pPr>
              <w:pStyle w:val="acctfourfigures"/>
              <w:ind w:right="-73"/>
              <w:jc w:val="right"/>
              <w:rPr>
                <w:rFonts w:ascii="Arial" w:hAnsi="Arial" w:cs="Arial"/>
                <w:color w:val="000000"/>
                <w:sz w:val="14"/>
                <w:szCs w:val="14"/>
              </w:rPr>
            </w:pPr>
            <w:r w:rsidRPr="002D2F67">
              <w:rPr>
                <w:rFonts w:ascii="Arial" w:hAnsi="Arial" w:cs="Arial"/>
                <w:color w:val="000000"/>
                <w:sz w:val="14"/>
                <w:szCs w:val="14"/>
              </w:rPr>
              <w:t>-</w:t>
            </w:r>
          </w:p>
        </w:tc>
        <w:tc>
          <w:tcPr>
            <w:tcW w:w="1152" w:type="dxa"/>
            <w:shd w:val="clear" w:color="auto" w:fill="auto"/>
          </w:tcPr>
          <w:p w14:paraId="7E510410" w14:textId="03F5BD6D" w:rsidR="00DB4199" w:rsidRPr="002D2F67" w:rsidRDefault="00DB4199" w:rsidP="00DB4199">
            <w:pPr>
              <w:pStyle w:val="acctfourfigures"/>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52" w:type="dxa"/>
            <w:shd w:val="clear" w:color="auto" w:fill="auto"/>
          </w:tcPr>
          <w:p w14:paraId="0515D898" w14:textId="0570AD22" w:rsidR="00DB4199" w:rsidRPr="002D2F67" w:rsidRDefault="00DB4199" w:rsidP="00DB4199">
            <w:pPr>
              <w:pStyle w:val="acctfourfigures"/>
              <w:ind w:right="-73"/>
              <w:jc w:val="right"/>
              <w:rPr>
                <w:rFonts w:ascii="Arial" w:hAnsi="Arial" w:cs="Arial"/>
                <w:color w:val="000000"/>
                <w:sz w:val="14"/>
                <w:szCs w:val="14"/>
              </w:rPr>
            </w:pPr>
            <w:r w:rsidRPr="002D2F67">
              <w:rPr>
                <w:rFonts w:ascii="Arial" w:hAnsi="Arial" w:cs="Arial"/>
                <w:color w:val="000000"/>
                <w:sz w:val="14"/>
                <w:szCs w:val="14"/>
              </w:rPr>
              <w:t>-</w:t>
            </w:r>
          </w:p>
        </w:tc>
        <w:tc>
          <w:tcPr>
            <w:tcW w:w="1135" w:type="dxa"/>
            <w:shd w:val="clear" w:color="auto" w:fill="auto"/>
          </w:tcPr>
          <w:p w14:paraId="3222FF95" w14:textId="4EAE9D1C" w:rsidR="00DB4199" w:rsidRPr="002D2F67" w:rsidRDefault="00DB4199" w:rsidP="00DB4199">
            <w:pPr>
              <w:pStyle w:val="acctfourfigures"/>
              <w:ind w:right="-73"/>
              <w:jc w:val="right"/>
              <w:rPr>
                <w:rFonts w:ascii="Arial" w:hAnsi="Arial" w:cs="Arial"/>
                <w:color w:val="000000"/>
                <w:sz w:val="14"/>
                <w:szCs w:val="14"/>
                <w:lang w:bidi="th-TH"/>
              </w:rPr>
            </w:pPr>
            <w:r w:rsidRPr="002D2F67">
              <w:rPr>
                <w:rFonts w:ascii="Arial" w:hAnsi="Arial" w:cs="Arial"/>
                <w:color w:val="000000"/>
                <w:sz w:val="14"/>
                <w:szCs w:val="14"/>
              </w:rPr>
              <w:t>-</w:t>
            </w:r>
          </w:p>
        </w:tc>
      </w:tr>
      <w:tr w:rsidR="00DB4199" w:rsidRPr="002D2F67" w14:paraId="7B8B0800" w14:textId="77777777" w:rsidTr="004F4DED">
        <w:trPr>
          <w:cantSplit/>
          <w:trHeight w:val="346"/>
        </w:trPr>
        <w:tc>
          <w:tcPr>
            <w:tcW w:w="3480" w:type="dxa"/>
            <w:shd w:val="clear" w:color="auto" w:fill="auto"/>
          </w:tcPr>
          <w:p w14:paraId="25087C40" w14:textId="7289A63D" w:rsidR="00DB4199" w:rsidRPr="002D2F67" w:rsidRDefault="00DB4199" w:rsidP="00DB4199">
            <w:pPr>
              <w:pStyle w:val="acctfourfigures"/>
              <w:tabs>
                <w:tab w:val="clear" w:pos="765"/>
              </w:tabs>
              <w:spacing w:line="240" w:lineRule="auto"/>
              <w:ind w:left="148" w:right="-72"/>
              <w:rPr>
                <w:rFonts w:ascii="Arial" w:hAnsi="Arial" w:cs="Arial"/>
                <w:color w:val="000000"/>
                <w:sz w:val="14"/>
                <w:szCs w:val="14"/>
                <w:lang w:bidi="th-TH"/>
              </w:rPr>
            </w:pPr>
            <w:r w:rsidRPr="002D2F67">
              <w:rPr>
                <w:rFonts w:ascii="Arial" w:hAnsi="Arial" w:cs="Arial"/>
                <w:color w:val="000000"/>
                <w:sz w:val="14"/>
                <w:szCs w:val="14"/>
                <w:lang w:bidi="th-TH"/>
              </w:rPr>
              <w:t xml:space="preserve">Wind Ubon Ratchathani </w:t>
            </w:r>
            <w:r w:rsidR="00CD5714" w:rsidRPr="00CD5714">
              <w:rPr>
                <w:rFonts w:ascii="Arial" w:hAnsi="Arial" w:cs="Arial"/>
                <w:color w:val="000000"/>
                <w:sz w:val="14"/>
                <w:szCs w:val="14"/>
                <w:lang w:val="en-GB" w:bidi="th-TH"/>
              </w:rPr>
              <w:t>1</w:t>
            </w:r>
            <w:r w:rsidRPr="002D2F67">
              <w:rPr>
                <w:rFonts w:ascii="Arial" w:hAnsi="Arial" w:cs="Arial"/>
                <w:color w:val="000000"/>
                <w:sz w:val="14"/>
                <w:szCs w:val="14"/>
                <w:lang w:bidi="th-TH"/>
              </w:rPr>
              <w:t xml:space="preserve"> </w:t>
            </w:r>
            <w:r w:rsidRPr="002D2F67">
              <w:rPr>
                <w:rFonts w:ascii="Arial" w:hAnsi="Arial" w:cs="Arial"/>
                <w:color w:val="000000"/>
                <w:sz w:val="14"/>
                <w:szCs w:val="14"/>
              </w:rPr>
              <w:t>Co., Ltd.</w:t>
            </w:r>
          </w:p>
          <w:p w14:paraId="4A65B48B" w14:textId="77777777" w:rsidR="00DB4199" w:rsidRPr="002D2F67" w:rsidRDefault="00DB4199" w:rsidP="00DB4199">
            <w:pPr>
              <w:pStyle w:val="acctfourfigures"/>
              <w:tabs>
                <w:tab w:val="clear" w:pos="765"/>
              </w:tabs>
              <w:spacing w:line="240" w:lineRule="auto"/>
              <w:ind w:left="148" w:right="-72"/>
              <w:rPr>
                <w:rFonts w:ascii="Arial" w:hAnsi="Arial" w:cs="Arial"/>
                <w:color w:val="000000"/>
                <w:sz w:val="14"/>
                <w:szCs w:val="14"/>
                <w:lang w:bidi="th-TH"/>
              </w:rPr>
            </w:pPr>
          </w:p>
        </w:tc>
        <w:tc>
          <w:tcPr>
            <w:tcW w:w="4174" w:type="dxa"/>
            <w:shd w:val="clear" w:color="auto" w:fill="auto"/>
          </w:tcPr>
          <w:p w14:paraId="421A81F5" w14:textId="77777777" w:rsidR="00DB4199" w:rsidRPr="002D2F67" w:rsidRDefault="00DB4199" w:rsidP="00DB4199">
            <w:pPr>
              <w:tabs>
                <w:tab w:val="left" w:pos="-3402"/>
                <w:tab w:val="left" w:pos="-3261"/>
                <w:tab w:val="left" w:pos="-3119"/>
              </w:tabs>
              <w:ind w:left="-29" w:right="-23"/>
              <w:rPr>
                <w:rFonts w:ascii="Arial" w:hAnsi="Arial" w:cs="Arial"/>
                <w:color w:val="000000"/>
                <w:sz w:val="14"/>
                <w:szCs w:val="14"/>
              </w:rPr>
            </w:pPr>
            <w:r w:rsidRPr="002D2F67">
              <w:rPr>
                <w:rFonts w:ascii="Arial" w:hAnsi="Arial" w:cs="Arial"/>
                <w:color w:val="000000"/>
                <w:sz w:val="14"/>
                <w:szCs w:val="14"/>
              </w:rPr>
              <w:t>Research and development of wind power plant</w:t>
            </w:r>
          </w:p>
          <w:p w14:paraId="3ACC2764" w14:textId="0DF862C2" w:rsidR="00DB4199" w:rsidRPr="002D2F67" w:rsidRDefault="00DB4199" w:rsidP="00DB4199">
            <w:pPr>
              <w:ind w:left="-29" w:right="-23"/>
              <w:rPr>
                <w:rFonts w:ascii="Arial" w:hAnsi="Arial" w:cs="Arial"/>
                <w:color w:val="000000"/>
                <w:spacing w:val="4"/>
                <w:sz w:val="14"/>
                <w:szCs w:val="14"/>
              </w:rPr>
            </w:pPr>
            <w:r w:rsidRPr="002D2F67">
              <w:rPr>
                <w:rFonts w:ascii="Arial" w:hAnsi="Arial" w:cs="Arial"/>
                <w:color w:val="000000"/>
                <w:sz w:val="14"/>
                <w:szCs w:val="14"/>
              </w:rPr>
              <w:t xml:space="preserve">   (</w:t>
            </w:r>
            <w:r w:rsidRPr="002D2F67">
              <w:rPr>
                <w:rFonts w:ascii="Arial" w:hAnsi="Arial" w:cs="Arial"/>
                <w:color w:val="000000"/>
                <w:spacing w:val="4"/>
                <w:sz w:val="14"/>
                <w:szCs w:val="14"/>
              </w:rPr>
              <w:t>not commercial operations yet)</w:t>
            </w:r>
          </w:p>
        </w:tc>
        <w:tc>
          <w:tcPr>
            <w:tcW w:w="1151" w:type="dxa"/>
            <w:shd w:val="clear" w:color="auto" w:fill="auto"/>
          </w:tcPr>
          <w:p w14:paraId="450FFA93" w14:textId="702D4F2F" w:rsidR="00DB4199" w:rsidRPr="002D2F67" w:rsidRDefault="00CD5714" w:rsidP="00DB4199">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DB4199"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110CABAD" w14:textId="2223E029" w:rsidR="00DB4199" w:rsidRPr="002D2F67" w:rsidRDefault="00CD5714" w:rsidP="00DB4199">
            <w:pPr>
              <w:ind w:left="-122" w:right="-73"/>
              <w:jc w:val="right"/>
              <w:rPr>
                <w:rFonts w:ascii="Arial" w:hAnsi="Arial" w:cs="Arial"/>
                <w:color w:val="000000"/>
                <w:sz w:val="14"/>
                <w:szCs w:val="14"/>
              </w:rPr>
            </w:pPr>
            <w:r w:rsidRPr="00CD5714">
              <w:rPr>
                <w:rFonts w:ascii="Arial" w:hAnsi="Arial" w:cs="Arial"/>
                <w:color w:val="000000"/>
                <w:sz w:val="14"/>
                <w:szCs w:val="14"/>
                <w:lang w:val="en-GB"/>
              </w:rPr>
              <w:t>99</w:t>
            </w:r>
            <w:r w:rsidR="00DB4199"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52" w:type="dxa"/>
            <w:shd w:val="clear" w:color="auto" w:fill="auto"/>
          </w:tcPr>
          <w:p w14:paraId="2E22D042" w14:textId="64976AB3" w:rsidR="00DB4199" w:rsidRPr="002D2F67" w:rsidRDefault="00DB4199" w:rsidP="00DB4199">
            <w:pPr>
              <w:pStyle w:val="acctfourfigures"/>
              <w:ind w:right="-73"/>
              <w:jc w:val="right"/>
              <w:rPr>
                <w:rFonts w:ascii="Arial" w:hAnsi="Arial" w:cs="Arial"/>
                <w:color w:val="000000"/>
                <w:sz w:val="14"/>
                <w:szCs w:val="14"/>
              </w:rPr>
            </w:pPr>
            <w:r w:rsidRPr="002D2F67">
              <w:rPr>
                <w:rFonts w:ascii="Arial" w:hAnsi="Arial" w:cs="Arial"/>
                <w:color w:val="000000"/>
                <w:sz w:val="14"/>
                <w:szCs w:val="14"/>
              </w:rPr>
              <w:t>-</w:t>
            </w:r>
          </w:p>
        </w:tc>
        <w:tc>
          <w:tcPr>
            <w:tcW w:w="1152" w:type="dxa"/>
            <w:shd w:val="clear" w:color="auto" w:fill="auto"/>
          </w:tcPr>
          <w:p w14:paraId="089C479A" w14:textId="1FE5444C" w:rsidR="00DB4199" w:rsidRPr="002D2F67" w:rsidRDefault="00DB4199" w:rsidP="00DB4199">
            <w:pPr>
              <w:pStyle w:val="acctfourfigures"/>
              <w:ind w:right="-73"/>
              <w:jc w:val="right"/>
              <w:rPr>
                <w:rFonts w:ascii="Arial" w:hAnsi="Arial" w:cs="Arial"/>
                <w:color w:val="000000"/>
                <w:sz w:val="14"/>
                <w:szCs w:val="14"/>
                <w:lang w:bidi="th-TH"/>
              </w:rPr>
            </w:pPr>
            <w:r w:rsidRPr="002D2F67">
              <w:rPr>
                <w:rFonts w:ascii="Arial" w:hAnsi="Arial" w:cs="Arial"/>
                <w:color w:val="000000"/>
                <w:sz w:val="14"/>
                <w:szCs w:val="14"/>
              </w:rPr>
              <w:t>-</w:t>
            </w:r>
          </w:p>
        </w:tc>
        <w:tc>
          <w:tcPr>
            <w:tcW w:w="1152" w:type="dxa"/>
            <w:shd w:val="clear" w:color="auto" w:fill="auto"/>
          </w:tcPr>
          <w:p w14:paraId="6E738754" w14:textId="3979E755" w:rsidR="00DB4199" w:rsidRPr="002D2F67" w:rsidRDefault="00DB4199" w:rsidP="00DB4199">
            <w:pPr>
              <w:pStyle w:val="acctfourfigures"/>
              <w:ind w:right="-73"/>
              <w:jc w:val="right"/>
              <w:rPr>
                <w:rFonts w:ascii="Arial" w:hAnsi="Arial" w:cs="Arial"/>
                <w:color w:val="000000"/>
                <w:sz w:val="14"/>
                <w:szCs w:val="14"/>
              </w:rPr>
            </w:pPr>
            <w:r w:rsidRPr="002D2F67">
              <w:rPr>
                <w:rFonts w:ascii="Arial" w:hAnsi="Arial" w:cs="Arial"/>
                <w:color w:val="000000"/>
                <w:sz w:val="14"/>
                <w:szCs w:val="14"/>
              </w:rPr>
              <w:t>-</w:t>
            </w:r>
          </w:p>
        </w:tc>
        <w:tc>
          <w:tcPr>
            <w:tcW w:w="1135" w:type="dxa"/>
            <w:shd w:val="clear" w:color="auto" w:fill="auto"/>
          </w:tcPr>
          <w:p w14:paraId="611B9E0B" w14:textId="14AC8BE9" w:rsidR="00DB4199" w:rsidRPr="002D2F67" w:rsidRDefault="00DB4199" w:rsidP="00DB4199">
            <w:pPr>
              <w:pStyle w:val="acctfourfigures"/>
              <w:ind w:right="-73"/>
              <w:jc w:val="right"/>
              <w:rPr>
                <w:rFonts w:ascii="Arial" w:hAnsi="Arial" w:cs="Arial"/>
                <w:color w:val="000000"/>
                <w:sz w:val="14"/>
                <w:szCs w:val="14"/>
                <w:lang w:bidi="th-TH"/>
              </w:rPr>
            </w:pPr>
            <w:r w:rsidRPr="002D2F67">
              <w:rPr>
                <w:rFonts w:ascii="Arial" w:hAnsi="Arial" w:cs="Arial"/>
                <w:color w:val="000000"/>
                <w:sz w:val="14"/>
                <w:szCs w:val="14"/>
              </w:rPr>
              <w:t>-</w:t>
            </w:r>
          </w:p>
        </w:tc>
      </w:tr>
    </w:tbl>
    <w:p w14:paraId="79F1534F" w14:textId="77777777" w:rsidR="00E97569" w:rsidRPr="002D2F67" w:rsidRDefault="00EE6E4A" w:rsidP="005611FE">
      <w:pPr>
        <w:rPr>
          <w:rFonts w:ascii="Arial" w:hAnsi="Arial" w:cs="Arial"/>
          <w:color w:val="000000"/>
          <w:sz w:val="20"/>
          <w:szCs w:val="20"/>
        </w:rPr>
      </w:pPr>
      <w:r w:rsidRPr="002D2F67">
        <w:rPr>
          <w:rFonts w:ascii="Arial" w:hAnsi="Arial" w:cs="Arial"/>
          <w:color w:val="000000"/>
        </w:rPr>
        <w:br w:type="page"/>
      </w:r>
    </w:p>
    <w:tbl>
      <w:tblPr>
        <w:tblW w:w="14521" w:type="dxa"/>
        <w:tblInd w:w="392" w:type="dxa"/>
        <w:tblLayout w:type="fixed"/>
        <w:tblLook w:val="0000" w:firstRow="0" w:lastRow="0" w:firstColumn="0" w:lastColumn="0" w:noHBand="0" w:noVBand="0"/>
      </w:tblPr>
      <w:tblGrid>
        <w:gridCol w:w="3397"/>
        <w:gridCol w:w="34"/>
        <w:gridCol w:w="4295"/>
        <w:gridCol w:w="1142"/>
        <w:gridCol w:w="1143"/>
        <w:gridCol w:w="1143"/>
        <w:gridCol w:w="1142"/>
        <w:gridCol w:w="1142"/>
        <w:gridCol w:w="1083"/>
      </w:tblGrid>
      <w:tr w:rsidR="00047C52" w:rsidRPr="002D2F67" w14:paraId="2559EFBC" w14:textId="77777777" w:rsidTr="004F4DED">
        <w:trPr>
          <w:cantSplit/>
          <w:trHeight w:val="106"/>
        </w:trPr>
        <w:tc>
          <w:tcPr>
            <w:tcW w:w="3431" w:type="dxa"/>
            <w:gridSpan w:val="2"/>
            <w:shd w:val="clear" w:color="auto" w:fill="auto"/>
            <w:vAlign w:val="bottom"/>
          </w:tcPr>
          <w:p w14:paraId="3A15FA61" w14:textId="77777777" w:rsidR="00047C52" w:rsidRPr="002D2F67" w:rsidRDefault="00047C52" w:rsidP="005611FE">
            <w:pPr>
              <w:pStyle w:val="acctfourfigures"/>
              <w:tabs>
                <w:tab w:val="clear" w:pos="765"/>
              </w:tabs>
              <w:spacing w:line="240" w:lineRule="auto"/>
              <w:ind w:left="148" w:right="-72"/>
              <w:jc w:val="center"/>
              <w:rPr>
                <w:rFonts w:ascii="Arial" w:hAnsi="Arial" w:cs="Arial"/>
                <w:b/>
                <w:bCs/>
                <w:color w:val="000000"/>
                <w:sz w:val="14"/>
                <w:szCs w:val="14"/>
                <w:lang w:bidi="th-TH"/>
              </w:rPr>
            </w:pPr>
          </w:p>
        </w:tc>
        <w:tc>
          <w:tcPr>
            <w:tcW w:w="4295" w:type="dxa"/>
            <w:shd w:val="clear" w:color="auto" w:fill="auto"/>
          </w:tcPr>
          <w:p w14:paraId="78333EAA" w14:textId="77777777" w:rsidR="00047C52" w:rsidRPr="002D2F67" w:rsidRDefault="00047C52" w:rsidP="005611FE">
            <w:pPr>
              <w:pStyle w:val="acctfourfigures"/>
              <w:tabs>
                <w:tab w:val="clear" w:pos="765"/>
              </w:tabs>
              <w:spacing w:line="240" w:lineRule="auto"/>
              <w:ind w:left="-36" w:right="-72"/>
              <w:jc w:val="center"/>
              <w:rPr>
                <w:rFonts w:ascii="Arial" w:hAnsi="Arial" w:cs="Arial"/>
                <w:b/>
                <w:bCs/>
                <w:color w:val="000000"/>
                <w:sz w:val="14"/>
                <w:szCs w:val="14"/>
                <w:lang w:bidi="th-TH"/>
              </w:rPr>
            </w:pPr>
          </w:p>
        </w:tc>
        <w:tc>
          <w:tcPr>
            <w:tcW w:w="6795" w:type="dxa"/>
            <w:gridSpan w:val="6"/>
            <w:tcBorders>
              <w:bottom w:val="single" w:sz="4" w:space="0" w:color="auto"/>
            </w:tcBorders>
            <w:shd w:val="clear" w:color="auto" w:fill="auto"/>
            <w:vAlign w:val="bottom"/>
          </w:tcPr>
          <w:p w14:paraId="60F80162" w14:textId="79F499FB" w:rsidR="00047C52" w:rsidRPr="002D2F67" w:rsidRDefault="00047C52" w:rsidP="005611FE">
            <w:pPr>
              <w:pStyle w:val="acctfourfigures"/>
              <w:tabs>
                <w:tab w:val="clear" w:pos="765"/>
              </w:tabs>
              <w:spacing w:line="240" w:lineRule="auto"/>
              <w:ind w:right="-45"/>
              <w:jc w:val="right"/>
              <w:rPr>
                <w:rFonts w:ascii="Arial" w:hAnsi="Arial" w:cs="Arial"/>
                <w:b/>
                <w:bCs/>
                <w:color w:val="000000"/>
                <w:sz w:val="14"/>
                <w:szCs w:val="14"/>
                <w:lang w:bidi="th-TH"/>
              </w:rPr>
            </w:pPr>
            <w:r w:rsidRPr="002D2F67">
              <w:rPr>
                <w:rFonts w:ascii="Arial" w:hAnsi="Arial" w:cs="Arial"/>
                <w:b/>
                <w:bCs/>
                <w:color w:val="000000"/>
                <w:sz w:val="14"/>
                <w:szCs w:val="14"/>
                <w:lang w:bidi="th-TH"/>
              </w:rPr>
              <w:t>Consolidated and separate financial statements</w:t>
            </w:r>
          </w:p>
        </w:tc>
      </w:tr>
      <w:tr w:rsidR="00575E11" w:rsidRPr="002D2F67" w14:paraId="5F4C586B" w14:textId="77777777" w:rsidTr="004F4DED">
        <w:trPr>
          <w:cantSplit/>
          <w:trHeight w:val="335"/>
        </w:trPr>
        <w:tc>
          <w:tcPr>
            <w:tcW w:w="3431" w:type="dxa"/>
            <w:gridSpan w:val="2"/>
            <w:shd w:val="clear" w:color="auto" w:fill="auto"/>
            <w:vAlign w:val="bottom"/>
          </w:tcPr>
          <w:p w14:paraId="064EBEB1" w14:textId="77777777" w:rsidR="00047C52" w:rsidRPr="002D2F67" w:rsidRDefault="00047C52" w:rsidP="005611FE">
            <w:pPr>
              <w:pStyle w:val="acctfourfigures"/>
              <w:tabs>
                <w:tab w:val="clear" w:pos="765"/>
              </w:tabs>
              <w:spacing w:line="240" w:lineRule="auto"/>
              <w:ind w:left="148" w:right="-72"/>
              <w:jc w:val="center"/>
              <w:rPr>
                <w:rFonts w:ascii="Arial" w:hAnsi="Arial" w:cs="Arial"/>
                <w:b/>
                <w:bCs/>
                <w:color w:val="000000"/>
                <w:sz w:val="14"/>
                <w:szCs w:val="14"/>
                <w:lang w:bidi="th-TH"/>
              </w:rPr>
            </w:pPr>
          </w:p>
        </w:tc>
        <w:tc>
          <w:tcPr>
            <w:tcW w:w="4295" w:type="dxa"/>
            <w:shd w:val="clear" w:color="auto" w:fill="auto"/>
          </w:tcPr>
          <w:p w14:paraId="15F6330B" w14:textId="77777777" w:rsidR="00047C52" w:rsidRPr="002D2F67" w:rsidRDefault="00047C52" w:rsidP="005611FE">
            <w:pPr>
              <w:pStyle w:val="acctfourfigures"/>
              <w:tabs>
                <w:tab w:val="clear" w:pos="765"/>
              </w:tabs>
              <w:spacing w:line="240" w:lineRule="auto"/>
              <w:ind w:left="-36" w:right="-72"/>
              <w:jc w:val="center"/>
              <w:rPr>
                <w:rFonts w:ascii="Arial" w:hAnsi="Arial" w:cs="Arial"/>
                <w:b/>
                <w:bCs/>
                <w:color w:val="000000"/>
                <w:sz w:val="14"/>
                <w:szCs w:val="14"/>
                <w:lang w:bidi="th-TH"/>
              </w:rPr>
            </w:pPr>
          </w:p>
        </w:tc>
        <w:tc>
          <w:tcPr>
            <w:tcW w:w="2285" w:type="dxa"/>
            <w:gridSpan w:val="2"/>
            <w:tcBorders>
              <w:top w:val="single" w:sz="4" w:space="0" w:color="auto"/>
              <w:bottom w:val="single" w:sz="4" w:space="0" w:color="auto"/>
            </w:tcBorders>
            <w:shd w:val="clear" w:color="auto" w:fill="auto"/>
            <w:vAlign w:val="bottom"/>
          </w:tcPr>
          <w:p w14:paraId="5A27B004" w14:textId="77777777" w:rsidR="00047C52" w:rsidRPr="002D2F67" w:rsidRDefault="00047C52" w:rsidP="005611FE">
            <w:pPr>
              <w:pStyle w:val="acctfourfigures"/>
              <w:tabs>
                <w:tab w:val="clear" w:pos="765"/>
              </w:tabs>
              <w:spacing w:line="240" w:lineRule="auto"/>
              <w:ind w:left="-36" w:right="-72"/>
              <w:jc w:val="center"/>
              <w:rPr>
                <w:rFonts w:ascii="Arial" w:hAnsi="Arial" w:cs="Arial"/>
                <w:b/>
                <w:bCs/>
                <w:color w:val="000000"/>
                <w:sz w:val="14"/>
                <w:szCs w:val="14"/>
                <w:lang w:bidi="th-TH"/>
              </w:rPr>
            </w:pPr>
            <w:r w:rsidRPr="002D2F67">
              <w:rPr>
                <w:rFonts w:ascii="Arial" w:hAnsi="Arial" w:cs="Arial"/>
                <w:b/>
                <w:bCs/>
                <w:color w:val="000000"/>
                <w:sz w:val="14"/>
                <w:szCs w:val="14"/>
                <w:lang w:bidi="th-TH"/>
              </w:rPr>
              <w:t>Portion of ordinary shares held by the Group</w:t>
            </w:r>
          </w:p>
        </w:tc>
        <w:tc>
          <w:tcPr>
            <w:tcW w:w="2285" w:type="dxa"/>
            <w:gridSpan w:val="2"/>
            <w:tcBorders>
              <w:top w:val="single" w:sz="4" w:space="0" w:color="auto"/>
              <w:bottom w:val="single" w:sz="4" w:space="0" w:color="auto"/>
            </w:tcBorders>
            <w:shd w:val="clear" w:color="auto" w:fill="auto"/>
            <w:vAlign w:val="bottom"/>
          </w:tcPr>
          <w:p w14:paraId="3F986C6F" w14:textId="77777777" w:rsidR="00047C52" w:rsidRPr="002D2F67" w:rsidRDefault="00047C52" w:rsidP="005611FE">
            <w:pPr>
              <w:pStyle w:val="acctfourfigures"/>
              <w:tabs>
                <w:tab w:val="clear" w:pos="765"/>
                <w:tab w:val="left" w:pos="1168"/>
              </w:tabs>
              <w:spacing w:line="240" w:lineRule="auto"/>
              <w:ind w:left="-36" w:right="-72"/>
              <w:jc w:val="center"/>
              <w:rPr>
                <w:rFonts w:ascii="Arial" w:hAnsi="Arial" w:cs="Arial"/>
                <w:b/>
                <w:bCs/>
                <w:color w:val="000000"/>
                <w:sz w:val="14"/>
                <w:szCs w:val="14"/>
                <w:lang w:bidi="th-TH"/>
              </w:rPr>
            </w:pPr>
            <w:r w:rsidRPr="002D2F67">
              <w:rPr>
                <w:rFonts w:ascii="Arial" w:hAnsi="Arial" w:cs="Arial"/>
                <w:b/>
                <w:bCs/>
                <w:color w:val="000000"/>
                <w:sz w:val="14"/>
                <w:szCs w:val="14"/>
                <w:lang w:bidi="th-TH"/>
              </w:rPr>
              <w:t>Cost method</w:t>
            </w:r>
          </w:p>
        </w:tc>
        <w:tc>
          <w:tcPr>
            <w:tcW w:w="2225" w:type="dxa"/>
            <w:gridSpan w:val="2"/>
            <w:tcBorders>
              <w:top w:val="single" w:sz="4" w:space="0" w:color="auto"/>
              <w:bottom w:val="single" w:sz="4" w:space="0" w:color="auto"/>
            </w:tcBorders>
            <w:shd w:val="clear" w:color="auto" w:fill="auto"/>
            <w:vAlign w:val="bottom"/>
          </w:tcPr>
          <w:p w14:paraId="5584B624" w14:textId="77777777" w:rsidR="00047C52" w:rsidRPr="002D2F67" w:rsidRDefault="00047C52" w:rsidP="005611FE">
            <w:pPr>
              <w:pStyle w:val="acctfourfigures"/>
              <w:tabs>
                <w:tab w:val="clear" w:pos="765"/>
              </w:tabs>
              <w:spacing w:line="240" w:lineRule="auto"/>
              <w:ind w:right="-45"/>
              <w:jc w:val="center"/>
              <w:rPr>
                <w:rFonts w:ascii="Arial" w:hAnsi="Arial" w:cs="Arial"/>
                <w:b/>
                <w:bCs/>
                <w:color w:val="000000"/>
                <w:sz w:val="14"/>
                <w:szCs w:val="14"/>
                <w:lang w:bidi="th-TH"/>
              </w:rPr>
            </w:pPr>
            <w:r w:rsidRPr="002D2F67">
              <w:rPr>
                <w:rFonts w:ascii="Arial" w:hAnsi="Arial" w:cs="Arial"/>
                <w:b/>
                <w:bCs/>
                <w:color w:val="000000"/>
                <w:sz w:val="14"/>
                <w:szCs w:val="14"/>
                <w:lang w:bidi="th-TH"/>
              </w:rPr>
              <w:t>Dividend for the year</w:t>
            </w:r>
          </w:p>
        </w:tc>
      </w:tr>
      <w:tr w:rsidR="00575E11" w:rsidRPr="002D2F67" w14:paraId="7E42C784" w14:textId="77777777" w:rsidTr="004F4DED">
        <w:trPr>
          <w:cantSplit/>
          <w:trHeight w:val="335"/>
        </w:trPr>
        <w:tc>
          <w:tcPr>
            <w:tcW w:w="3431" w:type="dxa"/>
            <w:gridSpan w:val="2"/>
            <w:shd w:val="clear" w:color="auto" w:fill="auto"/>
            <w:vAlign w:val="bottom"/>
          </w:tcPr>
          <w:p w14:paraId="0EE8FCCE" w14:textId="77777777" w:rsidR="00047C52" w:rsidRPr="002D2F67" w:rsidRDefault="00047C52" w:rsidP="005611FE">
            <w:pPr>
              <w:pStyle w:val="acctfourfigures"/>
              <w:tabs>
                <w:tab w:val="clear" w:pos="765"/>
              </w:tabs>
              <w:spacing w:line="240" w:lineRule="auto"/>
              <w:ind w:left="148" w:right="-72"/>
              <w:jc w:val="center"/>
              <w:rPr>
                <w:rFonts w:ascii="Arial" w:hAnsi="Arial" w:cs="Arial"/>
                <w:b/>
                <w:bCs/>
                <w:color w:val="000000"/>
                <w:sz w:val="14"/>
                <w:szCs w:val="14"/>
                <w:lang w:bidi="th-TH"/>
              </w:rPr>
            </w:pPr>
          </w:p>
        </w:tc>
        <w:tc>
          <w:tcPr>
            <w:tcW w:w="4295" w:type="dxa"/>
            <w:shd w:val="clear" w:color="auto" w:fill="auto"/>
          </w:tcPr>
          <w:p w14:paraId="1B372EF3" w14:textId="77777777" w:rsidR="00047C52" w:rsidRPr="002D2F67" w:rsidRDefault="00047C52" w:rsidP="005611FE">
            <w:pPr>
              <w:pStyle w:val="acctfourfigures"/>
              <w:tabs>
                <w:tab w:val="clear" w:pos="765"/>
              </w:tabs>
              <w:spacing w:line="240" w:lineRule="auto"/>
              <w:ind w:left="-36" w:right="-72"/>
              <w:jc w:val="right"/>
              <w:rPr>
                <w:rFonts w:ascii="Arial" w:hAnsi="Arial" w:cs="Arial"/>
                <w:b/>
                <w:bCs/>
                <w:color w:val="000000"/>
                <w:spacing w:val="-4"/>
                <w:sz w:val="14"/>
                <w:szCs w:val="14"/>
                <w:lang w:bidi="th-TH"/>
              </w:rPr>
            </w:pPr>
          </w:p>
        </w:tc>
        <w:tc>
          <w:tcPr>
            <w:tcW w:w="1142" w:type="dxa"/>
            <w:tcBorders>
              <w:top w:val="single" w:sz="4" w:space="0" w:color="auto"/>
            </w:tcBorders>
            <w:shd w:val="clear" w:color="auto" w:fill="auto"/>
            <w:vAlign w:val="bottom"/>
          </w:tcPr>
          <w:p w14:paraId="40473FD3" w14:textId="7A82056E" w:rsidR="00047C52" w:rsidRPr="002D2F67" w:rsidRDefault="00CD5714"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047C52" w:rsidRPr="002D2F67">
              <w:rPr>
                <w:rFonts w:ascii="Arial" w:hAnsi="Arial" w:cs="Arial"/>
                <w:b/>
                <w:bCs/>
                <w:color w:val="000000"/>
                <w:sz w:val="14"/>
                <w:szCs w:val="14"/>
                <w:lang w:bidi="th-TH"/>
              </w:rPr>
              <w:t xml:space="preserve"> December</w:t>
            </w:r>
          </w:p>
          <w:p w14:paraId="5864A059" w14:textId="7CFA5A49" w:rsidR="00047C52" w:rsidRPr="002D2F67" w:rsidRDefault="00CD5714" w:rsidP="005611FE">
            <w:pPr>
              <w:pStyle w:val="acctfourfigures"/>
              <w:tabs>
                <w:tab w:val="clear" w:pos="765"/>
              </w:tabs>
              <w:spacing w:line="240" w:lineRule="auto"/>
              <w:ind w:left="-36" w:right="-72"/>
              <w:jc w:val="right"/>
              <w:rPr>
                <w:rFonts w:ascii="Arial" w:hAnsi="Arial" w:cs="Arial"/>
                <w:b/>
                <w:bCs/>
                <w:color w:val="000000"/>
                <w:spacing w:val="-4"/>
                <w:sz w:val="14"/>
                <w:szCs w:val="14"/>
                <w:lang w:bidi="th-TH"/>
              </w:rPr>
            </w:pPr>
            <w:r w:rsidRPr="00CD5714">
              <w:rPr>
                <w:rFonts w:ascii="Arial" w:hAnsi="Arial" w:cs="Arial"/>
                <w:b/>
                <w:bCs/>
                <w:color w:val="000000"/>
                <w:sz w:val="14"/>
                <w:szCs w:val="14"/>
                <w:lang w:val="en-GB" w:bidi="th-TH"/>
              </w:rPr>
              <w:t>2024</w:t>
            </w:r>
          </w:p>
        </w:tc>
        <w:tc>
          <w:tcPr>
            <w:tcW w:w="1143" w:type="dxa"/>
            <w:tcBorders>
              <w:top w:val="single" w:sz="4" w:space="0" w:color="auto"/>
            </w:tcBorders>
            <w:shd w:val="clear" w:color="auto" w:fill="auto"/>
            <w:vAlign w:val="bottom"/>
          </w:tcPr>
          <w:p w14:paraId="65D0801C" w14:textId="3E2BD3AD" w:rsidR="00047C52" w:rsidRPr="002D2F67" w:rsidRDefault="00CD5714"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047C52" w:rsidRPr="002D2F67">
              <w:rPr>
                <w:rFonts w:ascii="Arial" w:hAnsi="Arial" w:cs="Arial"/>
                <w:b/>
                <w:bCs/>
                <w:color w:val="000000"/>
                <w:sz w:val="14"/>
                <w:szCs w:val="14"/>
                <w:lang w:bidi="th-TH"/>
              </w:rPr>
              <w:t xml:space="preserve"> December</w:t>
            </w:r>
          </w:p>
          <w:p w14:paraId="67A79BDA" w14:textId="532C9AF6" w:rsidR="00047C52" w:rsidRPr="002D2F67" w:rsidRDefault="00CD5714" w:rsidP="005611FE">
            <w:pPr>
              <w:pStyle w:val="acctfourfigures"/>
              <w:tabs>
                <w:tab w:val="clear" w:pos="765"/>
              </w:tabs>
              <w:spacing w:line="240" w:lineRule="auto"/>
              <w:ind w:left="-36" w:right="-72"/>
              <w:jc w:val="right"/>
              <w:rPr>
                <w:rFonts w:ascii="Arial" w:hAnsi="Arial" w:cs="Arial"/>
                <w:b/>
                <w:bCs/>
                <w:color w:val="000000"/>
                <w:spacing w:val="-4"/>
                <w:sz w:val="14"/>
                <w:szCs w:val="14"/>
                <w:lang w:bidi="th-TH"/>
              </w:rPr>
            </w:pPr>
            <w:r w:rsidRPr="00CD5714">
              <w:rPr>
                <w:rFonts w:ascii="Arial" w:hAnsi="Arial" w:cs="Arial"/>
                <w:b/>
                <w:bCs/>
                <w:color w:val="000000"/>
                <w:sz w:val="14"/>
                <w:szCs w:val="14"/>
                <w:lang w:val="en-GB" w:bidi="th-TH"/>
              </w:rPr>
              <w:t>2023</w:t>
            </w:r>
          </w:p>
        </w:tc>
        <w:tc>
          <w:tcPr>
            <w:tcW w:w="1143" w:type="dxa"/>
            <w:tcBorders>
              <w:top w:val="single" w:sz="4" w:space="0" w:color="auto"/>
            </w:tcBorders>
            <w:shd w:val="clear" w:color="auto" w:fill="auto"/>
            <w:vAlign w:val="bottom"/>
          </w:tcPr>
          <w:p w14:paraId="5EE099C0" w14:textId="7EF6C892" w:rsidR="00047C52" w:rsidRPr="002D2F67" w:rsidRDefault="00CD5714"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047C52" w:rsidRPr="002D2F67">
              <w:rPr>
                <w:rFonts w:ascii="Arial" w:hAnsi="Arial" w:cs="Arial"/>
                <w:b/>
                <w:bCs/>
                <w:color w:val="000000"/>
                <w:sz w:val="14"/>
                <w:szCs w:val="14"/>
                <w:lang w:bidi="th-TH"/>
              </w:rPr>
              <w:t xml:space="preserve"> December</w:t>
            </w:r>
          </w:p>
          <w:p w14:paraId="060BD904" w14:textId="1A2A3438" w:rsidR="00047C52" w:rsidRPr="002D2F67" w:rsidRDefault="00CD5714" w:rsidP="005611FE">
            <w:pPr>
              <w:pStyle w:val="acctfourfigures"/>
              <w:tabs>
                <w:tab w:val="clear" w:pos="765"/>
              </w:tabs>
              <w:spacing w:line="240" w:lineRule="auto"/>
              <w:ind w:left="-36" w:right="-72"/>
              <w:jc w:val="right"/>
              <w:rPr>
                <w:rFonts w:ascii="Arial" w:hAnsi="Arial" w:cs="Arial"/>
                <w:b/>
                <w:bCs/>
                <w:color w:val="000000"/>
                <w:spacing w:val="-4"/>
                <w:sz w:val="14"/>
                <w:szCs w:val="14"/>
                <w:lang w:bidi="th-TH"/>
              </w:rPr>
            </w:pPr>
            <w:r w:rsidRPr="00CD5714">
              <w:rPr>
                <w:rFonts w:ascii="Arial" w:hAnsi="Arial" w:cs="Arial"/>
                <w:b/>
                <w:bCs/>
                <w:color w:val="000000"/>
                <w:sz w:val="14"/>
                <w:szCs w:val="14"/>
                <w:lang w:val="en-GB" w:bidi="th-TH"/>
              </w:rPr>
              <w:t>2024</w:t>
            </w:r>
          </w:p>
        </w:tc>
        <w:tc>
          <w:tcPr>
            <w:tcW w:w="1142" w:type="dxa"/>
            <w:tcBorders>
              <w:top w:val="single" w:sz="4" w:space="0" w:color="auto"/>
            </w:tcBorders>
            <w:shd w:val="clear" w:color="auto" w:fill="auto"/>
            <w:vAlign w:val="bottom"/>
          </w:tcPr>
          <w:p w14:paraId="02DEF2F9" w14:textId="3ADB4091" w:rsidR="00047C52" w:rsidRPr="002D2F67" w:rsidRDefault="00CD5714"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047C52" w:rsidRPr="002D2F67">
              <w:rPr>
                <w:rFonts w:ascii="Arial" w:hAnsi="Arial" w:cs="Arial"/>
                <w:b/>
                <w:bCs/>
                <w:color w:val="000000"/>
                <w:sz w:val="14"/>
                <w:szCs w:val="14"/>
                <w:lang w:bidi="th-TH"/>
              </w:rPr>
              <w:t xml:space="preserve"> December</w:t>
            </w:r>
          </w:p>
          <w:p w14:paraId="4EEC0C54" w14:textId="6E01F2A1" w:rsidR="00047C52" w:rsidRPr="002D2F67" w:rsidRDefault="00CD5714" w:rsidP="005611FE">
            <w:pPr>
              <w:pStyle w:val="acctfourfigures"/>
              <w:tabs>
                <w:tab w:val="clear" w:pos="765"/>
              </w:tabs>
              <w:spacing w:line="240" w:lineRule="auto"/>
              <w:ind w:left="-36" w:right="-72"/>
              <w:jc w:val="right"/>
              <w:rPr>
                <w:rFonts w:ascii="Arial" w:hAnsi="Arial" w:cs="Arial"/>
                <w:b/>
                <w:bCs/>
                <w:color w:val="000000"/>
                <w:spacing w:val="-4"/>
                <w:sz w:val="14"/>
                <w:szCs w:val="14"/>
                <w:lang w:bidi="th-TH"/>
              </w:rPr>
            </w:pPr>
            <w:r w:rsidRPr="00CD5714">
              <w:rPr>
                <w:rFonts w:ascii="Arial" w:hAnsi="Arial" w:cs="Arial"/>
                <w:b/>
                <w:bCs/>
                <w:color w:val="000000"/>
                <w:sz w:val="14"/>
                <w:szCs w:val="14"/>
                <w:lang w:val="en-GB" w:bidi="th-TH"/>
              </w:rPr>
              <w:t>2023</w:t>
            </w:r>
          </w:p>
        </w:tc>
        <w:tc>
          <w:tcPr>
            <w:tcW w:w="1142" w:type="dxa"/>
            <w:tcBorders>
              <w:top w:val="single" w:sz="4" w:space="0" w:color="auto"/>
            </w:tcBorders>
            <w:shd w:val="clear" w:color="auto" w:fill="auto"/>
            <w:vAlign w:val="bottom"/>
          </w:tcPr>
          <w:p w14:paraId="78132525" w14:textId="56C32390" w:rsidR="00047C52" w:rsidRPr="002D2F67" w:rsidRDefault="00CD5714"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047C52" w:rsidRPr="002D2F67">
              <w:rPr>
                <w:rFonts w:ascii="Arial" w:hAnsi="Arial" w:cs="Arial"/>
                <w:b/>
                <w:bCs/>
                <w:color w:val="000000"/>
                <w:sz w:val="14"/>
                <w:szCs w:val="14"/>
                <w:lang w:bidi="th-TH"/>
              </w:rPr>
              <w:t xml:space="preserve"> December</w:t>
            </w:r>
          </w:p>
          <w:p w14:paraId="6C31D952" w14:textId="11E3632E" w:rsidR="00047C52" w:rsidRPr="002D2F67" w:rsidRDefault="00CD5714" w:rsidP="005611FE">
            <w:pPr>
              <w:pStyle w:val="acctfourfigures"/>
              <w:tabs>
                <w:tab w:val="clear" w:pos="765"/>
              </w:tabs>
              <w:spacing w:line="240" w:lineRule="auto"/>
              <w:ind w:left="-36" w:right="-72"/>
              <w:jc w:val="right"/>
              <w:rPr>
                <w:rFonts w:ascii="Arial" w:hAnsi="Arial" w:cs="Arial"/>
                <w:b/>
                <w:bCs/>
                <w:color w:val="000000"/>
                <w:spacing w:val="-4"/>
                <w:sz w:val="14"/>
                <w:szCs w:val="14"/>
                <w:lang w:bidi="th-TH"/>
              </w:rPr>
            </w:pPr>
            <w:r w:rsidRPr="00CD5714">
              <w:rPr>
                <w:rFonts w:ascii="Arial" w:hAnsi="Arial" w:cs="Arial"/>
                <w:b/>
                <w:bCs/>
                <w:color w:val="000000"/>
                <w:sz w:val="14"/>
                <w:szCs w:val="14"/>
                <w:lang w:val="en-GB" w:bidi="th-TH"/>
              </w:rPr>
              <w:t>2024</w:t>
            </w:r>
          </w:p>
        </w:tc>
        <w:tc>
          <w:tcPr>
            <w:tcW w:w="1083" w:type="dxa"/>
            <w:tcBorders>
              <w:top w:val="single" w:sz="4" w:space="0" w:color="auto"/>
            </w:tcBorders>
            <w:shd w:val="clear" w:color="auto" w:fill="auto"/>
            <w:vAlign w:val="bottom"/>
          </w:tcPr>
          <w:p w14:paraId="4D02F565" w14:textId="6112AE09" w:rsidR="00047C52" w:rsidRPr="002D2F67" w:rsidRDefault="00CD5714"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047C52" w:rsidRPr="002D2F67">
              <w:rPr>
                <w:rFonts w:ascii="Arial" w:hAnsi="Arial" w:cs="Arial"/>
                <w:b/>
                <w:bCs/>
                <w:color w:val="000000"/>
                <w:sz w:val="14"/>
                <w:szCs w:val="14"/>
                <w:lang w:bidi="th-TH"/>
              </w:rPr>
              <w:t xml:space="preserve"> December</w:t>
            </w:r>
          </w:p>
          <w:p w14:paraId="58F3063A" w14:textId="60F4716F" w:rsidR="00047C52" w:rsidRPr="002D2F67" w:rsidRDefault="00CD5714" w:rsidP="005611FE">
            <w:pPr>
              <w:pStyle w:val="acctfourfigures"/>
              <w:tabs>
                <w:tab w:val="clear" w:pos="765"/>
              </w:tabs>
              <w:spacing w:line="240" w:lineRule="auto"/>
              <w:ind w:left="-36" w:right="-72"/>
              <w:jc w:val="right"/>
              <w:rPr>
                <w:rFonts w:ascii="Arial" w:hAnsi="Arial" w:cs="Arial"/>
                <w:b/>
                <w:bCs/>
                <w:color w:val="000000"/>
                <w:spacing w:val="-4"/>
                <w:sz w:val="14"/>
                <w:szCs w:val="14"/>
                <w:lang w:bidi="th-TH"/>
              </w:rPr>
            </w:pPr>
            <w:r w:rsidRPr="00CD5714">
              <w:rPr>
                <w:rFonts w:ascii="Arial" w:hAnsi="Arial" w:cs="Arial"/>
                <w:b/>
                <w:bCs/>
                <w:color w:val="000000"/>
                <w:sz w:val="14"/>
                <w:szCs w:val="14"/>
                <w:lang w:val="en-GB" w:bidi="th-TH"/>
              </w:rPr>
              <w:t>2023</w:t>
            </w:r>
          </w:p>
        </w:tc>
      </w:tr>
      <w:tr w:rsidR="00575E11" w:rsidRPr="002D2F67" w14:paraId="60BA4B2E" w14:textId="77777777" w:rsidTr="004F4DED">
        <w:trPr>
          <w:cantSplit/>
          <w:trHeight w:val="174"/>
        </w:trPr>
        <w:tc>
          <w:tcPr>
            <w:tcW w:w="3431" w:type="dxa"/>
            <w:gridSpan w:val="2"/>
            <w:shd w:val="clear" w:color="auto" w:fill="auto"/>
            <w:vAlign w:val="bottom"/>
          </w:tcPr>
          <w:p w14:paraId="62ED1B19" w14:textId="77777777" w:rsidR="00047C52" w:rsidRPr="002D2F67" w:rsidRDefault="00047C52" w:rsidP="005611FE">
            <w:pPr>
              <w:pStyle w:val="acctfourfigures"/>
              <w:tabs>
                <w:tab w:val="clear" w:pos="765"/>
              </w:tabs>
              <w:spacing w:line="240" w:lineRule="auto"/>
              <w:ind w:left="148" w:right="-72"/>
              <w:jc w:val="center"/>
              <w:rPr>
                <w:rFonts w:ascii="Arial" w:hAnsi="Arial" w:cs="Arial"/>
                <w:b/>
                <w:bCs/>
                <w:color w:val="000000"/>
                <w:sz w:val="14"/>
                <w:szCs w:val="14"/>
                <w:lang w:bidi="th-TH"/>
              </w:rPr>
            </w:pPr>
          </w:p>
        </w:tc>
        <w:tc>
          <w:tcPr>
            <w:tcW w:w="4295" w:type="dxa"/>
            <w:tcBorders>
              <w:bottom w:val="single" w:sz="4" w:space="0" w:color="auto"/>
            </w:tcBorders>
            <w:shd w:val="clear" w:color="auto" w:fill="auto"/>
          </w:tcPr>
          <w:p w14:paraId="3D356992" w14:textId="77777777" w:rsidR="00047C52" w:rsidRPr="002D2F67" w:rsidRDefault="00047C52" w:rsidP="005611FE">
            <w:pPr>
              <w:pStyle w:val="acctfourfigures"/>
              <w:tabs>
                <w:tab w:val="clear" w:pos="765"/>
              </w:tabs>
              <w:spacing w:line="240" w:lineRule="auto"/>
              <w:ind w:left="-36" w:right="-72"/>
              <w:jc w:val="center"/>
              <w:rPr>
                <w:rFonts w:ascii="Arial" w:hAnsi="Arial" w:cs="Arial"/>
                <w:b/>
                <w:bCs/>
                <w:color w:val="000000"/>
                <w:sz w:val="14"/>
                <w:szCs w:val="14"/>
                <w:lang w:bidi="th-TH"/>
              </w:rPr>
            </w:pPr>
            <w:r w:rsidRPr="002D2F67">
              <w:rPr>
                <w:rFonts w:ascii="Arial" w:hAnsi="Arial" w:cs="Arial"/>
                <w:b/>
                <w:bCs/>
                <w:color w:val="000000"/>
                <w:sz w:val="14"/>
                <w:szCs w:val="14"/>
                <w:lang w:bidi="th-TH"/>
              </w:rPr>
              <w:t>Business</w:t>
            </w:r>
          </w:p>
        </w:tc>
        <w:tc>
          <w:tcPr>
            <w:tcW w:w="1142" w:type="dxa"/>
            <w:tcBorders>
              <w:bottom w:val="single" w:sz="4" w:space="0" w:color="auto"/>
            </w:tcBorders>
            <w:shd w:val="clear" w:color="auto" w:fill="auto"/>
            <w:vAlign w:val="bottom"/>
          </w:tcPr>
          <w:p w14:paraId="417B87AC" w14:textId="77777777" w:rsidR="00047C52" w:rsidRPr="002D2F67" w:rsidRDefault="00047C52"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2D2F67">
              <w:rPr>
                <w:rFonts w:ascii="Arial" w:hAnsi="Arial" w:cs="Arial"/>
                <w:b/>
                <w:bCs/>
                <w:color w:val="000000"/>
                <w:sz w:val="14"/>
                <w:szCs w:val="14"/>
                <w:lang w:bidi="th-TH"/>
              </w:rPr>
              <w:t>%</w:t>
            </w:r>
          </w:p>
        </w:tc>
        <w:tc>
          <w:tcPr>
            <w:tcW w:w="1143" w:type="dxa"/>
            <w:tcBorders>
              <w:bottom w:val="single" w:sz="4" w:space="0" w:color="auto"/>
            </w:tcBorders>
            <w:shd w:val="clear" w:color="auto" w:fill="auto"/>
            <w:vAlign w:val="bottom"/>
          </w:tcPr>
          <w:p w14:paraId="3B109CA3" w14:textId="77777777" w:rsidR="00047C52" w:rsidRPr="002D2F67" w:rsidRDefault="00047C52" w:rsidP="005611FE">
            <w:pPr>
              <w:pStyle w:val="acctfourfigures"/>
              <w:tabs>
                <w:tab w:val="clear" w:pos="765"/>
              </w:tabs>
              <w:spacing w:line="240" w:lineRule="auto"/>
              <w:ind w:left="-36" w:right="-72"/>
              <w:jc w:val="right"/>
              <w:rPr>
                <w:rFonts w:ascii="Arial" w:hAnsi="Arial" w:cs="Arial"/>
                <w:b/>
                <w:bCs/>
                <w:color w:val="000000"/>
                <w:sz w:val="14"/>
                <w:szCs w:val="14"/>
                <w:lang w:bidi="th-TH"/>
              </w:rPr>
            </w:pPr>
            <w:r w:rsidRPr="002D2F67">
              <w:rPr>
                <w:rFonts w:ascii="Arial" w:hAnsi="Arial" w:cs="Arial"/>
                <w:b/>
                <w:bCs/>
                <w:color w:val="000000"/>
                <w:sz w:val="14"/>
                <w:szCs w:val="14"/>
                <w:lang w:bidi="th-TH"/>
              </w:rPr>
              <w:t>%</w:t>
            </w:r>
          </w:p>
        </w:tc>
        <w:tc>
          <w:tcPr>
            <w:tcW w:w="1143" w:type="dxa"/>
            <w:tcBorders>
              <w:bottom w:val="single" w:sz="4" w:space="0" w:color="auto"/>
            </w:tcBorders>
            <w:shd w:val="clear" w:color="auto" w:fill="auto"/>
          </w:tcPr>
          <w:p w14:paraId="0755FA2D" w14:textId="0937A09D" w:rsidR="00047C52" w:rsidRPr="002D2F67" w:rsidRDefault="00047C52" w:rsidP="005611FE">
            <w:pPr>
              <w:pStyle w:val="acctfourfigures"/>
              <w:tabs>
                <w:tab w:val="clear" w:pos="765"/>
              </w:tabs>
              <w:spacing w:line="240" w:lineRule="auto"/>
              <w:ind w:right="-72"/>
              <w:jc w:val="right"/>
              <w:rPr>
                <w:rFonts w:ascii="Arial" w:hAnsi="Arial" w:cs="Arial"/>
                <w:b/>
                <w:bCs/>
                <w:color w:val="000000"/>
                <w:sz w:val="14"/>
                <w:szCs w:val="14"/>
                <w:lang w:bidi="th-TH"/>
              </w:rPr>
            </w:pPr>
            <w:r w:rsidRPr="002D2F67">
              <w:rPr>
                <w:rFonts w:ascii="Arial" w:hAnsi="Arial" w:cs="Arial"/>
                <w:b/>
                <w:bCs/>
                <w:color w:val="000000"/>
                <w:sz w:val="14"/>
                <w:szCs w:val="14"/>
              </w:rPr>
              <w:t>Baht’</w:t>
            </w:r>
            <w:r w:rsidR="00CD5714" w:rsidRPr="00CD5714">
              <w:rPr>
                <w:rFonts w:ascii="Arial" w:hAnsi="Arial" w:cs="Arial"/>
                <w:b/>
                <w:bCs/>
                <w:color w:val="000000"/>
                <w:sz w:val="14"/>
                <w:szCs w:val="14"/>
                <w:lang w:val="en-GB"/>
              </w:rPr>
              <w:t>000</w:t>
            </w:r>
          </w:p>
        </w:tc>
        <w:tc>
          <w:tcPr>
            <w:tcW w:w="1142" w:type="dxa"/>
            <w:tcBorders>
              <w:bottom w:val="single" w:sz="4" w:space="0" w:color="auto"/>
            </w:tcBorders>
            <w:shd w:val="clear" w:color="auto" w:fill="auto"/>
          </w:tcPr>
          <w:p w14:paraId="086B457A" w14:textId="40821CDB" w:rsidR="00047C52" w:rsidRPr="002D2F67" w:rsidRDefault="00047C52" w:rsidP="005611FE">
            <w:pPr>
              <w:pStyle w:val="acctfourfigures"/>
              <w:tabs>
                <w:tab w:val="clear" w:pos="765"/>
              </w:tabs>
              <w:spacing w:line="240" w:lineRule="auto"/>
              <w:ind w:right="-72"/>
              <w:jc w:val="right"/>
              <w:rPr>
                <w:rFonts w:ascii="Arial" w:hAnsi="Arial" w:cs="Arial"/>
                <w:b/>
                <w:bCs/>
                <w:color w:val="000000"/>
                <w:sz w:val="14"/>
                <w:szCs w:val="14"/>
                <w:lang w:bidi="th-TH"/>
              </w:rPr>
            </w:pPr>
            <w:r w:rsidRPr="002D2F67">
              <w:rPr>
                <w:rFonts w:ascii="Arial" w:hAnsi="Arial" w:cs="Arial"/>
                <w:b/>
                <w:bCs/>
                <w:color w:val="000000"/>
                <w:sz w:val="14"/>
                <w:szCs w:val="14"/>
              </w:rPr>
              <w:t>Baht’</w:t>
            </w:r>
            <w:r w:rsidR="00CD5714" w:rsidRPr="00CD5714">
              <w:rPr>
                <w:rFonts w:ascii="Arial" w:hAnsi="Arial" w:cs="Arial"/>
                <w:b/>
                <w:bCs/>
                <w:color w:val="000000"/>
                <w:sz w:val="14"/>
                <w:szCs w:val="14"/>
                <w:lang w:val="en-GB"/>
              </w:rPr>
              <w:t>000</w:t>
            </w:r>
          </w:p>
        </w:tc>
        <w:tc>
          <w:tcPr>
            <w:tcW w:w="1142" w:type="dxa"/>
            <w:tcBorders>
              <w:bottom w:val="single" w:sz="4" w:space="0" w:color="auto"/>
            </w:tcBorders>
            <w:shd w:val="clear" w:color="auto" w:fill="auto"/>
          </w:tcPr>
          <w:p w14:paraId="1655047B" w14:textId="487D5DB0" w:rsidR="00047C52" w:rsidRPr="002D2F67" w:rsidRDefault="00047C52" w:rsidP="005611FE">
            <w:pPr>
              <w:pStyle w:val="acctfourfigures"/>
              <w:tabs>
                <w:tab w:val="clear" w:pos="765"/>
              </w:tabs>
              <w:spacing w:line="240" w:lineRule="auto"/>
              <w:ind w:right="-72"/>
              <w:jc w:val="right"/>
              <w:rPr>
                <w:rFonts w:ascii="Arial" w:hAnsi="Arial" w:cs="Arial"/>
                <w:b/>
                <w:bCs/>
                <w:color w:val="000000"/>
                <w:sz w:val="14"/>
                <w:szCs w:val="14"/>
                <w:lang w:bidi="th-TH"/>
              </w:rPr>
            </w:pPr>
            <w:r w:rsidRPr="002D2F67">
              <w:rPr>
                <w:rFonts w:ascii="Arial" w:hAnsi="Arial" w:cs="Arial"/>
                <w:b/>
                <w:bCs/>
                <w:color w:val="000000"/>
                <w:sz w:val="14"/>
                <w:szCs w:val="14"/>
              </w:rPr>
              <w:t>Baht’</w:t>
            </w:r>
            <w:r w:rsidR="00CD5714" w:rsidRPr="00CD5714">
              <w:rPr>
                <w:rFonts w:ascii="Arial" w:hAnsi="Arial" w:cs="Arial"/>
                <w:b/>
                <w:bCs/>
                <w:color w:val="000000"/>
                <w:sz w:val="14"/>
                <w:szCs w:val="14"/>
                <w:lang w:val="en-GB"/>
              </w:rPr>
              <w:t>000</w:t>
            </w:r>
          </w:p>
        </w:tc>
        <w:tc>
          <w:tcPr>
            <w:tcW w:w="1083" w:type="dxa"/>
            <w:tcBorders>
              <w:bottom w:val="single" w:sz="4" w:space="0" w:color="auto"/>
            </w:tcBorders>
            <w:shd w:val="clear" w:color="auto" w:fill="auto"/>
          </w:tcPr>
          <w:p w14:paraId="5699AE23" w14:textId="3515B1A2" w:rsidR="00047C52" w:rsidRPr="002D2F67" w:rsidRDefault="00047C52" w:rsidP="005611FE">
            <w:pPr>
              <w:pStyle w:val="acctfourfigures"/>
              <w:tabs>
                <w:tab w:val="clear" w:pos="765"/>
              </w:tabs>
              <w:spacing w:line="240" w:lineRule="auto"/>
              <w:ind w:right="-72"/>
              <w:jc w:val="right"/>
              <w:rPr>
                <w:rFonts w:ascii="Arial" w:hAnsi="Arial" w:cs="Arial"/>
                <w:b/>
                <w:bCs/>
                <w:color w:val="000000"/>
                <w:sz w:val="14"/>
                <w:szCs w:val="14"/>
                <w:lang w:bidi="th-TH"/>
              </w:rPr>
            </w:pPr>
            <w:r w:rsidRPr="002D2F67">
              <w:rPr>
                <w:rFonts w:ascii="Arial" w:hAnsi="Arial" w:cs="Arial"/>
                <w:b/>
                <w:bCs/>
                <w:color w:val="000000"/>
                <w:sz w:val="14"/>
                <w:szCs w:val="14"/>
              </w:rPr>
              <w:t>Baht’</w:t>
            </w:r>
            <w:r w:rsidR="00CD5714" w:rsidRPr="00CD5714">
              <w:rPr>
                <w:rFonts w:ascii="Arial" w:hAnsi="Arial" w:cs="Arial"/>
                <w:b/>
                <w:bCs/>
                <w:color w:val="000000"/>
                <w:sz w:val="14"/>
                <w:szCs w:val="14"/>
                <w:lang w:val="en-GB"/>
              </w:rPr>
              <w:t>000</w:t>
            </w:r>
          </w:p>
        </w:tc>
      </w:tr>
      <w:tr w:rsidR="00575E11" w:rsidRPr="002D2F67" w14:paraId="091D4C9A" w14:textId="77777777" w:rsidTr="004F4DED">
        <w:trPr>
          <w:cantSplit/>
          <w:trHeight w:val="127"/>
        </w:trPr>
        <w:tc>
          <w:tcPr>
            <w:tcW w:w="3431" w:type="dxa"/>
            <w:gridSpan w:val="2"/>
            <w:shd w:val="clear" w:color="auto" w:fill="auto"/>
          </w:tcPr>
          <w:p w14:paraId="65E31513" w14:textId="77777777" w:rsidR="00047C52" w:rsidRPr="002D2F67" w:rsidRDefault="00047C52" w:rsidP="005611FE">
            <w:pPr>
              <w:pStyle w:val="acctfourfigures"/>
              <w:tabs>
                <w:tab w:val="clear" w:pos="765"/>
              </w:tabs>
              <w:spacing w:line="240" w:lineRule="auto"/>
              <w:ind w:left="148" w:right="-72"/>
              <w:rPr>
                <w:rFonts w:ascii="Arial" w:hAnsi="Arial" w:cs="Arial"/>
                <w:color w:val="000000"/>
                <w:sz w:val="10"/>
                <w:szCs w:val="10"/>
                <w:lang w:bidi="th-TH"/>
              </w:rPr>
            </w:pPr>
          </w:p>
        </w:tc>
        <w:tc>
          <w:tcPr>
            <w:tcW w:w="4295" w:type="dxa"/>
            <w:tcBorders>
              <w:top w:val="single" w:sz="4" w:space="0" w:color="auto"/>
            </w:tcBorders>
            <w:shd w:val="clear" w:color="auto" w:fill="auto"/>
          </w:tcPr>
          <w:p w14:paraId="53AC7349" w14:textId="77777777" w:rsidR="00047C52" w:rsidRPr="002D2F67" w:rsidRDefault="00047C52" w:rsidP="005611FE">
            <w:pPr>
              <w:pStyle w:val="acctfourfigures"/>
              <w:tabs>
                <w:tab w:val="clear" w:pos="765"/>
              </w:tabs>
              <w:spacing w:line="240" w:lineRule="auto"/>
              <w:ind w:right="-72"/>
              <w:rPr>
                <w:rFonts w:ascii="Arial" w:hAnsi="Arial" w:cs="Arial"/>
                <w:color w:val="000000"/>
                <w:sz w:val="10"/>
                <w:szCs w:val="10"/>
                <w:lang w:bidi="th-TH"/>
              </w:rPr>
            </w:pPr>
          </w:p>
        </w:tc>
        <w:tc>
          <w:tcPr>
            <w:tcW w:w="1142" w:type="dxa"/>
            <w:tcBorders>
              <w:top w:val="single" w:sz="4" w:space="0" w:color="auto"/>
            </w:tcBorders>
            <w:shd w:val="clear" w:color="auto" w:fill="auto"/>
          </w:tcPr>
          <w:p w14:paraId="741133AC" w14:textId="77777777" w:rsidR="00047C52" w:rsidRPr="002D2F67" w:rsidRDefault="00047C52" w:rsidP="005611FE">
            <w:pPr>
              <w:pStyle w:val="acctfourfigures"/>
              <w:tabs>
                <w:tab w:val="clear" w:pos="765"/>
              </w:tabs>
              <w:spacing w:line="240" w:lineRule="auto"/>
              <w:ind w:right="-86"/>
              <w:jc w:val="right"/>
              <w:rPr>
                <w:rFonts w:ascii="Arial" w:hAnsi="Arial" w:cs="Arial"/>
                <w:color w:val="000000"/>
                <w:sz w:val="10"/>
                <w:szCs w:val="10"/>
                <w:lang w:bidi="th-TH"/>
              </w:rPr>
            </w:pPr>
          </w:p>
        </w:tc>
        <w:tc>
          <w:tcPr>
            <w:tcW w:w="1143" w:type="dxa"/>
            <w:tcBorders>
              <w:top w:val="single" w:sz="4" w:space="0" w:color="auto"/>
            </w:tcBorders>
            <w:shd w:val="clear" w:color="auto" w:fill="auto"/>
          </w:tcPr>
          <w:p w14:paraId="52F84D29" w14:textId="77777777" w:rsidR="00047C52" w:rsidRPr="002D2F67" w:rsidRDefault="00047C52" w:rsidP="005611FE">
            <w:pPr>
              <w:pStyle w:val="acctfourfigures"/>
              <w:tabs>
                <w:tab w:val="clear" w:pos="765"/>
              </w:tabs>
              <w:spacing w:line="240" w:lineRule="auto"/>
              <w:ind w:right="-86"/>
              <w:jc w:val="right"/>
              <w:rPr>
                <w:rFonts w:ascii="Arial" w:hAnsi="Arial" w:cs="Arial"/>
                <w:color w:val="000000"/>
                <w:sz w:val="10"/>
                <w:szCs w:val="10"/>
                <w:lang w:bidi="th-TH"/>
              </w:rPr>
            </w:pPr>
          </w:p>
        </w:tc>
        <w:tc>
          <w:tcPr>
            <w:tcW w:w="1143" w:type="dxa"/>
            <w:tcBorders>
              <w:top w:val="single" w:sz="4" w:space="0" w:color="auto"/>
            </w:tcBorders>
            <w:shd w:val="clear" w:color="auto" w:fill="auto"/>
          </w:tcPr>
          <w:p w14:paraId="1AB50B84" w14:textId="77777777" w:rsidR="00047C52" w:rsidRPr="002D2F67" w:rsidRDefault="00047C52" w:rsidP="005611FE">
            <w:pPr>
              <w:pStyle w:val="acctfourfigures"/>
              <w:tabs>
                <w:tab w:val="clear" w:pos="765"/>
              </w:tabs>
              <w:spacing w:line="240" w:lineRule="auto"/>
              <w:ind w:right="-86"/>
              <w:jc w:val="right"/>
              <w:rPr>
                <w:rFonts w:ascii="Arial" w:hAnsi="Arial" w:cs="Arial"/>
                <w:color w:val="000000"/>
                <w:sz w:val="10"/>
                <w:szCs w:val="10"/>
                <w:lang w:bidi="th-TH"/>
              </w:rPr>
            </w:pPr>
          </w:p>
        </w:tc>
        <w:tc>
          <w:tcPr>
            <w:tcW w:w="1142" w:type="dxa"/>
            <w:tcBorders>
              <w:top w:val="single" w:sz="4" w:space="0" w:color="auto"/>
            </w:tcBorders>
            <w:shd w:val="clear" w:color="auto" w:fill="auto"/>
          </w:tcPr>
          <w:p w14:paraId="2E8796D4" w14:textId="77777777" w:rsidR="00047C52" w:rsidRPr="002D2F67" w:rsidRDefault="00047C52" w:rsidP="005611FE">
            <w:pPr>
              <w:pStyle w:val="acctfourfigures"/>
              <w:tabs>
                <w:tab w:val="clear" w:pos="765"/>
              </w:tabs>
              <w:spacing w:line="240" w:lineRule="auto"/>
              <w:ind w:right="-86"/>
              <w:jc w:val="right"/>
              <w:rPr>
                <w:rFonts w:ascii="Arial" w:hAnsi="Arial" w:cs="Arial"/>
                <w:color w:val="000000"/>
                <w:sz w:val="10"/>
                <w:szCs w:val="10"/>
                <w:lang w:bidi="th-TH"/>
              </w:rPr>
            </w:pPr>
          </w:p>
        </w:tc>
        <w:tc>
          <w:tcPr>
            <w:tcW w:w="1142" w:type="dxa"/>
            <w:tcBorders>
              <w:top w:val="single" w:sz="4" w:space="0" w:color="auto"/>
            </w:tcBorders>
            <w:shd w:val="clear" w:color="auto" w:fill="auto"/>
          </w:tcPr>
          <w:p w14:paraId="22B20E9F" w14:textId="77777777" w:rsidR="00047C52" w:rsidRPr="002D2F67" w:rsidRDefault="00047C52" w:rsidP="005611FE">
            <w:pPr>
              <w:pStyle w:val="acctfourfigures"/>
              <w:tabs>
                <w:tab w:val="clear" w:pos="765"/>
              </w:tabs>
              <w:spacing w:line="240" w:lineRule="auto"/>
              <w:ind w:right="-86"/>
              <w:jc w:val="right"/>
              <w:rPr>
                <w:rFonts w:ascii="Arial" w:hAnsi="Arial" w:cs="Arial"/>
                <w:color w:val="000000"/>
                <w:sz w:val="10"/>
                <w:szCs w:val="10"/>
                <w:lang w:bidi="th-TH"/>
              </w:rPr>
            </w:pPr>
          </w:p>
        </w:tc>
        <w:tc>
          <w:tcPr>
            <w:tcW w:w="1083" w:type="dxa"/>
            <w:tcBorders>
              <w:top w:val="single" w:sz="4" w:space="0" w:color="auto"/>
            </w:tcBorders>
            <w:shd w:val="clear" w:color="auto" w:fill="auto"/>
          </w:tcPr>
          <w:p w14:paraId="23E7A7CE" w14:textId="77777777" w:rsidR="00047C52" w:rsidRPr="002D2F67" w:rsidRDefault="00047C52" w:rsidP="005611FE">
            <w:pPr>
              <w:pStyle w:val="acctfourfigures"/>
              <w:tabs>
                <w:tab w:val="clear" w:pos="765"/>
              </w:tabs>
              <w:spacing w:line="240" w:lineRule="auto"/>
              <w:ind w:right="-86"/>
              <w:jc w:val="right"/>
              <w:rPr>
                <w:rFonts w:ascii="Arial" w:hAnsi="Arial" w:cs="Arial"/>
                <w:color w:val="000000"/>
                <w:sz w:val="10"/>
                <w:szCs w:val="10"/>
                <w:lang w:bidi="th-TH"/>
              </w:rPr>
            </w:pPr>
          </w:p>
        </w:tc>
      </w:tr>
      <w:tr w:rsidR="00575E11" w:rsidRPr="002D2F67" w14:paraId="4185190E" w14:textId="77777777" w:rsidTr="004F4DED">
        <w:trPr>
          <w:cantSplit/>
          <w:trHeight w:val="162"/>
        </w:trPr>
        <w:tc>
          <w:tcPr>
            <w:tcW w:w="7726" w:type="dxa"/>
            <w:gridSpan w:val="3"/>
            <w:shd w:val="clear" w:color="auto" w:fill="auto"/>
          </w:tcPr>
          <w:p w14:paraId="44105D5A" w14:textId="3BA38C94" w:rsidR="00047C52" w:rsidRPr="002D2F67" w:rsidRDefault="00047C52" w:rsidP="005611FE">
            <w:pPr>
              <w:pStyle w:val="acctfourfigures"/>
              <w:tabs>
                <w:tab w:val="clear" w:pos="765"/>
              </w:tabs>
              <w:spacing w:line="240" w:lineRule="auto"/>
              <w:ind w:right="-72" w:firstLine="155"/>
              <w:rPr>
                <w:rFonts w:ascii="Arial" w:hAnsi="Arial" w:cs="Arial"/>
                <w:color w:val="000000"/>
                <w:sz w:val="14"/>
                <w:szCs w:val="14"/>
                <w:lang w:bidi="th-TH"/>
              </w:rPr>
            </w:pPr>
            <w:r w:rsidRPr="002D2F67">
              <w:rPr>
                <w:rFonts w:ascii="Arial" w:hAnsi="Arial" w:cs="Arial"/>
                <w:color w:val="000000"/>
                <w:sz w:val="14"/>
                <w:szCs w:val="14"/>
                <w:lang w:bidi="th-TH"/>
              </w:rPr>
              <w:t>The details of indirect subsidiaries incorporated in Thailand (continued)</w:t>
            </w:r>
          </w:p>
        </w:tc>
        <w:tc>
          <w:tcPr>
            <w:tcW w:w="1142" w:type="dxa"/>
            <w:shd w:val="clear" w:color="auto" w:fill="auto"/>
          </w:tcPr>
          <w:p w14:paraId="6F0A2C48" w14:textId="77777777" w:rsidR="00047C52" w:rsidRPr="002D2F67" w:rsidRDefault="00047C52" w:rsidP="005611FE">
            <w:pPr>
              <w:pStyle w:val="acctfourfigures"/>
              <w:tabs>
                <w:tab w:val="clear" w:pos="765"/>
              </w:tabs>
              <w:spacing w:line="240" w:lineRule="auto"/>
              <w:ind w:right="-86"/>
              <w:jc w:val="right"/>
              <w:rPr>
                <w:rFonts w:ascii="Arial" w:hAnsi="Arial" w:cs="Arial"/>
                <w:color w:val="000000"/>
                <w:sz w:val="14"/>
                <w:szCs w:val="14"/>
                <w:lang w:bidi="th-TH"/>
              </w:rPr>
            </w:pPr>
          </w:p>
        </w:tc>
        <w:tc>
          <w:tcPr>
            <w:tcW w:w="1143" w:type="dxa"/>
            <w:shd w:val="clear" w:color="auto" w:fill="auto"/>
          </w:tcPr>
          <w:p w14:paraId="7451C8FA" w14:textId="77777777" w:rsidR="00047C52" w:rsidRPr="002D2F67" w:rsidRDefault="00047C52" w:rsidP="005611FE">
            <w:pPr>
              <w:pStyle w:val="acctfourfigures"/>
              <w:tabs>
                <w:tab w:val="clear" w:pos="765"/>
              </w:tabs>
              <w:spacing w:line="240" w:lineRule="auto"/>
              <w:ind w:right="-86"/>
              <w:jc w:val="right"/>
              <w:rPr>
                <w:rFonts w:ascii="Arial" w:hAnsi="Arial" w:cs="Arial"/>
                <w:color w:val="000000"/>
                <w:sz w:val="14"/>
                <w:szCs w:val="14"/>
                <w:lang w:bidi="th-TH"/>
              </w:rPr>
            </w:pPr>
          </w:p>
        </w:tc>
        <w:tc>
          <w:tcPr>
            <w:tcW w:w="1143" w:type="dxa"/>
            <w:shd w:val="clear" w:color="auto" w:fill="auto"/>
          </w:tcPr>
          <w:p w14:paraId="009824B9" w14:textId="77777777" w:rsidR="00047C52" w:rsidRPr="002D2F67" w:rsidRDefault="00047C52" w:rsidP="005611FE">
            <w:pPr>
              <w:pStyle w:val="acctfourfigures"/>
              <w:tabs>
                <w:tab w:val="clear" w:pos="765"/>
              </w:tabs>
              <w:spacing w:line="240" w:lineRule="auto"/>
              <w:ind w:right="-86"/>
              <w:jc w:val="right"/>
              <w:rPr>
                <w:rFonts w:ascii="Arial" w:hAnsi="Arial" w:cs="Arial"/>
                <w:color w:val="000000"/>
                <w:sz w:val="14"/>
                <w:szCs w:val="14"/>
                <w:lang w:bidi="th-TH"/>
              </w:rPr>
            </w:pPr>
          </w:p>
        </w:tc>
        <w:tc>
          <w:tcPr>
            <w:tcW w:w="1142" w:type="dxa"/>
            <w:shd w:val="clear" w:color="auto" w:fill="auto"/>
          </w:tcPr>
          <w:p w14:paraId="67C57118" w14:textId="77777777" w:rsidR="00047C52" w:rsidRPr="002D2F67" w:rsidRDefault="00047C52" w:rsidP="005611FE">
            <w:pPr>
              <w:pStyle w:val="acctfourfigures"/>
              <w:tabs>
                <w:tab w:val="clear" w:pos="765"/>
              </w:tabs>
              <w:spacing w:line="240" w:lineRule="auto"/>
              <w:ind w:right="-86"/>
              <w:jc w:val="right"/>
              <w:rPr>
                <w:rFonts w:ascii="Arial" w:hAnsi="Arial" w:cs="Arial"/>
                <w:color w:val="000000"/>
                <w:sz w:val="14"/>
                <w:szCs w:val="14"/>
                <w:lang w:bidi="th-TH"/>
              </w:rPr>
            </w:pPr>
          </w:p>
        </w:tc>
        <w:tc>
          <w:tcPr>
            <w:tcW w:w="1142" w:type="dxa"/>
            <w:shd w:val="clear" w:color="auto" w:fill="auto"/>
          </w:tcPr>
          <w:p w14:paraId="1C90A626" w14:textId="77777777" w:rsidR="00047C52" w:rsidRPr="002D2F67" w:rsidRDefault="00047C52" w:rsidP="005611FE">
            <w:pPr>
              <w:pStyle w:val="acctfourfigures"/>
              <w:tabs>
                <w:tab w:val="clear" w:pos="765"/>
              </w:tabs>
              <w:spacing w:line="240" w:lineRule="auto"/>
              <w:ind w:right="-86"/>
              <w:jc w:val="right"/>
              <w:rPr>
                <w:rFonts w:ascii="Arial" w:hAnsi="Arial" w:cs="Arial"/>
                <w:color w:val="000000"/>
                <w:sz w:val="14"/>
                <w:szCs w:val="14"/>
                <w:lang w:bidi="th-TH"/>
              </w:rPr>
            </w:pPr>
          </w:p>
        </w:tc>
        <w:tc>
          <w:tcPr>
            <w:tcW w:w="1083" w:type="dxa"/>
            <w:shd w:val="clear" w:color="auto" w:fill="auto"/>
          </w:tcPr>
          <w:p w14:paraId="7442CB7B" w14:textId="77777777" w:rsidR="00047C52" w:rsidRPr="002D2F67" w:rsidRDefault="00047C52" w:rsidP="005611FE">
            <w:pPr>
              <w:pStyle w:val="acctfourfigures"/>
              <w:tabs>
                <w:tab w:val="clear" w:pos="765"/>
              </w:tabs>
              <w:spacing w:line="240" w:lineRule="auto"/>
              <w:ind w:right="-86"/>
              <w:jc w:val="right"/>
              <w:rPr>
                <w:rFonts w:ascii="Arial" w:hAnsi="Arial" w:cs="Arial"/>
                <w:color w:val="000000"/>
                <w:sz w:val="14"/>
                <w:szCs w:val="14"/>
                <w:lang w:bidi="th-TH"/>
              </w:rPr>
            </w:pPr>
          </w:p>
        </w:tc>
      </w:tr>
      <w:tr w:rsidR="00575E11" w:rsidRPr="002D2F67" w14:paraId="5422F7C3" w14:textId="77777777" w:rsidTr="004F4DED">
        <w:trPr>
          <w:cantSplit/>
          <w:trHeight w:val="150"/>
        </w:trPr>
        <w:tc>
          <w:tcPr>
            <w:tcW w:w="7726" w:type="dxa"/>
            <w:gridSpan w:val="3"/>
            <w:shd w:val="clear" w:color="auto" w:fill="auto"/>
          </w:tcPr>
          <w:p w14:paraId="2A1F132A" w14:textId="77777777" w:rsidR="00047C52" w:rsidRPr="002D2F67" w:rsidRDefault="00047C52" w:rsidP="005611FE">
            <w:pPr>
              <w:pStyle w:val="acctfourfigures"/>
              <w:tabs>
                <w:tab w:val="clear" w:pos="765"/>
              </w:tabs>
              <w:spacing w:line="240" w:lineRule="auto"/>
              <w:ind w:right="-72" w:firstLine="155"/>
              <w:rPr>
                <w:rFonts w:ascii="Arial" w:hAnsi="Arial" w:cs="Arial"/>
                <w:color w:val="000000"/>
                <w:sz w:val="12"/>
                <w:szCs w:val="12"/>
                <w:lang w:bidi="th-TH"/>
              </w:rPr>
            </w:pPr>
          </w:p>
        </w:tc>
        <w:tc>
          <w:tcPr>
            <w:tcW w:w="1142" w:type="dxa"/>
            <w:shd w:val="clear" w:color="auto" w:fill="auto"/>
          </w:tcPr>
          <w:p w14:paraId="7A0789A4" w14:textId="77777777" w:rsidR="00047C52" w:rsidRPr="002D2F67" w:rsidRDefault="00047C52" w:rsidP="005611FE">
            <w:pPr>
              <w:pStyle w:val="acctfourfigures"/>
              <w:tabs>
                <w:tab w:val="clear" w:pos="765"/>
              </w:tabs>
              <w:spacing w:line="240" w:lineRule="auto"/>
              <w:ind w:right="-86"/>
              <w:jc w:val="right"/>
              <w:rPr>
                <w:rFonts w:ascii="Arial" w:hAnsi="Arial" w:cs="Arial"/>
                <w:color w:val="000000"/>
                <w:sz w:val="12"/>
                <w:szCs w:val="12"/>
                <w:lang w:bidi="th-TH"/>
              </w:rPr>
            </w:pPr>
          </w:p>
        </w:tc>
        <w:tc>
          <w:tcPr>
            <w:tcW w:w="1143" w:type="dxa"/>
            <w:shd w:val="clear" w:color="auto" w:fill="auto"/>
          </w:tcPr>
          <w:p w14:paraId="0E3853B0" w14:textId="77777777" w:rsidR="00047C52" w:rsidRPr="002D2F67" w:rsidRDefault="00047C52" w:rsidP="005611FE">
            <w:pPr>
              <w:pStyle w:val="acctfourfigures"/>
              <w:tabs>
                <w:tab w:val="clear" w:pos="765"/>
              </w:tabs>
              <w:spacing w:line="240" w:lineRule="auto"/>
              <w:ind w:right="-86"/>
              <w:jc w:val="right"/>
              <w:rPr>
                <w:rFonts w:ascii="Arial" w:hAnsi="Arial" w:cs="Arial"/>
                <w:color w:val="000000"/>
                <w:sz w:val="12"/>
                <w:szCs w:val="12"/>
                <w:lang w:bidi="th-TH"/>
              </w:rPr>
            </w:pPr>
          </w:p>
        </w:tc>
        <w:tc>
          <w:tcPr>
            <w:tcW w:w="1143" w:type="dxa"/>
            <w:shd w:val="clear" w:color="auto" w:fill="auto"/>
          </w:tcPr>
          <w:p w14:paraId="21EF4B33" w14:textId="77777777" w:rsidR="00047C52" w:rsidRPr="002D2F67" w:rsidRDefault="00047C52" w:rsidP="005611FE">
            <w:pPr>
              <w:pStyle w:val="acctfourfigures"/>
              <w:tabs>
                <w:tab w:val="clear" w:pos="765"/>
              </w:tabs>
              <w:spacing w:line="240" w:lineRule="auto"/>
              <w:ind w:right="-86"/>
              <w:jc w:val="right"/>
              <w:rPr>
                <w:rFonts w:ascii="Arial" w:hAnsi="Arial" w:cs="Arial"/>
                <w:color w:val="000000"/>
                <w:sz w:val="12"/>
                <w:szCs w:val="12"/>
                <w:lang w:bidi="th-TH"/>
              </w:rPr>
            </w:pPr>
          </w:p>
        </w:tc>
        <w:tc>
          <w:tcPr>
            <w:tcW w:w="1142" w:type="dxa"/>
            <w:shd w:val="clear" w:color="auto" w:fill="auto"/>
          </w:tcPr>
          <w:p w14:paraId="7424A935" w14:textId="77777777" w:rsidR="00047C52" w:rsidRPr="002D2F67" w:rsidRDefault="00047C52" w:rsidP="005611FE">
            <w:pPr>
              <w:pStyle w:val="acctfourfigures"/>
              <w:tabs>
                <w:tab w:val="clear" w:pos="765"/>
              </w:tabs>
              <w:spacing w:line="240" w:lineRule="auto"/>
              <w:ind w:right="-86"/>
              <w:jc w:val="right"/>
              <w:rPr>
                <w:rFonts w:ascii="Arial" w:hAnsi="Arial" w:cs="Arial"/>
                <w:color w:val="000000"/>
                <w:sz w:val="12"/>
                <w:szCs w:val="12"/>
                <w:lang w:bidi="th-TH"/>
              </w:rPr>
            </w:pPr>
          </w:p>
        </w:tc>
        <w:tc>
          <w:tcPr>
            <w:tcW w:w="1142" w:type="dxa"/>
            <w:shd w:val="clear" w:color="auto" w:fill="auto"/>
          </w:tcPr>
          <w:p w14:paraId="3D7C539C" w14:textId="77777777" w:rsidR="00047C52" w:rsidRPr="002D2F67" w:rsidRDefault="00047C52" w:rsidP="005611FE">
            <w:pPr>
              <w:pStyle w:val="acctfourfigures"/>
              <w:tabs>
                <w:tab w:val="clear" w:pos="765"/>
              </w:tabs>
              <w:spacing w:line="240" w:lineRule="auto"/>
              <w:ind w:right="-86"/>
              <w:jc w:val="right"/>
              <w:rPr>
                <w:rFonts w:ascii="Arial" w:hAnsi="Arial" w:cs="Arial"/>
                <w:color w:val="000000"/>
                <w:sz w:val="12"/>
                <w:szCs w:val="12"/>
                <w:lang w:bidi="th-TH"/>
              </w:rPr>
            </w:pPr>
          </w:p>
        </w:tc>
        <w:tc>
          <w:tcPr>
            <w:tcW w:w="1083" w:type="dxa"/>
            <w:shd w:val="clear" w:color="auto" w:fill="auto"/>
          </w:tcPr>
          <w:p w14:paraId="65A05D2A" w14:textId="77777777" w:rsidR="00047C52" w:rsidRPr="002D2F67" w:rsidRDefault="00047C52" w:rsidP="005611FE">
            <w:pPr>
              <w:pStyle w:val="acctfourfigures"/>
              <w:tabs>
                <w:tab w:val="clear" w:pos="765"/>
              </w:tabs>
              <w:spacing w:line="240" w:lineRule="auto"/>
              <w:ind w:right="-86"/>
              <w:jc w:val="right"/>
              <w:rPr>
                <w:rFonts w:ascii="Arial" w:hAnsi="Arial" w:cs="Arial"/>
                <w:color w:val="000000"/>
                <w:sz w:val="12"/>
                <w:szCs w:val="12"/>
                <w:lang w:bidi="th-TH"/>
              </w:rPr>
            </w:pPr>
          </w:p>
        </w:tc>
      </w:tr>
      <w:tr w:rsidR="00575E11" w:rsidRPr="002D2F67" w14:paraId="543F5AE4" w14:textId="77777777" w:rsidTr="004F4DED">
        <w:trPr>
          <w:cantSplit/>
          <w:trHeight w:val="346"/>
        </w:trPr>
        <w:tc>
          <w:tcPr>
            <w:tcW w:w="3431" w:type="dxa"/>
            <w:gridSpan w:val="2"/>
            <w:shd w:val="clear" w:color="auto" w:fill="auto"/>
          </w:tcPr>
          <w:p w14:paraId="73AB1900" w14:textId="76D00AD3" w:rsidR="00047C52" w:rsidRPr="002D2F67" w:rsidRDefault="00047C52" w:rsidP="00CC0816">
            <w:pPr>
              <w:pStyle w:val="acctfourfigures"/>
              <w:tabs>
                <w:tab w:val="clear" w:pos="765"/>
              </w:tabs>
              <w:spacing w:line="240" w:lineRule="auto"/>
              <w:ind w:left="148" w:right="-72"/>
              <w:rPr>
                <w:rFonts w:ascii="Arial" w:hAnsi="Arial" w:cs="Arial"/>
                <w:color w:val="000000"/>
                <w:sz w:val="14"/>
                <w:szCs w:val="14"/>
                <w:lang w:bidi="th-TH"/>
              </w:rPr>
            </w:pPr>
            <w:r w:rsidRPr="002D2F67">
              <w:rPr>
                <w:rFonts w:ascii="Arial" w:hAnsi="Arial" w:cs="Arial"/>
                <w:color w:val="000000"/>
                <w:sz w:val="14"/>
                <w:szCs w:val="14"/>
                <w:lang w:bidi="th-TH"/>
              </w:rPr>
              <w:t xml:space="preserve">Wind Mahasarakham </w:t>
            </w:r>
            <w:r w:rsidR="00CD5714" w:rsidRPr="00CD5714">
              <w:rPr>
                <w:rFonts w:ascii="Arial" w:hAnsi="Arial" w:cs="Arial"/>
                <w:color w:val="000000"/>
                <w:sz w:val="14"/>
                <w:szCs w:val="14"/>
                <w:lang w:val="en-GB" w:bidi="th-TH"/>
              </w:rPr>
              <w:t>1</w:t>
            </w:r>
            <w:r w:rsidRPr="002D2F67">
              <w:rPr>
                <w:rFonts w:ascii="Arial" w:hAnsi="Arial" w:cs="Arial"/>
                <w:color w:val="000000"/>
                <w:sz w:val="14"/>
                <w:szCs w:val="14"/>
                <w:lang w:bidi="th-TH"/>
              </w:rPr>
              <w:t xml:space="preserve"> </w:t>
            </w:r>
            <w:r w:rsidRPr="002D2F67">
              <w:rPr>
                <w:rFonts w:ascii="Arial" w:hAnsi="Arial" w:cs="Arial"/>
                <w:color w:val="000000"/>
                <w:sz w:val="14"/>
                <w:szCs w:val="14"/>
              </w:rPr>
              <w:t>Co., Ltd.</w:t>
            </w:r>
          </w:p>
          <w:p w14:paraId="640687AE" w14:textId="77777777" w:rsidR="00047C52" w:rsidRPr="002D2F67" w:rsidRDefault="00047C52" w:rsidP="00CC0816">
            <w:pPr>
              <w:ind w:left="148" w:right="-208"/>
              <w:rPr>
                <w:rFonts w:ascii="Arial" w:hAnsi="Arial" w:cs="Arial"/>
                <w:color w:val="000000"/>
                <w:sz w:val="14"/>
                <w:szCs w:val="14"/>
              </w:rPr>
            </w:pPr>
          </w:p>
        </w:tc>
        <w:tc>
          <w:tcPr>
            <w:tcW w:w="4295" w:type="dxa"/>
            <w:shd w:val="clear" w:color="auto" w:fill="auto"/>
          </w:tcPr>
          <w:p w14:paraId="05EB08D8" w14:textId="77777777" w:rsidR="00047C52" w:rsidRPr="002D2F67" w:rsidRDefault="00047C52" w:rsidP="00CC0816">
            <w:pPr>
              <w:tabs>
                <w:tab w:val="left" w:pos="-3402"/>
                <w:tab w:val="left" w:pos="-3261"/>
                <w:tab w:val="left" w:pos="-3119"/>
              </w:tabs>
              <w:ind w:left="-29" w:right="-23"/>
              <w:rPr>
                <w:rFonts w:ascii="Arial" w:hAnsi="Arial" w:cs="Arial"/>
                <w:color w:val="000000"/>
                <w:sz w:val="14"/>
                <w:szCs w:val="14"/>
              </w:rPr>
            </w:pPr>
            <w:r w:rsidRPr="002D2F67">
              <w:rPr>
                <w:rFonts w:ascii="Arial" w:hAnsi="Arial" w:cs="Arial"/>
                <w:color w:val="000000"/>
                <w:sz w:val="14"/>
                <w:szCs w:val="14"/>
              </w:rPr>
              <w:t>Research and development of wind power plant</w:t>
            </w:r>
          </w:p>
          <w:p w14:paraId="699004A3" w14:textId="386DC472" w:rsidR="00047C52" w:rsidRPr="002D2F67" w:rsidRDefault="00047C52" w:rsidP="00CC0816">
            <w:pPr>
              <w:tabs>
                <w:tab w:val="left" w:pos="-3402"/>
                <w:tab w:val="left" w:pos="-3261"/>
                <w:tab w:val="left" w:pos="-3119"/>
              </w:tabs>
              <w:ind w:left="-29" w:right="-23"/>
              <w:rPr>
                <w:rFonts w:ascii="Arial" w:hAnsi="Arial" w:cs="Arial"/>
                <w:color w:val="000000"/>
                <w:sz w:val="14"/>
                <w:szCs w:val="14"/>
              </w:rPr>
            </w:pPr>
            <w:r w:rsidRPr="002D2F67">
              <w:rPr>
                <w:rFonts w:ascii="Arial" w:hAnsi="Arial" w:cs="Arial"/>
                <w:color w:val="000000"/>
                <w:sz w:val="14"/>
                <w:szCs w:val="14"/>
              </w:rPr>
              <w:t xml:space="preserve">   (</w:t>
            </w:r>
            <w:r w:rsidRPr="002D2F67">
              <w:rPr>
                <w:rFonts w:ascii="Arial" w:hAnsi="Arial" w:cs="Arial"/>
                <w:color w:val="000000"/>
                <w:spacing w:val="4"/>
                <w:sz w:val="14"/>
                <w:szCs w:val="14"/>
              </w:rPr>
              <w:t>not commercial operations yet)</w:t>
            </w:r>
          </w:p>
        </w:tc>
        <w:tc>
          <w:tcPr>
            <w:tcW w:w="1142" w:type="dxa"/>
            <w:shd w:val="clear" w:color="auto" w:fill="auto"/>
          </w:tcPr>
          <w:p w14:paraId="1892DDEC" w14:textId="2ECFC3FF" w:rsidR="00047C52" w:rsidRPr="002D2F67" w:rsidRDefault="00CD5714" w:rsidP="00CC0816">
            <w:pPr>
              <w:ind w:left="-122" w:right="-86"/>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43" w:type="dxa"/>
            <w:shd w:val="clear" w:color="auto" w:fill="auto"/>
          </w:tcPr>
          <w:p w14:paraId="5558624D" w14:textId="15D96CF5" w:rsidR="00047C52" w:rsidRPr="002D2F67" w:rsidRDefault="00CD5714" w:rsidP="00CC0816">
            <w:pPr>
              <w:ind w:left="-122" w:right="-86"/>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43" w:type="dxa"/>
            <w:shd w:val="clear" w:color="auto" w:fill="auto"/>
          </w:tcPr>
          <w:p w14:paraId="3AC00D53" w14:textId="776834F7"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142" w:type="dxa"/>
            <w:shd w:val="clear" w:color="auto" w:fill="auto"/>
          </w:tcPr>
          <w:p w14:paraId="74CBEB76" w14:textId="03351D80"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142" w:type="dxa"/>
            <w:shd w:val="clear" w:color="auto" w:fill="auto"/>
          </w:tcPr>
          <w:p w14:paraId="4E15048E" w14:textId="7CB0C395"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083" w:type="dxa"/>
            <w:shd w:val="clear" w:color="auto" w:fill="auto"/>
          </w:tcPr>
          <w:p w14:paraId="175C8AA3" w14:textId="32EE06D5"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r>
      <w:tr w:rsidR="00575E11" w:rsidRPr="002D2F67" w14:paraId="39EBD7D9" w14:textId="77777777" w:rsidTr="004F4DED">
        <w:trPr>
          <w:cantSplit/>
          <w:trHeight w:val="346"/>
        </w:trPr>
        <w:tc>
          <w:tcPr>
            <w:tcW w:w="3431" w:type="dxa"/>
            <w:gridSpan w:val="2"/>
            <w:shd w:val="clear" w:color="auto" w:fill="auto"/>
          </w:tcPr>
          <w:p w14:paraId="4ADE135E" w14:textId="325EFE5A" w:rsidR="00047C52" w:rsidRPr="002D2F67" w:rsidRDefault="00047C52" w:rsidP="00CC0816">
            <w:pPr>
              <w:pStyle w:val="acctfourfigures"/>
              <w:tabs>
                <w:tab w:val="clear" w:pos="765"/>
              </w:tabs>
              <w:spacing w:line="240" w:lineRule="auto"/>
              <w:ind w:left="148" w:right="-72"/>
              <w:rPr>
                <w:rFonts w:ascii="Arial" w:hAnsi="Arial" w:cs="Arial"/>
                <w:color w:val="000000"/>
                <w:sz w:val="14"/>
                <w:szCs w:val="14"/>
                <w:lang w:bidi="th-TH"/>
              </w:rPr>
            </w:pPr>
            <w:r w:rsidRPr="002D2F67">
              <w:rPr>
                <w:rFonts w:ascii="Arial" w:hAnsi="Arial" w:cs="Arial"/>
                <w:color w:val="000000"/>
                <w:sz w:val="14"/>
                <w:szCs w:val="14"/>
                <w:lang w:bidi="th-TH"/>
              </w:rPr>
              <w:t xml:space="preserve">Wind Mahasarakham </w:t>
            </w:r>
            <w:r w:rsidR="00CD5714" w:rsidRPr="00CD5714">
              <w:rPr>
                <w:rFonts w:ascii="Arial" w:hAnsi="Arial" w:cs="Arial"/>
                <w:color w:val="000000"/>
                <w:sz w:val="14"/>
                <w:szCs w:val="14"/>
                <w:lang w:val="en-GB" w:bidi="th-TH"/>
              </w:rPr>
              <w:t>2</w:t>
            </w:r>
            <w:r w:rsidRPr="002D2F67">
              <w:rPr>
                <w:rFonts w:ascii="Arial" w:hAnsi="Arial" w:cs="Arial"/>
                <w:color w:val="000000"/>
                <w:sz w:val="14"/>
                <w:szCs w:val="14"/>
                <w:lang w:bidi="th-TH"/>
              </w:rPr>
              <w:t xml:space="preserve"> </w:t>
            </w:r>
            <w:r w:rsidRPr="002D2F67">
              <w:rPr>
                <w:rFonts w:ascii="Arial" w:hAnsi="Arial" w:cs="Arial"/>
                <w:color w:val="000000"/>
                <w:sz w:val="14"/>
                <w:szCs w:val="14"/>
              </w:rPr>
              <w:t>Co., Ltd.</w:t>
            </w:r>
          </w:p>
          <w:p w14:paraId="4499EBAB" w14:textId="77777777" w:rsidR="00047C52" w:rsidRPr="002D2F67" w:rsidRDefault="00047C52" w:rsidP="00CC0816">
            <w:pPr>
              <w:ind w:left="148" w:right="-208"/>
              <w:rPr>
                <w:rFonts w:ascii="Arial" w:hAnsi="Arial" w:cs="Arial"/>
                <w:color w:val="000000"/>
                <w:sz w:val="14"/>
                <w:szCs w:val="14"/>
              </w:rPr>
            </w:pPr>
          </w:p>
        </w:tc>
        <w:tc>
          <w:tcPr>
            <w:tcW w:w="4295" w:type="dxa"/>
            <w:shd w:val="clear" w:color="auto" w:fill="auto"/>
          </w:tcPr>
          <w:p w14:paraId="5FF2D5E3" w14:textId="77777777" w:rsidR="00047C52" w:rsidRPr="002D2F67" w:rsidRDefault="00047C52" w:rsidP="00CC0816">
            <w:pPr>
              <w:tabs>
                <w:tab w:val="left" w:pos="-3402"/>
                <w:tab w:val="left" w:pos="-3261"/>
                <w:tab w:val="left" w:pos="-3119"/>
              </w:tabs>
              <w:ind w:left="-29" w:right="-23"/>
              <w:rPr>
                <w:rFonts w:ascii="Arial" w:hAnsi="Arial" w:cs="Arial"/>
                <w:color w:val="000000"/>
                <w:sz w:val="14"/>
                <w:szCs w:val="14"/>
              </w:rPr>
            </w:pPr>
            <w:r w:rsidRPr="002D2F67">
              <w:rPr>
                <w:rFonts w:ascii="Arial" w:hAnsi="Arial" w:cs="Arial"/>
                <w:color w:val="000000"/>
                <w:sz w:val="14"/>
                <w:szCs w:val="14"/>
              </w:rPr>
              <w:t>Research and development of wind power plant</w:t>
            </w:r>
          </w:p>
          <w:p w14:paraId="02044C58" w14:textId="77777777" w:rsidR="00047C52" w:rsidRPr="002D2F67" w:rsidRDefault="00047C52" w:rsidP="00CC0816">
            <w:pPr>
              <w:tabs>
                <w:tab w:val="left" w:pos="-3402"/>
                <w:tab w:val="left" w:pos="-3261"/>
                <w:tab w:val="left" w:pos="-3119"/>
              </w:tabs>
              <w:ind w:left="-29" w:right="-23"/>
              <w:rPr>
                <w:rFonts w:ascii="Arial" w:hAnsi="Arial" w:cs="Arial"/>
                <w:color w:val="000000"/>
                <w:sz w:val="14"/>
                <w:szCs w:val="14"/>
              </w:rPr>
            </w:pPr>
            <w:r w:rsidRPr="002D2F67">
              <w:rPr>
                <w:rFonts w:ascii="Arial" w:hAnsi="Arial" w:cs="Arial"/>
                <w:color w:val="000000"/>
                <w:sz w:val="14"/>
                <w:szCs w:val="14"/>
              </w:rPr>
              <w:t xml:space="preserve">   (</w:t>
            </w:r>
            <w:r w:rsidRPr="002D2F67">
              <w:rPr>
                <w:rFonts w:ascii="Arial" w:hAnsi="Arial" w:cs="Arial"/>
                <w:color w:val="000000"/>
                <w:spacing w:val="4"/>
                <w:sz w:val="14"/>
                <w:szCs w:val="14"/>
              </w:rPr>
              <w:t>not commercial operations yet)</w:t>
            </w:r>
          </w:p>
        </w:tc>
        <w:tc>
          <w:tcPr>
            <w:tcW w:w="1142" w:type="dxa"/>
            <w:shd w:val="clear" w:color="auto" w:fill="auto"/>
          </w:tcPr>
          <w:p w14:paraId="44E00268" w14:textId="6DA49E30" w:rsidR="00047C52" w:rsidRPr="002D2F67" w:rsidRDefault="00CD5714" w:rsidP="00CC0816">
            <w:pPr>
              <w:ind w:left="-122" w:right="-86"/>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43" w:type="dxa"/>
            <w:shd w:val="clear" w:color="auto" w:fill="auto"/>
          </w:tcPr>
          <w:p w14:paraId="60C939E1" w14:textId="27BCCC62" w:rsidR="00047C52" w:rsidRPr="002D2F67" w:rsidRDefault="00CD5714" w:rsidP="00CC0816">
            <w:pPr>
              <w:ind w:left="-122" w:right="-86"/>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43" w:type="dxa"/>
            <w:shd w:val="clear" w:color="auto" w:fill="auto"/>
          </w:tcPr>
          <w:p w14:paraId="22BE4E5F" w14:textId="73C4E006"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142" w:type="dxa"/>
            <w:shd w:val="clear" w:color="auto" w:fill="auto"/>
          </w:tcPr>
          <w:p w14:paraId="79D15FFC" w14:textId="317F159E"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142" w:type="dxa"/>
            <w:shd w:val="clear" w:color="auto" w:fill="auto"/>
          </w:tcPr>
          <w:p w14:paraId="705C3FB4" w14:textId="244C214B"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083" w:type="dxa"/>
            <w:shd w:val="clear" w:color="auto" w:fill="auto"/>
          </w:tcPr>
          <w:p w14:paraId="1E04D1A8" w14:textId="71909A20"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r>
      <w:tr w:rsidR="00575E11" w:rsidRPr="002D2F67" w14:paraId="54638989" w14:textId="77777777" w:rsidTr="004F4DED">
        <w:trPr>
          <w:cantSplit/>
          <w:trHeight w:val="346"/>
        </w:trPr>
        <w:tc>
          <w:tcPr>
            <w:tcW w:w="3431" w:type="dxa"/>
            <w:gridSpan w:val="2"/>
            <w:shd w:val="clear" w:color="auto" w:fill="auto"/>
          </w:tcPr>
          <w:p w14:paraId="27C4740E" w14:textId="3EACDDD9" w:rsidR="00047C52" w:rsidRPr="002D2F67" w:rsidRDefault="00047C52" w:rsidP="00CC0816">
            <w:pPr>
              <w:pStyle w:val="acctfourfigures"/>
              <w:tabs>
                <w:tab w:val="clear" w:pos="765"/>
              </w:tabs>
              <w:spacing w:line="240" w:lineRule="auto"/>
              <w:ind w:left="148" w:right="-72"/>
              <w:rPr>
                <w:rFonts w:ascii="Arial" w:hAnsi="Arial" w:cs="Arial"/>
                <w:color w:val="000000"/>
                <w:sz w:val="14"/>
                <w:szCs w:val="14"/>
                <w:lang w:bidi="th-TH"/>
              </w:rPr>
            </w:pPr>
            <w:r w:rsidRPr="002D2F67">
              <w:rPr>
                <w:rFonts w:ascii="Arial" w:hAnsi="Arial" w:cs="Arial"/>
                <w:color w:val="000000"/>
                <w:sz w:val="14"/>
                <w:szCs w:val="14"/>
                <w:lang w:bidi="th-TH"/>
              </w:rPr>
              <w:t xml:space="preserve">Wind Mahasarakham </w:t>
            </w:r>
            <w:r w:rsidR="00CD5714" w:rsidRPr="00CD5714">
              <w:rPr>
                <w:rFonts w:ascii="Arial" w:hAnsi="Arial" w:cs="Arial"/>
                <w:color w:val="000000"/>
                <w:sz w:val="14"/>
                <w:szCs w:val="14"/>
                <w:lang w:val="en-GB" w:bidi="th-TH"/>
              </w:rPr>
              <w:t>3</w:t>
            </w:r>
            <w:r w:rsidRPr="002D2F67">
              <w:rPr>
                <w:rFonts w:ascii="Arial" w:hAnsi="Arial" w:cs="Arial"/>
                <w:color w:val="000000"/>
                <w:sz w:val="14"/>
                <w:szCs w:val="14"/>
                <w:lang w:bidi="th-TH"/>
              </w:rPr>
              <w:t xml:space="preserve"> </w:t>
            </w:r>
            <w:r w:rsidRPr="002D2F67">
              <w:rPr>
                <w:rFonts w:ascii="Arial" w:hAnsi="Arial" w:cs="Arial"/>
                <w:color w:val="000000"/>
                <w:sz w:val="14"/>
                <w:szCs w:val="14"/>
              </w:rPr>
              <w:t>Co., Ltd.</w:t>
            </w:r>
          </w:p>
          <w:p w14:paraId="36A4F6DB" w14:textId="77777777" w:rsidR="00047C52" w:rsidRPr="002D2F67" w:rsidRDefault="00047C52" w:rsidP="00CC0816">
            <w:pPr>
              <w:ind w:left="148" w:right="-208"/>
              <w:rPr>
                <w:rFonts w:ascii="Arial" w:hAnsi="Arial" w:cs="Arial"/>
                <w:color w:val="000000"/>
                <w:sz w:val="14"/>
                <w:szCs w:val="14"/>
              </w:rPr>
            </w:pPr>
          </w:p>
        </w:tc>
        <w:tc>
          <w:tcPr>
            <w:tcW w:w="4295" w:type="dxa"/>
            <w:shd w:val="clear" w:color="auto" w:fill="auto"/>
          </w:tcPr>
          <w:p w14:paraId="719F0B1E" w14:textId="77777777" w:rsidR="00047C52" w:rsidRPr="002D2F67" w:rsidRDefault="00047C52" w:rsidP="00CC0816">
            <w:pPr>
              <w:tabs>
                <w:tab w:val="left" w:pos="-3402"/>
                <w:tab w:val="left" w:pos="-3261"/>
                <w:tab w:val="left" w:pos="-3119"/>
              </w:tabs>
              <w:ind w:left="-29" w:right="-23"/>
              <w:rPr>
                <w:rFonts w:ascii="Arial" w:hAnsi="Arial" w:cs="Arial"/>
                <w:color w:val="000000"/>
                <w:sz w:val="14"/>
                <w:szCs w:val="14"/>
              </w:rPr>
            </w:pPr>
            <w:r w:rsidRPr="002D2F67">
              <w:rPr>
                <w:rFonts w:ascii="Arial" w:hAnsi="Arial" w:cs="Arial"/>
                <w:color w:val="000000"/>
                <w:sz w:val="14"/>
                <w:szCs w:val="14"/>
              </w:rPr>
              <w:t>Research and development of wind power plant</w:t>
            </w:r>
          </w:p>
          <w:p w14:paraId="7D7A7CC0" w14:textId="77777777" w:rsidR="00047C52" w:rsidRPr="002D2F67" w:rsidRDefault="00047C52" w:rsidP="00CC0816">
            <w:pPr>
              <w:tabs>
                <w:tab w:val="left" w:pos="-3402"/>
                <w:tab w:val="left" w:pos="-3261"/>
                <w:tab w:val="left" w:pos="-3119"/>
              </w:tabs>
              <w:ind w:left="-29" w:right="-23"/>
              <w:rPr>
                <w:rFonts w:ascii="Arial" w:hAnsi="Arial" w:cs="Arial"/>
                <w:color w:val="000000"/>
                <w:sz w:val="14"/>
                <w:szCs w:val="14"/>
              </w:rPr>
            </w:pPr>
            <w:r w:rsidRPr="002D2F67">
              <w:rPr>
                <w:rFonts w:ascii="Arial" w:hAnsi="Arial" w:cs="Arial"/>
                <w:color w:val="000000"/>
                <w:sz w:val="14"/>
                <w:szCs w:val="14"/>
              </w:rPr>
              <w:t xml:space="preserve">   (</w:t>
            </w:r>
            <w:r w:rsidRPr="002D2F67">
              <w:rPr>
                <w:rFonts w:ascii="Arial" w:hAnsi="Arial" w:cs="Arial"/>
                <w:color w:val="000000"/>
                <w:spacing w:val="4"/>
                <w:sz w:val="14"/>
                <w:szCs w:val="14"/>
              </w:rPr>
              <w:t>not commercial operations yet)</w:t>
            </w:r>
          </w:p>
        </w:tc>
        <w:tc>
          <w:tcPr>
            <w:tcW w:w="1142" w:type="dxa"/>
            <w:shd w:val="clear" w:color="auto" w:fill="auto"/>
          </w:tcPr>
          <w:p w14:paraId="566FA838" w14:textId="29E3425E" w:rsidR="00047C52" w:rsidRPr="002D2F67" w:rsidRDefault="00CD5714" w:rsidP="00CC0816">
            <w:pPr>
              <w:ind w:left="-122" w:right="-86"/>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43" w:type="dxa"/>
            <w:shd w:val="clear" w:color="auto" w:fill="auto"/>
          </w:tcPr>
          <w:p w14:paraId="14954D61" w14:textId="3D2C03FF" w:rsidR="00047C52" w:rsidRPr="002D2F67" w:rsidRDefault="00CD5714" w:rsidP="00CC0816">
            <w:pPr>
              <w:ind w:left="-122" w:right="-86"/>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43" w:type="dxa"/>
            <w:shd w:val="clear" w:color="auto" w:fill="auto"/>
          </w:tcPr>
          <w:p w14:paraId="3EC63E55" w14:textId="62D34B2D"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142" w:type="dxa"/>
            <w:shd w:val="clear" w:color="auto" w:fill="auto"/>
          </w:tcPr>
          <w:p w14:paraId="56521047" w14:textId="753F749D"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142" w:type="dxa"/>
            <w:shd w:val="clear" w:color="auto" w:fill="auto"/>
          </w:tcPr>
          <w:p w14:paraId="254765FC" w14:textId="17A5FEF5"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083" w:type="dxa"/>
            <w:shd w:val="clear" w:color="auto" w:fill="auto"/>
          </w:tcPr>
          <w:p w14:paraId="3F20477E" w14:textId="7EA329D2"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r>
      <w:tr w:rsidR="00575E11" w:rsidRPr="002D2F67" w14:paraId="7EDF723A" w14:textId="77777777" w:rsidTr="004F4DED">
        <w:trPr>
          <w:cantSplit/>
          <w:trHeight w:val="346"/>
        </w:trPr>
        <w:tc>
          <w:tcPr>
            <w:tcW w:w="3431" w:type="dxa"/>
            <w:gridSpan w:val="2"/>
            <w:shd w:val="clear" w:color="auto" w:fill="auto"/>
          </w:tcPr>
          <w:p w14:paraId="1627428D" w14:textId="3B13BF44" w:rsidR="00047C52" w:rsidRPr="002D2F67" w:rsidRDefault="00047C52" w:rsidP="00CC0816">
            <w:pPr>
              <w:pStyle w:val="acctfourfigures"/>
              <w:tabs>
                <w:tab w:val="clear" w:pos="765"/>
              </w:tabs>
              <w:spacing w:line="240" w:lineRule="auto"/>
              <w:ind w:left="148" w:right="-72"/>
              <w:rPr>
                <w:rFonts w:ascii="Arial" w:hAnsi="Arial" w:cs="Arial"/>
                <w:color w:val="000000"/>
                <w:sz w:val="14"/>
                <w:szCs w:val="14"/>
                <w:lang w:bidi="th-TH"/>
              </w:rPr>
            </w:pPr>
            <w:r w:rsidRPr="002D2F67">
              <w:rPr>
                <w:rFonts w:ascii="Arial" w:hAnsi="Arial" w:cs="Arial"/>
                <w:color w:val="000000"/>
                <w:sz w:val="14"/>
                <w:szCs w:val="14"/>
                <w:lang w:bidi="th-TH"/>
              </w:rPr>
              <w:t>EA Waste Management Phuket Co., Ltd.</w:t>
            </w:r>
          </w:p>
        </w:tc>
        <w:tc>
          <w:tcPr>
            <w:tcW w:w="4295" w:type="dxa"/>
            <w:shd w:val="clear" w:color="auto" w:fill="auto"/>
          </w:tcPr>
          <w:p w14:paraId="7B30D8A9" w14:textId="18E453D6" w:rsidR="00047C52" w:rsidRPr="002D2F67" w:rsidRDefault="00047C52" w:rsidP="19457625">
            <w:pPr>
              <w:ind w:left="-29" w:right="-23"/>
              <w:rPr>
                <w:rFonts w:ascii="Arial" w:hAnsi="Arial" w:cs="Arial"/>
                <w:color w:val="000000"/>
                <w:sz w:val="14"/>
                <w:szCs w:val="14"/>
              </w:rPr>
            </w:pPr>
            <w:r w:rsidRPr="002D2F67">
              <w:rPr>
                <w:rFonts w:ascii="Arial" w:hAnsi="Arial" w:cs="Arial"/>
                <w:color w:val="000000"/>
                <w:sz w:val="14"/>
                <w:szCs w:val="14"/>
              </w:rPr>
              <w:t>Providing service, manufacturing and distributi</w:t>
            </w:r>
            <w:r w:rsidR="00713D03" w:rsidRPr="002D2F67">
              <w:rPr>
                <w:rFonts w:ascii="Arial" w:hAnsi="Arial" w:cs="Arial"/>
                <w:color w:val="000000"/>
                <w:sz w:val="14"/>
                <w:szCs w:val="14"/>
              </w:rPr>
              <w:t>ng</w:t>
            </w:r>
            <w:r w:rsidR="00713D03" w:rsidRPr="002D2F67">
              <w:rPr>
                <w:rFonts w:ascii="Arial" w:hAnsi="Arial" w:cs="Arial"/>
                <w:color w:val="000000"/>
                <w:sz w:val="14"/>
                <w:szCs w:val="14"/>
              </w:rPr>
              <w:br/>
              <w:t xml:space="preserve">    </w:t>
            </w:r>
            <w:r w:rsidRPr="002D2F67">
              <w:rPr>
                <w:rFonts w:ascii="Arial" w:hAnsi="Arial" w:cs="Arial"/>
                <w:color w:val="000000"/>
                <w:sz w:val="14"/>
                <w:szCs w:val="14"/>
              </w:rPr>
              <w:t xml:space="preserve">electricity of waste management </w:t>
            </w:r>
          </w:p>
        </w:tc>
        <w:tc>
          <w:tcPr>
            <w:tcW w:w="1142" w:type="dxa"/>
            <w:shd w:val="clear" w:color="auto" w:fill="auto"/>
          </w:tcPr>
          <w:p w14:paraId="57CEA7EF" w14:textId="51A0BE36" w:rsidR="00047C52" w:rsidRPr="002D2F67" w:rsidRDefault="00CD5714" w:rsidP="00CC0816">
            <w:pPr>
              <w:ind w:left="-122" w:right="-86"/>
              <w:jc w:val="right"/>
              <w:rPr>
                <w:rFonts w:ascii="Arial" w:hAnsi="Arial" w:cs="Arial"/>
                <w:color w:val="000000"/>
                <w:sz w:val="14"/>
                <w:szCs w:val="14"/>
              </w:rPr>
            </w:pPr>
            <w:r w:rsidRPr="00CD5714">
              <w:rPr>
                <w:rFonts w:ascii="Arial" w:hAnsi="Arial" w:cs="Arial"/>
                <w:color w:val="000000"/>
                <w:sz w:val="14"/>
                <w:szCs w:val="14"/>
                <w:lang w:val="en-GB"/>
              </w:rPr>
              <w:t>90</w:t>
            </w:r>
            <w:r w:rsidR="00047C52" w:rsidRPr="002D2F67">
              <w:rPr>
                <w:rFonts w:ascii="Arial" w:hAnsi="Arial" w:cs="Arial"/>
                <w:color w:val="000000"/>
                <w:sz w:val="14"/>
                <w:szCs w:val="14"/>
              </w:rPr>
              <w:t>.</w:t>
            </w:r>
            <w:r w:rsidRPr="00CD5714">
              <w:rPr>
                <w:rFonts w:ascii="Arial" w:hAnsi="Arial" w:cs="Arial"/>
                <w:color w:val="000000"/>
                <w:sz w:val="14"/>
                <w:szCs w:val="14"/>
                <w:lang w:val="en-GB"/>
              </w:rPr>
              <w:t>00</w:t>
            </w:r>
          </w:p>
        </w:tc>
        <w:tc>
          <w:tcPr>
            <w:tcW w:w="1143" w:type="dxa"/>
            <w:shd w:val="clear" w:color="auto" w:fill="auto"/>
          </w:tcPr>
          <w:p w14:paraId="2E0D61CE" w14:textId="129C3972" w:rsidR="00047C52" w:rsidRPr="002D2F67" w:rsidRDefault="00CD5714" w:rsidP="00CC0816">
            <w:pPr>
              <w:ind w:left="-122" w:right="-86"/>
              <w:jc w:val="right"/>
              <w:rPr>
                <w:rFonts w:ascii="Arial" w:hAnsi="Arial" w:cs="Arial"/>
                <w:color w:val="000000"/>
                <w:sz w:val="14"/>
                <w:szCs w:val="14"/>
              </w:rPr>
            </w:pPr>
            <w:r w:rsidRPr="00CD5714">
              <w:rPr>
                <w:rFonts w:ascii="Arial" w:hAnsi="Arial" w:cs="Arial"/>
                <w:color w:val="000000"/>
                <w:sz w:val="14"/>
                <w:szCs w:val="14"/>
                <w:lang w:val="en-GB"/>
              </w:rPr>
              <w:t>90</w:t>
            </w:r>
            <w:r w:rsidR="00047C52" w:rsidRPr="002D2F67">
              <w:rPr>
                <w:rFonts w:ascii="Arial" w:hAnsi="Arial" w:cs="Arial"/>
                <w:color w:val="000000"/>
                <w:sz w:val="14"/>
                <w:szCs w:val="14"/>
              </w:rPr>
              <w:t>.</w:t>
            </w:r>
            <w:r w:rsidRPr="00CD5714">
              <w:rPr>
                <w:rFonts w:ascii="Arial" w:hAnsi="Arial" w:cs="Arial"/>
                <w:color w:val="000000"/>
                <w:sz w:val="14"/>
                <w:szCs w:val="14"/>
                <w:lang w:val="en-GB"/>
              </w:rPr>
              <w:t>00</w:t>
            </w:r>
          </w:p>
        </w:tc>
        <w:tc>
          <w:tcPr>
            <w:tcW w:w="1143" w:type="dxa"/>
            <w:shd w:val="clear" w:color="auto" w:fill="auto"/>
          </w:tcPr>
          <w:p w14:paraId="526DD77A" w14:textId="5EF7E712"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142" w:type="dxa"/>
            <w:shd w:val="clear" w:color="auto" w:fill="auto"/>
          </w:tcPr>
          <w:p w14:paraId="5AF053A3" w14:textId="39F7F755"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142" w:type="dxa"/>
            <w:shd w:val="clear" w:color="auto" w:fill="auto"/>
          </w:tcPr>
          <w:p w14:paraId="50C578C5" w14:textId="5632C622"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083" w:type="dxa"/>
            <w:shd w:val="clear" w:color="auto" w:fill="auto"/>
          </w:tcPr>
          <w:p w14:paraId="42B6EE44" w14:textId="37693727"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r>
      <w:tr w:rsidR="00575E11" w:rsidRPr="002D2F67" w14:paraId="3D6C0819" w14:textId="77777777" w:rsidTr="004F4DED">
        <w:trPr>
          <w:cantSplit/>
          <w:trHeight w:val="346"/>
        </w:trPr>
        <w:tc>
          <w:tcPr>
            <w:tcW w:w="3431" w:type="dxa"/>
            <w:gridSpan w:val="2"/>
            <w:shd w:val="clear" w:color="auto" w:fill="auto"/>
          </w:tcPr>
          <w:p w14:paraId="611B65B5" w14:textId="53E59E24" w:rsidR="00047C52" w:rsidRPr="002D2F67" w:rsidRDefault="00047C52" w:rsidP="00CC0816">
            <w:pPr>
              <w:pStyle w:val="acctfourfigures"/>
              <w:tabs>
                <w:tab w:val="clear" w:pos="765"/>
              </w:tabs>
              <w:spacing w:line="240" w:lineRule="auto"/>
              <w:ind w:left="148" w:right="-72"/>
              <w:rPr>
                <w:rFonts w:ascii="Arial" w:hAnsi="Arial" w:cs="Arial"/>
                <w:color w:val="000000"/>
                <w:sz w:val="14"/>
                <w:szCs w:val="14"/>
                <w:lang w:bidi="th-TH"/>
              </w:rPr>
            </w:pPr>
            <w:r w:rsidRPr="002D2F67">
              <w:rPr>
                <w:rFonts w:ascii="Arial" w:hAnsi="Arial" w:cs="Arial"/>
                <w:color w:val="000000"/>
                <w:sz w:val="14"/>
                <w:szCs w:val="14"/>
                <w:lang w:bidi="th-TH"/>
              </w:rPr>
              <w:t xml:space="preserve">EA Waste Management Pathumthani </w:t>
            </w:r>
          </w:p>
          <w:p w14:paraId="5AB1EB90" w14:textId="5346FDB1" w:rsidR="00047C52" w:rsidRPr="002D2F67" w:rsidRDefault="00047C52" w:rsidP="00CC0816">
            <w:pPr>
              <w:pStyle w:val="acctfourfigures"/>
              <w:tabs>
                <w:tab w:val="clear" w:pos="765"/>
              </w:tabs>
              <w:spacing w:line="240" w:lineRule="auto"/>
              <w:ind w:left="148" w:right="-72"/>
              <w:rPr>
                <w:rFonts w:ascii="Arial" w:hAnsi="Arial" w:cs="Arial"/>
                <w:color w:val="000000"/>
                <w:sz w:val="14"/>
                <w:szCs w:val="14"/>
                <w:lang w:bidi="th-TH"/>
              </w:rPr>
            </w:pPr>
            <w:r w:rsidRPr="002D2F67">
              <w:rPr>
                <w:rFonts w:ascii="Arial" w:hAnsi="Arial" w:cs="Arial"/>
                <w:color w:val="000000"/>
                <w:sz w:val="14"/>
                <w:szCs w:val="14"/>
                <w:lang w:bidi="th-TH"/>
              </w:rPr>
              <w:t xml:space="preserve">   Co., Ltd.</w:t>
            </w:r>
          </w:p>
        </w:tc>
        <w:tc>
          <w:tcPr>
            <w:tcW w:w="4295" w:type="dxa"/>
            <w:shd w:val="clear" w:color="auto" w:fill="auto"/>
          </w:tcPr>
          <w:p w14:paraId="76A6C8F4" w14:textId="3B35B6ED" w:rsidR="00047C52" w:rsidRPr="002D2F67" w:rsidRDefault="00047C52" w:rsidP="19457625">
            <w:pPr>
              <w:ind w:left="-29" w:right="-23"/>
              <w:rPr>
                <w:rFonts w:ascii="Arial" w:hAnsi="Arial" w:cs="Arial"/>
                <w:color w:val="000000"/>
                <w:sz w:val="14"/>
                <w:szCs w:val="14"/>
              </w:rPr>
            </w:pPr>
            <w:r w:rsidRPr="002D2F67">
              <w:rPr>
                <w:rFonts w:ascii="Arial" w:hAnsi="Arial" w:cs="Arial"/>
                <w:color w:val="000000"/>
                <w:sz w:val="14"/>
                <w:szCs w:val="14"/>
              </w:rPr>
              <w:t xml:space="preserve">Providing service, manufacturing and distributing electricity of </w:t>
            </w:r>
            <w:r w:rsidR="00B540FF" w:rsidRPr="002D2F67">
              <w:rPr>
                <w:rFonts w:ascii="Arial" w:hAnsi="Arial" w:cs="Arial"/>
                <w:color w:val="000000"/>
                <w:sz w:val="14"/>
                <w:szCs w:val="14"/>
              </w:rPr>
              <w:br/>
              <w:t xml:space="preserve">   </w:t>
            </w:r>
            <w:r w:rsidRPr="002D2F67">
              <w:rPr>
                <w:rFonts w:ascii="Arial" w:hAnsi="Arial" w:cs="Arial"/>
                <w:color w:val="000000"/>
                <w:sz w:val="14"/>
                <w:szCs w:val="14"/>
              </w:rPr>
              <w:t>waste management (</w:t>
            </w:r>
            <w:r w:rsidRPr="002D2F67">
              <w:rPr>
                <w:rFonts w:ascii="Arial" w:hAnsi="Arial" w:cs="Arial"/>
                <w:color w:val="000000"/>
                <w:spacing w:val="4"/>
                <w:sz w:val="14"/>
                <w:szCs w:val="14"/>
              </w:rPr>
              <w:t>not commercial operations yet)</w:t>
            </w:r>
          </w:p>
        </w:tc>
        <w:tc>
          <w:tcPr>
            <w:tcW w:w="1142" w:type="dxa"/>
            <w:shd w:val="clear" w:color="auto" w:fill="auto"/>
          </w:tcPr>
          <w:p w14:paraId="2A2EE9D3" w14:textId="5D7F2231" w:rsidR="00047C52" w:rsidRPr="002D2F67" w:rsidRDefault="00CD5714" w:rsidP="00CC0816">
            <w:pPr>
              <w:ind w:left="-122" w:right="-86"/>
              <w:jc w:val="right"/>
              <w:rPr>
                <w:rFonts w:ascii="Arial" w:hAnsi="Arial" w:cs="Arial"/>
                <w:color w:val="000000"/>
                <w:sz w:val="14"/>
                <w:szCs w:val="14"/>
              </w:rPr>
            </w:pPr>
            <w:r w:rsidRPr="00CD5714">
              <w:rPr>
                <w:rFonts w:ascii="Arial" w:hAnsi="Arial" w:cs="Arial"/>
                <w:color w:val="000000"/>
                <w:sz w:val="14"/>
                <w:szCs w:val="14"/>
                <w:lang w:val="en-GB"/>
              </w:rPr>
              <w:t>90</w:t>
            </w:r>
            <w:r w:rsidR="00047C52" w:rsidRPr="002D2F67">
              <w:rPr>
                <w:rFonts w:ascii="Arial" w:hAnsi="Arial" w:cs="Arial"/>
                <w:color w:val="000000"/>
                <w:sz w:val="14"/>
                <w:szCs w:val="14"/>
              </w:rPr>
              <w:t>.</w:t>
            </w:r>
            <w:r w:rsidRPr="00CD5714">
              <w:rPr>
                <w:rFonts w:ascii="Arial" w:hAnsi="Arial" w:cs="Arial"/>
                <w:color w:val="000000"/>
                <w:sz w:val="14"/>
                <w:szCs w:val="14"/>
                <w:lang w:val="en-GB"/>
              </w:rPr>
              <w:t>00</w:t>
            </w:r>
          </w:p>
        </w:tc>
        <w:tc>
          <w:tcPr>
            <w:tcW w:w="1143" w:type="dxa"/>
            <w:shd w:val="clear" w:color="auto" w:fill="auto"/>
          </w:tcPr>
          <w:p w14:paraId="64CD1386" w14:textId="1EBB9552" w:rsidR="00047C52" w:rsidRPr="002D2F67" w:rsidRDefault="00CD5714" w:rsidP="00CC0816">
            <w:pPr>
              <w:ind w:left="-122" w:right="-86"/>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96</w:t>
            </w:r>
          </w:p>
        </w:tc>
        <w:tc>
          <w:tcPr>
            <w:tcW w:w="1143" w:type="dxa"/>
            <w:shd w:val="clear" w:color="auto" w:fill="auto"/>
          </w:tcPr>
          <w:p w14:paraId="2A72EDA6" w14:textId="676882B1"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142" w:type="dxa"/>
            <w:shd w:val="clear" w:color="auto" w:fill="auto"/>
          </w:tcPr>
          <w:p w14:paraId="1613B759" w14:textId="0EFD03A5"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142" w:type="dxa"/>
            <w:shd w:val="clear" w:color="auto" w:fill="auto"/>
          </w:tcPr>
          <w:p w14:paraId="0D6D9419" w14:textId="74E7EAFA"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083" w:type="dxa"/>
            <w:shd w:val="clear" w:color="auto" w:fill="auto"/>
          </w:tcPr>
          <w:p w14:paraId="3FD7307D" w14:textId="6FD6DEB7"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r>
      <w:tr w:rsidR="00575E11" w:rsidRPr="002D2F67" w14:paraId="03BC22CF" w14:textId="77777777" w:rsidTr="004F4DED">
        <w:trPr>
          <w:cantSplit/>
          <w:trHeight w:val="346"/>
        </w:trPr>
        <w:tc>
          <w:tcPr>
            <w:tcW w:w="3431" w:type="dxa"/>
            <w:gridSpan w:val="2"/>
            <w:shd w:val="clear" w:color="auto" w:fill="auto"/>
          </w:tcPr>
          <w:p w14:paraId="6D490173" w14:textId="70CA60B7" w:rsidR="00047C52" w:rsidRPr="002D2F67" w:rsidRDefault="00047C52" w:rsidP="00CC0816">
            <w:pPr>
              <w:pStyle w:val="acctfourfigures"/>
              <w:tabs>
                <w:tab w:val="clear" w:pos="765"/>
              </w:tabs>
              <w:spacing w:line="240" w:lineRule="auto"/>
              <w:ind w:left="148" w:right="-72"/>
              <w:rPr>
                <w:rFonts w:ascii="Arial" w:hAnsi="Arial" w:cs="Arial"/>
                <w:color w:val="000000"/>
                <w:sz w:val="14"/>
                <w:szCs w:val="14"/>
                <w:lang w:bidi="th-TH"/>
              </w:rPr>
            </w:pPr>
            <w:r w:rsidRPr="002D2F67">
              <w:rPr>
                <w:rFonts w:ascii="Arial" w:hAnsi="Arial" w:cs="Arial"/>
                <w:color w:val="000000"/>
                <w:sz w:val="14"/>
                <w:szCs w:val="14"/>
                <w:lang w:bidi="th-TH"/>
              </w:rPr>
              <w:t xml:space="preserve">Etullosba Energy </w:t>
            </w:r>
            <w:r w:rsidR="00CD5714" w:rsidRPr="00CD5714">
              <w:rPr>
                <w:rFonts w:ascii="Arial" w:hAnsi="Arial" w:cs="Arial"/>
                <w:color w:val="000000"/>
                <w:sz w:val="14"/>
                <w:szCs w:val="14"/>
                <w:lang w:val="en-GB" w:bidi="th-TH"/>
              </w:rPr>
              <w:t>1</w:t>
            </w:r>
            <w:r w:rsidRPr="002D2F67">
              <w:rPr>
                <w:rFonts w:ascii="Arial" w:hAnsi="Arial" w:cs="Arial"/>
                <w:color w:val="000000"/>
                <w:sz w:val="14"/>
                <w:szCs w:val="14"/>
                <w:lang w:bidi="th-TH"/>
              </w:rPr>
              <w:t xml:space="preserve"> Co., Ltd.</w:t>
            </w:r>
          </w:p>
        </w:tc>
        <w:tc>
          <w:tcPr>
            <w:tcW w:w="4295" w:type="dxa"/>
            <w:shd w:val="clear" w:color="auto" w:fill="auto"/>
          </w:tcPr>
          <w:p w14:paraId="24C98700" w14:textId="67446792" w:rsidR="00047C52" w:rsidRPr="002D2F67" w:rsidRDefault="00047C52" w:rsidP="00174B63">
            <w:pPr>
              <w:tabs>
                <w:tab w:val="left" w:pos="-3402"/>
                <w:tab w:val="left" w:pos="-3261"/>
                <w:tab w:val="left" w:pos="-3119"/>
              </w:tabs>
              <w:ind w:left="-29" w:right="-23"/>
              <w:rPr>
                <w:rFonts w:ascii="Arial" w:hAnsi="Arial" w:cs="Arial"/>
                <w:color w:val="000000"/>
                <w:sz w:val="14"/>
                <w:szCs w:val="14"/>
              </w:rPr>
            </w:pPr>
            <w:r w:rsidRPr="002D2F67">
              <w:rPr>
                <w:rFonts w:ascii="Arial" w:hAnsi="Arial" w:cs="Arial"/>
                <w:color w:val="000000"/>
                <w:sz w:val="14"/>
                <w:szCs w:val="14"/>
              </w:rPr>
              <w:t>Manufacturing and distributing electricity</w:t>
            </w:r>
            <w:r w:rsidR="00C3424B" w:rsidRPr="002D2F67">
              <w:rPr>
                <w:rFonts w:ascii="Arial" w:hAnsi="Arial" w:cs="Arial"/>
                <w:color w:val="000000"/>
                <w:sz w:val="14"/>
                <w:szCs w:val="14"/>
              </w:rPr>
              <w:t xml:space="preserve"> </w:t>
            </w:r>
            <w:r w:rsidRPr="002D2F67">
              <w:rPr>
                <w:rFonts w:ascii="Arial" w:hAnsi="Arial" w:cs="Arial"/>
                <w:color w:val="000000"/>
                <w:sz w:val="14"/>
                <w:szCs w:val="14"/>
              </w:rPr>
              <w:t xml:space="preserve">from wind power and </w:t>
            </w:r>
            <w:r w:rsidR="00174B63" w:rsidRPr="002D2F67">
              <w:rPr>
                <w:rFonts w:ascii="Arial" w:hAnsi="Arial" w:cs="Arial"/>
                <w:color w:val="000000"/>
                <w:sz w:val="14"/>
                <w:szCs w:val="14"/>
              </w:rPr>
              <w:br/>
              <w:t xml:space="preserve">   </w:t>
            </w:r>
            <w:r w:rsidRPr="002D2F67">
              <w:rPr>
                <w:rFonts w:ascii="Arial" w:hAnsi="Arial" w:cs="Arial"/>
                <w:color w:val="000000"/>
                <w:sz w:val="14"/>
                <w:szCs w:val="14"/>
              </w:rPr>
              <w:t>solar energy</w:t>
            </w:r>
            <w:r w:rsidR="00C3424B" w:rsidRPr="002D2F67">
              <w:rPr>
                <w:rFonts w:ascii="Arial" w:hAnsi="Arial" w:cs="Arial"/>
                <w:color w:val="000000"/>
                <w:sz w:val="14"/>
                <w:szCs w:val="14"/>
              </w:rPr>
              <w:t xml:space="preserve"> </w:t>
            </w:r>
            <w:r w:rsidRPr="002D2F67">
              <w:rPr>
                <w:rFonts w:ascii="Arial" w:hAnsi="Arial" w:cs="Arial"/>
                <w:color w:val="000000"/>
                <w:sz w:val="14"/>
                <w:szCs w:val="14"/>
              </w:rPr>
              <w:t>(</w:t>
            </w:r>
            <w:r w:rsidRPr="002D2F67">
              <w:rPr>
                <w:rFonts w:ascii="Arial" w:hAnsi="Arial" w:cs="Arial"/>
                <w:color w:val="000000"/>
                <w:spacing w:val="4"/>
                <w:sz w:val="14"/>
                <w:szCs w:val="14"/>
              </w:rPr>
              <w:t>not commercial operations yet)</w:t>
            </w:r>
          </w:p>
        </w:tc>
        <w:tc>
          <w:tcPr>
            <w:tcW w:w="1142" w:type="dxa"/>
            <w:shd w:val="clear" w:color="auto" w:fill="auto"/>
          </w:tcPr>
          <w:p w14:paraId="3F3D89BB" w14:textId="14CABED4" w:rsidR="00047C52" w:rsidRPr="002D2F67" w:rsidRDefault="00CD5714" w:rsidP="00CC0816">
            <w:pPr>
              <w:ind w:left="-122" w:right="-86"/>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43" w:type="dxa"/>
            <w:shd w:val="clear" w:color="auto" w:fill="auto"/>
          </w:tcPr>
          <w:p w14:paraId="36D99843" w14:textId="032FC00E" w:rsidR="00047C52" w:rsidRPr="002D2F67" w:rsidRDefault="00CD5714" w:rsidP="00CC0816">
            <w:pPr>
              <w:ind w:left="-122" w:right="-86"/>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43" w:type="dxa"/>
            <w:shd w:val="clear" w:color="auto" w:fill="auto"/>
          </w:tcPr>
          <w:p w14:paraId="54B30733" w14:textId="2F6AA262"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142" w:type="dxa"/>
            <w:shd w:val="clear" w:color="auto" w:fill="auto"/>
          </w:tcPr>
          <w:p w14:paraId="73280697" w14:textId="4CCAC912"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142" w:type="dxa"/>
            <w:shd w:val="clear" w:color="auto" w:fill="auto"/>
          </w:tcPr>
          <w:p w14:paraId="6191D19B" w14:textId="002E76DB"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083" w:type="dxa"/>
            <w:shd w:val="clear" w:color="auto" w:fill="auto"/>
          </w:tcPr>
          <w:p w14:paraId="3222FFCD" w14:textId="21C95AB1"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r>
      <w:tr w:rsidR="00575E11" w:rsidRPr="002D2F67" w14:paraId="02DEA3DA" w14:textId="77777777" w:rsidTr="004F4DED">
        <w:trPr>
          <w:cantSplit/>
          <w:trHeight w:val="346"/>
        </w:trPr>
        <w:tc>
          <w:tcPr>
            <w:tcW w:w="3431" w:type="dxa"/>
            <w:gridSpan w:val="2"/>
            <w:shd w:val="clear" w:color="auto" w:fill="auto"/>
          </w:tcPr>
          <w:p w14:paraId="56D43550" w14:textId="0A0582CD" w:rsidR="00047C52" w:rsidRPr="002D2F67" w:rsidRDefault="00047C52" w:rsidP="00CC0816">
            <w:pPr>
              <w:pStyle w:val="acctfourfigures"/>
              <w:tabs>
                <w:tab w:val="clear" w:pos="765"/>
              </w:tabs>
              <w:spacing w:line="240" w:lineRule="auto"/>
              <w:ind w:left="148" w:right="-72"/>
              <w:rPr>
                <w:rFonts w:ascii="Arial" w:hAnsi="Arial" w:cs="Arial"/>
                <w:color w:val="000000"/>
                <w:sz w:val="14"/>
                <w:szCs w:val="14"/>
                <w:lang w:bidi="th-TH"/>
              </w:rPr>
            </w:pPr>
            <w:r w:rsidRPr="002D2F67">
              <w:rPr>
                <w:rFonts w:ascii="Arial" w:hAnsi="Arial" w:cs="Arial"/>
                <w:color w:val="000000"/>
                <w:sz w:val="14"/>
                <w:szCs w:val="14"/>
                <w:lang w:bidi="th-TH"/>
              </w:rPr>
              <w:t xml:space="preserve">Etullosba Energy </w:t>
            </w:r>
            <w:r w:rsidR="00CD5714" w:rsidRPr="00CD5714">
              <w:rPr>
                <w:rFonts w:ascii="Arial" w:hAnsi="Arial" w:cs="Arial"/>
                <w:color w:val="000000"/>
                <w:sz w:val="14"/>
                <w:szCs w:val="14"/>
                <w:lang w:val="en-GB" w:bidi="th-TH"/>
              </w:rPr>
              <w:t>2</w:t>
            </w:r>
            <w:r w:rsidRPr="002D2F67">
              <w:rPr>
                <w:rFonts w:ascii="Arial" w:hAnsi="Arial" w:cs="Arial"/>
                <w:color w:val="000000"/>
                <w:sz w:val="14"/>
                <w:szCs w:val="14"/>
                <w:lang w:bidi="th-TH"/>
              </w:rPr>
              <w:t xml:space="preserve"> Co., Ltd.</w:t>
            </w:r>
          </w:p>
        </w:tc>
        <w:tc>
          <w:tcPr>
            <w:tcW w:w="4295" w:type="dxa"/>
            <w:shd w:val="clear" w:color="auto" w:fill="auto"/>
          </w:tcPr>
          <w:p w14:paraId="093002A2" w14:textId="1BC6C785" w:rsidR="00047C52" w:rsidRPr="002D2F67" w:rsidRDefault="00047C52" w:rsidP="00174B63">
            <w:pPr>
              <w:tabs>
                <w:tab w:val="left" w:pos="-3402"/>
                <w:tab w:val="left" w:pos="-3261"/>
                <w:tab w:val="left" w:pos="-3119"/>
              </w:tabs>
              <w:ind w:left="-29" w:right="-23"/>
              <w:rPr>
                <w:rFonts w:ascii="Arial" w:hAnsi="Arial" w:cs="Arial"/>
                <w:color w:val="000000"/>
                <w:sz w:val="14"/>
                <w:szCs w:val="14"/>
              </w:rPr>
            </w:pPr>
            <w:r w:rsidRPr="002D2F67">
              <w:rPr>
                <w:rFonts w:ascii="Arial" w:hAnsi="Arial" w:cs="Arial"/>
                <w:color w:val="000000"/>
                <w:sz w:val="14"/>
                <w:szCs w:val="14"/>
              </w:rPr>
              <w:t>Manufacturing and distributing electricity</w:t>
            </w:r>
            <w:r w:rsidR="00174B63" w:rsidRPr="002D2F67">
              <w:rPr>
                <w:rFonts w:ascii="Arial" w:hAnsi="Arial" w:cs="Arial"/>
                <w:color w:val="000000"/>
                <w:sz w:val="14"/>
                <w:szCs w:val="14"/>
              </w:rPr>
              <w:t xml:space="preserve"> </w:t>
            </w:r>
            <w:r w:rsidRPr="002D2F67">
              <w:rPr>
                <w:rFonts w:ascii="Arial" w:hAnsi="Arial" w:cs="Arial"/>
                <w:color w:val="000000"/>
                <w:sz w:val="14"/>
                <w:szCs w:val="14"/>
              </w:rPr>
              <w:t xml:space="preserve">from wind power and </w:t>
            </w:r>
            <w:r w:rsidR="00174B63" w:rsidRPr="002D2F67">
              <w:rPr>
                <w:rFonts w:ascii="Arial" w:hAnsi="Arial" w:cs="Arial"/>
                <w:color w:val="000000"/>
                <w:sz w:val="14"/>
                <w:szCs w:val="14"/>
              </w:rPr>
              <w:br/>
              <w:t xml:space="preserve">   </w:t>
            </w:r>
            <w:r w:rsidRPr="002D2F67">
              <w:rPr>
                <w:rFonts w:ascii="Arial" w:hAnsi="Arial" w:cs="Arial"/>
                <w:color w:val="000000"/>
                <w:sz w:val="14"/>
                <w:szCs w:val="14"/>
              </w:rPr>
              <w:t>solar energy</w:t>
            </w:r>
            <w:r w:rsidR="00174B63" w:rsidRPr="002D2F67">
              <w:rPr>
                <w:rFonts w:ascii="Arial" w:hAnsi="Arial" w:cs="Arial"/>
                <w:color w:val="000000"/>
                <w:sz w:val="14"/>
                <w:szCs w:val="14"/>
              </w:rPr>
              <w:t xml:space="preserve"> </w:t>
            </w:r>
            <w:r w:rsidRPr="002D2F67">
              <w:rPr>
                <w:rFonts w:ascii="Arial" w:hAnsi="Arial" w:cs="Arial"/>
                <w:color w:val="000000"/>
                <w:sz w:val="14"/>
                <w:szCs w:val="14"/>
              </w:rPr>
              <w:t>(</w:t>
            </w:r>
            <w:r w:rsidRPr="002D2F67">
              <w:rPr>
                <w:rFonts w:ascii="Arial" w:hAnsi="Arial" w:cs="Arial"/>
                <w:color w:val="000000"/>
                <w:spacing w:val="4"/>
                <w:sz w:val="14"/>
                <w:szCs w:val="14"/>
              </w:rPr>
              <w:t>not commercial operations yet)</w:t>
            </w:r>
          </w:p>
        </w:tc>
        <w:tc>
          <w:tcPr>
            <w:tcW w:w="1142" w:type="dxa"/>
            <w:shd w:val="clear" w:color="auto" w:fill="auto"/>
          </w:tcPr>
          <w:p w14:paraId="75F7B84E" w14:textId="5CFB7842" w:rsidR="00047C52" w:rsidRPr="002D2F67" w:rsidRDefault="00CD5714" w:rsidP="00CC0816">
            <w:pPr>
              <w:ind w:left="-122" w:right="-86"/>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43" w:type="dxa"/>
            <w:shd w:val="clear" w:color="auto" w:fill="auto"/>
          </w:tcPr>
          <w:p w14:paraId="3B667BF3" w14:textId="7AE50F3F" w:rsidR="00047C52" w:rsidRPr="002D2F67" w:rsidRDefault="00CD5714" w:rsidP="00CC0816">
            <w:pPr>
              <w:ind w:left="-122" w:right="-86"/>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43" w:type="dxa"/>
            <w:shd w:val="clear" w:color="auto" w:fill="auto"/>
          </w:tcPr>
          <w:p w14:paraId="65ADFD9B" w14:textId="28E45A87"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142" w:type="dxa"/>
            <w:shd w:val="clear" w:color="auto" w:fill="auto"/>
          </w:tcPr>
          <w:p w14:paraId="5EE70577" w14:textId="57DFC0BF"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142" w:type="dxa"/>
            <w:shd w:val="clear" w:color="auto" w:fill="auto"/>
          </w:tcPr>
          <w:p w14:paraId="5FC97E1F" w14:textId="119250C1"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083" w:type="dxa"/>
            <w:shd w:val="clear" w:color="auto" w:fill="auto"/>
          </w:tcPr>
          <w:p w14:paraId="4FF84793" w14:textId="6C7BA830"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r>
      <w:tr w:rsidR="00575E11" w:rsidRPr="002D2F67" w14:paraId="57FAB2E2" w14:textId="77777777" w:rsidTr="004F4DED">
        <w:trPr>
          <w:cantSplit/>
          <w:trHeight w:val="346"/>
        </w:trPr>
        <w:tc>
          <w:tcPr>
            <w:tcW w:w="3431" w:type="dxa"/>
            <w:gridSpan w:val="2"/>
            <w:shd w:val="clear" w:color="auto" w:fill="auto"/>
          </w:tcPr>
          <w:p w14:paraId="3240A6AE" w14:textId="6E9221FD" w:rsidR="00047C52" w:rsidRPr="002D2F67" w:rsidRDefault="00047C52" w:rsidP="00CC0816">
            <w:pPr>
              <w:pStyle w:val="acctfourfigures"/>
              <w:tabs>
                <w:tab w:val="clear" w:pos="765"/>
              </w:tabs>
              <w:spacing w:line="240" w:lineRule="auto"/>
              <w:ind w:left="148" w:right="-72"/>
              <w:rPr>
                <w:rFonts w:ascii="Arial" w:hAnsi="Arial" w:cs="Arial"/>
                <w:color w:val="000000"/>
                <w:sz w:val="14"/>
                <w:szCs w:val="14"/>
                <w:lang w:bidi="th-TH"/>
              </w:rPr>
            </w:pPr>
            <w:r w:rsidRPr="002D2F67">
              <w:rPr>
                <w:rFonts w:ascii="Arial" w:hAnsi="Arial" w:cs="Arial"/>
                <w:color w:val="000000"/>
                <w:sz w:val="14"/>
                <w:szCs w:val="14"/>
                <w:lang w:bidi="th-TH"/>
              </w:rPr>
              <w:t xml:space="preserve">Etullosba Energy </w:t>
            </w:r>
            <w:r w:rsidR="00CD5714" w:rsidRPr="00CD5714">
              <w:rPr>
                <w:rFonts w:ascii="Arial" w:hAnsi="Arial" w:cs="Arial"/>
                <w:color w:val="000000"/>
                <w:sz w:val="14"/>
                <w:szCs w:val="14"/>
                <w:lang w:val="en-GB" w:bidi="th-TH"/>
              </w:rPr>
              <w:t>3</w:t>
            </w:r>
            <w:r w:rsidRPr="002D2F67">
              <w:rPr>
                <w:rFonts w:ascii="Arial" w:hAnsi="Arial" w:cs="Arial"/>
                <w:color w:val="000000"/>
                <w:sz w:val="14"/>
                <w:szCs w:val="14"/>
                <w:lang w:bidi="th-TH"/>
              </w:rPr>
              <w:t xml:space="preserve"> Co., Ltd.</w:t>
            </w:r>
          </w:p>
        </w:tc>
        <w:tc>
          <w:tcPr>
            <w:tcW w:w="4295" w:type="dxa"/>
            <w:shd w:val="clear" w:color="auto" w:fill="auto"/>
          </w:tcPr>
          <w:p w14:paraId="48CE091B" w14:textId="77BBADF5" w:rsidR="00047C52" w:rsidRPr="002D2F67" w:rsidRDefault="00047C52" w:rsidP="00174B63">
            <w:pPr>
              <w:tabs>
                <w:tab w:val="left" w:pos="-3402"/>
                <w:tab w:val="left" w:pos="-3261"/>
                <w:tab w:val="left" w:pos="-3119"/>
              </w:tabs>
              <w:ind w:left="-29" w:right="-23"/>
              <w:rPr>
                <w:rFonts w:ascii="Arial" w:hAnsi="Arial" w:cs="Arial"/>
                <w:color w:val="000000"/>
                <w:sz w:val="14"/>
                <w:szCs w:val="14"/>
              </w:rPr>
            </w:pPr>
            <w:r w:rsidRPr="002D2F67">
              <w:rPr>
                <w:rFonts w:ascii="Arial" w:hAnsi="Arial" w:cs="Arial"/>
                <w:color w:val="000000"/>
                <w:sz w:val="14"/>
                <w:szCs w:val="14"/>
              </w:rPr>
              <w:t>Manufacturing and distributing electricity</w:t>
            </w:r>
            <w:r w:rsidR="00174B63" w:rsidRPr="002D2F67">
              <w:rPr>
                <w:rFonts w:ascii="Arial" w:hAnsi="Arial" w:cs="Arial"/>
                <w:color w:val="000000"/>
                <w:sz w:val="14"/>
                <w:szCs w:val="14"/>
              </w:rPr>
              <w:t xml:space="preserve"> </w:t>
            </w:r>
            <w:r w:rsidRPr="002D2F67">
              <w:rPr>
                <w:rFonts w:ascii="Arial" w:hAnsi="Arial" w:cs="Arial"/>
                <w:color w:val="000000"/>
                <w:sz w:val="14"/>
                <w:szCs w:val="14"/>
              </w:rPr>
              <w:t xml:space="preserve">from wind power and </w:t>
            </w:r>
            <w:r w:rsidR="00174B63" w:rsidRPr="002D2F67">
              <w:rPr>
                <w:rFonts w:ascii="Arial" w:hAnsi="Arial" w:cs="Arial"/>
                <w:color w:val="000000"/>
                <w:sz w:val="14"/>
                <w:szCs w:val="14"/>
              </w:rPr>
              <w:br/>
              <w:t xml:space="preserve">   </w:t>
            </w:r>
            <w:r w:rsidRPr="002D2F67">
              <w:rPr>
                <w:rFonts w:ascii="Arial" w:hAnsi="Arial" w:cs="Arial"/>
                <w:color w:val="000000"/>
                <w:sz w:val="14"/>
                <w:szCs w:val="14"/>
              </w:rPr>
              <w:t>solar energy</w:t>
            </w:r>
            <w:r w:rsidR="00174B63" w:rsidRPr="002D2F67">
              <w:rPr>
                <w:rFonts w:ascii="Arial" w:hAnsi="Arial" w:cs="Arial"/>
                <w:color w:val="000000"/>
                <w:sz w:val="14"/>
                <w:szCs w:val="14"/>
              </w:rPr>
              <w:t xml:space="preserve"> </w:t>
            </w:r>
            <w:r w:rsidRPr="002D2F67">
              <w:rPr>
                <w:rFonts w:ascii="Arial" w:hAnsi="Arial" w:cs="Arial"/>
                <w:color w:val="000000"/>
                <w:sz w:val="14"/>
                <w:szCs w:val="14"/>
              </w:rPr>
              <w:t>(</w:t>
            </w:r>
            <w:r w:rsidRPr="002D2F67">
              <w:rPr>
                <w:rFonts w:ascii="Arial" w:hAnsi="Arial" w:cs="Arial"/>
                <w:color w:val="000000"/>
                <w:spacing w:val="4"/>
                <w:sz w:val="14"/>
                <w:szCs w:val="14"/>
              </w:rPr>
              <w:t>not commercial operations yet)</w:t>
            </w:r>
          </w:p>
        </w:tc>
        <w:tc>
          <w:tcPr>
            <w:tcW w:w="1142" w:type="dxa"/>
            <w:shd w:val="clear" w:color="auto" w:fill="auto"/>
          </w:tcPr>
          <w:p w14:paraId="4D70C124" w14:textId="5C6B7A71" w:rsidR="00047C52" w:rsidRPr="002D2F67" w:rsidRDefault="00CD5714" w:rsidP="00CC0816">
            <w:pPr>
              <w:ind w:left="-122" w:right="-86"/>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43" w:type="dxa"/>
            <w:shd w:val="clear" w:color="auto" w:fill="auto"/>
          </w:tcPr>
          <w:p w14:paraId="79AE5FA9" w14:textId="55A3F26B" w:rsidR="00047C52" w:rsidRPr="002D2F67" w:rsidRDefault="00CD5714" w:rsidP="00CC0816">
            <w:pPr>
              <w:ind w:left="-122" w:right="-86"/>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43" w:type="dxa"/>
            <w:shd w:val="clear" w:color="auto" w:fill="auto"/>
          </w:tcPr>
          <w:p w14:paraId="3198D194" w14:textId="5B71A71C"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142" w:type="dxa"/>
            <w:shd w:val="clear" w:color="auto" w:fill="auto"/>
          </w:tcPr>
          <w:p w14:paraId="4EACE5EB" w14:textId="6E448456"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142" w:type="dxa"/>
            <w:shd w:val="clear" w:color="auto" w:fill="auto"/>
          </w:tcPr>
          <w:p w14:paraId="59FD4954" w14:textId="3530C180"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083" w:type="dxa"/>
            <w:shd w:val="clear" w:color="auto" w:fill="auto"/>
          </w:tcPr>
          <w:p w14:paraId="64F2F700" w14:textId="197BA36D"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r>
      <w:tr w:rsidR="00575E11" w:rsidRPr="002D2F67" w14:paraId="2903F986" w14:textId="77777777" w:rsidTr="004F4DED">
        <w:trPr>
          <w:cantSplit/>
          <w:trHeight w:val="346"/>
        </w:trPr>
        <w:tc>
          <w:tcPr>
            <w:tcW w:w="3431" w:type="dxa"/>
            <w:gridSpan w:val="2"/>
            <w:shd w:val="clear" w:color="auto" w:fill="auto"/>
          </w:tcPr>
          <w:p w14:paraId="47AD79EB" w14:textId="251C76AF" w:rsidR="00047C52" w:rsidRPr="002D2F67" w:rsidRDefault="00047C52" w:rsidP="00CC0816">
            <w:pPr>
              <w:pStyle w:val="acctfourfigures"/>
              <w:tabs>
                <w:tab w:val="clear" w:pos="765"/>
              </w:tabs>
              <w:spacing w:line="240" w:lineRule="auto"/>
              <w:ind w:left="148" w:right="-72"/>
              <w:rPr>
                <w:rFonts w:ascii="Arial" w:hAnsi="Arial" w:cs="Arial"/>
                <w:color w:val="000000"/>
                <w:sz w:val="14"/>
                <w:szCs w:val="14"/>
                <w:lang w:bidi="th-TH"/>
              </w:rPr>
            </w:pPr>
            <w:r w:rsidRPr="002D2F67">
              <w:rPr>
                <w:rFonts w:ascii="Arial" w:hAnsi="Arial" w:cs="Arial"/>
                <w:color w:val="000000"/>
                <w:sz w:val="14"/>
                <w:szCs w:val="14"/>
                <w:lang w:bidi="th-TH"/>
              </w:rPr>
              <w:t xml:space="preserve">Etullosba Energy </w:t>
            </w:r>
            <w:r w:rsidR="00CD5714" w:rsidRPr="00CD5714">
              <w:rPr>
                <w:rFonts w:ascii="Arial" w:hAnsi="Arial" w:cs="Arial"/>
                <w:color w:val="000000"/>
                <w:sz w:val="14"/>
                <w:szCs w:val="14"/>
                <w:lang w:val="en-GB" w:bidi="th-TH"/>
              </w:rPr>
              <w:t>4</w:t>
            </w:r>
            <w:r w:rsidRPr="002D2F67">
              <w:rPr>
                <w:rFonts w:ascii="Arial" w:hAnsi="Arial" w:cs="Arial"/>
                <w:color w:val="000000"/>
                <w:sz w:val="14"/>
                <w:szCs w:val="14"/>
                <w:lang w:bidi="th-TH"/>
              </w:rPr>
              <w:t xml:space="preserve"> Co., Ltd.</w:t>
            </w:r>
          </w:p>
        </w:tc>
        <w:tc>
          <w:tcPr>
            <w:tcW w:w="4295" w:type="dxa"/>
            <w:shd w:val="clear" w:color="auto" w:fill="auto"/>
          </w:tcPr>
          <w:p w14:paraId="3E18BD1C" w14:textId="78F9C43C" w:rsidR="00047C52" w:rsidRPr="002D2F67" w:rsidRDefault="00047C52" w:rsidP="00174B63">
            <w:pPr>
              <w:tabs>
                <w:tab w:val="left" w:pos="-3402"/>
                <w:tab w:val="left" w:pos="-3261"/>
                <w:tab w:val="left" w:pos="-3119"/>
              </w:tabs>
              <w:ind w:left="-29" w:right="-23"/>
              <w:rPr>
                <w:rFonts w:ascii="Arial" w:hAnsi="Arial" w:cs="Arial"/>
                <w:color w:val="000000"/>
                <w:sz w:val="14"/>
                <w:szCs w:val="14"/>
              </w:rPr>
            </w:pPr>
            <w:r w:rsidRPr="002D2F67">
              <w:rPr>
                <w:rFonts w:ascii="Arial" w:hAnsi="Arial" w:cs="Arial"/>
                <w:color w:val="000000"/>
                <w:sz w:val="14"/>
                <w:szCs w:val="14"/>
              </w:rPr>
              <w:t>Manufacturing and distributing electricity</w:t>
            </w:r>
            <w:r w:rsidR="00174B63" w:rsidRPr="002D2F67">
              <w:rPr>
                <w:rFonts w:ascii="Arial" w:hAnsi="Arial" w:cs="Arial"/>
                <w:color w:val="000000"/>
                <w:sz w:val="14"/>
                <w:szCs w:val="14"/>
              </w:rPr>
              <w:t xml:space="preserve"> </w:t>
            </w:r>
            <w:r w:rsidRPr="002D2F67">
              <w:rPr>
                <w:rFonts w:ascii="Arial" w:hAnsi="Arial" w:cs="Arial"/>
                <w:color w:val="000000"/>
                <w:sz w:val="14"/>
                <w:szCs w:val="14"/>
              </w:rPr>
              <w:t xml:space="preserve">from wind power and </w:t>
            </w:r>
            <w:r w:rsidR="00174B63" w:rsidRPr="002D2F67">
              <w:rPr>
                <w:rFonts w:ascii="Arial" w:hAnsi="Arial" w:cs="Arial"/>
                <w:color w:val="000000"/>
                <w:sz w:val="14"/>
                <w:szCs w:val="14"/>
              </w:rPr>
              <w:br/>
              <w:t xml:space="preserve">   </w:t>
            </w:r>
            <w:r w:rsidRPr="002D2F67">
              <w:rPr>
                <w:rFonts w:ascii="Arial" w:hAnsi="Arial" w:cs="Arial"/>
                <w:color w:val="000000"/>
                <w:sz w:val="14"/>
                <w:szCs w:val="14"/>
              </w:rPr>
              <w:t>solar energy</w:t>
            </w:r>
            <w:r w:rsidR="00174B63" w:rsidRPr="002D2F67">
              <w:rPr>
                <w:rFonts w:ascii="Arial" w:hAnsi="Arial" w:cs="Arial"/>
                <w:color w:val="000000"/>
                <w:sz w:val="14"/>
                <w:szCs w:val="14"/>
              </w:rPr>
              <w:t xml:space="preserve"> </w:t>
            </w:r>
            <w:r w:rsidRPr="002D2F67">
              <w:rPr>
                <w:rFonts w:ascii="Arial" w:hAnsi="Arial" w:cs="Arial"/>
                <w:color w:val="000000"/>
                <w:sz w:val="14"/>
                <w:szCs w:val="14"/>
              </w:rPr>
              <w:t>(</w:t>
            </w:r>
            <w:r w:rsidRPr="002D2F67">
              <w:rPr>
                <w:rFonts w:ascii="Arial" w:hAnsi="Arial" w:cs="Arial"/>
                <w:color w:val="000000"/>
                <w:spacing w:val="4"/>
                <w:sz w:val="14"/>
                <w:szCs w:val="14"/>
              </w:rPr>
              <w:t>not commercial operations yet)</w:t>
            </w:r>
          </w:p>
        </w:tc>
        <w:tc>
          <w:tcPr>
            <w:tcW w:w="1142" w:type="dxa"/>
            <w:shd w:val="clear" w:color="auto" w:fill="auto"/>
          </w:tcPr>
          <w:p w14:paraId="4F6E3F2E" w14:textId="29D4207E" w:rsidR="00047C52" w:rsidRPr="002D2F67" w:rsidRDefault="00CD5714" w:rsidP="00CC0816">
            <w:pPr>
              <w:ind w:left="-122" w:right="-86"/>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43" w:type="dxa"/>
            <w:shd w:val="clear" w:color="auto" w:fill="auto"/>
          </w:tcPr>
          <w:p w14:paraId="537A9A5B" w14:textId="1BFD26A2" w:rsidR="00047C52" w:rsidRPr="002D2F67" w:rsidRDefault="00CD5714" w:rsidP="00CC0816">
            <w:pPr>
              <w:ind w:left="-122" w:right="-86"/>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43" w:type="dxa"/>
            <w:shd w:val="clear" w:color="auto" w:fill="auto"/>
          </w:tcPr>
          <w:p w14:paraId="21807C50" w14:textId="3224D49C"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142" w:type="dxa"/>
            <w:shd w:val="clear" w:color="auto" w:fill="auto"/>
          </w:tcPr>
          <w:p w14:paraId="592DC813" w14:textId="2B5091B8"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142" w:type="dxa"/>
            <w:shd w:val="clear" w:color="auto" w:fill="auto"/>
          </w:tcPr>
          <w:p w14:paraId="4C6177E3" w14:textId="2A7C14FD"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083" w:type="dxa"/>
            <w:shd w:val="clear" w:color="auto" w:fill="auto"/>
          </w:tcPr>
          <w:p w14:paraId="52412A63" w14:textId="793C8E6E"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r>
      <w:tr w:rsidR="00575E11" w:rsidRPr="002D2F67" w14:paraId="4CF02859" w14:textId="77777777" w:rsidTr="004F4DED">
        <w:trPr>
          <w:cantSplit/>
          <w:trHeight w:val="346"/>
        </w:trPr>
        <w:tc>
          <w:tcPr>
            <w:tcW w:w="3431" w:type="dxa"/>
            <w:gridSpan w:val="2"/>
            <w:shd w:val="clear" w:color="auto" w:fill="auto"/>
          </w:tcPr>
          <w:p w14:paraId="18885031" w14:textId="5DD266CD" w:rsidR="00047C52" w:rsidRPr="002D2F67" w:rsidRDefault="00047C52" w:rsidP="00CC0816">
            <w:pPr>
              <w:pStyle w:val="acctfourfigures"/>
              <w:tabs>
                <w:tab w:val="clear" w:pos="765"/>
              </w:tabs>
              <w:spacing w:line="240" w:lineRule="auto"/>
              <w:ind w:left="148" w:right="-72"/>
              <w:rPr>
                <w:rFonts w:ascii="Arial" w:hAnsi="Arial" w:cs="Arial"/>
                <w:color w:val="000000"/>
                <w:sz w:val="14"/>
                <w:szCs w:val="14"/>
                <w:lang w:bidi="th-TH"/>
              </w:rPr>
            </w:pPr>
            <w:r w:rsidRPr="002D2F67">
              <w:rPr>
                <w:rFonts w:ascii="Arial" w:hAnsi="Arial" w:cs="Arial"/>
                <w:color w:val="000000"/>
                <w:sz w:val="14"/>
                <w:szCs w:val="14"/>
                <w:lang w:bidi="th-TH"/>
              </w:rPr>
              <w:t xml:space="preserve">Etullosba Energy </w:t>
            </w:r>
            <w:r w:rsidR="00CD5714" w:rsidRPr="00CD5714">
              <w:rPr>
                <w:rFonts w:ascii="Arial" w:hAnsi="Arial" w:cs="Arial"/>
                <w:color w:val="000000"/>
                <w:sz w:val="14"/>
                <w:szCs w:val="14"/>
                <w:lang w:val="en-GB" w:bidi="th-TH"/>
              </w:rPr>
              <w:t>5</w:t>
            </w:r>
            <w:r w:rsidRPr="002D2F67">
              <w:rPr>
                <w:rFonts w:ascii="Arial" w:hAnsi="Arial" w:cs="Arial"/>
                <w:color w:val="000000"/>
                <w:sz w:val="14"/>
                <w:szCs w:val="14"/>
                <w:lang w:bidi="th-TH"/>
              </w:rPr>
              <w:t xml:space="preserve"> Co., Ltd.</w:t>
            </w:r>
          </w:p>
        </w:tc>
        <w:tc>
          <w:tcPr>
            <w:tcW w:w="4295" w:type="dxa"/>
            <w:shd w:val="clear" w:color="auto" w:fill="auto"/>
          </w:tcPr>
          <w:p w14:paraId="00A82983" w14:textId="7E6576B2" w:rsidR="00047C52" w:rsidRPr="002D2F67" w:rsidRDefault="00047C52" w:rsidP="00174B63">
            <w:pPr>
              <w:tabs>
                <w:tab w:val="left" w:pos="-3402"/>
                <w:tab w:val="left" w:pos="-3261"/>
                <w:tab w:val="left" w:pos="-3119"/>
              </w:tabs>
              <w:ind w:left="-29" w:right="-23"/>
              <w:rPr>
                <w:rFonts w:ascii="Arial" w:hAnsi="Arial" w:cs="Arial"/>
                <w:color w:val="000000"/>
                <w:sz w:val="14"/>
                <w:szCs w:val="14"/>
              </w:rPr>
            </w:pPr>
            <w:r w:rsidRPr="002D2F67">
              <w:rPr>
                <w:rFonts w:ascii="Arial" w:hAnsi="Arial" w:cs="Arial"/>
                <w:color w:val="000000"/>
                <w:sz w:val="14"/>
                <w:szCs w:val="14"/>
              </w:rPr>
              <w:t>Manufacturing and distributing electricity</w:t>
            </w:r>
            <w:r w:rsidR="00174B63" w:rsidRPr="002D2F67">
              <w:rPr>
                <w:rFonts w:ascii="Arial" w:hAnsi="Arial" w:cs="Arial"/>
                <w:color w:val="000000"/>
                <w:sz w:val="14"/>
                <w:szCs w:val="14"/>
              </w:rPr>
              <w:t xml:space="preserve"> </w:t>
            </w:r>
            <w:r w:rsidRPr="002D2F67">
              <w:rPr>
                <w:rFonts w:ascii="Arial" w:hAnsi="Arial" w:cs="Arial"/>
                <w:color w:val="000000"/>
                <w:sz w:val="14"/>
                <w:szCs w:val="14"/>
              </w:rPr>
              <w:t xml:space="preserve">from wind power and </w:t>
            </w:r>
            <w:r w:rsidR="00174B63" w:rsidRPr="002D2F67">
              <w:rPr>
                <w:rFonts w:ascii="Arial" w:hAnsi="Arial" w:cs="Arial"/>
                <w:color w:val="000000"/>
                <w:sz w:val="14"/>
                <w:szCs w:val="14"/>
              </w:rPr>
              <w:br/>
              <w:t xml:space="preserve">   </w:t>
            </w:r>
            <w:r w:rsidRPr="002D2F67">
              <w:rPr>
                <w:rFonts w:ascii="Arial" w:hAnsi="Arial" w:cs="Arial"/>
                <w:color w:val="000000"/>
                <w:sz w:val="14"/>
                <w:szCs w:val="14"/>
              </w:rPr>
              <w:t>solar energy</w:t>
            </w:r>
            <w:r w:rsidR="00174B63" w:rsidRPr="002D2F67">
              <w:rPr>
                <w:rFonts w:ascii="Arial" w:hAnsi="Arial" w:cs="Arial"/>
                <w:color w:val="000000"/>
                <w:sz w:val="14"/>
                <w:szCs w:val="14"/>
              </w:rPr>
              <w:t xml:space="preserve"> </w:t>
            </w:r>
            <w:r w:rsidRPr="002D2F67">
              <w:rPr>
                <w:rFonts w:ascii="Arial" w:hAnsi="Arial" w:cs="Arial"/>
                <w:color w:val="000000"/>
                <w:sz w:val="14"/>
                <w:szCs w:val="14"/>
              </w:rPr>
              <w:t>(</w:t>
            </w:r>
            <w:r w:rsidRPr="002D2F67">
              <w:rPr>
                <w:rFonts w:ascii="Arial" w:hAnsi="Arial" w:cs="Arial"/>
                <w:color w:val="000000"/>
                <w:spacing w:val="4"/>
                <w:sz w:val="14"/>
                <w:szCs w:val="14"/>
              </w:rPr>
              <w:t>not commercial operations yet)</w:t>
            </w:r>
          </w:p>
        </w:tc>
        <w:tc>
          <w:tcPr>
            <w:tcW w:w="1142" w:type="dxa"/>
            <w:shd w:val="clear" w:color="auto" w:fill="auto"/>
          </w:tcPr>
          <w:p w14:paraId="2F0C60BD" w14:textId="4D70471C" w:rsidR="00047C52" w:rsidRPr="002D2F67" w:rsidRDefault="00CD5714" w:rsidP="00CC0816">
            <w:pPr>
              <w:ind w:left="-122" w:right="-86"/>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43" w:type="dxa"/>
            <w:shd w:val="clear" w:color="auto" w:fill="auto"/>
          </w:tcPr>
          <w:p w14:paraId="08E7F49A" w14:textId="2AEEB248" w:rsidR="00047C52" w:rsidRPr="002D2F67" w:rsidRDefault="00CD5714" w:rsidP="00CC0816">
            <w:pPr>
              <w:ind w:left="-122" w:right="-86"/>
              <w:jc w:val="right"/>
              <w:rPr>
                <w:rFonts w:ascii="Arial" w:hAnsi="Arial" w:cs="Arial"/>
                <w:color w:val="000000"/>
                <w:sz w:val="14"/>
                <w:szCs w:val="14"/>
              </w:rPr>
            </w:pPr>
            <w:r w:rsidRPr="00CD5714">
              <w:rPr>
                <w:rFonts w:ascii="Arial" w:hAnsi="Arial" w:cs="Arial"/>
                <w:color w:val="000000"/>
                <w:sz w:val="14"/>
                <w:szCs w:val="14"/>
                <w:lang w:val="en-GB"/>
              </w:rPr>
              <w:t>99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43" w:type="dxa"/>
            <w:shd w:val="clear" w:color="auto" w:fill="auto"/>
          </w:tcPr>
          <w:p w14:paraId="459F656D" w14:textId="49FD2CAD"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142" w:type="dxa"/>
            <w:shd w:val="clear" w:color="auto" w:fill="auto"/>
          </w:tcPr>
          <w:p w14:paraId="0F02EA41" w14:textId="3C3BDBCD"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142" w:type="dxa"/>
            <w:shd w:val="clear" w:color="auto" w:fill="auto"/>
          </w:tcPr>
          <w:p w14:paraId="7DE1896A" w14:textId="753DF085"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083" w:type="dxa"/>
            <w:shd w:val="clear" w:color="auto" w:fill="auto"/>
          </w:tcPr>
          <w:p w14:paraId="5061A47D" w14:textId="10B659A1"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r>
      <w:tr w:rsidR="00575E11" w:rsidRPr="002D2F67" w14:paraId="321A1D32" w14:textId="77777777" w:rsidTr="004F4DED">
        <w:trPr>
          <w:cantSplit/>
          <w:trHeight w:val="346"/>
        </w:trPr>
        <w:tc>
          <w:tcPr>
            <w:tcW w:w="3431" w:type="dxa"/>
            <w:gridSpan w:val="2"/>
            <w:shd w:val="clear" w:color="auto" w:fill="auto"/>
          </w:tcPr>
          <w:p w14:paraId="4C15D68E" w14:textId="6C280916" w:rsidR="00047C52" w:rsidRPr="002D2F67" w:rsidRDefault="00047C52" w:rsidP="00CC0816">
            <w:pPr>
              <w:pStyle w:val="acctfourfigures"/>
              <w:tabs>
                <w:tab w:val="clear" w:pos="765"/>
              </w:tabs>
              <w:spacing w:line="240" w:lineRule="auto"/>
              <w:ind w:left="148" w:right="-72"/>
              <w:rPr>
                <w:rFonts w:ascii="Arial" w:hAnsi="Arial" w:cs="Arial"/>
                <w:color w:val="000000"/>
                <w:sz w:val="14"/>
                <w:szCs w:val="14"/>
                <w:lang w:bidi="th-TH"/>
              </w:rPr>
            </w:pPr>
            <w:r w:rsidRPr="002D2F67">
              <w:rPr>
                <w:rFonts w:ascii="Arial" w:hAnsi="Arial" w:cs="Arial"/>
                <w:color w:val="000000"/>
                <w:sz w:val="14"/>
                <w:szCs w:val="14"/>
                <w:lang w:bidi="th-TH"/>
              </w:rPr>
              <w:t>Infinity Greener Co., Ltd.</w:t>
            </w:r>
          </w:p>
        </w:tc>
        <w:tc>
          <w:tcPr>
            <w:tcW w:w="4295" w:type="dxa"/>
            <w:shd w:val="clear" w:color="auto" w:fill="auto"/>
          </w:tcPr>
          <w:p w14:paraId="7CD4D562" w14:textId="060EE76D" w:rsidR="00047C52" w:rsidRPr="002D2F67" w:rsidRDefault="00047C52" w:rsidP="00CC0816">
            <w:pPr>
              <w:ind w:left="-29" w:right="-23"/>
              <w:rPr>
                <w:rFonts w:ascii="Arial" w:hAnsi="Arial" w:cs="Arial"/>
                <w:color w:val="000000"/>
                <w:sz w:val="14"/>
                <w:szCs w:val="14"/>
              </w:rPr>
            </w:pPr>
            <w:r w:rsidRPr="002D2F67">
              <w:rPr>
                <w:rFonts w:ascii="Arial" w:hAnsi="Arial" w:cs="Arial"/>
                <w:color w:val="000000"/>
                <w:sz w:val="14"/>
                <w:szCs w:val="14"/>
              </w:rPr>
              <w:t>Manufacturing electric equipment for electric vehicle</w:t>
            </w:r>
            <w:r w:rsidR="00174B63" w:rsidRPr="002D2F67">
              <w:rPr>
                <w:rFonts w:ascii="Arial" w:hAnsi="Arial" w:cs="Arial"/>
                <w:color w:val="000000"/>
                <w:sz w:val="14"/>
                <w:szCs w:val="14"/>
              </w:rPr>
              <w:br/>
              <w:t xml:space="preserve">   </w:t>
            </w:r>
            <w:r w:rsidRPr="002D2F67">
              <w:rPr>
                <w:rFonts w:ascii="Arial" w:hAnsi="Arial" w:cs="Arial"/>
                <w:color w:val="000000"/>
                <w:sz w:val="14"/>
                <w:szCs w:val="14"/>
              </w:rPr>
              <w:t>(not commercial operation yet)</w:t>
            </w:r>
          </w:p>
        </w:tc>
        <w:tc>
          <w:tcPr>
            <w:tcW w:w="1142" w:type="dxa"/>
            <w:shd w:val="clear" w:color="auto" w:fill="auto"/>
          </w:tcPr>
          <w:p w14:paraId="1DC7C590" w14:textId="262399BC" w:rsidR="00047C52" w:rsidRPr="002D2F67" w:rsidRDefault="00CD5714" w:rsidP="00CC0816">
            <w:pPr>
              <w:ind w:left="-122" w:right="-86"/>
              <w:jc w:val="right"/>
              <w:rPr>
                <w:rFonts w:ascii="Arial" w:hAnsi="Arial" w:cs="Arial"/>
                <w:color w:val="000000"/>
                <w:sz w:val="14"/>
                <w:szCs w:val="14"/>
              </w:rPr>
            </w:pPr>
            <w:r w:rsidRPr="00CD5714">
              <w:rPr>
                <w:rFonts w:ascii="Arial" w:hAnsi="Arial" w:cs="Arial"/>
                <w:color w:val="000000"/>
                <w:sz w:val="14"/>
                <w:szCs w:val="14"/>
                <w:lang w:val="en-GB"/>
              </w:rPr>
              <w:t>69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43" w:type="dxa"/>
            <w:shd w:val="clear" w:color="auto" w:fill="auto"/>
          </w:tcPr>
          <w:p w14:paraId="13F2D63E" w14:textId="64B583B4" w:rsidR="00047C52" w:rsidRPr="002D2F67" w:rsidRDefault="00CD5714" w:rsidP="00CC0816">
            <w:pPr>
              <w:ind w:left="-122" w:right="-86"/>
              <w:jc w:val="right"/>
              <w:rPr>
                <w:rFonts w:ascii="Arial" w:hAnsi="Arial" w:cs="Arial"/>
                <w:color w:val="000000"/>
                <w:sz w:val="14"/>
                <w:szCs w:val="14"/>
              </w:rPr>
            </w:pPr>
            <w:r w:rsidRPr="00CD5714">
              <w:rPr>
                <w:rFonts w:ascii="Arial" w:hAnsi="Arial" w:cs="Arial"/>
                <w:color w:val="000000"/>
                <w:sz w:val="14"/>
                <w:szCs w:val="14"/>
                <w:lang w:val="en-GB"/>
              </w:rPr>
              <w:t>69</w:t>
            </w:r>
            <w:r w:rsidR="00047C52" w:rsidRPr="002D2F67">
              <w:rPr>
                <w:rFonts w:ascii="Arial" w:hAnsi="Arial" w:cs="Arial"/>
                <w:color w:val="000000"/>
                <w:sz w:val="14"/>
                <w:szCs w:val="14"/>
              </w:rPr>
              <w:t>.</w:t>
            </w:r>
            <w:r w:rsidRPr="00CD5714">
              <w:rPr>
                <w:rFonts w:ascii="Arial" w:hAnsi="Arial" w:cs="Arial"/>
                <w:color w:val="000000"/>
                <w:sz w:val="14"/>
                <w:szCs w:val="14"/>
                <w:lang w:val="en-GB"/>
              </w:rPr>
              <w:t>99</w:t>
            </w:r>
          </w:p>
        </w:tc>
        <w:tc>
          <w:tcPr>
            <w:tcW w:w="1143" w:type="dxa"/>
            <w:shd w:val="clear" w:color="auto" w:fill="auto"/>
          </w:tcPr>
          <w:p w14:paraId="6611D373" w14:textId="10A7D80B"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142" w:type="dxa"/>
            <w:shd w:val="clear" w:color="auto" w:fill="auto"/>
          </w:tcPr>
          <w:p w14:paraId="54E9D531" w14:textId="1C1ECF83"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142" w:type="dxa"/>
            <w:shd w:val="clear" w:color="auto" w:fill="auto"/>
          </w:tcPr>
          <w:p w14:paraId="29A4A0A7" w14:textId="64410A83"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c>
          <w:tcPr>
            <w:tcW w:w="1083" w:type="dxa"/>
            <w:shd w:val="clear" w:color="auto" w:fill="auto"/>
          </w:tcPr>
          <w:p w14:paraId="2BB3F711" w14:textId="645B008D" w:rsidR="00047C52" w:rsidRPr="002D2F67" w:rsidRDefault="00047C52" w:rsidP="00CC0816">
            <w:pPr>
              <w:ind w:right="-86"/>
              <w:jc w:val="right"/>
              <w:rPr>
                <w:rFonts w:ascii="Arial" w:hAnsi="Arial" w:cs="Arial"/>
                <w:color w:val="000000"/>
                <w:sz w:val="14"/>
                <w:szCs w:val="14"/>
              </w:rPr>
            </w:pPr>
            <w:r w:rsidRPr="002D2F67">
              <w:rPr>
                <w:rFonts w:ascii="Arial" w:hAnsi="Arial" w:cs="Arial"/>
                <w:color w:val="000000"/>
                <w:sz w:val="14"/>
                <w:szCs w:val="14"/>
              </w:rPr>
              <w:t>-</w:t>
            </w:r>
          </w:p>
        </w:tc>
      </w:tr>
      <w:tr w:rsidR="00575E11" w:rsidRPr="002D2F67" w14:paraId="11403B27" w14:textId="77777777" w:rsidTr="004F4DED">
        <w:trPr>
          <w:cantSplit/>
          <w:trHeight w:val="104"/>
        </w:trPr>
        <w:tc>
          <w:tcPr>
            <w:tcW w:w="3431" w:type="dxa"/>
            <w:gridSpan w:val="2"/>
            <w:shd w:val="clear" w:color="auto" w:fill="auto"/>
          </w:tcPr>
          <w:p w14:paraId="5F9DAD19" w14:textId="77777777" w:rsidR="00047C52" w:rsidRPr="002D2F67" w:rsidRDefault="00047C52" w:rsidP="00CC0816">
            <w:pPr>
              <w:ind w:right="-208"/>
              <w:rPr>
                <w:rFonts w:ascii="Arial" w:hAnsi="Arial" w:cs="Arial"/>
                <w:color w:val="000000"/>
                <w:sz w:val="8"/>
                <w:szCs w:val="8"/>
              </w:rPr>
            </w:pPr>
          </w:p>
        </w:tc>
        <w:tc>
          <w:tcPr>
            <w:tcW w:w="4295" w:type="dxa"/>
            <w:shd w:val="clear" w:color="auto" w:fill="auto"/>
          </w:tcPr>
          <w:p w14:paraId="3F06737F" w14:textId="77777777" w:rsidR="00047C52" w:rsidRPr="002D2F67" w:rsidRDefault="00047C52" w:rsidP="00CC0816">
            <w:pPr>
              <w:pStyle w:val="acctfourfigures"/>
              <w:tabs>
                <w:tab w:val="clear" w:pos="765"/>
              </w:tabs>
              <w:spacing w:line="240" w:lineRule="auto"/>
              <w:ind w:right="-72"/>
              <w:rPr>
                <w:rFonts w:ascii="Arial" w:hAnsi="Arial" w:cs="Arial"/>
                <w:color w:val="000000"/>
                <w:sz w:val="8"/>
                <w:szCs w:val="8"/>
                <w:lang w:bidi="th-TH"/>
              </w:rPr>
            </w:pPr>
          </w:p>
        </w:tc>
        <w:tc>
          <w:tcPr>
            <w:tcW w:w="1142" w:type="dxa"/>
            <w:shd w:val="clear" w:color="auto" w:fill="auto"/>
          </w:tcPr>
          <w:p w14:paraId="5514699E" w14:textId="77777777" w:rsidR="00047C52" w:rsidRPr="002D2F67" w:rsidRDefault="00047C52" w:rsidP="00CC0816">
            <w:pPr>
              <w:ind w:left="-122" w:right="-86"/>
              <w:jc w:val="right"/>
              <w:rPr>
                <w:rFonts w:ascii="Arial" w:hAnsi="Arial" w:cs="Arial"/>
                <w:color w:val="000000"/>
                <w:sz w:val="8"/>
                <w:szCs w:val="8"/>
              </w:rPr>
            </w:pPr>
          </w:p>
        </w:tc>
        <w:tc>
          <w:tcPr>
            <w:tcW w:w="1143" w:type="dxa"/>
            <w:shd w:val="clear" w:color="auto" w:fill="auto"/>
          </w:tcPr>
          <w:p w14:paraId="0B24AEDD" w14:textId="77777777" w:rsidR="00047C52" w:rsidRPr="002D2F67" w:rsidRDefault="00047C52" w:rsidP="00CC0816">
            <w:pPr>
              <w:ind w:left="-122" w:right="-86"/>
              <w:jc w:val="right"/>
              <w:rPr>
                <w:rFonts w:ascii="Arial" w:hAnsi="Arial" w:cs="Arial"/>
                <w:color w:val="000000"/>
                <w:sz w:val="8"/>
                <w:szCs w:val="8"/>
              </w:rPr>
            </w:pPr>
          </w:p>
        </w:tc>
        <w:tc>
          <w:tcPr>
            <w:tcW w:w="1143" w:type="dxa"/>
            <w:shd w:val="clear" w:color="auto" w:fill="auto"/>
          </w:tcPr>
          <w:p w14:paraId="19550D4F" w14:textId="77777777" w:rsidR="00047C52" w:rsidRPr="002D2F67" w:rsidRDefault="00047C52" w:rsidP="00CC0816">
            <w:pPr>
              <w:ind w:right="-86"/>
              <w:jc w:val="right"/>
              <w:rPr>
                <w:rFonts w:ascii="Arial" w:hAnsi="Arial" w:cs="Arial"/>
                <w:color w:val="000000"/>
                <w:sz w:val="8"/>
                <w:szCs w:val="8"/>
              </w:rPr>
            </w:pPr>
          </w:p>
        </w:tc>
        <w:tc>
          <w:tcPr>
            <w:tcW w:w="1142" w:type="dxa"/>
            <w:shd w:val="clear" w:color="auto" w:fill="auto"/>
          </w:tcPr>
          <w:p w14:paraId="6EEC4BF0" w14:textId="77777777" w:rsidR="00047C52" w:rsidRPr="002D2F67" w:rsidRDefault="00047C52" w:rsidP="00CC0816">
            <w:pPr>
              <w:ind w:right="-86"/>
              <w:jc w:val="right"/>
              <w:rPr>
                <w:rFonts w:ascii="Arial" w:hAnsi="Arial" w:cs="Arial"/>
                <w:color w:val="000000"/>
                <w:sz w:val="8"/>
                <w:szCs w:val="8"/>
              </w:rPr>
            </w:pPr>
          </w:p>
        </w:tc>
        <w:tc>
          <w:tcPr>
            <w:tcW w:w="1142" w:type="dxa"/>
            <w:shd w:val="clear" w:color="auto" w:fill="auto"/>
          </w:tcPr>
          <w:p w14:paraId="7A2A37E3" w14:textId="77777777" w:rsidR="00047C52" w:rsidRPr="002D2F67" w:rsidRDefault="00047C52" w:rsidP="00CC0816">
            <w:pPr>
              <w:ind w:right="-86"/>
              <w:jc w:val="right"/>
              <w:rPr>
                <w:rFonts w:ascii="Arial" w:hAnsi="Arial" w:cs="Arial"/>
                <w:color w:val="000000"/>
                <w:sz w:val="8"/>
                <w:szCs w:val="8"/>
              </w:rPr>
            </w:pPr>
          </w:p>
        </w:tc>
        <w:tc>
          <w:tcPr>
            <w:tcW w:w="1083" w:type="dxa"/>
            <w:shd w:val="clear" w:color="auto" w:fill="auto"/>
          </w:tcPr>
          <w:p w14:paraId="40AEE97D" w14:textId="77777777" w:rsidR="00047C52" w:rsidRPr="002D2F67" w:rsidRDefault="00047C52" w:rsidP="00CC0816">
            <w:pPr>
              <w:ind w:right="-86"/>
              <w:jc w:val="right"/>
              <w:rPr>
                <w:rFonts w:ascii="Arial" w:hAnsi="Arial" w:cs="Arial"/>
                <w:color w:val="000000"/>
                <w:sz w:val="8"/>
                <w:szCs w:val="8"/>
              </w:rPr>
            </w:pPr>
          </w:p>
        </w:tc>
      </w:tr>
      <w:tr w:rsidR="00575E11" w:rsidRPr="002D2F67" w14:paraId="13B0FB09" w14:textId="3E9927D7" w:rsidTr="004F4DED">
        <w:trPr>
          <w:cantSplit/>
          <w:trHeight w:val="162"/>
        </w:trPr>
        <w:tc>
          <w:tcPr>
            <w:tcW w:w="7726" w:type="dxa"/>
            <w:gridSpan w:val="3"/>
            <w:shd w:val="clear" w:color="auto" w:fill="auto"/>
          </w:tcPr>
          <w:p w14:paraId="6829F95E" w14:textId="77777777" w:rsidR="00047C52" w:rsidRPr="002D2F67" w:rsidRDefault="00047C52" w:rsidP="00CC0816">
            <w:pPr>
              <w:pStyle w:val="acctfourfigures"/>
              <w:tabs>
                <w:tab w:val="clear" w:pos="765"/>
                <w:tab w:val="decimal" w:pos="550"/>
              </w:tabs>
              <w:spacing w:line="240" w:lineRule="auto"/>
              <w:ind w:right="-72" w:firstLine="155"/>
              <w:rPr>
                <w:rFonts w:ascii="Arial" w:hAnsi="Arial" w:cs="Arial"/>
                <w:color w:val="000000"/>
                <w:sz w:val="14"/>
                <w:szCs w:val="14"/>
                <w:lang w:bidi="th-TH"/>
              </w:rPr>
            </w:pPr>
            <w:r w:rsidRPr="002D2F67">
              <w:rPr>
                <w:rFonts w:ascii="Arial" w:hAnsi="Arial" w:cs="Arial"/>
                <w:color w:val="000000"/>
                <w:sz w:val="14"/>
                <w:szCs w:val="14"/>
                <w:lang w:bidi="th-TH"/>
              </w:rPr>
              <w:t>The details of indirect subsidiaries incorporated in other countries</w:t>
            </w:r>
          </w:p>
        </w:tc>
        <w:tc>
          <w:tcPr>
            <w:tcW w:w="1142" w:type="dxa"/>
            <w:shd w:val="clear" w:color="auto" w:fill="auto"/>
          </w:tcPr>
          <w:p w14:paraId="44BDB560" w14:textId="77777777" w:rsidR="00047C52" w:rsidRPr="002D2F67" w:rsidRDefault="00047C52" w:rsidP="00CC0816">
            <w:pPr>
              <w:pStyle w:val="acctfourfigures"/>
              <w:tabs>
                <w:tab w:val="clear" w:pos="765"/>
              </w:tabs>
              <w:spacing w:line="240" w:lineRule="auto"/>
              <w:ind w:right="-86"/>
              <w:jc w:val="right"/>
              <w:rPr>
                <w:rFonts w:ascii="Arial" w:hAnsi="Arial" w:cs="Arial"/>
                <w:color w:val="000000"/>
                <w:sz w:val="14"/>
                <w:szCs w:val="14"/>
                <w:lang w:bidi="th-TH"/>
              </w:rPr>
            </w:pPr>
          </w:p>
        </w:tc>
        <w:tc>
          <w:tcPr>
            <w:tcW w:w="1143" w:type="dxa"/>
            <w:shd w:val="clear" w:color="auto" w:fill="auto"/>
          </w:tcPr>
          <w:p w14:paraId="3CE40522" w14:textId="77777777" w:rsidR="00047C52" w:rsidRPr="002D2F67" w:rsidRDefault="00047C52" w:rsidP="00CC0816">
            <w:pPr>
              <w:pStyle w:val="acctfourfigures"/>
              <w:tabs>
                <w:tab w:val="clear" w:pos="765"/>
              </w:tabs>
              <w:spacing w:line="240" w:lineRule="auto"/>
              <w:ind w:right="-86"/>
              <w:jc w:val="right"/>
              <w:rPr>
                <w:rFonts w:ascii="Arial" w:hAnsi="Arial" w:cs="Arial"/>
                <w:color w:val="000000"/>
                <w:sz w:val="14"/>
                <w:szCs w:val="14"/>
                <w:lang w:bidi="th-TH"/>
              </w:rPr>
            </w:pPr>
          </w:p>
        </w:tc>
        <w:tc>
          <w:tcPr>
            <w:tcW w:w="1143" w:type="dxa"/>
            <w:shd w:val="clear" w:color="auto" w:fill="auto"/>
          </w:tcPr>
          <w:p w14:paraId="12A5BA5A" w14:textId="77777777" w:rsidR="00047C52" w:rsidRPr="002D2F67" w:rsidRDefault="00047C52" w:rsidP="00CC0816">
            <w:pPr>
              <w:pStyle w:val="acctfourfigures"/>
              <w:tabs>
                <w:tab w:val="clear" w:pos="765"/>
              </w:tabs>
              <w:spacing w:line="240" w:lineRule="auto"/>
              <w:ind w:right="-86"/>
              <w:jc w:val="right"/>
              <w:rPr>
                <w:rFonts w:ascii="Arial" w:hAnsi="Arial" w:cs="Arial"/>
                <w:color w:val="000000"/>
                <w:sz w:val="14"/>
                <w:szCs w:val="14"/>
                <w:lang w:bidi="th-TH"/>
              </w:rPr>
            </w:pPr>
          </w:p>
        </w:tc>
        <w:tc>
          <w:tcPr>
            <w:tcW w:w="1142" w:type="dxa"/>
            <w:shd w:val="clear" w:color="auto" w:fill="auto"/>
          </w:tcPr>
          <w:p w14:paraId="7AEACFBB" w14:textId="77777777" w:rsidR="00047C52" w:rsidRPr="002D2F67" w:rsidRDefault="00047C52" w:rsidP="00CC0816">
            <w:pPr>
              <w:pStyle w:val="acctfourfigures"/>
              <w:tabs>
                <w:tab w:val="clear" w:pos="765"/>
              </w:tabs>
              <w:spacing w:line="240" w:lineRule="auto"/>
              <w:ind w:right="-86"/>
              <w:jc w:val="right"/>
              <w:rPr>
                <w:rFonts w:ascii="Arial" w:hAnsi="Arial" w:cs="Arial"/>
                <w:color w:val="000000"/>
                <w:sz w:val="14"/>
                <w:szCs w:val="14"/>
                <w:lang w:bidi="th-TH"/>
              </w:rPr>
            </w:pPr>
          </w:p>
        </w:tc>
        <w:tc>
          <w:tcPr>
            <w:tcW w:w="1142" w:type="dxa"/>
            <w:shd w:val="clear" w:color="auto" w:fill="auto"/>
          </w:tcPr>
          <w:p w14:paraId="1D302C40" w14:textId="77777777" w:rsidR="00047C52" w:rsidRPr="002D2F67" w:rsidRDefault="00047C52" w:rsidP="00CC0816">
            <w:pPr>
              <w:pStyle w:val="acctfourfigures"/>
              <w:tabs>
                <w:tab w:val="clear" w:pos="765"/>
              </w:tabs>
              <w:spacing w:line="240" w:lineRule="auto"/>
              <w:ind w:right="-86"/>
              <w:jc w:val="right"/>
              <w:rPr>
                <w:rFonts w:ascii="Arial" w:hAnsi="Arial" w:cs="Arial"/>
                <w:color w:val="000000"/>
                <w:sz w:val="14"/>
                <w:szCs w:val="14"/>
                <w:lang w:bidi="th-TH"/>
              </w:rPr>
            </w:pPr>
          </w:p>
        </w:tc>
        <w:tc>
          <w:tcPr>
            <w:tcW w:w="1083" w:type="dxa"/>
            <w:shd w:val="clear" w:color="auto" w:fill="auto"/>
          </w:tcPr>
          <w:p w14:paraId="5C1E5BB4" w14:textId="77777777" w:rsidR="00047C52" w:rsidRPr="002D2F67" w:rsidRDefault="00047C52" w:rsidP="00CC0816">
            <w:pPr>
              <w:pStyle w:val="acctfourfigures"/>
              <w:tabs>
                <w:tab w:val="clear" w:pos="765"/>
              </w:tabs>
              <w:spacing w:line="240" w:lineRule="auto"/>
              <w:ind w:right="-86"/>
              <w:jc w:val="right"/>
              <w:rPr>
                <w:rFonts w:ascii="Arial" w:hAnsi="Arial" w:cs="Arial"/>
                <w:color w:val="000000"/>
                <w:sz w:val="14"/>
                <w:szCs w:val="14"/>
                <w:lang w:bidi="th-TH"/>
              </w:rPr>
            </w:pPr>
          </w:p>
        </w:tc>
      </w:tr>
      <w:tr w:rsidR="00575E11" w:rsidRPr="002D2F67" w14:paraId="0882123E" w14:textId="7C7CDD72" w:rsidTr="004F4DED">
        <w:trPr>
          <w:cantSplit/>
          <w:trHeight w:val="150"/>
        </w:trPr>
        <w:tc>
          <w:tcPr>
            <w:tcW w:w="7726" w:type="dxa"/>
            <w:gridSpan w:val="3"/>
            <w:shd w:val="clear" w:color="auto" w:fill="auto"/>
          </w:tcPr>
          <w:p w14:paraId="079B384D" w14:textId="77777777" w:rsidR="00047C52" w:rsidRPr="002D2F67" w:rsidRDefault="00047C52" w:rsidP="00CC0816">
            <w:pPr>
              <w:pStyle w:val="acctfourfigures"/>
              <w:tabs>
                <w:tab w:val="clear" w:pos="765"/>
                <w:tab w:val="decimal" w:pos="550"/>
              </w:tabs>
              <w:spacing w:line="240" w:lineRule="auto"/>
              <w:ind w:right="-72" w:firstLine="155"/>
              <w:rPr>
                <w:rFonts w:ascii="Arial" w:hAnsi="Arial" w:cs="Arial"/>
                <w:color w:val="000000"/>
                <w:sz w:val="12"/>
                <w:szCs w:val="12"/>
                <w:lang w:bidi="th-TH"/>
              </w:rPr>
            </w:pPr>
          </w:p>
        </w:tc>
        <w:tc>
          <w:tcPr>
            <w:tcW w:w="1142" w:type="dxa"/>
            <w:shd w:val="clear" w:color="auto" w:fill="auto"/>
          </w:tcPr>
          <w:p w14:paraId="5D993500" w14:textId="77777777" w:rsidR="00047C52" w:rsidRPr="002D2F67" w:rsidRDefault="00047C52" w:rsidP="00CC0816">
            <w:pPr>
              <w:pStyle w:val="acctfourfigures"/>
              <w:tabs>
                <w:tab w:val="clear" w:pos="765"/>
              </w:tabs>
              <w:spacing w:line="240" w:lineRule="auto"/>
              <w:ind w:right="-86"/>
              <w:jc w:val="right"/>
              <w:rPr>
                <w:rFonts w:ascii="Arial" w:hAnsi="Arial" w:cs="Arial"/>
                <w:color w:val="000000"/>
                <w:sz w:val="12"/>
                <w:szCs w:val="12"/>
                <w:lang w:bidi="th-TH"/>
              </w:rPr>
            </w:pPr>
          </w:p>
        </w:tc>
        <w:tc>
          <w:tcPr>
            <w:tcW w:w="1143" w:type="dxa"/>
            <w:shd w:val="clear" w:color="auto" w:fill="auto"/>
          </w:tcPr>
          <w:p w14:paraId="59933BA8" w14:textId="77777777" w:rsidR="00047C52" w:rsidRPr="002D2F67" w:rsidRDefault="00047C52" w:rsidP="00CC0816">
            <w:pPr>
              <w:pStyle w:val="acctfourfigures"/>
              <w:tabs>
                <w:tab w:val="clear" w:pos="765"/>
              </w:tabs>
              <w:spacing w:line="240" w:lineRule="auto"/>
              <w:ind w:right="-86"/>
              <w:jc w:val="right"/>
              <w:rPr>
                <w:rFonts w:ascii="Arial" w:hAnsi="Arial" w:cs="Arial"/>
                <w:color w:val="000000"/>
                <w:sz w:val="12"/>
                <w:szCs w:val="12"/>
                <w:lang w:bidi="th-TH"/>
              </w:rPr>
            </w:pPr>
          </w:p>
        </w:tc>
        <w:tc>
          <w:tcPr>
            <w:tcW w:w="1143" w:type="dxa"/>
            <w:shd w:val="clear" w:color="auto" w:fill="auto"/>
          </w:tcPr>
          <w:p w14:paraId="00648323" w14:textId="77777777" w:rsidR="00047C52" w:rsidRPr="002D2F67" w:rsidRDefault="00047C52" w:rsidP="00CC0816">
            <w:pPr>
              <w:pStyle w:val="acctfourfigures"/>
              <w:tabs>
                <w:tab w:val="clear" w:pos="765"/>
              </w:tabs>
              <w:spacing w:line="240" w:lineRule="auto"/>
              <w:ind w:right="-86"/>
              <w:jc w:val="right"/>
              <w:rPr>
                <w:rFonts w:ascii="Arial" w:hAnsi="Arial" w:cs="Arial"/>
                <w:color w:val="000000"/>
                <w:sz w:val="12"/>
                <w:szCs w:val="12"/>
                <w:lang w:bidi="th-TH"/>
              </w:rPr>
            </w:pPr>
          </w:p>
        </w:tc>
        <w:tc>
          <w:tcPr>
            <w:tcW w:w="1142" w:type="dxa"/>
            <w:shd w:val="clear" w:color="auto" w:fill="auto"/>
          </w:tcPr>
          <w:p w14:paraId="2B0786CB" w14:textId="77777777" w:rsidR="00047C52" w:rsidRPr="002D2F67" w:rsidRDefault="00047C52" w:rsidP="00CC0816">
            <w:pPr>
              <w:pStyle w:val="acctfourfigures"/>
              <w:tabs>
                <w:tab w:val="clear" w:pos="765"/>
              </w:tabs>
              <w:spacing w:line="240" w:lineRule="auto"/>
              <w:ind w:right="-86"/>
              <w:jc w:val="right"/>
              <w:rPr>
                <w:rFonts w:ascii="Arial" w:hAnsi="Arial" w:cs="Arial"/>
                <w:color w:val="000000"/>
                <w:sz w:val="12"/>
                <w:szCs w:val="12"/>
                <w:lang w:bidi="th-TH"/>
              </w:rPr>
            </w:pPr>
          </w:p>
        </w:tc>
        <w:tc>
          <w:tcPr>
            <w:tcW w:w="1142" w:type="dxa"/>
            <w:shd w:val="clear" w:color="auto" w:fill="auto"/>
          </w:tcPr>
          <w:p w14:paraId="5ACAF29C" w14:textId="77777777" w:rsidR="00047C52" w:rsidRPr="002D2F67" w:rsidRDefault="00047C52" w:rsidP="00CC0816">
            <w:pPr>
              <w:pStyle w:val="acctfourfigures"/>
              <w:tabs>
                <w:tab w:val="clear" w:pos="765"/>
              </w:tabs>
              <w:spacing w:line="240" w:lineRule="auto"/>
              <w:ind w:right="-86"/>
              <w:jc w:val="right"/>
              <w:rPr>
                <w:rFonts w:ascii="Arial" w:hAnsi="Arial" w:cs="Arial"/>
                <w:color w:val="000000"/>
                <w:sz w:val="12"/>
                <w:szCs w:val="12"/>
                <w:lang w:bidi="th-TH"/>
              </w:rPr>
            </w:pPr>
          </w:p>
        </w:tc>
        <w:tc>
          <w:tcPr>
            <w:tcW w:w="1083" w:type="dxa"/>
            <w:shd w:val="clear" w:color="auto" w:fill="auto"/>
          </w:tcPr>
          <w:p w14:paraId="36CA433B" w14:textId="77777777" w:rsidR="00047C52" w:rsidRPr="002D2F67" w:rsidRDefault="00047C52" w:rsidP="00CC0816">
            <w:pPr>
              <w:pStyle w:val="acctfourfigures"/>
              <w:tabs>
                <w:tab w:val="clear" w:pos="765"/>
              </w:tabs>
              <w:spacing w:line="240" w:lineRule="auto"/>
              <w:ind w:right="-86"/>
              <w:jc w:val="right"/>
              <w:rPr>
                <w:rFonts w:ascii="Arial" w:hAnsi="Arial" w:cs="Arial"/>
                <w:color w:val="000000"/>
                <w:sz w:val="12"/>
                <w:szCs w:val="12"/>
                <w:lang w:bidi="th-TH"/>
              </w:rPr>
            </w:pPr>
          </w:p>
        </w:tc>
      </w:tr>
      <w:tr w:rsidR="00575E11" w:rsidRPr="002D2F67" w14:paraId="154CA7A2" w14:textId="77777777" w:rsidTr="004F4DED">
        <w:trPr>
          <w:cantSplit/>
          <w:trHeight w:val="347"/>
        </w:trPr>
        <w:tc>
          <w:tcPr>
            <w:tcW w:w="3397" w:type="dxa"/>
            <w:shd w:val="clear" w:color="auto" w:fill="auto"/>
          </w:tcPr>
          <w:p w14:paraId="010285E8" w14:textId="77777777" w:rsidR="00047C52" w:rsidRPr="002D2F67" w:rsidRDefault="00047C52" w:rsidP="00CC0816">
            <w:pPr>
              <w:ind w:left="148" w:right="-208"/>
              <w:rPr>
                <w:rFonts w:ascii="Arial" w:hAnsi="Arial" w:cs="Arial"/>
                <w:color w:val="000000"/>
                <w:sz w:val="14"/>
                <w:szCs w:val="14"/>
              </w:rPr>
            </w:pPr>
            <w:r w:rsidRPr="002D2F67">
              <w:rPr>
                <w:rFonts w:ascii="Arial" w:hAnsi="Arial" w:cs="Arial"/>
                <w:color w:val="000000"/>
                <w:sz w:val="14"/>
                <w:szCs w:val="14"/>
              </w:rPr>
              <w:t>Amita New Technologies Pte. Ltd.</w:t>
            </w:r>
          </w:p>
          <w:p w14:paraId="58D7BD4B" w14:textId="77777777" w:rsidR="00047C52" w:rsidRPr="002D2F67" w:rsidRDefault="00047C52" w:rsidP="00CC0816">
            <w:pPr>
              <w:ind w:left="148" w:right="-208"/>
              <w:rPr>
                <w:rFonts w:ascii="Arial" w:hAnsi="Arial" w:cs="Arial"/>
                <w:color w:val="000000"/>
                <w:spacing w:val="-4"/>
                <w:sz w:val="14"/>
                <w:szCs w:val="14"/>
              </w:rPr>
            </w:pPr>
            <w:r w:rsidRPr="002D2F67">
              <w:rPr>
                <w:rFonts w:ascii="Arial" w:hAnsi="Arial" w:cs="Arial"/>
                <w:color w:val="000000"/>
                <w:sz w:val="14"/>
                <w:szCs w:val="14"/>
              </w:rPr>
              <w:t xml:space="preserve">   (Incorporated in Singapore)</w:t>
            </w:r>
          </w:p>
        </w:tc>
        <w:tc>
          <w:tcPr>
            <w:tcW w:w="4329" w:type="dxa"/>
            <w:gridSpan w:val="2"/>
            <w:shd w:val="clear" w:color="auto" w:fill="auto"/>
          </w:tcPr>
          <w:p w14:paraId="6785BFEF" w14:textId="2F550315" w:rsidR="00047C52" w:rsidRPr="002D2F67" w:rsidRDefault="00047C52" w:rsidP="00CC0816">
            <w:pPr>
              <w:rPr>
                <w:rFonts w:ascii="Arial" w:hAnsi="Arial" w:cs="Arial"/>
                <w:color w:val="000000"/>
                <w:sz w:val="14"/>
                <w:szCs w:val="14"/>
                <w:cs/>
              </w:rPr>
            </w:pPr>
            <w:r w:rsidRPr="002D2F67">
              <w:rPr>
                <w:rFonts w:ascii="Arial" w:hAnsi="Arial" w:cs="Arial"/>
                <w:color w:val="000000"/>
                <w:sz w:val="14"/>
                <w:szCs w:val="14"/>
              </w:rPr>
              <w:t>Investing in developing, manufacturing and</w:t>
            </w:r>
            <w:r w:rsidR="00174B63" w:rsidRPr="002D2F67">
              <w:rPr>
                <w:rFonts w:ascii="Arial" w:hAnsi="Arial" w:cs="Arial"/>
              </w:rPr>
              <w:t xml:space="preserve"> </w:t>
            </w:r>
            <w:r w:rsidRPr="002D2F67">
              <w:rPr>
                <w:rFonts w:ascii="Arial" w:hAnsi="Arial" w:cs="Arial"/>
                <w:color w:val="000000"/>
                <w:sz w:val="14"/>
                <w:szCs w:val="14"/>
              </w:rPr>
              <w:t xml:space="preserve">distributing </w:t>
            </w:r>
            <w:r w:rsidR="00174B63" w:rsidRPr="002D2F67">
              <w:rPr>
                <w:rFonts w:ascii="Arial" w:hAnsi="Arial" w:cs="Arial"/>
                <w:color w:val="000000"/>
                <w:sz w:val="14"/>
                <w:szCs w:val="14"/>
              </w:rPr>
              <w:br/>
              <w:t xml:space="preserve">   </w:t>
            </w:r>
            <w:r w:rsidRPr="002D2F67">
              <w:rPr>
                <w:rFonts w:ascii="Arial" w:hAnsi="Arial" w:cs="Arial"/>
                <w:color w:val="000000"/>
                <w:sz w:val="14"/>
                <w:szCs w:val="14"/>
              </w:rPr>
              <w:t>battery business</w:t>
            </w:r>
          </w:p>
        </w:tc>
        <w:tc>
          <w:tcPr>
            <w:tcW w:w="1142" w:type="dxa"/>
            <w:shd w:val="clear" w:color="auto" w:fill="auto"/>
          </w:tcPr>
          <w:p w14:paraId="1579D4E6" w14:textId="10C345FA" w:rsidR="00047C52" w:rsidRPr="002D2F67" w:rsidRDefault="00CD5714" w:rsidP="00CC0816">
            <w:pPr>
              <w:ind w:right="-86"/>
              <w:jc w:val="right"/>
              <w:rPr>
                <w:rFonts w:ascii="Arial" w:hAnsi="Arial" w:cs="Arial"/>
                <w:color w:val="000000"/>
                <w:sz w:val="14"/>
                <w:szCs w:val="14"/>
              </w:rPr>
            </w:pPr>
            <w:r w:rsidRPr="00CD5714">
              <w:rPr>
                <w:rFonts w:ascii="Arial" w:hAnsi="Arial" w:cs="Arial"/>
                <w:color w:val="000000"/>
                <w:sz w:val="14"/>
                <w:szCs w:val="14"/>
                <w:lang w:val="en-GB"/>
              </w:rPr>
              <w:t>100</w:t>
            </w:r>
          </w:p>
        </w:tc>
        <w:tc>
          <w:tcPr>
            <w:tcW w:w="1143" w:type="dxa"/>
            <w:shd w:val="clear" w:color="auto" w:fill="auto"/>
          </w:tcPr>
          <w:p w14:paraId="7DE93AF1" w14:textId="3DC9B908" w:rsidR="00047C52" w:rsidRPr="002D2F67" w:rsidRDefault="00CD5714" w:rsidP="00CC0816">
            <w:pPr>
              <w:ind w:right="-86"/>
              <w:jc w:val="right"/>
              <w:rPr>
                <w:rFonts w:ascii="Arial" w:hAnsi="Arial" w:cs="Arial"/>
                <w:color w:val="000000"/>
                <w:sz w:val="14"/>
                <w:szCs w:val="14"/>
              </w:rPr>
            </w:pPr>
            <w:r w:rsidRPr="00CD5714">
              <w:rPr>
                <w:rFonts w:ascii="Arial" w:hAnsi="Arial" w:cs="Arial"/>
                <w:color w:val="000000"/>
                <w:sz w:val="14"/>
                <w:szCs w:val="14"/>
                <w:lang w:val="en-GB"/>
              </w:rPr>
              <w:t>100</w:t>
            </w:r>
          </w:p>
        </w:tc>
        <w:tc>
          <w:tcPr>
            <w:tcW w:w="1143" w:type="dxa"/>
            <w:shd w:val="clear" w:color="auto" w:fill="auto"/>
          </w:tcPr>
          <w:p w14:paraId="77872303" w14:textId="1217E6C1" w:rsidR="00047C52" w:rsidRPr="002D2F67" w:rsidRDefault="00047C52" w:rsidP="00CC0816">
            <w:pPr>
              <w:pStyle w:val="acctfourfigures"/>
              <w:tabs>
                <w:tab w:val="clear" w:pos="765"/>
                <w:tab w:val="decimal" w:pos="550"/>
              </w:tabs>
              <w:spacing w:line="240" w:lineRule="auto"/>
              <w:ind w:right="-86"/>
              <w:jc w:val="right"/>
              <w:rPr>
                <w:rFonts w:ascii="Arial" w:hAnsi="Arial" w:cs="Arial"/>
                <w:noProof/>
                <w:color w:val="000000"/>
                <w:sz w:val="14"/>
                <w:szCs w:val="14"/>
              </w:rPr>
            </w:pPr>
            <w:r w:rsidRPr="002D2F67">
              <w:rPr>
                <w:rFonts w:ascii="Arial" w:hAnsi="Arial" w:cs="Arial"/>
                <w:color w:val="000000"/>
                <w:sz w:val="14"/>
                <w:szCs w:val="14"/>
              </w:rPr>
              <w:t>-</w:t>
            </w:r>
          </w:p>
        </w:tc>
        <w:tc>
          <w:tcPr>
            <w:tcW w:w="1142" w:type="dxa"/>
            <w:shd w:val="clear" w:color="auto" w:fill="auto"/>
          </w:tcPr>
          <w:p w14:paraId="165726D9" w14:textId="46FC502A" w:rsidR="00047C52" w:rsidRPr="002D2F67" w:rsidRDefault="00047C52" w:rsidP="00CC0816">
            <w:pPr>
              <w:pStyle w:val="acctfourfigures"/>
              <w:tabs>
                <w:tab w:val="clear" w:pos="765"/>
                <w:tab w:val="decimal" w:pos="550"/>
              </w:tabs>
              <w:spacing w:line="240" w:lineRule="auto"/>
              <w:ind w:right="-86"/>
              <w:jc w:val="right"/>
              <w:rPr>
                <w:rFonts w:ascii="Arial" w:hAnsi="Arial" w:cs="Arial"/>
                <w:noProof/>
                <w:color w:val="000000"/>
                <w:sz w:val="14"/>
                <w:szCs w:val="14"/>
              </w:rPr>
            </w:pPr>
            <w:r w:rsidRPr="002D2F67">
              <w:rPr>
                <w:rFonts w:ascii="Arial" w:hAnsi="Arial" w:cs="Arial"/>
                <w:noProof/>
                <w:color w:val="000000"/>
                <w:sz w:val="14"/>
                <w:szCs w:val="14"/>
              </w:rPr>
              <w:t>-</w:t>
            </w:r>
          </w:p>
        </w:tc>
        <w:tc>
          <w:tcPr>
            <w:tcW w:w="1142" w:type="dxa"/>
            <w:shd w:val="clear" w:color="auto" w:fill="auto"/>
          </w:tcPr>
          <w:p w14:paraId="287A16F2" w14:textId="2E3D2885" w:rsidR="00047C52" w:rsidRPr="002D2F67" w:rsidRDefault="00047C52" w:rsidP="00CC0816">
            <w:pPr>
              <w:pStyle w:val="acctfourfigures"/>
              <w:tabs>
                <w:tab w:val="clear" w:pos="765"/>
                <w:tab w:val="decimal" w:pos="550"/>
              </w:tabs>
              <w:spacing w:line="240" w:lineRule="auto"/>
              <w:ind w:right="-86"/>
              <w:jc w:val="right"/>
              <w:rPr>
                <w:rFonts w:ascii="Arial" w:hAnsi="Arial" w:cs="Arial"/>
                <w:noProof/>
                <w:color w:val="000000"/>
                <w:sz w:val="14"/>
                <w:szCs w:val="14"/>
              </w:rPr>
            </w:pPr>
            <w:r w:rsidRPr="002D2F67">
              <w:rPr>
                <w:rFonts w:ascii="Arial" w:hAnsi="Arial" w:cs="Arial"/>
                <w:color w:val="000000"/>
                <w:sz w:val="14"/>
                <w:szCs w:val="14"/>
              </w:rPr>
              <w:t>-</w:t>
            </w:r>
          </w:p>
        </w:tc>
        <w:tc>
          <w:tcPr>
            <w:tcW w:w="1083" w:type="dxa"/>
            <w:shd w:val="clear" w:color="auto" w:fill="auto"/>
          </w:tcPr>
          <w:p w14:paraId="6ECEF9A8" w14:textId="16EACD38" w:rsidR="00047C52" w:rsidRPr="002D2F67" w:rsidRDefault="00047C52" w:rsidP="00CC0816">
            <w:pPr>
              <w:pStyle w:val="acctfourfigures"/>
              <w:tabs>
                <w:tab w:val="clear" w:pos="765"/>
                <w:tab w:val="decimal" w:pos="550"/>
              </w:tabs>
              <w:spacing w:line="240" w:lineRule="auto"/>
              <w:ind w:right="-86"/>
              <w:jc w:val="right"/>
              <w:rPr>
                <w:rFonts w:ascii="Arial" w:hAnsi="Arial" w:cs="Arial"/>
                <w:noProof/>
                <w:color w:val="000000"/>
                <w:sz w:val="14"/>
                <w:szCs w:val="14"/>
              </w:rPr>
            </w:pPr>
            <w:r w:rsidRPr="002D2F67">
              <w:rPr>
                <w:rFonts w:ascii="Arial" w:hAnsi="Arial" w:cs="Arial"/>
                <w:noProof/>
                <w:color w:val="000000"/>
                <w:sz w:val="14"/>
                <w:szCs w:val="14"/>
              </w:rPr>
              <w:t>-</w:t>
            </w:r>
          </w:p>
        </w:tc>
      </w:tr>
      <w:tr w:rsidR="00575E11" w:rsidRPr="002D2F67" w14:paraId="66B58A55" w14:textId="77777777" w:rsidTr="004F4DED">
        <w:trPr>
          <w:cantSplit/>
          <w:trHeight w:val="335"/>
        </w:trPr>
        <w:tc>
          <w:tcPr>
            <w:tcW w:w="3397" w:type="dxa"/>
            <w:shd w:val="clear" w:color="auto" w:fill="auto"/>
          </w:tcPr>
          <w:p w14:paraId="38C7A03C" w14:textId="77777777" w:rsidR="00047C52" w:rsidRPr="002D2F67" w:rsidRDefault="00047C52" w:rsidP="00CC0816">
            <w:pPr>
              <w:ind w:left="148" w:right="-208"/>
              <w:rPr>
                <w:rFonts w:ascii="Arial" w:hAnsi="Arial" w:cs="Arial"/>
                <w:color w:val="000000"/>
                <w:sz w:val="14"/>
                <w:szCs w:val="14"/>
              </w:rPr>
            </w:pPr>
            <w:r w:rsidRPr="002D2F67">
              <w:rPr>
                <w:rFonts w:ascii="Arial" w:hAnsi="Arial" w:cs="Arial"/>
                <w:color w:val="000000"/>
                <w:sz w:val="14"/>
                <w:szCs w:val="14"/>
              </w:rPr>
              <w:t>Sun Field Investments Co., Ltd.</w:t>
            </w:r>
          </w:p>
          <w:p w14:paraId="5D5AE1FB" w14:textId="77777777" w:rsidR="00047C52" w:rsidRPr="002D2F67" w:rsidRDefault="00047C52" w:rsidP="00CC0816">
            <w:pPr>
              <w:ind w:left="148" w:right="-208"/>
              <w:rPr>
                <w:rFonts w:ascii="Arial" w:hAnsi="Arial" w:cs="Arial"/>
                <w:color w:val="000000"/>
                <w:spacing w:val="-4"/>
                <w:sz w:val="14"/>
                <w:szCs w:val="14"/>
              </w:rPr>
            </w:pPr>
            <w:r w:rsidRPr="002D2F67">
              <w:rPr>
                <w:rFonts w:ascii="Arial" w:hAnsi="Arial" w:cs="Arial"/>
                <w:color w:val="000000"/>
                <w:sz w:val="14"/>
                <w:szCs w:val="14"/>
              </w:rPr>
              <w:t xml:space="preserve">   (Incorporated in Samoa)</w:t>
            </w:r>
          </w:p>
        </w:tc>
        <w:tc>
          <w:tcPr>
            <w:tcW w:w="4329" w:type="dxa"/>
            <w:gridSpan w:val="2"/>
            <w:shd w:val="clear" w:color="auto" w:fill="auto"/>
          </w:tcPr>
          <w:p w14:paraId="029C3F44" w14:textId="77777777" w:rsidR="00047C52" w:rsidRPr="002D2F67" w:rsidRDefault="00047C52" w:rsidP="00CC0816">
            <w:pPr>
              <w:rPr>
                <w:rFonts w:ascii="Arial" w:hAnsi="Arial" w:cs="Arial"/>
                <w:color w:val="000000"/>
                <w:sz w:val="14"/>
                <w:szCs w:val="14"/>
                <w:cs/>
              </w:rPr>
            </w:pPr>
            <w:r w:rsidRPr="002D2F67">
              <w:rPr>
                <w:rFonts w:ascii="Arial" w:hAnsi="Arial" w:cs="Arial"/>
                <w:color w:val="000000"/>
                <w:sz w:val="14"/>
                <w:szCs w:val="14"/>
              </w:rPr>
              <w:t>Investing in battery business</w:t>
            </w:r>
          </w:p>
        </w:tc>
        <w:tc>
          <w:tcPr>
            <w:tcW w:w="1142" w:type="dxa"/>
            <w:shd w:val="clear" w:color="auto" w:fill="auto"/>
          </w:tcPr>
          <w:p w14:paraId="03880524" w14:textId="7AF505B9" w:rsidR="00047C52" w:rsidRPr="002D2F67" w:rsidRDefault="00CD5714" w:rsidP="00CC0816">
            <w:pPr>
              <w:ind w:right="-86"/>
              <w:jc w:val="right"/>
              <w:rPr>
                <w:rFonts w:ascii="Arial" w:hAnsi="Arial" w:cs="Arial"/>
                <w:color w:val="000000"/>
                <w:sz w:val="14"/>
                <w:szCs w:val="14"/>
              </w:rPr>
            </w:pPr>
            <w:r w:rsidRPr="00CD5714">
              <w:rPr>
                <w:rFonts w:ascii="Arial" w:hAnsi="Arial" w:cs="Arial"/>
                <w:color w:val="000000"/>
                <w:sz w:val="14"/>
                <w:szCs w:val="14"/>
                <w:lang w:val="en-GB"/>
              </w:rPr>
              <w:t>100</w:t>
            </w:r>
          </w:p>
        </w:tc>
        <w:tc>
          <w:tcPr>
            <w:tcW w:w="1143" w:type="dxa"/>
            <w:shd w:val="clear" w:color="auto" w:fill="auto"/>
          </w:tcPr>
          <w:p w14:paraId="1439DB3F" w14:textId="2C6A472C" w:rsidR="00047C52" w:rsidRPr="002D2F67" w:rsidRDefault="00CD5714" w:rsidP="00CC0816">
            <w:pPr>
              <w:ind w:right="-86"/>
              <w:jc w:val="right"/>
              <w:rPr>
                <w:rFonts w:ascii="Arial" w:hAnsi="Arial" w:cs="Arial"/>
                <w:color w:val="000000"/>
                <w:sz w:val="14"/>
                <w:szCs w:val="14"/>
              </w:rPr>
            </w:pPr>
            <w:r w:rsidRPr="00CD5714">
              <w:rPr>
                <w:rFonts w:ascii="Arial" w:hAnsi="Arial" w:cs="Arial"/>
                <w:color w:val="000000"/>
                <w:sz w:val="14"/>
                <w:szCs w:val="14"/>
                <w:lang w:val="en-GB"/>
              </w:rPr>
              <w:t>100</w:t>
            </w:r>
          </w:p>
        </w:tc>
        <w:tc>
          <w:tcPr>
            <w:tcW w:w="1143" w:type="dxa"/>
            <w:shd w:val="clear" w:color="auto" w:fill="auto"/>
          </w:tcPr>
          <w:p w14:paraId="0A9CB6F6" w14:textId="39FC3BE7" w:rsidR="00047C52" w:rsidRPr="002D2F67" w:rsidRDefault="00047C52" w:rsidP="00CC0816">
            <w:pPr>
              <w:pStyle w:val="acctfourfigures"/>
              <w:tabs>
                <w:tab w:val="clear" w:pos="765"/>
                <w:tab w:val="decimal" w:pos="550"/>
              </w:tabs>
              <w:spacing w:line="240" w:lineRule="auto"/>
              <w:ind w:right="-86"/>
              <w:jc w:val="right"/>
              <w:rPr>
                <w:rFonts w:ascii="Arial" w:hAnsi="Arial" w:cs="Arial"/>
                <w:noProof/>
                <w:color w:val="000000"/>
                <w:sz w:val="14"/>
                <w:szCs w:val="14"/>
              </w:rPr>
            </w:pPr>
            <w:r w:rsidRPr="002D2F67">
              <w:rPr>
                <w:rFonts w:ascii="Arial" w:hAnsi="Arial" w:cs="Arial"/>
                <w:color w:val="000000"/>
                <w:sz w:val="14"/>
                <w:szCs w:val="14"/>
              </w:rPr>
              <w:t>-</w:t>
            </w:r>
          </w:p>
        </w:tc>
        <w:tc>
          <w:tcPr>
            <w:tcW w:w="1142" w:type="dxa"/>
            <w:shd w:val="clear" w:color="auto" w:fill="auto"/>
          </w:tcPr>
          <w:p w14:paraId="3923C240" w14:textId="61EFCED0" w:rsidR="00047C52" w:rsidRPr="002D2F67" w:rsidRDefault="00047C52" w:rsidP="00CC0816">
            <w:pPr>
              <w:pStyle w:val="acctfourfigures"/>
              <w:tabs>
                <w:tab w:val="clear" w:pos="765"/>
                <w:tab w:val="decimal" w:pos="550"/>
              </w:tabs>
              <w:spacing w:line="240" w:lineRule="auto"/>
              <w:ind w:right="-86"/>
              <w:jc w:val="right"/>
              <w:rPr>
                <w:rFonts w:ascii="Arial" w:hAnsi="Arial" w:cs="Arial"/>
                <w:noProof/>
                <w:color w:val="000000"/>
                <w:sz w:val="14"/>
                <w:szCs w:val="14"/>
              </w:rPr>
            </w:pPr>
            <w:r w:rsidRPr="002D2F67">
              <w:rPr>
                <w:rFonts w:ascii="Arial" w:hAnsi="Arial" w:cs="Arial"/>
                <w:noProof/>
                <w:color w:val="000000"/>
                <w:sz w:val="14"/>
                <w:szCs w:val="14"/>
              </w:rPr>
              <w:t>-</w:t>
            </w:r>
          </w:p>
        </w:tc>
        <w:tc>
          <w:tcPr>
            <w:tcW w:w="1142" w:type="dxa"/>
            <w:shd w:val="clear" w:color="auto" w:fill="auto"/>
          </w:tcPr>
          <w:p w14:paraId="2BDFE4A6" w14:textId="7B48437D" w:rsidR="00047C52" w:rsidRPr="002D2F67" w:rsidRDefault="00047C52" w:rsidP="00CC0816">
            <w:pPr>
              <w:pStyle w:val="acctfourfigures"/>
              <w:tabs>
                <w:tab w:val="clear" w:pos="765"/>
                <w:tab w:val="decimal" w:pos="550"/>
              </w:tabs>
              <w:spacing w:line="240" w:lineRule="auto"/>
              <w:ind w:right="-86"/>
              <w:jc w:val="right"/>
              <w:rPr>
                <w:rFonts w:ascii="Arial" w:hAnsi="Arial" w:cs="Arial"/>
                <w:noProof/>
                <w:color w:val="000000"/>
                <w:sz w:val="14"/>
                <w:szCs w:val="14"/>
              </w:rPr>
            </w:pPr>
            <w:r w:rsidRPr="002D2F67">
              <w:rPr>
                <w:rFonts w:ascii="Arial" w:hAnsi="Arial" w:cs="Arial"/>
                <w:color w:val="000000"/>
                <w:sz w:val="14"/>
                <w:szCs w:val="14"/>
              </w:rPr>
              <w:t>-</w:t>
            </w:r>
          </w:p>
        </w:tc>
        <w:tc>
          <w:tcPr>
            <w:tcW w:w="1083" w:type="dxa"/>
            <w:shd w:val="clear" w:color="auto" w:fill="auto"/>
          </w:tcPr>
          <w:p w14:paraId="47536E26" w14:textId="14CC353F" w:rsidR="00047C52" w:rsidRPr="002D2F67" w:rsidRDefault="00047C52" w:rsidP="00CC0816">
            <w:pPr>
              <w:pStyle w:val="acctfourfigures"/>
              <w:tabs>
                <w:tab w:val="clear" w:pos="765"/>
                <w:tab w:val="decimal" w:pos="550"/>
              </w:tabs>
              <w:spacing w:line="240" w:lineRule="auto"/>
              <w:ind w:right="-86"/>
              <w:jc w:val="right"/>
              <w:rPr>
                <w:rFonts w:ascii="Arial" w:hAnsi="Arial" w:cs="Arial"/>
                <w:noProof/>
                <w:color w:val="000000"/>
                <w:sz w:val="14"/>
                <w:szCs w:val="14"/>
              </w:rPr>
            </w:pPr>
            <w:r w:rsidRPr="002D2F67">
              <w:rPr>
                <w:rFonts w:ascii="Arial" w:hAnsi="Arial" w:cs="Arial"/>
                <w:noProof/>
                <w:color w:val="000000"/>
                <w:sz w:val="14"/>
                <w:szCs w:val="14"/>
              </w:rPr>
              <w:t>-</w:t>
            </w:r>
          </w:p>
        </w:tc>
      </w:tr>
      <w:tr w:rsidR="00575E11" w:rsidRPr="002D2F67" w14:paraId="79CB2D3C" w14:textId="77777777" w:rsidTr="004F4DED">
        <w:trPr>
          <w:cantSplit/>
          <w:trHeight w:val="347"/>
        </w:trPr>
        <w:tc>
          <w:tcPr>
            <w:tcW w:w="3397" w:type="dxa"/>
            <w:shd w:val="clear" w:color="auto" w:fill="auto"/>
          </w:tcPr>
          <w:p w14:paraId="5D88D99C" w14:textId="2007FD0C" w:rsidR="00047C52" w:rsidRPr="002D2F67" w:rsidRDefault="00047C52" w:rsidP="00CC0816">
            <w:pPr>
              <w:ind w:left="148" w:right="-208"/>
              <w:rPr>
                <w:rFonts w:ascii="Arial" w:hAnsi="Arial" w:cs="Arial"/>
                <w:color w:val="000000"/>
                <w:sz w:val="14"/>
                <w:szCs w:val="14"/>
              </w:rPr>
            </w:pPr>
            <w:r w:rsidRPr="002D2F67">
              <w:rPr>
                <w:rFonts w:ascii="Arial" w:hAnsi="Arial" w:cs="Arial"/>
                <w:color w:val="000000"/>
                <w:sz w:val="14"/>
                <w:szCs w:val="14"/>
              </w:rPr>
              <w:t xml:space="preserve">EA (BVI) </w:t>
            </w:r>
            <w:r w:rsidR="00CD5714" w:rsidRPr="00CD5714">
              <w:rPr>
                <w:rFonts w:ascii="Arial" w:hAnsi="Arial" w:cs="Arial"/>
                <w:color w:val="000000"/>
                <w:sz w:val="14"/>
                <w:szCs w:val="14"/>
                <w:lang w:val="en-GB"/>
              </w:rPr>
              <w:t>1</w:t>
            </w:r>
            <w:r w:rsidRPr="002D2F67">
              <w:rPr>
                <w:rFonts w:ascii="Arial" w:hAnsi="Arial" w:cs="Arial"/>
                <w:color w:val="000000"/>
                <w:sz w:val="14"/>
                <w:szCs w:val="14"/>
              </w:rPr>
              <w:t xml:space="preserve"> Limited</w:t>
            </w:r>
          </w:p>
          <w:p w14:paraId="661123BD" w14:textId="77777777" w:rsidR="00047C52" w:rsidRPr="002D2F67" w:rsidRDefault="00047C52" w:rsidP="00CC0816">
            <w:pPr>
              <w:ind w:left="148" w:right="-208"/>
              <w:rPr>
                <w:rFonts w:ascii="Arial" w:hAnsi="Arial" w:cs="Arial"/>
                <w:color w:val="000000"/>
                <w:sz w:val="14"/>
                <w:szCs w:val="14"/>
              </w:rPr>
            </w:pPr>
            <w:r w:rsidRPr="002D2F67">
              <w:rPr>
                <w:rFonts w:ascii="Arial" w:hAnsi="Arial" w:cs="Arial"/>
                <w:color w:val="000000"/>
                <w:sz w:val="14"/>
                <w:szCs w:val="14"/>
              </w:rPr>
              <w:t xml:space="preserve">   (Incorporated in British Virgin Islands)</w:t>
            </w:r>
          </w:p>
        </w:tc>
        <w:tc>
          <w:tcPr>
            <w:tcW w:w="4329" w:type="dxa"/>
            <w:gridSpan w:val="2"/>
            <w:shd w:val="clear" w:color="auto" w:fill="auto"/>
          </w:tcPr>
          <w:p w14:paraId="01AE2036" w14:textId="5849E974" w:rsidR="00047C52" w:rsidRPr="002D2F67" w:rsidRDefault="00047C52" w:rsidP="00CC0816">
            <w:pPr>
              <w:rPr>
                <w:rFonts w:ascii="Arial" w:hAnsi="Arial" w:cs="Arial"/>
                <w:color w:val="000000"/>
                <w:sz w:val="14"/>
                <w:szCs w:val="14"/>
              </w:rPr>
            </w:pPr>
            <w:r w:rsidRPr="002D2F67">
              <w:rPr>
                <w:rFonts w:ascii="Arial" w:hAnsi="Arial" w:cs="Arial"/>
                <w:color w:val="000000"/>
                <w:sz w:val="14"/>
                <w:szCs w:val="14"/>
              </w:rPr>
              <w:t>Investing in developing, manufacturing and distributing</w:t>
            </w:r>
            <w:r w:rsidR="00850C16" w:rsidRPr="002D2F67">
              <w:rPr>
                <w:rFonts w:ascii="Arial" w:hAnsi="Arial" w:cs="Arial"/>
                <w:color w:val="000000"/>
                <w:sz w:val="14"/>
                <w:szCs w:val="14"/>
              </w:rPr>
              <w:br/>
              <w:t xml:space="preserve">   </w:t>
            </w:r>
            <w:r w:rsidRPr="002D2F67">
              <w:rPr>
                <w:rFonts w:ascii="Arial" w:hAnsi="Arial" w:cs="Arial"/>
                <w:color w:val="000000"/>
                <w:sz w:val="14"/>
                <w:szCs w:val="14"/>
              </w:rPr>
              <w:t>battery business</w:t>
            </w:r>
          </w:p>
        </w:tc>
        <w:tc>
          <w:tcPr>
            <w:tcW w:w="1142" w:type="dxa"/>
            <w:shd w:val="clear" w:color="auto" w:fill="auto"/>
          </w:tcPr>
          <w:p w14:paraId="0C702D07" w14:textId="664E006B" w:rsidR="00047C52" w:rsidRPr="002D2F67" w:rsidRDefault="00CD5714" w:rsidP="00CC0816">
            <w:pPr>
              <w:ind w:right="-86"/>
              <w:jc w:val="right"/>
              <w:rPr>
                <w:rFonts w:ascii="Arial" w:hAnsi="Arial" w:cs="Arial"/>
                <w:color w:val="000000"/>
                <w:sz w:val="14"/>
                <w:szCs w:val="14"/>
              </w:rPr>
            </w:pPr>
            <w:r w:rsidRPr="00CD5714">
              <w:rPr>
                <w:rFonts w:ascii="Arial" w:hAnsi="Arial" w:cs="Arial"/>
                <w:color w:val="000000"/>
                <w:sz w:val="14"/>
                <w:szCs w:val="14"/>
                <w:lang w:val="en-GB"/>
              </w:rPr>
              <w:t>100</w:t>
            </w:r>
          </w:p>
        </w:tc>
        <w:tc>
          <w:tcPr>
            <w:tcW w:w="1143" w:type="dxa"/>
            <w:shd w:val="clear" w:color="auto" w:fill="auto"/>
          </w:tcPr>
          <w:p w14:paraId="467C1E0A" w14:textId="2C60F8E3" w:rsidR="00047C52" w:rsidRPr="002D2F67" w:rsidRDefault="00CD5714" w:rsidP="00CC0816">
            <w:pPr>
              <w:ind w:right="-86"/>
              <w:jc w:val="right"/>
              <w:rPr>
                <w:rFonts w:ascii="Arial" w:hAnsi="Arial" w:cs="Arial"/>
                <w:color w:val="000000"/>
                <w:sz w:val="14"/>
                <w:szCs w:val="14"/>
              </w:rPr>
            </w:pPr>
            <w:r w:rsidRPr="00CD5714">
              <w:rPr>
                <w:rFonts w:ascii="Arial" w:hAnsi="Arial" w:cs="Arial"/>
                <w:color w:val="000000"/>
                <w:sz w:val="14"/>
                <w:szCs w:val="14"/>
                <w:lang w:val="en-GB"/>
              </w:rPr>
              <w:t>100</w:t>
            </w:r>
          </w:p>
        </w:tc>
        <w:tc>
          <w:tcPr>
            <w:tcW w:w="1143" w:type="dxa"/>
            <w:shd w:val="clear" w:color="auto" w:fill="auto"/>
          </w:tcPr>
          <w:p w14:paraId="22993DD3" w14:textId="1C92D2D4" w:rsidR="00047C52" w:rsidRPr="002D2F67" w:rsidRDefault="00047C52" w:rsidP="00CC0816">
            <w:pPr>
              <w:pStyle w:val="acctfourfigures"/>
              <w:tabs>
                <w:tab w:val="clear" w:pos="765"/>
                <w:tab w:val="decimal" w:pos="550"/>
              </w:tabs>
              <w:spacing w:line="240" w:lineRule="auto"/>
              <w:ind w:right="-86"/>
              <w:jc w:val="right"/>
              <w:rPr>
                <w:rFonts w:ascii="Arial" w:hAnsi="Arial" w:cs="Arial"/>
                <w:noProof/>
                <w:color w:val="000000"/>
                <w:sz w:val="14"/>
                <w:szCs w:val="14"/>
              </w:rPr>
            </w:pPr>
            <w:r w:rsidRPr="002D2F67">
              <w:rPr>
                <w:rFonts w:ascii="Arial" w:hAnsi="Arial" w:cs="Arial"/>
                <w:color w:val="000000"/>
                <w:sz w:val="14"/>
                <w:szCs w:val="14"/>
              </w:rPr>
              <w:t>-</w:t>
            </w:r>
          </w:p>
        </w:tc>
        <w:tc>
          <w:tcPr>
            <w:tcW w:w="1142" w:type="dxa"/>
            <w:shd w:val="clear" w:color="auto" w:fill="auto"/>
          </w:tcPr>
          <w:p w14:paraId="6BE59979" w14:textId="1AD0B558" w:rsidR="00047C52" w:rsidRPr="002D2F67" w:rsidRDefault="00047C52" w:rsidP="00CC0816">
            <w:pPr>
              <w:pStyle w:val="acctfourfigures"/>
              <w:tabs>
                <w:tab w:val="clear" w:pos="765"/>
                <w:tab w:val="decimal" w:pos="550"/>
              </w:tabs>
              <w:spacing w:line="240" w:lineRule="auto"/>
              <w:ind w:right="-86"/>
              <w:jc w:val="right"/>
              <w:rPr>
                <w:rFonts w:ascii="Arial" w:hAnsi="Arial" w:cs="Arial"/>
                <w:noProof/>
                <w:color w:val="000000"/>
                <w:sz w:val="14"/>
                <w:szCs w:val="14"/>
              </w:rPr>
            </w:pPr>
            <w:r w:rsidRPr="002D2F67">
              <w:rPr>
                <w:rFonts w:ascii="Arial" w:hAnsi="Arial" w:cs="Arial"/>
                <w:noProof/>
                <w:color w:val="000000"/>
                <w:sz w:val="14"/>
                <w:szCs w:val="14"/>
              </w:rPr>
              <w:t>-</w:t>
            </w:r>
          </w:p>
        </w:tc>
        <w:tc>
          <w:tcPr>
            <w:tcW w:w="1142" w:type="dxa"/>
            <w:shd w:val="clear" w:color="auto" w:fill="auto"/>
          </w:tcPr>
          <w:p w14:paraId="623D9E48" w14:textId="1E521610" w:rsidR="00047C52" w:rsidRPr="002D2F67" w:rsidRDefault="00047C52" w:rsidP="00CC0816">
            <w:pPr>
              <w:pStyle w:val="acctfourfigures"/>
              <w:tabs>
                <w:tab w:val="clear" w:pos="765"/>
                <w:tab w:val="decimal" w:pos="550"/>
              </w:tabs>
              <w:spacing w:line="240" w:lineRule="auto"/>
              <w:ind w:right="-86"/>
              <w:jc w:val="right"/>
              <w:rPr>
                <w:rFonts w:ascii="Arial" w:hAnsi="Arial" w:cs="Arial"/>
                <w:noProof/>
                <w:color w:val="000000"/>
                <w:sz w:val="14"/>
                <w:szCs w:val="14"/>
              </w:rPr>
            </w:pPr>
            <w:r w:rsidRPr="002D2F67">
              <w:rPr>
                <w:rFonts w:ascii="Arial" w:hAnsi="Arial" w:cs="Arial"/>
                <w:color w:val="000000"/>
                <w:sz w:val="14"/>
                <w:szCs w:val="14"/>
              </w:rPr>
              <w:t>-</w:t>
            </w:r>
          </w:p>
        </w:tc>
        <w:tc>
          <w:tcPr>
            <w:tcW w:w="1083" w:type="dxa"/>
            <w:shd w:val="clear" w:color="auto" w:fill="auto"/>
          </w:tcPr>
          <w:p w14:paraId="70EE1C93" w14:textId="377C1465" w:rsidR="00047C52" w:rsidRPr="002D2F67" w:rsidRDefault="00047C52" w:rsidP="00CC0816">
            <w:pPr>
              <w:pStyle w:val="acctfourfigures"/>
              <w:tabs>
                <w:tab w:val="clear" w:pos="765"/>
                <w:tab w:val="decimal" w:pos="550"/>
              </w:tabs>
              <w:spacing w:line="240" w:lineRule="auto"/>
              <w:ind w:right="-86"/>
              <w:jc w:val="right"/>
              <w:rPr>
                <w:rFonts w:ascii="Arial" w:hAnsi="Arial" w:cs="Arial"/>
                <w:noProof/>
                <w:color w:val="000000"/>
                <w:sz w:val="14"/>
                <w:szCs w:val="14"/>
              </w:rPr>
            </w:pPr>
            <w:r w:rsidRPr="002D2F67">
              <w:rPr>
                <w:rFonts w:ascii="Arial" w:hAnsi="Arial" w:cs="Arial"/>
                <w:noProof/>
                <w:color w:val="000000"/>
                <w:sz w:val="14"/>
                <w:szCs w:val="14"/>
              </w:rPr>
              <w:t>-</w:t>
            </w:r>
          </w:p>
        </w:tc>
      </w:tr>
      <w:tr w:rsidR="00575E11" w:rsidRPr="002D2F67" w14:paraId="2C0FF505" w14:textId="77777777" w:rsidTr="004F4DED">
        <w:trPr>
          <w:cantSplit/>
          <w:trHeight w:val="347"/>
        </w:trPr>
        <w:tc>
          <w:tcPr>
            <w:tcW w:w="3397" w:type="dxa"/>
            <w:shd w:val="clear" w:color="auto" w:fill="auto"/>
          </w:tcPr>
          <w:p w14:paraId="02933E21" w14:textId="5B4B3FC0" w:rsidR="00047C52" w:rsidRPr="002D2F67" w:rsidRDefault="00047C52" w:rsidP="00CC0816">
            <w:pPr>
              <w:ind w:left="148" w:right="-208"/>
              <w:rPr>
                <w:rFonts w:ascii="Arial" w:hAnsi="Arial" w:cs="Arial"/>
                <w:color w:val="000000"/>
                <w:sz w:val="14"/>
                <w:szCs w:val="14"/>
              </w:rPr>
            </w:pPr>
            <w:r w:rsidRPr="002D2F67">
              <w:rPr>
                <w:rFonts w:ascii="Arial" w:hAnsi="Arial" w:cs="Arial"/>
                <w:color w:val="000000"/>
                <w:sz w:val="14"/>
                <w:szCs w:val="14"/>
              </w:rPr>
              <w:t xml:space="preserve">EA (BVI) </w:t>
            </w:r>
            <w:r w:rsidR="00CD5714" w:rsidRPr="00CD5714">
              <w:rPr>
                <w:rFonts w:ascii="Arial" w:hAnsi="Arial" w:cs="Arial"/>
                <w:color w:val="000000"/>
                <w:sz w:val="14"/>
                <w:szCs w:val="14"/>
                <w:lang w:val="en-GB"/>
              </w:rPr>
              <w:t>2</w:t>
            </w:r>
            <w:r w:rsidRPr="002D2F67">
              <w:rPr>
                <w:rFonts w:ascii="Arial" w:hAnsi="Arial" w:cs="Arial"/>
                <w:color w:val="000000"/>
                <w:sz w:val="14"/>
                <w:szCs w:val="14"/>
              </w:rPr>
              <w:t xml:space="preserve"> Limited</w:t>
            </w:r>
          </w:p>
          <w:p w14:paraId="65C317AE" w14:textId="77777777" w:rsidR="00047C52" w:rsidRPr="002D2F67" w:rsidRDefault="00047C52" w:rsidP="00CC0816">
            <w:pPr>
              <w:ind w:left="148" w:right="-208"/>
              <w:rPr>
                <w:rFonts w:ascii="Arial" w:hAnsi="Arial" w:cs="Arial"/>
                <w:color w:val="000000"/>
                <w:sz w:val="14"/>
                <w:szCs w:val="14"/>
              </w:rPr>
            </w:pPr>
            <w:r w:rsidRPr="002D2F67">
              <w:rPr>
                <w:rFonts w:ascii="Arial" w:hAnsi="Arial" w:cs="Arial"/>
                <w:color w:val="000000"/>
                <w:sz w:val="14"/>
                <w:szCs w:val="14"/>
              </w:rPr>
              <w:t xml:space="preserve">   (Incorporated in British Virgin Islands)</w:t>
            </w:r>
          </w:p>
        </w:tc>
        <w:tc>
          <w:tcPr>
            <w:tcW w:w="4329" w:type="dxa"/>
            <w:gridSpan w:val="2"/>
            <w:shd w:val="clear" w:color="auto" w:fill="auto"/>
          </w:tcPr>
          <w:p w14:paraId="5B546C2D" w14:textId="0A0EA8A9" w:rsidR="00047C52" w:rsidRPr="002D2F67" w:rsidRDefault="00047C52" w:rsidP="00CC0816">
            <w:pPr>
              <w:rPr>
                <w:rFonts w:ascii="Arial" w:hAnsi="Arial" w:cs="Arial"/>
                <w:color w:val="000000"/>
                <w:sz w:val="14"/>
                <w:szCs w:val="14"/>
              </w:rPr>
            </w:pPr>
            <w:r w:rsidRPr="002D2F67">
              <w:rPr>
                <w:rFonts w:ascii="Arial" w:hAnsi="Arial" w:cs="Arial"/>
                <w:color w:val="000000"/>
                <w:sz w:val="14"/>
                <w:szCs w:val="14"/>
              </w:rPr>
              <w:t>Investing in developing, manufacturing and distributing</w:t>
            </w:r>
            <w:r w:rsidR="00575E11" w:rsidRPr="002D2F67">
              <w:rPr>
                <w:rFonts w:ascii="Arial" w:hAnsi="Arial" w:cs="Arial"/>
                <w:color w:val="000000"/>
                <w:sz w:val="14"/>
                <w:szCs w:val="14"/>
              </w:rPr>
              <w:br/>
              <w:t xml:space="preserve">   </w:t>
            </w:r>
            <w:r w:rsidRPr="002D2F67">
              <w:rPr>
                <w:rFonts w:ascii="Arial" w:hAnsi="Arial" w:cs="Arial"/>
                <w:color w:val="000000"/>
                <w:sz w:val="14"/>
                <w:szCs w:val="14"/>
              </w:rPr>
              <w:t>battery business</w:t>
            </w:r>
          </w:p>
        </w:tc>
        <w:tc>
          <w:tcPr>
            <w:tcW w:w="1142" w:type="dxa"/>
            <w:shd w:val="clear" w:color="auto" w:fill="auto"/>
          </w:tcPr>
          <w:p w14:paraId="73E7C51E" w14:textId="65B5B25F" w:rsidR="00047C52" w:rsidRPr="002D2F67" w:rsidRDefault="00CD5714" w:rsidP="00CC0816">
            <w:pPr>
              <w:ind w:right="-86"/>
              <w:jc w:val="right"/>
              <w:rPr>
                <w:rFonts w:ascii="Arial" w:hAnsi="Arial" w:cs="Arial"/>
                <w:color w:val="000000"/>
                <w:sz w:val="14"/>
                <w:szCs w:val="14"/>
              </w:rPr>
            </w:pPr>
            <w:r w:rsidRPr="00CD5714">
              <w:rPr>
                <w:rFonts w:ascii="Arial" w:hAnsi="Arial" w:cs="Arial"/>
                <w:color w:val="000000"/>
                <w:sz w:val="14"/>
                <w:szCs w:val="14"/>
                <w:lang w:val="en-GB"/>
              </w:rPr>
              <w:t>100</w:t>
            </w:r>
          </w:p>
        </w:tc>
        <w:tc>
          <w:tcPr>
            <w:tcW w:w="1143" w:type="dxa"/>
            <w:shd w:val="clear" w:color="auto" w:fill="auto"/>
          </w:tcPr>
          <w:p w14:paraId="1D821473" w14:textId="48AC7E55" w:rsidR="00047C52" w:rsidRPr="002D2F67" w:rsidRDefault="00CD5714" w:rsidP="00CC0816">
            <w:pPr>
              <w:ind w:right="-86"/>
              <w:jc w:val="right"/>
              <w:rPr>
                <w:rFonts w:ascii="Arial" w:hAnsi="Arial" w:cs="Arial"/>
                <w:color w:val="000000"/>
                <w:sz w:val="14"/>
                <w:szCs w:val="14"/>
              </w:rPr>
            </w:pPr>
            <w:r w:rsidRPr="00CD5714">
              <w:rPr>
                <w:rFonts w:ascii="Arial" w:hAnsi="Arial" w:cs="Arial"/>
                <w:color w:val="000000"/>
                <w:sz w:val="14"/>
                <w:szCs w:val="14"/>
                <w:lang w:val="en-GB"/>
              </w:rPr>
              <w:t>100</w:t>
            </w:r>
          </w:p>
        </w:tc>
        <w:tc>
          <w:tcPr>
            <w:tcW w:w="1143" w:type="dxa"/>
            <w:shd w:val="clear" w:color="auto" w:fill="auto"/>
          </w:tcPr>
          <w:p w14:paraId="22573FB1" w14:textId="47AED48D" w:rsidR="00047C52" w:rsidRPr="002D2F67" w:rsidRDefault="00047C52" w:rsidP="00CC0816">
            <w:pPr>
              <w:pStyle w:val="acctfourfigures"/>
              <w:tabs>
                <w:tab w:val="clear" w:pos="765"/>
                <w:tab w:val="decimal" w:pos="550"/>
              </w:tabs>
              <w:spacing w:line="240" w:lineRule="auto"/>
              <w:ind w:right="-86"/>
              <w:jc w:val="right"/>
              <w:rPr>
                <w:rFonts w:ascii="Arial" w:hAnsi="Arial" w:cs="Arial"/>
                <w:noProof/>
                <w:color w:val="000000"/>
                <w:sz w:val="14"/>
                <w:szCs w:val="14"/>
              </w:rPr>
            </w:pPr>
            <w:r w:rsidRPr="002D2F67">
              <w:rPr>
                <w:rFonts w:ascii="Arial" w:hAnsi="Arial" w:cs="Arial"/>
                <w:color w:val="000000"/>
                <w:sz w:val="14"/>
                <w:szCs w:val="14"/>
              </w:rPr>
              <w:t>-</w:t>
            </w:r>
          </w:p>
        </w:tc>
        <w:tc>
          <w:tcPr>
            <w:tcW w:w="1142" w:type="dxa"/>
            <w:shd w:val="clear" w:color="auto" w:fill="auto"/>
          </w:tcPr>
          <w:p w14:paraId="083340D2" w14:textId="5B1D60B9" w:rsidR="00047C52" w:rsidRPr="002D2F67" w:rsidRDefault="00047C52" w:rsidP="00CC0816">
            <w:pPr>
              <w:pStyle w:val="acctfourfigures"/>
              <w:tabs>
                <w:tab w:val="clear" w:pos="765"/>
                <w:tab w:val="decimal" w:pos="550"/>
              </w:tabs>
              <w:spacing w:line="240" w:lineRule="auto"/>
              <w:ind w:right="-86"/>
              <w:jc w:val="right"/>
              <w:rPr>
                <w:rFonts w:ascii="Arial" w:hAnsi="Arial" w:cs="Arial"/>
                <w:noProof/>
                <w:color w:val="000000"/>
                <w:sz w:val="14"/>
                <w:szCs w:val="14"/>
              </w:rPr>
            </w:pPr>
            <w:r w:rsidRPr="002D2F67">
              <w:rPr>
                <w:rFonts w:ascii="Arial" w:hAnsi="Arial" w:cs="Arial"/>
                <w:noProof/>
                <w:color w:val="000000"/>
                <w:sz w:val="14"/>
                <w:szCs w:val="14"/>
              </w:rPr>
              <w:t>-</w:t>
            </w:r>
          </w:p>
        </w:tc>
        <w:tc>
          <w:tcPr>
            <w:tcW w:w="1142" w:type="dxa"/>
            <w:shd w:val="clear" w:color="auto" w:fill="auto"/>
          </w:tcPr>
          <w:p w14:paraId="314A71C3" w14:textId="4E251CD5" w:rsidR="00047C52" w:rsidRPr="002D2F67" w:rsidRDefault="00047C52" w:rsidP="00CC0816">
            <w:pPr>
              <w:pStyle w:val="acctfourfigures"/>
              <w:tabs>
                <w:tab w:val="clear" w:pos="765"/>
                <w:tab w:val="decimal" w:pos="550"/>
              </w:tabs>
              <w:spacing w:line="240" w:lineRule="auto"/>
              <w:ind w:right="-86"/>
              <w:jc w:val="right"/>
              <w:rPr>
                <w:rFonts w:ascii="Arial" w:hAnsi="Arial" w:cs="Arial"/>
                <w:noProof/>
                <w:color w:val="000000"/>
                <w:sz w:val="14"/>
                <w:szCs w:val="14"/>
              </w:rPr>
            </w:pPr>
            <w:r w:rsidRPr="002D2F67">
              <w:rPr>
                <w:rFonts w:ascii="Arial" w:hAnsi="Arial" w:cs="Arial"/>
                <w:color w:val="000000"/>
                <w:sz w:val="14"/>
                <w:szCs w:val="14"/>
              </w:rPr>
              <w:t>-</w:t>
            </w:r>
          </w:p>
        </w:tc>
        <w:tc>
          <w:tcPr>
            <w:tcW w:w="1083" w:type="dxa"/>
            <w:shd w:val="clear" w:color="auto" w:fill="auto"/>
          </w:tcPr>
          <w:p w14:paraId="0FFB0588" w14:textId="6D372E1A" w:rsidR="00047C52" w:rsidRPr="002D2F67" w:rsidRDefault="00047C52" w:rsidP="00CC0816">
            <w:pPr>
              <w:pStyle w:val="acctfourfigures"/>
              <w:tabs>
                <w:tab w:val="clear" w:pos="765"/>
                <w:tab w:val="decimal" w:pos="550"/>
              </w:tabs>
              <w:spacing w:line="240" w:lineRule="auto"/>
              <w:ind w:right="-86"/>
              <w:jc w:val="right"/>
              <w:rPr>
                <w:rFonts w:ascii="Arial" w:hAnsi="Arial" w:cs="Arial"/>
                <w:noProof/>
                <w:color w:val="000000"/>
                <w:sz w:val="14"/>
                <w:szCs w:val="14"/>
              </w:rPr>
            </w:pPr>
            <w:r w:rsidRPr="002D2F67">
              <w:rPr>
                <w:rFonts w:ascii="Arial" w:hAnsi="Arial" w:cs="Arial"/>
                <w:noProof/>
                <w:color w:val="000000"/>
                <w:sz w:val="14"/>
                <w:szCs w:val="14"/>
              </w:rPr>
              <w:t>-</w:t>
            </w:r>
          </w:p>
        </w:tc>
      </w:tr>
    </w:tbl>
    <w:p w14:paraId="6374F69C" w14:textId="0DD7DF85" w:rsidR="00E765A7" w:rsidRPr="002D2F67" w:rsidRDefault="00E765A7" w:rsidP="005611FE">
      <w:pPr>
        <w:ind w:left="540"/>
        <w:jc w:val="thaiDistribute"/>
        <w:rPr>
          <w:rFonts w:ascii="Arial" w:hAnsi="Arial" w:cs="Arial"/>
          <w:color w:val="000000"/>
          <w:sz w:val="14"/>
          <w:szCs w:val="14"/>
        </w:rPr>
        <w:sectPr w:rsidR="00E765A7" w:rsidRPr="002D2F67" w:rsidSect="004F4DED">
          <w:pgSz w:w="16838" w:h="11906" w:orient="landscape" w:code="9"/>
          <w:pgMar w:top="1440" w:right="1008" w:bottom="720" w:left="1008" w:header="706" w:footer="706" w:gutter="0"/>
          <w:cols w:space="720"/>
          <w:docGrid w:linePitch="326"/>
        </w:sectPr>
      </w:pPr>
    </w:p>
    <w:p w14:paraId="47B9AB8B" w14:textId="77777777" w:rsidR="00676C3B" w:rsidRPr="002D2F67" w:rsidRDefault="00676C3B" w:rsidP="005611FE">
      <w:pPr>
        <w:ind w:left="540"/>
        <w:contextualSpacing/>
        <w:jc w:val="thaiDistribute"/>
        <w:rPr>
          <w:rFonts w:ascii="Arial" w:hAnsi="Arial" w:cs="Arial"/>
          <w:b/>
          <w:bCs/>
          <w:color w:val="000000"/>
          <w:sz w:val="20"/>
          <w:szCs w:val="20"/>
        </w:rPr>
      </w:pPr>
    </w:p>
    <w:p w14:paraId="528F48CE" w14:textId="1978BB64" w:rsidR="00B30CF6" w:rsidRPr="002D2F67" w:rsidRDefault="00B30CF6" w:rsidP="005611FE">
      <w:pPr>
        <w:pStyle w:val="Heading3"/>
        <w:ind w:left="540"/>
        <w:contextualSpacing/>
        <w:jc w:val="thaiDistribute"/>
        <w:rPr>
          <w:rFonts w:ascii="Arial" w:hAnsi="Arial" w:cs="Arial"/>
          <w:color w:val="000000"/>
        </w:rPr>
      </w:pPr>
      <w:r w:rsidRPr="002D2F67">
        <w:rPr>
          <w:rFonts w:ascii="Arial" w:hAnsi="Arial" w:cs="Arial"/>
          <w:color w:val="000000"/>
        </w:rPr>
        <w:t>Summarised financial information on subsidiaries with material non-controlling interests</w:t>
      </w:r>
    </w:p>
    <w:p w14:paraId="5DE8DEA7" w14:textId="77777777" w:rsidR="00FE61A2" w:rsidRPr="002D2F67" w:rsidRDefault="00FE61A2" w:rsidP="005611FE">
      <w:pPr>
        <w:spacing w:after="160" w:line="259" w:lineRule="auto"/>
        <w:ind w:left="540"/>
        <w:contextualSpacing/>
        <w:jc w:val="thaiDistribute"/>
        <w:rPr>
          <w:rFonts w:ascii="Arial" w:hAnsi="Arial" w:cs="Arial"/>
          <w:color w:val="000000"/>
          <w:sz w:val="20"/>
          <w:szCs w:val="20"/>
        </w:rPr>
      </w:pPr>
    </w:p>
    <w:p w14:paraId="49B28203" w14:textId="0F4F7879" w:rsidR="00B30CF6" w:rsidRPr="002D2F67" w:rsidRDefault="00B30CF6" w:rsidP="005611FE">
      <w:pPr>
        <w:spacing w:after="160" w:line="259" w:lineRule="auto"/>
        <w:ind w:left="540"/>
        <w:contextualSpacing/>
        <w:jc w:val="thaiDistribute"/>
        <w:rPr>
          <w:rFonts w:ascii="Arial" w:hAnsi="Arial" w:cs="Arial"/>
          <w:color w:val="000000"/>
          <w:spacing w:val="-4"/>
          <w:sz w:val="20"/>
          <w:szCs w:val="20"/>
        </w:rPr>
      </w:pPr>
      <w:r w:rsidRPr="002D2F67">
        <w:rPr>
          <w:rFonts w:ascii="Arial" w:hAnsi="Arial" w:cs="Arial"/>
          <w:color w:val="000000"/>
          <w:spacing w:val="-4"/>
          <w:sz w:val="20"/>
          <w:szCs w:val="20"/>
        </w:rPr>
        <w:t>Set out below</w:t>
      </w:r>
      <w:r w:rsidR="0036558F">
        <w:rPr>
          <w:rFonts w:ascii="Arial" w:hAnsi="Arial" w:cs="Browallia New" w:hint="cs"/>
          <w:color w:val="000000"/>
          <w:spacing w:val="-4"/>
          <w:sz w:val="20"/>
          <w:szCs w:val="25"/>
          <w:cs/>
        </w:rPr>
        <w:t xml:space="preserve"> </w:t>
      </w:r>
      <w:r w:rsidR="0036558F">
        <w:rPr>
          <w:rFonts w:ascii="Arial" w:hAnsi="Arial" w:cs="Browallia New"/>
          <w:color w:val="000000"/>
          <w:spacing w:val="-4"/>
          <w:sz w:val="20"/>
          <w:szCs w:val="25"/>
        </w:rPr>
        <w:t>were</w:t>
      </w:r>
      <w:r w:rsidRPr="002D2F67">
        <w:rPr>
          <w:rFonts w:ascii="Arial" w:hAnsi="Arial" w:cs="Arial"/>
          <w:color w:val="000000"/>
          <w:spacing w:val="-4"/>
          <w:sz w:val="20"/>
          <w:szCs w:val="20"/>
        </w:rPr>
        <w:t xml:space="preserve"> the summarised financial information for each subsidiary that has non-controlling interests that are material to the Group. The amounts disclosed for each subsidiary </w:t>
      </w:r>
      <w:r w:rsidR="0036558F">
        <w:rPr>
          <w:rFonts w:ascii="Arial" w:hAnsi="Arial" w:cs="Arial"/>
          <w:color w:val="000000"/>
          <w:spacing w:val="-4"/>
          <w:sz w:val="20"/>
          <w:szCs w:val="20"/>
        </w:rPr>
        <w:t>were</w:t>
      </w:r>
      <w:r w:rsidRPr="002D2F67">
        <w:rPr>
          <w:rFonts w:ascii="Arial" w:hAnsi="Arial" w:cs="Arial"/>
          <w:color w:val="000000"/>
          <w:spacing w:val="-4"/>
          <w:sz w:val="20"/>
          <w:szCs w:val="20"/>
        </w:rPr>
        <w:t xml:space="preserve"> before intercompany eliminations.</w:t>
      </w:r>
    </w:p>
    <w:p w14:paraId="603282A8" w14:textId="77777777" w:rsidR="00F31B12" w:rsidRPr="002D2F67" w:rsidRDefault="00F31B12" w:rsidP="005611FE">
      <w:pPr>
        <w:ind w:left="540"/>
        <w:contextualSpacing/>
        <w:jc w:val="thaiDistribute"/>
        <w:rPr>
          <w:rFonts w:ascii="Arial" w:hAnsi="Arial" w:cs="Arial"/>
          <w:b/>
          <w:bCs/>
          <w:color w:val="000000"/>
          <w:sz w:val="20"/>
          <w:szCs w:val="20"/>
        </w:rPr>
      </w:pPr>
    </w:p>
    <w:p w14:paraId="0CCB5182" w14:textId="77777777" w:rsidR="00B30CF6" w:rsidRPr="002D2F67" w:rsidRDefault="00B30CF6" w:rsidP="005611FE">
      <w:pPr>
        <w:pStyle w:val="Heading3"/>
        <w:ind w:left="540"/>
        <w:contextualSpacing/>
        <w:jc w:val="thaiDistribute"/>
        <w:rPr>
          <w:rFonts w:ascii="Arial" w:hAnsi="Arial" w:cs="Arial"/>
          <w:color w:val="000000"/>
        </w:rPr>
      </w:pPr>
      <w:r w:rsidRPr="002D2F67">
        <w:rPr>
          <w:rFonts w:ascii="Arial" w:hAnsi="Arial" w:cs="Arial"/>
          <w:color w:val="000000"/>
        </w:rPr>
        <w:t>Summarised statement of financial position</w:t>
      </w:r>
    </w:p>
    <w:p w14:paraId="6F029FF8" w14:textId="77777777" w:rsidR="00FE61A2" w:rsidRPr="002D2F67" w:rsidRDefault="00FE61A2" w:rsidP="005611FE">
      <w:pPr>
        <w:ind w:left="540"/>
        <w:contextualSpacing/>
        <w:jc w:val="thaiDistribute"/>
        <w:rPr>
          <w:rFonts w:ascii="Arial" w:hAnsi="Arial" w:cs="Arial"/>
          <w:b/>
          <w:bCs/>
          <w:color w:val="000000"/>
          <w:sz w:val="20"/>
          <w:szCs w:val="20"/>
        </w:rPr>
      </w:pPr>
    </w:p>
    <w:tbl>
      <w:tblPr>
        <w:tblW w:w="14260" w:type="dxa"/>
        <w:tblInd w:w="648" w:type="dxa"/>
        <w:tblLayout w:type="fixed"/>
        <w:tblLook w:val="0000" w:firstRow="0" w:lastRow="0" w:firstColumn="0" w:lastColumn="0" w:noHBand="0" w:noVBand="0"/>
      </w:tblPr>
      <w:tblGrid>
        <w:gridCol w:w="4925"/>
        <w:gridCol w:w="2318"/>
        <w:gridCol w:w="2378"/>
        <w:gridCol w:w="2318"/>
        <w:gridCol w:w="2321"/>
      </w:tblGrid>
      <w:tr w:rsidR="00FA22FC" w:rsidRPr="002D2F67" w14:paraId="09B4ED22" w14:textId="77777777" w:rsidTr="004F4DED">
        <w:trPr>
          <w:cantSplit/>
          <w:trHeight w:val="263"/>
        </w:trPr>
        <w:tc>
          <w:tcPr>
            <w:tcW w:w="4925" w:type="dxa"/>
            <w:shd w:val="clear" w:color="auto" w:fill="auto"/>
          </w:tcPr>
          <w:p w14:paraId="7D9D8AFB" w14:textId="77777777" w:rsidR="00FA22FC" w:rsidRPr="002D2F67" w:rsidRDefault="00FA22FC" w:rsidP="005611FE">
            <w:pPr>
              <w:ind w:left="-105" w:right="-126" w:firstLine="4"/>
              <w:contextualSpacing/>
              <w:rPr>
                <w:rFonts w:ascii="Arial" w:hAnsi="Arial" w:cs="Arial"/>
                <w:color w:val="000000"/>
                <w:sz w:val="18"/>
                <w:szCs w:val="18"/>
              </w:rPr>
            </w:pPr>
          </w:p>
        </w:tc>
        <w:tc>
          <w:tcPr>
            <w:tcW w:w="4696" w:type="dxa"/>
            <w:gridSpan w:val="2"/>
            <w:tcBorders>
              <w:bottom w:val="single" w:sz="4" w:space="0" w:color="auto"/>
            </w:tcBorders>
            <w:shd w:val="clear" w:color="auto" w:fill="auto"/>
            <w:vAlign w:val="center"/>
          </w:tcPr>
          <w:p w14:paraId="1FE9C7C8" w14:textId="04D27F1D" w:rsidR="00FA22FC" w:rsidRPr="002D2F67" w:rsidRDefault="00FA22FC" w:rsidP="005611FE">
            <w:pPr>
              <w:ind w:right="-72"/>
              <w:contextualSpacing/>
              <w:jc w:val="right"/>
              <w:rPr>
                <w:rFonts w:ascii="Arial" w:hAnsi="Arial" w:cs="Arial"/>
                <w:b/>
                <w:bCs/>
                <w:color w:val="000000"/>
                <w:sz w:val="18"/>
                <w:szCs w:val="18"/>
                <w:cs/>
              </w:rPr>
            </w:pPr>
            <w:r w:rsidRPr="002D2F67">
              <w:rPr>
                <w:rFonts w:ascii="Arial" w:hAnsi="Arial" w:cs="Arial"/>
                <w:b/>
                <w:bCs/>
                <w:color w:val="000000"/>
                <w:sz w:val="18"/>
                <w:szCs w:val="18"/>
              </w:rPr>
              <w:t>Amita Technologies Inc.</w:t>
            </w:r>
          </w:p>
        </w:tc>
        <w:tc>
          <w:tcPr>
            <w:tcW w:w="4639" w:type="dxa"/>
            <w:gridSpan w:val="2"/>
            <w:tcBorders>
              <w:bottom w:val="single" w:sz="4" w:space="0" w:color="auto"/>
            </w:tcBorders>
            <w:shd w:val="clear" w:color="auto" w:fill="auto"/>
            <w:vAlign w:val="center"/>
          </w:tcPr>
          <w:p w14:paraId="6F561C3A" w14:textId="3D57435A" w:rsidR="00FA22FC" w:rsidRPr="002D2F67" w:rsidRDefault="00FA22FC" w:rsidP="005611FE">
            <w:pPr>
              <w:ind w:right="-72"/>
              <w:contextualSpacing/>
              <w:jc w:val="right"/>
              <w:rPr>
                <w:rFonts w:ascii="Arial" w:hAnsi="Arial" w:cs="Arial"/>
                <w:b/>
                <w:bCs/>
                <w:color w:val="000000"/>
                <w:sz w:val="18"/>
                <w:szCs w:val="18"/>
                <w:cs/>
              </w:rPr>
            </w:pPr>
            <w:r w:rsidRPr="002D2F67">
              <w:rPr>
                <w:rFonts w:ascii="Arial" w:hAnsi="Arial" w:cs="Arial"/>
                <w:b/>
                <w:bCs/>
                <w:color w:val="000000"/>
                <w:spacing w:val="-4"/>
                <w:sz w:val="18"/>
                <w:szCs w:val="18"/>
              </w:rPr>
              <w:t>Absolute Assembly Co., Ltd</w:t>
            </w:r>
            <w:r w:rsidRPr="002D2F67">
              <w:rPr>
                <w:rFonts w:ascii="Arial" w:hAnsi="Arial" w:cs="Arial"/>
                <w:b/>
                <w:bCs/>
                <w:color w:val="000000"/>
                <w:sz w:val="18"/>
                <w:szCs w:val="18"/>
              </w:rPr>
              <w:t>.</w:t>
            </w:r>
          </w:p>
        </w:tc>
      </w:tr>
      <w:tr w:rsidR="00FA22FC" w:rsidRPr="002D2F67" w14:paraId="6AF136CF" w14:textId="77777777" w:rsidTr="004F4DED">
        <w:trPr>
          <w:cantSplit/>
          <w:trHeight w:val="251"/>
        </w:trPr>
        <w:tc>
          <w:tcPr>
            <w:tcW w:w="4925" w:type="dxa"/>
            <w:shd w:val="clear" w:color="auto" w:fill="auto"/>
          </w:tcPr>
          <w:p w14:paraId="7CF9D46A" w14:textId="5D84B3EF" w:rsidR="00FA22FC" w:rsidRPr="002D2F67" w:rsidRDefault="00FA22FC" w:rsidP="005611FE">
            <w:pPr>
              <w:ind w:left="-105" w:right="-126" w:firstLine="4"/>
              <w:contextualSpacing/>
              <w:rPr>
                <w:rFonts w:ascii="Arial" w:hAnsi="Arial" w:cs="Arial"/>
                <w:color w:val="000000"/>
                <w:sz w:val="18"/>
                <w:szCs w:val="18"/>
              </w:rPr>
            </w:pPr>
            <w:r w:rsidRPr="002D2F67">
              <w:rPr>
                <w:rFonts w:ascii="Arial" w:hAnsi="Arial" w:cs="Arial"/>
                <w:b/>
                <w:bCs/>
                <w:color w:val="000000"/>
                <w:spacing w:val="-6"/>
                <w:sz w:val="18"/>
                <w:szCs w:val="18"/>
              </w:rPr>
              <w:t xml:space="preserve">As </w:t>
            </w:r>
            <w:proofErr w:type="gramStart"/>
            <w:r w:rsidRPr="002D2F67">
              <w:rPr>
                <w:rFonts w:ascii="Arial" w:hAnsi="Arial" w:cs="Arial"/>
                <w:b/>
                <w:bCs/>
                <w:color w:val="000000"/>
                <w:spacing w:val="-6"/>
                <w:sz w:val="18"/>
                <w:szCs w:val="18"/>
              </w:rPr>
              <w:t>at</w:t>
            </w:r>
            <w:proofErr w:type="gramEnd"/>
            <w:r w:rsidRPr="002D2F67">
              <w:rPr>
                <w:rFonts w:ascii="Arial" w:hAnsi="Arial" w:cs="Arial"/>
                <w:b/>
                <w:bCs/>
                <w:color w:val="000000"/>
                <w:spacing w:val="-6"/>
                <w:sz w:val="18"/>
                <w:szCs w:val="18"/>
              </w:rPr>
              <w:t xml:space="preserve"> </w:t>
            </w:r>
            <w:r w:rsidR="00CD5714" w:rsidRPr="00CD5714">
              <w:rPr>
                <w:rFonts w:ascii="Arial" w:hAnsi="Arial" w:cs="Arial"/>
                <w:b/>
                <w:bCs/>
                <w:color w:val="000000"/>
                <w:spacing w:val="-6"/>
                <w:sz w:val="18"/>
                <w:szCs w:val="18"/>
                <w:lang w:val="en-GB"/>
              </w:rPr>
              <w:t>31</w:t>
            </w:r>
            <w:r w:rsidRPr="002D2F67">
              <w:rPr>
                <w:rFonts w:ascii="Arial" w:hAnsi="Arial" w:cs="Arial"/>
                <w:b/>
                <w:bCs/>
                <w:color w:val="000000"/>
                <w:spacing w:val="-6"/>
                <w:sz w:val="18"/>
                <w:szCs w:val="18"/>
              </w:rPr>
              <w:t xml:space="preserve"> December</w:t>
            </w:r>
          </w:p>
        </w:tc>
        <w:tc>
          <w:tcPr>
            <w:tcW w:w="2318" w:type="dxa"/>
            <w:tcBorders>
              <w:top w:val="single" w:sz="4" w:space="0" w:color="auto"/>
            </w:tcBorders>
            <w:shd w:val="clear" w:color="auto" w:fill="auto"/>
            <w:vAlign w:val="bottom"/>
          </w:tcPr>
          <w:p w14:paraId="1756E703" w14:textId="74EDA8CF" w:rsidR="00FA22FC" w:rsidRPr="002D2F67" w:rsidRDefault="00CD5714" w:rsidP="005611FE">
            <w:pPr>
              <w:ind w:right="-72"/>
              <w:contextualSpacing/>
              <w:jc w:val="right"/>
              <w:rPr>
                <w:rFonts w:ascii="Arial" w:hAnsi="Arial" w:cs="Arial"/>
                <w:b/>
                <w:bCs/>
                <w:color w:val="000000"/>
                <w:sz w:val="18"/>
                <w:szCs w:val="18"/>
              </w:rPr>
            </w:pPr>
            <w:r w:rsidRPr="00CD5714">
              <w:rPr>
                <w:rFonts w:ascii="Arial" w:hAnsi="Arial" w:cs="Arial"/>
                <w:b/>
                <w:bCs/>
                <w:color w:val="000000"/>
                <w:sz w:val="18"/>
                <w:szCs w:val="18"/>
                <w:lang w:val="en-GB"/>
              </w:rPr>
              <w:t>2024</w:t>
            </w:r>
          </w:p>
        </w:tc>
        <w:tc>
          <w:tcPr>
            <w:tcW w:w="2378" w:type="dxa"/>
            <w:tcBorders>
              <w:top w:val="single" w:sz="4" w:space="0" w:color="auto"/>
            </w:tcBorders>
            <w:shd w:val="clear" w:color="auto" w:fill="auto"/>
            <w:vAlign w:val="bottom"/>
          </w:tcPr>
          <w:p w14:paraId="7BE92558" w14:textId="28648D0D" w:rsidR="00FA22FC" w:rsidRPr="002D2F67" w:rsidRDefault="00CD5714" w:rsidP="005611FE">
            <w:pPr>
              <w:ind w:right="-72"/>
              <w:contextualSpacing/>
              <w:jc w:val="right"/>
              <w:rPr>
                <w:rFonts w:ascii="Arial" w:hAnsi="Arial" w:cs="Arial"/>
                <w:b/>
                <w:bCs/>
                <w:color w:val="000000"/>
                <w:sz w:val="18"/>
                <w:szCs w:val="18"/>
              </w:rPr>
            </w:pPr>
            <w:r w:rsidRPr="00CD5714">
              <w:rPr>
                <w:rFonts w:ascii="Arial" w:hAnsi="Arial" w:cs="Arial"/>
                <w:b/>
                <w:bCs/>
                <w:color w:val="000000"/>
                <w:sz w:val="18"/>
                <w:szCs w:val="18"/>
                <w:lang w:val="en-GB"/>
              </w:rPr>
              <w:t>2023</w:t>
            </w:r>
          </w:p>
        </w:tc>
        <w:tc>
          <w:tcPr>
            <w:tcW w:w="2318" w:type="dxa"/>
            <w:tcBorders>
              <w:top w:val="single" w:sz="4" w:space="0" w:color="auto"/>
            </w:tcBorders>
            <w:shd w:val="clear" w:color="auto" w:fill="auto"/>
            <w:vAlign w:val="bottom"/>
          </w:tcPr>
          <w:p w14:paraId="04AF50B5" w14:textId="1A9946DC" w:rsidR="00FA22FC" w:rsidRPr="002D2F67" w:rsidRDefault="00CD5714" w:rsidP="005611FE">
            <w:pPr>
              <w:ind w:right="-72"/>
              <w:contextualSpacing/>
              <w:jc w:val="right"/>
              <w:rPr>
                <w:rFonts w:ascii="Arial" w:hAnsi="Arial" w:cs="Arial"/>
                <w:b/>
                <w:bCs/>
                <w:color w:val="000000"/>
                <w:sz w:val="18"/>
                <w:szCs w:val="18"/>
                <w:cs/>
              </w:rPr>
            </w:pPr>
            <w:r w:rsidRPr="00CD5714">
              <w:rPr>
                <w:rFonts w:ascii="Arial" w:hAnsi="Arial" w:cs="Arial"/>
                <w:b/>
                <w:bCs/>
                <w:color w:val="000000"/>
                <w:sz w:val="18"/>
                <w:szCs w:val="18"/>
                <w:lang w:val="en-GB"/>
              </w:rPr>
              <w:t>2024</w:t>
            </w:r>
          </w:p>
        </w:tc>
        <w:tc>
          <w:tcPr>
            <w:tcW w:w="2321" w:type="dxa"/>
            <w:tcBorders>
              <w:top w:val="single" w:sz="4" w:space="0" w:color="auto"/>
            </w:tcBorders>
            <w:shd w:val="clear" w:color="auto" w:fill="auto"/>
            <w:vAlign w:val="bottom"/>
          </w:tcPr>
          <w:p w14:paraId="54B7EA46" w14:textId="452A15C4" w:rsidR="00FA22FC" w:rsidRPr="002D2F67" w:rsidRDefault="00CD5714" w:rsidP="005611FE">
            <w:pPr>
              <w:ind w:right="-72"/>
              <w:contextualSpacing/>
              <w:jc w:val="right"/>
              <w:rPr>
                <w:rFonts w:ascii="Arial" w:hAnsi="Arial" w:cs="Arial"/>
                <w:b/>
                <w:bCs/>
                <w:color w:val="000000"/>
                <w:sz w:val="18"/>
                <w:szCs w:val="18"/>
                <w:cs/>
              </w:rPr>
            </w:pPr>
            <w:r w:rsidRPr="00CD5714">
              <w:rPr>
                <w:rFonts w:ascii="Arial" w:hAnsi="Arial" w:cs="Arial"/>
                <w:b/>
                <w:bCs/>
                <w:color w:val="000000"/>
                <w:sz w:val="18"/>
                <w:szCs w:val="18"/>
                <w:lang w:val="en-GB"/>
              </w:rPr>
              <w:t>2023</w:t>
            </w:r>
          </w:p>
        </w:tc>
      </w:tr>
      <w:tr w:rsidR="00FA22FC" w:rsidRPr="002D2F67" w14:paraId="14111500" w14:textId="77777777" w:rsidTr="004F4DED">
        <w:trPr>
          <w:cantSplit/>
          <w:trHeight w:val="263"/>
        </w:trPr>
        <w:tc>
          <w:tcPr>
            <w:tcW w:w="4925" w:type="dxa"/>
            <w:shd w:val="clear" w:color="auto" w:fill="auto"/>
          </w:tcPr>
          <w:p w14:paraId="42D0A38D" w14:textId="77777777" w:rsidR="00FA22FC" w:rsidRPr="002D2F67" w:rsidRDefault="00FA22FC" w:rsidP="005611FE">
            <w:pPr>
              <w:ind w:left="-105" w:right="-126" w:firstLine="4"/>
              <w:contextualSpacing/>
              <w:rPr>
                <w:rFonts w:ascii="Arial" w:hAnsi="Arial" w:cs="Arial"/>
                <w:color w:val="000000"/>
                <w:sz w:val="18"/>
                <w:szCs w:val="18"/>
              </w:rPr>
            </w:pPr>
          </w:p>
        </w:tc>
        <w:tc>
          <w:tcPr>
            <w:tcW w:w="2318" w:type="dxa"/>
            <w:tcBorders>
              <w:bottom w:val="single" w:sz="4" w:space="0" w:color="auto"/>
            </w:tcBorders>
            <w:shd w:val="clear" w:color="auto" w:fill="auto"/>
            <w:vAlign w:val="bottom"/>
          </w:tcPr>
          <w:p w14:paraId="591F37E8" w14:textId="1B3404AF" w:rsidR="00FA22FC" w:rsidRPr="002D2F67" w:rsidRDefault="00FA22FC" w:rsidP="005611FE">
            <w:pPr>
              <w:ind w:right="-72"/>
              <w:contextualSpacing/>
              <w:jc w:val="right"/>
              <w:rPr>
                <w:rFonts w:ascii="Arial" w:hAnsi="Arial" w:cs="Arial"/>
                <w:b/>
                <w:bCs/>
                <w:color w:val="000000"/>
                <w:sz w:val="18"/>
                <w:szCs w:val="18"/>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c>
          <w:tcPr>
            <w:tcW w:w="2378" w:type="dxa"/>
            <w:tcBorders>
              <w:bottom w:val="single" w:sz="4" w:space="0" w:color="auto"/>
            </w:tcBorders>
            <w:shd w:val="clear" w:color="auto" w:fill="auto"/>
            <w:vAlign w:val="bottom"/>
          </w:tcPr>
          <w:p w14:paraId="1DB09766" w14:textId="5FDB20B4" w:rsidR="00FA22FC" w:rsidRPr="002D2F67" w:rsidRDefault="00FA22FC" w:rsidP="005611FE">
            <w:pPr>
              <w:ind w:right="-72"/>
              <w:contextualSpacing/>
              <w:jc w:val="right"/>
              <w:rPr>
                <w:rFonts w:ascii="Arial" w:hAnsi="Arial" w:cs="Arial"/>
                <w:b/>
                <w:bCs/>
                <w:color w:val="000000"/>
                <w:sz w:val="18"/>
                <w:szCs w:val="18"/>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c>
          <w:tcPr>
            <w:tcW w:w="2318" w:type="dxa"/>
            <w:tcBorders>
              <w:bottom w:val="single" w:sz="4" w:space="0" w:color="auto"/>
            </w:tcBorders>
            <w:shd w:val="clear" w:color="auto" w:fill="auto"/>
            <w:vAlign w:val="bottom"/>
          </w:tcPr>
          <w:p w14:paraId="3EF23C8B" w14:textId="79EF554D" w:rsidR="00FA22FC" w:rsidRPr="002D2F67" w:rsidRDefault="00FA22FC" w:rsidP="005611FE">
            <w:pPr>
              <w:ind w:right="-72"/>
              <w:contextualSpacing/>
              <w:jc w:val="right"/>
              <w:rPr>
                <w:rFonts w:ascii="Arial" w:hAnsi="Arial" w:cs="Arial"/>
                <w:b/>
                <w:bCs/>
                <w:color w:val="000000"/>
                <w:sz w:val="18"/>
                <w:szCs w:val="18"/>
                <w:cs/>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c>
          <w:tcPr>
            <w:tcW w:w="2321" w:type="dxa"/>
            <w:tcBorders>
              <w:bottom w:val="single" w:sz="4" w:space="0" w:color="auto"/>
            </w:tcBorders>
            <w:shd w:val="clear" w:color="auto" w:fill="auto"/>
            <w:vAlign w:val="bottom"/>
          </w:tcPr>
          <w:p w14:paraId="6E097098" w14:textId="6622DD61" w:rsidR="00FA22FC" w:rsidRPr="002D2F67" w:rsidRDefault="00FA22FC" w:rsidP="005611FE">
            <w:pPr>
              <w:ind w:right="-72"/>
              <w:contextualSpacing/>
              <w:jc w:val="right"/>
              <w:rPr>
                <w:rFonts w:ascii="Arial" w:hAnsi="Arial" w:cs="Arial"/>
                <w:b/>
                <w:bCs/>
                <w:color w:val="000000"/>
                <w:sz w:val="18"/>
                <w:szCs w:val="18"/>
                <w:cs/>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r>
      <w:tr w:rsidR="00FA22FC" w:rsidRPr="002D2F67" w14:paraId="7B2511BB" w14:textId="77777777" w:rsidTr="004F4DED">
        <w:trPr>
          <w:cantSplit/>
          <w:trHeight w:val="263"/>
        </w:trPr>
        <w:tc>
          <w:tcPr>
            <w:tcW w:w="4925" w:type="dxa"/>
            <w:shd w:val="clear" w:color="auto" w:fill="auto"/>
          </w:tcPr>
          <w:p w14:paraId="6E5F4ACF" w14:textId="77777777" w:rsidR="00FA22FC" w:rsidRPr="002D2F67" w:rsidRDefault="00FA22FC" w:rsidP="005611FE">
            <w:pPr>
              <w:ind w:left="-105" w:right="-126" w:firstLine="4"/>
              <w:contextualSpacing/>
              <w:rPr>
                <w:rFonts w:ascii="Arial" w:hAnsi="Arial" w:cs="Arial"/>
                <w:b/>
                <w:bCs/>
                <w:color w:val="000000"/>
                <w:sz w:val="18"/>
                <w:szCs w:val="18"/>
                <w:cs/>
              </w:rPr>
            </w:pPr>
          </w:p>
        </w:tc>
        <w:tc>
          <w:tcPr>
            <w:tcW w:w="2318" w:type="dxa"/>
            <w:tcBorders>
              <w:top w:val="single" w:sz="4" w:space="0" w:color="auto"/>
            </w:tcBorders>
            <w:shd w:val="clear" w:color="auto" w:fill="auto"/>
          </w:tcPr>
          <w:p w14:paraId="58C5CEAD" w14:textId="77777777" w:rsidR="00FA22FC" w:rsidRPr="002D2F67" w:rsidRDefault="00FA22FC" w:rsidP="005611FE">
            <w:pPr>
              <w:ind w:right="-72"/>
              <w:contextualSpacing/>
              <w:jc w:val="right"/>
              <w:rPr>
                <w:rFonts w:ascii="Arial" w:hAnsi="Arial" w:cs="Arial"/>
                <w:color w:val="000000"/>
                <w:sz w:val="18"/>
                <w:szCs w:val="18"/>
              </w:rPr>
            </w:pPr>
          </w:p>
        </w:tc>
        <w:tc>
          <w:tcPr>
            <w:tcW w:w="2378" w:type="dxa"/>
            <w:tcBorders>
              <w:top w:val="single" w:sz="4" w:space="0" w:color="auto"/>
            </w:tcBorders>
            <w:shd w:val="clear" w:color="auto" w:fill="auto"/>
          </w:tcPr>
          <w:p w14:paraId="379696D8" w14:textId="77777777" w:rsidR="00FA22FC" w:rsidRPr="002D2F67" w:rsidRDefault="00FA22FC" w:rsidP="005611FE">
            <w:pPr>
              <w:ind w:right="-72"/>
              <w:contextualSpacing/>
              <w:jc w:val="right"/>
              <w:rPr>
                <w:rFonts w:ascii="Arial" w:hAnsi="Arial" w:cs="Arial"/>
                <w:color w:val="000000"/>
                <w:sz w:val="18"/>
                <w:szCs w:val="18"/>
              </w:rPr>
            </w:pPr>
          </w:p>
        </w:tc>
        <w:tc>
          <w:tcPr>
            <w:tcW w:w="2318" w:type="dxa"/>
            <w:tcBorders>
              <w:top w:val="single" w:sz="4" w:space="0" w:color="auto"/>
            </w:tcBorders>
            <w:shd w:val="clear" w:color="auto" w:fill="auto"/>
          </w:tcPr>
          <w:p w14:paraId="7A575B38" w14:textId="77777777" w:rsidR="00FA22FC" w:rsidRPr="002D2F67" w:rsidRDefault="00FA22FC" w:rsidP="005611FE">
            <w:pPr>
              <w:ind w:right="-72"/>
              <w:contextualSpacing/>
              <w:jc w:val="right"/>
              <w:rPr>
                <w:rFonts w:ascii="Arial" w:hAnsi="Arial" w:cs="Arial"/>
                <w:color w:val="000000"/>
                <w:sz w:val="18"/>
                <w:szCs w:val="18"/>
              </w:rPr>
            </w:pPr>
          </w:p>
        </w:tc>
        <w:tc>
          <w:tcPr>
            <w:tcW w:w="2321" w:type="dxa"/>
            <w:tcBorders>
              <w:top w:val="single" w:sz="4" w:space="0" w:color="auto"/>
            </w:tcBorders>
            <w:shd w:val="clear" w:color="auto" w:fill="auto"/>
          </w:tcPr>
          <w:p w14:paraId="04536B9C" w14:textId="77777777" w:rsidR="00FA22FC" w:rsidRPr="002D2F67" w:rsidRDefault="00FA22FC" w:rsidP="005611FE">
            <w:pPr>
              <w:ind w:right="-72"/>
              <w:contextualSpacing/>
              <w:jc w:val="right"/>
              <w:rPr>
                <w:rFonts w:ascii="Arial" w:hAnsi="Arial" w:cs="Arial"/>
                <w:color w:val="000000"/>
                <w:sz w:val="18"/>
                <w:szCs w:val="18"/>
              </w:rPr>
            </w:pPr>
          </w:p>
        </w:tc>
      </w:tr>
      <w:tr w:rsidR="00FA22FC" w:rsidRPr="002D2F67" w14:paraId="6A944CD9" w14:textId="77777777" w:rsidTr="004F4DED">
        <w:trPr>
          <w:cantSplit/>
          <w:trHeight w:val="82"/>
        </w:trPr>
        <w:tc>
          <w:tcPr>
            <w:tcW w:w="4925" w:type="dxa"/>
            <w:shd w:val="clear" w:color="auto" w:fill="auto"/>
          </w:tcPr>
          <w:p w14:paraId="58261B15" w14:textId="7E49728D" w:rsidR="00FA22FC" w:rsidRPr="002D2F67" w:rsidRDefault="00FA22FC" w:rsidP="005611FE">
            <w:pPr>
              <w:ind w:left="-99" w:right="-72"/>
              <w:contextualSpacing/>
              <w:rPr>
                <w:rFonts w:ascii="Arial" w:hAnsi="Arial" w:cs="Arial"/>
                <w:color w:val="000000"/>
                <w:sz w:val="18"/>
                <w:szCs w:val="18"/>
              </w:rPr>
            </w:pPr>
            <w:r w:rsidRPr="002D2F67">
              <w:rPr>
                <w:rFonts w:ascii="Arial" w:hAnsi="Arial" w:cs="Arial"/>
                <w:color w:val="000000"/>
                <w:sz w:val="18"/>
                <w:szCs w:val="18"/>
              </w:rPr>
              <w:t>Current assets</w:t>
            </w:r>
          </w:p>
        </w:tc>
        <w:tc>
          <w:tcPr>
            <w:tcW w:w="2318" w:type="dxa"/>
            <w:shd w:val="clear" w:color="auto" w:fill="auto"/>
            <w:vAlign w:val="bottom"/>
          </w:tcPr>
          <w:p w14:paraId="48E9E10D" w14:textId="114B29F7" w:rsidR="00FA22FC" w:rsidRPr="002D2F67" w:rsidRDefault="00CD5714" w:rsidP="005611FE">
            <w:pPr>
              <w:ind w:right="-72"/>
              <w:contextualSpacing/>
              <w:jc w:val="right"/>
              <w:rPr>
                <w:rFonts w:ascii="Arial" w:hAnsi="Arial" w:cs="Arial"/>
                <w:color w:val="000000"/>
                <w:sz w:val="18"/>
                <w:szCs w:val="18"/>
              </w:rPr>
            </w:pPr>
            <w:r w:rsidRPr="00CD5714">
              <w:rPr>
                <w:rFonts w:ascii="Arial" w:hAnsi="Arial" w:cs="Arial"/>
                <w:color w:val="000000"/>
                <w:sz w:val="18"/>
                <w:szCs w:val="18"/>
                <w:lang w:val="en-GB"/>
              </w:rPr>
              <w:t>3</w:t>
            </w:r>
            <w:r w:rsidR="00FA22FC" w:rsidRPr="002D2F67">
              <w:rPr>
                <w:rFonts w:ascii="Arial" w:hAnsi="Arial" w:cs="Arial"/>
                <w:color w:val="000000"/>
                <w:sz w:val="18"/>
                <w:szCs w:val="18"/>
              </w:rPr>
              <w:t>,</w:t>
            </w:r>
            <w:r w:rsidRPr="00CD5714">
              <w:rPr>
                <w:rFonts w:ascii="Arial" w:hAnsi="Arial" w:cs="Arial"/>
                <w:color w:val="000000"/>
                <w:sz w:val="18"/>
                <w:szCs w:val="18"/>
                <w:lang w:val="en-GB"/>
              </w:rPr>
              <w:t>272</w:t>
            </w:r>
            <w:r w:rsidR="00FA22FC" w:rsidRPr="002D2F67">
              <w:rPr>
                <w:rFonts w:ascii="Arial" w:hAnsi="Arial" w:cs="Arial"/>
                <w:color w:val="000000"/>
                <w:sz w:val="18"/>
                <w:szCs w:val="18"/>
              </w:rPr>
              <w:t>,</w:t>
            </w:r>
            <w:r w:rsidRPr="00CD5714">
              <w:rPr>
                <w:rFonts w:ascii="Arial" w:hAnsi="Arial" w:cs="Arial"/>
                <w:color w:val="000000"/>
                <w:sz w:val="18"/>
                <w:szCs w:val="18"/>
                <w:lang w:val="en-GB"/>
              </w:rPr>
              <w:t>424</w:t>
            </w:r>
          </w:p>
        </w:tc>
        <w:tc>
          <w:tcPr>
            <w:tcW w:w="2378" w:type="dxa"/>
            <w:shd w:val="clear" w:color="auto" w:fill="auto"/>
            <w:vAlign w:val="bottom"/>
          </w:tcPr>
          <w:p w14:paraId="4F6B8331" w14:textId="33146B5D" w:rsidR="00FA22FC" w:rsidRPr="002D2F67" w:rsidRDefault="00CD5714" w:rsidP="005611FE">
            <w:pPr>
              <w:ind w:right="-72"/>
              <w:contextualSpacing/>
              <w:jc w:val="right"/>
              <w:rPr>
                <w:rFonts w:ascii="Arial" w:hAnsi="Arial" w:cs="Arial"/>
                <w:color w:val="000000"/>
                <w:sz w:val="18"/>
                <w:szCs w:val="18"/>
              </w:rPr>
            </w:pPr>
            <w:r w:rsidRPr="00CD5714">
              <w:rPr>
                <w:rFonts w:ascii="Arial" w:hAnsi="Arial" w:cs="Arial"/>
                <w:color w:val="000000"/>
                <w:sz w:val="18"/>
                <w:szCs w:val="18"/>
                <w:lang w:val="en-GB"/>
              </w:rPr>
              <w:t>6</w:t>
            </w:r>
            <w:r w:rsidR="00FA22FC" w:rsidRPr="002D2F67">
              <w:rPr>
                <w:rFonts w:ascii="Arial" w:hAnsi="Arial" w:cs="Arial"/>
                <w:color w:val="000000"/>
                <w:sz w:val="18"/>
                <w:szCs w:val="18"/>
              </w:rPr>
              <w:t>,</w:t>
            </w:r>
            <w:r w:rsidRPr="00CD5714">
              <w:rPr>
                <w:rFonts w:ascii="Arial" w:hAnsi="Arial" w:cs="Arial"/>
                <w:color w:val="000000"/>
                <w:sz w:val="18"/>
                <w:szCs w:val="18"/>
                <w:lang w:val="en-GB"/>
              </w:rPr>
              <w:t>940</w:t>
            </w:r>
            <w:r w:rsidR="00FA22FC" w:rsidRPr="002D2F67">
              <w:rPr>
                <w:rFonts w:ascii="Arial" w:hAnsi="Arial" w:cs="Arial"/>
                <w:color w:val="000000"/>
                <w:sz w:val="18"/>
                <w:szCs w:val="18"/>
              </w:rPr>
              <w:t>,</w:t>
            </w:r>
            <w:r w:rsidRPr="00CD5714">
              <w:rPr>
                <w:rFonts w:ascii="Arial" w:hAnsi="Arial" w:cs="Arial"/>
                <w:color w:val="000000"/>
                <w:sz w:val="18"/>
                <w:szCs w:val="18"/>
                <w:lang w:val="en-GB"/>
              </w:rPr>
              <w:t>043</w:t>
            </w:r>
          </w:p>
        </w:tc>
        <w:tc>
          <w:tcPr>
            <w:tcW w:w="2318" w:type="dxa"/>
            <w:shd w:val="clear" w:color="auto" w:fill="auto"/>
            <w:vAlign w:val="bottom"/>
          </w:tcPr>
          <w:p w14:paraId="7018CA2D" w14:textId="1E6956C7" w:rsidR="00FA22FC" w:rsidRPr="002D2F67" w:rsidRDefault="00CD5714" w:rsidP="005611FE">
            <w:pPr>
              <w:ind w:right="-72"/>
              <w:contextualSpacing/>
              <w:jc w:val="right"/>
              <w:rPr>
                <w:rFonts w:ascii="Arial" w:hAnsi="Arial" w:cs="Arial"/>
                <w:color w:val="000000"/>
                <w:sz w:val="18"/>
                <w:szCs w:val="18"/>
              </w:rPr>
            </w:pPr>
            <w:r w:rsidRPr="00CD5714">
              <w:rPr>
                <w:rFonts w:ascii="Arial" w:hAnsi="Arial" w:cs="Arial"/>
                <w:color w:val="000000"/>
                <w:sz w:val="18"/>
                <w:szCs w:val="18"/>
                <w:lang w:val="en-GB"/>
              </w:rPr>
              <w:t>5</w:t>
            </w:r>
            <w:r w:rsidR="00FA22FC" w:rsidRPr="002D2F67">
              <w:rPr>
                <w:rFonts w:ascii="Arial" w:hAnsi="Arial" w:cs="Arial"/>
                <w:color w:val="000000"/>
                <w:sz w:val="18"/>
                <w:szCs w:val="18"/>
              </w:rPr>
              <w:t>,</w:t>
            </w:r>
            <w:r w:rsidRPr="00CD5714">
              <w:rPr>
                <w:rFonts w:ascii="Arial" w:hAnsi="Arial" w:cs="Arial"/>
                <w:color w:val="000000"/>
                <w:sz w:val="18"/>
                <w:szCs w:val="18"/>
                <w:lang w:val="en-GB"/>
              </w:rPr>
              <w:t>7</w:t>
            </w:r>
            <w:r w:rsidRPr="00CD5714">
              <w:rPr>
                <w:rFonts w:ascii="Arial" w:hAnsi="Arial" w:cs="Arial"/>
                <w:color w:val="000000"/>
                <w:sz w:val="18"/>
                <w:szCs w:val="22"/>
                <w:lang w:val="en-GB"/>
              </w:rPr>
              <w:t>40</w:t>
            </w:r>
            <w:r w:rsidR="00FA22FC" w:rsidRPr="002D2F67">
              <w:rPr>
                <w:rFonts w:ascii="Arial" w:hAnsi="Arial" w:cs="Arial"/>
                <w:color w:val="000000"/>
                <w:sz w:val="18"/>
                <w:szCs w:val="18"/>
              </w:rPr>
              <w:t>,</w:t>
            </w:r>
            <w:r w:rsidRPr="00CD5714">
              <w:rPr>
                <w:rFonts w:ascii="Arial" w:hAnsi="Arial" w:cs="Arial"/>
                <w:color w:val="000000"/>
                <w:sz w:val="18"/>
                <w:szCs w:val="18"/>
                <w:lang w:val="en-GB"/>
              </w:rPr>
              <w:t>746</w:t>
            </w:r>
          </w:p>
        </w:tc>
        <w:tc>
          <w:tcPr>
            <w:tcW w:w="2321" w:type="dxa"/>
            <w:shd w:val="clear" w:color="auto" w:fill="auto"/>
            <w:vAlign w:val="bottom"/>
          </w:tcPr>
          <w:p w14:paraId="02110AFA" w14:textId="71E7C658" w:rsidR="00FA22FC" w:rsidRPr="002D2F67" w:rsidRDefault="00CD5714" w:rsidP="005611FE">
            <w:pPr>
              <w:ind w:right="-72"/>
              <w:contextualSpacing/>
              <w:jc w:val="right"/>
              <w:rPr>
                <w:rFonts w:ascii="Arial" w:hAnsi="Arial" w:cs="Arial"/>
                <w:color w:val="000000"/>
                <w:sz w:val="18"/>
                <w:szCs w:val="18"/>
              </w:rPr>
            </w:pPr>
            <w:r w:rsidRPr="00CD5714">
              <w:rPr>
                <w:rFonts w:ascii="Arial" w:hAnsi="Arial" w:cs="Arial"/>
                <w:color w:val="000000"/>
                <w:sz w:val="18"/>
                <w:szCs w:val="18"/>
                <w:lang w:val="en-GB"/>
              </w:rPr>
              <w:t>6</w:t>
            </w:r>
            <w:r w:rsidR="00FA22FC" w:rsidRPr="002D2F67">
              <w:rPr>
                <w:rFonts w:ascii="Arial" w:hAnsi="Arial" w:cs="Arial"/>
                <w:color w:val="000000"/>
                <w:sz w:val="18"/>
                <w:szCs w:val="18"/>
              </w:rPr>
              <w:t>,</w:t>
            </w:r>
            <w:r w:rsidRPr="00CD5714">
              <w:rPr>
                <w:rFonts w:ascii="Arial" w:hAnsi="Arial" w:cs="Arial"/>
                <w:color w:val="000000"/>
                <w:sz w:val="18"/>
                <w:szCs w:val="18"/>
                <w:lang w:val="en-GB"/>
              </w:rPr>
              <w:t>910</w:t>
            </w:r>
            <w:r w:rsidR="00FA22FC" w:rsidRPr="002D2F67">
              <w:rPr>
                <w:rFonts w:ascii="Arial" w:hAnsi="Arial" w:cs="Arial"/>
                <w:color w:val="000000"/>
                <w:sz w:val="18"/>
                <w:szCs w:val="18"/>
              </w:rPr>
              <w:t>,</w:t>
            </w:r>
            <w:r w:rsidRPr="00CD5714">
              <w:rPr>
                <w:rFonts w:ascii="Arial" w:hAnsi="Arial" w:cs="Arial"/>
                <w:color w:val="000000"/>
                <w:sz w:val="18"/>
                <w:szCs w:val="18"/>
                <w:lang w:val="en-GB"/>
              </w:rPr>
              <w:t>225</w:t>
            </w:r>
          </w:p>
        </w:tc>
      </w:tr>
      <w:tr w:rsidR="00FA22FC" w:rsidRPr="002D2F67" w14:paraId="4E0651ED" w14:textId="77777777" w:rsidTr="004F4DED">
        <w:trPr>
          <w:cantSplit/>
          <w:trHeight w:val="263"/>
        </w:trPr>
        <w:tc>
          <w:tcPr>
            <w:tcW w:w="4925" w:type="dxa"/>
            <w:shd w:val="clear" w:color="auto" w:fill="auto"/>
          </w:tcPr>
          <w:p w14:paraId="56551B0A" w14:textId="73A88416" w:rsidR="00FA22FC" w:rsidRPr="002D2F67" w:rsidRDefault="00FA22FC" w:rsidP="005611FE">
            <w:pPr>
              <w:ind w:left="-99" w:right="-72"/>
              <w:contextualSpacing/>
              <w:rPr>
                <w:rFonts w:ascii="Arial" w:hAnsi="Arial" w:cs="Arial"/>
                <w:color w:val="000000"/>
                <w:sz w:val="18"/>
                <w:szCs w:val="18"/>
              </w:rPr>
            </w:pPr>
            <w:r w:rsidRPr="002D2F67">
              <w:rPr>
                <w:rFonts w:ascii="Arial" w:hAnsi="Arial" w:cs="Arial"/>
                <w:color w:val="000000"/>
                <w:sz w:val="18"/>
                <w:szCs w:val="18"/>
              </w:rPr>
              <w:t>Current liabilities</w:t>
            </w:r>
          </w:p>
        </w:tc>
        <w:tc>
          <w:tcPr>
            <w:tcW w:w="2318" w:type="dxa"/>
            <w:tcBorders>
              <w:bottom w:val="single" w:sz="4" w:space="0" w:color="auto"/>
            </w:tcBorders>
            <w:shd w:val="clear" w:color="auto" w:fill="auto"/>
            <w:vAlign w:val="bottom"/>
          </w:tcPr>
          <w:p w14:paraId="19FB324A" w14:textId="1BD11BE4" w:rsidR="00FA22FC" w:rsidRPr="002D2F67" w:rsidRDefault="00CD5714" w:rsidP="005611FE">
            <w:pPr>
              <w:ind w:right="-72"/>
              <w:contextualSpacing/>
              <w:jc w:val="right"/>
              <w:rPr>
                <w:rFonts w:ascii="Arial" w:hAnsi="Arial" w:cs="Arial"/>
                <w:color w:val="000000"/>
                <w:sz w:val="18"/>
                <w:szCs w:val="18"/>
              </w:rPr>
            </w:pPr>
            <w:r w:rsidRPr="00CD5714">
              <w:rPr>
                <w:rFonts w:ascii="Arial" w:hAnsi="Arial" w:cs="Arial"/>
                <w:color w:val="000000"/>
                <w:sz w:val="18"/>
                <w:szCs w:val="18"/>
                <w:lang w:val="en-GB"/>
              </w:rPr>
              <w:t>13</w:t>
            </w:r>
            <w:r w:rsidR="00FA22FC" w:rsidRPr="002D2F67">
              <w:rPr>
                <w:rFonts w:ascii="Arial" w:hAnsi="Arial" w:cs="Arial"/>
                <w:color w:val="000000"/>
                <w:sz w:val="18"/>
                <w:szCs w:val="18"/>
              </w:rPr>
              <w:t>,</w:t>
            </w:r>
            <w:r w:rsidRPr="00CD5714">
              <w:rPr>
                <w:rFonts w:ascii="Arial" w:hAnsi="Arial" w:cs="Arial"/>
                <w:color w:val="000000"/>
                <w:sz w:val="18"/>
                <w:szCs w:val="18"/>
                <w:lang w:val="en-GB"/>
              </w:rPr>
              <w:t>940</w:t>
            </w:r>
            <w:r w:rsidR="00FA22FC" w:rsidRPr="002D2F67">
              <w:rPr>
                <w:rFonts w:ascii="Arial" w:hAnsi="Arial" w:cs="Arial"/>
                <w:color w:val="000000"/>
                <w:sz w:val="18"/>
                <w:szCs w:val="18"/>
              </w:rPr>
              <w:t>,</w:t>
            </w:r>
            <w:r w:rsidRPr="00CD5714">
              <w:rPr>
                <w:rFonts w:ascii="Arial" w:hAnsi="Arial" w:cs="Arial"/>
                <w:color w:val="000000"/>
                <w:sz w:val="18"/>
                <w:szCs w:val="18"/>
                <w:lang w:val="en-GB"/>
              </w:rPr>
              <w:t>576</w:t>
            </w:r>
          </w:p>
        </w:tc>
        <w:tc>
          <w:tcPr>
            <w:tcW w:w="2378" w:type="dxa"/>
            <w:tcBorders>
              <w:bottom w:val="single" w:sz="4" w:space="0" w:color="auto"/>
            </w:tcBorders>
            <w:shd w:val="clear" w:color="auto" w:fill="auto"/>
            <w:vAlign w:val="bottom"/>
          </w:tcPr>
          <w:p w14:paraId="54C50AB0" w14:textId="04969866" w:rsidR="00FA22FC" w:rsidRPr="002D2F67" w:rsidRDefault="00CD5714" w:rsidP="005611FE">
            <w:pPr>
              <w:ind w:right="-72"/>
              <w:contextualSpacing/>
              <w:jc w:val="right"/>
              <w:rPr>
                <w:rFonts w:ascii="Arial" w:hAnsi="Arial" w:cs="Arial"/>
                <w:color w:val="000000"/>
                <w:sz w:val="18"/>
                <w:szCs w:val="18"/>
              </w:rPr>
            </w:pPr>
            <w:r w:rsidRPr="00CD5714">
              <w:rPr>
                <w:rFonts w:ascii="Arial" w:hAnsi="Arial" w:cs="Arial"/>
                <w:color w:val="000000"/>
                <w:sz w:val="18"/>
                <w:szCs w:val="18"/>
                <w:lang w:val="en-GB"/>
              </w:rPr>
              <w:t>13</w:t>
            </w:r>
            <w:r w:rsidR="00FA22FC" w:rsidRPr="002D2F67">
              <w:rPr>
                <w:rFonts w:ascii="Arial" w:hAnsi="Arial" w:cs="Arial"/>
                <w:color w:val="000000"/>
                <w:sz w:val="18"/>
                <w:szCs w:val="18"/>
              </w:rPr>
              <w:t>,</w:t>
            </w:r>
            <w:r w:rsidRPr="00CD5714">
              <w:rPr>
                <w:rFonts w:ascii="Arial" w:hAnsi="Arial" w:cs="Arial"/>
                <w:color w:val="000000"/>
                <w:sz w:val="18"/>
                <w:szCs w:val="18"/>
                <w:lang w:val="en-GB"/>
              </w:rPr>
              <w:t>704</w:t>
            </w:r>
            <w:r w:rsidR="00FA22FC" w:rsidRPr="002D2F67">
              <w:rPr>
                <w:rFonts w:ascii="Arial" w:hAnsi="Arial" w:cs="Arial"/>
                <w:color w:val="000000"/>
                <w:sz w:val="18"/>
                <w:szCs w:val="18"/>
              </w:rPr>
              <w:t>,</w:t>
            </w:r>
            <w:r w:rsidRPr="00CD5714">
              <w:rPr>
                <w:rFonts w:ascii="Arial" w:hAnsi="Arial" w:cs="Arial"/>
                <w:color w:val="000000"/>
                <w:sz w:val="18"/>
                <w:szCs w:val="18"/>
                <w:lang w:val="en-GB"/>
              </w:rPr>
              <w:t>706</w:t>
            </w:r>
          </w:p>
        </w:tc>
        <w:tc>
          <w:tcPr>
            <w:tcW w:w="2318" w:type="dxa"/>
            <w:tcBorders>
              <w:bottom w:val="single" w:sz="4" w:space="0" w:color="auto"/>
            </w:tcBorders>
            <w:shd w:val="clear" w:color="auto" w:fill="auto"/>
            <w:vAlign w:val="bottom"/>
          </w:tcPr>
          <w:p w14:paraId="6B973DD2" w14:textId="1E4F024C" w:rsidR="00FA22FC" w:rsidRPr="002D2F67" w:rsidRDefault="00CD5714" w:rsidP="005611FE">
            <w:pPr>
              <w:ind w:right="-72"/>
              <w:contextualSpacing/>
              <w:jc w:val="right"/>
              <w:rPr>
                <w:rFonts w:ascii="Arial" w:hAnsi="Arial" w:cs="Arial"/>
                <w:color w:val="000000"/>
                <w:sz w:val="18"/>
                <w:szCs w:val="18"/>
              </w:rPr>
            </w:pPr>
            <w:r w:rsidRPr="00CD5714">
              <w:rPr>
                <w:rFonts w:ascii="Arial" w:hAnsi="Arial" w:cs="Arial"/>
                <w:color w:val="000000"/>
                <w:sz w:val="18"/>
                <w:szCs w:val="18"/>
                <w:lang w:val="en-GB"/>
              </w:rPr>
              <w:t>7</w:t>
            </w:r>
            <w:r w:rsidR="00FA22FC" w:rsidRPr="002D2F67">
              <w:rPr>
                <w:rFonts w:ascii="Arial" w:hAnsi="Arial" w:cs="Arial"/>
                <w:color w:val="000000"/>
                <w:sz w:val="18"/>
                <w:szCs w:val="18"/>
              </w:rPr>
              <w:t>,</w:t>
            </w:r>
            <w:r w:rsidRPr="00CD5714">
              <w:rPr>
                <w:rFonts w:ascii="Arial" w:hAnsi="Arial" w:cs="Arial"/>
                <w:color w:val="000000"/>
                <w:sz w:val="18"/>
                <w:szCs w:val="18"/>
                <w:lang w:val="en-GB"/>
              </w:rPr>
              <w:t>627</w:t>
            </w:r>
            <w:r w:rsidR="00FA22FC" w:rsidRPr="002D2F67">
              <w:rPr>
                <w:rFonts w:ascii="Arial" w:hAnsi="Arial" w:cs="Arial"/>
                <w:color w:val="000000"/>
                <w:sz w:val="18"/>
                <w:szCs w:val="18"/>
              </w:rPr>
              <w:t>,</w:t>
            </w:r>
            <w:r w:rsidRPr="00CD5714">
              <w:rPr>
                <w:rFonts w:ascii="Arial" w:hAnsi="Arial" w:cs="Arial"/>
                <w:color w:val="000000"/>
                <w:sz w:val="18"/>
                <w:szCs w:val="18"/>
                <w:lang w:val="en-GB"/>
              </w:rPr>
              <w:t>203</w:t>
            </w:r>
          </w:p>
        </w:tc>
        <w:tc>
          <w:tcPr>
            <w:tcW w:w="2321" w:type="dxa"/>
            <w:tcBorders>
              <w:bottom w:val="single" w:sz="4" w:space="0" w:color="auto"/>
            </w:tcBorders>
            <w:shd w:val="clear" w:color="auto" w:fill="auto"/>
            <w:vAlign w:val="bottom"/>
          </w:tcPr>
          <w:p w14:paraId="242B85C5" w14:textId="597979E7" w:rsidR="00FA22FC" w:rsidRPr="002D2F67" w:rsidRDefault="00CD5714" w:rsidP="005611FE">
            <w:pPr>
              <w:ind w:right="-72"/>
              <w:contextualSpacing/>
              <w:jc w:val="right"/>
              <w:rPr>
                <w:rFonts w:ascii="Arial" w:hAnsi="Arial" w:cs="Arial"/>
                <w:color w:val="000000"/>
                <w:sz w:val="18"/>
                <w:szCs w:val="18"/>
              </w:rPr>
            </w:pPr>
            <w:r w:rsidRPr="00CD5714">
              <w:rPr>
                <w:rFonts w:ascii="Arial" w:hAnsi="Arial" w:cs="Arial"/>
                <w:color w:val="000000"/>
                <w:sz w:val="18"/>
                <w:szCs w:val="18"/>
                <w:lang w:val="en-GB"/>
              </w:rPr>
              <w:t>6</w:t>
            </w:r>
            <w:r w:rsidR="00FA22FC" w:rsidRPr="002D2F67">
              <w:rPr>
                <w:rFonts w:ascii="Arial" w:hAnsi="Arial" w:cs="Arial"/>
                <w:color w:val="000000"/>
                <w:sz w:val="18"/>
                <w:szCs w:val="18"/>
              </w:rPr>
              <w:t>,</w:t>
            </w:r>
            <w:r w:rsidRPr="00CD5714">
              <w:rPr>
                <w:rFonts w:ascii="Arial" w:hAnsi="Arial" w:cs="Arial"/>
                <w:color w:val="000000"/>
                <w:sz w:val="18"/>
                <w:szCs w:val="18"/>
                <w:lang w:val="en-GB"/>
              </w:rPr>
              <w:t>954</w:t>
            </w:r>
            <w:r w:rsidR="00FA22FC" w:rsidRPr="002D2F67">
              <w:rPr>
                <w:rFonts w:ascii="Arial" w:hAnsi="Arial" w:cs="Arial"/>
                <w:color w:val="000000"/>
                <w:sz w:val="18"/>
                <w:szCs w:val="18"/>
              </w:rPr>
              <w:t>,</w:t>
            </w:r>
            <w:r w:rsidRPr="00CD5714">
              <w:rPr>
                <w:rFonts w:ascii="Arial" w:hAnsi="Arial" w:cs="Arial"/>
                <w:color w:val="000000"/>
                <w:sz w:val="18"/>
                <w:szCs w:val="18"/>
                <w:lang w:val="en-GB"/>
              </w:rPr>
              <w:t>498</w:t>
            </w:r>
          </w:p>
        </w:tc>
      </w:tr>
      <w:tr w:rsidR="00FA22FC" w:rsidRPr="002D2F67" w14:paraId="3DAD11B0" w14:textId="77777777" w:rsidTr="004F4DED">
        <w:trPr>
          <w:cantSplit/>
          <w:trHeight w:val="263"/>
        </w:trPr>
        <w:tc>
          <w:tcPr>
            <w:tcW w:w="4925" w:type="dxa"/>
            <w:shd w:val="clear" w:color="auto" w:fill="auto"/>
          </w:tcPr>
          <w:p w14:paraId="6EE5149C" w14:textId="77777777" w:rsidR="00FA22FC" w:rsidRPr="002D2F67" w:rsidRDefault="00FA22FC" w:rsidP="005611FE">
            <w:pPr>
              <w:ind w:left="-99" w:right="-72"/>
              <w:contextualSpacing/>
              <w:rPr>
                <w:rFonts w:ascii="Arial" w:hAnsi="Arial" w:cs="Arial"/>
                <w:color w:val="000000"/>
                <w:sz w:val="18"/>
                <w:szCs w:val="18"/>
              </w:rPr>
            </w:pPr>
          </w:p>
        </w:tc>
        <w:tc>
          <w:tcPr>
            <w:tcW w:w="2318" w:type="dxa"/>
            <w:tcBorders>
              <w:top w:val="single" w:sz="4" w:space="0" w:color="auto"/>
            </w:tcBorders>
            <w:shd w:val="clear" w:color="auto" w:fill="auto"/>
            <w:vAlign w:val="bottom"/>
          </w:tcPr>
          <w:p w14:paraId="6554AA7E" w14:textId="77777777" w:rsidR="00FA22FC" w:rsidRPr="002D2F67" w:rsidRDefault="00FA22FC" w:rsidP="005611FE">
            <w:pPr>
              <w:ind w:right="-72"/>
              <w:contextualSpacing/>
              <w:jc w:val="right"/>
              <w:rPr>
                <w:rFonts w:ascii="Arial" w:hAnsi="Arial" w:cs="Arial"/>
                <w:color w:val="000000"/>
                <w:sz w:val="18"/>
                <w:szCs w:val="18"/>
              </w:rPr>
            </w:pPr>
          </w:p>
        </w:tc>
        <w:tc>
          <w:tcPr>
            <w:tcW w:w="2378" w:type="dxa"/>
            <w:tcBorders>
              <w:top w:val="single" w:sz="4" w:space="0" w:color="auto"/>
            </w:tcBorders>
            <w:shd w:val="clear" w:color="auto" w:fill="auto"/>
            <w:vAlign w:val="bottom"/>
          </w:tcPr>
          <w:p w14:paraId="7C1D8D7E" w14:textId="77777777" w:rsidR="00FA22FC" w:rsidRPr="002D2F67" w:rsidRDefault="00FA22FC" w:rsidP="005611FE">
            <w:pPr>
              <w:ind w:right="-72"/>
              <w:contextualSpacing/>
              <w:jc w:val="right"/>
              <w:rPr>
                <w:rFonts w:ascii="Arial" w:hAnsi="Arial" w:cs="Arial"/>
                <w:color w:val="000000"/>
                <w:sz w:val="18"/>
                <w:szCs w:val="18"/>
              </w:rPr>
            </w:pPr>
          </w:p>
        </w:tc>
        <w:tc>
          <w:tcPr>
            <w:tcW w:w="2318" w:type="dxa"/>
            <w:tcBorders>
              <w:top w:val="single" w:sz="4" w:space="0" w:color="auto"/>
            </w:tcBorders>
            <w:shd w:val="clear" w:color="auto" w:fill="auto"/>
            <w:vAlign w:val="bottom"/>
          </w:tcPr>
          <w:p w14:paraId="6C828264" w14:textId="77777777" w:rsidR="00FA22FC" w:rsidRPr="002D2F67" w:rsidRDefault="00FA22FC" w:rsidP="005611FE">
            <w:pPr>
              <w:ind w:right="-72"/>
              <w:contextualSpacing/>
              <w:jc w:val="right"/>
              <w:rPr>
                <w:rFonts w:ascii="Arial" w:hAnsi="Arial" w:cs="Arial"/>
                <w:color w:val="000000"/>
                <w:sz w:val="18"/>
                <w:szCs w:val="18"/>
              </w:rPr>
            </w:pPr>
          </w:p>
        </w:tc>
        <w:tc>
          <w:tcPr>
            <w:tcW w:w="2321" w:type="dxa"/>
            <w:tcBorders>
              <w:top w:val="single" w:sz="4" w:space="0" w:color="auto"/>
            </w:tcBorders>
            <w:shd w:val="clear" w:color="auto" w:fill="auto"/>
            <w:vAlign w:val="bottom"/>
          </w:tcPr>
          <w:p w14:paraId="65D134E1" w14:textId="77777777" w:rsidR="00FA22FC" w:rsidRPr="002D2F67" w:rsidRDefault="00FA22FC" w:rsidP="005611FE">
            <w:pPr>
              <w:ind w:right="-72"/>
              <w:contextualSpacing/>
              <w:jc w:val="right"/>
              <w:rPr>
                <w:rFonts w:ascii="Arial" w:hAnsi="Arial" w:cs="Arial"/>
                <w:color w:val="000000"/>
                <w:sz w:val="18"/>
                <w:szCs w:val="18"/>
              </w:rPr>
            </w:pPr>
          </w:p>
        </w:tc>
      </w:tr>
      <w:tr w:rsidR="00FA22FC" w:rsidRPr="002D2F67" w14:paraId="449EA3EB" w14:textId="77777777" w:rsidTr="004F4DED">
        <w:trPr>
          <w:cantSplit/>
          <w:trHeight w:val="263"/>
        </w:trPr>
        <w:tc>
          <w:tcPr>
            <w:tcW w:w="4925" w:type="dxa"/>
            <w:shd w:val="clear" w:color="auto" w:fill="auto"/>
          </w:tcPr>
          <w:p w14:paraId="6381E23D" w14:textId="5063CBF6" w:rsidR="00FA22FC" w:rsidRPr="002D2F67" w:rsidRDefault="00FA22FC" w:rsidP="005611FE">
            <w:pPr>
              <w:ind w:left="-99" w:right="-72"/>
              <w:contextualSpacing/>
              <w:rPr>
                <w:rFonts w:ascii="Arial" w:hAnsi="Arial" w:cs="Arial"/>
                <w:color w:val="000000"/>
                <w:sz w:val="18"/>
                <w:szCs w:val="18"/>
              </w:rPr>
            </w:pPr>
            <w:r w:rsidRPr="002D2F67">
              <w:rPr>
                <w:rFonts w:ascii="Arial" w:hAnsi="Arial" w:cs="Arial"/>
                <w:color w:val="000000"/>
                <w:sz w:val="18"/>
                <w:szCs w:val="18"/>
              </w:rPr>
              <w:t>Total current net liabilities</w:t>
            </w:r>
          </w:p>
        </w:tc>
        <w:tc>
          <w:tcPr>
            <w:tcW w:w="2318" w:type="dxa"/>
            <w:tcBorders>
              <w:bottom w:val="single" w:sz="4" w:space="0" w:color="auto"/>
            </w:tcBorders>
            <w:shd w:val="clear" w:color="auto" w:fill="auto"/>
            <w:vAlign w:val="bottom"/>
          </w:tcPr>
          <w:p w14:paraId="08D122A5" w14:textId="37A0A258" w:rsidR="00FA22FC" w:rsidRPr="002D2F67" w:rsidRDefault="00FA22FC" w:rsidP="005611FE">
            <w:pPr>
              <w:ind w:right="-72"/>
              <w:contextualSpacing/>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10</w:t>
            </w:r>
            <w:r w:rsidRPr="002D2F67">
              <w:rPr>
                <w:rFonts w:ascii="Arial" w:hAnsi="Arial" w:cs="Arial"/>
                <w:color w:val="000000"/>
                <w:sz w:val="18"/>
                <w:szCs w:val="18"/>
              </w:rPr>
              <w:t>,</w:t>
            </w:r>
            <w:r w:rsidR="00CD5714" w:rsidRPr="00CD5714">
              <w:rPr>
                <w:rFonts w:ascii="Arial" w:hAnsi="Arial" w:cs="Arial"/>
                <w:color w:val="000000"/>
                <w:sz w:val="18"/>
                <w:szCs w:val="18"/>
                <w:lang w:val="en-GB"/>
              </w:rPr>
              <w:t>668</w:t>
            </w:r>
            <w:r w:rsidRPr="002D2F67">
              <w:rPr>
                <w:rFonts w:ascii="Arial" w:hAnsi="Arial" w:cs="Arial"/>
                <w:color w:val="000000"/>
                <w:sz w:val="18"/>
                <w:szCs w:val="18"/>
              </w:rPr>
              <w:t>,</w:t>
            </w:r>
            <w:r w:rsidR="00CD5714" w:rsidRPr="00CD5714">
              <w:rPr>
                <w:rFonts w:ascii="Arial" w:hAnsi="Arial" w:cs="Arial"/>
                <w:color w:val="000000"/>
                <w:sz w:val="18"/>
                <w:szCs w:val="18"/>
                <w:lang w:val="en-GB"/>
              </w:rPr>
              <w:t>152</w:t>
            </w:r>
            <w:r w:rsidRPr="002D2F67">
              <w:rPr>
                <w:rFonts w:ascii="Arial" w:hAnsi="Arial" w:cs="Arial"/>
                <w:color w:val="000000"/>
                <w:sz w:val="18"/>
                <w:szCs w:val="18"/>
              </w:rPr>
              <w:t>)</w:t>
            </w:r>
          </w:p>
        </w:tc>
        <w:tc>
          <w:tcPr>
            <w:tcW w:w="2378" w:type="dxa"/>
            <w:tcBorders>
              <w:bottom w:val="single" w:sz="4" w:space="0" w:color="auto"/>
            </w:tcBorders>
            <w:shd w:val="clear" w:color="auto" w:fill="auto"/>
            <w:vAlign w:val="bottom"/>
          </w:tcPr>
          <w:p w14:paraId="5A2AB74E" w14:textId="258081DF" w:rsidR="00FA22FC" w:rsidRPr="002D2F67" w:rsidRDefault="00FA22FC" w:rsidP="005611FE">
            <w:pPr>
              <w:ind w:right="-72"/>
              <w:contextualSpacing/>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6</w:t>
            </w:r>
            <w:r w:rsidRPr="002D2F67">
              <w:rPr>
                <w:rFonts w:ascii="Arial" w:hAnsi="Arial" w:cs="Arial"/>
                <w:color w:val="000000"/>
                <w:sz w:val="18"/>
                <w:szCs w:val="18"/>
              </w:rPr>
              <w:t>,</w:t>
            </w:r>
            <w:r w:rsidR="00CD5714" w:rsidRPr="00CD5714">
              <w:rPr>
                <w:rFonts w:ascii="Arial" w:hAnsi="Arial" w:cs="Arial"/>
                <w:color w:val="000000"/>
                <w:sz w:val="18"/>
                <w:szCs w:val="18"/>
                <w:lang w:val="en-GB"/>
              </w:rPr>
              <w:t>764</w:t>
            </w:r>
            <w:r w:rsidRPr="002D2F67">
              <w:rPr>
                <w:rFonts w:ascii="Arial" w:hAnsi="Arial" w:cs="Arial"/>
                <w:color w:val="000000"/>
                <w:sz w:val="18"/>
                <w:szCs w:val="18"/>
              </w:rPr>
              <w:t>,</w:t>
            </w:r>
            <w:r w:rsidR="00CD5714" w:rsidRPr="00CD5714">
              <w:rPr>
                <w:rFonts w:ascii="Arial" w:hAnsi="Arial" w:cs="Arial"/>
                <w:color w:val="000000"/>
                <w:sz w:val="18"/>
                <w:szCs w:val="18"/>
                <w:lang w:val="en-GB"/>
              </w:rPr>
              <w:t>663</w:t>
            </w:r>
            <w:r w:rsidRPr="002D2F67">
              <w:rPr>
                <w:rFonts w:ascii="Arial" w:hAnsi="Arial" w:cs="Arial"/>
                <w:color w:val="000000"/>
                <w:sz w:val="18"/>
                <w:szCs w:val="18"/>
              </w:rPr>
              <w:t>)</w:t>
            </w:r>
          </w:p>
        </w:tc>
        <w:tc>
          <w:tcPr>
            <w:tcW w:w="2318" w:type="dxa"/>
            <w:tcBorders>
              <w:bottom w:val="single" w:sz="4" w:space="0" w:color="auto"/>
            </w:tcBorders>
            <w:shd w:val="clear" w:color="auto" w:fill="auto"/>
            <w:vAlign w:val="bottom"/>
          </w:tcPr>
          <w:p w14:paraId="20E85D19" w14:textId="0D0A1B6C" w:rsidR="00FA22FC" w:rsidRPr="002D2F67" w:rsidRDefault="00FA22FC" w:rsidP="005611FE">
            <w:pPr>
              <w:ind w:right="-72"/>
              <w:contextualSpacing/>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w:t>
            </w:r>
            <w:r w:rsidRPr="002D2F67">
              <w:rPr>
                <w:rFonts w:ascii="Arial" w:hAnsi="Arial" w:cs="Arial"/>
                <w:color w:val="000000"/>
                <w:sz w:val="18"/>
                <w:szCs w:val="18"/>
              </w:rPr>
              <w:t>,</w:t>
            </w:r>
            <w:r w:rsidR="00CD5714" w:rsidRPr="00CD5714">
              <w:rPr>
                <w:rFonts w:ascii="Arial" w:hAnsi="Arial" w:cs="Arial"/>
                <w:color w:val="000000"/>
                <w:sz w:val="18"/>
                <w:szCs w:val="18"/>
                <w:lang w:val="en-GB"/>
              </w:rPr>
              <w:t>886</w:t>
            </w:r>
            <w:r w:rsidRPr="002D2F67">
              <w:rPr>
                <w:rFonts w:ascii="Arial" w:hAnsi="Arial" w:cs="Arial"/>
                <w:color w:val="000000"/>
                <w:sz w:val="18"/>
                <w:szCs w:val="18"/>
              </w:rPr>
              <w:t>,</w:t>
            </w:r>
            <w:r w:rsidR="00CD5714" w:rsidRPr="00CD5714">
              <w:rPr>
                <w:rFonts w:ascii="Arial" w:hAnsi="Arial" w:cs="Arial"/>
                <w:color w:val="000000"/>
                <w:sz w:val="18"/>
                <w:szCs w:val="18"/>
                <w:lang w:val="en-GB"/>
              </w:rPr>
              <w:t>457</w:t>
            </w:r>
            <w:r w:rsidRPr="002D2F67">
              <w:rPr>
                <w:rFonts w:ascii="Arial" w:hAnsi="Arial" w:cs="Arial"/>
                <w:color w:val="000000"/>
                <w:sz w:val="18"/>
                <w:szCs w:val="18"/>
              </w:rPr>
              <w:t>)</w:t>
            </w:r>
          </w:p>
        </w:tc>
        <w:tc>
          <w:tcPr>
            <w:tcW w:w="2321" w:type="dxa"/>
            <w:tcBorders>
              <w:bottom w:val="single" w:sz="4" w:space="0" w:color="auto"/>
            </w:tcBorders>
            <w:shd w:val="clear" w:color="auto" w:fill="auto"/>
            <w:vAlign w:val="bottom"/>
          </w:tcPr>
          <w:p w14:paraId="0D4849CC" w14:textId="57127402" w:rsidR="00FA22FC" w:rsidRPr="002D2F67" w:rsidRDefault="00FA22FC" w:rsidP="005611FE">
            <w:pPr>
              <w:ind w:right="-72"/>
              <w:contextualSpacing/>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44</w:t>
            </w:r>
            <w:r w:rsidRPr="002D2F67">
              <w:rPr>
                <w:rFonts w:ascii="Arial" w:hAnsi="Arial" w:cs="Arial"/>
                <w:color w:val="000000"/>
                <w:sz w:val="18"/>
                <w:szCs w:val="18"/>
              </w:rPr>
              <w:t>,</w:t>
            </w:r>
            <w:r w:rsidR="00CD5714" w:rsidRPr="00CD5714">
              <w:rPr>
                <w:rFonts w:ascii="Arial" w:hAnsi="Arial" w:cs="Arial"/>
                <w:color w:val="000000"/>
                <w:sz w:val="18"/>
                <w:szCs w:val="18"/>
                <w:lang w:val="en-GB"/>
              </w:rPr>
              <w:t>273</w:t>
            </w:r>
            <w:r w:rsidRPr="002D2F67">
              <w:rPr>
                <w:rFonts w:ascii="Arial" w:hAnsi="Arial" w:cs="Arial"/>
                <w:color w:val="000000"/>
                <w:sz w:val="18"/>
                <w:szCs w:val="18"/>
              </w:rPr>
              <w:t>)</w:t>
            </w:r>
          </w:p>
        </w:tc>
      </w:tr>
      <w:tr w:rsidR="00FA22FC" w:rsidRPr="002D2F67" w14:paraId="668EEDA2" w14:textId="77777777" w:rsidTr="004F4DED">
        <w:trPr>
          <w:cantSplit/>
          <w:trHeight w:val="251"/>
        </w:trPr>
        <w:tc>
          <w:tcPr>
            <w:tcW w:w="4925" w:type="dxa"/>
            <w:shd w:val="clear" w:color="auto" w:fill="auto"/>
          </w:tcPr>
          <w:p w14:paraId="15034F8E" w14:textId="77777777" w:rsidR="00FA22FC" w:rsidRPr="002D2F67" w:rsidRDefault="00FA22FC" w:rsidP="005611FE">
            <w:pPr>
              <w:ind w:left="-99" w:right="-72"/>
              <w:contextualSpacing/>
              <w:rPr>
                <w:rFonts w:ascii="Arial" w:hAnsi="Arial" w:cs="Arial"/>
                <w:color w:val="000000"/>
                <w:sz w:val="18"/>
                <w:szCs w:val="18"/>
                <w:cs/>
              </w:rPr>
            </w:pPr>
          </w:p>
        </w:tc>
        <w:tc>
          <w:tcPr>
            <w:tcW w:w="2318" w:type="dxa"/>
            <w:tcBorders>
              <w:top w:val="single" w:sz="4" w:space="0" w:color="auto"/>
            </w:tcBorders>
            <w:shd w:val="clear" w:color="auto" w:fill="auto"/>
            <w:vAlign w:val="bottom"/>
          </w:tcPr>
          <w:p w14:paraId="3B0FC49E" w14:textId="77777777" w:rsidR="00FA22FC" w:rsidRPr="002D2F67" w:rsidRDefault="00FA22FC" w:rsidP="005611FE">
            <w:pPr>
              <w:ind w:right="-72"/>
              <w:contextualSpacing/>
              <w:jc w:val="right"/>
              <w:rPr>
                <w:rFonts w:ascii="Arial" w:hAnsi="Arial" w:cs="Arial"/>
                <w:color w:val="000000"/>
                <w:sz w:val="18"/>
                <w:szCs w:val="18"/>
              </w:rPr>
            </w:pPr>
          </w:p>
        </w:tc>
        <w:tc>
          <w:tcPr>
            <w:tcW w:w="2378" w:type="dxa"/>
            <w:tcBorders>
              <w:top w:val="single" w:sz="4" w:space="0" w:color="auto"/>
            </w:tcBorders>
            <w:shd w:val="clear" w:color="auto" w:fill="auto"/>
            <w:vAlign w:val="bottom"/>
          </w:tcPr>
          <w:p w14:paraId="66F6A68E" w14:textId="77777777" w:rsidR="00FA22FC" w:rsidRPr="002D2F67" w:rsidRDefault="00FA22FC" w:rsidP="005611FE">
            <w:pPr>
              <w:ind w:right="-72"/>
              <w:contextualSpacing/>
              <w:jc w:val="right"/>
              <w:rPr>
                <w:rFonts w:ascii="Arial" w:hAnsi="Arial" w:cs="Arial"/>
                <w:color w:val="000000"/>
                <w:sz w:val="18"/>
                <w:szCs w:val="18"/>
              </w:rPr>
            </w:pPr>
          </w:p>
        </w:tc>
        <w:tc>
          <w:tcPr>
            <w:tcW w:w="2318" w:type="dxa"/>
            <w:tcBorders>
              <w:top w:val="single" w:sz="4" w:space="0" w:color="auto"/>
            </w:tcBorders>
            <w:shd w:val="clear" w:color="auto" w:fill="auto"/>
            <w:vAlign w:val="bottom"/>
          </w:tcPr>
          <w:p w14:paraId="3C4713D4" w14:textId="77777777" w:rsidR="00FA22FC" w:rsidRPr="002D2F67" w:rsidRDefault="00FA22FC" w:rsidP="005611FE">
            <w:pPr>
              <w:ind w:right="-72"/>
              <w:contextualSpacing/>
              <w:jc w:val="right"/>
              <w:rPr>
                <w:rFonts w:ascii="Arial" w:hAnsi="Arial" w:cs="Arial"/>
                <w:color w:val="000000"/>
                <w:sz w:val="18"/>
                <w:szCs w:val="18"/>
              </w:rPr>
            </w:pPr>
          </w:p>
        </w:tc>
        <w:tc>
          <w:tcPr>
            <w:tcW w:w="2321" w:type="dxa"/>
            <w:tcBorders>
              <w:top w:val="single" w:sz="4" w:space="0" w:color="auto"/>
            </w:tcBorders>
            <w:shd w:val="clear" w:color="auto" w:fill="auto"/>
            <w:vAlign w:val="bottom"/>
          </w:tcPr>
          <w:p w14:paraId="0DD084A9" w14:textId="77777777" w:rsidR="00FA22FC" w:rsidRPr="002D2F67" w:rsidRDefault="00FA22FC" w:rsidP="005611FE">
            <w:pPr>
              <w:ind w:right="-72"/>
              <w:contextualSpacing/>
              <w:jc w:val="right"/>
              <w:rPr>
                <w:rFonts w:ascii="Arial" w:hAnsi="Arial" w:cs="Arial"/>
                <w:color w:val="000000"/>
                <w:sz w:val="18"/>
                <w:szCs w:val="18"/>
              </w:rPr>
            </w:pPr>
          </w:p>
        </w:tc>
      </w:tr>
      <w:tr w:rsidR="00FA22FC" w:rsidRPr="002D2F67" w14:paraId="0C3F20E7" w14:textId="77777777" w:rsidTr="004F4DED">
        <w:trPr>
          <w:cantSplit/>
          <w:trHeight w:val="263"/>
        </w:trPr>
        <w:tc>
          <w:tcPr>
            <w:tcW w:w="4925" w:type="dxa"/>
            <w:shd w:val="clear" w:color="auto" w:fill="auto"/>
          </w:tcPr>
          <w:p w14:paraId="143F3D97" w14:textId="510D9496" w:rsidR="00FA22FC" w:rsidRPr="002D2F67" w:rsidRDefault="00FA22FC" w:rsidP="005611FE">
            <w:pPr>
              <w:ind w:left="-99" w:right="-72"/>
              <w:contextualSpacing/>
              <w:rPr>
                <w:rFonts w:ascii="Arial" w:hAnsi="Arial" w:cs="Arial"/>
                <w:color w:val="000000"/>
                <w:sz w:val="18"/>
                <w:szCs w:val="18"/>
              </w:rPr>
            </w:pPr>
            <w:r w:rsidRPr="002D2F67">
              <w:rPr>
                <w:rFonts w:ascii="Arial" w:hAnsi="Arial" w:cs="Arial"/>
                <w:color w:val="000000"/>
                <w:sz w:val="18"/>
                <w:szCs w:val="18"/>
              </w:rPr>
              <w:t>Non-current assets</w:t>
            </w:r>
          </w:p>
        </w:tc>
        <w:tc>
          <w:tcPr>
            <w:tcW w:w="2318" w:type="dxa"/>
            <w:shd w:val="clear" w:color="auto" w:fill="auto"/>
            <w:vAlign w:val="bottom"/>
          </w:tcPr>
          <w:p w14:paraId="592A863F" w14:textId="3D1A7C66" w:rsidR="00FA22FC" w:rsidRPr="002D2F67" w:rsidRDefault="00CD5714" w:rsidP="005611FE">
            <w:pPr>
              <w:ind w:right="-72"/>
              <w:contextualSpacing/>
              <w:jc w:val="right"/>
              <w:rPr>
                <w:rFonts w:ascii="Arial" w:hAnsi="Arial" w:cs="Arial"/>
                <w:color w:val="000000"/>
                <w:sz w:val="18"/>
                <w:szCs w:val="18"/>
                <w:cs/>
              </w:rPr>
            </w:pPr>
            <w:r w:rsidRPr="00CD5714">
              <w:rPr>
                <w:rFonts w:ascii="Arial" w:hAnsi="Arial" w:cs="Arial"/>
                <w:color w:val="000000"/>
                <w:sz w:val="18"/>
                <w:szCs w:val="18"/>
                <w:lang w:val="en-GB"/>
              </w:rPr>
              <w:t>9</w:t>
            </w:r>
            <w:r w:rsidR="00FA22FC" w:rsidRPr="002D2F67">
              <w:rPr>
                <w:rFonts w:ascii="Arial" w:hAnsi="Arial" w:cs="Arial"/>
                <w:color w:val="000000"/>
                <w:sz w:val="18"/>
                <w:szCs w:val="18"/>
              </w:rPr>
              <w:t>,</w:t>
            </w:r>
            <w:r w:rsidRPr="00CD5714">
              <w:rPr>
                <w:rFonts w:ascii="Arial" w:hAnsi="Arial" w:cs="Arial"/>
                <w:color w:val="000000"/>
                <w:sz w:val="18"/>
                <w:szCs w:val="18"/>
                <w:lang w:val="en-GB"/>
              </w:rPr>
              <w:t>532</w:t>
            </w:r>
            <w:r w:rsidR="00FA22FC" w:rsidRPr="002D2F67">
              <w:rPr>
                <w:rFonts w:ascii="Arial" w:hAnsi="Arial" w:cs="Arial"/>
                <w:color w:val="000000"/>
                <w:sz w:val="18"/>
                <w:szCs w:val="18"/>
              </w:rPr>
              <w:t>,</w:t>
            </w:r>
            <w:r w:rsidRPr="00CD5714">
              <w:rPr>
                <w:rFonts w:ascii="Arial" w:hAnsi="Arial" w:cs="Arial"/>
                <w:color w:val="000000"/>
                <w:sz w:val="18"/>
                <w:szCs w:val="18"/>
                <w:lang w:val="en-GB"/>
              </w:rPr>
              <w:t>526</w:t>
            </w:r>
          </w:p>
        </w:tc>
        <w:tc>
          <w:tcPr>
            <w:tcW w:w="2378" w:type="dxa"/>
            <w:shd w:val="clear" w:color="auto" w:fill="auto"/>
            <w:vAlign w:val="bottom"/>
          </w:tcPr>
          <w:p w14:paraId="4F6D0829" w14:textId="2C100145" w:rsidR="00FA22FC" w:rsidRPr="002D2F67" w:rsidRDefault="00CD5714" w:rsidP="005611FE">
            <w:pPr>
              <w:ind w:right="-72"/>
              <w:contextualSpacing/>
              <w:jc w:val="right"/>
              <w:rPr>
                <w:rFonts w:ascii="Arial" w:hAnsi="Arial" w:cs="Arial"/>
                <w:color w:val="000000"/>
                <w:sz w:val="18"/>
                <w:szCs w:val="18"/>
              </w:rPr>
            </w:pPr>
            <w:r w:rsidRPr="00CD5714">
              <w:rPr>
                <w:rFonts w:ascii="Arial" w:hAnsi="Arial" w:cs="Arial"/>
                <w:color w:val="000000"/>
                <w:sz w:val="18"/>
                <w:szCs w:val="18"/>
                <w:lang w:val="en-GB"/>
              </w:rPr>
              <w:t>9</w:t>
            </w:r>
            <w:r w:rsidR="00FA22FC" w:rsidRPr="002D2F67">
              <w:rPr>
                <w:rFonts w:ascii="Arial" w:hAnsi="Arial" w:cs="Arial"/>
                <w:color w:val="000000"/>
                <w:sz w:val="18"/>
                <w:szCs w:val="18"/>
              </w:rPr>
              <w:t>,</w:t>
            </w:r>
            <w:r w:rsidRPr="00CD5714">
              <w:rPr>
                <w:rFonts w:ascii="Arial" w:hAnsi="Arial" w:cs="Arial"/>
                <w:color w:val="000000"/>
                <w:sz w:val="18"/>
                <w:szCs w:val="18"/>
                <w:lang w:val="en-GB"/>
              </w:rPr>
              <w:t>582</w:t>
            </w:r>
            <w:r w:rsidR="00FA22FC" w:rsidRPr="002D2F67">
              <w:rPr>
                <w:rFonts w:ascii="Arial" w:hAnsi="Arial" w:cs="Arial"/>
                <w:color w:val="000000"/>
                <w:sz w:val="18"/>
                <w:szCs w:val="18"/>
              </w:rPr>
              <w:t>,</w:t>
            </w:r>
            <w:r w:rsidRPr="00CD5714">
              <w:rPr>
                <w:rFonts w:ascii="Arial" w:hAnsi="Arial" w:cs="Arial"/>
                <w:color w:val="000000"/>
                <w:sz w:val="18"/>
                <w:szCs w:val="18"/>
                <w:lang w:val="en-GB"/>
              </w:rPr>
              <w:t>661</w:t>
            </w:r>
          </w:p>
        </w:tc>
        <w:tc>
          <w:tcPr>
            <w:tcW w:w="2318" w:type="dxa"/>
            <w:shd w:val="clear" w:color="auto" w:fill="auto"/>
            <w:vAlign w:val="bottom"/>
          </w:tcPr>
          <w:p w14:paraId="6655F100" w14:textId="0BDEB0E6" w:rsidR="00FA22FC" w:rsidRPr="002D2F67" w:rsidRDefault="00CD5714" w:rsidP="005611FE">
            <w:pPr>
              <w:ind w:right="-72"/>
              <w:contextualSpacing/>
              <w:jc w:val="right"/>
              <w:rPr>
                <w:rFonts w:ascii="Arial" w:hAnsi="Arial" w:cs="Arial"/>
                <w:color w:val="000000"/>
                <w:sz w:val="18"/>
                <w:szCs w:val="18"/>
              </w:rPr>
            </w:pPr>
            <w:r w:rsidRPr="00CD5714">
              <w:rPr>
                <w:rFonts w:ascii="Arial" w:hAnsi="Arial" w:cs="Arial"/>
                <w:color w:val="000000"/>
                <w:sz w:val="18"/>
                <w:szCs w:val="18"/>
                <w:lang w:val="en-GB"/>
              </w:rPr>
              <w:t>2</w:t>
            </w:r>
            <w:r w:rsidR="00FA22FC" w:rsidRPr="002D2F67">
              <w:rPr>
                <w:rFonts w:ascii="Arial" w:hAnsi="Arial" w:cs="Arial"/>
                <w:color w:val="000000"/>
                <w:sz w:val="18"/>
                <w:szCs w:val="18"/>
              </w:rPr>
              <w:t>,</w:t>
            </w:r>
            <w:r w:rsidRPr="00CD5714">
              <w:rPr>
                <w:rFonts w:ascii="Arial" w:hAnsi="Arial" w:cs="Arial"/>
                <w:color w:val="000000"/>
                <w:sz w:val="18"/>
                <w:szCs w:val="18"/>
                <w:lang w:val="en-GB"/>
              </w:rPr>
              <w:t>908</w:t>
            </w:r>
            <w:r w:rsidR="00FA22FC" w:rsidRPr="002D2F67">
              <w:rPr>
                <w:rFonts w:ascii="Arial" w:hAnsi="Arial" w:cs="Arial"/>
                <w:color w:val="000000"/>
                <w:sz w:val="18"/>
                <w:szCs w:val="18"/>
              </w:rPr>
              <w:t>,</w:t>
            </w:r>
            <w:r w:rsidRPr="00CD5714">
              <w:rPr>
                <w:rFonts w:ascii="Arial" w:hAnsi="Arial" w:cs="Arial"/>
                <w:color w:val="000000"/>
                <w:sz w:val="18"/>
                <w:szCs w:val="18"/>
                <w:lang w:val="en-GB"/>
              </w:rPr>
              <w:t>765</w:t>
            </w:r>
          </w:p>
        </w:tc>
        <w:tc>
          <w:tcPr>
            <w:tcW w:w="2321" w:type="dxa"/>
            <w:shd w:val="clear" w:color="auto" w:fill="auto"/>
            <w:vAlign w:val="bottom"/>
          </w:tcPr>
          <w:p w14:paraId="0A0B8291" w14:textId="03106DF7" w:rsidR="00FA22FC" w:rsidRPr="002D2F67" w:rsidRDefault="00CD5714" w:rsidP="005611FE">
            <w:pPr>
              <w:ind w:right="-72"/>
              <w:contextualSpacing/>
              <w:jc w:val="right"/>
              <w:rPr>
                <w:rFonts w:ascii="Arial" w:hAnsi="Arial" w:cs="Arial"/>
                <w:color w:val="000000"/>
                <w:sz w:val="18"/>
                <w:szCs w:val="18"/>
              </w:rPr>
            </w:pPr>
            <w:r w:rsidRPr="00CD5714">
              <w:rPr>
                <w:rFonts w:ascii="Arial" w:hAnsi="Arial" w:cs="Arial"/>
                <w:color w:val="000000"/>
                <w:sz w:val="18"/>
                <w:szCs w:val="18"/>
                <w:lang w:val="en-GB"/>
              </w:rPr>
              <w:t>2</w:t>
            </w:r>
            <w:r w:rsidR="00FA22FC" w:rsidRPr="002D2F67">
              <w:rPr>
                <w:rFonts w:ascii="Arial" w:hAnsi="Arial" w:cs="Arial"/>
                <w:color w:val="000000"/>
                <w:sz w:val="18"/>
                <w:szCs w:val="18"/>
              </w:rPr>
              <w:t>,</w:t>
            </w:r>
            <w:r w:rsidRPr="00CD5714">
              <w:rPr>
                <w:rFonts w:ascii="Arial" w:hAnsi="Arial" w:cs="Arial"/>
                <w:color w:val="000000"/>
                <w:sz w:val="18"/>
                <w:szCs w:val="18"/>
                <w:lang w:val="en-GB"/>
              </w:rPr>
              <w:t>716</w:t>
            </w:r>
            <w:r w:rsidR="00FA22FC" w:rsidRPr="002D2F67">
              <w:rPr>
                <w:rFonts w:ascii="Arial" w:hAnsi="Arial" w:cs="Arial"/>
                <w:color w:val="000000"/>
                <w:sz w:val="18"/>
                <w:szCs w:val="18"/>
              </w:rPr>
              <w:t>,</w:t>
            </w:r>
            <w:r w:rsidRPr="00CD5714">
              <w:rPr>
                <w:rFonts w:ascii="Arial" w:hAnsi="Arial" w:cs="Arial"/>
                <w:color w:val="000000"/>
                <w:sz w:val="18"/>
                <w:szCs w:val="18"/>
                <w:lang w:val="en-GB"/>
              </w:rPr>
              <w:t>749</w:t>
            </w:r>
          </w:p>
        </w:tc>
      </w:tr>
      <w:tr w:rsidR="00FA22FC" w:rsidRPr="002D2F67" w14:paraId="69A916FD" w14:textId="77777777" w:rsidTr="004F4DED">
        <w:trPr>
          <w:cantSplit/>
          <w:trHeight w:val="263"/>
        </w:trPr>
        <w:tc>
          <w:tcPr>
            <w:tcW w:w="4925" w:type="dxa"/>
            <w:shd w:val="clear" w:color="auto" w:fill="auto"/>
          </w:tcPr>
          <w:p w14:paraId="6CDDEBB2" w14:textId="4E314592" w:rsidR="00FA22FC" w:rsidRPr="002D2F67" w:rsidRDefault="00FA22FC" w:rsidP="005611FE">
            <w:pPr>
              <w:ind w:left="-99" w:right="-72"/>
              <w:contextualSpacing/>
              <w:rPr>
                <w:rFonts w:ascii="Arial" w:hAnsi="Arial" w:cs="Arial"/>
                <w:color w:val="000000"/>
                <w:sz w:val="18"/>
                <w:szCs w:val="18"/>
              </w:rPr>
            </w:pPr>
            <w:r w:rsidRPr="002D2F67">
              <w:rPr>
                <w:rFonts w:ascii="Arial" w:hAnsi="Arial" w:cs="Arial"/>
                <w:color w:val="000000"/>
                <w:sz w:val="18"/>
                <w:szCs w:val="18"/>
              </w:rPr>
              <w:t>Non-current liabilities</w:t>
            </w:r>
          </w:p>
        </w:tc>
        <w:tc>
          <w:tcPr>
            <w:tcW w:w="2318" w:type="dxa"/>
            <w:tcBorders>
              <w:bottom w:val="single" w:sz="4" w:space="0" w:color="auto"/>
            </w:tcBorders>
            <w:shd w:val="clear" w:color="auto" w:fill="auto"/>
            <w:vAlign w:val="bottom"/>
          </w:tcPr>
          <w:p w14:paraId="18A80B32" w14:textId="3822D923" w:rsidR="00FA22FC" w:rsidRPr="002D2F67" w:rsidRDefault="00CD5714" w:rsidP="005611FE">
            <w:pPr>
              <w:ind w:right="-72"/>
              <w:contextualSpacing/>
              <w:jc w:val="right"/>
              <w:rPr>
                <w:rFonts w:ascii="Arial" w:hAnsi="Arial" w:cs="Arial"/>
                <w:color w:val="000000"/>
                <w:sz w:val="18"/>
                <w:szCs w:val="18"/>
              </w:rPr>
            </w:pPr>
            <w:r w:rsidRPr="00CD5714">
              <w:rPr>
                <w:rFonts w:ascii="Arial" w:hAnsi="Arial" w:cs="Arial"/>
                <w:color w:val="000000"/>
                <w:sz w:val="18"/>
                <w:szCs w:val="18"/>
                <w:lang w:val="en-GB"/>
              </w:rPr>
              <w:t>1</w:t>
            </w:r>
            <w:r w:rsidR="00FA22FC" w:rsidRPr="002D2F67">
              <w:rPr>
                <w:rFonts w:ascii="Arial" w:hAnsi="Arial" w:cs="Arial"/>
                <w:color w:val="000000"/>
                <w:sz w:val="18"/>
                <w:szCs w:val="18"/>
              </w:rPr>
              <w:t>,</w:t>
            </w:r>
            <w:r w:rsidRPr="00CD5714">
              <w:rPr>
                <w:rFonts w:ascii="Arial" w:hAnsi="Arial" w:cs="Arial"/>
                <w:color w:val="000000"/>
                <w:sz w:val="18"/>
                <w:szCs w:val="18"/>
                <w:lang w:val="en-GB"/>
              </w:rPr>
              <w:t>926</w:t>
            </w:r>
            <w:r w:rsidR="00FA22FC" w:rsidRPr="002D2F67">
              <w:rPr>
                <w:rFonts w:ascii="Arial" w:hAnsi="Arial" w:cs="Arial"/>
                <w:color w:val="000000"/>
                <w:sz w:val="18"/>
                <w:szCs w:val="18"/>
              </w:rPr>
              <w:t>,</w:t>
            </w:r>
            <w:r w:rsidRPr="00CD5714">
              <w:rPr>
                <w:rFonts w:ascii="Arial" w:hAnsi="Arial" w:cs="Arial"/>
                <w:color w:val="000000"/>
                <w:sz w:val="18"/>
                <w:szCs w:val="18"/>
                <w:lang w:val="en-GB"/>
              </w:rPr>
              <w:t>722</w:t>
            </w:r>
          </w:p>
        </w:tc>
        <w:tc>
          <w:tcPr>
            <w:tcW w:w="2378" w:type="dxa"/>
            <w:tcBorders>
              <w:bottom w:val="single" w:sz="4" w:space="0" w:color="auto"/>
            </w:tcBorders>
            <w:shd w:val="clear" w:color="auto" w:fill="auto"/>
            <w:vAlign w:val="bottom"/>
          </w:tcPr>
          <w:p w14:paraId="01C236A3" w14:textId="45B62507" w:rsidR="00FA22FC" w:rsidRPr="002D2F67" w:rsidRDefault="00CD5714" w:rsidP="005611FE">
            <w:pPr>
              <w:ind w:right="-72"/>
              <w:contextualSpacing/>
              <w:jc w:val="right"/>
              <w:rPr>
                <w:rFonts w:ascii="Arial" w:hAnsi="Arial" w:cs="Arial"/>
                <w:color w:val="000000"/>
                <w:sz w:val="18"/>
                <w:szCs w:val="18"/>
              </w:rPr>
            </w:pPr>
            <w:r w:rsidRPr="00CD5714">
              <w:rPr>
                <w:rFonts w:ascii="Arial" w:hAnsi="Arial" w:cs="Arial"/>
                <w:color w:val="000000"/>
                <w:sz w:val="18"/>
                <w:szCs w:val="18"/>
                <w:lang w:val="en-GB"/>
              </w:rPr>
              <w:t>782</w:t>
            </w:r>
            <w:r w:rsidR="00FA22FC" w:rsidRPr="002D2F67">
              <w:rPr>
                <w:rFonts w:ascii="Arial" w:hAnsi="Arial" w:cs="Arial"/>
                <w:color w:val="000000"/>
                <w:sz w:val="18"/>
                <w:szCs w:val="18"/>
              </w:rPr>
              <w:t>,</w:t>
            </w:r>
            <w:r w:rsidRPr="00CD5714">
              <w:rPr>
                <w:rFonts w:ascii="Arial" w:hAnsi="Arial" w:cs="Arial"/>
                <w:color w:val="000000"/>
                <w:sz w:val="18"/>
                <w:szCs w:val="18"/>
                <w:lang w:val="en-GB"/>
              </w:rPr>
              <w:t>506</w:t>
            </w:r>
          </w:p>
        </w:tc>
        <w:tc>
          <w:tcPr>
            <w:tcW w:w="2318" w:type="dxa"/>
            <w:tcBorders>
              <w:bottom w:val="single" w:sz="4" w:space="0" w:color="auto"/>
            </w:tcBorders>
            <w:shd w:val="clear" w:color="auto" w:fill="auto"/>
            <w:vAlign w:val="bottom"/>
          </w:tcPr>
          <w:p w14:paraId="63FD7607" w14:textId="07260259" w:rsidR="00FA22FC" w:rsidRPr="002D2F67" w:rsidRDefault="00CD5714" w:rsidP="005611FE">
            <w:pPr>
              <w:ind w:right="-72"/>
              <w:contextualSpacing/>
              <w:jc w:val="right"/>
              <w:rPr>
                <w:rFonts w:ascii="Arial" w:hAnsi="Arial" w:cs="Arial"/>
                <w:color w:val="000000"/>
                <w:sz w:val="18"/>
                <w:szCs w:val="18"/>
              </w:rPr>
            </w:pPr>
            <w:r w:rsidRPr="00CD5714">
              <w:rPr>
                <w:rFonts w:ascii="Arial" w:hAnsi="Arial" w:cs="Arial"/>
                <w:color w:val="000000"/>
                <w:sz w:val="18"/>
                <w:szCs w:val="18"/>
                <w:lang w:val="en-GB"/>
              </w:rPr>
              <w:t>646</w:t>
            </w:r>
            <w:r w:rsidR="00FA22FC" w:rsidRPr="002D2F67">
              <w:rPr>
                <w:rFonts w:ascii="Arial" w:hAnsi="Arial" w:cs="Arial"/>
                <w:color w:val="000000"/>
                <w:sz w:val="18"/>
                <w:szCs w:val="18"/>
              </w:rPr>
              <w:t>,</w:t>
            </w:r>
            <w:r w:rsidRPr="00CD5714">
              <w:rPr>
                <w:rFonts w:ascii="Arial" w:hAnsi="Arial" w:cs="Arial"/>
                <w:color w:val="000000"/>
                <w:sz w:val="18"/>
                <w:szCs w:val="18"/>
                <w:lang w:val="en-GB"/>
              </w:rPr>
              <w:t>106</w:t>
            </w:r>
          </w:p>
        </w:tc>
        <w:tc>
          <w:tcPr>
            <w:tcW w:w="2321" w:type="dxa"/>
            <w:tcBorders>
              <w:bottom w:val="single" w:sz="4" w:space="0" w:color="auto"/>
            </w:tcBorders>
            <w:shd w:val="clear" w:color="auto" w:fill="auto"/>
            <w:vAlign w:val="bottom"/>
          </w:tcPr>
          <w:p w14:paraId="0DA5C669" w14:textId="51242AD0" w:rsidR="00FA22FC" w:rsidRPr="002D2F67" w:rsidRDefault="00CD5714" w:rsidP="005611FE">
            <w:pPr>
              <w:ind w:right="-72"/>
              <w:contextualSpacing/>
              <w:jc w:val="right"/>
              <w:rPr>
                <w:rFonts w:ascii="Arial" w:hAnsi="Arial" w:cs="Arial"/>
                <w:color w:val="000000"/>
                <w:sz w:val="18"/>
                <w:szCs w:val="18"/>
              </w:rPr>
            </w:pPr>
            <w:r w:rsidRPr="00CD5714">
              <w:rPr>
                <w:rFonts w:ascii="Arial" w:hAnsi="Arial" w:cs="Arial"/>
                <w:color w:val="000000"/>
                <w:sz w:val="18"/>
                <w:szCs w:val="18"/>
                <w:lang w:val="en-GB"/>
              </w:rPr>
              <w:t>8</w:t>
            </w:r>
            <w:r w:rsidR="00FA22FC" w:rsidRPr="002D2F67">
              <w:rPr>
                <w:rFonts w:ascii="Arial" w:hAnsi="Arial" w:cs="Arial"/>
                <w:color w:val="000000"/>
                <w:sz w:val="18"/>
                <w:szCs w:val="18"/>
              </w:rPr>
              <w:t>,</w:t>
            </w:r>
            <w:r w:rsidRPr="00CD5714">
              <w:rPr>
                <w:rFonts w:ascii="Arial" w:hAnsi="Arial" w:cs="Arial"/>
                <w:color w:val="000000"/>
                <w:sz w:val="18"/>
                <w:szCs w:val="18"/>
                <w:lang w:val="en-GB"/>
              </w:rPr>
              <w:t>271</w:t>
            </w:r>
          </w:p>
        </w:tc>
      </w:tr>
      <w:tr w:rsidR="00FA22FC" w:rsidRPr="002D2F67" w14:paraId="4604C475" w14:textId="77777777" w:rsidTr="004F4DED">
        <w:trPr>
          <w:cantSplit/>
          <w:trHeight w:val="251"/>
        </w:trPr>
        <w:tc>
          <w:tcPr>
            <w:tcW w:w="4925" w:type="dxa"/>
            <w:shd w:val="clear" w:color="auto" w:fill="auto"/>
          </w:tcPr>
          <w:p w14:paraId="5E07168A" w14:textId="77777777" w:rsidR="00FA22FC" w:rsidRPr="002D2F67" w:rsidRDefault="00FA22FC" w:rsidP="005611FE">
            <w:pPr>
              <w:ind w:left="-99" w:right="-72"/>
              <w:contextualSpacing/>
              <w:rPr>
                <w:rFonts w:ascii="Arial" w:hAnsi="Arial" w:cs="Arial"/>
                <w:color w:val="000000"/>
                <w:sz w:val="18"/>
                <w:szCs w:val="18"/>
              </w:rPr>
            </w:pPr>
          </w:p>
        </w:tc>
        <w:tc>
          <w:tcPr>
            <w:tcW w:w="2318" w:type="dxa"/>
            <w:tcBorders>
              <w:top w:val="single" w:sz="4" w:space="0" w:color="auto"/>
            </w:tcBorders>
            <w:shd w:val="clear" w:color="auto" w:fill="auto"/>
            <w:vAlign w:val="bottom"/>
          </w:tcPr>
          <w:p w14:paraId="50F887FF" w14:textId="77777777" w:rsidR="00FA22FC" w:rsidRPr="002D2F67" w:rsidRDefault="00FA22FC" w:rsidP="005611FE">
            <w:pPr>
              <w:ind w:right="-72"/>
              <w:contextualSpacing/>
              <w:jc w:val="right"/>
              <w:rPr>
                <w:rFonts w:ascii="Arial" w:hAnsi="Arial" w:cs="Arial"/>
                <w:color w:val="000000"/>
                <w:sz w:val="18"/>
                <w:szCs w:val="18"/>
              </w:rPr>
            </w:pPr>
          </w:p>
        </w:tc>
        <w:tc>
          <w:tcPr>
            <w:tcW w:w="2378" w:type="dxa"/>
            <w:tcBorders>
              <w:top w:val="single" w:sz="4" w:space="0" w:color="auto"/>
            </w:tcBorders>
            <w:shd w:val="clear" w:color="auto" w:fill="auto"/>
            <w:vAlign w:val="bottom"/>
          </w:tcPr>
          <w:p w14:paraId="69860FA3" w14:textId="77777777" w:rsidR="00FA22FC" w:rsidRPr="002D2F67" w:rsidRDefault="00FA22FC" w:rsidP="005611FE">
            <w:pPr>
              <w:ind w:right="-72"/>
              <w:contextualSpacing/>
              <w:jc w:val="right"/>
              <w:rPr>
                <w:rFonts w:ascii="Arial" w:hAnsi="Arial" w:cs="Arial"/>
                <w:color w:val="000000"/>
                <w:sz w:val="18"/>
                <w:szCs w:val="18"/>
              </w:rPr>
            </w:pPr>
          </w:p>
        </w:tc>
        <w:tc>
          <w:tcPr>
            <w:tcW w:w="2318" w:type="dxa"/>
            <w:tcBorders>
              <w:top w:val="single" w:sz="4" w:space="0" w:color="auto"/>
            </w:tcBorders>
            <w:shd w:val="clear" w:color="auto" w:fill="auto"/>
            <w:vAlign w:val="bottom"/>
          </w:tcPr>
          <w:p w14:paraId="7FB794F1" w14:textId="77777777" w:rsidR="00FA22FC" w:rsidRPr="002D2F67" w:rsidRDefault="00FA22FC" w:rsidP="005611FE">
            <w:pPr>
              <w:ind w:right="-72"/>
              <w:contextualSpacing/>
              <w:jc w:val="right"/>
              <w:rPr>
                <w:rFonts w:ascii="Arial" w:hAnsi="Arial" w:cs="Arial"/>
                <w:color w:val="000000"/>
                <w:sz w:val="18"/>
                <w:szCs w:val="18"/>
                <w:cs/>
              </w:rPr>
            </w:pPr>
          </w:p>
        </w:tc>
        <w:tc>
          <w:tcPr>
            <w:tcW w:w="2321" w:type="dxa"/>
            <w:tcBorders>
              <w:top w:val="single" w:sz="4" w:space="0" w:color="auto"/>
            </w:tcBorders>
            <w:shd w:val="clear" w:color="auto" w:fill="auto"/>
            <w:vAlign w:val="bottom"/>
          </w:tcPr>
          <w:p w14:paraId="40D9E700" w14:textId="77777777" w:rsidR="00FA22FC" w:rsidRPr="002D2F67" w:rsidRDefault="00FA22FC" w:rsidP="005611FE">
            <w:pPr>
              <w:ind w:right="-72"/>
              <w:contextualSpacing/>
              <w:jc w:val="right"/>
              <w:rPr>
                <w:rFonts w:ascii="Arial" w:hAnsi="Arial" w:cs="Arial"/>
                <w:color w:val="000000"/>
                <w:sz w:val="18"/>
                <w:szCs w:val="18"/>
              </w:rPr>
            </w:pPr>
          </w:p>
        </w:tc>
      </w:tr>
      <w:tr w:rsidR="00FA22FC" w:rsidRPr="002D2F67" w14:paraId="34EEACD4" w14:textId="77777777" w:rsidTr="004F4DED">
        <w:trPr>
          <w:cantSplit/>
          <w:trHeight w:val="263"/>
        </w:trPr>
        <w:tc>
          <w:tcPr>
            <w:tcW w:w="4925" w:type="dxa"/>
            <w:shd w:val="clear" w:color="auto" w:fill="auto"/>
          </w:tcPr>
          <w:p w14:paraId="16E3C7BF" w14:textId="01364677" w:rsidR="00FA22FC" w:rsidRPr="002D2F67" w:rsidRDefault="00FA22FC" w:rsidP="005611FE">
            <w:pPr>
              <w:ind w:left="-99" w:right="-72"/>
              <w:contextualSpacing/>
              <w:rPr>
                <w:rFonts w:ascii="Arial" w:hAnsi="Arial" w:cs="Arial"/>
                <w:color w:val="000000"/>
                <w:sz w:val="18"/>
                <w:szCs w:val="18"/>
                <w:cs/>
              </w:rPr>
            </w:pPr>
            <w:r w:rsidRPr="002D2F67">
              <w:rPr>
                <w:rFonts w:ascii="Arial" w:hAnsi="Arial" w:cs="Arial"/>
                <w:color w:val="000000"/>
                <w:sz w:val="18"/>
                <w:szCs w:val="18"/>
              </w:rPr>
              <w:t>Total non-current net assets</w:t>
            </w:r>
          </w:p>
        </w:tc>
        <w:tc>
          <w:tcPr>
            <w:tcW w:w="2318" w:type="dxa"/>
            <w:tcBorders>
              <w:bottom w:val="single" w:sz="4" w:space="0" w:color="auto"/>
            </w:tcBorders>
            <w:shd w:val="clear" w:color="auto" w:fill="auto"/>
            <w:vAlign w:val="bottom"/>
          </w:tcPr>
          <w:p w14:paraId="3B72AA14" w14:textId="440DABC2" w:rsidR="00FA22FC" w:rsidRPr="002D2F67" w:rsidRDefault="00CD5714" w:rsidP="005611FE">
            <w:pPr>
              <w:ind w:right="-72"/>
              <w:contextualSpacing/>
              <w:jc w:val="right"/>
              <w:rPr>
                <w:rFonts w:ascii="Arial" w:hAnsi="Arial" w:cs="Arial"/>
                <w:color w:val="000000"/>
                <w:sz w:val="18"/>
                <w:szCs w:val="18"/>
              </w:rPr>
            </w:pPr>
            <w:r w:rsidRPr="00CD5714">
              <w:rPr>
                <w:rFonts w:ascii="Arial" w:hAnsi="Arial" w:cs="Arial"/>
                <w:color w:val="000000"/>
                <w:sz w:val="18"/>
                <w:szCs w:val="18"/>
                <w:lang w:val="en-GB"/>
              </w:rPr>
              <w:t>7</w:t>
            </w:r>
            <w:r w:rsidR="00FA22FC" w:rsidRPr="002D2F67">
              <w:rPr>
                <w:rFonts w:ascii="Arial" w:hAnsi="Arial" w:cs="Arial"/>
                <w:color w:val="000000"/>
                <w:sz w:val="18"/>
                <w:szCs w:val="18"/>
              </w:rPr>
              <w:t>,</w:t>
            </w:r>
            <w:r w:rsidRPr="00CD5714">
              <w:rPr>
                <w:rFonts w:ascii="Arial" w:hAnsi="Arial" w:cs="Arial"/>
                <w:color w:val="000000"/>
                <w:sz w:val="18"/>
                <w:szCs w:val="18"/>
                <w:lang w:val="en-GB"/>
              </w:rPr>
              <w:t>605</w:t>
            </w:r>
            <w:r w:rsidR="00FA22FC" w:rsidRPr="002D2F67">
              <w:rPr>
                <w:rFonts w:ascii="Arial" w:hAnsi="Arial" w:cs="Arial"/>
                <w:color w:val="000000"/>
                <w:sz w:val="18"/>
                <w:szCs w:val="18"/>
              </w:rPr>
              <w:t>,</w:t>
            </w:r>
            <w:r w:rsidRPr="00CD5714">
              <w:rPr>
                <w:rFonts w:ascii="Arial" w:hAnsi="Arial" w:cs="Arial"/>
                <w:color w:val="000000"/>
                <w:sz w:val="18"/>
                <w:szCs w:val="18"/>
                <w:lang w:val="en-GB"/>
              </w:rPr>
              <w:t>804</w:t>
            </w:r>
          </w:p>
        </w:tc>
        <w:tc>
          <w:tcPr>
            <w:tcW w:w="2378" w:type="dxa"/>
            <w:tcBorders>
              <w:bottom w:val="single" w:sz="4" w:space="0" w:color="auto"/>
            </w:tcBorders>
            <w:shd w:val="clear" w:color="auto" w:fill="auto"/>
            <w:vAlign w:val="bottom"/>
          </w:tcPr>
          <w:p w14:paraId="38F383E1" w14:textId="009C09F9" w:rsidR="00FA22FC" w:rsidRPr="002D2F67" w:rsidRDefault="00CD5714" w:rsidP="005611FE">
            <w:pPr>
              <w:ind w:right="-72"/>
              <w:contextualSpacing/>
              <w:jc w:val="right"/>
              <w:rPr>
                <w:rFonts w:ascii="Arial" w:hAnsi="Arial" w:cs="Arial"/>
                <w:color w:val="000000"/>
                <w:sz w:val="18"/>
                <w:szCs w:val="18"/>
              </w:rPr>
            </w:pPr>
            <w:r w:rsidRPr="00CD5714">
              <w:rPr>
                <w:rFonts w:ascii="Arial" w:hAnsi="Arial" w:cs="Arial"/>
                <w:color w:val="000000"/>
                <w:sz w:val="18"/>
                <w:szCs w:val="18"/>
                <w:lang w:val="en-GB"/>
              </w:rPr>
              <w:t>8</w:t>
            </w:r>
            <w:r w:rsidR="00FA22FC" w:rsidRPr="002D2F67">
              <w:rPr>
                <w:rFonts w:ascii="Arial" w:hAnsi="Arial" w:cs="Arial"/>
                <w:color w:val="000000"/>
                <w:sz w:val="18"/>
                <w:szCs w:val="18"/>
              </w:rPr>
              <w:t>,</w:t>
            </w:r>
            <w:r w:rsidRPr="00CD5714">
              <w:rPr>
                <w:rFonts w:ascii="Arial" w:hAnsi="Arial" w:cs="Arial"/>
                <w:color w:val="000000"/>
                <w:sz w:val="18"/>
                <w:szCs w:val="18"/>
                <w:lang w:val="en-GB"/>
              </w:rPr>
              <w:t>800</w:t>
            </w:r>
            <w:r w:rsidR="00FA22FC" w:rsidRPr="002D2F67">
              <w:rPr>
                <w:rFonts w:ascii="Arial" w:hAnsi="Arial" w:cs="Arial"/>
                <w:color w:val="000000"/>
                <w:sz w:val="18"/>
                <w:szCs w:val="18"/>
              </w:rPr>
              <w:t>,</w:t>
            </w:r>
            <w:r w:rsidRPr="00CD5714">
              <w:rPr>
                <w:rFonts w:ascii="Arial" w:hAnsi="Arial" w:cs="Arial"/>
                <w:color w:val="000000"/>
                <w:sz w:val="18"/>
                <w:szCs w:val="18"/>
                <w:lang w:val="en-GB"/>
              </w:rPr>
              <w:t>155</w:t>
            </w:r>
          </w:p>
        </w:tc>
        <w:tc>
          <w:tcPr>
            <w:tcW w:w="2318" w:type="dxa"/>
            <w:tcBorders>
              <w:bottom w:val="single" w:sz="4" w:space="0" w:color="auto"/>
            </w:tcBorders>
            <w:shd w:val="clear" w:color="auto" w:fill="auto"/>
            <w:vAlign w:val="bottom"/>
          </w:tcPr>
          <w:p w14:paraId="60F43C58" w14:textId="535DA333" w:rsidR="00FA22FC" w:rsidRPr="002D2F67" w:rsidRDefault="00CD5714" w:rsidP="005611FE">
            <w:pPr>
              <w:ind w:right="-72"/>
              <w:contextualSpacing/>
              <w:jc w:val="right"/>
              <w:rPr>
                <w:rFonts w:ascii="Arial" w:hAnsi="Arial" w:cs="Arial"/>
                <w:color w:val="000000"/>
                <w:sz w:val="18"/>
                <w:szCs w:val="18"/>
                <w:cs/>
              </w:rPr>
            </w:pPr>
            <w:r w:rsidRPr="00CD5714">
              <w:rPr>
                <w:rFonts w:ascii="Arial" w:hAnsi="Arial" w:cs="Arial"/>
                <w:color w:val="000000"/>
                <w:sz w:val="18"/>
                <w:szCs w:val="18"/>
                <w:lang w:val="en-GB"/>
              </w:rPr>
              <w:t>2</w:t>
            </w:r>
            <w:r w:rsidR="00FA22FC" w:rsidRPr="002D2F67">
              <w:rPr>
                <w:rFonts w:ascii="Arial" w:hAnsi="Arial" w:cs="Arial"/>
                <w:color w:val="000000"/>
                <w:sz w:val="18"/>
                <w:szCs w:val="18"/>
              </w:rPr>
              <w:t>,</w:t>
            </w:r>
            <w:r w:rsidRPr="00CD5714">
              <w:rPr>
                <w:rFonts w:ascii="Arial" w:hAnsi="Arial" w:cs="Arial"/>
                <w:color w:val="000000"/>
                <w:sz w:val="18"/>
                <w:szCs w:val="18"/>
                <w:lang w:val="en-GB"/>
              </w:rPr>
              <w:t>262</w:t>
            </w:r>
            <w:r w:rsidR="00FA22FC" w:rsidRPr="002D2F67">
              <w:rPr>
                <w:rFonts w:ascii="Arial" w:hAnsi="Arial" w:cs="Arial"/>
                <w:color w:val="000000"/>
                <w:sz w:val="18"/>
                <w:szCs w:val="18"/>
              </w:rPr>
              <w:t>,</w:t>
            </w:r>
            <w:r w:rsidRPr="00CD5714">
              <w:rPr>
                <w:rFonts w:ascii="Arial" w:hAnsi="Arial" w:cs="Arial"/>
                <w:color w:val="000000"/>
                <w:sz w:val="18"/>
                <w:szCs w:val="18"/>
                <w:lang w:val="en-GB"/>
              </w:rPr>
              <w:t>659</w:t>
            </w:r>
          </w:p>
        </w:tc>
        <w:tc>
          <w:tcPr>
            <w:tcW w:w="2321" w:type="dxa"/>
            <w:tcBorders>
              <w:bottom w:val="single" w:sz="4" w:space="0" w:color="auto"/>
            </w:tcBorders>
            <w:shd w:val="clear" w:color="auto" w:fill="auto"/>
            <w:vAlign w:val="bottom"/>
          </w:tcPr>
          <w:p w14:paraId="14BBE03A" w14:textId="5F92B4E7" w:rsidR="00FA22FC" w:rsidRPr="002D2F67" w:rsidRDefault="00CD5714" w:rsidP="005611FE">
            <w:pPr>
              <w:ind w:right="-72"/>
              <w:contextualSpacing/>
              <w:jc w:val="right"/>
              <w:rPr>
                <w:rFonts w:ascii="Arial" w:hAnsi="Arial" w:cs="Arial"/>
                <w:color w:val="000000"/>
                <w:sz w:val="18"/>
                <w:szCs w:val="18"/>
              </w:rPr>
            </w:pPr>
            <w:r w:rsidRPr="00CD5714">
              <w:rPr>
                <w:rFonts w:ascii="Arial" w:hAnsi="Arial" w:cs="Arial"/>
                <w:color w:val="000000"/>
                <w:sz w:val="18"/>
                <w:szCs w:val="18"/>
                <w:lang w:val="en-GB"/>
              </w:rPr>
              <w:t>2</w:t>
            </w:r>
            <w:r w:rsidR="00FA22FC" w:rsidRPr="002D2F67">
              <w:rPr>
                <w:rFonts w:ascii="Arial" w:hAnsi="Arial" w:cs="Arial"/>
                <w:color w:val="000000"/>
                <w:sz w:val="18"/>
                <w:szCs w:val="18"/>
              </w:rPr>
              <w:t>,</w:t>
            </w:r>
            <w:r w:rsidRPr="00CD5714">
              <w:rPr>
                <w:rFonts w:ascii="Arial" w:hAnsi="Arial" w:cs="Arial"/>
                <w:color w:val="000000"/>
                <w:sz w:val="18"/>
                <w:szCs w:val="18"/>
                <w:lang w:val="en-GB"/>
              </w:rPr>
              <w:t>708</w:t>
            </w:r>
            <w:r w:rsidR="00FA22FC" w:rsidRPr="002D2F67">
              <w:rPr>
                <w:rFonts w:ascii="Arial" w:hAnsi="Arial" w:cs="Arial"/>
                <w:color w:val="000000"/>
                <w:sz w:val="18"/>
                <w:szCs w:val="18"/>
              </w:rPr>
              <w:t>,</w:t>
            </w:r>
            <w:r w:rsidRPr="00CD5714">
              <w:rPr>
                <w:rFonts w:ascii="Arial" w:hAnsi="Arial" w:cs="Arial"/>
                <w:color w:val="000000"/>
                <w:sz w:val="18"/>
                <w:szCs w:val="18"/>
                <w:lang w:val="en-GB"/>
              </w:rPr>
              <w:t>478</w:t>
            </w:r>
          </w:p>
        </w:tc>
      </w:tr>
      <w:tr w:rsidR="00FA22FC" w:rsidRPr="002D2F67" w14:paraId="743C8EB4" w14:textId="77777777" w:rsidTr="004F4DED">
        <w:trPr>
          <w:cantSplit/>
          <w:trHeight w:val="263"/>
        </w:trPr>
        <w:tc>
          <w:tcPr>
            <w:tcW w:w="4925" w:type="dxa"/>
            <w:shd w:val="clear" w:color="auto" w:fill="auto"/>
          </w:tcPr>
          <w:p w14:paraId="436915FC" w14:textId="77777777" w:rsidR="00FA22FC" w:rsidRPr="002D2F67" w:rsidRDefault="00FA22FC" w:rsidP="005611FE">
            <w:pPr>
              <w:ind w:left="-99" w:right="-72"/>
              <w:contextualSpacing/>
              <w:rPr>
                <w:rFonts w:ascii="Arial" w:hAnsi="Arial" w:cs="Arial"/>
                <w:color w:val="000000"/>
                <w:sz w:val="18"/>
                <w:szCs w:val="18"/>
                <w:cs/>
              </w:rPr>
            </w:pPr>
          </w:p>
        </w:tc>
        <w:tc>
          <w:tcPr>
            <w:tcW w:w="2318" w:type="dxa"/>
            <w:tcBorders>
              <w:top w:val="single" w:sz="4" w:space="0" w:color="auto"/>
            </w:tcBorders>
            <w:shd w:val="clear" w:color="auto" w:fill="auto"/>
            <w:vAlign w:val="bottom"/>
          </w:tcPr>
          <w:p w14:paraId="317D3DA3" w14:textId="77777777" w:rsidR="00FA22FC" w:rsidRPr="002D2F67" w:rsidRDefault="00FA22FC" w:rsidP="005611FE">
            <w:pPr>
              <w:ind w:right="-72"/>
              <w:contextualSpacing/>
              <w:jc w:val="right"/>
              <w:rPr>
                <w:rFonts w:ascii="Arial" w:hAnsi="Arial" w:cs="Arial"/>
                <w:color w:val="000000"/>
                <w:sz w:val="18"/>
                <w:szCs w:val="18"/>
              </w:rPr>
            </w:pPr>
          </w:p>
        </w:tc>
        <w:tc>
          <w:tcPr>
            <w:tcW w:w="2378" w:type="dxa"/>
            <w:tcBorders>
              <w:top w:val="single" w:sz="4" w:space="0" w:color="auto"/>
            </w:tcBorders>
            <w:shd w:val="clear" w:color="auto" w:fill="auto"/>
            <w:vAlign w:val="bottom"/>
          </w:tcPr>
          <w:p w14:paraId="2CB26EEE" w14:textId="77777777" w:rsidR="00FA22FC" w:rsidRPr="002D2F67" w:rsidRDefault="00FA22FC" w:rsidP="005611FE">
            <w:pPr>
              <w:ind w:right="-72"/>
              <w:contextualSpacing/>
              <w:jc w:val="right"/>
              <w:rPr>
                <w:rFonts w:ascii="Arial" w:hAnsi="Arial" w:cs="Arial"/>
                <w:color w:val="000000"/>
                <w:sz w:val="18"/>
                <w:szCs w:val="18"/>
              </w:rPr>
            </w:pPr>
          </w:p>
        </w:tc>
        <w:tc>
          <w:tcPr>
            <w:tcW w:w="2318" w:type="dxa"/>
            <w:tcBorders>
              <w:top w:val="single" w:sz="4" w:space="0" w:color="auto"/>
            </w:tcBorders>
            <w:shd w:val="clear" w:color="auto" w:fill="auto"/>
            <w:vAlign w:val="bottom"/>
          </w:tcPr>
          <w:p w14:paraId="6F45A8D4" w14:textId="77777777" w:rsidR="00FA22FC" w:rsidRPr="002D2F67" w:rsidRDefault="00FA22FC" w:rsidP="005611FE">
            <w:pPr>
              <w:ind w:right="-72"/>
              <w:contextualSpacing/>
              <w:jc w:val="right"/>
              <w:rPr>
                <w:rFonts w:ascii="Arial" w:hAnsi="Arial" w:cs="Arial"/>
                <w:color w:val="000000"/>
                <w:sz w:val="18"/>
                <w:szCs w:val="18"/>
              </w:rPr>
            </w:pPr>
          </w:p>
        </w:tc>
        <w:tc>
          <w:tcPr>
            <w:tcW w:w="2321" w:type="dxa"/>
            <w:tcBorders>
              <w:top w:val="single" w:sz="4" w:space="0" w:color="auto"/>
            </w:tcBorders>
            <w:shd w:val="clear" w:color="auto" w:fill="auto"/>
            <w:vAlign w:val="bottom"/>
          </w:tcPr>
          <w:p w14:paraId="5E6ACD97" w14:textId="77777777" w:rsidR="00FA22FC" w:rsidRPr="002D2F67" w:rsidRDefault="00FA22FC" w:rsidP="005611FE">
            <w:pPr>
              <w:ind w:right="-72"/>
              <w:contextualSpacing/>
              <w:jc w:val="right"/>
              <w:rPr>
                <w:rFonts w:ascii="Arial" w:hAnsi="Arial" w:cs="Arial"/>
                <w:color w:val="000000"/>
                <w:sz w:val="18"/>
                <w:szCs w:val="18"/>
              </w:rPr>
            </w:pPr>
          </w:p>
        </w:tc>
      </w:tr>
      <w:tr w:rsidR="00FA22FC" w:rsidRPr="002D2F67" w14:paraId="5F67C834" w14:textId="77777777" w:rsidTr="004F4DED">
        <w:trPr>
          <w:cantSplit/>
          <w:trHeight w:val="251"/>
        </w:trPr>
        <w:tc>
          <w:tcPr>
            <w:tcW w:w="4925" w:type="dxa"/>
            <w:shd w:val="clear" w:color="auto" w:fill="auto"/>
          </w:tcPr>
          <w:p w14:paraId="523B9643" w14:textId="42FBE18C" w:rsidR="00FA22FC" w:rsidRPr="002D2F67" w:rsidRDefault="00FA22FC" w:rsidP="005611FE">
            <w:pPr>
              <w:ind w:left="-99" w:right="-72"/>
              <w:contextualSpacing/>
              <w:rPr>
                <w:rFonts w:ascii="Arial" w:hAnsi="Arial" w:cs="Arial"/>
                <w:color w:val="000000"/>
                <w:sz w:val="18"/>
                <w:szCs w:val="18"/>
              </w:rPr>
            </w:pPr>
            <w:r w:rsidRPr="002D2F67">
              <w:rPr>
                <w:rFonts w:ascii="Arial" w:hAnsi="Arial" w:cs="Arial"/>
                <w:color w:val="000000"/>
                <w:sz w:val="18"/>
                <w:szCs w:val="18"/>
              </w:rPr>
              <w:t>Net assets</w:t>
            </w:r>
          </w:p>
        </w:tc>
        <w:tc>
          <w:tcPr>
            <w:tcW w:w="2318" w:type="dxa"/>
            <w:tcBorders>
              <w:bottom w:val="single" w:sz="4" w:space="0" w:color="auto"/>
            </w:tcBorders>
            <w:shd w:val="clear" w:color="auto" w:fill="auto"/>
            <w:vAlign w:val="bottom"/>
          </w:tcPr>
          <w:p w14:paraId="53006061" w14:textId="305882C8" w:rsidR="00FA22FC" w:rsidRPr="002D2F67" w:rsidRDefault="00FA22FC" w:rsidP="005611FE">
            <w:pPr>
              <w:ind w:right="-72"/>
              <w:contextualSpacing/>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3</w:t>
            </w:r>
            <w:r w:rsidRPr="002D2F67">
              <w:rPr>
                <w:rFonts w:ascii="Arial" w:hAnsi="Arial" w:cs="Arial"/>
                <w:color w:val="000000"/>
                <w:sz w:val="18"/>
                <w:szCs w:val="18"/>
              </w:rPr>
              <w:t>,</w:t>
            </w:r>
            <w:r w:rsidR="00CD5714" w:rsidRPr="00CD5714">
              <w:rPr>
                <w:rFonts w:ascii="Arial" w:hAnsi="Arial" w:cs="Arial"/>
                <w:color w:val="000000"/>
                <w:sz w:val="18"/>
                <w:szCs w:val="18"/>
                <w:lang w:val="en-GB"/>
              </w:rPr>
              <w:t>062</w:t>
            </w:r>
            <w:r w:rsidRPr="002D2F67">
              <w:rPr>
                <w:rFonts w:ascii="Arial" w:hAnsi="Arial" w:cs="Arial"/>
                <w:color w:val="000000"/>
                <w:sz w:val="18"/>
                <w:szCs w:val="18"/>
              </w:rPr>
              <w:t>,</w:t>
            </w:r>
            <w:r w:rsidR="00CD5714" w:rsidRPr="00CD5714">
              <w:rPr>
                <w:rFonts w:ascii="Arial" w:hAnsi="Arial" w:cs="Arial"/>
                <w:color w:val="000000"/>
                <w:sz w:val="18"/>
                <w:szCs w:val="18"/>
                <w:lang w:val="en-GB"/>
              </w:rPr>
              <w:t>348</w:t>
            </w:r>
            <w:r w:rsidRPr="002D2F67">
              <w:rPr>
                <w:rFonts w:ascii="Arial" w:hAnsi="Arial" w:cs="Arial"/>
                <w:color w:val="000000"/>
                <w:sz w:val="18"/>
                <w:szCs w:val="18"/>
              </w:rPr>
              <w:t>)</w:t>
            </w:r>
          </w:p>
        </w:tc>
        <w:tc>
          <w:tcPr>
            <w:tcW w:w="2378" w:type="dxa"/>
            <w:tcBorders>
              <w:bottom w:val="single" w:sz="4" w:space="0" w:color="auto"/>
            </w:tcBorders>
            <w:shd w:val="clear" w:color="auto" w:fill="auto"/>
            <w:vAlign w:val="bottom"/>
          </w:tcPr>
          <w:p w14:paraId="507E537C" w14:textId="2F75C4D0" w:rsidR="00FA22FC" w:rsidRPr="002D2F67" w:rsidRDefault="00CD5714" w:rsidP="005611FE">
            <w:pPr>
              <w:ind w:right="-72"/>
              <w:contextualSpacing/>
              <w:jc w:val="right"/>
              <w:rPr>
                <w:rFonts w:ascii="Arial" w:hAnsi="Arial" w:cs="Arial"/>
                <w:color w:val="000000"/>
                <w:sz w:val="18"/>
                <w:szCs w:val="18"/>
              </w:rPr>
            </w:pPr>
            <w:r w:rsidRPr="00CD5714">
              <w:rPr>
                <w:rFonts w:ascii="Arial" w:hAnsi="Arial" w:cs="Arial"/>
                <w:color w:val="000000"/>
                <w:sz w:val="18"/>
                <w:szCs w:val="18"/>
                <w:lang w:val="en-GB"/>
              </w:rPr>
              <w:t>2</w:t>
            </w:r>
            <w:r w:rsidR="00FA22FC" w:rsidRPr="002D2F67">
              <w:rPr>
                <w:rFonts w:ascii="Arial" w:hAnsi="Arial" w:cs="Arial"/>
                <w:color w:val="000000"/>
                <w:sz w:val="18"/>
                <w:szCs w:val="18"/>
              </w:rPr>
              <w:t>,</w:t>
            </w:r>
            <w:r w:rsidRPr="00CD5714">
              <w:rPr>
                <w:rFonts w:ascii="Arial" w:hAnsi="Arial" w:cs="Arial"/>
                <w:color w:val="000000"/>
                <w:sz w:val="18"/>
                <w:szCs w:val="18"/>
                <w:lang w:val="en-GB"/>
              </w:rPr>
              <w:t>035</w:t>
            </w:r>
            <w:r w:rsidR="00FA22FC" w:rsidRPr="002D2F67">
              <w:rPr>
                <w:rFonts w:ascii="Arial" w:hAnsi="Arial" w:cs="Arial"/>
                <w:color w:val="000000"/>
                <w:sz w:val="18"/>
                <w:szCs w:val="18"/>
              </w:rPr>
              <w:t>,</w:t>
            </w:r>
            <w:r w:rsidRPr="00CD5714">
              <w:rPr>
                <w:rFonts w:ascii="Arial" w:hAnsi="Arial" w:cs="Arial"/>
                <w:color w:val="000000"/>
                <w:sz w:val="18"/>
                <w:szCs w:val="18"/>
                <w:lang w:val="en-GB"/>
              </w:rPr>
              <w:t>492</w:t>
            </w:r>
          </w:p>
        </w:tc>
        <w:tc>
          <w:tcPr>
            <w:tcW w:w="2318" w:type="dxa"/>
            <w:tcBorders>
              <w:bottom w:val="single" w:sz="4" w:space="0" w:color="auto"/>
            </w:tcBorders>
            <w:shd w:val="clear" w:color="auto" w:fill="auto"/>
            <w:vAlign w:val="bottom"/>
          </w:tcPr>
          <w:p w14:paraId="18D0C766" w14:textId="33CEDEF1" w:rsidR="00FA22FC" w:rsidRPr="002D2F67" w:rsidRDefault="00CD5714" w:rsidP="005611FE">
            <w:pPr>
              <w:ind w:right="-72"/>
              <w:contextualSpacing/>
              <w:jc w:val="right"/>
              <w:rPr>
                <w:rFonts w:ascii="Arial" w:hAnsi="Arial" w:cs="Arial"/>
                <w:color w:val="000000"/>
                <w:sz w:val="18"/>
                <w:szCs w:val="18"/>
              </w:rPr>
            </w:pPr>
            <w:r w:rsidRPr="00CD5714">
              <w:rPr>
                <w:rFonts w:ascii="Arial" w:hAnsi="Arial" w:cs="Arial"/>
                <w:color w:val="000000"/>
                <w:sz w:val="18"/>
                <w:szCs w:val="18"/>
                <w:lang w:val="en-GB"/>
              </w:rPr>
              <w:t>376</w:t>
            </w:r>
            <w:r w:rsidR="00FA22FC" w:rsidRPr="002D2F67">
              <w:rPr>
                <w:rFonts w:ascii="Arial" w:hAnsi="Arial" w:cs="Arial"/>
                <w:color w:val="000000"/>
                <w:sz w:val="18"/>
                <w:szCs w:val="18"/>
              </w:rPr>
              <w:t>,</w:t>
            </w:r>
            <w:r w:rsidRPr="00CD5714">
              <w:rPr>
                <w:rFonts w:ascii="Arial" w:hAnsi="Arial" w:cs="Arial"/>
                <w:color w:val="000000"/>
                <w:sz w:val="18"/>
                <w:szCs w:val="18"/>
                <w:lang w:val="en-GB"/>
              </w:rPr>
              <w:t>202</w:t>
            </w:r>
          </w:p>
        </w:tc>
        <w:tc>
          <w:tcPr>
            <w:tcW w:w="2321" w:type="dxa"/>
            <w:tcBorders>
              <w:bottom w:val="single" w:sz="4" w:space="0" w:color="auto"/>
            </w:tcBorders>
            <w:shd w:val="clear" w:color="auto" w:fill="auto"/>
            <w:vAlign w:val="bottom"/>
          </w:tcPr>
          <w:p w14:paraId="1C7E5BD7" w14:textId="31123AF8" w:rsidR="00FA22FC" w:rsidRPr="002D2F67" w:rsidRDefault="00CD5714" w:rsidP="005611FE">
            <w:pPr>
              <w:ind w:right="-72"/>
              <w:contextualSpacing/>
              <w:jc w:val="right"/>
              <w:rPr>
                <w:rFonts w:ascii="Arial" w:hAnsi="Arial" w:cs="Arial"/>
                <w:color w:val="000000"/>
                <w:sz w:val="18"/>
                <w:szCs w:val="18"/>
              </w:rPr>
            </w:pPr>
            <w:r w:rsidRPr="00CD5714">
              <w:rPr>
                <w:rFonts w:ascii="Arial" w:hAnsi="Arial" w:cs="Arial"/>
                <w:color w:val="000000"/>
                <w:sz w:val="18"/>
                <w:szCs w:val="18"/>
                <w:lang w:val="en-GB"/>
              </w:rPr>
              <w:t>2</w:t>
            </w:r>
            <w:r w:rsidR="00FA22FC" w:rsidRPr="002D2F67">
              <w:rPr>
                <w:rFonts w:ascii="Arial" w:hAnsi="Arial" w:cs="Arial"/>
                <w:color w:val="000000"/>
                <w:sz w:val="18"/>
                <w:szCs w:val="18"/>
              </w:rPr>
              <w:t>,</w:t>
            </w:r>
            <w:r w:rsidRPr="00CD5714">
              <w:rPr>
                <w:rFonts w:ascii="Arial" w:hAnsi="Arial" w:cs="Arial"/>
                <w:color w:val="000000"/>
                <w:sz w:val="18"/>
                <w:szCs w:val="18"/>
                <w:lang w:val="en-GB"/>
              </w:rPr>
              <w:t>664</w:t>
            </w:r>
            <w:r w:rsidR="00FA22FC" w:rsidRPr="002D2F67">
              <w:rPr>
                <w:rFonts w:ascii="Arial" w:hAnsi="Arial" w:cs="Arial"/>
                <w:color w:val="000000"/>
                <w:sz w:val="18"/>
                <w:szCs w:val="18"/>
              </w:rPr>
              <w:t>,</w:t>
            </w:r>
            <w:r w:rsidRPr="00CD5714">
              <w:rPr>
                <w:rFonts w:ascii="Arial" w:hAnsi="Arial" w:cs="Arial"/>
                <w:color w:val="000000"/>
                <w:sz w:val="18"/>
                <w:szCs w:val="18"/>
                <w:lang w:val="en-GB"/>
              </w:rPr>
              <w:t>205</w:t>
            </w:r>
          </w:p>
        </w:tc>
      </w:tr>
      <w:tr w:rsidR="00FA22FC" w:rsidRPr="002D2F67" w14:paraId="05F9EFF9" w14:textId="77777777" w:rsidTr="004F4DED">
        <w:trPr>
          <w:cantSplit/>
          <w:trHeight w:val="263"/>
        </w:trPr>
        <w:tc>
          <w:tcPr>
            <w:tcW w:w="4925" w:type="dxa"/>
            <w:shd w:val="clear" w:color="auto" w:fill="auto"/>
          </w:tcPr>
          <w:p w14:paraId="2B7869BA" w14:textId="77777777" w:rsidR="00FA22FC" w:rsidRPr="002D2F67" w:rsidRDefault="00FA22FC" w:rsidP="005611FE">
            <w:pPr>
              <w:ind w:left="-99" w:right="-72"/>
              <w:contextualSpacing/>
              <w:rPr>
                <w:rFonts w:ascii="Arial" w:hAnsi="Arial" w:cs="Arial"/>
                <w:color w:val="000000"/>
                <w:sz w:val="18"/>
                <w:szCs w:val="18"/>
                <w:cs/>
              </w:rPr>
            </w:pPr>
          </w:p>
        </w:tc>
        <w:tc>
          <w:tcPr>
            <w:tcW w:w="2318" w:type="dxa"/>
            <w:tcBorders>
              <w:top w:val="single" w:sz="4" w:space="0" w:color="auto"/>
            </w:tcBorders>
            <w:shd w:val="clear" w:color="auto" w:fill="auto"/>
            <w:vAlign w:val="bottom"/>
          </w:tcPr>
          <w:p w14:paraId="457CE18E" w14:textId="77777777" w:rsidR="00FA22FC" w:rsidRPr="002D2F67" w:rsidRDefault="00FA22FC" w:rsidP="005611FE">
            <w:pPr>
              <w:ind w:right="-72"/>
              <w:contextualSpacing/>
              <w:jc w:val="right"/>
              <w:rPr>
                <w:rFonts w:ascii="Arial" w:hAnsi="Arial" w:cs="Arial"/>
                <w:color w:val="000000"/>
                <w:sz w:val="18"/>
                <w:szCs w:val="18"/>
              </w:rPr>
            </w:pPr>
          </w:p>
        </w:tc>
        <w:tc>
          <w:tcPr>
            <w:tcW w:w="2378" w:type="dxa"/>
            <w:tcBorders>
              <w:top w:val="single" w:sz="4" w:space="0" w:color="auto"/>
            </w:tcBorders>
            <w:shd w:val="clear" w:color="auto" w:fill="auto"/>
            <w:vAlign w:val="bottom"/>
          </w:tcPr>
          <w:p w14:paraId="62E5EE62" w14:textId="77777777" w:rsidR="00FA22FC" w:rsidRPr="002D2F67" w:rsidRDefault="00FA22FC" w:rsidP="005611FE">
            <w:pPr>
              <w:ind w:right="-72"/>
              <w:contextualSpacing/>
              <w:jc w:val="right"/>
              <w:rPr>
                <w:rFonts w:ascii="Arial" w:hAnsi="Arial" w:cs="Arial"/>
                <w:color w:val="000000"/>
                <w:sz w:val="18"/>
                <w:szCs w:val="18"/>
              </w:rPr>
            </w:pPr>
          </w:p>
        </w:tc>
        <w:tc>
          <w:tcPr>
            <w:tcW w:w="2318" w:type="dxa"/>
            <w:tcBorders>
              <w:top w:val="single" w:sz="4" w:space="0" w:color="auto"/>
            </w:tcBorders>
            <w:shd w:val="clear" w:color="auto" w:fill="auto"/>
            <w:vAlign w:val="bottom"/>
          </w:tcPr>
          <w:p w14:paraId="08C576EC" w14:textId="77777777" w:rsidR="00FA22FC" w:rsidRPr="002D2F67" w:rsidRDefault="00FA22FC" w:rsidP="005611FE">
            <w:pPr>
              <w:ind w:right="-72"/>
              <w:contextualSpacing/>
              <w:jc w:val="right"/>
              <w:rPr>
                <w:rFonts w:ascii="Arial" w:hAnsi="Arial" w:cs="Arial"/>
                <w:color w:val="000000"/>
                <w:sz w:val="18"/>
                <w:szCs w:val="18"/>
              </w:rPr>
            </w:pPr>
          </w:p>
        </w:tc>
        <w:tc>
          <w:tcPr>
            <w:tcW w:w="2321" w:type="dxa"/>
            <w:tcBorders>
              <w:top w:val="single" w:sz="4" w:space="0" w:color="auto"/>
            </w:tcBorders>
            <w:shd w:val="clear" w:color="auto" w:fill="auto"/>
            <w:vAlign w:val="bottom"/>
          </w:tcPr>
          <w:p w14:paraId="1A6FF249" w14:textId="77777777" w:rsidR="00FA22FC" w:rsidRPr="002D2F67" w:rsidRDefault="00FA22FC" w:rsidP="005611FE">
            <w:pPr>
              <w:ind w:right="-72"/>
              <w:contextualSpacing/>
              <w:jc w:val="right"/>
              <w:rPr>
                <w:rFonts w:ascii="Arial" w:hAnsi="Arial" w:cs="Arial"/>
                <w:color w:val="000000"/>
                <w:sz w:val="18"/>
                <w:szCs w:val="18"/>
              </w:rPr>
            </w:pPr>
          </w:p>
        </w:tc>
      </w:tr>
      <w:tr w:rsidR="00FA22FC" w:rsidRPr="002D2F67" w14:paraId="532F3827" w14:textId="77777777" w:rsidTr="004F4DED">
        <w:trPr>
          <w:cantSplit/>
          <w:trHeight w:val="263"/>
        </w:trPr>
        <w:tc>
          <w:tcPr>
            <w:tcW w:w="4925" w:type="dxa"/>
            <w:shd w:val="clear" w:color="auto" w:fill="auto"/>
          </w:tcPr>
          <w:p w14:paraId="6077D1FC" w14:textId="7F6A8230" w:rsidR="00FA22FC" w:rsidRPr="002D2F67" w:rsidRDefault="00FA22FC" w:rsidP="005611FE">
            <w:pPr>
              <w:ind w:left="-99" w:right="-72"/>
              <w:contextualSpacing/>
              <w:rPr>
                <w:rFonts w:ascii="Arial" w:hAnsi="Arial" w:cs="Arial"/>
                <w:color w:val="000000"/>
                <w:sz w:val="18"/>
                <w:szCs w:val="18"/>
                <w:cs/>
              </w:rPr>
            </w:pPr>
            <w:r w:rsidRPr="002D2F67">
              <w:rPr>
                <w:rFonts w:ascii="Arial" w:hAnsi="Arial" w:cs="Arial"/>
                <w:color w:val="000000"/>
                <w:sz w:val="18"/>
                <w:szCs w:val="18"/>
              </w:rPr>
              <w:t>Non-controlling interests</w:t>
            </w:r>
          </w:p>
        </w:tc>
        <w:tc>
          <w:tcPr>
            <w:tcW w:w="2318" w:type="dxa"/>
            <w:tcBorders>
              <w:bottom w:val="single" w:sz="4" w:space="0" w:color="auto"/>
            </w:tcBorders>
            <w:shd w:val="clear" w:color="auto" w:fill="auto"/>
            <w:vAlign w:val="bottom"/>
          </w:tcPr>
          <w:p w14:paraId="6FBFA907" w14:textId="720BECB8" w:rsidR="00FA22FC" w:rsidRPr="002D2F67" w:rsidRDefault="00FA22FC" w:rsidP="005611FE">
            <w:pPr>
              <w:ind w:right="-72"/>
              <w:contextualSpacing/>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881</w:t>
            </w:r>
            <w:r w:rsidRPr="002D2F67">
              <w:rPr>
                <w:rFonts w:ascii="Arial" w:hAnsi="Arial" w:cs="Arial"/>
                <w:color w:val="000000"/>
                <w:sz w:val="18"/>
                <w:szCs w:val="18"/>
              </w:rPr>
              <w:t>,</w:t>
            </w:r>
            <w:r w:rsidR="00CD5714" w:rsidRPr="00CD5714">
              <w:rPr>
                <w:rFonts w:ascii="Arial" w:hAnsi="Arial" w:cs="Arial"/>
                <w:color w:val="000000"/>
                <w:sz w:val="18"/>
                <w:szCs w:val="18"/>
                <w:lang w:val="en-GB"/>
              </w:rPr>
              <w:t>956</w:t>
            </w:r>
            <w:r w:rsidRPr="002D2F67">
              <w:rPr>
                <w:rFonts w:ascii="Arial" w:hAnsi="Arial" w:cs="Arial"/>
                <w:color w:val="000000"/>
                <w:sz w:val="18"/>
                <w:szCs w:val="18"/>
              </w:rPr>
              <w:t>)</w:t>
            </w:r>
          </w:p>
        </w:tc>
        <w:tc>
          <w:tcPr>
            <w:tcW w:w="2378" w:type="dxa"/>
            <w:tcBorders>
              <w:bottom w:val="single" w:sz="4" w:space="0" w:color="auto"/>
            </w:tcBorders>
            <w:shd w:val="clear" w:color="auto" w:fill="auto"/>
            <w:vAlign w:val="bottom"/>
          </w:tcPr>
          <w:p w14:paraId="26C474BF" w14:textId="4DD3B38F" w:rsidR="00FA22FC" w:rsidRPr="002D2F67" w:rsidRDefault="00CD5714" w:rsidP="005611FE">
            <w:pPr>
              <w:ind w:right="-72"/>
              <w:contextualSpacing/>
              <w:jc w:val="right"/>
              <w:rPr>
                <w:rFonts w:ascii="Arial" w:hAnsi="Arial" w:cs="Arial"/>
                <w:color w:val="000000"/>
                <w:sz w:val="18"/>
                <w:szCs w:val="18"/>
              </w:rPr>
            </w:pPr>
            <w:r w:rsidRPr="00CD5714">
              <w:rPr>
                <w:rFonts w:ascii="Arial" w:hAnsi="Arial" w:cs="Arial"/>
                <w:color w:val="000000"/>
                <w:sz w:val="18"/>
                <w:szCs w:val="18"/>
                <w:lang w:val="en-GB"/>
              </w:rPr>
              <w:t>586</w:t>
            </w:r>
            <w:r w:rsidR="00FA22FC" w:rsidRPr="002D2F67">
              <w:rPr>
                <w:rFonts w:ascii="Arial" w:hAnsi="Arial" w:cs="Arial"/>
                <w:color w:val="000000"/>
                <w:sz w:val="18"/>
                <w:szCs w:val="18"/>
              </w:rPr>
              <w:t>,</w:t>
            </w:r>
            <w:r w:rsidRPr="00CD5714">
              <w:rPr>
                <w:rFonts w:ascii="Arial" w:hAnsi="Arial" w:cs="Arial"/>
                <w:color w:val="000000"/>
                <w:sz w:val="18"/>
                <w:szCs w:val="18"/>
                <w:lang w:val="en-GB"/>
              </w:rPr>
              <w:t>222</w:t>
            </w:r>
          </w:p>
        </w:tc>
        <w:tc>
          <w:tcPr>
            <w:tcW w:w="2318" w:type="dxa"/>
            <w:tcBorders>
              <w:bottom w:val="single" w:sz="4" w:space="0" w:color="auto"/>
            </w:tcBorders>
            <w:shd w:val="clear" w:color="auto" w:fill="auto"/>
            <w:vAlign w:val="bottom"/>
          </w:tcPr>
          <w:p w14:paraId="37809E55" w14:textId="307BD484" w:rsidR="00FA22FC" w:rsidRPr="002D2F67" w:rsidRDefault="00CD5714" w:rsidP="005611FE">
            <w:pPr>
              <w:ind w:right="-72"/>
              <w:contextualSpacing/>
              <w:jc w:val="right"/>
              <w:rPr>
                <w:rFonts w:ascii="Arial" w:hAnsi="Arial" w:cs="Arial"/>
                <w:color w:val="000000"/>
                <w:sz w:val="18"/>
                <w:szCs w:val="18"/>
              </w:rPr>
            </w:pPr>
            <w:r w:rsidRPr="00CD5714">
              <w:rPr>
                <w:rFonts w:ascii="Arial" w:hAnsi="Arial" w:cs="Arial"/>
                <w:color w:val="000000"/>
                <w:sz w:val="18"/>
                <w:szCs w:val="18"/>
                <w:lang w:val="en-GB"/>
              </w:rPr>
              <w:t>169</w:t>
            </w:r>
            <w:r w:rsidR="00FA22FC" w:rsidRPr="002D2F67">
              <w:rPr>
                <w:rFonts w:ascii="Arial" w:hAnsi="Arial" w:cs="Arial"/>
                <w:color w:val="000000"/>
                <w:sz w:val="18"/>
                <w:szCs w:val="18"/>
              </w:rPr>
              <w:t>,</w:t>
            </w:r>
            <w:r w:rsidRPr="00CD5714">
              <w:rPr>
                <w:rFonts w:ascii="Arial" w:hAnsi="Arial" w:cs="Arial"/>
                <w:color w:val="000000"/>
                <w:sz w:val="18"/>
                <w:szCs w:val="18"/>
                <w:lang w:val="en-GB"/>
              </w:rPr>
              <w:t>329</w:t>
            </w:r>
          </w:p>
        </w:tc>
        <w:tc>
          <w:tcPr>
            <w:tcW w:w="2321" w:type="dxa"/>
            <w:tcBorders>
              <w:bottom w:val="single" w:sz="4" w:space="0" w:color="auto"/>
            </w:tcBorders>
            <w:shd w:val="clear" w:color="auto" w:fill="auto"/>
            <w:vAlign w:val="bottom"/>
          </w:tcPr>
          <w:p w14:paraId="5C46FB98" w14:textId="4F5C7CF6" w:rsidR="00FA22FC" w:rsidRPr="002D2F67" w:rsidRDefault="00CD5714" w:rsidP="005611FE">
            <w:pPr>
              <w:ind w:right="-72"/>
              <w:contextualSpacing/>
              <w:jc w:val="right"/>
              <w:rPr>
                <w:rFonts w:ascii="Arial" w:hAnsi="Arial" w:cs="Arial"/>
                <w:color w:val="000000"/>
                <w:sz w:val="18"/>
                <w:szCs w:val="18"/>
              </w:rPr>
            </w:pPr>
            <w:r w:rsidRPr="00CD5714">
              <w:rPr>
                <w:rFonts w:ascii="Arial" w:hAnsi="Arial" w:cs="Arial"/>
                <w:color w:val="000000"/>
                <w:sz w:val="18"/>
                <w:szCs w:val="18"/>
                <w:lang w:val="en-GB"/>
              </w:rPr>
              <w:t>1</w:t>
            </w:r>
            <w:r w:rsidR="00FA22FC" w:rsidRPr="002D2F67">
              <w:rPr>
                <w:rFonts w:ascii="Arial" w:hAnsi="Arial" w:cs="Arial"/>
                <w:color w:val="000000"/>
                <w:sz w:val="18"/>
                <w:szCs w:val="18"/>
              </w:rPr>
              <w:t>,</w:t>
            </w:r>
            <w:r w:rsidRPr="00CD5714">
              <w:rPr>
                <w:rFonts w:ascii="Arial" w:hAnsi="Arial" w:cs="Arial"/>
                <w:color w:val="000000"/>
                <w:sz w:val="18"/>
                <w:szCs w:val="18"/>
                <w:lang w:val="en-GB"/>
              </w:rPr>
              <w:t>199</w:t>
            </w:r>
            <w:r w:rsidR="00FA22FC" w:rsidRPr="002D2F67">
              <w:rPr>
                <w:rFonts w:ascii="Arial" w:hAnsi="Arial" w:cs="Arial"/>
                <w:color w:val="000000"/>
                <w:sz w:val="18"/>
                <w:szCs w:val="18"/>
              </w:rPr>
              <w:t>,</w:t>
            </w:r>
            <w:r w:rsidRPr="00CD5714">
              <w:rPr>
                <w:rFonts w:ascii="Arial" w:hAnsi="Arial" w:cs="Arial"/>
                <w:color w:val="000000"/>
                <w:sz w:val="18"/>
                <w:szCs w:val="18"/>
                <w:lang w:val="en-GB"/>
              </w:rPr>
              <w:t>159</w:t>
            </w:r>
          </w:p>
        </w:tc>
      </w:tr>
    </w:tbl>
    <w:p w14:paraId="3ADB72D1" w14:textId="50B50A60" w:rsidR="00F31B12" w:rsidRPr="002D2F67" w:rsidRDefault="0019379D" w:rsidP="005611FE">
      <w:pPr>
        <w:ind w:left="540"/>
        <w:contextualSpacing/>
        <w:jc w:val="thaiDistribute"/>
        <w:rPr>
          <w:rFonts w:ascii="Arial" w:hAnsi="Arial" w:cs="Arial"/>
          <w:color w:val="000000"/>
          <w:sz w:val="20"/>
          <w:szCs w:val="20"/>
        </w:rPr>
      </w:pPr>
      <w:r w:rsidRPr="002D2F67">
        <w:rPr>
          <w:rFonts w:ascii="Arial" w:hAnsi="Arial" w:cs="Arial"/>
          <w:b/>
          <w:bCs/>
          <w:color w:val="000000"/>
          <w:sz w:val="15"/>
          <w:szCs w:val="15"/>
        </w:rPr>
        <w:br w:type="page"/>
      </w:r>
    </w:p>
    <w:p w14:paraId="43017AF2" w14:textId="77777777" w:rsidR="00B30CF6" w:rsidRPr="002D2F67" w:rsidRDefault="00B30CF6" w:rsidP="005611FE">
      <w:pPr>
        <w:pStyle w:val="Heading3"/>
        <w:ind w:left="540"/>
        <w:contextualSpacing/>
        <w:jc w:val="thaiDistribute"/>
        <w:rPr>
          <w:rFonts w:ascii="Arial" w:hAnsi="Arial" w:cs="Arial"/>
          <w:color w:val="000000"/>
        </w:rPr>
      </w:pPr>
      <w:r w:rsidRPr="002D2F67">
        <w:rPr>
          <w:rFonts w:ascii="Arial" w:hAnsi="Arial" w:cs="Arial"/>
          <w:color w:val="000000"/>
        </w:rPr>
        <w:t>Summarised statement of comprehensive income</w:t>
      </w:r>
    </w:p>
    <w:p w14:paraId="2AD65D19" w14:textId="7B8C5AC2" w:rsidR="00B30CF6" w:rsidRPr="002D2F67" w:rsidRDefault="00B30CF6" w:rsidP="005611FE">
      <w:pPr>
        <w:ind w:left="540"/>
        <w:contextualSpacing/>
        <w:jc w:val="thaiDistribute"/>
        <w:rPr>
          <w:rFonts w:ascii="Arial" w:hAnsi="Arial" w:cs="Arial"/>
          <w:color w:val="000000"/>
          <w:sz w:val="20"/>
          <w:szCs w:val="20"/>
        </w:rPr>
      </w:pPr>
    </w:p>
    <w:tbl>
      <w:tblPr>
        <w:tblW w:w="14267" w:type="dxa"/>
        <w:tblInd w:w="666" w:type="dxa"/>
        <w:tblLayout w:type="fixed"/>
        <w:tblLook w:val="0000" w:firstRow="0" w:lastRow="0" w:firstColumn="0" w:lastColumn="0" w:noHBand="0" w:noVBand="0"/>
      </w:tblPr>
      <w:tblGrid>
        <w:gridCol w:w="4781"/>
        <w:gridCol w:w="2369"/>
        <w:gridCol w:w="2373"/>
        <w:gridCol w:w="2372"/>
        <w:gridCol w:w="2372"/>
      </w:tblGrid>
      <w:tr w:rsidR="00FA22FC" w:rsidRPr="002D2F67" w14:paraId="41E53590" w14:textId="77777777" w:rsidTr="004F4DED">
        <w:trPr>
          <w:cantSplit/>
          <w:trHeight w:val="251"/>
        </w:trPr>
        <w:tc>
          <w:tcPr>
            <w:tcW w:w="4781" w:type="dxa"/>
            <w:shd w:val="clear" w:color="auto" w:fill="auto"/>
          </w:tcPr>
          <w:p w14:paraId="7D803FB1" w14:textId="77777777" w:rsidR="00FA22FC" w:rsidRPr="002D2F67" w:rsidRDefault="00FA22FC" w:rsidP="005611FE">
            <w:pPr>
              <w:ind w:left="-105" w:right="-126"/>
              <w:contextualSpacing/>
              <w:rPr>
                <w:rFonts w:ascii="Arial" w:hAnsi="Arial" w:cs="Arial"/>
                <w:color w:val="000000"/>
                <w:sz w:val="18"/>
                <w:szCs w:val="18"/>
                <w:cs/>
              </w:rPr>
            </w:pPr>
          </w:p>
        </w:tc>
        <w:tc>
          <w:tcPr>
            <w:tcW w:w="4742" w:type="dxa"/>
            <w:gridSpan w:val="2"/>
            <w:tcBorders>
              <w:bottom w:val="single" w:sz="4" w:space="0" w:color="auto"/>
            </w:tcBorders>
            <w:shd w:val="clear" w:color="auto" w:fill="auto"/>
            <w:vAlign w:val="center"/>
          </w:tcPr>
          <w:p w14:paraId="3C1858B8" w14:textId="47C6FDEB" w:rsidR="00FA22FC" w:rsidRPr="002D2F67" w:rsidRDefault="00FA22FC" w:rsidP="005611FE">
            <w:pPr>
              <w:ind w:right="-72"/>
              <w:contextualSpacing/>
              <w:jc w:val="right"/>
              <w:rPr>
                <w:rFonts w:ascii="Arial" w:hAnsi="Arial" w:cs="Arial"/>
                <w:b/>
                <w:bCs/>
                <w:color w:val="000000"/>
                <w:sz w:val="18"/>
                <w:szCs w:val="18"/>
                <w:cs/>
              </w:rPr>
            </w:pPr>
            <w:r w:rsidRPr="002D2F67">
              <w:rPr>
                <w:rFonts w:ascii="Arial" w:hAnsi="Arial" w:cs="Arial"/>
                <w:b/>
                <w:bCs/>
                <w:color w:val="000000"/>
                <w:sz w:val="18"/>
                <w:szCs w:val="18"/>
              </w:rPr>
              <w:t>Amita Technologies Inc.</w:t>
            </w:r>
          </w:p>
        </w:tc>
        <w:tc>
          <w:tcPr>
            <w:tcW w:w="4744" w:type="dxa"/>
            <w:gridSpan w:val="2"/>
            <w:tcBorders>
              <w:bottom w:val="single" w:sz="4" w:space="0" w:color="auto"/>
            </w:tcBorders>
            <w:shd w:val="clear" w:color="auto" w:fill="auto"/>
            <w:vAlign w:val="center"/>
          </w:tcPr>
          <w:p w14:paraId="4988D885" w14:textId="585C34C6" w:rsidR="00FA22FC" w:rsidRPr="002D2F67" w:rsidRDefault="00FA22FC" w:rsidP="005611FE">
            <w:pPr>
              <w:ind w:left="-169" w:right="-72"/>
              <w:contextualSpacing/>
              <w:jc w:val="right"/>
              <w:rPr>
                <w:rFonts w:ascii="Arial" w:hAnsi="Arial" w:cs="Arial"/>
                <w:b/>
                <w:bCs/>
                <w:color w:val="000000"/>
                <w:sz w:val="18"/>
                <w:szCs w:val="18"/>
                <w:cs/>
              </w:rPr>
            </w:pPr>
            <w:r w:rsidRPr="002D2F67">
              <w:rPr>
                <w:rFonts w:ascii="Arial" w:hAnsi="Arial" w:cs="Arial"/>
                <w:b/>
                <w:bCs/>
                <w:color w:val="000000"/>
                <w:spacing w:val="-4"/>
                <w:sz w:val="18"/>
                <w:szCs w:val="18"/>
              </w:rPr>
              <w:t>Absolute Assembly Co., Ltd</w:t>
            </w:r>
            <w:r w:rsidRPr="002D2F67">
              <w:rPr>
                <w:rFonts w:ascii="Arial" w:hAnsi="Arial" w:cs="Arial"/>
                <w:b/>
                <w:bCs/>
                <w:color w:val="000000"/>
                <w:sz w:val="18"/>
                <w:szCs w:val="18"/>
              </w:rPr>
              <w:t>.</w:t>
            </w:r>
          </w:p>
        </w:tc>
      </w:tr>
      <w:tr w:rsidR="00FA22FC" w:rsidRPr="002D2F67" w14:paraId="61C2807D" w14:textId="77777777" w:rsidTr="004F4DED">
        <w:trPr>
          <w:cantSplit/>
          <w:trHeight w:val="251"/>
        </w:trPr>
        <w:tc>
          <w:tcPr>
            <w:tcW w:w="4781" w:type="dxa"/>
            <w:shd w:val="clear" w:color="auto" w:fill="auto"/>
          </w:tcPr>
          <w:p w14:paraId="1144A9C3" w14:textId="408226B1" w:rsidR="00FA22FC" w:rsidRPr="002D2F67" w:rsidRDefault="00FA22FC" w:rsidP="005611FE">
            <w:pPr>
              <w:ind w:left="-105" w:right="-126"/>
              <w:contextualSpacing/>
              <w:rPr>
                <w:rFonts w:ascii="Arial" w:hAnsi="Arial" w:cs="Arial"/>
                <w:b/>
                <w:bCs/>
                <w:color w:val="000000"/>
                <w:sz w:val="18"/>
                <w:szCs w:val="18"/>
                <w:cs/>
              </w:rPr>
            </w:pPr>
            <w:r w:rsidRPr="002D2F67">
              <w:rPr>
                <w:rFonts w:ascii="Arial" w:hAnsi="Arial" w:cs="Arial"/>
                <w:b/>
                <w:bCs/>
                <w:color w:val="000000"/>
                <w:sz w:val="18"/>
                <w:szCs w:val="18"/>
              </w:rPr>
              <w:t xml:space="preserve">For the years ended </w:t>
            </w:r>
            <w:r w:rsidR="00CD5714" w:rsidRPr="00CD5714">
              <w:rPr>
                <w:rFonts w:ascii="Arial" w:hAnsi="Arial" w:cs="Arial"/>
                <w:b/>
                <w:bCs/>
                <w:color w:val="000000"/>
                <w:sz w:val="18"/>
                <w:szCs w:val="18"/>
                <w:lang w:val="en-GB"/>
              </w:rPr>
              <w:t>31</w:t>
            </w:r>
            <w:r w:rsidRPr="002D2F67">
              <w:rPr>
                <w:rFonts w:ascii="Arial" w:hAnsi="Arial" w:cs="Arial"/>
                <w:b/>
                <w:bCs/>
                <w:color w:val="000000"/>
                <w:sz w:val="18"/>
                <w:szCs w:val="18"/>
              </w:rPr>
              <w:t xml:space="preserve"> December</w:t>
            </w:r>
          </w:p>
        </w:tc>
        <w:tc>
          <w:tcPr>
            <w:tcW w:w="2369" w:type="dxa"/>
            <w:tcBorders>
              <w:top w:val="single" w:sz="4" w:space="0" w:color="auto"/>
            </w:tcBorders>
            <w:shd w:val="clear" w:color="auto" w:fill="auto"/>
            <w:vAlign w:val="bottom"/>
          </w:tcPr>
          <w:p w14:paraId="12314628" w14:textId="4C172C4E" w:rsidR="00FA22FC" w:rsidRPr="002D2F67" w:rsidRDefault="00CD5714" w:rsidP="005611FE">
            <w:pPr>
              <w:ind w:right="-72"/>
              <w:contextualSpacing/>
              <w:jc w:val="right"/>
              <w:rPr>
                <w:rFonts w:ascii="Arial" w:hAnsi="Arial" w:cs="Arial"/>
                <w:b/>
                <w:bCs/>
                <w:color w:val="000000"/>
                <w:sz w:val="18"/>
                <w:szCs w:val="18"/>
              </w:rPr>
            </w:pPr>
            <w:r w:rsidRPr="00CD5714">
              <w:rPr>
                <w:rFonts w:ascii="Arial" w:hAnsi="Arial" w:cs="Arial"/>
                <w:b/>
                <w:bCs/>
                <w:color w:val="000000"/>
                <w:sz w:val="18"/>
                <w:szCs w:val="18"/>
                <w:lang w:val="en-GB"/>
              </w:rPr>
              <w:t>2024</w:t>
            </w:r>
          </w:p>
        </w:tc>
        <w:tc>
          <w:tcPr>
            <w:tcW w:w="2373" w:type="dxa"/>
            <w:tcBorders>
              <w:top w:val="single" w:sz="4" w:space="0" w:color="auto"/>
            </w:tcBorders>
            <w:shd w:val="clear" w:color="auto" w:fill="auto"/>
            <w:vAlign w:val="bottom"/>
          </w:tcPr>
          <w:p w14:paraId="075D155F" w14:textId="64D88407" w:rsidR="00FA22FC" w:rsidRPr="002D2F67" w:rsidRDefault="00CD5714" w:rsidP="005611FE">
            <w:pPr>
              <w:ind w:right="-72"/>
              <w:contextualSpacing/>
              <w:jc w:val="right"/>
              <w:rPr>
                <w:rFonts w:ascii="Arial" w:hAnsi="Arial" w:cs="Arial"/>
                <w:b/>
                <w:bCs/>
                <w:color w:val="000000"/>
                <w:sz w:val="18"/>
                <w:szCs w:val="18"/>
              </w:rPr>
            </w:pPr>
            <w:r w:rsidRPr="00CD5714">
              <w:rPr>
                <w:rFonts w:ascii="Arial" w:hAnsi="Arial" w:cs="Arial"/>
                <w:b/>
                <w:bCs/>
                <w:color w:val="000000"/>
                <w:sz w:val="18"/>
                <w:szCs w:val="18"/>
                <w:lang w:val="en-GB"/>
              </w:rPr>
              <w:t>2023</w:t>
            </w:r>
          </w:p>
        </w:tc>
        <w:tc>
          <w:tcPr>
            <w:tcW w:w="2372" w:type="dxa"/>
            <w:tcBorders>
              <w:top w:val="single" w:sz="4" w:space="0" w:color="auto"/>
            </w:tcBorders>
            <w:shd w:val="clear" w:color="auto" w:fill="auto"/>
            <w:vAlign w:val="bottom"/>
          </w:tcPr>
          <w:p w14:paraId="6151EED8" w14:textId="47662427" w:rsidR="00FA22FC" w:rsidRPr="002D2F67" w:rsidRDefault="00CD5714" w:rsidP="005611FE">
            <w:pPr>
              <w:ind w:right="-72"/>
              <w:contextualSpacing/>
              <w:jc w:val="right"/>
              <w:rPr>
                <w:rFonts w:ascii="Arial" w:hAnsi="Arial" w:cs="Arial"/>
                <w:b/>
                <w:bCs/>
                <w:color w:val="000000"/>
                <w:sz w:val="18"/>
                <w:szCs w:val="18"/>
                <w:cs/>
              </w:rPr>
            </w:pPr>
            <w:r w:rsidRPr="00CD5714">
              <w:rPr>
                <w:rFonts w:ascii="Arial" w:hAnsi="Arial" w:cs="Arial"/>
                <w:b/>
                <w:bCs/>
                <w:color w:val="000000"/>
                <w:sz w:val="18"/>
                <w:szCs w:val="18"/>
                <w:lang w:val="en-GB"/>
              </w:rPr>
              <w:t>2024</w:t>
            </w:r>
          </w:p>
        </w:tc>
        <w:tc>
          <w:tcPr>
            <w:tcW w:w="2372" w:type="dxa"/>
            <w:tcBorders>
              <w:top w:val="single" w:sz="4" w:space="0" w:color="auto"/>
            </w:tcBorders>
            <w:shd w:val="clear" w:color="auto" w:fill="auto"/>
            <w:vAlign w:val="bottom"/>
          </w:tcPr>
          <w:p w14:paraId="1F44C7F0" w14:textId="049CDDCF" w:rsidR="00FA22FC" w:rsidRPr="002D2F67" w:rsidRDefault="00CD5714" w:rsidP="005611FE">
            <w:pPr>
              <w:ind w:right="-72"/>
              <w:contextualSpacing/>
              <w:jc w:val="right"/>
              <w:rPr>
                <w:rFonts w:ascii="Arial" w:hAnsi="Arial" w:cs="Arial"/>
                <w:b/>
                <w:bCs/>
                <w:color w:val="000000"/>
                <w:sz w:val="18"/>
                <w:szCs w:val="18"/>
                <w:cs/>
              </w:rPr>
            </w:pPr>
            <w:r w:rsidRPr="00CD5714">
              <w:rPr>
                <w:rFonts w:ascii="Arial" w:hAnsi="Arial" w:cs="Arial"/>
                <w:b/>
                <w:bCs/>
                <w:color w:val="000000"/>
                <w:sz w:val="18"/>
                <w:szCs w:val="18"/>
                <w:lang w:val="en-GB"/>
              </w:rPr>
              <w:t>2023</w:t>
            </w:r>
          </w:p>
        </w:tc>
      </w:tr>
      <w:tr w:rsidR="00FA22FC" w:rsidRPr="002D2F67" w14:paraId="6C4DD466" w14:textId="77777777" w:rsidTr="004F4DED">
        <w:trPr>
          <w:cantSplit/>
          <w:trHeight w:val="251"/>
        </w:trPr>
        <w:tc>
          <w:tcPr>
            <w:tcW w:w="4781" w:type="dxa"/>
            <w:shd w:val="clear" w:color="auto" w:fill="auto"/>
          </w:tcPr>
          <w:p w14:paraId="7DC81E63" w14:textId="77777777" w:rsidR="00FA22FC" w:rsidRPr="002D2F67" w:rsidRDefault="00FA22FC" w:rsidP="005611FE">
            <w:pPr>
              <w:ind w:right="-126"/>
              <w:contextualSpacing/>
              <w:rPr>
                <w:rFonts w:ascii="Arial" w:hAnsi="Arial" w:cs="Arial"/>
                <w:color w:val="000000"/>
                <w:sz w:val="18"/>
                <w:szCs w:val="18"/>
              </w:rPr>
            </w:pPr>
            <w:r w:rsidRPr="002D2F67">
              <w:rPr>
                <w:rFonts w:ascii="Arial" w:hAnsi="Arial" w:cs="Arial"/>
                <w:b/>
                <w:bCs/>
                <w:color w:val="000000"/>
                <w:sz w:val="18"/>
                <w:szCs w:val="18"/>
                <w:cs/>
              </w:rPr>
              <w:t xml:space="preserve"> </w:t>
            </w:r>
          </w:p>
        </w:tc>
        <w:tc>
          <w:tcPr>
            <w:tcW w:w="2369" w:type="dxa"/>
            <w:tcBorders>
              <w:bottom w:val="single" w:sz="4" w:space="0" w:color="auto"/>
            </w:tcBorders>
            <w:shd w:val="clear" w:color="auto" w:fill="auto"/>
            <w:vAlign w:val="bottom"/>
          </w:tcPr>
          <w:p w14:paraId="0142C59D" w14:textId="2C7BBCCF" w:rsidR="00FA22FC" w:rsidRPr="002D2F67" w:rsidRDefault="00FA22FC" w:rsidP="005611FE">
            <w:pPr>
              <w:ind w:right="-72"/>
              <w:contextualSpacing/>
              <w:jc w:val="right"/>
              <w:rPr>
                <w:rFonts w:ascii="Arial" w:hAnsi="Arial" w:cs="Arial"/>
                <w:b/>
                <w:bCs/>
                <w:color w:val="000000"/>
                <w:sz w:val="18"/>
                <w:szCs w:val="18"/>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c>
          <w:tcPr>
            <w:tcW w:w="2373" w:type="dxa"/>
            <w:tcBorders>
              <w:bottom w:val="single" w:sz="4" w:space="0" w:color="auto"/>
            </w:tcBorders>
            <w:shd w:val="clear" w:color="auto" w:fill="auto"/>
            <w:vAlign w:val="bottom"/>
          </w:tcPr>
          <w:p w14:paraId="79A3BF12" w14:textId="4208E570" w:rsidR="00FA22FC" w:rsidRPr="002D2F67" w:rsidRDefault="00FA22FC" w:rsidP="005611FE">
            <w:pPr>
              <w:ind w:right="-72"/>
              <w:contextualSpacing/>
              <w:jc w:val="right"/>
              <w:rPr>
                <w:rFonts w:ascii="Arial" w:hAnsi="Arial" w:cs="Arial"/>
                <w:b/>
                <w:bCs/>
                <w:color w:val="000000"/>
                <w:sz w:val="18"/>
                <w:szCs w:val="18"/>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c>
          <w:tcPr>
            <w:tcW w:w="2372" w:type="dxa"/>
            <w:tcBorders>
              <w:bottom w:val="single" w:sz="4" w:space="0" w:color="auto"/>
            </w:tcBorders>
            <w:shd w:val="clear" w:color="auto" w:fill="auto"/>
            <w:vAlign w:val="bottom"/>
          </w:tcPr>
          <w:p w14:paraId="6C963795" w14:textId="77D9B2DA" w:rsidR="00FA22FC" w:rsidRPr="002D2F67" w:rsidRDefault="00FA22FC" w:rsidP="005611FE">
            <w:pPr>
              <w:ind w:right="-72"/>
              <w:contextualSpacing/>
              <w:jc w:val="right"/>
              <w:rPr>
                <w:rFonts w:ascii="Arial" w:hAnsi="Arial" w:cs="Arial"/>
                <w:b/>
                <w:bCs/>
                <w:color w:val="000000"/>
                <w:sz w:val="18"/>
                <w:szCs w:val="18"/>
                <w:cs/>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c>
          <w:tcPr>
            <w:tcW w:w="2372" w:type="dxa"/>
            <w:tcBorders>
              <w:bottom w:val="single" w:sz="4" w:space="0" w:color="auto"/>
            </w:tcBorders>
            <w:shd w:val="clear" w:color="auto" w:fill="auto"/>
            <w:vAlign w:val="bottom"/>
          </w:tcPr>
          <w:p w14:paraId="59DF358E" w14:textId="08FDC818" w:rsidR="00FA22FC" w:rsidRPr="002D2F67" w:rsidRDefault="00FA22FC" w:rsidP="005611FE">
            <w:pPr>
              <w:ind w:right="-72"/>
              <w:contextualSpacing/>
              <w:jc w:val="right"/>
              <w:rPr>
                <w:rFonts w:ascii="Arial" w:hAnsi="Arial" w:cs="Arial"/>
                <w:b/>
                <w:bCs/>
                <w:color w:val="000000"/>
                <w:sz w:val="18"/>
                <w:szCs w:val="18"/>
                <w:cs/>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r>
      <w:tr w:rsidR="00FA22FC" w:rsidRPr="002D2F67" w14:paraId="1A97ED7E" w14:textId="77777777" w:rsidTr="004F4DED">
        <w:trPr>
          <w:cantSplit/>
          <w:trHeight w:val="251"/>
        </w:trPr>
        <w:tc>
          <w:tcPr>
            <w:tcW w:w="4781" w:type="dxa"/>
            <w:shd w:val="clear" w:color="auto" w:fill="auto"/>
          </w:tcPr>
          <w:p w14:paraId="00DA2F71" w14:textId="77777777" w:rsidR="00FA22FC" w:rsidRPr="002D2F67" w:rsidRDefault="00FA22FC" w:rsidP="005611FE">
            <w:pPr>
              <w:ind w:left="-105" w:right="-126"/>
              <w:contextualSpacing/>
              <w:rPr>
                <w:rFonts w:ascii="Arial" w:hAnsi="Arial" w:cs="Arial"/>
                <w:b/>
                <w:bCs/>
                <w:color w:val="000000"/>
                <w:sz w:val="18"/>
                <w:szCs w:val="18"/>
                <w:cs/>
              </w:rPr>
            </w:pPr>
          </w:p>
        </w:tc>
        <w:tc>
          <w:tcPr>
            <w:tcW w:w="2369" w:type="dxa"/>
            <w:tcBorders>
              <w:top w:val="single" w:sz="4" w:space="0" w:color="auto"/>
            </w:tcBorders>
            <w:shd w:val="clear" w:color="auto" w:fill="auto"/>
          </w:tcPr>
          <w:p w14:paraId="4D5AA232" w14:textId="77777777" w:rsidR="00FA22FC" w:rsidRPr="002D2F67" w:rsidRDefault="00FA22FC" w:rsidP="005611FE">
            <w:pPr>
              <w:ind w:right="-72"/>
              <w:contextualSpacing/>
              <w:jc w:val="right"/>
              <w:rPr>
                <w:rFonts w:ascii="Arial" w:hAnsi="Arial" w:cs="Arial"/>
                <w:color w:val="000000"/>
                <w:sz w:val="18"/>
                <w:szCs w:val="18"/>
              </w:rPr>
            </w:pPr>
          </w:p>
        </w:tc>
        <w:tc>
          <w:tcPr>
            <w:tcW w:w="2373" w:type="dxa"/>
            <w:tcBorders>
              <w:top w:val="single" w:sz="4" w:space="0" w:color="auto"/>
            </w:tcBorders>
            <w:shd w:val="clear" w:color="auto" w:fill="auto"/>
          </w:tcPr>
          <w:p w14:paraId="290D2F15" w14:textId="77777777" w:rsidR="00FA22FC" w:rsidRPr="002D2F67" w:rsidRDefault="00FA22FC" w:rsidP="005611FE">
            <w:pPr>
              <w:ind w:right="-72"/>
              <w:contextualSpacing/>
              <w:jc w:val="right"/>
              <w:rPr>
                <w:rFonts w:ascii="Arial" w:hAnsi="Arial" w:cs="Arial"/>
                <w:color w:val="000000"/>
                <w:sz w:val="18"/>
                <w:szCs w:val="18"/>
              </w:rPr>
            </w:pPr>
          </w:p>
        </w:tc>
        <w:tc>
          <w:tcPr>
            <w:tcW w:w="2372" w:type="dxa"/>
            <w:tcBorders>
              <w:top w:val="single" w:sz="4" w:space="0" w:color="auto"/>
            </w:tcBorders>
            <w:shd w:val="clear" w:color="auto" w:fill="auto"/>
          </w:tcPr>
          <w:p w14:paraId="1CC80F10" w14:textId="77777777" w:rsidR="00FA22FC" w:rsidRPr="002D2F67" w:rsidRDefault="00FA22FC" w:rsidP="005611FE">
            <w:pPr>
              <w:ind w:right="-72"/>
              <w:contextualSpacing/>
              <w:jc w:val="right"/>
              <w:rPr>
                <w:rFonts w:ascii="Arial" w:hAnsi="Arial" w:cs="Arial"/>
                <w:color w:val="000000"/>
                <w:sz w:val="18"/>
                <w:szCs w:val="18"/>
              </w:rPr>
            </w:pPr>
          </w:p>
        </w:tc>
        <w:tc>
          <w:tcPr>
            <w:tcW w:w="2372" w:type="dxa"/>
            <w:tcBorders>
              <w:top w:val="single" w:sz="4" w:space="0" w:color="auto"/>
            </w:tcBorders>
            <w:shd w:val="clear" w:color="auto" w:fill="auto"/>
          </w:tcPr>
          <w:p w14:paraId="41F68804" w14:textId="77777777" w:rsidR="00FA22FC" w:rsidRPr="002D2F67" w:rsidRDefault="00FA22FC" w:rsidP="005611FE">
            <w:pPr>
              <w:ind w:right="-72"/>
              <w:contextualSpacing/>
              <w:jc w:val="right"/>
              <w:rPr>
                <w:rFonts w:ascii="Arial" w:hAnsi="Arial" w:cs="Arial"/>
                <w:color w:val="000000"/>
                <w:sz w:val="18"/>
                <w:szCs w:val="18"/>
              </w:rPr>
            </w:pPr>
          </w:p>
        </w:tc>
      </w:tr>
      <w:tr w:rsidR="00FA22FC" w:rsidRPr="002D2F67" w14:paraId="45938966" w14:textId="77777777" w:rsidTr="004F4DED">
        <w:trPr>
          <w:cantSplit/>
          <w:trHeight w:val="266"/>
        </w:trPr>
        <w:tc>
          <w:tcPr>
            <w:tcW w:w="4781" w:type="dxa"/>
            <w:shd w:val="clear" w:color="auto" w:fill="auto"/>
          </w:tcPr>
          <w:p w14:paraId="517EA914" w14:textId="06B72FC9" w:rsidR="00FA22FC" w:rsidRPr="002D2F67" w:rsidRDefault="00FA22FC" w:rsidP="005611FE">
            <w:pPr>
              <w:ind w:left="-105"/>
              <w:contextualSpacing/>
              <w:rPr>
                <w:rFonts w:ascii="Arial" w:hAnsi="Arial" w:cs="Arial"/>
                <w:color w:val="000000"/>
                <w:sz w:val="18"/>
                <w:szCs w:val="18"/>
                <w:cs/>
              </w:rPr>
            </w:pPr>
            <w:r w:rsidRPr="002D2F67">
              <w:rPr>
                <w:rFonts w:ascii="Arial" w:hAnsi="Arial" w:cs="Arial"/>
                <w:color w:val="000000"/>
                <w:spacing w:val="-6"/>
                <w:sz w:val="18"/>
                <w:szCs w:val="18"/>
              </w:rPr>
              <w:t xml:space="preserve">Revenue </w:t>
            </w:r>
          </w:p>
        </w:tc>
        <w:tc>
          <w:tcPr>
            <w:tcW w:w="2369" w:type="dxa"/>
            <w:shd w:val="clear" w:color="auto" w:fill="auto"/>
            <w:vAlign w:val="bottom"/>
          </w:tcPr>
          <w:p w14:paraId="032947D9" w14:textId="7BA7F532" w:rsidR="00FA22FC" w:rsidRPr="002D2F67" w:rsidRDefault="00CD5714" w:rsidP="005611FE">
            <w:pPr>
              <w:ind w:right="-72"/>
              <w:contextualSpacing/>
              <w:jc w:val="right"/>
              <w:rPr>
                <w:rFonts w:ascii="Arial" w:hAnsi="Arial" w:cs="Arial"/>
                <w:color w:val="000000"/>
                <w:sz w:val="18"/>
                <w:szCs w:val="18"/>
              </w:rPr>
            </w:pPr>
            <w:r w:rsidRPr="00CD5714">
              <w:rPr>
                <w:rFonts w:ascii="Arial" w:hAnsi="Arial" w:cs="Arial"/>
                <w:color w:val="000000"/>
                <w:sz w:val="18"/>
                <w:szCs w:val="18"/>
                <w:lang w:val="en-GB"/>
              </w:rPr>
              <w:t>6</w:t>
            </w:r>
            <w:r w:rsidR="00FA22FC" w:rsidRPr="002D2F67">
              <w:rPr>
                <w:rFonts w:ascii="Arial" w:hAnsi="Arial" w:cs="Arial"/>
                <w:color w:val="000000"/>
                <w:sz w:val="18"/>
                <w:szCs w:val="18"/>
              </w:rPr>
              <w:t>,</w:t>
            </w:r>
            <w:r w:rsidRPr="00CD5714">
              <w:rPr>
                <w:rFonts w:ascii="Arial" w:hAnsi="Arial" w:cs="Arial"/>
                <w:color w:val="000000"/>
                <w:sz w:val="18"/>
                <w:szCs w:val="18"/>
                <w:lang w:val="en-GB"/>
              </w:rPr>
              <w:t>901</w:t>
            </w:r>
          </w:p>
        </w:tc>
        <w:tc>
          <w:tcPr>
            <w:tcW w:w="2373" w:type="dxa"/>
            <w:shd w:val="clear" w:color="auto" w:fill="auto"/>
            <w:vAlign w:val="bottom"/>
          </w:tcPr>
          <w:p w14:paraId="61B612AB" w14:textId="1DA904EB" w:rsidR="00FA22FC" w:rsidRPr="002D2F67" w:rsidRDefault="00CD5714" w:rsidP="005611FE">
            <w:pPr>
              <w:ind w:right="-72"/>
              <w:contextualSpacing/>
              <w:jc w:val="right"/>
              <w:rPr>
                <w:rFonts w:ascii="Arial" w:hAnsi="Arial" w:cs="Arial"/>
                <w:color w:val="000000"/>
                <w:sz w:val="18"/>
                <w:szCs w:val="18"/>
              </w:rPr>
            </w:pPr>
            <w:r w:rsidRPr="00CD5714">
              <w:rPr>
                <w:rFonts w:ascii="Arial" w:hAnsi="Arial" w:cs="Arial"/>
                <w:color w:val="000000"/>
                <w:sz w:val="18"/>
                <w:szCs w:val="18"/>
                <w:lang w:val="en-GB"/>
              </w:rPr>
              <w:t>1</w:t>
            </w:r>
            <w:r w:rsidR="00FA22FC" w:rsidRPr="002D2F67">
              <w:rPr>
                <w:rFonts w:ascii="Arial" w:hAnsi="Arial" w:cs="Arial"/>
                <w:color w:val="000000"/>
                <w:sz w:val="18"/>
                <w:szCs w:val="18"/>
              </w:rPr>
              <w:t>,</w:t>
            </w:r>
            <w:r w:rsidRPr="00CD5714">
              <w:rPr>
                <w:rFonts w:ascii="Arial" w:hAnsi="Arial" w:cs="Arial"/>
                <w:color w:val="000000"/>
                <w:sz w:val="18"/>
                <w:szCs w:val="18"/>
                <w:lang w:val="en-GB"/>
              </w:rPr>
              <w:t>355</w:t>
            </w:r>
            <w:r w:rsidR="00FA22FC" w:rsidRPr="002D2F67">
              <w:rPr>
                <w:rFonts w:ascii="Arial" w:hAnsi="Arial" w:cs="Arial"/>
                <w:color w:val="000000"/>
                <w:sz w:val="18"/>
                <w:szCs w:val="18"/>
              </w:rPr>
              <w:t>,</w:t>
            </w:r>
            <w:r w:rsidRPr="00CD5714">
              <w:rPr>
                <w:rFonts w:ascii="Arial" w:hAnsi="Arial" w:cs="Arial"/>
                <w:color w:val="000000"/>
                <w:sz w:val="18"/>
                <w:szCs w:val="18"/>
                <w:lang w:val="en-GB"/>
              </w:rPr>
              <w:t>352</w:t>
            </w:r>
          </w:p>
        </w:tc>
        <w:tc>
          <w:tcPr>
            <w:tcW w:w="2372" w:type="dxa"/>
            <w:shd w:val="clear" w:color="auto" w:fill="auto"/>
          </w:tcPr>
          <w:p w14:paraId="06FCB603" w14:textId="5B046D4B" w:rsidR="00FA22FC" w:rsidRPr="002D2F67" w:rsidRDefault="00CD5714" w:rsidP="005611FE">
            <w:pPr>
              <w:ind w:right="-72"/>
              <w:contextualSpacing/>
              <w:jc w:val="right"/>
              <w:rPr>
                <w:rFonts w:ascii="Arial" w:hAnsi="Arial" w:cs="Arial"/>
                <w:color w:val="000000"/>
                <w:sz w:val="18"/>
                <w:szCs w:val="18"/>
              </w:rPr>
            </w:pPr>
            <w:r w:rsidRPr="00CD5714">
              <w:rPr>
                <w:rFonts w:ascii="Arial" w:hAnsi="Arial" w:cs="Arial"/>
                <w:color w:val="000000"/>
                <w:sz w:val="18"/>
                <w:szCs w:val="18"/>
                <w:lang w:val="en-GB"/>
              </w:rPr>
              <w:t>1</w:t>
            </w:r>
            <w:r w:rsidR="00FA22FC" w:rsidRPr="002D2F67">
              <w:rPr>
                <w:rFonts w:ascii="Arial" w:hAnsi="Arial" w:cs="Arial"/>
                <w:color w:val="000000"/>
                <w:sz w:val="18"/>
                <w:szCs w:val="18"/>
              </w:rPr>
              <w:t>,</w:t>
            </w:r>
            <w:r w:rsidRPr="00CD5714">
              <w:rPr>
                <w:rFonts w:ascii="Arial" w:hAnsi="Arial" w:cs="Arial"/>
                <w:color w:val="000000"/>
                <w:sz w:val="18"/>
                <w:szCs w:val="18"/>
                <w:lang w:val="en-GB"/>
              </w:rPr>
              <w:t>916</w:t>
            </w:r>
            <w:r w:rsidR="00FA22FC" w:rsidRPr="002D2F67">
              <w:rPr>
                <w:rFonts w:ascii="Arial" w:hAnsi="Arial" w:cs="Arial"/>
                <w:color w:val="000000"/>
                <w:sz w:val="18"/>
                <w:szCs w:val="18"/>
              </w:rPr>
              <w:t>,</w:t>
            </w:r>
            <w:r w:rsidRPr="00CD5714">
              <w:rPr>
                <w:rFonts w:ascii="Arial" w:hAnsi="Arial" w:cs="Arial"/>
                <w:color w:val="000000"/>
                <w:sz w:val="18"/>
                <w:szCs w:val="18"/>
                <w:lang w:val="en-GB"/>
              </w:rPr>
              <w:t>420</w:t>
            </w:r>
          </w:p>
        </w:tc>
        <w:tc>
          <w:tcPr>
            <w:tcW w:w="2372" w:type="dxa"/>
            <w:shd w:val="clear" w:color="auto" w:fill="auto"/>
          </w:tcPr>
          <w:p w14:paraId="27DF3E46" w14:textId="18771C44" w:rsidR="00FA22FC" w:rsidRPr="002D2F67" w:rsidRDefault="00CD5714" w:rsidP="005611FE">
            <w:pPr>
              <w:ind w:right="-72"/>
              <w:contextualSpacing/>
              <w:jc w:val="right"/>
              <w:rPr>
                <w:rFonts w:ascii="Arial" w:hAnsi="Arial" w:cs="Arial"/>
                <w:color w:val="000000"/>
                <w:sz w:val="18"/>
                <w:szCs w:val="18"/>
              </w:rPr>
            </w:pPr>
            <w:r w:rsidRPr="00CD5714">
              <w:rPr>
                <w:rFonts w:ascii="Arial" w:hAnsi="Arial" w:cs="Arial"/>
                <w:color w:val="000000"/>
                <w:sz w:val="18"/>
                <w:szCs w:val="18"/>
                <w:lang w:val="en-GB"/>
              </w:rPr>
              <w:t>10</w:t>
            </w:r>
            <w:r w:rsidR="00FA22FC" w:rsidRPr="002D2F67">
              <w:rPr>
                <w:rFonts w:ascii="Arial" w:hAnsi="Arial" w:cs="Arial"/>
                <w:color w:val="000000"/>
                <w:sz w:val="18"/>
                <w:szCs w:val="18"/>
              </w:rPr>
              <w:t>,</w:t>
            </w:r>
            <w:r w:rsidRPr="00CD5714">
              <w:rPr>
                <w:rFonts w:ascii="Arial" w:hAnsi="Arial" w:cs="Arial"/>
                <w:color w:val="000000"/>
                <w:sz w:val="18"/>
                <w:szCs w:val="18"/>
                <w:lang w:val="en-GB"/>
              </w:rPr>
              <w:t>186</w:t>
            </w:r>
            <w:r w:rsidR="00FA22FC" w:rsidRPr="002D2F67">
              <w:rPr>
                <w:rFonts w:ascii="Arial" w:hAnsi="Arial" w:cs="Arial"/>
                <w:color w:val="000000"/>
                <w:sz w:val="18"/>
                <w:szCs w:val="18"/>
              </w:rPr>
              <w:t>,</w:t>
            </w:r>
            <w:r w:rsidRPr="00CD5714">
              <w:rPr>
                <w:rFonts w:ascii="Arial" w:hAnsi="Arial" w:cs="Arial"/>
                <w:color w:val="000000"/>
                <w:sz w:val="18"/>
                <w:szCs w:val="18"/>
                <w:lang w:val="en-GB"/>
              </w:rPr>
              <w:t>395</w:t>
            </w:r>
          </w:p>
        </w:tc>
      </w:tr>
      <w:tr w:rsidR="00FA22FC" w:rsidRPr="002D2F67" w14:paraId="5BD51B2A" w14:textId="77777777" w:rsidTr="004F4DED">
        <w:trPr>
          <w:cantSplit/>
          <w:trHeight w:val="251"/>
        </w:trPr>
        <w:tc>
          <w:tcPr>
            <w:tcW w:w="4781" w:type="dxa"/>
            <w:shd w:val="clear" w:color="auto" w:fill="auto"/>
          </w:tcPr>
          <w:p w14:paraId="480AF515" w14:textId="072474AB" w:rsidR="00FA22FC" w:rsidRPr="002D2F67" w:rsidRDefault="00FA22FC" w:rsidP="005611FE">
            <w:pPr>
              <w:ind w:left="-105"/>
              <w:contextualSpacing/>
              <w:rPr>
                <w:rFonts w:ascii="Arial" w:hAnsi="Arial" w:cs="Arial"/>
                <w:color w:val="000000"/>
                <w:sz w:val="18"/>
                <w:szCs w:val="18"/>
                <w:cs/>
              </w:rPr>
            </w:pPr>
            <w:r w:rsidRPr="002D2F67">
              <w:rPr>
                <w:rFonts w:ascii="Arial" w:hAnsi="Arial" w:cs="Arial"/>
                <w:color w:val="000000"/>
                <w:spacing w:val="-6"/>
                <w:sz w:val="18"/>
                <w:szCs w:val="18"/>
              </w:rPr>
              <w:t>Profit (loss) for the year</w:t>
            </w:r>
          </w:p>
        </w:tc>
        <w:tc>
          <w:tcPr>
            <w:tcW w:w="2369" w:type="dxa"/>
            <w:shd w:val="clear" w:color="auto" w:fill="auto"/>
            <w:vAlign w:val="bottom"/>
          </w:tcPr>
          <w:p w14:paraId="6768F71A" w14:textId="1027F7A3" w:rsidR="00FA22FC" w:rsidRPr="002D2F67" w:rsidRDefault="00FA22FC" w:rsidP="005611FE">
            <w:pPr>
              <w:ind w:right="-72"/>
              <w:contextualSpacing/>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5</w:t>
            </w:r>
            <w:r w:rsidRPr="002D2F67">
              <w:rPr>
                <w:rFonts w:ascii="Arial" w:hAnsi="Arial" w:cs="Arial"/>
                <w:color w:val="000000"/>
                <w:sz w:val="18"/>
                <w:szCs w:val="18"/>
              </w:rPr>
              <w:t>,</w:t>
            </w:r>
            <w:r w:rsidR="00CD5714" w:rsidRPr="00CD5714">
              <w:rPr>
                <w:rFonts w:ascii="Arial" w:hAnsi="Arial" w:cs="Arial"/>
                <w:color w:val="000000"/>
                <w:sz w:val="18"/>
                <w:szCs w:val="18"/>
                <w:lang w:val="en-GB"/>
              </w:rPr>
              <w:t>129</w:t>
            </w:r>
            <w:r w:rsidRPr="002D2F67">
              <w:rPr>
                <w:rFonts w:ascii="Arial" w:hAnsi="Arial" w:cs="Arial"/>
                <w:color w:val="000000"/>
                <w:sz w:val="18"/>
                <w:szCs w:val="18"/>
              </w:rPr>
              <w:t>,</w:t>
            </w:r>
            <w:r w:rsidR="00CD5714" w:rsidRPr="00CD5714">
              <w:rPr>
                <w:rFonts w:ascii="Arial" w:hAnsi="Arial" w:cs="Arial"/>
                <w:color w:val="000000"/>
                <w:sz w:val="18"/>
                <w:szCs w:val="18"/>
                <w:lang w:val="en-GB"/>
              </w:rPr>
              <w:t>976</w:t>
            </w:r>
            <w:r w:rsidRPr="002D2F67">
              <w:rPr>
                <w:rFonts w:ascii="Arial" w:hAnsi="Arial" w:cs="Arial"/>
                <w:color w:val="000000"/>
                <w:sz w:val="18"/>
                <w:szCs w:val="18"/>
              </w:rPr>
              <w:t>)</w:t>
            </w:r>
          </w:p>
        </w:tc>
        <w:tc>
          <w:tcPr>
            <w:tcW w:w="2373" w:type="dxa"/>
            <w:shd w:val="clear" w:color="auto" w:fill="auto"/>
            <w:vAlign w:val="bottom"/>
          </w:tcPr>
          <w:p w14:paraId="40DC7D6E" w14:textId="785AC99D" w:rsidR="00FA22FC" w:rsidRPr="002D2F67" w:rsidRDefault="00FA22FC" w:rsidP="005611FE">
            <w:pPr>
              <w:ind w:right="-72"/>
              <w:contextualSpacing/>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w:t>
            </w:r>
            <w:r w:rsidRPr="002D2F67">
              <w:rPr>
                <w:rFonts w:ascii="Arial" w:hAnsi="Arial" w:cs="Arial"/>
                <w:color w:val="000000"/>
                <w:sz w:val="18"/>
                <w:szCs w:val="18"/>
              </w:rPr>
              <w:t>,</w:t>
            </w:r>
            <w:r w:rsidR="00CD5714" w:rsidRPr="00CD5714">
              <w:rPr>
                <w:rFonts w:ascii="Arial" w:hAnsi="Arial" w:cs="Arial"/>
                <w:color w:val="000000"/>
                <w:sz w:val="18"/>
                <w:szCs w:val="18"/>
                <w:lang w:val="en-GB"/>
              </w:rPr>
              <w:t>229</w:t>
            </w:r>
            <w:r w:rsidRPr="002D2F67">
              <w:rPr>
                <w:rFonts w:ascii="Arial" w:hAnsi="Arial" w:cs="Arial"/>
                <w:color w:val="000000"/>
                <w:sz w:val="18"/>
                <w:szCs w:val="18"/>
              </w:rPr>
              <w:t>,</w:t>
            </w:r>
            <w:r w:rsidR="00CD5714" w:rsidRPr="00CD5714">
              <w:rPr>
                <w:rFonts w:ascii="Arial" w:hAnsi="Arial" w:cs="Arial"/>
                <w:color w:val="000000"/>
                <w:sz w:val="18"/>
                <w:szCs w:val="18"/>
                <w:lang w:val="en-GB"/>
              </w:rPr>
              <w:t>959</w:t>
            </w:r>
            <w:r w:rsidRPr="002D2F67">
              <w:rPr>
                <w:rFonts w:ascii="Arial" w:hAnsi="Arial" w:cs="Arial"/>
                <w:color w:val="000000"/>
                <w:sz w:val="18"/>
                <w:szCs w:val="18"/>
              </w:rPr>
              <w:t>)</w:t>
            </w:r>
          </w:p>
        </w:tc>
        <w:tc>
          <w:tcPr>
            <w:tcW w:w="2372" w:type="dxa"/>
            <w:shd w:val="clear" w:color="auto" w:fill="auto"/>
          </w:tcPr>
          <w:p w14:paraId="1AB4CF8B" w14:textId="25FE290D" w:rsidR="00FA22FC" w:rsidRPr="002D2F67" w:rsidRDefault="00FA22FC" w:rsidP="005611FE">
            <w:pPr>
              <w:ind w:right="-72"/>
              <w:contextualSpacing/>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2</w:t>
            </w:r>
            <w:r w:rsidRPr="002D2F67">
              <w:rPr>
                <w:rFonts w:ascii="Arial" w:hAnsi="Arial" w:cs="Arial"/>
                <w:color w:val="000000"/>
                <w:sz w:val="18"/>
                <w:szCs w:val="18"/>
              </w:rPr>
              <w:t>,</w:t>
            </w:r>
            <w:r w:rsidR="00CD5714" w:rsidRPr="00CD5714">
              <w:rPr>
                <w:rFonts w:ascii="Arial" w:hAnsi="Arial" w:cs="Arial"/>
                <w:color w:val="000000"/>
                <w:sz w:val="18"/>
                <w:szCs w:val="18"/>
                <w:lang w:val="en-GB"/>
              </w:rPr>
              <w:t>280</w:t>
            </w:r>
            <w:r w:rsidRPr="002D2F67">
              <w:rPr>
                <w:rFonts w:ascii="Arial" w:hAnsi="Arial" w:cs="Arial"/>
                <w:color w:val="000000"/>
                <w:sz w:val="18"/>
                <w:szCs w:val="18"/>
              </w:rPr>
              <w:t>,</w:t>
            </w:r>
            <w:r w:rsidR="00CD5714" w:rsidRPr="00CD5714">
              <w:rPr>
                <w:rFonts w:ascii="Arial" w:hAnsi="Arial" w:cs="Arial"/>
                <w:color w:val="000000"/>
                <w:sz w:val="18"/>
                <w:szCs w:val="18"/>
                <w:lang w:val="en-GB"/>
              </w:rPr>
              <w:t>722</w:t>
            </w:r>
            <w:r w:rsidRPr="002D2F67">
              <w:rPr>
                <w:rFonts w:ascii="Arial" w:hAnsi="Arial" w:cs="Arial"/>
                <w:color w:val="000000"/>
                <w:sz w:val="18"/>
                <w:szCs w:val="18"/>
              </w:rPr>
              <w:t>)</w:t>
            </w:r>
          </w:p>
        </w:tc>
        <w:tc>
          <w:tcPr>
            <w:tcW w:w="2372" w:type="dxa"/>
            <w:shd w:val="clear" w:color="auto" w:fill="auto"/>
          </w:tcPr>
          <w:p w14:paraId="258AD8CC" w14:textId="2CA08C72" w:rsidR="00FA22FC" w:rsidRPr="002D2F67" w:rsidRDefault="00CD5714" w:rsidP="005611FE">
            <w:pPr>
              <w:ind w:right="-72"/>
              <w:contextualSpacing/>
              <w:jc w:val="right"/>
              <w:rPr>
                <w:rFonts w:ascii="Arial" w:hAnsi="Arial" w:cs="Arial"/>
                <w:color w:val="000000"/>
                <w:sz w:val="18"/>
                <w:szCs w:val="18"/>
              </w:rPr>
            </w:pPr>
            <w:r w:rsidRPr="00CD5714">
              <w:rPr>
                <w:rFonts w:ascii="Arial" w:hAnsi="Arial" w:cs="Arial"/>
                <w:color w:val="000000"/>
                <w:sz w:val="18"/>
                <w:szCs w:val="18"/>
                <w:lang w:val="en-GB"/>
              </w:rPr>
              <w:t>875</w:t>
            </w:r>
            <w:r w:rsidR="00FA22FC" w:rsidRPr="002D2F67">
              <w:rPr>
                <w:rFonts w:ascii="Arial" w:hAnsi="Arial" w:cs="Arial"/>
                <w:color w:val="000000"/>
                <w:sz w:val="18"/>
                <w:szCs w:val="18"/>
              </w:rPr>
              <w:t>,</w:t>
            </w:r>
            <w:r w:rsidRPr="00CD5714">
              <w:rPr>
                <w:rFonts w:ascii="Arial" w:hAnsi="Arial" w:cs="Arial"/>
                <w:color w:val="000000"/>
                <w:sz w:val="18"/>
                <w:szCs w:val="18"/>
                <w:lang w:val="en-GB"/>
              </w:rPr>
              <w:t>844</w:t>
            </w:r>
          </w:p>
        </w:tc>
      </w:tr>
      <w:tr w:rsidR="00FA22FC" w:rsidRPr="002D2F67" w14:paraId="4D14D277" w14:textId="77777777" w:rsidTr="004F4DED">
        <w:trPr>
          <w:cantSplit/>
          <w:trHeight w:val="70"/>
        </w:trPr>
        <w:tc>
          <w:tcPr>
            <w:tcW w:w="4781" w:type="dxa"/>
            <w:shd w:val="clear" w:color="auto" w:fill="auto"/>
          </w:tcPr>
          <w:p w14:paraId="197FF7D9" w14:textId="6C1599EF" w:rsidR="00FA22FC" w:rsidRPr="002D2F67" w:rsidRDefault="00FA22FC" w:rsidP="005611FE">
            <w:pPr>
              <w:ind w:left="-105" w:right="-108"/>
              <w:contextualSpacing/>
              <w:rPr>
                <w:rFonts w:ascii="Arial" w:hAnsi="Arial" w:cs="Arial"/>
                <w:color w:val="000000"/>
                <w:spacing w:val="-6"/>
                <w:sz w:val="18"/>
                <w:szCs w:val="18"/>
                <w:cs/>
              </w:rPr>
            </w:pPr>
            <w:r w:rsidRPr="002D2F67">
              <w:rPr>
                <w:rFonts w:ascii="Arial" w:hAnsi="Arial" w:cs="Arial"/>
                <w:color w:val="000000"/>
                <w:spacing w:val="-6"/>
                <w:sz w:val="18"/>
                <w:szCs w:val="18"/>
              </w:rPr>
              <w:t>Other comprehensive income (expense)</w:t>
            </w:r>
          </w:p>
        </w:tc>
        <w:tc>
          <w:tcPr>
            <w:tcW w:w="2369" w:type="dxa"/>
            <w:tcBorders>
              <w:bottom w:val="single" w:sz="4" w:space="0" w:color="auto"/>
            </w:tcBorders>
            <w:shd w:val="clear" w:color="auto" w:fill="auto"/>
            <w:vAlign w:val="bottom"/>
          </w:tcPr>
          <w:p w14:paraId="5D53EE49" w14:textId="1B5F2E1B" w:rsidR="00FA22FC" w:rsidRPr="002D2F67" w:rsidRDefault="00CD5714" w:rsidP="005611FE">
            <w:pPr>
              <w:ind w:right="-72"/>
              <w:contextualSpacing/>
              <w:jc w:val="right"/>
              <w:rPr>
                <w:rFonts w:ascii="Arial" w:hAnsi="Arial" w:cs="Arial"/>
                <w:color w:val="000000"/>
                <w:sz w:val="18"/>
                <w:szCs w:val="18"/>
              </w:rPr>
            </w:pPr>
            <w:r w:rsidRPr="00CD5714">
              <w:rPr>
                <w:rFonts w:ascii="Arial" w:hAnsi="Arial" w:cs="Arial"/>
                <w:color w:val="000000"/>
                <w:sz w:val="18"/>
                <w:szCs w:val="18"/>
                <w:lang w:val="en-GB"/>
              </w:rPr>
              <w:t>19</w:t>
            </w:r>
            <w:r w:rsidR="00FA22FC" w:rsidRPr="002D2F67">
              <w:rPr>
                <w:rFonts w:ascii="Arial" w:hAnsi="Arial" w:cs="Arial"/>
                <w:color w:val="000000"/>
                <w:sz w:val="18"/>
                <w:szCs w:val="18"/>
              </w:rPr>
              <w:t>,</w:t>
            </w:r>
            <w:r w:rsidRPr="00CD5714">
              <w:rPr>
                <w:rFonts w:ascii="Arial" w:hAnsi="Arial" w:cs="Arial"/>
                <w:color w:val="000000"/>
                <w:sz w:val="18"/>
                <w:szCs w:val="18"/>
                <w:lang w:val="en-GB"/>
              </w:rPr>
              <w:t>209</w:t>
            </w:r>
          </w:p>
        </w:tc>
        <w:tc>
          <w:tcPr>
            <w:tcW w:w="2373" w:type="dxa"/>
            <w:tcBorders>
              <w:bottom w:val="single" w:sz="4" w:space="0" w:color="auto"/>
            </w:tcBorders>
            <w:shd w:val="clear" w:color="auto" w:fill="auto"/>
            <w:vAlign w:val="bottom"/>
          </w:tcPr>
          <w:p w14:paraId="77E95808" w14:textId="03298CD2" w:rsidR="00FA22FC" w:rsidRPr="002D2F67" w:rsidRDefault="00CD5714" w:rsidP="005611FE">
            <w:pPr>
              <w:ind w:right="-72"/>
              <w:contextualSpacing/>
              <w:jc w:val="right"/>
              <w:rPr>
                <w:rFonts w:ascii="Arial" w:hAnsi="Arial" w:cs="Arial"/>
                <w:color w:val="000000"/>
                <w:sz w:val="18"/>
                <w:szCs w:val="18"/>
              </w:rPr>
            </w:pPr>
            <w:r w:rsidRPr="00CD5714">
              <w:rPr>
                <w:rFonts w:ascii="Arial" w:hAnsi="Arial" w:cs="Arial"/>
                <w:color w:val="000000"/>
                <w:sz w:val="18"/>
                <w:szCs w:val="18"/>
                <w:lang w:val="en-GB"/>
              </w:rPr>
              <w:t>3</w:t>
            </w:r>
            <w:r w:rsidR="00FA22FC" w:rsidRPr="002D2F67">
              <w:rPr>
                <w:rFonts w:ascii="Arial" w:hAnsi="Arial" w:cs="Arial"/>
                <w:color w:val="000000"/>
                <w:sz w:val="18"/>
                <w:szCs w:val="18"/>
              </w:rPr>
              <w:t>,</w:t>
            </w:r>
            <w:r w:rsidRPr="00CD5714">
              <w:rPr>
                <w:rFonts w:ascii="Arial" w:hAnsi="Arial" w:cs="Arial"/>
                <w:color w:val="000000"/>
                <w:sz w:val="18"/>
                <w:szCs w:val="18"/>
                <w:lang w:val="en-GB"/>
              </w:rPr>
              <w:t>398</w:t>
            </w:r>
          </w:p>
        </w:tc>
        <w:tc>
          <w:tcPr>
            <w:tcW w:w="2372" w:type="dxa"/>
            <w:tcBorders>
              <w:bottom w:val="single" w:sz="4" w:space="0" w:color="auto"/>
            </w:tcBorders>
            <w:shd w:val="clear" w:color="auto" w:fill="auto"/>
          </w:tcPr>
          <w:p w14:paraId="56101D36" w14:textId="55843B4D" w:rsidR="00FA22FC" w:rsidRPr="002D2F67" w:rsidRDefault="00FA22FC" w:rsidP="005611FE">
            <w:pPr>
              <w:ind w:right="-72"/>
              <w:contextualSpacing/>
              <w:jc w:val="right"/>
              <w:rPr>
                <w:rFonts w:ascii="Arial" w:hAnsi="Arial" w:cs="Arial"/>
                <w:color w:val="000000"/>
                <w:sz w:val="18"/>
                <w:szCs w:val="18"/>
              </w:rPr>
            </w:pPr>
            <w:r w:rsidRPr="002D2F67">
              <w:rPr>
                <w:rFonts w:ascii="Arial" w:hAnsi="Arial" w:cs="Arial"/>
                <w:color w:val="000000"/>
                <w:sz w:val="18"/>
                <w:szCs w:val="18"/>
              </w:rPr>
              <w:t>-</w:t>
            </w:r>
          </w:p>
        </w:tc>
        <w:tc>
          <w:tcPr>
            <w:tcW w:w="2372" w:type="dxa"/>
            <w:tcBorders>
              <w:bottom w:val="single" w:sz="4" w:space="0" w:color="auto"/>
            </w:tcBorders>
            <w:shd w:val="clear" w:color="auto" w:fill="auto"/>
          </w:tcPr>
          <w:p w14:paraId="433D8A31" w14:textId="33A523DA" w:rsidR="00FA22FC" w:rsidRPr="002D2F67" w:rsidRDefault="00FA22FC" w:rsidP="005611FE">
            <w:pPr>
              <w:ind w:right="-72"/>
              <w:contextualSpacing/>
              <w:jc w:val="right"/>
              <w:rPr>
                <w:rFonts w:ascii="Arial" w:hAnsi="Arial" w:cs="Arial"/>
                <w:color w:val="000000"/>
                <w:sz w:val="18"/>
                <w:szCs w:val="18"/>
              </w:rPr>
            </w:pPr>
            <w:r w:rsidRPr="002D2F67">
              <w:rPr>
                <w:rFonts w:ascii="Arial" w:hAnsi="Arial" w:cs="Arial"/>
                <w:color w:val="000000"/>
                <w:sz w:val="18"/>
                <w:szCs w:val="18"/>
              </w:rPr>
              <w:t>-</w:t>
            </w:r>
          </w:p>
        </w:tc>
      </w:tr>
      <w:tr w:rsidR="00FA22FC" w:rsidRPr="002D2F67" w14:paraId="1B809840" w14:textId="77777777" w:rsidTr="004F4DED">
        <w:trPr>
          <w:cantSplit/>
          <w:trHeight w:val="266"/>
        </w:trPr>
        <w:tc>
          <w:tcPr>
            <w:tcW w:w="4781" w:type="dxa"/>
            <w:shd w:val="clear" w:color="auto" w:fill="auto"/>
          </w:tcPr>
          <w:p w14:paraId="23C5F88D" w14:textId="77777777" w:rsidR="00FA22FC" w:rsidRPr="002D2F67" w:rsidRDefault="00FA22FC" w:rsidP="005611FE">
            <w:pPr>
              <w:ind w:left="-105" w:right="-108"/>
              <w:contextualSpacing/>
              <w:rPr>
                <w:rFonts w:ascii="Arial" w:hAnsi="Arial" w:cs="Arial"/>
                <w:color w:val="000000"/>
                <w:spacing w:val="-6"/>
                <w:sz w:val="18"/>
                <w:szCs w:val="18"/>
              </w:rPr>
            </w:pPr>
          </w:p>
        </w:tc>
        <w:tc>
          <w:tcPr>
            <w:tcW w:w="2369" w:type="dxa"/>
            <w:tcBorders>
              <w:top w:val="single" w:sz="4" w:space="0" w:color="auto"/>
            </w:tcBorders>
            <w:shd w:val="clear" w:color="auto" w:fill="auto"/>
            <w:vAlign w:val="bottom"/>
          </w:tcPr>
          <w:p w14:paraId="7CDD0160" w14:textId="77777777" w:rsidR="00FA22FC" w:rsidRPr="002D2F67" w:rsidRDefault="00FA22FC" w:rsidP="005611FE">
            <w:pPr>
              <w:ind w:right="-72"/>
              <w:contextualSpacing/>
              <w:jc w:val="right"/>
              <w:rPr>
                <w:rFonts w:ascii="Arial" w:hAnsi="Arial" w:cs="Arial"/>
                <w:color w:val="000000"/>
                <w:sz w:val="18"/>
                <w:szCs w:val="18"/>
              </w:rPr>
            </w:pPr>
          </w:p>
        </w:tc>
        <w:tc>
          <w:tcPr>
            <w:tcW w:w="2373" w:type="dxa"/>
            <w:tcBorders>
              <w:top w:val="single" w:sz="4" w:space="0" w:color="auto"/>
            </w:tcBorders>
            <w:shd w:val="clear" w:color="auto" w:fill="auto"/>
            <w:vAlign w:val="bottom"/>
          </w:tcPr>
          <w:p w14:paraId="458ABD01" w14:textId="77777777" w:rsidR="00FA22FC" w:rsidRPr="002D2F67" w:rsidRDefault="00FA22FC" w:rsidP="005611FE">
            <w:pPr>
              <w:ind w:right="-72"/>
              <w:contextualSpacing/>
              <w:jc w:val="right"/>
              <w:rPr>
                <w:rFonts w:ascii="Arial" w:hAnsi="Arial" w:cs="Arial"/>
                <w:color w:val="000000"/>
                <w:sz w:val="18"/>
                <w:szCs w:val="18"/>
              </w:rPr>
            </w:pPr>
          </w:p>
        </w:tc>
        <w:tc>
          <w:tcPr>
            <w:tcW w:w="2372" w:type="dxa"/>
            <w:tcBorders>
              <w:top w:val="single" w:sz="4" w:space="0" w:color="auto"/>
            </w:tcBorders>
            <w:shd w:val="clear" w:color="auto" w:fill="auto"/>
          </w:tcPr>
          <w:p w14:paraId="2DC2979C" w14:textId="77777777" w:rsidR="00FA22FC" w:rsidRPr="002D2F67" w:rsidRDefault="00FA22FC" w:rsidP="005611FE">
            <w:pPr>
              <w:ind w:right="-72"/>
              <w:contextualSpacing/>
              <w:jc w:val="right"/>
              <w:rPr>
                <w:rFonts w:ascii="Arial" w:hAnsi="Arial" w:cs="Arial"/>
                <w:color w:val="000000"/>
                <w:sz w:val="18"/>
                <w:szCs w:val="18"/>
              </w:rPr>
            </w:pPr>
          </w:p>
        </w:tc>
        <w:tc>
          <w:tcPr>
            <w:tcW w:w="2372" w:type="dxa"/>
            <w:tcBorders>
              <w:top w:val="single" w:sz="4" w:space="0" w:color="auto"/>
            </w:tcBorders>
            <w:shd w:val="clear" w:color="auto" w:fill="auto"/>
          </w:tcPr>
          <w:p w14:paraId="1D3F0D0C" w14:textId="77777777" w:rsidR="00FA22FC" w:rsidRPr="002D2F67" w:rsidRDefault="00FA22FC" w:rsidP="005611FE">
            <w:pPr>
              <w:ind w:right="-72"/>
              <w:contextualSpacing/>
              <w:jc w:val="right"/>
              <w:rPr>
                <w:rFonts w:ascii="Arial" w:hAnsi="Arial" w:cs="Arial"/>
                <w:color w:val="000000"/>
                <w:sz w:val="18"/>
                <w:szCs w:val="18"/>
              </w:rPr>
            </w:pPr>
          </w:p>
        </w:tc>
      </w:tr>
      <w:tr w:rsidR="00FA22FC" w:rsidRPr="002D2F67" w14:paraId="7B584745" w14:textId="77777777" w:rsidTr="004F4DED">
        <w:trPr>
          <w:cantSplit/>
          <w:trHeight w:val="91"/>
        </w:trPr>
        <w:tc>
          <w:tcPr>
            <w:tcW w:w="4781" w:type="dxa"/>
            <w:shd w:val="clear" w:color="auto" w:fill="auto"/>
          </w:tcPr>
          <w:p w14:paraId="32DB06B5" w14:textId="169EE64E" w:rsidR="00FA22FC" w:rsidRPr="002D2F67" w:rsidRDefault="00FA22FC" w:rsidP="005611FE">
            <w:pPr>
              <w:ind w:left="-105" w:right="-108"/>
              <w:contextualSpacing/>
              <w:rPr>
                <w:rFonts w:ascii="Arial" w:hAnsi="Arial" w:cs="Arial"/>
                <w:color w:val="000000"/>
                <w:sz w:val="18"/>
                <w:szCs w:val="18"/>
                <w:cs/>
              </w:rPr>
            </w:pPr>
            <w:r w:rsidRPr="002D2F67">
              <w:rPr>
                <w:rFonts w:ascii="Arial" w:hAnsi="Arial" w:cs="Arial"/>
                <w:color w:val="000000"/>
                <w:spacing w:val="-6"/>
                <w:sz w:val="18"/>
                <w:szCs w:val="18"/>
              </w:rPr>
              <w:t xml:space="preserve">Total comprehensive income (expense) </w:t>
            </w:r>
          </w:p>
        </w:tc>
        <w:tc>
          <w:tcPr>
            <w:tcW w:w="2369" w:type="dxa"/>
            <w:tcBorders>
              <w:bottom w:val="single" w:sz="4" w:space="0" w:color="auto"/>
            </w:tcBorders>
            <w:shd w:val="clear" w:color="auto" w:fill="auto"/>
            <w:vAlign w:val="bottom"/>
          </w:tcPr>
          <w:p w14:paraId="179D21AD" w14:textId="22BCA644" w:rsidR="00FA22FC" w:rsidRPr="002D2F67" w:rsidRDefault="00FA22FC" w:rsidP="005611FE">
            <w:pPr>
              <w:ind w:right="-72"/>
              <w:contextualSpacing/>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5</w:t>
            </w:r>
            <w:r w:rsidRPr="002D2F67">
              <w:rPr>
                <w:rFonts w:ascii="Arial" w:hAnsi="Arial" w:cs="Arial"/>
                <w:color w:val="000000"/>
                <w:sz w:val="18"/>
                <w:szCs w:val="18"/>
              </w:rPr>
              <w:t>,</w:t>
            </w:r>
            <w:r w:rsidR="00CD5714" w:rsidRPr="00CD5714">
              <w:rPr>
                <w:rFonts w:ascii="Arial" w:hAnsi="Arial" w:cs="Arial"/>
                <w:color w:val="000000"/>
                <w:sz w:val="18"/>
                <w:szCs w:val="18"/>
                <w:lang w:val="en-GB"/>
              </w:rPr>
              <w:t>110</w:t>
            </w:r>
            <w:r w:rsidRPr="002D2F67">
              <w:rPr>
                <w:rFonts w:ascii="Arial" w:hAnsi="Arial" w:cs="Arial"/>
                <w:color w:val="000000"/>
                <w:sz w:val="18"/>
                <w:szCs w:val="18"/>
              </w:rPr>
              <w:t>,</w:t>
            </w:r>
            <w:r w:rsidR="00CD5714" w:rsidRPr="00CD5714">
              <w:rPr>
                <w:rFonts w:ascii="Arial" w:hAnsi="Arial" w:cs="Arial"/>
                <w:color w:val="000000"/>
                <w:sz w:val="18"/>
                <w:szCs w:val="18"/>
                <w:lang w:val="en-GB"/>
              </w:rPr>
              <w:t>767</w:t>
            </w:r>
            <w:r w:rsidRPr="002D2F67">
              <w:rPr>
                <w:rFonts w:ascii="Arial" w:hAnsi="Arial" w:cs="Arial"/>
                <w:color w:val="000000"/>
                <w:sz w:val="18"/>
                <w:szCs w:val="18"/>
              </w:rPr>
              <w:t>)</w:t>
            </w:r>
          </w:p>
        </w:tc>
        <w:tc>
          <w:tcPr>
            <w:tcW w:w="2373" w:type="dxa"/>
            <w:tcBorders>
              <w:bottom w:val="single" w:sz="4" w:space="0" w:color="auto"/>
            </w:tcBorders>
            <w:shd w:val="clear" w:color="auto" w:fill="auto"/>
            <w:vAlign w:val="bottom"/>
          </w:tcPr>
          <w:p w14:paraId="0221AE1D" w14:textId="743808CD" w:rsidR="00FA22FC" w:rsidRPr="002D2F67" w:rsidRDefault="00FA22FC" w:rsidP="005611FE">
            <w:pPr>
              <w:ind w:right="-72"/>
              <w:contextualSpacing/>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w:t>
            </w:r>
            <w:r w:rsidRPr="002D2F67">
              <w:rPr>
                <w:rFonts w:ascii="Arial" w:hAnsi="Arial" w:cs="Arial"/>
                <w:color w:val="000000"/>
                <w:sz w:val="18"/>
                <w:szCs w:val="18"/>
              </w:rPr>
              <w:t>,</w:t>
            </w:r>
            <w:r w:rsidR="00CD5714" w:rsidRPr="00CD5714">
              <w:rPr>
                <w:rFonts w:ascii="Arial" w:hAnsi="Arial" w:cs="Arial"/>
                <w:color w:val="000000"/>
                <w:sz w:val="18"/>
                <w:szCs w:val="18"/>
                <w:lang w:val="en-GB"/>
              </w:rPr>
              <w:t>226</w:t>
            </w:r>
            <w:r w:rsidRPr="002D2F67">
              <w:rPr>
                <w:rFonts w:ascii="Arial" w:hAnsi="Arial" w:cs="Arial"/>
                <w:color w:val="000000"/>
                <w:sz w:val="18"/>
                <w:szCs w:val="18"/>
              </w:rPr>
              <w:t>,</w:t>
            </w:r>
            <w:r w:rsidR="00CD5714" w:rsidRPr="00CD5714">
              <w:rPr>
                <w:rFonts w:ascii="Arial" w:hAnsi="Arial" w:cs="Arial"/>
                <w:color w:val="000000"/>
                <w:sz w:val="18"/>
                <w:szCs w:val="18"/>
                <w:lang w:val="en-GB"/>
              </w:rPr>
              <w:t>561</w:t>
            </w:r>
            <w:r w:rsidRPr="002D2F67">
              <w:rPr>
                <w:rFonts w:ascii="Arial" w:hAnsi="Arial" w:cs="Arial"/>
                <w:color w:val="000000"/>
                <w:sz w:val="18"/>
                <w:szCs w:val="18"/>
              </w:rPr>
              <w:t>)</w:t>
            </w:r>
          </w:p>
        </w:tc>
        <w:tc>
          <w:tcPr>
            <w:tcW w:w="2372" w:type="dxa"/>
            <w:tcBorders>
              <w:bottom w:val="single" w:sz="4" w:space="0" w:color="auto"/>
            </w:tcBorders>
            <w:shd w:val="clear" w:color="auto" w:fill="auto"/>
          </w:tcPr>
          <w:p w14:paraId="15ED6AA6" w14:textId="7448C321" w:rsidR="00FA22FC" w:rsidRPr="002D2F67" w:rsidRDefault="00FA22FC" w:rsidP="005611FE">
            <w:pPr>
              <w:ind w:right="-72"/>
              <w:contextualSpacing/>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2</w:t>
            </w:r>
            <w:r w:rsidRPr="002D2F67">
              <w:rPr>
                <w:rFonts w:ascii="Arial" w:hAnsi="Arial" w:cs="Arial"/>
                <w:color w:val="000000"/>
                <w:sz w:val="18"/>
                <w:szCs w:val="18"/>
              </w:rPr>
              <w:t>,</w:t>
            </w:r>
            <w:r w:rsidR="00CD5714" w:rsidRPr="00CD5714">
              <w:rPr>
                <w:rFonts w:ascii="Arial" w:hAnsi="Arial" w:cs="Arial"/>
                <w:color w:val="000000"/>
                <w:sz w:val="18"/>
                <w:szCs w:val="18"/>
                <w:lang w:val="en-GB"/>
              </w:rPr>
              <w:t>280</w:t>
            </w:r>
            <w:r w:rsidRPr="002D2F67">
              <w:rPr>
                <w:rFonts w:ascii="Arial" w:hAnsi="Arial" w:cs="Arial"/>
                <w:color w:val="000000"/>
                <w:sz w:val="18"/>
                <w:szCs w:val="18"/>
              </w:rPr>
              <w:t>,</w:t>
            </w:r>
            <w:r w:rsidR="00CD5714" w:rsidRPr="00CD5714">
              <w:rPr>
                <w:rFonts w:ascii="Arial" w:hAnsi="Arial" w:cs="Arial"/>
                <w:color w:val="000000"/>
                <w:sz w:val="18"/>
                <w:szCs w:val="18"/>
                <w:lang w:val="en-GB"/>
              </w:rPr>
              <w:t>722</w:t>
            </w:r>
            <w:r w:rsidRPr="002D2F67">
              <w:rPr>
                <w:rFonts w:ascii="Arial" w:hAnsi="Arial" w:cs="Arial"/>
                <w:color w:val="000000"/>
                <w:sz w:val="18"/>
                <w:szCs w:val="18"/>
              </w:rPr>
              <w:t>)</w:t>
            </w:r>
          </w:p>
        </w:tc>
        <w:tc>
          <w:tcPr>
            <w:tcW w:w="2372" w:type="dxa"/>
            <w:tcBorders>
              <w:bottom w:val="single" w:sz="4" w:space="0" w:color="auto"/>
            </w:tcBorders>
            <w:shd w:val="clear" w:color="auto" w:fill="auto"/>
          </w:tcPr>
          <w:p w14:paraId="50210F69" w14:textId="359FEA03" w:rsidR="00FA22FC" w:rsidRPr="002D2F67" w:rsidRDefault="00CD5714" w:rsidP="005611FE">
            <w:pPr>
              <w:ind w:right="-72"/>
              <w:contextualSpacing/>
              <w:jc w:val="right"/>
              <w:rPr>
                <w:rFonts w:ascii="Arial" w:hAnsi="Arial" w:cs="Arial"/>
                <w:color w:val="000000"/>
                <w:sz w:val="18"/>
                <w:szCs w:val="18"/>
              </w:rPr>
            </w:pPr>
            <w:r w:rsidRPr="00CD5714">
              <w:rPr>
                <w:rFonts w:ascii="Arial" w:hAnsi="Arial" w:cs="Arial"/>
                <w:color w:val="000000"/>
                <w:sz w:val="18"/>
                <w:szCs w:val="18"/>
                <w:lang w:val="en-GB"/>
              </w:rPr>
              <w:t>875</w:t>
            </w:r>
            <w:r w:rsidR="00FA22FC" w:rsidRPr="002D2F67">
              <w:rPr>
                <w:rFonts w:ascii="Arial" w:hAnsi="Arial" w:cs="Arial"/>
                <w:color w:val="000000"/>
                <w:sz w:val="18"/>
                <w:szCs w:val="18"/>
              </w:rPr>
              <w:t>,</w:t>
            </w:r>
            <w:r w:rsidRPr="00CD5714">
              <w:rPr>
                <w:rFonts w:ascii="Arial" w:hAnsi="Arial" w:cs="Arial"/>
                <w:color w:val="000000"/>
                <w:sz w:val="18"/>
                <w:szCs w:val="18"/>
                <w:lang w:val="en-GB"/>
              </w:rPr>
              <w:t>844</w:t>
            </w:r>
          </w:p>
        </w:tc>
      </w:tr>
      <w:tr w:rsidR="00FA22FC" w:rsidRPr="002D2F67" w14:paraId="188A4EDA" w14:textId="77777777" w:rsidTr="004F4DED">
        <w:trPr>
          <w:cantSplit/>
          <w:trHeight w:val="251"/>
        </w:trPr>
        <w:tc>
          <w:tcPr>
            <w:tcW w:w="4781" w:type="dxa"/>
            <w:shd w:val="clear" w:color="auto" w:fill="auto"/>
          </w:tcPr>
          <w:p w14:paraId="04B30C9E" w14:textId="77777777" w:rsidR="00FA22FC" w:rsidRPr="002D2F67" w:rsidRDefault="00FA22FC" w:rsidP="005611FE">
            <w:pPr>
              <w:ind w:left="-105"/>
              <w:contextualSpacing/>
              <w:rPr>
                <w:rFonts w:ascii="Arial" w:hAnsi="Arial" w:cs="Arial"/>
                <w:color w:val="000000"/>
                <w:sz w:val="18"/>
                <w:szCs w:val="18"/>
                <w:cs/>
              </w:rPr>
            </w:pPr>
          </w:p>
        </w:tc>
        <w:tc>
          <w:tcPr>
            <w:tcW w:w="2369" w:type="dxa"/>
            <w:tcBorders>
              <w:top w:val="single" w:sz="4" w:space="0" w:color="auto"/>
            </w:tcBorders>
            <w:shd w:val="clear" w:color="auto" w:fill="auto"/>
            <w:vAlign w:val="bottom"/>
          </w:tcPr>
          <w:p w14:paraId="63F7C843" w14:textId="77777777" w:rsidR="00FA22FC" w:rsidRPr="002D2F67" w:rsidRDefault="00FA22FC" w:rsidP="005611FE">
            <w:pPr>
              <w:ind w:right="-72"/>
              <w:contextualSpacing/>
              <w:jc w:val="right"/>
              <w:rPr>
                <w:rFonts w:ascii="Arial" w:hAnsi="Arial" w:cs="Arial"/>
                <w:color w:val="000000"/>
                <w:sz w:val="18"/>
                <w:szCs w:val="18"/>
              </w:rPr>
            </w:pPr>
          </w:p>
        </w:tc>
        <w:tc>
          <w:tcPr>
            <w:tcW w:w="2373" w:type="dxa"/>
            <w:tcBorders>
              <w:top w:val="single" w:sz="4" w:space="0" w:color="auto"/>
            </w:tcBorders>
            <w:shd w:val="clear" w:color="auto" w:fill="auto"/>
            <w:vAlign w:val="bottom"/>
          </w:tcPr>
          <w:p w14:paraId="33CA9B64" w14:textId="77777777" w:rsidR="00FA22FC" w:rsidRPr="002D2F67" w:rsidRDefault="00FA22FC" w:rsidP="005611FE">
            <w:pPr>
              <w:ind w:right="-72"/>
              <w:contextualSpacing/>
              <w:jc w:val="right"/>
              <w:rPr>
                <w:rFonts w:ascii="Arial" w:hAnsi="Arial" w:cs="Arial"/>
                <w:color w:val="000000"/>
                <w:sz w:val="18"/>
                <w:szCs w:val="18"/>
              </w:rPr>
            </w:pPr>
          </w:p>
        </w:tc>
        <w:tc>
          <w:tcPr>
            <w:tcW w:w="2372" w:type="dxa"/>
            <w:tcBorders>
              <w:top w:val="single" w:sz="4" w:space="0" w:color="auto"/>
            </w:tcBorders>
            <w:shd w:val="clear" w:color="auto" w:fill="auto"/>
          </w:tcPr>
          <w:p w14:paraId="661381A8" w14:textId="77777777" w:rsidR="00FA22FC" w:rsidRPr="002D2F67" w:rsidRDefault="00FA22FC" w:rsidP="005611FE">
            <w:pPr>
              <w:ind w:right="-72"/>
              <w:contextualSpacing/>
              <w:jc w:val="right"/>
              <w:rPr>
                <w:rFonts w:ascii="Arial" w:hAnsi="Arial" w:cs="Arial"/>
                <w:color w:val="000000"/>
                <w:sz w:val="18"/>
                <w:szCs w:val="18"/>
              </w:rPr>
            </w:pPr>
          </w:p>
        </w:tc>
        <w:tc>
          <w:tcPr>
            <w:tcW w:w="2372" w:type="dxa"/>
            <w:tcBorders>
              <w:top w:val="single" w:sz="4" w:space="0" w:color="auto"/>
            </w:tcBorders>
            <w:shd w:val="clear" w:color="auto" w:fill="auto"/>
          </w:tcPr>
          <w:p w14:paraId="15620A3D" w14:textId="77777777" w:rsidR="00FA22FC" w:rsidRPr="002D2F67" w:rsidRDefault="00FA22FC" w:rsidP="005611FE">
            <w:pPr>
              <w:ind w:right="-72"/>
              <w:contextualSpacing/>
              <w:jc w:val="right"/>
              <w:rPr>
                <w:rFonts w:ascii="Arial" w:hAnsi="Arial" w:cs="Arial"/>
                <w:color w:val="000000"/>
                <w:sz w:val="18"/>
                <w:szCs w:val="18"/>
              </w:rPr>
            </w:pPr>
          </w:p>
        </w:tc>
      </w:tr>
      <w:tr w:rsidR="00FA22FC" w:rsidRPr="002D2F67" w14:paraId="14395746" w14:textId="77777777" w:rsidTr="004F4DED">
        <w:trPr>
          <w:cantSplit/>
          <w:trHeight w:val="91"/>
        </w:trPr>
        <w:tc>
          <w:tcPr>
            <w:tcW w:w="4781" w:type="dxa"/>
            <w:shd w:val="clear" w:color="auto" w:fill="auto"/>
          </w:tcPr>
          <w:p w14:paraId="47B1E871" w14:textId="20771AC7" w:rsidR="00FA22FC" w:rsidRPr="002D2F67" w:rsidRDefault="00FA22FC" w:rsidP="005611FE">
            <w:pPr>
              <w:ind w:left="-105" w:right="-108"/>
              <w:contextualSpacing/>
              <w:rPr>
                <w:rFonts w:ascii="Arial" w:hAnsi="Arial" w:cs="Arial"/>
                <w:color w:val="000000"/>
                <w:sz w:val="18"/>
                <w:szCs w:val="18"/>
                <w:cs/>
              </w:rPr>
            </w:pPr>
            <w:r w:rsidRPr="002D2F67">
              <w:rPr>
                <w:rFonts w:ascii="Arial" w:hAnsi="Arial" w:cs="Arial"/>
                <w:color w:val="000000"/>
                <w:spacing w:val="-6"/>
                <w:sz w:val="18"/>
                <w:szCs w:val="18"/>
              </w:rPr>
              <w:t>Profit (loss) allocated to non-controlling interests</w:t>
            </w:r>
          </w:p>
        </w:tc>
        <w:tc>
          <w:tcPr>
            <w:tcW w:w="2369" w:type="dxa"/>
            <w:tcBorders>
              <w:bottom w:val="single" w:sz="4" w:space="0" w:color="auto"/>
            </w:tcBorders>
            <w:shd w:val="clear" w:color="auto" w:fill="auto"/>
            <w:vAlign w:val="bottom"/>
          </w:tcPr>
          <w:p w14:paraId="0F2F1850" w14:textId="26E5C11C" w:rsidR="00FA22FC" w:rsidRPr="002D2F67" w:rsidRDefault="00FA22FC"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w:t>
            </w:r>
            <w:r w:rsidRPr="002D2F67">
              <w:rPr>
                <w:rFonts w:ascii="Arial" w:hAnsi="Arial" w:cs="Arial"/>
                <w:color w:val="000000"/>
                <w:sz w:val="18"/>
                <w:szCs w:val="18"/>
              </w:rPr>
              <w:t>,</w:t>
            </w:r>
            <w:r w:rsidR="00CD5714" w:rsidRPr="00CD5714">
              <w:rPr>
                <w:rFonts w:ascii="Arial" w:hAnsi="Arial" w:cs="Arial"/>
                <w:color w:val="000000"/>
                <w:sz w:val="18"/>
                <w:szCs w:val="18"/>
                <w:lang w:val="en-GB"/>
              </w:rPr>
              <w:t>471</w:t>
            </w:r>
            <w:r w:rsidRPr="002D2F67">
              <w:rPr>
                <w:rFonts w:ascii="Arial" w:hAnsi="Arial" w:cs="Arial"/>
                <w:color w:val="000000"/>
                <w:sz w:val="18"/>
                <w:szCs w:val="18"/>
              </w:rPr>
              <w:t>,</w:t>
            </w:r>
            <w:r w:rsidR="00CD5714" w:rsidRPr="00CD5714">
              <w:rPr>
                <w:rFonts w:ascii="Arial" w:hAnsi="Arial" w:cs="Arial"/>
                <w:color w:val="000000"/>
                <w:sz w:val="18"/>
                <w:szCs w:val="18"/>
                <w:lang w:val="en-GB"/>
              </w:rPr>
              <w:t>901</w:t>
            </w:r>
            <w:r w:rsidRPr="002D2F67">
              <w:rPr>
                <w:rFonts w:ascii="Arial" w:hAnsi="Arial" w:cs="Arial"/>
                <w:color w:val="000000"/>
                <w:sz w:val="18"/>
                <w:szCs w:val="18"/>
              </w:rPr>
              <w:t>)</w:t>
            </w:r>
          </w:p>
        </w:tc>
        <w:tc>
          <w:tcPr>
            <w:tcW w:w="2373" w:type="dxa"/>
            <w:tcBorders>
              <w:bottom w:val="single" w:sz="4" w:space="0" w:color="auto"/>
            </w:tcBorders>
            <w:shd w:val="clear" w:color="auto" w:fill="auto"/>
            <w:vAlign w:val="bottom"/>
          </w:tcPr>
          <w:p w14:paraId="1CC45FB3" w14:textId="1E21405F" w:rsidR="00FA22FC" w:rsidRPr="002D2F67" w:rsidRDefault="00FA22FC"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353</w:t>
            </w:r>
            <w:r w:rsidRPr="002D2F67">
              <w:rPr>
                <w:rFonts w:ascii="Arial" w:hAnsi="Arial" w:cs="Arial"/>
                <w:color w:val="000000"/>
                <w:sz w:val="18"/>
                <w:szCs w:val="18"/>
              </w:rPr>
              <w:t>,</w:t>
            </w:r>
            <w:r w:rsidR="00CD5714" w:rsidRPr="00CD5714">
              <w:rPr>
                <w:rFonts w:ascii="Arial" w:hAnsi="Arial" w:cs="Arial"/>
                <w:color w:val="000000"/>
                <w:sz w:val="18"/>
                <w:szCs w:val="18"/>
                <w:lang w:val="en-GB"/>
              </w:rPr>
              <w:t>250</w:t>
            </w:r>
            <w:r w:rsidRPr="002D2F67">
              <w:rPr>
                <w:rFonts w:ascii="Arial" w:hAnsi="Arial" w:cs="Arial"/>
                <w:color w:val="000000"/>
                <w:sz w:val="18"/>
                <w:szCs w:val="18"/>
              </w:rPr>
              <w:t>)</w:t>
            </w:r>
          </w:p>
        </w:tc>
        <w:tc>
          <w:tcPr>
            <w:tcW w:w="2372" w:type="dxa"/>
            <w:tcBorders>
              <w:bottom w:val="single" w:sz="4" w:space="0" w:color="auto"/>
            </w:tcBorders>
            <w:shd w:val="clear" w:color="auto" w:fill="auto"/>
          </w:tcPr>
          <w:p w14:paraId="74401E5E" w14:textId="0E7550A1" w:rsidR="00FA22FC" w:rsidRPr="002D2F67" w:rsidRDefault="00FA22FC" w:rsidP="005611FE">
            <w:pPr>
              <w:ind w:right="-72"/>
              <w:contextualSpacing/>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w:t>
            </w:r>
            <w:r w:rsidRPr="002D2F67">
              <w:rPr>
                <w:rFonts w:ascii="Arial" w:hAnsi="Arial" w:cs="Arial"/>
                <w:color w:val="000000"/>
                <w:sz w:val="18"/>
                <w:szCs w:val="18"/>
              </w:rPr>
              <w:t>,</w:t>
            </w:r>
            <w:r w:rsidR="00CD5714" w:rsidRPr="00CD5714">
              <w:rPr>
                <w:rFonts w:ascii="Arial" w:hAnsi="Arial" w:cs="Arial"/>
                <w:color w:val="000000"/>
                <w:sz w:val="18"/>
                <w:szCs w:val="18"/>
                <w:lang w:val="en-GB"/>
              </w:rPr>
              <w:t>026</w:t>
            </w:r>
            <w:r w:rsidRPr="002D2F67">
              <w:rPr>
                <w:rFonts w:ascii="Arial" w:hAnsi="Arial" w:cs="Arial"/>
                <w:color w:val="000000"/>
                <w:sz w:val="18"/>
                <w:szCs w:val="18"/>
              </w:rPr>
              <w:t>,</w:t>
            </w:r>
            <w:r w:rsidR="00CD5714" w:rsidRPr="00CD5714">
              <w:rPr>
                <w:rFonts w:ascii="Arial" w:hAnsi="Arial" w:cs="Arial"/>
                <w:color w:val="000000"/>
                <w:sz w:val="18"/>
                <w:szCs w:val="18"/>
                <w:lang w:val="en-GB"/>
              </w:rPr>
              <w:t>553</w:t>
            </w:r>
            <w:r w:rsidRPr="002D2F67">
              <w:rPr>
                <w:rFonts w:ascii="Arial" w:hAnsi="Arial" w:cs="Arial"/>
                <w:color w:val="000000"/>
                <w:sz w:val="18"/>
                <w:szCs w:val="18"/>
              </w:rPr>
              <w:t>)</w:t>
            </w:r>
          </w:p>
        </w:tc>
        <w:tc>
          <w:tcPr>
            <w:tcW w:w="2372" w:type="dxa"/>
            <w:tcBorders>
              <w:bottom w:val="single" w:sz="4" w:space="0" w:color="auto"/>
            </w:tcBorders>
            <w:shd w:val="clear" w:color="auto" w:fill="auto"/>
          </w:tcPr>
          <w:p w14:paraId="749F3DE0" w14:textId="1D2DD4B3" w:rsidR="00FA22FC"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18"/>
                <w:szCs w:val="18"/>
              </w:rPr>
            </w:pPr>
            <w:r w:rsidRPr="00CD5714">
              <w:rPr>
                <w:rFonts w:ascii="Arial" w:hAnsi="Arial" w:cs="Arial"/>
                <w:color w:val="000000"/>
                <w:sz w:val="18"/>
                <w:szCs w:val="18"/>
                <w:lang w:val="en-GB"/>
              </w:rPr>
              <w:t>394</w:t>
            </w:r>
            <w:r w:rsidR="00FA22FC" w:rsidRPr="002D2F67">
              <w:rPr>
                <w:rFonts w:ascii="Arial" w:hAnsi="Arial" w:cs="Arial"/>
                <w:color w:val="000000"/>
                <w:sz w:val="18"/>
                <w:szCs w:val="18"/>
              </w:rPr>
              <w:t>,</w:t>
            </w:r>
            <w:r w:rsidRPr="00CD5714">
              <w:rPr>
                <w:rFonts w:ascii="Arial" w:hAnsi="Arial" w:cs="Arial"/>
                <w:color w:val="000000"/>
                <w:sz w:val="18"/>
                <w:szCs w:val="18"/>
                <w:lang w:val="en-GB"/>
              </w:rPr>
              <w:t>217</w:t>
            </w:r>
          </w:p>
        </w:tc>
      </w:tr>
      <w:tr w:rsidR="00FA22FC" w:rsidRPr="002D2F67" w14:paraId="42CAFB08" w14:textId="77777777" w:rsidTr="004F4DED">
        <w:trPr>
          <w:cantSplit/>
          <w:trHeight w:val="251"/>
        </w:trPr>
        <w:tc>
          <w:tcPr>
            <w:tcW w:w="4781" w:type="dxa"/>
            <w:shd w:val="clear" w:color="auto" w:fill="auto"/>
          </w:tcPr>
          <w:p w14:paraId="76D5E753" w14:textId="77777777" w:rsidR="00FA22FC" w:rsidRPr="002D2F67" w:rsidRDefault="00FA22FC" w:rsidP="005611FE">
            <w:pPr>
              <w:ind w:left="-105"/>
              <w:contextualSpacing/>
              <w:rPr>
                <w:rFonts w:ascii="Arial" w:hAnsi="Arial" w:cs="Arial"/>
                <w:color w:val="000000"/>
                <w:sz w:val="18"/>
                <w:szCs w:val="18"/>
                <w:cs/>
              </w:rPr>
            </w:pPr>
          </w:p>
        </w:tc>
        <w:tc>
          <w:tcPr>
            <w:tcW w:w="2369" w:type="dxa"/>
            <w:tcBorders>
              <w:top w:val="single" w:sz="4" w:space="0" w:color="auto"/>
            </w:tcBorders>
            <w:shd w:val="clear" w:color="auto" w:fill="auto"/>
            <w:vAlign w:val="bottom"/>
          </w:tcPr>
          <w:p w14:paraId="071865A0" w14:textId="77777777" w:rsidR="00FA22FC" w:rsidRPr="002D2F67" w:rsidRDefault="00FA22FC"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18"/>
                <w:szCs w:val="18"/>
              </w:rPr>
            </w:pPr>
          </w:p>
        </w:tc>
        <w:tc>
          <w:tcPr>
            <w:tcW w:w="2373" w:type="dxa"/>
            <w:tcBorders>
              <w:top w:val="single" w:sz="4" w:space="0" w:color="auto"/>
            </w:tcBorders>
            <w:shd w:val="clear" w:color="auto" w:fill="auto"/>
            <w:vAlign w:val="bottom"/>
          </w:tcPr>
          <w:p w14:paraId="4DFF5203" w14:textId="77777777" w:rsidR="00FA22FC" w:rsidRPr="002D2F67" w:rsidRDefault="00FA22FC"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18"/>
                <w:szCs w:val="18"/>
              </w:rPr>
            </w:pPr>
          </w:p>
        </w:tc>
        <w:tc>
          <w:tcPr>
            <w:tcW w:w="2372" w:type="dxa"/>
            <w:tcBorders>
              <w:top w:val="single" w:sz="4" w:space="0" w:color="auto"/>
            </w:tcBorders>
            <w:shd w:val="clear" w:color="auto" w:fill="auto"/>
          </w:tcPr>
          <w:p w14:paraId="64EBC28B" w14:textId="77777777" w:rsidR="00FA22FC" w:rsidRPr="002D2F67" w:rsidRDefault="00FA22FC" w:rsidP="005611FE">
            <w:pPr>
              <w:ind w:right="-72"/>
              <w:contextualSpacing/>
              <w:jc w:val="right"/>
              <w:rPr>
                <w:rFonts w:ascii="Arial" w:hAnsi="Arial" w:cs="Arial"/>
                <w:color w:val="000000"/>
                <w:sz w:val="18"/>
                <w:szCs w:val="18"/>
              </w:rPr>
            </w:pPr>
          </w:p>
        </w:tc>
        <w:tc>
          <w:tcPr>
            <w:tcW w:w="2372" w:type="dxa"/>
            <w:tcBorders>
              <w:top w:val="single" w:sz="4" w:space="0" w:color="auto"/>
            </w:tcBorders>
            <w:shd w:val="clear" w:color="auto" w:fill="auto"/>
          </w:tcPr>
          <w:p w14:paraId="43932A6F" w14:textId="77777777" w:rsidR="00FA22FC" w:rsidRPr="002D2F67" w:rsidRDefault="00FA22FC"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18"/>
                <w:szCs w:val="18"/>
              </w:rPr>
            </w:pPr>
          </w:p>
        </w:tc>
      </w:tr>
      <w:tr w:rsidR="00FA22FC" w:rsidRPr="002D2F67" w14:paraId="186C546B" w14:textId="77777777" w:rsidTr="004F4DED">
        <w:trPr>
          <w:cantSplit/>
          <w:trHeight w:val="210"/>
        </w:trPr>
        <w:tc>
          <w:tcPr>
            <w:tcW w:w="4781" w:type="dxa"/>
            <w:shd w:val="clear" w:color="auto" w:fill="auto"/>
          </w:tcPr>
          <w:p w14:paraId="18212FE5" w14:textId="06DF76CA" w:rsidR="00FA22FC" w:rsidRPr="002D2F67" w:rsidRDefault="00FA22FC" w:rsidP="005611FE">
            <w:pPr>
              <w:ind w:left="-105" w:right="-108"/>
              <w:contextualSpacing/>
              <w:rPr>
                <w:rFonts w:ascii="Arial" w:hAnsi="Arial" w:cs="Arial"/>
                <w:color w:val="000000"/>
                <w:sz w:val="18"/>
                <w:szCs w:val="18"/>
                <w:cs/>
              </w:rPr>
            </w:pPr>
            <w:r w:rsidRPr="002D2F67">
              <w:rPr>
                <w:rFonts w:ascii="Arial" w:hAnsi="Arial" w:cs="Arial"/>
                <w:color w:val="000000"/>
                <w:spacing w:val="-6"/>
                <w:sz w:val="18"/>
                <w:szCs w:val="18"/>
              </w:rPr>
              <w:t>Dividends paid to non-controlling interests</w:t>
            </w:r>
          </w:p>
        </w:tc>
        <w:tc>
          <w:tcPr>
            <w:tcW w:w="2369" w:type="dxa"/>
            <w:tcBorders>
              <w:bottom w:val="single" w:sz="4" w:space="0" w:color="auto"/>
            </w:tcBorders>
            <w:shd w:val="clear" w:color="auto" w:fill="auto"/>
            <w:vAlign w:val="bottom"/>
          </w:tcPr>
          <w:p w14:paraId="4C372D2C" w14:textId="1CED9471" w:rsidR="00FA22FC" w:rsidRPr="002D2F67" w:rsidRDefault="00FA22FC" w:rsidP="005611FE">
            <w:pPr>
              <w:ind w:right="-72"/>
              <w:contextualSpacing/>
              <w:jc w:val="right"/>
              <w:rPr>
                <w:rFonts w:ascii="Arial" w:hAnsi="Arial" w:cs="Arial"/>
                <w:color w:val="000000"/>
                <w:sz w:val="18"/>
                <w:szCs w:val="18"/>
              </w:rPr>
            </w:pPr>
            <w:r w:rsidRPr="002D2F67">
              <w:rPr>
                <w:rFonts w:ascii="Arial" w:hAnsi="Arial" w:cs="Arial"/>
                <w:color w:val="000000"/>
                <w:sz w:val="18"/>
                <w:szCs w:val="18"/>
              </w:rPr>
              <w:t>-</w:t>
            </w:r>
          </w:p>
        </w:tc>
        <w:tc>
          <w:tcPr>
            <w:tcW w:w="2373" w:type="dxa"/>
            <w:tcBorders>
              <w:bottom w:val="single" w:sz="4" w:space="0" w:color="auto"/>
            </w:tcBorders>
            <w:shd w:val="clear" w:color="auto" w:fill="auto"/>
            <w:vAlign w:val="bottom"/>
          </w:tcPr>
          <w:p w14:paraId="7BCCD554" w14:textId="1C99C632" w:rsidR="00FA22FC" w:rsidRPr="002D2F67" w:rsidRDefault="00FA22FC" w:rsidP="005611FE">
            <w:pPr>
              <w:ind w:right="-72"/>
              <w:contextualSpacing/>
              <w:jc w:val="right"/>
              <w:rPr>
                <w:rFonts w:ascii="Arial" w:hAnsi="Arial" w:cs="Arial"/>
                <w:color w:val="000000"/>
                <w:sz w:val="18"/>
                <w:szCs w:val="18"/>
              </w:rPr>
            </w:pPr>
            <w:r w:rsidRPr="002D2F67">
              <w:rPr>
                <w:rFonts w:ascii="Arial" w:hAnsi="Arial" w:cs="Arial"/>
                <w:color w:val="000000"/>
                <w:sz w:val="18"/>
                <w:szCs w:val="18"/>
              </w:rPr>
              <w:t>-</w:t>
            </w:r>
          </w:p>
        </w:tc>
        <w:tc>
          <w:tcPr>
            <w:tcW w:w="2372" w:type="dxa"/>
            <w:tcBorders>
              <w:bottom w:val="single" w:sz="4" w:space="0" w:color="auto"/>
            </w:tcBorders>
            <w:shd w:val="clear" w:color="auto" w:fill="auto"/>
          </w:tcPr>
          <w:p w14:paraId="228B3FA2" w14:textId="7ECA57CE" w:rsidR="00FA22FC" w:rsidRPr="002D2F67" w:rsidRDefault="00FA22FC" w:rsidP="005611FE">
            <w:pPr>
              <w:ind w:right="-72"/>
              <w:contextualSpacing/>
              <w:jc w:val="right"/>
              <w:rPr>
                <w:rFonts w:ascii="Arial" w:hAnsi="Arial" w:cs="Arial"/>
                <w:color w:val="000000"/>
                <w:sz w:val="18"/>
                <w:szCs w:val="18"/>
              </w:rPr>
            </w:pPr>
            <w:r w:rsidRPr="002D2F67">
              <w:rPr>
                <w:rFonts w:ascii="Arial" w:hAnsi="Arial" w:cs="Arial"/>
                <w:color w:val="000000"/>
                <w:sz w:val="18"/>
                <w:szCs w:val="18"/>
              </w:rPr>
              <w:t>-</w:t>
            </w:r>
          </w:p>
        </w:tc>
        <w:tc>
          <w:tcPr>
            <w:tcW w:w="2372" w:type="dxa"/>
            <w:tcBorders>
              <w:bottom w:val="single" w:sz="4" w:space="0" w:color="auto"/>
            </w:tcBorders>
            <w:shd w:val="clear" w:color="auto" w:fill="auto"/>
          </w:tcPr>
          <w:p w14:paraId="5314FD2C" w14:textId="7E13DA7B" w:rsidR="00FA22FC" w:rsidRPr="002D2F67" w:rsidRDefault="00FA22FC" w:rsidP="005611FE">
            <w:pPr>
              <w:ind w:right="-72"/>
              <w:contextualSpacing/>
              <w:jc w:val="right"/>
              <w:rPr>
                <w:rFonts w:ascii="Arial" w:hAnsi="Arial" w:cs="Arial"/>
                <w:color w:val="000000"/>
                <w:sz w:val="18"/>
                <w:szCs w:val="18"/>
              </w:rPr>
            </w:pPr>
            <w:r w:rsidRPr="002D2F67">
              <w:rPr>
                <w:rFonts w:ascii="Arial" w:hAnsi="Arial" w:cs="Arial"/>
                <w:color w:val="000000"/>
                <w:sz w:val="18"/>
                <w:szCs w:val="18"/>
              </w:rPr>
              <w:t>-</w:t>
            </w:r>
          </w:p>
        </w:tc>
      </w:tr>
    </w:tbl>
    <w:p w14:paraId="761DAAF7" w14:textId="77777777" w:rsidR="00DD69AF" w:rsidRPr="002D2F67" w:rsidRDefault="00DD69AF" w:rsidP="005611FE">
      <w:pPr>
        <w:ind w:left="540"/>
        <w:contextualSpacing/>
        <w:rPr>
          <w:rFonts w:ascii="Arial" w:hAnsi="Arial" w:cs="Arial"/>
          <w:color w:val="000000"/>
          <w:sz w:val="20"/>
          <w:szCs w:val="20"/>
        </w:rPr>
      </w:pPr>
    </w:p>
    <w:p w14:paraId="3530A5F2" w14:textId="216D3883" w:rsidR="008910B8" w:rsidRPr="002D2F67" w:rsidRDefault="008910B8" w:rsidP="005611FE">
      <w:pPr>
        <w:pStyle w:val="Heading3"/>
        <w:ind w:left="540"/>
        <w:contextualSpacing/>
        <w:jc w:val="thaiDistribute"/>
        <w:rPr>
          <w:rFonts w:ascii="Arial" w:hAnsi="Arial" w:cs="Arial"/>
          <w:color w:val="000000"/>
        </w:rPr>
      </w:pPr>
      <w:r w:rsidRPr="002D2F67">
        <w:rPr>
          <w:rFonts w:ascii="Arial" w:hAnsi="Arial" w:cs="Arial"/>
          <w:color w:val="000000"/>
        </w:rPr>
        <w:t>Summarised statement of cash flows</w:t>
      </w:r>
    </w:p>
    <w:p w14:paraId="265AF581" w14:textId="22047670" w:rsidR="00FC2277" w:rsidRPr="002D2F67" w:rsidRDefault="00FC2277" w:rsidP="005611FE">
      <w:pPr>
        <w:ind w:left="540"/>
        <w:contextualSpacing/>
        <w:rPr>
          <w:rFonts w:ascii="Arial" w:hAnsi="Arial" w:cs="Arial"/>
          <w:color w:val="000000"/>
          <w:sz w:val="20"/>
          <w:szCs w:val="20"/>
        </w:rPr>
      </w:pPr>
    </w:p>
    <w:tbl>
      <w:tblPr>
        <w:tblW w:w="14261" w:type="dxa"/>
        <w:tblInd w:w="675" w:type="dxa"/>
        <w:tblLayout w:type="fixed"/>
        <w:tblLook w:val="0000" w:firstRow="0" w:lastRow="0" w:firstColumn="0" w:lastColumn="0" w:noHBand="0" w:noVBand="0"/>
      </w:tblPr>
      <w:tblGrid>
        <w:gridCol w:w="4781"/>
        <w:gridCol w:w="2370"/>
        <w:gridCol w:w="2370"/>
        <w:gridCol w:w="2370"/>
        <w:gridCol w:w="2370"/>
      </w:tblGrid>
      <w:tr w:rsidR="00FA22FC" w:rsidRPr="002D2F67" w14:paraId="02909D90" w14:textId="77777777" w:rsidTr="004F4DED">
        <w:trPr>
          <w:cantSplit/>
          <w:trHeight w:val="209"/>
        </w:trPr>
        <w:tc>
          <w:tcPr>
            <w:tcW w:w="4781" w:type="dxa"/>
            <w:shd w:val="clear" w:color="auto" w:fill="auto"/>
          </w:tcPr>
          <w:p w14:paraId="6D3083F3" w14:textId="77777777" w:rsidR="00FA22FC" w:rsidRPr="002D2F67" w:rsidRDefault="00FA22FC" w:rsidP="005611FE">
            <w:pPr>
              <w:ind w:left="-105" w:right="-126"/>
              <w:rPr>
                <w:rFonts w:ascii="Arial" w:hAnsi="Arial" w:cs="Arial"/>
                <w:color w:val="000000"/>
                <w:sz w:val="18"/>
                <w:szCs w:val="18"/>
              </w:rPr>
            </w:pPr>
          </w:p>
        </w:tc>
        <w:tc>
          <w:tcPr>
            <w:tcW w:w="4740" w:type="dxa"/>
            <w:gridSpan w:val="2"/>
            <w:tcBorders>
              <w:bottom w:val="single" w:sz="4" w:space="0" w:color="auto"/>
            </w:tcBorders>
            <w:shd w:val="clear" w:color="auto" w:fill="auto"/>
            <w:vAlign w:val="center"/>
          </w:tcPr>
          <w:p w14:paraId="7942EA66" w14:textId="7FE1946F" w:rsidR="00FA22FC" w:rsidRPr="002D2F67" w:rsidRDefault="00FA22FC" w:rsidP="005611FE">
            <w:pPr>
              <w:ind w:right="-72"/>
              <w:jc w:val="right"/>
              <w:rPr>
                <w:rFonts w:ascii="Arial" w:hAnsi="Arial" w:cs="Arial"/>
                <w:b/>
                <w:bCs/>
                <w:color w:val="000000"/>
                <w:sz w:val="18"/>
                <w:szCs w:val="18"/>
                <w:cs/>
              </w:rPr>
            </w:pPr>
            <w:r w:rsidRPr="002D2F67">
              <w:rPr>
                <w:rFonts w:ascii="Arial" w:hAnsi="Arial" w:cs="Arial"/>
                <w:b/>
                <w:bCs/>
                <w:color w:val="000000"/>
                <w:sz w:val="18"/>
                <w:szCs w:val="18"/>
              </w:rPr>
              <w:t>Amita Technologies Inc.</w:t>
            </w:r>
          </w:p>
        </w:tc>
        <w:tc>
          <w:tcPr>
            <w:tcW w:w="4740" w:type="dxa"/>
            <w:gridSpan w:val="2"/>
            <w:tcBorders>
              <w:bottom w:val="single" w:sz="4" w:space="0" w:color="auto"/>
            </w:tcBorders>
            <w:shd w:val="clear" w:color="auto" w:fill="auto"/>
            <w:vAlign w:val="center"/>
          </w:tcPr>
          <w:p w14:paraId="5898FF11" w14:textId="3E5C2252" w:rsidR="00FA22FC" w:rsidRPr="002D2F67" w:rsidRDefault="00FA22FC" w:rsidP="005611FE">
            <w:pPr>
              <w:ind w:left="-120" w:right="-138" w:firstLine="120"/>
              <w:jc w:val="right"/>
              <w:rPr>
                <w:rFonts w:ascii="Arial" w:hAnsi="Arial" w:cs="Arial"/>
                <w:b/>
                <w:bCs/>
                <w:color w:val="000000"/>
                <w:sz w:val="18"/>
                <w:szCs w:val="18"/>
                <w:cs/>
              </w:rPr>
            </w:pPr>
            <w:r w:rsidRPr="002D2F67">
              <w:rPr>
                <w:rFonts w:ascii="Arial" w:hAnsi="Arial" w:cs="Arial"/>
                <w:b/>
                <w:bCs/>
                <w:color w:val="000000"/>
                <w:spacing w:val="-4"/>
                <w:sz w:val="18"/>
                <w:szCs w:val="18"/>
              </w:rPr>
              <w:t>Absolute Assembly Co., Ltd.</w:t>
            </w:r>
            <w:r w:rsidRPr="002D2F67">
              <w:rPr>
                <w:rFonts w:ascii="Arial" w:hAnsi="Arial" w:cs="Arial"/>
                <w:b/>
                <w:bCs/>
                <w:color w:val="000000"/>
                <w:sz w:val="18"/>
                <w:szCs w:val="18"/>
              </w:rPr>
              <w:t>.</w:t>
            </w:r>
          </w:p>
        </w:tc>
      </w:tr>
      <w:tr w:rsidR="00FA22FC" w:rsidRPr="002D2F67" w14:paraId="2B098CDA" w14:textId="77777777" w:rsidTr="004F4DED">
        <w:trPr>
          <w:cantSplit/>
          <w:trHeight w:val="209"/>
        </w:trPr>
        <w:tc>
          <w:tcPr>
            <w:tcW w:w="4781" w:type="dxa"/>
            <w:shd w:val="clear" w:color="auto" w:fill="auto"/>
            <w:vAlign w:val="center"/>
          </w:tcPr>
          <w:p w14:paraId="00F95045" w14:textId="19191041" w:rsidR="00FA22FC" w:rsidRPr="002D2F67" w:rsidRDefault="00FA22FC" w:rsidP="005611FE">
            <w:pPr>
              <w:ind w:left="-105" w:right="-126"/>
              <w:rPr>
                <w:rFonts w:ascii="Arial" w:hAnsi="Arial" w:cs="Arial"/>
                <w:color w:val="000000"/>
                <w:sz w:val="18"/>
                <w:szCs w:val="18"/>
              </w:rPr>
            </w:pPr>
            <w:r w:rsidRPr="002D2F67">
              <w:rPr>
                <w:rFonts w:ascii="Arial" w:hAnsi="Arial" w:cs="Arial"/>
                <w:b/>
                <w:bCs/>
                <w:color w:val="000000"/>
                <w:sz w:val="18"/>
                <w:szCs w:val="18"/>
              </w:rPr>
              <w:t>For the year</w:t>
            </w:r>
            <w:r w:rsidRPr="002D2F67">
              <w:rPr>
                <w:rFonts w:ascii="Arial" w:hAnsi="Arial" w:cs="Arial"/>
                <w:b/>
                <w:bCs/>
                <w:color w:val="000000"/>
                <w:sz w:val="18"/>
                <w:szCs w:val="22"/>
              </w:rPr>
              <w:t>s</w:t>
            </w:r>
            <w:r w:rsidRPr="002D2F67">
              <w:rPr>
                <w:rFonts w:ascii="Arial" w:hAnsi="Arial" w:cs="Arial"/>
                <w:b/>
                <w:bCs/>
                <w:color w:val="000000"/>
                <w:sz w:val="18"/>
                <w:szCs w:val="18"/>
              </w:rPr>
              <w:t xml:space="preserve"> ended </w:t>
            </w:r>
            <w:r w:rsidR="00CD5714" w:rsidRPr="00CD5714">
              <w:rPr>
                <w:rFonts w:ascii="Arial" w:hAnsi="Arial" w:cs="Arial"/>
                <w:b/>
                <w:bCs/>
                <w:color w:val="000000"/>
                <w:sz w:val="18"/>
                <w:szCs w:val="18"/>
                <w:lang w:val="en-GB"/>
              </w:rPr>
              <w:t>31</w:t>
            </w:r>
            <w:r w:rsidRPr="002D2F67">
              <w:rPr>
                <w:rFonts w:ascii="Arial" w:hAnsi="Arial" w:cs="Arial"/>
                <w:b/>
                <w:bCs/>
                <w:color w:val="000000"/>
                <w:sz w:val="18"/>
                <w:szCs w:val="18"/>
              </w:rPr>
              <w:t xml:space="preserve"> December</w:t>
            </w:r>
          </w:p>
        </w:tc>
        <w:tc>
          <w:tcPr>
            <w:tcW w:w="2370" w:type="dxa"/>
            <w:tcBorders>
              <w:top w:val="single" w:sz="4" w:space="0" w:color="auto"/>
            </w:tcBorders>
            <w:shd w:val="clear" w:color="auto" w:fill="auto"/>
            <w:vAlign w:val="bottom"/>
          </w:tcPr>
          <w:p w14:paraId="77891375" w14:textId="37F4A241" w:rsidR="00FA22FC" w:rsidRPr="002D2F67" w:rsidRDefault="00CD5714" w:rsidP="005611FE">
            <w:pPr>
              <w:ind w:right="-72"/>
              <w:jc w:val="right"/>
              <w:rPr>
                <w:rFonts w:ascii="Arial" w:hAnsi="Arial" w:cs="Arial"/>
                <w:b/>
                <w:bCs/>
                <w:color w:val="000000"/>
                <w:sz w:val="18"/>
                <w:szCs w:val="18"/>
              </w:rPr>
            </w:pPr>
            <w:r w:rsidRPr="00CD5714">
              <w:rPr>
                <w:rFonts w:ascii="Arial" w:hAnsi="Arial" w:cs="Arial"/>
                <w:b/>
                <w:bCs/>
                <w:color w:val="000000"/>
                <w:sz w:val="18"/>
                <w:szCs w:val="18"/>
                <w:lang w:val="en-GB"/>
              </w:rPr>
              <w:t>2024</w:t>
            </w:r>
          </w:p>
        </w:tc>
        <w:tc>
          <w:tcPr>
            <w:tcW w:w="2370" w:type="dxa"/>
            <w:tcBorders>
              <w:top w:val="single" w:sz="4" w:space="0" w:color="auto"/>
            </w:tcBorders>
            <w:shd w:val="clear" w:color="auto" w:fill="auto"/>
            <w:vAlign w:val="bottom"/>
          </w:tcPr>
          <w:p w14:paraId="60BC5D65" w14:textId="6FE79995" w:rsidR="00FA22FC" w:rsidRPr="002D2F67" w:rsidRDefault="00CD5714" w:rsidP="005611FE">
            <w:pPr>
              <w:ind w:right="-72"/>
              <w:jc w:val="right"/>
              <w:rPr>
                <w:rFonts w:ascii="Arial" w:hAnsi="Arial" w:cs="Arial"/>
                <w:b/>
                <w:bCs/>
                <w:color w:val="000000"/>
                <w:sz w:val="18"/>
                <w:szCs w:val="18"/>
              </w:rPr>
            </w:pPr>
            <w:r w:rsidRPr="00CD5714">
              <w:rPr>
                <w:rFonts w:ascii="Arial" w:hAnsi="Arial" w:cs="Arial"/>
                <w:b/>
                <w:bCs/>
                <w:color w:val="000000"/>
                <w:sz w:val="18"/>
                <w:szCs w:val="18"/>
                <w:lang w:val="en-GB"/>
              </w:rPr>
              <w:t>2023</w:t>
            </w:r>
          </w:p>
        </w:tc>
        <w:tc>
          <w:tcPr>
            <w:tcW w:w="2370" w:type="dxa"/>
            <w:tcBorders>
              <w:top w:val="single" w:sz="4" w:space="0" w:color="auto"/>
            </w:tcBorders>
            <w:shd w:val="clear" w:color="auto" w:fill="auto"/>
            <w:vAlign w:val="bottom"/>
          </w:tcPr>
          <w:p w14:paraId="61BF15F7" w14:textId="3184CDB1" w:rsidR="00FA22FC" w:rsidRPr="002D2F67" w:rsidRDefault="00CD5714" w:rsidP="005611FE">
            <w:pPr>
              <w:ind w:right="-72"/>
              <w:jc w:val="right"/>
              <w:rPr>
                <w:rFonts w:ascii="Arial" w:hAnsi="Arial" w:cs="Arial"/>
                <w:b/>
                <w:bCs/>
                <w:color w:val="000000"/>
                <w:sz w:val="18"/>
                <w:szCs w:val="18"/>
                <w:cs/>
              </w:rPr>
            </w:pPr>
            <w:r w:rsidRPr="00CD5714">
              <w:rPr>
                <w:rFonts w:ascii="Arial" w:hAnsi="Arial" w:cs="Arial"/>
                <w:b/>
                <w:bCs/>
                <w:color w:val="000000"/>
                <w:sz w:val="18"/>
                <w:szCs w:val="18"/>
                <w:lang w:val="en-GB"/>
              </w:rPr>
              <w:t>2024</w:t>
            </w:r>
          </w:p>
        </w:tc>
        <w:tc>
          <w:tcPr>
            <w:tcW w:w="2370" w:type="dxa"/>
            <w:tcBorders>
              <w:top w:val="single" w:sz="4" w:space="0" w:color="auto"/>
            </w:tcBorders>
            <w:shd w:val="clear" w:color="auto" w:fill="auto"/>
            <w:vAlign w:val="bottom"/>
          </w:tcPr>
          <w:p w14:paraId="7ABA94D3" w14:textId="30C0E6D7" w:rsidR="00FA22FC" w:rsidRPr="002D2F67" w:rsidRDefault="00CD5714" w:rsidP="005611FE">
            <w:pPr>
              <w:ind w:right="-72"/>
              <w:jc w:val="right"/>
              <w:rPr>
                <w:rFonts w:ascii="Arial" w:hAnsi="Arial" w:cs="Arial"/>
                <w:b/>
                <w:bCs/>
                <w:color w:val="000000"/>
                <w:sz w:val="18"/>
                <w:szCs w:val="18"/>
                <w:cs/>
              </w:rPr>
            </w:pPr>
            <w:r w:rsidRPr="00CD5714">
              <w:rPr>
                <w:rFonts w:ascii="Arial" w:hAnsi="Arial" w:cs="Arial"/>
                <w:b/>
                <w:bCs/>
                <w:color w:val="000000"/>
                <w:sz w:val="18"/>
                <w:szCs w:val="18"/>
                <w:lang w:val="en-GB"/>
              </w:rPr>
              <w:t>2023</w:t>
            </w:r>
          </w:p>
        </w:tc>
      </w:tr>
      <w:tr w:rsidR="00FA22FC" w:rsidRPr="002D2F67" w14:paraId="20AEE6EE" w14:textId="77777777" w:rsidTr="004F4DED">
        <w:trPr>
          <w:cantSplit/>
          <w:trHeight w:val="209"/>
        </w:trPr>
        <w:tc>
          <w:tcPr>
            <w:tcW w:w="4781" w:type="dxa"/>
            <w:shd w:val="clear" w:color="auto" w:fill="auto"/>
            <w:vAlign w:val="center"/>
          </w:tcPr>
          <w:p w14:paraId="286D4084" w14:textId="77777777" w:rsidR="00FA22FC" w:rsidRPr="002D2F67" w:rsidRDefault="00FA22FC" w:rsidP="005611FE">
            <w:pPr>
              <w:ind w:left="-105" w:right="-126"/>
              <w:rPr>
                <w:rFonts w:ascii="Arial" w:hAnsi="Arial" w:cs="Arial"/>
                <w:color w:val="000000"/>
                <w:sz w:val="18"/>
                <w:szCs w:val="18"/>
              </w:rPr>
            </w:pPr>
          </w:p>
        </w:tc>
        <w:tc>
          <w:tcPr>
            <w:tcW w:w="2370" w:type="dxa"/>
            <w:tcBorders>
              <w:bottom w:val="single" w:sz="4" w:space="0" w:color="auto"/>
            </w:tcBorders>
            <w:shd w:val="clear" w:color="auto" w:fill="auto"/>
            <w:vAlign w:val="bottom"/>
          </w:tcPr>
          <w:p w14:paraId="0250E013" w14:textId="3503E53F" w:rsidR="00FA22FC" w:rsidRPr="002D2F67" w:rsidRDefault="00FA22FC" w:rsidP="005611FE">
            <w:pPr>
              <w:ind w:right="-72"/>
              <w:jc w:val="right"/>
              <w:rPr>
                <w:rFonts w:ascii="Arial" w:hAnsi="Arial" w:cs="Arial"/>
                <w:b/>
                <w:bCs/>
                <w:color w:val="000000"/>
                <w:sz w:val="18"/>
                <w:szCs w:val="18"/>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c>
          <w:tcPr>
            <w:tcW w:w="2370" w:type="dxa"/>
            <w:tcBorders>
              <w:bottom w:val="single" w:sz="4" w:space="0" w:color="auto"/>
            </w:tcBorders>
            <w:shd w:val="clear" w:color="auto" w:fill="auto"/>
            <w:vAlign w:val="bottom"/>
          </w:tcPr>
          <w:p w14:paraId="73B0DD64" w14:textId="72CFB101" w:rsidR="00FA22FC" w:rsidRPr="002D2F67" w:rsidRDefault="00FA22FC" w:rsidP="005611FE">
            <w:pPr>
              <w:ind w:right="-72"/>
              <w:jc w:val="right"/>
              <w:rPr>
                <w:rFonts w:ascii="Arial" w:hAnsi="Arial" w:cs="Arial"/>
                <w:b/>
                <w:bCs/>
                <w:color w:val="000000"/>
                <w:sz w:val="18"/>
                <w:szCs w:val="18"/>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c>
          <w:tcPr>
            <w:tcW w:w="2370" w:type="dxa"/>
            <w:tcBorders>
              <w:bottom w:val="single" w:sz="4" w:space="0" w:color="auto"/>
            </w:tcBorders>
            <w:shd w:val="clear" w:color="auto" w:fill="auto"/>
            <w:vAlign w:val="bottom"/>
          </w:tcPr>
          <w:p w14:paraId="2117511C" w14:textId="3CB434FD" w:rsidR="00FA22FC" w:rsidRPr="002D2F67" w:rsidRDefault="00FA22FC" w:rsidP="005611FE">
            <w:pPr>
              <w:ind w:right="-72"/>
              <w:jc w:val="right"/>
              <w:rPr>
                <w:rFonts w:ascii="Arial" w:hAnsi="Arial" w:cs="Arial"/>
                <w:b/>
                <w:bCs/>
                <w:color w:val="000000"/>
                <w:sz w:val="18"/>
                <w:szCs w:val="18"/>
                <w:cs/>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c>
          <w:tcPr>
            <w:tcW w:w="2370" w:type="dxa"/>
            <w:tcBorders>
              <w:bottom w:val="single" w:sz="4" w:space="0" w:color="auto"/>
            </w:tcBorders>
            <w:shd w:val="clear" w:color="auto" w:fill="auto"/>
            <w:vAlign w:val="bottom"/>
          </w:tcPr>
          <w:p w14:paraId="168F756B" w14:textId="03C555B2" w:rsidR="00FA22FC" w:rsidRPr="002D2F67" w:rsidRDefault="00FA22FC" w:rsidP="005611FE">
            <w:pPr>
              <w:ind w:right="-72"/>
              <w:jc w:val="right"/>
              <w:rPr>
                <w:rFonts w:ascii="Arial" w:hAnsi="Arial" w:cs="Arial"/>
                <w:b/>
                <w:bCs/>
                <w:color w:val="000000"/>
                <w:sz w:val="18"/>
                <w:szCs w:val="18"/>
                <w:cs/>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r>
      <w:tr w:rsidR="00FA22FC" w:rsidRPr="002D2F67" w14:paraId="79321C08" w14:textId="77777777" w:rsidTr="004F4DED">
        <w:trPr>
          <w:cantSplit/>
          <w:trHeight w:val="209"/>
        </w:trPr>
        <w:tc>
          <w:tcPr>
            <w:tcW w:w="4781" w:type="dxa"/>
            <w:shd w:val="clear" w:color="auto" w:fill="auto"/>
            <w:vAlign w:val="center"/>
          </w:tcPr>
          <w:p w14:paraId="70DDED6F" w14:textId="77777777" w:rsidR="00FA22FC" w:rsidRPr="002D2F67" w:rsidRDefault="00FA22FC" w:rsidP="005611FE">
            <w:pPr>
              <w:ind w:left="-105" w:right="-126"/>
              <w:rPr>
                <w:rFonts w:ascii="Arial" w:hAnsi="Arial" w:cs="Arial"/>
                <w:b/>
                <w:bCs/>
                <w:color w:val="000000"/>
                <w:sz w:val="18"/>
                <w:szCs w:val="18"/>
                <w:cs/>
              </w:rPr>
            </w:pPr>
          </w:p>
        </w:tc>
        <w:tc>
          <w:tcPr>
            <w:tcW w:w="2370" w:type="dxa"/>
            <w:tcBorders>
              <w:top w:val="single" w:sz="4" w:space="0" w:color="auto"/>
            </w:tcBorders>
            <w:shd w:val="clear" w:color="auto" w:fill="auto"/>
          </w:tcPr>
          <w:p w14:paraId="0CEAA547" w14:textId="77777777" w:rsidR="00FA22FC" w:rsidRPr="002D2F67" w:rsidRDefault="00FA22FC" w:rsidP="005611FE">
            <w:pPr>
              <w:ind w:right="-72"/>
              <w:jc w:val="right"/>
              <w:rPr>
                <w:rFonts w:ascii="Arial" w:hAnsi="Arial" w:cs="Arial"/>
                <w:color w:val="000000"/>
                <w:sz w:val="18"/>
                <w:szCs w:val="18"/>
              </w:rPr>
            </w:pPr>
          </w:p>
        </w:tc>
        <w:tc>
          <w:tcPr>
            <w:tcW w:w="2370" w:type="dxa"/>
            <w:tcBorders>
              <w:top w:val="single" w:sz="4" w:space="0" w:color="auto"/>
            </w:tcBorders>
            <w:shd w:val="clear" w:color="auto" w:fill="auto"/>
          </w:tcPr>
          <w:p w14:paraId="20D34247" w14:textId="77777777" w:rsidR="00FA22FC" w:rsidRPr="002D2F67" w:rsidRDefault="00FA22FC" w:rsidP="005611FE">
            <w:pPr>
              <w:ind w:right="-72"/>
              <w:jc w:val="right"/>
              <w:rPr>
                <w:rFonts w:ascii="Arial" w:hAnsi="Arial" w:cs="Arial"/>
                <w:color w:val="000000"/>
                <w:sz w:val="18"/>
                <w:szCs w:val="18"/>
              </w:rPr>
            </w:pPr>
          </w:p>
        </w:tc>
        <w:tc>
          <w:tcPr>
            <w:tcW w:w="2370" w:type="dxa"/>
            <w:tcBorders>
              <w:top w:val="single" w:sz="4" w:space="0" w:color="auto"/>
            </w:tcBorders>
            <w:shd w:val="clear" w:color="auto" w:fill="auto"/>
          </w:tcPr>
          <w:p w14:paraId="4FC97CBA" w14:textId="77777777" w:rsidR="00FA22FC" w:rsidRPr="002D2F67" w:rsidRDefault="00FA22FC" w:rsidP="005611FE">
            <w:pPr>
              <w:ind w:right="-72"/>
              <w:jc w:val="right"/>
              <w:rPr>
                <w:rFonts w:ascii="Arial" w:hAnsi="Arial" w:cs="Arial"/>
                <w:color w:val="000000"/>
                <w:sz w:val="18"/>
                <w:szCs w:val="18"/>
              </w:rPr>
            </w:pPr>
          </w:p>
        </w:tc>
        <w:tc>
          <w:tcPr>
            <w:tcW w:w="2370" w:type="dxa"/>
            <w:tcBorders>
              <w:top w:val="single" w:sz="4" w:space="0" w:color="auto"/>
            </w:tcBorders>
            <w:shd w:val="clear" w:color="auto" w:fill="auto"/>
          </w:tcPr>
          <w:p w14:paraId="7FC2C482" w14:textId="77777777" w:rsidR="00FA22FC" w:rsidRPr="002D2F67" w:rsidRDefault="00FA22FC" w:rsidP="005611FE">
            <w:pPr>
              <w:ind w:right="-72"/>
              <w:jc w:val="right"/>
              <w:rPr>
                <w:rFonts w:ascii="Arial" w:hAnsi="Arial" w:cs="Arial"/>
                <w:color w:val="000000"/>
                <w:sz w:val="18"/>
                <w:szCs w:val="18"/>
              </w:rPr>
            </w:pPr>
          </w:p>
        </w:tc>
      </w:tr>
      <w:tr w:rsidR="00FA22FC" w:rsidRPr="002D2F67" w14:paraId="3448087D" w14:textId="77777777" w:rsidTr="004F4DED">
        <w:trPr>
          <w:cantSplit/>
          <w:trHeight w:val="222"/>
        </w:trPr>
        <w:tc>
          <w:tcPr>
            <w:tcW w:w="4781" w:type="dxa"/>
            <w:shd w:val="clear" w:color="auto" w:fill="auto"/>
            <w:vAlign w:val="center"/>
          </w:tcPr>
          <w:p w14:paraId="1417BAC9" w14:textId="6D6F4ECD" w:rsidR="00FA22FC" w:rsidRPr="002D2F67" w:rsidRDefault="00FA22FC" w:rsidP="005611FE">
            <w:pPr>
              <w:spacing w:line="180" w:lineRule="exact"/>
              <w:ind w:left="-106" w:right="-115"/>
              <w:rPr>
                <w:rFonts w:ascii="Arial" w:hAnsi="Arial" w:cs="Arial"/>
                <w:color w:val="000000"/>
                <w:sz w:val="18"/>
                <w:szCs w:val="18"/>
                <w:cs/>
              </w:rPr>
            </w:pPr>
            <w:r w:rsidRPr="002D2F67">
              <w:rPr>
                <w:rFonts w:ascii="Arial" w:hAnsi="Arial" w:cs="Arial"/>
                <w:color w:val="000000"/>
                <w:sz w:val="18"/>
                <w:szCs w:val="18"/>
              </w:rPr>
              <w:t xml:space="preserve">Net cash payments in operating activities </w:t>
            </w:r>
          </w:p>
        </w:tc>
        <w:tc>
          <w:tcPr>
            <w:tcW w:w="2370" w:type="dxa"/>
            <w:shd w:val="clear" w:color="auto" w:fill="auto"/>
            <w:vAlign w:val="bottom"/>
          </w:tcPr>
          <w:p w14:paraId="6D655C53" w14:textId="25F490C9" w:rsidR="00FA22FC" w:rsidRPr="002D2F67" w:rsidRDefault="00FA22FC"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w:t>
            </w:r>
            <w:r w:rsidRPr="002D2F67">
              <w:rPr>
                <w:rFonts w:ascii="Arial" w:hAnsi="Arial" w:cs="Arial"/>
                <w:color w:val="000000"/>
                <w:sz w:val="18"/>
                <w:szCs w:val="18"/>
              </w:rPr>
              <w:t>,</w:t>
            </w:r>
            <w:r w:rsidR="00CD5714" w:rsidRPr="00CD5714">
              <w:rPr>
                <w:rFonts w:ascii="Arial" w:hAnsi="Arial" w:cs="Arial"/>
                <w:color w:val="000000"/>
                <w:sz w:val="18"/>
                <w:szCs w:val="18"/>
                <w:lang w:val="en-GB"/>
              </w:rPr>
              <w:t>050</w:t>
            </w:r>
            <w:r w:rsidRPr="002D2F67">
              <w:rPr>
                <w:rFonts w:ascii="Arial" w:hAnsi="Arial" w:cs="Arial"/>
                <w:color w:val="000000"/>
                <w:sz w:val="18"/>
                <w:szCs w:val="18"/>
              </w:rPr>
              <w:t>,</w:t>
            </w:r>
            <w:r w:rsidR="00CD5714" w:rsidRPr="00CD5714">
              <w:rPr>
                <w:rFonts w:ascii="Arial" w:hAnsi="Arial" w:cs="Arial"/>
                <w:color w:val="000000"/>
                <w:sz w:val="18"/>
                <w:szCs w:val="18"/>
                <w:lang w:val="en-GB"/>
              </w:rPr>
              <w:t>847</w:t>
            </w:r>
            <w:r w:rsidRPr="002D2F67">
              <w:rPr>
                <w:rFonts w:ascii="Arial" w:hAnsi="Arial" w:cs="Arial"/>
                <w:color w:val="000000"/>
                <w:sz w:val="18"/>
                <w:szCs w:val="18"/>
              </w:rPr>
              <w:t>)</w:t>
            </w:r>
          </w:p>
        </w:tc>
        <w:tc>
          <w:tcPr>
            <w:tcW w:w="2370" w:type="dxa"/>
            <w:shd w:val="clear" w:color="auto" w:fill="auto"/>
            <w:vAlign w:val="bottom"/>
          </w:tcPr>
          <w:p w14:paraId="6493DBE7" w14:textId="06D4C37B" w:rsidR="00FA22FC" w:rsidRPr="002D2F67" w:rsidRDefault="00FA22FC"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2</w:t>
            </w:r>
            <w:r w:rsidRPr="002D2F67">
              <w:rPr>
                <w:rFonts w:ascii="Arial" w:hAnsi="Arial" w:cs="Arial"/>
                <w:color w:val="000000"/>
                <w:sz w:val="18"/>
                <w:szCs w:val="18"/>
              </w:rPr>
              <w:t>,</w:t>
            </w:r>
            <w:r w:rsidR="00CD5714" w:rsidRPr="00CD5714">
              <w:rPr>
                <w:rFonts w:ascii="Arial" w:hAnsi="Arial" w:cs="Arial"/>
                <w:color w:val="000000"/>
                <w:sz w:val="18"/>
                <w:szCs w:val="18"/>
                <w:lang w:val="en-GB"/>
              </w:rPr>
              <w:t>422</w:t>
            </w:r>
            <w:r w:rsidRPr="002D2F67">
              <w:rPr>
                <w:rFonts w:ascii="Arial" w:hAnsi="Arial" w:cs="Arial"/>
                <w:color w:val="000000"/>
                <w:sz w:val="18"/>
                <w:szCs w:val="18"/>
              </w:rPr>
              <w:t>,</w:t>
            </w:r>
            <w:r w:rsidR="00CD5714" w:rsidRPr="00CD5714">
              <w:rPr>
                <w:rFonts w:ascii="Arial" w:hAnsi="Arial" w:cs="Arial"/>
                <w:color w:val="000000"/>
                <w:sz w:val="18"/>
                <w:szCs w:val="18"/>
                <w:lang w:val="en-GB"/>
              </w:rPr>
              <w:t>304</w:t>
            </w:r>
            <w:r w:rsidRPr="002D2F67">
              <w:rPr>
                <w:rFonts w:ascii="Arial" w:hAnsi="Arial" w:cs="Arial"/>
                <w:color w:val="000000"/>
                <w:sz w:val="18"/>
                <w:szCs w:val="18"/>
              </w:rPr>
              <w:t>)</w:t>
            </w:r>
          </w:p>
        </w:tc>
        <w:tc>
          <w:tcPr>
            <w:tcW w:w="2370" w:type="dxa"/>
            <w:shd w:val="clear" w:color="auto" w:fill="auto"/>
            <w:vAlign w:val="bottom"/>
          </w:tcPr>
          <w:p w14:paraId="0EB52A0E" w14:textId="449F5D57" w:rsidR="00FA22FC" w:rsidRPr="002D2F67" w:rsidRDefault="00FA22FC"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w:t>
            </w:r>
            <w:r w:rsidRPr="002D2F67">
              <w:rPr>
                <w:rFonts w:ascii="Arial" w:hAnsi="Arial" w:cs="Arial"/>
                <w:color w:val="000000"/>
                <w:sz w:val="18"/>
                <w:szCs w:val="18"/>
              </w:rPr>
              <w:t>,</w:t>
            </w:r>
            <w:r w:rsidR="00CD5714" w:rsidRPr="00CD5714">
              <w:rPr>
                <w:rFonts w:ascii="Arial" w:hAnsi="Arial" w:cs="Arial"/>
                <w:color w:val="000000"/>
                <w:sz w:val="18"/>
                <w:szCs w:val="18"/>
                <w:lang w:val="en-GB"/>
              </w:rPr>
              <w:t>154</w:t>
            </w:r>
            <w:r w:rsidRPr="002D2F67">
              <w:rPr>
                <w:rFonts w:ascii="Arial" w:hAnsi="Arial" w:cs="Arial"/>
                <w:color w:val="000000"/>
                <w:sz w:val="18"/>
                <w:szCs w:val="18"/>
              </w:rPr>
              <w:t>,</w:t>
            </w:r>
            <w:r w:rsidR="00CD5714" w:rsidRPr="00CD5714">
              <w:rPr>
                <w:rFonts w:ascii="Arial" w:hAnsi="Arial" w:cs="Arial"/>
                <w:color w:val="000000"/>
                <w:sz w:val="18"/>
                <w:szCs w:val="18"/>
                <w:lang w:val="en-GB"/>
              </w:rPr>
              <w:t>493</w:t>
            </w:r>
            <w:r w:rsidRPr="002D2F67">
              <w:rPr>
                <w:rFonts w:ascii="Arial" w:hAnsi="Arial" w:cs="Arial"/>
                <w:color w:val="000000"/>
                <w:sz w:val="18"/>
                <w:szCs w:val="18"/>
              </w:rPr>
              <w:t>)</w:t>
            </w:r>
          </w:p>
        </w:tc>
        <w:tc>
          <w:tcPr>
            <w:tcW w:w="2370" w:type="dxa"/>
            <w:shd w:val="clear" w:color="auto" w:fill="auto"/>
            <w:vAlign w:val="bottom"/>
          </w:tcPr>
          <w:p w14:paraId="571B15FA" w14:textId="2CC8D26E" w:rsidR="00FA22FC" w:rsidRPr="002D2F67" w:rsidRDefault="00FA22FC"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w:t>
            </w:r>
            <w:r w:rsidRPr="002D2F67">
              <w:rPr>
                <w:rFonts w:ascii="Arial" w:hAnsi="Arial" w:cs="Arial"/>
                <w:color w:val="000000"/>
                <w:sz w:val="18"/>
                <w:szCs w:val="18"/>
              </w:rPr>
              <w:t>,</w:t>
            </w:r>
            <w:r w:rsidR="00CD5714" w:rsidRPr="00CD5714">
              <w:rPr>
                <w:rFonts w:ascii="Arial" w:hAnsi="Arial" w:cs="Arial"/>
                <w:color w:val="000000"/>
                <w:sz w:val="18"/>
                <w:szCs w:val="18"/>
                <w:lang w:val="en-GB"/>
              </w:rPr>
              <w:t>600</w:t>
            </w:r>
            <w:r w:rsidRPr="002D2F67">
              <w:rPr>
                <w:rFonts w:ascii="Arial" w:hAnsi="Arial" w:cs="Arial"/>
                <w:color w:val="000000"/>
                <w:sz w:val="18"/>
                <w:szCs w:val="18"/>
              </w:rPr>
              <w:t>,</w:t>
            </w:r>
            <w:r w:rsidR="00CD5714" w:rsidRPr="00CD5714">
              <w:rPr>
                <w:rFonts w:ascii="Arial" w:hAnsi="Arial" w:cs="Arial"/>
                <w:color w:val="000000"/>
                <w:sz w:val="18"/>
                <w:szCs w:val="18"/>
                <w:lang w:val="en-GB"/>
              </w:rPr>
              <w:t>160</w:t>
            </w:r>
            <w:r w:rsidRPr="002D2F67">
              <w:rPr>
                <w:rFonts w:ascii="Arial" w:hAnsi="Arial" w:cs="Arial"/>
                <w:color w:val="000000"/>
                <w:sz w:val="18"/>
                <w:szCs w:val="18"/>
              </w:rPr>
              <w:t>)</w:t>
            </w:r>
          </w:p>
        </w:tc>
      </w:tr>
      <w:tr w:rsidR="00FA22FC" w:rsidRPr="002D2F67" w14:paraId="384AB25C" w14:textId="77777777" w:rsidTr="004F4DED">
        <w:trPr>
          <w:cantSplit/>
          <w:trHeight w:val="250"/>
        </w:trPr>
        <w:tc>
          <w:tcPr>
            <w:tcW w:w="4781" w:type="dxa"/>
            <w:shd w:val="clear" w:color="auto" w:fill="auto"/>
            <w:vAlign w:val="center"/>
          </w:tcPr>
          <w:p w14:paraId="4A7A6BCA" w14:textId="78F5E661" w:rsidR="00FA22FC" w:rsidRPr="002D2F67" w:rsidRDefault="00FA22FC" w:rsidP="005611FE">
            <w:pPr>
              <w:ind w:left="-106"/>
              <w:rPr>
                <w:rFonts w:ascii="Arial" w:hAnsi="Arial" w:cs="Arial"/>
                <w:color w:val="000000"/>
                <w:sz w:val="18"/>
                <w:szCs w:val="18"/>
                <w:cs/>
              </w:rPr>
            </w:pPr>
            <w:r w:rsidRPr="002D2F67">
              <w:rPr>
                <w:rFonts w:ascii="Arial" w:hAnsi="Arial" w:cs="Arial"/>
                <w:color w:val="000000"/>
                <w:sz w:val="18"/>
                <w:szCs w:val="18"/>
              </w:rPr>
              <w:t xml:space="preserve">Net cash payments in investing activities </w:t>
            </w:r>
          </w:p>
        </w:tc>
        <w:tc>
          <w:tcPr>
            <w:tcW w:w="2370" w:type="dxa"/>
            <w:shd w:val="clear" w:color="auto" w:fill="auto"/>
            <w:vAlign w:val="bottom"/>
          </w:tcPr>
          <w:p w14:paraId="5586100E" w14:textId="37A172D9" w:rsidR="00FA22FC" w:rsidRPr="002D2F67" w:rsidRDefault="00FA22FC"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921</w:t>
            </w:r>
            <w:r w:rsidRPr="002D2F67">
              <w:rPr>
                <w:rFonts w:ascii="Arial" w:hAnsi="Arial" w:cs="Arial"/>
                <w:color w:val="000000"/>
                <w:sz w:val="18"/>
                <w:szCs w:val="18"/>
              </w:rPr>
              <w:t>,</w:t>
            </w:r>
            <w:r w:rsidR="00CD5714" w:rsidRPr="00CD5714">
              <w:rPr>
                <w:rFonts w:ascii="Arial" w:hAnsi="Arial" w:cs="Arial"/>
                <w:color w:val="000000"/>
                <w:sz w:val="18"/>
                <w:szCs w:val="18"/>
                <w:lang w:val="en-GB"/>
              </w:rPr>
              <w:t>440</w:t>
            </w:r>
            <w:r w:rsidRPr="002D2F67">
              <w:rPr>
                <w:rFonts w:ascii="Arial" w:hAnsi="Arial" w:cs="Arial"/>
                <w:color w:val="000000"/>
                <w:sz w:val="18"/>
                <w:szCs w:val="18"/>
              </w:rPr>
              <w:t>)</w:t>
            </w:r>
          </w:p>
        </w:tc>
        <w:tc>
          <w:tcPr>
            <w:tcW w:w="2370" w:type="dxa"/>
            <w:shd w:val="clear" w:color="auto" w:fill="auto"/>
            <w:vAlign w:val="bottom"/>
          </w:tcPr>
          <w:p w14:paraId="1322C39A" w14:textId="21FE319E" w:rsidR="00FA22FC" w:rsidRPr="002D2F67" w:rsidRDefault="00FA22FC"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w:t>
            </w:r>
            <w:r w:rsidRPr="002D2F67">
              <w:rPr>
                <w:rFonts w:ascii="Arial" w:hAnsi="Arial" w:cs="Arial"/>
                <w:color w:val="000000"/>
                <w:sz w:val="18"/>
                <w:szCs w:val="18"/>
              </w:rPr>
              <w:t>,</w:t>
            </w:r>
            <w:r w:rsidR="00CD5714" w:rsidRPr="00CD5714">
              <w:rPr>
                <w:rFonts w:ascii="Arial" w:hAnsi="Arial" w:cs="Arial"/>
                <w:color w:val="000000"/>
                <w:sz w:val="18"/>
                <w:szCs w:val="18"/>
                <w:lang w:val="en-GB"/>
              </w:rPr>
              <w:t>983</w:t>
            </w:r>
            <w:r w:rsidRPr="002D2F67">
              <w:rPr>
                <w:rFonts w:ascii="Arial" w:hAnsi="Arial" w:cs="Arial"/>
                <w:color w:val="000000"/>
                <w:sz w:val="18"/>
                <w:szCs w:val="18"/>
              </w:rPr>
              <w:t>,</w:t>
            </w:r>
            <w:r w:rsidR="00CD5714" w:rsidRPr="00CD5714">
              <w:rPr>
                <w:rFonts w:ascii="Arial" w:hAnsi="Arial" w:cs="Arial"/>
                <w:color w:val="000000"/>
                <w:sz w:val="18"/>
                <w:szCs w:val="18"/>
                <w:lang w:val="en-GB"/>
              </w:rPr>
              <w:t>718</w:t>
            </w:r>
            <w:r w:rsidRPr="002D2F67">
              <w:rPr>
                <w:rFonts w:ascii="Arial" w:hAnsi="Arial" w:cs="Arial"/>
                <w:color w:val="000000"/>
                <w:sz w:val="18"/>
                <w:szCs w:val="18"/>
              </w:rPr>
              <w:t>)</w:t>
            </w:r>
          </w:p>
        </w:tc>
        <w:tc>
          <w:tcPr>
            <w:tcW w:w="2370" w:type="dxa"/>
            <w:shd w:val="clear" w:color="auto" w:fill="auto"/>
            <w:vAlign w:val="bottom"/>
          </w:tcPr>
          <w:p w14:paraId="412A040E" w14:textId="4A383B96" w:rsidR="00FA22FC" w:rsidRPr="002D2F67" w:rsidRDefault="00FA22FC"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12</w:t>
            </w:r>
            <w:r w:rsidRPr="002D2F67">
              <w:rPr>
                <w:rFonts w:ascii="Arial" w:hAnsi="Arial" w:cs="Arial"/>
                <w:color w:val="000000"/>
                <w:sz w:val="18"/>
                <w:szCs w:val="18"/>
              </w:rPr>
              <w:t>,</w:t>
            </w:r>
            <w:r w:rsidR="00CD5714" w:rsidRPr="00CD5714">
              <w:rPr>
                <w:rFonts w:ascii="Arial" w:hAnsi="Arial" w:cs="Arial"/>
                <w:color w:val="000000"/>
                <w:sz w:val="18"/>
                <w:szCs w:val="18"/>
                <w:lang w:val="en-GB"/>
              </w:rPr>
              <w:t>907</w:t>
            </w:r>
            <w:r w:rsidRPr="002D2F67">
              <w:rPr>
                <w:rFonts w:ascii="Arial" w:hAnsi="Arial" w:cs="Arial"/>
                <w:color w:val="000000"/>
                <w:sz w:val="18"/>
                <w:szCs w:val="18"/>
              </w:rPr>
              <w:t>)</w:t>
            </w:r>
          </w:p>
        </w:tc>
        <w:tc>
          <w:tcPr>
            <w:tcW w:w="2370" w:type="dxa"/>
            <w:shd w:val="clear" w:color="auto" w:fill="auto"/>
            <w:vAlign w:val="bottom"/>
          </w:tcPr>
          <w:p w14:paraId="03EA5F96" w14:textId="0441C3E0" w:rsidR="00FA22FC" w:rsidRPr="002D2F67" w:rsidRDefault="00FA22FC"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59</w:t>
            </w:r>
            <w:r w:rsidRPr="002D2F67">
              <w:rPr>
                <w:rFonts w:ascii="Arial" w:hAnsi="Arial" w:cs="Arial"/>
                <w:color w:val="000000"/>
                <w:sz w:val="18"/>
                <w:szCs w:val="18"/>
              </w:rPr>
              <w:t>,</w:t>
            </w:r>
            <w:r w:rsidR="00CD5714" w:rsidRPr="00CD5714">
              <w:rPr>
                <w:rFonts w:ascii="Arial" w:hAnsi="Arial" w:cs="Arial"/>
                <w:color w:val="000000"/>
                <w:sz w:val="18"/>
                <w:szCs w:val="18"/>
                <w:lang w:val="en-GB"/>
              </w:rPr>
              <w:t>645</w:t>
            </w:r>
            <w:r w:rsidRPr="002D2F67">
              <w:rPr>
                <w:rFonts w:ascii="Arial" w:hAnsi="Arial" w:cs="Arial"/>
                <w:color w:val="000000"/>
                <w:sz w:val="18"/>
                <w:szCs w:val="18"/>
              </w:rPr>
              <w:t>)</w:t>
            </w:r>
          </w:p>
        </w:tc>
      </w:tr>
      <w:tr w:rsidR="00FA22FC" w:rsidRPr="002D2F67" w14:paraId="1AF15DD4" w14:textId="77777777" w:rsidTr="004F4DED">
        <w:trPr>
          <w:cantSplit/>
          <w:trHeight w:val="278"/>
        </w:trPr>
        <w:tc>
          <w:tcPr>
            <w:tcW w:w="4781" w:type="dxa"/>
            <w:shd w:val="clear" w:color="auto" w:fill="auto"/>
            <w:vAlign w:val="center"/>
          </w:tcPr>
          <w:p w14:paraId="24A93F07" w14:textId="37657144" w:rsidR="00FA22FC" w:rsidRPr="002D2F67" w:rsidRDefault="00FA22FC" w:rsidP="005611FE">
            <w:pPr>
              <w:spacing w:line="180" w:lineRule="exact"/>
              <w:ind w:left="-106" w:right="-115"/>
              <w:rPr>
                <w:rFonts w:ascii="Arial" w:hAnsi="Arial" w:cs="Arial"/>
                <w:color w:val="000000"/>
                <w:sz w:val="18"/>
                <w:szCs w:val="18"/>
                <w:cs/>
              </w:rPr>
            </w:pPr>
            <w:r w:rsidRPr="002D2F67">
              <w:rPr>
                <w:rFonts w:ascii="Arial" w:hAnsi="Arial" w:cs="Arial"/>
                <w:color w:val="000000"/>
                <w:sz w:val="18"/>
                <w:szCs w:val="18"/>
              </w:rPr>
              <w:t>Net cash receipts from financing activities</w:t>
            </w:r>
          </w:p>
        </w:tc>
        <w:tc>
          <w:tcPr>
            <w:tcW w:w="2370" w:type="dxa"/>
            <w:tcBorders>
              <w:bottom w:val="single" w:sz="4" w:space="0" w:color="auto"/>
            </w:tcBorders>
            <w:shd w:val="clear" w:color="auto" w:fill="auto"/>
            <w:vAlign w:val="bottom"/>
          </w:tcPr>
          <w:p w14:paraId="0BE3AD96" w14:textId="31F7AA4B" w:rsidR="00FA22FC"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1</w:t>
            </w:r>
            <w:r w:rsidR="00FA22FC" w:rsidRPr="002D2F67">
              <w:rPr>
                <w:rFonts w:ascii="Arial" w:hAnsi="Arial" w:cs="Arial"/>
                <w:color w:val="000000"/>
                <w:sz w:val="18"/>
                <w:szCs w:val="18"/>
              </w:rPr>
              <w:t>,</w:t>
            </w:r>
            <w:r w:rsidRPr="00CD5714">
              <w:rPr>
                <w:rFonts w:ascii="Arial" w:hAnsi="Arial" w:cs="Arial"/>
                <w:color w:val="000000"/>
                <w:sz w:val="18"/>
                <w:szCs w:val="18"/>
                <w:lang w:val="en-GB"/>
              </w:rPr>
              <w:t>545</w:t>
            </w:r>
            <w:r w:rsidR="00FA22FC" w:rsidRPr="002D2F67">
              <w:rPr>
                <w:rFonts w:ascii="Arial" w:hAnsi="Arial" w:cs="Arial"/>
                <w:color w:val="000000"/>
                <w:sz w:val="18"/>
                <w:szCs w:val="18"/>
              </w:rPr>
              <w:t>,</w:t>
            </w:r>
            <w:r w:rsidRPr="00CD5714">
              <w:rPr>
                <w:rFonts w:ascii="Arial" w:hAnsi="Arial" w:cs="Arial"/>
                <w:color w:val="000000"/>
                <w:sz w:val="18"/>
                <w:szCs w:val="18"/>
                <w:lang w:val="en-GB"/>
              </w:rPr>
              <w:t>465</w:t>
            </w:r>
          </w:p>
        </w:tc>
        <w:tc>
          <w:tcPr>
            <w:tcW w:w="2370" w:type="dxa"/>
            <w:tcBorders>
              <w:bottom w:val="single" w:sz="4" w:space="0" w:color="auto"/>
            </w:tcBorders>
            <w:shd w:val="clear" w:color="auto" w:fill="auto"/>
            <w:vAlign w:val="bottom"/>
          </w:tcPr>
          <w:p w14:paraId="38871641" w14:textId="4546E206" w:rsidR="00FA22FC"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4</w:t>
            </w:r>
            <w:r w:rsidR="00FA22FC" w:rsidRPr="002D2F67">
              <w:rPr>
                <w:rFonts w:ascii="Arial" w:hAnsi="Arial" w:cs="Arial"/>
                <w:color w:val="000000"/>
                <w:sz w:val="18"/>
                <w:szCs w:val="18"/>
              </w:rPr>
              <w:t>,</w:t>
            </w:r>
            <w:r w:rsidRPr="00CD5714">
              <w:rPr>
                <w:rFonts w:ascii="Arial" w:hAnsi="Arial" w:cs="Arial"/>
                <w:color w:val="000000"/>
                <w:sz w:val="18"/>
                <w:szCs w:val="18"/>
                <w:lang w:val="en-GB"/>
              </w:rPr>
              <w:t>471</w:t>
            </w:r>
            <w:r w:rsidR="00FA22FC" w:rsidRPr="002D2F67">
              <w:rPr>
                <w:rFonts w:ascii="Arial" w:hAnsi="Arial" w:cs="Arial"/>
                <w:color w:val="000000"/>
                <w:sz w:val="18"/>
                <w:szCs w:val="18"/>
              </w:rPr>
              <w:t>,</w:t>
            </w:r>
            <w:r w:rsidRPr="00CD5714">
              <w:rPr>
                <w:rFonts w:ascii="Arial" w:hAnsi="Arial" w:cs="Arial"/>
                <w:color w:val="000000"/>
                <w:sz w:val="18"/>
                <w:szCs w:val="18"/>
                <w:lang w:val="en-GB"/>
              </w:rPr>
              <w:t>822</w:t>
            </w:r>
          </w:p>
        </w:tc>
        <w:tc>
          <w:tcPr>
            <w:tcW w:w="2370" w:type="dxa"/>
            <w:tcBorders>
              <w:bottom w:val="single" w:sz="4" w:space="0" w:color="auto"/>
            </w:tcBorders>
            <w:shd w:val="clear" w:color="auto" w:fill="auto"/>
            <w:vAlign w:val="bottom"/>
          </w:tcPr>
          <w:p w14:paraId="6D7A07CE" w14:textId="385486E6" w:rsidR="00FA22FC"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896</w:t>
            </w:r>
            <w:r w:rsidR="00FA22FC" w:rsidRPr="002D2F67">
              <w:rPr>
                <w:rFonts w:ascii="Arial" w:hAnsi="Arial" w:cs="Arial"/>
                <w:color w:val="000000"/>
                <w:sz w:val="18"/>
                <w:szCs w:val="18"/>
              </w:rPr>
              <w:t>,</w:t>
            </w:r>
            <w:r w:rsidRPr="00CD5714">
              <w:rPr>
                <w:rFonts w:ascii="Arial" w:hAnsi="Arial" w:cs="Arial"/>
                <w:color w:val="000000"/>
                <w:sz w:val="18"/>
                <w:szCs w:val="18"/>
                <w:lang w:val="en-GB"/>
              </w:rPr>
              <w:t>510</w:t>
            </w:r>
          </w:p>
        </w:tc>
        <w:tc>
          <w:tcPr>
            <w:tcW w:w="2370" w:type="dxa"/>
            <w:tcBorders>
              <w:bottom w:val="single" w:sz="4" w:space="0" w:color="auto"/>
            </w:tcBorders>
            <w:shd w:val="clear" w:color="auto" w:fill="auto"/>
            <w:vAlign w:val="bottom"/>
          </w:tcPr>
          <w:p w14:paraId="7D8A6670" w14:textId="77982AA6" w:rsidR="00FA22FC"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1</w:t>
            </w:r>
            <w:r w:rsidR="00FA22FC" w:rsidRPr="002D2F67">
              <w:rPr>
                <w:rFonts w:ascii="Arial" w:hAnsi="Arial" w:cs="Arial"/>
                <w:color w:val="000000"/>
                <w:sz w:val="18"/>
                <w:szCs w:val="18"/>
              </w:rPr>
              <w:t>,</w:t>
            </w:r>
            <w:r w:rsidRPr="00CD5714">
              <w:rPr>
                <w:rFonts w:ascii="Arial" w:hAnsi="Arial" w:cs="Arial"/>
                <w:color w:val="000000"/>
                <w:sz w:val="18"/>
                <w:szCs w:val="18"/>
                <w:lang w:val="en-GB"/>
              </w:rPr>
              <w:t>465</w:t>
            </w:r>
            <w:r w:rsidR="00FA22FC" w:rsidRPr="002D2F67">
              <w:rPr>
                <w:rFonts w:ascii="Arial" w:hAnsi="Arial" w:cs="Arial"/>
                <w:color w:val="000000"/>
                <w:sz w:val="18"/>
                <w:szCs w:val="18"/>
              </w:rPr>
              <w:t>,</w:t>
            </w:r>
            <w:r w:rsidRPr="00CD5714">
              <w:rPr>
                <w:rFonts w:ascii="Arial" w:hAnsi="Arial" w:cs="Arial"/>
                <w:color w:val="000000"/>
                <w:sz w:val="18"/>
                <w:szCs w:val="18"/>
                <w:lang w:val="en-GB"/>
              </w:rPr>
              <w:t>212</w:t>
            </w:r>
          </w:p>
        </w:tc>
      </w:tr>
      <w:tr w:rsidR="004F4DED" w:rsidRPr="002D2F67" w14:paraId="74DCF980" w14:textId="77777777" w:rsidTr="004F4DED">
        <w:trPr>
          <w:cantSplit/>
          <w:trHeight w:val="80"/>
        </w:trPr>
        <w:tc>
          <w:tcPr>
            <w:tcW w:w="4781" w:type="dxa"/>
            <w:shd w:val="clear" w:color="auto" w:fill="auto"/>
            <w:vAlign w:val="center"/>
          </w:tcPr>
          <w:p w14:paraId="7E2707A1" w14:textId="77777777" w:rsidR="004F4DED" w:rsidRPr="002D2F67" w:rsidRDefault="004F4DED" w:rsidP="005611FE">
            <w:pPr>
              <w:spacing w:line="180" w:lineRule="exact"/>
              <w:ind w:left="-106" w:right="-115"/>
              <w:rPr>
                <w:rFonts w:ascii="Arial" w:hAnsi="Arial" w:cs="Arial"/>
                <w:color w:val="000000"/>
                <w:sz w:val="18"/>
                <w:szCs w:val="18"/>
              </w:rPr>
            </w:pPr>
          </w:p>
        </w:tc>
        <w:tc>
          <w:tcPr>
            <w:tcW w:w="2370" w:type="dxa"/>
            <w:tcBorders>
              <w:top w:val="single" w:sz="4" w:space="0" w:color="auto"/>
            </w:tcBorders>
            <w:shd w:val="clear" w:color="auto" w:fill="auto"/>
            <w:vAlign w:val="bottom"/>
          </w:tcPr>
          <w:p w14:paraId="3A5CAE8A" w14:textId="77777777" w:rsidR="004F4DED" w:rsidRPr="002D2F67" w:rsidRDefault="004F4DED" w:rsidP="005611FE">
            <w:pPr>
              <w:ind w:right="-72"/>
              <w:jc w:val="right"/>
              <w:rPr>
                <w:rFonts w:ascii="Arial" w:hAnsi="Arial" w:cs="Arial"/>
                <w:color w:val="000000"/>
                <w:sz w:val="18"/>
                <w:szCs w:val="18"/>
              </w:rPr>
            </w:pPr>
          </w:p>
        </w:tc>
        <w:tc>
          <w:tcPr>
            <w:tcW w:w="2370" w:type="dxa"/>
            <w:tcBorders>
              <w:top w:val="single" w:sz="4" w:space="0" w:color="auto"/>
            </w:tcBorders>
            <w:shd w:val="clear" w:color="auto" w:fill="auto"/>
            <w:vAlign w:val="bottom"/>
          </w:tcPr>
          <w:p w14:paraId="10A0B223" w14:textId="77777777" w:rsidR="004F4DED" w:rsidRPr="002D2F67" w:rsidRDefault="004F4DED" w:rsidP="005611FE">
            <w:pPr>
              <w:ind w:right="-72"/>
              <w:jc w:val="right"/>
              <w:rPr>
                <w:rFonts w:ascii="Arial" w:hAnsi="Arial" w:cs="Arial"/>
                <w:color w:val="000000"/>
                <w:sz w:val="18"/>
                <w:szCs w:val="18"/>
              </w:rPr>
            </w:pPr>
          </w:p>
        </w:tc>
        <w:tc>
          <w:tcPr>
            <w:tcW w:w="2370" w:type="dxa"/>
            <w:tcBorders>
              <w:top w:val="single" w:sz="4" w:space="0" w:color="auto"/>
            </w:tcBorders>
            <w:shd w:val="clear" w:color="auto" w:fill="auto"/>
            <w:vAlign w:val="bottom"/>
          </w:tcPr>
          <w:p w14:paraId="7FDE9F8F" w14:textId="77777777" w:rsidR="004F4DED" w:rsidRPr="002D2F67" w:rsidRDefault="004F4DED" w:rsidP="005611FE">
            <w:pPr>
              <w:ind w:right="-72"/>
              <w:jc w:val="right"/>
              <w:rPr>
                <w:rFonts w:ascii="Arial" w:hAnsi="Arial" w:cs="Arial"/>
                <w:color w:val="000000"/>
                <w:sz w:val="18"/>
                <w:szCs w:val="18"/>
              </w:rPr>
            </w:pPr>
          </w:p>
        </w:tc>
        <w:tc>
          <w:tcPr>
            <w:tcW w:w="2370" w:type="dxa"/>
            <w:tcBorders>
              <w:top w:val="single" w:sz="4" w:space="0" w:color="auto"/>
            </w:tcBorders>
            <w:shd w:val="clear" w:color="auto" w:fill="auto"/>
            <w:vAlign w:val="bottom"/>
          </w:tcPr>
          <w:p w14:paraId="1A9C2FA8" w14:textId="77777777" w:rsidR="004F4DED" w:rsidRPr="002D2F67" w:rsidRDefault="004F4DED" w:rsidP="005611FE">
            <w:pPr>
              <w:ind w:right="-72"/>
              <w:jc w:val="right"/>
              <w:rPr>
                <w:rFonts w:ascii="Arial" w:hAnsi="Arial" w:cs="Arial"/>
                <w:color w:val="000000"/>
                <w:sz w:val="18"/>
                <w:szCs w:val="18"/>
              </w:rPr>
            </w:pPr>
          </w:p>
        </w:tc>
      </w:tr>
      <w:tr w:rsidR="00FA22FC" w:rsidRPr="002D2F67" w14:paraId="5DF2A153" w14:textId="77777777" w:rsidTr="004F4DED">
        <w:trPr>
          <w:cantSplit/>
          <w:trHeight w:val="53"/>
        </w:trPr>
        <w:tc>
          <w:tcPr>
            <w:tcW w:w="4781" w:type="dxa"/>
            <w:shd w:val="clear" w:color="auto" w:fill="auto"/>
            <w:vAlign w:val="center"/>
          </w:tcPr>
          <w:p w14:paraId="4FEC1453" w14:textId="4CEE7B45" w:rsidR="00FA22FC" w:rsidRPr="002D2F67" w:rsidRDefault="00FA22FC" w:rsidP="004F4DED">
            <w:pPr>
              <w:spacing w:line="180" w:lineRule="exact"/>
              <w:ind w:left="-106" w:right="-115"/>
              <w:rPr>
                <w:rFonts w:ascii="Arial" w:hAnsi="Arial" w:cs="Arial"/>
                <w:b/>
                <w:bCs/>
                <w:color w:val="000000"/>
                <w:sz w:val="18"/>
                <w:szCs w:val="18"/>
                <w:cs/>
              </w:rPr>
            </w:pPr>
            <w:r w:rsidRPr="002D2F67">
              <w:rPr>
                <w:rFonts w:ascii="Arial" w:hAnsi="Arial" w:cs="Arial"/>
                <w:color w:val="000000"/>
                <w:sz w:val="18"/>
                <w:szCs w:val="18"/>
              </w:rPr>
              <w:t>Net increase (decrease) in cash and cash equivalents</w:t>
            </w:r>
            <w:r w:rsidRPr="002D2F67">
              <w:rPr>
                <w:rFonts w:ascii="Arial" w:hAnsi="Arial" w:cs="Arial"/>
                <w:b/>
                <w:bCs/>
                <w:color w:val="000000"/>
                <w:sz w:val="18"/>
                <w:szCs w:val="18"/>
              </w:rPr>
              <w:t xml:space="preserve"> </w:t>
            </w:r>
          </w:p>
        </w:tc>
        <w:tc>
          <w:tcPr>
            <w:tcW w:w="2370" w:type="dxa"/>
            <w:shd w:val="clear" w:color="auto" w:fill="auto"/>
            <w:vAlign w:val="bottom"/>
          </w:tcPr>
          <w:p w14:paraId="2ED49616" w14:textId="22BAC077" w:rsidR="00FA22FC" w:rsidRPr="002D2F67" w:rsidRDefault="00FA22FC"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426</w:t>
            </w:r>
            <w:r w:rsidRPr="002D2F67">
              <w:rPr>
                <w:rFonts w:ascii="Arial" w:hAnsi="Arial" w:cs="Arial"/>
                <w:color w:val="000000"/>
                <w:sz w:val="18"/>
                <w:szCs w:val="18"/>
              </w:rPr>
              <w:t>,</w:t>
            </w:r>
            <w:r w:rsidR="00CD5714" w:rsidRPr="00CD5714">
              <w:rPr>
                <w:rFonts w:ascii="Arial" w:hAnsi="Arial" w:cs="Arial"/>
                <w:color w:val="000000"/>
                <w:sz w:val="18"/>
                <w:szCs w:val="18"/>
                <w:lang w:val="en-GB"/>
              </w:rPr>
              <w:t>822</w:t>
            </w:r>
            <w:r w:rsidRPr="002D2F67">
              <w:rPr>
                <w:rFonts w:ascii="Arial" w:hAnsi="Arial" w:cs="Arial"/>
                <w:color w:val="000000"/>
                <w:sz w:val="18"/>
                <w:szCs w:val="18"/>
              </w:rPr>
              <w:t>)</w:t>
            </w:r>
          </w:p>
        </w:tc>
        <w:tc>
          <w:tcPr>
            <w:tcW w:w="2370" w:type="dxa"/>
            <w:shd w:val="clear" w:color="auto" w:fill="auto"/>
            <w:vAlign w:val="bottom"/>
          </w:tcPr>
          <w:p w14:paraId="73C33B7E" w14:textId="64C6F748" w:rsidR="00FA22FC"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65</w:t>
            </w:r>
            <w:r w:rsidR="00FA22FC" w:rsidRPr="002D2F67">
              <w:rPr>
                <w:rFonts w:ascii="Arial" w:hAnsi="Arial" w:cs="Arial"/>
                <w:color w:val="000000"/>
                <w:sz w:val="18"/>
                <w:szCs w:val="18"/>
              </w:rPr>
              <w:t>,</w:t>
            </w:r>
            <w:r w:rsidRPr="00CD5714">
              <w:rPr>
                <w:rFonts w:ascii="Arial" w:hAnsi="Arial" w:cs="Arial"/>
                <w:color w:val="000000"/>
                <w:sz w:val="18"/>
                <w:szCs w:val="18"/>
                <w:lang w:val="en-GB"/>
              </w:rPr>
              <w:t>800</w:t>
            </w:r>
          </w:p>
        </w:tc>
        <w:tc>
          <w:tcPr>
            <w:tcW w:w="2370" w:type="dxa"/>
            <w:shd w:val="clear" w:color="auto" w:fill="auto"/>
            <w:vAlign w:val="bottom"/>
          </w:tcPr>
          <w:p w14:paraId="0BAA56BC" w14:textId="19649C7C" w:rsidR="00FA22FC" w:rsidRPr="002D2F67" w:rsidRDefault="00FA22FC"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270</w:t>
            </w:r>
            <w:r w:rsidRPr="002D2F67">
              <w:rPr>
                <w:rFonts w:ascii="Arial" w:hAnsi="Arial" w:cs="Arial"/>
                <w:color w:val="000000"/>
                <w:sz w:val="18"/>
                <w:szCs w:val="18"/>
              </w:rPr>
              <w:t>,</w:t>
            </w:r>
            <w:r w:rsidR="00CD5714" w:rsidRPr="00CD5714">
              <w:rPr>
                <w:rFonts w:ascii="Arial" w:hAnsi="Arial" w:cs="Arial"/>
                <w:color w:val="000000"/>
                <w:sz w:val="18"/>
                <w:szCs w:val="18"/>
                <w:lang w:val="en-GB"/>
              </w:rPr>
              <w:t>890</w:t>
            </w:r>
            <w:r w:rsidRPr="002D2F67">
              <w:rPr>
                <w:rFonts w:ascii="Arial" w:hAnsi="Arial" w:cs="Arial"/>
                <w:color w:val="000000"/>
                <w:sz w:val="18"/>
                <w:szCs w:val="18"/>
              </w:rPr>
              <w:t>)</w:t>
            </w:r>
          </w:p>
        </w:tc>
        <w:tc>
          <w:tcPr>
            <w:tcW w:w="2370" w:type="dxa"/>
            <w:shd w:val="clear" w:color="auto" w:fill="auto"/>
            <w:vAlign w:val="bottom"/>
          </w:tcPr>
          <w:p w14:paraId="20055356" w14:textId="60128F5C" w:rsidR="00FA22FC" w:rsidRPr="002D2F67" w:rsidRDefault="00FA22FC"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194</w:t>
            </w:r>
            <w:r w:rsidRPr="002D2F67">
              <w:rPr>
                <w:rFonts w:ascii="Arial" w:hAnsi="Arial" w:cs="Arial"/>
                <w:color w:val="000000"/>
                <w:sz w:val="18"/>
                <w:szCs w:val="18"/>
              </w:rPr>
              <w:t>,</w:t>
            </w:r>
            <w:r w:rsidR="00CD5714" w:rsidRPr="00CD5714">
              <w:rPr>
                <w:rFonts w:ascii="Arial" w:hAnsi="Arial" w:cs="Arial"/>
                <w:color w:val="000000"/>
                <w:sz w:val="18"/>
                <w:szCs w:val="18"/>
                <w:lang w:val="en-GB"/>
              </w:rPr>
              <w:t>593</w:t>
            </w:r>
            <w:r w:rsidRPr="002D2F67">
              <w:rPr>
                <w:rFonts w:ascii="Arial" w:hAnsi="Arial" w:cs="Arial"/>
                <w:color w:val="000000"/>
                <w:sz w:val="18"/>
                <w:szCs w:val="18"/>
              </w:rPr>
              <w:t>)</w:t>
            </w:r>
          </w:p>
        </w:tc>
      </w:tr>
      <w:tr w:rsidR="00FA22FC" w:rsidRPr="002D2F67" w14:paraId="00AB104A" w14:textId="77777777" w:rsidTr="004F4DED">
        <w:trPr>
          <w:cantSplit/>
          <w:trHeight w:val="80"/>
        </w:trPr>
        <w:tc>
          <w:tcPr>
            <w:tcW w:w="4781" w:type="dxa"/>
            <w:shd w:val="clear" w:color="auto" w:fill="auto"/>
            <w:vAlign w:val="center"/>
          </w:tcPr>
          <w:p w14:paraId="3B16A799" w14:textId="5B5726AF" w:rsidR="00FA22FC" w:rsidRPr="002D2F67" w:rsidRDefault="00FA22FC" w:rsidP="005611FE">
            <w:pPr>
              <w:ind w:left="-105"/>
              <w:rPr>
                <w:rFonts w:ascii="Arial" w:hAnsi="Arial" w:cs="Arial"/>
                <w:b/>
                <w:bCs/>
                <w:color w:val="000000"/>
                <w:sz w:val="18"/>
                <w:szCs w:val="18"/>
                <w:cs/>
              </w:rPr>
            </w:pPr>
            <w:r w:rsidRPr="002D2F67">
              <w:rPr>
                <w:rFonts w:ascii="Arial" w:hAnsi="Arial" w:cs="Arial"/>
                <w:color w:val="000000"/>
                <w:sz w:val="18"/>
                <w:szCs w:val="18"/>
              </w:rPr>
              <w:t xml:space="preserve">Cash and cash equivalents at beginning of year </w:t>
            </w:r>
          </w:p>
        </w:tc>
        <w:tc>
          <w:tcPr>
            <w:tcW w:w="2370" w:type="dxa"/>
            <w:shd w:val="clear" w:color="auto" w:fill="auto"/>
            <w:vAlign w:val="bottom"/>
          </w:tcPr>
          <w:p w14:paraId="6F285E30" w14:textId="3C156EC3" w:rsidR="00FA22FC"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455</w:t>
            </w:r>
            <w:r w:rsidR="00FA22FC" w:rsidRPr="002D2F67">
              <w:rPr>
                <w:rFonts w:ascii="Arial" w:hAnsi="Arial" w:cs="Arial"/>
                <w:color w:val="000000"/>
                <w:sz w:val="18"/>
                <w:szCs w:val="18"/>
              </w:rPr>
              <w:t>,</w:t>
            </w:r>
            <w:r w:rsidRPr="00CD5714">
              <w:rPr>
                <w:rFonts w:ascii="Arial" w:hAnsi="Arial" w:cs="Arial"/>
                <w:color w:val="000000"/>
                <w:sz w:val="18"/>
                <w:szCs w:val="18"/>
                <w:lang w:val="en-GB"/>
              </w:rPr>
              <w:t>984</w:t>
            </w:r>
          </w:p>
        </w:tc>
        <w:tc>
          <w:tcPr>
            <w:tcW w:w="2370" w:type="dxa"/>
            <w:shd w:val="clear" w:color="auto" w:fill="auto"/>
            <w:vAlign w:val="bottom"/>
          </w:tcPr>
          <w:p w14:paraId="7AB24DD2" w14:textId="4716C48D" w:rsidR="00FA22FC"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390</w:t>
            </w:r>
            <w:r w:rsidR="00FA22FC" w:rsidRPr="002D2F67">
              <w:rPr>
                <w:rFonts w:ascii="Arial" w:hAnsi="Arial" w:cs="Arial"/>
                <w:color w:val="000000"/>
                <w:sz w:val="18"/>
                <w:szCs w:val="18"/>
              </w:rPr>
              <w:t>,</w:t>
            </w:r>
            <w:r w:rsidRPr="00CD5714">
              <w:rPr>
                <w:rFonts w:ascii="Arial" w:hAnsi="Arial" w:cs="Arial"/>
                <w:color w:val="000000"/>
                <w:sz w:val="18"/>
                <w:szCs w:val="18"/>
                <w:lang w:val="en-GB"/>
              </w:rPr>
              <w:t>184</w:t>
            </w:r>
          </w:p>
        </w:tc>
        <w:tc>
          <w:tcPr>
            <w:tcW w:w="2370" w:type="dxa"/>
            <w:shd w:val="clear" w:color="auto" w:fill="auto"/>
            <w:vAlign w:val="bottom"/>
          </w:tcPr>
          <w:p w14:paraId="3DA90C4A" w14:textId="555C847C" w:rsidR="00FA22FC"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284</w:t>
            </w:r>
            <w:r w:rsidR="00FA22FC" w:rsidRPr="002D2F67">
              <w:rPr>
                <w:rFonts w:ascii="Arial" w:hAnsi="Arial" w:cs="Arial"/>
                <w:color w:val="000000"/>
                <w:sz w:val="18"/>
                <w:szCs w:val="18"/>
              </w:rPr>
              <w:t>,</w:t>
            </w:r>
            <w:r w:rsidRPr="00CD5714">
              <w:rPr>
                <w:rFonts w:ascii="Arial" w:hAnsi="Arial" w:cs="Arial"/>
                <w:color w:val="000000"/>
                <w:sz w:val="18"/>
                <w:szCs w:val="18"/>
                <w:lang w:val="en-GB"/>
              </w:rPr>
              <w:t>026</w:t>
            </w:r>
          </w:p>
        </w:tc>
        <w:tc>
          <w:tcPr>
            <w:tcW w:w="2370" w:type="dxa"/>
            <w:shd w:val="clear" w:color="auto" w:fill="auto"/>
            <w:vAlign w:val="bottom"/>
          </w:tcPr>
          <w:p w14:paraId="2E362E2E" w14:textId="5B3501E4" w:rsidR="00FA22FC"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478</w:t>
            </w:r>
            <w:r w:rsidR="00FA22FC" w:rsidRPr="002D2F67">
              <w:rPr>
                <w:rFonts w:ascii="Arial" w:hAnsi="Arial" w:cs="Arial"/>
                <w:color w:val="000000"/>
                <w:sz w:val="18"/>
                <w:szCs w:val="18"/>
              </w:rPr>
              <w:t>,</w:t>
            </w:r>
            <w:r w:rsidRPr="00CD5714">
              <w:rPr>
                <w:rFonts w:ascii="Arial" w:hAnsi="Arial" w:cs="Arial"/>
                <w:color w:val="000000"/>
                <w:sz w:val="18"/>
                <w:szCs w:val="18"/>
                <w:lang w:val="en-GB"/>
              </w:rPr>
              <w:t>619</w:t>
            </w:r>
          </w:p>
        </w:tc>
      </w:tr>
      <w:tr w:rsidR="00FA22FC" w:rsidRPr="002D2F67" w14:paraId="550E3C3C" w14:textId="77777777" w:rsidTr="004F4DED">
        <w:trPr>
          <w:cantSplit/>
          <w:trHeight w:val="66"/>
        </w:trPr>
        <w:tc>
          <w:tcPr>
            <w:tcW w:w="4781" w:type="dxa"/>
            <w:shd w:val="clear" w:color="auto" w:fill="auto"/>
            <w:vAlign w:val="center"/>
          </w:tcPr>
          <w:p w14:paraId="18B5FF9A" w14:textId="77777777" w:rsidR="00FA22FC" w:rsidRPr="002D2F67" w:rsidRDefault="00FA22FC" w:rsidP="005611FE">
            <w:pPr>
              <w:ind w:left="-105"/>
              <w:rPr>
                <w:rFonts w:ascii="Arial" w:hAnsi="Arial" w:cs="Arial"/>
                <w:color w:val="000000"/>
                <w:sz w:val="18"/>
                <w:szCs w:val="18"/>
              </w:rPr>
            </w:pPr>
          </w:p>
        </w:tc>
        <w:tc>
          <w:tcPr>
            <w:tcW w:w="2370" w:type="dxa"/>
            <w:tcBorders>
              <w:top w:val="single" w:sz="4" w:space="0" w:color="auto"/>
            </w:tcBorders>
            <w:shd w:val="clear" w:color="auto" w:fill="auto"/>
            <w:vAlign w:val="bottom"/>
          </w:tcPr>
          <w:p w14:paraId="191B8180" w14:textId="77777777" w:rsidR="00FA22FC" w:rsidRPr="002D2F67" w:rsidRDefault="00FA22FC" w:rsidP="005611FE">
            <w:pPr>
              <w:ind w:right="-72"/>
              <w:jc w:val="right"/>
              <w:rPr>
                <w:rFonts w:ascii="Arial" w:hAnsi="Arial" w:cs="Arial"/>
                <w:color w:val="000000"/>
                <w:sz w:val="18"/>
                <w:szCs w:val="18"/>
              </w:rPr>
            </w:pPr>
          </w:p>
        </w:tc>
        <w:tc>
          <w:tcPr>
            <w:tcW w:w="2370" w:type="dxa"/>
            <w:tcBorders>
              <w:top w:val="single" w:sz="4" w:space="0" w:color="auto"/>
            </w:tcBorders>
            <w:shd w:val="clear" w:color="auto" w:fill="auto"/>
            <w:vAlign w:val="bottom"/>
          </w:tcPr>
          <w:p w14:paraId="4F43DB13" w14:textId="77777777" w:rsidR="00FA22FC" w:rsidRPr="002D2F67" w:rsidRDefault="00FA22FC" w:rsidP="005611FE">
            <w:pPr>
              <w:ind w:right="-72"/>
              <w:jc w:val="right"/>
              <w:rPr>
                <w:rFonts w:ascii="Arial" w:hAnsi="Arial" w:cs="Arial"/>
                <w:color w:val="000000"/>
                <w:sz w:val="18"/>
                <w:szCs w:val="18"/>
              </w:rPr>
            </w:pPr>
          </w:p>
        </w:tc>
        <w:tc>
          <w:tcPr>
            <w:tcW w:w="2370" w:type="dxa"/>
            <w:tcBorders>
              <w:top w:val="single" w:sz="4" w:space="0" w:color="auto"/>
            </w:tcBorders>
            <w:shd w:val="clear" w:color="auto" w:fill="auto"/>
            <w:vAlign w:val="bottom"/>
          </w:tcPr>
          <w:p w14:paraId="79383DFE" w14:textId="77777777" w:rsidR="00FA22FC" w:rsidRPr="002D2F67" w:rsidRDefault="00FA22FC" w:rsidP="005611FE">
            <w:pPr>
              <w:ind w:right="-72"/>
              <w:jc w:val="right"/>
              <w:rPr>
                <w:rFonts w:ascii="Arial" w:hAnsi="Arial" w:cs="Arial"/>
                <w:color w:val="000000"/>
                <w:sz w:val="18"/>
                <w:szCs w:val="18"/>
              </w:rPr>
            </w:pPr>
          </w:p>
        </w:tc>
        <w:tc>
          <w:tcPr>
            <w:tcW w:w="2370" w:type="dxa"/>
            <w:tcBorders>
              <w:top w:val="single" w:sz="4" w:space="0" w:color="auto"/>
            </w:tcBorders>
            <w:shd w:val="clear" w:color="auto" w:fill="auto"/>
            <w:vAlign w:val="bottom"/>
          </w:tcPr>
          <w:p w14:paraId="7DAF2E28" w14:textId="77777777" w:rsidR="00FA22FC" w:rsidRPr="002D2F67" w:rsidRDefault="00FA22FC" w:rsidP="005611FE">
            <w:pPr>
              <w:ind w:right="-72"/>
              <w:jc w:val="right"/>
              <w:rPr>
                <w:rFonts w:ascii="Arial" w:hAnsi="Arial" w:cs="Arial"/>
                <w:color w:val="000000"/>
                <w:sz w:val="18"/>
                <w:szCs w:val="18"/>
              </w:rPr>
            </w:pPr>
          </w:p>
        </w:tc>
      </w:tr>
      <w:tr w:rsidR="00FA22FC" w:rsidRPr="002D2F67" w14:paraId="3BE578B4" w14:textId="77777777" w:rsidTr="004F4DED">
        <w:trPr>
          <w:cantSplit/>
          <w:trHeight w:val="52"/>
        </w:trPr>
        <w:tc>
          <w:tcPr>
            <w:tcW w:w="4781" w:type="dxa"/>
            <w:shd w:val="clear" w:color="auto" w:fill="auto"/>
            <w:vAlign w:val="center"/>
          </w:tcPr>
          <w:p w14:paraId="149DD8B9" w14:textId="54CBFA3E" w:rsidR="00FA22FC" w:rsidRPr="002D2F67" w:rsidRDefault="00FA22FC" w:rsidP="005611FE">
            <w:pPr>
              <w:ind w:left="-105" w:right="-92"/>
              <w:rPr>
                <w:rFonts w:ascii="Arial" w:hAnsi="Arial" w:cs="Arial"/>
                <w:color w:val="000000"/>
                <w:spacing w:val="-4"/>
                <w:sz w:val="18"/>
                <w:szCs w:val="18"/>
                <w:cs/>
              </w:rPr>
            </w:pPr>
            <w:r w:rsidRPr="002D2F67">
              <w:rPr>
                <w:rFonts w:ascii="Arial" w:hAnsi="Arial" w:cs="Arial"/>
                <w:color w:val="000000"/>
                <w:spacing w:val="-4"/>
                <w:sz w:val="18"/>
                <w:szCs w:val="18"/>
              </w:rPr>
              <w:t>Cash and cash equivalents at the end of year</w:t>
            </w:r>
          </w:p>
        </w:tc>
        <w:tc>
          <w:tcPr>
            <w:tcW w:w="2370" w:type="dxa"/>
            <w:tcBorders>
              <w:bottom w:val="single" w:sz="4" w:space="0" w:color="auto"/>
            </w:tcBorders>
            <w:shd w:val="clear" w:color="auto" w:fill="auto"/>
            <w:vAlign w:val="bottom"/>
          </w:tcPr>
          <w:p w14:paraId="068FFC4A" w14:textId="75A8F235" w:rsidR="00FA22FC"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29</w:t>
            </w:r>
            <w:r w:rsidR="00FA22FC" w:rsidRPr="002D2F67">
              <w:rPr>
                <w:rFonts w:ascii="Arial" w:hAnsi="Arial" w:cs="Arial"/>
                <w:color w:val="000000"/>
                <w:sz w:val="18"/>
                <w:szCs w:val="18"/>
              </w:rPr>
              <w:t>,</w:t>
            </w:r>
            <w:r w:rsidRPr="00CD5714">
              <w:rPr>
                <w:rFonts w:ascii="Arial" w:hAnsi="Arial" w:cs="Arial"/>
                <w:color w:val="000000"/>
                <w:sz w:val="18"/>
                <w:szCs w:val="18"/>
                <w:lang w:val="en-GB"/>
              </w:rPr>
              <w:t>162</w:t>
            </w:r>
          </w:p>
        </w:tc>
        <w:tc>
          <w:tcPr>
            <w:tcW w:w="2370" w:type="dxa"/>
            <w:tcBorders>
              <w:bottom w:val="single" w:sz="4" w:space="0" w:color="auto"/>
            </w:tcBorders>
            <w:shd w:val="clear" w:color="auto" w:fill="auto"/>
            <w:vAlign w:val="bottom"/>
          </w:tcPr>
          <w:p w14:paraId="5CCE5682" w14:textId="393CF8E7" w:rsidR="00FA22FC"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455</w:t>
            </w:r>
            <w:r w:rsidR="00FA22FC" w:rsidRPr="002D2F67">
              <w:rPr>
                <w:rFonts w:ascii="Arial" w:hAnsi="Arial" w:cs="Arial"/>
                <w:color w:val="000000"/>
                <w:sz w:val="18"/>
                <w:szCs w:val="18"/>
              </w:rPr>
              <w:t>,</w:t>
            </w:r>
            <w:r w:rsidRPr="00CD5714">
              <w:rPr>
                <w:rFonts w:ascii="Arial" w:hAnsi="Arial" w:cs="Arial"/>
                <w:color w:val="000000"/>
                <w:sz w:val="18"/>
                <w:szCs w:val="18"/>
                <w:lang w:val="en-GB"/>
              </w:rPr>
              <w:t>984</w:t>
            </w:r>
          </w:p>
        </w:tc>
        <w:tc>
          <w:tcPr>
            <w:tcW w:w="2370" w:type="dxa"/>
            <w:tcBorders>
              <w:bottom w:val="single" w:sz="4" w:space="0" w:color="auto"/>
            </w:tcBorders>
            <w:shd w:val="clear" w:color="auto" w:fill="auto"/>
            <w:vAlign w:val="bottom"/>
          </w:tcPr>
          <w:p w14:paraId="104C626B" w14:textId="470DDBAF" w:rsidR="00FA22FC"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13</w:t>
            </w:r>
            <w:r w:rsidR="00FA22FC" w:rsidRPr="002D2F67">
              <w:rPr>
                <w:rFonts w:ascii="Arial" w:hAnsi="Arial" w:cs="Arial"/>
                <w:color w:val="000000"/>
                <w:sz w:val="18"/>
                <w:szCs w:val="18"/>
              </w:rPr>
              <w:t>,</w:t>
            </w:r>
            <w:r w:rsidRPr="00CD5714">
              <w:rPr>
                <w:rFonts w:ascii="Arial" w:hAnsi="Arial" w:cs="Arial"/>
                <w:color w:val="000000"/>
                <w:sz w:val="18"/>
                <w:szCs w:val="18"/>
                <w:lang w:val="en-GB"/>
              </w:rPr>
              <w:t>136</w:t>
            </w:r>
          </w:p>
        </w:tc>
        <w:tc>
          <w:tcPr>
            <w:tcW w:w="2370" w:type="dxa"/>
            <w:tcBorders>
              <w:bottom w:val="single" w:sz="4" w:space="0" w:color="auto"/>
            </w:tcBorders>
            <w:shd w:val="clear" w:color="auto" w:fill="auto"/>
            <w:vAlign w:val="bottom"/>
          </w:tcPr>
          <w:p w14:paraId="096607BF" w14:textId="00D40618" w:rsidR="00FA22FC"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284</w:t>
            </w:r>
            <w:r w:rsidR="00FA22FC" w:rsidRPr="002D2F67">
              <w:rPr>
                <w:rFonts w:ascii="Arial" w:hAnsi="Arial" w:cs="Arial"/>
                <w:color w:val="000000"/>
                <w:sz w:val="18"/>
                <w:szCs w:val="18"/>
              </w:rPr>
              <w:t>,</w:t>
            </w:r>
            <w:r w:rsidRPr="00CD5714">
              <w:rPr>
                <w:rFonts w:ascii="Arial" w:hAnsi="Arial" w:cs="Arial"/>
                <w:color w:val="000000"/>
                <w:sz w:val="18"/>
                <w:szCs w:val="18"/>
                <w:lang w:val="en-GB"/>
              </w:rPr>
              <w:t>026</w:t>
            </w:r>
          </w:p>
        </w:tc>
      </w:tr>
    </w:tbl>
    <w:p w14:paraId="7ADF8CFB" w14:textId="77777777" w:rsidR="003A2179" w:rsidRPr="002D2F67" w:rsidRDefault="003A2179" w:rsidP="005611FE">
      <w:pPr>
        <w:ind w:left="540" w:firstLine="720"/>
        <w:rPr>
          <w:rFonts w:ascii="Arial" w:hAnsi="Arial" w:cs="Arial"/>
          <w:color w:val="000000"/>
          <w:sz w:val="15"/>
          <w:szCs w:val="15"/>
        </w:rPr>
      </w:pPr>
    </w:p>
    <w:p w14:paraId="49EB585A" w14:textId="77777777" w:rsidR="000F3389" w:rsidRPr="002D2F67" w:rsidRDefault="000F3389" w:rsidP="005611FE">
      <w:pPr>
        <w:tabs>
          <w:tab w:val="left" w:pos="900"/>
        </w:tabs>
        <w:jc w:val="both"/>
        <w:rPr>
          <w:rFonts w:ascii="Arial" w:hAnsi="Arial" w:cs="Arial"/>
          <w:color w:val="000000"/>
          <w:sz w:val="20"/>
          <w:szCs w:val="20"/>
        </w:rPr>
        <w:sectPr w:rsidR="000F3389" w:rsidRPr="002D2F67" w:rsidSect="004F4DED">
          <w:pgSz w:w="16840" w:h="11907" w:orient="landscape" w:code="9"/>
          <w:pgMar w:top="1440" w:right="1008" w:bottom="720" w:left="1008" w:header="706" w:footer="576" w:gutter="0"/>
          <w:cols w:space="720"/>
          <w:docGrid w:linePitch="272"/>
        </w:sectPr>
      </w:pPr>
    </w:p>
    <w:p w14:paraId="64A963D0" w14:textId="77777777" w:rsidR="00FF408A" w:rsidRPr="002D2F67" w:rsidRDefault="00FF408A" w:rsidP="005611FE">
      <w:pPr>
        <w:pStyle w:val="BodyText"/>
        <w:ind w:left="540" w:hanging="540"/>
        <w:jc w:val="thaiDistribute"/>
        <w:rPr>
          <w:rFonts w:ascii="Arial" w:hAnsi="Arial" w:cs="Arial"/>
          <w:b/>
          <w:bCs/>
          <w:color w:val="000000"/>
          <w:szCs w:val="25"/>
          <w:lang w:val="en-GB"/>
        </w:rPr>
      </w:pPr>
    </w:p>
    <w:p w14:paraId="51670AB6" w14:textId="015F6A4B" w:rsidR="00FF408A" w:rsidRPr="002D2F67" w:rsidRDefault="00CD5714" w:rsidP="005611FE">
      <w:pPr>
        <w:pStyle w:val="HeadSub1-5EA"/>
        <w:ind w:left="518" w:hanging="518"/>
        <w:rPr>
          <w:rFonts w:ascii="Arial" w:hAnsi="Arial" w:cs="Arial"/>
          <w:color w:val="000000"/>
          <w:sz w:val="20"/>
          <w:szCs w:val="20"/>
        </w:rPr>
      </w:pPr>
      <w:r w:rsidRPr="00CD5714">
        <w:rPr>
          <w:rFonts w:ascii="Arial" w:hAnsi="Arial" w:cs="Arial"/>
          <w:color w:val="000000"/>
          <w:sz w:val="20"/>
          <w:szCs w:val="20"/>
          <w:lang w:val="en-GB"/>
        </w:rPr>
        <w:t>19</w:t>
      </w:r>
      <w:r w:rsidR="00FF408A" w:rsidRPr="002D2F67">
        <w:rPr>
          <w:rFonts w:ascii="Arial" w:hAnsi="Arial" w:cs="Arial"/>
          <w:color w:val="000000"/>
          <w:sz w:val="20"/>
          <w:szCs w:val="20"/>
        </w:rPr>
        <w:t>.</w:t>
      </w:r>
      <w:r w:rsidRPr="00CD5714">
        <w:rPr>
          <w:rFonts w:ascii="Arial" w:hAnsi="Arial" w:cs="Arial"/>
          <w:color w:val="000000"/>
          <w:sz w:val="20"/>
          <w:szCs w:val="20"/>
          <w:lang w:val="en-GB"/>
        </w:rPr>
        <w:t>3</w:t>
      </w:r>
      <w:r w:rsidR="00FF408A" w:rsidRPr="002D2F67">
        <w:rPr>
          <w:rFonts w:ascii="Arial" w:hAnsi="Arial" w:cs="Arial"/>
          <w:color w:val="000000"/>
          <w:sz w:val="20"/>
          <w:szCs w:val="20"/>
        </w:rPr>
        <w:tab/>
        <w:t>Investments in associates</w:t>
      </w:r>
    </w:p>
    <w:p w14:paraId="7912D463" w14:textId="77777777" w:rsidR="00FF408A" w:rsidRPr="002D2F67" w:rsidRDefault="00FF408A" w:rsidP="005611FE">
      <w:pPr>
        <w:ind w:left="540"/>
        <w:rPr>
          <w:rFonts w:ascii="Arial" w:hAnsi="Arial" w:cs="Arial"/>
          <w:color w:val="000000"/>
          <w:sz w:val="20"/>
          <w:szCs w:val="20"/>
          <w:lang w:val="x-none"/>
        </w:rPr>
      </w:pPr>
    </w:p>
    <w:tbl>
      <w:tblPr>
        <w:tblW w:w="14880" w:type="dxa"/>
        <w:tblInd w:w="619" w:type="dxa"/>
        <w:tblLayout w:type="fixed"/>
        <w:tblCellMar>
          <w:left w:w="79" w:type="dxa"/>
          <w:right w:w="113" w:type="dxa"/>
        </w:tblCellMar>
        <w:tblLook w:val="04A0" w:firstRow="1" w:lastRow="0" w:firstColumn="1" w:lastColumn="0" w:noHBand="0" w:noVBand="1"/>
      </w:tblPr>
      <w:tblGrid>
        <w:gridCol w:w="3286"/>
        <w:gridCol w:w="3050"/>
        <w:gridCol w:w="1064"/>
        <w:gridCol w:w="1065"/>
        <w:gridCol w:w="1063"/>
        <w:gridCol w:w="1064"/>
        <w:gridCol w:w="1064"/>
        <w:gridCol w:w="1063"/>
        <w:gridCol w:w="1064"/>
        <w:gridCol w:w="1097"/>
      </w:tblGrid>
      <w:tr w:rsidR="00FF408A" w:rsidRPr="002D2F67" w14:paraId="145D2F7E" w14:textId="77777777" w:rsidTr="003E7A47">
        <w:trPr>
          <w:cantSplit/>
        </w:trPr>
        <w:tc>
          <w:tcPr>
            <w:tcW w:w="3286" w:type="dxa"/>
            <w:shd w:val="clear" w:color="auto" w:fill="auto"/>
            <w:vAlign w:val="bottom"/>
          </w:tcPr>
          <w:p w14:paraId="626AC5DC" w14:textId="77777777" w:rsidR="00FF408A" w:rsidRPr="002D2F67" w:rsidRDefault="00FF408A" w:rsidP="005611FE">
            <w:pPr>
              <w:ind w:left="-73"/>
              <w:rPr>
                <w:rFonts w:ascii="Arial" w:hAnsi="Arial" w:cs="Arial"/>
                <w:b/>
                <w:bCs/>
                <w:color w:val="000000"/>
                <w:spacing w:val="-4"/>
                <w:sz w:val="14"/>
                <w:szCs w:val="14"/>
                <w:cs/>
              </w:rPr>
            </w:pPr>
          </w:p>
        </w:tc>
        <w:tc>
          <w:tcPr>
            <w:tcW w:w="3050" w:type="dxa"/>
            <w:shd w:val="clear" w:color="auto" w:fill="auto"/>
            <w:vAlign w:val="bottom"/>
          </w:tcPr>
          <w:p w14:paraId="35357857" w14:textId="77777777" w:rsidR="00FF408A" w:rsidRPr="002D2F67" w:rsidRDefault="00FF408A" w:rsidP="005611FE">
            <w:pPr>
              <w:pStyle w:val="acctfourfigures"/>
              <w:tabs>
                <w:tab w:val="left" w:pos="720"/>
              </w:tabs>
              <w:spacing w:line="240" w:lineRule="auto"/>
              <w:ind w:right="-72"/>
              <w:jc w:val="center"/>
              <w:rPr>
                <w:rFonts w:ascii="Arial" w:hAnsi="Arial" w:cs="Arial"/>
                <w:b/>
                <w:bCs/>
                <w:color w:val="000000"/>
                <w:sz w:val="14"/>
                <w:szCs w:val="14"/>
                <w:cs/>
                <w:lang w:bidi="th-TH"/>
              </w:rPr>
            </w:pPr>
          </w:p>
        </w:tc>
        <w:tc>
          <w:tcPr>
            <w:tcW w:w="8544" w:type="dxa"/>
            <w:gridSpan w:val="8"/>
            <w:tcBorders>
              <w:left w:val="nil"/>
              <w:bottom w:val="single" w:sz="4" w:space="0" w:color="auto"/>
              <w:right w:val="nil"/>
            </w:tcBorders>
            <w:shd w:val="clear" w:color="auto" w:fill="auto"/>
            <w:vAlign w:val="bottom"/>
          </w:tcPr>
          <w:p w14:paraId="5F567F44" w14:textId="77777777" w:rsidR="00FF408A" w:rsidRPr="002D2F67" w:rsidRDefault="00FF408A" w:rsidP="005611FE">
            <w:pPr>
              <w:pStyle w:val="acctfourfigures"/>
              <w:spacing w:line="240" w:lineRule="auto"/>
              <w:ind w:right="-71"/>
              <w:jc w:val="right"/>
              <w:rPr>
                <w:rFonts w:ascii="Arial" w:hAnsi="Arial" w:cs="Arial"/>
                <w:b/>
                <w:bCs/>
                <w:color w:val="000000"/>
                <w:sz w:val="14"/>
                <w:szCs w:val="14"/>
                <w:lang w:bidi="th-TH"/>
              </w:rPr>
            </w:pPr>
            <w:r w:rsidRPr="002D2F67">
              <w:rPr>
                <w:rFonts w:ascii="Arial" w:hAnsi="Arial" w:cs="Arial"/>
                <w:b/>
                <w:bCs/>
                <w:color w:val="000000"/>
                <w:sz w:val="14"/>
                <w:szCs w:val="14"/>
                <w:lang w:bidi="th-TH"/>
              </w:rPr>
              <w:t>Consolidated</w:t>
            </w:r>
            <w:r w:rsidR="0096203E" w:rsidRPr="002D2F67">
              <w:rPr>
                <w:rFonts w:ascii="Arial" w:hAnsi="Arial" w:cs="Arial"/>
                <w:b/>
                <w:bCs/>
                <w:color w:val="000000"/>
                <w:sz w:val="14"/>
                <w:szCs w:val="14"/>
                <w:lang w:bidi="th-TH"/>
              </w:rPr>
              <w:t xml:space="preserve"> financial statements</w:t>
            </w:r>
          </w:p>
        </w:tc>
      </w:tr>
      <w:tr w:rsidR="00FF408A" w:rsidRPr="002D2F67" w14:paraId="2D2B5B3E" w14:textId="77777777" w:rsidTr="003E7A47">
        <w:trPr>
          <w:cantSplit/>
        </w:trPr>
        <w:tc>
          <w:tcPr>
            <w:tcW w:w="3286" w:type="dxa"/>
            <w:shd w:val="clear" w:color="auto" w:fill="auto"/>
            <w:vAlign w:val="bottom"/>
          </w:tcPr>
          <w:p w14:paraId="55F3BBCE" w14:textId="77777777" w:rsidR="00FF408A" w:rsidRPr="002D2F67" w:rsidRDefault="00FF408A" w:rsidP="005611FE">
            <w:pPr>
              <w:ind w:left="-73"/>
              <w:rPr>
                <w:rFonts w:ascii="Arial" w:hAnsi="Arial" w:cs="Arial"/>
                <w:b/>
                <w:bCs/>
                <w:color w:val="000000"/>
                <w:spacing w:val="-4"/>
                <w:sz w:val="14"/>
                <w:szCs w:val="14"/>
              </w:rPr>
            </w:pPr>
          </w:p>
        </w:tc>
        <w:tc>
          <w:tcPr>
            <w:tcW w:w="3050" w:type="dxa"/>
            <w:shd w:val="clear" w:color="auto" w:fill="auto"/>
            <w:vAlign w:val="bottom"/>
          </w:tcPr>
          <w:p w14:paraId="0278AF2C" w14:textId="77777777" w:rsidR="00FF408A" w:rsidRPr="002D2F67" w:rsidRDefault="00FF408A" w:rsidP="005611FE">
            <w:pPr>
              <w:pStyle w:val="acctfourfigures"/>
              <w:tabs>
                <w:tab w:val="left" w:pos="720"/>
              </w:tabs>
              <w:spacing w:line="240" w:lineRule="auto"/>
              <w:ind w:right="-72"/>
              <w:jc w:val="center"/>
              <w:rPr>
                <w:rFonts w:ascii="Arial" w:hAnsi="Arial" w:cs="Arial"/>
                <w:b/>
                <w:bCs/>
                <w:color w:val="000000"/>
                <w:sz w:val="14"/>
                <w:szCs w:val="14"/>
                <w:cs/>
                <w:lang w:bidi="th-TH"/>
              </w:rPr>
            </w:pPr>
          </w:p>
        </w:tc>
        <w:tc>
          <w:tcPr>
            <w:tcW w:w="2129" w:type="dxa"/>
            <w:gridSpan w:val="2"/>
            <w:tcBorders>
              <w:top w:val="single" w:sz="4" w:space="0" w:color="auto"/>
              <w:left w:val="nil"/>
              <w:bottom w:val="single" w:sz="4" w:space="0" w:color="auto"/>
              <w:right w:val="nil"/>
            </w:tcBorders>
            <w:shd w:val="clear" w:color="auto" w:fill="auto"/>
            <w:vAlign w:val="bottom"/>
            <w:hideMark/>
          </w:tcPr>
          <w:p w14:paraId="6AE4DC96" w14:textId="77777777" w:rsidR="00FF408A" w:rsidRPr="002D2F67" w:rsidRDefault="00FF408A" w:rsidP="005611FE">
            <w:pPr>
              <w:pStyle w:val="acctfourfigures"/>
              <w:tabs>
                <w:tab w:val="left" w:pos="720"/>
              </w:tabs>
              <w:spacing w:line="240" w:lineRule="auto"/>
              <w:ind w:right="-29"/>
              <w:jc w:val="center"/>
              <w:rPr>
                <w:rFonts w:ascii="Arial" w:hAnsi="Arial" w:cs="Arial"/>
                <w:b/>
                <w:bCs/>
                <w:color w:val="000000"/>
                <w:spacing w:val="-4"/>
                <w:sz w:val="14"/>
                <w:szCs w:val="14"/>
                <w:lang w:bidi="th-TH"/>
              </w:rPr>
            </w:pPr>
            <w:r w:rsidRPr="002D2F67">
              <w:rPr>
                <w:rFonts w:ascii="Arial" w:hAnsi="Arial" w:cs="Arial"/>
                <w:b/>
                <w:bCs/>
                <w:color w:val="000000"/>
                <w:sz w:val="14"/>
                <w:szCs w:val="14"/>
                <w:lang w:bidi="th-TH"/>
              </w:rPr>
              <w:t>Portion of ordinary shares held by the Group</w:t>
            </w:r>
          </w:p>
        </w:tc>
        <w:tc>
          <w:tcPr>
            <w:tcW w:w="2127" w:type="dxa"/>
            <w:gridSpan w:val="2"/>
            <w:tcBorders>
              <w:top w:val="single" w:sz="4" w:space="0" w:color="auto"/>
              <w:left w:val="nil"/>
              <w:bottom w:val="single" w:sz="4" w:space="0" w:color="auto"/>
              <w:right w:val="nil"/>
            </w:tcBorders>
            <w:shd w:val="clear" w:color="auto" w:fill="auto"/>
            <w:vAlign w:val="bottom"/>
            <w:hideMark/>
          </w:tcPr>
          <w:p w14:paraId="68EF49C6" w14:textId="77777777" w:rsidR="00FF408A" w:rsidRPr="002D2F67" w:rsidRDefault="00FF408A" w:rsidP="005611FE">
            <w:pPr>
              <w:pStyle w:val="acctfourfigures"/>
              <w:tabs>
                <w:tab w:val="left" w:pos="720"/>
              </w:tabs>
              <w:spacing w:line="240" w:lineRule="auto"/>
              <w:ind w:right="-29"/>
              <w:jc w:val="center"/>
              <w:rPr>
                <w:rFonts w:ascii="Arial" w:hAnsi="Arial" w:cs="Arial"/>
                <w:b/>
                <w:bCs/>
                <w:color w:val="000000"/>
                <w:sz w:val="14"/>
                <w:szCs w:val="14"/>
                <w:cs/>
                <w:lang w:bidi="th-TH"/>
              </w:rPr>
            </w:pPr>
            <w:r w:rsidRPr="002D2F67">
              <w:rPr>
                <w:rFonts w:ascii="Arial" w:hAnsi="Arial" w:cs="Arial"/>
                <w:b/>
                <w:bCs/>
                <w:color w:val="000000"/>
                <w:sz w:val="14"/>
                <w:szCs w:val="14"/>
                <w:lang w:bidi="th-TH"/>
              </w:rPr>
              <w:t>Cost method</w:t>
            </w:r>
          </w:p>
        </w:tc>
        <w:tc>
          <w:tcPr>
            <w:tcW w:w="2127" w:type="dxa"/>
            <w:gridSpan w:val="2"/>
            <w:tcBorders>
              <w:top w:val="single" w:sz="4" w:space="0" w:color="auto"/>
              <w:left w:val="nil"/>
              <w:bottom w:val="single" w:sz="4" w:space="0" w:color="auto"/>
              <w:right w:val="nil"/>
            </w:tcBorders>
            <w:shd w:val="clear" w:color="auto" w:fill="auto"/>
            <w:vAlign w:val="bottom"/>
          </w:tcPr>
          <w:p w14:paraId="3EEE1542" w14:textId="77777777" w:rsidR="00FF408A" w:rsidRPr="002D2F67" w:rsidRDefault="00FF408A" w:rsidP="005611FE">
            <w:pPr>
              <w:pStyle w:val="acctfourfigures"/>
              <w:tabs>
                <w:tab w:val="left" w:pos="720"/>
              </w:tabs>
              <w:spacing w:line="240" w:lineRule="auto"/>
              <w:ind w:right="-29"/>
              <w:jc w:val="center"/>
              <w:rPr>
                <w:rFonts w:ascii="Arial" w:hAnsi="Arial" w:cs="Arial"/>
                <w:b/>
                <w:bCs/>
                <w:color w:val="000000"/>
                <w:sz w:val="14"/>
                <w:szCs w:val="14"/>
                <w:lang w:bidi="th-TH"/>
              </w:rPr>
            </w:pPr>
            <w:r w:rsidRPr="002D2F67">
              <w:rPr>
                <w:rFonts w:ascii="Arial" w:hAnsi="Arial" w:cs="Arial"/>
                <w:b/>
                <w:bCs/>
                <w:color w:val="000000"/>
                <w:sz w:val="14"/>
                <w:szCs w:val="14"/>
                <w:lang w:bidi="th-TH"/>
              </w:rPr>
              <w:t>Equity method</w:t>
            </w:r>
          </w:p>
        </w:tc>
        <w:tc>
          <w:tcPr>
            <w:tcW w:w="2161" w:type="dxa"/>
            <w:gridSpan w:val="2"/>
            <w:tcBorders>
              <w:top w:val="single" w:sz="4" w:space="0" w:color="auto"/>
              <w:left w:val="nil"/>
              <w:bottom w:val="single" w:sz="4" w:space="0" w:color="auto"/>
              <w:right w:val="nil"/>
            </w:tcBorders>
            <w:shd w:val="clear" w:color="auto" w:fill="auto"/>
            <w:vAlign w:val="bottom"/>
            <w:hideMark/>
          </w:tcPr>
          <w:p w14:paraId="4EB26722" w14:textId="45EA9961" w:rsidR="00FF408A" w:rsidRPr="002D2F67" w:rsidRDefault="00FF408A" w:rsidP="005611FE">
            <w:pPr>
              <w:pStyle w:val="acctfourfigures"/>
              <w:tabs>
                <w:tab w:val="left" w:pos="720"/>
              </w:tabs>
              <w:spacing w:line="240" w:lineRule="auto"/>
              <w:ind w:right="-29"/>
              <w:jc w:val="center"/>
              <w:rPr>
                <w:rFonts w:ascii="Arial" w:hAnsi="Arial" w:cs="Arial"/>
                <w:b/>
                <w:bCs/>
                <w:color w:val="000000"/>
                <w:sz w:val="14"/>
                <w:szCs w:val="14"/>
                <w:lang w:bidi="th-TH"/>
              </w:rPr>
            </w:pPr>
            <w:r w:rsidRPr="002D2F67">
              <w:rPr>
                <w:rFonts w:ascii="Arial" w:hAnsi="Arial" w:cs="Arial"/>
                <w:b/>
                <w:bCs/>
                <w:color w:val="000000"/>
                <w:sz w:val="14"/>
                <w:szCs w:val="14"/>
                <w:lang w:bidi="th-TH"/>
              </w:rPr>
              <w:t>Dividend for the</w:t>
            </w:r>
            <w:r w:rsidR="00454FAA" w:rsidRPr="002D2F67">
              <w:rPr>
                <w:rFonts w:ascii="Arial" w:hAnsi="Arial" w:cs="Arial"/>
                <w:b/>
                <w:bCs/>
                <w:color w:val="000000"/>
                <w:sz w:val="14"/>
                <w:szCs w:val="14"/>
                <w:lang w:bidi="th-TH"/>
              </w:rPr>
              <w:t xml:space="preserve"> year</w:t>
            </w:r>
            <w:r w:rsidR="00F46617" w:rsidRPr="002D2F67">
              <w:rPr>
                <w:rFonts w:ascii="Arial" w:hAnsi="Arial" w:cs="Arial"/>
                <w:b/>
                <w:bCs/>
                <w:color w:val="000000"/>
                <w:sz w:val="14"/>
                <w:szCs w:val="14"/>
                <w:lang w:bidi="th-TH"/>
              </w:rPr>
              <w:t xml:space="preserve"> </w:t>
            </w:r>
          </w:p>
        </w:tc>
      </w:tr>
      <w:tr w:rsidR="00B24672" w:rsidRPr="002D2F67" w14:paraId="204E03E7" w14:textId="77777777" w:rsidTr="003E7A47">
        <w:trPr>
          <w:cantSplit/>
        </w:trPr>
        <w:tc>
          <w:tcPr>
            <w:tcW w:w="3286" w:type="dxa"/>
            <w:shd w:val="clear" w:color="auto" w:fill="auto"/>
            <w:vAlign w:val="bottom"/>
          </w:tcPr>
          <w:p w14:paraId="735835D5" w14:textId="77777777" w:rsidR="00B24672" w:rsidRPr="002D2F67" w:rsidRDefault="00B24672" w:rsidP="005611FE">
            <w:pPr>
              <w:rPr>
                <w:rFonts w:ascii="Arial" w:hAnsi="Arial" w:cs="Arial"/>
                <w:b/>
                <w:bCs/>
                <w:color w:val="000000"/>
                <w:spacing w:val="-4"/>
                <w:sz w:val="14"/>
                <w:szCs w:val="14"/>
                <w:cs/>
              </w:rPr>
            </w:pPr>
          </w:p>
        </w:tc>
        <w:tc>
          <w:tcPr>
            <w:tcW w:w="3050" w:type="dxa"/>
            <w:shd w:val="clear" w:color="auto" w:fill="auto"/>
            <w:vAlign w:val="bottom"/>
          </w:tcPr>
          <w:p w14:paraId="1A162431" w14:textId="77777777" w:rsidR="00B24672" w:rsidRPr="002D2F67" w:rsidRDefault="00B24672" w:rsidP="005611FE">
            <w:pPr>
              <w:pStyle w:val="acctfourfigures"/>
              <w:tabs>
                <w:tab w:val="left" w:pos="720"/>
              </w:tabs>
              <w:spacing w:line="240" w:lineRule="auto"/>
              <w:ind w:right="-72"/>
              <w:rPr>
                <w:rFonts w:ascii="Arial" w:hAnsi="Arial" w:cs="Arial"/>
                <w:b/>
                <w:bCs/>
                <w:color w:val="000000"/>
                <w:sz w:val="14"/>
                <w:szCs w:val="14"/>
                <w:cs/>
                <w:lang w:bidi="th-TH"/>
              </w:rPr>
            </w:pPr>
          </w:p>
        </w:tc>
        <w:tc>
          <w:tcPr>
            <w:tcW w:w="1064" w:type="dxa"/>
            <w:tcBorders>
              <w:top w:val="single" w:sz="4" w:space="0" w:color="auto"/>
              <w:left w:val="nil"/>
              <w:right w:val="nil"/>
            </w:tcBorders>
            <w:shd w:val="clear" w:color="auto" w:fill="auto"/>
            <w:vAlign w:val="bottom"/>
            <w:hideMark/>
          </w:tcPr>
          <w:p w14:paraId="5E77305C" w14:textId="6BD358E2" w:rsidR="00B24672" w:rsidRPr="002D2F67" w:rsidRDefault="00CD5714" w:rsidP="005611FE">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B24672" w:rsidRPr="002D2F67">
              <w:rPr>
                <w:rFonts w:ascii="Arial" w:hAnsi="Arial" w:cs="Arial"/>
                <w:b/>
                <w:bCs/>
                <w:color w:val="000000"/>
                <w:sz w:val="14"/>
                <w:szCs w:val="14"/>
                <w:lang w:bidi="th-TH"/>
              </w:rPr>
              <w:t xml:space="preserve"> December</w:t>
            </w:r>
          </w:p>
          <w:p w14:paraId="1D871AFB" w14:textId="6ED3977A" w:rsidR="00B24672" w:rsidRPr="002D2F67" w:rsidRDefault="00CD5714" w:rsidP="005611FE">
            <w:pPr>
              <w:pStyle w:val="acctfourfigures"/>
              <w:tabs>
                <w:tab w:val="clear" w:pos="765"/>
              </w:tabs>
              <w:spacing w:line="240" w:lineRule="auto"/>
              <w:ind w:right="-58"/>
              <w:jc w:val="right"/>
              <w:rPr>
                <w:rFonts w:ascii="Arial" w:hAnsi="Arial" w:cs="Arial"/>
                <w:b/>
                <w:bCs/>
                <w:color w:val="000000"/>
                <w:sz w:val="14"/>
                <w:szCs w:val="14"/>
              </w:rPr>
            </w:pPr>
            <w:r w:rsidRPr="00CD5714">
              <w:rPr>
                <w:rFonts w:ascii="Arial" w:hAnsi="Arial" w:cs="Arial"/>
                <w:b/>
                <w:bCs/>
                <w:color w:val="000000"/>
                <w:sz w:val="14"/>
                <w:szCs w:val="14"/>
                <w:lang w:val="en-GB" w:bidi="th-TH"/>
              </w:rPr>
              <w:t>2024</w:t>
            </w:r>
          </w:p>
        </w:tc>
        <w:tc>
          <w:tcPr>
            <w:tcW w:w="1065" w:type="dxa"/>
            <w:tcBorders>
              <w:top w:val="single" w:sz="4" w:space="0" w:color="auto"/>
              <w:left w:val="nil"/>
              <w:right w:val="nil"/>
            </w:tcBorders>
            <w:shd w:val="clear" w:color="auto" w:fill="auto"/>
            <w:vAlign w:val="bottom"/>
            <w:hideMark/>
          </w:tcPr>
          <w:p w14:paraId="6322D5B0" w14:textId="491DBE88" w:rsidR="00B24672" w:rsidRPr="002D2F67" w:rsidRDefault="00CD5714" w:rsidP="005611FE">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B24672" w:rsidRPr="002D2F67">
              <w:rPr>
                <w:rFonts w:ascii="Arial" w:hAnsi="Arial" w:cs="Arial"/>
                <w:b/>
                <w:bCs/>
                <w:color w:val="000000"/>
                <w:sz w:val="14"/>
                <w:szCs w:val="14"/>
                <w:lang w:bidi="th-TH"/>
              </w:rPr>
              <w:t xml:space="preserve"> December</w:t>
            </w:r>
          </w:p>
          <w:p w14:paraId="4A6CBE38" w14:textId="03DB8774" w:rsidR="00B24672" w:rsidRPr="002D2F67" w:rsidRDefault="00CD5714" w:rsidP="005611FE">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2023</w:t>
            </w:r>
          </w:p>
        </w:tc>
        <w:tc>
          <w:tcPr>
            <w:tcW w:w="1063" w:type="dxa"/>
            <w:tcBorders>
              <w:top w:val="single" w:sz="4" w:space="0" w:color="auto"/>
              <w:left w:val="nil"/>
              <w:right w:val="nil"/>
            </w:tcBorders>
            <w:shd w:val="clear" w:color="auto" w:fill="auto"/>
            <w:vAlign w:val="bottom"/>
            <w:hideMark/>
          </w:tcPr>
          <w:p w14:paraId="24EFF22A" w14:textId="3C949D76" w:rsidR="00B24672" w:rsidRPr="002D2F67" w:rsidRDefault="00CD5714" w:rsidP="005611FE">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B24672" w:rsidRPr="002D2F67">
              <w:rPr>
                <w:rFonts w:ascii="Arial" w:hAnsi="Arial" w:cs="Arial"/>
                <w:b/>
                <w:bCs/>
                <w:color w:val="000000"/>
                <w:sz w:val="14"/>
                <w:szCs w:val="14"/>
                <w:lang w:bidi="th-TH"/>
              </w:rPr>
              <w:t xml:space="preserve"> December</w:t>
            </w:r>
          </w:p>
          <w:p w14:paraId="10F1A468" w14:textId="794CD127" w:rsidR="00B24672" w:rsidRPr="002D2F67" w:rsidRDefault="00CD5714" w:rsidP="005611FE">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2024</w:t>
            </w:r>
          </w:p>
        </w:tc>
        <w:tc>
          <w:tcPr>
            <w:tcW w:w="1064" w:type="dxa"/>
            <w:tcBorders>
              <w:top w:val="single" w:sz="4" w:space="0" w:color="auto"/>
              <w:left w:val="nil"/>
              <w:right w:val="nil"/>
            </w:tcBorders>
            <w:shd w:val="clear" w:color="auto" w:fill="auto"/>
            <w:vAlign w:val="bottom"/>
            <w:hideMark/>
          </w:tcPr>
          <w:p w14:paraId="563AC9FC" w14:textId="6A5DAF09" w:rsidR="00B24672" w:rsidRPr="002D2F67" w:rsidRDefault="00CD5714" w:rsidP="005611FE">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B24672" w:rsidRPr="002D2F67">
              <w:rPr>
                <w:rFonts w:ascii="Arial" w:hAnsi="Arial" w:cs="Arial"/>
                <w:b/>
                <w:bCs/>
                <w:color w:val="000000"/>
                <w:sz w:val="14"/>
                <w:szCs w:val="14"/>
                <w:lang w:bidi="th-TH"/>
              </w:rPr>
              <w:t xml:space="preserve"> December</w:t>
            </w:r>
          </w:p>
          <w:p w14:paraId="38D2A9B3" w14:textId="4ABAC444" w:rsidR="00B24672" w:rsidRPr="002D2F67" w:rsidRDefault="00CD5714" w:rsidP="005611FE">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2023</w:t>
            </w:r>
          </w:p>
        </w:tc>
        <w:tc>
          <w:tcPr>
            <w:tcW w:w="1064" w:type="dxa"/>
            <w:tcBorders>
              <w:top w:val="single" w:sz="4" w:space="0" w:color="auto"/>
              <w:left w:val="nil"/>
            </w:tcBorders>
            <w:shd w:val="clear" w:color="auto" w:fill="auto"/>
            <w:vAlign w:val="bottom"/>
          </w:tcPr>
          <w:p w14:paraId="1F79FBF6" w14:textId="27A7DF70" w:rsidR="00B24672" w:rsidRPr="002D2F67" w:rsidRDefault="00CD5714" w:rsidP="005611FE">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B24672" w:rsidRPr="002D2F67">
              <w:rPr>
                <w:rFonts w:ascii="Arial" w:hAnsi="Arial" w:cs="Arial"/>
                <w:b/>
                <w:bCs/>
                <w:color w:val="000000"/>
                <w:sz w:val="14"/>
                <w:szCs w:val="14"/>
                <w:lang w:bidi="th-TH"/>
              </w:rPr>
              <w:t xml:space="preserve"> December</w:t>
            </w:r>
          </w:p>
          <w:p w14:paraId="14E9DEBE" w14:textId="206CB627" w:rsidR="00B24672" w:rsidRPr="002D2F67" w:rsidRDefault="00CD5714" w:rsidP="005611FE">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2024</w:t>
            </w:r>
          </w:p>
        </w:tc>
        <w:tc>
          <w:tcPr>
            <w:tcW w:w="1063" w:type="dxa"/>
            <w:tcBorders>
              <w:top w:val="single" w:sz="4" w:space="0" w:color="auto"/>
              <w:right w:val="nil"/>
            </w:tcBorders>
            <w:shd w:val="clear" w:color="auto" w:fill="auto"/>
            <w:vAlign w:val="bottom"/>
          </w:tcPr>
          <w:p w14:paraId="215D3229" w14:textId="4E5C3DF9" w:rsidR="00B24672" w:rsidRPr="002D2F67" w:rsidRDefault="00CD5714" w:rsidP="005611FE">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B24672" w:rsidRPr="002D2F67">
              <w:rPr>
                <w:rFonts w:ascii="Arial" w:hAnsi="Arial" w:cs="Arial"/>
                <w:b/>
                <w:bCs/>
                <w:color w:val="000000"/>
                <w:sz w:val="14"/>
                <w:szCs w:val="14"/>
                <w:lang w:bidi="th-TH"/>
              </w:rPr>
              <w:t xml:space="preserve"> December</w:t>
            </w:r>
          </w:p>
          <w:p w14:paraId="4AC399F3" w14:textId="122D4ED6" w:rsidR="00B24672" w:rsidRPr="002D2F67" w:rsidRDefault="00CD5714" w:rsidP="005611FE">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2023</w:t>
            </w:r>
          </w:p>
        </w:tc>
        <w:tc>
          <w:tcPr>
            <w:tcW w:w="1064" w:type="dxa"/>
            <w:tcBorders>
              <w:top w:val="single" w:sz="4" w:space="0" w:color="auto"/>
              <w:left w:val="nil"/>
              <w:right w:val="nil"/>
            </w:tcBorders>
            <w:shd w:val="clear" w:color="auto" w:fill="auto"/>
            <w:vAlign w:val="bottom"/>
            <w:hideMark/>
          </w:tcPr>
          <w:p w14:paraId="5D6F0EC7" w14:textId="08B0D12D" w:rsidR="00B24672" w:rsidRPr="002D2F67" w:rsidRDefault="00CD5714" w:rsidP="005611FE">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B24672" w:rsidRPr="002D2F67">
              <w:rPr>
                <w:rFonts w:ascii="Arial" w:hAnsi="Arial" w:cs="Arial"/>
                <w:b/>
                <w:bCs/>
                <w:color w:val="000000"/>
                <w:sz w:val="14"/>
                <w:szCs w:val="14"/>
                <w:lang w:bidi="th-TH"/>
              </w:rPr>
              <w:t xml:space="preserve"> December</w:t>
            </w:r>
          </w:p>
          <w:p w14:paraId="0F211F5E" w14:textId="376760A2" w:rsidR="00B24672" w:rsidRPr="002D2F67" w:rsidRDefault="00CD5714" w:rsidP="005611FE">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2024</w:t>
            </w:r>
          </w:p>
        </w:tc>
        <w:tc>
          <w:tcPr>
            <w:tcW w:w="1097" w:type="dxa"/>
            <w:tcBorders>
              <w:top w:val="single" w:sz="4" w:space="0" w:color="auto"/>
              <w:left w:val="nil"/>
              <w:right w:val="nil"/>
            </w:tcBorders>
            <w:shd w:val="clear" w:color="auto" w:fill="auto"/>
            <w:vAlign w:val="bottom"/>
            <w:hideMark/>
          </w:tcPr>
          <w:p w14:paraId="1DC58217" w14:textId="20A210A3" w:rsidR="00B24672" w:rsidRPr="002D2F67" w:rsidRDefault="00CD5714" w:rsidP="005611FE">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B24672" w:rsidRPr="002D2F67">
              <w:rPr>
                <w:rFonts w:ascii="Arial" w:hAnsi="Arial" w:cs="Arial"/>
                <w:b/>
                <w:bCs/>
                <w:color w:val="000000"/>
                <w:sz w:val="14"/>
                <w:szCs w:val="14"/>
                <w:lang w:bidi="th-TH"/>
              </w:rPr>
              <w:t xml:space="preserve"> December</w:t>
            </w:r>
          </w:p>
          <w:p w14:paraId="62A2F2EB" w14:textId="30F3CDA6" w:rsidR="00B24672" w:rsidRPr="002D2F67" w:rsidRDefault="00CD5714" w:rsidP="005611FE">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2023</w:t>
            </w:r>
          </w:p>
        </w:tc>
      </w:tr>
      <w:tr w:rsidR="0002463F" w:rsidRPr="002D2F67" w14:paraId="77D7C218" w14:textId="77777777" w:rsidTr="003E7A47">
        <w:trPr>
          <w:cantSplit/>
        </w:trPr>
        <w:tc>
          <w:tcPr>
            <w:tcW w:w="3286" w:type="dxa"/>
            <w:shd w:val="clear" w:color="auto" w:fill="auto"/>
            <w:vAlign w:val="bottom"/>
          </w:tcPr>
          <w:p w14:paraId="6BF88949" w14:textId="77777777" w:rsidR="0002463F" w:rsidRPr="002D2F67" w:rsidRDefault="0002463F" w:rsidP="005611FE">
            <w:pPr>
              <w:ind w:left="-73"/>
              <w:rPr>
                <w:rFonts w:ascii="Arial" w:hAnsi="Arial" w:cs="Arial"/>
                <w:b/>
                <w:bCs/>
                <w:color w:val="000000"/>
                <w:spacing w:val="-4"/>
                <w:sz w:val="14"/>
                <w:szCs w:val="14"/>
              </w:rPr>
            </w:pPr>
          </w:p>
        </w:tc>
        <w:tc>
          <w:tcPr>
            <w:tcW w:w="3050" w:type="dxa"/>
            <w:tcBorders>
              <w:top w:val="nil"/>
              <w:left w:val="nil"/>
              <w:bottom w:val="single" w:sz="4" w:space="0" w:color="auto"/>
              <w:right w:val="nil"/>
            </w:tcBorders>
            <w:shd w:val="clear" w:color="auto" w:fill="auto"/>
            <w:vAlign w:val="bottom"/>
            <w:hideMark/>
          </w:tcPr>
          <w:p w14:paraId="38B7A397" w14:textId="77777777" w:rsidR="0002463F" w:rsidRPr="002D2F67" w:rsidRDefault="0002463F" w:rsidP="005611FE">
            <w:pPr>
              <w:pStyle w:val="acctfourfigures"/>
              <w:tabs>
                <w:tab w:val="left" w:pos="720"/>
              </w:tabs>
              <w:spacing w:line="240" w:lineRule="auto"/>
              <w:ind w:right="-72"/>
              <w:jc w:val="center"/>
              <w:rPr>
                <w:rFonts w:ascii="Arial" w:hAnsi="Arial" w:cs="Arial"/>
                <w:b/>
                <w:bCs/>
                <w:color w:val="000000"/>
                <w:sz w:val="14"/>
                <w:szCs w:val="14"/>
                <w:cs/>
                <w:lang w:bidi="th-TH"/>
              </w:rPr>
            </w:pPr>
            <w:r w:rsidRPr="002D2F67">
              <w:rPr>
                <w:rFonts w:ascii="Arial" w:hAnsi="Arial" w:cs="Arial"/>
                <w:b/>
                <w:bCs/>
                <w:color w:val="000000"/>
                <w:sz w:val="14"/>
                <w:szCs w:val="14"/>
                <w:lang w:bidi="th-TH"/>
              </w:rPr>
              <w:t>Business</w:t>
            </w:r>
          </w:p>
        </w:tc>
        <w:tc>
          <w:tcPr>
            <w:tcW w:w="1064" w:type="dxa"/>
            <w:tcBorders>
              <w:top w:val="nil"/>
              <w:left w:val="nil"/>
              <w:bottom w:val="single" w:sz="4" w:space="0" w:color="auto"/>
              <w:right w:val="nil"/>
            </w:tcBorders>
            <w:shd w:val="clear" w:color="auto" w:fill="auto"/>
            <w:vAlign w:val="bottom"/>
            <w:hideMark/>
          </w:tcPr>
          <w:p w14:paraId="780BAB3F" w14:textId="77777777" w:rsidR="0002463F" w:rsidRPr="002D2F67" w:rsidRDefault="0002463F" w:rsidP="005611FE">
            <w:pPr>
              <w:pStyle w:val="acctfourfigures"/>
              <w:spacing w:line="240" w:lineRule="auto"/>
              <w:ind w:right="-72"/>
              <w:jc w:val="right"/>
              <w:rPr>
                <w:rFonts w:ascii="Arial" w:hAnsi="Arial" w:cs="Arial"/>
                <w:b/>
                <w:bCs/>
                <w:color w:val="000000"/>
                <w:sz w:val="14"/>
                <w:szCs w:val="14"/>
                <w:lang w:bidi="th-TH"/>
              </w:rPr>
            </w:pPr>
            <w:r w:rsidRPr="002D2F67">
              <w:rPr>
                <w:rFonts w:ascii="Arial" w:hAnsi="Arial" w:cs="Arial"/>
                <w:b/>
                <w:bCs/>
                <w:color w:val="000000"/>
                <w:sz w:val="14"/>
                <w:szCs w:val="14"/>
                <w:lang w:bidi="th-TH"/>
              </w:rPr>
              <w:t>%</w:t>
            </w:r>
          </w:p>
        </w:tc>
        <w:tc>
          <w:tcPr>
            <w:tcW w:w="1065" w:type="dxa"/>
            <w:tcBorders>
              <w:top w:val="nil"/>
              <w:left w:val="nil"/>
              <w:bottom w:val="single" w:sz="4" w:space="0" w:color="auto"/>
              <w:right w:val="nil"/>
            </w:tcBorders>
            <w:shd w:val="clear" w:color="auto" w:fill="auto"/>
            <w:vAlign w:val="bottom"/>
            <w:hideMark/>
          </w:tcPr>
          <w:p w14:paraId="72B59675" w14:textId="77777777" w:rsidR="0002463F" w:rsidRPr="002D2F67" w:rsidRDefault="0002463F" w:rsidP="005611FE">
            <w:pPr>
              <w:pStyle w:val="acctfourfigures"/>
              <w:spacing w:line="240" w:lineRule="auto"/>
              <w:ind w:right="-72"/>
              <w:jc w:val="right"/>
              <w:rPr>
                <w:rFonts w:ascii="Arial" w:hAnsi="Arial" w:cs="Arial"/>
                <w:b/>
                <w:bCs/>
                <w:color w:val="000000"/>
                <w:sz w:val="14"/>
                <w:szCs w:val="14"/>
                <w:cs/>
                <w:lang w:bidi="th-TH"/>
              </w:rPr>
            </w:pPr>
            <w:r w:rsidRPr="002D2F67">
              <w:rPr>
                <w:rFonts w:ascii="Arial" w:hAnsi="Arial" w:cs="Arial"/>
                <w:b/>
                <w:bCs/>
                <w:color w:val="000000"/>
                <w:sz w:val="14"/>
                <w:szCs w:val="14"/>
                <w:lang w:bidi="th-TH"/>
              </w:rPr>
              <w:t>%</w:t>
            </w:r>
          </w:p>
        </w:tc>
        <w:tc>
          <w:tcPr>
            <w:tcW w:w="1063" w:type="dxa"/>
            <w:tcBorders>
              <w:top w:val="nil"/>
              <w:left w:val="nil"/>
              <w:bottom w:val="single" w:sz="4" w:space="0" w:color="auto"/>
              <w:right w:val="nil"/>
            </w:tcBorders>
            <w:shd w:val="clear" w:color="auto" w:fill="auto"/>
            <w:vAlign w:val="bottom"/>
            <w:hideMark/>
          </w:tcPr>
          <w:p w14:paraId="3B59E909" w14:textId="6556CAAB" w:rsidR="0002463F" w:rsidRPr="002D2F67" w:rsidRDefault="0002463F" w:rsidP="005611FE">
            <w:pPr>
              <w:pStyle w:val="acctfourfigures"/>
              <w:spacing w:line="240" w:lineRule="auto"/>
              <w:ind w:right="-72"/>
              <w:jc w:val="right"/>
              <w:rPr>
                <w:rFonts w:ascii="Arial" w:hAnsi="Arial" w:cs="Arial"/>
                <w:b/>
                <w:bCs/>
                <w:color w:val="000000"/>
                <w:sz w:val="14"/>
                <w:szCs w:val="14"/>
                <w:lang w:bidi="th-TH"/>
              </w:rPr>
            </w:pPr>
            <w:r w:rsidRPr="002D2F67">
              <w:rPr>
                <w:rFonts w:ascii="Arial" w:hAnsi="Arial" w:cs="Arial"/>
                <w:b/>
                <w:bCs/>
                <w:color w:val="000000"/>
                <w:sz w:val="14"/>
                <w:szCs w:val="14"/>
                <w:lang w:bidi="th-TH"/>
              </w:rPr>
              <w:t>Baht’</w:t>
            </w:r>
            <w:r w:rsidR="00CD5714" w:rsidRPr="00CD5714">
              <w:rPr>
                <w:rFonts w:ascii="Arial" w:hAnsi="Arial" w:cs="Arial"/>
                <w:b/>
                <w:bCs/>
                <w:color w:val="000000"/>
                <w:sz w:val="14"/>
                <w:szCs w:val="14"/>
                <w:lang w:val="en-GB" w:bidi="th-TH"/>
              </w:rPr>
              <w:t>000</w:t>
            </w:r>
          </w:p>
        </w:tc>
        <w:tc>
          <w:tcPr>
            <w:tcW w:w="1064" w:type="dxa"/>
            <w:tcBorders>
              <w:top w:val="nil"/>
              <w:left w:val="nil"/>
              <w:bottom w:val="single" w:sz="4" w:space="0" w:color="auto"/>
              <w:right w:val="nil"/>
            </w:tcBorders>
            <w:shd w:val="clear" w:color="auto" w:fill="auto"/>
            <w:hideMark/>
          </w:tcPr>
          <w:p w14:paraId="034DD2B8" w14:textId="3486AA4C" w:rsidR="0002463F" w:rsidRPr="002D2F67" w:rsidRDefault="0002463F" w:rsidP="005611FE">
            <w:pPr>
              <w:pStyle w:val="acctfourfigures"/>
              <w:spacing w:line="240" w:lineRule="auto"/>
              <w:ind w:right="-72"/>
              <w:jc w:val="right"/>
              <w:rPr>
                <w:rFonts w:ascii="Arial" w:hAnsi="Arial" w:cs="Arial"/>
                <w:b/>
                <w:bCs/>
                <w:color w:val="000000"/>
                <w:sz w:val="14"/>
                <w:szCs w:val="14"/>
                <w:cs/>
                <w:lang w:bidi="th-TH"/>
              </w:rPr>
            </w:pPr>
            <w:r w:rsidRPr="002D2F67">
              <w:rPr>
                <w:rFonts w:ascii="Arial" w:hAnsi="Arial" w:cs="Arial"/>
                <w:b/>
                <w:bCs/>
                <w:color w:val="000000"/>
                <w:sz w:val="14"/>
                <w:szCs w:val="14"/>
                <w:lang w:bidi="th-TH"/>
              </w:rPr>
              <w:t>Baht’</w:t>
            </w:r>
            <w:r w:rsidR="00CD5714" w:rsidRPr="00CD5714">
              <w:rPr>
                <w:rFonts w:ascii="Arial" w:hAnsi="Arial" w:cs="Arial"/>
                <w:b/>
                <w:bCs/>
                <w:color w:val="000000"/>
                <w:sz w:val="14"/>
                <w:szCs w:val="14"/>
                <w:lang w:val="en-GB" w:bidi="th-TH"/>
              </w:rPr>
              <w:t>000</w:t>
            </w:r>
          </w:p>
        </w:tc>
        <w:tc>
          <w:tcPr>
            <w:tcW w:w="1064" w:type="dxa"/>
            <w:tcBorders>
              <w:top w:val="nil"/>
              <w:left w:val="nil"/>
              <w:bottom w:val="single" w:sz="4" w:space="0" w:color="auto"/>
            </w:tcBorders>
            <w:shd w:val="clear" w:color="auto" w:fill="auto"/>
          </w:tcPr>
          <w:p w14:paraId="5B998527" w14:textId="4362AD2C" w:rsidR="0002463F" w:rsidRPr="002D2F67" w:rsidRDefault="0002463F" w:rsidP="005611FE">
            <w:pPr>
              <w:pStyle w:val="acctfourfigures"/>
              <w:spacing w:line="240" w:lineRule="auto"/>
              <w:ind w:right="-72"/>
              <w:jc w:val="right"/>
              <w:rPr>
                <w:rFonts w:ascii="Arial" w:hAnsi="Arial" w:cs="Arial"/>
                <w:b/>
                <w:bCs/>
                <w:color w:val="000000"/>
                <w:sz w:val="14"/>
                <w:szCs w:val="14"/>
                <w:lang w:bidi="th-TH"/>
              </w:rPr>
            </w:pPr>
            <w:r w:rsidRPr="002D2F67">
              <w:rPr>
                <w:rFonts w:ascii="Arial" w:hAnsi="Arial" w:cs="Arial"/>
                <w:b/>
                <w:bCs/>
                <w:color w:val="000000"/>
                <w:sz w:val="14"/>
                <w:szCs w:val="14"/>
                <w:lang w:bidi="th-TH"/>
              </w:rPr>
              <w:t>Baht’</w:t>
            </w:r>
            <w:r w:rsidR="00CD5714" w:rsidRPr="00CD5714">
              <w:rPr>
                <w:rFonts w:ascii="Arial" w:hAnsi="Arial" w:cs="Arial"/>
                <w:b/>
                <w:bCs/>
                <w:color w:val="000000"/>
                <w:sz w:val="14"/>
                <w:szCs w:val="14"/>
                <w:lang w:val="en-GB" w:bidi="th-TH"/>
              </w:rPr>
              <w:t>000</w:t>
            </w:r>
          </w:p>
        </w:tc>
        <w:tc>
          <w:tcPr>
            <w:tcW w:w="1063" w:type="dxa"/>
            <w:tcBorders>
              <w:top w:val="nil"/>
              <w:bottom w:val="single" w:sz="4" w:space="0" w:color="auto"/>
              <w:right w:val="nil"/>
            </w:tcBorders>
            <w:shd w:val="clear" w:color="auto" w:fill="auto"/>
          </w:tcPr>
          <w:p w14:paraId="2B961EBC" w14:textId="15425C62" w:rsidR="0002463F" w:rsidRPr="002D2F67" w:rsidRDefault="0002463F" w:rsidP="005611FE">
            <w:pPr>
              <w:pStyle w:val="acctfourfigures"/>
              <w:spacing w:line="240" w:lineRule="auto"/>
              <w:ind w:right="-72"/>
              <w:jc w:val="right"/>
              <w:rPr>
                <w:rFonts w:ascii="Arial" w:hAnsi="Arial" w:cs="Arial"/>
                <w:b/>
                <w:bCs/>
                <w:color w:val="000000"/>
                <w:sz w:val="14"/>
                <w:szCs w:val="14"/>
                <w:cs/>
                <w:lang w:bidi="th-TH"/>
              </w:rPr>
            </w:pPr>
            <w:r w:rsidRPr="002D2F67">
              <w:rPr>
                <w:rFonts w:ascii="Arial" w:hAnsi="Arial" w:cs="Arial"/>
                <w:b/>
                <w:bCs/>
                <w:color w:val="000000"/>
                <w:sz w:val="14"/>
                <w:szCs w:val="14"/>
                <w:lang w:bidi="th-TH"/>
              </w:rPr>
              <w:t>Baht’</w:t>
            </w:r>
            <w:r w:rsidR="00CD5714" w:rsidRPr="00CD5714">
              <w:rPr>
                <w:rFonts w:ascii="Arial" w:hAnsi="Arial" w:cs="Arial"/>
                <w:b/>
                <w:bCs/>
                <w:color w:val="000000"/>
                <w:sz w:val="14"/>
                <w:szCs w:val="14"/>
                <w:lang w:val="en-GB" w:bidi="th-TH"/>
              </w:rPr>
              <w:t>000</w:t>
            </w:r>
          </w:p>
        </w:tc>
        <w:tc>
          <w:tcPr>
            <w:tcW w:w="1064" w:type="dxa"/>
            <w:tcBorders>
              <w:top w:val="nil"/>
              <w:left w:val="nil"/>
              <w:bottom w:val="single" w:sz="4" w:space="0" w:color="auto"/>
              <w:right w:val="nil"/>
            </w:tcBorders>
            <w:shd w:val="clear" w:color="auto" w:fill="auto"/>
            <w:hideMark/>
          </w:tcPr>
          <w:p w14:paraId="3925DC8D" w14:textId="2A90D981" w:rsidR="0002463F" w:rsidRPr="002D2F67" w:rsidRDefault="0002463F" w:rsidP="005611FE">
            <w:pPr>
              <w:pStyle w:val="acctfourfigures"/>
              <w:spacing w:line="240" w:lineRule="auto"/>
              <w:ind w:right="-72"/>
              <w:jc w:val="right"/>
              <w:rPr>
                <w:rFonts w:ascii="Arial" w:hAnsi="Arial" w:cs="Arial"/>
                <w:b/>
                <w:bCs/>
                <w:color w:val="000000"/>
                <w:sz w:val="14"/>
                <w:szCs w:val="14"/>
                <w:lang w:bidi="th-TH"/>
              </w:rPr>
            </w:pPr>
            <w:r w:rsidRPr="002D2F67">
              <w:rPr>
                <w:rFonts w:ascii="Arial" w:hAnsi="Arial" w:cs="Arial"/>
                <w:b/>
                <w:bCs/>
                <w:color w:val="000000"/>
                <w:sz w:val="14"/>
                <w:szCs w:val="14"/>
                <w:lang w:bidi="th-TH"/>
              </w:rPr>
              <w:t>Baht’</w:t>
            </w:r>
            <w:r w:rsidR="00CD5714" w:rsidRPr="00CD5714">
              <w:rPr>
                <w:rFonts w:ascii="Arial" w:hAnsi="Arial" w:cs="Arial"/>
                <w:b/>
                <w:bCs/>
                <w:color w:val="000000"/>
                <w:sz w:val="14"/>
                <w:szCs w:val="14"/>
                <w:lang w:val="en-GB" w:bidi="th-TH"/>
              </w:rPr>
              <w:t>000</w:t>
            </w:r>
          </w:p>
        </w:tc>
        <w:tc>
          <w:tcPr>
            <w:tcW w:w="1097" w:type="dxa"/>
            <w:tcBorders>
              <w:top w:val="nil"/>
              <w:left w:val="nil"/>
              <w:bottom w:val="single" w:sz="4" w:space="0" w:color="auto"/>
              <w:right w:val="nil"/>
            </w:tcBorders>
            <w:shd w:val="clear" w:color="auto" w:fill="auto"/>
            <w:hideMark/>
          </w:tcPr>
          <w:p w14:paraId="7C8AE748" w14:textId="05BE9F89" w:rsidR="0002463F" w:rsidRPr="002D2F67" w:rsidRDefault="0002463F" w:rsidP="005611FE">
            <w:pPr>
              <w:pStyle w:val="acctfourfigures"/>
              <w:spacing w:line="240" w:lineRule="auto"/>
              <w:ind w:right="-72"/>
              <w:jc w:val="right"/>
              <w:rPr>
                <w:rFonts w:ascii="Arial" w:hAnsi="Arial" w:cs="Arial"/>
                <w:b/>
                <w:bCs/>
                <w:color w:val="000000"/>
                <w:sz w:val="14"/>
                <w:szCs w:val="14"/>
                <w:cs/>
                <w:lang w:bidi="th-TH"/>
              </w:rPr>
            </w:pPr>
            <w:r w:rsidRPr="002D2F67">
              <w:rPr>
                <w:rFonts w:ascii="Arial" w:hAnsi="Arial" w:cs="Arial"/>
                <w:b/>
                <w:bCs/>
                <w:color w:val="000000"/>
                <w:sz w:val="14"/>
                <w:szCs w:val="14"/>
                <w:lang w:bidi="th-TH"/>
              </w:rPr>
              <w:t>Baht’</w:t>
            </w:r>
            <w:r w:rsidR="00CD5714" w:rsidRPr="00CD5714">
              <w:rPr>
                <w:rFonts w:ascii="Arial" w:hAnsi="Arial" w:cs="Arial"/>
                <w:b/>
                <w:bCs/>
                <w:color w:val="000000"/>
                <w:sz w:val="14"/>
                <w:szCs w:val="14"/>
                <w:lang w:val="en-GB" w:bidi="th-TH"/>
              </w:rPr>
              <w:t>000</w:t>
            </w:r>
          </w:p>
        </w:tc>
      </w:tr>
      <w:tr w:rsidR="005611FE" w:rsidRPr="002D2F67" w14:paraId="17957A4F" w14:textId="77777777" w:rsidTr="003E7A47">
        <w:trPr>
          <w:cantSplit/>
        </w:trPr>
        <w:tc>
          <w:tcPr>
            <w:tcW w:w="3286" w:type="dxa"/>
            <w:shd w:val="clear" w:color="auto" w:fill="auto"/>
            <w:vAlign w:val="bottom"/>
          </w:tcPr>
          <w:p w14:paraId="2B3E062F" w14:textId="77777777" w:rsidR="00FF408A" w:rsidRPr="002D2F67" w:rsidRDefault="00FF408A" w:rsidP="005611FE">
            <w:pPr>
              <w:ind w:left="-73"/>
              <w:rPr>
                <w:rFonts w:ascii="Arial" w:hAnsi="Arial" w:cs="Arial"/>
                <w:b/>
                <w:bCs/>
                <w:color w:val="000000"/>
                <w:spacing w:val="-4"/>
                <w:sz w:val="14"/>
                <w:szCs w:val="14"/>
                <w:u w:val="single"/>
              </w:rPr>
            </w:pPr>
          </w:p>
        </w:tc>
        <w:tc>
          <w:tcPr>
            <w:tcW w:w="3050" w:type="dxa"/>
            <w:tcBorders>
              <w:top w:val="single" w:sz="4" w:space="0" w:color="auto"/>
            </w:tcBorders>
            <w:shd w:val="clear" w:color="auto" w:fill="auto"/>
            <w:vAlign w:val="bottom"/>
          </w:tcPr>
          <w:p w14:paraId="05800F78" w14:textId="77777777" w:rsidR="00FF408A" w:rsidRPr="002D2F67" w:rsidRDefault="00FF408A" w:rsidP="005611FE">
            <w:pPr>
              <w:rPr>
                <w:rFonts w:ascii="Arial" w:hAnsi="Arial" w:cs="Arial"/>
                <w:color w:val="000000"/>
                <w:sz w:val="14"/>
                <w:szCs w:val="14"/>
                <w:cs/>
              </w:rPr>
            </w:pPr>
          </w:p>
        </w:tc>
        <w:tc>
          <w:tcPr>
            <w:tcW w:w="1064" w:type="dxa"/>
            <w:tcBorders>
              <w:top w:val="single" w:sz="4" w:space="0" w:color="auto"/>
            </w:tcBorders>
            <w:shd w:val="clear" w:color="auto" w:fill="auto"/>
            <w:vAlign w:val="bottom"/>
          </w:tcPr>
          <w:p w14:paraId="1CDE32A2" w14:textId="77777777" w:rsidR="00FF408A" w:rsidRPr="002D2F67" w:rsidRDefault="00FF408A"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tcBorders>
              <w:top w:val="single" w:sz="4" w:space="0" w:color="auto"/>
            </w:tcBorders>
            <w:shd w:val="clear" w:color="auto" w:fill="auto"/>
            <w:vAlign w:val="bottom"/>
          </w:tcPr>
          <w:p w14:paraId="134921A2" w14:textId="77777777" w:rsidR="00FF408A" w:rsidRPr="002D2F67" w:rsidRDefault="00FF408A"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3" w:type="dxa"/>
            <w:tcBorders>
              <w:top w:val="single" w:sz="4" w:space="0" w:color="auto"/>
            </w:tcBorders>
            <w:shd w:val="clear" w:color="auto" w:fill="auto"/>
            <w:vAlign w:val="bottom"/>
          </w:tcPr>
          <w:p w14:paraId="779C00D7" w14:textId="77777777" w:rsidR="00FF408A" w:rsidRPr="002D2F67" w:rsidRDefault="00FF408A"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4" w:type="dxa"/>
            <w:tcBorders>
              <w:top w:val="single" w:sz="4" w:space="0" w:color="auto"/>
            </w:tcBorders>
            <w:shd w:val="clear" w:color="auto" w:fill="auto"/>
            <w:vAlign w:val="bottom"/>
          </w:tcPr>
          <w:p w14:paraId="36D932C4" w14:textId="77777777" w:rsidR="00FF408A" w:rsidRPr="002D2F67" w:rsidRDefault="00FF408A"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4" w:type="dxa"/>
            <w:tcBorders>
              <w:top w:val="single" w:sz="4" w:space="0" w:color="auto"/>
            </w:tcBorders>
            <w:shd w:val="clear" w:color="auto" w:fill="auto"/>
            <w:vAlign w:val="bottom"/>
          </w:tcPr>
          <w:p w14:paraId="457D4A04" w14:textId="77777777" w:rsidR="00FF408A" w:rsidRPr="002D2F67" w:rsidRDefault="00FF408A"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3" w:type="dxa"/>
            <w:tcBorders>
              <w:top w:val="single" w:sz="4" w:space="0" w:color="auto"/>
            </w:tcBorders>
            <w:shd w:val="clear" w:color="auto" w:fill="auto"/>
            <w:vAlign w:val="bottom"/>
          </w:tcPr>
          <w:p w14:paraId="728D59DC" w14:textId="77777777" w:rsidR="00FF408A" w:rsidRPr="002D2F67" w:rsidRDefault="00FF408A"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4" w:type="dxa"/>
            <w:tcBorders>
              <w:top w:val="single" w:sz="4" w:space="0" w:color="auto"/>
            </w:tcBorders>
            <w:shd w:val="clear" w:color="auto" w:fill="auto"/>
            <w:vAlign w:val="bottom"/>
          </w:tcPr>
          <w:p w14:paraId="33BD4808" w14:textId="77777777" w:rsidR="00FF408A" w:rsidRPr="002D2F67" w:rsidRDefault="00FF408A" w:rsidP="005611FE">
            <w:pPr>
              <w:pStyle w:val="acctfourfigures"/>
              <w:tabs>
                <w:tab w:val="decimal" w:pos="533"/>
              </w:tabs>
              <w:spacing w:line="240" w:lineRule="auto"/>
              <w:ind w:right="-72"/>
              <w:jc w:val="right"/>
              <w:rPr>
                <w:rFonts w:ascii="Arial" w:hAnsi="Arial" w:cs="Arial"/>
                <w:color w:val="000000"/>
                <w:sz w:val="14"/>
                <w:szCs w:val="14"/>
                <w:lang w:bidi="th-TH"/>
              </w:rPr>
            </w:pPr>
          </w:p>
        </w:tc>
        <w:tc>
          <w:tcPr>
            <w:tcW w:w="1097" w:type="dxa"/>
            <w:tcBorders>
              <w:top w:val="single" w:sz="4" w:space="0" w:color="auto"/>
            </w:tcBorders>
            <w:shd w:val="clear" w:color="auto" w:fill="auto"/>
            <w:vAlign w:val="bottom"/>
          </w:tcPr>
          <w:p w14:paraId="7F811F2A" w14:textId="77777777" w:rsidR="00FF408A" w:rsidRPr="002D2F67" w:rsidRDefault="00FF408A" w:rsidP="005611FE">
            <w:pPr>
              <w:pStyle w:val="acctfourfigures"/>
              <w:tabs>
                <w:tab w:val="decimal" w:pos="533"/>
              </w:tabs>
              <w:spacing w:line="240" w:lineRule="auto"/>
              <w:ind w:right="-72"/>
              <w:jc w:val="right"/>
              <w:rPr>
                <w:rFonts w:ascii="Arial" w:hAnsi="Arial" w:cs="Arial"/>
                <w:color w:val="000000"/>
                <w:sz w:val="14"/>
                <w:szCs w:val="14"/>
                <w:lang w:bidi="th-TH"/>
              </w:rPr>
            </w:pPr>
          </w:p>
        </w:tc>
      </w:tr>
      <w:tr w:rsidR="005611FE" w:rsidRPr="002D2F67" w14:paraId="3A893927" w14:textId="77777777" w:rsidTr="003E7A47">
        <w:trPr>
          <w:cantSplit/>
        </w:trPr>
        <w:tc>
          <w:tcPr>
            <w:tcW w:w="3286" w:type="dxa"/>
            <w:shd w:val="clear" w:color="auto" w:fill="auto"/>
            <w:vAlign w:val="bottom"/>
          </w:tcPr>
          <w:p w14:paraId="5C81D97A" w14:textId="77777777" w:rsidR="00FF408A" w:rsidRPr="002D2F67" w:rsidRDefault="00FF408A" w:rsidP="005611FE">
            <w:pPr>
              <w:ind w:left="-73"/>
              <w:rPr>
                <w:rFonts w:ascii="Arial" w:hAnsi="Arial" w:cs="Arial"/>
                <w:color w:val="000000"/>
                <w:sz w:val="14"/>
                <w:szCs w:val="14"/>
              </w:rPr>
            </w:pPr>
            <w:r w:rsidRPr="002D2F67">
              <w:rPr>
                <w:rFonts w:ascii="Arial" w:hAnsi="Arial" w:cs="Arial"/>
                <w:color w:val="000000"/>
                <w:sz w:val="14"/>
                <w:szCs w:val="14"/>
              </w:rPr>
              <w:t>The details of the investments in associates</w:t>
            </w:r>
          </w:p>
        </w:tc>
        <w:tc>
          <w:tcPr>
            <w:tcW w:w="3050" w:type="dxa"/>
            <w:shd w:val="clear" w:color="auto" w:fill="auto"/>
            <w:vAlign w:val="bottom"/>
          </w:tcPr>
          <w:p w14:paraId="7C8100AC" w14:textId="77777777" w:rsidR="00FF408A" w:rsidRPr="002D2F67" w:rsidRDefault="00FF408A" w:rsidP="005611FE">
            <w:pPr>
              <w:rPr>
                <w:rFonts w:ascii="Arial" w:hAnsi="Arial" w:cs="Arial"/>
                <w:color w:val="000000"/>
                <w:sz w:val="14"/>
                <w:szCs w:val="14"/>
                <w:cs/>
              </w:rPr>
            </w:pPr>
          </w:p>
        </w:tc>
        <w:tc>
          <w:tcPr>
            <w:tcW w:w="1064" w:type="dxa"/>
            <w:shd w:val="clear" w:color="auto" w:fill="auto"/>
            <w:vAlign w:val="bottom"/>
          </w:tcPr>
          <w:p w14:paraId="7C03C123" w14:textId="77777777" w:rsidR="00FF408A" w:rsidRPr="002D2F67" w:rsidRDefault="00FF408A"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vAlign w:val="bottom"/>
          </w:tcPr>
          <w:p w14:paraId="37156941" w14:textId="77777777" w:rsidR="00FF408A" w:rsidRPr="002D2F67" w:rsidRDefault="00FF408A"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3" w:type="dxa"/>
            <w:shd w:val="clear" w:color="auto" w:fill="auto"/>
            <w:vAlign w:val="bottom"/>
          </w:tcPr>
          <w:p w14:paraId="4B73C119" w14:textId="77777777" w:rsidR="00FF408A" w:rsidRPr="002D2F67" w:rsidRDefault="00FF408A"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4" w:type="dxa"/>
            <w:shd w:val="clear" w:color="auto" w:fill="auto"/>
            <w:vAlign w:val="bottom"/>
          </w:tcPr>
          <w:p w14:paraId="32C3B7CC" w14:textId="77777777" w:rsidR="00FF408A" w:rsidRPr="002D2F67" w:rsidRDefault="00FF408A"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4" w:type="dxa"/>
            <w:shd w:val="clear" w:color="auto" w:fill="auto"/>
            <w:vAlign w:val="bottom"/>
          </w:tcPr>
          <w:p w14:paraId="196ECD2D" w14:textId="77777777" w:rsidR="00FF408A" w:rsidRPr="002D2F67" w:rsidRDefault="00FF408A"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3" w:type="dxa"/>
            <w:shd w:val="clear" w:color="auto" w:fill="auto"/>
            <w:vAlign w:val="bottom"/>
          </w:tcPr>
          <w:p w14:paraId="4AC1F670" w14:textId="77777777" w:rsidR="00FF408A" w:rsidRPr="002D2F67" w:rsidRDefault="00FF408A"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4" w:type="dxa"/>
            <w:shd w:val="clear" w:color="auto" w:fill="auto"/>
            <w:vAlign w:val="bottom"/>
          </w:tcPr>
          <w:p w14:paraId="0E17FE48" w14:textId="77777777" w:rsidR="00FF408A" w:rsidRPr="002D2F67" w:rsidRDefault="00FF408A" w:rsidP="005611FE">
            <w:pPr>
              <w:pStyle w:val="acctfourfigures"/>
              <w:tabs>
                <w:tab w:val="decimal" w:pos="533"/>
              </w:tabs>
              <w:spacing w:line="240" w:lineRule="auto"/>
              <w:ind w:right="-72"/>
              <w:jc w:val="right"/>
              <w:rPr>
                <w:rFonts w:ascii="Arial" w:hAnsi="Arial" w:cs="Arial"/>
                <w:color w:val="000000"/>
                <w:sz w:val="14"/>
                <w:szCs w:val="14"/>
                <w:lang w:bidi="th-TH"/>
              </w:rPr>
            </w:pPr>
          </w:p>
        </w:tc>
        <w:tc>
          <w:tcPr>
            <w:tcW w:w="1097" w:type="dxa"/>
            <w:shd w:val="clear" w:color="auto" w:fill="auto"/>
            <w:vAlign w:val="bottom"/>
          </w:tcPr>
          <w:p w14:paraId="4982D098" w14:textId="77777777" w:rsidR="00FF408A" w:rsidRPr="002D2F67" w:rsidRDefault="00FF408A" w:rsidP="005611FE">
            <w:pPr>
              <w:pStyle w:val="acctfourfigures"/>
              <w:tabs>
                <w:tab w:val="decimal" w:pos="533"/>
              </w:tabs>
              <w:spacing w:line="240" w:lineRule="auto"/>
              <w:ind w:right="-72"/>
              <w:jc w:val="right"/>
              <w:rPr>
                <w:rFonts w:ascii="Arial" w:hAnsi="Arial" w:cs="Arial"/>
                <w:color w:val="000000"/>
                <w:sz w:val="14"/>
                <w:szCs w:val="14"/>
                <w:lang w:bidi="th-TH"/>
              </w:rPr>
            </w:pPr>
          </w:p>
        </w:tc>
      </w:tr>
      <w:tr w:rsidR="005611FE" w:rsidRPr="002D2F67" w14:paraId="5E31F19F" w14:textId="77777777" w:rsidTr="003E7A47">
        <w:trPr>
          <w:cantSplit/>
        </w:trPr>
        <w:tc>
          <w:tcPr>
            <w:tcW w:w="3286" w:type="dxa"/>
            <w:shd w:val="clear" w:color="auto" w:fill="auto"/>
            <w:vAlign w:val="bottom"/>
          </w:tcPr>
          <w:p w14:paraId="3D625028" w14:textId="77777777" w:rsidR="00FF408A" w:rsidRPr="002D2F67" w:rsidRDefault="00FF408A" w:rsidP="005611FE">
            <w:pPr>
              <w:ind w:left="-73"/>
              <w:rPr>
                <w:rFonts w:ascii="Arial" w:hAnsi="Arial" w:cs="Arial"/>
                <w:color w:val="000000"/>
                <w:sz w:val="14"/>
                <w:szCs w:val="14"/>
              </w:rPr>
            </w:pPr>
          </w:p>
        </w:tc>
        <w:tc>
          <w:tcPr>
            <w:tcW w:w="3050" w:type="dxa"/>
            <w:shd w:val="clear" w:color="auto" w:fill="auto"/>
            <w:vAlign w:val="bottom"/>
          </w:tcPr>
          <w:p w14:paraId="7FA9D0D7" w14:textId="77777777" w:rsidR="00FF408A" w:rsidRPr="002D2F67" w:rsidRDefault="00FF408A" w:rsidP="005611FE">
            <w:pPr>
              <w:rPr>
                <w:rFonts w:ascii="Arial" w:hAnsi="Arial" w:cs="Arial"/>
                <w:color w:val="000000"/>
                <w:sz w:val="14"/>
                <w:szCs w:val="14"/>
                <w:cs/>
              </w:rPr>
            </w:pPr>
          </w:p>
        </w:tc>
        <w:tc>
          <w:tcPr>
            <w:tcW w:w="1064" w:type="dxa"/>
            <w:shd w:val="clear" w:color="auto" w:fill="auto"/>
            <w:vAlign w:val="bottom"/>
          </w:tcPr>
          <w:p w14:paraId="30BDBECB" w14:textId="77777777" w:rsidR="00FF408A" w:rsidRPr="002D2F67" w:rsidRDefault="00FF408A"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vAlign w:val="bottom"/>
          </w:tcPr>
          <w:p w14:paraId="7A4D40CB" w14:textId="77777777" w:rsidR="00FF408A" w:rsidRPr="002D2F67" w:rsidRDefault="00FF408A"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3" w:type="dxa"/>
            <w:shd w:val="clear" w:color="auto" w:fill="auto"/>
            <w:vAlign w:val="bottom"/>
          </w:tcPr>
          <w:p w14:paraId="00BB9DCB" w14:textId="77777777" w:rsidR="00FF408A" w:rsidRPr="002D2F67" w:rsidRDefault="00FF408A"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4" w:type="dxa"/>
            <w:shd w:val="clear" w:color="auto" w:fill="auto"/>
            <w:vAlign w:val="bottom"/>
          </w:tcPr>
          <w:p w14:paraId="38A1138B" w14:textId="77777777" w:rsidR="00FF408A" w:rsidRPr="002D2F67" w:rsidRDefault="00FF408A"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4" w:type="dxa"/>
            <w:shd w:val="clear" w:color="auto" w:fill="auto"/>
            <w:vAlign w:val="bottom"/>
          </w:tcPr>
          <w:p w14:paraId="16778814" w14:textId="77777777" w:rsidR="00FF408A" w:rsidRPr="002D2F67" w:rsidRDefault="00FF408A"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3" w:type="dxa"/>
            <w:shd w:val="clear" w:color="auto" w:fill="auto"/>
            <w:vAlign w:val="bottom"/>
          </w:tcPr>
          <w:p w14:paraId="02AC1846" w14:textId="77777777" w:rsidR="00FF408A" w:rsidRPr="002D2F67" w:rsidRDefault="00FF408A"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4" w:type="dxa"/>
            <w:shd w:val="clear" w:color="auto" w:fill="auto"/>
            <w:vAlign w:val="bottom"/>
          </w:tcPr>
          <w:p w14:paraId="1F2BE0F7" w14:textId="77777777" w:rsidR="00FF408A" w:rsidRPr="002D2F67" w:rsidRDefault="00FF408A" w:rsidP="005611FE">
            <w:pPr>
              <w:pStyle w:val="acctfourfigures"/>
              <w:tabs>
                <w:tab w:val="decimal" w:pos="533"/>
              </w:tabs>
              <w:spacing w:line="240" w:lineRule="auto"/>
              <w:ind w:right="-72"/>
              <w:jc w:val="right"/>
              <w:rPr>
                <w:rFonts w:ascii="Arial" w:hAnsi="Arial" w:cs="Arial"/>
                <w:color w:val="000000"/>
                <w:sz w:val="14"/>
                <w:szCs w:val="14"/>
                <w:lang w:bidi="th-TH"/>
              </w:rPr>
            </w:pPr>
          </w:p>
        </w:tc>
        <w:tc>
          <w:tcPr>
            <w:tcW w:w="1097" w:type="dxa"/>
            <w:shd w:val="clear" w:color="auto" w:fill="auto"/>
            <w:vAlign w:val="bottom"/>
          </w:tcPr>
          <w:p w14:paraId="71622BA9" w14:textId="77777777" w:rsidR="00FF408A" w:rsidRPr="002D2F67" w:rsidRDefault="00FF408A" w:rsidP="005611FE">
            <w:pPr>
              <w:pStyle w:val="acctfourfigures"/>
              <w:tabs>
                <w:tab w:val="decimal" w:pos="533"/>
              </w:tabs>
              <w:spacing w:line="240" w:lineRule="auto"/>
              <w:ind w:right="-72"/>
              <w:jc w:val="right"/>
              <w:rPr>
                <w:rFonts w:ascii="Arial" w:hAnsi="Arial" w:cs="Arial"/>
                <w:color w:val="000000"/>
                <w:sz w:val="14"/>
                <w:szCs w:val="14"/>
                <w:lang w:bidi="th-TH"/>
              </w:rPr>
            </w:pPr>
          </w:p>
        </w:tc>
      </w:tr>
      <w:tr w:rsidR="005611FE" w:rsidRPr="002D2F67" w14:paraId="6E12FF59" w14:textId="77777777" w:rsidTr="003E7A47">
        <w:trPr>
          <w:cantSplit/>
        </w:trPr>
        <w:tc>
          <w:tcPr>
            <w:tcW w:w="3286" w:type="dxa"/>
            <w:shd w:val="clear" w:color="auto" w:fill="auto"/>
            <w:vAlign w:val="bottom"/>
          </w:tcPr>
          <w:p w14:paraId="3D0F4B16" w14:textId="77777777" w:rsidR="00FF408A" w:rsidRPr="002D2F67" w:rsidRDefault="00FF408A" w:rsidP="005611FE">
            <w:pPr>
              <w:ind w:left="-73"/>
              <w:rPr>
                <w:rFonts w:ascii="Arial" w:hAnsi="Arial" w:cs="Arial"/>
                <w:color w:val="000000"/>
                <w:sz w:val="14"/>
                <w:szCs w:val="14"/>
              </w:rPr>
            </w:pPr>
            <w:r w:rsidRPr="002D2F67">
              <w:rPr>
                <w:rFonts w:ascii="Arial" w:hAnsi="Arial" w:cs="Arial"/>
                <w:color w:val="000000"/>
                <w:sz w:val="14"/>
                <w:szCs w:val="14"/>
              </w:rPr>
              <w:t>Indirect associates incorporated in Thailand</w:t>
            </w:r>
          </w:p>
        </w:tc>
        <w:tc>
          <w:tcPr>
            <w:tcW w:w="3050" w:type="dxa"/>
            <w:shd w:val="clear" w:color="auto" w:fill="auto"/>
            <w:vAlign w:val="bottom"/>
          </w:tcPr>
          <w:p w14:paraId="0EC05B2B" w14:textId="77777777" w:rsidR="00FF408A" w:rsidRPr="002D2F67" w:rsidRDefault="00FF408A" w:rsidP="005611FE">
            <w:pPr>
              <w:rPr>
                <w:rFonts w:ascii="Arial" w:hAnsi="Arial" w:cs="Arial"/>
                <w:color w:val="000000"/>
                <w:sz w:val="14"/>
                <w:szCs w:val="14"/>
                <w:cs/>
              </w:rPr>
            </w:pPr>
          </w:p>
        </w:tc>
        <w:tc>
          <w:tcPr>
            <w:tcW w:w="1064" w:type="dxa"/>
            <w:shd w:val="clear" w:color="auto" w:fill="auto"/>
            <w:vAlign w:val="bottom"/>
          </w:tcPr>
          <w:p w14:paraId="047641BD" w14:textId="77777777" w:rsidR="00FF408A" w:rsidRPr="002D2F67" w:rsidRDefault="00FF408A"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vAlign w:val="bottom"/>
          </w:tcPr>
          <w:p w14:paraId="47C49D37" w14:textId="77777777" w:rsidR="00FF408A" w:rsidRPr="002D2F67" w:rsidRDefault="00FF408A"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3" w:type="dxa"/>
            <w:shd w:val="clear" w:color="auto" w:fill="auto"/>
            <w:vAlign w:val="bottom"/>
          </w:tcPr>
          <w:p w14:paraId="5CD0319A" w14:textId="77777777" w:rsidR="00FF408A" w:rsidRPr="002D2F67" w:rsidRDefault="00FF408A"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4" w:type="dxa"/>
            <w:shd w:val="clear" w:color="auto" w:fill="auto"/>
            <w:vAlign w:val="bottom"/>
          </w:tcPr>
          <w:p w14:paraId="3A0BCCFE" w14:textId="77777777" w:rsidR="00FF408A" w:rsidRPr="002D2F67" w:rsidRDefault="00FF408A"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4" w:type="dxa"/>
            <w:shd w:val="clear" w:color="auto" w:fill="auto"/>
            <w:vAlign w:val="bottom"/>
          </w:tcPr>
          <w:p w14:paraId="71C40343" w14:textId="77777777" w:rsidR="00FF408A" w:rsidRPr="002D2F67" w:rsidRDefault="00FF408A"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3" w:type="dxa"/>
            <w:shd w:val="clear" w:color="auto" w:fill="auto"/>
            <w:vAlign w:val="bottom"/>
          </w:tcPr>
          <w:p w14:paraId="07BE1D20" w14:textId="77777777" w:rsidR="00FF408A" w:rsidRPr="002D2F67" w:rsidRDefault="00FF408A"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4" w:type="dxa"/>
            <w:shd w:val="clear" w:color="auto" w:fill="auto"/>
            <w:vAlign w:val="bottom"/>
          </w:tcPr>
          <w:p w14:paraId="23700ACD" w14:textId="77777777" w:rsidR="00FF408A" w:rsidRPr="002D2F67" w:rsidRDefault="00FF408A" w:rsidP="005611FE">
            <w:pPr>
              <w:pStyle w:val="acctfourfigures"/>
              <w:tabs>
                <w:tab w:val="decimal" w:pos="533"/>
              </w:tabs>
              <w:spacing w:line="240" w:lineRule="auto"/>
              <w:ind w:right="-72"/>
              <w:jc w:val="right"/>
              <w:rPr>
                <w:rFonts w:ascii="Arial" w:hAnsi="Arial" w:cs="Arial"/>
                <w:color w:val="000000"/>
                <w:sz w:val="14"/>
                <w:szCs w:val="14"/>
                <w:lang w:bidi="th-TH"/>
              </w:rPr>
            </w:pPr>
          </w:p>
        </w:tc>
        <w:tc>
          <w:tcPr>
            <w:tcW w:w="1097" w:type="dxa"/>
            <w:shd w:val="clear" w:color="auto" w:fill="auto"/>
            <w:vAlign w:val="bottom"/>
          </w:tcPr>
          <w:p w14:paraId="1C5B1A77" w14:textId="77777777" w:rsidR="00FF408A" w:rsidRPr="002D2F67" w:rsidRDefault="00FF408A" w:rsidP="005611FE">
            <w:pPr>
              <w:pStyle w:val="acctfourfigures"/>
              <w:tabs>
                <w:tab w:val="decimal" w:pos="533"/>
              </w:tabs>
              <w:spacing w:line="240" w:lineRule="auto"/>
              <w:ind w:right="-72"/>
              <w:jc w:val="right"/>
              <w:rPr>
                <w:rFonts w:ascii="Arial" w:hAnsi="Arial" w:cs="Arial"/>
                <w:color w:val="000000"/>
                <w:sz w:val="14"/>
                <w:szCs w:val="14"/>
                <w:lang w:bidi="th-TH"/>
              </w:rPr>
            </w:pPr>
          </w:p>
        </w:tc>
      </w:tr>
      <w:tr w:rsidR="005611FE" w:rsidRPr="002D2F67" w14:paraId="0EAC6042" w14:textId="77777777" w:rsidTr="003E7A47">
        <w:trPr>
          <w:cantSplit/>
        </w:trPr>
        <w:tc>
          <w:tcPr>
            <w:tcW w:w="3286" w:type="dxa"/>
            <w:shd w:val="clear" w:color="auto" w:fill="auto"/>
            <w:vAlign w:val="bottom"/>
          </w:tcPr>
          <w:p w14:paraId="69DAFB68" w14:textId="77777777" w:rsidR="00446D9B" w:rsidRPr="002D2F67" w:rsidRDefault="00446D9B" w:rsidP="005611FE">
            <w:pPr>
              <w:ind w:left="-73"/>
              <w:rPr>
                <w:rFonts w:ascii="Arial" w:hAnsi="Arial" w:cs="Arial"/>
                <w:color w:val="000000"/>
                <w:spacing w:val="-4"/>
                <w:sz w:val="14"/>
                <w:szCs w:val="14"/>
              </w:rPr>
            </w:pPr>
          </w:p>
        </w:tc>
        <w:tc>
          <w:tcPr>
            <w:tcW w:w="3050" w:type="dxa"/>
            <w:shd w:val="clear" w:color="auto" w:fill="auto"/>
            <w:vAlign w:val="bottom"/>
          </w:tcPr>
          <w:p w14:paraId="10EBAB36" w14:textId="77777777" w:rsidR="00446D9B" w:rsidRPr="002D2F67" w:rsidRDefault="00446D9B" w:rsidP="005611FE">
            <w:pPr>
              <w:rPr>
                <w:rFonts w:ascii="Arial" w:hAnsi="Arial" w:cs="Arial"/>
                <w:color w:val="000000"/>
                <w:sz w:val="14"/>
                <w:szCs w:val="14"/>
              </w:rPr>
            </w:pPr>
          </w:p>
        </w:tc>
        <w:tc>
          <w:tcPr>
            <w:tcW w:w="1064" w:type="dxa"/>
            <w:shd w:val="clear" w:color="auto" w:fill="auto"/>
            <w:vAlign w:val="bottom"/>
          </w:tcPr>
          <w:p w14:paraId="3C13F5B5" w14:textId="77777777" w:rsidR="00446D9B" w:rsidRPr="002D2F67" w:rsidRDefault="00446D9B"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vAlign w:val="bottom"/>
          </w:tcPr>
          <w:p w14:paraId="64C5F858" w14:textId="77777777" w:rsidR="00446D9B" w:rsidRPr="002D2F67" w:rsidRDefault="00446D9B"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3" w:type="dxa"/>
            <w:shd w:val="clear" w:color="auto" w:fill="auto"/>
            <w:vAlign w:val="bottom"/>
          </w:tcPr>
          <w:p w14:paraId="19D52EC6" w14:textId="77777777" w:rsidR="00446D9B" w:rsidRPr="002D2F67" w:rsidRDefault="00446D9B"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4" w:type="dxa"/>
            <w:shd w:val="clear" w:color="auto" w:fill="auto"/>
            <w:vAlign w:val="bottom"/>
          </w:tcPr>
          <w:p w14:paraId="22701D80" w14:textId="77777777" w:rsidR="00446D9B" w:rsidRPr="002D2F67" w:rsidRDefault="00446D9B"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4" w:type="dxa"/>
            <w:shd w:val="clear" w:color="auto" w:fill="auto"/>
            <w:vAlign w:val="bottom"/>
          </w:tcPr>
          <w:p w14:paraId="42287A7C" w14:textId="77777777" w:rsidR="00446D9B" w:rsidRPr="002D2F67" w:rsidRDefault="00446D9B"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3" w:type="dxa"/>
            <w:shd w:val="clear" w:color="auto" w:fill="auto"/>
            <w:vAlign w:val="bottom"/>
          </w:tcPr>
          <w:p w14:paraId="25EFCFB9" w14:textId="77777777" w:rsidR="00446D9B" w:rsidRPr="002D2F67" w:rsidRDefault="00446D9B"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4" w:type="dxa"/>
            <w:shd w:val="clear" w:color="auto" w:fill="auto"/>
            <w:vAlign w:val="bottom"/>
          </w:tcPr>
          <w:p w14:paraId="7C00BC87" w14:textId="77777777" w:rsidR="00446D9B" w:rsidRPr="002D2F67" w:rsidRDefault="00446D9B" w:rsidP="005611FE">
            <w:pPr>
              <w:pStyle w:val="acctfourfigures"/>
              <w:tabs>
                <w:tab w:val="decimal" w:pos="533"/>
              </w:tabs>
              <w:spacing w:line="240" w:lineRule="auto"/>
              <w:ind w:right="-72"/>
              <w:jc w:val="right"/>
              <w:rPr>
                <w:rFonts w:ascii="Arial" w:hAnsi="Arial" w:cs="Arial"/>
                <w:color w:val="000000"/>
                <w:sz w:val="14"/>
                <w:szCs w:val="14"/>
                <w:lang w:bidi="th-TH"/>
              </w:rPr>
            </w:pPr>
          </w:p>
        </w:tc>
        <w:tc>
          <w:tcPr>
            <w:tcW w:w="1097" w:type="dxa"/>
            <w:shd w:val="clear" w:color="auto" w:fill="auto"/>
            <w:vAlign w:val="bottom"/>
          </w:tcPr>
          <w:p w14:paraId="434D7C75" w14:textId="77777777" w:rsidR="00446D9B" w:rsidRPr="002D2F67" w:rsidRDefault="00446D9B" w:rsidP="005611FE">
            <w:pPr>
              <w:pStyle w:val="acctfourfigures"/>
              <w:tabs>
                <w:tab w:val="decimal" w:pos="533"/>
              </w:tabs>
              <w:spacing w:line="240" w:lineRule="auto"/>
              <w:ind w:right="-72"/>
              <w:jc w:val="right"/>
              <w:rPr>
                <w:rFonts w:ascii="Arial" w:hAnsi="Arial" w:cs="Arial"/>
                <w:color w:val="000000"/>
                <w:sz w:val="14"/>
                <w:szCs w:val="14"/>
                <w:lang w:bidi="th-TH"/>
              </w:rPr>
            </w:pPr>
          </w:p>
        </w:tc>
      </w:tr>
      <w:tr w:rsidR="001C6151" w:rsidRPr="002D2F67" w14:paraId="6EA0FA41" w14:textId="77777777" w:rsidTr="003E7A47">
        <w:trPr>
          <w:cantSplit/>
        </w:trPr>
        <w:tc>
          <w:tcPr>
            <w:tcW w:w="3286" w:type="dxa"/>
            <w:shd w:val="clear" w:color="auto" w:fill="auto"/>
          </w:tcPr>
          <w:p w14:paraId="4671810C" w14:textId="567AA46E" w:rsidR="001C6151" w:rsidRPr="002D2F67" w:rsidRDefault="001C6151" w:rsidP="001C6151">
            <w:pPr>
              <w:ind w:left="-73"/>
              <w:rPr>
                <w:rFonts w:ascii="Arial" w:hAnsi="Arial" w:cs="Arial"/>
                <w:color w:val="000000"/>
                <w:sz w:val="14"/>
                <w:szCs w:val="14"/>
              </w:rPr>
            </w:pPr>
            <w:r w:rsidRPr="002D2F67">
              <w:rPr>
                <w:rFonts w:ascii="Arial" w:hAnsi="Arial" w:cs="Arial"/>
                <w:color w:val="000000"/>
                <w:sz w:val="14"/>
                <w:szCs w:val="14"/>
              </w:rPr>
              <w:t>N</w:t>
            </w:r>
            <w:r w:rsidR="000938E2" w:rsidRPr="002D2F67">
              <w:rPr>
                <w:rFonts w:ascii="Arial" w:hAnsi="Arial" w:cs="Arial"/>
                <w:color w:val="000000"/>
                <w:sz w:val="14"/>
                <w:szCs w:val="14"/>
              </w:rPr>
              <w:t>ex</w:t>
            </w:r>
            <w:r w:rsidRPr="002D2F67">
              <w:rPr>
                <w:rFonts w:ascii="Arial" w:hAnsi="Arial" w:cs="Arial"/>
                <w:color w:val="000000"/>
                <w:sz w:val="14"/>
                <w:szCs w:val="14"/>
              </w:rPr>
              <w:t xml:space="preserve"> Point </w:t>
            </w:r>
            <w:r w:rsidR="002E7AB6" w:rsidRPr="002D2F67">
              <w:rPr>
                <w:rFonts w:ascii="Arial" w:hAnsi="Arial" w:cs="Arial"/>
                <w:color w:val="000000"/>
                <w:sz w:val="14"/>
                <w:szCs w:val="14"/>
              </w:rPr>
              <w:t xml:space="preserve">Public Co., </w:t>
            </w:r>
            <w:r w:rsidR="0003544A" w:rsidRPr="002D2F67">
              <w:rPr>
                <w:rFonts w:ascii="Arial" w:hAnsi="Arial" w:cs="Arial"/>
                <w:color w:val="000000"/>
                <w:sz w:val="14"/>
                <w:szCs w:val="14"/>
              </w:rPr>
              <w:t>Ltd.</w:t>
            </w:r>
          </w:p>
        </w:tc>
        <w:tc>
          <w:tcPr>
            <w:tcW w:w="3050" w:type="dxa"/>
            <w:shd w:val="clear" w:color="auto" w:fill="auto"/>
          </w:tcPr>
          <w:p w14:paraId="0B707B1C" w14:textId="77777777" w:rsidR="001C6151" w:rsidRPr="002D2F67" w:rsidRDefault="001C6151" w:rsidP="001C6151">
            <w:pPr>
              <w:rPr>
                <w:rFonts w:ascii="Arial" w:hAnsi="Arial" w:cs="Arial"/>
                <w:color w:val="000000"/>
                <w:sz w:val="14"/>
                <w:szCs w:val="14"/>
              </w:rPr>
            </w:pPr>
            <w:r w:rsidRPr="002D2F67">
              <w:rPr>
                <w:rFonts w:ascii="Arial" w:hAnsi="Arial" w:cs="Arial"/>
                <w:color w:val="000000"/>
                <w:sz w:val="14"/>
                <w:szCs w:val="14"/>
              </w:rPr>
              <w:t>Service of property rental, sale and rent</w:t>
            </w:r>
          </w:p>
          <w:p w14:paraId="752F9B2A" w14:textId="77777777" w:rsidR="001C6151" w:rsidRPr="002D2F67" w:rsidRDefault="001C6151" w:rsidP="001C6151">
            <w:pPr>
              <w:rPr>
                <w:rFonts w:ascii="Arial" w:hAnsi="Arial" w:cs="Arial"/>
                <w:color w:val="000000"/>
                <w:sz w:val="14"/>
                <w:szCs w:val="14"/>
              </w:rPr>
            </w:pPr>
            <w:r w:rsidRPr="002D2F67">
              <w:rPr>
                <w:rFonts w:ascii="Arial" w:hAnsi="Arial" w:cs="Arial"/>
                <w:color w:val="000000"/>
                <w:sz w:val="14"/>
                <w:szCs w:val="14"/>
              </w:rPr>
              <w:t xml:space="preserve">   a bus service, supply assets service </w:t>
            </w:r>
          </w:p>
          <w:p w14:paraId="3E608ABA" w14:textId="77777777" w:rsidR="001C6151" w:rsidRPr="002D2F67" w:rsidRDefault="001C6151" w:rsidP="001C6151">
            <w:pPr>
              <w:rPr>
                <w:rFonts w:ascii="Arial" w:hAnsi="Arial" w:cs="Arial"/>
                <w:color w:val="000000"/>
                <w:sz w:val="14"/>
                <w:szCs w:val="14"/>
              </w:rPr>
            </w:pPr>
            <w:r w:rsidRPr="002D2F67">
              <w:rPr>
                <w:rFonts w:ascii="Arial" w:hAnsi="Arial" w:cs="Arial"/>
                <w:color w:val="000000"/>
                <w:sz w:val="14"/>
                <w:szCs w:val="14"/>
              </w:rPr>
              <w:t xml:space="preserve">   and investing in other businesses</w:t>
            </w:r>
          </w:p>
        </w:tc>
        <w:tc>
          <w:tcPr>
            <w:tcW w:w="1064" w:type="dxa"/>
            <w:shd w:val="clear" w:color="auto" w:fill="auto"/>
          </w:tcPr>
          <w:p w14:paraId="18B6CDC6" w14:textId="351FC664" w:rsidR="001C6151" w:rsidRPr="002D2F67" w:rsidRDefault="00CD5714" w:rsidP="001C6151">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33</w:t>
            </w:r>
            <w:r w:rsidR="001C6151" w:rsidRPr="002D2F67">
              <w:rPr>
                <w:rFonts w:ascii="Arial" w:hAnsi="Arial" w:cs="Arial"/>
                <w:color w:val="000000"/>
                <w:sz w:val="14"/>
                <w:szCs w:val="14"/>
                <w:lang w:bidi="th-TH"/>
              </w:rPr>
              <w:t>.</w:t>
            </w:r>
            <w:r w:rsidRPr="00CD5714">
              <w:rPr>
                <w:rFonts w:ascii="Arial" w:hAnsi="Arial" w:cs="Arial"/>
                <w:color w:val="000000"/>
                <w:sz w:val="14"/>
                <w:szCs w:val="14"/>
                <w:lang w:val="en-GB" w:bidi="th-TH"/>
              </w:rPr>
              <w:t>57</w:t>
            </w:r>
          </w:p>
        </w:tc>
        <w:tc>
          <w:tcPr>
            <w:tcW w:w="1065" w:type="dxa"/>
            <w:shd w:val="clear" w:color="auto" w:fill="auto"/>
          </w:tcPr>
          <w:p w14:paraId="3800F45B" w14:textId="6D34AF0C" w:rsidR="001C6151" w:rsidRPr="002D2F67" w:rsidRDefault="00CD5714" w:rsidP="001C6151">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33</w:t>
            </w:r>
            <w:r w:rsidR="001C6151" w:rsidRPr="002D2F67">
              <w:rPr>
                <w:rFonts w:ascii="Arial" w:hAnsi="Arial" w:cs="Arial"/>
                <w:color w:val="000000"/>
                <w:sz w:val="14"/>
                <w:szCs w:val="14"/>
                <w:lang w:bidi="th-TH"/>
              </w:rPr>
              <w:t>.</w:t>
            </w:r>
            <w:r w:rsidRPr="00CD5714">
              <w:rPr>
                <w:rFonts w:ascii="Arial" w:hAnsi="Arial" w:cs="Arial"/>
                <w:color w:val="000000"/>
                <w:sz w:val="14"/>
                <w:szCs w:val="14"/>
                <w:lang w:val="en-GB" w:bidi="th-TH"/>
              </w:rPr>
              <w:t>14</w:t>
            </w:r>
          </w:p>
        </w:tc>
        <w:tc>
          <w:tcPr>
            <w:tcW w:w="1063" w:type="dxa"/>
            <w:shd w:val="clear" w:color="auto" w:fill="auto"/>
          </w:tcPr>
          <w:p w14:paraId="17AB0F38" w14:textId="7B0EB78C" w:rsidR="001C6151" w:rsidRPr="002D2F67" w:rsidRDefault="00CD5714" w:rsidP="001C6151">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1</w:t>
            </w:r>
            <w:r w:rsidR="001C6151" w:rsidRPr="002D2F67">
              <w:rPr>
                <w:rFonts w:ascii="Arial" w:hAnsi="Arial" w:cs="Arial"/>
                <w:color w:val="000000"/>
                <w:sz w:val="14"/>
                <w:szCs w:val="14"/>
                <w:lang w:bidi="th-TH"/>
              </w:rPr>
              <w:t>,</w:t>
            </w:r>
            <w:r w:rsidRPr="00CD5714">
              <w:rPr>
                <w:rFonts w:ascii="Arial" w:hAnsi="Arial" w:cs="Arial"/>
                <w:color w:val="000000"/>
                <w:sz w:val="14"/>
                <w:szCs w:val="14"/>
                <w:lang w:val="en-GB" w:bidi="th-TH"/>
              </w:rPr>
              <w:t>474</w:t>
            </w:r>
            <w:r w:rsidR="001C6151" w:rsidRPr="002D2F67">
              <w:rPr>
                <w:rFonts w:ascii="Arial" w:hAnsi="Arial" w:cs="Arial"/>
                <w:color w:val="000000"/>
                <w:sz w:val="14"/>
                <w:szCs w:val="14"/>
                <w:lang w:bidi="th-TH"/>
              </w:rPr>
              <w:t>,</w:t>
            </w:r>
            <w:r w:rsidRPr="00CD5714">
              <w:rPr>
                <w:rFonts w:ascii="Arial" w:hAnsi="Arial" w:cs="Arial"/>
                <w:color w:val="000000"/>
                <w:sz w:val="14"/>
                <w:szCs w:val="14"/>
                <w:lang w:val="en-GB" w:bidi="th-TH"/>
              </w:rPr>
              <w:t>000</w:t>
            </w:r>
          </w:p>
        </w:tc>
        <w:tc>
          <w:tcPr>
            <w:tcW w:w="1064" w:type="dxa"/>
            <w:shd w:val="clear" w:color="auto" w:fill="auto"/>
          </w:tcPr>
          <w:p w14:paraId="187387C0" w14:textId="077D081D" w:rsidR="001C6151" w:rsidRPr="002D2F67" w:rsidRDefault="00CD5714" w:rsidP="001C6151">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1</w:t>
            </w:r>
            <w:r w:rsidR="001C6151" w:rsidRPr="002D2F67">
              <w:rPr>
                <w:rFonts w:ascii="Arial" w:hAnsi="Arial" w:cs="Arial"/>
                <w:color w:val="000000"/>
                <w:sz w:val="14"/>
                <w:szCs w:val="14"/>
                <w:lang w:bidi="th-TH"/>
              </w:rPr>
              <w:t>,</w:t>
            </w:r>
            <w:r w:rsidRPr="00CD5714">
              <w:rPr>
                <w:rFonts w:ascii="Arial" w:hAnsi="Arial" w:cs="Arial"/>
                <w:color w:val="000000"/>
                <w:sz w:val="14"/>
                <w:szCs w:val="14"/>
                <w:lang w:val="en-GB" w:bidi="th-TH"/>
              </w:rPr>
              <w:t>474</w:t>
            </w:r>
            <w:r w:rsidR="001C6151" w:rsidRPr="002D2F67">
              <w:rPr>
                <w:rFonts w:ascii="Arial" w:hAnsi="Arial" w:cs="Arial"/>
                <w:color w:val="000000"/>
                <w:sz w:val="14"/>
                <w:szCs w:val="14"/>
                <w:lang w:bidi="th-TH"/>
              </w:rPr>
              <w:t>,</w:t>
            </w:r>
            <w:r w:rsidRPr="00CD5714">
              <w:rPr>
                <w:rFonts w:ascii="Arial" w:hAnsi="Arial" w:cs="Arial"/>
                <w:color w:val="000000"/>
                <w:sz w:val="14"/>
                <w:szCs w:val="14"/>
                <w:lang w:val="en-GB" w:bidi="th-TH"/>
              </w:rPr>
              <w:t>000</w:t>
            </w:r>
          </w:p>
        </w:tc>
        <w:tc>
          <w:tcPr>
            <w:tcW w:w="1064" w:type="dxa"/>
            <w:shd w:val="clear" w:color="auto" w:fill="auto"/>
          </w:tcPr>
          <w:p w14:paraId="232B9144" w14:textId="1B05FC20" w:rsidR="001C6151" w:rsidRPr="002D2F67" w:rsidRDefault="00CD5714" w:rsidP="001C6151">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848</w:t>
            </w:r>
            <w:r w:rsidR="0038478A" w:rsidRPr="002D2F67">
              <w:rPr>
                <w:rFonts w:ascii="Arial" w:hAnsi="Arial" w:cs="Arial"/>
                <w:color w:val="000000"/>
                <w:sz w:val="14"/>
                <w:szCs w:val="14"/>
                <w:lang w:bidi="th-TH"/>
              </w:rPr>
              <w:t>,</w:t>
            </w:r>
            <w:r w:rsidRPr="00CD5714">
              <w:rPr>
                <w:rFonts w:ascii="Arial" w:hAnsi="Arial" w:cs="Arial"/>
                <w:color w:val="000000"/>
                <w:sz w:val="14"/>
                <w:szCs w:val="14"/>
                <w:lang w:val="en-GB" w:bidi="th-TH"/>
              </w:rPr>
              <w:t>519</w:t>
            </w:r>
          </w:p>
        </w:tc>
        <w:tc>
          <w:tcPr>
            <w:tcW w:w="1063" w:type="dxa"/>
            <w:shd w:val="clear" w:color="auto" w:fill="auto"/>
          </w:tcPr>
          <w:p w14:paraId="5970A03D" w14:textId="31C24213" w:rsidR="001C6151" w:rsidRPr="002D2F67" w:rsidRDefault="00CD5714" w:rsidP="001C6151">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1</w:t>
            </w:r>
            <w:r w:rsidR="001C6151" w:rsidRPr="002D2F67">
              <w:rPr>
                <w:rFonts w:ascii="Arial" w:hAnsi="Arial" w:cs="Arial"/>
                <w:color w:val="000000"/>
                <w:sz w:val="14"/>
                <w:szCs w:val="14"/>
                <w:lang w:bidi="th-TH"/>
              </w:rPr>
              <w:t>,</w:t>
            </w:r>
            <w:r w:rsidRPr="00CD5714">
              <w:rPr>
                <w:rFonts w:ascii="Arial" w:hAnsi="Arial" w:cs="Arial"/>
                <w:color w:val="000000"/>
                <w:sz w:val="14"/>
                <w:szCs w:val="14"/>
                <w:lang w:val="en-GB" w:bidi="th-TH"/>
              </w:rPr>
              <w:t>748</w:t>
            </w:r>
            <w:r w:rsidR="001C6151" w:rsidRPr="002D2F67">
              <w:rPr>
                <w:rFonts w:ascii="Arial" w:hAnsi="Arial" w:cs="Arial"/>
                <w:color w:val="000000"/>
                <w:sz w:val="14"/>
                <w:szCs w:val="14"/>
                <w:lang w:bidi="th-TH"/>
              </w:rPr>
              <w:t>,</w:t>
            </w:r>
            <w:r w:rsidRPr="00CD5714">
              <w:rPr>
                <w:rFonts w:ascii="Arial" w:hAnsi="Arial" w:cs="Arial"/>
                <w:color w:val="000000"/>
                <w:sz w:val="14"/>
                <w:szCs w:val="14"/>
                <w:lang w:val="en-GB" w:bidi="th-TH"/>
              </w:rPr>
              <w:t>946</w:t>
            </w:r>
          </w:p>
        </w:tc>
        <w:tc>
          <w:tcPr>
            <w:tcW w:w="1064" w:type="dxa"/>
            <w:shd w:val="clear" w:color="auto" w:fill="auto"/>
          </w:tcPr>
          <w:p w14:paraId="50C02963" w14:textId="6865E153" w:rsidR="001C6151" w:rsidRPr="002D2F67" w:rsidRDefault="001C6151" w:rsidP="001C6151">
            <w:pPr>
              <w:pStyle w:val="acctfourfigures"/>
              <w:tabs>
                <w:tab w:val="decimal" w:pos="533"/>
              </w:tabs>
              <w:spacing w:line="240" w:lineRule="auto"/>
              <w:ind w:right="-72"/>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097" w:type="dxa"/>
            <w:shd w:val="clear" w:color="auto" w:fill="auto"/>
          </w:tcPr>
          <w:p w14:paraId="7700A403" w14:textId="594D6E36" w:rsidR="001C6151" w:rsidRPr="002D2F67" w:rsidRDefault="001C6151" w:rsidP="001C6151">
            <w:pPr>
              <w:pStyle w:val="acctfourfigures"/>
              <w:tabs>
                <w:tab w:val="decimal" w:pos="533"/>
              </w:tabs>
              <w:spacing w:line="240" w:lineRule="auto"/>
              <w:ind w:right="-72"/>
              <w:jc w:val="right"/>
              <w:rPr>
                <w:rFonts w:ascii="Arial" w:hAnsi="Arial" w:cs="Arial"/>
                <w:color w:val="000000"/>
                <w:sz w:val="14"/>
                <w:szCs w:val="14"/>
                <w:lang w:bidi="th-TH"/>
              </w:rPr>
            </w:pPr>
            <w:r w:rsidRPr="002D2F67">
              <w:rPr>
                <w:rFonts w:ascii="Arial" w:hAnsi="Arial" w:cs="Arial"/>
                <w:color w:val="000000"/>
                <w:sz w:val="14"/>
                <w:szCs w:val="14"/>
                <w:lang w:bidi="th-TH"/>
              </w:rPr>
              <w:t>-</w:t>
            </w:r>
          </w:p>
        </w:tc>
      </w:tr>
      <w:tr w:rsidR="001C6151" w:rsidRPr="002D2F67" w14:paraId="00732279" w14:textId="77777777" w:rsidTr="003E7A47">
        <w:trPr>
          <w:cantSplit/>
        </w:trPr>
        <w:tc>
          <w:tcPr>
            <w:tcW w:w="3286" w:type="dxa"/>
            <w:shd w:val="clear" w:color="auto" w:fill="auto"/>
          </w:tcPr>
          <w:p w14:paraId="30AD707F" w14:textId="04A7C4CC" w:rsidR="001C6151" w:rsidRPr="002D2F67" w:rsidRDefault="001C6151" w:rsidP="001C6151">
            <w:pPr>
              <w:ind w:left="-73"/>
              <w:rPr>
                <w:rFonts w:ascii="Arial" w:hAnsi="Arial" w:cs="Arial"/>
                <w:color w:val="000000"/>
                <w:sz w:val="14"/>
                <w:szCs w:val="14"/>
              </w:rPr>
            </w:pPr>
            <w:r w:rsidRPr="002D2F67">
              <w:rPr>
                <w:rFonts w:ascii="Arial" w:hAnsi="Arial" w:cs="Arial"/>
                <w:color w:val="000000"/>
                <w:sz w:val="14"/>
                <w:szCs w:val="14"/>
              </w:rPr>
              <w:t>TF Tech Holding Co., Ltd.</w:t>
            </w:r>
          </w:p>
        </w:tc>
        <w:tc>
          <w:tcPr>
            <w:tcW w:w="3050" w:type="dxa"/>
            <w:shd w:val="clear" w:color="auto" w:fill="auto"/>
          </w:tcPr>
          <w:p w14:paraId="08C18CBC" w14:textId="77777777" w:rsidR="001C6151" w:rsidRPr="002D2F67" w:rsidRDefault="001C6151" w:rsidP="001C6151">
            <w:pPr>
              <w:rPr>
                <w:rFonts w:ascii="Arial" w:hAnsi="Arial" w:cs="Arial"/>
                <w:color w:val="000000"/>
                <w:sz w:val="14"/>
                <w:szCs w:val="14"/>
              </w:rPr>
            </w:pPr>
            <w:r w:rsidRPr="002D2F67">
              <w:rPr>
                <w:rFonts w:ascii="Arial" w:hAnsi="Arial" w:cs="Arial"/>
                <w:color w:val="000000"/>
                <w:sz w:val="14"/>
                <w:szCs w:val="14"/>
              </w:rPr>
              <w:t>Investing in renewable energy businesses</w:t>
            </w:r>
          </w:p>
        </w:tc>
        <w:tc>
          <w:tcPr>
            <w:tcW w:w="1064" w:type="dxa"/>
            <w:shd w:val="clear" w:color="auto" w:fill="auto"/>
          </w:tcPr>
          <w:p w14:paraId="0440BE8D" w14:textId="09C89622" w:rsidR="001C6151" w:rsidRPr="002D2F67" w:rsidRDefault="00CD5714" w:rsidP="001C6151">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40</w:t>
            </w:r>
            <w:r w:rsidR="001C6151" w:rsidRPr="002D2F67">
              <w:rPr>
                <w:rFonts w:ascii="Arial" w:hAnsi="Arial" w:cs="Arial"/>
                <w:color w:val="000000"/>
                <w:sz w:val="14"/>
                <w:szCs w:val="14"/>
                <w:lang w:bidi="th-TH"/>
              </w:rPr>
              <w:t>.</w:t>
            </w:r>
            <w:r w:rsidRPr="00CD5714">
              <w:rPr>
                <w:rFonts w:ascii="Arial" w:hAnsi="Arial" w:cs="Arial"/>
                <w:color w:val="000000"/>
                <w:sz w:val="14"/>
                <w:szCs w:val="14"/>
                <w:lang w:val="en-GB" w:bidi="th-TH"/>
              </w:rPr>
              <w:t>00</w:t>
            </w:r>
          </w:p>
        </w:tc>
        <w:tc>
          <w:tcPr>
            <w:tcW w:w="1065" w:type="dxa"/>
            <w:shd w:val="clear" w:color="auto" w:fill="auto"/>
          </w:tcPr>
          <w:p w14:paraId="42DAC7D1" w14:textId="43744206" w:rsidR="001C6151" w:rsidRPr="002D2F67" w:rsidRDefault="00CD5714" w:rsidP="001C6151">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40</w:t>
            </w:r>
            <w:r w:rsidR="001C6151" w:rsidRPr="002D2F67">
              <w:rPr>
                <w:rFonts w:ascii="Arial" w:hAnsi="Arial" w:cs="Arial"/>
                <w:color w:val="000000"/>
                <w:sz w:val="14"/>
                <w:szCs w:val="14"/>
                <w:lang w:bidi="th-TH"/>
              </w:rPr>
              <w:t>.</w:t>
            </w:r>
            <w:r w:rsidRPr="00CD5714">
              <w:rPr>
                <w:rFonts w:ascii="Arial" w:hAnsi="Arial" w:cs="Arial"/>
                <w:color w:val="000000"/>
                <w:sz w:val="14"/>
                <w:szCs w:val="14"/>
                <w:lang w:val="en-GB" w:bidi="th-TH"/>
              </w:rPr>
              <w:t>00</w:t>
            </w:r>
          </w:p>
        </w:tc>
        <w:tc>
          <w:tcPr>
            <w:tcW w:w="1063" w:type="dxa"/>
            <w:shd w:val="clear" w:color="auto" w:fill="auto"/>
          </w:tcPr>
          <w:p w14:paraId="5E30774A" w14:textId="0403D2AE" w:rsidR="001C6151" w:rsidRPr="002D2F67" w:rsidRDefault="00CD5714" w:rsidP="001C6151">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40</w:t>
            </w:r>
            <w:r w:rsidR="001C6151" w:rsidRPr="002D2F67">
              <w:rPr>
                <w:rFonts w:ascii="Arial" w:hAnsi="Arial" w:cs="Arial"/>
                <w:color w:val="000000"/>
                <w:sz w:val="14"/>
                <w:szCs w:val="14"/>
                <w:lang w:bidi="th-TH"/>
              </w:rPr>
              <w:t>,</w:t>
            </w:r>
            <w:r w:rsidRPr="00CD5714">
              <w:rPr>
                <w:rFonts w:ascii="Arial" w:hAnsi="Arial" w:cs="Arial"/>
                <w:color w:val="000000"/>
                <w:sz w:val="14"/>
                <w:szCs w:val="14"/>
                <w:lang w:val="en-GB" w:bidi="th-TH"/>
              </w:rPr>
              <w:t>000</w:t>
            </w:r>
          </w:p>
        </w:tc>
        <w:tc>
          <w:tcPr>
            <w:tcW w:w="1064" w:type="dxa"/>
            <w:shd w:val="clear" w:color="auto" w:fill="auto"/>
          </w:tcPr>
          <w:p w14:paraId="045D2DF9" w14:textId="60CD800E" w:rsidR="001C6151" w:rsidRPr="002D2F67" w:rsidRDefault="00CD5714" w:rsidP="001C6151">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40</w:t>
            </w:r>
            <w:r w:rsidR="001C6151" w:rsidRPr="002D2F67">
              <w:rPr>
                <w:rFonts w:ascii="Arial" w:hAnsi="Arial" w:cs="Arial"/>
                <w:color w:val="000000"/>
                <w:sz w:val="14"/>
                <w:szCs w:val="14"/>
                <w:lang w:bidi="th-TH"/>
              </w:rPr>
              <w:t>,</w:t>
            </w:r>
            <w:r w:rsidRPr="00CD5714">
              <w:rPr>
                <w:rFonts w:ascii="Arial" w:hAnsi="Arial" w:cs="Arial"/>
                <w:color w:val="000000"/>
                <w:sz w:val="14"/>
                <w:szCs w:val="14"/>
                <w:lang w:val="en-GB" w:bidi="th-TH"/>
              </w:rPr>
              <w:t>000</w:t>
            </w:r>
          </w:p>
        </w:tc>
        <w:tc>
          <w:tcPr>
            <w:tcW w:w="1064" w:type="dxa"/>
            <w:shd w:val="clear" w:color="auto" w:fill="auto"/>
          </w:tcPr>
          <w:p w14:paraId="05B96601" w14:textId="05D1D6BA" w:rsidR="001C6151" w:rsidRPr="002D2F67" w:rsidRDefault="00CD5714" w:rsidP="001C6151">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109</w:t>
            </w:r>
            <w:r w:rsidR="001C6151" w:rsidRPr="002D2F67">
              <w:rPr>
                <w:rFonts w:ascii="Arial" w:hAnsi="Arial" w:cs="Arial"/>
                <w:color w:val="000000"/>
                <w:sz w:val="14"/>
                <w:szCs w:val="14"/>
                <w:lang w:bidi="th-TH"/>
              </w:rPr>
              <w:t>,</w:t>
            </w:r>
            <w:r w:rsidRPr="00CD5714">
              <w:rPr>
                <w:rFonts w:ascii="Arial" w:hAnsi="Arial" w:cs="Arial"/>
                <w:color w:val="000000"/>
                <w:sz w:val="14"/>
                <w:szCs w:val="14"/>
                <w:lang w:val="en-GB" w:bidi="th-TH"/>
              </w:rPr>
              <w:t>924</w:t>
            </w:r>
          </w:p>
        </w:tc>
        <w:tc>
          <w:tcPr>
            <w:tcW w:w="1063" w:type="dxa"/>
            <w:shd w:val="clear" w:color="auto" w:fill="auto"/>
          </w:tcPr>
          <w:p w14:paraId="348ADED9" w14:textId="2606A367" w:rsidR="001C6151" w:rsidRPr="002D2F67" w:rsidRDefault="00CD5714" w:rsidP="001C6151">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89</w:t>
            </w:r>
            <w:r w:rsidR="001C6151" w:rsidRPr="002D2F67">
              <w:rPr>
                <w:rFonts w:ascii="Arial" w:hAnsi="Arial" w:cs="Arial"/>
                <w:color w:val="000000"/>
                <w:sz w:val="14"/>
                <w:szCs w:val="14"/>
                <w:lang w:bidi="th-TH"/>
              </w:rPr>
              <w:t>,</w:t>
            </w:r>
            <w:r w:rsidRPr="00CD5714">
              <w:rPr>
                <w:rFonts w:ascii="Arial" w:hAnsi="Arial" w:cs="Arial"/>
                <w:color w:val="000000"/>
                <w:sz w:val="14"/>
                <w:szCs w:val="14"/>
                <w:lang w:val="en-GB" w:bidi="th-TH"/>
              </w:rPr>
              <w:t>406</w:t>
            </w:r>
          </w:p>
        </w:tc>
        <w:tc>
          <w:tcPr>
            <w:tcW w:w="1064" w:type="dxa"/>
            <w:shd w:val="clear" w:color="auto" w:fill="auto"/>
          </w:tcPr>
          <w:p w14:paraId="4E94044C" w14:textId="27822171" w:rsidR="001C6151" w:rsidRPr="002D2F67" w:rsidRDefault="001C6151" w:rsidP="001C6151">
            <w:pPr>
              <w:pStyle w:val="acctfourfigures"/>
              <w:tabs>
                <w:tab w:val="decimal" w:pos="533"/>
              </w:tabs>
              <w:spacing w:line="240" w:lineRule="auto"/>
              <w:ind w:right="-72"/>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097" w:type="dxa"/>
            <w:shd w:val="clear" w:color="auto" w:fill="auto"/>
          </w:tcPr>
          <w:p w14:paraId="1F75ACCE" w14:textId="44EF28C7" w:rsidR="001C6151" w:rsidRPr="002D2F67" w:rsidRDefault="001C6151" w:rsidP="001C6151">
            <w:pPr>
              <w:pStyle w:val="acctfourfigures"/>
              <w:tabs>
                <w:tab w:val="decimal" w:pos="533"/>
              </w:tabs>
              <w:spacing w:line="240" w:lineRule="auto"/>
              <w:ind w:right="-72"/>
              <w:jc w:val="right"/>
              <w:rPr>
                <w:rFonts w:ascii="Arial" w:hAnsi="Arial" w:cs="Arial"/>
                <w:color w:val="000000"/>
                <w:sz w:val="14"/>
                <w:szCs w:val="14"/>
                <w:lang w:bidi="th-TH"/>
              </w:rPr>
            </w:pPr>
            <w:r w:rsidRPr="002D2F67">
              <w:rPr>
                <w:rFonts w:ascii="Arial" w:hAnsi="Arial" w:cs="Arial"/>
                <w:color w:val="000000"/>
                <w:sz w:val="14"/>
                <w:szCs w:val="14"/>
                <w:lang w:bidi="th-TH"/>
              </w:rPr>
              <w:t>-</w:t>
            </w:r>
          </w:p>
        </w:tc>
      </w:tr>
      <w:tr w:rsidR="001C6151" w:rsidRPr="002D2F67" w14:paraId="0347C234" w14:textId="77777777" w:rsidTr="003E7A47">
        <w:trPr>
          <w:cantSplit/>
        </w:trPr>
        <w:tc>
          <w:tcPr>
            <w:tcW w:w="3286" w:type="dxa"/>
            <w:shd w:val="clear" w:color="auto" w:fill="auto"/>
          </w:tcPr>
          <w:p w14:paraId="62820F3B" w14:textId="3DBA42FE" w:rsidR="001C6151" w:rsidRPr="002D2F67" w:rsidRDefault="001C6151" w:rsidP="001C6151">
            <w:pPr>
              <w:ind w:left="-73"/>
              <w:rPr>
                <w:rFonts w:ascii="Arial" w:hAnsi="Arial" w:cs="Arial"/>
                <w:color w:val="000000"/>
                <w:sz w:val="14"/>
                <w:szCs w:val="14"/>
              </w:rPr>
            </w:pPr>
            <w:r w:rsidRPr="002D2F67">
              <w:rPr>
                <w:rFonts w:ascii="Arial" w:hAnsi="Arial" w:cs="Arial"/>
                <w:color w:val="000000"/>
                <w:sz w:val="14"/>
                <w:szCs w:val="14"/>
              </w:rPr>
              <w:t>EA Lvkon Co., Ltd.</w:t>
            </w:r>
            <w:r w:rsidR="00135AD9" w:rsidRPr="002D2F67">
              <w:rPr>
                <w:rFonts w:ascii="Arial" w:hAnsi="Arial" w:cs="Arial"/>
                <w:color w:val="000000"/>
                <w:sz w:val="14"/>
                <w:szCs w:val="14"/>
              </w:rPr>
              <w:t xml:space="preserve"> </w:t>
            </w:r>
            <w:r w:rsidR="00135AD9" w:rsidRPr="002D2F67">
              <w:rPr>
                <w:rFonts w:ascii="Arial" w:hAnsi="Arial" w:cs="Arial"/>
                <w:color w:val="000000"/>
                <w:sz w:val="14"/>
                <w:szCs w:val="14"/>
                <w:vertAlign w:val="superscript"/>
              </w:rPr>
              <w:t>(</w:t>
            </w:r>
            <w:r w:rsidR="00CD5714" w:rsidRPr="00CD5714">
              <w:rPr>
                <w:rFonts w:ascii="Arial" w:hAnsi="Arial" w:cs="Arial"/>
                <w:color w:val="000000"/>
                <w:sz w:val="14"/>
                <w:szCs w:val="14"/>
                <w:vertAlign w:val="superscript"/>
                <w:lang w:val="en-GB"/>
              </w:rPr>
              <w:t>1</w:t>
            </w:r>
            <w:r w:rsidR="00135AD9" w:rsidRPr="002D2F67">
              <w:rPr>
                <w:rFonts w:ascii="Arial" w:hAnsi="Arial" w:cs="Arial"/>
                <w:color w:val="000000"/>
                <w:sz w:val="14"/>
                <w:szCs w:val="14"/>
                <w:vertAlign w:val="superscript"/>
              </w:rPr>
              <w:t>)</w:t>
            </w:r>
          </w:p>
        </w:tc>
        <w:tc>
          <w:tcPr>
            <w:tcW w:w="3050" w:type="dxa"/>
            <w:shd w:val="clear" w:color="auto" w:fill="auto"/>
          </w:tcPr>
          <w:p w14:paraId="328F3EA6" w14:textId="73298A24" w:rsidR="001C6151" w:rsidRPr="002D2F67" w:rsidRDefault="001C6151" w:rsidP="001C6151">
            <w:pPr>
              <w:ind w:left="122" w:hanging="122"/>
              <w:rPr>
                <w:rFonts w:ascii="Arial" w:hAnsi="Arial" w:cs="Arial"/>
                <w:color w:val="000000"/>
                <w:sz w:val="14"/>
                <w:szCs w:val="14"/>
              </w:rPr>
            </w:pPr>
            <w:r w:rsidRPr="002D2F67">
              <w:rPr>
                <w:rFonts w:ascii="Arial" w:hAnsi="Arial" w:cs="Arial"/>
                <w:color w:val="000000"/>
                <w:sz w:val="14"/>
                <w:szCs w:val="14"/>
              </w:rPr>
              <w:t xml:space="preserve">Manufacturing and distributing related to electric vehicle’s equipment and spare parts (not commercial operations yet) </w:t>
            </w:r>
          </w:p>
        </w:tc>
        <w:tc>
          <w:tcPr>
            <w:tcW w:w="1064" w:type="dxa"/>
            <w:shd w:val="clear" w:color="auto" w:fill="auto"/>
          </w:tcPr>
          <w:p w14:paraId="3C633594" w14:textId="73C961DA" w:rsidR="001C6151" w:rsidRPr="002D2F67" w:rsidRDefault="00CD5714" w:rsidP="001C6151">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99</w:t>
            </w:r>
            <w:r w:rsidR="001C6151" w:rsidRPr="002D2F67">
              <w:rPr>
                <w:rFonts w:ascii="Arial" w:hAnsi="Arial" w:cs="Arial"/>
                <w:color w:val="000000"/>
                <w:sz w:val="14"/>
                <w:szCs w:val="14"/>
                <w:lang w:bidi="th-TH"/>
              </w:rPr>
              <w:t>.</w:t>
            </w:r>
            <w:r w:rsidRPr="00CD5714">
              <w:rPr>
                <w:rFonts w:ascii="Arial" w:hAnsi="Arial" w:cs="Arial"/>
                <w:color w:val="000000"/>
                <w:sz w:val="14"/>
                <w:szCs w:val="14"/>
                <w:lang w:val="en-GB" w:bidi="th-TH"/>
              </w:rPr>
              <w:t>79</w:t>
            </w:r>
          </w:p>
        </w:tc>
        <w:tc>
          <w:tcPr>
            <w:tcW w:w="1065" w:type="dxa"/>
            <w:shd w:val="clear" w:color="auto" w:fill="auto"/>
          </w:tcPr>
          <w:p w14:paraId="450B4F59" w14:textId="7711FF95" w:rsidR="001C6151" w:rsidRPr="002D2F67" w:rsidRDefault="00CD5714" w:rsidP="001C6151">
            <w:pPr>
              <w:pStyle w:val="acctfourfigures"/>
              <w:tabs>
                <w:tab w:val="left" w:pos="720"/>
              </w:tabs>
              <w:spacing w:line="240" w:lineRule="auto"/>
              <w:ind w:right="-72"/>
              <w:jc w:val="right"/>
              <w:rPr>
                <w:rFonts w:ascii="Arial" w:eastAsia="Arial Unicode MS" w:hAnsi="Arial" w:cs="Arial"/>
                <w:color w:val="000000"/>
                <w:sz w:val="14"/>
                <w:szCs w:val="14"/>
              </w:rPr>
            </w:pPr>
            <w:r w:rsidRPr="00CD5714">
              <w:rPr>
                <w:rFonts w:ascii="Arial" w:hAnsi="Arial" w:cs="Arial"/>
                <w:color w:val="000000"/>
                <w:sz w:val="14"/>
                <w:szCs w:val="14"/>
                <w:lang w:val="en-GB" w:bidi="th-TH"/>
              </w:rPr>
              <w:t>99</w:t>
            </w:r>
            <w:r w:rsidR="001C6151" w:rsidRPr="002D2F67">
              <w:rPr>
                <w:rFonts w:ascii="Arial" w:hAnsi="Arial" w:cs="Arial"/>
                <w:color w:val="000000"/>
                <w:sz w:val="14"/>
                <w:szCs w:val="14"/>
                <w:lang w:bidi="th-TH"/>
              </w:rPr>
              <w:t>.</w:t>
            </w:r>
            <w:r w:rsidRPr="00CD5714">
              <w:rPr>
                <w:rFonts w:ascii="Arial" w:hAnsi="Arial" w:cs="Arial"/>
                <w:color w:val="000000"/>
                <w:sz w:val="14"/>
                <w:szCs w:val="14"/>
                <w:lang w:val="en-GB" w:bidi="th-TH"/>
              </w:rPr>
              <w:t>70</w:t>
            </w:r>
          </w:p>
        </w:tc>
        <w:tc>
          <w:tcPr>
            <w:tcW w:w="1063" w:type="dxa"/>
            <w:shd w:val="clear" w:color="auto" w:fill="auto"/>
          </w:tcPr>
          <w:p w14:paraId="5DEFE857" w14:textId="44F8EA8D" w:rsidR="001C6151" w:rsidRPr="002D2F67" w:rsidRDefault="00CD5714" w:rsidP="001C6151">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100</w:t>
            </w:r>
          </w:p>
        </w:tc>
        <w:tc>
          <w:tcPr>
            <w:tcW w:w="1064" w:type="dxa"/>
            <w:shd w:val="clear" w:color="auto" w:fill="auto"/>
          </w:tcPr>
          <w:p w14:paraId="57B137BB" w14:textId="01E6F6FE" w:rsidR="001C6151" w:rsidRPr="002D2F67" w:rsidRDefault="00CD5714" w:rsidP="001C6151">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100</w:t>
            </w:r>
          </w:p>
        </w:tc>
        <w:tc>
          <w:tcPr>
            <w:tcW w:w="1064" w:type="dxa"/>
            <w:shd w:val="clear" w:color="auto" w:fill="auto"/>
          </w:tcPr>
          <w:p w14:paraId="44B3F0E0" w14:textId="0FAA29A3" w:rsidR="001C6151" w:rsidRPr="002D2F67" w:rsidRDefault="00CD5714" w:rsidP="001C6151">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100</w:t>
            </w:r>
          </w:p>
        </w:tc>
        <w:tc>
          <w:tcPr>
            <w:tcW w:w="1063" w:type="dxa"/>
            <w:shd w:val="clear" w:color="auto" w:fill="auto"/>
          </w:tcPr>
          <w:p w14:paraId="462CA973" w14:textId="7F70FB64" w:rsidR="001C6151" w:rsidRPr="002D2F67" w:rsidRDefault="00CD5714" w:rsidP="001C6151">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100</w:t>
            </w:r>
          </w:p>
        </w:tc>
        <w:tc>
          <w:tcPr>
            <w:tcW w:w="1064" w:type="dxa"/>
            <w:shd w:val="clear" w:color="auto" w:fill="auto"/>
          </w:tcPr>
          <w:p w14:paraId="3A6D8615" w14:textId="4649C24B" w:rsidR="001C6151" w:rsidRPr="002D2F67" w:rsidRDefault="001C6151" w:rsidP="001C6151">
            <w:pPr>
              <w:pStyle w:val="acctfourfigures"/>
              <w:tabs>
                <w:tab w:val="decimal" w:pos="533"/>
              </w:tabs>
              <w:spacing w:line="240" w:lineRule="auto"/>
              <w:ind w:right="-72"/>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097" w:type="dxa"/>
            <w:shd w:val="clear" w:color="auto" w:fill="auto"/>
          </w:tcPr>
          <w:p w14:paraId="16BD9D49" w14:textId="57C0C2EE" w:rsidR="001C6151" w:rsidRPr="002D2F67" w:rsidRDefault="001C6151" w:rsidP="001C6151">
            <w:pPr>
              <w:pStyle w:val="acctfourfigures"/>
              <w:tabs>
                <w:tab w:val="decimal" w:pos="533"/>
              </w:tabs>
              <w:spacing w:line="240" w:lineRule="auto"/>
              <w:ind w:right="-72"/>
              <w:jc w:val="right"/>
              <w:rPr>
                <w:rFonts w:ascii="Arial" w:hAnsi="Arial" w:cs="Arial"/>
                <w:color w:val="000000"/>
                <w:sz w:val="14"/>
                <w:szCs w:val="14"/>
                <w:lang w:bidi="th-TH"/>
              </w:rPr>
            </w:pPr>
            <w:r w:rsidRPr="002D2F67">
              <w:rPr>
                <w:rFonts w:ascii="Arial" w:hAnsi="Arial" w:cs="Arial"/>
                <w:color w:val="000000"/>
                <w:sz w:val="14"/>
                <w:szCs w:val="14"/>
                <w:lang w:bidi="th-TH"/>
              </w:rPr>
              <w:t>-</w:t>
            </w:r>
          </w:p>
        </w:tc>
      </w:tr>
      <w:tr w:rsidR="007A1558" w:rsidRPr="002D2F67" w14:paraId="6AD1D9F1" w14:textId="77777777" w:rsidTr="003E7A47">
        <w:trPr>
          <w:cantSplit/>
        </w:trPr>
        <w:tc>
          <w:tcPr>
            <w:tcW w:w="3286" w:type="dxa"/>
            <w:shd w:val="clear" w:color="auto" w:fill="auto"/>
          </w:tcPr>
          <w:p w14:paraId="3A601BD2" w14:textId="252433A8" w:rsidR="007A1558" w:rsidRPr="002D2F67" w:rsidRDefault="009647D0" w:rsidP="005611FE">
            <w:pPr>
              <w:ind w:left="-73"/>
              <w:rPr>
                <w:rFonts w:ascii="Arial" w:hAnsi="Arial" w:cs="Arial"/>
                <w:color w:val="000000"/>
                <w:sz w:val="14"/>
                <w:szCs w:val="14"/>
              </w:rPr>
            </w:pPr>
            <w:r w:rsidRPr="002D2F67">
              <w:rPr>
                <w:rFonts w:ascii="Arial" w:hAnsi="Arial" w:cs="Arial"/>
                <w:color w:val="000000"/>
                <w:sz w:val="14"/>
                <w:szCs w:val="14"/>
              </w:rPr>
              <w:t>TC Renewable Energy Co., Ltd.</w:t>
            </w:r>
          </w:p>
        </w:tc>
        <w:tc>
          <w:tcPr>
            <w:tcW w:w="3050" w:type="dxa"/>
            <w:shd w:val="clear" w:color="auto" w:fill="auto"/>
          </w:tcPr>
          <w:p w14:paraId="14182122" w14:textId="52149739" w:rsidR="007A1558" w:rsidRPr="002D2F67" w:rsidRDefault="00821A72" w:rsidP="005611FE">
            <w:pPr>
              <w:ind w:left="122" w:hanging="122"/>
              <w:rPr>
                <w:rFonts w:ascii="Arial" w:hAnsi="Arial" w:cs="Arial"/>
                <w:color w:val="000000"/>
                <w:sz w:val="14"/>
                <w:szCs w:val="14"/>
              </w:rPr>
            </w:pPr>
            <w:r w:rsidRPr="002D2F67">
              <w:rPr>
                <w:rFonts w:ascii="Arial" w:hAnsi="Arial" w:cs="Arial"/>
                <w:color w:val="000000"/>
                <w:sz w:val="14"/>
                <w:szCs w:val="14"/>
              </w:rPr>
              <w:t>Design and installation of solar energy systems, sale of equipment, and electric buses</w:t>
            </w:r>
          </w:p>
        </w:tc>
        <w:tc>
          <w:tcPr>
            <w:tcW w:w="1064" w:type="dxa"/>
            <w:shd w:val="clear" w:color="auto" w:fill="auto"/>
          </w:tcPr>
          <w:p w14:paraId="7CBBC0A8" w14:textId="59C1F6EB" w:rsidR="007A1558" w:rsidRPr="002D2F67" w:rsidRDefault="00CD5714" w:rsidP="005611FE">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40</w:t>
            </w:r>
            <w:r w:rsidR="001D034C" w:rsidRPr="002D2F67">
              <w:rPr>
                <w:rFonts w:ascii="Arial" w:hAnsi="Arial" w:cs="Arial"/>
                <w:color w:val="000000"/>
                <w:sz w:val="14"/>
                <w:szCs w:val="14"/>
                <w:lang w:bidi="th-TH"/>
              </w:rPr>
              <w:t>.</w:t>
            </w:r>
            <w:r w:rsidRPr="00CD5714">
              <w:rPr>
                <w:rFonts w:ascii="Arial" w:hAnsi="Arial" w:cs="Arial"/>
                <w:color w:val="000000"/>
                <w:sz w:val="14"/>
                <w:szCs w:val="14"/>
                <w:lang w:val="en-GB" w:bidi="th-TH"/>
              </w:rPr>
              <w:t>00</w:t>
            </w:r>
          </w:p>
        </w:tc>
        <w:tc>
          <w:tcPr>
            <w:tcW w:w="1065" w:type="dxa"/>
            <w:shd w:val="clear" w:color="auto" w:fill="auto"/>
          </w:tcPr>
          <w:p w14:paraId="49DAECC9" w14:textId="2B197115" w:rsidR="007A1558" w:rsidRPr="002D2F67" w:rsidRDefault="001C6151" w:rsidP="005611FE">
            <w:pPr>
              <w:pStyle w:val="acctfourfigures"/>
              <w:tabs>
                <w:tab w:val="left" w:pos="720"/>
              </w:tabs>
              <w:spacing w:line="240" w:lineRule="auto"/>
              <w:ind w:right="-72"/>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063" w:type="dxa"/>
            <w:shd w:val="clear" w:color="auto" w:fill="auto"/>
          </w:tcPr>
          <w:p w14:paraId="6EBAA951" w14:textId="57B5F611" w:rsidR="007A1558" w:rsidRPr="002D2F67" w:rsidRDefault="00CD5714" w:rsidP="005611FE">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386</w:t>
            </w:r>
            <w:r w:rsidR="001C6151" w:rsidRPr="002D2F67">
              <w:rPr>
                <w:rFonts w:ascii="Arial" w:hAnsi="Arial" w:cs="Arial"/>
                <w:color w:val="000000"/>
                <w:sz w:val="14"/>
                <w:szCs w:val="14"/>
                <w:lang w:bidi="th-TH"/>
              </w:rPr>
              <w:t>,</w:t>
            </w:r>
            <w:r w:rsidRPr="00CD5714">
              <w:rPr>
                <w:rFonts w:ascii="Arial" w:hAnsi="Arial" w:cs="Arial"/>
                <w:color w:val="000000"/>
                <w:sz w:val="14"/>
                <w:szCs w:val="14"/>
                <w:lang w:val="en-GB" w:bidi="th-TH"/>
              </w:rPr>
              <w:t>667</w:t>
            </w:r>
          </w:p>
        </w:tc>
        <w:tc>
          <w:tcPr>
            <w:tcW w:w="1064" w:type="dxa"/>
            <w:shd w:val="clear" w:color="auto" w:fill="auto"/>
          </w:tcPr>
          <w:p w14:paraId="09FE8183" w14:textId="1B3DB3AF" w:rsidR="007A1558" w:rsidRPr="002D2F67" w:rsidRDefault="001C6151" w:rsidP="005611FE">
            <w:pPr>
              <w:pStyle w:val="acctfourfigures"/>
              <w:tabs>
                <w:tab w:val="left" w:pos="720"/>
              </w:tabs>
              <w:spacing w:line="240" w:lineRule="auto"/>
              <w:ind w:right="-72"/>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064" w:type="dxa"/>
            <w:shd w:val="clear" w:color="auto" w:fill="auto"/>
          </w:tcPr>
          <w:p w14:paraId="03BB4673" w14:textId="296C0A32" w:rsidR="007A1558" w:rsidRPr="002D2F67" w:rsidRDefault="00CD5714" w:rsidP="005611FE">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362</w:t>
            </w:r>
            <w:r w:rsidR="001C6151" w:rsidRPr="002D2F67">
              <w:rPr>
                <w:rFonts w:ascii="Arial" w:hAnsi="Arial" w:cs="Arial"/>
                <w:color w:val="000000"/>
                <w:sz w:val="14"/>
                <w:szCs w:val="14"/>
                <w:lang w:bidi="th-TH"/>
              </w:rPr>
              <w:t>,</w:t>
            </w:r>
            <w:r w:rsidRPr="00CD5714">
              <w:rPr>
                <w:rFonts w:ascii="Arial" w:hAnsi="Arial" w:cs="Arial"/>
                <w:color w:val="000000"/>
                <w:sz w:val="14"/>
                <w:szCs w:val="14"/>
                <w:lang w:val="en-GB" w:bidi="th-TH"/>
              </w:rPr>
              <w:t>424</w:t>
            </w:r>
          </w:p>
        </w:tc>
        <w:tc>
          <w:tcPr>
            <w:tcW w:w="1063" w:type="dxa"/>
            <w:shd w:val="clear" w:color="auto" w:fill="auto"/>
          </w:tcPr>
          <w:p w14:paraId="428A64AC" w14:textId="7B9BB40B" w:rsidR="007A1558" w:rsidRPr="002D2F67" w:rsidRDefault="001C6151" w:rsidP="005611FE">
            <w:pPr>
              <w:pStyle w:val="acctfourfigures"/>
              <w:tabs>
                <w:tab w:val="left" w:pos="720"/>
              </w:tabs>
              <w:spacing w:line="240" w:lineRule="auto"/>
              <w:ind w:right="-72"/>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064" w:type="dxa"/>
            <w:shd w:val="clear" w:color="auto" w:fill="auto"/>
          </w:tcPr>
          <w:p w14:paraId="5244EB7B" w14:textId="16AF93B6" w:rsidR="007A1558" w:rsidRPr="002D2F67" w:rsidRDefault="001C6151" w:rsidP="005611FE">
            <w:pPr>
              <w:pStyle w:val="acctfourfigures"/>
              <w:tabs>
                <w:tab w:val="decimal" w:pos="533"/>
              </w:tabs>
              <w:spacing w:line="240" w:lineRule="auto"/>
              <w:ind w:right="-72"/>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097" w:type="dxa"/>
            <w:shd w:val="clear" w:color="auto" w:fill="auto"/>
          </w:tcPr>
          <w:p w14:paraId="390AB516" w14:textId="58B0C07C" w:rsidR="007A1558" w:rsidRPr="002D2F67" w:rsidRDefault="001C6151" w:rsidP="005611FE">
            <w:pPr>
              <w:pStyle w:val="acctfourfigures"/>
              <w:tabs>
                <w:tab w:val="decimal" w:pos="533"/>
              </w:tabs>
              <w:spacing w:line="240" w:lineRule="auto"/>
              <w:ind w:right="-72"/>
              <w:jc w:val="right"/>
              <w:rPr>
                <w:rFonts w:ascii="Arial" w:hAnsi="Arial" w:cs="Arial"/>
                <w:color w:val="000000"/>
                <w:sz w:val="14"/>
                <w:szCs w:val="14"/>
                <w:lang w:bidi="th-TH"/>
              </w:rPr>
            </w:pPr>
            <w:r w:rsidRPr="002D2F67">
              <w:rPr>
                <w:rFonts w:ascii="Arial" w:hAnsi="Arial" w:cs="Arial"/>
                <w:color w:val="000000"/>
                <w:sz w:val="14"/>
                <w:szCs w:val="14"/>
                <w:lang w:bidi="th-TH"/>
              </w:rPr>
              <w:t>-</w:t>
            </w:r>
          </w:p>
        </w:tc>
      </w:tr>
      <w:tr w:rsidR="00452BD6" w:rsidRPr="002D2F67" w14:paraId="3720F445" w14:textId="77777777" w:rsidTr="003E7A47">
        <w:trPr>
          <w:cantSplit/>
        </w:trPr>
        <w:tc>
          <w:tcPr>
            <w:tcW w:w="3286" w:type="dxa"/>
            <w:shd w:val="clear" w:color="auto" w:fill="auto"/>
          </w:tcPr>
          <w:p w14:paraId="479136E5" w14:textId="580B857F" w:rsidR="00452BD6" w:rsidRPr="002D2F67" w:rsidRDefault="00C9141A" w:rsidP="005611FE">
            <w:pPr>
              <w:ind w:left="-73"/>
              <w:rPr>
                <w:rFonts w:ascii="Arial" w:hAnsi="Arial" w:cs="Arial"/>
                <w:color w:val="000000"/>
                <w:sz w:val="14"/>
                <w:szCs w:val="14"/>
              </w:rPr>
            </w:pPr>
            <w:r w:rsidRPr="002D2F67">
              <w:rPr>
                <w:rFonts w:ascii="Arial" w:hAnsi="Arial" w:cs="Arial"/>
                <w:color w:val="000000"/>
                <w:sz w:val="14"/>
                <w:szCs w:val="14"/>
              </w:rPr>
              <w:t xml:space="preserve">Terabyte Plus </w:t>
            </w:r>
            <w:r w:rsidR="0003544A" w:rsidRPr="002D2F67">
              <w:rPr>
                <w:rFonts w:ascii="Arial" w:hAnsi="Arial" w:cs="Arial"/>
                <w:color w:val="000000"/>
                <w:sz w:val="14"/>
                <w:szCs w:val="14"/>
              </w:rPr>
              <w:t>Public Co., Ltd.</w:t>
            </w:r>
            <w:r w:rsidR="00135AD9" w:rsidRPr="002D2F67">
              <w:rPr>
                <w:rFonts w:ascii="Arial" w:hAnsi="Arial" w:cs="Arial"/>
                <w:color w:val="000000"/>
                <w:sz w:val="14"/>
                <w:szCs w:val="14"/>
              </w:rPr>
              <w:t xml:space="preserve"> </w:t>
            </w:r>
            <w:r w:rsidR="00135AD9" w:rsidRPr="002D2F67">
              <w:rPr>
                <w:rFonts w:ascii="Arial" w:hAnsi="Arial" w:cs="Arial"/>
                <w:color w:val="000000"/>
                <w:sz w:val="14"/>
                <w:szCs w:val="14"/>
                <w:vertAlign w:val="superscript"/>
              </w:rPr>
              <w:t>(</w:t>
            </w:r>
            <w:r w:rsidR="00CD5714" w:rsidRPr="00CD5714">
              <w:rPr>
                <w:rFonts w:ascii="Arial" w:hAnsi="Arial" w:cs="Arial"/>
                <w:color w:val="000000"/>
                <w:sz w:val="14"/>
                <w:szCs w:val="14"/>
                <w:vertAlign w:val="superscript"/>
                <w:lang w:val="en-GB"/>
              </w:rPr>
              <w:t>1</w:t>
            </w:r>
            <w:r w:rsidR="00135AD9" w:rsidRPr="002D2F67">
              <w:rPr>
                <w:rFonts w:ascii="Arial" w:hAnsi="Arial" w:cs="Arial"/>
                <w:color w:val="000000"/>
                <w:sz w:val="14"/>
                <w:szCs w:val="14"/>
                <w:vertAlign w:val="superscript"/>
              </w:rPr>
              <w:t>)</w:t>
            </w:r>
          </w:p>
          <w:p w14:paraId="1778F4AB" w14:textId="46BA2655" w:rsidR="00452BD6" w:rsidRPr="002D2F67" w:rsidRDefault="000938E2" w:rsidP="005611FE">
            <w:pPr>
              <w:ind w:left="-73"/>
              <w:rPr>
                <w:rFonts w:ascii="Arial" w:hAnsi="Arial" w:cs="Arial"/>
                <w:color w:val="000000"/>
                <w:sz w:val="14"/>
                <w:szCs w:val="14"/>
              </w:rPr>
            </w:pPr>
            <w:r w:rsidRPr="002D2F67">
              <w:rPr>
                <w:rFonts w:ascii="Arial" w:hAnsi="Arial" w:cs="Arial"/>
                <w:color w:val="000000"/>
                <w:sz w:val="14"/>
                <w:szCs w:val="14"/>
              </w:rPr>
              <w:t xml:space="preserve">   (direct subsidiary of Nex Point Public Co., Ltd.)</w:t>
            </w:r>
          </w:p>
        </w:tc>
        <w:tc>
          <w:tcPr>
            <w:tcW w:w="3050" w:type="dxa"/>
            <w:shd w:val="clear" w:color="auto" w:fill="auto"/>
          </w:tcPr>
          <w:p w14:paraId="164EF62D" w14:textId="234801DE" w:rsidR="00452BD6" w:rsidRPr="002D2F67" w:rsidRDefault="007560C5" w:rsidP="005611FE">
            <w:pPr>
              <w:ind w:left="122" w:hanging="122"/>
              <w:rPr>
                <w:rFonts w:ascii="Arial" w:hAnsi="Arial" w:cs="Arial"/>
                <w:color w:val="000000"/>
                <w:sz w:val="14"/>
                <w:szCs w:val="14"/>
              </w:rPr>
            </w:pPr>
            <w:r w:rsidRPr="002D2F67">
              <w:rPr>
                <w:rFonts w:ascii="Arial" w:hAnsi="Arial" w:cs="Arial"/>
                <w:color w:val="000000"/>
                <w:sz w:val="14"/>
                <w:szCs w:val="14"/>
              </w:rPr>
              <w:t>Sale of hardware, software, and provision of installation and consulting services related to computer systems</w:t>
            </w:r>
          </w:p>
        </w:tc>
        <w:tc>
          <w:tcPr>
            <w:tcW w:w="1064" w:type="dxa"/>
            <w:shd w:val="clear" w:color="auto" w:fill="auto"/>
          </w:tcPr>
          <w:p w14:paraId="6E46DCB5" w14:textId="0FC7B500" w:rsidR="00452BD6" w:rsidRPr="002D2F67" w:rsidRDefault="00CD5714" w:rsidP="005611FE">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4</w:t>
            </w:r>
            <w:r w:rsidR="001D034C" w:rsidRPr="002D2F67">
              <w:rPr>
                <w:rFonts w:ascii="Arial" w:hAnsi="Arial" w:cs="Arial"/>
                <w:color w:val="000000"/>
                <w:sz w:val="14"/>
                <w:szCs w:val="14"/>
                <w:lang w:bidi="th-TH"/>
              </w:rPr>
              <w:t>.</w:t>
            </w:r>
            <w:r w:rsidRPr="00CD5714">
              <w:rPr>
                <w:rFonts w:ascii="Arial" w:hAnsi="Arial" w:cs="Arial"/>
                <w:color w:val="000000"/>
                <w:sz w:val="14"/>
                <w:szCs w:val="14"/>
                <w:lang w:val="en-GB" w:bidi="th-TH"/>
              </w:rPr>
              <w:t>99</w:t>
            </w:r>
          </w:p>
        </w:tc>
        <w:tc>
          <w:tcPr>
            <w:tcW w:w="1065" w:type="dxa"/>
            <w:shd w:val="clear" w:color="auto" w:fill="auto"/>
          </w:tcPr>
          <w:p w14:paraId="2F8E0D15" w14:textId="0F775469" w:rsidR="00452BD6" w:rsidRPr="002D2F67" w:rsidRDefault="001C6151" w:rsidP="005611FE">
            <w:pPr>
              <w:pStyle w:val="acctfourfigures"/>
              <w:tabs>
                <w:tab w:val="left" w:pos="720"/>
              </w:tabs>
              <w:spacing w:line="240" w:lineRule="auto"/>
              <w:ind w:right="-72"/>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063" w:type="dxa"/>
            <w:shd w:val="clear" w:color="auto" w:fill="auto"/>
          </w:tcPr>
          <w:p w14:paraId="7798A5E2" w14:textId="32C76675" w:rsidR="00452BD6" w:rsidRPr="002D2F67" w:rsidRDefault="00CD5714" w:rsidP="005611FE">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20</w:t>
            </w:r>
            <w:r w:rsidR="001C6151" w:rsidRPr="002D2F67">
              <w:rPr>
                <w:rFonts w:ascii="Arial" w:hAnsi="Arial" w:cs="Arial"/>
                <w:color w:val="000000"/>
                <w:sz w:val="14"/>
                <w:szCs w:val="14"/>
                <w:lang w:bidi="th-TH"/>
              </w:rPr>
              <w:t>,</w:t>
            </w:r>
            <w:r w:rsidRPr="00CD5714">
              <w:rPr>
                <w:rFonts w:ascii="Arial" w:hAnsi="Arial" w:cs="Arial"/>
                <w:color w:val="000000"/>
                <w:sz w:val="14"/>
                <w:szCs w:val="14"/>
                <w:lang w:val="en-GB" w:bidi="th-TH"/>
              </w:rPr>
              <w:t>943</w:t>
            </w:r>
          </w:p>
        </w:tc>
        <w:tc>
          <w:tcPr>
            <w:tcW w:w="1064" w:type="dxa"/>
            <w:shd w:val="clear" w:color="auto" w:fill="auto"/>
          </w:tcPr>
          <w:p w14:paraId="3620C557" w14:textId="2922F746" w:rsidR="00452BD6" w:rsidRPr="002D2F67" w:rsidRDefault="001C6151" w:rsidP="005611FE">
            <w:pPr>
              <w:pStyle w:val="acctfourfigures"/>
              <w:tabs>
                <w:tab w:val="left" w:pos="720"/>
              </w:tabs>
              <w:spacing w:line="240" w:lineRule="auto"/>
              <w:ind w:right="-72"/>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064" w:type="dxa"/>
            <w:shd w:val="clear" w:color="auto" w:fill="auto"/>
          </w:tcPr>
          <w:p w14:paraId="223F665C" w14:textId="3280AF06" w:rsidR="00452BD6" w:rsidRPr="002D2F67" w:rsidRDefault="00CD5714" w:rsidP="005611FE">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21</w:t>
            </w:r>
            <w:r w:rsidR="001C6151" w:rsidRPr="002D2F67">
              <w:rPr>
                <w:rFonts w:ascii="Arial" w:hAnsi="Arial" w:cs="Arial"/>
                <w:color w:val="000000"/>
                <w:sz w:val="14"/>
                <w:szCs w:val="14"/>
                <w:lang w:bidi="th-TH"/>
              </w:rPr>
              <w:t>,</w:t>
            </w:r>
            <w:r w:rsidRPr="00CD5714">
              <w:rPr>
                <w:rFonts w:ascii="Arial" w:hAnsi="Arial" w:cs="Arial"/>
                <w:color w:val="000000"/>
                <w:sz w:val="14"/>
                <w:szCs w:val="14"/>
                <w:lang w:val="en-GB" w:bidi="th-TH"/>
              </w:rPr>
              <w:t>623</w:t>
            </w:r>
          </w:p>
        </w:tc>
        <w:tc>
          <w:tcPr>
            <w:tcW w:w="1063" w:type="dxa"/>
            <w:shd w:val="clear" w:color="auto" w:fill="auto"/>
          </w:tcPr>
          <w:p w14:paraId="7546A365" w14:textId="1F5704F5" w:rsidR="00452BD6" w:rsidRPr="002D2F67" w:rsidRDefault="001C6151" w:rsidP="005611FE">
            <w:pPr>
              <w:pStyle w:val="acctfourfigures"/>
              <w:tabs>
                <w:tab w:val="left" w:pos="720"/>
              </w:tabs>
              <w:spacing w:line="240" w:lineRule="auto"/>
              <w:ind w:right="-72"/>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064" w:type="dxa"/>
            <w:shd w:val="clear" w:color="auto" w:fill="auto"/>
          </w:tcPr>
          <w:p w14:paraId="31F760F0" w14:textId="2350D6E3" w:rsidR="00452BD6" w:rsidRPr="002D2F67" w:rsidRDefault="00CD5714" w:rsidP="005611FE">
            <w:pPr>
              <w:pStyle w:val="acctfourfigures"/>
              <w:tabs>
                <w:tab w:val="decimal" w:pos="533"/>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539</w:t>
            </w:r>
          </w:p>
        </w:tc>
        <w:tc>
          <w:tcPr>
            <w:tcW w:w="1097" w:type="dxa"/>
            <w:shd w:val="clear" w:color="auto" w:fill="auto"/>
          </w:tcPr>
          <w:p w14:paraId="7A4EABC7" w14:textId="08DB1B3E" w:rsidR="00452BD6" w:rsidRPr="002D2F67" w:rsidRDefault="001C6151" w:rsidP="005611FE">
            <w:pPr>
              <w:pStyle w:val="acctfourfigures"/>
              <w:tabs>
                <w:tab w:val="decimal" w:pos="533"/>
              </w:tabs>
              <w:spacing w:line="240" w:lineRule="auto"/>
              <w:ind w:right="-72"/>
              <w:jc w:val="right"/>
              <w:rPr>
                <w:rFonts w:ascii="Arial" w:hAnsi="Arial" w:cs="Arial"/>
                <w:color w:val="000000"/>
                <w:sz w:val="14"/>
                <w:szCs w:val="14"/>
                <w:lang w:bidi="th-TH"/>
              </w:rPr>
            </w:pPr>
            <w:r w:rsidRPr="002D2F67">
              <w:rPr>
                <w:rFonts w:ascii="Arial" w:hAnsi="Arial" w:cs="Arial"/>
                <w:color w:val="000000"/>
                <w:sz w:val="14"/>
                <w:szCs w:val="14"/>
                <w:lang w:bidi="th-TH"/>
              </w:rPr>
              <w:t>-</w:t>
            </w:r>
          </w:p>
        </w:tc>
      </w:tr>
      <w:tr w:rsidR="00452BD6" w:rsidRPr="002D2F67" w14:paraId="613DDE53" w14:textId="77777777" w:rsidTr="003E7A47">
        <w:trPr>
          <w:cantSplit/>
          <w:trHeight w:val="63"/>
        </w:trPr>
        <w:tc>
          <w:tcPr>
            <w:tcW w:w="3286" w:type="dxa"/>
            <w:shd w:val="clear" w:color="auto" w:fill="auto"/>
          </w:tcPr>
          <w:p w14:paraId="5BFE21F2" w14:textId="2335A4BD" w:rsidR="00452BD6" w:rsidRPr="002D2F67" w:rsidRDefault="00452BD6" w:rsidP="002C6D67">
            <w:pPr>
              <w:ind w:left="92" w:hanging="165"/>
              <w:rPr>
                <w:rFonts w:ascii="Arial" w:hAnsi="Arial" w:cs="Arial"/>
                <w:color w:val="000000"/>
                <w:spacing w:val="-4"/>
                <w:sz w:val="14"/>
                <w:szCs w:val="14"/>
              </w:rPr>
            </w:pPr>
            <w:r w:rsidRPr="002D2F67">
              <w:rPr>
                <w:rFonts w:ascii="Arial" w:hAnsi="Arial" w:cs="Arial"/>
                <w:color w:val="000000"/>
                <w:sz w:val="14"/>
                <w:szCs w:val="14"/>
              </w:rPr>
              <w:t xml:space="preserve">Indirect associates incorporated in the Republic </w:t>
            </w:r>
            <w:r w:rsidR="002C6D67" w:rsidRPr="002D2F67">
              <w:rPr>
                <w:rFonts w:ascii="Arial" w:hAnsi="Arial" w:cs="Arial"/>
                <w:color w:val="000000"/>
                <w:sz w:val="14"/>
                <w:szCs w:val="14"/>
              </w:rPr>
              <w:br/>
            </w:r>
            <w:r w:rsidRPr="002D2F67">
              <w:rPr>
                <w:rFonts w:ascii="Arial" w:hAnsi="Arial" w:cs="Arial"/>
                <w:color w:val="000000"/>
                <w:sz w:val="14"/>
                <w:szCs w:val="14"/>
              </w:rPr>
              <w:t>of China (Taiwan)</w:t>
            </w:r>
          </w:p>
        </w:tc>
        <w:tc>
          <w:tcPr>
            <w:tcW w:w="3050" w:type="dxa"/>
            <w:shd w:val="clear" w:color="auto" w:fill="auto"/>
          </w:tcPr>
          <w:p w14:paraId="3F691E47" w14:textId="77777777" w:rsidR="00452BD6" w:rsidRPr="002D2F67" w:rsidRDefault="00452BD6" w:rsidP="005611FE">
            <w:pPr>
              <w:rPr>
                <w:rFonts w:ascii="Arial" w:hAnsi="Arial" w:cs="Arial"/>
                <w:color w:val="000000"/>
                <w:sz w:val="14"/>
                <w:szCs w:val="14"/>
              </w:rPr>
            </w:pPr>
          </w:p>
        </w:tc>
        <w:tc>
          <w:tcPr>
            <w:tcW w:w="1064" w:type="dxa"/>
            <w:shd w:val="clear" w:color="auto" w:fill="auto"/>
          </w:tcPr>
          <w:p w14:paraId="3EBB552C" w14:textId="77777777" w:rsidR="00452BD6" w:rsidRPr="002D2F67" w:rsidRDefault="00452BD6"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33BF487C" w14:textId="77777777" w:rsidR="00452BD6" w:rsidRPr="002D2F67" w:rsidRDefault="00452BD6"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3" w:type="dxa"/>
            <w:shd w:val="clear" w:color="auto" w:fill="auto"/>
          </w:tcPr>
          <w:p w14:paraId="4C4C8C2C" w14:textId="77777777" w:rsidR="00452BD6" w:rsidRPr="002D2F67" w:rsidRDefault="00452BD6"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4" w:type="dxa"/>
            <w:shd w:val="clear" w:color="auto" w:fill="auto"/>
          </w:tcPr>
          <w:p w14:paraId="2FAA46A2" w14:textId="77777777" w:rsidR="00452BD6" w:rsidRPr="002D2F67" w:rsidRDefault="00452BD6"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4" w:type="dxa"/>
            <w:shd w:val="clear" w:color="auto" w:fill="auto"/>
          </w:tcPr>
          <w:p w14:paraId="326475BE" w14:textId="77777777" w:rsidR="00452BD6" w:rsidRPr="002D2F67" w:rsidRDefault="00452BD6"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3" w:type="dxa"/>
            <w:shd w:val="clear" w:color="auto" w:fill="auto"/>
          </w:tcPr>
          <w:p w14:paraId="5305B90A" w14:textId="77777777" w:rsidR="00452BD6" w:rsidRPr="002D2F67" w:rsidRDefault="00452BD6"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4" w:type="dxa"/>
            <w:shd w:val="clear" w:color="auto" w:fill="auto"/>
          </w:tcPr>
          <w:p w14:paraId="1D988542" w14:textId="77777777" w:rsidR="00452BD6" w:rsidRPr="002D2F67" w:rsidRDefault="00452BD6" w:rsidP="005611FE">
            <w:pPr>
              <w:pStyle w:val="acctfourfigures"/>
              <w:tabs>
                <w:tab w:val="decimal" w:pos="533"/>
              </w:tabs>
              <w:spacing w:line="240" w:lineRule="auto"/>
              <w:ind w:right="-72"/>
              <w:jc w:val="right"/>
              <w:rPr>
                <w:rFonts w:ascii="Arial" w:hAnsi="Arial" w:cs="Arial"/>
                <w:color w:val="000000"/>
                <w:sz w:val="14"/>
                <w:szCs w:val="14"/>
                <w:lang w:bidi="th-TH"/>
              </w:rPr>
            </w:pPr>
          </w:p>
        </w:tc>
        <w:tc>
          <w:tcPr>
            <w:tcW w:w="1097" w:type="dxa"/>
          </w:tcPr>
          <w:p w14:paraId="7F3CF988" w14:textId="77777777" w:rsidR="00452BD6" w:rsidRPr="002D2F67" w:rsidRDefault="00452BD6" w:rsidP="005611FE">
            <w:pPr>
              <w:pStyle w:val="acctfourfigures"/>
              <w:tabs>
                <w:tab w:val="decimal" w:pos="533"/>
              </w:tabs>
              <w:spacing w:line="240" w:lineRule="auto"/>
              <w:ind w:right="-72"/>
              <w:jc w:val="right"/>
              <w:rPr>
                <w:rFonts w:ascii="Arial" w:hAnsi="Arial" w:cs="Arial"/>
                <w:color w:val="000000"/>
                <w:sz w:val="14"/>
                <w:szCs w:val="14"/>
                <w:lang w:bidi="th-TH"/>
              </w:rPr>
            </w:pPr>
          </w:p>
        </w:tc>
      </w:tr>
      <w:tr w:rsidR="003E7A47" w:rsidRPr="002D2F67" w14:paraId="764F6DCF" w14:textId="5C81F4BA" w:rsidTr="003E7A47">
        <w:trPr>
          <w:cantSplit/>
          <w:trHeight w:val="60"/>
        </w:trPr>
        <w:tc>
          <w:tcPr>
            <w:tcW w:w="6336" w:type="dxa"/>
            <w:gridSpan w:val="2"/>
            <w:shd w:val="clear" w:color="auto" w:fill="auto"/>
            <w:hideMark/>
          </w:tcPr>
          <w:p w14:paraId="1D87032D" w14:textId="23BB349F" w:rsidR="003E7A47" w:rsidRPr="002D2F67" w:rsidRDefault="003E7A47" w:rsidP="005611FE">
            <w:pPr>
              <w:ind w:left="-73"/>
              <w:rPr>
                <w:rFonts w:ascii="Arial" w:hAnsi="Arial" w:cs="Arial"/>
                <w:color w:val="000000"/>
                <w:sz w:val="14"/>
                <w:szCs w:val="14"/>
              </w:rPr>
            </w:pPr>
          </w:p>
        </w:tc>
        <w:tc>
          <w:tcPr>
            <w:tcW w:w="1064" w:type="dxa"/>
            <w:shd w:val="clear" w:color="auto" w:fill="auto"/>
          </w:tcPr>
          <w:p w14:paraId="5F9193D6" w14:textId="77777777" w:rsidR="003E7A47" w:rsidRPr="002D2F67" w:rsidRDefault="003E7A47"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6EE16550" w14:textId="77777777" w:rsidR="003E7A47" w:rsidRPr="002D2F67" w:rsidRDefault="003E7A47"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3" w:type="dxa"/>
            <w:shd w:val="clear" w:color="auto" w:fill="auto"/>
          </w:tcPr>
          <w:p w14:paraId="57F88F78" w14:textId="77777777" w:rsidR="003E7A47" w:rsidRPr="002D2F67" w:rsidRDefault="003E7A47"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4" w:type="dxa"/>
            <w:shd w:val="clear" w:color="auto" w:fill="auto"/>
          </w:tcPr>
          <w:p w14:paraId="75A4CD86" w14:textId="77777777" w:rsidR="003E7A47" w:rsidRPr="002D2F67" w:rsidRDefault="003E7A47"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4" w:type="dxa"/>
            <w:shd w:val="clear" w:color="auto" w:fill="auto"/>
          </w:tcPr>
          <w:p w14:paraId="4E6D9334" w14:textId="77777777" w:rsidR="003E7A47" w:rsidRPr="002D2F67" w:rsidRDefault="003E7A47"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3" w:type="dxa"/>
            <w:shd w:val="clear" w:color="auto" w:fill="auto"/>
          </w:tcPr>
          <w:p w14:paraId="5CB4FFBD" w14:textId="77777777" w:rsidR="003E7A47" w:rsidRPr="002D2F67" w:rsidRDefault="003E7A47"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4" w:type="dxa"/>
            <w:shd w:val="clear" w:color="auto" w:fill="auto"/>
          </w:tcPr>
          <w:p w14:paraId="26C3EB4D" w14:textId="77777777" w:rsidR="003E7A47" w:rsidRPr="002D2F67" w:rsidRDefault="003E7A47"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97" w:type="dxa"/>
            <w:shd w:val="clear" w:color="auto" w:fill="auto"/>
          </w:tcPr>
          <w:p w14:paraId="4526A331" w14:textId="77777777" w:rsidR="003E7A47" w:rsidRPr="002D2F67" w:rsidRDefault="003E7A47" w:rsidP="005611FE">
            <w:pPr>
              <w:pStyle w:val="acctfourfigures"/>
              <w:tabs>
                <w:tab w:val="decimal" w:pos="533"/>
              </w:tabs>
              <w:spacing w:line="240" w:lineRule="auto"/>
              <w:ind w:right="-72"/>
              <w:jc w:val="right"/>
              <w:rPr>
                <w:rFonts w:ascii="Arial" w:hAnsi="Arial" w:cs="Arial"/>
                <w:color w:val="000000"/>
                <w:sz w:val="14"/>
                <w:szCs w:val="14"/>
                <w:lang w:bidi="th-TH"/>
              </w:rPr>
            </w:pPr>
          </w:p>
        </w:tc>
      </w:tr>
      <w:tr w:rsidR="00452BD6" w:rsidRPr="002D2F67" w14:paraId="7AFA67CE" w14:textId="77777777" w:rsidTr="003E7A47">
        <w:trPr>
          <w:cantSplit/>
        </w:trPr>
        <w:tc>
          <w:tcPr>
            <w:tcW w:w="3286" w:type="dxa"/>
            <w:shd w:val="clear" w:color="auto" w:fill="auto"/>
          </w:tcPr>
          <w:p w14:paraId="60348453" w14:textId="2DD7F0FA" w:rsidR="00452BD6" w:rsidRPr="002D2F67" w:rsidRDefault="00452BD6" w:rsidP="005611FE">
            <w:pPr>
              <w:ind w:left="-73"/>
              <w:rPr>
                <w:rFonts w:ascii="Arial" w:eastAsia="Arial Unicode MS" w:hAnsi="Arial" w:cs="Arial"/>
                <w:color w:val="000000"/>
                <w:spacing w:val="-2"/>
                <w:sz w:val="14"/>
                <w:szCs w:val="14"/>
              </w:rPr>
            </w:pPr>
            <w:r w:rsidRPr="002D2F67">
              <w:rPr>
                <w:rFonts w:ascii="Arial" w:eastAsia="Arial Unicode MS" w:hAnsi="Arial" w:cs="Arial"/>
                <w:color w:val="000000"/>
                <w:spacing w:val="-2"/>
                <w:sz w:val="14"/>
                <w:szCs w:val="14"/>
              </w:rPr>
              <w:t>Wan Meng Automatic Precision Co., Ltd.</w:t>
            </w:r>
          </w:p>
        </w:tc>
        <w:tc>
          <w:tcPr>
            <w:tcW w:w="3050" w:type="dxa"/>
            <w:shd w:val="clear" w:color="auto" w:fill="auto"/>
          </w:tcPr>
          <w:p w14:paraId="59C5542B" w14:textId="73B37599" w:rsidR="00452BD6" w:rsidRPr="002D2F67" w:rsidRDefault="00452BD6" w:rsidP="005611FE">
            <w:pPr>
              <w:ind w:left="204" w:hanging="204"/>
              <w:rPr>
                <w:rFonts w:ascii="Arial" w:hAnsi="Arial" w:cs="Arial"/>
                <w:color w:val="000000"/>
                <w:sz w:val="14"/>
                <w:szCs w:val="14"/>
              </w:rPr>
            </w:pPr>
            <w:r w:rsidRPr="002D2F67">
              <w:rPr>
                <w:rFonts w:ascii="Arial" w:hAnsi="Arial" w:cs="Arial"/>
                <w:color w:val="000000"/>
                <w:sz w:val="14"/>
                <w:szCs w:val="14"/>
              </w:rPr>
              <w:t>Distributing electric equipment and machinery</w:t>
            </w:r>
          </w:p>
        </w:tc>
        <w:tc>
          <w:tcPr>
            <w:tcW w:w="1064" w:type="dxa"/>
            <w:shd w:val="clear" w:color="auto" w:fill="auto"/>
          </w:tcPr>
          <w:p w14:paraId="023AE4AB" w14:textId="311F4BA1" w:rsidR="00452BD6" w:rsidRPr="002D2F67" w:rsidRDefault="00CD5714" w:rsidP="005611FE">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36</w:t>
            </w:r>
            <w:r w:rsidR="001C6151" w:rsidRPr="002D2F67">
              <w:rPr>
                <w:rFonts w:ascii="Arial" w:hAnsi="Arial" w:cs="Arial"/>
                <w:color w:val="000000"/>
                <w:sz w:val="14"/>
                <w:szCs w:val="14"/>
                <w:lang w:bidi="th-TH"/>
              </w:rPr>
              <w:t>.</w:t>
            </w:r>
            <w:r w:rsidRPr="00CD5714">
              <w:rPr>
                <w:rFonts w:ascii="Arial" w:hAnsi="Arial" w:cs="Arial"/>
                <w:color w:val="000000"/>
                <w:sz w:val="14"/>
                <w:szCs w:val="14"/>
                <w:lang w:val="en-GB" w:bidi="th-TH"/>
              </w:rPr>
              <w:t>04</w:t>
            </w:r>
          </w:p>
        </w:tc>
        <w:tc>
          <w:tcPr>
            <w:tcW w:w="1065" w:type="dxa"/>
            <w:shd w:val="clear" w:color="auto" w:fill="auto"/>
          </w:tcPr>
          <w:p w14:paraId="28632EF1" w14:textId="14EE64B1" w:rsidR="00452BD6" w:rsidRPr="002D2F67" w:rsidRDefault="00CD5714" w:rsidP="005611FE">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36</w:t>
            </w:r>
            <w:r w:rsidR="00452BD6" w:rsidRPr="002D2F67">
              <w:rPr>
                <w:rFonts w:ascii="Arial" w:hAnsi="Arial" w:cs="Arial"/>
                <w:color w:val="000000"/>
                <w:sz w:val="14"/>
                <w:szCs w:val="14"/>
                <w:lang w:bidi="th-TH"/>
              </w:rPr>
              <w:t>.</w:t>
            </w:r>
            <w:r w:rsidRPr="00CD5714">
              <w:rPr>
                <w:rFonts w:ascii="Arial" w:hAnsi="Arial" w:cs="Arial"/>
                <w:color w:val="000000"/>
                <w:sz w:val="14"/>
                <w:szCs w:val="14"/>
                <w:lang w:val="en-GB" w:bidi="th-TH"/>
              </w:rPr>
              <w:t>04</w:t>
            </w:r>
          </w:p>
        </w:tc>
        <w:tc>
          <w:tcPr>
            <w:tcW w:w="1063" w:type="dxa"/>
            <w:tcBorders>
              <w:bottom w:val="single" w:sz="4" w:space="0" w:color="auto"/>
            </w:tcBorders>
            <w:shd w:val="clear" w:color="auto" w:fill="auto"/>
          </w:tcPr>
          <w:p w14:paraId="000C9D96" w14:textId="7BD3516B" w:rsidR="00452BD6" w:rsidRPr="002D2F67" w:rsidRDefault="00CD5714" w:rsidP="005611FE">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39</w:t>
            </w:r>
            <w:r w:rsidR="001C6151" w:rsidRPr="002D2F67">
              <w:rPr>
                <w:rFonts w:ascii="Arial" w:hAnsi="Arial" w:cs="Arial"/>
                <w:color w:val="000000"/>
                <w:sz w:val="14"/>
                <w:szCs w:val="14"/>
                <w:lang w:bidi="th-TH"/>
              </w:rPr>
              <w:t>,</w:t>
            </w:r>
            <w:r w:rsidRPr="00CD5714">
              <w:rPr>
                <w:rFonts w:ascii="Arial" w:hAnsi="Arial" w:cs="Arial"/>
                <w:color w:val="000000"/>
                <w:sz w:val="14"/>
                <w:szCs w:val="14"/>
                <w:lang w:val="en-GB" w:bidi="th-TH"/>
              </w:rPr>
              <w:t>988</w:t>
            </w:r>
          </w:p>
        </w:tc>
        <w:tc>
          <w:tcPr>
            <w:tcW w:w="1064" w:type="dxa"/>
            <w:tcBorders>
              <w:bottom w:val="single" w:sz="4" w:space="0" w:color="auto"/>
            </w:tcBorders>
            <w:shd w:val="clear" w:color="auto" w:fill="auto"/>
          </w:tcPr>
          <w:p w14:paraId="7F06394A" w14:textId="33C556F8" w:rsidR="00452BD6" w:rsidRPr="002D2F67" w:rsidRDefault="00CD5714" w:rsidP="005611FE">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39</w:t>
            </w:r>
            <w:r w:rsidR="00452BD6" w:rsidRPr="002D2F67">
              <w:rPr>
                <w:rFonts w:ascii="Arial" w:hAnsi="Arial" w:cs="Arial"/>
                <w:color w:val="000000"/>
                <w:sz w:val="14"/>
                <w:szCs w:val="14"/>
                <w:lang w:bidi="th-TH"/>
              </w:rPr>
              <w:t>,</w:t>
            </w:r>
            <w:r w:rsidRPr="00CD5714">
              <w:rPr>
                <w:rFonts w:ascii="Arial" w:hAnsi="Arial" w:cs="Arial"/>
                <w:color w:val="000000"/>
                <w:sz w:val="14"/>
                <w:szCs w:val="14"/>
                <w:lang w:val="en-GB" w:bidi="th-TH"/>
              </w:rPr>
              <w:t>988</w:t>
            </w:r>
          </w:p>
        </w:tc>
        <w:tc>
          <w:tcPr>
            <w:tcW w:w="1064" w:type="dxa"/>
            <w:tcBorders>
              <w:bottom w:val="single" w:sz="4" w:space="0" w:color="auto"/>
            </w:tcBorders>
            <w:shd w:val="clear" w:color="auto" w:fill="auto"/>
          </w:tcPr>
          <w:p w14:paraId="2CD0B5C2" w14:textId="36D44224" w:rsidR="00452BD6" w:rsidRPr="002D2F67" w:rsidRDefault="00CD5714" w:rsidP="005611FE">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32</w:t>
            </w:r>
            <w:r w:rsidR="001C6151" w:rsidRPr="002D2F67">
              <w:rPr>
                <w:rFonts w:ascii="Arial" w:hAnsi="Arial" w:cs="Arial"/>
                <w:color w:val="000000"/>
                <w:sz w:val="14"/>
                <w:szCs w:val="14"/>
                <w:lang w:bidi="th-TH"/>
              </w:rPr>
              <w:t>,</w:t>
            </w:r>
            <w:r w:rsidRPr="00CD5714">
              <w:rPr>
                <w:rFonts w:ascii="Arial" w:hAnsi="Arial" w:cs="Arial"/>
                <w:color w:val="000000"/>
                <w:sz w:val="14"/>
                <w:szCs w:val="14"/>
                <w:lang w:val="en-GB" w:bidi="th-TH"/>
              </w:rPr>
              <w:t>721</w:t>
            </w:r>
          </w:p>
        </w:tc>
        <w:tc>
          <w:tcPr>
            <w:tcW w:w="1063" w:type="dxa"/>
            <w:tcBorders>
              <w:bottom w:val="single" w:sz="4" w:space="0" w:color="auto"/>
            </w:tcBorders>
            <w:shd w:val="clear" w:color="auto" w:fill="auto"/>
          </w:tcPr>
          <w:p w14:paraId="5DD9ADEA" w14:textId="2124C980" w:rsidR="00452BD6" w:rsidRPr="002D2F67" w:rsidRDefault="00CD5714" w:rsidP="005611FE">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30</w:t>
            </w:r>
            <w:r w:rsidR="00452BD6" w:rsidRPr="002D2F67">
              <w:rPr>
                <w:rFonts w:ascii="Arial" w:hAnsi="Arial" w:cs="Arial"/>
                <w:color w:val="000000"/>
                <w:sz w:val="14"/>
                <w:szCs w:val="14"/>
                <w:lang w:bidi="th-TH"/>
              </w:rPr>
              <w:t>,</w:t>
            </w:r>
            <w:r w:rsidRPr="00CD5714">
              <w:rPr>
                <w:rFonts w:ascii="Arial" w:hAnsi="Arial" w:cs="Arial"/>
                <w:color w:val="000000"/>
                <w:sz w:val="14"/>
                <w:szCs w:val="14"/>
                <w:lang w:val="en-GB" w:bidi="th-TH"/>
              </w:rPr>
              <w:t>251</w:t>
            </w:r>
          </w:p>
        </w:tc>
        <w:tc>
          <w:tcPr>
            <w:tcW w:w="1064" w:type="dxa"/>
            <w:tcBorders>
              <w:bottom w:val="single" w:sz="4" w:space="0" w:color="auto"/>
            </w:tcBorders>
            <w:shd w:val="clear" w:color="auto" w:fill="auto"/>
          </w:tcPr>
          <w:p w14:paraId="02F1CD11" w14:textId="6EC70D92" w:rsidR="00452BD6" w:rsidRPr="002D2F67" w:rsidRDefault="001C6151" w:rsidP="005611FE">
            <w:pPr>
              <w:pStyle w:val="acctfourfigures"/>
              <w:tabs>
                <w:tab w:val="decimal" w:pos="533"/>
              </w:tabs>
              <w:spacing w:line="240" w:lineRule="auto"/>
              <w:ind w:right="-72"/>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097" w:type="dxa"/>
            <w:tcBorders>
              <w:bottom w:val="single" w:sz="4" w:space="0" w:color="auto"/>
            </w:tcBorders>
            <w:shd w:val="clear" w:color="auto" w:fill="auto"/>
          </w:tcPr>
          <w:p w14:paraId="1154BD9A" w14:textId="09BB04F5" w:rsidR="00452BD6" w:rsidRPr="002D2F67" w:rsidRDefault="00452BD6" w:rsidP="005611FE">
            <w:pPr>
              <w:pStyle w:val="acctfourfigures"/>
              <w:tabs>
                <w:tab w:val="decimal" w:pos="533"/>
              </w:tabs>
              <w:spacing w:line="240" w:lineRule="auto"/>
              <w:ind w:right="-72"/>
              <w:jc w:val="right"/>
              <w:rPr>
                <w:rFonts w:ascii="Arial" w:hAnsi="Arial" w:cs="Arial"/>
                <w:color w:val="000000"/>
                <w:sz w:val="14"/>
                <w:szCs w:val="14"/>
                <w:lang w:bidi="th-TH"/>
              </w:rPr>
            </w:pPr>
            <w:r w:rsidRPr="002D2F67">
              <w:rPr>
                <w:rFonts w:ascii="Arial" w:hAnsi="Arial" w:cs="Arial"/>
                <w:color w:val="000000"/>
                <w:sz w:val="14"/>
                <w:szCs w:val="14"/>
                <w:lang w:bidi="th-TH"/>
              </w:rPr>
              <w:t>-</w:t>
            </w:r>
          </w:p>
        </w:tc>
      </w:tr>
      <w:tr w:rsidR="00452BD6" w:rsidRPr="002D2F67" w14:paraId="0A6C324E" w14:textId="77777777" w:rsidTr="003E7A47">
        <w:trPr>
          <w:cantSplit/>
        </w:trPr>
        <w:tc>
          <w:tcPr>
            <w:tcW w:w="3286" w:type="dxa"/>
            <w:shd w:val="clear" w:color="auto" w:fill="auto"/>
            <w:hideMark/>
          </w:tcPr>
          <w:p w14:paraId="167CB57B" w14:textId="66B9E7D8" w:rsidR="00452BD6" w:rsidRPr="002D2F67" w:rsidRDefault="00452BD6" w:rsidP="005611FE">
            <w:pPr>
              <w:ind w:left="-73"/>
              <w:rPr>
                <w:rFonts w:ascii="Arial" w:eastAsia="Arial Unicode MS" w:hAnsi="Arial" w:cs="Arial"/>
                <w:color w:val="000000"/>
                <w:spacing w:val="-2"/>
                <w:sz w:val="14"/>
                <w:szCs w:val="14"/>
              </w:rPr>
            </w:pPr>
          </w:p>
        </w:tc>
        <w:tc>
          <w:tcPr>
            <w:tcW w:w="3050" w:type="dxa"/>
            <w:shd w:val="clear" w:color="auto" w:fill="auto"/>
            <w:hideMark/>
          </w:tcPr>
          <w:p w14:paraId="494AFE35" w14:textId="05003632" w:rsidR="00452BD6" w:rsidRPr="002D2F67" w:rsidRDefault="00452BD6" w:rsidP="005611FE">
            <w:pPr>
              <w:ind w:left="204" w:hanging="204"/>
              <w:rPr>
                <w:rFonts w:ascii="Arial" w:hAnsi="Arial" w:cs="Arial"/>
                <w:color w:val="000000"/>
                <w:sz w:val="14"/>
                <w:szCs w:val="14"/>
              </w:rPr>
            </w:pPr>
          </w:p>
        </w:tc>
        <w:tc>
          <w:tcPr>
            <w:tcW w:w="1064" w:type="dxa"/>
            <w:shd w:val="clear" w:color="auto" w:fill="auto"/>
          </w:tcPr>
          <w:p w14:paraId="5D071EE1" w14:textId="62B0FFEB" w:rsidR="00452BD6" w:rsidRPr="002D2F67" w:rsidRDefault="00452BD6"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75387F97" w14:textId="742BBEC7" w:rsidR="00452BD6" w:rsidRPr="002D2F67" w:rsidRDefault="00452BD6"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3" w:type="dxa"/>
            <w:tcBorders>
              <w:top w:val="single" w:sz="4" w:space="0" w:color="auto"/>
              <w:left w:val="nil"/>
              <w:right w:val="nil"/>
            </w:tcBorders>
            <w:shd w:val="clear" w:color="auto" w:fill="auto"/>
          </w:tcPr>
          <w:p w14:paraId="1383CC9A" w14:textId="768A9AAF" w:rsidR="00452BD6" w:rsidRPr="002D2F67" w:rsidRDefault="00452BD6"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4" w:type="dxa"/>
            <w:tcBorders>
              <w:top w:val="single" w:sz="4" w:space="0" w:color="auto"/>
              <w:left w:val="nil"/>
              <w:right w:val="nil"/>
            </w:tcBorders>
            <w:shd w:val="clear" w:color="auto" w:fill="auto"/>
          </w:tcPr>
          <w:p w14:paraId="424CF674" w14:textId="4D42D559" w:rsidR="00452BD6" w:rsidRPr="002D2F67" w:rsidRDefault="00452BD6"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4" w:type="dxa"/>
            <w:tcBorders>
              <w:top w:val="single" w:sz="4" w:space="0" w:color="auto"/>
              <w:left w:val="nil"/>
            </w:tcBorders>
            <w:shd w:val="clear" w:color="auto" w:fill="auto"/>
          </w:tcPr>
          <w:p w14:paraId="1D97970F" w14:textId="1719DECF" w:rsidR="00452BD6" w:rsidRPr="002D2F67" w:rsidRDefault="00452BD6"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3" w:type="dxa"/>
            <w:tcBorders>
              <w:top w:val="single" w:sz="4" w:space="0" w:color="auto"/>
              <w:right w:val="nil"/>
            </w:tcBorders>
            <w:shd w:val="clear" w:color="auto" w:fill="auto"/>
          </w:tcPr>
          <w:p w14:paraId="5B8AE8E6" w14:textId="17FF9751" w:rsidR="00452BD6" w:rsidRPr="002D2F67" w:rsidRDefault="00452BD6"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4" w:type="dxa"/>
            <w:tcBorders>
              <w:top w:val="single" w:sz="4" w:space="0" w:color="auto"/>
              <w:left w:val="nil"/>
              <w:right w:val="nil"/>
            </w:tcBorders>
            <w:shd w:val="clear" w:color="auto" w:fill="auto"/>
          </w:tcPr>
          <w:p w14:paraId="7B15A035" w14:textId="52025B39" w:rsidR="00452BD6" w:rsidRPr="002D2F67" w:rsidRDefault="00452BD6" w:rsidP="005611FE">
            <w:pPr>
              <w:pStyle w:val="acctfourfigures"/>
              <w:tabs>
                <w:tab w:val="decimal" w:pos="533"/>
              </w:tabs>
              <w:spacing w:line="240" w:lineRule="auto"/>
              <w:ind w:right="-72"/>
              <w:jc w:val="right"/>
              <w:rPr>
                <w:rFonts w:ascii="Arial" w:hAnsi="Arial" w:cs="Arial"/>
                <w:color w:val="000000"/>
                <w:sz w:val="14"/>
                <w:szCs w:val="14"/>
                <w:lang w:bidi="th-TH"/>
              </w:rPr>
            </w:pPr>
          </w:p>
        </w:tc>
        <w:tc>
          <w:tcPr>
            <w:tcW w:w="1097" w:type="dxa"/>
            <w:tcBorders>
              <w:top w:val="single" w:sz="4" w:space="0" w:color="auto"/>
              <w:left w:val="nil"/>
              <w:right w:val="nil"/>
            </w:tcBorders>
            <w:shd w:val="clear" w:color="auto" w:fill="auto"/>
          </w:tcPr>
          <w:p w14:paraId="07B01D99" w14:textId="435CCC0D" w:rsidR="00452BD6" w:rsidRPr="002D2F67" w:rsidRDefault="00452BD6" w:rsidP="005611FE">
            <w:pPr>
              <w:pStyle w:val="acctfourfigures"/>
              <w:tabs>
                <w:tab w:val="decimal" w:pos="533"/>
              </w:tabs>
              <w:spacing w:line="240" w:lineRule="auto"/>
              <w:ind w:right="-72"/>
              <w:jc w:val="right"/>
              <w:rPr>
                <w:rFonts w:ascii="Arial" w:hAnsi="Arial" w:cs="Arial"/>
                <w:color w:val="000000"/>
                <w:sz w:val="14"/>
                <w:szCs w:val="14"/>
                <w:lang w:bidi="th-TH"/>
              </w:rPr>
            </w:pPr>
          </w:p>
        </w:tc>
      </w:tr>
      <w:tr w:rsidR="00452BD6" w:rsidRPr="002D2F67" w14:paraId="48AFD7E1" w14:textId="77777777" w:rsidTr="003E7A47">
        <w:trPr>
          <w:cantSplit/>
        </w:trPr>
        <w:tc>
          <w:tcPr>
            <w:tcW w:w="3286" w:type="dxa"/>
            <w:shd w:val="clear" w:color="auto" w:fill="auto"/>
          </w:tcPr>
          <w:p w14:paraId="73D284E4" w14:textId="5A0CEF74" w:rsidR="00452BD6" w:rsidRPr="002D2F67" w:rsidRDefault="00452BD6" w:rsidP="005611FE">
            <w:pPr>
              <w:ind w:left="-73"/>
              <w:rPr>
                <w:rFonts w:ascii="Arial" w:hAnsi="Arial" w:cs="Arial"/>
                <w:color w:val="000000"/>
                <w:spacing w:val="-4"/>
                <w:sz w:val="14"/>
                <w:szCs w:val="14"/>
              </w:rPr>
            </w:pPr>
            <w:r w:rsidRPr="002D2F67">
              <w:rPr>
                <w:rFonts w:ascii="Arial" w:hAnsi="Arial" w:cs="Arial"/>
                <w:color w:val="000000"/>
                <w:sz w:val="14"/>
                <w:szCs w:val="14"/>
              </w:rPr>
              <w:t>Total investment in associates</w:t>
            </w:r>
          </w:p>
        </w:tc>
        <w:tc>
          <w:tcPr>
            <w:tcW w:w="3050" w:type="dxa"/>
            <w:shd w:val="clear" w:color="auto" w:fill="auto"/>
          </w:tcPr>
          <w:p w14:paraId="6E41259F" w14:textId="77777777" w:rsidR="00452BD6" w:rsidRPr="002D2F67" w:rsidRDefault="00452BD6" w:rsidP="005611FE">
            <w:pPr>
              <w:rPr>
                <w:rFonts w:ascii="Arial" w:hAnsi="Arial" w:cs="Arial"/>
                <w:color w:val="000000"/>
                <w:sz w:val="14"/>
                <w:szCs w:val="14"/>
              </w:rPr>
            </w:pPr>
          </w:p>
        </w:tc>
        <w:tc>
          <w:tcPr>
            <w:tcW w:w="1064" w:type="dxa"/>
            <w:shd w:val="clear" w:color="auto" w:fill="auto"/>
          </w:tcPr>
          <w:p w14:paraId="544D3C45" w14:textId="5E6377AA" w:rsidR="00452BD6" w:rsidRPr="002D2F67" w:rsidRDefault="00452BD6"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320E187B" w14:textId="77777777" w:rsidR="00452BD6" w:rsidRPr="002D2F67" w:rsidRDefault="00452BD6" w:rsidP="005611FE">
            <w:pPr>
              <w:pStyle w:val="acctfourfigures"/>
              <w:tabs>
                <w:tab w:val="left" w:pos="720"/>
              </w:tabs>
              <w:spacing w:line="240" w:lineRule="auto"/>
              <w:ind w:right="-72"/>
              <w:jc w:val="right"/>
              <w:rPr>
                <w:rFonts w:ascii="Arial" w:hAnsi="Arial" w:cs="Arial"/>
                <w:color w:val="000000"/>
                <w:sz w:val="14"/>
                <w:szCs w:val="14"/>
                <w:lang w:bidi="th-TH"/>
              </w:rPr>
            </w:pPr>
          </w:p>
        </w:tc>
        <w:tc>
          <w:tcPr>
            <w:tcW w:w="1063" w:type="dxa"/>
            <w:tcBorders>
              <w:bottom w:val="single" w:sz="4" w:space="0" w:color="auto"/>
            </w:tcBorders>
            <w:shd w:val="clear" w:color="auto" w:fill="auto"/>
          </w:tcPr>
          <w:p w14:paraId="61CDF25C" w14:textId="62C1FEDF" w:rsidR="00452BD6" w:rsidRPr="002D2F67" w:rsidRDefault="00CD5714" w:rsidP="005611FE">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1</w:t>
            </w:r>
            <w:r w:rsidR="006F5F44" w:rsidRPr="002D2F67">
              <w:rPr>
                <w:rFonts w:ascii="Arial" w:hAnsi="Arial" w:cs="Arial"/>
                <w:color w:val="000000"/>
                <w:sz w:val="14"/>
                <w:szCs w:val="14"/>
                <w:lang w:bidi="th-TH"/>
              </w:rPr>
              <w:t>,</w:t>
            </w:r>
            <w:r w:rsidRPr="00CD5714">
              <w:rPr>
                <w:rFonts w:ascii="Arial" w:hAnsi="Arial" w:cs="Arial"/>
                <w:color w:val="000000"/>
                <w:sz w:val="14"/>
                <w:szCs w:val="14"/>
                <w:lang w:val="en-GB" w:bidi="th-TH"/>
              </w:rPr>
              <w:t>961</w:t>
            </w:r>
            <w:r w:rsidR="006F5F44" w:rsidRPr="002D2F67">
              <w:rPr>
                <w:rFonts w:ascii="Arial" w:hAnsi="Arial" w:cs="Arial"/>
                <w:color w:val="000000"/>
                <w:sz w:val="14"/>
                <w:szCs w:val="14"/>
                <w:lang w:bidi="th-TH"/>
              </w:rPr>
              <w:t>,</w:t>
            </w:r>
            <w:r w:rsidRPr="00CD5714">
              <w:rPr>
                <w:rFonts w:ascii="Arial" w:hAnsi="Arial" w:cs="Arial"/>
                <w:color w:val="000000"/>
                <w:sz w:val="14"/>
                <w:szCs w:val="14"/>
                <w:lang w:val="en-GB" w:bidi="th-TH"/>
              </w:rPr>
              <w:t>698</w:t>
            </w:r>
          </w:p>
        </w:tc>
        <w:tc>
          <w:tcPr>
            <w:tcW w:w="1064" w:type="dxa"/>
            <w:tcBorders>
              <w:bottom w:val="single" w:sz="4" w:space="0" w:color="auto"/>
            </w:tcBorders>
            <w:shd w:val="clear" w:color="auto" w:fill="auto"/>
          </w:tcPr>
          <w:p w14:paraId="34D79ECC" w14:textId="754EEDCB" w:rsidR="00452BD6" w:rsidRPr="002D2F67" w:rsidRDefault="00CD5714" w:rsidP="005611FE">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1</w:t>
            </w:r>
            <w:r w:rsidR="00452BD6" w:rsidRPr="002D2F67">
              <w:rPr>
                <w:rFonts w:ascii="Arial" w:hAnsi="Arial" w:cs="Arial"/>
                <w:color w:val="000000"/>
                <w:sz w:val="14"/>
                <w:szCs w:val="14"/>
                <w:lang w:bidi="th-TH"/>
              </w:rPr>
              <w:t>,</w:t>
            </w:r>
            <w:r w:rsidRPr="00CD5714">
              <w:rPr>
                <w:rFonts w:ascii="Arial" w:hAnsi="Arial" w:cs="Arial"/>
                <w:color w:val="000000"/>
                <w:sz w:val="14"/>
                <w:szCs w:val="14"/>
                <w:lang w:val="en-GB" w:bidi="th-TH"/>
              </w:rPr>
              <w:t>554</w:t>
            </w:r>
            <w:r w:rsidR="00452BD6" w:rsidRPr="002D2F67">
              <w:rPr>
                <w:rFonts w:ascii="Arial" w:hAnsi="Arial" w:cs="Arial"/>
                <w:color w:val="000000"/>
                <w:sz w:val="14"/>
                <w:szCs w:val="14"/>
                <w:lang w:bidi="th-TH"/>
              </w:rPr>
              <w:t>,</w:t>
            </w:r>
            <w:r w:rsidRPr="00CD5714">
              <w:rPr>
                <w:rFonts w:ascii="Arial" w:hAnsi="Arial" w:cs="Arial"/>
                <w:color w:val="000000"/>
                <w:sz w:val="14"/>
                <w:szCs w:val="14"/>
                <w:lang w:val="en-GB" w:bidi="th-TH"/>
              </w:rPr>
              <w:t>088</w:t>
            </w:r>
          </w:p>
        </w:tc>
        <w:tc>
          <w:tcPr>
            <w:tcW w:w="1064" w:type="dxa"/>
            <w:tcBorders>
              <w:bottom w:val="single" w:sz="4" w:space="0" w:color="auto"/>
            </w:tcBorders>
            <w:shd w:val="clear" w:color="auto" w:fill="auto"/>
          </w:tcPr>
          <w:p w14:paraId="4EF3B6C0" w14:textId="256C20C9" w:rsidR="00452BD6" w:rsidRPr="002D2F67" w:rsidRDefault="00CD5714" w:rsidP="005611FE">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1</w:t>
            </w:r>
            <w:r w:rsidR="00D235E7" w:rsidRPr="002D2F67">
              <w:rPr>
                <w:rFonts w:ascii="Arial" w:hAnsi="Arial" w:cs="Arial"/>
                <w:color w:val="000000"/>
                <w:sz w:val="14"/>
                <w:szCs w:val="14"/>
                <w:lang w:bidi="th-TH"/>
              </w:rPr>
              <w:t>,</w:t>
            </w:r>
            <w:r w:rsidRPr="00CD5714">
              <w:rPr>
                <w:rFonts w:ascii="Arial" w:hAnsi="Arial" w:cs="Arial"/>
                <w:color w:val="000000"/>
                <w:sz w:val="14"/>
                <w:szCs w:val="14"/>
                <w:lang w:val="en-GB" w:bidi="th-TH"/>
              </w:rPr>
              <w:t>375</w:t>
            </w:r>
            <w:r w:rsidR="00D235E7" w:rsidRPr="002D2F67">
              <w:rPr>
                <w:rFonts w:ascii="Arial" w:hAnsi="Arial" w:cs="Arial"/>
                <w:color w:val="000000"/>
                <w:sz w:val="14"/>
                <w:szCs w:val="14"/>
                <w:lang w:bidi="th-TH"/>
              </w:rPr>
              <w:t>,</w:t>
            </w:r>
            <w:r w:rsidRPr="00CD5714">
              <w:rPr>
                <w:rFonts w:ascii="Arial" w:hAnsi="Arial" w:cs="Arial"/>
                <w:color w:val="000000"/>
                <w:sz w:val="14"/>
                <w:szCs w:val="14"/>
                <w:lang w:val="en-GB" w:bidi="th-TH"/>
              </w:rPr>
              <w:t>311</w:t>
            </w:r>
          </w:p>
        </w:tc>
        <w:tc>
          <w:tcPr>
            <w:tcW w:w="1063" w:type="dxa"/>
            <w:tcBorders>
              <w:bottom w:val="single" w:sz="4" w:space="0" w:color="auto"/>
            </w:tcBorders>
            <w:shd w:val="clear" w:color="auto" w:fill="auto"/>
          </w:tcPr>
          <w:p w14:paraId="76B6B7E4" w14:textId="15506C57" w:rsidR="00452BD6" w:rsidRPr="002D2F67" w:rsidRDefault="00CD5714" w:rsidP="005611FE">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1</w:t>
            </w:r>
            <w:r w:rsidR="00452BD6" w:rsidRPr="002D2F67">
              <w:rPr>
                <w:rFonts w:ascii="Arial" w:hAnsi="Arial" w:cs="Arial"/>
                <w:color w:val="000000"/>
                <w:sz w:val="14"/>
                <w:szCs w:val="14"/>
                <w:lang w:bidi="th-TH"/>
              </w:rPr>
              <w:t>,</w:t>
            </w:r>
            <w:r w:rsidRPr="00CD5714">
              <w:rPr>
                <w:rFonts w:ascii="Arial" w:hAnsi="Arial" w:cs="Arial"/>
                <w:color w:val="000000"/>
                <w:sz w:val="14"/>
                <w:szCs w:val="14"/>
                <w:lang w:val="en-GB" w:bidi="th-TH"/>
              </w:rPr>
              <w:t>868</w:t>
            </w:r>
            <w:r w:rsidR="00452BD6" w:rsidRPr="002D2F67">
              <w:rPr>
                <w:rFonts w:ascii="Arial" w:hAnsi="Arial" w:cs="Arial"/>
                <w:color w:val="000000"/>
                <w:sz w:val="14"/>
                <w:szCs w:val="14"/>
                <w:lang w:bidi="th-TH"/>
              </w:rPr>
              <w:t>,</w:t>
            </w:r>
            <w:r w:rsidRPr="00CD5714">
              <w:rPr>
                <w:rFonts w:ascii="Arial" w:hAnsi="Arial" w:cs="Arial"/>
                <w:color w:val="000000"/>
                <w:sz w:val="14"/>
                <w:szCs w:val="14"/>
                <w:lang w:val="en-GB" w:bidi="th-TH"/>
              </w:rPr>
              <w:t>703</w:t>
            </w:r>
          </w:p>
        </w:tc>
        <w:tc>
          <w:tcPr>
            <w:tcW w:w="1064" w:type="dxa"/>
            <w:tcBorders>
              <w:bottom w:val="single" w:sz="4" w:space="0" w:color="auto"/>
            </w:tcBorders>
            <w:shd w:val="clear" w:color="auto" w:fill="auto"/>
          </w:tcPr>
          <w:p w14:paraId="5AB9A55B" w14:textId="1EC7F4E9" w:rsidR="00452BD6" w:rsidRPr="002D2F67" w:rsidRDefault="00CD5714" w:rsidP="005611FE">
            <w:pPr>
              <w:pStyle w:val="acctfourfigures"/>
              <w:tabs>
                <w:tab w:val="decimal" w:pos="533"/>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539</w:t>
            </w:r>
          </w:p>
        </w:tc>
        <w:tc>
          <w:tcPr>
            <w:tcW w:w="1097" w:type="dxa"/>
            <w:tcBorders>
              <w:bottom w:val="single" w:sz="4" w:space="0" w:color="auto"/>
            </w:tcBorders>
            <w:shd w:val="clear" w:color="auto" w:fill="auto"/>
          </w:tcPr>
          <w:p w14:paraId="1F0973E5" w14:textId="4C3B1911" w:rsidR="00452BD6" w:rsidRPr="002D2F67" w:rsidRDefault="00452BD6" w:rsidP="005611FE">
            <w:pPr>
              <w:pStyle w:val="acctfourfigures"/>
              <w:tabs>
                <w:tab w:val="decimal" w:pos="533"/>
              </w:tabs>
              <w:spacing w:line="240" w:lineRule="auto"/>
              <w:ind w:right="-72"/>
              <w:jc w:val="right"/>
              <w:rPr>
                <w:rFonts w:ascii="Arial" w:hAnsi="Arial" w:cs="Arial"/>
                <w:color w:val="000000"/>
                <w:sz w:val="14"/>
                <w:szCs w:val="14"/>
                <w:lang w:bidi="th-TH"/>
              </w:rPr>
            </w:pPr>
            <w:r w:rsidRPr="002D2F67">
              <w:rPr>
                <w:rFonts w:ascii="Arial" w:hAnsi="Arial" w:cs="Arial"/>
                <w:color w:val="000000"/>
                <w:sz w:val="14"/>
                <w:szCs w:val="17"/>
                <w:lang w:bidi="th-TH"/>
              </w:rPr>
              <w:t>-</w:t>
            </w:r>
          </w:p>
        </w:tc>
      </w:tr>
    </w:tbl>
    <w:p w14:paraId="198E1272" w14:textId="77777777" w:rsidR="002E56B2" w:rsidRPr="002D2F67" w:rsidRDefault="002E56B2" w:rsidP="005611FE">
      <w:pPr>
        <w:pStyle w:val="BodyText"/>
        <w:tabs>
          <w:tab w:val="left" w:pos="567"/>
        </w:tabs>
        <w:ind w:left="540"/>
        <w:jc w:val="thaiDistribute"/>
        <w:rPr>
          <w:rFonts w:ascii="Arial" w:hAnsi="Arial" w:cs="Arial"/>
          <w:color w:val="000000"/>
          <w:lang w:val="en-GB"/>
        </w:rPr>
      </w:pPr>
    </w:p>
    <w:p w14:paraId="1D671172" w14:textId="44B0B8CF" w:rsidR="003E7A47" w:rsidRPr="002D2F67" w:rsidRDefault="008B53DA" w:rsidP="008B53DA">
      <w:pPr>
        <w:numPr>
          <w:ilvl w:val="4"/>
          <w:numId w:val="14"/>
        </w:numPr>
        <w:ind w:left="851" w:hanging="284"/>
        <w:rPr>
          <w:rFonts w:ascii="Arial" w:hAnsi="Arial" w:cs="Arial"/>
          <w:color w:val="000000"/>
          <w:sz w:val="14"/>
          <w:szCs w:val="14"/>
        </w:rPr>
      </w:pPr>
      <w:r w:rsidRPr="002D2F67">
        <w:rPr>
          <w:rFonts w:ascii="Arial" w:hAnsi="Arial" w:cs="Arial"/>
          <w:color w:val="000000"/>
          <w:sz w:val="14"/>
          <w:szCs w:val="14"/>
        </w:rPr>
        <w:t>The group classifie</w:t>
      </w:r>
      <w:r w:rsidR="006C48CA">
        <w:rPr>
          <w:rFonts w:ascii="Arial" w:hAnsi="Arial" w:cs="Arial"/>
          <w:color w:val="000000"/>
          <w:sz w:val="14"/>
          <w:szCs w:val="14"/>
        </w:rPr>
        <w:t>d</w:t>
      </w:r>
      <w:r w:rsidRPr="002D2F67">
        <w:rPr>
          <w:rFonts w:ascii="Arial" w:hAnsi="Arial" w:cs="Arial"/>
          <w:color w:val="000000"/>
          <w:sz w:val="14"/>
          <w:szCs w:val="14"/>
        </w:rPr>
        <w:t xml:space="preserve"> its investment in EA LV</w:t>
      </w:r>
      <w:r w:rsidR="00627169">
        <w:rPr>
          <w:rFonts w:ascii="Arial" w:hAnsi="Arial" w:cs="Arial"/>
          <w:color w:val="000000"/>
          <w:sz w:val="14"/>
          <w:szCs w:val="14"/>
        </w:rPr>
        <w:t>k</w:t>
      </w:r>
      <w:r w:rsidRPr="002D2F67">
        <w:rPr>
          <w:rFonts w:ascii="Arial" w:hAnsi="Arial" w:cs="Arial"/>
          <w:color w:val="000000"/>
          <w:sz w:val="14"/>
          <w:szCs w:val="14"/>
        </w:rPr>
        <w:t>on Co., Ltd.</w:t>
      </w:r>
      <w:r w:rsidR="00496BA4" w:rsidRPr="002D2F67">
        <w:rPr>
          <w:rFonts w:ascii="Arial" w:hAnsi="Arial" w:cs="Arial"/>
          <w:color w:val="000000"/>
          <w:sz w:val="14"/>
          <w:szCs w:val="14"/>
        </w:rPr>
        <w:t xml:space="preserve"> and Terabyte Plus Public Co., Ltd.</w:t>
      </w:r>
      <w:r w:rsidRPr="002D2F67">
        <w:rPr>
          <w:rFonts w:ascii="Arial" w:hAnsi="Arial" w:cs="Arial"/>
          <w:color w:val="000000"/>
          <w:sz w:val="14"/>
          <w:szCs w:val="14"/>
        </w:rPr>
        <w:t xml:space="preserve"> as an investment in an associate because the group has significant influence over the financial and operational strategic decision-making.</w:t>
      </w:r>
    </w:p>
    <w:p w14:paraId="3F6323E5" w14:textId="77777777" w:rsidR="003E7A47" w:rsidRPr="002D2F67" w:rsidRDefault="003E7A47" w:rsidP="008B53DA">
      <w:pPr>
        <w:ind w:left="851" w:hanging="284"/>
        <w:rPr>
          <w:rFonts w:ascii="Arial" w:hAnsi="Arial" w:cs="Arial"/>
          <w:color w:val="000000"/>
          <w:sz w:val="20"/>
          <w:szCs w:val="20"/>
        </w:rPr>
      </w:pPr>
    </w:p>
    <w:p w14:paraId="0CA23134" w14:textId="77777777" w:rsidR="003E7A47" w:rsidRPr="002D2F67" w:rsidRDefault="003E7A47" w:rsidP="005611FE">
      <w:pPr>
        <w:ind w:firstLine="720"/>
        <w:rPr>
          <w:rFonts w:ascii="Arial" w:hAnsi="Arial" w:cs="Arial"/>
          <w:color w:val="000000"/>
          <w:sz w:val="20"/>
          <w:szCs w:val="20"/>
        </w:rPr>
      </w:pPr>
    </w:p>
    <w:p w14:paraId="3766C88F" w14:textId="77777777" w:rsidR="003E7A47" w:rsidRPr="002D2F67" w:rsidRDefault="003E7A47" w:rsidP="005611FE">
      <w:pPr>
        <w:ind w:firstLine="720"/>
        <w:rPr>
          <w:rFonts w:ascii="Arial" w:hAnsi="Arial" w:cs="Arial"/>
          <w:color w:val="000000"/>
          <w:sz w:val="20"/>
          <w:szCs w:val="20"/>
        </w:rPr>
      </w:pPr>
    </w:p>
    <w:p w14:paraId="25A973E3" w14:textId="77777777" w:rsidR="003E7A47" w:rsidRPr="002D2F67" w:rsidRDefault="003E7A47" w:rsidP="005611FE">
      <w:pPr>
        <w:ind w:firstLine="720"/>
        <w:rPr>
          <w:rFonts w:ascii="Arial" w:hAnsi="Arial" w:cs="Arial"/>
          <w:color w:val="000000"/>
          <w:sz w:val="20"/>
          <w:szCs w:val="20"/>
        </w:rPr>
      </w:pPr>
    </w:p>
    <w:p w14:paraId="642BAAE0" w14:textId="77777777" w:rsidR="003E7A47" w:rsidRPr="002D2F67" w:rsidRDefault="003E7A47" w:rsidP="005611FE">
      <w:pPr>
        <w:ind w:firstLine="720"/>
        <w:rPr>
          <w:rFonts w:ascii="Arial" w:hAnsi="Arial" w:cs="Arial"/>
          <w:color w:val="000000"/>
          <w:sz w:val="20"/>
          <w:szCs w:val="20"/>
        </w:rPr>
      </w:pPr>
    </w:p>
    <w:p w14:paraId="3531A896" w14:textId="1C7059BC" w:rsidR="003E7A47" w:rsidRPr="002D2F67" w:rsidRDefault="003E7A47" w:rsidP="005611FE">
      <w:pPr>
        <w:ind w:firstLine="720"/>
        <w:rPr>
          <w:rFonts w:ascii="Arial" w:hAnsi="Arial" w:cs="Arial"/>
          <w:color w:val="000000"/>
          <w:sz w:val="20"/>
          <w:szCs w:val="20"/>
        </w:rPr>
        <w:sectPr w:rsidR="003E7A47" w:rsidRPr="002D2F67" w:rsidSect="00BC5B63">
          <w:pgSz w:w="16840" w:h="11907" w:orient="landscape" w:code="9"/>
          <w:pgMar w:top="1440" w:right="720" w:bottom="720" w:left="720" w:header="706" w:footer="576" w:gutter="0"/>
          <w:cols w:space="720"/>
          <w:docGrid w:linePitch="326"/>
        </w:sectPr>
      </w:pPr>
    </w:p>
    <w:p w14:paraId="4D1D5344" w14:textId="77777777" w:rsidR="004D1788" w:rsidRPr="002D2F67" w:rsidRDefault="004D1788" w:rsidP="005611FE">
      <w:pPr>
        <w:ind w:left="540"/>
        <w:jc w:val="both"/>
        <w:rPr>
          <w:rFonts w:ascii="Arial" w:eastAsia="Arial Unicode MS" w:hAnsi="Arial" w:cs="Arial"/>
          <w:i/>
          <w:iCs/>
          <w:color w:val="000000"/>
          <w:sz w:val="18"/>
          <w:szCs w:val="18"/>
        </w:rPr>
      </w:pPr>
    </w:p>
    <w:p w14:paraId="79102A32" w14:textId="6AF2D297" w:rsidR="007C328C" w:rsidRPr="002D2F67" w:rsidRDefault="007C328C" w:rsidP="005611FE">
      <w:pPr>
        <w:pStyle w:val="Heading3"/>
        <w:ind w:left="532"/>
        <w:jc w:val="left"/>
        <w:rPr>
          <w:rFonts w:ascii="Arial" w:eastAsia="Arial Unicode MS" w:hAnsi="Arial" w:cs="Arial"/>
          <w:color w:val="000000"/>
        </w:rPr>
      </w:pPr>
      <w:r w:rsidRPr="002D2F67">
        <w:rPr>
          <w:rFonts w:ascii="Arial" w:eastAsia="Arial Unicode MS" w:hAnsi="Arial" w:cs="Arial"/>
          <w:color w:val="000000"/>
        </w:rPr>
        <w:t xml:space="preserve">Summarised financial information </w:t>
      </w:r>
      <w:r w:rsidR="00121322" w:rsidRPr="002D2F67">
        <w:rPr>
          <w:rFonts w:ascii="Arial" w:eastAsia="Arial Unicode MS" w:hAnsi="Arial" w:cs="Arial"/>
          <w:color w:val="000000"/>
        </w:rPr>
        <w:t>of</w:t>
      </w:r>
      <w:r w:rsidRPr="002D2F67">
        <w:rPr>
          <w:rFonts w:ascii="Arial" w:eastAsia="Arial Unicode MS" w:hAnsi="Arial" w:cs="Arial"/>
          <w:color w:val="000000"/>
        </w:rPr>
        <w:t xml:space="preserve"> </w:t>
      </w:r>
      <w:r w:rsidR="0056200A" w:rsidRPr="002D2F67">
        <w:rPr>
          <w:rFonts w:ascii="Arial" w:eastAsia="Arial Unicode MS" w:hAnsi="Arial" w:cs="Arial"/>
          <w:color w:val="000000"/>
        </w:rPr>
        <w:t xml:space="preserve">an </w:t>
      </w:r>
      <w:r w:rsidRPr="002D2F67">
        <w:rPr>
          <w:rFonts w:ascii="Arial" w:eastAsia="Arial Unicode MS" w:hAnsi="Arial" w:cs="Arial"/>
          <w:color w:val="000000"/>
        </w:rPr>
        <w:t>associate</w:t>
      </w:r>
    </w:p>
    <w:p w14:paraId="7C2FBFD7" w14:textId="77777777" w:rsidR="007C328C" w:rsidRPr="002D2F67" w:rsidRDefault="007C328C" w:rsidP="005611FE">
      <w:pPr>
        <w:ind w:left="540"/>
        <w:jc w:val="both"/>
        <w:rPr>
          <w:rFonts w:ascii="Arial" w:eastAsia="Arial Unicode MS" w:hAnsi="Arial" w:cs="Arial"/>
          <w:i/>
          <w:iCs/>
          <w:color w:val="000000"/>
          <w:sz w:val="18"/>
          <w:szCs w:val="18"/>
        </w:rPr>
      </w:pPr>
    </w:p>
    <w:p w14:paraId="4EDF88BA" w14:textId="3E1BC4FE" w:rsidR="007C328C" w:rsidRPr="002D2F67" w:rsidRDefault="007C328C" w:rsidP="005611FE">
      <w:pPr>
        <w:ind w:left="540"/>
        <w:jc w:val="thaiDistribute"/>
        <w:rPr>
          <w:rFonts w:ascii="Arial" w:eastAsia="Arial Unicode MS" w:hAnsi="Arial" w:cs="Arial"/>
          <w:color w:val="000000"/>
          <w:spacing w:val="-4"/>
          <w:sz w:val="20"/>
          <w:szCs w:val="20"/>
        </w:rPr>
      </w:pPr>
      <w:r w:rsidRPr="002D2F67">
        <w:rPr>
          <w:rFonts w:ascii="Arial" w:eastAsia="Arial Unicode MS" w:hAnsi="Arial" w:cs="Arial"/>
          <w:color w:val="000000"/>
          <w:spacing w:val="-4"/>
          <w:sz w:val="20"/>
          <w:szCs w:val="20"/>
        </w:rPr>
        <w:t xml:space="preserve">The table below is the summarised financial information </w:t>
      </w:r>
      <w:r w:rsidR="00121322" w:rsidRPr="002D2F67">
        <w:rPr>
          <w:rFonts w:ascii="Arial" w:eastAsia="Arial Unicode MS" w:hAnsi="Arial" w:cs="Arial"/>
          <w:color w:val="000000"/>
          <w:spacing w:val="-4"/>
          <w:sz w:val="20"/>
          <w:szCs w:val="20"/>
        </w:rPr>
        <w:t>of</w:t>
      </w:r>
      <w:r w:rsidRPr="002D2F67">
        <w:rPr>
          <w:rFonts w:ascii="Arial" w:eastAsia="Arial Unicode MS" w:hAnsi="Arial" w:cs="Arial"/>
          <w:color w:val="000000"/>
          <w:spacing w:val="-4"/>
          <w:sz w:val="20"/>
          <w:szCs w:val="20"/>
        </w:rPr>
        <w:t xml:space="preserve"> an associate that is material to the Group. </w:t>
      </w:r>
      <w:r w:rsidR="00815893" w:rsidRPr="002D2F67">
        <w:rPr>
          <w:rFonts w:ascii="Arial" w:eastAsia="Arial Unicode MS" w:hAnsi="Arial" w:cs="Arial"/>
          <w:color w:val="000000"/>
          <w:spacing w:val="-4"/>
          <w:sz w:val="20"/>
          <w:szCs w:val="20"/>
        </w:rPr>
        <w:br/>
      </w:r>
      <w:r w:rsidRPr="002D2F67">
        <w:rPr>
          <w:rFonts w:ascii="Arial" w:eastAsia="Arial Unicode MS" w:hAnsi="Arial" w:cs="Arial"/>
          <w:color w:val="000000"/>
          <w:spacing w:val="-8"/>
          <w:sz w:val="20"/>
          <w:szCs w:val="20"/>
        </w:rPr>
        <w:t>The financial information is included in its own financial statements which has been adjusted with adjustments</w:t>
      </w:r>
      <w:r w:rsidRPr="002D2F67">
        <w:rPr>
          <w:rFonts w:ascii="Arial" w:eastAsia="Arial Unicode MS" w:hAnsi="Arial" w:cs="Arial"/>
          <w:color w:val="000000"/>
          <w:spacing w:val="-4"/>
          <w:sz w:val="20"/>
          <w:szCs w:val="20"/>
        </w:rPr>
        <w:t xml:space="preserve"> </w:t>
      </w:r>
      <w:r w:rsidRPr="002D2F67">
        <w:rPr>
          <w:rFonts w:ascii="Arial" w:eastAsia="Arial Unicode MS" w:hAnsi="Arial" w:cs="Arial"/>
          <w:color w:val="000000"/>
          <w:spacing w:val="-8"/>
          <w:sz w:val="20"/>
          <w:szCs w:val="20"/>
        </w:rPr>
        <w:t>for the equity method, including fair value adjustments and modifications for differences in accounting policies.</w:t>
      </w:r>
    </w:p>
    <w:p w14:paraId="708D1784" w14:textId="77777777" w:rsidR="007C328C" w:rsidRPr="002D2F67" w:rsidRDefault="007C328C" w:rsidP="005611FE">
      <w:pPr>
        <w:ind w:left="540"/>
        <w:jc w:val="thaiDistribute"/>
        <w:rPr>
          <w:rFonts w:ascii="Arial" w:eastAsia="Arial Unicode MS" w:hAnsi="Arial" w:cs="Arial"/>
          <w:color w:val="000000"/>
          <w:sz w:val="18"/>
          <w:szCs w:val="18"/>
        </w:rPr>
      </w:pPr>
    </w:p>
    <w:p w14:paraId="6FCC1BE3" w14:textId="77777777" w:rsidR="007C328C" w:rsidRPr="002D2F67" w:rsidRDefault="007C328C" w:rsidP="005611FE">
      <w:pPr>
        <w:pStyle w:val="Heading3"/>
        <w:ind w:left="567"/>
        <w:jc w:val="left"/>
        <w:rPr>
          <w:rFonts w:ascii="Arial" w:eastAsia="Arial Unicode MS" w:hAnsi="Arial" w:cs="Arial"/>
          <w:color w:val="000000"/>
        </w:rPr>
      </w:pPr>
      <w:r w:rsidRPr="002D2F67">
        <w:rPr>
          <w:rFonts w:ascii="Arial" w:eastAsia="Arial Unicode MS" w:hAnsi="Arial" w:cs="Arial"/>
          <w:color w:val="000000"/>
        </w:rPr>
        <w:t>Summarised statement of financial position</w:t>
      </w:r>
    </w:p>
    <w:p w14:paraId="2621520C" w14:textId="5FDD5DF9" w:rsidR="007C328C" w:rsidRPr="002D2F67" w:rsidRDefault="007C328C" w:rsidP="005611FE">
      <w:pPr>
        <w:ind w:left="540"/>
        <w:rPr>
          <w:rFonts w:ascii="Arial" w:eastAsia="Arial Unicode MS" w:hAnsi="Arial" w:cs="Arial"/>
          <w:color w:val="000000"/>
          <w:sz w:val="18"/>
          <w:szCs w:val="18"/>
        </w:rPr>
      </w:pPr>
    </w:p>
    <w:tbl>
      <w:tblPr>
        <w:tblW w:w="9461" w:type="dxa"/>
        <w:tblInd w:w="108" w:type="dxa"/>
        <w:tblLayout w:type="fixed"/>
        <w:tblLook w:val="0000" w:firstRow="0" w:lastRow="0" w:firstColumn="0" w:lastColumn="0" w:noHBand="0" w:noVBand="0"/>
      </w:tblPr>
      <w:tblGrid>
        <w:gridCol w:w="6293"/>
        <w:gridCol w:w="1584"/>
        <w:gridCol w:w="1584"/>
      </w:tblGrid>
      <w:tr w:rsidR="001F4181" w:rsidRPr="002D2F67" w14:paraId="6B8EF734" w14:textId="77777777" w:rsidTr="002D2F67">
        <w:trPr>
          <w:cantSplit/>
        </w:trPr>
        <w:tc>
          <w:tcPr>
            <w:tcW w:w="6293" w:type="dxa"/>
            <w:shd w:val="clear" w:color="auto" w:fill="auto"/>
          </w:tcPr>
          <w:p w14:paraId="53615525" w14:textId="77777777" w:rsidR="001F4181" w:rsidRPr="002D2F67" w:rsidRDefault="001F4181" w:rsidP="005611FE">
            <w:pPr>
              <w:ind w:left="456" w:right="-90"/>
              <w:rPr>
                <w:rFonts w:ascii="Arial" w:hAnsi="Arial" w:cs="Arial"/>
                <w:color w:val="000000"/>
                <w:sz w:val="18"/>
                <w:szCs w:val="18"/>
              </w:rPr>
            </w:pPr>
          </w:p>
        </w:tc>
        <w:tc>
          <w:tcPr>
            <w:tcW w:w="3168" w:type="dxa"/>
            <w:gridSpan w:val="2"/>
            <w:tcBorders>
              <w:bottom w:val="single" w:sz="4" w:space="0" w:color="auto"/>
            </w:tcBorders>
            <w:shd w:val="clear" w:color="auto" w:fill="auto"/>
            <w:vAlign w:val="bottom"/>
          </w:tcPr>
          <w:p w14:paraId="580C5112" w14:textId="3B3D4081" w:rsidR="001F4181" w:rsidRPr="002D2F67" w:rsidRDefault="001F4181" w:rsidP="005611FE">
            <w:pPr>
              <w:ind w:right="-72"/>
              <w:jc w:val="right"/>
              <w:rPr>
                <w:rFonts w:ascii="Arial" w:hAnsi="Arial" w:cs="Arial"/>
                <w:b/>
                <w:bCs/>
                <w:color w:val="000000"/>
                <w:sz w:val="18"/>
                <w:szCs w:val="22"/>
              </w:rPr>
            </w:pPr>
            <w:r w:rsidRPr="002D2F67">
              <w:rPr>
                <w:rFonts w:ascii="Arial" w:hAnsi="Arial" w:cs="Arial"/>
                <w:b/>
                <w:bCs/>
                <w:color w:val="000000"/>
                <w:sz w:val="18"/>
                <w:szCs w:val="18"/>
              </w:rPr>
              <w:t>N</w:t>
            </w:r>
            <w:r w:rsidR="00E44015" w:rsidRPr="002D2F67">
              <w:rPr>
                <w:rFonts w:ascii="Arial" w:hAnsi="Arial" w:cs="Arial"/>
                <w:b/>
                <w:bCs/>
                <w:color w:val="000000"/>
                <w:sz w:val="18"/>
                <w:szCs w:val="18"/>
              </w:rPr>
              <w:t>ex</w:t>
            </w:r>
            <w:r w:rsidRPr="002D2F67">
              <w:rPr>
                <w:rFonts w:ascii="Arial" w:hAnsi="Arial" w:cs="Arial"/>
                <w:b/>
                <w:bCs/>
                <w:color w:val="000000"/>
                <w:sz w:val="18"/>
                <w:szCs w:val="18"/>
              </w:rPr>
              <w:t xml:space="preserve"> Point</w:t>
            </w:r>
            <w:r w:rsidR="00E44015" w:rsidRPr="002D2F67">
              <w:rPr>
                <w:rFonts w:ascii="Arial" w:hAnsi="Arial" w:cs="Arial"/>
                <w:b/>
                <w:bCs/>
                <w:color w:val="000000"/>
                <w:sz w:val="18"/>
                <w:szCs w:val="18"/>
              </w:rPr>
              <w:t xml:space="preserve"> Public Co., Ltd.</w:t>
            </w:r>
            <w:r w:rsidRPr="002D2F67">
              <w:rPr>
                <w:rFonts w:ascii="Arial" w:hAnsi="Arial" w:cs="Arial"/>
                <w:b/>
                <w:bCs/>
                <w:color w:val="000000"/>
                <w:sz w:val="18"/>
                <w:szCs w:val="18"/>
              </w:rPr>
              <w:t xml:space="preserve"> </w:t>
            </w:r>
          </w:p>
        </w:tc>
      </w:tr>
      <w:tr w:rsidR="00B73997" w:rsidRPr="002D2F67" w14:paraId="1911F215" w14:textId="77777777" w:rsidTr="002D2F67">
        <w:trPr>
          <w:cantSplit/>
        </w:trPr>
        <w:tc>
          <w:tcPr>
            <w:tcW w:w="6293" w:type="dxa"/>
            <w:shd w:val="clear" w:color="auto" w:fill="auto"/>
          </w:tcPr>
          <w:p w14:paraId="66AE73A9" w14:textId="4A5E8EFE" w:rsidR="00B73997" w:rsidRPr="002D2F67" w:rsidRDefault="00B73997" w:rsidP="005611FE">
            <w:pPr>
              <w:ind w:left="456" w:right="-86"/>
              <w:rPr>
                <w:rFonts w:ascii="Arial" w:hAnsi="Arial" w:cs="Arial"/>
                <w:b/>
                <w:bCs/>
                <w:color w:val="000000"/>
                <w:sz w:val="18"/>
                <w:szCs w:val="18"/>
              </w:rPr>
            </w:pPr>
            <w:r w:rsidRPr="002D2F67">
              <w:rPr>
                <w:rFonts w:ascii="Arial" w:hAnsi="Arial" w:cs="Arial"/>
                <w:b/>
                <w:bCs/>
                <w:color w:val="000000"/>
                <w:sz w:val="18"/>
                <w:szCs w:val="18"/>
              </w:rPr>
              <w:t xml:space="preserve">As </w:t>
            </w:r>
            <w:proofErr w:type="gramStart"/>
            <w:r w:rsidRPr="002D2F67">
              <w:rPr>
                <w:rFonts w:ascii="Arial" w:hAnsi="Arial" w:cs="Arial"/>
                <w:b/>
                <w:bCs/>
                <w:color w:val="000000"/>
                <w:sz w:val="18"/>
                <w:szCs w:val="18"/>
              </w:rPr>
              <w:t>at</w:t>
            </w:r>
            <w:proofErr w:type="gramEnd"/>
            <w:r w:rsidRPr="002D2F67">
              <w:rPr>
                <w:rFonts w:ascii="Arial" w:hAnsi="Arial" w:cs="Arial"/>
                <w:b/>
                <w:bCs/>
                <w:color w:val="000000"/>
                <w:sz w:val="18"/>
                <w:szCs w:val="18"/>
              </w:rPr>
              <w:t xml:space="preserve"> </w:t>
            </w:r>
            <w:r w:rsidR="00CD5714" w:rsidRPr="00CD5714">
              <w:rPr>
                <w:rFonts w:ascii="Arial" w:hAnsi="Arial" w:cs="Arial"/>
                <w:b/>
                <w:bCs/>
                <w:color w:val="000000"/>
                <w:sz w:val="18"/>
                <w:szCs w:val="18"/>
                <w:lang w:val="en-GB"/>
              </w:rPr>
              <w:t>31</w:t>
            </w:r>
            <w:r w:rsidRPr="002D2F67">
              <w:rPr>
                <w:rFonts w:ascii="Arial" w:hAnsi="Arial" w:cs="Arial"/>
                <w:b/>
                <w:bCs/>
                <w:color w:val="000000"/>
                <w:sz w:val="18"/>
                <w:szCs w:val="18"/>
              </w:rPr>
              <w:t xml:space="preserve"> December</w:t>
            </w:r>
          </w:p>
        </w:tc>
        <w:tc>
          <w:tcPr>
            <w:tcW w:w="1584" w:type="dxa"/>
            <w:tcBorders>
              <w:top w:val="single" w:sz="4" w:space="0" w:color="auto"/>
            </w:tcBorders>
            <w:shd w:val="clear" w:color="auto" w:fill="auto"/>
            <w:vAlign w:val="bottom"/>
          </w:tcPr>
          <w:p w14:paraId="4D97F847" w14:textId="7A92DBCB" w:rsidR="00B73997" w:rsidRPr="002D2F67" w:rsidRDefault="00CD5714" w:rsidP="005611FE">
            <w:pPr>
              <w:ind w:right="-72"/>
              <w:jc w:val="right"/>
              <w:rPr>
                <w:rFonts w:ascii="Arial" w:hAnsi="Arial" w:cs="Arial"/>
                <w:b/>
                <w:bCs/>
                <w:color w:val="000000"/>
                <w:sz w:val="18"/>
                <w:szCs w:val="18"/>
              </w:rPr>
            </w:pPr>
            <w:r w:rsidRPr="00CD5714">
              <w:rPr>
                <w:rFonts w:ascii="Arial" w:hAnsi="Arial" w:cs="Arial"/>
                <w:b/>
                <w:bCs/>
                <w:color w:val="000000"/>
                <w:sz w:val="18"/>
                <w:szCs w:val="18"/>
                <w:lang w:val="en-GB"/>
              </w:rPr>
              <w:t>2024</w:t>
            </w:r>
          </w:p>
        </w:tc>
        <w:tc>
          <w:tcPr>
            <w:tcW w:w="1584" w:type="dxa"/>
            <w:tcBorders>
              <w:top w:val="single" w:sz="4" w:space="0" w:color="auto"/>
            </w:tcBorders>
            <w:shd w:val="clear" w:color="auto" w:fill="auto"/>
          </w:tcPr>
          <w:p w14:paraId="5A1CAC7C" w14:textId="2DEFE646" w:rsidR="00B73997" w:rsidRPr="002D2F67" w:rsidRDefault="00CD5714" w:rsidP="005611FE">
            <w:pPr>
              <w:ind w:right="-72"/>
              <w:jc w:val="right"/>
              <w:rPr>
                <w:rFonts w:ascii="Arial" w:hAnsi="Arial" w:cs="Arial"/>
                <w:b/>
                <w:bCs/>
                <w:color w:val="000000"/>
                <w:sz w:val="18"/>
                <w:szCs w:val="18"/>
              </w:rPr>
            </w:pPr>
            <w:r w:rsidRPr="00CD5714">
              <w:rPr>
                <w:rFonts w:ascii="Arial" w:hAnsi="Arial" w:cs="Arial"/>
                <w:b/>
                <w:bCs/>
                <w:color w:val="000000"/>
                <w:sz w:val="18"/>
                <w:szCs w:val="18"/>
                <w:lang w:val="en-GB"/>
              </w:rPr>
              <w:t>2023</w:t>
            </w:r>
          </w:p>
        </w:tc>
      </w:tr>
      <w:tr w:rsidR="00B73997" w:rsidRPr="002D2F67" w14:paraId="5FA72A72" w14:textId="77777777" w:rsidTr="002D2F67">
        <w:trPr>
          <w:cantSplit/>
        </w:trPr>
        <w:tc>
          <w:tcPr>
            <w:tcW w:w="6293" w:type="dxa"/>
            <w:shd w:val="clear" w:color="auto" w:fill="auto"/>
          </w:tcPr>
          <w:p w14:paraId="6080CBB8" w14:textId="77777777" w:rsidR="00B73997" w:rsidRPr="002D2F67" w:rsidRDefault="00B73997" w:rsidP="005611FE">
            <w:pPr>
              <w:ind w:left="456" w:right="-86"/>
              <w:rPr>
                <w:rFonts w:ascii="Arial" w:hAnsi="Arial" w:cs="Arial"/>
                <w:b/>
                <w:bCs/>
                <w:color w:val="000000"/>
                <w:sz w:val="18"/>
                <w:szCs w:val="18"/>
                <w:cs/>
              </w:rPr>
            </w:pPr>
          </w:p>
        </w:tc>
        <w:tc>
          <w:tcPr>
            <w:tcW w:w="1584" w:type="dxa"/>
            <w:tcBorders>
              <w:bottom w:val="single" w:sz="4" w:space="0" w:color="auto"/>
            </w:tcBorders>
            <w:shd w:val="clear" w:color="auto" w:fill="auto"/>
          </w:tcPr>
          <w:p w14:paraId="4814459C" w14:textId="77777777" w:rsidR="00B73997" w:rsidRPr="002D2F67" w:rsidRDefault="00B73997" w:rsidP="005611FE">
            <w:pPr>
              <w:ind w:right="-72"/>
              <w:jc w:val="right"/>
              <w:rPr>
                <w:rFonts w:ascii="Arial" w:hAnsi="Arial" w:cs="Arial"/>
                <w:color w:val="000000"/>
                <w:sz w:val="18"/>
                <w:szCs w:val="18"/>
              </w:rPr>
            </w:pPr>
            <w:r w:rsidRPr="002D2F67">
              <w:rPr>
                <w:rFonts w:ascii="Arial" w:hAnsi="Arial" w:cs="Arial"/>
                <w:b/>
                <w:bCs/>
                <w:color w:val="000000"/>
                <w:sz w:val="18"/>
                <w:szCs w:val="18"/>
              </w:rPr>
              <w:t>Million Baht</w:t>
            </w:r>
          </w:p>
        </w:tc>
        <w:tc>
          <w:tcPr>
            <w:tcW w:w="1584" w:type="dxa"/>
            <w:tcBorders>
              <w:bottom w:val="single" w:sz="4" w:space="0" w:color="auto"/>
            </w:tcBorders>
            <w:shd w:val="clear" w:color="auto" w:fill="auto"/>
          </w:tcPr>
          <w:p w14:paraId="4CBF3D80" w14:textId="77777777" w:rsidR="00B73997" w:rsidRPr="002D2F67" w:rsidRDefault="00B73997" w:rsidP="005611FE">
            <w:pPr>
              <w:ind w:right="-72"/>
              <w:jc w:val="right"/>
              <w:rPr>
                <w:rFonts w:ascii="Arial" w:hAnsi="Arial" w:cs="Arial"/>
                <w:b/>
                <w:bCs/>
                <w:color w:val="000000"/>
                <w:sz w:val="18"/>
                <w:szCs w:val="18"/>
              </w:rPr>
            </w:pPr>
            <w:r w:rsidRPr="002D2F67">
              <w:rPr>
                <w:rFonts w:ascii="Arial" w:hAnsi="Arial" w:cs="Arial"/>
                <w:b/>
                <w:bCs/>
                <w:color w:val="000000"/>
                <w:sz w:val="18"/>
                <w:szCs w:val="18"/>
              </w:rPr>
              <w:t>Million Baht</w:t>
            </w:r>
          </w:p>
        </w:tc>
      </w:tr>
      <w:tr w:rsidR="00B73997" w:rsidRPr="002D2F67" w14:paraId="194031C8" w14:textId="77777777" w:rsidTr="002D2F67">
        <w:trPr>
          <w:cantSplit/>
        </w:trPr>
        <w:tc>
          <w:tcPr>
            <w:tcW w:w="6293" w:type="dxa"/>
            <w:shd w:val="clear" w:color="auto" w:fill="auto"/>
          </w:tcPr>
          <w:p w14:paraId="2B14342D" w14:textId="77777777" w:rsidR="00B73997" w:rsidRPr="002D2F67" w:rsidRDefault="00B73997" w:rsidP="005611FE">
            <w:pPr>
              <w:ind w:left="456" w:right="-86"/>
              <w:rPr>
                <w:rFonts w:ascii="Arial" w:hAnsi="Arial" w:cs="Arial"/>
                <w:b/>
                <w:bCs/>
                <w:color w:val="000000"/>
                <w:sz w:val="18"/>
                <w:szCs w:val="18"/>
                <w:cs/>
              </w:rPr>
            </w:pPr>
          </w:p>
        </w:tc>
        <w:tc>
          <w:tcPr>
            <w:tcW w:w="1584" w:type="dxa"/>
            <w:tcBorders>
              <w:top w:val="single" w:sz="4" w:space="0" w:color="auto"/>
            </w:tcBorders>
            <w:shd w:val="clear" w:color="auto" w:fill="auto"/>
          </w:tcPr>
          <w:p w14:paraId="4122773E" w14:textId="77777777" w:rsidR="00B73997" w:rsidRPr="002D2F67" w:rsidRDefault="00B73997" w:rsidP="005611FE">
            <w:pPr>
              <w:ind w:right="-72"/>
              <w:jc w:val="right"/>
              <w:rPr>
                <w:rFonts w:ascii="Arial" w:hAnsi="Arial" w:cs="Arial"/>
                <w:color w:val="000000"/>
                <w:sz w:val="18"/>
                <w:szCs w:val="18"/>
              </w:rPr>
            </w:pPr>
          </w:p>
        </w:tc>
        <w:tc>
          <w:tcPr>
            <w:tcW w:w="1584" w:type="dxa"/>
            <w:tcBorders>
              <w:top w:val="single" w:sz="4" w:space="0" w:color="auto"/>
            </w:tcBorders>
            <w:shd w:val="clear" w:color="auto" w:fill="auto"/>
          </w:tcPr>
          <w:p w14:paraId="624557A5" w14:textId="77777777" w:rsidR="00B73997" w:rsidRPr="002D2F67" w:rsidRDefault="00B73997" w:rsidP="005611FE">
            <w:pPr>
              <w:ind w:right="-72"/>
              <w:jc w:val="right"/>
              <w:rPr>
                <w:rFonts w:ascii="Arial" w:hAnsi="Arial" w:cs="Arial"/>
                <w:color w:val="000000"/>
                <w:sz w:val="18"/>
                <w:szCs w:val="18"/>
              </w:rPr>
            </w:pPr>
          </w:p>
        </w:tc>
      </w:tr>
      <w:tr w:rsidR="00C500A8" w:rsidRPr="002D2F67" w14:paraId="16AE9EBE" w14:textId="77777777" w:rsidTr="002D2F67">
        <w:trPr>
          <w:cantSplit/>
        </w:trPr>
        <w:tc>
          <w:tcPr>
            <w:tcW w:w="6293" w:type="dxa"/>
            <w:shd w:val="clear" w:color="auto" w:fill="auto"/>
          </w:tcPr>
          <w:p w14:paraId="4EC27B28" w14:textId="28C3E8D9" w:rsidR="00C500A8" w:rsidRPr="002D2F67" w:rsidRDefault="00C500A8" w:rsidP="005611FE">
            <w:pPr>
              <w:ind w:left="456" w:right="-86"/>
              <w:rPr>
                <w:rFonts w:ascii="Arial" w:hAnsi="Arial" w:cs="Arial"/>
                <w:color w:val="000000"/>
                <w:sz w:val="18"/>
                <w:szCs w:val="18"/>
                <w:cs/>
              </w:rPr>
            </w:pPr>
            <w:r w:rsidRPr="002D2F67">
              <w:rPr>
                <w:rFonts w:ascii="Arial" w:hAnsi="Arial" w:cs="Arial"/>
                <w:color w:val="000000"/>
                <w:sz w:val="18"/>
                <w:szCs w:val="18"/>
              </w:rPr>
              <w:t>Total current assets</w:t>
            </w:r>
          </w:p>
        </w:tc>
        <w:tc>
          <w:tcPr>
            <w:tcW w:w="1584" w:type="dxa"/>
            <w:tcBorders>
              <w:bottom w:val="single" w:sz="4" w:space="0" w:color="auto"/>
            </w:tcBorders>
            <w:shd w:val="clear" w:color="auto" w:fill="auto"/>
          </w:tcPr>
          <w:p w14:paraId="15FB7B89" w14:textId="67136178" w:rsidR="00C500A8"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5</w:t>
            </w:r>
            <w:r w:rsidR="001C6151" w:rsidRPr="002D2F67">
              <w:rPr>
                <w:rFonts w:ascii="Arial" w:hAnsi="Arial" w:cs="Arial"/>
                <w:color w:val="000000"/>
                <w:sz w:val="18"/>
                <w:szCs w:val="18"/>
              </w:rPr>
              <w:t>,</w:t>
            </w:r>
            <w:r w:rsidRPr="00CD5714">
              <w:rPr>
                <w:rFonts w:ascii="Arial" w:hAnsi="Arial" w:cs="Arial"/>
                <w:color w:val="000000"/>
                <w:sz w:val="18"/>
                <w:szCs w:val="18"/>
                <w:lang w:val="en-GB"/>
              </w:rPr>
              <w:t>912</w:t>
            </w:r>
          </w:p>
        </w:tc>
        <w:tc>
          <w:tcPr>
            <w:tcW w:w="1584" w:type="dxa"/>
            <w:tcBorders>
              <w:bottom w:val="single" w:sz="4" w:space="0" w:color="auto"/>
            </w:tcBorders>
            <w:shd w:val="clear" w:color="auto" w:fill="auto"/>
          </w:tcPr>
          <w:p w14:paraId="6BBEED9D" w14:textId="77E7CED0" w:rsidR="00C500A8"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7</w:t>
            </w:r>
            <w:r w:rsidR="00C500A8" w:rsidRPr="002D2F67">
              <w:rPr>
                <w:rFonts w:ascii="Arial" w:hAnsi="Arial" w:cs="Arial"/>
                <w:color w:val="000000"/>
                <w:sz w:val="18"/>
                <w:szCs w:val="18"/>
              </w:rPr>
              <w:t>,</w:t>
            </w:r>
            <w:r w:rsidRPr="00CD5714">
              <w:rPr>
                <w:rFonts w:ascii="Arial" w:hAnsi="Arial" w:cs="Arial"/>
                <w:color w:val="000000"/>
                <w:sz w:val="18"/>
                <w:szCs w:val="18"/>
                <w:lang w:val="en-GB"/>
              </w:rPr>
              <w:t>820</w:t>
            </w:r>
          </w:p>
        </w:tc>
      </w:tr>
      <w:tr w:rsidR="00C500A8" w:rsidRPr="002D2F67" w14:paraId="44392852" w14:textId="77777777" w:rsidTr="002D2F67">
        <w:trPr>
          <w:cantSplit/>
        </w:trPr>
        <w:tc>
          <w:tcPr>
            <w:tcW w:w="6293" w:type="dxa"/>
            <w:shd w:val="clear" w:color="auto" w:fill="auto"/>
          </w:tcPr>
          <w:p w14:paraId="440C987E" w14:textId="5CAAB3B8" w:rsidR="00C500A8" w:rsidRPr="002D2F67" w:rsidRDefault="00C500A8" w:rsidP="005611FE">
            <w:pPr>
              <w:ind w:left="456" w:right="-86"/>
              <w:rPr>
                <w:rFonts w:ascii="Arial" w:hAnsi="Arial" w:cs="Arial"/>
                <w:color w:val="000000"/>
                <w:sz w:val="18"/>
                <w:szCs w:val="18"/>
                <w:cs/>
              </w:rPr>
            </w:pPr>
          </w:p>
        </w:tc>
        <w:tc>
          <w:tcPr>
            <w:tcW w:w="1584" w:type="dxa"/>
            <w:tcBorders>
              <w:top w:val="single" w:sz="4" w:space="0" w:color="auto"/>
            </w:tcBorders>
            <w:shd w:val="clear" w:color="auto" w:fill="auto"/>
          </w:tcPr>
          <w:p w14:paraId="3242FFD4" w14:textId="77777777" w:rsidR="00C500A8" w:rsidRPr="002D2F67" w:rsidRDefault="00C500A8"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584" w:type="dxa"/>
            <w:tcBorders>
              <w:top w:val="single" w:sz="4" w:space="0" w:color="auto"/>
            </w:tcBorders>
            <w:shd w:val="clear" w:color="auto" w:fill="auto"/>
          </w:tcPr>
          <w:p w14:paraId="4F5D2AA0" w14:textId="2E4D40F1" w:rsidR="00C500A8" w:rsidRPr="002D2F67" w:rsidRDefault="00C500A8" w:rsidP="005611FE">
            <w:pPr>
              <w:ind w:right="-72"/>
              <w:jc w:val="right"/>
              <w:rPr>
                <w:rFonts w:ascii="Arial" w:hAnsi="Arial" w:cs="Arial"/>
                <w:color w:val="000000"/>
                <w:sz w:val="18"/>
                <w:szCs w:val="18"/>
              </w:rPr>
            </w:pPr>
          </w:p>
        </w:tc>
      </w:tr>
      <w:tr w:rsidR="00C500A8" w:rsidRPr="002D2F67" w14:paraId="0513BBC2" w14:textId="77777777" w:rsidTr="002D2F67">
        <w:trPr>
          <w:cantSplit/>
        </w:trPr>
        <w:tc>
          <w:tcPr>
            <w:tcW w:w="6293" w:type="dxa"/>
            <w:shd w:val="clear" w:color="auto" w:fill="auto"/>
          </w:tcPr>
          <w:p w14:paraId="5FCCB6B7" w14:textId="523DAEF6" w:rsidR="00C500A8" w:rsidRPr="002D2F67" w:rsidRDefault="00C500A8" w:rsidP="005611FE">
            <w:pPr>
              <w:ind w:left="456" w:right="-86"/>
              <w:rPr>
                <w:rFonts w:ascii="Arial" w:hAnsi="Arial" w:cs="Arial"/>
                <w:color w:val="000000"/>
                <w:sz w:val="18"/>
                <w:szCs w:val="18"/>
                <w:cs/>
              </w:rPr>
            </w:pPr>
            <w:r w:rsidRPr="002D2F67">
              <w:rPr>
                <w:rFonts w:ascii="Arial" w:hAnsi="Arial" w:cs="Arial"/>
                <w:color w:val="000000"/>
                <w:sz w:val="18"/>
                <w:szCs w:val="18"/>
              </w:rPr>
              <w:t>Total non-current assets</w:t>
            </w:r>
          </w:p>
        </w:tc>
        <w:tc>
          <w:tcPr>
            <w:tcW w:w="1584" w:type="dxa"/>
            <w:tcBorders>
              <w:bottom w:val="single" w:sz="4" w:space="0" w:color="auto"/>
            </w:tcBorders>
            <w:shd w:val="clear" w:color="auto" w:fill="auto"/>
          </w:tcPr>
          <w:p w14:paraId="4B8A7E05" w14:textId="7FC8EF50" w:rsidR="00C500A8"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CD5714">
              <w:rPr>
                <w:rFonts w:ascii="Arial" w:hAnsi="Arial" w:cs="Arial"/>
                <w:color w:val="000000"/>
                <w:sz w:val="18"/>
                <w:szCs w:val="18"/>
                <w:lang w:val="en-GB"/>
              </w:rPr>
              <w:t>2</w:t>
            </w:r>
            <w:r w:rsidR="00E12766" w:rsidRPr="002D2F67">
              <w:rPr>
                <w:rFonts w:ascii="Arial" w:hAnsi="Arial" w:cs="Arial"/>
                <w:color w:val="000000"/>
                <w:sz w:val="18"/>
                <w:szCs w:val="18"/>
              </w:rPr>
              <w:t>,</w:t>
            </w:r>
            <w:r w:rsidRPr="00CD5714">
              <w:rPr>
                <w:rFonts w:ascii="Arial" w:hAnsi="Arial" w:cs="Arial"/>
                <w:color w:val="000000"/>
                <w:sz w:val="18"/>
                <w:szCs w:val="18"/>
                <w:lang w:val="en-GB"/>
              </w:rPr>
              <w:t>187</w:t>
            </w:r>
          </w:p>
        </w:tc>
        <w:tc>
          <w:tcPr>
            <w:tcW w:w="1584" w:type="dxa"/>
            <w:tcBorders>
              <w:bottom w:val="single" w:sz="4" w:space="0" w:color="auto"/>
            </w:tcBorders>
            <w:shd w:val="clear" w:color="auto" w:fill="auto"/>
          </w:tcPr>
          <w:p w14:paraId="1B11631B" w14:textId="2645FA02" w:rsidR="00C500A8"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3</w:t>
            </w:r>
            <w:r w:rsidR="00C500A8" w:rsidRPr="002D2F67">
              <w:rPr>
                <w:rFonts w:ascii="Arial" w:hAnsi="Arial" w:cs="Arial"/>
                <w:color w:val="000000"/>
                <w:sz w:val="18"/>
                <w:szCs w:val="18"/>
              </w:rPr>
              <w:t>,</w:t>
            </w:r>
            <w:r w:rsidRPr="00CD5714">
              <w:rPr>
                <w:rFonts w:ascii="Arial" w:hAnsi="Arial" w:cs="Arial"/>
                <w:color w:val="000000"/>
                <w:sz w:val="18"/>
                <w:szCs w:val="18"/>
                <w:lang w:val="en-GB"/>
              </w:rPr>
              <w:t>084</w:t>
            </w:r>
          </w:p>
        </w:tc>
      </w:tr>
      <w:tr w:rsidR="00C500A8" w:rsidRPr="002D2F67" w14:paraId="5D40E93B" w14:textId="77777777" w:rsidTr="002D2F67">
        <w:trPr>
          <w:cantSplit/>
        </w:trPr>
        <w:tc>
          <w:tcPr>
            <w:tcW w:w="6293" w:type="dxa"/>
            <w:shd w:val="clear" w:color="auto" w:fill="auto"/>
          </w:tcPr>
          <w:p w14:paraId="6116B6C0" w14:textId="56BBD1B8" w:rsidR="00C500A8" w:rsidRPr="002D2F67" w:rsidRDefault="00C500A8" w:rsidP="005611FE">
            <w:pPr>
              <w:ind w:left="456" w:right="-86"/>
              <w:rPr>
                <w:rFonts w:ascii="Arial" w:eastAsia="Arial Unicode MS" w:hAnsi="Arial" w:cs="Arial"/>
                <w:color w:val="000000"/>
                <w:sz w:val="18"/>
                <w:szCs w:val="18"/>
                <w:cs/>
              </w:rPr>
            </w:pPr>
          </w:p>
        </w:tc>
        <w:tc>
          <w:tcPr>
            <w:tcW w:w="1584" w:type="dxa"/>
            <w:tcBorders>
              <w:top w:val="single" w:sz="4" w:space="0" w:color="auto"/>
            </w:tcBorders>
            <w:shd w:val="clear" w:color="auto" w:fill="auto"/>
          </w:tcPr>
          <w:p w14:paraId="3F6DC336" w14:textId="77777777" w:rsidR="00C500A8" w:rsidRPr="002D2F67" w:rsidRDefault="00C500A8" w:rsidP="005611FE">
            <w:pPr>
              <w:ind w:right="-72"/>
              <w:jc w:val="right"/>
              <w:rPr>
                <w:rFonts w:ascii="Arial" w:eastAsia="Arial Unicode MS" w:hAnsi="Arial" w:cs="Arial"/>
                <w:color w:val="000000"/>
                <w:sz w:val="18"/>
                <w:szCs w:val="18"/>
              </w:rPr>
            </w:pPr>
          </w:p>
        </w:tc>
        <w:tc>
          <w:tcPr>
            <w:tcW w:w="1584" w:type="dxa"/>
            <w:tcBorders>
              <w:top w:val="single" w:sz="4" w:space="0" w:color="auto"/>
            </w:tcBorders>
            <w:shd w:val="clear" w:color="auto" w:fill="auto"/>
          </w:tcPr>
          <w:p w14:paraId="70E6B1D3" w14:textId="77777777" w:rsidR="00C500A8" w:rsidRPr="002D2F67" w:rsidRDefault="00C500A8" w:rsidP="005611FE">
            <w:pPr>
              <w:ind w:right="-72"/>
              <w:jc w:val="right"/>
              <w:rPr>
                <w:rFonts w:ascii="Arial" w:eastAsia="Arial Unicode MS" w:hAnsi="Arial" w:cs="Arial"/>
                <w:color w:val="000000"/>
                <w:sz w:val="18"/>
                <w:szCs w:val="18"/>
              </w:rPr>
            </w:pPr>
          </w:p>
        </w:tc>
      </w:tr>
      <w:tr w:rsidR="00C500A8" w:rsidRPr="002D2F67" w14:paraId="6A1C8793" w14:textId="77777777" w:rsidTr="002D2F67">
        <w:trPr>
          <w:cantSplit/>
        </w:trPr>
        <w:tc>
          <w:tcPr>
            <w:tcW w:w="6293" w:type="dxa"/>
            <w:shd w:val="clear" w:color="auto" w:fill="auto"/>
          </w:tcPr>
          <w:p w14:paraId="1E4066C2" w14:textId="1E18A2B8" w:rsidR="00C500A8" w:rsidRPr="002D2F67" w:rsidRDefault="00C500A8" w:rsidP="005611FE">
            <w:pPr>
              <w:ind w:left="456" w:right="-86"/>
              <w:rPr>
                <w:rFonts w:ascii="Arial" w:eastAsia="Arial Unicode MS" w:hAnsi="Arial" w:cs="Arial"/>
                <w:color w:val="000000"/>
                <w:sz w:val="18"/>
                <w:szCs w:val="18"/>
                <w:cs/>
              </w:rPr>
            </w:pPr>
            <w:r w:rsidRPr="002D2F67">
              <w:rPr>
                <w:rFonts w:ascii="Arial" w:hAnsi="Arial" w:cs="Arial"/>
                <w:color w:val="000000"/>
                <w:sz w:val="18"/>
                <w:szCs w:val="18"/>
              </w:rPr>
              <w:t>Total current liabilities</w:t>
            </w:r>
          </w:p>
        </w:tc>
        <w:tc>
          <w:tcPr>
            <w:tcW w:w="1584" w:type="dxa"/>
            <w:tcBorders>
              <w:bottom w:val="single" w:sz="4" w:space="0" w:color="auto"/>
            </w:tcBorders>
            <w:shd w:val="clear" w:color="auto" w:fill="auto"/>
          </w:tcPr>
          <w:p w14:paraId="27B2F0A7" w14:textId="5AA4DF31" w:rsidR="00C500A8" w:rsidRPr="002D2F67" w:rsidRDefault="001C6151"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6</w:t>
            </w:r>
            <w:r w:rsidRPr="002D2F67">
              <w:rPr>
                <w:rFonts w:ascii="Arial" w:hAnsi="Arial" w:cs="Arial"/>
                <w:color w:val="000000"/>
                <w:sz w:val="18"/>
                <w:szCs w:val="18"/>
              </w:rPr>
              <w:t>,</w:t>
            </w:r>
            <w:r w:rsidR="00CD5714" w:rsidRPr="00CD5714">
              <w:rPr>
                <w:rFonts w:ascii="Arial" w:hAnsi="Arial" w:cs="Arial"/>
                <w:color w:val="000000"/>
                <w:sz w:val="18"/>
                <w:szCs w:val="18"/>
                <w:lang w:val="en-GB"/>
              </w:rPr>
              <w:t>330</w:t>
            </w:r>
            <w:r w:rsidRPr="002D2F67">
              <w:rPr>
                <w:rFonts w:ascii="Arial" w:hAnsi="Arial" w:cs="Arial"/>
                <w:color w:val="000000"/>
                <w:sz w:val="18"/>
                <w:szCs w:val="18"/>
              </w:rPr>
              <w:t>)</w:t>
            </w:r>
          </w:p>
        </w:tc>
        <w:tc>
          <w:tcPr>
            <w:tcW w:w="1584" w:type="dxa"/>
            <w:tcBorders>
              <w:bottom w:val="single" w:sz="4" w:space="0" w:color="auto"/>
            </w:tcBorders>
            <w:shd w:val="clear" w:color="auto" w:fill="auto"/>
          </w:tcPr>
          <w:p w14:paraId="16C6F7C9" w14:textId="624F2A92" w:rsidR="00C500A8" w:rsidRPr="002D2F67" w:rsidRDefault="00C500A8"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6</w:t>
            </w:r>
            <w:r w:rsidRPr="002D2F67">
              <w:rPr>
                <w:rFonts w:ascii="Arial" w:hAnsi="Arial" w:cs="Arial"/>
                <w:color w:val="000000"/>
                <w:sz w:val="18"/>
                <w:szCs w:val="18"/>
              </w:rPr>
              <w:t>,</w:t>
            </w:r>
            <w:r w:rsidR="00CD5714" w:rsidRPr="00CD5714">
              <w:rPr>
                <w:rFonts w:ascii="Arial" w:hAnsi="Arial" w:cs="Arial"/>
                <w:color w:val="000000"/>
                <w:sz w:val="18"/>
                <w:szCs w:val="18"/>
                <w:lang w:val="en-GB"/>
              </w:rPr>
              <w:t>099</w:t>
            </w:r>
            <w:r w:rsidRPr="002D2F67">
              <w:rPr>
                <w:rFonts w:ascii="Arial" w:hAnsi="Arial" w:cs="Arial"/>
                <w:color w:val="000000"/>
                <w:sz w:val="18"/>
                <w:szCs w:val="18"/>
              </w:rPr>
              <w:t>)</w:t>
            </w:r>
          </w:p>
        </w:tc>
      </w:tr>
      <w:tr w:rsidR="00C500A8" w:rsidRPr="002D2F67" w14:paraId="0A4F763C" w14:textId="77777777" w:rsidTr="002D2F67">
        <w:trPr>
          <w:cantSplit/>
        </w:trPr>
        <w:tc>
          <w:tcPr>
            <w:tcW w:w="6293" w:type="dxa"/>
            <w:shd w:val="clear" w:color="auto" w:fill="auto"/>
          </w:tcPr>
          <w:p w14:paraId="6389FD06" w14:textId="3227353A" w:rsidR="00C500A8" w:rsidRPr="002D2F67" w:rsidRDefault="00C500A8" w:rsidP="005611FE">
            <w:pPr>
              <w:ind w:left="456" w:right="-86"/>
              <w:rPr>
                <w:rFonts w:ascii="Arial" w:eastAsia="Arial Unicode MS" w:hAnsi="Arial" w:cs="Arial"/>
                <w:color w:val="000000"/>
                <w:sz w:val="18"/>
                <w:szCs w:val="18"/>
              </w:rPr>
            </w:pPr>
          </w:p>
        </w:tc>
        <w:tc>
          <w:tcPr>
            <w:tcW w:w="1584" w:type="dxa"/>
            <w:tcBorders>
              <w:top w:val="single" w:sz="4" w:space="0" w:color="auto"/>
            </w:tcBorders>
            <w:shd w:val="clear" w:color="auto" w:fill="auto"/>
          </w:tcPr>
          <w:p w14:paraId="3FBCBB3A" w14:textId="77777777" w:rsidR="00C500A8" w:rsidRPr="002D2F67" w:rsidRDefault="00C500A8" w:rsidP="005611FE">
            <w:pPr>
              <w:ind w:right="-72"/>
              <w:jc w:val="right"/>
              <w:rPr>
                <w:rFonts w:ascii="Arial" w:hAnsi="Arial" w:cs="Arial"/>
                <w:color w:val="000000"/>
                <w:sz w:val="18"/>
                <w:szCs w:val="18"/>
              </w:rPr>
            </w:pPr>
          </w:p>
        </w:tc>
        <w:tc>
          <w:tcPr>
            <w:tcW w:w="1584" w:type="dxa"/>
            <w:tcBorders>
              <w:top w:val="single" w:sz="4" w:space="0" w:color="auto"/>
            </w:tcBorders>
            <w:shd w:val="clear" w:color="auto" w:fill="auto"/>
          </w:tcPr>
          <w:p w14:paraId="46677710" w14:textId="2149F159" w:rsidR="00C500A8" w:rsidRPr="002D2F67" w:rsidRDefault="00C500A8" w:rsidP="005611FE">
            <w:pPr>
              <w:ind w:right="-72"/>
              <w:jc w:val="right"/>
              <w:rPr>
                <w:rFonts w:ascii="Arial" w:hAnsi="Arial" w:cs="Arial"/>
                <w:color w:val="000000"/>
                <w:sz w:val="18"/>
                <w:szCs w:val="18"/>
              </w:rPr>
            </w:pPr>
          </w:p>
        </w:tc>
      </w:tr>
      <w:tr w:rsidR="00C500A8" w:rsidRPr="002D2F67" w14:paraId="4EDEFF57" w14:textId="77777777" w:rsidTr="002D2F67">
        <w:trPr>
          <w:cantSplit/>
        </w:trPr>
        <w:tc>
          <w:tcPr>
            <w:tcW w:w="6293" w:type="dxa"/>
            <w:shd w:val="clear" w:color="auto" w:fill="auto"/>
          </w:tcPr>
          <w:p w14:paraId="257791F9" w14:textId="2531B762" w:rsidR="00C500A8" w:rsidRPr="002D2F67" w:rsidRDefault="00C500A8" w:rsidP="005611FE">
            <w:pPr>
              <w:ind w:left="456" w:right="-86"/>
              <w:rPr>
                <w:rFonts w:ascii="Arial" w:eastAsia="Arial Unicode MS" w:hAnsi="Arial" w:cs="Arial"/>
                <w:color w:val="000000"/>
                <w:sz w:val="18"/>
                <w:szCs w:val="18"/>
              </w:rPr>
            </w:pPr>
            <w:r w:rsidRPr="002D2F67">
              <w:rPr>
                <w:rFonts w:ascii="Arial" w:hAnsi="Arial" w:cs="Arial"/>
                <w:color w:val="000000"/>
                <w:sz w:val="18"/>
                <w:szCs w:val="18"/>
              </w:rPr>
              <w:t>Total non-current liabilities</w:t>
            </w:r>
          </w:p>
        </w:tc>
        <w:tc>
          <w:tcPr>
            <w:tcW w:w="1584" w:type="dxa"/>
            <w:tcBorders>
              <w:bottom w:val="single" w:sz="4" w:space="0" w:color="auto"/>
            </w:tcBorders>
            <w:shd w:val="clear" w:color="auto" w:fill="auto"/>
          </w:tcPr>
          <w:p w14:paraId="7727BD71" w14:textId="5A5BD1D5" w:rsidR="00C500A8" w:rsidRPr="002D2F67" w:rsidRDefault="001C6151"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567</w:t>
            </w:r>
            <w:r w:rsidRPr="002D2F67">
              <w:rPr>
                <w:rFonts w:ascii="Arial" w:hAnsi="Arial" w:cs="Arial"/>
                <w:color w:val="000000"/>
                <w:sz w:val="18"/>
                <w:szCs w:val="18"/>
              </w:rPr>
              <w:t>)</w:t>
            </w:r>
          </w:p>
        </w:tc>
        <w:tc>
          <w:tcPr>
            <w:tcW w:w="1584" w:type="dxa"/>
            <w:tcBorders>
              <w:bottom w:val="single" w:sz="4" w:space="0" w:color="auto"/>
            </w:tcBorders>
            <w:shd w:val="clear" w:color="auto" w:fill="auto"/>
          </w:tcPr>
          <w:p w14:paraId="4A9B9CE6" w14:textId="16A354A3" w:rsidR="00C500A8" w:rsidRPr="002D2F67" w:rsidRDefault="00C500A8"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890</w:t>
            </w:r>
            <w:r w:rsidRPr="002D2F67">
              <w:rPr>
                <w:rFonts w:ascii="Arial" w:hAnsi="Arial" w:cs="Arial"/>
                <w:color w:val="000000"/>
                <w:sz w:val="18"/>
                <w:szCs w:val="18"/>
              </w:rPr>
              <w:t>)</w:t>
            </w:r>
          </w:p>
        </w:tc>
      </w:tr>
      <w:tr w:rsidR="00C500A8" w:rsidRPr="002D2F67" w14:paraId="3FCAB0C0" w14:textId="77777777" w:rsidTr="002D2F67">
        <w:trPr>
          <w:cantSplit/>
        </w:trPr>
        <w:tc>
          <w:tcPr>
            <w:tcW w:w="6293" w:type="dxa"/>
            <w:shd w:val="clear" w:color="auto" w:fill="auto"/>
          </w:tcPr>
          <w:p w14:paraId="5BF69A00" w14:textId="02704A16" w:rsidR="00C500A8" w:rsidRPr="002D2F67" w:rsidRDefault="00C500A8" w:rsidP="005611FE">
            <w:pPr>
              <w:ind w:left="456" w:right="-86"/>
              <w:rPr>
                <w:rFonts w:ascii="Arial" w:eastAsia="Arial Unicode MS" w:hAnsi="Arial" w:cs="Arial"/>
                <w:b/>
                <w:bCs/>
                <w:color w:val="000000"/>
                <w:sz w:val="18"/>
                <w:szCs w:val="18"/>
              </w:rPr>
            </w:pPr>
          </w:p>
        </w:tc>
        <w:tc>
          <w:tcPr>
            <w:tcW w:w="1584" w:type="dxa"/>
            <w:tcBorders>
              <w:top w:val="single" w:sz="4" w:space="0" w:color="auto"/>
            </w:tcBorders>
            <w:shd w:val="clear" w:color="auto" w:fill="auto"/>
          </w:tcPr>
          <w:p w14:paraId="1E7ED356" w14:textId="77777777" w:rsidR="00C500A8" w:rsidRPr="002D2F67" w:rsidRDefault="00C500A8" w:rsidP="005611FE">
            <w:pPr>
              <w:ind w:right="-72"/>
              <w:jc w:val="right"/>
              <w:rPr>
                <w:rFonts w:ascii="Arial" w:hAnsi="Arial" w:cs="Arial"/>
                <w:color w:val="000000"/>
                <w:sz w:val="18"/>
                <w:szCs w:val="18"/>
              </w:rPr>
            </w:pPr>
          </w:p>
        </w:tc>
        <w:tc>
          <w:tcPr>
            <w:tcW w:w="1584" w:type="dxa"/>
            <w:tcBorders>
              <w:top w:val="single" w:sz="4" w:space="0" w:color="auto"/>
            </w:tcBorders>
            <w:shd w:val="clear" w:color="auto" w:fill="auto"/>
          </w:tcPr>
          <w:p w14:paraId="027E3BD9" w14:textId="77777777" w:rsidR="00C500A8" w:rsidRPr="002D2F67" w:rsidRDefault="00C500A8" w:rsidP="005611FE">
            <w:pPr>
              <w:ind w:right="-72"/>
              <w:jc w:val="right"/>
              <w:rPr>
                <w:rFonts w:ascii="Arial" w:hAnsi="Arial" w:cs="Arial"/>
                <w:color w:val="000000"/>
                <w:sz w:val="18"/>
                <w:szCs w:val="18"/>
              </w:rPr>
            </w:pPr>
          </w:p>
        </w:tc>
      </w:tr>
      <w:tr w:rsidR="00C500A8" w:rsidRPr="002D2F67" w14:paraId="5CBB2F20" w14:textId="77777777" w:rsidTr="002D2F67">
        <w:trPr>
          <w:cantSplit/>
        </w:trPr>
        <w:tc>
          <w:tcPr>
            <w:tcW w:w="6293" w:type="dxa"/>
            <w:shd w:val="clear" w:color="auto" w:fill="auto"/>
          </w:tcPr>
          <w:p w14:paraId="1C61F99B" w14:textId="36C3A883" w:rsidR="00C500A8" w:rsidRPr="002D2F67" w:rsidRDefault="00C500A8" w:rsidP="005611FE">
            <w:pPr>
              <w:ind w:left="456" w:right="-86"/>
              <w:rPr>
                <w:rFonts w:ascii="Arial" w:eastAsia="Arial Unicode MS" w:hAnsi="Arial" w:cs="Arial"/>
                <w:b/>
                <w:bCs/>
                <w:color w:val="000000"/>
                <w:sz w:val="18"/>
                <w:szCs w:val="18"/>
              </w:rPr>
            </w:pPr>
            <w:r w:rsidRPr="002D2F67">
              <w:rPr>
                <w:rFonts w:ascii="Arial" w:hAnsi="Arial" w:cs="Arial"/>
                <w:b/>
                <w:bCs/>
                <w:color w:val="000000"/>
                <w:sz w:val="18"/>
                <w:szCs w:val="18"/>
              </w:rPr>
              <w:t>Net assets</w:t>
            </w:r>
          </w:p>
        </w:tc>
        <w:tc>
          <w:tcPr>
            <w:tcW w:w="1584" w:type="dxa"/>
            <w:tcBorders>
              <w:left w:val="nil"/>
              <w:bottom w:val="single" w:sz="4" w:space="0" w:color="auto"/>
              <w:right w:val="nil"/>
            </w:tcBorders>
            <w:shd w:val="clear" w:color="auto" w:fill="auto"/>
          </w:tcPr>
          <w:p w14:paraId="75B168B3" w14:textId="2C6CA358" w:rsidR="00C500A8" w:rsidRPr="002D2F67" w:rsidRDefault="00CD5714" w:rsidP="005611FE">
            <w:pPr>
              <w:ind w:right="-72"/>
              <w:jc w:val="right"/>
              <w:rPr>
                <w:rFonts w:ascii="Arial" w:eastAsia="Arial Unicode MS" w:hAnsi="Arial" w:cs="Arial"/>
                <w:color w:val="000000"/>
                <w:sz w:val="18"/>
                <w:szCs w:val="18"/>
              </w:rPr>
            </w:pPr>
            <w:r w:rsidRPr="00CD5714">
              <w:rPr>
                <w:rFonts w:ascii="Arial" w:eastAsia="Arial Unicode MS" w:hAnsi="Arial" w:cs="Arial"/>
                <w:color w:val="000000"/>
                <w:sz w:val="18"/>
                <w:szCs w:val="18"/>
                <w:lang w:val="en-GB"/>
              </w:rPr>
              <w:t>1</w:t>
            </w:r>
            <w:r w:rsidR="00221F48" w:rsidRPr="002D2F67">
              <w:rPr>
                <w:rFonts w:ascii="Arial" w:eastAsia="Arial Unicode MS" w:hAnsi="Arial" w:cs="Arial"/>
                <w:color w:val="000000"/>
                <w:sz w:val="18"/>
                <w:szCs w:val="18"/>
              </w:rPr>
              <w:t>,</w:t>
            </w:r>
            <w:r w:rsidRPr="00CD5714">
              <w:rPr>
                <w:rFonts w:ascii="Arial" w:eastAsia="Arial Unicode MS" w:hAnsi="Arial" w:cs="Arial"/>
                <w:color w:val="000000"/>
                <w:sz w:val="18"/>
                <w:szCs w:val="18"/>
                <w:lang w:val="en-GB"/>
              </w:rPr>
              <w:t>202</w:t>
            </w:r>
          </w:p>
        </w:tc>
        <w:tc>
          <w:tcPr>
            <w:tcW w:w="1584" w:type="dxa"/>
            <w:tcBorders>
              <w:left w:val="nil"/>
              <w:bottom w:val="single" w:sz="4" w:space="0" w:color="auto"/>
              <w:right w:val="nil"/>
            </w:tcBorders>
            <w:shd w:val="clear" w:color="auto" w:fill="auto"/>
          </w:tcPr>
          <w:p w14:paraId="320AA07A" w14:textId="039ED537" w:rsidR="00C500A8" w:rsidRPr="002D2F67" w:rsidRDefault="00CD5714" w:rsidP="005611FE">
            <w:pPr>
              <w:ind w:right="-72"/>
              <w:jc w:val="right"/>
              <w:rPr>
                <w:rFonts w:ascii="Arial" w:eastAsia="Arial Unicode MS" w:hAnsi="Arial" w:cs="Arial"/>
                <w:color w:val="000000"/>
                <w:sz w:val="18"/>
                <w:szCs w:val="18"/>
              </w:rPr>
            </w:pPr>
            <w:r w:rsidRPr="00CD5714">
              <w:rPr>
                <w:rFonts w:ascii="Arial" w:eastAsia="Arial Unicode MS" w:hAnsi="Arial" w:cs="Arial"/>
                <w:color w:val="000000"/>
                <w:sz w:val="18"/>
                <w:szCs w:val="18"/>
                <w:lang w:val="en-GB"/>
              </w:rPr>
              <w:t>3</w:t>
            </w:r>
            <w:r w:rsidR="00C500A8" w:rsidRPr="002D2F67">
              <w:rPr>
                <w:rFonts w:ascii="Arial" w:eastAsia="Arial Unicode MS" w:hAnsi="Arial" w:cs="Arial"/>
                <w:color w:val="000000"/>
                <w:sz w:val="18"/>
                <w:szCs w:val="18"/>
              </w:rPr>
              <w:t>,</w:t>
            </w:r>
            <w:r w:rsidRPr="00CD5714">
              <w:rPr>
                <w:rFonts w:ascii="Arial" w:eastAsia="Arial Unicode MS" w:hAnsi="Arial" w:cs="Arial"/>
                <w:color w:val="000000"/>
                <w:sz w:val="18"/>
                <w:szCs w:val="18"/>
                <w:lang w:val="en-GB"/>
              </w:rPr>
              <w:t>915</w:t>
            </w:r>
          </w:p>
        </w:tc>
      </w:tr>
    </w:tbl>
    <w:p w14:paraId="4A6B1011" w14:textId="08544AA0" w:rsidR="00CF6080" w:rsidRPr="002D2F67" w:rsidRDefault="00CF6080" w:rsidP="005611FE">
      <w:pPr>
        <w:ind w:left="540"/>
        <w:jc w:val="both"/>
        <w:rPr>
          <w:rFonts w:ascii="Arial" w:eastAsia="Arial Unicode MS" w:hAnsi="Arial" w:cs="Arial"/>
          <w:color w:val="000000"/>
          <w:sz w:val="18"/>
          <w:szCs w:val="18"/>
        </w:rPr>
      </w:pPr>
    </w:p>
    <w:p w14:paraId="67556B8D" w14:textId="42037758" w:rsidR="007C328C" w:rsidRPr="002D2F67" w:rsidRDefault="007C328C" w:rsidP="005611FE">
      <w:pPr>
        <w:pStyle w:val="Heading3"/>
        <w:ind w:left="532"/>
        <w:jc w:val="left"/>
        <w:rPr>
          <w:rFonts w:ascii="Arial" w:eastAsia="Arial Unicode MS" w:hAnsi="Arial" w:cs="Arial"/>
          <w:color w:val="000000"/>
        </w:rPr>
      </w:pPr>
      <w:r w:rsidRPr="002D2F67">
        <w:rPr>
          <w:rFonts w:ascii="Arial" w:eastAsia="Arial Unicode MS" w:hAnsi="Arial" w:cs="Arial"/>
          <w:color w:val="000000"/>
        </w:rPr>
        <w:t>Summarised statement of comprehensive income</w:t>
      </w:r>
    </w:p>
    <w:p w14:paraId="1A064A5B" w14:textId="7E5F414C" w:rsidR="00907FAD" w:rsidRPr="002D2F67" w:rsidRDefault="00907FAD" w:rsidP="005611FE">
      <w:pPr>
        <w:ind w:left="540"/>
        <w:jc w:val="thaiDistribute"/>
        <w:rPr>
          <w:rFonts w:ascii="Arial" w:eastAsia="Arial Unicode MS" w:hAnsi="Arial" w:cs="Arial"/>
          <w:i/>
          <w:iCs/>
          <w:color w:val="000000"/>
          <w:sz w:val="18"/>
          <w:szCs w:val="18"/>
        </w:rPr>
      </w:pPr>
    </w:p>
    <w:tbl>
      <w:tblPr>
        <w:tblW w:w="9461" w:type="dxa"/>
        <w:tblInd w:w="108" w:type="dxa"/>
        <w:tblLayout w:type="fixed"/>
        <w:tblLook w:val="0000" w:firstRow="0" w:lastRow="0" w:firstColumn="0" w:lastColumn="0" w:noHBand="0" w:noVBand="0"/>
      </w:tblPr>
      <w:tblGrid>
        <w:gridCol w:w="6293"/>
        <w:gridCol w:w="1584"/>
        <w:gridCol w:w="1584"/>
      </w:tblGrid>
      <w:tr w:rsidR="00811226" w:rsidRPr="002D2F67" w14:paraId="3F396D9C" w14:textId="1170AAC0" w:rsidTr="002D2F67">
        <w:trPr>
          <w:cantSplit/>
        </w:trPr>
        <w:tc>
          <w:tcPr>
            <w:tcW w:w="6293" w:type="dxa"/>
            <w:shd w:val="clear" w:color="auto" w:fill="auto"/>
          </w:tcPr>
          <w:p w14:paraId="1CBA7ABA" w14:textId="50A7185E" w:rsidR="00811226" w:rsidRPr="002D2F67" w:rsidRDefault="00811226" w:rsidP="005611FE">
            <w:pPr>
              <w:ind w:left="436" w:right="-90"/>
              <w:rPr>
                <w:rFonts w:ascii="Arial" w:hAnsi="Arial" w:cs="Arial"/>
                <w:color w:val="000000"/>
                <w:sz w:val="18"/>
                <w:szCs w:val="18"/>
              </w:rPr>
            </w:pPr>
          </w:p>
        </w:tc>
        <w:tc>
          <w:tcPr>
            <w:tcW w:w="3168" w:type="dxa"/>
            <w:gridSpan w:val="2"/>
            <w:tcBorders>
              <w:bottom w:val="single" w:sz="4" w:space="0" w:color="auto"/>
            </w:tcBorders>
            <w:shd w:val="clear" w:color="auto" w:fill="auto"/>
            <w:vAlign w:val="bottom"/>
          </w:tcPr>
          <w:p w14:paraId="2A533B3A" w14:textId="1DC12C42" w:rsidR="00811226" w:rsidRPr="002D2F67" w:rsidRDefault="00E44015" w:rsidP="005611FE">
            <w:pPr>
              <w:ind w:right="-72"/>
              <w:jc w:val="right"/>
              <w:rPr>
                <w:rFonts w:ascii="Arial" w:hAnsi="Arial" w:cs="Arial"/>
                <w:b/>
                <w:bCs/>
                <w:color w:val="000000"/>
                <w:sz w:val="18"/>
                <w:szCs w:val="18"/>
              </w:rPr>
            </w:pPr>
            <w:r w:rsidRPr="002D2F67">
              <w:rPr>
                <w:rFonts w:ascii="Arial" w:hAnsi="Arial" w:cs="Arial"/>
                <w:b/>
                <w:bCs/>
                <w:color w:val="000000"/>
                <w:sz w:val="18"/>
                <w:szCs w:val="18"/>
              </w:rPr>
              <w:t xml:space="preserve">Nex Point Public Co., Ltd. </w:t>
            </w:r>
          </w:p>
        </w:tc>
      </w:tr>
      <w:tr w:rsidR="00907FAD" w:rsidRPr="002D2F67" w14:paraId="39C7A77A" w14:textId="38E0B3BC" w:rsidTr="002D2F67">
        <w:trPr>
          <w:cantSplit/>
        </w:trPr>
        <w:tc>
          <w:tcPr>
            <w:tcW w:w="6293" w:type="dxa"/>
            <w:shd w:val="clear" w:color="auto" w:fill="auto"/>
          </w:tcPr>
          <w:p w14:paraId="57E64BDA" w14:textId="2A8780B2" w:rsidR="00907FAD" w:rsidRPr="002D2F67" w:rsidRDefault="00907FAD" w:rsidP="005611FE">
            <w:pPr>
              <w:ind w:left="436" w:right="-90"/>
              <w:rPr>
                <w:rFonts w:ascii="Arial" w:hAnsi="Arial" w:cs="Arial"/>
                <w:color w:val="000000"/>
                <w:sz w:val="18"/>
                <w:szCs w:val="18"/>
              </w:rPr>
            </w:pPr>
            <w:r w:rsidRPr="002D2F67">
              <w:rPr>
                <w:rFonts w:ascii="Arial" w:hAnsi="Arial" w:cs="Arial"/>
                <w:b/>
                <w:bCs/>
                <w:color w:val="000000"/>
                <w:sz w:val="18"/>
                <w:szCs w:val="18"/>
              </w:rPr>
              <w:t>For the year</w:t>
            </w:r>
            <w:r w:rsidR="0055765B" w:rsidRPr="002D2F67">
              <w:rPr>
                <w:rFonts w:ascii="Arial" w:hAnsi="Arial" w:cs="Arial"/>
                <w:b/>
                <w:bCs/>
                <w:color w:val="000000"/>
                <w:sz w:val="18"/>
                <w:szCs w:val="18"/>
              </w:rPr>
              <w:t>s</w:t>
            </w:r>
            <w:r w:rsidRPr="002D2F67">
              <w:rPr>
                <w:rFonts w:ascii="Arial" w:hAnsi="Arial" w:cs="Arial"/>
                <w:b/>
                <w:bCs/>
                <w:color w:val="000000"/>
                <w:sz w:val="18"/>
                <w:szCs w:val="18"/>
              </w:rPr>
              <w:t xml:space="preserve"> ended </w:t>
            </w:r>
            <w:r w:rsidR="00CD5714" w:rsidRPr="00CD5714">
              <w:rPr>
                <w:rFonts w:ascii="Arial" w:hAnsi="Arial" w:cs="Arial"/>
                <w:b/>
                <w:bCs/>
                <w:color w:val="000000"/>
                <w:sz w:val="18"/>
                <w:szCs w:val="18"/>
                <w:lang w:val="en-GB"/>
              </w:rPr>
              <w:t>31</w:t>
            </w:r>
            <w:r w:rsidRPr="002D2F67">
              <w:rPr>
                <w:rFonts w:ascii="Arial" w:hAnsi="Arial" w:cs="Arial"/>
                <w:b/>
                <w:bCs/>
                <w:color w:val="000000"/>
                <w:sz w:val="18"/>
                <w:szCs w:val="18"/>
              </w:rPr>
              <w:t xml:space="preserve"> December</w:t>
            </w:r>
          </w:p>
        </w:tc>
        <w:tc>
          <w:tcPr>
            <w:tcW w:w="1584" w:type="dxa"/>
            <w:tcBorders>
              <w:top w:val="single" w:sz="4" w:space="0" w:color="auto"/>
            </w:tcBorders>
            <w:shd w:val="clear" w:color="auto" w:fill="auto"/>
            <w:vAlign w:val="bottom"/>
          </w:tcPr>
          <w:p w14:paraId="38F8BF17" w14:textId="39C2D901" w:rsidR="00907FAD" w:rsidRPr="002D2F67" w:rsidRDefault="00CD5714" w:rsidP="005611FE">
            <w:pPr>
              <w:ind w:right="-72"/>
              <w:jc w:val="right"/>
              <w:rPr>
                <w:rFonts w:ascii="Arial" w:hAnsi="Arial" w:cs="Arial"/>
                <w:b/>
                <w:bCs/>
                <w:color w:val="000000"/>
                <w:sz w:val="18"/>
                <w:szCs w:val="18"/>
              </w:rPr>
            </w:pPr>
            <w:r w:rsidRPr="00CD5714">
              <w:rPr>
                <w:rFonts w:ascii="Arial" w:hAnsi="Arial" w:cs="Arial"/>
                <w:b/>
                <w:bCs/>
                <w:color w:val="000000"/>
                <w:sz w:val="18"/>
                <w:szCs w:val="18"/>
                <w:lang w:val="en-GB"/>
              </w:rPr>
              <w:t>2024</w:t>
            </w:r>
          </w:p>
        </w:tc>
        <w:tc>
          <w:tcPr>
            <w:tcW w:w="1584" w:type="dxa"/>
            <w:tcBorders>
              <w:top w:val="single" w:sz="4" w:space="0" w:color="auto"/>
            </w:tcBorders>
            <w:shd w:val="clear" w:color="auto" w:fill="auto"/>
          </w:tcPr>
          <w:p w14:paraId="1F5BFF0D" w14:textId="4396DC4B" w:rsidR="00907FAD" w:rsidRPr="002D2F67" w:rsidRDefault="00CD5714" w:rsidP="005611FE">
            <w:pPr>
              <w:ind w:right="-72"/>
              <w:jc w:val="right"/>
              <w:rPr>
                <w:rFonts w:ascii="Arial" w:hAnsi="Arial" w:cs="Arial"/>
                <w:b/>
                <w:bCs/>
                <w:color w:val="000000"/>
                <w:sz w:val="18"/>
                <w:szCs w:val="18"/>
              </w:rPr>
            </w:pPr>
            <w:r w:rsidRPr="00CD5714">
              <w:rPr>
                <w:rFonts w:ascii="Arial" w:hAnsi="Arial" w:cs="Arial"/>
                <w:b/>
                <w:bCs/>
                <w:color w:val="000000"/>
                <w:sz w:val="18"/>
                <w:szCs w:val="18"/>
                <w:lang w:val="en-GB"/>
              </w:rPr>
              <w:t>2023</w:t>
            </w:r>
          </w:p>
        </w:tc>
      </w:tr>
      <w:tr w:rsidR="00907FAD" w:rsidRPr="002D2F67" w14:paraId="6642628D" w14:textId="690AEF29" w:rsidTr="002D2F67">
        <w:trPr>
          <w:cantSplit/>
        </w:trPr>
        <w:tc>
          <w:tcPr>
            <w:tcW w:w="6293" w:type="dxa"/>
            <w:shd w:val="clear" w:color="auto" w:fill="auto"/>
          </w:tcPr>
          <w:p w14:paraId="192ECC18" w14:textId="627472B1" w:rsidR="00907FAD" w:rsidRPr="002D2F67" w:rsidRDefault="00907FAD" w:rsidP="005611FE">
            <w:pPr>
              <w:ind w:left="436" w:right="-90"/>
              <w:rPr>
                <w:rFonts w:ascii="Arial" w:hAnsi="Arial" w:cs="Arial"/>
                <w:color w:val="000000"/>
                <w:sz w:val="18"/>
                <w:szCs w:val="18"/>
                <w:cs/>
              </w:rPr>
            </w:pPr>
          </w:p>
        </w:tc>
        <w:tc>
          <w:tcPr>
            <w:tcW w:w="1584" w:type="dxa"/>
            <w:tcBorders>
              <w:bottom w:val="single" w:sz="4" w:space="0" w:color="auto"/>
            </w:tcBorders>
            <w:shd w:val="clear" w:color="auto" w:fill="auto"/>
          </w:tcPr>
          <w:p w14:paraId="33588711" w14:textId="77777777" w:rsidR="00907FAD" w:rsidRPr="002D2F67" w:rsidRDefault="00907FAD" w:rsidP="005611FE">
            <w:pPr>
              <w:ind w:right="-72"/>
              <w:jc w:val="right"/>
              <w:rPr>
                <w:rFonts w:ascii="Arial" w:hAnsi="Arial" w:cs="Arial"/>
                <w:color w:val="000000"/>
                <w:sz w:val="18"/>
                <w:szCs w:val="18"/>
              </w:rPr>
            </w:pPr>
            <w:r w:rsidRPr="002D2F67">
              <w:rPr>
                <w:rFonts w:ascii="Arial" w:hAnsi="Arial" w:cs="Arial"/>
                <w:b/>
                <w:bCs/>
                <w:color w:val="000000"/>
                <w:sz w:val="18"/>
                <w:szCs w:val="18"/>
              </w:rPr>
              <w:t>Million Baht</w:t>
            </w:r>
          </w:p>
        </w:tc>
        <w:tc>
          <w:tcPr>
            <w:tcW w:w="1584" w:type="dxa"/>
            <w:tcBorders>
              <w:bottom w:val="single" w:sz="4" w:space="0" w:color="auto"/>
            </w:tcBorders>
            <w:shd w:val="clear" w:color="auto" w:fill="auto"/>
          </w:tcPr>
          <w:p w14:paraId="6385F3E6" w14:textId="36A803DE" w:rsidR="00907FAD" w:rsidRPr="002D2F67" w:rsidRDefault="00811226" w:rsidP="005611FE">
            <w:pPr>
              <w:ind w:right="-72"/>
              <w:jc w:val="right"/>
              <w:rPr>
                <w:rFonts w:ascii="Arial" w:hAnsi="Arial" w:cs="Arial"/>
                <w:b/>
                <w:bCs/>
                <w:color w:val="000000"/>
                <w:sz w:val="18"/>
                <w:szCs w:val="18"/>
              </w:rPr>
            </w:pPr>
            <w:r w:rsidRPr="002D2F67">
              <w:rPr>
                <w:rFonts w:ascii="Arial" w:hAnsi="Arial" w:cs="Arial"/>
                <w:b/>
                <w:bCs/>
                <w:color w:val="000000"/>
                <w:sz w:val="18"/>
                <w:szCs w:val="18"/>
              </w:rPr>
              <w:t>Million Baht</w:t>
            </w:r>
          </w:p>
        </w:tc>
      </w:tr>
      <w:tr w:rsidR="00907FAD" w:rsidRPr="002D2F67" w14:paraId="1788198C" w14:textId="618810BB" w:rsidTr="002D2F67">
        <w:trPr>
          <w:cantSplit/>
        </w:trPr>
        <w:tc>
          <w:tcPr>
            <w:tcW w:w="6293" w:type="dxa"/>
            <w:shd w:val="clear" w:color="auto" w:fill="auto"/>
          </w:tcPr>
          <w:p w14:paraId="1BCBB116" w14:textId="77777777" w:rsidR="00907FAD" w:rsidRPr="002D2F67" w:rsidRDefault="00907FAD" w:rsidP="005611FE">
            <w:pPr>
              <w:ind w:left="436" w:right="-90"/>
              <w:rPr>
                <w:rFonts w:ascii="Arial" w:hAnsi="Arial" w:cs="Arial"/>
                <w:color w:val="000000"/>
                <w:sz w:val="18"/>
                <w:szCs w:val="18"/>
                <w:cs/>
              </w:rPr>
            </w:pPr>
          </w:p>
        </w:tc>
        <w:tc>
          <w:tcPr>
            <w:tcW w:w="1584" w:type="dxa"/>
            <w:tcBorders>
              <w:top w:val="single" w:sz="4" w:space="0" w:color="auto"/>
            </w:tcBorders>
            <w:shd w:val="clear" w:color="auto" w:fill="auto"/>
          </w:tcPr>
          <w:p w14:paraId="7055681D" w14:textId="77777777" w:rsidR="00907FAD" w:rsidRPr="002D2F67" w:rsidRDefault="00907FAD" w:rsidP="005611FE">
            <w:pPr>
              <w:ind w:right="-72"/>
              <w:jc w:val="right"/>
              <w:rPr>
                <w:rFonts w:ascii="Arial" w:hAnsi="Arial" w:cs="Arial"/>
                <w:color w:val="000000"/>
                <w:sz w:val="18"/>
                <w:szCs w:val="18"/>
              </w:rPr>
            </w:pPr>
          </w:p>
        </w:tc>
        <w:tc>
          <w:tcPr>
            <w:tcW w:w="1584" w:type="dxa"/>
            <w:tcBorders>
              <w:top w:val="single" w:sz="4" w:space="0" w:color="auto"/>
            </w:tcBorders>
            <w:shd w:val="clear" w:color="auto" w:fill="auto"/>
          </w:tcPr>
          <w:p w14:paraId="3BF6CD72" w14:textId="77777777" w:rsidR="00907FAD" w:rsidRPr="002D2F67" w:rsidRDefault="00907FAD" w:rsidP="005611FE">
            <w:pPr>
              <w:ind w:right="-72"/>
              <w:jc w:val="right"/>
              <w:rPr>
                <w:rFonts w:ascii="Arial" w:hAnsi="Arial" w:cs="Arial"/>
                <w:color w:val="000000"/>
                <w:sz w:val="18"/>
                <w:szCs w:val="18"/>
              </w:rPr>
            </w:pPr>
          </w:p>
        </w:tc>
      </w:tr>
      <w:tr w:rsidR="00C500A8" w:rsidRPr="002D2F67" w14:paraId="2ED8DDB8" w14:textId="7D8F6AC2" w:rsidTr="002D2F67">
        <w:trPr>
          <w:cantSplit/>
        </w:trPr>
        <w:tc>
          <w:tcPr>
            <w:tcW w:w="6293" w:type="dxa"/>
            <w:shd w:val="clear" w:color="auto" w:fill="auto"/>
          </w:tcPr>
          <w:p w14:paraId="5B48D0D2" w14:textId="77777777" w:rsidR="00C500A8" w:rsidRPr="002D2F67" w:rsidRDefault="00C500A8" w:rsidP="005611FE">
            <w:pPr>
              <w:ind w:left="436"/>
              <w:rPr>
                <w:rFonts w:ascii="Arial" w:hAnsi="Arial" w:cs="Arial"/>
                <w:color w:val="000000"/>
                <w:sz w:val="18"/>
                <w:szCs w:val="18"/>
                <w:cs/>
              </w:rPr>
            </w:pPr>
            <w:r w:rsidRPr="002D2F67">
              <w:rPr>
                <w:rFonts w:ascii="Arial" w:hAnsi="Arial" w:cs="Arial"/>
                <w:color w:val="000000"/>
                <w:sz w:val="18"/>
                <w:szCs w:val="18"/>
              </w:rPr>
              <w:t>Revenue</w:t>
            </w:r>
          </w:p>
        </w:tc>
        <w:tc>
          <w:tcPr>
            <w:tcW w:w="1584" w:type="dxa"/>
            <w:shd w:val="clear" w:color="auto" w:fill="auto"/>
          </w:tcPr>
          <w:p w14:paraId="137FF4A3" w14:textId="781E9C23" w:rsidR="00C500A8"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3</w:t>
            </w:r>
            <w:r w:rsidR="001C6151" w:rsidRPr="002D2F67">
              <w:rPr>
                <w:rFonts w:ascii="Arial" w:hAnsi="Arial" w:cs="Arial"/>
                <w:color w:val="000000"/>
                <w:sz w:val="18"/>
                <w:szCs w:val="18"/>
              </w:rPr>
              <w:t>,</w:t>
            </w:r>
            <w:r w:rsidRPr="00CD5714">
              <w:rPr>
                <w:rFonts w:ascii="Arial" w:hAnsi="Arial" w:cs="Arial"/>
                <w:color w:val="000000"/>
                <w:sz w:val="18"/>
                <w:szCs w:val="18"/>
                <w:lang w:val="en-GB"/>
              </w:rPr>
              <w:t>401</w:t>
            </w:r>
          </w:p>
        </w:tc>
        <w:tc>
          <w:tcPr>
            <w:tcW w:w="1584" w:type="dxa"/>
            <w:shd w:val="clear" w:color="auto" w:fill="auto"/>
          </w:tcPr>
          <w:p w14:paraId="01FF9F79" w14:textId="408C6867" w:rsidR="00C500A8"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9</w:t>
            </w:r>
            <w:r w:rsidR="00C500A8" w:rsidRPr="002D2F67">
              <w:rPr>
                <w:rFonts w:ascii="Arial" w:hAnsi="Arial" w:cs="Arial"/>
                <w:color w:val="000000"/>
                <w:sz w:val="18"/>
                <w:szCs w:val="18"/>
              </w:rPr>
              <w:t>,</w:t>
            </w:r>
            <w:r w:rsidRPr="00CD5714">
              <w:rPr>
                <w:rFonts w:ascii="Arial" w:hAnsi="Arial" w:cs="Arial"/>
                <w:color w:val="000000"/>
                <w:sz w:val="18"/>
                <w:szCs w:val="18"/>
                <w:lang w:val="en-GB"/>
              </w:rPr>
              <w:t>419</w:t>
            </w:r>
          </w:p>
        </w:tc>
      </w:tr>
      <w:tr w:rsidR="00C500A8" w:rsidRPr="002D2F67" w14:paraId="5186FEC8" w14:textId="08F0B118" w:rsidTr="002D2F67">
        <w:trPr>
          <w:cantSplit/>
        </w:trPr>
        <w:tc>
          <w:tcPr>
            <w:tcW w:w="6293" w:type="dxa"/>
            <w:shd w:val="clear" w:color="auto" w:fill="auto"/>
          </w:tcPr>
          <w:p w14:paraId="50BEA0C7" w14:textId="3AD595A0" w:rsidR="00C500A8" w:rsidRPr="002D2F67" w:rsidRDefault="00C500A8" w:rsidP="005611FE">
            <w:pPr>
              <w:ind w:left="436" w:right="-171"/>
              <w:rPr>
                <w:rFonts w:ascii="Arial" w:hAnsi="Arial" w:cs="Arial"/>
                <w:color w:val="000000"/>
                <w:spacing w:val="-4"/>
                <w:sz w:val="18"/>
                <w:szCs w:val="18"/>
                <w:cs/>
              </w:rPr>
            </w:pPr>
            <w:r w:rsidRPr="002D2F67">
              <w:rPr>
                <w:rFonts w:ascii="Arial" w:eastAsia="Arial Unicode MS" w:hAnsi="Arial" w:cs="Arial"/>
                <w:color w:val="000000"/>
                <w:sz w:val="18"/>
                <w:szCs w:val="18"/>
              </w:rPr>
              <w:t>Profit</w:t>
            </w:r>
            <w:r w:rsidR="00DF194D" w:rsidRPr="002D2F67">
              <w:rPr>
                <w:rFonts w:ascii="Arial" w:eastAsia="Arial Unicode MS" w:hAnsi="Arial" w:cs="Arial"/>
                <w:color w:val="000000"/>
                <w:sz w:val="18"/>
                <w:szCs w:val="18"/>
                <w:cs/>
              </w:rPr>
              <w:t xml:space="preserve"> </w:t>
            </w:r>
            <w:r w:rsidR="00DF194D" w:rsidRPr="002D2F67">
              <w:rPr>
                <w:rFonts w:ascii="Arial" w:eastAsia="Arial Unicode MS" w:hAnsi="Arial" w:cs="Arial"/>
                <w:color w:val="000000"/>
                <w:sz w:val="18"/>
                <w:szCs w:val="18"/>
              </w:rPr>
              <w:t>(loss)</w:t>
            </w:r>
            <w:r w:rsidRPr="002D2F67">
              <w:rPr>
                <w:rFonts w:ascii="Arial" w:eastAsia="Arial Unicode MS" w:hAnsi="Arial" w:cs="Arial"/>
                <w:color w:val="000000"/>
                <w:sz w:val="18"/>
                <w:szCs w:val="18"/>
              </w:rPr>
              <w:t xml:space="preserve"> after tax from continuing operations</w:t>
            </w:r>
          </w:p>
        </w:tc>
        <w:tc>
          <w:tcPr>
            <w:tcW w:w="1584" w:type="dxa"/>
            <w:shd w:val="clear" w:color="auto" w:fill="auto"/>
          </w:tcPr>
          <w:p w14:paraId="3C2AD054" w14:textId="4E8FAB40" w:rsidR="00C500A8" w:rsidRPr="002D2F67" w:rsidRDefault="006A4A71"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2</w:t>
            </w:r>
            <w:r w:rsidRPr="002D2F67">
              <w:rPr>
                <w:rFonts w:ascii="Arial" w:hAnsi="Arial" w:cs="Arial"/>
                <w:color w:val="000000"/>
                <w:sz w:val="18"/>
                <w:szCs w:val="18"/>
              </w:rPr>
              <w:t>,</w:t>
            </w:r>
            <w:r w:rsidR="00CD5714" w:rsidRPr="00CD5714">
              <w:rPr>
                <w:rFonts w:ascii="Arial" w:hAnsi="Arial" w:cs="Arial"/>
                <w:color w:val="000000"/>
                <w:sz w:val="18"/>
                <w:szCs w:val="18"/>
                <w:lang w:val="en-GB"/>
              </w:rPr>
              <w:t>716</w:t>
            </w:r>
            <w:r w:rsidRPr="002D2F67">
              <w:rPr>
                <w:rFonts w:ascii="Arial" w:hAnsi="Arial" w:cs="Arial"/>
                <w:color w:val="000000"/>
                <w:sz w:val="18"/>
                <w:szCs w:val="18"/>
              </w:rPr>
              <w:t>)</w:t>
            </w:r>
          </w:p>
        </w:tc>
        <w:tc>
          <w:tcPr>
            <w:tcW w:w="1584" w:type="dxa"/>
            <w:shd w:val="clear" w:color="auto" w:fill="auto"/>
          </w:tcPr>
          <w:p w14:paraId="14C6A064" w14:textId="1CF5496D" w:rsidR="00C500A8"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CD5714">
              <w:rPr>
                <w:rFonts w:ascii="Arial" w:hAnsi="Arial" w:cs="Arial"/>
                <w:color w:val="000000"/>
                <w:sz w:val="18"/>
                <w:szCs w:val="18"/>
                <w:lang w:val="en-GB"/>
              </w:rPr>
              <w:t>750</w:t>
            </w:r>
          </w:p>
        </w:tc>
      </w:tr>
      <w:tr w:rsidR="00C500A8" w:rsidRPr="002D2F67" w14:paraId="2FD5C11F" w14:textId="3E915D0B" w:rsidTr="002D2F67">
        <w:trPr>
          <w:cantSplit/>
        </w:trPr>
        <w:tc>
          <w:tcPr>
            <w:tcW w:w="6293" w:type="dxa"/>
            <w:shd w:val="clear" w:color="auto" w:fill="auto"/>
          </w:tcPr>
          <w:p w14:paraId="42E91772" w14:textId="77777777" w:rsidR="00C500A8" w:rsidRPr="002D2F67" w:rsidRDefault="00C500A8" w:rsidP="005611FE">
            <w:pPr>
              <w:ind w:left="436"/>
              <w:rPr>
                <w:rFonts w:ascii="Arial" w:hAnsi="Arial" w:cs="Arial"/>
                <w:b/>
                <w:bCs/>
                <w:color w:val="000000"/>
                <w:sz w:val="18"/>
                <w:szCs w:val="18"/>
                <w:cs/>
              </w:rPr>
            </w:pPr>
          </w:p>
        </w:tc>
        <w:tc>
          <w:tcPr>
            <w:tcW w:w="1584" w:type="dxa"/>
            <w:shd w:val="clear" w:color="auto" w:fill="auto"/>
          </w:tcPr>
          <w:p w14:paraId="033553A0" w14:textId="77777777" w:rsidR="00C500A8" w:rsidRPr="002D2F67" w:rsidRDefault="00C500A8"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584" w:type="dxa"/>
            <w:shd w:val="clear" w:color="auto" w:fill="auto"/>
          </w:tcPr>
          <w:p w14:paraId="69AB41F1" w14:textId="77777777" w:rsidR="00C500A8" w:rsidRPr="002D2F67" w:rsidRDefault="00C500A8"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r>
      <w:tr w:rsidR="00C500A8" w:rsidRPr="002D2F67" w14:paraId="7051B62F" w14:textId="18620521" w:rsidTr="002D2F67">
        <w:trPr>
          <w:cantSplit/>
        </w:trPr>
        <w:tc>
          <w:tcPr>
            <w:tcW w:w="6293" w:type="dxa"/>
            <w:shd w:val="clear" w:color="auto" w:fill="auto"/>
          </w:tcPr>
          <w:p w14:paraId="365E8B3F" w14:textId="77777777" w:rsidR="00C500A8" w:rsidRPr="002D2F67" w:rsidRDefault="00C500A8" w:rsidP="005611FE">
            <w:pPr>
              <w:ind w:left="436" w:right="-78"/>
              <w:rPr>
                <w:rFonts w:ascii="Arial" w:eastAsia="Arial Unicode MS" w:hAnsi="Arial" w:cs="Arial"/>
                <w:b/>
                <w:bCs/>
                <w:color w:val="000000"/>
                <w:sz w:val="18"/>
                <w:szCs w:val="18"/>
                <w:cs/>
              </w:rPr>
            </w:pPr>
            <w:r w:rsidRPr="002D2F67">
              <w:rPr>
                <w:rFonts w:ascii="Arial" w:eastAsia="Arial Unicode MS" w:hAnsi="Arial" w:cs="Arial"/>
                <w:b/>
                <w:bCs/>
                <w:color w:val="000000"/>
                <w:sz w:val="18"/>
                <w:szCs w:val="18"/>
              </w:rPr>
              <w:t>Reconciliation to carrying amounts:</w:t>
            </w:r>
          </w:p>
        </w:tc>
        <w:tc>
          <w:tcPr>
            <w:tcW w:w="1584" w:type="dxa"/>
            <w:shd w:val="clear" w:color="auto" w:fill="auto"/>
          </w:tcPr>
          <w:p w14:paraId="6410B737" w14:textId="1522073A" w:rsidR="00C500A8" w:rsidRPr="002D2F67" w:rsidRDefault="00C500A8" w:rsidP="005611FE">
            <w:pPr>
              <w:ind w:right="-72"/>
              <w:jc w:val="right"/>
              <w:rPr>
                <w:rFonts w:ascii="Arial" w:eastAsia="Arial Unicode MS" w:hAnsi="Arial" w:cs="Arial"/>
                <w:color w:val="000000"/>
                <w:sz w:val="18"/>
                <w:szCs w:val="18"/>
              </w:rPr>
            </w:pPr>
          </w:p>
        </w:tc>
        <w:tc>
          <w:tcPr>
            <w:tcW w:w="1584" w:type="dxa"/>
            <w:shd w:val="clear" w:color="auto" w:fill="auto"/>
          </w:tcPr>
          <w:p w14:paraId="036B7977" w14:textId="696129CB" w:rsidR="00C500A8" w:rsidRPr="002D2F67" w:rsidRDefault="00C500A8" w:rsidP="005611FE">
            <w:pPr>
              <w:ind w:right="-72"/>
              <w:jc w:val="right"/>
              <w:rPr>
                <w:rFonts w:ascii="Arial" w:eastAsia="Arial Unicode MS" w:hAnsi="Arial" w:cs="Arial"/>
                <w:color w:val="000000"/>
                <w:sz w:val="18"/>
                <w:szCs w:val="18"/>
              </w:rPr>
            </w:pPr>
          </w:p>
        </w:tc>
      </w:tr>
      <w:tr w:rsidR="00C500A8" w:rsidRPr="002D2F67" w14:paraId="3248C926" w14:textId="17D50C0A" w:rsidTr="002D2F67">
        <w:trPr>
          <w:cantSplit/>
        </w:trPr>
        <w:tc>
          <w:tcPr>
            <w:tcW w:w="6293" w:type="dxa"/>
            <w:shd w:val="clear" w:color="auto" w:fill="auto"/>
          </w:tcPr>
          <w:p w14:paraId="09C716EC" w14:textId="0E962A3C" w:rsidR="00C500A8" w:rsidRPr="002D2F67" w:rsidRDefault="00C500A8" w:rsidP="005611FE">
            <w:pPr>
              <w:ind w:left="436"/>
              <w:rPr>
                <w:rFonts w:ascii="Arial" w:eastAsia="Arial Unicode MS" w:hAnsi="Arial" w:cs="Arial"/>
                <w:color w:val="000000"/>
                <w:sz w:val="18"/>
                <w:szCs w:val="18"/>
                <w:cs/>
              </w:rPr>
            </w:pPr>
            <w:r w:rsidRPr="002D2F67">
              <w:rPr>
                <w:rFonts w:ascii="Arial" w:eastAsia="Arial Unicode MS" w:hAnsi="Arial" w:cs="Arial"/>
                <w:color w:val="000000"/>
                <w:sz w:val="18"/>
                <w:szCs w:val="18"/>
              </w:rPr>
              <w:t xml:space="preserve">Opening net assets </w:t>
            </w:r>
          </w:p>
        </w:tc>
        <w:tc>
          <w:tcPr>
            <w:tcW w:w="1584" w:type="dxa"/>
            <w:shd w:val="clear" w:color="auto" w:fill="auto"/>
          </w:tcPr>
          <w:p w14:paraId="35C71A4D" w14:textId="14F13165" w:rsidR="00C500A8"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3</w:t>
            </w:r>
            <w:r w:rsidR="001C6151" w:rsidRPr="002D2F67">
              <w:rPr>
                <w:rFonts w:ascii="Arial" w:hAnsi="Arial" w:cs="Arial"/>
                <w:color w:val="000000"/>
                <w:sz w:val="18"/>
                <w:szCs w:val="18"/>
              </w:rPr>
              <w:t>,</w:t>
            </w:r>
            <w:r w:rsidRPr="00CD5714">
              <w:rPr>
                <w:rFonts w:ascii="Arial" w:hAnsi="Arial" w:cs="Arial"/>
                <w:color w:val="000000"/>
                <w:sz w:val="18"/>
                <w:szCs w:val="18"/>
                <w:lang w:val="en-GB"/>
              </w:rPr>
              <w:t>915</w:t>
            </w:r>
          </w:p>
        </w:tc>
        <w:tc>
          <w:tcPr>
            <w:tcW w:w="1584" w:type="dxa"/>
            <w:shd w:val="clear" w:color="auto" w:fill="auto"/>
          </w:tcPr>
          <w:p w14:paraId="633B8D9C" w14:textId="54057B6A" w:rsidR="00C500A8"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3</w:t>
            </w:r>
            <w:r w:rsidR="00C500A8" w:rsidRPr="002D2F67">
              <w:rPr>
                <w:rFonts w:ascii="Arial" w:hAnsi="Arial" w:cs="Arial"/>
                <w:color w:val="000000"/>
                <w:sz w:val="18"/>
                <w:szCs w:val="18"/>
              </w:rPr>
              <w:t>,</w:t>
            </w:r>
            <w:r w:rsidRPr="00CD5714">
              <w:rPr>
                <w:rFonts w:ascii="Arial" w:hAnsi="Arial" w:cs="Arial"/>
                <w:color w:val="000000"/>
                <w:sz w:val="18"/>
                <w:szCs w:val="18"/>
                <w:lang w:val="en-GB"/>
              </w:rPr>
              <w:t>166</w:t>
            </w:r>
          </w:p>
        </w:tc>
      </w:tr>
      <w:tr w:rsidR="00C500A8" w:rsidRPr="002D2F67" w14:paraId="040CBEB5" w14:textId="77777777" w:rsidTr="002D2F67">
        <w:trPr>
          <w:cantSplit/>
        </w:trPr>
        <w:tc>
          <w:tcPr>
            <w:tcW w:w="6293" w:type="dxa"/>
            <w:shd w:val="clear" w:color="auto" w:fill="auto"/>
          </w:tcPr>
          <w:p w14:paraId="028CF8AE" w14:textId="05BA4B80" w:rsidR="00C500A8" w:rsidRPr="002D2F67" w:rsidRDefault="00C500A8" w:rsidP="005611FE">
            <w:pPr>
              <w:ind w:left="436"/>
              <w:rPr>
                <w:rFonts w:ascii="Arial" w:eastAsia="Arial Unicode MS" w:hAnsi="Arial" w:cs="Arial"/>
                <w:color w:val="000000"/>
                <w:sz w:val="18"/>
                <w:szCs w:val="18"/>
              </w:rPr>
            </w:pPr>
            <w:r w:rsidRPr="002D2F67">
              <w:rPr>
                <w:rFonts w:ascii="Arial" w:eastAsia="Arial Unicode MS" w:hAnsi="Arial" w:cs="Arial"/>
                <w:color w:val="000000"/>
                <w:sz w:val="18"/>
                <w:szCs w:val="18"/>
              </w:rPr>
              <w:t>Profit</w:t>
            </w:r>
            <w:r w:rsidR="00830690" w:rsidRPr="002D2F67">
              <w:rPr>
                <w:rFonts w:ascii="Arial" w:eastAsia="Arial Unicode MS" w:hAnsi="Arial" w:cs="Arial"/>
                <w:color w:val="000000"/>
                <w:sz w:val="18"/>
                <w:szCs w:val="18"/>
                <w:cs/>
              </w:rPr>
              <w:t xml:space="preserve"> </w:t>
            </w:r>
            <w:r w:rsidR="00830690" w:rsidRPr="002D2F67">
              <w:rPr>
                <w:rFonts w:ascii="Arial" w:eastAsia="Arial Unicode MS" w:hAnsi="Arial" w:cs="Arial"/>
                <w:color w:val="000000"/>
                <w:sz w:val="18"/>
                <w:szCs w:val="18"/>
              </w:rPr>
              <w:t>(loss)</w:t>
            </w:r>
            <w:r w:rsidRPr="002D2F67">
              <w:rPr>
                <w:rFonts w:ascii="Arial" w:eastAsia="Arial Unicode MS" w:hAnsi="Arial" w:cs="Arial"/>
                <w:color w:val="000000"/>
                <w:sz w:val="18"/>
                <w:szCs w:val="18"/>
              </w:rPr>
              <w:t xml:space="preserve"> for the year</w:t>
            </w:r>
          </w:p>
        </w:tc>
        <w:tc>
          <w:tcPr>
            <w:tcW w:w="1584" w:type="dxa"/>
            <w:shd w:val="clear" w:color="auto" w:fill="auto"/>
          </w:tcPr>
          <w:p w14:paraId="752CD8C4" w14:textId="0F75B4AE" w:rsidR="00C500A8" w:rsidRPr="002D2F67" w:rsidRDefault="00860867"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2</w:t>
            </w:r>
            <w:r w:rsidRPr="002D2F67">
              <w:rPr>
                <w:rFonts w:ascii="Arial" w:hAnsi="Arial" w:cs="Arial"/>
                <w:color w:val="000000"/>
                <w:sz w:val="18"/>
                <w:szCs w:val="18"/>
              </w:rPr>
              <w:t>,</w:t>
            </w:r>
            <w:r w:rsidR="00CD5714" w:rsidRPr="00CD5714">
              <w:rPr>
                <w:rFonts w:ascii="Arial" w:hAnsi="Arial" w:cs="Arial"/>
                <w:color w:val="000000"/>
                <w:sz w:val="18"/>
                <w:szCs w:val="18"/>
                <w:lang w:val="en-GB"/>
              </w:rPr>
              <w:t>716</w:t>
            </w:r>
            <w:r w:rsidRPr="002D2F67">
              <w:rPr>
                <w:rFonts w:ascii="Arial" w:hAnsi="Arial" w:cs="Arial"/>
                <w:color w:val="000000"/>
                <w:sz w:val="18"/>
                <w:szCs w:val="18"/>
              </w:rPr>
              <w:t>)</w:t>
            </w:r>
          </w:p>
        </w:tc>
        <w:tc>
          <w:tcPr>
            <w:tcW w:w="1584" w:type="dxa"/>
            <w:shd w:val="clear" w:color="auto" w:fill="auto"/>
          </w:tcPr>
          <w:p w14:paraId="5484C1D4" w14:textId="0F8AACA1" w:rsidR="00C500A8"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750</w:t>
            </w:r>
          </w:p>
        </w:tc>
      </w:tr>
      <w:tr w:rsidR="00C500A8" w:rsidRPr="002D2F67" w14:paraId="05B2F666" w14:textId="5042A32A" w:rsidTr="002D2F67">
        <w:trPr>
          <w:cantSplit/>
        </w:trPr>
        <w:tc>
          <w:tcPr>
            <w:tcW w:w="6293" w:type="dxa"/>
            <w:shd w:val="clear" w:color="auto" w:fill="auto"/>
          </w:tcPr>
          <w:p w14:paraId="2D599418" w14:textId="125729C9" w:rsidR="00C500A8" w:rsidRPr="002D2F67" w:rsidRDefault="00C500A8" w:rsidP="005611FE">
            <w:pPr>
              <w:ind w:left="436"/>
              <w:rPr>
                <w:rFonts w:ascii="Arial" w:eastAsia="Arial Unicode MS" w:hAnsi="Arial" w:cs="Arial"/>
                <w:color w:val="000000"/>
                <w:sz w:val="18"/>
                <w:szCs w:val="18"/>
              </w:rPr>
            </w:pPr>
            <w:r w:rsidRPr="002D2F67">
              <w:rPr>
                <w:rFonts w:ascii="Arial" w:eastAsia="Arial Unicode MS" w:hAnsi="Arial" w:cs="Arial"/>
                <w:color w:val="000000"/>
                <w:sz w:val="18"/>
                <w:szCs w:val="18"/>
              </w:rPr>
              <w:t xml:space="preserve">Other comprehensive </w:t>
            </w:r>
            <w:r w:rsidR="00A603ED" w:rsidRPr="002D2F67">
              <w:rPr>
                <w:rFonts w:ascii="Arial" w:eastAsia="Arial Unicode MS" w:hAnsi="Arial" w:cs="Arial"/>
                <w:color w:val="000000"/>
                <w:sz w:val="18"/>
                <w:szCs w:val="18"/>
              </w:rPr>
              <w:t>income</w:t>
            </w:r>
            <w:r w:rsidR="00E44015" w:rsidRPr="002D2F67">
              <w:rPr>
                <w:rFonts w:ascii="Arial" w:eastAsia="Arial Unicode MS" w:hAnsi="Arial" w:cs="Arial"/>
                <w:color w:val="000000"/>
                <w:sz w:val="18"/>
                <w:szCs w:val="18"/>
              </w:rPr>
              <w:t xml:space="preserve"> </w:t>
            </w:r>
            <w:r w:rsidR="00A603ED" w:rsidRPr="002D2F67">
              <w:rPr>
                <w:rFonts w:ascii="Arial" w:eastAsia="Arial Unicode MS" w:hAnsi="Arial" w:cs="Arial"/>
                <w:color w:val="000000"/>
                <w:sz w:val="18"/>
                <w:szCs w:val="18"/>
              </w:rPr>
              <w:t>(</w:t>
            </w:r>
            <w:r w:rsidRPr="002D2F67">
              <w:rPr>
                <w:rFonts w:ascii="Arial" w:eastAsia="Arial Unicode MS" w:hAnsi="Arial" w:cs="Arial"/>
                <w:color w:val="000000"/>
                <w:sz w:val="18"/>
                <w:szCs w:val="18"/>
              </w:rPr>
              <w:t>expense</w:t>
            </w:r>
            <w:r w:rsidR="00A603ED" w:rsidRPr="002D2F67">
              <w:rPr>
                <w:rFonts w:ascii="Arial" w:eastAsia="Arial Unicode MS" w:hAnsi="Arial" w:cs="Arial"/>
                <w:color w:val="000000"/>
                <w:sz w:val="18"/>
                <w:szCs w:val="18"/>
              </w:rPr>
              <w:t>)</w:t>
            </w:r>
            <w:r w:rsidRPr="002D2F67">
              <w:rPr>
                <w:rFonts w:ascii="Arial" w:eastAsia="Arial Unicode MS" w:hAnsi="Arial" w:cs="Arial"/>
                <w:color w:val="000000"/>
                <w:sz w:val="18"/>
                <w:szCs w:val="18"/>
              </w:rPr>
              <w:t xml:space="preserve"> for the year</w:t>
            </w:r>
          </w:p>
        </w:tc>
        <w:tc>
          <w:tcPr>
            <w:tcW w:w="1584" w:type="dxa"/>
            <w:tcBorders>
              <w:bottom w:val="single" w:sz="4" w:space="0" w:color="auto"/>
            </w:tcBorders>
            <w:shd w:val="clear" w:color="auto" w:fill="auto"/>
          </w:tcPr>
          <w:p w14:paraId="609315AA" w14:textId="60689707" w:rsidR="00C500A8"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3</w:t>
            </w:r>
          </w:p>
        </w:tc>
        <w:tc>
          <w:tcPr>
            <w:tcW w:w="1584" w:type="dxa"/>
            <w:tcBorders>
              <w:bottom w:val="single" w:sz="4" w:space="0" w:color="auto"/>
            </w:tcBorders>
            <w:shd w:val="clear" w:color="auto" w:fill="auto"/>
          </w:tcPr>
          <w:p w14:paraId="277A7520" w14:textId="4A1E6ED1" w:rsidR="00C500A8" w:rsidRPr="002D2F67" w:rsidRDefault="00C500A8"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w:t>
            </w:r>
            <w:r w:rsidRPr="002D2F67">
              <w:rPr>
                <w:rFonts w:ascii="Arial" w:hAnsi="Arial" w:cs="Arial"/>
                <w:color w:val="000000"/>
                <w:sz w:val="18"/>
                <w:szCs w:val="18"/>
              </w:rPr>
              <w:t>)</w:t>
            </w:r>
          </w:p>
        </w:tc>
      </w:tr>
      <w:tr w:rsidR="00C500A8" w:rsidRPr="002D2F67" w14:paraId="57060F74" w14:textId="15B033D1" w:rsidTr="002D2F67">
        <w:trPr>
          <w:cantSplit/>
        </w:trPr>
        <w:tc>
          <w:tcPr>
            <w:tcW w:w="6293" w:type="dxa"/>
            <w:shd w:val="clear" w:color="auto" w:fill="auto"/>
          </w:tcPr>
          <w:p w14:paraId="3DA36027" w14:textId="77777777" w:rsidR="00C500A8" w:rsidRPr="002D2F67" w:rsidRDefault="00C500A8" w:rsidP="005611FE">
            <w:pPr>
              <w:ind w:left="436"/>
              <w:rPr>
                <w:rFonts w:ascii="Arial" w:eastAsia="Arial Unicode MS" w:hAnsi="Arial" w:cs="Arial"/>
                <w:color w:val="000000"/>
                <w:sz w:val="18"/>
                <w:szCs w:val="18"/>
              </w:rPr>
            </w:pPr>
          </w:p>
        </w:tc>
        <w:tc>
          <w:tcPr>
            <w:tcW w:w="1584" w:type="dxa"/>
            <w:tcBorders>
              <w:top w:val="single" w:sz="4" w:space="0" w:color="auto"/>
            </w:tcBorders>
            <w:shd w:val="clear" w:color="auto" w:fill="auto"/>
          </w:tcPr>
          <w:p w14:paraId="3FAC7B61" w14:textId="77777777" w:rsidR="00C500A8" w:rsidRPr="002D2F67" w:rsidRDefault="00C500A8" w:rsidP="005611FE">
            <w:pPr>
              <w:ind w:right="-72"/>
              <w:jc w:val="right"/>
              <w:rPr>
                <w:rFonts w:ascii="Arial" w:hAnsi="Arial" w:cs="Arial"/>
                <w:color w:val="000000"/>
                <w:sz w:val="18"/>
                <w:szCs w:val="18"/>
              </w:rPr>
            </w:pPr>
          </w:p>
        </w:tc>
        <w:tc>
          <w:tcPr>
            <w:tcW w:w="1584" w:type="dxa"/>
            <w:tcBorders>
              <w:top w:val="single" w:sz="4" w:space="0" w:color="auto"/>
            </w:tcBorders>
            <w:shd w:val="clear" w:color="auto" w:fill="auto"/>
          </w:tcPr>
          <w:p w14:paraId="23C08B5B" w14:textId="77777777" w:rsidR="00C500A8" w:rsidRPr="002D2F67" w:rsidRDefault="00C500A8" w:rsidP="005611FE">
            <w:pPr>
              <w:ind w:right="-72"/>
              <w:jc w:val="right"/>
              <w:rPr>
                <w:rFonts w:ascii="Arial" w:hAnsi="Arial" w:cs="Arial"/>
                <w:color w:val="000000"/>
                <w:sz w:val="18"/>
                <w:szCs w:val="18"/>
              </w:rPr>
            </w:pPr>
          </w:p>
        </w:tc>
      </w:tr>
      <w:tr w:rsidR="00C500A8" w:rsidRPr="002D2F67" w14:paraId="2A783EE5" w14:textId="55590EC6" w:rsidTr="002D2F67">
        <w:trPr>
          <w:cantSplit/>
        </w:trPr>
        <w:tc>
          <w:tcPr>
            <w:tcW w:w="6293" w:type="dxa"/>
            <w:shd w:val="clear" w:color="auto" w:fill="auto"/>
          </w:tcPr>
          <w:p w14:paraId="1E8BBF77" w14:textId="15F90F55" w:rsidR="00C500A8" w:rsidRPr="002D2F67" w:rsidRDefault="00C500A8" w:rsidP="005611FE">
            <w:pPr>
              <w:ind w:left="436"/>
              <w:rPr>
                <w:rFonts w:ascii="Arial" w:eastAsia="Arial Unicode MS" w:hAnsi="Arial" w:cs="Arial"/>
                <w:color w:val="000000"/>
                <w:sz w:val="18"/>
                <w:szCs w:val="18"/>
              </w:rPr>
            </w:pPr>
            <w:r w:rsidRPr="002D2F67">
              <w:rPr>
                <w:rFonts w:ascii="Arial" w:eastAsia="Arial Unicode MS" w:hAnsi="Arial" w:cs="Arial"/>
                <w:color w:val="000000"/>
                <w:sz w:val="18"/>
                <w:szCs w:val="18"/>
              </w:rPr>
              <w:t xml:space="preserve">Closing net assets as </w:t>
            </w:r>
            <w:proofErr w:type="gramStart"/>
            <w:r w:rsidRPr="002D2F67">
              <w:rPr>
                <w:rFonts w:ascii="Arial" w:eastAsia="Arial Unicode MS" w:hAnsi="Arial" w:cs="Arial"/>
                <w:color w:val="000000"/>
                <w:sz w:val="18"/>
                <w:szCs w:val="18"/>
              </w:rPr>
              <w:t>at</w:t>
            </w:r>
            <w:proofErr w:type="gramEnd"/>
            <w:r w:rsidRPr="002D2F67">
              <w:rPr>
                <w:rFonts w:ascii="Arial" w:eastAsia="Arial Unicode MS" w:hAnsi="Arial" w:cs="Arial"/>
                <w:color w:val="000000"/>
                <w:sz w:val="18"/>
                <w:szCs w:val="18"/>
              </w:rPr>
              <w:t xml:space="preserve"> </w:t>
            </w:r>
            <w:r w:rsidR="00CD5714" w:rsidRPr="00CD5714">
              <w:rPr>
                <w:rFonts w:ascii="Arial" w:eastAsia="Arial Unicode MS" w:hAnsi="Arial" w:cs="Arial"/>
                <w:color w:val="000000"/>
                <w:sz w:val="18"/>
                <w:szCs w:val="18"/>
                <w:lang w:val="en-GB"/>
              </w:rPr>
              <w:t>31</w:t>
            </w:r>
            <w:r w:rsidRPr="002D2F67">
              <w:rPr>
                <w:rFonts w:ascii="Arial" w:eastAsia="Arial Unicode MS" w:hAnsi="Arial" w:cs="Arial"/>
                <w:color w:val="000000"/>
                <w:sz w:val="18"/>
                <w:szCs w:val="18"/>
              </w:rPr>
              <w:t xml:space="preserve"> December</w:t>
            </w:r>
          </w:p>
        </w:tc>
        <w:tc>
          <w:tcPr>
            <w:tcW w:w="1584" w:type="dxa"/>
            <w:tcBorders>
              <w:left w:val="nil"/>
              <w:bottom w:val="single" w:sz="4" w:space="0" w:color="auto"/>
              <w:right w:val="nil"/>
            </w:tcBorders>
            <w:shd w:val="clear" w:color="auto" w:fill="auto"/>
          </w:tcPr>
          <w:p w14:paraId="723D0867" w14:textId="522A3E3C" w:rsidR="00C500A8"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1</w:t>
            </w:r>
            <w:r w:rsidR="000021E6" w:rsidRPr="002D2F67">
              <w:rPr>
                <w:rFonts w:ascii="Arial" w:hAnsi="Arial" w:cs="Arial"/>
                <w:color w:val="000000"/>
                <w:sz w:val="18"/>
                <w:szCs w:val="18"/>
              </w:rPr>
              <w:t>,</w:t>
            </w:r>
            <w:r w:rsidRPr="00CD5714">
              <w:rPr>
                <w:rFonts w:ascii="Arial" w:hAnsi="Arial" w:cs="Arial"/>
                <w:color w:val="000000"/>
                <w:sz w:val="18"/>
                <w:szCs w:val="18"/>
                <w:lang w:val="en-GB"/>
              </w:rPr>
              <w:t>202</w:t>
            </w:r>
          </w:p>
        </w:tc>
        <w:tc>
          <w:tcPr>
            <w:tcW w:w="1584" w:type="dxa"/>
            <w:tcBorders>
              <w:left w:val="nil"/>
              <w:bottom w:val="single" w:sz="4" w:space="0" w:color="auto"/>
              <w:right w:val="nil"/>
            </w:tcBorders>
            <w:shd w:val="clear" w:color="auto" w:fill="auto"/>
          </w:tcPr>
          <w:p w14:paraId="5498989F" w14:textId="28D96AC7" w:rsidR="00C500A8"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3</w:t>
            </w:r>
            <w:r w:rsidR="00C500A8" w:rsidRPr="002D2F67">
              <w:rPr>
                <w:rFonts w:ascii="Arial" w:hAnsi="Arial" w:cs="Arial"/>
                <w:color w:val="000000"/>
                <w:sz w:val="18"/>
                <w:szCs w:val="18"/>
              </w:rPr>
              <w:t>,</w:t>
            </w:r>
            <w:r w:rsidRPr="00CD5714">
              <w:rPr>
                <w:rFonts w:ascii="Arial" w:hAnsi="Arial" w:cs="Arial"/>
                <w:color w:val="000000"/>
                <w:sz w:val="18"/>
                <w:szCs w:val="18"/>
                <w:lang w:val="en-GB"/>
              </w:rPr>
              <w:t>915</w:t>
            </w:r>
          </w:p>
        </w:tc>
      </w:tr>
      <w:tr w:rsidR="00C500A8" w:rsidRPr="002D2F67" w14:paraId="08EF30B0" w14:textId="4BB40602" w:rsidTr="002D2F67">
        <w:trPr>
          <w:cantSplit/>
        </w:trPr>
        <w:tc>
          <w:tcPr>
            <w:tcW w:w="6293" w:type="dxa"/>
            <w:shd w:val="clear" w:color="auto" w:fill="auto"/>
          </w:tcPr>
          <w:p w14:paraId="6211AB2F" w14:textId="77777777" w:rsidR="00C500A8" w:rsidRPr="002D2F67" w:rsidRDefault="00C500A8" w:rsidP="005611FE">
            <w:pPr>
              <w:ind w:left="436"/>
              <w:rPr>
                <w:rFonts w:ascii="Arial" w:eastAsia="Arial Unicode MS" w:hAnsi="Arial" w:cs="Arial"/>
                <w:color w:val="000000"/>
                <w:sz w:val="18"/>
                <w:szCs w:val="18"/>
              </w:rPr>
            </w:pPr>
          </w:p>
        </w:tc>
        <w:tc>
          <w:tcPr>
            <w:tcW w:w="1584" w:type="dxa"/>
            <w:tcBorders>
              <w:top w:val="single" w:sz="4" w:space="0" w:color="auto"/>
              <w:left w:val="nil"/>
              <w:right w:val="nil"/>
            </w:tcBorders>
            <w:shd w:val="clear" w:color="auto" w:fill="auto"/>
          </w:tcPr>
          <w:p w14:paraId="5AE11BAA" w14:textId="77777777" w:rsidR="00C500A8" w:rsidRPr="002D2F67" w:rsidRDefault="00C500A8" w:rsidP="005611FE">
            <w:pPr>
              <w:ind w:right="-72"/>
              <w:jc w:val="right"/>
              <w:rPr>
                <w:rFonts w:ascii="Arial" w:eastAsia="Arial Unicode MS" w:hAnsi="Arial" w:cs="Arial"/>
                <w:color w:val="000000"/>
                <w:sz w:val="18"/>
                <w:szCs w:val="18"/>
              </w:rPr>
            </w:pPr>
          </w:p>
        </w:tc>
        <w:tc>
          <w:tcPr>
            <w:tcW w:w="1584" w:type="dxa"/>
            <w:tcBorders>
              <w:top w:val="single" w:sz="4" w:space="0" w:color="auto"/>
              <w:left w:val="nil"/>
              <w:right w:val="nil"/>
            </w:tcBorders>
            <w:shd w:val="clear" w:color="auto" w:fill="auto"/>
          </w:tcPr>
          <w:p w14:paraId="545747E7" w14:textId="77777777" w:rsidR="00C500A8" w:rsidRPr="002D2F67" w:rsidRDefault="00C500A8" w:rsidP="005611FE">
            <w:pPr>
              <w:ind w:right="-72"/>
              <w:jc w:val="right"/>
              <w:rPr>
                <w:rFonts w:ascii="Arial" w:eastAsia="Arial Unicode MS" w:hAnsi="Arial" w:cs="Arial"/>
                <w:color w:val="000000"/>
                <w:sz w:val="18"/>
                <w:szCs w:val="18"/>
              </w:rPr>
            </w:pPr>
          </w:p>
        </w:tc>
      </w:tr>
      <w:tr w:rsidR="00C500A8" w:rsidRPr="002D2F67" w14:paraId="720656B5" w14:textId="0815382B" w:rsidTr="002D2F67">
        <w:trPr>
          <w:cantSplit/>
        </w:trPr>
        <w:tc>
          <w:tcPr>
            <w:tcW w:w="6293" w:type="dxa"/>
            <w:shd w:val="clear" w:color="auto" w:fill="auto"/>
          </w:tcPr>
          <w:p w14:paraId="5B2B80F0" w14:textId="5C0833CE" w:rsidR="00C500A8" w:rsidRPr="002D2F67" w:rsidRDefault="00C500A8" w:rsidP="005611FE">
            <w:pPr>
              <w:ind w:left="436"/>
              <w:rPr>
                <w:rFonts w:ascii="Arial" w:eastAsia="Arial Unicode MS" w:hAnsi="Arial" w:cs="Arial"/>
                <w:color w:val="000000"/>
                <w:sz w:val="18"/>
                <w:szCs w:val="18"/>
              </w:rPr>
            </w:pPr>
            <w:r w:rsidRPr="002D2F67">
              <w:rPr>
                <w:rFonts w:ascii="Arial" w:eastAsia="Arial Unicode MS" w:hAnsi="Arial" w:cs="Arial"/>
                <w:color w:val="000000"/>
                <w:sz w:val="18"/>
                <w:szCs w:val="18"/>
              </w:rPr>
              <w:t>The Group’s share in an associate (%)</w:t>
            </w:r>
          </w:p>
        </w:tc>
        <w:tc>
          <w:tcPr>
            <w:tcW w:w="1584" w:type="dxa"/>
            <w:shd w:val="clear" w:color="auto" w:fill="auto"/>
          </w:tcPr>
          <w:p w14:paraId="2EFE6F73" w14:textId="58D57BFC" w:rsidR="00C500A8"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33</w:t>
            </w:r>
            <w:r w:rsidR="00D95615" w:rsidRPr="002D2F67">
              <w:rPr>
                <w:rFonts w:ascii="Arial" w:hAnsi="Arial" w:cs="Arial"/>
                <w:color w:val="000000"/>
                <w:sz w:val="18"/>
                <w:szCs w:val="18"/>
              </w:rPr>
              <w:t>.</w:t>
            </w:r>
            <w:r w:rsidRPr="00CD5714">
              <w:rPr>
                <w:rFonts w:ascii="Arial" w:hAnsi="Arial" w:cs="Arial"/>
                <w:color w:val="000000"/>
                <w:sz w:val="18"/>
                <w:szCs w:val="18"/>
                <w:lang w:val="en-GB"/>
              </w:rPr>
              <w:t>57</w:t>
            </w:r>
          </w:p>
        </w:tc>
        <w:tc>
          <w:tcPr>
            <w:tcW w:w="1584" w:type="dxa"/>
            <w:shd w:val="clear" w:color="auto" w:fill="auto"/>
          </w:tcPr>
          <w:p w14:paraId="311882B8" w14:textId="4656CC97" w:rsidR="00C500A8"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33</w:t>
            </w:r>
            <w:r w:rsidR="00C500A8" w:rsidRPr="002D2F67">
              <w:rPr>
                <w:rFonts w:ascii="Arial" w:hAnsi="Arial" w:cs="Arial"/>
                <w:color w:val="000000"/>
                <w:sz w:val="18"/>
                <w:szCs w:val="18"/>
              </w:rPr>
              <w:t>.</w:t>
            </w:r>
            <w:r w:rsidRPr="00CD5714">
              <w:rPr>
                <w:rFonts w:ascii="Arial" w:hAnsi="Arial" w:cs="Arial"/>
                <w:color w:val="000000"/>
                <w:sz w:val="18"/>
                <w:szCs w:val="18"/>
                <w:lang w:val="en-GB"/>
              </w:rPr>
              <w:t>14</w:t>
            </w:r>
          </w:p>
        </w:tc>
      </w:tr>
      <w:tr w:rsidR="00C500A8" w:rsidRPr="002D2F67" w14:paraId="2006B62C" w14:textId="2C59B44C" w:rsidTr="002D2F67">
        <w:trPr>
          <w:cantSplit/>
        </w:trPr>
        <w:tc>
          <w:tcPr>
            <w:tcW w:w="6293" w:type="dxa"/>
            <w:shd w:val="clear" w:color="auto" w:fill="auto"/>
          </w:tcPr>
          <w:p w14:paraId="783945FA" w14:textId="1D977977" w:rsidR="00C500A8" w:rsidRPr="002D2F67" w:rsidRDefault="00C500A8" w:rsidP="005611FE">
            <w:pPr>
              <w:ind w:left="436"/>
              <w:rPr>
                <w:rFonts w:ascii="Arial" w:eastAsia="Arial Unicode MS" w:hAnsi="Arial" w:cs="Arial"/>
                <w:color w:val="000000"/>
                <w:sz w:val="18"/>
                <w:szCs w:val="18"/>
                <w:cs/>
              </w:rPr>
            </w:pPr>
            <w:r w:rsidRPr="002D2F67">
              <w:rPr>
                <w:rFonts w:ascii="Arial" w:eastAsia="Arial Unicode MS" w:hAnsi="Arial" w:cs="Arial"/>
                <w:color w:val="000000"/>
                <w:sz w:val="18"/>
                <w:szCs w:val="18"/>
              </w:rPr>
              <w:t>The Group’s share in an associate</w:t>
            </w:r>
          </w:p>
        </w:tc>
        <w:tc>
          <w:tcPr>
            <w:tcW w:w="1584" w:type="dxa"/>
            <w:shd w:val="clear" w:color="auto" w:fill="auto"/>
          </w:tcPr>
          <w:p w14:paraId="483E7B23" w14:textId="0262F69C" w:rsidR="00C500A8"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404</w:t>
            </w:r>
          </w:p>
        </w:tc>
        <w:tc>
          <w:tcPr>
            <w:tcW w:w="1584" w:type="dxa"/>
            <w:shd w:val="clear" w:color="auto" w:fill="auto"/>
          </w:tcPr>
          <w:p w14:paraId="086697C9" w14:textId="75E09BC5" w:rsidR="00C500A8"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1</w:t>
            </w:r>
            <w:r w:rsidR="00C500A8" w:rsidRPr="002D2F67">
              <w:rPr>
                <w:rFonts w:ascii="Arial" w:hAnsi="Arial" w:cs="Arial"/>
                <w:color w:val="000000"/>
                <w:sz w:val="18"/>
                <w:szCs w:val="18"/>
              </w:rPr>
              <w:t>,</w:t>
            </w:r>
            <w:r w:rsidRPr="00CD5714">
              <w:rPr>
                <w:rFonts w:ascii="Arial" w:hAnsi="Arial" w:cs="Arial"/>
                <w:color w:val="000000"/>
                <w:sz w:val="18"/>
                <w:szCs w:val="18"/>
                <w:lang w:val="en-GB"/>
              </w:rPr>
              <w:t>297</w:t>
            </w:r>
          </w:p>
        </w:tc>
      </w:tr>
      <w:tr w:rsidR="00C500A8" w:rsidRPr="002D2F67" w14:paraId="67176254" w14:textId="7AA4D0B0" w:rsidTr="002D2F67">
        <w:trPr>
          <w:cantSplit/>
        </w:trPr>
        <w:tc>
          <w:tcPr>
            <w:tcW w:w="6293" w:type="dxa"/>
            <w:shd w:val="clear" w:color="auto" w:fill="auto"/>
          </w:tcPr>
          <w:p w14:paraId="3C878243" w14:textId="77777777" w:rsidR="00C500A8" w:rsidRPr="002D2F67" w:rsidRDefault="00C500A8" w:rsidP="005611FE">
            <w:pPr>
              <w:ind w:left="436"/>
              <w:rPr>
                <w:rFonts w:ascii="Arial" w:eastAsia="Arial Unicode MS" w:hAnsi="Arial" w:cs="Arial"/>
                <w:color w:val="000000"/>
                <w:sz w:val="18"/>
                <w:szCs w:val="18"/>
                <w:cs/>
              </w:rPr>
            </w:pPr>
            <w:r w:rsidRPr="002D2F67">
              <w:rPr>
                <w:rFonts w:ascii="Arial" w:eastAsia="Arial Unicode MS" w:hAnsi="Arial" w:cs="Arial"/>
                <w:color w:val="000000"/>
                <w:sz w:val="18"/>
                <w:szCs w:val="18"/>
              </w:rPr>
              <w:t>Goodwill</w:t>
            </w:r>
          </w:p>
        </w:tc>
        <w:tc>
          <w:tcPr>
            <w:tcW w:w="1584" w:type="dxa"/>
            <w:tcBorders>
              <w:top w:val="nil"/>
              <w:left w:val="nil"/>
              <w:right w:val="nil"/>
            </w:tcBorders>
            <w:shd w:val="clear" w:color="auto" w:fill="auto"/>
          </w:tcPr>
          <w:p w14:paraId="359D1ABC" w14:textId="3C9E0E91" w:rsidR="00C500A8"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435</w:t>
            </w:r>
          </w:p>
        </w:tc>
        <w:tc>
          <w:tcPr>
            <w:tcW w:w="1584" w:type="dxa"/>
            <w:tcBorders>
              <w:top w:val="nil"/>
              <w:left w:val="nil"/>
              <w:right w:val="nil"/>
            </w:tcBorders>
            <w:shd w:val="clear" w:color="auto" w:fill="auto"/>
          </w:tcPr>
          <w:p w14:paraId="1FE6DBFD" w14:textId="533F99D0" w:rsidR="00C500A8"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435</w:t>
            </w:r>
          </w:p>
        </w:tc>
      </w:tr>
      <w:tr w:rsidR="00C500A8" w:rsidRPr="002D2F67" w14:paraId="040D71CA" w14:textId="77777777" w:rsidTr="002D2F67">
        <w:trPr>
          <w:cantSplit/>
        </w:trPr>
        <w:tc>
          <w:tcPr>
            <w:tcW w:w="6293" w:type="dxa"/>
            <w:shd w:val="clear" w:color="auto" w:fill="auto"/>
          </w:tcPr>
          <w:p w14:paraId="77686744" w14:textId="1FCC1D66" w:rsidR="00C500A8" w:rsidRPr="002D2F67" w:rsidRDefault="00C500A8" w:rsidP="005611FE">
            <w:pPr>
              <w:ind w:left="436"/>
              <w:rPr>
                <w:rFonts w:ascii="Arial" w:eastAsia="Arial Unicode MS" w:hAnsi="Arial" w:cs="Arial"/>
                <w:color w:val="000000"/>
                <w:sz w:val="18"/>
                <w:szCs w:val="18"/>
                <w:cs/>
              </w:rPr>
            </w:pPr>
            <w:r w:rsidRPr="002D2F67">
              <w:rPr>
                <w:rFonts w:ascii="Arial" w:eastAsia="Arial Unicode MS" w:hAnsi="Arial" w:cs="Arial"/>
                <w:color w:val="000000"/>
                <w:sz w:val="18"/>
                <w:szCs w:val="18"/>
              </w:rPr>
              <w:t>Interest in return adjustment</w:t>
            </w:r>
          </w:p>
        </w:tc>
        <w:tc>
          <w:tcPr>
            <w:tcW w:w="1584" w:type="dxa"/>
            <w:tcBorders>
              <w:left w:val="nil"/>
              <w:bottom w:val="single" w:sz="4" w:space="0" w:color="auto"/>
              <w:right w:val="nil"/>
            </w:tcBorders>
            <w:shd w:val="clear" w:color="auto" w:fill="auto"/>
          </w:tcPr>
          <w:p w14:paraId="7B4E93CF" w14:textId="5D634420" w:rsidR="00C500A8" w:rsidRPr="002D2F67" w:rsidRDefault="00CD5714" w:rsidP="005611FE">
            <w:pPr>
              <w:ind w:right="-72"/>
              <w:jc w:val="right"/>
              <w:rPr>
                <w:rFonts w:ascii="Arial" w:hAnsi="Arial" w:cs="Arial"/>
                <w:color w:val="000000"/>
                <w:sz w:val="18"/>
                <w:szCs w:val="22"/>
              </w:rPr>
            </w:pPr>
            <w:r w:rsidRPr="00CD5714">
              <w:rPr>
                <w:rFonts w:ascii="Arial" w:hAnsi="Arial" w:cs="Arial"/>
                <w:color w:val="000000"/>
                <w:sz w:val="18"/>
                <w:szCs w:val="22"/>
                <w:lang w:val="en-GB"/>
              </w:rPr>
              <w:t>10</w:t>
            </w:r>
          </w:p>
        </w:tc>
        <w:tc>
          <w:tcPr>
            <w:tcW w:w="1584" w:type="dxa"/>
            <w:tcBorders>
              <w:left w:val="nil"/>
              <w:bottom w:val="single" w:sz="4" w:space="0" w:color="auto"/>
              <w:right w:val="nil"/>
            </w:tcBorders>
            <w:shd w:val="clear" w:color="auto" w:fill="auto"/>
          </w:tcPr>
          <w:p w14:paraId="10897300" w14:textId="05A377B2" w:rsidR="00C500A8"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17</w:t>
            </w:r>
          </w:p>
        </w:tc>
      </w:tr>
      <w:tr w:rsidR="00C500A8" w:rsidRPr="002D2F67" w14:paraId="02601935" w14:textId="77777777" w:rsidTr="002D2F67">
        <w:trPr>
          <w:cantSplit/>
        </w:trPr>
        <w:tc>
          <w:tcPr>
            <w:tcW w:w="6293" w:type="dxa"/>
            <w:shd w:val="clear" w:color="auto" w:fill="auto"/>
          </w:tcPr>
          <w:p w14:paraId="6A5187F5" w14:textId="77777777" w:rsidR="00C500A8" w:rsidRPr="002D2F67" w:rsidRDefault="00C500A8" w:rsidP="005611FE">
            <w:pPr>
              <w:ind w:left="436"/>
              <w:rPr>
                <w:rFonts w:ascii="Arial" w:eastAsia="Arial Unicode MS" w:hAnsi="Arial" w:cs="Arial"/>
                <w:color w:val="000000"/>
                <w:sz w:val="18"/>
                <w:szCs w:val="18"/>
              </w:rPr>
            </w:pPr>
          </w:p>
        </w:tc>
        <w:tc>
          <w:tcPr>
            <w:tcW w:w="1584" w:type="dxa"/>
            <w:tcBorders>
              <w:top w:val="single" w:sz="4" w:space="0" w:color="auto"/>
              <w:left w:val="nil"/>
              <w:right w:val="nil"/>
            </w:tcBorders>
            <w:shd w:val="clear" w:color="auto" w:fill="auto"/>
          </w:tcPr>
          <w:p w14:paraId="54D9BFA8" w14:textId="77777777" w:rsidR="00C500A8" w:rsidRPr="002D2F67" w:rsidRDefault="00C500A8" w:rsidP="005611FE">
            <w:pPr>
              <w:ind w:right="-72"/>
              <w:jc w:val="right"/>
              <w:rPr>
                <w:rFonts w:ascii="Arial" w:hAnsi="Arial" w:cs="Arial"/>
                <w:color w:val="000000"/>
                <w:sz w:val="18"/>
                <w:szCs w:val="18"/>
                <w:highlight w:val="yellow"/>
              </w:rPr>
            </w:pPr>
          </w:p>
        </w:tc>
        <w:tc>
          <w:tcPr>
            <w:tcW w:w="1584" w:type="dxa"/>
            <w:tcBorders>
              <w:top w:val="single" w:sz="4" w:space="0" w:color="auto"/>
              <w:left w:val="nil"/>
              <w:right w:val="nil"/>
            </w:tcBorders>
            <w:shd w:val="clear" w:color="auto" w:fill="auto"/>
          </w:tcPr>
          <w:p w14:paraId="409A8153" w14:textId="77777777" w:rsidR="00C500A8" w:rsidRPr="002D2F67" w:rsidRDefault="00C500A8" w:rsidP="005611FE">
            <w:pPr>
              <w:ind w:right="-72"/>
              <w:jc w:val="right"/>
              <w:rPr>
                <w:rFonts w:ascii="Arial" w:hAnsi="Arial" w:cs="Arial"/>
                <w:color w:val="000000"/>
                <w:sz w:val="18"/>
                <w:szCs w:val="18"/>
              </w:rPr>
            </w:pPr>
          </w:p>
        </w:tc>
      </w:tr>
      <w:tr w:rsidR="00C500A8" w:rsidRPr="002D2F67" w14:paraId="3452C6B8" w14:textId="46A70B77" w:rsidTr="002D2F67">
        <w:trPr>
          <w:cantSplit/>
        </w:trPr>
        <w:tc>
          <w:tcPr>
            <w:tcW w:w="6293" w:type="dxa"/>
            <w:shd w:val="clear" w:color="auto" w:fill="auto"/>
          </w:tcPr>
          <w:p w14:paraId="10DEA7E6" w14:textId="77777777" w:rsidR="00C500A8" w:rsidRPr="002D2F67" w:rsidRDefault="00C500A8" w:rsidP="005611FE">
            <w:pPr>
              <w:ind w:left="436" w:right="-69"/>
              <w:rPr>
                <w:rFonts w:ascii="Arial" w:eastAsia="Arial Unicode MS" w:hAnsi="Arial" w:cs="Arial"/>
                <w:color w:val="000000"/>
                <w:sz w:val="18"/>
                <w:szCs w:val="18"/>
              </w:rPr>
            </w:pPr>
            <w:r w:rsidRPr="002D2F67">
              <w:rPr>
                <w:rFonts w:ascii="Arial" w:eastAsia="Arial Unicode MS" w:hAnsi="Arial" w:cs="Arial"/>
                <w:color w:val="000000"/>
                <w:sz w:val="18"/>
                <w:szCs w:val="18"/>
              </w:rPr>
              <w:t>Associate carrying amount</w:t>
            </w:r>
          </w:p>
        </w:tc>
        <w:tc>
          <w:tcPr>
            <w:tcW w:w="1584" w:type="dxa"/>
            <w:tcBorders>
              <w:left w:val="nil"/>
              <w:bottom w:val="single" w:sz="4" w:space="0" w:color="auto"/>
              <w:right w:val="nil"/>
            </w:tcBorders>
            <w:shd w:val="clear" w:color="auto" w:fill="auto"/>
          </w:tcPr>
          <w:p w14:paraId="48DBD3A2" w14:textId="4BEFF4A9" w:rsidR="00C500A8" w:rsidRPr="002D2F67" w:rsidRDefault="00CD5714" w:rsidP="005611FE">
            <w:pPr>
              <w:ind w:right="-72"/>
              <w:jc w:val="right"/>
              <w:rPr>
                <w:rFonts w:ascii="Arial" w:hAnsi="Arial" w:cs="Arial"/>
                <w:color w:val="000000"/>
                <w:sz w:val="18"/>
                <w:szCs w:val="18"/>
                <w:highlight w:val="yellow"/>
              </w:rPr>
            </w:pPr>
            <w:r w:rsidRPr="00CD5714">
              <w:rPr>
                <w:rFonts w:ascii="Arial" w:hAnsi="Arial" w:cs="Arial"/>
                <w:color w:val="000000"/>
                <w:sz w:val="18"/>
                <w:szCs w:val="18"/>
                <w:lang w:val="en-GB"/>
              </w:rPr>
              <w:t>849</w:t>
            </w:r>
          </w:p>
        </w:tc>
        <w:tc>
          <w:tcPr>
            <w:tcW w:w="1584" w:type="dxa"/>
            <w:tcBorders>
              <w:left w:val="nil"/>
              <w:bottom w:val="single" w:sz="4" w:space="0" w:color="auto"/>
              <w:right w:val="nil"/>
            </w:tcBorders>
            <w:shd w:val="clear" w:color="auto" w:fill="auto"/>
          </w:tcPr>
          <w:p w14:paraId="116FACB9" w14:textId="76774D98" w:rsidR="00C500A8"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1</w:t>
            </w:r>
            <w:r w:rsidR="00C500A8" w:rsidRPr="002D2F67">
              <w:rPr>
                <w:rFonts w:ascii="Arial" w:hAnsi="Arial" w:cs="Arial"/>
                <w:color w:val="000000"/>
                <w:sz w:val="18"/>
                <w:szCs w:val="18"/>
              </w:rPr>
              <w:t>,</w:t>
            </w:r>
            <w:r w:rsidRPr="00CD5714">
              <w:rPr>
                <w:rFonts w:ascii="Arial" w:hAnsi="Arial" w:cs="Arial"/>
                <w:color w:val="000000"/>
                <w:sz w:val="18"/>
                <w:szCs w:val="18"/>
                <w:lang w:val="en-GB"/>
              </w:rPr>
              <w:t>749</w:t>
            </w:r>
          </w:p>
        </w:tc>
      </w:tr>
    </w:tbl>
    <w:p w14:paraId="63C5EC69" w14:textId="77BA9552" w:rsidR="0014040B" w:rsidRPr="002D2F67" w:rsidRDefault="0014040B" w:rsidP="005611FE">
      <w:pPr>
        <w:ind w:left="540"/>
        <w:jc w:val="thaiDistribute"/>
        <w:rPr>
          <w:rFonts w:ascii="Arial" w:eastAsia="Arial Unicode MS" w:hAnsi="Arial" w:cs="Arial"/>
          <w:i/>
          <w:iCs/>
          <w:color w:val="000000"/>
          <w:sz w:val="18"/>
          <w:szCs w:val="18"/>
        </w:rPr>
      </w:pPr>
    </w:p>
    <w:p w14:paraId="11D1152D" w14:textId="7462B5EB" w:rsidR="004D6EBA" w:rsidRPr="002D2F67" w:rsidRDefault="00CA549F" w:rsidP="005611FE">
      <w:pPr>
        <w:ind w:left="540"/>
        <w:jc w:val="both"/>
        <w:rPr>
          <w:rFonts w:ascii="Arial" w:eastAsia="Arial Unicode MS" w:hAnsi="Arial" w:cs="Arial"/>
          <w:i/>
          <w:iCs/>
          <w:color w:val="000000"/>
          <w:sz w:val="18"/>
          <w:szCs w:val="18"/>
        </w:rPr>
      </w:pPr>
      <w:r w:rsidRPr="002D2F67">
        <w:rPr>
          <w:rFonts w:ascii="Arial" w:eastAsia="Arial Unicode MS" w:hAnsi="Arial" w:cs="Arial"/>
          <w:color w:val="000000"/>
          <w:spacing w:val="-4"/>
          <w:sz w:val="18"/>
          <w:szCs w:val="18"/>
        </w:rPr>
        <w:t xml:space="preserve">As </w:t>
      </w:r>
      <w:proofErr w:type="gramStart"/>
      <w:r w:rsidRPr="002D2F67">
        <w:rPr>
          <w:rFonts w:ascii="Arial" w:eastAsia="Arial Unicode MS" w:hAnsi="Arial" w:cs="Arial"/>
          <w:color w:val="000000"/>
          <w:spacing w:val="-4"/>
          <w:sz w:val="18"/>
          <w:szCs w:val="18"/>
        </w:rPr>
        <w:t>at</w:t>
      </w:r>
      <w:proofErr w:type="gramEnd"/>
      <w:r w:rsidRPr="002D2F67">
        <w:rPr>
          <w:rFonts w:ascii="Arial" w:eastAsia="Arial Unicode MS" w:hAnsi="Arial" w:cs="Arial"/>
          <w:color w:val="000000"/>
          <w:spacing w:val="-4"/>
          <w:sz w:val="18"/>
          <w:szCs w:val="18"/>
        </w:rPr>
        <w:t xml:space="preserve"> </w:t>
      </w:r>
      <w:r w:rsidR="00CD5714" w:rsidRPr="00CD5714">
        <w:rPr>
          <w:rFonts w:ascii="Arial" w:eastAsia="Arial Unicode MS" w:hAnsi="Arial" w:cs="Arial"/>
          <w:color w:val="000000"/>
          <w:spacing w:val="-4"/>
          <w:sz w:val="18"/>
          <w:szCs w:val="18"/>
          <w:lang w:val="en-GB"/>
        </w:rPr>
        <w:t>31</w:t>
      </w:r>
      <w:r w:rsidRPr="002D2F67">
        <w:rPr>
          <w:rFonts w:ascii="Arial" w:eastAsia="Arial Unicode MS" w:hAnsi="Arial" w:cs="Arial"/>
          <w:color w:val="000000"/>
          <w:spacing w:val="-4"/>
          <w:sz w:val="18"/>
          <w:szCs w:val="18"/>
        </w:rPr>
        <w:t xml:space="preserve"> December </w:t>
      </w:r>
      <w:r w:rsidR="00CD5714" w:rsidRPr="00CD5714">
        <w:rPr>
          <w:rFonts w:ascii="Arial" w:eastAsia="Arial Unicode MS" w:hAnsi="Arial" w:cs="Arial"/>
          <w:color w:val="000000"/>
          <w:spacing w:val="-4"/>
          <w:sz w:val="18"/>
          <w:szCs w:val="18"/>
          <w:lang w:val="en-GB"/>
        </w:rPr>
        <w:t>2024</w:t>
      </w:r>
      <w:r w:rsidRPr="002D2F67">
        <w:rPr>
          <w:rFonts w:ascii="Arial" w:eastAsia="Arial Unicode MS" w:hAnsi="Arial" w:cs="Arial"/>
          <w:color w:val="000000"/>
          <w:spacing w:val="-4"/>
          <w:sz w:val="18"/>
          <w:szCs w:val="18"/>
        </w:rPr>
        <w:t xml:space="preserve">, the fair value of the Group’s interest in </w:t>
      </w:r>
      <w:r w:rsidR="0062268B" w:rsidRPr="002D2F67">
        <w:rPr>
          <w:rFonts w:ascii="Arial" w:eastAsia="Arial Unicode MS" w:hAnsi="Arial" w:cs="Arial"/>
          <w:color w:val="000000"/>
          <w:sz w:val="18"/>
          <w:szCs w:val="18"/>
        </w:rPr>
        <w:t>Nex</w:t>
      </w:r>
      <w:r w:rsidRPr="002D2F67">
        <w:rPr>
          <w:rFonts w:ascii="Arial" w:eastAsia="Arial Unicode MS" w:hAnsi="Arial" w:cs="Arial"/>
          <w:color w:val="000000"/>
          <w:spacing w:val="-4"/>
          <w:sz w:val="18"/>
          <w:szCs w:val="18"/>
        </w:rPr>
        <w:t xml:space="preserve"> Point </w:t>
      </w:r>
      <w:r w:rsidR="0062268B" w:rsidRPr="002D2F67">
        <w:rPr>
          <w:rFonts w:ascii="Arial" w:eastAsia="Arial Unicode MS" w:hAnsi="Arial" w:cs="Arial"/>
          <w:color w:val="000000"/>
          <w:spacing w:val="-4"/>
          <w:sz w:val="18"/>
          <w:szCs w:val="18"/>
        </w:rPr>
        <w:t>Public Co., Ltd.</w:t>
      </w:r>
      <w:r w:rsidRPr="002D2F67">
        <w:rPr>
          <w:rFonts w:ascii="Arial" w:eastAsia="Arial Unicode MS" w:hAnsi="Arial" w:cs="Arial"/>
          <w:color w:val="000000"/>
          <w:spacing w:val="-4"/>
          <w:sz w:val="18"/>
          <w:szCs w:val="18"/>
        </w:rPr>
        <w:t xml:space="preserve">, </w:t>
      </w:r>
      <w:r w:rsidR="00E931D7" w:rsidRPr="002D2F67">
        <w:rPr>
          <w:rFonts w:ascii="Arial" w:eastAsia="Arial Unicode MS" w:hAnsi="Arial" w:cs="Arial"/>
          <w:color w:val="000000"/>
          <w:spacing w:val="-4"/>
          <w:sz w:val="18"/>
          <w:szCs w:val="18"/>
        </w:rPr>
        <w:t>a company</w:t>
      </w:r>
      <w:r w:rsidRPr="002D2F67">
        <w:rPr>
          <w:rFonts w:ascii="Arial" w:eastAsia="Arial Unicode MS" w:hAnsi="Arial" w:cs="Arial"/>
          <w:color w:val="000000"/>
          <w:spacing w:val="-4"/>
          <w:sz w:val="18"/>
          <w:szCs w:val="18"/>
        </w:rPr>
        <w:t xml:space="preserve"> listed in </w:t>
      </w:r>
      <w:r w:rsidR="00E931D7" w:rsidRPr="002D2F67">
        <w:rPr>
          <w:rFonts w:ascii="Arial" w:eastAsia="Arial Unicode MS" w:hAnsi="Arial" w:cs="Arial"/>
          <w:color w:val="000000"/>
          <w:spacing w:val="-4"/>
          <w:sz w:val="18"/>
          <w:szCs w:val="18"/>
        </w:rPr>
        <w:br/>
        <w:t>t</w:t>
      </w:r>
      <w:r w:rsidR="005D4F7D" w:rsidRPr="002D2F67">
        <w:rPr>
          <w:rFonts w:ascii="Arial" w:eastAsia="Arial Unicode MS" w:hAnsi="Arial" w:cs="Arial"/>
          <w:color w:val="000000"/>
          <w:spacing w:val="-4"/>
          <w:sz w:val="18"/>
          <w:szCs w:val="18"/>
        </w:rPr>
        <w:t xml:space="preserve">he </w:t>
      </w:r>
      <w:r w:rsidRPr="002D2F67">
        <w:rPr>
          <w:rFonts w:ascii="Arial" w:eastAsia="Arial Unicode MS" w:hAnsi="Arial" w:cs="Arial"/>
          <w:color w:val="000000"/>
          <w:spacing w:val="-4"/>
          <w:sz w:val="18"/>
          <w:szCs w:val="18"/>
        </w:rPr>
        <w:t>Stock</w:t>
      </w:r>
      <w:r w:rsidRPr="002D2F67">
        <w:rPr>
          <w:rFonts w:ascii="Arial" w:eastAsia="Arial Unicode MS" w:hAnsi="Arial" w:cs="Arial"/>
          <w:color w:val="000000"/>
          <w:sz w:val="18"/>
          <w:szCs w:val="18"/>
        </w:rPr>
        <w:t xml:space="preserve"> Exchange of Thailand, </w:t>
      </w:r>
      <w:r w:rsidR="00192E43" w:rsidRPr="002D2F67">
        <w:rPr>
          <w:rFonts w:ascii="Arial" w:eastAsia="Arial Unicode MS" w:hAnsi="Arial" w:cs="Arial"/>
          <w:color w:val="000000"/>
          <w:sz w:val="18"/>
          <w:szCs w:val="18"/>
        </w:rPr>
        <w:t>was</w:t>
      </w:r>
      <w:r w:rsidRPr="002D2F67">
        <w:rPr>
          <w:rFonts w:ascii="Arial" w:eastAsia="Arial Unicode MS" w:hAnsi="Arial" w:cs="Arial"/>
          <w:color w:val="000000"/>
          <w:sz w:val="18"/>
          <w:szCs w:val="18"/>
        </w:rPr>
        <w:t xml:space="preserve"> Baht</w:t>
      </w:r>
      <w:r w:rsidR="005F7453" w:rsidRPr="002D2F67">
        <w:rPr>
          <w:rFonts w:ascii="Arial" w:eastAsia="Arial Unicode MS" w:hAnsi="Arial" w:cs="Arial"/>
          <w:color w:val="000000"/>
          <w:sz w:val="18"/>
          <w:szCs w:val="18"/>
          <w:cs/>
        </w:rPr>
        <w:t xml:space="preserve"> </w:t>
      </w:r>
      <w:r w:rsidR="00CD5714" w:rsidRPr="00CD5714">
        <w:rPr>
          <w:rFonts w:ascii="Arial" w:eastAsia="Arial Unicode MS" w:hAnsi="Arial" w:cs="Arial"/>
          <w:color w:val="000000"/>
          <w:sz w:val="18"/>
          <w:szCs w:val="18"/>
          <w:lang w:val="en-GB"/>
        </w:rPr>
        <w:t>610</w:t>
      </w:r>
      <w:r w:rsidRPr="002D2F67">
        <w:rPr>
          <w:rFonts w:ascii="Arial" w:eastAsia="Arial Unicode MS" w:hAnsi="Arial" w:cs="Arial"/>
          <w:color w:val="000000"/>
          <w:sz w:val="18"/>
          <w:szCs w:val="18"/>
        </w:rPr>
        <w:t xml:space="preserve"> million</w:t>
      </w:r>
      <w:r w:rsidR="00C04B98" w:rsidRPr="002D2F67">
        <w:rPr>
          <w:rFonts w:ascii="Arial" w:eastAsia="Arial Unicode MS" w:hAnsi="Arial" w:cs="Arial"/>
          <w:color w:val="000000"/>
          <w:sz w:val="18"/>
          <w:szCs w:val="18"/>
        </w:rPr>
        <w:t xml:space="preserve"> </w:t>
      </w:r>
      <w:r w:rsidR="00674D55" w:rsidRPr="002D2F67">
        <w:rPr>
          <w:rFonts w:ascii="Arial" w:eastAsia="Arial Unicode MS" w:hAnsi="Arial" w:cs="Arial"/>
          <w:color w:val="000000"/>
          <w:sz w:val="18"/>
          <w:szCs w:val="18"/>
        </w:rPr>
        <w:t>(</w:t>
      </w:r>
      <w:r w:rsidR="00CD5714" w:rsidRPr="00CD5714">
        <w:rPr>
          <w:rFonts w:ascii="Arial" w:eastAsia="Arial Unicode MS" w:hAnsi="Arial" w:cs="Arial"/>
          <w:color w:val="000000"/>
          <w:sz w:val="18"/>
          <w:szCs w:val="18"/>
          <w:lang w:val="en-GB"/>
        </w:rPr>
        <w:t>2023</w:t>
      </w:r>
      <w:r w:rsidR="00674D55" w:rsidRPr="002D2F67">
        <w:rPr>
          <w:rFonts w:ascii="Arial" w:eastAsia="Arial Unicode MS" w:hAnsi="Arial" w:cs="Arial"/>
          <w:color w:val="000000"/>
          <w:sz w:val="18"/>
          <w:szCs w:val="18"/>
        </w:rPr>
        <w:t xml:space="preserve">: </w:t>
      </w:r>
      <w:r w:rsidR="00192E43" w:rsidRPr="002D2F67">
        <w:rPr>
          <w:rFonts w:ascii="Arial" w:eastAsia="Arial Unicode MS" w:hAnsi="Arial" w:cs="Arial"/>
          <w:color w:val="000000"/>
          <w:sz w:val="18"/>
          <w:szCs w:val="18"/>
        </w:rPr>
        <w:t xml:space="preserve">Baht </w:t>
      </w:r>
      <w:r w:rsidR="00CD5714" w:rsidRPr="00CD5714">
        <w:rPr>
          <w:rFonts w:ascii="Arial" w:eastAsia="Arial Unicode MS" w:hAnsi="Arial" w:cs="Arial"/>
          <w:color w:val="000000"/>
          <w:sz w:val="18"/>
          <w:szCs w:val="18"/>
          <w:lang w:val="en-GB"/>
        </w:rPr>
        <w:t>6</w:t>
      </w:r>
      <w:r w:rsidR="00192E43" w:rsidRPr="002D2F67">
        <w:rPr>
          <w:rFonts w:ascii="Arial" w:eastAsia="Arial Unicode MS" w:hAnsi="Arial" w:cs="Arial"/>
          <w:color w:val="000000"/>
          <w:sz w:val="18"/>
          <w:szCs w:val="18"/>
        </w:rPr>
        <w:t>,</w:t>
      </w:r>
      <w:r w:rsidR="00CD5714" w:rsidRPr="00CD5714">
        <w:rPr>
          <w:rFonts w:ascii="Arial" w:eastAsia="Arial Unicode MS" w:hAnsi="Arial" w:cs="Arial"/>
          <w:color w:val="000000"/>
          <w:sz w:val="18"/>
          <w:szCs w:val="18"/>
          <w:lang w:val="en-GB"/>
        </w:rPr>
        <w:t>700</w:t>
      </w:r>
      <w:r w:rsidR="00192E43" w:rsidRPr="002D2F67">
        <w:rPr>
          <w:rFonts w:ascii="Arial" w:eastAsia="Arial Unicode MS" w:hAnsi="Arial" w:cs="Arial"/>
          <w:color w:val="000000"/>
          <w:sz w:val="18"/>
          <w:szCs w:val="18"/>
        </w:rPr>
        <w:t xml:space="preserve"> million</w:t>
      </w:r>
      <w:r w:rsidR="00192E43" w:rsidRPr="002D2F67">
        <w:rPr>
          <w:rFonts w:ascii="Arial" w:eastAsia="Arial Unicode MS" w:hAnsi="Arial" w:cs="Arial"/>
          <w:color w:val="000000"/>
          <w:spacing w:val="-6"/>
          <w:sz w:val="18"/>
          <w:szCs w:val="18"/>
        </w:rPr>
        <w:t>).</w:t>
      </w:r>
    </w:p>
    <w:p w14:paraId="11FBA29D" w14:textId="77777777" w:rsidR="00192E43" w:rsidRPr="002D2F67" w:rsidRDefault="00192E43" w:rsidP="005611FE">
      <w:pPr>
        <w:ind w:firstLine="540"/>
        <w:rPr>
          <w:rFonts w:ascii="Arial" w:eastAsia="Arial Unicode MS" w:hAnsi="Arial" w:cs="Arial"/>
          <w:color w:val="000000"/>
          <w:sz w:val="18"/>
          <w:szCs w:val="18"/>
        </w:rPr>
      </w:pPr>
    </w:p>
    <w:p w14:paraId="0F774762" w14:textId="00673227" w:rsidR="007C328C" w:rsidRPr="002D2F67" w:rsidRDefault="007C328C" w:rsidP="005611FE">
      <w:pPr>
        <w:ind w:firstLine="540"/>
        <w:rPr>
          <w:rFonts w:ascii="Arial" w:eastAsia="Arial Unicode MS" w:hAnsi="Arial" w:cs="Arial"/>
          <w:b/>
          <w:bCs/>
          <w:color w:val="000000"/>
          <w:sz w:val="18"/>
          <w:szCs w:val="18"/>
        </w:rPr>
      </w:pPr>
      <w:r w:rsidRPr="002D2F67">
        <w:rPr>
          <w:rFonts w:ascii="Arial" w:eastAsia="Arial Unicode MS" w:hAnsi="Arial" w:cs="Arial"/>
          <w:color w:val="000000"/>
          <w:sz w:val="18"/>
          <w:szCs w:val="18"/>
        </w:rPr>
        <w:t>Individually immaterial associates</w:t>
      </w:r>
    </w:p>
    <w:p w14:paraId="6DFA3053" w14:textId="77777777" w:rsidR="007C328C" w:rsidRPr="002D2F67" w:rsidRDefault="007C328C" w:rsidP="005611FE">
      <w:pPr>
        <w:ind w:left="540"/>
        <w:jc w:val="both"/>
        <w:rPr>
          <w:rFonts w:ascii="Arial" w:eastAsia="Arial Unicode MS" w:hAnsi="Arial" w:cs="Arial"/>
          <w:i/>
          <w:iCs/>
          <w:color w:val="000000"/>
          <w:sz w:val="18"/>
          <w:szCs w:val="18"/>
        </w:rPr>
      </w:pPr>
    </w:p>
    <w:p w14:paraId="321CC30F" w14:textId="7761267F" w:rsidR="007C328C" w:rsidRPr="002D2F67" w:rsidRDefault="007C328C" w:rsidP="005611FE">
      <w:pPr>
        <w:ind w:left="540"/>
        <w:jc w:val="both"/>
        <w:rPr>
          <w:rFonts w:ascii="Arial" w:eastAsia="Arial Unicode MS" w:hAnsi="Arial" w:cs="Arial"/>
          <w:color w:val="000000"/>
          <w:sz w:val="18"/>
          <w:szCs w:val="18"/>
        </w:rPr>
      </w:pPr>
      <w:r w:rsidRPr="002D2F67">
        <w:rPr>
          <w:rFonts w:ascii="Arial" w:eastAsia="Arial Unicode MS" w:hAnsi="Arial" w:cs="Arial"/>
          <w:color w:val="000000"/>
          <w:spacing w:val="-4"/>
          <w:sz w:val="18"/>
          <w:szCs w:val="18"/>
        </w:rPr>
        <w:t>In addition to the interests in the associate</w:t>
      </w:r>
      <w:r w:rsidR="0056200A" w:rsidRPr="002D2F67">
        <w:rPr>
          <w:rFonts w:ascii="Arial" w:eastAsia="Arial Unicode MS" w:hAnsi="Arial" w:cs="Arial"/>
          <w:color w:val="000000"/>
          <w:spacing w:val="-4"/>
          <w:sz w:val="18"/>
          <w:szCs w:val="18"/>
        </w:rPr>
        <w:t>s</w:t>
      </w:r>
      <w:r w:rsidRPr="002D2F67">
        <w:rPr>
          <w:rFonts w:ascii="Arial" w:eastAsia="Arial Unicode MS" w:hAnsi="Arial" w:cs="Arial"/>
          <w:color w:val="000000"/>
          <w:spacing w:val="-4"/>
          <w:sz w:val="18"/>
          <w:szCs w:val="18"/>
        </w:rPr>
        <w:t xml:space="preserve"> disclosed above, the Group also ha</w:t>
      </w:r>
      <w:r w:rsidR="00A20A38" w:rsidRPr="002D2F67">
        <w:rPr>
          <w:rFonts w:ascii="Arial" w:eastAsia="Arial Unicode MS" w:hAnsi="Arial" w:cs="Arial"/>
          <w:color w:val="000000"/>
          <w:spacing w:val="-4"/>
          <w:sz w:val="18"/>
          <w:szCs w:val="18"/>
        </w:rPr>
        <w:t>d</w:t>
      </w:r>
      <w:r w:rsidRPr="002D2F67">
        <w:rPr>
          <w:rFonts w:ascii="Arial" w:eastAsia="Arial Unicode MS" w:hAnsi="Arial" w:cs="Arial"/>
          <w:color w:val="000000"/>
          <w:spacing w:val="-4"/>
          <w:sz w:val="18"/>
          <w:szCs w:val="18"/>
        </w:rPr>
        <w:t xml:space="preserve"> interests in </w:t>
      </w:r>
      <w:proofErr w:type="gramStart"/>
      <w:r w:rsidRPr="002D2F67">
        <w:rPr>
          <w:rFonts w:ascii="Arial" w:eastAsia="Arial Unicode MS" w:hAnsi="Arial" w:cs="Arial"/>
          <w:color w:val="000000"/>
          <w:spacing w:val="-4"/>
          <w:sz w:val="18"/>
          <w:szCs w:val="18"/>
        </w:rPr>
        <w:t>a number of</w:t>
      </w:r>
      <w:proofErr w:type="gramEnd"/>
      <w:r w:rsidRPr="002D2F67">
        <w:rPr>
          <w:rFonts w:ascii="Arial" w:eastAsia="Arial Unicode MS" w:hAnsi="Arial" w:cs="Arial"/>
          <w:color w:val="000000"/>
          <w:spacing w:val="-4"/>
          <w:sz w:val="18"/>
          <w:szCs w:val="18"/>
        </w:rPr>
        <w:t xml:space="preserve"> individually</w:t>
      </w:r>
      <w:r w:rsidRPr="002D2F67">
        <w:rPr>
          <w:rFonts w:ascii="Arial" w:eastAsia="Arial Unicode MS" w:hAnsi="Arial" w:cs="Arial"/>
          <w:color w:val="000000"/>
          <w:sz w:val="18"/>
          <w:szCs w:val="18"/>
        </w:rPr>
        <w:t xml:space="preserve"> immaterial associates that are accounted for using</w:t>
      </w:r>
      <w:r w:rsidRPr="002D2F67">
        <w:rPr>
          <w:rFonts w:ascii="Arial" w:eastAsia="Arial Unicode MS" w:hAnsi="Arial" w:cs="Arial"/>
          <w:color w:val="000000"/>
          <w:sz w:val="18"/>
          <w:szCs w:val="18"/>
          <w:cs/>
        </w:rPr>
        <w:t xml:space="preserve"> </w:t>
      </w:r>
      <w:r w:rsidRPr="002D2F67">
        <w:rPr>
          <w:rFonts w:ascii="Arial" w:eastAsia="Arial Unicode MS" w:hAnsi="Arial" w:cs="Arial"/>
          <w:color w:val="000000"/>
          <w:sz w:val="18"/>
          <w:szCs w:val="18"/>
        </w:rPr>
        <w:t>the equity method as follows:</w:t>
      </w:r>
    </w:p>
    <w:p w14:paraId="1473E74D" w14:textId="77777777" w:rsidR="007C328C" w:rsidRPr="002D2F67" w:rsidRDefault="007C328C" w:rsidP="005611FE">
      <w:pPr>
        <w:ind w:left="540"/>
        <w:jc w:val="both"/>
        <w:rPr>
          <w:rFonts w:ascii="Arial" w:eastAsia="Arial Unicode MS" w:hAnsi="Arial" w:cs="Arial"/>
          <w:i/>
          <w:iCs/>
          <w:color w:val="000000"/>
          <w:sz w:val="18"/>
          <w:szCs w:val="18"/>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8"/>
        <w:gridCol w:w="1584"/>
        <w:gridCol w:w="1584"/>
      </w:tblGrid>
      <w:tr w:rsidR="007C328C" w:rsidRPr="002D2F67" w14:paraId="496324B7" w14:textId="77777777" w:rsidTr="002D2F67">
        <w:tc>
          <w:tcPr>
            <w:tcW w:w="6408" w:type="dxa"/>
            <w:tcBorders>
              <w:top w:val="nil"/>
              <w:left w:val="nil"/>
              <w:bottom w:val="nil"/>
              <w:right w:val="nil"/>
            </w:tcBorders>
            <w:shd w:val="clear" w:color="auto" w:fill="auto"/>
          </w:tcPr>
          <w:p w14:paraId="3D7D2813" w14:textId="77777777" w:rsidR="007C328C" w:rsidRPr="002D2F67" w:rsidRDefault="007C328C" w:rsidP="005611FE">
            <w:pPr>
              <w:ind w:left="540"/>
              <w:jc w:val="both"/>
              <w:rPr>
                <w:rFonts w:ascii="Arial" w:hAnsi="Arial" w:cs="Arial"/>
                <w:color w:val="000000"/>
                <w:sz w:val="18"/>
                <w:szCs w:val="18"/>
              </w:rPr>
            </w:pPr>
          </w:p>
        </w:tc>
        <w:tc>
          <w:tcPr>
            <w:tcW w:w="3168" w:type="dxa"/>
            <w:gridSpan w:val="2"/>
            <w:tcBorders>
              <w:top w:val="nil"/>
              <w:left w:val="nil"/>
              <w:bottom w:val="single" w:sz="4" w:space="0" w:color="auto"/>
              <w:right w:val="nil"/>
            </w:tcBorders>
            <w:shd w:val="clear" w:color="auto" w:fill="auto"/>
            <w:vAlign w:val="bottom"/>
          </w:tcPr>
          <w:p w14:paraId="0577361A" w14:textId="77777777" w:rsidR="007C328C" w:rsidRPr="002D2F67" w:rsidRDefault="007C328C" w:rsidP="005611FE">
            <w:pPr>
              <w:ind w:left="-40" w:right="-72"/>
              <w:jc w:val="right"/>
              <w:rPr>
                <w:rFonts w:ascii="Arial" w:hAnsi="Arial" w:cs="Arial"/>
                <w:b/>
                <w:bCs/>
                <w:color w:val="000000"/>
                <w:sz w:val="18"/>
                <w:szCs w:val="18"/>
              </w:rPr>
            </w:pPr>
            <w:r w:rsidRPr="002D2F67">
              <w:rPr>
                <w:rFonts w:ascii="Arial" w:hAnsi="Arial" w:cs="Arial"/>
                <w:b/>
                <w:bCs/>
                <w:color w:val="000000"/>
                <w:sz w:val="18"/>
                <w:szCs w:val="18"/>
              </w:rPr>
              <w:t>Consolidated financial statements</w:t>
            </w:r>
          </w:p>
        </w:tc>
      </w:tr>
      <w:tr w:rsidR="007C328C" w:rsidRPr="002D2F67" w14:paraId="1E466A73" w14:textId="77777777" w:rsidTr="002D2F67">
        <w:tc>
          <w:tcPr>
            <w:tcW w:w="6408" w:type="dxa"/>
            <w:tcBorders>
              <w:top w:val="nil"/>
              <w:left w:val="nil"/>
              <w:bottom w:val="nil"/>
              <w:right w:val="nil"/>
            </w:tcBorders>
            <w:shd w:val="clear" w:color="auto" w:fill="auto"/>
          </w:tcPr>
          <w:p w14:paraId="7B844CD4" w14:textId="77777777" w:rsidR="007C328C" w:rsidRPr="002D2F67" w:rsidRDefault="007C328C" w:rsidP="005611FE">
            <w:pPr>
              <w:ind w:left="540"/>
              <w:jc w:val="both"/>
              <w:rPr>
                <w:rFonts w:ascii="Arial" w:hAnsi="Arial" w:cs="Arial"/>
                <w:color w:val="000000"/>
                <w:sz w:val="18"/>
                <w:szCs w:val="18"/>
              </w:rPr>
            </w:pPr>
          </w:p>
        </w:tc>
        <w:tc>
          <w:tcPr>
            <w:tcW w:w="1584" w:type="dxa"/>
            <w:tcBorders>
              <w:top w:val="single" w:sz="4" w:space="0" w:color="auto"/>
              <w:left w:val="nil"/>
              <w:bottom w:val="nil"/>
              <w:right w:val="nil"/>
            </w:tcBorders>
            <w:shd w:val="clear" w:color="auto" w:fill="auto"/>
          </w:tcPr>
          <w:p w14:paraId="1D8464BE" w14:textId="563C12D3" w:rsidR="007C328C" w:rsidRPr="002D2F67" w:rsidRDefault="00CD5714" w:rsidP="005611FE">
            <w:pPr>
              <w:ind w:left="-40" w:right="-72"/>
              <w:jc w:val="right"/>
              <w:rPr>
                <w:rFonts w:ascii="Arial" w:hAnsi="Arial" w:cs="Arial"/>
                <w:b/>
                <w:bCs/>
                <w:color w:val="000000"/>
                <w:sz w:val="18"/>
                <w:szCs w:val="18"/>
              </w:rPr>
            </w:pPr>
            <w:r w:rsidRPr="00CD5714">
              <w:rPr>
                <w:rFonts w:ascii="Arial" w:hAnsi="Arial" w:cs="Arial"/>
                <w:b/>
                <w:bCs/>
                <w:color w:val="000000"/>
                <w:sz w:val="18"/>
                <w:szCs w:val="18"/>
                <w:lang w:val="en-GB"/>
              </w:rPr>
              <w:t>2024</w:t>
            </w:r>
          </w:p>
        </w:tc>
        <w:tc>
          <w:tcPr>
            <w:tcW w:w="1584" w:type="dxa"/>
            <w:tcBorders>
              <w:top w:val="single" w:sz="4" w:space="0" w:color="auto"/>
              <w:left w:val="nil"/>
              <w:bottom w:val="nil"/>
              <w:right w:val="nil"/>
            </w:tcBorders>
            <w:shd w:val="clear" w:color="auto" w:fill="auto"/>
          </w:tcPr>
          <w:p w14:paraId="7B198D15" w14:textId="09FC6F43" w:rsidR="007C328C" w:rsidRPr="002D2F67" w:rsidRDefault="00CD5714" w:rsidP="005611FE">
            <w:pPr>
              <w:ind w:left="-40" w:right="-72"/>
              <w:jc w:val="right"/>
              <w:rPr>
                <w:rFonts w:ascii="Arial" w:hAnsi="Arial" w:cs="Arial"/>
                <w:b/>
                <w:bCs/>
                <w:color w:val="000000"/>
                <w:sz w:val="18"/>
                <w:szCs w:val="18"/>
              </w:rPr>
            </w:pPr>
            <w:r w:rsidRPr="00CD5714">
              <w:rPr>
                <w:rFonts w:ascii="Arial" w:hAnsi="Arial" w:cs="Arial"/>
                <w:b/>
                <w:bCs/>
                <w:color w:val="000000"/>
                <w:sz w:val="18"/>
                <w:szCs w:val="18"/>
                <w:lang w:val="en-GB"/>
              </w:rPr>
              <w:t>2023</w:t>
            </w:r>
          </w:p>
        </w:tc>
      </w:tr>
      <w:tr w:rsidR="007C328C" w:rsidRPr="002D2F67" w14:paraId="6F0A7431" w14:textId="77777777" w:rsidTr="002D2F67">
        <w:tc>
          <w:tcPr>
            <w:tcW w:w="6408" w:type="dxa"/>
            <w:tcBorders>
              <w:top w:val="nil"/>
              <w:left w:val="nil"/>
              <w:bottom w:val="nil"/>
              <w:right w:val="nil"/>
            </w:tcBorders>
            <w:shd w:val="clear" w:color="auto" w:fill="auto"/>
          </w:tcPr>
          <w:p w14:paraId="0E6E6F29" w14:textId="77777777" w:rsidR="007C328C" w:rsidRPr="002D2F67" w:rsidRDefault="007C328C" w:rsidP="005611FE">
            <w:pPr>
              <w:ind w:left="540"/>
              <w:jc w:val="both"/>
              <w:rPr>
                <w:rFonts w:ascii="Arial" w:hAnsi="Arial" w:cs="Arial"/>
                <w:color w:val="000000"/>
                <w:sz w:val="18"/>
                <w:szCs w:val="18"/>
              </w:rPr>
            </w:pPr>
          </w:p>
        </w:tc>
        <w:tc>
          <w:tcPr>
            <w:tcW w:w="1584" w:type="dxa"/>
            <w:tcBorders>
              <w:top w:val="nil"/>
              <w:left w:val="nil"/>
              <w:bottom w:val="single" w:sz="4" w:space="0" w:color="auto"/>
              <w:right w:val="nil"/>
            </w:tcBorders>
            <w:shd w:val="clear" w:color="auto" w:fill="auto"/>
          </w:tcPr>
          <w:p w14:paraId="3DAB1FE8" w14:textId="77777777" w:rsidR="007C328C" w:rsidRPr="002D2F67" w:rsidRDefault="007C328C" w:rsidP="005611FE">
            <w:pPr>
              <w:ind w:right="-72"/>
              <w:jc w:val="right"/>
              <w:rPr>
                <w:rFonts w:ascii="Arial" w:hAnsi="Arial" w:cs="Arial"/>
                <w:b/>
                <w:bCs/>
                <w:color w:val="000000"/>
                <w:sz w:val="18"/>
                <w:szCs w:val="18"/>
              </w:rPr>
            </w:pPr>
            <w:r w:rsidRPr="002D2F67">
              <w:rPr>
                <w:rFonts w:ascii="Arial" w:hAnsi="Arial" w:cs="Arial"/>
                <w:b/>
                <w:bCs/>
                <w:color w:val="000000"/>
                <w:sz w:val="18"/>
                <w:szCs w:val="18"/>
              </w:rPr>
              <w:t>Million Baht</w:t>
            </w:r>
          </w:p>
        </w:tc>
        <w:tc>
          <w:tcPr>
            <w:tcW w:w="1584" w:type="dxa"/>
            <w:tcBorders>
              <w:top w:val="nil"/>
              <w:left w:val="nil"/>
              <w:bottom w:val="single" w:sz="4" w:space="0" w:color="auto"/>
              <w:right w:val="nil"/>
            </w:tcBorders>
            <w:shd w:val="clear" w:color="auto" w:fill="auto"/>
            <w:hideMark/>
          </w:tcPr>
          <w:p w14:paraId="68F3E0F8" w14:textId="77777777" w:rsidR="007C328C" w:rsidRPr="002D2F67" w:rsidRDefault="007C328C" w:rsidP="005611FE">
            <w:pPr>
              <w:ind w:right="-72"/>
              <w:jc w:val="right"/>
              <w:rPr>
                <w:rFonts w:ascii="Arial" w:hAnsi="Arial" w:cs="Arial"/>
                <w:b/>
                <w:bCs/>
                <w:color w:val="000000"/>
                <w:sz w:val="18"/>
                <w:szCs w:val="18"/>
              </w:rPr>
            </w:pPr>
            <w:r w:rsidRPr="002D2F67">
              <w:rPr>
                <w:rFonts w:ascii="Arial" w:hAnsi="Arial" w:cs="Arial"/>
                <w:b/>
                <w:bCs/>
                <w:color w:val="000000"/>
                <w:sz w:val="18"/>
                <w:szCs w:val="18"/>
              </w:rPr>
              <w:t>Million Baht</w:t>
            </w:r>
          </w:p>
        </w:tc>
      </w:tr>
      <w:tr w:rsidR="007C328C" w:rsidRPr="002D2F67" w14:paraId="6004E6A7" w14:textId="77777777" w:rsidTr="002D2F67">
        <w:tc>
          <w:tcPr>
            <w:tcW w:w="6408" w:type="dxa"/>
            <w:tcBorders>
              <w:top w:val="nil"/>
              <w:left w:val="nil"/>
              <w:bottom w:val="nil"/>
              <w:right w:val="nil"/>
            </w:tcBorders>
            <w:shd w:val="clear" w:color="auto" w:fill="auto"/>
          </w:tcPr>
          <w:p w14:paraId="7F185D6E" w14:textId="77777777" w:rsidR="007C328C" w:rsidRPr="002D2F67" w:rsidRDefault="007C328C" w:rsidP="005611FE">
            <w:pPr>
              <w:ind w:left="540"/>
              <w:rPr>
                <w:rFonts w:ascii="Arial" w:hAnsi="Arial" w:cs="Arial"/>
                <w:b/>
                <w:bCs/>
                <w:color w:val="000000"/>
                <w:sz w:val="18"/>
                <w:szCs w:val="18"/>
              </w:rPr>
            </w:pPr>
          </w:p>
        </w:tc>
        <w:tc>
          <w:tcPr>
            <w:tcW w:w="1584" w:type="dxa"/>
            <w:tcBorders>
              <w:top w:val="single" w:sz="4" w:space="0" w:color="auto"/>
              <w:left w:val="nil"/>
              <w:bottom w:val="nil"/>
              <w:right w:val="nil"/>
            </w:tcBorders>
            <w:shd w:val="clear" w:color="auto" w:fill="auto"/>
          </w:tcPr>
          <w:p w14:paraId="64C538E0" w14:textId="77777777" w:rsidR="007C328C" w:rsidRPr="002D2F67" w:rsidRDefault="007C328C" w:rsidP="005611FE">
            <w:pPr>
              <w:ind w:right="-72"/>
              <w:jc w:val="right"/>
              <w:rPr>
                <w:rFonts w:ascii="Arial" w:hAnsi="Arial" w:cs="Arial"/>
                <w:color w:val="000000"/>
                <w:sz w:val="18"/>
                <w:szCs w:val="18"/>
              </w:rPr>
            </w:pPr>
          </w:p>
        </w:tc>
        <w:tc>
          <w:tcPr>
            <w:tcW w:w="1584" w:type="dxa"/>
            <w:tcBorders>
              <w:top w:val="single" w:sz="4" w:space="0" w:color="auto"/>
              <w:left w:val="nil"/>
              <w:bottom w:val="nil"/>
              <w:right w:val="nil"/>
            </w:tcBorders>
            <w:shd w:val="clear" w:color="auto" w:fill="auto"/>
          </w:tcPr>
          <w:p w14:paraId="7D23C336" w14:textId="77777777" w:rsidR="007C328C" w:rsidRPr="002D2F67" w:rsidRDefault="007C328C" w:rsidP="005611FE">
            <w:pPr>
              <w:ind w:right="-72"/>
              <w:jc w:val="right"/>
              <w:rPr>
                <w:rFonts w:ascii="Arial" w:hAnsi="Arial" w:cs="Arial"/>
                <w:color w:val="000000"/>
                <w:sz w:val="18"/>
                <w:szCs w:val="18"/>
              </w:rPr>
            </w:pPr>
          </w:p>
        </w:tc>
      </w:tr>
      <w:tr w:rsidR="00C500A8" w:rsidRPr="002D2F67" w14:paraId="27CEB354" w14:textId="77777777" w:rsidTr="002D2F67">
        <w:tc>
          <w:tcPr>
            <w:tcW w:w="6408" w:type="dxa"/>
            <w:tcBorders>
              <w:top w:val="nil"/>
              <w:left w:val="nil"/>
              <w:bottom w:val="nil"/>
              <w:right w:val="nil"/>
            </w:tcBorders>
            <w:shd w:val="clear" w:color="auto" w:fill="auto"/>
          </w:tcPr>
          <w:p w14:paraId="37116E35" w14:textId="77777777" w:rsidR="00C500A8" w:rsidRPr="002D2F67" w:rsidRDefault="00C500A8" w:rsidP="005611FE">
            <w:pPr>
              <w:ind w:left="540"/>
              <w:rPr>
                <w:rFonts w:ascii="Arial" w:hAnsi="Arial" w:cs="Arial"/>
                <w:b/>
                <w:bCs/>
                <w:color w:val="000000"/>
                <w:sz w:val="18"/>
                <w:szCs w:val="18"/>
              </w:rPr>
            </w:pPr>
            <w:r w:rsidRPr="002D2F67">
              <w:rPr>
                <w:rFonts w:ascii="Arial" w:hAnsi="Arial" w:cs="Arial"/>
                <w:b/>
                <w:bCs/>
                <w:color w:val="000000"/>
                <w:sz w:val="18"/>
                <w:szCs w:val="18"/>
              </w:rPr>
              <w:t>Aggregate carrying amount of individually immaterial associates</w:t>
            </w:r>
          </w:p>
        </w:tc>
        <w:tc>
          <w:tcPr>
            <w:tcW w:w="1584" w:type="dxa"/>
            <w:tcBorders>
              <w:top w:val="nil"/>
              <w:left w:val="nil"/>
              <w:bottom w:val="single" w:sz="4" w:space="0" w:color="auto"/>
              <w:right w:val="nil"/>
            </w:tcBorders>
            <w:shd w:val="clear" w:color="auto" w:fill="auto"/>
          </w:tcPr>
          <w:p w14:paraId="32BDC36B" w14:textId="6E2BC595" w:rsidR="00C500A8"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527</w:t>
            </w:r>
          </w:p>
        </w:tc>
        <w:tc>
          <w:tcPr>
            <w:tcW w:w="1584" w:type="dxa"/>
            <w:tcBorders>
              <w:top w:val="nil"/>
              <w:left w:val="nil"/>
              <w:bottom w:val="single" w:sz="4" w:space="0" w:color="auto"/>
              <w:right w:val="nil"/>
            </w:tcBorders>
            <w:shd w:val="clear" w:color="auto" w:fill="auto"/>
          </w:tcPr>
          <w:p w14:paraId="34FEA362" w14:textId="1B4EFF1F" w:rsidR="00C500A8"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120</w:t>
            </w:r>
          </w:p>
        </w:tc>
      </w:tr>
      <w:tr w:rsidR="00C500A8" w:rsidRPr="002D2F67" w14:paraId="2639A861" w14:textId="77777777" w:rsidTr="002D2F67">
        <w:tc>
          <w:tcPr>
            <w:tcW w:w="6408" w:type="dxa"/>
            <w:tcBorders>
              <w:top w:val="nil"/>
              <w:left w:val="nil"/>
              <w:bottom w:val="nil"/>
              <w:right w:val="nil"/>
            </w:tcBorders>
            <w:shd w:val="clear" w:color="auto" w:fill="auto"/>
          </w:tcPr>
          <w:p w14:paraId="3FC2775B" w14:textId="77777777" w:rsidR="00C500A8" w:rsidRPr="002D2F67" w:rsidRDefault="00C500A8" w:rsidP="005611FE">
            <w:pPr>
              <w:ind w:left="540"/>
              <w:rPr>
                <w:rFonts w:ascii="Arial" w:hAnsi="Arial" w:cs="Arial"/>
                <w:b/>
                <w:bCs/>
                <w:color w:val="000000"/>
                <w:sz w:val="18"/>
                <w:szCs w:val="18"/>
              </w:rPr>
            </w:pPr>
            <w:r w:rsidRPr="002D2F67">
              <w:rPr>
                <w:rFonts w:ascii="Arial" w:hAnsi="Arial" w:cs="Arial"/>
                <w:b/>
                <w:bCs/>
                <w:color w:val="000000"/>
                <w:sz w:val="18"/>
                <w:szCs w:val="18"/>
              </w:rPr>
              <w:t>The Group’s share of:</w:t>
            </w:r>
          </w:p>
        </w:tc>
        <w:tc>
          <w:tcPr>
            <w:tcW w:w="1584" w:type="dxa"/>
            <w:tcBorders>
              <w:top w:val="single" w:sz="4" w:space="0" w:color="auto"/>
              <w:left w:val="nil"/>
              <w:bottom w:val="nil"/>
              <w:right w:val="nil"/>
            </w:tcBorders>
            <w:shd w:val="clear" w:color="auto" w:fill="auto"/>
          </w:tcPr>
          <w:p w14:paraId="2269AFBC" w14:textId="77777777" w:rsidR="00C500A8" w:rsidRPr="002D2F67" w:rsidRDefault="00C500A8" w:rsidP="005611FE">
            <w:pPr>
              <w:ind w:left="-40" w:right="-72"/>
              <w:jc w:val="right"/>
              <w:rPr>
                <w:rFonts w:ascii="Arial" w:hAnsi="Arial" w:cs="Arial"/>
                <w:b/>
                <w:bCs/>
                <w:color w:val="000000"/>
                <w:sz w:val="18"/>
                <w:szCs w:val="18"/>
              </w:rPr>
            </w:pPr>
          </w:p>
        </w:tc>
        <w:tc>
          <w:tcPr>
            <w:tcW w:w="1584" w:type="dxa"/>
            <w:tcBorders>
              <w:top w:val="single" w:sz="4" w:space="0" w:color="auto"/>
              <w:left w:val="nil"/>
              <w:bottom w:val="nil"/>
              <w:right w:val="nil"/>
            </w:tcBorders>
            <w:shd w:val="clear" w:color="auto" w:fill="auto"/>
          </w:tcPr>
          <w:p w14:paraId="4B877253" w14:textId="77777777" w:rsidR="00C500A8" w:rsidRPr="002D2F67" w:rsidRDefault="00C500A8" w:rsidP="005611FE">
            <w:pPr>
              <w:ind w:left="-40" w:right="-72"/>
              <w:jc w:val="right"/>
              <w:rPr>
                <w:rFonts w:ascii="Arial" w:hAnsi="Arial" w:cs="Arial"/>
                <w:b/>
                <w:bCs/>
                <w:color w:val="000000"/>
                <w:sz w:val="18"/>
                <w:szCs w:val="18"/>
              </w:rPr>
            </w:pPr>
          </w:p>
        </w:tc>
      </w:tr>
      <w:tr w:rsidR="00C500A8" w:rsidRPr="002D2F67" w14:paraId="58390CF2" w14:textId="77777777" w:rsidTr="002D2F67">
        <w:tc>
          <w:tcPr>
            <w:tcW w:w="6408" w:type="dxa"/>
            <w:tcBorders>
              <w:top w:val="nil"/>
              <w:left w:val="nil"/>
              <w:bottom w:val="nil"/>
              <w:right w:val="nil"/>
            </w:tcBorders>
            <w:shd w:val="clear" w:color="auto" w:fill="auto"/>
          </w:tcPr>
          <w:p w14:paraId="0CFD5CFF" w14:textId="7C995452" w:rsidR="00C500A8" w:rsidRPr="002D2F67" w:rsidRDefault="00C500A8" w:rsidP="005611FE">
            <w:pPr>
              <w:ind w:left="540"/>
              <w:rPr>
                <w:rFonts w:ascii="Arial" w:hAnsi="Arial" w:cs="Arial"/>
                <w:color w:val="000000"/>
                <w:sz w:val="18"/>
                <w:szCs w:val="18"/>
              </w:rPr>
            </w:pPr>
            <w:r w:rsidRPr="002D2F67">
              <w:rPr>
                <w:rFonts w:ascii="Arial" w:hAnsi="Arial" w:cs="Arial"/>
                <w:color w:val="000000"/>
                <w:sz w:val="18"/>
                <w:szCs w:val="18"/>
              </w:rPr>
              <w:t>Profit from continuing operations</w:t>
            </w:r>
          </w:p>
        </w:tc>
        <w:tc>
          <w:tcPr>
            <w:tcW w:w="1584" w:type="dxa"/>
            <w:tcBorders>
              <w:top w:val="nil"/>
              <w:left w:val="nil"/>
              <w:bottom w:val="nil"/>
              <w:right w:val="nil"/>
            </w:tcBorders>
            <w:shd w:val="clear" w:color="auto" w:fill="auto"/>
          </w:tcPr>
          <w:p w14:paraId="6EE54840" w14:textId="086D6C39" w:rsidR="00C500A8"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CD5714">
              <w:rPr>
                <w:rFonts w:ascii="Arial" w:hAnsi="Arial" w:cs="Arial"/>
                <w:color w:val="000000"/>
                <w:sz w:val="18"/>
                <w:szCs w:val="18"/>
                <w:lang w:val="en-GB"/>
              </w:rPr>
              <w:t>2</w:t>
            </w:r>
          </w:p>
        </w:tc>
        <w:tc>
          <w:tcPr>
            <w:tcW w:w="1584" w:type="dxa"/>
            <w:tcBorders>
              <w:top w:val="nil"/>
              <w:left w:val="nil"/>
              <w:bottom w:val="nil"/>
              <w:right w:val="nil"/>
            </w:tcBorders>
            <w:shd w:val="clear" w:color="auto" w:fill="auto"/>
          </w:tcPr>
          <w:p w14:paraId="6D11A021" w14:textId="4F113917" w:rsidR="00C500A8"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CD5714">
              <w:rPr>
                <w:rFonts w:ascii="Arial" w:hAnsi="Arial" w:cs="Arial"/>
                <w:color w:val="000000"/>
                <w:sz w:val="18"/>
                <w:szCs w:val="18"/>
                <w:lang w:val="en-GB"/>
              </w:rPr>
              <w:t>19</w:t>
            </w:r>
          </w:p>
        </w:tc>
      </w:tr>
      <w:tr w:rsidR="00C500A8" w:rsidRPr="002D2F67" w14:paraId="472F4C13" w14:textId="77777777" w:rsidTr="002D2F67">
        <w:tc>
          <w:tcPr>
            <w:tcW w:w="6408" w:type="dxa"/>
            <w:tcBorders>
              <w:top w:val="nil"/>
              <w:left w:val="nil"/>
              <w:bottom w:val="nil"/>
              <w:right w:val="nil"/>
            </w:tcBorders>
            <w:shd w:val="clear" w:color="auto" w:fill="auto"/>
          </w:tcPr>
          <w:p w14:paraId="1FB27C9A" w14:textId="52411A0C" w:rsidR="00C500A8" w:rsidRPr="002D2F67" w:rsidRDefault="00C500A8" w:rsidP="005611FE">
            <w:pPr>
              <w:ind w:left="540"/>
              <w:rPr>
                <w:rFonts w:ascii="Arial" w:hAnsi="Arial" w:cs="Arial"/>
                <w:color w:val="000000"/>
                <w:sz w:val="18"/>
                <w:szCs w:val="18"/>
              </w:rPr>
            </w:pPr>
            <w:r w:rsidRPr="002D2F67">
              <w:rPr>
                <w:rFonts w:ascii="Arial" w:hAnsi="Arial" w:cs="Arial"/>
                <w:color w:val="000000"/>
                <w:sz w:val="18"/>
                <w:szCs w:val="18"/>
              </w:rPr>
              <w:t>Other comprehensive expense</w:t>
            </w:r>
          </w:p>
        </w:tc>
        <w:tc>
          <w:tcPr>
            <w:tcW w:w="1584" w:type="dxa"/>
            <w:tcBorders>
              <w:top w:val="nil"/>
              <w:left w:val="nil"/>
              <w:bottom w:val="single" w:sz="4" w:space="0" w:color="auto"/>
              <w:right w:val="nil"/>
            </w:tcBorders>
            <w:shd w:val="clear" w:color="auto" w:fill="auto"/>
          </w:tcPr>
          <w:p w14:paraId="1D62EDE0" w14:textId="7DAE56A5" w:rsidR="00C500A8" w:rsidRPr="002D2F67" w:rsidRDefault="0083720B"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2D2F67">
              <w:rPr>
                <w:rFonts w:ascii="Arial" w:hAnsi="Arial" w:cs="Arial"/>
                <w:color w:val="000000"/>
                <w:sz w:val="18"/>
                <w:szCs w:val="18"/>
              </w:rPr>
              <w:t>-</w:t>
            </w:r>
            <w:r w:rsidR="00AF64C6" w:rsidRPr="002D2F67">
              <w:rPr>
                <w:rFonts w:ascii="Arial" w:hAnsi="Arial" w:cs="Arial"/>
                <w:color w:val="000000"/>
                <w:sz w:val="18"/>
                <w:szCs w:val="18"/>
              </w:rPr>
              <w:t xml:space="preserve"> </w:t>
            </w:r>
          </w:p>
        </w:tc>
        <w:tc>
          <w:tcPr>
            <w:tcW w:w="1584" w:type="dxa"/>
            <w:tcBorders>
              <w:top w:val="nil"/>
              <w:left w:val="nil"/>
              <w:bottom w:val="single" w:sz="4" w:space="0" w:color="auto"/>
              <w:right w:val="nil"/>
            </w:tcBorders>
            <w:shd w:val="clear" w:color="auto" w:fill="auto"/>
          </w:tcPr>
          <w:p w14:paraId="774C5A40" w14:textId="645BF95F" w:rsidR="00C500A8" w:rsidRPr="002D2F67" w:rsidRDefault="00C500A8"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2D2F67">
              <w:rPr>
                <w:rFonts w:ascii="Arial" w:hAnsi="Arial" w:cs="Arial"/>
                <w:color w:val="000000"/>
                <w:sz w:val="18"/>
                <w:szCs w:val="18"/>
              </w:rPr>
              <w:t>-</w:t>
            </w:r>
          </w:p>
        </w:tc>
      </w:tr>
      <w:tr w:rsidR="00C500A8" w:rsidRPr="002D2F67" w14:paraId="7B98C476" w14:textId="77777777" w:rsidTr="002D2F67">
        <w:tc>
          <w:tcPr>
            <w:tcW w:w="6408" w:type="dxa"/>
            <w:tcBorders>
              <w:top w:val="nil"/>
              <w:left w:val="nil"/>
              <w:bottom w:val="nil"/>
              <w:right w:val="nil"/>
            </w:tcBorders>
            <w:shd w:val="clear" w:color="auto" w:fill="auto"/>
          </w:tcPr>
          <w:p w14:paraId="7C86546F" w14:textId="77777777" w:rsidR="00C500A8" w:rsidRPr="002D2F67" w:rsidRDefault="00C500A8" w:rsidP="005611FE">
            <w:pPr>
              <w:ind w:left="540"/>
              <w:rPr>
                <w:rFonts w:ascii="Arial" w:hAnsi="Arial" w:cs="Arial"/>
                <w:color w:val="000000"/>
                <w:sz w:val="18"/>
                <w:szCs w:val="18"/>
              </w:rPr>
            </w:pPr>
          </w:p>
        </w:tc>
        <w:tc>
          <w:tcPr>
            <w:tcW w:w="1584" w:type="dxa"/>
            <w:tcBorders>
              <w:top w:val="single" w:sz="4" w:space="0" w:color="auto"/>
              <w:left w:val="nil"/>
              <w:bottom w:val="nil"/>
              <w:right w:val="nil"/>
            </w:tcBorders>
            <w:shd w:val="clear" w:color="auto" w:fill="auto"/>
          </w:tcPr>
          <w:p w14:paraId="486216DE" w14:textId="77777777" w:rsidR="00C500A8" w:rsidRPr="002D2F67" w:rsidRDefault="00C500A8"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584" w:type="dxa"/>
            <w:tcBorders>
              <w:top w:val="single" w:sz="4" w:space="0" w:color="auto"/>
              <w:left w:val="nil"/>
              <w:bottom w:val="nil"/>
              <w:right w:val="nil"/>
            </w:tcBorders>
            <w:shd w:val="clear" w:color="auto" w:fill="auto"/>
          </w:tcPr>
          <w:p w14:paraId="761415E4" w14:textId="77777777" w:rsidR="00C500A8" w:rsidRPr="002D2F67" w:rsidRDefault="00C500A8"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r>
      <w:tr w:rsidR="00C500A8" w:rsidRPr="002D2F67" w14:paraId="1E942B42" w14:textId="77777777" w:rsidTr="002D2F67">
        <w:tc>
          <w:tcPr>
            <w:tcW w:w="6408" w:type="dxa"/>
            <w:tcBorders>
              <w:top w:val="nil"/>
              <w:left w:val="nil"/>
              <w:bottom w:val="nil"/>
              <w:right w:val="nil"/>
            </w:tcBorders>
            <w:shd w:val="clear" w:color="auto" w:fill="auto"/>
          </w:tcPr>
          <w:p w14:paraId="2EB5CDCB" w14:textId="22ADC81A" w:rsidR="00C500A8" w:rsidRPr="002D2F67" w:rsidRDefault="00C500A8" w:rsidP="005611FE">
            <w:pPr>
              <w:ind w:left="540"/>
              <w:rPr>
                <w:rFonts w:ascii="Arial" w:hAnsi="Arial" w:cs="Arial"/>
                <w:color w:val="000000"/>
                <w:sz w:val="18"/>
                <w:szCs w:val="18"/>
              </w:rPr>
            </w:pPr>
            <w:r w:rsidRPr="002D2F67">
              <w:rPr>
                <w:rFonts w:ascii="Arial" w:hAnsi="Arial" w:cs="Arial"/>
                <w:color w:val="000000"/>
                <w:sz w:val="18"/>
                <w:szCs w:val="18"/>
              </w:rPr>
              <w:t>Total comprehensive income</w:t>
            </w:r>
          </w:p>
        </w:tc>
        <w:tc>
          <w:tcPr>
            <w:tcW w:w="1584" w:type="dxa"/>
            <w:tcBorders>
              <w:top w:val="nil"/>
              <w:left w:val="nil"/>
              <w:bottom w:val="single" w:sz="4" w:space="0" w:color="auto"/>
              <w:right w:val="nil"/>
            </w:tcBorders>
            <w:shd w:val="clear" w:color="auto" w:fill="auto"/>
          </w:tcPr>
          <w:p w14:paraId="0FA4A005" w14:textId="141B0972" w:rsidR="00C500A8"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CD5714">
              <w:rPr>
                <w:rFonts w:ascii="Arial" w:hAnsi="Arial" w:cs="Arial"/>
                <w:color w:val="000000"/>
                <w:sz w:val="18"/>
                <w:szCs w:val="18"/>
                <w:lang w:val="en-GB"/>
              </w:rPr>
              <w:t>2</w:t>
            </w:r>
            <w:r w:rsidR="00AF64C6" w:rsidRPr="002D2F67">
              <w:rPr>
                <w:rFonts w:ascii="Arial" w:hAnsi="Arial" w:cs="Arial"/>
                <w:color w:val="000000"/>
                <w:sz w:val="18"/>
                <w:szCs w:val="18"/>
              </w:rPr>
              <w:t xml:space="preserve">  </w:t>
            </w:r>
          </w:p>
        </w:tc>
        <w:tc>
          <w:tcPr>
            <w:tcW w:w="1584" w:type="dxa"/>
            <w:tcBorders>
              <w:top w:val="nil"/>
              <w:left w:val="nil"/>
              <w:bottom w:val="single" w:sz="4" w:space="0" w:color="auto"/>
              <w:right w:val="nil"/>
            </w:tcBorders>
            <w:shd w:val="clear" w:color="auto" w:fill="auto"/>
          </w:tcPr>
          <w:p w14:paraId="399B86EE" w14:textId="2E52C7CB" w:rsidR="00C500A8"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22"/>
              </w:rPr>
            </w:pPr>
            <w:r w:rsidRPr="00CD5714">
              <w:rPr>
                <w:rFonts w:ascii="Arial" w:hAnsi="Arial" w:cs="Arial"/>
                <w:color w:val="000000"/>
                <w:sz w:val="18"/>
                <w:szCs w:val="18"/>
                <w:lang w:val="en-GB"/>
              </w:rPr>
              <w:t>19</w:t>
            </w:r>
          </w:p>
        </w:tc>
      </w:tr>
    </w:tbl>
    <w:p w14:paraId="354C51CD" w14:textId="77777777" w:rsidR="007C328C" w:rsidRPr="002D2F67" w:rsidRDefault="007C328C" w:rsidP="005611FE">
      <w:pPr>
        <w:rPr>
          <w:rFonts w:ascii="Arial" w:hAnsi="Arial" w:cs="Arial"/>
          <w:color w:val="000000"/>
          <w:sz w:val="18"/>
          <w:szCs w:val="18"/>
        </w:rPr>
      </w:pPr>
    </w:p>
    <w:p w14:paraId="523E2977" w14:textId="35C99EB6" w:rsidR="00587489" w:rsidRPr="002D2F67" w:rsidRDefault="00587489" w:rsidP="005611FE">
      <w:pPr>
        <w:rPr>
          <w:rFonts w:ascii="Arial" w:hAnsi="Arial" w:cs="Arial"/>
          <w:color w:val="000000"/>
          <w:sz w:val="18"/>
          <w:szCs w:val="18"/>
        </w:rPr>
        <w:sectPr w:rsidR="00587489" w:rsidRPr="002D2F67" w:rsidSect="00BC5B63">
          <w:pgSz w:w="11907" w:h="16840" w:code="9"/>
          <w:pgMar w:top="1440" w:right="720" w:bottom="720" w:left="1728" w:header="706" w:footer="576" w:gutter="0"/>
          <w:cols w:space="720"/>
          <w:docGrid w:linePitch="272"/>
        </w:sectPr>
      </w:pPr>
    </w:p>
    <w:p w14:paraId="709F45DF" w14:textId="39AD8E70" w:rsidR="00FF408A" w:rsidRPr="002D2F67" w:rsidRDefault="00FF408A" w:rsidP="005611FE">
      <w:pPr>
        <w:rPr>
          <w:rFonts w:ascii="Arial" w:hAnsi="Arial" w:cs="Arial"/>
          <w:b/>
          <w:bCs/>
          <w:color w:val="000000"/>
          <w:sz w:val="20"/>
          <w:szCs w:val="18"/>
        </w:rPr>
      </w:pPr>
    </w:p>
    <w:p w14:paraId="6E1A31E3" w14:textId="59DA897C" w:rsidR="00DF528E" w:rsidRPr="002D2F67" w:rsidRDefault="00CD5714" w:rsidP="00DF528E">
      <w:pPr>
        <w:pStyle w:val="HeadSub1-5EA"/>
        <w:ind w:left="518" w:hanging="518"/>
        <w:rPr>
          <w:rFonts w:ascii="Arial" w:hAnsi="Arial" w:cs="Arial"/>
          <w:color w:val="000000"/>
          <w:sz w:val="20"/>
          <w:szCs w:val="20"/>
        </w:rPr>
      </w:pPr>
      <w:r w:rsidRPr="00CD5714">
        <w:rPr>
          <w:rFonts w:ascii="Arial" w:hAnsi="Arial" w:cs="Arial"/>
          <w:color w:val="000000"/>
          <w:sz w:val="20"/>
          <w:szCs w:val="20"/>
          <w:lang w:val="en-GB"/>
        </w:rPr>
        <w:t>19</w:t>
      </w:r>
      <w:r w:rsidR="00DF528E" w:rsidRPr="002D2F67">
        <w:rPr>
          <w:rFonts w:ascii="Arial" w:hAnsi="Arial" w:cs="Arial"/>
          <w:color w:val="000000"/>
          <w:sz w:val="20"/>
          <w:szCs w:val="20"/>
        </w:rPr>
        <w:t>.</w:t>
      </w:r>
      <w:r w:rsidRPr="00CD5714">
        <w:rPr>
          <w:rFonts w:ascii="Arial" w:hAnsi="Arial" w:cs="Arial"/>
          <w:color w:val="000000"/>
          <w:sz w:val="20"/>
          <w:szCs w:val="20"/>
          <w:lang w:val="en-GB"/>
        </w:rPr>
        <w:t>4</w:t>
      </w:r>
      <w:r w:rsidR="00DF528E" w:rsidRPr="002D2F67">
        <w:rPr>
          <w:rFonts w:ascii="Arial" w:hAnsi="Arial" w:cs="Arial"/>
          <w:color w:val="000000"/>
          <w:sz w:val="20"/>
          <w:szCs w:val="20"/>
        </w:rPr>
        <w:tab/>
        <w:t>Investments in joint ventures</w:t>
      </w:r>
    </w:p>
    <w:p w14:paraId="7DF8D017" w14:textId="77777777" w:rsidR="00DF528E" w:rsidRPr="002D2F67" w:rsidRDefault="00DF528E" w:rsidP="00DF528E">
      <w:pPr>
        <w:pStyle w:val="BodyText"/>
        <w:tabs>
          <w:tab w:val="left" w:pos="567"/>
        </w:tabs>
        <w:jc w:val="thaiDistribute"/>
        <w:rPr>
          <w:rFonts w:ascii="Arial" w:hAnsi="Arial" w:cs="Arial"/>
          <w:b/>
          <w:bCs/>
          <w:color w:val="000000"/>
          <w:szCs w:val="22"/>
          <w:lang w:val="en-GB"/>
        </w:rPr>
      </w:pPr>
    </w:p>
    <w:tbl>
      <w:tblPr>
        <w:tblW w:w="14850" w:type="dxa"/>
        <w:tblInd w:w="619" w:type="dxa"/>
        <w:tblLayout w:type="fixed"/>
        <w:tblCellMar>
          <w:left w:w="79" w:type="dxa"/>
          <w:right w:w="79" w:type="dxa"/>
        </w:tblCellMar>
        <w:tblLook w:val="04A0" w:firstRow="1" w:lastRow="0" w:firstColumn="1" w:lastColumn="0" w:noHBand="0" w:noVBand="1"/>
      </w:tblPr>
      <w:tblGrid>
        <w:gridCol w:w="3282"/>
        <w:gridCol w:w="3011"/>
        <w:gridCol w:w="1064"/>
        <w:gridCol w:w="1065"/>
        <w:gridCol w:w="1065"/>
        <w:gridCol w:w="1065"/>
        <w:gridCol w:w="1065"/>
        <w:gridCol w:w="1065"/>
        <w:gridCol w:w="1094"/>
        <w:gridCol w:w="1074"/>
      </w:tblGrid>
      <w:tr w:rsidR="00DF528E" w:rsidRPr="002D2F67" w14:paraId="1160A7DB" w14:textId="77777777">
        <w:trPr>
          <w:cantSplit/>
        </w:trPr>
        <w:tc>
          <w:tcPr>
            <w:tcW w:w="3282" w:type="dxa"/>
            <w:shd w:val="clear" w:color="auto" w:fill="auto"/>
            <w:vAlign w:val="bottom"/>
          </w:tcPr>
          <w:p w14:paraId="4D5401A8" w14:textId="77777777" w:rsidR="00DF528E" w:rsidRPr="002D2F67" w:rsidRDefault="00DF528E">
            <w:pPr>
              <w:ind w:left="-73"/>
              <w:rPr>
                <w:rFonts w:ascii="Arial" w:hAnsi="Arial" w:cs="Arial"/>
                <w:b/>
                <w:bCs/>
                <w:color w:val="000000"/>
                <w:spacing w:val="-4"/>
                <w:sz w:val="14"/>
                <w:szCs w:val="14"/>
                <w:cs/>
              </w:rPr>
            </w:pPr>
          </w:p>
        </w:tc>
        <w:tc>
          <w:tcPr>
            <w:tcW w:w="3011" w:type="dxa"/>
            <w:shd w:val="clear" w:color="auto" w:fill="auto"/>
            <w:vAlign w:val="bottom"/>
          </w:tcPr>
          <w:p w14:paraId="2AD07B40" w14:textId="77777777" w:rsidR="00DF528E" w:rsidRPr="002D2F67" w:rsidRDefault="00DF528E">
            <w:pPr>
              <w:pStyle w:val="acctfourfigures"/>
              <w:tabs>
                <w:tab w:val="left" w:pos="720"/>
              </w:tabs>
              <w:spacing w:line="240" w:lineRule="auto"/>
              <w:ind w:right="-72"/>
              <w:jc w:val="center"/>
              <w:rPr>
                <w:rFonts w:ascii="Arial" w:hAnsi="Arial" w:cs="Arial"/>
                <w:b/>
                <w:bCs/>
                <w:color w:val="000000"/>
                <w:sz w:val="14"/>
                <w:szCs w:val="14"/>
                <w:cs/>
                <w:lang w:bidi="th-TH"/>
              </w:rPr>
            </w:pPr>
          </w:p>
        </w:tc>
        <w:tc>
          <w:tcPr>
            <w:tcW w:w="8557" w:type="dxa"/>
            <w:gridSpan w:val="8"/>
            <w:tcBorders>
              <w:left w:val="nil"/>
              <w:bottom w:val="single" w:sz="4" w:space="0" w:color="auto"/>
              <w:right w:val="nil"/>
            </w:tcBorders>
            <w:shd w:val="clear" w:color="auto" w:fill="auto"/>
            <w:vAlign w:val="center"/>
          </w:tcPr>
          <w:p w14:paraId="1B150B56" w14:textId="77777777" w:rsidR="00DF528E" w:rsidRPr="002D2F67" w:rsidRDefault="00DF528E">
            <w:pPr>
              <w:pStyle w:val="acctfourfigures"/>
              <w:spacing w:line="0" w:lineRule="atLeast"/>
              <w:ind w:right="-71"/>
              <w:jc w:val="right"/>
              <w:rPr>
                <w:rFonts w:ascii="Arial" w:hAnsi="Arial" w:cs="Arial"/>
                <w:b/>
                <w:bCs/>
                <w:color w:val="000000"/>
                <w:sz w:val="14"/>
                <w:szCs w:val="14"/>
                <w:lang w:bidi="th-TH"/>
              </w:rPr>
            </w:pPr>
            <w:r w:rsidRPr="002D2F67">
              <w:rPr>
                <w:rFonts w:ascii="Arial" w:hAnsi="Arial" w:cs="Arial"/>
                <w:b/>
                <w:bCs/>
                <w:color w:val="000000"/>
                <w:sz w:val="14"/>
                <w:szCs w:val="14"/>
                <w:lang w:bidi="th-TH"/>
              </w:rPr>
              <w:t>Consolidated financial statements</w:t>
            </w:r>
          </w:p>
        </w:tc>
      </w:tr>
      <w:tr w:rsidR="00DF528E" w:rsidRPr="002D2F67" w14:paraId="5DE1B4E4" w14:textId="77777777">
        <w:trPr>
          <w:cantSplit/>
        </w:trPr>
        <w:tc>
          <w:tcPr>
            <w:tcW w:w="3282" w:type="dxa"/>
            <w:shd w:val="clear" w:color="auto" w:fill="auto"/>
            <w:vAlign w:val="bottom"/>
          </w:tcPr>
          <w:p w14:paraId="44142638" w14:textId="77777777" w:rsidR="00DF528E" w:rsidRPr="002D2F67" w:rsidRDefault="00DF528E">
            <w:pPr>
              <w:ind w:left="-73"/>
              <w:rPr>
                <w:rFonts w:ascii="Arial" w:hAnsi="Arial" w:cs="Arial"/>
                <w:b/>
                <w:bCs/>
                <w:color w:val="000000"/>
                <w:spacing w:val="-4"/>
                <w:sz w:val="14"/>
                <w:szCs w:val="14"/>
              </w:rPr>
            </w:pPr>
          </w:p>
        </w:tc>
        <w:tc>
          <w:tcPr>
            <w:tcW w:w="3011" w:type="dxa"/>
            <w:shd w:val="clear" w:color="auto" w:fill="auto"/>
            <w:vAlign w:val="bottom"/>
          </w:tcPr>
          <w:p w14:paraId="540B0BE2" w14:textId="77777777" w:rsidR="00DF528E" w:rsidRPr="002D2F67" w:rsidRDefault="00DF528E">
            <w:pPr>
              <w:pStyle w:val="acctfourfigures"/>
              <w:tabs>
                <w:tab w:val="left" w:pos="720"/>
              </w:tabs>
              <w:spacing w:line="240" w:lineRule="auto"/>
              <w:ind w:right="-72"/>
              <w:jc w:val="center"/>
              <w:rPr>
                <w:rFonts w:ascii="Arial" w:hAnsi="Arial" w:cs="Arial"/>
                <w:b/>
                <w:bCs/>
                <w:color w:val="000000"/>
                <w:sz w:val="14"/>
                <w:szCs w:val="14"/>
                <w:cs/>
                <w:lang w:bidi="th-TH"/>
              </w:rPr>
            </w:pPr>
          </w:p>
        </w:tc>
        <w:tc>
          <w:tcPr>
            <w:tcW w:w="2129" w:type="dxa"/>
            <w:gridSpan w:val="2"/>
            <w:tcBorders>
              <w:top w:val="single" w:sz="4" w:space="0" w:color="auto"/>
              <w:left w:val="nil"/>
              <w:bottom w:val="single" w:sz="4" w:space="0" w:color="auto"/>
              <w:right w:val="nil"/>
            </w:tcBorders>
            <w:shd w:val="clear" w:color="auto" w:fill="auto"/>
            <w:vAlign w:val="bottom"/>
            <w:hideMark/>
          </w:tcPr>
          <w:p w14:paraId="46D3B943" w14:textId="77777777" w:rsidR="00DF528E" w:rsidRPr="002D2F67" w:rsidRDefault="00DF528E">
            <w:pPr>
              <w:pStyle w:val="acctfourfigures"/>
              <w:tabs>
                <w:tab w:val="left" w:pos="720"/>
              </w:tabs>
              <w:spacing w:line="240" w:lineRule="auto"/>
              <w:ind w:right="-29"/>
              <w:jc w:val="center"/>
              <w:rPr>
                <w:rFonts w:ascii="Arial" w:hAnsi="Arial" w:cs="Arial"/>
                <w:b/>
                <w:bCs/>
                <w:color w:val="000000"/>
                <w:spacing w:val="-4"/>
                <w:sz w:val="14"/>
                <w:szCs w:val="14"/>
                <w:lang w:bidi="th-TH"/>
              </w:rPr>
            </w:pPr>
            <w:r w:rsidRPr="002D2F67">
              <w:rPr>
                <w:rFonts w:ascii="Arial" w:hAnsi="Arial" w:cs="Arial"/>
                <w:b/>
                <w:bCs/>
                <w:color w:val="000000"/>
                <w:sz w:val="14"/>
                <w:szCs w:val="14"/>
                <w:lang w:bidi="th-TH"/>
              </w:rPr>
              <w:t>Portion of ordinary shares held by the Group</w:t>
            </w:r>
          </w:p>
        </w:tc>
        <w:tc>
          <w:tcPr>
            <w:tcW w:w="2130" w:type="dxa"/>
            <w:gridSpan w:val="2"/>
            <w:tcBorders>
              <w:top w:val="single" w:sz="4" w:space="0" w:color="auto"/>
              <w:left w:val="nil"/>
              <w:bottom w:val="single" w:sz="4" w:space="0" w:color="auto"/>
              <w:right w:val="nil"/>
            </w:tcBorders>
            <w:shd w:val="clear" w:color="auto" w:fill="auto"/>
            <w:vAlign w:val="bottom"/>
            <w:hideMark/>
          </w:tcPr>
          <w:p w14:paraId="43772937" w14:textId="77777777" w:rsidR="00DF528E" w:rsidRPr="002D2F67" w:rsidRDefault="00DF528E">
            <w:pPr>
              <w:pStyle w:val="acctfourfigures"/>
              <w:tabs>
                <w:tab w:val="left" w:pos="720"/>
              </w:tabs>
              <w:spacing w:line="240" w:lineRule="auto"/>
              <w:ind w:right="-29"/>
              <w:jc w:val="center"/>
              <w:rPr>
                <w:rFonts w:ascii="Arial" w:hAnsi="Arial" w:cs="Arial"/>
                <w:b/>
                <w:bCs/>
                <w:color w:val="000000"/>
                <w:sz w:val="14"/>
                <w:szCs w:val="14"/>
                <w:cs/>
                <w:lang w:bidi="th-TH"/>
              </w:rPr>
            </w:pPr>
            <w:r w:rsidRPr="002D2F67">
              <w:rPr>
                <w:rFonts w:ascii="Arial" w:hAnsi="Arial" w:cs="Arial"/>
                <w:b/>
                <w:bCs/>
                <w:color w:val="000000"/>
                <w:sz w:val="14"/>
                <w:szCs w:val="14"/>
                <w:lang w:bidi="th-TH"/>
              </w:rPr>
              <w:t>Cost method</w:t>
            </w:r>
          </w:p>
        </w:tc>
        <w:tc>
          <w:tcPr>
            <w:tcW w:w="2130" w:type="dxa"/>
            <w:gridSpan w:val="2"/>
            <w:tcBorders>
              <w:top w:val="single" w:sz="4" w:space="0" w:color="auto"/>
              <w:left w:val="nil"/>
              <w:bottom w:val="single" w:sz="4" w:space="0" w:color="auto"/>
              <w:right w:val="nil"/>
            </w:tcBorders>
            <w:shd w:val="clear" w:color="auto" w:fill="auto"/>
            <w:vAlign w:val="bottom"/>
          </w:tcPr>
          <w:p w14:paraId="4D74EFB5" w14:textId="77777777" w:rsidR="00DF528E" w:rsidRPr="002D2F67" w:rsidRDefault="00DF528E">
            <w:pPr>
              <w:pStyle w:val="acctfourfigures"/>
              <w:tabs>
                <w:tab w:val="left" w:pos="720"/>
              </w:tabs>
              <w:spacing w:line="240" w:lineRule="auto"/>
              <w:ind w:right="-29"/>
              <w:jc w:val="center"/>
              <w:rPr>
                <w:rFonts w:ascii="Arial" w:hAnsi="Arial" w:cs="Arial"/>
                <w:b/>
                <w:bCs/>
                <w:color w:val="000000"/>
                <w:sz w:val="14"/>
                <w:szCs w:val="14"/>
                <w:lang w:bidi="th-TH"/>
              </w:rPr>
            </w:pPr>
            <w:r w:rsidRPr="002D2F67">
              <w:rPr>
                <w:rFonts w:ascii="Arial" w:hAnsi="Arial" w:cs="Arial"/>
                <w:b/>
                <w:bCs/>
                <w:color w:val="000000"/>
                <w:sz w:val="14"/>
                <w:szCs w:val="14"/>
                <w:lang w:bidi="th-TH"/>
              </w:rPr>
              <w:t>Equity method</w:t>
            </w:r>
          </w:p>
        </w:tc>
        <w:tc>
          <w:tcPr>
            <w:tcW w:w="2168" w:type="dxa"/>
            <w:gridSpan w:val="2"/>
            <w:tcBorders>
              <w:top w:val="single" w:sz="4" w:space="0" w:color="auto"/>
              <w:left w:val="nil"/>
              <w:bottom w:val="single" w:sz="4" w:space="0" w:color="auto"/>
              <w:right w:val="nil"/>
            </w:tcBorders>
            <w:shd w:val="clear" w:color="auto" w:fill="auto"/>
            <w:vAlign w:val="bottom"/>
            <w:hideMark/>
          </w:tcPr>
          <w:p w14:paraId="1A1CCC98" w14:textId="77777777" w:rsidR="00DF528E" w:rsidRPr="002D2F67" w:rsidRDefault="00DF528E">
            <w:pPr>
              <w:pStyle w:val="acctfourfigures"/>
              <w:tabs>
                <w:tab w:val="left" w:pos="720"/>
              </w:tabs>
              <w:spacing w:line="240" w:lineRule="auto"/>
              <w:ind w:right="-29"/>
              <w:jc w:val="center"/>
              <w:rPr>
                <w:rFonts w:ascii="Arial" w:hAnsi="Arial" w:cs="Arial"/>
                <w:b/>
                <w:bCs/>
                <w:color w:val="000000"/>
                <w:sz w:val="14"/>
                <w:szCs w:val="14"/>
                <w:lang w:bidi="th-TH"/>
              </w:rPr>
            </w:pPr>
            <w:r w:rsidRPr="002D2F67">
              <w:rPr>
                <w:rFonts w:ascii="Arial" w:hAnsi="Arial" w:cs="Arial"/>
                <w:b/>
                <w:bCs/>
                <w:color w:val="000000"/>
                <w:sz w:val="14"/>
                <w:szCs w:val="14"/>
                <w:lang w:bidi="th-TH"/>
              </w:rPr>
              <w:t>Dividend for the year</w:t>
            </w:r>
          </w:p>
        </w:tc>
      </w:tr>
      <w:tr w:rsidR="00DF528E" w:rsidRPr="002D2F67" w14:paraId="1F7A8A0E" w14:textId="77777777">
        <w:trPr>
          <w:cantSplit/>
        </w:trPr>
        <w:tc>
          <w:tcPr>
            <w:tcW w:w="3282" w:type="dxa"/>
            <w:shd w:val="clear" w:color="auto" w:fill="auto"/>
            <w:vAlign w:val="bottom"/>
          </w:tcPr>
          <w:p w14:paraId="36E56838" w14:textId="77777777" w:rsidR="00DF528E" w:rsidRPr="002D2F67" w:rsidRDefault="00DF528E">
            <w:pPr>
              <w:rPr>
                <w:rFonts w:ascii="Arial" w:hAnsi="Arial" w:cs="Arial"/>
                <w:b/>
                <w:bCs/>
                <w:color w:val="000000"/>
                <w:spacing w:val="-4"/>
                <w:sz w:val="14"/>
                <w:szCs w:val="14"/>
                <w:cs/>
              </w:rPr>
            </w:pPr>
          </w:p>
        </w:tc>
        <w:tc>
          <w:tcPr>
            <w:tcW w:w="3011" w:type="dxa"/>
            <w:shd w:val="clear" w:color="auto" w:fill="auto"/>
            <w:vAlign w:val="bottom"/>
          </w:tcPr>
          <w:p w14:paraId="19DBFA92" w14:textId="77777777" w:rsidR="00DF528E" w:rsidRPr="002D2F67" w:rsidRDefault="00DF528E">
            <w:pPr>
              <w:pStyle w:val="acctfourfigures"/>
              <w:tabs>
                <w:tab w:val="left" w:pos="720"/>
              </w:tabs>
              <w:spacing w:line="240" w:lineRule="auto"/>
              <w:ind w:right="-72"/>
              <w:rPr>
                <w:rFonts w:ascii="Arial" w:hAnsi="Arial" w:cs="Arial"/>
                <w:b/>
                <w:bCs/>
                <w:color w:val="000000"/>
                <w:sz w:val="14"/>
                <w:szCs w:val="14"/>
                <w:cs/>
                <w:lang w:bidi="th-TH"/>
              </w:rPr>
            </w:pPr>
          </w:p>
        </w:tc>
        <w:tc>
          <w:tcPr>
            <w:tcW w:w="1064" w:type="dxa"/>
            <w:tcBorders>
              <w:top w:val="single" w:sz="4" w:space="0" w:color="auto"/>
              <w:left w:val="nil"/>
              <w:right w:val="nil"/>
            </w:tcBorders>
            <w:shd w:val="clear" w:color="auto" w:fill="auto"/>
            <w:vAlign w:val="bottom"/>
            <w:hideMark/>
          </w:tcPr>
          <w:p w14:paraId="27287ECB" w14:textId="5960AB10" w:rsidR="00DF528E" w:rsidRPr="002D2F67" w:rsidRDefault="00CD5714">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DF528E" w:rsidRPr="002D2F67">
              <w:rPr>
                <w:rFonts w:ascii="Arial" w:hAnsi="Arial" w:cs="Arial"/>
                <w:b/>
                <w:bCs/>
                <w:color w:val="000000"/>
                <w:sz w:val="14"/>
                <w:szCs w:val="14"/>
                <w:lang w:bidi="th-TH"/>
              </w:rPr>
              <w:t xml:space="preserve"> December</w:t>
            </w:r>
          </w:p>
          <w:p w14:paraId="5794FDB9" w14:textId="78995477" w:rsidR="00DF528E" w:rsidRPr="002D2F67" w:rsidRDefault="00CD5714">
            <w:pPr>
              <w:pStyle w:val="acctfourfigures"/>
              <w:tabs>
                <w:tab w:val="clear" w:pos="765"/>
              </w:tabs>
              <w:spacing w:line="240" w:lineRule="auto"/>
              <w:ind w:right="-58"/>
              <w:jc w:val="right"/>
              <w:rPr>
                <w:rFonts w:ascii="Arial" w:hAnsi="Arial" w:cs="Arial"/>
                <w:b/>
                <w:bCs/>
                <w:color w:val="000000"/>
                <w:sz w:val="14"/>
                <w:szCs w:val="14"/>
              </w:rPr>
            </w:pPr>
            <w:r w:rsidRPr="00CD5714">
              <w:rPr>
                <w:rFonts w:ascii="Arial" w:hAnsi="Arial" w:cs="Arial"/>
                <w:b/>
                <w:bCs/>
                <w:color w:val="000000"/>
                <w:sz w:val="14"/>
                <w:szCs w:val="14"/>
                <w:lang w:val="en-GB" w:bidi="th-TH"/>
              </w:rPr>
              <w:t>2024</w:t>
            </w:r>
          </w:p>
        </w:tc>
        <w:tc>
          <w:tcPr>
            <w:tcW w:w="1065" w:type="dxa"/>
            <w:tcBorders>
              <w:top w:val="single" w:sz="4" w:space="0" w:color="auto"/>
              <w:left w:val="nil"/>
              <w:right w:val="nil"/>
            </w:tcBorders>
            <w:shd w:val="clear" w:color="auto" w:fill="auto"/>
            <w:vAlign w:val="bottom"/>
            <w:hideMark/>
          </w:tcPr>
          <w:p w14:paraId="09D68318" w14:textId="52998510" w:rsidR="00DF528E" w:rsidRPr="002D2F67" w:rsidRDefault="00CD5714">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DF528E" w:rsidRPr="002D2F67">
              <w:rPr>
                <w:rFonts w:ascii="Arial" w:hAnsi="Arial" w:cs="Arial"/>
                <w:b/>
                <w:bCs/>
                <w:color w:val="000000"/>
                <w:sz w:val="14"/>
                <w:szCs w:val="14"/>
                <w:lang w:bidi="th-TH"/>
              </w:rPr>
              <w:t xml:space="preserve"> December</w:t>
            </w:r>
          </w:p>
          <w:p w14:paraId="056FDDE1" w14:textId="23170210" w:rsidR="00DF528E" w:rsidRPr="002D2F67" w:rsidRDefault="00CD5714">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2023</w:t>
            </w:r>
          </w:p>
        </w:tc>
        <w:tc>
          <w:tcPr>
            <w:tcW w:w="1065" w:type="dxa"/>
            <w:tcBorders>
              <w:top w:val="single" w:sz="4" w:space="0" w:color="auto"/>
              <w:left w:val="nil"/>
              <w:right w:val="nil"/>
            </w:tcBorders>
            <w:shd w:val="clear" w:color="auto" w:fill="auto"/>
            <w:vAlign w:val="bottom"/>
            <w:hideMark/>
          </w:tcPr>
          <w:p w14:paraId="2F9FB005" w14:textId="35EE42E2" w:rsidR="00DF528E" w:rsidRPr="002D2F67" w:rsidRDefault="00CD5714">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DF528E" w:rsidRPr="002D2F67">
              <w:rPr>
                <w:rFonts w:ascii="Arial" w:hAnsi="Arial" w:cs="Arial"/>
                <w:b/>
                <w:bCs/>
                <w:color w:val="000000"/>
                <w:sz w:val="14"/>
                <w:szCs w:val="14"/>
                <w:lang w:bidi="th-TH"/>
              </w:rPr>
              <w:t xml:space="preserve"> December</w:t>
            </w:r>
          </w:p>
          <w:p w14:paraId="1C307AE6" w14:textId="15A10851" w:rsidR="00DF528E" w:rsidRPr="002D2F67" w:rsidRDefault="00CD5714">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2024</w:t>
            </w:r>
          </w:p>
        </w:tc>
        <w:tc>
          <w:tcPr>
            <w:tcW w:w="1065" w:type="dxa"/>
            <w:tcBorders>
              <w:top w:val="single" w:sz="4" w:space="0" w:color="auto"/>
              <w:left w:val="nil"/>
              <w:right w:val="nil"/>
            </w:tcBorders>
            <w:shd w:val="clear" w:color="auto" w:fill="auto"/>
            <w:vAlign w:val="bottom"/>
            <w:hideMark/>
          </w:tcPr>
          <w:p w14:paraId="0AE77D2F" w14:textId="6405DFEA" w:rsidR="00DF528E" w:rsidRPr="002D2F67" w:rsidRDefault="00CD5714">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DF528E" w:rsidRPr="002D2F67">
              <w:rPr>
                <w:rFonts w:ascii="Arial" w:hAnsi="Arial" w:cs="Arial"/>
                <w:b/>
                <w:bCs/>
                <w:color w:val="000000"/>
                <w:sz w:val="14"/>
                <w:szCs w:val="14"/>
                <w:lang w:bidi="th-TH"/>
              </w:rPr>
              <w:t xml:space="preserve"> December</w:t>
            </w:r>
          </w:p>
          <w:p w14:paraId="6DBA2D51" w14:textId="5B398558" w:rsidR="00DF528E" w:rsidRPr="002D2F67" w:rsidRDefault="00CD5714">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2023</w:t>
            </w:r>
          </w:p>
        </w:tc>
        <w:tc>
          <w:tcPr>
            <w:tcW w:w="1065" w:type="dxa"/>
            <w:tcBorders>
              <w:top w:val="single" w:sz="4" w:space="0" w:color="auto"/>
              <w:left w:val="nil"/>
            </w:tcBorders>
            <w:shd w:val="clear" w:color="auto" w:fill="auto"/>
            <w:vAlign w:val="bottom"/>
          </w:tcPr>
          <w:p w14:paraId="1A6973F0" w14:textId="23238AF1" w:rsidR="00DF528E" w:rsidRPr="002D2F67" w:rsidRDefault="00CD5714">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DF528E" w:rsidRPr="002D2F67">
              <w:rPr>
                <w:rFonts w:ascii="Arial" w:hAnsi="Arial" w:cs="Arial"/>
                <w:b/>
                <w:bCs/>
                <w:color w:val="000000"/>
                <w:sz w:val="14"/>
                <w:szCs w:val="14"/>
                <w:lang w:bidi="th-TH"/>
              </w:rPr>
              <w:t xml:space="preserve"> December</w:t>
            </w:r>
          </w:p>
          <w:p w14:paraId="5A918D3C" w14:textId="7AB205AE" w:rsidR="00DF528E" w:rsidRPr="002D2F67" w:rsidRDefault="00CD5714">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2024</w:t>
            </w:r>
          </w:p>
        </w:tc>
        <w:tc>
          <w:tcPr>
            <w:tcW w:w="1065" w:type="dxa"/>
            <w:tcBorders>
              <w:top w:val="single" w:sz="4" w:space="0" w:color="auto"/>
              <w:right w:val="nil"/>
            </w:tcBorders>
            <w:shd w:val="clear" w:color="auto" w:fill="auto"/>
            <w:vAlign w:val="bottom"/>
          </w:tcPr>
          <w:p w14:paraId="1CE428D7" w14:textId="08A9B667" w:rsidR="00DF528E" w:rsidRPr="002D2F67" w:rsidRDefault="00CD5714">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DF528E" w:rsidRPr="002D2F67">
              <w:rPr>
                <w:rFonts w:ascii="Arial" w:hAnsi="Arial" w:cs="Arial"/>
                <w:b/>
                <w:bCs/>
                <w:color w:val="000000"/>
                <w:sz w:val="14"/>
                <w:szCs w:val="14"/>
                <w:lang w:bidi="th-TH"/>
              </w:rPr>
              <w:t xml:space="preserve"> December</w:t>
            </w:r>
          </w:p>
          <w:p w14:paraId="77FF851D" w14:textId="04A6DC24" w:rsidR="00DF528E" w:rsidRPr="002D2F67" w:rsidRDefault="00CD5714">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2023</w:t>
            </w:r>
          </w:p>
        </w:tc>
        <w:tc>
          <w:tcPr>
            <w:tcW w:w="1094" w:type="dxa"/>
            <w:tcBorders>
              <w:top w:val="single" w:sz="4" w:space="0" w:color="auto"/>
              <w:left w:val="nil"/>
              <w:right w:val="nil"/>
            </w:tcBorders>
            <w:shd w:val="clear" w:color="auto" w:fill="auto"/>
            <w:vAlign w:val="bottom"/>
            <w:hideMark/>
          </w:tcPr>
          <w:p w14:paraId="20A28E8A" w14:textId="1E09725C" w:rsidR="00DF528E" w:rsidRPr="002D2F67" w:rsidRDefault="00CD5714">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DF528E" w:rsidRPr="002D2F67">
              <w:rPr>
                <w:rFonts w:ascii="Arial" w:hAnsi="Arial" w:cs="Arial"/>
                <w:b/>
                <w:bCs/>
                <w:color w:val="000000"/>
                <w:sz w:val="14"/>
                <w:szCs w:val="14"/>
                <w:lang w:bidi="th-TH"/>
              </w:rPr>
              <w:t xml:space="preserve"> December</w:t>
            </w:r>
          </w:p>
          <w:p w14:paraId="17431848" w14:textId="424CF70D" w:rsidR="00DF528E" w:rsidRPr="002D2F67" w:rsidRDefault="00CD5714">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2024</w:t>
            </w:r>
          </w:p>
        </w:tc>
        <w:tc>
          <w:tcPr>
            <w:tcW w:w="1074" w:type="dxa"/>
            <w:tcBorders>
              <w:top w:val="single" w:sz="4" w:space="0" w:color="auto"/>
              <w:left w:val="nil"/>
              <w:right w:val="nil"/>
            </w:tcBorders>
            <w:shd w:val="clear" w:color="auto" w:fill="auto"/>
            <w:vAlign w:val="bottom"/>
            <w:hideMark/>
          </w:tcPr>
          <w:p w14:paraId="040734F6" w14:textId="027F6C8E" w:rsidR="00DF528E" w:rsidRPr="002D2F67" w:rsidRDefault="00CD5714">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DF528E" w:rsidRPr="002D2F67">
              <w:rPr>
                <w:rFonts w:ascii="Arial" w:hAnsi="Arial" w:cs="Arial"/>
                <w:b/>
                <w:bCs/>
                <w:color w:val="000000"/>
                <w:sz w:val="14"/>
                <w:szCs w:val="14"/>
                <w:lang w:bidi="th-TH"/>
              </w:rPr>
              <w:t xml:space="preserve"> December</w:t>
            </w:r>
          </w:p>
          <w:p w14:paraId="23877AB0" w14:textId="1BCAD103" w:rsidR="00DF528E" w:rsidRPr="002D2F67" w:rsidRDefault="00CD5714">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2023</w:t>
            </w:r>
          </w:p>
        </w:tc>
      </w:tr>
      <w:tr w:rsidR="00DF528E" w:rsidRPr="002D2F67" w14:paraId="21969E05" w14:textId="77777777">
        <w:trPr>
          <w:cantSplit/>
        </w:trPr>
        <w:tc>
          <w:tcPr>
            <w:tcW w:w="3282" w:type="dxa"/>
            <w:shd w:val="clear" w:color="auto" w:fill="auto"/>
            <w:vAlign w:val="bottom"/>
          </w:tcPr>
          <w:p w14:paraId="3B0F05F1" w14:textId="77777777" w:rsidR="00DF528E" w:rsidRPr="002D2F67" w:rsidRDefault="00DF528E">
            <w:pPr>
              <w:ind w:left="-73"/>
              <w:rPr>
                <w:rFonts w:ascii="Arial" w:hAnsi="Arial" w:cs="Arial"/>
                <w:b/>
                <w:bCs/>
                <w:color w:val="000000"/>
                <w:spacing w:val="-4"/>
                <w:sz w:val="14"/>
                <w:szCs w:val="14"/>
              </w:rPr>
            </w:pPr>
          </w:p>
        </w:tc>
        <w:tc>
          <w:tcPr>
            <w:tcW w:w="3011" w:type="dxa"/>
            <w:tcBorders>
              <w:top w:val="nil"/>
              <w:left w:val="nil"/>
              <w:bottom w:val="single" w:sz="4" w:space="0" w:color="auto"/>
              <w:right w:val="nil"/>
            </w:tcBorders>
            <w:shd w:val="clear" w:color="auto" w:fill="auto"/>
            <w:vAlign w:val="bottom"/>
            <w:hideMark/>
          </w:tcPr>
          <w:p w14:paraId="4A63B3A2" w14:textId="77777777" w:rsidR="00DF528E" w:rsidRPr="002D2F67" w:rsidRDefault="00DF528E">
            <w:pPr>
              <w:pStyle w:val="acctfourfigures"/>
              <w:tabs>
                <w:tab w:val="left" w:pos="720"/>
              </w:tabs>
              <w:spacing w:line="240" w:lineRule="auto"/>
              <w:ind w:right="-72"/>
              <w:jc w:val="center"/>
              <w:rPr>
                <w:rFonts w:ascii="Arial" w:hAnsi="Arial" w:cs="Arial"/>
                <w:b/>
                <w:bCs/>
                <w:color w:val="000000"/>
                <w:sz w:val="14"/>
                <w:szCs w:val="14"/>
                <w:cs/>
                <w:lang w:bidi="th-TH"/>
              </w:rPr>
            </w:pPr>
            <w:r w:rsidRPr="002D2F67">
              <w:rPr>
                <w:rFonts w:ascii="Arial" w:hAnsi="Arial" w:cs="Arial"/>
                <w:b/>
                <w:bCs/>
                <w:color w:val="000000"/>
                <w:sz w:val="14"/>
                <w:szCs w:val="14"/>
                <w:lang w:bidi="th-TH"/>
              </w:rPr>
              <w:t>Business</w:t>
            </w:r>
          </w:p>
        </w:tc>
        <w:tc>
          <w:tcPr>
            <w:tcW w:w="1064" w:type="dxa"/>
            <w:tcBorders>
              <w:top w:val="nil"/>
              <w:left w:val="nil"/>
              <w:bottom w:val="single" w:sz="4" w:space="0" w:color="auto"/>
              <w:right w:val="nil"/>
            </w:tcBorders>
            <w:shd w:val="clear" w:color="auto" w:fill="auto"/>
            <w:vAlign w:val="bottom"/>
            <w:hideMark/>
          </w:tcPr>
          <w:p w14:paraId="6DEF39D2" w14:textId="77777777" w:rsidR="00DF528E" w:rsidRPr="002D2F67" w:rsidRDefault="00DF528E">
            <w:pPr>
              <w:pStyle w:val="acctfourfigures"/>
              <w:spacing w:line="240" w:lineRule="auto"/>
              <w:ind w:right="-72"/>
              <w:jc w:val="right"/>
              <w:rPr>
                <w:rFonts w:ascii="Arial" w:hAnsi="Arial" w:cs="Arial"/>
                <w:b/>
                <w:bCs/>
                <w:color w:val="000000"/>
                <w:sz w:val="14"/>
                <w:szCs w:val="14"/>
                <w:lang w:bidi="th-TH"/>
              </w:rPr>
            </w:pPr>
            <w:r w:rsidRPr="002D2F67">
              <w:rPr>
                <w:rFonts w:ascii="Arial" w:hAnsi="Arial" w:cs="Arial"/>
                <w:b/>
                <w:bCs/>
                <w:color w:val="000000"/>
                <w:sz w:val="14"/>
                <w:szCs w:val="14"/>
                <w:lang w:bidi="th-TH"/>
              </w:rPr>
              <w:t>%</w:t>
            </w:r>
          </w:p>
        </w:tc>
        <w:tc>
          <w:tcPr>
            <w:tcW w:w="1065" w:type="dxa"/>
            <w:tcBorders>
              <w:top w:val="nil"/>
              <w:left w:val="nil"/>
              <w:bottom w:val="single" w:sz="4" w:space="0" w:color="auto"/>
              <w:right w:val="nil"/>
            </w:tcBorders>
            <w:shd w:val="clear" w:color="auto" w:fill="auto"/>
            <w:vAlign w:val="bottom"/>
            <w:hideMark/>
          </w:tcPr>
          <w:p w14:paraId="0D8A23AE" w14:textId="77777777" w:rsidR="00DF528E" w:rsidRPr="002D2F67" w:rsidRDefault="00DF528E">
            <w:pPr>
              <w:pStyle w:val="acctfourfigures"/>
              <w:spacing w:line="240" w:lineRule="auto"/>
              <w:ind w:right="-72"/>
              <w:jc w:val="right"/>
              <w:rPr>
                <w:rFonts w:ascii="Arial" w:hAnsi="Arial" w:cs="Arial"/>
                <w:b/>
                <w:bCs/>
                <w:color w:val="000000"/>
                <w:sz w:val="14"/>
                <w:szCs w:val="14"/>
                <w:cs/>
                <w:lang w:bidi="th-TH"/>
              </w:rPr>
            </w:pPr>
            <w:r w:rsidRPr="002D2F67">
              <w:rPr>
                <w:rFonts w:ascii="Arial" w:hAnsi="Arial" w:cs="Arial"/>
                <w:b/>
                <w:bCs/>
                <w:color w:val="000000"/>
                <w:sz w:val="14"/>
                <w:szCs w:val="14"/>
                <w:lang w:bidi="th-TH"/>
              </w:rPr>
              <w:t>%</w:t>
            </w:r>
          </w:p>
        </w:tc>
        <w:tc>
          <w:tcPr>
            <w:tcW w:w="1065" w:type="dxa"/>
            <w:tcBorders>
              <w:top w:val="nil"/>
              <w:left w:val="nil"/>
              <w:bottom w:val="single" w:sz="4" w:space="0" w:color="auto"/>
              <w:right w:val="nil"/>
            </w:tcBorders>
            <w:shd w:val="clear" w:color="auto" w:fill="auto"/>
            <w:vAlign w:val="bottom"/>
            <w:hideMark/>
          </w:tcPr>
          <w:p w14:paraId="07877D64" w14:textId="44701E6E" w:rsidR="00DF528E" w:rsidRPr="002D2F67" w:rsidRDefault="00DF528E">
            <w:pPr>
              <w:pStyle w:val="acctfourfigures"/>
              <w:spacing w:line="240" w:lineRule="auto"/>
              <w:ind w:right="-72"/>
              <w:jc w:val="right"/>
              <w:rPr>
                <w:rFonts w:ascii="Arial" w:hAnsi="Arial" w:cs="Arial"/>
                <w:b/>
                <w:bCs/>
                <w:color w:val="000000"/>
                <w:sz w:val="14"/>
                <w:szCs w:val="14"/>
                <w:lang w:bidi="th-TH"/>
              </w:rPr>
            </w:pPr>
            <w:r w:rsidRPr="002D2F67">
              <w:rPr>
                <w:rFonts w:ascii="Arial" w:hAnsi="Arial" w:cs="Arial"/>
                <w:b/>
                <w:bCs/>
                <w:color w:val="000000"/>
                <w:sz w:val="14"/>
                <w:szCs w:val="14"/>
                <w:lang w:bidi="th-TH"/>
              </w:rPr>
              <w:t xml:space="preserve"> Baht’</w:t>
            </w:r>
            <w:r w:rsidR="00CD5714" w:rsidRPr="00CD5714">
              <w:rPr>
                <w:rFonts w:ascii="Arial" w:hAnsi="Arial" w:cs="Arial"/>
                <w:b/>
                <w:bCs/>
                <w:color w:val="000000"/>
                <w:sz w:val="14"/>
                <w:szCs w:val="14"/>
                <w:lang w:val="en-GB" w:bidi="th-TH"/>
              </w:rPr>
              <w:t>000</w:t>
            </w:r>
          </w:p>
        </w:tc>
        <w:tc>
          <w:tcPr>
            <w:tcW w:w="1065" w:type="dxa"/>
            <w:tcBorders>
              <w:top w:val="nil"/>
              <w:left w:val="nil"/>
              <w:bottom w:val="single" w:sz="4" w:space="0" w:color="auto"/>
              <w:right w:val="nil"/>
            </w:tcBorders>
            <w:shd w:val="clear" w:color="auto" w:fill="auto"/>
            <w:hideMark/>
          </w:tcPr>
          <w:p w14:paraId="73E21B20" w14:textId="3FD400E7" w:rsidR="00DF528E" w:rsidRPr="002D2F67" w:rsidRDefault="00DF528E">
            <w:pPr>
              <w:pStyle w:val="acctfourfigures"/>
              <w:spacing w:line="240" w:lineRule="auto"/>
              <w:ind w:right="-72"/>
              <w:jc w:val="right"/>
              <w:rPr>
                <w:rFonts w:ascii="Arial" w:hAnsi="Arial" w:cs="Arial"/>
                <w:b/>
                <w:bCs/>
                <w:color w:val="000000"/>
                <w:sz w:val="14"/>
                <w:szCs w:val="14"/>
                <w:cs/>
                <w:lang w:bidi="th-TH"/>
              </w:rPr>
            </w:pPr>
            <w:r w:rsidRPr="002D2F67">
              <w:rPr>
                <w:rFonts w:ascii="Arial" w:hAnsi="Arial" w:cs="Arial"/>
                <w:b/>
                <w:bCs/>
                <w:color w:val="000000"/>
                <w:sz w:val="14"/>
                <w:szCs w:val="14"/>
                <w:lang w:bidi="th-TH"/>
              </w:rPr>
              <w:t xml:space="preserve"> Baht’</w:t>
            </w:r>
            <w:r w:rsidR="00CD5714" w:rsidRPr="00CD5714">
              <w:rPr>
                <w:rFonts w:ascii="Arial" w:hAnsi="Arial" w:cs="Arial"/>
                <w:b/>
                <w:bCs/>
                <w:color w:val="000000"/>
                <w:sz w:val="14"/>
                <w:szCs w:val="14"/>
                <w:lang w:val="en-GB" w:bidi="th-TH"/>
              </w:rPr>
              <w:t>000</w:t>
            </w:r>
          </w:p>
        </w:tc>
        <w:tc>
          <w:tcPr>
            <w:tcW w:w="1065" w:type="dxa"/>
            <w:tcBorders>
              <w:top w:val="nil"/>
              <w:left w:val="nil"/>
              <w:bottom w:val="single" w:sz="4" w:space="0" w:color="auto"/>
            </w:tcBorders>
            <w:shd w:val="clear" w:color="auto" w:fill="auto"/>
          </w:tcPr>
          <w:p w14:paraId="44378480" w14:textId="2BFB7A9C" w:rsidR="00DF528E" w:rsidRPr="002D2F67" w:rsidRDefault="00DF528E">
            <w:pPr>
              <w:pStyle w:val="acctfourfigures"/>
              <w:spacing w:line="240" w:lineRule="auto"/>
              <w:ind w:right="-72"/>
              <w:jc w:val="right"/>
              <w:rPr>
                <w:rFonts w:ascii="Arial" w:hAnsi="Arial" w:cs="Arial"/>
                <w:b/>
                <w:bCs/>
                <w:color w:val="000000"/>
                <w:sz w:val="14"/>
                <w:szCs w:val="14"/>
                <w:lang w:bidi="th-TH"/>
              </w:rPr>
            </w:pPr>
            <w:r w:rsidRPr="002D2F67">
              <w:rPr>
                <w:rFonts w:ascii="Arial" w:hAnsi="Arial" w:cs="Arial"/>
                <w:b/>
                <w:bCs/>
                <w:color w:val="000000"/>
                <w:sz w:val="14"/>
                <w:szCs w:val="14"/>
                <w:lang w:bidi="th-TH"/>
              </w:rPr>
              <w:t xml:space="preserve"> Baht’</w:t>
            </w:r>
            <w:r w:rsidR="00CD5714" w:rsidRPr="00CD5714">
              <w:rPr>
                <w:rFonts w:ascii="Arial" w:hAnsi="Arial" w:cs="Arial"/>
                <w:b/>
                <w:bCs/>
                <w:color w:val="000000"/>
                <w:sz w:val="14"/>
                <w:szCs w:val="14"/>
                <w:lang w:val="en-GB" w:bidi="th-TH"/>
              </w:rPr>
              <w:t>000</w:t>
            </w:r>
          </w:p>
        </w:tc>
        <w:tc>
          <w:tcPr>
            <w:tcW w:w="1065" w:type="dxa"/>
            <w:tcBorders>
              <w:top w:val="nil"/>
              <w:bottom w:val="single" w:sz="4" w:space="0" w:color="auto"/>
              <w:right w:val="nil"/>
            </w:tcBorders>
            <w:shd w:val="clear" w:color="auto" w:fill="auto"/>
          </w:tcPr>
          <w:p w14:paraId="20E2EF4E" w14:textId="05A67EA7" w:rsidR="00DF528E" w:rsidRPr="002D2F67" w:rsidRDefault="00DF528E">
            <w:pPr>
              <w:pStyle w:val="acctfourfigures"/>
              <w:spacing w:line="240" w:lineRule="auto"/>
              <w:ind w:right="-72"/>
              <w:jc w:val="right"/>
              <w:rPr>
                <w:rFonts w:ascii="Arial" w:hAnsi="Arial" w:cs="Arial"/>
                <w:b/>
                <w:bCs/>
                <w:color w:val="000000"/>
                <w:sz w:val="14"/>
                <w:szCs w:val="14"/>
                <w:cs/>
                <w:lang w:bidi="th-TH"/>
              </w:rPr>
            </w:pPr>
            <w:r w:rsidRPr="002D2F67">
              <w:rPr>
                <w:rFonts w:ascii="Arial" w:hAnsi="Arial" w:cs="Arial"/>
                <w:b/>
                <w:bCs/>
                <w:color w:val="000000"/>
                <w:sz w:val="14"/>
                <w:szCs w:val="14"/>
                <w:lang w:bidi="th-TH"/>
              </w:rPr>
              <w:t xml:space="preserve"> Baht’</w:t>
            </w:r>
            <w:r w:rsidR="00CD5714" w:rsidRPr="00CD5714">
              <w:rPr>
                <w:rFonts w:ascii="Arial" w:hAnsi="Arial" w:cs="Arial"/>
                <w:b/>
                <w:bCs/>
                <w:color w:val="000000"/>
                <w:sz w:val="14"/>
                <w:szCs w:val="14"/>
                <w:lang w:val="en-GB" w:bidi="th-TH"/>
              </w:rPr>
              <w:t>000</w:t>
            </w:r>
          </w:p>
        </w:tc>
        <w:tc>
          <w:tcPr>
            <w:tcW w:w="1094" w:type="dxa"/>
            <w:tcBorders>
              <w:top w:val="nil"/>
              <w:left w:val="nil"/>
              <w:bottom w:val="single" w:sz="4" w:space="0" w:color="auto"/>
              <w:right w:val="nil"/>
            </w:tcBorders>
            <w:shd w:val="clear" w:color="auto" w:fill="auto"/>
            <w:hideMark/>
          </w:tcPr>
          <w:p w14:paraId="3D033DC8" w14:textId="6B1ECE51" w:rsidR="00DF528E" w:rsidRPr="002D2F67" w:rsidRDefault="00DF528E">
            <w:pPr>
              <w:pStyle w:val="acctfourfigures"/>
              <w:spacing w:line="240" w:lineRule="auto"/>
              <w:ind w:right="-72"/>
              <w:jc w:val="right"/>
              <w:rPr>
                <w:rFonts w:ascii="Arial" w:hAnsi="Arial" w:cs="Arial"/>
                <w:b/>
                <w:bCs/>
                <w:color w:val="000000"/>
                <w:sz w:val="14"/>
                <w:szCs w:val="14"/>
                <w:lang w:bidi="th-TH"/>
              </w:rPr>
            </w:pPr>
            <w:r w:rsidRPr="002D2F67">
              <w:rPr>
                <w:rFonts w:ascii="Arial" w:hAnsi="Arial" w:cs="Arial"/>
                <w:b/>
                <w:bCs/>
                <w:color w:val="000000"/>
                <w:sz w:val="14"/>
                <w:szCs w:val="14"/>
                <w:lang w:bidi="th-TH"/>
              </w:rPr>
              <w:t xml:space="preserve"> Baht’</w:t>
            </w:r>
            <w:r w:rsidR="00CD5714" w:rsidRPr="00CD5714">
              <w:rPr>
                <w:rFonts w:ascii="Arial" w:hAnsi="Arial" w:cs="Arial"/>
                <w:b/>
                <w:bCs/>
                <w:color w:val="000000"/>
                <w:sz w:val="14"/>
                <w:szCs w:val="14"/>
                <w:lang w:val="en-GB" w:bidi="th-TH"/>
              </w:rPr>
              <w:t>000</w:t>
            </w:r>
          </w:p>
        </w:tc>
        <w:tc>
          <w:tcPr>
            <w:tcW w:w="1074" w:type="dxa"/>
            <w:tcBorders>
              <w:top w:val="nil"/>
              <w:left w:val="nil"/>
              <w:bottom w:val="single" w:sz="4" w:space="0" w:color="auto"/>
              <w:right w:val="nil"/>
            </w:tcBorders>
            <w:shd w:val="clear" w:color="auto" w:fill="auto"/>
            <w:hideMark/>
          </w:tcPr>
          <w:p w14:paraId="4065EF35" w14:textId="3931DF58" w:rsidR="00DF528E" w:rsidRPr="002D2F67" w:rsidRDefault="00DF528E">
            <w:pPr>
              <w:pStyle w:val="acctfourfigures"/>
              <w:spacing w:line="240" w:lineRule="auto"/>
              <w:ind w:right="-72"/>
              <w:jc w:val="right"/>
              <w:rPr>
                <w:rFonts w:ascii="Arial" w:hAnsi="Arial" w:cs="Arial"/>
                <w:b/>
                <w:bCs/>
                <w:color w:val="000000"/>
                <w:sz w:val="14"/>
                <w:szCs w:val="14"/>
                <w:cs/>
                <w:lang w:bidi="th-TH"/>
              </w:rPr>
            </w:pPr>
            <w:r w:rsidRPr="002D2F67">
              <w:rPr>
                <w:rFonts w:ascii="Arial" w:hAnsi="Arial" w:cs="Arial"/>
                <w:b/>
                <w:bCs/>
                <w:color w:val="000000"/>
                <w:sz w:val="14"/>
                <w:szCs w:val="14"/>
                <w:lang w:bidi="th-TH"/>
              </w:rPr>
              <w:t xml:space="preserve"> Baht’</w:t>
            </w:r>
            <w:r w:rsidR="00CD5714" w:rsidRPr="00CD5714">
              <w:rPr>
                <w:rFonts w:ascii="Arial" w:hAnsi="Arial" w:cs="Arial"/>
                <w:b/>
                <w:bCs/>
                <w:color w:val="000000"/>
                <w:sz w:val="14"/>
                <w:szCs w:val="14"/>
                <w:lang w:val="en-GB" w:bidi="th-TH"/>
              </w:rPr>
              <w:t>000</w:t>
            </w:r>
          </w:p>
        </w:tc>
      </w:tr>
      <w:tr w:rsidR="00DF528E" w:rsidRPr="002D2F67" w14:paraId="3DEC6381" w14:textId="77777777">
        <w:trPr>
          <w:cantSplit/>
        </w:trPr>
        <w:tc>
          <w:tcPr>
            <w:tcW w:w="3282" w:type="dxa"/>
            <w:shd w:val="clear" w:color="auto" w:fill="auto"/>
            <w:vAlign w:val="bottom"/>
          </w:tcPr>
          <w:p w14:paraId="2A38F086" w14:textId="77777777" w:rsidR="00DF528E" w:rsidRPr="002D2F67" w:rsidRDefault="00DF528E">
            <w:pPr>
              <w:ind w:left="-73"/>
              <w:rPr>
                <w:rFonts w:ascii="Arial" w:hAnsi="Arial" w:cs="Arial"/>
                <w:b/>
                <w:bCs/>
                <w:color w:val="000000"/>
                <w:spacing w:val="-4"/>
                <w:sz w:val="14"/>
                <w:szCs w:val="14"/>
                <w:u w:val="single"/>
              </w:rPr>
            </w:pPr>
          </w:p>
        </w:tc>
        <w:tc>
          <w:tcPr>
            <w:tcW w:w="3011" w:type="dxa"/>
            <w:tcBorders>
              <w:top w:val="single" w:sz="4" w:space="0" w:color="auto"/>
            </w:tcBorders>
            <w:shd w:val="clear" w:color="auto" w:fill="auto"/>
          </w:tcPr>
          <w:p w14:paraId="656FFBD3" w14:textId="77777777" w:rsidR="00DF528E" w:rsidRPr="002D2F67" w:rsidRDefault="00DF528E">
            <w:pPr>
              <w:rPr>
                <w:rFonts w:ascii="Arial" w:hAnsi="Arial" w:cs="Arial"/>
                <w:color w:val="000000"/>
                <w:sz w:val="14"/>
                <w:szCs w:val="14"/>
                <w:cs/>
              </w:rPr>
            </w:pPr>
          </w:p>
        </w:tc>
        <w:tc>
          <w:tcPr>
            <w:tcW w:w="1064" w:type="dxa"/>
            <w:tcBorders>
              <w:top w:val="single" w:sz="4" w:space="0" w:color="auto"/>
            </w:tcBorders>
            <w:shd w:val="clear" w:color="auto" w:fill="auto"/>
          </w:tcPr>
          <w:p w14:paraId="141CC1DE"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tcBorders>
              <w:top w:val="single" w:sz="4" w:space="0" w:color="auto"/>
            </w:tcBorders>
            <w:shd w:val="clear" w:color="auto" w:fill="auto"/>
          </w:tcPr>
          <w:p w14:paraId="2E4630ED"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tcBorders>
              <w:top w:val="single" w:sz="4" w:space="0" w:color="auto"/>
            </w:tcBorders>
            <w:shd w:val="clear" w:color="auto" w:fill="auto"/>
          </w:tcPr>
          <w:p w14:paraId="55CFAE51"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tcBorders>
              <w:top w:val="single" w:sz="4" w:space="0" w:color="auto"/>
            </w:tcBorders>
            <w:shd w:val="clear" w:color="auto" w:fill="auto"/>
          </w:tcPr>
          <w:p w14:paraId="1B5F3870"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tcBorders>
              <w:top w:val="single" w:sz="4" w:space="0" w:color="auto"/>
            </w:tcBorders>
            <w:shd w:val="clear" w:color="auto" w:fill="auto"/>
          </w:tcPr>
          <w:p w14:paraId="2F04E074"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tcBorders>
              <w:top w:val="single" w:sz="4" w:space="0" w:color="auto"/>
            </w:tcBorders>
            <w:shd w:val="clear" w:color="auto" w:fill="auto"/>
          </w:tcPr>
          <w:p w14:paraId="69238BB8"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94" w:type="dxa"/>
            <w:tcBorders>
              <w:top w:val="single" w:sz="4" w:space="0" w:color="auto"/>
            </w:tcBorders>
            <w:shd w:val="clear" w:color="auto" w:fill="auto"/>
          </w:tcPr>
          <w:p w14:paraId="13B3F9EC"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p>
        </w:tc>
        <w:tc>
          <w:tcPr>
            <w:tcW w:w="1074" w:type="dxa"/>
            <w:tcBorders>
              <w:top w:val="single" w:sz="4" w:space="0" w:color="auto"/>
            </w:tcBorders>
            <w:shd w:val="clear" w:color="auto" w:fill="auto"/>
          </w:tcPr>
          <w:p w14:paraId="7A8791AC"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p>
        </w:tc>
      </w:tr>
      <w:tr w:rsidR="00DF528E" w:rsidRPr="002D2F67" w14:paraId="14A35844" w14:textId="77777777">
        <w:trPr>
          <w:cantSplit/>
        </w:trPr>
        <w:tc>
          <w:tcPr>
            <w:tcW w:w="3282" w:type="dxa"/>
            <w:shd w:val="clear" w:color="auto" w:fill="auto"/>
            <w:vAlign w:val="bottom"/>
          </w:tcPr>
          <w:p w14:paraId="30B2149F" w14:textId="77777777" w:rsidR="00DF528E" w:rsidRPr="002D2F67" w:rsidRDefault="00DF528E">
            <w:pPr>
              <w:ind w:left="-73"/>
              <w:rPr>
                <w:rFonts w:ascii="Arial" w:hAnsi="Arial" w:cs="Arial"/>
                <w:color w:val="000000"/>
                <w:sz w:val="14"/>
                <w:szCs w:val="14"/>
              </w:rPr>
            </w:pPr>
            <w:r w:rsidRPr="002D2F67">
              <w:rPr>
                <w:rFonts w:ascii="Arial" w:hAnsi="Arial" w:cs="Arial"/>
                <w:color w:val="000000"/>
                <w:sz w:val="14"/>
                <w:szCs w:val="14"/>
              </w:rPr>
              <w:t>The details of the investments in joint ventures</w:t>
            </w:r>
          </w:p>
        </w:tc>
        <w:tc>
          <w:tcPr>
            <w:tcW w:w="3011" w:type="dxa"/>
            <w:shd w:val="clear" w:color="auto" w:fill="auto"/>
          </w:tcPr>
          <w:p w14:paraId="3ACDD98D" w14:textId="77777777" w:rsidR="00DF528E" w:rsidRPr="002D2F67" w:rsidRDefault="00DF528E">
            <w:pPr>
              <w:rPr>
                <w:rFonts w:ascii="Arial" w:hAnsi="Arial" w:cs="Arial"/>
                <w:color w:val="000000"/>
                <w:sz w:val="14"/>
                <w:szCs w:val="14"/>
                <w:cs/>
              </w:rPr>
            </w:pPr>
          </w:p>
        </w:tc>
        <w:tc>
          <w:tcPr>
            <w:tcW w:w="1064" w:type="dxa"/>
            <w:shd w:val="clear" w:color="auto" w:fill="auto"/>
          </w:tcPr>
          <w:p w14:paraId="061FBC22"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0A8129E3"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1830B286"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1F3D75FB"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13E3D39C"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2639CEB5"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94" w:type="dxa"/>
            <w:shd w:val="clear" w:color="auto" w:fill="auto"/>
          </w:tcPr>
          <w:p w14:paraId="12BBB0BA"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p>
        </w:tc>
        <w:tc>
          <w:tcPr>
            <w:tcW w:w="1074" w:type="dxa"/>
            <w:shd w:val="clear" w:color="auto" w:fill="auto"/>
          </w:tcPr>
          <w:p w14:paraId="4577812C"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p>
        </w:tc>
      </w:tr>
      <w:tr w:rsidR="00DF528E" w:rsidRPr="002D2F67" w14:paraId="7AC536D2" w14:textId="77777777">
        <w:trPr>
          <w:cantSplit/>
        </w:trPr>
        <w:tc>
          <w:tcPr>
            <w:tcW w:w="3282" w:type="dxa"/>
            <w:shd w:val="clear" w:color="auto" w:fill="auto"/>
            <w:vAlign w:val="bottom"/>
          </w:tcPr>
          <w:p w14:paraId="597DF607" w14:textId="77777777" w:rsidR="00DF528E" w:rsidRPr="002D2F67" w:rsidRDefault="00DF528E">
            <w:pPr>
              <w:ind w:left="-73"/>
              <w:rPr>
                <w:rFonts w:ascii="Arial" w:hAnsi="Arial" w:cs="Arial"/>
                <w:color w:val="000000"/>
                <w:sz w:val="14"/>
                <w:szCs w:val="14"/>
              </w:rPr>
            </w:pPr>
          </w:p>
        </w:tc>
        <w:tc>
          <w:tcPr>
            <w:tcW w:w="3011" w:type="dxa"/>
            <w:shd w:val="clear" w:color="auto" w:fill="auto"/>
          </w:tcPr>
          <w:p w14:paraId="505455C4" w14:textId="77777777" w:rsidR="00DF528E" w:rsidRPr="002D2F67" w:rsidRDefault="00DF528E">
            <w:pPr>
              <w:rPr>
                <w:rFonts w:ascii="Arial" w:hAnsi="Arial" w:cs="Arial"/>
                <w:color w:val="000000"/>
                <w:sz w:val="14"/>
                <w:szCs w:val="14"/>
                <w:cs/>
              </w:rPr>
            </w:pPr>
          </w:p>
        </w:tc>
        <w:tc>
          <w:tcPr>
            <w:tcW w:w="1064" w:type="dxa"/>
            <w:shd w:val="clear" w:color="auto" w:fill="auto"/>
          </w:tcPr>
          <w:p w14:paraId="4E6B1745"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7D688E73"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2F2DD08F"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0BA6BE51"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16DFDE07"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255579A7"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94" w:type="dxa"/>
            <w:shd w:val="clear" w:color="auto" w:fill="auto"/>
          </w:tcPr>
          <w:p w14:paraId="5B28BD9B"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p>
        </w:tc>
        <w:tc>
          <w:tcPr>
            <w:tcW w:w="1074" w:type="dxa"/>
            <w:shd w:val="clear" w:color="auto" w:fill="auto"/>
          </w:tcPr>
          <w:p w14:paraId="44FEB727"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p>
        </w:tc>
      </w:tr>
      <w:tr w:rsidR="00DF528E" w:rsidRPr="002D2F67" w14:paraId="667F699F" w14:textId="77777777">
        <w:trPr>
          <w:cantSplit/>
        </w:trPr>
        <w:tc>
          <w:tcPr>
            <w:tcW w:w="3282" w:type="dxa"/>
            <w:shd w:val="clear" w:color="auto" w:fill="auto"/>
            <w:vAlign w:val="bottom"/>
          </w:tcPr>
          <w:p w14:paraId="7AD50674" w14:textId="77777777" w:rsidR="00DF528E" w:rsidRPr="002D2F67" w:rsidRDefault="00DF528E">
            <w:pPr>
              <w:ind w:left="-73"/>
              <w:rPr>
                <w:rFonts w:ascii="Arial" w:hAnsi="Arial" w:cs="Arial"/>
                <w:color w:val="000000"/>
                <w:sz w:val="14"/>
                <w:szCs w:val="17"/>
              </w:rPr>
            </w:pPr>
            <w:r w:rsidRPr="002D2F67">
              <w:rPr>
                <w:rFonts w:ascii="Arial" w:hAnsi="Arial" w:cs="Arial"/>
                <w:color w:val="000000"/>
                <w:sz w:val="14"/>
                <w:szCs w:val="17"/>
              </w:rPr>
              <w:t>Direct joint venture incorporated in Thailand</w:t>
            </w:r>
          </w:p>
        </w:tc>
        <w:tc>
          <w:tcPr>
            <w:tcW w:w="3011" w:type="dxa"/>
            <w:shd w:val="clear" w:color="auto" w:fill="auto"/>
          </w:tcPr>
          <w:p w14:paraId="59658D32" w14:textId="77777777" w:rsidR="00DF528E" w:rsidRPr="002D2F67" w:rsidRDefault="00DF528E">
            <w:pPr>
              <w:rPr>
                <w:rFonts w:ascii="Arial" w:hAnsi="Arial" w:cs="Arial"/>
                <w:color w:val="000000"/>
                <w:sz w:val="14"/>
                <w:szCs w:val="14"/>
                <w:cs/>
              </w:rPr>
            </w:pPr>
          </w:p>
        </w:tc>
        <w:tc>
          <w:tcPr>
            <w:tcW w:w="1064" w:type="dxa"/>
            <w:shd w:val="clear" w:color="auto" w:fill="auto"/>
          </w:tcPr>
          <w:p w14:paraId="27E69726"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54415A6E"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6A370EB1"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5D3B893F"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500D13C5"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20BC5D43"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94" w:type="dxa"/>
            <w:shd w:val="clear" w:color="auto" w:fill="auto"/>
          </w:tcPr>
          <w:p w14:paraId="75528E01"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p>
        </w:tc>
        <w:tc>
          <w:tcPr>
            <w:tcW w:w="1074" w:type="dxa"/>
            <w:shd w:val="clear" w:color="auto" w:fill="auto"/>
          </w:tcPr>
          <w:p w14:paraId="7B1EC52E"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p>
        </w:tc>
      </w:tr>
      <w:tr w:rsidR="00DF528E" w:rsidRPr="002D2F67" w14:paraId="66EB89F1" w14:textId="77777777">
        <w:trPr>
          <w:cantSplit/>
        </w:trPr>
        <w:tc>
          <w:tcPr>
            <w:tcW w:w="3282" w:type="dxa"/>
            <w:shd w:val="clear" w:color="auto" w:fill="auto"/>
            <w:vAlign w:val="bottom"/>
          </w:tcPr>
          <w:p w14:paraId="4103F8F7" w14:textId="77777777" w:rsidR="00DF528E" w:rsidRPr="002D2F67" w:rsidRDefault="00DF528E">
            <w:pPr>
              <w:ind w:left="-73"/>
              <w:rPr>
                <w:rFonts w:ascii="Arial" w:hAnsi="Arial" w:cs="Arial"/>
                <w:color w:val="000000"/>
                <w:sz w:val="14"/>
                <w:szCs w:val="17"/>
              </w:rPr>
            </w:pPr>
          </w:p>
        </w:tc>
        <w:tc>
          <w:tcPr>
            <w:tcW w:w="3011" w:type="dxa"/>
            <w:shd w:val="clear" w:color="auto" w:fill="auto"/>
          </w:tcPr>
          <w:p w14:paraId="5072ED67" w14:textId="77777777" w:rsidR="00DF528E" w:rsidRPr="002D2F67" w:rsidRDefault="00DF528E">
            <w:pPr>
              <w:rPr>
                <w:rFonts w:ascii="Arial" w:hAnsi="Arial" w:cs="Arial"/>
                <w:color w:val="000000"/>
                <w:sz w:val="14"/>
                <w:szCs w:val="14"/>
                <w:cs/>
              </w:rPr>
            </w:pPr>
          </w:p>
        </w:tc>
        <w:tc>
          <w:tcPr>
            <w:tcW w:w="1064" w:type="dxa"/>
            <w:shd w:val="clear" w:color="auto" w:fill="auto"/>
          </w:tcPr>
          <w:p w14:paraId="640A61CE"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7D57106C"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101DF15A"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67C0D5BF"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6BD4E83C"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61DE3C8E"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94" w:type="dxa"/>
            <w:shd w:val="clear" w:color="auto" w:fill="auto"/>
          </w:tcPr>
          <w:p w14:paraId="25C6100B"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p>
        </w:tc>
        <w:tc>
          <w:tcPr>
            <w:tcW w:w="1074" w:type="dxa"/>
            <w:shd w:val="clear" w:color="auto" w:fill="auto"/>
          </w:tcPr>
          <w:p w14:paraId="3A624486"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p>
        </w:tc>
      </w:tr>
      <w:tr w:rsidR="00DF528E" w:rsidRPr="002D2F67" w14:paraId="1E8E457B" w14:textId="77777777">
        <w:trPr>
          <w:cantSplit/>
        </w:trPr>
        <w:tc>
          <w:tcPr>
            <w:tcW w:w="3282" w:type="dxa"/>
            <w:shd w:val="clear" w:color="auto" w:fill="auto"/>
          </w:tcPr>
          <w:p w14:paraId="7517C467" w14:textId="1A830A88" w:rsidR="00DF528E" w:rsidRPr="002D2F67" w:rsidRDefault="00DF528E">
            <w:pPr>
              <w:ind w:left="-73"/>
              <w:rPr>
                <w:rFonts w:ascii="Arial" w:hAnsi="Arial" w:cs="Arial"/>
                <w:color w:val="000000"/>
                <w:sz w:val="14"/>
                <w:szCs w:val="17"/>
              </w:rPr>
            </w:pPr>
            <w:r w:rsidRPr="002D2F67">
              <w:rPr>
                <w:rFonts w:ascii="Arial" w:hAnsi="Arial" w:cs="Arial"/>
                <w:color w:val="000000"/>
                <w:sz w:val="14"/>
                <w:szCs w:val="14"/>
              </w:rPr>
              <w:t>Airports Energy Absolute Co., Ltd.</w:t>
            </w:r>
            <w:r w:rsidR="008B53DA" w:rsidRPr="002D2F67">
              <w:rPr>
                <w:rFonts w:ascii="Arial" w:hAnsi="Arial" w:cs="Arial"/>
                <w:color w:val="000000"/>
                <w:sz w:val="14"/>
                <w:szCs w:val="14"/>
              </w:rPr>
              <w:t xml:space="preserve"> </w:t>
            </w:r>
            <w:r w:rsidR="008B53DA" w:rsidRPr="002D2F67">
              <w:rPr>
                <w:rFonts w:ascii="Arial" w:hAnsi="Arial" w:cs="Arial"/>
                <w:color w:val="000000"/>
                <w:sz w:val="14"/>
                <w:szCs w:val="14"/>
                <w:vertAlign w:val="superscript"/>
              </w:rPr>
              <w:t>(</w:t>
            </w:r>
            <w:r w:rsidR="00CD5714" w:rsidRPr="00CD5714">
              <w:rPr>
                <w:rFonts w:ascii="Arial" w:hAnsi="Arial" w:cs="Arial"/>
                <w:color w:val="000000"/>
                <w:sz w:val="14"/>
                <w:szCs w:val="14"/>
                <w:vertAlign w:val="superscript"/>
                <w:lang w:val="en-GB"/>
              </w:rPr>
              <w:t>1</w:t>
            </w:r>
            <w:r w:rsidR="008B53DA" w:rsidRPr="002D2F67">
              <w:rPr>
                <w:rFonts w:ascii="Arial" w:hAnsi="Arial" w:cs="Arial"/>
                <w:color w:val="000000"/>
                <w:sz w:val="14"/>
                <w:szCs w:val="14"/>
                <w:vertAlign w:val="superscript"/>
              </w:rPr>
              <w:t>)</w:t>
            </w:r>
          </w:p>
        </w:tc>
        <w:tc>
          <w:tcPr>
            <w:tcW w:w="3011" w:type="dxa"/>
            <w:shd w:val="clear" w:color="auto" w:fill="auto"/>
          </w:tcPr>
          <w:p w14:paraId="2BD6AC2A" w14:textId="77777777" w:rsidR="00DF528E" w:rsidRPr="002D2F67" w:rsidRDefault="00DF528E">
            <w:pPr>
              <w:rPr>
                <w:rFonts w:ascii="Arial" w:hAnsi="Arial" w:cs="Arial"/>
                <w:color w:val="000000"/>
                <w:sz w:val="14"/>
                <w:szCs w:val="14"/>
                <w:cs/>
              </w:rPr>
            </w:pPr>
            <w:r w:rsidRPr="002D2F67">
              <w:rPr>
                <w:rFonts w:ascii="Arial" w:hAnsi="Arial" w:cs="Arial"/>
                <w:color w:val="000000"/>
                <w:sz w:val="14"/>
                <w:szCs w:val="14"/>
              </w:rPr>
              <w:t xml:space="preserve">Electricity services and management in </w:t>
            </w:r>
            <w:r w:rsidRPr="002D2F67">
              <w:rPr>
                <w:rFonts w:ascii="Arial" w:hAnsi="Arial" w:cs="Arial"/>
                <w:color w:val="000000"/>
                <w:sz w:val="14"/>
                <w:szCs w:val="14"/>
              </w:rPr>
              <w:br/>
              <w:t xml:space="preserve">   the airport (not commercial operations yet)</w:t>
            </w:r>
          </w:p>
        </w:tc>
        <w:tc>
          <w:tcPr>
            <w:tcW w:w="1064" w:type="dxa"/>
            <w:shd w:val="clear" w:color="auto" w:fill="auto"/>
          </w:tcPr>
          <w:p w14:paraId="65978DC3" w14:textId="7C47D852" w:rsidR="00DF528E" w:rsidRPr="002D2F67" w:rsidRDefault="00CD5714">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75</w:t>
            </w:r>
            <w:r w:rsidR="00DF528E" w:rsidRPr="002D2F67">
              <w:rPr>
                <w:rFonts w:ascii="Arial" w:hAnsi="Arial" w:cs="Arial"/>
                <w:color w:val="000000"/>
                <w:sz w:val="14"/>
                <w:szCs w:val="14"/>
                <w:lang w:bidi="th-TH"/>
              </w:rPr>
              <w:t>.</w:t>
            </w:r>
            <w:r w:rsidRPr="00CD5714">
              <w:rPr>
                <w:rFonts w:ascii="Arial" w:hAnsi="Arial" w:cs="Arial"/>
                <w:color w:val="000000"/>
                <w:sz w:val="14"/>
                <w:szCs w:val="14"/>
                <w:lang w:val="en-GB" w:bidi="th-TH"/>
              </w:rPr>
              <w:t>00</w:t>
            </w:r>
          </w:p>
        </w:tc>
        <w:tc>
          <w:tcPr>
            <w:tcW w:w="1065" w:type="dxa"/>
            <w:shd w:val="clear" w:color="auto" w:fill="auto"/>
          </w:tcPr>
          <w:p w14:paraId="02266F20" w14:textId="3AF5F9A5" w:rsidR="00DF528E" w:rsidRPr="002D2F67" w:rsidRDefault="00CD5714">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95</w:t>
            </w:r>
            <w:r w:rsidR="00DF528E" w:rsidRPr="002D2F67">
              <w:rPr>
                <w:rFonts w:ascii="Arial" w:hAnsi="Arial" w:cs="Arial"/>
                <w:color w:val="000000"/>
                <w:sz w:val="14"/>
                <w:szCs w:val="14"/>
                <w:lang w:bidi="th-TH"/>
              </w:rPr>
              <w:t>.</w:t>
            </w:r>
            <w:r w:rsidRPr="00CD5714">
              <w:rPr>
                <w:rFonts w:ascii="Arial" w:hAnsi="Arial" w:cs="Arial"/>
                <w:color w:val="000000"/>
                <w:sz w:val="14"/>
                <w:szCs w:val="14"/>
                <w:lang w:val="en-GB" w:bidi="th-TH"/>
              </w:rPr>
              <w:t>00</w:t>
            </w:r>
          </w:p>
        </w:tc>
        <w:tc>
          <w:tcPr>
            <w:tcW w:w="1065" w:type="dxa"/>
            <w:shd w:val="clear" w:color="auto" w:fill="auto"/>
          </w:tcPr>
          <w:p w14:paraId="1781C6B7" w14:textId="359EC0A2" w:rsidR="00DF528E" w:rsidRPr="002D2F67" w:rsidRDefault="00CD5714">
            <w:pPr>
              <w:pStyle w:val="acctfourfigures"/>
              <w:tabs>
                <w:tab w:val="left" w:pos="720"/>
              </w:tabs>
              <w:spacing w:line="240" w:lineRule="auto"/>
              <w:ind w:right="-72"/>
              <w:jc w:val="right"/>
              <w:rPr>
                <w:rFonts w:ascii="Arial" w:hAnsi="Arial" w:cs="Arial"/>
                <w:color w:val="000000"/>
                <w:sz w:val="14"/>
                <w:szCs w:val="17"/>
                <w:lang w:bidi="th-TH"/>
              </w:rPr>
            </w:pPr>
            <w:r w:rsidRPr="00CD5714">
              <w:rPr>
                <w:rFonts w:ascii="Arial" w:hAnsi="Arial" w:cs="Arial"/>
                <w:color w:val="000000"/>
                <w:sz w:val="14"/>
                <w:szCs w:val="14"/>
                <w:lang w:val="en-GB" w:bidi="th-TH"/>
              </w:rPr>
              <w:t>127</w:t>
            </w:r>
            <w:r w:rsidR="00DF528E" w:rsidRPr="002D2F67">
              <w:rPr>
                <w:rFonts w:ascii="Arial" w:hAnsi="Arial" w:cs="Arial"/>
                <w:color w:val="000000"/>
                <w:sz w:val="14"/>
                <w:szCs w:val="14"/>
                <w:lang w:bidi="th-TH"/>
              </w:rPr>
              <w:t>,</w:t>
            </w:r>
            <w:r w:rsidRPr="00CD5714">
              <w:rPr>
                <w:rFonts w:ascii="Arial" w:hAnsi="Arial" w:cs="Arial"/>
                <w:color w:val="000000"/>
                <w:sz w:val="14"/>
                <w:szCs w:val="14"/>
                <w:lang w:val="en-GB" w:bidi="th-TH"/>
              </w:rPr>
              <w:t>998</w:t>
            </w:r>
          </w:p>
        </w:tc>
        <w:tc>
          <w:tcPr>
            <w:tcW w:w="1065" w:type="dxa"/>
            <w:shd w:val="clear" w:color="auto" w:fill="auto"/>
          </w:tcPr>
          <w:p w14:paraId="68B114C6" w14:textId="52EB4D5B" w:rsidR="00DF528E" w:rsidRPr="002D2F67" w:rsidRDefault="00CD5714">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25</w:t>
            </w:r>
            <w:r w:rsidR="00DF528E" w:rsidRPr="002D2F67">
              <w:rPr>
                <w:rFonts w:ascii="Arial" w:hAnsi="Arial" w:cs="Arial"/>
                <w:color w:val="000000"/>
                <w:sz w:val="14"/>
                <w:szCs w:val="14"/>
                <w:lang w:bidi="th-TH"/>
              </w:rPr>
              <w:t>,</w:t>
            </w:r>
            <w:r w:rsidRPr="00CD5714">
              <w:rPr>
                <w:rFonts w:ascii="Arial" w:hAnsi="Arial" w:cs="Arial"/>
                <w:color w:val="000000"/>
                <w:sz w:val="14"/>
                <w:szCs w:val="14"/>
                <w:lang w:val="en-GB" w:bidi="th-TH"/>
              </w:rPr>
              <w:t>000</w:t>
            </w:r>
          </w:p>
        </w:tc>
        <w:tc>
          <w:tcPr>
            <w:tcW w:w="1065" w:type="dxa"/>
            <w:shd w:val="clear" w:color="auto" w:fill="auto"/>
          </w:tcPr>
          <w:p w14:paraId="6C76ECE8" w14:textId="4324CD2F" w:rsidR="00DF528E" w:rsidRPr="002D2F67" w:rsidRDefault="00CD5714">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126</w:t>
            </w:r>
            <w:r w:rsidR="00DF528E" w:rsidRPr="002D2F67">
              <w:rPr>
                <w:rFonts w:ascii="Arial" w:hAnsi="Arial" w:cs="Arial"/>
                <w:color w:val="000000"/>
                <w:sz w:val="14"/>
                <w:szCs w:val="14"/>
                <w:lang w:bidi="th-TH"/>
              </w:rPr>
              <w:t>,</w:t>
            </w:r>
            <w:r w:rsidRPr="00CD5714">
              <w:rPr>
                <w:rFonts w:ascii="Arial" w:hAnsi="Arial" w:cs="Arial"/>
                <w:color w:val="000000"/>
                <w:sz w:val="14"/>
                <w:szCs w:val="14"/>
                <w:lang w:val="en-GB" w:bidi="th-TH"/>
              </w:rPr>
              <w:t>222</w:t>
            </w:r>
          </w:p>
        </w:tc>
        <w:tc>
          <w:tcPr>
            <w:tcW w:w="1065" w:type="dxa"/>
            <w:shd w:val="clear" w:color="auto" w:fill="auto"/>
          </w:tcPr>
          <w:p w14:paraId="296B7F96" w14:textId="2938F9EF" w:rsidR="00DF528E" w:rsidRPr="002D2F67" w:rsidRDefault="00CD5714">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25</w:t>
            </w:r>
            <w:r w:rsidR="00DF528E" w:rsidRPr="002D2F67">
              <w:rPr>
                <w:rFonts w:ascii="Arial" w:hAnsi="Arial" w:cs="Arial"/>
                <w:color w:val="000000"/>
                <w:sz w:val="14"/>
                <w:szCs w:val="14"/>
                <w:lang w:bidi="th-TH"/>
              </w:rPr>
              <w:t>,</w:t>
            </w:r>
            <w:r w:rsidRPr="00CD5714">
              <w:rPr>
                <w:rFonts w:ascii="Arial" w:hAnsi="Arial" w:cs="Arial"/>
                <w:color w:val="000000"/>
                <w:sz w:val="14"/>
                <w:szCs w:val="14"/>
                <w:lang w:val="en-GB" w:bidi="th-TH"/>
              </w:rPr>
              <w:t>000</w:t>
            </w:r>
          </w:p>
        </w:tc>
        <w:tc>
          <w:tcPr>
            <w:tcW w:w="1094" w:type="dxa"/>
            <w:shd w:val="clear" w:color="auto" w:fill="auto"/>
          </w:tcPr>
          <w:p w14:paraId="1C0A6859"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074" w:type="dxa"/>
            <w:shd w:val="clear" w:color="auto" w:fill="auto"/>
          </w:tcPr>
          <w:p w14:paraId="5651E36A"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r w:rsidRPr="002D2F67">
              <w:rPr>
                <w:rFonts w:ascii="Arial" w:hAnsi="Arial" w:cs="Arial"/>
                <w:color w:val="000000"/>
                <w:sz w:val="14"/>
                <w:szCs w:val="14"/>
                <w:lang w:bidi="th-TH"/>
              </w:rPr>
              <w:t>-</w:t>
            </w:r>
          </w:p>
        </w:tc>
      </w:tr>
      <w:tr w:rsidR="00DF528E" w:rsidRPr="002D2F67" w14:paraId="07F7A912" w14:textId="77777777">
        <w:trPr>
          <w:cantSplit/>
        </w:trPr>
        <w:tc>
          <w:tcPr>
            <w:tcW w:w="3282" w:type="dxa"/>
            <w:shd w:val="clear" w:color="auto" w:fill="auto"/>
            <w:vAlign w:val="bottom"/>
          </w:tcPr>
          <w:p w14:paraId="530C4FB5" w14:textId="77777777" w:rsidR="00DF528E" w:rsidRPr="002D2F67" w:rsidRDefault="00DF528E">
            <w:pPr>
              <w:ind w:left="-73"/>
              <w:rPr>
                <w:rFonts w:ascii="Arial" w:hAnsi="Arial" w:cs="Arial"/>
                <w:color w:val="000000"/>
                <w:sz w:val="14"/>
                <w:szCs w:val="14"/>
              </w:rPr>
            </w:pPr>
          </w:p>
        </w:tc>
        <w:tc>
          <w:tcPr>
            <w:tcW w:w="3011" w:type="dxa"/>
            <w:shd w:val="clear" w:color="auto" w:fill="auto"/>
          </w:tcPr>
          <w:p w14:paraId="1A5AAC4C" w14:textId="77777777" w:rsidR="00DF528E" w:rsidRPr="002D2F67" w:rsidRDefault="00DF528E">
            <w:pPr>
              <w:rPr>
                <w:rFonts w:ascii="Arial" w:hAnsi="Arial" w:cs="Arial"/>
                <w:color w:val="000000"/>
                <w:sz w:val="14"/>
                <w:szCs w:val="14"/>
                <w:cs/>
              </w:rPr>
            </w:pPr>
          </w:p>
        </w:tc>
        <w:tc>
          <w:tcPr>
            <w:tcW w:w="1064" w:type="dxa"/>
            <w:shd w:val="clear" w:color="auto" w:fill="auto"/>
          </w:tcPr>
          <w:p w14:paraId="23909569"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7CC0A0A7"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04E019C3"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24490151"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1FC4521A"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498E6279"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94" w:type="dxa"/>
            <w:shd w:val="clear" w:color="auto" w:fill="auto"/>
          </w:tcPr>
          <w:p w14:paraId="76648A2E"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p>
        </w:tc>
        <w:tc>
          <w:tcPr>
            <w:tcW w:w="1074" w:type="dxa"/>
            <w:shd w:val="clear" w:color="auto" w:fill="auto"/>
          </w:tcPr>
          <w:p w14:paraId="0A15F8D5"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p>
        </w:tc>
      </w:tr>
      <w:tr w:rsidR="00DF528E" w:rsidRPr="002D2F67" w14:paraId="058361A9" w14:textId="77777777">
        <w:trPr>
          <w:cantSplit/>
        </w:trPr>
        <w:tc>
          <w:tcPr>
            <w:tcW w:w="3282" w:type="dxa"/>
            <w:shd w:val="clear" w:color="auto" w:fill="auto"/>
          </w:tcPr>
          <w:p w14:paraId="431DD907" w14:textId="77777777" w:rsidR="00DF528E" w:rsidRPr="002D2F67" w:rsidRDefault="00DF528E">
            <w:pPr>
              <w:ind w:left="-73"/>
              <w:rPr>
                <w:rFonts w:ascii="Arial" w:hAnsi="Arial" w:cs="Arial"/>
                <w:color w:val="000000"/>
                <w:sz w:val="14"/>
                <w:szCs w:val="14"/>
              </w:rPr>
            </w:pPr>
            <w:r w:rsidRPr="002D2F67">
              <w:rPr>
                <w:rFonts w:ascii="Arial" w:hAnsi="Arial" w:cs="Arial"/>
                <w:color w:val="000000"/>
                <w:sz w:val="14"/>
                <w:szCs w:val="14"/>
              </w:rPr>
              <w:t>Indirect joint venture incorporated in Thailand</w:t>
            </w:r>
          </w:p>
        </w:tc>
        <w:tc>
          <w:tcPr>
            <w:tcW w:w="3011" w:type="dxa"/>
            <w:shd w:val="clear" w:color="auto" w:fill="auto"/>
          </w:tcPr>
          <w:p w14:paraId="6B1BB1F0" w14:textId="77777777" w:rsidR="00DF528E" w:rsidRPr="002D2F67" w:rsidRDefault="00DF528E">
            <w:pPr>
              <w:rPr>
                <w:rFonts w:ascii="Arial" w:hAnsi="Arial" w:cs="Arial"/>
                <w:color w:val="000000"/>
                <w:sz w:val="14"/>
                <w:szCs w:val="14"/>
                <w:cs/>
              </w:rPr>
            </w:pPr>
          </w:p>
        </w:tc>
        <w:tc>
          <w:tcPr>
            <w:tcW w:w="1064" w:type="dxa"/>
            <w:shd w:val="clear" w:color="auto" w:fill="auto"/>
          </w:tcPr>
          <w:p w14:paraId="20864092"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5967E898"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0252FAF8"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4472B736"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7FEB7885"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077B785C"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94" w:type="dxa"/>
            <w:shd w:val="clear" w:color="auto" w:fill="auto"/>
          </w:tcPr>
          <w:p w14:paraId="26C52695"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p>
        </w:tc>
        <w:tc>
          <w:tcPr>
            <w:tcW w:w="1074" w:type="dxa"/>
            <w:shd w:val="clear" w:color="auto" w:fill="auto"/>
          </w:tcPr>
          <w:p w14:paraId="7465EEB4"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p>
        </w:tc>
      </w:tr>
      <w:tr w:rsidR="00DF528E" w:rsidRPr="002D2F67" w14:paraId="1D433A69" w14:textId="77777777">
        <w:trPr>
          <w:cantSplit/>
        </w:trPr>
        <w:tc>
          <w:tcPr>
            <w:tcW w:w="3282" w:type="dxa"/>
            <w:shd w:val="clear" w:color="auto" w:fill="auto"/>
          </w:tcPr>
          <w:p w14:paraId="1C464406" w14:textId="77777777" w:rsidR="00DF528E" w:rsidRPr="002D2F67" w:rsidRDefault="00DF528E">
            <w:pPr>
              <w:ind w:left="-73"/>
              <w:rPr>
                <w:rFonts w:ascii="Arial" w:hAnsi="Arial" w:cs="Arial"/>
                <w:color w:val="000000"/>
                <w:sz w:val="14"/>
                <w:szCs w:val="14"/>
              </w:rPr>
            </w:pPr>
          </w:p>
        </w:tc>
        <w:tc>
          <w:tcPr>
            <w:tcW w:w="3011" w:type="dxa"/>
            <w:shd w:val="clear" w:color="auto" w:fill="auto"/>
          </w:tcPr>
          <w:p w14:paraId="4EAC536D" w14:textId="77777777" w:rsidR="00DF528E" w:rsidRPr="002D2F67" w:rsidRDefault="00DF528E">
            <w:pPr>
              <w:rPr>
                <w:rFonts w:ascii="Arial" w:hAnsi="Arial" w:cs="Arial"/>
                <w:color w:val="000000"/>
                <w:sz w:val="14"/>
                <w:szCs w:val="14"/>
              </w:rPr>
            </w:pPr>
          </w:p>
        </w:tc>
        <w:tc>
          <w:tcPr>
            <w:tcW w:w="1064" w:type="dxa"/>
            <w:shd w:val="clear" w:color="auto" w:fill="auto"/>
          </w:tcPr>
          <w:p w14:paraId="44094DBF"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33F8675D"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5BA21F7E"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759F1444"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72D95954"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1744E99F"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94" w:type="dxa"/>
            <w:shd w:val="clear" w:color="auto" w:fill="auto"/>
          </w:tcPr>
          <w:p w14:paraId="49C34736"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p>
        </w:tc>
        <w:tc>
          <w:tcPr>
            <w:tcW w:w="1074" w:type="dxa"/>
            <w:shd w:val="clear" w:color="auto" w:fill="auto"/>
          </w:tcPr>
          <w:p w14:paraId="638FC346"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p>
        </w:tc>
      </w:tr>
      <w:tr w:rsidR="00DF528E" w:rsidRPr="002D2F67" w14:paraId="6A2B4BE9" w14:textId="77777777">
        <w:trPr>
          <w:cantSplit/>
        </w:trPr>
        <w:tc>
          <w:tcPr>
            <w:tcW w:w="3282" w:type="dxa"/>
            <w:shd w:val="clear" w:color="auto" w:fill="auto"/>
          </w:tcPr>
          <w:p w14:paraId="372489CA" w14:textId="27584B20" w:rsidR="00DF528E" w:rsidRPr="002D2F67" w:rsidRDefault="00DF528E">
            <w:pPr>
              <w:ind w:left="-73"/>
              <w:rPr>
                <w:rFonts w:ascii="Arial" w:hAnsi="Arial" w:cs="Arial"/>
                <w:color w:val="000000"/>
                <w:sz w:val="14"/>
                <w:szCs w:val="14"/>
              </w:rPr>
            </w:pPr>
            <w:r w:rsidRPr="002D2F67">
              <w:rPr>
                <w:rFonts w:ascii="Arial" w:hAnsi="Arial" w:cs="Arial"/>
                <w:color w:val="000000"/>
                <w:sz w:val="14"/>
                <w:szCs w:val="14"/>
              </w:rPr>
              <w:t xml:space="preserve">Ranong Clean </w:t>
            </w:r>
            <w:r w:rsidR="00CD5714" w:rsidRPr="00CD5714">
              <w:rPr>
                <w:rFonts w:ascii="Arial" w:hAnsi="Arial" w:cs="Arial"/>
                <w:color w:val="000000"/>
                <w:sz w:val="14"/>
                <w:szCs w:val="14"/>
                <w:lang w:val="en-GB"/>
              </w:rPr>
              <w:t>2021</w:t>
            </w:r>
            <w:r w:rsidRPr="002D2F67">
              <w:rPr>
                <w:rFonts w:ascii="Arial" w:hAnsi="Arial" w:cs="Arial"/>
                <w:color w:val="000000"/>
                <w:sz w:val="14"/>
                <w:szCs w:val="14"/>
              </w:rPr>
              <w:t xml:space="preserve"> Co., Ltd.</w:t>
            </w:r>
          </w:p>
        </w:tc>
        <w:tc>
          <w:tcPr>
            <w:tcW w:w="3011" w:type="dxa"/>
            <w:shd w:val="clear" w:color="auto" w:fill="auto"/>
          </w:tcPr>
          <w:p w14:paraId="0FC6D457" w14:textId="77777777" w:rsidR="00DF528E" w:rsidRPr="002D2F67" w:rsidRDefault="00DF528E">
            <w:pPr>
              <w:rPr>
                <w:rFonts w:ascii="Arial" w:hAnsi="Arial" w:cs="Arial"/>
                <w:color w:val="000000"/>
                <w:sz w:val="14"/>
                <w:szCs w:val="14"/>
              </w:rPr>
            </w:pPr>
            <w:r w:rsidRPr="002D2F67">
              <w:rPr>
                <w:rFonts w:ascii="Arial" w:hAnsi="Arial" w:cs="Arial"/>
                <w:color w:val="000000"/>
                <w:sz w:val="14"/>
                <w:szCs w:val="14"/>
              </w:rPr>
              <w:t>Service of waste management</w:t>
            </w:r>
          </w:p>
          <w:p w14:paraId="59CCCBCB" w14:textId="77777777" w:rsidR="00DF528E" w:rsidRPr="002D2F67" w:rsidRDefault="00DF528E">
            <w:pPr>
              <w:rPr>
                <w:rFonts w:ascii="Arial" w:hAnsi="Arial" w:cs="Arial"/>
                <w:color w:val="000000"/>
                <w:sz w:val="14"/>
                <w:szCs w:val="14"/>
              </w:rPr>
            </w:pPr>
            <w:r w:rsidRPr="002D2F67">
              <w:rPr>
                <w:rFonts w:ascii="Arial" w:hAnsi="Arial" w:cs="Arial"/>
                <w:color w:val="000000"/>
                <w:sz w:val="14"/>
                <w:szCs w:val="14"/>
              </w:rPr>
              <w:t xml:space="preserve">   (not commercial operations yet)</w:t>
            </w:r>
          </w:p>
        </w:tc>
        <w:tc>
          <w:tcPr>
            <w:tcW w:w="1064" w:type="dxa"/>
            <w:shd w:val="clear" w:color="auto" w:fill="auto"/>
          </w:tcPr>
          <w:p w14:paraId="20B321CF" w14:textId="667BB2A4" w:rsidR="00DF528E" w:rsidRPr="002D2F67" w:rsidRDefault="00CD5714">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50</w:t>
            </w:r>
            <w:r w:rsidR="00DF528E" w:rsidRPr="002D2F67">
              <w:rPr>
                <w:rFonts w:ascii="Arial" w:hAnsi="Arial" w:cs="Arial"/>
                <w:color w:val="000000"/>
                <w:sz w:val="14"/>
                <w:szCs w:val="14"/>
                <w:lang w:bidi="th-TH"/>
              </w:rPr>
              <w:t>.</w:t>
            </w:r>
            <w:r w:rsidRPr="00CD5714">
              <w:rPr>
                <w:rFonts w:ascii="Arial" w:hAnsi="Arial" w:cs="Arial"/>
                <w:color w:val="000000"/>
                <w:sz w:val="14"/>
                <w:szCs w:val="14"/>
                <w:lang w:val="en-GB" w:bidi="th-TH"/>
              </w:rPr>
              <w:t>00</w:t>
            </w:r>
          </w:p>
        </w:tc>
        <w:tc>
          <w:tcPr>
            <w:tcW w:w="1065" w:type="dxa"/>
            <w:shd w:val="clear" w:color="auto" w:fill="auto"/>
          </w:tcPr>
          <w:p w14:paraId="1324CDBB" w14:textId="1DCDF126" w:rsidR="00DF528E" w:rsidRPr="002D2F67" w:rsidRDefault="00CD5714">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50</w:t>
            </w:r>
            <w:r w:rsidR="00DF528E" w:rsidRPr="002D2F67">
              <w:rPr>
                <w:rFonts w:ascii="Arial" w:hAnsi="Arial" w:cs="Arial"/>
                <w:color w:val="000000"/>
                <w:sz w:val="14"/>
                <w:szCs w:val="14"/>
                <w:lang w:bidi="th-TH"/>
              </w:rPr>
              <w:t>.</w:t>
            </w:r>
            <w:r w:rsidRPr="00CD5714">
              <w:rPr>
                <w:rFonts w:ascii="Arial" w:hAnsi="Arial" w:cs="Arial"/>
                <w:color w:val="000000"/>
                <w:sz w:val="14"/>
                <w:szCs w:val="14"/>
                <w:lang w:val="en-GB" w:bidi="th-TH"/>
              </w:rPr>
              <w:t>00</w:t>
            </w:r>
          </w:p>
        </w:tc>
        <w:tc>
          <w:tcPr>
            <w:tcW w:w="1065" w:type="dxa"/>
            <w:shd w:val="clear" w:color="auto" w:fill="auto"/>
          </w:tcPr>
          <w:p w14:paraId="05F53602" w14:textId="4D8A7A5A" w:rsidR="00DF528E" w:rsidRPr="002D2F67" w:rsidRDefault="00CD5714">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42</w:t>
            </w:r>
            <w:r w:rsidR="00DF528E" w:rsidRPr="002D2F67">
              <w:rPr>
                <w:rFonts w:ascii="Arial" w:hAnsi="Arial" w:cs="Arial"/>
                <w:color w:val="000000"/>
                <w:sz w:val="14"/>
                <w:szCs w:val="14"/>
                <w:lang w:bidi="th-TH"/>
              </w:rPr>
              <w:t>,</w:t>
            </w:r>
            <w:r w:rsidRPr="00CD5714">
              <w:rPr>
                <w:rFonts w:ascii="Arial" w:hAnsi="Arial" w:cs="Arial"/>
                <w:color w:val="000000"/>
                <w:sz w:val="14"/>
                <w:szCs w:val="14"/>
                <w:lang w:val="en-GB" w:bidi="th-TH"/>
              </w:rPr>
              <w:t>000</w:t>
            </w:r>
          </w:p>
        </w:tc>
        <w:tc>
          <w:tcPr>
            <w:tcW w:w="1065" w:type="dxa"/>
            <w:shd w:val="clear" w:color="auto" w:fill="auto"/>
          </w:tcPr>
          <w:p w14:paraId="2B25B19C" w14:textId="015934E7" w:rsidR="00DF528E" w:rsidRPr="002D2F67" w:rsidRDefault="00CD5714">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42</w:t>
            </w:r>
            <w:r w:rsidR="00DF528E" w:rsidRPr="002D2F67">
              <w:rPr>
                <w:rFonts w:ascii="Arial" w:hAnsi="Arial" w:cs="Arial"/>
                <w:color w:val="000000"/>
                <w:sz w:val="14"/>
                <w:szCs w:val="14"/>
                <w:lang w:bidi="th-TH"/>
              </w:rPr>
              <w:t>,</w:t>
            </w:r>
            <w:r w:rsidRPr="00CD5714">
              <w:rPr>
                <w:rFonts w:ascii="Arial" w:hAnsi="Arial" w:cs="Arial"/>
                <w:color w:val="000000"/>
                <w:sz w:val="14"/>
                <w:szCs w:val="14"/>
                <w:lang w:val="en-GB" w:bidi="th-TH"/>
              </w:rPr>
              <w:t>000</w:t>
            </w:r>
          </w:p>
        </w:tc>
        <w:tc>
          <w:tcPr>
            <w:tcW w:w="1065" w:type="dxa"/>
            <w:shd w:val="clear" w:color="auto" w:fill="auto"/>
          </w:tcPr>
          <w:p w14:paraId="601B8111" w14:textId="04EE98D3" w:rsidR="00DF528E" w:rsidRPr="002D2F67" w:rsidRDefault="00CD5714">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44</w:t>
            </w:r>
            <w:r w:rsidR="00DF528E" w:rsidRPr="002D2F67">
              <w:rPr>
                <w:rFonts w:ascii="Arial" w:hAnsi="Arial" w:cs="Arial"/>
                <w:color w:val="000000"/>
                <w:sz w:val="14"/>
                <w:szCs w:val="14"/>
                <w:lang w:bidi="th-TH"/>
              </w:rPr>
              <w:t>,</w:t>
            </w:r>
            <w:r w:rsidRPr="00CD5714">
              <w:rPr>
                <w:rFonts w:ascii="Arial" w:hAnsi="Arial" w:cs="Arial"/>
                <w:color w:val="000000"/>
                <w:sz w:val="14"/>
                <w:szCs w:val="14"/>
                <w:lang w:val="en-GB" w:bidi="th-TH"/>
              </w:rPr>
              <w:t>930</w:t>
            </w:r>
          </w:p>
        </w:tc>
        <w:tc>
          <w:tcPr>
            <w:tcW w:w="1065" w:type="dxa"/>
            <w:shd w:val="clear" w:color="auto" w:fill="auto"/>
          </w:tcPr>
          <w:p w14:paraId="1A334963" w14:textId="364EA87F" w:rsidR="00DF528E" w:rsidRPr="002D2F67" w:rsidRDefault="00CD5714">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47</w:t>
            </w:r>
            <w:r w:rsidR="00DF528E" w:rsidRPr="002D2F67">
              <w:rPr>
                <w:rFonts w:ascii="Arial" w:hAnsi="Arial" w:cs="Arial"/>
                <w:color w:val="000000"/>
                <w:sz w:val="14"/>
                <w:szCs w:val="14"/>
                <w:lang w:bidi="th-TH"/>
              </w:rPr>
              <w:t>,</w:t>
            </w:r>
            <w:r w:rsidRPr="00CD5714">
              <w:rPr>
                <w:rFonts w:ascii="Arial" w:hAnsi="Arial" w:cs="Arial"/>
                <w:color w:val="000000"/>
                <w:sz w:val="14"/>
                <w:szCs w:val="14"/>
                <w:lang w:val="en-GB" w:bidi="th-TH"/>
              </w:rPr>
              <w:t>145</w:t>
            </w:r>
          </w:p>
        </w:tc>
        <w:tc>
          <w:tcPr>
            <w:tcW w:w="1094" w:type="dxa"/>
            <w:shd w:val="clear" w:color="auto" w:fill="auto"/>
          </w:tcPr>
          <w:p w14:paraId="3C931722"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074" w:type="dxa"/>
            <w:shd w:val="clear" w:color="auto" w:fill="auto"/>
          </w:tcPr>
          <w:p w14:paraId="71EB47B8"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r w:rsidRPr="002D2F67">
              <w:rPr>
                <w:rFonts w:ascii="Arial" w:hAnsi="Arial" w:cs="Arial"/>
                <w:color w:val="000000"/>
                <w:sz w:val="14"/>
                <w:szCs w:val="14"/>
                <w:lang w:bidi="th-TH"/>
              </w:rPr>
              <w:t>-</w:t>
            </w:r>
          </w:p>
        </w:tc>
      </w:tr>
      <w:tr w:rsidR="00DF528E" w:rsidRPr="002D2F67" w14:paraId="442D996E" w14:textId="77777777">
        <w:trPr>
          <w:cantSplit/>
        </w:trPr>
        <w:tc>
          <w:tcPr>
            <w:tcW w:w="3282" w:type="dxa"/>
            <w:shd w:val="clear" w:color="auto" w:fill="auto"/>
          </w:tcPr>
          <w:p w14:paraId="1A0C2368" w14:textId="5C039A71" w:rsidR="00DF528E" w:rsidRPr="002D2F67" w:rsidRDefault="00DF528E">
            <w:pPr>
              <w:ind w:left="-73"/>
              <w:rPr>
                <w:rFonts w:ascii="Arial" w:hAnsi="Arial" w:cs="Arial"/>
                <w:color w:val="000000"/>
                <w:sz w:val="14"/>
                <w:szCs w:val="14"/>
              </w:rPr>
            </w:pPr>
            <w:r w:rsidRPr="002D2F67">
              <w:rPr>
                <w:rFonts w:ascii="Arial" w:hAnsi="Arial" w:cs="Arial"/>
                <w:color w:val="000000"/>
                <w:sz w:val="14"/>
                <w:szCs w:val="14"/>
              </w:rPr>
              <w:t>Agro Clean Co., Ltd.</w:t>
            </w:r>
          </w:p>
        </w:tc>
        <w:tc>
          <w:tcPr>
            <w:tcW w:w="3011" w:type="dxa"/>
            <w:shd w:val="clear" w:color="auto" w:fill="auto"/>
          </w:tcPr>
          <w:p w14:paraId="5EB706A0" w14:textId="77777777" w:rsidR="00DF528E" w:rsidRPr="002D2F67" w:rsidRDefault="00DF528E">
            <w:pPr>
              <w:rPr>
                <w:rFonts w:ascii="Arial" w:hAnsi="Arial" w:cs="Arial"/>
                <w:color w:val="000000"/>
                <w:sz w:val="14"/>
                <w:szCs w:val="14"/>
              </w:rPr>
            </w:pPr>
            <w:r w:rsidRPr="002D2F67">
              <w:rPr>
                <w:rFonts w:ascii="Arial" w:hAnsi="Arial" w:cs="Arial"/>
                <w:color w:val="000000"/>
                <w:sz w:val="14"/>
                <w:szCs w:val="14"/>
              </w:rPr>
              <w:t>Export of agricultural products</w:t>
            </w:r>
          </w:p>
          <w:p w14:paraId="2E860AA8" w14:textId="77777777" w:rsidR="00DF528E" w:rsidRPr="002D2F67" w:rsidRDefault="00DF528E">
            <w:pPr>
              <w:rPr>
                <w:rFonts w:ascii="Arial" w:hAnsi="Arial" w:cs="Arial"/>
                <w:color w:val="000000"/>
                <w:sz w:val="14"/>
                <w:szCs w:val="14"/>
              </w:rPr>
            </w:pPr>
            <w:r w:rsidRPr="002D2F67">
              <w:rPr>
                <w:rFonts w:ascii="Arial" w:hAnsi="Arial" w:cs="Arial"/>
                <w:color w:val="000000"/>
                <w:sz w:val="14"/>
                <w:szCs w:val="14"/>
              </w:rPr>
              <w:t xml:space="preserve">   (not commercial operations yet)</w:t>
            </w:r>
          </w:p>
        </w:tc>
        <w:tc>
          <w:tcPr>
            <w:tcW w:w="1064" w:type="dxa"/>
            <w:shd w:val="clear" w:color="auto" w:fill="auto"/>
          </w:tcPr>
          <w:p w14:paraId="6753A366"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065" w:type="dxa"/>
            <w:shd w:val="clear" w:color="auto" w:fill="auto"/>
          </w:tcPr>
          <w:p w14:paraId="0EB06E21" w14:textId="1A22125A" w:rsidR="00DF528E" w:rsidRPr="002D2F67" w:rsidRDefault="00CD5714">
            <w:pPr>
              <w:pStyle w:val="acctfourfigures"/>
              <w:tabs>
                <w:tab w:val="left" w:pos="720"/>
              </w:tabs>
              <w:spacing w:line="240" w:lineRule="auto"/>
              <w:ind w:right="-72"/>
              <w:jc w:val="right"/>
              <w:rPr>
                <w:rFonts w:ascii="Arial" w:eastAsia="Arial Unicode MS" w:hAnsi="Arial" w:cs="Arial"/>
                <w:color w:val="000000"/>
                <w:sz w:val="14"/>
                <w:szCs w:val="14"/>
              </w:rPr>
            </w:pPr>
            <w:r w:rsidRPr="00CD5714">
              <w:rPr>
                <w:rFonts w:ascii="Arial" w:hAnsi="Arial" w:cs="Arial"/>
                <w:color w:val="000000"/>
                <w:sz w:val="14"/>
                <w:szCs w:val="14"/>
                <w:lang w:val="en-GB" w:bidi="th-TH"/>
              </w:rPr>
              <w:t>49</w:t>
            </w:r>
            <w:r w:rsidR="00DF528E" w:rsidRPr="002D2F67">
              <w:rPr>
                <w:rFonts w:ascii="Arial" w:hAnsi="Arial" w:cs="Arial"/>
                <w:color w:val="000000"/>
                <w:sz w:val="14"/>
                <w:szCs w:val="14"/>
                <w:lang w:bidi="th-TH"/>
              </w:rPr>
              <w:t>.</w:t>
            </w:r>
            <w:r w:rsidRPr="00CD5714">
              <w:rPr>
                <w:rFonts w:ascii="Arial" w:hAnsi="Arial" w:cs="Arial"/>
                <w:color w:val="000000"/>
                <w:sz w:val="14"/>
                <w:szCs w:val="14"/>
                <w:lang w:val="en-GB" w:bidi="th-TH"/>
              </w:rPr>
              <w:t>99</w:t>
            </w:r>
          </w:p>
        </w:tc>
        <w:tc>
          <w:tcPr>
            <w:tcW w:w="1065" w:type="dxa"/>
            <w:shd w:val="clear" w:color="auto" w:fill="auto"/>
          </w:tcPr>
          <w:p w14:paraId="217D94F3"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065" w:type="dxa"/>
            <w:shd w:val="clear" w:color="auto" w:fill="auto"/>
          </w:tcPr>
          <w:p w14:paraId="69C7E127" w14:textId="1F602580" w:rsidR="00DF528E" w:rsidRPr="002D2F67" w:rsidRDefault="00CD5714">
            <w:pPr>
              <w:ind w:left="-122" w:right="-72"/>
              <w:jc w:val="right"/>
              <w:rPr>
                <w:rFonts w:ascii="Arial" w:eastAsia="Arial Unicode MS" w:hAnsi="Arial" w:cs="Arial"/>
                <w:color w:val="000000"/>
                <w:sz w:val="14"/>
                <w:szCs w:val="14"/>
              </w:rPr>
            </w:pPr>
            <w:r w:rsidRPr="00CD5714">
              <w:rPr>
                <w:rFonts w:ascii="Arial" w:hAnsi="Arial" w:cs="Arial"/>
                <w:color w:val="000000"/>
                <w:sz w:val="14"/>
                <w:szCs w:val="14"/>
                <w:lang w:val="en-GB"/>
              </w:rPr>
              <w:t>2</w:t>
            </w:r>
            <w:r w:rsidR="00DF528E" w:rsidRPr="002D2F67">
              <w:rPr>
                <w:rFonts w:ascii="Arial" w:hAnsi="Arial" w:cs="Arial"/>
                <w:color w:val="000000"/>
                <w:sz w:val="14"/>
                <w:szCs w:val="14"/>
              </w:rPr>
              <w:t>,</w:t>
            </w:r>
            <w:r w:rsidRPr="00CD5714">
              <w:rPr>
                <w:rFonts w:ascii="Arial" w:hAnsi="Arial" w:cs="Arial"/>
                <w:color w:val="000000"/>
                <w:sz w:val="14"/>
                <w:szCs w:val="14"/>
                <w:lang w:val="en-GB"/>
              </w:rPr>
              <w:t>500</w:t>
            </w:r>
          </w:p>
        </w:tc>
        <w:tc>
          <w:tcPr>
            <w:tcW w:w="1065" w:type="dxa"/>
            <w:shd w:val="clear" w:color="auto" w:fill="auto"/>
          </w:tcPr>
          <w:p w14:paraId="34157BD2"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065" w:type="dxa"/>
            <w:shd w:val="clear" w:color="auto" w:fill="auto"/>
          </w:tcPr>
          <w:p w14:paraId="373BFB49" w14:textId="5DCA309B" w:rsidR="00DF528E" w:rsidRPr="002D2F67" w:rsidRDefault="00CD5714">
            <w:pPr>
              <w:ind w:left="-122" w:right="-72"/>
              <w:jc w:val="right"/>
              <w:rPr>
                <w:rFonts w:ascii="Arial" w:eastAsia="Arial Unicode MS" w:hAnsi="Arial" w:cs="Arial"/>
                <w:color w:val="000000"/>
                <w:sz w:val="14"/>
                <w:szCs w:val="14"/>
              </w:rPr>
            </w:pPr>
            <w:r w:rsidRPr="00CD5714">
              <w:rPr>
                <w:rFonts w:ascii="Arial" w:hAnsi="Arial" w:cs="Arial"/>
                <w:color w:val="000000"/>
                <w:sz w:val="14"/>
                <w:szCs w:val="14"/>
                <w:lang w:val="en-GB"/>
              </w:rPr>
              <w:t>1</w:t>
            </w:r>
            <w:r w:rsidR="00DF528E" w:rsidRPr="002D2F67">
              <w:rPr>
                <w:rFonts w:ascii="Arial" w:hAnsi="Arial" w:cs="Arial"/>
                <w:color w:val="000000"/>
                <w:sz w:val="14"/>
                <w:szCs w:val="14"/>
              </w:rPr>
              <w:t>,</w:t>
            </w:r>
            <w:r w:rsidRPr="00CD5714">
              <w:rPr>
                <w:rFonts w:ascii="Arial" w:hAnsi="Arial" w:cs="Arial"/>
                <w:color w:val="000000"/>
                <w:sz w:val="14"/>
                <w:szCs w:val="14"/>
                <w:lang w:val="en-GB"/>
              </w:rPr>
              <w:t>841</w:t>
            </w:r>
          </w:p>
        </w:tc>
        <w:tc>
          <w:tcPr>
            <w:tcW w:w="1094" w:type="dxa"/>
            <w:shd w:val="clear" w:color="auto" w:fill="auto"/>
          </w:tcPr>
          <w:p w14:paraId="1323EAC0"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074" w:type="dxa"/>
            <w:shd w:val="clear" w:color="auto" w:fill="auto"/>
          </w:tcPr>
          <w:p w14:paraId="63F1894F" w14:textId="77777777" w:rsidR="00DF528E" w:rsidRPr="002D2F67" w:rsidRDefault="00DF528E">
            <w:pPr>
              <w:pStyle w:val="acctfourfigures"/>
              <w:tabs>
                <w:tab w:val="decimal" w:pos="533"/>
              </w:tabs>
              <w:spacing w:line="240" w:lineRule="auto"/>
              <w:ind w:right="-72"/>
              <w:jc w:val="right"/>
              <w:rPr>
                <w:rFonts w:ascii="Arial" w:eastAsia="Arial Unicode MS" w:hAnsi="Arial" w:cs="Arial"/>
                <w:color w:val="000000"/>
                <w:sz w:val="14"/>
                <w:szCs w:val="14"/>
                <w:lang w:bidi="th-TH"/>
              </w:rPr>
            </w:pPr>
            <w:r w:rsidRPr="002D2F67">
              <w:rPr>
                <w:rFonts w:ascii="Arial" w:hAnsi="Arial" w:cs="Arial"/>
                <w:color w:val="000000"/>
                <w:sz w:val="14"/>
                <w:szCs w:val="14"/>
                <w:lang w:bidi="th-TH"/>
              </w:rPr>
              <w:t>-</w:t>
            </w:r>
          </w:p>
        </w:tc>
      </w:tr>
      <w:tr w:rsidR="00DF528E" w:rsidRPr="002D2F67" w14:paraId="5AF45544" w14:textId="77777777">
        <w:trPr>
          <w:cantSplit/>
        </w:trPr>
        <w:tc>
          <w:tcPr>
            <w:tcW w:w="3282" w:type="dxa"/>
            <w:shd w:val="clear" w:color="auto" w:fill="auto"/>
          </w:tcPr>
          <w:p w14:paraId="2463E2DC" w14:textId="6DD59485" w:rsidR="00DF528E" w:rsidRPr="002D2F67" w:rsidRDefault="00DF528E">
            <w:pPr>
              <w:ind w:left="-73"/>
              <w:rPr>
                <w:rFonts w:ascii="Arial" w:hAnsi="Arial" w:cs="Arial"/>
                <w:color w:val="000000"/>
                <w:sz w:val="14"/>
                <w:szCs w:val="17"/>
              </w:rPr>
            </w:pPr>
            <w:r w:rsidRPr="002D2F67">
              <w:rPr>
                <w:rFonts w:ascii="Arial" w:hAnsi="Arial" w:cs="Arial"/>
                <w:color w:val="000000"/>
                <w:sz w:val="14"/>
                <w:szCs w:val="17"/>
              </w:rPr>
              <w:t>The Fifth Elements International Co., Ltd.</w:t>
            </w:r>
          </w:p>
        </w:tc>
        <w:tc>
          <w:tcPr>
            <w:tcW w:w="3011" w:type="dxa"/>
            <w:shd w:val="clear" w:color="auto" w:fill="auto"/>
          </w:tcPr>
          <w:p w14:paraId="2702D9DB" w14:textId="77777777" w:rsidR="00DF528E" w:rsidRPr="002D2F67" w:rsidRDefault="00DF528E">
            <w:pPr>
              <w:rPr>
                <w:rFonts w:ascii="Arial" w:hAnsi="Arial" w:cs="Arial"/>
                <w:color w:val="000000"/>
                <w:sz w:val="14"/>
                <w:szCs w:val="14"/>
              </w:rPr>
            </w:pPr>
            <w:r w:rsidRPr="002D2F67">
              <w:rPr>
                <w:rFonts w:ascii="Arial" w:hAnsi="Arial" w:cs="Arial"/>
                <w:color w:val="000000"/>
                <w:sz w:val="14"/>
                <w:szCs w:val="14"/>
              </w:rPr>
              <w:t>Constructing charging stations for electric</w:t>
            </w:r>
            <w:r w:rsidRPr="002D2F67">
              <w:rPr>
                <w:rFonts w:ascii="Arial" w:hAnsi="Arial" w:cs="Arial"/>
                <w:color w:val="000000"/>
                <w:sz w:val="14"/>
                <w:szCs w:val="14"/>
              </w:rPr>
              <w:br/>
              <w:t xml:space="preserve">   vehicles (not commercial operations yet)</w:t>
            </w:r>
          </w:p>
        </w:tc>
        <w:tc>
          <w:tcPr>
            <w:tcW w:w="1064" w:type="dxa"/>
            <w:shd w:val="clear" w:color="auto" w:fill="auto"/>
          </w:tcPr>
          <w:p w14:paraId="336C686C" w14:textId="69F8329F" w:rsidR="00DF528E" w:rsidRPr="002D2F67" w:rsidRDefault="00CD5714">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50</w:t>
            </w:r>
            <w:r w:rsidR="00DF528E" w:rsidRPr="002D2F67">
              <w:rPr>
                <w:rFonts w:ascii="Arial" w:hAnsi="Arial" w:cs="Arial"/>
                <w:color w:val="000000"/>
                <w:sz w:val="14"/>
                <w:szCs w:val="14"/>
                <w:lang w:bidi="th-TH"/>
              </w:rPr>
              <w:t>.</w:t>
            </w:r>
            <w:r w:rsidRPr="00CD5714">
              <w:rPr>
                <w:rFonts w:ascii="Arial" w:hAnsi="Arial" w:cs="Arial"/>
                <w:color w:val="000000"/>
                <w:sz w:val="14"/>
                <w:szCs w:val="14"/>
                <w:lang w:val="en-GB" w:bidi="th-TH"/>
              </w:rPr>
              <w:t>00</w:t>
            </w:r>
          </w:p>
        </w:tc>
        <w:tc>
          <w:tcPr>
            <w:tcW w:w="1065" w:type="dxa"/>
            <w:shd w:val="clear" w:color="auto" w:fill="auto"/>
          </w:tcPr>
          <w:p w14:paraId="60EEC41C" w14:textId="287ADA48" w:rsidR="00DF528E" w:rsidRPr="002D2F67" w:rsidRDefault="00CD5714">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50</w:t>
            </w:r>
            <w:r w:rsidR="00DF528E" w:rsidRPr="002D2F67">
              <w:rPr>
                <w:rFonts w:ascii="Arial" w:hAnsi="Arial" w:cs="Arial"/>
                <w:color w:val="000000"/>
                <w:sz w:val="14"/>
                <w:szCs w:val="14"/>
                <w:lang w:bidi="th-TH"/>
              </w:rPr>
              <w:t>.</w:t>
            </w:r>
            <w:r w:rsidRPr="00CD5714">
              <w:rPr>
                <w:rFonts w:ascii="Arial" w:hAnsi="Arial" w:cs="Arial"/>
                <w:color w:val="000000"/>
                <w:sz w:val="14"/>
                <w:szCs w:val="14"/>
                <w:lang w:val="en-GB" w:bidi="th-TH"/>
              </w:rPr>
              <w:t>00</w:t>
            </w:r>
          </w:p>
        </w:tc>
        <w:tc>
          <w:tcPr>
            <w:tcW w:w="1065" w:type="dxa"/>
            <w:shd w:val="clear" w:color="auto" w:fill="auto"/>
          </w:tcPr>
          <w:p w14:paraId="42E64DF3" w14:textId="3E204D6B" w:rsidR="00DF528E" w:rsidRPr="002D2F67" w:rsidRDefault="00CD5714">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6</w:t>
            </w:r>
            <w:r w:rsidR="00DF528E" w:rsidRPr="002D2F67">
              <w:rPr>
                <w:rFonts w:ascii="Arial" w:hAnsi="Arial" w:cs="Arial"/>
                <w:color w:val="000000"/>
                <w:sz w:val="14"/>
                <w:szCs w:val="14"/>
                <w:lang w:bidi="th-TH"/>
              </w:rPr>
              <w:t>,</w:t>
            </w:r>
            <w:r w:rsidRPr="00CD5714">
              <w:rPr>
                <w:rFonts w:ascii="Arial" w:hAnsi="Arial" w:cs="Arial"/>
                <w:color w:val="000000"/>
                <w:sz w:val="14"/>
                <w:szCs w:val="14"/>
                <w:lang w:val="en-GB" w:bidi="th-TH"/>
              </w:rPr>
              <w:t>430</w:t>
            </w:r>
          </w:p>
        </w:tc>
        <w:tc>
          <w:tcPr>
            <w:tcW w:w="1065" w:type="dxa"/>
            <w:shd w:val="clear" w:color="auto" w:fill="auto"/>
          </w:tcPr>
          <w:p w14:paraId="18492CB6" w14:textId="508D309E" w:rsidR="00DF528E" w:rsidRPr="002D2F67" w:rsidRDefault="00CD5714">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6</w:t>
            </w:r>
            <w:r w:rsidR="00DF528E" w:rsidRPr="002D2F67">
              <w:rPr>
                <w:rFonts w:ascii="Arial" w:hAnsi="Arial" w:cs="Arial"/>
                <w:color w:val="000000"/>
                <w:sz w:val="14"/>
                <w:szCs w:val="14"/>
                <w:lang w:bidi="th-TH"/>
              </w:rPr>
              <w:t>,</w:t>
            </w:r>
            <w:r w:rsidRPr="00CD5714">
              <w:rPr>
                <w:rFonts w:ascii="Arial" w:hAnsi="Arial" w:cs="Arial"/>
                <w:color w:val="000000"/>
                <w:sz w:val="14"/>
                <w:szCs w:val="14"/>
                <w:lang w:val="en-GB" w:bidi="th-TH"/>
              </w:rPr>
              <w:t>430</w:t>
            </w:r>
            <w:r w:rsidR="00DF528E" w:rsidRPr="002D2F67">
              <w:rPr>
                <w:rFonts w:ascii="Arial" w:hAnsi="Arial" w:cs="Arial"/>
                <w:color w:val="000000"/>
                <w:sz w:val="14"/>
                <w:szCs w:val="14"/>
                <w:lang w:bidi="th-TH"/>
              </w:rPr>
              <w:t xml:space="preserve">   </w:t>
            </w:r>
          </w:p>
        </w:tc>
        <w:tc>
          <w:tcPr>
            <w:tcW w:w="1065" w:type="dxa"/>
            <w:shd w:val="clear" w:color="auto" w:fill="auto"/>
          </w:tcPr>
          <w:p w14:paraId="4A44F5E4" w14:textId="2F95A67D" w:rsidR="00DF528E" w:rsidRPr="002D2F67" w:rsidRDefault="00CD5714">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3</w:t>
            </w:r>
            <w:r w:rsidR="00DF528E" w:rsidRPr="002D2F67">
              <w:rPr>
                <w:rFonts w:ascii="Arial" w:hAnsi="Arial" w:cs="Arial"/>
                <w:color w:val="000000"/>
                <w:sz w:val="14"/>
                <w:szCs w:val="14"/>
                <w:lang w:bidi="th-TH"/>
              </w:rPr>
              <w:t>,</w:t>
            </w:r>
            <w:r w:rsidRPr="00CD5714">
              <w:rPr>
                <w:rFonts w:ascii="Arial" w:hAnsi="Arial" w:cs="Arial"/>
                <w:color w:val="000000"/>
                <w:sz w:val="14"/>
                <w:szCs w:val="14"/>
                <w:lang w:val="en-GB" w:bidi="th-TH"/>
              </w:rPr>
              <w:t>056</w:t>
            </w:r>
          </w:p>
        </w:tc>
        <w:tc>
          <w:tcPr>
            <w:tcW w:w="1065" w:type="dxa"/>
            <w:shd w:val="clear" w:color="auto" w:fill="auto"/>
          </w:tcPr>
          <w:p w14:paraId="529A195F" w14:textId="0F4F09B3" w:rsidR="00DF528E" w:rsidRPr="002D2F67" w:rsidRDefault="00CD5714">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4</w:t>
            </w:r>
            <w:r w:rsidR="00DF528E" w:rsidRPr="002D2F67">
              <w:rPr>
                <w:rFonts w:ascii="Arial" w:hAnsi="Arial" w:cs="Arial"/>
                <w:color w:val="000000"/>
                <w:sz w:val="14"/>
                <w:szCs w:val="14"/>
                <w:lang w:bidi="th-TH"/>
              </w:rPr>
              <w:t>,</w:t>
            </w:r>
            <w:r w:rsidRPr="00CD5714">
              <w:rPr>
                <w:rFonts w:ascii="Arial" w:hAnsi="Arial" w:cs="Arial"/>
                <w:color w:val="000000"/>
                <w:sz w:val="14"/>
                <w:szCs w:val="14"/>
                <w:lang w:val="en-GB" w:bidi="th-TH"/>
              </w:rPr>
              <w:t>718</w:t>
            </w:r>
          </w:p>
        </w:tc>
        <w:tc>
          <w:tcPr>
            <w:tcW w:w="1094" w:type="dxa"/>
            <w:shd w:val="clear" w:color="auto" w:fill="auto"/>
          </w:tcPr>
          <w:p w14:paraId="7CCC40C7"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074" w:type="dxa"/>
            <w:shd w:val="clear" w:color="auto" w:fill="auto"/>
          </w:tcPr>
          <w:p w14:paraId="42DE0861"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r w:rsidRPr="002D2F67">
              <w:rPr>
                <w:rFonts w:ascii="Arial" w:hAnsi="Arial" w:cs="Arial"/>
                <w:color w:val="000000"/>
                <w:sz w:val="14"/>
                <w:szCs w:val="14"/>
                <w:lang w:bidi="th-TH"/>
              </w:rPr>
              <w:t>-</w:t>
            </w:r>
          </w:p>
        </w:tc>
      </w:tr>
      <w:tr w:rsidR="00DF528E" w:rsidRPr="002D2F67" w14:paraId="1414A235" w14:textId="77777777">
        <w:trPr>
          <w:cantSplit/>
        </w:trPr>
        <w:tc>
          <w:tcPr>
            <w:tcW w:w="3282" w:type="dxa"/>
            <w:shd w:val="clear" w:color="auto" w:fill="auto"/>
          </w:tcPr>
          <w:p w14:paraId="6A77FE59" w14:textId="77777777" w:rsidR="00DF528E" w:rsidRPr="002D2F67" w:rsidRDefault="00DF528E">
            <w:pPr>
              <w:ind w:left="-73"/>
              <w:rPr>
                <w:rFonts w:ascii="Arial" w:hAnsi="Arial" w:cs="Arial"/>
                <w:color w:val="000000"/>
                <w:sz w:val="14"/>
                <w:szCs w:val="14"/>
              </w:rPr>
            </w:pPr>
          </w:p>
        </w:tc>
        <w:tc>
          <w:tcPr>
            <w:tcW w:w="3011" w:type="dxa"/>
            <w:shd w:val="clear" w:color="auto" w:fill="auto"/>
          </w:tcPr>
          <w:p w14:paraId="186584B6" w14:textId="77777777" w:rsidR="00DF528E" w:rsidRPr="002D2F67" w:rsidRDefault="00DF528E">
            <w:pPr>
              <w:rPr>
                <w:rFonts w:ascii="Arial" w:hAnsi="Arial" w:cs="Arial"/>
                <w:color w:val="000000"/>
                <w:sz w:val="14"/>
                <w:szCs w:val="14"/>
              </w:rPr>
            </w:pPr>
          </w:p>
        </w:tc>
        <w:tc>
          <w:tcPr>
            <w:tcW w:w="1064" w:type="dxa"/>
            <w:shd w:val="clear" w:color="auto" w:fill="auto"/>
          </w:tcPr>
          <w:p w14:paraId="09A0EE92"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7DED1035"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0A93B1CD"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5F18B25A"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517F1F54"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14E1C44B"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94" w:type="dxa"/>
            <w:shd w:val="clear" w:color="auto" w:fill="auto"/>
          </w:tcPr>
          <w:p w14:paraId="34341E81"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p>
        </w:tc>
        <w:tc>
          <w:tcPr>
            <w:tcW w:w="1074" w:type="dxa"/>
            <w:shd w:val="clear" w:color="auto" w:fill="auto"/>
          </w:tcPr>
          <w:p w14:paraId="4E83099D"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p>
        </w:tc>
      </w:tr>
      <w:tr w:rsidR="00DF528E" w:rsidRPr="002D2F67" w14:paraId="5F877039" w14:textId="77777777">
        <w:trPr>
          <w:cantSplit/>
        </w:trPr>
        <w:tc>
          <w:tcPr>
            <w:tcW w:w="6293" w:type="dxa"/>
            <w:gridSpan w:val="2"/>
            <w:shd w:val="clear" w:color="auto" w:fill="auto"/>
            <w:hideMark/>
          </w:tcPr>
          <w:p w14:paraId="769F7A61" w14:textId="77777777" w:rsidR="00DF528E" w:rsidRPr="002D2F67" w:rsidRDefault="00DF528E">
            <w:pPr>
              <w:ind w:left="-73"/>
              <w:rPr>
                <w:rFonts w:ascii="Arial" w:hAnsi="Arial" w:cs="Arial"/>
                <w:color w:val="000000"/>
                <w:sz w:val="14"/>
                <w:szCs w:val="14"/>
              </w:rPr>
            </w:pPr>
            <w:r w:rsidRPr="002D2F67">
              <w:rPr>
                <w:rFonts w:ascii="Arial" w:hAnsi="Arial" w:cs="Arial"/>
                <w:color w:val="000000"/>
                <w:sz w:val="14"/>
                <w:szCs w:val="14"/>
              </w:rPr>
              <w:t>Joint venture incorporated in the People’s Republic of China</w:t>
            </w:r>
          </w:p>
        </w:tc>
        <w:tc>
          <w:tcPr>
            <w:tcW w:w="1064" w:type="dxa"/>
            <w:shd w:val="clear" w:color="auto" w:fill="auto"/>
          </w:tcPr>
          <w:p w14:paraId="5F26E51B"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72301F09"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3B23A17E"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60F7371D"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070A334C"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2D5EA355"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94" w:type="dxa"/>
            <w:shd w:val="clear" w:color="auto" w:fill="auto"/>
          </w:tcPr>
          <w:p w14:paraId="22ACBA9D"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74" w:type="dxa"/>
            <w:shd w:val="clear" w:color="auto" w:fill="auto"/>
          </w:tcPr>
          <w:p w14:paraId="577FDE7E"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p>
        </w:tc>
      </w:tr>
      <w:tr w:rsidR="00DF528E" w:rsidRPr="002D2F67" w14:paraId="0E2076EA" w14:textId="77777777">
        <w:trPr>
          <w:cantSplit/>
          <w:trHeight w:val="68"/>
        </w:trPr>
        <w:tc>
          <w:tcPr>
            <w:tcW w:w="3282" w:type="dxa"/>
            <w:shd w:val="clear" w:color="auto" w:fill="auto"/>
          </w:tcPr>
          <w:p w14:paraId="69E91C7C" w14:textId="77777777" w:rsidR="00DF528E" w:rsidRPr="002D2F67" w:rsidRDefault="00DF528E">
            <w:pPr>
              <w:ind w:left="-73"/>
              <w:rPr>
                <w:rFonts w:ascii="Arial" w:eastAsia="Arial Unicode MS" w:hAnsi="Arial" w:cs="Arial"/>
                <w:color w:val="000000"/>
                <w:sz w:val="14"/>
                <w:szCs w:val="14"/>
              </w:rPr>
            </w:pPr>
          </w:p>
        </w:tc>
        <w:tc>
          <w:tcPr>
            <w:tcW w:w="3011" w:type="dxa"/>
            <w:shd w:val="clear" w:color="auto" w:fill="auto"/>
          </w:tcPr>
          <w:p w14:paraId="2EF6C2D3" w14:textId="77777777" w:rsidR="00DF528E" w:rsidRPr="002D2F67" w:rsidRDefault="00DF528E">
            <w:pPr>
              <w:ind w:left="204" w:hanging="204"/>
              <w:rPr>
                <w:rFonts w:ascii="Arial" w:hAnsi="Arial" w:cs="Arial"/>
                <w:color w:val="000000"/>
                <w:sz w:val="14"/>
                <w:szCs w:val="14"/>
              </w:rPr>
            </w:pPr>
          </w:p>
        </w:tc>
        <w:tc>
          <w:tcPr>
            <w:tcW w:w="1064" w:type="dxa"/>
            <w:shd w:val="clear" w:color="auto" w:fill="auto"/>
          </w:tcPr>
          <w:p w14:paraId="4B9CE335"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5CC537D4"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14FB961C"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12BA7EB3"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179B5A4B"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3DE3AABD"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94" w:type="dxa"/>
            <w:shd w:val="clear" w:color="auto" w:fill="auto"/>
          </w:tcPr>
          <w:p w14:paraId="6219F70A"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p>
        </w:tc>
        <w:tc>
          <w:tcPr>
            <w:tcW w:w="1074" w:type="dxa"/>
            <w:shd w:val="clear" w:color="auto" w:fill="auto"/>
          </w:tcPr>
          <w:p w14:paraId="1927276E"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p>
        </w:tc>
      </w:tr>
      <w:tr w:rsidR="00DF528E" w:rsidRPr="002D2F67" w14:paraId="45FAEA1A" w14:textId="77777777">
        <w:trPr>
          <w:cantSplit/>
          <w:trHeight w:val="60"/>
        </w:trPr>
        <w:tc>
          <w:tcPr>
            <w:tcW w:w="3282" w:type="dxa"/>
            <w:shd w:val="clear" w:color="auto" w:fill="auto"/>
            <w:hideMark/>
          </w:tcPr>
          <w:p w14:paraId="0E7E9B38" w14:textId="4E950C60" w:rsidR="00DF528E" w:rsidRPr="002D2F67" w:rsidRDefault="00DF528E">
            <w:pPr>
              <w:ind w:left="-73" w:right="-123"/>
              <w:rPr>
                <w:rFonts w:ascii="Arial" w:eastAsia="Arial Unicode MS" w:hAnsi="Arial" w:cs="Arial"/>
                <w:color w:val="000000"/>
                <w:sz w:val="14"/>
                <w:szCs w:val="14"/>
              </w:rPr>
            </w:pPr>
            <w:r w:rsidRPr="002D2F67">
              <w:rPr>
                <w:rFonts w:ascii="Arial" w:eastAsia="Arial Unicode MS" w:hAnsi="Arial" w:cs="Arial"/>
                <w:color w:val="000000"/>
                <w:sz w:val="14"/>
                <w:szCs w:val="14"/>
              </w:rPr>
              <w:t>Shenzhen Atess Power Technology Co., Ltd.</w:t>
            </w:r>
          </w:p>
        </w:tc>
        <w:tc>
          <w:tcPr>
            <w:tcW w:w="3011" w:type="dxa"/>
            <w:shd w:val="clear" w:color="auto" w:fill="auto"/>
            <w:vAlign w:val="center"/>
            <w:hideMark/>
          </w:tcPr>
          <w:p w14:paraId="2A156D44" w14:textId="77777777" w:rsidR="00DF528E" w:rsidRPr="002D2F67" w:rsidRDefault="00DF528E">
            <w:pPr>
              <w:ind w:left="204" w:hanging="204"/>
              <w:rPr>
                <w:rFonts w:ascii="Arial" w:hAnsi="Arial" w:cs="Arial"/>
                <w:color w:val="000000"/>
                <w:sz w:val="14"/>
                <w:szCs w:val="14"/>
              </w:rPr>
            </w:pPr>
            <w:r w:rsidRPr="002D2F67">
              <w:rPr>
                <w:rFonts w:ascii="Arial" w:hAnsi="Arial" w:cs="Arial"/>
                <w:color w:val="000000"/>
                <w:sz w:val="14"/>
                <w:szCs w:val="14"/>
              </w:rPr>
              <w:t>Distributing electric equipment and machinery</w:t>
            </w:r>
          </w:p>
        </w:tc>
        <w:tc>
          <w:tcPr>
            <w:tcW w:w="1064" w:type="dxa"/>
            <w:shd w:val="clear" w:color="auto" w:fill="auto"/>
          </w:tcPr>
          <w:p w14:paraId="130D8CD8" w14:textId="70EC19B7" w:rsidR="00DF528E" w:rsidRPr="002D2F67" w:rsidRDefault="00CD5714">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34</w:t>
            </w:r>
            <w:r w:rsidR="00DF528E" w:rsidRPr="002D2F67">
              <w:rPr>
                <w:rFonts w:ascii="Arial" w:hAnsi="Arial" w:cs="Arial"/>
                <w:color w:val="000000"/>
                <w:sz w:val="14"/>
                <w:szCs w:val="14"/>
                <w:lang w:bidi="th-TH"/>
              </w:rPr>
              <w:t>.</w:t>
            </w:r>
            <w:r w:rsidRPr="00CD5714">
              <w:rPr>
                <w:rFonts w:ascii="Arial" w:hAnsi="Arial" w:cs="Arial"/>
                <w:color w:val="000000"/>
                <w:sz w:val="14"/>
                <w:szCs w:val="14"/>
                <w:lang w:val="en-GB" w:bidi="th-TH"/>
              </w:rPr>
              <w:t>69</w:t>
            </w:r>
          </w:p>
        </w:tc>
        <w:tc>
          <w:tcPr>
            <w:tcW w:w="1065" w:type="dxa"/>
            <w:shd w:val="clear" w:color="auto" w:fill="auto"/>
          </w:tcPr>
          <w:p w14:paraId="09E0E45B" w14:textId="5189B923" w:rsidR="00DF528E" w:rsidRPr="002D2F67" w:rsidRDefault="00CD5714">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38</w:t>
            </w:r>
            <w:r w:rsidR="00DF528E" w:rsidRPr="002D2F67">
              <w:rPr>
                <w:rFonts w:ascii="Arial" w:hAnsi="Arial" w:cs="Arial"/>
                <w:color w:val="000000"/>
                <w:sz w:val="14"/>
                <w:szCs w:val="14"/>
                <w:lang w:bidi="th-TH"/>
              </w:rPr>
              <w:t>.</w:t>
            </w:r>
            <w:r w:rsidRPr="00CD5714">
              <w:rPr>
                <w:rFonts w:ascii="Arial" w:hAnsi="Arial" w:cs="Arial"/>
                <w:color w:val="000000"/>
                <w:sz w:val="14"/>
                <w:szCs w:val="14"/>
                <w:lang w:val="en-GB" w:bidi="th-TH"/>
              </w:rPr>
              <w:t>58</w:t>
            </w:r>
          </w:p>
        </w:tc>
        <w:tc>
          <w:tcPr>
            <w:tcW w:w="1065" w:type="dxa"/>
            <w:tcBorders>
              <w:top w:val="nil"/>
              <w:left w:val="nil"/>
              <w:bottom w:val="single" w:sz="4" w:space="0" w:color="auto"/>
              <w:right w:val="nil"/>
            </w:tcBorders>
            <w:shd w:val="clear" w:color="auto" w:fill="auto"/>
          </w:tcPr>
          <w:p w14:paraId="13A53F25" w14:textId="300FD410" w:rsidR="00DF528E" w:rsidRPr="002D2F67" w:rsidRDefault="00CD5714">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45</w:t>
            </w:r>
            <w:r w:rsidR="00DF528E" w:rsidRPr="002D2F67">
              <w:rPr>
                <w:rFonts w:ascii="Arial" w:hAnsi="Arial" w:cs="Arial"/>
                <w:color w:val="000000"/>
                <w:sz w:val="14"/>
                <w:szCs w:val="14"/>
                <w:lang w:bidi="th-TH"/>
              </w:rPr>
              <w:t>,</w:t>
            </w:r>
            <w:r w:rsidRPr="00CD5714">
              <w:rPr>
                <w:rFonts w:ascii="Arial" w:hAnsi="Arial" w:cs="Arial"/>
                <w:color w:val="000000"/>
                <w:sz w:val="14"/>
                <w:szCs w:val="14"/>
                <w:lang w:val="en-GB" w:bidi="th-TH"/>
              </w:rPr>
              <w:t>471</w:t>
            </w:r>
          </w:p>
        </w:tc>
        <w:tc>
          <w:tcPr>
            <w:tcW w:w="1065" w:type="dxa"/>
            <w:tcBorders>
              <w:top w:val="nil"/>
              <w:left w:val="nil"/>
              <w:bottom w:val="single" w:sz="4" w:space="0" w:color="auto"/>
              <w:right w:val="nil"/>
            </w:tcBorders>
            <w:shd w:val="clear" w:color="auto" w:fill="auto"/>
          </w:tcPr>
          <w:p w14:paraId="457417E0" w14:textId="4A03FA76" w:rsidR="00DF528E" w:rsidRPr="002D2F67" w:rsidRDefault="00CD5714">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45</w:t>
            </w:r>
            <w:r w:rsidR="00DF528E" w:rsidRPr="002D2F67">
              <w:rPr>
                <w:rFonts w:ascii="Arial" w:hAnsi="Arial" w:cs="Arial"/>
                <w:color w:val="000000"/>
                <w:sz w:val="14"/>
                <w:szCs w:val="14"/>
                <w:lang w:bidi="th-TH"/>
              </w:rPr>
              <w:t>,</w:t>
            </w:r>
            <w:r w:rsidRPr="00CD5714">
              <w:rPr>
                <w:rFonts w:ascii="Arial" w:hAnsi="Arial" w:cs="Arial"/>
                <w:color w:val="000000"/>
                <w:sz w:val="14"/>
                <w:szCs w:val="14"/>
                <w:lang w:val="en-GB" w:bidi="th-TH"/>
              </w:rPr>
              <w:t>471</w:t>
            </w:r>
          </w:p>
        </w:tc>
        <w:tc>
          <w:tcPr>
            <w:tcW w:w="1065" w:type="dxa"/>
            <w:tcBorders>
              <w:top w:val="nil"/>
              <w:left w:val="nil"/>
              <w:bottom w:val="single" w:sz="4" w:space="0" w:color="auto"/>
            </w:tcBorders>
            <w:shd w:val="clear" w:color="auto" w:fill="auto"/>
          </w:tcPr>
          <w:p w14:paraId="11C4D760" w14:textId="116E146D" w:rsidR="00DF528E" w:rsidRPr="002D2F67" w:rsidRDefault="00CD5714">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323</w:t>
            </w:r>
            <w:r w:rsidR="00DF528E" w:rsidRPr="002D2F67">
              <w:rPr>
                <w:rFonts w:ascii="Arial" w:hAnsi="Arial" w:cs="Arial"/>
                <w:color w:val="000000"/>
                <w:sz w:val="14"/>
                <w:szCs w:val="14"/>
                <w:lang w:bidi="th-TH"/>
              </w:rPr>
              <w:t>,</w:t>
            </w:r>
            <w:r w:rsidRPr="00CD5714">
              <w:rPr>
                <w:rFonts w:ascii="Arial" w:hAnsi="Arial" w:cs="Arial"/>
                <w:color w:val="000000"/>
                <w:sz w:val="14"/>
                <w:szCs w:val="14"/>
                <w:lang w:val="en-GB" w:bidi="th-TH"/>
              </w:rPr>
              <w:t>725</w:t>
            </w:r>
          </w:p>
        </w:tc>
        <w:tc>
          <w:tcPr>
            <w:tcW w:w="1065" w:type="dxa"/>
            <w:tcBorders>
              <w:top w:val="nil"/>
              <w:bottom w:val="single" w:sz="4" w:space="0" w:color="auto"/>
              <w:right w:val="nil"/>
            </w:tcBorders>
            <w:shd w:val="clear" w:color="auto" w:fill="auto"/>
          </w:tcPr>
          <w:p w14:paraId="47874009" w14:textId="1FC31D29" w:rsidR="00DF528E" w:rsidRPr="002D2F67" w:rsidRDefault="00CD5714">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352</w:t>
            </w:r>
            <w:r w:rsidR="00DF528E" w:rsidRPr="002D2F67">
              <w:rPr>
                <w:rFonts w:ascii="Arial" w:hAnsi="Arial" w:cs="Arial"/>
                <w:color w:val="000000"/>
                <w:sz w:val="14"/>
                <w:szCs w:val="14"/>
                <w:lang w:bidi="th-TH"/>
              </w:rPr>
              <w:t>,</w:t>
            </w:r>
            <w:r w:rsidRPr="00CD5714">
              <w:rPr>
                <w:rFonts w:ascii="Arial" w:hAnsi="Arial" w:cs="Arial"/>
                <w:color w:val="000000"/>
                <w:sz w:val="14"/>
                <w:szCs w:val="14"/>
                <w:lang w:val="en-GB" w:bidi="th-TH"/>
              </w:rPr>
              <w:t>303</w:t>
            </w:r>
          </w:p>
        </w:tc>
        <w:tc>
          <w:tcPr>
            <w:tcW w:w="1094" w:type="dxa"/>
            <w:tcBorders>
              <w:top w:val="nil"/>
              <w:left w:val="nil"/>
              <w:bottom w:val="single" w:sz="4" w:space="0" w:color="auto"/>
              <w:right w:val="nil"/>
            </w:tcBorders>
            <w:shd w:val="clear" w:color="auto" w:fill="auto"/>
          </w:tcPr>
          <w:p w14:paraId="2AB08205"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074" w:type="dxa"/>
            <w:tcBorders>
              <w:top w:val="nil"/>
              <w:left w:val="nil"/>
              <w:bottom w:val="single" w:sz="4" w:space="0" w:color="auto"/>
              <w:right w:val="nil"/>
            </w:tcBorders>
            <w:shd w:val="clear" w:color="auto" w:fill="auto"/>
            <w:hideMark/>
          </w:tcPr>
          <w:p w14:paraId="5078D11B"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r w:rsidRPr="002D2F67">
              <w:rPr>
                <w:rFonts w:ascii="Arial" w:hAnsi="Arial" w:cs="Arial"/>
                <w:color w:val="000000"/>
                <w:sz w:val="14"/>
                <w:szCs w:val="14"/>
                <w:lang w:bidi="th-TH"/>
              </w:rPr>
              <w:t>-</w:t>
            </w:r>
          </w:p>
        </w:tc>
      </w:tr>
      <w:tr w:rsidR="00DF528E" w:rsidRPr="002D2F67" w14:paraId="1B24A4C6" w14:textId="77777777">
        <w:trPr>
          <w:cantSplit/>
        </w:trPr>
        <w:tc>
          <w:tcPr>
            <w:tcW w:w="3282" w:type="dxa"/>
            <w:shd w:val="clear" w:color="auto" w:fill="auto"/>
          </w:tcPr>
          <w:p w14:paraId="45F3B37F" w14:textId="77777777" w:rsidR="00DF528E" w:rsidRPr="002D2F67" w:rsidRDefault="00DF528E">
            <w:pPr>
              <w:ind w:left="-73"/>
              <w:rPr>
                <w:rFonts w:ascii="Arial" w:hAnsi="Arial" w:cs="Arial"/>
                <w:color w:val="000000"/>
                <w:sz w:val="14"/>
                <w:szCs w:val="14"/>
              </w:rPr>
            </w:pPr>
          </w:p>
        </w:tc>
        <w:tc>
          <w:tcPr>
            <w:tcW w:w="3011" w:type="dxa"/>
            <w:shd w:val="clear" w:color="auto" w:fill="auto"/>
          </w:tcPr>
          <w:p w14:paraId="3139F6FD" w14:textId="77777777" w:rsidR="00DF528E" w:rsidRPr="002D2F67" w:rsidRDefault="00DF528E">
            <w:pPr>
              <w:jc w:val="center"/>
              <w:rPr>
                <w:rFonts w:ascii="Arial" w:hAnsi="Arial" w:cs="Arial"/>
                <w:color w:val="000000"/>
                <w:sz w:val="14"/>
                <w:szCs w:val="14"/>
              </w:rPr>
            </w:pPr>
          </w:p>
        </w:tc>
        <w:tc>
          <w:tcPr>
            <w:tcW w:w="1064" w:type="dxa"/>
            <w:shd w:val="clear" w:color="auto" w:fill="auto"/>
          </w:tcPr>
          <w:p w14:paraId="17C51850"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7F4264B7"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tcBorders>
              <w:top w:val="single" w:sz="4" w:space="0" w:color="auto"/>
              <w:left w:val="nil"/>
              <w:right w:val="nil"/>
            </w:tcBorders>
            <w:shd w:val="clear" w:color="auto" w:fill="auto"/>
          </w:tcPr>
          <w:p w14:paraId="311EAE67"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tcBorders>
              <w:top w:val="single" w:sz="4" w:space="0" w:color="auto"/>
              <w:left w:val="nil"/>
              <w:right w:val="nil"/>
            </w:tcBorders>
            <w:shd w:val="clear" w:color="auto" w:fill="auto"/>
          </w:tcPr>
          <w:p w14:paraId="01156AE1"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tcBorders>
              <w:top w:val="single" w:sz="4" w:space="0" w:color="auto"/>
              <w:left w:val="nil"/>
            </w:tcBorders>
            <w:shd w:val="clear" w:color="auto" w:fill="auto"/>
          </w:tcPr>
          <w:p w14:paraId="2DB1FBD4"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tcBorders>
              <w:top w:val="single" w:sz="4" w:space="0" w:color="auto"/>
              <w:right w:val="nil"/>
            </w:tcBorders>
            <w:shd w:val="clear" w:color="auto" w:fill="auto"/>
          </w:tcPr>
          <w:p w14:paraId="2016AF70"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94" w:type="dxa"/>
            <w:tcBorders>
              <w:top w:val="single" w:sz="4" w:space="0" w:color="auto"/>
              <w:left w:val="nil"/>
              <w:right w:val="nil"/>
            </w:tcBorders>
            <w:shd w:val="clear" w:color="auto" w:fill="auto"/>
          </w:tcPr>
          <w:p w14:paraId="21551C3E"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p>
        </w:tc>
        <w:tc>
          <w:tcPr>
            <w:tcW w:w="1074" w:type="dxa"/>
            <w:tcBorders>
              <w:top w:val="single" w:sz="4" w:space="0" w:color="auto"/>
              <w:left w:val="nil"/>
              <w:right w:val="nil"/>
            </w:tcBorders>
            <w:shd w:val="clear" w:color="auto" w:fill="auto"/>
          </w:tcPr>
          <w:p w14:paraId="5929295C"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p>
        </w:tc>
      </w:tr>
      <w:tr w:rsidR="00DF528E" w:rsidRPr="002D2F67" w14:paraId="13C9789A" w14:textId="77777777">
        <w:trPr>
          <w:cantSplit/>
        </w:trPr>
        <w:tc>
          <w:tcPr>
            <w:tcW w:w="3282" w:type="dxa"/>
            <w:shd w:val="clear" w:color="auto" w:fill="auto"/>
            <w:hideMark/>
          </w:tcPr>
          <w:p w14:paraId="67D202C3" w14:textId="77777777" w:rsidR="00DF528E" w:rsidRPr="002D2F67" w:rsidRDefault="00DF528E">
            <w:pPr>
              <w:ind w:left="-73"/>
              <w:rPr>
                <w:rFonts w:ascii="Arial" w:hAnsi="Arial" w:cs="Arial"/>
                <w:color w:val="000000"/>
                <w:sz w:val="14"/>
                <w:szCs w:val="14"/>
              </w:rPr>
            </w:pPr>
            <w:r w:rsidRPr="002D2F67">
              <w:rPr>
                <w:rFonts w:ascii="Arial" w:hAnsi="Arial" w:cs="Arial"/>
                <w:color w:val="000000"/>
                <w:sz w:val="14"/>
                <w:szCs w:val="14"/>
              </w:rPr>
              <w:t>Total investment in joint ventures</w:t>
            </w:r>
          </w:p>
        </w:tc>
        <w:tc>
          <w:tcPr>
            <w:tcW w:w="3011" w:type="dxa"/>
            <w:shd w:val="clear" w:color="auto" w:fill="auto"/>
          </w:tcPr>
          <w:p w14:paraId="7EC0F3F0" w14:textId="77777777" w:rsidR="00DF528E" w:rsidRPr="002D2F67" w:rsidRDefault="00DF528E">
            <w:pPr>
              <w:jc w:val="center"/>
              <w:rPr>
                <w:rFonts w:ascii="Arial" w:hAnsi="Arial" w:cs="Arial"/>
                <w:color w:val="000000"/>
                <w:sz w:val="14"/>
                <w:szCs w:val="14"/>
              </w:rPr>
            </w:pPr>
          </w:p>
        </w:tc>
        <w:tc>
          <w:tcPr>
            <w:tcW w:w="1064" w:type="dxa"/>
            <w:shd w:val="clear" w:color="auto" w:fill="auto"/>
          </w:tcPr>
          <w:p w14:paraId="4B5B3D1E"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shd w:val="clear" w:color="auto" w:fill="auto"/>
          </w:tcPr>
          <w:p w14:paraId="0644765A" w14:textId="77777777" w:rsidR="00DF528E" w:rsidRPr="002D2F67" w:rsidRDefault="00DF528E">
            <w:pPr>
              <w:pStyle w:val="acctfourfigures"/>
              <w:tabs>
                <w:tab w:val="left" w:pos="720"/>
              </w:tabs>
              <w:spacing w:line="240" w:lineRule="auto"/>
              <w:ind w:right="-72"/>
              <w:jc w:val="right"/>
              <w:rPr>
                <w:rFonts w:ascii="Arial" w:hAnsi="Arial" w:cs="Arial"/>
                <w:color w:val="000000"/>
                <w:sz w:val="14"/>
                <w:szCs w:val="14"/>
                <w:lang w:bidi="th-TH"/>
              </w:rPr>
            </w:pPr>
          </w:p>
        </w:tc>
        <w:tc>
          <w:tcPr>
            <w:tcW w:w="1065" w:type="dxa"/>
            <w:tcBorders>
              <w:top w:val="nil"/>
              <w:left w:val="nil"/>
              <w:bottom w:val="single" w:sz="4" w:space="0" w:color="auto"/>
              <w:right w:val="nil"/>
            </w:tcBorders>
            <w:shd w:val="clear" w:color="auto" w:fill="auto"/>
          </w:tcPr>
          <w:p w14:paraId="0B7D14FE" w14:textId="6DD48B55" w:rsidR="00DF528E" w:rsidRPr="002D2F67" w:rsidRDefault="00CD5714">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221</w:t>
            </w:r>
            <w:r w:rsidR="00DF528E" w:rsidRPr="002D2F67">
              <w:rPr>
                <w:rFonts w:ascii="Arial" w:hAnsi="Arial" w:cs="Arial"/>
                <w:color w:val="000000"/>
                <w:sz w:val="14"/>
                <w:szCs w:val="14"/>
                <w:lang w:bidi="th-TH"/>
              </w:rPr>
              <w:t>,</w:t>
            </w:r>
            <w:r w:rsidRPr="00CD5714">
              <w:rPr>
                <w:rFonts w:ascii="Arial" w:hAnsi="Arial" w:cs="Arial"/>
                <w:color w:val="000000"/>
                <w:sz w:val="14"/>
                <w:szCs w:val="14"/>
                <w:lang w:val="en-GB" w:bidi="th-TH"/>
              </w:rPr>
              <w:t>899</w:t>
            </w:r>
          </w:p>
        </w:tc>
        <w:tc>
          <w:tcPr>
            <w:tcW w:w="1065" w:type="dxa"/>
            <w:tcBorders>
              <w:top w:val="nil"/>
              <w:left w:val="nil"/>
              <w:bottom w:val="single" w:sz="4" w:space="0" w:color="auto"/>
              <w:right w:val="nil"/>
            </w:tcBorders>
            <w:shd w:val="clear" w:color="auto" w:fill="auto"/>
          </w:tcPr>
          <w:p w14:paraId="589B13E3" w14:textId="46042C0F" w:rsidR="00DF528E" w:rsidRPr="002D2F67" w:rsidRDefault="00CD5714">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121</w:t>
            </w:r>
            <w:r w:rsidR="00DF528E" w:rsidRPr="002D2F67">
              <w:rPr>
                <w:rFonts w:ascii="Arial" w:hAnsi="Arial" w:cs="Arial"/>
                <w:color w:val="000000"/>
                <w:sz w:val="14"/>
                <w:szCs w:val="14"/>
                <w:lang w:bidi="th-TH"/>
              </w:rPr>
              <w:t>,</w:t>
            </w:r>
            <w:r w:rsidRPr="00CD5714">
              <w:rPr>
                <w:rFonts w:ascii="Arial" w:hAnsi="Arial" w:cs="Arial"/>
                <w:color w:val="000000"/>
                <w:sz w:val="14"/>
                <w:szCs w:val="14"/>
                <w:lang w:val="en-GB" w:bidi="th-TH"/>
              </w:rPr>
              <w:t>401</w:t>
            </w:r>
          </w:p>
        </w:tc>
        <w:tc>
          <w:tcPr>
            <w:tcW w:w="1065" w:type="dxa"/>
            <w:tcBorders>
              <w:top w:val="nil"/>
              <w:left w:val="nil"/>
              <w:bottom w:val="single" w:sz="4" w:space="0" w:color="auto"/>
            </w:tcBorders>
            <w:shd w:val="clear" w:color="auto" w:fill="auto"/>
            <w:vAlign w:val="bottom"/>
          </w:tcPr>
          <w:p w14:paraId="5056CD78" w14:textId="4E56574A" w:rsidR="00DF528E" w:rsidRPr="002D2F67" w:rsidRDefault="00CD5714">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497</w:t>
            </w:r>
            <w:r w:rsidR="00DF528E" w:rsidRPr="002D2F67">
              <w:rPr>
                <w:rFonts w:ascii="Arial" w:hAnsi="Arial" w:cs="Arial"/>
                <w:color w:val="000000"/>
                <w:sz w:val="14"/>
                <w:szCs w:val="14"/>
                <w:lang w:bidi="th-TH"/>
              </w:rPr>
              <w:t>,</w:t>
            </w:r>
            <w:r w:rsidRPr="00CD5714">
              <w:rPr>
                <w:rFonts w:ascii="Arial" w:hAnsi="Arial" w:cs="Arial"/>
                <w:color w:val="000000"/>
                <w:sz w:val="14"/>
                <w:szCs w:val="14"/>
                <w:lang w:val="en-GB" w:bidi="th-TH"/>
              </w:rPr>
              <w:t>933</w:t>
            </w:r>
          </w:p>
        </w:tc>
        <w:tc>
          <w:tcPr>
            <w:tcW w:w="1065" w:type="dxa"/>
            <w:tcBorders>
              <w:top w:val="nil"/>
              <w:bottom w:val="single" w:sz="4" w:space="0" w:color="auto"/>
              <w:right w:val="nil"/>
            </w:tcBorders>
            <w:shd w:val="clear" w:color="auto" w:fill="auto"/>
            <w:vAlign w:val="bottom"/>
          </w:tcPr>
          <w:p w14:paraId="2D1564EA" w14:textId="6AE52BB7" w:rsidR="00DF528E" w:rsidRPr="002D2F67" w:rsidRDefault="00CD5714">
            <w:pPr>
              <w:pStyle w:val="acctfourfigures"/>
              <w:tabs>
                <w:tab w:val="left" w:pos="720"/>
              </w:tabs>
              <w:spacing w:line="240" w:lineRule="auto"/>
              <w:ind w:right="-72"/>
              <w:jc w:val="right"/>
              <w:rPr>
                <w:rFonts w:ascii="Arial" w:hAnsi="Arial" w:cs="Arial"/>
                <w:color w:val="000000"/>
                <w:sz w:val="14"/>
                <w:szCs w:val="14"/>
                <w:lang w:bidi="th-TH"/>
              </w:rPr>
            </w:pPr>
            <w:r w:rsidRPr="00CD5714">
              <w:rPr>
                <w:rFonts w:ascii="Arial" w:hAnsi="Arial" w:cs="Arial"/>
                <w:color w:val="000000"/>
                <w:sz w:val="14"/>
                <w:szCs w:val="14"/>
                <w:lang w:val="en-GB" w:bidi="th-TH"/>
              </w:rPr>
              <w:t>431</w:t>
            </w:r>
            <w:r w:rsidR="00DF528E" w:rsidRPr="002D2F67">
              <w:rPr>
                <w:rFonts w:ascii="Arial" w:hAnsi="Arial" w:cs="Arial"/>
                <w:color w:val="000000"/>
                <w:sz w:val="14"/>
                <w:szCs w:val="14"/>
                <w:lang w:bidi="th-TH"/>
              </w:rPr>
              <w:t>,</w:t>
            </w:r>
            <w:r w:rsidRPr="00CD5714">
              <w:rPr>
                <w:rFonts w:ascii="Arial" w:hAnsi="Arial" w:cs="Arial"/>
                <w:color w:val="000000"/>
                <w:sz w:val="14"/>
                <w:szCs w:val="14"/>
                <w:lang w:val="en-GB" w:bidi="th-TH"/>
              </w:rPr>
              <w:t>007</w:t>
            </w:r>
          </w:p>
        </w:tc>
        <w:tc>
          <w:tcPr>
            <w:tcW w:w="1094" w:type="dxa"/>
            <w:tcBorders>
              <w:top w:val="nil"/>
              <w:left w:val="nil"/>
              <w:bottom w:val="single" w:sz="4" w:space="0" w:color="auto"/>
              <w:right w:val="nil"/>
            </w:tcBorders>
            <w:shd w:val="clear" w:color="auto" w:fill="auto"/>
            <w:vAlign w:val="bottom"/>
          </w:tcPr>
          <w:p w14:paraId="28CD2333"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r w:rsidRPr="002D2F67">
              <w:rPr>
                <w:rFonts w:ascii="Arial" w:hAnsi="Arial" w:cs="Arial"/>
                <w:color w:val="000000"/>
                <w:sz w:val="14"/>
                <w:szCs w:val="14"/>
                <w:lang w:bidi="th-TH"/>
              </w:rPr>
              <w:t>-</w:t>
            </w:r>
          </w:p>
        </w:tc>
        <w:tc>
          <w:tcPr>
            <w:tcW w:w="1074" w:type="dxa"/>
            <w:tcBorders>
              <w:top w:val="nil"/>
              <w:left w:val="nil"/>
              <w:bottom w:val="single" w:sz="4" w:space="0" w:color="auto"/>
              <w:right w:val="nil"/>
            </w:tcBorders>
            <w:shd w:val="clear" w:color="auto" w:fill="auto"/>
            <w:vAlign w:val="bottom"/>
            <w:hideMark/>
          </w:tcPr>
          <w:p w14:paraId="60CC2C39" w14:textId="77777777" w:rsidR="00DF528E" w:rsidRPr="002D2F67" w:rsidRDefault="00DF528E">
            <w:pPr>
              <w:pStyle w:val="acctfourfigures"/>
              <w:tabs>
                <w:tab w:val="decimal" w:pos="533"/>
              </w:tabs>
              <w:spacing w:line="240" w:lineRule="auto"/>
              <w:ind w:right="-72"/>
              <w:jc w:val="right"/>
              <w:rPr>
                <w:rFonts w:ascii="Arial" w:hAnsi="Arial" w:cs="Arial"/>
                <w:color w:val="000000"/>
                <w:sz w:val="14"/>
                <w:szCs w:val="14"/>
                <w:lang w:bidi="th-TH"/>
              </w:rPr>
            </w:pPr>
            <w:r w:rsidRPr="002D2F67">
              <w:rPr>
                <w:rFonts w:ascii="Arial" w:hAnsi="Arial" w:cs="Arial"/>
                <w:color w:val="000000"/>
                <w:sz w:val="14"/>
                <w:szCs w:val="14"/>
                <w:lang w:bidi="th-TH"/>
              </w:rPr>
              <w:t>-</w:t>
            </w:r>
          </w:p>
        </w:tc>
      </w:tr>
    </w:tbl>
    <w:p w14:paraId="33246305" w14:textId="77777777" w:rsidR="00DF528E" w:rsidRPr="002D2F67" w:rsidRDefault="00DF528E" w:rsidP="00DF528E">
      <w:pPr>
        <w:pStyle w:val="BodyText"/>
        <w:tabs>
          <w:tab w:val="left" w:pos="567"/>
        </w:tabs>
        <w:ind w:left="540"/>
        <w:jc w:val="thaiDistribute"/>
        <w:rPr>
          <w:rFonts w:ascii="Arial" w:hAnsi="Arial" w:cs="Arial"/>
          <w:color w:val="000000"/>
          <w:lang w:val="en-GB"/>
        </w:rPr>
      </w:pPr>
    </w:p>
    <w:tbl>
      <w:tblPr>
        <w:tblW w:w="14832" w:type="dxa"/>
        <w:tblInd w:w="666" w:type="dxa"/>
        <w:tblLayout w:type="fixed"/>
        <w:tblLook w:val="0000" w:firstRow="0" w:lastRow="0" w:firstColumn="0" w:lastColumn="0" w:noHBand="0" w:noVBand="0"/>
      </w:tblPr>
      <w:tblGrid>
        <w:gridCol w:w="3261"/>
        <w:gridCol w:w="5136"/>
        <w:gridCol w:w="1068"/>
        <w:gridCol w:w="1068"/>
        <w:gridCol w:w="1068"/>
        <w:gridCol w:w="1068"/>
        <w:gridCol w:w="1068"/>
        <w:gridCol w:w="1095"/>
      </w:tblGrid>
      <w:tr w:rsidR="00DF528E" w:rsidRPr="002D2F67" w14:paraId="05130B96" w14:textId="77777777">
        <w:trPr>
          <w:cantSplit/>
          <w:trHeight w:val="57"/>
        </w:trPr>
        <w:tc>
          <w:tcPr>
            <w:tcW w:w="3261" w:type="dxa"/>
            <w:shd w:val="clear" w:color="auto" w:fill="auto"/>
          </w:tcPr>
          <w:p w14:paraId="15F77DB4" w14:textId="77777777" w:rsidR="00DF528E" w:rsidRPr="002D2F67" w:rsidRDefault="00DF528E">
            <w:pPr>
              <w:ind w:left="-105"/>
              <w:rPr>
                <w:rFonts w:ascii="Arial" w:eastAsia="Arial Unicode MS" w:hAnsi="Arial" w:cs="Arial"/>
                <w:b/>
                <w:bCs/>
                <w:color w:val="000000"/>
                <w:sz w:val="14"/>
                <w:szCs w:val="14"/>
                <w:cs/>
              </w:rPr>
            </w:pPr>
          </w:p>
        </w:tc>
        <w:tc>
          <w:tcPr>
            <w:tcW w:w="5136" w:type="dxa"/>
            <w:shd w:val="clear" w:color="auto" w:fill="auto"/>
          </w:tcPr>
          <w:p w14:paraId="529E0F6C" w14:textId="77777777" w:rsidR="00DF528E" w:rsidRPr="002D2F67" w:rsidRDefault="00DF528E">
            <w:pPr>
              <w:pStyle w:val="acctfourfigures"/>
              <w:tabs>
                <w:tab w:val="clear" w:pos="765"/>
              </w:tabs>
              <w:spacing w:line="240" w:lineRule="auto"/>
              <w:jc w:val="center"/>
              <w:rPr>
                <w:rFonts w:ascii="Arial" w:eastAsia="Arial Unicode MS" w:hAnsi="Arial" w:cs="Arial"/>
                <w:b/>
                <w:bCs/>
                <w:color w:val="000000"/>
                <w:sz w:val="14"/>
                <w:szCs w:val="14"/>
                <w:cs/>
                <w:lang w:bidi="th-TH"/>
              </w:rPr>
            </w:pPr>
          </w:p>
        </w:tc>
        <w:tc>
          <w:tcPr>
            <w:tcW w:w="6435" w:type="dxa"/>
            <w:gridSpan w:val="6"/>
            <w:tcBorders>
              <w:bottom w:val="single" w:sz="4" w:space="0" w:color="auto"/>
            </w:tcBorders>
            <w:shd w:val="clear" w:color="auto" w:fill="auto"/>
            <w:vAlign w:val="center"/>
          </w:tcPr>
          <w:p w14:paraId="14C28272" w14:textId="77777777" w:rsidR="00DF528E" w:rsidRPr="002D2F67" w:rsidRDefault="00DF528E">
            <w:pPr>
              <w:pStyle w:val="acctfourfigures"/>
              <w:tabs>
                <w:tab w:val="clear" w:pos="765"/>
              </w:tabs>
              <w:spacing w:line="240" w:lineRule="auto"/>
              <w:ind w:right="-97"/>
              <w:jc w:val="right"/>
              <w:rPr>
                <w:rFonts w:ascii="Arial" w:eastAsia="Arial Unicode MS" w:hAnsi="Arial" w:cs="Arial"/>
                <w:b/>
                <w:bCs/>
                <w:color w:val="000000"/>
                <w:sz w:val="14"/>
                <w:szCs w:val="14"/>
                <w:cs/>
                <w:lang w:bidi="th-TH"/>
              </w:rPr>
            </w:pPr>
            <w:r w:rsidRPr="002D2F67">
              <w:rPr>
                <w:rFonts w:ascii="Arial" w:hAnsi="Arial" w:cs="Arial"/>
                <w:b/>
                <w:bCs/>
                <w:color w:val="000000"/>
                <w:sz w:val="14"/>
                <w:szCs w:val="14"/>
                <w:lang w:bidi="th-TH"/>
              </w:rPr>
              <w:t>Separate financial statements</w:t>
            </w:r>
          </w:p>
        </w:tc>
      </w:tr>
      <w:tr w:rsidR="00DF528E" w:rsidRPr="002D2F67" w14:paraId="12E2A26E" w14:textId="77777777">
        <w:trPr>
          <w:cantSplit/>
        </w:trPr>
        <w:tc>
          <w:tcPr>
            <w:tcW w:w="3261" w:type="dxa"/>
            <w:shd w:val="clear" w:color="auto" w:fill="auto"/>
          </w:tcPr>
          <w:p w14:paraId="46B02780" w14:textId="77777777" w:rsidR="00DF528E" w:rsidRPr="002D2F67" w:rsidRDefault="00DF528E">
            <w:pPr>
              <w:ind w:left="-105"/>
              <w:rPr>
                <w:rFonts w:ascii="Arial" w:eastAsia="Arial Unicode MS" w:hAnsi="Arial" w:cs="Arial"/>
                <w:b/>
                <w:bCs/>
                <w:color w:val="000000"/>
                <w:sz w:val="14"/>
                <w:szCs w:val="14"/>
                <w:cs/>
              </w:rPr>
            </w:pPr>
          </w:p>
        </w:tc>
        <w:tc>
          <w:tcPr>
            <w:tcW w:w="5136" w:type="dxa"/>
            <w:shd w:val="clear" w:color="auto" w:fill="auto"/>
          </w:tcPr>
          <w:p w14:paraId="6EE82134" w14:textId="77777777" w:rsidR="00DF528E" w:rsidRPr="002D2F67" w:rsidRDefault="00DF528E">
            <w:pPr>
              <w:pStyle w:val="acctfourfigures"/>
              <w:tabs>
                <w:tab w:val="clear" w:pos="765"/>
              </w:tabs>
              <w:spacing w:line="240" w:lineRule="auto"/>
              <w:jc w:val="center"/>
              <w:rPr>
                <w:rFonts w:ascii="Arial" w:eastAsia="Arial Unicode MS" w:hAnsi="Arial" w:cs="Arial"/>
                <w:b/>
                <w:bCs/>
                <w:color w:val="000000"/>
                <w:sz w:val="14"/>
                <w:szCs w:val="14"/>
                <w:cs/>
                <w:lang w:bidi="th-TH"/>
              </w:rPr>
            </w:pPr>
          </w:p>
        </w:tc>
        <w:tc>
          <w:tcPr>
            <w:tcW w:w="2136" w:type="dxa"/>
            <w:gridSpan w:val="2"/>
            <w:tcBorders>
              <w:bottom w:val="single" w:sz="4" w:space="0" w:color="auto"/>
            </w:tcBorders>
            <w:shd w:val="clear" w:color="auto" w:fill="auto"/>
          </w:tcPr>
          <w:p w14:paraId="5A4EC193" w14:textId="77777777" w:rsidR="00DF528E" w:rsidRPr="002D2F67" w:rsidRDefault="00DF528E">
            <w:pPr>
              <w:pStyle w:val="acctfourfigures"/>
              <w:tabs>
                <w:tab w:val="clear" w:pos="765"/>
              </w:tabs>
              <w:spacing w:line="240" w:lineRule="auto"/>
              <w:ind w:right="-72"/>
              <w:jc w:val="center"/>
              <w:rPr>
                <w:rFonts w:ascii="Arial" w:eastAsia="Arial Unicode MS" w:hAnsi="Arial" w:cs="Arial"/>
                <w:b/>
                <w:bCs/>
                <w:color w:val="000000"/>
                <w:sz w:val="14"/>
                <w:szCs w:val="14"/>
                <w:cs/>
                <w:lang w:bidi="th-TH"/>
              </w:rPr>
            </w:pPr>
            <w:r w:rsidRPr="002D2F67">
              <w:rPr>
                <w:rFonts w:ascii="Arial" w:eastAsia="Arial Unicode MS" w:hAnsi="Arial" w:cs="Arial"/>
                <w:b/>
                <w:bCs/>
                <w:color w:val="000000"/>
                <w:sz w:val="14"/>
                <w:szCs w:val="14"/>
                <w:lang w:bidi="th-TH"/>
              </w:rPr>
              <w:t>Portion of ordinary shares held by the Company</w:t>
            </w:r>
          </w:p>
        </w:tc>
        <w:tc>
          <w:tcPr>
            <w:tcW w:w="2136" w:type="dxa"/>
            <w:gridSpan w:val="2"/>
            <w:tcBorders>
              <w:bottom w:val="single" w:sz="4" w:space="0" w:color="auto"/>
            </w:tcBorders>
            <w:shd w:val="clear" w:color="auto" w:fill="auto"/>
            <w:vAlign w:val="bottom"/>
          </w:tcPr>
          <w:p w14:paraId="1A64FDA5" w14:textId="77777777" w:rsidR="00DF528E" w:rsidRPr="002D2F67" w:rsidRDefault="00DF528E">
            <w:pPr>
              <w:pStyle w:val="acctfourfigures"/>
              <w:tabs>
                <w:tab w:val="clear" w:pos="765"/>
              </w:tabs>
              <w:spacing w:line="240" w:lineRule="auto"/>
              <w:ind w:right="-72"/>
              <w:jc w:val="center"/>
              <w:rPr>
                <w:rFonts w:ascii="Arial" w:eastAsia="Arial Unicode MS" w:hAnsi="Arial" w:cs="Arial"/>
                <w:b/>
                <w:bCs/>
                <w:color w:val="000000"/>
                <w:sz w:val="14"/>
                <w:szCs w:val="14"/>
                <w:cs/>
                <w:lang w:bidi="th-TH"/>
              </w:rPr>
            </w:pPr>
            <w:r w:rsidRPr="002D2F67">
              <w:rPr>
                <w:rFonts w:ascii="Arial" w:eastAsia="Arial Unicode MS" w:hAnsi="Arial" w:cs="Arial"/>
                <w:b/>
                <w:bCs/>
                <w:color w:val="000000"/>
                <w:sz w:val="14"/>
                <w:szCs w:val="14"/>
                <w:lang w:bidi="th-TH"/>
              </w:rPr>
              <w:t>Cost method</w:t>
            </w:r>
          </w:p>
        </w:tc>
        <w:tc>
          <w:tcPr>
            <w:tcW w:w="2163" w:type="dxa"/>
            <w:gridSpan w:val="2"/>
            <w:tcBorders>
              <w:bottom w:val="single" w:sz="4" w:space="0" w:color="auto"/>
            </w:tcBorders>
            <w:shd w:val="clear" w:color="auto" w:fill="auto"/>
            <w:vAlign w:val="bottom"/>
          </w:tcPr>
          <w:p w14:paraId="2F63633B" w14:textId="77777777" w:rsidR="00DF528E" w:rsidRPr="002D2F67" w:rsidRDefault="00DF528E">
            <w:pPr>
              <w:pStyle w:val="acctfourfigures"/>
              <w:tabs>
                <w:tab w:val="clear" w:pos="765"/>
              </w:tabs>
              <w:spacing w:line="240" w:lineRule="auto"/>
              <w:ind w:right="-72"/>
              <w:jc w:val="center"/>
              <w:rPr>
                <w:rFonts w:ascii="Arial" w:eastAsia="Arial Unicode MS" w:hAnsi="Arial" w:cs="Arial"/>
                <w:b/>
                <w:bCs/>
                <w:color w:val="000000"/>
                <w:sz w:val="14"/>
                <w:szCs w:val="14"/>
                <w:cs/>
                <w:lang w:bidi="th-TH"/>
              </w:rPr>
            </w:pPr>
            <w:r w:rsidRPr="002D2F67">
              <w:rPr>
                <w:rFonts w:ascii="Arial" w:eastAsia="Arial Unicode MS" w:hAnsi="Arial" w:cs="Arial"/>
                <w:b/>
                <w:bCs/>
                <w:color w:val="000000"/>
                <w:sz w:val="14"/>
                <w:szCs w:val="14"/>
                <w:lang w:bidi="th-TH"/>
              </w:rPr>
              <w:t>Dividend for the year</w:t>
            </w:r>
          </w:p>
        </w:tc>
      </w:tr>
      <w:tr w:rsidR="00DF528E" w:rsidRPr="002D2F67" w14:paraId="1193C6E7" w14:textId="77777777">
        <w:trPr>
          <w:cantSplit/>
        </w:trPr>
        <w:tc>
          <w:tcPr>
            <w:tcW w:w="3261" w:type="dxa"/>
            <w:shd w:val="clear" w:color="auto" w:fill="auto"/>
          </w:tcPr>
          <w:p w14:paraId="1B7E2131" w14:textId="77777777" w:rsidR="00DF528E" w:rsidRPr="002D2F67" w:rsidRDefault="00DF528E">
            <w:pPr>
              <w:ind w:left="-105"/>
              <w:rPr>
                <w:rFonts w:ascii="Arial" w:eastAsia="Arial Unicode MS" w:hAnsi="Arial" w:cs="Arial"/>
                <w:b/>
                <w:bCs/>
                <w:color w:val="000000"/>
                <w:sz w:val="14"/>
                <w:szCs w:val="14"/>
                <w:cs/>
              </w:rPr>
            </w:pPr>
          </w:p>
        </w:tc>
        <w:tc>
          <w:tcPr>
            <w:tcW w:w="5136" w:type="dxa"/>
            <w:shd w:val="clear" w:color="auto" w:fill="auto"/>
          </w:tcPr>
          <w:p w14:paraId="50CC165D" w14:textId="77777777" w:rsidR="00DF528E" w:rsidRPr="002D2F67" w:rsidRDefault="00DF528E">
            <w:pPr>
              <w:pStyle w:val="acctfourfigures"/>
              <w:tabs>
                <w:tab w:val="clear" w:pos="765"/>
              </w:tabs>
              <w:spacing w:line="240" w:lineRule="auto"/>
              <w:jc w:val="center"/>
              <w:rPr>
                <w:rFonts w:ascii="Arial" w:eastAsia="Arial Unicode MS" w:hAnsi="Arial" w:cs="Arial"/>
                <w:b/>
                <w:bCs/>
                <w:color w:val="000000"/>
                <w:sz w:val="14"/>
                <w:szCs w:val="14"/>
                <w:cs/>
                <w:lang w:bidi="th-TH"/>
              </w:rPr>
            </w:pPr>
          </w:p>
        </w:tc>
        <w:tc>
          <w:tcPr>
            <w:tcW w:w="1068" w:type="dxa"/>
            <w:tcBorders>
              <w:top w:val="single" w:sz="4" w:space="0" w:color="auto"/>
              <w:left w:val="nil"/>
              <w:right w:val="nil"/>
            </w:tcBorders>
            <w:shd w:val="clear" w:color="auto" w:fill="auto"/>
            <w:vAlign w:val="bottom"/>
          </w:tcPr>
          <w:p w14:paraId="4082C527" w14:textId="198FC603" w:rsidR="00DF528E" w:rsidRPr="002D2F67" w:rsidRDefault="00CD5714">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DF528E" w:rsidRPr="002D2F67">
              <w:rPr>
                <w:rFonts w:ascii="Arial" w:hAnsi="Arial" w:cs="Arial"/>
                <w:b/>
                <w:bCs/>
                <w:color w:val="000000"/>
                <w:sz w:val="14"/>
                <w:szCs w:val="14"/>
                <w:lang w:bidi="th-TH"/>
              </w:rPr>
              <w:t xml:space="preserve"> December</w:t>
            </w:r>
          </w:p>
          <w:p w14:paraId="73D23B10" w14:textId="36B2749F" w:rsidR="00DF528E" w:rsidRPr="002D2F67" w:rsidRDefault="00CD5714">
            <w:pPr>
              <w:pStyle w:val="acctfourfigures"/>
              <w:tabs>
                <w:tab w:val="clear" w:pos="765"/>
              </w:tabs>
              <w:spacing w:line="240" w:lineRule="auto"/>
              <w:ind w:right="-72"/>
              <w:jc w:val="right"/>
              <w:rPr>
                <w:rFonts w:ascii="Arial" w:eastAsia="Arial Unicode MS" w:hAnsi="Arial" w:cs="Arial"/>
                <w:b/>
                <w:bCs/>
                <w:color w:val="000000"/>
                <w:sz w:val="14"/>
                <w:szCs w:val="14"/>
                <w:cs/>
                <w:lang w:bidi="th-TH"/>
              </w:rPr>
            </w:pPr>
            <w:r w:rsidRPr="00CD5714">
              <w:rPr>
                <w:rFonts w:ascii="Arial" w:hAnsi="Arial" w:cs="Arial"/>
                <w:b/>
                <w:bCs/>
                <w:color w:val="000000"/>
                <w:sz w:val="14"/>
                <w:szCs w:val="14"/>
                <w:lang w:val="en-GB" w:bidi="th-TH"/>
              </w:rPr>
              <w:t>2024</w:t>
            </w:r>
          </w:p>
        </w:tc>
        <w:tc>
          <w:tcPr>
            <w:tcW w:w="1068" w:type="dxa"/>
            <w:tcBorders>
              <w:top w:val="single" w:sz="4" w:space="0" w:color="auto"/>
              <w:left w:val="nil"/>
              <w:right w:val="nil"/>
            </w:tcBorders>
            <w:shd w:val="clear" w:color="auto" w:fill="auto"/>
            <w:vAlign w:val="bottom"/>
          </w:tcPr>
          <w:p w14:paraId="6330C31B" w14:textId="52FCD797" w:rsidR="00DF528E" w:rsidRPr="002D2F67" w:rsidRDefault="00CD5714">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DF528E" w:rsidRPr="002D2F67">
              <w:rPr>
                <w:rFonts w:ascii="Arial" w:hAnsi="Arial" w:cs="Arial"/>
                <w:b/>
                <w:bCs/>
                <w:color w:val="000000"/>
                <w:sz w:val="14"/>
                <w:szCs w:val="14"/>
                <w:lang w:bidi="th-TH"/>
              </w:rPr>
              <w:t xml:space="preserve"> December</w:t>
            </w:r>
          </w:p>
          <w:p w14:paraId="60B9CB08" w14:textId="776C5F13" w:rsidR="00DF528E" w:rsidRPr="002D2F67" w:rsidRDefault="00CD5714">
            <w:pPr>
              <w:pStyle w:val="acctfourfigures"/>
              <w:tabs>
                <w:tab w:val="clear" w:pos="765"/>
              </w:tabs>
              <w:spacing w:line="240" w:lineRule="auto"/>
              <w:ind w:right="-72"/>
              <w:jc w:val="right"/>
              <w:rPr>
                <w:rFonts w:ascii="Arial" w:eastAsia="Arial Unicode MS" w:hAnsi="Arial" w:cs="Arial"/>
                <w:b/>
                <w:bCs/>
                <w:color w:val="000000"/>
                <w:sz w:val="14"/>
                <w:szCs w:val="14"/>
                <w:cs/>
                <w:lang w:bidi="th-TH"/>
              </w:rPr>
            </w:pPr>
            <w:r w:rsidRPr="00CD5714">
              <w:rPr>
                <w:rFonts w:ascii="Arial" w:hAnsi="Arial" w:cs="Arial"/>
                <w:b/>
                <w:bCs/>
                <w:color w:val="000000"/>
                <w:sz w:val="14"/>
                <w:szCs w:val="14"/>
                <w:lang w:val="en-GB" w:bidi="th-TH"/>
              </w:rPr>
              <w:t>2023</w:t>
            </w:r>
          </w:p>
        </w:tc>
        <w:tc>
          <w:tcPr>
            <w:tcW w:w="1068" w:type="dxa"/>
            <w:tcBorders>
              <w:top w:val="single" w:sz="4" w:space="0" w:color="auto"/>
              <w:left w:val="nil"/>
            </w:tcBorders>
            <w:shd w:val="clear" w:color="auto" w:fill="auto"/>
            <w:vAlign w:val="bottom"/>
          </w:tcPr>
          <w:p w14:paraId="52AEE525" w14:textId="6FF4D88E" w:rsidR="00DF528E" w:rsidRPr="002D2F67" w:rsidRDefault="00CD5714">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DF528E" w:rsidRPr="002D2F67">
              <w:rPr>
                <w:rFonts w:ascii="Arial" w:hAnsi="Arial" w:cs="Arial"/>
                <w:b/>
                <w:bCs/>
                <w:color w:val="000000"/>
                <w:sz w:val="14"/>
                <w:szCs w:val="14"/>
                <w:lang w:bidi="th-TH"/>
              </w:rPr>
              <w:t xml:space="preserve"> December</w:t>
            </w:r>
          </w:p>
          <w:p w14:paraId="1A99A438" w14:textId="279DCA58" w:rsidR="00DF528E" w:rsidRPr="002D2F67" w:rsidRDefault="00CD5714">
            <w:pPr>
              <w:pStyle w:val="acctfourfigures"/>
              <w:tabs>
                <w:tab w:val="clear" w:pos="765"/>
              </w:tabs>
              <w:spacing w:line="240" w:lineRule="auto"/>
              <w:ind w:right="-72"/>
              <w:jc w:val="right"/>
              <w:rPr>
                <w:rFonts w:ascii="Arial" w:eastAsia="Arial Unicode MS" w:hAnsi="Arial" w:cs="Arial"/>
                <w:b/>
                <w:bCs/>
                <w:color w:val="000000"/>
                <w:sz w:val="14"/>
                <w:szCs w:val="14"/>
                <w:cs/>
                <w:lang w:bidi="th-TH"/>
              </w:rPr>
            </w:pPr>
            <w:r w:rsidRPr="00CD5714">
              <w:rPr>
                <w:rFonts w:ascii="Arial" w:hAnsi="Arial" w:cs="Arial"/>
                <w:b/>
                <w:bCs/>
                <w:color w:val="000000"/>
                <w:sz w:val="14"/>
                <w:szCs w:val="14"/>
                <w:lang w:val="en-GB" w:bidi="th-TH"/>
              </w:rPr>
              <w:t>2024</w:t>
            </w:r>
          </w:p>
        </w:tc>
        <w:tc>
          <w:tcPr>
            <w:tcW w:w="1068" w:type="dxa"/>
            <w:tcBorders>
              <w:top w:val="single" w:sz="4" w:space="0" w:color="auto"/>
              <w:right w:val="nil"/>
            </w:tcBorders>
            <w:shd w:val="clear" w:color="auto" w:fill="auto"/>
            <w:vAlign w:val="bottom"/>
          </w:tcPr>
          <w:p w14:paraId="133DC1C7" w14:textId="5DBF32A5" w:rsidR="00DF528E" w:rsidRPr="002D2F67" w:rsidRDefault="00CD5714">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DF528E" w:rsidRPr="002D2F67">
              <w:rPr>
                <w:rFonts w:ascii="Arial" w:hAnsi="Arial" w:cs="Arial"/>
                <w:b/>
                <w:bCs/>
                <w:color w:val="000000"/>
                <w:sz w:val="14"/>
                <w:szCs w:val="14"/>
                <w:lang w:bidi="th-TH"/>
              </w:rPr>
              <w:t xml:space="preserve"> December</w:t>
            </w:r>
          </w:p>
          <w:p w14:paraId="433FA312" w14:textId="206E6802" w:rsidR="00DF528E" w:rsidRPr="002D2F67" w:rsidRDefault="00CD5714">
            <w:pPr>
              <w:pStyle w:val="acctfourfigures"/>
              <w:tabs>
                <w:tab w:val="clear" w:pos="765"/>
              </w:tabs>
              <w:spacing w:line="240" w:lineRule="auto"/>
              <w:ind w:right="-72"/>
              <w:jc w:val="right"/>
              <w:rPr>
                <w:rFonts w:ascii="Arial" w:eastAsia="Arial Unicode MS" w:hAnsi="Arial" w:cs="Arial"/>
                <w:b/>
                <w:bCs/>
                <w:color w:val="000000"/>
                <w:sz w:val="14"/>
                <w:szCs w:val="14"/>
                <w:cs/>
                <w:lang w:bidi="th-TH"/>
              </w:rPr>
            </w:pPr>
            <w:r w:rsidRPr="00CD5714">
              <w:rPr>
                <w:rFonts w:ascii="Arial" w:hAnsi="Arial" w:cs="Arial"/>
                <w:b/>
                <w:bCs/>
                <w:color w:val="000000"/>
                <w:sz w:val="14"/>
                <w:szCs w:val="14"/>
                <w:lang w:val="en-GB" w:bidi="th-TH"/>
              </w:rPr>
              <w:t>2023</w:t>
            </w:r>
          </w:p>
        </w:tc>
        <w:tc>
          <w:tcPr>
            <w:tcW w:w="1068" w:type="dxa"/>
            <w:tcBorders>
              <w:top w:val="single" w:sz="4" w:space="0" w:color="auto"/>
              <w:left w:val="nil"/>
              <w:right w:val="nil"/>
            </w:tcBorders>
            <w:shd w:val="clear" w:color="auto" w:fill="auto"/>
            <w:vAlign w:val="bottom"/>
          </w:tcPr>
          <w:p w14:paraId="7B5FB0B8" w14:textId="6E48246E" w:rsidR="00DF528E" w:rsidRPr="002D2F67" w:rsidRDefault="00CD5714">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DF528E" w:rsidRPr="002D2F67">
              <w:rPr>
                <w:rFonts w:ascii="Arial" w:hAnsi="Arial" w:cs="Arial"/>
                <w:b/>
                <w:bCs/>
                <w:color w:val="000000"/>
                <w:sz w:val="14"/>
                <w:szCs w:val="14"/>
                <w:lang w:bidi="th-TH"/>
              </w:rPr>
              <w:t xml:space="preserve"> December</w:t>
            </w:r>
          </w:p>
          <w:p w14:paraId="210B721D" w14:textId="1AE97054" w:rsidR="00DF528E" w:rsidRPr="002D2F67" w:rsidRDefault="00CD5714">
            <w:pPr>
              <w:pStyle w:val="acctfourfigures"/>
              <w:tabs>
                <w:tab w:val="clear" w:pos="765"/>
              </w:tabs>
              <w:spacing w:line="240" w:lineRule="auto"/>
              <w:ind w:right="-72"/>
              <w:jc w:val="right"/>
              <w:rPr>
                <w:rFonts w:ascii="Arial" w:eastAsia="Arial Unicode MS" w:hAnsi="Arial" w:cs="Arial"/>
                <w:b/>
                <w:bCs/>
                <w:color w:val="000000"/>
                <w:sz w:val="14"/>
                <w:szCs w:val="14"/>
                <w:cs/>
                <w:lang w:bidi="th-TH"/>
              </w:rPr>
            </w:pPr>
            <w:r w:rsidRPr="00CD5714">
              <w:rPr>
                <w:rFonts w:ascii="Arial" w:hAnsi="Arial" w:cs="Arial"/>
                <w:b/>
                <w:bCs/>
                <w:color w:val="000000"/>
                <w:sz w:val="14"/>
                <w:szCs w:val="14"/>
                <w:lang w:val="en-GB" w:bidi="th-TH"/>
              </w:rPr>
              <w:t>2024</w:t>
            </w:r>
          </w:p>
        </w:tc>
        <w:tc>
          <w:tcPr>
            <w:tcW w:w="1095" w:type="dxa"/>
            <w:tcBorders>
              <w:top w:val="single" w:sz="4" w:space="0" w:color="auto"/>
              <w:left w:val="nil"/>
              <w:right w:val="nil"/>
            </w:tcBorders>
            <w:shd w:val="clear" w:color="auto" w:fill="auto"/>
            <w:vAlign w:val="bottom"/>
          </w:tcPr>
          <w:p w14:paraId="4F259255" w14:textId="09BA14F9" w:rsidR="00DF528E" w:rsidRPr="002D2F67" w:rsidRDefault="00CD5714">
            <w:pPr>
              <w:pStyle w:val="acctfourfigures"/>
              <w:tabs>
                <w:tab w:val="clear" w:pos="765"/>
              </w:tabs>
              <w:spacing w:line="240" w:lineRule="auto"/>
              <w:ind w:right="-58"/>
              <w:jc w:val="right"/>
              <w:rPr>
                <w:rFonts w:ascii="Arial" w:hAnsi="Arial" w:cs="Arial"/>
                <w:b/>
                <w:bCs/>
                <w:color w:val="000000"/>
                <w:sz w:val="14"/>
                <w:szCs w:val="14"/>
                <w:lang w:bidi="th-TH"/>
              </w:rPr>
            </w:pPr>
            <w:r w:rsidRPr="00CD5714">
              <w:rPr>
                <w:rFonts w:ascii="Arial" w:hAnsi="Arial" w:cs="Arial"/>
                <w:b/>
                <w:bCs/>
                <w:color w:val="000000"/>
                <w:sz w:val="14"/>
                <w:szCs w:val="14"/>
                <w:lang w:val="en-GB" w:bidi="th-TH"/>
              </w:rPr>
              <w:t>31</w:t>
            </w:r>
            <w:r w:rsidR="00DF528E" w:rsidRPr="002D2F67">
              <w:rPr>
                <w:rFonts w:ascii="Arial" w:hAnsi="Arial" w:cs="Arial"/>
                <w:b/>
                <w:bCs/>
                <w:color w:val="000000"/>
                <w:sz w:val="14"/>
                <w:szCs w:val="14"/>
                <w:lang w:bidi="th-TH"/>
              </w:rPr>
              <w:t xml:space="preserve"> December</w:t>
            </w:r>
          </w:p>
          <w:p w14:paraId="6F6BB1E0" w14:textId="581E93D5" w:rsidR="00DF528E" w:rsidRPr="002D2F67" w:rsidRDefault="00CD5714">
            <w:pPr>
              <w:pStyle w:val="acctfourfigures"/>
              <w:tabs>
                <w:tab w:val="clear" w:pos="765"/>
              </w:tabs>
              <w:spacing w:line="240" w:lineRule="auto"/>
              <w:ind w:right="-72"/>
              <w:jc w:val="right"/>
              <w:rPr>
                <w:rFonts w:ascii="Arial" w:eastAsia="Arial Unicode MS" w:hAnsi="Arial" w:cs="Arial"/>
                <w:b/>
                <w:bCs/>
                <w:color w:val="000000"/>
                <w:sz w:val="14"/>
                <w:szCs w:val="14"/>
                <w:cs/>
                <w:lang w:bidi="th-TH"/>
              </w:rPr>
            </w:pPr>
            <w:r w:rsidRPr="00CD5714">
              <w:rPr>
                <w:rFonts w:ascii="Arial" w:hAnsi="Arial" w:cs="Arial"/>
                <w:b/>
                <w:bCs/>
                <w:color w:val="000000"/>
                <w:sz w:val="14"/>
                <w:szCs w:val="14"/>
                <w:lang w:val="en-GB" w:bidi="th-TH"/>
              </w:rPr>
              <w:t>2023</w:t>
            </w:r>
          </w:p>
        </w:tc>
      </w:tr>
      <w:tr w:rsidR="00DF528E" w:rsidRPr="002D2F67" w14:paraId="5B50716D" w14:textId="77777777">
        <w:trPr>
          <w:cantSplit/>
        </w:trPr>
        <w:tc>
          <w:tcPr>
            <w:tcW w:w="3261" w:type="dxa"/>
            <w:shd w:val="clear" w:color="auto" w:fill="auto"/>
          </w:tcPr>
          <w:p w14:paraId="6D424E60" w14:textId="77777777" w:rsidR="00DF528E" w:rsidRPr="002D2F67" w:rsidRDefault="00DF528E">
            <w:pPr>
              <w:ind w:left="-73"/>
              <w:rPr>
                <w:rFonts w:ascii="Arial" w:hAnsi="Arial" w:cs="Arial"/>
                <w:b/>
                <w:bCs/>
                <w:color w:val="000000"/>
                <w:spacing w:val="-4"/>
                <w:sz w:val="14"/>
                <w:szCs w:val="14"/>
                <w:cs/>
              </w:rPr>
            </w:pPr>
          </w:p>
        </w:tc>
        <w:tc>
          <w:tcPr>
            <w:tcW w:w="5136" w:type="dxa"/>
            <w:tcBorders>
              <w:bottom w:val="single" w:sz="4" w:space="0" w:color="auto"/>
            </w:tcBorders>
            <w:shd w:val="clear" w:color="auto" w:fill="auto"/>
          </w:tcPr>
          <w:p w14:paraId="23C5BD80" w14:textId="77777777" w:rsidR="00DF528E" w:rsidRPr="002D2F67" w:rsidRDefault="00DF528E">
            <w:pPr>
              <w:pStyle w:val="acctfourfigures"/>
              <w:tabs>
                <w:tab w:val="clear" w:pos="765"/>
              </w:tabs>
              <w:spacing w:line="240" w:lineRule="auto"/>
              <w:ind w:left="1142"/>
              <w:rPr>
                <w:rFonts w:ascii="Arial" w:hAnsi="Arial" w:cs="Arial"/>
                <w:b/>
                <w:bCs/>
                <w:color w:val="000000"/>
                <w:spacing w:val="-4"/>
                <w:sz w:val="14"/>
                <w:szCs w:val="14"/>
                <w:cs/>
                <w:lang w:bidi="th-TH"/>
              </w:rPr>
            </w:pPr>
            <w:r w:rsidRPr="002D2F67">
              <w:rPr>
                <w:rFonts w:ascii="Arial" w:hAnsi="Arial" w:cs="Arial"/>
                <w:b/>
                <w:bCs/>
                <w:color w:val="000000"/>
                <w:spacing w:val="-4"/>
                <w:sz w:val="14"/>
                <w:szCs w:val="14"/>
                <w:lang w:bidi="th-TH"/>
              </w:rPr>
              <w:t>Business</w:t>
            </w:r>
          </w:p>
        </w:tc>
        <w:tc>
          <w:tcPr>
            <w:tcW w:w="1068" w:type="dxa"/>
            <w:tcBorders>
              <w:top w:val="nil"/>
              <w:left w:val="nil"/>
              <w:bottom w:val="single" w:sz="4" w:space="0" w:color="auto"/>
              <w:right w:val="nil"/>
            </w:tcBorders>
            <w:shd w:val="clear" w:color="auto" w:fill="auto"/>
            <w:vAlign w:val="bottom"/>
          </w:tcPr>
          <w:p w14:paraId="74039E74" w14:textId="77777777" w:rsidR="00DF528E" w:rsidRPr="002D2F67" w:rsidRDefault="00DF528E">
            <w:pPr>
              <w:pStyle w:val="acctfourfigures"/>
              <w:tabs>
                <w:tab w:val="clear" w:pos="765"/>
              </w:tabs>
              <w:spacing w:line="240" w:lineRule="auto"/>
              <w:ind w:left="-73" w:right="-72"/>
              <w:jc w:val="right"/>
              <w:rPr>
                <w:rFonts w:ascii="Arial" w:hAnsi="Arial" w:cs="Arial"/>
                <w:b/>
                <w:bCs/>
                <w:color w:val="000000"/>
                <w:spacing w:val="-4"/>
                <w:sz w:val="14"/>
                <w:szCs w:val="14"/>
                <w:lang w:bidi="th-TH"/>
              </w:rPr>
            </w:pPr>
            <w:r w:rsidRPr="002D2F67">
              <w:rPr>
                <w:rFonts w:ascii="Arial" w:hAnsi="Arial" w:cs="Arial"/>
                <w:b/>
                <w:bCs/>
                <w:color w:val="000000"/>
                <w:spacing w:val="-4"/>
                <w:sz w:val="14"/>
                <w:szCs w:val="14"/>
                <w:lang w:bidi="th-TH"/>
              </w:rPr>
              <w:t>%</w:t>
            </w:r>
          </w:p>
        </w:tc>
        <w:tc>
          <w:tcPr>
            <w:tcW w:w="1068" w:type="dxa"/>
            <w:tcBorders>
              <w:top w:val="nil"/>
              <w:left w:val="nil"/>
              <w:bottom w:val="single" w:sz="4" w:space="0" w:color="auto"/>
              <w:right w:val="nil"/>
            </w:tcBorders>
            <w:shd w:val="clear" w:color="auto" w:fill="auto"/>
            <w:vAlign w:val="bottom"/>
          </w:tcPr>
          <w:p w14:paraId="49E2C8DE" w14:textId="77777777" w:rsidR="00DF528E" w:rsidRPr="002D2F67" w:rsidRDefault="00DF528E">
            <w:pPr>
              <w:pStyle w:val="acctfourfigures"/>
              <w:tabs>
                <w:tab w:val="clear" w:pos="765"/>
              </w:tabs>
              <w:spacing w:line="240" w:lineRule="auto"/>
              <w:ind w:left="-73" w:right="-72"/>
              <w:jc w:val="right"/>
              <w:rPr>
                <w:rFonts w:ascii="Arial" w:hAnsi="Arial" w:cs="Arial"/>
                <w:b/>
                <w:bCs/>
                <w:color w:val="000000"/>
                <w:spacing w:val="-4"/>
                <w:sz w:val="14"/>
                <w:szCs w:val="14"/>
                <w:lang w:bidi="th-TH"/>
              </w:rPr>
            </w:pPr>
            <w:r w:rsidRPr="002D2F67">
              <w:rPr>
                <w:rFonts w:ascii="Arial" w:hAnsi="Arial" w:cs="Arial"/>
                <w:b/>
                <w:bCs/>
                <w:color w:val="000000"/>
                <w:spacing w:val="-4"/>
                <w:sz w:val="14"/>
                <w:szCs w:val="14"/>
                <w:lang w:bidi="th-TH"/>
              </w:rPr>
              <w:t>%</w:t>
            </w:r>
          </w:p>
        </w:tc>
        <w:tc>
          <w:tcPr>
            <w:tcW w:w="1068" w:type="dxa"/>
            <w:tcBorders>
              <w:top w:val="nil"/>
              <w:left w:val="nil"/>
              <w:bottom w:val="single" w:sz="4" w:space="0" w:color="auto"/>
            </w:tcBorders>
            <w:shd w:val="clear" w:color="auto" w:fill="auto"/>
          </w:tcPr>
          <w:p w14:paraId="1C40C8E3" w14:textId="2295A009" w:rsidR="00DF528E" w:rsidRPr="002D2F67" w:rsidRDefault="00DF528E">
            <w:pPr>
              <w:pStyle w:val="acctfourfigures"/>
              <w:tabs>
                <w:tab w:val="clear" w:pos="765"/>
              </w:tabs>
              <w:spacing w:line="240" w:lineRule="auto"/>
              <w:ind w:left="-73" w:right="-72"/>
              <w:jc w:val="right"/>
              <w:rPr>
                <w:rFonts w:ascii="Arial" w:hAnsi="Arial" w:cs="Arial"/>
                <w:b/>
                <w:bCs/>
                <w:color w:val="000000"/>
                <w:spacing w:val="-4"/>
                <w:sz w:val="14"/>
                <w:szCs w:val="14"/>
                <w:lang w:bidi="th-TH"/>
              </w:rPr>
            </w:pPr>
            <w:r w:rsidRPr="002D2F67">
              <w:rPr>
                <w:rFonts w:ascii="Arial" w:hAnsi="Arial" w:cs="Arial"/>
                <w:b/>
                <w:bCs/>
                <w:color w:val="000000"/>
                <w:sz w:val="14"/>
                <w:szCs w:val="14"/>
                <w:lang w:bidi="th-TH"/>
              </w:rPr>
              <w:t xml:space="preserve"> Baht’</w:t>
            </w:r>
            <w:r w:rsidR="00CD5714" w:rsidRPr="00CD5714">
              <w:rPr>
                <w:rFonts w:ascii="Arial" w:hAnsi="Arial" w:cs="Arial"/>
                <w:b/>
                <w:bCs/>
                <w:color w:val="000000"/>
                <w:sz w:val="14"/>
                <w:szCs w:val="14"/>
                <w:lang w:val="en-GB" w:bidi="th-TH"/>
              </w:rPr>
              <w:t>000</w:t>
            </w:r>
          </w:p>
        </w:tc>
        <w:tc>
          <w:tcPr>
            <w:tcW w:w="1068" w:type="dxa"/>
            <w:tcBorders>
              <w:top w:val="nil"/>
              <w:bottom w:val="single" w:sz="4" w:space="0" w:color="auto"/>
              <w:right w:val="nil"/>
            </w:tcBorders>
            <w:shd w:val="clear" w:color="auto" w:fill="auto"/>
          </w:tcPr>
          <w:p w14:paraId="7C6776F1" w14:textId="395ABD15" w:rsidR="00DF528E" w:rsidRPr="002D2F67" w:rsidRDefault="00DF528E">
            <w:pPr>
              <w:pStyle w:val="acctfourfigures"/>
              <w:tabs>
                <w:tab w:val="clear" w:pos="765"/>
              </w:tabs>
              <w:spacing w:line="240" w:lineRule="auto"/>
              <w:ind w:left="-73" w:right="-72"/>
              <w:jc w:val="right"/>
              <w:rPr>
                <w:rFonts w:ascii="Arial" w:hAnsi="Arial" w:cs="Arial"/>
                <w:b/>
                <w:bCs/>
                <w:color w:val="000000"/>
                <w:spacing w:val="-4"/>
                <w:sz w:val="14"/>
                <w:szCs w:val="14"/>
                <w:lang w:bidi="th-TH"/>
              </w:rPr>
            </w:pPr>
            <w:r w:rsidRPr="002D2F67">
              <w:rPr>
                <w:rFonts w:ascii="Arial" w:hAnsi="Arial" w:cs="Arial"/>
                <w:b/>
                <w:bCs/>
                <w:color w:val="000000"/>
                <w:sz w:val="14"/>
                <w:szCs w:val="14"/>
                <w:lang w:bidi="th-TH"/>
              </w:rPr>
              <w:t xml:space="preserve"> Baht’</w:t>
            </w:r>
            <w:r w:rsidR="00CD5714" w:rsidRPr="00CD5714">
              <w:rPr>
                <w:rFonts w:ascii="Arial" w:hAnsi="Arial" w:cs="Arial"/>
                <w:b/>
                <w:bCs/>
                <w:color w:val="000000"/>
                <w:sz w:val="14"/>
                <w:szCs w:val="14"/>
                <w:lang w:val="en-GB" w:bidi="th-TH"/>
              </w:rPr>
              <w:t>000</w:t>
            </w:r>
          </w:p>
        </w:tc>
        <w:tc>
          <w:tcPr>
            <w:tcW w:w="1068" w:type="dxa"/>
            <w:tcBorders>
              <w:top w:val="nil"/>
              <w:left w:val="nil"/>
              <w:bottom w:val="single" w:sz="4" w:space="0" w:color="auto"/>
              <w:right w:val="nil"/>
            </w:tcBorders>
            <w:shd w:val="clear" w:color="auto" w:fill="auto"/>
          </w:tcPr>
          <w:p w14:paraId="284AEA85" w14:textId="23AF127F" w:rsidR="00DF528E" w:rsidRPr="002D2F67" w:rsidRDefault="00DF528E">
            <w:pPr>
              <w:pStyle w:val="acctfourfigures"/>
              <w:tabs>
                <w:tab w:val="clear" w:pos="765"/>
              </w:tabs>
              <w:spacing w:line="240" w:lineRule="auto"/>
              <w:ind w:left="-73" w:right="-72"/>
              <w:jc w:val="right"/>
              <w:rPr>
                <w:rFonts w:ascii="Arial" w:hAnsi="Arial" w:cs="Arial"/>
                <w:b/>
                <w:bCs/>
                <w:color w:val="000000"/>
                <w:spacing w:val="-4"/>
                <w:sz w:val="14"/>
                <w:szCs w:val="14"/>
                <w:lang w:bidi="th-TH"/>
              </w:rPr>
            </w:pPr>
            <w:r w:rsidRPr="002D2F67">
              <w:rPr>
                <w:rFonts w:ascii="Arial" w:hAnsi="Arial" w:cs="Arial"/>
                <w:b/>
                <w:bCs/>
                <w:color w:val="000000"/>
                <w:sz w:val="14"/>
                <w:szCs w:val="14"/>
                <w:lang w:bidi="th-TH"/>
              </w:rPr>
              <w:t xml:space="preserve"> Baht’</w:t>
            </w:r>
            <w:r w:rsidR="00CD5714" w:rsidRPr="00CD5714">
              <w:rPr>
                <w:rFonts w:ascii="Arial" w:hAnsi="Arial" w:cs="Arial"/>
                <w:b/>
                <w:bCs/>
                <w:color w:val="000000"/>
                <w:sz w:val="14"/>
                <w:szCs w:val="14"/>
                <w:lang w:val="en-GB" w:bidi="th-TH"/>
              </w:rPr>
              <w:t>000</w:t>
            </w:r>
          </w:p>
        </w:tc>
        <w:tc>
          <w:tcPr>
            <w:tcW w:w="1095" w:type="dxa"/>
            <w:tcBorders>
              <w:top w:val="nil"/>
              <w:left w:val="nil"/>
              <w:bottom w:val="single" w:sz="4" w:space="0" w:color="auto"/>
              <w:right w:val="nil"/>
            </w:tcBorders>
            <w:shd w:val="clear" w:color="auto" w:fill="auto"/>
          </w:tcPr>
          <w:p w14:paraId="5D13CA9B" w14:textId="4C32D588" w:rsidR="00DF528E" w:rsidRPr="002D2F67" w:rsidRDefault="00DF528E">
            <w:pPr>
              <w:pStyle w:val="acctfourfigures"/>
              <w:tabs>
                <w:tab w:val="clear" w:pos="765"/>
              </w:tabs>
              <w:spacing w:line="240" w:lineRule="auto"/>
              <w:ind w:left="-73" w:right="-72"/>
              <w:jc w:val="right"/>
              <w:rPr>
                <w:rFonts w:ascii="Arial" w:hAnsi="Arial" w:cs="Arial"/>
                <w:b/>
                <w:bCs/>
                <w:color w:val="000000"/>
                <w:spacing w:val="-4"/>
                <w:sz w:val="14"/>
                <w:szCs w:val="14"/>
                <w:lang w:bidi="th-TH"/>
              </w:rPr>
            </w:pPr>
            <w:r w:rsidRPr="002D2F67">
              <w:rPr>
                <w:rFonts w:ascii="Arial" w:hAnsi="Arial" w:cs="Arial"/>
                <w:b/>
                <w:bCs/>
                <w:color w:val="000000"/>
                <w:sz w:val="14"/>
                <w:szCs w:val="14"/>
                <w:lang w:bidi="th-TH"/>
              </w:rPr>
              <w:t xml:space="preserve"> Baht’</w:t>
            </w:r>
            <w:r w:rsidR="00CD5714" w:rsidRPr="00CD5714">
              <w:rPr>
                <w:rFonts w:ascii="Arial" w:hAnsi="Arial" w:cs="Arial"/>
                <w:b/>
                <w:bCs/>
                <w:color w:val="000000"/>
                <w:sz w:val="14"/>
                <w:szCs w:val="14"/>
                <w:lang w:val="en-GB" w:bidi="th-TH"/>
              </w:rPr>
              <w:t>000</w:t>
            </w:r>
          </w:p>
        </w:tc>
      </w:tr>
      <w:tr w:rsidR="00DF528E" w:rsidRPr="002D2F67" w14:paraId="5D994347" w14:textId="77777777">
        <w:trPr>
          <w:cantSplit/>
        </w:trPr>
        <w:tc>
          <w:tcPr>
            <w:tcW w:w="3261" w:type="dxa"/>
            <w:shd w:val="clear" w:color="auto" w:fill="auto"/>
            <w:vAlign w:val="center"/>
          </w:tcPr>
          <w:p w14:paraId="381C49A0" w14:textId="77777777" w:rsidR="00DF528E" w:rsidRPr="002D2F67" w:rsidRDefault="00DF528E">
            <w:pPr>
              <w:ind w:left="-105"/>
              <w:rPr>
                <w:rFonts w:ascii="Arial" w:eastAsia="Arial Unicode MS" w:hAnsi="Arial" w:cs="Arial"/>
                <w:b/>
                <w:bCs/>
                <w:color w:val="000000"/>
                <w:sz w:val="14"/>
                <w:szCs w:val="14"/>
                <w:cs/>
              </w:rPr>
            </w:pPr>
          </w:p>
        </w:tc>
        <w:tc>
          <w:tcPr>
            <w:tcW w:w="5136" w:type="dxa"/>
            <w:tcBorders>
              <w:top w:val="single" w:sz="4" w:space="0" w:color="auto"/>
            </w:tcBorders>
            <w:shd w:val="clear" w:color="auto" w:fill="auto"/>
            <w:vAlign w:val="center"/>
          </w:tcPr>
          <w:p w14:paraId="30414F99" w14:textId="77777777" w:rsidR="00DF528E" w:rsidRPr="002D2F67" w:rsidRDefault="00DF528E">
            <w:pPr>
              <w:pStyle w:val="acctfourfigures"/>
              <w:tabs>
                <w:tab w:val="clear" w:pos="765"/>
              </w:tabs>
              <w:spacing w:line="240" w:lineRule="auto"/>
              <w:jc w:val="center"/>
              <w:rPr>
                <w:rFonts w:ascii="Arial" w:eastAsia="Arial Unicode MS" w:hAnsi="Arial" w:cs="Arial"/>
                <w:b/>
                <w:bCs/>
                <w:color w:val="000000"/>
                <w:sz w:val="14"/>
                <w:szCs w:val="14"/>
                <w:lang w:bidi="th-TH"/>
              </w:rPr>
            </w:pPr>
          </w:p>
        </w:tc>
        <w:tc>
          <w:tcPr>
            <w:tcW w:w="1068" w:type="dxa"/>
            <w:tcBorders>
              <w:top w:val="single" w:sz="4" w:space="0" w:color="auto"/>
            </w:tcBorders>
            <w:shd w:val="clear" w:color="auto" w:fill="auto"/>
            <w:vAlign w:val="center"/>
          </w:tcPr>
          <w:p w14:paraId="54977D91" w14:textId="77777777" w:rsidR="00DF528E" w:rsidRPr="002D2F67" w:rsidRDefault="00DF528E">
            <w:pPr>
              <w:pStyle w:val="acctfourfigures"/>
              <w:tabs>
                <w:tab w:val="clear" w:pos="765"/>
              </w:tabs>
              <w:spacing w:line="240" w:lineRule="auto"/>
              <w:ind w:right="-72"/>
              <w:jc w:val="right"/>
              <w:rPr>
                <w:rFonts w:ascii="Arial" w:eastAsia="Arial Unicode MS" w:hAnsi="Arial" w:cs="Arial"/>
                <w:b/>
                <w:bCs/>
                <w:color w:val="000000"/>
                <w:sz w:val="14"/>
                <w:szCs w:val="14"/>
                <w:cs/>
                <w:lang w:bidi="th-TH"/>
              </w:rPr>
            </w:pPr>
          </w:p>
        </w:tc>
        <w:tc>
          <w:tcPr>
            <w:tcW w:w="1068" w:type="dxa"/>
            <w:tcBorders>
              <w:top w:val="single" w:sz="4" w:space="0" w:color="auto"/>
            </w:tcBorders>
            <w:shd w:val="clear" w:color="auto" w:fill="auto"/>
            <w:vAlign w:val="center"/>
          </w:tcPr>
          <w:p w14:paraId="52B90D79" w14:textId="77777777" w:rsidR="00DF528E" w:rsidRPr="002D2F67" w:rsidRDefault="00DF528E">
            <w:pPr>
              <w:pStyle w:val="acctfourfigures"/>
              <w:tabs>
                <w:tab w:val="clear" w:pos="765"/>
              </w:tabs>
              <w:spacing w:line="240" w:lineRule="auto"/>
              <w:ind w:right="-72"/>
              <w:jc w:val="right"/>
              <w:rPr>
                <w:rFonts w:ascii="Arial" w:eastAsia="Arial Unicode MS" w:hAnsi="Arial" w:cs="Arial"/>
                <w:b/>
                <w:bCs/>
                <w:color w:val="000000"/>
                <w:sz w:val="14"/>
                <w:szCs w:val="14"/>
                <w:lang w:bidi="th-TH"/>
              </w:rPr>
            </w:pPr>
          </w:p>
        </w:tc>
        <w:tc>
          <w:tcPr>
            <w:tcW w:w="1068" w:type="dxa"/>
            <w:tcBorders>
              <w:top w:val="single" w:sz="4" w:space="0" w:color="auto"/>
            </w:tcBorders>
            <w:shd w:val="clear" w:color="auto" w:fill="auto"/>
            <w:vAlign w:val="center"/>
          </w:tcPr>
          <w:p w14:paraId="2046C715" w14:textId="77777777" w:rsidR="00DF528E" w:rsidRPr="002D2F67" w:rsidRDefault="00DF528E">
            <w:pPr>
              <w:pStyle w:val="acctfourfigures"/>
              <w:tabs>
                <w:tab w:val="clear" w:pos="765"/>
              </w:tabs>
              <w:spacing w:line="240" w:lineRule="auto"/>
              <w:ind w:right="-72"/>
              <w:jc w:val="right"/>
              <w:rPr>
                <w:rFonts w:ascii="Arial" w:eastAsia="Arial Unicode MS" w:hAnsi="Arial" w:cs="Arial"/>
                <w:b/>
                <w:bCs/>
                <w:color w:val="000000"/>
                <w:sz w:val="14"/>
                <w:szCs w:val="14"/>
                <w:cs/>
                <w:lang w:bidi="th-TH"/>
              </w:rPr>
            </w:pPr>
          </w:p>
        </w:tc>
        <w:tc>
          <w:tcPr>
            <w:tcW w:w="1068" w:type="dxa"/>
            <w:tcBorders>
              <w:top w:val="single" w:sz="4" w:space="0" w:color="auto"/>
            </w:tcBorders>
            <w:shd w:val="clear" w:color="auto" w:fill="auto"/>
            <w:vAlign w:val="center"/>
          </w:tcPr>
          <w:p w14:paraId="5650283A" w14:textId="77777777" w:rsidR="00DF528E" w:rsidRPr="002D2F67" w:rsidRDefault="00DF528E">
            <w:pPr>
              <w:pStyle w:val="acctfourfigures"/>
              <w:tabs>
                <w:tab w:val="clear" w:pos="765"/>
              </w:tabs>
              <w:spacing w:line="240" w:lineRule="auto"/>
              <w:ind w:right="-72"/>
              <w:jc w:val="right"/>
              <w:rPr>
                <w:rFonts w:ascii="Arial" w:eastAsia="Arial Unicode MS" w:hAnsi="Arial" w:cs="Arial"/>
                <w:b/>
                <w:bCs/>
                <w:color w:val="000000"/>
                <w:sz w:val="14"/>
                <w:szCs w:val="14"/>
                <w:cs/>
                <w:lang w:bidi="th-TH"/>
              </w:rPr>
            </w:pPr>
          </w:p>
        </w:tc>
        <w:tc>
          <w:tcPr>
            <w:tcW w:w="1068" w:type="dxa"/>
            <w:tcBorders>
              <w:top w:val="single" w:sz="4" w:space="0" w:color="auto"/>
            </w:tcBorders>
            <w:shd w:val="clear" w:color="auto" w:fill="auto"/>
            <w:vAlign w:val="center"/>
          </w:tcPr>
          <w:p w14:paraId="5C240A5E" w14:textId="77777777" w:rsidR="00DF528E" w:rsidRPr="002D2F67" w:rsidRDefault="00DF528E">
            <w:pPr>
              <w:pStyle w:val="acctfourfigures"/>
              <w:tabs>
                <w:tab w:val="clear" w:pos="765"/>
              </w:tabs>
              <w:spacing w:line="240" w:lineRule="auto"/>
              <w:ind w:right="-72"/>
              <w:jc w:val="right"/>
              <w:rPr>
                <w:rFonts w:ascii="Arial" w:eastAsia="Arial Unicode MS" w:hAnsi="Arial" w:cs="Arial"/>
                <w:b/>
                <w:bCs/>
                <w:color w:val="000000"/>
                <w:sz w:val="14"/>
                <w:szCs w:val="14"/>
                <w:cs/>
                <w:lang w:bidi="th-TH"/>
              </w:rPr>
            </w:pPr>
          </w:p>
        </w:tc>
        <w:tc>
          <w:tcPr>
            <w:tcW w:w="1095" w:type="dxa"/>
            <w:tcBorders>
              <w:top w:val="single" w:sz="4" w:space="0" w:color="auto"/>
            </w:tcBorders>
            <w:shd w:val="clear" w:color="auto" w:fill="auto"/>
            <w:vAlign w:val="center"/>
          </w:tcPr>
          <w:p w14:paraId="6DAE950F" w14:textId="77777777" w:rsidR="00DF528E" w:rsidRPr="002D2F67" w:rsidRDefault="00DF528E">
            <w:pPr>
              <w:pStyle w:val="acctfourfigures"/>
              <w:tabs>
                <w:tab w:val="clear" w:pos="765"/>
              </w:tabs>
              <w:spacing w:line="240" w:lineRule="auto"/>
              <w:ind w:right="-72"/>
              <w:jc w:val="right"/>
              <w:rPr>
                <w:rFonts w:ascii="Arial" w:eastAsia="Arial Unicode MS" w:hAnsi="Arial" w:cs="Arial"/>
                <w:b/>
                <w:bCs/>
                <w:color w:val="000000"/>
                <w:sz w:val="14"/>
                <w:szCs w:val="14"/>
                <w:cs/>
                <w:lang w:bidi="th-TH"/>
              </w:rPr>
            </w:pPr>
          </w:p>
        </w:tc>
      </w:tr>
      <w:tr w:rsidR="00DF528E" w:rsidRPr="002D2F67" w14:paraId="769E79A7" w14:textId="77777777">
        <w:trPr>
          <w:cantSplit/>
          <w:trHeight w:val="20"/>
        </w:trPr>
        <w:tc>
          <w:tcPr>
            <w:tcW w:w="3261" w:type="dxa"/>
            <w:shd w:val="clear" w:color="auto" w:fill="auto"/>
            <w:vAlign w:val="center"/>
          </w:tcPr>
          <w:p w14:paraId="5BB6EB1C" w14:textId="77777777" w:rsidR="00DF528E" w:rsidRPr="002D2F67" w:rsidRDefault="00DF528E">
            <w:pPr>
              <w:pStyle w:val="acctfourfigures"/>
              <w:tabs>
                <w:tab w:val="clear" w:pos="765"/>
                <w:tab w:val="decimal" w:pos="0"/>
              </w:tabs>
              <w:spacing w:line="240" w:lineRule="auto"/>
              <w:ind w:left="-105"/>
              <w:rPr>
                <w:rFonts w:ascii="Arial" w:eastAsia="Arial Unicode MS" w:hAnsi="Arial" w:cs="Arial"/>
                <w:color w:val="000000"/>
                <w:sz w:val="14"/>
                <w:szCs w:val="14"/>
                <w:rtl/>
                <w:cs/>
              </w:rPr>
            </w:pPr>
            <w:r w:rsidRPr="002D2F67">
              <w:rPr>
                <w:rFonts w:ascii="Arial" w:hAnsi="Arial" w:cs="Arial"/>
                <w:color w:val="000000"/>
                <w:sz w:val="14"/>
                <w:szCs w:val="14"/>
              </w:rPr>
              <w:t>The details of the investments in a joint venture</w:t>
            </w:r>
          </w:p>
        </w:tc>
        <w:tc>
          <w:tcPr>
            <w:tcW w:w="5136" w:type="dxa"/>
            <w:shd w:val="clear" w:color="auto" w:fill="auto"/>
            <w:vAlign w:val="center"/>
          </w:tcPr>
          <w:p w14:paraId="136675BB" w14:textId="77777777" w:rsidR="00DF528E" w:rsidRPr="002D2F67" w:rsidRDefault="00DF528E">
            <w:pPr>
              <w:ind w:left="171" w:hanging="171"/>
              <w:rPr>
                <w:rFonts w:ascii="Arial" w:eastAsia="Arial Unicode MS" w:hAnsi="Arial" w:cs="Arial"/>
                <w:color w:val="000000"/>
                <w:sz w:val="14"/>
                <w:szCs w:val="14"/>
                <w:cs/>
              </w:rPr>
            </w:pPr>
          </w:p>
        </w:tc>
        <w:tc>
          <w:tcPr>
            <w:tcW w:w="1068" w:type="dxa"/>
            <w:shd w:val="clear" w:color="auto" w:fill="auto"/>
            <w:vAlign w:val="center"/>
          </w:tcPr>
          <w:p w14:paraId="5CBF3144" w14:textId="77777777" w:rsidR="00DF528E" w:rsidRPr="002D2F67" w:rsidRDefault="00DF528E">
            <w:pPr>
              <w:ind w:left="-122" w:right="-72"/>
              <w:jc w:val="right"/>
              <w:rPr>
                <w:rFonts w:ascii="Arial" w:eastAsia="Arial Unicode MS" w:hAnsi="Arial" w:cs="Arial"/>
                <w:color w:val="000000"/>
                <w:sz w:val="14"/>
                <w:szCs w:val="14"/>
              </w:rPr>
            </w:pPr>
          </w:p>
        </w:tc>
        <w:tc>
          <w:tcPr>
            <w:tcW w:w="1068" w:type="dxa"/>
            <w:shd w:val="clear" w:color="auto" w:fill="auto"/>
            <w:vAlign w:val="center"/>
          </w:tcPr>
          <w:p w14:paraId="2DD1EF98" w14:textId="77777777" w:rsidR="00DF528E" w:rsidRPr="002D2F67" w:rsidRDefault="00DF528E">
            <w:pPr>
              <w:ind w:left="-122" w:right="-72"/>
              <w:jc w:val="right"/>
              <w:rPr>
                <w:rFonts w:ascii="Arial" w:eastAsia="Arial Unicode MS" w:hAnsi="Arial" w:cs="Arial"/>
                <w:color w:val="000000"/>
                <w:sz w:val="14"/>
                <w:szCs w:val="14"/>
              </w:rPr>
            </w:pPr>
          </w:p>
        </w:tc>
        <w:tc>
          <w:tcPr>
            <w:tcW w:w="1068" w:type="dxa"/>
            <w:shd w:val="clear" w:color="auto" w:fill="auto"/>
            <w:vAlign w:val="center"/>
          </w:tcPr>
          <w:p w14:paraId="69E177A7" w14:textId="77777777" w:rsidR="00DF528E" w:rsidRPr="002D2F67" w:rsidRDefault="00DF528E">
            <w:pPr>
              <w:ind w:left="-122" w:right="-72"/>
              <w:jc w:val="right"/>
              <w:rPr>
                <w:rFonts w:ascii="Arial" w:eastAsia="Arial Unicode MS" w:hAnsi="Arial" w:cs="Arial"/>
                <w:color w:val="000000"/>
                <w:sz w:val="14"/>
                <w:szCs w:val="14"/>
              </w:rPr>
            </w:pPr>
          </w:p>
        </w:tc>
        <w:tc>
          <w:tcPr>
            <w:tcW w:w="1068" w:type="dxa"/>
            <w:shd w:val="clear" w:color="auto" w:fill="auto"/>
            <w:vAlign w:val="center"/>
          </w:tcPr>
          <w:p w14:paraId="09B82EEB" w14:textId="77777777" w:rsidR="00DF528E" w:rsidRPr="002D2F67" w:rsidRDefault="00DF528E">
            <w:pPr>
              <w:ind w:left="-122" w:right="-72"/>
              <w:jc w:val="right"/>
              <w:rPr>
                <w:rFonts w:ascii="Arial" w:eastAsia="Arial Unicode MS" w:hAnsi="Arial" w:cs="Arial"/>
                <w:color w:val="000000"/>
                <w:sz w:val="14"/>
                <w:szCs w:val="14"/>
              </w:rPr>
            </w:pPr>
          </w:p>
        </w:tc>
        <w:tc>
          <w:tcPr>
            <w:tcW w:w="1068" w:type="dxa"/>
            <w:shd w:val="clear" w:color="auto" w:fill="auto"/>
            <w:vAlign w:val="center"/>
          </w:tcPr>
          <w:p w14:paraId="79EC9A66" w14:textId="77777777" w:rsidR="00DF528E" w:rsidRPr="002D2F67" w:rsidRDefault="00DF528E">
            <w:pPr>
              <w:pStyle w:val="acctfourfigures"/>
              <w:tabs>
                <w:tab w:val="clear" w:pos="765"/>
                <w:tab w:val="decimal" w:pos="550"/>
              </w:tabs>
              <w:spacing w:line="240" w:lineRule="auto"/>
              <w:ind w:right="-72"/>
              <w:jc w:val="right"/>
              <w:rPr>
                <w:rFonts w:ascii="Arial" w:eastAsia="Arial Unicode MS" w:hAnsi="Arial" w:cs="Arial"/>
                <w:color w:val="000000"/>
                <w:sz w:val="14"/>
                <w:szCs w:val="14"/>
                <w:lang w:bidi="th-TH"/>
              </w:rPr>
            </w:pPr>
          </w:p>
        </w:tc>
        <w:tc>
          <w:tcPr>
            <w:tcW w:w="1095" w:type="dxa"/>
            <w:shd w:val="clear" w:color="auto" w:fill="auto"/>
            <w:vAlign w:val="center"/>
          </w:tcPr>
          <w:p w14:paraId="04EC41A1" w14:textId="77777777" w:rsidR="00DF528E" w:rsidRPr="002D2F67" w:rsidRDefault="00DF528E">
            <w:pPr>
              <w:pStyle w:val="acctfourfigures"/>
              <w:tabs>
                <w:tab w:val="clear" w:pos="765"/>
                <w:tab w:val="decimal" w:pos="550"/>
              </w:tabs>
              <w:spacing w:line="240" w:lineRule="auto"/>
              <w:ind w:right="-72"/>
              <w:jc w:val="right"/>
              <w:rPr>
                <w:rFonts w:ascii="Arial" w:eastAsia="Arial Unicode MS" w:hAnsi="Arial" w:cs="Arial"/>
                <w:color w:val="000000"/>
                <w:sz w:val="14"/>
                <w:szCs w:val="14"/>
                <w:lang w:bidi="th-TH"/>
              </w:rPr>
            </w:pPr>
          </w:p>
        </w:tc>
      </w:tr>
      <w:tr w:rsidR="00DF528E" w:rsidRPr="002D2F67" w14:paraId="15232647" w14:textId="77777777">
        <w:trPr>
          <w:cantSplit/>
          <w:trHeight w:val="20"/>
        </w:trPr>
        <w:tc>
          <w:tcPr>
            <w:tcW w:w="3261" w:type="dxa"/>
            <w:shd w:val="clear" w:color="auto" w:fill="auto"/>
            <w:vAlign w:val="center"/>
          </w:tcPr>
          <w:p w14:paraId="38ADF667" w14:textId="77777777" w:rsidR="00DF528E" w:rsidRPr="002D2F67" w:rsidRDefault="00DF528E">
            <w:pPr>
              <w:pStyle w:val="acctfourfigures"/>
              <w:tabs>
                <w:tab w:val="clear" w:pos="765"/>
                <w:tab w:val="decimal" w:pos="0"/>
              </w:tabs>
              <w:spacing w:line="240" w:lineRule="auto"/>
              <w:ind w:left="-105"/>
              <w:rPr>
                <w:rFonts w:ascii="Arial" w:hAnsi="Arial" w:cs="Arial"/>
                <w:color w:val="000000"/>
                <w:sz w:val="14"/>
                <w:szCs w:val="14"/>
              </w:rPr>
            </w:pPr>
          </w:p>
        </w:tc>
        <w:tc>
          <w:tcPr>
            <w:tcW w:w="5136" w:type="dxa"/>
            <w:shd w:val="clear" w:color="auto" w:fill="auto"/>
            <w:vAlign w:val="center"/>
          </w:tcPr>
          <w:p w14:paraId="04D29547" w14:textId="77777777" w:rsidR="00DF528E" w:rsidRPr="002D2F67" w:rsidRDefault="00DF528E">
            <w:pPr>
              <w:ind w:left="171" w:hanging="171"/>
              <w:rPr>
                <w:rFonts w:ascii="Arial" w:eastAsia="Arial Unicode MS" w:hAnsi="Arial" w:cs="Arial"/>
                <w:color w:val="000000"/>
                <w:sz w:val="14"/>
                <w:szCs w:val="14"/>
                <w:cs/>
              </w:rPr>
            </w:pPr>
          </w:p>
        </w:tc>
        <w:tc>
          <w:tcPr>
            <w:tcW w:w="1068" w:type="dxa"/>
            <w:shd w:val="clear" w:color="auto" w:fill="auto"/>
            <w:vAlign w:val="center"/>
          </w:tcPr>
          <w:p w14:paraId="1DB57FB0" w14:textId="77777777" w:rsidR="00DF528E" w:rsidRPr="002D2F67" w:rsidRDefault="00DF528E">
            <w:pPr>
              <w:ind w:left="-122" w:right="-72"/>
              <w:jc w:val="right"/>
              <w:rPr>
                <w:rFonts w:ascii="Arial" w:eastAsia="Arial Unicode MS" w:hAnsi="Arial" w:cs="Arial"/>
                <w:color w:val="000000"/>
                <w:sz w:val="14"/>
                <w:szCs w:val="14"/>
              </w:rPr>
            </w:pPr>
          </w:p>
        </w:tc>
        <w:tc>
          <w:tcPr>
            <w:tcW w:w="1068" w:type="dxa"/>
            <w:shd w:val="clear" w:color="auto" w:fill="auto"/>
            <w:vAlign w:val="center"/>
          </w:tcPr>
          <w:p w14:paraId="56F053EF" w14:textId="77777777" w:rsidR="00DF528E" w:rsidRPr="002D2F67" w:rsidRDefault="00DF528E">
            <w:pPr>
              <w:ind w:left="-122" w:right="-72"/>
              <w:jc w:val="right"/>
              <w:rPr>
                <w:rFonts w:ascii="Arial" w:eastAsia="Arial Unicode MS" w:hAnsi="Arial" w:cs="Arial"/>
                <w:color w:val="000000"/>
                <w:sz w:val="14"/>
                <w:szCs w:val="14"/>
              </w:rPr>
            </w:pPr>
          </w:p>
        </w:tc>
        <w:tc>
          <w:tcPr>
            <w:tcW w:w="1068" w:type="dxa"/>
            <w:shd w:val="clear" w:color="auto" w:fill="auto"/>
            <w:vAlign w:val="center"/>
          </w:tcPr>
          <w:p w14:paraId="5CD0DF39" w14:textId="77777777" w:rsidR="00DF528E" w:rsidRPr="002D2F67" w:rsidRDefault="00DF528E">
            <w:pPr>
              <w:ind w:left="-122" w:right="-72"/>
              <w:jc w:val="right"/>
              <w:rPr>
                <w:rFonts w:ascii="Arial" w:eastAsia="Arial Unicode MS" w:hAnsi="Arial" w:cs="Arial"/>
                <w:color w:val="000000"/>
                <w:sz w:val="14"/>
                <w:szCs w:val="14"/>
              </w:rPr>
            </w:pPr>
          </w:p>
        </w:tc>
        <w:tc>
          <w:tcPr>
            <w:tcW w:w="1068" w:type="dxa"/>
            <w:shd w:val="clear" w:color="auto" w:fill="auto"/>
            <w:vAlign w:val="center"/>
          </w:tcPr>
          <w:p w14:paraId="54108105" w14:textId="77777777" w:rsidR="00DF528E" w:rsidRPr="002D2F67" w:rsidRDefault="00DF528E">
            <w:pPr>
              <w:ind w:left="-122" w:right="-72"/>
              <w:jc w:val="right"/>
              <w:rPr>
                <w:rFonts w:ascii="Arial" w:eastAsia="Arial Unicode MS" w:hAnsi="Arial" w:cs="Arial"/>
                <w:color w:val="000000"/>
                <w:sz w:val="14"/>
                <w:szCs w:val="14"/>
              </w:rPr>
            </w:pPr>
          </w:p>
        </w:tc>
        <w:tc>
          <w:tcPr>
            <w:tcW w:w="1068" w:type="dxa"/>
            <w:shd w:val="clear" w:color="auto" w:fill="auto"/>
            <w:vAlign w:val="center"/>
          </w:tcPr>
          <w:p w14:paraId="18328B90" w14:textId="77777777" w:rsidR="00DF528E" w:rsidRPr="002D2F67" w:rsidRDefault="00DF528E">
            <w:pPr>
              <w:pStyle w:val="acctfourfigures"/>
              <w:tabs>
                <w:tab w:val="clear" w:pos="765"/>
                <w:tab w:val="decimal" w:pos="550"/>
              </w:tabs>
              <w:spacing w:line="240" w:lineRule="auto"/>
              <w:ind w:right="-72"/>
              <w:jc w:val="right"/>
              <w:rPr>
                <w:rFonts w:ascii="Arial" w:eastAsia="Arial Unicode MS" w:hAnsi="Arial" w:cs="Arial"/>
                <w:color w:val="000000"/>
                <w:sz w:val="14"/>
                <w:szCs w:val="14"/>
                <w:lang w:bidi="th-TH"/>
              </w:rPr>
            </w:pPr>
          </w:p>
        </w:tc>
        <w:tc>
          <w:tcPr>
            <w:tcW w:w="1095" w:type="dxa"/>
            <w:shd w:val="clear" w:color="auto" w:fill="auto"/>
            <w:vAlign w:val="center"/>
          </w:tcPr>
          <w:p w14:paraId="6620D89F" w14:textId="77777777" w:rsidR="00DF528E" w:rsidRPr="002D2F67" w:rsidRDefault="00DF528E">
            <w:pPr>
              <w:pStyle w:val="acctfourfigures"/>
              <w:tabs>
                <w:tab w:val="clear" w:pos="765"/>
                <w:tab w:val="decimal" w:pos="550"/>
              </w:tabs>
              <w:spacing w:line="240" w:lineRule="auto"/>
              <w:ind w:right="-72"/>
              <w:jc w:val="right"/>
              <w:rPr>
                <w:rFonts w:ascii="Arial" w:eastAsia="Arial Unicode MS" w:hAnsi="Arial" w:cs="Arial"/>
                <w:color w:val="000000"/>
                <w:sz w:val="14"/>
                <w:szCs w:val="14"/>
                <w:lang w:bidi="th-TH"/>
              </w:rPr>
            </w:pPr>
          </w:p>
        </w:tc>
      </w:tr>
      <w:tr w:rsidR="00DF528E" w:rsidRPr="002D2F67" w14:paraId="6FD7B7B9" w14:textId="77777777">
        <w:trPr>
          <w:cantSplit/>
          <w:trHeight w:val="20"/>
        </w:trPr>
        <w:tc>
          <w:tcPr>
            <w:tcW w:w="3261" w:type="dxa"/>
            <w:shd w:val="clear" w:color="auto" w:fill="auto"/>
            <w:vAlign w:val="center"/>
          </w:tcPr>
          <w:p w14:paraId="00803575" w14:textId="77777777" w:rsidR="00DF528E" w:rsidRPr="002D2F67" w:rsidRDefault="00DF528E">
            <w:pPr>
              <w:pStyle w:val="acctfourfigures"/>
              <w:tabs>
                <w:tab w:val="clear" w:pos="765"/>
                <w:tab w:val="decimal" w:pos="0"/>
              </w:tabs>
              <w:spacing w:line="240" w:lineRule="auto"/>
              <w:ind w:left="-105"/>
              <w:rPr>
                <w:rFonts w:ascii="Arial" w:hAnsi="Arial" w:cs="Arial"/>
                <w:color w:val="000000"/>
                <w:sz w:val="14"/>
                <w:szCs w:val="14"/>
              </w:rPr>
            </w:pPr>
            <w:r w:rsidRPr="002D2F67">
              <w:rPr>
                <w:rFonts w:ascii="Arial" w:hAnsi="Arial" w:cs="Arial"/>
                <w:color w:val="000000"/>
                <w:sz w:val="14"/>
                <w:szCs w:val="14"/>
              </w:rPr>
              <w:t>Direct joint venture incorporated in Thailand</w:t>
            </w:r>
          </w:p>
        </w:tc>
        <w:tc>
          <w:tcPr>
            <w:tcW w:w="5136" w:type="dxa"/>
            <w:shd w:val="clear" w:color="auto" w:fill="auto"/>
            <w:vAlign w:val="center"/>
          </w:tcPr>
          <w:p w14:paraId="518F7DCE" w14:textId="77777777" w:rsidR="00DF528E" w:rsidRPr="002D2F67" w:rsidRDefault="00DF528E">
            <w:pPr>
              <w:ind w:left="171" w:hanging="171"/>
              <w:rPr>
                <w:rFonts w:ascii="Arial" w:eastAsia="Arial Unicode MS" w:hAnsi="Arial" w:cs="Arial"/>
                <w:color w:val="000000"/>
                <w:sz w:val="14"/>
                <w:szCs w:val="14"/>
                <w:cs/>
              </w:rPr>
            </w:pPr>
          </w:p>
        </w:tc>
        <w:tc>
          <w:tcPr>
            <w:tcW w:w="1068" w:type="dxa"/>
            <w:shd w:val="clear" w:color="auto" w:fill="auto"/>
            <w:vAlign w:val="center"/>
          </w:tcPr>
          <w:p w14:paraId="08DA1970" w14:textId="77777777" w:rsidR="00DF528E" w:rsidRPr="002D2F67" w:rsidRDefault="00DF528E">
            <w:pPr>
              <w:ind w:left="-122" w:right="-72"/>
              <w:jc w:val="right"/>
              <w:rPr>
                <w:rFonts w:ascii="Arial" w:eastAsia="Arial Unicode MS" w:hAnsi="Arial" w:cs="Arial"/>
                <w:color w:val="000000"/>
                <w:sz w:val="14"/>
                <w:szCs w:val="14"/>
              </w:rPr>
            </w:pPr>
          </w:p>
        </w:tc>
        <w:tc>
          <w:tcPr>
            <w:tcW w:w="1068" w:type="dxa"/>
            <w:shd w:val="clear" w:color="auto" w:fill="auto"/>
            <w:vAlign w:val="center"/>
          </w:tcPr>
          <w:p w14:paraId="320E9536" w14:textId="77777777" w:rsidR="00DF528E" w:rsidRPr="002D2F67" w:rsidRDefault="00DF528E">
            <w:pPr>
              <w:ind w:left="-122" w:right="-72"/>
              <w:jc w:val="right"/>
              <w:rPr>
                <w:rFonts w:ascii="Arial" w:eastAsia="Arial Unicode MS" w:hAnsi="Arial" w:cs="Arial"/>
                <w:color w:val="000000"/>
                <w:sz w:val="14"/>
                <w:szCs w:val="14"/>
              </w:rPr>
            </w:pPr>
          </w:p>
        </w:tc>
        <w:tc>
          <w:tcPr>
            <w:tcW w:w="1068" w:type="dxa"/>
            <w:shd w:val="clear" w:color="auto" w:fill="auto"/>
            <w:vAlign w:val="center"/>
          </w:tcPr>
          <w:p w14:paraId="747F02F1" w14:textId="77777777" w:rsidR="00DF528E" w:rsidRPr="002D2F67" w:rsidRDefault="00DF528E">
            <w:pPr>
              <w:ind w:left="-122" w:right="-72"/>
              <w:jc w:val="right"/>
              <w:rPr>
                <w:rFonts w:ascii="Arial" w:eastAsia="Arial Unicode MS" w:hAnsi="Arial" w:cs="Arial"/>
                <w:color w:val="000000"/>
                <w:sz w:val="14"/>
                <w:szCs w:val="14"/>
              </w:rPr>
            </w:pPr>
          </w:p>
        </w:tc>
        <w:tc>
          <w:tcPr>
            <w:tcW w:w="1068" w:type="dxa"/>
            <w:shd w:val="clear" w:color="auto" w:fill="auto"/>
            <w:vAlign w:val="center"/>
          </w:tcPr>
          <w:p w14:paraId="47A0DEF2" w14:textId="77777777" w:rsidR="00DF528E" w:rsidRPr="002D2F67" w:rsidRDefault="00DF528E">
            <w:pPr>
              <w:ind w:left="-122" w:right="-72"/>
              <w:jc w:val="right"/>
              <w:rPr>
                <w:rFonts w:ascii="Arial" w:eastAsia="Arial Unicode MS" w:hAnsi="Arial" w:cs="Arial"/>
                <w:color w:val="000000"/>
                <w:sz w:val="14"/>
                <w:szCs w:val="14"/>
              </w:rPr>
            </w:pPr>
          </w:p>
        </w:tc>
        <w:tc>
          <w:tcPr>
            <w:tcW w:w="1068" w:type="dxa"/>
            <w:shd w:val="clear" w:color="auto" w:fill="auto"/>
            <w:vAlign w:val="center"/>
          </w:tcPr>
          <w:p w14:paraId="0195CC73" w14:textId="77777777" w:rsidR="00DF528E" w:rsidRPr="002D2F67" w:rsidRDefault="00DF528E">
            <w:pPr>
              <w:pStyle w:val="acctfourfigures"/>
              <w:tabs>
                <w:tab w:val="clear" w:pos="765"/>
                <w:tab w:val="decimal" w:pos="550"/>
              </w:tabs>
              <w:spacing w:line="240" w:lineRule="auto"/>
              <w:ind w:right="-72"/>
              <w:jc w:val="right"/>
              <w:rPr>
                <w:rFonts w:ascii="Arial" w:eastAsia="Arial Unicode MS" w:hAnsi="Arial" w:cs="Arial"/>
                <w:color w:val="000000"/>
                <w:sz w:val="14"/>
                <w:szCs w:val="14"/>
                <w:lang w:bidi="th-TH"/>
              </w:rPr>
            </w:pPr>
          </w:p>
        </w:tc>
        <w:tc>
          <w:tcPr>
            <w:tcW w:w="1095" w:type="dxa"/>
            <w:shd w:val="clear" w:color="auto" w:fill="auto"/>
            <w:vAlign w:val="center"/>
          </w:tcPr>
          <w:p w14:paraId="6AD105C8" w14:textId="77777777" w:rsidR="00DF528E" w:rsidRPr="002D2F67" w:rsidRDefault="00DF528E">
            <w:pPr>
              <w:pStyle w:val="acctfourfigures"/>
              <w:tabs>
                <w:tab w:val="clear" w:pos="765"/>
                <w:tab w:val="decimal" w:pos="550"/>
              </w:tabs>
              <w:spacing w:line="240" w:lineRule="auto"/>
              <w:ind w:right="-72"/>
              <w:jc w:val="right"/>
              <w:rPr>
                <w:rFonts w:ascii="Arial" w:eastAsia="Arial Unicode MS" w:hAnsi="Arial" w:cs="Arial"/>
                <w:color w:val="000000"/>
                <w:sz w:val="14"/>
                <w:szCs w:val="14"/>
                <w:lang w:bidi="th-TH"/>
              </w:rPr>
            </w:pPr>
          </w:p>
        </w:tc>
      </w:tr>
      <w:tr w:rsidR="00DF528E" w:rsidRPr="002D2F67" w14:paraId="23F2E102" w14:textId="77777777">
        <w:trPr>
          <w:cantSplit/>
          <w:trHeight w:val="80"/>
        </w:trPr>
        <w:tc>
          <w:tcPr>
            <w:tcW w:w="3261" w:type="dxa"/>
            <w:shd w:val="clear" w:color="auto" w:fill="auto"/>
            <w:vAlign w:val="center"/>
          </w:tcPr>
          <w:p w14:paraId="41B03981" w14:textId="77777777" w:rsidR="00DF528E" w:rsidRPr="002D2F67" w:rsidRDefault="00DF528E">
            <w:pPr>
              <w:pStyle w:val="acctfourfigures"/>
              <w:tabs>
                <w:tab w:val="clear" w:pos="765"/>
                <w:tab w:val="decimal" w:pos="0"/>
              </w:tabs>
              <w:spacing w:line="240" w:lineRule="auto"/>
              <w:ind w:left="-105"/>
              <w:rPr>
                <w:rFonts w:ascii="Arial" w:hAnsi="Arial" w:cs="Arial"/>
                <w:color w:val="000000"/>
                <w:sz w:val="14"/>
                <w:szCs w:val="14"/>
              </w:rPr>
            </w:pPr>
          </w:p>
        </w:tc>
        <w:tc>
          <w:tcPr>
            <w:tcW w:w="5136" w:type="dxa"/>
            <w:shd w:val="clear" w:color="auto" w:fill="auto"/>
            <w:vAlign w:val="center"/>
          </w:tcPr>
          <w:p w14:paraId="209AE919" w14:textId="77777777" w:rsidR="00DF528E" w:rsidRPr="002D2F67" w:rsidRDefault="00DF528E">
            <w:pPr>
              <w:ind w:left="171" w:hanging="171"/>
              <w:rPr>
                <w:rFonts w:ascii="Arial" w:eastAsia="Arial Unicode MS" w:hAnsi="Arial" w:cs="Arial"/>
                <w:color w:val="000000"/>
                <w:sz w:val="14"/>
                <w:szCs w:val="14"/>
                <w:cs/>
              </w:rPr>
            </w:pPr>
          </w:p>
        </w:tc>
        <w:tc>
          <w:tcPr>
            <w:tcW w:w="1068" w:type="dxa"/>
            <w:shd w:val="clear" w:color="auto" w:fill="auto"/>
            <w:vAlign w:val="center"/>
          </w:tcPr>
          <w:p w14:paraId="71ED38C0" w14:textId="77777777" w:rsidR="00DF528E" w:rsidRPr="002D2F67" w:rsidRDefault="00DF528E">
            <w:pPr>
              <w:ind w:left="-122" w:right="-72"/>
              <w:jc w:val="right"/>
              <w:rPr>
                <w:rFonts w:ascii="Arial" w:eastAsia="Arial Unicode MS" w:hAnsi="Arial" w:cs="Arial"/>
                <w:color w:val="000000"/>
                <w:sz w:val="14"/>
                <w:szCs w:val="14"/>
              </w:rPr>
            </w:pPr>
          </w:p>
        </w:tc>
        <w:tc>
          <w:tcPr>
            <w:tcW w:w="1068" w:type="dxa"/>
            <w:shd w:val="clear" w:color="auto" w:fill="auto"/>
            <w:vAlign w:val="center"/>
          </w:tcPr>
          <w:p w14:paraId="34A70155" w14:textId="77777777" w:rsidR="00DF528E" w:rsidRPr="002D2F67" w:rsidRDefault="00DF528E">
            <w:pPr>
              <w:ind w:left="-122" w:right="-72"/>
              <w:jc w:val="right"/>
              <w:rPr>
                <w:rFonts w:ascii="Arial" w:eastAsia="Arial Unicode MS" w:hAnsi="Arial" w:cs="Arial"/>
                <w:color w:val="000000"/>
                <w:sz w:val="14"/>
                <w:szCs w:val="14"/>
              </w:rPr>
            </w:pPr>
          </w:p>
        </w:tc>
        <w:tc>
          <w:tcPr>
            <w:tcW w:w="1068" w:type="dxa"/>
            <w:shd w:val="clear" w:color="auto" w:fill="auto"/>
            <w:vAlign w:val="center"/>
          </w:tcPr>
          <w:p w14:paraId="05EADCCB" w14:textId="77777777" w:rsidR="00DF528E" w:rsidRPr="002D2F67" w:rsidRDefault="00DF528E">
            <w:pPr>
              <w:ind w:left="-122" w:right="-72"/>
              <w:jc w:val="right"/>
              <w:rPr>
                <w:rFonts w:ascii="Arial" w:eastAsia="Arial Unicode MS" w:hAnsi="Arial" w:cs="Arial"/>
                <w:color w:val="000000"/>
                <w:sz w:val="14"/>
                <w:szCs w:val="14"/>
              </w:rPr>
            </w:pPr>
          </w:p>
        </w:tc>
        <w:tc>
          <w:tcPr>
            <w:tcW w:w="1068" w:type="dxa"/>
            <w:shd w:val="clear" w:color="auto" w:fill="auto"/>
            <w:vAlign w:val="center"/>
          </w:tcPr>
          <w:p w14:paraId="1E251317" w14:textId="77777777" w:rsidR="00DF528E" w:rsidRPr="002D2F67" w:rsidRDefault="00DF528E">
            <w:pPr>
              <w:ind w:left="-122" w:right="-72"/>
              <w:jc w:val="right"/>
              <w:rPr>
                <w:rFonts w:ascii="Arial" w:eastAsia="Arial Unicode MS" w:hAnsi="Arial" w:cs="Arial"/>
                <w:color w:val="000000"/>
                <w:sz w:val="14"/>
                <w:szCs w:val="14"/>
              </w:rPr>
            </w:pPr>
          </w:p>
        </w:tc>
        <w:tc>
          <w:tcPr>
            <w:tcW w:w="1068" w:type="dxa"/>
            <w:shd w:val="clear" w:color="auto" w:fill="auto"/>
            <w:vAlign w:val="center"/>
          </w:tcPr>
          <w:p w14:paraId="0F5A2DCE" w14:textId="77777777" w:rsidR="00DF528E" w:rsidRPr="002D2F67" w:rsidRDefault="00DF528E">
            <w:pPr>
              <w:pStyle w:val="acctfourfigures"/>
              <w:tabs>
                <w:tab w:val="clear" w:pos="765"/>
                <w:tab w:val="decimal" w:pos="550"/>
              </w:tabs>
              <w:spacing w:line="240" w:lineRule="auto"/>
              <w:ind w:right="-72"/>
              <w:jc w:val="right"/>
              <w:rPr>
                <w:rFonts w:ascii="Arial" w:eastAsia="Arial Unicode MS" w:hAnsi="Arial" w:cs="Arial"/>
                <w:color w:val="000000"/>
                <w:sz w:val="14"/>
                <w:szCs w:val="14"/>
                <w:lang w:bidi="th-TH"/>
              </w:rPr>
            </w:pPr>
          </w:p>
        </w:tc>
        <w:tc>
          <w:tcPr>
            <w:tcW w:w="1095" w:type="dxa"/>
            <w:shd w:val="clear" w:color="auto" w:fill="auto"/>
            <w:vAlign w:val="center"/>
          </w:tcPr>
          <w:p w14:paraId="119BE027" w14:textId="77777777" w:rsidR="00DF528E" w:rsidRPr="002D2F67" w:rsidRDefault="00DF528E">
            <w:pPr>
              <w:pStyle w:val="acctfourfigures"/>
              <w:tabs>
                <w:tab w:val="clear" w:pos="765"/>
                <w:tab w:val="decimal" w:pos="550"/>
              </w:tabs>
              <w:spacing w:line="240" w:lineRule="auto"/>
              <w:ind w:right="-72"/>
              <w:jc w:val="right"/>
              <w:rPr>
                <w:rFonts w:ascii="Arial" w:eastAsia="Arial Unicode MS" w:hAnsi="Arial" w:cs="Arial"/>
                <w:color w:val="000000"/>
                <w:sz w:val="14"/>
                <w:szCs w:val="14"/>
                <w:lang w:bidi="th-TH"/>
              </w:rPr>
            </w:pPr>
          </w:p>
        </w:tc>
      </w:tr>
      <w:tr w:rsidR="00DF528E" w:rsidRPr="002D2F67" w14:paraId="3331C81B" w14:textId="77777777">
        <w:trPr>
          <w:cantSplit/>
          <w:trHeight w:val="20"/>
        </w:trPr>
        <w:tc>
          <w:tcPr>
            <w:tcW w:w="3261" w:type="dxa"/>
            <w:shd w:val="clear" w:color="auto" w:fill="auto"/>
          </w:tcPr>
          <w:p w14:paraId="37AEBCFA" w14:textId="65EB7866" w:rsidR="00DF528E" w:rsidRPr="002D2F67" w:rsidRDefault="00DF528E">
            <w:pPr>
              <w:pStyle w:val="acctfourfigures"/>
              <w:tabs>
                <w:tab w:val="clear" w:pos="765"/>
                <w:tab w:val="decimal" w:pos="0"/>
              </w:tabs>
              <w:spacing w:line="240" w:lineRule="auto"/>
              <w:ind w:left="-105"/>
              <w:rPr>
                <w:rFonts w:ascii="Arial" w:hAnsi="Arial" w:cs="Arial"/>
                <w:color w:val="000000"/>
                <w:sz w:val="14"/>
                <w:szCs w:val="14"/>
              </w:rPr>
            </w:pPr>
            <w:r w:rsidRPr="002D2F67">
              <w:rPr>
                <w:rFonts w:ascii="Arial" w:hAnsi="Arial" w:cs="Arial"/>
                <w:color w:val="000000"/>
                <w:sz w:val="14"/>
                <w:szCs w:val="14"/>
              </w:rPr>
              <w:t>Airports Energy Absolute Co., Ltd.</w:t>
            </w:r>
          </w:p>
        </w:tc>
        <w:tc>
          <w:tcPr>
            <w:tcW w:w="5136" w:type="dxa"/>
            <w:shd w:val="clear" w:color="auto" w:fill="auto"/>
          </w:tcPr>
          <w:p w14:paraId="182B0A34" w14:textId="77777777" w:rsidR="002D2F67" w:rsidRDefault="00DF528E">
            <w:pPr>
              <w:ind w:left="171" w:hanging="171"/>
              <w:rPr>
                <w:rFonts w:ascii="Arial" w:hAnsi="Arial" w:cs="Arial"/>
                <w:color w:val="000000"/>
                <w:sz w:val="14"/>
                <w:szCs w:val="14"/>
              </w:rPr>
            </w:pPr>
            <w:r w:rsidRPr="002D2F67">
              <w:rPr>
                <w:rFonts w:ascii="Arial" w:hAnsi="Arial" w:cs="Arial"/>
                <w:color w:val="000000"/>
                <w:sz w:val="14"/>
                <w:szCs w:val="14"/>
              </w:rPr>
              <w:t xml:space="preserve">Electricity services and management in the airport </w:t>
            </w:r>
          </w:p>
          <w:p w14:paraId="4594A5F3" w14:textId="409AD5AE" w:rsidR="00DF528E" w:rsidRPr="002D2F67" w:rsidRDefault="002D2F67">
            <w:pPr>
              <w:ind w:left="171" w:hanging="171"/>
              <w:rPr>
                <w:rFonts w:ascii="Arial" w:eastAsia="Arial Unicode MS" w:hAnsi="Arial" w:cs="Arial"/>
                <w:color w:val="000000"/>
                <w:sz w:val="14"/>
                <w:szCs w:val="14"/>
                <w:cs/>
              </w:rPr>
            </w:pPr>
            <w:r>
              <w:rPr>
                <w:rFonts w:ascii="Arial" w:hAnsi="Arial" w:cs="Arial"/>
                <w:color w:val="000000"/>
                <w:sz w:val="14"/>
                <w:szCs w:val="14"/>
              </w:rPr>
              <w:t xml:space="preserve">   </w:t>
            </w:r>
            <w:r w:rsidR="00DF528E" w:rsidRPr="002D2F67">
              <w:rPr>
                <w:rFonts w:ascii="Arial" w:hAnsi="Arial" w:cs="Arial"/>
                <w:color w:val="000000"/>
                <w:sz w:val="14"/>
                <w:szCs w:val="14"/>
              </w:rPr>
              <w:t>(not commercial operations yet)</w:t>
            </w:r>
          </w:p>
        </w:tc>
        <w:tc>
          <w:tcPr>
            <w:tcW w:w="1068" w:type="dxa"/>
            <w:shd w:val="clear" w:color="auto" w:fill="auto"/>
          </w:tcPr>
          <w:p w14:paraId="72AF4107" w14:textId="2BABD469" w:rsidR="00DF528E" w:rsidRPr="002D2F67" w:rsidRDefault="00CD5714">
            <w:pPr>
              <w:pStyle w:val="acctfourfigures"/>
              <w:tabs>
                <w:tab w:val="left" w:pos="720"/>
              </w:tabs>
              <w:spacing w:line="240" w:lineRule="auto"/>
              <w:ind w:right="-72"/>
              <w:jc w:val="right"/>
              <w:rPr>
                <w:rFonts w:ascii="Arial" w:eastAsia="Arial Unicode MS" w:hAnsi="Arial" w:cs="Arial"/>
                <w:color w:val="000000"/>
                <w:sz w:val="14"/>
                <w:szCs w:val="14"/>
                <w:lang w:bidi="th-TH"/>
              </w:rPr>
            </w:pPr>
            <w:r w:rsidRPr="00CD5714">
              <w:rPr>
                <w:rFonts w:ascii="Arial" w:eastAsia="Arial Unicode MS" w:hAnsi="Arial" w:cs="Arial"/>
                <w:color w:val="000000"/>
                <w:sz w:val="14"/>
                <w:szCs w:val="14"/>
                <w:lang w:val="en-GB" w:bidi="th-TH"/>
              </w:rPr>
              <w:t>75</w:t>
            </w:r>
            <w:r w:rsidR="00DF528E" w:rsidRPr="002D2F67">
              <w:rPr>
                <w:rFonts w:ascii="Arial" w:eastAsia="Arial Unicode MS" w:hAnsi="Arial" w:cs="Arial"/>
                <w:color w:val="000000"/>
                <w:sz w:val="14"/>
                <w:szCs w:val="14"/>
                <w:lang w:bidi="th-TH"/>
              </w:rPr>
              <w:t>.</w:t>
            </w:r>
            <w:r w:rsidRPr="00CD5714">
              <w:rPr>
                <w:rFonts w:ascii="Arial" w:eastAsia="Arial Unicode MS" w:hAnsi="Arial" w:cs="Arial"/>
                <w:color w:val="000000"/>
                <w:sz w:val="14"/>
                <w:szCs w:val="14"/>
                <w:lang w:val="en-GB" w:bidi="th-TH"/>
              </w:rPr>
              <w:t>00</w:t>
            </w:r>
          </w:p>
        </w:tc>
        <w:tc>
          <w:tcPr>
            <w:tcW w:w="1068" w:type="dxa"/>
            <w:shd w:val="clear" w:color="auto" w:fill="auto"/>
          </w:tcPr>
          <w:p w14:paraId="485E9D02" w14:textId="2CD5C378" w:rsidR="00DF528E" w:rsidRPr="002D2F67" w:rsidRDefault="00CD5714">
            <w:pPr>
              <w:ind w:left="-122" w:right="-72"/>
              <w:jc w:val="right"/>
              <w:rPr>
                <w:rFonts w:ascii="Arial" w:eastAsia="Arial Unicode MS" w:hAnsi="Arial" w:cs="Arial"/>
                <w:color w:val="000000"/>
                <w:sz w:val="14"/>
                <w:szCs w:val="14"/>
              </w:rPr>
            </w:pPr>
            <w:r w:rsidRPr="00CD5714">
              <w:rPr>
                <w:rFonts w:ascii="Arial" w:eastAsia="Arial Unicode MS" w:hAnsi="Arial" w:cs="Arial"/>
                <w:color w:val="000000"/>
                <w:sz w:val="14"/>
                <w:szCs w:val="14"/>
                <w:lang w:val="en-GB"/>
              </w:rPr>
              <w:t>95</w:t>
            </w:r>
            <w:r w:rsidR="00DF528E" w:rsidRPr="002D2F67">
              <w:rPr>
                <w:rFonts w:ascii="Arial" w:eastAsia="Arial Unicode MS" w:hAnsi="Arial" w:cs="Arial"/>
                <w:color w:val="000000"/>
                <w:sz w:val="14"/>
                <w:szCs w:val="14"/>
              </w:rPr>
              <w:t>.</w:t>
            </w:r>
            <w:r w:rsidRPr="00CD5714">
              <w:rPr>
                <w:rFonts w:ascii="Arial" w:eastAsia="Arial Unicode MS" w:hAnsi="Arial" w:cs="Arial"/>
                <w:color w:val="000000"/>
                <w:sz w:val="14"/>
                <w:szCs w:val="14"/>
                <w:lang w:val="en-GB"/>
              </w:rPr>
              <w:t>00</w:t>
            </w:r>
          </w:p>
        </w:tc>
        <w:tc>
          <w:tcPr>
            <w:tcW w:w="1068" w:type="dxa"/>
            <w:shd w:val="clear" w:color="auto" w:fill="auto"/>
          </w:tcPr>
          <w:p w14:paraId="70BA2C1E" w14:textId="1CCDCA7D" w:rsidR="00DF528E" w:rsidRPr="002D2F67" w:rsidRDefault="00CD5714">
            <w:pPr>
              <w:ind w:left="-122" w:right="-72"/>
              <w:jc w:val="right"/>
              <w:rPr>
                <w:rFonts w:ascii="Arial" w:eastAsia="Arial Unicode MS" w:hAnsi="Arial" w:cs="Arial"/>
                <w:color w:val="000000"/>
                <w:sz w:val="14"/>
                <w:szCs w:val="14"/>
              </w:rPr>
            </w:pPr>
            <w:r w:rsidRPr="00CD5714">
              <w:rPr>
                <w:rFonts w:ascii="Arial" w:eastAsia="Arial Unicode MS" w:hAnsi="Arial" w:cs="Arial"/>
                <w:color w:val="000000"/>
                <w:sz w:val="14"/>
                <w:szCs w:val="14"/>
                <w:lang w:val="en-GB"/>
              </w:rPr>
              <w:t>127</w:t>
            </w:r>
            <w:r w:rsidR="00DF528E" w:rsidRPr="002D2F67">
              <w:rPr>
                <w:rFonts w:ascii="Arial" w:eastAsia="Arial Unicode MS" w:hAnsi="Arial" w:cs="Arial"/>
                <w:color w:val="000000"/>
                <w:sz w:val="14"/>
                <w:szCs w:val="14"/>
              </w:rPr>
              <w:t>,</w:t>
            </w:r>
            <w:r w:rsidRPr="00CD5714">
              <w:rPr>
                <w:rFonts w:ascii="Arial" w:eastAsia="Arial Unicode MS" w:hAnsi="Arial" w:cs="Arial"/>
                <w:color w:val="000000"/>
                <w:sz w:val="14"/>
                <w:szCs w:val="14"/>
                <w:lang w:val="en-GB"/>
              </w:rPr>
              <w:t>998</w:t>
            </w:r>
          </w:p>
        </w:tc>
        <w:tc>
          <w:tcPr>
            <w:tcW w:w="1068" w:type="dxa"/>
            <w:shd w:val="clear" w:color="auto" w:fill="auto"/>
          </w:tcPr>
          <w:p w14:paraId="313B654C" w14:textId="13FF14C5" w:rsidR="00DF528E" w:rsidRPr="002D2F67" w:rsidRDefault="00CD5714">
            <w:pPr>
              <w:ind w:left="-122" w:right="-72"/>
              <w:jc w:val="right"/>
              <w:rPr>
                <w:rFonts w:ascii="Arial" w:eastAsia="Arial Unicode MS" w:hAnsi="Arial" w:cs="Arial"/>
                <w:color w:val="000000"/>
                <w:sz w:val="14"/>
                <w:szCs w:val="14"/>
              </w:rPr>
            </w:pPr>
            <w:r w:rsidRPr="00CD5714">
              <w:rPr>
                <w:rFonts w:ascii="Arial" w:eastAsia="Arial Unicode MS" w:hAnsi="Arial" w:cs="Arial"/>
                <w:color w:val="000000"/>
                <w:sz w:val="14"/>
                <w:szCs w:val="14"/>
                <w:lang w:val="en-GB"/>
              </w:rPr>
              <w:t>25</w:t>
            </w:r>
            <w:r w:rsidR="00DF528E" w:rsidRPr="002D2F67">
              <w:rPr>
                <w:rFonts w:ascii="Arial" w:eastAsia="Arial Unicode MS" w:hAnsi="Arial" w:cs="Arial"/>
                <w:color w:val="000000"/>
                <w:sz w:val="14"/>
                <w:szCs w:val="14"/>
              </w:rPr>
              <w:t>,</w:t>
            </w:r>
            <w:r w:rsidRPr="00CD5714">
              <w:rPr>
                <w:rFonts w:ascii="Arial" w:eastAsia="Arial Unicode MS" w:hAnsi="Arial" w:cs="Arial"/>
                <w:color w:val="000000"/>
                <w:sz w:val="14"/>
                <w:szCs w:val="14"/>
                <w:lang w:val="en-GB"/>
              </w:rPr>
              <w:t>000</w:t>
            </w:r>
          </w:p>
        </w:tc>
        <w:tc>
          <w:tcPr>
            <w:tcW w:w="1068" w:type="dxa"/>
            <w:shd w:val="clear" w:color="auto" w:fill="auto"/>
          </w:tcPr>
          <w:p w14:paraId="4EA9EBC0" w14:textId="77777777" w:rsidR="00DF528E" w:rsidRPr="002D2F67" w:rsidRDefault="00DF528E">
            <w:pPr>
              <w:pStyle w:val="acctfourfigures"/>
              <w:tabs>
                <w:tab w:val="clear" w:pos="765"/>
                <w:tab w:val="decimal" w:pos="550"/>
              </w:tabs>
              <w:spacing w:line="240" w:lineRule="auto"/>
              <w:ind w:right="-72"/>
              <w:jc w:val="right"/>
              <w:rPr>
                <w:rFonts w:ascii="Arial" w:eastAsia="Arial Unicode MS" w:hAnsi="Arial" w:cs="Arial"/>
                <w:color w:val="000000"/>
                <w:sz w:val="14"/>
                <w:szCs w:val="14"/>
                <w:lang w:bidi="th-TH"/>
              </w:rPr>
            </w:pPr>
            <w:r w:rsidRPr="002D2F67">
              <w:rPr>
                <w:rFonts w:ascii="Arial" w:eastAsia="Arial Unicode MS" w:hAnsi="Arial" w:cs="Arial"/>
                <w:color w:val="000000"/>
                <w:sz w:val="14"/>
                <w:szCs w:val="14"/>
                <w:lang w:bidi="th-TH"/>
              </w:rPr>
              <w:t>-</w:t>
            </w:r>
          </w:p>
        </w:tc>
        <w:tc>
          <w:tcPr>
            <w:tcW w:w="1095" w:type="dxa"/>
            <w:shd w:val="clear" w:color="auto" w:fill="auto"/>
          </w:tcPr>
          <w:p w14:paraId="67C6081A" w14:textId="77777777" w:rsidR="00DF528E" w:rsidRPr="002D2F67" w:rsidRDefault="00DF528E">
            <w:pPr>
              <w:pStyle w:val="acctfourfigures"/>
              <w:tabs>
                <w:tab w:val="clear" w:pos="765"/>
                <w:tab w:val="decimal" w:pos="550"/>
              </w:tabs>
              <w:spacing w:line="240" w:lineRule="auto"/>
              <w:ind w:right="-72"/>
              <w:jc w:val="right"/>
              <w:rPr>
                <w:rFonts w:ascii="Arial" w:eastAsia="Arial Unicode MS" w:hAnsi="Arial" w:cs="Arial"/>
                <w:color w:val="000000"/>
                <w:sz w:val="14"/>
                <w:szCs w:val="14"/>
                <w:lang w:bidi="th-TH"/>
              </w:rPr>
            </w:pPr>
            <w:r w:rsidRPr="002D2F67">
              <w:rPr>
                <w:rFonts w:ascii="Arial" w:eastAsia="Arial Unicode MS" w:hAnsi="Arial" w:cs="Arial"/>
                <w:color w:val="000000"/>
                <w:sz w:val="14"/>
                <w:szCs w:val="14"/>
                <w:lang w:bidi="th-TH"/>
              </w:rPr>
              <w:t>-</w:t>
            </w:r>
          </w:p>
        </w:tc>
      </w:tr>
      <w:tr w:rsidR="00DF528E" w:rsidRPr="002D2F67" w14:paraId="6AA3338C" w14:textId="77777777">
        <w:trPr>
          <w:cantSplit/>
          <w:trHeight w:val="20"/>
        </w:trPr>
        <w:tc>
          <w:tcPr>
            <w:tcW w:w="3261" w:type="dxa"/>
            <w:shd w:val="clear" w:color="auto" w:fill="auto"/>
            <w:vAlign w:val="center"/>
          </w:tcPr>
          <w:p w14:paraId="17D6748D" w14:textId="77777777" w:rsidR="00DF528E" w:rsidRPr="002D2F67" w:rsidRDefault="00DF528E">
            <w:pPr>
              <w:pStyle w:val="acctfourfigures"/>
              <w:tabs>
                <w:tab w:val="clear" w:pos="765"/>
                <w:tab w:val="decimal" w:pos="0"/>
              </w:tabs>
              <w:spacing w:line="240" w:lineRule="auto"/>
              <w:ind w:left="-105"/>
              <w:rPr>
                <w:rFonts w:ascii="Arial" w:hAnsi="Arial" w:cs="Arial"/>
                <w:color w:val="000000"/>
                <w:sz w:val="14"/>
                <w:szCs w:val="14"/>
              </w:rPr>
            </w:pPr>
          </w:p>
        </w:tc>
        <w:tc>
          <w:tcPr>
            <w:tcW w:w="5136" w:type="dxa"/>
            <w:shd w:val="clear" w:color="auto" w:fill="auto"/>
            <w:vAlign w:val="center"/>
          </w:tcPr>
          <w:p w14:paraId="1941F64E" w14:textId="77777777" w:rsidR="00DF528E" w:rsidRPr="002D2F67" w:rsidRDefault="00DF528E">
            <w:pPr>
              <w:ind w:left="171" w:hanging="171"/>
              <w:rPr>
                <w:rFonts w:ascii="Arial" w:eastAsia="Arial Unicode MS" w:hAnsi="Arial" w:cs="Arial"/>
                <w:color w:val="000000"/>
                <w:sz w:val="14"/>
                <w:szCs w:val="14"/>
                <w:cs/>
              </w:rPr>
            </w:pPr>
          </w:p>
        </w:tc>
        <w:tc>
          <w:tcPr>
            <w:tcW w:w="1068" w:type="dxa"/>
            <w:shd w:val="clear" w:color="auto" w:fill="auto"/>
            <w:vAlign w:val="center"/>
          </w:tcPr>
          <w:p w14:paraId="1292C0D7" w14:textId="77777777" w:rsidR="00DF528E" w:rsidRPr="002D2F67" w:rsidRDefault="00DF528E">
            <w:pPr>
              <w:pStyle w:val="acctfourfigures"/>
              <w:tabs>
                <w:tab w:val="left" w:pos="720"/>
              </w:tabs>
              <w:spacing w:line="240" w:lineRule="auto"/>
              <w:ind w:right="-72"/>
              <w:jc w:val="right"/>
              <w:rPr>
                <w:rFonts w:ascii="Arial" w:eastAsia="Arial Unicode MS" w:hAnsi="Arial" w:cs="Arial"/>
                <w:color w:val="000000"/>
                <w:sz w:val="14"/>
                <w:szCs w:val="14"/>
                <w:lang w:bidi="th-TH"/>
              </w:rPr>
            </w:pPr>
          </w:p>
        </w:tc>
        <w:tc>
          <w:tcPr>
            <w:tcW w:w="1068" w:type="dxa"/>
            <w:shd w:val="clear" w:color="auto" w:fill="auto"/>
            <w:vAlign w:val="center"/>
          </w:tcPr>
          <w:p w14:paraId="22FCBBEB" w14:textId="77777777" w:rsidR="00DF528E" w:rsidRPr="002D2F67" w:rsidRDefault="00DF528E">
            <w:pPr>
              <w:ind w:left="-122" w:right="-72"/>
              <w:jc w:val="right"/>
              <w:rPr>
                <w:rFonts w:ascii="Arial" w:eastAsia="Arial Unicode MS" w:hAnsi="Arial" w:cs="Arial"/>
                <w:color w:val="000000"/>
                <w:sz w:val="14"/>
                <w:szCs w:val="14"/>
              </w:rPr>
            </w:pPr>
          </w:p>
        </w:tc>
        <w:tc>
          <w:tcPr>
            <w:tcW w:w="1068" w:type="dxa"/>
            <w:shd w:val="clear" w:color="auto" w:fill="auto"/>
            <w:vAlign w:val="center"/>
          </w:tcPr>
          <w:p w14:paraId="54C1E89B" w14:textId="77777777" w:rsidR="00DF528E" w:rsidRPr="002D2F67" w:rsidRDefault="00DF528E">
            <w:pPr>
              <w:ind w:left="-122" w:right="-72"/>
              <w:jc w:val="right"/>
              <w:rPr>
                <w:rFonts w:ascii="Arial" w:eastAsia="Arial Unicode MS" w:hAnsi="Arial" w:cs="Arial"/>
                <w:color w:val="000000"/>
                <w:sz w:val="14"/>
                <w:szCs w:val="14"/>
              </w:rPr>
            </w:pPr>
          </w:p>
        </w:tc>
        <w:tc>
          <w:tcPr>
            <w:tcW w:w="1068" w:type="dxa"/>
            <w:shd w:val="clear" w:color="auto" w:fill="auto"/>
            <w:vAlign w:val="center"/>
          </w:tcPr>
          <w:p w14:paraId="2E057207" w14:textId="77777777" w:rsidR="00DF528E" w:rsidRPr="002D2F67" w:rsidRDefault="00DF528E">
            <w:pPr>
              <w:ind w:left="-122" w:right="-72"/>
              <w:jc w:val="right"/>
              <w:rPr>
                <w:rFonts w:ascii="Arial" w:eastAsia="Arial Unicode MS" w:hAnsi="Arial" w:cs="Arial"/>
                <w:color w:val="000000"/>
                <w:sz w:val="14"/>
                <w:szCs w:val="14"/>
              </w:rPr>
            </w:pPr>
          </w:p>
        </w:tc>
        <w:tc>
          <w:tcPr>
            <w:tcW w:w="1068" w:type="dxa"/>
            <w:shd w:val="clear" w:color="auto" w:fill="auto"/>
            <w:vAlign w:val="center"/>
          </w:tcPr>
          <w:p w14:paraId="21F449B7" w14:textId="77777777" w:rsidR="00DF528E" w:rsidRPr="002D2F67" w:rsidRDefault="00DF528E">
            <w:pPr>
              <w:pStyle w:val="acctfourfigures"/>
              <w:tabs>
                <w:tab w:val="clear" w:pos="765"/>
                <w:tab w:val="decimal" w:pos="550"/>
              </w:tabs>
              <w:spacing w:line="240" w:lineRule="auto"/>
              <w:ind w:right="-72"/>
              <w:jc w:val="right"/>
              <w:rPr>
                <w:rFonts w:ascii="Arial" w:eastAsia="Arial Unicode MS" w:hAnsi="Arial" w:cs="Arial"/>
                <w:color w:val="000000"/>
                <w:sz w:val="14"/>
                <w:szCs w:val="14"/>
                <w:lang w:bidi="th-TH"/>
              </w:rPr>
            </w:pPr>
          </w:p>
        </w:tc>
        <w:tc>
          <w:tcPr>
            <w:tcW w:w="1095" w:type="dxa"/>
            <w:shd w:val="clear" w:color="auto" w:fill="auto"/>
            <w:vAlign w:val="center"/>
          </w:tcPr>
          <w:p w14:paraId="33BCBCC9" w14:textId="77777777" w:rsidR="00DF528E" w:rsidRPr="002D2F67" w:rsidRDefault="00DF528E">
            <w:pPr>
              <w:pStyle w:val="acctfourfigures"/>
              <w:tabs>
                <w:tab w:val="clear" w:pos="765"/>
                <w:tab w:val="decimal" w:pos="550"/>
              </w:tabs>
              <w:spacing w:line="240" w:lineRule="auto"/>
              <w:ind w:right="-72"/>
              <w:jc w:val="right"/>
              <w:rPr>
                <w:rFonts w:ascii="Arial" w:eastAsia="Arial Unicode MS" w:hAnsi="Arial" w:cs="Arial"/>
                <w:color w:val="000000"/>
                <w:sz w:val="14"/>
                <w:szCs w:val="14"/>
                <w:lang w:bidi="th-TH"/>
              </w:rPr>
            </w:pPr>
          </w:p>
        </w:tc>
      </w:tr>
      <w:tr w:rsidR="00DF528E" w:rsidRPr="002D2F67" w14:paraId="597B577C" w14:textId="77777777">
        <w:trPr>
          <w:cantSplit/>
          <w:trHeight w:val="20"/>
        </w:trPr>
        <w:tc>
          <w:tcPr>
            <w:tcW w:w="8397" w:type="dxa"/>
            <w:gridSpan w:val="2"/>
            <w:shd w:val="clear" w:color="auto" w:fill="auto"/>
            <w:vAlign w:val="center"/>
          </w:tcPr>
          <w:p w14:paraId="11FD7B79" w14:textId="77777777" w:rsidR="00DF528E" w:rsidRPr="002D2F67" w:rsidRDefault="00DF528E">
            <w:pPr>
              <w:ind w:left="-105"/>
              <w:rPr>
                <w:rFonts w:ascii="Arial" w:eastAsia="Arial Unicode MS" w:hAnsi="Arial" w:cs="Arial"/>
                <w:color w:val="000000"/>
                <w:sz w:val="14"/>
                <w:szCs w:val="14"/>
                <w:cs/>
              </w:rPr>
            </w:pPr>
            <w:r w:rsidRPr="002D2F67">
              <w:rPr>
                <w:rFonts w:ascii="Arial" w:hAnsi="Arial" w:cs="Arial"/>
                <w:color w:val="000000"/>
                <w:sz w:val="14"/>
                <w:szCs w:val="14"/>
              </w:rPr>
              <w:t>Joint venture incorporated in the People’s Republic of China</w:t>
            </w:r>
          </w:p>
        </w:tc>
        <w:tc>
          <w:tcPr>
            <w:tcW w:w="1068" w:type="dxa"/>
            <w:shd w:val="clear" w:color="auto" w:fill="auto"/>
            <w:vAlign w:val="center"/>
          </w:tcPr>
          <w:p w14:paraId="44767CDD" w14:textId="77777777" w:rsidR="00DF528E" w:rsidRPr="002D2F67" w:rsidRDefault="00DF528E">
            <w:pPr>
              <w:pStyle w:val="acctfourfigures"/>
              <w:tabs>
                <w:tab w:val="left" w:pos="720"/>
              </w:tabs>
              <w:spacing w:line="240" w:lineRule="auto"/>
              <w:ind w:right="-72"/>
              <w:jc w:val="right"/>
              <w:rPr>
                <w:rFonts w:ascii="Arial" w:eastAsia="Arial Unicode MS" w:hAnsi="Arial" w:cs="Arial"/>
                <w:color w:val="000000"/>
                <w:sz w:val="14"/>
                <w:szCs w:val="14"/>
                <w:lang w:bidi="th-TH"/>
              </w:rPr>
            </w:pPr>
          </w:p>
        </w:tc>
        <w:tc>
          <w:tcPr>
            <w:tcW w:w="1068" w:type="dxa"/>
            <w:shd w:val="clear" w:color="auto" w:fill="auto"/>
            <w:vAlign w:val="center"/>
          </w:tcPr>
          <w:p w14:paraId="10A11510" w14:textId="77777777" w:rsidR="00DF528E" w:rsidRPr="002D2F67" w:rsidRDefault="00DF528E">
            <w:pPr>
              <w:ind w:left="-122" w:right="-72"/>
              <w:jc w:val="right"/>
              <w:rPr>
                <w:rFonts w:ascii="Arial" w:eastAsia="Arial Unicode MS" w:hAnsi="Arial" w:cs="Arial"/>
                <w:color w:val="000000"/>
                <w:sz w:val="14"/>
                <w:szCs w:val="14"/>
              </w:rPr>
            </w:pPr>
          </w:p>
        </w:tc>
        <w:tc>
          <w:tcPr>
            <w:tcW w:w="1068" w:type="dxa"/>
            <w:shd w:val="clear" w:color="auto" w:fill="auto"/>
            <w:vAlign w:val="center"/>
          </w:tcPr>
          <w:p w14:paraId="0EB1B413" w14:textId="77777777" w:rsidR="00DF528E" w:rsidRPr="002D2F67" w:rsidRDefault="00DF528E">
            <w:pPr>
              <w:ind w:left="-122" w:right="-72"/>
              <w:jc w:val="right"/>
              <w:rPr>
                <w:rFonts w:ascii="Arial" w:eastAsia="Arial Unicode MS" w:hAnsi="Arial" w:cs="Arial"/>
                <w:color w:val="000000"/>
                <w:sz w:val="14"/>
                <w:szCs w:val="14"/>
              </w:rPr>
            </w:pPr>
          </w:p>
        </w:tc>
        <w:tc>
          <w:tcPr>
            <w:tcW w:w="1068" w:type="dxa"/>
            <w:shd w:val="clear" w:color="auto" w:fill="auto"/>
            <w:vAlign w:val="center"/>
          </w:tcPr>
          <w:p w14:paraId="5255E54A" w14:textId="77777777" w:rsidR="00DF528E" w:rsidRPr="002D2F67" w:rsidRDefault="00DF528E">
            <w:pPr>
              <w:ind w:left="-122" w:right="-72"/>
              <w:jc w:val="right"/>
              <w:rPr>
                <w:rFonts w:ascii="Arial" w:eastAsia="Arial Unicode MS" w:hAnsi="Arial" w:cs="Arial"/>
                <w:color w:val="000000"/>
                <w:sz w:val="14"/>
                <w:szCs w:val="14"/>
              </w:rPr>
            </w:pPr>
          </w:p>
        </w:tc>
        <w:tc>
          <w:tcPr>
            <w:tcW w:w="1068" w:type="dxa"/>
            <w:shd w:val="clear" w:color="auto" w:fill="auto"/>
            <w:vAlign w:val="center"/>
          </w:tcPr>
          <w:p w14:paraId="444A1E0D" w14:textId="77777777" w:rsidR="00DF528E" w:rsidRPr="002D2F67" w:rsidRDefault="00DF528E">
            <w:pPr>
              <w:pStyle w:val="acctfourfigures"/>
              <w:tabs>
                <w:tab w:val="clear" w:pos="765"/>
                <w:tab w:val="decimal" w:pos="550"/>
              </w:tabs>
              <w:spacing w:line="240" w:lineRule="auto"/>
              <w:ind w:right="-72"/>
              <w:jc w:val="right"/>
              <w:rPr>
                <w:rFonts w:ascii="Arial" w:eastAsia="Arial Unicode MS" w:hAnsi="Arial" w:cs="Arial"/>
                <w:color w:val="000000"/>
                <w:sz w:val="14"/>
                <w:szCs w:val="14"/>
                <w:lang w:bidi="th-TH"/>
              </w:rPr>
            </w:pPr>
          </w:p>
        </w:tc>
        <w:tc>
          <w:tcPr>
            <w:tcW w:w="1095" w:type="dxa"/>
            <w:shd w:val="clear" w:color="auto" w:fill="auto"/>
            <w:vAlign w:val="center"/>
          </w:tcPr>
          <w:p w14:paraId="6A6FAE37" w14:textId="77777777" w:rsidR="00DF528E" w:rsidRPr="002D2F67" w:rsidRDefault="00DF528E">
            <w:pPr>
              <w:pStyle w:val="acctfourfigures"/>
              <w:tabs>
                <w:tab w:val="clear" w:pos="765"/>
                <w:tab w:val="decimal" w:pos="550"/>
              </w:tabs>
              <w:spacing w:line="240" w:lineRule="auto"/>
              <w:ind w:right="-72"/>
              <w:jc w:val="right"/>
              <w:rPr>
                <w:rFonts w:ascii="Arial" w:eastAsia="Arial Unicode MS" w:hAnsi="Arial" w:cs="Arial"/>
                <w:color w:val="000000"/>
                <w:sz w:val="14"/>
                <w:szCs w:val="14"/>
                <w:lang w:bidi="th-TH"/>
              </w:rPr>
            </w:pPr>
          </w:p>
        </w:tc>
      </w:tr>
      <w:tr w:rsidR="00DF528E" w:rsidRPr="002D2F67" w14:paraId="0024A11F" w14:textId="77777777">
        <w:trPr>
          <w:cantSplit/>
          <w:trHeight w:val="20"/>
        </w:trPr>
        <w:tc>
          <w:tcPr>
            <w:tcW w:w="8397" w:type="dxa"/>
            <w:gridSpan w:val="2"/>
            <w:shd w:val="clear" w:color="auto" w:fill="auto"/>
            <w:vAlign w:val="center"/>
          </w:tcPr>
          <w:p w14:paraId="6BD81247" w14:textId="77777777" w:rsidR="00DF528E" w:rsidRPr="002D2F67" w:rsidRDefault="00DF528E">
            <w:pPr>
              <w:ind w:left="-105"/>
              <w:rPr>
                <w:rFonts w:ascii="Arial" w:hAnsi="Arial" w:cs="Arial"/>
                <w:color w:val="000000"/>
                <w:sz w:val="14"/>
                <w:szCs w:val="14"/>
              </w:rPr>
            </w:pPr>
          </w:p>
        </w:tc>
        <w:tc>
          <w:tcPr>
            <w:tcW w:w="1068" w:type="dxa"/>
            <w:shd w:val="clear" w:color="auto" w:fill="auto"/>
            <w:vAlign w:val="center"/>
          </w:tcPr>
          <w:p w14:paraId="5B420CA7" w14:textId="77777777" w:rsidR="00DF528E" w:rsidRPr="002D2F67" w:rsidRDefault="00DF528E">
            <w:pPr>
              <w:pStyle w:val="acctfourfigures"/>
              <w:tabs>
                <w:tab w:val="left" w:pos="720"/>
              </w:tabs>
              <w:spacing w:line="240" w:lineRule="auto"/>
              <w:ind w:right="-72"/>
              <w:jc w:val="right"/>
              <w:rPr>
                <w:rFonts w:ascii="Arial" w:eastAsia="Arial Unicode MS" w:hAnsi="Arial" w:cs="Arial"/>
                <w:color w:val="000000"/>
                <w:sz w:val="14"/>
                <w:szCs w:val="14"/>
                <w:lang w:bidi="th-TH"/>
              </w:rPr>
            </w:pPr>
          </w:p>
        </w:tc>
        <w:tc>
          <w:tcPr>
            <w:tcW w:w="1068" w:type="dxa"/>
            <w:shd w:val="clear" w:color="auto" w:fill="auto"/>
            <w:vAlign w:val="center"/>
          </w:tcPr>
          <w:p w14:paraId="0FEC3B03" w14:textId="77777777" w:rsidR="00DF528E" w:rsidRPr="002D2F67" w:rsidRDefault="00DF528E">
            <w:pPr>
              <w:ind w:left="-122" w:right="-72"/>
              <w:jc w:val="right"/>
              <w:rPr>
                <w:rFonts w:ascii="Arial" w:eastAsia="Arial Unicode MS" w:hAnsi="Arial" w:cs="Arial"/>
                <w:color w:val="000000"/>
                <w:sz w:val="14"/>
                <w:szCs w:val="14"/>
              </w:rPr>
            </w:pPr>
          </w:p>
        </w:tc>
        <w:tc>
          <w:tcPr>
            <w:tcW w:w="1068" w:type="dxa"/>
            <w:shd w:val="clear" w:color="auto" w:fill="auto"/>
            <w:vAlign w:val="center"/>
          </w:tcPr>
          <w:p w14:paraId="74A09B7B" w14:textId="77777777" w:rsidR="00DF528E" w:rsidRPr="002D2F67" w:rsidRDefault="00DF528E">
            <w:pPr>
              <w:ind w:left="-122" w:right="-72"/>
              <w:jc w:val="right"/>
              <w:rPr>
                <w:rFonts w:ascii="Arial" w:eastAsia="Arial Unicode MS" w:hAnsi="Arial" w:cs="Arial"/>
                <w:color w:val="000000"/>
                <w:sz w:val="14"/>
                <w:szCs w:val="14"/>
              </w:rPr>
            </w:pPr>
          </w:p>
        </w:tc>
        <w:tc>
          <w:tcPr>
            <w:tcW w:w="1068" w:type="dxa"/>
            <w:shd w:val="clear" w:color="auto" w:fill="auto"/>
            <w:vAlign w:val="center"/>
          </w:tcPr>
          <w:p w14:paraId="5079C321" w14:textId="77777777" w:rsidR="00DF528E" w:rsidRPr="002D2F67" w:rsidRDefault="00DF528E">
            <w:pPr>
              <w:ind w:left="-122" w:right="-72"/>
              <w:jc w:val="right"/>
              <w:rPr>
                <w:rFonts w:ascii="Arial" w:eastAsia="Arial Unicode MS" w:hAnsi="Arial" w:cs="Arial"/>
                <w:color w:val="000000"/>
                <w:sz w:val="14"/>
                <w:szCs w:val="14"/>
              </w:rPr>
            </w:pPr>
          </w:p>
        </w:tc>
        <w:tc>
          <w:tcPr>
            <w:tcW w:w="1068" w:type="dxa"/>
            <w:shd w:val="clear" w:color="auto" w:fill="auto"/>
            <w:vAlign w:val="center"/>
          </w:tcPr>
          <w:p w14:paraId="6A3FB628" w14:textId="77777777" w:rsidR="00DF528E" w:rsidRPr="002D2F67" w:rsidRDefault="00DF528E">
            <w:pPr>
              <w:pStyle w:val="acctfourfigures"/>
              <w:tabs>
                <w:tab w:val="clear" w:pos="765"/>
                <w:tab w:val="decimal" w:pos="550"/>
              </w:tabs>
              <w:spacing w:line="240" w:lineRule="auto"/>
              <w:ind w:right="-72"/>
              <w:jc w:val="right"/>
              <w:rPr>
                <w:rFonts w:ascii="Arial" w:eastAsia="Arial Unicode MS" w:hAnsi="Arial" w:cs="Arial"/>
                <w:color w:val="000000"/>
                <w:sz w:val="14"/>
                <w:szCs w:val="14"/>
                <w:lang w:bidi="th-TH"/>
              </w:rPr>
            </w:pPr>
          </w:p>
        </w:tc>
        <w:tc>
          <w:tcPr>
            <w:tcW w:w="1095" w:type="dxa"/>
            <w:shd w:val="clear" w:color="auto" w:fill="auto"/>
            <w:vAlign w:val="center"/>
          </w:tcPr>
          <w:p w14:paraId="293C0F53" w14:textId="77777777" w:rsidR="00DF528E" w:rsidRPr="002D2F67" w:rsidRDefault="00DF528E">
            <w:pPr>
              <w:pStyle w:val="acctfourfigures"/>
              <w:tabs>
                <w:tab w:val="clear" w:pos="765"/>
                <w:tab w:val="decimal" w:pos="550"/>
              </w:tabs>
              <w:spacing w:line="240" w:lineRule="auto"/>
              <w:ind w:right="-72"/>
              <w:jc w:val="right"/>
              <w:rPr>
                <w:rFonts w:ascii="Arial" w:eastAsia="Arial Unicode MS" w:hAnsi="Arial" w:cs="Arial"/>
                <w:color w:val="000000"/>
                <w:sz w:val="14"/>
                <w:szCs w:val="14"/>
                <w:lang w:bidi="th-TH"/>
              </w:rPr>
            </w:pPr>
          </w:p>
        </w:tc>
      </w:tr>
      <w:tr w:rsidR="00DF528E" w:rsidRPr="002D2F67" w14:paraId="632ECA30" w14:textId="77777777">
        <w:trPr>
          <w:cantSplit/>
          <w:trHeight w:val="20"/>
        </w:trPr>
        <w:tc>
          <w:tcPr>
            <w:tcW w:w="3261" w:type="dxa"/>
            <w:shd w:val="clear" w:color="auto" w:fill="auto"/>
          </w:tcPr>
          <w:p w14:paraId="1845DE0F" w14:textId="5D0EE0C2" w:rsidR="00DF528E" w:rsidRPr="002D2F67" w:rsidRDefault="00DF528E">
            <w:pPr>
              <w:ind w:left="-105" w:right="-123"/>
              <w:rPr>
                <w:rFonts w:ascii="Arial" w:eastAsia="Arial Unicode MS" w:hAnsi="Arial" w:cs="Arial"/>
                <w:color w:val="000000"/>
                <w:sz w:val="14"/>
                <w:szCs w:val="14"/>
                <w:cs/>
              </w:rPr>
            </w:pPr>
            <w:r w:rsidRPr="002D2F67">
              <w:rPr>
                <w:rFonts w:ascii="Arial" w:eastAsia="Arial Unicode MS" w:hAnsi="Arial" w:cs="Arial"/>
                <w:color w:val="000000"/>
                <w:sz w:val="14"/>
                <w:szCs w:val="14"/>
              </w:rPr>
              <w:t>Shenzhen Atess Power Technology Co., Ltd.</w:t>
            </w:r>
          </w:p>
        </w:tc>
        <w:tc>
          <w:tcPr>
            <w:tcW w:w="5136" w:type="dxa"/>
            <w:shd w:val="clear" w:color="auto" w:fill="auto"/>
            <w:vAlign w:val="center"/>
          </w:tcPr>
          <w:p w14:paraId="4B6496FA" w14:textId="77777777" w:rsidR="00DF528E" w:rsidRPr="002D2F67" w:rsidRDefault="00DF528E">
            <w:pPr>
              <w:rPr>
                <w:rFonts w:ascii="Arial" w:eastAsia="Arial Unicode MS" w:hAnsi="Arial" w:cs="Arial"/>
                <w:color w:val="000000"/>
                <w:sz w:val="14"/>
                <w:szCs w:val="14"/>
                <w:cs/>
              </w:rPr>
            </w:pPr>
            <w:r w:rsidRPr="002D2F67">
              <w:rPr>
                <w:rFonts w:ascii="Arial" w:hAnsi="Arial" w:cs="Arial"/>
                <w:color w:val="000000"/>
                <w:sz w:val="14"/>
                <w:szCs w:val="14"/>
              </w:rPr>
              <w:t>Distributing electric equipment and machinery</w:t>
            </w:r>
          </w:p>
        </w:tc>
        <w:tc>
          <w:tcPr>
            <w:tcW w:w="1068" w:type="dxa"/>
            <w:shd w:val="clear" w:color="auto" w:fill="auto"/>
          </w:tcPr>
          <w:p w14:paraId="6D00DF7F" w14:textId="6597389D" w:rsidR="00DF528E" w:rsidRPr="002D2F67" w:rsidRDefault="00CD5714">
            <w:pPr>
              <w:pStyle w:val="acctfourfigures"/>
              <w:tabs>
                <w:tab w:val="left" w:pos="720"/>
              </w:tabs>
              <w:spacing w:line="240" w:lineRule="auto"/>
              <w:ind w:right="-72"/>
              <w:jc w:val="right"/>
              <w:rPr>
                <w:rFonts w:ascii="Arial" w:eastAsia="Arial Unicode MS" w:hAnsi="Arial" w:cs="Arial"/>
                <w:color w:val="000000"/>
                <w:sz w:val="14"/>
                <w:szCs w:val="14"/>
                <w:lang w:bidi="th-TH"/>
              </w:rPr>
            </w:pPr>
            <w:r w:rsidRPr="00CD5714">
              <w:rPr>
                <w:rFonts w:ascii="Arial" w:eastAsia="Arial Unicode MS" w:hAnsi="Arial" w:cs="Arial"/>
                <w:color w:val="000000"/>
                <w:sz w:val="14"/>
                <w:szCs w:val="14"/>
                <w:lang w:val="en-GB" w:bidi="th-TH"/>
              </w:rPr>
              <w:t>34</w:t>
            </w:r>
            <w:r w:rsidR="00DF528E" w:rsidRPr="002D2F67">
              <w:rPr>
                <w:rFonts w:ascii="Arial" w:eastAsia="Arial Unicode MS" w:hAnsi="Arial" w:cs="Arial"/>
                <w:color w:val="000000"/>
                <w:sz w:val="14"/>
                <w:szCs w:val="14"/>
                <w:lang w:bidi="th-TH"/>
              </w:rPr>
              <w:t>.</w:t>
            </w:r>
            <w:r w:rsidRPr="00CD5714">
              <w:rPr>
                <w:rFonts w:ascii="Arial" w:eastAsia="Arial Unicode MS" w:hAnsi="Arial" w:cs="Arial"/>
                <w:color w:val="000000"/>
                <w:sz w:val="14"/>
                <w:szCs w:val="14"/>
                <w:lang w:val="en-GB" w:bidi="th-TH"/>
              </w:rPr>
              <w:t>69</w:t>
            </w:r>
          </w:p>
        </w:tc>
        <w:tc>
          <w:tcPr>
            <w:tcW w:w="1068" w:type="dxa"/>
            <w:shd w:val="clear" w:color="auto" w:fill="auto"/>
          </w:tcPr>
          <w:p w14:paraId="558B0605" w14:textId="1D194B73" w:rsidR="00DF528E" w:rsidRPr="002D2F67" w:rsidRDefault="00CD5714">
            <w:pPr>
              <w:ind w:left="-122" w:right="-72"/>
              <w:jc w:val="right"/>
              <w:rPr>
                <w:rFonts w:ascii="Arial" w:eastAsia="Arial Unicode MS" w:hAnsi="Arial" w:cs="Arial"/>
                <w:color w:val="000000"/>
                <w:sz w:val="14"/>
                <w:szCs w:val="14"/>
              </w:rPr>
            </w:pPr>
            <w:r w:rsidRPr="00CD5714">
              <w:rPr>
                <w:rFonts w:ascii="Arial" w:hAnsi="Arial" w:cs="Arial"/>
                <w:color w:val="000000"/>
                <w:sz w:val="14"/>
                <w:szCs w:val="14"/>
                <w:lang w:val="en-GB"/>
              </w:rPr>
              <w:t>38</w:t>
            </w:r>
            <w:r w:rsidR="00DF528E" w:rsidRPr="002D2F67">
              <w:rPr>
                <w:rFonts w:ascii="Arial" w:hAnsi="Arial" w:cs="Arial"/>
                <w:color w:val="000000"/>
                <w:sz w:val="14"/>
                <w:szCs w:val="14"/>
              </w:rPr>
              <w:t>.</w:t>
            </w:r>
            <w:r w:rsidRPr="00CD5714">
              <w:rPr>
                <w:rFonts w:ascii="Arial" w:hAnsi="Arial" w:cs="Arial"/>
                <w:color w:val="000000"/>
                <w:sz w:val="14"/>
                <w:szCs w:val="14"/>
                <w:lang w:val="en-GB"/>
              </w:rPr>
              <w:t>58</w:t>
            </w:r>
          </w:p>
        </w:tc>
        <w:tc>
          <w:tcPr>
            <w:tcW w:w="1068" w:type="dxa"/>
            <w:tcBorders>
              <w:bottom w:val="single" w:sz="4" w:space="0" w:color="auto"/>
            </w:tcBorders>
            <w:shd w:val="clear" w:color="auto" w:fill="auto"/>
          </w:tcPr>
          <w:p w14:paraId="5172C375" w14:textId="74A10EE2" w:rsidR="00DF528E" w:rsidRPr="002D2F67" w:rsidRDefault="00CD5714">
            <w:pPr>
              <w:ind w:left="-122" w:right="-72"/>
              <w:jc w:val="right"/>
              <w:rPr>
                <w:rFonts w:ascii="Arial" w:eastAsia="Arial Unicode MS" w:hAnsi="Arial" w:cs="Arial"/>
                <w:color w:val="000000"/>
                <w:sz w:val="14"/>
                <w:szCs w:val="14"/>
              </w:rPr>
            </w:pPr>
            <w:r w:rsidRPr="00CD5714">
              <w:rPr>
                <w:rFonts w:ascii="Arial" w:eastAsia="Arial Unicode MS" w:hAnsi="Arial" w:cs="Arial"/>
                <w:color w:val="000000"/>
                <w:sz w:val="14"/>
                <w:szCs w:val="14"/>
                <w:lang w:val="en-GB"/>
              </w:rPr>
              <w:t>45</w:t>
            </w:r>
            <w:r w:rsidR="00DF528E" w:rsidRPr="002D2F67">
              <w:rPr>
                <w:rFonts w:ascii="Arial" w:eastAsia="Arial Unicode MS" w:hAnsi="Arial" w:cs="Arial"/>
                <w:color w:val="000000"/>
                <w:sz w:val="14"/>
                <w:szCs w:val="14"/>
              </w:rPr>
              <w:t>,</w:t>
            </w:r>
            <w:r w:rsidRPr="00CD5714">
              <w:rPr>
                <w:rFonts w:ascii="Arial" w:eastAsia="Arial Unicode MS" w:hAnsi="Arial" w:cs="Arial"/>
                <w:color w:val="000000"/>
                <w:sz w:val="14"/>
                <w:szCs w:val="14"/>
                <w:lang w:val="en-GB"/>
              </w:rPr>
              <w:t>471</w:t>
            </w:r>
          </w:p>
        </w:tc>
        <w:tc>
          <w:tcPr>
            <w:tcW w:w="1068" w:type="dxa"/>
            <w:tcBorders>
              <w:bottom w:val="single" w:sz="4" w:space="0" w:color="auto"/>
            </w:tcBorders>
            <w:shd w:val="clear" w:color="auto" w:fill="auto"/>
          </w:tcPr>
          <w:p w14:paraId="3AC150F2" w14:textId="5C1F432F" w:rsidR="00DF528E" w:rsidRPr="002D2F67" w:rsidRDefault="00CD5714">
            <w:pPr>
              <w:ind w:left="-122" w:right="-72"/>
              <w:jc w:val="right"/>
              <w:rPr>
                <w:rFonts w:ascii="Arial" w:eastAsia="Arial Unicode MS" w:hAnsi="Arial" w:cs="Arial"/>
                <w:color w:val="000000"/>
                <w:sz w:val="14"/>
                <w:szCs w:val="14"/>
              </w:rPr>
            </w:pPr>
            <w:r w:rsidRPr="00CD5714">
              <w:rPr>
                <w:rFonts w:ascii="Arial" w:eastAsia="Arial Unicode MS" w:hAnsi="Arial" w:cs="Arial"/>
                <w:color w:val="000000"/>
                <w:sz w:val="14"/>
                <w:szCs w:val="14"/>
                <w:lang w:val="en-GB"/>
              </w:rPr>
              <w:t>45</w:t>
            </w:r>
            <w:r w:rsidR="00DF528E" w:rsidRPr="002D2F67">
              <w:rPr>
                <w:rFonts w:ascii="Arial" w:eastAsia="Arial Unicode MS" w:hAnsi="Arial" w:cs="Arial"/>
                <w:color w:val="000000"/>
                <w:sz w:val="14"/>
                <w:szCs w:val="14"/>
              </w:rPr>
              <w:t>,</w:t>
            </w:r>
            <w:r w:rsidRPr="00CD5714">
              <w:rPr>
                <w:rFonts w:ascii="Arial" w:eastAsia="Arial Unicode MS" w:hAnsi="Arial" w:cs="Arial"/>
                <w:color w:val="000000"/>
                <w:sz w:val="14"/>
                <w:szCs w:val="14"/>
                <w:lang w:val="en-GB"/>
              </w:rPr>
              <w:t>471</w:t>
            </w:r>
          </w:p>
        </w:tc>
        <w:tc>
          <w:tcPr>
            <w:tcW w:w="1068" w:type="dxa"/>
            <w:tcBorders>
              <w:bottom w:val="single" w:sz="4" w:space="0" w:color="auto"/>
            </w:tcBorders>
            <w:shd w:val="clear" w:color="auto" w:fill="auto"/>
          </w:tcPr>
          <w:p w14:paraId="254B2DE8" w14:textId="77777777" w:rsidR="00DF528E" w:rsidRPr="002D2F67" w:rsidRDefault="00DF528E">
            <w:pPr>
              <w:pStyle w:val="acctfourfigures"/>
              <w:tabs>
                <w:tab w:val="clear" w:pos="765"/>
                <w:tab w:val="decimal" w:pos="550"/>
              </w:tabs>
              <w:spacing w:line="240" w:lineRule="auto"/>
              <w:ind w:right="-72"/>
              <w:jc w:val="right"/>
              <w:rPr>
                <w:rFonts w:ascii="Arial" w:eastAsia="Arial Unicode MS" w:hAnsi="Arial" w:cs="Arial"/>
                <w:color w:val="000000"/>
                <w:sz w:val="14"/>
                <w:szCs w:val="14"/>
                <w:lang w:bidi="th-TH"/>
              </w:rPr>
            </w:pPr>
            <w:r w:rsidRPr="002D2F67">
              <w:rPr>
                <w:rFonts w:ascii="Arial" w:eastAsia="Arial Unicode MS" w:hAnsi="Arial" w:cs="Arial"/>
                <w:color w:val="000000"/>
                <w:sz w:val="14"/>
                <w:szCs w:val="14"/>
                <w:lang w:bidi="th-TH"/>
              </w:rPr>
              <w:t>-</w:t>
            </w:r>
          </w:p>
        </w:tc>
        <w:tc>
          <w:tcPr>
            <w:tcW w:w="1095" w:type="dxa"/>
            <w:tcBorders>
              <w:bottom w:val="single" w:sz="4" w:space="0" w:color="auto"/>
            </w:tcBorders>
            <w:shd w:val="clear" w:color="auto" w:fill="auto"/>
          </w:tcPr>
          <w:p w14:paraId="502CD687" w14:textId="77777777" w:rsidR="00DF528E" w:rsidRPr="002D2F67" w:rsidRDefault="00DF528E">
            <w:pPr>
              <w:pStyle w:val="acctfourfigures"/>
              <w:tabs>
                <w:tab w:val="clear" w:pos="765"/>
                <w:tab w:val="decimal" w:pos="550"/>
              </w:tabs>
              <w:spacing w:line="240" w:lineRule="auto"/>
              <w:ind w:right="-72"/>
              <w:jc w:val="right"/>
              <w:rPr>
                <w:rFonts w:ascii="Arial" w:eastAsia="Arial Unicode MS" w:hAnsi="Arial" w:cs="Arial"/>
                <w:color w:val="000000"/>
                <w:sz w:val="14"/>
                <w:szCs w:val="14"/>
                <w:lang w:bidi="th-TH"/>
              </w:rPr>
            </w:pPr>
            <w:r w:rsidRPr="002D2F67">
              <w:rPr>
                <w:rFonts w:ascii="Arial" w:eastAsia="Arial Unicode MS" w:hAnsi="Arial" w:cs="Arial"/>
                <w:color w:val="000000"/>
                <w:sz w:val="14"/>
                <w:szCs w:val="14"/>
                <w:lang w:bidi="th-TH"/>
              </w:rPr>
              <w:t>-</w:t>
            </w:r>
          </w:p>
        </w:tc>
      </w:tr>
      <w:tr w:rsidR="00DF528E" w:rsidRPr="002D2F67" w14:paraId="29ADE02D" w14:textId="77777777">
        <w:trPr>
          <w:cantSplit/>
          <w:trHeight w:val="20"/>
        </w:trPr>
        <w:tc>
          <w:tcPr>
            <w:tcW w:w="3261" w:type="dxa"/>
            <w:shd w:val="clear" w:color="auto" w:fill="auto"/>
          </w:tcPr>
          <w:p w14:paraId="150F88C7" w14:textId="77777777" w:rsidR="00DF528E" w:rsidRPr="002D2F67" w:rsidRDefault="00DF528E">
            <w:pPr>
              <w:ind w:left="-105" w:right="-123"/>
              <w:rPr>
                <w:rFonts w:ascii="Arial" w:eastAsia="Arial Unicode MS" w:hAnsi="Arial" w:cs="Arial"/>
                <w:color w:val="000000"/>
                <w:sz w:val="14"/>
                <w:szCs w:val="14"/>
              </w:rPr>
            </w:pPr>
          </w:p>
        </w:tc>
        <w:tc>
          <w:tcPr>
            <w:tcW w:w="5136" w:type="dxa"/>
            <w:shd w:val="clear" w:color="auto" w:fill="auto"/>
            <w:vAlign w:val="center"/>
          </w:tcPr>
          <w:p w14:paraId="0FFEFF01" w14:textId="77777777" w:rsidR="00DF528E" w:rsidRPr="002D2F67" w:rsidRDefault="00DF528E">
            <w:pPr>
              <w:rPr>
                <w:rFonts w:ascii="Arial" w:hAnsi="Arial" w:cs="Arial"/>
                <w:color w:val="000000"/>
                <w:sz w:val="14"/>
                <w:szCs w:val="14"/>
              </w:rPr>
            </w:pPr>
          </w:p>
        </w:tc>
        <w:tc>
          <w:tcPr>
            <w:tcW w:w="1068" w:type="dxa"/>
            <w:shd w:val="clear" w:color="auto" w:fill="auto"/>
          </w:tcPr>
          <w:p w14:paraId="4489927E" w14:textId="77777777" w:rsidR="00DF528E" w:rsidRPr="002D2F67" w:rsidRDefault="00DF528E">
            <w:pPr>
              <w:ind w:left="261" w:right="-72"/>
              <w:jc w:val="right"/>
              <w:rPr>
                <w:rFonts w:ascii="Arial" w:eastAsia="Arial Unicode MS" w:hAnsi="Arial" w:cs="Arial"/>
                <w:color w:val="000000"/>
                <w:sz w:val="14"/>
                <w:szCs w:val="14"/>
              </w:rPr>
            </w:pPr>
          </w:p>
        </w:tc>
        <w:tc>
          <w:tcPr>
            <w:tcW w:w="1068" w:type="dxa"/>
            <w:shd w:val="clear" w:color="auto" w:fill="auto"/>
          </w:tcPr>
          <w:p w14:paraId="6CC5D066" w14:textId="77777777" w:rsidR="00DF528E" w:rsidRPr="002D2F67" w:rsidRDefault="00DF528E">
            <w:pPr>
              <w:ind w:left="-122" w:right="-72"/>
              <w:jc w:val="right"/>
              <w:rPr>
                <w:rFonts w:ascii="Arial" w:eastAsia="Arial Unicode MS" w:hAnsi="Arial" w:cs="Arial"/>
                <w:color w:val="000000"/>
                <w:sz w:val="14"/>
                <w:szCs w:val="14"/>
              </w:rPr>
            </w:pPr>
          </w:p>
        </w:tc>
        <w:tc>
          <w:tcPr>
            <w:tcW w:w="1068" w:type="dxa"/>
            <w:tcBorders>
              <w:top w:val="single" w:sz="4" w:space="0" w:color="auto"/>
            </w:tcBorders>
            <w:shd w:val="clear" w:color="auto" w:fill="auto"/>
          </w:tcPr>
          <w:p w14:paraId="7BD8D715" w14:textId="77777777" w:rsidR="00DF528E" w:rsidRPr="002D2F67" w:rsidRDefault="00DF528E">
            <w:pPr>
              <w:ind w:left="-122" w:right="-72"/>
              <w:jc w:val="right"/>
              <w:rPr>
                <w:rFonts w:ascii="Arial" w:eastAsia="Arial Unicode MS" w:hAnsi="Arial" w:cs="Arial"/>
                <w:color w:val="000000"/>
                <w:sz w:val="14"/>
                <w:szCs w:val="14"/>
              </w:rPr>
            </w:pPr>
          </w:p>
        </w:tc>
        <w:tc>
          <w:tcPr>
            <w:tcW w:w="1068" w:type="dxa"/>
            <w:tcBorders>
              <w:top w:val="single" w:sz="4" w:space="0" w:color="auto"/>
            </w:tcBorders>
            <w:shd w:val="clear" w:color="auto" w:fill="auto"/>
          </w:tcPr>
          <w:p w14:paraId="48C02E8C" w14:textId="77777777" w:rsidR="00DF528E" w:rsidRPr="002D2F67" w:rsidRDefault="00DF528E">
            <w:pPr>
              <w:ind w:left="-122" w:right="-72"/>
              <w:jc w:val="right"/>
              <w:rPr>
                <w:rFonts w:ascii="Arial" w:eastAsia="Arial Unicode MS" w:hAnsi="Arial" w:cs="Arial"/>
                <w:color w:val="000000"/>
                <w:sz w:val="14"/>
                <w:szCs w:val="14"/>
              </w:rPr>
            </w:pPr>
          </w:p>
        </w:tc>
        <w:tc>
          <w:tcPr>
            <w:tcW w:w="1068" w:type="dxa"/>
            <w:tcBorders>
              <w:top w:val="single" w:sz="4" w:space="0" w:color="auto"/>
            </w:tcBorders>
            <w:shd w:val="clear" w:color="auto" w:fill="auto"/>
          </w:tcPr>
          <w:p w14:paraId="0FC69CAF" w14:textId="77777777" w:rsidR="00DF528E" w:rsidRPr="002D2F67" w:rsidRDefault="00DF528E">
            <w:pPr>
              <w:pStyle w:val="acctfourfigures"/>
              <w:tabs>
                <w:tab w:val="clear" w:pos="765"/>
                <w:tab w:val="decimal" w:pos="550"/>
              </w:tabs>
              <w:spacing w:line="240" w:lineRule="auto"/>
              <w:ind w:right="-72"/>
              <w:jc w:val="right"/>
              <w:rPr>
                <w:rFonts w:ascii="Arial" w:eastAsia="Arial Unicode MS" w:hAnsi="Arial" w:cs="Arial"/>
                <w:color w:val="000000"/>
                <w:sz w:val="14"/>
                <w:szCs w:val="14"/>
                <w:lang w:bidi="th-TH"/>
              </w:rPr>
            </w:pPr>
          </w:p>
        </w:tc>
        <w:tc>
          <w:tcPr>
            <w:tcW w:w="1095" w:type="dxa"/>
            <w:tcBorders>
              <w:top w:val="single" w:sz="4" w:space="0" w:color="auto"/>
            </w:tcBorders>
            <w:shd w:val="clear" w:color="auto" w:fill="auto"/>
          </w:tcPr>
          <w:p w14:paraId="5175A7A9" w14:textId="77777777" w:rsidR="00DF528E" w:rsidRPr="002D2F67" w:rsidRDefault="00DF528E">
            <w:pPr>
              <w:pStyle w:val="acctfourfigures"/>
              <w:tabs>
                <w:tab w:val="clear" w:pos="765"/>
                <w:tab w:val="decimal" w:pos="550"/>
              </w:tabs>
              <w:spacing w:line="240" w:lineRule="auto"/>
              <w:ind w:right="-72"/>
              <w:jc w:val="right"/>
              <w:rPr>
                <w:rFonts w:ascii="Arial" w:eastAsia="Arial Unicode MS" w:hAnsi="Arial" w:cs="Arial"/>
                <w:color w:val="000000"/>
                <w:sz w:val="14"/>
                <w:szCs w:val="14"/>
                <w:lang w:bidi="th-TH"/>
              </w:rPr>
            </w:pPr>
          </w:p>
        </w:tc>
      </w:tr>
      <w:tr w:rsidR="00DF528E" w:rsidRPr="002D2F67" w14:paraId="6CFB345D" w14:textId="77777777">
        <w:trPr>
          <w:cantSplit/>
          <w:trHeight w:val="20"/>
        </w:trPr>
        <w:tc>
          <w:tcPr>
            <w:tcW w:w="3261" w:type="dxa"/>
            <w:shd w:val="clear" w:color="auto" w:fill="auto"/>
          </w:tcPr>
          <w:p w14:paraId="0E7DF9C3" w14:textId="77777777" w:rsidR="00DF528E" w:rsidRPr="002D2F67" w:rsidRDefault="00DF528E">
            <w:pPr>
              <w:ind w:left="-105"/>
              <w:rPr>
                <w:rFonts w:ascii="Arial" w:eastAsia="Arial Unicode MS" w:hAnsi="Arial" w:cs="Arial"/>
                <w:color w:val="000000"/>
                <w:sz w:val="14"/>
                <w:szCs w:val="14"/>
                <w:cs/>
              </w:rPr>
            </w:pPr>
            <w:r w:rsidRPr="002D2F67">
              <w:rPr>
                <w:rFonts w:ascii="Arial" w:hAnsi="Arial" w:cs="Arial"/>
                <w:color w:val="000000"/>
                <w:sz w:val="14"/>
                <w:szCs w:val="14"/>
              </w:rPr>
              <w:t>Total investment in a joint venture</w:t>
            </w:r>
          </w:p>
        </w:tc>
        <w:tc>
          <w:tcPr>
            <w:tcW w:w="5136" w:type="dxa"/>
            <w:shd w:val="clear" w:color="auto" w:fill="auto"/>
          </w:tcPr>
          <w:p w14:paraId="11E37866" w14:textId="77777777" w:rsidR="00DF528E" w:rsidRPr="002D2F67" w:rsidRDefault="00DF528E">
            <w:pPr>
              <w:pStyle w:val="acctfourfigures"/>
              <w:tabs>
                <w:tab w:val="clear" w:pos="765"/>
                <w:tab w:val="decimal" w:pos="550"/>
              </w:tabs>
              <w:spacing w:line="240" w:lineRule="auto"/>
              <w:ind w:right="-72"/>
              <w:jc w:val="right"/>
              <w:rPr>
                <w:rFonts w:ascii="Arial" w:eastAsia="Arial Unicode MS" w:hAnsi="Arial" w:cs="Arial"/>
                <w:color w:val="000000"/>
                <w:sz w:val="14"/>
                <w:szCs w:val="14"/>
                <w:lang w:bidi="th-TH"/>
              </w:rPr>
            </w:pPr>
          </w:p>
        </w:tc>
        <w:tc>
          <w:tcPr>
            <w:tcW w:w="1068" w:type="dxa"/>
            <w:shd w:val="clear" w:color="auto" w:fill="auto"/>
            <w:vAlign w:val="bottom"/>
          </w:tcPr>
          <w:p w14:paraId="5E8E8A44" w14:textId="77777777" w:rsidR="00DF528E" w:rsidRPr="002D2F67" w:rsidRDefault="00DF528E">
            <w:pPr>
              <w:pStyle w:val="acctfourfigures"/>
              <w:tabs>
                <w:tab w:val="clear" w:pos="765"/>
              </w:tabs>
              <w:spacing w:line="240" w:lineRule="auto"/>
              <w:ind w:right="-79"/>
              <w:jc w:val="right"/>
              <w:rPr>
                <w:rFonts w:ascii="Arial" w:eastAsia="Arial Unicode MS" w:hAnsi="Arial" w:cs="Arial"/>
                <w:color w:val="000000"/>
                <w:sz w:val="14"/>
                <w:szCs w:val="14"/>
                <w:lang w:bidi="th-TH"/>
              </w:rPr>
            </w:pPr>
          </w:p>
        </w:tc>
        <w:tc>
          <w:tcPr>
            <w:tcW w:w="1068" w:type="dxa"/>
            <w:shd w:val="clear" w:color="auto" w:fill="auto"/>
            <w:vAlign w:val="bottom"/>
          </w:tcPr>
          <w:p w14:paraId="1D5B28CC" w14:textId="77777777" w:rsidR="00DF528E" w:rsidRPr="002D2F67" w:rsidRDefault="00DF528E">
            <w:pPr>
              <w:pStyle w:val="acctfourfigures"/>
              <w:tabs>
                <w:tab w:val="clear" w:pos="765"/>
                <w:tab w:val="decimal" w:pos="550"/>
              </w:tabs>
              <w:spacing w:line="240" w:lineRule="auto"/>
              <w:ind w:right="-72"/>
              <w:jc w:val="right"/>
              <w:rPr>
                <w:rFonts w:ascii="Arial" w:eastAsia="Arial Unicode MS" w:hAnsi="Arial" w:cs="Arial"/>
                <w:color w:val="000000"/>
                <w:sz w:val="14"/>
                <w:szCs w:val="14"/>
                <w:lang w:bidi="th-TH"/>
              </w:rPr>
            </w:pPr>
          </w:p>
        </w:tc>
        <w:tc>
          <w:tcPr>
            <w:tcW w:w="1068" w:type="dxa"/>
            <w:tcBorders>
              <w:bottom w:val="single" w:sz="4" w:space="0" w:color="auto"/>
            </w:tcBorders>
            <w:shd w:val="clear" w:color="auto" w:fill="auto"/>
            <w:vAlign w:val="bottom"/>
          </w:tcPr>
          <w:p w14:paraId="4D38E8A2" w14:textId="0EBAEF69" w:rsidR="00DF528E" w:rsidRPr="002D2F67" w:rsidRDefault="00CD5714">
            <w:pPr>
              <w:pStyle w:val="acctfourfigures"/>
              <w:tabs>
                <w:tab w:val="clear" w:pos="765"/>
                <w:tab w:val="decimal" w:pos="550"/>
              </w:tabs>
              <w:spacing w:line="240" w:lineRule="auto"/>
              <w:ind w:right="-72"/>
              <w:jc w:val="right"/>
              <w:rPr>
                <w:rFonts w:ascii="Arial" w:eastAsia="Arial Unicode MS" w:hAnsi="Arial" w:cs="Arial"/>
                <w:color w:val="000000"/>
                <w:sz w:val="14"/>
                <w:szCs w:val="14"/>
                <w:lang w:bidi="th-TH"/>
              </w:rPr>
            </w:pPr>
            <w:r w:rsidRPr="00CD5714">
              <w:rPr>
                <w:rFonts w:ascii="Arial" w:eastAsia="Arial Unicode MS" w:hAnsi="Arial" w:cs="Arial"/>
                <w:color w:val="000000"/>
                <w:sz w:val="14"/>
                <w:szCs w:val="14"/>
                <w:lang w:val="en-GB" w:bidi="th-TH"/>
              </w:rPr>
              <w:t>173</w:t>
            </w:r>
            <w:r w:rsidR="00DF528E" w:rsidRPr="002D2F67">
              <w:rPr>
                <w:rFonts w:ascii="Arial" w:eastAsia="Arial Unicode MS" w:hAnsi="Arial" w:cs="Arial"/>
                <w:color w:val="000000"/>
                <w:sz w:val="14"/>
                <w:szCs w:val="14"/>
                <w:lang w:bidi="th-TH"/>
              </w:rPr>
              <w:t>,</w:t>
            </w:r>
            <w:r w:rsidRPr="00CD5714">
              <w:rPr>
                <w:rFonts w:ascii="Arial" w:eastAsia="Arial Unicode MS" w:hAnsi="Arial" w:cs="Arial"/>
                <w:color w:val="000000"/>
                <w:sz w:val="14"/>
                <w:szCs w:val="14"/>
                <w:lang w:val="en-GB" w:bidi="th-TH"/>
              </w:rPr>
              <w:t>469</w:t>
            </w:r>
          </w:p>
        </w:tc>
        <w:tc>
          <w:tcPr>
            <w:tcW w:w="1068" w:type="dxa"/>
            <w:tcBorders>
              <w:bottom w:val="single" w:sz="4" w:space="0" w:color="auto"/>
            </w:tcBorders>
            <w:shd w:val="clear" w:color="auto" w:fill="auto"/>
            <w:vAlign w:val="bottom"/>
          </w:tcPr>
          <w:p w14:paraId="1B41767B" w14:textId="000E5380" w:rsidR="00DF528E" w:rsidRPr="002D2F67" w:rsidRDefault="00CD5714">
            <w:pPr>
              <w:pStyle w:val="acctfourfigures"/>
              <w:tabs>
                <w:tab w:val="clear" w:pos="765"/>
                <w:tab w:val="decimal" w:pos="550"/>
              </w:tabs>
              <w:spacing w:line="240" w:lineRule="auto"/>
              <w:ind w:right="-72"/>
              <w:jc w:val="right"/>
              <w:rPr>
                <w:rFonts w:ascii="Arial" w:eastAsia="Arial Unicode MS" w:hAnsi="Arial" w:cs="Arial"/>
                <w:color w:val="000000"/>
                <w:sz w:val="14"/>
                <w:szCs w:val="14"/>
                <w:lang w:bidi="th-TH"/>
              </w:rPr>
            </w:pPr>
            <w:r w:rsidRPr="00CD5714">
              <w:rPr>
                <w:rFonts w:ascii="Arial" w:eastAsia="Arial Unicode MS" w:hAnsi="Arial" w:cs="Arial"/>
                <w:color w:val="000000"/>
                <w:sz w:val="14"/>
                <w:szCs w:val="14"/>
                <w:lang w:val="en-GB" w:bidi="th-TH"/>
              </w:rPr>
              <w:t>70</w:t>
            </w:r>
            <w:r w:rsidR="00DF528E" w:rsidRPr="002D2F67">
              <w:rPr>
                <w:rFonts w:ascii="Arial" w:eastAsia="Arial Unicode MS" w:hAnsi="Arial" w:cs="Arial"/>
                <w:color w:val="000000"/>
                <w:sz w:val="14"/>
                <w:szCs w:val="14"/>
                <w:lang w:bidi="th-TH"/>
              </w:rPr>
              <w:t>,</w:t>
            </w:r>
            <w:r w:rsidRPr="00CD5714">
              <w:rPr>
                <w:rFonts w:ascii="Arial" w:eastAsia="Arial Unicode MS" w:hAnsi="Arial" w:cs="Arial"/>
                <w:color w:val="000000"/>
                <w:sz w:val="14"/>
                <w:szCs w:val="14"/>
                <w:lang w:val="en-GB" w:bidi="th-TH"/>
              </w:rPr>
              <w:t>471</w:t>
            </w:r>
          </w:p>
        </w:tc>
        <w:tc>
          <w:tcPr>
            <w:tcW w:w="1068" w:type="dxa"/>
            <w:tcBorders>
              <w:bottom w:val="single" w:sz="4" w:space="0" w:color="auto"/>
            </w:tcBorders>
            <w:shd w:val="clear" w:color="auto" w:fill="auto"/>
          </w:tcPr>
          <w:p w14:paraId="396B082D" w14:textId="77777777" w:rsidR="00DF528E" w:rsidRPr="002D2F67" w:rsidRDefault="00DF528E">
            <w:pPr>
              <w:pStyle w:val="acctfourfigures"/>
              <w:tabs>
                <w:tab w:val="clear" w:pos="765"/>
                <w:tab w:val="decimal" w:pos="550"/>
              </w:tabs>
              <w:spacing w:line="240" w:lineRule="auto"/>
              <w:ind w:right="-72"/>
              <w:jc w:val="right"/>
              <w:rPr>
                <w:rFonts w:ascii="Arial" w:eastAsia="Arial Unicode MS" w:hAnsi="Arial" w:cs="Arial"/>
                <w:color w:val="000000"/>
                <w:sz w:val="14"/>
                <w:szCs w:val="14"/>
                <w:lang w:bidi="th-TH"/>
              </w:rPr>
            </w:pPr>
            <w:r w:rsidRPr="002D2F67">
              <w:rPr>
                <w:rFonts w:ascii="Arial" w:eastAsia="Arial Unicode MS" w:hAnsi="Arial" w:cs="Arial"/>
                <w:color w:val="000000"/>
                <w:sz w:val="14"/>
                <w:szCs w:val="14"/>
                <w:lang w:bidi="th-TH"/>
              </w:rPr>
              <w:t>-</w:t>
            </w:r>
          </w:p>
        </w:tc>
        <w:tc>
          <w:tcPr>
            <w:tcW w:w="1095" w:type="dxa"/>
            <w:tcBorders>
              <w:bottom w:val="single" w:sz="4" w:space="0" w:color="auto"/>
            </w:tcBorders>
            <w:shd w:val="clear" w:color="auto" w:fill="auto"/>
          </w:tcPr>
          <w:p w14:paraId="5A2588BA" w14:textId="77777777" w:rsidR="00DF528E" w:rsidRPr="002D2F67" w:rsidRDefault="00DF528E">
            <w:pPr>
              <w:pStyle w:val="acctfourfigures"/>
              <w:tabs>
                <w:tab w:val="clear" w:pos="765"/>
                <w:tab w:val="decimal" w:pos="550"/>
              </w:tabs>
              <w:spacing w:line="240" w:lineRule="auto"/>
              <w:ind w:right="-72"/>
              <w:jc w:val="right"/>
              <w:rPr>
                <w:rFonts w:ascii="Arial" w:eastAsia="Arial Unicode MS" w:hAnsi="Arial" w:cs="Arial"/>
                <w:color w:val="000000"/>
                <w:sz w:val="14"/>
                <w:szCs w:val="14"/>
                <w:lang w:bidi="th-TH"/>
              </w:rPr>
            </w:pPr>
            <w:r w:rsidRPr="002D2F67">
              <w:rPr>
                <w:rFonts w:ascii="Arial" w:eastAsia="Arial Unicode MS" w:hAnsi="Arial" w:cs="Arial"/>
                <w:color w:val="000000"/>
                <w:sz w:val="14"/>
                <w:szCs w:val="14"/>
                <w:lang w:bidi="th-TH"/>
              </w:rPr>
              <w:t>-</w:t>
            </w:r>
          </w:p>
        </w:tc>
      </w:tr>
    </w:tbl>
    <w:p w14:paraId="6B6CEB1D" w14:textId="77777777" w:rsidR="003514F8" w:rsidRPr="002D2F67" w:rsidRDefault="003514F8" w:rsidP="003514F8">
      <w:pPr>
        <w:tabs>
          <w:tab w:val="left" w:pos="1134"/>
        </w:tabs>
        <w:ind w:left="851" w:hanging="284"/>
        <w:rPr>
          <w:rFonts w:ascii="Arial" w:hAnsi="Arial" w:cs="Arial"/>
          <w:color w:val="000000"/>
          <w:sz w:val="20"/>
          <w:szCs w:val="20"/>
          <w:vertAlign w:val="superscript"/>
        </w:rPr>
      </w:pPr>
    </w:p>
    <w:p w14:paraId="7C14CA18" w14:textId="05105320" w:rsidR="009B316A" w:rsidRPr="002D2F67" w:rsidRDefault="003514F8" w:rsidP="00496BA4">
      <w:pPr>
        <w:tabs>
          <w:tab w:val="left" w:pos="1134"/>
        </w:tabs>
        <w:ind w:left="851" w:hanging="284"/>
        <w:rPr>
          <w:rFonts w:ascii="Arial" w:hAnsi="Arial"/>
          <w:color w:val="000000"/>
          <w:sz w:val="14"/>
          <w:szCs w:val="14"/>
          <w:cs/>
        </w:rPr>
        <w:sectPr w:rsidR="009B316A" w:rsidRPr="002D2F67" w:rsidSect="00DF528E">
          <w:pgSz w:w="16840" w:h="11907" w:orient="landscape" w:code="9"/>
          <w:pgMar w:top="1440" w:right="720" w:bottom="720" w:left="720" w:header="706" w:footer="576" w:gutter="0"/>
          <w:cols w:space="720"/>
          <w:docGrid w:linePitch="272"/>
        </w:sectPr>
      </w:pPr>
      <w:r w:rsidRPr="002D2F67">
        <w:rPr>
          <w:rFonts w:ascii="Arial" w:hAnsi="Arial" w:cs="Arial"/>
          <w:color w:val="000000"/>
          <w:sz w:val="14"/>
          <w:szCs w:val="14"/>
          <w:vertAlign w:val="superscript"/>
        </w:rPr>
        <w:t>(</w:t>
      </w:r>
      <w:r w:rsidR="00CD5714" w:rsidRPr="00CD5714">
        <w:rPr>
          <w:rFonts w:ascii="Arial" w:hAnsi="Arial" w:cs="Arial"/>
          <w:color w:val="000000"/>
          <w:sz w:val="14"/>
          <w:szCs w:val="14"/>
          <w:vertAlign w:val="superscript"/>
          <w:lang w:val="en-GB"/>
        </w:rPr>
        <w:t>1</w:t>
      </w:r>
      <w:r w:rsidRPr="002D2F67">
        <w:rPr>
          <w:rFonts w:ascii="Arial" w:hAnsi="Arial" w:cs="Arial"/>
          <w:color w:val="000000"/>
          <w:sz w:val="14"/>
          <w:szCs w:val="14"/>
          <w:vertAlign w:val="superscript"/>
        </w:rPr>
        <w:t>)</w:t>
      </w:r>
      <w:r w:rsidRPr="002D2F67">
        <w:rPr>
          <w:rFonts w:ascii="Arial" w:hAnsi="Arial" w:cs="Arial"/>
          <w:color w:val="000000"/>
          <w:sz w:val="14"/>
          <w:szCs w:val="14"/>
        </w:rPr>
        <w:tab/>
        <w:t xml:space="preserve">The company classifies its investment in Airport Clean Energy Co., Ltd. as a joint venture investment because significant strategic decisions require the approval </w:t>
      </w:r>
      <w:r w:rsidR="00A706B3" w:rsidRPr="002D2F67">
        <w:rPr>
          <w:rFonts w:ascii="Arial" w:hAnsi="Arial" w:cs="Arial"/>
          <w:color w:val="000000"/>
          <w:sz w:val="14"/>
          <w:szCs w:val="14"/>
        </w:rPr>
        <w:t>from</w:t>
      </w:r>
      <w:r w:rsidRPr="002D2F67">
        <w:rPr>
          <w:rFonts w:ascii="Arial" w:hAnsi="Arial" w:cs="Arial"/>
          <w:color w:val="000000"/>
          <w:sz w:val="14"/>
          <w:szCs w:val="14"/>
        </w:rPr>
        <w:t xml:space="preserve"> both shareholders.</w:t>
      </w:r>
    </w:p>
    <w:p w14:paraId="4499F3BA" w14:textId="77777777" w:rsidR="00DF528E" w:rsidRPr="002D2F67" w:rsidRDefault="00DF528E" w:rsidP="00DF528E">
      <w:pPr>
        <w:pStyle w:val="BodyTextIndent2"/>
        <w:spacing w:line="240" w:lineRule="auto"/>
        <w:ind w:left="0"/>
        <w:jc w:val="left"/>
        <w:rPr>
          <w:rFonts w:ascii="Arial" w:hAnsi="Arial" w:cs="Arial"/>
          <w:spacing w:val="-2"/>
        </w:rPr>
      </w:pPr>
    </w:p>
    <w:p w14:paraId="6CB7164B" w14:textId="344ECA8F" w:rsidR="009C521E"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20</w:t>
      </w:r>
      <w:r w:rsidR="009C521E" w:rsidRPr="002D2F67">
        <w:rPr>
          <w:rFonts w:ascii="Arial" w:hAnsi="Arial" w:cs="Arial"/>
          <w:b/>
          <w:bCs/>
          <w:color w:val="000000"/>
          <w:kern w:val="26"/>
          <w:position w:val="-24"/>
          <w:sz w:val="20"/>
          <w:szCs w:val="20"/>
          <w:cs/>
        </w:rPr>
        <w:tab/>
      </w:r>
      <w:r w:rsidR="009C521E" w:rsidRPr="002D2F67">
        <w:rPr>
          <w:rFonts w:ascii="Arial" w:hAnsi="Arial" w:cs="Arial"/>
          <w:b/>
          <w:bCs/>
          <w:color w:val="000000"/>
          <w:kern w:val="26"/>
          <w:position w:val="-24"/>
          <w:sz w:val="20"/>
          <w:szCs w:val="20"/>
        </w:rPr>
        <w:t>Investment property, net</w:t>
      </w:r>
    </w:p>
    <w:p w14:paraId="46DF3B60" w14:textId="77777777" w:rsidR="00FF408A" w:rsidRPr="002D2F67" w:rsidRDefault="00FF408A" w:rsidP="005611FE">
      <w:pPr>
        <w:pStyle w:val="BodyTextIndent2"/>
        <w:spacing w:line="240" w:lineRule="auto"/>
        <w:ind w:left="0"/>
        <w:jc w:val="left"/>
        <w:rPr>
          <w:rFonts w:ascii="Arial" w:hAnsi="Arial" w:cs="Arial"/>
          <w:spacing w:val="-2"/>
        </w:rPr>
      </w:pPr>
    </w:p>
    <w:tbl>
      <w:tblPr>
        <w:tblW w:w="0" w:type="auto"/>
        <w:tblLayout w:type="fixed"/>
        <w:tblLook w:val="0000" w:firstRow="0" w:lastRow="0" w:firstColumn="0" w:lastColumn="0" w:noHBand="0" w:noVBand="0"/>
      </w:tblPr>
      <w:tblGrid>
        <w:gridCol w:w="4824"/>
        <w:gridCol w:w="1584"/>
        <w:gridCol w:w="1584"/>
        <w:gridCol w:w="1584"/>
      </w:tblGrid>
      <w:tr w:rsidR="00FF408A" w:rsidRPr="002D2F67" w14:paraId="2E1C52D3" w14:textId="77777777" w:rsidTr="008255E8">
        <w:tc>
          <w:tcPr>
            <w:tcW w:w="4824" w:type="dxa"/>
            <w:shd w:val="clear" w:color="auto" w:fill="auto"/>
          </w:tcPr>
          <w:p w14:paraId="37B3AAA2" w14:textId="77777777" w:rsidR="00FF408A" w:rsidRPr="002D2F67" w:rsidRDefault="00FF408A" w:rsidP="005611FE">
            <w:pPr>
              <w:ind w:left="45"/>
              <w:rPr>
                <w:rFonts w:ascii="Arial" w:hAnsi="Arial" w:cs="Arial"/>
                <w:b/>
                <w:bCs/>
                <w:color w:val="000000"/>
                <w:sz w:val="20"/>
                <w:szCs w:val="20"/>
                <w:lang w:val="x-none"/>
              </w:rPr>
            </w:pPr>
          </w:p>
        </w:tc>
        <w:tc>
          <w:tcPr>
            <w:tcW w:w="4752" w:type="dxa"/>
            <w:gridSpan w:val="3"/>
            <w:tcBorders>
              <w:bottom w:val="single" w:sz="4" w:space="0" w:color="auto"/>
            </w:tcBorders>
            <w:shd w:val="clear" w:color="auto" w:fill="auto"/>
          </w:tcPr>
          <w:p w14:paraId="02A5CFAA" w14:textId="77777777" w:rsidR="00FF408A" w:rsidRPr="002D2F67" w:rsidRDefault="00FF408A" w:rsidP="005611FE">
            <w:pPr>
              <w:ind w:right="-72"/>
              <w:jc w:val="right"/>
              <w:rPr>
                <w:rFonts w:ascii="Arial" w:hAnsi="Arial" w:cs="Arial"/>
                <w:b/>
                <w:bCs/>
                <w:color w:val="000000"/>
                <w:sz w:val="20"/>
                <w:szCs w:val="20"/>
              </w:rPr>
            </w:pPr>
            <w:r w:rsidRPr="002D2F67">
              <w:rPr>
                <w:rFonts w:ascii="Arial" w:hAnsi="Arial" w:cs="Arial"/>
                <w:b/>
                <w:bCs/>
                <w:color w:val="000000"/>
                <w:sz w:val="20"/>
                <w:szCs w:val="20"/>
              </w:rPr>
              <w:t>Consolidated</w:t>
            </w:r>
            <w:r w:rsidR="00FF1C98" w:rsidRPr="002D2F67">
              <w:rPr>
                <w:rFonts w:ascii="Arial" w:hAnsi="Arial" w:cs="Arial"/>
                <w:b/>
                <w:bCs/>
                <w:color w:val="000000"/>
                <w:sz w:val="20"/>
                <w:szCs w:val="20"/>
              </w:rPr>
              <w:t xml:space="preserve"> financial statements</w:t>
            </w:r>
          </w:p>
        </w:tc>
      </w:tr>
      <w:tr w:rsidR="00FF408A" w:rsidRPr="002D2F67" w14:paraId="27CD5858" w14:textId="77777777" w:rsidTr="005611FE">
        <w:tc>
          <w:tcPr>
            <w:tcW w:w="4824" w:type="dxa"/>
            <w:shd w:val="clear" w:color="auto" w:fill="auto"/>
          </w:tcPr>
          <w:p w14:paraId="0FA226A0" w14:textId="77777777" w:rsidR="00FF408A" w:rsidRPr="002D2F67" w:rsidRDefault="00FF408A" w:rsidP="005611FE">
            <w:pPr>
              <w:ind w:left="45"/>
              <w:rPr>
                <w:rFonts w:ascii="Arial" w:hAnsi="Arial" w:cs="Arial"/>
                <w:b/>
                <w:bCs/>
                <w:color w:val="000000"/>
                <w:sz w:val="20"/>
                <w:szCs w:val="20"/>
              </w:rPr>
            </w:pPr>
          </w:p>
        </w:tc>
        <w:tc>
          <w:tcPr>
            <w:tcW w:w="1584" w:type="dxa"/>
            <w:tcBorders>
              <w:top w:val="single" w:sz="4" w:space="0" w:color="auto"/>
            </w:tcBorders>
            <w:shd w:val="clear" w:color="auto" w:fill="auto"/>
          </w:tcPr>
          <w:p w14:paraId="5AB0748E" w14:textId="77777777" w:rsidR="00FF408A" w:rsidRPr="002D2F67" w:rsidRDefault="00FF408A" w:rsidP="005611FE">
            <w:pPr>
              <w:ind w:right="-72"/>
              <w:jc w:val="right"/>
              <w:rPr>
                <w:rFonts w:ascii="Arial" w:hAnsi="Arial" w:cs="Arial"/>
                <w:b/>
                <w:bCs/>
                <w:color w:val="000000"/>
                <w:sz w:val="20"/>
                <w:szCs w:val="20"/>
              </w:rPr>
            </w:pPr>
          </w:p>
          <w:p w14:paraId="3E7460C6" w14:textId="77777777" w:rsidR="00FF408A" w:rsidRPr="002D2F67" w:rsidRDefault="00FF408A" w:rsidP="005611FE">
            <w:pPr>
              <w:ind w:right="-72"/>
              <w:jc w:val="right"/>
              <w:rPr>
                <w:rFonts w:ascii="Arial" w:hAnsi="Arial" w:cs="Arial"/>
                <w:b/>
                <w:bCs/>
                <w:color w:val="000000"/>
                <w:sz w:val="20"/>
                <w:szCs w:val="20"/>
              </w:rPr>
            </w:pPr>
          </w:p>
          <w:p w14:paraId="11B16912" w14:textId="77777777" w:rsidR="00FF408A" w:rsidRPr="002D2F67" w:rsidRDefault="00FF408A"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Land </w:t>
            </w:r>
          </w:p>
        </w:tc>
        <w:tc>
          <w:tcPr>
            <w:tcW w:w="1584" w:type="dxa"/>
            <w:tcBorders>
              <w:top w:val="single" w:sz="4" w:space="0" w:color="auto"/>
            </w:tcBorders>
            <w:shd w:val="clear" w:color="auto" w:fill="auto"/>
          </w:tcPr>
          <w:p w14:paraId="5E18828C" w14:textId="77777777" w:rsidR="00FF408A" w:rsidRPr="002D2F67" w:rsidRDefault="00FF408A" w:rsidP="005611FE">
            <w:pPr>
              <w:ind w:right="-72"/>
              <w:jc w:val="right"/>
              <w:rPr>
                <w:rFonts w:ascii="Arial" w:hAnsi="Arial" w:cs="Arial"/>
                <w:b/>
                <w:bCs/>
                <w:color w:val="000000"/>
                <w:sz w:val="20"/>
                <w:szCs w:val="20"/>
              </w:rPr>
            </w:pPr>
            <w:r w:rsidRPr="002D2F67">
              <w:rPr>
                <w:rFonts w:ascii="Arial" w:hAnsi="Arial" w:cs="Arial"/>
                <w:b/>
                <w:bCs/>
                <w:color w:val="000000"/>
                <w:sz w:val="20"/>
                <w:szCs w:val="20"/>
              </w:rPr>
              <w:t>Buildings and building improvements</w:t>
            </w:r>
          </w:p>
        </w:tc>
        <w:tc>
          <w:tcPr>
            <w:tcW w:w="1584" w:type="dxa"/>
            <w:tcBorders>
              <w:top w:val="single" w:sz="4" w:space="0" w:color="auto"/>
            </w:tcBorders>
            <w:shd w:val="clear" w:color="auto" w:fill="auto"/>
          </w:tcPr>
          <w:p w14:paraId="6D5518BD" w14:textId="77777777" w:rsidR="00FF408A" w:rsidRPr="002D2F67" w:rsidRDefault="00FF408A" w:rsidP="005611FE">
            <w:pPr>
              <w:ind w:right="-72"/>
              <w:jc w:val="right"/>
              <w:rPr>
                <w:rFonts w:ascii="Arial" w:hAnsi="Arial" w:cs="Arial"/>
                <w:b/>
                <w:bCs/>
                <w:color w:val="000000"/>
                <w:sz w:val="20"/>
                <w:szCs w:val="20"/>
              </w:rPr>
            </w:pPr>
          </w:p>
          <w:p w14:paraId="74A2E95E" w14:textId="77777777" w:rsidR="00FF408A" w:rsidRPr="002D2F67" w:rsidRDefault="00FF408A" w:rsidP="005611FE">
            <w:pPr>
              <w:ind w:right="-72"/>
              <w:jc w:val="right"/>
              <w:rPr>
                <w:rFonts w:ascii="Arial" w:hAnsi="Arial" w:cs="Arial"/>
                <w:b/>
                <w:bCs/>
                <w:color w:val="000000"/>
                <w:sz w:val="20"/>
                <w:szCs w:val="20"/>
              </w:rPr>
            </w:pPr>
          </w:p>
          <w:p w14:paraId="28DFABC4" w14:textId="77777777" w:rsidR="00FF408A" w:rsidRPr="002D2F67" w:rsidRDefault="00FF408A" w:rsidP="005611FE">
            <w:pPr>
              <w:ind w:right="-72"/>
              <w:jc w:val="right"/>
              <w:rPr>
                <w:rFonts w:ascii="Arial" w:hAnsi="Arial" w:cs="Arial"/>
                <w:b/>
                <w:bCs/>
                <w:color w:val="000000"/>
                <w:sz w:val="20"/>
                <w:szCs w:val="20"/>
              </w:rPr>
            </w:pPr>
            <w:r w:rsidRPr="002D2F67">
              <w:rPr>
                <w:rFonts w:ascii="Arial" w:hAnsi="Arial" w:cs="Arial"/>
                <w:b/>
                <w:bCs/>
                <w:color w:val="000000"/>
                <w:sz w:val="20"/>
                <w:szCs w:val="20"/>
              </w:rPr>
              <w:t>Total</w:t>
            </w:r>
          </w:p>
        </w:tc>
      </w:tr>
      <w:tr w:rsidR="00774A33" w:rsidRPr="002D2F67" w14:paraId="473196D0" w14:textId="77777777" w:rsidTr="005611FE">
        <w:tc>
          <w:tcPr>
            <w:tcW w:w="4824" w:type="dxa"/>
            <w:shd w:val="clear" w:color="auto" w:fill="auto"/>
          </w:tcPr>
          <w:p w14:paraId="0BC2EF27" w14:textId="77777777" w:rsidR="00774A33" w:rsidRPr="002D2F67" w:rsidRDefault="00774A33" w:rsidP="005611FE">
            <w:pPr>
              <w:ind w:left="45"/>
              <w:rPr>
                <w:rFonts w:ascii="Arial" w:hAnsi="Arial" w:cs="Arial"/>
                <w:color w:val="000000"/>
                <w:sz w:val="20"/>
                <w:szCs w:val="20"/>
              </w:rPr>
            </w:pPr>
          </w:p>
        </w:tc>
        <w:tc>
          <w:tcPr>
            <w:tcW w:w="1584" w:type="dxa"/>
            <w:tcBorders>
              <w:bottom w:val="single" w:sz="4" w:space="0" w:color="auto"/>
            </w:tcBorders>
            <w:shd w:val="clear" w:color="auto" w:fill="auto"/>
          </w:tcPr>
          <w:p w14:paraId="505D7413" w14:textId="11CF69FE" w:rsidR="00774A33" w:rsidRPr="002D2F67" w:rsidRDefault="00774A33"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584" w:type="dxa"/>
            <w:tcBorders>
              <w:bottom w:val="single" w:sz="4" w:space="0" w:color="auto"/>
            </w:tcBorders>
            <w:shd w:val="clear" w:color="auto" w:fill="auto"/>
          </w:tcPr>
          <w:p w14:paraId="2C3ACCA1" w14:textId="2B87373E" w:rsidR="00774A33" w:rsidRPr="002D2F67" w:rsidRDefault="00774A33"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584" w:type="dxa"/>
            <w:tcBorders>
              <w:bottom w:val="single" w:sz="4" w:space="0" w:color="auto"/>
            </w:tcBorders>
            <w:shd w:val="clear" w:color="auto" w:fill="auto"/>
          </w:tcPr>
          <w:p w14:paraId="66C8FA27" w14:textId="36B06EEB" w:rsidR="00774A33" w:rsidRPr="002D2F67" w:rsidRDefault="00774A33"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FF408A" w:rsidRPr="002D2F67" w14:paraId="5AC71C3E" w14:textId="77777777" w:rsidTr="005611FE">
        <w:tc>
          <w:tcPr>
            <w:tcW w:w="4824" w:type="dxa"/>
            <w:shd w:val="clear" w:color="auto" w:fill="auto"/>
          </w:tcPr>
          <w:p w14:paraId="547391F0" w14:textId="77777777" w:rsidR="00FF408A" w:rsidRPr="002D2F67" w:rsidRDefault="00FF408A" w:rsidP="005611FE">
            <w:pPr>
              <w:ind w:left="45"/>
              <w:rPr>
                <w:rFonts w:ascii="Arial" w:hAnsi="Arial" w:cs="Arial"/>
                <w:color w:val="000000"/>
                <w:sz w:val="20"/>
                <w:szCs w:val="20"/>
              </w:rPr>
            </w:pPr>
          </w:p>
        </w:tc>
        <w:tc>
          <w:tcPr>
            <w:tcW w:w="1584" w:type="dxa"/>
            <w:tcBorders>
              <w:top w:val="single" w:sz="4" w:space="0" w:color="auto"/>
            </w:tcBorders>
            <w:shd w:val="clear" w:color="auto" w:fill="auto"/>
          </w:tcPr>
          <w:p w14:paraId="70B27EFF" w14:textId="77777777" w:rsidR="00FF408A" w:rsidRPr="002D2F67" w:rsidRDefault="00FF408A" w:rsidP="005611FE">
            <w:pPr>
              <w:ind w:right="-72"/>
              <w:jc w:val="right"/>
              <w:rPr>
                <w:rFonts w:ascii="Arial" w:hAnsi="Arial" w:cs="Arial"/>
                <w:color w:val="000000"/>
                <w:sz w:val="20"/>
                <w:szCs w:val="20"/>
              </w:rPr>
            </w:pPr>
          </w:p>
        </w:tc>
        <w:tc>
          <w:tcPr>
            <w:tcW w:w="1584" w:type="dxa"/>
            <w:tcBorders>
              <w:top w:val="single" w:sz="4" w:space="0" w:color="auto"/>
            </w:tcBorders>
            <w:shd w:val="clear" w:color="auto" w:fill="auto"/>
          </w:tcPr>
          <w:p w14:paraId="0ABF028A" w14:textId="77777777" w:rsidR="00FF408A" w:rsidRPr="002D2F67" w:rsidRDefault="00FF408A" w:rsidP="005611FE">
            <w:pPr>
              <w:ind w:right="-72"/>
              <w:jc w:val="right"/>
              <w:rPr>
                <w:rFonts w:ascii="Arial" w:hAnsi="Arial" w:cs="Arial"/>
                <w:color w:val="000000"/>
                <w:sz w:val="20"/>
                <w:szCs w:val="20"/>
              </w:rPr>
            </w:pPr>
          </w:p>
        </w:tc>
        <w:tc>
          <w:tcPr>
            <w:tcW w:w="1584" w:type="dxa"/>
            <w:tcBorders>
              <w:top w:val="single" w:sz="4" w:space="0" w:color="auto"/>
            </w:tcBorders>
            <w:shd w:val="clear" w:color="auto" w:fill="auto"/>
          </w:tcPr>
          <w:p w14:paraId="5CD10C06" w14:textId="77777777" w:rsidR="00FF408A" w:rsidRPr="002D2F67" w:rsidRDefault="00FF408A" w:rsidP="005611FE">
            <w:pPr>
              <w:ind w:right="-72"/>
              <w:jc w:val="right"/>
              <w:rPr>
                <w:rFonts w:ascii="Arial" w:hAnsi="Arial" w:cs="Arial"/>
                <w:color w:val="000000"/>
                <w:sz w:val="20"/>
                <w:szCs w:val="20"/>
              </w:rPr>
            </w:pPr>
          </w:p>
        </w:tc>
      </w:tr>
      <w:tr w:rsidR="00FF408A" w:rsidRPr="002D2F67" w14:paraId="49DD5A5A" w14:textId="77777777" w:rsidTr="005611FE">
        <w:tc>
          <w:tcPr>
            <w:tcW w:w="4824" w:type="dxa"/>
            <w:shd w:val="clear" w:color="auto" w:fill="auto"/>
          </w:tcPr>
          <w:p w14:paraId="23935D1A" w14:textId="1EA1393B" w:rsidR="00FF408A" w:rsidRPr="002D2F67" w:rsidRDefault="00FF408A" w:rsidP="005611FE">
            <w:pPr>
              <w:ind w:left="45"/>
              <w:rPr>
                <w:rFonts w:ascii="Arial" w:hAnsi="Arial" w:cs="Arial"/>
                <w:color w:val="000000"/>
                <w:sz w:val="20"/>
                <w:szCs w:val="20"/>
              </w:rPr>
            </w:pPr>
            <w:r w:rsidRPr="002D2F67">
              <w:rPr>
                <w:rFonts w:ascii="Arial" w:hAnsi="Arial" w:cs="Arial"/>
                <w:b/>
                <w:bCs/>
                <w:color w:val="000000"/>
                <w:sz w:val="20"/>
                <w:szCs w:val="20"/>
              </w:rPr>
              <w:t xml:space="preserve">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1</w:t>
            </w:r>
            <w:r w:rsidRPr="002D2F67">
              <w:rPr>
                <w:rFonts w:ascii="Arial" w:hAnsi="Arial" w:cs="Arial"/>
                <w:b/>
                <w:bCs/>
                <w:color w:val="000000"/>
                <w:sz w:val="20"/>
                <w:szCs w:val="20"/>
              </w:rPr>
              <w:t xml:space="preserve"> January </w:t>
            </w:r>
            <w:r w:rsidR="00CD5714" w:rsidRPr="00CD5714">
              <w:rPr>
                <w:rFonts w:ascii="Arial" w:hAnsi="Arial" w:cs="Arial"/>
                <w:b/>
                <w:bCs/>
                <w:color w:val="000000"/>
                <w:sz w:val="20"/>
                <w:szCs w:val="20"/>
                <w:lang w:val="en-GB"/>
              </w:rPr>
              <w:t>2023</w:t>
            </w:r>
          </w:p>
        </w:tc>
        <w:tc>
          <w:tcPr>
            <w:tcW w:w="1584" w:type="dxa"/>
            <w:shd w:val="clear" w:color="auto" w:fill="auto"/>
            <w:vAlign w:val="bottom"/>
          </w:tcPr>
          <w:p w14:paraId="67677B78" w14:textId="77777777" w:rsidR="00FF408A" w:rsidRPr="002D2F67" w:rsidRDefault="00FF408A" w:rsidP="005611FE">
            <w:pPr>
              <w:ind w:right="-72"/>
              <w:jc w:val="right"/>
              <w:rPr>
                <w:rFonts w:ascii="Arial" w:hAnsi="Arial" w:cs="Arial"/>
                <w:color w:val="000000"/>
                <w:sz w:val="20"/>
                <w:szCs w:val="20"/>
              </w:rPr>
            </w:pPr>
          </w:p>
        </w:tc>
        <w:tc>
          <w:tcPr>
            <w:tcW w:w="1584" w:type="dxa"/>
            <w:shd w:val="clear" w:color="auto" w:fill="auto"/>
            <w:vAlign w:val="bottom"/>
          </w:tcPr>
          <w:p w14:paraId="07F8A04F" w14:textId="77777777" w:rsidR="00FF408A" w:rsidRPr="002D2F67" w:rsidRDefault="00FF408A" w:rsidP="005611FE">
            <w:pPr>
              <w:ind w:right="-72"/>
              <w:jc w:val="right"/>
              <w:rPr>
                <w:rFonts w:ascii="Arial" w:hAnsi="Arial" w:cs="Arial"/>
                <w:color w:val="000000"/>
                <w:sz w:val="20"/>
                <w:szCs w:val="20"/>
              </w:rPr>
            </w:pPr>
          </w:p>
        </w:tc>
        <w:tc>
          <w:tcPr>
            <w:tcW w:w="1584" w:type="dxa"/>
            <w:shd w:val="clear" w:color="auto" w:fill="auto"/>
            <w:vAlign w:val="bottom"/>
          </w:tcPr>
          <w:p w14:paraId="682AB7E2" w14:textId="77777777" w:rsidR="00FF408A" w:rsidRPr="002D2F67" w:rsidRDefault="00FF408A" w:rsidP="005611FE">
            <w:pPr>
              <w:ind w:right="-72"/>
              <w:jc w:val="right"/>
              <w:rPr>
                <w:rFonts w:ascii="Arial" w:hAnsi="Arial" w:cs="Arial"/>
                <w:color w:val="000000"/>
                <w:sz w:val="20"/>
                <w:szCs w:val="20"/>
              </w:rPr>
            </w:pPr>
          </w:p>
        </w:tc>
      </w:tr>
      <w:tr w:rsidR="00C500A8" w:rsidRPr="002D2F67" w14:paraId="437E52A6" w14:textId="77777777" w:rsidTr="005611FE">
        <w:tc>
          <w:tcPr>
            <w:tcW w:w="4824" w:type="dxa"/>
            <w:shd w:val="clear" w:color="auto" w:fill="auto"/>
          </w:tcPr>
          <w:p w14:paraId="4BE01532" w14:textId="77777777" w:rsidR="00C500A8" w:rsidRPr="002D2F67" w:rsidRDefault="00C500A8" w:rsidP="005611FE">
            <w:pPr>
              <w:ind w:left="45"/>
              <w:jc w:val="both"/>
              <w:rPr>
                <w:rFonts w:ascii="Arial" w:hAnsi="Arial" w:cs="Arial"/>
                <w:color w:val="000000"/>
                <w:sz w:val="20"/>
                <w:szCs w:val="20"/>
              </w:rPr>
            </w:pPr>
            <w:r w:rsidRPr="002D2F67">
              <w:rPr>
                <w:rFonts w:ascii="Arial" w:hAnsi="Arial" w:cs="Arial"/>
                <w:color w:val="000000"/>
                <w:sz w:val="20"/>
                <w:szCs w:val="20"/>
              </w:rPr>
              <w:t>Cost</w:t>
            </w:r>
          </w:p>
        </w:tc>
        <w:tc>
          <w:tcPr>
            <w:tcW w:w="1584" w:type="dxa"/>
            <w:shd w:val="clear" w:color="auto" w:fill="auto"/>
            <w:vAlign w:val="bottom"/>
          </w:tcPr>
          <w:p w14:paraId="6E9A0B95" w14:textId="13030A3A" w:rsidR="00C500A8"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38</w:t>
            </w:r>
            <w:r w:rsidR="00C500A8" w:rsidRPr="002D2F67">
              <w:rPr>
                <w:rFonts w:ascii="Arial" w:hAnsi="Arial" w:cs="Arial"/>
                <w:color w:val="000000"/>
                <w:sz w:val="20"/>
                <w:szCs w:val="20"/>
              </w:rPr>
              <w:t>,</w:t>
            </w:r>
            <w:r w:rsidRPr="00CD5714">
              <w:rPr>
                <w:rFonts w:ascii="Arial" w:hAnsi="Arial" w:cs="Arial"/>
                <w:color w:val="000000"/>
                <w:sz w:val="20"/>
                <w:szCs w:val="20"/>
                <w:lang w:val="en-GB"/>
              </w:rPr>
              <w:t>791</w:t>
            </w:r>
          </w:p>
        </w:tc>
        <w:tc>
          <w:tcPr>
            <w:tcW w:w="1584" w:type="dxa"/>
            <w:shd w:val="clear" w:color="auto" w:fill="auto"/>
            <w:vAlign w:val="bottom"/>
          </w:tcPr>
          <w:p w14:paraId="26BB4CF7" w14:textId="49339965" w:rsidR="00C500A8"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43</w:t>
            </w:r>
            <w:r w:rsidR="00C500A8" w:rsidRPr="002D2F67">
              <w:rPr>
                <w:rFonts w:ascii="Arial" w:hAnsi="Arial" w:cs="Arial"/>
                <w:color w:val="000000"/>
                <w:sz w:val="20"/>
                <w:szCs w:val="20"/>
              </w:rPr>
              <w:t>,</w:t>
            </w:r>
            <w:r w:rsidRPr="00CD5714">
              <w:rPr>
                <w:rFonts w:ascii="Arial" w:hAnsi="Arial" w:cs="Arial"/>
                <w:color w:val="000000"/>
                <w:sz w:val="20"/>
                <w:szCs w:val="20"/>
                <w:lang w:val="en-GB"/>
              </w:rPr>
              <w:t>158</w:t>
            </w:r>
          </w:p>
        </w:tc>
        <w:tc>
          <w:tcPr>
            <w:tcW w:w="1584" w:type="dxa"/>
            <w:shd w:val="clear" w:color="auto" w:fill="auto"/>
            <w:vAlign w:val="bottom"/>
          </w:tcPr>
          <w:p w14:paraId="7A8460B1" w14:textId="74AE42DB" w:rsidR="00C500A8"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81</w:t>
            </w:r>
            <w:r w:rsidR="00C500A8" w:rsidRPr="002D2F67">
              <w:rPr>
                <w:rFonts w:ascii="Arial" w:hAnsi="Arial" w:cs="Arial"/>
                <w:color w:val="000000"/>
                <w:sz w:val="20"/>
                <w:szCs w:val="20"/>
              </w:rPr>
              <w:t>,</w:t>
            </w:r>
            <w:r w:rsidRPr="00CD5714">
              <w:rPr>
                <w:rFonts w:ascii="Arial" w:hAnsi="Arial" w:cs="Arial"/>
                <w:color w:val="000000"/>
                <w:sz w:val="20"/>
                <w:szCs w:val="20"/>
                <w:lang w:val="en-GB"/>
              </w:rPr>
              <w:t>949</w:t>
            </w:r>
          </w:p>
        </w:tc>
      </w:tr>
      <w:tr w:rsidR="00C500A8" w:rsidRPr="002D2F67" w14:paraId="34BEE2D5" w14:textId="77777777" w:rsidTr="005611FE">
        <w:tc>
          <w:tcPr>
            <w:tcW w:w="4824" w:type="dxa"/>
            <w:shd w:val="clear" w:color="auto" w:fill="auto"/>
          </w:tcPr>
          <w:p w14:paraId="603576F4" w14:textId="60A362F7" w:rsidR="00C500A8" w:rsidRPr="002D2F67" w:rsidRDefault="00C500A8" w:rsidP="005611FE">
            <w:pPr>
              <w:ind w:left="45"/>
              <w:jc w:val="both"/>
              <w:rPr>
                <w:rFonts w:ascii="Arial" w:hAnsi="Arial" w:cs="Arial"/>
                <w:color w:val="000000"/>
                <w:sz w:val="20"/>
                <w:szCs w:val="20"/>
              </w:rPr>
            </w:pPr>
            <w:r w:rsidRPr="002D2F67">
              <w:rPr>
                <w:rFonts w:ascii="Arial" w:hAnsi="Arial" w:cs="Arial"/>
                <w:color w:val="000000"/>
                <w:sz w:val="20"/>
                <w:szCs w:val="20"/>
                <w:u w:val="single"/>
              </w:rPr>
              <w:t>Less</w:t>
            </w:r>
            <w:r w:rsidRPr="002D2F67">
              <w:rPr>
                <w:rFonts w:ascii="Arial" w:hAnsi="Arial" w:cs="Arial"/>
                <w:color w:val="000000"/>
                <w:sz w:val="20"/>
                <w:szCs w:val="20"/>
              </w:rPr>
              <w:t xml:space="preserve">  Accumulated depreciation</w:t>
            </w:r>
          </w:p>
        </w:tc>
        <w:tc>
          <w:tcPr>
            <w:tcW w:w="1584" w:type="dxa"/>
            <w:tcBorders>
              <w:bottom w:val="single" w:sz="4" w:space="0" w:color="auto"/>
            </w:tcBorders>
            <w:shd w:val="clear" w:color="auto" w:fill="auto"/>
          </w:tcPr>
          <w:p w14:paraId="7E2167DF" w14:textId="53D42F16" w:rsidR="00C500A8" w:rsidRPr="002D2F67" w:rsidRDefault="00C500A8"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84" w:type="dxa"/>
            <w:tcBorders>
              <w:bottom w:val="single" w:sz="4" w:space="0" w:color="auto"/>
            </w:tcBorders>
            <w:shd w:val="clear" w:color="auto" w:fill="auto"/>
          </w:tcPr>
          <w:p w14:paraId="629AD22B" w14:textId="08934C94" w:rsidR="00C500A8" w:rsidRPr="002D2F67" w:rsidRDefault="00C500A8"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17</w:t>
            </w:r>
            <w:r w:rsidRPr="002D2F67">
              <w:rPr>
                <w:rFonts w:ascii="Arial" w:hAnsi="Arial" w:cs="Arial"/>
                <w:color w:val="000000"/>
                <w:sz w:val="20"/>
                <w:szCs w:val="20"/>
              </w:rPr>
              <w:t>,</w:t>
            </w:r>
            <w:r w:rsidR="00CD5714" w:rsidRPr="00CD5714">
              <w:rPr>
                <w:rFonts w:ascii="Arial" w:hAnsi="Arial" w:cs="Arial"/>
                <w:color w:val="000000"/>
                <w:sz w:val="20"/>
                <w:szCs w:val="20"/>
                <w:lang w:val="en-GB"/>
              </w:rPr>
              <w:t>959</w:t>
            </w:r>
            <w:r w:rsidRPr="002D2F67">
              <w:rPr>
                <w:rFonts w:ascii="Arial" w:hAnsi="Arial" w:cs="Arial"/>
                <w:color w:val="000000"/>
                <w:sz w:val="20"/>
                <w:szCs w:val="20"/>
              </w:rPr>
              <w:t>)</w:t>
            </w:r>
          </w:p>
        </w:tc>
        <w:tc>
          <w:tcPr>
            <w:tcW w:w="1584" w:type="dxa"/>
            <w:tcBorders>
              <w:bottom w:val="single" w:sz="4" w:space="0" w:color="auto"/>
            </w:tcBorders>
            <w:shd w:val="clear" w:color="auto" w:fill="auto"/>
          </w:tcPr>
          <w:p w14:paraId="687D94B5" w14:textId="7D695DDD" w:rsidR="00C500A8" w:rsidRPr="002D2F67" w:rsidRDefault="00C500A8"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17</w:t>
            </w:r>
            <w:r w:rsidRPr="002D2F67">
              <w:rPr>
                <w:rFonts w:ascii="Arial" w:hAnsi="Arial" w:cs="Arial"/>
                <w:color w:val="000000"/>
                <w:sz w:val="20"/>
                <w:szCs w:val="20"/>
              </w:rPr>
              <w:t>,</w:t>
            </w:r>
            <w:r w:rsidR="00CD5714" w:rsidRPr="00CD5714">
              <w:rPr>
                <w:rFonts w:ascii="Arial" w:hAnsi="Arial" w:cs="Arial"/>
                <w:color w:val="000000"/>
                <w:sz w:val="20"/>
                <w:szCs w:val="20"/>
                <w:lang w:val="en-GB"/>
              </w:rPr>
              <w:t>959</w:t>
            </w:r>
            <w:r w:rsidRPr="002D2F67">
              <w:rPr>
                <w:rFonts w:ascii="Arial" w:hAnsi="Arial" w:cs="Arial"/>
                <w:color w:val="000000"/>
                <w:sz w:val="20"/>
                <w:szCs w:val="20"/>
              </w:rPr>
              <w:t>)</w:t>
            </w:r>
          </w:p>
        </w:tc>
      </w:tr>
      <w:tr w:rsidR="00C500A8" w:rsidRPr="002D2F67" w14:paraId="4904FF39" w14:textId="77777777" w:rsidTr="005611FE">
        <w:tc>
          <w:tcPr>
            <w:tcW w:w="4824" w:type="dxa"/>
            <w:shd w:val="clear" w:color="auto" w:fill="auto"/>
          </w:tcPr>
          <w:p w14:paraId="1A10E19E" w14:textId="77777777" w:rsidR="00C500A8" w:rsidRPr="002D2F67" w:rsidRDefault="00C500A8" w:rsidP="005611FE">
            <w:pPr>
              <w:ind w:left="45"/>
              <w:rPr>
                <w:rFonts w:ascii="Arial" w:hAnsi="Arial" w:cs="Arial"/>
                <w:color w:val="000000"/>
                <w:sz w:val="20"/>
                <w:szCs w:val="20"/>
              </w:rPr>
            </w:pPr>
          </w:p>
        </w:tc>
        <w:tc>
          <w:tcPr>
            <w:tcW w:w="1584" w:type="dxa"/>
            <w:tcBorders>
              <w:top w:val="single" w:sz="4" w:space="0" w:color="auto"/>
            </w:tcBorders>
            <w:shd w:val="clear" w:color="auto" w:fill="auto"/>
            <w:vAlign w:val="bottom"/>
          </w:tcPr>
          <w:p w14:paraId="14AC34E1" w14:textId="77777777" w:rsidR="00C500A8" w:rsidRPr="002D2F67" w:rsidRDefault="00C500A8" w:rsidP="005611FE">
            <w:pPr>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2D756458" w14:textId="77777777" w:rsidR="00C500A8" w:rsidRPr="002D2F67" w:rsidRDefault="00C500A8" w:rsidP="005611FE">
            <w:pPr>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0B975E30" w14:textId="77777777" w:rsidR="00C500A8" w:rsidRPr="002D2F67" w:rsidRDefault="00C500A8" w:rsidP="005611FE">
            <w:pPr>
              <w:ind w:right="-72"/>
              <w:jc w:val="right"/>
              <w:rPr>
                <w:rFonts w:ascii="Arial" w:hAnsi="Arial" w:cs="Arial"/>
                <w:color w:val="000000"/>
                <w:sz w:val="20"/>
                <w:szCs w:val="20"/>
              </w:rPr>
            </w:pPr>
          </w:p>
        </w:tc>
      </w:tr>
      <w:tr w:rsidR="00C500A8" w:rsidRPr="002D2F67" w14:paraId="61C6223B" w14:textId="77777777" w:rsidTr="005611FE">
        <w:trPr>
          <w:trHeight w:val="231"/>
        </w:trPr>
        <w:tc>
          <w:tcPr>
            <w:tcW w:w="4824" w:type="dxa"/>
            <w:shd w:val="clear" w:color="auto" w:fill="auto"/>
          </w:tcPr>
          <w:p w14:paraId="5FC018DA" w14:textId="77777777" w:rsidR="00C500A8" w:rsidRPr="002D2F67" w:rsidRDefault="00C500A8" w:rsidP="005611FE">
            <w:pPr>
              <w:ind w:left="45"/>
              <w:jc w:val="both"/>
              <w:rPr>
                <w:rFonts w:ascii="Arial" w:hAnsi="Arial" w:cs="Arial"/>
                <w:color w:val="000000"/>
                <w:sz w:val="20"/>
                <w:szCs w:val="20"/>
              </w:rPr>
            </w:pPr>
            <w:r w:rsidRPr="002D2F67">
              <w:rPr>
                <w:rFonts w:ascii="Arial" w:hAnsi="Arial" w:cs="Arial"/>
                <w:color w:val="000000"/>
                <w:sz w:val="20"/>
                <w:szCs w:val="20"/>
              </w:rPr>
              <w:t>Net book value</w:t>
            </w:r>
          </w:p>
        </w:tc>
        <w:tc>
          <w:tcPr>
            <w:tcW w:w="1584" w:type="dxa"/>
            <w:tcBorders>
              <w:bottom w:val="single" w:sz="4" w:space="0" w:color="auto"/>
            </w:tcBorders>
            <w:shd w:val="clear" w:color="auto" w:fill="auto"/>
            <w:vAlign w:val="bottom"/>
          </w:tcPr>
          <w:p w14:paraId="678659A8" w14:textId="7702603A" w:rsidR="00C500A8"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38</w:t>
            </w:r>
            <w:r w:rsidR="00C500A8" w:rsidRPr="002D2F67">
              <w:rPr>
                <w:rFonts w:ascii="Arial" w:hAnsi="Arial" w:cs="Arial"/>
                <w:color w:val="000000"/>
                <w:sz w:val="20"/>
                <w:szCs w:val="20"/>
              </w:rPr>
              <w:t>,</w:t>
            </w:r>
            <w:r w:rsidRPr="00CD5714">
              <w:rPr>
                <w:rFonts w:ascii="Arial" w:hAnsi="Arial" w:cs="Arial"/>
                <w:color w:val="000000"/>
                <w:sz w:val="20"/>
                <w:szCs w:val="20"/>
                <w:lang w:val="en-GB"/>
              </w:rPr>
              <w:t>791</w:t>
            </w:r>
          </w:p>
        </w:tc>
        <w:tc>
          <w:tcPr>
            <w:tcW w:w="1584" w:type="dxa"/>
            <w:tcBorders>
              <w:bottom w:val="single" w:sz="4" w:space="0" w:color="auto"/>
            </w:tcBorders>
            <w:shd w:val="clear" w:color="auto" w:fill="auto"/>
            <w:vAlign w:val="bottom"/>
          </w:tcPr>
          <w:p w14:paraId="282A628A" w14:textId="12A46C8E" w:rsidR="00C500A8"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25</w:t>
            </w:r>
            <w:r w:rsidR="00C500A8" w:rsidRPr="002D2F67">
              <w:rPr>
                <w:rFonts w:ascii="Arial" w:hAnsi="Arial" w:cs="Arial"/>
                <w:color w:val="000000"/>
                <w:sz w:val="20"/>
                <w:szCs w:val="20"/>
              </w:rPr>
              <w:t>,</w:t>
            </w:r>
            <w:r w:rsidRPr="00CD5714">
              <w:rPr>
                <w:rFonts w:ascii="Arial" w:hAnsi="Arial" w:cs="Arial"/>
                <w:color w:val="000000"/>
                <w:sz w:val="20"/>
                <w:szCs w:val="20"/>
                <w:lang w:val="en-GB"/>
              </w:rPr>
              <w:t>199</w:t>
            </w:r>
          </w:p>
        </w:tc>
        <w:tc>
          <w:tcPr>
            <w:tcW w:w="1584" w:type="dxa"/>
            <w:tcBorders>
              <w:bottom w:val="single" w:sz="4" w:space="0" w:color="auto"/>
            </w:tcBorders>
            <w:shd w:val="clear" w:color="auto" w:fill="auto"/>
            <w:vAlign w:val="bottom"/>
          </w:tcPr>
          <w:p w14:paraId="7D13202C" w14:textId="33AE71CF" w:rsidR="00C500A8"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63</w:t>
            </w:r>
            <w:r w:rsidR="00C500A8" w:rsidRPr="002D2F67">
              <w:rPr>
                <w:rFonts w:ascii="Arial" w:hAnsi="Arial" w:cs="Arial"/>
                <w:color w:val="000000"/>
                <w:sz w:val="20"/>
                <w:szCs w:val="20"/>
              </w:rPr>
              <w:t>,</w:t>
            </w:r>
            <w:r w:rsidRPr="00CD5714">
              <w:rPr>
                <w:rFonts w:ascii="Arial" w:hAnsi="Arial" w:cs="Arial"/>
                <w:color w:val="000000"/>
                <w:sz w:val="20"/>
                <w:szCs w:val="20"/>
                <w:lang w:val="en-GB"/>
              </w:rPr>
              <w:t>990</w:t>
            </w:r>
          </w:p>
        </w:tc>
      </w:tr>
      <w:tr w:rsidR="00400F8E" w:rsidRPr="002D2F67" w14:paraId="712C300A" w14:textId="77777777" w:rsidTr="0010244D">
        <w:tc>
          <w:tcPr>
            <w:tcW w:w="4824" w:type="dxa"/>
            <w:shd w:val="clear" w:color="auto" w:fill="auto"/>
          </w:tcPr>
          <w:p w14:paraId="29F8E258" w14:textId="77777777" w:rsidR="00400F8E" w:rsidRPr="002D2F67" w:rsidRDefault="00400F8E" w:rsidP="005611FE">
            <w:pPr>
              <w:ind w:left="45"/>
              <w:jc w:val="both"/>
              <w:rPr>
                <w:rFonts w:ascii="Arial" w:hAnsi="Arial" w:cs="Arial"/>
                <w:b/>
                <w:bCs/>
                <w:color w:val="000000"/>
                <w:sz w:val="20"/>
                <w:szCs w:val="20"/>
              </w:rPr>
            </w:pPr>
          </w:p>
        </w:tc>
        <w:tc>
          <w:tcPr>
            <w:tcW w:w="1584" w:type="dxa"/>
            <w:shd w:val="clear" w:color="auto" w:fill="auto"/>
            <w:vAlign w:val="bottom"/>
          </w:tcPr>
          <w:p w14:paraId="4C10129C" w14:textId="77777777" w:rsidR="00400F8E" w:rsidRPr="002D2F67" w:rsidRDefault="00400F8E" w:rsidP="005611FE">
            <w:pPr>
              <w:ind w:right="-72"/>
              <w:jc w:val="right"/>
              <w:rPr>
                <w:rFonts w:ascii="Arial" w:hAnsi="Arial" w:cs="Arial"/>
                <w:color w:val="000000"/>
                <w:sz w:val="20"/>
                <w:szCs w:val="20"/>
              </w:rPr>
            </w:pPr>
          </w:p>
        </w:tc>
        <w:tc>
          <w:tcPr>
            <w:tcW w:w="1584" w:type="dxa"/>
            <w:shd w:val="clear" w:color="auto" w:fill="auto"/>
            <w:vAlign w:val="bottom"/>
          </w:tcPr>
          <w:p w14:paraId="1FA6DB8E" w14:textId="77777777" w:rsidR="00400F8E" w:rsidRPr="002D2F67" w:rsidRDefault="00400F8E" w:rsidP="005611FE">
            <w:pPr>
              <w:ind w:right="-72"/>
              <w:jc w:val="right"/>
              <w:rPr>
                <w:rFonts w:ascii="Arial" w:hAnsi="Arial" w:cs="Arial"/>
                <w:color w:val="000000"/>
                <w:sz w:val="20"/>
                <w:szCs w:val="20"/>
              </w:rPr>
            </w:pPr>
          </w:p>
        </w:tc>
        <w:tc>
          <w:tcPr>
            <w:tcW w:w="1584" w:type="dxa"/>
            <w:shd w:val="clear" w:color="auto" w:fill="auto"/>
            <w:vAlign w:val="bottom"/>
          </w:tcPr>
          <w:p w14:paraId="5F418F88" w14:textId="77777777" w:rsidR="00400F8E" w:rsidRPr="002D2F67" w:rsidRDefault="00400F8E" w:rsidP="005611FE">
            <w:pPr>
              <w:ind w:right="-72"/>
              <w:jc w:val="right"/>
              <w:rPr>
                <w:rFonts w:ascii="Arial" w:hAnsi="Arial" w:cs="Arial"/>
                <w:color w:val="000000"/>
                <w:sz w:val="20"/>
                <w:szCs w:val="20"/>
              </w:rPr>
            </w:pPr>
          </w:p>
        </w:tc>
      </w:tr>
      <w:tr w:rsidR="00400F8E" w:rsidRPr="002D2F67" w14:paraId="5339EF90" w14:textId="77777777" w:rsidTr="005611FE">
        <w:tc>
          <w:tcPr>
            <w:tcW w:w="4824" w:type="dxa"/>
            <w:shd w:val="clear" w:color="auto" w:fill="auto"/>
          </w:tcPr>
          <w:p w14:paraId="473BF574" w14:textId="1FC5BA18" w:rsidR="00400F8E" w:rsidRPr="002D2F67" w:rsidRDefault="00400F8E" w:rsidP="005611FE">
            <w:pPr>
              <w:ind w:left="45"/>
              <w:jc w:val="both"/>
              <w:rPr>
                <w:rFonts w:ascii="Arial" w:hAnsi="Arial" w:cs="Arial"/>
                <w:color w:val="000000"/>
                <w:sz w:val="20"/>
                <w:szCs w:val="20"/>
              </w:rPr>
            </w:pPr>
            <w:r w:rsidRPr="002D2F67">
              <w:rPr>
                <w:rFonts w:ascii="Arial" w:hAnsi="Arial" w:cs="Arial"/>
                <w:b/>
                <w:bCs/>
                <w:color w:val="000000"/>
                <w:sz w:val="20"/>
                <w:szCs w:val="20"/>
              </w:rPr>
              <w:t xml:space="preserve">For the year ended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 </w:t>
            </w:r>
            <w:r w:rsidR="00CD5714" w:rsidRPr="00CD5714">
              <w:rPr>
                <w:rFonts w:ascii="Arial" w:hAnsi="Arial" w:cs="Arial"/>
                <w:b/>
                <w:bCs/>
                <w:color w:val="000000"/>
                <w:sz w:val="20"/>
                <w:szCs w:val="20"/>
                <w:lang w:val="en-GB"/>
              </w:rPr>
              <w:t>2023</w:t>
            </w:r>
          </w:p>
        </w:tc>
        <w:tc>
          <w:tcPr>
            <w:tcW w:w="1584" w:type="dxa"/>
            <w:shd w:val="clear" w:color="auto" w:fill="auto"/>
            <w:vAlign w:val="bottom"/>
          </w:tcPr>
          <w:p w14:paraId="62444CDD" w14:textId="77777777" w:rsidR="00400F8E" w:rsidRPr="002D2F67" w:rsidRDefault="00400F8E" w:rsidP="005611FE">
            <w:pPr>
              <w:ind w:right="-72"/>
              <w:jc w:val="right"/>
              <w:rPr>
                <w:rFonts w:ascii="Arial" w:hAnsi="Arial" w:cs="Arial"/>
                <w:color w:val="000000"/>
                <w:sz w:val="20"/>
                <w:szCs w:val="20"/>
              </w:rPr>
            </w:pPr>
          </w:p>
        </w:tc>
        <w:tc>
          <w:tcPr>
            <w:tcW w:w="1584" w:type="dxa"/>
            <w:shd w:val="clear" w:color="auto" w:fill="auto"/>
            <w:vAlign w:val="bottom"/>
          </w:tcPr>
          <w:p w14:paraId="71459F70" w14:textId="77777777" w:rsidR="00400F8E" w:rsidRPr="002D2F67" w:rsidRDefault="00400F8E" w:rsidP="005611FE">
            <w:pPr>
              <w:ind w:right="-72"/>
              <w:jc w:val="right"/>
              <w:rPr>
                <w:rFonts w:ascii="Arial" w:hAnsi="Arial" w:cs="Arial"/>
                <w:color w:val="000000"/>
                <w:sz w:val="20"/>
                <w:szCs w:val="20"/>
              </w:rPr>
            </w:pPr>
          </w:p>
        </w:tc>
        <w:tc>
          <w:tcPr>
            <w:tcW w:w="1584" w:type="dxa"/>
            <w:shd w:val="clear" w:color="auto" w:fill="auto"/>
            <w:vAlign w:val="bottom"/>
          </w:tcPr>
          <w:p w14:paraId="17026DC5" w14:textId="77777777" w:rsidR="00400F8E" w:rsidRPr="002D2F67" w:rsidRDefault="00400F8E" w:rsidP="005611FE">
            <w:pPr>
              <w:ind w:right="-72"/>
              <w:jc w:val="right"/>
              <w:rPr>
                <w:rFonts w:ascii="Arial" w:hAnsi="Arial" w:cs="Arial"/>
                <w:color w:val="000000"/>
                <w:sz w:val="20"/>
                <w:szCs w:val="20"/>
              </w:rPr>
            </w:pPr>
          </w:p>
        </w:tc>
      </w:tr>
      <w:tr w:rsidR="00865AB1" w:rsidRPr="002D2F67" w14:paraId="4A46E037" w14:textId="77777777" w:rsidTr="005611FE">
        <w:tc>
          <w:tcPr>
            <w:tcW w:w="4824" w:type="dxa"/>
            <w:shd w:val="clear" w:color="auto" w:fill="auto"/>
          </w:tcPr>
          <w:p w14:paraId="70A84EB6" w14:textId="11F75D94" w:rsidR="00865AB1" w:rsidRPr="002D2F67" w:rsidRDefault="00865AB1" w:rsidP="005611FE">
            <w:pPr>
              <w:ind w:left="45"/>
              <w:jc w:val="both"/>
              <w:rPr>
                <w:rFonts w:ascii="Arial" w:hAnsi="Arial" w:cs="Arial"/>
                <w:color w:val="000000"/>
                <w:sz w:val="20"/>
                <w:szCs w:val="20"/>
              </w:rPr>
            </w:pPr>
            <w:r w:rsidRPr="002D2F67">
              <w:rPr>
                <w:rFonts w:ascii="Arial" w:hAnsi="Arial" w:cs="Arial"/>
                <w:color w:val="000000"/>
                <w:sz w:val="20"/>
                <w:szCs w:val="20"/>
              </w:rPr>
              <w:t>Opening net book value</w:t>
            </w:r>
          </w:p>
        </w:tc>
        <w:tc>
          <w:tcPr>
            <w:tcW w:w="1584" w:type="dxa"/>
            <w:shd w:val="clear" w:color="auto" w:fill="auto"/>
            <w:vAlign w:val="bottom"/>
          </w:tcPr>
          <w:p w14:paraId="03E08F70" w14:textId="27234856"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38</w:t>
            </w:r>
            <w:r w:rsidR="00865AB1" w:rsidRPr="002D2F67">
              <w:rPr>
                <w:rFonts w:ascii="Arial" w:hAnsi="Arial" w:cs="Arial"/>
                <w:color w:val="000000"/>
                <w:sz w:val="20"/>
                <w:szCs w:val="20"/>
              </w:rPr>
              <w:t>,</w:t>
            </w:r>
            <w:r w:rsidRPr="00CD5714">
              <w:rPr>
                <w:rFonts w:ascii="Arial" w:hAnsi="Arial" w:cs="Arial"/>
                <w:color w:val="000000"/>
                <w:sz w:val="20"/>
                <w:szCs w:val="20"/>
                <w:lang w:val="en-GB"/>
              </w:rPr>
              <w:t>791</w:t>
            </w:r>
          </w:p>
        </w:tc>
        <w:tc>
          <w:tcPr>
            <w:tcW w:w="1584" w:type="dxa"/>
            <w:shd w:val="clear" w:color="auto" w:fill="auto"/>
            <w:vAlign w:val="bottom"/>
          </w:tcPr>
          <w:p w14:paraId="58EB5DC7" w14:textId="40ED32D1"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25</w:t>
            </w:r>
            <w:r w:rsidR="00865AB1" w:rsidRPr="002D2F67">
              <w:rPr>
                <w:rFonts w:ascii="Arial" w:hAnsi="Arial" w:cs="Arial"/>
                <w:color w:val="000000"/>
                <w:sz w:val="20"/>
                <w:szCs w:val="20"/>
              </w:rPr>
              <w:t>,</w:t>
            </w:r>
            <w:r w:rsidRPr="00CD5714">
              <w:rPr>
                <w:rFonts w:ascii="Arial" w:hAnsi="Arial" w:cs="Arial"/>
                <w:color w:val="000000"/>
                <w:sz w:val="20"/>
                <w:szCs w:val="20"/>
                <w:lang w:val="en-GB"/>
              </w:rPr>
              <w:t>199</w:t>
            </w:r>
          </w:p>
        </w:tc>
        <w:tc>
          <w:tcPr>
            <w:tcW w:w="1584" w:type="dxa"/>
            <w:shd w:val="clear" w:color="auto" w:fill="auto"/>
            <w:vAlign w:val="bottom"/>
          </w:tcPr>
          <w:p w14:paraId="58798DEF" w14:textId="2F439659"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63</w:t>
            </w:r>
            <w:r w:rsidR="00865AB1" w:rsidRPr="002D2F67">
              <w:rPr>
                <w:rFonts w:ascii="Arial" w:hAnsi="Arial" w:cs="Arial"/>
                <w:color w:val="000000"/>
                <w:sz w:val="20"/>
                <w:szCs w:val="20"/>
              </w:rPr>
              <w:t>,</w:t>
            </w:r>
            <w:r w:rsidRPr="00CD5714">
              <w:rPr>
                <w:rFonts w:ascii="Arial" w:hAnsi="Arial" w:cs="Arial"/>
                <w:color w:val="000000"/>
                <w:sz w:val="20"/>
                <w:szCs w:val="20"/>
                <w:lang w:val="en-GB"/>
              </w:rPr>
              <w:t>990</w:t>
            </w:r>
          </w:p>
        </w:tc>
      </w:tr>
      <w:tr w:rsidR="00865AB1" w:rsidRPr="002D2F67" w14:paraId="15598BB2" w14:textId="77777777" w:rsidTr="005611FE">
        <w:tc>
          <w:tcPr>
            <w:tcW w:w="4824" w:type="dxa"/>
            <w:shd w:val="clear" w:color="auto" w:fill="auto"/>
          </w:tcPr>
          <w:p w14:paraId="1C148862" w14:textId="4886D888" w:rsidR="00865AB1" w:rsidRPr="002D2F67" w:rsidRDefault="00865AB1" w:rsidP="005611FE">
            <w:pPr>
              <w:ind w:left="45"/>
              <w:jc w:val="both"/>
              <w:rPr>
                <w:rFonts w:ascii="Arial" w:hAnsi="Arial" w:cs="Arial"/>
                <w:color w:val="000000"/>
                <w:sz w:val="20"/>
                <w:szCs w:val="20"/>
              </w:rPr>
            </w:pPr>
            <w:r w:rsidRPr="002D2F67">
              <w:rPr>
                <w:rFonts w:ascii="Arial" w:hAnsi="Arial" w:cs="Arial"/>
                <w:color w:val="000000"/>
                <w:sz w:val="20"/>
                <w:szCs w:val="20"/>
              </w:rPr>
              <w:t>Depreciation charged</w:t>
            </w:r>
          </w:p>
        </w:tc>
        <w:tc>
          <w:tcPr>
            <w:tcW w:w="1584" w:type="dxa"/>
            <w:tcBorders>
              <w:bottom w:val="single" w:sz="4" w:space="0" w:color="auto"/>
            </w:tcBorders>
            <w:shd w:val="clear" w:color="auto" w:fill="auto"/>
            <w:vAlign w:val="bottom"/>
          </w:tcPr>
          <w:p w14:paraId="5AC0C861" w14:textId="3205920F" w:rsidR="00865AB1" w:rsidRPr="002D2F67" w:rsidRDefault="00865AB1"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84" w:type="dxa"/>
            <w:tcBorders>
              <w:bottom w:val="single" w:sz="4" w:space="0" w:color="auto"/>
            </w:tcBorders>
            <w:shd w:val="clear" w:color="auto" w:fill="auto"/>
            <w:vAlign w:val="bottom"/>
          </w:tcPr>
          <w:p w14:paraId="30D41498" w14:textId="7F00E325" w:rsidR="00865AB1" w:rsidRPr="002D2F67" w:rsidRDefault="00865AB1"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2</w:t>
            </w:r>
            <w:r w:rsidRPr="002D2F67">
              <w:rPr>
                <w:rFonts w:ascii="Arial" w:hAnsi="Arial" w:cs="Arial"/>
                <w:color w:val="000000"/>
                <w:sz w:val="20"/>
                <w:szCs w:val="20"/>
              </w:rPr>
              <w:t>,</w:t>
            </w:r>
            <w:r w:rsidR="00CD5714" w:rsidRPr="00CD5714">
              <w:rPr>
                <w:rFonts w:ascii="Arial" w:hAnsi="Arial" w:cs="Arial"/>
                <w:color w:val="000000"/>
                <w:sz w:val="20"/>
                <w:szCs w:val="20"/>
                <w:lang w:val="en-GB"/>
              </w:rPr>
              <w:t>178</w:t>
            </w:r>
            <w:r w:rsidRPr="002D2F67">
              <w:rPr>
                <w:rFonts w:ascii="Arial" w:hAnsi="Arial" w:cs="Arial"/>
                <w:color w:val="000000"/>
                <w:sz w:val="20"/>
                <w:szCs w:val="20"/>
              </w:rPr>
              <w:t>)</w:t>
            </w:r>
          </w:p>
        </w:tc>
        <w:tc>
          <w:tcPr>
            <w:tcW w:w="1584" w:type="dxa"/>
            <w:tcBorders>
              <w:bottom w:val="single" w:sz="4" w:space="0" w:color="auto"/>
            </w:tcBorders>
            <w:shd w:val="clear" w:color="auto" w:fill="auto"/>
            <w:vAlign w:val="bottom"/>
          </w:tcPr>
          <w:p w14:paraId="5326DF83" w14:textId="6C015A61" w:rsidR="00865AB1" w:rsidRPr="002D2F67" w:rsidRDefault="00865AB1"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2</w:t>
            </w:r>
            <w:r w:rsidRPr="002D2F67">
              <w:rPr>
                <w:rFonts w:ascii="Arial" w:hAnsi="Arial" w:cs="Arial"/>
                <w:color w:val="000000"/>
                <w:sz w:val="20"/>
                <w:szCs w:val="20"/>
              </w:rPr>
              <w:t>,</w:t>
            </w:r>
            <w:r w:rsidR="00CD5714" w:rsidRPr="00CD5714">
              <w:rPr>
                <w:rFonts w:ascii="Arial" w:hAnsi="Arial" w:cs="Arial"/>
                <w:color w:val="000000"/>
                <w:sz w:val="20"/>
                <w:szCs w:val="20"/>
                <w:lang w:val="en-GB"/>
              </w:rPr>
              <w:t>178</w:t>
            </w:r>
            <w:r w:rsidRPr="002D2F67">
              <w:rPr>
                <w:rFonts w:ascii="Arial" w:hAnsi="Arial" w:cs="Arial"/>
                <w:color w:val="000000"/>
                <w:sz w:val="20"/>
                <w:szCs w:val="20"/>
              </w:rPr>
              <w:t>)</w:t>
            </w:r>
          </w:p>
        </w:tc>
      </w:tr>
      <w:tr w:rsidR="00865AB1" w:rsidRPr="002D2F67" w14:paraId="45870B48" w14:textId="77777777" w:rsidTr="005611FE">
        <w:tc>
          <w:tcPr>
            <w:tcW w:w="4824" w:type="dxa"/>
            <w:shd w:val="clear" w:color="auto" w:fill="auto"/>
          </w:tcPr>
          <w:p w14:paraId="2750DCBE" w14:textId="77777777" w:rsidR="00865AB1" w:rsidRPr="002D2F67" w:rsidRDefault="00865AB1" w:rsidP="005611FE">
            <w:pPr>
              <w:ind w:left="45"/>
              <w:rPr>
                <w:rFonts w:ascii="Arial" w:hAnsi="Arial" w:cs="Arial"/>
                <w:color w:val="000000"/>
                <w:sz w:val="20"/>
                <w:szCs w:val="20"/>
              </w:rPr>
            </w:pPr>
          </w:p>
        </w:tc>
        <w:tc>
          <w:tcPr>
            <w:tcW w:w="1584" w:type="dxa"/>
            <w:tcBorders>
              <w:top w:val="single" w:sz="4" w:space="0" w:color="auto"/>
            </w:tcBorders>
            <w:shd w:val="clear" w:color="auto" w:fill="auto"/>
            <w:vAlign w:val="bottom"/>
          </w:tcPr>
          <w:p w14:paraId="64313DE3" w14:textId="77777777" w:rsidR="00865AB1" w:rsidRPr="002D2F67" w:rsidRDefault="00865AB1" w:rsidP="005611FE">
            <w:pPr>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502017A3" w14:textId="77777777" w:rsidR="00865AB1" w:rsidRPr="002D2F67" w:rsidRDefault="00865AB1" w:rsidP="005611FE">
            <w:pPr>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7A37B0D0" w14:textId="77777777" w:rsidR="00865AB1" w:rsidRPr="002D2F67" w:rsidRDefault="00865AB1" w:rsidP="005611FE">
            <w:pPr>
              <w:ind w:right="-72"/>
              <w:jc w:val="right"/>
              <w:rPr>
                <w:rFonts w:ascii="Arial" w:hAnsi="Arial" w:cs="Arial"/>
                <w:color w:val="000000"/>
                <w:sz w:val="20"/>
                <w:szCs w:val="20"/>
              </w:rPr>
            </w:pPr>
          </w:p>
        </w:tc>
      </w:tr>
      <w:tr w:rsidR="00865AB1" w:rsidRPr="002D2F67" w14:paraId="65CED147" w14:textId="77777777" w:rsidTr="005611FE">
        <w:tc>
          <w:tcPr>
            <w:tcW w:w="4824" w:type="dxa"/>
            <w:shd w:val="clear" w:color="auto" w:fill="auto"/>
          </w:tcPr>
          <w:p w14:paraId="68C89C66" w14:textId="42AFBD55" w:rsidR="00865AB1" w:rsidRPr="002D2F67" w:rsidRDefault="00865AB1" w:rsidP="005611FE">
            <w:pPr>
              <w:ind w:left="45"/>
              <w:jc w:val="both"/>
              <w:rPr>
                <w:rFonts w:ascii="Arial" w:hAnsi="Arial" w:cs="Arial"/>
                <w:color w:val="000000"/>
                <w:sz w:val="20"/>
                <w:szCs w:val="20"/>
              </w:rPr>
            </w:pPr>
            <w:r w:rsidRPr="002D2F67">
              <w:rPr>
                <w:rFonts w:ascii="Arial" w:hAnsi="Arial" w:cs="Arial"/>
                <w:color w:val="000000"/>
                <w:sz w:val="20"/>
                <w:szCs w:val="20"/>
              </w:rPr>
              <w:t>Closing net book value</w:t>
            </w:r>
          </w:p>
        </w:tc>
        <w:tc>
          <w:tcPr>
            <w:tcW w:w="1584" w:type="dxa"/>
            <w:tcBorders>
              <w:bottom w:val="single" w:sz="4" w:space="0" w:color="auto"/>
            </w:tcBorders>
            <w:shd w:val="clear" w:color="auto" w:fill="auto"/>
          </w:tcPr>
          <w:p w14:paraId="7324EDB0" w14:textId="428E3F45"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38</w:t>
            </w:r>
            <w:r w:rsidR="00865AB1" w:rsidRPr="002D2F67">
              <w:rPr>
                <w:rFonts w:ascii="Arial" w:hAnsi="Arial" w:cs="Arial"/>
                <w:color w:val="000000"/>
                <w:sz w:val="20"/>
                <w:szCs w:val="20"/>
              </w:rPr>
              <w:t>,</w:t>
            </w:r>
            <w:r w:rsidRPr="00CD5714">
              <w:rPr>
                <w:rFonts w:ascii="Arial" w:hAnsi="Arial" w:cs="Arial"/>
                <w:color w:val="000000"/>
                <w:sz w:val="20"/>
                <w:szCs w:val="20"/>
                <w:lang w:val="en-GB"/>
              </w:rPr>
              <w:t>791</w:t>
            </w:r>
          </w:p>
        </w:tc>
        <w:tc>
          <w:tcPr>
            <w:tcW w:w="1584" w:type="dxa"/>
            <w:tcBorders>
              <w:bottom w:val="single" w:sz="4" w:space="0" w:color="auto"/>
            </w:tcBorders>
            <w:shd w:val="clear" w:color="auto" w:fill="auto"/>
          </w:tcPr>
          <w:p w14:paraId="6ABF63B5" w14:textId="36D5B935"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23</w:t>
            </w:r>
            <w:r w:rsidR="00865AB1" w:rsidRPr="002D2F67">
              <w:rPr>
                <w:rFonts w:ascii="Arial" w:hAnsi="Arial" w:cs="Arial"/>
                <w:color w:val="000000"/>
                <w:sz w:val="20"/>
                <w:szCs w:val="20"/>
              </w:rPr>
              <w:t>,</w:t>
            </w:r>
            <w:r w:rsidRPr="00CD5714">
              <w:rPr>
                <w:rFonts w:ascii="Arial" w:hAnsi="Arial" w:cs="Arial"/>
                <w:color w:val="000000"/>
                <w:sz w:val="20"/>
                <w:szCs w:val="20"/>
                <w:lang w:val="en-GB"/>
              </w:rPr>
              <w:t>021</w:t>
            </w:r>
          </w:p>
        </w:tc>
        <w:tc>
          <w:tcPr>
            <w:tcW w:w="1584" w:type="dxa"/>
            <w:tcBorders>
              <w:bottom w:val="single" w:sz="4" w:space="0" w:color="auto"/>
            </w:tcBorders>
            <w:shd w:val="clear" w:color="auto" w:fill="auto"/>
          </w:tcPr>
          <w:p w14:paraId="4B6110D0" w14:textId="0D046E08"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61</w:t>
            </w:r>
            <w:r w:rsidR="00865AB1" w:rsidRPr="002D2F67">
              <w:rPr>
                <w:rFonts w:ascii="Arial" w:hAnsi="Arial" w:cs="Arial"/>
                <w:color w:val="000000"/>
                <w:sz w:val="20"/>
                <w:szCs w:val="20"/>
              </w:rPr>
              <w:t>,</w:t>
            </w:r>
            <w:r w:rsidRPr="00CD5714">
              <w:rPr>
                <w:rFonts w:ascii="Arial" w:hAnsi="Arial" w:cs="Arial"/>
                <w:color w:val="000000"/>
                <w:sz w:val="20"/>
                <w:szCs w:val="20"/>
                <w:lang w:val="en-GB"/>
              </w:rPr>
              <w:t>812</w:t>
            </w:r>
          </w:p>
        </w:tc>
      </w:tr>
      <w:tr w:rsidR="00865AB1" w:rsidRPr="002D2F67" w14:paraId="2798E096" w14:textId="77777777" w:rsidTr="005611FE">
        <w:tc>
          <w:tcPr>
            <w:tcW w:w="4824" w:type="dxa"/>
            <w:shd w:val="clear" w:color="auto" w:fill="auto"/>
          </w:tcPr>
          <w:p w14:paraId="4A3F8934" w14:textId="77777777" w:rsidR="00865AB1" w:rsidRPr="002D2F67" w:rsidRDefault="00865AB1" w:rsidP="005611FE">
            <w:pPr>
              <w:ind w:left="45"/>
              <w:jc w:val="both"/>
              <w:rPr>
                <w:rFonts w:ascii="Arial" w:hAnsi="Arial" w:cs="Arial"/>
                <w:color w:val="000000"/>
                <w:sz w:val="20"/>
                <w:szCs w:val="20"/>
              </w:rPr>
            </w:pPr>
          </w:p>
        </w:tc>
        <w:tc>
          <w:tcPr>
            <w:tcW w:w="1584" w:type="dxa"/>
            <w:tcBorders>
              <w:top w:val="single" w:sz="4" w:space="0" w:color="auto"/>
            </w:tcBorders>
            <w:shd w:val="clear" w:color="auto" w:fill="auto"/>
            <w:vAlign w:val="bottom"/>
          </w:tcPr>
          <w:p w14:paraId="027F65C3" w14:textId="77777777" w:rsidR="00865AB1" w:rsidRPr="002D2F67" w:rsidRDefault="00865AB1" w:rsidP="005611FE">
            <w:pPr>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6C6FA375" w14:textId="77777777" w:rsidR="00865AB1" w:rsidRPr="002D2F67" w:rsidRDefault="00865AB1" w:rsidP="005611FE">
            <w:pPr>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11DEB380" w14:textId="77777777" w:rsidR="00865AB1" w:rsidRPr="002D2F67" w:rsidRDefault="00865AB1" w:rsidP="005611FE">
            <w:pPr>
              <w:ind w:right="-72"/>
              <w:jc w:val="right"/>
              <w:rPr>
                <w:rFonts w:ascii="Arial" w:hAnsi="Arial" w:cs="Arial"/>
                <w:color w:val="000000"/>
                <w:sz w:val="20"/>
                <w:szCs w:val="20"/>
              </w:rPr>
            </w:pPr>
          </w:p>
        </w:tc>
      </w:tr>
      <w:tr w:rsidR="00865AB1" w:rsidRPr="002D2F67" w14:paraId="7831F6ED" w14:textId="77777777" w:rsidTr="005611FE">
        <w:tc>
          <w:tcPr>
            <w:tcW w:w="4824" w:type="dxa"/>
            <w:shd w:val="clear" w:color="auto" w:fill="auto"/>
          </w:tcPr>
          <w:p w14:paraId="2EEC9EFA" w14:textId="0D782497" w:rsidR="00865AB1" w:rsidRPr="002D2F67" w:rsidRDefault="00865AB1" w:rsidP="005611FE">
            <w:pPr>
              <w:ind w:left="45"/>
              <w:rPr>
                <w:rFonts w:ascii="Arial" w:hAnsi="Arial" w:cs="Arial"/>
                <w:color w:val="000000"/>
                <w:sz w:val="20"/>
                <w:szCs w:val="20"/>
              </w:rPr>
            </w:pPr>
            <w:r w:rsidRPr="002D2F67">
              <w:rPr>
                <w:rFonts w:ascii="Arial" w:hAnsi="Arial" w:cs="Arial"/>
                <w:b/>
                <w:bCs/>
                <w:color w:val="000000"/>
                <w:sz w:val="20"/>
                <w:szCs w:val="20"/>
              </w:rPr>
              <w:t xml:space="preserve">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 </w:t>
            </w:r>
            <w:r w:rsidR="00CD5714" w:rsidRPr="00CD5714">
              <w:rPr>
                <w:rFonts w:ascii="Arial" w:hAnsi="Arial" w:cs="Arial"/>
                <w:b/>
                <w:bCs/>
                <w:color w:val="000000"/>
                <w:sz w:val="20"/>
                <w:szCs w:val="20"/>
                <w:lang w:val="en-GB"/>
              </w:rPr>
              <w:t>2023</w:t>
            </w:r>
          </w:p>
        </w:tc>
        <w:tc>
          <w:tcPr>
            <w:tcW w:w="1584" w:type="dxa"/>
            <w:shd w:val="clear" w:color="auto" w:fill="auto"/>
            <w:vAlign w:val="bottom"/>
          </w:tcPr>
          <w:p w14:paraId="469BB769" w14:textId="77777777" w:rsidR="00865AB1" w:rsidRPr="002D2F67" w:rsidRDefault="00865AB1" w:rsidP="005611FE">
            <w:pPr>
              <w:ind w:right="-72"/>
              <w:jc w:val="right"/>
              <w:rPr>
                <w:rFonts w:ascii="Arial" w:hAnsi="Arial" w:cs="Arial"/>
                <w:color w:val="000000"/>
                <w:sz w:val="20"/>
                <w:szCs w:val="20"/>
              </w:rPr>
            </w:pPr>
          </w:p>
        </w:tc>
        <w:tc>
          <w:tcPr>
            <w:tcW w:w="1584" w:type="dxa"/>
            <w:shd w:val="clear" w:color="auto" w:fill="auto"/>
            <w:vAlign w:val="bottom"/>
          </w:tcPr>
          <w:p w14:paraId="5ED801C6" w14:textId="77777777" w:rsidR="00865AB1" w:rsidRPr="002D2F67" w:rsidRDefault="00865AB1" w:rsidP="005611FE">
            <w:pPr>
              <w:ind w:right="-72"/>
              <w:jc w:val="right"/>
              <w:rPr>
                <w:rFonts w:ascii="Arial" w:hAnsi="Arial" w:cs="Arial"/>
                <w:color w:val="000000"/>
                <w:sz w:val="20"/>
                <w:szCs w:val="20"/>
              </w:rPr>
            </w:pPr>
          </w:p>
        </w:tc>
        <w:tc>
          <w:tcPr>
            <w:tcW w:w="1584" w:type="dxa"/>
            <w:shd w:val="clear" w:color="auto" w:fill="auto"/>
            <w:vAlign w:val="bottom"/>
          </w:tcPr>
          <w:p w14:paraId="1FC8DF79" w14:textId="77777777" w:rsidR="00865AB1" w:rsidRPr="002D2F67" w:rsidRDefault="00865AB1" w:rsidP="005611FE">
            <w:pPr>
              <w:ind w:right="-72"/>
              <w:jc w:val="right"/>
              <w:rPr>
                <w:rFonts w:ascii="Arial" w:hAnsi="Arial" w:cs="Arial"/>
                <w:color w:val="000000"/>
                <w:sz w:val="20"/>
                <w:szCs w:val="20"/>
              </w:rPr>
            </w:pPr>
          </w:p>
        </w:tc>
      </w:tr>
      <w:tr w:rsidR="00865AB1" w:rsidRPr="002D2F67" w14:paraId="26C586F8" w14:textId="77777777" w:rsidTr="005611FE">
        <w:tc>
          <w:tcPr>
            <w:tcW w:w="4824" w:type="dxa"/>
            <w:shd w:val="clear" w:color="auto" w:fill="auto"/>
          </w:tcPr>
          <w:p w14:paraId="2FDAD75D" w14:textId="77777777" w:rsidR="00865AB1" w:rsidRPr="002D2F67" w:rsidRDefault="00865AB1" w:rsidP="005611FE">
            <w:pPr>
              <w:ind w:left="45"/>
              <w:jc w:val="both"/>
              <w:rPr>
                <w:rFonts w:ascii="Arial" w:hAnsi="Arial" w:cs="Arial"/>
                <w:color w:val="000000"/>
                <w:sz w:val="20"/>
                <w:szCs w:val="20"/>
              </w:rPr>
            </w:pPr>
            <w:r w:rsidRPr="002D2F67">
              <w:rPr>
                <w:rFonts w:ascii="Arial" w:hAnsi="Arial" w:cs="Arial"/>
                <w:color w:val="000000"/>
                <w:sz w:val="20"/>
                <w:szCs w:val="20"/>
              </w:rPr>
              <w:t>Cost</w:t>
            </w:r>
          </w:p>
        </w:tc>
        <w:tc>
          <w:tcPr>
            <w:tcW w:w="1584" w:type="dxa"/>
            <w:shd w:val="clear" w:color="auto" w:fill="auto"/>
            <w:vAlign w:val="bottom"/>
          </w:tcPr>
          <w:p w14:paraId="7984C899" w14:textId="2902F312"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38</w:t>
            </w:r>
            <w:r w:rsidR="00865AB1" w:rsidRPr="002D2F67">
              <w:rPr>
                <w:rFonts w:ascii="Arial" w:hAnsi="Arial" w:cs="Arial"/>
                <w:color w:val="000000"/>
                <w:sz w:val="20"/>
                <w:szCs w:val="20"/>
              </w:rPr>
              <w:t>,</w:t>
            </w:r>
            <w:r w:rsidRPr="00CD5714">
              <w:rPr>
                <w:rFonts w:ascii="Arial" w:hAnsi="Arial" w:cs="Arial"/>
                <w:color w:val="000000"/>
                <w:sz w:val="20"/>
                <w:szCs w:val="20"/>
                <w:lang w:val="en-GB"/>
              </w:rPr>
              <w:t>791</w:t>
            </w:r>
          </w:p>
        </w:tc>
        <w:tc>
          <w:tcPr>
            <w:tcW w:w="1584" w:type="dxa"/>
            <w:shd w:val="clear" w:color="auto" w:fill="auto"/>
            <w:vAlign w:val="bottom"/>
          </w:tcPr>
          <w:p w14:paraId="76109029" w14:textId="4B2EBFE4"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43</w:t>
            </w:r>
            <w:r w:rsidR="00865AB1" w:rsidRPr="002D2F67">
              <w:rPr>
                <w:rFonts w:ascii="Arial" w:hAnsi="Arial" w:cs="Arial"/>
                <w:color w:val="000000"/>
                <w:sz w:val="20"/>
                <w:szCs w:val="20"/>
              </w:rPr>
              <w:t>,</w:t>
            </w:r>
            <w:r w:rsidRPr="00CD5714">
              <w:rPr>
                <w:rFonts w:ascii="Arial" w:hAnsi="Arial" w:cs="Arial"/>
                <w:color w:val="000000"/>
                <w:sz w:val="20"/>
                <w:szCs w:val="20"/>
                <w:lang w:val="en-GB"/>
              </w:rPr>
              <w:t>158</w:t>
            </w:r>
          </w:p>
        </w:tc>
        <w:tc>
          <w:tcPr>
            <w:tcW w:w="1584" w:type="dxa"/>
            <w:shd w:val="clear" w:color="auto" w:fill="auto"/>
            <w:vAlign w:val="bottom"/>
          </w:tcPr>
          <w:p w14:paraId="74777B63" w14:textId="1136F1A9"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81</w:t>
            </w:r>
            <w:r w:rsidR="00865AB1" w:rsidRPr="002D2F67">
              <w:rPr>
                <w:rFonts w:ascii="Arial" w:hAnsi="Arial" w:cs="Arial"/>
                <w:color w:val="000000"/>
                <w:sz w:val="20"/>
                <w:szCs w:val="20"/>
              </w:rPr>
              <w:t>,</w:t>
            </w:r>
            <w:r w:rsidRPr="00CD5714">
              <w:rPr>
                <w:rFonts w:ascii="Arial" w:hAnsi="Arial" w:cs="Arial"/>
                <w:color w:val="000000"/>
                <w:sz w:val="20"/>
                <w:szCs w:val="20"/>
                <w:lang w:val="en-GB"/>
              </w:rPr>
              <w:t>949</w:t>
            </w:r>
          </w:p>
        </w:tc>
      </w:tr>
      <w:tr w:rsidR="00865AB1" w:rsidRPr="002D2F67" w14:paraId="11E76750" w14:textId="77777777" w:rsidTr="005611FE">
        <w:tc>
          <w:tcPr>
            <w:tcW w:w="4824" w:type="dxa"/>
            <w:shd w:val="clear" w:color="auto" w:fill="auto"/>
          </w:tcPr>
          <w:p w14:paraId="02D79145" w14:textId="3E155DC9" w:rsidR="00865AB1" w:rsidRPr="002D2F67" w:rsidRDefault="00865AB1" w:rsidP="005611FE">
            <w:pPr>
              <w:ind w:left="45"/>
              <w:jc w:val="both"/>
              <w:rPr>
                <w:rFonts w:ascii="Arial" w:hAnsi="Arial" w:cs="Arial"/>
                <w:color w:val="000000"/>
                <w:sz w:val="20"/>
                <w:szCs w:val="20"/>
              </w:rPr>
            </w:pPr>
            <w:r w:rsidRPr="002D2F67">
              <w:rPr>
                <w:rFonts w:ascii="Arial" w:hAnsi="Arial" w:cs="Arial"/>
                <w:color w:val="000000"/>
                <w:sz w:val="20"/>
                <w:szCs w:val="20"/>
                <w:u w:val="single"/>
              </w:rPr>
              <w:t>Less</w:t>
            </w:r>
            <w:r w:rsidRPr="002D2F67">
              <w:rPr>
                <w:rFonts w:ascii="Arial" w:hAnsi="Arial" w:cs="Arial"/>
                <w:color w:val="000000"/>
                <w:sz w:val="20"/>
                <w:szCs w:val="20"/>
              </w:rPr>
              <w:t xml:space="preserve">  Accumulated depreciation</w:t>
            </w:r>
          </w:p>
        </w:tc>
        <w:tc>
          <w:tcPr>
            <w:tcW w:w="1584" w:type="dxa"/>
            <w:tcBorders>
              <w:bottom w:val="single" w:sz="4" w:space="0" w:color="auto"/>
            </w:tcBorders>
            <w:shd w:val="clear" w:color="auto" w:fill="auto"/>
          </w:tcPr>
          <w:p w14:paraId="22ECA7E2" w14:textId="00CD14CC" w:rsidR="00865AB1" w:rsidRPr="002D2F67" w:rsidRDefault="00865AB1"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84" w:type="dxa"/>
            <w:tcBorders>
              <w:bottom w:val="single" w:sz="4" w:space="0" w:color="auto"/>
            </w:tcBorders>
            <w:shd w:val="clear" w:color="auto" w:fill="auto"/>
          </w:tcPr>
          <w:p w14:paraId="6BF15C32" w14:textId="5E924133" w:rsidR="00865AB1" w:rsidRPr="002D2F67" w:rsidRDefault="00865AB1"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20</w:t>
            </w:r>
            <w:r w:rsidRPr="002D2F67">
              <w:rPr>
                <w:rFonts w:ascii="Arial" w:hAnsi="Arial" w:cs="Arial"/>
                <w:color w:val="000000"/>
                <w:sz w:val="20"/>
                <w:szCs w:val="20"/>
              </w:rPr>
              <w:t>,</w:t>
            </w:r>
            <w:r w:rsidR="00CD5714" w:rsidRPr="00CD5714">
              <w:rPr>
                <w:rFonts w:ascii="Arial" w:hAnsi="Arial" w:cs="Arial"/>
                <w:color w:val="000000"/>
                <w:sz w:val="20"/>
                <w:szCs w:val="20"/>
                <w:lang w:val="en-GB"/>
              </w:rPr>
              <w:t>137</w:t>
            </w:r>
            <w:r w:rsidRPr="002D2F67">
              <w:rPr>
                <w:rFonts w:ascii="Arial" w:hAnsi="Arial" w:cs="Arial"/>
                <w:color w:val="000000"/>
                <w:sz w:val="20"/>
                <w:szCs w:val="20"/>
              </w:rPr>
              <w:t>)</w:t>
            </w:r>
          </w:p>
        </w:tc>
        <w:tc>
          <w:tcPr>
            <w:tcW w:w="1584" w:type="dxa"/>
            <w:tcBorders>
              <w:bottom w:val="single" w:sz="4" w:space="0" w:color="auto"/>
            </w:tcBorders>
            <w:shd w:val="clear" w:color="auto" w:fill="auto"/>
          </w:tcPr>
          <w:p w14:paraId="256AEBDE" w14:textId="3AD2A01E" w:rsidR="00865AB1" w:rsidRPr="002D2F67" w:rsidRDefault="00865AB1"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20</w:t>
            </w:r>
            <w:r w:rsidRPr="002D2F67">
              <w:rPr>
                <w:rFonts w:ascii="Arial" w:hAnsi="Arial" w:cs="Arial"/>
                <w:color w:val="000000"/>
                <w:sz w:val="20"/>
                <w:szCs w:val="20"/>
              </w:rPr>
              <w:t>,</w:t>
            </w:r>
            <w:r w:rsidR="00CD5714" w:rsidRPr="00CD5714">
              <w:rPr>
                <w:rFonts w:ascii="Arial" w:hAnsi="Arial" w:cs="Arial"/>
                <w:color w:val="000000"/>
                <w:sz w:val="20"/>
                <w:szCs w:val="20"/>
                <w:lang w:val="en-GB"/>
              </w:rPr>
              <w:t>137</w:t>
            </w:r>
            <w:r w:rsidRPr="002D2F67">
              <w:rPr>
                <w:rFonts w:ascii="Arial" w:hAnsi="Arial" w:cs="Arial"/>
                <w:color w:val="000000"/>
                <w:sz w:val="20"/>
                <w:szCs w:val="20"/>
              </w:rPr>
              <w:t>)</w:t>
            </w:r>
          </w:p>
        </w:tc>
      </w:tr>
      <w:tr w:rsidR="00865AB1" w:rsidRPr="002D2F67" w14:paraId="30D1FB50" w14:textId="77777777" w:rsidTr="005611FE">
        <w:tc>
          <w:tcPr>
            <w:tcW w:w="4824" w:type="dxa"/>
            <w:shd w:val="clear" w:color="auto" w:fill="auto"/>
          </w:tcPr>
          <w:p w14:paraId="75731C5C" w14:textId="77777777" w:rsidR="00865AB1" w:rsidRPr="002D2F67" w:rsidRDefault="00865AB1" w:rsidP="005611FE">
            <w:pPr>
              <w:ind w:left="45"/>
              <w:rPr>
                <w:rFonts w:ascii="Arial" w:hAnsi="Arial" w:cs="Arial"/>
                <w:color w:val="000000"/>
                <w:sz w:val="20"/>
                <w:szCs w:val="20"/>
              </w:rPr>
            </w:pPr>
          </w:p>
        </w:tc>
        <w:tc>
          <w:tcPr>
            <w:tcW w:w="1584" w:type="dxa"/>
            <w:tcBorders>
              <w:top w:val="single" w:sz="4" w:space="0" w:color="auto"/>
            </w:tcBorders>
            <w:shd w:val="clear" w:color="auto" w:fill="auto"/>
            <w:vAlign w:val="bottom"/>
          </w:tcPr>
          <w:p w14:paraId="5C13ED61" w14:textId="77777777" w:rsidR="00865AB1" w:rsidRPr="002D2F67" w:rsidRDefault="00865AB1" w:rsidP="005611FE">
            <w:pPr>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03869B1A" w14:textId="77777777" w:rsidR="00865AB1" w:rsidRPr="002D2F67" w:rsidRDefault="00865AB1" w:rsidP="005611FE">
            <w:pPr>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5DF8E765" w14:textId="77777777" w:rsidR="00865AB1" w:rsidRPr="002D2F67" w:rsidRDefault="00865AB1" w:rsidP="005611FE">
            <w:pPr>
              <w:ind w:right="-72"/>
              <w:jc w:val="right"/>
              <w:rPr>
                <w:rFonts w:ascii="Arial" w:hAnsi="Arial" w:cs="Arial"/>
                <w:color w:val="000000"/>
                <w:sz w:val="20"/>
                <w:szCs w:val="20"/>
              </w:rPr>
            </w:pPr>
          </w:p>
        </w:tc>
      </w:tr>
      <w:tr w:rsidR="00865AB1" w:rsidRPr="002D2F67" w14:paraId="490EA582" w14:textId="77777777" w:rsidTr="005611FE">
        <w:tc>
          <w:tcPr>
            <w:tcW w:w="4824" w:type="dxa"/>
            <w:shd w:val="clear" w:color="auto" w:fill="auto"/>
          </w:tcPr>
          <w:p w14:paraId="02A2FBF1" w14:textId="77777777" w:rsidR="00865AB1" w:rsidRPr="002D2F67" w:rsidRDefault="00865AB1" w:rsidP="005611FE">
            <w:pPr>
              <w:ind w:left="45"/>
              <w:jc w:val="both"/>
              <w:rPr>
                <w:rFonts w:ascii="Arial" w:hAnsi="Arial" w:cs="Arial"/>
                <w:color w:val="000000"/>
                <w:sz w:val="20"/>
                <w:szCs w:val="20"/>
              </w:rPr>
            </w:pPr>
            <w:r w:rsidRPr="002D2F67">
              <w:rPr>
                <w:rFonts w:ascii="Arial" w:hAnsi="Arial" w:cs="Arial"/>
                <w:color w:val="000000"/>
                <w:sz w:val="20"/>
                <w:szCs w:val="20"/>
              </w:rPr>
              <w:t>Net book value</w:t>
            </w:r>
          </w:p>
        </w:tc>
        <w:tc>
          <w:tcPr>
            <w:tcW w:w="1584" w:type="dxa"/>
            <w:tcBorders>
              <w:bottom w:val="single" w:sz="4" w:space="0" w:color="auto"/>
            </w:tcBorders>
            <w:shd w:val="clear" w:color="auto" w:fill="auto"/>
            <w:vAlign w:val="bottom"/>
          </w:tcPr>
          <w:p w14:paraId="41A7F1CA" w14:textId="7E6035C9"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38</w:t>
            </w:r>
            <w:r w:rsidR="00865AB1" w:rsidRPr="002D2F67">
              <w:rPr>
                <w:rFonts w:ascii="Arial" w:hAnsi="Arial" w:cs="Arial"/>
                <w:color w:val="000000"/>
                <w:sz w:val="20"/>
                <w:szCs w:val="20"/>
              </w:rPr>
              <w:t>,</w:t>
            </w:r>
            <w:r w:rsidRPr="00CD5714">
              <w:rPr>
                <w:rFonts w:ascii="Arial" w:hAnsi="Arial" w:cs="Arial"/>
                <w:color w:val="000000"/>
                <w:sz w:val="20"/>
                <w:szCs w:val="20"/>
                <w:lang w:val="en-GB"/>
              </w:rPr>
              <w:t>791</w:t>
            </w:r>
          </w:p>
        </w:tc>
        <w:tc>
          <w:tcPr>
            <w:tcW w:w="1584" w:type="dxa"/>
            <w:tcBorders>
              <w:bottom w:val="single" w:sz="4" w:space="0" w:color="auto"/>
            </w:tcBorders>
            <w:shd w:val="clear" w:color="auto" w:fill="auto"/>
            <w:vAlign w:val="bottom"/>
          </w:tcPr>
          <w:p w14:paraId="62F3B6CA" w14:textId="52F18A50"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23</w:t>
            </w:r>
            <w:r w:rsidR="00865AB1" w:rsidRPr="002D2F67">
              <w:rPr>
                <w:rFonts w:ascii="Arial" w:hAnsi="Arial" w:cs="Arial"/>
                <w:color w:val="000000"/>
                <w:sz w:val="20"/>
                <w:szCs w:val="20"/>
              </w:rPr>
              <w:t>,</w:t>
            </w:r>
            <w:r w:rsidRPr="00CD5714">
              <w:rPr>
                <w:rFonts w:ascii="Arial" w:hAnsi="Arial" w:cs="Arial"/>
                <w:color w:val="000000"/>
                <w:sz w:val="20"/>
                <w:szCs w:val="20"/>
                <w:lang w:val="en-GB"/>
              </w:rPr>
              <w:t>021</w:t>
            </w:r>
          </w:p>
        </w:tc>
        <w:tc>
          <w:tcPr>
            <w:tcW w:w="1584" w:type="dxa"/>
            <w:tcBorders>
              <w:bottom w:val="single" w:sz="4" w:space="0" w:color="auto"/>
            </w:tcBorders>
            <w:shd w:val="clear" w:color="auto" w:fill="auto"/>
            <w:vAlign w:val="bottom"/>
          </w:tcPr>
          <w:p w14:paraId="3AB83D26" w14:textId="59007638"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61</w:t>
            </w:r>
            <w:r w:rsidR="00865AB1" w:rsidRPr="002D2F67">
              <w:rPr>
                <w:rFonts w:ascii="Arial" w:hAnsi="Arial" w:cs="Arial"/>
                <w:color w:val="000000"/>
                <w:sz w:val="20"/>
                <w:szCs w:val="20"/>
              </w:rPr>
              <w:t>,</w:t>
            </w:r>
            <w:r w:rsidRPr="00CD5714">
              <w:rPr>
                <w:rFonts w:ascii="Arial" w:hAnsi="Arial" w:cs="Arial"/>
                <w:color w:val="000000"/>
                <w:sz w:val="20"/>
                <w:szCs w:val="20"/>
                <w:lang w:val="en-GB"/>
              </w:rPr>
              <w:t>812</w:t>
            </w:r>
          </w:p>
        </w:tc>
      </w:tr>
      <w:tr w:rsidR="00400F8E" w:rsidRPr="002D2F67" w14:paraId="46CE111E" w14:textId="77777777" w:rsidTr="005611FE">
        <w:tc>
          <w:tcPr>
            <w:tcW w:w="4824" w:type="dxa"/>
            <w:shd w:val="clear" w:color="auto" w:fill="auto"/>
          </w:tcPr>
          <w:p w14:paraId="5336D484" w14:textId="77777777" w:rsidR="00400F8E" w:rsidRPr="002D2F67" w:rsidRDefault="00400F8E" w:rsidP="005611FE">
            <w:pPr>
              <w:ind w:left="45"/>
              <w:jc w:val="both"/>
              <w:rPr>
                <w:rFonts w:ascii="Arial" w:hAnsi="Arial" w:cs="Arial"/>
                <w:color w:val="000000"/>
                <w:sz w:val="20"/>
                <w:szCs w:val="20"/>
              </w:rPr>
            </w:pPr>
          </w:p>
        </w:tc>
        <w:tc>
          <w:tcPr>
            <w:tcW w:w="1584" w:type="dxa"/>
            <w:tcBorders>
              <w:top w:val="single" w:sz="4" w:space="0" w:color="auto"/>
            </w:tcBorders>
            <w:shd w:val="clear" w:color="auto" w:fill="auto"/>
            <w:vAlign w:val="bottom"/>
          </w:tcPr>
          <w:p w14:paraId="7983A617" w14:textId="77777777" w:rsidR="00400F8E" w:rsidRPr="002D2F67" w:rsidRDefault="00400F8E" w:rsidP="005611FE">
            <w:pPr>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4A87ADE6" w14:textId="77777777" w:rsidR="00400F8E" w:rsidRPr="002D2F67" w:rsidRDefault="00400F8E" w:rsidP="005611FE">
            <w:pPr>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52273FF9" w14:textId="77777777" w:rsidR="00400F8E" w:rsidRPr="002D2F67" w:rsidRDefault="00400F8E" w:rsidP="005611FE">
            <w:pPr>
              <w:ind w:right="-72"/>
              <w:jc w:val="right"/>
              <w:rPr>
                <w:rFonts w:ascii="Arial" w:hAnsi="Arial" w:cs="Arial"/>
                <w:color w:val="000000"/>
                <w:sz w:val="20"/>
                <w:szCs w:val="20"/>
              </w:rPr>
            </w:pPr>
          </w:p>
        </w:tc>
      </w:tr>
      <w:tr w:rsidR="00400F8E" w:rsidRPr="002D2F67" w14:paraId="7DEC4876" w14:textId="77777777" w:rsidTr="005611FE">
        <w:tc>
          <w:tcPr>
            <w:tcW w:w="4824" w:type="dxa"/>
            <w:shd w:val="clear" w:color="auto" w:fill="auto"/>
          </w:tcPr>
          <w:p w14:paraId="6A7387AF" w14:textId="642C7551" w:rsidR="00400F8E" w:rsidRPr="002D2F67" w:rsidRDefault="00400F8E" w:rsidP="005611FE">
            <w:pPr>
              <w:ind w:left="45"/>
              <w:jc w:val="both"/>
              <w:rPr>
                <w:rFonts w:ascii="Arial" w:hAnsi="Arial" w:cs="Arial"/>
                <w:color w:val="000000"/>
                <w:sz w:val="20"/>
                <w:szCs w:val="20"/>
              </w:rPr>
            </w:pPr>
            <w:r w:rsidRPr="002D2F67">
              <w:rPr>
                <w:rFonts w:ascii="Arial" w:hAnsi="Arial" w:cs="Arial"/>
                <w:b/>
                <w:bCs/>
                <w:color w:val="000000"/>
                <w:sz w:val="20"/>
                <w:szCs w:val="20"/>
              </w:rPr>
              <w:t xml:space="preserve">For the year ended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 </w:t>
            </w:r>
            <w:r w:rsidR="00CD5714" w:rsidRPr="00CD5714">
              <w:rPr>
                <w:rFonts w:ascii="Arial" w:hAnsi="Arial" w:cs="Arial"/>
                <w:b/>
                <w:bCs/>
                <w:color w:val="000000"/>
                <w:sz w:val="20"/>
                <w:szCs w:val="20"/>
                <w:lang w:val="en-GB"/>
              </w:rPr>
              <w:t>2024</w:t>
            </w:r>
          </w:p>
        </w:tc>
        <w:tc>
          <w:tcPr>
            <w:tcW w:w="1584" w:type="dxa"/>
            <w:shd w:val="clear" w:color="auto" w:fill="auto"/>
            <w:vAlign w:val="bottom"/>
          </w:tcPr>
          <w:p w14:paraId="6D2931F8" w14:textId="77777777" w:rsidR="00400F8E" w:rsidRPr="002D2F67" w:rsidRDefault="00400F8E" w:rsidP="005611FE">
            <w:pPr>
              <w:ind w:right="-72"/>
              <w:jc w:val="right"/>
              <w:rPr>
                <w:rFonts w:ascii="Arial" w:hAnsi="Arial" w:cs="Arial"/>
                <w:color w:val="000000"/>
                <w:sz w:val="20"/>
                <w:szCs w:val="20"/>
              </w:rPr>
            </w:pPr>
          </w:p>
        </w:tc>
        <w:tc>
          <w:tcPr>
            <w:tcW w:w="1584" w:type="dxa"/>
            <w:shd w:val="clear" w:color="auto" w:fill="auto"/>
            <w:vAlign w:val="bottom"/>
          </w:tcPr>
          <w:p w14:paraId="606ED86D" w14:textId="77777777" w:rsidR="00400F8E" w:rsidRPr="002D2F67" w:rsidRDefault="00400F8E" w:rsidP="005611FE">
            <w:pPr>
              <w:ind w:right="-72"/>
              <w:jc w:val="right"/>
              <w:rPr>
                <w:rFonts w:ascii="Arial" w:hAnsi="Arial" w:cs="Arial"/>
                <w:color w:val="000000"/>
                <w:sz w:val="20"/>
                <w:szCs w:val="20"/>
              </w:rPr>
            </w:pPr>
          </w:p>
        </w:tc>
        <w:tc>
          <w:tcPr>
            <w:tcW w:w="1584" w:type="dxa"/>
            <w:shd w:val="clear" w:color="auto" w:fill="auto"/>
            <w:vAlign w:val="bottom"/>
          </w:tcPr>
          <w:p w14:paraId="1771A5A4" w14:textId="77777777" w:rsidR="00400F8E" w:rsidRPr="002D2F67" w:rsidRDefault="00400F8E" w:rsidP="005611FE">
            <w:pPr>
              <w:ind w:right="-72"/>
              <w:jc w:val="right"/>
              <w:rPr>
                <w:rFonts w:ascii="Arial" w:hAnsi="Arial" w:cs="Arial"/>
                <w:color w:val="000000"/>
                <w:sz w:val="20"/>
                <w:szCs w:val="20"/>
              </w:rPr>
            </w:pPr>
          </w:p>
        </w:tc>
      </w:tr>
      <w:tr w:rsidR="00865AB1" w:rsidRPr="002D2F67" w14:paraId="72C81891" w14:textId="77777777" w:rsidTr="005611FE">
        <w:tc>
          <w:tcPr>
            <w:tcW w:w="4824" w:type="dxa"/>
            <w:shd w:val="clear" w:color="auto" w:fill="auto"/>
          </w:tcPr>
          <w:p w14:paraId="6CA4C66F" w14:textId="77777777" w:rsidR="00865AB1" w:rsidRPr="002D2F67" w:rsidRDefault="00865AB1" w:rsidP="005611FE">
            <w:pPr>
              <w:ind w:left="45"/>
              <w:jc w:val="both"/>
              <w:rPr>
                <w:rFonts w:ascii="Arial" w:hAnsi="Arial" w:cs="Arial"/>
                <w:color w:val="000000"/>
                <w:sz w:val="20"/>
                <w:szCs w:val="20"/>
              </w:rPr>
            </w:pPr>
            <w:r w:rsidRPr="002D2F67">
              <w:rPr>
                <w:rFonts w:ascii="Arial" w:hAnsi="Arial" w:cs="Arial"/>
                <w:color w:val="000000"/>
                <w:sz w:val="20"/>
                <w:szCs w:val="20"/>
              </w:rPr>
              <w:t>Opening net book value</w:t>
            </w:r>
          </w:p>
        </w:tc>
        <w:tc>
          <w:tcPr>
            <w:tcW w:w="1584" w:type="dxa"/>
            <w:shd w:val="clear" w:color="auto" w:fill="auto"/>
            <w:vAlign w:val="bottom"/>
          </w:tcPr>
          <w:p w14:paraId="085D7C00" w14:textId="68A165D5"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38</w:t>
            </w:r>
            <w:r w:rsidR="00865AB1" w:rsidRPr="002D2F67">
              <w:rPr>
                <w:rFonts w:ascii="Arial" w:hAnsi="Arial" w:cs="Arial"/>
                <w:color w:val="000000"/>
                <w:sz w:val="20"/>
                <w:szCs w:val="20"/>
              </w:rPr>
              <w:t>,</w:t>
            </w:r>
            <w:r w:rsidRPr="00CD5714">
              <w:rPr>
                <w:rFonts w:ascii="Arial" w:hAnsi="Arial" w:cs="Arial"/>
                <w:color w:val="000000"/>
                <w:sz w:val="20"/>
                <w:szCs w:val="20"/>
                <w:lang w:val="en-GB"/>
              </w:rPr>
              <w:t>791</w:t>
            </w:r>
          </w:p>
        </w:tc>
        <w:tc>
          <w:tcPr>
            <w:tcW w:w="1584" w:type="dxa"/>
            <w:shd w:val="clear" w:color="auto" w:fill="auto"/>
            <w:vAlign w:val="bottom"/>
          </w:tcPr>
          <w:p w14:paraId="056AC03B" w14:textId="6B8DA53B"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23</w:t>
            </w:r>
            <w:r w:rsidR="00865AB1" w:rsidRPr="002D2F67">
              <w:rPr>
                <w:rFonts w:ascii="Arial" w:hAnsi="Arial" w:cs="Arial"/>
                <w:color w:val="000000"/>
                <w:sz w:val="20"/>
                <w:szCs w:val="20"/>
              </w:rPr>
              <w:t>,</w:t>
            </w:r>
            <w:r w:rsidRPr="00CD5714">
              <w:rPr>
                <w:rFonts w:ascii="Arial" w:hAnsi="Arial" w:cs="Arial"/>
                <w:color w:val="000000"/>
                <w:sz w:val="20"/>
                <w:szCs w:val="20"/>
                <w:lang w:val="en-GB"/>
              </w:rPr>
              <w:t>021</w:t>
            </w:r>
          </w:p>
        </w:tc>
        <w:tc>
          <w:tcPr>
            <w:tcW w:w="1584" w:type="dxa"/>
            <w:shd w:val="clear" w:color="auto" w:fill="auto"/>
            <w:vAlign w:val="bottom"/>
          </w:tcPr>
          <w:p w14:paraId="6B5D3BB2" w14:textId="755A8FA0"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61</w:t>
            </w:r>
            <w:r w:rsidR="00865AB1" w:rsidRPr="002D2F67">
              <w:rPr>
                <w:rFonts w:ascii="Arial" w:hAnsi="Arial" w:cs="Arial"/>
                <w:color w:val="000000"/>
                <w:sz w:val="20"/>
                <w:szCs w:val="20"/>
              </w:rPr>
              <w:t>,</w:t>
            </w:r>
            <w:r w:rsidRPr="00CD5714">
              <w:rPr>
                <w:rFonts w:ascii="Arial" w:hAnsi="Arial" w:cs="Arial"/>
                <w:color w:val="000000"/>
                <w:sz w:val="20"/>
                <w:szCs w:val="20"/>
                <w:lang w:val="en-GB"/>
              </w:rPr>
              <w:t>812</w:t>
            </w:r>
          </w:p>
        </w:tc>
      </w:tr>
      <w:tr w:rsidR="00865AB1" w:rsidRPr="002D2F67" w14:paraId="7E0A3D6D" w14:textId="77777777" w:rsidTr="005611FE">
        <w:tc>
          <w:tcPr>
            <w:tcW w:w="4824" w:type="dxa"/>
            <w:shd w:val="clear" w:color="auto" w:fill="auto"/>
          </w:tcPr>
          <w:p w14:paraId="01636B17" w14:textId="782DA4DB" w:rsidR="00865AB1" w:rsidRPr="002D2F67" w:rsidRDefault="00865AB1" w:rsidP="005611FE">
            <w:pPr>
              <w:ind w:left="45"/>
              <w:jc w:val="both"/>
              <w:rPr>
                <w:rFonts w:ascii="Arial" w:hAnsi="Arial" w:cs="Arial"/>
                <w:color w:val="000000"/>
                <w:sz w:val="20"/>
                <w:szCs w:val="20"/>
              </w:rPr>
            </w:pPr>
            <w:r w:rsidRPr="002D2F67">
              <w:rPr>
                <w:rFonts w:ascii="Arial" w:hAnsi="Arial" w:cs="Arial"/>
                <w:color w:val="000000"/>
                <w:sz w:val="20"/>
                <w:szCs w:val="20"/>
              </w:rPr>
              <w:t>Depreciation charged</w:t>
            </w:r>
          </w:p>
        </w:tc>
        <w:tc>
          <w:tcPr>
            <w:tcW w:w="1584" w:type="dxa"/>
            <w:tcBorders>
              <w:bottom w:val="single" w:sz="4" w:space="0" w:color="auto"/>
            </w:tcBorders>
            <w:shd w:val="clear" w:color="auto" w:fill="auto"/>
            <w:vAlign w:val="bottom"/>
          </w:tcPr>
          <w:p w14:paraId="5E1000EF" w14:textId="60A26C33" w:rsidR="00865AB1" w:rsidRPr="002D2F67" w:rsidRDefault="00B67450"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84" w:type="dxa"/>
            <w:tcBorders>
              <w:bottom w:val="single" w:sz="4" w:space="0" w:color="auto"/>
            </w:tcBorders>
            <w:shd w:val="clear" w:color="auto" w:fill="auto"/>
            <w:vAlign w:val="bottom"/>
          </w:tcPr>
          <w:p w14:paraId="2700B7C7" w14:textId="239F8BCC" w:rsidR="00865AB1" w:rsidRPr="002D2F67" w:rsidRDefault="00B67450"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2</w:t>
            </w:r>
            <w:r w:rsidRPr="002D2F67">
              <w:rPr>
                <w:rFonts w:ascii="Arial" w:hAnsi="Arial" w:cs="Arial"/>
                <w:color w:val="000000"/>
                <w:sz w:val="20"/>
                <w:szCs w:val="20"/>
              </w:rPr>
              <w:t>,</w:t>
            </w:r>
            <w:r w:rsidR="00CD5714" w:rsidRPr="00CD5714">
              <w:rPr>
                <w:rFonts w:ascii="Arial" w:hAnsi="Arial" w:cs="Arial"/>
                <w:color w:val="000000"/>
                <w:sz w:val="20"/>
                <w:szCs w:val="20"/>
                <w:lang w:val="en-GB"/>
              </w:rPr>
              <w:t>185</w:t>
            </w:r>
            <w:r w:rsidRPr="002D2F67">
              <w:rPr>
                <w:rFonts w:ascii="Arial" w:hAnsi="Arial" w:cs="Arial"/>
                <w:color w:val="000000"/>
                <w:sz w:val="20"/>
                <w:szCs w:val="20"/>
              </w:rPr>
              <w:t>)</w:t>
            </w:r>
          </w:p>
        </w:tc>
        <w:tc>
          <w:tcPr>
            <w:tcW w:w="1584" w:type="dxa"/>
            <w:tcBorders>
              <w:bottom w:val="single" w:sz="4" w:space="0" w:color="auto"/>
            </w:tcBorders>
            <w:shd w:val="clear" w:color="auto" w:fill="auto"/>
            <w:vAlign w:val="bottom"/>
          </w:tcPr>
          <w:p w14:paraId="61972243" w14:textId="5DDF95F2" w:rsidR="00865AB1" w:rsidRPr="002D2F67" w:rsidRDefault="00B67450"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2</w:t>
            </w:r>
            <w:r w:rsidRPr="002D2F67">
              <w:rPr>
                <w:rFonts w:ascii="Arial" w:hAnsi="Arial" w:cs="Arial"/>
                <w:color w:val="000000"/>
                <w:sz w:val="20"/>
                <w:szCs w:val="20"/>
              </w:rPr>
              <w:t>,</w:t>
            </w:r>
            <w:r w:rsidR="00CD5714" w:rsidRPr="00CD5714">
              <w:rPr>
                <w:rFonts w:ascii="Arial" w:hAnsi="Arial" w:cs="Arial"/>
                <w:color w:val="000000"/>
                <w:sz w:val="20"/>
                <w:szCs w:val="20"/>
                <w:lang w:val="en-GB"/>
              </w:rPr>
              <w:t>185</w:t>
            </w:r>
            <w:r w:rsidRPr="002D2F67">
              <w:rPr>
                <w:rFonts w:ascii="Arial" w:hAnsi="Arial" w:cs="Arial"/>
                <w:color w:val="000000"/>
                <w:sz w:val="20"/>
                <w:szCs w:val="20"/>
              </w:rPr>
              <w:t>)</w:t>
            </w:r>
          </w:p>
        </w:tc>
      </w:tr>
      <w:tr w:rsidR="00865AB1" w:rsidRPr="002D2F67" w14:paraId="2FC6B087" w14:textId="77777777" w:rsidTr="005611FE">
        <w:tc>
          <w:tcPr>
            <w:tcW w:w="4824" w:type="dxa"/>
            <w:shd w:val="clear" w:color="auto" w:fill="auto"/>
          </w:tcPr>
          <w:p w14:paraId="69E37DAC" w14:textId="77777777" w:rsidR="00865AB1" w:rsidRPr="002D2F67" w:rsidRDefault="00865AB1" w:rsidP="005611FE">
            <w:pPr>
              <w:ind w:left="45"/>
              <w:rPr>
                <w:rFonts w:ascii="Arial" w:hAnsi="Arial" w:cs="Arial"/>
                <w:color w:val="000000"/>
                <w:sz w:val="20"/>
                <w:szCs w:val="20"/>
              </w:rPr>
            </w:pPr>
          </w:p>
        </w:tc>
        <w:tc>
          <w:tcPr>
            <w:tcW w:w="1584" w:type="dxa"/>
            <w:tcBorders>
              <w:top w:val="single" w:sz="4" w:space="0" w:color="auto"/>
            </w:tcBorders>
            <w:shd w:val="clear" w:color="auto" w:fill="auto"/>
            <w:vAlign w:val="bottom"/>
          </w:tcPr>
          <w:p w14:paraId="57593215" w14:textId="77777777" w:rsidR="00865AB1" w:rsidRPr="002D2F67" w:rsidRDefault="00865AB1" w:rsidP="005611FE">
            <w:pPr>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13E34079" w14:textId="77777777" w:rsidR="00865AB1" w:rsidRPr="002D2F67" w:rsidRDefault="00865AB1" w:rsidP="005611FE">
            <w:pPr>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102D2A91" w14:textId="77777777" w:rsidR="00865AB1" w:rsidRPr="002D2F67" w:rsidRDefault="00865AB1" w:rsidP="005611FE">
            <w:pPr>
              <w:ind w:right="-72"/>
              <w:jc w:val="right"/>
              <w:rPr>
                <w:rFonts w:ascii="Arial" w:hAnsi="Arial" w:cs="Arial"/>
                <w:color w:val="000000"/>
                <w:sz w:val="20"/>
                <w:szCs w:val="20"/>
              </w:rPr>
            </w:pPr>
          </w:p>
        </w:tc>
      </w:tr>
      <w:tr w:rsidR="00865AB1" w:rsidRPr="002D2F67" w14:paraId="69B7CF6C" w14:textId="77777777" w:rsidTr="005611FE">
        <w:tc>
          <w:tcPr>
            <w:tcW w:w="4824" w:type="dxa"/>
            <w:shd w:val="clear" w:color="auto" w:fill="auto"/>
          </w:tcPr>
          <w:p w14:paraId="746EF931" w14:textId="77777777" w:rsidR="00865AB1" w:rsidRPr="002D2F67" w:rsidRDefault="00865AB1" w:rsidP="005611FE">
            <w:pPr>
              <w:ind w:left="45"/>
              <w:jc w:val="both"/>
              <w:rPr>
                <w:rFonts w:ascii="Arial" w:hAnsi="Arial" w:cs="Arial"/>
                <w:color w:val="000000"/>
                <w:sz w:val="20"/>
                <w:szCs w:val="20"/>
              </w:rPr>
            </w:pPr>
            <w:r w:rsidRPr="002D2F67">
              <w:rPr>
                <w:rFonts w:ascii="Arial" w:hAnsi="Arial" w:cs="Arial"/>
                <w:color w:val="000000"/>
                <w:sz w:val="20"/>
                <w:szCs w:val="20"/>
              </w:rPr>
              <w:t>Closing net book value</w:t>
            </w:r>
          </w:p>
        </w:tc>
        <w:tc>
          <w:tcPr>
            <w:tcW w:w="1584" w:type="dxa"/>
            <w:tcBorders>
              <w:bottom w:val="single" w:sz="4" w:space="0" w:color="auto"/>
            </w:tcBorders>
            <w:shd w:val="clear" w:color="auto" w:fill="auto"/>
          </w:tcPr>
          <w:p w14:paraId="605AB7F2" w14:textId="4AC5DE29"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38</w:t>
            </w:r>
            <w:r w:rsidR="00B67450" w:rsidRPr="002D2F67">
              <w:rPr>
                <w:rFonts w:ascii="Arial" w:hAnsi="Arial" w:cs="Arial"/>
                <w:color w:val="000000"/>
                <w:sz w:val="20"/>
                <w:szCs w:val="20"/>
              </w:rPr>
              <w:t>,</w:t>
            </w:r>
            <w:r w:rsidRPr="00CD5714">
              <w:rPr>
                <w:rFonts w:ascii="Arial" w:hAnsi="Arial" w:cs="Arial"/>
                <w:color w:val="000000"/>
                <w:sz w:val="20"/>
                <w:szCs w:val="20"/>
                <w:lang w:val="en-GB"/>
              </w:rPr>
              <w:t>791</w:t>
            </w:r>
          </w:p>
        </w:tc>
        <w:tc>
          <w:tcPr>
            <w:tcW w:w="1584" w:type="dxa"/>
            <w:tcBorders>
              <w:bottom w:val="single" w:sz="4" w:space="0" w:color="auto"/>
            </w:tcBorders>
            <w:shd w:val="clear" w:color="auto" w:fill="auto"/>
          </w:tcPr>
          <w:p w14:paraId="134FB587" w14:textId="578CC17B"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20</w:t>
            </w:r>
            <w:r w:rsidR="00B67450" w:rsidRPr="002D2F67">
              <w:rPr>
                <w:rFonts w:ascii="Arial" w:hAnsi="Arial" w:cs="Arial"/>
                <w:color w:val="000000"/>
                <w:sz w:val="20"/>
                <w:szCs w:val="20"/>
              </w:rPr>
              <w:t>,</w:t>
            </w:r>
            <w:r w:rsidRPr="00CD5714">
              <w:rPr>
                <w:rFonts w:ascii="Arial" w:hAnsi="Arial" w:cs="Arial"/>
                <w:color w:val="000000"/>
                <w:sz w:val="20"/>
                <w:szCs w:val="20"/>
                <w:lang w:val="en-GB"/>
              </w:rPr>
              <w:t>836</w:t>
            </w:r>
          </w:p>
        </w:tc>
        <w:tc>
          <w:tcPr>
            <w:tcW w:w="1584" w:type="dxa"/>
            <w:tcBorders>
              <w:bottom w:val="single" w:sz="4" w:space="0" w:color="auto"/>
            </w:tcBorders>
            <w:shd w:val="clear" w:color="auto" w:fill="auto"/>
          </w:tcPr>
          <w:p w14:paraId="73F3C41F" w14:textId="2E103CF6"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59</w:t>
            </w:r>
            <w:r w:rsidR="00B67450" w:rsidRPr="002D2F67">
              <w:rPr>
                <w:rFonts w:ascii="Arial" w:hAnsi="Arial" w:cs="Arial"/>
                <w:color w:val="000000"/>
                <w:sz w:val="20"/>
                <w:szCs w:val="20"/>
              </w:rPr>
              <w:t>,</w:t>
            </w:r>
            <w:r w:rsidRPr="00CD5714">
              <w:rPr>
                <w:rFonts w:ascii="Arial" w:hAnsi="Arial" w:cs="Arial"/>
                <w:color w:val="000000"/>
                <w:sz w:val="20"/>
                <w:szCs w:val="20"/>
                <w:lang w:val="en-GB"/>
              </w:rPr>
              <w:t>627</w:t>
            </w:r>
          </w:p>
        </w:tc>
      </w:tr>
      <w:tr w:rsidR="00865AB1" w:rsidRPr="002D2F67" w14:paraId="67425DF2" w14:textId="77777777" w:rsidTr="005611FE">
        <w:tc>
          <w:tcPr>
            <w:tcW w:w="4824" w:type="dxa"/>
            <w:shd w:val="clear" w:color="auto" w:fill="auto"/>
          </w:tcPr>
          <w:p w14:paraId="4B9D4D4E" w14:textId="77777777" w:rsidR="00865AB1" w:rsidRPr="002D2F67" w:rsidRDefault="00865AB1" w:rsidP="005611FE">
            <w:pPr>
              <w:ind w:left="45"/>
              <w:jc w:val="both"/>
              <w:rPr>
                <w:rFonts w:ascii="Arial" w:hAnsi="Arial" w:cs="Arial"/>
                <w:color w:val="000000"/>
                <w:sz w:val="20"/>
                <w:szCs w:val="20"/>
              </w:rPr>
            </w:pPr>
          </w:p>
        </w:tc>
        <w:tc>
          <w:tcPr>
            <w:tcW w:w="1584" w:type="dxa"/>
            <w:tcBorders>
              <w:top w:val="single" w:sz="4" w:space="0" w:color="auto"/>
            </w:tcBorders>
            <w:shd w:val="clear" w:color="auto" w:fill="auto"/>
            <w:vAlign w:val="bottom"/>
          </w:tcPr>
          <w:p w14:paraId="6CAB98D4" w14:textId="77777777" w:rsidR="00865AB1" w:rsidRPr="002D2F67" w:rsidRDefault="00865AB1" w:rsidP="005611FE">
            <w:pPr>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0E12E1A6" w14:textId="77777777" w:rsidR="00865AB1" w:rsidRPr="002D2F67" w:rsidRDefault="00865AB1" w:rsidP="005611FE">
            <w:pPr>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05674EB0" w14:textId="77777777" w:rsidR="00865AB1" w:rsidRPr="002D2F67" w:rsidRDefault="00865AB1" w:rsidP="005611FE">
            <w:pPr>
              <w:ind w:right="-72"/>
              <w:jc w:val="right"/>
              <w:rPr>
                <w:rFonts w:ascii="Arial" w:hAnsi="Arial" w:cs="Arial"/>
                <w:color w:val="000000"/>
                <w:sz w:val="20"/>
                <w:szCs w:val="20"/>
              </w:rPr>
            </w:pPr>
          </w:p>
        </w:tc>
      </w:tr>
      <w:tr w:rsidR="00865AB1" w:rsidRPr="002D2F67" w14:paraId="062F6775" w14:textId="77777777" w:rsidTr="005611FE">
        <w:tc>
          <w:tcPr>
            <w:tcW w:w="4824" w:type="dxa"/>
            <w:shd w:val="clear" w:color="auto" w:fill="auto"/>
          </w:tcPr>
          <w:p w14:paraId="781B0CF7" w14:textId="7023C44A" w:rsidR="00865AB1" w:rsidRPr="002D2F67" w:rsidRDefault="00865AB1" w:rsidP="005611FE">
            <w:pPr>
              <w:ind w:left="45"/>
              <w:rPr>
                <w:rFonts w:ascii="Arial" w:hAnsi="Arial" w:cs="Arial"/>
                <w:color w:val="000000"/>
                <w:sz w:val="20"/>
                <w:szCs w:val="20"/>
              </w:rPr>
            </w:pPr>
            <w:r w:rsidRPr="002D2F67">
              <w:rPr>
                <w:rFonts w:ascii="Arial" w:hAnsi="Arial" w:cs="Arial"/>
                <w:b/>
                <w:bCs/>
                <w:color w:val="000000"/>
                <w:sz w:val="20"/>
                <w:szCs w:val="20"/>
              </w:rPr>
              <w:t xml:space="preserve">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 </w:t>
            </w:r>
            <w:r w:rsidR="00CD5714" w:rsidRPr="00CD5714">
              <w:rPr>
                <w:rFonts w:ascii="Arial" w:hAnsi="Arial" w:cs="Arial"/>
                <w:b/>
                <w:bCs/>
                <w:color w:val="000000"/>
                <w:sz w:val="20"/>
                <w:szCs w:val="20"/>
                <w:lang w:val="en-GB"/>
              </w:rPr>
              <w:t>2024</w:t>
            </w:r>
          </w:p>
        </w:tc>
        <w:tc>
          <w:tcPr>
            <w:tcW w:w="1584" w:type="dxa"/>
            <w:shd w:val="clear" w:color="auto" w:fill="auto"/>
            <w:vAlign w:val="bottom"/>
          </w:tcPr>
          <w:p w14:paraId="40CD49D4" w14:textId="77777777" w:rsidR="00865AB1" w:rsidRPr="002D2F67" w:rsidRDefault="00865AB1" w:rsidP="005611FE">
            <w:pPr>
              <w:ind w:right="-72"/>
              <w:jc w:val="right"/>
              <w:rPr>
                <w:rFonts w:ascii="Arial" w:hAnsi="Arial" w:cs="Arial"/>
                <w:color w:val="000000"/>
                <w:sz w:val="20"/>
                <w:szCs w:val="20"/>
              </w:rPr>
            </w:pPr>
          </w:p>
        </w:tc>
        <w:tc>
          <w:tcPr>
            <w:tcW w:w="1584" w:type="dxa"/>
            <w:shd w:val="clear" w:color="auto" w:fill="auto"/>
            <w:vAlign w:val="bottom"/>
          </w:tcPr>
          <w:p w14:paraId="1E962BA6" w14:textId="77777777" w:rsidR="00865AB1" w:rsidRPr="002D2F67" w:rsidRDefault="00865AB1" w:rsidP="005611FE">
            <w:pPr>
              <w:ind w:right="-72"/>
              <w:jc w:val="right"/>
              <w:rPr>
                <w:rFonts w:ascii="Arial" w:hAnsi="Arial" w:cs="Arial"/>
                <w:color w:val="000000"/>
                <w:sz w:val="20"/>
                <w:szCs w:val="20"/>
              </w:rPr>
            </w:pPr>
          </w:p>
        </w:tc>
        <w:tc>
          <w:tcPr>
            <w:tcW w:w="1584" w:type="dxa"/>
            <w:shd w:val="clear" w:color="auto" w:fill="auto"/>
            <w:vAlign w:val="bottom"/>
          </w:tcPr>
          <w:p w14:paraId="02154CC9" w14:textId="77777777" w:rsidR="00865AB1" w:rsidRPr="002D2F67" w:rsidRDefault="00865AB1" w:rsidP="005611FE">
            <w:pPr>
              <w:ind w:right="-72"/>
              <w:jc w:val="right"/>
              <w:rPr>
                <w:rFonts w:ascii="Arial" w:hAnsi="Arial" w:cs="Arial"/>
                <w:color w:val="000000"/>
                <w:sz w:val="20"/>
                <w:szCs w:val="20"/>
              </w:rPr>
            </w:pPr>
          </w:p>
        </w:tc>
      </w:tr>
      <w:tr w:rsidR="00865AB1" w:rsidRPr="002D2F67" w14:paraId="2AF02FE4" w14:textId="77777777" w:rsidTr="005611FE">
        <w:tc>
          <w:tcPr>
            <w:tcW w:w="4824" w:type="dxa"/>
            <w:shd w:val="clear" w:color="auto" w:fill="auto"/>
          </w:tcPr>
          <w:p w14:paraId="63A09BF7" w14:textId="77777777" w:rsidR="00865AB1" w:rsidRPr="002D2F67" w:rsidRDefault="00865AB1" w:rsidP="005611FE">
            <w:pPr>
              <w:ind w:left="45"/>
              <w:jc w:val="both"/>
              <w:rPr>
                <w:rFonts w:ascii="Arial" w:hAnsi="Arial" w:cs="Arial"/>
                <w:color w:val="000000"/>
                <w:sz w:val="20"/>
                <w:szCs w:val="20"/>
              </w:rPr>
            </w:pPr>
            <w:r w:rsidRPr="002D2F67">
              <w:rPr>
                <w:rFonts w:ascii="Arial" w:hAnsi="Arial" w:cs="Arial"/>
                <w:color w:val="000000"/>
                <w:sz w:val="20"/>
                <w:szCs w:val="20"/>
              </w:rPr>
              <w:t>Cost</w:t>
            </w:r>
          </w:p>
        </w:tc>
        <w:tc>
          <w:tcPr>
            <w:tcW w:w="1584" w:type="dxa"/>
            <w:shd w:val="clear" w:color="auto" w:fill="auto"/>
            <w:vAlign w:val="bottom"/>
          </w:tcPr>
          <w:p w14:paraId="238C46DD" w14:textId="4908B209"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38</w:t>
            </w:r>
            <w:r w:rsidR="001E018B" w:rsidRPr="002D2F67">
              <w:rPr>
                <w:rFonts w:ascii="Arial" w:hAnsi="Arial" w:cs="Arial"/>
                <w:color w:val="000000"/>
                <w:sz w:val="20"/>
                <w:szCs w:val="20"/>
              </w:rPr>
              <w:t>,</w:t>
            </w:r>
            <w:r w:rsidRPr="00CD5714">
              <w:rPr>
                <w:rFonts w:ascii="Arial" w:hAnsi="Arial" w:cs="Arial"/>
                <w:color w:val="000000"/>
                <w:sz w:val="20"/>
                <w:szCs w:val="20"/>
                <w:lang w:val="en-GB"/>
              </w:rPr>
              <w:t>791</w:t>
            </w:r>
          </w:p>
        </w:tc>
        <w:tc>
          <w:tcPr>
            <w:tcW w:w="1584" w:type="dxa"/>
            <w:shd w:val="clear" w:color="auto" w:fill="auto"/>
            <w:vAlign w:val="bottom"/>
          </w:tcPr>
          <w:p w14:paraId="5787454E" w14:textId="6103CBAD"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43</w:t>
            </w:r>
            <w:r w:rsidR="001E018B" w:rsidRPr="002D2F67">
              <w:rPr>
                <w:rFonts w:ascii="Arial" w:hAnsi="Arial" w:cs="Arial"/>
                <w:color w:val="000000"/>
                <w:sz w:val="20"/>
                <w:szCs w:val="20"/>
              </w:rPr>
              <w:t>,</w:t>
            </w:r>
            <w:r w:rsidRPr="00CD5714">
              <w:rPr>
                <w:rFonts w:ascii="Arial" w:hAnsi="Arial" w:cs="Arial"/>
                <w:color w:val="000000"/>
                <w:sz w:val="20"/>
                <w:szCs w:val="20"/>
                <w:lang w:val="en-GB"/>
              </w:rPr>
              <w:t>158</w:t>
            </w:r>
          </w:p>
        </w:tc>
        <w:tc>
          <w:tcPr>
            <w:tcW w:w="1584" w:type="dxa"/>
            <w:shd w:val="clear" w:color="auto" w:fill="auto"/>
            <w:vAlign w:val="bottom"/>
          </w:tcPr>
          <w:p w14:paraId="7B7AA3F0" w14:textId="24AA2A3D"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81</w:t>
            </w:r>
            <w:r w:rsidR="001E018B" w:rsidRPr="002D2F67">
              <w:rPr>
                <w:rFonts w:ascii="Arial" w:hAnsi="Arial" w:cs="Arial"/>
                <w:color w:val="000000"/>
                <w:sz w:val="20"/>
                <w:szCs w:val="20"/>
              </w:rPr>
              <w:t>,</w:t>
            </w:r>
            <w:r w:rsidRPr="00CD5714">
              <w:rPr>
                <w:rFonts w:ascii="Arial" w:hAnsi="Arial" w:cs="Arial"/>
                <w:color w:val="000000"/>
                <w:sz w:val="20"/>
                <w:szCs w:val="20"/>
                <w:lang w:val="en-GB"/>
              </w:rPr>
              <w:t>949</w:t>
            </w:r>
          </w:p>
        </w:tc>
      </w:tr>
      <w:tr w:rsidR="00865AB1" w:rsidRPr="002D2F67" w14:paraId="1A5E6915" w14:textId="77777777" w:rsidTr="005611FE">
        <w:tc>
          <w:tcPr>
            <w:tcW w:w="4824" w:type="dxa"/>
            <w:shd w:val="clear" w:color="auto" w:fill="auto"/>
          </w:tcPr>
          <w:p w14:paraId="5B6A017D" w14:textId="0F11E96D" w:rsidR="00865AB1" w:rsidRPr="002D2F67" w:rsidRDefault="00865AB1" w:rsidP="005611FE">
            <w:pPr>
              <w:ind w:left="45"/>
              <w:jc w:val="both"/>
              <w:rPr>
                <w:rFonts w:ascii="Arial" w:hAnsi="Arial" w:cs="Arial"/>
                <w:color w:val="000000"/>
                <w:sz w:val="20"/>
                <w:szCs w:val="20"/>
              </w:rPr>
            </w:pPr>
            <w:r w:rsidRPr="002D2F67">
              <w:rPr>
                <w:rFonts w:ascii="Arial" w:hAnsi="Arial" w:cs="Arial"/>
                <w:color w:val="000000"/>
                <w:sz w:val="20"/>
                <w:szCs w:val="20"/>
                <w:u w:val="single"/>
              </w:rPr>
              <w:t>Less</w:t>
            </w:r>
            <w:r w:rsidRPr="002D2F67">
              <w:rPr>
                <w:rFonts w:ascii="Arial" w:hAnsi="Arial" w:cs="Arial"/>
                <w:color w:val="000000"/>
                <w:sz w:val="20"/>
                <w:szCs w:val="20"/>
              </w:rPr>
              <w:t xml:space="preserve">  Accumulated depreciation</w:t>
            </w:r>
          </w:p>
        </w:tc>
        <w:tc>
          <w:tcPr>
            <w:tcW w:w="1584" w:type="dxa"/>
            <w:tcBorders>
              <w:bottom w:val="single" w:sz="4" w:space="0" w:color="auto"/>
            </w:tcBorders>
            <w:shd w:val="clear" w:color="auto" w:fill="auto"/>
          </w:tcPr>
          <w:p w14:paraId="0CC7F314" w14:textId="56A94650" w:rsidR="00865AB1" w:rsidRPr="002D2F67" w:rsidRDefault="001E018B"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84" w:type="dxa"/>
            <w:tcBorders>
              <w:bottom w:val="single" w:sz="4" w:space="0" w:color="auto"/>
            </w:tcBorders>
            <w:shd w:val="clear" w:color="auto" w:fill="auto"/>
          </w:tcPr>
          <w:p w14:paraId="6DC4F17F" w14:textId="715C3531" w:rsidR="00865AB1" w:rsidRPr="002D2F67" w:rsidRDefault="001E018B"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22</w:t>
            </w:r>
            <w:r w:rsidRPr="002D2F67">
              <w:rPr>
                <w:rFonts w:ascii="Arial" w:hAnsi="Arial" w:cs="Arial"/>
                <w:color w:val="000000"/>
                <w:sz w:val="20"/>
                <w:szCs w:val="20"/>
              </w:rPr>
              <w:t>,</w:t>
            </w:r>
            <w:r w:rsidR="00CD5714" w:rsidRPr="00CD5714">
              <w:rPr>
                <w:rFonts w:ascii="Arial" w:hAnsi="Arial" w:cs="Arial"/>
                <w:color w:val="000000"/>
                <w:sz w:val="20"/>
                <w:szCs w:val="20"/>
                <w:lang w:val="en-GB"/>
              </w:rPr>
              <w:t>322</w:t>
            </w:r>
            <w:r w:rsidRPr="002D2F67">
              <w:rPr>
                <w:rFonts w:ascii="Arial" w:hAnsi="Arial" w:cs="Arial"/>
                <w:color w:val="000000"/>
                <w:sz w:val="20"/>
                <w:szCs w:val="20"/>
              </w:rPr>
              <w:t>)</w:t>
            </w:r>
          </w:p>
        </w:tc>
        <w:tc>
          <w:tcPr>
            <w:tcW w:w="1584" w:type="dxa"/>
            <w:tcBorders>
              <w:bottom w:val="single" w:sz="4" w:space="0" w:color="auto"/>
            </w:tcBorders>
            <w:shd w:val="clear" w:color="auto" w:fill="auto"/>
          </w:tcPr>
          <w:p w14:paraId="37718DEC" w14:textId="14DF7A5C" w:rsidR="00865AB1" w:rsidRPr="002D2F67" w:rsidRDefault="001E018B"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22</w:t>
            </w:r>
            <w:r w:rsidRPr="002D2F67">
              <w:rPr>
                <w:rFonts w:ascii="Arial" w:hAnsi="Arial" w:cs="Arial"/>
                <w:color w:val="000000"/>
                <w:sz w:val="20"/>
                <w:szCs w:val="20"/>
              </w:rPr>
              <w:t>,</w:t>
            </w:r>
            <w:r w:rsidR="00CD5714" w:rsidRPr="00CD5714">
              <w:rPr>
                <w:rFonts w:ascii="Arial" w:hAnsi="Arial" w:cs="Arial"/>
                <w:color w:val="000000"/>
                <w:sz w:val="20"/>
                <w:szCs w:val="20"/>
                <w:lang w:val="en-GB"/>
              </w:rPr>
              <w:t>322</w:t>
            </w:r>
            <w:r w:rsidRPr="002D2F67">
              <w:rPr>
                <w:rFonts w:ascii="Arial" w:hAnsi="Arial" w:cs="Arial"/>
                <w:color w:val="000000"/>
                <w:sz w:val="20"/>
                <w:szCs w:val="20"/>
              </w:rPr>
              <w:t>)</w:t>
            </w:r>
          </w:p>
        </w:tc>
      </w:tr>
      <w:tr w:rsidR="00865AB1" w:rsidRPr="002D2F67" w14:paraId="306DFE74" w14:textId="77777777" w:rsidTr="005611FE">
        <w:tc>
          <w:tcPr>
            <w:tcW w:w="4824" w:type="dxa"/>
            <w:shd w:val="clear" w:color="auto" w:fill="auto"/>
          </w:tcPr>
          <w:p w14:paraId="32F21602" w14:textId="77777777" w:rsidR="00865AB1" w:rsidRPr="002D2F67" w:rsidRDefault="00865AB1" w:rsidP="005611FE">
            <w:pPr>
              <w:ind w:left="45"/>
              <w:rPr>
                <w:rFonts w:ascii="Arial" w:hAnsi="Arial" w:cs="Arial"/>
                <w:color w:val="000000"/>
                <w:sz w:val="20"/>
                <w:szCs w:val="20"/>
              </w:rPr>
            </w:pPr>
          </w:p>
        </w:tc>
        <w:tc>
          <w:tcPr>
            <w:tcW w:w="1584" w:type="dxa"/>
            <w:tcBorders>
              <w:top w:val="single" w:sz="4" w:space="0" w:color="auto"/>
            </w:tcBorders>
            <w:shd w:val="clear" w:color="auto" w:fill="auto"/>
            <w:vAlign w:val="bottom"/>
          </w:tcPr>
          <w:p w14:paraId="0C431A3B" w14:textId="77777777" w:rsidR="00865AB1" w:rsidRPr="002D2F67" w:rsidRDefault="00865AB1" w:rsidP="005611FE">
            <w:pPr>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0551F233" w14:textId="77777777" w:rsidR="00865AB1" w:rsidRPr="002D2F67" w:rsidRDefault="00865AB1" w:rsidP="005611FE">
            <w:pPr>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33C53AD0" w14:textId="77777777" w:rsidR="00865AB1" w:rsidRPr="002D2F67" w:rsidRDefault="00865AB1" w:rsidP="005611FE">
            <w:pPr>
              <w:ind w:right="-72"/>
              <w:jc w:val="right"/>
              <w:rPr>
                <w:rFonts w:ascii="Arial" w:hAnsi="Arial" w:cs="Arial"/>
                <w:color w:val="000000"/>
                <w:sz w:val="20"/>
                <w:szCs w:val="20"/>
              </w:rPr>
            </w:pPr>
          </w:p>
        </w:tc>
      </w:tr>
      <w:tr w:rsidR="00865AB1" w:rsidRPr="002D2F67" w14:paraId="6E743B83" w14:textId="77777777" w:rsidTr="005611FE">
        <w:tc>
          <w:tcPr>
            <w:tcW w:w="4824" w:type="dxa"/>
            <w:shd w:val="clear" w:color="auto" w:fill="auto"/>
          </w:tcPr>
          <w:p w14:paraId="06C76729" w14:textId="77777777" w:rsidR="00865AB1" w:rsidRPr="002D2F67" w:rsidRDefault="00865AB1" w:rsidP="005611FE">
            <w:pPr>
              <w:ind w:left="45"/>
              <w:jc w:val="both"/>
              <w:rPr>
                <w:rFonts w:ascii="Arial" w:hAnsi="Arial" w:cs="Arial"/>
                <w:color w:val="000000"/>
                <w:sz w:val="20"/>
                <w:szCs w:val="20"/>
              </w:rPr>
            </w:pPr>
            <w:r w:rsidRPr="002D2F67">
              <w:rPr>
                <w:rFonts w:ascii="Arial" w:hAnsi="Arial" w:cs="Arial"/>
                <w:color w:val="000000"/>
                <w:sz w:val="20"/>
                <w:szCs w:val="20"/>
              </w:rPr>
              <w:t>Net book value</w:t>
            </w:r>
          </w:p>
        </w:tc>
        <w:tc>
          <w:tcPr>
            <w:tcW w:w="1584" w:type="dxa"/>
            <w:tcBorders>
              <w:bottom w:val="single" w:sz="4" w:space="0" w:color="auto"/>
            </w:tcBorders>
            <w:shd w:val="clear" w:color="auto" w:fill="auto"/>
            <w:vAlign w:val="bottom"/>
          </w:tcPr>
          <w:p w14:paraId="2ACD3A28" w14:textId="70EBD043"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38</w:t>
            </w:r>
            <w:r w:rsidR="001E018B" w:rsidRPr="002D2F67">
              <w:rPr>
                <w:rFonts w:ascii="Arial" w:hAnsi="Arial" w:cs="Arial"/>
                <w:color w:val="000000"/>
                <w:sz w:val="20"/>
                <w:szCs w:val="20"/>
              </w:rPr>
              <w:t>,</w:t>
            </w:r>
            <w:r w:rsidRPr="00CD5714">
              <w:rPr>
                <w:rFonts w:ascii="Arial" w:hAnsi="Arial" w:cs="Arial"/>
                <w:color w:val="000000"/>
                <w:sz w:val="20"/>
                <w:szCs w:val="20"/>
                <w:lang w:val="en-GB"/>
              </w:rPr>
              <w:t>791</w:t>
            </w:r>
          </w:p>
        </w:tc>
        <w:tc>
          <w:tcPr>
            <w:tcW w:w="1584" w:type="dxa"/>
            <w:tcBorders>
              <w:bottom w:val="single" w:sz="4" w:space="0" w:color="auto"/>
            </w:tcBorders>
            <w:shd w:val="clear" w:color="auto" w:fill="auto"/>
            <w:vAlign w:val="bottom"/>
          </w:tcPr>
          <w:p w14:paraId="1E3CD518" w14:textId="08880991"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20</w:t>
            </w:r>
            <w:r w:rsidR="001E018B" w:rsidRPr="002D2F67">
              <w:rPr>
                <w:rFonts w:ascii="Arial" w:hAnsi="Arial" w:cs="Arial"/>
                <w:color w:val="000000"/>
                <w:sz w:val="20"/>
                <w:szCs w:val="20"/>
              </w:rPr>
              <w:t>,</w:t>
            </w:r>
            <w:r w:rsidRPr="00CD5714">
              <w:rPr>
                <w:rFonts w:ascii="Arial" w:hAnsi="Arial" w:cs="Arial"/>
                <w:color w:val="000000"/>
                <w:sz w:val="20"/>
                <w:szCs w:val="20"/>
                <w:lang w:val="en-GB"/>
              </w:rPr>
              <w:t>836</w:t>
            </w:r>
          </w:p>
        </w:tc>
        <w:tc>
          <w:tcPr>
            <w:tcW w:w="1584" w:type="dxa"/>
            <w:tcBorders>
              <w:bottom w:val="single" w:sz="4" w:space="0" w:color="auto"/>
            </w:tcBorders>
            <w:shd w:val="clear" w:color="auto" w:fill="auto"/>
            <w:vAlign w:val="bottom"/>
          </w:tcPr>
          <w:p w14:paraId="1EC7B4EA" w14:textId="4F95D989"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59</w:t>
            </w:r>
            <w:r w:rsidR="001E018B" w:rsidRPr="002D2F67">
              <w:rPr>
                <w:rFonts w:ascii="Arial" w:hAnsi="Arial" w:cs="Arial"/>
                <w:color w:val="000000"/>
                <w:sz w:val="20"/>
                <w:szCs w:val="20"/>
              </w:rPr>
              <w:t>,</w:t>
            </w:r>
            <w:r w:rsidRPr="00CD5714">
              <w:rPr>
                <w:rFonts w:ascii="Arial" w:hAnsi="Arial" w:cs="Arial"/>
                <w:color w:val="000000"/>
                <w:sz w:val="20"/>
                <w:szCs w:val="20"/>
                <w:lang w:val="en-GB"/>
              </w:rPr>
              <w:t>627</w:t>
            </w:r>
          </w:p>
        </w:tc>
      </w:tr>
      <w:tr w:rsidR="00865AB1" w:rsidRPr="002D2F67" w14:paraId="30A54BEE" w14:textId="77777777" w:rsidTr="005611FE">
        <w:tc>
          <w:tcPr>
            <w:tcW w:w="4824" w:type="dxa"/>
            <w:shd w:val="clear" w:color="auto" w:fill="auto"/>
          </w:tcPr>
          <w:p w14:paraId="7C1C0DDE" w14:textId="77777777" w:rsidR="00865AB1" w:rsidRPr="002D2F67" w:rsidRDefault="00865AB1" w:rsidP="005611FE">
            <w:pPr>
              <w:ind w:left="45"/>
              <w:jc w:val="both"/>
              <w:rPr>
                <w:rFonts w:ascii="Arial" w:hAnsi="Arial" w:cs="Arial"/>
                <w:color w:val="000000"/>
                <w:sz w:val="20"/>
                <w:szCs w:val="20"/>
              </w:rPr>
            </w:pPr>
          </w:p>
        </w:tc>
        <w:tc>
          <w:tcPr>
            <w:tcW w:w="1584" w:type="dxa"/>
            <w:tcBorders>
              <w:top w:val="single" w:sz="4" w:space="0" w:color="auto"/>
            </w:tcBorders>
            <w:shd w:val="clear" w:color="auto" w:fill="auto"/>
            <w:vAlign w:val="bottom"/>
          </w:tcPr>
          <w:p w14:paraId="5B4CF276" w14:textId="77777777" w:rsidR="00865AB1" w:rsidRPr="002D2F67" w:rsidRDefault="00865AB1" w:rsidP="005611FE">
            <w:pPr>
              <w:ind w:right="-72"/>
              <w:jc w:val="right"/>
              <w:rPr>
                <w:rFonts w:ascii="Arial" w:hAnsi="Arial" w:cs="Arial"/>
                <w:color w:val="000000"/>
                <w:sz w:val="20"/>
                <w:szCs w:val="20"/>
                <w:cs/>
              </w:rPr>
            </w:pPr>
          </w:p>
        </w:tc>
        <w:tc>
          <w:tcPr>
            <w:tcW w:w="1584" w:type="dxa"/>
            <w:tcBorders>
              <w:top w:val="single" w:sz="4" w:space="0" w:color="auto"/>
            </w:tcBorders>
            <w:shd w:val="clear" w:color="auto" w:fill="auto"/>
            <w:vAlign w:val="bottom"/>
          </w:tcPr>
          <w:p w14:paraId="31FE799A" w14:textId="77777777" w:rsidR="00865AB1" w:rsidRPr="002D2F67" w:rsidRDefault="00865AB1" w:rsidP="005611FE">
            <w:pPr>
              <w:ind w:right="-72"/>
              <w:jc w:val="right"/>
              <w:rPr>
                <w:rFonts w:ascii="Arial" w:hAnsi="Arial" w:cs="Arial"/>
                <w:color w:val="000000"/>
                <w:sz w:val="20"/>
                <w:szCs w:val="20"/>
              </w:rPr>
            </w:pPr>
          </w:p>
        </w:tc>
        <w:tc>
          <w:tcPr>
            <w:tcW w:w="1584" w:type="dxa"/>
            <w:tcBorders>
              <w:top w:val="single" w:sz="4" w:space="0" w:color="auto"/>
            </w:tcBorders>
            <w:shd w:val="clear" w:color="auto" w:fill="auto"/>
            <w:vAlign w:val="bottom"/>
          </w:tcPr>
          <w:p w14:paraId="0A8BCF88" w14:textId="77777777" w:rsidR="00865AB1" w:rsidRPr="002D2F67" w:rsidRDefault="00865AB1" w:rsidP="005611FE">
            <w:pPr>
              <w:ind w:right="-72"/>
              <w:jc w:val="right"/>
              <w:rPr>
                <w:rFonts w:ascii="Arial" w:hAnsi="Arial" w:cs="Arial"/>
                <w:color w:val="000000"/>
                <w:sz w:val="20"/>
                <w:szCs w:val="20"/>
              </w:rPr>
            </w:pPr>
          </w:p>
        </w:tc>
      </w:tr>
      <w:tr w:rsidR="00865AB1" w:rsidRPr="002D2F67" w14:paraId="4A579641" w14:textId="77777777" w:rsidTr="005611FE">
        <w:tc>
          <w:tcPr>
            <w:tcW w:w="4824" w:type="dxa"/>
            <w:shd w:val="clear" w:color="auto" w:fill="auto"/>
          </w:tcPr>
          <w:p w14:paraId="505EB3CA" w14:textId="77777777" w:rsidR="00865AB1" w:rsidRPr="002D2F67" w:rsidRDefault="00865AB1" w:rsidP="005611FE">
            <w:pPr>
              <w:ind w:left="45"/>
              <w:jc w:val="both"/>
              <w:rPr>
                <w:rFonts w:ascii="Arial" w:hAnsi="Arial" w:cs="Arial"/>
                <w:color w:val="000000"/>
                <w:sz w:val="20"/>
                <w:szCs w:val="20"/>
              </w:rPr>
            </w:pPr>
            <w:r w:rsidRPr="002D2F67">
              <w:rPr>
                <w:rFonts w:ascii="Arial" w:hAnsi="Arial" w:cs="Arial"/>
                <w:color w:val="000000"/>
                <w:sz w:val="20"/>
                <w:szCs w:val="20"/>
              </w:rPr>
              <w:t>Fair value</w:t>
            </w:r>
          </w:p>
        </w:tc>
        <w:tc>
          <w:tcPr>
            <w:tcW w:w="1584" w:type="dxa"/>
            <w:tcBorders>
              <w:bottom w:val="single" w:sz="4" w:space="0" w:color="auto"/>
            </w:tcBorders>
            <w:shd w:val="clear" w:color="auto" w:fill="auto"/>
            <w:vAlign w:val="bottom"/>
          </w:tcPr>
          <w:p w14:paraId="5C242D6A" w14:textId="70EE202D"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38</w:t>
            </w:r>
            <w:r w:rsidR="001E018B" w:rsidRPr="002D2F67">
              <w:rPr>
                <w:rFonts w:ascii="Arial" w:hAnsi="Arial" w:cs="Arial"/>
                <w:color w:val="000000"/>
                <w:sz w:val="20"/>
                <w:szCs w:val="20"/>
              </w:rPr>
              <w:t>,</w:t>
            </w:r>
            <w:r w:rsidRPr="00CD5714">
              <w:rPr>
                <w:rFonts w:ascii="Arial" w:hAnsi="Arial" w:cs="Arial"/>
                <w:color w:val="000000"/>
                <w:sz w:val="20"/>
                <w:szCs w:val="20"/>
                <w:lang w:val="en-GB"/>
              </w:rPr>
              <w:t>396</w:t>
            </w:r>
          </w:p>
        </w:tc>
        <w:tc>
          <w:tcPr>
            <w:tcW w:w="1584" w:type="dxa"/>
            <w:tcBorders>
              <w:bottom w:val="single" w:sz="4" w:space="0" w:color="auto"/>
            </w:tcBorders>
            <w:shd w:val="clear" w:color="auto" w:fill="auto"/>
            <w:vAlign w:val="bottom"/>
          </w:tcPr>
          <w:p w14:paraId="72EF1DF6" w14:textId="35925625"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39</w:t>
            </w:r>
            <w:r w:rsidR="001E018B" w:rsidRPr="002D2F67">
              <w:rPr>
                <w:rFonts w:ascii="Arial" w:hAnsi="Arial" w:cs="Arial"/>
                <w:color w:val="000000"/>
                <w:sz w:val="20"/>
                <w:szCs w:val="20"/>
              </w:rPr>
              <w:t>,</w:t>
            </w:r>
            <w:r w:rsidRPr="00CD5714">
              <w:rPr>
                <w:rFonts w:ascii="Arial" w:hAnsi="Arial" w:cs="Arial"/>
                <w:color w:val="000000"/>
                <w:sz w:val="20"/>
                <w:szCs w:val="20"/>
                <w:lang w:val="en-GB"/>
              </w:rPr>
              <w:t>711</w:t>
            </w:r>
          </w:p>
        </w:tc>
        <w:tc>
          <w:tcPr>
            <w:tcW w:w="1584" w:type="dxa"/>
            <w:tcBorders>
              <w:bottom w:val="single" w:sz="4" w:space="0" w:color="auto"/>
            </w:tcBorders>
            <w:shd w:val="clear" w:color="auto" w:fill="auto"/>
            <w:vAlign w:val="bottom"/>
          </w:tcPr>
          <w:p w14:paraId="5A5D5A21" w14:textId="1B6DE8F8"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78</w:t>
            </w:r>
            <w:r w:rsidR="001E018B" w:rsidRPr="002D2F67">
              <w:rPr>
                <w:rFonts w:ascii="Arial" w:hAnsi="Arial" w:cs="Arial"/>
                <w:color w:val="000000"/>
                <w:sz w:val="20"/>
                <w:szCs w:val="20"/>
              </w:rPr>
              <w:t>,</w:t>
            </w:r>
            <w:r w:rsidRPr="00CD5714">
              <w:rPr>
                <w:rFonts w:ascii="Arial" w:hAnsi="Arial" w:cs="Arial"/>
                <w:color w:val="000000"/>
                <w:sz w:val="20"/>
                <w:szCs w:val="20"/>
                <w:lang w:val="en-GB"/>
              </w:rPr>
              <w:t>107</w:t>
            </w:r>
          </w:p>
        </w:tc>
      </w:tr>
    </w:tbl>
    <w:p w14:paraId="1D2C1588" w14:textId="77777777" w:rsidR="00FF408A" w:rsidRPr="002D2F67" w:rsidRDefault="00FF408A" w:rsidP="005611FE">
      <w:pPr>
        <w:ind w:left="540" w:hanging="540"/>
        <w:jc w:val="both"/>
        <w:rPr>
          <w:rFonts w:ascii="Arial" w:hAnsi="Arial" w:cs="Arial"/>
          <w:b/>
          <w:bCs/>
          <w:color w:val="000000"/>
          <w:sz w:val="20"/>
          <w:szCs w:val="20"/>
        </w:rPr>
      </w:pPr>
    </w:p>
    <w:p w14:paraId="3F42B4AF" w14:textId="77777777" w:rsidR="00FF408A" w:rsidRPr="002D2F67" w:rsidRDefault="00FF408A" w:rsidP="005611FE">
      <w:pPr>
        <w:jc w:val="both"/>
        <w:rPr>
          <w:rFonts w:ascii="Arial" w:hAnsi="Arial" w:cs="Arial"/>
          <w:b/>
          <w:bCs/>
          <w:color w:val="000000"/>
          <w:sz w:val="20"/>
          <w:szCs w:val="20"/>
        </w:rPr>
      </w:pPr>
      <w:r w:rsidRPr="002D2F67">
        <w:rPr>
          <w:rFonts w:ascii="Arial" w:hAnsi="Arial" w:cs="Arial"/>
          <w:b/>
          <w:bCs/>
          <w:color w:val="000000"/>
          <w:sz w:val="20"/>
          <w:szCs w:val="20"/>
        </w:rPr>
        <w:br w:type="page"/>
      </w:r>
    </w:p>
    <w:tbl>
      <w:tblPr>
        <w:tblW w:w="4895" w:type="pct"/>
        <w:tblInd w:w="108" w:type="dxa"/>
        <w:tblLayout w:type="fixed"/>
        <w:tblLook w:val="0000" w:firstRow="0" w:lastRow="0" w:firstColumn="0" w:lastColumn="0" w:noHBand="0" w:noVBand="0"/>
      </w:tblPr>
      <w:tblGrid>
        <w:gridCol w:w="4815"/>
        <w:gridCol w:w="1552"/>
        <w:gridCol w:w="1552"/>
        <w:gridCol w:w="1553"/>
      </w:tblGrid>
      <w:tr w:rsidR="0037743A" w:rsidRPr="002D2F67" w14:paraId="7D1455D7" w14:textId="77777777" w:rsidTr="008255E8">
        <w:tc>
          <w:tcPr>
            <w:tcW w:w="2542" w:type="pct"/>
            <w:shd w:val="clear" w:color="auto" w:fill="auto"/>
          </w:tcPr>
          <w:p w14:paraId="7D1A72D7" w14:textId="77777777" w:rsidR="00FF408A" w:rsidRPr="002D2F67" w:rsidRDefault="00FF408A" w:rsidP="005611FE">
            <w:pPr>
              <w:ind w:left="-101"/>
              <w:rPr>
                <w:rFonts w:ascii="Arial" w:hAnsi="Arial" w:cs="Arial"/>
                <w:b/>
                <w:bCs/>
                <w:color w:val="000000"/>
                <w:sz w:val="20"/>
                <w:szCs w:val="20"/>
              </w:rPr>
            </w:pPr>
          </w:p>
        </w:tc>
        <w:tc>
          <w:tcPr>
            <w:tcW w:w="2458" w:type="pct"/>
            <w:gridSpan w:val="3"/>
            <w:tcBorders>
              <w:bottom w:val="single" w:sz="4" w:space="0" w:color="auto"/>
            </w:tcBorders>
            <w:shd w:val="clear" w:color="auto" w:fill="auto"/>
          </w:tcPr>
          <w:p w14:paraId="7AB49711" w14:textId="77777777" w:rsidR="00FF408A" w:rsidRPr="002D2F67" w:rsidRDefault="00FF408A" w:rsidP="005611FE">
            <w:pPr>
              <w:ind w:right="-72"/>
              <w:jc w:val="right"/>
              <w:rPr>
                <w:rFonts w:ascii="Arial" w:hAnsi="Arial" w:cs="Arial"/>
                <w:b/>
                <w:bCs/>
                <w:color w:val="000000"/>
                <w:sz w:val="20"/>
                <w:szCs w:val="20"/>
              </w:rPr>
            </w:pPr>
            <w:r w:rsidRPr="002D2F67">
              <w:rPr>
                <w:rFonts w:ascii="Arial" w:hAnsi="Arial" w:cs="Arial"/>
                <w:b/>
                <w:bCs/>
                <w:color w:val="000000"/>
                <w:sz w:val="20"/>
                <w:szCs w:val="20"/>
              </w:rPr>
              <w:t>Separate</w:t>
            </w:r>
            <w:r w:rsidR="00FF1C98" w:rsidRPr="002D2F67">
              <w:rPr>
                <w:rFonts w:ascii="Arial" w:hAnsi="Arial" w:cs="Arial"/>
                <w:b/>
                <w:bCs/>
                <w:color w:val="000000"/>
                <w:sz w:val="20"/>
                <w:szCs w:val="20"/>
              </w:rPr>
              <w:t xml:space="preserve"> financial statements</w:t>
            </w:r>
          </w:p>
        </w:tc>
      </w:tr>
      <w:tr w:rsidR="00784D8D" w:rsidRPr="002D2F67" w14:paraId="0DE51284" w14:textId="77777777" w:rsidTr="005611FE">
        <w:tc>
          <w:tcPr>
            <w:tcW w:w="2542" w:type="pct"/>
            <w:shd w:val="clear" w:color="auto" w:fill="auto"/>
          </w:tcPr>
          <w:p w14:paraId="102E2440" w14:textId="77777777" w:rsidR="00FF408A" w:rsidRPr="002D2F67" w:rsidRDefault="00FF408A" w:rsidP="005611FE">
            <w:pPr>
              <w:ind w:left="-101"/>
              <w:rPr>
                <w:rFonts w:ascii="Arial" w:hAnsi="Arial" w:cs="Arial"/>
                <w:b/>
                <w:bCs/>
                <w:color w:val="000000"/>
                <w:sz w:val="20"/>
                <w:szCs w:val="20"/>
              </w:rPr>
            </w:pPr>
          </w:p>
        </w:tc>
        <w:tc>
          <w:tcPr>
            <w:tcW w:w="819" w:type="pct"/>
            <w:tcBorders>
              <w:top w:val="single" w:sz="4" w:space="0" w:color="auto"/>
            </w:tcBorders>
            <w:shd w:val="clear" w:color="auto" w:fill="auto"/>
          </w:tcPr>
          <w:p w14:paraId="55316A90" w14:textId="77777777" w:rsidR="00FF408A" w:rsidRPr="002D2F67" w:rsidRDefault="00FF408A" w:rsidP="005611FE">
            <w:pPr>
              <w:ind w:right="-72"/>
              <w:jc w:val="right"/>
              <w:rPr>
                <w:rFonts w:ascii="Arial" w:hAnsi="Arial" w:cs="Arial"/>
                <w:b/>
                <w:bCs/>
                <w:color w:val="000000"/>
                <w:sz w:val="20"/>
                <w:szCs w:val="20"/>
              </w:rPr>
            </w:pPr>
          </w:p>
          <w:p w14:paraId="63D202CF" w14:textId="77777777" w:rsidR="00FF408A" w:rsidRPr="002D2F67" w:rsidRDefault="00FF408A" w:rsidP="005611FE">
            <w:pPr>
              <w:ind w:right="-72"/>
              <w:jc w:val="right"/>
              <w:rPr>
                <w:rFonts w:ascii="Arial" w:hAnsi="Arial" w:cs="Arial"/>
                <w:b/>
                <w:bCs/>
                <w:color w:val="000000"/>
                <w:sz w:val="20"/>
                <w:szCs w:val="20"/>
              </w:rPr>
            </w:pPr>
          </w:p>
          <w:p w14:paraId="0AC299A4" w14:textId="77777777" w:rsidR="00FF408A" w:rsidRPr="002D2F67" w:rsidRDefault="00FF408A"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Land </w:t>
            </w:r>
          </w:p>
        </w:tc>
        <w:tc>
          <w:tcPr>
            <w:tcW w:w="819" w:type="pct"/>
            <w:tcBorders>
              <w:top w:val="single" w:sz="4" w:space="0" w:color="auto"/>
            </w:tcBorders>
            <w:shd w:val="clear" w:color="auto" w:fill="auto"/>
          </w:tcPr>
          <w:p w14:paraId="668CE545" w14:textId="77777777" w:rsidR="00FF408A" w:rsidRPr="002D2F67" w:rsidRDefault="00FF408A" w:rsidP="005611FE">
            <w:pPr>
              <w:ind w:right="-72"/>
              <w:jc w:val="right"/>
              <w:rPr>
                <w:rFonts w:ascii="Arial" w:hAnsi="Arial" w:cs="Arial"/>
                <w:b/>
                <w:bCs/>
                <w:color w:val="000000"/>
                <w:sz w:val="20"/>
                <w:szCs w:val="20"/>
              </w:rPr>
            </w:pPr>
            <w:r w:rsidRPr="002D2F67">
              <w:rPr>
                <w:rFonts w:ascii="Arial" w:hAnsi="Arial" w:cs="Arial"/>
                <w:b/>
                <w:bCs/>
                <w:color w:val="000000"/>
                <w:sz w:val="20"/>
                <w:szCs w:val="20"/>
              </w:rPr>
              <w:t>Buildings and building improvements</w:t>
            </w:r>
          </w:p>
        </w:tc>
        <w:tc>
          <w:tcPr>
            <w:tcW w:w="820" w:type="pct"/>
            <w:tcBorders>
              <w:top w:val="single" w:sz="4" w:space="0" w:color="auto"/>
            </w:tcBorders>
            <w:shd w:val="clear" w:color="auto" w:fill="auto"/>
          </w:tcPr>
          <w:p w14:paraId="464466DA" w14:textId="77777777" w:rsidR="00FF408A" w:rsidRPr="002D2F67" w:rsidRDefault="00FF408A" w:rsidP="005611FE">
            <w:pPr>
              <w:ind w:right="-72"/>
              <w:jc w:val="right"/>
              <w:rPr>
                <w:rFonts w:ascii="Arial" w:hAnsi="Arial" w:cs="Arial"/>
                <w:b/>
                <w:bCs/>
                <w:color w:val="000000"/>
                <w:sz w:val="20"/>
                <w:szCs w:val="20"/>
              </w:rPr>
            </w:pPr>
          </w:p>
          <w:p w14:paraId="492A8A6B" w14:textId="77777777" w:rsidR="00FF408A" w:rsidRPr="002D2F67" w:rsidRDefault="00FF408A" w:rsidP="005611FE">
            <w:pPr>
              <w:ind w:right="-72"/>
              <w:jc w:val="right"/>
              <w:rPr>
                <w:rFonts w:ascii="Arial" w:hAnsi="Arial" w:cs="Arial"/>
                <w:b/>
                <w:bCs/>
                <w:color w:val="000000"/>
                <w:sz w:val="20"/>
                <w:szCs w:val="20"/>
              </w:rPr>
            </w:pPr>
          </w:p>
          <w:p w14:paraId="000D00D1" w14:textId="77777777" w:rsidR="00FF408A" w:rsidRPr="002D2F67" w:rsidRDefault="00FF408A" w:rsidP="005611FE">
            <w:pPr>
              <w:ind w:right="-72"/>
              <w:jc w:val="right"/>
              <w:rPr>
                <w:rFonts w:ascii="Arial" w:hAnsi="Arial" w:cs="Arial"/>
                <w:b/>
                <w:bCs/>
                <w:color w:val="000000"/>
                <w:sz w:val="20"/>
                <w:szCs w:val="20"/>
              </w:rPr>
            </w:pPr>
            <w:r w:rsidRPr="002D2F67">
              <w:rPr>
                <w:rFonts w:ascii="Arial" w:hAnsi="Arial" w:cs="Arial"/>
                <w:b/>
                <w:bCs/>
                <w:color w:val="000000"/>
                <w:sz w:val="20"/>
                <w:szCs w:val="20"/>
              </w:rPr>
              <w:t>Total</w:t>
            </w:r>
          </w:p>
        </w:tc>
      </w:tr>
      <w:tr w:rsidR="00FE72E0" w:rsidRPr="002D2F67" w14:paraId="18C5D479" w14:textId="77777777" w:rsidTr="005611FE">
        <w:tc>
          <w:tcPr>
            <w:tcW w:w="2542" w:type="pct"/>
            <w:shd w:val="clear" w:color="auto" w:fill="auto"/>
          </w:tcPr>
          <w:p w14:paraId="28041B76" w14:textId="77777777" w:rsidR="00774A33" w:rsidRPr="002D2F67" w:rsidRDefault="00774A33" w:rsidP="005611FE">
            <w:pPr>
              <w:ind w:left="-101"/>
              <w:rPr>
                <w:rFonts w:ascii="Arial" w:hAnsi="Arial" w:cs="Arial"/>
                <w:color w:val="000000"/>
                <w:sz w:val="20"/>
                <w:szCs w:val="20"/>
              </w:rPr>
            </w:pPr>
          </w:p>
        </w:tc>
        <w:tc>
          <w:tcPr>
            <w:tcW w:w="819" w:type="pct"/>
            <w:tcBorders>
              <w:bottom w:val="single" w:sz="4" w:space="0" w:color="auto"/>
            </w:tcBorders>
            <w:shd w:val="clear" w:color="auto" w:fill="auto"/>
          </w:tcPr>
          <w:p w14:paraId="409E4644" w14:textId="0906170F" w:rsidR="00774A33" w:rsidRPr="002D2F67" w:rsidRDefault="00774A33"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819" w:type="pct"/>
            <w:tcBorders>
              <w:bottom w:val="single" w:sz="4" w:space="0" w:color="auto"/>
            </w:tcBorders>
            <w:shd w:val="clear" w:color="auto" w:fill="auto"/>
          </w:tcPr>
          <w:p w14:paraId="12FA8283" w14:textId="657261EC" w:rsidR="00774A33" w:rsidRPr="002D2F67" w:rsidRDefault="00774A33"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820" w:type="pct"/>
            <w:tcBorders>
              <w:bottom w:val="single" w:sz="4" w:space="0" w:color="auto"/>
            </w:tcBorders>
            <w:shd w:val="clear" w:color="auto" w:fill="auto"/>
          </w:tcPr>
          <w:p w14:paraId="2F6D8CF8" w14:textId="455C7E5D" w:rsidR="00774A33" w:rsidRPr="002D2F67" w:rsidRDefault="00774A33"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FF408A" w:rsidRPr="002D2F67" w14:paraId="3A93CEED" w14:textId="77777777" w:rsidTr="005611FE">
        <w:tc>
          <w:tcPr>
            <w:tcW w:w="2542" w:type="pct"/>
            <w:shd w:val="clear" w:color="auto" w:fill="auto"/>
          </w:tcPr>
          <w:p w14:paraId="18DC3EF5" w14:textId="33C6518D" w:rsidR="00FF408A" w:rsidRPr="002D2F67" w:rsidRDefault="00FF408A" w:rsidP="005611FE">
            <w:pPr>
              <w:ind w:left="-101"/>
              <w:rPr>
                <w:rFonts w:ascii="Arial" w:hAnsi="Arial" w:cs="Arial"/>
                <w:color w:val="000000"/>
                <w:sz w:val="20"/>
                <w:szCs w:val="20"/>
              </w:rPr>
            </w:pPr>
            <w:r w:rsidRPr="002D2F67">
              <w:rPr>
                <w:rFonts w:ascii="Arial" w:hAnsi="Arial" w:cs="Arial"/>
                <w:b/>
                <w:bCs/>
                <w:color w:val="000000"/>
                <w:sz w:val="20"/>
                <w:szCs w:val="20"/>
              </w:rPr>
              <w:t xml:space="preserve">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1</w:t>
            </w:r>
            <w:r w:rsidRPr="002D2F67">
              <w:rPr>
                <w:rFonts w:ascii="Arial" w:hAnsi="Arial" w:cs="Arial"/>
                <w:b/>
                <w:bCs/>
                <w:color w:val="000000"/>
                <w:sz w:val="20"/>
                <w:szCs w:val="20"/>
              </w:rPr>
              <w:t xml:space="preserve"> January </w:t>
            </w:r>
            <w:r w:rsidR="00CD5714" w:rsidRPr="00CD5714">
              <w:rPr>
                <w:rFonts w:ascii="Arial" w:hAnsi="Arial" w:cs="Arial"/>
                <w:b/>
                <w:bCs/>
                <w:color w:val="000000"/>
                <w:sz w:val="20"/>
                <w:szCs w:val="20"/>
                <w:lang w:val="en-GB"/>
              </w:rPr>
              <w:t>2023</w:t>
            </w:r>
          </w:p>
        </w:tc>
        <w:tc>
          <w:tcPr>
            <w:tcW w:w="819" w:type="pct"/>
            <w:tcBorders>
              <w:top w:val="single" w:sz="4" w:space="0" w:color="auto"/>
            </w:tcBorders>
            <w:shd w:val="clear" w:color="auto" w:fill="auto"/>
            <w:vAlign w:val="bottom"/>
          </w:tcPr>
          <w:p w14:paraId="5467F3C7" w14:textId="77777777" w:rsidR="00FF408A" w:rsidRPr="002D2F67" w:rsidRDefault="00FF408A" w:rsidP="005611FE">
            <w:pPr>
              <w:ind w:right="-72"/>
              <w:jc w:val="right"/>
              <w:rPr>
                <w:rFonts w:ascii="Arial" w:hAnsi="Arial" w:cs="Arial"/>
                <w:color w:val="000000"/>
                <w:sz w:val="20"/>
                <w:szCs w:val="20"/>
              </w:rPr>
            </w:pPr>
          </w:p>
        </w:tc>
        <w:tc>
          <w:tcPr>
            <w:tcW w:w="819" w:type="pct"/>
            <w:tcBorders>
              <w:top w:val="single" w:sz="4" w:space="0" w:color="auto"/>
            </w:tcBorders>
            <w:shd w:val="clear" w:color="auto" w:fill="auto"/>
            <w:vAlign w:val="bottom"/>
          </w:tcPr>
          <w:p w14:paraId="32FFEAAB" w14:textId="77777777" w:rsidR="00FF408A" w:rsidRPr="002D2F67" w:rsidRDefault="00FF408A" w:rsidP="005611FE">
            <w:pPr>
              <w:ind w:right="-72"/>
              <w:jc w:val="right"/>
              <w:rPr>
                <w:rFonts w:ascii="Arial" w:hAnsi="Arial" w:cs="Arial"/>
                <w:color w:val="000000"/>
                <w:sz w:val="20"/>
                <w:szCs w:val="20"/>
              </w:rPr>
            </w:pPr>
          </w:p>
        </w:tc>
        <w:tc>
          <w:tcPr>
            <w:tcW w:w="820" w:type="pct"/>
            <w:tcBorders>
              <w:top w:val="single" w:sz="4" w:space="0" w:color="auto"/>
            </w:tcBorders>
            <w:shd w:val="clear" w:color="auto" w:fill="auto"/>
            <w:vAlign w:val="bottom"/>
          </w:tcPr>
          <w:p w14:paraId="1EDA5FA4" w14:textId="77777777" w:rsidR="00FF408A" w:rsidRPr="002D2F67" w:rsidRDefault="00FF408A" w:rsidP="005611FE">
            <w:pPr>
              <w:ind w:right="-72"/>
              <w:jc w:val="right"/>
              <w:rPr>
                <w:rFonts w:ascii="Arial" w:hAnsi="Arial" w:cs="Arial"/>
                <w:color w:val="000000"/>
                <w:sz w:val="20"/>
                <w:szCs w:val="20"/>
              </w:rPr>
            </w:pPr>
          </w:p>
        </w:tc>
      </w:tr>
      <w:tr w:rsidR="00865AB1" w:rsidRPr="002D2F67" w14:paraId="660E28D4" w14:textId="77777777" w:rsidTr="005611FE">
        <w:tc>
          <w:tcPr>
            <w:tcW w:w="2542" w:type="pct"/>
            <w:shd w:val="clear" w:color="auto" w:fill="auto"/>
          </w:tcPr>
          <w:p w14:paraId="5376245A" w14:textId="77777777" w:rsidR="00865AB1" w:rsidRPr="002D2F67" w:rsidRDefault="00865AB1" w:rsidP="005611FE">
            <w:pPr>
              <w:ind w:left="-101"/>
              <w:jc w:val="both"/>
              <w:rPr>
                <w:rFonts w:ascii="Arial" w:hAnsi="Arial" w:cs="Arial"/>
                <w:color w:val="000000"/>
                <w:sz w:val="20"/>
                <w:szCs w:val="20"/>
              </w:rPr>
            </w:pPr>
            <w:r w:rsidRPr="002D2F67">
              <w:rPr>
                <w:rFonts w:ascii="Arial" w:hAnsi="Arial" w:cs="Arial"/>
                <w:color w:val="000000"/>
                <w:sz w:val="20"/>
                <w:szCs w:val="20"/>
              </w:rPr>
              <w:t>Cost</w:t>
            </w:r>
          </w:p>
        </w:tc>
        <w:tc>
          <w:tcPr>
            <w:tcW w:w="819" w:type="pct"/>
            <w:shd w:val="clear" w:color="auto" w:fill="auto"/>
            <w:vAlign w:val="bottom"/>
          </w:tcPr>
          <w:p w14:paraId="765D6AC2" w14:textId="3B3213AD"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686</w:t>
            </w:r>
            <w:r w:rsidR="00865AB1" w:rsidRPr="002D2F67">
              <w:rPr>
                <w:rFonts w:ascii="Arial" w:hAnsi="Arial" w:cs="Arial"/>
                <w:color w:val="000000"/>
                <w:sz w:val="20"/>
                <w:szCs w:val="20"/>
              </w:rPr>
              <w:t>,</w:t>
            </w:r>
            <w:r w:rsidRPr="00CD5714">
              <w:rPr>
                <w:rFonts w:ascii="Arial" w:hAnsi="Arial" w:cs="Arial"/>
                <w:color w:val="000000"/>
                <w:sz w:val="20"/>
                <w:szCs w:val="20"/>
                <w:lang w:val="en-GB"/>
              </w:rPr>
              <w:t>268</w:t>
            </w:r>
          </w:p>
        </w:tc>
        <w:tc>
          <w:tcPr>
            <w:tcW w:w="819" w:type="pct"/>
            <w:shd w:val="clear" w:color="auto" w:fill="auto"/>
            <w:vAlign w:val="bottom"/>
          </w:tcPr>
          <w:p w14:paraId="78D57B0D" w14:textId="55589461"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43</w:t>
            </w:r>
            <w:r w:rsidR="00865AB1" w:rsidRPr="002D2F67">
              <w:rPr>
                <w:rFonts w:ascii="Arial" w:hAnsi="Arial" w:cs="Arial"/>
                <w:color w:val="000000"/>
                <w:sz w:val="20"/>
                <w:szCs w:val="20"/>
              </w:rPr>
              <w:t>,</w:t>
            </w:r>
            <w:r w:rsidRPr="00CD5714">
              <w:rPr>
                <w:rFonts w:ascii="Arial" w:hAnsi="Arial" w:cs="Arial"/>
                <w:color w:val="000000"/>
                <w:sz w:val="20"/>
                <w:szCs w:val="20"/>
                <w:lang w:val="en-GB"/>
              </w:rPr>
              <w:t>158</w:t>
            </w:r>
          </w:p>
        </w:tc>
        <w:tc>
          <w:tcPr>
            <w:tcW w:w="820" w:type="pct"/>
            <w:shd w:val="clear" w:color="auto" w:fill="auto"/>
            <w:vAlign w:val="bottom"/>
          </w:tcPr>
          <w:p w14:paraId="30DE9530" w14:textId="6C6A7262"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729</w:t>
            </w:r>
            <w:r w:rsidR="00865AB1" w:rsidRPr="002D2F67">
              <w:rPr>
                <w:rFonts w:ascii="Arial" w:hAnsi="Arial" w:cs="Arial"/>
                <w:color w:val="000000"/>
                <w:sz w:val="20"/>
                <w:szCs w:val="20"/>
              </w:rPr>
              <w:t>,</w:t>
            </w:r>
            <w:r w:rsidRPr="00CD5714">
              <w:rPr>
                <w:rFonts w:ascii="Arial" w:hAnsi="Arial" w:cs="Arial"/>
                <w:color w:val="000000"/>
                <w:sz w:val="20"/>
                <w:szCs w:val="20"/>
                <w:lang w:val="en-GB"/>
              </w:rPr>
              <w:t>426</w:t>
            </w:r>
          </w:p>
        </w:tc>
      </w:tr>
      <w:tr w:rsidR="00865AB1" w:rsidRPr="002D2F67" w14:paraId="5DE1110A" w14:textId="77777777" w:rsidTr="005611FE">
        <w:tc>
          <w:tcPr>
            <w:tcW w:w="2542" w:type="pct"/>
            <w:shd w:val="clear" w:color="auto" w:fill="auto"/>
          </w:tcPr>
          <w:p w14:paraId="4841376A" w14:textId="0E870D4A" w:rsidR="00865AB1" w:rsidRPr="002D2F67" w:rsidRDefault="00865AB1" w:rsidP="005611FE">
            <w:pPr>
              <w:ind w:left="-101"/>
              <w:jc w:val="both"/>
              <w:rPr>
                <w:rFonts w:ascii="Arial" w:hAnsi="Arial" w:cs="Arial"/>
                <w:color w:val="000000"/>
                <w:sz w:val="20"/>
                <w:szCs w:val="20"/>
              </w:rPr>
            </w:pPr>
            <w:r w:rsidRPr="002D2F67">
              <w:rPr>
                <w:rFonts w:ascii="Arial" w:hAnsi="Arial" w:cs="Arial"/>
                <w:color w:val="000000"/>
                <w:sz w:val="20"/>
                <w:szCs w:val="20"/>
                <w:u w:val="single"/>
              </w:rPr>
              <w:t>Less</w:t>
            </w:r>
            <w:r w:rsidRPr="002D2F67">
              <w:rPr>
                <w:rFonts w:ascii="Arial" w:hAnsi="Arial" w:cs="Arial"/>
                <w:color w:val="000000"/>
                <w:sz w:val="20"/>
                <w:szCs w:val="20"/>
              </w:rPr>
              <w:t xml:space="preserve">  Accumulated depreciation</w:t>
            </w:r>
          </w:p>
        </w:tc>
        <w:tc>
          <w:tcPr>
            <w:tcW w:w="819" w:type="pct"/>
            <w:tcBorders>
              <w:bottom w:val="single" w:sz="4" w:space="0" w:color="auto"/>
            </w:tcBorders>
            <w:shd w:val="clear" w:color="auto" w:fill="auto"/>
          </w:tcPr>
          <w:p w14:paraId="08F7B4A7" w14:textId="065BDA8F" w:rsidR="00865AB1" w:rsidRPr="002D2F67" w:rsidRDefault="00865AB1" w:rsidP="005611FE">
            <w:pPr>
              <w:tabs>
                <w:tab w:val="left" w:pos="6840"/>
              </w:tabs>
              <w:ind w:right="-72"/>
              <w:jc w:val="right"/>
              <w:rPr>
                <w:rFonts w:ascii="Arial" w:hAnsi="Arial" w:cs="Arial"/>
                <w:color w:val="000000"/>
                <w:sz w:val="20"/>
                <w:szCs w:val="20"/>
              </w:rPr>
            </w:pPr>
            <w:r w:rsidRPr="002D2F67">
              <w:rPr>
                <w:rFonts w:ascii="Arial" w:hAnsi="Arial" w:cs="Arial"/>
                <w:color w:val="000000"/>
                <w:sz w:val="20"/>
                <w:szCs w:val="20"/>
              </w:rPr>
              <w:t>-</w:t>
            </w:r>
          </w:p>
        </w:tc>
        <w:tc>
          <w:tcPr>
            <w:tcW w:w="819" w:type="pct"/>
            <w:tcBorders>
              <w:bottom w:val="single" w:sz="4" w:space="0" w:color="auto"/>
            </w:tcBorders>
            <w:shd w:val="clear" w:color="auto" w:fill="auto"/>
          </w:tcPr>
          <w:p w14:paraId="21DA27A9" w14:textId="4AADA361" w:rsidR="00865AB1" w:rsidRPr="002D2F67" w:rsidRDefault="00865AB1" w:rsidP="005611FE">
            <w:pPr>
              <w:tabs>
                <w:tab w:val="left" w:pos="6840"/>
              </w:tabs>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17</w:t>
            </w:r>
            <w:r w:rsidRPr="002D2F67">
              <w:rPr>
                <w:rFonts w:ascii="Arial" w:hAnsi="Arial" w:cs="Arial"/>
                <w:color w:val="000000"/>
                <w:sz w:val="20"/>
                <w:szCs w:val="20"/>
              </w:rPr>
              <w:t>,</w:t>
            </w:r>
            <w:r w:rsidR="00CD5714" w:rsidRPr="00CD5714">
              <w:rPr>
                <w:rFonts w:ascii="Arial" w:hAnsi="Arial" w:cs="Arial"/>
                <w:color w:val="000000"/>
                <w:sz w:val="20"/>
                <w:szCs w:val="20"/>
                <w:lang w:val="en-GB"/>
              </w:rPr>
              <w:t>959</w:t>
            </w:r>
            <w:r w:rsidRPr="002D2F67">
              <w:rPr>
                <w:rFonts w:ascii="Arial" w:hAnsi="Arial" w:cs="Arial"/>
                <w:color w:val="000000"/>
                <w:sz w:val="20"/>
                <w:szCs w:val="20"/>
              </w:rPr>
              <w:t>)</w:t>
            </w:r>
          </w:p>
        </w:tc>
        <w:tc>
          <w:tcPr>
            <w:tcW w:w="820" w:type="pct"/>
            <w:tcBorders>
              <w:bottom w:val="single" w:sz="4" w:space="0" w:color="auto"/>
            </w:tcBorders>
            <w:shd w:val="clear" w:color="auto" w:fill="auto"/>
          </w:tcPr>
          <w:p w14:paraId="493052B0" w14:textId="6891C210" w:rsidR="00865AB1" w:rsidRPr="002D2F67" w:rsidRDefault="00865AB1" w:rsidP="005611FE">
            <w:pPr>
              <w:tabs>
                <w:tab w:val="left" w:pos="6840"/>
              </w:tabs>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17</w:t>
            </w:r>
            <w:r w:rsidRPr="002D2F67">
              <w:rPr>
                <w:rFonts w:ascii="Arial" w:hAnsi="Arial" w:cs="Arial"/>
                <w:color w:val="000000"/>
                <w:sz w:val="20"/>
                <w:szCs w:val="20"/>
              </w:rPr>
              <w:t>,</w:t>
            </w:r>
            <w:r w:rsidR="00CD5714" w:rsidRPr="00CD5714">
              <w:rPr>
                <w:rFonts w:ascii="Arial" w:hAnsi="Arial" w:cs="Arial"/>
                <w:color w:val="000000"/>
                <w:sz w:val="20"/>
                <w:szCs w:val="20"/>
                <w:lang w:val="en-GB"/>
              </w:rPr>
              <w:t>959</w:t>
            </w:r>
            <w:r w:rsidRPr="002D2F67">
              <w:rPr>
                <w:rFonts w:ascii="Arial" w:hAnsi="Arial" w:cs="Arial"/>
                <w:color w:val="000000"/>
                <w:sz w:val="20"/>
                <w:szCs w:val="20"/>
              </w:rPr>
              <w:t>)</w:t>
            </w:r>
          </w:p>
        </w:tc>
      </w:tr>
      <w:tr w:rsidR="00865AB1" w:rsidRPr="002D2F67" w14:paraId="2C68DAAD" w14:textId="77777777" w:rsidTr="005611FE">
        <w:tc>
          <w:tcPr>
            <w:tcW w:w="2542" w:type="pct"/>
            <w:shd w:val="clear" w:color="auto" w:fill="auto"/>
          </w:tcPr>
          <w:p w14:paraId="1E578414" w14:textId="77777777" w:rsidR="00865AB1" w:rsidRPr="002D2F67" w:rsidRDefault="00865AB1" w:rsidP="005611FE">
            <w:pPr>
              <w:ind w:left="-101"/>
              <w:rPr>
                <w:rFonts w:ascii="Arial" w:hAnsi="Arial" w:cs="Arial"/>
                <w:color w:val="000000"/>
                <w:sz w:val="12"/>
                <w:szCs w:val="12"/>
              </w:rPr>
            </w:pPr>
          </w:p>
        </w:tc>
        <w:tc>
          <w:tcPr>
            <w:tcW w:w="819" w:type="pct"/>
            <w:tcBorders>
              <w:top w:val="single" w:sz="4" w:space="0" w:color="auto"/>
            </w:tcBorders>
            <w:shd w:val="clear" w:color="auto" w:fill="auto"/>
            <w:vAlign w:val="bottom"/>
          </w:tcPr>
          <w:p w14:paraId="1E72A5C5" w14:textId="77777777" w:rsidR="00865AB1" w:rsidRPr="002D2F67" w:rsidRDefault="00865AB1" w:rsidP="005611FE">
            <w:pPr>
              <w:ind w:right="-72"/>
              <w:jc w:val="right"/>
              <w:rPr>
                <w:rFonts w:ascii="Arial" w:hAnsi="Arial" w:cs="Arial"/>
                <w:color w:val="000000"/>
                <w:sz w:val="12"/>
                <w:szCs w:val="12"/>
              </w:rPr>
            </w:pPr>
          </w:p>
        </w:tc>
        <w:tc>
          <w:tcPr>
            <w:tcW w:w="819" w:type="pct"/>
            <w:tcBorders>
              <w:top w:val="single" w:sz="4" w:space="0" w:color="auto"/>
            </w:tcBorders>
            <w:shd w:val="clear" w:color="auto" w:fill="auto"/>
            <w:vAlign w:val="bottom"/>
          </w:tcPr>
          <w:p w14:paraId="2F4E3A61" w14:textId="77777777" w:rsidR="00865AB1" w:rsidRPr="002D2F67" w:rsidRDefault="00865AB1" w:rsidP="005611FE">
            <w:pPr>
              <w:ind w:right="-72"/>
              <w:jc w:val="right"/>
              <w:rPr>
                <w:rFonts w:ascii="Arial" w:hAnsi="Arial" w:cs="Arial"/>
                <w:color w:val="000000"/>
                <w:sz w:val="12"/>
                <w:szCs w:val="12"/>
              </w:rPr>
            </w:pPr>
          </w:p>
        </w:tc>
        <w:tc>
          <w:tcPr>
            <w:tcW w:w="820" w:type="pct"/>
            <w:tcBorders>
              <w:top w:val="single" w:sz="4" w:space="0" w:color="auto"/>
            </w:tcBorders>
            <w:shd w:val="clear" w:color="auto" w:fill="auto"/>
            <w:vAlign w:val="bottom"/>
          </w:tcPr>
          <w:p w14:paraId="67225D79" w14:textId="77777777" w:rsidR="00865AB1" w:rsidRPr="002D2F67" w:rsidRDefault="00865AB1" w:rsidP="005611FE">
            <w:pPr>
              <w:ind w:right="-72"/>
              <w:jc w:val="right"/>
              <w:rPr>
                <w:rFonts w:ascii="Arial" w:hAnsi="Arial" w:cs="Arial"/>
                <w:color w:val="000000"/>
                <w:sz w:val="12"/>
                <w:szCs w:val="12"/>
              </w:rPr>
            </w:pPr>
          </w:p>
        </w:tc>
      </w:tr>
      <w:tr w:rsidR="00865AB1" w:rsidRPr="002D2F67" w14:paraId="0E2C468C" w14:textId="77777777" w:rsidTr="005611FE">
        <w:tc>
          <w:tcPr>
            <w:tcW w:w="2542" w:type="pct"/>
            <w:shd w:val="clear" w:color="auto" w:fill="auto"/>
          </w:tcPr>
          <w:p w14:paraId="4D99F204" w14:textId="77777777" w:rsidR="00865AB1" w:rsidRPr="002D2F67" w:rsidRDefault="00865AB1" w:rsidP="005611FE">
            <w:pPr>
              <w:ind w:left="-101"/>
              <w:jc w:val="both"/>
              <w:rPr>
                <w:rFonts w:ascii="Arial" w:hAnsi="Arial" w:cs="Arial"/>
                <w:color w:val="000000"/>
                <w:sz w:val="20"/>
                <w:szCs w:val="20"/>
              </w:rPr>
            </w:pPr>
            <w:r w:rsidRPr="002D2F67">
              <w:rPr>
                <w:rFonts w:ascii="Arial" w:hAnsi="Arial" w:cs="Arial"/>
                <w:color w:val="000000"/>
                <w:sz w:val="20"/>
                <w:szCs w:val="20"/>
              </w:rPr>
              <w:t>Net book value</w:t>
            </w:r>
          </w:p>
        </w:tc>
        <w:tc>
          <w:tcPr>
            <w:tcW w:w="819" w:type="pct"/>
            <w:tcBorders>
              <w:bottom w:val="single" w:sz="4" w:space="0" w:color="auto"/>
            </w:tcBorders>
            <w:shd w:val="clear" w:color="auto" w:fill="auto"/>
            <w:vAlign w:val="bottom"/>
          </w:tcPr>
          <w:p w14:paraId="25E6751F" w14:textId="3318962A"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686</w:t>
            </w:r>
            <w:r w:rsidR="00865AB1" w:rsidRPr="002D2F67">
              <w:rPr>
                <w:rFonts w:ascii="Arial" w:hAnsi="Arial" w:cs="Arial"/>
                <w:color w:val="000000"/>
                <w:sz w:val="20"/>
                <w:szCs w:val="20"/>
              </w:rPr>
              <w:t>,</w:t>
            </w:r>
            <w:r w:rsidRPr="00CD5714">
              <w:rPr>
                <w:rFonts w:ascii="Arial" w:hAnsi="Arial" w:cs="Arial"/>
                <w:color w:val="000000"/>
                <w:sz w:val="20"/>
                <w:szCs w:val="20"/>
                <w:lang w:val="en-GB"/>
              </w:rPr>
              <w:t>268</w:t>
            </w:r>
          </w:p>
        </w:tc>
        <w:tc>
          <w:tcPr>
            <w:tcW w:w="819" w:type="pct"/>
            <w:tcBorders>
              <w:bottom w:val="single" w:sz="4" w:space="0" w:color="auto"/>
            </w:tcBorders>
            <w:shd w:val="clear" w:color="auto" w:fill="auto"/>
            <w:vAlign w:val="bottom"/>
          </w:tcPr>
          <w:p w14:paraId="1527EECC" w14:textId="4FC2B2B3"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25</w:t>
            </w:r>
            <w:r w:rsidR="00865AB1" w:rsidRPr="002D2F67">
              <w:rPr>
                <w:rFonts w:ascii="Arial" w:hAnsi="Arial" w:cs="Arial"/>
                <w:color w:val="000000"/>
                <w:sz w:val="20"/>
                <w:szCs w:val="20"/>
              </w:rPr>
              <w:t>,</w:t>
            </w:r>
            <w:r w:rsidRPr="00CD5714">
              <w:rPr>
                <w:rFonts w:ascii="Arial" w:hAnsi="Arial" w:cs="Arial"/>
                <w:color w:val="000000"/>
                <w:sz w:val="20"/>
                <w:szCs w:val="20"/>
                <w:lang w:val="en-GB"/>
              </w:rPr>
              <w:t>199</w:t>
            </w:r>
          </w:p>
        </w:tc>
        <w:tc>
          <w:tcPr>
            <w:tcW w:w="820" w:type="pct"/>
            <w:tcBorders>
              <w:bottom w:val="single" w:sz="4" w:space="0" w:color="auto"/>
            </w:tcBorders>
            <w:shd w:val="clear" w:color="auto" w:fill="auto"/>
            <w:vAlign w:val="bottom"/>
          </w:tcPr>
          <w:p w14:paraId="3800B4FE" w14:textId="715926F1"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711</w:t>
            </w:r>
            <w:r w:rsidR="00865AB1" w:rsidRPr="002D2F67">
              <w:rPr>
                <w:rFonts w:ascii="Arial" w:hAnsi="Arial" w:cs="Arial"/>
                <w:color w:val="000000"/>
                <w:sz w:val="20"/>
                <w:szCs w:val="20"/>
              </w:rPr>
              <w:t>,</w:t>
            </w:r>
            <w:r w:rsidRPr="00CD5714">
              <w:rPr>
                <w:rFonts w:ascii="Arial" w:hAnsi="Arial" w:cs="Arial"/>
                <w:color w:val="000000"/>
                <w:sz w:val="20"/>
                <w:szCs w:val="20"/>
                <w:lang w:val="en-GB"/>
              </w:rPr>
              <w:t>467</w:t>
            </w:r>
          </w:p>
        </w:tc>
      </w:tr>
      <w:tr w:rsidR="00865AB1" w:rsidRPr="002D2F67" w14:paraId="6A1B434D" w14:textId="77777777" w:rsidTr="00414E95">
        <w:tc>
          <w:tcPr>
            <w:tcW w:w="2542" w:type="pct"/>
            <w:shd w:val="clear" w:color="auto" w:fill="auto"/>
          </w:tcPr>
          <w:p w14:paraId="539B2D45" w14:textId="77777777" w:rsidR="00865AB1" w:rsidRPr="002D2F67" w:rsidRDefault="00865AB1" w:rsidP="005611FE">
            <w:pPr>
              <w:ind w:left="-101"/>
              <w:jc w:val="both"/>
              <w:rPr>
                <w:rFonts w:ascii="Arial" w:hAnsi="Arial" w:cs="Arial"/>
                <w:color w:val="000000"/>
                <w:sz w:val="12"/>
                <w:szCs w:val="12"/>
              </w:rPr>
            </w:pPr>
          </w:p>
        </w:tc>
        <w:tc>
          <w:tcPr>
            <w:tcW w:w="819" w:type="pct"/>
            <w:tcBorders>
              <w:top w:val="single" w:sz="4" w:space="0" w:color="auto"/>
            </w:tcBorders>
            <w:shd w:val="clear" w:color="auto" w:fill="auto"/>
            <w:vAlign w:val="bottom"/>
          </w:tcPr>
          <w:p w14:paraId="032483B1" w14:textId="77777777" w:rsidR="00865AB1" w:rsidRPr="002D2F67" w:rsidRDefault="00865AB1" w:rsidP="005611FE">
            <w:pPr>
              <w:ind w:right="-72"/>
              <w:jc w:val="right"/>
              <w:rPr>
                <w:rFonts w:ascii="Arial" w:hAnsi="Arial" w:cs="Arial"/>
                <w:color w:val="000000"/>
                <w:sz w:val="12"/>
                <w:szCs w:val="12"/>
                <w:cs/>
              </w:rPr>
            </w:pPr>
          </w:p>
        </w:tc>
        <w:tc>
          <w:tcPr>
            <w:tcW w:w="819" w:type="pct"/>
            <w:tcBorders>
              <w:top w:val="single" w:sz="4" w:space="0" w:color="auto"/>
            </w:tcBorders>
            <w:shd w:val="clear" w:color="auto" w:fill="auto"/>
            <w:vAlign w:val="bottom"/>
          </w:tcPr>
          <w:p w14:paraId="2ADCC5B0" w14:textId="77777777" w:rsidR="00865AB1" w:rsidRPr="002D2F67" w:rsidRDefault="00865AB1" w:rsidP="005611FE">
            <w:pPr>
              <w:ind w:right="-72"/>
              <w:jc w:val="right"/>
              <w:rPr>
                <w:rFonts w:ascii="Arial" w:hAnsi="Arial" w:cs="Arial"/>
                <w:color w:val="000000"/>
                <w:sz w:val="12"/>
                <w:szCs w:val="12"/>
              </w:rPr>
            </w:pPr>
          </w:p>
        </w:tc>
        <w:tc>
          <w:tcPr>
            <w:tcW w:w="820" w:type="pct"/>
            <w:tcBorders>
              <w:top w:val="single" w:sz="4" w:space="0" w:color="auto"/>
            </w:tcBorders>
            <w:shd w:val="clear" w:color="auto" w:fill="auto"/>
            <w:vAlign w:val="bottom"/>
          </w:tcPr>
          <w:p w14:paraId="7298C71B" w14:textId="77777777" w:rsidR="00865AB1" w:rsidRPr="002D2F67" w:rsidRDefault="00865AB1" w:rsidP="005611FE">
            <w:pPr>
              <w:ind w:right="-72"/>
              <w:jc w:val="right"/>
              <w:rPr>
                <w:rFonts w:ascii="Arial" w:hAnsi="Arial" w:cs="Arial"/>
                <w:color w:val="000000"/>
                <w:sz w:val="12"/>
                <w:szCs w:val="12"/>
              </w:rPr>
            </w:pPr>
          </w:p>
        </w:tc>
      </w:tr>
      <w:tr w:rsidR="00865AB1" w:rsidRPr="002D2F67" w14:paraId="21C0CD9C" w14:textId="77777777" w:rsidTr="005611FE">
        <w:tc>
          <w:tcPr>
            <w:tcW w:w="2542" w:type="pct"/>
            <w:shd w:val="clear" w:color="auto" w:fill="auto"/>
          </w:tcPr>
          <w:p w14:paraId="71E92557" w14:textId="39A7CF91" w:rsidR="00865AB1" w:rsidRPr="002D2F67" w:rsidRDefault="00865AB1" w:rsidP="005611FE">
            <w:pPr>
              <w:ind w:left="-101"/>
              <w:jc w:val="both"/>
              <w:rPr>
                <w:rFonts w:ascii="Arial" w:hAnsi="Arial" w:cs="Arial"/>
                <w:color w:val="000000"/>
                <w:sz w:val="20"/>
                <w:szCs w:val="20"/>
              </w:rPr>
            </w:pPr>
            <w:r w:rsidRPr="002D2F67">
              <w:rPr>
                <w:rFonts w:ascii="Arial" w:hAnsi="Arial" w:cs="Arial"/>
                <w:b/>
                <w:bCs/>
                <w:color w:val="000000"/>
                <w:sz w:val="20"/>
                <w:szCs w:val="20"/>
              </w:rPr>
              <w:t xml:space="preserve">For the year ended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 </w:t>
            </w:r>
            <w:r w:rsidR="00CD5714" w:rsidRPr="00CD5714">
              <w:rPr>
                <w:rFonts w:ascii="Arial" w:hAnsi="Arial" w:cs="Arial"/>
                <w:b/>
                <w:bCs/>
                <w:color w:val="000000"/>
                <w:sz w:val="20"/>
                <w:szCs w:val="20"/>
                <w:lang w:val="en-GB"/>
              </w:rPr>
              <w:t>2023</w:t>
            </w:r>
          </w:p>
        </w:tc>
        <w:tc>
          <w:tcPr>
            <w:tcW w:w="819" w:type="pct"/>
            <w:shd w:val="clear" w:color="auto" w:fill="auto"/>
            <w:vAlign w:val="bottom"/>
          </w:tcPr>
          <w:p w14:paraId="184A7065" w14:textId="77777777" w:rsidR="00865AB1" w:rsidRPr="002D2F67" w:rsidRDefault="00865AB1" w:rsidP="005611FE">
            <w:pPr>
              <w:ind w:right="-72"/>
              <w:jc w:val="right"/>
              <w:rPr>
                <w:rFonts w:ascii="Arial" w:hAnsi="Arial" w:cs="Arial"/>
                <w:color w:val="000000"/>
                <w:sz w:val="20"/>
                <w:szCs w:val="20"/>
              </w:rPr>
            </w:pPr>
          </w:p>
        </w:tc>
        <w:tc>
          <w:tcPr>
            <w:tcW w:w="819" w:type="pct"/>
            <w:shd w:val="clear" w:color="auto" w:fill="auto"/>
            <w:vAlign w:val="bottom"/>
          </w:tcPr>
          <w:p w14:paraId="7AC69AD8" w14:textId="77777777" w:rsidR="00865AB1" w:rsidRPr="002D2F67" w:rsidRDefault="00865AB1" w:rsidP="005611FE">
            <w:pPr>
              <w:ind w:right="-72"/>
              <w:jc w:val="right"/>
              <w:rPr>
                <w:rFonts w:ascii="Arial" w:hAnsi="Arial" w:cs="Arial"/>
                <w:color w:val="000000"/>
                <w:sz w:val="20"/>
                <w:szCs w:val="20"/>
              </w:rPr>
            </w:pPr>
          </w:p>
        </w:tc>
        <w:tc>
          <w:tcPr>
            <w:tcW w:w="820" w:type="pct"/>
            <w:shd w:val="clear" w:color="auto" w:fill="auto"/>
            <w:vAlign w:val="bottom"/>
          </w:tcPr>
          <w:p w14:paraId="302F4D9A" w14:textId="77777777" w:rsidR="00865AB1" w:rsidRPr="002D2F67" w:rsidRDefault="00865AB1" w:rsidP="005611FE">
            <w:pPr>
              <w:ind w:right="-72"/>
              <w:jc w:val="right"/>
              <w:rPr>
                <w:rFonts w:ascii="Arial" w:hAnsi="Arial" w:cs="Arial"/>
                <w:color w:val="000000"/>
                <w:sz w:val="20"/>
                <w:szCs w:val="20"/>
              </w:rPr>
            </w:pPr>
          </w:p>
        </w:tc>
      </w:tr>
      <w:tr w:rsidR="00865AB1" w:rsidRPr="002D2F67" w14:paraId="1419D26B" w14:textId="77777777" w:rsidTr="005611FE">
        <w:trPr>
          <w:trHeight w:val="66"/>
        </w:trPr>
        <w:tc>
          <w:tcPr>
            <w:tcW w:w="2542" w:type="pct"/>
            <w:shd w:val="clear" w:color="auto" w:fill="auto"/>
          </w:tcPr>
          <w:p w14:paraId="7C9CAA24" w14:textId="4FB19F07" w:rsidR="00865AB1" w:rsidRPr="002D2F67" w:rsidRDefault="00865AB1" w:rsidP="005611FE">
            <w:pPr>
              <w:ind w:left="-101"/>
              <w:jc w:val="both"/>
              <w:rPr>
                <w:rFonts w:ascii="Arial" w:hAnsi="Arial" w:cs="Arial"/>
                <w:color w:val="000000"/>
                <w:sz w:val="20"/>
                <w:szCs w:val="20"/>
              </w:rPr>
            </w:pPr>
            <w:r w:rsidRPr="002D2F67">
              <w:rPr>
                <w:rFonts w:ascii="Arial" w:hAnsi="Arial" w:cs="Arial"/>
                <w:color w:val="000000"/>
                <w:sz w:val="20"/>
                <w:szCs w:val="20"/>
              </w:rPr>
              <w:t>Opening net book value</w:t>
            </w:r>
          </w:p>
        </w:tc>
        <w:tc>
          <w:tcPr>
            <w:tcW w:w="819" w:type="pct"/>
            <w:shd w:val="clear" w:color="auto" w:fill="auto"/>
            <w:vAlign w:val="bottom"/>
          </w:tcPr>
          <w:p w14:paraId="21382A6E" w14:textId="0CD5A60F"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686</w:t>
            </w:r>
            <w:r w:rsidR="00865AB1" w:rsidRPr="002D2F67">
              <w:rPr>
                <w:rFonts w:ascii="Arial" w:hAnsi="Arial" w:cs="Arial"/>
                <w:color w:val="000000"/>
                <w:sz w:val="20"/>
                <w:szCs w:val="20"/>
              </w:rPr>
              <w:t>,</w:t>
            </w:r>
            <w:r w:rsidRPr="00CD5714">
              <w:rPr>
                <w:rFonts w:ascii="Arial" w:hAnsi="Arial" w:cs="Arial"/>
                <w:color w:val="000000"/>
                <w:sz w:val="20"/>
                <w:szCs w:val="20"/>
                <w:lang w:val="en-GB"/>
              </w:rPr>
              <w:t>268</w:t>
            </w:r>
          </w:p>
        </w:tc>
        <w:tc>
          <w:tcPr>
            <w:tcW w:w="819" w:type="pct"/>
            <w:shd w:val="clear" w:color="auto" w:fill="auto"/>
            <w:vAlign w:val="bottom"/>
          </w:tcPr>
          <w:p w14:paraId="02C0817A" w14:textId="45D7DA36"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25</w:t>
            </w:r>
            <w:r w:rsidR="00865AB1" w:rsidRPr="002D2F67">
              <w:rPr>
                <w:rFonts w:ascii="Arial" w:hAnsi="Arial" w:cs="Arial"/>
                <w:color w:val="000000"/>
                <w:sz w:val="20"/>
                <w:szCs w:val="20"/>
              </w:rPr>
              <w:t>,</w:t>
            </w:r>
            <w:r w:rsidRPr="00CD5714">
              <w:rPr>
                <w:rFonts w:ascii="Arial" w:hAnsi="Arial" w:cs="Arial"/>
                <w:color w:val="000000"/>
                <w:sz w:val="20"/>
                <w:szCs w:val="20"/>
                <w:lang w:val="en-GB"/>
              </w:rPr>
              <w:t>199</w:t>
            </w:r>
          </w:p>
        </w:tc>
        <w:tc>
          <w:tcPr>
            <w:tcW w:w="820" w:type="pct"/>
            <w:shd w:val="clear" w:color="auto" w:fill="auto"/>
            <w:vAlign w:val="bottom"/>
          </w:tcPr>
          <w:p w14:paraId="2E33CBAF" w14:textId="26533945"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711</w:t>
            </w:r>
            <w:r w:rsidR="00865AB1" w:rsidRPr="002D2F67">
              <w:rPr>
                <w:rFonts w:ascii="Arial" w:hAnsi="Arial" w:cs="Arial"/>
                <w:color w:val="000000"/>
                <w:sz w:val="20"/>
                <w:szCs w:val="20"/>
              </w:rPr>
              <w:t>,</w:t>
            </w:r>
            <w:r w:rsidRPr="00CD5714">
              <w:rPr>
                <w:rFonts w:ascii="Arial" w:hAnsi="Arial" w:cs="Arial"/>
                <w:color w:val="000000"/>
                <w:sz w:val="20"/>
                <w:szCs w:val="20"/>
                <w:lang w:val="en-GB"/>
              </w:rPr>
              <w:t>467</w:t>
            </w:r>
          </w:p>
        </w:tc>
      </w:tr>
      <w:tr w:rsidR="00865AB1" w:rsidRPr="002D2F67" w14:paraId="33694FAC" w14:textId="77777777" w:rsidTr="005611FE">
        <w:trPr>
          <w:trHeight w:val="66"/>
        </w:trPr>
        <w:tc>
          <w:tcPr>
            <w:tcW w:w="2542" w:type="pct"/>
            <w:shd w:val="clear" w:color="auto" w:fill="auto"/>
          </w:tcPr>
          <w:p w14:paraId="2DE0E7C9" w14:textId="4743E350" w:rsidR="00865AB1" w:rsidRPr="002D2F67" w:rsidRDefault="00865AB1" w:rsidP="005611FE">
            <w:pPr>
              <w:ind w:left="-101"/>
              <w:jc w:val="both"/>
              <w:rPr>
                <w:rFonts w:ascii="Arial" w:hAnsi="Arial" w:cs="Arial"/>
                <w:color w:val="000000"/>
                <w:spacing w:val="-4"/>
                <w:sz w:val="20"/>
                <w:szCs w:val="20"/>
              </w:rPr>
            </w:pPr>
            <w:r w:rsidRPr="002D2F67">
              <w:rPr>
                <w:rFonts w:ascii="Arial" w:hAnsi="Arial" w:cs="Arial"/>
                <w:color w:val="000000"/>
                <w:spacing w:val="-2"/>
                <w:sz w:val="20"/>
                <w:szCs w:val="20"/>
              </w:rPr>
              <w:t>Write off</w:t>
            </w:r>
          </w:p>
        </w:tc>
        <w:tc>
          <w:tcPr>
            <w:tcW w:w="819" w:type="pct"/>
            <w:shd w:val="clear" w:color="auto" w:fill="auto"/>
            <w:vAlign w:val="bottom"/>
          </w:tcPr>
          <w:p w14:paraId="2828D852" w14:textId="525BA44F" w:rsidR="00865AB1" w:rsidRPr="002D2F67" w:rsidRDefault="00865AB1"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w:t>
            </w:r>
            <w:r w:rsidRPr="002D2F67">
              <w:rPr>
                <w:rFonts w:ascii="Arial" w:hAnsi="Arial" w:cs="Arial"/>
                <w:color w:val="000000"/>
                <w:sz w:val="20"/>
                <w:szCs w:val="20"/>
              </w:rPr>
              <w:t>,</w:t>
            </w:r>
            <w:r w:rsidR="00CD5714" w:rsidRPr="00CD5714">
              <w:rPr>
                <w:rFonts w:ascii="Arial" w:hAnsi="Arial" w:cs="Arial"/>
                <w:color w:val="000000"/>
                <w:sz w:val="20"/>
                <w:szCs w:val="20"/>
                <w:lang w:val="en-GB"/>
              </w:rPr>
              <w:t>825</w:t>
            </w:r>
            <w:r w:rsidRPr="002D2F67">
              <w:rPr>
                <w:rFonts w:ascii="Arial" w:hAnsi="Arial" w:cs="Arial"/>
                <w:color w:val="000000"/>
                <w:sz w:val="20"/>
                <w:szCs w:val="20"/>
              </w:rPr>
              <w:t>)</w:t>
            </w:r>
          </w:p>
        </w:tc>
        <w:tc>
          <w:tcPr>
            <w:tcW w:w="819" w:type="pct"/>
            <w:shd w:val="clear" w:color="auto" w:fill="auto"/>
            <w:vAlign w:val="bottom"/>
          </w:tcPr>
          <w:p w14:paraId="41FF9483" w14:textId="69476675" w:rsidR="00865AB1" w:rsidRPr="002D2F67" w:rsidRDefault="00865AB1"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820" w:type="pct"/>
            <w:shd w:val="clear" w:color="auto" w:fill="auto"/>
            <w:vAlign w:val="bottom"/>
          </w:tcPr>
          <w:p w14:paraId="04F12D73" w14:textId="4E0FD379" w:rsidR="00865AB1" w:rsidRPr="002D2F67" w:rsidRDefault="00865AB1"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w:t>
            </w:r>
            <w:r w:rsidRPr="002D2F67">
              <w:rPr>
                <w:rFonts w:ascii="Arial" w:hAnsi="Arial" w:cs="Arial"/>
                <w:color w:val="000000"/>
                <w:sz w:val="20"/>
                <w:szCs w:val="20"/>
              </w:rPr>
              <w:t>,</w:t>
            </w:r>
            <w:r w:rsidR="00CD5714" w:rsidRPr="00CD5714">
              <w:rPr>
                <w:rFonts w:ascii="Arial" w:hAnsi="Arial" w:cs="Arial"/>
                <w:color w:val="000000"/>
                <w:sz w:val="20"/>
                <w:szCs w:val="20"/>
                <w:lang w:val="en-GB"/>
              </w:rPr>
              <w:t>825</w:t>
            </w:r>
            <w:r w:rsidRPr="002D2F67">
              <w:rPr>
                <w:rFonts w:ascii="Arial" w:hAnsi="Arial" w:cs="Arial"/>
                <w:color w:val="000000"/>
                <w:sz w:val="20"/>
                <w:szCs w:val="20"/>
              </w:rPr>
              <w:t>)</w:t>
            </w:r>
          </w:p>
        </w:tc>
      </w:tr>
      <w:tr w:rsidR="00865AB1" w:rsidRPr="002D2F67" w14:paraId="50B7DF6B" w14:textId="77777777" w:rsidTr="005611FE">
        <w:tc>
          <w:tcPr>
            <w:tcW w:w="2542" w:type="pct"/>
            <w:shd w:val="clear" w:color="auto" w:fill="auto"/>
          </w:tcPr>
          <w:p w14:paraId="3DAA152F" w14:textId="3A68753F" w:rsidR="00865AB1" w:rsidRPr="002D2F67" w:rsidRDefault="00865AB1" w:rsidP="005611FE">
            <w:pPr>
              <w:ind w:left="-101"/>
              <w:jc w:val="both"/>
              <w:rPr>
                <w:rFonts w:ascii="Arial" w:hAnsi="Arial" w:cs="Arial"/>
                <w:color w:val="000000"/>
                <w:sz w:val="20"/>
                <w:szCs w:val="20"/>
              </w:rPr>
            </w:pPr>
            <w:r w:rsidRPr="002D2F67">
              <w:rPr>
                <w:rFonts w:ascii="Arial" w:hAnsi="Arial" w:cs="Arial"/>
                <w:color w:val="000000"/>
                <w:sz w:val="20"/>
                <w:szCs w:val="20"/>
              </w:rPr>
              <w:t>Depreciation charged</w:t>
            </w:r>
          </w:p>
        </w:tc>
        <w:tc>
          <w:tcPr>
            <w:tcW w:w="819" w:type="pct"/>
            <w:tcBorders>
              <w:bottom w:val="single" w:sz="4" w:space="0" w:color="auto"/>
            </w:tcBorders>
            <w:shd w:val="clear" w:color="auto" w:fill="auto"/>
            <w:vAlign w:val="bottom"/>
          </w:tcPr>
          <w:p w14:paraId="40FB7C66" w14:textId="06381508" w:rsidR="00865AB1" w:rsidRPr="002D2F67" w:rsidRDefault="00865AB1"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819" w:type="pct"/>
            <w:tcBorders>
              <w:bottom w:val="single" w:sz="4" w:space="0" w:color="auto"/>
            </w:tcBorders>
            <w:shd w:val="clear" w:color="auto" w:fill="auto"/>
            <w:vAlign w:val="bottom"/>
          </w:tcPr>
          <w:p w14:paraId="0AE0241C" w14:textId="75A5B4FC" w:rsidR="00865AB1" w:rsidRPr="002D2F67" w:rsidRDefault="00865AB1"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2</w:t>
            </w:r>
            <w:r w:rsidRPr="002D2F67">
              <w:rPr>
                <w:rFonts w:ascii="Arial" w:hAnsi="Arial" w:cs="Arial"/>
                <w:color w:val="000000"/>
                <w:sz w:val="20"/>
                <w:szCs w:val="20"/>
              </w:rPr>
              <w:t>,</w:t>
            </w:r>
            <w:r w:rsidR="00CD5714" w:rsidRPr="00CD5714">
              <w:rPr>
                <w:rFonts w:ascii="Arial" w:hAnsi="Arial" w:cs="Arial"/>
                <w:color w:val="000000"/>
                <w:sz w:val="20"/>
                <w:szCs w:val="20"/>
                <w:lang w:val="en-GB"/>
              </w:rPr>
              <w:t>178</w:t>
            </w:r>
            <w:r w:rsidRPr="002D2F67">
              <w:rPr>
                <w:rFonts w:ascii="Arial" w:hAnsi="Arial" w:cs="Arial"/>
                <w:color w:val="000000"/>
                <w:sz w:val="20"/>
                <w:szCs w:val="20"/>
              </w:rPr>
              <w:t>)</w:t>
            </w:r>
          </w:p>
        </w:tc>
        <w:tc>
          <w:tcPr>
            <w:tcW w:w="820" w:type="pct"/>
            <w:tcBorders>
              <w:bottom w:val="single" w:sz="4" w:space="0" w:color="auto"/>
            </w:tcBorders>
            <w:shd w:val="clear" w:color="auto" w:fill="auto"/>
            <w:vAlign w:val="bottom"/>
          </w:tcPr>
          <w:p w14:paraId="53D5EB7C" w14:textId="04B91774" w:rsidR="00865AB1" w:rsidRPr="002D2F67" w:rsidRDefault="00865AB1"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2</w:t>
            </w:r>
            <w:r w:rsidRPr="002D2F67">
              <w:rPr>
                <w:rFonts w:ascii="Arial" w:hAnsi="Arial" w:cs="Arial"/>
                <w:color w:val="000000"/>
                <w:sz w:val="20"/>
                <w:szCs w:val="20"/>
              </w:rPr>
              <w:t>,</w:t>
            </w:r>
            <w:r w:rsidR="00CD5714" w:rsidRPr="00CD5714">
              <w:rPr>
                <w:rFonts w:ascii="Arial" w:hAnsi="Arial" w:cs="Arial"/>
                <w:color w:val="000000"/>
                <w:sz w:val="20"/>
                <w:szCs w:val="20"/>
                <w:lang w:val="en-GB"/>
              </w:rPr>
              <w:t>178</w:t>
            </w:r>
            <w:r w:rsidRPr="002D2F67">
              <w:rPr>
                <w:rFonts w:ascii="Arial" w:hAnsi="Arial" w:cs="Arial"/>
                <w:color w:val="000000"/>
                <w:sz w:val="20"/>
                <w:szCs w:val="20"/>
              </w:rPr>
              <w:t>)</w:t>
            </w:r>
          </w:p>
        </w:tc>
      </w:tr>
      <w:tr w:rsidR="00865AB1" w:rsidRPr="002D2F67" w14:paraId="537B6C43" w14:textId="77777777" w:rsidTr="005611FE">
        <w:tc>
          <w:tcPr>
            <w:tcW w:w="2542" w:type="pct"/>
            <w:shd w:val="clear" w:color="auto" w:fill="auto"/>
          </w:tcPr>
          <w:p w14:paraId="3902F0E0" w14:textId="77777777" w:rsidR="00865AB1" w:rsidRPr="002D2F67" w:rsidRDefault="00865AB1" w:rsidP="005611FE">
            <w:pPr>
              <w:ind w:left="-101"/>
              <w:rPr>
                <w:rFonts w:ascii="Arial" w:hAnsi="Arial" w:cs="Arial"/>
                <w:color w:val="000000"/>
                <w:sz w:val="12"/>
                <w:szCs w:val="12"/>
              </w:rPr>
            </w:pPr>
          </w:p>
        </w:tc>
        <w:tc>
          <w:tcPr>
            <w:tcW w:w="819" w:type="pct"/>
            <w:tcBorders>
              <w:top w:val="single" w:sz="4" w:space="0" w:color="auto"/>
            </w:tcBorders>
            <w:shd w:val="clear" w:color="auto" w:fill="auto"/>
            <w:vAlign w:val="bottom"/>
          </w:tcPr>
          <w:p w14:paraId="40DF9585" w14:textId="77777777" w:rsidR="00865AB1" w:rsidRPr="002D2F67" w:rsidRDefault="00865AB1" w:rsidP="005611FE">
            <w:pPr>
              <w:ind w:right="-72"/>
              <w:jc w:val="right"/>
              <w:rPr>
                <w:rFonts w:ascii="Arial" w:hAnsi="Arial" w:cs="Arial"/>
                <w:color w:val="000000"/>
                <w:sz w:val="12"/>
                <w:szCs w:val="12"/>
              </w:rPr>
            </w:pPr>
          </w:p>
        </w:tc>
        <w:tc>
          <w:tcPr>
            <w:tcW w:w="819" w:type="pct"/>
            <w:tcBorders>
              <w:top w:val="single" w:sz="4" w:space="0" w:color="auto"/>
            </w:tcBorders>
            <w:shd w:val="clear" w:color="auto" w:fill="auto"/>
            <w:vAlign w:val="bottom"/>
          </w:tcPr>
          <w:p w14:paraId="5C77E87B" w14:textId="77777777" w:rsidR="00865AB1" w:rsidRPr="002D2F67" w:rsidRDefault="00865AB1" w:rsidP="005611FE">
            <w:pPr>
              <w:ind w:right="-72"/>
              <w:jc w:val="right"/>
              <w:rPr>
                <w:rFonts w:ascii="Arial" w:hAnsi="Arial" w:cs="Arial"/>
                <w:color w:val="000000"/>
                <w:sz w:val="12"/>
                <w:szCs w:val="12"/>
              </w:rPr>
            </w:pPr>
          </w:p>
        </w:tc>
        <w:tc>
          <w:tcPr>
            <w:tcW w:w="820" w:type="pct"/>
            <w:tcBorders>
              <w:top w:val="single" w:sz="4" w:space="0" w:color="auto"/>
            </w:tcBorders>
            <w:shd w:val="clear" w:color="auto" w:fill="auto"/>
            <w:vAlign w:val="bottom"/>
          </w:tcPr>
          <w:p w14:paraId="7F1E965D" w14:textId="77777777" w:rsidR="00865AB1" w:rsidRPr="002D2F67" w:rsidRDefault="00865AB1" w:rsidP="005611FE">
            <w:pPr>
              <w:ind w:right="-72"/>
              <w:jc w:val="right"/>
              <w:rPr>
                <w:rFonts w:ascii="Arial" w:hAnsi="Arial" w:cs="Arial"/>
                <w:color w:val="000000"/>
                <w:sz w:val="12"/>
                <w:szCs w:val="12"/>
              </w:rPr>
            </w:pPr>
          </w:p>
        </w:tc>
      </w:tr>
      <w:tr w:rsidR="00865AB1" w:rsidRPr="002D2F67" w14:paraId="492C9161" w14:textId="77777777" w:rsidTr="005611FE">
        <w:tc>
          <w:tcPr>
            <w:tcW w:w="2542" w:type="pct"/>
            <w:shd w:val="clear" w:color="auto" w:fill="auto"/>
          </w:tcPr>
          <w:p w14:paraId="40F5378F" w14:textId="29861F4B" w:rsidR="00865AB1" w:rsidRPr="002D2F67" w:rsidRDefault="00865AB1" w:rsidP="005611FE">
            <w:pPr>
              <w:ind w:left="-101"/>
              <w:jc w:val="both"/>
              <w:rPr>
                <w:rFonts w:ascii="Arial" w:hAnsi="Arial" w:cs="Arial"/>
                <w:color w:val="000000"/>
                <w:sz w:val="20"/>
                <w:szCs w:val="20"/>
              </w:rPr>
            </w:pPr>
            <w:r w:rsidRPr="002D2F67">
              <w:rPr>
                <w:rFonts w:ascii="Arial" w:hAnsi="Arial" w:cs="Arial"/>
                <w:color w:val="000000"/>
                <w:sz w:val="20"/>
                <w:szCs w:val="20"/>
              </w:rPr>
              <w:t>Closing net book value</w:t>
            </w:r>
          </w:p>
        </w:tc>
        <w:tc>
          <w:tcPr>
            <w:tcW w:w="819" w:type="pct"/>
            <w:tcBorders>
              <w:bottom w:val="single" w:sz="4" w:space="0" w:color="auto"/>
            </w:tcBorders>
            <w:shd w:val="clear" w:color="auto" w:fill="auto"/>
            <w:vAlign w:val="bottom"/>
          </w:tcPr>
          <w:p w14:paraId="1A612E09" w14:textId="6E0B8B43"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684</w:t>
            </w:r>
            <w:r w:rsidR="00865AB1" w:rsidRPr="002D2F67">
              <w:rPr>
                <w:rFonts w:ascii="Arial" w:hAnsi="Arial" w:cs="Arial"/>
                <w:color w:val="000000"/>
                <w:sz w:val="20"/>
                <w:szCs w:val="20"/>
              </w:rPr>
              <w:t>,</w:t>
            </w:r>
            <w:r w:rsidRPr="00CD5714">
              <w:rPr>
                <w:rFonts w:ascii="Arial" w:hAnsi="Arial" w:cs="Arial"/>
                <w:color w:val="000000"/>
                <w:sz w:val="20"/>
                <w:szCs w:val="20"/>
                <w:lang w:val="en-GB"/>
              </w:rPr>
              <w:t>443</w:t>
            </w:r>
          </w:p>
        </w:tc>
        <w:tc>
          <w:tcPr>
            <w:tcW w:w="819" w:type="pct"/>
            <w:tcBorders>
              <w:bottom w:val="single" w:sz="4" w:space="0" w:color="auto"/>
            </w:tcBorders>
            <w:shd w:val="clear" w:color="auto" w:fill="auto"/>
            <w:vAlign w:val="bottom"/>
          </w:tcPr>
          <w:p w14:paraId="1D2FD4E1" w14:textId="7470A9EA"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23</w:t>
            </w:r>
            <w:r w:rsidR="00865AB1" w:rsidRPr="002D2F67">
              <w:rPr>
                <w:rFonts w:ascii="Arial" w:hAnsi="Arial" w:cs="Arial"/>
                <w:color w:val="000000"/>
                <w:sz w:val="20"/>
                <w:szCs w:val="20"/>
              </w:rPr>
              <w:t>,</w:t>
            </w:r>
            <w:r w:rsidRPr="00CD5714">
              <w:rPr>
                <w:rFonts w:ascii="Arial" w:hAnsi="Arial" w:cs="Arial"/>
                <w:color w:val="000000"/>
                <w:sz w:val="20"/>
                <w:szCs w:val="20"/>
                <w:lang w:val="en-GB"/>
              </w:rPr>
              <w:t>021</w:t>
            </w:r>
          </w:p>
        </w:tc>
        <w:tc>
          <w:tcPr>
            <w:tcW w:w="820" w:type="pct"/>
            <w:tcBorders>
              <w:bottom w:val="single" w:sz="4" w:space="0" w:color="auto"/>
            </w:tcBorders>
            <w:shd w:val="clear" w:color="auto" w:fill="auto"/>
            <w:vAlign w:val="bottom"/>
          </w:tcPr>
          <w:p w14:paraId="4F068BC3" w14:textId="51CE8F19"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707</w:t>
            </w:r>
            <w:r w:rsidR="00865AB1" w:rsidRPr="002D2F67">
              <w:rPr>
                <w:rFonts w:ascii="Arial" w:hAnsi="Arial" w:cs="Arial"/>
                <w:color w:val="000000"/>
                <w:sz w:val="20"/>
                <w:szCs w:val="20"/>
              </w:rPr>
              <w:t>,</w:t>
            </w:r>
            <w:r w:rsidRPr="00CD5714">
              <w:rPr>
                <w:rFonts w:ascii="Arial" w:hAnsi="Arial" w:cs="Arial"/>
                <w:color w:val="000000"/>
                <w:sz w:val="20"/>
                <w:szCs w:val="20"/>
                <w:lang w:val="en-GB"/>
              </w:rPr>
              <w:t>464</w:t>
            </w:r>
          </w:p>
        </w:tc>
      </w:tr>
      <w:tr w:rsidR="00865AB1" w:rsidRPr="002D2F67" w14:paraId="67458F76" w14:textId="77777777" w:rsidTr="005611FE">
        <w:tc>
          <w:tcPr>
            <w:tcW w:w="2542" w:type="pct"/>
            <w:shd w:val="clear" w:color="auto" w:fill="auto"/>
          </w:tcPr>
          <w:p w14:paraId="4DD21266" w14:textId="77777777" w:rsidR="00865AB1" w:rsidRPr="002D2F67" w:rsidRDefault="00865AB1" w:rsidP="005611FE">
            <w:pPr>
              <w:ind w:left="-101"/>
              <w:jc w:val="both"/>
              <w:rPr>
                <w:rFonts w:ascii="Arial" w:hAnsi="Arial" w:cs="Arial"/>
                <w:color w:val="000000"/>
                <w:sz w:val="12"/>
                <w:szCs w:val="12"/>
              </w:rPr>
            </w:pPr>
          </w:p>
        </w:tc>
        <w:tc>
          <w:tcPr>
            <w:tcW w:w="819" w:type="pct"/>
            <w:tcBorders>
              <w:top w:val="single" w:sz="4" w:space="0" w:color="auto"/>
            </w:tcBorders>
            <w:shd w:val="clear" w:color="auto" w:fill="auto"/>
            <w:vAlign w:val="bottom"/>
          </w:tcPr>
          <w:p w14:paraId="0F18BCEF" w14:textId="77777777" w:rsidR="00865AB1" w:rsidRPr="002D2F67" w:rsidRDefault="00865AB1" w:rsidP="005611FE">
            <w:pPr>
              <w:ind w:right="-72"/>
              <w:jc w:val="right"/>
              <w:rPr>
                <w:rFonts w:ascii="Arial" w:hAnsi="Arial" w:cs="Arial"/>
                <w:color w:val="000000"/>
                <w:sz w:val="12"/>
                <w:szCs w:val="12"/>
              </w:rPr>
            </w:pPr>
          </w:p>
        </w:tc>
        <w:tc>
          <w:tcPr>
            <w:tcW w:w="819" w:type="pct"/>
            <w:tcBorders>
              <w:top w:val="single" w:sz="4" w:space="0" w:color="auto"/>
            </w:tcBorders>
            <w:shd w:val="clear" w:color="auto" w:fill="auto"/>
            <w:vAlign w:val="bottom"/>
          </w:tcPr>
          <w:p w14:paraId="4314C330" w14:textId="77777777" w:rsidR="00865AB1" w:rsidRPr="002D2F67" w:rsidRDefault="00865AB1" w:rsidP="005611FE">
            <w:pPr>
              <w:ind w:right="-72"/>
              <w:jc w:val="right"/>
              <w:rPr>
                <w:rFonts w:ascii="Arial" w:hAnsi="Arial" w:cs="Arial"/>
                <w:color w:val="000000"/>
                <w:sz w:val="12"/>
                <w:szCs w:val="12"/>
              </w:rPr>
            </w:pPr>
          </w:p>
        </w:tc>
        <w:tc>
          <w:tcPr>
            <w:tcW w:w="820" w:type="pct"/>
            <w:tcBorders>
              <w:top w:val="single" w:sz="4" w:space="0" w:color="auto"/>
            </w:tcBorders>
            <w:shd w:val="clear" w:color="auto" w:fill="auto"/>
            <w:vAlign w:val="bottom"/>
          </w:tcPr>
          <w:p w14:paraId="0E90E248" w14:textId="77777777" w:rsidR="00865AB1" w:rsidRPr="002D2F67" w:rsidRDefault="00865AB1" w:rsidP="005611FE">
            <w:pPr>
              <w:ind w:right="-72"/>
              <w:jc w:val="right"/>
              <w:rPr>
                <w:rFonts w:ascii="Arial" w:hAnsi="Arial" w:cs="Arial"/>
                <w:color w:val="000000"/>
                <w:sz w:val="12"/>
                <w:szCs w:val="12"/>
              </w:rPr>
            </w:pPr>
          </w:p>
        </w:tc>
      </w:tr>
      <w:tr w:rsidR="00865AB1" w:rsidRPr="002D2F67" w14:paraId="5046E515" w14:textId="77777777" w:rsidTr="005611FE">
        <w:tc>
          <w:tcPr>
            <w:tcW w:w="2542" w:type="pct"/>
            <w:shd w:val="clear" w:color="auto" w:fill="auto"/>
          </w:tcPr>
          <w:p w14:paraId="540393F2" w14:textId="77777777" w:rsidR="00865AB1" w:rsidRPr="002D2F67" w:rsidRDefault="00865AB1" w:rsidP="005611FE">
            <w:pPr>
              <w:ind w:left="-101"/>
              <w:jc w:val="both"/>
              <w:rPr>
                <w:rFonts w:ascii="Arial" w:hAnsi="Arial" w:cs="Arial"/>
                <w:color w:val="000000"/>
                <w:sz w:val="12"/>
                <w:szCs w:val="12"/>
              </w:rPr>
            </w:pPr>
          </w:p>
        </w:tc>
        <w:tc>
          <w:tcPr>
            <w:tcW w:w="819" w:type="pct"/>
            <w:shd w:val="clear" w:color="auto" w:fill="auto"/>
            <w:vAlign w:val="bottom"/>
          </w:tcPr>
          <w:p w14:paraId="284F826F" w14:textId="77777777" w:rsidR="00865AB1" w:rsidRPr="002D2F67" w:rsidRDefault="00865AB1" w:rsidP="005611FE">
            <w:pPr>
              <w:ind w:right="-72"/>
              <w:jc w:val="right"/>
              <w:rPr>
                <w:rFonts w:ascii="Arial" w:hAnsi="Arial" w:cs="Arial"/>
                <w:color w:val="000000"/>
                <w:sz w:val="12"/>
                <w:szCs w:val="12"/>
              </w:rPr>
            </w:pPr>
          </w:p>
        </w:tc>
        <w:tc>
          <w:tcPr>
            <w:tcW w:w="819" w:type="pct"/>
            <w:shd w:val="clear" w:color="auto" w:fill="auto"/>
            <w:vAlign w:val="bottom"/>
          </w:tcPr>
          <w:p w14:paraId="0D4B95CC" w14:textId="77777777" w:rsidR="00865AB1" w:rsidRPr="002D2F67" w:rsidRDefault="00865AB1" w:rsidP="005611FE">
            <w:pPr>
              <w:ind w:right="-72"/>
              <w:jc w:val="right"/>
              <w:rPr>
                <w:rFonts w:ascii="Arial" w:hAnsi="Arial" w:cs="Arial"/>
                <w:color w:val="000000"/>
                <w:sz w:val="12"/>
                <w:szCs w:val="12"/>
              </w:rPr>
            </w:pPr>
          </w:p>
        </w:tc>
        <w:tc>
          <w:tcPr>
            <w:tcW w:w="820" w:type="pct"/>
            <w:shd w:val="clear" w:color="auto" w:fill="auto"/>
            <w:vAlign w:val="bottom"/>
          </w:tcPr>
          <w:p w14:paraId="27BE72CD" w14:textId="77777777" w:rsidR="00865AB1" w:rsidRPr="002D2F67" w:rsidRDefault="00865AB1" w:rsidP="005611FE">
            <w:pPr>
              <w:ind w:right="-72"/>
              <w:jc w:val="right"/>
              <w:rPr>
                <w:rFonts w:ascii="Arial" w:hAnsi="Arial" w:cs="Arial"/>
                <w:color w:val="000000"/>
                <w:sz w:val="12"/>
                <w:szCs w:val="12"/>
              </w:rPr>
            </w:pPr>
          </w:p>
        </w:tc>
      </w:tr>
      <w:tr w:rsidR="00865AB1" w:rsidRPr="002D2F67" w14:paraId="72B5D12D" w14:textId="77777777" w:rsidTr="005611FE">
        <w:tc>
          <w:tcPr>
            <w:tcW w:w="2542" w:type="pct"/>
            <w:shd w:val="clear" w:color="auto" w:fill="auto"/>
          </w:tcPr>
          <w:p w14:paraId="729DA19E" w14:textId="15A795E0" w:rsidR="00865AB1" w:rsidRPr="002D2F67" w:rsidRDefault="00865AB1" w:rsidP="005611FE">
            <w:pPr>
              <w:ind w:left="-101"/>
              <w:rPr>
                <w:rFonts w:ascii="Arial" w:hAnsi="Arial" w:cs="Arial"/>
                <w:color w:val="000000"/>
                <w:sz w:val="20"/>
                <w:szCs w:val="20"/>
              </w:rPr>
            </w:pPr>
            <w:r w:rsidRPr="002D2F67">
              <w:rPr>
                <w:rFonts w:ascii="Arial" w:hAnsi="Arial" w:cs="Arial"/>
                <w:b/>
                <w:bCs/>
                <w:color w:val="000000"/>
                <w:sz w:val="20"/>
                <w:szCs w:val="20"/>
              </w:rPr>
              <w:t xml:space="preserve">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 </w:t>
            </w:r>
            <w:r w:rsidR="00CD5714" w:rsidRPr="00CD5714">
              <w:rPr>
                <w:rFonts w:ascii="Arial" w:hAnsi="Arial" w:cs="Arial"/>
                <w:b/>
                <w:bCs/>
                <w:color w:val="000000"/>
                <w:sz w:val="20"/>
                <w:szCs w:val="20"/>
                <w:lang w:val="en-GB"/>
              </w:rPr>
              <w:t>2023</w:t>
            </w:r>
          </w:p>
        </w:tc>
        <w:tc>
          <w:tcPr>
            <w:tcW w:w="819" w:type="pct"/>
            <w:shd w:val="clear" w:color="auto" w:fill="auto"/>
            <w:vAlign w:val="bottom"/>
          </w:tcPr>
          <w:p w14:paraId="244E1EFD" w14:textId="77777777" w:rsidR="00865AB1" w:rsidRPr="002D2F67" w:rsidRDefault="00865AB1" w:rsidP="005611FE">
            <w:pPr>
              <w:ind w:right="-72"/>
              <w:jc w:val="right"/>
              <w:rPr>
                <w:rFonts w:ascii="Arial" w:hAnsi="Arial" w:cs="Arial"/>
                <w:color w:val="000000"/>
                <w:sz w:val="20"/>
                <w:szCs w:val="20"/>
              </w:rPr>
            </w:pPr>
          </w:p>
        </w:tc>
        <w:tc>
          <w:tcPr>
            <w:tcW w:w="819" w:type="pct"/>
            <w:shd w:val="clear" w:color="auto" w:fill="auto"/>
            <w:vAlign w:val="bottom"/>
          </w:tcPr>
          <w:p w14:paraId="64079BA9" w14:textId="77777777" w:rsidR="00865AB1" w:rsidRPr="002D2F67" w:rsidRDefault="00865AB1" w:rsidP="005611FE">
            <w:pPr>
              <w:ind w:right="-72"/>
              <w:jc w:val="right"/>
              <w:rPr>
                <w:rFonts w:ascii="Arial" w:hAnsi="Arial" w:cs="Arial"/>
                <w:color w:val="000000"/>
                <w:sz w:val="20"/>
                <w:szCs w:val="20"/>
              </w:rPr>
            </w:pPr>
          </w:p>
        </w:tc>
        <w:tc>
          <w:tcPr>
            <w:tcW w:w="820" w:type="pct"/>
            <w:shd w:val="clear" w:color="auto" w:fill="auto"/>
            <w:vAlign w:val="bottom"/>
          </w:tcPr>
          <w:p w14:paraId="12EB94BD" w14:textId="77777777" w:rsidR="00865AB1" w:rsidRPr="002D2F67" w:rsidRDefault="00865AB1" w:rsidP="005611FE">
            <w:pPr>
              <w:ind w:right="-72"/>
              <w:jc w:val="right"/>
              <w:rPr>
                <w:rFonts w:ascii="Arial" w:hAnsi="Arial" w:cs="Arial"/>
                <w:color w:val="000000"/>
                <w:sz w:val="20"/>
                <w:szCs w:val="20"/>
              </w:rPr>
            </w:pPr>
          </w:p>
        </w:tc>
      </w:tr>
      <w:tr w:rsidR="00865AB1" w:rsidRPr="002D2F67" w14:paraId="6C705C9C" w14:textId="77777777" w:rsidTr="005611FE">
        <w:tc>
          <w:tcPr>
            <w:tcW w:w="2542" w:type="pct"/>
            <w:shd w:val="clear" w:color="auto" w:fill="auto"/>
          </w:tcPr>
          <w:p w14:paraId="4426A63B" w14:textId="77777777" w:rsidR="00865AB1" w:rsidRPr="002D2F67" w:rsidRDefault="00865AB1" w:rsidP="005611FE">
            <w:pPr>
              <w:ind w:left="-101"/>
              <w:jc w:val="both"/>
              <w:rPr>
                <w:rFonts w:ascii="Arial" w:hAnsi="Arial" w:cs="Arial"/>
                <w:color w:val="000000"/>
                <w:sz w:val="20"/>
                <w:szCs w:val="20"/>
              </w:rPr>
            </w:pPr>
            <w:r w:rsidRPr="002D2F67">
              <w:rPr>
                <w:rFonts w:ascii="Arial" w:hAnsi="Arial" w:cs="Arial"/>
                <w:color w:val="000000"/>
                <w:sz w:val="20"/>
                <w:szCs w:val="20"/>
              </w:rPr>
              <w:t>Cost</w:t>
            </w:r>
          </w:p>
        </w:tc>
        <w:tc>
          <w:tcPr>
            <w:tcW w:w="819" w:type="pct"/>
            <w:shd w:val="clear" w:color="auto" w:fill="auto"/>
            <w:vAlign w:val="bottom"/>
          </w:tcPr>
          <w:p w14:paraId="19C3FB14" w14:textId="7C41928E" w:rsidR="00865AB1"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684</w:t>
            </w:r>
            <w:r w:rsidR="00865AB1" w:rsidRPr="002D2F67">
              <w:rPr>
                <w:rFonts w:ascii="Arial" w:hAnsi="Arial" w:cs="Arial"/>
                <w:color w:val="000000"/>
                <w:sz w:val="20"/>
                <w:szCs w:val="20"/>
              </w:rPr>
              <w:t>,</w:t>
            </w:r>
            <w:r w:rsidRPr="00CD5714">
              <w:rPr>
                <w:rFonts w:ascii="Arial" w:hAnsi="Arial" w:cs="Arial"/>
                <w:color w:val="000000"/>
                <w:sz w:val="20"/>
                <w:szCs w:val="20"/>
                <w:lang w:val="en-GB"/>
              </w:rPr>
              <w:t>443</w:t>
            </w:r>
          </w:p>
        </w:tc>
        <w:tc>
          <w:tcPr>
            <w:tcW w:w="819" w:type="pct"/>
            <w:shd w:val="clear" w:color="auto" w:fill="auto"/>
            <w:vAlign w:val="bottom"/>
          </w:tcPr>
          <w:p w14:paraId="0E83F959" w14:textId="726EAFB6" w:rsidR="00865AB1"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43</w:t>
            </w:r>
            <w:r w:rsidR="00865AB1" w:rsidRPr="002D2F67">
              <w:rPr>
                <w:rFonts w:ascii="Arial" w:hAnsi="Arial" w:cs="Arial"/>
                <w:color w:val="000000"/>
                <w:sz w:val="20"/>
                <w:szCs w:val="20"/>
              </w:rPr>
              <w:t>,</w:t>
            </w:r>
            <w:r w:rsidRPr="00CD5714">
              <w:rPr>
                <w:rFonts w:ascii="Arial" w:hAnsi="Arial" w:cs="Arial"/>
                <w:color w:val="000000"/>
                <w:sz w:val="20"/>
                <w:szCs w:val="20"/>
                <w:lang w:val="en-GB"/>
              </w:rPr>
              <w:t>158</w:t>
            </w:r>
          </w:p>
        </w:tc>
        <w:tc>
          <w:tcPr>
            <w:tcW w:w="820" w:type="pct"/>
            <w:shd w:val="clear" w:color="auto" w:fill="auto"/>
            <w:vAlign w:val="bottom"/>
          </w:tcPr>
          <w:p w14:paraId="78017EF4" w14:textId="5CDF316B" w:rsidR="00865AB1"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727</w:t>
            </w:r>
            <w:r w:rsidR="00865AB1" w:rsidRPr="002D2F67">
              <w:rPr>
                <w:rFonts w:ascii="Arial" w:hAnsi="Arial" w:cs="Arial"/>
                <w:color w:val="000000"/>
                <w:sz w:val="20"/>
                <w:szCs w:val="20"/>
              </w:rPr>
              <w:t>,</w:t>
            </w:r>
            <w:r w:rsidRPr="00CD5714">
              <w:rPr>
                <w:rFonts w:ascii="Arial" w:hAnsi="Arial" w:cs="Arial"/>
                <w:color w:val="000000"/>
                <w:sz w:val="20"/>
                <w:szCs w:val="20"/>
                <w:lang w:val="en-GB"/>
              </w:rPr>
              <w:t>601</w:t>
            </w:r>
          </w:p>
        </w:tc>
      </w:tr>
      <w:tr w:rsidR="00865AB1" w:rsidRPr="002D2F67" w14:paraId="6A016AF8" w14:textId="77777777" w:rsidTr="005611FE">
        <w:tc>
          <w:tcPr>
            <w:tcW w:w="2542" w:type="pct"/>
            <w:shd w:val="clear" w:color="auto" w:fill="auto"/>
          </w:tcPr>
          <w:p w14:paraId="2D9DC42F" w14:textId="59D50EA4" w:rsidR="00865AB1" w:rsidRPr="002D2F67" w:rsidRDefault="00865AB1" w:rsidP="005611FE">
            <w:pPr>
              <w:ind w:left="-101"/>
              <w:jc w:val="both"/>
              <w:rPr>
                <w:rFonts w:ascii="Arial" w:hAnsi="Arial" w:cs="Arial"/>
                <w:color w:val="000000"/>
                <w:sz w:val="20"/>
                <w:szCs w:val="20"/>
              </w:rPr>
            </w:pPr>
            <w:r w:rsidRPr="002D2F67">
              <w:rPr>
                <w:rFonts w:ascii="Arial" w:hAnsi="Arial" w:cs="Arial"/>
                <w:color w:val="000000"/>
                <w:sz w:val="20"/>
                <w:szCs w:val="20"/>
                <w:u w:val="single"/>
              </w:rPr>
              <w:t>Less</w:t>
            </w:r>
            <w:r w:rsidRPr="002D2F67">
              <w:rPr>
                <w:rFonts w:ascii="Arial" w:hAnsi="Arial" w:cs="Arial"/>
                <w:color w:val="000000"/>
                <w:sz w:val="20"/>
                <w:szCs w:val="20"/>
              </w:rPr>
              <w:t xml:space="preserve">  Accumulated depreciation</w:t>
            </w:r>
          </w:p>
        </w:tc>
        <w:tc>
          <w:tcPr>
            <w:tcW w:w="819" w:type="pct"/>
            <w:tcBorders>
              <w:bottom w:val="single" w:sz="4" w:space="0" w:color="auto"/>
            </w:tcBorders>
            <w:shd w:val="clear" w:color="auto" w:fill="auto"/>
          </w:tcPr>
          <w:p w14:paraId="187C0E20" w14:textId="55B42D5A" w:rsidR="00865AB1" w:rsidRPr="002D2F67" w:rsidRDefault="00865AB1" w:rsidP="005611FE">
            <w:pPr>
              <w:tabs>
                <w:tab w:val="left" w:pos="6840"/>
              </w:tabs>
              <w:ind w:right="-72"/>
              <w:jc w:val="right"/>
              <w:rPr>
                <w:rFonts w:ascii="Arial" w:hAnsi="Arial" w:cs="Arial"/>
                <w:color w:val="000000"/>
                <w:sz w:val="20"/>
                <w:szCs w:val="20"/>
              </w:rPr>
            </w:pPr>
            <w:r w:rsidRPr="002D2F67">
              <w:rPr>
                <w:rFonts w:ascii="Arial" w:hAnsi="Arial" w:cs="Arial"/>
                <w:color w:val="000000"/>
                <w:sz w:val="20"/>
                <w:szCs w:val="20"/>
              </w:rPr>
              <w:t>-</w:t>
            </w:r>
          </w:p>
        </w:tc>
        <w:tc>
          <w:tcPr>
            <w:tcW w:w="819" w:type="pct"/>
            <w:tcBorders>
              <w:bottom w:val="single" w:sz="4" w:space="0" w:color="auto"/>
            </w:tcBorders>
            <w:shd w:val="clear" w:color="auto" w:fill="auto"/>
          </w:tcPr>
          <w:p w14:paraId="6A36AD4D" w14:textId="047672ED" w:rsidR="00865AB1" w:rsidRPr="002D2F67" w:rsidRDefault="00865AB1" w:rsidP="005611FE">
            <w:pPr>
              <w:tabs>
                <w:tab w:val="left" w:pos="6840"/>
              </w:tabs>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20</w:t>
            </w:r>
            <w:r w:rsidRPr="002D2F67">
              <w:rPr>
                <w:rFonts w:ascii="Arial" w:hAnsi="Arial" w:cs="Arial"/>
                <w:color w:val="000000"/>
                <w:sz w:val="20"/>
                <w:szCs w:val="20"/>
              </w:rPr>
              <w:t>,</w:t>
            </w:r>
            <w:r w:rsidR="00CD5714" w:rsidRPr="00CD5714">
              <w:rPr>
                <w:rFonts w:ascii="Arial" w:hAnsi="Arial" w:cs="Arial"/>
                <w:color w:val="000000"/>
                <w:sz w:val="20"/>
                <w:szCs w:val="20"/>
                <w:lang w:val="en-GB"/>
              </w:rPr>
              <w:t>137</w:t>
            </w:r>
            <w:r w:rsidRPr="002D2F67">
              <w:rPr>
                <w:rFonts w:ascii="Arial" w:hAnsi="Arial" w:cs="Arial"/>
                <w:color w:val="000000"/>
                <w:sz w:val="20"/>
                <w:szCs w:val="20"/>
              </w:rPr>
              <w:t>)</w:t>
            </w:r>
          </w:p>
        </w:tc>
        <w:tc>
          <w:tcPr>
            <w:tcW w:w="820" w:type="pct"/>
            <w:tcBorders>
              <w:bottom w:val="single" w:sz="4" w:space="0" w:color="auto"/>
            </w:tcBorders>
            <w:shd w:val="clear" w:color="auto" w:fill="auto"/>
          </w:tcPr>
          <w:p w14:paraId="4EA34E58" w14:textId="2298F17E" w:rsidR="00865AB1" w:rsidRPr="002D2F67" w:rsidRDefault="00865AB1" w:rsidP="005611FE">
            <w:pPr>
              <w:tabs>
                <w:tab w:val="left" w:pos="6840"/>
              </w:tabs>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20</w:t>
            </w:r>
            <w:r w:rsidRPr="002D2F67">
              <w:rPr>
                <w:rFonts w:ascii="Arial" w:hAnsi="Arial" w:cs="Arial"/>
                <w:color w:val="000000"/>
                <w:sz w:val="20"/>
                <w:szCs w:val="20"/>
              </w:rPr>
              <w:t>,</w:t>
            </w:r>
            <w:r w:rsidR="00CD5714" w:rsidRPr="00CD5714">
              <w:rPr>
                <w:rFonts w:ascii="Arial" w:hAnsi="Arial" w:cs="Arial"/>
                <w:color w:val="000000"/>
                <w:sz w:val="20"/>
                <w:szCs w:val="20"/>
                <w:lang w:val="en-GB"/>
              </w:rPr>
              <w:t>137</w:t>
            </w:r>
            <w:r w:rsidRPr="002D2F67">
              <w:rPr>
                <w:rFonts w:ascii="Arial" w:hAnsi="Arial" w:cs="Arial"/>
                <w:color w:val="000000"/>
                <w:sz w:val="20"/>
                <w:szCs w:val="20"/>
              </w:rPr>
              <w:t>)</w:t>
            </w:r>
          </w:p>
        </w:tc>
      </w:tr>
      <w:tr w:rsidR="00865AB1" w:rsidRPr="002D2F67" w14:paraId="54349CB3" w14:textId="77777777" w:rsidTr="005611FE">
        <w:tc>
          <w:tcPr>
            <w:tcW w:w="2542" w:type="pct"/>
            <w:shd w:val="clear" w:color="auto" w:fill="auto"/>
          </w:tcPr>
          <w:p w14:paraId="5371A69A" w14:textId="77777777" w:rsidR="00865AB1" w:rsidRPr="002D2F67" w:rsidRDefault="00865AB1" w:rsidP="005611FE">
            <w:pPr>
              <w:ind w:left="-101"/>
              <w:rPr>
                <w:rFonts w:ascii="Arial" w:hAnsi="Arial" w:cs="Arial"/>
                <w:color w:val="000000"/>
                <w:sz w:val="12"/>
                <w:szCs w:val="12"/>
              </w:rPr>
            </w:pPr>
          </w:p>
        </w:tc>
        <w:tc>
          <w:tcPr>
            <w:tcW w:w="819" w:type="pct"/>
            <w:tcBorders>
              <w:top w:val="single" w:sz="4" w:space="0" w:color="auto"/>
            </w:tcBorders>
            <w:shd w:val="clear" w:color="auto" w:fill="auto"/>
            <w:vAlign w:val="bottom"/>
          </w:tcPr>
          <w:p w14:paraId="4A113B1C" w14:textId="77777777" w:rsidR="00865AB1" w:rsidRPr="002D2F67" w:rsidRDefault="00865AB1" w:rsidP="005611FE">
            <w:pPr>
              <w:ind w:right="-72"/>
              <w:jc w:val="right"/>
              <w:rPr>
                <w:rFonts w:ascii="Arial" w:hAnsi="Arial" w:cs="Arial"/>
                <w:color w:val="000000"/>
                <w:sz w:val="12"/>
                <w:szCs w:val="12"/>
              </w:rPr>
            </w:pPr>
          </w:p>
        </w:tc>
        <w:tc>
          <w:tcPr>
            <w:tcW w:w="819" w:type="pct"/>
            <w:tcBorders>
              <w:top w:val="single" w:sz="4" w:space="0" w:color="auto"/>
            </w:tcBorders>
            <w:shd w:val="clear" w:color="auto" w:fill="auto"/>
            <w:vAlign w:val="bottom"/>
          </w:tcPr>
          <w:p w14:paraId="121580DC" w14:textId="77777777" w:rsidR="00865AB1" w:rsidRPr="002D2F67" w:rsidRDefault="00865AB1" w:rsidP="005611FE">
            <w:pPr>
              <w:ind w:right="-72"/>
              <w:jc w:val="right"/>
              <w:rPr>
                <w:rFonts w:ascii="Arial" w:hAnsi="Arial" w:cs="Arial"/>
                <w:color w:val="000000"/>
                <w:sz w:val="12"/>
                <w:szCs w:val="12"/>
              </w:rPr>
            </w:pPr>
          </w:p>
        </w:tc>
        <w:tc>
          <w:tcPr>
            <w:tcW w:w="820" w:type="pct"/>
            <w:tcBorders>
              <w:top w:val="single" w:sz="4" w:space="0" w:color="auto"/>
            </w:tcBorders>
            <w:shd w:val="clear" w:color="auto" w:fill="auto"/>
            <w:vAlign w:val="bottom"/>
          </w:tcPr>
          <w:p w14:paraId="5DFD29AC" w14:textId="77777777" w:rsidR="00865AB1" w:rsidRPr="002D2F67" w:rsidRDefault="00865AB1" w:rsidP="005611FE">
            <w:pPr>
              <w:ind w:right="-72"/>
              <w:jc w:val="right"/>
              <w:rPr>
                <w:rFonts w:ascii="Arial" w:hAnsi="Arial" w:cs="Arial"/>
                <w:color w:val="000000"/>
                <w:sz w:val="12"/>
                <w:szCs w:val="12"/>
              </w:rPr>
            </w:pPr>
          </w:p>
        </w:tc>
      </w:tr>
      <w:tr w:rsidR="00865AB1" w:rsidRPr="002D2F67" w14:paraId="53A7ADDE" w14:textId="77777777" w:rsidTr="005611FE">
        <w:tc>
          <w:tcPr>
            <w:tcW w:w="2542" w:type="pct"/>
            <w:shd w:val="clear" w:color="auto" w:fill="auto"/>
          </w:tcPr>
          <w:p w14:paraId="016C6A7B" w14:textId="77777777" w:rsidR="00865AB1" w:rsidRPr="002D2F67" w:rsidRDefault="00865AB1" w:rsidP="005611FE">
            <w:pPr>
              <w:ind w:left="-101"/>
              <w:jc w:val="both"/>
              <w:rPr>
                <w:rFonts w:ascii="Arial" w:hAnsi="Arial" w:cs="Arial"/>
                <w:color w:val="000000"/>
                <w:sz w:val="20"/>
                <w:szCs w:val="20"/>
              </w:rPr>
            </w:pPr>
            <w:r w:rsidRPr="002D2F67">
              <w:rPr>
                <w:rFonts w:ascii="Arial" w:hAnsi="Arial" w:cs="Arial"/>
                <w:color w:val="000000"/>
                <w:sz w:val="20"/>
                <w:szCs w:val="20"/>
              </w:rPr>
              <w:t>Net book value</w:t>
            </w:r>
          </w:p>
        </w:tc>
        <w:tc>
          <w:tcPr>
            <w:tcW w:w="819" w:type="pct"/>
            <w:tcBorders>
              <w:bottom w:val="single" w:sz="4" w:space="0" w:color="auto"/>
            </w:tcBorders>
            <w:shd w:val="clear" w:color="auto" w:fill="auto"/>
            <w:vAlign w:val="bottom"/>
          </w:tcPr>
          <w:p w14:paraId="373D8FEE" w14:textId="13BA763B"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684</w:t>
            </w:r>
            <w:r w:rsidR="00865AB1" w:rsidRPr="002D2F67">
              <w:rPr>
                <w:rFonts w:ascii="Arial" w:hAnsi="Arial" w:cs="Arial"/>
                <w:color w:val="000000"/>
                <w:sz w:val="20"/>
                <w:szCs w:val="20"/>
              </w:rPr>
              <w:t>,</w:t>
            </w:r>
            <w:r w:rsidRPr="00CD5714">
              <w:rPr>
                <w:rFonts w:ascii="Arial" w:hAnsi="Arial" w:cs="Arial"/>
                <w:color w:val="000000"/>
                <w:sz w:val="20"/>
                <w:szCs w:val="20"/>
                <w:lang w:val="en-GB"/>
              </w:rPr>
              <w:t>443</w:t>
            </w:r>
          </w:p>
        </w:tc>
        <w:tc>
          <w:tcPr>
            <w:tcW w:w="819" w:type="pct"/>
            <w:tcBorders>
              <w:bottom w:val="single" w:sz="4" w:space="0" w:color="auto"/>
            </w:tcBorders>
            <w:shd w:val="clear" w:color="auto" w:fill="auto"/>
            <w:vAlign w:val="bottom"/>
          </w:tcPr>
          <w:p w14:paraId="4FC76D7C" w14:textId="5A8055F0"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23</w:t>
            </w:r>
            <w:r w:rsidR="00865AB1" w:rsidRPr="002D2F67">
              <w:rPr>
                <w:rFonts w:ascii="Arial" w:hAnsi="Arial" w:cs="Arial"/>
                <w:color w:val="000000"/>
                <w:sz w:val="20"/>
                <w:szCs w:val="20"/>
              </w:rPr>
              <w:t>,</w:t>
            </w:r>
            <w:r w:rsidRPr="00CD5714">
              <w:rPr>
                <w:rFonts w:ascii="Arial" w:hAnsi="Arial" w:cs="Arial"/>
                <w:color w:val="000000"/>
                <w:sz w:val="20"/>
                <w:szCs w:val="20"/>
                <w:lang w:val="en-GB"/>
              </w:rPr>
              <w:t>021</w:t>
            </w:r>
          </w:p>
        </w:tc>
        <w:tc>
          <w:tcPr>
            <w:tcW w:w="820" w:type="pct"/>
            <w:tcBorders>
              <w:bottom w:val="single" w:sz="4" w:space="0" w:color="auto"/>
            </w:tcBorders>
            <w:shd w:val="clear" w:color="auto" w:fill="auto"/>
            <w:vAlign w:val="bottom"/>
          </w:tcPr>
          <w:p w14:paraId="30C0130D" w14:textId="7C3B15ED" w:rsidR="00865AB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707</w:t>
            </w:r>
            <w:r w:rsidR="00865AB1" w:rsidRPr="002D2F67">
              <w:rPr>
                <w:rFonts w:ascii="Arial" w:hAnsi="Arial" w:cs="Arial"/>
                <w:color w:val="000000"/>
                <w:sz w:val="20"/>
                <w:szCs w:val="20"/>
              </w:rPr>
              <w:t>,</w:t>
            </w:r>
            <w:r w:rsidRPr="00CD5714">
              <w:rPr>
                <w:rFonts w:ascii="Arial" w:hAnsi="Arial" w:cs="Arial"/>
                <w:color w:val="000000"/>
                <w:sz w:val="20"/>
                <w:szCs w:val="20"/>
                <w:lang w:val="en-GB"/>
              </w:rPr>
              <w:t>464</w:t>
            </w:r>
          </w:p>
        </w:tc>
      </w:tr>
      <w:tr w:rsidR="00865AB1" w:rsidRPr="002D2F67" w14:paraId="4FBB7D69" w14:textId="77777777" w:rsidTr="005611FE">
        <w:trPr>
          <w:trHeight w:val="75"/>
        </w:trPr>
        <w:tc>
          <w:tcPr>
            <w:tcW w:w="2542" w:type="pct"/>
            <w:shd w:val="clear" w:color="auto" w:fill="auto"/>
          </w:tcPr>
          <w:p w14:paraId="362B530D" w14:textId="77777777" w:rsidR="00865AB1" w:rsidRPr="002D2F67" w:rsidRDefault="00865AB1" w:rsidP="005611FE">
            <w:pPr>
              <w:ind w:left="-101"/>
              <w:jc w:val="both"/>
              <w:rPr>
                <w:rFonts w:ascii="Arial" w:hAnsi="Arial" w:cs="Arial"/>
                <w:color w:val="000000"/>
                <w:sz w:val="12"/>
                <w:szCs w:val="12"/>
              </w:rPr>
            </w:pPr>
          </w:p>
        </w:tc>
        <w:tc>
          <w:tcPr>
            <w:tcW w:w="819" w:type="pct"/>
            <w:tcBorders>
              <w:top w:val="single" w:sz="4" w:space="0" w:color="auto"/>
            </w:tcBorders>
            <w:shd w:val="clear" w:color="auto" w:fill="auto"/>
            <w:vAlign w:val="bottom"/>
          </w:tcPr>
          <w:p w14:paraId="371DF390" w14:textId="77777777" w:rsidR="00865AB1" w:rsidRPr="002D2F67" w:rsidRDefault="00865AB1" w:rsidP="005611FE">
            <w:pPr>
              <w:ind w:right="-72"/>
              <w:jc w:val="right"/>
              <w:rPr>
                <w:rFonts w:ascii="Arial" w:hAnsi="Arial" w:cs="Arial"/>
                <w:color w:val="000000"/>
                <w:sz w:val="12"/>
                <w:szCs w:val="12"/>
              </w:rPr>
            </w:pPr>
          </w:p>
        </w:tc>
        <w:tc>
          <w:tcPr>
            <w:tcW w:w="819" w:type="pct"/>
            <w:tcBorders>
              <w:top w:val="single" w:sz="4" w:space="0" w:color="auto"/>
            </w:tcBorders>
            <w:shd w:val="clear" w:color="auto" w:fill="auto"/>
            <w:vAlign w:val="bottom"/>
          </w:tcPr>
          <w:p w14:paraId="1315ACFD" w14:textId="77777777" w:rsidR="00865AB1" w:rsidRPr="002D2F67" w:rsidRDefault="00865AB1" w:rsidP="005611FE">
            <w:pPr>
              <w:ind w:right="-72"/>
              <w:jc w:val="right"/>
              <w:rPr>
                <w:rFonts w:ascii="Arial" w:hAnsi="Arial" w:cs="Arial"/>
                <w:color w:val="000000"/>
                <w:sz w:val="12"/>
                <w:szCs w:val="12"/>
              </w:rPr>
            </w:pPr>
          </w:p>
        </w:tc>
        <w:tc>
          <w:tcPr>
            <w:tcW w:w="820" w:type="pct"/>
            <w:tcBorders>
              <w:top w:val="single" w:sz="4" w:space="0" w:color="auto"/>
            </w:tcBorders>
            <w:shd w:val="clear" w:color="auto" w:fill="auto"/>
            <w:vAlign w:val="bottom"/>
          </w:tcPr>
          <w:p w14:paraId="419A18F0" w14:textId="77777777" w:rsidR="00865AB1" w:rsidRPr="002D2F67" w:rsidRDefault="00865AB1" w:rsidP="005611FE">
            <w:pPr>
              <w:ind w:right="-72"/>
              <w:jc w:val="right"/>
              <w:rPr>
                <w:rFonts w:ascii="Arial" w:hAnsi="Arial" w:cs="Arial"/>
                <w:color w:val="000000"/>
                <w:sz w:val="12"/>
                <w:szCs w:val="12"/>
              </w:rPr>
            </w:pPr>
          </w:p>
        </w:tc>
      </w:tr>
      <w:tr w:rsidR="00865AB1" w:rsidRPr="002D2F67" w14:paraId="7A7551DB" w14:textId="77777777" w:rsidTr="005611FE">
        <w:trPr>
          <w:trHeight w:val="75"/>
        </w:trPr>
        <w:tc>
          <w:tcPr>
            <w:tcW w:w="2542" w:type="pct"/>
            <w:shd w:val="clear" w:color="auto" w:fill="auto"/>
          </w:tcPr>
          <w:p w14:paraId="66C71742" w14:textId="40D738F6" w:rsidR="00865AB1" w:rsidRPr="002D2F67" w:rsidRDefault="00865AB1" w:rsidP="005611FE">
            <w:pPr>
              <w:ind w:left="-101"/>
              <w:jc w:val="both"/>
              <w:rPr>
                <w:rFonts w:ascii="Arial" w:hAnsi="Arial" w:cs="Arial"/>
                <w:color w:val="000000"/>
                <w:sz w:val="20"/>
                <w:szCs w:val="20"/>
              </w:rPr>
            </w:pPr>
            <w:r w:rsidRPr="002D2F67">
              <w:rPr>
                <w:rFonts w:ascii="Arial" w:hAnsi="Arial" w:cs="Arial"/>
                <w:b/>
                <w:bCs/>
                <w:color w:val="000000"/>
                <w:sz w:val="20"/>
                <w:szCs w:val="20"/>
              </w:rPr>
              <w:t xml:space="preserve">For the year ended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 </w:t>
            </w:r>
            <w:r w:rsidR="00CD5714" w:rsidRPr="00CD5714">
              <w:rPr>
                <w:rFonts w:ascii="Arial" w:hAnsi="Arial" w:cs="Arial"/>
                <w:b/>
                <w:bCs/>
                <w:color w:val="000000"/>
                <w:sz w:val="20"/>
                <w:szCs w:val="20"/>
                <w:lang w:val="en-GB"/>
              </w:rPr>
              <w:t>2024</w:t>
            </w:r>
          </w:p>
        </w:tc>
        <w:tc>
          <w:tcPr>
            <w:tcW w:w="819" w:type="pct"/>
            <w:shd w:val="clear" w:color="auto" w:fill="auto"/>
            <w:vAlign w:val="bottom"/>
          </w:tcPr>
          <w:p w14:paraId="7ED43150" w14:textId="77777777" w:rsidR="00865AB1" w:rsidRPr="002D2F67" w:rsidRDefault="00865AB1" w:rsidP="005611FE">
            <w:pPr>
              <w:ind w:right="-72"/>
              <w:jc w:val="right"/>
              <w:rPr>
                <w:rFonts w:ascii="Arial" w:hAnsi="Arial" w:cs="Arial"/>
                <w:color w:val="000000"/>
                <w:sz w:val="20"/>
                <w:szCs w:val="20"/>
              </w:rPr>
            </w:pPr>
          </w:p>
        </w:tc>
        <w:tc>
          <w:tcPr>
            <w:tcW w:w="819" w:type="pct"/>
            <w:shd w:val="clear" w:color="auto" w:fill="auto"/>
            <w:vAlign w:val="bottom"/>
          </w:tcPr>
          <w:p w14:paraId="2D74D14F" w14:textId="77777777" w:rsidR="00865AB1" w:rsidRPr="002D2F67" w:rsidRDefault="00865AB1" w:rsidP="005611FE">
            <w:pPr>
              <w:ind w:right="-72"/>
              <w:jc w:val="right"/>
              <w:rPr>
                <w:rFonts w:ascii="Arial" w:hAnsi="Arial" w:cs="Arial"/>
                <w:color w:val="000000"/>
                <w:sz w:val="20"/>
                <w:szCs w:val="20"/>
              </w:rPr>
            </w:pPr>
          </w:p>
        </w:tc>
        <w:tc>
          <w:tcPr>
            <w:tcW w:w="820" w:type="pct"/>
            <w:shd w:val="clear" w:color="auto" w:fill="auto"/>
            <w:vAlign w:val="bottom"/>
          </w:tcPr>
          <w:p w14:paraId="758E984A" w14:textId="77777777" w:rsidR="00865AB1" w:rsidRPr="002D2F67" w:rsidRDefault="00865AB1" w:rsidP="005611FE">
            <w:pPr>
              <w:ind w:right="-72"/>
              <w:jc w:val="right"/>
              <w:rPr>
                <w:rFonts w:ascii="Arial" w:hAnsi="Arial" w:cs="Arial"/>
                <w:color w:val="000000"/>
                <w:sz w:val="20"/>
                <w:szCs w:val="20"/>
              </w:rPr>
            </w:pPr>
          </w:p>
        </w:tc>
      </w:tr>
      <w:tr w:rsidR="00865AB1" w:rsidRPr="002D2F67" w14:paraId="3687A848" w14:textId="77777777" w:rsidTr="005611FE">
        <w:trPr>
          <w:trHeight w:val="75"/>
        </w:trPr>
        <w:tc>
          <w:tcPr>
            <w:tcW w:w="2542" w:type="pct"/>
            <w:shd w:val="clear" w:color="auto" w:fill="auto"/>
          </w:tcPr>
          <w:p w14:paraId="01D22BE2" w14:textId="77777777" w:rsidR="00865AB1" w:rsidRPr="002D2F67" w:rsidRDefault="00865AB1" w:rsidP="005611FE">
            <w:pPr>
              <w:ind w:left="-101"/>
              <w:jc w:val="both"/>
              <w:rPr>
                <w:rFonts w:ascii="Arial" w:hAnsi="Arial" w:cs="Arial"/>
                <w:color w:val="000000"/>
                <w:sz w:val="20"/>
                <w:szCs w:val="20"/>
              </w:rPr>
            </w:pPr>
            <w:r w:rsidRPr="002D2F67">
              <w:rPr>
                <w:rFonts w:ascii="Arial" w:hAnsi="Arial" w:cs="Arial"/>
                <w:color w:val="000000"/>
                <w:sz w:val="20"/>
                <w:szCs w:val="20"/>
              </w:rPr>
              <w:t>Opening net book value</w:t>
            </w:r>
          </w:p>
        </w:tc>
        <w:tc>
          <w:tcPr>
            <w:tcW w:w="819" w:type="pct"/>
            <w:shd w:val="clear" w:color="auto" w:fill="auto"/>
            <w:vAlign w:val="bottom"/>
          </w:tcPr>
          <w:p w14:paraId="76EA312C" w14:textId="4E149546" w:rsidR="00865AB1"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684</w:t>
            </w:r>
            <w:r w:rsidR="00865AB1" w:rsidRPr="002D2F67">
              <w:rPr>
                <w:rFonts w:ascii="Arial" w:hAnsi="Arial" w:cs="Arial"/>
                <w:color w:val="000000"/>
                <w:sz w:val="20"/>
                <w:szCs w:val="20"/>
              </w:rPr>
              <w:t>,</w:t>
            </w:r>
            <w:r w:rsidRPr="00CD5714">
              <w:rPr>
                <w:rFonts w:ascii="Arial" w:hAnsi="Arial" w:cs="Arial"/>
                <w:color w:val="000000"/>
                <w:sz w:val="20"/>
                <w:szCs w:val="20"/>
                <w:lang w:val="en-GB"/>
              </w:rPr>
              <w:t>443</w:t>
            </w:r>
          </w:p>
        </w:tc>
        <w:tc>
          <w:tcPr>
            <w:tcW w:w="819" w:type="pct"/>
            <w:shd w:val="clear" w:color="auto" w:fill="auto"/>
            <w:vAlign w:val="bottom"/>
          </w:tcPr>
          <w:p w14:paraId="116D6E69" w14:textId="0779C85D" w:rsidR="00865AB1"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23</w:t>
            </w:r>
            <w:r w:rsidR="00865AB1" w:rsidRPr="002D2F67">
              <w:rPr>
                <w:rFonts w:ascii="Arial" w:hAnsi="Arial" w:cs="Arial"/>
                <w:color w:val="000000"/>
                <w:sz w:val="20"/>
                <w:szCs w:val="20"/>
              </w:rPr>
              <w:t>,</w:t>
            </w:r>
            <w:r w:rsidRPr="00CD5714">
              <w:rPr>
                <w:rFonts w:ascii="Arial" w:hAnsi="Arial" w:cs="Arial"/>
                <w:color w:val="000000"/>
                <w:sz w:val="20"/>
                <w:szCs w:val="20"/>
                <w:lang w:val="en-GB"/>
              </w:rPr>
              <w:t>021</w:t>
            </w:r>
          </w:p>
        </w:tc>
        <w:tc>
          <w:tcPr>
            <w:tcW w:w="820" w:type="pct"/>
            <w:shd w:val="clear" w:color="auto" w:fill="auto"/>
            <w:vAlign w:val="bottom"/>
          </w:tcPr>
          <w:p w14:paraId="2E315B48" w14:textId="3F9BEE5B" w:rsidR="00865AB1"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707</w:t>
            </w:r>
            <w:r w:rsidR="00865AB1" w:rsidRPr="002D2F67">
              <w:rPr>
                <w:rFonts w:ascii="Arial" w:hAnsi="Arial" w:cs="Arial"/>
                <w:color w:val="000000"/>
                <w:sz w:val="20"/>
                <w:szCs w:val="20"/>
              </w:rPr>
              <w:t>,</w:t>
            </w:r>
            <w:r w:rsidRPr="00CD5714">
              <w:rPr>
                <w:rFonts w:ascii="Arial" w:hAnsi="Arial" w:cs="Arial"/>
                <w:color w:val="000000"/>
                <w:sz w:val="20"/>
                <w:szCs w:val="20"/>
                <w:lang w:val="en-GB"/>
              </w:rPr>
              <w:t>464</w:t>
            </w:r>
          </w:p>
        </w:tc>
      </w:tr>
      <w:tr w:rsidR="00865AB1" w:rsidRPr="002D2F67" w14:paraId="3A85AAF4" w14:textId="77777777" w:rsidTr="005611FE">
        <w:trPr>
          <w:trHeight w:val="75"/>
        </w:trPr>
        <w:tc>
          <w:tcPr>
            <w:tcW w:w="2542" w:type="pct"/>
            <w:shd w:val="clear" w:color="auto" w:fill="auto"/>
          </w:tcPr>
          <w:p w14:paraId="32665D10" w14:textId="313D617C" w:rsidR="00865AB1" w:rsidRPr="002D2F67" w:rsidRDefault="00865AB1" w:rsidP="005611FE">
            <w:pPr>
              <w:ind w:left="-101"/>
              <w:rPr>
                <w:rFonts w:ascii="Arial" w:hAnsi="Arial" w:cs="Arial"/>
                <w:color w:val="000000"/>
                <w:sz w:val="20"/>
                <w:szCs w:val="20"/>
              </w:rPr>
            </w:pPr>
            <w:r w:rsidRPr="002D2F67">
              <w:rPr>
                <w:rFonts w:ascii="Arial" w:hAnsi="Arial" w:cs="Arial"/>
                <w:color w:val="000000"/>
                <w:sz w:val="20"/>
                <w:szCs w:val="20"/>
              </w:rPr>
              <w:t>Depreciation charged</w:t>
            </w:r>
          </w:p>
        </w:tc>
        <w:tc>
          <w:tcPr>
            <w:tcW w:w="819" w:type="pct"/>
            <w:tcBorders>
              <w:bottom w:val="single" w:sz="4" w:space="0" w:color="auto"/>
            </w:tcBorders>
            <w:shd w:val="clear" w:color="auto" w:fill="auto"/>
            <w:vAlign w:val="bottom"/>
          </w:tcPr>
          <w:p w14:paraId="1C0CF579" w14:textId="1B7DC2E4" w:rsidR="00865AB1" w:rsidRPr="002D2F67" w:rsidRDefault="001E018B" w:rsidP="005611FE">
            <w:pPr>
              <w:tabs>
                <w:tab w:val="left" w:pos="6840"/>
              </w:tabs>
              <w:ind w:right="-72"/>
              <w:jc w:val="right"/>
              <w:rPr>
                <w:rFonts w:ascii="Arial" w:hAnsi="Arial" w:cs="Arial"/>
                <w:color w:val="000000"/>
                <w:sz w:val="20"/>
                <w:szCs w:val="20"/>
              </w:rPr>
            </w:pPr>
            <w:r w:rsidRPr="002D2F67">
              <w:rPr>
                <w:rFonts w:ascii="Arial" w:hAnsi="Arial" w:cs="Arial"/>
                <w:color w:val="000000"/>
                <w:sz w:val="20"/>
                <w:szCs w:val="20"/>
              </w:rPr>
              <w:t>-</w:t>
            </w:r>
          </w:p>
        </w:tc>
        <w:tc>
          <w:tcPr>
            <w:tcW w:w="819" w:type="pct"/>
            <w:tcBorders>
              <w:bottom w:val="single" w:sz="4" w:space="0" w:color="auto"/>
            </w:tcBorders>
            <w:shd w:val="clear" w:color="auto" w:fill="auto"/>
            <w:vAlign w:val="bottom"/>
          </w:tcPr>
          <w:p w14:paraId="3831E173" w14:textId="16E4A6E0" w:rsidR="00865AB1" w:rsidRPr="002D2F67" w:rsidRDefault="001E018B" w:rsidP="005611FE">
            <w:pPr>
              <w:tabs>
                <w:tab w:val="left" w:pos="6840"/>
              </w:tabs>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2</w:t>
            </w:r>
            <w:r w:rsidRPr="002D2F67">
              <w:rPr>
                <w:rFonts w:ascii="Arial" w:hAnsi="Arial" w:cs="Arial"/>
                <w:color w:val="000000"/>
                <w:sz w:val="20"/>
                <w:szCs w:val="20"/>
              </w:rPr>
              <w:t>,</w:t>
            </w:r>
            <w:r w:rsidR="00CD5714" w:rsidRPr="00CD5714">
              <w:rPr>
                <w:rFonts w:ascii="Arial" w:hAnsi="Arial" w:cs="Arial"/>
                <w:color w:val="000000"/>
                <w:sz w:val="20"/>
                <w:szCs w:val="20"/>
                <w:lang w:val="en-GB"/>
              </w:rPr>
              <w:t>185</w:t>
            </w:r>
            <w:r w:rsidRPr="002D2F67">
              <w:rPr>
                <w:rFonts w:ascii="Arial" w:hAnsi="Arial" w:cs="Arial"/>
                <w:color w:val="000000"/>
                <w:sz w:val="20"/>
                <w:szCs w:val="20"/>
              </w:rPr>
              <w:t>)</w:t>
            </w:r>
          </w:p>
        </w:tc>
        <w:tc>
          <w:tcPr>
            <w:tcW w:w="820" w:type="pct"/>
            <w:tcBorders>
              <w:bottom w:val="single" w:sz="4" w:space="0" w:color="auto"/>
            </w:tcBorders>
            <w:shd w:val="clear" w:color="auto" w:fill="auto"/>
            <w:vAlign w:val="bottom"/>
          </w:tcPr>
          <w:p w14:paraId="6CA2BEFC" w14:textId="7E0E257F" w:rsidR="00865AB1" w:rsidRPr="002D2F67" w:rsidRDefault="0053267C" w:rsidP="005611FE">
            <w:pPr>
              <w:tabs>
                <w:tab w:val="left" w:pos="6840"/>
              </w:tabs>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2</w:t>
            </w:r>
            <w:r w:rsidRPr="002D2F67">
              <w:rPr>
                <w:rFonts w:ascii="Arial" w:hAnsi="Arial" w:cs="Arial"/>
                <w:color w:val="000000"/>
                <w:sz w:val="20"/>
                <w:szCs w:val="20"/>
              </w:rPr>
              <w:t>,</w:t>
            </w:r>
            <w:r w:rsidR="00CD5714" w:rsidRPr="00CD5714">
              <w:rPr>
                <w:rFonts w:ascii="Arial" w:hAnsi="Arial" w:cs="Arial"/>
                <w:color w:val="000000"/>
                <w:sz w:val="20"/>
                <w:szCs w:val="20"/>
                <w:lang w:val="en-GB"/>
              </w:rPr>
              <w:t>185</w:t>
            </w:r>
            <w:r w:rsidRPr="002D2F67">
              <w:rPr>
                <w:rFonts w:ascii="Arial" w:hAnsi="Arial" w:cs="Arial"/>
                <w:color w:val="000000"/>
                <w:sz w:val="20"/>
                <w:szCs w:val="20"/>
              </w:rPr>
              <w:t>)</w:t>
            </w:r>
          </w:p>
        </w:tc>
      </w:tr>
      <w:tr w:rsidR="00865AB1" w:rsidRPr="002D2F67" w14:paraId="43ACBC90" w14:textId="77777777" w:rsidTr="005611FE">
        <w:trPr>
          <w:trHeight w:val="75"/>
        </w:trPr>
        <w:tc>
          <w:tcPr>
            <w:tcW w:w="2542" w:type="pct"/>
            <w:shd w:val="clear" w:color="auto" w:fill="auto"/>
          </w:tcPr>
          <w:p w14:paraId="72CF4B2F" w14:textId="77777777" w:rsidR="00865AB1" w:rsidRPr="002D2F67" w:rsidRDefault="00865AB1" w:rsidP="005611FE">
            <w:pPr>
              <w:ind w:left="-101"/>
              <w:jc w:val="both"/>
              <w:rPr>
                <w:rFonts w:ascii="Arial" w:hAnsi="Arial" w:cs="Arial"/>
                <w:color w:val="000000"/>
                <w:sz w:val="12"/>
                <w:szCs w:val="12"/>
              </w:rPr>
            </w:pPr>
          </w:p>
        </w:tc>
        <w:tc>
          <w:tcPr>
            <w:tcW w:w="819" w:type="pct"/>
            <w:tcBorders>
              <w:top w:val="single" w:sz="4" w:space="0" w:color="auto"/>
            </w:tcBorders>
            <w:shd w:val="clear" w:color="auto" w:fill="auto"/>
            <w:vAlign w:val="bottom"/>
          </w:tcPr>
          <w:p w14:paraId="158436F3" w14:textId="77777777" w:rsidR="00865AB1" w:rsidRPr="002D2F67" w:rsidRDefault="00865AB1" w:rsidP="005611FE">
            <w:pPr>
              <w:ind w:right="-72"/>
              <w:jc w:val="right"/>
              <w:rPr>
                <w:rFonts w:ascii="Arial" w:hAnsi="Arial" w:cs="Arial"/>
                <w:color w:val="000000"/>
                <w:sz w:val="12"/>
                <w:szCs w:val="12"/>
              </w:rPr>
            </w:pPr>
          </w:p>
        </w:tc>
        <w:tc>
          <w:tcPr>
            <w:tcW w:w="819" w:type="pct"/>
            <w:tcBorders>
              <w:top w:val="single" w:sz="4" w:space="0" w:color="auto"/>
            </w:tcBorders>
            <w:shd w:val="clear" w:color="auto" w:fill="auto"/>
            <w:vAlign w:val="bottom"/>
          </w:tcPr>
          <w:p w14:paraId="0C3CB8E9" w14:textId="77777777" w:rsidR="00865AB1" w:rsidRPr="002D2F67" w:rsidRDefault="00865AB1" w:rsidP="005611FE">
            <w:pPr>
              <w:ind w:right="-72"/>
              <w:jc w:val="right"/>
              <w:rPr>
                <w:rFonts w:ascii="Arial" w:hAnsi="Arial" w:cs="Arial"/>
                <w:color w:val="000000"/>
                <w:sz w:val="12"/>
                <w:szCs w:val="12"/>
              </w:rPr>
            </w:pPr>
          </w:p>
        </w:tc>
        <w:tc>
          <w:tcPr>
            <w:tcW w:w="820" w:type="pct"/>
            <w:tcBorders>
              <w:top w:val="single" w:sz="4" w:space="0" w:color="auto"/>
            </w:tcBorders>
            <w:shd w:val="clear" w:color="auto" w:fill="auto"/>
            <w:vAlign w:val="bottom"/>
          </w:tcPr>
          <w:p w14:paraId="108E71B4" w14:textId="77777777" w:rsidR="00865AB1" w:rsidRPr="002D2F67" w:rsidRDefault="00865AB1" w:rsidP="005611FE">
            <w:pPr>
              <w:ind w:right="-72"/>
              <w:jc w:val="right"/>
              <w:rPr>
                <w:rFonts w:ascii="Arial" w:hAnsi="Arial" w:cs="Arial"/>
                <w:color w:val="000000"/>
                <w:sz w:val="12"/>
                <w:szCs w:val="12"/>
              </w:rPr>
            </w:pPr>
          </w:p>
        </w:tc>
      </w:tr>
      <w:tr w:rsidR="003856EA" w:rsidRPr="002D2F67" w14:paraId="6FB35134" w14:textId="77777777" w:rsidTr="005611FE">
        <w:trPr>
          <w:trHeight w:val="75"/>
        </w:trPr>
        <w:tc>
          <w:tcPr>
            <w:tcW w:w="2542" w:type="pct"/>
            <w:shd w:val="clear" w:color="auto" w:fill="auto"/>
          </w:tcPr>
          <w:p w14:paraId="34FC3193" w14:textId="77777777" w:rsidR="003856EA" w:rsidRPr="002D2F67" w:rsidRDefault="003856EA" w:rsidP="003856EA">
            <w:pPr>
              <w:ind w:left="-101"/>
              <w:jc w:val="both"/>
              <w:rPr>
                <w:rFonts w:ascii="Arial" w:hAnsi="Arial" w:cs="Arial"/>
                <w:color w:val="000000"/>
                <w:sz w:val="20"/>
                <w:szCs w:val="20"/>
              </w:rPr>
            </w:pPr>
            <w:r w:rsidRPr="002D2F67">
              <w:rPr>
                <w:rFonts w:ascii="Arial" w:hAnsi="Arial" w:cs="Arial"/>
                <w:color w:val="000000"/>
                <w:sz w:val="20"/>
                <w:szCs w:val="20"/>
              </w:rPr>
              <w:t>Closing net book value</w:t>
            </w:r>
          </w:p>
        </w:tc>
        <w:tc>
          <w:tcPr>
            <w:tcW w:w="819" w:type="pct"/>
            <w:tcBorders>
              <w:bottom w:val="single" w:sz="4" w:space="0" w:color="auto"/>
            </w:tcBorders>
            <w:shd w:val="clear" w:color="auto" w:fill="auto"/>
            <w:vAlign w:val="bottom"/>
          </w:tcPr>
          <w:p w14:paraId="4A06B390" w14:textId="3DEB3E3F" w:rsidR="003856EA" w:rsidRPr="002D2F67" w:rsidRDefault="00CD5714" w:rsidP="003856EA">
            <w:pPr>
              <w:ind w:right="-72"/>
              <w:jc w:val="right"/>
              <w:rPr>
                <w:rFonts w:ascii="Arial" w:hAnsi="Arial" w:cs="Arial"/>
                <w:color w:val="000000"/>
                <w:sz w:val="20"/>
                <w:szCs w:val="20"/>
              </w:rPr>
            </w:pPr>
            <w:r w:rsidRPr="00CD5714">
              <w:rPr>
                <w:rFonts w:ascii="Arial" w:hAnsi="Arial" w:cs="Arial"/>
                <w:color w:val="000000"/>
                <w:sz w:val="20"/>
                <w:szCs w:val="20"/>
                <w:lang w:val="en-GB"/>
              </w:rPr>
              <w:t>684</w:t>
            </w:r>
            <w:r w:rsidR="003856EA" w:rsidRPr="002D2F67">
              <w:rPr>
                <w:rFonts w:ascii="Arial" w:hAnsi="Arial" w:cs="Arial"/>
                <w:color w:val="000000"/>
                <w:sz w:val="20"/>
                <w:szCs w:val="20"/>
              </w:rPr>
              <w:t>,</w:t>
            </w:r>
            <w:r w:rsidRPr="00CD5714">
              <w:rPr>
                <w:rFonts w:ascii="Arial" w:hAnsi="Arial" w:cs="Arial"/>
                <w:color w:val="000000"/>
                <w:sz w:val="20"/>
                <w:szCs w:val="20"/>
                <w:lang w:val="en-GB"/>
              </w:rPr>
              <w:t>443</w:t>
            </w:r>
          </w:p>
        </w:tc>
        <w:tc>
          <w:tcPr>
            <w:tcW w:w="819" w:type="pct"/>
            <w:tcBorders>
              <w:bottom w:val="single" w:sz="4" w:space="0" w:color="auto"/>
            </w:tcBorders>
            <w:shd w:val="clear" w:color="auto" w:fill="auto"/>
            <w:vAlign w:val="bottom"/>
          </w:tcPr>
          <w:p w14:paraId="7E236902" w14:textId="4E7AB873" w:rsidR="003856EA" w:rsidRPr="002D2F67" w:rsidRDefault="00CD5714" w:rsidP="003856EA">
            <w:pPr>
              <w:ind w:right="-72"/>
              <w:jc w:val="right"/>
              <w:rPr>
                <w:rFonts w:ascii="Arial" w:hAnsi="Arial" w:cs="Arial"/>
                <w:color w:val="000000"/>
                <w:sz w:val="20"/>
                <w:szCs w:val="20"/>
              </w:rPr>
            </w:pPr>
            <w:r w:rsidRPr="00CD5714">
              <w:rPr>
                <w:rFonts w:ascii="Arial" w:hAnsi="Arial" w:cs="Arial"/>
                <w:color w:val="000000"/>
                <w:sz w:val="20"/>
                <w:szCs w:val="20"/>
                <w:lang w:val="en-GB"/>
              </w:rPr>
              <w:t>20</w:t>
            </w:r>
            <w:r w:rsidR="00B00F09" w:rsidRPr="002D2F67">
              <w:rPr>
                <w:rFonts w:ascii="Arial" w:hAnsi="Arial" w:cs="Arial"/>
                <w:color w:val="000000"/>
                <w:sz w:val="20"/>
                <w:szCs w:val="20"/>
              </w:rPr>
              <w:t>,</w:t>
            </w:r>
            <w:r w:rsidRPr="00CD5714">
              <w:rPr>
                <w:rFonts w:ascii="Arial" w:hAnsi="Arial" w:cs="Arial"/>
                <w:color w:val="000000"/>
                <w:sz w:val="20"/>
                <w:szCs w:val="20"/>
                <w:lang w:val="en-GB"/>
              </w:rPr>
              <w:t>836</w:t>
            </w:r>
          </w:p>
        </w:tc>
        <w:tc>
          <w:tcPr>
            <w:tcW w:w="820" w:type="pct"/>
            <w:tcBorders>
              <w:bottom w:val="single" w:sz="4" w:space="0" w:color="auto"/>
            </w:tcBorders>
            <w:shd w:val="clear" w:color="auto" w:fill="auto"/>
            <w:vAlign w:val="bottom"/>
          </w:tcPr>
          <w:p w14:paraId="2F807FCB" w14:textId="1D0043E7" w:rsidR="003856EA" w:rsidRPr="002D2F67" w:rsidRDefault="00CD5714" w:rsidP="003856EA">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705</w:t>
            </w:r>
            <w:r w:rsidR="00B00F09" w:rsidRPr="002D2F67">
              <w:rPr>
                <w:rFonts w:ascii="Arial" w:hAnsi="Arial" w:cs="Arial"/>
                <w:color w:val="000000"/>
                <w:sz w:val="20"/>
                <w:szCs w:val="20"/>
              </w:rPr>
              <w:t>,</w:t>
            </w:r>
            <w:r w:rsidRPr="00CD5714">
              <w:rPr>
                <w:rFonts w:ascii="Arial" w:hAnsi="Arial" w:cs="Arial"/>
                <w:color w:val="000000"/>
                <w:sz w:val="20"/>
                <w:szCs w:val="20"/>
                <w:lang w:val="en-GB"/>
              </w:rPr>
              <w:t>279</w:t>
            </w:r>
          </w:p>
        </w:tc>
      </w:tr>
      <w:tr w:rsidR="003856EA" w:rsidRPr="002D2F67" w14:paraId="7D2D0577" w14:textId="77777777" w:rsidTr="005611FE">
        <w:trPr>
          <w:trHeight w:val="60"/>
        </w:trPr>
        <w:tc>
          <w:tcPr>
            <w:tcW w:w="2542" w:type="pct"/>
            <w:shd w:val="clear" w:color="auto" w:fill="auto"/>
          </w:tcPr>
          <w:p w14:paraId="4D3F3C83" w14:textId="77777777" w:rsidR="003856EA" w:rsidRPr="002D2F67" w:rsidRDefault="003856EA" w:rsidP="003856EA">
            <w:pPr>
              <w:ind w:left="-101"/>
              <w:jc w:val="both"/>
              <w:rPr>
                <w:rFonts w:ascii="Arial" w:hAnsi="Arial" w:cs="Arial"/>
                <w:color w:val="000000"/>
                <w:sz w:val="12"/>
                <w:szCs w:val="12"/>
              </w:rPr>
            </w:pPr>
          </w:p>
        </w:tc>
        <w:tc>
          <w:tcPr>
            <w:tcW w:w="819" w:type="pct"/>
            <w:tcBorders>
              <w:top w:val="single" w:sz="4" w:space="0" w:color="auto"/>
            </w:tcBorders>
            <w:shd w:val="clear" w:color="auto" w:fill="auto"/>
            <w:vAlign w:val="bottom"/>
          </w:tcPr>
          <w:p w14:paraId="0E015AEA" w14:textId="77777777" w:rsidR="003856EA" w:rsidRPr="002D2F67" w:rsidRDefault="003856EA" w:rsidP="003856EA">
            <w:pPr>
              <w:ind w:right="-72"/>
              <w:jc w:val="right"/>
              <w:rPr>
                <w:rFonts w:ascii="Arial" w:hAnsi="Arial" w:cs="Arial"/>
                <w:color w:val="000000"/>
                <w:sz w:val="12"/>
                <w:szCs w:val="12"/>
              </w:rPr>
            </w:pPr>
          </w:p>
        </w:tc>
        <w:tc>
          <w:tcPr>
            <w:tcW w:w="819" w:type="pct"/>
            <w:tcBorders>
              <w:top w:val="single" w:sz="4" w:space="0" w:color="auto"/>
            </w:tcBorders>
            <w:shd w:val="clear" w:color="auto" w:fill="auto"/>
            <w:vAlign w:val="bottom"/>
          </w:tcPr>
          <w:p w14:paraId="65097702" w14:textId="77777777" w:rsidR="003856EA" w:rsidRPr="002D2F67" w:rsidRDefault="003856EA" w:rsidP="003856EA">
            <w:pPr>
              <w:ind w:right="-72"/>
              <w:jc w:val="right"/>
              <w:rPr>
                <w:rFonts w:ascii="Arial" w:hAnsi="Arial" w:cs="Arial"/>
                <w:color w:val="000000"/>
                <w:sz w:val="12"/>
                <w:szCs w:val="12"/>
              </w:rPr>
            </w:pPr>
          </w:p>
        </w:tc>
        <w:tc>
          <w:tcPr>
            <w:tcW w:w="820" w:type="pct"/>
            <w:tcBorders>
              <w:top w:val="single" w:sz="4" w:space="0" w:color="auto"/>
            </w:tcBorders>
            <w:shd w:val="clear" w:color="auto" w:fill="auto"/>
            <w:vAlign w:val="bottom"/>
          </w:tcPr>
          <w:p w14:paraId="372763D0" w14:textId="77777777" w:rsidR="003856EA" w:rsidRPr="002D2F67" w:rsidRDefault="003856EA" w:rsidP="003856EA">
            <w:pPr>
              <w:ind w:right="-72"/>
              <w:jc w:val="right"/>
              <w:rPr>
                <w:rFonts w:ascii="Arial" w:hAnsi="Arial" w:cs="Arial"/>
                <w:color w:val="000000"/>
                <w:sz w:val="12"/>
                <w:szCs w:val="12"/>
              </w:rPr>
            </w:pPr>
          </w:p>
        </w:tc>
      </w:tr>
      <w:tr w:rsidR="003856EA" w:rsidRPr="002D2F67" w14:paraId="3A01343E" w14:textId="77777777" w:rsidTr="005611FE">
        <w:trPr>
          <w:trHeight w:val="75"/>
        </w:trPr>
        <w:tc>
          <w:tcPr>
            <w:tcW w:w="2542" w:type="pct"/>
            <w:shd w:val="clear" w:color="auto" w:fill="auto"/>
          </w:tcPr>
          <w:p w14:paraId="43379D71" w14:textId="417F01F3" w:rsidR="003856EA" w:rsidRPr="002D2F67" w:rsidRDefault="003856EA" w:rsidP="003856EA">
            <w:pPr>
              <w:ind w:left="-101"/>
              <w:rPr>
                <w:rFonts w:ascii="Arial" w:hAnsi="Arial" w:cs="Arial"/>
                <w:color w:val="000000"/>
                <w:sz w:val="20"/>
                <w:szCs w:val="20"/>
              </w:rPr>
            </w:pPr>
            <w:r w:rsidRPr="002D2F67">
              <w:rPr>
                <w:rFonts w:ascii="Arial" w:hAnsi="Arial" w:cs="Arial"/>
                <w:b/>
                <w:bCs/>
                <w:color w:val="000000"/>
                <w:sz w:val="20"/>
                <w:szCs w:val="20"/>
              </w:rPr>
              <w:t xml:space="preserve">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 </w:t>
            </w:r>
            <w:r w:rsidR="00CD5714" w:rsidRPr="00CD5714">
              <w:rPr>
                <w:rFonts w:ascii="Arial" w:hAnsi="Arial" w:cs="Arial"/>
                <w:b/>
                <w:bCs/>
                <w:color w:val="000000"/>
                <w:sz w:val="20"/>
                <w:szCs w:val="20"/>
                <w:lang w:val="en-GB"/>
              </w:rPr>
              <w:t>2024</w:t>
            </w:r>
          </w:p>
        </w:tc>
        <w:tc>
          <w:tcPr>
            <w:tcW w:w="819" w:type="pct"/>
            <w:shd w:val="clear" w:color="auto" w:fill="auto"/>
            <w:vAlign w:val="bottom"/>
          </w:tcPr>
          <w:p w14:paraId="479FD197" w14:textId="77777777" w:rsidR="003856EA" w:rsidRPr="002D2F67" w:rsidRDefault="003856EA" w:rsidP="003856EA">
            <w:pPr>
              <w:ind w:right="-72"/>
              <w:jc w:val="right"/>
              <w:rPr>
                <w:rFonts w:ascii="Arial" w:hAnsi="Arial" w:cs="Arial"/>
                <w:color w:val="000000"/>
                <w:sz w:val="20"/>
                <w:szCs w:val="20"/>
              </w:rPr>
            </w:pPr>
          </w:p>
        </w:tc>
        <w:tc>
          <w:tcPr>
            <w:tcW w:w="819" w:type="pct"/>
            <w:shd w:val="clear" w:color="auto" w:fill="auto"/>
            <w:vAlign w:val="bottom"/>
          </w:tcPr>
          <w:p w14:paraId="59386A04" w14:textId="77777777" w:rsidR="003856EA" w:rsidRPr="002D2F67" w:rsidRDefault="003856EA" w:rsidP="003856EA">
            <w:pPr>
              <w:ind w:right="-72"/>
              <w:jc w:val="right"/>
              <w:rPr>
                <w:rFonts w:ascii="Arial" w:hAnsi="Arial" w:cs="Arial"/>
                <w:color w:val="000000"/>
                <w:sz w:val="20"/>
                <w:szCs w:val="20"/>
              </w:rPr>
            </w:pPr>
          </w:p>
        </w:tc>
        <w:tc>
          <w:tcPr>
            <w:tcW w:w="820" w:type="pct"/>
            <w:shd w:val="clear" w:color="auto" w:fill="auto"/>
            <w:vAlign w:val="bottom"/>
          </w:tcPr>
          <w:p w14:paraId="64480553" w14:textId="77777777" w:rsidR="003856EA" w:rsidRPr="002D2F67" w:rsidRDefault="003856EA" w:rsidP="003856EA">
            <w:pPr>
              <w:ind w:right="-72"/>
              <w:jc w:val="right"/>
              <w:rPr>
                <w:rFonts w:ascii="Arial" w:hAnsi="Arial" w:cs="Arial"/>
                <w:color w:val="000000"/>
                <w:sz w:val="20"/>
                <w:szCs w:val="20"/>
              </w:rPr>
            </w:pPr>
          </w:p>
        </w:tc>
      </w:tr>
      <w:tr w:rsidR="003856EA" w:rsidRPr="002D2F67" w14:paraId="05796D80" w14:textId="77777777" w:rsidTr="005611FE">
        <w:trPr>
          <w:trHeight w:val="66"/>
        </w:trPr>
        <w:tc>
          <w:tcPr>
            <w:tcW w:w="2542" w:type="pct"/>
            <w:shd w:val="clear" w:color="auto" w:fill="auto"/>
          </w:tcPr>
          <w:p w14:paraId="5B3E085C" w14:textId="77777777" w:rsidR="003856EA" w:rsidRPr="002D2F67" w:rsidRDefault="003856EA" w:rsidP="003856EA">
            <w:pPr>
              <w:ind w:left="-101"/>
              <w:jc w:val="both"/>
              <w:rPr>
                <w:rFonts w:ascii="Arial" w:hAnsi="Arial" w:cs="Arial"/>
                <w:color w:val="000000"/>
                <w:sz w:val="20"/>
                <w:szCs w:val="20"/>
              </w:rPr>
            </w:pPr>
            <w:r w:rsidRPr="002D2F67">
              <w:rPr>
                <w:rFonts w:ascii="Arial" w:hAnsi="Arial" w:cs="Arial"/>
                <w:color w:val="000000"/>
                <w:sz w:val="20"/>
                <w:szCs w:val="20"/>
              </w:rPr>
              <w:t>Cost</w:t>
            </w:r>
          </w:p>
        </w:tc>
        <w:tc>
          <w:tcPr>
            <w:tcW w:w="819" w:type="pct"/>
            <w:shd w:val="clear" w:color="auto" w:fill="auto"/>
            <w:vAlign w:val="bottom"/>
          </w:tcPr>
          <w:p w14:paraId="75D3A974" w14:textId="6A90ED05" w:rsidR="003856EA" w:rsidRPr="002D2F67" w:rsidRDefault="00CD5714" w:rsidP="003856EA">
            <w:pPr>
              <w:ind w:right="-72"/>
              <w:jc w:val="right"/>
              <w:rPr>
                <w:rFonts w:ascii="Arial" w:hAnsi="Arial" w:cs="Arial"/>
                <w:color w:val="000000"/>
                <w:sz w:val="20"/>
                <w:szCs w:val="20"/>
              </w:rPr>
            </w:pPr>
            <w:r w:rsidRPr="00CD5714">
              <w:rPr>
                <w:rFonts w:ascii="Arial" w:hAnsi="Arial" w:cs="Arial"/>
                <w:color w:val="000000"/>
                <w:sz w:val="20"/>
                <w:szCs w:val="20"/>
                <w:lang w:val="en-GB"/>
              </w:rPr>
              <w:t>684</w:t>
            </w:r>
            <w:r w:rsidR="00B00F09" w:rsidRPr="002D2F67">
              <w:rPr>
                <w:rFonts w:ascii="Arial" w:hAnsi="Arial" w:cs="Arial"/>
                <w:color w:val="000000"/>
                <w:sz w:val="20"/>
                <w:szCs w:val="20"/>
              </w:rPr>
              <w:t>,</w:t>
            </w:r>
            <w:r w:rsidRPr="00CD5714">
              <w:rPr>
                <w:rFonts w:ascii="Arial" w:hAnsi="Arial" w:cs="Arial"/>
                <w:color w:val="000000"/>
                <w:sz w:val="20"/>
                <w:szCs w:val="20"/>
                <w:lang w:val="en-GB"/>
              </w:rPr>
              <w:t>443</w:t>
            </w:r>
          </w:p>
        </w:tc>
        <w:tc>
          <w:tcPr>
            <w:tcW w:w="819" w:type="pct"/>
            <w:shd w:val="clear" w:color="auto" w:fill="auto"/>
            <w:vAlign w:val="bottom"/>
          </w:tcPr>
          <w:p w14:paraId="5418C6E4" w14:textId="73CE8ED6" w:rsidR="003856EA" w:rsidRPr="002D2F67" w:rsidRDefault="00CD5714" w:rsidP="003856EA">
            <w:pPr>
              <w:ind w:right="-72"/>
              <w:jc w:val="right"/>
              <w:rPr>
                <w:rFonts w:ascii="Arial" w:hAnsi="Arial" w:cs="Arial"/>
                <w:color w:val="000000"/>
                <w:sz w:val="20"/>
                <w:szCs w:val="20"/>
              </w:rPr>
            </w:pPr>
            <w:r w:rsidRPr="00CD5714">
              <w:rPr>
                <w:rFonts w:ascii="Arial" w:hAnsi="Arial" w:cs="Arial"/>
                <w:color w:val="000000"/>
                <w:sz w:val="20"/>
                <w:szCs w:val="20"/>
                <w:lang w:val="en-GB"/>
              </w:rPr>
              <w:t>43</w:t>
            </w:r>
            <w:r w:rsidR="00B00F09" w:rsidRPr="002D2F67">
              <w:rPr>
                <w:rFonts w:ascii="Arial" w:hAnsi="Arial" w:cs="Arial"/>
                <w:color w:val="000000"/>
                <w:sz w:val="20"/>
                <w:szCs w:val="20"/>
              </w:rPr>
              <w:t>,</w:t>
            </w:r>
            <w:r w:rsidRPr="00CD5714">
              <w:rPr>
                <w:rFonts w:ascii="Arial" w:hAnsi="Arial" w:cs="Arial"/>
                <w:color w:val="000000"/>
                <w:sz w:val="20"/>
                <w:szCs w:val="20"/>
                <w:lang w:val="en-GB"/>
              </w:rPr>
              <w:t>158</w:t>
            </w:r>
          </w:p>
        </w:tc>
        <w:tc>
          <w:tcPr>
            <w:tcW w:w="820" w:type="pct"/>
            <w:shd w:val="clear" w:color="auto" w:fill="auto"/>
            <w:vAlign w:val="bottom"/>
          </w:tcPr>
          <w:p w14:paraId="55930D7E" w14:textId="485BABB4" w:rsidR="003856EA" w:rsidRPr="002D2F67" w:rsidRDefault="00CD5714" w:rsidP="003856EA">
            <w:pPr>
              <w:ind w:right="-72"/>
              <w:jc w:val="right"/>
              <w:rPr>
                <w:rFonts w:ascii="Arial" w:hAnsi="Arial" w:cs="Arial"/>
                <w:color w:val="000000"/>
                <w:sz w:val="20"/>
                <w:szCs w:val="20"/>
              </w:rPr>
            </w:pPr>
            <w:r w:rsidRPr="00CD5714">
              <w:rPr>
                <w:rFonts w:ascii="Arial" w:hAnsi="Arial" w:cs="Arial"/>
                <w:color w:val="000000"/>
                <w:sz w:val="20"/>
                <w:szCs w:val="20"/>
                <w:lang w:val="en-GB"/>
              </w:rPr>
              <w:t>727</w:t>
            </w:r>
            <w:r w:rsidR="00B00F09" w:rsidRPr="002D2F67">
              <w:rPr>
                <w:rFonts w:ascii="Arial" w:hAnsi="Arial" w:cs="Arial"/>
                <w:color w:val="000000"/>
                <w:sz w:val="20"/>
                <w:szCs w:val="20"/>
              </w:rPr>
              <w:t>,</w:t>
            </w:r>
            <w:r w:rsidRPr="00CD5714">
              <w:rPr>
                <w:rFonts w:ascii="Arial" w:hAnsi="Arial" w:cs="Arial"/>
                <w:color w:val="000000"/>
                <w:sz w:val="20"/>
                <w:szCs w:val="20"/>
                <w:lang w:val="en-GB"/>
              </w:rPr>
              <w:t>601</w:t>
            </w:r>
          </w:p>
        </w:tc>
      </w:tr>
      <w:tr w:rsidR="003856EA" w:rsidRPr="002D2F67" w14:paraId="6236421C" w14:textId="77777777" w:rsidTr="005611FE">
        <w:trPr>
          <w:trHeight w:val="75"/>
        </w:trPr>
        <w:tc>
          <w:tcPr>
            <w:tcW w:w="2542" w:type="pct"/>
            <w:shd w:val="clear" w:color="auto" w:fill="auto"/>
          </w:tcPr>
          <w:p w14:paraId="1E6A68FF" w14:textId="5CD26F2A" w:rsidR="003856EA" w:rsidRPr="002D2F67" w:rsidRDefault="003856EA" w:rsidP="003856EA">
            <w:pPr>
              <w:ind w:left="-101"/>
              <w:jc w:val="both"/>
              <w:rPr>
                <w:rFonts w:ascii="Arial" w:hAnsi="Arial" w:cs="Arial"/>
                <w:color w:val="000000"/>
                <w:sz w:val="20"/>
                <w:szCs w:val="20"/>
              </w:rPr>
            </w:pPr>
            <w:r w:rsidRPr="002D2F67">
              <w:rPr>
                <w:rFonts w:ascii="Arial" w:hAnsi="Arial" w:cs="Arial"/>
                <w:color w:val="000000"/>
                <w:sz w:val="20"/>
                <w:szCs w:val="20"/>
                <w:u w:val="single"/>
              </w:rPr>
              <w:t>Less</w:t>
            </w:r>
            <w:r w:rsidRPr="002D2F67">
              <w:rPr>
                <w:rFonts w:ascii="Arial" w:hAnsi="Arial" w:cs="Arial"/>
                <w:color w:val="000000"/>
                <w:sz w:val="20"/>
                <w:szCs w:val="20"/>
              </w:rPr>
              <w:t xml:space="preserve">  Accumulated depreciation</w:t>
            </w:r>
          </w:p>
        </w:tc>
        <w:tc>
          <w:tcPr>
            <w:tcW w:w="819" w:type="pct"/>
            <w:tcBorders>
              <w:bottom w:val="single" w:sz="4" w:space="0" w:color="auto"/>
            </w:tcBorders>
            <w:shd w:val="clear" w:color="auto" w:fill="auto"/>
          </w:tcPr>
          <w:p w14:paraId="734AB987" w14:textId="096F1EF7" w:rsidR="003856EA" w:rsidRPr="002D2F67" w:rsidRDefault="00B00F09" w:rsidP="003856EA">
            <w:pPr>
              <w:tabs>
                <w:tab w:val="left" w:pos="6840"/>
              </w:tabs>
              <w:ind w:right="-72"/>
              <w:jc w:val="right"/>
              <w:rPr>
                <w:rFonts w:ascii="Arial" w:hAnsi="Arial" w:cs="Arial"/>
                <w:color w:val="000000"/>
                <w:sz w:val="20"/>
                <w:szCs w:val="20"/>
              </w:rPr>
            </w:pPr>
            <w:r w:rsidRPr="002D2F67">
              <w:rPr>
                <w:rFonts w:ascii="Arial" w:hAnsi="Arial" w:cs="Arial"/>
                <w:color w:val="000000"/>
                <w:sz w:val="20"/>
                <w:szCs w:val="20"/>
              </w:rPr>
              <w:t>-</w:t>
            </w:r>
          </w:p>
        </w:tc>
        <w:tc>
          <w:tcPr>
            <w:tcW w:w="819" w:type="pct"/>
            <w:tcBorders>
              <w:bottom w:val="single" w:sz="4" w:space="0" w:color="auto"/>
            </w:tcBorders>
            <w:shd w:val="clear" w:color="auto" w:fill="auto"/>
          </w:tcPr>
          <w:p w14:paraId="14BC6768" w14:textId="33B99CF3" w:rsidR="003856EA" w:rsidRPr="002D2F67" w:rsidRDefault="00B00F09" w:rsidP="003856EA">
            <w:pPr>
              <w:tabs>
                <w:tab w:val="left" w:pos="6840"/>
              </w:tabs>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22</w:t>
            </w:r>
            <w:r w:rsidRPr="002D2F67">
              <w:rPr>
                <w:rFonts w:ascii="Arial" w:hAnsi="Arial" w:cs="Arial"/>
                <w:color w:val="000000"/>
                <w:sz w:val="20"/>
                <w:szCs w:val="20"/>
              </w:rPr>
              <w:t>,</w:t>
            </w:r>
            <w:r w:rsidR="00CD5714" w:rsidRPr="00CD5714">
              <w:rPr>
                <w:rFonts w:ascii="Arial" w:hAnsi="Arial" w:cs="Arial"/>
                <w:color w:val="000000"/>
                <w:sz w:val="20"/>
                <w:szCs w:val="20"/>
                <w:lang w:val="en-GB"/>
              </w:rPr>
              <w:t>322</w:t>
            </w:r>
            <w:r w:rsidRPr="002D2F67">
              <w:rPr>
                <w:rFonts w:ascii="Arial" w:hAnsi="Arial" w:cs="Arial"/>
                <w:color w:val="000000"/>
                <w:sz w:val="20"/>
                <w:szCs w:val="20"/>
              </w:rPr>
              <w:t>)</w:t>
            </w:r>
          </w:p>
        </w:tc>
        <w:tc>
          <w:tcPr>
            <w:tcW w:w="820" w:type="pct"/>
            <w:tcBorders>
              <w:bottom w:val="single" w:sz="4" w:space="0" w:color="auto"/>
            </w:tcBorders>
            <w:shd w:val="clear" w:color="auto" w:fill="auto"/>
          </w:tcPr>
          <w:p w14:paraId="1AD7C1E6" w14:textId="52B4BA90" w:rsidR="003856EA" w:rsidRPr="002D2F67" w:rsidRDefault="00B00F09" w:rsidP="003856EA">
            <w:pPr>
              <w:tabs>
                <w:tab w:val="left" w:pos="6840"/>
              </w:tabs>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22</w:t>
            </w:r>
            <w:r w:rsidRPr="002D2F67">
              <w:rPr>
                <w:rFonts w:ascii="Arial" w:hAnsi="Arial" w:cs="Arial"/>
                <w:color w:val="000000"/>
                <w:sz w:val="20"/>
                <w:szCs w:val="20"/>
              </w:rPr>
              <w:t>,</w:t>
            </w:r>
            <w:r w:rsidR="00CD5714" w:rsidRPr="00CD5714">
              <w:rPr>
                <w:rFonts w:ascii="Arial" w:hAnsi="Arial" w:cs="Arial"/>
                <w:color w:val="000000"/>
                <w:sz w:val="20"/>
                <w:szCs w:val="20"/>
                <w:lang w:val="en-GB"/>
              </w:rPr>
              <w:t>322</w:t>
            </w:r>
            <w:r w:rsidRPr="002D2F67">
              <w:rPr>
                <w:rFonts w:ascii="Arial" w:hAnsi="Arial" w:cs="Arial"/>
                <w:color w:val="000000"/>
                <w:sz w:val="20"/>
                <w:szCs w:val="20"/>
              </w:rPr>
              <w:t>)</w:t>
            </w:r>
          </w:p>
        </w:tc>
      </w:tr>
      <w:tr w:rsidR="003856EA" w:rsidRPr="002D2F67" w14:paraId="4C63DECD" w14:textId="77777777" w:rsidTr="005611FE">
        <w:trPr>
          <w:trHeight w:val="75"/>
        </w:trPr>
        <w:tc>
          <w:tcPr>
            <w:tcW w:w="2542" w:type="pct"/>
            <w:shd w:val="clear" w:color="auto" w:fill="auto"/>
          </w:tcPr>
          <w:p w14:paraId="569316CB" w14:textId="77777777" w:rsidR="003856EA" w:rsidRPr="002D2F67" w:rsidRDefault="003856EA" w:rsidP="003856EA">
            <w:pPr>
              <w:ind w:left="-101"/>
              <w:rPr>
                <w:rFonts w:ascii="Arial" w:hAnsi="Arial" w:cs="Arial"/>
                <w:color w:val="000000"/>
                <w:sz w:val="12"/>
                <w:szCs w:val="12"/>
              </w:rPr>
            </w:pPr>
          </w:p>
        </w:tc>
        <w:tc>
          <w:tcPr>
            <w:tcW w:w="819" w:type="pct"/>
            <w:tcBorders>
              <w:top w:val="single" w:sz="4" w:space="0" w:color="auto"/>
            </w:tcBorders>
            <w:shd w:val="clear" w:color="auto" w:fill="auto"/>
            <w:vAlign w:val="bottom"/>
          </w:tcPr>
          <w:p w14:paraId="63DE55CA" w14:textId="77777777" w:rsidR="003856EA" w:rsidRPr="002D2F67" w:rsidRDefault="003856EA" w:rsidP="003856EA">
            <w:pPr>
              <w:ind w:right="-72"/>
              <w:jc w:val="right"/>
              <w:rPr>
                <w:rFonts w:ascii="Arial" w:hAnsi="Arial" w:cs="Arial"/>
                <w:color w:val="000000"/>
                <w:sz w:val="12"/>
                <w:szCs w:val="12"/>
              </w:rPr>
            </w:pPr>
          </w:p>
        </w:tc>
        <w:tc>
          <w:tcPr>
            <w:tcW w:w="819" w:type="pct"/>
            <w:tcBorders>
              <w:top w:val="single" w:sz="4" w:space="0" w:color="auto"/>
            </w:tcBorders>
            <w:shd w:val="clear" w:color="auto" w:fill="auto"/>
            <w:vAlign w:val="bottom"/>
          </w:tcPr>
          <w:p w14:paraId="638E23BC" w14:textId="77777777" w:rsidR="003856EA" w:rsidRPr="002D2F67" w:rsidRDefault="003856EA" w:rsidP="003856EA">
            <w:pPr>
              <w:ind w:right="-72"/>
              <w:jc w:val="right"/>
              <w:rPr>
                <w:rFonts w:ascii="Arial" w:hAnsi="Arial" w:cs="Arial"/>
                <w:color w:val="000000"/>
                <w:sz w:val="12"/>
                <w:szCs w:val="12"/>
              </w:rPr>
            </w:pPr>
          </w:p>
        </w:tc>
        <w:tc>
          <w:tcPr>
            <w:tcW w:w="820" w:type="pct"/>
            <w:tcBorders>
              <w:top w:val="single" w:sz="4" w:space="0" w:color="auto"/>
            </w:tcBorders>
            <w:shd w:val="clear" w:color="auto" w:fill="auto"/>
            <w:vAlign w:val="bottom"/>
          </w:tcPr>
          <w:p w14:paraId="5EFDDF14" w14:textId="77777777" w:rsidR="003856EA" w:rsidRPr="002D2F67" w:rsidRDefault="003856EA" w:rsidP="003856EA">
            <w:pPr>
              <w:ind w:right="-72"/>
              <w:jc w:val="right"/>
              <w:rPr>
                <w:rFonts w:ascii="Arial" w:hAnsi="Arial" w:cs="Arial"/>
                <w:color w:val="000000"/>
                <w:sz w:val="12"/>
                <w:szCs w:val="12"/>
              </w:rPr>
            </w:pPr>
          </w:p>
        </w:tc>
      </w:tr>
      <w:tr w:rsidR="003856EA" w:rsidRPr="002D2F67" w14:paraId="0F2DF6B6" w14:textId="77777777" w:rsidTr="005611FE">
        <w:trPr>
          <w:trHeight w:val="75"/>
        </w:trPr>
        <w:tc>
          <w:tcPr>
            <w:tcW w:w="2542" w:type="pct"/>
            <w:shd w:val="clear" w:color="auto" w:fill="auto"/>
          </w:tcPr>
          <w:p w14:paraId="2E6744D3" w14:textId="77777777" w:rsidR="003856EA" w:rsidRPr="002D2F67" w:rsidRDefault="003856EA" w:rsidP="003856EA">
            <w:pPr>
              <w:ind w:left="-101"/>
              <w:jc w:val="both"/>
              <w:rPr>
                <w:rFonts w:ascii="Arial" w:hAnsi="Arial" w:cs="Arial"/>
                <w:color w:val="000000"/>
                <w:sz w:val="20"/>
                <w:szCs w:val="20"/>
              </w:rPr>
            </w:pPr>
            <w:r w:rsidRPr="002D2F67">
              <w:rPr>
                <w:rFonts w:ascii="Arial" w:hAnsi="Arial" w:cs="Arial"/>
                <w:color w:val="000000"/>
                <w:sz w:val="20"/>
                <w:szCs w:val="20"/>
              </w:rPr>
              <w:t>Net book value</w:t>
            </w:r>
          </w:p>
        </w:tc>
        <w:tc>
          <w:tcPr>
            <w:tcW w:w="819" w:type="pct"/>
            <w:tcBorders>
              <w:bottom w:val="single" w:sz="4" w:space="0" w:color="auto"/>
            </w:tcBorders>
            <w:shd w:val="clear" w:color="auto" w:fill="auto"/>
            <w:vAlign w:val="bottom"/>
          </w:tcPr>
          <w:p w14:paraId="4AC83123" w14:textId="063FA183" w:rsidR="003856EA" w:rsidRPr="002D2F67" w:rsidRDefault="00CD5714" w:rsidP="003856EA">
            <w:pPr>
              <w:ind w:right="-72"/>
              <w:jc w:val="right"/>
              <w:rPr>
                <w:rFonts w:ascii="Arial" w:hAnsi="Arial" w:cs="Arial"/>
                <w:color w:val="000000"/>
                <w:sz w:val="20"/>
                <w:szCs w:val="20"/>
              </w:rPr>
            </w:pPr>
            <w:r w:rsidRPr="00CD5714">
              <w:rPr>
                <w:rFonts w:ascii="Arial" w:hAnsi="Arial" w:cs="Arial"/>
                <w:color w:val="000000"/>
                <w:sz w:val="20"/>
                <w:szCs w:val="20"/>
                <w:lang w:val="en-GB"/>
              </w:rPr>
              <w:t>684</w:t>
            </w:r>
            <w:r w:rsidR="00B00F09" w:rsidRPr="002D2F67">
              <w:rPr>
                <w:rFonts w:ascii="Arial" w:hAnsi="Arial" w:cs="Arial"/>
                <w:color w:val="000000"/>
                <w:sz w:val="20"/>
                <w:szCs w:val="20"/>
              </w:rPr>
              <w:t>,</w:t>
            </w:r>
            <w:r w:rsidRPr="00CD5714">
              <w:rPr>
                <w:rFonts w:ascii="Arial" w:hAnsi="Arial" w:cs="Arial"/>
                <w:color w:val="000000"/>
                <w:sz w:val="20"/>
                <w:szCs w:val="20"/>
                <w:lang w:val="en-GB"/>
              </w:rPr>
              <w:t>443</w:t>
            </w:r>
          </w:p>
        </w:tc>
        <w:tc>
          <w:tcPr>
            <w:tcW w:w="819" w:type="pct"/>
            <w:tcBorders>
              <w:bottom w:val="single" w:sz="4" w:space="0" w:color="auto"/>
            </w:tcBorders>
            <w:shd w:val="clear" w:color="auto" w:fill="auto"/>
            <w:vAlign w:val="bottom"/>
          </w:tcPr>
          <w:p w14:paraId="7D11E76C" w14:textId="45DC69B7" w:rsidR="003856EA" w:rsidRPr="002D2F67" w:rsidRDefault="00CD5714" w:rsidP="003856EA">
            <w:pPr>
              <w:ind w:right="-72"/>
              <w:jc w:val="right"/>
              <w:rPr>
                <w:rFonts w:ascii="Arial" w:hAnsi="Arial" w:cs="Arial"/>
                <w:color w:val="000000"/>
                <w:sz w:val="20"/>
                <w:szCs w:val="20"/>
              </w:rPr>
            </w:pPr>
            <w:r w:rsidRPr="00CD5714">
              <w:rPr>
                <w:rFonts w:ascii="Arial" w:hAnsi="Arial" w:cs="Arial"/>
                <w:color w:val="000000"/>
                <w:sz w:val="20"/>
                <w:szCs w:val="20"/>
                <w:lang w:val="en-GB"/>
              </w:rPr>
              <w:t>20</w:t>
            </w:r>
            <w:r w:rsidR="00B00F09" w:rsidRPr="002D2F67">
              <w:rPr>
                <w:rFonts w:ascii="Arial" w:hAnsi="Arial" w:cs="Arial"/>
                <w:color w:val="000000"/>
                <w:sz w:val="20"/>
                <w:szCs w:val="20"/>
              </w:rPr>
              <w:t>,</w:t>
            </w:r>
            <w:r w:rsidRPr="00CD5714">
              <w:rPr>
                <w:rFonts w:ascii="Arial" w:hAnsi="Arial" w:cs="Arial"/>
                <w:color w:val="000000"/>
                <w:sz w:val="20"/>
                <w:szCs w:val="20"/>
                <w:lang w:val="en-GB"/>
              </w:rPr>
              <w:t>836</w:t>
            </w:r>
          </w:p>
        </w:tc>
        <w:tc>
          <w:tcPr>
            <w:tcW w:w="820" w:type="pct"/>
            <w:tcBorders>
              <w:bottom w:val="single" w:sz="4" w:space="0" w:color="auto"/>
            </w:tcBorders>
            <w:shd w:val="clear" w:color="auto" w:fill="auto"/>
            <w:vAlign w:val="bottom"/>
          </w:tcPr>
          <w:p w14:paraId="32E82707" w14:textId="75AA749A" w:rsidR="003856EA" w:rsidRPr="002D2F67" w:rsidRDefault="00CD5714" w:rsidP="003856EA">
            <w:pPr>
              <w:ind w:right="-72"/>
              <w:jc w:val="right"/>
              <w:rPr>
                <w:rFonts w:ascii="Arial" w:hAnsi="Arial" w:cs="Arial"/>
                <w:color w:val="000000"/>
                <w:sz w:val="20"/>
                <w:szCs w:val="20"/>
              </w:rPr>
            </w:pPr>
            <w:r w:rsidRPr="00CD5714">
              <w:rPr>
                <w:rFonts w:ascii="Arial" w:hAnsi="Arial" w:cs="Arial"/>
                <w:color w:val="000000"/>
                <w:sz w:val="20"/>
                <w:szCs w:val="20"/>
                <w:lang w:val="en-GB"/>
              </w:rPr>
              <w:t>705</w:t>
            </w:r>
            <w:r w:rsidR="00B00F09" w:rsidRPr="002D2F67">
              <w:rPr>
                <w:rFonts w:ascii="Arial" w:hAnsi="Arial" w:cs="Arial"/>
                <w:color w:val="000000"/>
                <w:sz w:val="20"/>
                <w:szCs w:val="20"/>
              </w:rPr>
              <w:t>,</w:t>
            </w:r>
            <w:r w:rsidRPr="00CD5714">
              <w:rPr>
                <w:rFonts w:ascii="Arial" w:hAnsi="Arial" w:cs="Arial"/>
                <w:color w:val="000000"/>
                <w:sz w:val="20"/>
                <w:szCs w:val="20"/>
                <w:lang w:val="en-GB"/>
              </w:rPr>
              <w:t>279</w:t>
            </w:r>
          </w:p>
        </w:tc>
      </w:tr>
      <w:tr w:rsidR="003856EA" w:rsidRPr="002D2F67" w14:paraId="327363EE" w14:textId="77777777" w:rsidTr="005611FE">
        <w:trPr>
          <w:trHeight w:val="75"/>
        </w:trPr>
        <w:tc>
          <w:tcPr>
            <w:tcW w:w="2542" w:type="pct"/>
            <w:shd w:val="clear" w:color="auto" w:fill="auto"/>
          </w:tcPr>
          <w:p w14:paraId="715E5C50" w14:textId="77777777" w:rsidR="003856EA" w:rsidRPr="002D2F67" w:rsidRDefault="003856EA" w:rsidP="003856EA">
            <w:pPr>
              <w:ind w:left="-101"/>
              <w:jc w:val="both"/>
              <w:rPr>
                <w:rFonts w:ascii="Arial" w:hAnsi="Arial" w:cs="Arial"/>
                <w:color w:val="000000"/>
                <w:sz w:val="12"/>
                <w:szCs w:val="12"/>
              </w:rPr>
            </w:pPr>
          </w:p>
        </w:tc>
        <w:tc>
          <w:tcPr>
            <w:tcW w:w="819" w:type="pct"/>
            <w:tcBorders>
              <w:top w:val="single" w:sz="4" w:space="0" w:color="auto"/>
            </w:tcBorders>
            <w:shd w:val="clear" w:color="auto" w:fill="auto"/>
            <w:vAlign w:val="bottom"/>
          </w:tcPr>
          <w:p w14:paraId="4C084BBE" w14:textId="77777777" w:rsidR="003856EA" w:rsidRPr="002D2F67" w:rsidRDefault="003856EA" w:rsidP="003856EA">
            <w:pPr>
              <w:ind w:right="-72"/>
              <w:jc w:val="right"/>
              <w:rPr>
                <w:rFonts w:ascii="Arial" w:hAnsi="Arial" w:cs="Arial"/>
                <w:color w:val="000000"/>
                <w:sz w:val="12"/>
                <w:szCs w:val="12"/>
                <w:cs/>
              </w:rPr>
            </w:pPr>
          </w:p>
        </w:tc>
        <w:tc>
          <w:tcPr>
            <w:tcW w:w="819" w:type="pct"/>
            <w:tcBorders>
              <w:top w:val="single" w:sz="4" w:space="0" w:color="auto"/>
            </w:tcBorders>
            <w:shd w:val="clear" w:color="auto" w:fill="auto"/>
            <w:vAlign w:val="bottom"/>
          </w:tcPr>
          <w:p w14:paraId="754E9A67" w14:textId="77777777" w:rsidR="003856EA" w:rsidRPr="002D2F67" w:rsidRDefault="003856EA" w:rsidP="003856EA">
            <w:pPr>
              <w:ind w:right="-72"/>
              <w:jc w:val="right"/>
              <w:rPr>
                <w:rFonts w:ascii="Arial" w:hAnsi="Arial" w:cs="Arial"/>
                <w:color w:val="000000"/>
                <w:sz w:val="12"/>
                <w:szCs w:val="12"/>
              </w:rPr>
            </w:pPr>
          </w:p>
        </w:tc>
        <w:tc>
          <w:tcPr>
            <w:tcW w:w="820" w:type="pct"/>
            <w:tcBorders>
              <w:top w:val="single" w:sz="4" w:space="0" w:color="auto"/>
            </w:tcBorders>
            <w:shd w:val="clear" w:color="auto" w:fill="auto"/>
            <w:vAlign w:val="bottom"/>
          </w:tcPr>
          <w:p w14:paraId="63864E36" w14:textId="77777777" w:rsidR="003856EA" w:rsidRPr="002D2F67" w:rsidRDefault="003856EA" w:rsidP="003856EA">
            <w:pPr>
              <w:ind w:right="-72"/>
              <w:jc w:val="right"/>
              <w:rPr>
                <w:rFonts w:ascii="Arial" w:hAnsi="Arial" w:cs="Arial"/>
                <w:color w:val="000000"/>
                <w:sz w:val="12"/>
                <w:szCs w:val="12"/>
              </w:rPr>
            </w:pPr>
          </w:p>
        </w:tc>
      </w:tr>
      <w:tr w:rsidR="003856EA" w:rsidRPr="002D2F67" w14:paraId="78E058C4" w14:textId="77777777" w:rsidTr="005611FE">
        <w:trPr>
          <w:trHeight w:val="75"/>
        </w:trPr>
        <w:tc>
          <w:tcPr>
            <w:tcW w:w="2542" w:type="pct"/>
            <w:shd w:val="clear" w:color="auto" w:fill="auto"/>
          </w:tcPr>
          <w:p w14:paraId="0FCD7409" w14:textId="77777777" w:rsidR="003856EA" w:rsidRPr="002D2F67" w:rsidRDefault="003856EA" w:rsidP="003856EA">
            <w:pPr>
              <w:ind w:left="-101"/>
              <w:jc w:val="both"/>
              <w:rPr>
                <w:rFonts w:ascii="Arial" w:hAnsi="Arial" w:cs="Arial"/>
                <w:color w:val="000000"/>
                <w:sz w:val="20"/>
                <w:szCs w:val="20"/>
              </w:rPr>
            </w:pPr>
            <w:r w:rsidRPr="002D2F67">
              <w:rPr>
                <w:rFonts w:ascii="Arial" w:hAnsi="Arial" w:cs="Arial"/>
                <w:color w:val="000000"/>
                <w:sz w:val="20"/>
                <w:szCs w:val="20"/>
              </w:rPr>
              <w:t>Fair value</w:t>
            </w:r>
          </w:p>
        </w:tc>
        <w:tc>
          <w:tcPr>
            <w:tcW w:w="819" w:type="pct"/>
            <w:tcBorders>
              <w:bottom w:val="single" w:sz="4" w:space="0" w:color="auto"/>
            </w:tcBorders>
            <w:shd w:val="clear" w:color="auto" w:fill="auto"/>
          </w:tcPr>
          <w:p w14:paraId="57E93730" w14:textId="004B1ECA" w:rsidR="003856EA" w:rsidRPr="002D2F67" w:rsidRDefault="00CD5714" w:rsidP="003856EA">
            <w:pPr>
              <w:ind w:right="-72"/>
              <w:jc w:val="right"/>
              <w:rPr>
                <w:rFonts w:ascii="Arial" w:hAnsi="Arial" w:cs="Arial"/>
                <w:color w:val="000000"/>
                <w:sz w:val="20"/>
                <w:szCs w:val="20"/>
              </w:rPr>
            </w:pPr>
            <w:r w:rsidRPr="00CD5714">
              <w:rPr>
                <w:rFonts w:ascii="Arial" w:hAnsi="Arial" w:cs="Arial"/>
                <w:color w:val="000000"/>
                <w:sz w:val="20"/>
                <w:szCs w:val="20"/>
                <w:lang w:val="en-GB"/>
              </w:rPr>
              <w:t>689</w:t>
            </w:r>
            <w:r w:rsidR="00B00F09" w:rsidRPr="002D2F67">
              <w:rPr>
                <w:rFonts w:ascii="Arial" w:hAnsi="Arial" w:cs="Arial"/>
                <w:color w:val="000000"/>
                <w:sz w:val="20"/>
                <w:szCs w:val="20"/>
              </w:rPr>
              <w:t>,</w:t>
            </w:r>
            <w:r w:rsidRPr="00CD5714">
              <w:rPr>
                <w:rFonts w:ascii="Arial" w:hAnsi="Arial" w:cs="Arial"/>
                <w:color w:val="000000"/>
                <w:sz w:val="20"/>
                <w:szCs w:val="20"/>
                <w:lang w:val="en-GB"/>
              </w:rPr>
              <w:t>690</w:t>
            </w:r>
          </w:p>
        </w:tc>
        <w:tc>
          <w:tcPr>
            <w:tcW w:w="819" w:type="pct"/>
            <w:tcBorders>
              <w:bottom w:val="single" w:sz="4" w:space="0" w:color="auto"/>
            </w:tcBorders>
            <w:shd w:val="clear" w:color="auto" w:fill="auto"/>
          </w:tcPr>
          <w:p w14:paraId="28F715F0" w14:textId="6D6F8772" w:rsidR="003856EA" w:rsidRPr="002D2F67" w:rsidRDefault="00CD5714" w:rsidP="003856EA">
            <w:pPr>
              <w:ind w:right="-72"/>
              <w:jc w:val="right"/>
              <w:rPr>
                <w:rFonts w:ascii="Arial" w:hAnsi="Arial" w:cs="Arial"/>
                <w:color w:val="000000"/>
                <w:sz w:val="20"/>
                <w:szCs w:val="20"/>
              </w:rPr>
            </w:pPr>
            <w:r w:rsidRPr="00CD5714">
              <w:rPr>
                <w:rFonts w:ascii="Arial" w:hAnsi="Arial" w:cs="Arial"/>
                <w:color w:val="000000"/>
                <w:sz w:val="20"/>
                <w:szCs w:val="20"/>
                <w:lang w:val="en-GB"/>
              </w:rPr>
              <w:t>39</w:t>
            </w:r>
            <w:r w:rsidR="00B00F09" w:rsidRPr="002D2F67">
              <w:rPr>
                <w:rFonts w:ascii="Arial" w:hAnsi="Arial" w:cs="Arial"/>
                <w:color w:val="000000"/>
                <w:sz w:val="20"/>
                <w:szCs w:val="20"/>
              </w:rPr>
              <w:t>,</w:t>
            </w:r>
            <w:r w:rsidRPr="00CD5714">
              <w:rPr>
                <w:rFonts w:ascii="Arial" w:hAnsi="Arial" w:cs="Arial"/>
                <w:color w:val="000000"/>
                <w:sz w:val="20"/>
                <w:szCs w:val="20"/>
                <w:lang w:val="en-GB"/>
              </w:rPr>
              <w:t>711</w:t>
            </w:r>
          </w:p>
        </w:tc>
        <w:tc>
          <w:tcPr>
            <w:tcW w:w="820" w:type="pct"/>
            <w:tcBorders>
              <w:bottom w:val="single" w:sz="4" w:space="0" w:color="auto"/>
            </w:tcBorders>
            <w:shd w:val="clear" w:color="auto" w:fill="auto"/>
          </w:tcPr>
          <w:p w14:paraId="2A116870" w14:textId="661919D7" w:rsidR="003856EA" w:rsidRPr="002D2F67" w:rsidRDefault="00CD5714" w:rsidP="003856EA">
            <w:pPr>
              <w:ind w:right="-72"/>
              <w:jc w:val="right"/>
              <w:rPr>
                <w:rFonts w:ascii="Arial" w:hAnsi="Arial" w:cs="Arial"/>
                <w:color w:val="000000"/>
                <w:sz w:val="20"/>
                <w:szCs w:val="20"/>
              </w:rPr>
            </w:pPr>
            <w:r w:rsidRPr="00CD5714">
              <w:rPr>
                <w:rFonts w:ascii="Arial" w:hAnsi="Arial" w:cs="Arial"/>
                <w:color w:val="000000"/>
                <w:sz w:val="20"/>
                <w:szCs w:val="20"/>
                <w:lang w:val="en-GB"/>
              </w:rPr>
              <w:t>729</w:t>
            </w:r>
            <w:r w:rsidR="00B00F09" w:rsidRPr="002D2F67">
              <w:rPr>
                <w:rFonts w:ascii="Arial" w:hAnsi="Arial" w:cs="Arial"/>
                <w:color w:val="000000"/>
                <w:sz w:val="20"/>
                <w:szCs w:val="20"/>
              </w:rPr>
              <w:t>,</w:t>
            </w:r>
            <w:r w:rsidRPr="00CD5714">
              <w:rPr>
                <w:rFonts w:ascii="Arial" w:hAnsi="Arial" w:cs="Arial"/>
                <w:color w:val="000000"/>
                <w:sz w:val="20"/>
                <w:szCs w:val="20"/>
                <w:lang w:val="en-GB"/>
              </w:rPr>
              <w:t>401</w:t>
            </w:r>
          </w:p>
        </w:tc>
      </w:tr>
    </w:tbl>
    <w:p w14:paraId="51BA4D5D" w14:textId="77777777" w:rsidR="00FF408A" w:rsidRPr="002D2F67" w:rsidRDefault="00FF408A" w:rsidP="005611FE">
      <w:pPr>
        <w:jc w:val="both"/>
        <w:rPr>
          <w:rFonts w:ascii="Arial" w:hAnsi="Arial" w:cs="Arial"/>
          <w:color w:val="000000"/>
          <w:sz w:val="20"/>
          <w:szCs w:val="20"/>
        </w:rPr>
      </w:pPr>
    </w:p>
    <w:p w14:paraId="7336D3DB" w14:textId="17B22519" w:rsidR="00C61281" w:rsidRPr="002D2F67" w:rsidRDefault="00C61281" w:rsidP="005611FE">
      <w:pPr>
        <w:pStyle w:val="BodyText"/>
        <w:ind w:right="0"/>
        <w:rPr>
          <w:rFonts w:ascii="Arial" w:eastAsia="Times New Roman" w:hAnsi="Arial" w:cs="Arial"/>
          <w:color w:val="000000"/>
          <w:spacing w:val="-6"/>
          <w:lang w:val="en-GB"/>
        </w:rPr>
      </w:pPr>
      <w:r w:rsidRPr="002D2F67">
        <w:rPr>
          <w:rFonts w:ascii="Arial" w:eastAsia="Times New Roman" w:hAnsi="Arial" w:cs="Arial"/>
          <w:color w:val="000000"/>
          <w:spacing w:val="-6"/>
          <w:lang w:val="en-GB"/>
        </w:rPr>
        <w:t xml:space="preserve">The Group </w:t>
      </w:r>
      <w:r w:rsidR="007C3856" w:rsidRPr="002D2F67">
        <w:rPr>
          <w:rFonts w:ascii="Arial" w:eastAsia="Times New Roman" w:hAnsi="Arial" w:cs="Arial"/>
          <w:color w:val="000000"/>
          <w:spacing w:val="-6"/>
          <w:lang w:val="en-GB"/>
        </w:rPr>
        <w:t>measure</w:t>
      </w:r>
      <w:r w:rsidR="00324685" w:rsidRPr="002D2F67">
        <w:rPr>
          <w:rFonts w:ascii="Arial" w:eastAsia="Times New Roman" w:hAnsi="Arial" w:cs="Arial"/>
          <w:color w:val="000000"/>
          <w:spacing w:val="-6"/>
          <w:lang w:val="en-GB"/>
        </w:rPr>
        <w:t>d</w:t>
      </w:r>
      <w:r w:rsidRPr="002D2F67">
        <w:rPr>
          <w:rFonts w:ascii="Arial" w:eastAsia="Times New Roman" w:hAnsi="Arial" w:cs="Arial"/>
          <w:color w:val="000000"/>
          <w:spacing w:val="-6"/>
          <w:lang w:val="en-GB"/>
        </w:rPr>
        <w:t xml:space="preserve"> fair value of investment properties by appointing an independent appraisal with professional qualification</w:t>
      </w:r>
      <w:r w:rsidR="00446D9B" w:rsidRPr="002D2F67">
        <w:rPr>
          <w:rFonts w:ascii="Arial" w:eastAsia="Times New Roman" w:hAnsi="Arial" w:cs="Arial"/>
          <w:color w:val="000000"/>
          <w:spacing w:val="-6"/>
          <w:lang w:val="en-GB"/>
        </w:rPr>
        <w:t xml:space="preserve">. The valuation technique used for measurement was classified as level </w:t>
      </w:r>
      <w:r w:rsidR="00CD5714" w:rsidRPr="00CD5714">
        <w:rPr>
          <w:rFonts w:ascii="Arial" w:eastAsia="Times New Roman" w:hAnsi="Arial" w:cs="Arial"/>
          <w:color w:val="000000"/>
          <w:spacing w:val="-6"/>
          <w:lang w:val="en-GB"/>
        </w:rPr>
        <w:t>3</w:t>
      </w:r>
      <w:r w:rsidR="00446D9B" w:rsidRPr="002D2F67">
        <w:rPr>
          <w:rFonts w:ascii="Arial" w:eastAsia="Times New Roman" w:hAnsi="Arial" w:cs="Arial"/>
          <w:color w:val="000000"/>
          <w:spacing w:val="-6"/>
          <w:lang w:val="en-GB"/>
        </w:rPr>
        <w:t>.</w:t>
      </w:r>
      <w:r w:rsidR="00D85B27" w:rsidRPr="002D2F67">
        <w:rPr>
          <w:rFonts w:ascii="Arial" w:eastAsia="Times New Roman" w:hAnsi="Arial" w:cs="Arial"/>
          <w:color w:val="000000"/>
          <w:spacing w:val="-6"/>
          <w:lang w:val="en-GB"/>
        </w:rPr>
        <w:t xml:space="preserve"> </w:t>
      </w:r>
      <w:r w:rsidR="00433148" w:rsidRPr="002D2F67">
        <w:rPr>
          <w:rFonts w:ascii="Arial" w:eastAsia="Times New Roman" w:hAnsi="Arial" w:cs="Arial"/>
          <w:color w:val="000000"/>
          <w:spacing w:val="-6"/>
          <w:lang w:val="en-GB"/>
        </w:rPr>
        <w:t xml:space="preserve">The valuation technique used by the Group is </w:t>
      </w:r>
      <w:r w:rsidR="00B30715" w:rsidRPr="002D2F67">
        <w:rPr>
          <w:rFonts w:ascii="Arial" w:eastAsia="Times New Roman" w:hAnsi="Arial" w:cs="Arial"/>
          <w:color w:val="000000"/>
          <w:spacing w:val="-6"/>
          <w:lang w:val="en-GB"/>
        </w:rPr>
        <w:t>m</w:t>
      </w:r>
      <w:r w:rsidR="00433148" w:rsidRPr="002D2F67">
        <w:rPr>
          <w:rFonts w:ascii="Arial" w:eastAsia="Times New Roman" w:hAnsi="Arial" w:cs="Arial"/>
          <w:color w:val="000000"/>
          <w:spacing w:val="-6"/>
          <w:lang w:val="en-GB"/>
        </w:rPr>
        <w:t xml:space="preserve">arket </w:t>
      </w:r>
      <w:r w:rsidR="00B30715" w:rsidRPr="002D2F67">
        <w:rPr>
          <w:rFonts w:ascii="Arial" w:eastAsia="Times New Roman" w:hAnsi="Arial" w:cs="Arial"/>
          <w:color w:val="000000"/>
          <w:spacing w:val="-6"/>
          <w:lang w:val="en-GB"/>
        </w:rPr>
        <w:t>a</w:t>
      </w:r>
      <w:r w:rsidR="00433148" w:rsidRPr="002D2F67">
        <w:rPr>
          <w:rFonts w:ascii="Arial" w:eastAsia="Times New Roman" w:hAnsi="Arial" w:cs="Arial"/>
          <w:color w:val="000000"/>
          <w:spacing w:val="-6"/>
          <w:lang w:val="en-GB"/>
        </w:rPr>
        <w:t xml:space="preserve">pproach which located in nearby location and that have similar purpose of use. </w:t>
      </w:r>
    </w:p>
    <w:p w14:paraId="196A680E" w14:textId="77777777" w:rsidR="00433148" w:rsidRPr="002D2F67" w:rsidRDefault="00433148" w:rsidP="005611FE">
      <w:pPr>
        <w:jc w:val="both"/>
        <w:rPr>
          <w:rFonts w:ascii="Arial" w:hAnsi="Arial" w:cs="Arial"/>
          <w:color w:val="000000"/>
          <w:sz w:val="20"/>
          <w:szCs w:val="20"/>
        </w:rPr>
      </w:pPr>
    </w:p>
    <w:p w14:paraId="6A426FDA" w14:textId="1FA46EDB" w:rsidR="000E0F34" w:rsidRPr="002D2F67" w:rsidRDefault="000E0F34" w:rsidP="000E0F34">
      <w:pPr>
        <w:pStyle w:val="BodyText"/>
        <w:ind w:right="0"/>
        <w:jc w:val="thaiDistribute"/>
        <w:rPr>
          <w:rFonts w:ascii="Arial" w:eastAsia="Times New Roman" w:hAnsi="Arial" w:cs="Arial"/>
          <w:color w:val="000000"/>
          <w:spacing w:val="-4"/>
          <w:lang w:val="en-GB"/>
        </w:rPr>
      </w:pPr>
      <w:r w:rsidRPr="002D2F67">
        <w:rPr>
          <w:rFonts w:ascii="Arial" w:eastAsia="Times New Roman" w:hAnsi="Arial" w:cs="Arial"/>
          <w:color w:val="000000"/>
          <w:spacing w:val="-4"/>
          <w:lang w:val="en-GB"/>
        </w:rPr>
        <w:t xml:space="preserve">As </w:t>
      </w:r>
      <w:proofErr w:type="gramStart"/>
      <w:r w:rsidRPr="002D2F67">
        <w:rPr>
          <w:rFonts w:ascii="Arial" w:eastAsia="Times New Roman" w:hAnsi="Arial" w:cs="Arial"/>
          <w:color w:val="000000"/>
          <w:spacing w:val="-4"/>
          <w:lang w:val="en-GB"/>
        </w:rPr>
        <w:t>at</w:t>
      </w:r>
      <w:proofErr w:type="gramEnd"/>
      <w:r w:rsidRPr="002D2F67">
        <w:rPr>
          <w:rFonts w:ascii="Arial" w:eastAsia="Times New Roman" w:hAnsi="Arial" w:cs="Arial"/>
          <w:color w:val="000000"/>
          <w:spacing w:val="-4"/>
          <w:lang w:val="en-GB"/>
        </w:rPr>
        <w:t xml:space="preserve"> </w:t>
      </w:r>
      <w:r w:rsidR="00CD5714" w:rsidRPr="00CD5714">
        <w:rPr>
          <w:rFonts w:ascii="Arial" w:eastAsia="Times New Roman" w:hAnsi="Arial" w:cs="Arial"/>
          <w:color w:val="000000"/>
          <w:spacing w:val="-4"/>
          <w:lang w:val="en-GB"/>
        </w:rPr>
        <w:t>31</w:t>
      </w:r>
      <w:r w:rsidRPr="002D2F67">
        <w:rPr>
          <w:rFonts w:ascii="Arial" w:eastAsia="Times New Roman" w:hAnsi="Arial" w:cs="Arial"/>
          <w:color w:val="000000"/>
          <w:spacing w:val="-4"/>
          <w:lang w:val="en-GB"/>
        </w:rPr>
        <w:t xml:space="preserve"> December </w:t>
      </w:r>
      <w:r w:rsidR="00CD5714" w:rsidRPr="00CD5714">
        <w:rPr>
          <w:rFonts w:ascii="Arial" w:eastAsia="Times New Roman" w:hAnsi="Arial" w:cs="Arial"/>
          <w:color w:val="000000"/>
          <w:spacing w:val="-4"/>
          <w:lang w:val="en-GB"/>
        </w:rPr>
        <w:t>2024</w:t>
      </w:r>
      <w:r w:rsidRPr="002D2F67">
        <w:rPr>
          <w:rFonts w:ascii="Arial" w:eastAsia="Times New Roman" w:hAnsi="Arial" w:cs="Arial"/>
          <w:color w:val="000000"/>
          <w:spacing w:val="-4"/>
          <w:lang w:val="en-GB"/>
        </w:rPr>
        <w:t xml:space="preserve"> and </w:t>
      </w:r>
      <w:r w:rsidR="00CD5714" w:rsidRPr="00CD5714">
        <w:rPr>
          <w:rFonts w:ascii="Arial" w:eastAsia="Times New Roman" w:hAnsi="Arial" w:cs="Arial"/>
          <w:color w:val="000000"/>
          <w:spacing w:val="-4"/>
          <w:lang w:val="en-GB"/>
        </w:rPr>
        <w:t>2023</w:t>
      </w:r>
      <w:r w:rsidRPr="002D2F67">
        <w:rPr>
          <w:rFonts w:ascii="Arial" w:eastAsia="Times New Roman" w:hAnsi="Arial" w:cs="Arial"/>
          <w:color w:val="000000"/>
          <w:spacing w:val="-4"/>
          <w:lang w:val="en-GB"/>
        </w:rPr>
        <w:t>, investment property of the Group represented land held for undetermined future use and the commercial buildings leased to external parties for purpose of office building.</w:t>
      </w:r>
    </w:p>
    <w:p w14:paraId="7E2B9D67" w14:textId="77777777" w:rsidR="000E0F34" w:rsidRPr="002D2F67" w:rsidRDefault="000E0F34" w:rsidP="005611FE">
      <w:pPr>
        <w:jc w:val="both"/>
        <w:rPr>
          <w:rFonts w:ascii="Arial" w:hAnsi="Arial" w:cs="Arial"/>
          <w:color w:val="000000"/>
          <w:sz w:val="20"/>
          <w:szCs w:val="20"/>
          <w:lang w:val="en-GB"/>
        </w:rPr>
      </w:pPr>
    </w:p>
    <w:p w14:paraId="3EBC175D" w14:textId="0BE2373B" w:rsidR="00FF408A" w:rsidRPr="002D2F67" w:rsidRDefault="00FF408A" w:rsidP="001E01C8">
      <w:pPr>
        <w:pStyle w:val="BodyText"/>
        <w:ind w:right="0"/>
        <w:rPr>
          <w:rFonts w:ascii="Arial" w:eastAsia="Times New Roman" w:hAnsi="Arial" w:cs="Arial"/>
          <w:color w:val="000000"/>
          <w:spacing w:val="-2"/>
          <w:lang w:val="en-GB"/>
        </w:rPr>
      </w:pPr>
      <w:r w:rsidRPr="002D2F67">
        <w:rPr>
          <w:rFonts w:ascii="Arial" w:eastAsia="Times New Roman" w:hAnsi="Arial" w:cs="Arial"/>
          <w:color w:val="000000"/>
          <w:spacing w:val="-6"/>
          <w:lang w:val="en-GB"/>
        </w:rPr>
        <w:t xml:space="preserve">As </w:t>
      </w:r>
      <w:proofErr w:type="gramStart"/>
      <w:r w:rsidRPr="002D2F67">
        <w:rPr>
          <w:rFonts w:ascii="Arial" w:eastAsia="Times New Roman" w:hAnsi="Arial" w:cs="Arial"/>
          <w:color w:val="000000"/>
          <w:spacing w:val="-6"/>
          <w:lang w:val="en-GB"/>
        </w:rPr>
        <w:t>at</w:t>
      </w:r>
      <w:proofErr w:type="gramEnd"/>
      <w:r w:rsidRPr="002D2F67">
        <w:rPr>
          <w:rFonts w:ascii="Arial" w:eastAsia="Times New Roman" w:hAnsi="Arial" w:cs="Arial"/>
          <w:color w:val="000000"/>
          <w:spacing w:val="-6"/>
          <w:lang w:val="en-GB"/>
        </w:rPr>
        <w:t xml:space="preserve"> </w:t>
      </w:r>
      <w:r w:rsidR="00CD5714" w:rsidRPr="00CD5714">
        <w:rPr>
          <w:rFonts w:ascii="Arial" w:eastAsia="Times New Roman" w:hAnsi="Arial" w:cs="Arial"/>
          <w:color w:val="000000"/>
          <w:spacing w:val="-6"/>
          <w:lang w:val="en-GB"/>
        </w:rPr>
        <w:t>31</w:t>
      </w:r>
      <w:r w:rsidRPr="002D2F67">
        <w:rPr>
          <w:rFonts w:ascii="Arial" w:eastAsia="Times New Roman" w:hAnsi="Arial" w:cs="Arial"/>
          <w:color w:val="000000"/>
          <w:spacing w:val="-6"/>
          <w:lang w:val="en-GB"/>
        </w:rPr>
        <w:t xml:space="preserve"> December </w:t>
      </w:r>
      <w:r w:rsidR="00CD5714" w:rsidRPr="00CD5714">
        <w:rPr>
          <w:rFonts w:ascii="Arial" w:eastAsia="Times New Roman" w:hAnsi="Arial" w:cs="Arial"/>
          <w:color w:val="000000"/>
          <w:spacing w:val="-6"/>
          <w:lang w:val="en-GB"/>
        </w:rPr>
        <w:t>2024</w:t>
      </w:r>
      <w:r w:rsidR="003375EA" w:rsidRPr="002D2F67">
        <w:rPr>
          <w:rFonts w:ascii="Arial" w:eastAsia="Times New Roman" w:hAnsi="Arial" w:cs="Arial"/>
          <w:color w:val="000000"/>
          <w:spacing w:val="-6"/>
          <w:lang w:val="en-GB"/>
        </w:rPr>
        <w:t xml:space="preserve"> and </w:t>
      </w:r>
      <w:r w:rsidR="00CD5714" w:rsidRPr="00CD5714">
        <w:rPr>
          <w:rFonts w:ascii="Arial" w:eastAsia="Times New Roman" w:hAnsi="Arial" w:cs="Arial"/>
          <w:color w:val="000000"/>
          <w:spacing w:val="-6"/>
          <w:lang w:val="en-GB"/>
        </w:rPr>
        <w:t>2023</w:t>
      </w:r>
      <w:r w:rsidRPr="002D2F67">
        <w:rPr>
          <w:rFonts w:ascii="Arial" w:eastAsia="Times New Roman" w:hAnsi="Arial" w:cs="Arial"/>
          <w:color w:val="000000"/>
          <w:spacing w:val="-6"/>
          <w:lang w:val="en-GB"/>
        </w:rPr>
        <w:t>, investment property of the Company represented land leased to subsidiarie</w:t>
      </w:r>
      <w:r w:rsidRPr="002D2F67">
        <w:rPr>
          <w:rFonts w:ascii="Arial" w:eastAsia="Times New Roman" w:hAnsi="Arial" w:cs="Arial"/>
          <w:color w:val="000000"/>
          <w:spacing w:val="-2"/>
          <w:lang w:val="en-GB"/>
        </w:rPr>
        <w:t xml:space="preserve">s for the operations of solar power plant and wind farm and the commercial buildings leased to subsidiaries and external parties </w:t>
      </w:r>
      <w:r w:rsidRPr="002D2F67">
        <w:rPr>
          <w:rFonts w:ascii="Arial" w:eastAsia="Times New Roman" w:hAnsi="Arial" w:cs="Arial"/>
          <w:color w:val="000000"/>
          <w:spacing w:val="-4"/>
          <w:lang w:val="en-GB"/>
        </w:rPr>
        <w:t>for purpose of office building</w:t>
      </w:r>
      <w:r w:rsidRPr="002D2F67">
        <w:rPr>
          <w:rFonts w:ascii="Arial" w:eastAsia="Times New Roman" w:hAnsi="Arial" w:cs="Arial"/>
          <w:color w:val="000000"/>
          <w:spacing w:val="-2"/>
          <w:lang w:val="en-GB"/>
        </w:rPr>
        <w:t>.</w:t>
      </w:r>
    </w:p>
    <w:p w14:paraId="329BBF9D" w14:textId="77777777" w:rsidR="00FF408A" w:rsidRPr="002D2F67" w:rsidRDefault="00FF408A" w:rsidP="005611FE">
      <w:pPr>
        <w:jc w:val="both"/>
        <w:rPr>
          <w:rFonts w:ascii="Arial" w:hAnsi="Arial" w:cs="Arial"/>
          <w:color w:val="000000"/>
          <w:sz w:val="20"/>
          <w:szCs w:val="20"/>
          <w:cs/>
        </w:rPr>
      </w:pPr>
    </w:p>
    <w:p w14:paraId="1C12AD66" w14:textId="773CAA82" w:rsidR="00FF408A" w:rsidRPr="002D2F67" w:rsidRDefault="00FF408A" w:rsidP="005611FE">
      <w:pPr>
        <w:pStyle w:val="BodyText"/>
        <w:ind w:right="0"/>
        <w:rPr>
          <w:rFonts w:ascii="Arial" w:hAnsi="Arial" w:cs="Arial"/>
          <w:color w:val="000000"/>
          <w:lang w:val="en-US"/>
        </w:rPr>
      </w:pPr>
      <w:r w:rsidRPr="002D2F67">
        <w:rPr>
          <w:rFonts w:ascii="Arial" w:hAnsi="Arial" w:cs="Arial"/>
          <w:color w:val="000000"/>
          <w:lang w:val="en-US"/>
        </w:rPr>
        <w:t xml:space="preserve">Amount recognised in profit and loss that are related to investment property </w:t>
      </w:r>
      <w:r w:rsidR="00414E95" w:rsidRPr="002D2F67">
        <w:rPr>
          <w:rFonts w:ascii="Arial" w:hAnsi="Arial" w:cs="Arial"/>
          <w:color w:val="000000"/>
          <w:lang w:val="en-US"/>
        </w:rPr>
        <w:t>we</w:t>
      </w:r>
      <w:r w:rsidRPr="002D2F67">
        <w:rPr>
          <w:rFonts w:ascii="Arial" w:hAnsi="Arial" w:cs="Arial"/>
          <w:color w:val="000000"/>
          <w:lang w:val="en-US"/>
        </w:rPr>
        <w:t xml:space="preserve">re as follows: </w:t>
      </w:r>
    </w:p>
    <w:p w14:paraId="1392E0D9" w14:textId="77777777" w:rsidR="00FF408A" w:rsidRPr="002D2F67" w:rsidRDefault="00FF408A" w:rsidP="005611FE">
      <w:pPr>
        <w:jc w:val="both"/>
        <w:rPr>
          <w:rFonts w:ascii="Arial" w:hAnsi="Arial" w:cs="Arial"/>
          <w:color w:val="000000"/>
          <w:sz w:val="20"/>
          <w:szCs w:val="20"/>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FF408A" w:rsidRPr="002D2F67" w14:paraId="4B8DB9D9" w14:textId="77777777" w:rsidTr="008255E8">
        <w:trPr>
          <w:cantSplit/>
        </w:trPr>
        <w:tc>
          <w:tcPr>
            <w:tcW w:w="3690" w:type="dxa"/>
            <w:shd w:val="clear" w:color="auto" w:fill="auto"/>
          </w:tcPr>
          <w:p w14:paraId="04C8A08E" w14:textId="77777777" w:rsidR="00FF408A" w:rsidRPr="002D2F67" w:rsidRDefault="00FF408A" w:rsidP="005611FE">
            <w:pPr>
              <w:ind w:left="101" w:right="-72" w:hanging="187"/>
              <w:rPr>
                <w:rFonts w:ascii="Arial" w:hAnsi="Arial" w:cs="Arial"/>
                <w:color w:val="000000"/>
                <w:sz w:val="20"/>
                <w:szCs w:val="20"/>
              </w:rPr>
            </w:pPr>
          </w:p>
        </w:tc>
        <w:tc>
          <w:tcPr>
            <w:tcW w:w="2880" w:type="dxa"/>
            <w:gridSpan w:val="2"/>
            <w:tcBorders>
              <w:bottom w:val="single" w:sz="4" w:space="0" w:color="auto"/>
            </w:tcBorders>
            <w:shd w:val="clear" w:color="auto" w:fill="auto"/>
          </w:tcPr>
          <w:p w14:paraId="1FC41226" w14:textId="77777777" w:rsidR="00FF1C98" w:rsidRPr="002D2F67" w:rsidRDefault="00FF408A" w:rsidP="005611FE">
            <w:pPr>
              <w:ind w:right="-72"/>
              <w:jc w:val="right"/>
              <w:rPr>
                <w:rFonts w:ascii="Arial" w:hAnsi="Arial" w:cs="Arial"/>
                <w:b/>
                <w:bCs/>
                <w:color w:val="000000"/>
                <w:sz w:val="20"/>
                <w:szCs w:val="20"/>
              </w:rPr>
            </w:pPr>
            <w:r w:rsidRPr="002D2F67">
              <w:rPr>
                <w:rFonts w:ascii="Arial" w:hAnsi="Arial" w:cs="Arial"/>
                <w:b/>
                <w:bCs/>
                <w:color w:val="000000"/>
                <w:sz w:val="20"/>
                <w:szCs w:val="20"/>
              </w:rPr>
              <w:t>Consolidated</w:t>
            </w:r>
            <w:r w:rsidR="00FF1C98" w:rsidRPr="002D2F67">
              <w:rPr>
                <w:rFonts w:ascii="Arial" w:hAnsi="Arial" w:cs="Arial"/>
                <w:b/>
                <w:bCs/>
                <w:color w:val="000000"/>
                <w:sz w:val="20"/>
                <w:szCs w:val="20"/>
              </w:rPr>
              <w:t xml:space="preserve"> </w:t>
            </w:r>
          </w:p>
          <w:p w14:paraId="3FF8F5E0" w14:textId="77777777" w:rsidR="00FF408A" w:rsidRPr="002D2F67" w:rsidRDefault="00FF1C98" w:rsidP="005611FE">
            <w:pPr>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2880" w:type="dxa"/>
            <w:gridSpan w:val="2"/>
            <w:tcBorders>
              <w:bottom w:val="single" w:sz="4" w:space="0" w:color="auto"/>
            </w:tcBorders>
            <w:shd w:val="clear" w:color="auto" w:fill="auto"/>
          </w:tcPr>
          <w:p w14:paraId="4CFD6372" w14:textId="77777777" w:rsidR="00FF1C98" w:rsidRPr="002D2F67" w:rsidRDefault="00FF408A" w:rsidP="005611FE">
            <w:pPr>
              <w:ind w:right="-72"/>
              <w:jc w:val="right"/>
              <w:rPr>
                <w:rFonts w:ascii="Arial" w:hAnsi="Arial" w:cs="Arial"/>
                <w:b/>
                <w:bCs/>
                <w:color w:val="000000"/>
                <w:sz w:val="20"/>
                <w:szCs w:val="20"/>
              </w:rPr>
            </w:pPr>
            <w:r w:rsidRPr="002D2F67">
              <w:rPr>
                <w:rFonts w:ascii="Arial" w:hAnsi="Arial" w:cs="Arial"/>
                <w:b/>
                <w:bCs/>
                <w:color w:val="000000"/>
                <w:sz w:val="20"/>
                <w:szCs w:val="20"/>
              </w:rPr>
              <w:t>Separate</w:t>
            </w:r>
            <w:r w:rsidR="00FF1C98" w:rsidRPr="002D2F67">
              <w:rPr>
                <w:rFonts w:ascii="Arial" w:hAnsi="Arial" w:cs="Arial"/>
                <w:b/>
                <w:bCs/>
                <w:color w:val="000000"/>
                <w:sz w:val="20"/>
                <w:szCs w:val="20"/>
              </w:rPr>
              <w:t xml:space="preserve"> </w:t>
            </w:r>
          </w:p>
          <w:p w14:paraId="2FDCFAC9" w14:textId="77777777" w:rsidR="00FF408A" w:rsidRPr="002D2F67" w:rsidRDefault="00FF1C98" w:rsidP="005611FE">
            <w:pPr>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3375EA" w:rsidRPr="002D2F67" w14:paraId="526434AB" w14:textId="77777777" w:rsidTr="005611FE">
        <w:trPr>
          <w:cantSplit/>
        </w:trPr>
        <w:tc>
          <w:tcPr>
            <w:tcW w:w="3690" w:type="dxa"/>
            <w:shd w:val="clear" w:color="auto" w:fill="auto"/>
          </w:tcPr>
          <w:p w14:paraId="171FA8F4" w14:textId="77777777" w:rsidR="003375EA" w:rsidRPr="002D2F67" w:rsidRDefault="003375EA" w:rsidP="005611FE">
            <w:pPr>
              <w:ind w:left="101" w:right="-72" w:hanging="187"/>
              <w:rPr>
                <w:rFonts w:ascii="Arial" w:hAnsi="Arial" w:cs="Arial"/>
                <w:color w:val="000000"/>
                <w:sz w:val="20"/>
                <w:szCs w:val="20"/>
              </w:rPr>
            </w:pPr>
          </w:p>
        </w:tc>
        <w:tc>
          <w:tcPr>
            <w:tcW w:w="1440" w:type="dxa"/>
            <w:tcBorders>
              <w:top w:val="single" w:sz="4" w:space="0" w:color="auto"/>
            </w:tcBorders>
            <w:shd w:val="clear" w:color="auto" w:fill="auto"/>
          </w:tcPr>
          <w:p w14:paraId="34A15A6E" w14:textId="032D5608" w:rsidR="003375EA"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1440" w:type="dxa"/>
            <w:tcBorders>
              <w:top w:val="single" w:sz="4" w:space="0" w:color="auto"/>
            </w:tcBorders>
            <w:shd w:val="clear" w:color="auto" w:fill="auto"/>
          </w:tcPr>
          <w:p w14:paraId="2D16F3DF" w14:textId="52C5AE49" w:rsidR="003375EA"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c>
          <w:tcPr>
            <w:tcW w:w="1440" w:type="dxa"/>
            <w:tcBorders>
              <w:top w:val="single" w:sz="4" w:space="0" w:color="auto"/>
            </w:tcBorders>
            <w:shd w:val="clear" w:color="auto" w:fill="auto"/>
          </w:tcPr>
          <w:p w14:paraId="6496778B" w14:textId="20CB3012" w:rsidR="003375EA"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1440" w:type="dxa"/>
            <w:tcBorders>
              <w:top w:val="single" w:sz="4" w:space="0" w:color="auto"/>
            </w:tcBorders>
            <w:shd w:val="clear" w:color="auto" w:fill="auto"/>
          </w:tcPr>
          <w:p w14:paraId="7B74FEE9" w14:textId="3E29BB48" w:rsidR="003375EA"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C93FFF" w:rsidRPr="002D2F67" w14:paraId="01F7EB35" w14:textId="77777777" w:rsidTr="005611FE">
        <w:trPr>
          <w:cantSplit/>
        </w:trPr>
        <w:tc>
          <w:tcPr>
            <w:tcW w:w="3690" w:type="dxa"/>
            <w:shd w:val="clear" w:color="auto" w:fill="auto"/>
          </w:tcPr>
          <w:p w14:paraId="6945600E" w14:textId="77777777" w:rsidR="00C93FFF" w:rsidRPr="002D2F67" w:rsidRDefault="00C93FFF" w:rsidP="005611FE">
            <w:pPr>
              <w:ind w:left="101" w:right="-72" w:hanging="187"/>
              <w:rPr>
                <w:rFonts w:ascii="Arial" w:hAnsi="Arial" w:cs="Arial"/>
                <w:color w:val="000000"/>
                <w:sz w:val="20"/>
                <w:szCs w:val="20"/>
              </w:rPr>
            </w:pPr>
          </w:p>
        </w:tc>
        <w:tc>
          <w:tcPr>
            <w:tcW w:w="1440" w:type="dxa"/>
            <w:tcBorders>
              <w:bottom w:val="single" w:sz="4" w:space="0" w:color="auto"/>
            </w:tcBorders>
            <w:shd w:val="clear" w:color="auto" w:fill="auto"/>
          </w:tcPr>
          <w:p w14:paraId="2582F46B" w14:textId="57307379" w:rsidR="00C93FFF" w:rsidRPr="002D2F67" w:rsidRDefault="00C93FFF"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2BE785F6" w14:textId="52D88171" w:rsidR="00C93FFF" w:rsidRPr="002D2F67" w:rsidRDefault="00C93FFF"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6C0B0714" w14:textId="5D41F17F" w:rsidR="00C93FFF" w:rsidRPr="002D2F67" w:rsidRDefault="00C93FFF"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7E1B8CDD" w14:textId="0D95DEBD" w:rsidR="00C93FFF" w:rsidRPr="002D2F67" w:rsidRDefault="00C93FFF"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FF408A" w:rsidRPr="002D2F67" w14:paraId="3FE26019" w14:textId="77777777" w:rsidTr="005611FE">
        <w:trPr>
          <w:cantSplit/>
        </w:trPr>
        <w:tc>
          <w:tcPr>
            <w:tcW w:w="3690" w:type="dxa"/>
            <w:shd w:val="clear" w:color="auto" w:fill="auto"/>
          </w:tcPr>
          <w:p w14:paraId="1F06F98B" w14:textId="77777777" w:rsidR="00FF408A" w:rsidRPr="002D2F67" w:rsidRDefault="00FF408A" w:rsidP="005611FE">
            <w:pPr>
              <w:ind w:left="101" w:right="-72" w:hanging="187"/>
              <w:rPr>
                <w:rFonts w:ascii="Arial" w:hAnsi="Arial" w:cs="Arial"/>
                <w:color w:val="000000"/>
                <w:sz w:val="20"/>
                <w:szCs w:val="20"/>
              </w:rPr>
            </w:pPr>
          </w:p>
        </w:tc>
        <w:tc>
          <w:tcPr>
            <w:tcW w:w="1440" w:type="dxa"/>
            <w:tcBorders>
              <w:top w:val="single" w:sz="4" w:space="0" w:color="auto"/>
            </w:tcBorders>
            <w:shd w:val="clear" w:color="auto" w:fill="auto"/>
          </w:tcPr>
          <w:p w14:paraId="69A00032" w14:textId="77777777" w:rsidR="00FF408A" w:rsidRPr="002D2F67" w:rsidRDefault="00FF408A" w:rsidP="005611FE">
            <w:pPr>
              <w:ind w:right="-72"/>
              <w:rPr>
                <w:rFonts w:ascii="Arial" w:hAnsi="Arial" w:cs="Arial"/>
                <w:color w:val="000000"/>
                <w:sz w:val="20"/>
                <w:szCs w:val="20"/>
              </w:rPr>
            </w:pPr>
          </w:p>
        </w:tc>
        <w:tc>
          <w:tcPr>
            <w:tcW w:w="1440" w:type="dxa"/>
            <w:tcBorders>
              <w:top w:val="single" w:sz="4" w:space="0" w:color="auto"/>
            </w:tcBorders>
            <w:shd w:val="clear" w:color="auto" w:fill="auto"/>
          </w:tcPr>
          <w:p w14:paraId="3A345F92" w14:textId="77777777" w:rsidR="00FF408A" w:rsidRPr="002D2F67" w:rsidRDefault="00FF408A" w:rsidP="005611FE">
            <w:pPr>
              <w:ind w:right="-72"/>
              <w:rPr>
                <w:rFonts w:ascii="Arial" w:hAnsi="Arial" w:cs="Arial"/>
                <w:color w:val="000000"/>
                <w:sz w:val="20"/>
                <w:szCs w:val="20"/>
              </w:rPr>
            </w:pPr>
          </w:p>
        </w:tc>
        <w:tc>
          <w:tcPr>
            <w:tcW w:w="1440" w:type="dxa"/>
            <w:tcBorders>
              <w:top w:val="single" w:sz="4" w:space="0" w:color="auto"/>
            </w:tcBorders>
            <w:shd w:val="clear" w:color="auto" w:fill="auto"/>
          </w:tcPr>
          <w:p w14:paraId="064342FA" w14:textId="77777777" w:rsidR="00FF408A" w:rsidRPr="002D2F67" w:rsidRDefault="00FF408A" w:rsidP="005611FE">
            <w:pPr>
              <w:ind w:right="-72"/>
              <w:rPr>
                <w:rFonts w:ascii="Arial" w:hAnsi="Arial" w:cs="Arial"/>
                <w:color w:val="000000"/>
                <w:sz w:val="20"/>
                <w:szCs w:val="20"/>
              </w:rPr>
            </w:pPr>
          </w:p>
        </w:tc>
        <w:tc>
          <w:tcPr>
            <w:tcW w:w="1440" w:type="dxa"/>
            <w:tcBorders>
              <w:top w:val="single" w:sz="4" w:space="0" w:color="auto"/>
            </w:tcBorders>
            <w:shd w:val="clear" w:color="auto" w:fill="auto"/>
          </w:tcPr>
          <w:p w14:paraId="5D6D299D" w14:textId="77777777" w:rsidR="00FF408A" w:rsidRPr="002D2F67" w:rsidRDefault="00FF408A" w:rsidP="005611FE">
            <w:pPr>
              <w:ind w:right="-72"/>
              <w:rPr>
                <w:rFonts w:ascii="Arial" w:hAnsi="Arial" w:cs="Arial"/>
                <w:color w:val="000000"/>
                <w:sz w:val="20"/>
                <w:szCs w:val="20"/>
              </w:rPr>
            </w:pPr>
          </w:p>
        </w:tc>
      </w:tr>
      <w:tr w:rsidR="00400F8E" w:rsidRPr="002D2F67" w14:paraId="5573710D" w14:textId="77777777" w:rsidTr="005611FE">
        <w:trPr>
          <w:cantSplit/>
        </w:trPr>
        <w:tc>
          <w:tcPr>
            <w:tcW w:w="3690" w:type="dxa"/>
            <w:shd w:val="clear" w:color="auto" w:fill="auto"/>
          </w:tcPr>
          <w:p w14:paraId="6A8D86C8" w14:textId="77777777" w:rsidR="00400F8E" w:rsidRPr="002D2F67" w:rsidRDefault="00400F8E" w:rsidP="005611FE">
            <w:pPr>
              <w:ind w:left="101" w:right="-72" w:hanging="187"/>
              <w:rPr>
                <w:rFonts w:ascii="Arial" w:hAnsi="Arial" w:cs="Arial"/>
                <w:color w:val="000000"/>
                <w:sz w:val="20"/>
                <w:szCs w:val="20"/>
                <w:cs/>
              </w:rPr>
            </w:pPr>
            <w:r w:rsidRPr="002D2F67">
              <w:rPr>
                <w:rFonts w:ascii="Arial" w:hAnsi="Arial" w:cs="Arial"/>
                <w:color w:val="000000"/>
                <w:sz w:val="20"/>
                <w:szCs w:val="20"/>
              </w:rPr>
              <w:t>Rental income</w:t>
            </w:r>
          </w:p>
        </w:tc>
        <w:tc>
          <w:tcPr>
            <w:tcW w:w="1440" w:type="dxa"/>
            <w:shd w:val="clear" w:color="auto" w:fill="auto"/>
          </w:tcPr>
          <w:p w14:paraId="52788F7B" w14:textId="46B9A570" w:rsidR="00400F8E" w:rsidRPr="002D2F67" w:rsidRDefault="00CD5714" w:rsidP="005611FE">
            <w:pPr>
              <w:ind w:right="-72"/>
              <w:jc w:val="right"/>
              <w:rPr>
                <w:rFonts w:ascii="Arial" w:hAnsi="Arial" w:cs="Arial"/>
                <w:color w:val="000000"/>
                <w:sz w:val="20"/>
                <w:szCs w:val="25"/>
              </w:rPr>
            </w:pPr>
            <w:r w:rsidRPr="00CD5714">
              <w:rPr>
                <w:rFonts w:ascii="Arial" w:hAnsi="Arial" w:cs="Arial"/>
                <w:color w:val="000000"/>
                <w:sz w:val="20"/>
                <w:szCs w:val="25"/>
                <w:lang w:val="en-GB"/>
              </w:rPr>
              <w:t>502</w:t>
            </w:r>
          </w:p>
        </w:tc>
        <w:tc>
          <w:tcPr>
            <w:tcW w:w="1440" w:type="dxa"/>
            <w:shd w:val="clear" w:color="auto" w:fill="auto"/>
          </w:tcPr>
          <w:p w14:paraId="76253FF1" w14:textId="29C8C651" w:rsidR="00400F8E"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720</w:t>
            </w:r>
          </w:p>
        </w:tc>
        <w:tc>
          <w:tcPr>
            <w:tcW w:w="1440" w:type="dxa"/>
            <w:shd w:val="clear" w:color="auto" w:fill="auto"/>
          </w:tcPr>
          <w:p w14:paraId="0E12EDBA" w14:textId="0C0039AB" w:rsidR="00400F8E" w:rsidRPr="002D2F67" w:rsidRDefault="00CD5714" w:rsidP="005611FE">
            <w:pPr>
              <w:ind w:right="-72"/>
              <w:jc w:val="right"/>
              <w:rPr>
                <w:rFonts w:ascii="Arial" w:hAnsi="Arial" w:cs="Arial"/>
                <w:color w:val="000000"/>
                <w:sz w:val="20"/>
                <w:szCs w:val="25"/>
              </w:rPr>
            </w:pPr>
            <w:r w:rsidRPr="00CD5714">
              <w:rPr>
                <w:rFonts w:ascii="Arial" w:hAnsi="Arial" w:cs="Arial"/>
                <w:color w:val="000000"/>
                <w:sz w:val="20"/>
                <w:szCs w:val="25"/>
                <w:lang w:val="en-GB"/>
              </w:rPr>
              <w:t>44</w:t>
            </w:r>
            <w:r w:rsidR="00B00F09" w:rsidRPr="002D2F67">
              <w:rPr>
                <w:rFonts w:ascii="Arial" w:hAnsi="Arial" w:cs="Arial"/>
                <w:color w:val="000000"/>
                <w:sz w:val="20"/>
                <w:szCs w:val="25"/>
              </w:rPr>
              <w:t>,</w:t>
            </w:r>
            <w:r w:rsidRPr="00CD5714">
              <w:rPr>
                <w:rFonts w:ascii="Arial" w:hAnsi="Arial" w:cs="Arial"/>
                <w:color w:val="000000"/>
                <w:sz w:val="20"/>
                <w:szCs w:val="25"/>
                <w:lang w:val="en-GB"/>
              </w:rPr>
              <w:t>305</w:t>
            </w:r>
          </w:p>
        </w:tc>
        <w:tc>
          <w:tcPr>
            <w:tcW w:w="1440" w:type="dxa"/>
            <w:shd w:val="clear" w:color="auto" w:fill="auto"/>
          </w:tcPr>
          <w:p w14:paraId="07369EB6" w14:textId="346ACFF2" w:rsidR="00400F8E"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44</w:t>
            </w:r>
            <w:r w:rsidR="00400F8E" w:rsidRPr="002D2F67">
              <w:rPr>
                <w:rFonts w:ascii="Arial" w:hAnsi="Arial" w:cs="Arial"/>
                <w:color w:val="000000"/>
                <w:sz w:val="20"/>
                <w:szCs w:val="20"/>
              </w:rPr>
              <w:t>,</w:t>
            </w:r>
            <w:r w:rsidRPr="00CD5714">
              <w:rPr>
                <w:rFonts w:ascii="Arial" w:hAnsi="Arial" w:cs="Arial"/>
                <w:color w:val="000000"/>
                <w:sz w:val="20"/>
                <w:szCs w:val="20"/>
                <w:lang w:val="en-GB"/>
              </w:rPr>
              <w:t>184</w:t>
            </w:r>
          </w:p>
        </w:tc>
      </w:tr>
    </w:tbl>
    <w:p w14:paraId="48C4DDC2" w14:textId="77777777" w:rsidR="00FD64EF" w:rsidRPr="002D2F67" w:rsidRDefault="00FD64EF" w:rsidP="005611FE">
      <w:pPr>
        <w:jc w:val="both"/>
        <w:rPr>
          <w:rFonts w:ascii="Arial" w:hAnsi="Arial" w:cs="Arial"/>
          <w:color w:val="000000"/>
          <w:sz w:val="20"/>
          <w:szCs w:val="20"/>
        </w:rPr>
        <w:sectPr w:rsidR="00FD64EF" w:rsidRPr="002D2F67" w:rsidSect="00BC5B63">
          <w:pgSz w:w="11907" w:h="16840" w:code="9"/>
          <w:pgMar w:top="1440" w:right="720" w:bottom="720" w:left="1728" w:header="706" w:footer="706" w:gutter="0"/>
          <w:cols w:space="720"/>
          <w:docGrid w:linePitch="326"/>
        </w:sectPr>
      </w:pPr>
    </w:p>
    <w:p w14:paraId="2F0CDE54" w14:textId="77777777" w:rsidR="00235335" w:rsidRPr="002D2F67" w:rsidRDefault="00235335" w:rsidP="005611FE">
      <w:pPr>
        <w:pStyle w:val="BodyTextIndent2"/>
        <w:spacing w:line="240" w:lineRule="auto"/>
        <w:ind w:left="0"/>
        <w:jc w:val="left"/>
        <w:rPr>
          <w:rFonts w:ascii="Arial" w:hAnsi="Arial" w:cs="Arial"/>
          <w:spacing w:val="-2"/>
        </w:rPr>
      </w:pPr>
    </w:p>
    <w:p w14:paraId="1BB9FBFC" w14:textId="6307A9E3" w:rsidR="009C521E"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21</w:t>
      </w:r>
      <w:r w:rsidR="009C521E" w:rsidRPr="002D2F67">
        <w:rPr>
          <w:rFonts w:ascii="Arial" w:hAnsi="Arial" w:cs="Arial"/>
          <w:b/>
          <w:bCs/>
          <w:color w:val="000000"/>
          <w:kern w:val="26"/>
          <w:position w:val="-24"/>
          <w:sz w:val="20"/>
          <w:szCs w:val="20"/>
          <w:cs/>
        </w:rPr>
        <w:tab/>
      </w:r>
      <w:r w:rsidR="009C521E" w:rsidRPr="002D2F67">
        <w:rPr>
          <w:rFonts w:ascii="Arial" w:hAnsi="Arial" w:cs="Arial"/>
          <w:b/>
          <w:bCs/>
          <w:color w:val="000000"/>
          <w:kern w:val="26"/>
          <w:position w:val="-24"/>
          <w:sz w:val="20"/>
          <w:szCs w:val="20"/>
        </w:rPr>
        <w:t>Property, plant and equipment, net</w:t>
      </w:r>
    </w:p>
    <w:p w14:paraId="4904A041" w14:textId="77777777" w:rsidR="00235335" w:rsidRPr="002D2F67" w:rsidRDefault="00235335" w:rsidP="005611FE">
      <w:pPr>
        <w:pStyle w:val="BodyTextIndent2"/>
        <w:spacing w:line="240" w:lineRule="auto"/>
        <w:ind w:left="0"/>
        <w:jc w:val="left"/>
        <w:rPr>
          <w:rFonts w:ascii="Arial" w:hAnsi="Arial" w:cs="Arial"/>
          <w:spacing w:val="-2"/>
        </w:rPr>
      </w:pPr>
    </w:p>
    <w:tbl>
      <w:tblPr>
        <w:tblW w:w="15669" w:type="dxa"/>
        <w:tblInd w:w="-176" w:type="dxa"/>
        <w:tblLayout w:type="fixed"/>
        <w:tblLook w:val="0000" w:firstRow="0" w:lastRow="0" w:firstColumn="0" w:lastColumn="0" w:noHBand="0" w:noVBand="0"/>
      </w:tblPr>
      <w:tblGrid>
        <w:gridCol w:w="4469"/>
        <w:gridCol w:w="1381"/>
        <w:gridCol w:w="1375"/>
        <w:gridCol w:w="1548"/>
        <w:gridCol w:w="1958"/>
        <w:gridCol w:w="1800"/>
        <w:gridCol w:w="1555"/>
        <w:gridCol w:w="1583"/>
      </w:tblGrid>
      <w:tr w:rsidR="00AE4BD1" w:rsidRPr="002D2F67" w14:paraId="2848D5FF" w14:textId="77777777" w:rsidTr="19457625">
        <w:tc>
          <w:tcPr>
            <w:tcW w:w="4469" w:type="dxa"/>
            <w:shd w:val="clear" w:color="auto" w:fill="auto"/>
          </w:tcPr>
          <w:p w14:paraId="4B688136" w14:textId="77777777" w:rsidR="00AE4BD1" w:rsidRPr="002D2F67" w:rsidRDefault="00AE4BD1" w:rsidP="005611FE">
            <w:pPr>
              <w:ind w:left="207"/>
              <w:rPr>
                <w:rFonts w:ascii="Arial" w:hAnsi="Arial" w:cs="Arial"/>
                <w:b/>
                <w:bCs/>
                <w:color w:val="000000"/>
                <w:sz w:val="18"/>
                <w:szCs w:val="18"/>
              </w:rPr>
            </w:pPr>
          </w:p>
        </w:tc>
        <w:tc>
          <w:tcPr>
            <w:tcW w:w="11200" w:type="dxa"/>
            <w:gridSpan w:val="7"/>
            <w:tcBorders>
              <w:bottom w:val="single" w:sz="4" w:space="0" w:color="auto"/>
            </w:tcBorders>
            <w:shd w:val="clear" w:color="auto" w:fill="auto"/>
          </w:tcPr>
          <w:p w14:paraId="0331CB17" w14:textId="77777777" w:rsidR="00AE4BD1" w:rsidRPr="002D2F67" w:rsidRDefault="00AE4BD1" w:rsidP="005611FE">
            <w:pPr>
              <w:ind w:right="-72"/>
              <w:jc w:val="right"/>
              <w:rPr>
                <w:rFonts w:ascii="Arial" w:hAnsi="Arial" w:cs="Arial"/>
                <w:b/>
                <w:bCs/>
                <w:color w:val="000000"/>
                <w:sz w:val="18"/>
                <w:szCs w:val="18"/>
              </w:rPr>
            </w:pPr>
            <w:r w:rsidRPr="002D2F67">
              <w:rPr>
                <w:rFonts w:ascii="Arial" w:hAnsi="Arial" w:cs="Arial"/>
                <w:b/>
                <w:bCs/>
                <w:color w:val="000000"/>
                <w:sz w:val="18"/>
                <w:szCs w:val="18"/>
              </w:rPr>
              <w:t>Consolidated financial statements</w:t>
            </w:r>
          </w:p>
        </w:tc>
      </w:tr>
      <w:tr w:rsidR="00AE4BD1" w:rsidRPr="002D2F67" w14:paraId="14A95DCF" w14:textId="77777777" w:rsidTr="19457625">
        <w:tc>
          <w:tcPr>
            <w:tcW w:w="4469" w:type="dxa"/>
            <w:shd w:val="clear" w:color="auto" w:fill="auto"/>
          </w:tcPr>
          <w:p w14:paraId="0D466AAA" w14:textId="77777777" w:rsidR="00AE4BD1" w:rsidRPr="002D2F67" w:rsidRDefault="00AE4BD1" w:rsidP="005611FE">
            <w:pPr>
              <w:ind w:left="207"/>
              <w:rPr>
                <w:rFonts w:ascii="Arial" w:hAnsi="Arial" w:cs="Arial"/>
                <w:b/>
                <w:bCs/>
                <w:color w:val="000000"/>
                <w:sz w:val="18"/>
                <w:szCs w:val="18"/>
              </w:rPr>
            </w:pPr>
          </w:p>
        </w:tc>
        <w:tc>
          <w:tcPr>
            <w:tcW w:w="1381" w:type="dxa"/>
            <w:tcBorders>
              <w:top w:val="single" w:sz="4" w:space="0" w:color="auto"/>
            </w:tcBorders>
            <w:shd w:val="clear" w:color="auto" w:fill="auto"/>
          </w:tcPr>
          <w:p w14:paraId="6176A9C3" w14:textId="77777777" w:rsidR="00AE4BD1" w:rsidRPr="002D2F67" w:rsidRDefault="00AE4BD1" w:rsidP="005611FE">
            <w:pPr>
              <w:ind w:right="-72"/>
              <w:jc w:val="right"/>
              <w:rPr>
                <w:rFonts w:ascii="Arial" w:hAnsi="Arial" w:cs="Arial"/>
                <w:b/>
                <w:bCs/>
                <w:color w:val="000000"/>
                <w:sz w:val="18"/>
                <w:szCs w:val="18"/>
              </w:rPr>
            </w:pPr>
          </w:p>
          <w:p w14:paraId="205B8BE9" w14:textId="77777777" w:rsidR="00AE4BD1" w:rsidRPr="002D2F67" w:rsidRDefault="00AE4BD1" w:rsidP="005611FE">
            <w:pPr>
              <w:ind w:right="-72"/>
              <w:jc w:val="right"/>
              <w:rPr>
                <w:rFonts w:ascii="Arial" w:hAnsi="Arial" w:cs="Arial"/>
                <w:b/>
                <w:bCs/>
                <w:color w:val="000000"/>
                <w:sz w:val="18"/>
                <w:szCs w:val="18"/>
              </w:rPr>
            </w:pPr>
          </w:p>
          <w:p w14:paraId="73133CF6" w14:textId="77777777" w:rsidR="00AE4BD1" w:rsidRPr="002D2F67" w:rsidRDefault="00AE4BD1" w:rsidP="005611FE">
            <w:pPr>
              <w:ind w:right="-72"/>
              <w:jc w:val="right"/>
              <w:rPr>
                <w:rFonts w:ascii="Arial" w:hAnsi="Arial" w:cs="Arial"/>
                <w:b/>
                <w:bCs/>
                <w:color w:val="000000"/>
                <w:sz w:val="18"/>
                <w:szCs w:val="18"/>
              </w:rPr>
            </w:pPr>
          </w:p>
          <w:p w14:paraId="4416A8F8" w14:textId="77777777" w:rsidR="00AE4BD1" w:rsidRPr="002D2F67" w:rsidRDefault="00AE4BD1" w:rsidP="005611FE">
            <w:pPr>
              <w:ind w:right="-72"/>
              <w:jc w:val="right"/>
              <w:rPr>
                <w:rFonts w:ascii="Arial" w:hAnsi="Arial" w:cs="Arial"/>
                <w:b/>
                <w:bCs/>
                <w:color w:val="000000"/>
                <w:sz w:val="18"/>
                <w:szCs w:val="18"/>
              </w:rPr>
            </w:pPr>
            <w:r w:rsidRPr="002D2F67">
              <w:rPr>
                <w:rFonts w:ascii="Arial" w:hAnsi="Arial" w:cs="Arial"/>
                <w:b/>
                <w:bCs/>
                <w:color w:val="000000"/>
                <w:sz w:val="18"/>
                <w:szCs w:val="18"/>
              </w:rPr>
              <w:t>Land</w:t>
            </w:r>
          </w:p>
        </w:tc>
        <w:tc>
          <w:tcPr>
            <w:tcW w:w="1375" w:type="dxa"/>
            <w:tcBorders>
              <w:top w:val="single" w:sz="4" w:space="0" w:color="auto"/>
            </w:tcBorders>
            <w:shd w:val="clear" w:color="auto" w:fill="auto"/>
          </w:tcPr>
          <w:p w14:paraId="345D18D2" w14:textId="77777777" w:rsidR="00AE4BD1" w:rsidRPr="002D2F67" w:rsidRDefault="00AE4BD1" w:rsidP="005611FE">
            <w:pPr>
              <w:ind w:right="-72"/>
              <w:jc w:val="right"/>
              <w:rPr>
                <w:rFonts w:ascii="Arial" w:hAnsi="Arial" w:cs="Arial"/>
                <w:b/>
                <w:bCs/>
                <w:color w:val="000000"/>
                <w:sz w:val="18"/>
                <w:szCs w:val="18"/>
              </w:rPr>
            </w:pPr>
          </w:p>
          <w:p w14:paraId="728E0B40" w14:textId="77777777" w:rsidR="00AE4BD1" w:rsidRPr="002D2F67" w:rsidRDefault="00AE4BD1" w:rsidP="005611FE">
            <w:pPr>
              <w:ind w:right="-72"/>
              <w:jc w:val="right"/>
              <w:rPr>
                <w:rFonts w:ascii="Arial" w:hAnsi="Arial" w:cs="Arial"/>
                <w:b/>
                <w:bCs/>
                <w:color w:val="000000"/>
                <w:sz w:val="18"/>
                <w:szCs w:val="18"/>
              </w:rPr>
            </w:pPr>
            <w:r w:rsidRPr="002D2F67">
              <w:rPr>
                <w:rFonts w:ascii="Arial" w:hAnsi="Arial" w:cs="Arial"/>
                <w:b/>
                <w:bCs/>
                <w:color w:val="000000"/>
                <w:sz w:val="18"/>
                <w:szCs w:val="18"/>
              </w:rPr>
              <w:t xml:space="preserve">Buildings and buildings improvement </w:t>
            </w:r>
          </w:p>
        </w:tc>
        <w:tc>
          <w:tcPr>
            <w:tcW w:w="1548" w:type="dxa"/>
            <w:tcBorders>
              <w:top w:val="single" w:sz="4" w:space="0" w:color="auto"/>
            </w:tcBorders>
            <w:shd w:val="clear" w:color="auto" w:fill="auto"/>
            <w:vAlign w:val="bottom"/>
          </w:tcPr>
          <w:p w14:paraId="4E5283B8" w14:textId="77777777" w:rsidR="00AE4BD1" w:rsidRPr="002D2F67" w:rsidRDefault="00AE4BD1" w:rsidP="005611FE">
            <w:pPr>
              <w:ind w:right="-72"/>
              <w:jc w:val="right"/>
              <w:rPr>
                <w:rFonts w:ascii="Arial" w:hAnsi="Arial" w:cs="Arial"/>
                <w:b/>
                <w:bCs/>
                <w:color w:val="000000"/>
                <w:sz w:val="18"/>
                <w:szCs w:val="18"/>
              </w:rPr>
            </w:pPr>
            <w:r w:rsidRPr="002D2F67">
              <w:rPr>
                <w:rFonts w:ascii="Arial" w:hAnsi="Arial" w:cs="Arial"/>
                <w:b/>
                <w:bCs/>
                <w:color w:val="000000"/>
                <w:sz w:val="18"/>
                <w:szCs w:val="18"/>
              </w:rPr>
              <w:t>Machines and equipment</w:t>
            </w:r>
          </w:p>
        </w:tc>
        <w:tc>
          <w:tcPr>
            <w:tcW w:w="1958" w:type="dxa"/>
            <w:tcBorders>
              <w:top w:val="single" w:sz="4" w:space="0" w:color="auto"/>
            </w:tcBorders>
            <w:shd w:val="clear" w:color="auto" w:fill="auto"/>
            <w:vAlign w:val="bottom"/>
          </w:tcPr>
          <w:p w14:paraId="4E941238" w14:textId="77777777" w:rsidR="00AE4BD1" w:rsidRPr="002D2F67" w:rsidRDefault="00AE4BD1" w:rsidP="005611FE">
            <w:pPr>
              <w:ind w:left="-108" w:right="-72"/>
              <w:jc w:val="right"/>
              <w:rPr>
                <w:rFonts w:ascii="Arial" w:hAnsi="Arial" w:cs="Arial"/>
                <w:b/>
                <w:bCs/>
                <w:color w:val="000000"/>
                <w:sz w:val="18"/>
                <w:szCs w:val="18"/>
              </w:rPr>
            </w:pPr>
            <w:r w:rsidRPr="002D2F67">
              <w:rPr>
                <w:rFonts w:ascii="Arial" w:hAnsi="Arial" w:cs="Arial"/>
                <w:b/>
                <w:bCs/>
                <w:color w:val="000000"/>
                <w:sz w:val="18"/>
                <w:szCs w:val="18"/>
              </w:rPr>
              <w:t xml:space="preserve">Power plants, substation, transmission system and components </w:t>
            </w:r>
          </w:p>
        </w:tc>
        <w:tc>
          <w:tcPr>
            <w:tcW w:w="1800" w:type="dxa"/>
            <w:tcBorders>
              <w:top w:val="single" w:sz="4" w:space="0" w:color="auto"/>
            </w:tcBorders>
            <w:shd w:val="clear" w:color="auto" w:fill="auto"/>
          </w:tcPr>
          <w:p w14:paraId="218BC929" w14:textId="77777777" w:rsidR="00AE4BD1" w:rsidRPr="002D2F67" w:rsidRDefault="00AE4BD1" w:rsidP="005611FE">
            <w:pPr>
              <w:ind w:right="-72"/>
              <w:jc w:val="right"/>
              <w:rPr>
                <w:rFonts w:ascii="Arial" w:hAnsi="Arial" w:cs="Arial"/>
                <w:b/>
                <w:bCs/>
                <w:color w:val="000000"/>
                <w:sz w:val="18"/>
                <w:szCs w:val="18"/>
              </w:rPr>
            </w:pPr>
            <w:r w:rsidRPr="002D2F67">
              <w:rPr>
                <w:rFonts w:ascii="Arial" w:hAnsi="Arial" w:cs="Arial"/>
                <w:b/>
                <w:bCs/>
                <w:color w:val="000000"/>
                <w:sz w:val="18"/>
                <w:szCs w:val="18"/>
              </w:rPr>
              <w:t>Office equipment,</w:t>
            </w:r>
          </w:p>
          <w:p w14:paraId="0AB0E312" w14:textId="77777777" w:rsidR="00AE4BD1" w:rsidRPr="002D2F67" w:rsidRDefault="00AE4BD1" w:rsidP="005611FE">
            <w:pPr>
              <w:ind w:right="-72"/>
              <w:jc w:val="right"/>
              <w:rPr>
                <w:rFonts w:ascii="Arial" w:hAnsi="Arial" w:cs="Arial"/>
                <w:b/>
                <w:bCs/>
                <w:color w:val="000000"/>
                <w:sz w:val="18"/>
                <w:szCs w:val="18"/>
              </w:rPr>
            </w:pPr>
            <w:r w:rsidRPr="002D2F67">
              <w:rPr>
                <w:rFonts w:ascii="Arial" w:hAnsi="Arial" w:cs="Arial"/>
                <w:b/>
                <w:bCs/>
                <w:color w:val="000000"/>
                <w:sz w:val="18"/>
                <w:szCs w:val="18"/>
              </w:rPr>
              <w:t>furniture,</w:t>
            </w:r>
          </w:p>
          <w:p w14:paraId="3F03CD5B" w14:textId="77777777" w:rsidR="00AE4BD1" w:rsidRPr="002D2F67" w:rsidRDefault="00AE4BD1" w:rsidP="005611FE">
            <w:pPr>
              <w:ind w:right="-72"/>
              <w:jc w:val="right"/>
              <w:rPr>
                <w:rFonts w:ascii="Arial" w:hAnsi="Arial" w:cs="Arial"/>
                <w:b/>
                <w:bCs/>
                <w:color w:val="000000"/>
                <w:sz w:val="18"/>
                <w:szCs w:val="18"/>
              </w:rPr>
            </w:pPr>
            <w:r w:rsidRPr="002D2F67">
              <w:rPr>
                <w:rFonts w:ascii="Arial" w:hAnsi="Arial" w:cs="Arial"/>
                <w:b/>
                <w:bCs/>
                <w:color w:val="000000"/>
                <w:sz w:val="18"/>
                <w:szCs w:val="18"/>
              </w:rPr>
              <w:t>computers and</w:t>
            </w:r>
          </w:p>
          <w:p w14:paraId="0FE9EF28" w14:textId="77777777" w:rsidR="00AE4BD1" w:rsidRPr="002D2F67" w:rsidRDefault="00AE4BD1" w:rsidP="005611FE">
            <w:pPr>
              <w:ind w:right="-72"/>
              <w:jc w:val="right"/>
              <w:rPr>
                <w:rFonts w:ascii="Arial" w:hAnsi="Arial" w:cs="Arial"/>
                <w:b/>
                <w:bCs/>
                <w:color w:val="000000"/>
                <w:sz w:val="18"/>
                <w:szCs w:val="18"/>
              </w:rPr>
            </w:pPr>
            <w:r w:rsidRPr="002D2F67">
              <w:rPr>
                <w:rFonts w:ascii="Arial" w:hAnsi="Arial" w:cs="Arial"/>
                <w:b/>
                <w:bCs/>
                <w:color w:val="000000"/>
                <w:sz w:val="18"/>
                <w:szCs w:val="18"/>
              </w:rPr>
              <w:t>motor vehicles</w:t>
            </w:r>
          </w:p>
        </w:tc>
        <w:tc>
          <w:tcPr>
            <w:tcW w:w="1555" w:type="dxa"/>
            <w:tcBorders>
              <w:top w:val="single" w:sz="4" w:space="0" w:color="auto"/>
            </w:tcBorders>
            <w:shd w:val="clear" w:color="auto" w:fill="auto"/>
            <w:vAlign w:val="bottom"/>
          </w:tcPr>
          <w:p w14:paraId="1C8895DE" w14:textId="77777777" w:rsidR="00AE4BD1" w:rsidRPr="002D2F67" w:rsidRDefault="00AE4BD1" w:rsidP="005611FE">
            <w:pPr>
              <w:ind w:right="-72"/>
              <w:jc w:val="right"/>
              <w:rPr>
                <w:rFonts w:ascii="Arial" w:hAnsi="Arial" w:cs="Arial"/>
                <w:b/>
                <w:bCs/>
                <w:color w:val="000000"/>
                <w:sz w:val="18"/>
                <w:szCs w:val="18"/>
              </w:rPr>
            </w:pPr>
            <w:r w:rsidRPr="002D2F67">
              <w:rPr>
                <w:rFonts w:ascii="Arial" w:hAnsi="Arial" w:cs="Arial"/>
                <w:b/>
                <w:bCs/>
                <w:color w:val="000000"/>
                <w:sz w:val="18"/>
                <w:szCs w:val="18"/>
              </w:rPr>
              <w:t>Construction in progress</w:t>
            </w:r>
          </w:p>
        </w:tc>
        <w:tc>
          <w:tcPr>
            <w:tcW w:w="1583" w:type="dxa"/>
            <w:tcBorders>
              <w:top w:val="single" w:sz="4" w:space="0" w:color="auto"/>
            </w:tcBorders>
            <w:shd w:val="clear" w:color="auto" w:fill="auto"/>
          </w:tcPr>
          <w:p w14:paraId="3EEA324D" w14:textId="77777777" w:rsidR="00AE4BD1" w:rsidRPr="002D2F67" w:rsidRDefault="00AE4BD1" w:rsidP="005611FE">
            <w:pPr>
              <w:ind w:right="-72"/>
              <w:jc w:val="right"/>
              <w:rPr>
                <w:rFonts w:ascii="Arial" w:hAnsi="Arial" w:cs="Arial"/>
                <w:b/>
                <w:bCs/>
                <w:color w:val="000000"/>
                <w:sz w:val="18"/>
                <w:szCs w:val="18"/>
              </w:rPr>
            </w:pPr>
          </w:p>
          <w:p w14:paraId="399886D8" w14:textId="77777777" w:rsidR="00AE4BD1" w:rsidRPr="002D2F67" w:rsidRDefault="00AE4BD1" w:rsidP="005611FE">
            <w:pPr>
              <w:ind w:right="-72"/>
              <w:jc w:val="right"/>
              <w:rPr>
                <w:rFonts w:ascii="Arial" w:hAnsi="Arial" w:cs="Arial"/>
                <w:b/>
                <w:bCs/>
                <w:color w:val="000000"/>
                <w:sz w:val="18"/>
                <w:szCs w:val="18"/>
              </w:rPr>
            </w:pPr>
          </w:p>
          <w:p w14:paraId="2B79E243" w14:textId="77777777" w:rsidR="00AE4BD1" w:rsidRPr="002D2F67" w:rsidRDefault="00AE4BD1" w:rsidP="005611FE">
            <w:pPr>
              <w:ind w:right="-72"/>
              <w:jc w:val="right"/>
              <w:rPr>
                <w:rFonts w:ascii="Arial" w:hAnsi="Arial" w:cs="Arial"/>
                <w:b/>
                <w:bCs/>
                <w:color w:val="000000"/>
                <w:sz w:val="18"/>
                <w:szCs w:val="18"/>
              </w:rPr>
            </w:pPr>
          </w:p>
          <w:p w14:paraId="7DE9FD5A" w14:textId="77777777" w:rsidR="00AE4BD1" w:rsidRPr="002D2F67" w:rsidRDefault="00AE4BD1" w:rsidP="005611FE">
            <w:pPr>
              <w:ind w:right="-72"/>
              <w:jc w:val="right"/>
              <w:rPr>
                <w:rFonts w:ascii="Arial" w:hAnsi="Arial" w:cs="Arial"/>
                <w:b/>
                <w:bCs/>
                <w:color w:val="000000"/>
                <w:sz w:val="18"/>
                <w:szCs w:val="18"/>
              </w:rPr>
            </w:pPr>
            <w:r w:rsidRPr="002D2F67">
              <w:rPr>
                <w:rFonts w:ascii="Arial" w:hAnsi="Arial" w:cs="Arial"/>
                <w:b/>
                <w:bCs/>
                <w:color w:val="000000"/>
                <w:sz w:val="18"/>
                <w:szCs w:val="18"/>
              </w:rPr>
              <w:t>Total</w:t>
            </w:r>
          </w:p>
        </w:tc>
      </w:tr>
      <w:tr w:rsidR="00AE4BD1" w:rsidRPr="002D2F67" w14:paraId="545A486F" w14:textId="77777777" w:rsidTr="19457625">
        <w:tc>
          <w:tcPr>
            <w:tcW w:w="4469" w:type="dxa"/>
            <w:shd w:val="clear" w:color="auto" w:fill="auto"/>
          </w:tcPr>
          <w:p w14:paraId="40808845" w14:textId="77777777" w:rsidR="00AE4BD1" w:rsidRPr="002D2F67" w:rsidRDefault="00AE4BD1" w:rsidP="005611FE">
            <w:pPr>
              <w:ind w:left="207"/>
              <w:rPr>
                <w:rFonts w:ascii="Arial" w:hAnsi="Arial" w:cs="Arial"/>
                <w:b/>
                <w:bCs/>
                <w:color w:val="000000"/>
                <w:sz w:val="18"/>
                <w:szCs w:val="18"/>
              </w:rPr>
            </w:pPr>
          </w:p>
        </w:tc>
        <w:tc>
          <w:tcPr>
            <w:tcW w:w="1381" w:type="dxa"/>
            <w:tcBorders>
              <w:bottom w:val="single" w:sz="4" w:space="0" w:color="auto"/>
            </w:tcBorders>
            <w:shd w:val="clear" w:color="auto" w:fill="auto"/>
          </w:tcPr>
          <w:p w14:paraId="1DF89024" w14:textId="4D2961CF" w:rsidR="00AE4BD1" w:rsidRPr="002D2F67" w:rsidRDefault="00AE4BD1" w:rsidP="005611FE">
            <w:pPr>
              <w:ind w:right="-72"/>
              <w:jc w:val="right"/>
              <w:rPr>
                <w:rFonts w:ascii="Arial" w:hAnsi="Arial" w:cs="Arial"/>
                <w:b/>
                <w:bCs/>
                <w:color w:val="000000"/>
                <w:sz w:val="18"/>
                <w:szCs w:val="18"/>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c>
          <w:tcPr>
            <w:tcW w:w="1375" w:type="dxa"/>
            <w:tcBorders>
              <w:bottom w:val="single" w:sz="4" w:space="0" w:color="auto"/>
            </w:tcBorders>
            <w:shd w:val="clear" w:color="auto" w:fill="auto"/>
          </w:tcPr>
          <w:p w14:paraId="63BE7D15" w14:textId="1265520F" w:rsidR="00AE4BD1" w:rsidRPr="002D2F67" w:rsidRDefault="00AE4BD1" w:rsidP="005611FE">
            <w:pPr>
              <w:pStyle w:val="Heading3"/>
              <w:ind w:right="-72"/>
              <w:rPr>
                <w:rFonts w:ascii="Arial" w:hAnsi="Arial" w:cs="Arial"/>
                <w:color w:val="000000"/>
                <w:sz w:val="18"/>
                <w:szCs w:val="18"/>
              </w:rPr>
            </w:pPr>
            <w:r w:rsidRPr="002D2F67">
              <w:rPr>
                <w:rFonts w:ascii="Arial" w:hAnsi="Arial" w:cs="Arial"/>
                <w:color w:val="000000"/>
                <w:sz w:val="18"/>
                <w:szCs w:val="18"/>
              </w:rPr>
              <w:t>Baht’</w:t>
            </w:r>
            <w:r w:rsidR="00CD5714" w:rsidRPr="00CD5714">
              <w:rPr>
                <w:rFonts w:ascii="Arial" w:hAnsi="Arial" w:cs="Arial"/>
                <w:color w:val="000000"/>
                <w:sz w:val="18"/>
                <w:szCs w:val="18"/>
                <w:lang w:val="en-GB"/>
              </w:rPr>
              <w:t>000</w:t>
            </w:r>
          </w:p>
        </w:tc>
        <w:tc>
          <w:tcPr>
            <w:tcW w:w="1548" w:type="dxa"/>
            <w:tcBorders>
              <w:bottom w:val="single" w:sz="4" w:space="0" w:color="auto"/>
            </w:tcBorders>
            <w:shd w:val="clear" w:color="auto" w:fill="auto"/>
          </w:tcPr>
          <w:p w14:paraId="1DD17DD3" w14:textId="74222BB8" w:rsidR="00AE4BD1" w:rsidRPr="002D2F67" w:rsidRDefault="00AE4BD1" w:rsidP="005611FE">
            <w:pPr>
              <w:pStyle w:val="Heading3"/>
              <w:ind w:right="-72"/>
              <w:rPr>
                <w:rFonts w:ascii="Arial" w:hAnsi="Arial" w:cs="Arial"/>
                <w:color w:val="000000"/>
                <w:sz w:val="18"/>
                <w:szCs w:val="18"/>
              </w:rPr>
            </w:pPr>
            <w:r w:rsidRPr="002D2F67">
              <w:rPr>
                <w:rFonts w:ascii="Arial" w:hAnsi="Arial" w:cs="Arial"/>
                <w:color w:val="000000"/>
                <w:sz w:val="18"/>
                <w:szCs w:val="18"/>
              </w:rPr>
              <w:t>Baht’</w:t>
            </w:r>
            <w:r w:rsidR="00CD5714" w:rsidRPr="00CD5714">
              <w:rPr>
                <w:rFonts w:ascii="Arial" w:hAnsi="Arial" w:cs="Arial"/>
                <w:color w:val="000000"/>
                <w:sz w:val="18"/>
                <w:szCs w:val="18"/>
                <w:lang w:val="en-GB"/>
              </w:rPr>
              <w:t>000</w:t>
            </w:r>
          </w:p>
        </w:tc>
        <w:tc>
          <w:tcPr>
            <w:tcW w:w="1958" w:type="dxa"/>
            <w:tcBorders>
              <w:bottom w:val="single" w:sz="4" w:space="0" w:color="auto"/>
            </w:tcBorders>
            <w:shd w:val="clear" w:color="auto" w:fill="auto"/>
          </w:tcPr>
          <w:p w14:paraId="08D4D069" w14:textId="41E9395D" w:rsidR="00AE4BD1" w:rsidRPr="002D2F67" w:rsidRDefault="00AE4BD1" w:rsidP="005611FE">
            <w:pPr>
              <w:ind w:right="-72"/>
              <w:jc w:val="right"/>
              <w:rPr>
                <w:rFonts w:ascii="Arial" w:hAnsi="Arial" w:cs="Arial"/>
                <w:b/>
                <w:bCs/>
                <w:color w:val="000000"/>
                <w:sz w:val="18"/>
                <w:szCs w:val="18"/>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c>
          <w:tcPr>
            <w:tcW w:w="1800" w:type="dxa"/>
            <w:tcBorders>
              <w:bottom w:val="single" w:sz="4" w:space="0" w:color="auto"/>
            </w:tcBorders>
            <w:shd w:val="clear" w:color="auto" w:fill="auto"/>
          </w:tcPr>
          <w:p w14:paraId="674C0DEE" w14:textId="5E30C038" w:rsidR="00AE4BD1" w:rsidRPr="002D2F67" w:rsidRDefault="00AE4BD1" w:rsidP="005611FE">
            <w:pPr>
              <w:ind w:right="-72"/>
              <w:jc w:val="right"/>
              <w:rPr>
                <w:rFonts w:ascii="Arial" w:hAnsi="Arial" w:cs="Arial"/>
                <w:b/>
                <w:bCs/>
                <w:color w:val="000000"/>
                <w:sz w:val="18"/>
                <w:szCs w:val="18"/>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c>
          <w:tcPr>
            <w:tcW w:w="1555" w:type="dxa"/>
            <w:tcBorders>
              <w:bottom w:val="single" w:sz="4" w:space="0" w:color="auto"/>
            </w:tcBorders>
            <w:shd w:val="clear" w:color="auto" w:fill="auto"/>
          </w:tcPr>
          <w:p w14:paraId="6BBF4FBB" w14:textId="7B6B5641" w:rsidR="00AE4BD1" w:rsidRPr="002D2F67" w:rsidRDefault="00AE4BD1" w:rsidP="005611FE">
            <w:pPr>
              <w:ind w:right="-72"/>
              <w:jc w:val="right"/>
              <w:rPr>
                <w:rFonts w:ascii="Arial" w:hAnsi="Arial" w:cs="Arial"/>
                <w:b/>
                <w:bCs/>
                <w:color w:val="000000"/>
                <w:sz w:val="18"/>
                <w:szCs w:val="18"/>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c>
          <w:tcPr>
            <w:tcW w:w="1583" w:type="dxa"/>
            <w:tcBorders>
              <w:bottom w:val="single" w:sz="4" w:space="0" w:color="auto"/>
            </w:tcBorders>
            <w:shd w:val="clear" w:color="auto" w:fill="auto"/>
          </w:tcPr>
          <w:p w14:paraId="2562A4D5" w14:textId="10FC3FD3" w:rsidR="00AE4BD1" w:rsidRPr="002D2F67" w:rsidRDefault="00AE4BD1" w:rsidP="005611FE">
            <w:pPr>
              <w:ind w:right="-72"/>
              <w:jc w:val="right"/>
              <w:rPr>
                <w:rFonts w:ascii="Arial" w:hAnsi="Arial" w:cs="Arial"/>
                <w:b/>
                <w:bCs/>
                <w:color w:val="000000"/>
                <w:sz w:val="18"/>
                <w:szCs w:val="18"/>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r>
      <w:tr w:rsidR="00AE4BD1" w:rsidRPr="002D2F67" w14:paraId="5A4A3A87" w14:textId="77777777" w:rsidTr="19457625">
        <w:tc>
          <w:tcPr>
            <w:tcW w:w="4469" w:type="dxa"/>
            <w:shd w:val="clear" w:color="auto" w:fill="auto"/>
          </w:tcPr>
          <w:p w14:paraId="2699A7FD" w14:textId="77777777" w:rsidR="00AE4BD1" w:rsidRPr="002D2F67" w:rsidRDefault="00AE4BD1" w:rsidP="005611FE">
            <w:pPr>
              <w:ind w:left="207"/>
              <w:rPr>
                <w:rFonts w:ascii="Arial" w:hAnsi="Arial" w:cs="Arial"/>
                <w:b/>
                <w:bCs/>
                <w:color w:val="000000"/>
                <w:sz w:val="18"/>
                <w:szCs w:val="18"/>
              </w:rPr>
            </w:pPr>
          </w:p>
        </w:tc>
        <w:tc>
          <w:tcPr>
            <w:tcW w:w="1381" w:type="dxa"/>
            <w:tcBorders>
              <w:top w:val="single" w:sz="4" w:space="0" w:color="auto"/>
            </w:tcBorders>
            <w:shd w:val="clear" w:color="auto" w:fill="auto"/>
          </w:tcPr>
          <w:p w14:paraId="6FCE4A55" w14:textId="77777777" w:rsidR="00AE4BD1" w:rsidRPr="002D2F67" w:rsidRDefault="00AE4BD1" w:rsidP="005611FE">
            <w:pPr>
              <w:ind w:right="-72"/>
              <w:jc w:val="right"/>
              <w:rPr>
                <w:rFonts w:ascii="Arial" w:hAnsi="Arial" w:cs="Arial"/>
                <w:color w:val="000000"/>
                <w:sz w:val="18"/>
                <w:szCs w:val="18"/>
              </w:rPr>
            </w:pPr>
          </w:p>
        </w:tc>
        <w:tc>
          <w:tcPr>
            <w:tcW w:w="1375" w:type="dxa"/>
            <w:tcBorders>
              <w:top w:val="single" w:sz="4" w:space="0" w:color="auto"/>
            </w:tcBorders>
            <w:shd w:val="clear" w:color="auto" w:fill="auto"/>
          </w:tcPr>
          <w:p w14:paraId="58068C46" w14:textId="77777777" w:rsidR="00AE4BD1" w:rsidRPr="002D2F67" w:rsidRDefault="00AE4BD1" w:rsidP="005611FE">
            <w:pPr>
              <w:ind w:right="-72"/>
              <w:jc w:val="right"/>
              <w:rPr>
                <w:rFonts w:ascii="Arial" w:hAnsi="Arial" w:cs="Arial"/>
                <w:color w:val="000000"/>
                <w:sz w:val="18"/>
                <w:szCs w:val="18"/>
              </w:rPr>
            </w:pPr>
          </w:p>
        </w:tc>
        <w:tc>
          <w:tcPr>
            <w:tcW w:w="1548" w:type="dxa"/>
            <w:tcBorders>
              <w:top w:val="single" w:sz="4" w:space="0" w:color="auto"/>
            </w:tcBorders>
            <w:shd w:val="clear" w:color="auto" w:fill="auto"/>
          </w:tcPr>
          <w:p w14:paraId="0E403AC4" w14:textId="77777777" w:rsidR="00AE4BD1" w:rsidRPr="002D2F67" w:rsidRDefault="00AE4BD1" w:rsidP="005611FE">
            <w:pPr>
              <w:ind w:right="-72"/>
              <w:jc w:val="right"/>
              <w:rPr>
                <w:rFonts w:ascii="Arial" w:hAnsi="Arial" w:cs="Arial"/>
                <w:color w:val="000000"/>
                <w:sz w:val="18"/>
                <w:szCs w:val="18"/>
              </w:rPr>
            </w:pPr>
          </w:p>
        </w:tc>
        <w:tc>
          <w:tcPr>
            <w:tcW w:w="1958" w:type="dxa"/>
            <w:tcBorders>
              <w:top w:val="single" w:sz="4" w:space="0" w:color="auto"/>
            </w:tcBorders>
            <w:shd w:val="clear" w:color="auto" w:fill="auto"/>
          </w:tcPr>
          <w:p w14:paraId="511B22CE" w14:textId="77777777" w:rsidR="00AE4BD1" w:rsidRPr="002D2F67" w:rsidRDefault="00AE4BD1" w:rsidP="005611FE">
            <w:pPr>
              <w:ind w:right="-72"/>
              <w:jc w:val="right"/>
              <w:rPr>
                <w:rFonts w:ascii="Arial" w:hAnsi="Arial" w:cs="Arial"/>
                <w:color w:val="000000"/>
                <w:sz w:val="18"/>
                <w:szCs w:val="18"/>
              </w:rPr>
            </w:pPr>
          </w:p>
        </w:tc>
        <w:tc>
          <w:tcPr>
            <w:tcW w:w="1800" w:type="dxa"/>
            <w:tcBorders>
              <w:top w:val="single" w:sz="4" w:space="0" w:color="auto"/>
            </w:tcBorders>
            <w:shd w:val="clear" w:color="auto" w:fill="auto"/>
          </w:tcPr>
          <w:p w14:paraId="19131C1E" w14:textId="77777777" w:rsidR="00AE4BD1" w:rsidRPr="002D2F67" w:rsidRDefault="00AE4BD1" w:rsidP="005611FE">
            <w:pPr>
              <w:ind w:right="-72"/>
              <w:jc w:val="right"/>
              <w:rPr>
                <w:rFonts w:ascii="Arial" w:hAnsi="Arial" w:cs="Arial"/>
                <w:color w:val="000000"/>
                <w:sz w:val="18"/>
                <w:szCs w:val="18"/>
              </w:rPr>
            </w:pPr>
          </w:p>
        </w:tc>
        <w:tc>
          <w:tcPr>
            <w:tcW w:w="1555" w:type="dxa"/>
            <w:tcBorders>
              <w:top w:val="single" w:sz="4" w:space="0" w:color="auto"/>
            </w:tcBorders>
            <w:shd w:val="clear" w:color="auto" w:fill="auto"/>
          </w:tcPr>
          <w:p w14:paraId="0D2A783A" w14:textId="77777777" w:rsidR="00AE4BD1" w:rsidRPr="002D2F67" w:rsidRDefault="00AE4BD1" w:rsidP="005611FE">
            <w:pPr>
              <w:ind w:right="-72"/>
              <w:jc w:val="right"/>
              <w:rPr>
                <w:rFonts w:ascii="Arial" w:hAnsi="Arial" w:cs="Arial"/>
                <w:color w:val="000000"/>
                <w:sz w:val="18"/>
                <w:szCs w:val="18"/>
              </w:rPr>
            </w:pPr>
          </w:p>
        </w:tc>
        <w:tc>
          <w:tcPr>
            <w:tcW w:w="1583" w:type="dxa"/>
            <w:tcBorders>
              <w:top w:val="single" w:sz="4" w:space="0" w:color="auto"/>
            </w:tcBorders>
            <w:shd w:val="clear" w:color="auto" w:fill="auto"/>
          </w:tcPr>
          <w:p w14:paraId="31530DEE" w14:textId="77777777" w:rsidR="00AE4BD1" w:rsidRPr="002D2F67" w:rsidRDefault="00AE4BD1" w:rsidP="005611FE">
            <w:pPr>
              <w:ind w:right="-72"/>
              <w:jc w:val="right"/>
              <w:rPr>
                <w:rFonts w:ascii="Arial" w:hAnsi="Arial" w:cs="Arial"/>
                <w:color w:val="000000"/>
                <w:sz w:val="18"/>
                <w:szCs w:val="18"/>
              </w:rPr>
            </w:pPr>
          </w:p>
        </w:tc>
      </w:tr>
      <w:tr w:rsidR="00AE4BD1" w:rsidRPr="002D2F67" w14:paraId="6B0E6DAE" w14:textId="77777777" w:rsidTr="19457625">
        <w:tc>
          <w:tcPr>
            <w:tcW w:w="4469" w:type="dxa"/>
            <w:shd w:val="clear" w:color="auto" w:fill="auto"/>
            <w:vAlign w:val="bottom"/>
          </w:tcPr>
          <w:p w14:paraId="6CB4296D" w14:textId="7C782528" w:rsidR="00AE4BD1" w:rsidRPr="002D2F67" w:rsidRDefault="00AE4BD1" w:rsidP="005611FE">
            <w:pPr>
              <w:ind w:left="207"/>
              <w:rPr>
                <w:rFonts w:ascii="Arial" w:hAnsi="Arial" w:cs="Arial"/>
                <w:b/>
                <w:bCs/>
                <w:color w:val="000000"/>
                <w:sz w:val="18"/>
                <w:szCs w:val="18"/>
              </w:rPr>
            </w:pPr>
            <w:r w:rsidRPr="002D2F67">
              <w:rPr>
                <w:rFonts w:ascii="Arial" w:hAnsi="Arial" w:cs="Arial"/>
                <w:b/>
                <w:bCs/>
                <w:color w:val="000000"/>
                <w:sz w:val="18"/>
                <w:szCs w:val="18"/>
              </w:rPr>
              <w:t xml:space="preserve">As </w:t>
            </w:r>
            <w:proofErr w:type="gramStart"/>
            <w:r w:rsidRPr="002D2F67">
              <w:rPr>
                <w:rFonts w:ascii="Arial" w:hAnsi="Arial" w:cs="Arial"/>
                <w:b/>
                <w:bCs/>
                <w:color w:val="000000"/>
                <w:sz w:val="18"/>
                <w:szCs w:val="18"/>
              </w:rPr>
              <w:t>at</w:t>
            </w:r>
            <w:proofErr w:type="gramEnd"/>
            <w:r w:rsidRPr="002D2F67">
              <w:rPr>
                <w:rFonts w:ascii="Arial" w:hAnsi="Arial" w:cs="Arial"/>
                <w:b/>
                <w:bCs/>
                <w:color w:val="000000"/>
                <w:sz w:val="18"/>
                <w:szCs w:val="18"/>
              </w:rPr>
              <w:t xml:space="preserve"> </w:t>
            </w:r>
            <w:r w:rsidR="00CD5714" w:rsidRPr="00CD5714">
              <w:rPr>
                <w:rFonts w:ascii="Arial" w:hAnsi="Arial" w:cs="Arial"/>
                <w:b/>
                <w:bCs/>
                <w:color w:val="000000"/>
                <w:sz w:val="18"/>
                <w:szCs w:val="18"/>
                <w:lang w:val="en-GB"/>
              </w:rPr>
              <w:t>1</w:t>
            </w:r>
            <w:r w:rsidRPr="002D2F67">
              <w:rPr>
                <w:rFonts w:ascii="Arial" w:hAnsi="Arial" w:cs="Arial"/>
                <w:b/>
                <w:bCs/>
                <w:color w:val="000000"/>
                <w:sz w:val="18"/>
                <w:szCs w:val="18"/>
              </w:rPr>
              <w:t xml:space="preserve"> January </w:t>
            </w:r>
            <w:r w:rsidR="00CD5714" w:rsidRPr="00CD5714">
              <w:rPr>
                <w:rFonts w:ascii="Arial" w:hAnsi="Arial" w:cs="Arial"/>
                <w:b/>
                <w:bCs/>
                <w:color w:val="000000"/>
                <w:sz w:val="18"/>
                <w:szCs w:val="18"/>
                <w:lang w:val="en-GB"/>
              </w:rPr>
              <w:t>2023</w:t>
            </w:r>
          </w:p>
        </w:tc>
        <w:tc>
          <w:tcPr>
            <w:tcW w:w="1381" w:type="dxa"/>
            <w:shd w:val="clear" w:color="auto" w:fill="auto"/>
          </w:tcPr>
          <w:p w14:paraId="56A63960" w14:textId="77777777" w:rsidR="00AE4BD1" w:rsidRPr="002D2F67" w:rsidRDefault="00AE4BD1" w:rsidP="005611FE">
            <w:pPr>
              <w:ind w:right="-72"/>
              <w:jc w:val="right"/>
              <w:rPr>
                <w:rFonts w:ascii="Arial" w:hAnsi="Arial" w:cs="Arial"/>
                <w:color w:val="000000"/>
                <w:sz w:val="18"/>
                <w:szCs w:val="18"/>
              </w:rPr>
            </w:pPr>
          </w:p>
        </w:tc>
        <w:tc>
          <w:tcPr>
            <w:tcW w:w="1375" w:type="dxa"/>
            <w:shd w:val="clear" w:color="auto" w:fill="auto"/>
          </w:tcPr>
          <w:p w14:paraId="41F3FE9A" w14:textId="77777777" w:rsidR="00AE4BD1" w:rsidRPr="002D2F67" w:rsidRDefault="00AE4BD1" w:rsidP="005611FE">
            <w:pPr>
              <w:ind w:right="-72"/>
              <w:jc w:val="right"/>
              <w:rPr>
                <w:rFonts w:ascii="Arial" w:hAnsi="Arial" w:cs="Arial"/>
                <w:color w:val="000000"/>
                <w:sz w:val="18"/>
                <w:szCs w:val="18"/>
              </w:rPr>
            </w:pPr>
          </w:p>
        </w:tc>
        <w:tc>
          <w:tcPr>
            <w:tcW w:w="1548" w:type="dxa"/>
            <w:shd w:val="clear" w:color="auto" w:fill="auto"/>
          </w:tcPr>
          <w:p w14:paraId="487B34E8" w14:textId="77777777" w:rsidR="00AE4BD1" w:rsidRPr="002D2F67" w:rsidRDefault="00AE4BD1" w:rsidP="005611FE">
            <w:pPr>
              <w:ind w:right="-72"/>
              <w:jc w:val="right"/>
              <w:rPr>
                <w:rFonts w:ascii="Arial" w:hAnsi="Arial" w:cs="Arial"/>
                <w:color w:val="000000"/>
                <w:sz w:val="18"/>
                <w:szCs w:val="18"/>
              </w:rPr>
            </w:pPr>
          </w:p>
        </w:tc>
        <w:tc>
          <w:tcPr>
            <w:tcW w:w="1958" w:type="dxa"/>
            <w:shd w:val="clear" w:color="auto" w:fill="auto"/>
          </w:tcPr>
          <w:p w14:paraId="39A995C1" w14:textId="77777777" w:rsidR="00AE4BD1" w:rsidRPr="002D2F67" w:rsidRDefault="00AE4BD1" w:rsidP="005611FE">
            <w:pPr>
              <w:ind w:right="-72"/>
              <w:jc w:val="right"/>
              <w:rPr>
                <w:rFonts w:ascii="Arial" w:hAnsi="Arial" w:cs="Arial"/>
                <w:color w:val="000000"/>
                <w:sz w:val="18"/>
                <w:szCs w:val="18"/>
              </w:rPr>
            </w:pPr>
          </w:p>
        </w:tc>
        <w:tc>
          <w:tcPr>
            <w:tcW w:w="1800" w:type="dxa"/>
            <w:shd w:val="clear" w:color="auto" w:fill="auto"/>
          </w:tcPr>
          <w:p w14:paraId="39E2CF0D" w14:textId="77777777" w:rsidR="00AE4BD1" w:rsidRPr="002D2F67" w:rsidRDefault="00AE4BD1" w:rsidP="005611FE">
            <w:pPr>
              <w:ind w:right="-72"/>
              <w:jc w:val="right"/>
              <w:rPr>
                <w:rFonts w:ascii="Arial" w:hAnsi="Arial" w:cs="Arial"/>
                <w:color w:val="000000"/>
                <w:sz w:val="18"/>
                <w:szCs w:val="18"/>
              </w:rPr>
            </w:pPr>
          </w:p>
        </w:tc>
        <w:tc>
          <w:tcPr>
            <w:tcW w:w="1555" w:type="dxa"/>
            <w:shd w:val="clear" w:color="auto" w:fill="auto"/>
          </w:tcPr>
          <w:p w14:paraId="4D2DF991" w14:textId="77777777" w:rsidR="00AE4BD1" w:rsidRPr="002D2F67" w:rsidRDefault="00AE4BD1" w:rsidP="005611FE">
            <w:pPr>
              <w:tabs>
                <w:tab w:val="left" w:pos="3402"/>
              </w:tabs>
              <w:ind w:right="-72"/>
              <w:jc w:val="right"/>
              <w:rPr>
                <w:rFonts w:ascii="Arial" w:hAnsi="Arial" w:cs="Arial"/>
                <w:color w:val="000000"/>
                <w:sz w:val="18"/>
                <w:szCs w:val="18"/>
              </w:rPr>
            </w:pPr>
          </w:p>
        </w:tc>
        <w:tc>
          <w:tcPr>
            <w:tcW w:w="1583" w:type="dxa"/>
            <w:shd w:val="clear" w:color="auto" w:fill="auto"/>
          </w:tcPr>
          <w:p w14:paraId="77CC1354" w14:textId="77777777" w:rsidR="00AE4BD1" w:rsidRPr="002D2F67" w:rsidRDefault="00AE4BD1" w:rsidP="005611FE">
            <w:pPr>
              <w:ind w:right="-72"/>
              <w:jc w:val="right"/>
              <w:rPr>
                <w:rFonts w:ascii="Arial" w:hAnsi="Arial" w:cs="Arial"/>
                <w:color w:val="000000"/>
                <w:sz w:val="18"/>
                <w:szCs w:val="18"/>
              </w:rPr>
            </w:pPr>
          </w:p>
        </w:tc>
      </w:tr>
      <w:tr w:rsidR="00AE4BD1" w:rsidRPr="002D2F67" w14:paraId="216E9C94" w14:textId="77777777" w:rsidTr="19457625">
        <w:tc>
          <w:tcPr>
            <w:tcW w:w="4469" w:type="dxa"/>
            <w:shd w:val="clear" w:color="auto" w:fill="auto"/>
            <w:vAlign w:val="bottom"/>
          </w:tcPr>
          <w:p w14:paraId="2392A945" w14:textId="77777777" w:rsidR="00AE4BD1" w:rsidRPr="002D2F67" w:rsidRDefault="00AE4BD1" w:rsidP="005611FE">
            <w:pPr>
              <w:ind w:left="207"/>
              <w:rPr>
                <w:rFonts w:ascii="Arial" w:hAnsi="Arial" w:cs="Arial"/>
                <w:color w:val="000000"/>
                <w:sz w:val="18"/>
                <w:szCs w:val="18"/>
              </w:rPr>
            </w:pPr>
            <w:r w:rsidRPr="002D2F67">
              <w:rPr>
                <w:rFonts w:ascii="Arial" w:hAnsi="Arial" w:cs="Arial"/>
                <w:color w:val="000000"/>
                <w:sz w:val="18"/>
                <w:szCs w:val="18"/>
              </w:rPr>
              <w:t>Cost</w:t>
            </w:r>
          </w:p>
        </w:tc>
        <w:tc>
          <w:tcPr>
            <w:tcW w:w="1381" w:type="dxa"/>
            <w:shd w:val="clear" w:color="auto" w:fill="auto"/>
            <w:vAlign w:val="bottom"/>
          </w:tcPr>
          <w:p w14:paraId="4C7475B0" w14:textId="1EEA26E1"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2</w:t>
            </w:r>
            <w:r w:rsidR="00AE4BD1" w:rsidRPr="002D2F67">
              <w:rPr>
                <w:rFonts w:ascii="Arial" w:hAnsi="Arial" w:cs="Arial"/>
                <w:color w:val="000000"/>
                <w:sz w:val="18"/>
                <w:szCs w:val="18"/>
              </w:rPr>
              <w:t>,</w:t>
            </w:r>
            <w:r w:rsidRPr="00CD5714">
              <w:rPr>
                <w:rFonts w:ascii="Arial" w:hAnsi="Arial" w:cs="Arial"/>
                <w:color w:val="000000"/>
                <w:sz w:val="18"/>
                <w:szCs w:val="18"/>
                <w:lang w:val="en-GB"/>
              </w:rPr>
              <w:t>125</w:t>
            </w:r>
            <w:r w:rsidR="00AE4BD1" w:rsidRPr="002D2F67">
              <w:rPr>
                <w:rFonts w:ascii="Arial" w:hAnsi="Arial" w:cs="Arial"/>
                <w:color w:val="000000"/>
                <w:sz w:val="18"/>
                <w:szCs w:val="18"/>
              </w:rPr>
              <w:t>,</w:t>
            </w:r>
            <w:r w:rsidRPr="00CD5714">
              <w:rPr>
                <w:rFonts w:ascii="Arial" w:hAnsi="Arial" w:cs="Arial"/>
                <w:color w:val="000000"/>
                <w:sz w:val="18"/>
                <w:szCs w:val="18"/>
                <w:lang w:val="en-GB"/>
              </w:rPr>
              <w:t>566</w:t>
            </w:r>
          </w:p>
        </w:tc>
        <w:tc>
          <w:tcPr>
            <w:tcW w:w="1375" w:type="dxa"/>
            <w:shd w:val="clear" w:color="auto" w:fill="auto"/>
            <w:vAlign w:val="bottom"/>
          </w:tcPr>
          <w:p w14:paraId="2AD3AE91" w14:textId="4560F584"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6</w:t>
            </w:r>
            <w:r w:rsidR="00AE4BD1" w:rsidRPr="002D2F67">
              <w:rPr>
                <w:rFonts w:ascii="Arial" w:hAnsi="Arial" w:cs="Arial"/>
                <w:color w:val="000000"/>
                <w:sz w:val="18"/>
                <w:szCs w:val="18"/>
              </w:rPr>
              <w:t>,</w:t>
            </w:r>
            <w:r w:rsidRPr="00CD5714">
              <w:rPr>
                <w:rFonts w:ascii="Arial" w:hAnsi="Arial" w:cs="Arial"/>
                <w:color w:val="000000"/>
                <w:sz w:val="18"/>
                <w:szCs w:val="18"/>
                <w:lang w:val="en-GB"/>
              </w:rPr>
              <w:t>598</w:t>
            </w:r>
            <w:r w:rsidR="00AE4BD1" w:rsidRPr="002D2F67">
              <w:rPr>
                <w:rFonts w:ascii="Arial" w:hAnsi="Arial" w:cs="Arial"/>
                <w:color w:val="000000"/>
                <w:sz w:val="18"/>
                <w:szCs w:val="18"/>
              </w:rPr>
              <w:t>,</w:t>
            </w:r>
            <w:r w:rsidRPr="00CD5714">
              <w:rPr>
                <w:rFonts w:ascii="Arial" w:hAnsi="Arial" w:cs="Arial"/>
                <w:color w:val="000000"/>
                <w:sz w:val="18"/>
                <w:szCs w:val="18"/>
                <w:lang w:val="en-GB"/>
              </w:rPr>
              <w:t>966</w:t>
            </w:r>
          </w:p>
        </w:tc>
        <w:tc>
          <w:tcPr>
            <w:tcW w:w="1548" w:type="dxa"/>
            <w:shd w:val="clear" w:color="auto" w:fill="auto"/>
            <w:vAlign w:val="bottom"/>
          </w:tcPr>
          <w:p w14:paraId="15DCAB0C" w14:textId="4C7DFE52"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8</w:t>
            </w:r>
            <w:r w:rsidR="00AE4BD1" w:rsidRPr="002D2F67">
              <w:rPr>
                <w:rFonts w:ascii="Arial" w:hAnsi="Arial" w:cs="Arial"/>
                <w:color w:val="000000"/>
                <w:sz w:val="18"/>
                <w:szCs w:val="18"/>
              </w:rPr>
              <w:t>,</w:t>
            </w:r>
            <w:r w:rsidRPr="00CD5714">
              <w:rPr>
                <w:rFonts w:ascii="Arial" w:hAnsi="Arial" w:cs="Arial"/>
                <w:color w:val="000000"/>
                <w:sz w:val="18"/>
                <w:szCs w:val="18"/>
                <w:lang w:val="en-GB"/>
              </w:rPr>
              <w:t>590</w:t>
            </w:r>
            <w:r w:rsidR="00AE4BD1" w:rsidRPr="002D2F67">
              <w:rPr>
                <w:rFonts w:ascii="Arial" w:hAnsi="Arial" w:cs="Arial"/>
                <w:color w:val="000000"/>
                <w:sz w:val="18"/>
                <w:szCs w:val="18"/>
              </w:rPr>
              <w:t>,</w:t>
            </w:r>
            <w:r w:rsidRPr="00CD5714">
              <w:rPr>
                <w:rFonts w:ascii="Arial" w:hAnsi="Arial" w:cs="Arial"/>
                <w:color w:val="000000"/>
                <w:sz w:val="18"/>
                <w:szCs w:val="18"/>
                <w:lang w:val="en-GB"/>
              </w:rPr>
              <w:t>905</w:t>
            </w:r>
          </w:p>
        </w:tc>
        <w:tc>
          <w:tcPr>
            <w:tcW w:w="1958" w:type="dxa"/>
            <w:shd w:val="clear" w:color="auto" w:fill="auto"/>
            <w:vAlign w:val="bottom"/>
          </w:tcPr>
          <w:p w14:paraId="4D9AB1F1" w14:textId="0DAEEF02"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47</w:t>
            </w:r>
            <w:r w:rsidR="00AE4BD1" w:rsidRPr="002D2F67">
              <w:rPr>
                <w:rFonts w:ascii="Arial" w:hAnsi="Arial" w:cs="Arial"/>
                <w:color w:val="000000"/>
                <w:sz w:val="18"/>
                <w:szCs w:val="18"/>
              </w:rPr>
              <w:t>,</w:t>
            </w:r>
            <w:r w:rsidRPr="00CD5714">
              <w:rPr>
                <w:rFonts w:ascii="Arial" w:hAnsi="Arial" w:cs="Arial"/>
                <w:color w:val="000000"/>
                <w:sz w:val="18"/>
                <w:szCs w:val="18"/>
                <w:lang w:val="en-GB"/>
              </w:rPr>
              <w:t>783</w:t>
            </w:r>
            <w:r w:rsidR="00AE4BD1" w:rsidRPr="002D2F67">
              <w:rPr>
                <w:rFonts w:ascii="Arial" w:hAnsi="Arial" w:cs="Arial"/>
                <w:color w:val="000000"/>
                <w:sz w:val="18"/>
                <w:szCs w:val="18"/>
              </w:rPr>
              <w:t>,</w:t>
            </w:r>
            <w:r w:rsidRPr="00CD5714">
              <w:rPr>
                <w:rFonts w:ascii="Arial" w:hAnsi="Arial" w:cs="Arial"/>
                <w:color w:val="000000"/>
                <w:sz w:val="18"/>
                <w:szCs w:val="18"/>
                <w:lang w:val="en-GB"/>
              </w:rPr>
              <w:t>114</w:t>
            </w:r>
          </w:p>
        </w:tc>
        <w:tc>
          <w:tcPr>
            <w:tcW w:w="1800" w:type="dxa"/>
            <w:shd w:val="clear" w:color="auto" w:fill="auto"/>
            <w:vAlign w:val="bottom"/>
          </w:tcPr>
          <w:p w14:paraId="42A94870" w14:textId="2B30C626"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424</w:t>
            </w:r>
            <w:r w:rsidR="00AE4BD1" w:rsidRPr="002D2F67">
              <w:rPr>
                <w:rFonts w:ascii="Arial" w:hAnsi="Arial" w:cs="Arial"/>
                <w:color w:val="000000"/>
                <w:sz w:val="18"/>
                <w:szCs w:val="18"/>
              </w:rPr>
              <w:t>,</w:t>
            </w:r>
            <w:r w:rsidRPr="00CD5714">
              <w:rPr>
                <w:rFonts w:ascii="Arial" w:hAnsi="Arial" w:cs="Arial"/>
                <w:color w:val="000000"/>
                <w:sz w:val="18"/>
                <w:szCs w:val="18"/>
                <w:lang w:val="en-GB"/>
              </w:rPr>
              <w:t>451</w:t>
            </w:r>
          </w:p>
        </w:tc>
        <w:tc>
          <w:tcPr>
            <w:tcW w:w="1555" w:type="dxa"/>
            <w:shd w:val="clear" w:color="auto" w:fill="auto"/>
            <w:vAlign w:val="bottom"/>
          </w:tcPr>
          <w:p w14:paraId="734CBB03" w14:textId="05537B95"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1</w:t>
            </w:r>
            <w:r w:rsidR="00AE4BD1" w:rsidRPr="002D2F67">
              <w:rPr>
                <w:rFonts w:ascii="Arial" w:hAnsi="Arial" w:cs="Arial"/>
                <w:color w:val="000000"/>
                <w:sz w:val="18"/>
                <w:szCs w:val="18"/>
              </w:rPr>
              <w:t>,</w:t>
            </w:r>
            <w:r w:rsidRPr="00CD5714">
              <w:rPr>
                <w:rFonts w:ascii="Arial" w:hAnsi="Arial" w:cs="Arial"/>
                <w:color w:val="000000"/>
                <w:sz w:val="18"/>
                <w:szCs w:val="18"/>
                <w:lang w:val="en-GB"/>
              </w:rPr>
              <w:t>822</w:t>
            </w:r>
            <w:r w:rsidR="00AE4BD1" w:rsidRPr="002D2F67">
              <w:rPr>
                <w:rFonts w:ascii="Arial" w:hAnsi="Arial" w:cs="Arial"/>
                <w:color w:val="000000"/>
                <w:sz w:val="18"/>
                <w:szCs w:val="18"/>
              </w:rPr>
              <w:t>,</w:t>
            </w:r>
            <w:r w:rsidRPr="00CD5714">
              <w:rPr>
                <w:rFonts w:ascii="Arial" w:hAnsi="Arial" w:cs="Arial"/>
                <w:color w:val="000000"/>
                <w:sz w:val="18"/>
                <w:szCs w:val="18"/>
                <w:lang w:val="en-GB"/>
              </w:rPr>
              <w:t>628</w:t>
            </w:r>
          </w:p>
        </w:tc>
        <w:tc>
          <w:tcPr>
            <w:tcW w:w="1583" w:type="dxa"/>
            <w:shd w:val="clear" w:color="auto" w:fill="auto"/>
            <w:vAlign w:val="bottom"/>
          </w:tcPr>
          <w:p w14:paraId="61AF697C" w14:textId="30CEFBF2"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67</w:t>
            </w:r>
            <w:r w:rsidR="00AE4BD1" w:rsidRPr="002D2F67">
              <w:rPr>
                <w:rFonts w:ascii="Arial" w:hAnsi="Arial" w:cs="Arial"/>
                <w:color w:val="000000"/>
                <w:sz w:val="18"/>
                <w:szCs w:val="18"/>
              </w:rPr>
              <w:t>,</w:t>
            </w:r>
            <w:r w:rsidRPr="00CD5714">
              <w:rPr>
                <w:rFonts w:ascii="Arial" w:hAnsi="Arial" w:cs="Arial"/>
                <w:color w:val="000000"/>
                <w:sz w:val="18"/>
                <w:szCs w:val="18"/>
                <w:lang w:val="en-GB"/>
              </w:rPr>
              <w:t>345</w:t>
            </w:r>
            <w:r w:rsidR="00AE4BD1" w:rsidRPr="002D2F67">
              <w:rPr>
                <w:rFonts w:ascii="Arial" w:hAnsi="Arial" w:cs="Arial"/>
                <w:color w:val="000000"/>
                <w:sz w:val="18"/>
                <w:szCs w:val="18"/>
              </w:rPr>
              <w:t>,</w:t>
            </w:r>
            <w:r w:rsidRPr="00CD5714">
              <w:rPr>
                <w:rFonts w:ascii="Arial" w:hAnsi="Arial" w:cs="Arial"/>
                <w:color w:val="000000"/>
                <w:sz w:val="18"/>
                <w:szCs w:val="18"/>
                <w:lang w:val="en-GB"/>
              </w:rPr>
              <w:t>630</w:t>
            </w:r>
          </w:p>
        </w:tc>
      </w:tr>
      <w:tr w:rsidR="00AE4BD1" w:rsidRPr="002D2F67" w14:paraId="26CB638E" w14:textId="77777777" w:rsidTr="19457625">
        <w:tc>
          <w:tcPr>
            <w:tcW w:w="4469" w:type="dxa"/>
            <w:shd w:val="clear" w:color="auto" w:fill="auto"/>
            <w:vAlign w:val="bottom"/>
          </w:tcPr>
          <w:p w14:paraId="2B79AE23" w14:textId="77777777" w:rsidR="00AE4BD1" w:rsidRPr="002D2F67" w:rsidRDefault="00AE4BD1" w:rsidP="005611FE">
            <w:pPr>
              <w:ind w:left="207"/>
              <w:rPr>
                <w:rFonts w:ascii="Arial" w:hAnsi="Arial" w:cs="Arial"/>
                <w:color w:val="000000"/>
                <w:sz w:val="18"/>
                <w:szCs w:val="18"/>
              </w:rPr>
            </w:pPr>
            <w:r w:rsidRPr="002D2F67">
              <w:rPr>
                <w:rFonts w:ascii="Arial" w:hAnsi="Arial" w:cs="Arial"/>
                <w:color w:val="000000"/>
                <w:sz w:val="18"/>
                <w:szCs w:val="18"/>
                <w:u w:val="single"/>
              </w:rPr>
              <w:t>Less</w:t>
            </w:r>
            <w:r w:rsidRPr="002D2F67">
              <w:rPr>
                <w:rFonts w:ascii="Arial" w:hAnsi="Arial" w:cs="Arial"/>
                <w:color w:val="000000"/>
                <w:sz w:val="18"/>
                <w:szCs w:val="18"/>
              </w:rPr>
              <w:t xml:space="preserve">  Accumulated depreciation</w:t>
            </w:r>
          </w:p>
        </w:tc>
        <w:tc>
          <w:tcPr>
            <w:tcW w:w="1381" w:type="dxa"/>
            <w:tcBorders>
              <w:bottom w:val="single" w:sz="4" w:space="0" w:color="auto"/>
            </w:tcBorders>
            <w:shd w:val="clear" w:color="auto" w:fill="auto"/>
            <w:vAlign w:val="bottom"/>
          </w:tcPr>
          <w:p w14:paraId="761A3C6B" w14:textId="77777777"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p>
        </w:tc>
        <w:tc>
          <w:tcPr>
            <w:tcW w:w="1375" w:type="dxa"/>
            <w:tcBorders>
              <w:bottom w:val="single" w:sz="4" w:space="0" w:color="auto"/>
            </w:tcBorders>
            <w:shd w:val="clear" w:color="auto" w:fill="auto"/>
            <w:vAlign w:val="bottom"/>
          </w:tcPr>
          <w:p w14:paraId="678CCE8D" w14:textId="4480906F"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656</w:t>
            </w:r>
            <w:r w:rsidRPr="002D2F67">
              <w:rPr>
                <w:rFonts w:ascii="Arial" w:hAnsi="Arial" w:cs="Arial"/>
                <w:color w:val="000000"/>
                <w:sz w:val="18"/>
                <w:szCs w:val="18"/>
              </w:rPr>
              <w:t>,</w:t>
            </w:r>
            <w:r w:rsidR="00CD5714" w:rsidRPr="00CD5714">
              <w:rPr>
                <w:rFonts w:ascii="Arial" w:hAnsi="Arial" w:cs="Arial"/>
                <w:color w:val="000000"/>
                <w:sz w:val="18"/>
                <w:szCs w:val="18"/>
                <w:lang w:val="en-GB"/>
              </w:rPr>
              <w:t>952</w:t>
            </w:r>
            <w:r w:rsidRPr="002D2F67">
              <w:rPr>
                <w:rFonts w:ascii="Arial" w:hAnsi="Arial" w:cs="Arial"/>
                <w:color w:val="000000"/>
                <w:sz w:val="18"/>
                <w:szCs w:val="18"/>
              </w:rPr>
              <w:t>)</w:t>
            </w:r>
          </w:p>
        </w:tc>
        <w:tc>
          <w:tcPr>
            <w:tcW w:w="1548" w:type="dxa"/>
            <w:tcBorders>
              <w:bottom w:val="single" w:sz="4" w:space="0" w:color="auto"/>
            </w:tcBorders>
            <w:shd w:val="clear" w:color="auto" w:fill="auto"/>
            <w:vAlign w:val="bottom"/>
          </w:tcPr>
          <w:p w14:paraId="1FDCF6D4" w14:textId="4EF78420"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2</w:t>
            </w:r>
            <w:r w:rsidRPr="002D2F67">
              <w:rPr>
                <w:rFonts w:ascii="Arial" w:hAnsi="Arial" w:cs="Arial"/>
                <w:color w:val="000000"/>
                <w:sz w:val="18"/>
                <w:szCs w:val="18"/>
              </w:rPr>
              <w:t>,</w:t>
            </w:r>
            <w:r w:rsidR="00CD5714" w:rsidRPr="00CD5714">
              <w:rPr>
                <w:rFonts w:ascii="Arial" w:hAnsi="Arial" w:cs="Arial"/>
                <w:color w:val="000000"/>
                <w:sz w:val="18"/>
                <w:szCs w:val="18"/>
                <w:lang w:val="en-GB"/>
              </w:rPr>
              <w:t>575</w:t>
            </w:r>
            <w:r w:rsidRPr="002D2F67">
              <w:rPr>
                <w:rFonts w:ascii="Arial" w:hAnsi="Arial" w:cs="Arial"/>
                <w:color w:val="000000"/>
                <w:sz w:val="18"/>
                <w:szCs w:val="18"/>
              </w:rPr>
              <w:t>,</w:t>
            </w:r>
            <w:r w:rsidR="00CD5714" w:rsidRPr="00CD5714">
              <w:rPr>
                <w:rFonts w:ascii="Arial" w:hAnsi="Arial" w:cs="Arial"/>
                <w:color w:val="000000"/>
                <w:sz w:val="18"/>
                <w:szCs w:val="18"/>
                <w:lang w:val="en-GB"/>
              </w:rPr>
              <w:t>347</w:t>
            </w:r>
            <w:r w:rsidRPr="002D2F67">
              <w:rPr>
                <w:rFonts w:ascii="Arial" w:hAnsi="Arial" w:cs="Arial"/>
                <w:color w:val="000000"/>
                <w:sz w:val="18"/>
                <w:szCs w:val="18"/>
              </w:rPr>
              <w:t>)</w:t>
            </w:r>
          </w:p>
        </w:tc>
        <w:tc>
          <w:tcPr>
            <w:tcW w:w="1958" w:type="dxa"/>
            <w:tcBorders>
              <w:bottom w:val="single" w:sz="4" w:space="0" w:color="auto"/>
            </w:tcBorders>
            <w:shd w:val="clear" w:color="auto" w:fill="auto"/>
            <w:vAlign w:val="bottom"/>
          </w:tcPr>
          <w:p w14:paraId="7AF5E34D" w14:textId="7AC25E49"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9</w:t>
            </w:r>
            <w:r w:rsidRPr="002D2F67">
              <w:rPr>
                <w:rFonts w:ascii="Arial" w:hAnsi="Arial" w:cs="Arial"/>
                <w:color w:val="000000"/>
                <w:sz w:val="18"/>
                <w:szCs w:val="18"/>
              </w:rPr>
              <w:t>,</w:t>
            </w:r>
            <w:r w:rsidR="00CD5714" w:rsidRPr="00CD5714">
              <w:rPr>
                <w:rFonts w:ascii="Arial" w:hAnsi="Arial" w:cs="Arial"/>
                <w:color w:val="000000"/>
                <w:sz w:val="18"/>
                <w:szCs w:val="18"/>
                <w:lang w:val="en-GB"/>
              </w:rPr>
              <w:t>635</w:t>
            </w:r>
            <w:r w:rsidRPr="002D2F67">
              <w:rPr>
                <w:rFonts w:ascii="Arial" w:hAnsi="Arial" w:cs="Arial"/>
                <w:color w:val="000000"/>
                <w:sz w:val="18"/>
                <w:szCs w:val="18"/>
              </w:rPr>
              <w:t>,</w:t>
            </w:r>
            <w:r w:rsidR="00CD5714" w:rsidRPr="00CD5714">
              <w:rPr>
                <w:rFonts w:ascii="Arial" w:hAnsi="Arial" w:cs="Arial"/>
                <w:color w:val="000000"/>
                <w:sz w:val="18"/>
                <w:szCs w:val="18"/>
                <w:lang w:val="en-GB"/>
              </w:rPr>
              <w:t>030</w:t>
            </w:r>
            <w:r w:rsidRPr="002D2F67">
              <w:rPr>
                <w:rFonts w:ascii="Arial" w:hAnsi="Arial" w:cs="Arial"/>
                <w:color w:val="000000"/>
                <w:sz w:val="18"/>
                <w:szCs w:val="18"/>
              </w:rPr>
              <w:t>)</w:t>
            </w:r>
          </w:p>
        </w:tc>
        <w:tc>
          <w:tcPr>
            <w:tcW w:w="1800" w:type="dxa"/>
            <w:tcBorders>
              <w:bottom w:val="single" w:sz="4" w:space="0" w:color="auto"/>
            </w:tcBorders>
            <w:shd w:val="clear" w:color="auto" w:fill="auto"/>
            <w:vAlign w:val="bottom"/>
          </w:tcPr>
          <w:p w14:paraId="461DFB55" w14:textId="03AD9245"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256</w:t>
            </w:r>
            <w:r w:rsidRPr="002D2F67">
              <w:rPr>
                <w:rFonts w:ascii="Arial" w:hAnsi="Arial" w:cs="Arial"/>
                <w:color w:val="000000"/>
                <w:sz w:val="18"/>
                <w:szCs w:val="18"/>
              </w:rPr>
              <w:t>,</w:t>
            </w:r>
            <w:r w:rsidR="00CD5714" w:rsidRPr="00CD5714">
              <w:rPr>
                <w:rFonts w:ascii="Arial" w:hAnsi="Arial" w:cs="Arial"/>
                <w:color w:val="000000"/>
                <w:sz w:val="18"/>
                <w:szCs w:val="18"/>
                <w:lang w:val="en-GB"/>
              </w:rPr>
              <w:t>914</w:t>
            </w:r>
            <w:r w:rsidRPr="002D2F67">
              <w:rPr>
                <w:rFonts w:ascii="Arial" w:hAnsi="Arial" w:cs="Arial"/>
                <w:color w:val="000000"/>
                <w:sz w:val="18"/>
                <w:szCs w:val="18"/>
              </w:rPr>
              <w:t>)</w:t>
            </w:r>
          </w:p>
        </w:tc>
        <w:tc>
          <w:tcPr>
            <w:tcW w:w="1555" w:type="dxa"/>
            <w:tcBorders>
              <w:bottom w:val="single" w:sz="4" w:space="0" w:color="auto"/>
            </w:tcBorders>
            <w:shd w:val="clear" w:color="auto" w:fill="auto"/>
            <w:vAlign w:val="bottom"/>
          </w:tcPr>
          <w:p w14:paraId="073FB730" w14:textId="77777777"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p>
        </w:tc>
        <w:tc>
          <w:tcPr>
            <w:tcW w:w="1583" w:type="dxa"/>
            <w:tcBorders>
              <w:bottom w:val="single" w:sz="4" w:space="0" w:color="auto"/>
            </w:tcBorders>
            <w:shd w:val="clear" w:color="auto" w:fill="auto"/>
            <w:vAlign w:val="bottom"/>
          </w:tcPr>
          <w:p w14:paraId="32634E9B" w14:textId="6DCE2E26"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13</w:t>
            </w:r>
            <w:r w:rsidRPr="002D2F67">
              <w:rPr>
                <w:rFonts w:ascii="Arial" w:hAnsi="Arial" w:cs="Arial"/>
                <w:color w:val="000000"/>
                <w:sz w:val="18"/>
                <w:szCs w:val="18"/>
              </w:rPr>
              <w:t>,</w:t>
            </w:r>
            <w:r w:rsidR="00CD5714" w:rsidRPr="00CD5714">
              <w:rPr>
                <w:rFonts w:ascii="Arial" w:hAnsi="Arial" w:cs="Arial"/>
                <w:color w:val="000000"/>
                <w:sz w:val="18"/>
                <w:szCs w:val="18"/>
                <w:lang w:val="en-GB"/>
              </w:rPr>
              <w:t>124</w:t>
            </w:r>
            <w:r w:rsidRPr="002D2F67">
              <w:rPr>
                <w:rFonts w:ascii="Arial" w:hAnsi="Arial" w:cs="Arial"/>
                <w:color w:val="000000"/>
                <w:sz w:val="18"/>
                <w:szCs w:val="18"/>
              </w:rPr>
              <w:t>,</w:t>
            </w:r>
            <w:r w:rsidR="00CD5714" w:rsidRPr="00CD5714">
              <w:rPr>
                <w:rFonts w:ascii="Arial" w:hAnsi="Arial" w:cs="Arial"/>
                <w:color w:val="000000"/>
                <w:sz w:val="18"/>
                <w:szCs w:val="18"/>
                <w:lang w:val="en-GB"/>
              </w:rPr>
              <w:t>243</w:t>
            </w:r>
            <w:r w:rsidRPr="002D2F67">
              <w:rPr>
                <w:rFonts w:ascii="Arial" w:hAnsi="Arial" w:cs="Arial"/>
                <w:color w:val="000000"/>
                <w:sz w:val="18"/>
                <w:szCs w:val="18"/>
              </w:rPr>
              <w:t>)</w:t>
            </w:r>
          </w:p>
        </w:tc>
      </w:tr>
      <w:tr w:rsidR="00AE4BD1" w:rsidRPr="002D2F67" w14:paraId="6CD66A6E" w14:textId="77777777" w:rsidTr="19457625">
        <w:tc>
          <w:tcPr>
            <w:tcW w:w="4469" w:type="dxa"/>
            <w:shd w:val="clear" w:color="auto" w:fill="auto"/>
          </w:tcPr>
          <w:p w14:paraId="63B710DB" w14:textId="77777777" w:rsidR="00AE4BD1" w:rsidRPr="002D2F67" w:rsidRDefault="00AE4BD1" w:rsidP="005611FE">
            <w:pPr>
              <w:ind w:left="207"/>
              <w:rPr>
                <w:rFonts w:ascii="Arial" w:hAnsi="Arial" w:cs="Arial"/>
                <w:b/>
                <w:bCs/>
                <w:color w:val="000000"/>
                <w:sz w:val="12"/>
                <w:szCs w:val="12"/>
              </w:rPr>
            </w:pPr>
          </w:p>
        </w:tc>
        <w:tc>
          <w:tcPr>
            <w:tcW w:w="1381" w:type="dxa"/>
            <w:tcBorders>
              <w:top w:val="single" w:sz="4" w:space="0" w:color="auto"/>
            </w:tcBorders>
            <w:shd w:val="clear" w:color="auto" w:fill="auto"/>
          </w:tcPr>
          <w:p w14:paraId="010E8C56" w14:textId="77777777" w:rsidR="00AE4BD1" w:rsidRPr="002D2F67" w:rsidRDefault="00AE4BD1" w:rsidP="005611FE">
            <w:pPr>
              <w:ind w:right="-72"/>
              <w:jc w:val="right"/>
              <w:rPr>
                <w:rFonts w:ascii="Arial" w:hAnsi="Arial" w:cs="Arial"/>
                <w:b/>
                <w:bCs/>
                <w:color w:val="000000"/>
                <w:sz w:val="12"/>
                <w:szCs w:val="12"/>
              </w:rPr>
            </w:pPr>
          </w:p>
        </w:tc>
        <w:tc>
          <w:tcPr>
            <w:tcW w:w="1375" w:type="dxa"/>
            <w:tcBorders>
              <w:top w:val="single" w:sz="4" w:space="0" w:color="auto"/>
            </w:tcBorders>
            <w:shd w:val="clear" w:color="auto" w:fill="auto"/>
          </w:tcPr>
          <w:p w14:paraId="262A6C80" w14:textId="77777777" w:rsidR="00AE4BD1" w:rsidRPr="002D2F67" w:rsidRDefault="00AE4BD1" w:rsidP="005611FE">
            <w:pPr>
              <w:ind w:right="-72"/>
              <w:jc w:val="right"/>
              <w:rPr>
                <w:rFonts w:ascii="Arial" w:hAnsi="Arial" w:cs="Arial"/>
                <w:b/>
                <w:bCs/>
                <w:color w:val="000000"/>
                <w:sz w:val="12"/>
                <w:szCs w:val="12"/>
              </w:rPr>
            </w:pPr>
          </w:p>
        </w:tc>
        <w:tc>
          <w:tcPr>
            <w:tcW w:w="1548" w:type="dxa"/>
            <w:tcBorders>
              <w:top w:val="single" w:sz="4" w:space="0" w:color="auto"/>
            </w:tcBorders>
            <w:shd w:val="clear" w:color="auto" w:fill="auto"/>
          </w:tcPr>
          <w:p w14:paraId="44913940" w14:textId="77777777" w:rsidR="00AE4BD1" w:rsidRPr="002D2F67" w:rsidRDefault="00AE4BD1" w:rsidP="005611FE">
            <w:pPr>
              <w:ind w:right="-72"/>
              <w:jc w:val="right"/>
              <w:rPr>
                <w:rFonts w:ascii="Arial" w:hAnsi="Arial" w:cs="Arial"/>
                <w:b/>
                <w:bCs/>
                <w:color w:val="000000"/>
                <w:sz w:val="12"/>
                <w:szCs w:val="12"/>
              </w:rPr>
            </w:pPr>
          </w:p>
        </w:tc>
        <w:tc>
          <w:tcPr>
            <w:tcW w:w="1958" w:type="dxa"/>
            <w:tcBorders>
              <w:top w:val="single" w:sz="4" w:space="0" w:color="auto"/>
            </w:tcBorders>
            <w:shd w:val="clear" w:color="auto" w:fill="auto"/>
          </w:tcPr>
          <w:p w14:paraId="124E2DEC" w14:textId="77777777" w:rsidR="00AE4BD1" w:rsidRPr="002D2F67" w:rsidRDefault="00AE4BD1" w:rsidP="005611FE">
            <w:pPr>
              <w:ind w:right="-72"/>
              <w:jc w:val="right"/>
              <w:rPr>
                <w:rFonts w:ascii="Arial" w:hAnsi="Arial" w:cs="Arial"/>
                <w:b/>
                <w:bCs/>
                <w:color w:val="000000"/>
                <w:sz w:val="12"/>
                <w:szCs w:val="12"/>
              </w:rPr>
            </w:pPr>
          </w:p>
        </w:tc>
        <w:tc>
          <w:tcPr>
            <w:tcW w:w="1800" w:type="dxa"/>
            <w:tcBorders>
              <w:top w:val="single" w:sz="4" w:space="0" w:color="auto"/>
            </w:tcBorders>
            <w:shd w:val="clear" w:color="auto" w:fill="auto"/>
          </w:tcPr>
          <w:p w14:paraId="5C447479" w14:textId="77777777" w:rsidR="00AE4BD1" w:rsidRPr="002D2F67" w:rsidRDefault="00AE4BD1" w:rsidP="005611FE">
            <w:pPr>
              <w:ind w:right="-72"/>
              <w:jc w:val="right"/>
              <w:rPr>
                <w:rFonts w:ascii="Arial" w:hAnsi="Arial" w:cs="Arial"/>
                <w:b/>
                <w:bCs/>
                <w:color w:val="000000"/>
                <w:sz w:val="12"/>
                <w:szCs w:val="12"/>
              </w:rPr>
            </w:pPr>
          </w:p>
        </w:tc>
        <w:tc>
          <w:tcPr>
            <w:tcW w:w="1555" w:type="dxa"/>
            <w:tcBorders>
              <w:top w:val="single" w:sz="4" w:space="0" w:color="auto"/>
            </w:tcBorders>
            <w:shd w:val="clear" w:color="auto" w:fill="auto"/>
          </w:tcPr>
          <w:p w14:paraId="49353992" w14:textId="77777777" w:rsidR="00AE4BD1" w:rsidRPr="002D2F67" w:rsidRDefault="00AE4BD1" w:rsidP="005611FE">
            <w:pPr>
              <w:ind w:right="-72"/>
              <w:jc w:val="right"/>
              <w:rPr>
                <w:rFonts w:ascii="Arial" w:hAnsi="Arial" w:cs="Arial"/>
                <w:b/>
                <w:bCs/>
                <w:color w:val="000000"/>
                <w:sz w:val="12"/>
                <w:szCs w:val="12"/>
              </w:rPr>
            </w:pPr>
          </w:p>
        </w:tc>
        <w:tc>
          <w:tcPr>
            <w:tcW w:w="1583" w:type="dxa"/>
            <w:tcBorders>
              <w:top w:val="single" w:sz="4" w:space="0" w:color="auto"/>
            </w:tcBorders>
            <w:shd w:val="clear" w:color="auto" w:fill="auto"/>
          </w:tcPr>
          <w:p w14:paraId="19EE7A4C" w14:textId="77777777" w:rsidR="00AE4BD1" w:rsidRPr="002D2F67" w:rsidRDefault="00AE4BD1" w:rsidP="005611FE">
            <w:pPr>
              <w:ind w:right="-72"/>
              <w:jc w:val="right"/>
              <w:rPr>
                <w:rFonts w:ascii="Arial" w:hAnsi="Arial" w:cs="Arial"/>
                <w:b/>
                <w:bCs/>
                <w:color w:val="000000"/>
                <w:sz w:val="12"/>
                <w:szCs w:val="12"/>
              </w:rPr>
            </w:pPr>
          </w:p>
        </w:tc>
      </w:tr>
      <w:tr w:rsidR="00AE4BD1" w:rsidRPr="002D2F67" w14:paraId="5F7C2555" w14:textId="77777777" w:rsidTr="19457625">
        <w:trPr>
          <w:trHeight w:val="75"/>
        </w:trPr>
        <w:tc>
          <w:tcPr>
            <w:tcW w:w="4469" w:type="dxa"/>
            <w:shd w:val="clear" w:color="auto" w:fill="auto"/>
            <w:vAlign w:val="bottom"/>
          </w:tcPr>
          <w:p w14:paraId="78BE0055" w14:textId="77777777" w:rsidR="00AE4BD1" w:rsidRPr="002D2F67" w:rsidRDefault="00AE4BD1" w:rsidP="005611FE">
            <w:pPr>
              <w:ind w:left="207"/>
              <w:rPr>
                <w:rFonts w:ascii="Arial" w:hAnsi="Arial" w:cs="Arial"/>
                <w:color w:val="000000"/>
                <w:sz w:val="18"/>
                <w:szCs w:val="18"/>
              </w:rPr>
            </w:pPr>
            <w:r w:rsidRPr="002D2F67">
              <w:rPr>
                <w:rFonts w:ascii="Arial" w:hAnsi="Arial" w:cs="Arial"/>
                <w:color w:val="000000"/>
                <w:sz w:val="18"/>
                <w:szCs w:val="18"/>
              </w:rPr>
              <w:t>Net book value</w:t>
            </w:r>
          </w:p>
        </w:tc>
        <w:tc>
          <w:tcPr>
            <w:tcW w:w="1381" w:type="dxa"/>
            <w:tcBorders>
              <w:bottom w:val="single" w:sz="4" w:space="0" w:color="auto"/>
            </w:tcBorders>
            <w:shd w:val="clear" w:color="auto" w:fill="auto"/>
            <w:vAlign w:val="bottom"/>
          </w:tcPr>
          <w:p w14:paraId="2C1FBF2E" w14:textId="5331E4D9"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2</w:t>
            </w:r>
            <w:r w:rsidR="00AE4BD1" w:rsidRPr="002D2F67">
              <w:rPr>
                <w:rFonts w:ascii="Arial" w:hAnsi="Arial" w:cs="Arial"/>
                <w:color w:val="000000"/>
                <w:sz w:val="18"/>
                <w:szCs w:val="18"/>
              </w:rPr>
              <w:t>,</w:t>
            </w:r>
            <w:r w:rsidRPr="00CD5714">
              <w:rPr>
                <w:rFonts w:ascii="Arial" w:hAnsi="Arial" w:cs="Arial"/>
                <w:color w:val="000000"/>
                <w:sz w:val="18"/>
                <w:szCs w:val="18"/>
                <w:lang w:val="en-GB"/>
              </w:rPr>
              <w:t>125</w:t>
            </w:r>
            <w:r w:rsidR="00AE4BD1" w:rsidRPr="002D2F67">
              <w:rPr>
                <w:rFonts w:ascii="Arial" w:hAnsi="Arial" w:cs="Arial"/>
                <w:color w:val="000000"/>
                <w:sz w:val="18"/>
                <w:szCs w:val="18"/>
              </w:rPr>
              <w:t>,</w:t>
            </w:r>
            <w:r w:rsidRPr="00CD5714">
              <w:rPr>
                <w:rFonts w:ascii="Arial" w:hAnsi="Arial" w:cs="Arial"/>
                <w:color w:val="000000"/>
                <w:sz w:val="18"/>
                <w:szCs w:val="18"/>
                <w:lang w:val="en-GB"/>
              </w:rPr>
              <w:t>566</w:t>
            </w:r>
          </w:p>
        </w:tc>
        <w:tc>
          <w:tcPr>
            <w:tcW w:w="1375" w:type="dxa"/>
            <w:tcBorders>
              <w:bottom w:val="single" w:sz="4" w:space="0" w:color="auto"/>
            </w:tcBorders>
            <w:shd w:val="clear" w:color="auto" w:fill="auto"/>
            <w:vAlign w:val="bottom"/>
          </w:tcPr>
          <w:p w14:paraId="58F61CC1" w14:textId="53811081"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5</w:t>
            </w:r>
            <w:r w:rsidR="00AE4BD1" w:rsidRPr="002D2F67">
              <w:rPr>
                <w:rFonts w:ascii="Arial" w:hAnsi="Arial" w:cs="Arial"/>
                <w:color w:val="000000"/>
                <w:sz w:val="18"/>
                <w:szCs w:val="18"/>
              </w:rPr>
              <w:t>,</w:t>
            </w:r>
            <w:r w:rsidRPr="00CD5714">
              <w:rPr>
                <w:rFonts w:ascii="Arial" w:hAnsi="Arial" w:cs="Arial"/>
                <w:color w:val="000000"/>
                <w:sz w:val="18"/>
                <w:szCs w:val="18"/>
                <w:lang w:val="en-GB"/>
              </w:rPr>
              <w:t>942</w:t>
            </w:r>
            <w:r w:rsidR="00AE4BD1" w:rsidRPr="002D2F67">
              <w:rPr>
                <w:rFonts w:ascii="Arial" w:hAnsi="Arial" w:cs="Arial"/>
                <w:color w:val="000000"/>
                <w:sz w:val="18"/>
                <w:szCs w:val="18"/>
              </w:rPr>
              <w:t>,</w:t>
            </w:r>
            <w:r w:rsidRPr="00CD5714">
              <w:rPr>
                <w:rFonts w:ascii="Arial" w:hAnsi="Arial" w:cs="Arial"/>
                <w:color w:val="000000"/>
                <w:sz w:val="18"/>
                <w:szCs w:val="18"/>
                <w:lang w:val="en-GB"/>
              </w:rPr>
              <w:t>014</w:t>
            </w:r>
          </w:p>
        </w:tc>
        <w:tc>
          <w:tcPr>
            <w:tcW w:w="1548" w:type="dxa"/>
            <w:tcBorders>
              <w:bottom w:val="single" w:sz="4" w:space="0" w:color="auto"/>
            </w:tcBorders>
            <w:shd w:val="clear" w:color="auto" w:fill="auto"/>
            <w:vAlign w:val="bottom"/>
          </w:tcPr>
          <w:p w14:paraId="74B9F82B" w14:textId="400B60EE"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6</w:t>
            </w:r>
            <w:r w:rsidR="00AE4BD1" w:rsidRPr="002D2F67">
              <w:rPr>
                <w:rFonts w:ascii="Arial" w:hAnsi="Arial" w:cs="Arial"/>
                <w:color w:val="000000"/>
                <w:sz w:val="18"/>
                <w:szCs w:val="18"/>
              </w:rPr>
              <w:t>,</w:t>
            </w:r>
            <w:r w:rsidRPr="00CD5714">
              <w:rPr>
                <w:rFonts w:ascii="Arial" w:hAnsi="Arial" w:cs="Arial"/>
                <w:color w:val="000000"/>
                <w:sz w:val="18"/>
                <w:szCs w:val="18"/>
                <w:lang w:val="en-GB"/>
              </w:rPr>
              <w:t>015</w:t>
            </w:r>
            <w:r w:rsidR="00AE4BD1" w:rsidRPr="002D2F67">
              <w:rPr>
                <w:rFonts w:ascii="Arial" w:hAnsi="Arial" w:cs="Arial"/>
                <w:color w:val="000000"/>
                <w:sz w:val="18"/>
                <w:szCs w:val="18"/>
              </w:rPr>
              <w:t>,</w:t>
            </w:r>
            <w:r w:rsidRPr="00CD5714">
              <w:rPr>
                <w:rFonts w:ascii="Arial" w:hAnsi="Arial" w:cs="Arial"/>
                <w:color w:val="000000"/>
                <w:sz w:val="18"/>
                <w:szCs w:val="18"/>
                <w:lang w:val="en-GB"/>
              </w:rPr>
              <w:t>558</w:t>
            </w:r>
          </w:p>
        </w:tc>
        <w:tc>
          <w:tcPr>
            <w:tcW w:w="1958" w:type="dxa"/>
            <w:tcBorders>
              <w:bottom w:val="single" w:sz="4" w:space="0" w:color="auto"/>
            </w:tcBorders>
            <w:shd w:val="clear" w:color="auto" w:fill="auto"/>
            <w:vAlign w:val="bottom"/>
          </w:tcPr>
          <w:p w14:paraId="1D728495" w14:textId="0480AFA2"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38</w:t>
            </w:r>
            <w:r w:rsidR="00AE4BD1" w:rsidRPr="002D2F67">
              <w:rPr>
                <w:rFonts w:ascii="Arial" w:hAnsi="Arial" w:cs="Arial"/>
                <w:color w:val="000000"/>
                <w:sz w:val="18"/>
                <w:szCs w:val="18"/>
              </w:rPr>
              <w:t>,</w:t>
            </w:r>
            <w:r w:rsidRPr="00CD5714">
              <w:rPr>
                <w:rFonts w:ascii="Arial" w:hAnsi="Arial" w:cs="Arial"/>
                <w:color w:val="000000"/>
                <w:sz w:val="18"/>
                <w:szCs w:val="18"/>
                <w:lang w:val="en-GB"/>
              </w:rPr>
              <w:t>148</w:t>
            </w:r>
            <w:r w:rsidR="00AE4BD1" w:rsidRPr="002D2F67">
              <w:rPr>
                <w:rFonts w:ascii="Arial" w:hAnsi="Arial" w:cs="Arial"/>
                <w:color w:val="000000"/>
                <w:sz w:val="18"/>
                <w:szCs w:val="18"/>
              </w:rPr>
              <w:t>,</w:t>
            </w:r>
            <w:r w:rsidRPr="00CD5714">
              <w:rPr>
                <w:rFonts w:ascii="Arial" w:hAnsi="Arial" w:cs="Arial"/>
                <w:color w:val="000000"/>
                <w:sz w:val="18"/>
                <w:szCs w:val="18"/>
                <w:lang w:val="en-GB"/>
              </w:rPr>
              <w:t>084</w:t>
            </w:r>
          </w:p>
        </w:tc>
        <w:tc>
          <w:tcPr>
            <w:tcW w:w="1800" w:type="dxa"/>
            <w:tcBorders>
              <w:bottom w:val="single" w:sz="4" w:space="0" w:color="auto"/>
            </w:tcBorders>
            <w:shd w:val="clear" w:color="auto" w:fill="auto"/>
            <w:vAlign w:val="bottom"/>
          </w:tcPr>
          <w:p w14:paraId="4D54FE74" w14:textId="4E55A527"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167</w:t>
            </w:r>
            <w:r w:rsidR="00AE4BD1" w:rsidRPr="002D2F67">
              <w:rPr>
                <w:rFonts w:ascii="Arial" w:hAnsi="Arial" w:cs="Arial"/>
                <w:color w:val="000000"/>
                <w:sz w:val="18"/>
                <w:szCs w:val="18"/>
              </w:rPr>
              <w:t>,</w:t>
            </w:r>
            <w:r w:rsidRPr="00CD5714">
              <w:rPr>
                <w:rFonts w:ascii="Arial" w:hAnsi="Arial" w:cs="Arial"/>
                <w:color w:val="000000"/>
                <w:sz w:val="18"/>
                <w:szCs w:val="18"/>
                <w:lang w:val="en-GB"/>
              </w:rPr>
              <w:t>537</w:t>
            </w:r>
          </w:p>
        </w:tc>
        <w:tc>
          <w:tcPr>
            <w:tcW w:w="1555" w:type="dxa"/>
            <w:tcBorders>
              <w:bottom w:val="single" w:sz="4" w:space="0" w:color="auto"/>
            </w:tcBorders>
            <w:shd w:val="clear" w:color="auto" w:fill="auto"/>
            <w:vAlign w:val="bottom"/>
          </w:tcPr>
          <w:p w14:paraId="50B27611" w14:textId="43C1851E"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1</w:t>
            </w:r>
            <w:r w:rsidR="00AE4BD1" w:rsidRPr="002D2F67">
              <w:rPr>
                <w:rFonts w:ascii="Arial" w:hAnsi="Arial" w:cs="Arial"/>
                <w:color w:val="000000"/>
                <w:sz w:val="18"/>
                <w:szCs w:val="18"/>
              </w:rPr>
              <w:t>,</w:t>
            </w:r>
            <w:r w:rsidRPr="00CD5714">
              <w:rPr>
                <w:rFonts w:ascii="Arial" w:hAnsi="Arial" w:cs="Arial"/>
                <w:color w:val="000000"/>
                <w:sz w:val="18"/>
                <w:szCs w:val="18"/>
                <w:lang w:val="en-GB"/>
              </w:rPr>
              <w:t>822</w:t>
            </w:r>
            <w:r w:rsidR="00AE4BD1" w:rsidRPr="002D2F67">
              <w:rPr>
                <w:rFonts w:ascii="Arial" w:hAnsi="Arial" w:cs="Arial"/>
                <w:color w:val="000000"/>
                <w:sz w:val="18"/>
                <w:szCs w:val="18"/>
              </w:rPr>
              <w:t>,</w:t>
            </w:r>
            <w:r w:rsidRPr="00CD5714">
              <w:rPr>
                <w:rFonts w:ascii="Arial" w:hAnsi="Arial" w:cs="Arial"/>
                <w:color w:val="000000"/>
                <w:sz w:val="18"/>
                <w:szCs w:val="18"/>
                <w:lang w:val="en-GB"/>
              </w:rPr>
              <w:t>628</w:t>
            </w:r>
          </w:p>
        </w:tc>
        <w:tc>
          <w:tcPr>
            <w:tcW w:w="1583" w:type="dxa"/>
            <w:tcBorders>
              <w:bottom w:val="single" w:sz="4" w:space="0" w:color="auto"/>
            </w:tcBorders>
            <w:shd w:val="clear" w:color="auto" w:fill="auto"/>
            <w:vAlign w:val="bottom"/>
          </w:tcPr>
          <w:p w14:paraId="6968406B" w14:textId="4F4CB8FB"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54</w:t>
            </w:r>
            <w:r w:rsidR="00AE4BD1" w:rsidRPr="002D2F67">
              <w:rPr>
                <w:rFonts w:ascii="Arial" w:hAnsi="Arial" w:cs="Arial"/>
                <w:color w:val="000000"/>
                <w:sz w:val="18"/>
                <w:szCs w:val="18"/>
              </w:rPr>
              <w:t>,</w:t>
            </w:r>
            <w:r w:rsidRPr="00CD5714">
              <w:rPr>
                <w:rFonts w:ascii="Arial" w:hAnsi="Arial" w:cs="Arial"/>
                <w:color w:val="000000"/>
                <w:sz w:val="18"/>
                <w:szCs w:val="18"/>
                <w:lang w:val="en-GB"/>
              </w:rPr>
              <w:t>221</w:t>
            </w:r>
            <w:r w:rsidR="00AE4BD1" w:rsidRPr="002D2F67">
              <w:rPr>
                <w:rFonts w:ascii="Arial" w:hAnsi="Arial" w:cs="Arial"/>
                <w:color w:val="000000"/>
                <w:sz w:val="18"/>
                <w:szCs w:val="18"/>
              </w:rPr>
              <w:t>,</w:t>
            </w:r>
            <w:r w:rsidRPr="00CD5714">
              <w:rPr>
                <w:rFonts w:ascii="Arial" w:hAnsi="Arial" w:cs="Arial"/>
                <w:color w:val="000000"/>
                <w:sz w:val="18"/>
                <w:szCs w:val="18"/>
                <w:lang w:val="en-GB"/>
              </w:rPr>
              <w:t>387</w:t>
            </w:r>
          </w:p>
        </w:tc>
      </w:tr>
      <w:tr w:rsidR="00AE4BD1" w:rsidRPr="002D2F67" w14:paraId="3E1C8F17" w14:textId="77777777" w:rsidTr="19457625">
        <w:tc>
          <w:tcPr>
            <w:tcW w:w="4469" w:type="dxa"/>
            <w:shd w:val="clear" w:color="auto" w:fill="auto"/>
          </w:tcPr>
          <w:p w14:paraId="38B10D43" w14:textId="77777777" w:rsidR="00AE4BD1" w:rsidRPr="002D2F67" w:rsidRDefault="00AE4BD1" w:rsidP="005611FE">
            <w:pPr>
              <w:ind w:left="207"/>
              <w:rPr>
                <w:rFonts w:ascii="Arial" w:hAnsi="Arial" w:cs="Arial"/>
                <w:b/>
                <w:bCs/>
                <w:color w:val="000000"/>
                <w:sz w:val="18"/>
                <w:szCs w:val="18"/>
              </w:rPr>
            </w:pPr>
          </w:p>
        </w:tc>
        <w:tc>
          <w:tcPr>
            <w:tcW w:w="1381" w:type="dxa"/>
            <w:tcBorders>
              <w:top w:val="single" w:sz="4" w:space="0" w:color="auto"/>
            </w:tcBorders>
            <w:shd w:val="clear" w:color="auto" w:fill="auto"/>
          </w:tcPr>
          <w:p w14:paraId="7B56A5F1" w14:textId="77777777" w:rsidR="00AE4BD1" w:rsidRPr="002D2F67" w:rsidRDefault="00AE4BD1" w:rsidP="005611FE">
            <w:pPr>
              <w:ind w:right="-72"/>
              <w:jc w:val="right"/>
              <w:rPr>
                <w:rFonts w:ascii="Arial" w:hAnsi="Arial" w:cs="Arial"/>
                <w:color w:val="000000"/>
                <w:sz w:val="18"/>
                <w:szCs w:val="18"/>
              </w:rPr>
            </w:pPr>
          </w:p>
        </w:tc>
        <w:tc>
          <w:tcPr>
            <w:tcW w:w="1375" w:type="dxa"/>
            <w:tcBorders>
              <w:top w:val="single" w:sz="4" w:space="0" w:color="auto"/>
            </w:tcBorders>
            <w:shd w:val="clear" w:color="auto" w:fill="auto"/>
          </w:tcPr>
          <w:p w14:paraId="46291040" w14:textId="77777777" w:rsidR="00AE4BD1" w:rsidRPr="002D2F67" w:rsidRDefault="00AE4BD1" w:rsidP="005611FE">
            <w:pPr>
              <w:ind w:right="-72"/>
              <w:jc w:val="right"/>
              <w:rPr>
                <w:rFonts w:ascii="Arial" w:hAnsi="Arial" w:cs="Arial"/>
                <w:color w:val="000000"/>
                <w:sz w:val="18"/>
                <w:szCs w:val="18"/>
              </w:rPr>
            </w:pPr>
          </w:p>
        </w:tc>
        <w:tc>
          <w:tcPr>
            <w:tcW w:w="1548" w:type="dxa"/>
            <w:tcBorders>
              <w:top w:val="single" w:sz="4" w:space="0" w:color="auto"/>
            </w:tcBorders>
            <w:shd w:val="clear" w:color="auto" w:fill="auto"/>
          </w:tcPr>
          <w:p w14:paraId="30615146" w14:textId="77777777" w:rsidR="00AE4BD1" w:rsidRPr="002D2F67" w:rsidRDefault="00AE4BD1" w:rsidP="005611FE">
            <w:pPr>
              <w:ind w:right="-72"/>
              <w:jc w:val="right"/>
              <w:rPr>
                <w:rFonts w:ascii="Arial" w:hAnsi="Arial" w:cs="Arial"/>
                <w:color w:val="000000"/>
                <w:sz w:val="18"/>
                <w:szCs w:val="18"/>
              </w:rPr>
            </w:pPr>
          </w:p>
        </w:tc>
        <w:tc>
          <w:tcPr>
            <w:tcW w:w="1958" w:type="dxa"/>
            <w:tcBorders>
              <w:top w:val="single" w:sz="4" w:space="0" w:color="auto"/>
            </w:tcBorders>
            <w:shd w:val="clear" w:color="auto" w:fill="auto"/>
          </w:tcPr>
          <w:p w14:paraId="2077C518" w14:textId="77777777" w:rsidR="00AE4BD1" w:rsidRPr="002D2F67" w:rsidRDefault="00AE4BD1" w:rsidP="005611FE">
            <w:pPr>
              <w:ind w:right="-72"/>
              <w:jc w:val="right"/>
              <w:rPr>
                <w:rFonts w:ascii="Arial" w:hAnsi="Arial" w:cs="Arial"/>
                <w:color w:val="000000"/>
                <w:sz w:val="18"/>
                <w:szCs w:val="18"/>
              </w:rPr>
            </w:pPr>
          </w:p>
        </w:tc>
        <w:tc>
          <w:tcPr>
            <w:tcW w:w="1800" w:type="dxa"/>
            <w:tcBorders>
              <w:top w:val="single" w:sz="4" w:space="0" w:color="auto"/>
            </w:tcBorders>
            <w:shd w:val="clear" w:color="auto" w:fill="auto"/>
          </w:tcPr>
          <w:p w14:paraId="2DD0FB51" w14:textId="77777777" w:rsidR="00AE4BD1" w:rsidRPr="002D2F67" w:rsidRDefault="00AE4BD1" w:rsidP="005611FE">
            <w:pPr>
              <w:ind w:right="-72"/>
              <w:jc w:val="right"/>
              <w:rPr>
                <w:rFonts w:ascii="Arial" w:hAnsi="Arial" w:cs="Arial"/>
                <w:color w:val="000000"/>
                <w:sz w:val="18"/>
                <w:szCs w:val="18"/>
              </w:rPr>
            </w:pPr>
          </w:p>
        </w:tc>
        <w:tc>
          <w:tcPr>
            <w:tcW w:w="1555" w:type="dxa"/>
            <w:tcBorders>
              <w:top w:val="single" w:sz="4" w:space="0" w:color="auto"/>
            </w:tcBorders>
            <w:shd w:val="clear" w:color="auto" w:fill="auto"/>
          </w:tcPr>
          <w:p w14:paraId="454624D9" w14:textId="77777777" w:rsidR="00AE4BD1" w:rsidRPr="002D2F67" w:rsidRDefault="00AE4BD1" w:rsidP="005611FE">
            <w:pPr>
              <w:ind w:right="-72"/>
              <w:jc w:val="right"/>
              <w:rPr>
                <w:rFonts w:ascii="Arial" w:hAnsi="Arial" w:cs="Arial"/>
                <w:color w:val="000000"/>
                <w:sz w:val="18"/>
                <w:szCs w:val="18"/>
              </w:rPr>
            </w:pPr>
          </w:p>
        </w:tc>
        <w:tc>
          <w:tcPr>
            <w:tcW w:w="1583" w:type="dxa"/>
            <w:tcBorders>
              <w:top w:val="single" w:sz="4" w:space="0" w:color="auto"/>
            </w:tcBorders>
            <w:shd w:val="clear" w:color="auto" w:fill="auto"/>
          </w:tcPr>
          <w:p w14:paraId="2F006B2E" w14:textId="77777777" w:rsidR="00AE4BD1" w:rsidRPr="002D2F67" w:rsidRDefault="00AE4BD1" w:rsidP="005611FE">
            <w:pPr>
              <w:ind w:right="-72"/>
              <w:jc w:val="right"/>
              <w:rPr>
                <w:rFonts w:ascii="Arial" w:hAnsi="Arial" w:cs="Arial"/>
                <w:color w:val="000000"/>
                <w:sz w:val="18"/>
                <w:szCs w:val="18"/>
              </w:rPr>
            </w:pPr>
          </w:p>
        </w:tc>
      </w:tr>
      <w:tr w:rsidR="00AE4BD1" w:rsidRPr="002D2F67" w14:paraId="4ABCD2C5" w14:textId="77777777" w:rsidTr="19457625">
        <w:trPr>
          <w:trHeight w:val="83"/>
        </w:trPr>
        <w:tc>
          <w:tcPr>
            <w:tcW w:w="4469" w:type="dxa"/>
            <w:shd w:val="clear" w:color="auto" w:fill="auto"/>
            <w:vAlign w:val="bottom"/>
          </w:tcPr>
          <w:p w14:paraId="68AA34DA" w14:textId="60568F14" w:rsidR="00AE4BD1" w:rsidRPr="002D2F67" w:rsidRDefault="00AE4BD1" w:rsidP="005611FE">
            <w:pPr>
              <w:ind w:left="207"/>
              <w:rPr>
                <w:rFonts w:ascii="Arial" w:hAnsi="Arial" w:cs="Arial"/>
                <w:color w:val="000000"/>
                <w:spacing w:val="-2"/>
                <w:sz w:val="18"/>
                <w:szCs w:val="18"/>
              </w:rPr>
            </w:pPr>
            <w:r w:rsidRPr="002D2F67">
              <w:rPr>
                <w:rFonts w:ascii="Arial" w:hAnsi="Arial" w:cs="Arial"/>
                <w:b/>
                <w:bCs/>
                <w:color w:val="000000"/>
                <w:spacing w:val="-2"/>
                <w:sz w:val="18"/>
                <w:szCs w:val="18"/>
              </w:rPr>
              <w:t xml:space="preserve">For the year ended </w:t>
            </w:r>
            <w:r w:rsidR="00CD5714" w:rsidRPr="00CD5714">
              <w:rPr>
                <w:rFonts w:ascii="Arial" w:hAnsi="Arial" w:cs="Arial"/>
                <w:b/>
                <w:bCs/>
                <w:color w:val="000000"/>
                <w:spacing w:val="-2"/>
                <w:sz w:val="18"/>
                <w:szCs w:val="18"/>
                <w:lang w:val="en-GB"/>
              </w:rPr>
              <w:t>31</w:t>
            </w:r>
            <w:r w:rsidRPr="002D2F67">
              <w:rPr>
                <w:rFonts w:ascii="Arial" w:hAnsi="Arial" w:cs="Arial"/>
                <w:b/>
                <w:bCs/>
                <w:color w:val="000000"/>
                <w:spacing w:val="-2"/>
                <w:sz w:val="18"/>
                <w:szCs w:val="18"/>
              </w:rPr>
              <w:t xml:space="preserve"> December </w:t>
            </w:r>
            <w:r w:rsidR="00CD5714" w:rsidRPr="00CD5714">
              <w:rPr>
                <w:rFonts w:ascii="Arial" w:hAnsi="Arial" w:cs="Arial"/>
                <w:b/>
                <w:bCs/>
                <w:color w:val="000000"/>
                <w:spacing w:val="-2"/>
                <w:sz w:val="18"/>
                <w:szCs w:val="18"/>
                <w:lang w:val="en-GB"/>
              </w:rPr>
              <w:t>2023</w:t>
            </w:r>
          </w:p>
        </w:tc>
        <w:tc>
          <w:tcPr>
            <w:tcW w:w="1381" w:type="dxa"/>
            <w:shd w:val="clear" w:color="auto" w:fill="auto"/>
            <w:vAlign w:val="bottom"/>
          </w:tcPr>
          <w:p w14:paraId="64BA84AE" w14:textId="77777777" w:rsidR="00AE4BD1" w:rsidRPr="002D2F67" w:rsidRDefault="00AE4BD1" w:rsidP="005611FE">
            <w:pPr>
              <w:ind w:right="-72"/>
              <w:jc w:val="right"/>
              <w:rPr>
                <w:rFonts w:ascii="Arial" w:hAnsi="Arial" w:cs="Arial"/>
                <w:color w:val="000000"/>
                <w:sz w:val="18"/>
                <w:szCs w:val="18"/>
              </w:rPr>
            </w:pPr>
          </w:p>
        </w:tc>
        <w:tc>
          <w:tcPr>
            <w:tcW w:w="1375" w:type="dxa"/>
            <w:shd w:val="clear" w:color="auto" w:fill="auto"/>
          </w:tcPr>
          <w:p w14:paraId="62810038" w14:textId="77777777" w:rsidR="00AE4BD1" w:rsidRPr="002D2F67" w:rsidRDefault="00AE4BD1" w:rsidP="005611FE">
            <w:pPr>
              <w:ind w:right="-72"/>
              <w:jc w:val="right"/>
              <w:rPr>
                <w:rFonts w:ascii="Arial" w:hAnsi="Arial" w:cs="Arial"/>
                <w:color w:val="000000"/>
                <w:sz w:val="18"/>
                <w:szCs w:val="18"/>
              </w:rPr>
            </w:pPr>
          </w:p>
        </w:tc>
        <w:tc>
          <w:tcPr>
            <w:tcW w:w="1548" w:type="dxa"/>
            <w:shd w:val="clear" w:color="auto" w:fill="auto"/>
          </w:tcPr>
          <w:p w14:paraId="09F24B99" w14:textId="77777777" w:rsidR="00AE4BD1" w:rsidRPr="002D2F67" w:rsidRDefault="00AE4BD1" w:rsidP="005611FE">
            <w:pPr>
              <w:ind w:right="-72"/>
              <w:jc w:val="right"/>
              <w:rPr>
                <w:rFonts w:ascii="Arial" w:hAnsi="Arial" w:cs="Arial"/>
                <w:color w:val="000000"/>
                <w:sz w:val="18"/>
                <w:szCs w:val="18"/>
              </w:rPr>
            </w:pPr>
          </w:p>
        </w:tc>
        <w:tc>
          <w:tcPr>
            <w:tcW w:w="1958" w:type="dxa"/>
            <w:shd w:val="clear" w:color="auto" w:fill="auto"/>
          </w:tcPr>
          <w:p w14:paraId="2F4AEB99" w14:textId="77777777" w:rsidR="00AE4BD1" w:rsidRPr="002D2F67" w:rsidRDefault="00AE4BD1" w:rsidP="005611FE">
            <w:pPr>
              <w:ind w:right="-72"/>
              <w:jc w:val="right"/>
              <w:rPr>
                <w:rFonts w:ascii="Arial" w:hAnsi="Arial" w:cs="Arial"/>
                <w:color w:val="000000"/>
                <w:sz w:val="18"/>
                <w:szCs w:val="18"/>
              </w:rPr>
            </w:pPr>
          </w:p>
        </w:tc>
        <w:tc>
          <w:tcPr>
            <w:tcW w:w="1800" w:type="dxa"/>
            <w:shd w:val="clear" w:color="auto" w:fill="auto"/>
          </w:tcPr>
          <w:p w14:paraId="683D1D34" w14:textId="77777777" w:rsidR="00AE4BD1" w:rsidRPr="002D2F67" w:rsidRDefault="00AE4BD1" w:rsidP="005611FE">
            <w:pPr>
              <w:ind w:right="-72"/>
              <w:jc w:val="right"/>
              <w:rPr>
                <w:rFonts w:ascii="Arial" w:hAnsi="Arial" w:cs="Arial"/>
                <w:color w:val="000000"/>
                <w:sz w:val="18"/>
                <w:szCs w:val="18"/>
              </w:rPr>
            </w:pPr>
          </w:p>
        </w:tc>
        <w:tc>
          <w:tcPr>
            <w:tcW w:w="1555" w:type="dxa"/>
            <w:shd w:val="clear" w:color="auto" w:fill="auto"/>
          </w:tcPr>
          <w:p w14:paraId="0B963ED1" w14:textId="77777777" w:rsidR="00AE4BD1" w:rsidRPr="002D2F67" w:rsidRDefault="00AE4BD1" w:rsidP="005611FE">
            <w:pPr>
              <w:ind w:right="-72"/>
              <w:jc w:val="right"/>
              <w:rPr>
                <w:rFonts w:ascii="Arial" w:hAnsi="Arial" w:cs="Arial"/>
                <w:color w:val="000000"/>
                <w:sz w:val="18"/>
                <w:szCs w:val="18"/>
              </w:rPr>
            </w:pPr>
          </w:p>
        </w:tc>
        <w:tc>
          <w:tcPr>
            <w:tcW w:w="1583" w:type="dxa"/>
            <w:shd w:val="clear" w:color="auto" w:fill="auto"/>
          </w:tcPr>
          <w:p w14:paraId="1DF4931F" w14:textId="77777777" w:rsidR="00AE4BD1" w:rsidRPr="002D2F67" w:rsidRDefault="00AE4BD1" w:rsidP="005611FE">
            <w:pPr>
              <w:ind w:right="-72"/>
              <w:jc w:val="right"/>
              <w:rPr>
                <w:rFonts w:ascii="Arial" w:hAnsi="Arial" w:cs="Arial"/>
                <w:color w:val="000000"/>
                <w:sz w:val="18"/>
                <w:szCs w:val="18"/>
              </w:rPr>
            </w:pPr>
          </w:p>
        </w:tc>
      </w:tr>
      <w:tr w:rsidR="00AE4BD1" w:rsidRPr="002D2F67" w14:paraId="78B4E415" w14:textId="77777777" w:rsidTr="19457625">
        <w:tc>
          <w:tcPr>
            <w:tcW w:w="4469" w:type="dxa"/>
            <w:shd w:val="clear" w:color="auto" w:fill="auto"/>
            <w:vAlign w:val="bottom"/>
          </w:tcPr>
          <w:p w14:paraId="48EEA67C" w14:textId="77777777" w:rsidR="00AE4BD1" w:rsidRPr="002D2F67" w:rsidRDefault="00AE4BD1" w:rsidP="005611FE">
            <w:pPr>
              <w:ind w:left="207" w:right="-109"/>
              <w:rPr>
                <w:rFonts w:ascii="Arial" w:hAnsi="Arial" w:cs="Arial"/>
                <w:color w:val="000000"/>
                <w:sz w:val="18"/>
                <w:szCs w:val="18"/>
              </w:rPr>
            </w:pPr>
            <w:r w:rsidRPr="002D2F67">
              <w:rPr>
                <w:rFonts w:ascii="Arial" w:hAnsi="Arial" w:cs="Arial"/>
                <w:color w:val="000000"/>
                <w:sz w:val="18"/>
                <w:szCs w:val="18"/>
              </w:rPr>
              <w:t>Opening net book value</w:t>
            </w:r>
          </w:p>
        </w:tc>
        <w:tc>
          <w:tcPr>
            <w:tcW w:w="1381" w:type="dxa"/>
            <w:shd w:val="clear" w:color="auto" w:fill="auto"/>
            <w:vAlign w:val="bottom"/>
          </w:tcPr>
          <w:p w14:paraId="0675B180" w14:textId="6DC39D15"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2</w:t>
            </w:r>
            <w:r w:rsidR="00AE4BD1" w:rsidRPr="002D2F67">
              <w:rPr>
                <w:rFonts w:ascii="Arial" w:hAnsi="Arial" w:cs="Arial"/>
                <w:color w:val="000000"/>
                <w:sz w:val="18"/>
                <w:szCs w:val="18"/>
              </w:rPr>
              <w:t>,</w:t>
            </w:r>
            <w:r w:rsidRPr="00CD5714">
              <w:rPr>
                <w:rFonts w:ascii="Arial" w:hAnsi="Arial" w:cs="Arial"/>
                <w:color w:val="000000"/>
                <w:sz w:val="18"/>
                <w:szCs w:val="18"/>
                <w:lang w:val="en-GB"/>
              </w:rPr>
              <w:t>125</w:t>
            </w:r>
            <w:r w:rsidR="00AE4BD1" w:rsidRPr="002D2F67">
              <w:rPr>
                <w:rFonts w:ascii="Arial" w:hAnsi="Arial" w:cs="Arial"/>
                <w:color w:val="000000"/>
                <w:sz w:val="18"/>
                <w:szCs w:val="18"/>
              </w:rPr>
              <w:t>,</w:t>
            </w:r>
            <w:r w:rsidRPr="00CD5714">
              <w:rPr>
                <w:rFonts w:ascii="Arial" w:hAnsi="Arial" w:cs="Arial"/>
                <w:color w:val="000000"/>
                <w:sz w:val="18"/>
                <w:szCs w:val="18"/>
                <w:lang w:val="en-GB"/>
              </w:rPr>
              <w:t>566</w:t>
            </w:r>
          </w:p>
        </w:tc>
        <w:tc>
          <w:tcPr>
            <w:tcW w:w="1375" w:type="dxa"/>
            <w:shd w:val="clear" w:color="auto" w:fill="auto"/>
            <w:vAlign w:val="bottom"/>
          </w:tcPr>
          <w:p w14:paraId="6C2735CB" w14:textId="0744E062"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5</w:t>
            </w:r>
            <w:r w:rsidR="00AE4BD1" w:rsidRPr="002D2F67">
              <w:rPr>
                <w:rFonts w:ascii="Arial" w:hAnsi="Arial" w:cs="Arial"/>
                <w:color w:val="000000"/>
                <w:sz w:val="18"/>
                <w:szCs w:val="18"/>
              </w:rPr>
              <w:t>,</w:t>
            </w:r>
            <w:r w:rsidRPr="00CD5714">
              <w:rPr>
                <w:rFonts w:ascii="Arial" w:hAnsi="Arial" w:cs="Arial"/>
                <w:color w:val="000000"/>
                <w:sz w:val="18"/>
                <w:szCs w:val="18"/>
                <w:lang w:val="en-GB"/>
              </w:rPr>
              <w:t>942</w:t>
            </w:r>
            <w:r w:rsidR="00AE4BD1" w:rsidRPr="002D2F67">
              <w:rPr>
                <w:rFonts w:ascii="Arial" w:hAnsi="Arial" w:cs="Arial"/>
                <w:color w:val="000000"/>
                <w:sz w:val="18"/>
                <w:szCs w:val="18"/>
              </w:rPr>
              <w:t>,</w:t>
            </w:r>
            <w:r w:rsidRPr="00CD5714">
              <w:rPr>
                <w:rFonts w:ascii="Arial" w:hAnsi="Arial" w:cs="Arial"/>
                <w:color w:val="000000"/>
                <w:sz w:val="18"/>
                <w:szCs w:val="18"/>
                <w:lang w:val="en-GB"/>
              </w:rPr>
              <w:t>014</w:t>
            </w:r>
          </w:p>
        </w:tc>
        <w:tc>
          <w:tcPr>
            <w:tcW w:w="1548" w:type="dxa"/>
            <w:shd w:val="clear" w:color="auto" w:fill="auto"/>
            <w:vAlign w:val="bottom"/>
          </w:tcPr>
          <w:p w14:paraId="374792B9" w14:textId="29102BA1"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6</w:t>
            </w:r>
            <w:r w:rsidR="00AE4BD1" w:rsidRPr="002D2F67">
              <w:rPr>
                <w:rFonts w:ascii="Arial" w:hAnsi="Arial" w:cs="Arial"/>
                <w:color w:val="000000"/>
                <w:sz w:val="18"/>
                <w:szCs w:val="18"/>
              </w:rPr>
              <w:t>,</w:t>
            </w:r>
            <w:r w:rsidRPr="00CD5714">
              <w:rPr>
                <w:rFonts w:ascii="Arial" w:hAnsi="Arial" w:cs="Arial"/>
                <w:color w:val="000000"/>
                <w:sz w:val="18"/>
                <w:szCs w:val="18"/>
                <w:lang w:val="en-GB"/>
              </w:rPr>
              <w:t>015</w:t>
            </w:r>
            <w:r w:rsidR="00AE4BD1" w:rsidRPr="002D2F67">
              <w:rPr>
                <w:rFonts w:ascii="Arial" w:hAnsi="Arial" w:cs="Arial"/>
                <w:color w:val="000000"/>
                <w:sz w:val="18"/>
                <w:szCs w:val="18"/>
              </w:rPr>
              <w:t>,</w:t>
            </w:r>
            <w:r w:rsidRPr="00CD5714">
              <w:rPr>
                <w:rFonts w:ascii="Arial" w:hAnsi="Arial" w:cs="Arial"/>
                <w:color w:val="000000"/>
                <w:sz w:val="18"/>
                <w:szCs w:val="18"/>
                <w:lang w:val="en-GB"/>
              </w:rPr>
              <w:t>558</w:t>
            </w:r>
          </w:p>
        </w:tc>
        <w:tc>
          <w:tcPr>
            <w:tcW w:w="1958" w:type="dxa"/>
            <w:shd w:val="clear" w:color="auto" w:fill="auto"/>
            <w:vAlign w:val="bottom"/>
          </w:tcPr>
          <w:p w14:paraId="4FD4A54A" w14:textId="778915C3"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38</w:t>
            </w:r>
            <w:r w:rsidR="00AE4BD1" w:rsidRPr="002D2F67">
              <w:rPr>
                <w:rFonts w:ascii="Arial" w:hAnsi="Arial" w:cs="Arial"/>
                <w:color w:val="000000"/>
                <w:sz w:val="18"/>
                <w:szCs w:val="18"/>
              </w:rPr>
              <w:t>,</w:t>
            </w:r>
            <w:r w:rsidRPr="00CD5714">
              <w:rPr>
                <w:rFonts w:ascii="Arial" w:hAnsi="Arial" w:cs="Arial"/>
                <w:color w:val="000000"/>
                <w:sz w:val="18"/>
                <w:szCs w:val="18"/>
                <w:lang w:val="en-GB"/>
              </w:rPr>
              <w:t>148</w:t>
            </w:r>
            <w:r w:rsidR="00AE4BD1" w:rsidRPr="002D2F67">
              <w:rPr>
                <w:rFonts w:ascii="Arial" w:hAnsi="Arial" w:cs="Arial"/>
                <w:color w:val="000000"/>
                <w:sz w:val="18"/>
                <w:szCs w:val="18"/>
              </w:rPr>
              <w:t>,</w:t>
            </w:r>
            <w:r w:rsidRPr="00CD5714">
              <w:rPr>
                <w:rFonts w:ascii="Arial" w:hAnsi="Arial" w:cs="Arial"/>
                <w:color w:val="000000"/>
                <w:sz w:val="18"/>
                <w:szCs w:val="18"/>
                <w:lang w:val="en-GB"/>
              </w:rPr>
              <w:t>084</w:t>
            </w:r>
          </w:p>
        </w:tc>
        <w:tc>
          <w:tcPr>
            <w:tcW w:w="1800" w:type="dxa"/>
            <w:shd w:val="clear" w:color="auto" w:fill="auto"/>
            <w:vAlign w:val="bottom"/>
          </w:tcPr>
          <w:p w14:paraId="2BD5D8CF" w14:textId="549AB529"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167</w:t>
            </w:r>
            <w:r w:rsidR="00AE4BD1" w:rsidRPr="002D2F67">
              <w:rPr>
                <w:rFonts w:ascii="Arial" w:hAnsi="Arial" w:cs="Arial"/>
                <w:color w:val="000000"/>
                <w:sz w:val="18"/>
                <w:szCs w:val="18"/>
              </w:rPr>
              <w:t>,</w:t>
            </w:r>
            <w:r w:rsidRPr="00CD5714">
              <w:rPr>
                <w:rFonts w:ascii="Arial" w:hAnsi="Arial" w:cs="Arial"/>
                <w:color w:val="000000"/>
                <w:sz w:val="18"/>
                <w:szCs w:val="18"/>
                <w:lang w:val="en-GB"/>
              </w:rPr>
              <w:t>537</w:t>
            </w:r>
          </w:p>
        </w:tc>
        <w:tc>
          <w:tcPr>
            <w:tcW w:w="1555" w:type="dxa"/>
            <w:shd w:val="clear" w:color="auto" w:fill="auto"/>
            <w:vAlign w:val="bottom"/>
          </w:tcPr>
          <w:p w14:paraId="45EB3745" w14:textId="7914D421"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1</w:t>
            </w:r>
            <w:r w:rsidR="00AE4BD1" w:rsidRPr="002D2F67">
              <w:rPr>
                <w:rFonts w:ascii="Arial" w:hAnsi="Arial" w:cs="Arial"/>
                <w:color w:val="000000"/>
                <w:sz w:val="18"/>
                <w:szCs w:val="18"/>
              </w:rPr>
              <w:t>,</w:t>
            </w:r>
            <w:r w:rsidRPr="00CD5714">
              <w:rPr>
                <w:rFonts w:ascii="Arial" w:hAnsi="Arial" w:cs="Arial"/>
                <w:color w:val="000000"/>
                <w:sz w:val="18"/>
                <w:szCs w:val="18"/>
                <w:lang w:val="en-GB"/>
              </w:rPr>
              <w:t>822</w:t>
            </w:r>
            <w:r w:rsidR="00AE4BD1" w:rsidRPr="002D2F67">
              <w:rPr>
                <w:rFonts w:ascii="Arial" w:hAnsi="Arial" w:cs="Arial"/>
                <w:color w:val="000000"/>
                <w:sz w:val="18"/>
                <w:szCs w:val="18"/>
              </w:rPr>
              <w:t>,</w:t>
            </w:r>
            <w:r w:rsidRPr="00CD5714">
              <w:rPr>
                <w:rFonts w:ascii="Arial" w:hAnsi="Arial" w:cs="Arial"/>
                <w:color w:val="000000"/>
                <w:sz w:val="18"/>
                <w:szCs w:val="18"/>
                <w:lang w:val="en-GB"/>
              </w:rPr>
              <w:t>628</w:t>
            </w:r>
          </w:p>
        </w:tc>
        <w:tc>
          <w:tcPr>
            <w:tcW w:w="1583" w:type="dxa"/>
            <w:shd w:val="clear" w:color="auto" w:fill="auto"/>
            <w:vAlign w:val="bottom"/>
          </w:tcPr>
          <w:p w14:paraId="6BB42323" w14:textId="376692EE"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54</w:t>
            </w:r>
            <w:r w:rsidR="00AE4BD1" w:rsidRPr="002D2F67">
              <w:rPr>
                <w:rFonts w:ascii="Arial" w:hAnsi="Arial" w:cs="Arial"/>
                <w:color w:val="000000"/>
                <w:sz w:val="18"/>
                <w:szCs w:val="18"/>
              </w:rPr>
              <w:t>,</w:t>
            </w:r>
            <w:r w:rsidRPr="00CD5714">
              <w:rPr>
                <w:rFonts w:ascii="Arial" w:hAnsi="Arial" w:cs="Arial"/>
                <w:color w:val="000000"/>
                <w:sz w:val="18"/>
                <w:szCs w:val="18"/>
                <w:lang w:val="en-GB"/>
              </w:rPr>
              <w:t>221</w:t>
            </w:r>
            <w:r w:rsidR="00AE4BD1" w:rsidRPr="002D2F67">
              <w:rPr>
                <w:rFonts w:ascii="Arial" w:hAnsi="Arial" w:cs="Arial"/>
                <w:color w:val="000000"/>
                <w:sz w:val="18"/>
                <w:szCs w:val="18"/>
              </w:rPr>
              <w:t>,</w:t>
            </w:r>
            <w:r w:rsidRPr="00CD5714">
              <w:rPr>
                <w:rFonts w:ascii="Arial" w:hAnsi="Arial" w:cs="Arial"/>
                <w:color w:val="000000"/>
                <w:sz w:val="18"/>
                <w:szCs w:val="18"/>
                <w:lang w:val="en-GB"/>
              </w:rPr>
              <w:t>387</w:t>
            </w:r>
          </w:p>
        </w:tc>
      </w:tr>
      <w:tr w:rsidR="00AE4BD1" w:rsidRPr="002D2F67" w14:paraId="78840A66" w14:textId="77777777" w:rsidTr="19457625">
        <w:tc>
          <w:tcPr>
            <w:tcW w:w="4469" w:type="dxa"/>
            <w:shd w:val="clear" w:color="auto" w:fill="auto"/>
            <w:vAlign w:val="bottom"/>
          </w:tcPr>
          <w:p w14:paraId="4E9EE8E6" w14:textId="77777777" w:rsidR="00AE4BD1" w:rsidRPr="002D2F67" w:rsidRDefault="00AE4BD1" w:rsidP="005611FE">
            <w:pPr>
              <w:ind w:left="207"/>
              <w:rPr>
                <w:rFonts w:ascii="Arial" w:hAnsi="Arial" w:cs="Arial"/>
                <w:color w:val="000000"/>
                <w:sz w:val="18"/>
                <w:szCs w:val="18"/>
              </w:rPr>
            </w:pPr>
            <w:r w:rsidRPr="002D2F67">
              <w:rPr>
                <w:rFonts w:ascii="Arial" w:hAnsi="Arial" w:cs="Arial"/>
                <w:color w:val="000000"/>
                <w:sz w:val="18"/>
                <w:szCs w:val="18"/>
              </w:rPr>
              <w:t>Additions</w:t>
            </w:r>
          </w:p>
        </w:tc>
        <w:tc>
          <w:tcPr>
            <w:tcW w:w="1381" w:type="dxa"/>
            <w:shd w:val="clear" w:color="auto" w:fill="auto"/>
            <w:vAlign w:val="bottom"/>
          </w:tcPr>
          <w:p w14:paraId="41598F5B" w14:textId="3A6B970C"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31</w:t>
            </w:r>
            <w:r w:rsidR="00AE4BD1" w:rsidRPr="002D2F67">
              <w:rPr>
                <w:rFonts w:ascii="Arial" w:hAnsi="Arial" w:cs="Arial"/>
                <w:color w:val="000000"/>
                <w:sz w:val="18"/>
                <w:szCs w:val="18"/>
              </w:rPr>
              <w:t>,</w:t>
            </w:r>
            <w:r w:rsidRPr="00CD5714">
              <w:rPr>
                <w:rFonts w:ascii="Arial" w:hAnsi="Arial" w:cs="Arial"/>
                <w:color w:val="000000"/>
                <w:sz w:val="18"/>
                <w:szCs w:val="18"/>
                <w:lang w:val="en-GB"/>
              </w:rPr>
              <w:t>730</w:t>
            </w:r>
          </w:p>
        </w:tc>
        <w:tc>
          <w:tcPr>
            <w:tcW w:w="1375" w:type="dxa"/>
            <w:shd w:val="clear" w:color="auto" w:fill="auto"/>
            <w:vAlign w:val="bottom"/>
          </w:tcPr>
          <w:p w14:paraId="23DD5AB2" w14:textId="5EF08872"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27</w:t>
            </w:r>
            <w:r w:rsidR="00AE4BD1" w:rsidRPr="002D2F67">
              <w:rPr>
                <w:rFonts w:ascii="Arial" w:hAnsi="Arial" w:cs="Arial"/>
                <w:color w:val="000000"/>
                <w:sz w:val="18"/>
                <w:szCs w:val="18"/>
              </w:rPr>
              <w:t>,</w:t>
            </w:r>
            <w:r w:rsidRPr="00CD5714">
              <w:rPr>
                <w:rFonts w:ascii="Arial" w:hAnsi="Arial" w:cs="Arial"/>
                <w:color w:val="000000"/>
                <w:sz w:val="18"/>
                <w:szCs w:val="18"/>
                <w:lang w:val="en-GB"/>
              </w:rPr>
              <w:t>990</w:t>
            </w:r>
          </w:p>
        </w:tc>
        <w:tc>
          <w:tcPr>
            <w:tcW w:w="1548" w:type="dxa"/>
            <w:shd w:val="clear" w:color="auto" w:fill="auto"/>
            <w:vAlign w:val="bottom"/>
          </w:tcPr>
          <w:p w14:paraId="7DED20D3" w14:textId="6112E56C"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277</w:t>
            </w:r>
            <w:r w:rsidR="00AE4BD1" w:rsidRPr="002D2F67">
              <w:rPr>
                <w:rFonts w:ascii="Arial" w:hAnsi="Arial" w:cs="Arial"/>
                <w:color w:val="000000"/>
                <w:sz w:val="18"/>
                <w:szCs w:val="18"/>
              </w:rPr>
              <w:t>,</w:t>
            </w:r>
            <w:r w:rsidRPr="00CD5714">
              <w:rPr>
                <w:rFonts w:ascii="Arial" w:hAnsi="Arial" w:cs="Arial"/>
                <w:color w:val="000000"/>
                <w:sz w:val="18"/>
                <w:szCs w:val="18"/>
                <w:lang w:val="en-GB"/>
              </w:rPr>
              <w:t>613</w:t>
            </w:r>
          </w:p>
        </w:tc>
        <w:tc>
          <w:tcPr>
            <w:tcW w:w="1958" w:type="dxa"/>
            <w:shd w:val="clear" w:color="auto" w:fill="auto"/>
            <w:vAlign w:val="bottom"/>
          </w:tcPr>
          <w:p w14:paraId="0D112768" w14:textId="668D9CFA"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4</w:t>
            </w:r>
            <w:r w:rsidR="00AE4BD1" w:rsidRPr="002D2F67">
              <w:rPr>
                <w:rFonts w:ascii="Arial" w:hAnsi="Arial" w:cs="Arial"/>
                <w:color w:val="000000"/>
                <w:sz w:val="18"/>
                <w:szCs w:val="18"/>
              </w:rPr>
              <w:t>,</w:t>
            </w:r>
            <w:r w:rsidRPr="00CD5714">
              <w:rPr>
                <w:rFonts w:ascii="Arial" w:hAnsi="Arial" w:cs="Arial"/>
                <w:color w:val="000000"/>
                <w:sz w:val="18"/>
                <w:szCs w:val="18"/>
                <w:lang w:val="en-GB"/>
              </w:rPr>
              <w:t>733</w:t>
            </w:r>
            <w:r w:rsidR="00AE4BD1" w:rsidRPr="002D2F67">
              <w:rPr>
                <w:rFonts w:ascii="Arial" w:hAnsi="Arial" w:cs="Arial"/>
                <w:color w:val="000000"/>
                <w:sz w:val="18"/>
                <w:szCs w:val="18"/>
              </w:rPr>
              <w:t>,</w:t>
            </w:r>
            <w:r w:rsidRPr="00CD5714">
              <w:rPr>
                <w:rFonts w:ascii="Arial" w:hAnsi="Arial" w:cs="Arial"/>
                <w:color w:val="000000"/>
                <w:sz w:val="18"/>
                <w:szCs w:val="18"/>
                <w:lang w:val="en-GB"/>
              </w:rPr>
              <w:t>273</w:t>
            </w:r>
          </w:p>
        </w:tc>
        <w:tc>
          <w:tcPr>
            <w:tcW w:w="1800" w:type="dxa"/>
            <w:shd w:val="clear" w:color="auto" w:fill="auto"/>
            <w:vAlign w:val="bottom"/>
          </w:tcPr>
          <w:p w14:paraId="662171DB" w14:textId="6D09EA23"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57</w:t>
            </w:r>
            <w:r w:rsidR="00AE4BD1" w:rsidRPr="002D2F67">
              <w:rPr>
                <w:rFonts w:ascii="Arial" w:hAnsi="Arial" w:cs="Arial"/>
                <w:color w:val="000000"/>
                <w:sz w:val="18"/>
                <w:szCs w:val="18"/>
              </w:rPr>
              <w:t>,</w:t>
            </w:r>
            <w:r w:rsidRPr="00CD5714">
              <w:rPr>
                <w:rFonts w:ascii="Arial" w:hAnsi="Arial" w:cs="Arial"/>
                <w:color w:val="000000"/>
                <w:sz w:val="18"/>
                <w:szCs w:val="18"/>
                <w:lang w:val="en-GB"/>
              </w:rPr>
              <w:t>160</w:t>
            </w:r>
          </w:p>
        </w:tc>
        <w:tc>
          <w:tcPr>
            <w:tcW w:w="1555" w:type="dxa"/>
            <w:shd w:val="clear" w:color="auto" w:fill="auto"/>
            <w:vAlign w:val="bottom"/>
          </w:tcPr>
          <w:p w14:paraId="2C19DDCA" w14:textId="29EA101C"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2</w:t>
            </w:r>
            <w:r w:rsidR="00AE4BD1" w:rsidRPr="002D2F67">
              <w:rPr>
                <w:rFonts w:ascii="Arial" w:hAnsi="Arial" w:cs="Arial"/>
                <w:color w:val="000000"/>
                <w:sz w:val="18"/>
                <w:szCs w:val="18"/>
              </w:rPr>
              <w:t>,</w:t>
            </w:r>
            <w:r w:rsidRPr="00CD5714">
              <w:rPr>
                <w:rFonts w:ascii="Arial" w:hAnsi="Arial" w:cs="Arial"/>
                <w:color w:val="000000"/>
                <w:sz w:val="18"/>
                <w:szCs w:val="18"/>
                <w:lang w:val="en-GB"/>
              </w:rPr>
              <w:t>449</w:t>
            </w:r>
            <w:r w:rsidR="00AE4BD1" w:rsidRPr="002D2F67">
              <w:rPr>
                <w:rFonts w:ascii="Arial" w:hAnsi="Arial" w:cs="Arial"/>
                <w:color w:val="000000"/>
                <w:sz w:val="18"/>
                <w:szCs w:val="18"/>
              </w:rPr>
              <w:t>,</w:t>
            </w:r>
            <w:r w:rsidRPr="00CD5714">
              <w:rPr>
                <w:rFonts w:ascii="Arial" w:hAnsi="Arial" w:cs="Arial"/>
                <w:color w:val="000000"/>
                <w:sz w:val="18"/>
                <w:szCs w:val="18"/>
                <w:lang w:val="en-GB"/>
              </w:rPr>
              <w:t>994</w:t>
            </w:r>
          </w:p>
        </w:tc>
        <w:tc>
          <w:tcPr>
            <w:tcW w:w="1583" w:type="dxa"/>
            <w:shd w:val="clear" w:color="auto" w:fill="auto"/>
            <w:vAlign w:val="bottom"/>
          </w:tcPr>
          <w:p w14:paraId="775E5231" w14:textId="2758F69B"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7</w:t>
            </w:r>
            <w:r w:rsidR="00AE4BD1" w:rsidRPr="002D2F67">
              <w:rPr>
                <w:rFonts w:ascii="Arial" w:hAnsi="Arial" w:cs="Arial"/>
                <w:color w:val="000000"/>
                <w:sz w:val="18"/>
                <w:szCs w:val="18"/>
              </w:rPr>
              <w:t>,</w:t>
            </w:r>
            <w:r w:rsidRPr="00CD5714">
              <w:rPr>
                <w:rFonts w:ascii="Arial" w:hAnsi="Arial" w:cs="Arial"/>
                <w:color w:val="000000"/>
                <w:sz w:val="18"/>
                <w:szCs w:val="18"/>
                <w:lang w:val="en-GB"/>
              </w:rPr>
              <w:t>577</w:t>
            </w:r>
            <w:r w:rsidR="00AE4BD1" w:rsidRPr="002D2F67">
              <w:rPr>
                <w:rFonts w:ascii="Arial" w:hAnsi="Arial" w:cs="Arial"/>
                <w:color w:val="000000"/>
                <w:sz w:val="18"/>
                <w:szCs w:val="18"/>
              </w:rPr>
              <w:t>,</w:t>
            </w:r>
            <w:r w:rsidRPr="00CD5714">
              <w:rPr>
                <w:rFonts w:ascii="Arial" w:hAnsi="Arial" w:cs="Arial"/>
                <w:color w:val="000000"/>
                <w:sz w:val="18"/>
                <w:szCs w:val="18"/>
                <w:lang w:val="en-GB"/>
              </w:rPr>
              <w:t>760</w:t>
            </w:r>
          </w:p>
        </w:tc>
      </w:tr>
      <w:tr w:rsidR="00AE4BD1" w:rsidRPr="002D2F67" w14:paraId="56BEC3EB" w14:textId="77777777" w:rsidTr="19457625">
        <w:tc>
          <w:tcPr>
            <w:tcW w:w="4469" w:type="dxa"/>
            <w:shd w:val="clear" w:color="auto" w:fill="auto"/>
            <w:vAlign w:val="bottom"/>
          </w:tcPr>
          <w:p w14:paraId="7C8FDAC5" w14:textId="60536745" w:rsidR="00AE4BD1" w:rsidRPr="002D2F67" w:rsidRDefault="00AE4BD1" w:rsidP="005611FE">
            <w:pPr>
              <w:ind w:left="207"/>
              <w:rPr>
                <w:rFonts w:ascii="Arial" w:hAnsi="Arial" w:cs="Arial"/>
                <w:color w:val="000000"/>
                <w:sz w:val="18"/>
                <w:szCs w:val="18"/>
              </w:rPr>
            </w:pPr>
            <w:r w:rsidRPr="002D2F67">
              <w:rPr>
                <w:rFonts w:ascii="Arial" w:hAnsi="Arial" w:cs="Arial"/>
                <w:color w:val="000000"/>
                <w:sz w:val="18"/>
                <w:szCs w:val="18"/>
              </w:rPr>
              <w:t>Revis</w:t>
            </w:r>
            <w:r w:rsidR="004A51D5" w:rsidRPr="002D2F67">
              <w:rPr>
                <w:rFonts w:ascii="Arial" w:hAnsi="Arial" w:cs="Arial"/>
                <w:color w:val="000000"/>
                <w:sz w:val="18"/>
                <w:szCs w:val="18"/>
              </w:rPr>
              <w:t>ion of</w:t>
            </w:r>
            <w:r w:rsidRPr="002D2F67">
              <w:rPr>
                <w:rFonts w:ascii="Arial" w:hAnsi="Arial" w:cs="Arial"/>
                <w:color w:val="000000"/>
                <w:sz w:val="18"/>
                <w:szCs w:val="18"/>
              </w:rPr>
              <w:t xml:space="preserve"> provision for decommissioning costs </w:t>
            </w:r>
          </w:p>
          <w:p w14:paraId="35C8B12D" w14:textId="300EBA44" w:rsidR="00AE4BD1" w:rsidRPr="002D2F67" w:rsidRDefault="00AE4BD1" w:rsidP="005611FE">
            <w:pPr>
              <w:ind w:left="207"/>
              <w:rPr>
                <w:rFonts w:ascii="Arial" w:hAnsi="Arial" w:cs="Arial"/>
                <w:color w:val="000000"/>
                <w:sz w:val="18"/>
                <w:szCs w:val="18"/>
              </w:rPr>
            </w:pPr>
            <w:r w:rsidRPr="002D2F67">
              <w:rPr>
                <w:rFonts w:ascii="Arial" w:hAnsi="Arial" w:cs="Arial"/>
                <w:color w:val="000000"/>
                <w:sz w:val="18"/>
                <w:szCs w:val="18"/>
              </w:rPr>
              <w:t xml:space="preserve">   (Note </w:t>
            </w:r>
            <w:r w:rsidR="00CD5714" w:rsidRPr="00CD5714">
              <w:rPr>
                <w:rFonts w:ascii="Arial" w:hAnsi="Arial" w:cs="Arial"/>
                <w:color w:val="000000"/>
                <w:sz w:val="18"/>
                <w:szCs w:val="18"/>
                <w:lang w:val="en-GB"/>
              </w:rPr>
              <w:t>31</w:t>
            </w:r>
            <w:r w:rsidRPr="002D2F67">
              <w:rPr>
                <w:rFonts w:ascii="Arial" w:hAnsi="Arial" w:cs="Arial"/>
                <w:color w:val="000000"/>
                <w:sz w:val="18"/>
                <w:szCs w:val="18"/>
              </w:rPr>
              <w:t>)</w:t>
            </w:r>
          </w:p>
        </w:tc>
        <w:tc>
          <w:tcPr>
            <w:tcW w:w="1381" w:type="dxa"/>
            <w:shd w:val="clear" w:color="auto" w:fill="auto"/>
            <w:vAlign w:val="bottom"/>
          </w:tcPr>
          <w:p w14:paraId="6F41DDB1" w14:textId="77777777"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p>
        </w:tc>
        <w:tc>
          <w:tcPr>
            <w:tcW w:w="1375" w:type="dxa"/>
            <w:shd w:val="clear" w:color="auto" w:fill="auto"/>
            <w:vAlign w:val="bottom"/>
          </w:tcPr>
          <w:p w14:paraId="4CE2C10B" w14:textId="77777777"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p>
        </w:tc>
        <w:tc>
          <w:tcPr>
            <w:tcW w:w="1548" w:type="dxa"/>
            <w:shd w:val="clear" w:color="auto" w:fill="auto"/>
            <w:vAlign w:val="bottom"/>
          </w:tcPr>
          <w:p w14:paraId="321492A5" w14:textId="54782A9A"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3</w:t>
            </w:r>
            <w:r w:rsidR="00AE4BD1" w:rsidRPr="002D2F67">
              <w:rPr>
                <w:rFonts w:ascii="Arial" w:hAnsi="Arial" w:cs="Arial"/>
                <w:color w:val="000000"/>
                <w:sz w:val="18"/>
                <w:szCs w:val="18"/>
              </w:rPr>
              <w:t>,</w:t>
            </w:r>
            <w:r w:rsidRPr="00CD5714">
              <w:rPr>
                <w:rFonts w:ascii="Arial" w:hAnsi="Arial" w:cs="Arial"/>
                <w:color w:val="000000"/>
                <w:sz w:val="18"/>
                <w:szCs w:val="18"/>
                <w:lang w:val="en-GB"/>
              </w:rPr>
              <w:t>825</w:t>
            </w:r>
          </w:p>
        </w:tc>
        <w:tc>
          <w:tcPr>
            <w:tcW w:w="1958" w:type="dxa"/>
            <w:shd w:val="clear" w:color="auto" w:fill="auto"/>
            <w:vAlign w:val="bottom"/>
          </w:tcPr>
          <w:p w14:paraId="5A4AA100" w14:textId="4C742CDE"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110</w:t>
            </w:r>
            <w:r w:rsidR="00AE4BD1" w:rsidRPr="002D2F67">
              <w:rPr>
                <w:rFonts w:ascii="Arial" w:hAnsi="Arial" w:cs="Arial"/>
                <w:color w:val="000000"/>
                <w:sz w:val="18"/>
                <w:szCs w:val="18"/>
              </w:rPr>
              <w:t>,</w:t>
            </w:r>
            <w:r w:rsidRPr="00CD5714">
              <w:rPr>
                <w:rFonts w:ascii="Arial" w:hAnsi="Arial" w:cs="Arial"/>
                <w:color w:val="000000"/>
                <w:sz w:val="18"/>
                <w:szCs w:val="18"/>
                <w:lang w:val="en-GB"/>
              </w:rPr>
              <w:t>260</w:t>
            </w:r>
          </w:p>
        </w:tc>
        <w:tc>
          <w:tcPr>
            <w:tcW w:w="1800" w:type="dxa"/>
            <w:shd w:val="clear" w:color="auto" w:fill="auto"/>
            <w:vAlign w:val="bottom"/>
          </w:tcPr>
          <w:p w14:paraId="7C0F6DC4" w14:textId="77777777"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p>
        </w:tc>
        <w:tc>
          <w:tcPr>
            <w:tcW w:w="1555" w:type="dxa"/>
            <w:shd w:val="clear" w:color="auto" w:fill="auto"/>
            <w:vAlign w:val="bottom"/>
          </w:tcPr>
          <w:p w14:paraId="76F2E033" w14:textId="77777777" w:rsidR="00AE4BD1" w:rsidRPr="002D2F67" w:rsidRDefault="00AE4BD1" w:rsidP="005611FE">
            <w:pPr>
              <w:ind w:right="-72"/>
              <w:jc w:val="right"/>
              <w:rPr>
                <w:rFonts w:ascii="Arial" w:hAnsi="Arial" w:cs="Arial"/>
                <w:color w:val="000000"/>
                <w:sz w:val="18"/>
                <w:szCs w:val="18"/>
                <w:cs/>
              </w:rPr>
            </w:pPr>
            <w:r w:rsidRPr="002D2F67">
              <w:rPr>
                <w:rFonts w:ascii="Arial" w:hAnsi="Arial" w:cs="Arial"/>
                <w:color w:val="000000"/>
                <w:sz w:val="18"/>
                <w:szCs w:val="18"/>
              </w:rPr>
              <w:t>-</w:t>
            </w:r>
          </w:p>
        </w:tc>
        <w:tc>
          <w:tcPr>
            <w:tcW w:w="1583" w:type="dxa"/>
            <w:shd w:val="clear" w:color="auto" w:fill="auto"/>
            <w:vAlign w:val="bottom"/>
          </w:tcPr>
          <w:p w14:paraId="5E900939" w14:textId="2FE893D8"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114</w:t>
            </w:r>
            <w:r w:rsidR="00AE4BD1" w:rsidRPr="002D2F67">
              <w:rPr>
                <w:rFonts w:ascii="Arial" w:hAnsi="Arial" w:cs="Arial"/>
                <w:color w:val="000000"/>
                <w:sz w:val="18"/>
                <w:szCs w:val="18"/>
              </w:rPr>
              <w:t>,</w:t>
            </w:r>
            <w:r w:rsidRPr="00CD5714">
              <w:rPr>
                <w:rFonts w:ascii="Arial" w:hAnsi="Arial" w:cs="Arial"/>
                <w:color w:val="000000"/>
                <w:sz w:val="18"/>
                <w:szCs w:val="18"/>
                <w:lang w:val="en-GB"/>
              </w:rPr>
              <w:t>085</w:t>
            </w:r>
          </w:p>
        </w:tc>
      </w:tr>
      <w:tr w:rsidR="00AE4BD1" w:rsidRPr="002D2F67" w14:paraId="01C3D931" w14:textId="77777777" w:rsidTr="19457625">
        <w:tc>
          <w:tcPr>
            <w:tcW w:w="4469" w:type="dxa"/>
            <w:shd w:val="clear" w:color="auto" w:fill="auto"/>
            <w:vAlign w:val="bottom"/>
          </w:tcPr>
          <w:p w14:paraId="6F6F0402" w14:textId="77777777" w:rsidR="00AE4BD1" w:rsidRPr="002D2F67" w:rsidRDefault="00AE4BD1" w:rsidP="005611FE">
            <w:pPr>
              <w:ind w:left="207"/>
              <w:rPr>
                <w:rFonts w:ascii="Arial" w:hAnsi="Arial" w:cs="Arial"/>
                <w:color w:val="000000"/>
                <w:sz w:val="18"/>
                <w:szCs w:val="18"/>
                <w:cs/>
              </w:rPr>
            </w:pPr>
            <w:r w:rsidRPr="002D2F67">
              <w:rPr>
                <w:rFonts w:ascii="Arial" w:hAnsi="Arial" w:cs="Arial"/>
                <w:color w:val="000000"/>
                <w:sz w:val="18"/>
                <w:szCs w:val="18"/>
              </w:rPr>
              <w:t>Disposals, net</w:t>
            </w:r>
          </w:p>
        </w:tc>
        <w:tc>
          <w:tcPr>
            <w:tcW w:w="1381" w:type="dxa"/>
            <w:shd w:val="clear" w:color="auto" w:fill="auto"/>
            <w:vAlign w:val="bottom"/>
          </w:tcPr>
          <w:p w14:paraId="10F9A150" w14:textId="77777777"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p>
        </w:tc>
        <w:tc>
          <w:tcPr>
            <w:tcW w:w="1375" w:type="dxa"/>
            <w:shd w:val="clear" w:color="auto" w:fill="auto"/>
            <w:vAlign w:val="bottom"/>
          </w:tcPr>
          <w:p w14:paraId="53AE32C8" w14:textId="77777777"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p>
        </w:tc>
        <w:tc>
          <w:tcPr>
            <w:tcW w:w="1548" w:type="dxa"/>
            <w:shd w:val="clear" w:color="auto" w:fill="auto"/>
            <w:vAlign w:val="bottom"/>
          </w:tcPr>
          <w:p w14:paraId="5CDF0FC0" w14:textId="1C21ED58"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12</w:t>
            </w:r>
            <w:r w:rsidRPr="002D2F67">
              <w:rPr>
                <w:rFonts w:ascii="Arial" w:hAnsi="Arial" w:cs="Arial"/>
                <w:color w:val="000000"/>
                <w:sz w:val="18"/>
                <w:szCs w:val="18"/>
              </w:rPr>
              <w:t>,</w:t>
            </w:r>
            <w:r w:rsidR="00CD5714" w:rsidRPr="00CD5714">
              <w:rPr>
                <w:rFonts w:ascii="Arial" w:hAnsi="Arial" w:cs="Arial"/>
                <w:color w:val="000000"/>
                <w:sz w:val="18"/>
                <w:szCs w:val="18"/>
                <w:lang w:val="en-GB"/>
              </w:rPr>
              <w:t>944</w:t>
            </w:r>
            <w:r w:rsidRPr="002D2F67">
              <w:rPr>
                <w:rFonts w:ascii="Arial" w:hAnsi="Arial" w:cs="Arial"/>
                <w:color w:val="000000"/>
                <w:sz w:val="18"/>
                <w:szCs w:val="18"/>
              </w:rPr>
              <w:t>)</w:t>
            </w:r>
          </w:p>
        </w:tc>
        <w:tc>
          <w:tcPr>
            <w:tcW w:w="1958" w:type="dxa"/>
            <w:shd w:val="clear" w:color="auto" w:fill="auto"/>
            <w:vAlign w:val="bottom"/>
          </w:tcPr>
          <w:p w14:paraId="746C2492" w14:textId="77777777"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p>
        </w:tc>
        <w:tc>
          <w:tcPr>
            <w:tcW w:w="1800" w:type="dxa"/>
            <w:shd w:val="clear" w:color="auto" w:fill="auto"/>
            <w:vAlign w:val="bottom"/>
          </w:tcPr>
          <w:p w14:paraId="73C3DD7C" w14:textId="72941575"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9</w:t>
            </w:r>
            <w:r w:rsidRPr="002D2F67">
              <w:rPr>
                <w:rFonts w:ascii="Arial" w:hAnsi="Arial" w:cs="Arial"/>
                <w:color w:val="000000"/>
                <w:sz w:val="18"/>
                <w:szCs w:val="18"/>
              </w:rPr>
              <w:t>,</w:t>
            </w:r>
            <w:r w:rsidR="00CD5714" w:rsidRPr="00CD5714">
              <w:rPr>
                <w:rFonts w:ascii="Arial" w:hAnsi="Arial" w:cs="Arial"/>
                <w:color w:val="000000"/>
                <w:sz w:val="18"/>
                <w:szCs w:val="18"/>
                <w:lang w:val="en-GB"/>
              </w:rPr>
              <w:t>069</w:t>
            </w:r>
            <w:r w:rsidRPr="002D2F67">
              <w:rPr>
                <w:rFonts w:ascii="Arial" w:hAnsi="Arial" w:cs="Arial"/>
                <w:color w:val="000000"/>
                <w:sz w:val="18"/>
                <w:szCs w:val="18"/>
              </w:rPr>
              <w:t>)</w:t>
            </w:r>
          </w:p>
        </w:tc>
        <w:tc>
          <w:tcPr>
            <w:tcW w:w="1555" w:type="dxa"/>
            <w:shd w:val="clear" w:color="auto" w:fill="auto"/>
            <w:vAlign w:val="bottom"/>
          </w:tcPr>
          <w:p w14:paraId="3C14E658" w14:textId="77777777"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p>
        </w:tc>
        <w:tc>
          <w:tcPr>
            <w:tcW w:w="1583" w:type="dxa"/>
            <w:shd w:val="clear" w:color="auto" w:fill="auto"/>
            <w:vAlign w:val="bottom"/>
          </w:tcPr>
          <w:p w14:paraId="08D58109" w14:textId="6B22C2A0"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22</w:t>
            </w:r>
            <w:r w:rsidRPr="002D2F67">
              <w:rPr>
                <w:rFonts w:ascii="Arial" w:hAnsi="Arial" w:cs="Arial"/>
                <w:color w:val="000000"/>
                <w:sz w:val="18"/>
                <w:szCs w:val="18"/>
              </w:rPr>
              <w:t>,</w:t>
            </w:r>
            <w:r w:rsidR="00CD5714" w:rsidRPr="00CD5714">
              <w:rPr>
                <w:rFonts w:ascii="Arial" w:hAnsi="Arial" w:cs="Arial"/>
                <w:color w:val="000000"/>
                <w:sz w:val="18"/>
                <w:szCs w:val="18"/>
                <w:lang w:val="en-GB"/>
              </w:rPr>
              <w:t>013</w:t>
            </w:r>
            <w:r w:rsidRPr="002D2F67">
              <w:rPr>
                <w:rFonts w:ascii="Arial" w:hAnsi="Arial" w:cs="Arial"/>
                <w:color w:val="000000"/>
                <w:sz w:val="18"/>
                <w:szCs w:val="18"/>
              </w:rPr>
              <w:t>)</w:t>
            </w:r>
          </w:p>
        </w:tc>
      </w:tr>
      <w:tr w:rsidR="00AE4BD1" w:rsidRPr="002D2F67" w14:paraId="526F332E" w14:textId="77777777" w:rsidTr="19457625">
        <w:tc>
          <w:tcPr>
            <w:tcW w:w="4469" w:type="dxa"/>
            <w:shd w:val="clear" w:color="auto" w:fill="auto"/>
            <w:vAlign w:val="bottom"/>
          </w:tcPr>
          <w:p w14:paraId="516FD2A4" w14:textId="77777777" w:rsidR="00AE4BD1" w:rsidRPr="002D2F67" w:rsidRDefault="00AE4BD1" w:rsidP="005611FE">
            <w:pPr>
              <w:ind w:left="207"/>
              <w:rPr>
                <w:rFonts w:ascii="Arial" w:hAnsi="Arial" w:cs="Arial"/>
                <w:color w:val="000000"/>
                <w:sz w:val="18"/>
                <w:szCs w:val="18"/>
              </w:rPr>
            </w:pPr>
            <w:r w:rsidRPr="002D2F67">
              <w:rPr>
                <w:rFonts w:ascii="Arial" w:hAnsi="Arial" w:cs="Arial"/>
                <w:color w:val="000000"/>
                <w:sz w:val="18"/>
                <w:szCs w:val="18"/>
              </w:rPr>
              <w:t>Write-off, net</w:t>
            </w:r>
          </w:p>
        </w:tc>
        <w:tc>
          <w:tcPr>
            <w:tcW w:w="1381" w:type="dxa"/>
            <w:shd w:val="clear" w:color="auto" w:fill="auto"/>
            <w:vAlign w:val="bottom"/>
          </w:tcPr>
          <w:p w14:paraId="49F0AD01" w14:textId="2B9D1D8D"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w:t>
            </w:r>
            <w:r w:rsidRPr="002D2F67">
              <w:rPr>
                <w:rFonts w:ascii="Arial" w:hAnsi="Arial" w:cs="Arial"/>
                <w:color w:val="000000"/>
                <w:sz w:val="18"/>
                <w:szCs w:val="18"/>
              </w:rPr>
              <w:t>,</w:t>
            </w:r>
            <w:r w:rsidR="00CD5714" w:rsidRPr="00CD5714">
              <w:rPr>
                <w:rFonts w:ascii="Arial" w:hAnsi="Arial" w:cs="Arial"/>
                <w:color w:val="000000"/>
                <w:sz w:val="18"/>
                <w:szCs w:val="18"/>
                <w:lang w:val="en-GB"/>
              </w:rPr>
              <w:t>825</w:t>
            </w:r>
            <w:r w:rsidRPr="002D2F67">
              <w:rPr>
                <w:rFonts w:ascii="Arial" w:hAnsi="Arial" w:cs="Arial"/>
                <w:color w:val="000000"/>
                <w:sz w:val="18"/>
                <w:szCs w:val="18"/>
              </w:rPr>
              <w:t>)</w:t>
            </w:r>
          </w:p>
        </w:tc>
        <w:tc>
          <w:tcPr>
            <w:tcW w:w="1375" w:type="dxa"/>
            <w:shd w:val="clear" w:color="auto" w:fill="auto"/>
            <w:vAlign w:val="bottom"/>
          </w:tcPr>
          <w:p w14:paraId="3129DE86" w14:textId="5F858178"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8</w:t>
            </w:r>
            <w:r w:rsidRPr="002D2F67">
              <w:rPr>
                <w:rFonts w:ascii="Arial" w:hAnsi="Arial" w:cs="Arial"/>
                <w:color w:val="000000"/>
                <w:sz w:val="18"/>
                <w:szCs w:val="18"/>
              </w:rPr>
              <w:t>,</w:t>
            </w:r>
            <w:r w:rsidR="00CD5714" w:rsidRPr="00CD5714">
              <w:rPr>
                <w:rFonts w:ascii="Arial" w:hAnsi="Arial" w:cs="Arial"/>
                <w:color w:val="000000"/>
                <w:sz w:val="18"/>
                <w:szCs w:val="18"/>
                <w:lang w:val="en-GB"/>
              </w:rPr>
              <w:t>551</w:t>
            </w:r>
            <w:r w:rsidRPr="002D2F67">
              <w:rPr>
                <w:rFonts w:ascii="Arial" w:hAnsi="Arial" w:cs="Arial"/>
                <w:color w:val="000000"/>
                <w:sz w:val="18"/>
                <w:szCs w:val="18"/>
              </w:rPr>
              <w:t>)</w:t>
            </w:r>
          </w:p>
        </w:tc>
        <w:tc>
          <w:tcPr>
            <w:tcW w:w="1548" w:type="dxa"/>
            <w:shd w:val="clear" w:color="auto" w:fill="auto"/>
            <w:vAlign w:val="bottom"/>
          </w:tcPr>
          <w:p w14:paraId="2E4A8862" w14:textId="183962FC"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w:t>
            </w:r>
            <w:r w:rsidRPr="002D2F67">
              <w:rPr>
                <w:rFonts w:ascii="Arial" w:hAnsi="Arial" w:cs="Arial"/>
                <w:color w:val="000000"/>
                <w:sz w:val="18"/>
                <w:szCs w:val="18"/>
              </w:rPr>
              <w:t>)</w:t>
            </w:r>
          </w:p>
        </w:tc>
        <w:tc>
          <w:tcPr>
            <w:tcW w:w="1958" w:type="dxa"/>
            <w:shd w:val="clear" w:color="auto" w:fill="auto"/>
            <w:vAlign w:val="bottom"/>
          </w:tcPr>
          <w:p w14:paraId="7C5ED8F0" w14:textId="596E0D71"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12</w:t>
            </w:r>
            <w:r w:rsidRPr="002D2F67">
              <w:rPr>
                <w:rFonts w:ascii="Arial" w:hAnsi="Arial" w:cs="Arial"/>
                <w:color w:val="000000"/>
                <w:sz w:val="18"/>
                <w:szCs w:val="18"/>
              </w:rPr>
              <w:t>,</w:t>
            </w:r>
            <w:r w:rsidR="00CD5714" w:rsidRPr="00CD5714">
              <w:rPr>
                <w:rFonts w:ascii="Arial" w:hAnsi="Arial" w:cs="Arial"/>
                <w:color w:val="000000"/>
                <w:sz w:val="18"/>
                <w:szCs w:val="18"/>
                <w:lang w:val="en-GB"/>
              </w:rPr>
              <w:t>844</w:t>
            </w:r>
            <w:r w:rsidRPr="002D2F67">
              <w:rPr>
                <w:rFonts w:ascii="Arial" w:hAnsi="Arial" w:cs="Arial"/>
                <w:color w:val="000000"/>
                <w:sz w:val="18"/>
                <w:szCs w:val="18"/>
              </w:rPr>
              <w:t>)</w:t>
            </w:r>
          </w:p>
        </w:tc>
        <w:tc>
          <w:tcPr>
            <w:tcW w:w="1800" w:type="dxa"/>
            <w:shd w:val="clear" w:color="auto" w:fill="auto"/>
            <w:vAlign w:val="bottom"/>
          </w:tcPr>
          <w:p w14:paraId="5DB55803" w14:textId="6AABFADE"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6</w:t>
            </w:r>
            <w:r w:rsidRPr="002D2F67">
              <w:rPr>
                <w:rFonts w:ascii="Arial" w:hAnsi="Arial" w:cs="Arial"/>
                <w:color w:val="000000"/>
                <w:sz w:val="18"/>
                <w:szCs w:val="18"/>
              </w:rPr>
              <w:t>,</w:t>
            </w:r>
            <w:r w:rsidR="00CD5714" w:rsidRPr="00CD5714">
              <w:rPr>
                <w:rFonts w:ascii="Arial" w:hAnsi="Arial" w:cs="Arial"/>
                <w:color w:val="000000"/>
                <w:sz w:val="18"/>
                <w:szCs w:val="18"/>
                <w:lang w:val="en-GB"/>
              </w:rPr>
              <w:t>070</w:t>
            </w:r>
            <w:r w:rsidRPr="002D2F67">
              <w:rPr>
                <w:rFonts w:ascii="Arial" w:hAnsi="Arial" w:cs="Arial"/>
                <w:color w:val="000000"/>
                <w:sz w:val="18"/>
                <w:szCs w:val="18"/>
              </w:rPr>
              <w:t>)</w:t>
            </w:r>
          </w:p>
        </w:tc>
        <w:tc>
          <w:tcPr>
            <w:tcW w:w="1555" w:type="dxa"/>
            <w:shd w:val="clear" w:color="auto" w:fill="auto"/>
            <w:vAlign w:val="bottom"/>
          </w:tcPr>
          <w:p w14:paraId="10FE496E" w14:textId="0C1089BA"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21</w:t>
            </w:r>
            <w:r w:rsidRPr="002D2F67">
              <w:rPr>
                <w:rFonts w:ascii="Arial" w:hAnsi="Arial" w:cs="Arial"/>
                <w:color w:val="000000"/>
                <w:sz w:val="18"/>
                <w:szCs w:val="18"/>
              </w:rPr>
              <w:t>,</w:t>
            </w:r>
            <w:r w:rsidR="00CD5714" w:rsidRPr="00CD5714">
              <w:rPr>
                <w:rFonts w:ascii="Arial" w:hAnsi="Arial" w:cs="Arial"/>
                <w:color w:val="000000"/>
                <w:sz w:val="18"/>
                <w:szCs w:val="18"/>
                <w:lang w:val="en-GB"/>
              </w:rPr>
              <w:t>385</w:t>
            </w:r>
            <w:r w:rsidRPr="002D2F67">
              <w:rPr>
                <w:rFonts w:ascii="Arial" w:hAnsi="Arial" w:cs="Arial"/>
                <w:color w:val="000000"/>
                <w:sz w:val="18"/>
                <w:szCs w:val="18"/>
              </w:rPr>
              <w:t>)</w:t>
            </w:r>
          </w:p>
        </w:tc>
        <w:tc>
          <w:tcPr>
            <w:tcW w:w="1583" w:type="dxa"/>
            <w:shd w:val="clear" w:color="auto" w:fill="auto"/>
            <w:vAlign w:val="bottom"/>
          </w:tcPr>
          <w:p w14:paraId="0653A861" w14:textId="15EA2F2D"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50</w:t>
            </w:r>
            <w:r w:rsidRPr="002D2F67">
              <w:rPr>
                <w:rFonts w:ascii="Arial" w:hAnsi="Arial" w:cs="Arial"/>
                <w:color w:val="000000"/>
                <w:sz w:val="18"/>
                <w:szCs w:val="18"/>
              </w:rPr>
              <w:t>,</w:t>
            </w:r>
            <w:r w:rsidR="00CD5714" w:rsidRPr="00CD5714">
              <w:rPr>
                <w:rFonts w:ascii="Arial" w:hAnsi="Arial" w:cs="Arial"/>
                <w:color w:val="000000"/>
                <w:sz w:val="18"/>
                <w:szCs w:val="18"/>
                <w:lang w:val="en-GB"/>
              </w:rPr>
              <w:t>676</w:t>
            </w:r>
            <w:r w:rsidRPr="002D2F67">
              <w:rPr>
                <w:rFonts w:ascii="Arial" w:hAnsi="Arial" w:cs="Arial"/>
                <w:color w:val="000000"/>
                <w:sz w:val="18"/>
                <w:szCs w:val="18"/>
              </w:rPr>
              <w:t>)</w:t>
            </w:r>
          </w:p>
        </w:tc>
      </w:tr>
      <w:tr w:rsidR="00AE4BD1" w:rsidRPr="002D2F67" w14:paraId="7473A2C9" w14:textId="77777777" w:rsidTr="19457625">
        <w:tc>
          <w:tcPr>
            <w:tcW w:w="4469" w:type="dxa"/>
            <w:shd w:val="clear" w:color="auto" w:fill="auto"/>
            <w:vAlign w:val="bottom"/>
          </w:tcPr>
          <w:p w14:paraId="0F0B506B" w14:textId="77777777" w:rsidR="00AE4BD1" w:rsidRPr="002D2F67" w:rsidRDefault="00AE4BD1" w:rsidP="005611FE">
            <w:pPr>
              <w:ind w:left="207"/>
              <w:rPr>
                <w:rFonts w:ascii="Arial" w:hAnsi="Arial" w:cs="Arial"/>
                <w:color w:val="000000"/>
                <w:sz w:val="18"/>
                <w:szCs w:val="18"/>
              </w:rPr>
            </w:pPr>
            <w:r w:rsidRPr="002D2F67">
              <w:rPr>
                <w:rFonts w:ascii="Arial" w:hAnsi="Arial" w:cs="Arial"/>
                <w:color w:val="000000"/>
                <w:sz w:val="18"/>
                <w:szCs w:val="18"/>
              </w:rPr>
              <w:t>Transfer</w:t>
            </w:r>
          </w:p>
        </w:tc>
        <w:tc>
          <w:tcPr>
            <w:tcW w:w="1381" w:type="dxa"/>
            <w:shd w:val="clear" w:color="auto" w:fill="auto"/>
            <w:vAlign w:val="bottom"/>
          </w:tcPr>
          <w:p w14:paraId="4018D124" w14:textId="77777777"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p>
        </w:tc>
        <w:tc>
          <w:tcPr>
            <w:tcW w:w="1375" w:type="dxa"/>
            <w:shd w:val="clear" w:color="auto" w:fill="auto"/>
            <w:vAlign w:val="bottom"/>
          </w:tcPr>
          <w:p w14:paraId="131C3BBB" w14:textId="6D5DE642"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25</w:t>
            </w:r>
            <w:r w:rsidR="00AE4BD1" w:rsidRPr="002D2F67">
              <w:rPr>
                <w:rFonts w:ascii="Arial" w:hAnsi="Arial" w:cs="Arial"/>
                <w:color w:val="000000"/>
                <w:sz w:val="18"/>
                <w:szCs w:val="18"/>
              </w:rPr>
              <w:t>,</w:t>
            </w:r>
            <w:r w:rsidRPr="00CD5714">
              <w:rPr>
                <w:rFonts w:ascii="Arial" w:hAnsi="Arial" w:cs="Arial"/>
                <w:color w:val="000000"/>
                <w:sz w:val="18"/>
                <w:szCs w:val="18"/>
                <w:lang w:val="en-GB"/>
              </w:rPr>
              <w:t>614</w:t>
            </w:r>
          </w:p>
        </w:tc>
        <w:tc>
          <w:tcPr>
            <w:tcW w:w="1548" w:type="dxa"/>
            <w:shd w:val="clear" w:color="auto" w:fill="auto"/>
            <w:vAlign w:val="bottom"/>
          </w:tcPr>
          <w:p w14:paraId="3D2C2CC1" w14:textId="6EB6DEA5"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678</w:t>
            </w:r>
            <w:r w:rsidR="00AE4BD1" w:rsidRPr="002D2F67">
              <w:rPr>
                <w:rFonts w:ascii="Arial" w:hAnsi="Arial" w:cs="Arial"/>
                <w:color w:val="000000"/>
                <w:sz w:val="18"/>
                <w:szCs w:val="18"/>
              </w:rPr>
              <w:t>,</w:t>
            </w:r>
            <w:r w:rsidRPr="00CD5714">
              <w:rPr>
                <w:rFonts w:ascii="Arial" w:hAnsi="Arial" w:cs="Arial"/>
                <w:color w:val="000000"/>
                <w:sz w:val="18"/>
                <w:szCs w:val="18"/>
                <w:lang w:val="en-GB"/>
              </w:rPr>
              <w:t>659</w:t>
            </w:r>
          </w:p>
        </w:tc>
        <w:tc>
          <w:tcPr>
            <w:tcW w:w="1958" w:type="dxa"/>
            <w:shd w:val="clear" w:color="auto" w:fill="auto"/>
            <w:vAlign w:val="bottom"/>
          </w:tcPr>
          <w:p w14:paraId="62BDCE50" w14:textId="249F3A23"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833</w:t>
            </w:r>
            <w:r w:rsidR="00AE4BD1" w:rsidRPr="002D2F67">
              <w:rPr>
                <w:rFonts w:ascii="Arial" w:hAnsi="Arial" w:cs="Arial"/>
                <w:color w:val="000000"/>
                <w:sz w:val="18"/>
                <w:szCs w:val="18"/>
              </w:rPr>
              <w:t>,</w:t>
            </w:r>
            <w:r w:rsidRPr="00CD5714">
              <w:rPr>
                <w:rFonts w:ascii="Arial" w:hAnsi="Arial" w:cs="Arial"/>
                <w:color w:val="000000"/>
                <w:sz w:val="18"/>
                <w:szCs w:val="18"/>
                <w:lang w:val="en-GB"/>
              </w:rPr>
              <w:t>802</w:t>
            </w:r>
          </w:p>
        </w:tc>
        <w:tc>
          <w:tcPr>
            <w:tcW w:w="1800" w:type="dxa"/>
            <w:shd w:val="clear" w:color="auto" w:fill="auto"/>
            <w:vAlign w:val="bottom"/>
          </w:tcPr>
          <w:p w14:paraId="26A0C9FA" w14:textId="325D4DF1"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5</w:t>
            </w:r>
            <w:r w:rsidR="00AE4BD1" w:rsidRPr="002D2F67">
              <w:rPr>
                <w:rFonts w:ascii="Arial" w:hAnsi="Arial" w:cs="Arial"/>
                <w:color w:val="000000"/>
                <w:sz w:val="18"/>
                <w:szCs w:val="18"/>
              </w:rPr>
              <w:t>,</w:t>
            </w:r>
            <w:r w:rsidRPr="00CD5714">
              <w:rPr>
                <w:rFonts w:ascii="Arial" w:hAnsi="Arial" w:cs="Arial"/>
                <w:color w:val="000000"/>
                <w:sz w:val="18"/>
                <w:szCs w:val="18"/>
                <w:lang w:val="en-GB"/>
              </w:rPr>
              <w:t>524</w:t>
            </w:r>
          </w:p>
        </w:tc>
        <w:tc>
          <w:tcPr>
            <w:tcW w:w="1555" w:type="dxa"/>
            <w:shd w:val="clear" w:color="auto" w:fill="auto"/>
            <w:vAlign w:val="bottom"/>
          </w:tcPr>
          <w:p w14:paraId="0171396A" w14:textId="17E5E953"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w:t>
            </w:r>
            <w:r w:rsidRPr="002D2F67">
              <w:rPr>
                <w:rFonts w:ascii="Arial" w:hAnsi="Arial" w:cs="Arial"/>
                <w:color w:val="000000"/>
                <w:sz w:val="18"/>
                <w:szCs w:val="18"/>
              </w:rPr>
              <w:t>,</w:t>
            </w:r>
            <w:r w:rsidR="00CD5714" w:rsidRPr="00CD5714">
              <w:rPr>
                <w:rFonts w:ascii="Arial" w:hAnsi="Arial" w:cs="Arial"/>
                <w:color w:val="000000"/>
                <w:sz w:val="18"/>
                <w:szCs w:val="18"/>
                <w:lang w:val="en-GB"/>
              </w:rPr>
              <w:t>543</w:t>
            </w:r>
            <w:r w:rsidRPr="002D2F67">
              <w:rPr>
                <w:rFonts w:ascii="Arial" w:hAnsi="Arial" w:cs="Arial"/>
                <w:color w:val="000000"/>
                <w:sz w:val="18"/>
                <w:szCs w:val="18"/>
              </w:rPr>
              <w:t>,</w:t>
            </w:r>
            <w:r w:rsidR="00CD5714" w:rsidRPr="00CD5714">
              <w:rPr>
                <w:rFonts w:ascii="Arial" w:hAnsi="Arial" w:cs="Arial"/>
                <w:color w:val="000000"/>
                <w:sz w:val="18"/>
                <w:szCs w:val="18"/>
                <w:lang w:val="en-GB"/>
              </w:rPr>
              <w:t>599</w:t>
            </w:r>
            <w:r w:rsidRPr="002D2F67">
              <w:rPr>
                <w:rFonts w:ascii="Arial" w:hAnsi="Arial" w:cs="Arial"/>
                <w:color w:val="000000"/>
                <w:sz w:val="18"/>
                <w:szCs w:val="18"/>
              </w:rPr>
              <w:t>)</w:t>
            </w:r>
          </w:p>
        </w:tc>
        <w:tc>
          <w:tcPr>
            <w:tcW w:w="1583" w:type="dxa"/>
            <w:shd w:val="clear" w:color="auto" w:fill="auto"/>
            <w:vAlign w:val="bottom"/>
          </w:tcPr>
          <w:p w14:paraId="6FB456D2" w14:textId="77777777"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p>
        </w:tc>
      </w:tr>
      <w:tr w:rsidR="00AE4BD1" w:rsidRPr="002D2F67" w14:paraId="1F0618F5" w14:textId="77777777" w:rsidTr="19457625">
        <w:tc>
          <w:tcPr>
            <w:tcW w:w="4469" w:type="dxa"/>
            <w:shd w:val="clear" w:color="auto" w:fill="auto"/>
            <w:vAlign w:val="bottom"/>
          </w:tcPr>
          <w:p w14:paraId="1338DF00" w14:textId="77777777" w:rsidR="00AE4BD1" w:rsidRPr="002D2F67" w:rsidRDefault="00AE4BD1" w:rsidP="005611FE">
            <w:pPr>
              <w:ind w:left="207"/>
              <w:rPr>
                <w:rFonts w:ascii="Arial" w:hAnsi="Arial" w:cs="Arial"/>
                <w:color w:val="000000"/>
                <w:sz w:val="18"/>
                <w:szCs w:val="18"/>
              </w:rPr>
            </w:pPr>
            <w:r w:rsidRPr="002D2F67">
              <w:rPr>
                <w:rFonts w:ascii="Arial" w:hAnsi="Arial" w:cs="Arial"/>
                <w:color w:val="000000"/>
                <w:sz w:val="18"/>
                <w:szCs w:val="18"/>
              </w:rPr>
              <w:t xml:space="preserve">Transfer to </w:t>
            </w:r>
            <w:r w:rsidRPr="002D2F67">
              <w:rPr>
                <w:rFonts w:ascii="Arial" w:hAnsi="Arial" w:cs="Arial"/>
                <w:color w:val="000000"/>
                <w:sz w:val="18"/>
                <w:szCs w:val="22"/>
              </w:rPr>
              <w:t xml:space="preserve">held-for-sale </w:t>
            </w:r>
          </w:p>
        </w:tc>
        <w:tc>
          <w:tcPr>
            <w:tcW w:w="1381" w:type="dxa"/>
            <w:shd w:val="clear" w:color="auto" w:fill="auto"/>
            <w:vAlign w:val="bottom"/>
          </w:tcPr>
          <w:p w14:paraId="07CFBEB9" w14:textId="49222CAA"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24</w:t>
            </w:r>
            <w:r w:rsidRPr="002D2F67">
              <w:rPr>
                <w:rFonts w:ascii="Arial" w:hAnsi="Arial" w:cs="Arial"/>
                <w:color w:val="000000"/>
                <w:sz w:val="18"/>
                <w:szCs w:val="18"/>
              </w:rPr>
              <w:t>,</w:t>
            </w:r>
            <w:r w:rsidR="00CD5714" w:rsidRPr="00CD5714">
              <w:rPr>
                <w:rFonts w:ascii="Arial" w:hAnsi="Arial" w:cs="Arial"/>
                <w:color w:val="000000"/>
                <w:sz w:val="18"/>
                <w:szCs w:val="18"/>
                <w:lang w:val="en-GB"/>
              </w:rPr>
              <w:t>071</w:t>
            </w:r>
            <w:r w:rsidRPr="002D2F67">
              <w:rPr>
                <w:rFonts w:ascii="Arial" w:hAnsi="Arial" w:cs="Arial"/>
                <w:color w:val="000000"/>
                <w:sz w:val="18"/>
                <w:szCs w:val="18"/>
              </w:rPr>
              <w:t>)</w:t>
            </w:r>
          </w:p>
        </w:tc>
        <w:tc>
          <w:tcPr>
            <w:tcW w:w="1375" w:type="dxa"/>
            <w:shd w:val="clear" w:color="auto" w:fill="auto"/>
            <w:vAlign w:val="bottom"/>
          </w:tcPr>
          <w:p w14:paraId="47D469C4" w14:textId="3130FA7C"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21</w:t>
            </w:r>
            <w:r w:rsidRPr="002D2F67">
              <w:rPr>
                <w:rFonts w:ascii="Arial" w:hAnsi="Arial" w:cs="Arial"/>
                <w:color w:val="000000"/>
                <w:sz w:val="18"/>
                <w:szCs w:val="18"/>
              </w:rPr>
              <w:t>,</w:t>
            </w:r>
            <w:r w:rsidR="00CD5714" w:rsidRPr="00CD5714">
              <w:rPr>
                <w:rFonts w:ascii="Arial" w:hAnsi="Arial" w:cs="Arial"/>
                <w:color w:val="000000"/>
                <w:sz w:val="18"/>
                <w:szCs w:val="18"/>
                <w:lang w:val="en-GB"/>
              </w:rPr>
              <w:t>102</w:t>
            </w:r>
            <w:r w:rsidRPr="002D2F67">
              <w:rPr>
                <w:rFonts w:ascii="Arial" w:hAnsi="Arial" w:cs="Arial"/>
                <w:color w:val="000000"/>
                <w:sz w:val="18"/>
                <w:szCs w:val="18"/>
              </w:rPr>
              <w:t>)</w:t>
            </w:r>
          </w:p>
        </w:tc>
        <w:tc>
          <w:tcPr>
            <w:tcW w:w="1548" w:type="dxa"/>
            <w:shd w:val="clear" w:color="auto" w:fill="auto"/>
            <w:vAlign w:val="bottom"/>
          </w:tcPr>
          <w:p w14:paraId="3AEA64A3" w14:textId="162693B4"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129</w:t>
            </w:r>
            <w:r w:rsidRPr="002D2F67">
              <w:rPr>
                <w:rFonts w:ascii="Arial" w:hAnsi="Arial" w:cs="Arial"/>
                <w:color w:val="000000"/>
                <w:sz w:val="18"/>
                <w:szCs w:val="18"/>
              </w:rPr>
              <w:t>,</w:t>
            </w:r>
            <w:r w:rsidR="00CD5714" w:rsidRPr="00CD5714">
              <w:rPr>
                <w:rFonts w:ascii="Arial" w:hAnsi="Arial" w:cs="Arial"/>
                <w:color w:val="000000"/>
                <w:sz w:val="18"/>
                <w:szCs w:val="18"/>
                <w:lang w:val="en-GB"/>
              </w:rPr>
              <w:t>291</w:t>
            </w:r>
            <w:r w:rsidRPr="002D2F67">
              <w:rPr>
                <w:rFonts w:ascii="Arial" w:hAnsi="Arial" w:cs="Arial"/>
                <w:color w:val="000000"/>
                <w:sz w:val="18"/>
                <w:szCs w:val="18"/>
              </w:rPr>
              <w:t>)</w:t>
            </w:r>
          </w:p>
        </w:tc>
        <w:tc>
          <w:tcPr>
            <w:tcW w:w="1958" w:type="dxa"/>
            <w:shd w:val="clear" w:color="auto" w:fill="auto"/>
            <w:vAlign w:val="bottom"/>
          </w:tcPr>
          <w:p w14:paraId="4D239249" w14:textId="77777777"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p>
        </w:tc>
        <w:tc>
          <w:tcPr>
            <w:tcW w:w="1800" w:type="dxa"/>
            <w:shd w:val="clear" w:color="auto" w:fill="auto"/>
            <w:vAlign w:val="bottom"/>
          </w:tcPr>
          <w:p w14:paraId="68AFE8E3" w14:textId="74DFD666"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646</w:t>
            </w:r>
            <w:r w:rsidRPr="002D2F67">
              <w:rPr>
                <w:rFonts w:ascii="Arial" w:hAnsi="Arial" w:cs="Arial"/>
                <w:color w:val="000000"/>
                <w:sz w:val="18"/>
                <w:szCs w:val="18"/>
              </w:rPr>
              <w:t>)</w:t>
            </w:r>
          </w:p>
        </w:tc>
        <w:tc>
          <w:tcPr>
            <w:tcW w:w="1555" w:type="dxa"/>
            <w:shd w:val="clear" w:color="auto" w:fill="auto"/>
            <w:vAlign w:val="bottom"/>
          </w:tcPr>
          <w:p w14:paraId="3F863BA9" w14:textId="2FC318D1"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383</w:t>
            </w:r>
            <w:r w:rsidRPr="002D2F67">
              <w:rPr>
                <w:rFonts w:ascii="Arial" w:hAnsi="Arial" w:cs="Arial"/>
                <w:color w:val="000000"/>
                <w:sz w:val="18"/>
                <w:szCs w:val="18"/>
              </w:rPr>
              <w:t>)</w:t>
            </w:r>
          </w:p>
        </w:tc>
        <w:tc>
          <w:tcPr>
            <w:tcW w:w="1583" w:type="dxa"/>
            <w:shd w:val="clear" w:color="auto" w:fill="auto"/>
            <w:vAlign w:val="bottom"/>
          </w:tcPr>
          <w:p w14:paraId="1BAB8B27" w14:textId="6768E366"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175</w:t>
            </w:r>
            <w:r w:rsidRPr="002D2F67">
              <w:rPr>
                <w:rFonts w:ascii="Arial" w:hAnsi="Arial" w:cs="Arial"/>
                <w:color w:val="000000"/>
                <w:sz w:val="18"/>
                <w:szCs w:val="18"/>
              </w:rPr>
              <w:t>,</w:t>
            </w:r>
            <w:r w:rsidR="00CD5714" w:rsidRPr="00CD5714">
              <w:rPr>
                <w:rFonts w:ascii="Arial" w:hAnsi="Arial" w:cs="Arial"/>
                <w:color w:val="000000"/>
                <w:sz w:val="18"/>
                <w:szCs w:val="18"/>
                <w:lang w:val="en-GB"/>
              </w:rPr>
              <w:t>493</w:t>
            </w:r>
            <w:r w:rsidRPr="002D2F67">
              <w:rPr>
                <w:rFonts w:ascii="Arial" w:hAnsi="Arial" w:cs="Arial"/>
                <w:color w:val="000000"/>
                <w:sz w:val="18"/>
                <w:szCs w:val="18"/>
              </w:rPr>
              <w:t>)</w:t>
            </w:r>
          </w:p>
        </w:tc>
      </w:tr>
      <w:tr w:rsidR="00AE4BD1" w:rsidRPr="002D2F67" w14:paraId="5C845E40" w14:textId="77777777" w:rsidTr="19457625">
        <w:tc>
          <w:tcPr>
            <w:tcW w:w="4469" w:type="dxa"/>
            <w:shd w:val="clear" w:color="auto" w:fill="auto"/>
            <w:vAlign w:val="bottom"/>
          </w:tcPr>
          <w:p w14:paraId="47F834E9" w14:textId="77777777" w:rsidR="00AE4BD1" w:rsidRPr="002D2F67" w:rsidRDefault="00AE4BD1" w:rsidP="005611FE">
            <w:pPr>
              <w:ind w:left="207"/>
              <w:rPr>
                <w:rFonts w:ascii="Arial" w:hAnsi="Arial" w:cs="Arial"/>
                <w:color w:val="000000"/>
                <w:sz w:val="18"/>
                <w:szCs w:val="18"/>
              </w:rPr>
            </w:pPr>
            <w:r w:rsidRPr="002D2F67">
              <w:rPr>
                <w:rFonts w:ascii="Arial" w:hAnsi="Arial" w:cs="Arial"/>
                <w:color w:val="000000"/>
                <w:sz w:val="18"/>
                <w:szCs w:val="18"/>
              </w:rPr>
              <w:t xml:space="preserve">Reclassification </w:t>
            </w:r>
          </w:p>
        </w:tc>
        <w:tc>
          <w:tcPr>
            <w:tcW w:w="1381" w:type="dxa"/>
            <w:shd w:val="clear" w:color="auto" w:fill="auto"/>
            <w:vAlign w:val="bottom"/>
          </w:tcPr>
          <w:p w14:paraId="1812BA8B" w14:textId="77777777"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p>
        </w:tc>
        <w:tc>
          <w:tcPr>
            <w:tcW w:w="1375" w:type="dxa"/>
            <w:shd w:val="clear" w:color="auto" w:fill="auto"/>
            <w:vAlign w:val="bottom"/>
          </w:tcPr>
          <w:p w14:paraId="218B2F8E" w14:textId="77777777"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p>
        </w:tc>
        <w:tc>
          <w:tcPr>
            <w:tcW w:w="1548" w:type="dxa"/>
            <w:shd w:val="clear" w:color="auto" w:fill="auto"/>
            <w:vAlign w:val="bottom"/>
          </w:tcPr>
          <w:p w14:paraId="73AC11E1" w14:textId="77777777"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p>
        </w:tc>
        <w:tc>
          <w:tcPr>
            <w:tcW w:w="1958" w:type="dxa"/>
            <w:shd w:val="clear" w:color="auto" w:fill="auto"/>
            <w:vAlign w:val="bottom"/>
          </w:tcPr>
          <w:p w14:paraId="2B36E6E4" w14:textId="7A2FDFDB"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528</w:t>
            </w:r>
            <w:r w:rsidR="00AE4BD1" w:rsidRPr="002D2F67">
              <w:rPr>
                <w:rFonts w:ascii="Arial" w:hAnsi="Arial" w:cs="Arial"/>
                <w:color w:val="000000"/>
                <w:sz w:val="18"/>
                <w:szCs w:val="18"/>
              </w:rPr>
              <w:t>,</w:t>
            </w:r>
            <w:r w:rsidRPr="00CD5714">
              <w:rPr>
                <w:rFonts w:ascii="Arial" w:hAnsi="Arial" w:cs="Arial"/>
                <w:color w:val="000000"/>
                <w:sz w:val="18"/>
                <w:szCs w:val="18"/>
                <w:lang w:val="en-GB"/>
              </w:rPr>
              <w:t>357</w:t>
            </w:r>
          </w:p>
        </w:tc>
        <w:tc>
          <w:tcPr>
            <w:tcW w:w="1800" w:type="dxa"/>
            <w:shd w:val="clear" w:color="auto" w:fill="auto"/>
            <w:vAlign w:val="bottom"/>
          </w:tcPr>
          <w:p w14:paraId="74447FEF" w14:textId="77777777"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p>
        </w:tc>
        <w:tc>
          <w:tcPr>
            <w:tcW w:w="1555" w:type="dxa"/>
            <w:shd w:val="clear" w:color="auto" w:fill="auto"/>
            <w:vAlign w:val="bottom"/>
          </w:tcPr>
          <w:p w14:paraId="02ECDC21" w14:textId="53F4F03A"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15</w:t>
            </w:r>
            <w:r w:rsidRPr="002D2F67">
              <w:rPr>
                <w:rFonts w:ascii="Arial" w:hAnsi="Arial" w:cs="Arial"/>
                <w:color w:val="000000"/>
                <w:sz w:val="18"/>
                <w:szCs w:val="18"/>
              </w:rPr>
              <w:t>,</w:t>
            </w:r>
            <w:r w:rsidR="00CD5714" w:rsidRPr="00CD5714">
              <w:rPr>
                <w:rFonts w:ascii="Arial" w:hAnsi="Arial" w:cs="Arial"/>
                <w:color w:val="000000"/>
                <w:sz w:val="18"/>
                <w:szCs w:val="18"/>
                <w:lang w:val="en-GB"/>
              </w:rPr>
              <w:t>670</w:t>
            </w:r>
            <w:r w:rsidRPr="002D2F67">
              <w:rPr>
                <w:rFonts w:ascii="Arial" w:hAnsi="Arial" w:cs="Arial"/>
                <w:color w:val="000000"/>
                <w:sz w:val="18"/>
                <w:szCs w:val="18"/>
              </w:rPr>
              <w:t>)</w:t>
            </w:r>
          </w:p>
        </w:tc>
        <w:tc>
          <w:tcPr>
            <w:tcW w:w="1583" w:type="dxa"/>
            <w:shd w:val="clear" w:color="auto" w:fill="auto"/>
            <w:vAlign w:val="bottom"/>
          </w:tcPr>
          <w:p w14:paraId="53C58B78" w14:textId="6C313B13"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512</w:t>
            </w:r>
            <w:r w:rsidR="00AE4BD1" w:rsidRPr="002D2F67">
              <w:rPr>
                <w:rFonts w:ascii="Arial" w:hAnsi="Arial" w:cs="Arial"/>
                <w:color w:val="000000"/>
                <w:sz w:val="18"/>
                <w:szCs w:val="18"/>
              </w:rPr>
              <w:t>,</w:t>
            </w:r>
            <w:r w:rsidRPr="00CD5714">
              <w:rPr>
                <w:rFonts w:ascii="Arial" w:hAnsi="Arial" w:cs="Arial"/>
                <w:color w:val="000000"/>
                <w:sz w:val="18"/>
                <w:szCs w:val="18"/>
                <w:lang w:val="en-GB"/>
              </w:rPr>
              <w:t>687</w:t>
            </w:r>
          </w:p>
        </w:tc>
      </w:tr>
      <w:tr w:rsidR="00AE4BD1" w:rsidRPr="002D2F67" w14:paraId="5C1B77AF" w14:textId="77777777" w:rsidTr="19457625">
        <w:tc>
          <w:tcPr>
            <w:tcW w:w="4469" w:type="dxa"/>
            <w:shd w:val="clear" w:color="auto" w:fill="auto"/>
            <w:vAlign w:val="bottom"/>
          </w:tcPr>
          <w:p w14:paraId="75D40B1E" w14:textId="77777777" w:rsidR="00AE4BD1" w:rsidRPr="002D2F67" w:rsidRDefault="00AE4BD1" w:rsidP="005611FE">
            <w:pPr>
              <w:ind w:left="207"/>
              <w:rPr>
                <w:rFonts w:ascii="Arial" w:hAnsi="Arial" w:cs="Arial"/>
                <w:color w:val="000000"/>
                <w:sz w:val="18"/>
                <w:szCs w:val="18"/>
              </w:rPr>
            </w:pPr>
            <w:r w:rsidRPr="002D2F67">
              <w:rPr>
                <w:rFonts w:ascii="Arial" w:hAnsi="Arial" w:cs="Arial"/>
                <w:color w:val="000000"/>
                <w:sz w:val="18"/>
                <w:szCs w:val="18"/>
              </w:rPr>
              <w:t xml:space="preserve">Depreciation charged </w:t>
            </w:r>
          </w:p>
        </w:tc>
        <w:tc>
          <w:tcPr>
            <w:tcW w:w="1381" w:type="dxa"/>
            <w:shd w:val="clear" w:color="auto" w:fill="auto"/>
            <w:vAlign w:val="bottom"/>
          </w:tcPr>
          <w:p w14:paraId="62BB6DD7" w14:textId="77777777"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p>
        </w:tc>
        <w:tc>
          <w:tcPr>
            <w:tcW w:w="1375" w:type="dxa"/>
            <w:shd w:val="clear" w:color="auto" w:fill="auto"/>
            <w:vAlign w:val="bottom"/>
          </w:tcPr>
          <w:p w14:paraId="4B71B955" w14:textId="27187D0C"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265</w:t>
            </w:r>
            <w:r w:rsidRPr="002D2F67">
              <w:rPr>
                <w:rFonts w:ascii="Arial" w:hAnsi="Arial" w:cs="Arial"/>
                <w:color w:val="000000"/>
                <w:sz w:val="18"/>
                <w:szCs w:val="18"/>
              </w:rPr>
              <w:t>,</w:t>
            </w:r>
            <w:r w:rsidR="00CD5714" w:rsidRPr="00CD5714">
              <w:rPr>
                <w:rFonts w:ascii="Arial" w:hAnsi="Arial" w:cs="Arial"/>
                <w:color w:val="000000"/>
                <w:sz w:val="18"/>
                <w:szCs w:val="18"/>
                <w:lang w:val="en-GB"/>
              </w:rPr>
              <w:t>623</w:t>
            </w:r>
            <w:r w:rsidRPr="002D2F67">
              <w:rPr>
                <w:rFonts w:ascii="Arial" w:hAnsi="Arial" w:cs="Arial"/>
                <w:color w:val="000000"/>
                <w:sz w:val="18"/>
                <w:szCs w:val="18"/>
              </w:rPr>
              <w:t>)</w:t>
            </w:r>
          </w:p>
        </w:tc>
        <w:tc>
          <w:tcPr>
            <w:tcW w:w="1548" w:type="dxa"/>
            <w:shd w:val="clear" w:color="auto" w:fill="auto"/>
            <w:vAlign w:val="bottom"/>
          </w:tcPr>
          <w:p w14:paraId="64DFBEC1" w14:textId="15345FB3"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786</w:t>
            </w:r>
            <w:r w:rsidRPr="002D2F67">
              <w:rPr>
                <w:rFonts w:ascii="Arial" w:hAnsi="Arial" w:cs="Arial"/>
                <w:color w:val="000000"/>
                <w:sz w:val="18"/>
                <w:szCs w:val="18"/>
              </w:rPr>
              <w:t>,</w:t>
            </w:r>
            <w:r w:rsidR="00CD5714" w:rsidRPr="00CD5714">
              <w:rPr>
                <w:rFonts w:ascii="Arial" w:hAnsi="Arial" w:cs="Arial"/>
                <w:color w:val="000000"/>
                <w:sz w:val="18"/>
                <w:szCs w:val="18"/>
                <w:lang w:val="en-GB"/>
              </w:rPr>
              <w:t>703</w:t>
            </w:r>
            <w:r w:rsidRPr="002D2F67">
              <w:rPr>
                <w:rFonts w:ascii="Arial" w:hAnsi="Arial" w:cs="Arial"/>
                <w:color w:val="000000"/>
                <w:sz w:val="18"/>
                <w:szCs w:val="18"/>
              </w:rPr>
              <w:t>)</w:t>
            </w:r>
          </w:p>
        </w:tc>
        <w:tc>
          <w:tcPr>
            <w:tcW w:w="1958" w:type="dxa"/>
            <w:shd w:val="clear" w:color="auto" w:fill="auto"/>
            <w:vAlign w:val="bottom"/>
          </w:tcPr>
          <w:p w14:paraId="76A5D9E3" w14:textId="165C18EE"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2</w:t>
            </w:r>
            <w:r w:rsidRPr="002D2F67">
              <w:rPr>
                <w:rFonts w:ascii="Arial" w:hAnsi="Arial" w:cs="Arial"/>
                <w:color w:val="000000"/>
                <w:sz w:val="18"/>
                <w:szCs w:val="18"/>
              </w:rPr>
              <w:t>,</w:t>
            </w:r>
            <w:r w:rsidR="00CD5714" w:rsidRPr="00CD5714">
              <w:rPr>
                <w:rFonts w:ascii="Arial" w:hAnsi="Arial" w:cs="Arial"/>
                <w:color w:val="000000"/>
                <w:sz w:val="18"/>
                <w:szCs w:val="18"/>
                <w:lang w:val="en-GB"/>
              </w:rPr>
              <w:t>315</w:t>
            </w:r>
            <w:r w:rsidRPr="002D2F67">
              <w:rPr>
                <w:rFonts w:ascii="Arial" w:hAnsi="Arial" w:cs="Arial"/>
                <w:color w:val="000000"/>
                <w:sz w:val="18"/>
                <w:szCs w:val="18"/>
              </w:rPr>
              <w:t>,</w:t>
            </w:r>
            <w:r w:rsidR="00CD5714" w:rsidRPr="00CD5714">
              <w:rPr>
                <w:rFonts w:ascii="Arial" w:hAnsi="Arial" w:cs="Arial"/>
                <w:color w:val="000000"/>
                <w:sz w:val="18"/>
                <w:szCs w:val="18"/>
                <w:lang w:val="en-GB"/>
              </w:rPr>
              <w:t>995</w:t>
            </w:r>
            <w:r w:rsidRPr="002D2F67">
              <w:rPr>
                <w:rFonts w:ascii="Arial" w:hAnsi="Arial" w:cs="Arial"/>
                <w:color w:val="000000"/>
                <w:sz w:val="18"/>
                <w:szCs w:val="18"/>
              </w:rPr>
              <w:t>)</w:t>
            </w:r>
          </w:p>
        </w:tc>
        <w:tc>
          <w:tcPr>
            <w:tcW w:w="1800" w:type="dxa"/>
            <w:shd w:val="clear" w:color="auto" w:fill="auto"/>
            <w:vAlign w:val="bottom"/>
          </w:tcPr>
          <w:p w14:paraId="53A4C942" w14:textId="0AFCE4DF"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52</w:t>
            </w:r>
            <w:r w:rsidRPr="002D2F67">
              <w:rPr>
                <w:rFonts w:ascii="Arial" w:hAnsi="Arial" w:cs="Arial"/>
                <w:color w:val="000000"/>
                <w:sz w:val="18"/>
                <w:szCs w:val="18"/>
              </w:rPr>
              <w:t>,</w:t>
            </w:r>
            <w:r w:rsidR="00CD5714" w:rsidRPr="00CD5714">
              <w:rPr>
                <w:rFonts w:ascii="Arial" w:hAnsi="Arial" w:cs="Arial"/>
                <w:color w:val="000000"/>
                <w:sz w:val="18"/>
                <w:szCs w:val="18"/>
                <w:lang w:val="en-GB"/>
              </w:rPr>
              <w:t>804</w:t>
            </w:r>
            <w:r w:rsidRPr="002D2F67">
              <w:rPr>
                <w:rFonts w:ascii="Arial" w:hAnsi="Arial" w:cs="Arial"/>
                <w:color w:val="000000"/>
                <w:sz w:val="18"/>
                <w:szCs w:val="18"/>
              </w:rPr>
              <w:t>)</w:t>
            </w:r>
          </w:p>
        </w:tc>
        <w:tc>
          <w:tcPr>
            <w:tcW w:w="1555" w:type="dxa"/>
            <w:shd w:val="clear" w:color="auto" w:fill="auto"/>
            <w:vAlign w:val="bottom"/>
          </w:tcPr>
          <w:p w14:paraId="73C9C31D" w14:textId="77777777"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p>
        </w:tc>
        <w:tc>
          <w:tcPr>
            <w:tcW w:w="1583" w:type="dxa"/>
            <w:shd w:val="clear" w:color="auto" w:fill="auto"/>
            <w:vAlign w:val="bottom"/>
          </w:tcPr>
          <w:p w14:paraId="1E4F1D15" w14:textId="5326E486" w:rsidR="00AE4BD1" w:rsidRPr="002D2F67" w:rsidRDefault="00AE4BD1"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3</w:t>
            </w:r>
            <w:r w:rsidRPr="002D2F67">
              <w:rPr>
                <w:rFonts w:ascii="Arial" w:hAnsi="Arial" w:cs="Arial"/>
                <w:color w:val="000000"/>
                <w:sz w:val="18"/>
                <w:szCs w:val="18"/>
              </w:rPr>
              <w:t>,</w:t>
            </w:r>
            <w:r w:rsidR="00CD5714" w:rsidRPr="00CD5714">
              <w:rPr>
                <w:rFonts w:ascii="Arial" w:hAnsi="Arial" w:cs="Arial"/>
                <w:color w:val="000000"/>
                <w:sz w:val="18"/>
                <w:szCs w:val="18"/>
                <w:lang w:val="en-GB"/>
              </w:rPr>
              <w:t>421</w:t>
            </w:r>
            <w:r w:rsidRPr="002D2F67">
              <w:rPr>
                <w:rFonts w:ascii="Arial" w:hAnsi="Arial" w:cs="Arial"/>
                <w:color w:val="000000"/>
                <w:sz w:val="18"/>
                <w:szCs w:val="18"/>
              </w:rPr>
              <w:t>,</w:t>
            </w:r>
            <w:r w:rsidR="00CD5714" w:rsidRPr="00CD5714">
              <w:rPr>
                <w:rFonts w:ascii="Arial" w:hAnsi="Arial" w:cs="Arial"/>
                <w:color w:val="000000"/>
                <w:sz w:val="18"/>
                <w:szCs w:val="18"/>
                <w:lang w:val="en-GB"/>
              </w:rPr>
              <w:t>125</w:t>
            </w:r>
            <w:r w:rsidRPr="002D2F67">
              <w:rPr>
                <w:rFonts w:ascii="Arial" w:hAnsi="Arial" w:cs="Arial"/>
                <w:color w:val="000000"/>
                <w:sz w:val="18"/>
                <w:szCs w:val="18"/>
              </w:rPr>
              <w:t>)</w:t>
            </w:r>
          </w:p>
        </w:tc>
      </w:tr>
      <w:tr w:rsidR="001C3CA2" w:rsidRPr="002D2F67" w14:paraId="36A5AE66" w14:textId="77777777" w:rsidTr="009B22D7">
        <w:tc>
          <w:tcPr>
            <w:tcW w:w="4469" w:type="dxa"/>
            <w:shd w:val="clear" w:color="auto" w:fill="auto"/>
          </w:tcPr>
          <w:p w14:paraId="164FC17F" w14:textId="567584DD" w:rsidR="001C3CA2" w:rsidRPr="002D2F67" w:rsidRDefault="001C3CA2" w:rsidP="001C3CA2">
            <w:pPr>
              <w:ind w:left="207"/>
              <w:rPr>
                <w:rFonts w:ascii="Arial" w:hAnsi="Arial" w:cs="Arial"/>
                <w:color w:val="000000"/>
                <w:sz w:val="18"/>
                <w:szCs w:val="18"/>
              </w:rPr>
            </w:pPr>
            <w:r w:rsidRPr="002D2F67">
              <w:rPr>
                <w:rFonts w:ascii="Arial" w:hAnsi="Arial" w:cs="Arial"/>
                <w:color w:val="000000"/>
                <w:sz w:val="18"/>
                <w:szCs w:val="18"/>
              </w:rPr>
              <w:t>Impairment loss</w:t>
            </w:r>
          </w:p>
        </w:tc>
        <w:tc>
          <w:tcPr>
            <w:tcW w:w="1381" w:type="dxa"/>
            <w:shd w:val="clear" w:color="auto" w:fill="auto"/>
            <w:vAlign w:val="bottom"/>
          </w:tcPr>
          <w:p w14:paraId="0CBEF59D" w14:textId="757704C6"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p>
        </w:tc>
        <w:tc>
          <w:tcPr>
            <w:tcW w:w="1375" w:type="dxa"/>
            <w:shd w:val="clear" w:color="auto" w:fill="auto"/>
            <w:vAlign w:val="bottom"/>
          </w:tcPr>
          <w:p w14:paraId="14E13EA9" w14:textId="3C39F22B"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5</w:t>
            </w:r>
            <w:r w:rsidRPr="002D2F67">
              <w:rPr>
                <w:rFonts w:ascii="Arial" w:hAnsi="Arial" w:cs="Arial"/>
                <w:color w:val="000000"/>
                <w:sz w:val="18"/>
                <w:szCs w:val="18"/>
              </w:rPr>
              <w:t>,</w:t>
            </w:r>
            <w:r w:rsidR="00CD5714" w:rsidRPr="00CD5714">
              <w:rPr>
                <w:rFonts w:ascii="Arial" w:hAnsi="Arial" w:cs="Arial"/>
                <w:color w:val="000000"/>
                <w:sz w:val="18"/>
                <w:szCs w:val="18"/>
                <w:lang w:val="en-GB"/>
              </w:rPr>
              <w:t>714</w:t>
            </w:r>
            <w:r w:rsidRPr="002D2F67">
              <w:rPr>
                <w:rFonts w:ascii="Arial" w:hAnsi="Arial" w:cs="Arial"/>
                <w:color w:val="000000"/>
                <w:sz w:val="18"/>
                <w:szCs w:val="18"/>
              </w:rPr>
              <w:t>)</w:t>
            </w:r>
          </w:p>
        </w:tc>
        <w:tc>
          <w:tcPr>
            <w:tcW w:w="1548" w:type="dxa"/>
            <w:shd w:val="clear" w:color="auto" w:fill="auto"/>
            <w:vAlign w:val="bottom"/>
          </w:tcPr>
          <w:p w14:paraId="202D9CD5" w14:textId="3BED3B52"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46</w:t>
            </w:r>
            <w:r w:rsidRPr="002D2F67">
              <w:rPr>
                <w:rFonts w:ascii="Arial" w:hAnsi="Arial" w:cs="Arial"/>
                <w:color w:val="000000"/>
                <w:sz w:val="18"/>
                <w:szCs w:val="18"/>
              </w:rPr>
              <w:t>,</w:t>
            </w:r>
            <w:r w:rsidR="00CD5714" w:rsidRPr="00CD5714">
              <w:rPr>
                <w:rFonts w:ascii="Arial" w:hAnsi="Arial" w:cs="Arial"/>
                <w:color w:val="000000"/>
                <w:sz w:val="18"/>
                <w:szCs w:val="18"/>
                <w:lang w:val="en-GB"/>
              </w:rPr>
              <w:t>154</w:t>
            </w:r>
            <w:r w:rsidRPr="002D2F67">
              <w:rPr>
                <w:rFonts w:ascii="Arial" w:hAnsi="Arial" w:cs="Arial"/>
                <w:color w:val="000000"/>
                <w:sz w:val="18"/>
                <w:szCs w:val="18"/>
              </w:rPr>
              <w:t>)</w:t>
            </w:r>
          </w:p>
        </w:tc>
        <w:tc>
          <w:tcPr>
            <w:tcW w:w="1958" w:type="dxa"/>
            <w:shd w:val="clear" w:color="auto" w:fill="auto"/>
            <w:vAlign w:val="bottom"/>
          </w:tcPr>
          <w:p w14:paraId="10E65D24" w14:textId="656ECAE1"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p>
        </w:tc>
        <w:tc>
          <w:tcPr>
            <w:tcW w:w="1800" w:type="dxa"/>
            <w:shd w:val="clear" w:color="auto" w:fill="auto"/>
            <w:vAlign w:val="bottom"/>
          </w:tcPr>
          <w:p w14:paraId="708FE5AC" w14:textId="666A06FB"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p>
        </w:tc>
        <w:tc>
          <w:tcPr>
            <w:tcW w:w="1555" w:type="dxa"/>
            <w:shd w:val="clear" w:color="auto" w:fill="auto"/>
            <w:vAlign w:val="bottom"/>
          </w:tcPr>
          <w:p w14:paraId="5B6AEF25" w14:textId="0C9AC4F2"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p>
        </w:tc>
        <w:tc>
          <w:tcPr>
            <w:tcW w:w="1583" w:type="dxa"/>
            <w:shd w:val="clear" w:color="auto" w:fill="auto"/>
            <w:vAlign w:val="bottom"/>
          </w:tcPr>
          <w:p w14:paraId="30653B6E" w14:textId="3E25A275"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51</w:t>
            </w:r>
            <w:r w:rsidRPr="002D2F67">
              <w:rPr>
                <w:rFonts w:ascii="Arial" w:hAnsi="Arial" w:cs="Arial"/>
                <w:color w:val="000000"/>
                <w:sz w:val="18"/>
                <w:szCs w:val="18"/>
              </w:rPr>
              <w:t>,</w:t>
            </w:r>
            <w:r w:rsidR="00CD5714" w:rsidRPr="00CD5714">
              <w:rPr>
                <w:rFonts w:ascii="Arial" w:hAnsi="Arial" w:cs="Arial"/>
                <w:color w:val="000000"/>
                <w:sz w:val="18"/>
                <w:szCs w:val="18"/>
                <w:lang w:val="en-GB"/>
              </w:rPr>
              <w:t>868</w:t>
            </w:r>
            <w:r w:rsidRPr="002D2F67">
              <w:rPr>
                <w:rFonts w:ascii="Arial" w:hAnsi="Arial" w:cs="Arial"/>
                <w:color w:val="000000"/>
                <w:sz w:val="18"/>
                <w:szCs w:val="18"/>
              </w:rPr>
              <w:t>)</w:t>
            </w:r>
          </w:p>
        </w:tc>
      </w:tr>
      <w:tr w:rsidR="001C3CA2" w:rsidRPr="002D2F67" w14:paraId="0F6C4CC8" w14:textId="77777777" w:rsidTr="19457625">
        <w:tc>
          <w:tcPr>
            <w:tcW w:w="4469" w:type="dxa"/>
            <w:shd w:val="clear" w:color="auto" w:fill="auto"/>
            <w:vAlign w:val="bottom"/>
          </w:tcPr>
          <w:p w14:paraId="24CB523D" w14:textId="77777777" w:rsidR="001C3CA2" w:rsidRPr="002D2F67" w:rsidRDefault="001C3CA2" w:rsidP="001C3CA2">
            <w:pPr>
              <w:ind w:left="207"/>
              <w:rPr>
                <w:rFonts w:ascii="Arial" w:hAnsi="Arial" w:cs="Arial"/>
                <w:color w:val="000000"/>
                <w:sz w:val="18"/>
                <w:szCs w:val="18"/>
              </w:rPr>
            </w:pPr>
            <w:r w:rsidRPr="002D2F67">
              <w:rPr>
                <w:rFonts w:ascii="Arial" w:hAnsi="Arial" w:cs="Arial"/>
                <w:color w:val="000000"/>
                <w:sz w:val="18"/>
                <w:szCs w:val="18"/>
              </w:rPr>
              <w:t>Currency translation differences</w:t>
            </w:r>
          </w:p>
        </w:tc>
        <w:tc>
          <w:tcPr>
            <w:tcW w:w="1381" w:type="dxa"/>
            <w:tcBorders>
              <w:bottom w:val="single" w:sz="4" w:space="0" w:color="auto"/>
            </w:tcBorders>
            <w:shd w:val="clear" w:color="auto" w:fill="auto"/>
            <w:vAlign w:val="bottom"/>
          </w:tcPr>
          <w:p w14:paraId="271EA396" w14:textId="77777777"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p>
        </w:tc>
        <w:tc>
          <w:tcPr>
            <w:tcW w:w="1375" w:type="dxa"/>
            <w:tcBorders>
              <w:bottom w:val="single" w:sz="4" w:space="0" w:color="auto"/>
            </w:tcBorders>
            <w:shd w:val="clear" w:color="auto" w:fill="auto"/>
            <w:vAlign w:val="bottom"/>
          </w:tcPr>
          <w:p w14:paraId="5D767886" w14:textId="6B15DC70"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7</w:t>
            </w:r>
          </w:p>
        </w:tc>
        <w:tc>
          <w:tcPr>
            <w:tcW w:w="1548" w:type="dxa"/>
            <w:tcBorders>
              <w:bottom w:val="single" w:sz="4" w:space="0" w:color="auto"/>
            </w:tcBorders>
            <w:shd w:val="clear" w:color="auto" w:fill="auto"/>
            <w:vAlign w:val="bottom"/>
          </w:tcPr>
          <w:p w14:paraId="24FA8E03" w14:textId="6896BBFE"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22</w:t>
            </w:r>
            <w:r w:rsidR="001C3CA2" w:rsidRPr="002D2F67">
              <w:rPr>
                <w:rFonts w:ascii="Arial" w:hAnsi="Arial" w:cs="Arial"/>
                <w:color w:val="000000"/>
                <w:sz w:val="18"/>
                <w:szCs w:val="18"/>
              </w:rPr>
              <w:t>,</w:t>
            </w:r>
            <w:r w:rsidRPr="00CD5714">
              <w:rPr>
                <w:rFonts w:ascii="Arial" w:hAnsi="Arial" w:cs="Arial"/>
                <w:color w:val="000000"/>
                <w:sz w:val="18"/>
                <w:szCs w:val="18"/>
                <w:lang w:val="en-GB"/>
              </w:rPr>
              <w:t>861</w:t>
            </w:r>
          </w:p>
        </w:tc>
        <w:tc>
          <w:tcPr>
            <w:tcW w:w="1958" w:type="dxa"/>
            <w:tcBorders>
              <w:bottom w:val="single" w:sz="4" w:space="0" w:color="auto"/>
            </w:tcBorders>
            <w:shd w:val="clear" w:color="auto" w:fill="auto"/>
            <w:vAlign w:val="bottom"/>
          </w:tcPr>
          <w:p w14:paraId="3B26E10E" w14:textId="77777777"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p>
        </w:tc>
        <w:tc>
          <w:tcPr>
            <w:tcW w:w="1800" w:type="dxa"/>
            <w:tcBorders>
              <w:bottom w:val="single" w:sz="4" w:space="0" w:color="auto"/>
            </w:tcBorders>
            <w:shd w:val="clear" w:color="auto" w:fill="auto"/>
            <w:vAlign w:val="bottom"/>
          </w:tcPr>
          <w:p w14:paraId="5D94B95D" w14:textId="0D2DE707"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4</w:t>
            </w:r>
            <w:r w:rsidR="001C3CA2" w:rsidRPr="002D2F67">
              <w:rPr>
                <w:rFonts w:ascii="Arial" w:hAnsi="Arial" w:cs="Arial"/>
                <w:color w:val="000000"/>
                <w:sz w:val="18"/>
                <w:szCs w:val="18"/>
              </w:rPr>
              <w:t>,</w:t>
            </w:r>
            <w:r w:rsidRPr="00CD5714">
              <w:rPr>
                <w:rFonts w:ascii="Arial" w:hAnsi="Arial" w:cs="Arial"/>
                <w:color w:val="000000"/>
                <w:sz w:val="18"/>
                <w:szCs w:val="18"/>
                <w:lang w:val="en-GB"/>
              </w:rPr>
              <w:t>105</w:t>
            </w:r>
          </w:p>
        </w:tc>
        <w:tc>
          <w:tcPr>
            <w:tcW w:w="1555" w:type="dxa"/>
            <w:tcBorders>
              <w:bottom w:val="single" w:sz="4" w:space="0" w:color="auto"/>
            </w:tcBorders>
            <w:shd w:val="clear" w:color="auto" w:fill="auto"/>
            <w:vAlign w:val="bottom"/>
          </w:tcPr>
          <w:p w14:paraId="2D98187A" w14:textId="7BF262CF"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56</w:t>
            </w:r>
            <w:r w:rsidRPr="002D2F67">
              <w:rPr>
                <w:rFonts w:ascii="Arial" w:hAnsi="Arial" w:cs="Arial"/>
                <w:color w:val="000000"/>
                <w:sz w:val="18"/>
                <w:szCs w:val="18"/>
              </w:rPr>
              <w:t>,</w:t>
            </w:r>
            <w:r w:rsidR="00CD5714" w:rsidRPr="00CD5714">
              <w:rPr>
                <w:rFonts w:ascii="Arial" w:hAnsi="Arial" w:cs="Arial"/>
                <w:color w:val="000000"/>
                <w:sz w:val="18"/>
                <w:szCs w:val="18"/>
                <w:lang w:val="en-GB"/>
              </w:rPr>
              <w:t>584</w:t>
            </w:r>
            <w:r w:rsidRPr="002D2F67">
              <w:rPr>
                <w:rFonts w:ascii="Arial" w:hAnsi="Arial" w:cs="Arial"/>
                <w:color w:val="000000"/>
                <w:sz w:val="18"/>
                <w:szCs w:val="18"/>
              </w:rPr>
              <w:t>)</w:t>
            </w:r>
          </w:p>
        </w:tc>
        <w:tc>
          <w:tcPr>
            <w:tcW w:w="1583" w:type="dxa"/>
            <w:tcBorders>
              <w:bottom w:val="single" w:sz="4" w:space="0" w:color="auto"/>
            </w:tcBorders>
            <w:shd w:val="clear" w:color="auto" w:fill="auto"/>
            <w:vAlign w:val="bottom"/>
          </w:tcPr>
          <w:p w14:paraId="3EEFC52E" w14:textId="1CF3913C"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29</w:t>
            </w:r>
            <w:r w:rsidRPr="002D2F67">
              <w:rPr>
                <w:rFonts w:ascii="Arial" w:hAnsi="Arial" w:cs="Arial"/>
                <w:color w:val="000000"/>
                <w:sz w:val="18"/>
                <w:szCs w:val="18"/>
              </w:rPr>
              <w:t>,</w:t>
            </w:r>
            <w:r w:rsidR="00CD5714" w:rsidRPr="00CD5714">
              <w:rPr>
                <w:rFonts w:ascii="Arial" w:hAnsi="Arial" w:cs="Arial"/>
                <w:color w:val="000000"/>
                <w:sz w:val="18"/>
                <w:szCs w:val="18"/>
                <w:lang w:val="en-GB"/>
              </w:rPr>
              <w:t>611</w:t>
            </w:r>
            <w:r w:rsidRPr="002D2F67">
              <w:rPr>
                <w:rFonts w:ascii="Arial" w:hAnsi="Arial" w:cs="Arial"/>
                <w:color w:val="000000"/>
                <w:sz w:val="18"/>
                <w:szCs w:val="18"/>
              </w:rPr>
              <w:t>)</w:t>
            </w:r>
          </w:p>
        </w:tc>
      </w:tr>
      <w:tr w:rsidR="001C3CA2" w:rsidRPr="002D2F67" w14:paraId="5D8905AB" w14:textId="77777777" w:rsidTr="19457625">
        <w:tc>
          <w:tcPr>
            <w:tcW w:w="4469" w:type="dxa"/>
            <w:shd w:val="clear" w:color="auto" w:fill="auto"/>
          </w:tcPr>
          <w:p w14:paraId="48CA4AAE" w14:textId="77777777" w:rsidR="001C3CA2" w:rsidRPr="002D2F67" w:rsidRDefault="001C3CA2" w:rsidP="001C3CA2">
            <w:pPr>
              <w:ind w:left="207"/>
              <w:rPr>
                <w:rFonts w:ascii="Arial" w:hAnsi="Arial" w:cs="Arial"/>
                <w:b/>
                <w:bCs/>
                <w:color w:val="000000"/>
                <w:sz w:val="12"/>
                <w:szCs w:val="12"/>
              </w:rPr>
            </w:pPr>
          </w:p>
        </w:tc>
        <w:tc>
          <w:tcPr>
            <w:tcW w:w="1381" w:type="dxa"/>
            <w:tcBorders>
              <w:top w:val="single" w:sz="4" w:space="0" w:color="auto"/>
            </w:tcBorders>
            <w:shd w:val="clear" w:color="auto" w:fill="auto"/>
          </w:tcPr>
          <w:p w14:paraId="139FCDA1" w14:textId="77777777" w:rsidR="001C3CA2" w:rsidRPr="002D2F67" w:rsidRDefault="001C3CA2" w:rsidP="001C3CA2">
            <w:pPr>
              <w:ind w:right="-72"/>
              <w:jc w:val="right"/>
              <w:rPr>
                <w:rFonts w:ascii="Arial" w:hAnsi="Arial" w:cs="Arial"/>
                <w:b/>
                <w:bCs/>
                <w:color w:val="000000"/>
                <w:sz w:val="12"/>
                <w:szCs w:val="12"/>
              </w:rPr>
            </w:pPr>
          </w:p>
        </w:tc>
        <w:tc>
          <w:tcPr>
            <w:tcW w:w="1375" w:type="dxa"/>
            <w:tcBorders>
              <w:top w:val="single" w:sz="4" w:space="0" w:color="auto"/>
            </w:tcBorders>
            <w:shd w:val="clear" w:color="auto" w:fill="auto"/>
          </w:tcPr>
          <w:p w14:paraId="74A059D9" w14:textId="77777777" w:rsidR="001C3CA2" w:rsidRPr="002D2F67" w:rsidRDefault="001C3CA2" w:rsidP="001C3CA2">
            <w:pPr>
              <w:ind w:right="-72"/>
              <w:jc w:val="right"/>
              <w:rPr>
                <w:rFonts w:ascii="Arial" w:hAnsi="Arial" w:cs="Arial"/>
                <w:b/>
                <w:bCs/>
                <w:color w:val="000000"/>
                <w:sz w:val="12"/>
                <w:szCs w:val="12"/>
              </w:rPr>
            </w:pPr>
          </w:p>
        </w:tc>
        <w:tc>
          <w:tcPr>
            <w:tcW w:w="1548" w:type="dxa"/>
            <w:tcBorders>
              <w:top w:val="single" w:sz="4" w:space="0" w:color="auto"/>
            </w:tcBorders>
            <w:shd w:val="clear" w:color="auto" w:fill="auto"/>
          </w:tcPr>
          <w:p w14:paraId="46A3DB28" w14:textId="77777777" w:rsidR="001C3CA2" w:rsidRPr="002D2F67" w:rsidRDefault="001C3CA2" w:rsidP="001C3CA2">
            <w:pPr>
              <w:ind w:right="-72"/>
              <w:jc w:val="right"/>
              <w:rPr>
                <w:rFonts w:ascii="Arial" w:hAnsi="Arial" w:cs="Arial"/>
                <w:b/>
                <w:bCs/>
                <w:color w:val="000000"/>
                <w:sz w:val="12"/>
                <w:szCs w:val="12"/>
              </w:rPr>
            </w:pPr>
          </w:p>
        </w:tc>
        <w:tc>
          <w:tcPr>
            <w:tcW w:w="1958" w:type="dxa"/>
            <w:tcBorders>
              <w:top w:val="single" w:sz="4" w:space="0" w:color="auto"/>
            </w:tcBorders>
            <w:shd w:val="clear" w:color="auto" w:fill="auto"/>
          </w:tcPr>
          <w:p w14:paraId="171B7B27" w14:textId="77777777" w:rsidR="001C3CA2" w:rsidRPr="002D2F67" w:rsidRDefault="001C3CA2" w:rsidP="001C3CA2">
            <w:pPr>
              <w:ind w:right="-72"/>
              <w:jc w:val="right"/>
              <w:rPr>
                <w:rFonts w:ascii="Arial" w:hAnsi="Arial" w:cs="Arial"/>
                <w:b/>
                <w:bCs/>
                <w:color w:val="000000"/>
                <w:sz w:val="12"/>
                <w:szCs w:val="12"/>
              </w:rPr>
            </w:pPr>
          </w:p>
        </w:tc>
        <w:tc>
          <w:tcPr>
            <w:tcW w:w="1800" w:type="dxa"/>
            <w:tcBorders>
              <w:top w:val="single" w:sz="4" w:space="0" w:color="auto"/>
            </w:tcBorders>
            <w:shd w:val="clear" w:color="auto" w:fill="auto"/>
          </w:tcPr>
          <w:p w14:paraId="1450570B" w14:textId="77777777" w:rsidR="001C3CA2" w:rsidRPr="002D2F67" w:rsidRDefault="001C3CA2" w:rsidP="001C3CA2">
            <w:pPr>
              <w:ind w:right="-72"/>
              <w:jc w:val="right"/>
              <w:rPr>
                <w:rFonts w:ascii="Arial" w:hAnsi="Arial" w:cs="Arial"/>
                <w:b/>
                <w:bCs/>
                <w:color w:val="000000"/>
                <w:sz w:val="12"/>
                <w:szCs w:val="12"/>
              </w:rPr>
            </w:pPr>
          </w:p>
        </w:tc>
        <w:tc>
          <w:tcPr>
            <w:tcW w:w="1555" w:type="dxa"/>
            <w:tcBorders>
              <w:top w:val="single" w:sz="4" w:space="0" w:color="auto"/>
            </w:tcBorders>
            <w:shd w:val="clear" w:color="auto" w:fill="auto"/>
          </w:tcPr>
          <w:p w14:paraId="69280C99" w14:textId="77777777" w:rsidR="001C3CA2" w:rsidRPr="002D2F67" w:rsidRDefault="001C3CA2" w:rsidP="001C3CA2">
            <w:pPr>
              <w:ind w:right="-72"/>
              <w:jc w:val="right"/>
              <w:rPr>
                <w:rFonts w:ascii="Arial" w:hAnsi="Arial" w:cs="Arial"/>
                <w:b/>
                <w:bCs/>
                <w:color w:val="000000"/>
                <w:sz w:val="12"/>
                <w:szCs w:val="12"/>
              </w:rPr>
            </w:pPr>
          </w:p>
        </w:tc>
        <w:tc>
          <w:tcPr>
            <w:tcW w:w="1583" w:type="dxa"/>
            <w:tcBorders>
              <w:top w:val="single" w:sz="4" w:space="0" w:color="auto"/>
            </w:tcBorders>
            <w:shd w:val="clear" w:color="auto" w:fill="auto"/>
          </w:tcPr>
          <w:p w14:paraId="40782DFC" w14:textId="77777777" w:rsidR="001C3CA2" w:rsidRPr="002D2F67" w:rsidRDefault="001C3CA2" w:rsidP="001C3CA2">
            <w:pPr>
              <w:ind w:right="-72"/>
              <w:jc w:val="right"/>
              <w:rPr>
                <w:rFonts w:ascii="Arial" w:hAnsi="Arial" w:cs="Arial"/>
                <w:b/>
                <w:bCs/>
                <w:color w:val="000000"/>
                <w:sz w:val="12"/>
                <w:szCs w:val="12"/>
              </w:rPr>
            </w:pPr>
          </w:p>
        </w:tc>
      </w:tr>
      <w:tr w:rsidR="001C3CA2" w:rsidRPr="002D2F67" w14:paraId="1A8A4A68" w14:textId="77777777" w:rsidTr="19457625">
        <w:tc>
          <w:tcPr>
            <w:tcW w:w="4469" w:type="dxa"/>
            <w:shd w:val="clear" w:color="auto" w:fill="auto"/>
            <w:vAlign w:val="bottom"/>
          </w:tcPr>
          <w:p w14:paraId="6CAB6B40" w14:textId="77777777" w:rsidR="001C3CA2" w:rsidRPr="002D2F67" w:rsidRDefault="001C3CA2" w:rsidP="001C3CA2">
            <w:pPr>
              <w:ind w:left="207"/>
              <w:rPr>
                <w:rFonts w:ascii="Arial" w:hAnsi="Arial" w:cs="Arial"/>
                <w:color w:val="000000"/>
                <w:sz w:val="18"/>
                <w:szCs w:val="18"/>
              </w:rPr>
            </w:pPr>
            <w:r w:rsidRPr="002D2F67">
              <w:rPr>
                <w:rFonts w:ascii="Arial" w:hAnsi="Arial" w:cs="Arial"/>
                <w:color w:val="000000"/>
                <w:sz w:val="18"/>
                <w:szCs w:val="18"/>
              </w:rPr>
              <w:t>Closing net book value</w:t>
            </w:r>
          </w:p>
        </w:tc>
        <w:tc>
          <w:tcPr>
            <w:tcW w:w="1381" w:type="dxa"/>
            <w:tcBorders>
              <w:bottom w:val="single" w:sz="4" w:space="0" w:color="auto"/>
            </w:tcBorders>
            <w:shd w:val="clear" w:color="auto" w:fill="auto"/>
            <w:vAlign w:val="bottom"/>
          </w:tcPr>
          <w:p w14:paraId="073E794E" w14:textId="618C8CA9"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2</w:t>
            </w:r>
            <w:r w:rsidR="001C3CA2" w:rsidRPr="002D2F67">
              <w:rPr>
                <w:rFonts w:ascii="Arial" w:hAnsi="Arial" w:cs="Arial"/>
                <w:color w:val="000000"/>
                <w:sz w:val="18"/>
                <w:szCs w:val="18"/>
              </w:rPr>
              <w:t>,</w:t>
            </w:r>
            <w:r w:rsidRPr="00CD5714">
              <w:rPr>
                <w:rFonts w:ascii="Arial" w:hAnsi="Arial" w:cs="Arial"/>
                <w:color w:val="000000"/>
                <w:sz w:val="18"/>
                <w:szCs w:val="18"/>
                <w:lang w:val="en-GB"/>
              </w:rPr>
              <w:t>131</w:t>
            </w:r>
            <w:r w:rsidR="001C3CA2" w:rsidRPr="002D2F67">
              <w:rPr>
                <w:rFonts w:ascii="Arial" w:hAnsi="Arial" w:cs="Arial"/>
                <w:color w:val="000000"/>
                <w:sz w:val="18"/>
                <w:szCs w:val="18"/>
              </w:rPr>
              <w:t>,</w:t>
            </w:r>
            <w:r w:rsidRPr="00CD5714">
              <w:rPr>
                <w:rFonts w:ascii="Arial" w:hAnsi="Arial" w:cs="Arial"/>
                <w:color w:val="000000"/>
                <w:sz w:val="18"/>
                <w:szCs w:val="18"/>
                <w:lang w:val="en-GB"/>
              </w:rPr>
              <w:t>400</w:t>
            </w:r>
          </w:p>
        </w:tc>
        <w:tc>
          <w:tcPr>
            <w:tcW w:w="1375" w:type="dxa"/>
            <w:tcBorders>
              <w:bottom w:val="single" w:sz="4" w:space="0" w:color="auto"/>
            </w:tcBorders>
            <w:shd w:val="clear" w:color="auto" w:fill="auto"/>
            <w:vAlign w:val="bottom"/>
          </w:tcPr>
          <w:p w14:paraId="02C04CFA" w14:textId="672C4DBA"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5</w:t>
            </w:r>
            <w:r w:rsidR="001C3CA2" w:rsidRPr="002D2F67">
              <w:rPr>
                <w:rFonts w:ascii="Arial" w:hAnsi="Arial" w:cs="Arial"/>
                <w:color w:val="000000"/>
                <w:sz w:val="18"/>
                <w:szCs w:val="18"/>
              </w:rPr>
              <w:t>,</w:t>
            </w:r>
            <w:r w:rsidRPr="00CD5714">
              <w:rPr>
                <w:rFonts w:ascii="Arial" w:hAnsi="Arial" w:cs="Arial"/>
                <w:color w:val="000000"/>
                <w:sz w:val="18"/>
                <w:szCs w:val="18"/>
                <w:lang w:val="en-GB"/>
              </w:rPr>
              <w:t>694</w:t>
            </w:r>
            <w:r w:rsidR="001C3CA2" w:rsidRPr="002D2F67">
              <w:rPr>
                <w:rFonts w:ascii="Arial" w:hAnsi="Arial" w:cs="Arial"/>
                <w:color w:val="000000"/>
                <w:sz w:val="18"/>
                <w:szCs w:val="18"/>
              </w:rPr>
              <w:t>,</w:t>
            </w:r>
            <w:r w:rsidRPr="00CD5714">
              <w:rPr>
                <w:rFonts w:ascii="Arial" w:hAnsi="Arial" w:cs="Arial"/>
                <w:color w:val="000000"/>
                <w:sz w:val="18"/>
                <w:szCs w:val="18"/>
                <w:lang w:val="en-GB"/>
              </w:rPr>
              <w:t>635</w:t>
            </w:r>
          </w:p>
        </w:tc>
        <w:tc>
          <w:tcPr>
            <w:tcW w:w="1548" w:type="dxa"/>
            <w:tcBorders>
              <w:bottom w:val="single" w:sz="4" w:space="0" w:color="auto"/>
            </w:tcBorders>
            <w:shd w:val="clear" w:color="auto" w:fill="auto"/>
            <w:vAlign w:val="bottom"/>
          </w:tcPr>
          <w:p w14:paraId="2655C9AB" w14:textId="0E611C21"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6</w:t>
            </w:r>
            <w:r w:rsidR="001C3CA2" w:rsidRPr="002D2F67">
              <w:rPr>
                <w:rFonts w:ascii="Arial" w:hAnsi="Arial" w:cs="Arial"/>
                <w:color w:val="000000"/>
                <w:sz w:val="18"/>
                <w:szCs w:val="18"/>
              </w:rPr>
              <w:t>,</w:t>
            </w:r>
            <w:r w:rsidRPr="00CD5714">
              <w:rPr>
                <w:rFonts w:ascii="Arial" w:hAnsi="Arial" w:cs="Arial"/>
                <w:color w:val="000000"/>
                <w:sz w:val="18"/>
                <w:szCs w:val="18"/>
                <w:lang w:val="en-GB"/>
              </w:rPr>
              <w:t>023</w:t>
            </w:r>
            <w:r w:rsidR="001C3CA2" w:rsidRPr="002D2F67">
              <w:rPr>
                <w:rFonts w:ascii="Arial" w:hAnsi="Arial" w:cs="Arial"/>
                <w:color w:val="000000"/>
                <w:sz w:val="18"/>
                <w:szCs w:val="18"/>
              </w:rPr>
              <w:t>,</w:t>
            </w:r>
            <w:r w:rsidRPr="00CD5714">
              <w:rPr>
                <w:rFonts w:ascii="Arial" w:hAnsi="Arial" w:cs="Arial"/>
                <w:color w:val="000000"/>
                <w:sz w:val="18"/>
                <w:szCs w:val="18"/>
                <w:lang w:val="en-GB"/>
              </w:rPr>
              <w:t>423</w:t>
            </w:r>
          </w:p>
        </w:tc>
        <w:tc>
          <w:tcPr>
            <w:tcW w:w="1958" w:type="dxa"/>
            <w:tcBorders>
              <w:bottom w:val="single" w:sz="4" w:space="0" w:color="auto"/>
            </w:tcBorders>
            <w:shd w:val="clear" w:color="auto" w:fill="auto"/>
            <w:vAlign w:val="bottom"/>
          </w:tcPr>
          <w:p w14:paraId="44267D77" w14:textId="32F89E87"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42</w:t>
            </w:r>
            <w:r w:rsidR="001C3CA2" w:rsidRPr="002D2F67">
              <w:rPr>
                <w:rFonts w:ascii="Arial" w:hAnsi="Arial" w:cs="Arial"/>
                <w:color w:val="000000"/>
                <w:sz w:val="18"/>
                <w:szCs w:val="18"/>
              </w:rPr>
              <w:t>,</w:t>
            </w:r>
            <w:r w:rsidRPr="00CD5714">
              <w:rPr>
                <w:rFonts w:ascii="Arial" w:hAnsi="Arial" w:cs="Arial"/>
                <w:color w:val="000000"/>
                <w:sz w:val="18"/>
                <w:szCs w:val="18"/>
                <w:lang w:val="en-GB"/>
              </w:rPr>
              <w:t>024</w:t>
            </w:r>
            <w:r w:rsidR="001C3CA2" w:rsidRPr="002D2F67">
              <w:rPr>
                <w:rFonts w:ascii="Arial" w:hAnsi="Arial" w:cs="Arial"/>
                <w:color w:val="000000"/>
                <w:sz w:val="18"/>
                <w:szCs w:val="18"/>
              </w:rPr>
              <w:t>,</w:t>
            </w:r>
            <w:r w:rsidRPr="00CD5714">
              <w:rPr>
                <w:rFonts w:ascii="Arial" w:hAnsi="Arial" w:cs="Arial"/>
                <w:color w:val="000000"/>
                <w:sz w:val="18"/>
                <w:szCs w:val="18"/>
                <w:lang w:val="en-GB"/>
              </w:rPr>
              <w:t>937</w:t>
            </w:r>
          </w:p>
        </w:tc>
        <w:tc>
          <w:tcPr>
            <w:tcW w:w="1800" w:type="dxa"/>
            <w:tcBorders>
              <w:bottom w:val="single" w:sz="4" w:space="0" w:color="auto"/>
            </w:tcBorders>
            <w:shd w:val="clear" w:color="auto" w:fill="auto"/>
            <w:vAlign w:val="bottom"/>
          </w:tcPr>
          <w:p w14:paraId="13A80EA2" w14:textId="18545174"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165</w:t>
            </w:r>
            <w:r w:rsidR="001C3CA2" w:rsidRPr="002D2F67">
              <w:rPr>
                <w:rFonts w:ascii="Arial" w:hAnsi="Arial" w:cs="Arial"/>
                <w:color w:val="000000"/>
                <w:sz w:val="18"/>
                <w:szCs w:val="18"/>
              </w:rPr>
              <w:t>,</w:t>
            </w:r>
            <w:r w:rsidRPr="00CD5714">
              <w:rPr>
                <w:rFonts w:ascii="Arial" w:hAnsi="Arial" w:cs="Arial"/>
                <w:color w:val="000000"/>
                <w:sz w:val="18"/>
                <w:szCs w:val="18"/>
                <w:lang w:val="en-GB"/>
              </w:rPr>
              <w:t>737</w:t>
            </w:r>
          </w:p>
        </w:tc>
        <w:tc>
          <w:tcPr>
            <w:tcW w:w="1555" w:type="dxa"/>
            <w:tcBorders>
              <w:bottom w:val="single" w:sz="4" w:space="0" w:color="auto"/>
            </w:tcBorders>
            <w:shd w:val="clear" w:color="auto" w:fill="auto"/>
            <w:vAlign w:val="bottom"/>
          </w:tcPr>
          <w:p w14:paraId="31460C82" w14:textId="590D1243"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2</w:t>
            </w:r>
            <w:r w:rsidR="001C3CA2" w:rsidRPr="002D2F67">
              <w:rPr>
                <w:rFonts w:ascii="Arial" w:hAnsi="Arial" w:cs="Arial"/>
                <w:color w:val="000000"/>
                <w:sz w:val="18"/>
                <w:szCs w:val="18"/>
              </w:rPr>
              <w:t>,</w:t>
            </w:r>
            <w:r w:rsidRPr="00CD5714">
              <w:rPr>
                <w:rFonts w:ascii="Arial" w:hAnsi="Arial" w:cs="Arial"/>
                <w:color w:val="000000"/>
                <w:sz w:val="18"/>
                <w:szCs w:val="18"/>
                <w:lang w:val="en-GB"/>
              </w:rPr>
              <w:t>635</w:t>
            </w:r>
            <w:r w:rsidR="001C3CA2" w:rsidRPr="002D2F67">
              <w:rPr>
                <w:rFonts w:ascii="Arial" w:hAnsi="Arial" w:cs="Arial"/>
                <w:color w:val="000000"/>
                <w:sz w:val="18"/>
                <w:szCs w:val="18"/>
              </w:rPr>
              <w:t>,</w:t>
            </w:r>
            <w:r w:rsidRPr="00CD5714">
              <w:rPr>
                <w:rFonts w:ascii="Arial" w:hAnsi="Arial" w:cs="Arial"/>
                <w:color w:val="000000"/>
                <w:sz w:val="18"/>
                <w:szCs w:val="18"/>
                <w:lang w:val="en-GB"/>
              </w:rPr>
              <w:t>001</w:t>
            </w:r>
          </w:p>
        </w:tc>
        <w:tc>
          <w:tcPr>
            <w:tcW w:w="1583" w:type="dxa"/>
            <w:tcBorders>
              <w:bottom w:val="single" w:sz="4" w:space="0" w:color="auto"/>
            </w:tcBorders>
            <w:shd w:val="clear" w:color="auto" w:fill="auto"/>
            <w:vAlign w:val="bottom"/>
          </w:tcPr>
          <w:p w14:paraId="675A9EC8" w14:textId="637E4FCD"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58</w:t>
            </w:r>
            <w:r w:rsidR="001C3CA2" w:rsidRPr="002D2F67">
              <w:rPr>
                <w:rFonts w:ascii="Arial" w:hAnsi="Arial" w:cs="Arial"/>
                <w:color w:val="000000"/>
                <w:sz w:val="18"/>
                <w:szCs w:val="18"/>
              </w:rPr>
              <w:t>,</w:t>
            </w:r>
            <w:r w:rsidRPr="00CD5714">
              <w:rPr>
                <w:rFonts w:ascii="Arial" w:hAnsi="Arial" w:cs="Arial"/>
                <w:color w:val="000000"/>
                <w:sz w:val="18"/>
                <w:szCs w:val="18"/>
                <w:lang w:val="en-GB"/>
              </w:rPr>
              <w:t>675</w:t>
            </w:r>
            <w:r w:rsidR="001C3CA2" w:rsidRPr="002D2F67">
              <w:rPr>
                <w:rFonts w:ascii="Arial" w:hAnsi="Arial" w:cs="Arial"/>
                <w:color w:val="000000"/>
                <w:sz w:val="18"/>
                <w:szCs w:val="18"/>
              </w:rPr>
              <w:t>,</w:t>
            </w:r>
            <w:r w:rsidRPr="00CD5714">
              <w:rPr>
                <w:rFonts w:ascii="Arial" w:hAnsi="Arial" w:cs="Arial"/>
                <w:color w:val="000000"/>
                <w:sz w:val="18"/>
                <w:szCs w:val="18"/>
                <w:lang w:val="en-GB"/>
              </w:rPr>
              <w:t>133</w:t>
            </w:r>
          </w:p>
        </w:tc>
      </w:tr>
      <w:tr w:rsidR="001C3CA2" w:rsidRPr="002D2F67" w14:paraId="5051E70C" w14:textId="77777777" w:rsidTr="19457625">
        <w:tc>
          <w:tcPr>
            <w:tcW w:w="4469" w:type="dxa"/>
            <w:shd w:val="clear" w:color="auto" w:fill="auto"/>
          </w:tcPr>
          <w:p w14:paraId="465532E6" w14:textId="77777777" w:rsidR="001C3CA2" w:rsidRPr="002D2F67" w:rsidRDefault="001C3CA2" w:rsidP="001C3CA2">
            <w:pPr>
              <w:ind w:left="207"/>
              <w:rPr>
                <w:rFonts w:ascii="Arial" w:hAnsi="Arial" w:cs="Arial"/>
                <w:b/>
                <w:bCs/>
                <w:color w:val="000000"/>
                <w:sz w:val="18"/>
                <w:szCs w:val="18"/>
              </w:rPr>
            </w:pPr>
          </w:p>
        </w:tc>
        <w:tc>
          <w:tcPr>
            <w:tcW w:w="1381" w:type="dxa"/>
            <w:tcBorders>
              <w:top w:val="single" w:sz="4" w:space="0" w:color="auto"/>
            </w:tcBorders>
            <w:shd w:val="clear" w:color="auto" w:fill="auto"/>
          </w:tcPr>
          <w:p w14:paraId="4D8E8775" w14:textId="77777777" w:rsidR="001C3CA2" w:rsidRPr="002D2F67" w:rsidRDefault="001C3CA2" w:rsidP="001C3CA2">
            <w:pPr>
              <w:ind w:right="-72"/>
              <w:jc w:val="right"/>
              <w:rPr>
                <w:rFonts w:ascii="Arial" w:hAnsi="Arial" w:cs="Arial"/>
                <w:color w:val="000000"/>
                <w:sz w:val="18"/>
                <w:szCs w:val="18"/>
              </w:rPr>
            </w:pPr>
          </w:p>
        </w:tc>
        <w:tc>
          <w:tcPr>
            <w:tcW w:w="1375" w:type="dxa"/>
            <w:tcBorders>
              <w:top w:val="single" w:sz="4" w:space="0" w:color="auto"/>
            </w:tcBorders>
            <w:shd w:val="clear" w:color="auto" w:fill="auto"/>
          </w:tcPr>
          <w:p w14:paraId="6FEF6E8A" w14:textId="77777777" w:rsidR="001C3CA2" w:rsidRPr="002D2F67" w:rsidRDefault="001C3CA2" w:rsidP="001C3CA2">
            <w:pPr>
              <w:ind w:right="-72"/>
              <w:jc w:val="right"/>
              <w:rPr>
                <w:rFonts w:ascii="Arial" w:hAnsi="Arial" w:cs="Arial"/>
                <w:color w:val="000000"/>
                <w:sz w:val="18"/>
                <w:szCs w:val="18"/>
              </w:rPr>
            </w:pPr>
          </w:p>
        </w:tc>
        <w:tc>
          <w:tcPr>
            <w:tcW w:w="1548" w:type="dxa"/>
            <w:tcBorders>
              <w:top w:val="single" w:sz="4" w:space="0" w:color="auto"/>
            </w:tcBorders>
            <w:shd w:val="clear" w:color="auto" w:fill="auto"/>
          </w:tcPr>
          <w:p w14:paraId="4F709892" w14:textId="77777777" w:rsidR="001C3CA2" w:rsidRPr="002D2F67" w:rsidRDefault="001C3CA2" w:rsidP="001C3CA2">
            <w:pPr>
              <w:ind w:right="-72"/>
              <w:jc w:val="right"/>
              <w:rPr>
                <w:rFonts w:ascii="Arial" w:hAnsi="Arial" w:cs="Arial"/>
                <w:color w:val="000000"/>
                <w:sz w:val="18"/>
                <w:szCs w:val="18"/>
              </w:rPr>
            </w:pPr>
          </w:p>
        </w:tc>
        <w:tc>
          <w:tcPr>
            <w:tcW w:w="1958" w:type="dxa"/>
            <w:tcBorders>
              <w:top w:val="single" w:sz="4" w:space="0" w:color="auto"/>
            </w:tcBorders>
            <w:shd w:val="clear" w:color="auto" w:fill="auto"/>
          </w:tcPr>
          <w:p w14:paraId="2D99FD5F" w14:textId="77777777" w:rsidR="001C3CA2" w:rsidRPr="002D2F67" w:rsidRDefault="001C3CA2" w:rsidP="001C3CA2">
            <w:pPr>
              <w:ind w:right="-72"/>
              <w:jc w:val="right"/>
              <w:rPr>
                <w:rFonts w:ascii="Arial" w:hAnsi="Arial" w:cs="Arial"/>
                <w:color w:val="000000"/>
                <w:sz w:val="18"/>
                <w:szCs w:val="18"/>
              </w:rPr>
            </w:pPr>
          </w:p>
        </w:tc>
        <w:tc>
          <w:tcPr>
            <w:tcW w:w="1800" w:type="dxa"/>
            <w:tcBorders>
              <w:top w:val="single" w:sz="4" w:space="0" w:color="auto"/>
            </w:tcBorders>
            <w:shd w:val="clear" w:color="auto" w:fill="auto"/>
          </w:tcPr>
          <w:p w14:paraId="0799E14F" w14:textId="77777777" w:rsidR="001C3CA2" w:rsidRPr="002D2F67" w:rsidRDefault="001C3CA2" w:rsidP="001C3CA2">
            <w:pPr>
              <w:ind w:right="-72"/>
              <w:jc w:val="right"/>
              <w:rPr>
                <w:rFonts w:ascii="Arial" w:hAnsi="Arial" w:cs="Arial"/>
                <w:color w:val="000000"/>
                <w:sz w:val="18"/>
                <w:szCs w:val="18"/>
              </w:rPr>
            </w:pPr>
          </w:p>
        </w:tc>
        <w:tc>
          <w:tcPr>
            <w:tcW w:w="1555" w:type="dxa"/>
            <w:tcBorders>
              <w:top w:val="single" w:sz="4" w:space="0" w:color="auto"/>
            </w:tcBorders>
            <w:shd w:val="clear" w:color="auto" w:fill="auto"/>
          </w:tcPr>
          <w:p w14:paraId="3565453A" w14:textId="77777777" w:rsidR="001C3CA2" w:rsidRPr="002D2F67" w:rsidRDefault="001C3CA2" w:rsidP="001C3CA2">
            <w:pPr>
              <w:ind w:right="-72"/>
              <w:jc w:val="right"/>
              <w:rPr>
                <w:rFonts w:ascii="Arial" w:hAnsi="Arial" w:cs="Arial"/>
                <w:color w:val="000000"/>
                <w:sz w:val="18"/>
                <w:szCs w:val="18"/>
              </w:rPr>
            </w:pPr>
          </w:p>
        </w:tc>
        <w:tc>
          <w:tcPr>
            <w:tcW w:w="1583" w:type="dxa"/>
            <w:tcBorders>
              <w:top w:val="single" w:sz="4" w:space="0" w:color="auto"/>
            </w:tcBorders>
            <w:shd w:val="clear" w:color="auto" w:fill="auto"/>
          </w:tcPr>
          <w:p w14:paraId="091D9E63" w14:textId="77777777" w:rsidR="001C3CA2" w:rsidRPr="002D2F67" w:rsidRDefault="001C3CA2" w:rsidP="001C3CA2">
            <w:pPr>
              <w:ind w:right="-72"/>
              <w:jc w:val="right"/>
              <w:rPr>
                <w:rFonts w:ascii="Arial" w:hAnsi="Arial" w:cs="Arial"/>
                <w:color w:val="000000"/>
                <w:sz w:val="18"/>
                <w:szCs w:val="18"/>
              </w:rPr>
            </w:pPr>
          </w:p>
        </w:tc>
      </w:tr>
      <w:tr w:rsidR="001C3CA2" w:rsidRPr="002D2F67" w14:paraId="65A8E119" w14:textId="77777777" w:rsidTr="19457625">
        <w:tc>
          <w:tcPr>
            <w:tcW w:w="4469" w:type="dxa"/>
            <w:shd w:val="clear" w:color="auto" w:fill="auto"/>
            <w:vAlign w:val="bottom"/>
          </w:tcPr>
          <w:p w14:paraId="7119A234" w14:textId="73F5AC41" w:rsidR="001C3CA2" w:rsidRPr="002D2F67" w:rsidRDefault="001C3CA2" w:rsidP="001C3CA2">
            <w:pPr>
              <w:ind w:left="207"/>
              <w:rPr>
                <w:rFonts w:ascii="Arial" w:hAnsi="Arial" w:cs="Arial"/>
                <w:b/>
                <w:bCs/>
                <w:color w:val="000000"/>
                <w:sz w:val="18"/>
                <w:szCs w:val="18"/>
              </w:rPr>
            </w:pPr>
            <w:r w:rsidRPr="002D2F67">
              <w:rPr>
                <w:rFonts w:ascii="Arial" w:hAnsi="Arial" w:cs="Arial"/>
                <w:b/>
                <w:bCs/>
                <w:color w:val="000000"/>
                <w:sz w:val="18"/>
                <w:szCs w:val="18"/>
              </w:rPr>
              <w:t xml:space="preserve">As </w:t>
            </w:r>
            <w:proofErr w:type="gramStart"/>
            <w:r w:rsidRPr="002D2F67">
              <w:rPr>
                <w:rFonts w:ascii="Arial" w:hAnsi="Arial" w:cs="Arial"/>
                <w:b/>
                <w:bCs/>
                <w:color w:val="000000"/>
                <w:sz w:val="18"/>
                <w:szCs w:val="18"/>
              </w:rPr>
              <w:t>at</w:t>
            </w:r>
            <w:proofErr w:type="gramEnd"/>
            <w:r w:rsidRPr="002D2F67">
              <w:rPr>
                <w:rFonts w:ascii="Arial" w:hAnsi="Arial" w:cs="Arial"/>
                <w:b/>
                <w:bCs/>
                <w:color w:val="000000"/>
                <w:sz w:val="18"/>
                <w:szCs w:val="18"/>
              </w:rPr>
              <w:t xml:space="preserve"> </w:t>
            </w:r>
            <w:r w:rsidR="00CD5714" w:rsidRPr="00CD5714">
              <w:rPr>
                <w:rFonts w:ascii="Arial" w:hAnsi="Arial" w:cs="Arial"/>
                <w:b/>
                <w:bCs/>
                <w:color w:val="000000"/>
                <w:sz w:val="18"/>
                <w:szCs w:val="18"/>
                <w:lang w:val="en-GB"/>
              </w:rPr>
              <w:t>31</w:t>
            </w:r>
            <w:r w:rsidRPr="002D2F67">
              <w:rPr>
                <w:rFonts w:ascii="Arial" w:hAnsi="Arial" w:cs="Arial"/>
                <w:b/>
                <w:bCs/>
                <w:color w:val="000000"/>
                <w:sz w:val="18"/>
                <w:szCs w:val="18"/>
              </w:rPr>
              <w:t xml:space="preserve"> December </w:t>
            </w:r>
            <w:r w:rsidR="00CD5714" w:rsidRPr="00CD5714">
              <w:rPr>
                <w:rFonts w:ascii="Arial" w:hAnsi="Arial" w:cs="Arial"/>
                <w:b/>
                <w:bCs/>
                <w:color w:val="000000"/>
                <w:sz w:val="18"/>
                <w:szCs w:val="18"/>
                <w:lang w:val="en-GB"/>
              </w:rPr>
              <w:t>2023</w:t>
            </w:r>
          </w:p>
        </w:tc>
        <w:tc>
          <w:tcPr>
            <w:tcW w:w="1381" w:type="dxa"/>
            <w:shd w:val="clear" w:color="auto" w:fill="auto"/>
            <w:vAlign w:val="bottom"/>
          </w:tcPr>
          <w:p w14:paraId="7F70A5D7" w14:textId="77777777" w:rsidR="001C3CA2" w:rsidRPr="002D2F67" w:rsidRDefault="001C3CA2" w:rsidP="001C3CA2">
            <w:pPr>
              <w:ind w:right="-72"/>
              <w:jc w:val="right"/>
              <w:rPr>
                <w:rFonts w:ascii="Arial" w:hAnsi="Arial" w:cs="Arial"/>
                <w:color w:val="000000"/>
                <w:sz w:val="18"/>
                <w:szCs w:val="18"/>
              </w:rPr>
            </w:pPr>
          </w:p>
        </w:tc>
        <w:tc>
          <w:tcPr>
            <w:tcW w:w="1375" w:type="dxa"/>
            <w:shd w:val="clear" w:color="auto" w:fill="auto"/>
          </w:tcPr>
          <w:p w14:paraId="1F971A2D" w14:textId="77777777" w:rsidR="001C3CA2" w:rsidRPr="002D2F67" w:rsidRDefault="001C3CA2" w:rsidP="001C3CA2">
            <w:pPr>
              <w:ind w:right="-72"/>
              <w:jc w:val="right"/>
              <w:rPr>
                <w:rFonts w:ascii="Arial" w:hAnsi="Arial" w:cs="Arial"/>
                <w:color w:val="000000"/>
                <w:sz w:val="18"/>
                <w:szCs w:val="18"/>
              </w:rPr>
            </w:pPr>
          </w:p>
        </w:tc>
        <w:tc>
          <w:tcPr>
            <w:tcW w:w="1548" w:type="dxa"/>
            <w:shd w:val="clear" w:color="auto" w:fill="auto"/>
          </w:tcPr>
          <w:p w14:paraId="02D3E793" w14:textId="77777777" w:rsidR="001C3CA2" w:rsidRPr="002D2F67" w:rsidRDefault="001C3CA2" w:rsidP="001C3CA2">
            <w:pPr>
              <w:ind w:right="-72"/>
              <w:jc w:val="right"/>
              <w:rPr>
                <w:rFonts w:ascii="Arial" w:hAnsi="Arial" w:cs="Arial"/>
                <w:color w:val="000000"/>
                <w:sz w:val="18"/>
                <w:szCs w:val="18"/>
              </w:rPr>
            </w:pPr>
          </w:p>
        </w:tc>
        <w:tc>
          <w:tcPr>
            <w:tcW w:w="1958" w:type="dxa"/>
            <w:shd w:val="clear" w:color="auto" w:fill="auto"/>
          </w:tcPr>
          <w:p w14:paraId="1667A0DC" w14:textId="77777777" w:rsidR="001C3CA2" w:rsidRPr="002D2F67" w:rsidRDefault="001C3CA2" w:rsidP="001C3CA2">
            <w:pPr>
              <w:ind w:right="-72"/>
              <w:jc w:val="right"/>
              <w:rPr>
                <w:rFonts w:ascii="Arial" w:hAnsi="Arial" w:cs="Arial"/>
                <w:color w:val="000000"/>
                <w:sz w:val="18"/>
                <w:szCs w:val="18"/>
              </w:rPr>
            </w:pPr>
          </w:p>
        </w:tc>
        <w:tc>
          <w:tcPr>
            <w:tcW w:w="1800" w:type="dxa"/>
            <w:shd w:val="clear" w:color="auto" w:fill="auto"/>
          </w:tcPr>
          <w:p w14:paraId="2092E314" w14:textId="77777777" w:rsidR="001C3CA2" w:rsidRPr="002D2F67" w:rsidRDefault="001C3CA2" w:rsidP="001C3CA2">
            <w:pPr>
              <w:ind w:right="-72"/>
              <w:jc w:val="right"/>
              <w:rPr>
                <w:rFonts w:ascii="Arial" w:hAnsi="Arial" w:cs="Arial"/>
                <w:color w:val="000000"/>
                <w:sz w:val="18"/>
                <w:szCs w:val="18"/>
              </w:rPr>
            </w:pPr>
          </w:p>
        </w:tc>
        <w:tc>
          <w:tcPr>
            <w:tcW w:w="1555" w:type="dxa"/>
            <w:shd w:val="clear" w:color="auto" w:fill="auto"/>
          </w:tcPr>
          <w:p w14:paraId="3E1E47DD" w14:textId="77777777" w:rsidR="001C3CA2" w:rsidRPr="002D2F67" w:rsidRDefault="001C3CA2" w:rsidP="001C3CA2">
            <w:pPr>
              <w:ind w:right="-72"/>
              <w:jc w:val="right"/>
              <w:rPr>
                <w:rFonts w:ascii="Arial" w:hAnsi="Arial" w:cs="Arial"/>
                <w:color w:val="000000"/>
                <w:sz w:val="18"/>
                <w:szCs w:val="18"/>
              </w:rPr>
            </w:pPr>
          </w:p>
        </w:tc>
        <w:tc>
          <w:tcPr>
            <w:tcW w:w="1583" w:type="dxa"/>
            <w:shd w:val="clear" w:color="auto" w:fill="auto"/>
          </w:tcPr>
          <w:p w14:paraId="2AB7BBB5" w14:textId="77777777" w:rsidR="001C3CA2" w:rsidRPr="002D2F67" w:rsidRDefault="001C3CA2" w:rsidP="001C3CA2">
            <w:pPr>
              <w:ind w:right="-72"/>
              <w:jc w:val="right"/>
              <w:rPr>
                <w:rFonts w:ascii="Arial" w:hAnsi="Arial" w:cs="Arial"/>
                <w:color w:val="000000"/>
                <w:sz w:val="18"/>
                <w:szCs w:val="18"/>
              </w:rPr>
            </w:pPr>
          </w:p>
        </w:tc>
      </w:tr>
      <w:tr w:rsidR="001C3CA2" w:rsidRPr="002D2F67" w14:paraId="50A4B13E" w14:textId="77777777" w:rsidTr="19457625">
        <w:tc>
          <w:tcPr>
            <w:tcW w:w="4469" w:type="dxa"/>
            <w:shd w:val="clear" w:color="auto" w:fill="auto"/>
            <w:vAlign w:val="bottom"/>
          </w:tcPr>
          <w:p w14:paraId="1AD06DD3" w14:textId="77777777" w:rsidR="001C3CA2" w:rsidRPr="002D2F67" w:rsidRDefault="001C3CA2" w:rsidP="001C3CA2">
            <w:pPr>
              <w:ind w:left="207"/>
              <w:rPr>
                <w:rFonts w:ascii="Arial" w:hAnsi="Arial" w:cs="Arial"/>
                <w:color w:val="000000"/>
                <w:sz w:val="18"/>
                <w:szCs w:val="18"/>
              </w:rPr>
            </w:pPr>
            <w:r w:rsidRPr="002D2F67">
              <w:rPr>
                <w:rFonts w:ascii="Arial" w:hAnsi="Arial" w:cs="Arial"/>
                <w:color w:val="000000"/>
                <w:sz w:val="18"/>
                <w:szCs w:val="18"/>
              </w:rPr>
              <w:t>Cost</w:t>
            </w:r>
          </w:p>
        </w:tc>
        <w:tc>
          <w:tcPr>
            <w:tcW w:w="1381" w:type="dxa"/>
            <w:shd w:val="clear" w:color="auto" w:fill="auto"/>
            <w:vAlign w:val="bottom"/>
          </w:tcPr>
          <w:p w14:paraId="49120727" w14:textId="20E01EB5"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2</w:t>
            </w:r>
            <w:r w:rsidR="001C3CA2" w:rsidRPr="002D2F67">
              <w:rPr>
                <w:rFonts w:ascii="Arial" w:hAnsi="Arial" w:cs="Arial"/>
                <w:color w:val="000000"/>
                <w:sz w:val="18"/>
                <w:szCs w:val="18"/>
              </w:rPr>
              <w:t>,</w:t>
            </w:r>
            <w:r w:rsidRPr="00CD5714">
              <w:rPr>
                <w:rFonts w:ascii="Arial" w:hAnsi="Arial" w:cs="Arial"/>
                <w:color w:val="000000"/>
                <w:sz w:val="18"/>
                <w:szCs w:val="18"/>
                <w:lang w:val="en-GB"/>
              </w:rPr>
              <w:t>131</w:t>
            </w:r>
            <w:r w:rsidR="001C3CA2" w:rsidRPr="002D2F67">
              <w:rPr>
                <w:rFonts w:ascii="Arial" w:hAnsi="Arial" w:cs="Arial"/>
                <w:color w:val="000000"/>
                <w:sz w:val="18"/>
                <w:szCs w:val="18"/>
              </w:rPr>
              <w:t>,</w:t>
            </w:r>
            <w:r w:rsidRPr="00CD5714">
              <w:rPr>
                <w:rFonts w:ascii="Arial" w:hAnsi="Arial" w:cs="Arial"/>
                <w:color w:val="000000"/>
                <w:sz w:val="18"/>
                <w:szCs w:val="18"/>
                <w:lang w:val="en-GB"/>
              </w:rPr>
              <w:t>400</w:t>
            </w:r>
          </w:p>
        </w:tc>
        <w:tc>
          <w:tcPr>
            <w:tcW w:w="1375" w:type="dxa"/>
            <w:shd w:val="clear" w:color="auto" w:fill="auto"/>
            <w:vAlign w:val="bottom"/>
          </w:tcPr>
          <w:p w14:paraId="53A9324B" w14:textId="45E90841"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6</w:t>
            </w:r>
            <w:r w:rsidR="001C3CA2" w:rsidRPr="002D2F67">
              <w:rPr>
                <w:rFonts w:ascii="Arial" w:hAnsi="Arial" w:cs="Arial"/>
                <w:color w:val="000000"/>
                <w:sz w:val="18"/>
                <w:szCs w:val="18"/>
              </w:rPr>
              <w:t>,</w:t>
            </w:r>
            <w:r w:rsidRPr="00CD5714">
              <w:rPr>
                <w:rFonts w:ascii="Arial" w:hAnsi="Arial" w:cs="Arial"/>
                <w:color w:val="000000"/>
                <w:sz w:val="18"/>
                <w:szCs w:val="18"/>
                <w:lang w:val="en-GB"/>
              </w:rPr>
              <w:t>617</w:t>
            </w:r>
            <w:r w:rsidR="001C3CA2" w:rsidRPr="002D2F67">
              <w:rPr>
                <w:rFonts w:ascii="Arial" w:hAnsi="Arial" w:cs="Arial"/>
                <w:color w:val="000000"/>
                <w:sz w:val="18"/>
                <w:szCs w:val="18"/>
              </w:rPr>
              <w:t>,</w:t>
            </w:r>
            <w:r w:rsidRPr="00CD5714">
              <w:rPr>
                <w:rFonts w:ascii="Arial" w:hAnsi="Arial" w:cs="Arial"/>
                <w:color w:val="000000"/>
                <w:sz w:val="18"/>
                <w:szCs w:val="18"/>
                <w:lang w:val="en-GB"/>
              </w:rPr>
              <w:t>085</w:t>
            </w:r>
          </w:p>
        </w:tc>
        <w:tc>
          <w:tcPr>
            <w:tcW w:w="1548" w:type="dxa"/>
            <w:shd w:val="clear" w:color="auto" w:fill="auto"/>
            <w:vAlign w:val="bottom"/>
          </w:tcPr>
          <w:p w14:paraId="1CFB39E5" w14:textId="4F92897A"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9</w:t>
            </w:r>
            <w:r w:rsidR="001C3CA2" w:rsidRPr="002D2F67">
              <w:rPr>
                <w:rFonts w:ascii="Arial" w:hAnsi="Arial" w:cs="Arial"/>
                <w:color w:val="000000"/>
                <w:sz w:val="18"/>
                <w:szCs w:val="18"/>
              </w:rPr>
              <w:t>,</w:t>
            </w:r>
            <w:r w:rsidRPr="00CD5714">
              <w:rPr>
                <w:rFonts w:ascii="Arial" w:hAnsi="Arial" w:cs="Arial"/>
                <w:color w:val="000000"/>
                <w:sz w:val="18"/>
                <w:szCs w:val="18"/>
                <w:lang w:val="en-GB"/>
              </w:rPr>
              <w:t>352</w:t>
            </w:r>
            <w:r w:rsidR="001C3CA2" w:rsidRPr="002D2F67">
              <w:rPr>
                <w:rFonts w:ascii="Arial" w:hAnsi="Arial" w:cs="Arial"/>
                <w:color w:val="000000"/>
                <w:sz w:val="18"/>
                <w:szCs w:val="18"/>
              </w:rPr>
              <w:t>,</w:t>
            </w:r>
            <w:r w:rsidRPr="00CD5714">
              <w:rPr>
                <w:rFonts w:ascii="Arial" w:hAnsi="Arial" w:cs="Arial"/>
                <w:color w:val="000000"/>
                <w:sz w:val="18"/>
                <w:szCs w:val="18"/>
                <w:lang w:val="en-GB"/>
              </w:rPr>
              <w:t>355</w:t>
            </w:r>
          </w:p>
        </w:tc>
        <w:tc>
          <w:tcPr>
            <w:tcW w:w="1958" w:type="dxa"/>
            <w:shd w:val="clear" w:color="auto" w:fill="auto"/>
            <w:vAlign w:val="bottom"/>
          </w:tcPr>
          <w:p w14:paraId="6CE8C714" w14:textId="747003C3"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54</w:t>
            </w:r>
            <w:r w:rsidR="001C3CA2" w:rsidRPr="002D2F67">
              <w:rPr>
                <w:rFonts w:ascii="Arial" w:hAnsi="Arial" w:cs="Arial"/>
                <w:color w:val="000000"/>
                <w:sz w:val="18"/>
                <w:szCs w:val="18"/>
              </w:rPr>
              <w:t>,</w:t>
            </w:r>
            <w:r w:rsidRPr="00CD5714">
              <w:rPr>
                <w:rFonts w:ascii="Arial" w:hAnsi="Arial" w:cs="Arial"/>
                <w:color w:val="000000"/>
                <w:sz w:val="18"/>
                <w:szCs w:val="18"/>
                <w:lang w:val="en-GB"/>
              </w:rPr>
              <w:t>161</w:t>
            </w:r>
            <w:r w:rsidR="001C3CA2" w:rsidRPr="002D2F67">
              <w:rPr>
                <w:rFonts w:ascii="Arial" w:hAnsi="Arial" w:cs="Arial"/>
                <w:color w:val="000000"/>
                <w:sz w:val="18"/>
                <w:szCs w:val="18"/>
              </w:rPr>
              <w:t>,</w:t>
            </w:r>
            <w:r w:rsidRPr="00CD5714">
              <w:rPr>
                <w:rFonts w:ascii="Arial" w:hAnsi="Arial" w:cs="Arial"/>
                <w:color w:val="000000"/>
                <w:sz w:val="18"/>
                <w:szCs w:val="18"/>
                <w:lang w:val="en-GB"/>
              </w:rPr>
              <w:t>559</w:t>
            </w:r>
          </w:p>
        </w:tc>
        <w:tc>
          <w:tcPr>
            <w:tcW w:w="1800" w:type="dxa"/>
            <w:shd w:val="clear" w:color="auto" w:fill="auto"/>
            <w:vAlign w:val="bottom"/>
          </w:tcPr>
          <w:p w14:paraId="392A2FA5" w14:textId="17F373F5"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472</w:t>
            </w:r>
            <w:r w:rsidR="001C3CA2" w:rsidRPr="002D2F67">
              <w:rPr>
                <w:rFonts w:ascii="Arial" w:hAnsi="Arial" w:cs="Arial"/>
                <w:color w:val="000000"/>
                <w:sz w:val="18"/>
                <w:szCs w:val="18"/>
              </w:rPr>
              <w:t>,</w:t>
            </w:r>
            <w:r w:rsidRPr="00CD5714">
              <w:rPr>
                <w:rFonts w:ascii="Arial" w:hAnsi="Arial" w:cs="Arial"/>
                <w:color w:val="000000"/>
                <w:sz w:val="18"/>
                <w:szCs w:val="18"/>
                <w:lang w:val="en-GB"/>
              </w:rPr>
              <w:t>429</w:t>
            </w:r>
          </w:p>
        </w:tc>
        <w:tc>
          <w:tcPr>
            <w:tcW w:w="1555" w:type="dxa"/>
            <w:shd w:val="clear" w:color="auto" w:fill="auto"/>
            <w:vAlign w:val="bottom"/>
          </w:tcPr>
          <w:p w14:paraId="22729DA4" w14:textId="101C4B73"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2</w:t>
            </w:r>
            <w:r w:rsidR="001C3CA2" w:rsidRPr="002D2F67">
              <w:rPr>
                <w:rFonts w:ascii="Arial" w:hAnsi="Arial" w:cs="Arial"/>
                <w:color w:val="000000"/>
                <w:sz w:val="18"/>
                <w:szCs w:val="18"/>
              </w:rPr>
              <w:t>,</w:t>
            </w:r>
            <w:r w:rsidRPr="00CD5714">
              <w:rPr>
                <w:rFonts w:ascii="Arial" w:hAnsi="Arial" w:cs="Arial"/>
                <w:color w:val="000000"/>
                <w:sz w:val="18"/>
                <w:szCs w:val="18"/>
                <w:lang w:val="en-GB"/>
              </w:rPr>
              <w:t>635</w:t>
            </w:r>
            <w:r w:rsidR="001C3CA2" w:rsidRPr="002D2F67">
              <w:rPr>
                <w:rFonts w:ascii="Arial" w:hAnsi="Arial" w:cs="Arial"/>
                <w:color w:val="000000"/>
                <w:sz w:val="18"/>
                <w:szCs w:val="18"/>
              </w:rPr>
              <w:t>,</w:t>
            </w:r>
            <w:r w:rsidRPr="00CD5714">
              <w:rPr>
                <w:rFonts w:ascii="Arial" w:hAnsi="Arial" w:cs="Arial"/>
                <w:color w:val="000000"/>
                <w:sz w:val="18"/>
                <w:szCs w:val="18"/>
                <w:lang w:val="en-GB"/>
              </w:rPr>
              <w:t>001</w:t>
            </w:r>
          </w:p>
        </w:tc>
        <w:tc>
          <w:tcPr>
            <w:tcW w:w="1583" w:type="dxa"/>
            <w:shd w:val="clear" w:color="auto" w:fill="auto"/>
            <w:vAlign w:val="bottom"/>
          </w:tcPr>
          <w:p w14:paraId="2216681C" w14:textId="28412EF3"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75</w:t>
            </w:r>
            <w:r w:rsidR="001C3CA2" w:rsidRPr="002D2F67">
              <w:rPr>
                <w:rFonts w:ascii="Arial" w:hAnsi="Arial" w:cs="Arial"/>
                <w:color w:val="000000"/>
                <w:sz w:val="18"/>
                <w:szCs w:val="18"/>
              </w:rPr>
              <w:t>,</w:t>
            </w:r>
            <w:r w:rsidRPr="00CD5714">
              <w:rPr>
                <w:rFonts w:ascii="Arial" w:hAnsi="Arial" w:cs="Arial"/>
                <w:color w:val="000000"/>
                <w:sz w:val="18"/>
                <w:szCs w:val="18"/>
                <w:lang w:val="en-GB"/>
              </w:rPr>
              <w:t>369</w:t>
            </w:r>
            <w:r w:rsidR="001C3CA2" w:rsidRPr="002D2F67">
              <w:rPr>
                <w:rFonts w:ascii="Arial" w:hAnsi="Arial" w:cs="Arial"/>
                <w:color w:val="000000"/>
                <w:sz w:val="18"/>
                <w:szCs w:val="18"/>
              </w:rPr>
              <w:t>,</w:t>
            </w:r>
            <w:r w:rsidRPr="00CD5714">
              <w:rPr>
                <w:rFonts w:ascii="Arial" w:hAnsi="Arial" w:cs="Arial"/>
                <w:color w:val="000000"/>
                <w:sz w:val="18"/>
                <w:szCs w:val="18"/>
                <w:lang w:val="en-GB"/>
              </w:rPr>
              <w:t>829</w:t>
            </w:r>
          </w:p>
        </w:tc>
      </w:tr>
      <w:tr w:rsidR="001C3CA2" w:rsidRPr="002D2F67" w14:paraId="377A058D" w14:textId="77777777" w:rsidTr="19457625">
        <w:tc>
          <w:tcPr>
            <w:tcW w:w="4469" w:type="dxa"/>
            <w:shd w:val="clear" w:color="auto" w:fill="auto"/>
            <w:vAlign w:val="bottom"/>
          </w:tcPr>
          <w:p w14:paraId="593084C5" w14:textId="77777777" w:rsidR="001C3CA2" w:rsidRPr="002D2F67" w:rsidRDefault="001C3CA2" w:rsidP="001C3CA2">
            <w:pPr>
              <w:ind w:left="207"/>
              <w:rPr>
                <w:rFonts w:ascii="Arial" w:hAnsi="Arial" w:cs="Arial"/>
                <w:color w:val="000000"/>
                <w:sz w:val="18"/>
                <w:szCs w:val="18"/>
              </w:rPr>
            </w:pPr>
            <w:r w:rsidRPr="002D2F67">
              <w:rPr>
                <w:rFonts w:ascii="Arial" w:hAnsi="Arial" w:cs="Arial"/>
                <w:color w:val="000000"/>
                <w:sz w:val="18"/>
                <w:szCs w:val="18"/>
                <w:u w:val="single"/>
              </w:rPr>
              <w:t>Less</w:t>
            </w:r>
            <w:r w:rsidRPr="002D2F67">
              <w:rPr>
                <w:rFonts w:ascii="Arial" w:hAnsi="Arial" w:cs="Arial"/>
                <w:color w:val="000000"/>
                <w:sz w:val="18"/>
                <w:szCs w:val="18"/>
                <w:cs/>
              </w:rPr>
              <w:t xml:space="preserve"> </w:t>
            </w:r>
            <w:r w:rsidRPr="002D2F67">
              <w:rPr>
                <w:rFonts w:ascii="Arial" w:hAnsi="Arial" w:cs="Arial"/>
                <w:color w:val="000000"/>
                <w:sz w:val="18"/>
                <w:szCs w:val="18"/>
              </w:rPr>
              <w:t xml:space="preserve"> Accumulated depreciation</w:t>
            </w:r>
          </w:p>
        </w:tc>
        <w:tc>
          <w:tcPr>
            <w:tcW w:w="1381" w:type="dxa"/>
            <w:shd w:val="clear" w:color="auto" w:fill="auto"/>
            <w:vAlign w:val="bottom"/>
          </w:tcPr>
          <w:p w14:paraId="35624CF6" w14:textId="77777777"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p>
        </w:tc>
        <w:tc>
          <w:tcPr>
            <w:tcW w:w="1375" w:type="dxa"/>
            <w:shd w:val="clear" w:color="auto" w:fill="auto"/>
            <w:vAlign w:val="bottom"/>
          </w:tcPr>
          <w:p w14:paraId="172F5994" w14:textId="54F647D1"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916</w:t>
            </w:r>
            <w:r w:rsidRPr="002D2F67">
              <w:rPr>
                <w:rFonts w:ascii="Arial" w:hAnsi="Arial" w:cs="Arial"/>
                <w:color w:val="000000"/>
                <w:sz w:val="18"/>
                <w:szCs w:val="18"/>
              </w:rPr>
              <w:t>,</w:t>
            </w:r>
            <w:r w:rsidR="00CD5714" w:rsidRPr="00CD5714">
              <w:rPr>
                <w:rFonts w:ascii="Arial" w:hAnsi="Arial" w:cs="Arial"/>
                <w:color w:val="000000"/>
                <w:sz w:val="18"/>
                <w:szCs w:val="18"/>
                <w:lang w:val="en-GB"/>
              </w:rPr>
              <w:t>782</w:t>
            </w:r>
            <w:r w:rsidRPr="002D2F67">
              <w:rPr>
                <w:rFonts w:ascii="Arial" w:hAnsi="Arial" w:cs="Arial"/>
                <w:color w:val="000000"/>
                <w:sz w:val="18"/>
                <w:szCs w:val="18"/>
              </w:rPr>
              <w:t>)</w:t>
            </w:r>
          </w:p>
        </w:tc>
        <w:tc>
          <w:tcPr>
            <w:tcW w:w="1548" w:type="dxa"/>
            <w:shd w:val="clear" w:color="auto" w:fill="auto"/>
            <w:vAlign w:val="bottom"/>
          </w:tcPr>
          <w:p w14:paraId="0E8C3EF0" w14:textId="2C6C97F6"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3</w:t>
            </w:r>
            <w:r w:rsidRPr="002D2F67">
              <w:rPr>
                <w:rFonts w:ascii="Arial" w:hAnsi="Arial" w:cs="Arial"/>
                <w:color w:val="000000"/>
                <w:sz w:val="18"/>
                <w:szCs w:val="18"/>
              </w:rPr>
              <w:t>,</w:t>
            </w:r>
            <w:r w:rsidR="00CD5714" w:rsidRPr="00CD5714">
              <w:rPr>
                <w:rFonts w:ascii="Arial" w:hAnsi="Arial" w:cs="Arial"/>
                <w:color w:val="000000"/>
                <w:sz w:val="18"/>
                <w:szCs w:val="18"/>
                <w:lang w:val="en-GB"/>
              </w:rPr>
              <w:t>283</w:t>
            </w:r>
            <w:r w:rsidRPr="002D2F67">
              <w:rPr>
                <w:rFonts w:ascii="Arial" w:hAnsi="Arial" w:cs="Arial"/>
                <w:color w:val="000000"/>
                <w:sz w:val="18"/>
                <w:szCs w:val="18"/>
              </w:rPr>
              <w:t>,</w:t>
            </w:r>
            <w:r w:rsidR="00CD5714" w:rsidRPr="00CD5714">
              <w:rPr>
                <w:rFonts w:ascii="Arial" w:hAnsi="Arial" w:cs="Arial"/>
                <w:color w:val="000000"/>
                <w:sz w:val="18"/>
                <w:szCs w:val="18"/>
                <w:lang w:val="en-GB"/>
              </w:rPr>
              <w:t>146</w:t>
            </w:r>
            <w:r w:rsidRPr="002D2F67">
              <w:rPr>
                <w:rFonts w:ascii="Arial" w:hAnsi="Arial" w:cs="Arial"/>
                <w:color w:val="000000"/>
                <w:sz w:val="18"/>
                <w:szCs w:val="18"/>
              </w:rPr>
              <w:t>)</w:t>
            </w:r>
          </w:p>
        </w:tc>
        <w:tc>
          <w:tcPr>
            <w:tcW w:w="1958" w:type="dxa"/>
            <w:shd w:val="clear" w:color="auto" w:fill="auto"/>
            <w:vAlign w:val="bottom"/>
          </w:tcPr>
          <w:p w14:paraId="35572B32" w14:textId="11D3FFEE"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12</w:t>
            </w:r>
            <w:r w:rsidRPr="002D2F67">
              <w:rPr>
                <w:rFonts w:ascii="Arial" w:hAnsi="Arial" w:cs="Arial"/>
                <w:color w:val="000000"/>
                <w:sz w:val="18"/>
                <w:szCs w:val="18"/>
              </w:rPr>
              <w:t>,</w:t>
            </w:r>
            <w:r w:rsidR="00CD5714" w:rsidRPr="00CD5714">
              <w:rPr>
                <w:rFonts w:ascii="Arial" w:hAnsi="Arial" w:cs="Arial"/>
                <w:color w:val="000000"/>
                <w:sz w:val="18"/>
                <w:szCs w:val="18"/>
                <w:lang w:val="en-GB"/>
              </w:rPr>
              <w:t>136</w:t>
            </w:r>
            <w:r w:rsidRPr="002D2F67">
              <w:rPr>
                <w:rFonts w:ascii="Arial" w:hAnsi="Arial" w:cs="Arial"/>
                <w:color w:val="000000"/>
                <w:sz w:val="18"/>
                <w:szCs w:val="18"/>
              </w:rPr>
              <w:t>,</w:t>
            </w:r>
            <w:r w:rsidR="00CD5714" w:rsidRPr="00CD5714">
              <w:rPr>
                <w:rFonts w:ascii="Arial" w:hAnsi="Arial" w:cs="Arial"/>
                <w:color w:val="000000"/>
                <w:sz w:val="18"/>
                <w:szCs w:val="18"/>
                <w:lang w:val="en-GB"/>
              </w:rPr>
              <w:t>622</w:t>
            </w:r>
            <w:r w:rsidRPr="002D2F67">
              <w:rPr>
                <w:rFonts w:ascii="Arial" w:hAnsi="Arial" w:cs="Arial"/>
                <w:color w:val="000000"/>
                <w:sz w:val="18"/>
                <w:szCs w:val="18"/>
              </w:rPr>
              <w:t>)</w:t>
            </w:r>
          </w:p>
        </w:tc>
        <w:tc>
          <w:tcPr>
            <w:tcW w:w="1800" w:type="dxa"/>
            <w:shd w:val="clear" w:color="auto" w:fill="auto"/>
            <w:vAlign w:val="bottom"/>
          </w:tcPr>
          <w:p w14:paraId="6C20E4DE" w14:textId="08F353CB"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306</w:t>
            </w:r>
            <w:r w:rsidRPr="002D2F67">
              <w:rPr>
                <w:rFonts w:ascii="Arial" w:hAnsi="Arial" w:cs="Arial"/>
                <w:color w:val="000000"/>
                <w:sz w:val="18"/>
                <w:szCs w:val="18"/>
              </w:rPr>
              <w:t>,</w:t>
            </w:r>
            <w:r w:rsidR="00CD5714" w:rsidRPr="00CD5714">
              <w:rPr>
                <w:rFonts w:ascii="Arial" w:hAnsi="Arial" w:cs="Arial"/>
                <w:color w:val="000000"/>
                <w:sz w:val="18"/>
                <w:szCs w:val="18"/>
                <w:lang w:val="en-GB"/>
              </w:rPr>
              <w:t>692</w:t>
            </w:r>
            <w:r w:rsidRPr="002D2F67">
              <w:rPr>
                <w:rFonts w:ascii="Arial" w:hAnsi="Arial" w:cs="Arial"/>
                <w:color w:val="000000"/>
                <w:sz w:val="18"/>
                <w:szCs w:val="18"/>
              </w:rPr>
              <w:t>)</w:t>
            </w:r>
          </w:p>
        </w:tc>
        <w:tc>
          <w:tcPr>
            <w:tcW w:w="1555" w:type="dxa"/>
            <w:shd w:val="clear" w:color="auto" w:fill="auto"/>
            <w:vAlign w:val="bottom"/>
          </w:tcPr>
          <w:p w14:paraId="44F91255" w14:textId="77777777"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p>
        </w:tc>
        <w:tc>
          <w:tcPr>
            <w:tcW w:w="1583" w:type="dxa"/>
            <w:shd w:val="clear" w:color="auto" w:fill="auto"/>
            <w:vAlign w:val="bottom"/>
          </w:tcPr>
          <w:p w14:paraId="2241201F" w14:textId="7640AB8C"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16</w:t>
            </w:r>
            <w:r w:rsidRPr="002D2F67">
              <w:rPr>
                <w:rFonts w:ascii="Arial" w:hAnsi="Arial" w:cs="Arial"/>
                <w:color w:val="000000"/>
                <w:sz w:val="18"/>
                <w:szCs w:val="18"/>
              </w:rPr>
              <w:t>,</w:t>
            </w:r>
            <w:r w:rsidR="00CD5714" w:rsidRPr="00CD5714">
              <w:rPr>
                <w:rFonts w:ascii="Arial" w:hAnsi="Arial" w:cs="Arial"/>
                <w:color w:val="000000"/>
                <w:sz w:val="18"/>
                <w:szCs w:val="18"/>
                <w:lang w:val="en-GB"/>
              </w:rPr>
              <w:t>643</w:t>
            </w:r>
            <w:r w:rsidRPr="002D2F67">
              <w:rPr>
                <w:rFonts w:ascii="Arial" w:hAnsi="Arial" w:cs="Arial"/>
                <w:color w:val="000000"/>
                <w:sz w:val="18"/>
                <w:szCs w:val="18"/>
              </w:rPr>
              <w:t>,</w:t>
            </w:r>
            <w:r w:rsidR="00CD5714" w:rsidRPr="00CD5714">
              <w:rPr>
                <w:rFonts w:ascii="Arial" w:hAnsi="Arial" w:cs="Arial"/>
                <w:color w:val="000000"/>
                <w:sz w:val="18"/>
                <w:szCs w:val="18"/>
                <w:lang w:val="en-GB"/>
              </w:rPr>
              <w:t>242</w:t>
            </w:r>
            <w:r w:rsidRPr="002D2F67">
              <w:rPr>
                <w:rFonts w:ascii="Arial" w:hAnsi="Arial" w:cs="Arial"/>
                <w:color w:val="000000"/>
                <w:sz w:val="18"/>
                <w:szCs w:val="18"/>
              </w:rPr>
              <w:t>)</w:t>
            </w:r>
          </w:p>
        </w:tc>
      </w:tr>
      <w:tr w:rsidR="001C3CA2" w:rsidRPr="002D2F67" w14:paraId="770D9641" w14:textId="77777777" w:rsidTr="19457625">
        <w:tc>
          <w:tcPr>
            <w:tcW w:w="4469" w:type="dxa"/>
            <w:shd w:val="clear" w:color="auto" w:fill="auto"/>
            <w:vAlign w:val="bottom"/>
          </w:tcPr>
          <w:p w14:paraId="5F33C637" w14:textId="77777777" w:rsidR="001C3CA2" w:rsidRPr="002D2F67" w:rsidRDefault="001C3CA2" w:rsidP="001C3CA2">
            <w:pPr>
              <w:ind w:left="207"/>
              <w:rPr>
                <w:rFonts w:ascii="Arial" w:hAnsi="Arial" w:cs="Arial"/>
                <w:color w:val="000000"/>
                <w:sz w:val="18"/>
                <w:szCs w:val="18"/>
                <w:u w:val="single"/>
              </w:rPr>
            </w:pPr>
            <w:r w:rsidRPr="002D2F67">
              <w:rPr>
                <w:rFonts w:ascii="Arial" w:hAnsi="Arial" w:cs="Arial"/>
                <w:color w:val="000000"/>
                <w:sz w:val="18"/>
                <w:szCs w:val="18"/>
                <w:u w:val="single"/>
              </w:rPr>
              <w:t>Less</w:t>
            </w:r>
            <w:r w:rsidRPr="002D2F67">
              <w:rPr>
                <w:rFonts w:ascii="Arial" w:hAnsi="Arial" w:cs="Arial"/>
                <w:color w:val="000000"/>
                <w:sz w:val="18"/>
                <w:szCs w:val="18"/>
              </w:rPr>
              <w:t xml:space="preserve">  Accumulated impairment</w:t>
            </w:r>
          </w:p>
        </w:tc>
        <w:tc>
          <w:tcPr>
            <w:tcW w:w="1381" w:type="dxa"/>
            <w:tcBorders>
              <w:bottom w:val="single" w:sz="4" w:space="0" w:color="auto"/>
            </w:tcBorders>
            <w:shd w:val="clear" w:color="auto" w:fill="auto"/>
            <w:vAlign w:val="bottom"/>
          </w:tcPr>
          <w:p w14:paraId="60481D92" w14:textId="77777777"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p>
        </w:tc>
        <w:tc>
          <w:tcPr>
            <w:tcW w:w="1375" w:type="dxa"/>
            <w:tcBorders>
              <w:bottom w:val="single" w:sz="4" w:space="0" w:color="auto"/>
            </w:tcBorders>
            <w:shd w:val="clear" w:color="auto" w:fill="auto"/>
            <w:vAlign w:val="bottom"/>
          </w:tcPr>
          <w:p w14:paraId="49A351F7" w14:textId="132B6B82"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5</w:t>
            </w:r>
            <w:r w:rsidRPr="002D2F67">
              <w:rPr>
                <w:rFonts w:ascii="Arial" w:hAnsi="Arial" w:cs="Arial"/>
                <w:color w:val="000000"/>
                <w:sz w:val="18"/>
                <w:szCs w:val="18"/>
              </w:rPr>
              <w:t>,</w:t>
            </w:r>
            <w:r w:rsidR="00CD5714" w:rsidRPr="00CD5714">
              <w:rPr>
                <w:rFonts w:ascii="Arial" w:hAnsi="Arial" w:cs="Arial"/>
                <w:color w:val="000000"/>
                <w:sz w:val="18"/>
                <w:szCs w:val="18"/>
                <w:lang w:val="en-GB"/>
              </w:rPr>
              <w:t>668</w:t>
            </w:r>
            <w:r w:rsidRPr="002D2F67">
              <w:rPr>
                <w:rFonts w:ascii="Arial" w:hAnsi="Arial" w:cs="Arial"/>
                <w:color w:val="000000"/>
                <w:sz w:val="18"/>
                <w:szCs w:val="18"/>
              </w:rPr>
              <w:t>)</w:t>
            </w:r>
          </w:p>
        </w:tc>
        <w:tc>
          <w:tcPr>
            <w:tcW w:w="1548" w:type="dxa"/>
            <w:tcBorders>
              <w:bottom w:val="single" w:sz="4" w:space="0" w:color="auto"/>
            </w:tcBorders>
            <w:shd w:val="clear" w:color="auto" w:fill="auto"/>
            <w:vAlign w:val="bottom"/>
          </w:tcPr>
          <w:p w14:paraId="198C4819" w14:textId="2BA5F0DE"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45</w:t>
            </w:r>
            <w:r w:rsidRPr="002D2F67">
              <w:rPr>
                <w:rFonts w:ascii="Arial" w:hAnsi="Arial" w:cs="Arial"/>
                <w:color w:val="000000"/>
                <w:sz w:val="18"/>
                <w:szCs w:val="18"/>
              </w:rPr>
              <w:t>,</w:t>
            </w:r>
            <w:r w:rsidR="00CD5714" w:rsidRPr="00CD5714">
              <w:rPr>
                <w:rFonts w:ascii="Arial" w:hAnsi="Arial" w:cs="Arial"/>
                <w:color w:val="000000"/>
                <w:sz w:val="18"/>
                <w:szCs w:val="18"/>
                <w:lang w:val="en-GB"/>
              </w:rPr>
              <w:t>786</w:t>
            </w:r>
            <w:r w:rsidRPr="002D2F67">
              <w:rPr>
                <w:rFonts w:ascii="Arial" w:hAnsi="Arial" w:cs="Arial"/>
                <w:color w:val="000000"/>
                <w:sz w:val="18"/>
                <w:szCs w:val="18"/>
              </w:rPr>
              <w:t>)</w:t>
            </w:r>
          </w:p>
        </w:tc>
        <w:tc>
          <w:tcPr>
            <w:tcW w:w="1958" w:type="dxa"/>
            <w:tcBorders>
              <w:bottom w:val="single" w:sz="4" w:space="0" w:color="auto"/>
            </w:tcBorders>
            <w:shd w:val="clear" w:color="auto" w:fill="auto"/>
            <w:vAlign w:val="bottom"/>
          </w:tcPr>
          <w:p w14:paraId="35B6B8FB" w14:textId="77777777"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p>
        </w:tc>
        <w:tc>
          <w:tcPr>
            <w:tcW w:w="1800" w:type="dxa"/>
            <w:tcBorders>
              <w:bottom w:val="single" w:sz="4" w:space="0" w:color="auto"/>
            </w:tcBorders>
            <w:shd w:val="clear" w:color="auto" w:fill="auto"/>
            <w:vAlign w:val="bottom"/>
          </w:tcPr>
          <w:p w14:paraId="3DE33D1D" w14:textId="77777777"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p>
        </w:tc>
        <w:tc>
          <w:tcPr>
            <w:tcW w:w="1555" w:type="dxa"/>
            <w:tcBorders>
              <w:bottom w:val="single" w:sz="4" w:space="0" w:color="auto"/>
            </w:tcBorders>
            <w:shd w:val="clear" w:color="auto" w:fill="auto"/>
            <w:vAlign w:val="bottom"/>
          </w:tcPr>
          <w:p w14:paraId="51AC69C2" w14:textId="77777777"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p>
        </w:tc>
        <w:tc>
          <w:tcPr>
            <w:tcW w:w="1583" w:type="dxa"/>
            <w:tcBorders>
              <w:bottom w:val="single" w:sz="4" w:space="0" w:color="auto"/>
            </w:tcBorders>
            <w:shd w:val="clear" w:color="auto" w:fill="auto"/>
            <w:vAlign w:val="bottom"/>
          </w:tcPr>
          <w:p w14:paraId="5E622AB7" w14:textId="5DFF385C"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51</w:t>
            </w:r>
            <w:r w:rsidRPr="002D2F67">
              <w:rPr>
                <w:rFonts w:ascii="Arial" w:hAnsi="Arial" w:cs="Arial"/>
                <w:color w:val="000000"/>
                <w:sz w:val="18"/>
                <w:szCs w:val="18"/>
              </w:rPr>
              <w:t>,</w:t>
            </w:r>
            <w:r w:rsidR="00CD5714" w:rsidRPr="00CD5714">
              <w:rPr>
                <w:rFonts w:ascii="Arial" w:hAnsi="Arial" w:cs="Arial"/>
                <w:color w:val="000000"/>
                <w:sz w:val="18"/>
                <w:szCs w:val="18"/>
                <w:lang w:val="en-GB"/>
              </w:rPr>
              <w:t>454</w:t>
            </w:r>
            <w:r w:rsidRPr="002D2F67">
              <w:rPr>
                <w:rFonts w:ascii="Arial" w:hAnsi="Arial" w:cs="Arial"/>
                <w:color w:val="000000"/>
                <w:sz w:val="18"/>
                <w:szCs w:val="18"/>
              </w:rPr>
              <w:t>)</w:t>
            </w:r>
          </w:p>
        </w:tc>
      </w:tr>
      <w:tr w:rsidR="001C3CA2" w:rsidRPr="002D2F67" w14:paraId="41632524" w14:textId="77777777" w:rsidTr="00D83FFC">
        <w:tc>
          <w:tcPr>
            <w:tcW w:w="4469" w:type="dxa"/>
            <w:shd w:val="clear" w:color="auto" w:fill="auto"/>
          </w:tcPr>
          <w:p w14:paraId="5F4A2B68" w14:textId="77777777" w:rsidR="001C3CA2" w:rsidRPr="002D2F67" w:rsidRDefault="001C3CA2" w:rsidP="001C3CA2">
            <w:pPr>
              <w:ind w:left="207"/>
              <w:rPr>
                <w:rFonts w:ascii="Arial" w:hAnsi="Arial" w:cs="Arial"/>
                <w:b/>
                <w:bCs/>
                <w:color w:val="000000"/>
                <w:sz w:val="12"/>
                <w:szCs w:val="12"/>
              </w:rPr>
            </w:pPr>
          </w:p>
        </w:tc>
        <w:tc>
          <w:tcPr>
            <w:tcW w:w="1381" w:type="dxa"/>
            <w:tcBorders>
              <w:top w:val="single" w:sz="4" w:space="0" w:color="auto"/>
            </w:tcBorders>
            <w:shd w:val="clear" w:color="auto" w:fill="auto"/>
          </w:tcPr>
          <w:p w14:paraId="3B700EEC" w14:textId="77777777" w:rsidR="001C3CA2" w:rsidRPr="002D2F67" w:rsidRDefault="001C3CA2" w:rsidP="001C3CA2">
            <w:pPr>
              <w:ind w:right="-72"/>
              <w:jc w:val="right"/>
              <w:rPr>
                <w:rFonts w:ascii="Arial" w:hAnsi="Arial" w:cs="Arial"/>
                <w:b/>
                <w:bCs/>
                <w:color w:val="000000"/>
                <w:sz w:val="12"/>
                <w:szCs w:val="12"/>
              </w:rPr>
            </w:pPr>
          </w:p>
        </w:tc>
        <w:tc>
          <w:tcPr>
            <w:tcW w:w="1375" w:type="dxa"/>
            <w:tcBorders>
              <w:top w:val="single" w:sz="4" w:space="0" w:color="auto"/>
            </w:tcBorders>
            <w:shd w:val="clear" w:color="auto" w:fill="auto"/>
          </w:tcPr>
          <w:p w14:paraId="54F93AEA" w14:textId="77777777" w:rsidR="001C3CA2" w:rsidRPr="002D2F67" w:rsidRDefault="001C3CA2" w:rsidP="001C3CA2">
            <w:pPr>
              <w:ind w:right="-72"/>
              <w:jc w:val="right"/>
              <w:rPr>
                <w:rFonts w:ascii="Arial" w:hAnsi="Arial" w:cs="Arial"/>
                <w:b/>
                <w:bCs/>
                <w:color w:val="000000"/>
                <w:sz w:val="12"/>
                <w:szCs w:val="12"/>
              </w:rPr>
            </w:pPr>
          </w:p>
        </w:tc>
        <w:tc>
          <w:tcPr>
            <w:tcW w:w="1548" w:type="dxa"/>
            <w:tcBorders>
              <w:top w:val="single" w:sz="4" w:space="0" w:color="auto"/>
            </w:tcBorders>
            <w:shd w:val="clear" w:color="auto" w:fill="auto"/>
          </w:tcPr>
          <w:p w14:paraId="78561246" w14:textId="77777777" w:rsidR="001C3CA2" w:rsidRPr="002D2F67" w:rsidRDefault="001C3CA2" w:rsidP="001C3CA2">
            <w:pPr>
              <w:ind w:right="-72"/>
              <w:jc w:val="right"/>
              <w:rPr>
                <w:rFonts w:ascii="Arial" w:hAnsi="Arial" w:cs="Arial"/>
                <w:b/>
                <w:bCs/>
                <w:color w:val="000000"/>
                <w:sz w:val="12"/>
                <w:szCs w:val="12"/>
              </w:rPr>
            </w:pPr>
          </w:p>
        </w:tc>
        <w:tc>
          <w:tcPr>
            <w:tcW w:w="1958" w:type="dxa"/>
            <w:tcBorders>
              <w:top w:val="single" w:sz="4" w:space="0" w:color="auto"/>
            </w:tcBorders>
            <w:shd w:val="clear" w:color="auto" w:fill="auto"/>
          </w:tcPr>
          <w:p w14:paraId="1907FD85" w14:textId="77777777" w:rsidR="001C3CA2" w:rsidRPr="002D2F67" w:rsidRDefault="001C3CA2" w:rsidP="001C3CA2">
            <w:pPr>
              <w:ind w:right="-72"/>
              <w:jc w:val="right"/>
              <w:rPr>
                <w:rFonts w:ascii="Arial" w:hAnsi="Arial" w:cs="Arial"/>
                <w:b/>
                <w:bCs/>
                <w:color w:val="000000"/>
                <w:sz w:val="12"/>
                <w:szCs w:val="12"/>
              </w:rPr>
            </w:pPr>
          </w:p>
        </w:tc>
        <w:tc>
          <w:tcPr>
            <w:tcW w:w="1800" w:type="dxa"/>
            <w:tcBorders>
              <w:top w:val="single" w:sz="4" w:space="0" w:color="auto"/>
            </w:tcBorders>
            <w:shd w:val="clear" w:color="auto" w:fill="auto"/>
          </w:tcPr>
          <w:p w14:paraId="629594FB" w14:textId="77777777" w:rsidR="001C3CA2" w:rsidRPr="002D2F67" w:rsidRDefault="001C3CA2" w:rsidP="001C3CA2">
            <w:pPr>
              <w:ind w:right="-72"/>
              <w:jc w:val="right"/>
              <w:rPr>
                <w:rFonts w:ascii="Arial" w:hAnsi="Arial" w:cs="Arial"/>
                <w:b/>
                <w:bCs/>
                <w:color w:val="000000"/>
                <w:sz w:val="12"/>
                <w:szCs w:val="12"/>
              </w:rPr>
            </w:pPr>
          </w:p>
        </w:tc>
        <w:tc>
          <w:tcPr>
            <w:tcW w:w="1555" w:type="dxa"/>
            <w:tcBorders>
              <w:top w:val="single" w:sz="4" w:space="0" w:color="auto"/>
            </w:tcBorders>
            <w:shd w:val="clear" w:color="auto" w:fill="auto"/>
          </w:tcPr>
          <w:p w14:paraId="1F814DD5" w14:textId="77777777" w:rsidR="001C3CA2" w:rsidRPr="002D2F67" w:rsidRDefault="001C3CA2" w:rsidP="001C3CA2">
            <w:pPr>
              <w:ind w:right="-72"/>
              <w:jc w:val="right"/>
              <w:rPr>
                <w:rFonts w:ascii="Arial" w:hAnsi="Arial" w:cs="Arial"/>
                <w:b/>
                <w:bCs/>
                <w:color w:val="000000"/>
                <w:sz w:val="12"/>
                <w:szCs w:val="12"/>
              </w:rPr>
            </w:pPr>
          </w:p>
        </w:tc>
        <w:tc>
          <w:tcPr>
            <w:tcW w:w="1583" w:type="dxa"/>
            <w:tcBorders>
              <w:top w:val="single" w:sz="4" w:space="0" w:color="auto"/>
            </w:tcBorders>
            <w:shd w:val="clear" w:color="auto" w:fill="auto"/>
          </w:tcPr>
          <w:p w14:paraId="3E93A664" w14:textId="77777777" w:rsidR="001C3CA2" w:rsidRPr="002D2F67" w:rsidRDefault="001C3CA2" w:rsidP="001C3CA2">
            <w:pPr>
              <w:ind w:right="-72"/>
              <w:jc w:val="right"/>
              <w:rPr>
                <w:rFonts w:ascii="Arial" w:hAnsi="Arial" w:cs="Arial"/>
                <w:b/>
                <w:bCs/>
                <w:color w:val="000000"/>
                <w:sz w:val="12"/>
                <w:szCs w:val="12"/>
              </w:rPr>
            </w:pPr>
          </w:p>
        </w:tc>
      </w:tr>
      <w:tr w:rsidR="001C3CA2" w:rsidRPr="002D2F67" w14:paraId="0C42E7DB" w14:textId="77777777" w:rsidTr="00D83FFC">
        <w:tc>
          <w:tcPr>
            <w:tcW w:w="4469" w:type="dxa"/>
            <w:shd w:val="clear" w:color="auto" w:fill="auto"/>
            <w:vAlign w:val="bottom"/>
          </w:tcPr>
          <w:p w14:paraId="1394B59D" w14:textId="77777777" w:rsidR="001C3CA2" w:rsidRPr="002D2F67" w:rsidRDefault="001C3CA2" w:rsidP="001C3CA2">
            <w:pPr>
              <w:ind w:left="207"/>
              <w:rPr>
                <w:rFonts w:ascii="Arial" w:hAnsi="Arial" w:cs="Arial"/>
                <w:color w:val="000000"/>
                <w:sz w:val="18"/>
                <w:szCs w:val="18"/>
              </w:rPr>
            </w:pPr>
            <w:r w:rsidRPr="002D2F67">
              <w:rPr>
                <w:rFonts w:ascii="Arial" w:hAnsi="Arial" w:cs="Arial"/>
                <w:color w:val="000000"/>
                <w:sz w:val="18"/>
                <w:szCs w:val="18"/>
              </w:rPr>
              <w:t>Net book value</w:t>
            </w:r>
          </w:p>
        </w:tc>
        <w:tc>
          <w:tcPr>
            <w:tcW w:w="1381" w:type="dxa"/>
            <w:tcBorders>
              <w:bottom w:val="single" w:sz="4" w:space="0" w:color="auto"/>
            </w:tcBorders>
            <w:shd w:val="clear" w:color="auto" w:fill="auto"/>
            <w:vAlign w:val="bottom"/>
          </w:tcPr>
          <w:p w14:paraId="4B081237" w14:textId="04CE0897"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2</w:t>
            </w:r>
            <w:r w:rsidR="001C3CA2" w:rsidRPr="002D2F67">
              <w:rPr>
                <w:rFonts w:ascii="Arial" w:hAnsi="Arial" w:cs="Arial"/>
                <w:color w:val="000000"/>
                <w:sz w:val="18"/>
                <w:szCs w:val="18"/>
              </w:rPr>
              <w:t>,</w:t>
            </w:r>
            <w:r w:rsidRPr="00CD5714">
              <w:rPr>
                <w:rFonts w:ascii="Arial" w:hAnsi="Arial" w:cs="Arial"/>
                <w:color w:val="000000"/>
                <w:sz w:val="18"/>
                <w:szCs w:val="18"/>
                <w:lang w:val="en-GB"/>
              </w:rPr>
              <w:t>131</w:t>
            </w:r>
            <w:r w:rsidR="001C3CA2" w:rsidRPr="002D2F67">
              <w:rPr>
                <w:rFonts w:ascii="Arial" w:hAnsi="Arial" w:cs="Arial"/>
                <w:color w:val="000000"/>
                <w:sz w:val="18"/>
                <w:szCs w:val="18"/>
              </w:rPr>
              <w:t>,</w:t>
            </w:r>
            <w:r w:rsidRPr="00CD5714">
              <w:rPr>
                <w:rFonts w:ascii="Arial" w:hAnsi="Arial" w:cs="Arial"/>
                <w:color w:val="000000"/>
                <w:sz w:val="18"/>
                <w:szCs w:val="18"/>
                <w:lang w:val="en-GB"/>
              </w:rPr>
              <w:t>400</w:t>
            </w:r>
          </w:p>
        </w:tc>
        <w:tc>
          <w:tcPr>
            <w:tcW w:w="1375" w:type="dxa"/>
            <w:tcBorders>
              <w:bottom w:val="single" w:sz="4" w:space="0" w:color="auto"/>
            </w:tcBorders>
            <w:shd w:val="clear" w:color="auto" w:fill="auto"/>
            <w:vAlign w:val="bottom"/>
          </w:tcPr>
          <w:p w14:paraId="0FAF9B14" w14:textId="791445B8"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5</w:t>
            </w:r>
            <w:r w:rsidR="001C3CA2" w:rsidRPr="002D2F67">
              <w:rPr>
                <w:rFonts w:ascii="Arial" w:hAnsi="Arial" w:cs="Arial"/>
                <w:color w:val="000000"/>
                <w:sz w:val="18"/>
                <w:szCs w:val="18"/>
              </w:rPr>
              <w:t>,</w:t>
            </w:r>
            <w:r w:rsidRPr="00CD5714">
              <w:rPr>
                <w:rFonts w:ascii="Arial" w:hAnsi="Arial" w:cs="Arial"/>
                <w:color w:val="000000"/>
                <w:sz w:val="18"/>
                <w:szCs w:val="18"/>
                <w:lang w:val="en-GB"/>
              </w:rPr>
              <w:t>694</w:t>
            </w:r>
            <w:r w:rsidR="001C3CA2" w:rsidRPr="002D2F67">
              <w:rPr>
                <w:rFonts w:ascii="Arial" w:hAnsi="Arial" w:cs="Arial"/>
                <w:color w:val="000000"/>
                <w:sz w:val="18"/>
                <w:szCs w:val="18"/>
              </w:rPr>
              <w:t>,</w:t>
            </w:r>
            <w:r w:rsidRPr="00CD5714">
              <w:rPr>
                <w:rFonts w:ascii="Arial" w:hAnsi="Arial" w:cs="Arial"/>
                <w:color w:val="000000"/>
                <w:sz w:val="18"/>
                <w:szCs w:val="18"/>
                <w:lang w:val="en-GB"/>
              </w:rPr>
              <w:t>635</w:t>
            </w:r>
          </w:p>
        </w:tc>
        <w:tc>
          <w:tcPr>
            <w:tcW w:w="1548" w:type="dxa"/>
            <w:tcBorders>
              <w:bottom w:val="single" w:sz="4" w:space="0" w:color="auto"/>
            </w:tcBorders>
            <w:shd w:val="clear" w:color="auto" w:fill="auto"/>
            <w:vAlign w:val="bottom"/>
          </w:tcPr>
          <w:p w14:paraId="5EDD1299" w14:textId="7FB97B03"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6</w:t>
            </w:r>
            <w:r w:rsidR="001C3CA2" w:rsidRPr="002D2F67">
              <w:rPr>
                <w:rFonts w:ascii="Arial" w:hAnsi="Arial" w:cs="Arial"/>
                <w:color w:val="000000"/>
                <w:sz w:val="18"/>
                <w:szCs w:val="18"/>
              </w:rPr>
              <w:t>,</w:t>
            </w:r>
            <w:r w:rsidRPr="00CD5714">
              <w:rPr>
                <w:rFonts w:ascii="Arial" w:hAnsi="Arial" w:cs="Arial"/>
                <w:color w:val="000000"/>
                <w:sz w:val="18"/>
                <w:szCs w:val="18"/>
                <w:lang w:val="en-GB"/>
              </w:rPr>
              <w:t>023</w:t>
            </w:r>
            <w:r w:rsidR="001C3CA2" w:rsidRPr="002D2F67">
              <w:rPr>
                <w:rFonts w:ascii="Arial" w:hAnsi="Arial" w:cs="Arial"/>
                <w:color w:val="000000"/>
                <w:sz w:val="18"/>
                <w:szCs w:val="18"/>
              </w:rPr>
              <w:t>,</w:t>
            </w:r>
            <w:r w:rsidRPr="00CD5714">
              <w:rPr>
                <w:rFonts w:ascii="Arial" w:hAnsi="Arial" w:cs="Arial"/>
                <w:color w:val="000000"/>
                <w:sz w:val="18"/>
                <w:szCs w:val="18"/>
                <w:lang w:val="en-GB"/>
              </w:rPr>
              <w:t>423</w:t>
            </w:r>
          </w:p>
        </w:tc>
        <w:tc>
          <w:tcPr>
            <w:tcW w:w="1958" w:type="dxa"/>
            <w:tcBorders>
              <w:bottom w:val="single" w:sz="4" w:space="0" w:color="auto"/>
            </w:tcBorders>
            <w:shd w:val="clear" w:color="auto" w:fill="auto"/>
            <w:vAlign w:val="bottom"/>
          </w:tcPr>
          <w:p w14:paraId="621F6A98" w14:textId="023129D5"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42</w:t>
            </w:r>
            <w:r w:rsidR="001C3CA2" w:rsidRPr="002D2F67">
              <w:rPr>
                <w:rFonts w:ascii="Arial" w:hAnsi="Arial" w:cs="Arial"/>
                <w:color w:val="000000"/>
                <w:sz w:val="18"/>
                <w:szCs w:val="18"/>
              </w:rPr>
              <w:t>,</w:t>
            </w:r>
            <w:r w:rsidRPr="00CD5714">
              <w:rPr>
                <w:rFonts w:ascii="Arial" w:hAnsi="Arial" w:cs="Arial"/>
                <w:color w:val="000000"/>
                <w:sz w:val="18"/>
                <w:szCs w:val="18"/>
                <w:lang w:val="en-GB"/>
              </w:rPr>
              <w:t>024</w:t>
            </w:r>
            <w:r w:rsidR="001C3CA2" w:rsidRPr="002D2F67">
              <w:rPr>
                <w:rFonts w:ascii="Arial" w:hAnsi="Arial" w:cs="Arial"/>
                <w:color w:val="000000"/>
                <w:sz w:val="18"/>
                <w:szCs w:val="18"/>
              </w:rPr>
              <w:t>,</w:t>
            </w:r>
            <w:r w:rsidRPr="00CD5714">
              <w:rPr>
                <w:rFonts w:ascii="Arial" w:hAnsi="Arial" w:cs="Arial"/>
                <w:color w:val="000000"/>
                <w:sz w:val="18"/>
                <w:szCs w:val="18"/>
                <w:lang w:val="en-GB"/>
              </w:rPr>
              <w:t>937</w:t>
            </w:r>
          </w:p>
        </w:tc>
        <w:tc>
          <w:tcPr>
            <w:tcW w:w="1800" w:type="dxa"/>
            <w:tcBorders>
              <w:bottom w:val="single" w:sz="4" w:space="0" w:color="auto"/>
            </w:tcBorders>
            <w:shd w:val="clear" w:color="auto" w:fill="auto"/>
            <w:vAlign w:val="bottom"/>
          </w:tcPr>
          <w:p w14:paraId="6A494273" w14:textId="0C707576"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165</w:t>
            </w:r>
            <w:r w:rsidR="001C3CA2" w:rsidRPr="002D2F67">
              <w:rPr>
                <w:rFonts w:ascii="Arial" w:hAnsi="Arial" w:cs="Arial"/>
                <w:color w:val="000000"/>
                <w:sz w:val="18"/>
                <w:szCs w:val="18"/>
              </w:rPr>
              <w:t>,</w:t>
            </w:r>
            <w:r w:rsidRPr="00CD5714">
              <w:rPr>
                <w:rFonts w:ascii="Arial" w:hAnsi="Arial" w:cs="Arial"/>
                <w:color w:val="000000"/>
                <w:sz w:val="18"/>
                <w:szCs w:val="18"/>
                <w:lang w:val="en-GB"/>
              </w:rPr>
              <w:t>737</w:t>
            </w:r>
          </w:p>
        </w:tc>
        <w:tc>
          <w:tcPr>
            <w:tcW w:w="1555" w:type="dxa"/>
            <w:tcBorders>
              <w:bottom w:val="single" w:sz="4" w:space="0" w:color="auto"/>
            </w:tcBorders>
            <w:shd w:val="clear" w:color="auto" w:fill="auto"/>
            <w:vAlign w:val="bottom"/>
          </w:tcPr>
          <w:p w14:paraId="178731F0" w14:textId="1B93F621"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2</w:t>
            </w:r>
            <w:r w:rsidR="001C3CA2" w:rsidRPr="002D2F67">
              <w:rPr>
                <w:rFonts w:ascii="Arial" w:hAnsi="Arial" w:cs="Arial"/>
                <w:color w:val="000000"/>
                <w:sz w:val="18"/>
                <w:szCs w:val="18"/>
              </w:rPr>
              <w:t>,</w:t>
            </w:r>
            <w:r w:rsidRPr="00CD5714">
              <w:rPr>
                <w:rFonts w:ascii="Arial" w:hAnsi="Arial" w:cs="Arial"/>
                <w:color w:val="000000"/>
                <w:sz w:val="18"/>
                <w:szCs w:val="18"/>
                <w:lang w:val="en-GB"/>
              </w:rPr>
              <w:t>635</w:t>
            </w:r>
            <w:r w:rsidR="001C3CA2" w:rsidRPr="002D2F67">
              <w:rPr>
                <w:rFonts w:ascii="Arial" w:hAnsi="Arial" w:cs="Arial"/>
                <w:color w:val="000000"/>
                <w:sz w:val="18"/>
                <w:szCs w:val="18"/>
              </w:rPr>
              <w:t>,</w:t>
            </w:r>
            <w:r w:rsidRPr="00CD5714">
              <w:rPr>
                <w:rFonts w:ascii="Arial" w:hAnsi="Arial" w:cs="Arial"/>
                <w:color w:val="000000"/>
                <w:sz w:val="18"/>
                <w:szCs w:val="18"/>
                <w:lang w:val="en-GB"/>
              </w:rPr>
              <w:t>001</w:t>
            </w:r>
          </w:p>
        </w:tc>
        <w:tc>
          <w:tcPr>
            <w:tcW w:w="1583" w:type="dxa"/>
            <w:tcBorders>
              <w:bottom w:val="single" w:sz="4" w:space="0" w:color="auto"/>
            </w:tcBorders>
            <w:shd w:val="clear" w:color="auto" w:fill="auto"/>
            <w:vAlign w:val="bottom"/>
          </w:tcPr>
          <w:p w14:paraId="389376D7" w14:textId="28A31C0B"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58</w:t>
            </w:r>
            <w:r w:rsidR="001C3CA2" w:rsidRPr="002D2F67">
              <w:rPr>
                <w:rFonts w:ascii="Arial" w:hAnsi="Arial" w:cs="Arial"/>
                <w:color w:val="000000"/>
                <w:sz w:val="18"/>
                <w:szCs w:val="18"/>
              </w:rPr>
              <w:t>,</w:t>
            </w:r>
            <w:r w:rsidRPr="00CD5714">
              <w:rPr>
                <w:rFonts w:ascii="Arial" w:hAnsi="Arial" w:cs="Arial"/>
                <w:color w:val="000000"/>
                <w:sz w:val="18"/>
                <w:szCs w:val="18"/>
                <w:lang w:val="en-GB"/>
              </w:rPr>
              <w:t>675</w:t>
            </w:r>
            <w:r w:rsidR="001C3CA2" w:rsidRPr="002D2F67">
              <w:rPr>
                <w:rFonts w:ascii="Arial" w:hAnsi="Arial" w:cs="Arial"/>
                <w:color w:val="000000"/>
                <w:sz w:val="18"/>
                <w:szCs w:val="18"/>
              </w:rPr>
              <w:t>,</w:t>
            </w:r>
            <w:r w:rsidRPr="00CD5714">
              <w:rPr>
                <w:rFonts w:ascii="Arial" w:hAnsi="Arial" w:cs="Arial"/>
                <w:color w:val="000000"/>
                <w:sz w:val="18"/>
                <w:szCs w:val="18"/>
                <w:lang w:val="en-GB"/>
              </w:rPr>
              <w:t>133</w:t>
            </w:r>
          </w:p>
        </w:tc>
      </w:tr>
    </w:tbl>
    <w:p w14:paraId="0C8B79E0" w14:textId="77777777" w:rsidR="00290F32" w:rsidRPr="002D2F67" w:rsidRDefault="00235335" w:rsidP="005611FE">
      <w:pPr>
        <w:ind w:left="540" w:hanging="540"/>
        <w:jc w:val="both"/>
        <w:rPr>
          <w:rFonts w:ascii="Arial" w:hAnsi="Arial" w:cs="Arial"/>
          <w:color w:val="000000"/>
          <w:sz w:val="20"/>
          <w:szCs w:val="20"/>
        </w:rPr>
      </w:pPr>
      <w:r w:rsidRPr="002D2F67">
        <w:rPr>
          <w:rFonts w:ascii="Arial" w:hAnsi="Arial" w:cs="Arial"/>
          <w:color w:val="000000"/>
          <w:sz w:val="20"/>
          <w:szCs w:val="20"/>
        </w:rPr>
        <w:br w:type="page"/>
      </w:r>
    </w:p>
    <w:tbl>
      <w:tblPr>
        <w:tblW w:w="15669" w:type="dxa"/>
        <w:tblInd w:w="-176" w:type="dxa"/>
        <w:tblLayout w:type="fixed"/>
        <w:tblLook w:val="0000" w:firstRow="0" w:lastRow="0" w:firstColumn="0" w:lastColumn="0" w:noHBand="0" w:noVBand="0"/>
      </w:tblPr>
      <w:tblGrid>
        <w:gridCol w:w="4469"/>
        <w:gridCol w:w="1381"/>
        <w:gridCol w:w="1375"/>
        <w:gridCol w:w="1548"/>
        <w:gridCol w:w="1958"/>
        <w:gridCol w:w="1800"/>
        <w:gridCol w:w="1555"/>
        <w:gridCol w:w="1583"/>
      </w:tblGrid>
      <w:tr w:rsidR="0037743A" w:rsidRPr="002D2F67" w14:paraId="3DBD12A1" w14:textId="77777777" w:rsidTr="008255E8">
        <w:tc>
          <w:tcPr>
            <w:tcW w:w="4469" w:type="dxa"/>
            <w:shd w:val="clear" w:color="auto" w:fill="auto"/>
          </w:tcPr>
          <w:p w14:paraId="5DCF31E8" w14:textId="77777777" w:rsidR="00290F32" w:rsidRPr="002D2F67" w:rsidRDefault="00290F32" w:rsidP="005611FE">
            <w:pPr>
              <w:ind w:left="207"/>
              <w:rPr>
                <w:rFonts w:ascii="Arial" w:hAnsi="Arial" w:cs="Arial"/>
                <w:b/>
                <w:bCs/>
                <w:color w:val="000000"/>
                <w:sz w:val="18"/>
                <w:szCs w:val="18"/>
              </w:rPr>
            </w:pPr>
          </w:p>
        </w:tc>
        <w:tc>
          <w:tcPr>
            <w:tcW w:w="11200" w:type="dxa"/>
            <w:gridSpan w:val="7"/>
            <w:tcBorders>
              <w:bottom w:val="single" w:sz="4" w:space="0" w:color="auto"/>
            </w:tcBorders>
            <w:shd w:val="clear" w:color="auto" w:fill="auto"/>
          </w:tcPr>
          <w:p w14:paraId="70BA7F93" w14:textId="77777777" w:rsidR="00290F32" w:rsidRPr="002D2F67" w:rsidRDefault="00290F32" w:rsidP="005611FE">
            <w:pPr>
              <w:ind w:right="-72"/>
              <w:jc w:val="right"/>
              <w:rPr>
                <w:rFonts w:ascii="Arial" w:hAnsi="Arial" w:cs="Arial"/>
                <w:b/>
                <w:bCs/>
                <w:color w:val="000000"/>
                <w:sz w:val="18"/>
                <w:szCs w:val="18"/>
              </w:rPr>
            </w:pPr>
            <w:r w:rsidRPr="002D2F67">
              <w:rPr>
                <w:rFonts w:ascii="Arial" w:hAnsi="Arial" w:cs="Arial"/>
                <w:b/>
                <w:bCs/>
                <w:color w:val="000000"/>
                <w:sz w:val="18"/>
                <w:szCs w:val="18"/>
              </w:rPr>
              <w:t>Consolidated financial statements</w:t>
            </w:r>
          </w:p>
        </w:tc>
      </w:tr>
      <w:tr w:rsidR="00A82DBA" w:rsidRPr="002D2F67" w14:paraId="58E14689" w14:textId="77777777" w:rsidTr="005611FE">
        <w:tc>
          <w:tcPr>
            <w:tcW w:w="4469" w:type="dxa"/>
            <w:shd w:val="clear" w:color="auto" w:fill="auto"/>
          </w:tcPr>
          <w:p w14:paraId="19807771" w14:textId="77777777" w:rsidR="00290F32" w:rsidRPr="002D2F67" w:rsidRDefault="00290F32" w:rsidP="005611FE">
            <w:pPr>
              <w:ind w:left="207"/>
              <w:rPr>
                <w:rFonts w:ascii="Arial" w:hAnsi="Arial" w:cs="Arial"/>
                <w:b/>
                <w:bCs/>
                <w:color w:val="000000"/>
                <w:sz w:val="18"/>
                <w:szCs w:val="18"/>
              </w:rPr>
            </w:pPr>
          </w:p>
        </w:tc>
        <w:tc>
          <w:tcPr>
            <w:tcW w:w="1381" w:type="dxa"/>
            <w:tcBorders>
              <w:top w:val="single" w:sz="4" w:space="0" w:color="auto"/>
            </w:tcBorders>
            <w:shd w:val="clear" w:color="auto" w:fill="auto"/>
          </w:tcPr>
          <w:p w14:paraId="7072F26E" w14:textId="77777777" w:rsidR="00290F32" w:rsidRPr="002D2F67" w:rsidRDefault="00290F32" w:rsidP="005611FE">
            <w:pPr>
              <w:ind w:right="-72"/>
              <w:jc w:val="right"/>
              <w:rPr>
                <w:rFonts w:ascii="Arial" w:hAnsi="Arial" w:cs="Arial"/>
                <w:b/>
                <w:bCs/>
                <w:color w:val="000000"/>
                <w:sz w:val="18"/>
                <w:szCs w:val="18"/>
              </w:rPr>
            </w:pPr>
          </w:p>
          <w:p w14:paraId="04CB51A3" w14:textId="77777777" w:rsidR="00290F32" w:rsidRPr="002D2F67" w:rsidRDefault="00290F32" w:rsidP="005611FE">
            <w:pPr>
              <w:ind w:right="-72"/>
              <w:jc w:val="right"/>
              <w:rPr>
                <w:rFonts w:ascii="Arial" w:hAnsi="Arial" w:cs="Arial"/>
                <w:b/>
                <w:bCs/>
                <w:color w:val="000000"/>
                <w:sz w:val="18"/>
                <w:szCs w:val="18"/>
              </w:rPr>
            </w:pPr>
          </w:p>
          <w:p w14:paraId="07078E72" w14:textId="77777777" w:rsidR="00290F32" w:rsidRPr="002D2F67" w:rsidRDefault="00290F32" w:rsidP="005611FE">
            <w:pPr>
              <w:ind w:right="-72"/>
              <w:jc w:val="right"/>
              <w:rPr>
                <w:rFonts w:ascii="Arial" w:hAnsi="Arial" w:cs="Arial"/>
                <w:b/>
                <w:bCs/>
                <w:color w:val="000000"/>
                <w:sz w:val="18"/>
                <w:szCs w:val="18"/>
              </w:rPr>
            </w:pPr>
          </w:p>
          <w:p w14:paraId="47F04FAE" w14:textId="77777777" w:rsidR="00290F32" w:rsidRPr="002D2F67" w:rsidRDefault="00290F32" w:rsidP="005611FE">
            <w:pPr>
              <w:ind w:right="-72"/>
              <w:jc w:val="right"/>
              <w:rPr>
                <w:rFonts w:ascii="Arial" w:hAnsi="Arial" w:cs="Arial"/>
                <w:b/>
                <w:bCs/>
                <w:color w:val="000000"/>
                <w:sz w:val="18"/>
                <w:szCs w:val="18"/>
              </w:rPr>
            </w:pPr>
            <w:r w:rsidRPr="002D2F67">
              <w:rPr>
                <w:rFonts w:ascii="Arial" w:hAnsi="Arial" w:cs="Arial"/>
                <w:b/>
                <w:bCs/>
                <w:color w:val="000000"/>
                <w:sz w:val="18"/>
                <w:szCs w:val="18"/>
              </w:rPr>
              <w:t>Land</w:t>
            </w:r>
          </w:p>
        </w:tc>
        <w:tc>
          <w:tcPr>
            <w:tcW w:w="1375" w:type="dxa"/>
            <w:tcBorders>
              <w:top w:val="single" w:sz="4" w:space="0" w:color="auto"/>
            </w:tcBorders>
            <w:shd w:val="clear" w:color="auto" w:fill="auto"/>
          </w:tcPr>
          <w:p w14:paraId="692D9CC0" w14:textId="77777777" w:rsidR="00290F32" w:rsidRPr="002D2F67" w:rsidRDefault="00290F32" w:rsidP="005611FE">
            <w:pPr>
              <w:ind w:right="-72"/>
              <w:jc w:val="right"/>
              <w:rPr>
                <w:rFonts w:ascii="Arial" w:hAnsi="Arial" w:cs="Arial"/>
                <w:b/>
                <w:bCs/>
                <w:color w:val="000000"/>
                <w:sz w:val="18"/>
                <w:szCs w:val="18"/>
              </w:rPr>
            </w:pPr>
          </w:p>
          <w:p w14:paraId="15E36A16" w14:textId="77777777" w:rsidR="00290F32" w:rsidRPr="002D2F67" w:rsidRDefault="00290F32" w:rsidP="005611FE">
            <w:pPr>
              <w:ind w:right="-72"/>
              <w:jc w:val="right"/>
              <w:rPr>
                <w:rFonts w:ascii="Arial" w:hAnsi="Arial" w:cs="Arial"/>
                <w:b/>
                <w:bCs/>
                <w:color w:val="000000"/>
                <w:sz w:val="18"/>
                <w:szCs w:val="18"/>
              </w:rPr>
            </w:pPr>
            <w:r w:rsidRPr="002D2F67">
              <w:rPr>
                <w:rFonts w:ascii="Arial" w:hAnsi="Arial" w:cs="Arial"/>
                <w:b/>
                <w:bCs/>
                <w:color w:val="000000"/>
                <w:sz w:val="18"/>
                <w:szCs w:val="18"/>
              </w:rPr>
              <w:t xml:space="preserve">Buildings and buildings improvement </w:t>
            </w:r>
          </w:p>
        </w:tc>
        <w:tc>
          <w:tcPr>
            <w:tcW w:w="1548" w:type="dxa"/>
            <w:tcBorders>
              <w:top w:val="single" w:sz="4" w:space="0" w:color="auto"/>
            </w:tcBorders>
            <w:shd w:val="clear" w:color="auto" w:fill="auto"/>
            <w:vAlign w:val="bottom"/>
          </w:tcPr>
          <w:p w14:paraId="50699CE4" w14:textId="77777777" w:rsidR="00290F32" w:rsidRPr="002D2F67" w:rsidRDefault="00290F32" w:rsidP="005611FE">
            <w:pPr>
              <w:ind w:right="-72"/>
              <w:jc w:val="right"/>
              <w:rPr>
                <w:rFonts w:ascii="Arial" w:hAnsi="Arial" w:cs="Arial"/>
                <w:b/>
                <w:bCs/>
                <w:color w:val="000000"/>
                <w:sz w:val="18"/>
                <w:szCs w:val="18"/>
              </w:rPr>
            </w:pPr>
            <w:r w:rsidRPr="002D2F67">
              <w:rPr>
                <w:rFonts w:ascii="Arial" w:hAnsi="Arial" w:cs="Arial"/>
                <w:b/>
                <w:bCs/>
                <w:color w:val="000000"/>
                <w:sz w:val="18"/>
                <w:szCs w:val="18"/>
              </w:rPr>
              <w:t>Machines and equipment</w:t>
            </w:r>
          </w:p>
        </w:tc>
        <w:tc>
          <w:tcPr>
            <w:tcW w:w="1958" w:type="dxa"/>
            <w:tcBorders>
              <w:top w:val="single" w:sz="4" w:space="0" w:color="auto"/>
            </w:tcBorders>
            <w:shd w:val="clear" w:color="auto" w:fill="auto"/>
            <w:vAlign w:val="bottom"/>
          </w:tcPr>
          <w:p w14:paraId="7EB4BAEE" w14:textId="77777777" w:rsidR="00290F32" w:rsidRPr="002D2F67" w:rsidRDefault="00290F32" w:rsidP="005611FE">
            <w:pPr>
              <w:ind w:left="-108" w:right="-72"/>
              <w:jc w:val="right"/>
              <w:rPr>
                <w:rFonts w:ascii="Arial" w:hAnsi="Arial" w:cs="Arial"/>
                <w:b/>
                <w:bCs/>
                <w:color w:val="000000"/>
                <w:sz w:val="18"/>
                <w:szCs w:val="18"/>
              </w:rPr>
            </w:pPr>
            <w:r w:rsidRPr="002D2F67">
              <w:rPr>
                <w:rFonts w:ascii="Arial" w:hAnsi="Arial" w:cs="Arial"/>
                <w:b/>
                <w:bCs/>
                <w:color w:val="000000"/>
                <w:sz w:val="18"/>
                <w:szCs w:val="18"/>
              </w:rPr>
              <w:t xml:space="preserve">Power plants, substation, transmission system and components </w:t>
            </w:r>
          </w:p>
        </w:tc>
        <w:tc>
          <w:tcPr>
            <w:tcW w:w="1800" w:type="dxa"/>
            <w:tcBorders>
              <w:top w:val="single" w:sz="4" w:space="0" w:color="auto"/>
            </w:tcBorders>
            <w:shd w:val="clear" w:color="auto" w:fill="auto"/>
          </w:tcPr>
          <w:p w14:paraId="76743013" w14:textId="77777777" w:rsidR="00290F32" w:rsidRPr="002D2F67" w:rsidRDefault="00290F32" w:rsidP="005611FE">
            <w:pPr>
              <w:ind w:right="-72"/>
              <w:jc w:val="right"/>
              <w:rPr>
                <w:rFonts w:ascii="Arial" w:hAnsi="Arial" w:cs="Arial"/>
                <w:b/>
                <w:bCs/>
                <w:color w:val="000000"/>
                <w:sz w:val="18"/>
                <w:szCs w:val="18"/>
              </w:rPr>
            </w:pPr>
            <w:r w:rsidRPr="002D2F67">
              <w:rPr>
                <w:rFonts w:ascii="Arial" w:hAnsi="Arial" w:cs="Arial"/>
                <w:b/>
                <w:bCs/>
                <w:color w:val="000000"/>
                <w:sz w:val="18"/>
                <w:szCs w:val="18"/>
              </w:rPr>
              <w:t>Office equipment,</w:t>
            </w:r>
          </w:p>
          <w:p w14:paraId="62652D3B" w14:textId="77777777" w:rsidR="00290F32" w:rsidRPr="002D2F67" w:rsidRDefault="00290F32" w:rsidP="005611FE">
            <w:pPr>
              <w:ind w:right="-72"/>
              <w:jc w:val="right"/>
              <w:rPr>
                <w:rFonts w:ascii="Arial" w:hAnsi="Arial" w:cs="Arial"/>
                <w:b/>
                <w:bCs/>
                <w:color w:val="000000"/>
                <w:sz w:val="18"/>
                <w:szCs w:val="18"/>
              </w:rPr>
            </w:pPr>
            <w:r w:rsidRPr="002D2F67">
              <w:rPr>
                <w:rFonts w:ascii="Arial" w:hAnsi="Arial" w:cs="Arial"/>
                <w:b/>
                <w:bCs/>
                <w:color w:val="000000"/>
                <w:sz w:val="18"/>
                <w:szCs w:val="18"/>
              </w:rPr>
              <w:t>furniture,</w:t>
            </w:r>
          </w:p>
          <w:p w14:paraId="5E8512AA" w14:textId="77777777" w:rsidR="00290F32" w:rsidRPr="002D2F67" w:rsidRDefault="00290F32" w:rsidP="005611FE">
            <w:pPr>
              <w:ind w:right="-72"/>
              <w:jc w:val="right"/>
              <w:rPr>
                <w:rFonts w:ascii="Arial" w:hAnsi="Arial" w:cs="Arial"/>
                <w:b/>
                <w:bCs/>
                <w:color w:val="000000"/>
                <w:sz w:val="18"/>
                <w:szCs w:val="18"/>
              </w:rPr>
            </w:pPr>
            <w:r w:rsidRPr="002D2F67">
              <w:rPr>
                <w:rFonts w:ascii="Arial" w:hAnsi="Arial" w:cs="Arial"/>
                <w:b/>
                <w:bCs/>
                <w:color w:val="000000"/>
                <w:sz w:val="18"/>
                <w:szCs w:val="18"/>
              </w:rPr>
              <w:t>computers and</w:t>
            </w:r>
          </w:p>
          <w:p w14:paraId="3229E29E" w14:textId="77777777" w:rsidR="00290F32" w:rsidRPr="002D2F67" w:rsidRDefault="00290F32" w:rsidP="005611FE">
            <w:pPr>
              <w:ind w:right="-72"/>
              <w:jc w:val="right"/>
              <w:rPr>
                <w:rFonts w:ascii="Arial" w:hAnsi="Arial" w:cs="Arial"/>
                <w:b/>
                <w:bCs/>
                <w:color w:val="000000"/>
                <w:sz w:val="18"/>
                <w:szCs w:val="18"/>
              </w:rPr>
            </w:pPr>
            <w:r w:rsidRPr="002D2F67">
              <w:rPr>
                <w:rFonts w:ascii="Arial" w:hAnsi="Arial" w:cs="Arial"/>
                <w:b/>
                <w:bCs/>
                <w:color w:val="000000"/>
                <w:sz w:val="18"/>
                <w:szCs w:val="18"/>
              </w:rPr>
              <w:t>motor vehicles</w:t>
            </w:r>
          </w:p>
        </w:tc>
        <w:tc>
          <w:tcPr>
            <w:tcW w:w="1555" w:type="dxa"/>
            <w:tcBorders>
              <w:top w:val="single" w:sz="4" w:space="0" w:color="auto"/>
            </w:tcBorders>
            <w:shd w:val="clear" w:color="auto" w:fill="auto"/>
            <w:vAlign w:val="bottom"/>
          </w:tcPr>
          <w:p w14:paraId="0BE79F98" w14:textId="77777777" w:rsidR="00290F32" w:rsidRPr="002D2F67" w:rsidRDefault="00290F32" w:rsidP="005611FE">
            <w:pPr>
              <w:ind w:right="-72"/>
              <w:jc w:val="right"/>
              <w:rPr>
                <w:rFonts w:ascii="Arial" w:hAnsi="Arial" w:cs="Arial"/>
                <w:b/>
                <w:bCs/>
                <w:color w:val="000000"/>
                <w:sz w:val="18"/>
                <w:szCs w:val="18"/>
              </w:rPr>
            </w:pPr>
            <w:r w:rsidRPr="002D2F67">
              <w:rPr>
                <w:rFonts w:ascii="Arial" w:hAnsi="Arial" w:cs="Arial"/>
                <w:b/>
                <w:bCs/>
                <w:color w:val="000000"/>
                <w:sz w:val="18"/>
                <w:szCs w:val="18"/>
              </w:rPr>
              <w:t>Construction in progress</w:t>
            </w:r>
          </w:p>
        </w:tc>
        <w:tc>
          <w:tcPr>
            <w:tcW w:w="1583" w:type="dxa"/>
            <w:tcBorders>
              <w:top w:val="single" w:sz="4" w:space="0" w:color="auto"/>
            </w:tcBorders>
            <w:shd w:val="clear" w:color="auto" w:fill="auto"/>
          </w:tcPr>
          <w:p w14:paraId="4FE235AD" w14:textId="77777777" w:rsidR="00290F32" w:rsidRPr="002D2F67" w:rsidRDefault="00290F32" w:rsidP="005611FE">
            <w:pPr>
              <w:ind w:right="-72"/>
              <w:jc w:val="right"/>
              <w:rPr>
                <w:rFonts w:ascii="Arial" w:hAnsi="Arial" w:cs="Arial"/>
                <w:b/>
                <w:bCs/>
                <w:color w:val="000000"/>
                <w:sz w:val="18"/>
                <w:szCs w:val="18"/>
              </w:rPr>
            </w:pPr>
          </w:p>
          <w:p w14:paraId="3432152D" w14:textId="77777777" w:rsidR="00290F32" w:rsidRPr="002D2F67" w:rsidRDefault="00290F32" w:rsidP="005611FE">
            <w:pPr>
              <w:ind w:right="-72"/>
              <w:jc w:val="right"/>
              <w:rPr>
                <w:rFonts w:ascii="Arial" w:hAnsi="Arial" w:cs="Arial"/>
                <w:b/>
                <w:bCs/>
                <w:color w:val="000000"/>
                <w:sz w:val="18"/>
                <w:szCs w:val="18"/>
              </w:rPr>
            </w:pPr>
          </w:p>
          <w:p w14:paraId="00632556" w14:textId="77777777" w:rsidR="00290F32" w:rsidRPr="002D2F67" w:rsidRDefault="00290F32" w:rsidP="005611FE">
            <w:pPr>
              <w:ind w:right="-72"/>
              <w:jc w:val="right"/>
              <w:rPr>
                <w:rFonts w:ascii="Arial" w:hAnsi="Arial" w:cs="Arial"/>
                <w:b/>
                <w:bCs/>
                <w:color w:val="000000"/>
                <w:sz w:val="18"/>
                <w:szCs w:val="18"/>
              </w:rPr>
            </w:pPr>
          </w:p>
          <w:p w14:paraId="769BFA61" w14:textId="77777777" w:rsidR="00290F32" w:rsidRPr="002D2F67" w:rsidRDefault="00290F32" w:rsidP="005611FE">
            <w:pPr>
              <w:ind w:right="-72"/>
              <w:jc w:val="right"/>
              <w:rPr>
                <w:rFonts w:ascii="Arial" w:hAnsi="Arial" w:cs="Arial"/>
                <w:b/>
                <w:bCs/>
                <w:color w:val="000000"/>
                <w:sz w:val="18"/>
                <w:szCs w:val="18"/>
              </w:rPr>
            </w:pPr>
            <w:r w:rsidRPr="002D2F67">
              <w:rPr>
                <w:rFonts w:ascii="Arial" w:hAnsi="Arial" w:cs="Arial"/>
                <w:b/>
                <w:bCs/>
                <w:color w:val="000000"/>
                <w:sz w:val="18"/>
                <w:szCs w:val="18"/>
              </w:rPr>
              <w:t>Total</w:t>
            </w:r>
          </w:p>
        </w:tc>
      </w:tr>
      <w:tr w:rsidR="00836759" w:rsidRPr="002D2F67" w14:paraId="3F2E9366" w14:textId="77777777" w:rsidTr="00AA6C41">
        <w:tc>
          <w:tcPr>
            <w:tcW w:w="4469" w:type="dxa"/>
            <w:shd w:val="clear" w:color="auto" w:fill="auto"/>
          </w:tcPr>
          <w:p w14:paraId="555BE231" w14:textId="77777777" w:rsidR="00290F32" w:rsidRPr="002D2F67" w:rsidRDefault="00290F32" w:rsidP="005611FE">
            <w:pPr>
              <w:ind w:left="207"/>
              <w:rPr>
                <w:rFonts w:ascii="Arial" w:hAnsi="Arial" w:cs="Arial"/>
                <w:b/>
                <w:bCs/>
                <w:color w:val="000000"/>
                <w:sz w:val="18"/>
                <w:szCs w:val="18"/>
              </w:rPr>
            </w:pPr>
          </w:p>
        </w:tc>
        <w:tc>
          <w:tcPr>
            <w:tcW w:w="1381" w:type="dxa"/>
            <w:tcBorders>
              <w:bottom w:val="single" w:sz="4" w:space="0" w:color="auto"/>
            </w:tcBorders>
            <w:shd w:val="clear" w:color="auto" w:fill="auto"/>
          </w:tcPr>
          <w:p w14:paraId="41014545" w14:textId="40A0A0B5" w:rsidR="00290F32" w:rsidRPr="002D2F67" w:rsidRDefault="00290F32" w:rsidP="005611FE">
            <w:pPr>
              <w:ind w:right="-72"/>
              <w:jc w:val="right"/>
              <w:rPr>
                <w:rFonts w:ascii="Arial" w:hAnsi="Arial" w:cs="Arial"/>
                <w:b/>
                <w:bCs/>
                <w:color w:val="000000"/>
                <w:sz w:val="18"/>
                <w:szCs w:val="18"/>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c>
          <w:tcPr>
            <w:tcW w:w="1375" w:type="dxa"/>
            <w:tcBorders>
              <w:bottom w:val="single" w:sz="4" w:space="0" w:color="auto"/>
            </w:tcBorders>
            <w:shd w:val="clear" w:color="auto" w:fill="auto"/>
          </w:tcPr>
          <w:p w14:paraId="68CB4F3E" w14:textId="1D663808" w:rsidR="00290F32" w:rsidRPr="002D2F67" w:rsidRDefault="00290F32" w:rsidP="005611FE">
            <w:pPr>
              <w:pStyle w:val="Heading3"/>
              <w:ind w:right="-72"/>
              <w:rPr>
                <w:rFonts w:ascii="Arial" w:hAnsi="Arial" w:cs="Arial"/>
                <w:color w:val="000000"/>
                <w:sz w:val="18"/>
                <w:szCs w:val="18"/>
              </w:rPr>
            </w:pPr>
            <w:r w:rsidRPr="002D2F67">
              <w:rPr>
                <w:rFonts w:ascii="Arial" w:hAnsi="Arial" w:cs="Arial"/>
                <w:color w:val="000000"/>
                <w:sz w:val="18"/>
                <w:szCs w:val="18"/>
              </w:rPr>
              <w:t>Baht’</w:t>
            </w:r>
            <w:r w:rsidR="00CD5714" w:rsidRPr="00CD5714">
              <w:rPr>
                <w:rFonts w:ascii="Arial" w:hAnsi="Arial" w:cs="Arial"/>
                <w:color w:val="000000"/>
                <w:sz w:val="18"/>
                <w:szCs w:val="18"/>
                <w:lang w:val="en-GB"/>
              </w:rPr>
              <w:t>000</w:t>
            </w:r>
          </w:p>
        </w:tc>
        <w:tc>
          <w:tcPr>
            <w:tcW w:w="1548" w:type="dxa"/>
            <w:tcBorders>
              <w:bottom w:val="single" w:sz="4" w:space="0" w:color="auto"/>
            </w:tcBorders>
            <w:shd w:val="clear" w:color="auto" w:fill="auto"/>
          </w:tcPr>
          <w:p w14:paraId="5AABDBEF" w14:textId="7E64F527" w:rsidR="00290F32" w:rsidRPr="002D2F67" w:rsidRDefault="00290F32" w:rsidP="005611FE">
            <w:pPr>
              <w:pStyle w:val="Heading3"/>
              <w:ind w:right="-72"/>
              <w:rPr>
                <w:rFonts w:ascii="Arial" w:hAnsi="Arial" w:cs="Arial"/>
                <w:color w:val="000000"/>
                <w:sz w:val="18"/>
                <w:szCs w:val="18"/>
              </w:rPr>
            </w:pPr>
            <w:r w:rsidRPr="002D2F67">
              <w:rPr>
                <w:rFonts w:ascii="Arial" w:hAnsi="Arial" w:cs="Arial"/>
                <w:color w:val="000000"/>
                <w:sz w:val="18"/>
                <w:szCs w:val="18"/>
              </w:rPr>
              <w:t>Baht’</w:t>
            </w:r>
            <w:r w:rsidR="00CD5714" w:rsidRPr="00CD5714">
              <w:rPr>
                <w:rFonts w:ascii="Arial" w:hAnsi="Arial" w:cs="Arial"/>
                <w:color w:val="000000"/>
                <w:sz w:val="18"/>
                <w:szCs w:val="18"/>
                <w:lang w:val="en-GB"/>
              </w:rPr>
              <w:t>000</w:t>
            </w:r>
          </w:p>
        </w:tc>
        <w:tc>
          <w:tcPr>
            <w:tcW w:w="1958" w:type="dxa"/>
            <w:tcBorders>
              <w:bottom w:val="single" w:sz="4" w:space="0" w:color="auto"/>
            </w:tcBorders>
            <w:shd w:val="clear" w:color="auto" w:fill="auto"/>
          </w:tcPr>
          <w:p w14:paraId="0E213492" w14:textId="354266D2" w:rsidR="00290F32" w:rsidRPr="002D2F67" w:rsidRDefault="00290F32" w:rsidP="005611FE">
            <w:pPr>
              <w:ind w:right="-72"/>
              <w:jc w:val="right"/>
              <w:rPr>
                <w:rFonts w:ascii="Arial" w:hAnsi="Arial" w:cs="Arial"/>
                <w:b/>
                <w:bCs/>
                <w:color w:val="000000"/>
                <w:sz w:val="18"/>
                <w:szCs w:val="18"/>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c>
          <w:tcPr>
            <w:tcW w:w="1800" w:type="dxa"/>
            <w:tcBorders>
              <w:bottom w:val="single" w:sz="4" w:space="0" w:color="auto"/>
            </w:tcBorders>
            <w:shd w:val="clear" w:color="auto" w:fill="auto"/>
          </w:tcPr>
          <w:p w14:paraId="2AEA893A" w14:textId="12EE5F16" w:rsidR="00290F32" w:rsidRPr="002D2F67" w:rsidRDefault="00290F32" w:rsidP="005611FE">
            <w:pPr>
              <w:ind w:right="-72"/>
              <w:jc w:val="right"/>
              <w:rPr>
                <w:rFonts w:ascii="Arial" w:hAnsi="Arial" w:cs="Arial"/>
                <w:b/>
                <w:bCs/>
                <w:color w:val="000000"/>
                <w:sz w:val="18"/>
                <w:szCs w:val="18"/>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c>
          <w:tcPr>
            <w:tcW w:w="1555" w:type="dxa"/>
            <w:tcBorders>
              <w:bottom w:val="single" w:sz="4" w:space="0" w:color="auto"/>
            </w:tcBorders>
            <w:shd w:val="clear" w:color="auto" w:fill="auto"/>
          </w:tcPr>
          <w:p w14:paraId="029F34CA" w14:textId="08DD9A7F" w:rsidR="00290F32" w:rsidRPr="002D2F67" w:rsidRDefault="00290F32" w:rsidP="005611FE">
            <w:pPr>
              <w:ind w:right="-72"/>
              <w:jc w:val="right"/>
              <w:rPr>
                <w:rFonts w:ascii="Arial" w:hAnsi="Arial" w:cs="Arial"/>
                <w:b/>
                <w:bCs/>
                <w:color w:val="000000"/>
                <w:sz w:val="18"/>
                <w:szCs w:val="18"/>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c>
          <w:tcPr>
            <w:tcW w:w="1583" w:type="dxa"/>
            <w:tcBorders>
              <w:bottom w:val="single" w:sz="4" w:space="0" w:color="auto"/>
            </w:tcBorders>
            <w:shd w:val="clear" w:color="auto" w:fill="auto"/>
          </w:tcPr>
          <w:p w14:paraId="30B8DE22" w14:textId="43324115" w:rsidR="00290F32" w:rsidRPr="002D2F67" w:rsidRDefault="00290F32" w:rsidP="005611FE">
            <w:pPr>
              <w:ind w:right="-72"/>
              <w:jc w:val="right"/>
              <w:rPr>
                <w:rFonts w:ascii="Arial" w:hAnsi="Arial" w:cs="Arial"/>
                <w:b/>
                <w:bCs/>
                <w:color w:val="000000"/>
                <w:sz w:val="18"/>
                <w:szCs w:val="18"/>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r>
      <w:tr w:rsidR="005611FE" w:rsidRPr="002D2F67" w14:paraId="49154EA6" w14:textId="77777777" w:rsidTr="00AA6C41">
        <w:trPr>
          <w:trHeight w:val="83"/>
        </w:trPr>
        <w:tc>
          <w:tcPr>
            <w:tcW w:w="4469" w:type="dxa"/>
            <w:shd w:val="clear" w:color="auto" w:fill="auto"/>
            <w:vAlign w:val="bottom"/>
          </w:tcPr>
          <w:p w14:paraId="06C84DBF" w14:textId="77777777" w:rsidR="001977E4" w:rsidRPr="002D2F67" w:rsidRDefault="001977E4" w:rsidP="005611FE">
            <w:pPr>
              <w:ind w:left="207"/>
              <w:rPr>
                <w:rFonts w:ascii="Arial" w:hAnsi="Arial" w:cs="Arial"/>
                <w:b/>
                <w:bCs/>
                <w:color w:val="000000"/>
                <w:spacing w:val="-2"/>
                <w:sz w:val="18"/>
                <w:szCs w:val="18"/>
              </w:rPr>
            </w:pPr>
          </w:p>
          <w:p w14:paraId="4038B0CA" w14:textId="7CBBC2D0" w:rsidR="00731893" w:rsidRPr="002D2F67" w:rsidRDefault="00731893" w:rsidP="005611FE">
            <w:pPr>
              <w:ind w:left="207"/>
              <w:rPr>
                <w:rFonts w:ascii="Arial" w:hAnsi="Arial" w:cs="Arial"/>
                <w:color w:val="000000"/>
                <w:spacing w:val="-2"/>
                <w:sz w:val="18"/>
                <w:szCs w:val="18"/>
              </w:rPr>
            </w:pPr>
            <w:r w:rsidRPr="002D2F67">
              <w:rPr>
                <w:rFonts w:ascii="Arial" w:hAnsi="Arial" w:cs="Arial"/>
                <w:b/>
                <w:bCs/>
                <w:color w:val="000000"/>
                <w:spacing w:val="-2"/>
                <w:sz w:val="18"/>
                <w:szCs w:val="18"/>
              </w:rPr>
              <w:t xml:space="preserve">For the year ended </w:t>
            </w:r>
            <w:r w:rsidR="00CD5714" w:rsidRPr="00CD5714">
              <w:rPr>
                <w:rFonts w:ascii="Arial" w:hAnsi="Arial" w:cs="Arial"/>
                <w:b/>
                <w:bCs/>
                <w:color w:val="000000"/>
                <w:spacing w:val="-2"/>
                <w:sz w:val="18"/>
                <w:szCs w:val="18"/>
                <w:lang w:val="en-GB"/>
              </w:rPr>
              <w:t>31</w:t>
            </w:r>
            <w:r w:rsidRPr="002D2F67">
              <w:rPr>
                <w:rFonts w:ascii="Arial" w:hAnsi="Arial" w:cs="Arial"/>
                <w:b/>
                <w:bCs/>
                <w:color w:val="000000"/>
                <w:spacing w:val="-2"/>
                <w:sz w:val="18"/>
                <w:szCs w:val="18"/>
              </w:rPr>
              <w:t xml:space="preserve"> December </w:t>
            </w:r>
            <w:r w:rsidR="00CD5714" w:rsidRPr="00CD5714">
              <w:rPr>
                <w:rFonts w:ascii="Arial" w:hAnsi="Arial" w:cs="Arial"/>
                <w:b/>
                <w:bCs/>
                <w:color w:val="000000"/>
                <w:spacing w:val="-2"/>
                <w:sz w:val="18"/>
                <w:szCs w:val="18"/>
                <w:lang w:val="en-GB"/>
              </w:rPr>
              <w:t>2024</w:t>
            </w:r>
          </w:p>
        </w:tc>
        <w:tc>
          <w:tcPr>
            <w:tcW w:w="1381" w:type="dxa"/>
            <w:shd w:val="clear" w:color="auto" w:fill="auto"/>
            <w:vAlign w:val="bottom"/>
          </w:tcPr>
          <w:p w14:paraId="59E30841" w14:textId="77777777" w:rsidR="00731893" w:rsidRPr="002D2F67" w:rsidRDefault="00731893" w:rsidP="005611FE">
            <w:pPr>
              <w:ind w:right="-72"/>
              <w:jc w:val="right"/>
              <w:rPr>
                <w:rFonts w:ascii="Arial" w:hAnsi="Arial" w:cs="Arial"/>
                <w:color w:val="000000"/>
                <w:sz w:val="18"/>
                <w:szCs w:val="18"/>
              </w:rPr>
            </w:pPr>
          </w:p>
        </w:tc>
        <w:tc>
          <w:tcPr>
            <w:tcW w:w="1375" w:type="dxa"/>
            <w:shd w:val="clear" w:color="auto" w:fill="auto"/>
          </w:tcPr>
          <w:p w14:paraId="75C07B67" w14:textId="77777777" w:rsidR="00731893" w:rsidRPr="002D2F67" w:rsidRDefault="00731893" w:rsidP="005611FE">
            <w:pPr>
              <w:ind w:right="-72"/>
              <w:jc w:val="right"/>
              <w:rPr>
                <w:rFonts w:ascii="Arial" w:hAnsi="Arial" w:cs="Arial"/>
                <w:color w:val="000000"/>
                <w:sz w:val="18"/>
                <w:szCs w:val="18"/>
              </w:rPr>
            </w:pPr>
          </w:p>
        </w:tc>
        <w:tc>
          <w:tcPr>
            <w:tcW w:w="1548" w:type="dxa"/>
            <w:shd w:val="clear" w:color="auto" w:fill="auto"/>
          </w:tcPr>
          <w:p w14:paraId="744B1DCB" w14:textId="77777777" w:rsidR="00731893" w:rsidRPr="002D2F67" w:rsidRDefault="00731893" w:rsidP="005611FE">
            <w:pPr>
              <w:ind w:right="-72"/>
              <w:jc w:val="right"/>
              <w:rPr>
                <w:rFonts w:ascii="Arial" w:hAnsi="Arial" w:cs="Arial"/>
                <w:color w:val="000000"/>
                <w:sz w:val="18"/>
                <w:szCs w:val="18"/>
              </w:rPr>
            </w:pPr>
          </w:p>
        </w:tc>
        <w:tc>
          <w:tcPr>
            <w:tcW w:w="1958" w:type="dxa"/>
            <w:shd w:val="clear" w:color="auto" w:fill="auto"/>
          </w:tcPr>
          <w:p w14:paraId="00C2ECDC" w14:textId="77777777" w:rsidR="00731893" w:rsidRPr="002D2F67" w:rsidRDefault="00731893" w:rsidP="005611FE">
            <w:pPr>
              <w:ind w:right="-72"/>
              <w:jc w:val="right"/>
              <w:rPr>
                <w:rFonts w:ascii="Arial" w:hAnsi="Arial" w:cs="Arial"/>
                <w:color w:val="000000"/>
                <w:sz w:val="18"/>
                <w:szCs w:val="18"/>
              </w:rPr>
            </w:pPr>
          </w:p>
        </w:tc>
        <w:tc>
          <w:tcPr>
            <w:tcW w:w="1800" w:type="dxa"/>
            <w:shd w:val="clear" w:color="auto" w:fill="auto"/>
          </w:tcPr>
          <w:p w14:paraId="51056DFE" w14:textId="77777777" w:rsidR="00731893" w:rsidRPr="002D2F67" w:rsidRDefault="00731893" w:rsidP="005611FE">
            <w:pPr>
              <w:ind w:right="-72"/>
              <w:jc w:val="right"/>
              <w:rPr>
                <w:rFonts w:ascii="Arial" w:hAnsi="Arial" w:cs="Arial"/>
                <w:color w:val="000000"/>
                <w:sz w:val="18"/>
                <w:szCs w:val="18"/>
              </w:rPr>
            </w:pPr>
          </w:p>
        </w:tc>
        <w:tc>
          <w:tcPr>
            <w:tcW w:w="1555" w:type="dxa"/>
            <w:shd w:val="clear" w:color="auto" w:fill="auto"/>
          </w:tcPr>
          <w:p w14:paraId="58597A59" w14:textId="77777777" w:rsidR="00731893" w:rsidRPr="002D2F67" w:rsidRDefault="00731893" w:rsidP="005611FE">
            <w:pPr>
              <w:ind w:right="-72"/>
              <w:jc w:val="right"/>
              <w:rPr>
                <w:rFonts w:ascii="Arial" w:hAnsi="Arial" w:cs="Arial"/>
                <w:color w:val="000000"/>
                <w:sz w:val="18"/>
                <w:szCs w:val="18"/>
              </w:rPr>
            </w:pPr>
          </w:p>
        </w:tc>
        <w:tc>
          <w:tcPr>
            <w:tcW w:w="1583" w:type="dxa"/>
            <w:shd w:val="clear" w:color="auto" w:fill="auto"/>
          </w:tcPr>
          <w:p w14:paraId="7BB77BCD" w14:textId="77777777" w:rsidR="00731893" w:rsidRPr="002D2F67" w:rsidRDefault="00731893" w:rsidP="005611FE">
            <w:pPr>
              <w:ind w:right="-72"/>
              <w:jc w:val="right"/>
              <w:rPr>
                <w:rFonts w:ascii="Arial" w:hAnsi="Arial" w:cs="Arial"/>
                <w:color w:val="000000"/>
                <w:sz w:val="18"/>
                <w:szCs w:val="18"/>
              </w:rPr>
            </w:pPr>
          </w:p>
        </w:tc>
      </w:tr>
      <w:tr w:rsidR="005611FE" w:rsidRPr="002D2F67" w14:paraId="1DE7CB29" w14:textId="77777777" w:rsidTr="005611FE">
        <w:tc>
          <w:tcPr>
            <w:tcW w:w="4469" w:type="dxa"/>
            <w:shd w:val="clear" w:color="auto" w:fill="auto"/>
            <w:vAlign w:val="bottom"/>
          </w:tcPr>
          <w:p w14:paraId="517714CA" w14:textId="77777777" w:rsidR="00AE4BD1" w:rsidRPr="002D2F67" w:rsidRDefault="00AE4BD1" w:rsidP="005611FE">
            <w:pPr>
              <w:ind w:left="207" w:right="-109"/>
              <w:rPr>
                <w:rFonts w:ascii="Arial" w:hAnsi="Arial" w:cs="Arial"/>
                <w:color w:val="000000"/>
                <w:sz w:val="18"/>
                <w:szCs w:val="18"/>
              </w:rPr>
            </w:pPr>
            <w:r w:rsidRPr="002D2F67">
              <w:rPr>
                <w:rFonts w:ascii="Arial" w:hAnsi="Arial" w:cs="Arial"/>
                <w:color w:val="000000"/>
                <w:sz w:val="18"/>
                <w:szCs w:val="18"/>
              </w:rPr>
              <w:t>Opening net book value</w:t>
            </w:r>
          </w:p>
        </w:tc>
        <w:tc>
          <w:tcPr>
            <w:tcW w:w="1381" w:type="dxa"/>
            <w:shd w:val="clear" w:color="auto" w:fill="auto"/>
            <w:vAlign w:val="bottom"/>
          </w:tcPr>
          <w:p w14:paraId="60656518" w14:textId="53E405E2"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2</w:t>
            </w:r>
            <w:r w:rsidR="00AE4BD1" w:rsidRPr="002D2F67">
              <w:rPr>
                <w:rFonts w:ascii="Arial" w:hAnsi="Arial" w:cs="Arial"/>
                <w:color w:val="000000"/>
                <w:sz w:val="18"/>
                <w:szCs w:val="18"/>
              </w:rPr>
              <w:t>,</w:t>
            </w:r>
            <w:r w:rsidRPr="00CD5714">
              <w:rPr>
                <w:rFonts w:ascii="Arial" w:hAnsi="Arial" w:cs="Arial"/>
                <w:color w:val="000000"/>
                <w:sz w:val="18"/>
                <w:szCs w:val="18"/>
                <w:lang w:val="en-GB"/>
              </w:rPr>
              <w:t>131</w:t>
            </w:r>
            <w:r w:rsidR="00AE4BD1" w:rsidRPr="002D2F67">
              <w:rPr>
                <w:rFonts w:ascii="Arial" w:hAnsi="Arial" w:cs="Arial"/>
                <w:color w:val="000000"/>
                <w:sz w:val="18"/>
                <w:szCs w:val="18"/>
              </w:rPr>
              <w:t>,</w:t>
            </w:r>
            <w:r w:rsidRPr="00CD5714">
              <w:rPr>
                <w:rFonts w:ascii="Arial" w:hAnsi="Arial" w:cs="Arial"/>
                <w:color w:val="000000"/>
                <w:sz w:val="18"/>
                <w:szCs w:val="18"/>
                <w:lang w:val="en-GB"/>
              </w:rPr>
              <w:t>400</w:t>
            </w:r>
          </w:p>
        </w:tc>
        <w:tc>
          <w:tcPr>
            <w:tcW w:w="1375" w:type="dxa"/>
            <w:shd w:val="clear" w:color="auto" w:fill="auto"/>
            <w:vAlign w:val="bottom"/>
          </w:tcPr>
          <w:p w14:paraId="2CE43026" w14:textId="366746B5"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5</w:t>
            </w:r>
            <w:r w:rsidR="00AE4BD1" w:rsidRPr="002D2F67">
              <w:rPr>
                <w:rFonts w:ascii="Arial" w:hAnsi="Arial" w:cs="Arial"/>
                <w:color w:val="000000"/>
                <w:sz w:val="18"/>
                <w:szCs w:val="18"/>
              </w:rPr>
              <w:t>,</w:t>
            </w:r>
            <w:r w:rsidRPr="00CD5714">
              <w:rPr>
                <w:rFonts w:ascii="Arial" w:hAnsi="Arial" w:cs="Arial"/>
                <w:color w:val="000000"/>
                <w:sz w:val="18"/>
                <w:szCs w:val="18"/>
                <w:lang w:val="en-GB"/>
              </w:rPr>
              <w:t>694</w:t>
            </w:r>
            <w:r w:rsidR="00AE4BD1" w:rsidRPr="002D2F67">
              <w:rPr>
                <w:rFonts w:ascii="Arial" w:hAnsi="Arial" w:cs="Arial"/>
                <w:color w:val="000000"/>
                <w:sz w:val="18"/>
                <w:szCs w:val="18"/>
              </w:rPr>
              <w:t>,</w:t>
            </w:r>
            <w:r w:rsidRPr="00CD5714">
              <w:rPr>
                <w:rFonts w:ascii="Arial" w:hAnsi="Arial" w:cs="Arial"/>
                <w:color w:val="000000"/>
                <w:sz w:val="18"/>
                <w:szCs w:val="18"/>
                <w:lang w:val="en-GB"/>
              </w:rPr>
              <w:t>635</w:t>
            </w:r>
          </w:p>
        </w:tc>
        <w:tc>
          <w:tcPr>
            <w:tcW w:w="1548" w:type="dxa"/>
            <w:shd w:val="clear" w:color="auto" w:fill="auto"/>
            <w:vAlign w:val="bottom"/>
          </w:tcPr>
          <w:p w14:paraId="4917E0E5" w14:textId="25BAD61C"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6</w:t>
            </w:r>
            <w:r w:rsidR="00AE4BD1" w:rsidRPr="002D2F67">
              <w:rPr>
                <w:rFonts w:ascii="Arial" w:hAnsi="Arial" w:cs="Arial"/>
                <w:color w:val="000000"/>
                <w:sz w:val="18"/>
                <w:szCs w:val="18"/>
              </w:rPr>
              <w:t>,</w:t>
            </w:r>
            <w:r w:rsidRPr="00CD5714">
              <w:rPr>
                <w:rFonts w:ascii="Arial" w:hAnsi="Arial" w:cs="Arial"/>
                <w:color w:val="000000"/>
                <w:sz w:val="18"/>
                <w:szCs w:val="18"/>
                <w:lang w:val="en-GB"/>
              </w:rPr>
              <w:t>023</w:t>
            </w:r>
            <w:r w:rsidR="00AE4BD1" w:rsidRPr="002D2F67">
              <w:rPr>
                <w:rFonts w:ascii="Arial" w:hAnsi="Arial" w:cs="Arial"/>
                <w:color w:val="000000"/>
                <w:sz w:val="18"/>
                <w:szCs w:val="18"/>
              </w:rPr>
              <w:t>,</w:t>
            </w:r>
            <w:r w:rsidRPr="00CD5714">
              <w:rPr>
                <w:rFonts w:ascii="Arial" w:hAnsi="Arial" w:cs="Arial"/>
                <w:color w:val="000000"/>
                <w:sz w:val="18"/>
                <w:szCs w:val="18"/>
                <w:lang w:val="en-GB"/>
              </w:rPr>
              <w:t>423</w:t>
            </w:r>
          </w:p>
        </w:tc>
        <w:tc>
          <w:tcPr>
            <w:tcW w:w="1958" w:type="dxa"/>
            <w:shd w:val="clear" w:color="auto" w:fill="auto"/>
            <w:vAlign w:val="bottom"/>
          </w:tcPr>
          <w:p w14:paraId="341B88C9" w14:textId="13BFADCC"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42</w:t>
            </w:r>
            <w:r w:rsidR="00AE4BD1" w:rsidRPr="002D2F67">
              <w:rPr>
                <w:rFonts w:ascii="Arial" w:hAnsi="Arial" w:cs="Arial"/>
                <w:color w:val="000000"/>
                <w:sz w:val="18"/>
                <w:szCs w:val="18"/>
              </w:rPr>
              <w:t>,</w:t>
            </w:r>
            <w:r w:rsidRPr="00CD5714">
              <w:rPr>
                <w:rFonts w:ascii="Arial" w:hAnsi="Arial" w:cs="Arial"/>
                <w:color w:val="000000"/>
                <w:sz w:val="18"/>
                <w:szCs w:val="18"/>
                <w:lang w:val="en-GB"/>
              </w:rPr>
              <w:t>024</w:t>
            </w:r>
            <w:r w:rsidR="00AE4BD1" w:rsidRPr="002D2F67">
              <w:rPr>
                <w:rFonts w:ascii="Arial" w:hAnsi="Arial" w:cs="Arial"/>
                <w:color w:val="000000"/>
                <w:sz w:val="18"/>
                <w:szCs w:val="18"/>
              </w:rPr>
              <w:t>,</w:t>
            </w:r>
            <w:r w:rsidRPr="00CD5714">
              <w:rPr>
                <w:rFonts w:ascii="Arial" w:hAnsi="Arial" w:cs="Arial"/>
                <w:color w:val="000000"/>
                <w:sz w:val="18"/>
                <w:szCs w:val="18"/>
                <w:lang w:val="en-GB"/>
              </w:rPr>
              <w:t>937</w:t>
            </w:r>
          </w:p>
        </w:tc>
        <w:tc>
          <w:tcPr>
            <w:tcW w:w="1800" w:type="dxa"/>
            <w:shd w:val="clear" w:color="auto" w:fill="auto"/>
            <w:vAlign w:val="bottom"/>
          </w:tcPr>
          <w:p w14:paraId="1F5B4776" w14:textId="0FFD0E93"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165</w:t>
            </w:r>
            <w:r w:rsidR="00AE4BD1" w:rsidRPr="002D2F67">
              <w:rPr>
                <w:rFonts w:ascii="Arial" w:hAnsi="Arial" w:cs="Arial"/>
                <w:color w:val="000000"/>
                <w:sz w:val="18"/>
                <w:szCs w:val="18"/>
              </w:rPr>
              <w:t>,</w:t>
            </w:r>
            <w:r w:rsidRPr="00CD5714">
              <w:rPr>
                <w:rFonts w:ascii="Arial" w:hAnsi="Arial" w:cs="Arial"/>
                <w:color w:val="000000"/>
                <w:sz w:val="18"/>
                <w:szCs w:val="18"/>
                <w:lang w:val="en-GB"/>
              </w:rPr>
              <w:t>737</w:t>
            </w:r>
          </w:p>
        </w:tc>
        <w:tc>
          <w:tcPr>
            <w:tcW w:w="1555" w:type="dxa"/>
            <w:shd w:val="clear" w:color="auto" w:fill="auto"/>
            <w:vAlign w:val="bottom"/>
          </w:tcPr>
          <w:p w14:paraId="0BD13570" w14:textId="64BA0DB1"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2</w:t>
            </w:r>
            <w:r w:rsidR="00AE4BD1" w:rsidRPr="002D2F67">
              <w:rPr>
                <w:rFonts w:ascii="Arial" w:hAnsi="Arial" w:cs="Arial"/>
                <w:color w:val="000000"/>
                <w:sz w:val="18"/>
                <w:szCs w:val="18"/>
              </w:rPr>
              <w:t>,</w:t>
            </w:r>
            <w:r w:rsidRPr="00CD5714">
              <w:rPr>
                <w:rFonts w:ascii="Arial" w:hAnsi="Arial" w:cs="Arial"/>
                <w:color w:val="000000"/>
                <w:sz w:val="18"/>
                <w:szCs w:val="18"/>
                <w:lang w:val="en-GB"/>
              </w:rPr>
              <w:t>635</w:t>
            </w:r>
            <w:r w:rsidR="00AE4BD1" w:rsidRPr="002D2F67">
              <w:rPr>
                <w:rFonts w:ascii="Arial" w:hAnsi="Arial" w:cs="Arial"/>
                <w:color w:val="000000"/>
                <w:sz w:val="18"/>
                <w:szCs w:val="18"/>
              </w:rPr>
              <w:t>,</w:t>
            </w:r>
            <w:r w:rsidRPr="00CD5714">
              <w:rPr>
                <w:rFonts w:ascii="Arial" w:hAnsi="Arial" w:cs="Arial"/>
                <w:color w:val="000000"/>
                <w:sz w:val="18"/>
                <w:szCs w:val="18"/>
                <w:lang w:val="en-GB"/>
              </w:rPr>
              <w:t>001</w:t>
            </w:r>
          </w:p>
        </w:tc>
        <w:tc>
          <w:tcPr>
            <w:tcW w:w="1583" w:type="dxa"/>
            <w:shd w:val="clear" w:color="auto" w:fill="auto"/>
            <w:vAlign w:val="bottom"/>
          </w:tcPr>
          <w:p w14:paraId="73FBCCAC" w14:textId="4C6CF4E8"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58</w:t>
            </w:r>
            <w:r w:rsidR="00AE4BD1" w:rsidRPr="002D2F67">
              <w:rPr>
                <w:rFonts w:ascii="Arial" w:hAnsi="Arial" w:cs="Arial"/>
                <w:color w:val="000000"/>
                <w:sz w:val="18"/>
                <w:szCs w:val="18"/>
              </w:rPr>
              <w:t>,</w:t>
            </w:r>
            <w:r w:rsidRPr="00CD5714">
              <w:rPr>
                <w:rFonts w:ascii="Arial" w:hAnsi="Arial" w:cs="Arial"/>
                <w:color w:val="000000"/>
                <w:sz w:val="18"/>
                <w:szCs w:val="18"/>
                <w:lang w:val="en-GB"/>
              </w:rPr>
              <w:t>675</w:t>
            </w:r>
            <w:r w:rsidR="00AE4BD1" w:rsidRPr="002D2F67">
              <w:rPr>
                <w:rFonts w:ascii="Arial" w:hAnsi="Arial" w:cs="Arial"/>
                <w:color w:val="000000"/>
                <w:sz w:val="18"/>
                <w:szCs w:val="18"/>
              </w:rPr>
              <w:t>,</w:t>
            </w:r>
            <w:r w:rsidRPr="00CD5714">
              <w:rPr>
                <w:rFonts w:ascii="Arial" w:hAnsi="Arial" w:cs="Arial"/>
                <w:color w:val="000000"/>
                <w:sz w:val="18"/>
                <w:szCs w:val="18"/>
                <w:lang w:val="en-GB"/>
              </w:rPr>
              <w:t>133</w:t>
            </w:r>
          </w:p>
        </w:tc>
      </w:tr>
      <w:tr w:rsidR="005611FE" w:rsidRPr="002D2F67" w14:paraId="05449D23" w14:textId="77777777" w:rsidTr="005611FE">
        <w:tc>
          <w:tcPr>
            <w:tcW w:w="4469" w:type="dxa"/>
            <w:shd w:val="clear" w:color="auto" w:fill="auto"/>
            <w:vAlign w:val="bottom"/>
          </w:tcPr>
          <w:p w14:paraId="6069B44A" w14:textId="77777777" w:rsidR="00AE4BD1" w:rsidRPr="002D2F67" w:rsidRDefault="00AE4BD1" w:rsidP="005611FE">
            <w:pPr>
              <w:ind w:left="207"/>
              <w:rPr>
                <w:rFonts w:ascii="Arial" w:hAnsi="Arial" w:cs="Arial"/>
                <w:color w:val="000000"/>
                <w:sz w:val="18"/>
                <w:szCs w:val="18"/>
              </w:rPr>
            </w:pPr>
            <w:r w:rsidRPr="002D2F67">
              <w:rPr>
                <w:rFonts w:ascii="Arial" w:hAnsi="Arial" w:cs="Arial"/>
                <w:color w:val="000000"/>
                <w:sz w:val="18"/>
                <w:szCs w:val="18"/>
              </w:rPr>
              <w:t>Additions</w:t>
            </w:r>
          </w:p>
        </w:tc>
        <w:tc>
          <w:tcPr>
            <w:tcW w:w="1381" w:type="dxa"/>
            <w:shd w:val="clear" w:color="auto" w:fill="auto"/>
            <w:vAlign w:val="bottom"/>
          </w:tcPr>
          <w:p w14:paraId="52367743" w14:textId="17D0AA1F" w:rsidR="00AE4BD1" w:rsidRPr="002D2F67" w:rsidRDefault="005A5A1D" w:rsidP="005611FE">
            <w:pPr>
              <w:ind w:right="-72"/>
              <w:jc w:val="right"/>
              <w:rPr>
                <w:rFonts w:ascii="Arial" w:hAnsi="Arial" w:cs="Arial"/>
                <w:color w:val="000000"/>
                <w:sz w:val="18"/>
                <w:szCs w:val="18"/>
              </w:rPr>
            </w:pPr>
            <w:r w:rsidRPr="002D2F67">
              <w:rPr>
                <w:rFonts w:ascii="Arial" w:hAnsi="Arial" w:cs="Arial"/>
                <w:color w:val="000000"/>
                <w:sz w:val="18"/>
                <w:szCs w:val="18"/>
              </w:rPr>
              <w:t>-</w:t>
            </w:r>
          </w:p>
        </w:tc>
        <w:tc>
          <w:tcPr>
            <w:tcW w:w="1375" w:type="dxa"/>
            <w:shd w:val="clear" w:color="auto" w:fill="auto"/>
            <w:vAlign w:val="bottom"/>
          </w:tcPr>
          <w:p w14:paraId="0E8A3343" w14:textId="5B52AB38" w:rsidR="00AE4BD1" w:rsidRPr="002D2F67" w:rsidRDefault="00CD5714" w:rsidP="00137D9B">
            <w:pPr>
              <w:ind w:right="-72"/>
              <w:jc w:val="right"/>
              <w:rPr>
                <w:rFonts w:ascii="Arial" w:hAnsi="Arial" w:cs="Arial"/>
                <w:color w:val="000000"/>
                <w:sz w:val="18"/>
                <w:szCs w:val="22"/>
                <w:cs/>
              </w:rPr>
            </w:pPr>
            <w:r w:rsidRPr="00CD5714">
              <w:rPr>
                <w:rFonts w:ascii="Arial" w:hAnsi="Arial" w:cs="Arial"/>
                <w:color w:val="000000"/>
                <w:sz w:val="18"/>
                <w:szCs w:val="22"/>
                <w:lang w:val="en-GB"/>
              </w:rPr>
              <w:t>10</w:t>
            </w:r>
            <w:r w:rsidR="008F52C2" w:rsidRPr="002D2F67">
              <w:rPr>
                <w:rFonts w:ascii="Arial" w:hAnsi="Arial" w:cs="Arial"/>
                <w:color w:val="000000"/>
                <w:sz w:val="18"/>
                <w:szCs w:val="22"/>
              </w:rPr>
              <w:t>,</w:t>
            </w:r>
            <w:r w:rsidRPr="00CD5714">
              <w:rPr>
                <w:rFonts w:ascii="Arial" w:hAnsi="Arial" w:cs="Arial"/>
                <w:color w:val="000000"/>
                <w:sz w:val="18"/>
                <w:szCs w:val="22"/>
                <w:lang w:val="en-GB"/>
              </w:rPr>
              <w:t>320</w:t>
            </w:r>
          </w:p>
        </w:tc>
        <w:tc>
          <w:tcPr>
            <w:tcW w:w="1548" w:type="dxa"/>
            <w:shd w:val="clear" w:color="auto" w:fill="auto"/>
            <w:vAlign w:val="bottom"/>
          </w:tcPr>
          <w:p w14:paraId="66DD56B9" w14:textId="7C207FDF"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96</w:t>
            </w:r>
            <w:r w:rsidR="00D267C9" w:rsidRPr="002D2F67">
              <w:rPr>
                <w:rFonts w:ascii="Arial" w:hAnsi="Arial" w:cs="Arial"/>
                <w:color w:val="000000"/>
                <w:sz w:val="18"/>
                <w:szCs w:val="18"/>
              </w:rPr>
              <w:t>,</w:t>
            </w:r>
            <w:r w:rsidRPr="00CD5714">
              <w:rPr>
                <w:rFonts w:ascii="Arial" w:hAnsi="Arial" w:cs="Arial"/>
                <w:color w:val="000000"/>
                <w:sz w:val="18"/>
                <w:szCs w:val="18"/>
                <w:lang w:val="en-GB"/>
              </w:rPr>
              <w:t>647</w:t>
            </w:r>
          </w:p>
        </w:tc>
        <w:tc>
          <w:tcPr>
            <w:tcW w:w="1958" w:type="dxa"/>
            <w:shd w:val="clear" w:color="auto" w:fill="auto"/>
            <w:vAlign w:val="bottom"/>
          </w:tcPr>
          <w:p w14:paraId="5454D8B0" w14:textId="0C83F9CA"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57</w:t>
            </w:r>
            <w:r w:rsidR="007A201B" w:rsidRPr="002D2F67">
              <w:rPr>
                <w:rFonts w:ascii="Arial" w:hAnsi="Arial" w:cs="Arial"/>
                <w:color w:val="000000"/>
                <w:sz w:val="18"/>
                <w:szCs w:val="18"/>
              </w:rPr>
              <w:t>,</w:t>
            </w:r>
            <w:r w:rsidRPr="00CD5714">
              <w:rPr>
                <w:rFonts w:ascii="Arial" w:hAnsi="Arial" w:cs="Arial"/>
                <w:color w:val="000000"/>
                <w:sz w:val="18"/>
                <w:szCs w:val="18"/>
                <w:lang w:val="en-GB"/>
              </w:rPr>
              <w:t>278</w:t>
            </w:r>
          </w:p>
        </w:tc>
        <w:tc>
          <w:tcPr>
            <w:tcW w:w="1800" w:type="dxa"/>
            <w:shd w:val="clear" w:color="auto" w:fill="auto"/>
            <w:vAlign w:val="bottom"/>
          </w:tcPr>
          <w:p w14:paraId="5609BDD7" w14:textId="0F82CF1D"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16</w:t>
            </w:r>
            <w:r w:rsidR="001C26F0" w:rsidRPr="002D2F67">
              <w:rPr>
                <w:rFonts w:ascii="Arial" w:hAnsi="Arial" w:cs="Arial"/>
                <w:color w:val="000000"/>
                <w:sz w:val="18"/>
                <w:szCs w:val="18"/>
              </w:rPr>
              <w:t>,</w:t>
            </w:r>
            <w:r w:rsidRPr="00CD5714">
              <w:rPr>
                <w:rFonts w:ascii="Arial" w:hAnsi="Arial" w:cs="Arial"/>
                <w:color w:val="000000"/>
                <w:sz w:val="18"/>
                <w:szCs w:val="18"/>
                <w:lang w:val="en-GB"/>
              </w:rPr>
              <w:t>923</w:t>
            </w:r>
          </w:p>
        </w:tc>
        <w:tc>
          <w:tcPr>
            <w:tcW w:w="1555" w:type="dxa"/>
            <w:shd w:val="clear" w:color="auto" w:fill="auto"/>
            <w:vAlign w:val="bottom"/>
          </w:tcPr>
          <w:p w14:paraId="4EC4BC25" w14:textId="63E04155"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1</w:t>
            </w:r>
            <w:r w:rsidR="001C26F0" w:rsidRPr="002D2F67">
              <w:rPr>
                <w:rFonts w:ascii="Arial" w:hAnsi="Arial" w:cs="Arial"/>
                <w:color w:val="000000"/>
                <w:sz w:val="18"/>
                <w:szCs w:val="18"/>
              </w:rPr>
              <w:t>,</w:t>
            </w:r>
            <w:r w:rsidRPr="00CD5714">
              <w:rPr>
                <w:rFonts w:ascii="Arial" w:hAnsi="Arial" w:cs="Arial"/>
                <w:color w:val="000000"/>
                <w:sz w:val="18"/>
                <w:szCs w:val="18"/>
                <w:lang w:val="en-GB"/>
              </w:rPr>
              <w:t>471</w:t>
            </w:r>
            <w:r w:rsidR="008257AF" w:rsidRPr="002D2F67">
              <w:rPr>
                <w:rFonts w:ascii="Arial" w:hAnsi="Arial" w:cs="Arial"/>
                <w:color w:val="000000"/>
                <w:sz w:val="18"/>
                <w:szCs w:val="18"/>
              </w:rPr>
              <w:t>,</w:t>
            </w:r>
            <w:r w:rsidRPr="00CD5714">
              <w:rPr>
                <w:rFonts w:ascii="Arial" w:hAnsi="Arial" w:cs="Arial"/>
                <w:color w:val="000000"/>
                <w:sz w:val="18"/>
                <w:szCs w:val="18"/>
                <w:lang w:val="en-GB"/>
              </w:rPr>
              <w:t>607</w:t>
            </w:r>
          </w:p>
        </w:tc>
        <w:tc>
          <w:tcPr>
            <w:tcW w:w="1583" w:type="dxa"/>
            <w:shd w:val="clear" w:color="auto" w:fill="auto"/>
            <w:vAlign w:val="bottom"/>
          </w:tcPr>
          <w:p w14:paraId="6C72A584" w14:textId="62ABD280"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1</w:t>
            </w:r>
            <w:r w:rsidR="001C26F0" w:rsidRPr="002D2F67">
              <w:rPr>
                <w:rFonts w:ascii="Arial" w:hAnsi="Arial" w:cs="Arial"/>
                <w:color w:val="000000"/>
                <w:sz w:val="18"/>
                <w:szCs w:val="18"/>
              </w:rPr>
              <w:t>,</w:t>
            </w:r>
            <w:r w:rsidRPr="00CD5714">
              <w:rPr>
                <w:rFonts w:ascii="Arial" w:hAnsi="Arial" w:cs="Arial"/>
                <w:color w:val="000000"/>
                <w:sz w:val="18"/>
                <w:szCs w:val="18"/>
                <w:lang w:val="en-GB"/>
              </w:rPr>
              <w:t>421</w:t>
            </w:r>
            <w:r w:rsidR="001C26F0" w:rsidRPr="002D2F67">
              <w:rPr>
                <w:rFonts w:ascii="Arial" w:hAnsi="Arial" w:cs="Arial"/>
                <w:color w:val="000000"/>
                <w:sz w:val="18"/>
                <w:szCs w:val="18"/>
              </w:rPr>
              <w:t>,</w:t>
            </w:r>
            <w:r w:rsidRPr="00CD5714">
              <w:rPr>
                <w:rFonts w:ascii="Arial" w:hAnsi="Arial" w:cs="Arial"/>
                <w:color w:val="000000"/>
                <w:sz w:val="18"/>
                <w:szCs w:val="18"/>
                <w:lang w:val="en-GB"/>
              </w:rPr>
              <w:t>842</w:t>
            </w:r>
          </w:p>
        </w:tc>
      </w:tr>
      <w:tr w:rsidR="005611FE" w:rsidRPr="002D2F67" w14:paraId="7E94A933" w14:textId="77777777" w:rsidTr="005611FE">
        <w:tc>
          <w:tcPr>
            <w:tcW w:w="4469" w:type="dxa"/>
            <w:shd w:val="clear" w:color="auto" w:fill="auto"/>
            <w:vAlign w:val="bottom"/>
          </w:tcPr>
          <w:p w14:paraId="5D3C9741" w14:textId="7076444C" w:rsidR="00AE4BD1" w:rsidRPr="002D2F67" w:rsidRDefault="00AE4BD1" w:rsidP="005611FE">
            <w:pPr>
              <w:ind w:left="207"/>
              <w:rPr>
                <w:rFonts w:ascii="Arial" w:hAnsi="Arial" w:cs="Arial"/>
                <w:color w:val="000000"/>
                <w:sz w:val="18"/>
                <w:szCs w:val="18"/>
              </w:rPr>
            </w:pPr>
            <w:r w:rsidRPr="002D2F67">
              <w:rPr>
                <w:rFonts w:ascii="Arial" w:hAnsi="Arial" w:cs="Arial"/>
                <w:color w:val="000000"/>
                <w:sz w:val="18"/>
                <w:szCs w:val="18"/>
              </w:rPr>
              <w:t>Revis</w:t>
            </w:r>
            <w:r w:rsidR="00BE3CC1" w:rsidRPr="002D2F67">
              <w:rPr>
                <w:rFonts w:ascii="Arial" w:hAnsi="Arial" w:cs="Arial"/>
                <w:color w:val="000000"/>
                <w:sz w:val="18"/>
                <w:szCs w:val="18"/>
              </w:rPr>
              <w:t>ion of</w:t>
            </w:r>
            <w:r w:rsidRPr="002D2F67">
              <w:rPr>
                <w:rFonts w:ascii="Arial" w:hAnsi="Arial" w:cs="Arial"/>
                <w:color w:val="000000"/>
                <w:sz w:val="18"/>
                <w:szCs w:val="18"/>
              </w:rPr>
              <w:t xml:space="preserve"> provision for decommissioning costs </w:t>
            </w:r>
          </w:p>
          <w:p w14:paraId="344CF5A6" w14:textId="2BE5E60A" w:rsidR="00AE4BD1" w:rsidRPr="002D2F67" w:rsidRDefault="00AE4BD1" w:rsidP="005611FE">
            <w:pPr>
              <w:ind w:left="207"/>
              <w:rPr>
                <w:rFonts w:ascii="Arial" w:hAnsi="Arial" w:cs="Arial"/>
                <w:color w:val="000000"/>
                <w:sz w:val="18"/>
                <w:szCs w:val="18"/>
              </w:rPr>
            </w:pPr>
            <w:r w:rsidRPr="002D2F67">
              <w:rPr>
                <w:rFonts w:ascii="Arial" w:hAnsi="Arial" w:cs="Arial"/>
                <w:color w:val="000000"/>
                <w:sz w:val="18"/>
                <w:szCs w:val="18"/>
              </w:rPr>
              <w:t xml:space="preserve">   (Note </w:t>
            </w:r>
            <w:r w:rsidR="00CD5714" w:rsidRPr="00CD5714">
              <w:rPr>
                <w:rFonts w:ascii="Arial" w:hAnsi="Arial" w:cs="Arial"/>
                <w:color w:val="000000"/>
                <w:sz w:val="18"/>
                <w:szCs w:val="18"/>
                <w:lang w:val="en-GB"/>
              </w:rPr>
              <w:t>31</w:t>
            </w:r>
            <w:r w:rsidRPr="002D2F67">
              <w:rPr>
                <w:rFonts w:ascii="Arial" w:hAnsi="Arial" w:cs="Arial"/>
                <w:color w:val="000000"/>
                <w:sz w:val="18"/>
                <w:szCs w:val="18"/>
              </w:rPr>
              <w:t>)</w:t>
            </w:r>
          </w:p>
        </w:tc>
        <w:tc>
          <w:tcPr>
            <w:tcW w:w="1381" w:type="dxa"/>
            <w:shd w:val="clear" w:color="auto" w:fill="auto"/>
            <w:vAlign w:val="bottom"/>
          </w:tcPr>
          <w:p w14:paraId="0778A20C" w14:textId="1E053569" w:rsidR="00AE4BD1" w:rsidRPr="002D2F67" w:rsidRDefault="003232E8" w:rsidP="005611FE">
            <w:pPr>
              <w:ind w:right="-72"/>
              <w:jc w:val="right"/>
              <w:rPr>
                <w:rFonts w:ascii="Arial" w:hAnsi="Arial" w:cs="Arial"/>
                <w:color w:val="000000"/>
                <w:sz w:val="18"/>
                <w:szCs w:val="18"/>
              </w:rPr>
            </w:pPr>
            <w:r w:rsidRPr="002D2F67">
              <w:rPr>
                <w:rFonts w:ascii="Arial" w:hAnsi="Arial" w:cs="Arial"/>
                <w:color w:val="000000"/>
                <w:sz w:val="18"/>
                <w:szCs w:val="18"/>
              </w:rPr>
              <w:t>-</w:t>
            </w:r>
          </w:p>
        </w:tc>
        <w:tc>
          <w:tcPr>
            <w:tcW w:w="1375" w:type="dxa"/>
            <w:shd w:val="clear" w:color="auto" w:fill="auto"/>
            <w:vAlign w:val="bottom"/>
          </w:tcPr>
          <w:p w14:paraId="39ED5770" w14:textId="0D0645B8" w:rsidR="00AE4BD1" w:rsidRPr="002D2F67" w:rsidRDefault="00137D9B" w:rsidP="005611FE">
            <w:pPr>
              <w:ind w:right="-72"/>
              <w:jc w:val="right"/>
              <w:rPr>
                <w:rFonts w:ascii="Arial" w:hAnsi="Arial" w:cs="Arial"/>
                <w:color w:val="000000"/>
                <w:sz w:val="18"/>
                <w:szCs w:val="18"/>
              </w:rPr>
            </w:pPr>
            <w:r w:rsidRPr="002D2F67">
              <w:rPr>
                <w:rFonts w:ascii="Arial" w:hAnsi="Arial" w:cs="Arial"/>
                <w:color w:val="000000"/>
                <w:sz w:val="18"/>
                <w:szCs w:val="18"/>
              </w:rPr>
              <w:t>-</w:t>
            </w:r>
          </w:p>
        </w:tc>
        <w:tc>
          <w:tcPr>
            <w:tcW w:w="1548" w:type="dxa"/>
            <w:shd w:val="clear" w:color="auto" w:fill="auto"/>
            <w:vAlign w:val="bottom"/>
          </w:tcPr>
          <w:p w14:paraId="61403C8D" w14:textId="3CE00919" w:rsidR="00AE4BD1" w:rsidRPr="002D2F67" w:rsidRDefault="003528D8" w:rsidP="005611FE">
            <w:pPr>
              <w:ind w:right="-72"/>
              <w:jc w:val="right"/>
              <w:rPr>
                <w:rFonts w:ascii="Arial" w:hAnsi="Arial" w:cs="Arial"/>
                <w:color w:val="000000"/>
                <w:sz w:val="18"/>
                <w:szCs w:val="18"/>
              </w:rPr>
            </w:pPr>
            <w:r w:rsidRPr="002D2F67">
              <w:rPr>
                <w:rFonts w:ascii="Arial" w:hAnsi="Arial" w:cs="Arial"/>
                <w:color w:val="000000"/>
                <w:sz w:val="18"/>
                <w:szCs w:val="18"/>
              </w:rPr>
              <w:t>-</w:t>
            </w:r>
          </w:p>
        </w:tc>
        <w:tc>
          <w:tcPr>
            <w:tcW w:w="1958" w:type="dxa"/>
            <w:shd w:val="clear" w:color="auto" w:fill="auto"/>
            <w:vAlign w:val="bottom"/>
          </w:tcPr>
          <w:p w14:paraId="785FD765" w14:textId="3906B7F5"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183</w:t>
            </w:r>
            <w:r w:rsidR="007A201B" w:rsidRPr="002D2F67">
              <w:rPr>
                <w:rFonts w:ascii="Arial" w:hAnsi="Arial" w:cs="Arial"/>
                <w:color w:val="000000"/>
                <w:sz w:val="18"/>
                <w:szCs w:val="18"/>
              </w:rPr>
              <w:t>,</w:t>
            </w:r>
            <w:r w:rsidRPr="00CD5714">
              <w:rPr>
                <w:rFonts w:ascii="Arial" w:hAnsi="Arial" w:cs="Arial"/>
                <w:color w:val="000000"/>
                <w:sz w:val="18"/>
                <w:szCs w:val="18"/>
                <w:lang w:val="en-GB"/>
              </w:rPr>
              <w:t>770</w:t>
            </w:r>
          </w:p>
        </w:tc>
        <w:tc>
          <w:tcPr>
            <w:tcW w:w="1800" w:type="dxa"/>
            <w:shd w:val="clear" w:color="auto" w:fill="auto"/>
            <w:vAlign w:val="bottom"/>
          </w:tcPr>
          <w:p w14:paraId="0FD7264B" w14:textId="7124B0D6" w:rsidR="00AE4BD1" w:rsidRPr="002D2F67" w:rsidRDefault="004D5A08" w:rsidP="005611FE">
            <w:pPr>
              <w:ind w:right="-72"/>
              <w:jc w:val="right"/>
              <w:rPr>
                <w:rFonts w:ascii="Arial" w:hAnsi="Arial" w:cs="Arial"/>
                <w:color w:val="000000"/>
                <w:sz w:val="18"/>
                <w:szCs w:val="18"/>
              </w:rPr>
            </w:pPr>
            <w:r w:rsidRPr="002D2F67">
              <w:rPr>
                <w:rFonts w:ascii="Arial" w:hAnsi="Arial" w:cs="Arial"/>
                <w:color w:val="000000"/>
                <w:sz w:val="18"/>
                <w:szCs w:val="18"/>
              </w:rPr>
              <w:t>-</w:t>
            </w:r>
          </w:p>
        </w:tc>
        <w:tc>
          <w:tcPr>
            <w:tcW w:w="1555" w:type="dxa"/>
            <w:shd w:val="clear" w:color="auto" w:fill="auto"/>
            <w:vAlign w:val="bottom"/>
          </w:tcPr>
          <w:p w14:paraId="4BE4D49A" w14:textId="0A3131B7" w:rsidR="00AE4BD1" w:rsidRPr="002D2F67" w:rsidRDefault="002033E2" w:rsidP="005611FE">
            <w:pPr>
              <w:ind w:right="-72"/>
              <w:jc w:val="right"/>
              <w:rPr>
                <w:rFonts w:ascii="Arial" w:hAnsi="Arial" w:cs="Arial"/>
                <w:color w:val="000000"/>
                <w:sz w:val="18"/>
                <w:szCs w:val="18"/>
                <w:cs/>
              </w:rPr>
            </w:pPr>
            <w:r w:rsidRPr="002D2F67">
              <w:rPr>
                <w:rFonts w:ascii="Arial" w:hAnsi="Arial" w:cs="Arial"/>
                <w:color w:val="000000"/>
                <w:sz w:val="18"/>
                <w:szCs w:val="18"/>
              </w:rPr>
              <w:t>-</w:t>
            </w:r>
          </w:p>
        </w:tc>
        <w:tc>
          <w:tcPr>
            <w:tcW w:w="1583" w:type="dxa"/>
            <w:shd w:val="clear" w:color="auto" w:fill="auto"/>
            <w:vAlign w:val="bottom"/>
          </w:tcPr>
          <w:p w14:paraId="24BCEB1E" w14:textId="1B81F40F"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183</w:t>
            </w:r>
            <w:r w:rsidR="002033E2" w:rsidRPr="002D2F67">
              <w:rPr>
                <w:rFonts w:ascii="Arial" w:hAnsi="Arial" w:cs="Arial"/>
                <w:color w:val="000000"/>
                <w:sz w:val="18"/>
                <w:szCs w:val="18"/>
              </w:rPr>
              <w:t>,</w:t>
            </w:r>
            <w:r w:rsidRPr="00CD5714">
              <w:rPr>
                <w:rFonts w:ascii="Arial" w:hAnsi="Arial" w:cs="Arial"/>
                <w:color w:val="000000"/>
                <w:sz w:val="18"/>
                <w:szCs w:val="18"/>
                <w:lang w:val="en-GB"/>
              </w:rPr>
              <w:t>770</w:t>
            </w:r>
          </w:p>
        </w:tc>
      </w:tr>
      <w:tr w:rsidR="005611FE" w:rsidRPr="002D2F67" w14:paraId="49DB2C9D" w14:textId="77777777" w:rsidTr="005611FE">
        <w:tc>
          <w:tcPr>
            <w:tcW w:w="4469" w:type="dxa"/>
            <w:shd w:val="clear" w:color="auto" w:fill="auto"/>
            <w:vAlign w:val="bottom"/>
          </w:tcPr>
          <w:p w14:paraId="70599B29" w14:textId="4B8B2727" w:rsidR="00AE4BD1" w:rsidRPr="002D2F67" w:rsidRDefault="00AE4BD1" w:rsidP="005611FE">
            <w:pPr>
              <w:ind w:left="207"/>
              <w:rPr>
                <w:rFonts w:ascii="Arial" w:hAnsi="Arial" w:cs="Arial"/>
                <w:color w:val="000000"/>
                <w:sz w:val="18"/>
                <w:szCs w:val="18"/>
              </w:rPr>
            </w:pPr>
            <w:r w:rsidRPr="002D2F67">
              <w:rPr>
                <w:rFonts w:ascii="Arial" w:hAnsi="Arial" w:cs="Arial"/>
                <w:color w:val="000000"/>
                <w:sz w:val="18"/>
                <w:szCs w:val="18"/>
              </w:rPr>
              <w:t>Write-off, net</w:t>
            </w:r>
          </w:p>
        </w:tc>
        <w:tc>
          <w:tcPr>
            <w:tcW w:w="1381" w:type="dxa"/>
            <w:shd w:val="clear" w:color="auto" w:fill="auto"/>
            <w:vAlign w:val="bottom"/>
          </w:tcPr>
          <w:p w14:paraId="38A2791E" w14:textId="1CA67643" w:rsidR="00AE4BD1" w:rsidRPr="002D2F67" w:rsidRDefault="005A5A1D" w:rsidP="005611FE">
            <w:pPr>
              <w:ind w:right="-72"/>
              <w:jc w:val="right"/>
              <w:rPr>
                <w:rFonts w:ascii="Arial" w:hAnsi="Arial" w:cs="Arial"/>
                <w:color w:val="000000"/>
                <w:sz w:val="18"/>
                <w:szCs w:val="18"/>
              </w:rPr>
            </w:pPr>
            <w:r w:rsidRPr="002D2F67">
              <w:rPr>
                <w:rFonts w:ascii="Arial" w:hAnsi="Arial" w:cs="Arial"/>
                <w:color w:val="000000"/>
                <w:sz w:val="18"/>
                <w:szCs w:val="18"/>
              </w:rPr>
              <w:t>-</w:t>
            </w:r>
          </w:p>
        </w:tc>
        <w:tc>
          <w:tcPr>
            <w:tcW w:w="1375" w:type="dxa"/>
            <w:shd w:val="clear" w:color="auto" w:fill="auto"/>
            <w:vAlign w:val="bottom"/>
          </w:tcPr>
          <w:p w14:paraId="4C0D4C3D" w14:textId="05573497" w:rsidR="00AE4BD1" w:rsidRPr="002D2F67" w:rsidRDefault="00137D9B"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126</w:t>
            </w:r>
            <w:r w:rsidRPr="002D2F67">
              <w:rPr>
                <w:rFonts w:ascii="Arial" w:hAnsi="Arial" w:cs="Arial"/>
                <w:color w:val="000000"/>
                <w:sz w:val="18"/>
                <w:szCs w:val="18"/>
              </w:rPr>
              <w:t>)</w:t>
            </w:r>
          </w:p>
        </w:tc>
        <w:tc>
          <w:tcPr>
            <w:tcW w:w="1548" w:type="dxa"/>
            <w:shd w:val="clear" w:color="auto" w:fill="auto"/>
            <w:vAlign w:val="bottom"/>
          </w:tcPr>
          <w:p w14:paraId="35329FEB" w14:textId="6614EFB4" w:rsidR="00AE4BD1" w:rsidRPr="002D2F67" w:rsidRDefault="003528D8"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100</w:t>
            </w:r>
            <w:r w:rsidR="00112414" w:rsidRPr="002D2F67">
              <w:rPr>
                <w:rFonts w:ascii="Arial" w:hAnsi="Arial" w:cs="Arial"/>
                <w:color w:val="000000"/>
                <w:sz w:val="18"/>
                <w:szCs w:val="18"/>
              </w:rPr>
              <w:t>,</w:t>
            </w:r>
            <w:r w:rsidR="00CD5714" w:rsidRPr="00CD5714">
              <w:rPr>
                <w:rFonts w:ascii="Arial" w:hAnsi="Arial" w:cs="Arial"/>
                <w:color w:val="000000"/>
                <w:sz w:val="18"/>
                <w:szCs w:val="18"/>
                <w:lang w:val="en-GB"/>
              </w:rPr>
              <w:t>027</w:t>
            </w:r>
            <w:r w:rsidR="00112414" w:rsidRPr="002D2F67">
              <w:rPr>
                <w:rFonts w:ascii="Arial" w:hAnsi="Arial" w:cs="Arial"/>
                <w:color w:val="000000"/>
                <w:sz w:val="18"/>
                <w:szCs w:val="18"/>
              </w:rPr>
              <w:t>)</w:t>
            </w:r>
          </w:p>
        </w:tc>
        <w:tc>
          <w:tcPr>
            <w:tcW w:w="1958" w:type="dxa"/>
            <w:shd w:val="clear" w:color="auto" w:fill="auto"/>
            <w:vAlign w:val="bottom"/>
          </w:tcPr>
          <w:p w14:paraId="722DD974" w14:textId="50A795BD" w:rsidR="00AE4BD1" w:rsidRPr="002D2F67" w:rsidRDefault="002770A2"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7</w:t>
            </w:r>
            <w:r w:rsidRPr="002D2F67">
              <w:rPr>
                <w:rFonts w:ascii="Arial" w:hAnsi="Arial" w:cs="Arial"/>
                <w:color w:val="000000"/>
                <w:sz w:val="18"/>
                <w:szCs w:val="18"/>
              </w:rPr>
              <w:t>,</w:t>
            </w:r>
            <w:r w:rsidR="00CD5714" w:rsidRPr="00CD5714">
              <w:rPr>
                <w:rFonts w:ascii="Arial" w:hAnsi="Arial" w:cs="Arial"/>
                <w:color w:val="000000"/>
                <w:sz w:val="18"/>
                <w:szCs w:val="18"/>
                <w:lang w:val="en-GB"/>
              </w:rPr>
              <w:t>224</w:t>
            </w:r>
            <w:r w:rsidRPr="002D2F67">
              <w:rPr>
                <w:rFonts w:ascii="Arial" w:hAnsi="Arial" w:cs="Arial"/>
                <w:color w:val="000000"/>
                <w:sz w:val="18"/>
                <w:szCs w:val="18"/>
              </w:rPr>
              <w:t>)</w:t>
            </w:r>
          </w:p>
        </w:tc>
        <w:tc>
          <w:tcPr>
            <w:tcW w:w="1800" w:type="dxa"/>
            <w:shd w:val="clear" w:color="auto" w:fill="auto"/>
            <w:vAlign w:val="bottom"/>
          </w:tcPr>
          <w:p w14:paraId="63FC243C" w14:textId="16708D77" w:rsidR="00AE4BD1" w:rsidRPr="002D2F67" w:rsidRDefault="001C26F0"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326</w:t>
            </w:r>
            <w:r w:rsidRPr="002D2F67">
              <w:rPr>
                <w:rFonts w:ascii="Arial" w:hAnsi="Arial" w:cs="Arial"/>
                <w:color w:val="000000"/>
                <w:sz w:val="18"/>
                <w:szCs w:val="18"/>
              </w:rPr>
              <w:t>)</w:t>
            </w:r>
          </w:p>
        </w:tc>
        <w:tc>
          <w:tcPr>
            <w:tcW w:w="1555" w:type="dxa"/>
            <w:shd w:val="clear" w:color="auto" w:fill="auto"/>
            <w:vAlign w:val="bottom"/>
          </w:tcPr>
          <w:p w14:paraId="5B06FD9E" w14:textId="3E1E4F1D" w:rsidR="00AE4BD1" w:rsidRPr="002D2F67" w:rsidRDefault="00052918"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248</w:t>
            </w:r>
            <w:r w:rsidRPr="002D2F67">
              <w:rPr>
                <w:rFonts w:ascii="Arial" w:hAnsi="Arial" w:cs="Arial"/>
                <w:color w:val="000000"/>
                <w:sz w:val="18"/>
                <w:szCs w:val="18"/>
              </w:rPr>
              <w:t>,</w:t>
            </w:r>
            <w:r w:rsidR="00CD5714" w:rsidRPr="00CD5714">
              <w:rPr>
                <w:rFonts w:ascii="Arial" w:hAnsi="Arial" w:cs="Arial"/>
                <w:color w:val="000000"/>
                <w:sz w:val="18"/>
                <w:szCs w:val="18"/>
                <w:lang w:val="en-GB"/>
              </w:rPr>
              <w:t>232</w:t>
            </w:r>
            <w:r w:rsidRPr="002D2F67">
              <w:rPr>
                <w:rFonts w:ascii="Arial" w:hAnsi="Arial" w:cs="Arial"/>
                <w:color w:val="000000"/>
                <w:sz w:val="18"/>
                <w:szCs w:val="18"/>
              </w:rPr>
              <w:t>)</w:t>
            </w:r>
          </w:p>
        </w:tc>
        <w:tc>
          <w:tcPr>
            <w:tcW w:w="1583" w:type="dxa"/>
            <w:shd w:val="clear" w:color="auto" w:fill="auto"/>
            <w:vAlign w:val="bottom"/>
          </w:tcPr>
          <w:p w14:paraId="363C7ED9" w14:textId="2CB023AE" w:rsidR="00AE4BD1" w:rsidRPr="002D2F67" w:rsidRDefault="00CD5A57"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355</w:t>
            </w:r>
            <w:r w:rsidRPr="002D2F67">
              <w:rPr>
                <w:rFonts w:ascii="Arial" w:hAnsi="Arial" w:cs="Arial"/>
                <w:color w:val="000000"/>
                <w:sz w:val="18"/>
                <w:szCs w:val="18"/>
              </w:rPr>
              <w:t>,</w:t>
            </w:r>
            <w:r w:rsidR="00CD5714" w:rsidRPr="00CD5714">
              <w:rPr>
                <w:rFonts w:ascii="Arial" w:hAnsi="Arial" w:cs="Arial"/>
                <w:color w:val="000000"/>
                <w:sz w:val="18"/>
                <w:szCs w:val="18"/>
                <w:lang w:val="en-GB"/>
              </w:rPr>
              <w:t>935</w:t>
            </w:r>
            <w:r w:rsidRPr="002D2F67">
              <w:rPr>
                <w:rFonts w:ascii="Arial" w:hAnsi="Arial" w:cs="Arial"/>
                <w:color w:val="000000"/>
                <w:sz w:val="18"/>
                <w:szCs w:val="18"/>
              </w:rPr>
              <w:t>)</w:t>
            </w:r>
          </w:p>
        </w:tc>
      </w:tr>
      <w:tr w:rsidR="005611FE" w:rsidRPr="002D2F67" w14:paraId="58C70A1D" w14:textId="77777777" w:rsidTr="005611FE">
        <w:tc>
          <w:tcPr>
            <w:tcW w:w="4469" w:type="dxa"/>
            <w:shd w:val="clear" w:color="auto" w:fill="auto"/>
            <w:vAlign w:val="bottom"/>
          </w:tcPr>
          <w:p w14:paraId="784B5E72" w14:textId="77777777" w:rsidR="00AE4BD1" w:rsidRPr="002D2F67" w:rsidRDefault="00AE4BD1" w:rsidP="005611FE">
            <w:pPr>
              <w:ind w:left="207"/>
              <w:rPr>
                <w:rFonts w:ascii="Arial" w:hAnsi="Arial" w:cs="Arial"/>
                <w:color w:val="000000"/>
                <w:sz w:val="18"/>
                <w:szCs w:val="18"/>
              </w:rPr>
            </w:pPr>
            <w:r w:rsidRPr="002D2F67">
              <w:rPr>
                <w:rFonts w:ascii="Arial" w:hAnsi="Arial" w:cs="Arial"/>
                <w:color w:val="000000"/>
                <w:sz w:val="18"/>
                <w:szCs w:val="18"/>
              </w:rPr>
              <w:t>Transfer</w:t>
            </w:r>
          </w:p>
        </w:tc>
        <w:tc>
          <w:tcPr>
            <w:tcW w:w="1381" w:type="dxa"/>
            <w:shd w:val="clear" w:color="auto" w:fill="auto"/>
            <w:vAlign w:val="bottom"/>
          </w:tcPr>
          <w:p w14:paraId="7E732C54" w14:textId="3913A927" w:rsidR="00AE4BD1" w:rsidRPr="002D2F67" w:rsidRDefault="005A5A1D" w:rsidP="005611FE">
            <w:pPr>
              <w:ind w:right="-72"/>
              <w:jc w:val="right"/>
              <w:rPr>
                <w:rFonts w:ascii="Arial" w:hAnsi="Arial" w:cs="Arial"/>
                <w:color w:val="000000"/>
                <w:sz w:val="18"/>
                <w:szCs w:val="18"/>
              </w:rPr>
            </w:pPr>
            <w:r w:rsidRPr="002D2F67">
              <w:rPr>
                <w:rFonts w:ascii="Arial" w:hAnsi="Arial" w:cs="Arial"/>
                <w:color w:val="000000"/>
                <w:sz w:val="18"/>
                <w:szCs w:val="18"/>
              </w:rPr>
              <w:t>-</w:t>
            </w:r>
          </w:p>
        </w:tc>
        <w:tc>
          <w:tcPr>
            <w:tcW w:w="1375" w:type="dxa"/>
            <w:shd w:val="clear" w:color="auto" w:fill="auto"/>
            <w:vAlign w:val="bottom"/>
          </w:tcPr>
          <w:p w14:paraId="23788888" w14:textId="7C9D373A"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89</w:t>
            </w:r>
            <w:r w:rsidR="00CA12FD" w:rsidRPr="002D2F67">
              <w:rPr>
                <w:rFonts w:ascii="Arial" w:hAnsi="Arial" w:cs="Arial"/>
                <w:color w:val="000000"/>
                <w:sz w:val="18"/>
                <w:szCs w:val="18"/>
              </w:rPr>
              <w:t>,</w:t>
            </w:r>
            <w:r w:rsidRPr="00CD5714">
              <w:rPr>
                <w:rFonts w:ascii="Arial" w:hAnsi="Arial" w:cs="Arial"/>
                <w:color w:val="000000"/>
                <w:sz w:val="18"/>
                <w:szCs w:val="18"/>
                <w:lang w:val="en-GB"/>
              </w:rPr>
              <w:t>261</w:t>
            </w:r>
          </w:p>
        </w:tc>
        <w:tc>
          <w:tcPr>
            <w:tcW w:w="1548" w:type="dxa"/>
            <w:shd w:val="clear" w:color="auto" w:fill="auto"/>
            <w:vAlign w:val="bottom"/>
          </w:tcPr>
          <w:p w14:paraId="621A802D" w14:textId="4EC46711"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50</w:t>
            </w:r>
            <w:r w:rsidR="00D267C9" w:rsidRPr="002D2F67">
              <w:rPr>
                <w:rFonts w:ascii="Arial" w:hAnsi="Arial" w:cs="Arial"/>
                <w:color w:val="000000"/>
                <w:sz w:val="18"/>
                <w:szCs w:val="18"/>
              </w:rPr>
              <w:t>,</w:t>
            </w:r>
            <w:r w:rsidRPr="00CD5714">
              <w:rPr>
                <w:rFonts w:ascii="Arial" w:hAnsi="Arial" w:cs="Arial"/>
                <w:color w:val="000000"/>
                <w:sz w:val="18"/>
                <w:szCs w:val="18"/>
                <w:lang w:val="en-GB"/>
              </w:rPr>
              <w:t>734</w:t>
            </w:r>
          </w:p>
        </w:tc>
        <w:tc>
          <w:tcPr>
            <w:tcW w:w="1958" w:type="dxa"/>
            <w:shd w:val="clear" w:color="auto" w:fill="auto"/>
            <w:vAlign w:val="bottom"/>
          </w:tcPr>
          <w:p w14:paraId="2DB43616" w14:textId="6701230B" w:rsidR="00AE4BD1" w:rsidRPr="002D2F67" w:rsidRDefault="007A201B"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75</w:t>
            </w:r>
            <w:r w:rsidRPr="002D2F67">
              <w:rPr>
                <w:rFonts w:ascii="Arial" w:hAnsi="Arial" w:cs="Arial"/>
                <w:color w:val="000000"/>
                <w:sz w:val="18"/>
                <w:szCs w:val="18"/>
              </w:rPr>
              <w:t>,</w:t>
            </w:r>
            <w:r w:rsidR="00CD5714" w:rsidRPr="00CD5714">
              <w:rPr>
                <w:rFonts w:ascii="Arial" w:hAnsi="Arial" w:cs="Arial"/>
                <w:color w:val="000000"/>
                <w:sz w:val="18"/>
                <w:szCs w:val="18"/>
                <w:lang w:val="en-GB"/>
              </w:rPr>
              <w:t>875</w:t>
            </w:r>
            <w:r w:rsidRPr="002D2F67">
              <w:rPr>
                <w:rFonts w:ascii="Arial" w:hAnsi="Arial" w:cs="Arial"/>
                <w:color w:val="000000"/>
                <w:sz w:val="18"/>
                <w:szCs w:val="18"/>
              </w:rPr>
              <w:t>)</w:t>
            </w:r>
          </w:p>
        </w:tc>
        <w:tc>
          <w:tcPr>
            <w:tcW w:w="1800" w:type="dxa"/>
            <w:shd w:val="clear" w:color="auto" w:fill="auto"/>
            <w:vAlign w:val="bottom"/>
          </w:tcPr>
          <w:p w14:paraId="758BA781" w14:textId="7BFCEC4C" w:rsidR="00AE4BD1" w:rsidRPr="002D2F67" w:rsidRDefault="00CD5714" w:rsidP="005611FE">
            <w:pPr>
              <w:ind w:right="-72"/>
              <w:jc w:val="right"/>
              <w:rPr>
                <w:rFonts w:ascii="Arial" w:hAnsi="Arial" w:cs="Arial"/>
                <w:color w:val="000000"/>
                <w:sz w:val="18"/>
                <w:szCs w:val="18"/>
              </w:rPr>
            </w:pPr>
            <w:r w:rsidRPr="00CD5714">
              <w:rPr>
                <w:rFonts w:ascii="Arial" w:hAnsi="Arial" w:cs="Arial"/>
                <w:color w:val="000000"/>
                <w:sz w:val="18"/>
                <w:szCs w:val="18"/>
                <w:lang w:val="en-GB"/>
              </w:rPr>
              <w:t>12</w:t>
            </w:r>
          </w:p>
        </w:tc>
        <w:tc>
          <w:tcPr>
            <w:tcW w:w="1555" w:type="dxa"/>
            <w:shd w:val="clear" w:color="auto" w:fill="auto"/>
            <w:vAlign w:val="bottom"/>
          </w:tcPr>
          <w:p w14:paraId="09A604F1" w14:textId="170DFB4A" w:rsidR="00AE4BD1" w:rsidRPr="002D2F67" w:rsidRDefault="001C26F0"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64</w:t>
            </w:r>
            <w:r w:rsidRPr="002D2F67">
              <w:rPr>
                <w:rFonts w:ascii="Arial" w:hAnsi="Arial" w:cs="Arial"/>
                <w:color w:val="000000"/>
                <w:sz w:val="18"/>
                <w:szCs w:val="18"/>
              </w:rPr>
              <w:t>,</w:t>
            </w:r>
            <w:r w:rsidR="00CD5714" w:rsidRPr="00CD5714">
              <w:rPr>
                <w:rFonts w:ascii="Arial" w:hAnsi="Arial" w:cs="Arial"/>
                <w:color w:val="000000"/>
                <w:sz w:val="18"/>
                <w:szCs w:val="18"/>
                <w:lang w:val="en-GB"/>
              </w:rPr>
              <w:t>132</w:t>
            </w:r>
            <w:r w:rsidRPr="002D2F67">
              <w:rPr>
                <w:rFonts w:ascii="Arial" w:hAnsi="Arial" w:cs="Arial"/>
                <w:color w:val="000000"/>
                <w:sz w:val="18"/>
                <w:szCs w:val="18"/>
              </w:rPr>
              <w:t>)</w:t>
            </w:r>
          </w:p>
        </w:tc>
        <w:tc>
          <w:tcPr>
            <w:tcW w:w="1583" w:type="dxa"/>
            <w:shd w:val="clear" w:color="auto" w:fill="auto"/>
            <w:vAlign w:val="bottom"/>
          </w:tcPr>
          <w:p w14:paraId="41183571" w14:textId="4C4113A0" w:rsidR="00AE4BD1" w:rsidRPr="002D2F67" w:rsidRDefault="002033E2" w:rsidP="005611FE">
            <w:pPr>
              <w:ind w:right="-72"/>
              <w:jc w:val="right"/>
              <w:rPr>
                <w:rFonts w:ascii="Arial" w:hAnsi="Arial" w:cs="Arial"/>
                <w:color w:val="000000"/>
                <w:sz w:val="18"/>
                <w:szCs w:val="18"/>
              </w:rPr>
            </w:pPr>
            <w:r w:rsidRPr="002D2F67">
              <w:rPr>
                <w:rFonts w:ascii="Arial" w:hAnsi="Arial" w:cs="Arial"/>
                <w:color w:val="000000"/>
                <w:sz w:val="18"/>
                <w:szCs w:val="18"/>
              </w:rPr>
              <w:t>-</w:t>
            </w:r>
          </w:p>
        </w:tc>
      </w:tr>
      <w:tr w:rsidR="005611FE" w:rsidRPr="002D2F67" w14:paraId="75F1B89E" w14:textId="77777777" w:rsidTr="005611FE">
        <w:tc>
          <w:tcPr>
            <w:tcW w:w="4469" w:type="dxa"/>
            <w:shd w:val="clear" w:color="auto" w:fill="auto"/>
            <w:vAlign w:val="bottom"/>
          </w:tcPr>
          <w:p w14:paraId="57D31CD5" w14:textId="5E6710CD" w:rsidR="00AE4BD1" w:rsidRPr="002D2F67" w:rsidRDefault="006F3617" w:rsidP="005611FE">
            <w:pPr>
              <w:ind w:left="207"/>
              <w:rPr>
                <w:rFonts w:ascii="Arial" w:hAnsi="Arial" w:cs="Arial"/>
                <w:color w:val="000000"/>
                <w:sz w:val="18"/>
                <w:szCs w:val="18"/>
              </w:rPr>
            </w:pPr>
            <w:r w:rsidRPr="002D2F67">
              <w:rPr>
                <w:rFonts w:ascii="Arial" w:hAnsi="Arial" w:cs="Arial"/>
                <w:color w:val="000000"/>
                <w:sz w:val="18"/>
                <w:szCs w:val="18"/>
              </w:rPr>
              <w:t>Decrease</w:t>
            </w:r>
            <w:r w:rsidR="00BE3CC1" w:rsidRPr="002D2F67">
              <w:rPr>
                <w:rFonts w:ascii="Arial" w:hAnsi="Arial" w:cs="Arial"/>
                <w:color w:val="000000"/>
                <w:sz w:val="18"/>
                <w:szCs w:val="18"/>
              </w:rPr>
              <w:t>d</w:t>
            </w:r>
            <w:r w:rsidRPr="002D2F67">
              <w:rPr>
                <w:rFonts w:ascii="Arial" w:hAnsi="Arial" w:cs="Arial"/>
                <w:color w:val="000000"/>
                <w:sz w:val="18"/>
                <w:szCs w:val="18"/>
              </w:rPr>
              <w:t xml:space="preserve"> from disposal of business</w:t>
            </w:r>
          </w:p>
          <w:p w14:paraId="205D80CD" w14:textId="1C6C49A1" w:rsidR="009E1802" w:rsidRPr="002D2F67" w:rsidRDefault="009E1802" w:rsidP="005611FE">
            <w:pPr>
              <w:ind w:left="207"/>
              <w:rPr>
                <w:rFonts w:ascii="Arial" w:hAnsi="Arial" w:cs="Arial"/>
                <w:color w:val="000000"/>
                <w:sz w:val="18"/>
                <w:szCs w:val="18"/>
                <w:cs/>
              </w:rPr>
            </w:pPr>
            <w:r w:rsidRPr="002D2F67">
              <w:rPr>
                <w:rFonts w:ascii="Arial" w:hAnsi="Arial" w:cs="Arial"/>
                <w:color w:val="000000"/>
                <w:sz w:val="18"/>
                <w:szCs w:val="18"/>
              </w:rPr>
              <w:t xml:space="preserve">   (Note </w:t>
            </w:r>
            <w:r w:rsidR="00CD5714" w:rsidRPr="00CD5714">
              <w:rPr>
                <w:rFonts w:ascii="Arial" w:hAnsi="Arial" w:cs="Arial"/>
                <w:color w:val="000000"/>
                <w:sz w:val="18"/>
                <w:szCs w:val="18"/>
                <w:lang w:val="en-GB"/>
              </w:rPr>
              <w:t>19</w:t>
            </w:r>
            <w:r w:rsidRPr="002D2F67">
              <w:rPr>
                <w:rFonts w:ascii="Arial" w:hAnsi="Arial" w:cs="Arial"/>
                <w:color w:val="000000"/>
                <w:sz w:val="18"/>
                <w:szCs w:val="18"/>
              </w:rPr>
              <w:t>.</w:t>
            </w:r>
            <w:r w:rsidR="00CD5714" w:rsidRPr="00CD5714">
              <w:rPr>
                <w:rFonts w:ascii="Arial" w:hAnsi="Arial" w:cs="Arial"/>
                <w:color w:val="000000"/>
                <w:sz w:val="18"/>
                <w:szCs w:val="18"/>
                <w:lang w:val="en-GB"/>
              </w:rPr>
              <w:t>1</w:t>
            </w:r>
            <w:r w:rsidRPr="002D2F67">
              <w:rPr>
                <w:rFonts w:ascii="Arial" w:hAnsi="Arial" w:cs="Arial"/>
                <w:color w:val="000000"/>
                <w:sz w:val="18"/>
                <w:szCs w:val="18"/>
              </w:rPr>
              <w:t>)</w:t>
            </w:r>
          </w:p>
        </w:tc>
        <w:tc>
          <w:tcPr>
            <w:tcW w:w="1381" w:type="dxa"/>
            <w:shd w:val="clear" w:color="auto" w:fill="auto"/>
            <w:vAlign w:val="bottom"/>
          </w:tcPr>
          <w:p w14:paraId="3E22EDD2" w14:textId="6F75C2D1" w:rsidR="00AE4BD1" w:rsidRPr="002D2F67" w:rsidRDefault="00137D9B"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50</w:t>
            </w:r>
            <w:r w:rsidRPr="002D2F67">
              <w:rPr>
                <w:rFonts w:ascii="Arial" w:hAnsi="Arial" w:cs="Arial"/>
                <w:color w:val="000000"/>
                <w:sz w:val="18"/>
                <w:szCs w:val="18"/>
              </w:rPr>
              <w:t>,</w:t>
            </w:r>
            <w:r w:rsidR="00CD5714" w:rsidRPr="00CD5714">
              <w:rPr>
                <w:rFonts w:ascii="Arial" w:hAnsi="Arial" w:cs="Arial"/>
                <w:color w:val="000000"/>
                <w:sz w:val="18"/>
                <w:szCs w:val="18"/>
                <w:lang w:val="en-GB"/>
              </w:rPr>
              <w:t>758</w:t>
            </w:r>
            <w:r w:rsidRPr="002D2F67">
              <w:rPr>
                <w:rFonts w:ascii="Arial" w:hAnsi="Arial" w:cs="Arial"/>
                <w:color w:val="000000"/>
                <w:sz w:val="18"/>
                <w:szCs w:val="18"/>
              </w:rPr>
              <w:t>)</w:t>
            </w:r>
          </w:p>
        </w:tc>
        <w:tc>
          <w:tcPr>
            <w:tcW w:w="1375" w:type="dxa"/>
            <w:shd w:val="clear" w:color="auto" w:fill="auto"/>
            <w:vAlign w:val="bottom"/>
          </w:tcPr>
          <w:p w14:paraId="5D0A77B7" w14:textId="5510F50E" w:rsidR="00AE4BD1" w:rsidRPr="002D2F67" w:rsidRDefault="00137D9B"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24</w:t>
            </w:r>
            <w:r w:rsidRPr="002D2F67">
              <w:rPr>
                <w:rFonts w:ascii="Arial" w:hAnsi="Arial" w:cs="Arial"/>
                <w:color w:val="000000"/>
                <w:sz w:val="18"/>
                <w:szCs w:val="18"/>
              </w:rPr>
              <w:t>,</w:t>
            </w:r>
            <w:r w:rsidR="00CD5714" w:rsidRPr="00CD5714">
              <w:rPr>
                <w:rFonts w:ascii="Arial" w:hAnsi="Arial" w:cs="Arial"/>
                <w:color w:val="000000"/>
                <w:sz w:val="18"/>
                <w:szCs w:val="18"/>
                <w:lang w:val="en-GB"/>
              </w:rPr>
              <w:t>035</w:t>
            </w:r>
            <w:r w:rsidRPr="002D2F67">
              <w:rPr>
                <w:rFonts w:ascii="Arial" w:hAnsi="Arial" w:cs="Arial"/>
                <w:color w:val="000000"/>
                <w:sz w:val="18"/>
                <w:szCs w:val="18"/>
              </w:rPr>
              <w:t>)</w:t>
            </w:r>
          </w:p>
        </w:tc>
        <w:tc>
          <w:tcPr>
            <w:tcW w:w="1548" w:type="dxa"/>
            <w:shd w:val="clear" w:color="auto" w:fill="auto"/>
            <w:vAlign w:val="bottom"/>
          </w:tcPr>
          <w:p w14:paraId="759F8CEE" w14:textId="281F754B" w:rsidR="00AE4BD1" w:rsidRPr="002D2F67" w:rsidRDefault="00112414"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142</w:t>
            </w:r>
            <w:r w:rsidRPr="002D2F67">
              <w:rPr>
                <w:rFonts w:ascii="Arial" w:hAnsi="Arial" w:cs="Arial"/>
                <w:color w:val="000000"/>
                <w:sz w:val="18"/>
                <w:szCs w:val="18"/>
              </w:rPr>
              <w:t>,</w:t>
            </w:r>
            <w:r w:rsidR="00CD5714" w:rsidRPr="00CD5714">
              <w:rPr>
                <w:rFonts w:ascii="Arial" w:hAnsi="Arial" w:cs="Arial"/>
                <w:color w:val="000000"/>
                <w:sz w:val="18"/>
                <w:szCs w:val="18"/>
                <w:lang w:val="en-GB"/>
              </w:rPr>
              <w:t>819</w:t>
            </w:r>
            <w:r w:rsidRPr="002D2F67">
              <w:rPr>
                <w:rFonts w:ascii="Arial" w:hAnsi="Arial" w:cs="Arial"/>
                <w:color w:val="000000"/>
                <w:sz w:val="18"/>
                <w:szCs w:val="18"/>
              </w:rPr>
              <w:t>)</w:t>
            </w:r>
          </w:p>
        </w:tc>
        <w:tc>
          <w:tcPr>
            <w:tcW w:w="1958" w:type="dxa"/>
            <w:shd w:val="clear" w:color="auto" w:fill="auto"/>
            <w:vAlign w:val="bottom"/>
          </w:tcPr>
          <w:p w14:paraId="04EE846B" w14:textId="364D3B37" w:rsidR="00AE4BD1" w:rsidRPr="002D2F67" w:rsidRDefault="007A201B" w:rsidP="005611FE">
            <w:pPr>
              <w:ind w:right="-72"/>
              <w:jc w:val="right"/>
              <w:rPr>
                <w:rFonts w:ascii="Arial" w:hAnsi="Arial" w:cs="Arial"/>
                <w:color w:val="000000"/>
                <w:sz w:val="18"/>
                <w:szCs w:val="18"/>
              </w:rPr>
            </w:pPr>
            <w:r w:rsidRPr="002D2F67">
              <w:rPr>
                <w:rFonts w:ascii="Arial" w:hAnsi="Arial" w:cs="Arial"/>
                <w:color w:val="000000"/>
                <w:sz w:val="18"/>
                <w:szCs w:val="18"/>
              </w:rPr>
              <w:t>-</w:t>
            </w:r>
          </w:p>
        </w:tc>
        <w:tc>
          <w:tcPr>
            <w:tcW w:w="1800" w:type="dxa"/>
            <w:shd w:val="clear" w:color="auto" w:fill="auto"/>
            <w:vAlign w:val="bottom"/>
          </w:tcPr>
          <w:p w14:paraId="4D5ABD62" w14:textId="08AADF90" w:rsidR="00AE4BD1" w:rsidRPr="002D2F67" w:rsidRDefault="002033E2"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897</w:t>
            </w:r>
            <w:r w:rsidRPr="002D2F67">
              <w:rPr>
                <w:rFonts w:ascii="Arial" w:hAnsi="Arial" w:cs="Arial"/>
                <w:color w:val="000000"/>
                <w:sz w:val="18"/>
                <w:szCs w:val="18"/>
              </w:rPr>
              <w:t>)</w:t>
            </w:r>
          </w:p>
        </w:tc>
        <w:tc>
          <w:tcPr>
            <w:tcW w:w="1555" w:type="dxa"/>
            <w:shd w:val="clear" w:color="auto" w:fill="auto"/>
            <w:vAlign w:val="bottom"/>
          </w:tcPr>
          <w:p w14:paraId="2D204181" w14:textId="60BEB288" w:rsidR="00AE4BD1" w:rsidRPr="002D2F67" w:rsidRDefault="002033E2"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13</w:t>
            </w:r>
            <w:r w:rsidRPr="002D2F67">
              <w:rPr>
                <w:rFonts w:ascii="Arial" w:hAnsi="Arial" w:cs="Arial"/>
                <w:color w:val="000000"/>
                <w:sz w:val="18"/>
                <w:szCs w:val="18"/>
              </w:rPr>
              <w:t>,</w:t>
            </w:r>
            <w:r w:rsidR="00CD5714" w:rsidRPr="00CD5714">
              <w:rPr>
                <w:rFonts w:ascii="Arial" w:hAnsi="Arial" w:cs="Arial"/>
                <w:color w:val="000000"/>
                <w:sz w:val="18"/>
                <w:szCs w:val="18"/>
                <w:lang w:val="en-GB"/>
              </w:rPr>
              <w:t>987</w:t>
            </w:r>
            <w:r w:rsidRPr="002D2F67">
              <w:rPr>
                <w:rFonts w:ascii="Arial" w:hAnsi="Arial" w:cs="Arial"/>
                <w:color w:val="000000"/>
                <w:sz w:val="18"/>
                <w:szCs w:val="18"/>
              </w:rPr>
              <w:t>)</w:t>
            </w:r>
          </w:p>
        </w:tc>
        <w:tc>
          <w:tcPr>
            <w:tcW w:w="1583" w:type="dxa"/>
            <w:shd w:val="clear" w:color="auto" w:fill="auto"/>
            <w:vAlign w:val="bottom"/>
          </w:tcPr>
          <w:p w14:paraId="497DB0BA" w14:textId="72EBC999" w:rsidR="00AE4BD1" w:rsidRPr="002D2F67" w:rsidRDefault="002033E2"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232</w:t>
            </w:r>
            <w:r w:rsidRPr="002D2F67">
              <w:rPr>
                <w:rFonts w:ascii="Arial" w:hAnsi="Arial" w:cs="Arial"/>
                <w:color w:val="000000"/>
                <w:sz w:val="18"/>
                <w:szCs w:val="18"/>
              </w:rPr>
              <w:t>,</w:t>
            </w:r>
            <w:r w:rsidR="00CD5714" w:rsidRPr="00CD5714">
              <w:rPr>
                <w:rFonts w:ascii="Arial" w:hAnsi="Arial" w:cs="Arial"/>
                <w:color w:val="000000"/>
                <w:sz w:val="18"/>
                <w:szCs w:val="18"/>
                <w:lang w:val="en-GB"/>
              </w:rPr>
              <w:t>496</w:t>
            </w:r>
            <w:r w:rsidRPr="002D2F67">
              <w:rPr>
                <w:rFonts w:ascii="Arial" w:hAnsi="Arial" w:cs="Arial"/>
                <w:color w:val="000000"/>
                <w:sz w:val="18"/>
                <w:szCs w:val="18"/>
              </w:rPr>
              <w:t>)</w:t>
            </w:r>
          </w:p>
        </w:tc>
      </w:tr>
      <w:tr w:rsidR="005611FE" w:rsidRPr="002D2F67" w14:paraId="5C69EC1D" w14:textId="77777777" w:rsidTr="00E536A7">
        <w:trPr>
          <w:trHeight w:val="87"/>
        </w:trPr>
        <w:tc>
          <w:tcPr>
            <w:tcW w:w="4469" w:type="dxa"/>
            <w:shd w:val="clear" w:color="auto" w:fill="auto"/>
            <w:vAlign w:val="bottom"/>
          </w:tcPr>
          <w:p w14:paraId="6EA72190" w14:textId="3469CE2C" w:rsidR="00AE4BD1" w:rsidRPr="002D2F67" w:rsidRDefault="00AE4BD1" w:rsidP="005611FE">
            <w:pPr>
              <w:ind w:left="207"/>
              <w:rPr>
                <w:rFonts w:ascii="Arial" w:hAnsi="Arial" w:cs="Arial"/>
                <w:color w:val="000000"/>
                <w:sz w:val="18"/>
                <w:szCs w:val="18"/>
              </w:rPr>
            </w:pPr>
            <w:r w:rsidRPr="002D2F67">
              <w:rPr>
                <w:rFonts w:ascii="Arial" w:hAnsi="Arial" w:cs="Arial"/>
                <w:color w:val="000000"/>
                <w:sz w:val="18"/>
                <w:szCs w:val="18"/>
              </w:rPr>
              <w:t xml:space="preserve">Depreciation charged </w:t>
            </w:r>
          </w:p>
        </w:tc>
        <w:tc>
          <w:tcPr>
            <w:tcW w:w="1381" w:type="dxa"/>
            <w:shd w:val="clear" w:color="auto" w:fill="auto"/>
            <w:vAlign w:val="bottom"/>
          </w:tcPr>
          <w:p w14:paraId="1CBF7F03" w14:textId="337D5B02" w:rsidR="00AE4BD1" w:rsidRPr="002D2F67" w:rsidRDefault="005A5A1D" w:rsidP="005611FE">
            <w:pPr>
              <w:ind w:right="-72"/>
              <w:jc w:val="right"/>
              <w:rPr>
                <w:rFonts w:ascii="Arial" w:hAnsi="Arial" w:cs="Arial"/>
                <w:color w:val="000000"/>
                <w:sz w:val="18"/>
                <w:szCs w:val="18"/>
              </w:rPr>
            </w:pPr>
            <w:r w:rsidRPr="002D2F67">
              <w:rPr>
                <w:rFonts w:ascii="Arial" w:hAnsi="Arial" w:cs="Arial"/>
                <w:color w:val="000000"/>
                <w:sz w:val="18"/>
                <w:szCs w:val="18"/>
              </w:rPr>
              <w:t>-</w:t>
            </w:r>
          </w:p>
        </w:tc>
        <w:tc>
          <w:tcPr>
            <w:tcW w:w="1375" w:type="dxa"/>
            <w:shd w:val="clear" w:color="auto" w:fill="auto"/>
            <w:vAlign w:val="bottom"/>
          </w:tcPr>
          <w:p w14:paraId="79784691" w14:textId="23363959" w:rsidR="00AE4BD1" w:rsidRPr="002D2F67" w:rsidRDefault="000F3F7B"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262</w:t>
            </w:r>
            <w:r w:rsidRPr="002D2F67">
              <w:rPr>
                <w:rFonts w:ascii="Arial" w:hAnsi="Arial" w:cs="Arial"/>
                <w:color w:val="000000"/>
                <w:sz w:val="18"/>
                <w:szCs w:val="18"/>
              </w:rPr>
              <w:t>,</w:t>
            </w:r>
            <w:r w:rsidR="00CD5714" w:rsidRPr="00CD5714">
              <w:rPr>
                <w:rFonts w:ascii="Arial" w:hAnsi="Arial" w:cs="Arial"/>
                <w:color w:val="000000"/>
                <w:sz w:val="18"/>
                <w:szCs w:val="18"/>
                <w:lang w:val="en-GB"/>
              </w:rPr>
              <w:t>757</w:t>
            </w:r>
            <w:r w:rsidRPr="002D2F67">
              <w:rPr>
                <w:rFonts w:ascii="Arial" w:hAnsi="Arial" w:cs="Arial"/>
                <w:color w:val="000000"/>
                <w:sz w:val="18"/>
                <w:szCs w:val="18"/>
              </w:rPr>
              <w:t>)</w:t>
            </w:r>
          </w:p>
        </w:tc>
        <w:tc>
          <w:tcPr>
            <w:tcW w:w="1548" w:type="dxa"/>
            <w:shd w:val="clear" w:color="auto" w:fill="auto"/>
            <w:vAlign w:val="bottom"/>
          </w:tcPr>
          <w:p w14:paraId="16381686" w14:textId="3BC8E5A3" w:rsidR="00AE4BD1" w:rsidRPr="002D2F67" w:rsidRDefault="0039517F"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881</w:t>
            </w:r>
            <w:r w:rsidRPr="002D2F67">
              <w:rPr>
                <w:rFonts w:ascii="Arial" w:hAnsi="Arial" w:cs="Arial"/>
                <w:color w:val="000000"/>
                <w:sz w:val="18"/>
                <w:szCs w:val="18"/>
              </w:rPr>
              <w:t>,</w:t>
            </w:r>
            <w:r w:rsidR="00CD5714" w:rsidRPr="00CD5714">
              <w:rPr>
                <w:rFonts w:ascii="Arial" w:hAnsi="Arial" w:cs="Arial"/>
                <w:color w:val="000000"/>
                <w:sz w:val="18"/>
                <w:szCs w:val="18"/>
                <w:lang w:val="en-GB"/>
              </w:rPr>
              <w:t>264</w:t>
            </w:r>
            <w:r w:rsidRPr="002D2F67">
              <w:rPr>
                <w:rFonts w:ascii="Arial" w:hAnsi="Arial" w:cs="Arial"/>
                <w:color w:val="000000"/>
                <w:sz w:val="18"/>
                <w:szCs w:val="18"/>
              </w:rPr>
              <w:t>)</w:t>
            </w:r>
          </w:p>
        </w:tc>
        <w:tc>
          <w:tcPr>
            <w:tcW w:w="1958" w:type="dxa"/>
            <w:shd w:val="clear" w:color="auto" w:fill="auto"/>
            <w:vAlign w:val="bottom"/>
          </w:tcPr>
          <w:p w14:paraId="00C4D140" w14:textId="104B0D99" w:rsidR="00AE4BD1" w:rsidRPr="002D2F67" w:rsidRDefault="007A201B"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2</w:t>
            </w:r>
            <w:r w:rsidRPr="002D2F67">
              <w:rPr>
                <w:rFonts w:ascii="Arial" w:hAnsi="Arial" w:cs="Arial"/>
                <w:color w:val="000000"/>
                <w:sz w:val="18"/>
                <w:szCs w:val="18"/>
              </w:rPr>
              <w:t>,</w:t>
            </w:r>
            <w:r w:rsidR="00CD5714" w:rsidRPr="00CD5714">
              <w:rPr>
                <w:rFonts w:ascii="Arial" w:hAnsi="Arial" w:cs="Arial"/>
                <w:color w:val="000000"/>
                <w:sz w:val="18"/>
                <w:szCs w:val="18"/>
                <w:lang w:val="en-GB"/>
              </w:rPr>
              <w:t>317</w:t>
            </w:r>
            <w:r w:rsidRPr="002D2F67">
              <w:rPr>
                <w:rFonts w:ascii="Arial" w:hAnsi="Arial" w:cs="Arial"/>
                <w:color w:val="000000"/>
                <w:sz w:val="18"/>
                <w:szCs w:val="18"/>
              </w:rPr>
              <w:t>,</w:t>
            </w:r>
            <w:r w:rsidR="00CD5714" w:rsidRPr="00CD5714">
              <w:rPr>
                <w:rFonts w:ascii="Arial" w:hAnsi="Arial" w:cs="Arial"/>
                <w:color w:val="000000"/>
                <w:sz w:val="18"/>
                <w:szCs w:val="18"/>
                <w:lang w:val="en-GB"/>
              </w:rPr>
              <w:t>41</w:t>
            </w:r>
            <w:r w:rsidR="00CD5714" w:rsidRPr="00CD5714">
              <w:rPr>
                <w:rFonts w:ascii="Arial" w:hAnsi="Arial" w:cs="Arial"/>
                <w:color w:val="000000"/>
                <w:sz w:val="18"/>
                <w:szCs w:val="22"/>
                <w:lang w:val="en-GB"/>
              </w:rPr>
              <w:t>9</w:t>
            </w:r>
            <w:r w:rsidRPr="002D2F67">
              <w:rPr>
                <w:rFonts w:ascii="Arial" w:hAnsi="Arial" w:cs="Arial"/>
                <w:color w:val="000000"/>
                <w:sz w:val="18"/>
                <w:szCs w:val="18"/>
              </w:rPr>
              <w:t>)</w:t>
            </w:r>
          </w:p>
        </w:tc>
        <w:tc>
          <w:tcPr>
            <w:tcW w:w="1800" w:type="dxa"/>
            <w:shd w:val="clear" w:color="auto" w:fill="auto"/>
            <w:vAlign w:val="bottom"/>
          </w:tcPr>
          <w:p w14:paraId="199C2B11" w14:textId="270267E8" w:rsidR="00AE4BD1" w:rsidRPr="002D2F67" w:rsidRDefault="001C26F0"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48</w:t>
            </w:r>
            <w:r w:rsidRPr="002D2F67">
              <w:rPr>
                <w:rFonts w:ascii="Arial" w:hAnsi="Arial" w:cs="Arial"/>
                <w:color w:val="000000"/>
                <w:sz w:val="18"/>
                <w:szCs w:val="18"/>
              </w:rPr>
              <w:t>,</w:t>
            </w:r>
            <w:r w:rsidR="00CD5714" w:rsidRPr="00CD5714">
              <w:rPr>
                <w:rFonts w:ascii="Arial" w:hAnsi="Arial" w:cs="Arial"/>
                <w:color w:val="000000"/>
                <w:sz w:val="18"/>
                <w:szCs w:val="18"/>
                <w:lang w:val="en-GB"/>
              </w:rPr>
              <w:t>829</w:t>
            </w:r>
            <w:r w:rsidRPr="002D2F67">
              <w:rPr>
                <w:rFonts w:ascii="Arial" w:hAnsi="Arial" w:cs="Arial"/>
                <w:color w:val="000000"/>
                <w:sz w:val="18"/>
                <w:szCs w:val="18"/>
              </w:rPr>
              <w:t>)</w:t>
            </w:r>
          </w:p>
        </w:tc>
        <w:tc>
          <w:tcPr>
            <w:tcW w:w="1555" w:type="dxa"/>
            <w:shd w:val="clear" w:color="auto" w:fill="auto"/>
            <w:vAlign w:val="bottom"/>
          </w:tcPr>
          <w:p w14:paraId="172CE21A" w14:textId="119D9E7C" w:rsidR="00AE4BD1" w:rsidRPr="002D2F67" w:rsidRDefault="002033E2" w:rsidP="005611FE">
            <w:pPr>
              <w:ind w:right="-72"/>
              <w:jc w:val="right"/>
              <w:rPr>
                <w:rFonts w:ascii="Arial" w:hAnsi="Arial" w:cs="Arial"/>
                <w:color w:val="000000"/>
                <w:sz w:val="18"/>
                <w:szCs w:val="18"/>
              </w:rPr>
            </w:pPr>
            <w:r w:rsidRPr="002D2F67">
              <w:rPr>
                <w:rFonts w:ascii="Arial" w:hAnsi="Arial" w:cs="Arial"/>
                <w:color w:val="000000"/>
                <w:sz w:val="18"/>
                <w:szCs w:val="18"/>
              </w:rPr>
              <w:t>-</w:t>
            </w:r>
          </w:p>
        </w:tc>
        <w:tc>
          <w:tcPr>
            <w:tcW w:w="1583" w:type="dxa"/>
            <w:shd w:val="clear" w:color="auto" w:fill="auto"/>
            <w:vAlign w:val="bottom"/>
          </w:tcPr>
          <w:p w14:paraId="2FEAC3E5" w14:textId="4C891E64" w:rsidR="00AE4BD1" w:rsidRPr="002D2F67" w:rsidRDefault="001C26F0" w:rsidP="005611FE">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3</w:t>
            </w:r>
            <w:r w:rsidRPr="002D2F67">
              <w:rPr>
                <w:rFonts w:ascii="Arial" w:hAnsi="Arial" w:cs="Arial"/>
                <w:color w:val="000000"/>
                <w:sz w:val="18"/>
                <w:szCs w:val="18"/>
              </w:rPr>
              <w:t>,</w:t>
            </w:r>
            <w:r w:rsidR="00CD5714" w:rsidRPr="00CD5714">
              <w:rPr>
                <w:rFonts w:ascii="Arial" w:hAnsi="Arial" w:cs="Arial"/>
                <w:color w:val="000000"/>
                <w:sz w:val="18"/>
                <w:szCs w:val="18"/>
                <w:lang w:val="en-GB"/>
              </w:rPr>
              <w:t>510</w:t>
            </w:r>
            <w:r w:rsidRPr="002D2F67">
              <w:rPr>
                <w:rFonts w:ascii="Arial" w:hAnsi="Arial" w:cs="Arial"/>
                <w:color w:val="000000"/>
                <w:sz w:val="18"/>
                <w:szCs w:val="18"/>
              </w:rPr>
              <w:t>,</w:t>
            </w:r>
            <w:r w:rsidR="00CD5714" w:rsidRPr="00CD5714">
              <w:rPr>
                <w:rFonts w:ascii="Arial" w:hAnsi="Arial" w:cs="Arial"/>
                <w:color w:val="000000"/>
                <w:sz w:val="18"/>
                <w:szCs w:val="18"/>
                <w:lang w:val="en-GB"/>
              </w:rPr>
              <w:t>269</w:t>
            </w:r>
            <w:r w:rsidRPr="002D2F67">
              <w:rPr>
                <w:rFonts w:ascii="Arial" w:hAnsi="Arial" w:cs="Arial"/>
                <w:color w:val="000000"/>
                <w:sz w:val="18"/>
                <w:szCs w:val="18"/>
              </w:rPr>
              <w:t>)</w:t>
            </w:r>
          </w:p>
        </w:tc>
      </w:tr>
      <w:tr w:rsidR="001C3CA2" w:rsidRPr="002D2F67" w14:paraId="204AB8EA" w14:textId="77777777" w:rsidTr="00A04476">
        <w:trPr>
          <w:trHeight w:val="87"/>
        </w:trPr>
        <w:tc>
          <w:tcPr>
            <w:tcW w:w="4469" w:type="dxa"/>
            <w:shd w:val="clear" w:color="auto" w:fill="auto"/>
          </w:tcPr>
          <w:p w14:paraId="65E55599" w14:textId="4F40D899" w:rsidR="001C3CA2" w:rsidRPr="002D2F67" w:rsidRDefault="001C3CA2" w:rsidP="001C3CA2">
            <w:pPr>
              <w:ind w:left="207"/>
              <w:rPr>
                <w:rFonts w:ascii="Arial" w:hAnsi="Arial" w:cs="Arial"/>
                <w:color w:val="000000"/>
                <w:sz w:val="18"/>
                <w:szCs w:val="18"/>
              </w:rPr>
            </w:pPr>
            <w:r w:rsidRPr="002D2F67">
              <w:rPr>
                <w:rFonts w:ascii="Arial" w:hAnsi="Arial" w:cs="Arial"/>
                <w:color w:val="000000"/>
                <w:sz w:val="18"/>
                <w:szCs w:val="18"/>
              </w:rPr>
              <w:t>Impairment loss</w:t>
            </w:r>
            <w:r w:rsidRPr="002D2F67">
              <w:rPr>
                <w:rFonts w:ascii="Arial" w:hAnsi="Arial" w:cs="Arial"/>
                <w:color w:val="000000"/>
                <w:sz w:val="18"/>
                <w:szCs w:val="22"/>
                <w:vertAlign w:val="superscript"/>
              </w:rPr>
              <w:t>(</w:t>
            </w:r>
            <w:r w:rsidR="00CD5714" w:rsidRPr="00CD5714">
              <w:rPr>
                <w:rFonts w:ascii="Arial" w:hAnsi="Arial" w:cs="Arial"/>
                <w:color w:val="000000"/>
                <w:sz w:val="18"/>
                <w:szCs w:val="22"/>
                <w:vertAlign w:val="superscript"/>
                <w:lang w:val="en-GB"/>
              </w:rPr>
              <w:t>1</w:t>
            </w:r>
            <w:r w:rsidRPr="002D2F67">
              <w:rPr>
                <w:rFonts w:ascii="Arial" w:hAnsi="Arial" w:cs="Arial"/>
                <w:color w:val="000000"/>
                <w:sz w:val="18"/>
                <w:szCs w:val="22"/>
                <w:vertAlign w:val="superscript"/>
              </w:rPr>
              <w:t>)</w:t>
            </w:r>
          </w:p>
        </w:tc>
        <w:tc>
          <w:tcPr>
            <w:tcW w:w="1381" w:type="dxa"/>
            <w:shd w:val="clear" w:color="auto" w:fill="auto"/>
            <w:vAlign w:val="bottom"/>
          </w:tcPr>
          <w:p w14:paraId="2A11B83C" w14:textId="53765C5B"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p>
        </w:tc>
        <w:tc>
          <w:tcPr>
            <w:tcW w:w="1375" w:type="dxa"/>
            <w:shd w:val="clear" w:color="auto" w:fill="auto"/>
            <w:vAlign w:val="bottom"/>
          </w:tcPr>
          <w:p w14:paraId="04D58D9F" w14:textId="4917B0BB"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753</w:t>
            </w:r>
            <w:r w:rsidRPr="002D2F67">
              <w:rPr>
                <w:rFonts w:ascii="Arial" w:hAnsi="Arial" w:cs="Arial"/>
                <w:color w:val="000000"/>
                <w:sz w:val="18"/>
                <w:szCs w:val="18"/>
              </w:rPr>
              <w:t>,</w:t>
            </w:r>
            <w:r w:rsidR="00CD5714" w:rsidRPr="00CD5714">
              <w:rPr>
                <w:rFonts w:ascii="Arial" w:hAnsi="Arial" w:cs="Arial"/>
                <w:color w:val="000000"/>
                <w:sz w:val="18"/>
                <w:szCs w:val="18"/>
                <w:lang w:val="en-GB"/>
              </w:rPr>
              <w:t>827</w:t>
            </w:r>
            <w:r w:rsidRPr="002D2F67">
              <w:rPr>
                <w:rFonts w:ascii="Arial" w:hAnsi="Arial" w:cs="Arial"/>
                <w:color w:val="000000"/>
                <w:sz w:val="18"/>
                <w:szCs w:val="18"/>
              </w:rPr>
              <w:t>)</w:t>
            </w:r>
          </w:p>
        </w:tc>
        <w:tc>
          <w:tcPr>
            <w:tcW w:w="1548" w:type="dxa"/>
            <w:shd w:val="clear" w:color="auto" w:fill="auto"/>
            <w:vAlign w:val="bottom"/>
          </w:tcPr>
          <w:p w14:paraId="0FA6CC9B" w14:textId="7880C45F"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237</w:t>
            </w:r>
            <w:r w:rsidRPr="002D2F67">
              <w:rPr>
                <w:rFonts w:ascii="Arial" w:hAnsi="Arial" w:cs="Arial"/>
                <w:color w:val="000000"/>
                <w:sz w:val="18"/>
                <w:szCs w:val="18"/>
              </w:rPr>
              <w:t>,</w:t>
            </w:r>
            <w:r w:rsidR="00CD5714" w:rsidRPr="00CD5714">
              <w:rPr>
                <w:rFonts w:ascii="Arial" w:hAnsi="Arial" w:cs="Arial"/>
                <w:color w:val="000000"/>
                <w:sz w:val="18"/>
                <w:szCs w:val="18"/>
                <w:lang w:val="en-GB"/>
              </w:rPr>
              <w:t>637</w:t>
            </w:r>
            <w:r w:rsidRPr="002D2F67">
              <w:rPr>
                <w:rFonts w:ascii="Arial" w:hAnsi="Arial" w:cs="Arial"/>
                <w:color w:val="000000"/>
                <w:sz w:val="18"/>
                <w:szCs w:val="18"/>
              </w:rPr>
              <w:t>)</w:t>
            </w:r>
          </w:p>
        </w:tc>
        <w:tc>
          <w:tcPr>
            <w:tcW w:w="1958" w:type="dxa"/>
            <w:shd w:val="clear" w:color="auto" w:fill="auto"/>
            <w:vAlign w:val="bottom"/>
          </w:tcPr>
          <w:p w14:paraId="0D04007F" w14:textId="73B4F52D"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p>
        </w:tc>
        <w:tc>
          <w:tcPr>
            <w:tcW w:w="1800" w:type="dxa"/>
            <w:shd w:val="clear" w:color="auto" w:fill="auto"/>
            <w:vAlign w:val="bottom"/>
          </w:tcPr>
          <w:p w14:paraId="6D93C5BA" w14:textId="68DCCCFC"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7</w:t>
            </w:r>
            <w:r w:rsidRPr="002D2F67">
              <w:rPr>
                <w:rFonts w:ascii="Arial" w:hAnsi="Arial" w:cs="Arial"/>
                <w:color w:val="000000"/>
                <w:sz w:val="18"/>
                <w:szCs w:val="18"/>
              </w:rPr>
              <w:t>,</w:t>
            </w:r>
            <w:r w:rsidR="00CD5714" w:rsidRPr="00CD5714">
              <w:rPr>
                <w:rFonts w:ascii="Arial" w:hAnsi="Arial" w:cs="Arial"/>
                <w:color w:val="000000"/>
                <w:sz w:val="18"/>
                <w:szCs w:val="18"/>
                <w:lang w:val="en-GB"/>
              </w:rPr>
              <w:t>360</w:t>
            </w:r>
            <w:r w:rsidRPr="002D2F67">
              <w:rPr>
                <w:rFonts w:ascii="Arial" w:hAnsi="Arial" w:cs="Arial"/>
                <w:color w:val="000000"/>
                <w:sz w:val="18"/>
                <w:szCs w:val="18"/>
              </w:rPr>
              <w:t>)</w:t>
            </w:r>
          </w:p>
        </w:tc>
        <w:tc>
          <w:tcPr>
            <w:tcW w:w="1555" w:type="dxa"/>
            <w:shd w:val="clear" w:color="auto" w:fill="auto"/>
            <w:vAlign w:val="bottom"/>
          </w:tcPr>
          <w:p w14:paraId="5915563F" w14:textId="4AEDAD5A"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174</w:t>
            </w:r>
            <w:r w:rsidRPr="002D2F67">
              <w:rPr>
                <w:rFonts w:ascii="Arial" w:hAnsi="Arial" w:cs="Arial"/>
                <w:color w:val="000000"/>
                <w:sz w:val="18"/>
                <w:szCs w:val="18"/>
              </w:rPr>
              <w:t>,</w:t>
            </w:r>
            <w:r w:rsidR="00CD5714" w:rsidRPr="00CD5714">
              <w:rPr>
                <w:rFonts w:ascii="Arial" w:hAnsi="Arial" w:cs="Arial"/>
                <w:color w:val="000000"/>
                <w:sz w:val="18"/>
                <w:szCs w:val="18"/>
                <w:lang w:val="en-GB"/>
              </w:rPr>
              <w:t>049</w:t>
            </w:r>
            <w:r w:rsidRPr="002D2F67">
              <w:rPr>
                <w:rFonts w:ascii="Arial" w:hAnsi="Arial" w:cs="Arial"/>
                <w:color w:val="000000"/>
                <w:sz w:val="18"/>
                <w:szCs w:val="18"/>
              </w:rPr>
              <w:t>)</w:t>
            </w:r>
          </w:p>
        </w:tc>
        <w:tc>
          <w:tcPr>
            <w:tcW w:w="1583" w:type="dxa"/>
            <w:shd w:val="clear" w:color="auto" w:fill="auto"/>
            <w:vAlign w:val="bottom"/>
          </w:tcPr>
          <w:p w14:paraId="229A9B76" w14:textId="3B6747F0"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w:t>
            </w:r>
            <w:r w:rsidRPr="002D2F67">
              <w:rPr>
                <w:rFonts w:ascii="Arial" w:hAnsi="Arial" w:cs="Arial"/>
                <w:color w:val="000000"/>
                <w:sz w:val="18"/>
                <w:szCs w:val="18"/>
              </w:rPr>
              <w:t>,</w:t>
            </w:r>
            <w:r w:rsidR="00CD5714" w:rsidRPr="00CD5714">
              <w:rPr>
                <w:rFonts w:ascii="Arial" w:hAnsi="Arial" w:cs="Arial"/>
                <w:color w:val="000000"/>
                <w:sz w:val="18"/>
                <w:szCs w:val="18"/>
                <w:lang w:val="en-GB"/>
              </w:rPr>
              <w:t>172</w:t>
            </w:r>
            <w:r w:rsidRPr="002D2F67">
              <w:rPr>
                <w:rFonts w:ascii="Arial" w:hAnsi="Arial" w:cs="Arial"/>
                <w:color w:val="000000"/>
                <w:sz w:val="18"/>
                <w:szCs w:val="18"/>
              </w:rPr>
              <w:t>,</w:t>
            </w:r>
            <w:r w:rsidR="00CD5714" w:rsidRPr="00CD5714">
              <w:rPr>
                <w:rFonts w:ascii="Arial" w:hAnsi="Arial" w:cs="Arial"/>
                <w:color w:val="000000"/>
                <w:sz w:val="18"/>
                <w:szCs w:val="18"/>
                <w:lang w:val="en-GB"/>
              </w:rPr>
              <w:t>873</w:t>
            </w:r>
            <w:r w:rsidRPr="002D2F67">
              <w:rPr>
                <w:rFonts w:ascii="Arial" w:hAnsi="Arial" w:cs="Arial"/>
                <w:color w:val="000000"/>
                <w:sz w:val="18"/>
                <w:szCs w:val="18"/>
              </w:rPr>
              <w:t>)</w:t>
            </w:r>
          </w:p>
        </w:tc>
      </w:tr>
      <w:tr w:rsidR="001C3CA2" w:rsidRPr="002D2F67" w14:paraId="15D11A02" w14:textId="77777777" w:rsidTr="005611FE">
        <w:tc>
          <w:tcPr>
            <w:tcW w:w="4469" w:type="dxa"/>
            <w:shd w:val="clear" w:color="auto" w:fill="auto"/>
            <w:vAlign w:val="bottom"/>
          </w:tcPr>
          <w:p w14:paraId="6693F467" w14:textId="77777777" w:rsidR="001C3CA2" w:rsidRPr="002D2F67" w:rsidRDefault="001C3CA2" w:rsidP="001C3CA2">
            <w:pPr>
              <w:ind w:left="207"/>
              <w:rPr>
                <w:rFonts w:ascii="Arial" w:hAnsi="Arial" w:cs="Arial"/>
                <w:color w:val="000000"/>
                <w:sz w:val="18"/>
                <w:szCs w:val="18"/>
              </w:rPr>
            </w:pPr>
            <w:r w:rsidRPr="002D2F67">
              <w:rPr>
                <w:rFonts w:ascii="Arial" w:hAnsi="Arial" w:cs="Arial"/>
                <w:color w:val="000000"/>
                <w:sz w:val="18"/>
                <w:szCs w:val="18"/>
              </w:rPr>
              <w:t>Currency translation differences</w:t>
            </w:r>
          </w:p>
        </w:tc>
        <w:tc>
          <w:tcPr>
            <w:tcW w:w="1381" w:type="dxa"/>
            <w:tcBorders>
              <w:bottom w:val="single" w:sz="4" w:space="0" w:color="auto"/>
            </w:tcBorders>
            <w:shd w:val="clear" w:color="auto" w:fill="auto"/>
            <w:vAlign w:val="bottom"/>
          </w:tcPr>
          <w:p w14:paraId="55141019" w14:textId="6B1936D6"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p>
        </w:tc>
        <w:tc>
          <w:tcPr>
            <w:tcW w:w="1375" w:type="dxa"/>
            <w:tcBorders>
              <w:bottom w:val="single" w:sz="4" w:space="0" w:color="auto"/>
            </w:tcBorders>
            <w:shd w:val="clear" w:color="auto" w:fill="auto"/>
            <w:vAlign w:val="bottom"/>
          </w:tcPr>
          <w:p w14:paraId="7DBA7282" w14:textId="155B8C28"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w:t>
            </w:r>
            <w:r w:rsidRPr="002D2F67">
              <w:rPr>
                <w:rFonts w:ascii="Arial" w:hAnsi="Arial" w:cs="Arial"/>
                <w:color w:val="000000"/>
                <w:sz w:val="18"/>
                <w:szCs w:val="18"/>
              </w:rPr>
              <w:t>,</w:t>
            </w:r>
            <w:r w:rsidR="00CD5714" w:rsidRPr="00CD5714">
              <w:rPr>
                <w:rFonts w:ascii="Arial" w:hAnsi="Arial" w:cs="Arial"/>
                <w:color w:val="000000"/>
                <w:sz w:val="18"/>
                <w:szCs w:val="18"/>
                <w:lang w:val="en-GB"/>
              </w:rPr>
              <w:t>014</w:t>
            </w:r>
            <w:r w:rsidRPr="002D2F67">
              <w:rPr>
                <w:rFonts w:ascii="Arial" w:hAnsi="Arial" w:cs="Arial"/>
                <w:color w:val="000000"/>
                <w:sz w:val="18"/>
                <w:szCs w:val="18"/>
              </w:rPr>
              <w:t>)</w:t>
            </w:r>
          </w:p>
        </w:tc>
        <w:tc>
          <w:tcPr>
            <w:tcW w:w="1548" w:type="dxa"/>
            <w:tcBorders>
              <w:bottom w:val="single" w:sz="4" w:space="0" w:color="auto"/>
            </w:tcBorders>
            <w:shd w:val="clear" w:color="auto" w:fill="auto"/>
            <w:vAlign w:val="bottom"/>
          </w:tcPr>
          <w:p w14:paraId="74C7E6DA" w14:textId="161DF80E"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22"/>
                <w:lang w:val="en-GB"/>
              </w:rPr>
              <w:t>18</w:t>
            </w:r>
            <w:r w:rsidRPr="002D2F67">
              <w:rPr>
                <w:rFonts w:ascii="Arial" w:hAnsi="Arial" w:cs="Arial"/>
                <w:color w:val="000000"/>
                <w:sz w:val="18"/>
                <w:szCs w:val="18"/>
              </w:rPr>
              <w:t>,</w:t>
            </w:r>
            <w:r w:rsidR="00CD5714" w:rsidRPr="00CD5714">
              <w:rPr>
                <w:rFonts w:ascii="Arial" w:hAnsi="Arial" w:cs="Arial"/>
                <w:color w:val="000000"/>
                <w:sz w:val="18"/>
                <w:szCs w:val="18"/>
                <w:lang w:val="en-GB"/>
              </w:rPr>
              <w:t>731</w:t>
            </w:r>
            <w:r w:rsidRPr="002D2F67">
              <w:rPr>
                <w:rFonts w:ascii="Arial" w:hAnsi="Arial" w:cs="Arial"/>
                <w:color w:val="000000"/>
                <w:sz w:val="18"/>
                <w:szCs w:val="18"/>
              </w:rPr>
              <w:t>)</w:t>
            </w:r>
          </w:p>
        </w:tc>
        <w:tc>
          <w:tcPr>
            <w:tcW w:w="1958" w:type="dxa"/>
            <w:tcBorders>
              <w:bottom w:val="single" w:sz="4" w:space="0" w:color="auto"/>
            </w:tcBorders>
            <w:shd w:val="clear" w:color="auto" w:fill="auto"/>
            <w:vAlign w:val="bottom"/>
          </w:tcPr>
          <w:p w14:paraId="33F01C54" w14:textId="2E1A1DB2"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p>
        </w:tc>
        <w:tc>
          <w:tcPr>
            <w:tcW w:w="1800" w:type="dxa"/>
            <w:tcBorders>
              <w:bottom w:val="single" w:sz="4" w:space="0" w:color="auto"/>
            </w:tcBorders>
            <w:shd w:val="clear" w:color="auto" w:fill="auto"/>
            <w:vAlign w:val="bottom"/>
          </w:tcPr>
          <w:p w14:paraId="1D7B81FB" w14:textId="079A67BA"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2</w:t>
            </w:r>
            <w:r w:rsidRPr="002D2F67">
              <w:rPr>
                <w:rFonts w:ascii="Arial" w:hAnsi="Arial" w:cs="Arial"/>
                <w:color w:val="000000"/>
                <w:sz w:val="18"/>
                <w:szCs w:val="18"/>
              </w:rPr>
              <w:t>,</w:t>
            </w:r>
            <w:r w:rsidR="00CD5714" w:rsidRPr="00CD5714">
              <w:rPr>
                <w:rFonts w:ascii="Arial" w:hAnsi="Arial" w:cs="Arial"/>
                <w:color w:val="000000"/>
                <w:sz w:val="18"/>
                <w:szCs w:val="18"/>
                <w:lang w:val="en-GB"/>
              </w:rPr>
              <w:t>014</w:t>
            </w:r>
            <w:r w:rsidRPr="002D2F67">
              <w:rPr>
                <w:rFonts w:ascii="Arial" w:hAnsi="Arial" w:cs="Arial"/>
                <w:color w:val="000000"/>
                <w:sz w:val="18"/>
                <w:szCs w:val="18"/>
              </w:rPr>
              <w:t>)</w:t>
            </w:r>
          </w:p>
        </w:tc>
        <w:tc>
          <w:tcPr>
            <w:tcW w:w="1555" w:type="dxa"/>
            <w:tcBorders>
              <w:bottom w:val="single" w:sz="4" w:space="0" w:color="auto"/>
            </w:tcBorders>
            <w:shd w:val="clear" w:color="auto" w:fill="auto"/>
            <w:vAlign w:val="bottom"/>
          </w:tcPr>
          <w:p w14:paraId="26364E41" w14:textId="476EFDFA"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1</w:t>
            </w:r>
            <w:r w:rsidR="001C3CA2" w:rsidRPr="002D2F67">
              <w:rPr>
                <w:rFonts w:ascii="Arial" w:hAnsi="Arial" w:cs="Arial"/>
                <w:color w:val="000000"/>
                <w:sz w:val="18"/>
                <w:szCs w:val="18"/>
              </w:rPr>
              <w:t>,</w:t>
            </w:r>
            <w:r w:rsidRPr="00CD5714">
              <w:rPr>
                <w:rFonts w:ascii="Arial" w:hAnsi="Arial" w:cs="Arial"/>
                <w:color w:val="000000"/>
                <w:sz w:val="18"/>
                <w:szCs w:val="18"/>
                <w:lang w:val="en-GB"/>
              </w:rPr>
              <w:t>221</w:t>
            </w:r>
          </w:p>
        </w:tc>
        <w:tc>
          <w:tcPr>
            <w:tcW w:w="1583" w:type="dxa"/>
            <w:tcBorders>
              <w:bottom w:val="single" w:sz="4" w:space="0" w:color="auto"/>
            </w:tcBorders>
            <w:shd w:val="clear" w:color="auto" w:fill="auto"/>
            <w:vAlign w:val="bottom"/>
          </w:tcPr>
          <w:p w14:paraId="0C64E5D0" w14:textId="2A303A0B" w:rsidR="001C3CA2" w:rsidRPr="002D2F67" w:rsidRDefault="001C3CA2" w:rsidP="001C3CA2">
            <w:pPr>
              <w:ind w:right="-72"/>
              <w:jc w:val="right"/>
              <w:rPr>
                <w:rFonts w:ascii="Arial" w:hAnsi="Arial" w:cs="Arial"/>
                <w:color w:val="000000"/>
                <w:sz w:val="18"/>
                <w:szCs w:val="18"/>
                <w:highlight w:val="yellow"/>
              </w:rPr>
            </w:pPr>
            <w:r w:rsidRPr="002D2F67">
              <w:rPr>
                <w:rFonts w:ascii="Arial" w:hAnsi="Arial" w:cs="Arial"/>
                <w:color w:val="000000"/>
                <w:sz w:val="18"/>
                <w:szCs w:val="18"/>
              </w:rPr>
              <w:t>(</w:t>
            </w:r>
            <w:r w:rsidR="00CD5714" w:rsidRPr="00CD5714">
              <w:rPr>
                <w:rFonts w:ascii="Arial" w:hAnsi="Arial" w:cs="Arial"/>
                <w:color w:val="000000"/>
                <w:sz w:val="18"/>
                <w:szCs w:val="18"/>
                <w:lang w:val="en-GB"/>
              </w:rPr>
              <w:t>20</w:t>
            </w:r>
            <w:r w:rsidRPr="002D2F67">
              <w:rPr>
                <w:rFonts w:ascii="Arial" w:hAnsi="Arial" w:cs="Arial"/>
                <w:color w:val="000000"/>
                <w:sz w:val="18"/>
                <w:szCs w:val="18"/>
              </w:rPr>
              <w:t>,</w:t>
            </w:r>
            <w:r w:rsidR="00CD5714" w:rsidRPr="00CD5714">
              <w:rPr>
                <w:rFonts w:ascii="Arial" w:hAnsi="Arial" w:cs="Arial"/>
                <w:color w:val="000000"/>
                <w:sz w:val="18"/>
                <w:szCs w:val="18"/>
                <w:lang w:val="en-GB"/>
              </w:rPr>
              <w:t>538</w:t>
            </w:r>
            <w:r w:rsidRPr="002D2F67">
              <w:rPr>
                <w:rFonts w:ascii="Arial" w:hAnsi="Arial" w:cs="Arial"/>
                <w:color w:val="000000"/>
                <w:sz w:val="18"/>
                <w:szCs w:val="18"/>
              </w:rPr>
              <w:t>)</w:t>
            </w:r>
          </w:p>
        </w:tc>
      </w:tr>
      <w:tr w:rsidR="001C3CA2" w:rsidRPr="002D2F67" w14:paraId="0D24A4FF" w14:textId="77777777" w:rsidTr="005611FE">
        <w:tc>
          <w:tcPr>
            <w:tcW w:w="4469" w:type="dxa"/>
            <w:shd w:val="clear" w:color="auto" w:fill="auto"/>
          </w:tcPr>
          <w:p w14:paraId="11DF701C" w14:textId="77777777" w:rsidR="001C3CA2" w:rsidRPr="002D2F67" w:rsidRDefault="001C3CA2" w:rsidP="001C3CA2">
            <w:pPr>
              <w:ind w:left="207"/>
              <w:rPr>
                <w:rFonts w:ascii="Arial" w:hAnsi="Arial" w:cs="Arial"/>
                <w:b/>
                <w:bCs/>
                <w:color w:val="000000"/>
                <w:sz w:val="12"/>
                <w:szCs w:val="12"/>
              </w:rPr>
            </w:pPr>
          </w:p>
        </w:tc>
        <w:tc>
          <w:tcPr>
            <w:tcW w:w="1381" w:type="dxa"/>
            <w:tcBorders>
              <w:top w:val="single" w:sz="4" w:space="0" w:color="auto"/>
            </w:tcBorders>
            <w:shd w:val="clear" w:color="auto" w:fill="auto"/>
          </w:tcPr>
          <w:p w14:paraId="43DC8A2F" w14:textId="2807B0F1" w:rsidR="001C3CA2" w:rsidRPr="002D2F67" w:rsidRDefault="001C3CA2" w:rsidP="001C3CA2">
            <w:pPr>
              <w:ind w:right="-72"/>
              <w:jc w:val="right"/>
              <w:rPr>
                <w:rFonts w:ascii="Arial" w:hAnsi="Arial" w:cs="Arial"/>
                <w:b/>
                <w:bCs/>
                <w:color w:val="000000"/>
                <w:sz w:val="12"/>
                <w:szCs w:val="12"/>
              </w:rPr>
            </w:pPr>
          </w:p>
        </w:tc>
        <w:tc>
          <w:tcPr>
            <w:tcW w:w="1375" w:type="dxa"/>
            <w:tcBorders>
              <w:top w:val="single" w:sz="4" w:space="0" w:color="auto"/>
            </w:tcBorders>
            <w:shd w:val="clear" w:color="auto" w:fill="auto"/>
          </w:tcPr>
          <w:p w14:paraId="7EAE06C3" w14:textId="77777777" w:rsidR="001C3CA2" w:rsidRPr="002D2F67" w:rsidRDefault="001C3CA2" w:rsidP="001C3CA2">
            <w:pPr>
              <w:ind w:right="-72"/>
              <w:jc w:val="right"/>
              <w:rPr>
                <w:rFonts w:ascii="Arial" w:hAnsi="Arial" w:cs="Arial"/>
                <w:b/>
                <w:bCs/>
                <w:color w:val="000000"/>
                <w:sz w:val="12"/>
                <w:szCs w:val="12"/>
              </w:rPr>
            </w:pPr>
          </w:p>
        </w:tc>
        <w:tc>
          <w:tcPr>
            <w:tcW w:w="1548" w:type="dxa"/>
            <w:tcBorders>
              <w:top w:val="single" w:sz="4" w:space="0" w:color="auto"/>
            </w:tcBorders>
            <w:shd w:val="clear" w:color="auto" w:fill="auto"/>
          </w:tcPr>
          <w:p w14:paraId="754650EF" w14:textId="77777777" w:rsidR="001C3CA2" w:rsidRPr="002D2F67" w:rsidRDefault="001C3CA2" w:rsidP="001C3CA2">
            <w:pPr>
              <w:ind w:right="-72"/>
              <w:jc w:val="right"/>
              <w:rPr>
                <w:rFonts w:ascii="Arial" w:hAnsi="Arial" w:cs="Arial"/>
                <w:b/>
                <w:bCs/>
                <w:color w:val="000000"/>
                <w:sz w:val="12"/>
                <w:szCs w:val="12"/>
              </w:rPr>
            </w:pPr>
          </w:p>
        </w:tc>
        <w:tc>
          <w:tcPr>
            <w:tcW w:w="1958" w:type="dxa"/>
            <w:tcBorders>
              <w:top w:val="single" w:sz="4" w:space="0" w:color="auto"/>
            </w:tcBorders>
            <w:shd w:val="clear" w:color="auto" w:fill="auto"/>
          </w:tcPr>
          <w:p w14:paraId="259BE8D2" w14:textId="77777777" w:rsidR="001C3CA2" w:rsidRPr="002D2F67" w:rsidRDefault="001C3CA2" w:rsidP="001C3CA2">
            <w:pPr>
              <w:ind w:right="-72"/>
              <w:jc w:val="right"/>
              <w:rPr>
                <w:rFonts w:ascii="Arial" w:hAnsi="Arial" w:cs="Arial"/>
                <w:b/>
                <w:bCs/>
                <w:color w:val="000000"/>
                <w:sz w:val="12"/>
                <w:szCs w:val="12"/>
              </w:rPr>
            </w:pPr>
          </w:p>
        </w:tc>
        <w:tc>
          <w:tcPr>
            <w:tcW w:w="1800" w:type="dxa"/>
            <w:tcBorders>
              <w:top w:val="single" w:sz="4" w:space="0" w:color="auto"/>
            </w:tcBorders>
            <w:shd w:val="clear" w:color="auto" w:fill="auto"/>
          </w:tcPr>
          <w:p w14:paraId="693F8DD6" w14:textId="77777777" w:rsidR="001C3CA2" w:rsidRPr="002D2F67" w:rsidRDefault="001C3CA2" w:rsidP="001C3CA2">
            <w:pPr>
              <w:ind w:right="-72"/>
              <w:jc w:val="right"/>
              <w:rPr>
                <w:rFonts w:ascii="Arial" w:hAnsi="Arial" w:cs="Arial"/>
                <w:b/>
                <w:bCs/>
                <w:color w:val="000000"/>
                <w:sz w:val="12"/>
                <w:szCs w:val="12"/>
              </w:rPr>
            </w:pPr>
          </w:p>
        </w:tc>
        <w:tc>
          <w:tcPr>
            <w:tcW w:w="1555" w:type="dxa"/>
            <w:tcBorders>
              <w:top w:val="single" w:sz="4" w:space="0" w:color="auto"/>
            </w:tcBorders>
            <w:shd w:val="clear" w:color="auto" w:fill="auto"/>
          </w:tcPr>
          <w:p w14:paraId="46314ADF" w14:textId="77777777" w:rsidR="001C3CA2" w:rsidRPr="002D2F67" w:rsidRDefault="001C3CA2" w:rsidP="001C3CA2">
            <w:pPr>
              <w:ind w:right="-72"/>
              <w:jc w:val="right"/>
              <w:rPr>
                <w:rFonts w:ascii="Arial" w:hAnsi="Arial" w:cs="Arial"/>
                <w:b/>
                <w:bCs/>
                <w:color w:val="000000"/>
                <w:sz w:val="12"/>
                <w:szCs w:val="12"/>
              </w:rPr>
            </w:pPr>
          </w:p>
        </w:tc>
        <w:tc>
          <w:tcPr>
            <w:tcW w:w="1583" w:type="dxa"/>
            <w:tcBorders>
              <w:top w:val="single" w:sz="4" w:space="0" w:color="auto"/>
            </w:tcBorders>
            <w:shd w:val="clear" w:color="auto" w:fill="auto"/>
          </w:tcPr>
          <w:p w14:paraId="6C1217B6" w14:textId="77777777" w:rsidR="001C3CA2" w:rsidRPr="002D2F67" w:rsidRDefault="001C3CA2" w:rsidP="001C3CA2">
            <w:pPr>
              <w:ind w:right="-72"/>
              <w:jc w:val="right"/>
              <w:rPr>
                <w:rFonts w:ascii="Arial" w:hAnsi="Arial" w:cs="Arial"/>
                <w:b/>
                <w:bCs/>
                <w:color w:val="000000"/>
                <w:sz w:val="12"/>
                <w:szCs w:val="12"/>
              </w:rPr>
            </w:pPr>
          </w:p>
        </w:tc>
      </w:tr>
      <w:tr w:rsidR="001C3CA2" w:rsidRPr="002D2F67" w14:paraId="63E4CCE1" w14:textId="77777777" w:rsidTr="005611FE">
        <w:tc>
          <w:tcPr>
            <w:tcW w:w="4469" w:type="dxa"/>
            <w:shd w:val="clear" w:color="auto" w:fill="auto"/>
            <w:vAlign w:val="bottom"/>
          </w:tcPr>
          <w:p w14:paraId="51DA7220" w14:textId="77777777" w:rsidR="001C3CA2" w:rsidRPr="002D2F67" w:rsidRDefault="001C3CA2" w:rsidP="001C3CA2">
            <w:pPr>
              <w:ind w:left="207"/>
              <w:rPr>
                <w:rFonts w:ascii="Arial" w:hAnsi="Arial" w:cs="Arial"/>
                <w:color w:val="000000"/>
                <w:sz w:val="18"/>
                <w:szCs w:val="18"/>
              </w:rPr>
            </w:pPr>
            <w:r w:rsidRPr="002D2F67">
              <w:rPr>
                <w:rFonts w:ascii="Arial" w:hAnsi="Arial" w:cs="Arial"/>
                <w:color w:val="000000"/>
                <w:sz w:val="18"/>
                <w:szCs w:val="18"/>
              </w:rPr>
              <w:t>Closing net book value</w:t>
            </w:r>
          </w:p>
        </w:tc>
        <w:tc>
          <w:tcPr>
            <w:tcW w:w="1381" w:type="dxa"/>
            <w:tcBorders>
              <w:bottom w:val="single" w:sz="4" w:space="0" w:color="auto"/>
            </w:tcBorders>
            <w:shd w:val="clear" w:color="auto" w:fill="auto"/>
            <w:vAlign w:val="bottom"/>
          </w:tcPr>
          <w:p w14:paraId="445904E6" w14:textId="13D89480"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2</w:t>
            </w:r>
            <w:r w:rsidR="001C3CA2" w:rsidRPr="002D2F67">
              <w:rPr>
                <w:rFonts w:ascii="Arial" w:hAnsi="Arial" w:cs="Arial"/>
                <w:color w:val="000000"/>
                <w:sz w:val="18"/>
                <w:szCs w:val="18"/>
              </w:rPr>
              <w:t>,</w:t>
            </w:r>
            <w:r w:rsidRPr="00CD5714">
              <w:rPr>
                <w:rFonts w:ascii="Arial" w:hAnsi="Arial" w:cs="Arial"/>
                <w:color w:val="000000"/>
                <w:sz w:val="18"/>
                <w:szCs w:val="18"/>
                <w:lang w:val="en-GB"/>
              </w:rPr>
              <w:t>080</w:t>
            </w:r>
            <w:r w:rsidR="001C3CA2" w:rsidRPr="002D2F67">
              <w:rPr>
                <w:rFonts w:ascii="Arial" w:hAnsi="Arial" w:cs="Arial"/>
                <w:color w:val="000000"/>
                <w:sz w:val="18"/>
                <w:szCs w:val="18"/>
              </w:rPr>
              <w:t>,</w:t>
            </w:r>
            <w:r w:rsidRPr="00CD5714">
              <w:rPr>
                <w:rFonts w:ascii="Arial" w:hAnsi="Arial" w:cs="Arial"/>
                <w:color w:val="000000"/>
                <w:sz w:val="18"/>
                <w:szCs w:val="18"/>
                <w:lang w:val="en-GB"/>
              </w:rPr>
              <w:t>642</w:t>
            </w:r>
          </w:p>
        </w:tc>
        <w:tc>
          <w:tcPr>
            <w:tcW w:w="1375" w:type="dxa"/>
            <w:tcBorders>
              <w:bottom w:val="single" w:sz="4" w:space="0" w:color="auto"/>
            </w:tcBorders>
            <w:shd w:val="clear" w:color="auto" w:fill="auto"/>
            <w:vAlign w:val="bottom"/>
          </w:tcPr>
          <w:p w14:paraId="261DCC24" w14:textId="59599303"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4</w:t>
            </w:r>
            <w:r w:rsidR="001C3CA2" w:rsidRPr="002D2F67">
              <w:rPr>
                <w:rFonts w:ascii="Arial" w:hAnsi="Arial" w:cs="Arial"/>
                <w:color w:val="000000"/>
                <w:sz w:val="18"/>
                <w:szCs w:val="18"/>
              </w:rPr>
              <w:t>,</w:t>
            </w:r>
            <w:r w:rsidRPr="00CD5714">
              <w:rPr>
                <w:rFonts w:ascii="Arial" w:hAnsi="Arial" w:cs="Arial"/>
                <w:color w:val="000000"/>
                <w:sz w:val="18"/>
                <w:szCs w:val="18"/>
                <w:lang w:val="en-GB"/>
              </w:rPr>
              <w:t>752</w:t>
            </w:r>
            <w:r w:rsidR="001C3CA2" w:rsidRPr="002D2F67">
              <w:rPr>
                <w:rFonts w:ascii="Arial" w:hAnsi="Arial" w:cs="Arial"/>
                <w:color w:val="000000"/>
                <w:sz w:val="18"/>
                <w:szCs w:val="18"/>
              </w:rPr>
              <w:t>,</w:t>
            </w:r>
            <w:r w:rsidRPr="00CD5714">
              <w:rPr>
                <w:rFonts w:ascii="Arial" w:hAnsi="Arial" w:cs="Arial"/>
                <w:color w:val="000000"/>
                <w:sz w:val="18"/>
                <w:szCs w:val="18"/>
                <w:lang w:val="en-GB"/>
              </w:rPr>
              <w:t>457</w:t>
            </w:r>
          </w:p>
        </w:tc>
        <w:tc>
          <w:tcPr>
            <w:tcW w:w="1548" w:type="dxa"/>
            <w:tcBorders>
              <w:bottom w:val="single" w:sz="4" w:space="0" w:color="auto"/>
            </w:tcBorders>
            <w:shd w:val="clear" w:color="auto" w:fill="auto"/>
            <w:vAlign w:val="bottom"/>
          </w:tcPr>
          <w:p w14:paraId="602D39B9" w14:textId="1740DC36"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4</w:t>
            </w:r>
            <w:r w:rsidR="001C3CA2" w:rsidRPr="002D2F67">
              <w:rPr>
                <w:rFonts w:ascii="Arial" w:hAnsi="Arial" w:cs="Arial"/>
                <w:color w:val="000000"/>
                <w:sz w:val="18"/>
                <w:szCs w:val="18"/>
              </w:rPr>
              <w:t>,</w:t>
            </w:r>
            <w:r w:rsidRPr="00CD5714">
              <w:rPr>
                <w:rFonts w:ascii="Arial" w:hAnsi="Arial" w:cs="Arial"/>
                <w:color w:val="000000"/>
                <w:sz w:val="18"/>
                <w:szCs w:val="18"/>
                <w:lang w:val="en-GB"/>
              </w:rPr>
              <w:t>787</w:t>
            </w:r>
            <w:r w:rsidR="001C3CA2" w:rsidRPr="002D2F67">
              <w:rPr>
                <w:rFonts w:ascii="Arial" w:hAnsi="Arial" w:cs="Arial"/>
                <w:color w:val="000000"/>
                <w:sz w:val="18"/>
                <w:szCs w:val="18"/>
              </w:rPr>
              <w:t>,</w:t>
            </w:r>
            <w:r w:rsidRPr="00CD5714">
              <w:rPr>
                <w:rFonts w:ascii="Arial" w:hAnsi="Arial" w:cs="Arial"/>
                <w:color w:val="000000"/>
                <w:sz w:val="18"/>
                <w:szCs w:val="18"/>
                <w:lang w:val="en-GB"/>
              </w:rPr>
              <w:t>326</w:t>
            </w:r>
          </w:p>
        </w:tc>
        <w:tc>
          <w:tcPr>
            <w:tcW w:w="1958" w:type="dxa"/>
            <w:tcBorders>
              <w:bottom w:val="single" w:sz="4" w:space="0" w:color="auto"/>
            </w:tcBorders>
            <w:shd w:val="clear" w:color="auto" w:fill="auto"/>
            <w:vAlign w:val="bottom"/>
          </w:tcPr>
          <w:p w14:paraId="420C5456" w14:textId="3EF7337B"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39</w:t>
            </w:r>
            <w:r w:rsidR="001C3CA2" w:rsidRPr="002D2F67">
              <w:rPr>
                <w:rFonts w:ascii="Arial" w:hAnsi="Arial" w:cs="Arial"/>
                <w:color w:val="000000"/>
                <w:sz w:val="18"/>
                <w:szCs w:val="18"/>
              </w:rPr>
              <w:t>,</w:t>
            </w:r>
            <w:r w:rsidRPr="00CD5714">
              <w:rPr>
                <w:rFonts w:ascii="Arial" w:hAnsi="Arial" w:cs="Arial"/>
                <w:color w:val="000000"/>
                <w:sz w:val="18"/>
                <w:szCs w:val="18"/>
                <w:lang w:val="en-GB"/>
              </w:rPr>
              <w:t>865</w:t>
            </w:r>
            <w:r w:rsidR="001C3CA2" w:rsidRPr="002D2F67">
              <w:rPr>
                <w:rFonts w:ascii="Arial" w:hAnsi="Arial" w:cs="Arial"/>
                <w:color w:val="000000"/>
                <w:sz w:val="18"/>
                <w:szCs w:val="18"/>
              </w:rPr>
              <w:t>,</w:t>
            </w:r>
            <w:r w:rsidRPr="00CD5714">
              <w:rPr>
                <w:rFonts w:ascii="Arial" w:hAnsi="Arial" w:cs="Arial"/>
                <w:color w:val="000000"/>
                <w:sz w:val="18"/>
                <w:szCs w:val="18"/>
                <w:lang w:val="en-GB"/>
              </w:rPr>
              <w:t>467</w:t>
            </w:r>
          </w:p>
        </w:tc>
        <w:tc>
          <w:tcPr>
            <w:tcW w:w="1800" w:type="dxa"/>
            <w:tcBorders>
              <w:bottom w:val="single" w:sz="4" w:space="0" w:color="auto"/>
            </w:tcBorders>
            <w:shd w:val="clear" w:color="auto" w:fill="auto"/>
            <w:vAlign w:val="bottom"/>
          </w:tcPr>
          <w:p w14:paraId="6E0C30D2" w14:textId="0C231B7F"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123</w:t>
            </w:r>
            <w:r w:rsidR="001C3CA2" w:rsidRPr="002D2F67">
              <w:rPr>
                <w:rFonts w:ascii="Arial" w:hAnsi="Arial" w:cs="Arial"/>
                <w:color w:val="000000"/>
                <w:sz w:val="18"/>
                <w:szCs w:val="18"/>
              </w:rPr>
              <w:t>,</w:t>
            </w:r>
            <w:r w:rsidRPr="00CD5714">
              <w:rPr>
                <w:rFonts w:ascii="Arial" w:hAnsi="Arial" w:cs="Arial"/>
                <w:color w:val="000000"/>
                <w:sz w:val="18"/>
                <w:szCs w:val="18"/>
                <w:lang w:val="en-GB"/>
              </w:rPr>
              <w:t>246</w:t>
            </w:r>
          </w:p>
        </w:tc>
        <w:tc>
          <w:tcPr>
            <w:tcW w:w="1555" w:type="dxa"/>
            <w:tcBorders>
              <w:bottom w:val="single" w:sz="4" w:space="0" w:color="auto"/>
            </w:tcBorders>
            <w:shd w:val="clear" w:color="auto" w:fill="auto"/>
            <w:vAlign w:val="bottom"/>
          </w:tcPr>
          <w:p w14:paraId="64B9D05D" w14:textId="1964A86A"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3</w:t>
            </w:r>
            <w:r w:rsidR="001C3CA2" w:rsidRPr="002D2F67">
              <w:rPr>
                <w:rFonts w:ascii="Arial" w:hAnsi="Arial" w:cs="Arial"/>
                <w:color w:val="000000"/>
                <w:sz w:val="18"/>
                <w:szCs w:val="18"/>
              </w:rPr>
              <w:t>,</w:t>
            </w:r>
            <w:r w:rsidRPr="00CD5714">
              <w:rPr>
                <w:rFonts w:ascii="Arial" w:hAnsi="Arial" w:cs="Arial"/>
                <w:color w:val="000000"/>
                <w:sz w:val="18"/>
                <w:szCs w:val="18"/>
                <w:lang w:val="en-GB"/>
              </w:rPr>
              <w:t>607</w:t>
            </w:r>
            <w:r w:rsidR="001C3CA2" w:rsidRPr="002D2F67">
              <w:rPr>
                <w:rFonts w:ascii="Arial" w:hAnsi="Arial" w:cs="Arial"/>
                <w:color w:val="000000"/>
                <w:sz w:val="18"/>
                <w:szCs w:val="18"/>
              </w:rPr>
              <w:t>,</w:t>
            </w:r>
            <w:r w:rsidRPr="00CD5714">
              <w:rPr>
                <w:rFonts w:ascii="Arial" w:hAnsi="Arial" w:cs="Arial"/>
                <w:color w:val="000000"/>
                <w:sz w:val="18"/>
                <w:szCs w:val="18"/>
                <w:lang w:val="en-GB"/>
              </w:rPr>
              <w:t>429</w:t>
            </w:r>
          </w:p>
        </w:tc>
        <w:tc>
          <w:tcPr>
            <w:tcW w:w="1583" w:type="dxa"/>
            <w:tcBorders>
              <w:bottom w:val="single" w:sz="4" w:space="0" w:color="auto"/>
            </w:tcBorders>
            <w:shd w:val="clear" w:color="auto" w:fill="auto"/>
            <w:vAlign w:val="bottom"/>
          </w:tcPr>
          <w:p w14:paraId="477B652A" w14:textId="4A4703C8"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55</w:t>
            </w:r>
            <w:r w:rsidR="001C3CA2" w:rsidRPr="002D2F67">
              <w:rPr>
                <w:rFonts w:ascii="Arial" w:hAnsi="Arial" w:cs="Arial"/>
                <w:color w:val="000000"/>
                <w:sz w:val="18"/>
                <w:szCs w:val="18"/>
              </w:rPr>
              <w:t>,</w:t>
            </w:r>
            <w:r w:rsidRPr="00CD5714">
              <w:rPr>
                <w:rFonts w:ascii="Arial" w:hAnsi="Arial" w:cs="Arial"/>
                <w:color w:val="000000"/>
                <w:sz w:val="18"/>
                <w:szCs w:val="18"/>
                <w:lang w:val="en-GB"/>
              </w:rPr>
              <w:t>219</w:t>
            </w:r>
            <w:r w:rsidR="001C3CA2" w:rsidRPr="002D2F67">
              <w:rPr>
                <w:rFonts w:ascii="Arial" w:hAnsi="Arial" w:cs="Arial"/>
                <w:color w:val="000000"/>
                <w:sz w:val="18"/>
                <w:szCs w:val="18"/>
              </w:rPr>
              <w:t>,</w:t>
            </w:r>
            <w:r w:rsidRPr="00CD5714">
              <w:rPr>
                <w:rFonts w:ascii="Arial" w:hAnsi="Arial" w:cs="Arial"/>
                <w:color w:val="000000"/>
                <w:sz w:val="18"/>
                <w:szCs w:val="18"/>
                <w:lang w:val="en-GB"/>
              </w:rPr>
              <w:t>567</w:t>
            </w:r>
          </w:p>
        </w:tc>
      </w:tr>
      <w:tr w:rsidR="001C3CA2" w:rsidRPr="002D2F67" w14:paraId="26DE2535" w14:textId="77777777" w:rsidTr="005611FE">
        <w:tc>
          <w:tcPr>
            <w:tcW w:w="4469" w:type="dxa"/>
            <w:shd w:val="clear" w:color="auto" w:fill="auto"/>
          </w:tcPr>
          <w:p w14:paraId="5B94BEA9" w14:textId="77777777" w:rsidR="001C3CA2" w:rsidRPr="002D2F67" w:rsidRDefault="001C3CA2" w:rsidP="001C3CA2">
            <w:pPr>
              <w:ind w:left="207"/>
              <w:rPr>
                <w:rFonts w:ascii="Arial" w:hAnsi="Arial" w:cs="Arial"/>
                <w:b/>
                <w:bCs/>
                <w:color w:val="000000"/>
                <w:sz w:val="18"/>
                <w:szCs w:val="18"/>
              </w:rPr>
            </w:pPr>
          </w:p>
        </w:tc>
        <w:tc>
          <w:tcPr>
            <w:tcW w:w="1381" w:type="dxa"/>
            <w:tcBorders>
              <w:top w:val="single" w:sz="4" w:space="0" w:color="auto"/>
            </w:tcBorders>
            <w:shd w:val="clear" w:color="auto" w:fill="auto"/>
          </w:tcPr>
          <w:p w14:paraId="74633AF3" w14:textId="77777777" w:rsidR="001C3CA2" w:rsidRPr="002D2F67" w:rsidRDefault="001C3CA2" w:rsidP="001C3CA2">
            <w:pPr>
              <w:ind w:right="-72"/>
              <w:jc w:val="right"/>
              <w:rPr>
                <w:rFonts w:ascii="Arial" w:hAnsi="Arial" w:cs="Arial"/>
                <w:color w:val="000000"/>
                <w:sz w:val="18"/>
                <w:szCs w:val="18"/>
              </w:rPr>
            </w:pPr>
          </w:p>
        </w:tc>
        <w:tc>
          <w:tcPr>
            <w:tcW w:w="1375" w:type="dxa"/>
            <w:tcBorders>
              <w:top w:val="single" w:sz="4" w:space="0" w:color="auto"/>
            </w:tcBorders>
            <w:shd w:val="clear" w:color="auto" w:fill="auto"/>
          </w:tcPr>
          <w:p w14:paraId="1DD96927" w14:textId="77777777" w:rsidR="001C3CA2" w:rsidRPr="002D2F67" w:rsidRDefault="001C3CA2" w:rsidP="001C3CA2">
            <w:pPr>
              <w:ind w:right="-72"/>
              <w:jc w:val="right"/>
              <w:rPr>
                <w:rFonts w:ascii="Arial" w:hAnsi="Arial" w:cs="Arial"/>
                <w:color w:val="000000"/>
                <w:sz w:val="18"/>
                <w:szCs w:val="18"/>
              </w:rPr>
            </w:pPr>
          </w:p>
        </w:tc>
        <w:tc>
          <w:tcPr>
            <w:tcW w:w="1548" w:type="dxa"/>
            <w:tcBorders>
              <w:top w:val="single" w:sz="4" w:space="0" w:color="auto"/>
            </w:tcBorders>
            <w:shd w:val="clear" w:color="auto" w:fill="auto"/>
          </w:tcPr>
          <w:p w14:paraId="38A3ADCC" w14:textId="77777777" w:rsidR="001C3CA2" w:rsidRPr="002D2F67" w:rsidRDefault="001C3CA2" w:rsidP="001C3CA2">
            <w:pPr>
              <w:ind w:right="-72"/>
              <w:jc w:val="right"/>
              <w:rPr>
                <w:rFonts w:ascii="Arial" w:hAnsi="Arial" w:cs="Arial"/>
                <w:color w:val="000000"/>
                <w:sz w:val="18"/>
                <w:szCs w:val="18"/>
              </w:rPr>
            </w:pPr>
          </w:p>
        </w:tc>
        <w:tc>
          <w:tcPr>
            <w:tcW w:w="1958" w:type="dxa"/>
            <w:tcBorders>
              <w:top w:val="single" w:sz="4" w:space="0" w:color="auto"/>
            </w:tcBorders>
            <w:shd w:val="clear" w:color="auto" w:fill="auto"/>
          </w:tcPr>
          <w:p w14:paraId="7A4F4086" w14:textId="77777777" w:rsidR="001C3CA2" w:rsidRPr="002D2F67" w:rsidRDefault="001C3CA2" w:rsidP="001C3CA2">
            <w:pPr>
              <w:ind w:right="-72"/>
              <w:jc w:val="right"/>
              <w:rPr>
                <w:rFonts w:ascii="Arial" w:hAnsi="Arial" w:cs="Arial"/>
                <w:color w:val="000000"/>
                <w:sz w:val="18"/>
                <w:szCs w:val="18"/>
              </w:rPr>
            </w:pPr>
          </w:p>
        </w:tc>
        <w:tc>
          <w:tcPr>
            <w:tcW w:w="1800" w:type="dxa"/>
            <w:tcBorders>
              <w:top w:val="single" w:sz="4" w:space="0" w:color="auto"/>
            </w:tcBorders>
            <w:shd w:val="clear" w:color="auto" w:fill="auto"/>
          </w:tcPr>
          <w:p w14:paraId="4D6B5794" w14:textId="77777777" w:rsidR="001C3CA2" w:rsidRPr="002D2F67" w:rsidRDefault="001C3CA2" w:rsidP="001C3CA2">
            <w:pPr>
              <w:ind w:right="-72"/>
              <w:jc w:val="right"/>
              <w:rPr>
                <w:rFonts w:ascii="Arial" w:hAnsi="Arial" w:cs="Arial"/>
                <w:color w:val="000000"/>
                <w:sz w:val="18"/>
                <w:szCs w:val="18"/>
              </w:rPr>
            </w:pPr>
          </w:p>
        </w:tc>
        <w:tc>
          <w:tcPr>
            <w:tcW w:w="1555" w:type="dxa"/>
            <w:tcBorders>
              <w:top w:val="single" w:sz="4" w:space="0" w:color="auto"/>
            </w:tcBorders>
            <w:shd w:val="clear" w:color="auto" w:fill="auto"/>
          </w:tcPr>
          <w:p w14:paraId="2A0BAF32" w14:textId="77777777" w:rsidR="001C3CA2" w:rsidRPr="002D2F67" w:rsidRDefault="001C3CA2" w:rsidP="001C3CA2">
            <w:pPr>
              <w:ind w:right="-72"/>
              <w:jc w:val="right"/>
              <w:rPr>
                <w:rFonts w:ascii="Arial" w:hAnsi="Arial" w:cs="Arial"/>
                <w:color w:val="000000"/>
                <w:sz w:val="18"/>
                <w:szCs w:val="18"/>
              </w:rPr>
            </w:pPr>
          </w:p>
        </w:tc>
        <w:tc>
          <w:tcPr>
            <w:tcW w:w="1583" w:type="dxa"/>
            <w:tcBorders>
              <w:top w:val="single" w:sz="4" w:space="0" w:color="auto"/>
            </w:tcBorders>
            <w:shd w:val="clear" w:color="auto" w:fill="auto"/>
          </w:tcPr>
          <w:p w14:paraId="1D4CD042" w14:textId="77777777" w:rsidR="001C3CA2" w:rsidRPr="002D2F67" w:rsidRDefault="001C3CA2" w:rsidP="001C3CA2">
            <w:pPr>
              <w:ind w:right="-72"/>
              <w:jc w:val="right"/>
              <w:rPr>
                <w:rFonts w:ascii="Arial" w:hAnsi="Arial" w:cs="Arial"/>
                <w:color w:val="000000"/>
                <w:sz w:val="18"/>
                <w:szCs w:val="18"/>
              </w:rPr>
            </w:pPr>
          </w:p>
        </w:tc>
      </w:tr>
      <w:tr w:rsidR="001C3CA2" w:rsidRPr="002D2F67" w14:paraId="794441CB" w14:textId="77777777" w:rsidTr="005611FE">
        <w:tc>
          <w:tcPr>
            <w:tcW w:w="4469" w:type="dxa"/>
            <w:shd w:val="clear" w:color="auto" w:fill="auto"/>
            <w:vAlign w:val="bottom"/>
          </w:tcPr>
          <w:p w14:paraId="334622B1" w14:textId="1E6F1DC8" w:rsidR="001C3CA2" w:rsidRPr="002D2F67" w:rsidRDefault="001C3CA2" w:rsidP="001C3CA2">
            <w:pPr>
              <w:ind w:left="207"/>
              <w:rPr>
                <w:rFonts w:ascii="Arial" w:hAnsi="Arial" w:cs="Arial"/>
                <w:b/>
                <w:bCs/>
                <w:color w:val="000000"/>
                <w:sz w:val="18"/>
                <w:szCs w:val="18"/>
              </w:rPr>
            </w:pPr>
            <w:r w:rsidRPr="002D2F67">
              <w:rPr>
                <w:rFonts w:ascii="Arial" w:hAnsi="Arial" w:cs="Arial"/>
                <w:b/>
                <w:bCs/>
                <w:color w:val="000000"/>
                <w:sz w:val="18"/>
                <w:szCs w:val="18"/>
              </w:rPr>
              <w:t xml:space="preserve">As </w:t>
            </w:r>
            <w:proofErr w:type="gramStart"/>
            <w:r w:rsidRPr="002D2F67">
              <w:rPr>
                <w:rFonts w:ascii="Arial" w:hAnsi="Arial" w:cs="Arial"/>
                <w:b/>
                <w:bCs/>
                <w:color w:val="000000"/>
                <w:sz w:val="18"/>
                <w:szCs w:val="18"/>
              </w:rPr>
              <w:t>at</w:t>
            </w:r>
            <w:proofErr w:type="gramEnd"/>
            <w:r w:rsidRPr="002D2F67">
              <w:rPr>
                <w:rFonts w:ascii="Arial" w:hAnsi="Arial" w:cs="Arial"/>
                <w:b/>
                <w:bCs/>
                <w:color w:val="000000"/>
                <w:sz w:val="18"/>
                <w:szCs w:val="18"/>
              </w:rPr>
              <w:t xml:space="preserve"> </w:t>
            </w:r>
            <w:r w:rsidR="00CD5714" w:rsidRPr="00CD5714">
              <w:rPr>
                <w:rFonts w:ascii="Arial" w:hAnsi="Arial" w:cs="Arial"/>
                <w:b/>
                <w:bCs/>
                <w:color w:val="000000"/>
                <w:sz w:val="18"/>
                <w:szCs w:val="18"/>
                <w:lang w:val="en-GB"/>
              </w:rPr>
              <w:t>31</w:t>
            </w:r>
            <w:r w:rsidRPr="002D2F67">
              <w:rPr>
                <w:rFonts w:ascii="Arial" w:hAnsi="Arial" w:cs="Arial"/>
                <w:b/>
                <w:bCs/>
                <w:color w:val="000000"/>
                <w:sz w:val="18"/>
                <w:szCs w:val="18"/>
              </w:rPr>
              <w:t xml:space="preserve"> December </w:t>
            </w:r>
            <w:r w:rsidR="00CD5714" w:rsidRPr="00CD5714">
              <w:rPr>
                <w:rFonts w:ascii="Arial" w:hAnsi="Arial" w:cs="Arial"/>
                <w:b/>
                <w:bCs/>
                <w:color w:val="000000"/>
                <w:sz w:val="18"/>
                <w:szCs w:val="18"/>
                <w:lang w:val="en-GB"/>
              </w:rPr>
              <w:t>2024</w:t>
            </w:r>
          </w:p>
        </w:tc>
        <w:tc>
          <w:tcPr>
            <w:tcW w:w="1381" w:type="dxa"/>
            <w:shd w:val="clear" w:color="auto" w:fill="auto"/>
            <w:vAlign w:val="bottom"/>
          </w:tcPr>
          <w:p w14:paraId="24ADC23C" w14:textId="77777777" w:rsidR="001C3CA2" w:rsidRPr="002D2F67" w:rsidRDefault="001C3CA2" w:rsidP="001C3CA2">
            <w:pPr>
              <w:ind w:right="-72"/>
              <w:jc w:val="right"/>
              <w:rPr>
                <w:rFonts w:ascii="Arial" w:hAnsi="Arial" w:cs="Arial"/>
                <w:color w:val="000000"/>
                <w:sz w:val="18"/>
                <w:szCs w:val="18"/>
              </w:rPr>
            </w:pPr>
          </w:p>
        </w:tc>
        <w:tc>
          <w:tcPr>
            <w:tcW w:w="1375" w:type="dxa"/>
            <w:shd w:val="clear" w:color="auto" w:fill="auto"/>
          </w:tcPr>
          <w:p w14:paraId="39013AC9" w14:textId="77777777" w:rsidR="001C3CA2" w:rsidRPr="002D2F67" w:rsidRDefault="001C3CA2" w:rsidP="001C3CA2">
            <w:pPr>
              <w:ind w:right="-72"/>
              <w:jc w:val="right"/>
              <w:rPr>
                <w:rFonts w:ascii="Arial" w:hAnsi="Arial" w:cs="Arial"/>
                <w:color w:val="000000"/>
                <w:sz w:val="18"/>
                <w:szCs w:val="18"/>
              </w:rPr>
            </w:pPr>
          </w:p>
        </w:tc>
        <w:tc>
          <w:tcPr>
            <w:tcW w:w="1548" w:type="dxa"/>
            <w:shd w:val="clear" w:color="auto" w:fill="auto"/>
          </w:tcPr>
          <w:p w14:paraId="7F38F354" w14:textId="77777777" w:rsidR="001C3CA2" w:rsidRPr="002D2F67" w:rsidRDefault="001C3CA2" w:rsidP="001C3CA2">
            <w:pPr>
              <w:ind w:right="-72"/>
              <w:jc w:val="right"/>
              <w:rPr>
                <w:rFonts w:ascii="Arial" w:hAnsi="Arial" w:cs="Arial"/>
                <w:color w:val="000000"/>
                <w:sz w:val="18"/>
                <w:szCs w:val="18"/>
              </w:rPr>
            </w:pPr>
          </w:p>
        </w:tc>
        <w:tc>
          <w:tcPr>
            <w:tcW w:w="1958" w:type="dxa"/>
            <w:shd w:val="clear" w:color="auto" w:fill="auto"/>
          </w:tcPr>
          <w:p w14:paraId="46DBD434" w14:textId="77777777" w:rsidR="001C3CA2" w:rsidRPr="002D2F67" w:rsidRDefault="001C3CA2" w:rsidP="001C3CA2">
            <w:pPr>
              <w:ind w:right="-72"/>
              <w:jc w:val="right"/>
              <w:rPr>
                <w:rFonts w:ascii="Arial" w:hAnsi="Arial" w:cs="Arial"/>
                <w:color w:val="000000"/>
                <w:sz w:val="18"/>
                <w:szCs w:val="18"/>
              </w:rPr>
            </w:pPr>
          </w:p>
        </w:tc>
        <w:tc>
          <w:tcPr>
            <w:tcW w:w="1800" w:type="dxa"/>
            <w:shd w:val="clear" w:color="auto" w:fill="auto"/>
          </w:tcPr>
          <w:p w14:paraId="7A689DF0" w14:textId="77777777" w:rsidR="001C3CA2" w:rsidRPr="002D2F67" w:rsidRDefault="001C3CA2" w:rsidP="001C3CA2">
            <w:pPr>
              <w:ind w:right="-72"/>
              <w:jc w:val="right"/>
              <w:rPr>
                <w:rFonts w:ascii="Arial" w:hAnsi="Arial" w:cs="Arial"/>
                <w:color w:val="000000"/>
                <w:sz w:val="18"/>
                <w:szCs w:val="18"/>
              </w:rPr>
            </w:pPr>
          </w:p>
        </w:tc>
        <w:tc>
          <w:tcPr>
            <w:tcW w:w="1555" w:type="dxa"/>
            <w:shd w:val="clear" w:color="auto" w:fill="auto"/>
          </w:tcPr>
          <w:p w14:paraId="1A7FF23B" w14:textId="77777777" w:rsidR="001C3CA2" w:rsidRPr="002D2F67" w:rsidRDefault="001C3CA2" w:rsidP="001C3CA2">
            <w:pPr>
              <w:ind w:right="-72"/>
              <w:jc w:val="right"/>
              <w:rPr>
                <w:rFonts w:ascii="Arial" w:hAnsi="Arial" w:cs="Arial"/>
                <w:color w:val="000000"/>
                <w:sz w:val="18"/>
                <w:szCs w:val="18"/>
              </w:rPr>
            </w:pPr>
          </w:p>
        </w:tc>
        <w:tc>
          <w:tcPr>
            <w:tcW w:w="1583" w:type="dxa"/>
            <w:shd w:val="clear" w:color="auto" w:fill="auto"/>
          </w:tcPr>
          <w:p w14:paraId="397C8698" w14:textId="77777777" w:rsidR="001C3CA2" w:rsidRPr="002D2F67" w:rsidRDefault="001C3CA2" w:rsidP="001C3CA2">
            <w:pPr>
              <w:ind w:right="-72"/>
              <w:jc w:val="right"/>
              <w:rPr>
                <w:rFonts w:ascii="Arial" w:hAnsi="Arial" w:cs="Arial"/>
                <w:color w:val="000000"/>
                <w:sz w:val="18"/>
                <w:szCs w:val="18"/>
              </w:rPr>
            </w:pPr>
          </w:p>
        </w:tc>
      </w:tr>
      <w:tr w:rsidR="001C3CA2" w:rsidRPr="002D2F67" w14:paraId="7B6623C6" w14:textId="77777777" w:rsidTr="00AC7DBA">
        <w:tc>
          <w:tcPr>
            <w:tcW w:w="4469" w:type="dxa"/>
            <w:shd w:val="clear" w:color="auto" w:fill="auto"/>
            <w:vAlign w:val="bottom"/>
          </w:tcPr>
          <w:p w14:paraId="4A9CFB03" w14:textId="77777777" w:rsidR="001C3CA2" w:rsidRPr="002D2F67" w:rsidRDefault="001C3CA2" w:rsidP="001C3CA2">
            <w:pPr>
              <w:ind w:left="207"/>
              <w:rPr>
                <w:rFonts w:ascii="Arial" w:hAnsi="Arial" w:cs="Arial"/>
                <w:color w:val="000000"/>
                <w:sz w:val="18"/>
                <w:szCs w:val="18"/>
              </w:rPr>
            </w:pPr>
            <w:r w:rsidRPr="002D2F67">
              <w:rPr>
                <w:rFonts w:ascii="Arial" w:hAnsi="Arial" w:cs="Arial"/>
                <w:color w:val="000000"/>
                <w:sz w:val="18"/>
                <w:szCs w:val="18"/>
              </w:rPr>
              <w:t>Cost</w:t>
            </w:r>
          </w:p>
        </w:tc>
        <w:tc>
          <w:tcPr>
            <w:tcW w:w="1381" w:type="dxa"/>
            <w:shd w:val="clear" w:color="auto" w:fill="auto"/>
            <w:vAlign w:val="bottom"/>
          </w:tcPr>
          <w:p w14:paraId="03567C15" w14:textId="550F089E" w:rsidR="001C3CA2" w:rsidRPr="002D2F67" w:rsidRDefault="00CD5714" w:rsidP="001C3CA2">
            <w:pPr>
              <w:ind w:right="-72"/>
              <w:jc w:val="right"/>
              <w:rPr>
                <w:rFonts w:ascii="Arial" w:hAnsi="Arial" w:cs="Arial"/>
                <w:color w:val="000000"/>
                <w:sz w:val="18"/>
                <w:szCs w:val="18"/>
                <w:highlight w:val="yellow"/>
              </w:rPr>
            </w:pPr>
            <w:r w:rsidRPr="00CD5714">
              <w:rPr>
                <w:rFonts w:ascii="Arial" w:hAnsi="Arial" w:cs="Arial"/>
                <w:color w:val="000000"/>
                <w:sz w:val="18"/>
                <w:szCs w:val="18"/>
                <w:lang w:val="en-GB"/>
              </w:rPr>
              <w:t>2</w:t>
            </w:r>
            <w:r w:rsidR="001C3CA2" w:rsidRPr="002D2F67">
              <w:rPr>
                <w:rFonts w:ascii="Arial" w:hAnsi="Arial" w:cs="Arial"/>
                <w:color w:val="000000"/>
                <w:sz w:val="18"/>
                <w:szCs w:val="18"/>
              </w:rPr>
              <w:t>,</w:t>
            </w:r>
            <w:r w:rsidRPr="00CD5714">
              <w:rPr>
                <w:rFonts w:ascii="Arial" w:hAnsi="Arial" w:cs="Arial"/>
                <w:color w:val="000000"/>
                <w:sz w:val="18"/>
                <w:szCs w:val="18"/>
                <w:lang w:val="en-GB"/>
              </w:rPr>
              <w:t>080</w:t>
            </w:r>
            <w:r w:rsidR="001C3CA2" w:rsidRPr="002D2F67">
              <w:rPr>
                <w:rFonts w:ascii="Arial" w:hAnsi="Arial" w:cs="Arial"/>
                <w:color w:val="000000"/>
                <w:sz w:val="18"/>
                <w:szCs w:val="18"/>
              </w:rPr>
              <w:t>,</w:t>
            </w:r>
            <w:r w:rsidRPr="00CD5714">
              <w:rPr>
                <w:rFonts w:ascii="Arial" w:hAnsi="Arial" w:cs="Arial"/>
                <w:color w:val="000000"/>
                <w:sz w:val="18"/>
                <w:szCs w:val="18"/>
                <w:lang w:val="en-GB"/>
              </w:rPr>
              <w:t>642</w:t>
            </w:r>
          </w:p>
        </w:tc>
        <w:tc>
          <w:tcPr>
            <w:tcW w:w="1375" w:type="dxa"/>
            <w:shd w:val="clear" w:color="auto" w:fill="auto"/>
          </w:tcPr>
          <w:p w14:paraId="27E2EAE0" w14:textId="44670A53"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6</w:t>
            </w:r>
            <w:r w:rsidR="001C3CA2" w:rsidRPr="002D2F67">
              <w:rPr>
                <w:rFonts w:ascii="Arial" w:hAnsi="Arial" w:cs="Arial"/>
                <w:color w:val="000000"/>
                <w:sz w:val="18"/>
                <w:szCs w:val="18"/>
              </w:rPr>
              <w:t>,</w:t>
            </w:r>
            <w:r w:rsidRPr="00CD5714">
              <w:rPr>
                <w:rFonts w:ascii="Arial" w:hAnsi="Arial" w:cs="Arial"/>
                <w:color w:val="000000"/>
                <w:sz w:val="18"/>
                <w:szCs w:val="18"/>
                <w:lang w:val="en-GB"/>
              </w:rPr>
              <w:t>691</w:t>
            </w:r>
            <w:r w:rsidR="001C3CA2" w:rsidRPr="002D2F67">
              <w:rPr>
                <w:rFonts w:ascii="Arial" w:hAnsi="Arial" w:cs="Arial"/>
                <w:color w:val="000000"/>
                <w:sz w:val="18"/>
                <w:szCs w:val="18"/>
              </w:rPr>
              <w:t>,</w:t>
            </w:r>
            <w:r w:rsidRPr="00CD5714">
              <w:rPr>
                <w:rFonts w:ascii="Arial" w:hAnsi="Arial" w:cs="Arial"/>
                <w:color w:val="000000"/>
                <w:sz w:val="18"/>
                <w:szCs w:val="18"/>
                <w:lang w:val="en-GB"/>
              </w:rPr>
              <w:t>491</w:t>
            </w:r>
          </w:p>
        </w:tc>
        <w:tc>
          <w:tcPr>
            <w:tcW w:w="1548" w:type="dxa"/>
            <w:shd w:val="clear" w:color="auto" w:fill="auto"/>
            <w:vAlign w:val="bottom"/>
          </w:tcPr>
          <w:p w14:paraId="47596486" w14:textId="1ECAC048" w:rsidR="001C3CA2" w:rsidRPr="002D2F67" w:rsidRDefault="00CD5714" w:rsidP="001C3CA2">
            <w:pPr>
              <w:ind w:right="-72"/>
              <w:jc w:val="right"/>
              <w:rPr>
                <w:rFonts w:ascii="Arial" w:hAnsi="Arial" w:cs="Arial"/>
                <w:color w:val="000000"/>
                <w:sz w:val="18"/>
                <w:szCs w:val="18"/>
                <w:highlight w:val="yellow"/>
              </w:rPr>
            </w:pPr>
            <w:r w:rsidRPr="00CD5714">
              <w:rPr>
                <w:rFonts w:ascii="Arial" w:hAnsi="Arial" w:cs="Arial"/>
                <w:color w:val="000000"/>
                <w:sz w:val="18"/>
                <w:szCs w:val="18"/>
                <w:lang w:val="en-GB"/>
              </w:rPr>
              <w:t>9</w:t>
            </w:r>
            <w:r w:rsidR="001C3CA2" w:rsidRPr="002D2F67">
              <w:rPr>
                <w:rFonts w:ascii="Arial" w:hAnsi="Arial" w:cs="Arial"/>
                <w:color w:val="000000"/>
                <w:sz w:val="18"/>
                <w:szCs w:val="18"/>
              </w:rPr>
              <w:t>,</w:t>
            </w:r>
            <w:r w:rsidRPr="00CD5714">
              <w:rPr>
                <w:rFonts w:ascii="Arial" w:hAnsi="Arial" w:cs="Arial"/>
                <w:color w:val="000000"/>
                <w:sz w:val="18"/>
                <w:szCs w:val="18"/>
                <w:lang w:val="en-GB"/>
              </w:rPr>
              <w:t>238</w:t>
            </w:r>
            <w:r w:rsidR="001C3CA2" w:rsidRPr="002D2F67">
              <w:rPr>
                <w:rFonts w:ascii="Arial" w:hAnsi="Arial" w:cs="Arial"/>
                <w:color w:val="000000"/>
                <w:sz w:val="18"/>
                <w:szCs w:val="18"/>
              </w:rPr>
              <w:t>,</w:t>
            </w:r>
            <w:r w:rsidRPr="00CD5714">
              <w:rPr>
                <w:rFonts w:ascii="Arial" w:hAnsi="Arial" w:cs="Arial"/>
                <w:color w:val="000000"/>
                <w:sz w:val="18"/>
                <w:szCs w:val="18"/>
                <w:lang w:val="en-GB"/>
              </w:rPr>
              <w:t>159</w:t>
            </w:r>
          </w:p>
        </w:tc>
        <w:tc>
          <w:tcPr>
            <w:tcW w:w="1958" w:type="dxa"/>
            <w:shd w:val="clear" w:color="auto" w:fill="auto"/>
            <w:vAlign w:val="bottom"/>
          </w:tcPr>
          <w:p w14:paraId="4B7237A7" w14:textId="101D3422"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54</w:t>
            </w:r>
            <w:r w:rsidR="001C3CA2" w:rsidRPr="002D2F67">
              <w:rPr>
                <w:rFonts w:ascii="Arial" w:hAnsi="Arial" w:cs="Arial"/>
                <w:color w:val="000000"/>
                <w:sz w:val="18"/>
                <w:szCs w:val="18"/>
              </w:rPr>
              <w:t>,</w:t>
            </w:r>
            <w:r w:rsidRPr="00CD5714">
              <w:rPr>
                <w:rFonts w:ascii="Arial" w:hAnsi="Arial" w:cs="Arial"/>
                <w:color w:val="000000"/>
                <w:sz w:val="18"/>
                <w:szCs w:val="18"/>
                <w:lang w:val="en-GB"/>
              </w:rPr>
              <w:t>319</w:t>
            </w:r>
            <w:r w:rsidR="001C3CA2" w:rsidRPr="002D2F67">
              <w:rPr>
                <w:rFonts w:ascii="Arial" w:hAnsi="Arial" w:cs="Arial"/>
                <w:color w:val="000000"/>
                <w:sz w:val="18"/>
                <w:szCs w:val="18"/>
              </w:rPr>
              <w:t>,</w:t>
            </w:r>
            <w:r w:rsidRPr="00CD5714">
              <w:rPr>
                <w:rFonts w:ascii="Arial" w:hAnsi="Arial" w:cs="Arial"/>
                <w:color w:val="000000"/>
                <w:sz w:val="18"/>
                <w:szCs w:val="18"/>
                <w:lang w:val="en-GB"/>
              </w:rPr>
              <w:t>508</w:t>
            </w:r>
          </w:p>
        </w:tc>
        <w:tc>
          <w:tcPr>
            <w:tcW w:w="1800" w:type="dxa"/>
            <w:shd w:val="clear" w:color="auto" w:fill="auto"/>
            <w:vAlign w:val="bottom"/>
          </w:tcPr>
          <w:p w14:paraId="77CDECBD" w14:textId="04809F4D"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486</w:t>
            </w:r>
            <w:r w:rsidR="001C3CA2" w:rsidRPr="002D2F67">
              <w:rPr>
                <w:rFonts w:ascii="Arial" w:hAnsi="Arial" w:cs="Arial"/>
                <w:color w:val="000000"/>
                <w:sz w:val="18"/>
                <w:szCs w:val="18"/>
              </w:rPr>
              <w:t>,</w:t>
            </w:r>
            <w:r w:rsidRPr="00CD5714">
              <w:rPr>
                <w:rFonts w:ascii="Arial" w:hAnsi="Arial" w:cs="Arial"/>
                <w:color w:val="000000"/>
                <w:sz w:val="18"/>
                <w:szCs w:val="18"/>
                <w:lang w:val="en-GB"/>
              </w:rPr>
              <w:t>127</w:t>
            </w:r>
          </w:p>
        </w:tc>
        <w:tc>
          <w:tcPr>
            <w:tcW w:w="1555" w:type="dxa"/>
            <w:shd w:val="clear" w:color="auto" w:fill="auto"/>
            <w:vAlign w:val="bottom"/>
          </w:tcPr>
          <w:p w14:paraId="31FFFE28" w14:textId="1C9305A1"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3</w:t>
            </w:r>
            <w:r w:rsidR="001C3CA2" w:rsidRPr="002D2F67">
              <w:rPr>
                <w:rFonts w:ascii="Arial" w:hAnsi="Arial" w:cs="Arial"/>
                <w:color w:val="000000"/>
                <w:sz w:val="18"/>
                <w:szCs w:val="18"/>
              </w:rPr>
              <w:t>,</w:t>
            </w:r>
            <w:r w:rsidRPr="00CD5714">
              <w:rPr>
                <w:rFonts w:ascii="Arial" w:hAnsi="Arial" w:cs="Arial"/>
                <w:color w:val="000000"/>
                <w:sz w:val="18"/>
                <w:szCs w:val="18"/>
                <w:lang w:val="en-GB"/>
              </w:rPr>
              <w:t>781</w:t>
            </w:r>
            <w:r w:rsidR="001C3CA2" w:rsidRPr="002D2F67">
              <w:rPr>
                <w:rFonts w:ascii="Arial" w:hAnsi="Arial" w:cs="Arial"/>
                <w:color w:val="000000"/>
                <w:sz w:val="18"/>
                <w:szCs w:val="18"/>
              </w:rPr>
              <w:t>,</w:t>
            </w:r>
            <w:r w:rsidRPr="00CD5714">
              <w:rPr>
                <w:rFonts w:ascii="Arial" w:hAnsi="Arial" w:cs="Arial"/>
                <w:color w:val="000000"/>
                <w:sz w:val="18"/>
                <w:szCs w:val="18"/>
                <w:lang w:val="en-GB"/>
              </w:rPr>
              <w:t>478</w:t>
            </w:r>
          </w:p>
        </w:tc>
        <w:tc>
          <w:tcPr>
            <w:tcW w:w="1583" w:type="dxa"/>
            <w:shd w:val="clear" w:color="auto" w:fill="auto"/>
            <w:vAlign w:val="bottom"/>
          </w:tcPr>
          <w:p w14:paraId="44C602CC" w14:textId="18B7F6F0" w:rsidR="001C3CA2" w:rsidRPr="002D2F67" w:rsidRDefault="00CD5714" w:rsidP="001C3CA2">
            <w:pPr>
              <w:ind w:right="-72"/>
              <w:jc w:val="right"/>
              <w:rPr>
                <w:rFonts w:ascii="Arial" w:hAnsi="Arial" w:cs="Arial"/>
                <w:color w:val="000000"/>
                <w:sz w:val="18"/>
                <w:szCs w:val="18"/>
                <w:highlight w:val="yellow"/>
              </w:rPr>
            </w:pPr>
            <w:r w:rsidRPr="00CD5714">
              <w:rPr>
                <w:rFonts w:ascii="Arial" w:hAnsi="Arial" w:cs="Arial"/>
                <w:color w:val="000000"/>
                <w:sz w:val="18"/>
                <w:szCs w:val="18"/>
                <w:lang w:val="en-GB"/>
              </w:rPr>
              <w:t>76</w:t>
            </w:r>
            <w:r w:rsidR="001C3CA2" w:rsidRPr="002D2F67">
              <w:rPr>
                <w:rFonts w:ascii="Arial" w:hAnsi="Arial" w:cs="Arial"/>
                <w:color w:val="000000"/>
                <w:sz w:val="18"/>
                <w:szCs w:val="18"/>
              </w:rPr>
              <w:t>,</w:t>
            </w:r>
            <w:r w:rsidRPr="00CD5714">
              <w:rPr>
                <w:rFonts w:ascii="Arial" w:hAnsi="Arial" w:cs="Arial"/>
                <w:color w:val="000000"/>
                <w:sz w:val="18"/>
                <w:szCs w:val="18"/>
                <w:lang w:val="en-GB"/>
              </w:rPr>
              <w:t>597</w:t>
            </w:r>
            <w:r w:rsidR="001C3CA2" w:rsidRPr="002D2F67">
              <w:rPr>
                <w:rFonts w:ascii="Arial" w:hAnsi="Arial" w:cs="Arial"/>
                <w:color w:val="000000"/>
                <w:sz w:val="18"/>
                <w:szCs w:val="18"/>
              </w:rPr>
              <w:t>,</w:t>
            </w:r>
            <w:r w:rsidRPr="00CD5714">
              <w:rPr>
                <w:rFonts w:ascii="Arial" w:hAnsi="Arial" w:cs="Arial"/>
                <w:color w:val="000000"/>
                <w:sz w:val="18"/>
                <w:szCs w:val="18"/>
                <w:lang w:val="en-GB"/>
              </w:rPr>
              <w:t>405</w:t>
            </w:r>
          </w:p>
        </w:tc>
      </w:tr>
      <w:tr w:rsidR="001C3CA2" w:rsidRPr="002D2F67" w14:paraId="71A8115A" w14:textId="77777777" w:rsidTr="00AC7DBA">
        <w:tc>
          <w:tcPr>
            <w:tcW w:w="4469" w:type="dxa"/>
            <w:shd w:val="clear" w:color="auto" w:fill="auto"/>
            <w:vAlign w:val="bottom"/>
          </w:tcPr>
          <w:p w14:paraId="187750B4" w14:textId="67217E23" w:rsidR="001C3CA2" w:rsidRPr="002D2F67" w:rsidRDefault="001C3CA2" w:rsidP="001C3CA2">
            <w:pPr>
              <w:ind w:left="207"/>
              <w:rPr>
                <w:rFonts w:ascii="Arial" w:hAnsi="Arial" w:cs="Arial"/>
                <w:color w:val="000000"/>
                <w:sz w:val="18"/>
                <w:szCs w:val="18"/>
              </w:rPr>
            </w:pPr>
            <w:r w:rsidRPr="002D2F67">
              <w:rPr>
                <w:rFonts w:ascii="Arial" w:hAnsi="Arial" w:cs="Arial"/>
                <w:color w:val="000000"/>
                <w:sz w:val="18"/>
                <w:szCs w:val="18"/>
                <w:u w:val="single"/>
              </w:rPr>
              <w:t>Less</w:t>
            </w:r>
            <w:r w:rsidRPr="002D2F67">
              <w:rPr>
                <w:rFonts w:ascii="Arial" w:hAnsi="Arial" w:cs="Arial"/>
                <w:color w:val="000000"/>
                <w:sz w:val="18"/>
                <w:szCs w:val="18"/>
                <w:cs/>
              </w:rPr>
              <w:t xml:space="preserve"> </w:t>
            </w:r>
            <w:r w:rsidRPr="002D2F67">
              <w:rPr>
                <w:rFonts w:ascii="Arial" w:hAnsi="Arial" w:cs="Arial"/>
                <w:color w:val="000000"/>
                <w:sz w:val="18"/>
                <w:szCs w:val="18"/>
              </w:rPr>
              <w:t xml:space="preserve"> Accumulated depreciation</w:t>
            </w:r>
          </w:p>
        </w:tc>
        <w:tc>
          <w:tcPr>
            <w:tcW w:w="1381" w:type="dxa"/>
            <w:shd w:val="clear" w:color="auto" w:fill="auto"/>
            <w:vAlign w:val="bottom"/>
          </w:tcPr>
          <w:p w14:paraId="345FC0EA" w14:textId="2A7514AB"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p>
        </w:tc>
        <w:tc>
          <w:tcPr>
            <w:tcW w:w="1375" w:type="dxa"/>
            <w:shd w:val="clear" w:color="auto" w:fill="auto"/>
          </w:tcPr>
          <w:p w14:paraId="58789B56" w14:textId="2FA351B5"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w:t>
            </w:r>
            <w:r w:rsidRPr="002D2F67">
              <w:rPr>
                <w:rFonts w:ascii="Arial" w:hAnsi="Arial" w:cs="Arial"/>
                <w:color w:val="000000"/>
                <w:sz w:val="18"/>
                <w:szCs w:val="18"/>
              </w:rPr>
              <w:t>,</w:t>
            </w:r>
            <w:r w:rsidR="00CD5714" w:rsidRPr="00CD5714">
              <w:rPr>
                <w:rFonts w:ascii="Arial" w:hAnsi="Arial" w:cs="Arial"/>
                <w:color w:val="000000"/>
                <w:sz w:val="18"/>
                <w:szCs w:val="18"/>
                <w:lang w:val="en-GB"/>
              </w:rPr>
              <w:t>179</w:t>
            </w:r>
            <w:r w:rsidRPr="002D2F67">
              <w:rPr>
                <w:rFonts w:ascii="Arial" w:hAnsi="Arial" w:cs="Arial"/>
                <w:color w:val="000000"/>
                <w:sz w:val="18"/>
                <w:szCs w:val="18"/>
              </w:rPr>
              <w:t>,</w:t>
            </w:r>
            <w:r w:rsidR="00CD5714" w:rsidRPr="00CD5714">
              <w:rPr>
                <w:rFonts w:ascii="Arial" w:hAnsi="Arial" w:cs="Arial"/>
                <w:color w:val="000000"/>
                <w:sz w:val="18"/>
                <w:szCs w:val="18"/>
                <w:lang w:val="en-GB"/>
              </w:rPr>
              <w:t>539</w:t>
            </w:r>
            <w:r w:rsidRPr="002D2F67">
              <w:rPr>
                <w:rFonts w:ascii="Arial" w:hAnsi="Arial" w:cs="Arial"/>
                <w:color w:val="000000"/>
                <w:sz w:val="18"/>
                <w:szCs w:val="18"/>
              </w:rPr>
              <w:t>)</w:t>
            </w:r>
          </w:p>
        </w:tc>
        <w:tc>
          <w:tcPr>
            <w:tcW w:w="1548" w:type="dxa"/>
            <w:shd w:val="clear" w:color="auto" w:fill="auto"/>
            <w:vAlign w:val="bottom"/>
          </w:tcPr>
          <w:p w14:paraId="25EC1347" w14:textId="739B5AC8" w:rsidR="001C3CA2" w:rsidRPr="002D2F67" w:rsidRDefault="001C3CA2" w:rsidP="001C3CA2">
            <w:pPr>
              <w:ind w:right="-72"/>
              <w:jc w:val="right"/>
              <w:rPr>
                <w:rFonts w:ascii="Arial" w:hAnsi="Arial" w:cs="Arial"/>
                <w:color w:val="000000"/>
                <w:sz w:val="18"/>
                <w:szCs w:val="18"/>
                <w:highlight w:val="yellow"/>
              </w:rPr>
            </w:pPr>
            <w:r w:rsidRPr="002D2F67">
              <w:rPr>
                <w:rFonts w:ascii="Arial" w:hAnsi="Arial" w:cs="Arial"/>
                <w:color w:val="000000"/>
                <w:sz w:val="18"/>
                <w:szCs w:val="18"/>
              </w:rPr>
              <w:t>(</w:t>
            </w:r>
            <w:r w:rsidR="00CD5714" w:rsidRPr="00CD5714">
              <w:rPr>
                <w:rFonts w:ascii="Arial" w:hAnsi="Arial" w:cs="Arial"/>
                <w:color w:val="000000"/>
                <w:sz w:val="18"/>
                <w:szCs w:val="18"/>
                <w:lang w:val="en-GB"/>
              </w:rPr>
              <w:t>4</w:t>
            </w:r>
            <w:r w:rsidRPr="002D2F67">
              <w:rPr>
                <w:rFonts w:ascii="Arial" w:hAnsi="Arial" w:cs="Arial"/>
                <w:color w:val="000000"/>
                <w:sz w:val="18"/>
                <w:szCs w:val="18"/>
              </w:rPr>
              <w:t>,</w:t>
            </w:r>
            <w:r w:rsidR="00CD5714" w:rsidRPr="00CD5714">
              <w:rPr>
                <w:rFonts w:ascii="Arial" w:hAnsi="Arial" w:cs="Arial"/>
                <w:color w:val="000000"/>
                <w:sz w:val="18"/>
                <w:szCs w:val="18"/>
                <w:lang w:val="en-GB"/>
              </w:rPr>
              <w:t>164</w:t>
            </w:r>
            <w:r w:rsidRPr="002D2F67">
              <w:rPr>
                <w:rFonts w:ascii="Arial" w:hAnsi="Arial" w:cs="Arial"/>
                <w:color w:val="000000"/>
                <w:sz w:val="18"/>
                <w:szCs w:val="18"/>
              </w:rPr>
              <w:t>,</w:t>
            </w:r>
            <w:r w:rsidR="00CD5714" w:rsidRPr="00CD5714">
              <w:rPr>
                <w:rFonts w:ascii="Arial" w:hAnsi="Arial" w:cs="Arial"/>
                <w:color w:val="000000"/>
                <w:sz w:val="18"/>
                <w:szCs w:val="18"/>
                <w:lang w:val="en-GB"/>
              </w:rPr>
              <w:t>410</w:t>
            </w:r>
            <w:r w:rsidRPr="002D2F67">
              <w:rPr>
                <w:rFonts w:ascii="Arial" w:hAnsi="Arial" w:cs="Arial"/>
                <w:color w:val="000000"/>
                <w:sz w:val="18"/>
                <w:szCs w:val="18"/>
              </w:rPr>
              <w:t>)</w:t>
            </w:r>
          </w:p>
        </w:tc>
        <w:tc>
          <w:tcPr>
            <w:tcW w:w="1958" w:type="dxa"/>
            <w:shd w:val="clear" w:color="auto" w:fill="auto"/>
            <w:vAlign w:val="bottom"/>
          </w:tcPr>
          <w:p w14:paraId="6CAC46E2" w14:textId="181911BC"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14</w:t>
            </w:r>
            <w:r w:rsidRPr="002D2F67">
              <w:rPr>
                <w:rFonts w:ascii="Arial" w:hAnsi="Arial" w:cs="Arial"/>
                <w:color w:val="000000"/>
                <w:sz w:val="18"/>
                <w:szCs w:val="18"/>
              </w:rPr>
              <w:t>,</w:t>
            </w:r>
            <w:r w:rsidR="00CD5714" w:rsidRPr="00CD5714">
              <w:rPr>
                <w:rFonts w:ascii="Arial" w:hAnsi="Arial" w:cs="Arial"/>
                <w:color w:val="000000"/>
                <w:sz w:val="18"/>
                <w:szCs w:val="18"/>
                <w:lang w:val="en-GB"/>
              </w:rPr>
              <w:t>454</w:t>
            </w:r>
            <w:r w:rsidRPr="002D2F67">
              <w:rPr>
                <w:rFonts w:ascii="Arial" w:hAnsi="Arial" w:cs="Arial"/>
                <w:color w:val="000000"/>
                <w:sz w:val="18"/>
                <w:szCs w:val="18"/>
              </w:rPr>
              <w:t>,</w:t>
            </w:r>
            <w:r w:rsidR="00CD5714" w:rsidRPr="00CD5714">
              <w:rPr>
                <w:rFonts w:ascii="Arial" w:hAnsi="Arial" w:cs="Arial"/>
                <w:color w:val="000000"/>
                <w:sz w:val="18"/>
                <w:szCs w:val="18"/>
                <w:lang w:val="en-GB"/>
              </w:rPr>
              <w:t>041</w:t>
            </w:r>
            <w:r w:rsidRPr="002D2F67">
              <w:rPr>
                <w:rFonts w:ascii="Arial" w:hAnsi="Arial" w:cs="Arial"/>
                <w:color w:val="000000"/>
                <w:sz w:val="18"/>
                <w:szCs w:val="18"/>
              </w:rPr>
              <w:t>)</w:t>
            </w:r>
          </w:p>
        </w:tc>
        <w:tc>
          <w:tcPr>
            <w:tcW w:w="1800" w:type="dxa"/>
            <w:shd w:val="clear" w:color="auto" w:fill="auto"/>
            <w:vAlign w:val="bottom"/>
          </w:tcPr>
          <w:p w14:paraId="28283FDE" w14:textId="63C65240"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355</w:t>
            </w:r>
            <w:r w:rsidRPr="002D2F67">
              <w:rPr>
                <w:rFonts w:ascii="Arial" w:hAnsi="Arial" w:cs="Arial"/>
                <w:color w:val="000000"/>
                <w:sz w:val="18"/>
                <w:szCs w:val="18"/>
              </w:rPr>
              <w:t>,</w:t>
            </w:r>
            <w:r w:rsidR="00CD5714" w:rsidRPr="00CD5714">
              <w:rPr>
                <w:rFonts w:ascii="Arial" w:hAnsi="Arial" w:cs="Arial"/>
                <w:color w:val="000000"/>
                <w:sz w:val="18"/>
                <w:szCs w:val="18"/>
                <w:lang w:val="en-GB"/>
              </w:rPr>
              <w:t>521</w:t>
            </w:r>
            <w:r w:rsidRPr="002D2F67">
              <w:rPr>
                <w:rFonts w:ascii="Arial" w:hAnsi="Arial" w:cs="Arial"/>
                <w:color w:val="000000"/>
                <w:sz w:val="18"/>
                <w:szCs w:val="18"/>
              </w:rPr>
              <w:t>)</w:t>
            </w:r>
          </w:p>
        </w:tc>
        <w:tc>
          <w:tcPr>
            <w:tcW w:w="1555" w:type="dxa"/>
            <w:shd w:val="clear" w:color="auto" w:fill="auto"/>
            <w:vAlign w:val="bottom"/>
          </w:tcPr>
          <w:p w14:paraId="2B26F38D" w14:textId="7ED14752"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p>
        </w:tc>
        <w:tc>
          <w:tcPr>
            <w:tcW w:w="1583" w:type="dxa"/>
            <w:shd w:val="clear" w:color="auto" w:fill="auto"/>
            <w:vAlign w:val="bottom"/>
          </w:tcPr>
          <w:p w14:paraId="105A4224" w14:textId="7FE4DE67" w:rsidR="001C3CA2" w:rsidRPr="002D2F67" w:rsidRDefault="001C3CA2" w:rsidP="001C3CA2">
            <w:pPr>
              <w:ind w:right="-72"/>
              <w:jc w:val="right"/>
              <w:rPr>
                <w:rFonts w:ascii="Arial" w:hAnsi="Arial" w:cs="Arial"/>
                <w:color w:val="000000"/>
                <w:sz w:val="18"/>
                <w:szCs w:val="18"/>
                <w:highlight w:val="yellow"/>
              </w:rPr>
            </w:pPr>
            <w:r w:rsidRPr="002D2F67">
              <w:rPr>
                <w:rFonts w:ascii="Arial" w:hAnsi="Arial" w:cs="Arial"/>
                <w:color w:val="000000"/>
                <w:sz w:val="18"/>
                <w:szCs w:val="18"/>
              </w:rPr>
              <w:t>(</w:t>
            </w:r>
            <w:r w:rsidR="00CD5714" w:rsidRPr="00CD5714">
              <w:rPr>
                <w:rFonts w:ascii="Arial" w:hAnsi="Arial" w:cs="Arial"/>
                <w:color w:val="000000"/>
                <w:sz w:val="18"/>
                <w:szCs w:val="18"/>
                <w:lang w:val="en-GB"/>
              </w:rPr>
              <w:t>20</w:t>
            </w:r>
            <w:r w:rsidRPr="002D2F67">
              <w:rPr>
                <w:rFonts w:ascii="Arial" w:hAnsi="Arial" w:cs="Arial"/>
                <w:color w:val="000000"/>
                <w:sz w:val="18"/>
                <w:szCs w:val="18"/>
              </w:rPr>
              <w:t>,</w:t>
            </w:r>
            <w:r w:rsidR="00CD5714" w:rsidRPr="00CD5714">
              <w:rPr>
                <w:rFonts w:ascii="Arial" w:hAnsi="Arial" w:cs="Arial"/>
                <w:color w:val="000000"/>
                <w:sz w:val="18"/>
                <w:szCs w:val="18"/>
                <w:lang w:val="en-GB"/>
              </w:rPr>
              <w:t>153</w:t>
            </w:r>
            <w:r w:rsidRPr="002D2F67">
              <w:rPr>
                <w:rFonts w:ascii="Arial" w:hAnsi="Arial" w:cs="Arial"/>
                <w:color w:val="000000"/>
                <w:sz w:val="18"/>
                <w:szCs w:val="18"/>
              </w:rPr>
              <w:t>,</w:t>
            </w:r>
            <w:r w:rsidR="00CD5714" w:rsidRPr="00CD5714">
              <w:rPr>
                <w:rFonts w:ascii="Arial" w:hAnsi="Arial" w:cs="Arial"/>
                <w:color w:val="000000"/>
                <w:sz w:val="18"/>
                <w:szCs w:val="18"/>
                <w:lang w:val="en-GB"/>
              </w:rPr>
              <w:t>511</w:t>
            </w:r>
            <w:r w:rsidRPr="002D2F67">
              <w:rPr>
                <w:rFonts w:ascii="Arial" w:hAnsi="Arial" w:cs="Arial"/>
                <w:color w:val="000000"/>
                <w:sz w:val="18"/>
                <w:szCs w:val="18"/>
              </w:rPr>
              <w:t>)</w:t>
            </w:r>
          </w:p>
        </w:tc>
      </w:tr>
      <w:tr w:rsidR="001C3CA2" w:rsidRPr="002D2F67" w14:paraId="50DB59C3" w14:textId="77777777" w:rsidTr="00AC7DBA">
        <w:tc>
          <w:tcPr>
            <w:tcW w:w="4469" w:type="dxa"/>
            <w:shd w:val="clear" w:color="auto" w:fill="auto"/>
            <w:vAlign w:val="bottom"/>
          </w:tcPr>
          <w:p w14:paraId="6F1B3D9E" w14:textId="57C2D736" w:rsidR="001C3CA2" w:rsidRPr="002D2F67" w:rsidRDefault="001C3CA2" w:rsidP="001C3CA2">
            <w:pPr>
              <w:ind w:left="207"/>
              <w:rPr>
                <w:rFonts w:ascii="Arial" w:hAnsi="Arial" w:cs="Arial"/>
                <w:color w:val="000000"/>
                <w:sz w:val="18"/>
                <w:szCs w:val="18"/>
                <w:u w:val="single"/>
              </w:rPr>
            </w:pPr>
            <w:r w:rsidRPr="002D2F67">
              <w:rPr>
                <w:rFonts w:ascii="Arial" w:hAnsi="Arial" w:cs="Arial"/>
                <w:color w:val="000000"/>
                <w:sz w:val="18"/>
                <w:szCs w:val="18"/>
                <w:u w:val="single"/>
              </w:rPr>
              <w:t>Less</w:t>
            </w:r>
            <w:r w:rsidRPr="002D2F67">
              <w:rPr>
                <w:rFonts w:ascii="Arial" w:hAnsi="Arial" w:cs="Arial"/>
                <w:color w:val="000000"/>
                <w:sz w:val="18"/>
                <w:szCs w:val="18"/>
              </w:rPr>
              <w:t xml:space="preserve">  Accumulated impairment</w:t>
            </w:r>
          </w:p>
        </w:tc>
        <w:tc>
          <w:tcPr>
            <w:tcW w:w="1381" w:type="dxa"/>
            <w:tcBorders>
              <w:bottom w:val="single" w:sz="4" w:space="0" w:color="auto"/>
            </w:tcBorders>
            <w:shd w:val="clear" w:color="auto" w:fill="auto"/>
            <w:vAlign w:val="bottom"/>
          </w:tcPr>
          <w:p w14:paraId="0317B8B5" w14:textId="68A6B890"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p>
        </w:tc>
        <w:tc>
          <w:tcPr>
            <w:tcW w:w="1375" w:type="dxa"/>
            <w:tcBorders>
              <w:bottom w:val="single" w:sz="4" w:space="0" w:color="auto"/>
            </w:tcBorders>
            <w:shd w:val="clear" w:color="auto" w:fill="auto"/>
          </w:tcPr>
          <w:p w14:paraId="4015B738" w14:textId="4FC5E020"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759</w:t>
            </w:r>
            <w:r w:rsidRPr="002D2F67">
              <w:rPr>
                <w:rFonts w:ascii="Arial" w:hAnsi="Arial" w:cs="Arial"/>
                <w:color w:val="000000"/>
                <w:sz w:val="18"/>
                <w:szCs w:val="18"/>
              </w:rPr>
              <w:t>,</w:t>
            </w:r>
            <w:r w:rsidR="00CD5714" w:rsidRPr="00CD5714">
              <w:rPr>
                <w:rFonts w:ascii="Arial" w:hAnsi="Arial" w:cs="Arial"/>
                <w:color w:val="000000"/>
                <w:sz w:val="18"/>
                <w:szCs w:val="18"/>
                <w:lang w:val="en-GB"/>
              </w:rPr>
              <w:t>495</w:t>
            </w:r>
            <w:r w:rsidRPr="002D2F67">
              <w:rPr>
                <w:rFonts w:ascii="Arial" w:hAnsi="Arial" w:cs="Arial"/>
                <w:color w:val="000000"/>
                <w:sz w:val="18"/>
                <w:szCs w:val="18"/>
              </w:rPr>
              <w:t>)</w:t>
            </w:r>
          </w:p>
        </w:tc>
        <w:tc>
          <w:tcPr>
            <w:tcW w:w="1548" w:type="dxa"/>
            <w:tcBorders>
              <w:bottom w:val="single" w:sz="4" w:space="0" w:color="auto"/>
            </w:tcBorders>
            <w:shd w:val="clear" w:color="auto" w:fill="auto"/>
            <w:vAlign w:val="bottom"/>
          </w:tcPr>
          <w:p w14:paraId="1C22B36B" w14:textId="23E1EAF5" w:rsidR="001C3CA2" w:rsidRPr="002D2F67" w:rsidRDefault="001C3CA2" w:rsidP="001C3CA2">
            <w:pPr>
              <w:ind w:right="-72"/>
              <w:jc w:val="right"/>
              <w:rPr>
                <w:rFonts w:ascii="Arial" w:hAnsi="Arial" w:cs="Arial"/>
                <w:color w:val="000000"/>
                <w:sz w:val="18"/>
                <w:szCs w:val="18"/>
                <w:highlight w:val="yellow"/>
              </w:rPr>
            </w:pPr>
            <w:r w:rsidRPr="002D2F67">
              <w:rPr>
                <w:rFonts w:ascii="Arial" w:hAnsi="Arial" w:cs="Arial"/>
                <w:color w:val="000000"/>
                <w:sz w:val="18"/>
                <w:szCs w:val="18"/>
              </w:rPr>
              <w:t>(</w:t>
            </w:r>
            <w:r w:rsidR="00CD5714" w:rsidRPr="00CD5714">
              <w:rPr>
                <w:rFonts w:ascii="Arial" w:hAnsi="Arial" w:cs="Arial"/>
                <w:color w:val="000000"/>
                <w:sz w:val="18"/>
                <w:szCs w:val="18"/>
                <w:lang w:val="en-GB"/>
              </w:rPr>
              <w:t>283</w:t>
            </w:r>
            <w:r w:rsidRPr="002D2F67">
              <w:rPr>
                <w:rFonts w:ascii="Arial" w:hAnsi="Arial" w:cs="Arial"/>
                <w:color w:val="000000"/>
                <w:sz w:val="18"/>
                <w:szCs w:val="18"/>
              </w:rPr>
              <w:t>,</w:t>
            </w:r>
            <w:r w:rsidR="00CD5714" w:rsidRPr="00CD5714">
              <w:rPr>
                <w:rFonts w:ascii="Arial" w:hAnsi="Arial" w:cs="Arial"/>
                <w:color w:val="000000"/>
                <w:sz w:val="18"/>
                <w:szCs w:val="18"/>
                <w:lang w:val="en-GB"/>
              </w:rPr>
              <w:t>423</w:t>
            </w:r>
            <w:r w:rsidRPr="002D2F67">
              <w:rPr>
                <w:rFonts w:ascii="Arial" w:hAnsi="Arial" w:cs="Arial"/>
                <w:color w:val="000000"/>
                <w:sz w:val="18"/>
                <w:szCs w:val="18"/>
              </w:rPr>
              <w:t>)</w:t>
            </w:r>
          </w:p>
        </w:tc>
        <w:tc>
          <w:tcPr>
            <w:tcW w:w="1958" w:type="dxa"/>
            <w:tcBorders>
              <w:bottom w:val="single" w:sz="4" w:space="0" w:color="auto"/>
            </w:tcBorders>
            <w:shd w:val="clear" w:color="auto" w:fill="auto"/>
            <w:vAlign w:val="bottom"/>
          </w:tcPr>
          <w:p w14:paraId="7A49D2B4" w14:textId="23542E6F"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p>
        </w:tc>
        <w:tc>
          <w:tcPr>
            <w:tcW w:w="1800" w:type="dxa"/>
            <w:tcBorders>
              <w:bottom w:val="single" w:sz="4" w:space="0" w:color="auto"/>
            </w:tcBorders>
            <w:shd w:val="clear" w:color="auto" w:fill="auto"/>
            <w:vAlign w:val="bottom"/>
          </w:tcPr>
          <w:p w14:paraId="7D25447D" w14:textId="40C201E9"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7</w:t>
            </w:r>
            <w:r w:rsidRPr="002D2F67">
              <w:rPr>
                <w:rFonts w:ascii="Arial" w:hAnsi="Arial" w:cs="Arial"/>
                <w:color w:val="000000"/>
                <w:sz w:val="18"/>
                <w:szCs w:val="18"/>
              </w:rPr>
              <w:t>,</w:t>
            </w:r>
            <w:r w:rsidR="00CD5714" w:rsidRPr="00CD5714">
              <w:rPr>
                <w:rFonts w:ascii="Arial" w:hAnsi="Arial" w:cs="Arial"/>
                <w:color w:val="000000"/>
                <w:sz w:val="18"/>
                <w:szCs w:val="18"/>
                <w:lang w:val="en-GB"/>
              </w:rPr>
              <w:t>360</w:t>
            </w:r>
            <w:r w:rsidRPr="002D2F67">
              <w:rPr>
                <w:rFonts w:ascii="Arial" w:hAnsi="Arial" w:cs="Arial"/>
                <w:color w:val="000000"/>
                <w:sz w:val="18"/>
                <w:szCs w:val="18"/>
              </w:rPr>
              <w:t>)</w:t>
            </w:r>
          </w:p>
        </w:tc>
        <w:tc>
          <w:tcPr>
            <w:tcW w:w="1555" w:type="dxa"/>
            <w:tcBorders>
              <w:bottom w:val="single" w:sz="4" w:space="0" w:color="auto"/>
            </w:tcBorders>
            <w:shd w:val="clear" w:color="auto" w:fill="auto"/>
            <w:vAlign w:val="bottom"/>
          </w:tcPr>
          <w:p w14:paraId="19C16E6B" w14:textId="692407FE" w:rsidR="001C3CA2" w:rsidRPr="002D2F67" w:rsidRDefault="001C3CA2" w:rsidP="001C3CA2">
            <w:pP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174</w:t>
            </w:r>
            <w:r w:rsidRPr="002D2F67">
              <w:rPr>
                <w:rFonts w:ascii="Arial" w:hAnsi="Arial" w:cs="Arial"/>
                <w:color w:val="000000"/>
                <w:sz w:val="18"/>
                <w:szCs w:val="18"/>
              </w:rPr>
              <w:t>,</w:t>
            </w:r>
            <w:r w:rsidR="00CD5714" w:rsidRPr="00CD5714">
              <w:rPr>
                <w:rFonts w:ascii="Arial" w:hAnsi="Arial" w:cs="Arial"/>
                <w:color w:val="000000"/>
                <w:sz w:val="18"/>
                <w:szCs w:val="18"/>
                <w:lang w:val="en-GB"/>
              </w:rPr>
              <w:t>049</w:t>
            </w:r>
            <w:r w:rsidRPr="002D2F67">
              <w:rPr>
                <w:rFonts w:ascii="Arial" w:hAnsi="Arial" w:cs="Arial"/>
                <w:color w:val="000000"/>
                <w:sz w:val="18"/>
                <w:szCs w:val="18"/>
              </w:rPr>
              <w:t>)</w:t>
            </w:r>
          </w:p>
        </w:tc>
        <w:tc>
          <w:tcPr>
            <w:tcW w:w="1583" w:type="dxa"/>
            <w:tcBorders>
              <w:bottom w:val="single" w:sz="4" w:space="0" w:color="auto"/>
            </w:tcBorders>
            <w:shd w:val="clear" w:color="auto" w:fill="auto"/>
            <w:vAlign w:val="bottom"/>
          </w:tcPr>
          <w:p w14:paraId="2CB5ADDA" w14:textId="66723A52" w:rsidR="001C3CA2" w:rsidRPr="002D2F67" w:rsidRDefault="001C3CA2" w:rsidP="001C3CA2">
            <w:pPr>
              <w:ind w:right="-72"/>
              <w:jc w:val="right"/>
              <w:rPr>
                <w:rFonts w:ascii="Arial" w:hAnsi="Arial" w:cs="Arial"/>
                <w:color w:val="000000"/>
                <w:sz w:val="18"/>
                <w:szCs w:val="18"/>
                <w:highlight w:val="yellow"/>
              </w:rPr>
            </w:pPr>
            <w:r w:rsidRPr="002D2F67">
              <w:rPr>
                <w:rFonts w:ascii="Arial" w:hAnsi="Arial" w:cs="Arial"/>
                <w:color w:val="000000"/>
                <w:sz w:val="18"/>
                <w:szCs w:val="18"/>
              </w:rPr>
              <w:t>(</w:t>
            </w:r>
            <w:r w:rsidR="00CD5714" w:rsidRPr="00CD5714">
              <w:rPr>
                <w:rFonts w:ascii="Arial" w:hAnsi="Arial" w:cs="Arial"/>
                <w:color w:val="000000"/>
                <w:sz w:val="18"/>
                <w:szCs w:val="18"/>
                <w:lang w:val="en-GB"/>
              </w:rPr>
              <w:t>1</w:t>
            </w:r>
            <w:r w:rsidRPr="002D2F67">
              <w:rPr>
                <w:rFonts w:ascii="Arial" w:hAnsi="Arial" w:cs="Arial"/>
                <w:color w:val="000000"/>
                <w:sz w:val="18"/>
                <w:szCs w:val="18"/>
              </w:rPr>
              <w:t>,</w:t>
            </w:r>
            <w:r w:rsidR="00CD5714" w:rsidRPr="00CD5714">
              <w:rPr>
                <w:rFonts w:ascii="Arial" w:hAnsi="Arial" w:cs="Arial"/>
                <w:color w:val="000000"/>
                <w:sz w:val="18"/>
                <w:szCs w:val="18"/>
                <w:lang w:val="en-GB"/>
              </w:rPr>
              <w:t>224</w:t>
            </w:r>
            <w:r w:rsidRPr="002D2F67">
              <w:rPr>
                <w:rFonts w:ascii="Arial" w:hAnsi="Arial" w:cs="Arial"/>
                <w:color w:val="000000"/>
                <w:sz w:val="18"/>
                <w:szCs w:val="18"/>
              </w:rPr>
              <w:t>,</w:t>
            </w:r>
            <w:r w:rsidR="00CD5714" w:rsidRPr="00CD5714">
              <w:rPr>
                <w:rFonts w:ascii="Arial" w:hAnsi="Arial" w:cs="Arial"/>
                <w:color w:val="000000"/>
                <w:sz w:val="18"/>
                <w:szCs w:val="18"/>
                <w:lang w:val="en-GB"/>
              </w:rPr>
              <w:t>327</w:t>
            </w:r>
            <w:r w:rsidRPr="002D2F67">
              <w:rPr>
                <w:rFonts w:ascii="Arial" w:hAnsi="Arial" w:cs="Arial"/>
                <w:color w:val="000000"/>
                <w:sz w:val="18"/>
                <w:szCs w:val="18"/>
              </w:rPr>
              <w:t>)</w:t>
            </w:r>
          </w:p>
        </w:tc>
      </w:tr>
      <w:tr w:rsidR="001C3CA2" w:rsidRPr="002D2F67" w14:paraId="25360612" w14:textId="77777777" w:rsidTr="005611FE">
        <w:tc>
          <w:tcPr>
            <w:tcW w:w="4469" w:type="dxa"/>
            <w:shd w:val="clear" w:color="auto" w:fill="auto"/>
          </w:tcPr>
          <w:p w14:paraId="57AEA553" w14:textId="77777777" w:rsidR="001C3CA2" w:rsidRPr="002D2F67" w:rsidRDefault="001C3CA2" w:rsidP="001C3CA2">
            <w:pPr>
              <w:ind w:left="207"/>
              <w:rPr>
                <w:rFonts w:ascii="Arial" w:hAnsi="Arial" w:cs="Arial"/>
                <w:b/>
                <w:bCs/>
                <w:color w:val="000000"/>
                <w:sz w:val="12"/>
                <w:szCs w:val="12"/>
              </w:rPr>
            </w:pPr>
          </w:p>
        </w:tc>
        <w:tc>
          <w:tcPr>
            <w:tcW w:w="1381" w:type="dxa"/>
            <w:tcBorders>
              <w:top w:val="single" w:sz="4" w:space="0" w:color="auto"/>
            </w:tcBorders>
            <w:shd w:val="clear" w:color="auto" w:fill="auto"/>
          </w:tcPr>
          <w:p w14:paraId="62095643" w14:textId="77777777" w:rsidR="001C3CA2" w:rsidRPr="002D2F67" w:rsidRDefault="001C3CA2" w:rsidP="001C3CA2">
            <w:pPr>
              <w:ind w:right="-72"/>
              <w:jc w:val="right"/>
              <w:rPr>
                <w:rFonts w:ascii="Arial" w:hAnsi="Arial" w:cs="Arial"/>
                <w:b/>
                <w:bCs/>
                <w:color w:val="000000"/>
                <w:sz w:val="12"/>
                <w:szCs w:val="12"/>
              </w:rPr>
            </w:pPr>
          </w:p>
        </w:tc>
        <w:tc>
          <w:tcPr>
            <w:tcW w:w="1375" w:type="dxa"/>
            <w:tcBorders>
              <w:top w:val="single" w:sz="4" w:space="0" w:color="auto"/>
            </w:tcBorders>
            <w:shd w:val="clear" w:color="auto" w:fill="auto"/>
          </w:tcPr>
          <w:p w14:paraId="1B3F44E0" w14:textId="77777777" w:rsidR="001C3CA2" w:rsidRPr="002D2F67" w:rsidRDefault="001C3CA2" w:rsidP="001C3CA2">
            <w:pPr>
              <w:ind w:right="-72"/>
              <w:jc w:val="right"/>
              <w:rPr>
                <w:rFonts w:ascii="Arial" w:hAnsi="Arial" w:cs="Arial"/>
                <w:b/>
                <w:bCs/>
                <w:color w:val="000000"/>
                <w:sz w:val="12"/>
                <w:szCs w:val="12"/>
              </w:rPr>
            </w:pPr>
          </w:p>
        </w:tc>
        <w:tc>
          <w:tcPr>
            <w:tcW w:w="1548" w:type="dxa"/>
            <w:tcBorders>
              <w:top w:val="single" w:sz="4" w:space="0" w:color="auto"/>
            </w:tcBorders>
            <w:shd w:val="clear" w:color="auto" w:fill="auto"/>
          </w:tcPr>
          <w:p w14:paraId="6541F481" w14:textId="77777777" w:rsidR="001C3CA2" w:rsidRPr="002D2F67" w:rsidRDefault="001C3CA2" w:rsidP="001C3CA2">
            <w:pPr>
              <w:ind w:right="-72"/>
              <w:jc w:val="right"/>
              <w:rPr>
                <w:rFonts w:ascii="Arial" w:hAnsi="Arial" w:cs="Arial"/>
                <w:b/>
                <w:bCs/>
                <w:color w:val="000000"/>
                <w:sz w:val="12"/>
                <w:szCs w:val="12"/>
              </w:rPr>
            </w:pPr>
          </w:p>
        </w:tc>
        <w:tc>
          <w:tcPr>
            <w:tcW w:w="1958" w:type="dxa"/>
            <w:tcBorders>
              <w:top w:val="single" w:sz="4" w:space="0" w:color="auto"/>
            </w:tcBorders>
            <w:shd w:val="clear" w:color="auto" w:fill="auto"/>
          </w:tcPr>
          <w:p w14:paraId="2E4DDC5F" w14:textId="77777777" w:rsidR="001C3CA2" w:rsidRPr="002D2F67" w:rsidRDefault="001C3CA2" w:rsidP="001C3CA2">
            <w:pPr>
              <w:ind w:right="-72"/>
              <w:jc w:val="right"/>
              <w:rPr>
                <w:rFonts w:ascii="Arial" w:hAnsi="Arial" w:cs="Arial"/>
                <w:b/>
                <w:bCs/>
                <w:color w:val="000000"/>
                <w:sz w:val="12"/>
                <w:szCs w:val="12"/>
              </w:rPr>
            </w:pPr>
          </w:p>
        </w:tc>
        <w:tc>
          <w:tcPr>
            <w:tcW w:w="1800" w:type="dxa"/>
            <w:tcBorders>
              <w:top w:val="single" w:sz="4" w:space="0" w:color="auto"/>
            </w:tcBorders>
            <w:shd w:val="clear" w:color="auto" w:fill="auto"/>
          </w:tcPr>
          <w:p w14:paraId="7C0BE460" w14:textId="77777777" w:rsidR="001C3CA2" w:rsidRPr="002D2F67" w:rsidRDefault="001C3CA2" w:rsidP="001C3CA2">
            <w:pPr>
              <w:ind w:right="-72"/>
              <w:jc w:val="right"/>
              <w:rPr>
                <w:rFonts w:ascii="Arial" w:hAnsi="Arial" w:cs="Arial"/>
                <w:b/>
                <w:bCs/>
                <w:color w:val="000000"/>
                <w:sz w:val="12"/>
                <w:szCs w:val="12"/>
              </w:rPr>
            </w:pPr>
          </w:p>
        </w:tc>
        <w:tc>
          <w:tcPr>
            <w:tcW w:w="1555" w:type="dxa"/>
            <w:tcBorders>
              <w:top w:val="single" w:sz="4" w:space="0" w:color="auto"/>
            </w:tcBorders>
            <w:shd w:val="clear" w:color="auto" w:fill="auto"/>
          </w:tcPr>
          <w:p w14:paraId="6F453C18" w14:textId="77777777" w:rsidR="001C3CA2" w:rsidRPr="002D2F67" w:rsidRDefault="001C3CA2" w:rsidP="001C3CA2">
            <w:pPr>
              <w:ind w:right="-72"/>
              <w:jc w:val="right"/>
              <w:rPr>
                <w:rFonts w:ascii="Arial" w:hAnsi="Arial" w:cs="Arial"/>
                <w:b/>
                <w:bCs/>
                <w:color w:val="000000"/>
                <w:sz w:val="12"/>
                <w:szCs w:val="12"/>
              </w:rPr>
            </w:pPr>
          </w:p>
        </w:tc>
        <w:tc>
          <w:tcPr>
            <w:tcW w:w="1583" w:type="dxa"/>
            <w:tcBorders>
              <w:top w:val="single" w:sz="4" w:space="0" w:color="auto"/>
            </w:tcBorders>
            <w:shd w:val="clear" w:color="auto" w:fill="auto"/>
          </w:tcPr>
          <w:p w14:paraId="4E1F636C" w14:textId="77777777" w:rsidR="001C3CA2" w:rsidRPr="002D2F67" w:rsidRDefault="001C3CA2" w:rsidP="001C3CA2">
            <w:pPr>
              <w:ind w:right="-72"/>
              <w:jc w:val="right"/>
              <w:rPr>
                <w:rFonts w:ascii="Arial" w:hAnsi="Arial" w:cs="Arial"/>
                <w:b/>
                <w:bCs/>
                <w:color w:val="000000"/>
                <w:sz w:val="12"/>
                <w:szCs w:val="12"/>
              </w:rPr>
            </w:pPr>
          </w:p>
        </w:tc>
      </w:tr>
      <w:tr w:rsidR="001C3CA2" w:rsidRPr="002D2F67" w14:paraId="568EF5E0" w14:textId="77777777" w:rsidTr="005611FE">
        <w:tc>
          <w:tcPr>
            <w:tcW w:w="4469" w:type="dxa"/>
            <w:shd w:val="clear" w:color="auto" w:fill="auto"/>
            <w:vAlign w:val="bottom"/>
          </w:tcPr>
          <w:p w14:paraId="2493A03B" w14:textId="77777777" w:rsidR="001C3CA2" w:rsidRPr="002D2F67" w:rsidRDefault="001C3CA2" w:rsidP="001C3CA2">
            <w:pPr>
              <w:ind w:left="207"/>
              <w:rPr>
                <w:rFonts w:ascii="Arial" w:hAnsi="Arial" w:cs="Arial"/>
                <w:color w:val="000000"/>
                <w:sz w:val="18"/>
                <w:szCs w:val="18"/>
              </w:rPr>
            </w:pPr>
            <w:r w:rsidRPr="002D2F67">
              <w:rPr>
                <w:rFonts w:ascii="Arial" w:hAnsi="Arial" w:cs="Arial"/>
                <w:color w:val="000000"/>
                <w:sz w:val="18"/>
                <w:szCs w:val="18"/>
              </w:rPr>
              <w:t>Net book value</w:t>
            </w:r>
          </w:p>
        </w:tc>
        <w:tc>
          <w:tcPr>
            <w:tcW w:w="1381" w:type="dxa"/>
            <w:tcBorders>
              <w:bottom w:val="single" w:sz="4" w:space="0" w:color="auto"/>
            </w:tcBorders>
            <w:shd w:val="clear" w:color="auto" w:fill="auto"/>
            <w:vAlign w:val="bottom"/>
          </w:tcPr>
          <w:p w14:paraId="4E76BA0B" w14:textId="5F89A9FD"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2</w:t>
            </w:r>
            <w:r w:rsidR="001C3CA2" w:rsidRPr="002D2F67">
              <w:rPr>
                <w:rFonts w:ascii="Arial" w:hAnsi="Arial" w:cs="Arial"/>
                <w:color w:val="000000"/>
                <w:sz w:val="18"/>
                <w:szCs w:val="18"/>
              </w:rPr>
              <w:t>,</w:t>
            </w:r>
            <w:r w:rsidRPr="00CD5714">
              <w:rPr>
                <w:rFonts w:ascii="Arial" w:hAnsi="Arial" w:cs="Arial"/>
                <w:color w:val="000000"/>
                <w:sz w:val="18"/>
                <w:szCs w:val="18"/>
                <w:lang w:val="en-GB"/>
              </w:rPr>
              <w:t>080</w:t>
            </w:r>
            <w:r w:rsidR="001C3CA2" w:rsidRPr="002D2F67">
              <w:rPr>
                <w:rFonts w:ascii="Arial" w:hAnsi="Arial" w:cs="Arial"/>
                <w:color w:val="000000"/>
                <w:sz w:val="18"/>
                <w:szCs w:val="18"/>
              </w:rPr>
              <w:t>,</w:t>
            </w:r>
            <w:r w:rsidRPr="00CD5714">
              <w:rPr>
                <w:rFonts w:ascii="Arial" w:hAnsi="Arial" w:cs="Arial"/>
                <w:color w:val="000000"/>
                <w:sz w:val="18"/>
                <w:szCs w:val="18"/>
                <w:lang w:val="en-GB"/>
              </w:rPr>
              <w:t>642</w:t>
            </w:r>
          </w:p>
        </w:tc>
        <w:tc>
          <w:tcPr>
            <w:tcW w:w="1375" w:type="dxa"/>
            <w:tcBorders>
              <w:bottom w:val="single" w:sz="4" w:space="0" w:color="auto"/>
            </w:tcBorders>
            <w:shd w:val="clear" w:color="auto" w:fill="auto"/>
            <w:vAlign w:val="bottom"/>
          </w:tcPr>
          <w:p w14:paraId="3BCC2431" w14:textId="31419E58"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4</w:t>
            </w:r>
            <w:r w:rsidR="001C3CA2" w:rsidRPr="002D2F67">
              <w:rPr>
                <w:rFonts w:ascii="Arial" w:hAnsi="Arial" w:cs="Arial"/>
                <w:color w:val="000000"/>
                <w:sz w:val="18"/>
                <w:szCs w:val="18"/>
              </w:rPr>
              <w:t>,</w:t>
            </w:r>
            <w:r w:rsidRPr="00CD5714">
              <w:rPr>
                <w:rFonts w:ascii="Arial" w:hAnsi="Arial" w:cs="Arial"/>
                <w:color w:val="000000"/>
                <w:sz w:val="18"/>
                <w:szCs w:val="18"/>
                <w:lang w:val="en-GB"/>
              </w:rPr>
              <w:t>752</w:t>
            </w:r>
            <w:r w:rsidR="001C3CA2" w:rsidRPr="002D2F67">
              <w:rPr>
                <w:rFonts w:ascii="Arial" w:hAnsi="Arial" w:cs="Arial"/>
                <w:color w:val="000000"/>
                <w:sz w:val="18"/>
                <w:szCs w:val="18"/>
              </w:rPr>
              <w:t>,</w:t>
            </w:r>
            <w:r w:rsidRPr="00CD5714">
              <w:rPr>
                <w:rFonts w:ascii="Arial" w:hAnsi="Arial" w:cs="Arial"/>
                <w:color w:val="000000"/>
                <w:sz w:val="18"/>
                <w:szCs w:val="18"/>
                <w:lang w:val="en-GB"/>
              </w:rPr>
              <w:t>457</w:t>
            </w:r>
          </w:p>
        </w:tc>
        <w:tc>
          <w:tcPr>
            <w:tcW w:w="1548" w:type="dxa"/>
            <w:tcBorders>
              <w:bottom w:val="single" w:sz="4" w:space="0" w:color="auto"/>
            </w:tcBorders>
            <w:shd w:val="clear" w:color="auto" w:fill="auto"/>
            <w:vAlign w:val="bottom"/>
          </w:tcPr>
          <w:p w14:paraId="219550BB" w14:textId="6F38B7BC"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4</w:t>
            </w:r>
            <w:r w:rsidR="001C3CA2" w:rsidRPr="002D2F67">
              <w:rPr>
                <w:rFonts w:ascii="Arial" w:hAnsi="Arial" w:cs="Arial"/>
                <w:color w:val="000000"/>
                <w:sz w:val="18"/>
                <w:szCs w:val="18"/>
              </w:rPr>
              <w:t>,</w:t>
            </w:r>
            <w:r w:rsidRPr="00CD5714">
              <w:rPr>
                <w:rFonts w:ascii="Arial" w:hAnsi="Arial" w:cs="Arial"/>
                <w:color w:val="000000"/>
                <w:sz w:val="18"/>
                <w:szCs w:val="18"/>
                <w:lang w:val="en-GB"/>
              </w:rPr>
              <w:t>790</w:t>
            </w:r>
            <w:r w:rsidR="001C3CA2" w:rsidRPr="002D2F67">
              <w:rPr>
                <w:rFonts w:ascii="Arial" w:hAnsi="Arial" w:cs="Arial"/>
                <w:color w:val="000000"/>
                <w:sz w:val="18"/>
                <w:szCs w:val="18"/>
              </w:rPr>
              <w:t>,</w:t>
            </w:r>
            <w:r w:rsidRPr="00CD5714">
              <w:rPr>
                <w:rFonts w:ascii="Arial" w:hAnsi="Arial" w:cs="Arial"/>
                <w:color w:val="000000"/>
                <w:sz w:val="18"/>
                <w:szCs w:val="18"/>
                <w:lang w:val="en-GB"/>
              </w:rPr>
              <w:t>326</w:t>
            </w:r>
          </w:p>
        </w:tc>
        <w:tc>
          <w:tcPr>
            <w:tcW w:w="1958" w:type="dxa"/>
            <w:tcBorders>
              <w:bottom w:val="single" w:sz="4" w:space="0" w:color="auto"/>
            </w:tcBorders>
            <w:shd w:val="clear" w:color="auto" w:fill="auto"/>
            <w:vAlign w:val="bottom"/>
          </w:tcPr>
          <w:p w14:paraId="7846E31B" w14:textId="4CD8DDF1"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39</w:t>
            </w:r>
            <w:r w:rsidR="001C3CA2" w:rsidRPr="002D2F67">
              <w:rPr>
                <w:rFonts w:ascii="Arial" w:hAnsi="Arial" w:cs="Arial"/>
                <w:color w:val="000000"/>
                <w:sz w:val="18"/>
                <w:szCs w:val="18"/>
              </w:rPr>
              <w:t>,</w:t>
            </w:r>
            <w:r w:rsidRPr="00CD5714">
              <w:rPr>
                <w:rFonts w:ascii="Arial" w:hAnsi="Arial" w:cs="Arial"/>
                <w:color w:val="000000"/>
                <w:sz w:val="18"/>
                <w:szCs w:val="18"/>
                <w:lang w:val="en-GB"/>
              </w:rPr>
              <w:t>865</w:t>
            </w:r>
            <w:r w:rsidR="001C3CA2" w:rsidRPr="002D2F67">
              <w:rPr>
                <w:rFonts w:ascii="Arial" w:hAnsi="Arial" w:cs="Arial"/>
                <w:color w:val="000000"/>
                <w:sz w:val="18"/>
                <w:szCs w:val="18"/>
              </w:rPr>
              <w:t>,</w:t>
            </w:r>
            <w:r w:rsidRPr="00CD5714">
              <w:rPr>
                <w:rFonts w:ascii="Arial" w:hAnsi="Arial" w:cs="Arial"/>
                <w:color w:val="000000"/>
                <w:sz w:val="18"/>
                <w:szCs w:val="18"/>
                <w:lang w:val="en-GB"/>
              </w:rPr>
              <w:t>467</w:t>
            </w:r>
          </w:p>
        </w:tc>
        <w:tc>
          <w:tcPr>
            <w:tcW w:w="1800" w:type="dxa"/>
            <w:tcBorders>
              <w:bottom w:val="single" w:sz="4" w:space="0" w:color="auto"/>
            </w:tcBorders>
            <w:shd w:val="clear" w:color="auto" w:fill="auto"/>
            <w:vAlign w:val="bottom"/>
          </w:tcPr>
          <w:p w14:paraId="52838675" w14:textId="1B13012A"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123</w:t>
            </w:r>
            <w:r w:rsidR="001C3CA2" w:rsidRPr="002D2F67">
              <w:rPr>
                <w:rFonts w:ascii="Arial" w:hAnsi="Arial" w:cs="Arial"/>
                <w:color w:val="000000"/>
                <w:sz w:val="18"/>
                <w:szCs w:val="18"/>
              </w:rPr>
              <w:t>,</w:t>
            </w:r>
            <w:r w:rsidRPr="00CD5714">
              <w:rPr>
                <w:rFonts w:ascii="Arial" w:hAnsi="Arial" w:cs="Arial"/>
                <w:color w:val="000000"/>
                <w:sz w:val="18"/>
                <w:szCs w:val="18"/>
                <w:lang w:val="en-GB"/>
              </w:rPr>
              <w:t>246</w:t>
            </w:r>
          </w:p>
        </w:tc>
        <w:tc>
          <w:tcPr>
            <w:tcW w:w="1555" w:type="dxa"/>
            <w:tcBorders>
              <w:bottom w:val="single" w:sz="4" w:space="0" w:color="auto"/>
            </w:tcBorders>
            <w:shd w:val="clear" w:color="auto" w:fill="auto"/>
            <w:vAlign w:val="bottom"/>
          </w:tcPr>
          <w:p w14:paraId="1ACA15E4" w14:textId="169BFB61"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3</w:t>
            </w:r>
            <w:r w:rsidR="001C3CA2" w:rsidRPr="002D2F67">
              <w:rPr>
                <w:rFonts w:ascii="Arial" w:hAnsi="Arial" w:cs="Arial"/>
                <w:color w:val="000000"/>
                <w:sz w:val="18"/>
                <w:szCs w:val="18"/>
              </w:rPr>
              <w:t>,</w:t>
            </w:r>
            <w:r w:rsidRPr="00CD5714">
              <w:rPr>
                <w:rFonts w:ascii="Arial" w:hAnsi="Arial" w:cs="Arial"/>
                <w:color w:val="000000"/>
                <w:sz w:val="18"/>
                <w:szCs w:val="18"/>
                <w:lang w:val="en-GB"/>
              </w:rPr>
              <w:t>607</w:t>
            </w:r>
            <w:r w:rsidR="001C3CA2" w:rsidRPr="002D2F67">
              <w:rPr>
                <w:rFonts w:ascii="Arial" w:hAnsi="Arial" w:cs="Arial"/>
                <w:color w:val="000000"/>
                <w:sz w:val="18"/>
                <w:szCs w:val="18"/>
              </w:rPr>
              <w:t>,</w:t>
            </w:r>
            <w:r w:rsidRPr="00CD5714">
              <w:rPr>
                <w:rFonts w:ascii="Arial" w:hAnsi="Arial" w:cs="Arial"/>
                <w:color w:val="000000"/>
                <w:sz w:val="18"/>
                <w:szCs w:val="18"/>
                <w:lang w:val="en-GB"/>
              </w:rPr>
              <w:t>429</w:t>
            </w:r>
          </w:p>
        </w:tc>
        <w:tc>
          <w:tcPr>
            <w:tcW w:w="1583" w:type="dxa"/>
            <w:tcBorders>
              <w:bottom w:val="single" w:sz="4" w:space="0" w:color="auto"/>
            </w:tcBorders>
            <w:shd w:val="clear" w:color="auto" w:fill="auto"/>
            <w:vAlign w:val="bottom"/>
          </w:tcPr>
          <w:p w14:paraId="55B68812" w14:textId="2FB8BAC1" w:rsidR="001C3CA2" w:rsidRPr="002D2F67" w:rsidRDefault="00CD5714" w:rsidP="001C3CA2">
            <w:pPr>
              <w:ind w:right="-72"/>
              <w:jc w:val="right"/>
              <w:rPr>
                <w:rFonts w:ascii="Arial" w:hAnsi="Arial" w:cs="Arial"/>
                <w:color w:val="000000"/>
                <w:sz w:val="18"/>
                <w:szCs w:val="18"/>
              </w:rPr>
            </w:pPr>
            <w:r w:rsidRPr="00CD5714">
              <w:rPr>
                <w:rFonts w:ascii="Arial" w:hAnsi="Arial" w:cs="Arial"/>
                <w:color w:val="000000"/>
                <w:sz w:val="18"/>
                <w:szCs w:val="18"/>
                <w:lang w:val="en-GB"/>
              </w:rPr>
              <w:t>55</w:t>
            </w:r>
            <w:r w:rsidR="001C3CA2" w:rsidRPr="002D2F67">
              <w:rPr>
                <w:rFonts w:ascii="Arial" w:hAnsi="Arial" w:cs="Arial"/>
                <w:color w:val="000000"/>
                <w:sz w:val="18"/>
                <w:szCs w:val="18"/>
              </w:rPr>
              <w:t>,</w:t>
            </w:r>
            <w:r w:rsidRPr="00CD5714">
              <w:rPr>
                <w:rFonts w:ascii="Arial" w:hAnsi="Arial" w:cs="Arial"/>
                <w:color w:val="000000"/>
                <w:sz w:val="18"/>
                <w:szCs w:val="18"/>
                <w:lang w:val="en-GB"/>
              </w:rPr>
              <w:t>219</w:t>
            </w:r>
            <w:r w:rsidR="001C3CA2" w:rsidRPr="002D2F67">
              <w:rPr>
                <w:rFonts w:ascii="Arial" w:hAnsi="Arial" w:cs="Arial"/>
                <w:color w:val="000000"/>
                <w:sz w:val="18"/>
                <w:szCs w:val="18"/>
              </w:rPr>
              <w:t>,</w:t>
            </w:r>
            <w:r w:rsidRPr="00CD5714">
              <w:rPr>
                <w:rFonts w:ascii="Arial" w:hAnsi="Arial" w:cs="Arial"/>
                <w:color w:val="000000"/>
                <w:sz w:val="18"/>
                <w:szCs w:val="18"/>
                <w:lang w:val="en-GB"/>
              </w:rPr>
              <w:t>567</w:t>
            </w:r>
          </w:p>
        </w:tc>
      </w:tr>
    </w:tbl>
    <w:p w14:paraId="2E7E81FC" w14:textId="77777777" w:rsidR="00A3494D" w:rsidRPr="002D2F67" w:rsidRDefault="00A3494D" w:rsidP="005611FE">
      <w:pPr>
        <w:ind w:left="540" w:hanging="540"/>
        <w:jc w:val="both"/>
        <w:rPr>
          <w:rFonts w:ascii="Arial" w:hAnsi="Arial" w:cs="Arial"/>
          <w:color w:val="000000"/>
          <w:sz w:val="20"/>
          <w:szCs w:val="20"/>
        </w:rPr>
      </w:pPr>
    </w:p>
    <w:p w14:paraId="3860C3F6" w14:textId="746281AA" w:rsidR="00D85010" w:rsidRPr="00D85010" w:rsidRDefault="00A3494D" w:rsidP="00C443DA">
      <w:pPr>
        <w:numPr>
          <w:ilvl w:val="0"/>
          <w:numId w:val="45"/>
        </w:numPr>
        <w:ind w:left="284" w:hanging="284"/>
        <w:jc w:val="both"/>
        <w:rPr>
          <w:rFonts w:ascii="Arial" w:hAnsi="Arial" w:cs="Arial"/>
          <w:color w:val="000000"/>
          <w:spacing w:val="-2"/>
          <w:sz w:val="20"/>
          <w:szCs w:val="20"/>
        </w:rPr>
      </w:pPr>
      <w:r w:rsidRPr="002D2F67">
        <w:rPr>
          <w:rFonts w:ascii="Arial" w:hAnsi="Arial" w:cs="Arial"/>
          <w:color w:val="000000"/>
          <w:spacing w:val="-2"/>
          <w:sz w:val="20"/>
          <w:szCs w:val="20"/>
        </w:rPr>
        <w:t xml:space="preserve">During </w:t>
      </w:r>
      <w:r w:rsidR="00CD5714" w:rsidRPr="00CD5714">
        <w:rPr>
          <w:rFonts w:ascii="Arial" w:hAnsi="Arial" w:cs="Arial"/>
          <w:color w:val="000000"/>
          <w:spacing w:val="-2"/>
          <w:sz w:val="20"/>
          <w:szCs w:val="20"/>
          <w:lang w:val="en-GB"/>
        </w:rPr>
        <w:t>2024</w:t>
      </w:r>
      <w:r w:rsidRPr="002D2F67">
        <w:rPr>
          <w:rFonts w:ascii="Arial" w:hAnsi="Arial" w:cs="Arial"/>
          <w:color w:val="000000"/>
          <w:spacing w:val="-2"/>
          <w:sz w:val="20"/>
          <w:szCs w:val="20"/>
        </w:rPr>
        <w:t xml:space="preserve">, </w:t>
      </w:r>
      <w:r w:rsidR="002776B3" w:rsidRPr="002D2F67">
        <w:rPr>
          <w:rFonts w:ascii="Arial" w:hAnsi="Arial" w:cs="Arial"/>
          <w:color w:val="000000"/>
          <w:spacing w:val="-2"/>
          <w:sz w:val="20"/>
          <w:szCs w:val="20"/>
        </w:rPr>
        <w:t>impairment loss</w:t>
      </w:r>
      <w:r w:rsidR="007048F0" w:rsidRPr="002D2F67">
        <w:rPr>
          <w:rFonts w:ascii="Arial" w:hAnsi="Arial" w:cs="Arial"/>
          <w:color w:val="000000"/>
          <w:spacing w:val="-2"/>
          <w:sz w:val="20"/>
          <w:szCs w:val="20"/>
        </w:rPr>
        <w:t xml:space="preserve"> </w:t>
      </w:r>
      <w:r w:rsidR="007048F0" w:rsidRPr="002D2F67">
        <w:rPr>
          <w:rFonts w:ascii="Arial" w:hAnsi="Arial" w:cs="Arial"/>
          <w:color w:val="000000"/>
          <w:spacing w:val="-4"/>
          <w:sz w:val="20"/>
          <w:szCs w:val="20"/>
        </w:rPr>
        <w:t xml:space="preserve">of Baht </w:t>
      </w:r>
      <w:r w:rsidR="00CD5714" w:rsidRPr="00CD5714">
        <w:rPr>
          <w:rFonts w:ascii="Arial" w:hAnsi="Arial" w:cs="Arial"/>
          <w:color w:val="000000"/>
          <w:spacing w:val="-4"/>
          <w:sz w:val="20"/>
          <w:szCs w:val="20"/>
          <w:lang w:val="en-GB"/>
        </w:rPr>
        <w:t>1</w:t>
      </w:r>
      <w:r w:rsidR="007048F0"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173</w:t>
      </w:r>
      <w:r w:rsidR="0090718C" w:rsidRPr="002D2F67">
        <w:rPr>
          <w:rFonts w:ascii="Arial" w:hAnsi="Arial" w:cs="Arial"/>
          <w:color w:val="000000"/>
          <w:spacing w:val="-4"/>
          <w:sz w:val="20"/>
          <w:szCs w:val="20"/>
        </w:rPr>
        <w:t xml:space="preserve"> </w:t>
      </w:r>
      <w:r w:rsidR="0090718C" w:rsidRPr="002D2F67">
        <w:rPr>
          <w:rFonts w:ascii="Arial" w:hAnsi="Arial" w:cs="Arial"/>
          <w:color w:val="000000"/>
          <w:sz w:val="20"/>
          <w:szCs w:val="20"/>
        </w:rPr>
        <w:t>million</w:t>
      </w:r>
      <w:r w:rsidR="0078419A" w:rsidRPr="002D2F67">
        <w:rPr>
          <w:rFonts w:ascii="Arial" w:hAnsi="Arial" w:cs="Arial"/>
          <w:color w:val="000000"/>
          <w:spacing w:val="-4"/>
          <w:sz w:val="20"/>
          <w:szCs w:val="20"/>
        </w:rPr>
        <w:t xml:space="preserve"> for </w:t>
      </w:r>
      <w:r w:rsidRPr="002D2F67">
        <w:rPr>
          <w:rFonts w:ascii="Arial" w:hAnsi="Arial" w:cs="Arial"/>
          <w:color w:val="000000"/>
          <w:spacing w:val="-2"/>
          <w:sz w:val="20"/>
          <w:szCs w:val="20"/>
        </w:rPr>
        <w:t xml:space="preserve">buildings and building improvements, </w:t>
      </w:r>
      <w:r w:rsidRPr="002D2F67">
        <w:rPr>
          <w:rFonts w:ascii="Arial" w:hAnsi="Arial" w:cs="Arial"/>
          <w:color w:val="000000"/>
          <w:spacing w:val="-4"/>
          <w:sz w:val="20"/>
          <w:szCs w:val="20"/>
        </w:rPr>
        <w:t>machine</w:t>
      </w:r>
      <w:r w:rsidR="0078419A" w:rsidRPr="002D2F67">
        <w:rPr>
          <w:rFonts w:ascii="Arial" w:hAnsi="Arial" w:cs="Arial"/>
          <w:color w:val="000000"/>
          <w:spacing w:val="-4"/>
          <w:sz w:val="20"/>
          <w:szCs w:val="20"/>
        </w:rPr>
        <w:t>s</w:t>
      </w:r>
      <w:r w:rsidRPr="002D2F67">
        <w:rPr>
          <w:rFonts w:ascii="Arial" w:hAnsi="Arial" w:cs="Arial"/>
          <w:color w:val="000000"/>
          <w:spacing w:val="-2"/>
          <w:sz w:val="20"/>
          <w:szCs w:val="20"/>
        </w:rPr>
        <w:t xml:space="preserve"> and equipment, office equipment and construction in progress of </w:t>
      </w:r>
      <w:r w:rsidR="00D83FFC" w:rsidRPr="002D2F67">
        <w:rPr>
          <w:rFonts w:ascii="Arial" w:hAnsi="Arial" w:cs="Arial"/>
          <w:color w:val="000000"/>
          <w:spacing w:val="-2"/>
          <w:sz w:val="20"/>
          <w:szCs w:val="20"/>
        </w:rPr>
        <w:t>battery</w:t>
      </w:r>
      <w:r w:rsidRPr="002D2F67">
        <w:rPr>
          <w:rFonts w:ascii="Arial" w:hAnsi="Arial" w:cs="Arial"/>
          <w:color w:val="000000"/>
          <w:spacing w:val="-2"/>
          <w:sz w:val="20"/>
          <w:szCs w:val="20"/>
        </w:rPr>
        <w:t xml:space="preserve"> </w:t>
      </w:r>
      <w:r w:rsidR="0078419A" w:rsidRPr="002D2F67">
        <w:rPr>
          <w:rFonts w:ascii="Arial" w:hAnsi="Arial" w:cs="Arial"/>
          <w:color w:val="000000"/>
          <w:spacing w:val="-6"/>
          <w:sz w:val="20"/>
          <w:szCs w:val="20"/>
        </w:rPr>
        <w:t>manufacturing</w:t>
      </w:r>
      <w:r w:rsidRPr="002D2F67">
        <w:rPr>
          <w:rFonts w:ascii="Arial" w:hAnsi="Arial" w:cs="Arial"/>
          <w:color w:val="000000"/>
          <w:spacing w:val="-6"/>
          <w:sz w:val="20"/>
          <w:szCs w:val="20"/>
        </w:rPr>
        <w:t xml:space="preserve"> and distributi</w:t>
      </w:r>
      <w:r w:rsidR="0078419A" w:rsidRPr="002D2F67">
        <w:rPr>
          <w:rFonts w:ascii="Arial" w:hAnsi="Arial" w:cs="Arial"/>
          <w:color w:val="000000"/>
          <w:spacing w:val="-6"/>
          <w:sz w:val="20"/>
          <w:szCs w:val="20"/>
        </w:rPr>
        <w:t>ng</w:t>
      </w:r>
      <w:r w:rsidRPr="002D2F67">
        <w:rPr>
          <w:rFonts w:ascii="Arial" w:hAnsi="Arial" w:cs="Arial"/>
          <w:color w:val="000000"/>
          <w:spacing w:val="-6"/>
          <w:sz w:val="20"/>
          <w:szCs w:val="20"/>
        </w:rPr>
        <w:t xml:space="preserve"> business </w:t>
      </w:r>
      <w:r w:rsidR="0078419A" w:rsidRPr="002D2F67">
        <w:rPr>
          <w:rFonts w:ascii="Arial" w:hAnsi="Arial" w:cs="Arial"/>
          <w:color w:val="000000"/>
          <w:spacing w:val="-6"/>
          <w:sz w:val="20"/>
          <w:szCs w:val="20"/>
        </w:rPr>
        <w:t xml:space="preserve">has been recognised </w:t>
      </w:r>
      <w:r w:rsidRPr="002D2F67">
        <w:rPr>
          <w:rFonts w:ascii="Arial" w:hAnsi="Arial" w:cs="Arial"/>
          <w:color w:val="000000"/>
          <w:spacing w:val="-6"/>
          <w:sz w:val="20"/>
          <w:szCs w:val="20"/>
        </w:rPr>
        <w:t xml:space="preserve">due to </w:t>
      </w:r>
      <w:r w:rsidR="0078419A" w:rsidRPr="002D2F67">
        <w:rPr>
          <w:rFonts w:ascii="Arial" w:hAnsi="Arial" w:cs="Arial"/>
          <w:color w:val="000000"/>
          <w:spacing w:val="-6"/>
          <w:sz w:val="20"/>
          <w:szCs w:val="20"/>
        </w:rPr>
        <w:t>changes</w:t>
      </w:r>
      <w:r w:rsidRPr="002D2F67">
        <w:rPr>
          <w:rFonts w:ascii="Arial" w:hAnsi="Arial" w:cs="Arial"/>
          <w:color w:val="000000"/>
          <w:spacing w:val="-6"/>
          <w:sz w:val="20"/>
          <w:szCs w:val="20"/>
        </w:rPr>
        <w:t xml:space="preserve"> in electric </w:t>
      </w:r>
      <w:r w:rsidR="0078419A" w:rsidRPr="002D2F67">
        <w:rPr>
          <w:rFonts w:ascii="Arial" w:hAnsi="Arial" w:cs="Arial"/>
          <w:color w:val="000000"/>
          <w:spacing w:val="-6"/>
          <w:sz w:val="20"/>
          <w:szCs w:val="20"/>
        </w:rPr>
        <w:t>batter</w:t>
      </w:r>
      <w:r w:rsidR="00D51A28" w:rsidRPr="002D2F67">
        <w:rPr>
          <w:rFonts w:ascii="Arial" w:hAnsi="Arial" w:cs="Arial"/>
          <w:color w:val="000000"/>
          <w:spacing w:val="-6"/>
          <w:sz w:val="20"/>
          <w:szCs w:val="20"/>
        </w:rPr>
        <w:t>y</w:t>
      </w:r>
      <w:r w:rsidRPr="002D2F67">
        <w:rPr>
          <w:rFonts w:ascii="Arial" w:hAnsi="Arial" w:cs="Arial"/>
          <w:color w:val="000000"/>
          <w:spacing w:val="-6"/>
          <w:sz w:val="20"/>
          <w:szCs w:val="20"/>
        </w:rPr>
        <w:t xml:space="preserve"> </w:t>
      </w:r>
      <w:r w:rsidR="0078419A" w:rsidRPr="002D2F67">
        <w:rPr>
          <w:rFonts w:ascii="Arial" w:hAnsi="Arial" w:cs="Arial"/>
          <w:color w:val="000000"/>
          <w:spacing w:val="-6"/>
          <w:sz w:val="20"/>
          <w:szCs w:val="20"/>
        </w:rPr>
        <w:t>industry’s</w:t>
      </w:r>
      <w:r w:rsidR="00D83FFC" w:rsidRPr="002D2F67">
        <w:rPr>
          <w:rFonts w:ascii="Arial" w:hAnsi="Arial" w:cs="Arial"/>
          <w:color w:val="000000"/>
          <w:spacing w:val="-6"/>
          <w:sz w:val="20"/>
          <w:szCs w:val="20"/>
        </w:rPr>
        <w:t xml:space="preserve"> trend</w:t>
      </w:r>
      <w:r w:rsidRPr="002D2F67">
        <w:rPr>
          <w:rFonts w:ascii="Arial" w:hAnsi="Arial" w:cs="Arial"/>
          <w:color w:val="000000"/>
          <w:spacing w:val="-6"/>
          <w:sz w:val="20"/>
          <w:szCs w:val="20"/>
        </w:rPr>
        <w:t xml:space="preserve"> and the </w:t>
      </w:r>
      <w:r w:rsidR="00D83FFC" w:rsidRPr="002D2F67">
        <w:rPr>
          <w:rFonts w:ascii="Arial" w:hAnsi="Arial" w:cs="Arial"/>
          <w:color w:val="000000"/>
          <w:spacing w:val="-6"/>
          <w:sz w:val="20"/>
          <w:szCs w:val="20"/>
        </w:rPr>
        <w:t>revision of management</w:t>
      </w:r>
      <w:r w:rsidRPr="002D2F67">
        <w:rPr>
          <w:rFonts w:ascii="Arial" w:hAnsi="Arial" w:cs="Arial"/>
          <w:color w:val="000000"/>
          <w:spacing w:val="-6"/>
          <w:sz w:val="20"/>
          <w:szCs w:val="20"/>
        </w:rPr>
        <w:t xml:space="preserve"> business plan. The recoverable</w:t>
      </w:r>
      <w:r w:rsidRPr="002D2F67">
        <w:rPr>
          <w:rFonts w:ascii="Arial" w:hAnsi="Arial" w:cs="Arial"/>
          <w:color w:val="000000"/>
          <w:spacing w:val="-2"/>
          <w:sz w:val="20"/>
          <w:szCs w:val="20"/>
        </w:rPr>
        <w:t xml:space="preserve"> amount was determined </w:t>
      </w:r>
      <w:r w:rsidR="00D83FFC" w:rsidRPr="002D2F67">
        <w:rPr>
          <w:rFonts w:ascii="Arial" w:hAnsi="Arial" w:cs="Arial"/>
          <w:color w:val="000000"/>
          <w:spacing w:val="-2"/>
          <w:sz w:val="20"/>
          <w:szCs w:val="20"/>
        </w:rPr>
        <w:t>using</w:t>
      </w:r>
      <w:r w:rsidRPr="002D2F67">
        <w:rPr>
          <w:rFonts w:ascii="Arial" w:hAnsi="Arial" w:cs="Arial"/>
          <w:color w:val="000000"/>
          <w:spacing w:val="-2"/>
          <w:sz w:val="20"/>
          <w:szCs w:val="20"/>
        </w:rPr>
        <w:t xml:space="preserve"> value</w:t>
      </w:r>
      <w:r w:rsidR="00D83FFC" w:rsidRPr="002D2F67">
        <w:rPr>
          <w:rFonts w:ascii="Arial" w:hAnsi="Arial" w:cs="Arial"/>
          <w:color w:val="000000"/>
          <w:spacing w:val="-2"/>
          <w:sz w:val="20"/>
          <w:szCs w:val="20"/>
        </w:rPr>
        <w:t>-</w:t>
      </w:r>
      <w:r w:rsidRPr="002D2F67">
        <w:rPr>
          <w:rFonts w:ascii="Arial" w:hAnsi="Arial" w:cs="Arial"/>
          <w:color w:val="000000"/>
          <w:spacing w:val="-2"/>
          <w:sz w:val="20"/>
          <w:szCs w:val="20"/>
        </w:rPr>
        <w:t>in</w:t>
      </w:r>
      <w:r w:rsidR="00D83FFC" w:rsidRPr="002D2F67">
        <w:rPr>
          <w:rFonts w:ascii="Arial" w:hAnsi="Arial" w:cs="Arial"/>
          <w:color w:val="000000"/>
          <w:spacing w:val="-2"/>
          <w:sz w:val="20"/>
          <w:szCs w:val="20"/>
        </w:rPr>
        <w:t>-</w:t>
      </w:r>
      <w:r w:rsidRPr="002D2F67">
        <w:rPr>
          <w:rFonts w:ascii="Arial" w:hAnsi="Arial" w:cs="Arial"/>
          <w:color w:val="000000"/>
          <w:spacing w:val="-2"/>
          <w:sz w:val="20"/>
          <w:szCs w:val="20"/>
        </w:rPr>
        <w:t>use</w:t>
      </w:r>
      <w:r w:rsidR="00D85010">
        <w:rPr>
          <w:rFonts w:ascii="Arial" w:hAnsi="Arial" w:cs="Browallia New" w:hint="cs"/>
          <w:color w:val="000000"/>
          <w:spacing w:val="-2"/>
          <w:sz w:val="20"/>
          <w:szCs w:val="25"/>
          <w:cs/>
        </w:rPr>
        <w:t xml:space="preserve"> </w:t>
      </w:r>
      <w:r w:rsidR="00D85010">
        <w:rPr>
          <w:rFonts w:ascii="Arial" w:hAnsi="Arial" w:cs="Browallia New"/>
          <w:color w:val="000000"/>
          <w:spacing w:val="-2"/>
          <w:sz w:val="20"/>
          <w:szCs w:val="25"/>
        </w:rPr>
        <w:t xml:space="preserve">which calculated using the discount rate </w:t>
      </w:r>
      <w:r w:rsidR="00F45670">
        <w:rPr>
          <w:rFonts w:ascii="Arial" w:hAnsi="Arial" w:cs="Browallia New"/>
          <w:color w:val="000000"/>
          <w:spacing w:val="-2"/>
          <w:sz w:val="20"/>
          <w:szCs w:val="25"/>
        </w:rPr>
        <w:t>at</w:t>
      </w:r>
      <w:r w:rsidR="00D85010">
        <w:rPr>
          <w:rFonts w:ascii="Arial" w:hAnsi="Arial" w:cs="Browallia New"/>
          <w:color w:val="000000"/>
          <w:spacing w:val="-2"/>
          <w:sz w:val="20"/>
          <w:szCs w:val="25"/>
        </w:rPr>
        <w:t xml:space="preserve"> 10.66% per annum.</w:t>
      </w:r>
    </w:p>
    <w:p w14:paraId="0E6EEDD1" w14:textId="75BD179C" w:rsidR="00474C49" w:rsidRPr="002D2F67" w:rsidRDefault="004F4DED" w:rsidP="00474C49">
      <w:pPr>
        <w:jc w:val="both"/>
        <w:rPr>
          <w:rFonts w:ascii="Arial" w:hAnsi="Arial" w:cs="Arial"/>
          <w:color w:val="000000"/>
          <w:sz w:val="20"/>
          <w:szCs w:val="20"/>
        </w:rPr>
      </w:pPr>
      <w:r w:rsidRPr="002D2F67">
        <w:rPr>
          <w:rFonts w:ascii="Arial" w:hAnsi="Arial" w:cs="Arial"/>
          <w:color w:val="000000"/>
          <w:sz w:val="20"/>
          <w:szCs w:val="20"/>
        </w:rPr>
        <w:br w:type="page"/>
      </w:r>
    </w:p>
    <w:tbl>
      <w:tblPr>
        <w:tblW w:w="15670" w:type="dxa"/>
        <w:tblInd w:w="-176" w:type="dxa"/>
        <w:tblLayout w:type="fixed"/>
        <w:tblLook w:val="0000" w:firstRow="0" w:lastRow="0" w:firstColumn="0" w:lastColumn="0" w:noHBand="0" w:noVBand="0"/>
      </w:tblPr>
      <w:tblGrid>
        <w:gridCol w:w="4505"/>
        <w:gridCol w:w="1599"/>
        <w:gridCol w:w="1599"/>
        <w:gridCol w:w="1599"/>
        <w:gridCol w:w="1599"/>
        <w:gridCol w:w="1599"/>
        <w:gridCol w:w="1599"/>
        <w:gridCol w:w="1571"/>
      </w:tblGrid>
      <w:tr w:rsidR="00AE4BD1" w:rsidRPr="002D2F67" w14:paraId="238D86B0" w14:textId="77777777" w:rsidTr="19457625">
        <w:trPr>
          <w:trHeight w:val="239"/>
        </w:trPr>
        <w:tc>
          <w:tcPr>
            <w:tcW w:w="4505" w:type="dxa"/>
            <w:shd w:val="clear" w:color="auto" w:fill="auto"/>
            <w:vAlign w:val="bottom"/>
          </w:tcPr>
          <w:p w14:paraId="69BD90AD" w14:textId="77777777" w:rsidR="00AE4BD1" w:rsidRPr="002D2F67" w:rsidRDefault="00AE4BD1" w:rsidP="005611FE">
            <w:pPr>
              <w:ind w:left="180"/>
              <w:rPr>
                <w:rFonts w:ascii="Arial" w:hAnsi="Arial" w:cs="Arial"/>
                <w:b/>
                <w:bCs/>
                <w:color w:val="000000"/>
                <w:sz w:val="20"/>
                <w:szCs w:val="20"/>
              </w:rPr>
            </w:pPr>
          </w:p>
        </w:tc>
        <w:tc>
          <w:tcPr>
            <w:tcW w:w="11165" w:type="dxa"/>
            <w:gridSpan w:val="7"/>
            <w:tcBorders>
              <w:bottom w:val="single" w:sz="4" w:space="0" w:color="auto"/>
            </w:tcBorders>
            <w:shd w:val="clear" w:color="auto" w:fill="auto"/>
          </w:tcPr>
          <w:p w14:paraId="28641BDC" w14:textId="77777777" w:rsidR="00AE4BD1" w:rsidRPr="002D2F67" w:rsidRDefault="00AE4BD1" w:rsidP="005611FE">
            <w:pPr>
              <w:ind w:right="-72"/>
              <w:jc w:val="right"/>
              <w:rPr>
                <w:rFonts w:ascii="Arial" w:hAnsi="Arial" w:cs="Arial"/>
                <w:b/>
                <w:bCs/>
                <w:color w:val="000000"/>
                <w:sz w:val="20"/>
                <w:szCs w:val="20"/>
              </w:rPr>
            </w:pPr>
            <w:r w:rsidRPr="002D2F67">
              <w:rPr>
                <w:rFonts w:ascii="Arial" w:hAnsi="Arial" w:cs="Arial"/>
                <w:b/>
                <w:bCs/>
                <w:color w:val="000000"/>
                <w:sz w:val="20"/>
                <w:szCs w:val="20"/>
              </w:rPr>
              <w:t>Separate financial statements</w:t>
            </w:r>
          </w:p>
        </w:tc>
      </w:tr>
      <w:tr w:rsidR="00AE4BD1" w:rsidRPr="002D2F67" w14:paraId="2E223866" w14:textId="77777777" w:rsidTr="19457625">
        <w:trPr>
          <w:trHeight w:val="1214"/>
        </w:trPr>
        <w:tc>
          <w:tcPr>
            <w:tcW w:w="4505" w:type="dxa"/>
            <w:shd w:val="clear" w:color="auto" w:fill="auto"/>
            <w:vAlign w:val="bottom"/>
          </w:tcPr>
          <w:p w14:paraId="0774D785" w14:textId="77777777" w:rsidR="00AE4BD1" w:rsidRPr="002D2F67" w:rsidRDefault="00AE4BD1" w:rsidP="005611FE">
            <w:pPr>
              <w:ind w:left="180"/>
              <w:rPr>
                <w:rFonts w:ascii="Arial" w:hAnsi="Arial" w:cs="Arial"/>
                <w:b/>
                <w:bCs/>
                <w:color w:val="000000"/>
                <w:sz w:val="20"/>
                <w:szCs w:val="20"/>
              </w:rPr>
            </w:pPr>
          </w:p>
        </w:tc>
        <w:tc>
          <w:tcPr>
            <w:tcW w:w="1599" w:type="dxa"/>
            <w:tcBorders>
              <w:top w:val="single" w:sz="4" w:space="0" w:color="auto"/>
            </w:tcBorders>
            <w:shd w:val="clear" w:color="auto" w:fill="auto"/>
            <w:vAlign w:val="bottom"/>
          </w:tcPr>
          <w:p w14:paraId="287CCB08" w14:textId="77777777" w:rsidR="00AE4BD1" w:rsidRPr="002D2F67" w:rsidRDefault="00AE4BD1" w:rsidP="005611FE">
            <w:pPr>
              <w:ind w:right="-72"/>
              <w:jc w:val="right"/>
              <w:rPr>
                <w:rFonts w:ascii="Arial" w:hAnsi="Arial" w:cs="Arial"/>
                <w:b/>
                <w:bCs/>
                <w:color w:val="000000"/>
                <w:sz w:val="20"/>
                <w:szCs w:val="20"/>
              </w:rPr>
            </w:pPr>
          </w:p>
          <w:p w14:paraId="5685B0D8" w14:textId="77777777" w:rsidR="00AE4BD1" w:rsidRPr="002D2F67" w:rsidRDefault="00AE4BD1" w:rsidP="005611FE">
            <w:pPr>
              <w:ind w:right="-72"/>
              <w:jc w:val="right"/>
              <w:rPr>
                <w:rFonts w:ascii="Arial" w:hAnsi="Arial" w:cs="Arial"/>
                <w:b/>
                <w:bCs/>
                <w:color w:val="000000"/>
                <w:sz w:val="20"/>
                <w:szCs w:val="20"/>
              </w:rPr>
            </w:pPr>
          </w:p>
          <w:p w14:paraId="61DE3E7C" w14:textId="77777777" w:rsidR="00AE4BD1" w:rsidRPr="002D2F67" w:rsidRDefault="00AE4BD1" w:rsidP="005611FE">
            <w:pPr>
              <w:ind w:right="-72"/>
              <w:jc w:val="right"/>
              <w:rPr>
                <w:rFonts w:ascii="Arial" w:hAnsi="Arial" w:cs="Arial"/>
                <w:b/>
                <w:bCs/>
                <w:color w:val="000000"/>
                <w:sz w:val="20"/>
                <w:szCs w:val="20"/>
              </w:rPr>
            </w:pPr>
          </w:p>
          <w:p w14:paraId="26100A18" w14:textId="77777777" w:rsidR="00AE4BD1" w:rsidRPr="002D2F67" w:rsidRDefault="00AE4BD1" w:rsidP="005611FE">
            <w:pPr>
              <w:ind w:right="-72"/>
              <w:jc w:val="right"/>
              <w:rPr>
                <w:rFonts w:ascii="Arial" w:hAnsi="Arial" w:cs="Arial"/>
                <w:b/>
                <w:bCs/>
                <w:color w:val="000000"/>
                <w:sz w:val="20"/>
                <w:szCs w:val="20"/>
              </w:rPr>
            </w:pPr>
            <w:r w:rsidRPr="002D2F67">
              <w:rPr>
                <w:rFonts w:ascii="Arial" w:hAnsi="Arial" w:cs="Arial"/>
                <w:b/>
                <w:bCs/>
                <w:color w:val="000000"/>
                <w:sz w:val="20"/>
                <w:szCs w:val="20"/>
              </w:rPr>
              <w:t>Land</w:t>
            </w:r>
          </w:p>
        </w:tc>
        <w:tc>
          <w:tcPr>
            <w:tcW w:w="1599" w:type="dxa"/>
            <w:tcBorders>
              <w:top w:val="single" w:sz="4" w:space="0" w:color="auto"/>
            </w:tcBorders>
            <w:shd w:val="clear" w:color="auto" w:fill="auto"/>
            <w:vAlign w:val="bottom"/>
          </w:tcPr>
          <w:p w14:paraId="505FF589" w14:textId="77777777" w:rsidR="00AE4BD1" w:rsidRPr="002D2F67" w:rsidRDefault="00AE4BD1" w:rsidP="005611FE">
            <w:pPr>
              <w:ind w:right="-72"/>
              <w:jc w:val="right"/>
              <w:rPr>
                <w:rFonts w:ascii="Arial" w:hAnsi="Arial" w:cs="Arial"/>
                <w:b/>
                <w:bCs/>
                <w:color w:val="000000"/>
                <w:sz w:val="20"/>
                <w:szCs w:val="20"/>
              </w:rPr>
            </w:pPr>
          </w:p>
          <w:p w14:paraId="0C5B792A" w14:textId="77777777" w:rsidR="00AE4BD1" w:rsidRPr="002D2F67" w:rsidRDefault="00AE4BD1"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Buildings and buildings improvement </w:t>
            </w:r>
          </w:p>
        </w:tc>
        <w:tc>
          <w:tcPr>
            <w:tcW w:w="1599" w:type="dxa"/>
            <w:tcBorders>
              <w:top w:val="single" w:sz="4" w:space="0" w:color="auto"/>
            </w:tcBorders>
            <w:shd w:val="clear" w:color="auto" w:fill="auto"/>
            <w:vAlign w:val="bottom"/>
          </w:tcPr>
          <w:p w14:paraId="2C44056B" w14:textId="77777777" w:rsidR="00AE4BD1" w:rsidRPr="002D2F67" w:rsidRDefault="00AE4BD1" w:rsidP="005611FE">
            <w:pPr>
              <w:ind w:right="-72"/>
              <w:jc w:val="right"/>
              <w:rPr>
                <w:rFonts w:ascii="Arial" w:hAnsi="Arial" w:cs="Arial"/>
                <w:b/>
                <w:bCs/>
                <w:color w:val="000000"/>
                <w:sz w:val="20"/>
                <w:szCs w:val="20"/>
              </w:rPr>
            </w:pPr>
            <w:r w:rsidRPr="002D2F67">
              <w:rPr>
                <w:rFonts w:ascii="Arial" w:hAnsi="Arial" w:cs="Arial"/>
                <w:b/>
                <w:bCs/>
                <w:color w:val="000000"/>
                <w:sz w:val="20"/>
                <w:szCs w:val="20"/>
              </w:rPr>
              <w:t>Machines and equipment</w:t>
            </w:r>
          </w:p>
        </w:tc>
        <w:tc>
          <w:tcPr>
            <w:tcW w:w="1599" w:type="dxa"/>
            <w:tcBorders>
              <w:top w:val="single" w:sz="4" w:space="0" w:color="auto"/>
            </w:tcBorders>
            <w:shd w:val="clear" w:color="auto" w:fill="auto"/>
            <w:vAlign w:val="bottom"/>
          </w:tcPr>
          <w:p w14:paraId="4890A673" w14:textId="77777777" w:rsidR="00AE4BD1" w:rsidRPr="002D2F67" w:rsidRDefault="00AE4BD1"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Power plants, substation, transmission system and components </w:t>
            </w:r>
          </w:p>
        </w:tc>
        <w:tc>
          <w:tcPr>
            <w:tcW w:w="1599" w:type="dxa"/>
            <w:tcBorders>
              <w:top w:val="single" w:sz="4" w:space="0" w:color="auto"/>
            </w:tcBorders>
            <w:shd w:val="clear" w:color="auto" w:fill="auto"/>
            <w:vAlign w:val="bottom"/>
          </w:tcPr>
          <w:p w14:paraId="704E55AD" w14:textId="77777777" w:rsidR="00AE4BD1" w:rsidRPr="002D2F67" w:rsidRDefault="00AE4BD1" w:rsidP="005611FE">
            <w:pPr>
              <w:ind w:right="-72"/>
              <w:jc w:val="right"/>
              <w:rPr>
                <w:rFonts w:ascii="Arial" w:hAnsi="Arial" w:cs="Arial"/>
                <w:b/>
                <w:bCs/>
                <w:color w:val="000000"/>
                <w:sz w:val="20"/>
                <w:szCs w:val="20"/>
              </w:rPr>
            </w:pPr>
            <w:r w:rsidRPr="002D2F67">
              <w:rPr>
                <w:rFonts w:ascii="Arial" w:hAnsi="Arial" w:cs="Arial"/>
                <w:b/>
                <w:bCs/>
                <w:color w:val="000000"/>
                <w:sz w:val="20"/>
                <w:szCs w:val="20"/>
              </w:rPr>
              <w:t>Office equipment,</w:t>
            </w:r>
          </w:p>
          <w:p w14:paraId="0839CE21" w14:textId="77777777" w:rsidR="00AE4BD1" w:rsidRPr="002D2F67" w:rsidRDefault="00AE4BD1" w:rsidP="005611FE">
            <w:pPr>
              <w:ind w:right="-72"/>
              <w:jc w:val="right"/>
              <w:rPr>
                <w:rFonts w:ascii="Arial" w:hAnsi="Arial" w:cs="Arial"/>
                <w:b/>
                <w:bCs/>
                <w:color w:val="000000"/>
                <w:sz w:val="20"/>
                <w:szCs w:val="20"/>
              </w:rPr>
            </w:pPr>
            <w:r w:rsidRPr="002D2F67">
              <w:rPr>
                <w:rFonts w:ascii="Arial" w:hAnsi="Arial" w:cs="Arial"/>
                <w:b/>
                <w:bCs/>
                <w:color w:val="000000"/>
                <w:sz w:val="20"/>
                <w:szCs w:val="20"/>
              </w:rPr>
              <w:t>furniture,</w:t>
            </w:r>
          </w:p>
          <w:p w14:paraId="2CA57A44" w14:textId="77777777" w:rsidR="00AE4BD1" w:rsidRPr="002D2F67" w:rsidRDefault="00AE4BD1" w:rsidP="005611FE">
            <w:pPr>
              <w:ind w:right="-72"/>
              <w:jc w:val="right"/>
              <w:rPr>
                <w:rFonts w:ascii="Arial" w:hAnsi="Arial" w:cs="Arial"/>
                <w:b/>
                <w:bCs/>
                <w:color w:val="000000"/>
                <w:sz w:val="20"/>
                <w:szCs w:val="20"/>
              </w:rPr>
            </w:pPr>
            <w:r w:rsidRPr="002D2F67">
              <w:rPr>
                <w:rFonts w:ascii="Arial" w:hAnsi="Arial" w:cs="Arial"/>
                <w:b/>
                <w:bCs/>
                <w:color w:val="000000"/>
                <w:sz w:val="20"/>
                <w:szCs w:val="20"/>
              </w:rPr>
              <w:t>computers and</w:t>
            </w:r>
          </w:p>
          <w:p w14:paraId="635057F8" w14:textId="77777777" w:rsidR="00AE4BD1" w:rsidRPr="002D2F67" w:rsidRDefault="00AE4BD1" w:rsidP="005611FE">
            <w:pPr>
              <w:ind w:right="-72"/>
              <w:jc w:val="right"/>
              <w:rPr>
                <w:rFonts w:ascii="Arial" w:hAnsi="Arial" w:cs="Arial"/>
                <w:b/>
                <w:bCs/>
                <w:color w:val="000000"/>
                <w:sz w:val="20"/>
                <w:szCs w:val="20"/>
              </w:rPr>
            </w:pPr>
            <w:r w:rsidRPr="002D2F67">
              <w:rPr>
                <w:rFonts w:ascii="Arial" w:hAnsi="Arial" w:cs="Arial"/>
                <w:b/>
                <w:bCs/>
                <w:color w:val="000000"/>
                <w:sz w:val="20"/>
                <w:szCs w:val="20"/>
              </w:rPr>
              <w:t>motor vehicles</w:t>
            </w:r>
          </w:p>
        </w:tc>
        <w:tc>
          <w:tcPr>
            <w:tcW w:w="1599" w:type="dxa"/>
            <w:tcBorders>
              <w:top w:val="single" w:sz="4" w:space="0" w:color="auto"/>
            </w:tcBorders>
            <w:shd w:val="clear" w:color="auto" w:fill="auto"/>
            <w:vAlign w:val="bottom"/>
          </w:tcPr>
          <w:p w14:paraId="1C4BBA0F" w14:textId="77777777" w:rsidR="00AE4BD1" w:rsidRPr="002D2F67" w:rsidRDefault="00AE4BD1" w:rsidP="005611FE">
            <w:pPr>
              <w:ind w:right="-72"/>
              <w:jc w:val="right"/>
              <w:rPr>
                <w:rFonts w:ascii="Arial" w:hAnsi="Arial" w:cs="Arial"/>
                <w:b/>
                <w:bCs/>
                <w:color w:val="000000"/>
                <w:sz w:val="20"/>
                <w:szCs w:val="20"/>
              </w:rPr>
            </w:pPr>
            <w:r w:rsidRPr="002D2F67">
              <w:rPr>
                <w:rFonts w:ascii="Arial" w:hAnsi="Arial" w:cs="Arial"/>
                <w:b/>
                <w:bCs/>
                <w:color w:val="000000"/>
                <w:sz w:val="20"/>
                <w:szCs w:val="20"/>
              </w:rPr>
              <w:t>Construction in progress</w:t>
            </w:r>
          </w:p>
        </w:tc>
        <w:tc>
          <w:tcPr>
            <w:tcW w:w="1571" w:type="dxa"/>
            <w:tcBorders>
              <w:top w:val="single" w:sz="4" w:space="0" w:color="auto"/>
            </w:tcBorders>
            <w:shd w:val="clear" w:color="auto" w:fill="auto"/>
            <w:vAlign w:val="bottom"/>
          </w:tcPr>
          <w:p w14:paraId="202D99AF" w14:textId="77777777" w:rsidR="00AE4BD1" w:rsidRPr="002D2F67" w:rsidRDefault="00AE4BD1" w:rsidP="005611FE">
            <w:pPr>
              <w:ind w:right="-72"/>
              <w:jc w:val="right"/>
              <w:rPr>
                <w:rFonts w:ascii="Arial" w:hAnsi="Arial" w:cs="Arial"/>
                <w:b/>
                <w:bCs/>
                <w:color w:val="000000"/>
                <w:sz w:val="20"/>
                <w:szCs w:val="20"/>
              </w:rPr>
            </w:pPr>
          </w:p>
          <w:p w14:paraId="106D85F3" w14:textId="77777777" w:rsidR="00AE4BD1" w:rsidRPr="002D2F67" w:rsidRDefault="00AE4BD1" w:rsidP="005611FE">
            <w:pPr>
              <w:ind w:right="-72"/>
              <w:jc w:val="right"/>
              <w:rPr>
                <w:rFonts w:ascii="Arial" w:hAnsi="Arial" w:cs="Arial"/>
                <w:b/>
                <w:bCs/>
                <w:color w:val="000000"/>
                <w:sz w:val="20"/>
                <w:szCs w:val="20"/>
              </w:rPr>
            </w:pPr>
          </w:p>
          <w:p w14:paraId="54B877AB" w14:textId="77777777" w:rsidR="00AE4BD1" w:rsidRPr="002D2F67" w:rsidRDefault="00AE4BD1" w:rsidP="005611FE">
            <w:pPr>
              <w:ind w:right="-72"/>
              <w:jc w:val="right"/>
              <w:rPr>
                <w:rFonts w:ascii="Arial" w:hAnsi="Arial" w:cs="Arial"/>
                <w:b/>
                <w:bCs/>
                <w:color w:val="000000"/>
                <w:sz w:val="20"/>
                <w:szCs w:val="20"/>
              </w:rPr>
            </w:pPr>
          </w:p>
          <w:p w14:paraId="43D3C465" w14:textId="77777777" w:rsidR="00AE4BD1" w:rsidRPr="002D2F67" w:rsidRDefault="00AE4BD1" w:rsidP="005611FE">
            <w:pPr>
              <w:ind w:right="-72"/>
              <w:jc w:val="right"/>
              <w:rPr>
                <w:rFonts w:ascii="Arial" w:hAnsi="Arial" w:cs="Arial"/>
                <w:b/>
                <w:bCs/>
                <w:color w:val="000000"/>
                <w:sz w:val="20"/>
                <w:szCs w:val="20"/>
              </w:rPr>
            </w:pPr>
            <w:r w:rsidRPr="002D2F67">
              <w:rPr>
                <w:rFonts w:ascii="Arial" w:hAnsi="Arial" w:cs="Arial"/>
                <w:b/>
                <w:bCs/>
                <w:color w:val="000000"/>
                <w:sz w:val="20"/>
                <w:szCs w:val="20"/>
              </w:rPr>
              <w:t>Total</w:t>
            </w:r>
          </w:p>
        </w:tc>
      </w:tr>
      <w:tr w:rsidR="00AE4BD1" w:rsidRPr="002D2F67" w14:paraId="70C9254E" w14:textId="77777777" w:rsidTr="19457625">
        <w:trPr>
          <w:trHeight w:val="239"/>
        </w:trPr>
        <w:tc>
          <w:tcPr>
            <w:tcW w:w="4505" w:type="dxa"/>
            <w:shd w:val="clear" w:color="auto" w:fill="auto"/>
            <w:vAlign w:val="bottom"/>
          </w:tcPr>
          <w:p w14:paraId="71DA757F" w14:textId="77777777" w:rsidR="00AE4BD1" w:rsidRPr="002D2F67" w:rsidRDefault="00AE4BD1" w:rsidP="005611FE">
            <w:pPr>
              <w:ind w:left="180"/>
              <w:rPr>
                <w:rFonts w:ascii="Arial" w:hAnsi="Arial" w:cs="Arial"/>
                <w:b/>
                <w:bCs/>
                <w:color w:val="000000"/>
                <w:sz w:val="20"/>
                <w:szCs w:val="20"/>
              </w:rPr>
            </w:pPr>
          </w:p>
        </w:tc>
        <w:tc>
          <w:tcPr>
            <w:tcW w:w="1599" w:type="dxa"/>
            <w:tcBorders>
              <w:bottom w:val="single" w:sz="4" w:space="0" w:color="auto"/>
            </w:tcBorders>
            <w:shd w:val="clear" w:color="auto" w:fill="auto"/>
            <w:vAlign w:val="bottom"/>
          </w:tcPr>
          <w:p w14:paraId="64DA7E2C" w14:textId="034C9E22" w:rsidR="00AE4BD1" w:rsidRPr="002D2F67" w:rsidRDefault="00AE4BD1"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599" w:type="dxa"/>
            <w:tcBorders>
              <w:bottom w:val="single" w:sz="4" w:space="0" w:color="auto"/>
            </w:tcBorders>
            <w:shd w:val="clear" w:color="auto" w:fill="auto"/>
          </w:tcPr>
          <w:p w14:paraId="2D2753B3" w14:textId="21860E63" w:rsidR="00AE4BD1" w:rsidRPr="002D2F67" w:rsidRDefault="00AE4BD1"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599" w:type="dxa"/>
            <w:tcBorders>
              <w:bottom w:val="single" w:sz="4" w:space="0" w:color="auto"/>
            </w:tcBorders>
            <w:shd w:val="clear" w:color="auto" w:fill="auto"/>
          </w:tcPr>
          <w:p w14:paraId="58C2BB37" w14:textId="683B45B2" w:rsidR="00AE4BD1" w:rsidRPr="002D2F67" w:rsidRDefault="00AE4BD1" w:rsidP="005611FE">
            <w:pPr>
              <w:pStyle w:val="Heading3"/>
              <w:ind w:right="-72"/>
              <w:rPr>
                <w:rFonts w:ascii="Arial" w:hAnsi="Arial" w:cs="Arial"/>
                <w:color w:val="000000"/>
              </w:rPr>
            </w:pPr>
            <w:r w:rsidRPr="002D2F67">
              <w:rPr>
                <w:rFonts w:ascii="Arial" w:hAnsi="Arial" w:cs="Arial"/>
                <w:color w:val="000000"/>
              </w:rPr>
              <w:t>Baht’</w:t>
            </w:r>
            <w:r w:rsidR="00CD5714" w:rsidRPr="00CD5714">
              <w:rPr>
                <w:rFonts w:ascii="Arial" w:hAnsi="Arial" w:cs="Arial"/>
                <w:color w:val="000000"/>
                <w:lang w:val="en-GB"/>
              </w:rPr>
              <w:t>000</w:t>
            </w:r>
          </w:p>
        </w:tc>
        <w:tc>
          <w:tcPr>
            <w:tcW w:w="1599" w:type="dxa"/>
            <w:tcBorders>
              <w:bottom w:val="single" w:sz="4" w:space="0" w:color="auto"/>
            </w:tcBorders>
            <w:shd w:val="clear" w:color="auto" w:fill="auto"/>
          </w:tcPr>
          <w:p w14:paraId="419507DE" w14:textId="26FEBFB5" w:rsidR="00AE4BD1" w:rsidRPr="002D2F67" w:rsidRDefault="00AE4BD1" w:rsidP="005611FE">
            <w:pPr>
              <w:pStyle w:val="Heading3"/>
              <w:ind w:right="-72"/>
              <w:rPr>
                <w:rFonts w:ascii="Arial" w:hAnsi="Arial" w:cs="Arial"/>
                <w:color w:val="000000"/>
              </w:rPr>
            </w:pPr>
            <w:r w:rsidRPr="002D2F67">
              <w:rPr>
                <w:rFonts w:ascii="Arial" w:hAnsi="Arial" w:cs="Arial"/>
                <w:color w:val="000000"/>
              </w:rPr>
              <w:t>Baht’</w:t>
            </w:r>
            <w:r w:rsidR="00CD5714" w:rsidRPr="00CD5714">
              <w:rPr>
                <w:rFonts w:ascii="Arial" w:hAnsi="Arial" w:cs="Arial"/>
                <w:color w:val="000000"/>
                <w:lang w:val="en-GB"/>
              </w:rPr>
              <w:t>000</w:t>
            </w:r>
          </w:p>
        </w:tc>
        <w:tc>
          <w:tcPr>
            <w:tcW w:w="1599" w:type="dxa"/>
            <w:tcBorders>
              <w:bottom w:val="single" w:sz="4" w:space="0" w:color="auto"/>
            </w:tcBorders>
            <w:shd w:val="clear" w:color="auto" w:fill="auto"/>
          </w:tcPr>
          <w:p w14:paraId="0D5BB627" w14:textId="2EA6D0B1" w:rsidR="00AE4BD1" w:rsidRPr="002D2F67" w:rsidRDefault="00AE4BD1"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599" w:type="dxa"/>
            <w:tcBorders>
              <w:bottom w:val="single" w:sz="4" w:space="0" w:color="auto"/>
            </w:tcBorders>
            <w:shd w:val="clear" w:color="auto" w:fill="auto"/>
          </w:tcPr>
          <w:p w14:paraId="1267BC3B" w14:textId="2B0211A9" w:rsidR="00AE4BD1" w:rsidRPr="002D2F67" w:rsidRDefault="00AE4BD1"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571" w:type="dxa"/>
            <w:tcBorders>
              <w:bottom w:val="single" w:sz="4" w:space="0" w:color="auto"/>
            </w:tcBorders>
            <w:shd w:val="clear" w:color="auto" w:fill="auto"/>
          </w:tcPr>
          <w:p w14:paraId="30ACD08B" w14:textId="7470932A" w:rsidR="00AE4BD1" w:rsidRPr="002D2F67" w:rsidRDefault="00AE4BD1"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AE4BD1" w:rsidRPr="002D2F67" w14:paraId="03E6CE0A" w14:textId="77777777" w:rsidTr="19457625">
        <w:trPr>
          <w:trHeight w:val="239"/>
        </w:trPr>
        <w:tc>
          <w:tcPr>
            <w:tcW w:w="4505" w:type="dxa"/>
            <w:shd w:val="clear" w:color="auto" w:fill="auto"/>
            <w:vAlign w:val="bottom"/>
          </w:tcPr>
          <w:p w14:paraId="6FA9261B" w14:textId="77777777" w:rsidR="00AE4BD1" w:rsidRPr="002D2F67" w:rsidRDefault="00AE4BD1" w:rsidP="005611FE">
            <w:pPr>
              <w:ind w:left="180"/>
              <w:rPr>
                <w:rFonts w:ascii="Arial" w:hAnsi="Arial" w:cs="Arial"/>
                <w:b/>
                <w:bCs/>
                <w:color w:val="000000"/>
                <w:sz w:val="20"/>
                <w:szCs w:val="20"/>
              </w:rPr>
            </w:pPr>
          </w:p>
        </w:tc>
        <w:tc>
          <w:tcPr>
            <w:tcW w:w="1599" w:type="dxa"/>
            <w:tcBorders>
              <w:top w:val="single" w:sz="4" w:space="0" w:color="auto"/>
            </w:tcBorders>
            <w:shd w:val="clear" w:color="auto" w:fill="auto"/>
            <w:vAlign w:val="bottom"/>
          </w:tcPr>
          <w:p w14:paraId="4727D4EA"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5E1FFFA1"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0C9EAF8A"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3EC0F1C3"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0B079B43"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3DDC0F83" w14:textId="77777777" w:rsidR="00AE4BD1" w:rsidRPr="002D2F67" w:rsidRDefault="00AE4BD1" w:rsidP="005611FE">
            <w:pPr>
              <w:ind w:right="-72"/>
              <w:jc w:val="right"/>
              <w:rPr>
                <w:rFonts w:ascii="Arial" w:hAnsi="Arial" w:cs="Arial"/>
                <w:color w:val="000000"/>
                <w:sz w:val="20"/>
                <w:szCs w:val="20"/>
              </w:rPr>
            </w:pPr>
          </w:p>
        </w:tc>
        <w:tc>
          <w:tcPr>
            <w:tcW w:w="1571" w:type="dxa"/>
            <w:tcBorders>
              <w:top w:val="single" w:sz="4" w:space="0" w:color="auto"/>
            </w:tcBorders>
            <w:shd w:val="clear" w:color="auto" w:fill="auto"/>
            <w:vAlign w:val="bottom"/>
          </w:tcPr>
          <w:p w14:paraId="3E4BFAF1" w14:textId="77777777" w:rsidR="00AE4BD1" w:rsidRPr="002D2F67" w:rsidRDefault="00AE4BD1" w:rsidP="005611FE">
            <w:pPr>
              <w:ind w:right="-72"/>
              <w:jc w:val="right"/>
              <w:rPr>
                <w:rFonts w:ascii="Arial" w:hAnsi="Arial" w:cs="Arial"/>
                <w:color w:val="000000"/>
                <w:sz w:val="20"/>
                <w:szCs w:val="20"/>
              </w:rPr>
            </w:pPr>
          </w:p>
        </w:tc>
      </w:tr>
      <w:tr w:rsidR="00AE4BD1" w:rsidRPr="002D2F67" w14:paraId="42E98FFB" w14:textId="77777777" w:rsidTr="19457625">
        <w:trPr>
          <w:trHeight w:val="239"/>
        </w:trPr>
        <w:tc>
          <w:tcPr>
            <w:tcW w:w="4505" w:type="dxa"/>
            <w:shd w:val="clear" w:color="auto" w:fill="auto"/>
            <w:vAlign w:val="bottom"/>
          </w:tcPr>
          <w:p w14:paraId="487B0AFB" w14:textId="29A2E1AF" w:rsidR="00AE4BD1" w:rsidRPr="002D2F67" w:rsidRDefault="00AE4BD1" w:rsidP="005611FE">
            <w:pPr>
              <w:ind w:left="180"/>
              <w:rPr>
                <w:rFonts w:ascii="Arial" w:hAnsi="Arial" w:cs="Arial"/>
                <w:b/>
                <w:bCs/>
                <w:color w:val="000000"/>
                <w:sz w:val="20"/>
                <w:szCs w:val="20"/>
              </w:rPr>
            </w:pPr>
            <w:r w:rsidRPr="002D2F67">
              <w:rPr>
                <w:rFonts w:ascii="Arial" w:hAnsi="Arial" w:cs="Arial"/>
                <w:b/>
                <w:bCs/>
                <w:color w:val="000000"/>
                <w:sz w:val="20"/>
                <w:szCs w:val="20"/>
              </w:rPr>
              <w:t xml:space="preserve">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1</w:t>
            </w:r>
            <w:r w:rsidRPr="002D2F67">
              <w:rPr>
                <w:rFonts w:ascii="Arial" w:hAnsi="Arial" w:cs="Arial"/>
                <w:b/>
                <w:bCs/>
                <w:color w:val="000000"/>
                <w:sz w:val="20"/>
                <w:szCs w:val="20"/>
              </w:rPr>
              <w:t xml:space="preserve"> January </w:t>
            </w:r>
            <w:r w:rsidR="00CD5714" w:rsidRPr="00CD5714">
              <w:rPr>
                <w:rFonts w:ascii="Arial" w:hAnsi="Arial" w:cs="Arial"/>
                <w:b/>
                <w:bCs/>
                <w:color w:val="000000"/>
                <w:sz w:val="20"/>
                <w:szCs w:val="20"/>
                <w:lang w:val="en-GB"/>
              </w:rPr>
              <w:t>2023</w:t>
            </w:r>
          </w:p>
        </w:tc>
        <w:tc>
          <w:tcPr>
            <w:tcW w:w="1599" w:type="dxa"/>
            <w:shd w:val="clear" w:color="auto" w:fill="auto"/>
            <w:vAlign w:val="bottom"/>
          </w:tcPr>
          <w:p w14:paraId="3361259D" w14:textId="77777777" w:rsidR="00AE4BD1" w:rsidRPr="002D2F67" w:rsidRDefault="00AE4BD1" w:rsidP="005611FE">
            <w:pPr>
              <w:ind w:right="-72"/>
              <w:jc w:val="right"/>
              <w:rPr>
                <w:rFonts w:ascii="Arial" w:hAnsi="Arial" w:cs="Arial"/>
                <w:color w:val="000000"/>
                <w:sz w:val="20"/>
                <w:szCs w:val="20"/>
              </w:rPr>
            </w:pPr>
          </w:p>
        </w:tc>
        <w:tc>
          <w:tcPr>
            <w:tcW w:w="1599" w:type="dxa"/>
            <w:shd w:val="clear" w:color="auto" w:fill="auto"/>
            <w:vAlign w:val="bottom"/>
          </w:tcPr>
          <w:p w14:paraId="30ECB720" w14:textId="77777777" w:rsidR="00AE4BD1" w:rsidRPr="002D2F67" w:rsidRDefault="00AE4BD1" w:rsidP="005611FE">
            <w:pPr>
              <w:ind w:right="-72"/>
              <w:jc w:val="right"/>
              <w:rPr>
                <w:rFonts w:ascii="Arial" w:hAnsi="Arial" w:cs="Arial"/>
                <w:color w:val="000000"/>
                <w:sz w:val="20"/>
                <w:szCs w:val="20"/>
              </w:rPr>
            </w:pPr>
          </w:p>
        </w:tc>
        <w:tc>
          <w:tcPr>
            <w:tcW w:w="1599" w:type="dxa"/>
            <w:shd w:val="clear" w:color="auto" w:fill="auto"/>
            <w:vAlign w:val="bottom"/>
          </w:tcPr>
          <w:p w14:paraId="043A1E38" w14:textId="77777777" w:rsidR="00AE4BD1" w:rsidRPr="002D2F67" w:rsidRDefault="00AE4BD1" w:rsidP="005611FE">
            <w:pPr>
              <w:ind w:right="-72"/>
              <w:jc w:val="right"/>
              <w:rPr>
                <w:rFonts w:ascii="Arial" w:hAnsi="Arial" w:cs="Arial"/>
                <w:color w:val="000000"/>
                <w:sz w:val="20"/>
                <w:szCs w:val="20"/>
              </w:rPr>
            </w:pPr>
          </w:p>
        </w:tc>
        <w:tc>
          <w:tcPr>
            <w:tcW w:w="1599" w:type="dxa"/>
            <w:shd w:val="clear" w:color="auto" w:fill="auto"/>
            <w:vAlign w:val="bottom"/>
          </w:tcPr>
          <w:p w14:paraId="44A60AC8" w14:textId="77777777" w:rsidR="00AE4BD1" w:rsidRPr="002D2F67" w:rsidRDefault="00AE4BD1" w:rsidP="005611FE">
            <w:pPr>
              <w:ind w:right="-72"/>
              <w:jc w:val="right"/>
              <w:rPr>
                <w:rFonts w:ascii="Arial" w:hAnsi="Arial" w:cs="Arial"/>
                <w:color w:val="000000"/>
                <w:sz w:val="20"/>
                <w:szCs w:val="20"/>
              </w:rPr>
            </w:pPr>
          </w:p>
        </w:tc>
        <w:tc>
          <w:tcPr>
            <w:tcW w:w="1599" w:type="dxa"/>
            <w:shd w:val="clear" w:color="auto" w:fill="auto"/>
            <w:vAlign w:val="bottom"/>
          </w:tcPr>
          <w:p w14:paraId="30F87C97" w14:textId="77777777" w:rsidR="00AE4BD1" w:rsidRPr="002D2F67" w:rsidRDefault="00AE4BD1" w:rsidP="005611FE">
            <w:pPr>
              <w:ind w:right="-72"/>
              <w:jc w:val="right"/>
              <w:rPr>
                <w:rFonts w:ascii="Arial" w:hAnsi="Arial" w:cs="Arial"/>
                <w:color w:val="000000"/>
                <w:sz w:val="20"/>
                <w:szCs w:val="20"/>
              </w:rPr>
            </w:pPr>
          </w:p>
        </w:tc>
        <w:tc>
          <w:tcPr>
            <w:tcW w:w="1599" w:type="dxa"/>
            <w:shd w:val="clear" w:color="auto" w:fill="auto"/>
            <w:vAlign w:val="bottom"/>
          </w:tcPr>
          <w:p w14:paraId="47D06FD7" w14:textId="77777777" w:rsidR="00AE4BD1" w:rsidRPr="002D2F67" w:rsidRDefault="00AE4BD1" w:rsidP="005611FE">
            <w:pPr>
              <w:tabs>
                <w:tab w:val="left" w:pos="3402"/>
              </w:tabs>
              <w:ind w:right="-72"/>
              <w:jc w:val="right"/>
              <w:rPr>
                <w:rFonts w:ascii="Arial" w:hAnsi="Arial" w:cs="Arial"/>
                <w:color w:val="000000"/>
                <w:sz w:val="20"/>
                <w:szCs w:val="20"/>
              </w:rPr>
            </w:pPr>
          </w:p>
        </w:tc>
        <w:tc>
          <w:tcPr>
            <w:tcW w:w="1571" w:type="dxa"/>
            <w:shd w:val="clear" w:color="auto" w:fill="auto"/>
            <w:vAlign w:val="bottom"/>
          </w:tcPr>
          <w:p w14:paraId="225F73C8" w14:textId="77777777" w:rsidR="00AE4BD1" w:rsidRPr="002D2F67" w:rsidRDefault="00AE4BD1" w:rsidP="005611FE">
            <w:pPr>
              <w:ind w:right="-72"/>
              <w:jc w:val="right"/>
              <w:rPr>
                <w:rFonts w:ascii="Arial" w:hAnsi="Arial" w:cs="Arial"/>
                <w:color w:val="000000"/>
                <w:sz w:val="20"/>
                <w:szCs w:val="20"/>
              </w:rPr>
            </w:pPr>
          </w:p>
        </w:tc>
      </w:tr>
      <w:tr w:rsidR="00AE4BD1" w:rsidRPr="002D2F67" w14:paraId="41FC3F50" w14:textId="77777777" w:rsidTr="19457625">
        <w:trPr>
          <w:trHeight w:val="253"/>
        </w:trPr>
        <w:tc>
          <w:tcPr>
            <w:tcW w:w="4505" w:type="dxa"/>
            <w:shd w:val="clear" w:color="auto" w:fill="auto"/>
            <w:vAlign w:val="bottom"/>
          </w:tcPr>
          <w:p w14:paraId="15455F3C" w14:textId="77777777" w:rsidR="00AE4BD1" w:rsidRPr="002D2F67" w:rsidRDefault="00AE4BD1" w:rsidP="005611FE">
            <w:pPr>
              <w:ind w:left="180"/>
              <w:rPr>
                <w:rFonts w:ascii="Arial" w:hAnsi="Arial" w:cs="Arial"/>
                <w:color w:val="000000"/>
                <w:sz w:val="20"/>
                <w:szCs w:val="20"/>
              </w:rPr>
            </w:pPr>
            <w:r w:rsidRPr="002D2F67">
              <w:rPr>
                <w:rFonts w:ascii="Arial" w:hAnsi="Arial" w:cs="Arial"/>
                <w:color w:val="000000"/>
                <w:sz w:val="20"/>
                <w:szCs w:val="20"/>
              </w:rPr>
              <w:t>Cost</w:t>
            </w:r>
          </w:p>
        </w:tc>
        <w:tc>
          <w:tcPr>
            <w:tcW w:w="1599" w:type="dxa"/>
            <w:shd w:val="clear" w:color="auto" w:fill="auto"/>
            <w:vAlign w:val="bottom"/>
          </w:tcPr>
          <w:p w14:paraId="21634C7A" w14:textId="708FF393"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380</w:t>
            </w:r>
            <w:r w:rsidR="00AE4BD1" w:rsidRPr="002D2F67">
              <w:rPr>
                <w:rFonts w:ascii="Arial" w:hAnsi="Arial" w:cs="Arial"/>
                <w:color w:val="000000"/>
                <w:sz w:val="20"/>
                <w:szCs w:val="20"/>
              </w:rPr>
              <w:t>,</w:t>
            </w:r>
            <w:r w:rsidRPr="00CD5714">
              <w:rPr>
                <w:rFonts w:ascii="Arial" w:hAnsi="Arial" w:cs="Arial"/>
                <w:color w:val="000000"/>
                <w:sz w:val="20"/>
                <w:szCs w:val="20"/>
                <w:lang w:val="en-GB"/>
              </w:rPr>
              <w:t>481</w:t>
            </w:r>
          </w:p>
        </w:tc>
        <w:tc>
          <w:tcPr>
            <w:tcW w:w="1599" w:type="dxa"/>
            <w:shd w:val="clear" w:color="auto" w:fill="auto"/>
            <w:vAlign w:val="bottom"/>
          </w:tcPr>
          <w:p w14:paraId="7979A953" w14:textId="04785670"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466</w:t>
            </w:r>
            <w:r w:rsidR="00AE4BD1" w:rsidRPr="002D2F67">
              <w:rPr>
                <w:rFonts w:ascii="Arial" w:hAnsi="Arial" w:cs="Arial"/>
                <w:color w:val="000000"/>
                <w:sz w:val="20"/>
                <w:szCs w:val="20"/>
              </w:rPr>
              <w:t>,</w:t>
            </w:r>
            <w:r w:rsidRPr="00CD5714">
              <w:rPr>
                <w:rFonts w:ascii="Arial" w:hAnsi="Arial" w:cs="Arial"/>
                <w:color w:val="000000"/>
                <w:sz w:val="20"/>
                <w:szCs w:val="20"/>
                <w:lang w:val="en-GB"/>
              </w:rPr>
              <w:t>601</w:t>
            </w:r>
          </w:p>
        </w:tc>
        <w:tc>
          <w:tcPr>
            <w:tcW w:w="1599" w:type="dxa"/>
            <w:shd w:val="clear" w:color="auto" w:fill="auto"/>
            <w:vAlign w:val="bottom"/>
          </w:tcPr>
          <w:p w14:paraId="4B61E085" w14:textId="4899A41C"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983</w:t>
            </w:r>
            <w:r w:rsidR="00AE4BD1" w:rsidRPr="002D2F67">
              <w:rPr>
                <w:rFonts w:ascii="Arial" w:hAnsi="Arial" w:cs="Arial"/>
                <w:color w:val="000000"/>
                <w:sz w:val="20"/>
                <w:szCs w:val="20"/>
              </w:rPr>
              <w:t>,</w:t>
            </w:r>
            <w:r w:rsidRPr="00CD5714">
              <w:rPr>
                <w:rFonts w:ascii="Arial" w:hAnsi="Arial" w:cs="Arial"/>
                <w:color w:val="000000"/>
                <w:sz w:val="20"/>
                <w:szCs w:val="20"/>
                <w:lang w:val="en-GB"/>
              </w:rPr>
              <w:t>406</w:t>
            </w:r>
          </w:p>
        </w:tc>
        <w:tc>
          <w:tcPr>
            <w:tcW w:w="1599" w:type="dxa"/>
            <w:shd w:val="clear" w:color="auto" w:fill="auto"/>
            <w:vAlign w:val="bottom"/>
          </w:tcPr>
          <w:p w14:paraId="04EF2277" w14:textId="43F89689"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13</w:t>
            </w:r>
            <w:r w:rsidR="00AE4BD1" w:rsidRPr="002D2F67">
              <w:rPr>
                <w:rFonts w:ascii="Arial" w:hAnsi="Arial" w:cs="Arial"/>
                <w:color w:val="000000"/>
                <w:sz w:val="20"/>
                <w:szCs w:val="20"/>
              </w:rPr>
              <w:t>,</w:t>
            </w:r>
            <w:r w:rsidRPr="00CD5714">
              <w:rPr>
                <w:rFonts w:ascii="Arial" w:hAnsi="Arial" w:cs="Arial"/>
                <w:color w:val="000000"/>
                <w:sz w:val="20"/>
                <w:szCs w:val="20"/>
                <w:lang w:val="en-GB"/>
              </w:rPr>
              <w:t>118</w:t>
            </w:r>
            <w:r w:rsidR="00AE4BD1" w:rsidRPr="002D2F67">
              <w:rPr>
                <w:rFonts w:ascii="Arial" w:hAnsi="Arial" w:cs="Arial"/>
                <w:color w:val="000000"/>
                <w:sz w:val="20"/>
                <w:szCs w:val="20"/>
              </w:rPr>
              <w:t>,</w:t>
            </w:r>
            <w:r w:rsidRPr="00CD5714">
              <w:rPr>
                <w:rFonts w:ascii="Arial" w:hAnsi="Arial" w:cs="Arial"/>
                <w:color w:val="000000"/>
                <w:sz w:val="20"/>
                <w:szCs w:val="20"/>
                <w:lang w:val="en-GB"/>
              </w:rPr>
              <w:t>196</w:t>
            </w:r>
          </w:p>
        </w:tc>
        <w:tc>
          <w:tcPr>
            <w:tcW w:w="1599" w:type="dxa"/>
            <w:shd w:val="clear" w:color="auto" w:fill="auto"/>
            <w:vAlign w:val="bottom"/>
          </w:tcPr>
          <w:p w14:paraId="6509E208" w14:textId="69799FDA"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102</w:t>
            </w:r>
            <w:r w:rsidR="00AE4BD1" w:rsidRPr="002D2F67">
              <w:rPr>
                <w:rFonts w:ascii="Arial" w:hAnsi="Arial" w:cs="Arial"/>
                <w:color w:val="000000"/>
                <w:sz w:val="20"/>
                <w:szCs w:val="20"/>
              </w:rPr>
              <w:t>,</w:t>
            </w:r>
            <w:r w:rsidRPr="00CD5714">
              <w:rPr>
                <w:rFonts w:ascii="Arial" w:hAnsi="Arial" w:cs="Arial"/>
                <w:color w:val="000000"/>
                <w:sz w:val="20"/>
                <w:szCs w:val="20"/>
                <w:lang w:val="en-GB"/>
              </w:rPr>
              <w:t>233</w:t>
            </w:r>
          </w:p>
        </w:tc>
        <w:tc>
          <w:tcPr>
            <w:tcW w:w="1599" w:type="dxa"/>
            <w:shd w:val="clear" w:color="auto" w:fill="auto"/>
            <w:vAlign w:val="bottom"/>
          </w:tcPr>
          <w:p w14:paraId="47312C97" w14:textId="1CF92545"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183</w:t>
            </w:r>
            <w:r w:rsidR="00AE4BD1" w:rsidRPr="002D2F67">
              <w:rPr>
                <w:rFonts w:ascii="Arial" w:hAnsi="Arial" w:cs="Arial"/>
                <w:color w:val="000000"/>
                <w:sz w:val="20"/>
                <w:szCs w:val="20"/>
              </w:rPr>
              <w:t>,</w:t>
            </w:r>
            <w:r w:rsidRPr="00CD5714">
              <w:rPr>
                <w:rFonts w:ascii="Arial" w:hAnsi="Arial" w:cs="Arial"/>
                <w:color w:val="000000"/>
                <w:sz w:val="20"/>
                <w:szCs w:val="20"/>
                <w:lang w:val="en-GB"/>
              </w:rPr>
              <w:t>864</w:t>
            </w:r>
          </w:p>
        </w:tc>
        <w:tc>
          <w:tcPr>
            <w:tcW w:w="1571" w:type="dxa"/>
            <w:shd w:val="clear" w:color="auto" w:fill="auto"/>
            <w:vAlign w:val="bottom"/>
          </w:tcPr>
          <w:p w14:paraId="448874F9" w14:textId="2DCDBCEA"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15</w:t>
            </w:r>
            <w:r w:rsidR="00AE4BD1" w:rsidRPr="002D2F67">
              <w:rPr>
                <w:rFonts w:ascii="Arial" w:hAnsi="Arial" w:cs="Arial"/>
                <w:color w:val="000000"/>
                <w:sz w:val="20"/>
                <w:szCs w:val="20"/>
              </w:rPr>
              <w:t>,</w:t>
            </w:r>
            <w:r w:rsidRPr="00CD5714">
              <w:rPr>
                <w:rFonts w:ascii="Arial" w:hAnsi="Arial" w:cs="Arial"/>
                <w:color w:val="000000"/>
                <w:sz w:val="20"/>
                <w:szCs w:val="20"/>
                <w:lang w:val="en-GB"/>
              </w:rPr>
              <w:t>234</w:t>
            </w:r>
            <w:r w:rsidR="00AE4BD1" w:rsidRPr="002D2F67">
              <w:rPr>
                <w:rFonts w:ascii="Arial" w:hAnsi="Arial" w:cs="Arial"/>
                <w:color w:val="000000"/>
                <w:sz w:val="20"/>
                <w:szCs w:val="20"/>
              </w:rPr>
              <w:t>,</w:t>
            </w:r>
            <w:r w:rsidRPr="00CD5714">
              <w:rPr>
                <w:rFonts w:ascii="Arial" w:hAnsi="Arial" w:cs="Arial"/>
                <w:color w:val="000000"/>
                <w:sz w:val="20"/>
                <w:szCs w:val="20"/>
                <w:lang w:val="en-GB"/>
              </w:rPr>
              <w:t>781</w:t>
            </w:r>
          </w:p>
        </w:tc>
      </w:tr>
      <w:tr w:rsidR="00AE4BD1" w:rsidRPr="002D2F67" w14:paraId="3359F0B4" w14:textId="77777777" w:rsidTr="19457625">
        <w:trPr>
          <w:trHeight w:val="239"/>
        </w:trPr>
        <w:tc>
          <w:tcPr>
            <w:tcW w:w="4505" w:type="dxa"/>
            <w:shd w:val="clear" w:color="auto" w:fill="auto"/>
            <w:vAlign w:val="bottom"/>
          </w:tcPr>
          <w:p w14:paraId="0515A526" w14:textId="77777777" w:rsidR="00AE4BD1" w:rsidRPr="002D2F67" w:rsidRDefault="00AE4BD1" w:rsidP="005611FE">
            <w:pPr>
              <w:ind w:left="180"/>
              <w:rPr>
                <w:rFonts w:ascii="Arial" w:hAnsi="Arial" w:cs="Arial"/>
                <w:color w:val="000000"/>
                <w:sz w:val="20"/>
                <w:szCs w:val="20"/>
              </w:rPr>
            </w:pPr>
            <w:r w:rsidRPr="002D2F67">
              <w:rPr>
                <w:rFonts w:ascii="Arial" w:hAnsi="Arial" w:cs="Arial"/>
                <w:color w:val="000000"/>
                <w:sz w:val="20"/>
                <w:szCs w:val="20"/>
                <w:u w:val="single"/>
              </w:rPr>
              <w:t>Less</w:t>
            </w:r>
            <w:r w:rsidRPr="002D2F67">
              <w:rPr>
                <w:rFonts w:ascii="Arial" w:hAnsi="Arial" w:cs="Arial"/>
                <w:color w:val="000000"/>
                <w:sz w:val="20"/>
                <w:szCs w:val="20"/>
              </w:rPr>
              <w:t xml:space="preserve">  Accumulated depreciation</w:t>
            </w:r>
          </w:p>
        </w:tc>
        <w:tc>
          <w:tcPr>
            <w:tcW w:w="1599" w:type="dxa"/>
            <w:tcBorders>
              <w:bottom w:val="single" w:sz="4" w:space="0" w:color="auto"/>
            </w:tcBorders>
            <w:shd w:val="clear" w:color="auto" w:fill="auto"/>
            <w:vAlign w:val="bottom"/>
          </w:tcPr>
          <w:p w14:paraId="2A6D686A" w14:textId="77777777"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99" w:type="dxa"/>
            <w:tcBorders>
              <w:bottom w:val="single" w:sz="4" w:space="0" w:color="auto"/>
            </w:tcBorders>
            <w:shd w:val="clear" w:color="auto" w:fill="auto"/>
            <w:vAlign w:val="bottom"/>
          </w:tcPr>
          <w:p w14:paraId="424B7A88" w14:textId="6C6F7121"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216</w:t>
            </w:r>
            <w:r w:rsidRPr="002D2F67">
              <w:rPr>
                <w:rFonts w:ascii="Arial" w:hAnsi="Arial" w:cs="Arial"/>
                <w:color w:val="000000"/>
                <w:sz w:val="20"/>
                <w:szCs w:val="20"/>
              </w:rPr>
              <w:t>,</w:t>
            </w:r>
            <w:r w:rsidR="00CD5714" w:rsidRPr="00CD5714">
              <w:rPr>
                <w:rFonts w:ascii="Arial" w:hAnsi="Arial" w:cs="Arial"/>
                <w:color w:val="000000"/>
                <w:sz w:val="20"/>
                <w:szCs w:val="20"/>
                <w:lang w:val="en-GB"/>
              </w:rPr>
              <w:t>714</w:t>
            </w:r>
            <w:r w:rsidRPr="002D2F67">
              <w:rPr>
                <w:rFonts w:ascii="Arial" w:hAnsi="Arial" w:cs="Arial"/>
                <w:color w:val="000000"/>
                <w:sz w:val="20"/>
                <w:szCs w:val="20"/>
              </w:rPr>
              <w:t>)</w:t>
            </w:r>
          </w:p>
        </w:tc>
        <w:tc>
          <w:tcPr>
            <w:tcW w:w="1599" w:type="dxa"/>
            <w:tcBorders>
              <w:bottom w:val="single" w:sz="4" w:space="0" w:color="auto"/>
            </w:tcBorders>
            <w:shd w:val="clear" w:color="auto" w:fill="auto"/>
            <w:vAlign w:val="bottom"/>
          </w:tcPr>
          <w:p w14:paraId="64A88CF2" w14:textId="32648585"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874</w:t>
            </w:r>
            <w:r w:rsidRPr="002D2F67">
              <w:rPr>
                <w:rFonts w:ascii="Arial" w:hAnsi="Arial" w:cs="Arial"/>
                <w:color w:val="000000"/>
                <w:sz w:val="20"/>
                <w:szCs w:val="20"/>
              </w:rPr>
              <w:t>,</w:t>
            </w:r>
            <w:r w:rsidR="00CD5714" w:rsidRPr="00CD5714">
              <w:rPr>
                <w:rFonts w:ascii="Arial" w:hAnsi="Arial" w:cs="Arial"/>
                <w:color w:val="000000"/>
                <w:sz w:val="20"/>
                <w:szCs w:val="20"/>
                <w:lang w:val="en-GB"/>
              </w:rPr>
              <w:t>474</w:t>
            </w:r>
            <w:r w:rsidRPr="002D2F67">
              <w:rPr>
                <w:rFonts w:ascii="Arial" w:hAnsi="Arial" w:cs="Arial"/>
                <w:color w:val="000000"/>
                <w:sz w:val="20"/>
                <w:szCs w:val="20"/>
              </w:rPr>
              <w:t>)</w:t>
            </w:r>
          </w:p>
        </w:tc>
        <w:tc>
          <w:tcPr>
            <w:tcW w:w="1599" w:type="dxa"/>
            <w:tcBorders>
              <w:bottom w:val="single" w:sz="4" w:space="0" w:color="auto"/>
            </w:tcBorders>
            <w:shd w:val="clear" w:color="auto" w:fill="auto"/>
            <w:vAlign w:val="bottom"/>
          </w:tcPr>
          <w:p w14:paraId="3133FC14" w14:textId="3A9329F7"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3</w:t>
            </w:r>
            <w:r w:rsidRPr="002D2F67">
              <w:rPr>
                <w:rFonts w:ascii="Arial" w:hAnsi="Arial" w:cs="Arial"/>
                <w:color w:val="000000"/>
                <w:sz w:val="20"/>
                <w:szCs w:val="20"/>
              </w:rPr>
              <w:t>,</w:t>
            </w:r>
            <w:r w:rsidR="00CD5714" w:rsidRPr="00CD5714">
              <w:rPr>
                <w:rFonts w:ascii="Arial" w:hAnsi="Arial" w:cs="Arial"/>
                <w:color w:val="000000"/>
                <w:sz w:val="20"/>
                <w:szCs w:val="20"/>
                <w:lang w:val="en-GB"/>
              </w:rPr>
              <w:t>445</w:t>
            </w:r>
            <w:r w:rsidRPr="002D2F67">
              <w:rPr>
                <w:rFonts w:ascii="Arial" w:hAnsi="Arial" w:cs="Arial"/>
                <w:color w:val="000000"/>
                <w:sz w:val="20"/>
                <w:szCs w:val="20"/>
              </w:rPr>
              <w:t>,</w:t>
            </w:r>
            <w:r w:rsidR="00CD5714" w:rsidRPr="00CD5714">
              <w:rPr>
                <w:rFonts w:ascii="Arial" w:hAnsi="Arial" w:cs="Arial"/>
                <w:color w:val="000000"/>
                <w:sz w:val="20"/>
                <w:szCs w:val="20"/>
                <w:lang w:val="en-GB"/>
              </w:rPr>
              <w:t>934</w:t>
            </w:r>
            <w:r w:rsidRPr="002D2F67">
              <w:rPr>
                <w:rFonts w:ascii="Arial" w:hAnsi="Arial" w:cs="Arial"/>
                <w:color w:val="000000"/>
                <w:sz w:val="20"/>
                <w:szCs w:val="20"/>
              </w:rPr>
              <w:t>)</w:t>
            </w:r>
          </w:p>
        </w:tc>
        <w:tc>
          <w:tcPr>
            <w:tcW w:w="1599" w:type="dxa"/>
            <w:tcBorders>
              <w:bottom w:val="single" w:sz="4" w:space="0" w:color="auto"/>
            </w:tcBorders>
            <w:shd w:val="clear" w:color="auto" w:fill="auto"/>
            <w:vAlign w:val="bottom"/>
          </w:tcPr>
          <w:p w14:paraId="325A4EC7" w14:textId="26F6FC8B"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72</w:t>
            </w:r>
            <w:r w:rsidRPr="002D2F67">
              <w:rPr>
                <w:rFonts w:ascii="Arial" w:hAnsi="Arial" w:cs="Arial"/>
                <w:color w:val="000000"/>
                <w:sz w:val="20"/>
                <w:szCs w:val="20"/>
              </w:rPr>
              <w:t>,</w:t>
            </w:r>
            <w:r w:rsidR="00CD5714" w:rsidRPr="00CD5714">
              <w:rPr>
                <w:rFonts w:ascii="Arial" w:hAnsi="Arial" w:cs="Arial"/>
                <w:color w:val="000000"/>
                <w:sz w:val="20"/>
                <w:szCs w:val="20"/>
                <w:lang w:val="en-GB"/>
              </w:rPr>
              <w:t>567</w:t>
            </w:r>
            <w:r w:rsidRPr="002D2F67">
              <w:rPr>
                <w:rFonts w:ascii="Arial" w:hAnsi="Arial" w:cs="Arial"/>
                <w:color w:val="000000"/>
                <w:sz w:val="20"/>
                <w:szCs w:val="20"/>
              </w:rPr>
              <w:t>)</w:t>
            </w:r>
          </w:p>
        </w:tc>
        <w:tc>
          <w:tcPr>
            <w:tcW w:w="1599" w:type="dxa"/>
            <w:tcBorders>
              <w:bottom w:val="single" w:sz="4" w:space="0" w:color="auto"/>
            </w:tcBorders>
            <w:shd w:val="clear" w:color="auto" w:fill="auto"/>
            <w:vAlign w:val="bottom"/>
          </w:tcPr>
          <w:p w14:paraId="4D8CF505" w14:textId="77777777"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71" w:type="dxa"/>
            <w:tcBorders>
              <w:bottom w:val="single" w:sz="4" w:space="0" w:color="auto"/>
            </w:tcBorders>
            <w:shd w:val="clear" w:color="auto" w:fill="auto"/>
            <w:vAlign w:val="bottom"/>
          </w:tcPr>
          <w:p w14:paraId="33A09AA8" w14:textId="61478831"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4</w:t>
            </w:r>
            <w:r w:rsidRPr="002D2F67">
              <w:rPr>
                <w:rFonts w:ascii="Arial" w:hAnsi="Arial" w:cs="Arial"/>
                <w:color w:val="000000"/>
                <w:sz w:val="20"/>
                <w:szCs w:val="20"/>
              </w:rPr>
              <w:t>,</w:t>
            </w:r>
            <w:r w:rsidR="00CD5714" w:rsidRPr="00CD5714">
              <w:rPr>
                <w:rFonts w:ascii="Arial" w:hAnsi="Arial" w:cs="Arial"/>
                <w:color w:val="000000"/>
                <w:sz w:val="20"/>
                <w:szCs w:val="20"/>
                <w:lang w:val="en-GB"/>
              </w:rPr>
              <w:t>609</w:t>
            </w:r>
            <w:r w:rsidRPr="002D2F67">
              <w:rPr>
                <w:rFonts w:ascii="Arial" w:hAnsi="Arial" w:cs="Arial"/>
                <w:color w:val="000000"/>
                <w:sz w:val="20"/>
                <w:szCs w:val="20"/>
              </w:rPr>
              <w:t>,</w:t>
            </w:r>
            <w:r w:rsidR="00CD5714" w:rsidRPr="00CD5714">
              <w:rPr>
                <w:rFonts w:ascii="Arial" w:hAnsi="Arial" w:cs="Arial"/>
                <w:color w:val="000000"/>
                <w:sz w:val="20"/>
                <w:szCs w:val="20"/>
                <w:lang w:val="en-GB"/>
              </w:rPr>
              <w:t>689</w:t>
            </w:r>
            <w:r w:rsidRPr="002D2F67">
              <w:rPr>
                <w:rFonts w:ascii="Arial" w:hAnsi="Arial" w:cs="Arial"/>
                <w:color w:val="000000"/>
                <w:sz w:val="20"/>
                <w:szCs w:val="20"/>
              </w:rPr>
              <w:t>)</w:t>
            </w:r>
          </w:p>
        </w:tc>
      </w:tr>
      <w:tr w:rsidR="00AE4BD1" w:rsidRPr="002D2F67" w14:paraId="681031BE" w14:textId="77777777" w:rsidTr="19457625">
        <w:trPr>
          <w:trHeight w:val="139"/>
        </w:trPr>
        <w:tc>
          <w:tcPr>
            <w:tcW w:w="4505" w:type="dxa"/>
            <w:shd w:val="clear" w:color="auto" w:fill="auto"/>
            <w:vAlign w:val="bottom"/>
          </w:tcPr>
          <w:p w14:paraId="1C7402C8" w14:textId="77777777" w:rsidR="00AE4BD1" w:rsidRPr="002D2F67" w:rsidRDefault="00AE4BD1" w:rsidP="005611FE">
            <w:pPr>
              <w:ind w:left="180"/>
              <w:rPr>
                <w:rFonts w:ascii="Arial" w:hAnsi="Arial" w:cs="Arial"/>
                <w:b/>
                <w:bCs/>
                <w:color w:val="000000"/>
                <w:sz w:val="20"/>
                <w:szCs w:val="20"/>
              </w:rPr>
            </w:pPr>
          </w:p>
        </w:tc>
        <w:tc>
          <w:tcPr>
            <w:tcW w:w="1599" w:type="dxa"/>
            <w:tcBorders>
              <w:top w:val="single" w:sz="4" w:space="0" w:color="auto"/>
            </w:tcBorders>
            <w:shd w:val="clear" w:color="auto" w:fill="auto"/>
            <w:vAlign w:val="bottom"/>
          </w:tcPr>
          <w:p w14:paraId="299B80E2"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4DAC29DB"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60CE8289"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6D72A2A6"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61D6B52F"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04F1C816" w14:textId="77777777" w:rsidR="00AE4BD1" w:rsidRPr="002D2F67" w:rsidRDefault="00AE4BD1" w:rsidP="005611FE">
            <w:pPr>
              <w:ind w:right="-72"/>
              <w:jc w:val="right"/>
              <w:rPr>
                <w:rFonts w:ascii="Arial" w:hAnsi="Arial" w:cs="Arial"/>
                <w:color w:val="000000"/>
                <w:sz w:val="20"/>
                <w:szCs w:val="20"/>
              </w:rPr>
            </w:pPr>
          </w:p>
        </w:tc>
        <w:tc>
          <w:tcPr>
            <w:tcW w:w="1571" w:type="dxa"/>
            <w:tcBorders>
              <w:top w:val="single" w:sz="4" w:space="0" w:color="auto"/>
            </w:tcBorders>
            <w:shd w:val="clear" w:color="auto" w:fill="auto"/>
            <w:vAlign w:val="bottom"/>
          </w:tcPr>
          <w:p w14:paraId="4A9598B5" w14:textId="77777777" w:rsidR="00AE4BD1" w:rsidRPr="002D2F67" w:rsidRDefault="00AE4BD1" w:rsidP="005611FE">
            <w:pPr>
              <w:ind w:right="-72"/>
              <w:jc w:val="right"/>
              <w:rPr>
                <w:rFonts w:ascii="Arial" w:hAnsi="Arial" w:cs="Arial"/>
                <w:color w:val="000000"/>
                <w:sz w:val="20"/>
                <w:szCs w:val="20"/>
              </w:rPr>
            </w:pPr>
          </w:p>
        </w:tc>
      </w:tr>
      <w:tr w:rsidR="00AE4BD1" w:rsidRPr="002D2F67" w14:paraId="7CFECEBC" w14:textId="77777777" w:rsidTr="19457625">
        <w:trPr>
          <w:trHeight w:val="78"/>
        </w:trPr>
        <w:tc>
          <w:tcPr>
            <w:tcW w:w="4505" w:type="dxa"/>
            <w:shd w:val="clear" w:color="auto" w:fill="auto"/>
            <w:vAlign w:val="bottom"/>
          </w:tcPr>
          <w:p w14:paraId="505125A2" w14:textId="77777777" w:rsidR="00AE4BD1" w:rsidRPr="002D2F67" w:rsidRDefault="00AE4BD1" w:rsidP="005611FE">
            <w:pPr>
              <w:ind w:left="180"/>
              <w:rPr>
                <w:rFonts w:ascii="Arial" w:hAnsi="Arial" w:cs="Arial"/>
                <w:color w:val="000000"/>
                <w:sz w:val="20"/>
                <w:szCs w:val="20"/>
              </w:rPr>
            </w:pPr>
            <w:r w:rsidRPr="002D2F67">
              <w:rPr>
                <w:rFonts w:ascii="Arial" w:hAnsi="Arial" w:cs="Arial"/>
                <w:color w:val="000000"/>
                <w:sz w:val="20"/>
                <w:szCs w:val="20"/>
              </w:rPr>
              <w:t>Net book value</w:t>
            </w:r>
          </w:p>
        </w:tc>
        <w:tc>
          <w:tcPr>
            <w:tcW w:w="1599" w:type="dxa"/>
            <w:tcBorders>
              <w:bottom w:val="single" w:sz="4" w:space="0" w:color="auto"/>
            </w:tcBorders>
            <w:shd w:val="clear" w:color="auto" w:fill="auto"/>
            <w:vAlign w:val="bottom"/>
          </w:tcPr>
          <w:p w14:paraId="541D88FF" w14:textId="2CA5A25A"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380</w:t>
            </w:r>
            <w:r w:rsidR="00AE4BD1" w:rsidRPr="002D2F67">
              <w:rPr>
                <w:rFonts w:ascii="Arial" w:hAnsi="Arial" w:cs="Arial"/>
                <w:color w:val="000000"/>
                <w:sz w:val="20"/>
                <w:szCs w:val="20"/>
              </w:rPr>
              <w:t>,</w:t>
            </w:r>
            <w:r w:rsidRPr="00CD5714">
              <w:rPr>
                <w:rFonts w:ascii="Arial" w:hAnsi="Arial" w:cs="Arial"/>
                <w:color w:val="000000"/>
                <w:sz w:val="20"/>
                <w:szCs w:val="20"/>
                <w:lang w:val="en-GB"/>
              </w:rPr>
              <w:t>481</w:t>
            </w:r>
          </w:p>
        </w:tc>
        <w:tc>
          <w:tcPr>
            <w:tcW w:w="1599" w:type="dxa"/>
            <w:tcBorders>
              <w:bottom w:val="single" w:sz="4" w:space="0" w:color="auto"/>
            </w:tcBorders>
            <w:shd w:val="clear" w:color="auto" w:fill="auto"/>
            <w:vAlign w:val="bottom"/>
          </w:tcPr>
          <w:p w14:paraId="0C1D93FA" w14:textId="1C161A70"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249</w:t>
            </w:r>
            <w:r w:rsidR="00AE4BD1" w:rsidRPr="002D2F67">
              <w:rPr>
                <w:rFonts w:ascii="Arial" w:hAnsi="Arial" w:cs="Arial"/>
                <w:color w:val="000000"/>
                <w:sz w:val="20"/>
                <w:szCs w:val="20"/>
              </w:rPr>
              <w:t>,</w:t>
            </w:r>
            <w:r w:rsidRPr="00CD5714">
              <w:rPr>
                <w:rFonts w:ascii="Arial" w:hAnsi="Arial" w:cs="Arial"/>
                <w:color w:val="000000"/>
                <w:sz w:val="20"/>
                <w:szCs w:val="20"/>
                <w:lang w:val="en-GB"/>
              </w:rPr>
              <w:t>887</w:t>
            </w:r>
          </w:p>
        </w:tc>
        <w:tc>
          <w:tcPr>
            <w:tcW w:w="1599" w:type="dxa"/>
            <w:tcBorders>
              <w:bottom w:val="single" w:sz="4" w:space="0" w:color="auto"/>
            </w:tcBorders>
            <w:shd w:val="clear" w:color="auto" w:fill="auto"/>
            <w:vAlign w:val="bottom"/>
          </w:tcPr>
          <w:p w14:paraId="65C2A287" w14:textId="1CF96DB0"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108</w:t>
            </w:r>
            <w:r w:rsidR="00AE4BD1" w:rsidRPr="002D2F67">
              <w:rPr>
                <w:rFonts w:ascii="Arial" w:hAnsi="Arial" w:cs="Arial"/>
                <w:color w:val="000000"/>
                <w:sz w:val="20"/>
                <w:szCs w:val="20"/>
              </w:rPr>
              <w:t>,</w:t>
            </w:r>
            <w:r w:rsidRPr="00CD5714">
              <w:rPr>
                <w:rFonts w:ascii="Arial" w:hAnsi="Arial" w:cs="Arial"/>
                <w:color w:val="000000"/>
                <w:sz w:val="20"/>
                <w:szCs w:val="20"/>
                <w:lang w:val="en-GB"/>
              </w:rPr>
              <w:t>932</w:t>
            </w:r>
          </w:p>
        </w:tc>
        <w:tc>
          <w:tcPr>
            <w:tcW w:w="1599" w:type="dxa"/>
            <w:tcBorders>
              <w:bottom w:val="single" w:sz="4" w:space="0" w:color="auto"/>
            </w:tcBorders>
            <w:shd w:val="clear" w:color="auto" w:fill="auto"/>
            <w:vAlign w:val="bottom"/>
          </w:tcPr>
          <w:p w14:paraId="76E20489" w14:textId="7DBAECD0"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9</w:t>
            </w:r>
            <w:r w:rsidR="00AE4BD1" w:rsidRPr="002D2F67">
              <w:rPr>
                <w:rFonts w:ascii="Arial" w:hAnsi="Arial" w:cs="Arial"/>
                <w:color w:val="000000"/>
                <w:sz w:val="20"/>
                <w:szCs w:val="20"/>
              </w:rPr>
              <w:t>,</w:t>
            </w:r>
            <w:r w:rsidRPr="00CD5714">
              <w:rPr>
                <w:rFonts w:ascii="Arial" w:hAnsi="Arial" w:cs="Arial"/>
                <w:color w:val="000000"/>
                <w:sz w:val="20"/>
                <w:szCs w:val="20"/>
                <w:lang w:val="en-GB"/>
              </w:rPr>
              <w:t>672</w:t>
            </w:r>
            <w:r w:rsidR="00AE4BD1" w:rsidRPr="002D2F67">
              <w:rPr>
                <w:rFonts w:ascii="Arial" w:hAnsi="Arial" w:cs="Arial"/>
                <w:color w:val="000000"/>
                <w:sz w:val="20"/>
                <w:szCs w:val="20"/>
              </w:rPr>
              <w:t>,</w:t>
            </w:r>
            <w:r w:rsidRPr="00CD5714">
              <w:rPr>
                <w:rFonts w:ascii="Arial" w:hAnsi="Arial" w:cs="Arial"/>
                <w:color w:val="000000"/>
                <w:sz w:val="20"/>
                <w:szCs w:val="20"/>
                <w:lang w:val="en-GB"/>
              </w:rPr>
              <w:t>262</w:t>
            </w:r>
          </w:p>
        </w:tc>
        <w:tc>
          <w:tcPr>
            <w:tcW w:w="1599" w:type="dxa"/>
            <w:tcBorders>
              <w:bottom w:val="single" w:sz="4" w:space="0" w:color="auto"/>
            </w:tcBorders>
            <w:shd w:val="clear" w:color="auto" w:fill="auto"/>
            <w:vAlign w:val="bottom"/>
          </w:tcPr>
          <w:p w14:paraId="57D4E066" w14:textId="55B68F04"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29</w:t>
            </w:r>
            <w:r w:rsidR="00AE4BD1" w:rsidRPr="002D2F67">
              <w:rPr>
                <w:rFonts w:ascii="Arial" w:hAnsi="Arial" w:cs="Arial"/>
                <w:color w:val="000000"/>
                <w:sz w:val="20"/>
                <w:szCs w:val="20"/>
              </w:rPr>
              <w:t>,</w:t>
            </w:r>
            <w:r w:rsidRPr="00CD5714">
              <w:rPr>
                <w:rFonts w:ascii="Arial" w:hAnsi="Arial" w:cs="Arial"/>
                <w:color w:val="000000"/>
                <w:sz w:val="20"/>
                <w:szCs w:val="20"/>
                <w:lang w:val="en-GB"/>
              </w:rPr>
              <w:t>666</w:t>
            </w:r>
          </w:p>
        </w:tc>
        <w:tc>
          <w:tcPr>
            <w:tcW w:w="1599" w:type="dxa"/>
            <w:tcBorders>
              <w:bottom w:val="single" w:sz="4" w:space="0" w:color="auto"/>
            </w:tcBorders>
            <w:shd w:val="clear" w:color="auto" w:fill="auto"/>
            <w:vAlign w:val="bottom"/>
          </w:tcPr>
          <w:p w14:paraId="1CB180CC" w14:textId="2B0DA96A"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183</w:t>
            </w:r>
            <w:r w:rsidR="00AE4BD1" w:rsidRPr="002D2F67">
              <w:rPr>
                <w:rFonts w:ascii="Arial" w:hAnsi="Arial" w:cs="Arial"/>
                <w:color w:val="000000"/>
                <w:sz w:val="20"/>
                <w:szCs w:val="20"/>
              </w:rPr>
              <w:t>,</w:t>
            </w:r>
            <w:r w:rsidRPr="00CD5714">
              <w:rPr>
                <w:rFonts w:ascii="Arial" w:hAnsi="Arial" w:cs="Arial"/>
                <w:color w:val="000000"/>
                <w:sz w:val="20"/>
                <w:szCs w:val="20"/>
                <w:lang w:val="en-GB"/>
              </w:rPr>
              <w:t>864</w:t>
            </w:r>
          </w:p>
        </w:tc>
        <w:tc>
          <w:tcPr>
            <w:tcW w:w="1571" w:type="dxa"/>
            <w:tcBorders>
              <w:bottom w:val="single" w:sz="4" w:space="0" w:color="auto"/>
            </w:tcBorders>
            <w:shd w:val="clear" w:color="auto" w:fill="auto"/>
            <w:vAlign w:val="bottom"/>
          </w:tcPr>
          <w:p w14:paraId="60A6E07C" w14:textId="356BA099"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10</w:t>
            </w:r>
            <w:r w:rsidR="00AE4BD1" w:rsidRPr="002D2F67">
              <w:rPr>
                <w:rFonts w:ascii="Arial" w:hAnsi="Arial" w:cs="Arial"/>
                <w:color w:val="000000"/>
                <w:sz w:val="20"/>
                <w:szCs w:val="20"/>
              </w:rPr>
              <w:t>,</w:t>
            </w:r>
            <w:r w:rsidRPr="00CD5714">
              <w:rPr>
                <w:rFonts w:ascii="Arial" w:hAnsi="Arial" w:cs="Arial"/>
                <w:color w:val="000000"/>
                <w:sz w:val="20"/>
                <w:szCs w:val="20"/>
                <w:lang w:val="en-GB"/>
              </w:rPr>
              <w:t>625</w:t>
            </w:r>
            <w:r w:rsidR="00AE4BD1" w:rsidRPr="002D2F67">
              <w:rPr>
                <w:rFonts w:ascii="Arial" w:hAnsi="Arial" w:cs="Arial"/>
                <w:color w:val="000000"/>
                <w:sz w:val="20"/>
                <w:szCs w:val="20"/>
              </w:rPr>
              <w:t>,</w:t>
            </w:r>
            <w:r w:rsidRPr="00CD5714">
              <w:rPr>
                <w:rFonts w:ascii="Arial" w:hAnsi="Arial" w:cs="Arial"/>
                <w:color w:val="000000"/>
                <w:sz w:val="20"/>
                <w:szCs w:val="20"/>
                <w:lang w:val="en-GB"/>
              </w:rPr>
              <w:t>092</w:t>
            </w:r>
          </w:p>
        </w:tc>
      </w:tr>
      <w:tr w:rsidR="00AE4BD1" w:rsidRPr="002D2F67" w14:paraId="594A5FEF" w14:textId="77777777" w:rsidTr="19457625">
        <w:trPr>
          <w:trHeight w:val="239"/>
        </w:trPr>
        <w:tc>
          <w:tcPr>
            <w:tcW w:w="4505" w:type="dxa"/>
            <w:shd w:val="clear" w:color="auto" w:fill="auto"/>
            <w:vAlign w:val="bottom"/>
          </w:tcPr>
          <w:p w14:paraId="564DEC65" w14:textId="77777777" w:rsidR="00AE4BD1" w:rsidRPr="002D2F67" w:rsidRDefault="00AE4BD1" w:rsidP="005611FE">
            <w:pPr>
              <w:ind w:left="180"/>
              <w:rPr>
                <w:rFonts w:ascii="Arial" w:hAnsi="Arial" w:cs="Arial"/>
                <w:b/>
                <w:bCs/>
                <w:color w:val="000000"/>
                <w:sz w:val="20"/>
                <w:szCs w:val="20"/>
              </w:rPr>
            </w:pPr>
          </w:p>
        </w:tc>
        <w:tc>
          <w:tcPr>
            <w:tcW w:w="1599" w:type="dxa"/>
            <w:tcBorders>
              <w:top w:val="single" w:sz="4" w:space="0" w:color="auto"/>
            </w:tcBorders>
            <w:shd w:val="clear" w:color="auto" w:fill="auto"/>
            <w:vAlign w:val="bottom"/>
          </w:tcPr>
          <w:p w14:paraId="0672C054"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7B48FDA0"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3A36DC49"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65ADAB6B"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52960BF9"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61564312" w14:textId="77777777" w:rsidR="00AE4BD1" w:rsidRPr="002D2F67" w:rsidRDefault="00AE4BD1" w:rsidP="005611FE">
            <w:pPr>
              <w:ind w:right="-72"/>
              <w:jc w:val="right"/>
              <w:rPr>
                <w:rFonts w:ascii="Arial" w:hAnsi="Arial" w:cs="Arial"/>
                <w:color w:val="000000"/>
                <w:sz w:val="20"/>
                <w:szCs w:val="20"/>
              </w:rPr>
            </w:pPr>
          </w:p>
        </w:tc>
        <w:tc>
          <w:tcPr>
            <w:tcW w:w="1571" w:type="dxa"/>
            <w:tcBorders>
              <w:top w:val="single" w:sz="4" w:space="0" w:color="auto"/>
            </w:tcBorders>
            <w:shd w:val="clear" w:color="auto" w:fill="auto"/>
            <w:vAlign w:val="bottom"/>
          </w:tcPr>
          <w:p w14:paraId="4557EDCB" w14:textId="77777777" w:rsidR="00AE4BD1" w:rsidRPr="002D2F67" w:rsidRDefault="00AE4BD1" w:rsidP="005611FE">
            <w:pPr>
              <w:ind w:right="-72"/>
              <w:jc w:val="right"/>
              <w:rPr>
                <w:rFonts w:ascii="Arial" w:hAnsi="Arial" w:cs="Arial"/>
                <w:color w:val="000000"/>
                <w:sz w:val="20"/>
                <w:szCs w:val="20"/>
              </w:rPr>
            </w:pPr>
          </w:p>
        </w:tc>
      </w:tr>
      <w:tr w:rsidR="00AE4BD1" w:rsidRPr="002D2F67" w14:paraId="5BFDF479" w14:textId="77777777" w:rsidTr="19457625">
        <w:trPr>
          <w:trHeight w:val="86"/>
        </w:trPr>
        <w:tc>
          <w:tcPr>
            <w:tcW w:w="4505" w:type="dxa"/>
            <w:shd w:val="clear" w:color="auto" w:fill="auto"/>
            <w:vAlign w:val="bottom"/>
          </w:tcPr>
          <w:p w14:paraId="154F2FD7" w14:textId="7074EF9F" w:rsidR="00AE4BD1" w:rsidRPr="002D2F67" w:rsidRDefault="00AE4BD1" w:rsidP="005611FE">
            <w:pPr>
              <w:ind w:left="180"/>
              <w:rPr>
                <w:rFonts w:ascii="Arial" w:hAnsi="Arial" w:cs="Arial"/>
                <w:color w:val="000000"/>
                <w:spacing w:val="-2"/>
                <w:sz w:val="20"/>
                <w:szCs w:val="20"/>
              </w:rPr>
            </w:pPr>
            <w:r w:rsidRPr="002D2F67">
              <w:rPr>
                <w:rFonts w:ascii="Arial" w:hAnsi="Arial" w:cs="Arial"/>
                <w:b/>
                <w:bCs/>
                <w:color w:val="000000"/>
                <w:spacing w:val="-2"/>
                <w:sz w:val="20"/>
                <w:szCs w:val="20"/>
              </w:rPr>
              <w:t xml:space="preserve">For the year ended </w:t>
            </w:r>
            <w:r w:rsidR="00CD5714" w:rsidRPr="00CD5714">
              <w:rPr>
                <w:rFonts w:ascii="Arial" w:hAnsi="Arial" w:cs="Arial"/>
                <w:b/>
                <w:bCs/>
                <w:color w:val="000000"/>
                <w:spacing w:val="-2"/>
                <w:sz w:val="20"/>
                <w:szCs w:val="20"/>
                <w:lang w:val="en-GB"/>
              </w:rPr>
              <w:t>31</w:t>
            </w:r>
            <w:r w:rsidRPr="002D2F67">
              <w:rPr>
                <w:rFonts w:ascii="Arial" w:hAnsi="Arial" w:cs="Arial"/>
                <w:b/>
                <w:bCs/>
                <w:color w:val="000000"/>
                <w:spacing w:val="-2"/>
                <w:sz w:val="20"/>
                <w:szCs w:val="20"/>
              </w:rPr>
              <w:t xml:space="preserve"> December </w:t>
            </w:r>
            <w:r w:rsidR="00CD5714" w:rsidRPr="00CD5714">
              <w:rPr>
                <w:rFonts w:ascii="Arial" w:hAnsi="Arial" w:cs="Arial"/>
                <w:b/>
                <w:bCs/>
                <w:color w:val="000000"/>
                <w:spacing w:val="-2"/>
                <w:sz w:val="20"/>
                <w:szCs w:val="20"/>
                <w:lang w:val="en-GB"/>
              </w:rPr>
              <w:t>2023</w:t>
            </w:r>
          </w:p>
        </w:tc>
        <w:tc>
          <w:tcPr>
            <w:tcW w:w="1599" w:type="dxa"/>
            <w:shd w:val="clear" w:color="auto" w:fill="auto"/>
            <w:vAlign w:val="bottom"/>
          </w:tcPr>
          <w:p w14:paraId="19EB00AF" w14:textId="77777777" w:rsidR="00AE4BD1" w:rsidRPr="002D2F67" w:rsidRDefault="00AE4BD1" w:rsidP="005611FE">
            <w:pPr>
              <w:ind w:right="-72"/>
              <w:jc w:val="right"/>
              <w:rPr>
                <w:rFonts w:ascii="Arial" w:hAnsi="Arial" w:cs="Arial"/>
                <w:color w:val="000000"/>
                <w:sz w:val="20"/>
                <w:szCs w:val="20"/>
              </w:rPr>
            </w:pPr>
          </w:p>
        </w:tc>
        <w:tc>
          <w:tcPr>
            <w:tcW w:w="1599" w:type="dxa"/>
            <w:shd w:val="clear" w:color="auto" w:fill="auto"/>
            <w:vAlign w:val="bottom"/>
          </w:tcPr>
          <w:p w14:paraId="6785E82D" w14:textId="77777777" w:rsidR="00AE4BD1" w:rsidRPr="002D2F67" w:rsidRDefault="00AE4BD1" w:rsidP="005611FE">
            <w:pPr>
              <w:ind w:right="-72"/>
              <w:jc w:val="right"/>
              <w:rPr>
                <w:rFonts w:ascii="Arial" w:hAnsi="Arial" w:cs="Arial"/>
                <w:color w:val="000000"/>
                <w:sz w:val="20"/>
                <w:szCs w:val="20"/>
              </w:rPr>
            </w:pPr>
          </w:p>
        </w:tc>
        <w:tc>
          <w:tcPr>
            <w:tcW w:w="1599" w:type="dxa"/>
            <w:shd w:val="clear" w:color="auto" w:fill="auto"/>
            <w:vAlign w:val="bottom"/>
          </w:tcPr>
          <w:p w14:paraId="172905CE" w14:textId="77777777" w:rsidR="00AE4BD1" w:rsidRPr="002D2F67" w:rsidRDefault="00AE4BD1" w:rsidP="005611FE">
            <w:pPr>
              <w:ind w:right="-72"/>
              <w:jc w:val="right"/>
              <w:rPr>
                <w:rFonts w:ascii="Arial" w:hAnsi="Arial" w:cs="Arial"/>
                <w:color w:val="000000"/>
                <w:sz w:val="20"/>
                <w:szCs w:val="20"/>
              </w:rPr>
            </w:pPr>
          </w:p>
        </w:tc>
        <w:tc>
          <w:tcPr>
            <w:tcW w:w="1599" w:type="dxa"/>
            <w:shd w:val="clear" w:color="auto" w:fill="auto"/>
            <w:vAlign w:val="bottom"/>
          </w:tcPr>
          <w:p w14:paraId="1BD06231" w14:textId="77777777" w:rsidR="00AE4BD1" w:rsidRPr="002D2F67" w:rsidRDefault="00AE4BD1" w:rsidP="005611FE">
            <w:pPr>
              <w:ind w:right="-72"/>
              <w:jc w:val="right"/>
              <w:rPr>
                <w:rFonts w:ascii="Arial" w:hAnsi="Arial" w:cs="Arial"/>
                <w:color w:val="000000"/>
                <w:sz w:val="20"/>
                <w:szCs w:val="20"/>
              </w:rPr>
            </w:pPr>
          </w:p>
        </w:tc>
        <w:tc>
          <w:tcPr>
            <w:tcW w:w="1599" w:type="dxa"/>
            <w:shd w:val="clear" w:color="auto" w:fill="auto"/>
            <w:vAlign w:val="bottom"/>
          </w:tcPr>
          <w:p w14:paraId="2453A7AD" w14:textId="77777777" w:rsidR="00AE4BD1" w:rsidRPr="002D2F67" w:rsidRDefault="00AE4BD1" w:rsidP="005611FE">
            <w:pPr>
              <w:ind w:right="-72"/>
              <w:jc w:val="right"/>
              <w:rPr>
                <w:rFonts w:ascii="Arial" w:hAnsi="Arial" w:cs="Arial"/>
                <w:color w:val="000000"/>
                <w:sz w:val="20"/>
                <w:szCs w:val="20"/>
              </w:rPr>
            </w:pPr>
          </w:p>
        </w:tc>
        <w:tc>
          <w:tcPr>
            <w:tcW w:w="1599" w:type="dxa"/>
            <w:shd w:val="clear" w:color="auto" w:fill="auto"/>
            <w:vAlign w:val="bottom"/>
          </w:tcPr>
          <w:p w14:paraId="38546254" w14:textId="77777777" w:rsidR="00AE4BD1" w:rsidRPr="002D2F67" w:rsidRDefault="00AE4BD1" w:rsidP="005611FE">
            <w:pPr>
              <w:ind w:right="-72"/>
              <w:jc w:val="right"/>
              <w:rPr>
                <w:rFonts w:ascii="Arial" w:hAnsi="Arial" w:cs="Arial"/>
                <w:color w:val="000000"/>
                <w:sz w:val="20"/>
                <w:szCs w:val="20"/>
              </w:rPr>
            </w:pPr>
          </w:p>
        </w:tc>
        <w:tc>
          <w:tcPr>
            <w:tcW w:w="1571" w:type="dxa"/>
            <w:shd w:val="clear" w:color="auto" w:fill="auto"/>
            <w:vAlign w:val="bottom"/>
          </w:tcPr>
          <w:p w14:paraId="184CF920" w14:textId="77777777" w:rsidR="00AE4BD1" w:rsidRPr="002D2F67" w:rsidRDefault="00AE4BD1" w:rsidP="005611FE">
            <w:pPr>
              <w:ind w:right="-72"/>
              <w:jc w:val="right"/>
              <w:rPr>
                <w:rFonts w:ascii="Arial" w:hAnsi="Arial" w:cs="Arial"/>
                <w:color w:val="000000"/>
                <w:sz w:val="20"/>
                <w:szCs w:val="20"/>
              </w:rPr>
            </w:pPr>
          </w:p>
        </w:tc>
      </w:tr>
      <w:tr w:rsidR="00AE4BD1" w:rsidRPr="002D2F67" w14:paraId="59007A19" w14:textId="77777777" w:rsidTr="19457625">
        <w:trPr>
          <w:trHeight w:val="239"/>
        </w:trPr>
        <w:tc>
          <w:tcPr>
            <w:tcW w:w="4505" w:type="dxa"/>
            <w:shd w:val="clear" w:color="auto" w:fill="auto"/>
            <w:vAlign w:val="bottom"/>
          </w:tcPr>
          <w:p w14:paraId="3898BA79" w14:textId="77777777" w:rsidR="00AE4BD1" w:rsidRPr="002D2F67" w:rsidRDefault="00AE4BD1" w:rsidP="005611FE">
            <w:pPr>
              <w:ind w:left="180" w:right="-109"/>
              <w:rPr>
                <w:rFonts w:ascii="Arial" w:hAnsi="Arial" w:cs="Arial"/>
                <w:color w:val="000000"/>
                <w:sz w:val="20"/>
                <w:szCs w:val="20"/>
              </w:rPr>
            </w:pPr>
            <w:r w:rsidRPr="002D2F67">
              <w:rPr>
                <w:rFonts w:ascii="Arial" w:hAnsi="Arial" w:cs="Arial"/>
                <w:color w:val="000000"/>
                <w:sz w:val="20"/>
                <w:szCs w:val="20"/>
              </w:rPr>
              <w:t>Opening net book value</w:t>
            </w:r>
          </w:p>
        </w:tc>
        <w:tc>
          <w:tcPr>
            <w:tcW w:w="1599" w:type="dxa"/>
            <w:shd w:val="clear" w:color="auto" w:fill="auto"/>
            <w:vAlign w:val="bottom"/>
          </w:tcPr>
          <w:p w14:paraId="563678BD" w14:textId="63EBB190"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380</w:t>
            </w:r>
            <w:r w:rsidR="00AE4BD1" w:rsidRPr="002D2F67">
              <w:rPr>
                <w:rFonts w:ascii="Arial" w:hAnsi="Arial" w:cs="Arial"/>
                <w:color w:val="000000"/>
                <w:sz w:val="20"/>
                <w:szCs w:val="20"/>
              </w:rPr>
              <w:t>,</w:t>
            </w:r>
            <w:r w:rsidRPr="00CD5714">
              <w:rPr>
                <w:rFonts w:ascii="Arial" w:hAnsi="Arial" w:cs="Arial"/>
                <w:color w:val="000000"/>
                <w:sz w:val="20"/>
                <w:szCs w:val="20"/>
                <w:lang w:val="en-GB"/>
              </w:rPr>
              <w:t>481</w:t>
            </w:r>
          </w:p>
        </w:tc>
        <w:tc>
          <w:tcPr>
            <w:tcW w:w="1599" w:type="dxa"/>
            <w:shd w:val="clear" w:color="auto" w:fill="auto"/>
            <w:vAlign w:val="bottom"/>
          </w:tcPr>
          <w:p w14:paraId="02C2E120" w14:textId="0A306F79"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249</w:t>
            </w:r>
            <w:r w:rsidR="00AE4BD1" w:rsidRPr="002D2F67">
              <w:rPr>
                <w:rFonts w:ascii="Arial" w:hAnsi="Arial" w:cs="Arial"/>
                <w:color w:val="000000"/>
                <w:sz w:val="20"/>
                <w:szCs w:val="20"/>
              </w:rPr>
              <w:t>,</w:t>
            </w:r>
            <w:r w:rsidRPr="00CD5714">
              <w:rPr>
                <w:rFonts w:ascii="Arial" w:hAnsi="Arial" w:cs="Arial"/>
                <w:color w:val="000000"/>
                <w:sz w:val="20"/>
                <w:szCs w:val="20"/>
                <w:lang w:val="en-GB"/>
              </w:rPr>
              <w:t>887</w:t>
            </w:r>
          </w:p>
        </w:tc>
        <w:tc>
          <w:tcPr>
            <w:tcW w:w="1599" w:type="dxa"/>
            <w:shd w:val="clear" w:color="auto" w:fill="auto"/>
            <w:vAlign w:val="bottom"/>
          </w:tcPr>
          <w:p w14:paraId="094342C6" w14:textId="1EF6D8D2"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108</w:t>
            </w:r>
            <w:r w:rsidR="00AE4BD1" w:rsidRPr="002D2F67">
              <w:rPr>
                <w:rFonts w:ascii="Arial" w:hAnsi="Arial" w:cs="Arial"/>
                <w:color w:val="000000"/>
                <w:sz w:val="20"/>
                <w:szCs w:val="20"/>
              </w:rPr>
              <w:t>,</w:t>
            </w:r>
            <w:r w:rsidRPr="00CD5714">
              <w:rPr>
                <w:rFonts w:ascii="Arial" w:hAnsi="Arial" w:cs="Arial"/>
                <w:color w:val="000000"/>
                <w:sz w:val="20"/>
                <w:szCs w:val="20"/>
                <w:lang w:val="en-GB"/>
              </w:rPr>
              <w:t>932</w:t>
            </w:r>
          </w:p>
        </w:tc>
        <w:tc>
          <w:tcPr>
            <w:tcW w:w="1599" w:type="dxa"/>
            <w:shd w:val="clear" w:color="auto" w:fill="auto"/>
            <w:vAlign w:val="bottom"/>
          </w:tcPr>
          <w:p w14:paraId="7465579B" w14:textId="4251B4AA"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9</w:t>
            </w:r>
            <w:r w:rsidR="00AE4BD1" w:rsidRPr="002D2F67">
              <w:rPr>
                <w:rFonts w:ascii="Arial" w:hAnsi="Arial" w:cs="Arial"/>
                <w:color w:val="000000"/>
                <w:sz w:val="20"/>
                <w:szCs w:val="20"/>
              </w:rPr>
              <w:t>,</w:t>
            </w:r>
            <w:r w:rsidRPr="00CD5714">
              <w:rPr>
                <w:rFonts w:ascii="Arial" w:hAnsi="Arial" w:cs="Arial"/>
                <w:color w:val="000000"/>
                <w:sz w:val="20"/>
                <w:szCs w:val="20"/>
                <w:lang w:val="en-GB"/>
              </w:rPr>
              <w:t>672</w:t>
            </w:r>
            <w:r w:rsidR="00AE4BD1" w:rsidRPr="002D2F67">
              <w:rPr>
                <w:rFonts w:ascii="Arial" w:hAnsi="Arial" w:cs="Arial"/>
                <w:color w:val="000000"/>
                <w:sz w:val="20"/>
                <w:szCs w:val="20"/>
              </w:rPr>
              <w:t>,</w:t>
            </w:r>
            <w:r w:rsidRPr="00CD5714">
              <w:rPr>
                <w:rFonts w:ascii="Arial" w:hAnsi="Arial" w:cs="Arial"/>
                <w:color w:val="000000"/>
                <w:sz w:val="20"/>
                <w:szCs w:val="20"/>
                <w:lang w:val="en-GB"/>
              </w:rPr>
              <w:t>262</w:t>
            </w:r>
          </w:p>
        </w:tc>
        <w:tc>
          <w:tcPr>
            <w:tcW w:w="1599" w:type="dxa"/>
            <w:shd w:val="clear" w:color="auto" w:fill="auto"/>
            <w:vAlign w:val="bottom"/>
          </w:tcPr>
          <w:p w14:paraId="6EDED68C" w14:textId="55475E77"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29</w:t>
            </w:r>
            <w:r w:rsidR="00AE4BD1" w:rsidRPr="002D2F67">
              <w:rPr>
                <w:rFonts w:ascii="Arial" w:hAnsi="Arial" w:cs="Arial"/>
                <w:color w:val="000000"/>
                <w:sz w:val="20"/>
                <w:szCs w:val="20"/>
              </w:rPr>
              <w:t>,</w:t>
            </w:r>
            <w:r w:rsidRPr="00CD5714">
              <w:rPr>
                <w:rFonts w:ascii="Arial" w:hAnsi="Arial" w:cs="Arial"/>
                <w:color w:val="000000"/>
                <w:sz w:val="20"/>
                <w:szCs w:val="20"/>
                <w:lang w:val="en-GB"/>
              </w:rPr>
              <w:t>666</w:t>
            </w:r>
          </w:p>
        </w:tc>
        <w:tc>
          <w:tcPr>
            <w:tcW w:w="1599" w:type="dxa"/>
            <w:shd w:val="clear" w:color="auto" w:fill="auto"/>
            <w:vAlign w:val="bottom"/>
          </w:tcPr>
          <w:p w14:paraId="75D9B683" w14:textId="5236E0E5"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183</w:t>
            </w:r>
            <w:r w:rsidR="00AE4BD1" w:rsidRPr="002D2F67">
              <w:rPr>
                <w:rFonts w:ascii="Arial" w:hAnsi="Arial" w:cs="Arial"/>
                <w:color w:val="000000"/>
                <w:sz w:val="20"/>
                <w:szCs w:val="20"/>
              </w:rPr>
              <w:t>,</w:t>
            </w:r>
            <w:r w:rsidRPr="00CD5714">
              <w:rPr>
                <w:rFonts w:ascii="Arial" w:hAnsi="Arial" w:cs="Arial"/>
                <w:color w:val="000000"/>
                <w:sz w:val="20"/>
                <w:szCs w:val="20"/>
                <w:lang w:val="en-GB"/>
              </w:rPr>
              <w:t>864</w:t>
            </w:r>
          </w:p>
        </w:tc>
        <w:tc>
          <w:tcPr>
            <w:tcW w:w="1571" w:type="dxa"/>
            <w:shd w:val="clear" w:color="auto" w:fill="auto"/>
            <w:vAlign w:val="bottom"/>
          </w:tcPr>
          <w:p w14:paraId="3C3BB0F5" w14:textId="4AFFA0D0"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10</w:t>
            </w:r>
            <w:r w:rsidR="00AE4BD1" w:rsidRPr="002D2F67">
              <w:rPr>
                <w:rFonts w:ascii="Arial" w:hAnsi="Arial" w:cs="Arial"/>
                <w:color w:val="000000"/>
                <w:sz w:val="20"/>
                <w:szCs w:val="20"/>
              </w:rPr>
              <w:t>,</w:t>
            </w:r>
            <w:r w:rsidRPr="00CD5714">
              <w:rPr>
                <w:rFonts w:ascii="Arial" w:hAnsi="Arial" w:cs="Arial"/>
                <w:color w:val="000000"/>
                <w:sz w:val="20"/>
                <w:szCs w:val="20"/>
                <w:lang w:val="en-GB"/>
              </w:rPr>
              <w:t>625</w:t>
            </w:r>
            <w:r w:rsidR="00AE4BD1" w:rsidRPr="002D2F67">
              <w:rPr>
                <w:rFonts w:ascii="Arial" w:hAnsi="Arial" w:cs="Arial"/>
                <w:color w:val="000000"/>
                <w:sz w:val="20"/>
                <w:szCs w:val="20"/>
              </w:rPr>
              <w:t>,</w:t>
            </w:r>
            <w:r w:rsidRPr="00CD5714">
              <w:rPr>
                <w:rFonts w:ascii="Arial" w:hAnsi="Arial" w:cs="Arial"/>
                <w:color w:val="000000"/>
                <w:sz w:val="20"/>
                <w:szCs w:val="20"/>
                <w:lang w:val="en-GB"/>
              </w:rPr>
              <w:t>092</w:t>
            </w:r>
          </w:p>
        </w:tc>
      </w:tr>
      <w:tr w:rsidR="00AE4BD1" w:rsidRPr="002D2F67" w14:paraId="6DCE27D6" w14:textId="77777777" w:rsidTr="19457625">
        <w:trPr>
          <w:trHeight w:val="239"/>
        </w:trPr>
        <w:tc>
          <w:tcPr>
            <w:tcW w:w="4505" w:type="dxa"/>
            <w:shd w:val="clear" w:color="auto" w:fill="auto"/>
            <w:vAlign w:val="bottom"/>
          </w:tcPr>
          <w:p w14:paraId="0258FBC9" w14:textId="77777777" w:rsidR="00AE4BD1" w:rsidRPr="002D2F67" w:rsidRDefault="00AE4BD1" w:rsidP="005611FE">
            <w:pPr>
              <w:ind w:left="180"/>
              <w:rPr>
                <w:rFonts w:ascii="Arial" w:hAnsi="Arial" w:cs="Arial"/>
                <w:color w:val="000000"/>
                <w:sz w:val="20"/>
                <w:szCs w:val="20"/>
              </w:rPr>
            </w:pPr>
            <w:r w:rsidRPr="002D2F67">
              <w:rPr>
                <w:rFonts w:ascii="Arial" w:hAnsi="Arial" w:cs="Arial"/>
                <w:color w:val="000000"/>
                <w:sz w:val="20"/>
                <w:szCs w:val="20"/>
              </w:rPr>
              <w:t>Additions</w:t>
            </w:r>
          </w:p>
        </w:tc>
        <w:tc>
          <w:tcPr>
            <w:tcW w:w="1599" w:type="dxa"/>
            <w:shd w:val="clear" w:color="auto" w:fill="auto"/>
            <w:vAlign w:val="bottom"/>
          </w:tcPr>
          <w:p w14:paraId="2ABFF44F" w14:textId="77777777"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99" w:type="dxa"/>
            <w:shd w:val="clear" w:color="auto" w:fill="auto"/>
            <w:vAlign w:val="bottom"/>
          </w:tcPr>
          <w:p w14:paraId="210C4D93" w14:textId="77777777"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99" w:type="dxa"/>
            <w:shd w:val="clear" w:color="auto" w:fill="auto"/>
            <w:vAlign w:val="bottom"/>
          </w:tcPr>
          <w:p w14:paraId="7008C6D5" w14:textId="009B1BDA"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795</w:t>
            </w:r>
          </w:p>
        </w:tc>
        <w:tc>
          <w:tcPr>
            <w:tcW w:w="1599" w:type="dxa"/>
            <w:shd w:val="clear" w:color="auto" w:fill="auto"/>
            <w:vAlign w:val="bottom"/>
          </w:tcPr>
          <w:p w14:paraId="1BC0CFB1" w14:textId="557E517D"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AE4BD1" w:rsidRPr="002D2F67">
              <w:rPr>
                <w:rFonts w:ascii="Arial" w:hAnsi="Arial" w:cs="Arial"/>
                <w:color w:val="000000"/>
                <w:sz w:val="20"/>
                <w:szCs w:val="20"/>
              </w:rPr>
              <w:t>,</w:t>
            </w:r>
            <w:r w:rsidRPr="00CD5714">
              <w:rPr>
                <w:rFonts w:ascii="Arial" w:hAnsi="Arial" w:cs="Arial"/>
                <w:color w:val="000000"/>
                <w:sz w:val="20"/>
                <w:szCs w:val="20"/>
                <w:lang w:val="en-GB"/>
              </w:rPr>
              <w:t>360</w:t>
            </w:r>
            <w:r w:rsidR="00AE4BD1" w:rsidRPr="002D2F67">
              <w:rPr>
                <w:rFonts w:ascii="Arial" w:hAnsi="Arial" w:cs="Arial"/>
                <w:color w:val="000000"/>
                <w:sz w:val="20"/>
                <w:szCs w:val="20"/>
              </w:rPr>
              <w:t>,</w:t>
            </w:r>
            <w:r w:rsidRPr="00CD5714">
              <w:rPr>
                <w:rFonts w:ascii="Arial" w:hAnsi="Arial" w:cs="Arial"/>
                <w:color w:val="000000"/>
                <w:sz w:val="20"/>
                <w:szCs w:val="20"/>
                <w:lang w:val="en-GB"/>
              </w:rPr>
              <w:t>934</w:t>
            </w:r>
          </w:p>
        </w:tc>
        <w:tc>
          <w:tcPr>
            <w:tcW w:w="1599" w:type="dxa"/>
            <w:shd w:val="clear" w:color="auto" w:fill="auto"/>
            <w:vAlign w:val="bottom"/>
          </w:tcPr>
          <w:p w14:paraId="4EEC8BF2" w14:textId="34D7F349"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7</w:t>
            </w:r>
            <w:r w:rsidR="00AE4BD1" w:rsidRPr="002D2F67">
              <w:rPr>
                <w:rFonts w:ascii="Arial" w:hAnsi="Arial" w:cs="Arial"/>
                <w:color w:val="000000"/>
                <w:sz w:val="20"/>
                <w:szCs w:val="20"/>
              </w:rPr>
              <w:t>,</w:t>
            </w:r>
            <w:r w:rsidRPr="00CD5714">
              <w:rPr>
                <w:rFonts w:ascii="Arial" w:hAnsi="Arial" w:cs="Arial"/>
                <w:color w:val="000000"/>
                <w:sz w:val="20"/>
                <w:szCs w:val="20"/>
                <w:lang w:val="en-GB"/>
              </w:rPr>
              <w:t>530</w:t>
            </w:r>
          </w:p>
        </w:tc>
        <w:tc>
          <w:tcPr>
            <w:tcW w:w="1599" w:type="dxa"/>
            <w:shd w:val="clear" w:color="auto" w:fill="auto"/>
            <w:vAlign w:val="bottom"/>
          </w:tcPr>
          <w:p w14:paraId="63C1AA2A" w14:textId="3CD810FE"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16</w:t>
            </w:r>
            <w:r w:rsidR="00AE4BD1" w:rsidRPr="002D2F67">
              <w:rPr>
                <w:rFonts w:ascii="Arial" w:hAnsi="Arial" w:cs="Arial"/>
                <w:color w:val="000000"/>
                <w:sz w:val="20"/>
                <w:szCs w:val="20"/>
              </w:rPr>
              <w:t>,</w:t>
            </w:r>
            <w:r w:rsidRPr="00CD5714">
              <w:rPr>
                <w:rFonts w:ascii="Arial" w:hAnsi="Arial" w:cs="Arial"/>
                <w:color w:val="000000"/>
                <w:sz w:val="20"/>
                <w:szCs w:val="20"/>
                <w:lang w:val="en-GB"/>
              </w:rPr>
              <w:t>630</w:t>
            </w:r>
          </w:p>
        </w:tc>
        <w:tc>
          <w:tcPr>
            <w:tcW w:w="1571" w:type="dxa"/>
            <w:shd w:val="clear" w:color="auto" w:fill="auto"/>
            <w:vAlign w:val="bottom"/>
          </w:tcPr>
          <w:p w14:paraId="17A9F2A3" w14:textId="7779F97A"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AE4BD1" w:rsidRPr="002D2F67">
              <w:rPr>
                <w:rFonts w:ascii="Arial" w:hAnsi="Arial" w:cs="Arial"/>
                <w:color w:val="000000"/>
                <w:sz w:val="20"/>
                <w:szCs w:val="20"/>
              </w:rPr>
              <w:t>,</w:t>
            </w:r>
            <w:r w:rsidRPr="00CD5714">
              <w:rPr>
                <w:rFonts w:ascii="Arial" w:hAnsi="Arial" w:cs="Arial"/>
                <w:color w:val="000000"/>
                <w:sz w:val="20"/>
                <w:szCs w:val="20"/>
                <w:lang w:val="en-GB"/>
              </w:rPr>
              <w:t>385</w:t>
            </w:r>
            <w:r w:rsidR="00AE4BD1" w:rsidRPr="002D2F67">
              <w:rPr>
                <w:rFonts w:ascii="Arial" w:hAnsi="Arial" w:cs="Arial"/>
                <w:color w:val="000000"/>
                <w:sz w:val="20"/>
                <w:szCs w:val="20"/>
              </w:rPr>
              <w:t>,</w:t>
            </w:r>
            <w:r w:rsidRPr="00CD5714">
              <w:rPr>
                <w:rFonts w:ascii="Arial" w:hAnsi="Arial" w:cs="Arial"/>
                <w:color w:val="000000"/>
                <w:sz w:val="20"/>
                <w:szCs w:val="20"/>
                <w:lang w:val="en-GB"/>
              </w:rPr>
              <w:t>889</w:t>
            </w:r>
          </w:p>
        </w:tc>
      </w:tr>
      <w:tr w:rsidR="00AE4BD1" w:rsidRPr="002D2F67" w14:paraId="60568959" w14:textId="77777777" w:rsidTr="19457625">
        <w:trPr>
          <w:trHeight w:val="239"/>
        </w:trPr>
        <w:tc>
          <w:tcPr>
            <w:tcW w:w="4505" w:type="dxa"/>
            <w:shd w:val="clear" w:color="auto" w:fill="auto"/>
            <w:vAlign w:val="bottom"/>
          </w:tcPr>
          <w:p w14:paraId="18DB27AB" w14:textId="73E70E96" w:rsidR="00AE4BD1" w:rsidRPr="002D2F67" w:rsidRDefault="00AE4BD1" w:rsidP="005611FE">
            <w:pPr>
              <w:ind w:left="180"/>
              <w:rPr>
                <w:rFonts w:ascii="Arial" w:hAnsi="Arial" w:cs="Arial"/>
                <w:color w:val="000000"/>
                <w:sz w:val="20"/>
                <w:szCs w:val="20"/>
              </w:rPr>
            </w:pPr>
            <w:r w:rsidRPr="002D2F67">
              <w:rPr>
                <w:rFonts w:ascii="Arial" w:hAnsi="Arial" w:cs="Arial"/>
                <w:color w:val="000000"/>
                <w:sz w:val="20"/>
                <w:szCs w:val="20"/>
              </w:rPr>
              <w:t>Revis</w:t>
            </w:r>
            <w:r w:rsidR="007576D2" w:rsidRPr="002D2F67">
              <w:rPr>
                <w:rFonts w:ascii="Arial" w:hAnsi="Arial" w:cs="Arial"/>
                <w:color w:val="000000"/>
                <w:sz w:val="20"/>
                <w:szCs w:val="20"/>
              </w:rPr>
              <w:t>ion of</w:t>
            </w:r>
            <w:r w:rsidRPr="002D2F67">
              <w:rPr>
                <w:rFonts w:ascii="Arial" w:hAnsi="Arial" w:cs="Arial"/>
                <w:color w:val="000000"/>
                <w:sz w:val="20"/>
                <w:szCs w:val="20"/>
              </w:rPr>
              <w:t xml:space="preserve"> provision for decommissioning costs </w:t>
            </w:r>
          </w:p>
          <w:p w14:paraId="2A8D8664" w14:textId="403EDCD7" w:rsidR="00AE4BD1" w:rsidRPr="002D2F67" w:rsidRDefault="00AE4BD1" w:rsidP="005611FE">
            <w:pPr>
              <w:ind w:left="180"/>
              <w:rPr>
                <w:rFonts w:ascii="Arial" w:hAnsi="Arial" w:cs="Arial"/>
                <w:color w:val="000000"/>
                <w:sz w:val="20"/>
                <w:szCs w:val="20"/>
              </w:rPr>
            </w:pPr>
            <w:r w:rsidRPr="002D2F67">
              <w:rPr>
                <w:rFonts w:ascii="Arial" w:hAnsi="Arial" w:cs="Arial"/>
                <w:color w:val="000000"/>
                <w:sz w:val="20"/>
                <w:szCs w:val="20"/>
                <w:cs/>
              </w:rPr>
              <w:t xml:space="preserve">    (</w:t>
            </w:r>
            <w:r w:rsidRPr="002D2F67">
              <w:rPr>
                <w:rFonts w:ascii="Arial" w:hAnsi="Arial" w:cs="Arial"/>
                <w:color w:val="000000"/>
                <w:sz w:val="20"/>
                <w:szCs w:val="20"/>
              </w:rPr>
              <w:t xml:space="preserve">Note </w:t>
            </w:r>
            <w:r w:rsidR="00CD5714" w:rsidRPr="00CD5714">
              <w:rPr>
                <w:rFonts w:ascii="Arial" w:hAnsi="Arial" w:cs="Arial"/>
                <w:color w:val="000000"/>
                <w:sz w:val="20"/>
                <w:szCs w:val="20"/>
                <w:lang w:val="en-GB"/>
              </w:rPr>
              <w:t>31</w:t>
            </w:r>
            <w:r w:rsidRPr="002D2F67">
              <w:rPr>
                <w:rFonts w:ascii="Arial" w:hAnsi="Arial" w:cs="Arial"/>
                <w:color w:val="000000"/>
                <w:sz w:val="20"/>
                <w:szCs w:val="20"/>
                <w:cs/>
              </w:rPr>
              <w:t>)</w:t>
            </w:r>
          </w:p>
        </w:tc>
        <w:tc>
          <w:tcPr>
            <w:tcW w:w="1599" w:type="dxa"/>
            <w:shd w:val="clear" w:color="auto" w:fill="auto"/>
            <w:vAlign w:val="bottom"/>
          </w:tcPr>
          <w:p w14:paraId="126977CF" w14:textId="77777777"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99" w:type="dxa"/>
            <w:shd w:val="clear" w:color="auto" w:fill="auto"/>
            <w:vAlign w:val="bottom"/>
          </w:tcPr>
          <w:p w14:paraId="7325ECA1" w14:textId="77777777"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99" w:type="dxa"/>
            <w:shd w:val="clear" w:color="auto" w:fill="auto"/>
            <w:vAlign w:val="bottom"/>
          </w:tcPr>
          <w:p w14:paraId="10F3D1AE" w14:textId="77777777"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99" w:type="dxa"/>
            <w:shd w:val="clear" w:color="auto" w:fill="auto"/>
            <w:vAlign w:val="bottom"/>
          </w:tcPr>
          <w:p w14:paraId="74BFB6FB" w14:textId="51988C87"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15</w:t>
            </w:r>
            <w:r w:rsidR="00AE4BD1" w:rsidRPr="002D2F67">
              <w:rPr>
                <w:rFonts w:ascii="Arial" w:hAnsi="Arial" w:cs="Arial"/>
                <w:color w:val="000000"/>
                <w:sz w:val="20"/>
                <w:szCs w:val="20"/>
              </w:rPr>
              <w:t>,</w:t>
            </w:r>
            <w:r w:rsidRPr="00CD5714">
              <w:rPr>
                <w:rFonts w:ascii="Arial" w:hAnsi="Arial" w:cs="Arial"/>
                <w:color w:val="000000"/>
                <w:sz w:val="20"/>
                <w:szCs w:val="20"/>
                <w:lang w:val="en-GB"/>
              </w:rPr>
              <w:t>220</w:t>
            </w:r>
          </w:p>
        </w:tc>
        <w:tc>
          <w:tcPr>
            <w:tcW w:w="1599" w:type="dxa"/>
            <w:shd w:val="clear" w:color="auto" w:fill="auto"/>
            <w:vAlign w:val="bottom"/>
          </w:tcPr>
          <w:p w14:paraId="79DBB2EA" w14:textId="77777777"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99" w:type="dxa"/>
            <w:shd w:val="clear" w:color="auto" w:fill="auto"/>
            <w:vAlign w:val="bottom"/>
          </w:tcPr>
          <w:p w14:paraId="7C6BC566" w14:textId="77777777"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71" w:type="dxa"/>
            <w:shd w:val="clear" w:color="auto" w:fill="auto"/>
            <w:vAlign w:val="bottom"/>
          </w:tcPr>
          <w:p w14:paraId="4D80C6C6" w14:textId="040D771D"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15</w:t>
            </w:r>
            <w:r w:rsidR="00AE4BD1" w:rsidRPr="002D2F67">
              <w:rPr>
                <w:rFonts w:ascii="Arial" w:hAnsi="Arial" w:cs="Arial"/>
                <w:color w:val="000000"/>
                <w:sz w:val="20"/>
                <w:szCs w:val="20"/>
              </w:rPr>
              <w:t>,</w:t>
            </w:r>
            <w:r w:rsidRPr="00CD5714">
              <w:rPr>
                <w:rFonts w:ascii="Arial" w:hAnsi="Arial" w:cs="Arial"/>
                <w:color w:val="000000"/>
                <w:sz w:val="20"/>
                <w:szCs w:val="20"/>
                <w:lang w:val="en-GB"/>
              </w:rPr>
              <w:t>220</w:t>
            </w:r>
          </w:p>
        </w:tc>
      </w:tr>
      <w:tr w:rsidR="00AE4BD1" w:rsidRPr="002D2F67" w14:paraId="09A67CD0" w14:textId="77777777" w:rsidTr="19457625">
        <w:trPr>
          <w:trHeight w:val="239"/>
        </w:trPr>
        <w:tc>
          <w:tcPr>
            <w:tcW w:w="4505" w:type="dxa"/>
            <w:shd w:val="clear" w:color="auto" w:fill="auto"/>
            <w:vAlign w:val="bottom"/>
          </w:tcPr>
          <w:p w14:paraId="72DFF8FD" w14:textId="77777777" w:rsidR="00AE4BD1" w:rsidRPr="002D2F67" w:rsidRDefault="00AE4BD1" w:rsidP="005611FE">
            <w:pPr>
              <w:ind w:left="180"/>
              <w:rPr>
                <w:rFonts w:ascii="Arial" w:hAnsi="Arial" w:cs="Arial"/>
                <w:color w:val="000000"/>
                <w:sz w:val="20"/>
                <w:szCs w:val="20"/>
              </w:rPr>
            </w:pPr>
            <w:r w:rsidRPr="002D2F67">
              <w:rPr>
                <w:rFonts w:ascii="Arial" w:hAnsi="Arial" w:cs="Arial"/>
                <w:color w:val="000000"/>
                <w:sz w:val="20"/>
                <w:szCs w:val="20"/>
              </w:rPr>
              <w:t>Disposals, net</w:t>
            </w:r>
          </w:p>
        </w:tc>
        <w:tc>
          <w:tcPr>
            <w:tcW w:w="1599" w:type="dxa"/>
            <w:shd w:val="clear" w:color="auto" w:fill="auto"/>
            <w:vAlign w:val="bottom"/>
          </w:tcPr>
          <w:p w14:paraId="15600410" w14:textId="77777777"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99" w:type="dxa"/>
            <w:shd w:val="clear" w:color="auto" w:fill="auto"/>
            <w:vAlign w:val="bottom"/>
          </w:tcPr>
          <w:p w14:paraId="1F88A0EC" w14:textId="328770EB"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100</w:t>
            </w:r>
            <w:r w:rsidRPr="002D2F67">
              <w:rPr>
                <w:rFonts w:ascii="Arial" w:hAnsi="Arial" w:cs="Arial"/>
                <w:color w:val="000000"/>
                <w:sz w:val="20"/>
                <w:szCs w:val="20"/>
              </w:rPr>
              <w:t>)</w:t>
            </w:r>
          </w:p>
        </w:tc>
        <w:tc>
          <w:tcPr>
            <w:tcW w:w="1599" w:type="dxa"/>
            <w:shd w:val="clear" w:color="auto" w:fill="auto"/>
            <w:vAlign w:val="bottom"/>
          </w:tcPr>
          <w:p w14:paraId="57923FAC" w14:textId="77777777"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99" w:type="dxa"/>
            <w:shd w:val="clear" w:color="auto" w:fill="auto"/>
            <w:vAlign w:val="bottom"/>
          </w:tcPr>
          <w:p w14:paraId="20A17D55" w14:textId="77777777"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99" w:type="dxa"/>
            <w:shd w:val="clear" w:color="auto" w:fill="auto"/>
            <w:vAlign w:val="bottom"/>
          </w:tcPr>
          <w:p w14:paraId="6E51E32B" w14:textId="4584336A"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6</w:t>
            </w:r>
            <w:r w:rsidRPr="002D2F67">
              <w:rPr>
                <w:rFonts w:ascii="Arial" w:hAnsi="Arial" w:cs="Arial"/>
                <w:color w:val="000000"/>
                <w:sz w:val="20"/>
                <w:szCs w:val="20"/>
              </w:rPr>
              <w:t>,</w:t>
            </w:r>
            <w:r w:rsidR="00CD5714" w:rsidRPr="00CD5714">
              <w:rPr>
                <w:rFonts w:ascii="Arial" w:hAnsi="Arial" w:cs="Arial"/>
                <w:color w:val="000000"/>
                <w:sz w:val="20"/>
                <w:szCs w:val="20"/>
                <w:lang w:val="en-GB"/>
              </w:rPr>
              <w:t>052</w:t>
            </w:r>
            <w:r w:rsidRPr="002D2F67">
              <w:rPr>
                <w:rFonts w:ascii="Arial" w:hAnsi="Arial" w:cs="Arial"/>
                <w:color w:val="000000"/>
                <w:sz w:val="20"/>
                <w:szCs w:val="20"/>
              </w:rPr>
              <w:t>)</w:t>
            </w:r>
          </w:p>
        </w:tc>
        <w:tc>
          <w:tcPr>
            <w:tcW w:w="1599" w:type="dxa"/>
            <w:shd w:val="clear" w:color="auto" w:fill="auto"/>
            <w:vAlign w:val="bottom"/>
          </w:tcPr>
          <w:p w14:paraId="5684D8CA" w14:textId="77777777"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71" w:type="dxa"/>
            <w:shd w:val="clear" w:color="auto" w:fill="auto"/>
            <w:vAlign w:val="bottom"/>
          </w:tcPr>
          <w:p w14:paraId="417D9413" w14:textId="7213D3F4"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6</w:t>
            </w:r>
            <w:r w:rsidRPr="002D2F67">
              <w:rPr>
                <w:rFonts w:ascii="Arial" w:hAnsi="Arial" w:cs="Arial"/>
                <w:color w:val="000000"/>
                <w:sz w:val="20"/>
                <w:szCs w:val="20"/>
              </w:rPr>
              <w:t>,</w:t>
            </w:r>
            <w:r w:rsidR="00CD5714" w:rsidRPr="00CD5714">
              <w:rPr>
                <w:rFonts w:ascii="Arial" w:hAnsi="Arial" w:cs="Arial"/>
                <w:color w:val="000000"/>
                <w:sz w:val="20"/>
                <w:szCs w:val="20"/>
                <w:lang w:val="en-GB"/>
              </w:rPr>
              <w:t>152</w:t>
            </w:r>
            <w:r w:rsidRPr="002D2F67">
              <w:rPr>
                <w:rFonts w:ascii="Arial" w:hAnsi="Arial" w:cs="Arial"/>
                <w:color w:val="000000"/>
                <w:sz w:val="20"/>
                <w:szCs w:val="20"/>
              </w:rPr>
              <w:t>)</w:t>
            </w:r>
          </w:p>
        </w:tc>
      </w:tr>
      <w:tr w:rsidR="00AE4BD1" w:rsidRPr="002D2F67" w14:paraId="003D897E" w14:textId="77777777" w:rsidTr="19457625">
        <w:trPr>
          <w:trHeight w:val="239"/>
        </w:trPr>
        <w:tc>
          <w:tcPr>
            <w:tcW w:w="4505" w:type="dxa"/>
            <w:shd w:val="clear" w:color="auto" w:fill="auto"/>
            <w:vAlign w:val="bottom"/>
          </w:tcPr>
          <w:p w14:paraId="530EFE38" w14:textId="77777777" w:rsidR="00AE4BD1" w:rsidRPr="002D2F67" w:rsidRDefault="00AE4BD1" w:rsidP="005611FE">
            <w:pPr>
              <w:ind w:left="180"/>
              <w:rPr>
                <w:rFonts w:ascii="Arial" w:hAnsi="Arial" w:cs="Arial"/>
                <w:color w:val="000000"/>
                <w:sz w:val="20"/>
                <w:szCs w:val="20"/>
              </w:rPr>
            </w:pPr>
            <w:r w:rsidRPr="002D2F67">
              <w:rPr>
                <w:rFonts w:ascii="Arial" w:hAnsi="Arial" w:cs="Arial"/>
                <w:color w:val="000000"/>
                <w:sz w:val="20"/>
                <w:szCs w:val="20"/>
              </w:rPr>
              <w:t>Write-off, net</w:t>
            </w:r>
          </w:p>
        </w:tc>
        <w:tc>
          <w:tcPr>
            <w:tcW w:w="1599" w:type="dxa"/>
            <w:shd w:val="clear" w:color="auto" w:fill="auto"/>
            <w:vAlign w:val="bottom"/>
          </w:tcPr>
          <w:p w14:paraId="013B8F34" w14:textId="77777777"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99" w:type="dxa"/>
            <w:shd w:val="clear" w:color="auto" w:fill="auto"/>
            <w:vAlign w:val="bottom"/>
          </w:tcPr>
          <w:p w14:paraId="64F15DBC" w14:textId="77777777"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99" w:type="dxa"/>
            <w:shd w:val="clear" w:color="auto" w:fill="auto"/>
            <w:vAlign w:val="bottom"/>
          </w:tcPr>
          <w:p w14:paraId="1AA5D6B5" w14:textId="0626DC8D"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w:t>
            </w:r>
            <w:r w:rsidRPr="002D2F67">
              <w:rPr>
                <w:rFonts w:ascii="Arial" w:hAnsi="Arial" w:cs="Arial"/>
                <w:color w:val="000000"/>
                <w:sz w:val="20"/>
                <w:szCs w:val="20"/>
              </w:rPr>
              <w:t>)</w:t>
            </w:r>
          </w:p>
        </w:tc>
        <w:tc>
          <w:tcPr>
            <w:tcW w:w="1599" w:type="dxa"/>
            <w:shd w:val="clear" w:color="auto" w:fill="auto"/>
            <w:vAlign w:val="bottom"/>
          </w:tcPr>
          <w:p w14:paraId="672AA1C9" w14:textId="3D9F25CD"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7</w:t>
            </w:r>
            <w:r w:rsidRPr="002D2F67">
              <w:rPr>
                <w:rFonts w:ascii="Arial" w:hAnsi="Arial" w:cs="Arial"/>
                <w:color w:val="000000"/>
                <w:sz w:val="20"/>
                <w:szCs w:val="20"/>
              </w:rPr>
              <w:t>,</w:t>
            </w:r>
            <w:r w:rsidR="00CD5714" w:rsidRPr="00CD5714">
              <w:rPr>
                <w:rFonts w:ascii="Arial" w:hAnsi="Arial" w:cs="Arial"/>
                <w:color w:val="000000"/>
                <w:sz w:val="20"/>
                <w:szCs w:val="20"/>
                <w:lang w:val="en-GB"/>
              </w:rPr>
              <w:t>951</w:t>
            </w:r>
            <w:r w:rsidRPr="002D2F67">
              <w:rPr>
                <w:rFonts w:ascii="Arial" w:hAnsi="Arial" w:cs="Arial"/>
                <w:color w:val="000000"/>
                <w:sz w:val="20"/>
                <w:szCs w:val="20"/>
              </w:rPr>
              <w:t>)</w:t>
            </w:r>
          </w:p>
        </w:tc>
        <w:tc>
          <w:tcPr>
            <w:tcW w:w="1599" w:type="dxa"/>
            <w:shd w:val="clear" w:color="auto" w:fill="auto"/>
            <w:vAlign w:val="bottom"/>
          </w:tcPr>
          <w:p w14:paraId="698D9986" w14:textId="6389795F"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18</w:t>
            </w:r>
            <w:r w:rsidRPr="002D2F67">
              <w:rPr>
                <w:rFonts w:ascii="Arial" w:hAnsi="Arial" w:cs="Arial"/>
                <w:color w:val="000000"/>
                <w:sz w:val="20"/>
                <w:szCs w:val="20"/>
              </w:rPr>
              <w:t>)</w:t>
            </w:r>
          </w:p>
        </w:tc>
        <w:tc>
          <w:tcPr>
            <w:tcW w:w="1599" w:type="dxa"/>
            <w:shd w:val="clear" w:color="auto" w:fill="auto"/>
            <w:vAlign w:val="bottom"/>
          </w:tcPr>
          <w:p w14:paraId="78478D08" w14:textId="77777777"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71" w:type="dxa"/>
            <w:shd w:val="clear" w:color="auto" w:fill="auto"/>
            <w:vAlign w:val="bottom"/>
          </w:tcPr>
          <w:p w14:paraId="6BFA6690" w14:textId="6E8FF234"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7</w:t>
            </w:r>
            <w:r w:rsidRPr="002D2F67">
              <w:rPr>
                <w:rFonts w:ascii="Arial" w:hAnsi="Arial" w:cs="Arial"/>
                <w:color w:val="000000"/>
                <w:sz w:val="20"/>
                <w:szCs w:val="20"/>
              </w:rPr>
              <w:t>,</w:t>
            </w:r>
            <w:r w:rsidR="00CD5714" w:rsidRPr="00CD5714">
              <w:rPr>
                <w:rFonts w:ascii="Arial" w:hAnsi="Arial" w:cs="Arial"/>
                <w:color w:val="000000"/>
                <w:sz w:val="20"/>
                <w:szCs w:val="20"/>
                <w:lang w:val="en-GB"/>
              </w:rPr>
              <w:t>970</w:t>
            </w:r>
            <w:r w:rsidRPr="002D2F67">
              <w:rPr>
                <w:rFonts w:ascii="Arial" w:hAnsi="Arial" w:cs="Arial"/>
                <w:color w:val="000000"/>
                <w:sz w:val="20"/>
                <w:szCs w:val="20"/>
              </w:rPr>
              <w:t>)</w:t>
            </w:r>
          </w:p>
        </w:tc>
      </w:tr>
      <w:tr w:rsidR="00AE4BD1" w:rsidRPr="002D2F67" w14:paraId="158DEEDA" w14:textId="77777777" w:rsidTr="19457625">
        <w:trPr>
          <w:trHeight w:val="239"/>
        </w:trPr>
        <w:tc>
          <w:tcPr>
            <w:tcW w:w="4505" w:type="dxa"/>
            <w:shd w:val="clear" w:color="auto" w:fill="auto"/>
            <w:vAlign w:val="bottom"/>
          </w:tcPr>
          <w:p w14:paraId="53D05EE5" w14:textId="18D48683" w:rsidR="00AE4BD1" w:rsidRPr="002D2F67" w:rsidRDefault="00AE4BD1" w:rsidP="005611FE">
            <w:pPr>
              <w:ind w:left="180"/>
              <w:rPr>
                <w:rFonts w:ascii="Arial" w:hAnsi="Arial" w:cs="Arial"/>
                <w:color w:val="000000"/>
                <w:sz w:val="20"/>
                <w:szCs w:val="20"/>
              </w:rPr>
            </w:pPr>
            <w:r w:rsidRPr="002D2F67">
              <w:rPr>
                <w:rFonts w:ascii="Arial" w:hAnsi="Arial" w:cs="Arial"/>
                <w:color w:val="000000"/>
                <w:sz w:val="20"/>
                <w:szCs w:val="20"/>
              </w:rPr>
              <w:t>Reclassificatio</w:t>
            </w:r>
            <w:r w:rsidR="00E536A7" w:rsidRPr="002D2F67">
              <w:rPr>
                <w:rFonts w:ascii="Arial" w:hAnsi="Arial" w:cs="Arial"/>
                <w:color w:val="000000"/>
                <w:sz w:val="20"/>
                <w:szCs w:val="20"/>
              </w:rPr>
              <w:t>n</w:t>
            </w:r>
          </w:p>
        </w:tc>
        <w:tc>
          <w:tcPr>
            <w:tcW w:w="1599" w:type="dxa"/>
            <w:shd w:val="clear" w:color="auto" w:fill="auto"/>
            <w:vAlign w:val="bottom"/>
          </w:tcPr>
          <w:p w14:paraId="7BD552E7" w14:textId="77777777"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99" w:type="dxa"/>
            <w:shd w:val="clear" w:color="auto" w:fill="auto"/>
            <w:vAlign w:val="bottom"/>
          </w:tcPr>
          <w:p w14:paraId="41DA5CBB" w14:textId="4B766EA7"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107</w:t>
            </w:r>
          </w:p>
        </w:tc>
        <w:tc>
          <w:tcPr>
            <w:tcW w:w="1599" w:type="dxa"/>
            <w:shd w:val="clear" w:color="auto" w:fill="auto"/>
            <w:vAlign w:val="bottom"/>
          </w:tcPr>
          <w:p w14:paraId="712452AA" w14:textId="77777777"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99" w:type="dxa"/>
            <w:shd w:val="clear" w:color="auto" w:fill="auto"/>
            <w:vAlign w:val="bottom"/>
          </w:tcPr>
          <w:p w14:paraId="198430B5" w14:textId="65634E66"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48</w:t>
            </w:r>
            <w:r w:rsidR="00AE4BD1" w:rsidRPr="002D2F67">
              <w:rPr>
                <w:rFonts w:ascii="Arial" w:hAnsi="Arial" w:cs="Arial"/>
                <w:color w:val="000000"/>
                <w:sz w:val="20"/>
                <w:szCs w:val="20"/>
              </w:rPr>
              <w:t>,</w:t>
            </w:r>
            <w:r w:rsidRPr="00CD5714">
              <w:rPr>
                <w:rFonts w:ascii="Arial" w:hAnsi="Arial" w:cs="Arial"/>
                <w:color w:val="000000"/>
                <w:sz w:val="20"/>
                <w:szCs w:val="20"/>
                <w:lang w:val="en-GB"/>
              </w:rPr>
              <w:t>373</w:t>
            </w:r>
          </w:p>
        </w:tc>
        <w:tc>
          <w:tcPr>
            <w:tcW w:w="1599" w:type="dxa"/>
            <w:shd w:val="clear" w:color="auto" w:fill="auto"/>
            <w:vAlign w:val="bottom"/>
          </w:tcPr>
          <w:p w14:paraId="7F4D476C" w14:textId="77777777"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99" w:type="dxa"/>
            <w:shd w:val="clear" w:color="auto" w:fill="auto"/>
            <w:vAlign w:val="bottom"/>
          </w:tcPr>
          <w:p w14:paraId="52B9F8DD" w14:textId="69907812"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48</w:t>
            </w:r>
            <w:r w:rsidRPr="002D2F67">
              <w:rPr>
                <w:rFonts w:ascii="Arial" w:hAnsi="Arial" w:cs="Arial"/>
                <w:color w:val="000000"/>
                <w:sz w:val="20"/>
                <w:szCs w:val="20"/>
              </w:rPr>
              <w:t>,</w:t>
            </w:r>
            <w:r w:rsidR="00CD5714" w:rsidRPr="00CD5714">
              <w:rPr>
                <w:rFonts w:ascii="Arial" w:hAnsi="Arial" w:cs="Arial"/>
                <w:color w:val="000000"/>
                <w:sz w:val="20"/>
                <w:szCs w:val="20"/>
                <w:lang w:val="en-GB"/>
              </w:rPr>
              <w:t>480</w:t>
            </w:r>
            <w:r w:rsidRPr="002D2F67">
              <w:rPr>
                <w:rFonts w:ascii="Arial" w:hAnsi="Arial" w:cs="Arial"/>
                <w:color w:val="000000"/>
                <w:sz w:val="20"/>
                <w:szCs w:val="20"/>
              </w:rPr>
              <w:t>)</w:t>
            </w:r>
          </w:p>
        </w:tc>
        <w:tc>
          <w:tcPr>
            <w:tcW w:w="1571" w:type="dxa"/>
            <w:shd w:val="clear" w:color="auto" w:fill="auto"/>
            <w:vAlign w:val="bottom"/>
          </w:tcPr>
          <w:p w14:paraId="438D0F3A" w14:textId="77777777"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p>
        </w:tc>
      </w:tr>
      <w:tr w:rsidR="00AE4BD1" w:rsidRPr="002D2F67" w14:paraId="58960847" w14:textId="77777777" w:rsidTr="19457625">
        <w:trPr>
          <w:trHeight w:val="67"/>
        </w:trPr>
        <w:tc>
          <w:tcPr>
            <w:tcW w:w="4505" w:type="dxa"/>
            <w:shd w:val="clear" w:color="auto" w:fill="auto"/>
            <w:vAlign w:val="bottom"/>
          </w:tcPr>
          <w:p w14:paraId="0110DF51" w14:textId="77777777" w:rsidR="00AE4BD1" w:rsidRPr="002D2F67" w:rsidRDefault="00AE4BD1" w:rsidP="005611FE">
            <w:pPr>
              <w:ind w:left="180"/>
              <w:rPr>
                <w:rFonts w:ascii="Arial" w:hAnsi="Arial" w:cs="Arial"/>
                <w:color w:val="000000"/>
                <w:sz w:val="20"/>
                <w:szCs w:val="20"/>
              </w:rPr>
            </w:pPr>
            <w:r w:rsidRPr="002D2F67">
              <w:rPr>
                <w:rFonts w:ascii="Arial" w:hAnsi="Arial" w:cs="Arial"/>
                <w:color w:val="000000"/>
                <w:sz w:val="20"/>
                <w:szCs w:val="20"/>
              </w:rPr>
              <w:t xml:space="preserve">Depreciation charged </w:t>
            </w:r>
          </w:p>
        </w:tc>
        <w:tc>
          <w:tcPr>
            <w:tcW w:w="1599" w:type="dxa"/>
            <w:tcBorders>
              <w:bottom w:val="single" w:sz="4" w:space="0" w:color="auto"/>
            </w:tcBorders>
            <w:shd w:val="clear" w:color="auto" w:fill="auto"/>
            <w:vAlign w:val="bottom"/>
          </w:tcPr>
          <w:p w14:paraId="7F53C9CA" w14:textId="77777777"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99" w:type="dxa"/>
            <w:tcBorders>
              <w:bottom w:val="single" w:sz="4" w:space="0" w:color="auto"/>
            </w:tcBorders>
            <w:shd w:val="clear" w:color="auto" w:fill="auto"/>
            <w:vAlign w:val="bottom"/>
          </w:tcPr>
          <w:p w14:paraId="4C714065" w14:textId="561E7A67"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8</w:t>
            </w:r>
            <w:r w:rsidRPr="002D2F67">
              <w:rPr>
                <w:rFonts w:ascii="Arial" w:hAnsi="Arial" w:cs="Arial"/>
                <w:color w:val="000000"/>
                <w:sz w:val="20"/>
                <w:szCs w:val="20"/>
              </w:rPr>
              <w:t>,</w:t>
            </w:r>
            <w:r w:rsidR="00CD5714" w:rsidRPr="00CD5714">
              <w:rPr>
                <w:rFonts w:ascii="Arial" w:hAnsi="Arial" w:cs="Arial"/>
                <w:color w:val="000000"/>
                <w:sz w:val="20"/>
                <w:szCs w:val="20"/>
                <w:lang w:val="en-GB"/>
              </w:rPr>
              <w:t>263</w:t>
            </w:r>
            <w:r w:rsidRPr="002D2F67">
              <w:rPr>
                <w:rFonts w:ascii="Arial" w:hAnsi="Arial" w:cs="Arial"/>
                <w:color w:val="000000"/>
                <w:sz w:val="20"/>
                <w:szCs w:val="20"/>
              </w:rPr>
              <w:t>)</w:t>
            </w:r>
          </w:p>
        </w:tc>
        <w:tc>
          <w:tcPr>
            <w:tcW w:w="1599" w:type="dxa"/>
            <w:tcBorders>
              <w:bottom w:val="single" w:sz="4" w:space="0" w:color="auto"/>
            </w:tcBorders>
            <w:shd w:val="clear" w:color="auto" w:fill="auto"/>
          </w:tcPr>
          <w:p w14:paraId="2FC04B5E" w14:textId="4D5AEBD1"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18</w:t>
            </w:r>
            <w:r w:rsidRPr="002D2F67">
              <w:rPr>
                <w:rFonts w:ascii="Arial" w:hAnsi="Arial" w:cs="Arial"/>
                <w:color w:val="000000"/>
                <w:sz w:val="20"/>
                <w:szCs w:val="20"/>
              </w:rPr>
              <w:t>,</w:t>
            </w:r>
            <w:r w:rsidR="00CD5714" w:rsidRPr="00CD5714">
              <w:rPr>
                <w:rFonts w:ascii="Arial" w:hAnsi="Arial" w:cs="Arial"/>
                <w:color w:val="000000"/>
                <w:sz w:val="20"/>
                <w:szCs w:val="20"/>
                <w:lang w:val="en-GB"/>
              </w:rPr>
              <w:t>022</w:t>
            </w:r>
            <w:r w:rsidRPr="002D2F67">
              <w:rPr>
                <w:rFonts w:ascii="Arial" w:hAnsi="Arial" w:cs="Arial"/>
                <w:color w:val="000000"/>
                <w:sz w:val="20"/>
                <w:szCs w:val="20"/>
              </w:rPr>
              <w:t>)</w:t>
            </w:r>
          </w:p>
        </w:tc>
        <w:tc>
          <w:tcPr>
            <w:tcW w:w="1599" w:type="dxa"/>
            <w:tcBorders>
              <w:bottom w:val="single" w:sz="4" w:space="0" w:color="auto"/>
            </w:tcBorders>
            <w:shd w:val="clear" w:color="auto" w:fill="auto"/>
          </w:tcPr>
          <w:p w14:paraId="7F182578" w14:textId="3B8FFAD2"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716</w:t>
            </w:r>
            <w:r w:rsidRPr="002D2F67">
              <w:rPr>
                <w:rFonts w:ascii="Arial" w:hAnsi="Arial" w:cs="Arial"/>
                <w:color w:val="000000"/>
                <w:sz w:val="20"/>
                <w:szCs w:val="20"/>
              </w:rPr>
              <w:t>,</w:t>
            </w:r>
            <w:r w:rsidR="00CD5714" w:rsidRPr="00CD5714">
              <w:rPr>
                <w:rFonts w:ascii="Arial" w:hAnsi="Arial" w:cs="Arial"/>
                <w:color w:val="000000"/>
                <w:sz w:val="20"/>
                <w:szCs w:val="20"/>
                <w:lang w:val="en-GB"/>
              </w:rPr>
              <w:t>787</w:t>
            </w:r>
            <w:r w:rsidRPr="002D2F67">
              <w:rPr>
                <w:rFonts w:ascii="Arial" w:hAnsi="Arial" w:cs="Arial"/>
                <w:color w:val="000000"/>
                <w:sz w:val="20"/>
                <w:szCs w:val="20"/>
              </w:rPr>
              <w:t>)</w:t>
            </w:r>
          </w:p>
        </w:tc>
        <w:tc>
          <w:tcPr>
            <w:tcW w:w="1599" w:type="dxa"/>
            <w:tcBorders>
              <w:bottom w:val="single" w:sz="4" w:space="0" w:color="auto"/>
            </w:tcBorders>
            <w:shd w:val="clear" w:color="auto" w:fill="auto"/>
          </w:tcPr>
          <w:p w14:paraId="5C626201" w14:textId="29191AC8"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9</w:t>
            </w:r>
            <w:r w:rsidRPr="002D2F67">
              <w:rPr>
                <w:rFonts w:ascii="Arial" w:hAnsi="Arial" w:cs="Arial"/>
                <w:color w:val="000000"/>
                <w:sz w:val="20"/>
                <w:szCs w:val="20"/>
              </w:rPr>
              <w:t>,</w:t>
            </w:r>
            <w:r w:rsidR="00CD5714" w:rsidRPr="00CD5714">
              <w:rPr>
                <w:rFonts w:ascii="Arial" w:hAnsi="Arial" w:cs="Arial"/>
                <w:color w:val="000000"/>
                <w:sz w:val="20"/>
                <w:szCs w:val="20"/>
                <w:lang w:val="en-GB"/>
              </w:rPr>
              <w:t>006</w:t>
            </w:r>
            <w:r w:rsidRPr="002D2F67">
              <w:rPr>
                <w:rFonts w:ascii="Arial" w:hAnsi="Arial" w:cs="Arial"/>
                <w:color w:val="000000"/>
                <w:sz w:val="20"/>
                <w:szCs w:val="20"/>
              </w:rPr>
              <w:t>)</w:t>
            </w:r>
          </w:p>
        </w:tc>
        <w:tc>
          <w:tcPr>
            <w:tcW w:w="1599" w:type="dxa"/>
            <w:tcBorders>
              <w:bottom w:val="single" w:sz="4" w:space="0" w:color="auto"/>
            </w:tcBorders>
            <w:shd w:val="clear" w:color="auto" w:fill="auto"/>
          </w:tcPr>
          <w:p w14:paraId="4556B27B" w14:textId="77777777"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71" w:type="dxa"/>
            <w:tcBorders>
              <w:bottom w:val="single" w:sz="4" w:space="0" w:color="auto"/>
            </w:tcBorders>
            <w:shd w:val="clear" w:color="auto" w:fill="auto"/>
          </w:tcPr>
          <w:p w14:paraId="2A09E4AA" w14:textId="24005725"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752</w:t>
            </w:r>
            <w:r w:rsidRPr="002D2F67">
              <w:rPr>
                <w:rFonts w:ascii="Arial" w:hAnsi="Arial" w:cs="Arial"/>
                <w:color w:val="000000"/>
                <w:sz w:val="20"/>
                <w:szCs w:val="20"/>
              </w:rPr>
              <w:t>,</w:t>
            </w:r>
            <w:r w:rsidR="00CD5714" w:rsidRPr="00CD5714">
              <w:rPr>
                <w:rFonts w:ascii="Arial" w:hAnsi="Arial" w:cs="Arial"/>
                <w:color w:val="000000"/>
                <w:sz w:val="20"/>
                <w:szCs w:val="20"/>
                <w:lang w:val="en-GB"/>
              </w:rPr>
              <w:t>078</w:t>
            </w:r>
            <w:r w:rsidRPr="002D2F67">
              <w:rPr>
                <w:rFonts w:ascii="Arial" w:hAnsi="Arial" w:cs="Arial"/>
                <w:color w:val="000000"/>
                <w:sz w:val="20"/>
                <w:szCs w:val="20"/>
              </w:rPr>
              <w:t>)</w:t>
            </w:r>
          </w:p>
        </w:tc>
      </w:tr>
      <w:tr w:rsidR="00AE4BD1" w:rsidRPr="002D2F67" w14:paraId="0161A3AA" w14:textId="77777777" w:rsidTr="19457625">
        <w:trPr>
          <w:trHeight w:val="139"/>
        </w:trPr>
        <w:tc>
          <w:tcPr>
            <w:tcW w:w="4505" w:type="dxa"/>
            <w:shd w:val="clear" w:color="auto" w:fill="auto"/>
            <w:vAlign w:val="bottom"/>
          </w:tcPr>
          <w:p w14:paraId="0EC86051" w14:textId="77777777" w:rsidR="00AE4BD1" w:rsidRPr="002D2F67" w:rsidRDefault="00AE4BD1" w:rsidP="005611FE">
            <w:pPr>
              <w:ind w:left="180"/>
              <w:rPr>
                <w:rFonts w:ascii="Arial" w:hAnsi="Arial" w:cs="Arial"/>
                <w:b/>
                <w:bCs/>
                <w:color w:val="000000"/>
                <w:sz w:val="20"/>
                <w:szCs w:val="20"/>
              </w:rPr>
            </w:pPr>
          </w:p>
        </w:tc>
        <w:tc>
          <w:tcPr>
            <w:tcW w:w="1599" w:type="dxa"/>
            <w:tcBorders>
              <w:top w:val="single" w:sz="4" w:space="0" w:color="auto"/>
            </w:tcBorders>
            <w:shd w:val="clear" w:color="auto" w:fill="auto"/>
            <w:vAlign w:val="bottom"/>
          </w:tcPr>
          <w:p w14:paraId="3823B2B5"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4C8B94D5"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21D9895F"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3177BAC2"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5944759F"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32614A1A" w14:textId="77777777" w:rsidR="00AE4BD1" w:rsidRPr="002D2F67" w:rsidRDefault="00AE4BD1" w:rsidP="005611FE">
            <w:pPr>
              <w:ind w:right="-72"/>
              <w:jc w:val="right"/>
              <w:rPr>
                <w:rFonts w:ascii="Arial" w:hAnsi="Arial" w:cs="Arial"/>
                <w:color w:val="000000"/>
                <w:sz w:val="20"/>
                <w:szCs w:val="20"/>
              </w:rPr>
            </w:pPr>
          </w:p>
        </w:tc>
        <w:tc>
          <w:tcPr>
            <w:tcW w:w="1571" w:type="dxa"/>
            <w:tcBorders>
              <w:top w:val="single" w:sz="4" w:space="0" w:color="auto"/>
            </w:tcBorders>
            <w:shd w:val="clear" w:color="auto" w:fill="auto"/>
            <w:vAlign w:val="bottom"/>
          </w:tcPr>
          <w:p w14:paraId="59648C27" w14:textId="77777777" w:rsidR="00AE4BD1" w:rsidRPr="002D2F67" w:rsidRDefault="00AE4BD1" w:rsidP="005611FE">
            <w:pPr>
              <w:ind w:right="-72"/>
              <w:jc w:val="right"/>
              <w:rPr>
                <w:rFonts w:ascii="Arial" w:hAnsi="Arial" w:cs="Arial"/>
                <w:color w:val="000000"/>
                <w:sz w:val="20"/>
                <w:szCs w:val="20"/>
              </w:rPr>
            </w:pPr>
          </w:p>
        </w:tc>
      </w:tr>
      <w:tr w:rsidR="00AE4BD1" w:rsidRPr="002D2F67" w14:paraId="134174B1" w14:textId="77777777" w:rsidTr="19457625">
        <w:trPr>
          <w:trHeight w:val="239"/>
        </w:trPr>
        <w:tc>
          <w:tcPr>
            <w:tcW w:w="4505" w:type="dxa"/>
            <w:shd w:val="clear" w:color="auto" w:fill="auto"/>
            <w:vAlign w:val="bottom"/>
          </w:tcPr>
          <w:p w14:paraId="19D06F07" w14:textId="77777777" w:rsidR="00AE4BD1" w:rsidRPr="002D2F67" w:rsidRDefault="00AE4BD1" w:rsidP="005611FE">
            <w:pPr>
              <w:ind w:left="180"/>
              <w:rPr>
                <w:rFonts w:ascii="Arial" w:hAnsi="Arial" w:cs="Arial"/>
                <w:color w:val="000000"/>
                <w:sz w:val="20"/>
                <w:szCs w:val="20"/>
              </w:rPr>
            </w:pPr>
            <w:r w:rsidRPr="002D2F67">
              <w:rPr>
                <w:rFonts w:ascii="Arial" w:hAnsi="Arial" w:cs="Arial"/>
                <w:color w:val="000000"/>
                <w:sz w:val="20"/>
                <w:szCs w:val="20"/>
              </w:rPr>
              <w:t>Closing net book value</w:t>
            </w:r>
          </w:p>
        </w:tc>
        <w:tc>
          <w:tcPr>
            <w:tcW w:w="1599" w:type="dxa"/>
            <w:tcBorders>
              <w:bottom w:val="single" w:sz="4" w:space="0" w:color="auto"/>
            </w:tcBorders>
            <w:shd w:val="clear" w:color="auto" w:fill="auto"/>
          </w:tcPr>
          <w:p w14:paraId="6C4010D8" w14:textId="14EAAF2F"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380</w:t>
            </w:r>
            <w:r w:rsidR="00AE4BD1" w:rsidRPr="002D2F67">
              <w:rPr>
                <w:rFonts w:ascii="Arial" w:hAnsi="Arial" w:cs="Arial"/>
                <w:color w:val="000000"/>
                <w:sz w:val="20"/>
                <w:szCs w:val="20"/>
              </w:rPr>
              <w:t>,</w:t>
            </w:r>
            <w:r w:rsidRPr="00CD5714">
              <w:rPr>
                <w:rFonts w:ascii="Arial" w:hAnsi="Arial" w:cs="Arial"/>
                <w:color w:val="000000"/>
                <w:sz w:val="20"/>
                <w:szCs w:val="20"/>
                <w:lang w:val="en-GB"/>
              </w:rPr>
              <w:t>481</w:t>
            </w:r>
          </w:p>
        </w:tc>
        <w:tc>
          <w:tcPr>
            <w:tcW w:w="1599" w:type="dxa"/>
            <w:tcBorders>
              <w:bottom w:val="single" w:sz="4" w:space="0" w:color="auto"/>
            </w:tcBorders>
            <w:shd w:val="clear" w:color="auto" w:fill="auto"/>
          </w:tcPr>
          <w:p w14:paraId="70D327BD" w14:textId="63C43832"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241</w:t>
            </w:r>
            <w:r w:rsidR="00AE4BD1" w:rsidRPr="002D2F67">
              <w:rPr>
                <w:rFonts w:ascii="Arial" w:hAnsi="Arial" w:cs="Arial"/>
                <w:color w:val="000000"/>
                <w:sz w:val="20"/>
                <w:szCs w:val="20"/>
              </w:rPr>
              <w:t>,</w:t>
            </w:r>
            <w:r w:rsidRPr="00CD5714">
              <w:rPr>
                <w:rFonts w:ascii="Arial" w:hAnsi="Arial" w:cs="Arial"/>
                <w:color w:val="000000"/>
                <w:sz w:val="20"/>
                <w:szCs w:val="20"/>
                <w:lang w:val="en-GB"/>
              </w:rPr>
              <w:t>631</w:t>
            </w:r>
          </w:p>
        </w:tc>
        <w:tc>
          <w:tcPr>
            <w:tcW w:w="1599" w:type="dxa"/>
            <w:tcBorders>
              <w:bottom w:val="single" w:sz="4" w:space="0" w:color="auto"/>
            </w:tcBorders>
            <w:shd w:val="clear" w:color="auto" w:fill="auto"/>
          </w:tcPr>
          <w:p w14:paraId="6FA86A3B" w14:textId="06713CF2"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91</w:t>
            </w:r>
            <w:r w:rsidR="00AE4BD1" w:rsidRPr="002D2F67">
              <w:rPr>
                <w:rFonts w:ascii="Arial" w:hAnsi="Arial" w:cs="Arial"/>
                <w:color w:val="000000"/>
                <w:sz w:val="20"/>
                <w:szCs w:val="20"/>
              </w:rPr>
              <w:t>,</w:t>
            </w:r>
            <w:r w:rsidRPr="00CD5714">
              <w:rPr>
                <w:rFonts w:ascii="Arial" w:hAnsi="Arial" w:cs="Arial"/>
                <w:color w:val="000000"/>
                <w:sz w:val="20"/>
                <w:szCs w:val="20"/>
                <w:lang w:val="en-GB"/>
              </w:rPr>
              <w:t>704</w:t>
            </w:r>
          </w:p>
        </w:tc>
        <w:tc>
          <w:tcPr>
            <w:tcW w:w="1599" w:type="dxa"/>
            <w:tcBorders>
              <w:bottom w:val="single" w:sz="4" w:space="0" w:color="auto"/>
            </w:tcBorders>
            <w:shd w:val="clear" w:color="auto" w:fill="auto"/>
          </w:tcPr>
          <w:p w14:paraId="2B003AEB" w14:textId="626B039C"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10</w:t>
            </w:r>
            <w:r w:rsidR="00AE4BD1" w:rsidRPr="002D2F67">
              <w:rPr>
                <w:rFonts w:ascii="Arial" w:hAnsi="Arial" w:cs="Arial"/>
                <w:color w:val="000000"/>
                <w:sz w:val="20"/>
                <w:szCs w:val="20"/>
              </w:rPr>
              <w:t>,</w:t>
            </w:r>
            <w:r w:rsidRPr="00CD5714">
              <w:rPr>
                <w:rFonts w:ascii="Arial" w:hAnsi="Arial" w:cs="Arial"/>
                <w:color w:val="000000"/>
                <w:sz w:val="20"/>
                <w:szCs w:val="20"/>
                <w:lang w:val="en-GB"/>
              </w:rPr>
              <w:t>372</w:t>
            </w:r>
            <w:r w:rsidR="00AE4BD1" w:rsidRPr="002D2F67">
              <w:rPr>
                <w:rFonts w:ascii="Arial" w:hAnsi="Arial" w:cs="Arial"/>
                <w:color w:val="000000"/>
                <w:sz w:val="20"/>
                <w:szCs w:val="20"/>
              </w:rPr>
              <w:t>,</w:t>
            </w:r>
            <w:r w:rsidRPr="00CD5714">
              <w:rPr>
                <w:rFonts w:ascii="Arial" w:hAnsi="Arial" w:cs="Arial"/>
                <w:color w:val="000000"/>
                <w:sz w:val="20"/>
                <w:szCs w:val="20"/>
                <w:lang w:val="en-GB"/>
              </w:rPr>
              <w:t>051</w:t>
            </w:r>
          </w:p>
        </w:tc>
        <w:tc>
          <w:tcPr>
            <w:tcW w:w="1599" w:type="dxa"/>
            <w:tcBorders>
              <w:bottom w:val="single" w:sz="4" w:space="0" w:color="auto"/>
            </w:tcBorders>
            <w:shd w:val="clear" w:color="auto" w:fill="auto"/>
          </w:tcPr>
          <w:p w14:paraId="42E108FC" w14:textId="64EC1E57"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22</w:t>
            </w:r>
            <w:r w:rsidR="00AE4BD1" w:rsidRPr="002D2F67">
              <w:rPr>
                <w:rFonts w:ascii="Arial" w:hAnsi="Arial" w:cs="Arial"/>
                <w:color w:val="000000"/>
                <w:sz w:val="20"/>
                <w:szCs w:val="20"/>
              </w:rPr>
              <w:t>,</w:t>
            </w:r>
            <w:r w:rsidRPr="00CD5714">
              <w:rPr>
                <w:rFonts w:ascii="Arial" w:hAnsi="Arial" w:cs="Arial"/>
                <w:color w:val="000000"/>
                <w:sz w:val="20"/>
                <w:szCs w:val="20"/>
                <w:lang w:val="en-GB"/>
              </w:rPr>
              <w:t>120</w:t>
            </w:r>
          </w:p>
        </w:tc>
        <w:tc>
          <w:tcPr>
            <w:tcW w:w="1599" w:type="dxa"/>
            <w:tcBorders>
              <w:bottom w:val="single" w:sz="4" w:space="0" w:color="auto"/>
            </w:tcBorders>
            <w:shd w:val="clear" w:color="auto" w:fill="auto"/>
          </w:tcPr>
          <w:p w14:paraId="4E228D8D" w14:textId="74CF62D5"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152</w:t>
            </w:r>
            <w:r w:rsidR="00AE4BD1" w:rsidRPr="002D2F67">
              <w:rPr>
                <w:rFonts w:ascii="Arial" w:hAnsi="Arial" w:cs="Arial"/>
                <w:color w:val="000000"/>
                <w:sz w:val="20"/>
                <w:szCs w:val="20"/>
              </w:rPr>
              <w:t>,</w:t>
            </w:r>
            <w:r w:rsidRPr="00CD5714">
              <w:rPr>
                <w:rFonts w:ascii="Arial" w:hAnsi="Arial" w:cs="Arial"/>
                <w:color w:val="000000"/>
                <w:sz w:val="20"/>
                <w:szCs w:val="20"/>
                <w:lang w:val="en-GB"/>
              </w:rPr>
              <w:t>014</w:t>
            </w:r>
          </w:p>
        </w:tc>
        <w:tc>
          <w:tcPr>
            <w:tcW w:w="1571" w:type="dxa"/>
            <w:tcBorders>
              <w:bottom w:val="single" w:sz="4" w:space="0" w:color="auto"/>
            </w:tcBorders>
            <w:shd w:val="clear" w:color="auto" w:fill="auto"/>
          </w:tcPr>
          <w:p w14:paraId="1E9D4A8B" w14:textId="7532F6A1"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11</w:t>
            </w:r>
            <w:r w:rsidR="00AE4BD1" w:rsidRPr="002D2F67">
              <w:rPr>
                <w:rFonts w:ascii="Arial" w:hAnsi="Arial" w:cs="Arial"/>
                <w:color w:val="000000"/>
                <w:sz w:val="20"/>
                <w:szCs w:val="20"/>
              </w:rPr>
              <w:t>,</w:t>
            </w:r>
            <w:r w:rsidRPr="00CD5714">
              <w:rPr>
                <w:rFonts w:ascii="Arial" w:hAnsi="Arial" w:cs="Arial"/>
                <w:color w:val="000000"/>
                <w:sz w:val="20"/>
                <w:szCs w:val="20"/>
                <w:lang w:val="en-GB"/>
              </w:rPr>
              <w:t>260</w:t>
            </w:r>
            <w:r w:rsidR="00AE4BD1" w:rsidRPr="002D2F67">
              <w:rPr>
                <w:rFonts w:ascii="Arial" w:hAnsi="Arial" w:cs="Arial"/>
                <w:color w:val="000000"/>
                <w:sz w:val="20"/>
                <w:szCs w:val="20"/>
              </w:rPr>
              <w:t>,</w:t>
            </w:r>
            <w:r w:rsidRPr="00CD5714">
              <w:rPr>
                <w:rFonts w:ascii="Arial" w:hAnsi="Arial" w:cs="Arial"/>
                <w:color w:val="000000"/>
                <w:sz w:val="20"/>
                <w:szCs w:val="20"/>
                <w:lang w:val="en-GB"/>
              </w:rPr>
              <w:t>001</w:t>
            </w:r>
          </w:p>
        </w:tc>
      </w:tr>
      <w:tr w:rsidR="00AE4BD1" w:rsidRPr="002D2F67" w14:paraId="5ECABD34" w14:textId="77777777" w:rsidTr="19457625">
        <w:trPr>
          <w:trHeight w:val="239"/>
        </w:trPr>
        <w:tc>
          <w:tcPr>
            <w:tcW w:w="4505" w:type="dxa"/>
            <w:shd w:val="clear" w:color="auto" w:fill="auto"/>
            <w:vAlign w:val="bottom"/>
          </w:tcPr>
          <w:p w14:paraId="512654A2" w14:textId="77777777" w:rsidR="00AE4BD1" w:rsidRPr="002D2F67" w:rsidRDefault="00AE4BD1" w:rsidP="005611FE">
            <w:pPr>
              <w:ind w:left="180"/>
              <w:rPr>
                <w:rFonts w:ascii="Arial" w:hAnsi="Arial" w:cs="Arial"/>
                <w:b/>
                <w:bCs/>
                <w:color w:val="000000"/>
                <w:sz w:val="20"/>
                <w:szCs w:val="20"/>
              </w:rPr>
            </w:pPr>
          </w:p>
        </w:tc>
        <w:tc>
          <w:tcPr>
            <w:tcW w:w="1599" w:type="dxa"/>
            <w:tcBorders>
              <w:top w:val="single" w:sz="4" w:space="0" w:color="auto"/>
            </w:tcBorders>
            <w:shd w:val="clear" w:color="auto" w:fill="auto"/>
            <w:vAlign w:val="bottom"/>
          </w:tcPr>
          <w:p w14:paraId="4689BCBE"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2D1AA276"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71D74FBF"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6C1B4C25"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6E4507B9"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69462DC7" w14:textId="77777777" w:rsidR="00AE4BD1" w:rsidRPr="002D2F67" w:rsidRDefault="00AE4BD1" w:rsidP="005611FE">
            <w:pPr>
              <w:ind w:right="-72"/>
              <w:jc w:val="right"/>
              <w:rPr>
                <w:rFonts w:ascii="Arial" w:hAnsi="Arial" w:cs="Arial"/>
                <w:color w:val="000000"/>
                <w:sz w:val="20"/>
                <w:szCs w:val="20"/>
              </w:rPr>
            </w:pPr>
          </w:p>
        </w:tc>
        <w:tc>
          <w:tcPr>
            <w:tcW w:w="1571" w:type="dxa"/>
            <w:tcBorders>
              <w:top w:val="single" w:sz="4" w:space="0" w:color="auto"/>
            </w:tcBorders>
            <w:shd w:val="clear" w:color="auto" w:fill="auto"/>
            <w:vAlign w:val="bottom"/>
          </w:tcPr>
          <w:p w14:paraId="445728F3" w14:textId="77777777" w:rsidR="00AE4BD1" w:rsidRPr="002D2F67" w:rsidRDefault="00AE4BD1" w:rsidP="005611FE">
            <w:pPr>
              <w:ind w:right="-72"/>
              <w:jc w:val="right"/>
              <w:rPr>
                <w:rFonts w:ascii="Arial" w:hAnsi="Arial" w:cs="Arial"/>
                <w:color w:val="000000"/>
                <w:sz w:val="20"/>
                <w:szCs w:val="20"/>
              </w:rPr>
            </w:pPr>
          </w:p>
        </w:tc>
      </w:tr>
      <w:tr w:rsidR="00AE4BD1" w:rsidRPr="002D2F67" w14:paraId="0A46BC98" w14:textId="77777777" w:rsidTr="19457625">
        <w:trPr>
          <w:trHeight w:val="239"/>
        </w:trPr>
        <w:tc>
          <w:tcPr>
            <w:tcW w:w="4505" w:type="dxa"/>
            <w:shd w:val="clear" w:color="auto" w:fill="auto"/>
            <w:vAlign w:val="bottom"/>
          </w:tcPr>
          <w:p w14:paraId="22C9664F" w14:textId="4A686D8A" w:rsidR="00AE4BD1" w:rsidRPr="002D2F67" w:rsidRDefault="00AE4BD1" w:rsidP="005611FE">
            <w:pPr>
              <w:ind w:left="180"/>
              <w:rPr>
                <w:rFonts w:ascii="Arial" w:hAnsi="Arial" w:cs="Arial"/>
                <w:b/>
                <w:bCs/>
                <w:color w:val="000000"/>
                <w:sz w:val="20"/>
                <w:szCs w:val="20"/>
              </w:rPr>
            </w:pPr>
            <w:r w:rsidRPr="002D2F67">
              <w:rPr>
                <w:rFonts w:ascii="Arial" w:hAnsi="Arial" w:cs="Arial"/>
                <w:b/>
                <w:bCs/>
                <w:color w:val="000000"/>
                <w:sz w:val="20"/>
                <w:szCs w:val="20"/>
              </w:rPr>
              <w:t xml:space="preserve">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 </w:t>
            </w:r>
            <w:r w:rsidR="00CD5714" w:rsidRPr="00CD5714">
              <w:rPr>
                <w:rFonts w:ascii="Arial" w:hAnsi="Arial" w:cs="Arial"/>
                <w:b/>
                <w:bCs/>
                <w:color w:val="000000"/>
                <w:sz w:val="20"/>
                <w:szCs w:val="20"/>
                <w:lang w:val="en-GB"/>
              </w:rPr>
              <w:t>2023</w:t>
            </w:r>
          </w:p>
        </w:tc>
        <w:tc>
          <w:tcPr>
            <w:tcW w:w="1599" w:type="dxa"/>
            <w:shd w:val="clear" w:color="auto" w:fill="auto"/>
            <w:vAlign w:val="bottom"/>
          </w:tcPr>
          <w:p w14:paraId="2366A630" w14:textId="77777777" w:rsidR="00AE4BD1" w:rsidRPr="002D2F67" w:rsidRDefault="00AE4BD1" w:rsidP="005611FE">
            <w:pPr>
              <w:ind w:right="-72"/>
              <w:jc w:val="right"/>
              <w:rPr>
                <w:rFonts w:ascii="Arial" w:hAnsi="Arial" w:cs="Arial"/>
                <w:color w:val="000000"/>
                <w:sz w:val="20"/>
                <w:szCs w:val="20"/>
              </w:rPr>
            </w:pPr>
          </w:p>
        </w:tc>
        <w:tc>
          <w:tcPr>
            <w:tcW w:w="1599" w:type="dxa"/>
            <w:shd w:val="clear" w:color="auto" w:fill="auto"/>
            <w:vAlign w:val="bottom"/>
          </w:tcPr>
          <w:p w14:paraId="34024FD6" w14:textId="77777777" w:rsidR="00AE4BD1" w:rsidRPr="002D2F67" w:rsidRDefault="00AE4BD1" w:rsidP="005611FE">
            <w:pPr>
              <w:ind w:right="-72"/>
              <w:jc w:val="right"/>
              <w:rPr>
                <w:rFonts w:ascii="Arial" w:hAnsi="Arial" w:cs="Arial"/>
                <w:color w:val="000000"/>
                <w:sz w:val="20"/>
                <w:szCs w:val="20"/>
              </w:rPr>
            </w:pPr>
          </w:p>
        </w:tc>
        <w:tc>
          <w:tcPr>
            <w:tcW w:w="1599" w:type="dxa"/>
            <w:shd w:val="clear" w:color="auto" w:fill="auto"/>
            <w:vAlign w:val="bottom"/>
          </w:tcPr>
          <w:p w14:paraId="57BD9AC2" w14:textId="77777777" w:rsidR="00AE4BD1" w:rsidRPr="002D2F67" w:rsidRDefault="00AE4BD1" w:rsidP="005611FE">
            <w:pPr>
              <w:ind w:right="-72"/>
              <w:jc w:val="right"/>
              <w:rPr>
                <w:rFonts w:ascii="Arial" w:hAnsi="Arial" w:cs="Arial"/>
                <w:color w:val="000000"/>
                <w:sz w:val="20"/>
                <w:szCs w:val="20"/>
              </w:rPr>
            </w:pPr>
          </w:p>
        </w:tc>
        <w:tc>
          <w:tcPr>
            <w:tcW w:w="1599" w:type="dxa"/>
            <w:shd w:val="clear" w:color="auto" w:fill="auto"/>
            <w:vAlign w:val="bottom"/>
          </w:tcPr>
          <w:p w14:paraId="1FE6F266" w14:textId="77777777" w:rsidR="00AE4BD1" w:rsidRPr="002D2F67" w:rsidRDefault="00AE4BD1" w:rsidP="005611FE">
            <w:pPr>
              <w:ind w:right="-72"/>
              <w:jc w:val="right"/>
              <w:rPr>
                <w:rFonts w:ascii="Arial" w:hAnsi="Arial" w:cs="Arial"/>
                <w:color w:val="000000"/>
                <w:sz w:val="20"/>
                <w:szCs w:val="20"/>
              </w:rPr>
            </w:pPr>
          </w:p>
        </w:tc>
        <w:tc>
          <w:tcPr>
            <w:tcW w:w="1599" w:type="dxa"/>
            <w:shd w:val="clear" w:color="auto" w:fill="auto"/>
            <w:vAlign w:val="bottom"/>
          </w:tcPr>
          <w:p w14:paraId="79EDF86F" w14:textId="77777777" w:rsidR="00AE4BD1" w:rsidRPr="002D2F67" w:rsidRDefault="00AE4BD1" w:rsidP="005611FE">
            <w:pPr>
              <w:ind w:right="-72"/>
              <w:jc w:val="right"/>
              <w:rPr>
                <w:rFonts w:ascii="Arial" w:hAnsi="Arial" w:cs="Arial"/>
                <w:color w:val="000000"/>
                <w:sz w:val="20"/>
                <w:szCs w:val="20"/>
              </w:rPr>
            </w:pPr>
          </w:p>
        </w:tc>
        <w:tc>
          <w:tcPr>
            <w:tcW w:w="1599" w:type="dxa"/>
            <w:shd w:val="clear" w:color="auto" w:fill="auto"/>
            <w:vAlign w:val="bottom"/>
          </w:tcPr>
          <w:p w14:paraId="3960C22C" w14:textId="77777777" w:rsidR="00AE4BD1" w:rsidRPr="002D2F67" w:rsidRDefault="00AE4BD1" w:rsidP="005611FE">
            <w:pPr>
              <w:ind w:right="-72"/>
              <w:jc w:val="right"/>
              <w:rPr>
                <w:rFonts w:ascii="Arial" w:hAnsi="Arial" w:cs="Arial"/>
                <w:color w:val="000000"/>
                <w:sz w:val="20"/>
                <w:szCs w:val="20"/>
              </w:rPr>
            </w:pPr>
          </w:p>
        </w:tc>
        <w:tc>
          <w:tcPr>
            <w:tcW w:w="1571" w:type="dxa"/>
            <w:shd w:val="clear" w:color="auto" w:fill="auto"/>
            <w:vAlign w:val="bottom"/>
          </w:tcPr>
          <w:p w14:paraId="5005D199" w14:textId="77777777" w:rsidR="00AE4BD1" w:rsidRPr="002D2F67" w:rsidRDefault="00AE4BD1" w:rsidP="005611FE">
            <w:pPr>
              <w:ind w:right="-72"/>
              <w:jc w:val="right"/>
              <w:rPr>
                <w:rFonts w:ascii="Arial" w:hAnsi="Arial" w:cs="Arial"/>
                <w:color w:val="000000"/>
                <w:sz w:val="20"/>
                <w:szCs w:val="20"/>
              </w:rPr>
            </w:pPr>
          </w:p>
        </w:tc>
      </w:tr>
      <w:tr w:rsidR="00AE4BD1" w:rsidRPr="002D2F67" w14:paraId="0FFE9D3C" w14:textId="77777777" w:rsidTr="19457625">
        <w:trPr>
          <w:trHeight w:val="239"/>
        </w:trPr>
        <w:tc>
          <w:tcPr>
            <w:tcW w:w="4505" w:type="dxa"/>
            <w:shd w:val="clear" w:color="auto" w:fill="auto"/>
            <w:vAlign w:val="bottom"/>
          </w:tcPr>
          <w:p w14:paraId="56BDB6CF" w14:textId="77777777" w:rsidR="00AE4BD1" w:rsidRPr="002D2F67" w:rsidRDefault="00AE4BD1" w:rsidP="005611FE">
            <w:pPr>
              <w:ind w:left="180"/>
              <w:rPr>
                <w:rFonts w:ascii="Arial" w:hAnsi="Arial" w:cs="Arial"/>
                <w:color w:val="000000"/>
                <w:sz w:val="20"/>
                <w:szCs w:val="20"/>
              </w:rPr>
            </w:pPr>
            <w:r w:rsidRPr="002D2F67">
              <w:rPr>
                <w:rFonts w:ascii="Arial" w:hAnsi="Arial" w:cs="Arial"/>
                <w:color w:val="000000"/>
                <w:sz w:val="20"/>
                <w:szCs w:val="20"/>
              </w:rPr>
              <w:t>Cost</w:t>
            </w:r>
          </w:p>
        </w:tc>
        <w:tc>
          <w:tcPr>
            <w:tcW w:w="1599" w:type="dxa"/>
            <w:shd w:val="clear" w:color="auto" w:fill="auto"/>
            <w:vAlign w:val="center"/>
          </w:tcPr>
          <w:p w14:paraId="471B07C1" w14:textId="5B146318"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380</w:t>
            </w:r>
            <w:r w:rsidR="00AE4BD1" w:rsidRPr="002D2F67">
              <w:rPr>
                <w:rFonts w:ascii="Arial" w:hAnsi="Arial" w:cs="Arial"/>
                <w:color w:val="000000"/>
                <w:sz w:val="20"/>
                <w:szCs w:val="20"/>
              </w:rPr>
              <w:t>,</w:t>
            </w:r>
            <w:r w:rsidRPr="00CD5714">
              <w:rPr>
                <w:rFonts w:ascii="Arial" w:hAnsi="Arial" w:cs="Arial"/>
                <w:color w:val="000000"/>
                <w:sz w:val="20"/>
                <w:szCs w:val="20"/>
                <w:lang w:val="en-GB"/>
              </w:rPr>
              <w:t>481</w:t>
            </w:r>
          </w:p>
        </w:tc>
        <w:tc>
          <w:tcPr>
            <w:tcW w:w="1599" w:type="dxa"/>
            <w:shd w:val="clear" w:color="auto" w:fill="auto"/>
            <w:vAlign w:val="center"/>
          </w:tcPr>
          <w:p w14:paraId="730547CF" w14:textId="51CF3A34"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466</w:t>
            </w:r>
            <w:r w:rsidR="00AE4BD1" w:rsidRPr="002D2F67">
              <w:rPr>
                <w:rFonts w:ascii="Arial" w:hAnsi="Arial" w:cs="Arial"/>
                <w:color w:val="000000"/>
                <w:sz w:val="20"/>
                <w:szCs w:val="20"/>
              </w:rPr>
              <w:t>,</w:t>
            </w:r>
            <w:r w:rsidRPr="00CD5714">
              <w:rPr>
                <w:rFonts w:ascii="Arial" w:hAnsi="Arial" w:cs="Arial"/>
                <w:color w:val="000000"/>
                <w:sz w:val="20"/>
                <w:szCs w:val="20"/>
                <w:lang w:val="en-GB"/>
              </w:rPr>
              <w:t>608</w:t>
            </w:r>
          </w:p>
        </w:tc>
        <w:tc>
          <w:tcPr>
            <w:tcW w:w="1599" w:type="dxa"/>
            <w:shd w:val="clear" w:color="auto" w:fill="auto"/>
            <w:vAlign w:val="center"/>
          </w:tcPr>
          <w:p w14:paraId="2CA0C217" w14:textId="2A37225C"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984</w:t>
            </w:r>
            <w:r w:rsidR="00AE4BD1" w:rsidRPr="002D2F67">
              <w:rPr>
                <w:rFonts w:ascii="Arial" w:hAnsi="Arial" w:cs="Arial"/>
                <w:color w:val="000000"/>
                <w:sz w:val="20"/>
                <w:szCs w:val="20"/>
              </w:rPr>
              <w:t>,</w:t>
            </w:r>
            <w:r w:rsidRPr="00CD5714">
              <w:rPr>
                <w:rFonts w:ascii="Arial" w:hAnsi="Arial" w:cs="Arial"/>
                <w:color w:val="000000"/>
                <w:sz w:val="20"/>
                <w:szCs w:val="20"/>
                <w:lang w:val="en-GB"/>
              </w:rPr>
              <w:t>065</w:t>
            </w:r>
          </w:p>
        </w:tc>
        <w:tc>
          <w:tcPr>
            <w:tcW w:w="1599" w:type="dxa"/>
            <w:shd w:val="clear" w:color="auto" w:fill="auto"/>
          </w:tcPr>
          <w:p w14:paraId="2E42C9CB" w14:textId="5F4F5BA9"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14</w:t>
            </w:r>
            <w:r w:rsidR="00AE4BD1" w:rsidRPr="002D2F67">
              <w:rPr>
                <w:rFonts w:ascii="Arial" w:hAnsi="Arial" w:cs="Arial"/>
                <w:color w:val="000000"/>
                <w:sz w:val="20"/>
                <w:szCs w:val="20"/>
              </w:rPr>
              <w:t>,</w:t>
            </w:r>
            <w:r w:rsidRPr="00CD5714">
              <w:rPr>
                <w:rFonts w:ascii="Arial" w:hAnsi="Arial" w:cs="Arial"/>
                <w:color w:val="000000"/>
                <w:sz w:val="20"/>
                <w:szCs w:val="20"/>
                <w:lang w:val="en-GB"/>
              </w:rPr>
              <w:t>530</w:t>
            </w:r>
            <w:r w:rsidR="00AE4BD1" w:rsidRPr="002D2F67">
              <w:rPr>
                <w:rFonts w:ascii="Arial" w:hAnsi="Arial" w:cs="Arial"/>
                <w:color w:val="000000"/>
                <w:sz w:val="20"/>
                <w:szCs w:val="20"/>
              </w:rPr>
              <w:t>,</w:t>
            </w:r>
            <w:r w:rsidRPr="00CD5714">
              <w:rPr>
                <w:rFonts w:ascii="Arial" w:hAnsi="Arial" w:cs="Arial"/>
                <w:color w:val="000000"/>
                <w:sz w:val="20"/>
                <w:szCs w:val="20"/>
                <w:lang w:val="en-GB"/>
              </w:rPr>
              <w:t>337</w:t>
            </w:r>
          </w:p>
        </w:tc>
        <w:tc>
          <w:tcPr>
            <w:tcW w:w="1599" w:type="dxa"/>
            <w:shd w:val="clear" w:color="auto" w:fill="auto"/>
            <w:vAlign w:val="center"/>
          </w:tcPr>
          <w:p w14:paraId="534437A1" w14:textId="1BBF0E87"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94</w:t>
            </w:r>
            <w:r w:rsidR="00AE4BD1" w:rsidRPr="002D2F67">
              <w:rPr>
                <w:rFonts w:ascii="Arial" w:hAnsi="Arial" w:cs="Arial"/>
                <w:color w:val="000000"/>
                <w:sz w:val="20"/>
                <w:szCs w:val="20"/>
              </w:rPr>
              <w:t>,</w:t>
            </w:r>
            <w:r w:rsidRPr="00CD5714">
              <w:rPr>
                <w:rFonts w:ascii="Arial" w:hAnsi="Arial" w:cs="Arial"/>
                <w:color w:val="000000"/>
                <w:sz w:val="20"/>
                <w:szCs w:val="20"/>
                <w:lang w:val="en-GB"/>
              </w:rPr>
              <w:t>837</w:t>
            </w:r>
          </w:p>
        </w:tc>
        <w:tc>
          <w:tcPr>
            <w:tcW w:w="1599" w:type="dxa"/>
            <w:shd w:val="clear" w:color="auto" w:fill="auto"/>
            <w:vAlign w:val="center"/>
          </w:tcPr>
          <w:p w14:paraId="7B16EEE1" w14:textId="3178173D"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152</w:t>
            </w:r>
            <w:r w:rsidR="00AE4BD1" w:rsidRPr="002D2F67">
              <w:rPr>
                <w:rFonts w:ascii="Arial" w:hAnsi="Arial" w:cs="Arial"/>
                <w:color w:val="000000"/>
                <w:sz w:val="20"/>
                <w:szCs w:val="20"/>
              </w:rPr>
              <w:t>,</w:t>
            </w:r>
            <w:r w:rsidRPr="00CD5714">
              <w:rPr>
                <w:rFonts w:ascii="Arial" w:hAnsi="Arial" w:cs="Arial"/>
                <w:color w:val="000000"/>
                <w:sz w:val="20"/>
                <w:szCs w:val="20"/>
                <w:lang w:val="en-GB"/>
              </w:rPr>
              <w:t>014</w:t>
            </w:r>
          </w:p>
        </w:tc>
        <w:tc>
          <w:tcPr>
            <w:tcW w:w="1571" w:type="dxa"/>
            <w:shd w:val="clear" w:color="auto" w:fill="auto"/>
            <w:vAlign w:val="center"/>
          </w:tcPr>
          <w:p w14:paraId="39D7344F" w14:textId="68BB6D15"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16</w:t>
            </w:r>
            <w:r w:rsidR="00AE4BD1" w:rsidRPr="002D2F67">
              <w:rPr>
                <w:rFonts w:ascii="Arial" w:hAnsi="Arial" w:cs="Arial"/>
                <w:color w:val="000000"/>
                <w:sz w:val="20"/>
                <w:szCs w:val="20"/>
              </w:rPr>
              <w:t>,</w:t>
            </w:r>
            <w:r w:rsidRPr="00CD5714">
              <w:rPr>
                <w:rFonts w:ascii="Arial" w:hAnsi="Arial" w:cs="Arial"/>
                <w:color w:val="000000"/>
                <w:sz w:val="20"/>
                <w:szCs w:val="20"/>
                <w:lang w:val="en-GB"/>
              </w:rPr>
              <w:t>608</w:t>
            </w:r>
            <w:r w:rsidR="00AE4BD1" w:rsidRPr="002D2F67">
              <w:rPr>
                <w:rFonts w:ascii="Arial" w:hAnsi="Arial" w:cs="Arial"/>
                <w:color w:val="000000"/>
                <w:sz w:val="20"/>
                <w:szCs w:val="20"/>
              </w:rPr>
              <w:t>,</w:t>
            </w:r>
            <w:r w:rsidRPr="00CD5714">
              <w:rPr>
                <w:rFonts w:ascii="Arial" w:hAnsi="Arial" w:cs="Arial"/>
                <w:color w:val="000000"/>
                <w:sz w:val="20"/>
                <w:szCs w:val="20"/>
                <w:lang w:val="en-GB"/>
              </w:rPr>
              <w:t>342</w:t>
            </w:r>
          </w:p>
        </w:tc>
      </w:tr>
      <w:tr w:rsidR="00AE4BD1" w:rsidRPr="002D2F67" w14:paraId="4BD5FE3A" w14:textId="77777777" w:rsidTr="19457625">
        <w:trPr>
          <w:trHeight w:val="253"/>
        </w:trPr>
        <w:tc>
          <w:tcPr>
            <w:tcW w:w="4505" w:type="dxa"/>
            <w:shd w:val="clear" w:color="auto" w:fill="auto"/>
            <w:vAlign w:val="bottom"/>
          </w:tcPr>
          <w:p w14:paraId="35E2B4CE" w14:textId="77777777" w:rsidR="00AE4BD1" w:rsidRPr="002D2F67" w:rsidRDefault="00AE4BD1" w:rsidP="005611FE">
            <w:pPr>
              <w:ind w:left="180"/>
              <w:rPr>
                <w:rFonts w:ascii="Arial" w:hAnsi="Arial" w:cs="Arial"/>
                <w:color w:val="000000"/>
                <w:sz w:val="20"/>
                <w:szCs w:val="20"/>
              </w:rPr>
            </w:pPr>
            <w:r w:rsidRPr="002D2F67">
              <w:rPr>
                <w:rFonts w:ascii="Arial" w:hAnsi="Arial" w:cs="Arial"/>
                <w:color w:val="000000"/>
                <w:sz w:val="20"/>
                <w:szCs w:val="20"/>
                <w:u w:val="single"/>
              </w:rPr>
              <w:t>Less</w:t>
            </w:r>
            <w:r w:rsidRPr="002D2F67">
              <w:rPr>
                <w:rFonts w:ascii="Arial" w:hAnsi="Arial" w:cs="Arial"/>
                <w:color w:val="000000"/>
                <w:sz w:val="20"/>
                <w:szCs w:val="20"/>
              </w:rPr>
              <w:t xml:space="preserve">  Accumulated depreciation</w:t>
            </w:r>
          </w:p>
        </w:tc>
        <w:tc>
          <w:tcPr>
            <w:tcW w:w="1599" w:type="dxa"/>
            <w:tcBorders>
              <w:bottom w:val="single" w:sz="4" w:space="0" w:color="auto"/>
            </w:tcBorders>
            <w:shd w:val="clear" w:color="auto" w:fill="auto"/>
            <w:vAlign w:val="center"/>
          </w:tcPr>
          <w:p w14:paraId="553F0A8B" w14:textId="77777777"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99" w:type="dxa"/>
            <w:tcBorders>
              <w:bottom w:val="single" w:sz="4" w:space="0" w:color="auto"/>
            </w:tcBorders>
            <w:shd w:val="clear" w:color="auto" w:fill="auto"/>
            <w:vAlign w:val="center"/>
          </w:tcPr>
          <w:p w14:paraId="6E8449D0" w14:textId="2477F4D3"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224</w:t>
            </w:r>
            <w:r w:rsidRPr="002D2F67">
              <w:rPr>
                <w:rFonts w:ascii="Arial" w:hAnsi="Arial" w:cs="Arial"/>
                <w:color w:val="000000"/>
                <w:sz w:val="20"/>
                <w:szCs w:val="20"/>
              </w:rPr>
              <w:t>,</w:t>
            </w:r>
            <w:r w:rsidR="00CD5714" w:rsidRPr="00CD5714">
              <w:rPr>
                <w:rFonts w:ascii="Arial" w:hAnsi="Arial" w:cs="Arial"/>
                <w:color w:val="000000"/>
                <w:sz w:val="20"/>
                <w:szCs w:val="20"/>
                <w:lang w:val="en-GB"/>
              </w:rPr>
              <w:t>977</w:t>
            </w:r>
            <w:r w:rsidRPr="002D2F67">
              <w:rPr>
                <w:rFonts w:ascii="Arial" w:hAnsi="Arial" w:cs="Arial"/>
                <w:color w:val="000000"/>
                <w:sz w:val="20"/>
                <w:szCs w:val="20"/>
              </w:rPr>
              <w:t>)</w:t>
            </w:r>
          </w:p>
        </w:tc>
        <w:tc>
          <w:tcPr>
            <w:tcW w:w="1599" w:type="dxa"/>
            <w:tcBorders>
              <w:bottom w:val="single" w:sz="4" w:space="0" w:color="auto"/>
            </w:tcBorders>
            <w:shd w:val="clear" w:color="auto" w:fill="auto"/>
            <w:vAlign w:val="center"/>
          </w:tcPr>
          <w:p w14:paraId="6410B02A" w14:textId="4C3CBB10"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892</w:t>
            </w:r>
            <w:r w:rsidRPr="002D2F67">
              <w:rPr>
                <w:rFonts w:ascii="Arial" w:hAnsi="Arial" w:cs="Arial"/>
                <w:color w:val="000000"/>
                <w:sz w:val="20"/>
                <w:szCs w:val="20"/>
              </w:rPr>
              <w:t>,</w:t>
            </w:r>
            <w:r w:rsidR="00CD5714" w:rsidRPr="00CD5714">
              <w:rPr>
                <w:rFonts w:ascii="Arial" w:hAnsi="Arial" w:cs="Arial"/>
                <w:color w:val="000000"/>
                <w:sz w:val="20"/>
                <w:szCs w:val="20"/>
                <w:lang w:val="en-GB"/>
              </w:rPr>
              <w:t>361</w:t>
            </w:r>
            <w:r w:rsidRPr="002D2F67">
              <w:rPr>
                <w:rFonts w:ascii="Arial" w:hAnsi="Arial" w:cs="Arial"/>
                <w:color w:val="000000"/>
                <w:sz w:val="20"/>
                <w:szCs w:val="20"/>
              </w:rPr>
              <w:t>)</w:t>
            </w:r>
          </w:p>
        </w:tc>
        <w:tc>
          <w:tcPr>
            <w:tcW w:w="1599" w:type="dxa"/>
            <w:tcBorders>
              <w:bottom w:val="single" w:sz="4" w:space="0" w:color="auto"/>
            </w:tcBorders>
            <w:shd w:val="clear" w:color="auto" w:fill="auto"/>
          </w:tcPr>
          <w:p w14:paraId="6F4321FB" w14:textId="43E4390B"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4</w:t>
            </w:r>
            <w:r w:rsidRPr="002D2F67">
              <w:rPr>
                <w:rFonts w:ascii="Arial" w:hAnsi="Arial" w:cs="Arial"/>
                <w:color w:val="000000"/>
                <w:sz w:val="20"/>
                <w:szCs w:val="20"/>
              </w:rPr>
              <w:t>,</w:t>
            </w:r>
            <w:r w:rsidR="00CD5714" w:rsidRPr="00CD5714">
              <w:rPr>
                <w:rFonts w:ascii="Arial" w:hAnsi="Arial" w:cs="Arial"/>
                <w:color w:val="000000"/>
                <w:sz w:val="20"/>
                <w:szCs w:val="20"/>
                <w:lang w:val="en-GB"/>
              </w:rPr>
              <w:t>158</w:t>
            </w:r>
            <w:r w:rsidRPr="002D2F67">
              <w:rPr>
                <w:rFonts w:ascii="Arial" w:hAnsi="Arial" w:cs="Arial"/>
                <w:color w:val="000000"/>
                <w:sz w:val="20"/>
                <w:szCs w:val="20"/>
              </w:rPr>
              <w:t>,</w:t>
            </w:r>
            <w:r w:rsidR="00CD5714" w:rsidRPr="00CD5714">
              <w:rPr>
                <w:rFonts w:ascii="Arial" w:hAnsi="Arial" w:cs="Arial"/>
                <w:color w:val="000000"/>
                <w:sz w:val="20"/>
                <w:szCs w:val="20"/>
                <w:lang w:val="en-GB"/>
              </w:rPr>
              <w:t>286</w:t>
            </w:r>
            <w:r w:rsidRPr="002D2F67">
              <w:rPr>
                <w:rFonts w:ascii="Arial" w:hAnsi="Arial" w:cs="Arial"/>
                <w:color w:val="000000"/>
                <w:sz w:val="20"/>
                <w:szCs w:val="20"/>
              </w:rPr>
              <w:t>)</w:t>
            </w:r>
          </w:p>
        </w:tc>
        <w:tc>
          <w:tcPr>
            <w:tcW w:w="1599" w:type="dxa"/>
            <w:tcBorders>
              <w:bottom w:val="single" w:sz="4" w:space="0" w:color="auto"/>
            </w:tcBorders>
            <w:shd w:val="clear" w:color="auto" w:fill="auto"/>
            <w:vAlign w:val="center"/>
          </w:tcPr>
          <w:p w14:paraId="7D7B9B82" w14:textId="1A249241"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72</w:t>
            </w:r>
            <w:r w:rsidRPr="002D2F67">
              <w:rPr>
                <w:rFonts w:ascii="Arial" w:hAnsi="Arial" w:cs="Arial"/>
                <w:color w:val="000000"/>
                <w:sz w:val="20"/>
                <w:szCs w:val="20"/>
              </w:rPr>
              <w:t>,</w:t>
            </w:r>
            <w:r w:rsidR="00CD5714" w:rsidRPr="00CD5714">
              <w:rPr>
                <w:rFonts w:ascii="Arial" w:hAnsi="Arial" w:cs="Arial"/>
                <w:color w:val="000000"/>
                <w:sz w:val="20"/>
                <w:szCs w:val="20"/>
                <w:lang w:val="en-GB"/>
              </w:rPr>
              <w:t>717</w:t>
            </w:r>
            <w:r w:rsidRPr="002D2F67">
              <w:rPr>
                <w:rFonts w:ascii="Arial" w:hAnsi="Arial" w:cs="Arial"/>
                <w:color w:val="000000"/>
                <w:sz w:val="20"/>
                <w:szCs w:val="20"/>
              </w:rPr>
              <w:t>)</w:t>
            </w:r>
          </w:p>
        </w:tc>
        <w:tc>
          <w:tcPr>
            <w:tcW w:w="1599" w:type="dxa"/>
            <w:tcBorders>
              <w:bottom w:val="single" w:sz="4" w:space="0" w:color="auto"/>
            </w:tcBorders>
            <w:shd w:val="clear" w:color="auto" w:fill="auto"/>
            <w:vAlign w:val="center"/>
          </w:tcPr>
          <w:p w14:paraId="0A09B7DA" w14:textId="77777777"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71" w:type="dxa"/>
            <w:tcBorders>
              <w:bottom w:val="single" w:sz="4" w:space="0" w:color="auto"/>
            </w:tcBorders>
            <w:shd w:val="clear" w:color="auto" w:fill="auto"/>
            <w:vAlign w:val="center"/>
          </w:tcPr>
          <w:p w14:paraId="31DECFC8" w14:textId="6A76D412" w:rsidR="00AE4BD1" w:rsidRPr="002D2F67" w:rsidRDefault="00AE4BD1"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5</w:t>
            </w:r>
            <w:r w:rsidRPr="002D2F67">
              <w:rPr>
                <w:rFonts w:ascii="Arial" w:hAnsi="Arial" w:cs="Arial"/>
                <w:color w:val="000000"/>
                <w:sz w:val="20"/>
                <w:szCs w:val="20"/>
              </w:rPr>
              <w:t>,</w:t>
            </w:r>
            <w:r w:rsidR="00CD5714" w:rsidRPr="00CD5714">
              <w:rPr>
                <w:rFonts w:ascii="Arial" w:hAnsi="Arial" w:cs="Arial"/>
                <w:color w:val="000000"/>
                <w:sz w:val="20"/>
                <w:szCs w:val="20"/>
                <w:lang w:val="en-GB"/>
              </w:rPr>
              <w:t>348</w:t>
            </w:r>
            <w:r w:rsidRPr="002D2F67">
              <w:rPr>
                <w:rFonts w:ascii="Arial" w:hAnsi="Arial" w:cs="Arial"/>
                <w:color w:val="000000"/>
                <w:sz w:val="20"/>
                <w:szCs w:val="20"/>
              </w:rPr>
              <w:t>,</w:t>
            </w:r>
            <w:r w:rsidR="00CD5714" w:rsidRPr="00CD5714">
              <w:rPr>
                <w:rFonts w:ascii="Arial" w:hAnsi="Arial" w:cs="Arial"/>
                <w:color w:val="000000"/>
                <w:sz w:val="20"/>
                <w:szCs w:val="20"/>
                <w:lang w:val="en-GB"/>
              </w:rPr>
              <w:t>341</w:t>
            </w:r>
            <w:r w:rsidRPr="002D2F67">
              <w:rPr>
                <w:rFonts w:ascii="Arial" w:hAnsi="Arial" w:cs="Arial"/>
                <w:color w:val="000000"/>
                <w:sz w:val="20"/>
                <w:szCs w:val="20"/>
              </w:rPr>
              <w:t>)</w:t>
            </w:r>
          </w:p>
        </w:tc>
      </w:tr>
      <w:tr w:rsidR="00AE4BD1" w:rsidRPr="002D2F67" w14:paraId="589B41C6" w14:textId="77777777" w:rsidTr="19457625">
        <w:trPr>
          <w:trHeight w:val="139"/>
        </w:trPr>
        <w:tc>
          <w:tcPr>
            <w:tcW w:w="4505" w:type="dxa"/>
            <w:shd w:val="clear" w:color="auto" w:fill="auto"/>
            <w:vAlign w:val="bottom"/>
          </w:tcPr>
          <w:p w14:paraId="6B86D75A" w14:textId="77777777" w:rsidR="00AE4BD1" w:rsidRPr="002D2F67" w:rsidRDefault="00AE4BD1" w:rsidP="005611FE">
            <w:pPr>
              <w:ind w:left="180"/>
              <w:rPr>
                <w:rFonts w:ascii="Arial" w:hAnsi="Arial" w:cs="Arial"/>
                <w:b/>
                <w:bCs/>
                <w:color w:val="000000"/>
                <w:sz w:val="20"/>
                <w:szCs w:val="20"/>
              </w:rPr>
            </w:pPr>
          </w:p>
        </w:tc>
        <w:tc>
          <w:tcPr>
            <w:tcW w:w="1599" w:type="dxa"/>
            <w:tcBorders>
              <w:top w:val="single" w:sz="4" w:space="0" w:color="auto"/>
            </w:tcBorders>
            <w:shd w:val="clear" w:color="auto" w:fill="auto"/>
            <w:vAlign w:val="bottom"/>
          </w:tcPr>
          <w:p w14:paraId="2F008132"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41692B6A"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7AB34996"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4B1AF5A7"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644EF2BD"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43C32C27" w14:textId="77777777" w:rsidR="00AE4BD1" w:rsidRPr="002D2F67" w:rsidRDefault="00AE4BD1" w:rsidP="005611FE">
            <w:pPr>
              <w:ind w:right="-72"/>
              <w:jc w:val="right"/>
              <w:rPr>
                <w:rFonts w:ascii="Arial" w:hAnsi="Arial" w:cs="Arial"/>
                <w:color w:val="000000"/>
                <w:sz w:val="20"/>
                <w:szCs w:val="20"/>
              </w:rPr>
            </w:pPr>
          </w:p>
        </w:tc>
        <w:tc>
          <w:tcPr>
            <w:tcW w:w="1571" w:type="dxa"/>
            <w:tcBorders>
              <w:top w:val="single" w:sz="4" w:space="0" w:color="auto"/>
            </w:tcBorders>
            <w:shd w:val="clear" w:color="auto" w:fill="auto"/>
            <w:vAlign w:val="bottom"/>
          </w:tcPr>
          <w:p w14:paraId="3181B8CC" w14:textId="77777777" w:rsidR="00AE4BD1" w:rsidRPr="002D2F67" w:rsidRDefault="00AE4BD1" w:rsidP="005611FE">
            <w:pPr>
              <w:ind w:right="-72"/>
              <w:jc w:val="right"/>
              <w:rPr>
                <w:rFonts w:ascii="Arial" w:hAnsi="Arial" w:cs="Arial"/>
                <w:color w:val="000000"/>
                <w:sz w:val="20"/>
                <w:szCs w:val="20"/>
              </w:rPr>
            </w:pPr>
          </w:p>
        </w:tc>
      </w:tr>
      <w:tr w:rsidR="00AE4BD1" w:rsidRPr="002D2F67" w14:paraId="5E1083ED" w14:textId="77777777" w:rsidTr="19457625">
        <w:trPr>
          <w:trHeight w:val="239"/>
        </w:trPr>
        <w:tc>
          <w:tcPr>
            <w:tcW w:w="4505" w:type="dxa"/>
            <w:shd w:val="clear" w:color="auto" w:fill="auto"/>
            <w:vAlign w:val="bottom"/>
          </w:tcPr>
          <w:p w14:paraId="573736B3" w14:textId="77777777" w:rsidR="00AE4BD1" w:rsidRPr="002D2F67" w:rsidRDefault="00AE4BD1" w:rsidP="005611FE">
            <w:pPr>
              <w:ind w:left="180"/>
              <w:rPr>
                <w:rFonts w:ascii="Arial" w:hAnsi="Arial" w:cs="Arial"/>
                <w:color w:val="000000"/>
                <w:sz w:val="20"/>
                <w:szCs w:val="20"/>
              </w:rPr>
            </w:pPr>
            <w:r w:rsidRPr="002D2F67">
              <w:rPr>
                <w:rFonts w:ascii="Arial" w:hAnsi="Arial" w:cs="Arial"/>
                <w:color w:val="000000"/>
                <w:sz w:val="20"/>
                <w:szCs w:val="20"/>
              </w:rPr>
              <w:t>Net book value</w:t>
            </w:r>
          </w:p>
        </w:tc>
        <w:tc>
          <w:tcPr>
            <w:tcW w:w="1599" w:type="dxa"/>
            <w:tcBorders>
              <w:bottom w:val="single" w:sz="4" w:space="0" w:color="auto"/>
            </w:tcBorders>
            <w:shd w:val="clear" w:color="auto" w:fill="auto"/>
          </w:tcPr>
          <w:p w14:paraId="7C3A4ED6" w14:textId="089115CB"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380</w:t>
            </w:r>
            <w:r w:rsidR="00AE4BD1" w:rsidRPr="002D2F67">
              <w:rPr>
                <w:rFonts w:ascii="Arial" w:hAnsi="Arial" w:cs="Arial"/>
                <w:color w:val="000000"/>
                <w:sz w:val="20"/>
                <w:szCs w:val="20"/>
              </w:rPr>
              <w:t>,</w:t>
            </w:r>
            <w:r w:rsidRPr="00CD5714">
              <w:rPr>
                <w:rFonts w:ascii="Arial" w:hAnsi="Arial" w:cs="Arial"/>
                <w:color w:val="000000"/>
                <w:sz w:val="20"/>
                <w:szCs w:val="20"/>
                <w:lang w:val="en-GB"/>
              </w:rPr>
              <w:t>481</w:t>
            </w:r>
          </w:p>
        </w:tc>
        <w:tc>
          <w:tcPr>
            <w:tcW w:w="1599" w:type="dxa"/>
            <w:tcBorders>
              <w:bottom w:val="single" w:sz="4" w:space="0" w:color="auto"/>
            </w:tcBorders>
            <w:shd w:val="clear" w:color="auto" w:fill="auto"/>
          </w:tcPr>
          <w:p w14:paraId="63EF5177" w14:textId="49D782D2"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241</w:t>
            </w:r>
            <w:r w:rsidR="00AE4BD1" w:rsidRPr="002D2F67">
              <w:rPr>
                <w:rFonts w:ascii="Arial" w:hAnsi="Arial" w:cs="Arial"/>
                <w:color w:val="000000"/>
                <w:sz w:val="20"/>
                <w:szCs w:val="20"/>
              </w:rPr>
              <w:t>,</w:t>
            </w:r>
            <w:r w:rsidRPr="00CD5714">
              <w:rPr>
                <w:rFonts w:ascii="Arial" w:hAnsi="Arial" w:cs="Arial"/>
                <w:color w:val="000000"/>
                <w:sz w:val="20"/>
                <w:szCs w:val="20"/>
                <w:lang w:val="en-GB"/>
              </w:rPr>
              <w:t>631</w:t>
            </w:r>
          </w:p>
        </w:tc>
        <w:tc>
          <w:tcPr>
            <w:tcW w:w="1599" w:type="dxa"/>
            <w:tcBorders>
              <w:bottom w:val="single" w:sz="4" w:space="0" w:color="auto"/>
            </w:tcBorders>
            <w:shd w:val="clear" w:color="auto" w:fill="auto"/>
          </w:tcPr>
          <w:p w14:paraId="6F152775" w14:textId="6CB5CC95"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91</w:t>
            </w:r>
            <w:r w:rsidR="00AE4BD1" w:rsidRPr="002D2F67">
              <w:rPr>
                <w:rFonts w:ascii="Arial" w:hAnsi="Arial" w:cs="Arial"/>
                <w:color w:val="000000"/>
                <w:sz w:val="20"/>
                <w:szCs w:val="20"/>
              </w:rPr>
              <w:t>,</w:t>
            </w:r>
            <w:r w:rsidRPr="00CD5714">
              <w:rPr>
                <w:rFonts w:ascii="Arial" w:hAnsi="Arial" w:cs="Arial"/>
                <w:color w:val="000000"/>
                <w:sz w:val="20"/>
                <w:szCs w:val="20"/>
                <w:lang w:val="en-GB"/>
              </w:rPr>
              <w:t>704</w:t>
            </w:r>
          </w:p>
        </w:tc>
        <w:tc>
          <w:tcPr>
            <w:tcW w:w="1599" w:type="dxa"/>
            <w:tcBorders>
              <w:bottom w:val="single" w:sz="4" w:space="0" w:color="auto"/>
            </w:tcBorders>
            <w:shd w:val="clear" w:color="auto" w:fill="auto"/>
          </w:tcPr>
          <w:p w14:paraId="19979C8E" w14:textId="22A1D49E"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10</w:t>
            </w:r>
            <w:r w:rsidR="00AE4BD1" w:rsidRPr="002D2F67">
              <w:rPr>
                <w:rFonts w:ascii="Arial" w:hAnsi="Arial" w:cs="Arial"/>
                <w:color w:val="000000"/>
                <w:sz w:val="20"/>
                <w:szCs w:val="20"/>
              </w:rPr>
              <w:t>,</w:t>
            </w:r>
            <w:r w:rsidRPr="00CD5714">
              <w:rPr>
                <w:rFonts w:ascii="Arial" w:hAnsi="Arial" w:cs="Arial"/>
                <w:color w:val="000000"/>
                <w:sz w:val="20"/>
                <w:szCs w:val="20"/>
                <w:lang w:val="en-GB"/>
              </w:rPr>
              <w:t>372</w:t>
            </w:r>
            <w:r w:rsidR="00AE4BD1" w:rsidRPr="002D2F67">
              <w:rPr>
                <w:rFonts w:ascii="Arial" w:hAnsi="Arial" w:cs="Arial"/>
                <w:color w:val="000000"/>
                <w:sz w:val="20"/>
                <w:szCs w:val="20"/>
              </w:rPr>
              <w:t>,</w:t>
            </w:r>
            <w:r w:rsidRPr="00CD5714">
              <w:rPr>
                <w:rFonts w:ascii="Arial" w:hAnsi="Arial" w:cs="Arial"/>
                <w:color w:val="000000"/>
                <w:sz w:val="20"/>
                <w:szCs w:val="20"/>
                <w:lang w:val="en-GB"/>
              </w:rPr>
              <w:t>051</w:t>
            </w:r>
          </w:p>
        </w:tc>
        <w:tc>
          <w:tcPr>
            <w:tcW w:w="1599" w:type="dxa"/>
            <w:tcBorders>
              <w:bottom w:val="single" w:sz="4" w:space="0" w:color="auto"/>
            </w:tcBorders>
            <w:shd w:val="clear" w:color="auto" w:fill="auto"/>
          </w:tcPr>
          <w:p w14:paraId="685DC089" w14:textId="182CA369"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22</w:t>
            </w:r>
            <w:r w:rsidR="00AE4BD1" w:rsidRPr="002D2F67">
              <w:rPr>
                <w:rFonts w:ascii="Arial" w:hAnsi="Arial" w:cs="Arial"/>
                <w:color w:val="000000"/>
                <w:sz w:val="20"/>
                <w:szCs w:val="20"/>
              </w:rPr>
              <w:t>,</w:t>
            </w:r>
            <w:r w:rsidRPr="00CD5714">
              <w:rPr>
                <w:rFonts w:ascii="Arial" w:hAnsi="Arial" w:cs="Arial"/>
                <w:color w:val="000000"/>
                <w:sz w:val="20"/>
                <w:szCs w:val="20"/>
                <w:lang w:val="en-GB"/>
              </w:rPr>
              <w:t>120</w:t>
            </w:r>
          </w:p>
        </w:tc>
        <w:tc>
          <w:tcPr>
            <w:tcW w:w="1599" w:type="dxa"/>
            <w:tcBorders>
              <w:bottom w:val="single" w:sz="4" w:space="0" w:color="auto"/>
            </w:tcBorders>
            <w:shd w:val="clear" w:color="auto" w:fill="auto"/>
          </w:tcPr>
          <w:p w14:paraId="6FB03683" w14:textId="7C09492C"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152</w:t>
            </w:r>
            <w:r w:rsidR="00AE4BD1" w:rsidRPr="002D2F67">
              <w:rPr>
                <w:rFonts w:ascii="Arial" w:hAnsi="Arial" w:cs="Arial"/>
                <w:color w:val="000000"/>
                <w:sz w:val="20"/>
                <w:szCs w:val="20"/>
              </w:rPr>
              <w:t>,</w:t>
            </w:r>
            <w:r w:rsidRPr="00CD5714">
              <w:rPr>
                <w:rFonts w:ascii="Arial" w:hAnsi="Arial" w:cs="Arial"/>
                <w:color w:val="000000"/>
                <w:sz w:val="20"/>
                <w:szCs w:val="20"/>
                <w:lang w:val="en-GB"/>
              </w:rPr>
              <w:t>014</w:t>
            </w:r>
          </w:p>
        </w:tc>
        <w:tc>
          <w:tcPr>
            <w:tcW w:w="1571" w:type="dxa"/>
            <w:tcBorders>
              <w:bottom w:val="single" w:sz="4" w:space="0" w:color="auto"/>
            </w:tcBorders>
            <w:shd w:val="clear" w:color="auto" w:fill="auto"/>
          </w:tcPr>
          <w:p w14:paraId="56282B43" w14:textId="22CB710C"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11</w:t>
            </w:r>
            <w:r w:rsidR="00AE4BD1" w:rsidRPr="002D2F67">
              <w:rPr>
                <w:rFonts w:ascii="Arial" w:hAnsi="Arial" w:cs="Arial"/>
                <w:color w:val="000000"/>
                <w:sz w:val="20"/>
                <w:szCs w:val="20"/>
              </w:rPr>
              <w:t>,</w:t>
            </w:r>
            <w:r w:rsidRPr="00CD5714">
              <w:rPr>
                <w:rFonts w:ascii="Arial" w:hAnsi="Arial" w:cs="Arial"/>
                <w:color w:val="000000"/>
                <w:sz w:val="20"/>
                <w:szCs w:val="20"/>
                <w:lang w:val="en-GB"/>
              </w:rPr>
              <w:t>260</w:t>
            </w:r>
            <w:r w:rsidR="00AE4BD1" w:rsidRPr="002D2F67">
              <w:rPr>
                <w:rFonts w:ascii="Arial" w:hAnsi="Arial" w:cs="Arial"/>
                <w:color w:val="000000"/>
                <w:sz w:val="20"/>
                <w:szCs w:val="20"/>
              </w:rPr>
              <w:t>,</w:t>
            </w:r>
            <w:r w:rsidRPr="00CD5714">
              <w:rPr>
                <w:rFonts w:ascii="Arial" w:hAnsi="Arial" w:cs="Arial"/>
                <w:color w:val="000000"/>
                <w:sz w:val="20"/>
                <w:szCs w:val="20"/>
                <w:lang w:val="en-GB"/>
              </w:rPr>
              <w:t>001</w:t>
            </w:r>
          </w:p>
        </w:tc>
      </w:tr>
    </w:tbl>
    <w:p w14:paraId="28C0B44F" w14:textId="723FB7FA" w:rsidR="00D83FFC" w:rsidRPr="002D2F67" w:rsidRDefault="004F4DED" w:rsidP="005611FE">
      <w:pPr>
        <w:ind w:left="540" w:hanging="540"/>
        <w:jc w:val="both"/>
        <w:rPr>
          <w:rFonts w:ascii="Arial" w:hAnsi="Arial" w:cs="Arial"/>
          <w:color w:val="000000"/>
          <w:sz w:val="20"/>
          <w:szCs w:val="20"/>
        </w:rPr>
      </w:pPr>
      <w:r w:rsidRPr="002D2F67">
        <w:rPr>
          <w:rFonts w:ascii="Arial" w:hAnsi="Arial" w:cs="Arial"/>
          <w:color w:val="000000"/>
          <w:sz w:val="20"/>
          <w:szCs w:val="20"/>
        </w:rPr>
        <w:br w:type="page"/>
      </w:r>
    </w:p>
    <w:tbl>
      <w:tblPr>
        <w:tblW w:w="15670" w:type="dxa"/>
        <w:tblInd w:w="-176" w:type="dxa"/>
        <w:tblLayout w:type="fixed"/>
        <w:tblLook w:val="0000" w:firstRow="0" w:lastRow="0" w:firstColumn="0" w:lastColumn="0" w:noHBand="0" w:noVBand="0"/>
      </w:tblPr>
      <w:tblGrid>
        <w:gridCol w:w="4505"/>
        <w:gridCol w:w="1599"/>
        <w:gridCol w:w="1599"/>
        <w:gridCol w:w="1599"/>
        <w:gridCol w:w="1599"/>
        <w:gridCol w:w="1599"/>
        <w:gridCol w:w="1599"/>
        <w:gridCol w:w="1571"/>
      </w:tblGrid>
      <w:tr w:rsidR="00390E71" w:rsidRPr="002D2F67" w14:paraId="0EB0AB62" w14:textId="77777777" w:rsidTr="19457625">
        <w:trPr>
          <w:trHeight w:val="239"/>
        </w:trPr>
        <w:tc>
          <w:tcPr>
            <w:tcW w:w="4505" w:type="dxa"/>
            <w:shd w:val="clear" w:color="auto" w:fill="auto"/>
            <w:vAlign w:val="bottom"/>
          </w:tcPr>
          <w:p w14:paraId="0F26626A" w14:textId="77777777" w:rsidR="00390E71" w:rsidRPr="002D2F67" w:rsidRDefault="00390E71" w:rsidP="005611FE">
            <w:pPr>
              <w:ind w:left="180"/>
              <w:rPr>
                <w:rFonts w:ascii="Arial" w:hAnsi="Arial" w:cs="Arial"/>
                <w:b/>
                <w:bCs/>
                <w:color w:val="000000"/>
                <w:sz w:val="20"/>
                <w:szCs w:val="20"/>
              </w:rPr>
            </w:pPr>
          </w:p>
        </w:tc>
        <w:tc>
          <w:tcPr>
            <w:tcW w:w="11165" w:type="dxa"/>
            <w:gridSpan w:val="7"/>
            <w:tcBorders>
              <w:bottom w:val="single" w:sz="4" w:space="0" w:color="auto"/>
            </w:tcBorders>
            <w:shd w:val="clear" w:color="auto" w:fill="auto"/>
          </w:tcPr>
          <w:p w14:paraId="4E9A40B1" w14:textId="4CFB657F" w:rsidR="00390E71" w:rsidRPr="002D2F67" w:rsidRDefault="00390E71" w:rsidP="005611FE">
            <w:pPr>
              <w:ind w:right="-72"/>
              <w:jc w:val="right"/>
              <w:rPr>
                <w:rFonts w:ascii="Arial" w:hAnsi="Arial" w:cs="Arial"/>
                <w:b/>
                <w:bCs/>
                <w:color w:val="000000"/>
                <w:sz w:val="20"/>
                <w:szCs w:val="20"/>
              </w:rPr>
            </w:pPr>
            <w:r w:rsidRPr="002D2F67">
              <w:rPr>
                <w:rFonts w:ascii="Arial" w:hAnsi="Arial" w:cs="Arial"/>
                <w:b/>
                <w:bCs/>
                <w:color w:val="000000"/>
                <w:sz w:val="20"/>
                <w:szCs w:val="20"/>
              </w:rPr>
              <w:t>Separate financial statements</w:t>
            </w:r>
          </w:p>
        </w:tc>
      </w:tr>
      <w:tr w:rsidR="00F65D14" w:rsidRPr="002D2F67" w14:paraId="02CB8E04" w14:textId="77777777" w:rsidTr="19457625">
        <w:trPr>
          <w:trHeight w:val="1214"/>
        </w:trPr>
        <w:tc>
          <w:tcPr>
            <w:tcW w:w="4505" w:type="dxa"/>
            <w:shd w:val="clear" w:color="auto" w:fill="auto"/>
            <w:vAlign w:val="bottom"/>
          </w:tcPr>
          <w:p w14:paraId="2AAB835A" w14:textId="77777777" w:rsidR="00390E71" w:rsidRPr="002D2F67" w:rsidRDefault="00390E71" w:rsidP="005611FE">
            <w:pPr>
              <w:ind w:left="180"/>
              <w:rPr>
                <w:rFonts w:ascii="Arial" w:hAnsi="Arial" w:cs="Arial"/>
                <w:b/>
                <w:bCs/>
                <w:color w:val="000000"/>
                <w:sz w:val="20"/>
                <w:szCs w:val="20"/>
              </w:rPr>
            </w:pPr>
          </w:p>
        </w:tc>
        <w:tc>
          <w:tcPr>
            <w:tcW w:w="1599" w:type="dxa"/>
            <w:tcBorders>
              <w:top w:val="single" w:sz="4" w:space="0" w:color="auto"/>
            </w:tcBorders>
            <w:shd w:val="clear" w:color="auto" w:fill="auto"/>
            <w:vAlign w:val="bottom"/>
          </w:tcPr>
          <w:p w14:paraId="36AF9CB8" w14:textId="77777777" w:rsidR="00390E71" w:rsidRPr="002D2F67" w:rsidRDefault="00390E71" w:rsidP="005611FE">
            <w:pPr>
              <w:ind w:right="-72"/>
              <w:jc w:val="right"/>
              <w:rPr>
                <w:rFonts w:ascii="Arial" w:hAnsi="Arial" w:cs="Arial"/>
                <w:b/>
                <w:bCs/>
                <w:color w:val="000000"/>
                <w:sz w:val="20"/>
                <w:szCs w:val="20"/>
              </w:rPr>
            </w:pPr>
          </w:p>
          <w:p w14:paraId="0A1C1CCF" w14:textId="77777777" w:rsidR="00390E71" w:rsidRPr="002D2F67" w:rsidRDefault="00390E71" w:rsidP="005611FE">
            <w:pPr>
              <w:ind w:right="-72"/>
              <w:jc w:val="right"/>
              <w:rPr>
                <w:rFonts w:ascii="Arial" w:hAnsi="Arial" w:cs="Arial"/>
                <w:b/>
                <w:bCs/>
                <w:color w:val="000000"/>
                <w:sz w:val="20"/>
                <w:szCs w:val="20"/>
              </w:rPr>
            </w:pPr>
          </w:p>
          <w:p w14:paraId="7389DC21" w14:textId="77777777" w:rsidR="00390E71" w:rsidRPr="002D2F67" w:rsidRDefault="00390E71" w:rsidP="005611FE">
            <w:pPr>
              <w:ind w:right="-72"/>
              <w:jc w:val="right"/>
              <w:rPr>
                <w:rFonts w:ascii="Arial" w:hAnsi="Arial" w:cs="Arial"/>
                <w:b/>
                <w:bCs/>
                <w:color w:val="000000"/>
                <w:sz w:val="20"/>
                <w:szCs w:val="20"/>
              </w:rPr>
            </w:pPr>
          </w:p>
          <w:p w14:paraId="42049B3F" w14:textId="0ACEE144" w:rsidR="00390E71" w:rsidRPr="002D2F67" w:rsidRDefault="00390E71" w:rsidP="005611FE">
            <w:pPr>
              <w:ind w:right="-72"/>
              <w:jc w:val="right"/>
              <w:rPr>
                <w:rFonts w:ascii="Arial" w:hAnsi="Arial" w:cs="Arial"/>
                <w:b/>
                <w:bCs/>
                <w:color w:val="000000"/>
                <w:sz w:val="20"/>
                <w:szCs w:val="20"/>
              </w:rPr>
            </w:pPr>
            <w:r w:rsidRPr="002D2F67">
              <w:rPr>
                <w:rFonts w:ascii="Arial" w:hAnsi="Arial" w:cs="Arial"/>
                <w:b/>
                <w:bCs/>
                <w:color w:val="000000"/>
                <w:sz w:val="20"/>
                <w:szCs w:val="20"/>
              </w:rPr>
              <w:t>Land</w:t>
            </w:r>
          </w:p>
        </w:tc>
        <w:tc>
          <w:tcPr>
            <w:tcW w:w="1599" w:type="dxa"/>
            <w:tcBorders>
              <w:top w:val="single" w:sz="4" w:space="0" w:color="auto"/>
            </w:tcBorders>
            <w:shd w:val="clear" w:color="auto" w:fill="auto"/>
            <w:vAlign w:val="bottom"/>
          </w:tcPr>
          <w:p w14:paraId="712123DC" w14:textId="77777777" w:rsidR="00390E71" w:rsidRPr="002D2F67" w:rsidRDefault="00390E71" w:rsidP="005611FE">
            <w:pPr>
              <w:ind w:right="-72"/>
              <w:jc w:val="right"/>
              <w:rPr>
                <w:rFonts w:ascii="Arial" w:hAnsi="Arial" w:cs="Arial"/>
                <w:b/>
                <w:bCs/>
                <w:color w:val="000000"/>
                <w:sz w:val="20"/>
                <w:szCs w:val="20"/>
              </w:rPr>
            </w:pPr>
          </w:p>
          <w:p w14:paraId="14DDDA4D" w14:textId="1F69B2DF" w:rsidR="00390E71" w:rsidRPr="002D2F67" w:rsidRDefault="00390E71"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Buildings and buildings improvement </w:t>
            </w:r>
          </w:p>
        </w:tc>
        <w:tc>
          <w:tcPr>
            <w:tcW w:w="1599" w:type="dxa"/>
            <w:tcBorders>
              <w:top w:val="single" w:sz="4" w:space="0" w:color="auto"/>
            </w:tcBorders>
            <w:shd w:val="clear" w:color="auto" w:fill="auto"/>
            <w:vAlign w:val="bottom"/>
          </w:tcPr>
          <w:p w14:paraId="6107BED3" w14:textId="58BD3B67" w:rsidR="00390E71" w:rsidRPr="002D2F67" w:rsidRDefault="00390E71" w:rsidP="005611FE">
            <w:pPr>
              <w:ind w:right="-72"/>
              <w:jc w:val="right"/>
              <w:rPr>
                <w:rFonts w:ascii="Arial" w:hAnsi="Arial" w:cs="Arial"/>
                <w:b/>
                <w:bCs/>
                <w:color w:val="000000"/>
                <w:sz w:val="20"/>
                <w:szCs w:val="20"/>
              </w:rPr>
            </w:pPr>
            <w:r w:rsidRPr="002D2F67">
              <w:rPr>
                <w:rFonts w:ascii="Arial" w:hAnsi="Arial" w:cs="Arial"/>
                <w:b/>
                <w:bCs/>
                <w:color w:val="000000"/>
                <w:sz w:val="20"/>
                <w:szCs w:val="20"/>
              </w:rPr>
              <w:t>Machines and equipment</w:t>
            </w:r>
          </w:p>
        </w:tc>
        <w:tc>
          <w:tcPr>
            <w:tcW w:w="1599" w:type="dxa"/>
            <w:tcBorders>
              <w:top w:val="single" w:sz="4" w:space="0" w:color="auto"/>
            </w:tcBorders>
            <w:shd w:val="clear" w:color="auto" w:fill="auto"/>
            <w:vAlign w:val="bottom"/>
          </w:tcPr>
          <w:p w14:paraId="013080BE" w14:textId="51F03B47" w:rsidR="00390E71" w:rsidRPr="002D2F67" w:rsidRDefault="00390E71"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Power plants, substation, transmission system and components </w:t>
            </w:r>
          </w:p>
        </w:tc>
        <w:tc>
          <w:tcPr>
            <w:tcW w:w="1599" w:type="dxa"/>
            <w:tcBorders>
              <w:top w:val="single" w:sz="4" w:space="0" w:color="auto"/>
            </w:tcBorders>
            <w:shd w:val="clear" w:color="auto" w:fill="auto"/>
            <w:vAlign w:val="bottom"/>
          </w:tcPr>
          <w:p w14:paraId="3CC7B591" w14:textId="77777777" w:rsidR="00390E71" w:rsidRPr="002D2F67" w:rsidRDefault="00390E71" w:rsidP="005611FE">
            <w:pPr>
              <w:ind w:right="-72"/>
              <w:jc w:val="right"/>
              <w:rPr>
                <w:rFonts w:ascii="Arial" w:hAnsi="Arial" w:cs="Arial"/>
                <w:b/>
                <w:bCs/>
                <w:color w:val="000000"/>
                <w:sz w:val="20"/>
                <w:szCs w:val="20"/>
              </w:rPr>
            </w:pPr>
            <w:r w:rsidRPr="002D2F67">
              <w:rPr>
                <w:rFonts w:ascii="Arial" w:hAnsi="Arial" w:cs="Arial"/>
                <w:b/>
                <w:bCs/>
                <w:color w:val="000000"/>
                <w:sz w:val="20"/>
                <w:szCs w:val="20"/>
              </w:rPr>
              <w:t>Office equipment,</w:t>
            </w:r>
          </w:p>
          <w:p w14:paraId="548D4C86" w14:textId="77777777" w:rsidR="00390E71" w:rsidRPr="002D2F67" w:rsidRDefault="00390E71" w:rsidP="005611FE">
            <w:pPr>
              <w:ind w:right="-72"/>
              <w:jc w:val="right"/>
              <w:rPr>
                <w:rFonts w:ascii="Arial" w:hAnsi="Arial" w:cs="Arial"/>
                <w:b/>
                <w:bCs/>
                <w:color w:val="000000"/>
                <w:sz w:val="20"/>
                <w:szCs w:val="20"/>
              </w:rPr>
            </w:pPr>
            <w:r w:rsidRPr="002D2F67">
              <w:rPr>
                <w:rFonts w:ascii="Arial" w:hAnsi="Arial" w:cs="Arial"/>
                <w:b/>
                <w:bCs/>
                <w:color w:val="000000"/>
                <w:sz w:val="20"/>
                <w:szCs w:val="20"/>
              </w:rPr>
              <w:t>furniture,</w:t>
            </w:r>
          </w:p>
          <w:p w14:paraId="4BBD959C" w14:textId="77777777" w:rsidR="00390E71" w:rsidRPr="002D2F67" w:rsidRDefault="00390E71" w:rsidP="005611FE">
            <w:pPr>
              <w:ind w:right="-72"/>
              <w:jc w:val="right"/>
              <w:rPr>
                <w:rFonts w:ascii="Arial" w:hAnsi="Arial" w:cs="Arial"/>
                <w:b/>
                <w:bCs/>
                <w:color w:val="000000"/>
                <w:sz w:val="20"/>
                <w:szCs w:val="20"/>
              </w:rPr>
            </w:pPr>
            <w:r w:rsidRPr="002D2F67">
              <w:rPr>
                <w:rFonts w:ascii="Arial" w:hAnsi="Arial" w:cs="Arial"/>
                <w:b/>
                <w:bCs/>
                <w:color w:val="000000"/>
                <w:sz w:val="20"/>
                <w:szCs w:val="20"/>
              </w:rPr>
              <w:t>computers and</w:t>
            </w:r>
          </w:p>
          <w:p w14:paraId="43214ED9" w14:textId="77777777" w:rsidR="00390E71" w:rsidRPr="002D2F67" w:rsidRDefault="00390E71" w:rsidP="005611FE">
            <w:pPr>
              <w:ind w:right="-72"/>
              <w:jc w:val="right"/>
              <w:rPr>
                <w:rFonts w:ascii="Arial" w:hAnsi="Arial" w:cs="Arial"/>
                <w:b/>
                <w:bCs/>
                <w:color w:val="000000"/>
                <w:sz w:val="20"/>
                <w:szCs w:val="20"/>
              </w:rPr>
            </w:pPr>
            <w:r w:rsidRPr="002D2F67">
              <w:rPr>
                <w:rFonts w:ascii="Arial" w:hAnsi="Arial" w:cs="Arial"/>
                <w:b/>
                <w:bCs/>
                <w:color w:val="000000"/>
                <w:sz w:val="20"/>
                <w:szCs w:val="20"/>
              </w:rPr>
              <w:t>motor vehicles</w:t>
            </w:r>
          </w:p>
        </w:tc>
        <w:tc>
          <w:tcPr>
            <w:tcW w:w="1599" w:type="dxa"/>
            <w:tcBorders>
              <w:top w:val="single" w:sz="4" w:space="0" w:color="auto"/>
            </w:tcBorders>
            <w:shd w:val="clear" w:color="auto" w:fill="auto"/>
            <w:vAlign w:val="bottom"/>
          </w:tcPr>
          <w:p w14:paraId="6FDAB81D" w14:textId="77777777" w:rsidR="00390E71" w:rsidRPr="002D2F67" w:rsidRDefault="00390E71" w:rsidP="005611FE">
            <w:pPr>
              <w:ind w:right="-72"/>
              <w:jc w:val="right"/>
              <w:rPr>
                <w:rFonts w:ascii="Arial" w:hAnsi="Arial" w:cs="Arial"/>
                <w:b/>
                <w:bCs/>
                <w:color w:val="000000"/>
                <w:sz w:val="20"/>
                <w:szCs w:val="20"/>
              </w:rPr>
            </w:pPr>
            <w:r w:rsidRPr="002D2F67">
              <w:rPr>
                <w:rFonts w:ascii="Arial" w:hAnsi="Arial" w:cs="Arial"/>
                <w:b/>
                <w:bCs/>
                <w:color w:val="000000"/>
                <w:sz w:val="20"/>
                <w:szCs w:val="20"/>
              </w:rPr>
              <w:t>Construction in progress</w:t>
            </w:r>
          </w:p>
        </w:tc>
        <w:tc>
          <w:tcPr>
            <w:tcW w:w="1571" w:type="dxa"/>
            <w:tcBorders>
              <w:top w:val="single" w:sz="4" w:space="0" w:color="auto"/>
            </w:tcBorders>
            <w:shd w:val="clear" w:color="auto" w:fill="auto"/>
            <w:vAlign w:val="bottom"/>
          </w:tcPr>
          <w:p w14:paraId="34D63635" w14:textId="77777777" w:rsidR="00390E71" w:rsidRPr="002D2F67" w:rsidRDefault="00390E71" w:rsidP="005611FE">
            <w:pPr>
              <w:ind w:right="-72"/>
              <w:jc w:val="right"/>
              <w:rPr>
                <w:rFonts w:ascii="Arial" w:hAnsi="Arial" w:cs="Arial"/>
                <w:b/>
                <w:bCs/>
                <w:color w:val="000000"/>
                <w:sz w:val="20"/>
                <w:szCs w:val="20"/>
              </w:rPr>
            </w:pPr>
          </w:p>
          <w:p w14:paraId="18EA6AE5" w14:textId="77777777" w:rsidR="00390E71" w:rsidRPr="002D2F67" w:rsidRDefault="00390E71" w:rsidP="005611FE">
            <w:pPr>
              <w:ind w:right="-72"/>
              <w:jc w:val="right"/>
              <w:rPr>
                <w:rFonts w:ascii="Arial" w:hAnsi="Arial" w:cs="Arial"/>
                <w:b/>
                <w:bCs/>
                <w:color w:val="000000"/>
                <w:sz w:val="20"/>
                <w:szCs w:val="20"/>
              </w:rPr>
            </w:pPr>
          </w:p>
          <w:p w14:paraId="74138C49" w14:textId="77777777" w:rsidR="00390E71" w:rsidRPr="002D2F67" w:rsidRDefault="00390E71" w:rsidP="005611FE">
            <w:pPr>
              <w:ind w:right="-72"/>
              <w:jc w:val="right"/>
              <w:rPr>
                <w:rFonts w:ascii="Arial" w:hAnsi="Arial" w:cs="Arial"/>
                <w:b/>
                <w:bCs/>
                <w:color w:val="000000"/>
                <w:sz w:val="20"/>
                <w:szCs w:val="20"/>
              </w:rPr>
            </w:pPr>
          </w:p>
          <w:p w14:paraId="2CF9B618" w14:textId="77777777" w:rsidR="00390E71" w:rsidRPr="002D2F67" w:rsidRDefault="00390E71" w:rsidP="005611FE">
            <w:pPr>
              <w:ind w:right="-72"/>
              <w:jc w:val="right"/>
              <w:rPr>
                <w:rFonts w:ascii="Arial" w:hAnsi="Arial" w:cs="Arial"/>
                <w:b/>
                <w:bCs/>
                <w:color w:val="000000"/>
                <w:sz w:val="20"/>
                <w:szCs w:val="20"/>
              </w:rPr>
            </w:pPr>
            <w:r w:rsidRPr="002D2F67">
              <w:rPr>
                <w:rFonts w:ascii="Arial" w:hAnsi="Arial" w:cs="Arial"/>
                <w:b/>
                <w:bCs/>
                <w:color w:val="000000"/>
                <w:sz w:val="20"/>
                <w:szCs w:val="20"/>
              </w:rPr>
              <w:t>Total</w:t>
            </w:r>
          </w:p>
        </w:tc>
      </w:tr>
      <w:tr w:rsidR="00F65D14" w:rsidRPr="002D2F67" w14:paraId="1B0C0D83" w14:textId="77777777" w:rsidTr="19457625">
        <w:trPr>
          <w:trHeight w:val="239"/>
        </w:trPr>
        <w:tc>
          <w:tcPr>
            <w:tcW w:w="4505" w:type="dxa"/>
            <w:shd w:val="clear" w:color="auto" w:fill="auto"/>
            <w:vAlign w:val="bottom"/>
          </w:tcPr>
          <w:p w14:paraId="5613D404" w14:textId="77777777" w:rsidR="00390E71" w:rsidRPr="002D2F67" w:rsidRDefault="00390E71" w:rsidP="005611FE">
            <w:pPr>
              <w:ind w:left="180"/>
              <w:rPr>
                <w:rFonts w:ascii="Arial" w:hAnsi="Arial" w:cs="Arial"/>
                <w:b/>
                <w:bCs/>
                <w:color w:val="000000"/>
                <w:sz w:val="20"/>
                <w:szCs w:val="20"/>
              </w:rPr>
            </w:pPr>
          </w:p>
        </w:tc>
        <w:tc>
          <w:tcPr>
            <w:tcW w:w="1599" w:type="dxa"/>
            <w:tcBorders>
              <w:bottom w:val="single" w:sz="4" w:space="0" w:color="auto"/>
            </w:tcBorders>
            <w:shd w:val="clear" w:color="auto" w:fill="auto"/>
            <w:vAlign w:val="bottom"/>
          </w:tcPr>
          <w:p w14:paraId="20EB9606" w14:textId="67B9DC5B" w:rsidR="00390E71" w:rsidRPr="002D2F67" w:rsidRDefault="00390E71"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599" w:type="dxa"/>
            <w:tcBorders>
              <w:bottom w:val="single" w:sz="4" w:space="0" w:color="auto"/>
            </w:tcBorders>
            <w:shd w:val="clear" w:color="auto" w:fill="auto"/>
          </w:tcPr>
          <w:p w14:paraId="51B98FDF" w14:textId="517E24E4" w:rsidR="00390E71" w:rsidRPr="002D2F67" w:rsidRDefault="00390E71"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599" w:type="dxa"/>
            <w:tcBorders>
              <w:bottom w:val="single" w:sz="4" w:space="0" w:color="auto"/>
            </w:tcBorders>
            <w:shd w:val="clear" w:color="auto" w:fill="auto"/>
          </w:tcPr>
          <w:p w14:paraId="56D13680" w14:textId="7FF5624C" w:rsidR="00390E71" w:rsidRPr="002D2F67" w:rsidRDefault="00390E71" w:rsidP="005611FE">
            <w:pPr>
              <w:pStyle w:val="Heading3"/>
              <w:ind w:right="-72"/>
              <w:rPr>
                <w:rFonts w:ascii="Arial" w:hAnsi="Arial" w:cs="Arial"/>
                <w:color w:val="000000"/>
              </w:rPr>
            </w:pPr>
            <w:r w:rsidRPr="002D2F67">
              <w:rPr>
                <w:rFonts w:ascii="Arial" w:hAnsi="Arial" w:cs="Arial"/>
                <w:color w:val="000000"/>
              </w:rPr>
              <w:t>Baht’</w:t>
            </w:r>
            <w:r w:rsidR="00CD5714" w:rsidRPr="00CD5714">
              <w:rPr>
                <w:rFonts w:ascii="Arial" w:hAnsi="Arial" w:cs="Arial"/>
                <w:color w:val="000000"/>
                <w:lang w:val="en-GB"/>
              </w:rPr>
              <w:t>000</w:t>
            </w:r>
          </w:p>
        </w:tc>
        <w:tc>
          <w:tcPr>
            <w:tcW w:w="1599" w:type="dxa"/>
            <w:tcBorders>
              <w:bottom w:val="single" w:sz="4" w:space="0" w:color="auto"/>
            </w:tcBorders>
            <w:shd w:val="clear" w:color="auto" w:fill="auto"/>
          </w:tcPr>
          <w:p w14:paraId="3324BA32" w14:textId="1A92110F" w:rsidR="00390E71" w:rsidRPr="002D2F67" w:rsidRDefault="00390E71" w:rsidP="005611FE">
            <w:pPr>
              <w:pStyle w:val="Heading3"/>
              <w:ind w:right="-72"/>
              <w:rPr>
                <w:rFonts w:ascii="Arial" w:hAnsi="Arial" w:cs="Arial"/>
                <w:color w:val="000000"/>
              </w:rPr>
            </w:pPr>
            <w:r w:rsidRPr="002D2F67">
              <w:rPr>
                <w:rFonts w:ascii="Arial" w:hAnsi="Arial" w:cs="Arial"/>
                <w:color w:val="000000"/>
              </w:rPr>
              <w:t>Baht’</w:t>
            </w:r>
            <w:r w:rsidR="00CD5714" w:rsidRPr="00CD5714">
              <w:rPr>
                <w:rFonts w:ascii="Arial" w:hAnsi="Arial" w:cs="Arial"/>
                <w:color w:val="000000"/>
                <w:lang w:val="en-GB"/>
              </w:rPr>
              <w:t>000</w:t>
            </w:r>
          </w:p>
        </w:tc>
        <w:tc>
          <w:tcPr>
            <w:tcW w:w="1599" w:type="dxa"/>
            <w:tcBorders>
              <w:bottom w:val="single" w:sz="4" w:space="0" w:color="auto"/>
            </w:tcBorders>
            <w:shd w:val="clear" w:color="auto" w:fill="auto"/>
          </w:tcPr>
          <w:p w14:paraId="2307E702" w14:textId="4392D2D0" w:rsidR="00390E71" w:rsidRPr="002D2F67" w:rsidRDefault="00390E71"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599" w:type="dxa"/>
            <w:tcBorders>
              <w:bottom w:val="single" w:sz="4" w:space="0" w:color="auto"/>
            </w:tcBorders>
            <w:shd w:val="clear" w:color="auto" w:fill="auto"/>
          </w:tcPr>
          <w:p w14:paraId="0135FF36" w14:textId="0A2046D0" w:rsidR="00390E71" w:rsidRPr="002D2F67" w:rsidRDefault="00390E71"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571" w:type="dxa"/>
            <w:tcBorders>
              <w:bottom w:val="single" w:sz="4" w:space="0" w:color="auto"/>
            </w:tcBorders>
            <w:shd w:val="clear" w:color="auto" w:fill="auto"/>
          </w:tcPr>
          <w:p w14:paraId="0F8C7909" w14:textId="55188C04" w:rsidR="00390E71" w:rsidRPr="002D2F67" w:rsidRDefault="00390E71"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5611FE" w:rsidRPr="002D2F67" w14:paraId="5D24020C" w14:textId="77777777" w:rsidTr="19457625">
        <w:trPr>
          <w:trHeight w:val="239"/>
        </w:trPr>
        <w:tc>
          <w:tcPr>
            <w:tcW w:w="4505" w:type="dxa"/>
            <w:shd w:val="clear" w:color="auto" w:fill="auto"/>
            <w:vAlign w:val="bottom"/>
          </w:tcPr>
          <w:p w14:paraId="386F2542" w14:textId="77777777" w:rsidR="00390E71" w:rsidRPr="002D2F67" w:rsidRDefault="00390E71" w:rsidP="005611FE">
            <w:pPr>
              <w:ind w:left="180"/>
              <w:rPr>
                <w:rFonts w:ascii="Arial" w:hAnsi="Arial" w:cs="Arial"/>
                <w:b/>
                <w:bCs/>
                <w:color w:val="000000"/>
                <w:sz w:val="20"/>
                <w:szCs w:val="20"/>
              </w:rPr>
            </w:pPr>
          </w:p>
        </w:tc>
        <w:tc>
          <w:tcPr>
            <w:tcW w:w="1599" w:type="dxa"/>
            <w:tcBorders>
              <w:top w:val="single" w:sz="4" w:space="0" w:color="auto"/>
            </w:tcBorders>
            <w:shd w:val="clear" w:color="auto" w:fill="auto"/>
            <w:vAlign w:val="bottom"/>
          </w:tcPr>
          <w:p w14:paraId="250D537F" w14:textId="77777777" w:rsidR="00390E71" w:rsidRPr="002D2F67" w:rsidRDefault="00390E7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1AF51BD3" w14:textId="08E71B41" w:rsidR="00390E71" w:rsidRPr="002D2F67" w:rsidRDefault="00390E7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48392A58" w14:textId="77777777" w:rsidR="00390E71" w:rsidRPr="002D2F67" w:rsidRDefault="00390E7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541A50C1" w14:textId="77777777" w:rsidR="00390E71" w:rsidRPr="002D2F67" w:rsidRDefault="00390E7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1098CD57" w14:textId="77777777" w:rsidR="00390E71" w:rsidRPr="002D2F67" w:rsidRDefault="00390E7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510A322F" w14:textId="77777777" w:rsidR="00390E71" w:rsidRPr="002D2F67" w:rsidRDefault="00390E71" w:rsidP="005611FE">
            <w:pPr>
              <w:ind w:right="-72"/>
              <w:jc w:val="right"/>
              <w:rPr>
                <w:rFonts w:ascii="Arial" w:hAnsi="Arial" w:cs="Arial"/>
                <w:color w:val="000000"/>
                <w:sz w:val="20"/>
                <w:szCs w:val="20"/>
              </w:rPr>
            </w:pPr>
          </w:p>
        </w:tc>
        <w:tc>
          <w:tcPr>
            <w:tcW w:w="1571" w:type="dxa"/>
            <w:tcBorders>
              <w:top w:val="single" w:sz="4" w:space="0" w:color="auto"/>
            </w:tcBorders>
            <w:shd w:val="clear" w:color="auto" w:fill="auto"/>
            <w:vAlign w:val="bottom"/>
          </w:tcPr>
          <w:p w14:paraId="0F341C07" w14:textId="77777777" w:rsidR="00390E71" w:rsidRPr="002D2F67" w:rsidRDefault="00390E71" w:rsidP="005611FE">
            <w:pPr>
              <w:ind w:right="-72"/>
              <w:jc w:val="right"/>
              <w:rPr>
                <w:rFonts w:ascii="Arial" w:hAnsi="Arial" w:cs="Arial"/>
                <w:color w:val="000000"/>
                <w:sz w:val="20"/>
                <w:szCs w:val="20"/>
              </w:rPr>
            </w:pPr>
          </w:p>
        </w:tc>
      </w:tr>
      <w:tr w:rsidR="005611FE" w:rsidRPr="002D2F67" w14:paraId="7A686D73" w14:textId="77777777" w:rsidTr="19457625">
        <w:trPr>
          <w:trHeight w:val="86"/>
        </w:trPr>
        <w:tc>
          <w:tcPr>
            <w:tcW w:w="4505" w:type="dxa"/>
            <w:shd w:val="clear" w:color="auto" w:fill="auto"/>
            <w:vAlign w:val="bottom"/>
          </w:tcPr>
          <w:p w14:paraId="67E22885" w14:textId="23392670" w:rsidR="00390E71" w:rsidRPr="002D2F67" w:rsidRDefault="00390E71" w:rsidP="005611FE">
            <w:pPr>
              <w:ind w:left="180"/>
              <w:rPr>
                <w:rFonts w:ascii="Arial" w:hAnsi="Arial" w:cs="Arial"/>
                <w:color w:val="000000"/>
                <w:spacing w:val="-2"/>
                <w:sz w:val="20"/>
                <w:szCs w:val="20"/>
              </w:rPr>
            </w:pPr>
            <w:r w:rsidRPr="002D2F67">
              <w:rPr>
                <w:rFonts w:ascii="Arial" w:hAnsi="Arial" w:cs="Arial"/>
                <w:b/>
                <w:bCs/>
                <w:color w:val="000000"/>
                <w:spacing w:val="-2"/>
                <w:sz w:val="20"/>
                <w:szCs w:val="20"/>
              </w:rPr>
              <w:t xml:space="preserve">For the year ended </w:t>
            </w:r>
            <w:r w:rsidR="00CD5714" w:rsidRPr="00CD5714">
              <w:rPr>
                <w:rFonts w:ascii="Arial" w:hAnsi="Arial" w:cs="Arial"/>
                <w:b/>
                <w:bCs/>
                <w:color w:val="000000"/>
                <w:spacing w:val="-2"/>
                <w:sz w:val="20"/>
                <w:szCs w:val="20"/>
                <w:lang w:val="en-GB"/>
              </w:rPr>
              <w:t>31</w:t>
            </w:r>
            <w:r w:rsidRPr="002D2F67">
              <w:rPr>
                <w:rFonts w:ascii="Arial" w:hAnsi="Arial" w:cs="Arial"/>
                <w:b/>
                <w:bCs/>
                <w:color w:val="000000"/>
                <w:spacing w:val="-2"/>
                <w:sz w:val="20"/>
                <w:szCs w:val="20"/>
              </w:rPr>
              <w:t xml:space="preserve"> December </w:t>
            </w:r>
            <w:r w:rsidR="00CD5714" w:rsidRPr="00CD5714">
              <w:rPr>
                <w:rFonts w:ascii="Arial" w:hAnsi="Arial" w:cs="Arial"/>
                <w:b/>
                <w:bCs/>
                <w:color w:val="000000"/>
                <w:spacing w:val="-2"/>
                <w:sz w:val="20"/>
                <w:szCs w:val="20"/>
                <w:lang w:val="en-GB"/>
              </w:rPr>
              <w:t>2024</w:t>
            </w:r>
          </w:p>
        </w:tc>
        <w:tc>
          <w:tcPr>
            <w:tcW w:w="1599" w:type="dxa"/>
            <w:shd w:val="clear" w:color="auto" w:fill="auto"/>
            <w:vAlign w:val="bottom"/>
          </w:tcPr>
          <w:p w14:paraId="771C1787" w14:textId="77777777" w:rsidR="00390E71" w:rsidRPr="002D2F67" w:rsidRDefault="00390E71" w:rsidP="005611FE">
            <w:pPr>
              <w:ind w:right="-72"/>
              <w:jc w:val="right"/>
              <w:rPr>
                <w:rFonts w:ascii="Arial" w:hAnsi="Arial" w:cs="Arial"/>
                <w:color w:val="000000"/>
                <w:sz w:val="20"/>
                <w:szCs w:val="20"/>
              </w:rPr>
            </w:pPr>
          </w:p>
        </w:tc>
        <w:tc>
          <w:tcPr>
            <w:tcW w:w="1599" w:type="dxa"/>
            <w:shd w:val="clear" w:color="auto" w:fill="auto"/>
            <w:vAlign w:val="bottom"/>
          </w:tcPr>
          <w:p w14:paraId="6A39588C" w14:textId="62D7426C" w:rsidR="00390E71" w:rsidRPr="002D2F67" w:rsidRDefault="00390E71" w:rsidP="005611FE">
            <w:pPr>
              <w:ind w:right="-72"/>
              <w:jc w:val="right"/>
              <w:rPr>
                <w:rFonts w:ascii="Arial" w:hAnsi="Arial" w:cs="Arial"/>
                <w:color w:val="000000"/>
                <w:sz w:val="20"/>
                <w:szCs w:val="20"/>
              </w:rPr>
            </w:pPr>
          </w:p>
        </w:tc>
        <w:tc>
          <w:tcPr>
            <w:tcW w:w="1599" w:type="dxa"/>
            <w:shd w:val="clear" w:color="auto" w:fill="auto"/>
            <w:vAlign w:val="bottom"/>
          </w:tcPr>
          <w:p w14:paraId="3506D1B8" w14:textId="77777777" w:rsidR="00390E71" w:rsidRPr="002D2F67" w:rsidRDefault="00390E71" w:rsidP="005611FE">
            <w:pPr>
              <w:ind w:right="-72"/>
              <w:jc w:val="right"/>
              <w:rPr>
                <w:rFonts w:ascii="Arial" w:hAnsi="Arial" w:cs="Arial"/>
                <w:color w:val="000000"/>
                <w:sz w:val="20"/>
                <w:szCs w:val="20"/>
              </w:rPr>
            </w:pPr>
          </w:p>
        </w:tc>
        <w:tc>
          <w:tcPr>
            <w:tcW w:w="1599" w:type="dxa"/>
            <w:shd w:val="clear" w:color="auto" w:fill="auto"/>
            <w:vAlign w:val="bottom"/>
          </w:tcPr>
          <w:p w14:paraId="61A85808" w14:textId="77777777" w:rsidR="00390E71" w:rsidRPr="002D2F67" w:rsidRDefault="00390E71" w:rsidP="005611FE">
            <w:pPr>
              <w:ind w:right="-72"/>
              <w:jc w:val="right"/>
              <w:rPr>
                <w:rFonts w:ascii="Arial" w:hAnsi="Arial" w:cs="Arial"/>
                <w:color w:val="000000"/>
                <w:sz w:val="20"/>
                <w:szCs w:val="20"/>
              </w:rPr>
            </w:pPr>
          </w:p>
        </w:tc>
        <w:tc>
          <w:tcPr>
            <w:tcW w:w="1599" w:type="dxa"/>
            <w:shd w:val="clear" w:color="auto" w:fill="auto"/>
            <w:vAlign w:val="bottom"/>
          </w:tcPr>
          <w:p w14:paraId="12462318" w14:textId="77777777" w:rsidR="00390E71" w:rsidRPr="002D2F67" w:rsidRDefault="00390E71" w:rsidP="005611FE">
            <w:pPr>
              <w:ind w:right="-72"/>
              <w:jc w:val="right"/>
              <w:rPr>
                <w:rFonts w:ascii="Arial" w:hAnsi="Arial" w:cs="Arial"/>
                <w:color w:val="000000"/>
                <w:sz w:val="20"/>
                <w:szCs w:val="20"/>
              </w:rPr>
            </w:pPr>
          </w:p>
        </w:tc>
        <w:tc>
          <w:tcPr>
            <w:tcW w:w="1599" w:type="dxa"/>
            <w:shd w:val="clear" w:color="auto" w:fill="auto"/>
            <w:vAlign w:val="bottom"/>
          </w:tcPr>
          <w:p w14:paraId="27BD10AF" w14:textId="77777777" w:rsidR="00390E71" w:rsidRPr="002D2F67" w:rsidRDefault="00390E71" w:rsidP="005611FE">
            <w:pPr>
              <w:ind w:right="-72"/>
              <w:jc w:val="right"/>
              <w:rPr>
                <w:rFonts w:ascii="Arial" w:hAnsi="Arial" w:cs="Arial"/>
                <w:color w:val="000000"/>
                <w:sz w:val="20"/>
                <w:szCs w:val="20"/>
              </w:rPr>
            </w:pPr>
          </w:p>
        </w:tc>
        <w:tc>
          <w:tcPr>
            <w:tcW w:w="1571" w:type="dxa"/>
            <w:shd w:val="clear" w:color="auto" w:fill="auto"/>
            <w:vAlign w:val="bottom"/>
          </w:tcPr>
          <w:p w14:paraId="1B35CF8F" w14:textId="77777777" w:rsidR="00390E71" w:rsidRPr="002D2F67" w:rsidRDefault="00390E71" w:rsidP="005611FE">
            <w:pPr>
              <w:ind w:right="-72"/>
              <w:jc w:val="right"/>
              <w:rPr>
                <w:rFonts w:ascii="Arial" w:hAnsi="Arial" w:cs="Arial"/>
                <w:color w:val="000000"/>
                <w:sz w:val="20"/>
                <w:szCs w:val="20"/>
              </w:rPr>
            </w:pPr>
          </w:p>
        </w:tc>
      </w:tr>
      <w:tr w:rsidR="005611FE" w:rsidRPr="002D2F67" w14:paraId="543E5430" w14:textId="77777777" w:rsidTr="19457625">
        <w:trPr>
          <w:trHeight w:val="239"/>
        </w:trPr>
        <w:tc>
          <w:tcPr>
            <w:tcW w:w="4505" w:type="dxa"/>
            <w:shd w:val="clear" w:color="auto" w:fill="auto"/>
            <w:vAlign w:val="bottom"/>
          </w:tcPr>
          <w:p w14:paraId="133BC014" w14:textId="77777777" w:rsidR="00AE4BD1" w:rsidRPr="002D2F67" w:rsidRDefault="00AE4BD1" w:rsidP="005611FE">
            <w:pPr>
              <w:ind w:left="180" w:right="-109"/>
              <w:rPr>
                <w:rFonts w:ascii="Arial" w:hAnsi="Arial" w:cs="Arial"/>
                <w:color w:val="000000"/>
                <w:sz w:val="20"/>
                <w:szCs w:val="20"/>
              </w:rPr>
            </w:pPr>
            <w:r w:rsidRPr="002D2F67">
              <w:rPr>
                <w:rFonts w:ascii="Arial" w:hAnsi="Arial" w:cs="Arial"/>
                <w:color w:val="000000"/>
                <w:sz w:val="20"/>
                <w:szCs w:val="20"/>
              </w:rPr>
              <w:t>Opening net book value</w:t>
            </w:r>
          </w:p>
        </w:tc>
        <w:tc>
          <w:tcPr>
            <w:tcW w:w="1599" w:type="dxa"/>
            <w:shd w:val="clear" w:color="auto" w:fill="auto"/>
          </w:tcPr>
          <w:p w14:paraId="4C5BEA04" w14:textId="0BFFEE0B"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380</w:t>
            </w:r>
            <w:r w:rsidR="00AE4BD1" w:rsidRPr="002D2F67">
              <w:rPr>
                <w:rFonts w:ascii="Arial" w:hAnsi="Arial" w:cs="Arial"/>
                <w:color w:val="000000"/>
                <w:sz w:val="20"/>
                <w:szCs w:val="20"/>
              </w:rPr>
              <w:t>,</w:t>
            </w:r>
            <w:r w:rsidRPr="00CD5714">
              <w:rPr>
                <w:rFonts w:ascii="Arial" w:hAnsi="Arial" w:cs="Arial"/>
                <w:color w:val="000000"/>
                <w:sz w:val="20"/>
                <w:szCs w:val="20"/>
                <w:lang w:val="en-GB"/>
              </w:rPr>
              <w:t>481</w:t>
            </w:r>
          </w:p>
        </w:tc>
        <w:tc>
          <w:tcPr>
            <w:tcW w:w="1599" w:type="dxa"/>
            <w:shd w:val="clear" w:color="auto" w:fill="auto"/>
          </w:tcPr>
          <w:p w14:paraId="764476EF" w14:textId="6E590707"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241</w:t>
            </w:r>
            <w:r w:rsidR="00AE4BD1" w:rsidRPr="002D2F67">
              <w:rPr>
                <w:rFonts w:ascii="Arial" w:hAnsi="Arial" w:cs="Arial"/>
                <w:color w:val="000000"/>
                <w:sz w:val="20"/>
                <w:szCs w:val="20"/>
              </w:rPr>
              <w:t>,</w:t>
            </w:r>
            <w:r w:rsidRPr="00CD5714">
              <w:rPr>
                <w:rFonts w:ascii="Arial" w:hAnsi="Arial" w:cs="Arial"/>
                <w:color w:val="000000"/>
                <w:sz w:val="20"/>
                <w:szCs w:val="20"/>
                <w:lang w:val="en-GB"/>
              </w:rPr>
              <w:t>631</w:t>
            </w:r>
          </w:p>
        </w:tc>
        <w:tc>
          <w:tcPr>
            <w:tcW w:w="1599" w:type="dxa"/>
            <w:shd w:val="clear" w:color="auto" w:fill="auto"/>
          </w:tcPr>
          <w:p w14:paraId="3B93AD74" w14:textId="7B7861EE"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91</w:t>
            </w:r>
            <w:r w:rsidR="00AE4BD1" w:rsidRPr="002D2F67">
              <w:rPr>
                <w:rFonts w:ascii="Arial" w:hAnsi="Arial" w:cs="Arial"/>
                <w:color w:val="000000"/>
                <w:sz w:val="20"/>
                <w:szCs w:val="20"/>
              </w:rPr>
              <w:t>,</w:t>
            </w:r>
            <w:r w:rsidRPr="00CD5714">
              <w:rPr>
                <w:rFonts w:ascii="Arial" w:hAnsi="Arial" w:cs="Arial"/>
                <w:color w:val="000000"/>
                <w:sz w:val="20"/>
                <w:szCs w:val="20"/>
                <w:lang w:val="en-GB"/>
              </w:rPr>
              <w:t>704</w:t>
            </w:r>
          </w:p>
        </w:tc>
        <w:tc>
          <w:tcPr>
            <w:tcW w:w="1599" w:type="dxa"/>
            <w:shd w:val="clear" w:color="auto" w:fill="auto"/>
          </w:tcPr>
          <w:p w14:paraId="2B721415" w14:textId="63EAD887"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10</w:t>
            </w:r>
            <w:r w:rsidR="00AE4BD1" w:rsidRPr="002D2F67">
              <w:rPr>
                <w:rFonts w:ascii="Arial" w:hAnsi="Arial" w:cs="Arial"/>
                <w:color w:val="000000"/>
                <w:sz w:val="20"/>
                <w:szCs w:val="20"/>
              </w:rPr>
              <w:t>,</w:t>
            </w:r>
            <w:r w:rsidRPr="00CD5714">
              <w:rPr>
                <w:rFonts w:ascii="Arial" w:hAnsi="Arial" w:cs="Arial"/>
                <w:color w:val="000000"/>
                <w:sz w:val="20"/>
                <w:szCs w:val="20"/>
                <w:lang w:val="en-GB"/>
              </w:rPr>
              <w:t>372</w:t>
            </w:r>
            <w:r w:rsidR="00AE4BD1" w:rsidRPr="002D2F67">
              <w:rPr>
                <w:rFonts w:ascii="Arial" w:hAnsi="Arial" w:cs="Arial"/>
                <w:color w:val="000000"/>
                <w:sz w:val="20"/>
                <w:szCs w:val="20"/>
              </w:rPr>
              <w:t>,</w:t>
            </w:r>
            <w:r w:rsidRPr="00CD5714">
              <w:rPr>
                <w:rFonts w:ascii="Arial" w:hAnsi="Arial" w:cs="Arial"/>
                <w:color w:val="000000"/>
                <w:sz w:val="20"/>
                <w:szCs w:val="20"/>
                <w:lang w:val="en-GB"/>
              </w:rPr>
              <w:t>051</w:t>
            </w:r>
          </w:p>
        </w:tc>
        <w:tc>
          <w:tcPr>
            <w:tcW w:w="1599" w:type="dxa"/>
            <w:shd w:val="clear" w:color="auto" w:fill="auto"/>
          </w:tcPr>
          <w:p w14:paraId="52793468" w14:textId="21EA11C3"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22</w:t>
            </w:r>
            <w:r w:rsidR="00AE4BD1" w:rsidRPr="002D2F67">
              <w:rPr>
                <w:rFonts w:ascii="Arial" w:hAnsi="Arial" w:cs="Arial"/>
                <w:color w:val="000000"/>
                <w:sz w:val="20"/>
                <w:szCs w:val="20"/>
              </w:rPr>
              <w:t>,</w:t>
            </w:r>
            <w:r w:rsidRPr="00CD5714">
              <w:rPr>
                <w:rFonts w:ascii="Arial" w:hAnsi="Arial" w:cs="Arial"/>
                <w:color w:val="000000"/>
                <w:sz w:val="20"/>
                <w:szCs w:val="20"/>
                <w:lang w:val="en-GB"/>
              </w:rPr>
              <w:t>120</w:t>
            </w:r>
          </w:p>
        </w:tc>
        <w:tc>
          <w:tcPr>
            <w:tcW w:w="1599" w:type="dxa"/>
            <w:shd w:val="clear" w:color="auto" w:fill="auto"/>
          </w:tcPr>
          <w:p w14:paraId="0EDC5E43" w14:textId="66522F51"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152</w:t>
            </w:r>
            <w:r w:rsidR="00AE4BD1" w:rsidRPr="002D2F67">
              <w:rPr>
                <w:rFonts w:ascii="Arial" w:hAnsi="Arial" w:cs="Arial"/>
                <w:color w:val="000000"/>
                <w:sz w:val="20"/>
                <w:szCs w:val="20"/>
              </w:rPr>
              <w:t>,</w:t>
            </w:r>
            <w:r w:rsidRPr="00CD5714">
              <w:rPr>
                <w:rFonts w:ascii="Arial" w:hAnsi="Arial" w:cs="Arial"/>
                <w:color w:val="000000"/>
                <w:sz w:val="20"/>
                <w:szCs w:val="20"/>
                <w:lang w:val="en-GB"/>
              </w:rPr>
              <w:t>014</w:t>
            </w:r>
          </w:p>
        </w:tc>
        <w:tc>
          <w:tcPr>
            <w:tcW w:w="1571" w:type="dxa"/>
            <w:shd w:val="clear" w:color="auto" w:fill="auto"/>
          </w:tcPr>
          <w:p w14:paraId="3718FA12" w14:textId="17438401"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11</w:t>
            </w:r>
            <w:r w:rsidR="00AE4BD1" w:rsidRPr="002D2F67">
              <w:rPr>
                <w:rFonts w:ascii="Arial" w:hAnsi="Arial" w:cs="Arial"/>
                <w:color w:val="000000"/>
                <w:sz w:val="20"/>
                <w:szCs w:val="20"/>
              </w:rPr>
              <w:t>,</w:t>
            </w:r>
            <w:r w:rsidRPr="00CD5714">
              <w:rPr>
                <w:rFonts w:ascii="Arial" w:hAnsi="Arial" w:cs="Arial"/>
                <w:color w:val="000000"/>
                <w:sz w:val="20"/>
                <w:szCs w:val="20"/>
                <w:lang w:val="en-GB"/>
              </w:rPr>
              <w:t>260</w:t>
            </w:r>
            <w:r w:rsidR="00AE4BD1" w:rsidRPr="002D2F67">
              <w:rPr>
                <w:rFonts w:ascii="Arial" w:hAnsi="Arial" w:cs="Arial"/>
                <w:color w:val="000000"/>
                <w:sz w:val="20"/>
                <w:szCs w:val="20"/>
              </w:rPr>
              <w:t>,</w:t>
            </w:r>
            <w:r w:rsidRPr="00CD5714">
              <w:rPr>
                <w:rFonts w:ascii="Arial" w:hAnsi="Arial" w:cs="Arial"/>
                <w:color w:val="000000"/>
                <w:sz w:val="20"/>
                <w:szCs w:val="20"/>
                <w:lang w:val="en-GB"/>
              </w:rPr>
              <w:t>001</w:t>
            </w:r>
          </w:p>
        </w:tc>
      </w:tr>
      <w:tr w:rsidR="005611FE" w:rsidRPr="002D2F67" w14:paraId="6EAB25D4" w14:textId="77777777" w:rsidTr="19457625">
        <w:trPr>
          <w:trHeight w:val="239"/>
        </w:trPr>
        <w:tc>
          <w:tcPr>
            <w:tcW w:w="4505" w:type="dxa"/>
            <w:shd w:val="clear" w:color="auto" w:fill="auto"/>
            <w:vAlign w:val="bottom"/>
          </w:tcPr>
          <w:p w14:paraId="7630927F" w14:textId="77777777" w:rsidR="00AE4BD1" w:rsidRPr="002D2F67" w:rsidRDefault="00AE4BD1" w:rsidP="005611FE">
            <w:pPr>
              <w:ind w:left="180"/>
              <w:rPr>
                <w:rFonts w:ascii="Arial" w:hAnsi="Arial" w:cs="Arial"/>
                <w:color w:val="000000"/>
                <w:sz w:val="20"/>
                <w:szCs w:val="20"/>
              </w:rPr>
            </w:pPr>
            <w:r w:rsidRPr="002D2F67">
              <w:rPr>
                <w:rFonts w:ascii="Arial" w:hAnsi="Arial" w:cs="Arial"/>
                <w:color w:val="000000"/>
                <w:sz w:val="20"/>
                <w:szCs w:val="20"/>
              </w:rPr>
              <w:t>Additions</w:t>
            </w:r>
          </w:p>
        </w:tc>
        <w:tc>
          <w:tcPr>
            <w:tcW w:w="1599" w:type="dxa"/>
            <w:shd w:val="clear" w:color="auto" w:fill="auto"/>
            <w:vAlign w:val="bottom"/>
          </w:tcPr>
          <w:p w14:paraId="571B8BD6" w14:textId="6B40F6A8" w:rsidR="00AE4BD1" w:rsidRPr="002D2F67" w:rsidRDefault="00A070E2"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99" w:type="dxa"/>
            <w:shd w:val="clear" w:color="auto" w:fill="auto"/>
            <w:vAlign w:val="bottom"/>
          </w:tcPr>
          <w:p w14:paraId="407102E7" w14:textId="01E1C479" w:rsidR="00AE4BD1" w:rsidRPr="002D2F67" w:rsidRDefault="00A070E2"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99" w:type="dxa"/>
            <w:shd w:val="clear" w:color="auto" w:fill="auto"/>
            <w:vAlign w:val="bottom"/>
          </w:tcPr>
          <w:p w14:paraId="4A893FFE" w14:textId="038ECB79"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438</w:t>
            </w:r>
          </w:p>
        </w:tc>
        <w:tc>
          <w:tcPr>
            <w:tcW w:w="1599" w:type="dxa"/>
            <w:shd w:val="clear" w:color="auto" w:fill="auto"/>
            <w:vAlign w:val="bottom"/>
          </w:tcPr>
          <w:p w14:paraId="0E68D894" w14:textId="0E8773E4"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234</w:t>
            </w:r>
          </w:p>
        </w:tc>
        <w:tc>
          <w:tcPr>
            <w:tcW w:w="1599" w:type="dxa"/>
            <w:shd w:val="clear" w:color="auto" w:fill="auto"/>
            <w:vAlign w:val="bottom"/>
          </w:tcPr>
          <w:p w14:paraId="67496F6B" w14:textId="690040B6"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w:t>
            </w:r>
            <w:r w:rsidR="00A070E2" w:rsidRPr="002D2F67">
              <w:rPr>
                <w:rFonts w:ascii="Arial" w:hAnsi="Arial" w:cs="Arial"/>
                <w:color w:val="000000"/>
                <w:sz w:val="20"/>
                <w:szCs w:val="20"/>
              </w:rPr>
              <w:t>,</w:t>
            </w:r>
            <w:r w:rsidRPr="00CD5714">
              <w:rPr>
                <w:rFonts w:ascii="Arial" w:hAnsi="Arial" w:cs="Arial"/>
                <w:color w:val="000000"/>
                <w:sz w:val="20"/>
                <w:szCs w:val="20"/>
                <w:lang w:val="en-GB"/>
              </w:rPr>
              <w:t>770</w:t>
            </w:r>
          </w:p>
        </w:tc>
        <w:tc>
          <w:tcPr>
            <w:tcW w:w="1599" w:type="dxa"/>
            <w:shd w:val="clear" w:color="auto" w:fill="auto"/>
            <w:vAlign w:val="bottom"/>
          </w:tcPr>
          <w:p w14:paraId="07444AEB" w14:textId="53AD882B"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5</w:t>
            </w:r>
            <w:r w:rsidR="00A070E2" w:rsidRPr="002D2F67">
              <w:rPr>
                <w:rFonts w:ascii="Arial" w:hAnsi="Arial" w:cs="Arial"/>
                <w:color w:val="000000"/>
                <w:sz w:val="20"/>
                <w:szCs w:val="20"/>
              </w:rPr>
              <w:t>,</w:t>
            </w:r>
            <w:r w:rsidRPr="00CD5714">
              <w:rPr>
                <w:rFonts w:ascii="Arial" w:hAnsi="Arial" w:cs="Arial"/>
                <w:color w:val="000000"/>
                <w:sz w:val="20"/>
                <w:szCs w:val="20"/>
                <w:lang w:val="en-GB"/>
              </w:rPr>
              <w:t>276</w:t>
            </w:r>
          </w:p>
        </w:tc>
        <w:tc>
          <w:tcPr>
            <w:tcW w:w="1571" w:type="dxa"/>
            <w:shd w:val="clear" w:color="auto" w:fill="auto"/>
            <w:vAlign w:val="bottom"/>
          </w:tcPr>
          <w:p w14:paraId="61FAD430" w14:textId="23D8C661"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8</w:t>
            </w:r>
            <w:r w:rsidR="00A070E2" w:rsidRPr="002D2F67">
              <w:rPr>
                <w:rFonts w:ascii="Arial" w:hAnsi="Arial" w:cs="Arial"/>
                <w:color w:val="000000"/>
                <w:sz w:val="20"/>
                <w:szCs w:val="20"/>
              </w:rPr>
              <w:t>,</w:t>
            </w:r>
            <w:r w:rsidRPr="00CD5714">
              <w:rPr>
                <w:rFonts w:ascii="Arial" w:hAnsi="Arial" w:cs="Arial"/>
                <w:color w:val="000000"/>
                <w:sz w:val="20"/>
                <w:szCs w:val="20"/>
                <w:lang w:val="en-GB"/>
              </w:rPr>
              <w:t>718</w:t>
            </w:r>
          </w:p>
        </w:tc>
      </w:tr>
      <w:tr w:rsidR="005611FE" w:rsidRPr="002D2F67" w14:paraId="74893C15" w14:textId="77777777" w:rsidTr="19457625">
        <w:trPr>
          <w:trHeight w:val="239"/>
        </w:trPr>
        <w:tc>
          <w:tcPr>
            <w:tcW w:w="4505" w:type="dxa"/>
            <w:shd w:val="clear" w:color="auto" w:fill="auto"/>
            <w:vAlign w:val="bottom"/>
          </w:tcPr>
          <w:p w14:paraId="7F7836B3" w14:textId="77777777" w:rsidR="00AE4BD1" w:rsidRPr="002D2F67" w:rsidRDefault="00AE4BD1" w:rsidP="005611FE">
            <w:pPr>
              <w:ind w:left="180"/>
              <w:rPr>
                <w:rFonts w:ascii="Arial" w:hAnsi="Arial" w:cs="Arial"/>
                <w:color w:val="000000"/>
                <w:sz w:val="20"/>
                <w:szCs w:val="20"/>
              </w:rPr>
            </w:pPr>
            <w:r w:rsidRPr="002D2F67">
              <w:rPr>
                <w:rFonts w:ascii="Arial" w:hAnsi="Arial" w:cs="Arial"/>
                <w:color w:val="000000"/>
                <w:sz w:val="20"/>
                <w:szCs w:val="20"/>
              </w:rPr>
              <w:t xml:space="preserve">Revise provision for decommissioning costs </w:t>
            </w:r>
          </w:p>
          <w:p w14:paraId="73074C26" w14:textId="1CDB96BD" w:rsidR="00AE4BD1" w:rsidRPr="002D2F67" w:rsidRDefault="00AE4BD1" w:rsidP="005611FE">
            <w:pPr>
              <w:ind w:left="180"/>
              <w:rPr>
                <w:rFonts w:ascii="Arial" w:hAnsi="Arial" w:cs="Arial"/>
                <w:color w:val="000000"/>
                <w:sz w:val="20"/>
                <w:szCs w:val="20"/>
              </w:rPr>
            </w:pPr>
            <w:r w:rsidRPr="002D2F67">
              <w:rPr>
                <w:rFonts w:ascii="Arial" w:hAnsi="Arial" w:cs="Arial"/>
                <w:color w:val="000000"/>
                <w:sz w:val="20"/>
                <w:szCs w:val="20"/>
                <w:cs/>
              </w:rPr>
              <w:t xml:space="preserve">   (</w:t>
            </w:r>
            <w:r w:rsidRPr="002D2F67">
              <w:rPr>
                <w:rFonts w:ascii="Arial" w:hAnsi="Arial" w:cs="Arial"/>
                <w:color w:val="000000"/>
                <w:sz w:val="20"/>
                <w:szCs w:val="20"/>
              </w:rPr>
              <w:t xml:space="preserve">Note </w:t>
            </w:r>
            <w:r w:rsidR="00CD5714" w:rsidRPr="00CD5714">
              <w:rPr>
                <w:rFonts w:ascii="Arial" w:hAnsi="Arial" w:cs="Arial"/>
                <w:color w:val="000000"/>
                <w:sz w:val="20"/>
                <w:szCs w:val="20"/>
                <w:lang w:val="en-GB"/>
              </w:rPr>
              <w:t>31</w:t>
            </w:r>
            <w:r w:rsidRPr="002D2F67">
              <w:rPr>
                <w:rFonts w:ascii="Arial" w:hAnsi="Arial" w:cs="Arial"/>
                <w:color w:val="000000"/>
                <w:sz w:val="20"/>
                <w:szCs w:val="20"/>
                <w:cs/>
              </w:rPr>
              <w:t>)</w:t>
            </w:r>
          </w:p>
        </w:tc>
        <w:tc>
          <w:tcPr>
            <w:tcW w:w="1599" w:type="dxa"/>
            <w:shd w:val="clear" w:color="auto" w:fill="auto"/>
            <w:vAlign w:val="bottom"/>
          </w:tcPr>
          <w:p w14:paraId="7A0142EA" w14:textId="36437CC6" w:rsidR="00AE4BD1" w:rsidRPr="002D2F67" w:rsidRDefault="00A070E2"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99" w:type="dxa"/>
            <w:shd w:val="clear" w:color="auto" w:fill="auto"/>
            <w:vAlign w:val="bottom"/>
          </w:tcPr>
          <w:p w14:paraId="1D71079E" w14:textId="4D3B14F9" w:rsidR="00AE4BD1" w:rsidRPr="002D2F67" w:rsidRDefault="00A070E2"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99" w:type="dxa"/>
            <w:shd w:val="clear" w:color="auto" w:fill="auto"/>
            <w:vAlign w:val="bottom"/>
          </w:tcPr>
          <w:p w14:paraId="143DEE93" w14:textId="6EA06514" w:rsidR="00AE4BD1" w:rsidRPr="002D2F67" w:rsidRDefault="00A070E2"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99" w:type="dxa"/>
            <w:shd w:val="clear" w:color="auto" w:fill="auto"/>
            <w:vAlign w:val="bottom"/>
          </w:tcPr>
          <w:p w14:paraId="26F63D65" w14:textId="6567D41F"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22</w:t>
            </w:r>
            <w:r w:rsidR="00A070E2" w:rsidRPr="002D2F67">
              <w:rPr>
                <w:rFonts w:ascii="Arial" w:hAnsi="Arial" w:cs="Arial"/>
                <w:color w:val="000000"/>
                <w:sz w:val="20"/>
                <w:szCs w:val="20"/>
              </w:rPr>
              <w:t>,</w:t>
            </w:r>
            <w:r w:rsidRPr="00CD5714">
              <w:rPr>
                <w:rFonts w:ascii="Arial" w:hAnsi="Arial" w:cs="Arial"/>
                <w:color w:val="000000"/>
                <w:sz w:val="20"/>
                <w:szCs w:val="20"/>
                <w:lang w:val="en-GB"/>
              </w:rPr>
              <w:t>179</w:t>
            </w:r>
          </w:p>
        </w:tc>
        <w:tc>
          <w:tcPr>
            <w:tcW w:w="1599" w:type="dxa"/>
            <w:shd w:val="clear" w:color="auto" w:fill="auto"/>
            <w:vAlign w:val="bottom"/>
          </w:tcPr>
          <w:p w14:paraId="4F9E03D0" w14:textId="767E6DC6" w:rsidR="00AE4BD1" w:rsidRPr="002D2F67" w:rsidRDefault="00A070E2"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99" w:type="dxa"/>
            <w:shd w:val="clear" w:color="auto" w:fill="auto"/>
            <w:vAlign w:val="bottom"/>
          </w:tcPr>
          <w:p w14:paraId="7C051E45" w14:textId="47CA1083" w:rsidR="00AE4BD1" w:rsidRPr="002D2F67" w:rsidRDefault="00A070E2"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71" w:type="dxa"/>
            <w:shd w:val="clear" w:color="auto" w:fill="auto"/>
            <w:vAlign w:val="bottom"/>
          </w:tcPr>
          <w:p w14:paraId="6B6749DB" w14:textId="7D18598D"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22</w:t>
            </w:r>
            <w:r w:rsidR="00A070E2" w:rsidRPr="002D2F67">
              <w:rPr>
                <w:rFonts w:ascii="Arial" w:hAnsi="Arial" w:cs="Arial"/>
                <w:color w:val="000000"/>
                <w:sz w:val="20"/>
                <w:szCs w:val="20"/>
              </w:rPr>
              <w:t>,</w:t>
            </w:r>
            <w:r w:rsidRPr="00CD5714">
              <w:rPr>
                <w:rFonts w:ascii="Arial" w:hAnsi="Arial" w:cs="Arial"/>
                <w:color w:val="000000"/>
                <w:sz w:val="20"/>
                <w:szCs w:val="20"/>
                <w:lang w:val="en-GB"/>
              </w:rPr>
              <w:t>179</w:t>
            </w:r>
          </w:p>
        </w:tc>
      </w:tr>
      <w:tr w:rsidR="005611FE" w:rsidRPr="002D2F67" w14:paraId="6682A18E" w14:textId="77777777" w:rsidTr="19457625">
        <w:trPr>
          <w:trHeight w:val="67"/>
        </w:trPr>
        <w:tc>
          <w:tcPr>
            <w:tcW w:w="4505" w:type="dxa"/>
            <w:shd w:val="clear" w:color="auto" w:fill="auto"/>
            <w:vAlign w:val="bottom"/>
          </w:tcPr>
          <w:p w14:paraId="23BF00F9" w14:textId="05B89EDD" w:rsidR="00AE4BD1" w:rsidRPr="002D2F67" w:rsidRDefault="00AE4BD1" w:rsidP="005611FE">
            <w:pPr>
              <w:ind w:left="180"/>
              <w:rPr>
                <w:rFonts w:ascii="Arial" w:hAnsi="Arial" w:cs="Arial"/>
                <w:color w:val="000000"/>
                <w:sz w:val="20"/>
                <w:szCs w:val="20"/>
              </w:rPr>
            </w:pPr>
            <w:r w:rsidRPr="002D2F67">
              <w:rPr>
                <w:rFonts w:ascii="Arial" w:hAnsi="Arial" w:cs="Arial"/>
                <w:color w:val="000000"/>
                <w:sz w:val="20"/>
                <w:szCs w:val="20"/>
              </w:rPr>
              <w:t xml:space="preserve">Depreciation charged </w:t>
            </w:r>
          </w:p>
        </w:tc>
        <w:tc>
          <w:tcPr>
            <w:tcW w:w="1599" w:type="dxa"/>
            <w:tcBorders>
              <w:bottom w:val="single" w:sz="4" w:space="0" w:color="auto"/>
            </w:tcBorders>
            <w:shd w:val="clear" w:color="auto" w:fill="auto"/>
            <w:vAlign w:val="bottom"/>
          </w:tcPr>
          <w:p w14:paraId="514DDA8A" w14:textId="7F1D1285" w:rsidR="00AE4BD1" w:rsidRPr="002D2F67" w:rsidRDefault="00A070E2"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99" w:type="dxa"/>
            <w:tcBorders>
              <w:bottom w:val="single" w:sz="4" w:space="0" w:color="auto"/>
            </w:tcBorders>
            <w:shd w:val="clear" w:color="auto" w:fill="auto"/>
            <w:vAlign w:val="bottom"/>
          </w:tcPr>
          <w:p w14:paraId="719507D4" w14:textId="14055737" w:rsidR="00AE4BD1" w:rsidRPr="002D2F67" w:rsidRDefault="00A070E2"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7</w:t>
            </w:r>
            <w:r w:rsidRPr="002D2F67">
              <w:rPr>
                <w:rFonts w:ascii="Arial" w:hAnsi="Arial" w:cs="Arial"/>
                <w:color w:val="000000"/>
                <w:sz w:val="20"/>
                <w:szCs w:val="20"/>
              </w:rPr>
              <w:t>,</w:t>
            </w:r>
            <w:r w:rsidR="00CD5714" w:rsidRPr="00CD5714">
              <w:rPr>
                <w:rFonts w:ascii="Arial" w:hAnsi="Arial" w:cs="Arial"/>
                <w:color w:val="000000"/>
                <w:sz w:val="20"/>
                <w:szCs w:val="20"/>
                <w:lang w:val="en-GB"/>
              </w:rPr>
              <w:t>435</w:t>
            </w:r>
            <w:r w:rsidRPr="002D2F67">
              <w:rPr>
                <w:rFonts w:ascii="Arial" w:hAnsi="Arial" w:cs="Arial"/>
                <w:color w:val="000000"/>
                <w:sz w:val="20"/>
                <w:szCs w:val="20"/>
              </w:rPr>
              <w:t>)</w:t>
            </w:r>
          </w:p>
        </w:tc>
        <w:tc>
          <w:tcPr>
            <w:tcW w:w="1599" w:type="dxa"/>
            <w:tcBorders>
              <w:bottom w:val="single" w:sz="4" w:space="0" w:color="auto"/>
            </w:tcBorders>
            <w:shd w:val="clear" w:color="auto" w:fill="auto"/>
          </w:tcPr>
          <w:p w14:paraId="7D5A32C5" w14:textId="349C873F" w:rsidR="00AE4BD1" w:rsidRPr="002D2F67" w:rsidRDefault="00A070E2"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11</w:t>
            </w:r>
            <w:r w:rsidRPr="002D2F67">
              <w:rPr>
                <w:rFonts w:ascii="Arial" w:hAnsi="Arial" w:cs="Arial"/>
                <w:color w:val="000000"/>
                <w:sz w:val="20"/>
                <w:szCs w:val="20"/>
              </w:rPr>
              <w:t>,</w:t>
            </w:r>
            <w:r w:rsidR="00CD5714" w:rsidRPr="00CD5714">
              <w:rPr>
                <w:rFonts w:ascii="Arial" w:hAnsi="Arial" w:cs="Arial"/>
                <w:color w:val="000000"/>
                <w:sz w:val="20"/>
                <w:szCs w:val="20"/>
                <w:lang w:val="en-GB"/>
              </w:rPr>
              <w:t>444</w:t>
            </w:r>
            <w:r w:rsidRPr="002D2F67">
              <w:rPr>
                <w:rFonts w:ascii="Arial" w:hAnsi="Arial" w:cs="Arial"/>
                <w:color w:val="000000"/>
                <w:sz w:val="20"/>
                <w:szCs w:val="20"/>
              </w:rPr>
              <w:t>)</w:t>
            </w:r>
          </w:p>
        </w:tc>
        <w:tc>
          <w:tcPr>
            <w:tcW w:w="1599" w:type="dxa"/>
            <w:tcBorders>
              <w:bottom w:val="single" w:sz="4" w:space="0" w:color="auto"/>
            </w:tcBorders>
            <w:shd w:val="clear" w:color="auto" w:fill="auto"/>
          </w:tcPr>
          <w:p w14:paraId="085A98FF" w14:textId="1FB4EB5A" w:rsidR="00AE4BD1" w:rsidRPr="002D2F67" w:rsidRDefault="00A070E2"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705</w:t>
            </w:r>
            <w:r w:rsidRPr="002D2F67">
              <w:rPr>
                <w:rFonts w:ascii="Arial" w:hAnsi="Arial" w:cs="Arial"/>
                <w:color w:val="000000"/>
                <w:sz w:val="20"/>
                <w:szCs w:val="20"/>
              </w:rPr>
              <w:t>,</w:t>
            </w:r>
            <w:r w:rsidR="00CD5714" w:rsidRPr="00CD5714">
              <w:rPr>
                <w:rFonts w:ascii="Arial" w:hAnsi="Arial" w:cs="Arial"/>
                <w:color w:val="000000"/>
                <w:sz w:val="20"/>
                <w:szCs w:val="20"/>
                <w:lang w:val="en-GB"/>
              </w:rPr>
              <w:t>349</w:t>
            </w:r>
            <w:r w:rsidRPr="002D2F67">
              <w:rPr>
                <w:rFonts w:ascii="Arial" w:hAnsi="Arial" w:cs="Arial"/>
                <w:color w:val="000000"/>
                <w:sz w:val="20"/>
                <w:szCs w:val="20"/>
              </w:rPr>
              <w:t>)</w:t>
            </w:r>
          </w:p>
        </w:tc>
        <w:tc>
          <w:tcPr>
            <w:tcW w:w="1599" w:type="dxa"/>
            <w:tcBorders>
              <w:bottom w:val="single" w:sz="4" w:space="0" w:color="auto"/>
            </w:tcBorders>
            <w:shd w:val="clear" w:color="auto" w:fill="auto"/>
          </w:tcPr>
          <w:p w14:paraId="16AC11A2" w14:textId="7CFDA49D" w:rsidR="00AE4BD1" w:rsidRPr="002D2F67" w:rsidRDefault="00A070E2"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6</w:t>
            </w:r>
            <w:r w:rsidRPr="002D2F67">
              <w:rPr>
                <w:rFonts w:ascii="Arial" w:hAnsi="Arial" w:cs="Arial"/>
                <w:color w:val="000000"/>
                <w:sz w:val="20"/>
                <w:szCs w:val="20"/>
              </w:rPr>
              <w:t>,</w:t>
            </w:r>
            <w:r w:rsidR="00CD5714" w:rsidRPr="00CD5714">
              <w:rPr>
                <w:rFonts w:ascii="Arial" w:hAnsi="Arial" w:cs="Arial"/>
                <w:color w:val="000000"/>
                <w:sz w:val="20"/>
                <w:szCs w:val="20"/>
                <w:lang w:val="en-GB"/>
              </w:rPr>
              <w:t>035</w:t>
            </w:r>
            <w:r w:rsidRPr="002D2F67">
              <w:rPr>
                <w:rFonts w:ascii="Arial" w:hAnsi="Arial" w:cs="Arial"/>
                <w:color w:val="000000"/>
                <w:sz w:val="20"/>
                <w:szCs w:val="20"/>
              </w:rPr>
              <w:t>)</w:t>
            </w:r>
          </w:p>
        </w:tc>
        <w:tc>
          <w:tcPr>
            <w:tcW w:w="1599" w:type="dxa"/>
            <w:tcBorders>
              <w:bottom w:val="single" w:sz="4" w:space="0" w:color="auto"/>
            </w:tcBorders>
            <w:shd w:val="clear" w:color="auto" w:fill="auto"/>
          </w:tcPr>
          <w:p w14:paraId="622D20A8" w14:textId="2DE83EB1" w:rsidR="00AE4BD1" w:rsidRPr="002D2F67" w:rsidRDefault="00A070E2"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71" w:type="dxa"/>
            <w:tcBorders>
              <w:bottom w:val="single" w:sz="4" w:space="0" w:color="auto"/>
            </w:tcBorders>
            <w:shd w:val="clear" w:color="auto" w:fill="auto"/>
          </w:tcPr>
          <w:p w14:paraId="784ABEB2" w14:textId="102C51AB" w:rsidR="00AE4BD1" w:rsidRPr="002D2F67" w:rsidRDefault="00A070E2"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730</w:t>
            </w:r>
            <w:r w:rsidRPr="002D2F67">
              <w:rPr>
                <w:rFonts w:ascii="Arial" w:hAnsi="Arial" w:cs="Arial"/>
                <w:color w:val="000000"/>
                <w:sz w:val="20"/>
                <w:szCs w:val="20"/>
              </w:rPr>
              <w:t>,</w:t>
            </w:r>
            <w:r w:rsidR="00CD5714" w:rsidRPr="00CD5714">
              <w:rPr>
                <w:rFonts w:ascii="Arial" w:hAnsi="Arial" w:cs="Arial"/>
                <w:color w:val="000000"/>
                <w:sz w:val="20"/>
                <w:szCs w:val="20"/>
                <w:lang w:val="en-GB"/>
              </w:rPr>
              <w:t>263</w:t>
            </w:r>
            <w:r w:rsidRPr="002D2F67">
              <w:rPr>
                <w:rFonts w:ascii="Arial" w:hAnsi="Arial" w:cs="Arial"/>
                <w:color w:val="000000"/>
                <w:sz w:val="20"/>
                <w:szCs w:val="20"/>
              </w:rPr>
              <w:t>)</w:t>
            </w:r>
          </w:p>
        </w:tc>
      </w:tr>
      <w:tr w:rsidR="005611FE" w:rsidRPr="002D2F67" w14:paraId="428336BE" w14:textId="77777777" w:rsidTr="19457625">
        <w:trPr>
          <w:trHeight w:val="139"/>
        </w:trPr>
        <w:tc>
          <w:tcPr>
            <w:tcW w:w="4505" w:type="dxa"/>
            <w:shd w:val="clear" w:color="auto" w:fill="auto"/>
            <w:vAlign w:val="bottom"/>
          </w:tcPr>
          <w:p w14:paraId="3C7CBE32" w14:textId="77777777" w:rsidR="00AE4BD1" w:rsidRPr="002D2F67" w:rsidRDefault="00AE4BD1" w:rsidP="005611FE">
            <w:pPr>
              <w:ind w:left="180"/>
              <w:rPr>
                <w:rFonts w:ascii="Arial" w:hAnsi="Arial" w:cs="Arial"/>
                <w:b/>
                <w:bCs/>
                <w:color w:val="000000"/>
                <w:sz w:val="20"/>
                <w:szCs w:val="20"/>
              </w:rPr>
            </w:pPr>
          </w:p>
        </w:tc>
        <w:tc>
          <w:tcPr>
            <w:tcW w:w="1599" w:type="dxa"/>
            <w:tcBorders>
              <w:top w:val="single" w:sz="4" w:space="0" w:color="auto"/>
            </w:tcBorders>
            <w:shd w:val="clear" w:color="auto" w:fill="auto"/>
            <w:vAlign w:val="bottom"/>
          </w:tcPr>
          <w:p w14:paraId="64D8AA02" w14:textId="20D43308"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380</w:t>
            </w:r>
            <w:r w:rsidR="00A070E2" w:rsidRPr="002D2F67">
              <w:rPr>
                <w:rFonts w:ascii="Arial" w:hAnsi="Arial" w:cs="Arial"/>
                <w:color w:val="000000"/>
                <w:sz w:val="20"/>
                <w:szCs w:val="20"/>
              </w:rPr>
              <w:t>,</w:t>
            </w:r>
            <w:r w:rsidRPr="00CD5714">
              <w:rPr>
                <w:rFonts w:ascii="Arial" w:hAnsi="Arial" w:cs="Arial"/>
                <w:color w:val="000000"/>
                <w:sz w:val="20"/>
                <w:szCs w:val="20"/>
                <w:lang w:val="en-GB"/>
              </w:rPr>
              <w:t>481</w:t>
            </w:r>
          </w:p>
        </w:tc>
        <w:tc>
          <w:tcPr>
            <w:tcW w:w="1599" w:type="dxa"/>
            <w:tcBorders>
              <w:top w:val="single" w:sz="4" w:space="0" w:color="auto"/>
            </w:tcBorders>
            <w:shd w:val="clear" w:color="auto" w:fill="auto"/>
            <w:vAlign w:val="bottom"/>
          </w:tcPr>
          <w:p w14:paraId="18995670" w14:textId="2278FA33"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234</w:t>
            </w:r>
            <w:r w:rsidR="00A070E2" w:rsidRPr="002D2F67">
              <w:rPr>
                <w:rFonts w:ascii="Arial" w:hAnsi="Arial" w:cs="Arial"/>
                <w:color w:val="000000"/>
                <w:sz w:val="20"/>
                <w:szCs w:val="20"/>
              </w:rPr>
              <w:t>,</w:t>
            </w:r>
            <w:r w:rsidRPr="00CD5714">
              <w:rPr>
                <w:rFonts w:ascii="Arial" w:hAnsi="Arial" w:cs="Arial"/>
                <w:color w:val="000000"/>
                <w:sz w:val="20"/>
                <w:szCs w:val="20"/>
                <w:lang w:val="en-GB"/>
              </w:rPr>
              <w:t>196</w:t>
            </w:r>
          </w:p>
        </w:tc>
        <w:tc>
          <w:tcPr>
            <w:tcW w:w="1599" w:type="dxa"/>
            <w:tcBorders>
              <w:top w:val="single" w:sz="4" w:space="0" w:color="auto"/>
            </w:tcBorders>
            <w:shd w:val="clear" w:color="auto" w:fill="auto"/>
            <w:vAlign w:val="bottom"/>
          </w:tcPr>
          <w:p w14:paraId="4D95CB19" w14:textId="63843B2E"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80</w:t>
            </w:r>
            <w:r w:rsidR="00A070E2" w:rsidRPr="002D2F67">
              <w:rPr>
                <w:rFonts w:ascii="Arial" w:hAnsi="Arial" w:cs="Arial"/>
                <w:color w:val="000000"/>
                <w:sz w:val="20"/>
                <w:szCs w:val="20"/>
              </w:rPr>
              <w:t>,</w:t>
            </w:r>
            <w:r w:rsidRPr="00CD5714">
              <w:rPr>
                <w:rFonts w:ascii="Arial" w:hAnsi="Arial" w:cs="Arial"/>
                <w:color w:val="000000"/>
                <w:sz w:val="20"/>
                <w:szCs w:val="20"/>
                <w:lang w:val="en-GB"/>
              </w:rPr>
              <w:t>698</w:t>
            </w:r>
          </w:p>
        </w:tc>
        <w:tc>
          <w:tcPr>
            <w:tcW w:w="1599" w:type="dxa"/>
            <w:tcBorders>
              <w:top w:val="single" w:sz="4" w:space="0" w:color="auto"/>
            </w:tcBorders>
            <w:shd w:val="clear" w:color="auto" w:fill="auto"/>
            <w:vAlign w:val="bottom"/>
          </w:tcPr>
          <w:p w14:paraId="069D51B5" w14:textId="6E939875"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9</w:t>
            </w:r>
            <w:r w:rsidR="00A070E2" w:rsidRPr="002D2F67">
              <w:rPr>
                <w:rFonts w:ascii="Arial" w:hAnsi="Arial" w:cs="Arial"/>
                <w:color w:val="000000"/>
                <w:sz w:val="20"/>
                <w:szCs w:val="20"/>
              </w:rPr>
              <w:t>,</w:t>
            </w:r>
            <w:r w:rsidRPr="00CD5714">
              <w:rPr>
                <w:rFonts w:ascii="Arial" w:hAnsi="Arial" w:cs="Arial"/>
                <w:color w:val="000000"/>
                <w:sz w:val="20"/>
                <w:szCs w:val="20"/>
                <w:lang w:val="en-GB"/>
              </w:rPr>
              <w:t>689</w:t>
            </w:r>
            <w:r w:rsidR="00A070E2" w:rsidRPr="002D2F67">
              <w:rPr>
                <w:rFonts w:ascii="Arial" w:hAnsi="Arial" w:cs="Arial"/>
                <w:color w:val="000000"/>
                <w:sz w:val="20"/>
                <w:szCs w:val="20"/>
              </w:rPr>
              <w:t>,</w:t>
            </w:r>
            <w:r w:rsidRPr="00CD5714">
              <w:rPr>
                <w:rFonts w:ascii="Arial" w:hAnsi="Arial" w:cs="Arial"/>
                <w:color w:val="000000"/>
                <w:sz w:val="20"/>
                <w:szCs w:val="20"/>
                <w:lang w:val="en-GB"/>
              </w:rPr>
              <w:t>115</w:t>
            </w:r>
          </w:p>
        </w:tc>
        <w:tc>
          <w:tcPr>
            <w:tcW w:w="1599" w:type="dxa"/>
            <w:tcBorders>
              <w:top w:val="single" w:sz="4" w:space="0" w:color="auto"/>
            </w:tcBorders>
            <w:shd w:val="clear" w:color="auto" w:fill="auto"/>
            <w:vAlign w:val="bottom"/>
          </w:tcPr>
          <w:p w14:paraId="5C543524" w14:textId="38E6E251"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18</w:t>
            </w:r>
            <w:r w:rsidR="00A070E2" w:rsidRPr="002D2F67">
              <w:rPr>
                <w:rFonts w:ascii="Arial" w:hAnsi="Arial" w:cs="Arial"/>
                <w:color w:val="000000"/>
                <w:sz w:val="20"/>
                <w:szCs w:val="20"/>
              </w:rPr>
              <w:t>,</w:t>
            </w:r>
            <w:r w:rsidRPr="00CD5714">
              <w:rPr>
                <w:rFonts w:ascii="Arial" w:hAnsi="Arial" w:cs="Arial"/>
                <w:color w:val="000000"/>
                <w:sz w:val="20"/>
                <w:szCs w:val="20"/>
                <w:lang w:val="en-GB"/>
              </w:rPr>
              <w:t>855</w:t>
            </w:r>
          </w:p>
        </w:tc>
        <w:tc>
          <w:tcPr>
            <w:tcW w:w="1599" w:type="dxa"/>
            <w:tcBorders>
              <w:top w:val="single" w:sz="4" w:space="0" w:color="auto"/>
            </w:tcBorders>
            <w:shd w:val="clear" w:color="auto" w:fill="auto"/>
            <w:vAlign w:val="bottom"/>
          </w:tcPr>
          <w:p w14:paraId="25877C3F" w14:textId="2E0B3731"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157</w:t>
            </w:r>
            <w:r w:rsidR="00A070E2" w:rsidRPr="002D2F67">
              <w:rPr>
                <w:rFonts w:ascii="Arial" w:hAnsi="Arial" w:cs="Arial"/>
                <w:color w:val="000000"/>
                <w:sz w:val="20"/>
                <w:szCs w:val="20"/>
              </w:rPr>
              <w:t>,</w:t>
            </w:r>
            <w:r w:rsidRPr="00CD5714">
              <w:rPr>
                <w:rFonts w:ascii="Arial" w:hAnsi="Arial" w:cs="Arial"/>
                <w:color w:val="000000"/>
                <w:sz w:val="20"/>
                <w:szCs w:val="20"/>
                <w:lang w:val="en-GB"/>
              </w:rPr>
              <w:t>290</w:t>
            </w:r>
          </w:p>
        </w:tc>
        <w:tc>
          <w:tcPr>
            <w:tcW w:w="1571" w:type="dxa"/>
            <w:tcBorders>
              <w:top w:val="single" w:sz="4" w:space="0" w:color="auto"/>
            </w:tcBorders>
            <w:shd w:val="clear" w:color="auto" w:fill="auto"/>
            <w:vAlign w:val="bottom"/>
          </w:tcPr>
          <w:p w14:paraId="59B65261" w14:textId="56375CD9"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10</w:t>
            </w:r>
            <w:r w:rsidR="00A070E2" w:rsidRPr="002D2F67">
              <w:rPr>
                <w:rFonts w:ascii="Arial" w:hAnsi="Arial" w:cs="Arial"/>
                <w:color w:val="000000"/>
                <w:sz w:val="20"/>
                <w:szCs w:val="20"/>
              </w:rPr>
              <w:t>,</w:t>
            </w:r>
            <w:r w:rsidRPr="00CD5714">
              <w:rPr>
                <w:rFonts w:ascii="Arial" w:hAnsi="Arial" w:cs="Arial"/>
                <w:color w:val="000000"/>
                <w:sz w:val="20"/>
                <w:szCs w:val="20"/>
                <w:lang w:val="en-GB"/>
              </w:rPr>
              <w:t>560</w:t>
            </w:r>
            <w:r w:rsidR="00A070E2" w:rsidRPr="002D2F67">
              <w:rPr>
                <w:rFonts w:ascii="Arial" w:hAnsi="Arial" w:cs="Arial"/>
                <w:color w:val="000000"/>
                <w:sz w:val="20"/>
                <w:szCs w:val="20"/>
              </w:rPr>
              <w:t>,</w:t>
            </w:r>
            <w:r w:rsidRPr="00CD5714">
              <w:rPr>
                <w:rFonts w:ascii="Arial" w:hAnsi="Arial" w:cs="Arial"/>
                <w:color w:val="000000"/>
                <w:sz w:val="20"/>
                <w:szCs w:val="20"/>
                <w:lang w:val="en-GB"/>
              </w:rPr>
              <w:t>635</w:t>
            </w:r>
          </w:p>
        </w:tc>
      </w:tr>
      <w:tr w:rsidR="005611FE" w:rsidRPr="002D2F67" w14:paraId="55FA8129" w14:textId="77777777" w:rsidTr="19457625">
        <w:trPr>
          <w:trHeight w:val="239"/>
        </w:trPr>
        <w:tc>
          <w:tcPr>
            <w:tcW w:w="4505" w:type="dxa"/>
            <w:shd w:val="clear" w:color="auto" w:fill="auto"/>
            <w:vAlign w:val="bottom"/>
          </w:tcPr>
          <w:p w14:paraId="3ED7F941" w14:textId="77777777" w:rsidR="00AE4BD1" w:rsidRPr="002D2F67" w:rsidRDefault="00AE4BD1" w:rsidP="005611FE">
            <w:pPr>
              <w:ind w:left="180"/>
              <w:rPr>
                <w:rFonts w:ascii="Arial" w:hAnsi="Arial" w:cs="Arial"/>
                <w:color w:val="000000"/>
                <w:sz w:val="20"/>
                <w:szCs w:val="20"/>
              </w:rPr>
            </w:pPr>
            <w:r w:rsidRPr="002D2F67">
              <w:rPr>
                <w:rFonts w:ascii="Arial" w:hAnsi="Arial" w:cs="Arial"/>
                <w:color w:val="000000"/>
                <w:sz w:val="20"/>
                <w:szCs w:val="20"/>
              </w:rPr>
              <w:t>Closing net book value</w:t>
            </w:r>
          </w:p>
        </w:tc>
        <w:tc>
          <w:tcPr>
            <w:tcW w:w="1599" w:type="dxa"/>
            <w:tcBorders>
              <w:bottom w:val="single" w:sz="4" w:space="0" w:color="auto"/>
            </w:tcBorders>
            <w:shd w:val="clear" w:color="auto" w:fill="auto"/>
          </w:tcPr>
          <w:p w14:paraId="6009A7DC" w14:textId="30CC78D4" w:rsidR="00AE4BD1" w:rsidRPr="002D2F67" w:rsidRDefault="00AE4BD1" w:rsidP="005611FE">
            <w:pPr>
              <w:ind w:right="-72"/>
              <w:jc w:val="right"/>
              <w:rPr>
                <w:rFonts w:ascii="Arial" w:hAnsi="Arial" w:cs="Arial"/>
                <w:color w:val="000000"/>
                <w:sz w:val="20"/>
                <w:szCs w:val="20"/>
              </w:rPr>
            </w:pPr>
          </w:p>
        </w:tc>
        <w:tc>
          <w:tcPr>
            <w:tcW w:w="1599" w:type="dxa"/>
            <w:tcBorders>
              <w:bottom w:val="single" w:sz="4" w:space="0" w:color="auto"/>
            </w:tcBorders>
            <w:shd w:val="clear" w:color="auto" w:fill="auto"/>
          </w:tcPr>
          <w:p w14:paraId="7E821178" w14:textId="28C5369A" w:rsidR="00AE4BD1" w:rsidRPr="002D2F67" w:rsidRDefault="00AE4BD1" w:rsidP="005611FE">
            <w:pPr>
              <w:ind w:right="-72"/>
              <w:jc w:val="right"/>
              <w:rPr>
                <w:rFonts w:ascii="Arial" w:hAnsi="Arial" w:cs="Arial"/>
                <w:color w:val="000000"/>
                <w:sz w:val="20"/>
                <w:szCs w:val="20"/>
              </w:rPr>
            </w:pPr>
          </w:p>
        </w:tc>
        <w:tc>
          <w:tcPr>
            <w:tcW w:w="1599" w:type="dxa"/>
            <w:tcBorders>
              <w:bottom w:val="single" w:sz="4" w:space="0" w:color="auto"/>
            </w:tcBorders>
            <w:shd w:val="clear" w:color="auto" w:fill="auto"/>
          </w:tcPr>
          <w:p w14:paraId="5EE52725" w14:textId="42509732" w:rsidR="00AE4BD1" w:rsidRPr="002D2F67" w:rsidRDefault="00AE4BD1" w:rsidP="005611FE">
            <w:pPr>
              <w:ind w:right="-72"/>
              <w:jc w:val="right"/>
              <w:rPr>
                <w:rFonts w:ascii="Arial" w:hAnsi="Arial" w:cs="Arial"/>
                <w:color w:val="000000"/>
                <w:sz w:val="20"/>
                <w:szCs w:val="20"/>
              </w:rPr>
            </w:pPr>
          </w:p>
        </w:tc>
        <w:tc>
          <w:tcPr>
            <w:tcW w:w="1599" w:type="dxa"/>
            <w:tcBorders>
              <w:bottom w:val="single" w:sz="4" w:space="0" w:color="auto"/>
            </w:tcBorders>
            <w:shd w:val="clear" w:color="auto" w:fill="auto"/>
          </w:tcPr>
          <w:p w14:paraId="181BAEB4" w14:textId="61B39B10" w:rsidR="00AE4BD1" w:rsidRPr="002D2F67" w:rsidRDefault="00AE4BD1" w:rsidP="005611FE">
            <w:pPr>
              <w:ind w:right="-72"/>
              <w:jc w:val="right"/>
              <w:rPr>
                <w:rFonts w:ascii="Arial" w:hAnsi="Arial" w:cs="Arial"/>
                <w:color w:val="000000"/>
                <w:sz w:val="20"/>
                <w:szCs w:val="20"/>
              </w:rPr>
            </w:pPr>
          </w:p>
        </w:tc>
        <w:tc>
          <w:tcPr>
            <w:tcW w:w="1599" w:type="dxa"/>
            <w:tcBorders>
              <w:bottom w:val="single" w:sz="4" w:space="0" w:color="auto"/>
            </w:tcBorders>
            <w:shd w:val="clear" w:color="auto" w:fill="auto"/>
          </w:tcPr>
          <w:p w14:paraId="7909F752" w14:textId="020700BA" w:rsidR="00AE4BD1" w:rsidRPr="002D2F67" w:rsidRDefault="00AE4BD1" w:rsidP="005611FE">
            <w:pPr>
              <w:ind w:right="-72"/>
              <w:jc w:val="right"/>
              <w:rPr>
                <w:rFonts w:ascii="Arial" w:hAnsi="Arial" w:cs="Arial"/>
                <w:color w:val="000000"/>
                <w:sz w:val="20"/>
                <w:szCs w:val="20"/>
              </w:rPr>
            </w:pPr>
          </w:p>
        </w:tc>
        <w:tc>
          <w:tcPr>
            <w:tcW w:w="1599" w:type="dxa"/>
            <w:tcBorders>
              <w:bottom w:val="single" w:sz="4" w:space="0" w:color="auto"/>
            </w:tcBorders>
            <w:shd w:val="clear" w:color="auto" w:fill="auto"/>
          </w:tcPr>
          <w:p w14:paraId="0E61ED05" w14:textId="1EFD99EE" w:rsidR="00AE4BD1" w:rsidRPr="002D2F67" w:rsidRDefault="00AE4BD1" w:rsidP="005611FE">
            <w:pPr>
              <w:ind w:right="-72"/>
              <w:jc w:val="right"/>
              <w:rPr>
                <w:rFonts w:ascii="Arial" w:hAnsi="Arial" w:cs="Arial"/>
                <w:color w:val="000000"/>
                <w:sz w:val="20"/>
                <w:szCs w:val="20"/>
              </w:rPr>
            </w:pPr>
          </w:p>
        </w:tc>
        <w:tc>
          <w:tcPr>
            <w:tcW w:w="1571" w:type="dxa"/>
            <w:tcBorders>
              <w:bottom w:val="single" w:sz="4" w:space="0" w:color="auto"/>
            </w:tcBorders>
            <w:shd w:val="clear" w:color="auto" w:fill="auto"/>
          </w:tcPr>
          <w:p w14:paraId="5DCE7F67" w14:textId="4F919493" w:rsidR="00AE4BD1" w:rsidRPr="002D2F67" w:rsidRDefault="00AE4BD1" w:rsidP="005611FE">
            <w:pPr>
              <w:ind w:right="-72"/>
              <w:jc w:val="right"/>
              <w:rPr>
                <w:rFonts w:ascii="Arial" w:hAnsi="Arial" w:cs="Arial"/>
                <w:color w:val="000000"/>
                <w:sz w:val="20"/>
                <w:szCs w:val="20"/>
              </w:rPr>
            </w:pPr>
          </w:p>
        </w:tc>
      </w:tr>
      <w:tr w:rsidR="005611FE" w:rsidRPr="002D2F67" w14:paraId="00B1D2E6" w14:textId="77777777" w:rsidTr="19457625">
        <w:trPr>
          <w:trHeight w:val="239"/>
        </w:trPr>
        <w:tc>
          <w:tcPr>
            <w:tcW w:w="4505" w:type="dxa"/>
            <w:shd w:val="clear" w:color="auto" w:fill="auto"/>
            <w:vAlign w:val="bottom"/>
          </w:tcPr>
          <w:p w14:paraId="0639ED92" w14:textId="77777777" w:rsidR="00AE4BD1" w:rsidRPr="002D2F67" w:rsidRDefault="00AE4BD1" w:rsidP="005611FE">
            <w:pPr>
              <w:ind w:left="180"/>
              <w:rPr>
                <w:rFonts w:ascii="Arial" w:hAnsi="Arial" w:cs="Arial"/>
                <w:b/>
                <w:bCs/>
                <w:color w:val="000000"/>
                <w:sz w:val="20"/>
                <w:szCs w:val="20"/>
              </w:rPr>
            </w:pPr>
          </w:p>
        </w:tc>
        <w:tc>
          <w:tcPr>
            <w:tcW w:w="1599" w:type="dxa"/>
            <w:tcBorders>
              <w:top w:val="single" w:sz="4" w:space="0" w:color="auto"/>
            </w:tcBorders>
            <w:shd w:val="clear" w:color="auto" w:fill="auto"/>
            <w:vAlign w:val="bottom"/>
          </w:tcPr>
          <w:p w14:paraId="68E7D42F"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775BAE30" w14:textId="6D797E1B"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13365177"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25DFF69B"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1C0470E0"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716B0FAC" w14:textId="77777777" w:rsidR="00AE4BD1" w:rsidRPr="002D2F67" w:rsidRDefault="00AE4BD1" w:rsidP="005611FE">
            <w:pPr>
              <w:ind w:right="-72"/>
              <w:jc w:val="right"/>
              <w:rPr>
                <w:rFonts w:ascii="Arial" w:hAnsi="Arial" w:cs="Arial"/>
                <w:color w:val="000000"/>
                <w:sz w:val="20"/>
                <w:szCs w:val="20"/>
              </w:rPr>
            </w:pPr>
          </w:p>
        </w:tc>
        <w:tc>
          <w:tcPr>
            <w:tcW w:w="1571" w:type="dxa"/>
            <w:tcBorders>
              <w:top w:val="single" w:sz="4" w:space="0" w:color="auto"/>
            </w:tcBorders>
            <w:shd w:val="clear" w:color="auto" w:fill="auto"/>
            <w:vAlign w:val="bottom"/>
          </w:tcPr>
          <w:p w14:paraId="33453292" w14:textId="77777777" w:rsidR="00AE4BD1" w:rsidRPr="002D2F67" w:rsidRDefault="00AE4BD1" w:rsidP="005611FE">
            <w:pPr>
              <w:ind w:right="-72"/>
              <w:jc w:val="right"/>
              <w:rPr>
                <w:rFonts w:ascii="Arial" w:hAnsi="Arial" w:cs="Arial"/>
                <w:color w:val="000000"/>
                <w:sz w:val="20"/>
                <w:szCs w:val="20"/>
              </w:rPr>
            </w:pPr>
          </w:p>
        </w:tc>
      </w:tr>
      <w:tr w:rsidR="005611FE" w:rsidRPr="002D2F67" w14:paraId="403642C8" w14:textId="77777777" w:rsidTr="19457625">
        <w:trPr>
          <w:trHeight w:val="239"/>
        </w:trPr>
        <w:tc>
          <w:tcPr>
            <w:tcW w:w="4505" w:type="dxa"/>
            <w:shd w:val="clear" w:color="auto" w:fill="auto"/>
            <w:vAlign w:val="bottom"/>
          </w:tcPr>
          <w:p w14:paraId="40F47C73" w14:textId="14D6E8E8" w:rsidR="00AE4BD1" w:rsidRPr="002D2F67" w:rsidRDefault="00AE4BD1" w:rsidP="005611FE">
            <w:pPr>
              <w:ind w:left="180"/>
              <w:rPr>
                <w:rFonts w:ascii="Arial" w:hAnsi="Arial" w:cs="Arial"/>
                <w:b/>
                <w:bCs/>
                <w:color w:val="000000"/>
                <w:sz w:val="20"/>
                <w:szCs w:val="20"/>
              </w:rPr>
            </w:pPr>
            <w:r w:rsidRPr="002D2F67">
              <w:rPr>
                <w:rFonts w:ascii="Arial" w:hAnsi="Arial" w:cs="Arial"/>
                <w:b/>
                <w:bCs/>
                <w:color w:val="000000"/>
                <w:sz w:val="20"/>
                <w:szCs w:val="20"/>
              </w:rPr>
              <w:t xml:space="preserve">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 </w:t>
            </w:r>
            <w:r w:rsidR="00CD5714" w:rsidRPr="00CD5714">
              <w:rPr>
                <w:rFonts w:ascii="Arial" w:hAnsi="Arial" w:cs="Arial"/>
                <w:b/>
                <w:bCs/>
                <w:color w:val="000000"/>
                <w:sz w:val="20"/>
                <w:szCs w:val="20"/>
                <w:lang w:val="en-GB"/>
              </w:rPr>
              <w:t>2024</w:t>
            </w:r>
          </w:p>
        </w:tc>
        <w:tc>
          <w:tcPr>
            <w:tcW w:w="1599" w:type="dxa"/>
            <w:shd w:val="clear" w:color="auto" w:fill="auto"/>
            <w:vAlign w:val="bottom"/>
          </w:tcPr>
          <w:p w14:paraId="171BA710" w14:textId="77777777" w:rsidR="00AE4BD1" w:rsidRPr="002D2F67" w:rsidRDefault="00AE4BD1" w:rsidP="005611FE">
            <w:pPr>
              <w:ind w:right="-72"/>
              <w:jc w:val="right"/>
              <w:rPr>
                <w:rFonts w:ascii="Arial" w:hAnsi="Arial" w:cs="Arial"/>
                <w:color w:val="000000"/>
                <w:sz w:val="20"/>
                <w:szCs w:val="20"/>
              </w:rPr>
            </w:pPr>
          </w:p>
        </w:tc>
        <w:tc>
          <w:tcPr>
            <w:tcW w:w="1599" w:type="dxa"/>
            <w:shd w:val="clear" w:color="auto" w:fill="auto"/>
            <w:vAlign w:val="bottom"/>
          </w:tcPr>
          <w:p w14:paraId="7E5718C6" w14:textId="20C3EB03" w:rsidR="00AE4BD1" w:rsidRPr="002D2F67" w:rsidRDefault="00AE4BD1" w:rsidP="005611FE">
            <w:pPr>
              <w:ind w:right="-72"/>
              <w:jc w:val="right"/>
              <w:rPr>
                <w:rFonts w:ascii="Arial" w:hAnsi="Arial" w:cs="Arial"/>
                <w:color w:val="000000"/>
                <w:sz w:val="20"/>
                <w:szCs w:val="20"/>
              </w:rPr>
            </w:pPr>
          </w:p>
        </w:tc>
        <w:tc>
          <w:tcPr>
            <w:tcW w:w="1599" w:type="dxa"/>
            <w:shd w:val="clear" w:color="auto" w:fill="auto"/>
            <w:vAlign w:val="bottom"/>
          </w:tcPr>
          <w:p w14:paraId="6E5E56CB" w14:textId="77777777" w:rsidR="00AE4BD1" w:rsidRPr="002D2F67" w:rsidRDefault="00AE4BD1" w:rsidP="005611FE">
            <w:pPr>
              <w:ind w:right="-72"/>
              <w:jc w:val="right"/>
              <w:rPr>
                <w:rFonts w:ascii="Arial" w:hAnsi="Arial" w:cs="Arial"/>
                <w:color w:val="000000"/>
                <w:sz w:val="20"/>
                <w:szCs w:val="20"/>
              </w:rPr>
            </w:pPr>
          </w:p>
        </w:tc>
        <w:tc>
          <w:tcPr>
            <w:tcW w:w="1599" w:type="dxa"/>
            <w:shd w:val="clear" w:color="auto" w:fill="auto"/>
            <w:vAlign w:val="bottom"/>
          </w:tcPr>
          <w:p w14:paraId="3434951F" w14:textId="77777777" w:rsidR="00AE4BD1" w:rsidRPr="002D2F67" w:rsidRDefault="00AE4BD1" w:rsidP="005611FE">
            <w:pPr>
              <w:ind w:right="-72"/>
              <w:jc w:val="right"/>
              <w:rPr>
                <w:rFonts w:ascii="Arial" w:hAnsi="Arial" w:cs="Arial"/>
                <w:color w:val="000000"/>
                <w:sz w:val="20"/>
                <w:szCs w:val="20"/>
              </w:rPr>
            </w:pPr>
          </w:p>
        </w:tc>
        <w:tc>
          <w:tcPr>
            <w:tcW w:w="1599" w:type="dxa"/>
            <w:shd w:val="clear" w:color="auto" w:fill="auto"/>
            <w:vAlign w:val="bottom"/>
          </w:tcPr>
          <w:p w14:paraId="604984FA" w14:textId="77777777" w:rsidR="00AE4BD1" w:rsidRPr="002D2F67" w:rsidRDefault="00AE4BD1" w:rsidP="005611FE">
            <w:pPr>
              <w:ind w:right="-72"/>
              <w:jc w:val="right"/>
              <w:rPr>
                <w:rFonts w:ascii="Arial" w:hAnsi="Arial" w:cs="Arial"/>
                <w:color w:val="000000"/>
                <w:sz w:val="20"/>
                <w:szCs w:val="20"/>
              </w:rPr>
            </w:pPr>
          </w:p>
        </w:tc>
        <w:tc>
          <w:tcPr>
            <w:tcW w:w="1599" w:type="dxa"/>
            <w:shd w:val="clear" w:color="auto" w:fill="auto"/>
            <w:vAlign w:val="bottom"/>
          </w:tcPr>
          <w:p w14:paraId="7F7F45EE" w14:textId="77777777" w:rsidR="00AE4BD1" w:rsidRPr="002D2F67" w:rsidRDefault="00AE4BD1" w:rsidP="005611FE">
            <w:pPr>
              <w:ind w:right="-72"/>
              <w:jc w:val="right"/>
              <w:rPr>
                <w:rFonts w:ascii="Arial" w:hAnsi="Arial" w:cs="Arial"/>
                <w:color w:val="000000"/>
                <w:sz w:val="20"/>
                <w:szCs w:val="20"/>
              </w:rPr>
            </w:pPr>
          </w:p>
        </w:tc>
        <w:tc>
          <w:tcPr>
            <w:tcW w:w="1571" w:type="dxa"/>
            <w:shd w:val="clear" w:color="auto" w:fill="auto"/>
            <w:vAlign w:val="bottom"/>
          </w:tcPr>
          <w:p w14:paraId="50AAB6DE" w14:textId="77777777" w:rsidR="00AE4BD1" w:rsidRPr="002D2F67" w:rsidRDefault="00AE4BD1" w:rsidP="005611FE">
            <w:pPr>
              <w:ind w:right="-72"/>
              <w:jc w:val="right"/>
              <w:rPr>
                <w:rFonts w:ascii="Arial" w:hAnsi="Arial" w:cs="Arial"/>
                <w:color w:val="000000"/>
                <w:sz w:val="20"/>
                <w:szCs w:val="20"/>
              </w:rPr>
            </w:pPr>
          </w:p>
        </w:tc>
      </w:tr>
      <w:tr w:rsidR="005611FE" w:rsidRPr="002D2F67" w14:paraId="0486F10A" w14:textId="77777777" w:rsidTr="19457625">
        <w:trPr>
          <w:trHeight w:val="239"/>
        </w:trPr>
        <w:tc>
          <w:tcPr>
            <w:tcW w:w="4505" w:type="dxa"/>
            <w:shd w:val="clear" w:color="auto" w:fill="auto"/>
            <w:vAlign w:val="bottom"/>
          </w:tcPr>
          <w:p w14:paraId="7CACCE37" w14:textId="77777777" w:rsidR="00AE4BD1" w:rsidRPr="002D2F67" w:rsidRDefault="00AE4BD1" w:rsidP="005611FE">
            <w:pPr>
              <w:ind w:left="180"/>
              <w:rPr>
                <w:rFonts w:ascii="Arial" w:hAnsi="Arial" w:cs="Arial"/>
                <w:color w:val="000000"/>
                <w:sz w:val="20"/>
                <w:szCs w:val="20"/>
              </w:rPr>
            </w:pPr>
            <w:r w:rsidRPr="002D2F67">
              <w:rPr>
                <w:rFonts w:ascii="Arial" w:hAnsi="Arial" w:cs="Arial"/>
                <w:color w:val="000000"/>
                <w:sz w:val="20"/>
                <w:szCs w:val="20"/>
              </w:rPr>
              <w:t>Cost</w:t>
            </w:r>
          </w:p>
        </w:tc>
        <w:tc>
          <w:tcPr>
            <w:tcW w:w="1599" w:type="dxa"/>
            <w:shd w:val="clear" w:color="auto" w:fill="auto"/>
            <w:vAlign w:val="center"/>
          </w:tcPr>
          <w:p w14:paraId="552E5DD9" w14:textId="3B2754CC"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380</w:t>
            </w:r>
            <w:r w:rsidR="00A070E2" w:rsidRPr="002D2F67">
              <w:rPr>
                <w:rFonts w:ascii="Arial" w:hAnsi="Arial" w:cs="Arial"/>
                <w:color w:val="000000"/>
                <w:sz w:val="20"/>
                <w:szCs w:val="20"/>
              </w:rPr>
              <w:t>,</w:t>
            </w:r>
            <w:r w:rsidRPr="00CD5714">
              <w:rPr>
                <w:rFonts w:ascii="Arial" w:hAnsi="Arial" w:cs="Arial"/>
                <w:color w:val="000000"/>
                <w:sz w:val="20"/>
                <w:szCs w:val="20"/>
                <w:lang w:val="en-GB"/>
              </w:rPr>
              <w:t>481</w:t>
            </w:r>
          </w:p>
        </w:tc>
        <w:tc>
          <w:tcPr>
            <w:tcW w:w="1599" w:type="dxa"/>
            <w:shd w:val="clear" w:color="auto" w:fill="auto"/>
            <w:vAlign w:val="center"/>
          </w:tcPr>
          <w:p w14:paraId="0C7012D6" w14:textId="0F76B4B7"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466</w:t>
            </w:r>
            <w:r w:rsidR="00A070E2" w:rsidRPr="002D2F67">
              <w:rPr>
                <w:rFonts w:ascii="Arial" w:hAnsi="Arial" w:cs="Arial"/>
                <w:color w:val="000000"/>
                <w:sz w:val="20"/>
                <w:szCs w:val="20"/>
              </w:rPr>
              <w:t>,</w:t>
            </w:r>
            <w:r w:rsidRPr="00CD5714">
              <w:rPr>
                <w:rFonts w:ascii="Arial" w:hAnsi="Arial" w:cs="Arial"/>
                <w:color w:val="000000"/>
                <w:sz w:val="20"/>
                <w:szCs w:val="20"/>
                <w:lang w:val="en-GB"/>
              </w:rPr>
              <w:t>608</w:t>
            </w:r>
          </w:p>
        </w:tc>
        <w:tc>
          <w:tcPr>
            <w:tcW w:w="1599" w:type="dxa"/>
            <w:shd w:val="clear" w:color="auto" w:fill="auto"/>
            <w:vAlign w:val="center"/>
          </w:tcPr>
          <w:p w14:paraId="428F6326" w14:textId="6792081A"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984</w:t>
            </w:r>
            <w:r w:rsidR="00A070E2" w:rsidRPr="002D2F67">
              <w:rPr>
                <w:rFonts w:ascii="Arial" w:hAnsi="Arial" w:cs="Arial"/>
                <w:color w:val="000000"/>
                <w:sz w:val="20"/>
                <w:szCs w:val="20"/>
              </w:rPr>
              <w:t>,</w:t>
            </w:r>
            <w:r w:rsidRPr="00CD5714">
              <w:rPr>
                <w:rFonts w:ascii="Arial" w:hAnsi="Arial" w:cs="Arial"/>
                <w:color w:val="000000"/>
                <w:sz w:val="20"/>
                <w:szCs w:val="20"/>
                <w:lang w:val="en-GB"/>
              </w:rPr>
              <w:t>503</w:t>
            </w:r>
          </w:p>
        </w:tc>
        <w:tc>
          <w:tcPr>
            <w:tcW w:w="1599" w:type="dxa"/>
            <w:shd w:val="clear" w:color="auto" w:fill="auto"/>
          </w:tcPr>
          <w:p w14:paraId="11DB869E" w14:textId="6388C428"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14</w:t>
            </w:r>
            <w:r w:rsidR="00A070E2" w:rsidRPr="002D2F67">
              <w:rPr>
                <w:rFonts w:ascii="Arial" w:hAnsi="Arial" w:cs="Arial"/>
                <w:color w:val="000000"/>
                <w:sz w:val="20"/>
                <w:szCs w:val="20"/>
              </w:rPr>
              <w:t>,</w:t>
            </w:r>
            <w:r w:rsidRPr="00CD5714">
              <w:rPr>
                <w:rFonts w:ascii="Arial" w:hAnsi="Arial" w:cs="Arial"/>
                <w:color w:val="000000"/>
                <w:sz w:val="20"/>
                <w:szCs w:val="20"/>
                <w:lang w:val="en-GB"/>
              </w:rPr>
              <w:t>552</w:t>
            </w:r>
            <w:r w:rsidR="00A070E2" w:rsidRPr="002D2F67">
              <w:rPr>
                <w:rFonts w:ascii="Arial" w:hAnsi="Arial" w:cs="Arial"/>
                <w:color w:val="000000"/>
                <w:sz w:val="20"/>
                <w:szCs w:val="20"/>
              </w:rPr>
              <w:t>,</w:t>
            </w:r>
            <w:r w:rsidRPr="00CD5714">
              <w:rPr>
                <w:rFonts w:ascii="Arial" w:hAnsi="Arial" w:cs="Arial"/>
                <w:color w:val="000000"/>
                <w:sz w:val="20"/>
                <w:szCs w:val="20"/>
                <w:lang w:val="en-GB"/>
              </w:rPr>
              <w:t>750</w:t>
            </w:r>
          </w:p>
        </w:tc>
        <w:tc>
          <w:tcPr>
            <w:tcW w:w="1599" w:type="dxa"/>
            <w:shd w:val="clear" w:color="auto" w:fill="auto"/>
            <w:vAlign w:val="center"/>
          </w:tcPr>
          <w:p w14:paraId="2DC81EC3" w14:textId="0A057FEE"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97</w:t>
            </w:r>
            <w:r w:rsidR="001C26F0" w:rsidRPr="002D2F67">
              <w:rPr>
                <w:rFonts w:ascii="Arial" w:hAnsi="Arial" w:cs="Arial"/>
                <w:color w:val="000000"/>
                <w:sz w:val="20"/>
                <w:szCs w:val="20"/>
              </w:rPr>
              <w:t>,</w:t>
            </w:r>
            <w:r w:rsidRPr="00CD5714">
              <w:rPr>
                <w:rFonts w:ascii="Arial" w:hAnsi="Arial" w:cs="Arial"/>
                <w:color w:val="000000"/>
                <w:sz w:val="20"/>
                <w:szCs w:val="20"/>
                <w:lang w:val="en-GB"/>
              </w:rPr>
              <w:t>607</w:t>
            </w:r>
          </w:p>
        </w:tc>
        <w:tc>
          <w:tcPr>
            <w:tcW w:w="1599" w:type="dxa"/>
            <w:shd w:val="clear" w:color="auto" w:fill="auto"/>
            <w:vAlign w:val="center"/>
          </w:tcPr>
          <w:p w14:paraId="7150DDA1" w14:textId="59E32EFE"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157</w:t>
            </w:r>
            <w:r w:rsidR="00A070E2" w:rsidRPr="002D2F67">
              <w:rPr>
                <w:rFonts w:ascii="Arial" w:hAnsi="Arial" w:cs="Arial"/>
                <w:color w:val="000000"/>
                <w:sz w:val="20"/>
                <w:szCs w:val="20"/>
              </w:rPr>
              <w:t>,</w:t>
            </w:r>
            <w:r w:rsidRPr="00CD5714">
              <w:rPr>
                <w:rFonts w:ascii="Arial" w:hAnsi="Arial" w:cs="Arial"/>
                <w:color w:val="000000"/>
                <w:sz w:val="20"/>
                <w:szCs w:val="20"/>
                <w:lang w:val="en-GB"/>
              </w:rPr>
              <w:t>290</w:t>
            </w:r>
          </w:p>
        </w:tc>
        <w:tc>
          <w:tcPr>
            <w:tcW w:w="1571" w:type="dxa"/>
            <w:shd w:val="clear" w:color="auto" w:fill="auto"/>
            <w:vAlign w:val="center"/>
          </w:tcPr>
          <w:p w14:paraId="46534B92" w14:textId="53DCD87B"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16</w:t>
            </w:r>
            <w:r w:rsidR="00A070E2" w:rsidRPr="002D2F67">
              <w:rPr>
                <w:rFonts w:ascii="Arial" w:hAnsi="Arial" w:cs="Arial"/>
                <w:color w:val="000000"/>
                <w:sz w:val="20"/>
                <w:szCs w:val="20"/>
              </w:rPr>
              <w:t>,</w:t>
            </w:r>
            <w:r w:rsidRPr="00CD5714">
              <w:rPr>
                <w:rFonts w:ascii="Arial" w:hAnsi="Arial" w:cs="Arial"/>
                <w:color w:val="000000"/>
                <w:sz w:val="20"/>
                <w:szCs w:val="20"/>
                <w:lang w:val="en-GB"/>
              </w:rPr>
              <w:t>639</w:t>
            </w:r>
            <w:r w:rsidR="00A070E2" w:rsidRPr="002D2F67">
              <w:rPr>
                <w:rFonts w:ascii="Arial" w:hAnsi="Arial" w:cs="Arial"/>
                <w:color w:val="000000"/>
                <w:sz w:val="20"/>
                <w:szCs w:val="20"/>
              </w:rPr>
              <w:t>,</w:t>
            </w:r>
            <w:r w:rsidRPr="00CD5714">
              <w:rPr>
                <w:rFonts w:ascii="Arial" w:hAnsi="Arial" w:cs="Arial"/>
                <w:color w:val="000000"/>
                <w:sz w:val="20"/>
                <w:szCs w:val="20"/>
                <w:lang w:val="en-GB"/>
              </w:rPr>
              <w:t>239</w:t>
            </w:r>
          </w:p>
        </w:tc>
      </w:tr>
      <w:tr w:rsidR="005611FE" w:rsidRPr="002D2F67" w14:paraId="0D2AD6CA" w14:textId="77777777" w:rsidTr="19457625">
        <w:trPr>
          <w:trHeight w:val="253"/>
        </w:trPr>
        <w:tc>
          <w:tcPr>
            <w:tcW w:w="4505" w:type="dxa"/>
            <w:shd w:val="clear" w:color="auto" w:fill="auto"/>
            <w:vAlign w:val="bottom"/>
          </w:tcPr>
          <w:p w14:paraId="47D9CDAC" w14:textId="51D66EEB" w:rsidR="00AE4BD1" w:rsidRPr="002D2F67" w:rsidRDefault="00AE4BD1" w:rsidP="005611FE">
            <w:pPr>
              <w:ind w:left="180"/>
              <w:rPr>
                <w:rFonts w:ascii="Arial" w:hAnsi="Arial" w:cs="Arial"/>
                <w:color w:val="000000"/>
                <w:sz w:val="20"/>
                <w:szCs w:val="20"/>
              </w:rPr>
            </w:pPr>
            <w:r w:rsidRPr="002D2F67">
              <w:rPr>
                <w:rFonts w:ascii="Arial" w:hAnsi="Arial" w:cs="Arial"/>
                <w:color w:val="000000"/>
                <w:sz w:val="20"/>
                <w:szCs w:val="20"/>
                <w:u w:val="single"/>
              </w:rPr>
              <w:t>Less</w:t>
            </w:r>
            <w:r w:rsidRPr="002D2F67">
              <w:rPr>
                <w:rFonts w:ascii="Arial" w:hAnsi="Arial" w:cs="Arial"/>
                <w:color w:val="000000"/>
                <w:sz w:val="20"/>
                <w:szCs w:val="20"/>
              </w:rPr>
              <w:t xml:space="preserve">  Accumulated depreciation</w:t>
            </w:r>
          </w:p>
        </w:tc>
        <w:tc>
          <w:tcPr>
            <w:tcW w:w="1599" w:type="dxa"/>
            <w:tcBorders>
              <w:bottom w:val="single" w:sz="4" w:space="0" w:color="auto"/>
            </w:tcBorders>
            <w:shd w:val="clear" w:color="auto" w:fill="auto"/>
            <w:vAlign w:val="center"/>
          </w:tcPr>
          <w:p w14:paraId="3601BF05" w14:textId="394FB4A4" w:rsidR="00AE4BD1" w:rsidRPr="002D2F67" w:rsidRDefault="00A070E2"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99" w:type="dxa"/>
            <w:tcBorders>
              <w:bottom w:val="single" w:sz="4" w:space="0" w:color="auto"/>
            </w:tcBorders>
            <w:shd w:val="clear" w:color="auto" w:fill="auto"/>
            <w:vAlign w:val="center"/>
          </w:tcPr>
          <w:p w14:paraId="09B40C70" w14:textId="2A4C0B7F" w:rsidR="00AE4BD1" w:rsidRPr="002D2F67" w:rsidRDefault="00A070E2"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232</w:t>
            </w:r>
            <w:r w:rsidRPr="002D2F67">
              <w:rPr>
                <w:rFonts w:ascii="Arial" w:hAnsi="Arial" w:cs="Arial"/>
                <w:color w:val="000000"/>
                <w:sz w:val="20"/>
                <w:szCs w:val="20"/>
              </w:rPr>
              <w:t>,</w:t>
            </w:r>
            <w:r w:rsidR="00CD5714" w:rsidRPr="00CD5714">
              <w:rPr>
                <w:rFonts w:ascii="Arial" w:hAnsi="Arial" w:cs="Arial"/>
                <w:color w:val="000000"/>
                <w:sz w:val="20"/>
                <w:szCs w:val="20"/>
                <w:lang w:val="en-GB"/>
              </w:rPr>
              <w:t>412</w:t>
            </w:r>
            <w:r w:rsidRPr="002D2F67">
              <w:rPr>
                <w:rFonts w:ascii="Arial" w:hAnsi="Arial" w:cs="Arial"/>
                <w:color w:val="000000"/>
                <w:sz w:val="20"/>
                <w:szCs w:val="20"/>
              </w:rPr>
              <w:t>)</w:t>
            </w:r>
          </w:p>
        </w:tc>
        <w:tc>
          <w:tcPr>
            <w:tcW w:w="1599" w:type="dxa"/>
            <w:tcBorders>
              <w:bottom w:val="single" w:sz="4" w:space="0" w:color="auto"/>
            </w:tcBorders>
            <w:shd w:val="clear" w:color="auto" w:fill="auto"/>
            <w:vAlign w:val="center"/>
          </w:tcPr>
          <w:p w14:paraId="5B4DED11" w14:textId="25C0E9B7" w:rsidR="00AE4BD1" w:rsidRPr="002D2F67" w:rsidRDefault="00A070E2"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903</w:t>
            </w:r>
            <w:r w:rsidRPr="002D2F67">
              <w:rPr>
                <w:rFonts w:ascii="Arial" w:hAnsi="Arial" w:cs="Arial"/>
                <w:color w:val="000000"/>
                <w:sz w:val="20"/>
                <w:szCs w:val="20"/>
              </w:rPr>
              <w:t>,</w:t>
            </w:r>
            <w:r w:rsidR="00CD5714" w:rsidRPr="00CD5714">
              <w:rPr>
                <w:rFonts w:ascii="Arial" w:hAnsi="Arial" w:cs="Arial"/>
                <w:color w:val="000000"/>
                <w:sz w:val="20"/>
                <w:szCs w:val="20"/>
                <w:lang w:val="en-GB"/>
              </w:rPr>
              <w:t>805</w:t>
            </w:r>
            <w:r w:rsidRPr="002D2F67">
              <w:rPr>
                <w:rFonts w:ascii="Arial" w:hAnsi="Arial" w:cs="Arial"/>
                <w:color w:val="000000"/>
                <w:sz w:val="20"/>
                <w:szCs w:val="20"/>
              </w:rPr>
              <w:t>)</w:t>
            </w:r>
          </w:p>
        </w:tc>
        <w:tc>
          <w:tcPr>
            <w:tcW w:w="1599" w:type="dxa"/>
            <w:tcBorders>
              <w:bottom w:val="single" w:sz="4" w:space="0" w:color="auto"/>
            </w:tcBorders>
            <w:shd w:val="clear" w:color="auto" w:fill="auto"/>
          </w:tcPr>
          <w:p w14:paraId="578C90D9" w14:textId="6C4999E7" w:rsidR="00AE4BD1" w:rsidRPr="002D2F67" w:rsidRDefault="00A070E2"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4</w:t>
            </w:r>
            <w:r w:rsidRPr="002D2F67">
              <w:rPr>
                <w:rFonts w:ascii="Arial" w:hAnsi="Arial" w:cs="Arial"/>
                <w:color w:val="000000"/>
                <w:sz w:val="20"/>
                <w:szCs w:val="20"/>
              </w:rPr>
              <w:t>,</w:t>
            </w:r>
            <w:r w:rsidR="00CD5714" w:rsidRPr="00CD5714">
              <w:rPr>
                <w:rFonts w:ascii="Arial" w:hAnsi="Arial" w:cs="Arial"/>
                <w:color w:val="000000"/>
                <w:sz w:val="20"/>
                <w:szCs w:val="20"/>
                <w:lang w:val="en-GB"/>
              </w:rPr>
              <w:t>863</w:t>
            </w:r>
            <w:r w:rsidRPr="002D2F67">
              <w:rPr>
                <w:rFonts w:ascii="Arial" w:hAnsi="Arial" w:cs="Arial"/>
                <w:color w:val="000000"/>
                <w:sz w:val="20"/>
                <w:szCs w:val="20"/>
              </w:rPr>
              <w:t>,</w:t>
            </w:r>
            <w:r w:rsidR="00CD5714" w:rsidRPr="00CD5714">
              <w:rPr>
                <w:rFonts w:ascii="Arial" w:hAnsi="Arial" w:cs="Arial"/>
                <w:color w:val="000000"/>
                <w:sz w:val="20"/>
                <w:szCs w:val="20"/>
                <w:lang w:val="en-GB"/>
              </w:rPr>
              <w:t>635</w:t>
            </w:r>
            <w:r w:rsidRPr="002D2F67">
              <w:rPr>
                <w:rFonts w:ascii="Arial" w:hAnsi="Arial" w:cs="Arial"/>
                <w:color w:val="000000"/>
                <w:sz w:val="20"/>
                <w:szCs w:val="20"/>
              </w:rPr>
              <w:t>)</w:t>
            </w:r>
          </w:p>
        </w:tc>
        <w:tc>
          <w:tcPr>
            <w:tcW w:w="1599" w:type="dxa"/>
            <w:tcBorders>
              <w:bottom w:val="single" w:sz="4" w:space="0" w:color="auto"/>
            </w:tcBorders>
            <w:shd w:val="clear" w:color="auto" w:fill="auto"/>
            <w:vAlign w:val="center"/>
          </w:tcPr>
          <w:p w14:paraId="469DAF58" w14:textId="0AE9F38E" w:rsidR="00AE4BD1" w:rsidRPr="002D2F67" w:rsidRDefault="001C26F0"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78</w:t>
            </w:r>
            <w:r w:rsidRPr="002D2F67">
              <w:rPr>
                <w:rFonts w:ascii="Arial" w:hAnsi="Arial" w:cs="Arial"/>
                <w:color w:val="000000"/>
                <w:sz w:val="20"/>
                <w:szCs w:val="20"/>
              </w:rPr>
              <w:t>,</w:t>
            </w:r>
            <w:r w:rsidR="00CD5714" w:rsidRPr="00CD5714">
              <w:rPr>
                <w:rFonts w:ascii="Arial" w:hAnsi="Arial" w:cs="Arial"/>
                <w:color w:val="000000"/>
                <w:sz w:val="20"/>
                <w:szCs w:val="20"/>
                <w:lang w:val="en-GB"/>
              </w:rPr>
              <w:t>752</w:t>
            </w:r>
            <w:r w:rsidRPr="002D2F67">
              <w:rPr>
                <w:rFonts w:ascii="Arial" w:hAnsi="Arial" w:cs="Arial"/>
                <w:color w:val="000000"/>
                <w:sz w:val="20"/>
                <w:szCs w:val="20"/>
              </w:rPr>
              <w:t>)</w:t>
            </w:r>
          </w:p>
        </w:tc>
        <w:tc>
          <w:tcPr>
            <w:tcW w:w="1599" w:type="dxa"/>
            <w:tcBorders>
              <w:bottom w:val="single" w:sz="4" w:space="0" w:color="auto"/>
            </w:tcBorders>
            <w:shd w:val="clear" w:color="auto" w:fill="auto"/>
            <w:vAlign w:val="center"/>
          </w:tcPr>
          <w:p w14:paraId="2A5CACFE" w14:textId="407668D9" w:rsidR="00AE4BD1" w:rsidRPr="002D2F67" w:rsidRDefault="00A070E2"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571" w:type="dxa"/>
            <w:tcBorders>
              <w:bottom w:val="single" w:sz="4" w:space="0" w:color="auto"/>
            </w:tcBorders>
            <w:shd w:val="clear" w:color="auto" w:fill="auto"/>
            <w:vAlign w:val="center"/>
          </w:tcPr>
          <w:p w14:paraId="406566F0" w14:textId="16B22927" w:rsidR="00AE4BD1" w:rsidRPr="002D2F67" w:rsidRDefault="00A070E2"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6</w:t>
            </w:r>
            <w:r w:rsidRPr="002D2F67">
              <w:rPr>
                <w:rFonts w:ascii="Arial" w:hAnsi="Arial" w:cs="Arial"/>
                <w:color w:val="000000"/>
                <w:sz w:val="20"/>
                <w:szCs w:val="20"/>
              </w:rPr>
              <w:t>,</w:t>
            </w:r>
            <w:r w:rsidR="00CD5714" w:rsidRPr="00CD5714">
              <w:rPr>
                <w:rFonts w:ascii="Arial" w:hAnsi="Arial" w:cs="Arial"/>
                <w:color w:val="000000"/>
                <w:sz w:val="20"/>
                <w:szCs w:val="20"/>
                <w:lang w:val="en-GB"/>
              </w:rPr>
              <w:t>078</w:t>
            </w:r>
            <w:r w:rsidRPr="002D2F67">
              <w:rPr>
                <w:rFonts w:ascii="Arial" w:hAnsi="Arial" w:cs="Arial"/>
                <w:color w:val="000000"/>
                <w:sz w:val="20"/>
                <w:szCs w:val="20"/>
              </w:rPr>
              <w:t>,</w:t>
            </w:r>
            <w:r w:rsidR="00CD5714" w:rsidRPr="00CD5714">
              <w:rPr>
                <w:rFonts w:ascii="Arial" w:hAnsi="Arial" w:cs="Arial"/>
                <w:color w:val="000000"/>
                <w:sz w:val="20"/>
                <w:szCs w:val="20"/>
                <w:lang w:val="en-GB"/>
              </w:rPr>
              <w:t>604</w:t>
            </w:r>
            <w:r w:rsidRPr="002D2F67">
              <w:rPr>
                <w:rFonts w:ascii="Arial" w:hAnsi="Arial" w:cs="Arial"/>
                <w:color w:val="000000"/>
                <w:sz w:val="20"/>
                <w:szCs w:val="20"/>
              </w:rPr>
              <w:t>)</w:t>
            </w:r>
          </w:p>
        </w:tc>
      </w:tr>
      <w:tr w:rsidR="005611FE" w:rsidRPr="002D2F67" w14:paraId="59F4E0CD" w14:textId="77777777" w:rsidTr="19457625">
        <w:trPr>
          <w:trHeight w:val="58"/>
        </w:trPr>
        <w:tc>
          <w:tcPr>
            <w:tcW w:w="4505" w:type="dxa"/>
            <w:shd w:val="clear" w:color="auto" w:fill="auto"/>
            <w:vAlign w:val="bottom"/>
          </w:tcPr>
          <w:p w14:paraId="3F7EAF71" w14:textId="77777777" w:rsidR="00AE4BD1" w:rsidRPr="002D2F67" w:rsidRDefault="00AE4BD1" w:rsidP="005611FE">
            <w:pPr>
              <w:ind w:left="180"/>
              <w:rPr>
                <w:rFonts w:ascii="Arial" w:hAnsi="Arial" w:cs="Arial"/>
                <w:b/>
                <w:bCs/>
                <w:color w:val="000000"/>
                <w:sz w:val="20"/>
                <w:szCs w:val="20"/>
              </w:rPr>
            </w:pPr>
          </w:p>
        </w:tc>
        <w:tc>
          <w:tcPr>
            <w:tcW w:w="1599" w:type="dxa"/>
            <w:tcBorders>
              <w:top w:val="single" w:sz="4" w:space="0" w:color="auto"/>
            </w:tcBorders>
            <w:shd w:val="clear" w:color="auto" w:fill="auto"/>
            <w:vAlign w:val="bottom"/>
          </w:tcPr>
          <w:p w14:paraId="239F2831"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7A1D5465" w14:textId="7C09EB92"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523B986F"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5353A9F9"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4BAC9285" w14:textId="77777777" w:rsidR="00AE4BD1" w:rsidRPr="002D2F67" w:rsidRDefault="00AE4BD1" w:rsidP="005611FE">
            <w:pPr>
              <w:ind w:right="-72"/>
              <w:jc w:val="right"/>
              <w:rPr>
                <w:rFonts w:ascii="Arial" w:hAnsi="Arial" w:cs="Arial"/>
                <w:color w:val="000000"/>
                <w:sz w:val="20"/>
                <w:szCs w:val="20"/>
              </w:rPr>
            </w:pPr>
          </w:p>
        </w:tc>
        <w:tc>
          <w:tcPr>
            <w:tcW w:w="1599" w:type="dxa"/>
            <w:tcBorders>
              <w:top w:val="single" w:sz="4" w:space="0" w:color="auto"/>
            </w:tcBorders>
            <w:shd w:val="clear" w:color="auto" w:fill="auto"/>
            <w:vAlign w:val="bottom"/>
          </w:tcPr>
          <w:p w14:paraId="367DC2B9" w14:textId="77777777" w:rsidR="00AE4BD1" w:rsidRPr="002D2F67" w:rsidRDefault="00AE4BD1" w:rsidP="005611FE">
            <w:pPr>
              <w:ind w:right="-72"/>
              <w:jc w:val="right"/>
              <w:rPr>
                <w:rFonts w:ascii="Arial" w:hAnsi="Arial" w:cs="Arial"/>
                <w:color w:val="000000"/>
                <w:sz w:val="20"/>
                <w:szCs w:val="20"/>
              </w:rPr>
            </w:pPr>
          </w:p>
        </w:tc>
        <w:tc>
          <w:tcPr>
            <w:tcW w:w="1571" w:type="dxa"/>
            <w:tcBorders>
              <w:top w:val="single" w:sz="4" w:space="0" w:color="auto"/>
            </w:tcBorders>
            <w:shd w:val="clear" w:color="auto" w:fill="auto"/>
            <w:vAlign w:val="bottom"/>
          </w:tcPr>
          <w:p w14:paraId="11A3F4D9" w14:textId="77777777" w:rsidR="00AE4BD1" w:rsidRPr="002D2F67" w:rsidRDefault="00AE4BD1" w:rsidP="005611FE">
            <w:pPr>
              <w:ind w:right="-72"/>
              <w:jc w:val="right"/>
              <w:rPr>
                <w:rFonts w:ascii="Arial" w:hAnsi="Arial" w:cs="Arial"/>
                <w:color w:val="000000"/>
                <w:sz w:val="20"/>
                <w:szCs w:val="20"/>
              </w:rPr>
            </w:pPr>
          </w:p>
        </w:tc>
      </w:tr>
      <w:tr w:rsidR="00AE4BD1" w:rsidRPr="002D2F67" w14:paraId="75B14D1C" w14:textId="77777777" w:rsidTr="19457625">
        <w:trPr>
          <w:trHeight w:val="239"/>
        </w:trPr>
        <w:tc>
          <w:tcPr>
            <w:tcW w:w="4505" w:type="dxa"/>
            <w:shd w:val="clear" w:color="auto" w:fill="auto"/>
            <w:vAlign w:val="bottom"/>
          </w:tcPr>
          <w:p w14:paraId="22610C9D" w14:textId="77777777" w:rsidR="00AE4BD1" w:rsidRPr="002D2F67" w:rsidRDefault="00AE4BD1" w:rsidP="005611FE">
            <w:pPr>
              <w:ind w:left="180"/>
              <w:rPr>
                <w:rFonts w:ascii="Arial" w:hAnsi="Arial" w:cs="Arial"/>
                <w:color w:val="000000"/>
                <w:sz w:val="20"/>
                <w:szCs w:val="20"/>
              </w:rPr>
            </w:pPr>
            <w:r w:rsidRPr="002D2F67">
              <w:rPr>
                <w:rFonts w:ascii="Arial" w:hAnsi="Arial" w:cs="Arial"/>
                <w:color w:val="000000"/>
                <w:sz w:val="20"/>
                <w:szCs w:val="20"/>
              </w:rPr>
              <w:t>Net book value</w:t>
            </w:r>
          </w:p>
        </w:tc>
        <w:tc>
          <w:tcPr>
            <w:tcW w:w="1599" w:type="dxa"/>
            <w:tcBorders>
              <w:bottom w:val="single" w:sz="4" w:space="0" w:color="auto"/>
            </w:tcBorders>
            <w:shd w:val="clear" w:color="auto" w:fill="auto"/>
          </w:tcPr>
          <w:p w14:paraId="3E48BC64" w14:textId="494009F0"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380</w:t>
            </w:r>
            <w:r w:rsidR="00A070E2" w:rsidRPr="002D2F67">
              <w:rPr>
                <w:rFonts w:ascii="Arial" w:hAnsi="Arial" w:cs="Arial"/>
                <w:color w:val="000000"/>
                <w:sz w:val="20"/>
                <w:szCs w:val="20"/>
              </w:rPr>
              <w:t>,</w:t>
            </w:r>
            <w:r w:rsidRPr="00CD5714">
              <w:rPr>
                <w:rFonts w:ascii="Arial" w:hAnsi="Arial" w:cs="Arial"/>
                <w:color w:val="000000"/>
                <w:sz w:val="20"/>
                <w:szCs w:val="20"/>
                <w:lang w:val="en-GB"/>
              </w:rPr>
              <w:t>481</w:t>
            </w:r>
          </w:p>
        </w:tc>
        <w:tc>
          <w:tcPr>
            <w:tcW w:w="1599" w:type="dxa"/>
            <w:tcBorders>
              <w:bottom w:val="single" w:sz="4" w:space="0" w:color="auto"/>
            </w:tcBorders>
            <w:shd w:val="clear" w:color="auto" w:fill="auto"/>
          </w:tcPr>
          <w:p w14:paraId="002DAB58" w14:textId="595888F2"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234</w:t>
            </w:r>
            <w:r w:rsidR="00A070E2" w:rsidRPr="002D2F67">
              <w:rPr>
                <w:rFonts w:ascii="Arial" w:hAnsi="Arial" w:cs="Arial"/>
                <w:color w:val="000000"/>
                <w:sz w:val="20"/>
                <w:szCs w:val="20"/>
              </w:rPr>
              <w:t>,</w:t>
            </w:r>
            <w:r w:rsidRPr="00CD5714">
              <w:rPr>
                <w:rFonts w:ascii="Arial" w:hAnsi="Arial" w:cs="Arial"/>
                <w:color w:val="000000"/>
                <w:sz w:val="20"/>
                <w:szCs w:val="20"/>
                <w:lang w:val="en-GB"/>
              </w:rPr>
              <w:t>196</w:t>
            </w:r>
          </w:p>
        </w:tc>
        <w:tc>
          <w:tcPr>
            <w:tcW w:w="1599" w:type="dxa"/>
            <w:tcBorders>
              <w:bottom w:val="single" w:sz="4" w:space="0" w:color="auto"/>
            </w:tcBorders>
            <w:shd w:val="clear" w:color="auto" w:fill="auto"/>
          </w:tcPr>
          <w:p w14:paraId="73130D4E" w14:textId="415C8D3C"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80</w:t>
            </w:r>
            <w:r w:rsidR="00A070E2" w:rsidRPr="002D2F67">
              <w:rPr>
                <w:rFonts w:ascii="Arial" w:hAnsi="Arial" w:cs="Arial"/>
                <w:color w:val="000000"/>
                <w:sz w:val="20"/>
                <w:szCs w:val="20"/>
              </w:rPr>
              <w:t>,</w:t>
            </w:r>
            <w:r w:rsidRPr="00CD5714">
              <w:rPr>
                <w:rFonts w:ascii="Arial" w:hAnsi="Arial" w:cs="Arial"/>
                <w:color w:val="000000"/>
                <w:sz w:val="20"/>
                <w:szCs w:val="20"/>
                <w:lang w:val="en-GB"/>
              </w:rPr>
              <w:t>698</w:t>
            </w:r>
          </w:p>
        </w:tc>
        <w:tc>
          <w:tcPr>
            <w:tcW w:w="1599" w:type="dxa"/>
            <w:tcBorders>
              <w:bottom w:val="single" w:sz="4" w:space="0" w:color="auto"/>
            </w:tcBorders>
            <w:shd w:val="clear" w:color="auto" w:fill="auto"/>
          </w:tcPr>
          <w:p w14:paraId="3CF26E56" w14:textId="0ACCA790"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9</w:t>
            </w:r>
            <w:r w:rsidR="00A070E2" w:rsidRPr="002D2F67">
              <w:rPr>
                <w:rFonts w:ascii="Arial" w:hAnsi="Arial" w:cs="Arial"/>
                <w:color w:val="000000"/>
                <w:sz w:val="20"/>
                <w:szCs w:val="20"/>
              </w:rPr>
              <w:t>,</w:t>
            </w:r>
            <w:r w:rsidRPr="00CD5714">
              <w:rPr>
                <w:rFonts w:ascii="Arial" w:hAnsi="Arial" w:cs="Arial"/>
                <w:color w:val="000000"/>
                <w:sz w:val="20"/>
                <w:szCs w:val="20"/>
                <w:lang w:val="en-GB"/>
              </w:rPr>
              <w:t>689</w:t>
            </w:r>
            <w:r w:rsidR="00A070E2" w:rsidRPr="002D2F67">
              <w:rPr>
                <w:rFonts w:ascii="Arial" w:hAnsi="Arial" w:cs="Arial"/>
                <w:color w:val="000000"/>
                <w:sz w:val="20"/>
                <w:szCs w:val="20"/>
              </w:rPr>
              <w:t>,</w:t>
            </w:r>
            <w:r w:rsidRPr="00CD5714">
              <w:rPr>
                <w:rFonts w:ascii="Arial" w:hAnsi="Arial" w:cs="Arial"/>
                <w:color w:val="000000"/>
                <w:sz w:val="20"/>
                <w:szCs w:val="20"/>
                <w:lang w:val="en-GB"/>
              </w:rPr>
              <w:t>115</w:t>
            </w:r>
          </w:p>
        </w:tc>
        <w:tc>
          <w:tcPr>
            <w:tcW w:w="1599" w:type="dxa"/>
            <w:tcBorders>
              <w:bottom w:val="single" w:sz="4" w:space="0" w:color="auto"/>
            </w:tcBorders>
            <w:shd w:val="clear" w:color="auto" w:fill="auto"/>
          </w:tcPr>
          <w:p w14:paraId="3B7FAAFD" w14:textId="7B4A28C9"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18</w:t>
            </w:r>
            <w:r w:rsidR="00A070E2" w:rsidRPr="002D2F67">
              <w:rPr>
                <w:rFonts w:ascii="Arial" w:hAnsi="Arial" w:cs="Arial"/>
                <w:color w:val="000000"/>
                <w:sz w:val="20"/>
                <w:szCs w:val="20"/>
              </w:rPr>
              <w:t>,</w:t>
            </w:r>
            <w:r w:rsidRPr="00CD5714">
              <w:rPr>
                <w:rFonts w:ascii="Arial" w:hAnsi="Arial" w:cs="Arial"/>
                <w:color w:val="000000"/>
                <w:sz w:val="20"/>
                <w:szCs w:val="20"/>
                <w:lang w:val="en-GB"/>
              </w:rPr>
              <w:t>855</w:t>
            </w:r>
          </w:p>
        </w:tc>
        <w:tc>
          <w:tcPr>
            <w:tcW w:w="1599" w:type="dxa"/>
            <w:tcBorders>
              <w:bottom w:val="single" w:sz="4" w:space="0" w:color="auto"/>
            </w:tcBorders>
            <w:shd w:val="clear" w:color="auto" w:fill="auto"/>
          </w:tcPr>
          <w:p w14:paraId="2BCF8C45" w14:textId="36CFD051"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157</w:t>
            </w:r>
            <w:r w:rsidR="00A070E2" w:rsidRPr="002D2F67">
              <w:rPr>
                <w:rFonts w:ascii="Arial" w:hAnsi="Arial" w:cs="Arial"/>
                <w:color w:val="000000"/>
                <w:sz w:val="20"/>
                <w:szCs w:val="20"/>
              </w:rPr>
              <w:t>,</w:t>
            </w:r>
            <w:r w:rsidRPr="00CD5714">
              <w:rPr>
                <w:rFonts w:ascii="Arial" w:hAnsi="Arial" w:cs="Arial"/>
                <w:color w:val="000000"/>
                <w:sz w:val="20"/>
                <w:szCs w:val="20"/>
                <w:lang w:val="en-GB"/>
              </w:rPr>
              <w:t>290</w:t>
            </w:r>
          </w:p>
        </w:tc>
        <w:tc>
          <w:tcPr>
            <w:tcW w:w="1571" w:type="dxa"/>
            <w:tcBorders>
              <w:bottom w:val="single" w:sz="4" w:space="0" w:color="auto"/>
            </w:tcBorders>
            <w:shd w:val="clear" w:color="auto" w:fill="auto"/>
          </w:tcPr>
          <w:p w14:paraId="5444FD2B" w14:textId="3C8D9083" w:rsidR="00AE4BD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10</w:t>
            </w:r>
            <w:r w:rsidR="00A070E2" w:rsidRPr="002D2F67">
              <w:rPr>
                <w:rFonts w:ascii="Arial" w:hAnsi="Arial" w:cs="Arial"/>
                <w:color w:val="000000"/>
                <w:sz w:val="20"/>
                <w:szCs w:val="20"/>
              </w:rPr>
              <w:t>,</w:t>
            </w:r>
            <w:r w:rsidRPr="00CD5714">
              <w:rPr>
                <w:rFonts w:ascii="Arial" w:hAnsi="Arial" w:cs="Arial"/>
                <w:color w:val="000000"/>
                <w:sz w:val="20"/>
                <w:szCs w:val="20"/>
                <w:lang w:val="en-GB"/>
              </w:rPr>
              <w:t>560</w:t>
            </w:r>
            <w:r w:rsidR="00A070E2" w:rsidRPr="002D2F67">
              <w:rPr>
                <w:rFonts w:ascii="Arial" w:hAnsi="Arial" w:cs="Arial"/>
                <w:color w:val="000000"/>
                <w:sz w:val="20"/>
                <w:szCs w:val="20"/>
              </w:rPr>
              <w:t>,</w:t>
            </w:r>
            <w:r w:rsidRPr="00CD5714">
              <w:rPr>
                <w:rFonts w:ascii="Arial" w:hAnsi="Arial" w:cs="Arial"/>
                <w:color w:val="000000"/>
                <w:sz w:val="20"/>
                <w:szCs w:val="20"/>
                <w:lang w:val="en-GB"/>
              </w:rPr>
              <w:t>635</w:t>
            </w:r>
          </w:p>
        </w:tc>
      </w:tr>
    </w:tbl>
    <w:p w14:paraId="4F3BDC2C" w14:textId="4BCA1E1D" w:rsidR="00235335" w:rsidRPr="002D2F67" w:rsidRDefault="00235335" w:rsidP="005611FE">
      <w:pPr>
        <w:jc w:val="both"/>
        <w:rPr>
          <w:rFonts w:ascii="Arial" w:hAnsi="Arial" w:cs="Arial"/>
          <w:color w:val="000000"/>
          <w:sz w:val="20"/>
          <w:szCs w:val="20"/>
        </w:rPr>
      </w:pPr>
    </w:p>
    <w:p w14:paraId="7006C1D5" w14:textId="544AB920" w:rsidR="00695B8E" w:rsidRPr="002D2F67" w:rsidRDefault="00A8797A" w:rsidP="00640311">
      <w:pPr>
        <w:pStyle w:val="BodyTextIndent2"/>
        <w:ind w:left="0"/>
        <w:rPr>
          <w:rFonts w:ascii="Arial" w:hAnsi="Arial" w:cs="Arial"/>
          <w:spacing w:val="-2"/>
        </w:rPr>
      </w:pPr>
      <w:r w:rsidRPr="002D2F67">
        <w:rPr>
          <w:rFonts w:ascii="Arial" w:hAnsi="Arial" w:cs="Arial"/>
          <w:spacing w:val="-2"/>
        </w:rPr>
        <w:t xml:space="preserve">As </w:t>
      </w:r>
      <w:proofErr w:type="gramStart"/>
      <w:r w:rsidRPr="002D2F67">
        <w:rPr>
          <w:rFonts w:ascii="Arial" w:hAnsi="Arial" w:cs="Arial"/>
          <w:spacing w:val="-2"/>
        </w:rPr>
        <w:t>at</w:t>
      </w:r>
      <w:proofErr w:type="gramEnd"/>
      <w:r w:rsidRPr="002D2F67">
        <w:rPr>
          <w:rFonts w:ascii="Arial" w:hAnsi="Arial" w:cs="Arial"/>
          <w:spacing w:val="-2"/>
        </w:rPr>
        <w:t xml:space="preserve"> </w:t>
      </w:r>
      <w:r w:rsidR="00CD5714" w:rsidRPr="00CD5714">
        <w:rPr>
          <w:rFonts w:ascii="Arial" w:hAnsi="Arial" w:cs="Arial"/>
          <w:spacing w:val="-2"/>
          <w:lang w:val="en-GB"/>
        </w:rPr>
        <w:t>31</w:t>
      </w:r>
      <w:r w:rsidR="00695B8E" w:rsidRPr="002D2F67">
        <w:rPr>
          <w:rFonts w:ascii="Arial" w:hAnsi="Arial" w:cs="Arial"/>
          <w:spacing w:val="-2"/>
        </w:rPr>
        <w:t xml:space="preserve"> </w:t>
      </w:r>
      <w:r w:rsidRPr="002D2F67">
        <w:rPr>
          <w:rFonts w:ascii="Arial" w:hAnsi="Arial" w:cs="Arial"/>
          <w:spacing w:val="-2"/>
        </w:rPr>
        <w:t xml:space="preserve">December </w:t>
      </w:r>
      <w:r w:rsidR="00CD5714" w:rsidRPr="00CD5714">
        <w:rPr>
          <w:rFonts w:ascii="Arial" w:hAnsi="Arial" w:cs="Arial"/>
          <w:spacing w:val="-2"/>
          <w:lang w:val="en-GB"/>
        </w:rPr>
        <w:t>2024</w:t>
      </w:r>
      <w:r w:rsidR="00695B8E" w:rsidRPr="002D2F67">
        <w:rPr>
          <w:rFonts w:ascii="Arial" w:hAnsi="Arial" w:cs="Arial"/>
          <w:spacing w:val="-2"/>
        </w:rPr>
        <w:t xml:space="preserve"> property, plant and equipment of</w:t>
      </w:r>
      <w:r w:rsidRPr="002D2F67">
        <w:rPr>
          <w:rFonts w:ascii="Arial" w:hAnsi="Arial" w:cs="Arial"/>
          <w:spacing w:val="-2"/>
        </w:rPr>
        <w:t xml:space="preserve"> the Group and the Company with net book value </w:t>
      </w:r>
      <w:r w:rsidR="00695B8E" w:rsidRPr="002D2F67">
        <w:rPr>
          <w:rFonts w:ascii="Arial" w:hAnsi="Arial" w:cs="Arial"/>
          <w:spacing w:val="-2"/>
        </w:rPr>
        <w:t xml:space="preserve">of Baht </w:t>
      </w:r>
      <w:r w:rsidR="00CD5714" w:rsidRPr="00CD5714">
        <w:rPr>
          <w:rFonts w:ascii="Arial" w:hAnsi="Arial" w:cs="Arial"/>
          <w:spacing w:val="-2"/>
          <w:lang w:val="en-GB"/>
        </w:rPr>
        <w:t>38</w:t>
      </w:r>
      <w:r w:rsidR="00A85C12" w:rsidRPr="002D2F67">
        <w:rPr>
          <w:rFonts w:ascii="Arial" w:hAnsi="Arial" w:cs="Arial"/>
          <w:spacing w:val="-2"/>
        </w:rPr>
        <w:t>,</w:t>
      </w:r>
      <w:r w:rsidR="00CD5714" w:rsidRPr="00CD5714">
        <w:rPr>
          <w:rFonts w:ascii="Arial" w:hAnsi="Arial" w:cs="Arial"/>
          <w:spacing w:val="-2"/>
          <w:lang w:val="en-GB"/>
        </w:rPr>
        <w:t>127</w:t>
      </w:r>
      <w:r w:rsidRPr="002D2F67">
        <w:rPr>
          <w:rFonts w:ascii="Arial" w:hAnsi="Arial" w:cs="Arial"/>
          <w:spacing w:val="-2"/>
        </w:rPr>
        <w:t xml:space="preserve"> million </w:t>
      </w:r>
      <w:r w:rsidR="00695B8E" w:rsidRPr="002D2F67">
        <w:rPr>
          <w:rFonts w:ascii="Arial" w:hAnsi="Arial" w:cs="Arial"/>
          <w:spacing w:val="-2"/>
        </w:rPr>
        <w:t xml:space="preserve">and </w:t>
      </w:r>
      <w:r w:rsidRPr="002D2F67">
        <w:rPr>
          <w:rFonts w:ascii="Arial" w:hAnsi="Arial" w:cs="Arial"/>
          <w:spacing w:val="-2"/>
        </w:rPr>
        <w:t xml:space="preserve">Baht </w:t>
      </w:r>
      <w:r w:rsidR="00CD5714" w:rsidRPr="00CD5714">
        <w:rPr>
          <w:rFonts w:ascii="Arial" w:hAnsi="Arial" w:cs="Arial"/>
          <w:spacing w:val="-2"/>
          <w:lang w:val="en-GB"/>
        </w:rPr>
        <w:t>9</w:t>
      </w:r>
      <w:r w:rsidR="00A85C12" w:rsidRPr="002D2F67">
        <w:rPr>
          <w:rFonts w:ascii="Arial" w:hAnsi="Arial" w:cs="Arial"/>
          <w:spacing w:val="-2"/>
        </w:rPr>
        <w:t>,</w:t>
      </w:r>
      <w:r w:rsidR="00CD5714" w:rsidRPr="00CD5714">
        <w:rPr>
          <w:rFonts w:ascii="Arial" w:hAnsi="Arial" w:cs="Arial"/>
          <w:spacing w:val="-2"/>
          <w:lang w:val="en-GB"/>
        </w:rPr>
        <w:t>944</w:t>
      </w:r>
      <w:r w:rsidRPr="002D2F67">
        <w:rPr>
          <w:rFonts w:ascii="Arial" w:hAnsi="Arial" w:cs="Arial"/>
          <w:spacing w:val="-2"/>
        </w:rPr>
        <w:t xml:space="preserve"> million, respectively</w:t>
      </w:r>
      <w:r w:rsidR="00695B8E" w:rsidRPr="002D2F67">
        <w:rPr>
          <w:rFonts w:ascii="Arial" w:hAnsi="Arial" w:cs="Arial"/>
          <w:spacing w:val="-2"/>
        </w:rPr>
        <w:t xml:space="preserve"> were mortgaged and pledged </w:t>
      </w:r>
      <w:r w:rsidRPr="002D2F67">
        <w:rPr>
          <w:rFonts w:ascii="Arial" w:hAnsi="Arial" w:cs="Arial"/>
          <w:spacing w:val="-2"/>
        </w:rPr>
        <w:t xml:space="preserve">as collateral for credit facilities with financial </w:t>
      </w:r>
      <w:r w:rsidR="00695B8E" w:rsidRPr="002D2F67">
        <w:rPr>
          <w:rFonts w:ascii="Arial" w:hAnsi="Arial" w:cs="Arial"/>
          <w:spacing w:val="-2"/>
        </w:rPr>
        <w:t>institution</w:t>
      </w:r>
      <w:r w:rsidR="00761412" w:rsidRPr="002D2F67">
        <w:rPr>
          <w:rFonts w:ascii="Arial" w:hAnsi="Arial" w:cs="Arial"/>
          <w:spacing w:val="-2"/>
        </w:rPr>
        <w:t>s</w:t>
      </w:r>
      <w:r w:rsidRPr="002D2F67">
        <w:rPr>
          <w:rFonts w:ascii="Arial" w:hAnsi="Arial" w:cs="Arial"/>
          <w:spacing w:val="-2"/>
        </w:rPr>
        <w:t xml:space="preserve"> (</w:t>
      </w:r>
      <w:r w:rsidR="00CD5714" w:rsidRPr="00CD5714">
        <w:rPr>
          <w:rFonts w:ascii="Arial" w:hAnsi="Arial" w:cs="Arial"/>
          <w:spacing w:val="-2"/>
          <w:lang w:val="en-GB"/>
        </w:rPr>
        <w:t>2023</w:t>
      </w:r>
      <w:r w:rsidRPr="002D2F67">
        <w:rPr>
          <w:rFonts w:ascii="Arial" w:hAnsi="Arial" w:cs="Arial"/>
          <w:spacing w:val="-2"/>
          <w:cs/>
        </w:rPr>
        <w:t xml:space="preserve">: </w:t>
      </w:r>
      <w:r w:rsidR="00695B8E" w:rsidRPr="002D2F67">
        <w:rPr>
          <w:rFonts w:ascii="Arial" w:hAnsi="Arial" w:cs="Arial"/>
          <w:spacing w:val="-2"/>
        </w:rPr>
        <w:t xml:space="preserve">Baht </w:t>
      </w:r>
      <w:r w:rsidR="00CD5714" w:rsidRPr="00CD5714">
        <w:rPr>
          <w:rFonts w:ascii="Arial" w:hAnsi="Arial" w:cs="Arial"/>
          <w:spacing w:val="-2"/>
          <w:lang w:val="en-GB"/>
        </w:rPr>
        <w:t>28</w:t>
      </w:r>
      <w:r w:rsidR="00F11AC1" w:rsidRPr="002D2F67">
        <w:rPr>
          <w:rFonts w:ascii="Arial" w:hAnsi="Arial" w:cs="Arial"/>
          <w:spacing w:val="-2"/>
        </w:rPr>
        <w:t>,</w:t>
      </w:r>
      <w:r w:rsidR="00CD5714" w:rsidRPr="00CD5714">
        <w:rPr>
          <w:rFonts w:ascii="Arial" w:hAnsi="Arial" w:cs="Arial"/>
          <w:spacing w:val="-2"/>
          <w:lang w:val="en-GB"/>
        </w:rPr>
        <w:t>632</w:t>
      </w:r>
      <w:r w:rsidRPr="002D2F67">
        <w:rPr>
          <w:rFonts w:ascii="Arial" w:hAnsi="Arial" w:cs="Arial"/>
          <w:spacing w:val="-2"/>
          <w:cs/>
        </w:rPr>
        <w:t xml:space="preserve"> </w:t>
      </w:r>
      <w:r w:rsidRPr="002D2F67">
        <w:rPr>
          <w:rFonts w:ascii="Arial" w:hAnsi="Arial" w:cs="Arial"/>
          <w:spacing w:val="-2"/>
        </w:rPr>
        <w:t xml:space="preserve">million </w:t>
      </w:r>
      <w:r w:rsidR="00695B8E" w:rsidRPr="002D2F67">
        <w:rPr>
          <w:rFonts w:ascii="Arial" w:hAnsi="Arial" w:cs="Arial"/>
          <w:spacing w:val="-2"/>
        </w:rPr>
        <w:t xml:space="preserve">and Baht </w:t>
      </w:r>
      <w:r w:rsidR="00CD5714" w:rsidRPr="00CD5714">
        <w:rPr>
          <w:rFonts w:ascii="Arial" w:hAnsi="Arial" w:cs="Arial"/>
          <w:spacing w:val="-2"/>
          <w:lang w:val="en-GB"/>
        </w:rPr>
        <w:t>10</w:t>
      </w:r>
      <w:r w:rsidR="00BD529D" w:rsidRPr="002D2F67">
        <w:rPr>
          <w:rFonts w:ascii="Arial" w:hAnsi="Arial" w:cs="Arial"/>
          <w:spacing w:val="-2"/>
        </w:rPr>
        <w:t>,</w:t>
      </w:r>
      <w:r w:rsidR="00CD5714" w:rsidRPr="00CD5714">
        <w:rPr>
          <w:rFonts w:ascii="Arial" w:hAnsi="Arial" w:cs="Arial"/>
          <w:spacing w:val="-2"/>
          <w:lang w:val="en-GB"/>
        </w:rPr>
        <w:t>666</w:t>
      </w:r>
      <w:r w:rsidR="00695B8E" w:rsidRPr="002D2F67">
        <w:rPr>
          <w:rFonts w:ascii="Arial" w:hAnsi="Arial" w:cs="Arial"/>
          <w:spacing w:val="-2"/>
        </w:rPr>
        <w:t xml:space="preserve"> million, respectively) (Note</w:t>
      </w:r>
      <w:r w:rsidRPr="002D2F67">
        <w:rPr>
          <w:rFonts w:ascii="Arial" w:hAnsi="Arial" w:cs="Arial"/>
          <w:spacing w:val="-2"/>
        </w:rPr>
        <w:t xml:space="preserve"> </w:t>
      </w:r>
      <w:r w:rsidR="00CD5714" w:rsidRPr="00CD5714">
        <w:rPr>
          <w:rFonts w:ascii="Arial" w:hAnsi="Arial" w:cs="Arial"/>
          <w:spacing w:val="-2"/>
          <w:lang w:val="en-GB"/>
        </w:rPr>
        <w:t>27</w:t>
      </w:r>
      <w:r w:rsidRPr="002D2F67">
        <w:rPr>
          <w:rFonts w:ascii="Arial" w:hAnsi="Arial" w:cs="Arial"/>
          <w:spacing w:val="-2"/>
          <w:cs/>
        </w:rPr>
        <w:t xml:space="preserve"> </w:t>
      </w:r>
      <w:r w:rsidRPr="002D2F67">
        <w:rPr>
          <w:rFonts w:ascii="Arial" w:hAnsi="Arial" w:cs="Arial"/>
          <w:spacing w:val="-2"/>
        </w:rPr>
        <w:t xml:space="preserve">and </w:t>
      </w:r>
      <w:r w:rsidR="00CD5714" w:rsidRPr="00CD5714">
        <w:rPr>
          <w:rFonts w:ascii="Arial" w:hAnsi="Arial" w:cs="Arial"/>
          <w:spacing w:val="-2"/>
          <w:lang w:val="en-GB"/>
        </w:rPr>
        <w:t>29</w:t>
      </w:r>
      <w:r w:rsidR="00695B8E" w:rsidRPr="002D2F67">
        <w:rPr>
          <w:rFonts w:ascii="Arial" w:hAnsi="Arial" w:cs="Arial"/>
          <w:spacing w:val="-2"/>
        </w:rPr>
        <w:t>)</w:t>
      </w:r>
      <w:r w:rsidR="008072F6" w:rsidRPr="002D2F67">
        <w:rPr>
          <w:rFonts w:ascii="Arial" w:hAnsi="Arial" w:cs="Arial"/>
          <w:spacing w:val="-2"/>
        </w:rPr>
        <w:t>.</w:t>
      </w:r>
    </w:p>
    <w:p w14:paraId="6193409F" w14:textId="5AC9A566" w:rsidR="009D6AA6" w:rsidRPr="002D2F67" w:rsidRDefault="009D6AA6" w:rsidP="00640311">
      <w:pPr>
        <w:pStyle w:val="BodyTextIndent2"/>
        <w:ind w:left="0"/>
        <w:rPr>
          <w:rFonts w:ascii="Arial" w:hAnsi="Arial" w:cs="Arial"/>
          <w:spacing w:val="-2"/>
        </w:rPr>
        <w:sectPr w:rsidR="009D6AA6" w:rsidRPr="002D2F67" w:rsidSect="004F4DED">
          <w:pgSz w:w="16840" w:h="11907" w:orient="landscape" w:code="9"/>
          <w:pgMar w:top="1440" w:right="720" w:bottom="720" w:left="720" w:header="706" w:footer="706" w:gutter="0"/>
          <w:cols w:space="720"/>
          <w:docGrid w:linePitch="326"/>
        </w:sectPr>
      </w:pPr>
    </w:p>
    <w:p w14:paraId="1A7E6724" w14:textId="77777777" w:rsidR="00BB5A4F" w:rsidRPr="002D2F67" w:rsidRDefault="00BB5A4F" w:rsidP="005611FE">
      <w:pPr>
        <w:pStyle w:val="BodyTextIndent2"/>
        <w:ind w:left="0"/>
        <w:rPr>
          <w:rFonts w:ascii="Arial" w:hAnsi="Arial" w:cs="Arial"/>
          <w:spacing w:val="-2"/>
        </w:rPr>
      </w:pPr>
    </w:p>
    <w:p w14:paraId="50CA2E01" w14:textId="5E47CA1C" w:rsidR="009C521E"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22</w:t>
      </w:r>
      <w:r w:rsidR="009C521E" w:rsidRPr="002D2F67">
        <w:rPr>
          <w:rFonts w:ascii="Arial" w:hAnsi="Arial" w:cs="Arial"/>
          <w:b/>
          <w:bCs/>
          <w:color w:val="000000"/>
          <w:kern w:val="26"/>
          <w:position w:val="-24"/>
          <w:sz w:val="20"/>
          <w:szCs w:val="20"/>
          <w:cs/>
        </w:rPr>
        <w:tab/>
      </w:r>
      <w:r w:rsidR="009C521E" w:rsidRPr="002D2F67">
        <w:rPr>
          <w:rFonts w:ascii="Arial" w:hAnsi="Arial" w:cs="Arial"/>
          <w:b/>
          <w:bCs/>
          <w:color w:val="000000"/>
          <w:kern w:val="26"/>
          <w:position w:val="-24"/>
          <w:sz w:val="20"/>
          <w:szCs w:val="20"/>
        </w:rPr>
        <w:t>Right-of-use assets, net</w:t>
      </w:r>
    </w:p>
    <w:p w14:paraId="7753C69C" w14:textId="77777777" w:rsidR="00D43726" w:rsidRPr="002D2F67" w:rsidRDefault="00D43726" w:rsidP="005611FE">
      <w:pPr>
        <w:pStyle w:val="BodyTextIndent2"/>
        <w:spacing w:line="240" w:lineRule="auto"/>
        <w:ind w:left="0"/>
        <w:jc w:val="left"/>
        <w:rPr>
          <w:rFonts w:ascii="Arial" w:hAnsi="Arial" w:cs="Arial"/>
          <w:spacing w:val="-2"/>
        </w:rPr>
      </w:pPr>
    </w:p>
    <w:tbl>
      <w:tblPr>
        <w:tblW w:w="0" w:type="auto"/>
        <w:tblInd w:w="115" w:type="dxa"/>
        <w:tblLayout w:type="fixed"/>
        <w:tblLook w:val="04A0" w:firstRow="1" w:lastRow="0" w:firstColumn="1" w:lastColumn="0" w:noHBand="0" w:noVBand="1"/>
      </w:tblPr>
      <w:tblGrid>
        <w:gridCol w:w="4277"/>
        <w:gridCol w:w="1296"/>
        <w:gridCol w:w="1296"/>
        <w:gridCol w:w="1296"/>
        <w:gridCol w:w="1296"/>
      </w:tblGrid>
      <w:tr w:rsidR="00003F9B" w:rsidRPr="002D2F67" w14:paraId="6A0CF7E9" w14:textId="77777777" w:rsidTr="002D2F67">
        <w:trPr>
          <w:trHeight w:val="53"/>
        </w:trPr>
        <w:tc>
          <w:tcPr>
            <w:tcW w:w="4277" w:type="dxa"/>
            <w:shd w:val="clear" w:color="auto" w:fill="auto"/>
          </w:tcPr>
          <w:p w14:paraId="0B7856CC" w14:textId="77777777" w:rsidR="00003F9B" w:rsidRPr="002D2F67" w:rsidRDefault="00003F9B" w:rsidP="002D2F67">
            <w:pPr>
              <w:ind w:left="-86"/>
              <w:jc w:val="both"/>
              <w:rPr>
                <w:rFonts w:ascii="Arial" w:hAnsi="Arial" w:cs="Arial"/>
                <w:color w:val="000000"/>
                <w:sz w:val="20"/>
                <w:szCs w:val="20"/>
              </w:rPr>
            </w:pPr>
          </w:p>
        </w:tc>
        <w:tc>
          <w:tcPr>
            <w:tcW w:w="5184" w:type="dxa"/>
            <w:gridSpan w:val="4"/>
            <w:tcBorders>
              <w:bottom w:val="single" w:sz="4" w:space="0" w:color="auto"/>
            </w:tcBorders>
            <w:shd w:val="clear" w:color="auto" w:fill="auto"/>
          </w:tcPr>
          <w:p w14:paraId="22A68A1B" w14:textId="77777777" w:rsidR="00003F9B" w:rsidRPr="002D2F67" w:rsidRDefault="00003F9B"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Consolidated financial statements </w:t>
            </w:r>
          </w:p>
        </w:tc>
      </w:tr>
      <w:tr w:rsidR="00003F9B" w:rsidRPr="002D2F67" w14:paraId="56C89810" w14:textId="77777777" w:rsidTr="002D2F67">
        <w:tc>
          <w:tcPr>
            <w:tcW w:w="4277" w:type="dxa"/>
            <w:shd w:val="clear" w:color="auto" w:fill="auto"/>
          </w:tcPr>
          <w:p w14:paraId="0E8F9823" w14:textId="77777777" w:rsidR="00003F9B" w:rsidRPr="002D2F67" w:rsidRDefault="00003F9B" w:rsidP="002D2F67">
            <w:pPr>
              <w:ind w:left="-86"/>
              <w:jc w:val="both"/>
              <w:rPr>
                <w:rFonts w:ascii="Arial" w:hAnsi="Arial" w:cs="Arial"/>
                <w:color w:val="000000"/>
                <w:sz w:val="20"/>
                <w:szCs w:val="20"/>
              </w:rPr>
            </w:pPr>
          </w:p>
        </w:tc>
        <w:tc>
          <w:tcPr>
            <w:tcW w:w="1296" w:type="dxa"/>
            <w:tcBorders>
              <w:top w:val="single" w:sz="4" w:space="0" w:color="auto"/>
            </w:tcBorders>
            <w:shd w:val="clear" w:color="auto" w:fill="auto"/>
            <w:vAlign w:val="bottom"/>
          </w:tcPr>
          <w:p w14:paraId="35CC3F2C" w14:textId="77777777" w:rsidR="00003F9B" w:rsidRPr="002D2F67" w:rsidRDefault="00003F9B" w:rsidP="005611FE">
            <w:pPr>
              <w:ind w:right="-72"/>
              <w:jc w:val="right"/>
              <w:rPr>
                <w:rFonts w:ascii="Arial" w:hAnsi="Arial" w:cs="Arial"/>
                <w:b/>
                <w:bCs/>
                <w:color w:val="000000"/>
                <w:sz w:val="20"/>
                <w:szCs w:val="20"/>
                <w:cs/>
              </w:rPr>
            </w:pPr>
            <w:r w:rsidRPr="002D2F67">
              <w:rPr>
                <w:rFonts w:ascii="Arial" w:hAnsi="Arial" w:cs="Arial"/>
                <w:b/>
                <w:bCs/>
                <w:color w:val="000000"/>
                <w:sz w:val="20"/>
                <w:szCs w:val="20"/>
              </w:rPr>
              <w:t>Land</w:t>
            </w:r>
          </w:p>
        </w:tc>
        <w:tc>
          <w:tcPr>
            <w:tcW w:w="1296" w:type="dxa"/>
            <w:tcBorders>
              <w:top w:val="single" w:sz="4" w:space="0" w:color="auto"/>
            </w:tcBorders>
            <w:shd w:val="clear" w:color="auto" w:fill="auto"/>
            <w:vAlign w:val="bottom"/>
          </w:tcPr>
          <w:p w14:paraId="77A04742" w14:textId="77777777" w:rsidR="00003F9B" w:rsidRPr="002D2F67" w:rsidRDefault="00003F9B" w:rsidP="005611FE">
            <w:pPr>
              <w:ind w:right="-72"/>
              <w:jc w:val="right"/>
              <w:rPr>
                <w:rFonts w:ascii="Arial" w:hAnsi="Arial" w:cs="Arial"/>
                <w:b/>
                <w:bCs/>
                <w:color w:val="000000"/>
                <w:sz w:val="20"/>
                <w:szCs w:val="20"/>
                <w:cs/>
              </w:rPr>
            </w:pPr>
            <w:r w:rsidRPr="002D2F67">
              <w:rPr>
                <w:rFonts w:ascii="Arial" w:hAnsi="Arial" w:cs="Arial"/>
                <w:b/>
                <w:bCs/>
                <w:color w:val="000000"/>
                <w:sz w:val="20"/>
                <w:szCs w:val="20"/>
              </w:rPr>
              <w:t>Building</w:t>
            </w:r>
          </w:p>
        </w:tc>
        <w:tc>
          <w:tcPr>
            <w:tcW w:w="1296" w:type="dxa"/>
            <w:tcBorders>
              <w:top w:val="single" w:sz="4" w:space="0" w:color="auto"/>
            </w:tcBorders>
            <w:shd w:val="clear" w:color="auto" w:fill="auto"/>
            <w:vAlign w:val="bottom"/>
          </w:tcPr>
          <w:p w14:paraId="5ADAABBB" w14:textId="77777777" w:rsidR="00003F9B" w:rsidRPr="002D2F67" w:rsidRDefault="00003F9B"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Motor </w:t>
            </w:r>
          </w:p>
          <w:p w14:paraId="11FB0F69" w14:textId="77777777" w:rsidR="00003F9B" w:rsidRPr="002D2F67" w:rsidRDefault="00003F9B" w:rsidP="005611FE">
            <w:pPr>
              <w:ind w:right="-72"/>
              <w:jc w:val="right"/>
              <w:rPr>
                <w:rFonts w:ascii="Arial" w:hAnsi="Arial" w:cs="Arial"/>
                <w:b/>
                <w:bCs/>
                <w:color w:val="000000"/>
                <w:sz w:val="20"/>
                <w:szCs w:val="20"/>
                <w:cs/>
              </w:rPr>
            </w:pPr>
            <w:r w:rsidRPr="002D2F67">
              <w:rPr>
                <w:rFonts w:ascii="Arial" w:hAnsi="Arial" w:cs="Arial"/>
                <w:b/>
                <w:bCs/>
                <w:color w:val="000000"/>
                <w:sz w:val="20"/>
                <w:szCs w:val="20"/>
              </w:rPr>
              <w:t>vehicle</w:t>
            </w:r>
          </w:p>
        </w:tc>
        <w:tc>
          <w:tcPr>
            <w:tcW w:w="1296" w:type="dxa"/>
            <w:tcBorders>
              <w:top w:val="single" w:sz="4" w:space="0" w:color="auto"/>
            </w:tcBorders>
            <w:shd w:val="clear" w:color="auto" w:fill="auto"/>
            <w:vAlign w:val="bottom"/>
          </w:tcPr>
          <w:p w14:paraId="678AE6E4" w14:textId="77777777" w:rsidR="00003F9B" w:rsidRPr="002D2F67" w:rsidRDefault="00003F9B" w:rsidP="005611FE">
            <w:pPr>
              <w:ind w:right="-72"/>
              <w:jc w:val="right"/>
              <w:rPr>
                <w:rFonts w:ascii="Arial" w:hAnsi="Arial" w:cs="Arial"/>
                <w:b/>
                <w:bCs/>
                <w:color w:val="000000"/>
                <w:sz w:val="20"/>
                <w:szCs w:val="20"/>
              </w:rPr>
            </w:pPr>
            <w:r w:rsidRPr="002D2F67">
              <w:rPr>
                <w:rFonts w:ascii="Arial" w:hAnsi="Arial" w:cs="Arial"/>
                <w:b/>
                <w:bCs/>
                <w:color w:val="000000"/>
                <w:sz w:val="20"/>
                <w:szCs w:val="20"/>
              </w:rPr>
              <w:t>Total</w:t>
            </w:r>
          </w:p>
        </w:tc>
      </w:tr>
      <w:tr w:rsidR="00003F9B" w:rsidRPr="002D2F67" w14:paraId="31415611" w14:textId="77777777" w:rsidTr="002D2F67">
        <w:tc>
          <w:tcPr>
            <w:tcW w:w="4277" w:type="dxa"/>
            <w:shd w:val="clear" w:color="auto" w:fill="auto"/>
          </w:tcPr>
          <w:p w14:paraId="687E727B" w14:textId="22B7C9A0" w:rsidR="00003F9B" w:rsidRPr="002D2F67" w:rsidRDefault="00003F9B" w:rsidP="002D2F67">
            <w:pPr>
              <w:ind w:left="-86"/>
              <w:jc w:val="both"/>
              <w:rPr>
                <w:rFonts w:ascii="Arial" w:hAnsi="Arial" w:cs="Arial"/>
                <w:color w:val="000000"/>
                <w:sz w:val="20"/>
                <w:szCs w:val="20"/>
              </w:rPr>
            </w:pPr>
          </w:p>
        </w:tc>
        <w:tc>
          <w:tcPr>
            <w:tcW w:w="1296" w:type="dxa"/>
            <w:tcBorders>
              <w:bottom w:val="single" w:sz="4" w:space="0" w:color="auto"/>
            </w:tcBorders>
            <w:shd w:val="clear" w:color="auto" w:fill="auto"/>
          </w:tcPr>
          <w:p w14:paraId="55FABC43" w14:textId="6FB8F04B" w:rsidR="00003F9B" w:rsidRPr="002D2F67" w:rsidRDefault="00003F9B" w:rsidP="005611FE">
            <w:pPr>
              <w:ind w:right="-72"/>
              <w:jc w:val="right"/>
              <w:rPr>
                <w:rFonts w:ascii="Arial" w:hAnsi="Arial" w:cs="Arial"/>
                <w:color w:val="000000"/>
                <w:sz w:val="20"/>
                <w:szCs w:val="20"/>
                <w:cs/>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296" w:type="dxa"/>
            <w:tcBorders>
              <w:bottom w:val="single" w:sz="4" w:space="0" w:color="auto"/>
            </w:tcBorders>
            <w:shd w:val="clear" w:color="auto" w:fill="auto"/>
          </w:tcPr>
          <w:p w14:paraId="0F153F8B" w14:textId="69328372" w:rsidR="00003F9B" w:rsidRPr="002D2F67" w:rsidRDefault="00003F9B" w:rsidP="005611FE">
            <w:pPr>
              <w:ind w:right="-72"/>
              <w:jc w:val="right"/>
              <w:rPr>
                <w:rFonts w:ascii="Arial" w:hAnsi="Arial" w:cs="Arial"/>
                <w:color w:val="000000"/>
                <w:sz w:val="20"/>
                <w:szCs w:val="20"/>
                <w:cs/>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296" w:type="dxa"/>
            <w:tcBorders>
              <w:bottom w:val="single" w:sz="4" w:space="0" w:color="auto"/>
            </w:tcBorders>
            <w:shd w:val="clear" w:color="auto" w:fill="auto"/>
          </w:tcPr>
          <w:p w14:paraId="3D336BDF" w14:textId="4A74054E" w:rsidR="00003F9B" w:rsidRPr="002D2F67" w:rsidRDefault="00003F9B" w:rsidP="005611FE">
            <w:pPr>
              <w:ind w:right="-72"/>
              <w:jc w:val="right"/>
              <w:rPr>
                <w:rFonts w:ascii="Arial" w:hAnsi="Arial" w:cs="Arial"/>
                <w:color w:val="000000"/>
                <w:sz w:val="20"/>
                <w:szCs w:val="20"/>
                <w:cs/>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296" w:type="dxa"/>
            <w:tcBorders>
              <w:bottom w:val="single" w:sz="4" w:space="0" w:color="auto"/>
            </w:tcBorders>
            <w:shd w:val="clear" w:color="auto" w:fill="auto"/>
          </w:tcPr>
          <w:p w14:paraId="78BE2293" w14:textId="0A42D2DC" w:rsidR="00003F9B" w:rsidRPr="002D2F67" w:rsidRDefault="00003F9B" w:rsidP="005611FE">
            <w:pPr>
              <w:ind w:right="-72"/>
              <w:jc w:val="right"/>
              <w:rPr>
                <w:rFonts w:ascii="Arial" w:hAnsi="Arial" w:cs="Arial"/>
                <w:color w:val="000000"/>
                <w:sz w:val="20"/>
                <w:szCs w:val="20"/>
                <w:cs/>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003F9B" w:rsidRPr="002D2F67" w14:paraId="11F52B81" w14:textId="77777777" w:rsidTr="002D2F67">
        <w:tc>
          <w:tcPr>
            <w:tcW w:w="4277" w:type="dxa"/>
            <w:shd w:val="clear" w:color="auto" w:fill="auto"/>
          </w:tcPr>
          <w:p w14:paraId="328F9CF9" w14:textId="77777777" w:rsidR="00003F9B" w:rsidRPr="002D2F67" w:rsidRDefault="00003F9B" w:rsidP="002D2F67">
            <w:pPr>
              <w:ind w:left="-86"/>
              <w:jc w:val="both"/>
              <w:rPr>
                <w:rFonts w:ascii="Arial" w:hAnsi="Arial" w:cs="Arial"/>
                <w:b/>
                <w:bCs/>
                <w:color w:val="000000"/>
                <w:sz w:val="20"/>
                <w:szCs w:val="20"/>
              </w:rPr>
            </w:pPr>
          </w:p>
        </w:tc>
        <w:tc>
          <w:tcPr>
            <w:tcW w:w="1296" w:type="dxa"/>
            <w:tcBorders>
              <w:top w:val="single" w:sz="4" w:space="0" w:color="auto"/>
            </w:tcBorders>
            <w:shd w:val="clear" w:color="auto" w:fill="auto"/>
            <w:vAlign w:val="bottom"/>
          </w:tcPr>
          <w:p w14:paraId="4A85CB48" w14:textId="77777777" w:rsidR="00003F9B" w:rsidRPr="002D2F67" w:rsidRDefault="00003F9B" w:rsidP="005611FE">
            <w:pPr>
              <w:ind w:right="-72"/>
              <w:jc w:val="right"/>
              <w:rPr>
                <w:rFonts w:ascii="Arial" w:hAnsi="Arial" w:cs="Arial"/>
                <w:b/>
                <w:bCs/>
                <w:color w:val="000000"/>
                <w:sz w:val="20"/>
                <w:szCs w:val="20"/>
              </w:rPr>
            </w:pPr>
          </w:p>
        </w:tc>
        <w:tc>
          <w:tcPr>
            <w:tcW w:w="1296" w:type="dxa"/>
            <w:tcBorders>
              <w:top w:val="single" w:sz="4" w:space="0" w:color="auto"/>
            </w:tcBorders>
            <w:shd w:val="clear" w:color="auto" w:fill="auto"/>
            <w:vAlign w:val="bottom"/>
          </w:tcPr>
          <w:p w14:paraId="09D4664C" w14:textId="77777777" w:rsidR="00003F9B" w:rsidRPr="002D2F67" w:rsidRDefault="00003F9B" w:rsidP="005611FE">
            <w:pPr>
              <w:ind w:right="-72"/>
              <w:jc w:val="right"/>
              <w:rPr>
                <w:rFonts w:ascii="Arial" w:hAnsi="Arial" w:cs="Arial"/>
                <w:b/>
                <w:bCs/>
                <w:color w:val="000000"/>
                <w:sz w:val="20"/>
                <w:szCs w:val="20"/>
              </w:rPr>
            </w:pPr>
          </w:p>
        </w:tc>
        <w:tc>
          <w:tcPr>
            <w:tcW w:w="1296" w:type="dxa"/>
            <w:tcBorders>
              <w:top w:val="single" w:sz="4" w:space="0" w:color="auto"/>
            </w:tcBorders>
            <w:shd w:val="clear" w:color="auto" w:fill="auto"/>
            <w:vAlign w:val="bottom"/>
          </w:tcPr>
          <w:p w14:paraId="34651C9F" w14:textId="77777777" w:rsidR="00003F9B" w:rsidRPr="002D2F67" w:rsidRDefault="00003F9B" w:rsidP="005611FE">
            <w:pPr>
              <w:ind w:right="-72"/>
              <w:jc w:val="right"/>
              <w:rPr>
                <w:rFonts w:ascii="Arial" w:hAnsi="Arial" w:cs="Arial"/>
                <w:b/>
                <w:bCs/>
                <w:color w:val="000000"/>
                <w:sz w:val="20"/>
                <w:szCs w:val="20"/>
              </w:rPr>
            </w:pPr>
          </w:p>
        </w:tc>
        <w:tc>
          <w:tcPr>
            <w:tcW w:w="1296" w:type="dxa"/>
            <w:tcBorders>
              <w:top w:val="single" w:sz="4" w:space="0" w:color="auto"/>
            </w:tcBorders>
            <w:shd w:val="clear" w:color="auto" w:fill="auto"/>
            <w:vAlign w:val="bottom"/>
          </w:tcPr>
          <w:p w14:paraId="2607BD48" w14:textId="77777777" w:rsidR="00003F9B" w:rsidRPr="002D2F67" w:rsidRDefault="00003F9B" w:rsidP="005611FE">
            <w:pPr>
              <w:ind w:right="-72"/>
              <w:jc w:val="right"/>
              <w:rPr>
                <w:rFonts w:ascii="Arial" w:hAnsi="Arial" w:cs="Arial"/>
                <w:b/>
                <w:bCs/>
                <w:color w:val="000000"/>
                <w:sz w:val="20"/>
                <w:szCs w:val="20"/>
              </w:rPr>
            </w:pPr>
          </w:p>
        </w:tc>
      </w:tr>
      <w:tr w:rsidR="0090718C" w:rsidRPr="002D2F67" w14:paraId="679B4724" w14:textId="77777777" w:rsidTr="002D2F67">
        <w:tc>
          <w:tcPr>
            <w:tcW w:w="4277" w:type="dxa"/>
            <w:shd w:val="clear" w:color="auto" w:fill="auto"/>
          </w:tcPr>
          <w:p w14:paraId="0CC88A0A" w14:textId="27C8E7E1" w:rsidR="0090718C" w:rsidRPr="002D2F67" w:rsidRDefault="0090718C" w:rsidP="002D2F67">
            <w:pPr>
              <w:ind w:left="-86"/>
              <w:jc w:val="both"/>
              <w:rPr>
                <w:rFonts w:ascii="Arial" w:hAnsi="Arial" w:cs="Arial"/>
                <w:b/>
                <w:bCs/>
                <w:color w:val="000000"/>
                <w:sz w:val="20"/>
                <w:szCs w:val="20"/>
              </w:rPr>
            </w:pPr>
            <w:r w:rsidRPr="002D2F67">
              <w:rPr>
                <w:rFonts w:ascii="Arial" w:hAnsi="Arial" w:cs="Arial"/>
                <w:b/>
                <w:bCs/>
                <w:color w:val="000000"/>
                <w:sz w:val="20"/>
                <w:szCs w:val="20"/>
              </w:rPr>
              <w:t xml:space="preserve">For the year ended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 </w:t>
            </w:r>
            <w:r w:rsidR="00CD5714" w:rsidRPr="00CD5714">
              <w:rPr>
                <w:rFonts w:ascii="Arial" w:hAnsi="Arial" w:cs="Arial"/>
                <w:b/>
                <w:bCs/>
                <w:color w:val="000000"/>
                <w:sz w:val="20"/>
                <w:szCs w:val="20"/>
                <w:lang w:val="en-GB"/>
              </w:rPr>
              <w:t>2023</w:t>
            </w:r>
          </w:p>
        </w:tc>
        <w:tc>
          <w:tcPr>
            <w:tcW w:w="1296" w:type="dxa"/>
            <w:shd w:val="clear" w:color="auto" w:fill="auto"/>
            <w:vAlign w:val="bottom"/>
          </w:tcPr>
          <w:p w14:paraId="04644F58" w14:textId="77777777" w:rsidR="0090718C" w:rsidRPr="002D2F67" w:rsidRDefault="0090718C" w:rsidP="005611FE">
            <w:pPr>
              <w:ind w:right="-72"/>
              <w:jc w:val="right"/>
              <w:rPr>
                <w:rFonts w:ascii="Arial" w:hAnsi="Arial" w:cs="Arial"/>
                <w:b/>
                <w:bCs/>
                <w:color w:val="000000"/>
                <w:sz w:val="20"/>
                <w:szCs w:val="20"/>
              </w:rPr>
            </w:pPr>
          </w:p>
        </w:tc>
        <w:tc>
          <w:tcPr>
            <w:tcW w:w="1296" w:type="dxa"/>
            <w:shd w:val="clear" w:color="auto" w:fill="auto"/>
            <w:vAlign w:val="bottom"/>
          </w:tcPr>
          <w:p w14:paraId="17448ECE" w14:textId="77777777" w:rsidR="0090718C" w:rsidRPr="002D2F67" w:rsidRDefault="0090718C" w:rsidP="005611FE">
            <w:pPr>
              <w:ind w:right="-72"/>
              <w:jc w:val="right"/>
              <w:rPr>
                <w:rFonts w:ascii="Arial" w:hAnsi="Arial" w:cs="Arial"/>
                <w:b/>
                <w:bCs/>
                <w:color w:val="000000"/>
                <w:sz w:val="20"/>
                <w:szCs w:val="20"/>
              </w:rPr>
            </w:pPr>
          </w:p>
        </w:tc>
        <w:tc>
          <w:tcPr>
            <w:tcW w:w="1296" w:type="dxa"/>
            <w:shd w:val="clear" w:color="auto" w:fill="auto"/>
            <w:vAlign w:val="bottom"/>
          </w:tcPr>
          <w:p w14:paraId="3C273247" w14:textId="77777777" w:rsidR="0090718C" w:rsidRPr="002D2F67" w:rsidRDefault="0090718C" w:rsidP="005611FE">
            <w:pPr>
              <w:ind w:right="-72"/>
              <w:jc w:val="right"/>
              <w:rPr>
                <w:rFonts w:ascii="Arial" w:hAnsi="Arial" w:cs="Arial"/>
                <w:b/>
                <w:bCs/>
                <w:color w:val="000000"/>
                <w:sz w:val="20"/>
                <w:szCs w:val="20"/>
              </w:rPr>
            </w:pPr>
          </w:p>
        </w:tc>
        <w:tc>
          <w:tcPr>
            <w:tcW w:w="1296" w:type="dxa"/>
            <w:shd w:val="clear" w:color="auto" w:fill="auto"/>
            <w:vAlign w:val="bottom"/>
          </w:tcPr>
          <w:p w14:paraId="46C0A589" w14:textId="77777777" w:rsidR="0090718C" w:rsidRPr="002D2F67" w:rsidRDefault="0090718C" w:rsidP="005611FE">
            <w:pPr>
              <w:ind w:right="-72"/>
              <w:jc w:val="right"/>
              <w:rPr>
                <w:rFonts w:ascii="Arial" w:hAnsi="Arial" w:cs="Arial"/>
                <w:b/>
                <w:bCs/>
                <w:color w:val="000000"/>
                <w:sz w:val="20"/>
                <w:szCs w:val="20"/>
              </w:rPr>
            </w:pPr>
          </w:p>
        </w:tc>
      </w:tr>
      <w:tr w:rsidR="00731893" w:rsidRPr="002D2F67" w14:paraId="0696382F" w14:textId="77777777" w:rsidTr="002D2F67">
        <w:tc>
          <w:tcPr>
            <w:tcW w:w="4277" w:type="dxa"/>
            <w:shd w:val="clear" w:color="auto" w:fill="auto"/>
          </w:tcPr>
          <w:p w14:paraId="0592BE1F" w14:textId="77777777" w:rsidR="00731893" w:rsidRPr="002D2F67" w:rsidRDefault="00731893" w:rsidP="002D2F67">
            <w:pPr>
              <w:ind w:left="-86"/>
              <w:jc w:val="both"/>
              <w:rPr>
                <w:rFonts w:ascii="Arial" w:hAnsi="Arial" w:cs="Arial"/>
                <w:color w:val="000000"/>
                <w:sz w:val="20"/>
                <w:szCs w:val="20"/>
              </w:rPr>
            </w:pPr>
            <w:r w:rsidRPr="002D2F67">
              <w:rPr>
                <w:rFonts w:ascii="Arial" w:hAnsi="Arial" w:cs="Arial"/>
                <w:color w:val="000000"/>
                <w:sz w:val="20"/>
                <w:szCs w:val="20"/>
              </w:rPr>
              <w:t>Opening net book value</w:t>
            </w:r>
          </w:p>
        </w:tc>
        <w:tc>
          <w:tcPr>
            <w:tcW w:w="1296" w:type="dxa"/>
            <w:shd w:val="clear" w:color="auto" w:fill="auto"/>
            <w:vAlign w:val="bottom"/>
          </w:tcPr>
          <w:p w14:paraId="69945EF6" w14:textId="5FD089C7" w:rsidR="00731893"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731893" w:rsidRPr="002D2F67">
              <w:rPr>
                <w:rFonts w:ascii="Arial" w:hAnsi="Arial" w:cs="Arial"/>
                <w:color w:val="000000"/>
                <w:sz w:val="20"/>
                <w:szCs w:val="20"/>
              </w:rPr>
              <w:t>,</w:t>
            </w:r>
            <w:r w:rsidRPr="00CD5714">
              <w:rPr>
                <w:rFonts w:ascii="Arial" w:hAnsi="Arial" w:cs="Arial"/>
                <w:color w:val="000000"/>
                <w:sz w:val="20"/>
                <w:szCs w:val="20"/>
                <w:lang w:val="en-GB"/>
              </w:rPr>
              <w:t>517</w:t>
            </w:r>
            <w:r w:rsidR="00731893" w:rsidRPr="002D2F67">
              <w:rPr>
                <w:rFonts w:ascii="Arial" w:hAnsi="Arial" w:cs="Arial"/>
                <w:color w:val="000000"/>
                <w:sz w:val="20"/>
                <w:szCs w:val="20"/>
              </w:rPr>
              <w:t>,</w:t>
            </w:r>
            <w:r w:rsidRPr="00CD5714">
              <w:rPr>
                <w:rFonts w:ascii="Arial" w:hAnsi="Arial" w:cs="Arial"/>
                <w:color w:val="000000"/>
                <w:sz w:val="20"/>
                <w:szCs w:val="20"/>
                <w:lang w:val="en-GB"/>
              </w:rPr>
              <w:t>288</w:t>
            </w:r>
          </w:p>
        </w:tc>
        <w:tc>
          <w:tcPr>
            <w:tcW w:w="1296" w:type="dxa"/>
            <w:shd w:val="clear" w:color="auto" w:fill="auto"/>
            <w:vAlign w:val="bottom"/>
          </w:tcPr>
          <w:p w14:paraId="7C0BE9F1" w14:textId="4B690852" w:rsidR="00731893"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75</w:t>
            </w:r>
            <w:r w:rsidR="00731893" w:rsidRPr="002D2F67">
              <w:rPr>
                <w:rFonts w:ascii="Arial" w:hAnsi="Arial" w:cs="Arial"/>
                <w:color w:val="000000"/>
                <w:sz w:val="20"/>
                <w:szCs w:val="20"/>
              </w:rPr>
              <w:t>,</w:t>
            </w:r>
            <w:r w:rsidRPr="00CD5714">
              <w:rPr>
                <w:rFonts w:ascii="Arial" w:hAnsi="Arial" w:cs="Arial"/>
                <w:color w:val="000000"/>
                <w:sz w:val="20"/>
                <w:szCs w:val="20"/>
                <w:lang w:val="en-GB"/>
              </w:rPr>
              <w:t>657</w:t>
            </w:r>
          </w:p>
        </w:tc>
        <w:tc>
          <w:tcPr>
            <w:tcW w:w="1296" w:type="dxa"/>
            <w:shd w:val="clear" w:color="auto" w:fill="auto"/>
            <w:vAlign w:val="bottom"/>
          </w:tcPr>
          <w:p w14:paraId="701AB5F0" w14:textId="68701ECB" w:rsidR="00731893"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17</w:t>
            </w:r>
            <w:r w:rsidR="00731893" w:rsidRPr="002D2F67">
              <w:rPr>
                <w:rFonts w:ascii="Arial" w:hAnsi="Arial" w:cs="Arial"/>
                <w:color w:val="000000"/>
                <w:sz w:val="20"/>
                <w:szCs w:val="20"/>
              </w:rPr>
              <w:t>,</w:t>
            </w:r>
            <w:r w:rsidRPr="00CD5714">
              <w:rPr>
                <w:rFonts w:ascii="Arial" w:hAnsi="Arial" w:cs="Arial"/>
                <w:color w:val="000000"/>
                <w:sz w:val="20"/>
                <w:szCs w:val="20"/>
                <w:lang w:val="en-GB"/>
              </w:rPr>
              <w:t>660</w:t>
            </w:r>
          </w:p>
        </w:tc>
        <w:tc>
          <w:tcPr>
            <w:tcW w:w="1296" w:type="dxa"/>
            <w:shd w:val="clear" w:color="auto" w:fill="auto"/>
            <w:vAlign w:val="bottom"/>
          </w:tcPr>
          <w:p w14:paraId="4BC2ADE6" w14:textId="67F8DA4F" w:rsidR="00731893"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731893" w:rsidRPr="002D2F67">
              <w:rPr>
                <w:rFonts w:ascii="Arial" w:hAnsi="Arial" w:cs="Arial"/>
                <w:color w:val="000000"/>
                <w:sz w:val="20"/>
                <w:szCs w:val="20"/>
              </w:rPr>
              <w:t>,</w:t>
            </w:r>
            <w:r w:rsidRPr="00CD5714">
              <w:rPr>
                <w:rFonts w:ascii="Arial" w:hAnsi="Arial" w:cs="Arial"/>
                <w:color w:val="000000"/>
                <w:sz w:val="20"/>
                <w:szCs w:val="20"/>
                <w:lang w:val="en-GB"/>
              </w:rPr>
              <w:t>610</w:t>
            </w:r>
            <w:r w:rsidR="00731893" w:rsidRPr="002D2F67">
              <w:rPr>
                <w:rFonts w:ascii="Arial" w:hAnsi="Arial" w:cs="Arial"/>
                <w:color w:val="000000"/>
                <w:sz w:val="20"/>
                <w:szCs w:val="20"/>
              </w:rPr>
              <w:t>,</w:t>
            </w:r>
            <w:r w:rsidRPr="00CD5714">
              <w:rPr>
                <w:rFonts w:ascii="Arial" w:hAnsi="Arial" w:cs="Arial"/>
                <w:color w:val="000000"/>
                <w:sz w:val="20"/>
                <w:szCs w:val="20"/>
                <w:lang w:val="en-GB"/>
              </w:rPr>
              <w:t>605</w:t>
            </w:r>
          </w:p>
        </w:tc>
      </w:tr>
      <w:tr w:rsidR="006D4631" w:rsidRPr="002D2F67" w14:paraId="4C525887" w14:textId="77777777" w:rsidTr="002D2F67">
        <w:tc>
          <w:tcPr>
            <w:tcW w:w="4277" w:type="dxa"/>
            <w:shd w:val="clear" w:color="auto" w:fill="auto"/>
          </w:tcPr>
          <w:p w14:paraId="4BF61E91" w14:textId="77777777" w:rsidR="006D4631" w:rsidRPr="002D2F67" w:rsidRDefault="006D4631" w:rsidP="002D2F67">
            <w:pPr>
              <w:ind w:left="-86"/>
              <w:jc w:val="both"/>
              <w:rPr>
                <w:rFonts w:ascii="Arial" w:hAnsi="Arial" w:cs="Arial"/>
                <w:color w:val="000000"/>
                <w:sz w:val="20"/>
                <w:szCs w:val="20"/>
              </w:rPr>
            </w:pPr>
            <w:r w:rsidRPr="002D2F67">
              <w:rPr>
                <w:rFonts w:ascii="Arial" w:hAnsi="Arial" w:cs="Arial"/>
                <w:color w:val="000000"/>
                <w:sz w:val="20"/>
                <w:szCs w:val="20"/>
              </w:rPr>
              <w:t>Additions</w:t>
            </w:r>
          </w:p>
        </w:tc>
        <w:tc>
          <w:tcPr>
            <w:tcW w:w="1296" w:type="dxa"/>
            <w:shd w:val="clear" w:color="auto" w:fill="auto"/>
            <w:vAlign w:val="center"/>
          </w:tcPr>
          <w:p w14:paraId="3BFF830F" w14:textId="7F03FC95" w:rsidR="006D4631" w:rsidRPr="002D2F67" w:rsidRDefault="006D4631" w:rsidP="005611FE">
            <w:pPr>
              <w:ind w:right="-72"/>
              <w:jc w:val="right"/>
              <w:rPr>
                <w:rFonts w:ascii="Arial" w:hAnsi="Arial" w:cs="Arial"/>
                <w:color w:val="000000"/>
                <w:sz w:val="20"/>
                <w:szCs w:val="20"/>
              </w:rPr>
            </w:pPr>
            <w:r w:rsidRPr="002D2F67">
              <w:rPr>
                <w:rFonts w:ascii="Arial" w:hAnsi="Arial" w:cs="Arial"/>
                <w:color w:val="000000"/>
                <w:sz w:val="20"/>
                <w:szCs w:val="20"/>
              </w:rPr>
              <w:t xml:space="preserve">-   </w:t>
            </w:r>
          </w:p>
        </w:tc>
        <w:tc>
          <w:tcPr>
            <w:tcW w:w="1296" w:type="dxa"/>
            <w:shd w:val="clear" w:color="auto" w:fill="auto"/>
            <w:vAlign w:val="center"/>
          </w:tcPr>
          <w:p w14:paraId="54539CE2" w14:textId="361A959A" w:rsidR="006D463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w:t>
            </w:r>
            <w:r w:rsidR="006D4631" w:rsidRPr="002D2F67">
              <w:rPr>
                <w:rFonts w:ascii="Arial" w:hAnsi="Arial" w:cs="Arial"/>
                <w:color w:val="000000"/>
                <w:sz w:val="20"/>
                <w:szCs w:val="20"/>
              </w:rPr>
              <w:t>,</w:t>
            </w:r>
            <w:r w:rsidRPr="00CD5714">
              <w:rPr>
                <w:rFonts w:ascii="Arial" w:hAnsi="Arial" w:cs="Arial"/>
                <w:color w:val="000000"/>
                <w:sz w:val="20"/>
                <w:szCs w:val="20"/>
                <w:lang w:val="en-GB"/>
              </w:rPr>
              <w:t>687</w:t>
            </w:r>
            <w:r w:rsidR="006D4631" w:rsidRPr="002D2F67">
              <w:rPr>
                <w:rFonts w:ascii="Arial" w:hAnsi="Arial" w:cs="Arial"/>
                <w:color w:val="000000"/>
                <w:sz w:val="20"/>
                <w:szCs w:val="20"/>
              </w:rPr>
              <w:t xml:space="preserve"> </w:t>
            </w:r>
          </w:p>
        </w:tc>
        <w:tc>
          <w:tcPr>
            <w:tcW w:w="1296" w:type="dxa"/>
            <w:shd w:val="clear" w:color="auto" w:fill="auto"/>
            <w:vAlign w:val="center"/>
          </w:tcPr>
          <w:p w14:paraId="26B65A0D" w14:textId="1129737F" w:rsidR="006D463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805</w:t>
            </w:r>
            <w:r w:rsidR="006D4631" w:rsidRPr="002D2F67">
              <w:rPr>
                <w:rFonts w:ascii="Arial" w:hAnsi="Arial" w:cs="Arial"/>
                <w:color w:val="000000"/>
                <w:sz w:val="20"/>
                <w:szCs w:val="20"/>
              </w:rPr>
              <w:t xml:space="preserve"> </w:t>
            </w:r>
          </w:p>
        </w:tc>
        <w:tc>
          <w:tcPr>
            <w:tcW w:w="1296" w:type="dxa"/>
            <w:shd w:val="clear" w:color="auto" w:fill="auto"/>
            <w:vAlign w:val="center"/>
          </w:tcPr>
          <w:p w14:paraId="3CA9774B" w14:textId="6F14FB19" w:rsidR="006D4631"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5</w:t>
            </w:r>
            <w:r w:rsidR="006D4631" w:rsidRPr="002D2F67">
              <w:rPr>
                <w:rFonts w:ascii="Arial" w:hAnsi="Arial" w:cs="Arial"/>
                <w:color w:val="000000"/>
                <w:sz w:val="20"/>
                <w:szCs w:val="20"/>
              </w:rPr>
              <w:t>,</w:t>
            </w:r>
            <w:r w:rsidRPr="00CD5714">
              <w:rPr>
                <w:rFonts w:ascii="Arial" w:hAnsi="Arial" w:cs="Arial"/>
                <w:color w:val="000000"/>
                <w:sz w:val="20"/>
                <w:szCs w:val="20"/>
                <w:lang w:val="en-GB"/>
              </w:rPr>
              <w:t>492</w:t>
            </w:r>
            <w:r w:rsidR="006D4631" w:rsidRPr="002D2F67">
              <w:rPr>
                <w:rFonts w:ascii="Arial" w:hAnsi="Arial" w:cs="Arial"/>
                <w:color w:val="000000"/>
                <w:sz w:val="20"/>
                <w:szCs w:val="20"/>
              </w:rPr>
              <w:t xml:space="preserve"> </w:t>
            </w:r>
          </w:p>
        </w:tc>
      </w:tr>
      <w:tr w:rsidR="006D4631" w:rsidRPr="002D2F67" w14:paraId="0F73A0F9" w14:textId="77777777" w:rsidTr="002D2F67">
        <w:tc>
          <w:tcPr>
            <w:tcW w:w="4277" w:type="dxa"/>
            <w:shd w:val="clear" w:color="auto" w:fill="auto"/>
          </w:tcPr>
          <w:p w14:paraId="493A7713" w14:textId="7B7B0F4F" w:rsidR="006D4631" w:rsidRPr="002D2F67" w:rsidRDefault="002F600C" w:rsidP="002D2F67">
            <w:pPr>
              <w:ind w:left="-86"/>
              <w:jc w:val="both"/>
              <w:rPr>
                <w:rFonts w:ascii="Arial" w:hAnsi="Arial" w:cs="Arial"/>
                <w:color w:val="000000"/>
                <w:sz w:val="20"/>
                <w:szCs w:val="20"/>
              </w:rPr>
            </w:pPr>
            <w:r w:rsidRPr="002D2F67">
              <w:rPr>
                <w:rFonts w:ascii="Arial" w:hAnsi="Arial" w:cs="Arial"/>
                <w:color w:val="000000"/>
                <w:sz w:val="20"/>
                <w:szCs w:val="20"/>
              </w:rPr>
              <w:t>Reclassification</w:t>
            </w:r>
          </w:p>
        </w:tc>
        <w:tc>
          <w:tcPr>
            <w:tcW w:w="1296" w:type="dxa"/>
            <w:shd w:val="clear" w:color="auto" w:fill="auto"/>
            <w:vAlign w:val="bottom"/>
          </w:tcPr>
          <w:p w14:paraId="62F701AC" w14:textId="653E247A" w:rsidR="006D4631" w:rsidRPr="002D2F67" w:rsidRDefault="006D4631"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179</w:t>
            </w:r>
            <w:r w:rsidRPr="002D2F67">
              <w:rPr>
                <w:rFonts w:ascii="Arial" w:hAnsi="Arial" w:cs="Arial"/>
                <w:color w:val="000000"/>
                <w:sz w:val="20"/>
                <w:szCs w:val="20"/>
              </w:rPr>
              <w:t>)</w:t>
            </w:r>
          </w:p>
        </w:tc>
        <w:tc>
          <w:tcPr>
            <w:tcW w:w="1296" w:type="dxa"/>
            <w:shd w:val="clear" w:color="auto" w:fill="auto"/>
            <w:vAlign w:val="bottom"/>
          </w:tcPr>
          <w:p w14:paraId="3908014C" w14:textId="61CEFFE0" w:rsidR="006D4631" w:rsidRPr="002D2F67" w:rsidRDefault="006D4631"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296" w:type="dxa"/>
            <w:shd w:val="clear" w:color="auto" w:fill="auto"/>
            <w:vAlign w:val="bottom"/>
          </w:tcPr>
          <w:p w14:paraId="032683F9" w14:textId="5D3B2810" w:rsidR="006D4631" w:rsidRPr="002D2F67" w:rsidRDefault="006D4631"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296" w:type="dxa"/>
            <w:shd w:val="clear" w:color="auto" w:fill="auto"/>
            <w:vAlign w:val="bottom"/>
          </w:tcPr>
          <w:p w14:paraId="77A1A63E" w14:textId="4FE927C3" w:rsidR="006D4631" w:rsidRPr="002D2F67" w:rsidRDefault="006D4631"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179</w:t>
            </w:r>
            <w:r w:rsidRPr="002D2F67">
              <w:rPr>
                <w:rFonts w:ascii="Arial" w:hAnsi="Arial" w:cs="Arial"/>
                <w:color w:val="000000"/>
                <w:sz w:val="20"/>
                <w:szCs w:val="20"/>
              </w:rPr>
              <w:t>)</w:t>
            </w:r>
          </w:p>
        </w:tc>
      </w:tr>
      <w:tr w:rsidR="001C3CA2" w:rsidRPr="002D2F67" w14:paraId="17032588" w14:textId="77777777" w:rsidTr="002D2F67">
        <w:tc>
          <w:tcPr>
            <w:tcW w:w="4277" w:type="dxa"/>
            <w:shd w:val="clear" w:color="auto" w:fill="auto"/>
          </w:tcPr>
          <w:p w14:paraId="7CEFE0C0" w14:textId="3CA620D5" w:rsidR="001C3CA2" w:rsidRPr="002D2F67" w:rsidRDefault="001C3CA2" w:rsidP="002D2F67">
            <w:pPr>
              <w:ind w:left="-86"/>
              <w:jc w:val="both"/>
              <w:rPr>
                <w:rFonts w:ascii="Arial" w:hAnsi="Arial" w:cs="Arial"/>
                <w:color w:val="000000"/>
                <w:sz w:val="20"/>
                <w:szCs w:val="20"/>
              </w:rPr>
            </w:pPr>
            <w:r w:rsidRPr="002D2F67">
              <w:rPr>
                <w:rFonts w:ascii="Arial" w:hAnsi="Arial" w:cs="Arial"/>
                <w:color w:val="000000"/>
                <w:sz w:val="20"/>
                <w:szCs w:val="20"/>
              </w:rPr>
              <w:t>Depreciation charged</w:t>
            </w:r>
          </w:p>
        </w:tc>
        <w:tc>
          <w:tcPr>
            <w:tcW w:w="1296" w:type="dxa"/>
            <w:shd w:val="clear" w:color="auto" w:fill="auto"/>
            <w:vAlign w:val="center"/>
          </w:tcPr>
          <w:p w14:paraId="198E140C" w14:textId="32FE567A" w:rsidR="001C3CA2" w:rsidRPr="002D2F67" w:rsidRDefault="001C3CA2" w:rsidP="001C3CA2">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56</w:t>
            </w:r>
            <w:r w:rsidRPr="002D2F67">
              <w:rPr>
                <w:rFonts w:ascii="Arial" w:hAnsi="Arial" w:cs="Arial"/>
                <w:color w:val="000000"/>
                <w:sz w:val="20"/>
                <w:szCs w:val="20"/>
              </w:rPr>
              <w:t>,</w:t>
            </w:r>
            <w:r w:rsidR="00CD5714" w:rsidRPr="00CD5714">
              <w:rPr>
                <w:rFonts w:ascii="Arial" w:hAnsi="Arial" w:cs="Arial"/>
                <w:color w:val="000000"/>
                <w:sz w:val="20"/>
                <w:szCs w:val="20"/>
                <w:lang w:val="en-GB"/>
              </w:rPr>
              <w:t>490</w:t>
            </w:r>
            <w:r w:rsidRPr="002D2F67">
              <w:rPr>
                <w:rFonts w:ascii="Arial" w:hAnsi="Arial" w:cs="Arial"/>
                <w:color w:val="000000"/>
                <w:sz w:val="20"/>
                <w:szCs w:val="20"/>
              </w:rPr>
              <w:t>)</w:t>
            </w:r>
          </w:p>
        </w:tc>
        <w:tc>
          <w:tcPr>
            <w:tcW w:w="1296" w:type="dxa"/>
            <w:shd w:val="clear" w:color="auto" w:fill="auto"/>
            <w:vAlign w:val="center"/>
          </w:tcPr>
          <w:p w14:paraId="7AA3D238" w14:textId="52FC4138" w:rsidR="001C3CA2" w:rsidRPr="002D2F67" w:rsidRDefault="001C3CA2" w:rsidP="001C3CA2">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37</w:t>
            </w:r>
            <w:r w:rsidRPr="002D2F67">
              <w:rPr>
                <w:rFonts w:ascii="Arial" w:hAnsi="Arial" w:cs="Arial"/>
                <w:color w:val="000000"/>
                <w:sz w:val="20"/>
                <w:szCs w:val="20"/>
              </w:rPr>
              <w:t>,</w:t>
            </w:r>
            <w:r w:rsidR="00CD5714" w:rsidRPr="00CD5714">
              <w:rPr>
                <w:rFonts w:ascii="Arial" w:hAnsi="Arial" w:cs="Arial"/>
                <w:color w:val="000000"/>
                <w:sz w:val="20"/>
                <w:szCs w:val="20"/>
                <w:lang w:val="en-GB"/>
              </w:rPr>
              <w:t>288</w:t>
            </w:r>
            <w:r w:rsidRPr="002D2F67">
              <w:rPr>
                <w:rFonts w:ascii="Arial" w:hAnsi="Arial" w:cs="Arial"/>
                <w:color w:val="000000"/>
                <w:sz w:val="20"/>
                <w:szCs w:val="20"/>
              </w:rPr>
              <w:t>)</w:t>
            </w:r>
          </w:p>
        </w:tc>
        <w:tc>
          <w:tcPr>
            <w:tcW w:w="1296" w:type="dxa"/>
            <w:shd w:val="clear" w:color="auto" w:fill="auto"/>
            <w:vAlign w:val="center"/>
          </w:tcPr>
          <w:p w14:paraId="79C4A195" w14:textId="6B994292" w:rsidR="001C3CA2" w:rsidRPr="002D2F67" w:rsidRDefault="001C3CA2" w:rsidP="001C3CA2">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6</w:t>
            </w:r>
            <w:r w:rsidRPr="002D2F67">
              <w:rPr>
                <w:rFonts w:ascii="Arial" w:hAnsi="Arial" w:cs="Arial"/>
                <w:color w:val="000000"/>
                <w:sz w:val="20"/>
                <w:szCs w:val="20"/>
              </w:rPr>
              <w:t>,</w:t>
            </w:r>
            <w:r w:rsidR="00CD5714" w:rsidRPr="00CD5714">
              <w:rPr>
                <w:rFonts w:ascii="Arial" w:hAnsi="Arial" w:cs="Arial"/>
                <w:color w:val="000000"/>
                <w:sz w:val="20"/>
                <w:szCs w:val="20"/>
                <w:lang w:val="en-GB"/>
              </w:rPr>
              <w:t>156</w:t>
            </w:r>
            <w:r w:rsidRPr="002D2F67">
              <w:rPr>
                <w:rFonts w:ascii="Arial" w:hAnsi="Arial" w:cs="Arial"/>
                <w:color w:val="000000"/>
                <w:sz w:val="20"/>
                <w:szCs w:val="20"/>
              </w:rPr>
              <w:t>)</w:t>
            </w:r>
          </w:p>
        </w:tc>
        <w:tc>
          <w:tcPr>
            <w:tcW w:w="1296" w:type="dxa"/>
            <w:shd w:val="clear" w:color="auto" w:fill="auto"/>
            <w:vAlign w:val="center"/>
          </w:tcPr>
          <w:p w14:paraId="0777B90F" w14:textId="60C631E9" w:rsidR="001C3CA2" w:rsidRPr="002D2F67" w:rsidRDefault="001C3CA2" w:rsidP="001C3CA2">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99</w:t>
            </w:r>
            <w:r w:rsidRPr="002D2F67">
              <w:rPr>
                <w:rFonts w:ascii="Arial" w:hAnsi="Arial" w:cs="Arial"/>
                <w:color w:val="000000"/>
                <w:sz w:val="20"/>
                <w:szCs w:val="20"/>
              </w:rPr>
              <w:t>,</w:t>
            </w:r>
            <w:r w:rsidR="00CD5714" w:rsidRPr="00CD5714">
              <w:rPr>
                <w:rFonts w:ascii="Arial" w:hAnsi="Arial" w:cs="Arial"/>
                <w:color w:val="000000"/>
                <w:sz w:val="20"/>
                <w:szCs w:val="20"/>
                <w:lang w:val="en-GB"/>
              </w:rPr>
              <w:t>934</w:t>
            </w:r>
            <w:r w:rsidRPr="002D2F67">
              <w:rPr>
                <w:rFonts w:ascii="Arial" w:hAnsi="Arial" w:cs="Arial"/>
                <w:color w:val="000000"/>
                <w:sz w:val="20"/>
                <w:szCs w:val="20"/>
              </w:rPr>
              <w:t>)</w:t>
            </w:r>
          </w:p>
        </w:tc>
      </w:tr>
      <w:tr w:rsidR="001C3CA2" w:rsidRPr="002D2F67" w14:paraId="6062DFC0" w14:textId="77777777" w:rsidTr="002D2F67">
        <w:tc>
          <w:tcPr>
            <w:tcW w:w="4277" w:type="dxa"/>
            <w:shd w:val="clear" w:color="auto" w:fill="auto"/>
          </w:tcPr>
          <w:p w14:paraId="61F33204" w14:textId="77777777" w:rsidR="001C3CA2" w:rsidRPr="002D2F67" w:rsidRDefault="001C3CA2" w:rsidP="002D2F67">
            <w:pPr>
              <w:ind w:left="-86"/>
              <w:jc w:val="both"/>
              <w:rPr>
                <w:rFonts w:ascii="Arial" w:hAnsi="Arial" w:cs="Arial"/>
                <w:color w:val="000000"/>
                <w:sz w:val="20"/>
                <w:szCs w:val="20"/>
              </w:rPr>
            </w:pPr>
            <w:r w:rsidRPr="002D2F67">
              <w:rPr>
                <w:rFonts w:ascii="Arial" w:hAnsi="Arial" w:cs="Arial"/>
                <w:color w:val="000000"/>
                <w:sz w:val="20"/>
                <w:szCs w:val="20"/>
              </w:rPr>
              <w:t>Currency translation differences</w:t>
            </w:r>
          </w:p>
        </w:tc>
        <w:tc>
          <w:tcPr>
            <w:tcW w:w="1296" w:type="dxa"/>
            <w:tcBorders>
              <w:bottom w:val="single" w:sz="4" w:space="0" w:color="auto"/>
            </w:tcBorders>
            <w:shd w:val="clear" w:color="auto" w:fill="auto"/>
            <w:vAlign w:val="center"/>
          </w:tcPr>
          <w:p w14:paraId="49D2C12F" w14:textId="6416F592" w:rsidR="001C3CA2" w:rsidRPr="002D2F67" w:rsidRDefault="001C3CA2" w:rsidP="001C3CA2">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10</w:t>
            </w:r>
            <w:r w:rsidRPr="002D2F67">
              <w:rPr>
                <w:rFonts w:ascii="Arial" w:hAnsi="Arial" w:cs="Arial"/>
                <w:color w:val="000000"/>
                <w:sz w:val="20"/>
                <w:szCs w:val="20"/>
              </w:rPr>
              <w:t>,</w:t>
            </w:r>
            <w:r w:rsidR="00CD5714" w:rsidRPr="00CD5714">
              <w:rPr>
                <w:rFonts w:ascii="Arial" w:hAnsi="Arial" w:cs="Arial"/>
                <w:color w:val="000000"/>
                <w:sz w:val="20"/>
                <w:szCs w:val="20"/>
                <w:lang w:val="en-GB"/>
              </w:rPr>
              <w:t>024</w:t>
            </w:r>
            <w:r w:rsidRPr="002D2F67">
              <w:rPr>
                <w:rFonts w:ascii="Arial" w:hAnsi="Arial" w:cs="Arial"/>
                <w:color w:val="000000"/>
                <w:sz w:val="20"/>
                <w:szCs w:val="20"/>
              </w:rPr>
              <w:t>)</w:t>
            </w:r>
          </w:p>
        </w:tc>
        <w:tc>
          <w:tcPr>
            <w:tcW w:w="1296" w:type="dxa"/>
            <w:tcBorders>
              <w:bottom w:val="single" w:sz="4" w:space="0" w:color="auto"/>
            </w:tcBorders>
            <w:shd w:val="clear" w:color="auto" w:fill="auto"/>
            <w:vAlign w:val="center"/>
          </w:tcPr>
          <w:p w14:paraId="3549F9F9" w14:textId="59635DF1" w:rsidR="001C3CA2" w:rsidRPr="002D2F67" w:rsidRDefault="001C3CA2" w:rsidP="001C3CA2">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660</w:t>
            </w:r>
            <w:r w:rsidRPr="002D2F67">
              <w:rPr>
                <w:rFonts w:ascii="Arial" w:hAnsi="Arial" w:cs="Arial"/>
                <w:color w:val="000000"/>
                <w:sz w:val="20"/>
                <w:szCs w:val="20"/>
              </w:rPr>
              <w:t>)</w:t>
            </w:r>
          </w:p>
        </w:tc>
        <w:tc>
          <w:tcPr>
            <w:tcW w:w="1296" w:type="dxa"/>
            <w:tcBorders>
              <w:bottom w:val="single" w:sz="4" w:space="0" w:color="auto"/>
            </w:tcBorders>
            <w:shd w:val="clear" w:color="auto" w:fill="auto"/>
            <w:vAlign w:val="center"/>
          </w:tcPr>
          <w:p w14:paraId="72078D63" w14:textId="67701B5C" w:rsidR="001C3CA2" w:rsidRPr="002D2F67" w:rsidRDefault="001C3CA2" w:rsidP="001C3CA2">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21</w:t>
            </w:r>
            <w:r w:rsidRPr="002D2F67">
              <w:rPr>
                <w:rFonts w:ascii="Arial" w:hAnsi="Arial" w:cs="Arial"/>
                <w:color w:val="000000"/>
                <w:sz w:val="20"/>
                <w:szCs w:val="20"/>
              </w:rPr>
              <w:t>)</w:t>
            </w:r>
          </w:p>
        </w:tc>
        <w:tc>
          <w:tcPr>
            <w:tcW w:w="1296" w:type="dxa"/>
            <w:tcBorders>
              <w:bottom w:val="single" w:sz="4" w:space="0" w:color="auto"/>
            </w:tcBorders>
            <w:shd w:val="clear" w:color="auto" w:fill="auto"/>
            <w:vAlign w:val="center"/>
          </w:tcPr>
          <w:p w14:paraId="26C7F731" w14:textId="7B65A013" w:rsidR="001C3CA2" w:rsidRPr="002D2F67" w:rsidRDefault="001C3CA2" w:rsidP="001C3CA2">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10</w:t>
            </w:r>
            <w:r w:rsidRPr="002D2F67">
              <w:rPr>
                <w:rFonts w:ascii="Arial" w:hAnsi="Arial" w:cs="Arial"/>
                <w:color w:val="000000"/>
                <w:sz w:val="20"/>
                <w:szCs w:val="20"/>
              </w:rPr>
              <w:t>,</w:t>
            </w:r>
            <w:r w:rsidR="00CD5714" w:rsidRPr="00CD5714">
              <w:rPr>
                <w:rFonts w:ascii="Arial" w:hAnsi="Arial" w:cs="Arial"/>
                <w:color w:val="000000"/>
                <w:sz w:val="20"/>
                <w:szCs w:val="20"/>
                <w:lang w:val="en-GB"/>
              </w:rPr>
              <w:t>705</w:t>
            </w:r>
            <w:r w:rsidRPr="002D2F67">
              <w:rPr>
                <w:rFonts w:ascii="Arial" w:hAnsi="Arial" w:cs="Arial"/>
                <w:color w:val="000000"/>
                <w:sz w:val="20"/>
                <w:szCs w:val="20"/>
              </w:rPr>
              <w:t>)</w:t>
            </w:r>
          </w:p>
        </w:tc>
      </w:tr>
      <w:tr w:rsidR="001C3CA2" w:rsidRPr="002D2F67" w14:paraId="650449D8" w14:textId="77777777" w:rsidTr="002D2F67">
        <w:tc>
          <w:tcPr>
            <w:tcW w:w="4277" w:type="dxa"/>
            <w:shd w:val="clear" w:color="auto" w:fill="auto"/>
          </w:tcPr>
          <w:p w14:paraId="4C2EB77E" w14:textId="77777777" w:rsidR="001C3CA2" w:rsidRPr="002D2F67" w:rsidRDefault="001C3CA2" w:rsidP="002D2F67">
            <w:pPr>
              <w:ind w:left="-86"/>
              <w:jc w:val="both"/>
              <w:rPr>
                <w:rFonts w:ascii="Arial" w:hAnsi="Arial" w:cs="Arial"/>
                <w:color w:val="000000"/>
                <w:sz w:val="20"/>
                <w:szCs w:val="20"/>
              </w:rPr>
            </w:pPr>
          </w:p>
        </w:tc>
        <w:tc>
          <w:tcPr>
            <w:tcW w:w="1296" w:type="dxa"/>
            <w:tcBorders>
              <w:top w:val="single" w:sz="4" w:space="0" w:color="auto"/>
            </w:tcBorders>
            <w:shd w:val="clear" w:color="auto" w:fill="auto"/>
            <w:vAlign w:val="bottom"/>
          </w:tcPr>
          <w:p w14:paraId="37424872" w14:textId="77777777" w:rsidR="001C3CA2" w:rsidRPr="002D2F67" w:rsidRDefault="001C3CA2" w:rsidP="001C3CA2">
            <w:pPr>
              <w:ind w:right="-72"/>
              <w:jc w:val="right"/>
              <w:rPr>
                <w:rFonts w:ascii="Arial" w:hAnsi="Arial" w:cs="Arial"/>
                <w:color w:val="000000"/>
                <w:sz w:val="20"/>
                <w:szCs w:val="20"/>
              </w:rPr>
            </w:pPr>
          </w:p>
        </w:tc>
        <w:tc>
          <w:tcPr>
            <w:tcW w:w="1296" w:type="dxa"/>
            <w:tcBorders>
              <w:top w:val="single" w:sz="4" w:space="0" w:color="auto"/>
            </w:tcBorders>
            <w:shd w:val="clear" w:color="auto" w:fill="auto"/>
            <w:vAlign w:val="bottom"/>
          </w:tcPr>
          <w:p w14:paraId="04E217EE" w14:textId="77777777" w:rsidR="001C3CA2" w:rsidRPr="002D2F67" w:rsidRDefault="001C3CA2" w:rsidP="001C3CA2">
            <w:pPr>
              <w:ind w:right="-72"/>
              <w:jc w:val="right"/>
              <w:rPr>
                <w:rFonts w:ascii="Arial" w:hAnsi="Arial" w:cs="Arial"/>
                <w:color w:val="000000"/>
                <w:sz w:val="20"/>
                <w:szCs w:val="20"/>
              </w:rPr>
            </w:pPr>
          </w:p>
        </w:tc>
        <w:tc>
          <w:tcPr>
            <w:tcW w:w="1296" w:type="dxa"/>
            <w:tcBorders>
              <w:top w:val="single" w:sz="4" w:space="0" w:color="auto"/>
            </w:tcBorders>
            <w:shd w:val="clear" w:color="auto" w:fill="auto"/>
            <w:vAlign w:val="bottom"/>
          </w:tcPr>
          <w:p w14:paraId="70BCC91E" w14:textId="77777777" w:rsidR="001C3CA2" w:rsidRPr="002D2F67" w:rsidRDefault="001C3CA2" w:rsidP="001C3CA2">
            <w:pPr>
              <w:ind w:right="-72"/>
              <w:jc w:val="right"/>
              <w:rPr>
                <w:rFonts w:ascii="Arial" w:hAnsi="Arial" w:cs="Arial"/>
                <w:color w:val="000000"/>
                <w:sz w:val="20"/>
                <w:szCs w:val="20"/>
              </w:rPr>
            </w:pPr>
          </w:p>
        </w:tc>
        <w:tc>
          <w:tcPr>
            <w:tcW w:w="1296" w:type="dxa"/>
            <w:tcBorders>
              <w:top w:val="single" w:sz="4" w:space="0" w:color="auto"/>
            </w:tcBorders>
            <w:shd w:val="clear" w:color="auto" w:fill="auto"/>
            <w:vAlign w:val="bottom"/>
          </w:tcPr>
          <w:p w14:paraId="157C84EE" w14:textId="77777777" w:rsidR="001C3CA2" w:rsidRPr="002D2F67" w:rsidRDefault="001C3CA2" w:rsidP="001C3CA2">
            <w:pPr>
              <w:ind w:right="-72"/>
              <w:jc w:val="right"/>
              <w:rPr>
                <w:rFonts w:ascii="Arial" w:hAnsi="Arial" w:cs="Arial"/>
                <w:color w:val="000000"/>
                <w:sz w:val="20"/>
                <w:szCs w:val="20"/>
              </w:rPr>
            </w:pPr>
          </w:p>
        </w:tc>
      </w:tr>
      <w:tr w:rsidR="001C3CA2" w:rsidRPr="002D2F67" w14:paraId="740D4834" w14:textId="77777777" w:rsidTr="002D2F67">
        <w:trPr>
          <w:trHeight w:val="80"/>
        </w:trPr>
        <w:tc>
          <w:tcPr>
            <w:tcW w:w="4277" w:type="dxa"/>
            <w:shd w:val="clear" w:color="auto" w:fill="auto"/>
          </w:tcPr>
          <w:p w14:paraId="7091C3D3" w14:textId="77777777" w:rsidR="001C3CA2" w:rsidRPr="002D2F67" w:rsidRDefault="001C3CA2" w:rsidP="002D2F67">
            <w:pPr>
              <w:ind w:left="-86"/>
              <w:jc w:val="both"/>
              <w:rPr>
                <w:rFonts w:ascii="Arial" w:hAnsi="Arial" w:cs="Arial"/>
                <w:color w:val="000000"/>
                <w:sz w:val="20"/>
                <w:szCs w:val="20"/>
              </w:rPr>
            </w:pPr>
            <w:r w:rsidRPr="002D2F67">
              <w:rPr>
                <w:rFonts w:ascii="Arial" w:hAnsi="Arial" w:cs="Arial"/>
                <w:color w:val="000000"/>
                <w:sz w:val="20"/>
                <w:szCs w:val="20"/>
              </w:rPr>
              <w:t>Closing net book value</w:t>
            </w:r>
          </w:p>
        </w:tc>
        <w:tc>
          <w:tcPr>
            <w:tcW w:w="1296" w:type="dxa"/>
            <w:tcBorders>
              <w:bottom w:val="single" w:sz="4" w:space="0" w:color="auto"/>
            </w:tcBorders>
            <w:shd w:val="clear" w:color="auto" w:fill="auto"/>
            <w:vAlign w:val="center"/>
          </w:tcPr>
          <w:p w14:paraId="2312661F" w14:textId="70552877" w:rsidR="001C3CA2" w:rsidRPr="002D2F67" w:rsidRDefault="00CD5714" w:rsidP="001C3CA2">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1C3CA2" w:rsidRPr="002D2F67">
              <w:rPr>
                <w:rFonts w:ascii="Arial" w:hAnsi="Arial" w:cs="Arial"/>
                <w:color w:val="000000"/>
                <w:sz w:val="20"/>
                <w:szCs w:val="20"/>
              </w:rPr>
              <w:t>,</w:t>
            </w:r>
            <w:r w:rsidRPr="00CD5714">
              <w:rPr>
                <w:rFonts w:ascii="Arial" w:hAnsi="Arial" w:cs="Arial"/>
                <w:color w:val="000000"/>
                <w:sz w:val="20"/>
                <w:szCs w:val="20"/>
                <w:lang w:val="en-GB"/>
              </w:rPr>
              <w:t>450</w:t>
            </w:r>
            <w:r w:rsidR="001C3CA2" w:rsidRPr="002D2F67">
              <w:rPr>
                <w:rFonts w:ascii="Arial" w:hAnsi="Arial" w:cs="Arial"/>
                <w:color w:val="000000"/>
                <w:sz w:val="20"/>
                <w:szCs w:val="20"/>
              </w:rPr>
              <w:t>,</w:t>
            </w:r>
            <w:r w:rsidRPr="00CD5714">
              <w:rPr>
                <w:rFonts w:ascii="Arial" w:hAnsi="Arial" w:cs="Arial"/>
                <w:color w:val="000000"/>
                <w:sz w:val="20"/>
                <w:szCs w:val="20"/>
                <w:lang w:val="en-GB"/>
              </w:rPr>
              <w:t>595</w:t>
            </w:r>
          </w:p>
        </w:tc>
        <w:tc>
          <w:tcPr>
            <w:tcW w:w="1296" w:type="dxa"/>
            <w:tcBorders>
              <w:bottom w:val="single" w:sz="4" w:space="0" w:color="auto"/>
            </w:tcBorders>
            <w:shd w:val="clear" w:color="auto" w:fill="auto"/>
            <w:vAlign w:val="center"/>
          </w:tcPr>
          <w:p w14:paraId="13E47F78" w14:textId="704534A9" w:rsidR="001C3CA2" w:rsidRPr="002D2F67" w:rsidRDefault="00CD5714" w:rsidP="001C3CA2">
            <w:pPr>
              <w:ind w:right="-72"/>
              <w:jc w:val="right"/>
              <w:rPr>
                <w:rFonts w:ascii="Arial" w:hAnsi="Arial" w:cs="Arial"/>
                <w:color w:val="000000"/>
                <w:sz w:val="20"/>
                <w:szCs w:val="20"/>
              </w:rPr>
            </w:pPr>
            <w:r w:rsidRPr="00CD5714">
              <w:rPr>
                <w:rFonts w:ascii="Arial" w:hAnsi="Arial" w:cs="Arial"/>
                <w:color w:val="000000"/>
                <w:sz w:val="20"/>
                <w:szCs w:val="20"/>
                <w:lang w:val="en-GB"/>
              </w:rPr>
              <w:t>42</w:t>
            </w:r>
            <w:r w:rsidR="001C3CA2" w:rsidRPr="002D2F67">
              <w:rPr>
                <w:rFonts w:ascii="Arial" w:hAnsi="Arial" w:cs="Arial"/>
                <w:color w:val="000000"/>
                <w:sz w:val="20"/>
                <w:szCs w:val="20"/>
              </w:rPr>
              <w:t>,</w:t>
            </w:r>
            <w:r w:rsidRPr="00CD5714">
              <w:rPr>
                <w:rFonts w:ascii="Arial" w:hAnsi="Arial" w:cs="Arial"/>
                <w:color w:val="000000"/>
                <w:sz w:val="20"/>
                <w:szCs w:val="20"/>
                <w:lang w:val="en-GB"/>
              </w:rPr>
              <w:t>396</w:t>
            </w:r>
          </w:p>
        </w:tc>
        <w:tc>
          <w:tcPr>
            <w:tcW w:w="1296" w:type="dxa"/>
            <w:tcBorders>
              <w:bottom w:val="single" w:sz="4" w:space="0" w:color="auto"/>
            </w:tcBorders>
            <w:shd w:val="clear" w:color="auto" w:fill="auto"/>
            <w:vAlign w:val="center"/>
          </w:tcPr>
          <w:p w14:paraId="3FFAC7A8" w14:textId="61F814BC" w:rsidR="001C3CA2" w:rsidRPr="002D2F67" w:rsidRDefault="00CD5714" w:rsidP="001C3CA2">
            <w:pPr>
              <w:ind w:right="-72"/>
              <w:jc w:val="right"/>
              <w:rPr>
                <w:rFonts w:ascii="Arial" w:hAnsi="Arial" w:cs="Arial"/>
                <w:color w:val="000000"/>
                <w:sz w:val="20"/>
                <w:szCs w:val="20"/>
              </w:rPr>
            </w:pPr>
            <w:r w:rsidRPr="00CD5714">
              <w:rPr>
                <w:rFonts w:ascii="Arial" w:hAnsi="Arial" w:cs="Arial"/>
                <w:color w:val="000000"/>
                <w:sz w:val="20"/>
                <w:szCs w:val="20"/>
                <w:lang w:val="en-GB"/>
              </w:rPr>
              <w:t>12</w:t>
            </w:r>
            <w:r w:rsidR="001C3CA2" w:rsidRPr="002D2F67">
              <w:rPr>
                <w:rFonts w:ascii="Arial" w:hAnsi="Arial" w:cs="Arial"/>
                <w:color w:val="000000"/>
                <w:sz w:val="20"/>
                <w:szCs w:val="20"/>
              </w:rPr>
              <w:t>,</w:t>
            </w:r>
            <w:r w:rsidRPr="00CD5714">
              <w:rPr>
                <w:rFonts w:ascii="Arial" w:hAnsi="Arial" w:cs="Arial"/>
                <w:color w:val="000000"/>
                <w:sz w:val="20"/>
                <w:szCs w:val="20"/>
                <w:lang w:val="en-GB"/>
              </w:rPr>
              <w:t>288</w:t>
            </w:r>
            <w:r w:rsidR="001C3CA2" w:rsidRPr="002D2F67">
              <w:rPr>
                <w:rFonts w:ascii="Arial" w:hAnsi="Arial" w:cs="Arial"/>
                <w:color w:val="000000"/>
                <w:sz w:val="20"/>
                <w:szCs w:val="20"/>
              </w:rPr>
              <w:t xml:space="preserve"> </w:t>
            </w:r>
          </w:p>
        </w:tc>
        <w:tc>
          <w:tcPr>
            <w:tcW w:w="1296" w:type="dxa"/>
            <w:tcBorders>
              <w:bottom w:val="single" w:sz="4" w:space="0" w:color="auto"/>
            </w:tcBorders>
            <w:shd w:val="clear" w:color="auto" w:fill="auto"/>
            <w:vAlign w:val="center"/>
          </w:tcPr>
          <w:p w14:paraId="12CA4031" w14:textId="301371D0" w:rsidR="001C3CA2" w:rsidRPr="002D2F67" w:rsidRDefault="00CD5714" w:rsidP="001C3CA2">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1C3CA2" w:rsidRPr="002D2F67">
              <w:rPr>
                <w:rFonts w:ascii="Arial" w:hAnsi="Arial" w:cs="Arial"/>
                <w:color w:val="000000"/>
                <w:sz w:val="20"/>
                <w:szCs w:val="20"/>
              </w:rPr>
              <w:t>,</w:t>
            </w:r>
            <w:r w:rsidRPr="00CD5714">
              <w:rPr>
                <w:rFonts w:ascii="Arial" w:hAnsi="Arial" w:cs="Arial"/>
                <w:color w:val="000000"/>
                <w:sz w:val="20"/>
                <w:szCs w:val="20"/>
                <w:lang w:val="en-GB"/>
              </w:rPr>
              <w:t>505</w:t>
            </w:r>
            <w:r w:rsidR="001C3CA2" w:rsidRPr="002D2F67">
              <w:rPr>
                <w:rFonts w:ascii="Arial" w:hAnsi="Arial" w:cs="Arial"/>
                <w:color w:val="000000"/>
                <w:sz w:val="20"/>
                <w:szCs w:val="20"/>
              </w:rPr>
              <w:t>,</w:t>
            </w:r>
            <w:r w:rsidRPr="00CD5714">
              <w:rPr>
                <w:rFonts w:ascii="Arial" w:hAnsi="Arial" w:cs="Arial"/>
                <w:color w:val="000000"/>
                <w:sz w:val="20"/>
                <w:szCs w:val="20"/>
                <w:lang w:val="en-GB"/>
              </w:rPr>
              <w:t>279</w:t>
            </w:r>
          </w:p>
        </w:tc>
      </w:tr>
    </w:tbl>
    <w:p w14:paraId="3C97D9C5" w14:textId="77777777" w:rsidR="00003F9B" w:rsidRPr="002D2F67" w:rsidRDefault="00003F9B" w:rsidP="005611FE">
      <w:pPr>
        <w:rPr>
          <w:rFonts w:ascii="Arial" w:hAnsi="Arial" w:cs="Arial"/>
          <w:color w:val="000000"/>
          <w:sz w:val="18"/>
          <w:szCs w:val="18"/>
        </w:rPr>
      </w:pPr>
    </w:p>
    <w:tbl>
      <w:tblPr>
        <w:tblW w:w="0" w:type="auto"/>
        <w:tblInd w:w="115" w:type="dxa"/>
        <w:tblLayout w:type="fixed"/>
        <w:tblLook w:val="04A0" w:firstRow="1" w:lastRow="0" w:firstColumn="1" w:lastColumn="0" w:noHBand="0" w:noVBand="1"/>
      </w:tblPr>
      <w:tblGrid>
        <w:gridCol w:w="4277"/>
        <w:gridCol w:w="1296"/>
        <w:gridCol w:w="1296"/>
        <w:gridCol w:w="1296"/>
        <w:gridCol w:w="1296"/>
      </w:tblGrid>
      <w:tr w:rsidR="00E44CEE" w:rsidRPr="002D2F67" w14:paraId="0BC1CCEB" w14:textId="77777777" w:rsidTr="002D2F67">
        <w:tc>
          <w:tcPr>
            <w:tcW w:w="4277" w:type="dxa"/>
            <w:shd w:val="clear" w:color="auto" w:fill="auto"/>
          </w:tcPr>
          <w:p w14:paraId="45DAC322" w14:textId="29C566DB" w:rsidR="00E44CEE" w:rsidRPr="002D2F67" w:rsidRDefault="004E6263" w:rsidP="002D2F67">
            <w:pPr>
              <w:ind w:left="-86"/>
              <w:jc w:val="both"/>
              <w:rPr>
                <w:rFonts w:ascii="Arial" w:hAnsi="Arial" w:cs="Arial"/>
                <w:b/>
                <w:bCs/>
                <w:color w:val="000000"/>
                <w:sz w:val="20"/>
                <w:szCs w:val="20"/>
              </w:rPr>
            </w:pPr>
            <w:r w:rsidRPr="002D2F67">
              <w:rPr>
                <w:rFonts w:ascii="Arial" w:hAnsi="Arial" w:cs="Arial"/>
                <w:b/>
                <w:bCs/>
                <w:color w:val="000000"/>
                <w:sz w:val="20"/>
                <w:szCs w:val="20"/>
              </w:rPr>
              <w:t xml:space="preserve">For the year ended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 </w:t>
            </w:r>
            <w:r w:rsidR="00CD5714" w:rsidRPr="00CD5714">
              <w:rPr>
                <w:rFonts w:ascii="Arial" w:hAnsi="Arial" w:cs="Arial"/>
                <w:b/>
                <w:bCs/>
                <w:color w:val="000000"/>
                <w:sz w:val="20"/>
                <w:szCs w:val="20"/>
                <w:lang w:val="en-GB"/>
              </w:rPr>
              <w:t>2024</w:t>
            </w:r>
          </w:p>
        </w:tc>
        <w:tc>
          <w:tcPr>
            <w:tcW w:w="1296" w:type="dxa"/>
            <w:shd w:val="clear" w:color="auto" w:fill="auto"/>
            <w:vAlign w:val="bottom"/>
          </w:tcPr>
          <w:p w14:paraId="747CC2BE" w14:textId="77777777" w:rsidR="00E44CEE" w:rsidRPr="002D2F67" w:rsidRDefault="00E44CEE" w:rsidP="005611FE">
            <w:pPr>
              <w:ind w:right="-72"/>
              <w:jc w:val="right"/>
              <w:rPr>
                <w:rFonts w:ascii="Arial" w:hAnsi="Arial" w:cs="Arial"/>
                <w:b/>
                <w:bCs/>
                <w:color w:val="000000"/>
                <w:sz w:val="20"/>
                <w:szCs w:val="20"/>
              </w:rPr>
            </w:pPr>
          </w:p>
        </w:tc>
        <w:tc>
          <w:tcPr>
            <w:tcW w:w="1296" w:type="dxa"/>
            <w:shd w:val="clear" w:color="auto" w:fill="auto"/>
            <w:vAlign w:val="bottom"/>
          </w:tcPr>
          <w:p w14:paraId="7147F998" w14:textId="77777777" w:rsidR="00E44CEE" w:rsidRPr="002D2F67" w:rsidRDefault="00E44CEE" w:rsidP="005611FE">
            <w:pPr>
              <w:ind w:right="-72"/>
              <w:jc w:val="right"/>
              <w:rPr>
                <w:rFonts w:ascii="Arial" w:hAnsi="Arial" w:cs="Arial"/>
                <w:b/>
                <w:bCs/>
                <w:color w:val="000000"/>
                <w:sz w:val="20"/>
                <w:szCs w:val="20"/>
              </w:rPr>
            </w:pPr>
          </w:p>
        </w:tc>
        <w:tc>
          <w:tcPr>
            <w:tcW w:w="1296" w:type="dxa"/>
            <w:shd w:val="clear" w:color="auto" w:fill="auto"/>
            <w:vAlign w:val="bottom"/>
          </w:tcPr>
          <w:p w14:paraId="713F1EBF" w14:textId="77777777" w:rsidR="00E44CEE" w:rsidRPr="002D2F67" w:rsidRDefault="00E44CEE" w:rsidP="005611FE">
            <w:pPr>
              <w:ind w:right="-72"/>
              <w:jc w:val="right"/>
              <w:rPr>
                <w:rFonts w:ascii="Arial" w:hAnsi="Arial" w:cs="Arial"/>
                <w:b/>
                <w:bCs/>
                <w:color w:val="000000"/>
                <w:sz w:val="20"/>
                <w:szCs w:val="20"/>
              </w:rPr>
            </w:pPr>
          </w:p>
        </w:tc>
        <w:tc>
          <w:tcPr>
            <w:tcW w:w="1296" w:type="dxa"/>
            <w:shd w:val="clear" w:color="auto" w:fill="auto"/>
            <w:vAlign w:val="bottom"/>
          </w:tcPr>
          <w:p w14:paraId="1D8B8032" w14:textId="77777777" w:rsidR="00E44CEE" w:rsidRPr="002D2F67" w:rsidRDefault="00E44CEE" w:rsidP="005611FE">
            <w:pPr>
              <w:ind w:right="-72"/>
              <w:jc w:val="right"/>
              <w:rPr>
                <w:rFonts w:ascii="Arial" w:hAnsi="Arial" w:cs="Arial"/>
                <w:b/>
                <w:bCs/>
                <w:color w:val="000000"/>
                <w:sz w:val="20"/>
                <w:szCs w:val="20"/>
              </w:rPr>
            </w:pPr>
          </w:p>
        </w:tc>
      </w:tr>
      <w:tr w:rsidR="00E44CEE" w:rsidRPr="002D2F67" w14:paraId="2DC7D9A3" w14:textId="77777777" w:rsidTr="002D2F67">
        <w:tc>
          <w:tcPr>
            <w:tcW w:w="4277" w:type="dxa"/>
            <w:shd w:val="clear" w:color="auto" w:fill="auto"/>
          </w:tcPr>
          <w:p w14:paraId="24DF032D" w14:textId="77777777" w:rsidR="00E44CEE" w:rsidRPr="002D2F67" w:rsidRDefault="00E44CEE" w:rsidP="002D2F67">
            <w:pPr>
              <w:ind w:left="-86"/>
              <w:jc w:val="both"/>
              <w:rPr>
                <w:rFonts w:ascii="Arial" w:hAnsi="Arial" w:cs="Arial"/>
                <w:color w:val="000000"/>
                <w:sz w:val="20"/>
                <w:szCs w:val="20"/>
              </w:rPr>
            </w:pPr>
            <w:r w:rsidRPr="002D2F67">
              <w:rPr>
                <w:rFonts w:ascii="Arial" w:hAnsi="Arial" w:cs="Arial"/>
                <w:color w:val="000000"/>
                <w:sz w:val="20"/>
                <w:szCs w:val="20"/>
              </w:rPr>
              <w:t>Opening net book value</w:t>
            </w:r>
          </w:p>
        </w:tc>
        <w:tc>
          <w:tcPr>
            <w:tcW w:w="1296" w:type="dxa"/>
            <w:shd w:val="clear" w:color="auto" w:fill="auto"/>
            <w:vAlign w:val="center"/>
          </w:tcPr>
          <w:p w14:paraId="1A89AAD8" w14:textId="6A5AF8AB" w:rsidR="00E44CEE"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E44CEE" w:rsidRPr="002D2F67">
              <w:rPr>
                <w:rFonts w:ascii="Arial" w:hAnsi="Arial" w:cs="Arial"/>
                <w:color w:val="000000"/>
                <w:sz w:val="20"/>
                <w:szCs w:val="20"/>
              </w:rPr>
              <w:t>,</w:t>
            </w:r>
            <w:r w:rsidRPr="00CD5714">
              <w:rPr>
                <w:rFonts w:ascii="Arial" w:hAnsi="Arial" w:cs="Arial"/>
                <w:color w:val="000000"/>
                <w:sz w:val="20"/>
                <w:szCs w:val="20"/>
                <w:lang w:val="en-GB"/>
              </w:rPr>
              <w:t>450</w:t>
            </w:r>
            <w:r w:rsidR="00E44CEE" w:rsidRPr="002D2F67">
              <w:rPr>
                <w:rFonts w:ascii="Arial" w:hAnsi="Arial" w:cs="Arial"/>
                <w:color w:val="000000"/>
                <w:sz w:val="20"/>
                <w:szCs w:val="20"/>
              </w:rPr>
              <w:t>,</w:t>
            </w:r>
            <w:r w:rsidRPr="00CD5714">
              <w:rPr>
                <w:rFonts w:ascii="Arial" w:hAnsi="Arial" w:cs="Arial"/>
                <w:color w:val="000000"/>
                <w:sz w:val="20"/>
                <w:szCs w:val="20"/>
                <w:lang w:val="en-GB"/>
              </w:rPr>
              <w:t>595</w:t>
            </w:r>
          </w:p>
        </w:tc>
        <w:tc>
          <w:tcPr>
            <w:tcW w:w="1296" w:type="dxa"/>
            <w:shd w:val="clear" w:color="auto" w:fill="auto"/>
            <w:vAlign w:val="center"/>
          </w:tcPr>
          <w:p w14:paraId="2E6BDD9D" w14:textId="62330A31" w:rsidR="00E44CEE"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42</w:t>
            </w:r>
            <w:r w:rsidR="00E44CEE" w:rsidRPr="002D2F67">
              <w:rPr>
                <w:rFonts w:ascii="Arial" w:hAnsi="Arial" w:cs="Arial"/>
                <w:color w:val="000000"/>
                <w:sz w:val="20"/>
                <w:szCs w:val="20"/>
              </w:rPr>
              <w:t>,</w:t>
            </w:r>
            <w:r w:rsidRPr="00CD5714">
              <w:rPr>
                <w:rFonts w:ascii="Arial" w:hAnsi="Arial" w:cs="Arial"/>
                <w:color w:val="000000"/>
                <w:sz w:val="20"/>
                <w:szCs w:val="20"/>
                <w:lang w:val="en-GB"/>
              </w:rPr>
              <w:t>396</w:t>
            </w:r>
          </w:p>
        </w:tc>
        <w:tc>
          <w:tcPr>
            <w:tcW w:w="1296" w:type="dxa"/>
            <w:shd w:val="clear" w:color="auto" w:fill="auto"/>
            <w:vAlign w:val="center"/>
          </w:tcPr>
          <w:p w14:paraId="7B218BE6" w14:textId="42144318" w:rsidR="00E44CEE"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12</w:t>
            </w:r>
            <w:r w:rsidR="00E44CEE" w:rsidRPr="002D2F67">
              <w:rPr>
                <w:rFonts w:ascii="Arial" w:hAnsi="Arial" w:cs="Arial"/>
                <w:color w:val="000000"/>
                <w:sz w:val="20"/>
                <w:szCs w:val="20"/>
              </w:rPr>
              <w:t>,</w:t>
            </w:r>
            <w:r w:rsidRPr="00CD5714">
              <w:rPr>
                <w:rFonts w:ascii="Arial" w:hAnsi="Arial" w:cs="Arial"/>
                <w:color w:val="000000"/>
                <w:sz w:val="20"/>
                <w:szCs w:val="20"/>
                <w:lang w:val="en-GB"/>
              </w:rPr>
              <w:t>288</w:t>
            </w:r>
            <w:r w:rsidR="00E44CEE" w:rsidRPr="002D2F67">
              <w:rPr>
                <w:rFonts w:ascii="Arial" w:hAnsi="Arial" w:cs="Arial"/>
                <w:color w:val="000000"/>
                <w:sz w:val="20"/>
                <w:szCs w:val="20"/>
              </w:rPr>
              <w:t xml:space="preserve"> </w:t>
            </w:r>
          </w:p>
        </w:tc>
        <w:tc>
          <w:tcPr>
            <w:tcW w:w="1296" w:type="dxa"/>
            <w:shd w:val="clear" w:color="auto" w:fill="auto"/>
            <w:vAlign w:val="center"/>
          </w:tcPr>
          <w:p w14:paraId="5100FBC7" w14:textId="30278163" w:rsidR="00E44CEE"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E44CEE" w:rsidRPr="002D2F67">
              <w:rPr>
                <w:rFonts w:ascii="Arial" w:hAnsi="Arial" w:cs="Arial"/>
                <w:color w:val="000000"/>
                <w:sz w:val="20"/>
                <w:szCs w:val="20"/>
              </w:rPr>
              <w:t>,</w:t>
            </w:r>
            <w:r w:rsidRPr="00CD5714">
              <w:rPr>
                <w:rFonts w:ascii="Arial" w:hAnsi="Arial" w:cs="Arial"/>
                <w:color w:val="000000"/>
                <w:sz w:val="20"/>
                <w:szCs w:val="20"/>
                <w:lang w:val="en-GB"/>
              </w:rPr>
              <w:t>505</w:t>
            </w:r>
            <w:r w:rsidR="00E44CEE" w:rsidRPr="002D2F67">
              <w:rPr>
                <w:rFonts w:ascii="Arial" w:hAnsi="Arial" w:cs="Arial"/>
                <w:color w:val="000000"/>
                <w:sz w:val="20"/>
                <w:szCs w:val="20"/>
              </w:rPr>
              <w:t>,</w:t>
            </w:r>
            <w:r w:rsidRPr="00CD5714">
              <w:rPr>
                <w:rFonts w:ascii="Arial" w:hAnsi="Arial" w:cs="Arial"/>
                <w:color w:val="000000"/>
                <w:sz w:val="20"/>
                <w:szCs w:val="20"/>
                <w:lang w:val="en-GB"/>
              </w:rPr>
              <w:t>279</w:t>
            </w:r>
          </w:p>
        </w:tc>
      </w:tr>
      <w:tr w:rsidR="00BA26E1" w:rsidRPr="002D2F67" w14:paraId="596E0B7A" w14:textId="77777777" w:rsidTr="002D2F67">
        <w:tc>
          <w:tcPr>
            <w:tcW w:w="4277" w:type="dxa"/>
            <w:shd w:val="clear" w:color="auto" w:fill="auto"/>
          </w:tcPr>
          <w:p w14:paraId="66F4FB9C" w14:textId="77777777" w:rsidR="00BA26E1" w:rsidRPr="002D2F67" w:rsidRDefault="00BA26E1" w:rsidP="002D2F67">
            <w:pPr>
              <w:ind w:left="-86"/>
              <w:jc w:val="both"/>
              <w:rPr>
                <w:rFonts w:ascii="Arial" w:hAnsi="Arial" w:cs="Arial"/>
                <w:color w:val="000000"/>
                <w:sz w:val="20"/>
                <w:szCs w:val="20"/>
              </w:rPr>
            </w:pPr>
            <w:r w:rsidRPr="002D2F67">
              <w:rPr>
                <w:rFonts w:ascii="Arial" w:hAnsi="Arial" w:cs="Arial"/>
                <w:color w:val="000000"/>
                <w:sz w:val="20"/>
                <w:szCs w:val="20"/>
              </w:rPr>
              <w:t>Additions</w:t>
            </w:r>
          </w:p>
        </w:tc>
        <w:tc>
          <w:tcPr>
            <w:tcW w:w="1296" w:type="dxa"/>
            <w:shd w:val="clear" w:color="auto" w:fill="auto"/>
          </w:tcPr>
          <w:p w14:paraId="5F656EC1" w14:textId="4841CED6" w:rsidR="00BA26E1" w:rsidRPr="002D2F67" w:rsidRDefault="00CD5714" w:rsidP="00BA26E1">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BA26E1" w:rsidRPr="002D2F67">
              <w:rPr>
                <w:rFonts w:ascii="Arial" w:hAnsi="Arial" w:cs="Arial"/>
                <w:color w:val="000000"/>
                <w:sz w:val="20"/>
                <w:szCs w:val="20"/>
              </w:rPr>
              <w:t>,</w:t>
            </w:r>
            <w:r w:rsidRPr="00CD5714">
              <w:rPr>
                <w:rFonts w:ascii="Arial" w:hAnsi="Arial" w:cs="Arial"/>
                <w:color w:val="000000"/>
                <w:sz w:val="20"/>
                <w:szCs w:val="20"/>
                <w:lang w:val="en-GB"/>
              </w:rPr>
              <w:t>189</w:t>
            </w:r>
            <w:r w:rsidR="00BA26E1" w:rsidRPr="002D2F67">
              <w:rPr>
                <w:rFonts w:ascii="Arial" w:hAnsi="Arial" w:cs="Arial"/>
                <w:color w:val="000000"/>
                <w:sz w:val="20"/>
                <w:szCs w:val="20"/>
              </w:rPr>
              <w:t xml:space="preserve"> </w:t>
            </w:r>
          </w:p>
        </w:tc>
        <w:tc>
          <w:tcPr>
            <w:tcW w:w="1296" w:type="dxa"/>
            <w:shd w:val="clear" w:color="auto" w:fill="auto"/>
          </w:tcPr>
          <w:p w14:paraId="5156CF35" w14:textId="181F5749" w:rsidR="00BA26E1" w:rsidRPr="002D2F67" w:rsidRDefault="00BA26E1" w:rsidP="00BA26E1">
            <w:pPr>
              <w:ind w:right="-72"/>
              <w:jc w:val="right"/>
              <w:rPr>
                <w:rFonts w:ascii="Arial" w:hAnsi="Arial" w:cs="Arial"/>
                <w:color w:val="000000"/>
                <w:sz w:val="20"/>
                <w:szCs w:val="20"/>
              </w:rPr>
            </w:pPr>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28</w:t>
            </w:r>
            <w:r w:rsidRPr="002D2F67">
              <w:rPr>
                <w:rFonts w:ascii="Arial" w:hAnsi="Arial" w:cs="Arial"/>
                <w:color w:val="000000"/>
                <w:sz w:val="20"/>
                <w:szCs w:val="20"/>
              </w:rPr>
              <w:t>,</w:t>
            </w:r>
            <w:r w:rsidR="00CD5714" w:rsidRPr="00CD5714">
              <w:rPr>
                <w:rFonts w:ascii="Arial" w:hAnsi="Arial" w:cs="Arial"/>
                <w:color w:val="000000"/>
                <w:sz w:val="20"/>
                <w:szCs w:val="20"/>
                <w:lang w:val="en-GB"/>
              </w:rPr>
              <w:t>165</w:t>
            </w:r>
            <w:r w:rsidRPr="002D2F67">
              <w:rPr>
                <w:rFonts w:ascii="Arial" w:hAnsi="Arial" w:cs="Arial"/>
                <w:color w:val="000000"/>
                <w:sz w:val="20"/>
                <w:szCs w:val="20"/>
              </w:rPr>
              <w:t xml:space="preserve"> </w:t>
            </w:r>
          </w:p>
        </w:tc>
        <w:tc>
          <w:tcPr>
            <w:tcW w:w="1296" w:type="dxa"/>
            <w:shd w:val="clear" w:color="auto" w:fill="auto"/>
          </w:tcPr>
          <w:p w14:paraId="0A581014" w14:textId="1100B59D" w:rsidR="00BA26E1" w:rsidRPr="002D2F67" w:rsidRDefault="00BA26E1" w:rsidP="00BA26E1">
            <w:pPr>
              <w:ind w:right="-72"/>
              <w:jc w:val="right"/>
              <w:rPr>
                <w:rFonts w:ascii="Arial" w:hAnsi="Arial" w:cs="Arial"/>
                <w:color w:val="000000"/>
                <w:sz w:val="20"/>
                <w:szCs w:val="20"/>
              </w:rPr>
            </w:pPr>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2</w:t>
            </w:r>
            <w:r w:rsidRPr="002D2F67">
              <w:rPr>
                <w:rFonts w:ascii="Arial" w:hAnsi="Arial" w:cs="Arial"/>
                <w:color w:val="000000"/>
                <w:sz w:val="20"/>
                <w:szCs w:val="20"/>
              </w:rPr>
              <w:t>,</w:t>
            </w:r>
            <w:r w:rsidR="00CD5714" w:rsidRPr="00CD5714">
              <w:rPr>
                <w:rFonts w:ascii="Arial" w:hAnsi="Arial" w:cs="Arial"/>
                <w:color w:val="000000"/>
                <w:sz w:val="20"/>
                <w:szCs w:val="20"/>
                <w:lang w:val="en-GB"/>
              </w:rPr>
              <w:t>676</w:t>
            </w:r>
            <w:r w:rsidRPr="002D2F67">
              <w:rPr>
                <w:rFonts w:ascii="Arial" w:hAnsi="Arial" w:cs="Arial"/>
                <w:color w:val="000000"/>
                <w:sz w:val="20"/>
                <w:szCs w:val="20"/>
              </w:rPr>
              <w:t xml:space="preserve"> </w:t>
            </w:r>
          </w:p>
        </w:tc>
        <w:tc>
          <w:tcPr>
            <w:tcW w:w="1296" w:type="dxa"/>
            <w:shd w:val="clear" w:color="auto" w:fill="auto"/>
          </w:tcPr>
          <w:p w14:paraId="6F6D915A" w14:textId="04DCEA1C" w:rsidR="00BA26E1" w:rsidRPr="002D2F67" w:rsidRDefault="00BA26E1" w:rsidP="00BA26E1">
            <w:pPr>
              <w:ind w:right="-72"/>
              <w:jc w:val="right"/>
              <w:rPr>
                <w:rFonts w:ascii="Arial" w:hAnsi="Arial" w:cs="Arial"/>
                <w:color w:val="000000"/>
                <w:sz w:val="20"/>
                <w:szCs w:val="20"/>
              </w:rPr>
            </w:pPr>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32</w:t>
            </w:r>
            <w:r w:rsidRPr="002D2F67">
              <w:rPr>
                <w:rFonts w:ascii="Arial" w:hAnsi="Arial" w:cs="Arial"/>
                <w:color w:val="000000"/>
                <w:sz w:val="20"/>
                <w:szCs w:val="20"/>
              </w:rPr>
              <w:t>,</w:t>
            </w:r>
            <w:r w:rsidR="00CD5714" w:rsidRPr="00CD5714">
              <w:rPr>
                <w:rFonts w:ascii="Arial" w:hAnsi="Arial" w:cs="Arial"/>
                <w:color w:val="000000"/>
                <w:sz w:val="20"/>
                <w:szCs w:val="20"/>
                <w:lang w:val="en-GB"/>
              </w:rPr>
              <w:t>030</w:t>
            </w:r>
            <w:r w:rsidRPr="002D2F67">
              <w:rPr>
                <w:rFonts w:ascii="Arial" w:hAnsi="Arial" w:cs="Arial"/>
                <w:color w:val="000000"/>
                <w:sz w:val="20"/>
                <w:szCs w:val="20"/>
              </w:rPr>
              <w:t xml:space="preserve"> </w:t>
            </w:r>
          </w:p>
        </w:tc>
      </w:tr>
      <w:tr w:rsidR="001C3CA2" w:rsidRPr="002D2F67" w14:paraId="2F3CBB86" w14:textId="77777777" w:rsidTr="002D2F67">
        <w:tc>
          <w:tcPr>
            <w:tcW w:w="4277" w:type="dxa"/>
            <w:shd w:val="clear" w:color="auto" w:fill="auto"/>
          </w:tcPr>
          <w:p w14:paraId="578E11CF" w14:textId="5BE9F33C" w:rsidR="001C3CA2" w:rsidRPr="002D2F67" w:rsidRDefault="001C3CA2" w:rsidP="002D2F67">
            <w:pPr>
              <w:ind w:left="-86"/>
              <w:jc w:val="both"/>
              <w:rPr>
                <w:rFonts w:ascii="Arial" w:hAnsi="Arial" w:cs="Arial"/>
                <w:color w:val="000000"/>
                <w:sz w:val="20"/>
                <w:szCs w:val="20"/>
              </w:rPr>
            </w:pPr>
            <w:r w:rsidRPr="002D2F67">
              <w:rPr>
                <w:rFonts w:ascii="Arial" w:hAnsi="Arial" w:cs="Arial"/>
                <w:color w:val="000000"/>
                <w:sz w:val="20"/>
                <w:szCs w:val="25"/>
              </w:rPr>
              <w:t>Lease termination</w:t>
            </w:r>
          </w:p>
        </w:tc>
        <w:tc>
          <w:tcPr>
            <w:tcW w:w="1296" w:type="dxa"/>
            <w:shd w:val="clear" w:color="auto" w:fill="auto"/>
          </w:tcPr>
          <w:p w14:paraId="004E1BC7" w14:textId="39252F1F" w:rsidR="001C3CA2" w:rsidRPr="002D2F67" w:rsidRDefault="001C3CA2" w:rsidP="001C3CA2">
            <w:pPr>
              <w:ind w:right="-72"/>
              <w:jc w:val="right"/>
              <w:rPr>
                <w:rFonts w:ascii="Arial" w:hAnsi="Arial" w:cs="Arial"/>
                <w:color w:val="000000"/>
                <w:sz w:val="20"/>
                <w:szCs w:val="20"/>
              </w:rPr>
            </w:pPr>
            <w:r w:rsidRPr="002D2F67">
              <w:rPr>
                <w:rFonts w:ascii="Arial" w:hAnsi="Arial" w:cs="Arial"/>
                <w:color w:val="000000"/>
                <w:sz w:val="20"/>
                <w:szCs w:val="20"/>
              </w:rPr>
              <w:t>-</w:t>
            </w:r>
          </w:p>
        </w:tc>
        <w:tc>
          <w:tcPr>
            <w:tcW w:w="1296" w:type="dxa"/>
            <w:shd w:val="clear" w:color="auto" w:fill="auto"/>
          </w:tcPr>
          <w:p w14:paraId="4F8C5225" w14:textId="27A447FA" w:rsidR="001C3CA2" w:rsidRPr="002D2F67" w:rsidRDefault="001C3CA2" w:rsidP="001C3CA2">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3</w:t>
            </w:r>
            <w:r w:rsidRPr="002D2F67">
              <w:rPr>
                <w:rFonts w:ascii="Arial" w:hAnsi="Arial" w:cs="Arial"/>
                <w:color w:val="000000"/>
                <w:sz w:val="20"/>
                <w:szCs w:val="20"/>
              </w:rPr>
              <w:t>,</w:t>
            </w:r>
            <w:r w:rsidR="00CD5714" w:rsidRPr="00CD5714">
              <w:rPr>
                <w:rFonts w:ascii="Arial" w:hAnsi="Arial" w:cs="Arial"/>
                <w:color w:val="000000"/>
                <w:sz w:val="20"/>
                <w:szCs w:val="20"/>
                <w:lang w:val="en-GB"/>
              </w:rPr>
              <w:t>449</w:t>
            </w:r>
            <w:r w:rsidRPr="002D2F67">
              <w:rPr>
                <w:rFonts w:ascii="Arial" w:hAnsi="Arial" w:cs="Arial"/>
                <w:color w:val="000000"/>
                <w:sz w:val="20"/>
                <w:szCs w:val="20"/>
              </w:rPr>
              <w:t>)</w:t>
            </w:r>
          </w:p>
        </w:tc>
        <w:tc>
          <w:tcPr>
            <w:tcW w:w="1296" w:type="dxa"/>
            <w:shd w:val="clear" w:color="auto" w:fill="auto"/>
          </w:tcPr>
          <w:p w14:paraId="55383FC4" w14:textId="6AB7F1CC" w:rsidR="001C3CA2" w:rsidRPr="002D2F67" w:rsidRDefault="001C3CA2" w:rsidP="001C3CA2">
            <w:pPr>
              <w:ind w:right="-72"/>
              <w:jc w:val="right"/>
              <w:rPr>
                <w:rFonts w:ascii="Arial" w:hAnsi="Arial" w:cs="Arial"/>
                <w:color w:val="000000"/>
                <w:sz w:val="20"/>
                <w:szCs w:val="20"/>
              </w:rPr>
            </w:pPr>
            <w:r w:rsidRPr="002D2F67">
              <w:rPr>
                <w:rFonts w:ascii="Arial" w:hAnsi="Arial" w:cs="Arial"/>
                <w:color w:val="000000"/>
                <w:sz w:val="20"/>
                <w:szCs w:val="20"/>
              </w:rPr>
              <w:t>-</w:t>
            </w:r>
          </w:p>
        </w:tc>
        <w:tc>
          <w:tcPr>
            <w:tcW w:w="1296" w:type="dxa"/>
            <w:shd w:val="clear" w:color="auto" w:fill="auto"/>
          </w:tcPr>
          <w:p w14:paraId="69F320C3" w14:textId="5197E366" w:rsidR="001C3CA2" w:rsidRPr="002D2F67" w:rsidRDefault="001C3CA2" w:rsidP="001C3CA2">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3</w:t>
            </w:r>
            <w:r w:rsidRPr="002D2F67">
              <w:rPr>
                <w:rFonts w:ascii="Arial" w:hAnsi="Arial" w:cs="Arial"/>
                <w:color w:val="000000"/>
                <w:sz w:val="20"/>
                <w:szCs w:val="20"/>
              </w:rPr>
              <w:t>,</w:t>
            </w:r>
            <w:r w:rsidR="00CD5714" w:rsidRPr="00CD5714">
              <w:rPr>
                <w:rFonts w:ascii="Arial" w:hAnsi="Arial" w:cs="Arial"/>
                <w:color w:val="000000"/>
                <w:sz w:val="20"/>
                <w:szCs w:val="20"/>
                <w:lang w:val="en-GB"/>
              </w:rPr>
              <w:t>449</w:t>
            </w:r>
            <w:r w:rsidRPr="002D2F67">
              <w:rPr>
                <w:rFonts w:ascii="Arial" w:hAnsi="Arial" w:cs="Arial"/>
                <w:color w:val="000000"/>
                <w:sz w:val="20"/>
                <w:szCs w:val="20"/>
              </w:rPr>
              <w:t>)</w:t>
            </w:r>
          </w:p>
        </w:tc>
      </w:tr>
      <w:tr w:rsidR="001C3CA2" w:rsidRPr="002D2F67" w14:paraId="7C91710E" w14:textId="77777777" w:rsidTr="002D2F67">
        <w:tc>
          <w:tcPr>
            <w:tcW w:w="4277" w:type="dxa"/>
            <w:shd w:val="clear" w:color="auto" w:fill="auto"/>
          </w:tcPr>
          <w:p w14:paraId="0D49C634" w14:textId="570EFBF3" w:rsidR="001C3CA2" w:rsidRPr="002D2F67" w:rsidRDefault="001C3CA2" w:rsidP="002D2F67">
            <w:pPr>
              <w:ind w:left="-86"/>
              <w:jc w:val="both"/>
              <w:rPr>
                <w:rFonts w:ascii="Arial" w:hAnsi="Arial" w:cs="Arial"/>
                <w:color w:val="000000"/>
                <w:sz w:val="20"/>
                <w:szCs w:val="20"/>
              </w:rPr>
            </w:pPr>
            <w:r w:rsidRPr="002D2F67">
              <w:rPr>
                <w:rFonts w:ascii="Arial" w:hAnsi="Arial" w:cs="Arial"/>
                <w:color w:val="000000"/>
                <w:sz w:val="20"/>
                <w:szCs w:val="25"/>
              </w:rPr>
              <w:t>Reclassification</w:t>
            </w:r>
          </w:p>
        </w:tc>
        <w:tc>
          <w:tcPr>
            <w:tcW w:w="1296" w:type="dxa"/>
            <w:shd w:val="clear" w:color="auto" w:fill="auto"/>
          </w:tcPr>
          <w:p w14:paraId="62457129" w14:textId="330C23B1" w:rsidR="001C3CA2" w:rsidRPr="002D2F67" w:rsidRDefault="001C3CA2" w:rsidP="001C3CA2">
            <w:pPr>
              <w:ind w:right="-72"/>
              <w:jc w:val="right"/>
              <w:rPr>
                <w:rFonts w:ascii="Arial" w:hAnsi="Arial" w:cs="Arial"/>
                <w:color w:val="000000"/>
                <w:sz w:val="20"/>
                <w:szCs w:val="20"/>
              </w:rPr>
            </w:pPr>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5</w:t>
            </w:r>
            <w:r w:rsidRPr="002D2F67">
              <w:rPr>
                <w:rFonts w:ascii="Arial" w:hAnsi="Arial" w:cs="Arial"/>
                <w:color w:val="000000"/>
                <w:sz w:val="20"/>
                <w:szCs w:val="20"/>
              </w:rPr>
              <w:t>,</w:t>
            </w:r>
            <w:r w:rsidR="00CD5714" w:rsidRPr="00CD5714">
              <w:rPr>
                <w:rFonts w:ascii="Arial" w:hAnsi="Arial" w:cs="Arial"/>
                <w:color w:val="000000"/>
                <w:sz w:val="20"/>
                <w:szCs w:val="20"/>
                <w:lang w:val="en-GB"/>
              </w:rPr>
              <w:t>339</w:t>
            </w:r>
            <w:r w:rsidRPr="002D2F67">
              <w:rPr>
                <w:rFonts w:ascii="Arial" w:hAnsi="Arial" w:cs="Arial"/>
                <w:color w:val="000000"/>
                <w:sz w:val="20"/>
                <w:szCs w:val="20"/>
              </w:rPr>
              <w:t xml:space="preserve"> </w:t>
            </w:r>
          </w:p>
        </w:tc>
        <w:tc>
          <w:tcPr>
            <w:tcW w:w="1296" w:type="dxa"/>
            <w:shd w:val="clear" w:color="auto" w:fill="auto"/>
          </w:tcPr>
          <w:p w14:paraId="1D131B8C" w14:textId="739204B4" w:rsidR="001C3CA2" w:rsidRPr="002D2F67" w:rsidRDefault="001C3CA2" w:rsidP="001C3CA2">
            <w:pPr>
              <w:ind w:right="-72"/>
              <w:jc w:val="right"/>
              <w:rPr>
                <w:rFonts w:ascii="Arial" w:hAnsi="Arial" w:cs="Arial"/>
                <w:color w:val="000000"/>
                <w:sz w:val="20"/>
                <w:szCs w:val="20"/>
              </w:rPr>
            </w:pPr>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4</w:t>
            </w:r>
            <w:r w:rsidRPr="002D2F67">
              <w:rPr>
                <w:rFonts w:ascii="Arial" w:hAnsi="Arial" w:cs="Arial"/>
                <w:color w:val="000000"/>
                <w:sz w:val="20"/>
                <w:szCs w:val="20"/>
              </w:rPr>
              <w:t>,</w:t>
            </w:r>
            <w:r w:rsidR="00CD5714" w:rsidRPr="00CD5714">
              <w:rPr>
                <w:rFonts w:ascii="Arial" w:hAnsi="Arial" w:cs="Arial"/>
                <w:color w:val="000000"/>
                <w:sz w:val="20"/>
                <w:szCs w:val="20"/>
                <w:lang w:val="en-GB"/>
              </w:rPr>
              <w:t>489</w:t>
            </w:r>
            <w:r w:rsidRPr="002D2F67">
              <w:rPr>
                <w:rFonts w:ascii="Arial" w:hAnsi="Arial" w:cs="Arial"/>
                <w:color w:val="000000"/>
                <w:sz w:val="20"/>
                <w:szCs w:val="20"/>
              </w:rPr>
              <w:t>)</w:t>
            </w:r>
          </w:p>
        </w:tc>
        <w:tc>
          <w:tcPr>
            <w:tcW w:w="1296" w:type="dxa"/>
            <w:shd w:val="clear" w:color="auto" w:fill="auto"/>
          </w:tcPr>
          <w:p w14:paraId="011481AF" w14:textId="6C6898EF" w:rsidR="001C3CA2" w:rsidRPr="002D2F67" w:rsidRDefault="001C3CA2" w:rsidP="001C3CA2">
            <w:pPr>
              <w:ind w:right="-72"/>
              <w:jc w:val="right"/>
              <w:rPr>
                <w:rFonts w:ascii="Arial" w:hAnsi="Arial" w:cs="Arial"/>
                <w:color w:val="000000"/>
                <w:sz w:val="20"/>
                <w:szCs w:val="20"/>
              </w:rPr>
            </w:pPr>
            <w:r w:rsidRPr="002D2F67">
              <w:rPr>
                <w:rFonts w:ascii="Arial" w:hAnsi="Arial" w:cs="Arial"/>
                <w:color w:val="000000"/>
                <w:sz w:val="20"/>
                <w:szCs w:val="20"/>
              </w:rPr>
              <w:t>-</w:t>
            </w:r>
          </w:p>
        </w:tc>
        <w:tc>
          <w:tcPr>
            <w:tcW w:w="1296" w:type="dxa"/>
            <w:shd w:val="clear" w:color="auto" w:fill="auto"/>
          </w:tcPr>
          <w:p w14:paraId="0ABFD66B" w14:textId="2C4066AD" w:rsidR="001C3CA2" w:rsidRPr="002D2F67" w:rsidRDefault="00CD5714" w:rsidP="001C3CA2">
            <w:pPr>
              <w:ind w:right="-72"/>
              <w:jc w:val="right"/>
              <w:rPr>
                <w:rFonts w:ascii="Arial" w:hAnsi="Arial" w:cs="Arial"/>
                <w:color w:val="000000"/>
                <w:sz w:val="20"/>
                <w:szCs w:val="20"/>
              </w:rPr>
            </w:pPr>
            <w:r w:rsidRPr="00CD5714">
              <w:rPr>
                <w:rFonts w:ascii="Arial" w:hAnsi="Arial" w:cs="Arial"/>
                <w:color w:val="000000"/>
                <w:sz w:val="20"/>
                <w:szCs w:val="20"/>
                <w:lang w:val="en-GB"/>
              </w:rPr>
              <w:t>850</w:t>
            </w:r>
          </w:p>
        </w:tc>
      </w:tr>
      <w:tr w:rsidR="001C3CA2" w:rsidRPr="002D2F67" w14:paraId="0B9B83E8" w14:textId="77777777" w:rsidTr="002D2F67">
        <w:tc>
          <w:tcPr>
            <w:tcW w:w="4277" w:type="dxa"/>
            <w:shd w:val="clear" w:color="auto" w:fill="auto"/>
          </w:tcPr>
          <w:p w14:paraId="6DBB22CE" w14:textId="77777777" w:rsidR="001C3CA2" w:rsidRPr="002D2F67" w:rsidRDefault="001C3CA2" w:rsidP="002D2F67">
            <w:pPr>
              <w:ind w:left="-86"/>
              <w:jc w:val="both"/>
              <w:rPr>
                <w:rFonts w:ascii="Arial" w:hAnsi="Arial" w:cs="Arial"/>
                <w:color w:val="000000"/>
                <w:sz w:val="20"/>
                <w:szCs w:val="20"/>
              </w:rPr>
            </w:pPr>
            <w:r w:rsidRPr="002D2F67">
              <w:rPr>
                <w:rFonts w:ascii="Arial" w:hAnsi="Arial" w:cs="Arial"/>
                <w:color w:val="000000"/>
                <w:sz w:val="20"/>
                <w:szCs w:val="20"/>
              </w:rPr>
              <w:t>Depreciation charged</w:t>
            </w:r>
          </w:p>
        </w:tc>
        <w:tc>
          <w:tcPr>
            <w:tcW w:w="1296" w:type="dxa"/>
            <w:shd w:val="clear" w:color="auto" w:fill="auto"/>
          </w:tcPr>
          <w:p w14:paraId="3F3330B9" w14:textId="70654215" w:rsidR="001C3CA2" w:rsidRPr="002D2F67" w:rsidRDefault="001C3CA2" w:rsidP="001C3CA2">
            <w:pPr>
              <w:ind w:right="-72"/>
              <w:jc w:val="right"/>
              <w:rPr>
                <w:rFonts w:ascii="Arial" w:hAnsi="Arial" w:cs="Arial"/>
                <w:color w:val="000000"/>
                <w:sz w:val="20"/>
                <w:szCs w:val="20"/>
              </w:rPr>
            </w:pPr>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69</w:t>
            </w:r>
            <w:r w:rsidRPr="002D2F67">
              <w:rPr>
                <w:rFonts w:ascii="Arial" w:hAnsi="Arial" w:cs="Arial"/>
                <w:color w:val="000000"/>
                <w:sz w:val="20"/>
                <w:szCs w:val="20"/>
              </w:rPr>
              <w:t>,</w:t>
            </w:r>
            <w:r w:rsidR="00CD5714" w:rsidRPr="00CD5714">
              <w:rPr>
                <w:rFonts w:ascii="Arial" w:hAnsi="Arial" w:cs="Arial"/>
                <w:color w:val="000000"/>
                <w:sz w:val="20"/>
                <w:szCs w:val="20"/>
                <w:lang w:val="en-GB"/>
              </w:rPr>
              <w:t>569</w:t>
            </w:r>
            <w:r w:rsidRPr="002D2F67">
              <w:rPr>
                <w:rFonts w:ascii="Arial" w:hAnsi="Arial" w:cs="Arial"/>
                <w:color w:val="000000"/>
                <w:sz w:val="20"/>
                <w:szCs w:val="20"/>
              </w:rPr>
              <w:t>)</w:t>
            </w:r>
          </w:p>
        </w:tc>
        <w:tc>
          <w:tcPr>
            <w:tcW w:w="1296" w:type="dxa"/>
            <w:shd w:val="clear" w:color="auto" w:fill="auto"/>
          </w:tcPr>
          <w:p w14:paraId="29E0F4A9" w14:textId="1D00BB4D" w:rsidR="001C3CA2" w:rsidRPr="002D2F67" w:rsidRDefault="001C3CA2" w:rsidP="001C3CA2">
            <w:pPr>
              <w:ind w:right="-72"/>
              <w:jc w:val="right"/>
              <w:rPr>
                <w:rFonts w:ascii="Arial" w:hAnsi="Arial" w:cs="Arial"/>
                <w:color w:val="000000"/>
                <w:sz w:val="20"/>
                <w:szCs w:val="20"/>
              </w:rPr>
            </w:pPr>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27</w:t>
            </w:r>
            <w:r w:rsidRPr="002D2F67">
              <w:rPr>
                <w:rFonts w:ascii="Arial" w:hAnsi="Arial" w:cs="Arial"/>
                <w:color w:val="000000"/>
                <w:sz w:val="20"/>
                <w:szCs w:val="20"/>
              </w:rPr>
              <w:t>,</w:t>
            </w:r>
            <w:r w:rsidR="00CD5714" w:rsidRPr="00CD5714">
              <w:rPr>
                <w:rFonts w:ascii="Arial" w:hAnsi="Arial" w:cs="Arial"/>
                <w:color w:val="000000"/>
                <w:sz w:val="20"/>
                <w:szCs w:val="20"/>
                <w:lang w:val="en-GB"/>
              </w:rPr>
              <w:t>853</w:t>
            </w:r>
            <w:r w:rsidRPr="002D2F67">
              <w:rPr>
                <w:rFonts w:ascii="Arial" w:hAnsi="Arial" w:cs="Arial"/>
                <w:color w:val="000000"/>
                <w:sz w:val="20"/>
                <w:szCs w:val="20"/>
              </w:rPr>
              <w:t>)</w:t>
            </w:r>
          </w:p>
        </w:tc>
        <w:tc>
          <w:tcPr>
            <w:tcW w:w="1296" w:type="dxa"/>
            <w:shd w:val="clear" w:color="auto" w:fill="auto"/>
          </w:tcPr>
          <w:p w14:paraId="3616CDDD" w14:textId="1480E307" w:rsidR="001C3CA2" w:rsidRPr="002D2F67" w:rsidRDefault="001C3CA2" w:rsidP="001C3CA2">
            <w:pPr>
              <w:ind w:right="-72"/>
              <w:jc w:val="right"/>
              <w:rPr>
                <w:rFonts w:ascii="Arial" w:hAnsi="Arial" w:cs="Arial"/>
                <w:color w:val="000000"/>
                <w:sz w:val="20"/>
                <w:szCs w:val="20"/>
              </w:rPr>
            </w:pPr>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6</w:t>
            </w:r>
            <w:r w:rsidRPr="002D2F67">
              <w:rPr>
                <w:rFonts w:ascii="Arial" w:hAnsi="Arial" w:cs="Arial"/>
                <w:color w:val="000000"/>
                <w:sz w:val="20"/>
                <w:szCs w:val="20"/>
              </w:rPr>
              <w:t>,</w:t>
            </w:r>
            <w:r w:rsidR="00CD5714" w:rsidRPr="00CD5714">
              <w:rPr>
                <w:rFonts w:ascii="Arial" w:hAnsi="Arial" w:cs="Arial"/>
                <w:color w:val="000000"/>
                <w:sz w:val="20"/>
                <w:szCs w:val="20"/>
                <w:lang w:val="en-GB"/>
              </w:rPr>
              <w:t>497</w:t>
            </w:r>
            <w:r w:rsidRPr="002D2F67">
              <w:rPr>
                <w:rFonts w:ascii="Arial" w:hAnsi="Arial" w:cs="Arial"/>
                <w:color w:val="000000"/>
                <w:sz w:val="20"/>
                <w:szCs w:val="20"/>
              </w:rPr>
              <w:t>)</w:t>
            </w:r>
          </w:p>
        </w:tc>
        <w:tc>
          <w:tcPr>
            <w:tcW w:w="1296" w:type="dxa"/>
            <w:shd w:val="clear" w:color="auto" w:fill="auto"/>
          </w:tcPr>
          <w:p w14:paraId="23E4624A" w14:textId="1E7D268E" w:rsidR="001C3CA2" w:rsidRPr="002D2F67" w:rsidRDefault="001C3CA2" w:rsidP="001C3CA2">
            <w:pPr>
              <w:ind w:right="-72"/>
              <w:jc w:val="right"/>
              <w:rPr>
                <w:rFonts w:ascii="Arial" w:hAnsi="Arial" w:cs="Arial"/>
                <w:color w:val="000000"/>
                <w:sz w:val="20"/>
                <w:szCs w:val="20"/>
              </w:rPr>
            </w:pPr>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103</w:t>
            </w:r>
            <w:r w:rsidRPr="002D2F67">
              <w:rPr>
                <w:rFonts w:ascii="Arial" w:hAnsi="Arial" w:cs="Arial"/>
                <w:color w:val="000000"/>
                <w:sz w:val="20"/>
                <w:szCs w:val="20"/>
              </w:rPr>
              <w:t>,</w:t>
            </w:r>
            <w:r w:rsidR="00CD5714" w:rsidRPr="00CD5714">
              <w:rPr>
                <w:rFonts w:ascii="Arial" w:hAnsi="Arial" w:cs="Arial"/>
                <w:color w:val="000000"/>
                <w:sz w:val="20"/>
                <w:szCs w:val="20"/>
                <w:lang w:val="en-GB"/>
              </w:rPr>
              <w:t>919</w:t>
            </w:r>
            <w:r w:rsidRPr="002D2F67">
              <w:rPr>
                <w:rFonts w:ascii="Arial" w:hAnsi="Arial" w:cs="Arial"/>
                <w:color w:val="000000"/>
                <w:sz w:val="20"/>
                <w:szCs w:val="20"/>
              </w:rPr>
              <w:t>)</w:t>
            </w:r>
          </w:p>
        </w:tc>
      </w:tr>
      <w:tr w:rsidR="001C3CA2" w:rsidRPr="002D2F67" w14:paraId="0CC6FBDE" w14:textId="77777777" w:rsidTr="002D2F67">
        <w:tc>
          <w:tcPr>
            <w:tcW w:w="4277" w:type="dxa"/>
            <w:shd w:val="clear" w:color="auto" w:fill="auto"/>
          </w:tcPr>
          <w:p w14:paraId="06E5533D" w14:textId="5ADD5399" w:rsidR="001C3CA2" w:rsidRPr="002D2F67" w:rsidRDefault="001C3CA2" w:rsidP="002D2F67">
            <w:pPr>
              <w:ind w:left="-86"/>
              <w:jc w:val="both"/>
              <w:rPr>
                <w:rFonts w:ascii="Arial" w:hAnsi="Arial" w:cs="Arial"/>
                <w:color w:val="000000"/>
                <w:sz w:val="20"/>
                <w:szCs w:val="20"/>
              </w:rPr>
            </w:pPr>
            <w:r w:rsidRPr="002D2F67">
              <w:rPr>
                <w:rFonts w:ascii="Arial" w:hAnsi="Arial" w:cs="Arial"/>
                <w:color w:val="000000"/>
                <w:sz w:val="20"/>
                <w:szCs w:val="20"/>
              </w:rPr>
              <w:t xml:space="preserve">Impairment loss </w:t>
            </w:r>
            <w:r w:rsidRPr="002D2F67">
              <w:rPr>
                <w:rFonts w:ascii="Arial" w:hAnsi="Arial" w:cs="Arial"/>
                <w:color w:val="000000"/>
                <w:sz w:val="20"/>
                <w:szCs w:val="20"/>
                <w:vertAlign w:val="superscript"/>
              </w:rPr>
              <w:t>(</w:t>
            </w:r>
            <w:r w:rsidR="00CD5714" w:rsidRPr="00CD5714">
              <w:rPr>
                <w:rFonts w:ascii="Arial" w:hAnsi="Arial" w:cs="Arial"/>
                <w:color w:val="000000"/>
                <w:sz w:val="20"/>
                <w:szCs w:val="20"/>
                <w:vertAlign w:val="superscript"/>
                <w:lang w:val="en-GB"/>
              </w:rPr>
              <w:t>1</w:t>
            </w:r>
            <w:r w:rsidRPr="002D2F67">
              <w:rPr>
                <w:rFonts w:ascii="Arial" w:hAnsi="Arial" w:cs="Arial"/>
                <w:color w:val="000000"/>
                <w:sz w:val="20"/>
                <w:szCs w:val="20"/>
                <w:vertAlign w:val="superscript"/>
              </w:rPr>
              <w:t>)</w:t>
            </w:r>
          </w:p>
        </w:tc>
        <w:tc>
          <w:tcPr>
            <w:tcW w:w="1296" w:type="dxa"/>
            <w:shd w:val="clear" w:color="auto" w:fill="auto"/>
          </w:tcPr>
          <w:p w14:paraId="26B703BC" w14:textId="30CC3E8E" w:rsidR="001C3CA2" w:rsidRPr="002D2F67" w:rsidRDefault="001C3CA2" w:rsidP="001C3CA2">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579</w:t>
            </w:r>
            <w:r w:rsidRPr="002D2F67">
              <w:rPr>
                <w:rFonts w:ascii="Arial" w:hAnsi="Arial" w:cs="Arial"/>
                <w:color w:val="000000"/>
                <w:sz w:val="20"/>
                <w:szCs w:val="20"/>
              </w:rPr>
              <w:t>,</w:t>
            </w:r>
            <w:r w:rsidR="00CD5714" w:rsidRPr="00CD5714">
              <w:rPr>
                <w:rFonts w:ascii="Arial" w:hAnsi="Arial" w:cs="Arial"/>
                <w:color w:val="000000"/>
                <w:sz w:val="20"/>
                <w:szCs w:val="20"/>
                <w:lang w:val="en-GB"/>
              </w:rPr>
              <w:t>057</w:t>
            </w:r>
            <w:r w:rsidRPr="002D2F67">
              <w:rPr>
                <w:rFonts w:ascii="Arial" w:hAnsi="Arial" w:cs="Arial"/>
                <w:color w:val="000000"/>
                <w:sz w:val="20"/>
                <w:szCs w:val="20"/>
              </w:rPr>
              <w:t>)</w:t>
            </w:r>
          </w:p>
        </w:tc>
        <w:tc>
          <w:tcPr>
            <w:tcW w:w="1296" w:type="dxa"/>
            <w:shd w:val="clear" w:color="auto" w:fill="auto"/>
          </w:tcPr>
          <w:p w14:paraId="5616FC17" w14:textId="71FDCCF2" w:rsidR="001C3CA2" w:rsidRPr="002D2F67" w:rsidRDefault="001C3CA2" w:rsidP="001C3CA2">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9</w:t>
            </w:r>
            <w:r w:rsidRPr="002D2F67">
              <w:rPr>
                <w:rFonts w:ascii="Arial" w:hAnsi="Arial" w:cs="Arial"/>
                <w:color w:val="000000"/>
                <w:sz w:val="20"/>
                <w:szCs w:val="20"/>
              </w:rPr>
              <w:t>,</w:t>
            </w:r>
            <w:r w:rsidR="00CD5714" w:rsidRPr="00CD5714">
              <w:rPr>
                <w:rFonts w:ascii="Arial" w:hAnsi="Arial" w:cs="Arial"/>
                <w:color w:val="000000"/>
                <w:sz w:val="20"/>
                <w:szCs w:val="20"/>
                <w:lang w:val="en-GB"/>
              </w:rPr>
              <w:t>959</w:t>
            </w:r>
            <w:r w:rsidRPr="002D2F67">
              <w:rPr>
                <w:rFonts w:ascii="Arial" w:hAnsi="Arial" w:cs="Arial"/>
                <w:color w:val="000000"/>
                <w:sz w:val="20"/>
                <w:szCs w:val="20"/>
              </w:rPr>
              <w:t>)</w:t>
            </w:r>
          </w:p>
        </w:tc>
        <w:tc>
          <w:tcPr>
            <w:tcW w:w="1296" w:type="dxa"/>
            <w:shd w:val="clear" w:color="auto" w:fill="auto"/>
          </w:tcPr>
          <w:p w14:paraId="4AD1F26B" w14:textId="5F2139F5" w:rsidR="001C3CA2" w:rsidRPr="002D2F67" w:rsidRDefault="001C3CA2" w:rsidP="001C3CA2">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598</w:t>
            </w:r>
            <w:r w:rsidRPr="002D2F67">
              <w:rPr>
                <w:rFonts w:ascii="Arial" w:hAnsi="Arial" w:cs="Arial"/>
                <w:color w:val="000000"/>
                <w:sz w:val="20"/>
                <w:szCs w:val="20"/>
              </w:rPr>
              <w:t>)</w:t>
            </w:r>
          </w:p>
        </w:tc>
        <w:tc>
          <w:tcPr>
            <w:tcW w:w="1296" w:type="dxa"/>
            <w:shd w:val="clear" w:color="auto" w:fill="auto"/>
          </w:tcPr>
          <w:p w14:paraId="734DDA92" w14:textId="162C677B" w:rsidR="001C3CA2" w:rsidRPr="002D2F67" w:rsidRDefault="001C3CA2" w:rsidP="001C3CA2">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589</w:t>
            </w:r>
            <w:r w:rsidRPr="002D2F67">
              <w:rPr>
                <w:rFonts w:ascii="Arial" w:hAnsi="Arial" w:cs="Arial"/>
                <w:color w:val="000000"/>
                <w:sz w:val="20"/>
                <w:szCs w:val="20"/>
              </w:rPr>
              <w:t>,</w:t>
            </w:r>
            <w:r w:rsidR="00CD5714" w:rsidRPr="00CD5714">
              <w:rPr>
                <w:rFonts w:ascii="Arial" w:hAnsi="Arial" w:cs="Arial"/>
                <w:color w:val="000000"/>
                <w:sz w:val="20"/>
                <w:szCs w:val="20"/>
                <w:lang w:val="en-GB"/>
              </w:rPr>
              <w:t>614</w:t>
            </w:r>
            <w:r w:rsidRPr="002D2F67">
              <w:rPr>
                <w:rFonts w:ascii="Arial" w:hAnsi="Arial" w:cs="Arial"/>
                <w:color w:val="000000"/>
                <w:sz w:val="20"/>
                <w:szCs w:val="20"/>
              </w:rPr>
              <w:t>)</w:t>
            </w:r>
          </w:p>
        </w:tc>
      </w:tr>
      <w:tr w:rsidR="001C3CA2" w:rsidRPr="002D2F67" w14:paraId="640D00A3" w14:textId="77777777" w:rsidTr="002D2F67">
        <w:tc>
          <w:tcPr>
            <w:tcW w:w="4277" w:type="dxa"/>
            <w:shd w:val="clear" w:color="auto" w:fill="auto"/>
          </w:tcPr>
          <w:p w14:paraId="1C6F2D95" w14:textId="77777777" w:rsidR="001C3CA2" w:rsidRPr="002D2F67" w:rsidRDefault="001C3CA2" w:rsidP="002D2F67">
            <w:pPr>
              <w:ind w:left="-86"/>
              <w:jc w:val="both"/>
              <w:rPr>
                <w:rFonts w:ascii="Arial" w:hAnsi="Arial" w:cs="Arial"/>
                <w:color w:val="000000"/>
                <w:sz w:val="20"/>
                <w:szCs w:val="20"/>
              </w:rPr>
            </w:pPr>
            <w:r w:rsidRPr="002D2F67">
              <w:rPr>
                <w:rFonts w:ascii="Arial" w:hAnsi="Arial" w:cs="Arial"/>
                <w:color w:val="000000"/>
                <w:sz w:val="20"/>
                <w:szCs w:val="20"/>
              </w:rPr>
              <w:t>Currency translation differences</w:t>
            </w:r>
          </w:p>
        </w:tc>
        <w:tc>
          <w:tcPr>
            <w:tcW w:w="1296" w:type="dxa"/>
            <w:shd w:val="clear" w:color="auto" w:fill="auto"/>
          </w:tcPr>
          <w:p w14:paraId="70346B3E" w14:textId="521724CB" w:rsidR="001C3CA2" w:rsidRPr="002D2F67" w:rsidRDefault="001C3CA2" w:rsidP="001C3CA2">
            <w:pPr>
              <w:ind w:right="-72"/>
              <w:jc w:val="right"/>
              <w:rPr>
                <w:rFonts w:ascii="Arial" w:hAnsi="Arial" w:cs="Arial"/>
                <w:color w:val="000000"/>
                <w:sz w:val="20"/>
                <w:szCs w:val="20"/>
              </w:rPr>
            </w:pPr>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15</w:t>
            </w:r>
            <w:r w:rsidRPr="002D2F67">
              <w:rPr>
                <w:rFonts w:ascii="Arial" w:hAnsi="Arial" w:cs="Arial"/>
                <w:color w:val="000000"/>
                <w:sz w:val="20"/>
                <w:szCs w:val="20"/>
              </w:rPr>
              <w:t>)</w:t>
            </w:r>
          </w:p>
        </w:tc>
        <w:tc>
          <w:tcPr>
            <w:tcW w:w="1296" w:type="dxa"/>
            <w:shd w:val="clear" w:color="auto" w:fill="auto"/>
          </w:tcPr>
          <w:p w14:paraId="2603199E" w14:textId="4D4D373A" w:rsidR="001C3CA2" w:rsidRPr="002D2F67" w:rsidRDefault="001C3CA2" w:rsidP="001C3CA2">
            <w:pPr>
              <w:ind w:right="-72"/>
              <w:jc w:val="right"/>
              <w:rPr>
                <w:rFonts w:ascii="Arial" w:hAnsi="Arial" w:cs="Arial"/>
                <w:color w:val="000000"/>
                <w:sz w:val="20"/>
                <w:szCs w:val="20"/>
              </w:rPr>
            </w:pPr>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876</w:t>
            </w:r>
            <w:r w:rsidRPr="002D2F67">
              <w:rPr>
                <w:rFonts w:ascii="Arial" w:hAnsi="Arial" w:cs="Arial"/>
                <w:color w:val="000000"/>
                <w:sz w:val="20"/>
                <w:szCs w:val="20"/>
              </w:rPr>
              <w:t>)</w:t>
            </w:r>
          </w:p>
        </w:tc>
        <w:tc>
          <w:tcPr>
            <w:tcW w:w="1296" w:type="dxa"/>
            <w:shd w:val="clear" w:color="auto" w:fill="auto"/>
          </w:tcPr>
          <w:p w14:paraId="5FFA920C" w14:textId="1E009022" w:rsidR="001C3CA2" w:rsidRPr="002D2F67" w:rsidRDefault="001C3CA2" w:rsidP="001C3CA2">
            <w:pPr>
              <w:ind w:right="-72"/>
              <w:jc w:val="right"/>
              <w:rPr>
                <w:rFonts w:ascii="Arial" w:hAnsi="Arial" w:cs="Arial"/>
                <w:color w:val="000000"/>
                <w:sz w:val="20"/>
                <w:szCs w:val="20"/>
              </w:rPr>
            </w:pPr>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21</w:t>
            </w:r>
            <w:r w:rsidRPr="002D2F67">
              <w:rPr>
                <w:rFonts w:ascii="Arial" w:hAnsi="Arial" w:cs="Arial"/>
                <w:color w:val="000000"/>
                <w:sz w:val="20"/>
                <w:szCs w:val="20"/>
              </w:rPr>
              <w:t>)</w:t>
            </w:r>
          </w:p>
        </w:tc>
        <w:tc>
          <w:tcPr>
            <w:tcW w:w="1296" w:type="dxa"/>
            <w:shd w:val="clear" w:color="auto" w:fill="auto"/>
          </w:tcPr>
          <w:p w14:paraId="2AC1B36C" w14:textId="1FC8FEE3" w:rsidR="001C3CA2" w:rsidRPr="002D2F67" w:rsidRDefault="001C3CA2" w:rsidP="001C3CA2">
            <w:pPr>
              <w:ind w:right="-72"/>
              <w:jc w:val="right"/>
              <w:rPr>
                <w:rFonts w:ascii="Arial" w:hAnsi="Arial" w:cs="Arial"/>
                <w:color w:val="000000"/>
                <w:sz w:val="20"/>
                <w:szCs w:val="20"/>
              </w:rPr>
            </w:pPr>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940</w:t>
            </w:r>
            <w:r w:rsidRPr="002D2F67">
              <w:rPr>
                <w:rFonts w:ascii="Arial" w:hAnsi="Arial" w:cs="Arial"/>
                <w:color w:val="000000"/>
                <w:sz w:val="20"/>
                <w:szCs w:val="20"/>
              </w:rPr>
              <w:t>)</w:t>
            </w:r>
          </w:p>
        </w:tc>
      </w:tr>
      <w:tr w:rsidR="001C3CA2" w:rsidRPr="002D2F67" w14:paraId="01584A28" w14:textId="77777777" w:rsidTr="002D2F67">
        <w:tc>
          <w:tcPr>
            <w:tcW w:w="4277" w:type="dxa"/>
            <w:shd w:val="clear" w:color="auto" w:fill="auto"/>
          </w:tcPr>
          <w:p w14:paraId="61DE5537" w14:textId="77777777" w:rsidR="001C3CA2" w:rsidRPr="002D2F67" w:rsidRDefault="001C3CA2" w:rsidP="002D2F67">
            <w:pPr>
              <w:ind w:left="-86"/>
              <w:jc w:val="both"/>
              <w:rPr>
                <w:rFonts w:ascii="Arial" w:hAnsi="Arial" w:cs="Arial"/>
                <w:color w:val="000000"/>
                <w:sz w:val="20"/>
                <w:szCs w:val="20"/>
              </w:rPr>
            </w:pPr>
          </w:p>
        </w:tc>
        <w:tc>
          <w:tcPr>
            <w:tcW w:w="1296" w:type="dxa"/>
            <w:tcBorders>
              <w:top w:val="single" w:sz="4" w:space="0" w:color="auto"/>
            </w:tcBorders>
            <w:shd w:val="clear" w:color="auto" w:fill="auto"/>
          </w:tcPr>
          <w:p w14:paraId="2977FD51" w14:textId="65FD522E" w:rsidR="001C3CA2" w:rsidRPr="002D2F67" w:rsidRDefault="001C3CA2" w:rsidP="001C3CA2">
            <w:pPr>
              <w:ind w:right="-72"/>
              <w:jc w:val="right"/>
              <w:rPr>
                <w:rFonts w:ascii="Arial" w:hAnsi="Arial" w:cs="Arial"/>
                <w:color w:val="000000"/>
                <w:sz w:val="20"/>
                <w:szCs w:val="20"/>
              </w:rPr>
            </w:pPr>
          </w:p>
        </w:tc>
        <w:tc>
          <w:tcPr>
            <w:tcW w:w="1296" w:type="dxa"/>
            <w:tcBorders>
              <w:top w:val="single" w:sz="4" w:space="0" w:color="auto"/>
            </w:tcBorders>
            <w:shd w:val="clear" w:color="auto" w:fill="auto"/>
          </w:tcPr>
          <w:p w14:paraId="7B3DDA33" w14:textId="77777777" w:rsidR="001C3CA2" w:rsidRPr="002D2F67" w:rsidRDefault="001C3CA2" w:rsidP="001C3CA2">
            <w:pPr>
              <w:ind w:right="-72"/>
              <w:jc w:val="right"/>
              <w:rPr>
                <w:rFonts w:ascii="Arial" w:hAnsi="Arial" w:cs="Arial"/>
                <w:color w:val="000000"/>
                <w:sz w:val="20"/>
                <w:szCs w:val="20"/>
              </w:rPr>
            </w:pPr>
          </w:p>
        </w:tc>
        <w:tc>
          <w:tcPr>
            <w:tcW w:w="1296" w:type="dxa"/>
            <w:tcBorders>
              <w:top w:val="single" w:sz="4" w:space="0" w:color="auto"/>
            </w:tcBorders>
            <w:shd w:val="clear" w:color="auto" w:fill="auto"/>
          </w:tcPr>
          <w:p w14:paraId="0EE8C533" w14:textId="1C50450B" w:rsidR="001C3CA2" w:rsidRPr="002D2F67" w:rsidRDefault="001C3CA2" w:rsidP="001C3CA2">
            <w:pPr>
              <w:ind w:right="-72"/>
              <w:jc w:val="right"/>
              <w:rPr>
                <w:rFonts w:ascii="Arial" w:hAnsi="Arial" w:cs="Arial"/>
                <w:color w:val="000000"/>
                <w:sz w:val="20"/>
                <w:szCs w:val="20"/>
              </w:rPr>
            </w:pPr>
          </w:p>
        </w:tc>
        <w:tc>
          <w:tcPr>
            <w:tcW w:w="1296" w:type="dxa"/>
            <w:tcBorders>
              <w:top w:val="single" w:sz="4" w:space="0" w:color="auto"/>
            </w:tcBorders>
            <w:shd w:val="clear" w:color="auto" w:fill="auto"/>
          </w:tcPr>
          <w:p w14:paraId="12E1F3F2" w14:textId="5E9A40FD" w:rsidR="001C3CA2" w:rsidRPr="002D2F67" w:rsidRDefault="001C3CA2" w:rsidP="001C3CA2">
            <w:pPr>
              <w:ind w:right="-72"/>
              <w:jc w:val="right"/>
              <w:rPr>
                <w:rFonts w:ascii="Arial" w:hAnsi="Arial" w:cs="Arial"/>
                <w:color w:val="000000"/>
                <w:sz w:val="20"/>
                <w:szCs w:val="20"/>
              </w:rPr>
            </w:pPr>
          </w:p>
        </w:tc>
      </w:tr>
      <w:tr w:rsidR="001C3CA2" w:rsidRPr="002D2F67" w14:paraId="5013BF52" w14:textId="77777777" w:rsidTr="002D2F67">
        <w:trPr>
          <w:trHeight w:val="80"/>
        </w:trPr>
        <w:tc>
          <w:tcPr>
            <w:tcW w:w="4277" w:type="dxa"/>
            <w:shd w:val="clear" w:color="auto" w:fill="auto"/>
          </w:tcPr>
          <w:p w14:paraId="33219FB2" w14:textId="77777777" w:rsidR="001C3CA2" w:rsidRPr="002D2F67" w:rsidRDefault="001C3CA2" w:rsidP="002D2F67">
            <w:pPr>
              <w:ind w:left="-86"/>
              <w:jc w:val="both"/>
              <w:rPr>
                <w:rFonts w:ascii="Arial" w:hAnsi="Arial" w:cs="Arial"/>
                <w:color w:val="000000"/>
                <w:sz w:val="20"/>
                <w:szCs w:val="20"/>
              </w:rPr>
            </w:pPr>
            <w:r w:rsidRPr="002D2F67">
              <w:rPr>
                <w:rFonts w:ascii="Arial" w:hAnsi="Arial" w:cs="Arial"/>
                <w:color w:val="000000"/>
                <w:sz w:val="20"/>
                <w:szCs w:val="20"/>
              </w:rPr>
              <w:t>Closing net book value</w:t>
            </w:r>
          </w:p>
        </w:tc>
        <w:tc>
          <w:tcPr>
            <w:tcW w:w="1296" w:type="dxa"/>
            <w:tcBorders>
              <w:bottom w:val="single" w:sz="4" w:space="0" w:color="auto"/>
            </w:tcBorders>
            <w:shd w:val="clear" w:color="auto" w:fill="auto"/>
          </w:tcPr>
          <w:p w14:paraId="2BF84E3A" w14:textId="610A89B2" w:rsidR="001C3CA2" w:rsidRPr="002D2F67" w:rsidRDefault="00CD5714" w:rsidP="001C3CA2">
            <w:pPr>
              <w:ind w:right="-72"/>
              <w:jc w:val="right"/>
              <w:rPr>
                <w:rFonts w:ascii="Arial" w:hAnsi="Arial" w:cs="Arial"/>
                <w:color w:val="000000"/>
                <w:sz w:val="20"/>
                <w:szCs w:val="20"/>
              </w:rPr>
            </w:pPr>
            <w:r w:rsidRPr="00CD5714">
              <w:rPr>
                <w:rFonts w:ascii="Arial" w:hAnsi="Arial" w:cs="Arial"/>
                <w:color w:val="000000"/>
                <w:sz w:val="20"/>
                <w:szCs w:val="20"/>
                <w:lang w:val="en-GB"/>
              </w:rPr>
              <w:t>807</w:t>
            </w:r>
            <w:r w:rsidR="001C3CA2" w:rsidRPr="002D2F67">
              <w:rPr>
                <w:rFonts w:ascii="Arial" w:hAnsi="Arial" w:cs="Arial"/>
                <w:color w:val="000000"/>
                <w:sz w:val="20"/>
                <w:szCs w:val="20"/>
              </w:rPr>
              <w:t>,</w:t>
            </w:r>
            <w:r w:rsidRPr="00CD5714">
              <w:rPr>
                <w:rFonts w:ascii="Arial" w:hAnsi="Arial" w:cs="Arial"/>
                <w:color w:val="000000"/>
                <w:sz w:val="20"/>
                <w:szCs w:val="20"/>
                <w:lang w:val="en-GB"/>
              </w:rPr>
              <w:t>612</w:t>
            </w:r>
            <w:r w:rsidR="001C3CA2" w:rsidRPr="002D2F67">
              <w:rPr>
                <w:rFonts w:ascii="Arial" w:hAnsi="Arial" w:cs="Arial"/>
                <w:color w:val="000000"/>
                <w:sz w:val="20"/>
                <w:szCs w:val="20"/>
              </w:rPr>
              <w:t xml:space="preserve"> </w:t>
            </w:r>
          </w:p>
        </w:tc>
        <w:tc>
          <w:tcPr>
            <w:tcW w:w="1296" w:type="dxa"/>
            <w:tcBorders>
              <w:bottom w:val="single" w:sz="4" w:space="0" w:color="auto"/>
            </w:tcBorders>
            <w:shd w:val="clear" w:color="auto" w:fill="auto"/>
          </w:tcPr>
          <w:p w14:paraId="6FDDCEE3" w14:textId="05ADA6D5" w:rsidR="001C3CA2" w:rsidRPr="002D2F67" w:rsidRDefault="00CD5714" w:rsidP="001C3CA2">
            <w:pPr>
              <w:ind w:right="-72"/>
              <w:jc w:val="right"/>
              <w:rPr>
                <w:rFonts w:ascii="Arial" w:hAnsi="Arial" w:cs="Arial"/>
                <w:color w:val="000000"/>
                <w:sz w:val="20"/>
                <w:szCs w:val="20"/>
              </w:rPr>
            </w:pPr>
            <w:r w:rsidRPr="00CD5714">
              <w:rPr>
                <w:rFonts w:ascii="Arial" w:hAnsi="Arial" w:cs="Arial"/>
                <w:color w:val="000000"/>
                <w:sz w:val="20"/>
                <w:szCs w:val="20"/>
                <w:lang w:val="en-GB"/>
              </w:rPr>
              <w:t>28</w:t>
            </w:r>
            <w:r w:rsidR="001C3CA2" w:rsidRPr="002D2F67">
              <w:rPr>
                <w:rFonts w:ascii="Arial" w:hAnsi="Arial" w:cs="Arial"/>
                <w:color w:val="000000"/>
                <w:sz w:val="20"/>
                <w:szCs w:val="20"/>
              </w:rPr>
              <w:t>,</w:t>
            </w:r>
            <w:r w:rsidRPr="00CD5714">
              <w:rPr>
                <w:rFonts w:ascii="Arial" w:hAnsi="Arial" w:cs="Arial"/>
                <w:color w:val="000000"/>
                <w:sz w:val="20"/>
                <w:szCs w:val="20"/>
                <w:lang w:val="en-GB"/>
              </w:rPr>
              <w:t>233</w:t>
            </w:r>
          </w:p>
        </w:tc>
        <w:tc>
          <w:tcPr>
            <w:tcW w:w="1296" w:type="dxa"/>
            <w:tcBorders>
              <w:bottom w:val="single" w:sz="4" w:space="0" w:color="auto"/>
            </w:tcBorders>
            <w:shd w:val="clear" w:color="auto" w:fill="auto"/>
          </w:tcPr>
          <w:p w14:paraId="2B56CB6C" w14:textId="45696F8F" w:rsidR="001C3CA2" w:rsidRPr="002D2F67" w:rsidRDefault="00CD5714" w:rsidP="001C3CA2">
            <w:pPr>
              <w:ind w:right="-72"/>
              <w:jc w:val="right"/>
              <w:rPr>
                <w:rFonts w:ascii="Arial" w:hAnsi="Arial" w:cs="Arial"/>
                <w:color w:val="000000"/>
                <w:sz w:val="20"/>
                <w:szCs w:val="20"/>
              </w:rPr>
            </w:pPr>
            <w:r w:rsidRPr="00CD5714">
              <w:rPr>
                <w:rFonts w:ascii="Arial" w:hAnsi="Arial" w:cs="Arial"/>
                <w:color w:val="000000"/>
                <w:sz w:val="20"/>
                <w:szCs w:val="20"/>
                <w:lang w:val="en-GB"/>
              </w:rPr>
              <w:t>4</w:t>
            </w:r>
            <w:r w:rsidR="001C3CA2" w:rsidRPr="002D2F67">
              <w:rPr>
                <w:rFonts w:ascii="Arial" w:hAnsi="Arial" w:cs="Arial"/>
                <w:color w:val="000000"/>
                <w:sz w:val="20"/>
                <w:szCs w:val="20"/>
              </w:rPr>
              <w:t>,</w:t>
            </w:r>
            <w:r w:rsidRPr="00CD5714">
              <w:rPr>
                <w:rFonts w:ascii="Arial" w:hAnsi="Arial" w:cs="Arial"/>
                <w:color w:val="000000"/>
                <w:sz w:val="20"/>
                <w:szCs w:val="20"/>
                <w:lang w:val="en-GB"/>
              </w:rPr>
              <w:t>392</w:t>
            </w:r>
          </w:p>
        </w:tc>
        <w:tc>
          <w:tcPr>
            <w:tcW w:w="1296" w:type="dxa"/>
            <w:tcBorders>
              <w:bottom w:val="single" w:sz="4" w:space="0" w:color="auto"/>
            </w:tcBorders>
            <w:shd w:val="clear" w:color="auto" w:fill="auto"/>
          </w:tcPr>
          <w:p w14:paraId="3BC6AE26" w14:textId="1D185B18" w:rsidR="001C3CA2" w:rsidRPr="002D2F67" w:rsidRDefault="00CD5714" w:rsidP="001C3CA2">
            <w:pPr>
              <w:ind w:right="-72"/>
              <w:jc w:val="right"/>
              <w:rPr>
                <w:rFonts w:ascii="Arial" w:hAnsi="Arial" w:cs="Arial"/>
                <w:color w:val="000000"/>
                <w:sz w:val="20"/>
                <w:szCs w:val="20"/>
              </w:rPr>
            </w:pPr>
            <w:r w:rsidRPr="00CD5714">
              <w:rPr>
                <w:rFonts w:ascii="Arial" w:hAnsi="Arial" w:cs="Arial"/>
                <w:color w:val="000000"/>
                <w:sz w:val="20"/>
                <w:szCs w:val="20"/>
                <w:lang w:val="en-GB"/>
              </w:rPr>
              <w:t>840</w:t>
            </w:r>
            <w:r w:rsidR="001C3CA2" w:rsidRPr="002D2F67">
              <w:rPr>
                <w:rFonts w:ascii="Arial" w:hAnsi="Arial" w:cs="Arial"/>
                <w:color w:val="000000"/>
                <w:sz w:val="20"/>
                <w:szCs w:val="20"/>
              </w:rPr>
              <w:t>,</w:t>
            </w:r>
            <w:r w:rsidRPr="00CD5714">
              <w:rPr>
                <w:rFonts w:ascii="Arial" w:hAnsi="Arial" w:cs="Arial"/>
                <w:color w:val="000000"/>
                <w:sz w:val="20"/>
                <w:szCs w:val="20"/>
                <w:lang w:val="en-GB"/>
              </w:rPr>
              <w:t>237</w:t>
            </w:r>
          </w:p>
        </w:tc>
      </w:tr>
    </w:tbl>
    <w:p w14:paraId="1EC1335E" w14:textId="77777777" w:rsidR="00E44CEE" w:rsidRPr="002D2F67" w:rsidRDefault="00E44CEE" w:rsidP="005611FE">
      <w:pPr>
        <w:rPr>
          <w:rFonts w:ascii="Arial" w:hAnsi="Arial" w:cs="Arial"/>
          <w:color w:val="000000"/>
          <w:sz w:val="18"/>
          <w:szCs w:val="18"/>
        </w:rPr>
      </w:pPr>
    </w:p>
    <w:p w14:paraId="4330C540" w14:textId="4C6ACC62" w:rsidR="00C9548B" w:rsidRPr="002D2F67" w:rsidRDefault="00C9548B" w:rsidP="0090718C">
      <w:pPr>
        <w:ind w:left="284" w:hanging="284"/>
        <w:jc w:val="both"/>
        <w:rPr>
          <w:rFonts w:ascii="Arial" w:eastAsia="Cordia New" w:hAnsi="Arial" w:cs="Arial"/>
          <w:snapToGrid w:val="0"/>
          <w:color w:val="000000"/>
          <w:spacing w:val="-2"/>
          <w:sz w:val="20"/>
          <w:szCs w:val="20"/>
          <w:lang w:eastAsia="th-TH"/>
        </w:rPr>
      </w:pPr>
      <w:r w:rsidRPr="002D2F67">
        <w:rPr>
          <w:rFonts w:ascii="Arial" w:eastAsia="Cordia New" w:hAnsi="Arial" w:cs="Arial"/>
          <w:snapToGrid w:val="0"/>
          <w:color w:val="000000"/>
          <w:spacing w:val="-2"/>
          <w:sz w:val="20"/>
          <w:szCs w:val="20"/>
          <w:vertAlign w:val="superscript"/>
          <w:lang w:eastAsia="th-TH"/>
        </w:rPr>
        <w:t>(</w:t>
      </w:r>
      <w:r w:rsidR="00CD5714" w:rsidRPr="00CD5714">
        <w:rPr>
          <w:rFonts w:ascii="Arial" w:eastAsia="Cordia New" w:hAnsi="Arial" w:cs="Arial"/>
          <w:snapToGrid w:val="0"/>
          <w:color w:val="000000"/>
          <w:spacing w:val="-2"/>
          <w:sz w:val="20"/>
          <w:szCs w:val="20"/>
          <w:vertAlign w:val="superscript"/>
          <w:lang w:val="en-GB" w:eastAsia="th-TH"/>
        </w:rPr>
        <w:t>1</w:t>
      </w:r>
      <w:r w:rsidRPr="002D2F67">
        <w:rPr>
          <w:rFonts w:ascii="Arial" w:eastAsia="Cordia New" w:hAnsi="Arial" w:cs="Arial"/>
          <w:snapToGrid w:val="0"/>
          <w:color w:val="000000"/>
          <w:spacing w:val="-2"/>
          <w:sz w:val="20"/>
          <w:szCs w:val="20"/>
          <w:vertAlign w:val="superscript"/>
          <w:lang w:eastAsia="th-TH"/>
        </w:rPr>
        <w:t xml:space="preserve">) </w:t>
      </w:r>
      <w:r w:rsidR="0090718C" w:rsidRPr="002D2F67">
        <w:rPr>
          <w:rFonts w:ascii="Arial" w:eastAsia="Cordia New" w:hAnsi="Arial" w:cs="Arial"/>
          <w:snapToGrid w:val="0"/>
          <w:color w:val="000000"/>
          <w:spacing w:val="-2"/>
          <w:sz w:val="20"/>
          <w:szCs w:val="20"/>
          <w:vertAlign w:val="superscript"/>
          <w:lang w:eastAsia="th-TH"/>
        </w:rPr>
        <w:tab/>
      </w:r>
      <w:r w:rsidR="0090718C" w:rsidRPr="002D2F67">
        <w:rPr>
          <w:rFonts w:ascii="Arial" w:hAnsi="Arial" w:cs="Arial"/>
          <w:color w:val="000000"/>
          <w:spacing w:val="-4"/>
          <w:sz w:val="20"/>
          <w:szCs w:val="20"/>
        </w:rPr>
        <w:t xml:space="preserve">During </w:t>
      </w:r>
      <w:r w:rsidR="00CD5714" w:rsidRPr="00CD5714">
        <w:rPr>
          <w:rFonts w:ascii="Arial" w:hAnsi="Arial" w:cs="Arial"/>
          <w:color w:val="000000"/>
          <w:spacing w:val="-4"/>
          <w:sz w:val="20"/>
          <w:szCs w:val="20"/>
          <w:lang w:val="en-GB"/>
        </w:rPr>
        <w:t>2024</w:t>
      </w:r>
      <w:r w:rsidR="0090718C" w:rsidRPr="002D2F67">
        <w:rPr>
          <w:rFonts w:ascii="Arial" w:hAnsi="Arial" w:cs="Arial"/>
          <w:color w:val="000000"/>
          <w:spacing w:val="-4"/>
          <w:sz w:val="20"/>
          <w:szCs w:val="20"/>
        </w:rPr>
        <w:t xml:space="preserve">, impairment loss of Baht </w:t>
      </w:r>
      <w:r w:rsidR="00CD5714" w:rsidRPr="00CD5714">
        <w:rPr>
          <w:rFonts w:ascii="Arial" w:hAnsi="Arial" w:cs="Arial"/>
          <w:color w:val="000000"/>
          <w:spacing w:val="-4"/>
          <w:sz w:val="20"/>
          <w:szCs w:val="20"/>
          <w:lang w:val="en-GB"/>
        </w:rPr>
        <w:t>590</w:t>
      </w:r>
      <w:r w:rsidR="0090718C" w:rsidRPr="002D2F67">
        <w:rPr>
          <w:rFonts w:ascii="Arial" w:hAnsi="Arial" w:cs="Arial"/>
          <w:color w:val="000000"/>
          <w:spacing w:val="-4"/>
          <w:sz w:val="20"/>
          <w:szCs w:val="20"/>
        </w:rPr>
        <w:t xml:space="preserve"> million for </w:t>
      </w:r>
      <w:r w:rsidR="0009566C" w:rsidRPr="002D2F67">
        <w:rPr>
          <w:rFonts w:ascii="Arial" w:hAnsi="Arial" w:cs="Arial"/>
          <w:color w:val="000000"/>
          <w:spacing w:val="-4"/>
          <w:sz w:val="20"/>
          <w:szCs w:val="20"/>
        </w:rPr>
        <w:t xml:space="preserve">right-of-use </w:t>
      </w:r>
      <w:r w:rsidR="00782354" w:rsidRPr="002D2F67">
        <w:rPr>
          <w:rFonts w:ascii="Arial" w:hAnsi="Arial" w:cs="Arial"/>
          <w:color w:val="000000"/>
          <w:spacing w:val="-4"/>
          <w:sz w:val="20"/>
          <w:szCs w:val="20"/>
        </w:rPr>
        <w:t xml:space="preserve">assets of </w:t>
      </w:r>
      <w:r w:rsidR="0090718C" w:rsidRPr="002D2F67">
        <w:rPr>
          <w:rFonts w:ascii="Arial" w:hAnsi="Arial" w:cs="Arial"/>
          <w:color w:val="000000"/>
          <w:spacing w:val="-4"/>
          <w:sz w:val="20"/>
          <w:szCs w:val="20"/>
        </w:rPr>
        <w:t xml:space="preserve">the </w:t>
      </w:r>
      <w:r w:rsidR="00782354" w:rsidRPr="002D2F67">
        <w:rPr>
          <w:rFonts w:ascii="Arial" w:hAnsi="Arial" w:cs="Arial"/>
          <w:color w:val="000000"/>
          <w:spacing w:val="-4"/>
          <w:sz w:val="20"/>
          <w:szCs w:val="20"/>
        </w:rPr>
        <w:t xml:space="preserve">battery </w:t>
      </w:r>
      <w:r w:rsidR="0090718C" w:rsidRPr="002D2F67">
        <w:rPr>
          <w:rFonts w:ascii="Arial" w:hAnsi="Arial" w:cs="Arial"/>
          <w:color w:val="000000"/>
          <w:spacing w:val="-4"/>
          <w:sz w:val="20"/>
          <w:szCs w:val="20"/>
        </w:rPr>
        <w:t>manufacturing</w:t>
      </w:r>
      <w:r w:rsidR="0090718C" w:rsidRPr="002D2F67">
        <w:rPr>
          <w:rFonts w:ascii="Arial" w:hAnsi="Arial" w:cs="Arial"/>
          <w:color w:val="000000"/>
          <w:spacing w:val="-2"/>
          <w:sz w:val="20"/>
          <w:szCs w:val="20"/>
        </w:rPr>
        <w:t xml:space="preserve"> </w:t>
      </w:r>
      <w:r w:rsidR="0090718C" w:rsidRPr="002D2F67">
        <w:rPr>
          <w:rFonts w:ascii="Arial" w:hAnsi="Arial" w:cs="Arial"/>
          <w:color w:val="000000"/>
          <w:spacing w:val="-4"/>
          <w:sz w:val="20"/>
          <w:szCs w:val="20"/>
        </w:rPr>
        <w:t>and distributing business has been recognised due to changes in electric batter</w:t>
      </w:r>
      <w:r w:rsidR="00D51A28" w:rsidRPr="002D2F67">
        <w:rPr>
          <w:rFonts w:ascii="Arial" w:hAnsi="Arial" w:cs="Arial"/>
          <w:color w:val="000000"/>
          <w:spacing w:val="-4"/>
          <w:sz w:val="20"/>
          <w:szCs w:val="20"/>
        </w:rPr>
        <w:t>y</w:t>
      </w:r>
      <w:r w:rsidR="0090718C" w:rsidRPr="002D2F67">
        <w:rPr>
          <w:rFonts w:ascii="Arial" w:hAnsi="Arial" w:cs="Arial"/>
          <w:color w:val="000000"/>
          <w:spacing w:val="-4"/>
          <w:sz w:val="20"/>
          <w:szCs w:val="20"/>
        </w:rPr>
        <w:t xml:space="preserve"> industry’s trend and </w:t>
      </w:r>
      <w:r w:rsidR="00564B79" w:rsidRPr="002D2F67">
        <w:rPr>
          <w:rFonts w:ascii="Arial" w:hAnsi="Arial" w:cs="Arial"/>
          <w:color w:val="000000"/>
          <w:spacing w:val="-4"/>
          <w:sz w:val="20"/>
          <w:szCs w:val="20"/>
        </w:rPr>
        <w:t xml:space="preserve">the </w:t>
      </w:r>
      <w:r w:rsidR="0090718C" w:rsidRPr="002D2F67">
        <w:rPr>
          <w:rFonts w:ascii="Arial" w:hAnsi="Arial" w:cs="Arial"/>
          <w:color w:val="000000"/>
          <w:spacing w:val="-4"/>
          <w:sz w:val="20"/>
          <w:szCs w:val="20"/>
        </w:rPr>
        <w:t xml:space="preserve">revision </w:t>
      </w:r>
      <w:r w:rsidR="0090718C" w:rsidRPr="00F45670">
        <w:rPr>
          <w:rFonts w:ascii="Arial" w:hAnsi="Arial" w:cs="Arial"/>
          <w:color w:val="000000"/>
          <w:spacing w:val="-6"/>
          <w:sz w:val="20"/>
          <w:szCs w:val="20"/>
        </w:rPr>
        <w:t>of management business plan. The recoverable amount was determined using value-in-use</w:t>
      </w:r>
      <w:r w:rsidR="00F45670" w:rsidRPr="00F45670">
        <w:rPr>
          <w:rFonts w:ascii="Arial" w:hAnsi="Arial" w:cs="Browallia New"/>
          <w:color w:val="000000"/>
          <w:spacing w:val="-6"/>
          <w:sz w:val="20"/>
          <w:szCs w:val="25"/>
        </w:rPr>
        <w:t xml:space="preserve"> which calculated</w:t>
      </w:r>
      <w:r w:rsidR="00F45670">
        <w:rPr>
          <w:rFonts w:ascii="Arial" w:hAnsi="Arial" w:cs="Browallia New"/>
          <w:color w:val="000000"/>
          <w:spacing w:val="-2"/>
          <w:sz w:val="20"/>
          <w:szCs w:val="25"/>
        </w:rPr>
        <w:t xml:space="preserve"> using the discount rate at 10.66% per annum</w:t>
      </w:r>
      <w:r w:rsidR="00A868C9" w:rsidRPr="002D2F67">
        <w:rPr>
          <w:rFonts w:ascii="Arial" w:eastAsia="Cordia New" w:hAnsi="Arial" w:cs="Arial"/>
          <w:snapToGrid w:val="0"/>
          <w:color w:val="000000"/>
          <w:spacing w:val="-2"/>
          <w:sz w:val="20"/>
          <w:szCs w:val="20"/>
          <w:lang w:eastAsia="th-TH"/>
        </w:rPr>
        <w:t>.</w:t>
      </w:r>
    </w:p>
    <w:p w14:paraId="4C1AF318" w14:textId="77777777" w:rsidR="00C9548B" w:rsidRPr="002D2F67" w:rsidRDefault="00C9548B" w:rsidP="005611FE">
      <w:pPr>
        <w:rPr>
          <w:rFonts w:ascii="Arial" w:hAnsi="Arial" w:cs="Arial"/>
          <w:color w:val="000000"/>
          <w:sz w:val="18"/>
          <w:szCs w:val="18"/>
        </w:rPr>
      </w:pPr>
    </w:p>
    <w:tbl>
      <w:tblPr>
        <w:tblW w:w="0" w:type="auto"/>
        <w:tblInd w:w="115" w:type="dxa"/>
        <w:tblLayout w:type="fixed"/>
        <w:tblLook w:val="04A0" w:firstRow="1" w:lastRow="0" w:firstColumn="1" w:lastColumn="0" w:noHBand="0" w:noVBand="1"/>
      </w:tblPr>
      <w:tblGrid>
        <w:gridCol w:w="4277"/>
        <w:gridCol w:w="1296"/>
        <w:gridCol w:w="1296"/>
        <w:gridCol w:w="1296"/>
        <w:gridCol w:w="1296"/>
      </w:tblGrid>
      <w:tr w:rsidR="00E44CEE" w:rsidRPr="002D2F67" w14:paraId="60536EC8" w14:textId="77777777" w:rsidTr="002D2F67">
        <w:trPr>
          <w:trHeight w:val="53"/>
        </w:trPr>
        <w:tc>
          <w:tcPr>
            <w:tcW w:w="4277" w:type="dxa"/>
            <w:shd w:val="clear" w:color="auto" w:fill="auto"/>
          </w:tcPr>
          <w:p w14:paraId="2D82D2F7" w14:textId="77777777" w:rsidR="00E44CEE" w:rsidRPr="002D2F67" w:rsidRDefault="00E44CEE" w:rsidP="002D2F67">
            <w:pPr>
              <w:ind w:left="-86"/>
              <w:jc w:val="both"/>
              <w:rPr>
                <w:rFonts w:ascii="Arial" w:hAnsi="Arial" w:cs="Arial"/>
                <w:color w:val="000000"/>
                <w:sz w:val="20"/>
                <w:szCs w:val="20"/>
              </w:rPr>
            </w:pPr>
          </w:p>
        </w:tc>
        <w:tc>
          <w:tcPr>
            <w:tcW w:w="5184" w:type="dxa"/>
            <w:gridSpan w:val="4"/>
            <w:tcBorders>
              <w:bottom w:val="single" w:sz="4" w:space="0" w:color="auto"/>
            </w:tcBorders>
            <w:shd w:val="clear" w:color="auto" w:fill="auto"/>
          </w:tcPr>
          <w:p w14:paraId="0EE41DAF" w14:textId="77777777" w:rsidR="00E44CEE" w:rsidRPr="002D2F67" w:rsidRDefault="00E44CEE" w:rsidP="005611FE">
            <w:pPr>
              <w:ind w:right="-72"/>
              <w:jc w:val="right"/>
              <w:rPr>
                <w:rFonts w:ascii="Arial" w:hAnsi="Arial" w:cs="Arial"/>
                <w:b/>
                <w:bCs/>
                <w:color w:val="000000"/>
                <w:sz w:val="20"/>
                <w:szCs w:val="20"/>
              </w:rPr>
            </w:pPr>
            <w:r w:rsidRPr="002D2F67">
              <w:rPr>
                <w:rFonts w:ascii="Arial" w:hAnsi="Arial" w:cs="Arial"/>
                <w:b/>
                <w:bCs/>
                <w:color w:val="000000"/>
                <w:sz w:val="20"/>
                <w:szCs w:val="20"/>
              </w:rPr>
              <w:t>Separate financial statements</w:t>
            </w:r>
          </w:p>
        </w:tc>
      </w:tr>
      <w:tr w:rsidR="00E44CEE" w:rsidRPr="002D2F67" w14:paraId="2CC659EF" w14:textId="77777777" w:rsidTr="002D2F67">
        <w:trPr>
          <w:trHeight w:val="134"/>
        </w:trPr>
        <w:tc>
          <w:tcPr>
            <w:tcW w:w="4277" w:type="dxa"/>
            <w:shd w:val="clear" w:color="auto" w:fill="auto"/>
          </w:tcPr>
          <w:p w14:paraId="7BCDCEF0" w14:textId="77777777" w:rsidR="00E44CEE" w:rsidRPr="002D2F67" w:rsidRDefault="00E44CEE" w:rsidP="002D2F67">
            <w:pPr>
              <w:ind w:left="-86"/>
              <w:jc w:val="both"/>
              <w:rPr>
                <w:rFonts w:ascii="Arial" w:hAnsi="Arial" w:cs="Arial"/>
                <w:color w:val="000000"/>
                <w:sz w:val="20"/>
                <w:szCs w:val="20"/>
              </w:rPr>
            </w:pPr>
          </w:p>
        </w:tc>
        <w:tc>
          <w:tcPr>
            <w:tcW w:w="1296" w:type="dxa"/>
            <w:tcBorders>
              <w:top w:val="single" w:sz="4" w:space="0" w:color="auto"/>
            </w:tcBorders>
            <w:shd w:val="clear" w:color="auto" w:fill="auto"/>
            <w:vAlign w:val="bottom"/>
          </w:tcPr>
          <w:p w14:paraId="2188B6B0" w14:textId="77777777" w:rsidR="00E44CEE" w:rsidRPr="002D2F67" w:rsidRDefault="00E44CEE" w:rsidP="005611FE">
            <w:pPr>
              <w:ind w:right="-72"/>
              <w:jc w:val="right"/>
              <w:rPr>
                <w:rFonts w:ascii="Arial" w:hAnsi="Arial" w:cs="Arial"/>
                <w:b/>
                <w:bCs/>
                <w:color w:val="000000"/>
                <w:sz w:val="20"/>
                <w:szCs w:val="20"/>
                <w:cs/>
              </w:rPr>
            </w:pPr>
            <w:r w:rsidRPr="002D2F67">
              <w:rPr>
                <w:rFonts w:ascii="Arial" w:hAnsi="Arial" w:cs="Arial"/>
                <w:b/>
                <w:bCs/>
                <w:color w:val="000000"/>
                <w:sz w:val="20"/>
                <w:szCs w:val="20"/>
              </w:rPr>
              <w:t>Land</w:t>
            </w:r>
          </w:p>
        </w:tc>
        <w:tc>
          <w:tcPr>
            <w:tcW w:w="1296" w:type="dxa"/>
            <w:tcBorders>
              <w:top w:val="single" w:sz="4" w:space="0" w:color="auto"/>
            </w:tcBorders>
            <w:shd w:val="clear" w:color="auto" w:fill="auto"/>
            <w:vAlign w:val="bottom"/>
          </w:tcPr>
          <w:p w14:paraId="14D54E30" w14:textId="77777777" w:rsidR="00E44CEE" w:rsidRPr="002D2F67" w:rsidRDefault="00E44CEE" w:rsidP="005611FE">
            <w:pPr>
              <w:ind w:right="-72"/>
              <w:jc w:val="right"/>
              <w:rPr>
                <w:rFonts w:ascii="Arial" w:hAnsi="Arial" w:cs="Arial"/>
                <w:b/>
                <w:bCs/>
                <w:color w:val="000000"/>
                <w:sz w:val="20"/>
                <w:szCs w:val="20"/>
                <w:cs/>
              </w:rPr>
            </w:pPr>
            <w:r w:rsidRPr="002D2F67">
              <w:rPr>
                <w:rFonts w:ascii="Arial" w:hAnsi="Arial" w:cs="Arial"/>
                <w:b/>
                <w:bCs/>
                <w:color w:val="000000"/>
                <w:sz w:val="20"/>
                <w:szCs w:val="20"/>
              </w:rPr>
              <w:t>Building</w:t>
            </w:r>
          </w:p>
        </w:tc>
        <w:tc>
          <w:tcPr>
            <w:tcW w:w="1296" w:type="dxa"/>
            <w:tcBorders>
              <w:top w:val="single" w:sz="4" w:space="0" w:color="auto"/>
            </w:tcBorders>
            <w:shd w:val="clear" w:color="auto" w:fill="auto"/>
            <w:vAlign w:val="bottom"/>
          </w:tcPr>
          <w:p w14:paraId="56254F84" w14:textId="77777777" w:rsidR="00E44CEE" w:rsidRPr="002D2F67" w:rsidRDefault="00E44CEE" w:rsidP="005611FE">
            <w:pPr>
              <w:ind w:right="-72"/>
              <w:jc w:val="right"/>
              <w:rPr>
                <w:rFonts w:ascii="Arial" w:hAnsi="Arial" w:cs="Arial"/>
                <w:b/>
                <w:bCs/>
                <w:color w:val="000000"/>
                <w:sz w:val="20"/>
                <w:szCs w:val="20"/>
              </w:rPr>
            </w:pPr>
            <w:r w:rsidRPr="002D2F67">
              <w:rPr>
                <w:rFonts w:ascii="Arial" w:hAnsi="Arial" w:cs="Arial"/>
                <w:b/>
                <w:bCs/>
                <w:color w:val="000000"/>
                <w:sz w:val="20"/>
                <w:szCs w:val="20"/>
              </w:rPr>
              <w:t>Motor</w:t>
            </w:r>
          </w:p>
          <w:p w14:paraId="7068711D" w14:textId="77777777" w:rsidR="00E44CEE" w:rsidRPr="002D2F67" w:rsidRDefault="00E44CEE" w:rsidP="005611FE">
            <w:pPr>
              <w:ind w:right="-72"/>
              <w:jc w:val="right"/>
              <w:rPr>
                <w:rFonts w:ascii="Arial" w:hAnsi="Arial" w:cs="Arial"/>
                <w:b/>
                <w:bCs/>
                <w:color w:val="000000"/>
                <w:sz w:val="20"/>
                <w:szCs w:val="20"/>
                <w:cs/>
              </w:rPr>
            </w:pPr>
            <w:r w:rsidRPr="002D2F67">
              <w:rPr>
                <w:rFonts w:ascii="Arial" w:hAnsi="Arial" w:cs="Arial"/>
                <w:b/>
                <w:bCs/>
                <w:color w:val="000000"/>
                <w:sz w:val="20"/>
                <w:szCs w:val="20"/>
              </w:rPr>
              <w:t>vehicle</w:t>
            </w:r>
          </w:p>
        </w:tc>
        <w:tc>
          <w:tcPr>
            <w:tcW w:w="1296" w:type="dxa"/>
            <w:tcBorders>
              <w:top w:val="single" w:sz="4" w:space="0" w:color="auto"/>
            </w:tcBorders>
            <w:shd w:val="clear" w:color="auto" w:fill="auto"/>
            <w:vAlign w:val="bottom"/>
          </w:tcPr>
          <w:p w14:paraId="71C85088" w14:textId="77777777" w:rsidR="00E44CEE" w:rsidRPr="002D2F67" w:rsidRDefault="00E44CEE" w:rsidP="005611FE">
            <w:pPr>
              <w:ind w:right="-72"/>
              <w:jc w:val="right"/>
              <w:rPr>
                <w:rFonts w:ascii="Arial" w:hAnsi="Arial" w:cs="Arial"/>
                <w:b/>
                <w:bCs/>
                <w:color w:val="000000"/>
                <w:sz w:val="20"/>
                <w:szCs w:val="20"/>
              </w:rPr>
            </w:pPr>
            <w:r w:rsidRPr="002D2F67">
              <w:rPr>
                <w:rFonts w:ascii="Arial" w:hAnsi="Arial" w:cs="Arial"/>
                <w:b/>
                <w:bCs/>
                <w:color w:val="000000"/>
                <w:sz w:val="20"/>
                <w:szCs w:val="20"/>
              </w:rPr>
              <w:t>Total</w:t>
            </w:r>
          </w:p>
        </w:tc>
      </w:tr>
      <w:tr w:rsidR="00E44CEE" w:rsidRPr="002D2F67" w14:paraId="7857F2A6" w14:textId="77777777" w:rsidTr="002D2F67">
        <w:trPr>
          <w:trHeight w:val="63"/>
        </w:trPr>
        <w:tc>
          <w:tcPr>
            <w:tcW w:w="4277" w:type="dxa"/>
            <w:shd w:val="clear" w:color="auto" w:fill="auto"/>
          </w:tcPr>
          <w:p w14:paraId="5074E849" w14:textId="66A402D7" w:rsidR="00E44CEE" w:rsidRPr="002D2F67" w:rsidRDefault="00E44CEE" w:rsidP="002D2F67">
            <w:pPr>
              <w:ind w:left="-86"/>
              <w:jc w:val="both"/>
              <w:rPr>
                <w:rFonts w:ascii="Arial" w:hAnsi="Arial" w:cs="Arial"/>
                <w:color w:val="000000"/>
                <w:sz w:val="20"/>
                <w:szCs w:val="20"/>
              </w:rPr>
            </w:pPr>
          </w:p>
        </w:tc>
        <w:tc>
          <w:tcPr>
            <w:tcW w:w="1296" w:type="dxa"/>
            <w:tcBorders>
              <w:bottom w:val="single" w:sz="4" w:space="0" w:color="auto"/>
            </w:tcBorders>
            <w:shd w:val="clear" w:color="auto" w:fill="auto"/>
          </w:tcPr>
          <w:p w14:paraId="300016C8" w14:textId="61753EB0" w:rsidR="00E44CEE" w:rsidRPr="002D2F67" w:rsidRDefault="00E44CEE" w:rsidP="005611FE">
            <w:pPr>
              <w:ind w:right="-72"/>
              <w:jc w:val="right"/>
              <w:rPr>
                <w:rFonts w:ascii="Arial" w:hAnsi="Arial" w:cs="Arial"/>
                <w:color w:val="000000"/>
                <w:sz w:val="20"/>
                <w:szCs w:val="20"/>
                <w:cs/>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296" w:type="dxa"/>
            <w:tcBorders>
              <w:bottom w:val="single" w:sz="4" w:space="0" w:color="auto"/>
            </w:tcBorders>
            <w:shd w:val="clear" w:color="auto" w:fill="auto"/>
          </w:tcPr>
          <w:p w14:paraId="0E76BD78" w14:textId="0ACED6B1" w:rsidR="00E44CEE" w:rsidRPr="002D2F67" w:rsidRDefault="00E44CEE" w:rsidP="005611FE">
            <w:pPr>
              <w:ind w:right="-72"/>
              <w:jc w:val="right"/>
              <w:rPr>
                <w:rFonts w:ascii="Arial" w:hAnsi="Arial" w:cs="Arial"/>
                <w:color w:val="000000"/>
                <w:sz w:val="20"/>
                <w:szCs w:val="20"/>
                <w:cs/>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296" w:type="dxa"/>
            <w:tcBorders>
              <w:bottom w:val="single" w:sz="4" w:space="0" w:color="auto"/>
            </w:tcBorders>
            <w:shd w:val="clear" w:color="auto" w:fill="auto"/>
          </w:tcPr>
          <w:p w14:paraId="7C4F4AA7" w14:textId="5B6FA96E" w:rsidR="00E44CEE" w:rsidRPr="002D2F67" w:rsidRDefault="00E44CEE" w:rsidP="005611FE">
            <w:pPr>
              <w:ind w:right="-72"/>
              <w:jc w:val="right"/>
              <w:rPr>
                <w:rFonts w:ascii="Arial" w:hAnsi="Arial" w:cs="Arial"/>
                <w:color w:val="000000"/>
                <w:sz w:val="20"/>
                <w:szCs w:val="20"/>
                <w:cs/>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296" w:type="dxa"/>
            <w:tcBorders>
              <w:bottom w:val="single" w:sz="4" w:space="0" w:color="auto"/>
            </w:tcBorders>
            <w:shd w:val="clear" w:color="auto" w:fill="auto"/>
          </w:tcPr>
          <w:p w14:paraId="08EFF35D" w14:textId="65B498BD" w:rsidR="00E44CEE" w:rsidRPr="002D2F67" w:rsidRDefault="00E44CEE" w:rsidP="005611FE">
            <w:pPr>
              <w:ind w:right="-72"/>
              <w:jc w:val="right"/>
              <w:rPr>
                <w:rFonts w:ascii="Arial" w:hAnsi="Arial" w:cs="Arial"/>
                <w:color w:val="000000"/>
                <w:sz w:val="20"/>
                <w:szCs w:val="20"/>
                <w:cs/>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E44CEE" w:rsidRPr="002D2F67" w14:paraId="59E418D3" w14:textId="77777777" w:rsidTr="002D2F67">
        <w:tc>
          <w:tcPr>
            <w:tcW w:w="4277" w:type="dxa"/>
            <w:shd w:val="clear" w:color="auto" w:fill="auto"/>
          </w:tcPr>
          <w:p w14:paraId="6104CF87" w14:textId="77777777" w:rsidR="00E44CEE" w:rsidRPr="002D2F67" w:rsidRDefault="00E44CEE" w:rsidP="002D2F67">
            <w:pPr>
              <w:ind w:left="-86"/>
              <w:jc w:val="both"/>
              <w:rPr>
                <w:rFonts w:ascii="Arial" w:hAnsi="Arial" w:cs="Arial"/>
                <w:color w:val="000000"/>
                <w:sz w:val="20"/>
                <w:szCs w:val="20"/>
              </w:rPr>
            </w:pPr>
          </w:p>
        </w:tc>
        <w:tc>
          <w:tcPr>
            <w:tcW w:w="1296" w:type="dxa"/>
            <w:tcBorders>
              <w:top w:val="single" w:sz="4" w:space="0" w:color="auto"/>
            </w:tcBorders>
            <w:shd w:val="clear" w:color="auto" w:fill="auto"/>
          </w:tcPr>
          <w:p w14:paraId="109A4663" w14:textId="77777777" w:rsidR="00E44CEE" w:rsidRPr="002D2F67" w:rsidRDefault="00E44CEE" w:rsidP="005611FE">
            <w:pPr>
              <w:ind w:right="-72"/>
              <w:jc w:val="right"/>
              <w:rPr>
                <w:rFonts w:ascii="Arial" w:hAnsi="Arial" w:cs="Arial"/>
                <w:b/>
                <w:bCs/>
                <w:color w:val="000000"/>
                <w:sz w:val="20"/>
                <w:szCs w:val="20"/>
              </w:rPr>
            </w:pPr>
          </w:p>
        </w:tc>
        <w:tc>
          <w:tcPr>
            <w:tcW w:w="1296" w:type="dxa"/>
            <w:tcBorders>
              <w:top w:val="single" w:sz="4" w:space="0" w:color="auto"/>
            </w:tcBorders>
            <w:shd w:val="clear" w:color="auto" w:fill="auto"/>
          </w:tcPr>
          <w:p w14:paraId="098AFD5D" w14:textId="77777777" w:rsidR="00E44CEE" w:rsidRPr="002D2F67" w:rsidRDefault="00E44CEE" w:rsidP="005611FE">
            <w:pPr>
              <w:ind w:right="-72"/>
              <w:jc w:val="right"/>
              <w:rPr>
                <w:rFonts w:ascii="Arial" w:hAnsi="Arial" w:cs="Arial"/>
                <w:b/>
                <w:bCs/>
                <w:color w:val="000000"/>
                <w:sz w:val="20"/>
                <w:szCs w:val="20"/>
              </w:rPr>
            </w:pPr>
          </w:p>
        </w:tc>
        <w:tc>
          <w:tcPr>
            <w:tcW w:w="1296" w:type="dxa"/>
            <w:tcBorders>
              <w:top w:val="single" w:sz="4" w:space="0" w:color="auto"/>
            </w:tcBorders>
            <w:shd w:val="clear" w:color="auto" w:fill="auto"/>
          </w:tcPr>
          <w:p w14:paraId="34269182" w14:textId="77777777" w:rsidR="00E44CEE" w:rsidRPr="002D2F67" w:rsidRDefault="00E44CEE" w:rsidP="005611FE">
            <w:pPr>
              <w:ind w:right="-72"/>
              <w:jc w:val="right"/>
              <w:rPr>
                <w:rFonts w:ascii="Arial" w:hAnsi="Arial" w:cs="Arial"/>
                <w:b/>
                <w:bCs/>
                <w:color w:val="000000"/>
                <w:sz w:val="20"/>
                <w:szCs w:val="20"/>
              </w:rPr>
            </w:pPr>
          </w:p>
        </w:tc>
        <w:tc>
          <w:tcPr>
            <w:tcW w:w="1296" w:type="dxa"/>
            <w:tcBorders>
              <w:top w:val="single" w:sz="4" w:space="0" w:color="auto"/>
            </w:tcBorders>
            <w:shd w:val="clear" w:color="auto" w:fill="auto"/>
          </w:tcPr>
          <w:p w14:paraId="46A8EEF5" w14:textId="77777777" w:rsidR="00E44CEE" w:rsidRPr="002D2F67" w:rsidRDefault="00E44CEE" w:rsidP="005611FE">
            <w:pPr>
              <w:ind w:right="-72"/>
              <w:jc w:val="right"/>
              <w:rPr>
                <w:rFonts w:ascii="Arial" w:hAnsi="Arial" w:cs="Arial"/>
                <w:b/>
                <w:bCs/>
                <w:color w:val="000000"/>
                <w:sz w:val="20"/>
                <w:szCs w:val="20"/>
              </w:rPr>
            </w:pPr>
          </w:p>
        </w:tc>
      </w:tr>
      <w:tr w:rsidR="0009566C" w:rsidRPr="002D2F67" w14:paraId="6C41B643" w14:textId="77777777" w:rsidTr="002D2F67">
        <w:tc>
          <w:tcPr>
            <w:tcW w:w="4277" w:type="dxa"/>
            <w:shd w:val="clear" w:color="auto" w:fill="auto"/>
          </w:tcPr>
          <w:p w14:paraId="39EC1203" w14:textId="65D753D7" w:rsidR="0009566C" w:rsidRPr="002D2F67" w:rsidRDefault="0009566C" w:rsidP="002D2F67">
            <w:pPr>
              <w:ind w:left="-86"/>
              <w:jc w:val="both"/>
              <w:rPr>
                <w:rFonts w:ascii="Arial" w:hAnsi="Arial" w:cs="Arial"/>
                <w:color w:val="000000"/>
                <w:sz w:val="20"/>
                <w:szCs w:val="20"/>
              </w:rPr>
            </w:pPr>
            <w:r w:rsidRPr="002D2F67">
              <w:rPr>
                <w:rFonts w:ascii="Arial" w:hAnsi="Arial" w:cs="Arial"/>
                <w:b/>
                <w:bCs/>
                <w:color w:val="000000"/>
                <w:sz w:val="20"/>
                <w:szCs w:val="20"/>
              </w:rPr>
              <w:t xml:space="preserve">For the year ended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 </w:t>
            </w:r>
            <w:r w:rsidR="00CD5714" w:rsidRPr="00CD5714">
              <w:rPr>
                <w:rFonts w:ascii="Arial" w:hAnsi="Arial" w:cs="Arial"/>
                <w:b/>
                <w:bCs/>
                <w:color w:val="000000"/>
                <w:sz w:val="20"/>
                <w:szCs w:val="20"/>
                <w:lang w:val="en-GB"/>
              </w:rPr>
              <w:t>2023</w:t>
            </w:r>
          </w:p>
        </w:tc>
        <w:tc>
          <w:tcPr>
            <w:tcW w:w="1296" w:type="dxa"/>
            <w:shd w:val="clear" w:color="auto" w:fill="auto"/>
          </w:tcPr>
          <w:p w14:paraId="307BDEDF" w14:textId="77777777" w:rsidR="0009566C" w:rsidRPr="002D2F67" w:rsidRDefault="0009566C" w:rsidP="005611FE">
            <w:pPr>
              <w:ind w:right="-72"/>
              <w:jc w:val="right"/>
              <w:rPr>
                <w:rFonts w:ascii="Arial" w:hAnsi="Arial" w:cs="Arial"/>
                <w:b/>
                <w:bCs/>
                <w:color w:val="000000"/>
                <w:sz w:val="20"/>
                <w:szCs w:val="20"/>
              </w:rPr>
            </w:pPr>
          </w:p>
        </w:tc>
        <w:tc>
          <w:tcPr>
            <w:tcW w:w="1296" w:type="dxa"/>
            <w:shd w:val="clear" w:color="auto" w:fill="auto"/>
          </w:tcPr>
          <w:p w14:paraId="1B21EC6D" w14:textId="77777777" w:rsidR="0009566C" w:rsidRPr="002D2F67" w:rsidRDefault="0009566C" w:rsidP="005611FE">
            <w:pPr>
              <w:ind w:right="-72"/>
              <w:jc w:val="right"/>
              <w:rPr>
                <w:rFonts w:ascii="Arial" w:hAnsi="Arial" w:cs="Arial"/>
                <w:b/>
                <w:bCs/>
                <w:color w:val="000000"/>
                <w:sz w:val="20"/>
                <w:szCs w:val="20"/>
              </w:rPr>
            </w:pPr>
          </w:p>
        </w:tc>
        <w:tc>
          <w:tcPr>
            <w:tcW w:w="1296" w:type="dxa"/>
            <w:shd w:val="clear" w:color="auto" w:fill="auto"/>
          </w:tcPr>
          <w:p w14:paraId="7F77DC26" w14:textId="77777777" w:rsidR="0009566C" w:rsidRPr="002D2F67" w:rsidRDefault="0009566C" w:rsidP="005611FE">
            <w:pPr>
              <w:ind w:right="-72"/>
              <w:jc w:val="right"/>
              <w:rPr>
                <w:rFonts w:ascii="Arial" w:hAnsi="Arial" w:cs="Arial"/>
                <w:b/>
                <w:bCs/>
                <w:color w:val="000000"/>
                <w:sz w:val="20"/>
                <w:szCs w:val="20"/>
              </w:rPr>
            </w:pPr>
          </w:p>
        </w:tc>
        <w:tc>
          <w:tcPr>
            <w:tcW w:w="1296" w:type="dxa"/>
            <w:shd w:val="clear" w:color="auto" w:fill="auto"/>
          </w:tcPr>
          <w:p w14:paraId="344593BE" w14:textId="77777777" w:rsidR="0009566C" w:rsidRPr="002D2F67" w:rsidRDefault="0009566C" w:rsidP="005611FE">
            <w:pPr>
              <w:ind w:right="-72"/>
              <w:jc w:val="right"/>
              <w:rPr>
                <w:rFonts w:ascii="Arial" w:hAnsi="Arial" w:cs="Arial"/>
                <w:b/>
                <w:bCs/>
                <w:color w:val="000000"/>
                <w:sz w:val="20"/>
                <w:szCs w:val="20"/>
              </w:rPr>
            </w:pPr>
          </w:p>
        </w:tc>
      </w:tr>
      <w:tr w:rsidR="00E44CEE" w:rsidRPr="002D2F67" w14:paraId="4A535869" w14:textId="77777777" w:rsidTr="002D2F67">
        <w:tc>
          <w:tcPr>
            <w:tcW w:w="4277" w:type="dxa"/>
            <w:shd w:val="clear" w:color="auto" w:fill="auto"/>
          </w:tcPr>
          <w:p w14:paraId="1E993F1B" w14:textId="77777777" w:rsidR="00E44CEE" w:rsidRPr="002D2F67" w:rsidRDefault="00E44CEE" w:rsidP="002D2F67">
            <w:pPr>
              <w:ind w:left="-86"/>
              <w:jc w:val="both"/>
              <w:rPr>
                <w:rFonts w:ascii="Arial" w:hAnsi="Arial" w:cs="Arial"/>
                <w:b/>
                <w:bCs/>
                <w:color w:val="000000"/>
                <w:sz w:val="20"/>
                <w:szCs w:val="20"/>
              </w:rPr>
            </w:pPr>
            <w:r w:rsidRPr="002D2F67">
              <w:rPr>
                <w:rFonts w:ascii="Arial" w:hAnsi="Arial" w:cs="Arial"/>
                <w:color w:val="000000"/>
                <w:sz w:val="20"/>
                <w:szCs w:val="20"/>
              </w:rPr>
              <w:t>Opening net book value</w:t>
            </w:r>
          </w:p>
        </w:tc>
        <w:tc>
          <w:tcPr>
            <w:tcW w:w="1296" w:type="dxa"/>
            <w:shd w:val="clear" w:color="auto" w:fill="auto"/>
          </w:tcPr>
          <w:p w14:paraId="7816AA39" w14:textId="628FDC0D" w:rsidR="00E44CEE"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249</w:t>
            </w:r>
            <w:r w:rsidR="00E44CEE" w:rsidRPr="002D2F67">
              <w:rPr>
                <w:rFonts w:ascii="Arial" w:hAnsi="Arial" w:cs="Arial"/>
                <w:color w:val="000000"/>
                <w:sz w:val="20"/>
                <w:szCs w:val="20"/>
              </w:rPr>
              <w:t>,</w:t>
            </w:r>
            <w:r w:rsidRPr="00CD5714">
              <w:rPr>
                <w:rFonts w:ascii="Arial" w:hAnsi="Arial" w:cs="Arial"/>
                <w:color w:val="000000"/>
                <w:sz w:val="20"/>
                <w:szCs w:val="20"/>
                <w:lang w:val="en-GB"/>
              </w:rPr>
              <w:t>537</w:t>
            </w:r>
          </w:p>
        </w:tc>
        <w:tc>
          <w:tcPr>
            <w:tcW w:w="1296" w:type="dxa"/>
            <w:shd w:val="clear" w:color="auto" w:fill="auto"/>
          </w:tcPr>
          <w:p w14:paraId="188D4E7C" w14:textId="6040FCEE" w:rsidR="00E44CEE"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25</w:t>
            </w:r>
            <w:r w:rsidR="00E44CEE" w:rsidRPr="002D2F67">
              <w:rPr>
                <w:rFonts w:ascii="Arial" w:hAnsi="Arial" w:cs="Arial"/>
                <w:color w:val="000000"/>
                <w:sz w:val="20"/>
                <w:szCs w:val="20"/>
              </w:rPr>
              <w:t>,</w:t>
            </w:r>
            <w:r w:rsidRPr="00CD5714">
              <w:rPr>
                <w:rFonts w:ascii="Arial" w:hAnsi="Arial" w:cs="Arial"/>
                <w:color w:val="000000"/>
                <w:sz w:val="20"/>
                <w:szCs w:val="20"/>
                <w:lang w:val="en-GB"/>
              </w:rPr>
              <w:t>913</w:t>
            </w:r>
          </w:p>
        </w:tc>
        <w:tc>
          <w:tcPr>
            <w:tcW w:w="1296" w:type="dxa"/>
            <w:shd w:val="clear" w:color="auto" w:fill="auto"/>
          </w:tcPr>
          <w:p w14:paraId="0008B59B" w14:textId="381BFE0E" w:rsidR="00E44CEE"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5</w:t>
            </w:r>
            <w:r w:rsidR="00E44CEE" w:rsidRPr="002D2F67">
              <w:rPr>
                <w:rFonts w:ascii="Arial" w:hAnsi="Arial" w:cs="Arial"/>
                <w:color w:val="000000"/>
                <w:sz w:val="20"/>
                <w:szCs w:val="20"/>
              </w:rPr>
              <w:t>,</w:t>
            </w:r>
            <w:r w:rsidRPr="00CD5714">
              <w:rPr>
                <w:rFonts w:ascii="Arial" w:hAnsi="Arial" w:cs="Arial"/>
                <w:color w:val="000000"/>
                <w:sz w:val="20"/>
                <w:szCs w:val="20"/>
                <w:lang w:val="en-GB"/>
              </w:rPr>
              <w:t>723</w:t>
            </w:r>
          </w:p>
        </w:tc>
        <w:tc>
          <w:tcPr>
            <w:tcW w:w="1296" w:type="dxa"/>
            <w:shd w:val="clear" w:color="auto" w:fill="auto"/>
          </w:tcPr>
          <w:p w14:paraId="692BA484" w14:textId="16C6BA1C" w:rsidR="00E44CEE"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281</w:t>
            </w:r>
            <w:r w:rsidR="00E44CEE" w:rsidRPr="002D2F67">
              <w:rPr>
                <w:rFonts w:ascii="Arial" w:hAnsi="Arial" w:cs="Arial"/>
                <w:color w:val="000000"/>
                <w:sz w:val="20"/>
                <w:szCs w:val="20"/>
              </w:rPr>
              <w:t>,</w:t>
            </w:r>
            <w:r w:rsidRPr="00CD5714">
              <w:rPr>
                <w:rFonts w:ascii="Arial" w:hAnsi="Arial" w:cs="Arial"/>
                <w:color w:val="000000"/>
                <w:sz w:val="20"/>
                <w:szCs w:val="20"/>
                <w:lang w:val="en-GB"/>
              </w:rPr>
              <w:t>173</w:t>
            </w:r>
          </w:p>
        </w:tc>
      </w:tr>
      <w:tr w:rsidR="00E44CEE" w:rsidRPr="002D2F67" w14:paraId="5B91E19A" w14:textId="77777777" w:rsidTr="002D2F67">
        <w:trPr>
          <w:trHeight w:val="63"/>
        </w:trPr>
        <w:tc>
          <w:tcPr>
            <w:tcW w:w="4277" w:type="dxa"/>
            <w:shd w:val="clear" w:color="auto" w:fill="auto"/>
          </w:tcPr>
          <w:p w14:paraId="7A73904E" w14:textId="77777777" w:rsidR="00E44CEE" w:rsidRPr="002D2F67" w:rsidRDefault="00E44CEE" w:rsidP="002D2F67">
            <w:pPr>
              <w:ind w:left="-86"/>
              <w:jc w:val="both"/>
              <w:rPr>
                <w:rFonts w:ascii="Arial" w:hAnsi="Arial" w:cs="Arial"/>
                <w:color w:val="000000"/>
                <w:sz w:val="20"/>
                <w:szCs w:val="20"/>
              </w:rPr>
            </w:pPr>
            <w:r w:rsidRPr="002D2F67">
              <w:rPr>
                <w:rFonts w:ascii="Arial" w:hAnsi="Arial" w:cs="Arial"/>
                <w:color w:val="000000"/>
                <w:sz w:val="20"/>
                <w:szCs w:val="20"/>
              </w:rPr>
              <w:t>Additions</w:t>
            </w:r>
          </w:p>
        </w:tc>
        <w:tc>
          <w:tcPr>
            <w:tcW w:w="1296" w:type="dxa"/>
            <w:shd w:val="clear" w:color="auto" w:fill="auto"/>
            <w:vAlign w:val="bottom"/>
          </w:tcPr>
          <w:p w14:paraId="3E73EA36" w14:textId="77777777" w:rsidR="00E44CEE" w:rsidRPr="002D2F67" w:rsidRDefault="00E44CEE"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296" w:type="dxa"/>
            <w:shd w:val="clear" w:color="auto" w:fill="auto"/>
            <w:vAlign w:val="bottom"/>
          </w:tcPr>
          <w:p w14:paraId="7FECE66A" w14:textId="77777777" w:rsidR="00E44CEE" w:rsidRPr="002D2F67" w:rsidRDefault="00E44CEE"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296" w:type="dxa"/>
            <w:shd w:val="clear" w:color="auto" w:fill="auto"/>
            <w:vAlign w:val="bottom"/>
          </w:tcPr>
          <w:p w14:paraId="3E5077AE" w14:textId="04B6561C" w:rsidR="00E44CEE"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403</w:t>
            </w:r>
          </w:p>
        </w:tc>
        <w:tc>
          <w:tcPr>
            <w:tcW w:w="1296" w:type="dxa"/>
            <w:shd w:val="clear" w:color="auto" w:fill="auto"/>
            <w:vAlign w:val="bottom"/>
          </w:tcPr>
          <w:p w14:paraId="300C1BC3" w14:textId="6D028812" w:rsidR="00E44CEE"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403</w:t>
            </w:r>
          </w:p>
        </w:tc>
      </w:tr>
      <w:tr w:rsidR="00E44CEE" w:rsidRPr="002D2F67" w14:paraId="10C0B216" w14:textId="77777777" w:rsidTr="002D2F67">
        <w:trPr>
          <w:trHeight w:val="63"/>
        </w:trPr>
        <w:tc>
          <w:tcPr>
            <w:tcW w:w="4277" w:type="dxa"/>
            <w:shd w:val="clear" w:color="auto" w:fill="auto"/>
          </w:tcPr>
          <w:p w14:paraId="0688C204" w14:textId="77777777" w:rsidR="00E44CEE" w:rsidRPr="002D2F67" w:rsidRDefault="00E44CEE" w:rsidP="002D2F67">
            <w:pPr>
              <w:ind w:left="-86"/>
              <w:jc w:val="both"/>
              <w:rPr>
                <w:rFonts w:ascii="Arial" w:hAnsi="Arial" w:cs="Arial"/>
                <w:color w:val="000000"/>
                <w:sz w:val="20"/>
                <w:szCs w:val="20"/>
              </w:rPr>
            </w:pPr>
            <w:r w:rsidRPr="002D2F67">
              <w:rPr>
                <w:rFonts w:ascii="Arial" w:hAnsi="Arial" w:cs="Arial"/>
                <w:color w:val="000000"/>
                <w:sz w:val="20"/>
                <w:szCs w:val="20"/>
              </w:rPr>
              <w:t>Depreciation charged</w:t>
            </w:r>
          </w:p>
        </w:tc>
        <w:tc>
          <w:tcPr>
            <w:tcW w:w="1296" w:type="dxa"/>
            <w:tcBorders>
              <w:bottom w:val="single" w:sz="4" w:space="0" w:color="auto"/>
            </w:tcBorders>
            <w:shd w:val="clear" w:color="auto" w:fill="auto"/>
            <w:vAlign w:val="bottom"/>
          </w:tcPr>
          <w:p w14:paraId="4787CA9A" w14:textId="311F4158" w:rsidR="00E44CEE" w:rsidRPr="002D2F67" w:rsidRDefault="00E44CEE"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12</w:t>
            </w:r>
            <w:r w:rsidRPr="002D2F67">
              <w:rPr>
                <w:rFonts w:ascii="Arial" w:hAnsi="Arial" w:cs="Arial"/>
                <w:color w:val="000000"/>
                <w:sz w:val="20"/>
                <w:szCs w:val="20"/>
              </w:rPr>
              <w:t>,</w:t>
            </w:r>
            <w:r w:rsidR="00CD5714" w:rsidRPr="00CD5714">
              <w:rPr>
                <w:rFonts w:ascii="Arial" w:hAnsi="Arial" w:cs="Arial"/>
                <w:color w:val="000000"/>
                <w:sz w:val="20"/>
                <w:szCs w:val="20"/>
                <w:lang w:val="en-GB"/>
              </w:rPr>
              <w:t>540</w:t>
            </w:r>
            <w:r w:rsidRPr="002D2F67">
              <w:rPr>
                <w:rFonts w:ascii="Arial" w:hAnsi="Arial" w:cs="Arial"/>
                <w:color w:val="000000"/>
                <w:sz w:val="20"/>
                <w:szCs w:val="20"/>
              </w:rPr>
              <w:t>)</w:t>
            </w:r>
          </w:p>
        </w:tc>
        <w:tc>
          <w:tcPr>
            <w:tcW w:w="1296" w:type="dxa"/>
            <w:tcBorders>
              <w:bottom w:val="single" w:sz="4" w:space="0" w:color="auto"/>
            </w:tcBorders>
            <w:shd w:val="clear" w:color="auto" w:fill="auto"/>
            <w:vAlign w:val="bottom"/>
          </w:tcPr>
          <w:p w14:paraId="3F7443CC" w14:textId="5A4F9811" w:rsidR="00E44CEE" w:rsidRPr="002D2F67" w:rsidRDefault="00E44CEE"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11</w:t>
            </w:r>
            <w:r w:rsidRPr="002D2F67">
              <w:rPr>
                <w:rFonts w:ascii="Arial" w:hAnsi="Arial" w:cs="Arial"/>
                <w:color w:val="000000"/>
                <w:sz w:val="20"/>
                <w:szCs w:val="20"/>
              </w:rPr>
              <w:t>,</w:t>
            </w:r>
            <w:r w:rsidR="00CD5714" w:rsidRPr="00CD5714">
              <w:rPr>
                <w:rFonts w:ascii="Arial" w:hAnsi="Arial" w:cs="Arial"/>
                <w:color w:val="000000"/>
                <w:sz w:val="20"/>
                <w:szCs w:val="20"/>
                <w:lang w:val="en-GB"/>
              </w:rPr>
              <w:t>645</w:t>
            </w:r>
            <w:r w:rsidRPr="002D2F67">
              <w:rPr>
                <w:rFonts w:ascii="Arial" w:hAnsi="Arial" w:cs="Arial"/>
                <w:color w:val="000000"/>
                <w:sz w:val="20"/>
                <w:szCs w:val="20"/>
              </w:rPr>
              <w:t>)</w:t>
            </w:r>
          </w:p>
        </w:tc>
        <w:tc>
          <w:tcPr>
            <w:tcW w:w="1296" w:type="dxa"/>
            <w:tcBorders>
              <w:bottom w:val="single" w:sz="4" w:space="0" w:color="auto"/>
            </w:tcBorders>
            <w:shd w:val="clear" w:color="auto" w:fill="auto"/>
            <w:vAlign w:val="bottom"/>
          </w:tcPr>
          <w:p w14:paraId="6A59B862" w14:textId="4D85655B" w:rsidR="00E44CEE" w:rsidRPr="002D2F67" w:rsidRDefault="00E44CEE"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w:t>
            </w:r>
            <w:r w:rsidRPr="002D2F67">
              <w:rPr>
                <w:rFonts w:ascii="Arial" w:hAnsi="Arial" w:cs="Arial"/>
                <w:color w:val="000000"/>
                <w:sz w:val="20"/>
                <w:szCs w:val="20"/>
              </w:rPr>
              <w:t>,</w:t>
            </w:r>
            <w:r w:rsidR="00CD5714" w:rsidRPr="00CD5714">
              <w:rPr>
                <w:rFonts w:ascii="Arial" w:hAnsi="Arial" w:cs="Arial"/>
                <w:color w:val="000000"/>
                <w:sz w:val="20"/>
                <w:szCs w:val="20"/>
                <w:lang w:val="en-GB"/>
              </w:rPr>
              <w:t>613</w:t>
            </w:r>
            <w:r w:rsidRPr="002D2F67">
              <w:rPr>
                <w:rFonts w:ascii="Arial" w:hAnsi="Arial" w:cs="Arial"/>
                <w:color w:val="000000"/>
                <w:sz w:val="20"/>
                <w:szCs w:val="20"/>
              </w:rPr>
              <w:t>)</w:t>
            </w:r>
          </w:p>
        </w:tc>
        <w:tc>
          <w:tcPr>
            <w:tcW w:w="1296" w:type="dxa"/>
            <w:tcBorders>
              <w:bottom w:val="single" w:sz="4" w:space="0" w:color="auto"/>
            </w:tcBorders>
            <w:shd w:val="clear" w:color="auto" w:fill="auto"/>
            <w:vAlign w:val="bottom"/>
          </w:tcPr>
          <w:p w14:paraId="0F036830" w14:textId="44D19890" w:rsidR="00E44CEE" w:rsidRPr="002D2F67" w:rsidRDefault="00E44CEE"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25</w:t>
            </w:r>
            <w:r w:rsidRPr="002D2F67">
              <w:rPr>
                <w:rFonts w:ascii="Arial" w:hAnsi="Arial" w:cs="Arial"/>
                <w:color w:val="000000"/>
                <w:sz w:val="20"/>
                <w:szCs w:val="20"/>
              </w:rPr>
              <w:t>,</w:t>
            </w:r>
            <w:r w:rsidR="00CD5714" w:rsidRPr="00CD5714">
              <w:rPr>
                <w:rFonts w:ascii="Arial" w:hAnsi="Arial" w:cs="Arial"/>
                <w:color w:val="000000"/>
                <w:sz w:val="20"/>
                <w:szCs w:val="20"/>
                <w:lang w:val="en-GB"/>
              </w:rPr>
              <w:t>798</w:t>
            </w:r>
            <w:r w:rsidRPr="002D2F67">
              <w:rPr>
                <w:rFonts w:ascii="Arial" w:hAnsi="Arial" w:cs="Arial"/>
                <w:color w:val="000000"/>
                <w:sz w:val="20"/>
                <w:szCs w:val="20"/>
              </w:rPr>
              <w:t>)</w:t>
            </w:r>
          </w:p>
        </w:tc>
      </w:tr>
      <w:tr w:rsidR="00E44CEE" w:rsidRPr="002D2F67" w14:paraId="554BD5C1" w14:textId="77777777" w:rsidTr="002D2F67">
        <w:trPr>
          <w:trHeight w:val="53"/>
        </w:trPr>
        <w:tc>
          <w:tcPr>
            <w:tcW w:w="4277" w:type="dxa"/>
            <w:shd w:val="clear" w:color="auto" w:fill="auto"/>
          </w:tcPr>
          <w:p w14:paraId="4B7CB5C1" w14:textId="77777777" w:rsidR="00E44CEE" w:rsidRPr="002D2F67" w:rsidRDefault="00E44CEE" w:rsidP="002D2F67">
            <w:pPr>
              <w:ind w:left="-86"/>
              <w:jc w:val="both"/>
              <w:rPr>
                <w:rFonts w:ascii="Arial" w:hAnsi="Arial" w:cs="Arial"/>
                <w:color w:val="000000"/>
                <w:sz w:val="20"/>
                <w:szCs w:val="20"/>
              </w:rPr>
            </w:pPr>
          </w:p>
        </w:tc>
        <w:tc>
          <w:tcPr>
            <w:tcW w:w="1296" w:type="dxa"/>
            <w:tcBorders>
              <w:top w:val="single" w:sz="4" w:space="0" w:color="auto"/>
            </w:tcBorders>
            <w:shd w:val="clear" w:color="auto" w:fill="auto"/>
          </w:tcPr>
          <w:p w14:paraId="0A559D0F" w14:textId="77777777" w:rsidR="00E44CEE" w:rsidRPr="002D2F67" w:rsidRDefault="00E44CEE" w:rsidP="005611FE">
            <w:pPr>
              <w:ind w:right="-72"/>
              <w:jc w:val="right"/>
              <w:rPr>
                <w:rFonts w:ascii="Arial" w:hAnsi="Arial" w:cs="Arial"/>
                <w:color w:val="000000"/>
                <w:sz w:val="20"/>
                <w:szCs w:val="20"/>
              </w:rPr>
            </w:pPr>
          </w:p>
        </w:tc>
        <w:tc>
          <w:tcPr>
            <w:tcW w:w="1296" w:type="dxa"/>
            <w:tcBorders>
              <w:top w:val="single" w:sz="4" w:space="0" w:color="auto"/>
            </w:tcBorders>
            <w:shd w:val="clear" w:color="auto" w:fill="auto"/>
          </w:tcPr>
          <w:p w14:paraId="11770A2A" w14:textId="77777777" w:rsidR="00E44CEE" w:rsidRPr="002D2F67" w:rsidRDefault="00E44CEE" w:rsidP="005611FE">
            <w:pPr>
              <w:ind w:right="-72"/>
              <w:jc w:val="right"/>
              <w:rPr>
                <w:rFonts w:ascii="Arial" w:hAnsi="Arial" w:cs="Arial"/>
                <w:color w:val="000000"/>
                <w:sz w:val="20"/>
                <w:szCs w:val="20"/>
              </w:rPr>
            </w:pPr>
          </w:p>
        </w:tc>
        <w:tc>
          <w:tcPr>
            <w:tcW w:w="1296" w:type="dxa"/>
            <w:tcBorders>
              <w:top w:val="single" w:sz="4" w:space="0" w:color="auto"/>
            </w:tcBorders>
            <w:shd w:val="clear" w:color="auto" w:fill="auto"/>
          </w:tcPr>
          <w:p w14:paraId="1ECDAC33" w14:textId="77777777" w:rsidR="00E44CEE" w:rsidRPr="002D2F67" w:rsidRDefault="00E44CEE" w:rsidP="005611FE">
            <w:pPr>
              <w:ind w:right="-72"/>
              <w:jc w:val="right"/>
              <w:rPr>
                <w:rFonts w:ascii="Arial" w:hAnsi="Arial" w:cs="Arial"/>
                <w:color w:val="000000"/>
                <w:sz w:val="20"/>
                <w:szCs w:val="20"/>
              </w:rPr>
            </w:pPr>
          </w:p>
        </w:tc>
        <w:tc>
          <w:tcPr>
            <w:tcW w:w="1296" w:type="dxa"/>
            <w:tcBorders>
              <w:top w:val="single" w:sz="4" w:space="0" w:color="auto"/>
            </w:tcBorders>
            <w:shd w:val="clear" w:color="auto" w:fill="auto"/>
          </w:tcPr>
          <w:p w14:paraId="5353EA2E" w14:textId="77777777" w:rsidR="00E44CEE" w:rsidRPr="002D2F67" w:rsidRDefault="00E44CEE" w:rsidP="005611FE">
            <w:pPr>
              <w:ind w:right="-72"/>
              <w:jc w:val="right"/>
              <w:rPr>
                <w:rFonts w:ascii="Arial" w:hAnsi="Arial" w:cs="Arial"/>
                <w:color w:val="000000"/>
                <w:sz w:val="20"/>
                <w:szCs w:val="20"/>
              </w:rPr>
            </w:pPr>
          </w:p>
        </w:tc>
      </w:tr>
      <w:tr w:rsidR="00E44CEE" w:rsidRPr="002D2F67" w14:paraId="01DCD1BB" w14:textId="77777777" w:rsidTr="002D2F67">
        <w:trPr>
          <w:trHeight w:val="63"/>
        </w:trPr>
        <w:tc>
          <w:tcPr>
            <w:tcW w:w="4277" w:type="dxa"/>
            <w:shd w:val="clear" w:color="auto" w:fill="auto"/>
          </w:tcPr>
          <w:p w14:paraId="59542E4B" w14:textId="77777777" w:rsidR="00E44CEE" w:rsidRPr="002D2F67" w:rsidRDefault="00E44CEE" w:rsidP="002D2F67">
            <w:pPr>
              <w:ind w:left="-86"/>
              <w:jc w:val="both"/>
              <w:rPr>
                <w:rFonts w:ascii="Arial" w:hAnsi="Arial" w:cs="Arial"/>
                <w:color w:val="000000"/>
                <w:sz w:val="20"/>
                <w:szCs w:val="20"/>
              </w:rPr>
            </w:pPr>
            <w:r w:rsidRPr="002D2F67">
              <w:rPr>
                <w:rFonts w:ascii="Arial" w:hAnsi="Arial" w:cs="Arial"/>
                <w:color w:val="000000"/>
                <w:sz w:val="20"/>
                <w:szCs w:val="20"/>
              </w:rPr>
              <w:t>Closing net book value</w:t>
            </w:r>
          </w:p>
        </w:tc>
        <w:tc>
          <w:tcPr>
            <w:tcW w:w="1296" w:type="dxa"/>
            <w:tcBorders>
              <w:bottom w:val="single" w:sz="4" w:space="0" w:color="auto"/>
            </w:tcBorders>
            <w:shd w:val="clear" w:color="auto" w:fill="auto"/>
            <w:vAlign w:val="bottom"/>
          </w:tcPr>
          <w:p w14:paraId="0D80E3A4" w14:textId="78A6D455" w:rsidR="00E44CEE"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236</w:t>
            </w:r>
            <w:r w:rsidR="00E44CEE" w:rsidRPr="002D2F67">
              <w:rPr>
                <w:rFonts w:ascii="Arial" w:hAnsi="Arial" w:cs="Arial"/>
                <w:color w:val="000000"/>
                <w:sz w:val="20"/>
                <w:szCs w:val="20"/>
              </w:rPr>
              <w:t>,</w:t>
            </w:r>
            <w:r w:rsidRPr="00CD5714">
              <w:rPr>
                <w:rFonts w:ascii="Arial" w:hAnsi="Arial" w:cs="Arial"/>
                <w:color w:val="000000"/>
                <w:sz w:val="20"/>
                <w:szCs w:val="20"/>
                <w:lang w:val="en-GB"/>
              </w:rPr>
              <w:t>997</w:t>
            </w:r>
          </w:p>
        </w:tc>
        <w:tc>
          <w:tcPr>
            <w:tcW w:w="1296" w:type="dxa"/>
            <w:tcBorders>
              <w:bottom w:val="single" w:sz="4" w:space="0" w:color="auto"/>
            </w:tcBorders>
            <w:shd w:val="clear" w:color="auto" w:fill="auto"/>
            <w:vAlign w:val="bottom"/>
          </w:tcPr>
          <w:p w14:paraId="24A9CFBD" w14:textId="192653BA" w:rsidR="00E44CEE"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14</w:t>
            </w:r>
            <w:r w:rsidR="00E44CEE" w:rsidRPr="002D2F67">
              <w:rPr>
                <w:rFonts w:ascii="Arial" w:hAnsi="Arial" w:cs="Arial"/>
                <w:color w:val="000000"/>
                <w:sz w:val="20"/>
                <w:szCs w:val="20"/>
              </w:rPr>
              <w:t>,</w:t>
            </w:r>
            <w:r w:rsidRPr="00CD5714">
              <w:rPr>
                <w:rFonts w:ascii="Arial" w:hAnsi="Arial" w:cs="Arial"/>
                <w:color w:val="000000"/>
                <w:sz w:val="20"/>
                <w:szCs w:val="20"/>
                <w:lang w:val="en-GB"/>
              </w:rPr>
              <w:t>268</w:t>
            </w:r>
          </w:p>
        </w:tc>
        <w:tc>
          <w:tcPr>
            <w:tcW w:w="1296" w:type="dxa"/>
            <w:tcBorders>
              <w:bottom w:val="single" w:sz="4" w:space="0" w:color="auto"/>
            </w:tcBorders>
            <w:shd w:val="clear" w:color="auto" w:fill="auto"/>
            <w:vAlign w:val="bottom"/>
          </w:tcPr>
          <w:p w14:paraId="2193523D" w14:textId="5BDE105B" w:rsidR="00E44CEE"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w:t>
            </w:r>
            <w:r w:rsidR="00E44CEE" w:rsidRPr="002D2F67">
              <w:rPr>
                <w:rFonts w:ascii="Arial" w:hAnsi="Arial" w:cs="Arial"/>
                <w:color w:val="000000"/>
                <w:sz w:val="20"/>
                <w:szCs w:val="20"/>
              </w:rPr>
              <w:t>,</w:t>
            </w:r>
            <w:r w:rsidRPr="00CD5714">
              <w:rPr>
                <w:rFonts w:ascii="Arial" w:hAnsi="Arial" w:cs="Arial"/>
                <w:color w:val="000000"/>
                <w:sz w:val="20"/>
                <w:szCs w:val="20"/>
                <w:lang w:val="en-GB"/>
              </w:rPr>
              <w:t>513</w:t>
            </w:r>
          </w:p>
        </w:tc>
        <w:tc>
          <w:tcPr>
            <w:tcW w:w="1296" w:type="dxa"/>
            <w:tcBorders>
              <w:bottom w:val="single" w:sz="4" w:space="0" w:color="auto"/>
            </w:tcBorders>
            <w:shd w:val="clear" w:color="auto" w:fill="auto"/>
            <w:vAlign w:val="bottom"/>
          </w:tcPr>
          <w:p w14:paraId="2BC6BA10" w14:textId="7646ECAA" w:rsidR="00E44CEE"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255</w:t>
            </w:r>
            <w:r w:rsidR="00E44CEE" w:rsidRPr="002D2F67">
              <w:rPr>
                <w:rFonts w:ascii="Arial" w:hAnsi="Arial" w:cs="Arial"/>
                <w:color w:val="000000"/>
                <w:sz w:val="20"/>
                <w:szCs w:val="20"/>
              </w:rPr>
              <w:t>,</w:t>
            </w:r>
            <w:r w:rsidRPr="00CD5714">
              <w:rPr>
                <w:rFonts w:ascii="Arial" w:hAnsi="Arial" w:cs="Arial"/>
                <w:color w:val="000000"/>
                <w:sz w:val="20"/>
                <w:szCs w:val="20"/>
                <w:lang w:val="en-GB"/>
              </w:rPr>
              <w:t>778</w:t>
            </w:r>
          </w:p>
        </w:tc>
      </w:tr>
      <w:tr w:rsidR="00467CAF" w:rsidRPr="002D2F67" w14:paraId="26C36208" w14:textId="77777777" w:rsidTr="002D2F67">
        <w:trPr>
          <w:trHeight w:val="63"/>
        </w:trPr>
        <w:tc>
          <w:tcPr>
            <w:tcW w:w="4277" w:type="dxa"/>
            <w:shd w:val="clear" w:color="auto" w:fill="auto"/>
          </w:tcPr>
          <w:p w14:paraId="50BD334B" w14:textId="77777777" w:rsidR="00467CAF" w:rsidRPr="002D2F67" w:rsidRDefault="00467CAF" w:rsidP="002D2F67">
            <w:pPr>
              <w:ind w:left="-86"/>
              <w:jc w:val="both"/>
              <w:rPr>
                <w:rFonts w:ascii="Arial" w:hAnsi="Arial" w:cs="Arial"/>
                <w:color w:val="000000"/>
                <w:sz w:val="20"/>
                <w:szCs w:val="20"/>
              </w:rPr>
            </w:pPr>
          </w:p>
        </w:tc>
        <w:tc>
          <w:tcPr>
            <w:tcW w:w="1296" w:type="dxa"/>
            <w:tcBorders>
              <w:top w:val="single" w:sz="4" w:space="0" w:color="auto"/>
            </w:tcBorders>
            <w:shd w:val="clear" w:color="auto" w:fill="auto"/>
            <w:vAlign w:val="bottom"/>
          </w:tcPr>
          <w:p w14:paraId="0565AC2D" w14:textId="77777777" w:rsidR="00467CAF" w:rsidRPr="002D2F67" w:rsidRDefault="00467CAF" w:rsidP="005611FE">
            <w:pPr>
              <w:ind w:right="-72"/>
              <w:jc w:val="right"/>
              <w:rPr>
                <w:rFonts w:ascii="Arial" w:hAnsi="Arial" w:cs="Arial"/>
                <w:color w:val="000000"/>
                <w:sz w:val="20"/>
                <w:szCs w:val="20"/>
              </w:rPr>
            </w:pPr>
          </w:p>
        </w:tc>
        <w:tc>
          <w:tcPr>
            <w:tcW w:w="1296" w:type="dxa"/>
            <w:tcBorders>
              <w:top w:val="single" w:sz="4" w:space="0" w:color="auto"/>
            </w:tcBorders>
            <w:shd w:val="clear" w:color="auto" w:fill="auto"/>
            <w:vAlign w:val="bottom"/>
          </w:tcPr>
          <w:p w14:paraId="288AEB5A" w14:textId="77777777" w:rsidR="00467CAF" w:rsidRPr="002D2F67" w:rsidRDefault="00467CAF" w:rsidP="005611FE">
            <w:pPr>
              <w:ind w:right="-72"/>
              <w:jc w:val="right"/>
              <w:rPr>
                <w:rFonts w:ascii="Arial" w:hAnsi="Arial" w:cs="Arial"/>
                <w:color w:val="000000"/>
                <w:sz w:val="20"/>
                <w:szCs w:val="20"/>
              </w:rPr>
            </w:pPr>
          </w:p>
        </w:tc>
        <w:tc>
          <w:tcPr>
            <w:tcW w:w="1296" w:type="dxa"/>
            <w:tcBorders>
              <w:top w:val="single" w:sz="4" w:space="0" w:color="auto"/>
            </w:tcBorders>
            <w:shd w:val="clear" w:color="auto" w:fill="auto"/>
            <w:vAlign w:val="bottom"/>
          </w:tcPr>
          <w:p w14:paraId="7473AD97" w14:textId="77777777" w:rsidR="00467CAF" w:rsidRPr="002D2F67" w:rsidRDefault="00467CAF" w:rsidP="005611FE">
            <w:pPr>
              <w:ind w:right="-72"/>
              <w:jc w:val="right"/>
              <w:rPr>
                <w:rFonts w:ascii="Arial" w:hAnsi="Arial" w:cs="Arial"/>
                <w:color w:val="000000"/>
                <w:sz w:val="20"/>
                <w:szCs w:val="20"/>
              </w:rPr>
            </w:pPr>
          </w:p>
        </w:tc>
        <w:tc>
          <w:tcPr>
            <w:tcW w:w="1296" w:type="dxa"/>
            <w:tcBorders>
              <w:top w:val="single" w:sz="4" w:space="0" w:color="auto"/>
            </w:tcBorders>
            <w:shd w:val="clear" w:color="auto" w:fill="auto"/>
            <w:vAlign w:val="bottom"/>
          </w:tcPr>
          <w:p w14:paraId="14D76827" w14:textId="77777777" w:rsidR="00467CAF" w:rsidRPr="002D2F67" w:rsidRDefault="00467CAF" w:rsidP="005611FE">
            <w:pPr>
              <w:ind w:right="-72"/>
              <w:jc w:val="right"/>
              <w:rPr>
                <w:rFonts w:ascii="Arial" w:hAnsi="Arial" w:cs="Arial"/>
                <w:color w:val="000000"/>
                <w:sz w:val="20"/>
                <w:szCs w:val="20"/>
              </w:rPr>
            </w:pPr>
          </w:p>
        </w:tc>
      </w:tr>
      <w:tr w:rsidR="00467CAF" w:rsidRPr="002D2F67" w14:paraId="633CD1D2" w14:textId="77777777" w:rsidTr="002D2F67">
        <w:trPr>
          <w:trHeight w:val="63"/>
        </w:trPr>
        <w:tc>
          <w:tcPr>
            <w:tcW w:w="4277" w:type="dxa"/>
            <w:shd w:val="clear" w:color="auto" w:fill="auto"/>
          </w:tcPr>
          <w:p w14:paraId="4687BF43" w14:textId="368CB959" w:rsidR="00467CAF" w:rsidRPr="002D2F67" w:rsidRDefault="00467CAF" w:rsidP="002D2F67">
            <w:pPr>
              <w:ind w:left="-86"/>
              <w:jc w:val="both"/>
              <w:rPr>
                <w:rFonts w:ascii="Arial" w:hAnsi="Arial" w:cs="Arial"/>
                <w:color w:val="000000"/>
                <w:sz w:val="20"/>
                <w:szCs w:val="20"/>
              </w:rPr>
            </w:pPr>
            <w:r w:rsidRPr="002D2F67">
              <w:rPr>
                <w:rFonts w:ascii="Arial" w:hAnsi="Arial" w:cs="Arial"/>
                <w:b/>
                <w:bCs/>
                <w:color w:val="000000"/>
                <w:sz w:val="20"/>
                <w:szCs w:val="20"/>
              </w:rPr>
              <w:t xml:space="preserve">For the year ended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 </w:t>
            </w:r>
            <w:r w:rsidR="00CD5714" w:rsidRPr="00CD5714">
              <w:rPr>
                <w:rFonts w:ascii="Arial" w:hAnsi="Arial" w:cs="Arial"/>
                <w:b/>
                <w:bCs/>
                <w:color w:val="000000"/>
                <w:sz w:val="20"/>
                <w:szCs w:val="20"/>
                <w:lang w:val="en-GB"/>
              </w:rPr>
              <w:t>2024</w:t>
            </w:r>
          </w:p>
        </w:tc>
        <w:tc>
          <w:tcPr>
            <w:tcW w:w="1296" w:type="dxa"/>
            <w:shd w:val="clear" w:color="auto" w:fill="auto"/>
            <w:vAlign w:val="bottom"/>
          </w:tcPr>
          <w:p w14:paraId="60C15A95" w14:textId="77777777" w:rsidR="00467CAF" w:rsidRPr="002D2F67" w:rsidRDefault="00467CAF" w:rsidP="005611FE">
            <w:pPr>
              <w:ind w:right="-72"/>
              <w:jc w:val="right"/>
              <w:rPr>
                <w:rFonts w:ascii="Arial" w:hAnsi="Arial" w:cs="Arial"/>
                <w:color w:val="000000"/>
                <w:sz w:val="20"/>
                <w:szCs w:val="20"/>
              </w:rPr>
            </w:pPr>
          </w:p>
        </w:tc>
        <w:tc>
          <w:tcPr>
            <w:tcW w:w="1296" w:type="dxa"/>
            <w:shd w:val="clear" w:color="auto" w:fill="auto"/>
            <w:vAlign w:val="bottom"/>
          </w:tcPr>
          <w:p w14:paraId="74BCFFE2" w14:textId="77777777" w:rsidR="00467CAF" w:rsidRPr="002D2F67" w:rsidRDefault="00467CAF" w:rsidP="005611FE">
            <w:pPr>
              <w:ind w:right="-72"/>
              <w:jc w:val="right"/>
              <w:rPr>
                <w:rFonts w:ascii="Arial" w:hAnsi="Arial" w:cs="Arial"/>
                <w:color w:val="000000"/>
                <w:sz w:val="20"/>
                <w:szCs w:val="20"/>
              </w:rPr>
            </w:pPr>
          </w:p>
        </w:tc>
        <w:tc>
          <w:tcPr>
            <w:tcW w:w="1296" w:type="dxa"/>
            <w:shd w:val="clear" w:color="auto" w:fill="auto"/>
            <w:vAlign w:val="bottom"/>
          </w:tcPr>
          <w:p w14:paraId="11B187AD" w14:textId="77777777" w:rsidR="00467CAF" w:rsidRPr="002D2F67" w:rsidRDefault="00467CAF" w:rsidP="005611FE">
            <w:pPr>
              <w:ind w:right="-72"/>
              <w:jc w:val="right"/>
              <w:rPr>
                <w:rFonts w:ascii="Arial" w:hAnsi="Arial" w:cs="Arial"/>
                <w:color w:val="000000"/>
                <w:sz w:val="20"/>
                <w:szCs w:val="20"/>
              </w:rPr>
            </w:pPr>
          </w:p>
        </w:tc>
        <w:tc>
          <w:tcPr>
            <w:tcW w:w="1296" w:type="dxa"/>
            <w:shd w:val="clear" w:color="auto" w:fill="auto"/>
            <w:vAlign w:val="bottom"/>
          </w:tcPr>
          <w:p w14:paraId="62AEB403" w14:textId="77777777" w:rsidR="00467CAF" w:rsidRPr="002D2F67" w:rsidRDefault="00467CAF" w:rsidP="005611FE">
            <w:pPr>
              <w:ind w:right="-72"/>
              <w:jc w:val="right"/>
              <w:rPr>
                <w:rFonts w:ascii="Arial" w:hAnsi="Arial" w:cs="Arial"/>
                <w:color w:val="000000"/>
                <w:sz w:val="20"/>
                <w:szCs w:val="20"/>
              </w:rPr>
            </w:pPr>
          </w:p>
        </w:tc>
      </w:tr>
      <w:tr w:rsidR="00467CAF" w:rsidRPr="002D2F67" w14:paraId="33934DFA" w14:textId="77777777" w:rsidTr="002D2F67">
        <w:trPr>
          <w:trHeight w:val="63"/>
        </w:trPr>
        <w:tc>
          <w:tcPr>
            <w:tcW w:w="4277" w:type="dxa"/>
            <w:shd w:val="clear" w:color="auto" w:fill="auto"/>
          </w:tcPr>
          <w:p w14:paraId="0E481444" w14:textId="54078B35" w:rsidR="00467CAF" w:rsidRPr="002D2F67" w:rsidRDefault="00467CAF" w:rsidP="002D2F67">
            <w:pPr>
              <w:ind w:left="-86"/>
              <w:jc w:val="both"/>
              <w:rPr>
                <w:rFonts w:ascii="Arial" w:hAnsi="Arial" w:cs="Arial"/>
                <w:color w:val="000000"/>
                <w:sz w:val="20"/>
                <w:szCs w:val="20"/>
              </w:rPr>
            </w:pPr>
            <w:r w:rsidRPr="002D2F67">
              <w:rPr>
                <w:rFonts w:ascii="Arial" w:hAnsi="Arial" w:cs="Arial"/>
                <w:color w:val="000000"/>
                <w:sz w:val="20"/>
                <w:szCs w:val="20"/>
              </w:rPr>
              <w:t>Opening net book value</w:t>
            </w:r>
          </w:p>
        </w:tc>
        <w:tc>
          <w:tcPr>
            <w:tcW w:w="1296" w:type="dxa"/>
            <w:shd w:val="clear" w:color="auto" w:fill="auto"/>
            <w:vAlign w:val="bottom"/>
          </w:tcPr>
          <w:p w14:paraId="7E3E3B35" w14:textId="6F6B820F" w:rsidR="00467CAF" w:rsidRPr="002D2F67" w:rsidRDefault="00CD5714" w:rsidP="00467CAF">
            <w:pPr>
              <w:ind w:right="-72"/>
              <w:jc w:val="right"/>
              <w:rPr>
                <w:rFonts w:ascii="Arial" w:hAnsi="Arial" w:cs="Arial"/>
                <w:color w:val="000000"/>
                <w:sz w:val="20"/>
                <w:szCs w:val="20"/>
              </w:rPr>
            </w:pPr>
            <w:r w:rsidRPr="00CD5714">
              <w:rPr>
                <w:rFonts w:ascii="Arial" w:hAnsi="Arial" w:cs="Arial"/>
                <w:color w:val="000000"/>
                <w:sz w:val="20"/>
                <w:szCs w:val="20"/>
                <w:lang w:val="en-GB"/>
              </w:rPr>
              <w:t>236</w:t>
            </w:r>
            <w:r w:rsidR="00467CAF" w:rsidRPr="002D2F67">
              <w:rPr>
                <w:rFonts w:ascii="Arial" w:hAnsi="Arial" w:cs="Arial"/>
                <w:color w:val="000000"/>
                <w:sz w:val="20"/>
                <w:szCs w:val="20"/>
              </w:rPr>
              <w:t>,</w:t>
            </w:r>
            <w:r w:rsidRPr="00CD5714">
              <w:rPr>
                <w:rFonts w:ascii="Arial" w:hAnsi="Arial" w:cs="Arial"/>
                <w:color w:val="000000"/>
                <w:sz w:val="20"/>
                <w:szCs w:val="20"/>
                <w:lang w:val="en-GB"/>
              </w:rPr>
              <w:t>997</w:t>
            </w:r>
          </w:p>
        </w:tc>
        <w:tc>
          <w:tcPr>
            <w:tcW w:w="1296" w:type="dxa"/>
            <w:shd w:val="clear" w:color="auto" w:fill="auto"/>
            <w:vAlign w:val="bottom"/>
          </w:tcPr>
          <w:p w14:paraId="34725D89" w14:textId="7D2C632E" w:rsidR="00467CAF" w:rsidRPr="002D2F67" w:rsidRDefault="00CD5714" w:rsidP="00467CAF">
            <w:pPr>
              <w:ind w:right="-72"/>
              <w:jc w:val="right"/>
              <w:rPr>
                <w:rFonts w:ascii="Arial" w:hAnsi="Arial" w:cs="Arial"/>
                <w:color w:val="000000"/>
                <w:sz w:val="20"/>
                <w:szCs w:val="20"/>
              </w:rPr>
            </w:pPr>
            <w:r w:rsidRPr="00CD5714">
              <w:rPr>
                <w:rFonts w:ascii="Arial" w:hAnsi="Arial" w:cs="Arial"/>
                <w:color w:val="000000"/>
                <w:sz w:val="20"/>
                <w:szCs w:val="20"/>
                <w:lang w:val="en-GB"/>
              </w:rPr>
              <w:t>14</w:t>
            </w:r>
            <w:r w:rsidR="00467CAF" w:rsidRPr="002D2F67">
              <w:rPr>
                <w:rFonts w:ascii="Arial" w:hAnsi="Arial" w:cs="Arial"/>
                <w:color w:val="000000"/>
                <w:sz w:val="20"/>
                <w:szCs w:val="20"/>
              </w:rPr>
              <w:t>,</w:t>
            </w:r>
            <w:r w:rsidRPr="00CD5714">
              <w:rPr>
                <w:rFonts w:ascii="Arial" w:hAnsi="Arial" w:cs="Arial"/>
                <w:color w:val="000000"/>
                <w:sz w:val="20"/>
                <w:szCs w:val="20"/>
                <w:lang w:val="en-GB"/>
              </w:rPr>
              <w:t>268</w:t>
            </w:r>
          </w:p>
        </w:tc>
        <w:tc>
          <w:tcPr>
            <w:tcW w:w="1296" w:type="dxa"/>
            <w:shd w:val="clear" w:color="auto" w:fill="auto"/>
            <w:vAlign w:val="bottom"/>
          </w:tcPr>
          <w:p w14:paraId="227B1F39" w14:textId="29000936" w:rsidR="00467CAF" w:rsidRPr="002D2F67" w:rsidRDefault="00CD5714" w:rsidP="00467CAF">
            <w:pPr>
              <w:ind w:right="-72"/>
              <w:jc w:val="right"/>
              <w:rPr>
                <w:rFonts w:ascii="Arial" w:hAnsi="Arial" w:cs="Arial"/>
                <w:color w:val="000000"/>
                <w:sz w:val="20"/>
                <w:szCs w:val="20"/>
              </w:rPr>
            </w:pPr>
            <w:r w:rsidRPr="00CD5714">
              <w:rPr>
                <w:rFonts w:ascii="Arial" w:hAnsi="Arial" w:cs="Arial"/>
                <w:color w:val="000000"/>
                <w:sz w:val="20"/>
                <w:szCs w:val="20"/>
                <w:lang w:val="en-GB"/>
              </w:rPr>
              <w:t>4</w:t>
            </w:r>
            <w:r w:rsidR="00467CAF" w:rsidRPr="002D2F67">
              <w:rPr>
                <w:rFonts w:ascii="Arial" w:hAnsi="Arial" w:cs="Arial"/>
                <w:color w:val="000000"/>
                <w:sz w:val="20"/>
                <w:szCs w:val="20"/>
              </w:rPr>
              <w:t>,</w:t>
            </w:r>
            <w:r w:rsidRPr="00CD5714">
              <w:rPr>
                <w:rFonts w:ascii="Arial" w:hAnsi="Arial" w:cs="Arial"/>
                <w:color w:val="000000"/>
                <w:sz w:val="20"/>
                <w:szCs w:val="20"/>
                <w:lang w:val="en-GB"/>
              </w:rPr>
              <w:t>513</w:t>
            </w:r>
          </w:p>
        </w:tc>
        <w:tc>
          <w:tcPr>
            <w:tcW w:w="1296" w:type="dxa"/>
            <w:shd w:val="clear" w:color="auto" w:fill="auto"/>
            <w:vAlign w:val="bottom"/>
          </w:tcPr>
          <w:p w14:paraId="68698800" w14:textId="4BE837B9" w:rsidR="00467CAF" w:rsidRPr="002D2F67" w:rsidRDefault="00CD5714" w:rsidP="00467CAF">
            <w:pPr>
              <w:ind w:right="-72"/>
              <w:jc w:val="right"/>
              <w:rPr>
                <w:rFonts w:ascii="Arial" w:hAnsi="Arial" w:cs="Arial"/>
                <w:color w:val="000000"/>
                <w:sz w:val="20"/>
                <w:szCs w:val="20"/>
              </w:rPr>
            </w:pPr>
            <w:r w:rsidRPr="00CD5714">
              <w:rPr>
                <w:rFonts w:ascii="Arial" w:hAnsi="Arial" w:cs="Arial"/>
                <w:color w:val="000000"/>
                <w:sz w:val="20"/>
                <w:szCs w:val="20"/>
                <w:lang w:val="en-GB"/>
              </w:rPr>
              <w:t>255</w:t>
            </w:r>
            <w:r w:rsidR="00467CAF" w:rsidRPr="002D2F67">
              <w:rPr>
                <w:rFonts w:ascii="Arial" w:hAnsi="Arial" w:cs="Arial"/>
                <w:color w:val="000000"/>
                <w:sz w:val="20"/>
                <w:szCs w:val="20"/>
              </w:rPr>
              <w:t>,</w:t>
            </w:r>
            <w:r w:rsidRPr="00CD5714">
              <w:rPr>
                <w:rFonts w:ascii="Arial" w:hAnsi="Arial" w:cs="Arial"/>
                <w:color w:val="000000"/>
                <w:sz w:val="20"/>
                <w:szCs w:val="20"/>
                <w:lang w:val="en-GB"/>
              </w:rPr>
              <w:t>778</w:t>
            </w:r>
          </w:p>
        </w:tc>
      </w:tr>
      <w:tr w:rsidR="00467CAF" w:rsidRPr="002D2F67" w14:paraId="0688FFFD" w14:textId="77777777" w:rsidTr="002D2F67">
        <w:trPr>
          <w:trHeight w:val="63"/>
        </w:trPr>
        <w:tc>
          <w:tcPr>
            <w:tcW w:w="4277" w:type="dxa"/>
            <w:shd w:val="clear" w:color="auto" w:fill="auto"/>
          </w:tcPr>
          <w:p w14:paraId="19840ABC" w14:textId="1102D186" w:rsidR="00467CAF" w:rsidRPr="002D2F67" w:rsidRDefault="00467CAF" w:rsidP="002D2F67">
            <w:pPr>
              <w:ind w:left="-86"/>
              <w:jc w:val="both"/>
              <w:rPr>
                <w:rFonts w:ascii="Arial" w:hAnsi="Arial" w:cs="Arial"/>
                <w:color w:val="000000"/>
                <w:sz w:val="20"/>
                <w:szCs w:val="20"/>
              </w:rPr>
            </w:pPr>
            <w:r w:rsidRPr="002D2F67">
              <w:rPr>
                <w:rFonts w:ascii="Arial" w:hAnsi="Arial" w:cs="Arial"/>
                <w:color w:val="000000"/>
                <w:sz w:val="20"/>
                <w:szCs w:val="20"/>
              </w:rPr>
              <w:t>Additions</w:t>
            </w:r>
          </w:p>
        </w:tc>
        <w:tc>
          <w:tcPr>
            <w:tcW w:w="1296" w:type="dxa"/>
            <w:shd w:val="clear" w:color="auto" w:fill="auto"/>
            <w:vAlign w:val="bottom"/>
          </w:tcPr>
          <w:p w14:paraId="799C8358" w14:textId="342CC1BF" w:rsidR="00467CAF" w:rsidRPr="002D2F67" w:rsidRDefault="00467CAF" w:rsidP="00467CAF">
            <w:pPr>
              <w:ind w:right="-72"/>
              <w:jc w:val="right"/>
              <w:rPr>
                <w:rFonts w:ascii="Arial" w:hAnsi="Arial" w:cs="Arial"/>
                <w:color w:val="000000"/>
                <w:sz w:val="20"/>
                <w:szCs w:val="20"/>
              </w:rPr>
            </w:pPr>
            <w:r w:rsidRPr="002D2F67">
              <w:rPr>
                <w:rFonts w:ascii="Arial" w:hAnsi="Arial" w:cs="Arial"/>
                <w:color w:val="000000"/>
                <w:sz w:val="20"/>
                <w:szCs w:val="25"/>
              </w:rPr>
              <w:t>-</w:t>
            </w:r>
          </w:p>
        </w:tc>
        <w:tc>
          <w:tcPr>
            <w:tcW w:w="1296" w:type="dxa"/>
            <w:shd w:val="clear" w:color="auto" w:fill="auto"/>
            <w:vAlign w:val="bottom"/>
          </w:tcPr>
          <w:p w14:paraId="0467B7E4" w14:textId="4E1970F8" w:rsidR="00467CAF" w:rsidRPr="002D2F67" w:rsidRDefault="00CD5714" w:rsidP="00467CAF">
            <w:pPr>
              <w:ind w:right="-72"/>
              <w:jc w:val="right"/>
              <w:rPr>
                <w:rFonts w:ascii="Arial" w:hAnsi="Arial" w:cs="Arial"/>
                <w:color w:val="000000"/>
                <w:sz w:val="20"/>
                <w:szCs w:val="20"/>
              </w:rPr>
            </w:pPr>
            <w:r w:rsidRPr="00CD5714">
              <w:rPr>
                <w:rFonts w:ascii="Arial" w:hAnsi="Arial" w:cs="Arial"/>
                <w:color w:val="000000"/>
                <w:sz w:val="20"/>
                <w:szCs w:val="20"/>
                <w:lang w:val="en-GB"/>
              </w:rPr>
              <w:t>14</w:t>
            </w:r>
            <w:r w:rsidR="00467CAF" w:rsidRPr="002D2F67">
              <w:rPr>
                <w:rFonts w:ascii="Arial" w:hAnsi="Arial" w:cs="Arial"/>
                <w:color w:val="000000"/>
                <w:sz w:val="20"/>
                <w:szCs w:val="20"/>
              </w:rPr>
              <w:t>,</w:t>
            </w:r>
            <w:r w:rsidRPr="00CD5714">
              <w:rPr>
                <w:rFonts w:ascii="Arial" w:hAnsi="Arial" w:cs="Arial"/>
                <w:color w:val="000000"/>
                <w:sz w:val="20"/>
                <w:szCs w:val="20"/>
                <w:lang w:val="en-GB"/>
              </w:rPr>
              <w:t>919</w:t>
            </w:r>
          </w:p>
        </w:tc>
        <w:tc>
          <w:tcPr>
            <w:tcW w:w="1296" w:type="dxa"/>
            <w:shd w:val="clear" w:color="auto" w:fill="auto"/>
            <w:vAlign w:val="bottom"/>
          </w:tcPr>
          <w:p w14:paraId="1A064F1E" w14:textId="5F3D2795" w:rsidR="00467CAF" w:rsidRPr="002D2F67" w:rsidRDefault="00CD5714" w:rsidP="00467CAF">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467CAF" w:rsidRPr="002D2F67">
              <w:rPr>
                <w:rFonts w:ascii="Arial" w:hAnsi="Arial" w:cs="Arial"/>
                <w:color w:val="000000"/>
                <w:sz w:val="20"/>
                <w:szCs w:val="20"/>
              </w:rPr>
              <w:t>,</w:t>
            </w:r>
            <w:r w:rsidRPr="00CD5714">
              <w:rPr>
                <w:rFonts w:ascii="Arial" w:hAnsi="Arial" w:cs="Arial"/>
                <w:color w:val="000000"/>
                <w:sz w:val="20"/>
                <w:szCs w:val="20"/>
                <w:lang w:val="en-GB"/>
              </w:rPr>
              <w:t>201</w:t>
            </w:r>
          </w:p>
        </w:tc>
        <w:tc>
          <w:tcPr>
            <w:tcW w:w="1296" w:type="dxa"/>
            <w:shd w:val="clear" w:color="auto" w:fill="auto"/>
            <w:vAlign w:val="bottom"/>
          </w:tcPr>
          <w:p w14:paraId="7F15E898" w14:textId="68531173" w:rsidR="00467CAF" w:rsidRPr="002D2F67" w:rsidRDefault="00CD5714" w:rsidP="00467CAF">
            <w:pPr>
              <w:ind w:right="-72"/>
              <w:jc w:val="right"/>
              <w:rPr>
                <w:rFonts w:ascii="Arial" w:hAnsi="Arial" w:cs="Arial"/>
                <w:color w:val="000000"/>
                <w:sz w:val="20"/>
                <w:szCs w:val="20"/>
              </w:rPr>
            </w:pPr>
            <w:r w:rsidRPr="00CD5714">
              <w:rPr>
                <w:rFonts w:ascii="Arial" w:hAnsi="Arial" w:cs="Arial"/>
                <w:color w:val="000000"/>
                <w:sz w:val="20"/>
                <w:szCs w:val="20"/>
                <w:lang w:val="en-GB"/>
              </w:rPr>
              <w:t>16</w:t>
            </w:r>
            <w:r w:rsidR="00467CAF" w:rsidRPr="002D2F67">
              <w:rPr>
                <w:rFonts w:ascii="Arial" w:hAnsi="Arial" w:cs="Arial"/>
                <w:color w:val="000000"/>
                <w:sz w:val="20"/>
                <w:szCs w:val="20"/>
              </w:rPr>
              <w:t>,</w:t>
            </w:r>
            <w:r w:rsidRPr="00CD5714">
              <w:rPr>
                <w:rFonts w:ascii="Arial" w:hAnsi="Arial" w:cs="Arial"/>
                <w:color w:val="000000"/>
                <w:sz w:val="20"/>
                <w:szCs w:val="20"/>
                <w:lang w:val="en-GB"/>
              </w:rPr>
              <w:t>120</w:t>
            </w:r>
          </w:p>
        </w:tc>
      </w:tr>
      <w:tr w:rsidR="00467CAF" w:rsidRPr="002D2F67" w14:paraId="4D49470B" w14:textId="77777777" w:rsidTr="002D2F67">
        <w:trPr>
          <w:trHeight w:val="63"/>
        </w:trPr>
        <w:tc>
          <w:tcPr>
            <w:tcW w:w="4277" w:type="dxa"/>
            <w:shd w:val="clear" w:color="auto" w:fill="auto"/>
          </w:tcPr>
          <w:p w14:paraId="3483E56B" w14:textId="12928E42" w:rsidR="00467CAF" w:rsidRPr="002D2F67" w:rsidRDefault="009F2036" w:rsidP="002D2F67">
            <w:pPr>
              <w:ind w:left="-86"/>
              <w:jc w:val="both"/>
              <w:rPr>
                <w:rFonts w:ascii="Arial" w:hAnsi="Arial" w:cs="Arial"/>
                <w:color w:val="000000"/>
                <w:sz w:val="20"/>
                <w:szCs w:val="20"/>
              </w:rPr>
            </w:pPr>
            <w:r w:rsidRPr="002D2F67">
              <w:rPr>
                <w:rFonts w:ascii="Arial" w:hAnsi="Arial" w:cs="Arial"/>
                <w:color w:val="000000"/>
                <w:sz w:val="20"/>
                <w:szCs w:val="20"/>
              </w:rPr>
              <w:t>Termination of contract</w:t>
            </w:r>
          </w:p>
        </w:tc>
        <w:tc>
          <w:tcPr>
            <w:tcW w:w="1296" w:type="dxa"/>
            <w:shd w:val="clear" w:color="auto" w:fill="auto"/>
            <w:vAlign w:val="bottom"/>
          </w:tcPr>
          <w:p w14:paraId="430516B5" w14:textId="4C14F351" w:rsidR="00467CAF" w:rsidRPr="002D2F67" w:rsidRDefault="00467CAF" w:rsidP="00467CAF">
            <w:pPr>
              <w:ind w:right="-72"/>
              <w:jc w:val="right"/>
              <w:rPr>
                <w:rFonts w:ascii="Arial" w:hAnsi="Arial" w:cs="Arial"/>
                <w:color w:val="000000"/>
                <w:sz w:val="20"/>
                <w:szCs w:val="20"/>
              </w:rPr>
            </w:pPr>
            <w:r w:rsidRPr="002D2F67">
              <w:rPr>
                <w:rFonts w:ascii="Arial" w:hAnsi="Arial" w:cs="Arial"/>
                <w:color w:val="000000"/>
                <w:sz w:val="20"/>
                <w:szCs w:val="25"/>
              </w:rPr>
              <w:t>-</w:t>
            </w:r>
          </w:p>
        </w:tc>
        <w:tc>
          <w:tcPr>
            <w:tcW w:w="1296" w:type="dxa"/>
            <w:shd w:val="clear" w:color="auto" w:fill="auto"/>
            <w:vAlign w:val="bottom"/>
          </w:tcPr>
          <w:p w14:paraId="3544F99E" w14:textId="10969F19" w:rsidR="00467CAF" w:rsidRPr="002D2F67" w:rsidRDefault="00467CAF" w:rsidP="00467CAF">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3</w:t>
            </w:r>
            <w:r w:rsidRPr="002D2F67">
              <w:rPr>
                <w:rFonts w:ascii="Arial" w:hAnsi="Arial" w:cs="Arial"/>
                <w:color w:val="000000"/>
                <w:sz w:val="20"/>
                <w:szCs w:val="20"/>
              </w:rPr>
              <w:t>,</w:t>
            </w:r>
            <w:r w:rsidR="00CD5714" w:rsidRPr="00CD5714">
              <w:rPr>
                <w:rFonts w:ascii="Arial" w:hAnsi="Arial" w:cs="Arial"/>
                <w:color w:val="000000"/>
                <w:sz w:val="20"/>
                <w:szCs w:val="20"/>
                <w:lang w:val="en-GB"/>
              </w:rPr>
              <w:t>449</w:t>
            </w:r>
            <w:r w:rsidRPr="002D2F67">
              <w:rPr>
                <w:rFonts w:ascii="Arial" w:hAnsi="Arial" w:cs="Arial"/>
                <w:color w:val="000000"/>
                <w:sz w:val="20"/>
                <w:szCs w:val="20"/>
              </w:rPr>
              <w:t>)</w:t>
            </w:r>
          </w:p>
        </w:tc>
        <w:tc>
          <w:tcPr>
            <w:tcW w:w="1296" w:type="dxa"/>
            <w:shd w:val="clear" w:color="auto" w:fill="auto"/>
            <w:vAlign w:val="bottom"/>
          </w:tcPr>
          <w:p w14:paraId="3228F066" w14:textId="2BCBDCC5" w:rsidR="00467CAF" w:rsidRPr="002D2F67" w:rsidRDefault="00467CAF" w:rsidP="00467CAF">
            <w:pPr>
              <w:ind w:right="-72"/>
              <w:jc w:val="right"/>
              <w:rPr>
                <w:rFonts w:ascii="Arial" w:hAnsi="Arial" w:cs="Arial"/>
                <w:color w:val="000000"/>
                <w:sz w:val="20"/>
                <w:szCs w:val="20"/>
              </w:rPr>
            </w:pPr>
            <w:r w:rsidRPr="002D2F67">
              <w:rPr>
                <w:rFonts w:ascii="Arial" w:hAnsi="Arial" w:cs="Arial"/>
                <w:color w:val="000000"/>
                <w:sz w:val="20"/>
                <w:szCs w:val="20"/>
              </w:rPr>
              <w:t>-</w:t>
            </w:r>
          </w:p>
        </w:tc>
        <w:tc>
          <w:tcPr>
            <w:tcW w:w="1296" w:type="dxa"/>
            <w:shd w:val="clear" w:color="auto" w:fill="auto"/>
            <w:vAlign w:val="bottom"/>
          </w:tcPr>
          <w:p w14:paraId="679B5643" w14:textId="3B432568" w:rsidR="00467CAF" w:rsidRPr="002D2F67" w:rsidRDefault="00467CAF" w:rsidP="00467CAF">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3</w:t>
            </w:r>
            <w:r w:rsidRPr="002D2F67">
              <w:rPr>
                <w:rFonts w:ascii="Arial" w:hAnsi="Arial" w:cs="Arial"/>
                <w:color w:val="000000"/>
                <w:sz w:val="20"/>
                <w:szCs w:val="20"/>
              </w:rPr>
              <w:t>,</w:t>
            </w:r>
            <w:r w:rsidR="00CD5714" w:rsidRPr="00CD5714">
              <w:rPr>
                <w:rFonts w:ascii="Arial" w:hAnsi="Arial" w:cs="Arial"/>
                <w:color w:val="000000"/>
                <w:sz w:val="20"/>
                <w:szCs w:val="20"/>
                <w:lang w:val="en-GB"/>
              </w:rPr>
              <w:t>449</w:t>
            </w:r>
            <w:r w:rsidRPr="002D2F67">
              <w:rPr>
                <w:rFonts w:ascii="Arial" w:hAnsi="Arial" w:cs="Arial"/>
                <w:color w:val="000000"/>
                <w:sz w:val="20"/>
                <w:szCs w:val="20"/>
              </w:rPr>
              <w:t>)</w:t>
            </w:r>
          </w:p>
        </w:tc>
      </w:tr>
      <w:tr w:rsidR="00467CAF" w:rsidRPr="002D2F67" w14:paraId="1D65C86F" w14:textId="77777777" w:rsidTr="002D2F67">
        <w:trPr>
          <w:trHeight w:val="63"/>
        </w:trPr>
        <w:tc>
          <w:tcPr>
            <w:tcW w:w="4277" w:type="dxa"/>
            <w:shd w:val="clear" w:color="auto" w:fill="auto"/>
          </w:tcPr>
          <w:p w14:paraId="27FCF6F2" w14:textId="4A78B913" w:rsidR="00467CAF" w:rsidRPr="002D2F67" w:rsidRDefault="00467CAF" w:rsidP="002D2F67">
            <w:pPr>
              <w:ind w:left="-86"/>
              <w:jc w:val="both"/>
              <w:rPr>
                <w:rFonts w:ascii="Arial" w:hAnsi="Arial" w:cs="Arial"/>
                <w:color w:val="000000"/>
                <w:sz w:val="20"/>
                <w:szCs w:val="20"/>
              </w:rPr>
            </w:pPr>
            <w:r w:rsidRPr="002D2F67">
              <w:rPr>
                <w:rFonts w:ascii="Arial" w:hAnsi="Arial" w:cs="Arial"/>
                <w:color w:val="000000"/>
                <w:sz w:val="20"/>
                <w:szCs w:val="20"/>
              </w:rPr>
              <w:t>Depreciation charged</w:t>
            </w:r>
          </w:p>
        </w:tc>
        <w:tc>
          <w:tcPr>
            <w:tcW w:w="1296" w:type="dxa"/>
            <w:tcBorders>
              <w:bottom w:val="single" w:sz="4" w:space="0" w:color="auto"/>
            </w:tcBorders>
            <w:shd w:val="clear" w:color="auto" w:fill="auto"/>
            <w:vAlign w:val="bottom"/>
          </w:tcPr>
          <w:p w14:paraId="2E9A687F" w14:textId="19704562" w:rsidR="00467CAF" w:rsidRPr="002D2F67" w:rsidRDefault="00467CAF" w:rsidP="00467CAF">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13</w:t>
            </w:r>
            <w:r w:rsidRPr="002D2F67">
              <w:rPr>
                <w:rFonts w:ascii="Arial" w:hAnsi="Arial" w:cs="Arial"/>
                <w:color w:val="000000"/>
                <w:sz w:val="20"/>
                <w:szCs w:val="20"/>
              </w:rPr>
              <w:t>,</w:t>
            </w:r>
            <w:r w:rsidR="00CD5714" w:rsidRPr="00CD5714">
              <w:rPr>
                <w:rFonts w:ascii="Arial" w:hAnsi="Arial" w:cs="Arial"/>
                <w:color w:val="000000"/>
                <w:sz w:val="20"/>
                <w:szCs w:val="20"/>
                <w:lang w:val="en-GB"/>
              </w:rPr>
              <w:t>433</w:t>
            </w:r>
            <w:r w:rsidRPr="002D2F67">
              <w:rPr>
                <w:rFonts w:ascii="Arial" w:hAnsi="Arial" w:cs="Arial"/>
                <w:color w:val="000000"/>
                <w:sz w:val="20"/>
                <w:szCs w:val="20"/>
              </w:rPr>
              <w:t>)</w:t>
            </w:r>
          </w:p>
        </w:tc>
        <w:tc>
          <w:tcPr>
            <w:tcW w:w="1296" w:type="dxa"/>
            <w:tcBorders>
              <w:bottom w:val="single" w:sz="4" w:space="0" w:color="auto"/>
            </w:tcBorders>
            <w:shd w:val="clear" w:color="auto" w:fill="auto"/>
            <w:vAlign w:val="bottom"/>
          </w:tcPr>
          <w:p w14:paraId="74A7AE05" w14:textId="164C59FA" w:rsidR="00467CAF" w:rsidRPr="002D2F67" w:rsidRDefault="00467CAF" w:rsidP="00467CAF">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5</w:t>
            </w:r>
            <w:r w:rsidRPr="002D2F67">
              <w:rPr>
                <w:rFonts w:ascii="Arial" w:hAnsi="Arial" w:cs="Arial"/>
                <w:color w:val="000000"/>
                <w:sz w:val="20"/>
                <w:szCs w:val="20"/>
              </w:rPr>
              <w:t>,</w:t>
            </w:r>
            <w:r w:rsidR="00CD5714" w:rsidRPr="00CD5714">
              <w:rPr>
                <w:rFonts w:ascii="Arial" w:hAnsi="Arial" w:cs="Arial"/>
                <w:color w:val="000000"/>
                <w:sz w:val="20"/>
                <w:szCs w:val="20"/>
                <w:lang w:val="en-GB"/>
              </w:rPr>
              <w:t>425</w:t>
            </w:r>
            <w:r w:rsidRPr="002D2F67">
              <w:rPr>
                <w:rFonts w:ascii="Arial" w:hAnsi="Arial" w:cs="Arial"/>
                <w:color w:val="000000"/>
                <w:sz w:val="20"/>
                <w:szCs w:val="20"/>
              </w:rPr>
              <w:t>)</w:t>
            </w:r>
          </w:p>
        </w:tc>
        <w:tc>
          <w:tcPr>
            <w:tcW w:w="1296" w:type="dxa"/>
            <w:tcBorders>
              <w:bottom w:val="single" w:sz="4" w:space="0" w:color="auto"/>
            </w:tcBorders>
            <w:shd w:val="clear" w:color="auto" w:fill="auto"/>
            <w:vAlign w:val="bottom"/>
          </w:tcPr>
          <w:p w14:paraId="5FCBE682" w14:textId="74EB7FC9" w:rsidR="00467CAF" w:rsidRPr="002D2F67" w:rsidRDefault="00467CAF" w:rsidP="00467CAF">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w:t>
            </w:r>
            <w:r w:rsidRPr="002D2F67">
              <w:rPr>
                <w:rFonts w:ascii="Arial" w:hAnsi="Arial" w:cs="Arial"/>
                <w:color w:val="000000"/>
                <w:sz w:val="20"/>
                <w:szCs w:val="20"/>
              </w:rPr>
              <w:t>,</w:t>
            </w:r>
            <w:r w:rsidR="00CD5714" w:rsidRPr="00CD5714">
              <w:rPr>
                <w:rFonts w:ascii="Arial" w:hAnsi="Arial" w:cs="Arial"/>
                <w:color w:val="000000"/>
                <w:sz w:val="20"/>
                <w:szCs w:val="20"/>
                <w:lang w:val="en-GB"/>
              </w:rPr>
              <w:t>882</w:t>
            </w:r>
            <w:r w:rsidRPr="002D2F67">
              <w:rPr>
                <w:rFonts w:ascii="Arial" w:hAnsi="Arial" w:cs="Arial"/>
                <w:color w:val="000000"/>
                <w:sz w:val="20"/>
                <w:szCs w:val="20"/>
              </w:rPr>
              <w:t>)</w:t>
            </w:r>
          </w:p>
        </w:tc>
        <w:tc>
          <w:tcPr>
            <w:tcW w:w="1296" w:type="dxa"/>
            <w:tcBorders>
              <w:bottom w:val="single" w:sz="4" w:space="0" w:color="auto"/>
            </w:tcBorders>
            <w:shd w:val="clear" w:color="auto" w:fill="auto"/>
            <w:vAlign w:val="bottom"/>
          </w:tcPr>
          <w:p w14:paraId="2C56EA43" w14:textId="1BCEF914" w:rsidR="00467CAF" w:rsidRPr="002D2F67" w:rsidRDefault="00467CAF" w:rsidP="00467CAF">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20</w:t>
            </w:r>
            <w:r w:rsidRPr="002D2F67">
              <w:rPr>
                <w:rFonts w:ascii="Arial" w:hAnsi="Arial" w:cs="Arial"/>
                <w:color w:val="000000"/>
                <w:sz w:val="20"/>
                <w:szCs w:val="20"/>
              </w:rPr>
              <w:t>,</w:t>
            </w:r>
            <w:r w:rsidR="00CD5714" w:rsidRPr="00CD5714">
              <w:rPr>
                <w:rFonts w:ascii="Arial" w:hAnsi="Arial" w:cs="Arial"/>
                <w:color w:val="000000"/>
                <w:sz w:val="20"/>
                <w:szCs w:val="20"/>
                <w:lang w:val="en-GB"/>
              </w:rPr>
              <w:t>740</w:t>
            </w:r>
            <w:r w:rsidRPr="002D2F67">
              <w:rPr>
                <w:rFonts w:ascii="Arial" w:hAnsi="Arial" w:cs="Arial"/>
                <w:color w:val="000000"/>
                <w:sz w:val="20"/>
                <w:szCs w:val="20"/>
              </w:rPr>
              <w:t>)</w:t>
            </w:r>
          </w:p>
        </w:tc>
      </w:tr>
      <w:tr w:rsidR="00467CAF" w:rsidRPr="002D2F67" w14:paraId="44F37249" w14:textId="77777777" w:rsidTr="002D2F67">
        <w:trPr>
          <w:trHeight w:val="63"/>
        </w:trPr>
        <w:tc>
          <w:tcPr>
            <w:tcW w:w="4277" w:type="dxa"/>
            <w:shd w:val="clear" w:color="auto" w:fill="auto"/>
          </w:tcPr>
          <w:p w14:paraId="7BC0522B" w14:textId="77777777" w:rsidR="00467CAF" w:rsidRPr="002D2F67" w:rsidRDefault="00467CAF" w:rsidP="002D2F67">
            <w:pPr>
              <w:ind w:left="-86"/>
              <w:jc w:val="both"/>
              <w:rPr>
                <w:rFonts w:ascii="Arial" w:hAnsi="Arial" w:cs="Arial"/>
                <w:color w:val="000000"/>
                <w:sz w:val="20"/>
                <w:szCs w:val="20"/>
              </w:rPr>
            </w:pPr>
          </w:p>
        </w:tc>
        <w:tc>
          <w:tcPr>
            <w:tcW w:w="1296" w:type="dxa"/>
            <w:tcBorders>
              <w:top w:val="single" w:sz="4" w:space="0" w:color="auto"/>
            </w:tcBorders>
            <w:shd w:val="clear" w:color="auto" w:fill="auto"/>
            <w:vAlign w:val="bottom"/>
          </w:tcPr>
          <w:p w14:paraId="1C1D3828" w14:textId="77777777" w:rsidR="00467CAF" w:rsidRPr="002D2F67" w:rsidRDefault="00467CAF" w:rsidP="00467CAF">
            <w:pPr>
              <w:ind w:right="-72"/>
              <w:jc w:val="right"/>
              <w:rPr>
                <w:rFonts w:ascii="Arial" w:hAnsi="Arial" w:cs="Arial"/>
                <w:color w:val="000000"/>
                <w:sz w:val="20"/>
                <w:szCs w:val="20"/>
              </w:rPr>
            </w:pPr>
          </w:p>
        </w:tc>
        <w:tc>
          <w:tcPr>
            <w:tcW w:w="1296" w:type="dxa"/>
            <w:tcBorders>
              <w:top w:val="single" w:sz="4" w:space="0" w:color="auto"/>
            </w:tcBorders>
            <w:shd w:val="clear" w:color="auto" w:fill="auto"/>
            <w:vAlign w:val="bottom"/>
          </w:tcPr>
          <w:p w14:paraId="280005D0" w14:textId="77777777" w:rsidR="00467CAF" w:rsidRPr="002D2F67" w:rsidRDefault="00467CAF" w:rsidP="00467CAF">
            <w:pPr>
              <w:ind w:right="-72"/>
              <w:jc w:val="right"/>
              <w:rPr>
                <w:rFonts w:ascii="Arial" w:hAnsi="Arial" w:cs="Arial"/>
                <w:color w:val="000000"/>
                <w:sz w:val="20"/>
                <w:szCs w:val="20"/>
              </w:rPr>
            </w:pPr>
          </w:p>
        </w:tc>
        <w:tc>
          <w:tcPr>
            <w:tcW w:w="1296" w:type="dxa"/>
            <w:tcBorders>
              <w:top w:val="single" w:sz="4" w:space="0" w:color="auto"/>
            </w:tcBorders>
            <w:shd w:val="clear" w:color="auto" w:fill="auto"/>
            <w:vAlign w:val="bottom"/>
          </w:tcPr>
          <w:p w14:paraId="23EBC7A5" w14:textId="77777777" w:rsidR="00467CAF" w:rsidRPr="002D2F67" w:rsidRDefault="00467CAF" w:rsidP="00467CAF">
            <w:pPr>
              <w:ind w:right="-72"/>
              <w:jc w:val="right"/>
              <w:rPr>
                <w:rFonts w:ascii="Arial" w:hAnsi="Arial" w:cs="Arial"/>
                <w:color w:val="000000"/>
                <w:sz w:val="20"/>
                <w:szCs w:val="20"/>
              </w:rPr>
            </w:pPr>
          </w:p>
        </w:tc>
        <w:tc>
          <w:tcPr>
            <w:tcW w:w="1296" w:type="dxa"/>
            <w:tcBorders>
              <w:top w:val="single" w:sz="4" w:space="0" w:color="auto"/>
            </w:tcBorders>
            <w:shd w:val="clear" w:color="auto" w:fill="auto"/>
            <w:vAlign w:val="bottom"/>
          </w:tcPr>
          <w:p w14:paraId="2756B892" w14:textId="77777777" w:rsidR="00467CAF" w:rsidRPr="002D2F67" w:rsidRDefault="00467CAF" w:rsidP="00467CAF">
            <w:pPr>
              <w:ind w:right="-72"/>
              <w:jc w:val="right"/>
              <w:rPr>
                <w:rFonts w:ascii="Arial" w:hAnsi="Arial" w:cs="Arial"/>
                <w:color w:val="000000"/>
                <w:sz w:val="20"/>
                <w:szCs w:val="20"/>
              </w:rPr>
            </w:pPr>
          </w:p>
        </w:tc>
      </w:tr>
      <w:tr w:rsidR="00467CAF" w:rsidRPr="002D2F67" w14:paraId="6F9BC4FA" w14:textId="77777777" w:rsidTr="002D2F67">
        <w:trPr>
          <w:trHeight w:val="63"/>
        </w:trPr>
        <w:tc>
          <w:tcPr>
            <w:tcW w:w="4277" w:type="dxa"/>
            <w:shd w:val="clear" w:color="auto" w:fill="auto"/>
          </w:tcPr>
          <w:p w14:paraId="41AF1590" w14:textId="00243E2F" w:rsidR="00467CAF" w:rsidRPr="002D2F67" w:rsidRDefault="00467CAF" w:rsidP="002D2F67">
            <w:pPr>
              <w:ind w:left="-86"/>
              <w:jc w:val="both"/>
              <w:rPr>
                <w:rFonts w:ascii="Arial" w:hAnsi="Arial" w:cs="Arial"/>
                <w:color w:val="000000"/>
                <w:sz w:val="20"/>
                <w:szCs w:val="20"/>
              </w:rPr>
            </w:pPr>
            <w:r w:rsidRPr="002D2F67">
              <w:rPr>
                <w:rFonts w:ascii="Arial" w:hAnsi="Arial" w:cs="Arial"/>
                <w:color w:val="000000"/>
                <w:sz w:val="20"/>
                <w:szCs w:val="20"/>
              </w:rPr>
              <w:t>Closing net book value</w:t>
            </w:r>
          </w:p>
        </w:tc>
        <w:tc>
          <w:tcPr>
            <w:tcW w:w="1296" w:type="dxa"/>
            <w:tcBorders>
              <w:bottom w:val="single" w:sz="4" w:space="0" w:color="auto"/>
            </w:tcBorders>
            <w:shd w:val="clear" w:color="auto" w:fill="auto"/>
            <w:vAlign w:val="bottom"/>
          </w:tcPr>
          <w:p w14:paraId="74DB1F7C" w14:textId="5C62061D" w:rsidR="00467CAF" w:rsidRPr="002D2F67" w:rsidRDefault="00CD5714" w:rsidP="00467CAF">
            <w:pPr>
              <w:ind w:right="-72"/>
              <w:jc w:val="right"/>
              <w:rPr>
                <w:rFonts w:ascii="Arial" w:hAnsi="Arial" w:cs="Arial"/>
                <w:color w:val="000000"/>
                <w:sz w:val="20"/>
                <w:szCs w:val="20"/>
              </w:rPr>
            </w:pPr>
            <w:r w:rsidRPr="00CD5714">
              <w:rPr>
                <w:rFonts w:ascii="Arial" w:hAnsi="Arial" w:cs="Arial"/>
                <w:color w:val="000000"/>
                <w:sz w:val="20"/>
                <w:szCs w:val="20"/>
                <w:lang w:val="en-GB"/>
              </w:rPr>
              <w:t>223</w:t>
            </w:r>
            <w:r w:rsidR="00467CAF" w:rsidRPr="002D2F67">
              <w:rPr>
                <w:rFonts w:ascii="Arial" w:hAnsi="Arial" w:cs="Arial"/>
                <w:color w:val="000000"/>
                <w:sz w:val="20"/>
                <w:szCs w:val="20"/>
              </w:rPr>
              <w:t>,</w:t>
            </w:r>
            <w:r w:rsidRPr="00CD5714">
              <w:rPr>
                <w:rFonts w:ascii="Arial" w:hAnsi="Arial" w:cs="Arial"/>
                <w:color w:val="000000"/>
                <w:sz w:val="20"/>
                <w:szCs w:val="20"/>
                <w:lang w:val="en-GB"/>
              </w:rPr>
              <w:t>564</w:t>
            </w:r>
          </w:p>
        </w:tc>
        <w:tc>
          <w:tcPr>
            <w:tcW w:w="1296" w:type="dxa"/>
            <w:tcBorders>
              <w:bottom w:val="single" w:sz="4" w:space="0" w:color="auto"/>
            </w:tcBorders>
            <w:shd w:val="clear" w:color="auto" w:fill="auto"/>
            <w:vAlign w:val="bottom"/>
          </w:tcPr>
          <w:p w14:paraId="1553C0A6" w14:textId="7C8F0F90" w:rsidR="00467CAF" w:rsidRPr="002D2F67" w:rsidRDefault="00CD5714" w:rsidP="00467CAF">
            <w:pPr>
              <w:ind w:right="-72"/>
              <w:jc w:val="right"/>
              <w:rPr>
                <w:rFonts w:ascii="Arial" w:hAnsi="Arial" w:cs="Arial"/>
                <w:color w:val="000000"/>
                <w:sz w:val="20"/>
                <w:szCs w:val="20"/>
              </w:rPr>
            </w:pPr>
            <w:r w:rsidRPr="00CD5714">
              <w:rPr>
                <w:rFonts w:ascii="Arial" w:hAnsi="Arial" w:cs="Arial"/>
                <w:color w:val="000000"/>
                <w:sz w:val="20"/>
                <w:szCs w:val="20"/>
                <w:lang w:val="en-GB"/>
              </w:rPr>
              <w:t>20</w:t>
            </w:r>
            <w:r w:rsidR="00467CAF" w:rsidRPr="002D2F67">
              <w:rPr>
                <w:rFonts w:ascii="Arial" w:hAnsi="Arial" w:cs="Arial"/>
                <w:color w:val="000000"/>
                <w:sz w:val="20"/>
                <w:szCs w:val="20"/>
              </w:rPr>
              <w:t>,</w:t>
            </w:r>
            <w:r w:rsidRPr="00CD5714">
              <w:rPr>
                <w:rFonts w:ascii="Arial" w:hAnsi="Arial" w:cs="Arial"/>
                <w:color w:val="000000"/>
                <w:sz w:val="20"/>
                <w:szCs w:val="20"/>
                <w:lang w:val="en-GB"/>
              </w:rPr>
              <w:t>313</w:t>
            </w:r>
          </w:p>
        </w:tc>
        <w:tc>
          <w:tcPr>
            <w:tcW w:w="1296" w:type="dxa"/>
            <w:tcBorders>
              <w:bottom w:val="single" w:sz="4" w:space="0" w:color="auto"/>
            </w:tcBorders>
            <w:shd w:val="clear" w:color="auto" w:fill="auto"/>
            <w:vAlign w:val="bottom"/>
          </w:tcPr>
          <w:p w14:paraId="491269A9" w14:textId="49E3E363" w:rsidR="00467CAF" w:rsidRPr="002D2F67" w:rsidRDefault="00CD5714" w:rsidP="00467CAF">
            <w:pPr>
              <w:ind w:right="-72"/>
              <w:jc w:val="right"/>
              <w:rPr>
                <w:rFonts w:ascii="Arial" w:hAnsi="Arial" w:cs="Arial"/>
                <w:color w:val="000000"/>
                <w:sz w:val="20"/>
                <w:szCs w:val="20"/>
              </w:rPr>
            </w:pPr>
            <w:r w:rsidRPr="00CD5714">
              <w:rPr>
                <w:rFonts w:ascii="Arial" w:hAnsi="Arial" w:cs="Arial"/>
                <w:color w:val="000000"/>
                <w:sz w:val="20"/>
                <w:szCs w:val="20"/>
                <w:lang w:val="en-GB"/>
              </w:rPr>
              <w:t>3</w:t>
            </w:r>
            <w:r w:rsidR="00467CAF" w:rsidRPr="002D2F67">
              <w:rPr>
                <w:rFonts w:ascii="Arial" w:hAnsi="Arial" w:cs="Arial"/>
                <w:color w:val="000000"/>
                <w:sz w:val="20"/>
                <w:szCs w:val="20"/>
              </w:rPr>
              <w:t>,</w:t>
            </w:r>
            <w:r w:rsidRPr="00CD5714">
              <w:rPr>
                <w:rFonts w:ascii="Arial" w:hAnsi="Arial" w:cs="Arial"/>
                <w:color w:val="000000"/>
                <w:sz w:val="20"/>
                <w:szCs w:val="20"/>
                <w:lang w:val="en-GB"/>
              </w:rPr>
              <w:t>832</w:t>
            </w:r>
          </w:p>
        </w:tc>
        <w:tc>
          <w:tcPr>
            <w:tcW w:w="1296" w:type="dxa"/>
            <w:tcBorders>
              <w:bottom w:val="single" w:sz="4" w:space="0" w:color="auto"/>
            </w:tcBorders>
            <w:shd w:val="clear" w:color="auto" w:fill="auto"/>
            <w:vAlign w:val="bottom"/>
          </w:tcPr>
          <w:p w14:paraId="626C4B90" w14:textId="61C847C2" w:rsidR="00467CAF" w:rsidRPr="002D2F67" w:rsidRDefault="00CD5714" w:rsidP="00467CAF">
            <w:pPr>
              <w:ind w:right="-72"/>
              <w:jc w:val="right"/>
              <w:rPr>
                <w:rFonts w:ascii="Arial" w:hAnsi="Arial" w:cs="Arial"/>
                <w:color w:val="000000"/>
                <w:sz w:val="20"/>
                <w:szCs w:val="20"/>
              </w:rPr>
            </w:pPr>
            <w:r w:rsidRPr="00CD5714">
              <w:rPr>
                <w:rFonts w:ascii="Arial" w:hAnsi="Arial" w:cs="Arial"/>
                <w:color w:val="000000"/>
                <w:sz w:val="20"/>
                <w:szCs w:val="20"/>
                <w:lang w:val="en-GB"/>
              </w:rPr>
              <w:t>247</w:t>
            </w:r>
            <w:r w:rsidR="00467CAF" w:rsidRPr="002D2F67">
              <w:rPr>
                <w:rFonts w:ascii="Arial" w:hAnsi="Arial" w:cs="Arial"/>
                <w:color w:val="000000"/>
                <w:sz w:val="20"/>
                <w:szCs w:val="20"/>
              </w:rPr>
              <w:t>,</w:t>
            </w:r>
            <w:r w:rsidRPr="00CD5714">
              <w:rPr>
                <w:rFonts w:ascii="Arial" w:hAnsi="Arial" w:cs="Arial"/>
                <w:color w:val="000000"/>
                <w:sz w:val="20"/>
                <w:szCs w:val="20"/>
                <w:lang w:val="en-GB"/>
              </w:rPr>
              <w:t>709</w:t>
            </w:r>
          </w:p>
        </w:tc>
      </w:tr>
    </w:tbl>
    <w:p w14:paraId="392C6320" w14:textId="77777777" w:rsidR="00D43726" w:rsidRPr="002D2F67" w:rsidRDefault="00EC5F30" w:rsidP="005611FE">
      <w:pPr>
        <w:rPr>
          <w:rFonts w:ascii="Arial" w:hAnsi="Arial" w:cs="Arial"/>
          <w:color w:val="000000"/>
          <w:sz w:val="20"/>
          <w:szCs w:val="20"/>
        </w:rPr>
      </w:pPr>
      <w:r w:rsidRPr="002D2F67">
        <w:rPr>
          <w:rFonts w:ascii="Arial" w:hAnsi="Arial" w:cs="Arial"/>
          <w:color w:val="000000"/>
          <w:sz w:val="20"/>
          <w:szCs w:val="20"/>
        </w:rPr>
        <w:br w:type="page"/>
      </w:r>
    </w:p>
    <w:p w14:paraId="6DB4B6B3" w14:textId="3CE17DAA" w:rsidR="00D53D82" w:rsidRPr="002D2F67" w:rsidRDefault="00941054" w:rsidP="007E76E0">
      <w:pPr>
        <w:jc w:val="both"/>
        <w:rPr>
          <w:rFonts w:ascii="Arial" w:eastAsia="Arial Unicode MS" w:hAnsi="Arial" w:cs="Arial"/>
          <w:color w:val="000000"/>
          <w:sz w:val="20"/>
          <w:szCs w:val="20"/>
        </w:rPr>
      </w:pPr>
      <w:r w:rsidRPr="002D2F67">
        <w:rPr>
          <w:rFonts w:ascii="Arial" w:eastAsia="Arial Unicode MS" w:hAnsi="Arial" w:cs="Arial"/>
          <w:color w:val="000000"/>
          <w:sz w:val="20"/>
          <w:szCs w:val="20"/>
        </w:rPr>
        <w:t xml:space="preserve">Expenses related to leases that are not included in the measurement of lease liabilities and right-of-use </w:t>
      </w:r>
      <w:r w:rsidR="00D9234D" w:rsidRPr="002D2F67">
        <w:rPr>
          <w:rFonts w:ascii="Arial" w:eastAsia="Arial Unicode MS" w:hAnsi="Arial" w:cs="Arial"/>
          <w:color w:val="000000"/>
          <w:sz w:val="20"/>
          <w:szCs w:val="20"/>
        </w:rPr>
        <w:t>were</w:t>
      </w:r>
      <w:r w:rsidRPr="002D2F67">
        <w:rPr>
          <w:rFonts w:ascii="Arial" w:eastAsia="Arial Unicode MS" w:hAnsi="Arial" w:cs="Arial"/>
          <w:color w:val="000000"/>
          <w:sz w:val="20"/>
          <w:szCs w:val="20"/>
        </w:rPr>
        <w:t xml:space="preserve"> as follows:</w:t>
      </w:r>
    </w:p>
    <w:p w14:paraId="48D1EBAF" w14:textId="77777777" w:rsidR="00D53D82" w:rsidRPr="002D2F67" w:rsidRDefault="00D53D82" w:rsidP="005611FE">
      <w:pPr>
        <w:jc w:val="both"/>
        <w:rPr>
          <w:rFonts w:ascii="Arial" w:eastAsia="Arial Unicode MS" w:hAnsi="Arial" w:cs="Arial"/>
          <w:color w:val="000000"/>
          <w:sz w:val="22"/>
          <w:szCs w:val="22"/>
        </w:rPr>
      </w:pPr>
    </w:p>
    <w:tbl>
      <w:tblPr>
        <w:tblW w:w="9553" w:type="dxa"/>
        <w:tblInd w:w="18" w:type="dxa"/>
        <w:tblLayout w:type="fixed"/>
        <w:tblLook w:val="0000" w:firstRow="0" w:lastRow="0" w:firstColumn="0" w:lastColumn="0" w:noHBand="0" w:noVBand="0"/>
      </w:tblPr>
      <w:tblGrid>
        <w:gridCol w:w="4062"/>
        <w:gridCol w:w="1372"/>
        <w:gridCol w:w="1373"/>
        <w:gridCol w:w="1373"/>
        <w:gridCol w:w="1373"/>
      </w:tblGrid>
      <w:tr w:rsidR="00D53D82" w:rsidRPr="002D2F67" w14:paraId="7F0B1CEA" w14:textId="77777777" w:rsidTr="008255E8">
        <w:trPr>
          <w:trHeight w:val="107"/>
        </w:trPr>
        <w:tc>
          <w:tcPr>
            <w:tcW w:w="4062" w:type="dxa"/>
            <w:shd w:val="clear" w:color="auto" w:fill="auto"/>
          </w:tcPr>
          <w:p w14:paraId="384B7FC0" w14:textId="77777777" w:rsidR="00D53D82" w:rsidRPr="002D2F67" w:rsidRDefault="00D53D82" w:rsidP="005611FE">
            <w:pPr>
              <w:ind w:left="-16"/>
              <w:rPr>
                <w:rFonts w:ascii="Arial" w:hAnsi="Arial" w:cs="Arial"/>
                <w:color w:val="000000"/>
                <w:sz w:val="20"/>
                <w:szCs w:val="20"/>
              </w:rPr>
            </w:pPr>
          </w:p>
        </w:tc>
        <w:tc>
          <w:tcPr>
            <w:tcW w:w="2745" w:type="dxa"/>
            <w:gridSpan w:val="2"/>
            <w:tcBorders>
              <w:bottom w:val="single" w:sz="4" w:space="0" w:color="auto"/>
            </w:tcBorders>
            <w:shd w:val="clear" w:color="auto" w:fill="auto"/>
          </w:tcPr>
          <w:p w14:paraId="21AB9ADC" w14:textId="77777777" w:rsidR="008255E8" w:rsidRPr="002D2F67" w:rsidRDefault="003B66A5"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406252BB" w14:textId="75DFB18E" w:rsidR="003B66A5" w:rsidRPr="002D2F67" w:rsidRDefault="003B66A5" w:rsidP="005611FE">
            <w:pPr>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2746" w:type="dxa"/>
            <w:gridSpan w:val="2"/>
            <w:tcBorders>
              <w:bottom w:val="single" w:sz="4" w:space="0" w:color="auto"/>
            </w:tcBorders>
            <w:shd w:val="clear" w:color="auto" w:fill="auto"/>
          </w:tcPr>
          <w:p w14:paraId="589544A3" w14:textId="77777777" w:rsidR="00D53D82" w:rsidRPr="002D2F67" w:rsidRDefault="00D53D82" w:rsidP="005611FE">
            <w:pPr>
              <w:pStyle w:val="ListParagraph"/>
              <w:spacing w:after="0" w:line="240" w:lineRule="auto"/>
              <w:ind w:left="320" w:right="-72"/>
              <w:jc w:val="right"/>
              <w:rPr>
                <w:rFonts w:ascii="Arial" w:hAnsi="Arial" w:cs="Arial"/>
                <w:b/>
                <w:bCs/>
                <w:color w:val="000000"/>
                <w:sz w:val="20"/>
                <w:szCs w:val="20"/>
              </w:rPr>
            </w:pPr>
            <w:r w:rsidRPr="002D2F67">
              <w:rPr>
                <w:rFonts w:ascii="Arial" w:hAnsi="Arial" w:cs="Arial"/>
                <w:b/>
                <w:bCs/>
                <w:color w:val="000000"/>
                <w:sz w:val="20"/>
                <w:szCs w:val="20"/>
              </w:rPr>
              <w:t>Separate</w:t>
            </w:r>
          </w:p>
          <w:p w14:paraId="71770BC3" w14:textId="77777777" w:rsidR="00D53D82" w:rsidRPr="002D2F67" w:rsidRDefault="00D53D82" w:rsidP="005611FE">
            <w:pPr>
              <w:ind w:right="-72"/>
              <w:jc w:val="right"/>
              <w:rPr>
                <w:rFonts w:ascii="Arial" w:hAnsi="Arial" w:cs="Arial"/>
                <w:color w:val="000000"/>
                <w:sz w:val="20"/>
                <w:szCs w:val="20"/>
              </w:rPr>
            </w:pPr>
            <w:r w:rsidRPr="002D2F67">
              <w:rPr>
                <w:rFonts w:ascii="Arial" w:hAnsi="Arial" w:cs="Arial"/>
                <w:b/>
                <w:bCs/>
                <w:color w:val="000000"/>
                <w:sz w:val="20"/>
                <w:szCs w:val="20"/>
              </w:rPr>
              <w:t>financial statements</w:t>
            </w:r>
          </w:p>
        </w:tc>
      </w:tr>
      <w:tr w:rsidR="00D43EB8" w:rsidRPr="002D2F67" w14:paraId="7D0BAB31" w14:textId="77777777" w:rsidTr="008255E8">
        <w:trPr>
          <w:trHeight w:val="204"/>
        </w:trPr>
        <w:tc>
          <w:tcPr>
            <w:tcW w:w="4062" w:type="dxa"/>
            <w:shd w:val="clear" w:color="auto" w:fill="auto"/>
          </w:tcPr>
          <w:p w14:paraId="68613E8F" w14:textId="77777777" w:rsidR="00D43EB8" w:rsidRPr="002D2F67" w:rsidRDefault="00D43EB8" w:rsidP="005611FE">
            <w:pPr>
              <w:ind w:left="-16"/>
              <w:rPr>
                <w:rFonts w:ascii="Arial" w:hAnsi="Arial" w:cs="Arial"/>
                <w:color w:val="000000"/>
                <w:sz w:val="20"/>
                <w:szCs w:val="20"/>
              </w:rPr>
            </w:pPr>
          </w:p>
        </w:tc>
        <w:tc>
          <w:tcPr>
            <w:tcW w:w="1372" w:type="dxa"/>
            <w:tcBorders>
              <w:top w:val="single" w:sz="4" w:space="0" w:color="auto"/>
            </w:tcBorders>
            <w:shd w:val="clear" w:color="auto" w:fill="auto"/>
          </w:tcPr>
          <w:p w14:paraId="4CFADD8D" w14:textId="6C0F9F59" w:rsidR="003B66A5"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1373" w:type="dxa"/>
            <w:tcBorders>
              <w:top w:val="single" w:sz="4" w:space="0" w:color="auto"/>
            </w:tcBorders>
            <w:shd w:val="clear" w:color="auto" w:fill="auto"/>
          </w:tcPr>
          <w:p w14:paraId="183ACF25" w14:textId="2D79EE61" w:rsidR="003B66A5"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c>
          <w:tcPr>
            <w:tcW w:w="1373" w:type="dxa"/>
            <w:tcBorders>
              <w:top w:val="single" w:sz="4" w:space="0" w:color="auto"/>
            </w:tcBorders>
            <w:shd w:val="clear" w:color="auto" w:fill="auto"/>
          </w:tcPr>
          <w:p w14:paraId="75A9D008" w14:textId="5E066F8D" w:rsidR="00D43EB8"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1373" w:type="dxa"/>
            <w:tcBorders>
              <w:top w:val="single" w:sz="4" w:space="0" w:color="auto"/>
            </w:tcBorders>
            <w:shd w:val="clear" w:color="auto" w:fill="auto"/>
          </w:tcPr>
          <w:p w14:paraId="0E9ECC2E" w14:textId="4EB3D69F" w:rsidR="00D43EB8"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D53D82" w:rsidRPr="002D2F67" w14:paraId="4B899963" w14:textId="77777777" w:rsidTr="005611FE">
        <w:trPr>
          <w:trHeight w:val="107"/>
        </w:trPr>
        <w:tc>
          <w:tcPr>
            <w:tcW w:w="4062" w:type="dxa"/>
            <w:shd w:val="clear" w:color="auto" w:fill="auto"/>
          </w:tcPr>
          <w:p w14:paraId="43B376A1" w14:textId="2272AED6" w:rsidR="00D53D82" w:rsidRPr="002D2F67" w:rsidRDefault="005271A1" w:rsidP="005611FE">
            <w:pPr>
              <w:ind w:left="-16"/>
              <w:rPr>
                <w:rFonts w:ascii="Arial" w:hAnsi="Arial" w:cs="Arial"/>
                <w:color w:val="000000"/>
                <w:sz w:val="20"/>
                <w:szCs w:val="20"/>
              </w:rPr>
            </w:pPr>
            <w:r w:rsidRPr="002D2F67">
              <w:rPr>
                <w:rFonts w:ascii="Arial" w:hAnsi="Arial" w:cs="Arial"/>
                <w:b/>
                <w:bCs/>
                <w:color w:val="000000"/>
                <w:sz w:val="20"/>
                <w:szCs w:val="20"/>
              </w:rPr>
              <w:t xml:space="preserve">For the year ended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w:t>
            </w:r>
          </w:p>
        </w:tc>
        <w:tc>
          <w:tcPr>
            <w:tcW w:w="1372" w:type="dxa"/>
            <w:tcBorders>
              <w:bottom w:val="single" w:sz="4" w:space="0" w:color="auto"/>
            </w:tcBorders>
            <w:shd w:val="clear" w:color="auto" w:fill="auto"/>
            <w:vAlign w:val="bottom"/>
          </w:tcPr>
          <w:p w14:paraId="410FE366" w14:textId="42B7EC33" w:rsidR="003B66A5" w:rsidRPr="002D2F67" w:rsidRDefault="003B66A5"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373" w:type="dxa"/>
            <w:tcBorders>
              <w:bottom w:val="single" w:sz="4" w:space="0" w:color="auto"/>
            </w:tcBorders>
            <w:shd w:val="clear" w:color="auto" w:fill="auto"/>
            <w:vAlign w:val="bottom"/>
          </w:tcPr>
          <w:p w14:paraId="662306B3" w14:textId="0DD23500" w:rsidR="003B66A5" w:rsidRPr="002D2F67" w:rsidRDefault="003B66A5"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373" w:type="dxa"/>
            <w:tcBorders>
              <w:bottom w:val="single" w:sz="4" w:space="0" w:color="auto"/>
            </w:tcBorders>
            <w:shd w:val="clear" w:color="auto" w:fill="auto"/>
            <w:vAlign w:val="bottom"/>
          </w:tcPr>
          <w:p w14:paraId="56DAD3D5" w14:textId="1C548A2D" w:rsidR="00D53D82" w:rsidRPr="002D2F67" w:rsidRDefault="003B66A5"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373" w:type="dxa"/>
            <w:tcBorders>
              <w:bottom w:val="single" w:sz="4" w:space="0" w:color="auto"/>
            </w:tcBorders>
            <w:shd w:val="clear" w:color="auto" w:fill="auto"/>
            <w:vAlign w:val="bottom"/>
          </w:tcPr>
          <w:p w14:paraId="23FD67F3" w14:textId="7FE65B6E" w:rsidR="00D53D82" w:rsidRPr="002D2F67" w:rsidRDefault="003B66A5"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3B66A5" w:rsidRPr="002D2F67" w14:paraId="03C142FA" w14:textId="77777777" w:rsidTr="005611FE">
        <w:trPr>
          <w:trHeight w:val="107"/>
        </w:trPr>
        <w:tc>
          <w:tcPr>
            <w:tcW w:w="4062" w:type="dxa"/>
            <w:shd w:val="clear" w:color="auto" w:fill="auto"/>
          </w:tcPr>
          <w:p w14:paraId="189167A2" w14:textId="77777777" w:rsidR="003B66A5" w:rsidRPr="002D2F67" w:rsidRDefault="003B66A5" w:rsidP="005611FE">
            <w:pPr>
              <w:ind w:left="-16"/>
              <w:rPr>
                <w:rFonts w:ascii="Arial" w:hAnsi="Arial" w:cs="Arial"/>
                <w:color w:val="000000"/>
                <w:sz w:val="20"/>
                <w:szCs w:val="20"/>
              </w:rPr>
            </w:pPr>
          </w:p>
        </w:tc>
        <w:tc>
          <w:tcPr>
            <w:tcW w:w="1372" w:type="dxa"/>
            <w:tcBorders>
              <w:top w:val="single" w:sz="4" w:space="0" w:color="auto"/>
            </w:tcBorders>
            <w:shd w:val="clear" w:color="auto" w:fill="auto"/>
            <w:vAlign w:val="bottom"/>
          </w:tcPr>
          <w:p w14:paraId="1D4170DE" w14:textId="77777777" w:rsidR="003B66A5" w:rsidRPr="002D2F67" w:rsidRDefault="003B66A5" w:rsidP="005611FE">
            <w:pPr>
              <w:ind w:right="-72"/>
              <w:jc w:val="right"/>
              <w:rPr>
                <w:rFonts w:ascii="Arial" w:hAnsi="Arial" w:cs="Arial"/>
                <w:b/>
                <w:bCs/>
                <w:color w:val="000000"/>
                <w:sz w:val="20"/>
                <w:szCs w:val="20"/>
              </w:rPr>
            </w:pPr>
          </w:p>
        </w:tc>
        <w:tc>
          <w:tcPr>
            <w:tcW w:w="1373" w:type="dxa"/>
            <w:tcBorders>
              <w:top w:val="single" w:sz="4" w:space="0" w:color="auto"/>
            </w:tcBorders>
            <w:shd w:val="clear" w:color="auto" w:fill="auto"/>
            <w:vAlign w:val="bottom"/>
          </w:tcPr>
          <w:p w14:paraId="7293C545" w14:textId="77777777" w:rsidR="003B66A5" w:rsidRPr="002D2F67" w:rsidRDefault="003B66A5" w:rsidP="005611FE">
            <w:pPr>
              <w:ind w:right="-72"/>
              <w:jc w:val="right"/>
              <w:rPr>
                <w:rFonts w:ascii="Arial" w:hAnsi="Arial" w:cs="Arial"/>
                <w:b/>
                <w:bCs/>
                <w:color w:val="000000"/>
                <w:sz w:val="20"/>
                <w:szCs w:val="20"/>
              </w:rPr>
            </w:pPr>
          </w:p>
        </w:tc>
        <w:tc>
          <w:tcPr>
            <w:tcW w:w="1373" w:type="dxa"/>
            <w:tcBorders>
              <w:top w:val="single" w:sz="4" w:space="0" w:color="auto"/>
            </w:tcBorders>
            <w:shd w:val="clear" w:color="auto" w:fill="auto"/>
            <w:vAlign w:val="bottom"/>
          </w:tcPr>
          <w:p w14:paraId="2A03D2FE" w14:textId="77777777" w:rsidR="003B66A5" w:rsidRPr="002D2F67" w:rsidRDefault="003B66A5" w:rsidP="005611FE">
            <w:pPr>
              <w:ind w:right="-72"/>
              <w:jc w:val="right"/>
              <w:rPr>
                <w:rFonts w:ascii="Arial" w:hAnsi="Arial" w:cs="Arial"/>
                <w:b/>
                <w:bCs/>
                <w:color w:val="000000"/>
                <w:sz w:val="20"/>
                <w:szCs w:val="20"/>
              </w:rPr>
            </w:pPr>
          </w:p>
        </w:tc>
        <w:tc>
          <w:tcPr>
            <w:tcW w:w="1373" w:type="dxa"/>
            <w:tcBorders>
              <w:top w:val="single" w:sz="4" w:space="0" w:color="auto"/>
            </w:tcBorders>
            <w:shd w:val="clear" w:color="auto" w:fill="auto"/>
            <w:vAlign w:val="bottom"/>
          </w:tcPr>
          <w:p w14:paraId="6FC2158A" w14:textId="77777777" w:rsidR="003B66A5" w:rsidRPr="002D2F67" w:rsidRDefault="003B66A5" w:rsidP="005611FE">
            <w:pPr>
              <w:ind w:right="-72"/>
              <w:jc w:val="right"/>
              <w:rPr>
                <w:rFonts w:ascii="Arial" w:hAnsi="Arial" w:cs="Arial"/>
                <w:b/>
                <w:bCs/>
                <w:color w:val="000000"/>
                <w:sz w:val="20"/>
                <w:szCs w:val="20"/>
              </w:rPr>
            </w:pPr>
          </w:p>
        </w:tc>
      </w:tr>
      <w:tr w:rsidR="00D53D82" w:rsidRPr="002D2F67" w14:paraId="71C03F0D" w14:textId="77777777" w:rsidTr="005611FE">
        <w:trPr>
          <w:trHeight w:val="107"/>
        </w:trPr>
        <w:tc>
          <w:tcPr>
            <w:tcW w:w="4062" w:type="dxa"/>
            <w:shd w:val="clear" w:color="auto" w:fill="auto"/>
          </w:tcPr>
          <w:p w14:paraId="78CE4912" w14:textId="7C9E6274" w:rsidR="00D53D82" w:rsidRPr="002D2F67" w:rsidRDefault="00D53D82" w:rsidP="005611FE">
            <w:pPr>
              <w:ind w:left="-16"/>
              <w:rPr>
                <w:rFonts w:ascii="Arial" w:hAnsi="Arial" w:cs="Arial"/>
                <w:b/>
                <w:bCs/>
                <w:color w:val="000000"/>
                <w:sz w:val="20"/>
                <w:szCs w:val="20"/>
              </w:rPr>
            </w:pPr>
          </w:p>
        </w:tc>
        <w:tc>
          <w:tcPr>
            <w:tcW w:w="1372" w:type="dxa"/>
            <w:shd w:val="clear" w:color="auto" w:fill="auto"/>
          </w:tcPr>
          <w:p w14:paraId="6127E842" w14:textId="77777777" w:rsidR="003B66A5" w:rsidRPr="002D2F67" w:rsidRDefault="003B66A5" w:rsidP="005611FE">
            <w:pPr>
              <w:ind w:right="-72"/>
              <w:jc w:val="right"/>
              <w:rPr>
                <w:rFonts w:ascii="Arial" w:hAnsi="Arial" w:cs="Arial"/>
                <w:color w:val="000000"/>
                <w:sz w:val="20"/>
                <w:szCs w:val="20"/>
              </w:rPr>
            </w:pPr>
          </w:p>
        </w:tc>
        <w:tc>
          <w:tcPr>
            <w:tcW w:w="1373" w:type="dxa"/>
            <w:shd w:val="clear" w:color="auto" w:fill="auto"/>
          </w:tcPr>
          <w:p w14:paraId="3D086D25" w14:textId="77777777" w:rsidR="003B66A5" w:rsidRPr="002D2F67" w:rsidRDefault="003B66A5" w:rsidP="005611FE">
            <w:pPr>
              <w:ind w:right="-72"/>
              <w:jc w:val="right"/>
              <w:rPr>
                <w:rFonts w:ascii="Arial" w:hAnsi="Arial" w:cs="Arial"/>
                <w:color w:val="000000"/>
                <w:sz w:val="20"/>
                <w:szCs w:val="20"/>
              </w:rPr>
            </w:pPr>
          </w:p>
        </w:tc>
        <w:tc>
          <w:tcPr>
            <w:tcW w:w="1373" w:type="dxa"/>
            <w:shd w:val="clear" w:color="auto" w:fill="auto"/>
          </w:tcPr>
          <w:p w14:paraId="1CD63D24" w14:textId="77777777" w:rsidR="00D53D82" w:rsidRPr="002D2F67" w:rsidRDefault="00D53D82" w:rsidP="005611FE">
            <w:pPr>
              <w:ind w:right="-72"/>
              <w:jc w:val="right"/>
              <w:rPr>
                <w:rFonts w:ascii="Arial" w:hAnsi="Arial" w:cs="Arial"/>
                <w:color w:val="000000"/>
                <w:sz w:val="20"/>
                <w:szCs w:val="20"/>
              </w:rPr>
            </w:pPr>
          </w:p>
        </w:tc>
        <w:tc>
          <w:tcPr>
            <w:tcW w:w="1373" w:type="dxa"/>
            <w:shd w:val="clear" w:color="auto" w:fill="auto"/>
          </w:tcPr>
          <w:p w14:paraId="61F43C75" w14:textId="77777777" w:rsidR="00D53D82" w:rsidRPr="002D2F67" w:rsidRDefault="00D53D82" w:rsidP="005611FE">
            <w:pPr>
              <w:ind w:right="-72"/>
              <w:jc w:val="right"/>
              <w:rPr>
                <w:rFonts w:ascii="Arial" w:hAnsi="Arial" w:cs="Arial"/>
                <w:color w:val="000000"/>
                <w:sz w:val="20"/>
                <w:szCs w:val="20"/>
              </w:rPr>
            </w:pPr>
          </w:p>
        </w:tc>
      </w:tr>
      <w:tr w:rsidR="0004779D" w:rsidRPr="002D2F67" w14:paraId="3C447197" w14:textId="77777777" w:rsidTr="005611FE">
        <w:trPr>
          <w:trHeight w:val="107"/>
        </w:trPr>
        <w:tc>
          <w:tcPr>
            <w:tcW w:w="4062" w:type="dxa"/>
            <w:shd w:val="clear" w:color="auto" w:fill="auto"/>
            <w:vAlign w:val="bottom"/>
          </w:tcPr>
          <w:p w14:paraId="773FBACC" w14:textId="77777777" w:rsidR="0004779D" w:rsidRPr="002D2F67" w:rsidRDefault="0004779D" w:rsidP="005611FE">
            <w:pPr>
              <w:ind w:left="-16"/>
              <w:rPr>
                <w:rFonts w:ascii="Arial" w:hAnsi="Arial" w:cs="Arial"/>
                <w:color w:val="000000"/>
                <w:spacing w:val="-6"/>
                <w:sz w:val="20"/>
                <w:szCs w:val="20"/>
              </w:rPr>
            </w:pPr>
            <w:r w:rsidRPr="002D2F67">
              <w:rPr>
                <w:rFonts w:ascii="Arial" w:hAnsi="Arial" w:cs="Arial"/>
                <w:color w:val="000000"/>
                <w:spacing w:val="-6"/>
                <w:sz w:val="20"/>
                <w:szCs w:val="20"/>
              </w:rPr>
              <w:t>Expense relating to leases of low-value assets</w:t>
            </w:r>
          </w:p>
        </w:tc>
        <w:tc>
          <w:tcPr>
            <w:tcW w:w="1372" w:type="dxa"/>
            <w:shd w:val="clear" w:color="auto" w:fill="auto"/>
            <w:vAlign w:val="bottom"/>
          </w:tcPr>
          <w:p w14:paraId="55CD8063" w14:textId="5353330E" w:rsidR="0004779D" w:rsidRPr="002D2F67" w:rsidRDefault="00CD5714" w:rsidP="005611FE">
            <w:pPr>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28</w:t>
            </w:r>
            <w:r w:rsidR="00A070E2"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509</w:t>
            </w:r>
          </w:p>
        </w:tc>
        <w:tc>
          <w:tcPr>
            <w:tcW w:w="1373" w:type="dxa"/>
            <w:shd w:val="clear" w:color="auto" w:fill="auto"/>
            <w:vAlign w:val="bottom"/>
          </w:tcPr>
          <w:p w14:paraId="4C81E12A" w14:textId="0F27F7E4" w:rsidR="0004779D" w:rsidRPr="002D2F67" w:rsidRDefault="00CD5714" w:rsidP="005611FE">
            <w:pPr>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14</w:t>
            </w:r>
            <w:r w:rsidR="0004779D"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239</w:t>
            </w:r>
          </w:p>
        </w:tc>
        <w:tc>
          <w:tcPr>
            <w:tcW w:w="1373" w:type="dxa"/>
            <w:tcBorders>
              <w:top w:val="nil"/>
              <w:left w:val="nil"/>
              <w:right w:val="nil"/>
            </w:tcBorders>
            <w:shd w:val="clear" w:color="auto" w:fill="auto"/>
            <w:vAlign w:val="bottom"/>
          </w:tcPr>
          <w:p w14:paraId="62EE25A9" w14:textId="228F82D6" w:rsidR="0004779D" w:rsidRPr="002D2F67" w:rsidRDefault="00CD5714" w:rsidP="005611FE">
            <w:pPr>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2</w:t>
            </w:r>
            <w:r w:rsidR="00A070E2"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891</w:t>
            </w:r>
          </w:p>
        </w:tc>
        <w:tc>
          <w:tcPr>
            <w:tcW w:w="1373" w:type="dxa"/>
            <w:tcBorders>
              <w:top w:val="nil"/>
              <w:left w:val="nil"/>
              <w:right w:val="nil"/>
            </w:tcBorders>
            <w:shd w:val="clear" w:color="auto" w:fill="auto"/>
            <w:vAlign w:val="bottom"/>
          </w:tcPr>
          <w:p w14:paraId="6527A07B" w14:textId="2BD746CC" w:rsidR="0004779D" w:rsidRPr="002D2F67" w:rsidRDefault="00CD5714" w:rsidP="005611FE">
            <w:pPr>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4</w:t>
            </w:r>
            <w:r w:rsidR="0004779D"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078</w:t>
            </w:r>
          </w:p>
        </w:tc>
      </w:tr>
      <w:tr w:rsidR="0004779D" w:rsidRPr="002D2F67" w14:paraId="0FCA6520" w14:textId="77777777" w:rsidTr="005611FE">
        <w:trPr>
          <w:trHeight w:val="107"/>
        </w:trPr>
        <w:tc>
          <w:tcPr>
            <w:tcW w:w="4062" w:type="dxa"/>
            <w:shd w:val="clear" w:color="auto" w:fill="auto"/>
            <w:vAlign w:val="bottom"/>
          </w:tcPr>
          <w:p w14:paraId="55CA3811" w14:textId="58BF23D3" w:rsidR="0004779D" w:rsidRPr="002D2F67" w:rsidRDefault="0004779D" w:rsidP="005611FE">
            <w:pPr>
              <w:ind w:left="-16"/>
              <w:rPr>
                <w:rFonts w:ascii="Arial" w:hAnsi="Arial" w:cs="Arial"/>
                <w:color w:val="000000"/>
                <w:sz w:val="20"/>
                <w:szCs w:val="20"/>
              </w:rPr>
            </w:pPr>
            <w:r w:rsidRPr="002D2F67">
              <w:rPr>
                <w:rFonts w:ascii="Arial" w:hAnsi="Arial" w:cs="Arial"/>
                <w:color w:val="000000"/>
                <w:sz w:val="20"/>
                <w:szCs w:val="20"/>
              </w:rPr>
              <w:t>Total cash outflow for leases</w:t>
            </w:r>
          </w:p>
        </w:tc>
        <w:tc>
          <w:tcPr>
            <w:tcW w:w="1372" w:type="dxa"/>
            <w:shd w:val="clear" w:color="auto" w:fill="auto"/>
            <w:vAlign w:val="bottom"/>
          </w:tcPr>
          <w:p w14:paraId="4BA0FA41" w14:textId="74D1B947" w:rsidR="0004779D" w:rsidRPr="002D2F67" w:rsidRDefault="00CD5714" w:rsidP="005611FE">
            <w:pPr>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167</w:t>
            </w:r>
            <w:r w:rsidR="00A070E2"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504</w:t>
            </w:r>
          </w:p>
        </w:tc>
        <w:tc>
          <w:tcPr>
            <w:tcW w:w="1373" w:type="dxa"/>
            <w:shd w:val="clear" w:color="auto" w:fill="auto"/>
            <w:vAlign w:val="bottom"/>
          </w:tcPr>
          <w:p w14:paraId="0194D015" w14:textId="349109C2" w:rsidR="0004779D" w:rsidRPr="002D2F67" w:rsidRDefault="00CD5714" w:rsidP="005611FE">
            <w:pPr>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124</w:t>
            </w:r>
            <w:r w:rsidR="0004779D"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906</w:t>
            </w:r>
          </w:p>
        </w:tc>
        <w:tc>
          <w:tcPr>
            <w:tcW w:w="1373" w:type="dxa"/>
            <w:tcBorders>
              <w:top w:val="nil"/>
              <w:left w:val="nil"/>
              <w:bottom w:val="nil"/>
              <w:right w:val="nil"/>
            </w:tcBorders>
            <w:shd w:val="clear" w:color="auto" w:fill="auto"/>
            <w:vAlign w:val="bottom"/>
          </w:tcPr>
          <w:p w14:paraId="49D5DA0A" w14:textId="1AC98A12" w:rsidR="0004779D" w:rsidRPr="002D2F67" w:rsidRDefault="00CD5714" w:rsidP="005611FE">
            <w:pPr>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54</w:t>
            </w:r>
            <w:r w:rsidR="00A070E2"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116</w:t>
            </w:r>
          </w:p>
        </w:tc>
        <w:tc>
          <w:tcPr>
            <w:tcW w:w="1373" w:type="dxa"/>
            <w:tcBorders>
              <w:top w:val="nil"/>
              <w:left w:val="nil"/>
              <w:bottom w:val="nil"/>
              <w:right w:val="nil"/>
            </w:tcBorders>
            <w:shd w:val="clear" w:color="auto" w:fill="auto"/>
            <w:vAlign w:val="bottom"/>
          </w:tcPr>
          <w:p w14:paraId="2C1A80C2" w14:textId="3EECEF9F" w:rsidR="0004779D" w:rsidRPr="002D2F67" w:rsidRDefault="00CD5714" w:rsidP="005611FE">
            <w:pPr>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11</w:t>
            </w:r>
            <w:r w:rsidR="0004779D"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092</w:t>
            </w:r>
          </w:p>
        </w:tc>
      </w:tr>
    </w:tbl>
    <w:p w14:paraId="2EDCC0BD" w14:textId="6691BC47" w:rsidR="008D5520" w:rsidRPr="002D2F67" w:rsidRDefault="008D5520" w:rsidP="005611FE">
      <w:pPr>
        <w:rPr>
          <w:rFonts w:ascii="Arial" w:hAnsi="Arial" w:cs="Arial"/>
          <w:color w:val="000000"/>
          <w:sz w:val="20"/>
          <w:szCs w:val="20"/>
        </w:rPr>
      </w:pPr>
    </w:p>
    <w:p w14:paraId="69CE7DF0" w14:textId="77777777" w:rsidR="00941054" w:rsidRPr="002D2F67" w:rsidRDefault="00941054" w:rsidP="005611FE">
      <w:pPr>
        <w:pStyle w:val="BodyTextIndent2"/>
        <w:spacing w:line="240" w:lineRule="auto"/>
        <w:ind w:left="0"/>
        <w:jc w:val="left"/>
        <w:rPr>
          <w:rFonts w:ascii="Arial" w:hAnsi="Arial" w:cs="Arial"/>
          <w:spacing w:val="-2"/>
        </w:rPr>
      </w:pPr>
    </w:p>
    <w:p w14:paraId="31C24139" w14:textId="2A5B04F8" w:rsidR="00862F48"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23</w:t>
      </w:r>
      <w:r w:rsidR="00862F48" w:rsidRPr="002D2F67">
        <w:rPr>
          <w:rFonts w:ascii="Arial" w:hAnsi="Arial" w:cs="Arial"/>
          <w:b/>
          <w:bCs/>
          <w:color w:val="000000"/>
          <w:kern w:val="26"/>
          <w:position w:val="-24"/>
          <w:sz w:val="20"/>
          <w:szCs w:val="20"/>
          <w:cs/>
        </w:rPr>
        <w:tab/>
      </w:r>
      <w:r w:rsidR="00862F48" w:rsidRPr="002D2F67">
        <w:rPr>
          <w:rFonts w:ascii="Arial" w:hAnsi="Arial" w:cs="Arial"/>
          <w:b/>
          <w:bCs/>
          <w:color w:val="000000"/>
          <w:kern w:val="26"/>
          <w:position w:val="-24"/>
          <w:sz w:val="20"/>
          <w:szCs w:val="20"/>
        </w:rPr>
        <w:t>Goodwill</w:t>
      </w:r>
      <w:r w:rsidR="00A76587" w:rsidRPr="002D2F67">
        <w:rPr>
          <w:rFonts w:ascii="Arial" w:hAnsi="Arial" w:cs="Arial"/>
          <w:b/>
          <w:bCs/>
          <w:color w:val="000000"/>
          <w:kern w:val="26"/>
          <w:position w:val="-24"/>
          <w:sz w:val="20"/>
          <w:szCs w:val="25"/>
        </w:rPr>
        <w:t>, net</w:t>
      </w:r>
    </w:p>
    <w:p w14:paraId="044CE3CE" w14:textId="77777777" w:rsidR="00235335" w:rsidRPr="002D2F67" w:rsidRDefault="00235335" w:rsidP="005611FE">
      <w:pPr>
        <w:pStyle w:val="BodyTextIndent2"/>
        <w:spacing w:line="240" w:lineRule="auto"/>
        <w:ind w:left="0"/>
        <w:jc w:val="left"/>
        <w:rPr>
          <w:rFonts w:ascii="Arial" w:hAnsi="Arial" w:cs="Arial"/>
          <w:spacing w:val="-2"/>
        </w:rPr>
      </w:pPr>
    </w:p>
    <w:tbl>
      <w:tblPr>
        <w:tblW w:w="9576" w:type="dxa"/>
        <w:tblLayout w:type="fixed"/>
        <w:tblLook w:val="04A0" w:firstRow="1" w:lastRow="0" w:firstColumn="1" w:lastColumn="0" w:noHBand="0" w:noVBand="1"/>
      </w:tblPr>
      <w:tblGrid>
        <w:gridCol w:w="6840"/>
        <w:gridCol w:w="1368"/>
        <w:gridCol w:w="1368"/>
      </w:tblGrid>
      <w:tr w:rsidR="00296C0C" w:rsidRPr="002D2F67" w14:paraId="4BC1D34B" w14:textId="77777777" w:rsidTr="002D2F67">
        <w:trPr>
          <w:trHeight w:val="255"/>
        </w:trPr>
        <w:tc>
          <w:tcPr>
            <w:tcW w:w="6840" w:type="dxa"/>
            <w:shd w:val="clear" w:color="auto" w:fill="auto"/>
            <w:vAlign w:val="bottom"/>
          </w:tcPr>
          <w:p w14:paraId="64BE6D8A" w14:textId="77777777" w:rsidR="00296C0C" w:rsidRPr="002D2F67" w:rsidRDefault="00296C0C" w:rsidP="005611FE">
            <w:pPr>
              <w:jc w:val="both"/>
              <w:rPr>
                <w:rFonts w:ascii="Arial" w:hAnsi="Arial" w:cs="Arial"/>
                <w:color w:val="000000"/>
                <w:sz w:val="20"/>
                <w:szCs w:val="20"/>
              </w:rPr>
            </w:pPr>
          </w:p>
        </w:tc>
        <w:tc>
          <w:tcPr>
            <w:tcW w:w="2736" w:type="dxa"/>
            <w:gridSpan w:val="2"/>
            <w:tcBorders>
              <w:bottom w:val="single" w:sz="4" w:space="0" w:color="auto"/>
            </w:tcBorders>
            <w:shd w:val="clear" w:color="auto" w:fill="auto"/>
            <w:vAlign w:val="bottom"/>
          </w:tcPr>
          <w:p w14:paraId="787D301B" w14:textId="77777777" w:rsidR="00C66FA0" w:rsidRPr="002D2F67" w:rsidRDefault="00296C0C" w:rsidP="005611FE">
            <w:pPr>
              <w:ind w:right="-72"/>
              <w:jc w:val="right"/>
              <w:rPr>
                <w:rFonts w:ascii="Arial" w:hAnsi="Arial" w:cs="Arial"/>
                <w:b/>
                <w:bCs/>
                <w:color w:val="000000"/>
                <w:sz w:val="20"/>
                <w:szCs w:val="20"/>
              </w:rPr>
            </w:pPr>
            <w:r w:rsidRPr="002D2F67">
              <w:rPr>
                <w:rFonts w:ascii="Arial" w:hAnsi="Arial" w:cs="Arial"/>
                <w:b/>
                <w:bCs/>
                <w:color w:val="000000"/>
                <w:sz w:val="20"/>
                <w:szCs w:val="20"/>
              </w:rPr>
              <w:t>Consolidated</w:t>
            </w:r>
            <w:r w:rsidR="00C66FA0" w:rsidRPr="002D2F67">
              <w:rPr>
                <w:rFonts w:ascii="Arial" w:hAnsi="Arial" w:cs="Arial"/>
                <w:b/>
                <w:bCs/>
                <w:color w:val="000000"/>
                <w:sz w:val="20"/>
                <w:szCs w:val="20"/>
              </w:rPr>
              <w:t xml:space="preserve"> </w:t>
            </w:r>
          </w:p>
          <w:p w14:paraId="75AB6801" w14:textId="77777777" w:rsidR="00296C0C" w:rsidRPr="002D2F67" w:rsidRDefault="00C66FA0" w:rsidP="005611FE">
            <w:pPr>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r w:rsidR="00296C0C" w:rsidRPr="002D2F67">
              <w:rPr>
                <w:rFonts w:ascii="Arial" w:hAnsi="Arial" w:cs="Arial"/>
                <w:b/>
                <w:bCs/>
                <w:color w:val="000000"/>
                <w:sz w:val="20"/>
                <w:szCs w:val="20"/>
              </w:rPr>
              <w:t xml:space="preserve"> </w:t>
            </w:r>
          </w:p>
        </w:tc>
      </w:tr>
      <w:tr w:rsidR="00296C0C" w:rsidRPr="002D2F67" w14:paraId="49DE7FF7" w14:textId="77777777" w:rsidTr="002D2F67">
        <w:tc>
          <w:tcPr>
            <w:tcW w:w="6840" w:type="dxa"/>
            <w:shd w:val="clear" w:color="auto" w:fill="auto"/>
            <w:vAlign w:val="bottom"/>
          </w:tcPr>
          <w:p w14:paraId="65D3B17F" w14:textId="77777777" w:rsidR="00296C0C" w:rsidRPr="002D2F67" w:rsidRDefault="00296C0C" w:rsidP="005611FE">
            <w:pPr>
              <w:jc w:val="both"/>
              <w:rPr>
                <w:rFonts w:ascii="Arial" w:hAnsi="Arial" w:cs="Arial"/>
                <w:color w:val="000000"/>
                <w:sz w:val="20"/>
                <w:szCs w:val="20"/>
              </w:rPr>
            </w:pPr>
          </w:p>
        </w:tc>
        <w:tc>
          <w:tcPr>
            <w:tcW w:w="1368" w:type="dxa"/>
            <w:tcBorders>
              <w:top w:val="single" w:sz="4" w:space="0" w:color="auto"/>
            </w:tcBorders>
            <w:shd w:val="clear" w:color="auto" w:fill="auto"/>
            <w:vAlign w:val="bottom"/>
          </w:tcPr>
          <w:p w14:paraId="054D3965" w14:textId="538FC991" w:rsidR="00296C0C"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368" w:type="dxa"/>
            <w:tcBorders>
              <w:top w:val="single" w:sz="4" w:space="0" w:color="auto"/>
            </w:tcBorders>
            <w:shd w:val="clear" w:color="auto" w:fill="auto"/>
            <w:vAlign w:val="bottom"/>
          </w:tcPr>
          <w:p w14:paraId="7E9F8C83" w14:textId="54582A1D" w:rsidR="00296C0C"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296C0C" w:rsidRPr="002D2F67" w14:paraId="5AB3D3DF" w14:textId="77777777" w:rsidTr="002D2F67">
        <w:tc>
          <w:tcPr>
            <w:tcW w:w="6840" w:type="dxa"/>
            <w:shd w:val="clear" w:color="auto" w:fill="auto"/>
            <w:vAlign w:val="bottom"/>
          </w:tcPr>
          <w:p w14:paraId="77E002AA" w14:textId="77777777" w:rsidR="00296C0C" w:rsidRPr="002D2F67" w:rsidRDefault="00296C0C" w:rsidP="005611FE">
            <w:pPr>
              <w:jc w:val="both"/>
              <w:rPr>
                <w:rFonts w:ascii="Arial" w:hAnsi="Arial" w:cs="Arial"/>
                <w:color w:val="000000"/>
                <w:sz w:val="20"/>
                <w:szCs w:val="20"/>
              </w:rPr>
            </w:pPr>
          </w:p>
        </w:tc>
        <w:tc>
          <w:tcPr>
            <w:tcW w:w="1368" w:type="dxa"/>
            <w:tcBorders>
              <w:bottom w:val="single" w:sz="4" w:space="0" w:color="auto"/>
            </w:tcBorders>
            <w:shd w:val="clear" w:color="auto" w:fill="auto"/>
            <w:vAlign w:val="bottom"/>
          </w:tcPr>
          <w:p w14:paraId="67D32F16" w14:textId="5DCF1D9E" w:rsidR="00296C0C" w:rsidRPr="002D2F67" w:rsidRDefault="00296C0C" w:rsidP="005611FE">
            <w:pPr>
              <w:ind w:right="-72"/>
              <w:jc w:val="right"/>
              <w:rPr>
                <w:rFonts w:ascii="Arial" w:hAnsi="Arial" w:cs="Arial"/>
                <w:color w:val="000000"/>
                <w:sz w:val="20"/>
                <w:szCs w:val="20"/>
                <w:cs/>
              </w:rPr>
            </w:pPr>
            <w:r w:rsidRPr="002D2F67">
              <w:rPr>
                <w:rFonts w:ascii="Arial" w:hAnsi="Arial" w:cs="Arial"/>
                <w:b/>
                <w:bCs/>
                <w:color w:val="000000"/>
                <w:sz w:val="20"/>
                <w:szCs w:val="20"/>
              </w:rPr>
              <w:t>Baht</w:t>
            </w:r>
            <w:r w:rsidR="000D290C" w:rsidRPr="002D2F67">
              <w:rPr>
                <w:rFonts w:ascii="Arial" w:hAnsi="Arial" w:cs="Arial"/>
                <w:b/>
                <w:bCs/>
                <w:color w:val="000000"/>
                <w:sz w:val="20"/>
                <w:szCs w:val="20"/>
              </w:rPr>
              <w:t>’</w:t>
            </w:r>
            <w:r w:rsidR="00CD5714" w:rsidRPr="00CD5714">
              <w:rPr>
                <w:rFonts w:ascii="Arial" w:hAnsi="Arial" w:cs="Arial"/>
                <w:b/>
                <w:bCs/>
                <w:color w:val="000000"/>
                <w:sz w:val="20"/>
                <w:szCs w:val="20"/>
                <w:lang w:val="en-GB"/>
              </w:rPr>
              <w:t>000</w:t>
            </w:r>
          </w:p>
        </w:tc>
        <w:tc>
          <w:tcPr>
            <w:tcW w:w="1368" w:type="dxa"/>
            <w:tcBorders>
              <w:bottom w:val="single" w:sz="4" w:space="0" w:color="auto"/>
            </w:tcBorders>
            <w:shd w:val="clear" w:color="auto" w:fill="auto"/>
            <w:vAlign w:val="bottom"/>
          </w:tcPr>
          <w:p w14:paraId="2BC25E99" w14:textId="5952AC4C" w:rsidR="00296C0C" w:rsidRPr="002D2F67" w:rsidRDefault="00296C0C" w:rsidP="005611FE">
            <w:pPr>
              <w:ind w:right="-72"/>
              <w:jc w:val="right"/>
              <w:rPr>
                <w:rFonts w:ascii="Arial" w:hAnsi="Arial" w:cs="Arial"/>
                <w:color w:val="000000"/>
                <w:sz w:val="20"/>
                <w:szCs w:val="20"/>
                <w:cs/>
              </w:rPr>
            </w:pPr>
            <w:r w:rsidRPr="002D2F67">
              <w:rPr>
                <w:rFonts w:ascii="Arial" w:hAnsi="Arial" w:cs="Arial"/>
                <w:b/>
                <w:bCs/>
                <w:color w:val="000000"/>
                <w:sz w:val="20"/>
                <w:szCs w:val="20"/>
              </w:rPr>
              <w:t>Baht</w:t>
            </w:r>
            <w:r w:rsidR="000D290C" w:rsidRPr="002D2F67">
              <w:rPr>
                <w:rFonts w:ascii="Arial" w:hAnsi="Arial" w:cs="Arial"/>
                <w:b/>
                <w:bCs/>
                <w:color w:val="000000"/>
                <w:sz w:val="20"/>
                <w:szCs w:val="20"/>
              </w:rPr>
              <w:t>’</w:t>
            </w:r>
            <w:r w:rsidR="00CD5714" w:rsidRPr="00CD5714">
              <w:rPr>
                <w:rFonts w:ascii="Arial" w:hAnsi="Arial" w:cs="Arial"/>
                <w:b/>
                <w:bCs/>
                <w:color w:val="000000"/>
                <w:sz w:val="20"/>
                <w:szCs w:val="20"/>
                <w:lang w:val="en-GB"/>
              </w:rPr>
              <w:t>000</w:t>
            </w:r>
          </w:p>
        </w:tc>
      </w:tr>
      <w:tr w:rsidR="00296C0C" w:rsidRPr="002D2F67" w14:paraId="4100B70B" w14:textId="77777777" w:rsidTr="002D2F67">
        <w:tc>
          <w:tcPr>
            <w:tcW w:w="6840" w:type="dxa"/>
            <w:shd w:val="clear" w:color="auto" w:fill="auto"/>
            <w:vAlign w:val="bottom"/>
          </w:tcPr>
          <w:p w14:paraId="3FD3E602" w14:textId="59B85AC5" w:rsidR="00296C0C" w:rsidRPr="002D2F67" w:rsidRDefault="00296C0C" w:rsidP="005611FE">
            <w:pPr>
              <w:jc w:val="both"/>
              <w:rPr>
                <w:rFonts w:ascii="Arial" w:hAnsi="Arial" w:cs="Arial"/>
                <w:color w:val="000000"/>
                <w:sz w:val="20"/>
                <w:szCs w:val="20"/>
              </w:rPr>
            </w:pPr>
            <w:r w:rsidRPr="002D2F67">
              <w:rPr>
                <w:rFonts w:ascii="Arial" w:hAnsi="Arial" w:cs="Arial"/>
                <w:b/>
                <w:bCs/>
                <w:color w:val="000000"/>
                <w:sz w:val="20"/>
                <w:szCs w:val="20"/>
              </w:rPr>
              <w:t xml:space="preserve">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1</w:t>
            </w:r>
            <w:r w:rsidRPr="002D2F67">
              <w:rPr>
                <w:rFonts w:ascii="Arial" w:hAnsi="Arial" w:cs="Arial"/>
                <w:b/>
                <w:bCs/>
                <w:color w:val="000000"/>
                <w:sz w:val="20"/>
                <w:szCs w:val="20"/>
              </w:rPr>
              <w:t xml:space="preserve"> January</w:t>
            </w:r>
          </w:p>
        </w:tc>
        <w:tc>
          <w:tcPr>
            <w:tcW w:w="1368" w:type="dxa"/>
            <w:tcBorders>
              <w:top w:val="single" w:sz="4" w:space="0" w:color="auto"/>
            </w:tcBorders>
            <w:shd w:val="clear" w:color="auto" w:fill="auto"/>
            <w:vAlign w:val="bottom"/>
          </w:tcPr>
          <w:p w14:paraId="3F2BA5F4" w14:textId="77777777" w:rsidR="00296C0C" w:rsidRPr="002D2F67" w:rsidRDefault="00296C0C" w:rsidP="005611FE">
            <w:pPr>
              <w:ind w:right="-72"/>
              <w:jc w:val="right"/>
              <w:rPr>
                <w:rFonts w:ascii="Arial" w:hAnsi="Arial" w:cs="Arial"/>
                <w:color w:val="000000"/>
                <w:sz w:val="20"/>
                <w:szCs w:val="20"/>
              </w:rPr>
            </w:pPr>
          </w:p>
        </w:tc>
        <w:tc>
          <w:tcPr>
            <w:tcW w:w="1368" w:type="dxa"/>
            <w:tcBorders>
              <w:top w:val="single" w:sz="4" w:space="0" w:color="auto"/>
            </w:tcBorders>
            <w:shd w:val="clear" w:color="auto" w:fill="auto"/>
            <w:vAlign w:val="bottom"/>
          </w:tcPr>
          <w:p w14:paraId="088A6992" w14:textId="77777777" w:rsidR="00296C0C" w:rsidRPr="002D2F67" w:rsidRDefault="00296C0C" w:rsidP="005611FE">
            <w:pPr>
              <w:ind w:right="-72"/>
              <w:jc w:val="right"/>
              <w:rPr>
                <w:rFonts w:ascii="Arial" w:hAnsi="Arial" w:cs="Arial"/>
                <w:color w:val="000000"/>
                <w:sz w:val="20"/>
                <w:szCs w:val="20"/>
              </w:rPr>
            </w:pPr>
          </w:p>
        </w:tc>
      </w:tr>
      <w:tr w:rsidR="0004779D" w:rsidRPr="002D2F67" w14:paraId="74541C49" w14:textId="77777777" w:rsidTr="002D2F67">
        <w:tc>
          <w:tcPr>
            <w:tcW w:w="6840" w:type="dxa"/>
            <w:shd w:val="clear" w:color="auto" w:fill="auto"/>
            <w:vAlign w:val="bottom"/>
          </w:tcPr>
          <w:p w14:paraId="537AF2E4" w14:textId="77777777" w:rsidR="0004779D" w:rsidRPr="002D2F67" w:rsidRDefault="0004779D" w:rsidP="005611FE">
            <w:pPr>
              <w:jc w:val="both"/>
              <w:rPr>
                <w:rFonts w:ascii="Arial" w:hAnsi="Arial" w:cs="Arial"/>
                <w:b/>
                <w:bCs/>
                <w:color w:val="000000"/>
                <w:sz w:val="20"/>
                <w:szCs w:val="20"/>
              </w:rPr>
            </w:pPr>
            <w:r w:rsidRPr="002D2F67">
              <w:rPr>
                <w:rFonts w:ascii="Arial" w:hAnsi="Arial" w:cs="Arial"/>
                <w:color w:val="000000"/>
                <w:sz w:val="20"/>
                <w:szCs w:val="20"/>
              </w:rPr>
              <w:t xml:space="preserve">Cost </w:t>
            </w:r>
          </w:p>
        </w:tc>
        <w:tc>
          <w:tcPr>
            <w:tcW w:w="1368" w:type="dxa"/>
            <w:shd w:val="clear" w:color="auto" w:fill="auto"/>
            <w:vAlign w:val="bottom"/>
          </w:tcPr>
          <w:p w14:paraId="2EC50320" w14:textId="0D7A32D0"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127377" w:rsidRPr="002D2F67">
              <w:rPr>
                <w:rFonts w:ascii="Arial" w:hAnsi="Arial" w:cs="Arial"/>
                <w:color w:val="000000"/>
                <w:sz w:val="20"/>
                <w:szCs w:val="20"/>
              </w:rPr>
              <w:t>,</w:t>
            </w:r>
            <w:r w:rsidRPr="00CD5714">
              <w:rPr>
                <w:rFonts w:ascii="Arial" w:hAnsi="Arial" w:cs="Arial"/>
                <w:color w:val="000000"/>
                <w:sz w:val="20"/>
                <w:szCs w:val="20"/>
                <w:lang w:val="en-GB"/>
              </w:rPr>
              <w:t>193</w:t>
            </w:r>
            <w:r w:rsidR="00127377" w:rsidRPr="002D2F67">
              <w:rPr>
                <w:rFonts w:ascii="Arial" w:hAnsi="Arial" w:cs="Arial"/>
                <w:color w:val="000000"/>
                <w:sz w:val="20"/>
                <w:szCs w:val="20"/>
              </w:rPr>
              <w:t>,</w:t>
            </w:r>
            <w:r w:rsidRPr="00CD5714">
              <w:rPr>
                <w:rFonts w:ascii="Arial" w:hAnsi="Arial" w:cs="Arial"/>
                <w:color w:val="000000"/>
                <w:sz w:val="20"/>
                <w:szCs w:val="20"/>
                <w:lang w:val="en-GB"/>
              </w:rPr>
              <w:t>088</w:t>
            </w:r>
          </w:p>
        </w:tc>
        <w:tc>
          <w:tcPr>
            <w:tcW w:w="1368" w:type="dxa"/>
            <w:shd w:val="clear" w:color="auto" w:fill="auto"/>
            <w:vAlign w:val="bottom"/>
          </w:tcPr>
          <w:p w14:paraId="5715A47C" w14:textId="08A644C5"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04779D" w:rsidRPr="002D2F67">
              <w:rPr>
                <w:rFonts w:ascii="Arial" w:hAnsi="Arial" w:cs="Arial"/>
                <w:color w:val="000000"/>
                <w:sz w:val="20"/>
                <w:szCs w:val="20"/>
              </w:rPr>
              <w:t>,</w:t>
            </w:r>
            <w:r w:rsidRPr="00CD5714">
              <w:rPr>
                <w:rFonts w:ascii="Arial" w:hAnsi="Arial" w:cs="Arial"/>
                <w:color w:val="000000"/>
                <w:sz w:val="20"/>
                <w:szCs w:val="20"/>
                <w:lang w:val="en-GB"/>
              </w:rPr>
              <w:t>374</w:t>
            </w:r>
            <w:r w:rsidR="0004779D" w:rsidRPr="002D2F67">
              <w:rPr>
                <w:rFonts w:ascii="Arial" w:hAnsi="Arial" w:cs="Arial"/>
                <w:color w:val="000000"/>
                <w:sz w:val="20"/>
                <w:szCs w:val="20"/>
              </w:rPr>
              <w:t>,</w:t>
            </w:r>
            <w:r w:rsidRPr="00CD5714">
              <w:rPr>
                <w:rFonts w:ascii="Arial" w:hAnsi="Arial" w:cs="Arial"/>
                <w:color w:val="000000"/>
                <w:sz w:val="20"/>
                <w:szCs w:val="20"/>
                <w:lang w:val="en-GB"/>
              </w:rPr>
              <w:t>751</w:t>
            </w:r>
          </w:p>
        </w:tc>
      </w:tr>
      <w:tr w:rsidR="0004779D" w:rsidRPr="002D2F67" w14:paraId="31379B01" w14:textId="77777777" w:rsidTr="002D2F67">
        <w:tc>
          <w:tcPr>
            <w:tcW w:w="6840" w:type="dxa"/>
            <w:shd w:val="clear" w:color="auto" w:fill="auto"/>
            <w:vAlign w:val="bottom"/>
          </w:tcPr>
          <w:p w14:paraId="59CE044B" w14:textId="39ED04DC" w:rsidR="0004779D" w:rsidRPr="002D2F67" w:rsidRDefault="0004779D" w:rsidP="005611FE">
            <w:pPr>
              <w:jc w:val="both"/>
              <w:rPr>
                <w:rFonts w:ascii="Arial" w:hAnsi="Arial" w:cs="Arial"/>
                <w:color w:val="000000"/>
                <w:sz w:val="20"/>
                <w:szCs w:val="20"/>
                <w:cs/>
              </w:rPr>
            </w:pPr>
            <w:r w:rsidRPr="002D2F67">
              <w:rPr>
                <w:rFonts w:ascii="Arial" w:hAnsi="Arial" w:cs="Arial"/>
                <w:color w:val="000000"/>
                <w:sz w:val="20"/>
                <w:szCs w:val="20"/>
                <w:u w:val="single"/>
              </w:rPr>
              <w:t>Less</w:t>
            </w:r>
            <w:r w:rsidRPr="002D2F67">
              <w:rPr>
                <w:rFonts w:ascii="Arial" w:hAnsi="Arial" w:cs="Arial"/>
                <w:color w:val="000000"/>
                <w:sz w:val="20"/>
                <w:szCs w:val="20"/>
              </w:rPr>
              <w:t xml:space="preserve"> </w:t>
            </w:r>
            <w:r w:rsidR="004F4DED" w:rsidRPr="002D2F67">
              <w:rPr>
                <w:rFonts w:ascii="Arial" w:hAnsi="Arial" w:cs="Arial"/>
                <w:color w:val="000000"/>
                <w:sz w:val="20"/>
                <w:szCs w:val="20"/>
              </w:rPr>
              <w:t xml:space="preserve"> </w:t>
            </w:r>
            <w:r w:rsidR="00F733ED" w:rsidRPr="002D2F67">
              <w:rPr>
                <w:rFonts w:ascii="Arial" w:hAnsi="Arial" w:cs="Arial"/>
                <w:color w:val="000000"/>
                <w:sz w:val="20"/>
                <w:szCs w:val="20"/>
              </w:rPr>
              <w:t>accumulated</w:t>
            </w:r>
            <w:r w:rsidRPr="002D2F67">
              <w:rPr>
                <w:rFonts w:ascii="Arial" w:hAnsi="Arial" w:cs="Arial"/>
                <w:color w:val="000000"/>
                <w:sz w:val="20"/>
                <w:szCs w:val="20"/>
              </w:rPr>
              <w:t xml:space="preserve"> impairment</w:t>
            </w:r>
          </w:p>
        </w:tc>
        <w:tc>
          <w:tcPr>
            <w:tcW w:w="1368" w:type="dxa"/>
            <w:tcBorders>
              <w:bottom w:val="single" w:sz="4" w:space="0" w:color="auto"/>
            </w:tcBorders>
            <w:shd w:val="clear" w:color="auto" w:fill="auto"/>
            <w:vAlign w:val="bottom"/>
          </w:tcPr>
          <w:p w14:paraId="4F87A11D" w14:textId="52184F1D" w:rsidR="0004779D" w:rsidRPr="002D2F67" w:rsidRDefault="00127377"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368" w:type="dxa"/>
            <w:tcBorders>
              <w:bottom w:val="single" w:sz="4" w:space="0" w:color="auto"/>
            </w:tcBorders>
            <w:shd w:val="clear" w:color="auto" w:fill="auto"/>
            <w:vAlign w:val="bottom"/>
          </w:tcPr>
          <w:p w14:paraId="213CB6A5" w14:textId="71577BC8"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p>
        </w:tc>
      </w:tr>
      <w:tr w:rsidR="0004779D" w:rsidRPr="002D2F67" w14:paraId="35542ACE" w14:textId="77777777" w:rsidTr="002D2F67">
        <w:trPr>
          <w:trHeight w:val="80"/>
        </w:trPr>
        <w:tc>
          <w:tcPr>
            <w:tcW w:w="6840" w:type="dxa"/>
            <w:shd w:val="clear" w:color="auto" w:fill="auto"/>
            <w:vAlign w:val="bottom"/>
          </w:tcPr>
          <w:p w14:paraId="3D423EA5" w14:textId="77777777" w:rsidR="0004779D" w:rsidRPr="002D2F67" w:rsidRDefault="0004779D" w:rsidP="005611FE">
            <w:pPr>
              <w:jc w:val="both"/>
              <w:rPr>
                <w:rFonts w:ascii="Arial" w:hAnsi="Arial" w:cs="Arial"/>
                <w:color w:val="000000"/>
                <w:sz w:val="20"/>
                <w:szCs w:val="20"/>
                <w:u w:val="single"/>
              </w:rPr>
            </w:pPr>
          </w:p>
        </w:tc>
        <w:tc>
          <w:tcPr>
            <w:tcW w:w="1368" w:type="dxa"/>
            <w:tcBorders>
              <w:top w:val="single" w:sz="4" w:space="0" w:color="auto"/>
            </w:tcBorders>
            <w:shd w:val="clear" w:color="auto" w:fill="auto"/>
            <w:vAlign w:val="bottom"/>
          </w:tcPr>
          <w:p w14:paraId="316A0C25" w14:textId="77777777" w:rsidR="0004779D" w:rsidRPr="002D2F67" w:rsidRDefault="0004779D" w:rsidP="005611FE">
            <w:pPr>
              <w:ind w:right="-72"/>
              <w:jc w:val="right"/>
              <w:rPr>
                <w:rFonts w:ascii="Arial" w:hAnsi="Arial" w:cs="Arial"/>
                <w:color w:val="000000"/>
                <w:sz w:val="20"/>
                <w:szCs w:val="20"/>
              </w:rPr>
            </w:pPr>
          </w:p>
        </w:tc>
        <w:tc>
          <w:tcPr>
            <w:tcW w:w="1368" w:type="dxa"/>
            <w:tcBorders>
              <w:top w:val="single" w:sz="4" w:space="0" w:color="auto"/>
            </w:tcBorders>
            <w:shd w:val="clear" w:color="auto" w:fill="auto"/>
            <w:vAlign w:val="bottom"/>
          </w:tcPr>
          <w:p w14:paraId="4C60B6DD" w14:textId="77777777" w:rsidR="0004779D" w:rsidRPr="002D2F67" w:rsidRDefault="0004779D" w:rsidP="005611FE">
            <w:pPr>
              <w:ind w:right="-72"/>
              <w:jc w:val="right"/>
              <w:rPr>
                <w:rFonts w:ascii="Arial" w:hAnsi="Arial" w:cs="Arial"/>
                <w:color w:val="000000"/>
                <w:sz w:val="20"/>
                <w:szCs w:val="20"/>
              </w:rPr>
            </w:pPr>
          </w:p>
        </w:tc>
      </w:tr>
      <w:tr w:rsidR="0004779D" w:rsidRPr="002D2F67" w14:paraId="784C5088" w14:textId="77777777" w:rsidTr="002D2F67">
        <w:tc>
          <w:tcPr>
            <w:tcW w:w="6840" w:type="dxa"/>
            <w:shd w:val="clear" w:color="auto" w:fill="auto"/>
            <w:vAlign w:val="bottom"/>
          </w:tcPr>
          <w:p w14:paraId="78FAF79A" w14:textId="77777777" w:rsidR="0004779D" w:rsidRPr="002D2F67" w:rsidRDefault="0004779D" w:rsidP="005611FE">
            <w:pPr>
              <w:jc w:val="both"/>
              <w:rPr>
                <w:rFonts w:ascii="Arial" w:hAnsi="Arial" w:cs="Arial"/>
                <w:color w:val="000000"/>
                <w:sz w:val="20"/>
                <w:szCs w:val="20"/>
                <w:u w:val="single"/>
              </w:rPr>
            </w:pPr>
            <w:r w:rsidRPr="002D2F67">
              <w:rPr>
                <w:rFonts w:ascii="Arial" w:hAnsi="Arial" w:cs="Arial"/>
                <w:color w:val="000000"/>
                <w:sz w:val="20"/>
                <w:szCs w:val="20"/>
              </w:rPr>
              <w:t>Net book value</w:t>
            </w:r>
          </w:p>
        </w:tc>
        <w:tc>
          <w:tcPr>
            <w:tcW w:w="1368" w:type="dxa"/>
            <w:tcBorders>
              <w:bottom w:val="single" w:sz="4" w:space="0" w:color="auto"/>
            </w:tcBorders>
            <w:shd w:val="clear" w:color="auto" w:fill="auto"/>
            <w:vAlign w:val="bottom"/>
          </w:tcPr>
          <w:p w14:paraId="4EF9B5D2" w14:textId="16A319EE"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127377" w:rsidRPr="002D2F67">
              <w:rPr>
                <w:rFonts w:ascii="Arial" w:hAnsi="Arial" w:cs="Arial"/>
                <w:color w:val="000000"/>
                <w:sz w:val="20"/>
                <w:szCs w:val="20"/>
              </w:rPr>
              <w:t>,</w:t>
            </w:r>
            <w:r w:rsidRPr="00CD5714">
              <w:rPr>
                <w:rFonts w:ascii="Arial" w:hAnsi="Arial" w:cs="Arial"/>
                <w:color w:val="000000"/>
                <w:sz w:val="20"/>
                <w:szCs w:val="20"/>
                <w:lang w:val="en-GB"/>
              </w:rPr>
              <w:t>193</w:t>
            </w:r>
            <w:r w:rsidR="00127377" w:rsidRPr="002D2F67">
              <w:rPr>
                <w:rFonts w:ascii="Arial" w:hAnsi="Arial" w:cs="Arial"/>
                <w:color w:val="000000"/>
                <w:sz w:val="20"/>
                <w:szCs w:val="20"/>
              </w:rPr>
              <w:t>,</w:t>
            </w:r>
            <w:r w:rsidRPr="00CD5714">
              <w:rPr>
                <w:rFonts w:ascii="Arial" w:hAnsi="Arial" w:cs="Arial"/>
                <w:color w:val="000000"/>
                <w:sz w:val="20"/>
                <w:szCs w:val="20"/>
                <w:lang w:val="en-GB"/>
              </w:rPr>
              <w:t>088</w:t>
            </w:r>
          </w:p>
        </w:tc>
        <w:tc>
          <w:tcPr>
            <w:tcW w:w="1368" w:type="dxa"/>
            <w:tcBorders>
              <w:bottom w:val="single" w:sz="4" w:space="0" w:color="auto"/>
            </w:tcBorders>
            <w:shd w:val="clear" w:color="auto" w:fill="auto"/>
            <w:vAlign w:val="bottom"/>
          </w:tcPr>
          <w:p w14:paraId="5CC12243" w14:textId="7635B736"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04779D" w:rsidRPr="002D2F67">
              <w:rPr>
                <w:rFonts w:ascii="Arial" w:hAnsi="Arial" w:cs="Arial"/>
                <w:color w:val="000000"/>
                <w:sz w:val="20"/>
                <w:szCs w:val="20"/>
              </w:rPr>
              <w:t>,</w:t>
            </w:r>
            <w:r w:rsidRPr="00CD5714">
              <w:rPr>
                <w:rFonts w:ascii="Arial" w:hAnsi="Arial" w:cs="Arial"/>
                <w:color w:val="000000"/>
                <w:sz w:val="20"/>
                <w:szCs w:val="20"/>
                <w:lang w:val="en-GB"/>
              </w:rPr>
              <w:t>374</w:t>
            </w:r>
            <w:r w:rsidR="0004779D" w:rsidRPr="002D2F67">
              <w:rPr>
                <w:rFonts w:ascii="Arial" w:hAnsi="Arial" w:cs="Arial"/>
                <w:color w:val="000000"/>
                <w:sz w:val="20"/>
                <w:szCs w:val="20"/>
              </w:rPr>
              <w:t>,</w:t>
            </w:r>
            <w:r w:rsidRPr="00CD5714">
              <w:rPr>
                <w:rFonts w:ascii="Arial" w:hAnsi="Arial" w:cs="Arial"/>
                <w:color w:val="000000"/>
                <w:sz w:val="20"/>
                <w:szCs w:val="20"/>
                <w:lang w:val="en-GB"/>
              </w:rPr>
              <w:t>751</w:t>
            </w:r>
          </w:p>
        </w:tc>
      </w:tr>
      <w:tr w:rsidR="0004779D" w:rsidRPr="002D2F67" w14:paraId="768C1B8B" w14:textId="77777777" w:rsidTr="002D2F67">
        <w:tc>
          <w:tcPr>
            <w:tcW w:w="6840" w:type="dxa"/>
            <w:shd w:val="clear" w:color="auto" w:fill="auto"/>
            <w:vAlign w:val="bottom"/>
          </w:tcPr>
          <w:p w14:paraId="22BA7CB3" w14:textId="77777777" w:rsidR="0004779D" w:rsidRPr="002D2F67" w:rsidRDefault="0004779D" w:rsidP="005611FE">
            <w:pPr>
              <w:jc w:val="both"/>
              <w:rPr>
                <w:rFonts w:ascii="Arial" w:hAnsi="Arial" w:cs="Arial"/>
                <w:b/>
                <w:bCs/>
                <w:color w:val="000000"/>
                <w:sz w:val="20"/>
                <w:szCs w:val="20"/>
              </w:rPr>
            </w:pPr>
          </w:p>
        </w:tc>
        <w:tc>
          <w:tcPr>
            <w:tcW w:w="1368" w:type="dxa"/>
            <w:tcBorders>
              <w:top w:val="single" w:sz="4" w:space="0" w:color="auto"/>
            </w:tcBorders>
            <w:shd w:val="clear" w:color="auto" w:fill="auto"/>
            <w:vAlign w:val="bottom"/>
          </w:tcPr>
          <w:p w14:paraId="674EAC47" w14:textId="77777777" w:rsidR="0004779D" w:rsidRPr="002D2F67" w:rsidRDefault="0004779D" w:rsidP="005611FE">
            <w:pPr>
              <w:ind w:right="-72"/>
              <w:jc w:val="right"/>
              <w:rPr>
                <w:rFonts w:ascii="Arial" w:hAnsi="Arial" w:cs="Arial"/>
                <w:color w:val="000000"/>
                <w:sz w:val="20"/>
                <w:szCs w:val="20"/>
              </w:rPr>
            </w:pPr>
          </w:p>
        </w:tc>
        <w:tc>
          <w:tcPr>
            <w:tcW w:w="1368" w:type="dxa"/>
            <w:tcBorders>
              <w:top w:val="single" w:sz="4" w:space="0" w:color="auto"/>
            </w:tcBorders>
            <w:shd w:val="clear" w:color="auto" w:fill="auto"/>
            <w:vAlign w:val="bottom"/>
          </w:tcPr>
          <w:p w14:paraId="5034040C" w14:textId="77777777" w:rsidR="0004779D" w:rsidRPr="002D2F67" w:rsidRDefault="0004779D" w:rsidP="005611FE">
            <w:pPr>
              <w:ind w:right="-72"/>
              <w:jc w:val="right"/>
              <w:rPr>
                <w:rFonts w:ascii="Arial" w:hAnsi="Arial" w:cs="Arial"/>
                <w:color w:val="000000"/>
                <w:sz w:val="20"/>
                <w:szCs w:val="20"/>
              </w:rPr>
            </w:pPr>
          </w:p>
        </w:tc>
      </w:tr>
      <w:tr w:rsidR="0004779D" w:rsidRPr="002D2F67" w14:paraId="66723BD8" w14:textId="77777777" w:rsidTr="002D2F67">
        <w:tc>
          <w:tcPr>
            <w:tcW w:w="6840" w:type="dxa"/>
            <w:shd w:val="clear" w:color="auto" w:fill="auto"/>
            <w:vAlign w:val="bottom"/>
          </w:tcPr>
          <w:p w14:paraId="7809A5DE" w14:textId="35907681" w:rsidR="0004779D" w:rsidRPr="002D2F67" w:rsidRDefault="0004779D" w:rsidP="005611FE">
            <w:pPr>
              <w:jc w:val="both"/>
              <w:rPr>
                <w:rFonts w:ascii="Arial" w:hAnsi="Arial" w:cs="Arial"/>
                <w:b/>
                <w:bCs/>
                <w:color w:val="000000"/>
                <w:sz w:val="20"/>
                <w:szCs w:val="20"/>
              </w:rPr>
            </w:pPr>
            <w:r w:rsidRPr="002D2F67">
              <w:rPr>
                <w:rFonts w:ascii="Arial" w:hAnsi="Arial" w:cs="Arial"/>
                <w:b/>
                <w:bCs/>
                <w:color w:val="000000"/>
                <w:sz w:val="20"/>
                <w:szCs w:val="20"/>
              </w:rPr>
              <w:t xml:space="preserve">For the years ended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w:t>
            </w:r>
          </w:p>
        </w:tc>
        <w:tc>
          <w:tcPr>
            <w:tcW w:w="1368" w:type="dxa"/>
            <w:shd w:val="clear" w:color="auto" w:fill="auto"/>
            <w:vAlign w:val="bottom"/>
          </w:tcPr>
          <w:p w14:paraId="252D37F3" w14:textId="77777777" w:rsidR="0004779D" w:rsidRPr="002D2F67" w:rsidRDefault="0004779D" w:rsidP="005611FE">
            <w:pPr>
              <w:ind w:right="-72"/>
              <w:jc w:val="right"/>
              <w:rPr>
                <w:rFonts w:ascii="Arial" w:hAnsi="Arial" w:cs="Arial"/>
                <w:color w:val="000000"/>
                <w:sz w:val="20"/>
                <w:szCs w:val="20"/>
              </w:rPr>
            </w:pPr>
          </w:p>
        </w:tc>
        <w:tc>
          <w:tcPr>
            <w:tcW w:w="1368" w:type="dxa"/>
            <w:shd w:val="clear" w:color="auto" w:fill="auto"/>
            <w:vAlign w:val="bottom"/>
          </w:tcPr>
          <w:p w14:paraId="52C83A52" w14:textId="77777777" w:rsidR="0004779D" w:rsidRPr="002D2F67" w:rsidRDefault="0004779D" w:rsidP="005611FE">
            <w:pPr>
              <w:ind w:right="-72"/>
              <w:jc w:val="right"/>
              <w:rPr>
                <w:rFonts w:ascii="Arial" w:hAnsi="Arial" w:cs="Arial"/>
                <w:color w:val="000000"/>
                <w:sz w:val="20"/>
                <w:szCs w:val="20"/>
              </w:rPr>
            </w:pPr>
          </w:p>
        </w:tc>
      </w:tr>
      <w:tr w:rsidR="0004779D" w:rsidRPr="002D2F67" w14:paraId="79EBB1C4" w14:textId="77777777" w:rsidTr="002D2F67">
        <w:tc>
          <w:tcPr>
            <w:tcW w:w="6840" w:type="dxa"/>
            <w:shd w:val="clear" w:color="auto" w:fill="auto"/>
            <w:vAlign w:val="bottom"/>
          </w:tcPr>
          <w:p w14:paraId="476EC86D" w14:textId="77777777" w:rsidR="0004779D" w:rsidRPr="002D2F67" w:rsidRDefault="0004779D" w:rsidP="005611FE">
            <w:pPr>
              <w:jc w:val="both"/>
              <w:rPr>
                <w:rFonts w:ascii="Arial" w:hAnsi="Arial" w:cs="Arial"/>
                <w:b/>
                <w:bCs/>
                <w:color w:val="000000"/>
                <w:sz w:val="20"/>
                <w:szCs w:val="20"/>
              </w:rPr>
            </w:pPr>
            <w:r w:rsidRPr="002D2F67">
              <w:rPr>
                <w:rFonts w:ascii="Arial" w:hAnsi="Arial" w:cs="Arial"/>
                <w:color w:val="000000"/>
                <w:sz w:val="20"/>
                <w:szCs w:val="20"/>
              </w:rPr>
              <w:t>Opening net book value</w:t>
            </w:r>
          </w:p>
        </w:tc>
        <w:tc>
          <w:tcPr>
            <w:tcW w:w="1368" w:type="dxa"/>
            <w:shd w:val="clear" w:color="auto" w:fill="auto"/>
            <w:vAlign w:val="bottom"/>
          </w:tcPr>
          <w:p w14:paraId="000BDA37" w14:textId="000E731F"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127377" w:rsidRPr="002D2F67">
              <w:rPr>
                <w:rFonts w:ascii="Arial" w:hAnsi="Arial" w:cs="Arial"/>
                <w:color w:val="000000"/>
                <w:sz w:val="20"/>
                <w:szCs w:val="20"/>
              </w:rPr>
              <w:t>,</w:t>
            </w:r>
            <w:r w:rsidRPr="00CD5714">
              <w:rPr>
                <w:rFonts w:ascii="Arial" w:hAnsi="Arial" w:cs="Arial"/>
                <w:color w:val="000000"/>
                <w:sz w:val="20"/>
                <w:szCs w:val="20"/>
                <w:lang w:val="en-GB"/>
              </w:rPr>
              <w:t>193</w:t>
            </w:r>
            <w:r w:rsidR="00127377" w:rsidRPr="002D2F67">
              <w:rPr>
                <w:rFonts w:ascii="Arial" w:hAnsi="Arial" w:cs="Arial"/>
                <w:color w:val="000000"/>
                <w:sz w:val="20"/>
                <w:szCs w:val="20"/>
              </w:rPr>
              <w:t>,</w:t>
            </w:r>
            <w:r w:rsidRPr="00CD5714">
              <w:rPr>
                <w:rFonts w:ascii="Arial" w:hAnsi="Arial" w:cs="Arial"/>
                <w:color w:val="000000"/>
                <w:sz w:val="20"/>
                <w:szCs w:val="20"/>
                <w:lang w:val="en-GB"/>
              </w:rPr>
              <w:t>088</w:t>
            </w:r>
          </w:p>
        </w:tc>
        <w:tc>
          <w:tcPr>
            <w:tcW w:w="1368" w:type="dxa"/>
            <w:shd w:val="clear" w:color="auto" w:fill="auto"/>
            <w:vAlign w:val="bottom"/>
          </w:tcPr>
          <w:p w14:paraId="61BF1093" w14:textId="680593C8"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04779D" w:rsidRPr="002D2F67">
              <w:rPr>
                <w:rFonts w:ascii="Arial" w:hAnsi="Arial" w:cs="Arial"/>
                <w:color w:val="000000"/>
                <w:sz w:val="20"/>
                <w:szCs w:val="20"/>
              </w:rPr>
              <w:t>,</w:t>
            </w:r>
            <w:r w:rsidRPr="00CD5714">
              <w:rPr>
                <w:rFonts w:ascii="Arial" w:hAnsi="Arial" w:cs="Arial"/>
                <w:color w:val="000000"/>
                <w:sz w:val="20"/>
                <w:szCs w:val="20"/>
                <w:lang w:val="en-GB"/>
              </w:rPr>
              <w:t>374</w:t>
            </w:r>
            <w:r w:rsidR="0004779D" w:rsidRPr="002D2F67">
              <w:rPr>
                <w:rFonts w:ascii="Arial" w:hAnsi="Arial" w:cs="Arial"/>
                <w:color w:val="000000"/>
                <w:sz w:val="20"/>
                <w:szCs w:val="20"/>
              </w:rPr>
              <w:t>,</w:t>
            </w:r>
            <w:r w:rsidRPr="00CD5714">
              <w:rPr>
                <w:rFonts w:ascii="Arial" w:hAnsi="Arial" w:cs="Arial"/>
                <w:color w:val="000000"/>
                <w:sz w:val="20"/>
                <w:szCs w:val="20"/>
                <w:lang w:val="en-GB"/>
              </w:rPr>
              <w:t>751</w:t>
            </w:r>
          </w:p>
        </w:tc>
      </w:tr>
      <w:tr w:rsidR="0004779D" w:rsidRPr="002D2F67" w14:paraId="76DF22D2" w14:textId="77777777" w:rsidTr="002D2F67">
        <w:tc>
          <w:tcPr>
            <w:tcW w:w="6840" w:type="dxa"/>
            <w:shd w:val="clear" w:color="auto" w:fill="auto"/>
            <w:vAlign w:val="bottom"/>
          </w:tcPr>
          <w:p w14:paraId="7C93E88F" w14:textId="138B2735" w:rsidR="0004779D" w:rsidRPr="002D2F67" w:rsidRDefault="0004779D" w:rsidP="005611FE">
            <w:pPr>
              <w:rPr>
                <w:rFonts w:ascii="Arial" w:hAnsi="Arial" w:cs="Arial"/>
                <w:color w:val="000000"/>
                <w:sz w:val="20"/>
                <w:szCs w:val="20"/>
              </w:rPr>
            </w:pPr>
            <w:r w:rsidRPr="002D2F67">
              <w:rPr>
                <w:rFonts w:ascii="Arial" w:hAnsi="Arial" w:cs="Arial"/>
                <w:color w:val="000000"/>
                <w:sz w:val="20"/>
                <w:szCs w:val="20"/>
              </w:rPr>
              <w:t>Transfer to non-current assets held-for-sale</w:t>
            </w:r>
          </w:p>
        </w:tc>
        <w:tc>
          <w:tcPr>
            <w:tcW w:w="1368" w:type="dxa"/>
            <w:shd w:val="clear" w:color="auto" w:fill="auto"/>
            <w:vAlign w:val="bottom"/>
          </w:tcPr>
          <w:p w14:paraId="514DA405" w14:textId="0BA7F62B" w:rsidR="0004779D" w:rsidRPr="002D2F67" w:rsidRDefault="00127377"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368" w:type="dxa"/>
            <w:shd w:val="clear" w:color="auto" w:fill="auto"/>
            <w:vAlign w:val="bottom"/>
          </w:tcPr>
          <w:p w14:paraId="2A9A2737" w14:textId="54A3E119"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165</w:t>
            </w:r>
            <w:r w:rsidRPr="002D2F67">
              <w:rPr>
                <w:rFonts w:ascii="Arial" w:hAnsi="Arial" w:cs="Arial"/>
                <w:color w:val="000000"/>
                <w:sz w:val="20"/>
                <w:szCs w:val="20"/>
              </w:rPr>
              <w:t>,</w:t>
            </w:r>
            <w:r w:rsidR="00CD5714" w:rsidRPr="00CD5714">
              <w:rPr>
                <w:rFonts w:ascii="Arial" w:hAnsi="Arial" w:cs="Arial"/>
                <w:color w:val="000000"/>
                <w:sz w:val="20"/>
                <w:szCs w:val="20"/>
                <w:lang w:val="en-GB"/>
              </w:rPr>
              <w:t>366</w:t>
            </w:r>
            <w:r w:rsidRPr="002D2F67">
              <w:rPr>
                <w:rFonts w:ascii="Arial" w:hAnsi="Arial" w:cs="Arial"/>
                <w:color w:val="000000"/>
                <w:sz w:val="20"/>
                <w:szCs w:val="20"/>
              </w:rPr>
              <w:t>)</w:t>
            </w:r>
          </w:p>
        </w:tc>
      </w:tr>
      <w:tr w:rsidR="00594C16" w:rsidRPr="002D2F67" w14:paraId="36F6509E" w14:textId="77777777" w:rsidTr="002D2F67">
        <w:tc>
          <w:tcPr>
            <w:tcW w:w="6840" w:type="dxa"/>
            <w:shd w:val="clear" w:color="auto" w:fill="auto"/>
            <w:vAlign w:val="bottom"/>
          </w:tcPr>
          <w:p w14:paraId="51474C2C" w14:textId="07F059E3" w:rsidR="00594C16" w:rsidRPr="002D2F67" w:rsidRDefault="00A8122F" w:rsidP="005611FE">
            <w:pPr>
              <w:rPr>
                <w:rFonts w:ascii="Arial" w:hAnsi="Arial" w:cs="Arial"/>
                <w:color w:val="000000"/>
                <w:sz w:val="20"/>
                <w:szCs w:val="20"/>
              </w:rPr>
            </w:pPr>
            <w:r w:rsidRPr="002D2F67">
              <w:rPr>
                <w:rFonts w:ascii="Arial" w:hAnsi="Arial" w:cs="Arial"/>
                <w:color w:val="000000"/>
                <w:sz w:val="20"/>
                <w:szCs w:val="25"/>
              </w:rPr>
              <w:t>D</w:t>
            </w:r>
            <w:r w:rsidR="00127377" w:rsidRPr="002D2F67">
              <w:rPr>
                <w:rFonts w:ascii="Arial" w:hAnsi="Arial" w:cs="Arial"/>
                <w:color w:val="000000"/>
                <w:sz w:val="20"/>
                <w:szCs w:val="20"/>
              </w:rPr>
              <w:t xml:space="preserve">isposal of </w:t>
            </w:r>
            <w:r w:rsidR="00265781" w:rsidRPr="002D2F67">
              <w:rPr>
                <w:rFonts w:ascii="Arial" w:hAnsi="Arial" w:cs="Arial"/>
                <w:color w:val="000000"/>
                <w:sz w:val="20"/>
                <w:szCs w:val="25"/>
              </w:rPr>
              <w:t xml:space="preserve">investment in </w:t>
            </w:r>
            <w:r w:rsidRPr="002D2F67">
              <w:rPr>
                <w:rFonts w:ascii="Arial" w:hAnsi="Arial" w:cs="Arial"/>
                <w:color w:val="000000"/>
                <w:sz w:val="20"/>
                <w:szCs w:val="25"/>
              </w:rPr>
              <w:t>a</w:t>
            </w:r>
            <w:r w:rsidR="00265781" w:rsidRPr="002D2F67">
              <w:rPr>
                <w:rFonts w:ascii="Arial" w:hAnsi="Arial" w:cs="Arial"/>
                <w:color w:val="000000"/>
                <w:sz w:val="20"/>
                <w:szCs w:val="25"/>
              </w:rPr>
              <w:t xml:space="preserve"> subsidiary</w:t>
            </w:r>
            <w:r w:rsidR="00127377" w:rsidRPr="002D2F67">
              <w:rPr>
                <w:rFonts w:ascii="Arial" w:hAnsi="Arial" w:cs="Arial"/>
                <w:color w:val="000000"/>
                <w:sz w:val="20"/>
                <w:szCs w:val="20"/>
              </w:rPr>
              <w:t xml:space="preserve"> (Note</w:t>
            </w:r>
            <w:r w:rsidR="00127377" w:rsidRPr="002D2F67">
              <w:rPr>
                <w:rFonts w:ascii="Arial" w:hAnsi="Arial" w:cs="Arial"/>
                <w:color w:val="000000"/>
                <w:sz w:val="20"/>
                <w:szCs w:val="20"/>
                <w:cs/>
              </w:rPr>
              <w:t xml:space="preserve"> </w:t>
            </w:r>
            <w:r w:rsidR="00CD5714" w:rsidRPr="00CD5714">
              <w:rPr>
                <w:rFonts w:ascii="Arial" w:hAnsi="Arial" w:cs="Arial"/>
                <w:color w:val="000000"/>
                <w:sz w:val="20"/>
                <w:szCs w:val="20"/>
                <w:lang w:val="en-GB"/>
              </w:rPr>
              <w:t>19</w:t>
            </w:r>
            <w:r w:rsidR="00127377" w:rsidRPr="002D2F67">
              <w:rPr>
                <w:rFonts w:ascii="Arial" w:hAnsi="Arial" w:cs="Arial"/>
                <w:color w:val="000000"/>
                <w:sz w:val="20"/>
                <w:szCs w:val="20"/>
              </w:rPr>
              <w:t>.</w:t>
            </w:r>
            <w:r w:rsidR="00CD5714" w:rsidRPr="00CD5714">
              <w:rPr>
                <w:rFonts w:ascii="Arial" w:hAnsi="Arial" w:cs="Arial"/>
                <w:color w:val="000000"/>
                <w:sz w:val="20"/>
                <w:szCs w:val="20"/>
                <w:lang w:val="en-GB"/>
              </w:rPr>
              <w:t>1</w:t>
            </w:r>
            <w:r w:rsidR="00127377" w:rsidRPr="002D2F67">
              <w:rPr>
                <w:rFonts w:ascii="Arial" w:hAnsi="Arial" w:cs="Arial"/>
                <w:color w:val="000000"/>
                <w:sz w:val="20"/>
                <w:szCs w:val="20"/>
              </w:rPr>
              <w:t>)</w:t>
            </w:r>
          </w:p>
        </w:tc>
        <w:tc>
          <w:tcPr>
            <w:tcW w:w="1368" w:type="dxa"/>
            <w:shd w:val="clear" w:color="auto" w:fill="auto"/>
            <w:vAlign w:val="bottom"/>
          </w:tcPr>
          <w:p w14:paraId="3742155B" w14:textId="2B444665" w:rsidR="00594C16" w:rsidRPr="002D2F67" w:rsidRDefault="00127377"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164</w:t>
            </w:r>
            <w:r w:rsidRPr="002D2F67">
              <w:rPr>
                <w:rFonts w:ascii="Arial" w:hAnsi="Arial" w:cs="Arial"/>
                <w:color w:val="000000"/>
                <w:sz w:val="20"/>
                <w:szCs w:val="20"/>
              </w:rPr>
              <w:t>,</w:t>
            </w:r>
            <w:r w:rsidR="00CD5714" w:rsidRPr="00CD5714">
              <w:rPr>
                <w:rFonts w:ascii="Arial" w:hAnsi="Arial" w:cs="Arial"/>
                <w:color w:val="000000"/>
                <w:sz w:val="20"/>
                <w:szCs w:val="20"/>
                <w:lang w:val="en-GB"/>
              </w:rPr>
              <w:t>834</w:t>
            </w:r>
            <w:r w:rsidRPr="002D2F67">
              <w:rPr>
                <w:rFonts w:ascii="Arial" w:hAnsi="Arial" w:cs="Arial"/>
                <w:color w:val="000000"/>
                <w:sz w:val="20"/>
                <w:szCs w:val="20"/>
              </w:rPr>
              <w:t xml:space="preserve">) </w:t>
            </w:r>
          </w:p>
        </w:tc>
        <w:tc>
          <w:tcPr>
            <w:tcW w:w="1368" w:type="dxa"/>
            <w:shd w:val="clear" w:color="auto" w:fill="auto"/>
            <w:vAlign w:val="bottom"/>
          </w:tcPr>
          <w:p w14:paraId="7D3A0C49" w14:textId="66D93D41" w:rsidR="00594C16" w:rsidRPr="002D2F67" w:rsidRDefault="00594C16" w:rsidP="005611FE">
            <w:pPr>
              <w:ind w:right="-72"/>
              <w:jc w:val="right"/>
              <w:rPr>
                <w:rFonts w:ascii="Arial" w:hAnsi="Arial" w:cs="Arial"/>
                <w:color w:val="000000"/>
                <w:sz w:val="20"/>
                <w:szCs w:val="20"/>
              </w:rPr>
            </w:pPr>
            <w:r w:rsidRPr="002D2F67">
              <w:rPr>
                <w:rFonts w:ascii="Arial" w:hAnsi="Arial" w:cs="Arial"/>
                <w:color w:val="000000"/>
                <w:sz w:val="20"/>
                <w:szCs w:val="20"/>
              </w:rPr>
              <w:t>-</w:t>
            </w:r>
          </w:p>
        </w:tc>
      </w:tr>
      <w:tr w:rsidR="00127377" w:rsidRPr="002D2F67" w14:paraId="357341E8" w14:textId="77777777" w:rsidTr="002D2F67">
        <w:tc>
          <w:tcPr>
            <w:tcW w:w="6840" w:type="dxa"/>
            <w:shd w:val="clear" w:color="auto" w:fill="auto"/>
            <w:vAlign w:val="bottom"/>
          </w:tcPr>
          <w:p w14:paraId="394FD01F" w14:textId="7DDFE8BC" w:rsidR="00127377" w:rsidRPr="002D2F67" w:rsidRDefault="00127377" w:rsidP="00127377">
            <w:pPr>
              <w:rPr>
                <w:rFonts w:ascii="Arial" w:hAnsi="Arial" w:cs="Arial"/>
                <w:color w:val="000000"/>
                <w:sz w:val="20"/>
                <w:szCs w:val="20"/>
              </w:rPr>
            </w:pPr>
            <w:r w:rsidRPr="002D2F67">
              <w:rPr>
                <w:rFonts w:ascii="Arial" w:hAnsi="Arial" w:cs="Arial"/>
                <w:color w:val="000000"/>
                <w:sz w:val="20"/>
                <w:szCs w:val="20"/>
              </w:rPr>
              <w:t xml:space="preserve">Impairment </w:t>
            </w:r>
            <w:r w:rsidR="00AA6E86" w:rsidRPr="002D2F67">
              <w:rPr>
                <w:rFonts w:ascii="Arial" w:hAnsi="Arial" w:cs="Arial"/>
                <w:color w:val="000000"/>
                <w:sz w:val="20"/>
                <w:szCs w:val="20"/>
              </w:rPr>
              <w:t>loss</w:t>
            </w:r>
          </w:p>
        </w:tc>
        <w:tc>
          <w:tcPr>
            <w:tcW w:w="1368" w:type="dxa"/>
            <w:shd w:val="clear" w:color="auto" w:fill="auto"/>
            <w:vAlign w:val="bottom"/>
          </w:tcPr>
          <w:p w14:paraId="45EFFEEB" w14:textId="2AB555C7" w:rsidR="00127377" w:rsidRPr="002D2F67" w:rsidRDefault="00E81443" w:rsidP="00127377">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919</w:t>
            </w:r>
            <w:r w:rsidRPr="002D2F67">
              <w:rPr>
                <w:rFonts w:ascii="Arial" w:hAnsi="Arial" w:cs="Arial"/>
                <w:color w:val="000000"/>
                <w:sz w:val="20"/>
                <w:szCs w:val="20"/>
              </w:rPr>
              <w:t>,</w:t>
            </w:r>
            <w:r w:rsidR="00CD5714" w:rsidRPr="00CD5714">
              <w:rPr>
                <w:rFonts w:ascii="Arial" w:hAnsi="Arial" w:cs="Arial"/>
                <w:color w:val="000000"/>
                <w:sz w:val="20"/>
                <w:szCs w:val="20"/>
                <w:lang w:val="en-GB"/>
              </w:rPr>
              <w:t>649</w:t>
            </w:r>
            <w:r w:rsidRPr="002D2F67">
              <w:rPr>
                <w:rFonts w:ascii="Arial" w:hAnsi="Arial" w:cs="Arial"/>
                <w:color w:val="000000"/>
                <w:sz w:val="20"/>
                <w:szCs w:val="20"/>
              </w:rPr>
              <w:t>)</w:t>
            </w:r>
          </w:p>
        </w:tc>
        <w:tc>
          <w:tcPr>
            <w:tcW w:w="1368" w:type="dxa"/>
            <w:shd w:val="clear" w:color="auto" w:fill="auto"/>
            <w:vAlign w:val="bottom"/>
          </w:tcPr>
          <w:p w14:paraId="2313460E" w14:textId="7FA8E05F" w:rsidR="00127377" w:rsidRPr="002D2F67" w:rsidRDefault="00127377" w:rsidP="00127377">
            <w:pPr>
              <w:ind w:right="-72"/>
              <w:jc w:val="right"/>
              <w:rPr>
                <w:rFonts w:ascii="Arial" w:hAnsi="Arial" w:cs="Arial"/>
                <w:color w:val="000000"/>
                <w:sz w:val="20"/>
                <w:szCs w:val="20"/>
              </w:rPr>
            </w:pPr>
            <w:r w:rsidRPr="002D2F67">
              <w:rPr>
                <w:rFonts w:ascii="Arial" w:hAnsi="Arial" w:cs="Arial"/>
                <w:color w:val="000000"/>
                <w:sz w:val="20"/>
                <w:szCs w:val="20"/>
              </w:rPr>
              <w:t>-</w:t>
            </w:r>
          </w:p>
        </w:tc>
      </w:tr>
      <w:tr w:rsidR="0004779D" w:rsidRPr="002D2F67" w14:paraId="1C238550" w14:textId="77777777" w:rsidTr="002D2F67">
        <w:tc>
          <w:tcPr>
            <w:tcW w:w="6840" w:type="dxa"/>
            <w:shd w:val="clear" w:color="auto" w:fill="auto"/>
            <w:vAlign w:val="bottom"/>
          </w:tcPr>
          <w:p w14:paraId="3D4DD51C" w14:textId="77777777" w:rsidR="0004779D" w:rsidRPr="002D2F67" w:rsidRDefault="0004779D" w:rsidP="005611FE">
            <w:pPr>
              <w:jc w:val="both"/>
              <w:rPr>
                <w:rFonts w:ascii="Arial" w:hAnsi="Arial" w:cs="Arial"/>
                <w:color w:val="000000"/>
                <w:sz w:val="20"/>
                <w:szCs w:val="20"/>
              </w:rPr>
            </w:pPr>
            <w:r w:rsidRPr="002D2F67">
              <w:rPr>
                <w:rFonts w:ascii="Arial" w:hAnsi="Arial" w:cs="Arial"/>
                <w:color w:val="000000"/>
                <w:sz w:val="20"/>
                <w:szCs w:val="20"/>
              </w:rPr>
              <w:t>Currency translation differences</w:t>
            </w:r>
          </w:p>
        </w:tc>
        <w:tc>
          <w:tcPr>
            <w:tcW w:w="1368" w:type="dxa"/>
            <w:tcBorders>
              <w:bottom w:val="single" w:sz="4" w:space="0" w:color="auto"/>
            </w:tcBorders>
            <w:shd w:val="clear" w:color="auto" w:fill="auto"/>
            <w:vAlign w:val="bottom"/>
          </w:tcPr>
          <w:p w14:paraId="6DF560B8" w14:textId="21E6B979" w:rsidR="0004779D" w:rsidRPr="002D2F67" w:rsidRDefault="00127377"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64</w:t>
            </w:r>
            <w:r w:rsidRPr="002D2F67">
              <w:rPr>
                <w:rFonts w:ascii="Arial" w:hAnsi="Arial" w:cs="Arial"/>
                <w:color w:val="000000"/>
                <w:sz w:val="20"/>
                <w:szCs w:val="20"/>
              </w:rPr>
              <w:t>,</w:t>
            </w:r>
            <w:r w:rsidR="00CD5714" w:rsidRPr="00CD5714">
              <w:rPr>
                <w:rFonts w:ascii="Arial" w:hAnsi="Arial" w:cs="Arial"/>
                <w:color w:val="000000"/>
                <w:sz w:val="20"/>
                <w:szCs w:val="20"/>
                <w:lang w:val="en-GB"/>
              </w:rPr>
              <w:t>345</w:t>
            </w:r>
            <w:r w:rsidRPr="002D2F67">
              <w:rPr>
                <w:rFonts w:ascii="Arial" w:hAnsi="Arial" w:cs="Arial"/>
                <w:color w:val="000000"/>
                <w:sz w:val="20"/>
                <w:szCs w:val="20"/>
              </w:rPr>
              <w:t>)</w:t>
            </w:r>
          </w:p>
        </w:tc>
        <w:tc>
          <w:tcPr>
            <w:tcW w:w="1368" w:type="dxa"/>
            <w:tcBorders>
              <w:bottom w:val="single" w:sz="4" w:space="0" w:color="auto"/>
            </w:tcBorders>
            <w:shd w:val="clear" w:color="auto" w:fill="auto"/>
            <w:vAlign w:val="bottom"/>
          </w:tcPr>
          <w:p w14:paraId="798C72F8" w14:textId="1F4CE4C8"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16</w:t>
            </w:r>
            <w:r w:rsidRPr="002D2F67">
              <w:rPr>
                <w:rFonts w:ascii="Arial" w:hAnsi="Arial" w:cs="Arial"/>
                <w:color w:val="000000"/>
                <w:sz w:val="20"/>
                <w:szCs w:val="20"/>
              </w:rPr>
              <w:t>,</w:t>
            </w:r>
            <w:r w:rsidR="00CD5714" w:rsidRPr="00CD5714">
              <w:rPr>
                <w:rFonts w:ascii="Arial" w:hAnsi="Arial" w:cs="Arial"/>
                <w:color w:val="000000"/>
                <w:sz w:val="20"/>
                <w:szCs w:val="20"/>
                <w:lang w:val="en-GB"/>
              </w:rPr>
              <w:t>297</w:t>
            </w:r>
            <w:r w:rsidRPr="002D2F67">
              <w:rPr>
                <w:rFonts w:ascii="Arial" w:hAnsi="Arial" w:cs="Arial"/>
                <w:color w:val="000000"/>
                <w:sz w:val="20"/>
                <w:szCs w:val="20"/>
              </w:rPr>
              <w:t>)</w:t>
            </w:r>
          </w:p>
        </w:tc>
      </w:tr>
      <w:tr w:rsidR="0004779D" w:rsidRPr="002D2F67" w14:paraId="0F2F0327" w14:textId="77777777" w:rsidTr="002D2F67">
        <w:tc>
          <w:tcPr>
            <w:tcW w:w="6840" w:type="dxa"/>
            <w:shd w:val="clear" w:color="auto" w:fill="auto"/>
            <w:vAlign w:val="bottom"/>
          </w:tcPr>
          <w:p w14:paraId="19BE1339" w14:textId="77777777" w:rsidR="0004779D" w:rsidRPr="002D2F67" w:rsidRDefault="0004779D" w:rsidP="005611FE">
            <w:pPr>
              <w:jc w:val="both"/>
              <w:rPr>
                <w:rFonts w:ascii="Arial" w:hAnsi="Arial" w:cs="Arial"/>
                <w:color w:val="000000"/>
                <w:sz w:val="20"/>
                <w:szCs w:val="20"/>
              </w:rPr>
            </w:pPr>
          </w:p>
        </w:tc>
        <w:tc>
          <w:tcPr>
            <w:tcW w:w="1368" w:type="dxa"/>
            <w:tcBorders>
              <w:top w:val="single" w:sz="4" w:space="0" w:color="auto"/>
            </w:tcBorders>
            <w:shd w:val="clear" w:color="auto" w:fill="auto"/>
            <w:vAlign w:val="bottom"/>
          </w:tcPr>
          <w:p w14:paraId="2BF43E49" w14:textId="77777777" w:rsidR="0004779D" w:rsidRPr="002D2F67" w:rsidRDefault="0004779D" w:rsidP="005611FE">
            <w:pPr>
              <w:ind w:right="-72"/>
              <w:jc w:val="right"/>
              <w:rPr>
                <w:rFonts w:ascii="Arial" w:hAnsi="Arial" w:cs="Arial"/>
                <w:color w:val="000000"/>
                <w:sz w:val="20"/>
                <w:szCs w:val="20"/>
              </w:rPr>
            </w:pPr>
          </w:p>
        </w:tc>
        <w:tc>
          <w:tcPr>
            <w:tcW w:w="1368" w:type="dxa"/>
            <w:tcBorders>
              <w:top w:val="single" w:sz="4" w:space="0" w:color="auto"/>
            </w:tcBorders>
            <w:shd w:val="clear" w:color="auto" w:fill="auto"/>
            <w:vAlign w:val="bottom"/>
          </w:tcPr>
          <w:p w14:paraId="5406426C" w14:textId="77777777" w:rsidR="0004779D" w:rsidRPr="002D2F67" w:rsidRDefault="0004779D" w:rsidP="005611FE">
            <w:pPr>
              <w:ind w:right="-72"/>
              <w:jc w:val="right"/>
              <w:rPr>
                <w:rFonts w:ascii="Arial" w:hAnsi="Arial" w:cs="Arial"/>
                <w:color w:val="000000"/>
                <w:sz w:val="20"/>
                <w:szCs w:val="20"/>
              </w:rPr>
            </w:pPr>
          </w:p>
        </w:tc>
      </w:tr>
      <w:tr w:rsidR="0004779D" w:rsidRPr="002D2F67" w14:paraId="2A734D95" w14:textId="77777777" w:rsidTr="002D2F67">
        <w:tc>
          <w:tcPr>
            <w:tcW w:w="6840" w:type="dxa"/>
            <w:shd w:val="clear" w:color="auto" w:fill="auto"/>
            <w:vAlign w:val="bottom"/>
          </w:tcPr>
          <w:p w14:paraId="1998A173" w14:textId="77777777" w:rsidR="0004779D" w:rsidRPr="002D2F67" w:rsidRDefault="0004779D" w:rsidP="005611FE">
            <w:pPr>
              <w:jc w:val="both"/>
              <w:rPr>
                <w:rFonts w:ascii="Arial" w:hAnsi="Arial" w:cs="Arial"/>
                <w:color w:val="000000"/>
                <w:sz w:val="20"/>
                <w:szCs w:val="20"/>
              </w:rPr>
            </w:pPr>
            <w:r w:rsidRPr="002D2F67">
              <w:rPr>
                <w:rFonts w:ascii="Arial" w:hAnsi="Arial" w:cs="Arial"/>
                <w:color w:val="000000"/>
                <w:sz w:val="20"/>
                <w:szCs w:val="20"/>
              </w:rPr>
              <w:t>Closing net book value</w:t>
            </w:r>
          </w:p>
        </w:tc>
        <w:tc>
          <w:tcPr>
            <w:tcW w:w="1368" w:type="dxa"/>
            <w:tcBorders>
              <w:bottom w:val="single" w:sz="4" w:space="0" w:color="auto"/>
            </w:tcBorders>
            <w:shd w:val="clear" w:color="auto" w:fill="auto"/>
            <w:vAlign w:val="bottom"/>
          </w:tcPr>
          <w:p w14:paraId="0F7667B0" w14:textId="7A86BB44"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44</w:t>
            </w:r>
            <w:r w:rsidR="00E81443" w:rsidRPr="002D2F67">
              <w:rPr>
                <w:rFonts w:ascii="Arial" w:hAnsi="Arial" w:cs="Arial"/>
                <w:color w:val="000000"/>
                <w:sz w:val="20"/>
                <w:szCs w:val="20"/>
              </w:rPr>
              <w:t>,</w:t>
            </w:r>
            <w:r w:rsidRPr="00CD5714">
              <w:rPr>
                <w:rFonts w:ascii="Arial" w:hAnsi="Arial" w:cs="Arial"/>
                <w:color w:val="000000"/>
                <w:sz w:val="20"/>
                <w:szCs w:val="20"/>
                <w:lang w:val="en-GB"/>
              </w:rPr>
              <w:t>260</w:t>
            </w:r>
          </w:p>
        </w:tc>
        <w:tc>
          <w:tcPr>
            <w:tcW w:w="1368" w:type="dxa"/>
            <w:tcBorders>
              <w:bottom w:val="single" w:sz="4" w:space="0" w:color="auto"/>
            </w:tcBorders>
            <w:shd w:val="clear" w:color="auto" w:fill="auto"/>
            <w:vAlign w:val="bottom"/>
          </w:tcPr>
          <w:p w14:paraId="4C74732C" w14:textId="42F2C858"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04779D" w:rsidRPr="002D2F67">
              <w:rPr>
                <w:rFonts w:ascii="Arial" w:hAnsi="Arial" w:cs="Arial"/>
                <w:color w:val="000000"/>
                <w:sz w:val="20"/>
                <w:szCs w:val="20"/>
              </w:rPr>
              <w:t>,</w:t>
            </w:r>
            <w:r w:rsidRPr="00CD5714">
              <w:rPr>
                <w:rFonts w:ascii="Arial" w:hAnsi="Arial" w:cs="Arial"/>
                <w:color w:val="000000"/>
                <w:sz w:val="20"/>
                <w:szCs w:val="20"/>
                <w:lang w:val="en-GB"/>
              </w:rPr>
              <w:t>193</w:t>
            </w:r>
            <w:r w:rsidR="0004779D" w:rsidRPr="002D2F67">
              <w:rPr>
                <w:rFonts w:ascii="Arial" w:hAnsi="Arial" w:cs="Arial"/>
                <w:color w:val="000000"/>
                <w:sz w:val="20"/>
                <w:szCs w:val="20"/>
              </w:rPr>
              <w:t>,</w:t>
            </w:r>
            <w:r w:rsidRPr="00CD5714">
              <w:rPr>
                <w:rFonts w:ascii="Arial" w:hAnsi="Arial" w:cs="Arial"/>
                <w:color w:val="000000"/>
                <w:sz w:val="20"/>
                <w:szCs w:val="20"/>
                <w:lang w:val="en-GB"/>
              </w:rPr>
              <w:t>088</w:t>
            </w:r>
          </w:p>
        </w:tc>
      </w:tr>
      <w:tr w:rsidR="0004779D" w:rsidRPr="002D2F67" w14:paraId="1C2BA12D" w14:textId="77777777" w:rsidTr="002D2F67">
        <w:tc>
          <w:tcPr>
            <w:tcW w:w="6840" w:type="dxa"/>
            <w:shd w:val="clear" w:color="auto" w:fill="auto"/>
            <w:vAlign w:val="bottom"/>
          </w:tcPr>
          <w:p w14:paraId="24740481" w14:textId="77777777" w:rsidR="0004779D" w:rsidRPr="002D2F67" w:rsidRDefault="0004779D" w:rsidP="005611FE">
            <w:pPr>
              <w:jc w:val="both"/>
              <w:rPr>
                <w:rFonts w:ascii="Arial" w:hAnsi="Arial" w:cs="Arial"/>
                <w:b/>
                <w:bCs/>
                <w:color w:val="000000"/>
                <w:sz w:val="20"/>
                <w:szCs w:val="20"/>
              </w:rPr>
            </w:pPr>
          </w:p>
        </w:tc>
        <w:tc>
          <w:tcPr>
            <w:tcW w:w="1368" w:type="dxa"/>
            <w:tcBorders>
              <w:top w:val="single" w:sz="4" w:space="0" w:color="auto"/>
            </w:tcBorders>
            <w:shd w:val="clear" w:color="auto" w:fill="auto"/>
            <w:vAlign w:val="bottom"/>
          </w:tcPr>
          <w:p w14:paraId="11DD8542" w14:textId="77777777" w:rsidR="0004779D" w:rsidRPr="002D2F67" w:rsidRDefault="0004779D" w:rsidP="005611FE">
            <w:pPr>
              <w:ind w:right="-72"/>
              <w:jc w:val="right"/>
              <w:rPr>
                <w:rFonts w:ascii="Arial" w:hAnsi="Arial" w:cs="Arial"/>
                <w:b/>
                <w:bCs/>
                <w:color w:val="000000"/>
                <w:sz w:val="20"/>
                <w:szCs w:val="20"/>
              </w:rPr>
            </w:pPr>
          </w:p>
        </w:tc>
        <w:tc>
          <w:tcPr>
            <w:tcW w:w="1368" w:type="dxa"/>
            <w:tcBorders>
              <w:top w:val="single" w:sz="4" w:space="0" w:color="auto"/>
            </w:tcBorders>
            <w:shd w:val="clear" w:color="auto" w:fill="auto"/>
            <w:vAlign w:val="bottom"/>
          </w:tcPr>
          <w:p w14:paraId="7A4DF7E2" w14:textId="77777777" w:rsidR="0004779D" w:rsidRPr="002D2F67" w:rsidRDefault="0004779D" w:rsidP="005611FE">
            <w:pPr>
              <w:ind w:right="-72"/>
              <w:jc w:val="right"/>
              <w:rPr>
                <w:rFonts w:ascii="Arial" w:hAnsi="Arial" w:cs="Arial"/>
                <w:b/>
                <w:bCs/>
                <w:color w:val="000000"/>
                <w:sz w:val="20"/>
                <w:szCs w:val="20"/>
              </w:rPr>
            </w:pPr>
          </w:p>
        </w:tc>
      </w:tr>
      <w:tr w:rsidR="0004779D" w:rsidRPr="002D2F67" w14:paraId="03532F20" w14:textId="77777777" w:rsidTr="002D2F67">
        <w:tc>
          <w:tcPr>
            <w:tcW w:w="6840" w:type="dxa"/>
            <w:shd w:val="clear" w:color="auto" w:fill="auto"/>
            <w:vAlign w:val="bottom"/>
          </w:tcPr>
          <w:p w14:paraId="50D2E96E" w14:textId="23B405F4" w:rsidR="0004779D" w:rsidRPr="002D2F67" w:rsidRDefault="0004779D" w:rsidP="005611FE">
            <w:pPr>
              <w:jc w:val="both"/>
              <w:rPr>
                <w:rFonts w:ascii="Arial" w:hAnsi="Arial" w:cs="Arial"/>
                <w:b/>
                <w:bCs/>
                <w:color w:val="000000"/>
                <w:sz w:val="20"/>
                <w:szCs w:val="20"/>
              </w:rPr>
            </w:pPr>
            <w:r w:rsidRPr="002D2F67">
              <w:rPr>
                <w:rFonts w:ascii="Arial" w:hAnsi="Arial" w:cs="Arial"/>
                <w:b/>
                <w:bCs/>
                <w:color w:val="000000"/>
                <w:sz w:val="20"/>
                <w:szCs w:val="20"/>
              </w:rPr>
              <w:t xml:space="preserve">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w:t>
            </w:r>
          </w:p>
        </w:tc>
        <w:tc>
          <w:tcPr>
            <w:tcW w:w="1368" w:type="dxa"/>
            <w:shd w:val="clear" w:color="auto" w:fill="auto"/>
            <w:vAlign w:val="bottom"/>
          </w:tcPr>
          <w:p w14:paraId="4651EFA3" w14:textId="77777777" w:rsidR="0004779D" w:rsidRPr="002D2F67" w:rsidRDefault="0004779D" w:rsidP="005611FE">
            <w:pPr>
              <w:ind w:right="-72"/>
              <w:jc w:val="right"/>
              <w:rPr>
                <w:rFonts w:ascii="Arial" w:hAnsi="Arial" w:cs="Arial"/>
                <w:b/>
                <w:bCs/>
                <w:color w:val="000000"/>
                <w:sz w:val="20"/>
                <w:szCs w:val="20"/>
              </w:rPr>
            </w:pPr>
          </w:p>
        </w:tc>
        <w:tc>
          <w:tcPr>
            <w:tcW w:w="1368" w:type="dxa"/>
            <w:shd w:val="clear" w:color="auto" w:fill="auto"/>
            <w:vAlign w:val="bottom"/>
          </w:tcPr>
          <w:p w14:paraId="50630F6A" w14:textId="77777777" w:rsidR="0004779D" w:rsidRPr="002D2F67" w:rsidRDefault="0004779D" w:rsidP="005611FE">
            <w:pPr>
              <w:ind w:right="-72"/>
              <w:jc w:val="right"/>
              <w:rPr>
                <w:rFonts w:ascii="Arial" w:hAnsi="Arial" w:cs="Arial"/>
                <w:b/>
                <w:bCs/>
                <w:color w:val="000000"/>
                <w:sz w:val="20"/>
                <w:szCs w:val="20"/>
              </w:rPr>
            </w:pPr>
          </w:p>
        </w:tc>
      </w:tr>
      <w:tr w:rsidR="0004779D" w:rsidRPr="002D2F67" w14:paraId="2E7AB78D" w14:textId="77777777" w:rsidTr="002D2F67">
        <w:tc>
          <w:tcPr>
            <w:tcW w:w="6840" w:type="dxa"/>
            <w:shd w:val="clear" w:color="auto" w:fill="auto"/>
            <w:vAlign w:val="bottom"/>
          </w:tcPr>
          <w:p w14:paraId="29439B65" w14:textId="77777777" w:rsidR="0004779D" w:rsidRPr="002D2F67" w:rsidRDefault="0004779D" w:rsidP="005611FE">
            <w:pPr>
              <w:jc w:val="both"/>
              <w:rPr>
                <w:rFonts w:ascii="Arial" w:hAnsi="Arial" w:cs="Arial"/>
                <w:b/>
                <w:bCs/>
                <w:color w:val="000000"/>
                <w:sz w:val="20"/>
                <w:szCs w:val="20"/>
              </w:rPr>
            </w:pPr>
            <w:r w:rsidRPr="002D2F67">
              <w:rPr>
                <w:rFonts w:ascii="Arial" w:hAnsi="Arial" w:cs="Arial"/>
                <w:color w:val="000000"/>
                <w:sz w:val="20"/>
                <w:szCs w:val="20"/>
              </w:rPr>
              <w:t xml:space="preserve">Cost </w:t>
            </w:r>
          </w:p>
        </w:tc>
        <w:tc>
          <w:tcPr>
            <w:tcW w:w="1368" w:type="dxa"/>
            <w:shd w:val="clear" w:color="auto" w:fill="auto"/>
            <w:vAlign w:val="bottom"/>
          </w:tcPr>
          <w:p w14:paraId="21AD3116" w14:textId="69624665"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963</w:t>
            </w:r>
            <w:r w:rsidR="00E81443" w:rsidRPr="002D2F67">
              <w:rPr>
                <w:rFonts w:ascii="Arial" w:hAnsi="Arial" w:cs="Arial"/>
                <w:color w:val="000000"/>
                <w:sz w:val="20"/>
                <w:szCs w:val="20"/>
              </w:rPr>
              <w:t>,</w:t>
            </w:r>
            <w:r w:rsidRPr="00CD5714">
              <w:rPr>
                <w:rFonts w:ascii="Arial" w:hAnsi="Arial" w:cs="Arial"/>
                <w:color w:val="000000"/>
                <w:sz w:val="20"/>
                <w:szCs w:val="20"/>
                <w:lang w:val="en-GB"/>
              </w:rPr>
              <w:t>909</w:t>
            </w:r>
          </w:p>
        </w:tc>
        <w:tc>
          <w:tcPr>
            <w:tcW w:w="1368" w:type="dxa"/>
            <w:shd w:val="clear" w:color="auto" w:fill="auto"/>
            <w:vAlign w:val="bottom"/>
          </w:tcPr>
          <w:p w14:paraId="0C40D6BD" w14:textId="26A97A1B"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04779D" w:rsidRPr="002D2F67">
              <w:rPr>
                <w:rFonts w:ascii="Arial" w:hAnsi="Arial" w:cs="Arial"/>
                <w:color w:val="000000"/>
                <w:sz w:val="20"/>
                <w:szCs w:val="20"/>
              </w:rPr>
              <w:t>,</w:t>
            </w:r>
            <w:r w:rsidRPr="00CD5714">
              <w:rPr>
                <w:rFonts w:ascii="Arial" w:hAnsi="Arial" w:cs="Arial"/>
                <w:color w:val="000000"/>
                <w:sz w:val="20"/>
                <w:szCs w:val="20"/>
                <w:lang w:val="en-GB"/>
              </w:rPr>
              <w:t>193</w:t>
            </w:r>
            <w:r w:rsidR="0004779D" w:rsidRPr="002D2F67">
              <w:rPr>
                <w:rFonts w:ascii="Arial" w:hAnsi="Arial" w:cs="Arial"/>
                <w:color w:val="000000"/>
                <w:sz w:val="20"/>
                <w:szCs w:val="20"/>
              </w:rPr>
              <w:t>,</w:t>
            </w:r>
            <w:r w:rsidRPr="00CD5714">
              <w:rPr>
                <w:rFonts w:ascii="Arial" w:hAnsi="Arial" w:cs="Arial"/>
                <w:color w:val="000000"/>
                <w:sz w:val="20"/>
                <w:szCs w:val="20"/>
                <w:lang w:val="en-GB"/>
              </w:rPr>
              <w:t>088</w:t>
            </w:r>
          </w:p>
        </w:tc>
      </w:tr>
      <w:tr w:rsidR="0004779D" w:rsidRPr="002D2F67" w14:paraId="7BCB2E47" w14:textId="77777777" w:rsidTr="002D2F67">
        <w:tc>
          <w:tcPr>
            <w:tcW w:w="6840" w:type="dxa"/>
            <w:shd w:val="clear" w:color="auto" w:fill="auto"/>
            <w:vAlign w:val="bottom"/>
          </w:tcPr>
          <w:p w14:paraId="34E05A1D" w14:textId="61F19090" w:rsidR="0004779D" w:rsidRPr="002D2F67" w:rsidRDefault="0004779D" w:rsidP="005611FE">
            <w:pPr>
              <w:jc w:val="both"/>
              <w:rPr>
                <w:rFonts w:ascii="Arial" w:hAnsi="Arial" w:cs="Arial"/>
                <w:color w:val="000000"/>
                <w:sz w:val="20"/>
                <w:szCs w:val="20"/>
              </w:rPr>
            </w:pPr>
            <w:r w:rsidRPr="002D2F67">
              <w:rPr>
                <w:rFonts w:ascii="Arial" w:hAnsi="Arial" w:cs="Arial"/>
                <w:color w:val="000000"/>
                <w:sz w:val="20"/>
                <w:szCs w:val="20"/>
                <w:u w:val="single"/>
              </w:rPr>
              <w:t>Less</w:t>
            </w:r>
            <w:r w:rsidRPr="002D2F67">
              <w:rPr>
                <w:rFonts w:ascii="Arial" w:hAnsi="Arial" w:cs="Arial"/>
                <w:color w:val="000000"/>
                <w:sz w:val="20"/>
                <w:szCs w:val="20"/>
              </w:rPr>
              <w:t xml:space="preserve">  </w:t>
            </w:r>
            <w:r w:rsidR="00804E08" w:rsidRPr="002D2F67">
              <w:rPr>
                <w:rFonts w:ascii="Arial" w:hAnsi="Arial" w:cs="Arial"/>
                <w:color w:val="000000"/>
                <w:sz w:val="20"/>
                <w:szCs w:val="20"/>
              </w:rPr>
              <w:t>accumulated</w:t>
            </w:r>
            <w:r w:rsidRPr="002D2F67">
              <w:rPr>
                <w:rFonts w:ascii="Arial" w:hAnsi="Arial" w:cs="Arial"/>
                <w:color w:val="000000"/>
                <w:sz w:val="20"/>
                <w:szCs w:val="20"/>
              </w:rPr>
              <w:t xml:space="preserve"> impairment</w:t>
            </w:r>
          </w:p>
        </w:tc>
        <w:tc>
          <w:tcPr>
            <w:tcW w:w="1368" w:type="dxa"/>
            <w:tcBorders>
              <w:bottom w:val="single" w:sz="4" w:space="0" w:color="auto"/>
            </w:tcBorders>
            <w:shd w:val="clear" w:color="auto" w:fill="auto"/>
            <w:vAlign w:val="bottom"/>
          </w:tcPr>
          <w:p w14:paraId="1DEDE5BA" w14:textId="7D06D733" w:rsidR="0004779D" w:rsidRPr="002D2F67" w:rsidRDefault="00E81443"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919</w:t>
            </w:r>
            <w:r w:rsidRPr="002D2F67">
              <w:rPr>
                <w:rFonts w:ascii="Arial" w:hAnsi="Arial" w:cs="Arial"/>
                <w:color w:val="000000"/>
                <w:sz w:val="20"/>
                <w:szCs w:val="20"/>
              </w:rPr>
              <w:t>,</w:t>
            </w:r>
            <w:r w:rsidR="00CD5714" w:rsidRPr="00CD5714">
              <w:rPr>
                <w:rFonts w:ascii="Arial" w:hAnsi="Arial" w:cs="Arial"/>
                <w:color w:val="000000"/>
                <w:sz w:val="20"/>
                <w:szCs w:val="20"/>
                <w:lang w:val="en-GB"/>
              </w:rPr>
              <w:t>649</w:t>
            </w:r>
            <w:r w:rsidRPr="002D2F67">
              <w:rPr>
                <w:rFonts w:ascii="Arial" w:hAnsi="Arial" w:cs="Arial"/>
                <w:color w:val="000000"/>
                <w:sz w:val="20"/>
                <w:szCs w:val="20"/>
              </w:rPr>
              <w:t>)</w:t>
            </w:r>
          </w:p>
        </w:tc>
        <w:tc>
          <w:tcPr>
            <w:tcW w:w="1368" w:type="dxa"/>
            <w:tcBorders>
              <w:bottom w:val="single" w:sz="4" w:space="0" w:color="auto"/>
            </w:tcBorders>
            <w:shd w:val="clear" w:color="auto" w:fill="auto"/>
            <w:vAlign w:val="bottom"/>
          </w:tcPr>
          <w:p w14:paraId="4A92C638" w14:textId="07522A4D"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p>
        </w:tc>
      </w:tr>
      <w:tr w:rsidR="0004779D" w:rsidRPr="002D2F67" w14:paraId="0B7EAC56" w14:textId="77777777" w:rsidTr="002D2F67">
        <w:tc>
          <w:tcPr>
            <w:tcW w:w="6840" w:type="dxa"/>
            <w:shd w:val="clear" w:color="auto" w:fill="auto"/>
            <w:vAlign w:val="bottom"/>
          </w:tcPr>
          <w:p w14:paraId="3CBB5520" w14:textId="77777777" w:rsidR="0004779D" w:rsidRPr="002D2F67" w:rsidRDefault="0004779D" w:rsidP="005611FE">
            <w:pPr>
              <w:jc w:val="both"/>
              <w:rPr>
                <w:rFonts w:ascii="Arial" w:hAnsi="Arial" w:cs="Arial"/>
                <w:color w:val="000000"/>
                <w:sz w:val="20"/>
                <w:szCs w:val="20"/>
                <w:u w:val="single"/>
              </w:rPr>
            </w:pPr>
          </w:p>
        </w:tc>
        <w:tc>
          <w:tcPr>
            <w:tcW w:w="1368" w:type="dxa"/>
            <w:tcBorders>
              <w:top w:val="single" w:sz="4" w:space="0" w:color="auto"/>
            </w:tcBorders>
            <w:shd w:val="clear" w:color="auto" w:fill="auto"/>
            <w:vAlign w:val="bottom"/>
          </w:tcPr>
          <w:p w14:paraId="79BD85DD" w14:textId="77777777" w:rsidR="0004779D" w:rsidRPr="002D2F67" w:rsidRDefault="0004779D" w:rsidP="005611FE">
            <w:pPr>
              <w:ind w:right="-72"/>
              <w:jc w:val="right"/>
              <w:rPr>
                <w:rFonts w:ascii="Arial" w:hAnsi="Arial" w:cs="Arial"/>
                <w:color w:val="000000"/>
                <w:sz w:val="20"/>
                <w:szCs w:val="20"/>
              </w:rPr>
            </w:pPr>
          </w:p>
        </w:tc>
        <w:tc>
          <w:tcPr>
            <w:tcW w:w="1368" w:type="dxa"/>
            <w:tcBorders>
              <w:top w:val="single" w:sz="4" w:space="0" w:color="auto"/>
            </w:tcBorders>
            <w:shd w:val="clear" w:color="auto" w:fill="auto"/>
            <w:vAlign w:val="bottom"/>
          </w:tcPr>
          <w:p w14:paraId="76C555EF" w14:textId="77777777" w:rsidR="0004779D" w:rsidRPr="002D2F67" w:rsidRDefault="0004779D" w:rsidP="005611FE">
            <w:pPr>
              <w:ind w:right="-72"/>
              <w:jc w:val="right"/>
              <w:rPr>
                <w:rFonts w:ascii="Arial" w:hAnsi="Arial" w:cs="Arial"/>
                <w:color w:val="000000"/>
                <w:sz w:val="20"/>
                <w:szCs w:val="20"/>
              </w:rPr>
            </w:pPr>
          </w:p>
        </w:tc>
      </w:tr>
      <w:tr w:rsidR="0004779D" w:rsidRPr="002D2F67" w14:paraId="7450D792" w14:textId="77777777" w:rsidTr="002D2F67">
        <w:tc>
          <w:tcPr>
            <w:tcW w:w="6840" w:type="dxa"/>
            <w:shd w:val="clear" w:color="auto" w:fill="auto"/>
            <w:vAlign w:val="bottom"/>
          </w:tcPr>
          <w:p w14:paraId="15A6121F" w14:textId="77777777" w:rsidR="0004779D" w:rsidRPr="002D2F67" w:rsidRDefault="0004779D" w:rsidP="005611FE">
            <w:pPr>
              <w:jc w:val="both"/>
              <w:rPr>
                <w:rFonts w:ascii="Arial" w:hAnsi="Arial" w:cs="Arial"/>
                <w:color w:val="000000"/>
                <w:sz w:val="20"/>
                <w:szCs w:val="20"/>
                <w:u w:val="single"/>
              </w:rPr>
            </w:pPr>
            <w:r w:rsidRPr="002D2F67">
              <w:rPr>
                <w:rFonts w:ascii="Arial" w:hAnsi="Arial" w:cs="Arial"/>
                <w:color w:val="000000"/>
                <w:sz w:val="20"/>
                <w:szCs w:val="20"/>
              </w:rPr>
              <w:t>Net book value</w:t>
            </w:r>
          </w:p>
        </w:tc>
        <w:tc>
          <w:tcPr>
            <w:tcW w:w="1368" w:type="dxa"/>
            <w:tcBorders>
              <w:bottom w:val="single" w:sz="4" w:space="0" w:color="auto"/>
            </w:tcBorders>
            <w:shd w:val="clear" w:color="auto" w:fill="auto"/>
            <w:vAlign w:val="bottom"/>
          </w:tcPr>
          <w:p w14:paraId="1F11EF8D" w14:textId="0CDE0D00"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44</w:t>
            </w:r>
            <w:r w:rsidR="00E81443" w:rsidRPr="002D2F67">
              <w:rPr>
                <w:rFonts w:ascii="Arial" w:hAnsi="Arial" w:cs="Arial"/>
                <w:color w:val="000000"/>
                <w:sz w:val="20"/>
                <w:szCs w:val="20"/>
              </w:rPr>
              <w:t>,</w:t>
            </w:r>
            <w:r w:rsidRPr="00CD5714">
              <w:rPr>
                <w:rFonts w:ascii="Arial" w:hAnsi="Arial" w:cs="Arial"/>
                <w:color w:val="000000"/>
                <w:sz w:val="20"/>
                <w:szCs w:val="20"/>
                <w:lang w:val="en-GB"/>
              </w:rPr>
              <w:t>260</w:t>
            </w:r>
          </w:p>
        </w:tc>
        <w:tc>
          <w:tcPr>
            <w:tcW w:w="1368" w:type="dxa"/>
            <w:tcBorders>
              <w:bottom w:val="single" w:sz="4" w:space="0" w:color="auto"/>
            </w:tcBorders>
            <w:shd w:val="clear" w:color="auto" w:fill="auto"/>
            <w:vAlign w:val="bottom"/>
          </w:tcPr>
          <w:p w14:paraId="0E1FC838" w14:textId="1E96833D"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04779D" w:rsidRPr="002D2F67">
              <w:rPr>
                <w:rFonts w:ascii="Arial" w:hAnsi="Arial" w:cs="Arial"/>
                <w:color w:val="000000"/>
                <w:sz w:val="20"/>
                <w:szCs w:val="20"/>
              </w:rPr>
              <w:t>,</w:t>
            </w:r>
            <w:r w:rsidRPr="00CD5714">
              <w:rPr>
                <w:rFonts w:ascii="Arial" w:hAnsi="Arial" w:cs="Arial"/>
                <w:color w:val="000000"/>
                <w:sz w:val="20"/>
                <w:szCs w:val="20"/>
                <w:lang w:val="en-GB"/>
              </w:rPr>
              <w:t>193</w:t>
            </w:r>
            <w:r w:rsidR="0004779D" w:rsidRPr="002D2F67">
              <w:rPr>
                <w:rFonts w:ascii="Arial" w:hAnsi="Arial" w:cs="Arial"/>
                <w:color w:val="000000"/>
                <w:sz w:val="20"/>
                <w:szCs w:val="20"/>
              </w:rPr>
              <w:t>,</w:t>
            </w:r>
            <w:r w:rsidRPr="00CD5714">
              <w:rPr>
                <w:rFonts w:ascii="Arial" w:hAnsi="Arial" w:cs="Arial"/>
                <w:color w:val="000000"/>
                <w:sz w:val="20"/>
                <w:szCs w:val="20"/>
                <w:lang w:val="en-GB"/>
              </w:rPr>
              <w:t>088</w:t>
            </w:r>
          </w:p>
        </w:tc>
      </w:tr>
    </w:tbl>
    <w:p w14:paraId="386B97D6" w14:textId="77777777" w:rsidR="0054247E" w:rsidRPr="002D2F67" w:rsidRDefault="004F4DED" w:rsidP="005611FE">
      <w:pPr>
        <w:spacing w:line="259" w:lineRule="auto"/>
        <w:jc w:val="both"/>
        <w:rPr>
          <w:rFonts w:ascii="Arial" w:hAnsi="Arial" w:cs="Arial"/>
          <w:color w:val="000000"/>
          <w:sz w:val="20"/>
          <w:szCs w:val="20"/>
        </w:rPr>
      </w:pPr>
      <w:r w:rsidRPr="002D2F67">
        <w:rPr>
          <w:rFonts w:ascii="Arial" w:hAnsi="Arial" w:cs="Arial"/>
          <w:color w:val="000000"/>
          <w:sz w:val="20"/>
          <w:szCs w:val="20"/>
        </w:rPr>
        <w:br w:type="page"/>
      </w:r>
    </w:p>
    <w:p w14:paraId="0BB8522D" w14:textId="73F727A3" w:rsidR="00AD6742" w:rsidRPr="002D2F67" w:rsidRDefault="00AD6742" w:rsidP="005611FE">
      <w:pPr>
        <w:spacing w:line="259" w:lineRule="auto"/>
        <w:jc w:val="both"/>
        <w:rPr>
          <w:rFonts w:ascii="Arial" w:eastAsia="Arial Unicode MS" w:hAnsi="Arial" w:cs="Arial"/>
          <w:color w:val="000000"/>
          <w:spacing w:val="-6"/>
          <w:sz w:val="18"/>
          <w:szCs w:val="18"/>
        </w:rPr>
      </w:pPr>
      <w:r w:rsidRPr="002D2F67">
        <w:rPr>
          <w:rFonts w:ascii="Arial" w:hAnsi="Arial" w:cs="Arial"/>
          <w:color w:val="000000"/>
          <w:sz w:val="20"/>
          <w:szCs w:val="20"/>
        </w:rPr>
        <w:t xml:space="preserve">Goodwill allocation for each material cash generation unit (CGU) </w:t>
      </w:r>
      <w:r w:rsidR="00284AAF" w:rsidRPr="002D2F67">
        <w:rPr>
          <w:rFonts w:ascii="Arial" w:hAnsi="Arial" w:cs="Arial"/>
          <w:color w:val="000000"/>
          <w:sz w:val="20"/>
          <w:szCs w:val="20"/>
        </w:rPr>
        <w:t>was</w:t>
      </w:r>
      <w:r w:rsidRPr="002D2F67">
        <w:rPr>
          <w:rFonts w:ascii="Arial" w:hAnsi="Arial" w:cs="Arial"/>
          <w:color w:val="000000"/>
          <w:sz w:val="20"/>
          <w:szCs w:val="20"/>
        </w:rPr>
        <w:t xml:space="preserve"> presented as</w:t>
      </w:r>
      <w:r w:rsidRPr="002D2F67">
        <w:rPr>
          <w:rFonts w:ascii="Arial" w:eastAsia="Arial Unicode MS" w:hAnsi="Arial" w:cs="Arial"/>
          <w:color w:val="000000"/>
          <w:spacing w:val="-6"/>
          <w:sz w:val="18"/>
          <w:szCs w:val="18"/>
        </w:rPr>
        <w:t>:</w:t>
      </w:r>
    </w:p>
    <w:p w14:paraId="39353ADA" w14:textId="77777777" w:rsidR="00AD6742" w:rsidRPr="002D2F67" w:rsidRDefault="00AD6742" w:rsidP="005611FE">
      <w:pPr>
        <w:spacing w:line="259" w:lineRule="auto"/>
        <w:jc w:val="both"/>
        <w:rPr>
          <w:rFonts w:ascii="Arial" w:eastAsia="Arial Unicode MS" w:hAnsi="Arial" w:cs="Arial"/>
          <w:color w:val="000000"/>
          <w:spacing w:val="-6"/>
          <w:sz w:val="18"/>
          <w:szCs w:val="18"/>
        </w:rPr>
      </w:pPr>
    </w:p>
    <w:tbl>
      <w:tblPr>
        <w:tblW w:w="9558" w:type="dxa"/>
        <w:tblInd w:w="18" w:type="dxa"/>
        <w:tblLayout w:type="fixed"/>
        <w:tblLook w:val="0000" w:firstRow="0" w:lastRow="0" w:firstColumn="0" w:lastColumn="0" w:noHBand="0" w:noVBand="0"/>
      </w:tblPr>
      <w:tblGrid>
        <w:gridCol w:w="2880"/>
        <w:gridCol w:w="1669"/>
        <w:gridCol w:w="1661"/>
        <w:gridCol w:w="9"/>
        <w:gridCol w:w="1669"/>
        <w:gridCol w:w="1670"/>
      </w:tblGrid>
      <w:tr w:rsidR="00AD6742" w:rsidRPr="002D2F67" w14:paraId="12FD2C17" w14:textId="77777777" w:rsidTr="008255E8">
        <w:trPr>
          <w:trHeight w:val="120"/>
        </w:trPr>
        <w:tc>
          <w:tcPr>
            <w:tcW w:w="2880" w:type="dxa"/>
            <w:shd w:val="clear" w:color="auto" w:fill="auto"/>
          </w:tcPr>
          <w:p w14:paraId="4A1F8101" w14:textId="77777777" w:rsidR="00AD6742" w:rsidRPr="002D2F67" w:rsidRDefault="00AD6742" w:rsidP="005611FE">
            <w:pPr>
              <w:ind w:left="-16"/>
              <w:rPr>
                <w:rFonts w:ascii="Arial" w:hAnsi="Arial" w:cs="Arial"/>
                <w:color w:val="000000"/>
                <w:sz w:val="20"/>
                <w:szCs w:val="20"/>
              </w:rPr>
            </w:pPr>
          </w:p>
        </w:tc>
        <w:tc>
          <w:tcPr>
            <w:tcW w:w="6678" w:type="dxa"/>
            <w:gridSpan w:val="5"/>
            <w:tcBorders>
              <w:bottom w:val="single" w:sz="4" w:space="0" w:color="auto"/>
            </w:tcBorders>
            <w:shd w:val="clear" w:color="auto" w:fill="auto"/>
            <w:vAlign w:val="bottom"/>
          </w:tcPr>
          <w:p w14:paraId="35A4EBF7" w14:textId="77777777" w:rsidR="00AD6742" w:rsidRPr="002D2F67" w:rsidRDefault="00AD6742" w:rsidP="005611FE">
            <w:pPr>
              <w:pStyle w:val="ListParagraph"/>
              <w:spacing w:after="0" w:line="240" w:lineRule="auto"/>
              <w:ind w:left="320" w:right="-72"/>
              <w:jc w:val="right"/>
              <w:rPr>
                <w:rFonts w:ascii="Arial" w:hAnsi="Arial" w:cs="Arial"/>
                <w:b/>
                <w:bCs/>
                <w:color w:val="000000"/>
                <w:sz w:val="20"/>
                <w:szCs w:val="20"/>
              </w:rPr>
            </w:pPr>
            <w:r w:rsidRPr="002D2F67">
              <w:rPr>
                <w:rFonts w:ascii="Arial" w:hAnsi="Arial" w:cs="Arial"/>
                <w:b/>
                <w:bCs/>
                <w:color w:val="000000"/>
                <w:sz w:val="20"/>
                <w:szCs w:val="20"/>
              </w:rPr>
              <w:t>Consolidated financial statements</w:t>
            </w:r>
          </w:p>
        </w:tc>
      </w:tr>
      <w:tr w:rsidR="00AD6742" w:rsidRPr="002D2F67" w14:paraId="5D786AB6" w14:textId="77777777" w:rsidTr="008255E8">
        <w:trPr>
          <w:trHeight w:val="120"/>
        </w:trPr>
        <w:tc>
          <w:tcPr>
            <w:tcW w:w="2880" w:type="dxa"/>
            <w:shd w:val="clear" w:color="auto" w:fill="auto"/>
          </w:tcPr>
          <w:p w14:paraId="15911B2A" w14:textId="77777777" w:rsidR="00AD6742" w:rsidRPr="002D2F67" w:rsidRDefault="00AD6742" w:rsidP="005611FE">
            <w:pPr>
              <w:ind w:left="-16"/>
              <w:rPr>
                <w:rFonts w:ascii="Arial" w:hAnsi="Arial" w:cs="Arial"/>
                <w:color w:val="000000"/>
                <w:sz w:val="20"/>
                <w:szCs w:val="20"/>
              </w:rPr>
            </w:pPr>
          </w:p>
        </w:tc>
        <w:tc>
          <w:tcPr>
            <w:tcW w:w="3330" w:type="dxa"/>
            <w:gridSpan w:val="2"/>
            <w:tcBorders>
              <w:top w:val="single" w:sz="4" w:space="0" w:color="auto"/>
            </w:tcBorders>
            <w:shd w:val="clear" w:color="auto" w:fill="auto"/>
            <w:vAlign w:val="bottom"/>
          </w:tcPr>
          <w:p w14:paraId="7ACBE58F" w14:textId="460576C5" w:rsidR="00AD6742"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3348" w:type="dxa"/>
            <w:gridSpan w:val="3"/>
            <w:tcBorders>
              <w:top w:val="single" w:sz="4" w:space="0" w:color="auto"/>
            </w:tcBorders>
            <w:shd w:val="clear" w:color="auto" w:fill="auto"/>
            <w:vAlign w:val="bottom"/>
          </w:tcPr>
          <w:p w14:paraId="7B328DD7" w14:textId="3B8BE21E" w:rsidR="00AD6742" w:rsidRPr="002D2F67" w:rsidRDefault="00CD5714" w:rsidP="005611FE">
            <w:pPr>
              <w:pStyle w:val="ListParagraph"/>
              <w:spacing w:after="0" w:line="240" w:lineRule="auto"/>
              <w:ind w:left="320"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AD6742" w:rsidRPr="002D2F67" w14:paraId="7A8E1EAD" w14:textId="77777777" w:rsidTr="005611FE">
        <w:trPr>
          <w:trHeight w:val="120"/>
        </w:trPr>
        <w:tc>
          <w:tcPr>
            <w:tcW w:w="2880" w:type="dxa"/>
            <w:shd w:val="clear" w:color="auto" w:fill="auto"/>
          </w:tcPr>
          <w:p w14:paraId="6FA2C0D3" w14:textId="77777777" w:rsidR="00AD6742" w:rsidRPr="002D2F67" w:rsidRDefault="00AD6742" w:rsidP="005611FE">
            <w:pPr>
              <w:ind w:left="-16"/>
              <w:rPr>
                <w:rFonts w:ascii="Arial" w:hAnsi="Arial" w:cs="Arial"/>
                <w:color w:val="000000"/>
                <w:sz w:val="20"/>
                <w:szCs w:val="20"/>
              </w:rPr>
            </w:pPr>
          </w:p>
        </w:tc>
        <w:tc>
          <w:tcPr>
            <w:tcW w:w="1669" w:type="dxa"/>
            <w:tcBorders>
              <w:top w:val="single" w:sz="4" w:space="0" w:color="auto"/>
            </w:tcBorders>
            <w:shd w:val="clear" w:color="auto" w:fill="auto"/>
            <w:vAlign w:val="bottom"/>
          </w:tcPr>
          <w:p w14:paraId="51CC5065" w14:textId="2188C80B" w:rsidR="00AD6742" w:rsidRPr="002D2F67" w:rsidRDefault="007C3856" w:rsidP="005611FE">
            <w:pPr>
              <w:ind w:right="-72"/>
              <w:jc w:val="right"/>
              <w:rPr>
                <w:rFonts w:ascii="Arial" w:hAnsi="Arial" w:cs="Arial"/>
                <w:b/>
                <w:bCs/>
                <w:color w:val="000000"/>
                <w:sz w:val="20"/>
                <w:szCs w:val="20"/>
              </w:rPr>
            </w:pPr>
            <w:r w:rsidRPr="002D2F67">
              <w:rPr>
                <w:rFonts w:ascii="Arial" w:hAnsi="Arial" w:cs="Arial"/>
                <w:b/>
                <w:bCs/>
                <w:color w:val="000000"/>
                <w:sz w:val="20"/>
                <w:szCs w:val="20"/>
              </w:rPr>
              <w:t>B</w:t>
            </w:r>
            <w:r w:rsidR="00AD6742" w:rsidRPr="002D2F67">
              <w:rPr>
                <w:rFonts w:ascii="Arial" w:hAnsi="Arial" w:cs="Arial"/>
                <w:b/>
                <w:bCs/>
                <w:color w:val="000000"/>
                <w:sz w:val="20"/>
                <w:szCs w:val="20"/>
              </w:rPr>
              <w:t>attery manufacturing and distributing business</w:t>
            </w:r>
          </w:p>
        </w:tc>
        <w:tc>
          <w:tcPr>
            <w:tcW w:w="1670" w:type="dxa"/>
            <w:gridSpan w:val="2"/>
            <w:tcBorders>
              <w:top w:val="single" w:sz="4" w:space="0" w:color="auto"/>
            </w:tcBorders>
            <w:shd w:val="clear" w:color="auto" w:fill="auto"/>
            <w:vAlign w:val="bottom"/>
          </w:tcPr>
          <w:p w14:paraId="26350258" w14:textId="77777777" w:rsidR="00AD6742" w:rsidRPr="002D2F67" w:rsidRDefault="007C3856" w:rsidP="005611FE">
            <w:pPr>
              <w:ind w:right="-72"/>
              <w:jc w:val="right"/>
              <w:rPr>
                <w:rFonts w:ascii="Arial" w:hAnsi="Arial" w:cs="Arial"/>
                <w:b/>
                <w:bCs/>
                <w:color w:val="000000"/>
                <w:sz w:val="20"/>
                <w:szCs w:val="20"/>
              </w:rPr>
            </w:pPr>
            <w:r w:rsidRPr="002D2F67">
              <w:rPr>
                <w:rFonts w:ascii="Arial" w:hAnsi="Arial" w:cs="Arial"/>
                <w:b/>
                <w:bCs/>
                <w:color w:val="000000"/>
                <w:sz w:val="20"/>
                <w:szCs w:val="20"/>
              </w:rPr>
              <w:t>Pa</w:t>
            </w:r>
            <w:r w:rsidR="00AD6742" w:rsidRPr="002D2F67">
              <w:rPr>
                <w:rFonts w:ascii="Arial" w:hAnsi="Arial" w:cs="Arial"/>
                <w:b/>
                <w:bCs/>
                <w:color w:val="000000"/>
                <w:sz w:val="20"/>
                <w:szCs w:val="20"/>
              </w:rPr>
              <w:t xml:space="preserve">lm crushing mills and biomass </w:t>
            </w:r>
            <w:r w:rsidR="00495973" w:rsidRPr="002D2F67">
              <w:rPr>
                <w:rFonts w:ascii="Arial" w:hAnsi="Arial" w:cs="Arial"/>
                <w:b/>
                <w:bCs/>
                <w:color w:val="000000"/>
                <w:sz w:val="20"/>
                <w:szCs w:val="20"/>
              </w:rPr>
              <w:br/>
            </w:r>
            <w:r w:rsidR="00AD6742" w:rsidRPr="002D2F67">
              <w:rPr>
                <w:rFonts w:ascii="Arial" w:hAnsi="Arial" w:cs="Arial"/>
                <w:b/>
                <w:bCs/>
                <w:color w:val="000000"/>
                <w:sz w:val="20"/>
                <w:szCs w:val="20"/>
              </w:rPr>
              <w:t>power plant business</w:t>
            </w:r>
          </w:p>
        </w:tc>
        <w:tc>
          <w:tcPr>
            <w:tcW w:w="1669" w:type="dxa"/>
            <w:tcBorders>
              <w:top w:val="single" w:sz="4" w:space="0" w:color="auto"/>
            </w:tcBorders>
            <w:shd w:val="clear" w:color="auto" w:fill="auto"/>
            <w:vAlign w:val="bottom"/>
          </w:tcPr>
          <w:p w14:paraId="5AA7A0AA" w14:textId="2F9CFCE3" w:rsidR="00AD6742" w:rsidRPr="002D2F67" w:rsidRDefault="007C3856" w:rsidP="005611FE">
            <w:pPr>
              <w:ind w:right="-72"/>
              <w:jc w:val="right"/>
              <w:rPr>
                <w:rFonts w:ascii="Arial" w:hAnsi="Arial" w:cs="Arial"/>
                <w:b/>
                <w:bCs/>
                <w:color w:val="000000"/>
                <w:sz w:val="20"/>
                <w:szCs w:val="20"/>
              </w:rPr>
            </w:pPr>
            <w:r w:rsidRPr="002D2F67">
              <w:rPr>
                <w:rFonts w:ascii="Arial" w:hAnsi="Arial" w:cs="Arial"/>
                <w:b/>
                <w:bCs/>
                <w:color w:val="000000"/>
                <w:sz w:val="20"/>
                <w:szCs w:val="20"/>
              </w:rPr>
              <w:t>B</w:t>
            </w:r>
            <w:r w:rsidR="00AD6742" w:rsidRPr="002D2F67">
              <w:rPr>
                <w:rFonts w:ascii="Arial" w:hAnsi="Arial" w:cs="Arial"/>
                <w:b/>
                <w:bCs/>
                <w:color w:val="000000"/>
                <w:sz w:val="20"/>
                <w:szCs w:val="20"/>
              </w:rPr>
              <w:t>attery manufacturing and distributing business</w:t>
            </w:r>
          </w:p>
        </w:tc>
        <w:tc>
          <w:tcPr>
            <w:tcW w:w="1670" w:type="dxa"/>
            <w:tcBorders>
              <w:top w:val="single" w:sz="4" w:space="0" w:color="auto"/>
            </w:tcBorders>
            <w:shd w:val="clear" w:color="auto" w:fill="auto"/>
            <w:vAlign w:val="bottom"/>
          </w:tcPr>
          <w:p w14:paraId="6BCB8A86" w14:textId="77777777" w:rsidR="00AD6742" w:rsidRPr="002D2F67" w:rsidRDefault="007C3856" w:rsidP="005611FE">
            <w:pPr>
              <w:ind w:right="-72"/>
              <w:jc w:val="right"/>
              <w:rPr>
                <w:rFonts w:ascii="Arial" w:hAnsi="Arial" w:cs="Arial"/>
                <w:color w:val="000000"/>
                <w:sz w:val="20"/>
                <w:szCs w:val="20"/>
              </w:rPr>
            </w:pPr>
            <w:r w:rsidRPr="002D2F67">
              <w:rPr>
                <w:rFonts w:ascii="Arial" w:hAnsi="Arial" w:cs="Arial"/>
                <w:b/>
                <w:bCs/>
                <w:color w:val="000000"/>
                <w:sz w:val="20"/>
                <w:szCs w:val="20"/>
              </w:rPr>
              <w:t>P</w:t>
            </w:r>
            <w:r w:rsidR="00AD6742" w:rsidRPr="002D2F67">
              <w:rPr>
                <w:rFonts w:ascii="Arial" w:hAnsi="Arial" w:cs="Arial"/>
                <w:b/>
                <w:bCs/>
                <w:color w:val="000000"/>
                <w:sz w:val="20"/>
                <w:szCs w:val="20"/>
              </w:rPr>
              <w:t xml:space="preserve">alm crushing mills and biomass </w:t>
            </w:r>
            <w:r w:rsidR="00495973" w:rsidRPr="002D2F67">
              <w:rPr>
                <w:rFonts w:ascii="Arial" w:hAnsi="Arial" w:cs="Arial"/>
                <w:b/>
                <w:bCs/>
                <w:color w:val="000000"/>
                <w:sz w:val="20"/>
                <w:szCs w:val="20"/>
              </w:rPr>
              <w:br/>
            </w:r>
            <w:r w:rsidR="00AD6742" w:rsidRPr="002D2F67">
              <w:rPr>
                <w:rFonts w:ascii="Arial" w:hAnsi="Arial" w:cs="Arial"/>
                <w:b/>
                <w:bCs/>
                <w:color w:val="000000"/>
                <w:sz w:val="20"/>
                <w:szCs w:val="20"/>
              </w:rPr>
              <w:t>power plant business</w:t>
            </w:r>
          </w:p>
        </w:tc>
      </w:tr>
      <w:tr w:rsidR="00AD6742" w:rsidRPr="002D2F67" w14:paraId="072A7557" w14:textId="77777777" w:rsidTr="005611FE">
        <w:tc>
          <w:tcPr>
            <w:tcW w:w="2880" w:type="dxa"/>
            <w:shd w:val="clear" w:color="auto" w:fill="auto"/>
          </w:tcPr>
          <w:p w14:paraId="393BD78C" w14:textId="77777777" w:rsidR="00AD6742" w:rsidRPr="002D2F67" w:rsidRDefault="00AD6742" w:rsidP="005611FE">
            <w:pPr>
              <w:ind w:left="-16"/>
              <w:rPr>
                <w:rFonts w:ascii="Arial" w:hAnsi="Arial" w:cs="Arial"/>
                <w:color w:val="000000"/>
                <w:sz w:val="20"/>
                <w:szCs w:val="20"/>
              </w:rPr>
            </w:pPr>
          </w:p>
        </w:tc>
        <w:tc>
          <w:tcPr>
            <w:tcW w:w="1669" w:type="dxa"/>
            <w:tcBorders>
              <w:bottom w:val="single" w:sz="4" w:space="0" w:color="auto"/>
            </w:tcBorders>
            <w:shd w:val="clear" w:color="auto" w:fill="auto"/>
            <w:vAlign w:val="bottom"/>
          </w:tcPr>
          <w:p w14:paraId="47C8E3B6" w14:textId="77777777" w:rsidR="00AD6742" w:rsidRPr="002D2F67" w:rsidRDefault="00AD6742" w:rsidP="005611FE">
            <w:pPr>
              <w:ind w:right="-72"/>
              <w:jc w:val="right"/>
              <w:rPr>
                <w:rFonts w:ascii="Arial" w:hAnsi="Arial" w:cs="Arial"/>
                <w:b/>
                <w:bCs/>
                <w:color w:val="000000"/>
                <w:sz w:val="20"/>
                <w:szCs w:val="20"/>
              </w:rPr>
            </w:pPr>
            <w:r w:rsidRPr="002D2F67">
              <w:rPr>
                <w:rFonts w:ascii="Arial" w:hAnsi="Arial" w:cs="Arial"/>
                <w:b/>
                <w:bCs/>
                <w:color w:val="000000"/>
                <w:sz w:val="20"/>
                <w:szCs w:val="20"/>
              </w:rPr>
              <w:t>Million Baht</w:t>
            </w:r>
          </w:p>
        </w:tc>
        <w:tc>
          <w:tcPr>
            <w:tcW w:w="1670" w:type="dxa"/>
            <w:gridSpan w:val="2"/>
            <w:tcBorders>
              <w:bottom w:val="single" w:sz="4" w:space="0" w:color="auto"/>
            </w:tcBorders>
            <w:shd w:val="clear" w:color="auto" w:fill="auto"/>
            <w:vAlign w:val="bottom"/>
          </w:tcPr>
          <w:p w14:paraId="00D48C65" w14:textId="77777777" w:rsidR="00AD6742" w:rsidRPr="002D2F67" w:rsidRDefault="00AD6742" w:rsidP="005611FE">
            <w:pPr>
              <w:ind w:right="-72"/>
              <w:jc w:val="right"/>
              <w:rPr>
                <w:rFonts w:ascii="Arial" w:hAnsi="Arial" w:cs="Arial"/>
                <w:b/>
                <w:bCs/>
                <w:color w:val="000000"/>
                <w:sz w:val="20"/>
                <w:szCs w:val="20"/>
              </w:rPr>
            </w:pPr>
            <w:r w:rsidRPr="002D2F67">
              <w:rPr>
                <w:rFonts w:ascii="Arial" w:hAnsi="Arial" w:cs="Arial"/>
                <w:b/>
                <w:bCs/>
                <w:color w:val="000000"/>
                <w:sz w:val="20"/>
                <w:szCs w:val="20"/>
              </w:rPr>
              <w:t>Million Baht</w:t>
            </w:r>
          </w:p>
        </w:tc>
        <w:tc>
          <w:tcPr>
            <w:tcW w:w="1669" w:type="dxa"/>
            <w:tcBorders>
              <w:bottom w:val="single" w:sz="4" w:space="0" w:color="auto"/>
            </w:tcBorders>
            <w:shd w:val="clear" w:color="auto" w:fill="auto"/>
            <w:vAlign w:val="bottom"/>
          </w:tcPr>
          <w:p w14:paraId="751AB8E8" w14:textId="77777777" w:rsidR="00AD6742" w:rsidRPr="002D2F67" w:rsidRDefault="00AD6742" w:rsidP="005611FE">
            <w:pPr>
              <w:ind w:right="-72"/>
              <w:jc w:val="right"/>
              <w:rPr>
                <w:rFonts w:ascii="Arial" w:hAnsi="Arial" w:cs="Arial"/>
                <w:b/>
                <w:bCs/>
                <w:color w:val="000000"/>
                <w:sz w:val="20"/>
                <w:szCs w:val="20"/>
              </w:rPr>
            </w:pPr>
            <w:r w:rsidRPr="002D2F67">
              <w:rPr>
                <w:rFonts w:ascii="Arial" w:hAnsi="Arial" w:cs="Arial"/>
                <w:b/>
                <w:bCs/>
                <w:color w:val="000000"/>
                <w:sz w:val="20"/>
                <w:szCs w:val="20"/>
              </w:rPr>
              <w:t>Million Baht</w:t>
            </w:r>
          </w:p>
        </w:tc>
        <w:tc>
          <w:tcPr>
            <w:tcW w:w="1670" w:type="dxa"/>
            <w:tcBorders>
              <w:bottom w:val="single" w:sz="4" w:space="0" w:color="auto"/>
            </w:tcBorders>
            <w:shd w:val="clear" w:color="auto" w:fill="auto"/>
            <w:vAlign w:val="bottom"/>
          </w:tcPr>
          <w:p w14:paraId="1D34A1A8" w14:textId="77777777" w:rsidR="00AD6742" w:rsidRPr="002D2F67" w:rsidRDefault="00AD6742" w:rsidP="005611FE">
            <w:pPr>
              <w:ind w:right="-72"/>
              <w:jc w:val="right"/>
              <w:rPr>
                <w:rFonts w:ascii="Arial" w:hAnsi="Arial" w:cs="Arial"/>
                <w:b/>
                <w:bCs/>
                <w:color w:val="000000"/>
                <w:sz w:val="20"/>
                <w:szCs w:val="20"/>
              </w:rPr>
            </w:pPr>
            <w:r w:rsidRPr="002D2F67">
              <w:rPr>
                <w:rFonts w:ascii="Arial" w:hAnsi="Arial" w:cs="Arial"/>
                <w:b/>
                <w:bCs/>
                <w:color w:val="000000"/>
                <w:sz w:val="20"/>
                <w:szCs w:val="20"/>
              </w:rPr>
              <w:t>Million Baht</w:t>
            </w:r>
          </w:p>
        </w:tc>
      </w:tr>
      <w:tr w:rsidR="00AD6742" w:rsidRPr="002D2F67" w14:paraId="0BE7964F" w14:textId="77777777" w:rsidTr="005611FE">
        <w:trPr>
          <w:trHeight w:val="120"/>
        </w:trPr>
        <w:tc>
          <w:tcPr>
            <w:tcW w:w="2880" w:type="dxa"/>
            <w:shd w:val="clear" w:color="auto" w:fill="auto"/>
          </w:tcPr>
          <w:p w14:paraId="02E42CC7" w14:textId="77777777" w:rsidR="00AD6742" w:rsidRPr="002D2F67" w:rsidRDefault="00AD6742" w:rsidP="005611FE">
            <w:pPr>
              <w:ind w:left="-16"/>
              <w:rPr>
                <w:rFonts w:ascii="Arial" w:hAnsi="Arial" w:cs="Arial"/>
                <w:color w:val="000000"/>
                <w:sz w:val="20"/>
                <w:szCs w:val="20"/>
              </w:rPr>
            </w:pPr>
          </w:p>
        </w:tc>
        <w:tc>
          <w:tcPr>
            <w:tcW w:w="1669" w:type="dxa"/>
            <w:tcBorders>
              <w:top w:val="single" w:sz="4" w:space="0" w:color="auto"/>
            </w:tcBorders>
            <w:shd w:val="clear" w:color="auto" w:fill="auto"/>
            <w:vAlign w:val="bottom"/>
          </w:tcPr>
          <w:p w14:paraId="06967B2E" w14:textId="77777777" w:rsidR="00AD6742" w:rsidRPr="002D2F67" w:rsidRDefault="00AD6742" w:rsidP="005611FE">
            <w:pPr>
              <w:ind w:right="-72"/>
              <w:jc w:val="right"/>
              <w:rPr>
                <w:rFonts w:ascii="Arial" w:hAnsi="Arial" w:cs="Arial"/>
                <w:color w:val="000000"/>
                <w:sz w:val="20"/>
                <w:szCs w:val="20"/>
              </w:rPr>
            </w:pPr>
          </w:p>
        </w:tc>
        <w:tc>
          <w:tcPr>
            <w:tcW w:w="1670" w:type="dxa"/>
            <w:gridSpan w:val="2"/>
            <w:tcBorders>
              <w:top w:val="single" w:sz="4" w:space="0" w:color="auto"/>
            </w:tcBorders>
            <w:shd w:val="clear" w:color="auto" w:fill="auto"/>
            <w:vAlign w:val="bottom"/>
          </w:tcPr>
          <w:p w14:paraId="56003F9F" w14:textId="77777777" w:rsidR="00AD6742" w:rsidRPr="002D2F67" w:rsidRDefault="00AD6742" w:rsidP="005611FE">
            <w:pPr>
              <w:ind w:right="-72"/>
              <w:jc w:val="right"/>
              <w:rPr>
                <w:rFonts w:ascii="Arial" w:hAnsi="Arial" w:cs="Arial"/>
                <w:color w:val="000000"/>
                <w:sz w:val="20"/>
                <w:szCs w:val="20"/>
              </w:rPr>
            </w:pPr>
          </w:p>
        </w:tc>
        <w:tc>
          <w:tcPr>
            <w:tcW w:w="1669" w:type="dxa"/>
            <w:tcBorders>
              <w:top w:val="single" w:sz="4" w:space="0" w:color="auto"/>
            </w:tcBorders>
            <w:shd w:val="clear" w:color="auto" w:fill="auto"/>
            <w:vAlign w:val="bottom"/>
          </w:tcPr>
          <w:p w14:paraId="6295922A" w14:textId="77777777" w:rsidR="00AD6742" w:rsidRPr="002D2F67" w:rsidRDefault="00AD6742" w:rsidP="005611FE">
            <w:pPr>
              <w:ind w:right="-72"/>
              <w:jc w:val="right"/>
              <w:rPr>
                <w:rFonts w:ascii="Arial" w:hAnsi="Arial" w:cs="Arial"/>
                <w:color w:val="000000"/>
                <w:sz w:val="20"/>
                <w:szCs w:val="20"/>
              </w:rPr>
            </w:pPr>
          </w:p>
        </w:tc>
        <w:tc>
          <w:tcPr>
            <w:tcW w:w="1670" w:type="dxa"/>
            <w:tcBorders>
              <w:top w:val="single" w:sz="4" w:space="0" w:color="auto"/>
            </w:tcBorders>
            <w:shd w:val="clear" w:color="auto" w:fill="auto"/>
            <w:vAlign w:val="bottom"/>
          </w:tcPr>
          <w:p w14:paraId="1F1536E4" w14:textId="77777777" w:rsidR="00AD6742" w:rsidRPr="002D2F67" w:rsidRDefault="00AD6742" w:rsidP="005611FE">
            <w:pPr>
              <w:ind w:right="-72"/>
              <w:jc w:val="right"/>
              <w:rPr>
                <w:rFonts w:ascii="Arial" w:hAnsi="Arial" w:cs="Arial"/>
                <w:color w:val="000000"/>
                <w:sz w:val="20"/>
                <w:szCs w:val="20"/>
              </w:rPr>
            </w:pPr>
          </w:p>
        </w:tc>
      </w:tr>
      <w:tr w:rsidR="0004779D" w:rsidRPr="002D2F67" w14:paraId="7C19C146" w14:textId="77777777" w:rsidTr="005611FE">
        <w:trPr>
          <w:trHeight w:val="120"/>
        </w:trPr>
        <w:tc>
          <w:tcPr>
            <w:tcW w:w="2880" w:type="dxa"/>
            <w:shd w:val="clear" w:color="auto" w:fill="auto"/>
          </w:tcPr>
          <w:p w14:paraId="4E7E0122" w14:textId="77777777" w:rsidR="0004779D" w:rsidRPr="002D2F67" w:rsidRDefault="0004779D" w:rsidP="005611FE">
            <w:pPr>
              <w:ind w:left="-16"/>
              <w:rPr>
                <w:rFonts w:ascii="Arial" w:hAnsi="Arial" w:cs="Arial"/>
                <w:color w:val="000000"/>
                <w:sz w:val="20"/>
                <w:szCs w:val="20"/>
              </w:rPr>
            </w:pPr>
            <w:r w:rsidRPr="002D2F67">
              <w:rPr>
                <w:rFonts w:ascii="Arial" w:hAnsi="Arial" w:cs="Arial"/>
                <w:color w:val="000000"/>
                <w:sz w:val="20"/>
                <w:szCs w:val="20"/>
              </w:rPr>
              <w:t>Goodwill allocation</w:t>
            </w:r>
          </w:p>
        </w:tc>
        <w:tc>
          <w:tcPr>
            <w:tcW w:w="1669" w:type="dxa"/>
            <w:shd w:val="clear" w:color="auto" w:fill="auto"/>
            <w:vAlign w:val="bottom"/>
          </w:tcPr>
          <w:p w14:paraId="52FE442D" w14:textId="01C48612" w:rsidR="0004779D" w:rsidRPr="002D2F67" w:rsidRDefault="00E81443" w:rsidP="005611FE">
            <w:pPr>
              <w:ind w:right="-72"/>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670" w:type="dxa"/>
            <w:gridSpan w:val="2"/>
            <w:shd w:val="clear" w:color="auto" w:fill="auto"/>
            <w:vAlign w:val="center"/>
          </w:tcPr>
          <w:p w14:paraId="7F8A4F7B" w14:textId="11DD53E6" w:rsidR="0004779D" w:rsidRPr="002D2F67" w:rsidRDefault="00127377" w:rsidP="005611FE">
            <w:pPr>
              <w:ind w:right="-72"/>
              <w:jc w:val="right"/>
              <w:rPr>
                <w:rFonts w:ascii="Arial" w:eastAsia="Arial Unicode MS" w:hAnsi="Arial" w:cs="Arial"/>
                <w:color w:val="000000"/>
                <w:sz w:val="20"/>
                <w:szCs w:val="20"/>
              </w:rPr>
            </w:pPr>
            <w:r w:rsidRPr="002D2F67">
              <w:rPr>
                <w:rFonts w:ascii="Arial" w:eastAsia="Arial Unicode MS" w:hAnsi="Arial" w:cs="Arial"/>
                <w:color w:val="000000"/>
                <w:sz w:val="20"/>
                <w:szCs w:val="20"/>
              </w:rPr>
              <w:t>-</w:t>
            </w:r>
          </w:p>
        </w:tc>
        <w:tc>
          <w:tcPr>
            <w:tcW w:w="1669" w:type="dxa"/>
            <w:shd w:val="clear" w:color="auto" w:fill="auto"/>
            <w:vAlign w:val="bottom"/>
          </w:tcPr>
          <w:p w14:paraId="7818196A" w14:textId="0FBCD692" w:rsidR="0004779D" w:rsidRPr="002D2F67" w:rsidRDefault="00CD5714" w:rsidP="005611FE">
            <w:pPr>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984</w:t>
            </w:r>
          </w:p>
        </w:tc>
        <w:tc>
          <w:tcPr>
            <w:tcW w:w="1670" w:type="dxa"/>
            <w:shd w:val="clear" w:color="auto" w:fill="auto"/>
            <w:vAlign w:val="center"/>
          </w:tcPr>
          <w:p w14:paraId="4F9401E6" w14:textId="11729123" w:rsidR="0004779D" w:rsidRPr="002D2F67" w:rsidRDefault="00CD5714" w:rsidP="005611FE">
            <w:pPr>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165</w:t>
            </w:r>
          </w:p>
        </w:tc>
      </w:tr>
    </w:tbl>
    <w:p w14:paraId="031889C7" w14:textId="12D641FE" w:rsidR="00AD6742" w:rsidRPr="002D2F67" w:rsidRDefault="00AD6742" w:rsidP="005611FE">
      <w:pPr>
        <w:spacing w:line="259" w:lineRule="auto"/>
        <w:jc w:val="both"/>
        <w:rPr>
          <w:rFonts w:ascii="Arial" w:hAnsi="Arial" w:cs="Arial"/>
          <w:color w:val="000000"/>
          <w:sz w:val="20"/>
          <w:szCs w:val="20"/>
        </w:rPr>
      </w:pPr>
    </w:p>
    <w:p w14:paraId="5F6A47C5" w14:textId="77777777" w:rsidR="00AD6742" w:rsidRPr="002D2F67" w:rsidRDefault="00AD6742" w:rsidP="005611FE">
      <w:pPr>
        <w:spacing w:line="259" w:lineRule="auto"/>
        <w:jc w:val="both"/>
        <w:rPr>
          <w:rFonts w:ascii="Arial" w:hAnsi="Arial" w:cs="Arial"/>
          <w:b/>
          <w:bCs/>
          <w:color w:val="000000"/>
          <w:sz w:val="20"/>
          <w:szCs w:val="20"/>
        </w:rPr>
      </w:pPr>
      <w:r w:rsidRPr="002D2F67">
        <w:rPr>
          <w:rFonts w:ascii="Arial" w:hAnsi="Arial" w:cs="Arial"/>
          <w:b/>
          <w:bCs/>
          <w:color w:val="000000"/>
          <w:sz w:val="20"/>
          <w:szCs w:val="20"/>
        </w:rPr>
        <w:t>Impairment tests for goodwill</w:t>
      </w:r>
    </w:p>
    <w:p w14:paraId="0B503E6B" w14:textId="77777777" w:rsidR="00AD6742" w:rsidRPr="002D2F67" w:rsidRDefault="00AD6742" w:rsidP="005611FE">
      <w:pPr>
        <w:spacing w:line="259" w:lineRule="auto"/>
        <w:jc w:val="both"/>
        <w:rPr>
          <w:rFonts w:ascii="Arial" w:hAnsi="Arial" w:cs="Arial"/>
          <w:color w:val="000000"/>
          <w:sz w:val="20"/>
          <w:szCs w:val="20"/>
        </w:rPr>
      </w:pPr>
    </w:p>
    <w:p w14:paraId="20773DEE" w14:textId="5AC82A98" w:rsidR="00AD6742" w:rsidRPr="002D2F67" w:rsidRDefault="00AD6742" w:rsidP="005611FE">
      <w:pPr>
        <w:jc w:val="both"/>
        <w:rPr>
          <w:rFonts w:ascii="Arial" w:hAnsi="Arial" w:cs="Arial"/>
          <w:color w:val="000000"/>
          <w:spacing w:val="-4"/>
          <w:sz w:val="20"/>
          <w:szCs w:val="20"/>
        </w:rPr>
      </w:pPr>
      <w:r w:rsidRPr="002D2F67">
        <w:rPr>
          <w:rFonts w:ascii="Arial" w:hAnsi="Arial" w:cs="Arial"/>
          <w:color w:val="000000"/>
          <w:spacing w:val="-8"/>
          <w:sz w:val="20"/>
          <w:szCs w:val="20"/>
        </w:rPr>
        <w:t>The Group tests impairment of goodwill annually</w:t>
      </w:r>
      <w:r w:rsidR="006723E3" w:rsidRPr="002D2F67">
        <w:rPr>
          <w:rFonts w:ascii="Arial" w:hAnsi="Arial" w:cs="Arial"/>
          <w:color w:val="000000"/>
          <w:spacing w:val="-8"/>
        </w:rPr>
        <w:t xml:space="preserve"> </w:t>
      </w:r>
      <w:r w:rsidR="00D801E5" w:rsidRPr="002D2F67">
        <w:rPr>
          <w:rFonts w:ascii="Arial" w:hAnsi="Arial" w:cs="Arial"/>
          <w:color w:val="000000"/>
          <w:spacing w:val="-8"/>
          <w:sz w:val="20"/>
          <w:szCs w:val="20"/>
        </w:rPr>
        <w:t>or</w:t>
      </w:r>
      <w:r w:rsidR="006723E3" w:rsidRPr="002D2F67">
        <w:rPr>
          <w:rFonts w:ascii="Arial" w:hAnsi="Arial" w:cs="Arial"/>
          <w:color w:val="000000"/>
          <w:spacing w:val="-8"/>
          <w:sz w:val="20"/>
          <w:szCs w:val="20"/>
        </w:rPr>
        <w:t xml:space="preserve"> whenever there is an indicator of impairment</w:t>
      </w:r>
      <w:r w:rsidRPr="002D2F67">
        <w:rPr>
          <w:rFonts w:ascii="Arial" w:hAnsi="Arial" w:cs="Arial"/>
          <w:color w:val="000000"/>
          <w:spacing w:val="-8"/>
          <w:sz w:val="20"/>
          <w:szCs w:val="20"/>
        </w:rPr>
        <w:t xml:space="preserve"> by comparing</w:t>
      </w:r>
      <w:r w:rsidRPr="002D2F67">
        <w:rPr>
          <w:rFonts w:ascii="Arial" w:hAnsi="Arial" w:cs="Arial"/>
          <w:color w:val="000000"/>
          <w:spacing w:val="-4"/>
          <w:sz w:val="20"/>
          <w:szCs w:val="20"/>
        </w:rPr>
        <w:t xml:space="preserve"> the net book value of goodwill with the recoverable amount of a CGU, which is determined based on value-in-use calculations</w:t>
      </w:r>
      <w:r w:rsidR="009C2504" w:rsidRPr="002D2F67">
        <w:rPr>
          <w:rFonts w:ascii="Arial" w:hAnsi="Arial" w:cs="Arial"/>
          <w:color w:val="000000"/>
          <w:spacing w:val="-4"/>
          <w:sz w:val="20"/>
          <w:szCs w:val="20"/>
        </w:rPr>
        <w:t>.</w:t>
      </w:r>
      <w:r w:rsidR="005B4241" w:rsidRPr="002D2F67">
        <w:rPr>
          <w:rFonts w:ascii="Arial" w:hAnsi="Arial" w:cs="Arial"/>
          <w:color w:val="000000"/>
          <w:spacing w:val="-4"/>
          <w:sz w:val="20"/>
          <w:szCs w:val="20"/>
        </w:rPr>
        <w:t xml:space="preserve"> </w:t>
      </w:r>
      <w:r w:rsidR="009C2504" w:rsidRPr="002D2F67">
        <w:rPr>
          <w:rFonts w:ascii="Arial" w:hAnsi="Arial" w:cs="Arial"/>
          <w:color w:val="000000"/>
          <w:spacing w:val="-4"/>
          <w:sz w:val="20"/>
          <w:szCs w:val="20"/>
        </w:rPr>
        <w:t>F</w:t>
      </w:r>
      <w:r w:rsidR="005B4241" w:rsidRPr="002D2F67">
        <w:rPr>
          <w:rFonts w:ascii="Arial" w:hAnsi="Arial" w:cs="Arial"/>
          <w:color w:val="000000"/>
          <w:spacing w:val="-4"/>
          <w:sz w:val="20"/>
          <w:szCs w:val="20"/>
        </w:rPr>
        <w:t xml:space="preserve">or </w:t>
      </w:r>
      <w:r w:rsidR="00CD5714" w:rsidRPr="00CD5714">
        <w:rPr>
          <w:rFonts w:ascii="Arial" w:hAnsi="Arial" w:cs="Arial"/>
          <w:color w:val="000000"/>
          <w:spacing w:val="-4"/>
          <w:sz w:val="20"/>
          <w:szCs w:val="20"/>
          <w:lang w:val="en-GB"/>
        </w:rPr>
        <w:t>2024</w:t>
      </w:r>
      <w:r w:rsidR="005B4241" w:rsidRPr="002D2F67">
        <w:rPr>
          <w:rFonts w:ascii="Arial" w:hAnsi="Arial" w:cs="Arial"/>
          <w:color w:val="000000"/>
          <w:spacing w:val="-4"/>
          <w:sz w:val="20"/>
          <w:szCs w:val="20"/>
        </w:rPr>
        <w:t xml:space="preserve"> and </w:t>
      </w:r>
      <w:r w:rsidR="00CD5714" w:rsidRPr="00CD5714">
        <w:rPr>
          <w:rFonts w:ascii="Arial" w:hAnsi="Arial" w:cs="Arial"/>
          <w:color w:val="000000"/>
          <w:spacing w:val="-4"/>
          <w:sz w:val="20"/>
          <w:szCs w:val="20"/>
          <w:lang w:val="en-GB"/>
        </w:rPr>
        <w:t>2023</w:t>
      </w:r>
      <w:r w:rsidR="009C2504" w:rsidRPr="002D2F67">
        <w:rPr>
          <w:rFonts w:ascii="Arial" w:hAnsi="Arial" w:cs="Arial"/>
          <w:color w:val="000000"/>
          <w:spacing w:val="-4"/>
          <w:sz w:val="20"/>
          <w:szCs w:val="20"/>
        </w:rPr>
        <w:t>, t</w:t>
      </w:r>
      <w:r w:rsidRPr="002D2F67">
        <w:rPr>
          <w:rFonts w:ascii="Arial" w:hAnsi="Arial" w:cs="Arial"/>
          <w:color w:val="000000"/>
          <w:spacing w:val="-4"/>
          <w:sz w:val="20"/>
          <w:szCs w:val="20"/>
        </w:rPr>
        <w:t>hese calculations use</w:t>
      </w:r>
      <w:r w:rsidR="00D801E5" w:rsidRPr="002D2F67">
        <w:rPr>
          <w:rFonts w:ascii="Arial" w:hAnsi="Arial" w:cs="Arial"/>
          <w:color w:val="000000"/>
          <w:spacing w:val="-4"/>
          <w:sz w:val="20"/>
          <w:szCs w:val="20"/>
        </w:rPr>
        <w:t xml:space="preserve"> </w:t>
      </w:r>
      <w:r w:rsidR="00CD5714" w:rsidRPr="00CD5714">
        <w:rPr>
          <w:rFonts w:ascii="Arial" w:hAnsi="Arial" w:cs="Arial"/>
          <w:color w:val="000000"/>
          <w:spacing w:val="-4"/>
          <w:sz w:val="20"/>
          <w:szCs w:val="20"/>
          <w:lang w:val="en-GB"/>
        </w:rPr>
        <w:t>10</w:t>
      </w:r>
      <w:r w:rsidR="00D801E5" w:rsidRPr="002D2F67">
        <w:rPr>
          <w:rFonts w:ascii="Arial" w:hAnsi="Arial" w:cs="Arial"/>
          <w:color w:val="000000"/>
          <w:spacing w:val="-4"/>
          <w:sz w:val="20"/>
          <w:szCs w:val="20"/>
        </w:rPr>
        <w:t>-year</w:t>
      </w:r>
      <w:r w:rsidRPr="002D2F67">
        <w:rPr>
          <w:rFonts w:ascii="Arial" w:hAnsi="Arial" w:cs="Arial"/>
          <w:color w:val="000000"/>
          <w:spacing w:val="-4"/>
          <w:sz w:val="20"/>
          <w:szCs w:val="20"/>
        </w:rPr>
        <w:t xml:space="preserve"> cash flow projections from financial budgets approved by the management</w:t>
      </w:r>
      <w:r w:rsidR="004816E3" w:rsidRPr="002D2F67">
        <w:rPr>
          <w:rFonts w:ascii="Arial" w:hAnsi="Arial" w:cs="Arial"/>
          <w:color w:val="000000"/>
          <w:spacing w:val="-4"/>
          <w:sz w:val="20"/>
          <w:szCs w:val="20"/>
        </w:rPr>
        <w:t xml:space="preserve"> </w:t>
      </w:r>
      <w:r w:rsidR="00AF367B" w:rsidRPr="002D2F67">
        <w:rPr>
          <w:rFonts w:ascii="Arial" w:hAnsi="Arial" w:cs="Arial"/>
          <w:color w:val="000000"/>
          <w:spacing w:val="-4"/>
          <w:sz w:val="20"/>
          <w:szCs w:val="20"/>
        </w:rPr>
        <w:t xml:space="preserve">using the </w:t>
      </w:r>
      <w:r w:rsidR="00C3251B" w:rsidRPr="002D2F67">
        <w:rPr>
          <w:rFonts w:ascii="Arial" w:hAnsi="Arial" w:cs="Arial"/>
          <w:color w:val="000000"/>
          <w:spacing w:val="-4"/>
          <w:sz w:val="20"/>
          <w:szCs w:val="20"/>
        </w:rPr>
        <w:t>estimated</w:t>
      </w:r>
      <w:r w:rsidR="006E173B" w:rsidRPr="002D2F67">
        <w:rPr>
          <w:rFonts w:ascii="Arial" w:hAnsi="Arial" w:cs="Arial"/>
          <w:color w:val="000000"/>
          <w:spacing w:val="-4"/>
          <w:sz w:val="20"/>
          <w:szCs w:val="20"/>
        </w:rPr>
        <w:t xml:space="preserve"> revenue</w:t>
      </w:r>
      <w:r w:rsidR="009C2504" w:rsidRPr="002D2F67">
        <w:rPr>
          <w:rFonts w:ascii="Arial" w:hAnsi="Arial" w:cs="Arial"/>
          <w:color w:val="000000"/>
          <w:spacing w:val="-4"/>
          <w:sz w:val="20"/>
          <w:szCs w:val="20"/>
        </w:rPr>
        <w:t xml:space="preserve"> growth rates </w:t>
      </w:r>
      <w:r w:rsidR="00E57612" w:rsidRPr="002D2F67">
        <w:rPr>
          <w:rFonts w:ascii="Arial" w:hAnsi="Arial" w:cs="Arial"/>
          <w:color w:val="000000"/>
          <w:spacing w:val="-4"/>
          <w:sz w:val="20"/>
          <w:szCs w:val="20"/>
        </w:rPr>
        <w:t xml:space="preserve">between </w:t>
      </w:r>
      <w:r w:rsidR="00CD5714" w:rsidRPr="00CD5714">
        <w:rPr>
          <w:rFonts w:ascii="Arial" w:hAnsi="Arial" w:cs="Arial"/>
          <w:color w:val="000000"/>
          <w:spacing w:val="-4"/>
          <w:sz w:val="20"/>
          <w:szCs w:val="20"/>
          <w:lang w:val="en-GB"/>
        </w:rPr>
        <w:t>0</w:t>
      </w:r>
      <w:r w:rsidR="00E57612" w:rsidRPr="002D2F67">
        <w:rPr>
          <w:rFonts w:ascii="Arial" w:hAnsi="Arial" w:cs="Arial"/>
          <w:color w:val="000000"/>
          <w:spacing w:val="-4"/>
          <w:sz w:val="20"/>
          <w:szCs w:val="20"/>
        </w:rPr>
        <w:t xml:space="preserve">% to </w:t>
      </w:r>
      <w:r w:rsidR="00CD5714" w:rsidRPr="00CD5714">
        <w:rPr>
          <w:rFonts w:ascii="Arial" w:hAnsi="Arial" w:cs="Arial"/>
          <w:color w:val="000000"/>
          <w:spacing w:val="-4"/>
          <w:sz w:val="20"/>
          <w:szCs w:val="20"/>
          <w:lang w:val="en-GB"/>
        </w:rPr>
        <w:t>3</w:t>
      </w:r>
      <w:r w:rsidR="009C2504" w:rsidRPr="002D2F67">
        <w:rPr>
          <w:rFonts w:ascii="Arial" w:hAnsi="Arial" w:cs="Arial"/>
          <w:color w:val="000000"/>
          <w:spacing w:val="-4"/>
          <w:sz w:val="20"/>
          <w:szCs w:val="20"/>
        </w:rPr>
        <w:t>% per annum</w:t>
      </w:r>
      <w:r w:rsidR="005168DF" w:rsidRPr="002D2F67">
        <w:rPr>
          <w:rFonts w:ascii="Arial" w:hAnsi="Arial" w:cs="Arial"/>
          <w:color w:val="000000"/>
          <w:spacing w:val="-4"/>
          <w:sz w:val="20"/>
          <w:szCs w:val="20"/>
        </w:rPr>
        <w:t xml:space="preserve"> for</w:t>
      </w:r>
      <w:r w:rsidR="00AA37CB" w:rsidRPr="002D2F67">
        <w:rPr>
          <w:rFonts w:ascii="Arial" w:hAnsi="Arial" w:cs="Arial"/>
          <w:color w:val="000000"/>
          <w:spacing w:val="-4"/>
          <w:sz w:val="20"/>
          <w:szCs w:val="20"/>
        </w:rPr>
        <w:t xml:space="preserve"> the</w:t>
      </w:r>
      <w:r w:rsidR="005168DF" w:rsidRPr="002D2F67">
        <w:rPr>
          <w:rFonts w:ascii="Arial" w:hAnsi="Arial" w:cs="Arial"/>
          <w:color w:val="000000"/>
          <w:spacing w:val="-4"/>
          <w:sz w:val="20"/>
          <w:szCs w:val="20"/>
        </w:rPr>
        <w:t xml:space="preserve"> projection period</w:t>
      </w:r>
      <w:r w:rsidR="006E173B" w:rsidRPr="002D2F67">
        <w:rPr>
          <w:rFonts w:ascii="Arial" w:hAnsi="Arial" w:cs="Arial"/>
          <w:color w:val="000000"/>
          <w:sz w:val="20"/>
          <w:szCs w:val="20"/>
        </w:rPr>
        <w:t xml:space="preserve"> and </w:t>
      </w:r>
      <w:r w:rsidR="00CD5714" w:rsidRPr="00CD5714">
        <w:rPr>
          <w:rFonts w:ascii="Arial" w:hAnsi="Arial" w:cs="Arial"/>
          <w:color w:val="000000"/>
          <w:sz w:val="20"/>
          <w:szCs w:val="20"/>
          <w:lang w:val="en-GB"/>
        </w:rPr>
        <w:t>3</w:t>
      </w:r>
      <w:r w:rsidR="006E173B" w:rsidRPr="002D2F67">
        <w:rPr>
          <w:rFonts w:ascii="Arial" w:hAnsi="Arial" w:cs="Arial"/>
          <w:color w:val="000000"/>
          <w:sz w:val="20"/>
          <w:szCs w:val="20"/>
        </w:rPr>
        <w:t>%</w:t>
      </w:r>
      <w:r w:rsidR="00AA37CB" w:rsidRPr="002D2F67">
        <w:rPr>
          <w:rFonts w:ascii="Arial" w:hAnsi="Arial" w:cs="Arial"/>
          <w:color w:val="000000"/>
          <w:sz w:val="20"/>
          <w:szCs w:val="20"/>
        </w:rPr>
        <w:t xml:space="preserve"> per annum</w:t>
      </w:r>
      <w:r w:rsidR="006E173B" w:rsidRPr="002D2F67">
        <w:rPr>
          <w:rFonts w:ascii="Arial" w:hAnsi="Arial" w:cs="Arial"/>
          <w:color w:val="000000"/>
          <w:sz w:val="20"/>
          <w:szCs w:val="20"/>
        </w:rPr>
        <w:t xml:space="preserve"> for</w:t>
      </w:r>
      <w:r w:rsidR="009C2504" w:rsidRPr="002D2F67">
        <w:rPr>
          <w:rFonts w:ascii="Arial" w:hAnsi="Arial" w:cs="Arial"/>
          <w:color w:val="000000"/>
          <w:sz w:val="20"/>
          <w:szCs w:val="20"/>
        </w:rPr>
        <w:t xml:space="preserve"> the</w:t>
      </w:r>
      <w:r w:rsidR="00F26DED" w:rsidRPr="002D2F67">
        <w:rPr>
          <w:rFonts w:ascii="Arial" w:hAnsi="Arial" w:cs="Arial"/>
          <w:color w:val="000000"/>
          <w:sz w:val="20"/>
          <w:szCs w:val="20"/>
        </w:rPr>
        <w:t xml:space="preserve"> </w:t>
      </w:r>
      <w:r w:rsidR="009C2504" w:rsidRPr="002D2F67">
        <w:rPr>
          <w:rFonts w:ascii="Arial" w:hAnsi="Arial" w:cs="Arial"/>
          <w:color w:val="000000"/>
          <w:sz w:val="20"/>
          <w:szCs w:val="20"/>
        </w:rPr>
        <w:t>period beyond</w:t>
      </w:r>
      <w:r w:rsidR="00F26DED" w:rsidRPr="002D2F67">
        <w:rPr>
          <w:rFonts w:ascii="Arial" w:hAnsi="Arial" w:cs="Arial"/>
          <w:color w:val="000000"/>
          <w:sz w:val="20"/>
          <w:szCs w:val="20"/>
        </w:rPr>
        <w:t xml:space="preserve"> the </w:t>
      </w:r>
      <w:r w:rsidR="00CD5714" w:rsidRPr="00CD5714">
        <w:rPr>
          <w:rFonts w:ascii="Arial" w:hAnsi="Arial" w:cs="Arial"/>
          <w:color w:val="000000"/>
          <w:sz w:val="20"/>
          <w:szCs w:val="20"/>
          <w:lang w:val="en-GB"/>
        </w:rPr>
        <w:t>10</w:t>
      </w:r>
      <w:r w:rsidR="00F26DED" w:rsidRPr="002D2F67">
        <w:rPr>
          <w:rFonts w:ascii="Arial" w:hAnsi="Arial" w:cs="Arial"/>
          <w:color w:val="000000"/>
          <w:sz w:val="20"/>
          <w:szCs w:val="20"/>
        </w:rPr>
        <w:t>-year projection</w:t>
      </w:r>
      <w:r w:rsidR="006E173B" w:rsidRPr="002D2F67">
        <w:rPr>
          <w:rFonts w:ascii="Arial" w:hAnsi="Arial" w:cs="Arial"/>
          <w:color w:val="000000"/>
          <w:sz w:val="20"/>
          <w:szCs w:val="20"/>
        </w:rPr>
        <w:t>.</w:t>
      </w:r>
      <w:r w:rsidR="00F26DED" w:rsidRPr="002D2F67">
        <w:rPr>
          <w:rFonts w:ascii="Arial" w:hAnsi="Arial" w:cs="Arial"/>
          <w:color w:val="000000"/>
          <w:sz w:val="20"/>
          <w:szCs w:val="20"/>
        </w:rPr>
        <w:t xml:space="preserve"> </w:t>
      </w:r>
      <w:r w:rsidR="00121DC9" w:rsidRPr="002D2F67">
        <w:rPr>
          <w:rFonts w:ascii="Arial" w:hAnsi="Arial" w:cs="Arial"/>
          <w:color w:val="000000"/>
          <w:sz w:val="20"/>
          <w:szCs w:val="20"/>
        </w:rPr>
        <w:t>T</w:t>
      </w:r>
      <w:r w:rsidRPr="002D2F67">
        <w:rPr>
          <w:rFonts w:ascii="Arial" w:hAnsi="Arial" w:cs="Arial"/>
          <w:color w:val="000000"/>
          <w:sz w:val="20"/>
          <w:szCs w:val="20"/>
        </w:rPr>
        <w:t>he growth rate does not exceed the average long-term growth</w:t>
      </w:r>
      <w:r w:rsidRPr="002D2F67">
        <w:rPr>
          <w:rFonts w:ascii="Arial" w:hAnsi="Arial" w:cs="Arial"/>
          <w:color w:val="000000"/>
          <w:spacing w:val="-4"/>
          <w:sz w:val="20"/>
          <w:szCs w:val="20"/>
        </w:rPr>
        <w:t xml:space="preserve"> rate for the business in which the CGU operates.</w:t>
      </w:r>
    </w:p>
    <w:p w14:paraId="198F89A3" w14:textId="58CDD419" w:rsidR="00AD6742" w:rsidRPr="002D2F67" w:rsidRDefault="00AD6742" w:rsidP="005611FE">
      <w:pPr>
        <w:jc w:val="both"/>
        <w:rPr>
          <w:rFonts w:ascii="Arial" w:hAnsi="Arial" w:cs="Arial"/>
          <w:color w:val="000000"/>
          <w:sz w:val="18"/>
          <w:szCs w:val="18"/>
        </w:rPr>
      </w:pPr>
    </w:p>
    <w:p w14:paraId="329FF234" w14:textId="111BE2BD" w:rsidR="00AD6742" w:rsidRPr="002D2F67" w:rsidRDefault="00AD6742" w:rsidP="005611FE">
      <w:pPr>
        <w:jc w:val="both"/>
        <w:rPr>
          <w:rFonts w:ascii="Arial" w:hAnsi="Arial" w:cs="Arial"/>
          <w:color w:val="000000"/>
          <w:sz w:val="20"/>
          <w:szCs w:val="20"/>
        </w:rPr>
      </w:pPr>
      <w:r w:rsidRPr="002D2F67">
        <w:rPr>
          <w:rFonts w:ascii="Arial" w:hAnsi="Arial" w:cs="Arial"/>
          <w:color w:val="000000"/>
          <w:sz w:val="20"/>
          <w:szCs w:val="20"/>
        </w:rPr>
        <w:t xml:space="preserve">As </w:t>
      </w:r>
      <w:proofErr w:type="gramStart"/>
      <w:r w:rsidRPr="002D2F67">
        <w:rPr>
          <w:rFonts w:ascii="Arial" w:hAnsi="Arial" w:cs="Arial"/>
          <w:color w:val="000000"/>
          <w:sz w:val="20"/>
          <w:szCs w:val="20"/>
        </w:rPr>
        <w:t>at</w:t>
      </w:r>
      <w:proofErr w:type="gramEnd"/>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31</w:t>
      </w:r>
      <w:r w:rsidRPr="002D2F67">
        <w:rPr>
          <w:rFonts w:ascii="Arial" w:hAnsi="Arial" w:cs="Arial"/>
          <w:color w:val="000000"/>
          <w:sz w:val="20"/>
          <w:szCs w:val="20"/>
        </w:rPr>
        <w:t xml:space="preserve"> Decembe</w:t>
      </w:r>
      <w:r w:rsidR="00756CBB" w:rsidRPr="002D2F67">
        <w:rPr>
          <w:rFonts w:ascii="Arial" w:hAnsi="Arial" w:cs="Arial"/>
          <w:color w:val="000000"/>
          <w:sz w:val="20"/>
          <w:szCs w:val="20"/>
        </w:rPr>
        <w:t>r</w:t>
      </w:r>
      <w:r w:rsidRPr="002D2F67">
        <w:rPr>
          <w:rFonts w:ascii="Arial" w:hAnsi="Arial" w:cs="Arial"/>
          <w:color w:val="000000"/>
          <w:sz w:val="20"/>
          <w:szCs w:val="20"/>
        </w:rPr>
        <w:t xml:space="preserve">, the key assumptions used for value-in-use calculations </w:t>
      </w:r>
      <w:r w:rsidR="00587A6C" w:rsidRPr="002D2F67">
        <w:rPr>
          <w:rFonts w:ascii="Arial" w:hAnsi="Arial" w:cs="Arial"/>
          <w:color w:val="000000"/>
          <w:sz w:val="20"/>
          <w:szCs w:val="20"/>
        </w:rPr>
        <w:t>were</w:t>
      </w:r>
      <w:r w:rsidRPr="002D2F67">
        <w:rPr>
          <w:rFonts w:ascii="Arial" w:hAnsi="Arial" w:cs="Arial"/>
          <w:color w:val="000000"/>
          <w:sz w:val="20"/>
          <w:szCs w:val="20"/>
        </w:rPr>
        <w:t xml:space="preserve"> as follows:</w:t>
      </w:r>
    </w:p>
    <w:p w14:paraId="3D1B9360" w14:textId="77777777" w:rsidR="00AD6742" w:rsidRPr="002D2F67" w:rsidRDefault="00AD6742" w:rsidP="005611FE">
      <w:pPr>
        <w:rPr>
          <w:rFonts w:ascii="Arial" w:hAnsi="Arial" w:cs="Arial"/>
          <w:color w:val="000000"/>
          <w:sz w:val="18"/>
          <w:szCs w:val="18"/>
        </w:rPr>
      </w:pPr>
    </w:p>
    <w:tbl>
      <w:tblPr>
        <w:tblW w:w="9587" w:type="dxa"/>
        <w:tblInd w:w="18" w:type="dxa"/>
        <w:tblLayout w:type="fixed"/>
        <w:tblLook w:val="0000" w:firstRow="0" w:lastRow="0" w:firstColumn="0" w:lastColumn="0" w:noHBand="0" w:noVBand="0"/>
      </w:tblPr>
      <w:tblGrid>
        <w:gridCol w:w="3776"/>
        <w:gridCol w:w="1984"/>
        <w:gridCol w:w="1843"/>
        <w:gridCol w:w="1984"/>
      </w:tblGrid>
      <w:tr w:rsidR="0009071F" w:rsidRPr="002D2F67" w14:paraId="4B547BE6" w14:textId="77777777" w:rsidTr="0009071F">
        <w:trPr>
          <w:trHeight w:val="115"/>
        </w:trPr>
        <w:tc>
          <w:tcPr>
            <w:tcW w:w="3776" w:type="dxa"/>
            <w:shd w:val="clear" w:color="auto" w:fill="auto"/>
          </w:tcPr>
          <w:p w14:paraId="22D45927" w14:textId="77777777" w:rsidR="0009071F" w:rsidRPr="002D2F67" w:rsidRDefault="0009071F" w:rsidP="005611FE">
            <w:pPr>
              <w:ind w:left="-16"/>
              <w:rPr>
                <w:rFonts w:ascii="Arial" w:hAnsi="Arial" w:cs="Arial"/>
                <w:color w:val="000000"/>
                <w:sz w:val="20"/>
                <w:szCs w:val="20"/>
              </w:rPr>
            </w:pPr>
          </w:p>
        </w:tc>
        <w:tc>
          <w:tcPr>
            <w:tcW w:w="1984" w:type="dxa"/>
            <w:tcBorders>
              <w:bottom w:val="single" w:sz="4" w:space="0" w:color="auto"/>
            </w:tcBorders>
          </w:tcPr>
          <w:p w14:paraId="476CEB49" w14:textId="77777777" w:rsidR="0009071F" w:rsidRPr="002D2F67" w:rsidRDefault="0009071F" w:rsidP="005611FE">
            <w:pPr>
              <w:ind w:right="-72"/>
              <w:jc w:val="right"/>
              <w:rPr>
                <w:rFonts w:ascii="Arial" w:hAnsi="Arial" w:cs="Arial"/>
                <w:b/>
                <w:bCs/>
                <w:color w:val="000000"/>
                <w:sz w:val="20"/>
                <w:szCs w:val="20"/>
              </w:rPr>
            </w:pPr>
          </w:p>
        </w:tc>
        <w:tc>
          <w:tcPr>
            <w:tcW w:w="3827" w:type="dxa"/>
            <w:gridSpan w:val="2"/>
            <w:shd w:val="clear" w:color="auto" w:fill="auto"/>
          </w:tcPr>
          <w:p w14:paraId="388B1940" w14:textId="10CBCD29" w:rsidR="0009071F" w:rsidRPr="002D2F67" w:rsidRDefault="0009071F" w:rsidP="005611FE">
            <w:pPr>
              <w:pStyle w:val="ListParagraph"/>
              <w:spacing w:after="0" w:line="240" w:lineRule="auto"/>
              <w:ind w:left="320" w:right="-72"/>
              <w:jc w:val="right"/>
              <w:rPr>
                <w:rFonts w:ascii="Arial" w:hAnsi="Arial" w:cs="Arial"/>
                <w:b/>
                <w:bCs/>
                <w:color w:val="000000"/>
                <w:sz w:val="20"/>
                <w:szCs w:val="20"/>
              </w:rPr>
            </w:pPr>
            <w:r w:rsidRPr="002D2F67">
              <w:rPr>
                <w:rFonts w:ascii="Arial" w:hAnsi="Arial" w:cs="Arial"/>
                <w:b/>
                <w:bCs/>
                <w:color w:val="000000"/>
                <w:sz w:val="20"/>
                <w:szCs w:val="20"/>
              </w:rPr>
              <w:t>Consolidated financial statements</w:t>
            </w:r>
          </w:p>
        </w:tc>
      </w:tr>
      <w:tr w:rsidR="00144F7C" w:rsidRPr="002D2F67" w14:paraId="1AFE5549" w14:textId="77777777" w:rsidTr="0009071F">
        <w:trPr>
          <w:trHeight w:val="115"/>
        </w:trPr>
        <w:tc>
          <w:tcPr>
            <w:tcW w:w="3776" w:type="dxa"/>
            <w:shd w:val="clear" w:color="auto" w:fill="auto"/>
          </w:tcPr>
          <w:p w14:paraId="72153B3E" w14:textId="77777777" w:rsidR="00144F7C" w:rsidRPr="002D2F67" w:rsidRDefault="00144F7C" w:rsidP="005611FE">
            <w:pPr>
              <w:ind w:left="-16"/>
              <w:rPr>
                <w:rFonts w:ascii="Arial" w:hAnsi="Arial" w:cs="Arial"/>
                <w:color w:val="000000"/>
                <w:sz w:val="20"/>
                <w:szCs w:val="20"/>
              </w:rPr>
            </w:pPr>
          </w:p>
        </w:tc>
        <w:tc>
          <w:tcPr>
            <w:tcW w:w="1984" w:type="dxa"/>
            <w:tcBorders>
              <w:top w:val="single" w:sz="4" w:space="0" w:color="auto"/>
              <w:bottom w:val="single" w:sz="4" w:space="0" w:color="auto"/>
            </w:tcBorders>
          </w:tcPr>
          <w:p w14:paraId="61E81C80" w14:textId="265379A3" w:rsidR="00A61D86"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3827" w:type="dxa"/>
            <w:gridSpan w:val="2"/>
            <w:tcBorders>
              <w:top w:val="single" w:sz="4" w:space="0" w:color="auto"/>
            </w:tcBorders>
            <w:shd w:val="clear" w:color="auto" w:fill="auto"/>
          </w:tcPr>
          <w:p w14:paraId="051BEA76" w14:textId="3492B9C1" w:rsidR="00144F7C" w:rsidRPr="002D2F67" w:rsidRDefault="00CD5714" w:rsidP="005611FE">
            <w:pPr>
              <w:pStyle w:val="ListParagraph"/>
              <w:spacing w:after="0" w:line="240" w:lineRule="auto"/>
              <w:ind w:left="320"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144F7C" w:rsidRPr="002D2F67" w14:paraId="1E9F75CC" w14:textId="77777777" w:rsidTr="002965C3">
        <w:trPr>
          <w:trHeight w:val="115"/>
        </w:trPr>
        <w:tc>
          <w:tcPr>
            <w:tcW w:w="3776" w:type="dxa"/>
            <w:shd w:val="clear" w:color="auto" w:fill="auto"/>
          </w:tcPr>
          <w:p w14:paraId="2A1A8FA3" w14:textId="77777777" w:rsidR="00144F7C" w:rsidRPr="002D2F67" w:rsidRDefault="00144F7C" w:rsidP="005611FE">
            <w:pPr>
              <w:ind w:left="-16"/>
              <w:rPr>
                <w:rFonts w:ascii="Arial" w:hAnsi="Arial" w:cs="Arial"/>
                <w:color w:val="000000"/>
                <w:sz w:val="20"/>
                <w:szCs w:val="20"/>
              </w:rPr>
            </w:pPr>
          </w:p>
        </w:tc>
        <w:tc>
          <w:tcPr>
            <w:tcW w:w="1984" w:type="dxa"/>
            <w:tcBorders>
              <w:top w:val="single" w:sz="4" w:space="0" w:color="auto"/>
            </w:tcBorders>
            <w:vAlign w:val="bottom"/>
          </w:tcPr>
          <w:p w14:paraId="3BAD5D48" w14:textId="75C562B6" w:rsidR="00A61D86" w:rsidRPr="002D2F67" w:rsidRDefault="00A61D86" w:rsidP="00CC6022">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Battery manufacturing </w:t>
            </w:r>
            <w:r w:rsidR="002965C3" w:rsidRPr="002D2F67">
              <w:rPr>
                <w:rFonts w:ascii="Arial" w:hAnsi="Arial" w:cs="Arial"/>
                <w:b/>
                <w:bCs/>
                <w:color w:val="000000"/>
                <w:sz w:val="20"/>
                <w:szCs w:val="20"/>
              </w:rPr>
              <w:br/>
            </w:r>
            <w:r w:rsidRPr="002D2F67">
              <w:rPr>
                <w:rFonts w:ascii="Arial" w:hAnsi="Arial" w:cs="Arial"/>
                <w:b/>
                <w:bCs/>
                <w:color w:val="000000"/>
                <w:sz w:val="20"/>
                <w:szCs w:val="20"/>
              </w:rPr>
              <w:t>and distributing business</w:t>
            </w:r>
          </w:p>
        </w:tc>
        <w:tc>
          <w:tcPr>
            <w:tcW w:w="1843" w:type="dxa"/>
            <w:tcBorders>
              <w:top w:val="single" w:sz="4" w:space="0" w:color="auto"/>
            </w:tcBorders>
            <w:shd w:val="clear" w:color="auto" w:fill="auto"/>
            <w:vAlign w:val="bottom"/>
          </w:tcPr>
          <w:p w14:paraId="471A8960" w14:textId="2840B949" w:rsidR="00144F7C" w:rsidRPr="002D2F67" w:rsidRDefault="00144F7C"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Battery manufacturing and distributing business</w:t>
            </w:r>
          </w:p>
        </w:tc>
        <w:tc>
          <w:tcPr>
            <w:tcW w:w="1984" w:type="dxa"/>
            <w:tcBorders>
              <w:top w:val="single" w:sz="4" w:space="0" w:color="auto"/>
            </w:tcBorders>
            <w:shd w:val="clear" w:color="auto" w:fill="auto"/>
            <w:vAlign w:val="bottom"/>
          </w:tcPr>
          <w:p w14:paraId="63C9A5FD" w14:textId="77777777" w:rsidR="00144F7C" w:rsidRPr="002D2F67" w:rsidRDefault="00144F7C"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Palm crushing mills and biomass </w:t>
            </w:r>
          </w:p>
          <w:p w14:paraId="6014F247" w14:textId="73E2EDCC" w:rsidR="00144F7C" w:rsidRPr="002D2F67" w:rsidRDefault="00144F7C" w:rsidP="005611FE">
            <w:pPr>
              <w:ind w:right="-72"/>
              <w:jc w:val="right"/>
              <w:rPr>
                <w:rFonts w:ascii="Arial" w:hAnsi="Arial" w:cs="Arial"/>
                <w:color w:val="000000"/>
                <w:sz w:val="20"/>
                <w:szCs w:val="20"/>
              </w:rPr>
            </w:pPr>
            <w:r w:rsidRPr="002D2F67">
              <w:rPr>
                <w:rFonts w:ascii="Arial" w:hAnsi="Arial" w:cs="Arial"/>
                <w:b/>
                <w:bCs/>
                <w:color w:val="000000"/>
                <w:sz w:val="20"/>
                <w:szCs w:val="20"/>
              </w:rPr>
              <w:t>power plant business</w:t>
            </w:r>
          </w:p>
        </w:tc>
      </w:tr>
      <w:tr w:rsidR="00144F7C" w:rsidRPr="002D2F67" w14:paraId="695A0E26" w14:textId="77777777" w:rsidTr="002965C3">
        <w:trPr>
          <w:trHeight w:val="220"/>
        </w:trPr>
        <w:tc>
          <w:tcPr>
            <w:tcW w:w="3776" w:type="dxa"/>
            <w:shd w:val="clear" w:color="auto" w:fill="auto"/>
          </w:tcPr>
          <w:p w14:paraId="6676CB14" w14:textId="77777777" w:rsidR="00144F7C" w:rsidRPr="002D2F67" w:rsidRDefault="00144F7C" w:rsidP="005611FE">
            <w:pPr>
              <w:ind w:left="-16"/>
              <w:rPr>
                <w:rFonts w:ascii="Arial" w:hAnsi="Arial" w:cs="Arial"/>
                <w:color w:val="000000"/>
                <w:sz w:val="20"/>
                <w:szCs w:val="20"/>
              </w:rPr>
            </w:pPr>
          </w:p>
        </w:tc>
        <w:tc>
          <w:tcPr>
            <w:tcW w:w="1984" w:type="dxa"/>
            <w:tcBorders>
              <w:bottom w:val="single" w:sz="4" w:space="0" w:color="auto"/>
            </w:tcBorders>
          </w:tcPr>
          <w:p w14:paraId="4C8D886F" w14:textId="7A03E867" w:rsidR="00A61D86" w:rsidRPr="002D2F67" w:rsidRDefault="00A61D86" w:rsidP="00CC6022">
            <w:pPr>
              <w:ind w:right="-72"/>
              <w:jc w:val="right"/>
              <w:rPr>
                <w:rFonts w:ascii="Arial" w:hAnsi="Arial" w:cs="Arial"/>
                <w:b/>
                <w:bCs/>
                <w:color w:val="000000"/>
                <w:sz w:val="20"/>
                <w:szCs w:val="20"/>
              </w:rPr>
            </w:pPr>
            <w:r w:rsidRPr="002D2F67">
              <w:rPr>
                <w:rFonts w:ascii="Arial" w:hAnsi="Arial" w:cs="Arial"/>
                <w:b/>
                <w:bCs/>
                <w:color w:val="000000"/>
                <w:sz w:val="20"/>
                <w:szCs w:val="20"/>
              </w:rPr>
              <w:t>Percent</w:t>
            </w:r>
          </w:p>
        </w:tc>
        <w:tc>
          <w:tcPr>
            <w:tcW w:w="1843" w:type="dxa"/>
            <w:tcBorders>
              <w:bottom w:val="single" w:sz="4" w:space="0" w:color="auto"/>
            </w:tcBorders>
            <w:shd w:val="clear" w:color="auto" w:fill="auto"/>
          </w:tcPr>
          <w:p w14:paraId="1D2918C6" w14:textId="77777777" w:rsidR="00144F7C" w:rsidRPr="002D2F67" w:rsidRDefault="00144F7C" w:rsidP="005611FE">
            <w:pPr>
              <w:ind w:right="-72"/>
              <w:jc w:val="right"/>
              <w:rPr>
                <w:rFonts w:ascii="Arial" w:hAnsi="Arial" w:cs="Arial"/>
                <w:b/>
                <w:bCs/>
                <w:color w:val="000000"/>
                <w:sz w:val="20"/>
                <w:szCs w:val="20"/>
              </w:rPr>
            </w:pPr>
            <w:r w:rsidRPr="002D2F67">
              <w:rPr>
                <w:rFonts w:ascii="Arial" w:hAnsi="Arial" w:cs="Arial"/>
                <w:b/>
                <w:bCs/>
                <w:color w:val="000000"/>
                <w:sz w:val="20"/>
                <w:szCs w:val="20"/>
              </w:rPr>
              <w:t>Percent</w:t>
            </w:r>
          </w:p>
        </w:tc>
        <w:tc>
          <w:tcPr>
            <w:tcW w:w="1984" w:type="dxa"/>
            <w:tcBorders>
              <w:bottom w:val="single" w:sz="4" w:space="0" w:color="auto"/>
            </w:tcBorders>
            <w:shd w:val="clear" w:color="auto" w:fill="auto"/>
          </w:tcPr>
          <w:p w14:paraId="4CA8232B" w14:textId="77777777" w:rsidR="00144F7C" w:rsidRPr="002D2F67" w:rsidRDefault="00144F7C" w:rsidP="005611FE">
            <w:pPr>
              <w:ind w:right="-72"/>
              <w:jc w:val="right"/>
              <w:rPr>
                <w:rFonts w:ascii="Arial" w:hAnsi="Arial" w:cs="Arial"/>
                <w:b/>
                <w:bCs/>
                <w:color w:val="000000"/>
                <w:sz w:val="20"/>
                <w:szCs w:val="20"/>
              </w:rPr>
            </w:pPr>
            <w:r w:rsidRPr="002D2F67">
              <w:rPr>
                <w:rFonts w:ascii="Arial" w:hAnsi="Arial" w:cs="Arial"/>
                <w:b/>
                <w:bCs/>
                <w:color w:val="000000"/>
                <w:sz w:val="20"/>
                <w:szCs w:val="20"/>
              </w:rPr>
              <w:t>Percent</w:t>
            </w:r>
          </w:p>
        </w:tc>
      </w:tr>
      <w:tr w:rsidR="00144F7C" w:rsidRPr="002D2F67" w14:paraId="67903E03" w14:textId="77777777" w:rsidTr="00FC2623">
        <w:trPr>
          <w:trHeight w:val="337"/>
        </w:trPr>
        <w:tc>
          <w:tcPr>
            <w:tcW w:w="3776" w:type="dxa"/>
            <w:shd w:val="clear" w:color="auto" w:fill="auto"/>
          </w:tcPr>
          <w:p w14:paraId="3EDDA65D" w14:textId="77777777" w:rsidR="00144F7C" w:rsidRPr="002D2F67" w:rsidRDefault="00144F7C" w:rsidP="005611FE">
            <w:pPr>
              <w:ind w:left="-16"/>
              <w:rPr>
                <w:rFonts w:ascii="Arial" w:hAnsi="Arial" w:cs="Arial"/>
                <w:color w:val="000000"/>
                <w:sz w:val="20"/>
                <w:szCs w:val="20"/>
              </w:rPr>
            </w:pPr>
          </w:p>
        </w:tc>
        <w:tc>
          <w:tcPr>
            <w:tcW w:w="1984" w:type="dxa"/>
            <w:tcBorders>
              <w:top w:val="single" w:sz="4" w:space="0" w:color="auto"/>
            </w:tcBorders>
          </w:tcPr>
          <w:p w14:paraId="6AA884BB" w14:textId="77777777" w:rsidR="00A61D86" w:rsidRPr="002D2F67" w:rsidRDefault="00A61D86" w:rsidP="00CC6022">
            <w:pPr>
              <w:ind w:right="-72"/>
              <w:jc w:val="right"/>
              <w:rPr>
                <w:rFonts w:ascii="Arial" w:hAnsi="Arial" w:cs="Arial"/>
                <w:color w:val="000000"/>
                <w:sz w:val="20"/>
                <w:szCs w:val="20"/>
              </w:rPr>
            </w:pPr>
          </w:p>
        </w:tc>
        <w:tc>
          <w:tcPr>
            <w:tcW w:w="1843" w:type="dxa"/>
            <w:tcBorders>
              <w:top w:val="single" w:sz="4" w:space="0" w:color="auto"/>
            </w:tcBorders>
            <w:shd w:val="clear" w:color="auto" w:fill="auto"/>
          </w:tcPr>
          <w:p w14:paraId="7D910898" w14:textId="77777777" w:rsidR="00144F7C" w:rsidRPr="002D2F67" w:rsidRDefault="00144F7C" w:rsidP="005611FE">
            <w:pPr>
              <w:ind w:right="-72"/>
              <w:jc w:val="right"/>
              <w:rPr>
                <w:rFonts w:ascii="Arial" w:hAnsi="Arial" w:cs="Arial"/>
                <w:color w:val="000000"/>
                <w:sz w:val="20"/>
                <w:szCs w:val="20"/>
              </w:rPr>
            </w:pPr>
          </w:p>
        </w:tc>
        <w:tc>
          <w:tcPr>
            <w:tcW w:w="1984" w:type="dxa"/>
            <w:tcBorders>
              <w:top w:val="single" w:sz="4" w:space="0" w:color="auto"/>
            </w:tcBorders>
            <w:shd w:val="clear" w:color="auto" w:fill="auto"/>
          </w:tcPr>
          <w:p w14:paraId="4003A9A7" w14:textId="77777777" w:rsidR="00144F7C" w:rsidRPr="002D2F67" w:rsidRDefault="00144F7C" w:rsidP="005611FE">
            <w:pPr>
              <w:ind w:right="-72"/>
              <w:jc w:val="right"/>
              <w:rPr>
                <w:rFonts w:ascii="Arial" w:hAnsi="Arial" w:cs="Arial"/>
                <w:color w:val="000000"/>
                <w:sz w:val="20"/>
                <w:szCs w:val="20"/>
              </w:rPr>
            </w:pPr>
          </w:p>
        </w:tc>
      </w:tr>
      <w:tr w:rsidR="00144F7C" w:rsidRPr="002D2F67" w14:paraId="289EBB33" w14:textId="77777777" w:rsidTr="00FC2623">
        <w:trPr>
          <w:trHeight w:val="115"/>
        </w:trPr>
        <w:tc>
          <w:tcPr>
            <w:tcW w:w="3776" w:type="dxa"/>
            <w:shd w:val="clear" w:color="auto" w:fill="auto"/>
          </w:tcPr>
          <w:p w14:paraId="593AD2F4" w14:textId="1879BDB1" w:rsidR="00144F7C" w:rsidRPr="002D2F67" w:rsidRDefault="00144F7C" w:rsidP="00144F7C">
            <w:pPr>
              <w:ind w:left="-16"/>
              <w:rPr>
                <w:rFonts w:ascii="Arial" w:hAnsi="Arial" w:cs="Arial"/>
                <w:color w:val="000000"/>
                <w:sz w:val="20"/>
                <w:szCs w:val="20"/>
              </w:rPr>
            </w:pPr>
            <w:r w:rsidRPr="002D2F67">
              <w:rPr>
                <w:rFonts w:ascii="Arial" w:hAnsi="Arial" w:cs="Arial"/>
                <w:color w:val="000000"/>
                <w:sz w:val="20"/>
                <w:szCs w:val="20"/>
              </w:rPr>
              <w:t>Revenue growth rate</w:t>
            </w:r>
          </w:p>
        </w:tc>
        <w:tc>
          <w:tcPr>
            <w:tcW w:w="1984" w:type="dxa"/>
            <w:shd w:val="clear" w:color="auto" w:fill="auto"/>
          </w:tcPr>
          <w:p w14:paraId="65579D24" w14:textId="4E7DE7A3" w:rsidR="00A61D86" w:rsidRPr="002D2F67" w:rsidRDefault="00CD5714" w:rsidP="00CC6022">
            <w:pPr>
              <w:ind w:right="-72"/>
              <w:jc w:val="right"/>
              <w:rPr>
                <w:rFonts w:ascii="Arial" w:hAnsi="Arial" w:cs="Arial"/>
                <w:color w:val="000000"/>
                <w:sz w:val="20"/>
                <w:szCs w:val="20"/>
              </w:rPr>
            </w:pPr>
            <w:r w:rsidRPr="00CD5714">
              <w:rPr>
                <w:rFonts w:ascii="Arial" w:hAnsi="Arial" w:cs="Arial"/>
                <w:color w:val="000000"/>
                <w:sz w:val="20"/>
                <w:szCs w:val="20"/>
                <w:lang w:val="en-GB"/>
              </w:rPr>
              <w:t>0</w:t>
            </w:r>
            <w:r w:rsidR="0015405F" w:rsidRPr="002D2F67">
              <w:rPr>
                <w:rFonts w:ascii="Arial" w:hAnsi="Arial" w:cs="Arial"/>
                <w:color w:val="000000"/>
                <w:sz w:val="20"/>
                <w:szCs w:val="20"/>
              </w:rPr>
              <w:t xml:space="preserve"> to </w:t>
            </w:r>
            <w:r w:rsidRPr="00CD5714">
              <w:rPr>
                <w:rFonts w:ascii="Arial" w:hAnsi="Arial" w:cs="Arial"/>
                <w:color w:val="000000"/>
                <w:sz w:val="20"/>
                <w:szCs w:val="20"/>
                <w:lang w:val="en-GB"/>
              </w:rPr>
              <w:t>3</w:t>
            </w:r>
          </w:p>
        </w:tc>
        <w:tc>
          <w:tcPr>
            <w:tcW w:w="1843" w:type="dxa"/>
            <w:shd w:val="clear" w:color="auto" w:fill="auto"/>
          </w:tcPr>
          <w:p w14:paraId="10FA4A9C" w14:textId="702F763C" w:rsidR="00144F7C" w:rsidRPr="002D2F67" w:rsidRDefault="00CD5714" w:rsidP="00144F7C">
            <w:pPr>
              <w:ind w:right="-72"/>
              <w:jc w:val="right"/>
              <w:rPr>
                <w:rFonts w:ascii="Arial" w:hAnsi="Arial" w:cs="Arial"/>
                <w:color w:val="000000"/>
                <w:sz w:val="20"/>
                <w:szCs w:val="20"/>
              </w:rPr>
            </w:pPr>
            <w:r w:rsidRPr="00CD5714">
              <w:rPr>
                <w:rFonts w:ascii="Arial" w:hAnsi="Arial" w:cs="Arial"/>
                <w:color w:val="000000"/>
                <w:sz w:val="20"/>
                <w:szCs w:val="20"/>
                <w:lang w:val="en-GB"/>
              </w:rPr>
              <w:t>0</w:t>
            </w:r>
            <w:r w:rsidR="0073389F" w:rsidRPr="002D2F67">
              <w:rPr>
                <w:rFonts w:ascii="Arial" w:hAnsi="Arial" w:cs="Arial"/>
                <w:color w:val="000000"/>
                <w:sz w:val="20"/>
                <w:szCs w:val="20"/>
              </w:rPr>
              <w:t xml:space="preserve"> to </w:t>
            </w:r>
            <w:r w:rsidRPr="00CD5714">
              <w:rPr>
                <w:rFonts w:ascii="Arial" w:hAnsi="Arial" w:cs="Arial"/>
                <w:color w:val="000000"/>
                <w:sz w:val="20"/>
                <w:szCs w:val="20"/>
                <w:lang w:val="en-GB"/>
              </w:rPr>
              <w:t>3</w:t>
            </w:r>
          </w:p>
        </w:tc>
        <w:tc>
          <w:tcPr>
            <w:tcW w:w="1984" w:type="dxa"/>
            <w:shd w:val="clear" w:color="auto" w:fill="auto"/>
          </w:tcPr>
          <w:p w14:paraId="6D0D0C53" w14:textId="1A012C58" w:rsidR="00144F7C" w:rsidRPr="002D2F67" w:rsidRDefault="002716B1" w:rsidP="00144F7C">
            <w:pPr>
              <w:ind w:right="-72"/>
              <w:jc w:val="right"/>
              <w:rPr>
                <w:rFonts w:ascii="Arial" w:hAnsi="Arial" w:cs="Arial"/>
                <w:color w:val="000000"/>
                <w:sz w:val="20"/>
                <w:szCs w:val="20"/>
              </w:rPr>
            </w:pPr>
            <w:r w:rsidRPr="002D2F67">
              <w:rPr>
                <w:rFonts w:ascii="Arial" w:hAnsi="Arial" w:cs="Arial"/>
                <w:color w:val="000000"/>
                <w:sz w:val="20"/>
                <w:szCs w:val="20"/>
              </w:rPr>
              <w:t>-</w:t>
            </w:r>
          </w:p>
        </w:tc>
      </w:tr>
      <w:tr w:rsidR="00144F7C" w:rsidRPr="002D2F67" w14:paraId="53CC0DD4" w14:textId="77777777" w:rsidTr="00FC2623">
        <w:trPr>
          <w:trHeight w:val="115"/>
        </w:trPr>
        <w:tc>
          <w:tcPr>
            <w:tcW w:w="3776" w:type="dxa"/>
            <w:shd w:val="clear" w:color="auto" w:fill="auto"/>
          </w:tcPr>
          <w:p w14:paraId="1F1972C3" w14:textId="77777777" w:rsidR="00144F7C" w:rsidRPr="002D2F67" w:rsidRDefault="00144F7C" w:rsidP="005611FE">
            <w:pPr>
              <w:ind w:left="-16"/>
              <w:rPr>
                <w:rFonts w:ascii="Arial" w:hAnsi="Arial" w:cs="Arial"/>
                <w:color w:val="000000"/>
                <w:sz w:val="20"/>
                <w:szCs w:val="20"/>
              </w:rPr>
            </w:pPr>
            <w:r w:rsidRPr="002D2F67">
              <w:rPr>
                <w:rFonts w:ascii="Arial" w:hAnsi="Arial" w:cs="Arial"/>
                <w:color w:val="000000"/>
                <w:sz w:val="20"/>
                <w:szCs w:val="20"/>
              </w:rPr>
              <w:t>Discount rate</w:t>
            </w:r>
          </w:p>
        </w:tc>
        <w:tc>
          <w:tcPr>
            <w:tcW w:w="1984" w:type="dxa"/>
            <w:shd w:val="clear" w:color="auto" w:fill="auto"/>
            <w:vAlign w:val="center"/>
          </w:tcPr>
          <w:p w14:paraId="357B7C8E" w14:textId="6AD2FF58" w:rsidR="00A61D86" w:rsidRPr="002D2F67" w:rsidRDefault="00CD5714" w:rsidP="00CC6022">
            <w:pPr>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10</w:t>
            </w:r>
            <w:r w:rsidR="00265781"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00</w:t>
            </w:r>
            <w:r w:rsidR="00265781" w:rsidRPr="002D2F67">
              <w:rPr>
                <w:rFonts w:ascii="Arial" w:eastAsia="Arial Unicode MS" w:hAnsi="Arial" w:cs="Arial"/>
                <w:color w:val="000000"/>
                <w:sz w:val="20"/>
                <w:szCs w:val="20"/>
              </w:rPr>
              <w:t xml:space="preserve"> </w:t>
            </w:r>
            <w:r w:rsidR="00921159" w:rsidRPr="002D2F67">
              <w:rPr>
                <w:rFonts w:ascii="Arial" w:eastAsia="Arial Unicode MS" w:hAnsi="Arial" w:cs="Arial"/>
                <w:color w:val="000000"/>
                <w:sz w:val="20"/>
                <w:szCs w:val="20"/>
              </w:rPr>
              <w:t>-</w:t>
            </w:r>
            <w:r w:rsidR="00265781" w:rsidRPr="002D2F67">
              <w:rPr>
                <w:rFonts w:ascii="Arial" w:eastAsia="Arial Unicode MS" w:hAnsi="Arial" w:cs="Arial"/>
                <w:color w:val="000000"/>
                <w:sz w:val="20"/>
                <w:szCs w:val="20"/>
              </w:rPr>
              <w:t xml:space="preserve"> </w:t>
            </w:r>
            <w:r w:rsidRPr="00CD5714">
              <w:rPr>
                <w:rFonts w:ascii="Arial" w:eastAsia="Arial Unicode MS" w:hAnsi="Arial" w:cs="Arial"/>
                <w:color w:val="000000"/>
                <w:sz w:val="20"/>
                <w:szCs w:val="20"/>
                <w:lang w:val="en-GB"/>
              </w:rPr>
              <w:t>12</w:t>
            </w:r>
            <w:r w:rsidR="00265781"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00</w:t>
            </w:r>
          </w:p>
        </w:tc>
        <w:tc>
          <w:tcPr>
            <w:tcW w:w="1843" w:type="dxa"/>
            <w:shd w:val="clear" w:color="auto" w:fill="auto"/>
            <w:vAlign w:val="center"/>
          </w:tcPr>
          <w:p w14:paraId="2BEB6E8B" w14:textId="65001C70" w:rsidR="00144F7C" w:rsidRPr="002D2F67" w:rsidRDefault="00CD5714" w:rsidP="005611FE">
            <w:pPr>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10</w:t>
            </w:r>
            <w:r w:rsidR="00144F7C"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80</w:t>
            </w:r>
            <w:r w:rsidR="00144F7C" w:rsidRPr="002D2F67">
              <w:rPr>
                <w:rFonts w:ascii="Arial" w:eastAsia="Arial Unicode MS" w:hAnsi="Arial" w:cs="Arial"/>
                <w:color w:val="000000"/>
                <w:sz w:val="20"/>
                <w:szCs w:val="20"/>
              </w:rPr>
              <w:t xml:space="preserve"> - </w:t>
            </w:r>
            <w:r w:rsidRPr="00CD5714">
              <w:rPr>
                <w:rFonts w:ascii="Arial" w:eastAsia="Arial Unicode MS" w:hAnsi="Arial" w:cs="Arial"/>
                <w:color w:val="000000"/>
                <w:sz w:val="20"/>
                <w:szCs w:val="20"/>
                <w:lang w:val="en-GB"/>
              </w:rPr>
              <w:t>13</w:t>
            </w:r>
            <w:r w:rsidR="00144F7C"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00</w:t>
            </w:r>
            <w:r w:rsidR="00144F7C" w:rsidRPr="002D2F67">
              <w:rPr>
                <w:rFonts w:ascii="Arial" w:eastAsia="Arial Unicode MS" w:hAnsi="Arial" w:cs="Arial"/>
                <w:color w:val="000000"/>
                <w:sz w:val="20"/>
                <w:szCs w:val="20"/>
              </w:rPr>
              <w:t xml:space="preserve">  </w:t>
            </w:r>
          </w:p>
        </w:tc>
        <w:tc>
          <w:tcPr>
            <w:tcW w:w="1984" w:type="dxa"/>
            <w:shd w:val="clear" w:color="auto" w:fill="auto"/>
            <w:vAlign w:val="center"/>
          </w:tcPr>
          <w:p w14:paraId="01FCA17E" w14:textId="396B415C" w:rsidR="00144F7C" w:rsidRPr="002D2F67" w:rsidRDefault="00CD5714" w:rsidP="005611FE">
            <w:pPr>
              <w:ind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10</w:t>
            </w:r>
            <w:r w:rsidR="00144F7C"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00</w:t>
            </w:r>
            <w:r w:rsidR="00144F7C" w:rsidRPr="002D2F67">
              <w:rPr>
                <w:rFonts w:ascii="Arial" w:eastAsia="Arial Unicode MS" w:hAnsi="Arial" w:cs="Arial"/>
                <w:color w:val="000000"/>
                <w:sz w:val="20"/>
                <w:szCs w:val="20"/>
              </w:rPr>
              <w:t xml:space="preserve"> - </w:t>
            </w:r>
            <w:r w:rsidRPr="00CD5714">
              <w:rPr>
                <w:rFonts w:ascii="Arial" w:eastAsia="Arial Unicode MS" w:hAnsi="Arial" w:cs="Arial"/>
                <w:color w:val="000000"/>
                <w:sz w:val="20"/>
                <w:szCs w:val="20"/>
                <w:lang w:val="en-GB"/>
              </w:rPr>
              <w:t>12</w:t>
            </w:r>
            <w:r w:rsidR="00144F7C" w:rsidRPr="002D2F67">
              <w:rPr>
                <w:rFonts w:ascii="Arial" w:eastAsia="Arial Unicode MS" w:hAnsi="Arial" w:cs="Arial"/>
                <w:color w:val="000000"/>
                <w:sz w:val="20"/>
                <w:szCs w:val="20"/>
              </w:rPr>
              <w:t>.</w:t>
            </w:r>
            <w:r w:rsidRPr="00CD5714">
              <w:rPr>
                <w:rFonts w:ascii="Arial" w:eastAsia="Arial Unicode MS" w:hAnsi="Arial" w:cs="Arial"/>
                <w:color w:val="000000"/>
                <w:sz w:val="20"/>
                <w:szCs w:val="20"/>
                <w:lang w:val="en-GB"/>
              </w:rPr>
              <w:t>00</w:t>
            </w:r>
          </w:p>
        </w:tc>
      </w:tr>
    </w:tbl>
    <w:p w14:paraId="563B5A8E" w14:textId="77777777" w:rsidR="00AD6742" w:rsidRPr="002D2F67" w:rsidRDefault="00AD6742" w:rsidP="005611FE">
      <w:pPr>
        <w:rPr>
          <w:rFonts w:ascii="Arial" w:hAnsi="Arial" w:cs="Arial"/>
          <w:color w:val="000000"/>
          <w:sz w:val="18"/>
          <w:szCs w:val="18"/>
        </w:rPr>
      </w:pPr>
    </w:p>
    <w:p w14:paraId="513877E7" w14:textId="05125E23" w:rsidR="00EC18A5" w:rsidRPr="002D2F67" w:rsidRDefault="00144F7C" w:rsidP="005611FE">
      <w:pPr>
        <w:jc w:val="both"/>
        <w:rPr>
          <w:rFonts w:ascii="Arial" w:hAnsi="Arial" w:cs="Arial"/>
          <w:color w:val="000000"/>
          <w:spacing w:val="-2"/>
          <w:sz w:val="20"/>
          <w:szCs w:val="20"/>
        </w:rPr>
      </w:pPr>
      <w:r w:rsidRPr="002D2F67">
        <w:rPr>
          <w:rFonts w:ascii="Arial" w:hAnsi="Arial" w:cs="Arial"/>
          <w:color w:val="000000"/>
          <w:spacing w:val="-6"/>
          <w:sz w:val="20"/>
          <w:szCs w:val="20"/>
        </w:rPr>
        <w:t xml:space="preserve">During </w:t>
      </w:r>
      <w:r w:rsidR="00CD5714" w:rsidRPr="00CD5714">
        <w:rPr>
          <w:rFonts w:ascii="Arial" w:hAnsi="Arial" w:cs="Arial"/>
          <w:color w:val="000000"/>
          <w:spacing w:val="-6"/>
          <w:sz w:val="20"/>
          <w:szCs w:val="20"/>
          <w:lang w:val="en-GB"/>
        </w:rPr>
        <w:t>2024</w:t>
      </w:r>
      <w:r w:rsidRPr="002D2F67">
        <w:rPr>
          <w:rFonts w:ascii="Arial" w:hAnsi="Arial" w:cs="Arial"/>
          <w:color w:val="000000"/>
          <w:spacing w:val="-6"/>
          <w:sz w:val="20"/>
          <w:szCs w:val="20"/>
        </w:rPr>
        <w:t xml:space="preserve">, </w:t>
      </w:r>
      <w:r w:rsidR="00692BE5" w:rsidRPr="002D2F67">
        <w:rPr>
          <w:rFonts w:ascii="Arial" w:hAnsi="Arial" w:cs="Arial"/>
          <w:color w:val="000000"/>
          <w:spacing w:val="-6"/>
          <w:sz w:val="20"/>
          <w:szCs w:val="20"/>
        </w:rPr>
        <w:t xml:space="preserve">the impairment </w:t>
      </w:r>
      <w:r w:rsidR="00EC18A5" w:rsidRPr="002D2F67">
        <w:rPr>
          <w:rFonts w:ascii="Arial" w:hAnsi="Arial" w:cs="Arial"/>
          <w:color w:val="000000"/>
          <w:spacing w:val="-6"/>
          <w:sz w:val="20"/>
          <w:szCs w:val="20"/>
        </w:rPr>
        <w:t xml:space="preserve">loss of Baht </w:t>
      </w:r>
      <w:r w:rsidR="00CD5714" w:rsidRPr="00CD5714">
        <w:rPr>
          <w:rFonts w:ascii="Arial" w:hAnsi="Arial" w:cs="Arial"/>
          <w:color w:val="000000"/>
          <w:spacing w:val="-6"/>
          <w:sz w:val="20"/>
          <w:szCs w:val="20"/>
          <w:lang w:val="en-GB"/>
        </w:rPr>
        <w:t>920</w:t>
      </w:r>
      <w:r w:rsidR="00EC18A5" w:rsidRPr="002D2F67">
        <w:rPr>
          <w:rFonts w:ascii="Arial" w:hAnsi="Arial" w:cs="Arial"/>
          <w:color w:val="000000"/>
          <w:spacing w:val="-6"/>
          <w:sz w:val="20"/>
          <w:szCs w:val="20"/>
        </w:rPr>
        <w:t xml:space="preserve"> million for goodwill arose from battery manufacturing and distributing</w:t>
      </w:r>
      <w:r w:rsidR="00EC18A5" w:rsidRPr="002D2F67">
        <w:rPr>
          <w:rFonts w:ascii="Arial" w:hAnsi="Arial" w:cs="Arial"/>
          <w:color w:val="000000"/>
          <w:spacing w:val="-2"/>
          <w:sz w:val="20"/>
          <w:szCs w:val="20"/>
        </w:rPr>
        <w:t xml:space="preserve"> </w:t>
      </w:r>
      <w:r w:rsidR="00EC18A5" w:rsidRPr="002D2F67">
        <w:rPr>
          <w:rFonts w:ascii="Arial" w:hAnsi="Arial" w:cs="Arial"/>
          <w:color w:val="000000"/>
          <w:spacing w:val="-4"/>
          <w:sz w:val="20"/>
          <w:szCs w:val="20"/>
        </w:rPr>
        <w:t>business</w:t>
      </w:r>
      <w:r w:rsidR="008272BD" w:rsidRPr="002D2F67">
        <w:rPr>
          <w:rFonts w:ascii="Arial" w:hAnsi="Arial" w:cs="Arial"/>
          <w:color w:val="000000"/>
          <w:spacing w:val="-4"/>
          <w:sz w:val="20"/>
          <w:szCs w:val="20"/>
        </w:rPr>
        <w:t xml:space="preserve"> </w:t>
      </w:r>
      <w:r w:rsidR="00C775C8" w:rsidRPr="002D2F67">
        <w:rPr>
          <w:rFonts w:ascii="Arial" w:hAnsi="Arial" w:cs="Arial"/>
          <w:color w:val="000000"/>
          <w:spacing w:val="-4"/>
          <w:sz w:val="20"/>
          <w:szCs w:val="20"/>
        </w:rPr>
        <w:t>were</w:t>
      </w:r>
      <w:r w:rsidR="000A4F21" w:rsidRPr="002D2F67">
        <w:rPr>
          <w:rFonts w:ascii="Arial" w:hAnsi="Arial" w:cs="Arial"/>
          <w:color w:val="000000"/>
          <w:spacing w:val="-4"/>
          <w:sz w:val="20"/>
          <w:szCs w:val="20"/>
        </w:rPr>
        <w:t xml:space="preserve"> reco</w:t>
      </w:r>
      <w:r w:rsidR="009C531E" w:rsidRPr="002D2F67">
        <w:rPr>
          <w:rFonts w:ascii="Arial" w:hAnsi="Arial" w:cs="Arial"/>
          <w:color w:val="000000"/>
          <w:spacing w:val="-4"/>
          <w:sz w:val="20"/>
          <w:szCs w:val="20"/>
        </w:rPr>
        <w:t xml:space="preserve">gnised due to </w:t>
      </w:r>
      <w:r w:rsidR="006A5373" w:rsidRPr="002D2F67">
        <w:rPr>
          <w:rFonts w:ascii="Arial" w:hAnsi="Arial" w:cs="Arial"/>
          <w:color w:val="000000"/>
          <w:spacing w:val="-4"/>
          <w:sz w:val="20"/>
          <w:szCs w:val="20"/>
        </w:rPr>
        <w:t xml:space="preserve">changes in assumptions used in the goodwill impairment testing to align </w:t>
      </w:r>
      <w:r w:rsidR="006A5373" w:rsidRPr="002D2F67">
        <w:rPr>
          <w:rFonts w:ascii="Arial" w:hAnsi="Arial" w:cs="Arial"/>
          <w:color w:val="000000"/>
          <w:spacing w:val="-6"/>
          <w:sz w:val="20"/>
          <w:szCs w:val="20"/>
        </w:rPr>
        <w:t>with</w:t>
      </w:r>
      <w:r w:rsidR="000616AE" w:rsidRPr="002D2F67">
        <w:rPr>
          <w:rFonts w:ascii="Arial" w:hAnsi="Arial" w:cs="Arial"/>
          <w:color w:val="000000"/>
          <w:spacing w:val="-6"/>
          <w:sz w:val="20"/>
          <w:szCs w:val="20"/>
        </w:rPr>
        <w:t xml:space="preserve"> the </w:t>
      </w:r>
      <w:r w:rsidR="00782354" w:rsidRPr="002D2F67">
        <w:rPr>
          <w:rFonts w:ascii="Arial" w:hAnsi="Arial" w:cs="Arial"/>
          <w:color w:val="000000"/>
          <w:spacing w:val="-6"/>
          <w:sz w:val="20"/>
          <w:szCs w:val="20"/>
        </w:rPr>
        <w:t xml:space="preserve">current forecasted financial result </w:t>
      </w:r>
      <w:proofErr w:type="gramStart"/>
      <w:r w:rsidR="004C0A66" w:rsidRPr="002D2F67">
        <w:rPr>
          <w:rFonts w:ascii="Arial" w:hAnsi="Arial" w:cs="Arial"/>
          <w:color w:val="000000"/>
          <w:spacing w:val="-6"/>
          <w:sz w:val="20"/>
          <w:szCs w:val="20"/>
        </w:rPr>
        <w:t>as a result of</w:t>
      </w:r>
      <w:proofErr w:type="gramEnd"/>
      <w:r w:rsidR="00782354" w:rsidRPr="002D2F67">
        <w:rPr>
          <w:rFonts w:ascii="Arial" w:hAnsi="Arial" w:cs="Arial"/>
          <w:color w:val="000000"/>
          <w:spacing w:val="-6"/>
          <w:sz w:val="20"/>
          <w:szCs w:val="20"/>
        </w:rPr>
        <w:t xml:space="preserve"> changes in </w:t>
      </w:r>
      <w:r w:rsidR="007D517E" w:rsidRPr="002D2F67">
        <w:rPr>
          <w:rFonts w:ascii="Arial" w:hAnsi="Arial" w:cs="Arial"/>
          <w:color w:val="000000"/>
          <w:spacing w:val="-6"/>
          <w:sz w:val="20"/>
          <w:szCs w:val="20"/>
        </w:rPr>
        <w:t>electric batter</w:t>
      </w:r>
      <w:r w:rsidR="00D51A28" w:rsidRPr="002D2F67">
        <w:rPr>
          <w:rFonts w:ascii="Arial" w:hAnsi="Arial" w:cs="Arial"/>
          <w:color w:val="000000"/>
          <w:spacing w:val="-6"/>
          <w:sz w:val="20"/>
          <w:szCs w:val="20"/>
        </w:rPr>
        <w:t>y</w:t>
      </w:r>
      <w:r w:rsidR="007D517E" w:rsidRPr="002D2F67">
        <w:rPr>
          <w:rFonts w:ascii="Arial" w:hAnsi="Arial" w:cs="Arial"/>
          <w:color w:val="000000"/>
          <w:spacing w:val="-6"/>
          <w:sz w:val="20"/>
          <w:szCs w:val="20"/>
        </w:rPr>
        <w:t xml:space="preserve"> industry’s trend and the revision</w:t>
      </w:r>
      <w:r w:rsidR="007D517E" w:rsidRPr="002D2F67">
        <w:rPr>
          <w:rFonts w:ascii="Arial" w:hAnsi="Arial" w:cs="Arial"/>
          <w:color w:val="000000"/>
          <w:spacing w:val="-4"/>
          <w:sz w:val="20"/>
          <w:szCs w:val="20"/>
        </w:rPr>
        <w:t xml:space="preserve"> of management business plan.</w:t>
      </w:r>
    </w:p>
    <w:p w14:paraId="439EE108" w14:textId="77777777" w:rsidR="00B4267B" w:rsidRPr="002D2F67" w:rsidRDefault="00B4267B" w:rsidP="005611FE">
      <w:pPr>
        <w:jc w:val="both"/>
        <w:rPr>
          <w:rFonts w:ascii="Arial" w:hAnsi="Arial" w:cs="Arial"/>
          <w:color w:val="000000"/>
          <w:spacing w:val="-2"/>
          <w:sz w:val="20"/>
          <w:szCs w:val="20"/>
        </w:rPr>
      </w:pPr>
    </w:p>
    <w:p w14:paraId="46048BC9" w14:textId="77777777" w:rsidR="001320B3" w:rsidRPr="002D2F67" w:rsidRDefault="001320B3" w:rsidP="005611FE">
      <w:pPr>
        <w:jc w:val="both"/>
        <w:rPr>
          <w:rFonts w:ascii="Arial" w:hAnsi="Arial" w:cs="Arial"/>
          <w:color w:val="000000"/>
          <w:spacing w:val="-2"/>
          <w:sz w:val="20"/>
          <w:szCs w:val="20"/>
        </w:rPr>
      </w:pPr>
    </w:p>
    <w:p w14:paraId="1C15D804" w14:textId="76C4168B" w:rsidR="00674D55" w:rsidRPr="002D2F67" w:rsidRDefault="00674D55" w:rsidP="005611FE">
      <w:pPr>
        <w:jc w:val="both"/>
        <w:rPr>
          <w:rFonts w:ascii="Arial" w:hAnsi="Arial" w:cs="Arial"/>
          <w:color w:val="000000"/>
          <w:spacing w:val="-2"/>
          <w:sz w:val="20"/>
          <w:szCs w:val="20"/>
        </w:rPr>
        <w:sectPr w:rsidR="00674D55" w:rsidRPr="002D2F67" w:rsidSect="00BC5B63">
          <w:pgSz w:w="11907" w:h="16840" w:code="9"/>
          <w:pgMar w:top="1440" w:right="720" w:bottom="720" w:left="1728" w:header="706" w:footer="706" w:gutter="0"/>
          <w:cols w:space="720"/>
          <w:docGrid w:linePitch="326"/>
        </w:sectPr>
      </w:pPr>
    </w:p>
    <w:p w14:paraId="16A2B68E" w14:textId="77777777" w:rsidR="00175BC7" w:rsidRPr="002D2F67" w:rsidRDefault="00175BC7" w:rsidP="005611FE">
      <w:pPr>
        <w:pStyle w:val="BodyTextIndent2"/>
        <w:spacing w:line="240" w:lineRule="auto"/>
        <w:ind w:left="0"/>
        <w:jc w:val="left"/>
        <w:rPr>
          <w:rFonts w:ascii="Arial" w:hAnsi="Arial" w:cs="Arial"/>
          <w:spacing w:val="-2"/>
        </w:rPr>
      </w:pPr>
    </w:p>
    <w:p w14:paraId="7B4224E6" w14:textId="6D3A737C" w:rsidR="00862F48"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24</w:t>
      </w:r>
      <w:r w:rsidR="00862F48" w:rsidRPr="002D2F67">
        <w:rPr>
          <w:rFonts w:ascii="Arial" w:hAnsi="Arial" w:cs="Arial"/>
          <w:b/>
          <w:bCs/>
          <w:color w:val="000000"/>
          <w:kern w:val="26"/>
          <w:position w:val="-24"/>
          <w:sz w:val="20"/>
          <w:szCs w:val="20"/>
          <w:cs/>
        </w:rPr>
        <w:tab/>
      </w:r>
      <w:r w:rsidR="00862F48" w:rsidRPr="002D2F67">
        <w:rPr>
          <w:rFonts w:ascii="Arial" w:hAnsi="Arial" w:cs="Arial"/>
          <w:b/>
          <w:bCs/>
          <w:color w:val="000000"/>
          <w:kern w:val="26"/>
          <w:position w:val="-24"/>
          <w:sz w:val="20"/>
          <w:szCs w:val="20"/>
        </w:rPr>
        <w:t>Intangible assets, net</w:t>
      </w:r>
    </w:p>
    <w:p w14:paraId="338E780D" w14:textId="77777777" w:rsidR="00235335" w:rsidRPr="002D2F67" w:rsidRDefault="00235335" w:rsidP="005611FE">
      <w:pPr>
        <w:pStyle w:val="BodyTextIndent2"/>
        <w:spacing w:line="240" w:lineRule="auto"/>
        <w:ind w:left="0"/>
        <w:jc w:val="left"/>
        <w:rPr>
          <w:rFonts w:ascii="Arial" w:hAnsi="Arial" w:cs="Arial"/>
          <w:spacing w:val="-2"/>
        </w:rPr>
      </w:pPr>
    </w:p>
    <w:tbl>
      <w:tblPr>
        <w:tblW w:w="4968" w:type="pct"/>
        <w:tblLayout w:type="fixed"/>
        <w:tblLook w:val="0000" w:firstRow="0" w:lastRow="0" w:firstColumn="0" w:lastColumn="0" w:noHBand="0" w:noVBand="0"/>
      </w:tblPr>
      <w:tblGrid>
        <w:gridCol w:w="5225"/>
        <w:gridCol w:w="1471"/>
        <w:gridCol w:w="1471"/>
        <w:gridCol w:w="1471"/>
        <w:gridCol w:w="1471"/>
        <w:gridCol w:w="1471"/>
        <w:gridCol w:w="1471"/>
        <w:gridCol w:w="1465"/>
      </w:tblGrid>
      <w:tr w:rsidR="0004779D" w:rsidRPr="002D2F67" w14:paraId="52465A66" w14:textId="77777777" w:rsidTr="002D2F67">
        <w:tc>
          <w:tcPr>
            <w:tcW w:w="1684" w:type="pct"/>
            <w:shd w:val="clear" w:color="auto" w:fill="auto"/>
            <w:vAlign w:val="bottom"/>
          </w:tcPr>
          <w:p w14:paraId="6623BC5F" w14:textId="77777777" w:rsidR="0004779D" w:rsidRPr="002D2F67" w:rsidRDefault="0004779D" w:rsidP="005611FE">
            <w:pPr>
              <w:ind w:left="27"/>
              <w:rPr>
                <w:rFonts w:ascii="Arial" w:hAnsi="Arial" w:cs="Arial"/>
                <w:b/>
                <w:bCs/>
                <w:color w:val="000000"/>
                <w:sz w:val="20"/>
                <w:szCs w:val="20"/>
              </w:rPr>
            </w:pPr>
          </w:p>
        </w:tc>
        <w:tc>
          <w:tcPr>
            <w:tcW w:w="3316" w:type="pct"/>
            <w:gridSpan w:val="7"/>
            <w:tcBorders>
              <w:bottom w:val="single" w:sz="4" w:space="0" w:color="auto"/>
            </w:tcBorders>
            <w:shd w:val="clear" w:color="auto" w:fill="auto"/>
          </w:tcPr>
          <w:p w14:paraId="03FE6A72" w14:textId="77777777" w:rsidR="0004779D" w:rsidRPr="002D2F67" w:rsidRDefault="0004779D"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Consolidated financial statements </w:t>
            </w:r>
          </w:p>
        </w:tc>
      </w:tr>
      <w:tr w:rsidR="0004779D" w:rsidRPr="002D2F67" w14:paraId="698CB43B" w14:textId="77777777" w:rsidTr="002D2F67">
        <w:tc>
          <w:tcPr>
            <w:tcW w:w="1684" w:type="pct"/>
            <w:shd w:val="clear" w:color="auto" w:fill="auto"/>
            <w:vAlign w:val="bottom"/>
          </w:tcPr>
          <w:p w14:paraId="7006E3BA" w14:textId="77777777" w:rsidR="0004779D" w:rsidRPr="002D2F67" w:rsidRDefault="0004779D" w:rsidP="005611FE">
            <w:pPr>
              <w:ind w:left="27"/>
              <w:rPr>
                <w:rFonts w:ascii="Arial" w:hAnsi="Arial" w:cs="Arial"/>
                <w:b/>
                <w:bCs/>
                <w:color w:val="000000"/>
                <w:sz w:val="20"/>
                <w:szCs w:val="20"/>
              </w:rPr>
            </w:pPr>
          </w:p>
        </w:tc>
        <w:tc>
          <w:tcPr>
            <w:tcW w:w="474" w:type="pct"/>
            <w:tcBorders>
              <w:top w:val="single" w:sz="4" w:space="0" w:color="auto"/>
            </w:tcBorders>
            <w:shd w:val="clear" w:color="auto" w:fill="auto"/>
            <w:vAlign w:val="bottom"/>
          </w:tcPr>
          <w:p w14:paraId="535B4D42" w14:textId="77777777" w:rsidR="0004779D" w:rsidRPr="002D2F67" w:rsidRDefault="0004779D" w:rsidP="005611FE">
            <w:pPr>
              <w:ind w:right="-72"/>
              <w:jc w:val="right"/>
              <w:rPr>
                <w:rFonts w:ascii="Arial" w:hAnsi="Arial" w:cs="Arial"/>
                <w:b/>
                <w:bCs/>
                <w:color w:val="000000"/>
                <w:sz w:val="20"/>
                <w:szCs w:val="20"/>
              </w:rPr>
            </w:pPr>
          </w:p>
          <w:p w14:paraId="70AFAC06" w14:textId="77777777" w:rsidR="0004779D" w:rsidRPr="002D2F67" w:rsidRDefault="0004779D" w:rsidP="005611FE">
            <w:pPr>
              <w:ind w:right="-72"/>
              <w:jc w:val="right"/>
              <w:rPr>
                <w:rFonts w:ascii="Arial" w:hAnsi="Arial" w:cs="Arial"/>
                <w:b/>
                <w:bCs/>
                <w:color w:val="000000"/>
                <w:sz w:val="20"/>
                <w:szCs w:val="20"/>
              </w:rPr>
            </w:pPr>
          </w:p>
          <w:p w14:paraId="1E675439" w14:textId="77777777" w:rsidR="0004779D" w:rsidRPr="002D2F67" w:rsidRDefault="0004779D" w:rsidP="005611FE">
            <w:pPr>
              <w:ind w:right="-72"/>
              <w:jc w:val="right"/>
              <w:rPr>
                <w:rFonts w:ascii="Arial" w:hAnsi="Arial" w:cs="Arial"/>
                <w:b/>
                <w:bCs/>
                <w:color w:val="000000"/>
                <w:sz w:val="20"/>
                <w:szCs w:val="20"/>
              </w:rPr>
            </w:pPr>
          </w:p>
          <w:p w14:paraId="7D16D3DD" w14:textId="77777777" w:rsidR="0004779D" w:rsidRPr="002D2F67" w:rsidRDefault="0004779D" w:rsidP="005611FE">
            <w:pPr>
              <w:ind w:right="-72"/>
              <w:jc w:val="right"/>
              <w:rPr>
                <w:rFonts w:ascii="Arial" w:hAnsi="Arial" w:cs="Arial"/>
                <w:b/>
                <w:bCs/>
                <w:color w:val="000000"/>
                <w:sz w:val="20"/>
                <w:szCs w:val="20"/>
              </w:rPr>
            </w:pPr>
            <w:r w:rsidRPr="002D2F67">
              <w:rPr>
                <w:rFonts w:ascii="Arial" w:hAnsi="Arial" w:cs="Arial"/>
                <w:b/>
                <w:bCs/>
                <w:color w:val="000000"/>
                <w:sz w:val="20"/>
                <w:szCs w:val="20"/>
              </w:rPr>
              <w:t>Patents</w:t>
            </w:r>
          </w:p>
        </w:tc>
        <w:tc>
          <w:tcPr>
            <w:tcW w:w="474" w:type="pct"/>
            <w:tcBorders>
              <w:top w:val="single" w:sz="4" w:space="0" w:color="auto"/>
            </w:tcBorders>
            <w:shd w:val="clear" w:color="auto" w:fill="auto"/>
            <w:vAlign w:val="bottom"/>
          </w:tcPr>
          <w:p w14:paraId="6FCAB839" w14:textId="77777777" w:rsidR="0004779D" w:rsidRPr="002D2F67" w:rsidRDefault="0004779D" w:rsidP="005611FE">
            <w:pPr>
              <w:ind w:right="-72"/>
              <w:jc w:val="right"/>
              <w:rPr>
                <w:rFonts w:ascii="Arial" w:hAnsi="Arial" w:cs="Arial"/>
                <w:b/>
                <w:bCs/>
                <w:color w:val="000000"/>
                <w:sz w:val="20"/>
                <w:szCs w:val="20"/>
              </w:rPr>
            </w:pPr>
          </w:p>
          <w:p w14:paraId="4F0A551F" w14:textId="77777777" w:rsidR="0004779D" w:rsidRPr="002D2F67" w:rsidRDefault="0004779D" w:rsidP="005611FE">
            <w:pPr>
              <w:ind w:right="-72"/>
              <w:jc w:val="right"/>
              <w:rPr>
                <w:rFonts w:ascii="Arial" w:hAnsi="Arial" w:cs="Arial"/>
                <w:b/>
                <w:bCs/>
                <w:color w:val="000000"/>
                <w:sz w:val="20"/>
                <w:szCs w:val="20"/>
              </w:rPr>
            </w:pPr>
          </w:p>
          <w:p w14:paraId="5A706E30" w14:textId="77777777" w:rsidR="0004779D" w:rsidRPr="002D2F67" w:rsidRDefault="0004779D" w:rsidP="005611FE">
            <w:pPr>
              <w:ind w:right="-72"/>
              <w:jc w:val="right"/>
              <w:rPr>
                <w:rFonts w:ascii="Arial" w:hAnsi="Arial" w:cs="Arial"/>
                <w:b/>
                <w:bCs/>
                <w:color w:val="000000"/>
                <w:sz w:val="20"/>
                <w:szCs w:val="20"/>
              </w:rPr>
            </w:pPr>
          </w:p>
          <w:p w14:paraId="263FFECE" w14:textId="77777777" w:rsidR="0004779D" w:rsidRPr="002D2F67" w:rsidRDefault="0004779D" w:rsidP="005611FE">
            <w:pPr>
              <w:ind w:right="-72"/>
              <w:jc w:val="right"/>
              <w:rPr>
                <w:rFonts w:ascii="Arial" w:hAnsi="Arial" w:cs="Arial"/>
                <w:b/>
                <w:bCs/>
                <w:color w:val="000000"/>
                <w:sz w:val="20"/>
                <w:szCs w:val="20"/>
              </w:rPr>
            </w:pPr>
            <w:r w:rsidRPr="002D2F67">
              <w:rPr>
                <w:rFonts w:ascii="Arial" w:hAnsi="Arial" w:cs="Arial"/>
                <w:b/>
                <w:bCs/>
                <w:color w:val="000000"/>
                <w:sz w:val="20"/>
                <w:szCs w:val="20"/>
              </w:rPr>
              <w:t>Brand</w:t>
            </w:r>
          </w:p>
        </w:tc>
        <w:tc>
          <w:tcPr>
            <w:tcW w:w="474" w:type="pct"/>
            <w:tcBorders>
              <w:top w:val="single" w:sz="4" w:space="0" w:color="auto"/>
            </w:tcBorders>
            <w:shd w:val="clear" w:color="auto" w:fill="auto"/>
            <w:vAlign w:val="bottom"/>
          </w:tcPr>
          <w:p w14:paraId="3EEC523A" w14:textId="77777777" w:rsidR="0004779D" w:rsidRPr="002D2F67" w:rsidRDefault="0004779D" w:rsidP="005611FE">
            <w:pPr>
              <w:ind w:right="-72"/>
              <w:jc w:val="right"/>
              <w:rPr>
                <w:rFonts w:ascii="Arial" w:hAnsi="Arial" w:cs="Arial"/>
                <w:b/>
                <w:bCs/>
                <w:color w:val="000000"/>
                <w:sz w:val="20"/>
                <w:szCs w:val="20"/>
              </w:rPr>
            </w:pPr>
          </w:p>
          <w:p w14:paraId="0B1B634D" w14:textId="77777777" w:rsidR="0004779D" w:rsidRPr="002D2F67" w:rsidRDefault="0004779D"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Right to use </w:t>
            </w:r>
            <w:r w:rsidRPr="002D2F67">
              <w:rPr>
                <w:rFonts w:ascii="Arial" w:hAnsi="Arial" w:cs="Arial"/>
                <w:b/>
                <w:bCs/>
                <w:color w:val="000000"/>
                <w:spacing w:val="-6"/>
                <w:sz w:val="20"/>
                <w:szCs w:val="20"/>
              </w:rPr>
              <w:t>transmission line</w:t>
            </w:r>
          </w:p>
        </w:tc>
        <w:tc>
          <w:tcPr>
            <w:tcW w:w="474" w:type="pct"/>
            <w:tcBorders>
              <w:top w:val="single" w:sz="4" w:space="0" w:color="auto"/>
            </w:tcBorders>
            <w:shd w:val="clear" w:color="auto" w:fill="auto"/>
            <w:vAlign w:val="bottom"/>
          </w:tcPr>
          <w:p w14:paraId="34BD35E0" w14:textId="77777777" w:rsidR="0004779D" w:rsidRPr="002D2F67" w:rsidRDefault="0004779D"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Right to power purchase agreement </w:t>
            </w:r>
          </w:p>
        </w:tc>
        <w:tc>
          <w:tcPr>
            <w:tcW w:w="474" w:type="pct"/>
            <w:tcBorders>
              <w:top w:val="single" w:sz="4" w:space="0" w:color="auto"/>
            </w:tcBorders>
            <w:shd w:val="clear" w:color="auto" w:fill="auto"/>
            <w:vAlign w:val="bottom"/>
          </w:tcPr>
          <w:p w14:paraId="59C88EFE" w14:textId="77777777" w:rsidR="0004779D" w:rsidRPr="002D2F67" w:rsidRDefault="0004779D" w:rsidP="005611FE">
            <w:pPr>
              <w:ind w:right="-72"/>
              <w:jc w:val="right"/>
              <w:rPr>
                <w:rFonts w:ascii="Arial" w:hAnsi="Arial" w:cs="Arial"/>
                <w:b/>
                <w:bCs/>
                <w:color w:val="000000"/>
                <w:sz w:val="20"/>
                <w:szCs w:val="20"/>
              </w:rPr>
            </w:pPr>
          </w:p>
          <w:p w14:paraId="7E227E16" w14:textId="77777777" w:rsidR="0004779D" w:rsidRPr="002D2F67" w:rsidRDefault="0004779D" w:rsidP="005611FE">
            <w:pPr>
              <w:ind w:right="-72"/>
              <w:jc w:val="right"/>
              <w:rPr>
                <w:rFonts w:ascii="Arial" w:hAnsi="Arial" w:cs="Arial"/>
                <w:b/>
                <w:bCs/>
                <w:color w:val="000000"/>
                <w:sz w:val="20"/>
                <w:szCs w:val="20"/>
              </w:rPr>
            </w:pPr>
          </w:p>
          <w:p w14:paraId="0C4C0DB4" w14:textId="77777777" w:rsidR="0004779D" w:rsidRPr="002D2F67" w:rsidRDefault="0004779D" w:rsidP="005611FE">
            <w:pPr>
              <w:ind w:right="-72"/>
              <w:jc w:val="right"/>
              <w:rPr>
                <w:rFonts w:ascii="Arial" w:hAnsi="Arial" w:cs="Arial"/>
                <w:b/>
                <w:bCs/>
                <w:color w:val="000000"/>
                <w:sz w:val="20"/>
                <w:szCs w:val="20"/>
              </w:rPr>
            </w:pPr>
            <w:r w:rsidRPr="002D2F67">
              <w:rPr>
                <w:rFonts w:ascii="Arial" w:hAnsi="Arial" w:cs="Arial"/>
                <w:b/>
                <w:bCs/>
                <w:color w:val="000000"/>
                <w:sz w:val="20"/>
                <w:szCs w:val="20"/>
              </w:rPr>
              <w:t>Computer software</w:t>
            </w:r>
          </w:p>
        </w:tc>
        <w:tc>
          <w:tcPr>
            <w:tcW w:w="474" w:type="pct"/>
            <w:tcBorders>
              <w:top w:val="single" w:sz="4" w:space="0" w:color="auto"/>
            </w:tcBorders>
            <w:shd w:val="clear" w:color="auto" w:fill="auto"/>
            <w:vAlign w:val="bottom"/>
          </w:tcPr>
          <w:p w14:paraId="5CB661AB" w14:textId="77777777" w:rsidR="0004779D" w:rsidRPr="002D2F67" w:rsidRDefault="0004779D" w:rsidP="005611FE">
            <w:pPr>
              <w:ind w:right="-72"/>
              <w:jc w:val="right"/>
              <w:rPr>
                <w:rFonts w:ascii="Arial" w:hAnsi="Arial" w:cs="Arial"/>
                <w:b/>
                <w:bCs/>
                <w:color w:val="000000"/>
                <w:sz w:val="20"/>
                <w:szCs w:val="20"/>
              </w:rPr>
            </w:pPr>
            <w:r w:rsidRPr="002D2F67">
              <w:rPr>
                <w:rFonts w:ascii="Arial" w:hAnsi="Arial" w:cs="Arial"/>
                <w:b/>
                <w:bCs/>
                <w:color w:val="000000"/>
                <w:sz w:val="20"/>
                <w:szCs w:val="20"/>
              </w:rPr>
              <w:t>Intangible assets under development</w:t>
            </w:r>
          </w:p>
        </w:tc>
        <w:tc>
          <w:tcPr>
            <w:tcW w:w="472" w:type="pct"/>
            <w:tcBorders>
              <w:top w:val="single" w:sz="4" w:space="0" w:color="auto"/>
            </w:tcBorders>
            <w:shd w:val="clear" w:color="auto" w:fill="auto"/>
            <w:vAlign w:val="bottom"/>
          </w:tcPr>
          <w:p w14:paraId="5BCDCE90" w14:textId="77777777" w:rsidR="0004779D" w:rsidRPr="002D2F67" w:rsidRDefault="0004779D" w:rsidP="005611FE">
            <w:pPr>
              <w:ind w:right="-72"/>
              <w:jc w:val="right"/>
              <w:rPr>
                <w:rFonts w:ascii="Arial" w:hAnsi="Arial" w:cs="Arial"/>
                <w:b/>
                <w:bCs/>
                <w:color w:val="000000"/>
                <w:sz w:val="20"/>
                <w:szCs w:val="20"/>
              </w:rPr>
            </w:pPr>
          </w:p>
          <w:p w14:paraId="017A444E" w14:textId="77777777" w:rsidR="0004779D" w:rsidRPr="002D2F67" w:rsidRDefault="0004779D" w:rsidP="005611FE">
            <w:pPr>
              <w:ind w:right="-72"/>
              <w:jc w:val="right"/>
              <w:rPr>
                <w:rFonts w:ascii="Arial" w:hAnsi="Arial" w:cs="Arial"/>
                <w:b/>
                <w:bCs/>
                <w:color w:val="000000"/>
                <w:sz w:val="20"/>
                <w:szCs w:val="20"/>
              </w:rPr>
            </w:pPr>
          </w:p>
          <w:p w14:paraId="4A9B1D95" w14:textId="77777777" w:rsidR="0004779D" w:rsidRPr="002D2F67" w:rsidRDefault="0004779D" w:rsidP="005611FE">
            <w:pPr>
              <w:ind w:right="-72"/>
              <w:jc w:val="right"/>
              <w:rPr>
                <w:rFonts w:ascii="Arial" w:hAnsi="Arial" w:cs="Arial"/>
                <w:b/>
                <w:bCs/>
                <w:color w:val="000000"/>
                <w:sz w:val="20"/>
                <w:szCs w:val="20"/>
              </w:rPr>
            </w:pPr>
          </w:p>
          <w:p w14:paraId="3BCAAE47" w14:textId="77777777" w:rsidR="0004779D" w:rsidRPr="002D2F67" w:rsidRDefault="0004779D" w:rsidP="005611FE">
            <w:pPr>
              <w:ind w:right="-72"/>
              <w:jc w:val="right"/>
              <w:rPr>
                <w:rFonts w:ascii="Arial" w:hAnsi="Arial" w:cs="Arial"/>
                <w:b/>
                <w:bCs/>
                <w:color w:val="000000"/>
                <w:sz w:val="20"/>
                <w:szCs w:val="20"/>
              </w:rPr>
            </w:pPr>
            <w:r w:rsidRPr="002D2F67">
              <w:rPr>
                <w:rFonts w:ascii="Arial" w:hAnsi="Arial" w:cs="Arial"/>
                <w:b/>
                <w:bCs/>
                <w:color w:val="000000"/>
                <w:sz w:val="20"/>
                <w:szCs w:val="20"/>
              </w:rPr>
              <w:t>Total</w:t>
            </w:r>
          </w:p>
        </w:tc>
      </w:tr>
      <w:tr w:rsidR="0004779D" w:rsidRPr="002D2F67" w14:paraId="64CE9E94" w14:textId="77777777" w:rsidTr="002D2F67">
        <w:tc>
          <w:tcPr>
            <w:tcW w:w="1684" w:type="pct"/>
            <w:shd w:val="clear" w:color="auto" w:fill="auto"/>
            <w:vAlign w:val="bottom"/>
          </w:tcPr>
          <w:p w14:paraId="55EB1E7D" w14:textId="77777777" w:rsidR="0004779D" w:rsidRPr="002D2F67" w:rsidRDefault="0004779D" w:rsidP="005611FE">
            <w:pPr>
              <w:ind w:left="27"/>
              <w:rPr>
                <w:rFonts w:ascii="Arial" w:hAnsi="Arial" w:cs="Arial"/>
                <w:color w:val="000000"/>
                <w:sz w:val="20"/>
                <w:szCs w:val="20"/>
              </w:rPr>
            </w:pPr>
          </w:p>
        </w:tc>
        <w:tc>
          <w:tcPr>
            <w:tcW w:w="474" w:type="pct"/>
            <w:tcBorders>
              <w:bottom w:val="single" w:sz="4" w:space="0" w:color="auto"/>
            </w:tcBorders>
            <w:shd w:val="clear" w:color="auto" w:fill="auto"/>
            <w:vAlign w:val="bottom"/>
          </w:tcPr>
          <w:p w14:paraId="37FD8032" w14:textId="6144429E" w:rsidR="0004779D" w:rsidRPr="002D2F67" w:rsidRDefault="0004779D"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474" w:type="pct"/>
            <w:tcBorders>
              <w:bottom w:val="single" w:sz="4" w:space="0" w:color="auto"/>
            </w:tcBorders>
            <w:shd w:val="clear" w:color="auto" w:fill="auto"/>
            <w:vAlign w:val="bottom"/>
          </w:tcPr>
          <w:p w14:paraId="132BCF64" w14:textId="2327860B" w:rsidR="0004779D" w:rsidRPr="002D2F67" w:rsidRDefault="0004779D"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474" w:type="pct"/>
            <w:tcBorders>
              <w:bottom w:val="single" w:sz="4" w:space="0" w:color="auto"/>
            </w:tcBorders>
            <w:shd w:val="clear" w:color="auto" w:fill="auto"/>
            <w:vAlign w:val="bottom"/>
          </w:tcPr>
          <w:p w14:paraId="12BFDEE9" w14:textId="6F75E1AA" w:rsidR="0004779D" w:rsidRPr="002D2F67" w:rsidRDefault="0004779D"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474" w:type="pct"/>
            <w:tcBorders>
              <w:bottom w:val="single" w:sz="4" w:space="0" w:color="auto"/>
            </w:tcBorders>
            <w:shd w:val="clear" w:color="auto" w:fill="auto"/>
            <w:vAlign w:val="bottom"/>
          </w:tcPr>
          <w:p w14:paraId="65D7513B" w14:textId="74DD33DA" w:rsidR="0004779D" w:rsidRPr="002D2F67" w:rsidRDefault="0004779D"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474" w:type="pct"/>
            <w:tcBorders>
              <w:bottom w:val="single" w:sz="4" w:space="0" w:color="auto"/>
            </w:tcBorders>
            <w:shd w:val="clear" w:color="auto" w:fill="auto"/>
            <w:vAlign w:val="bottom"/>
          </w:tcPr>
          <w:p w14:paraId="1054344E" w14:textId="6046C857" w:rsidR="0004779D" w:rsidRPr="002D2F67" w:rsidRDefault="0004779D"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474" w:type="pct"/>
            <w:tcBorders>
              <w:bottom w:val="single" w:sz="4" w:space="0" w:color="auto"/>
            </w:tcBorders>
            <w:shd w:val="clear" w:color="auto" w:fill="auto"/>
            <w:vAlign w:val="bottom"/>
          </w:tcPr>
          <w:p w14:paraId="09674F15" w14:textId="79CCBF48" w:rsidR="0004779D" w:rsidRPr="002D2F67" w:rsidRDefault="0004779D"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472" w:type="pct"/>
            <w:tcBorders>
              <w:bottom w:val="single" w:sz="4" w:space="0" w:color="auto"/>
            </w:tcBorders>
            <w:shd w:val="clear" w:color="auto" w:fill="auto"/>
            <w:vAlign w:val="bottom"/>
          </w:tcPr>
          <w:p w14:paraId="5B519BB0" w14:textId="6BA8A6A7" w:rsidR="0004779D" w:rsidRPr="002D2F67" w:rsidRDefault="0004779D"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04779D" w:rsidRPr="002D2F67" w14:paraId="1D1562EE" w14:textId="77777777" w:rsidTr="002D2F67">
        <w:tc>
          <w:tcPr>
            <w:tcW w:w="1684" w:type="pct"/>
            <w:shd w:val="clear" w:color="auto" w:fill="auto"/>
            <w:vAlign w:val="bottom"/>
          </w:tcPr>
          <w:p w14:paraId="65A68654" w14:textId="77777777" w:rsidR="0004779D" w:rsidRPr="002D2F67" w:rsidRDefault="0004779D" w:rsidP="005611FE">
            <w:pPr>
              <w:ind w:left="27"/>
              <w:rPr>
                <w:rFonts w:ascii="Arial" w:hAnsi="Arial" w:cs="Arial"/>
                <w:b/>
                <w:bCs/>
                <w:color w:val="000000"/>
                <w:sz w:val="20"/>
                <w:szCs w:val="20"/>
              </w:rPr>
            </w:pPr>
          </w:p>
        </w:tc>
        <w:tc>
          <w:tcPr>
            <w:tcW w:w="474" w:type="pct"/>
            <w:tcBorders>
              <w:top w:val="single" w:sz="4" w:space="0" w:color="auto"/>
            </w:tcBorders>
            <w:shd w:val="clear" w:color="auto" w:fill="auto"/>
            <w:vAlign w:val="bottom"/>
          </w:tcPr>
          <w:p w14:paraId="407C3A4E"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78D58A7D"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332EDA8B"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2782C729"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5F1F405E"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4CF53322" w14:textId="77777777" w:rsidR="0004779D" w:rsidRPr="002D2F67" w:rsidRDefault="0004779D" w:rsidP="005611FE">
            <w:pPr>
              <w:ind w:right="-72"/>
              <w:jc w:val="right"/>
              <w:rPr>
                <w:rFonts w:ascii="Arial" w:hAnsi="Arial" w:cs="Arial"/>
                <w:color w:val="000000"/>
                <w:sz w:val="20"/>
                <w:szCs w:val="20"/>
              </w:rPr>
            </w:pPr>
          </w:p>
        </w:tc>
        <w:tc>
          <w:tcPr>
            <w:tcW w:w="472" w:type="pct"/>
            <w:tcBorders>
              <w:top w:val="single" w:sz="4" w:space="0" w:color="auto"/>
            </w:tcBorders>
            <w:shd w:val="clear" w:color="auto" w:fill="auto"/>
            <w:vAlign w:val="bottom"/>
          </w:tcPr>
          <w:p w14:paraId="75B78926" w14:textId="77777777" w:rsidR="0004779D" w:rsidRPr="002D2F67" w:rsidRDefault="0004779D" w:rsidP="005611FE">
            <w:pPr>
              <w:ind w:right="-72"/>
              <w:jc w:val="right"/>
              <w:rPr>
                <w:rFonts w:ascii="Arial" w:hAnsi="Arial" w:cs="Arial"/>
                <w:color w:val="000000"/>
                <w:sz w:val="20"/>
                <w:szCs w:val="20"/>
              </w:rPr>
            </w:pPr>
          </w:p>
        </w:tc>
      </w:tr>
      <w:tr w:rsidR="0004779D" w:rsidRPr="002D2F67" w14:paraId="7F1B7709" w14:textId="77777777" w:rsidTr="002D2F67">
        <w:tc>
          <w:tcPr>
            <w:tcW w:w="1684" w:type="pct"/>
            <w:shd w:val="clear" w:color="auto" w:fill="auto"/>
            <w:vAlign w:val="bottom"/>
          </w:tcPr>
          <w:p w14:paraId="5880FC22" w14:textId="5E18ABC6" w:rsidR="0004779D" w:rsidRPr="002D2F67" w:rsidRDefault="0004779D" w:rsidP="005611FE">
            <w:pPr>
              <w:rPr>
                <w:rFonts w:ascii="Arial" w:hAnsi="Arial" w:cs="Arial"/>
                <w:b/>
                <w:bCs/>
                <w:color w:val="000000"/>
                <w:sz w:val="20"/>
                <w:szCs w:val="20"/>
              </w:rPr>
            </w:pPr>
            <w:r w:rsidRPr="002D2F67">
              <w:rPr>
                <w:rFonts w:ascii="Arial" w:hAnsi="Arial" w:cs="Arial"/>
                <w:b/>
                <w:bCs/>
                <w:color w:val="000000"/>
                <w:sz w:val="20"/>
                <w:szCs w:val="20"/>
              </w:rPr>
              <w:t xml:space="preserve">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1</w:t>
            </w:r>
            <w:r w:rsidRPr="002D2F67">
              <w:rPr>
                <w:rFonts w:ascii="Arial" w:hAnsi="Arial" w:cs="Arial"/>
                <w:b/>
                <w:bCs/>
                <w:color w:val="000000"/>
                <w:sz w:val="20"/>
                <w:szCs w:val="20"/>
              </w:rPr>
              <w:t xml:space="preserve"> January </w:t>
            </w:r>
            <w:r w:rsidR="00CD5714" w:rsidRPr="00CD5714">
              <w:rPr>
                <w:rFonts w:ascii="Arial" w:hAnsi="Arial" w:cs="Arial"/>
                <w:b/>
                <w:bCs/>
                <w:color w:val="000000"/>
                <w:sz w:val="20"/>
                <w:szCs w:val="20"/>
                <w:lang w:val="en-GB"/>
              </w:rPr>
              <w:t>2023</w:t>
            </w:r>
          </w:p>
        </w:tc>
        <w:tc>
          <w:tcPr>
            <w:tcW w:w="474" w:type="pct"/>
            <w:shd w:val="clear" w:color="auto" w:fill="auto"/>
            <w:vAlign w:val="bottom"/>
          </w:tcPr>
          <w:p w14:paraId="67557C9D" w14:textId="77777777" w:rsidR="0004779D" w:rsidRPr="002D2F67" w:rsidRDefault="0004779D" w:rsidP="005611FE">
            <w:pPr>
              <w:ind w:right="-72"/>
              <w:jc w:val="right"/>
              <w:rPr>
                <w:rFonts w:ascii="Arial" w:hAnsi="Arial" w:cs="Arial"/>
                <w:color w:val="000000"/>
                <w:sz w:val="20"/>
                <w:szCs w:val="20"/>
              </w:rPr>
            </w:pPr>
          </w:p>
        </w:tc>
        <w:tc>
          <w:tcPr>
            <w:tcW w:w="474" w:type="pct"/>
            <w:shd w:val="clear" w:color="auto" w:fill="auto"/>
            <w:vAlign w:val="bottom"/>
          </w:tcPr>
          <w:p w14:paraId="559A9230" w14:textId="77777777" w:rsidR="0004779D" w:rsidRPr="002D2F67" w:rsidRDefault="0004779D" w:rsidP="005611FE">
            <w:pPr>
              <w:ind w:right="-72"/>
              <w:jc w:val="right"/>
              <w:rPr>
                <w:rFonts w:ascii="Arial" w:hAnsi="Arial" w:cs="Arial"/>
                <w:color w:val="000000"/>
                <w:sz w:val="20"/>
                <w:szCs w:val="20"/>
              </w:rPr>
            </w:pPr>
          </w:p>
        </w:tc>
        <w:tc>
          <w:tcPr>
            <w:tcW w:w="474" w:type="pct"/>
            <w:shd w:val="clear" w:color="auto" w:fill="auto"/>
            <w:vAlign w:val="bottom"/>
          </w:tcPr>
          <w:p w14:paraId="25E71EA5" w14:textId="77777777" w:rsidR="0004779D" w:rsidRPr="002D2F67" w:rsidRDefault="0004779D" w:rsidP="005611FE">
            <w:pPr>
              <w:ind w:right="-72"/>
              <w:jc w:val="right"/>
              <w:rPr>
                <w:rFonts w:ascii="Arial" w:hAnsi="Arial" w:cs="Arial"/>
                <w:color w:val="000000"/>
                <w:sz w:val="20"/>
                <w:szCs w:val="20"/>
              </w:rPr>
            </w:pPr>
          </w:p>
        </w:tc>
        <w:tc>
          <w:tcPr>
            <w:tcW w:w="474" w:type="pct"/>
            <w:shd w:val="clear" w:color="auto" w:fill="auto"/>
            <w:vAlign w:val="bottom"/>
          </w:tcPr>
          <w:p w14:paraId="2E8F664D" w14:textId="77777777" w:rsidR="0004779D" w:rsidRPr="002D2F67" w:rsidRDefault="0004779D" w:rsidP="005611FE">
            <w:pPr>
              <w:ind w:right="-72"/>
              <w:jc w:val="right"/>
              <w:rPr>
                <w:rFonts w:ascii="Arial" w:hAnsi="Arial" w:cs="Arial"/>
                <w:color w:val="000000"/>
                <w:sz w:val="20"/>
                <w:szCs w:val="20"/>
              </w:rPr>
            </w:pPr>
          </w:p>
        </w:tc>
        <w:tc>
          <w:tcPr>
            <w:tcW w:w="474" w:type="pct"/>
            <w:shd w:val="clear" w:color="auto" w:fill="auto"/>
            <w:vAlign w:val="bottom"/>
          </w:tcPr>
          <w:p w14:paraId="4E5460F4" w14:textId="77777777" w:rsidR="0004779D" w:rsidRPr="002D2F67" w:rsidRDefault="0004779D" w:rsidP="005611FE">
            <w:pPr>
              <w:ind w:right="-72"/>
              <w:jc w:val="right"/>
              <w:rPr>
                <w:rFonts w:ascii="Arial" w:hAnsi="Arial" w:cs="Arial"/>
                <w:color w:val="000000"/>
                <w:sz w:val="20"/>
                <w:szCs w:val="20"/>
              </w:rPr>
            </w:pPr>
          </w:p>
        </w:tc>
        <w:tc>
          <w:tcPr>
            <w:tcW w:w="474" w:type="pct"/>
            <w:shd w:val="clear" w:color="auto" w:fill="auto"/>
            <w:vAlign w:val="bottom"/>
          </w:tcPr>
          <w:p w14:paraId="16184756" w14:textId="77777777" w:rsidR="0004779D" w:rsidRPr="002D2F67" w:rsidRDefault="0004779D" w:rsidP="005611FE">
            <w:pPr>
              <w:ind w:right="-72"/>
              <w:jc w:val="right"/>
              <w:rPr>
                <w:rFonts w:ascii="Arial" w:hAnsi="Arial" w:cs="Arial"/>
                <w:color w:val="000000"/>
                <w:sz w:val="20"/>
                <w:szCs w:val="20"/>
              </w:rPr>
            </w:pPr>
          </w:p>
        </w:tc>
        <w:tc>
          <w:tcPr>
            <w:tcW w:w="472" w:type="pct"/>
            <w:shd w:val="clear" w:color="auto" w:fill="auto"/>
            <w:vAlign w:val="bottom"/>
          </w:tcPr>
          <w:p w14:paraId="3C7567CA" w14:textId="77777777" w:rsidR="0004779D" w:rsidRPr="002D2F67" w:rsidRDefault="0004779D" w:rsidP="005611FE">
            <w:pPr>
              <w:ind w:right="-72"/>
              <w:jc w:val="right"/>
              <w:rPr>
                <w:rFonts w:ascii="Arial" w:hAnsi="Arial" w:cs="Arial"/>
                <w:color w:val="000000"/>
                <w:sz w:val="20"/>
                <w:szCs w:val="20"/>
              </w:rPr>
            </w:pPr>
          </w:p>
        </w:tc>
      </w:tr>
      <w:tr w:rsidR="0004779D" w:rsidRPr="002D2F67" w14:paraId="368DB0DE" w14:textId="77777777" w:rsidTr="002D2F67">
        <w:tc>
          <w:tcPr>
            <w:tcW w:w="1684" w:type="pct"/>
            <w:shd w:val="clear" w:color="auto" w:fill="auto"/>
            <w:vAlign w:val="bottom"/>
          </w:tcPr>
          <w:p w14:paraId="5BB29F7C" w14:textId="77777777" w:rsidR="0004779D" w:rsidRPr="002D2F67" w:rsidRDefault="0004779D" w:rsidP="005611FE">
            <w:pPr>
              <w:jc w:val="both"/>
              <w:rPr>
                <w:rFonts w:ascii="Arial" w:hAnsi="Arial" w:cs="Arial"/>
                <w:color w:val="000000"/>
                <w:sz w:val="20"/>
                <w:szCs w:val="20"/>
              </w:rPr>
            </w:pPr>
            <w:r w:rsidRPr="002D2F67">
              <w:rPr>
                <w:rFonts w:ascii="Arial" w:hAnsi="Arial" w:cs="Arial"/>
                <w:color w:val="000000"/>
                <w:sz w:val="20"/>
                <w:szCs w:val="20"/>
              </w:rPr>
              <w:t>Cost</w:t>
            </w:r>
          </w:p>
        </w:tc>
        <w:tc>
          <w:tcPr>
            <w:tcW w:w="474" w:type="pct"/>
            <w:shd w:val="clear" w:color="auto" w:fill="auto"/>
            <w:vAlign w:val="bottom"/>
          </w:tcPr>
          <w:p w14:paraId="6E9D44C4" w14:textId="17ABB020"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857</w:t>
            </w:r>
            <w:r w:rsidR="0004779D" w:rsidRPr="002D2F67">
              <w:rPr>
                <w:rFonts w:ascii="Arial" w:hAnsi="Arial" w:cs="Arial"/>
                <w:color w:val="000000"/>
                <w:sz w:val="20"/>
                <w:szCs w:val="20"/>
              </w:rPr>
              <w:t>,</w:t>
            </w:r>
            <w:r w:rsidRPr="00CD5714">
              <w:rPr>
                <w:rFonts w:ascii="Arial" w:hAnsi="Arial" w:cs="Arial"/>
                <w:color w:val="000000"/>
                <w:sz w:val="20"/>
                <w:szCs w:val="20"/>
                <w:lang w:val="en-GB"/>
              </w:rPr>
              <w:t>968</w:t>
            </w:r>
          </w:p>
        </w:tc>
        <w:tc>
          <w:tcPr>
            <w:tcW w:w="474" w:type="pct"/>
            <w:shd w:val="clear" w:color="auto" w:fill="auto"/>
            <w:vAlign w:val="bottom"/>
          </w:tcPr>
          <w:p w14:paraId="2264028C" w14:textId="08FDC017"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291</w:t>
            </w:r>
            <w:r w:rsidR="0004779D" w:rsidRPr="002D2F67">
              <w:rPr>
                <w:rFonts w:ascii="Arial" w:hAnsi="Arial" w:cs="Arial"/>
                <w:color w:val="000000"/>
                <w:sz w:val="20"/>
                <w:szCs w:val="20"/>
              </w:rPr>
              <w:t>,</w:t>
            </w:r>
            <w:r w:rsidRPr="00CD5714">
              <w:rPr>
                <w:rFonts w:ascii="Arial" w:hAnsi="Arial" w:cs="Arial"/>
                <w:color w:val="000000"/>
                <w:sz w:val="20"/>
                <w:szCs w:val="20"/>
                <w:lang w:val="en-GB"/>
              </w:rPr>
              <w:t>695</w:t>
            </w:r>
          </w:p>
        </w:tc>
        <w:tc>
          <w:tcPr>
            <w:tcW w:w="474" w:type="pct"/>
            <w:shd w:val="clear" w:color="auto" w:fill="auto"/>
            <w:vAlign w:val="bottom"/>
          </w:tcPr>
          <w:p w14:paraId="71C28BB3" w14:textId="03472016"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04779D" w:rsidRPr="002D2F67">
              <w:rPr>
                <w:rFonts w:ascii="Arial" w:hAnsi="Arial" w:cs="Arial"/>
                <w:color w:val="000000"/>
                <w:sz w:val="20"/>
                <w:szCs w:val="20"/>
              </w:rPr>
              <w:t>,</w:t>
            </w:r>
            <w:r w:rsidRPr="00CD5714">
              <w:rPr>
                <w:rFonts w:ascii="Arial" w:hAnsi="Arial" w:cs="Arial"/>
                <w:color w:val="000000"/>
                <w:sz w:val="20"/>
                <w:szCs w:val="20"/>
                <w:lang w:val="en-GB"/>
              </w:rPr>
              <w:t>909</w:t>
            </w:r>
            <w:r w:rsidR="0004779D" w:rsidRPr="002D2F67">
              <w:rPr>
                <w:rFonts w:ascii="Arial" w:hAnsi="Arial" w:cs="Arial"/>
                <w:color w:val="000000"/>
                <w:sz w:val="20"/>
                <w:szCs w:val="20"/>
              </w:rPr>
              <w:t>,</w:t>
            </w:r>
            <w:r w:rsidRPr="00CD5714">
              <w:rPr>
                <w:rFonts w:ascii="Arial" w:hAnsi="Arial" w:cs="Arial"/>
                <w:color w:val="000000"/>
                <w:sz w:val="20"/>
                <w:szCs w:val="20"/>
                <w:lang w:val="en-GB"/>
              </w:rPr>
              <w:t>028</w:t>
            </w:r>
          </w:p>
        </w:tc>
        <w:tc>
          <w:tcPr>
            <w:tcW w:w="474" w:type="pct"/>
            <w:shd w:val="clear" w:color="auto" w:fill="auto"/>
            <w:vAlign w:val="bottom"/>
          </w:tcPr>
          <w:p w14:paraId="4F763FDF" w14:textId="4FBB8CB3"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42</w:t>
            </w:r>
            <w:r w:rsidR="0004779D" w:rsidRPr="002D2F67">
              <w:rPr>
                <w:rFonts w:ascii="Arial" w:hAnsi="Arial" w:cs="Arial"/>
                <w:color w:val="000000"/>
                <w:sz w:val="20"/>
                <w:szCs w:val="20"/>
              </w:rPr>
              <w:t>,</w:t>
            </w:r>
            <w:r w:rsidRPr="00CD5714">
              <w:rPr>
                <w:rFonts w:ascii="Arial" w:hAnsi="Arial" w:cs="Arial"/>
                <w:color w:val="000000"/>
                <w:sz w:val="20"/>
                <w:szCs w:val="20"/>
                <w:lang w:val="en-GB"/>
              </w:rPr>
              <w:t>461</w:t>
            </w:r>
          </w:p>
        </w:tc>
        <w:tc>
          <w:tcPr>
            <w:tcW w:w="474" w:type="pct"/>
            <w:shd w:val="clear" w:color="auto" w:fill="auto"/>
            <w:vAlign w:val="bottom"/>
          </w:tcPr>
          <w:p w14:paraId="067D32F2" w14:textId="6FC5230A"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116</w:t>
            </w:r>
            <w:r w:rsidR="0004779D" w:rsidRPr="002D2F67">
              <w:rPr>
                <w:rFonts w:ascii="Arial" w:hAnsi="Arial" w:cs="Arial"/>
                <w:color w:val="000000"/>
                <w:sz w:val="20"/>
                <w:szCs w:val="20"/>
              </w:rPr>
              <w:t>,</w:t>
            </w:r>
            <w:r w:rsidRPr="00CD5714">
              <w:rPr>
                <w:rFonts w:ascii="Arial" w:hAnsi="Arial" w:cs="Arial"/>
                <w:color w:val="000000"/>
                <w:sz w:val="20"/>
                <w:szCs w:val="20"/>
                <w:lang w:val="en-GB"/>
              </w:rPr>
              <w:t>860</w:t>
            </w:r>
          </w:p>
        </w:tc>
        <w:tc>
          <w:tcPr>
            <w:tcW w:w="474" w:type="pct"/>
            <w:shd w:val="clear" w:color="auto" w:fill="auto"/>
            <w:vAlign w:val="bottom"/>
          </w:tcPr>
          <w:p w14:paraId="0C1814BB" w14:textId="51A4D94C"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197</w:t>
            </w:r>
            <w:r w:rsidR="0004779D" w:rsidRPr="002D2F67">
              <w:rPr>
                <w:rFonts w:ascii="Arial" w:hAnsi="Arial" w:cs="Arial"/>
                <w:color w:val="000000"/>
                <w:sz w:val="20"/>
                <w:szCs w:val="20"/>
              </w:rPr>
              <w:t>,</w:t>
            </w:r>
            <w:r w:rsidRPr="00CD5714">
              <w:rPr>
                <w:rFonts w:ascii="Arial" w:hAnsi="Arial" w:cs="Arial"/>
                <w:color w:val="000000"/>
                <w:sz w:val="20"/>
                <w:szCs w:val="20"/>
                <w:lang w:val="en-GB"/>
              </w:rPr>
              <w:t>952</w:t>
            </w:r>
          </w:p>
        </w:tc>
        <w:tc>
          <w:tcPr>
            <w:tcW w:w="472" w:type="pct"/>
            <w:shd w:val="clear" w:color="auto" w:fill="auto"/>
            <w:vAlign w:val="bottom"/>
          </w:tcPr>
          <w:p w14:paraId="12E000DC" w14:textId="40222885"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w:t>
            </w:r>
            <w:r w:rsidR="0004779D" w:rsidRPr="002D2F67">
              <w:rPr>
                <w:rFonts w:ascii="Arial" w:hAnsi="Arial" w:cs="Arial"/>
                <w:color w:val="000000"/>
                <w:sz w:val="20"/>
                <w:szCs w:val="20"/>
              </w:rPr>
              <w:t>,</w:t>
            </w:r>
            <w:r w:rsidRPr="00CD5714">
              <w:rPr>
                <w:rFonts w:ascii="Arial" w:hAnsi="Arial" w:cs="Arial"/>
                <w:color w:val="000000"/>
                <w:sz w:val="20"/>
                <w:szCs w:val="20"/>
                <w:lang w:val="en-GB"/>
              </w:rPr>
              <w:t>415</w:t>
            </w:r>
            <w:r w:rsidR="0004779D" w:rsidRPr="002D2F67">
              <w:rPr>
                <w:rFonts w:ascii="Arial" w:hAnsi="Arial" w:cs="Arial"/>
                <w:color w:val="000000"/>
                <w:sz w:val="20"/>
                <w:szCs w:val="20"/>
              </w:rPr>
              <w:t>,</w:t>
            </w:r>
            <w:r w:rsidRPr="00CD5714">
              <w:rPr>
                <w:rFonts w:ascii="Arial" w:hAnsi="Arial" w:cs="Arial"/>
                <w:color w:val="000000"/>
                <w:sz w:val="20"/>
                <w:szCs w:val="20"/>
                <w:lang w:val="en-GB"/>
              </w:rPr>
              <w:t>964</w:t>
            </w:r>
          </w:p>
        </w:tc>
      </w:tr>
      <w:tr w:rsidR="0004779D" w:rsidRPr="002D2F67" w14:paraId="3EC8647F" w14:textId="77777777" w:rsidTr="002D2F67">
        <w:tc>
          <w:tcPr>
            <w:tcW w:w="1684" w:type="pct"/>
            <w:shd w:val="clear" w:color="auto" w:fill="auto"/>
            <w:vAlign w:val="bottom"/>
          </w:tcPr>
          <w:p w14:paraId="74C71048" w14:textId="77777777" w:rsidR="0004779D" w:rsidRPr="002D2F67" w:rsidRDefault="0004779D" w:rsidP="005611FE">
            <w:pPr>
              <w:jc w:val="both"/>
              <w:rPr>
                <w:rFonts w:ascii="Arial" w:hAnsi="Arial" w:cs="Arial"/>
                <w:color w:val="000000"/>
                <w:sz w:val="20"/>
                <w:szCs w:val="20"/>
              </w:rPr>
            </w:pPr>
            <w:r w:rsidRPr="002D2F67">
              <w:rPr>
                <w:rFonts w:ascii="Arial" w:hAnsi="Arial" w:cs="Arial"/>
                <w:color w:val="000000"/>
                <w:sz w:val="20"/>
                <w:szCs w:val="20"/>
                <w:u w:val="single"/>
              </w:rPr>
              <w:t>Less</w:t>
            </w:r>
            <w:r w:rsidRPr="002D2F67">
              <w:rPr>
                <w:rFonts w:ascii="Arial" w:hAnsi="Arial" w:cs="Arial"/>
                <w:color w:val="000000"/>
                <w:sz w:val="20"/>
                <w:szCs w:val="20"/>
              </w:rPr>
              <w:t xml:space="preserve">  Accumulated amortisation</w:t>
            </w:r>
          </w:p>
        </w:tc>
        <w:tc>
          <w:tcPr>
            <w:tcW w:w="474" w:type="pct"/>
            <w:tcBorders>
              <w:bottom w:val="single" w:sz="4" w:space="0" w:color="auto"/>
            </w:tcBorders>
            <w:shd w:val="clear" w:color="auto" w:fill="auto"/>
            <w:vAlign w:val="bottom"/>
          </w:tcPr>
          <w:p w14:paraId="13C89FFB" w14:textId="087D5B61" w:rsidR="0004779D" w:rsidRPr="002D2F67" w:rsidRDefault="0004779D"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221</w:t>
            </w:r>
            <w:r w:rsidRPr="002D2F67">
              <w:rPr>
                <w:rFonts w:ascii="Arial" w:hAnsi="Arial" w:cs="Arial"/>
                <w:color w:val="000000"/>
                <w:sz w:val="20"/>
                <w:szCs w:val="20"/>
              </w:rPr>
              <w:t>,</w:t>
            </w:r>
            <w:r w:rsidR="00CD5714" w:rsidRPr="00CD5714">
              <w:rPr>
                <w:rFonts w:ascii="Arial" w:hAnsi="Arial" w:cs="Arial"/>
                <w:color w:val="000000"/>
                <w:sz w:val="20"/>
                <w:szCs w:val="20"/>
                <w:lang w:val="en-GB"/>
              </w:rPr>
              <w:t>067</w:t>
            </w:r>
            <w:r w:rsidRPr="002D2F67">
              <w:rPr>
                <w:rFonts w:ascii="Arial" w:hAnsi="Arial" w:cs="Arial"/>
                <w:color w:val="000000"/>
                <w:sz w:val="20"/>
                <w:szCs w:val="20"/>
              </w:rPr>
              <w:t>)</w:t>
            </w:r>
          </w:p>
        </w:tc>
        <w:tc>
          <w:tcPr>
            <w:tcW w:w="474" w:type="pct"/>
            <w:tcBorders>
              <w:bottom w:val="single" w:sz="4" w:space="0" w:color="auto"/>
            </w:tcBorders>
            <w:shd w:val="clear" w:color="auto" w:fill="auto"/>
            <w:vAlign w:val="bottom"/>
          </w:tcPr>
          <w:p w14:paraId="12AE238C" w14:textId="1B25F66E" w:rsidR="0004779D" w:rsidRPr="002D2F67" w:rsidRDefault="0004779D"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75</w:t>
            </w:r>
            <w:r w:rsidRPr="002D2F67">
              <w:rPr>
                <w:rFonts w:ascii="Arial" w:hAnsi="Arial" w:cs="Arial"/>
                <w:color w:val="000000"/>
                <w:sz w:val="20"/>
                <w:szCs w:val="20"/>
              </w:rPr>
              <w:t>,</w:t>
            </w:r>
            <w:r w:rsidR="00CD5714" w:rsidRPr="00CD5714">
              <w:rPr>
                <w:rFonts w:ascii="Arial" w:hAnsi="Arial" w:cs="Arial"/>
                <w:color w:val="000000"/>
                <w:sz w:val="20"/>
                <w:szCs w:val="20"/>
                <w:lang w:val="en-GB"/>
              </w:rPr>
              <w:t>401</w:t>
            </w:r>
            <w:r w:rsidRPr="002D2F67">
              <w:rPr>
                <w:rFonts w:ascii="Arial" w:hAnsi="Arial" w:cs="Arial"/>
                <w:color w:val="000000"/>
                <w:sz w:val="20"/>
                <w:szCs w:val="20"/>
              </w:rPr>
              <w:t>)</w:t>
            </w:r>
          </w:p>
        </w:tc>
        <w:tc>
          <w:tcPr>
            <w:tcW w:w="474" w:type="pct"/>
            <w:tcBorders>
              <w:bottom w:val="single" w:sz="4" w:space="0" w:color="auto"/>
            </w:tcBorders>
            <w:shd w:val="clear" w:color="auto" w:fill="auto"/>
            <w:vAlign w:val="bottom"/>
          </w:tcPr>
          <w:p w14:paraId="3D9670A6" w14:textId="00A838F5" w:rsidR="0004779D" w:rsidRPr="002D2F67" w:rsidRDefault="0004779D"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423</w:t>
            </w:r>
            <w:r w:rsidRPr="002D2F67">
              <w:rPr>
                <w:rFonts w:ascii="Arial" w:hAnsi="Arial" w:cs="Arial"/>
                <w:color w:val="000000"/>
                <w:sz w:val="20"/>
                <w:szCs w:val="20"/>
              </w:rPr>
              <w:t>,</w:t>
            </w:r>
            <w:r w:rsidR="00CD5714" w:rsidRPr="00CD5714">
              <w:rPr>
                <w:rFonts w:ascii="Arial" w:hAnsi="Arial" w:cs="Arial"/>
                <w:color w:val="000000"/>
                <w:sz w:val="20"/>
                <w:szCs w:val="20"/>
                <w:lang w:val="en-GB"/>
              </w:rPr>
              <w:t>248</w:t>
            </w:r>
            <w:r w:rsidRPr="002D2F67">
              <w:rPr>
                <w:rFonts w:ascii="Arial" w:hAnsi="Arial" w:cs="Arial"/>
                <w:color w:val="000000"/>
                <w:sz w:val="20"/>
                <w:szCs w:val="20"/>
              </w:rPr>
              <w:t>)</w:t>
            </w:r>
          </w:p>
        </w:tc>
        <w:tc>
          <w:tcPr>
            <w:tcW w:w="474" w:type="pct"/>
            <w:tcBorders>
              <w:bottom w:val="single" w:sz="4" w:space="0" w:color="auto"/>
            </w:tcBorders>
            <w:shd w:val="clear" w:color="auto" w:fill="auto"/>
            <w:vAlign w:val="bottom"/>
          </w:tcPr>
          <w:p w14:paraId="4F6C7263" w14:textId="2D6DF8B8"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17</w:t>
            </w:r>
            <w:r w:rsidRPr="002D2F67">
              <w:rPr>
                <w:rFonts w:ascii="Arial" w:hAnsi="Arial" w:cs="Arial"/>
                <w:color w:val="000000"/>
                <w:sz w:val="20"/>
                <w:szCs w:val="20"/>
              </w:rPr>
              <w:t>,</w:t>
            </w:r>
            <w:r w:rsidR="00CD5714" w:rsidRPr="00CD5714">
              <w:rPr>
                <w:rFonts w:ascii="Arial" w:hAnsi="Arial" w:cs="Arial"/>
                <w:color w:val="000000"/>
                <w:sz w:val="20"/>
                <w:szCs w:val="20"/>
                <w:lang w:val="en-GB"/>
              </w:rPr>
              <w:t>332</w:t>
            </w:r>
            <w:r w:rsidRPr="002D2F67">
              <w:rPr>
                <w:rFonts w:ascii="Arial" w:hAnsi="Arial" w:cs="Arial"/>
                <w:color w:val="000000"/>
                <w:sz w:val="20"/>
                <w:szCs w:val="20"/>
              </w:rPr>
              <w:t>)</w:t>
            </w:r>
          </w:p>
        </w:tc>
        <w:tc>
          <w:tcPr>
            <w:tcW w:w="474" w:type="pct"/>
            <w:tcBorders>
              <w:bottom w:val="single" w:sz="4" w:space="0" w:color="auto"/>
            </w:tcBorders>
            <w:shd w:val="clear" w:color="auto" w:fill="auto"/>
            <w:vAlign w:val="bottom"/>
          </w:tcPr>
          <w:p w14:paraId="0E6D10E4" w14:textId="42FF50B4"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50</w:t>
            </w:r>
            <w:r w:rsidRPr="002D2F67">
              <w:rPr>
                <w:rFonts w:ascii="Arial" w:hAnsi="Arial" w:cs="Arial"/>
                <w:color w:val="000000"/>
                <w:sz w:val="20"/>
                <w:szCs w:val="20"/>
              </w:rPr>
              <w:t>,</w:t>
            </w:r>
            <w:r w:rsidR="00CD5714" w:rsidRPr="00CD5714">
              <w:rPr>
                <w:rFonts w:ascii="Arial" w:hAnsi="Arial" w:cs="Arial"/>
                <w:color w:val="000000"/>
                <w:sz w:val="20"/>
                <w:szCs w:val="20"/>
                <w:lang w:val="en-GB"/>
              </w:rPr>
              <w:t>565</w:t>
            </w:r>
            <w:r w:rsidRPr="002D2F67">
              <w:rPr>
                <w:rFonts w:ascii="Arial" w:hAnsi="Arial" w:cs="Arial"/>
                <w:color w:val="000000"/>
                <w:sz w:val="20"/>
                <w:szCs w:val="20"/>
              </w:rPr>
              <w:t>)</w:t>
            </w:r>
          </w:p>
        </w:tc>
        <w:tc>
          <w:tcPr>
            <w:tcW w:w="474" w:type="pct"/>
            <w:tcBorders>
              <w:bottom w:val="single" w:sz="4" w:space="0" w:color="auto"/>
            </w:tcBorders>
            <w:shd w:val="clear" w:color="auto" w:fill="auto"/>
            <w:vAlign w:val="bottom"/>
          </w:tcPr>
          <w:p w14:paraId="092DB4E7" w14:textId="77777777"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2" w:type="pct"/>
            <w:tcBorders>
              <w:bottom w:val="single" w:sz="4" w:space="0" w:color="auto"/>
            </w:tcBorders>
            <w:shd w:val="clear" w:color="auto" w:fill="auto"/>
            <w:vAlign w:val="bottom"/>
          </w:tcPr>
          <w:p w14:paraId="3981ACA1" w14:textId="4FB374ED"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787</w:t>
            </w:r>
            <w:r w:rsidRPr="002D2F67">
              <w:rPr>
                <w:rFonts w:ascii="Arial" w:hAnsi="Arial" w:cs="Arial"/>
                <w:color w:val="000000"/>
                <w:sz w:val="20"/>
                <w:szCs w:val="20"/>
              </w:rPr>
              <w:t>,</w:t>
            </w:r>
            <w:r w:rsidR="00CD5714" w:rsidRPr="00CD5714">
              <w:rPr>
                <w:rFonts w:ascii="Arial" w:hAnsi="Arial" w:cs="Arial"/>
                <w:color w:val="000000"/>
                <w:sz w:val="20"/>
                <w:szCs w:val="20"/>
                <w:lang w:val="en-GB"/>
              </w:rPr>
              <w:t>613</w:t>
            </w:r>
            <w:r w:rsidRPr="002D2F67">
              <w:rPr>
                <w:rFonts w:ascii="Arial" w:hAnsi="Arial" w:cs="Arial"/>
                <w:color w:val="000000"/>
                <w:sz w:val="20"/>
                <w:szCs w:val="20"/>
              </w:rPr>
              <w:t>)</w:t>
            </w:r>
          </w:p>
        </w:tc>
      </w:tr>
      <w:tr w:rsidR="0004779D" w:rsidRPr="002D2F67" w14:paraId="0E85E28C" w14:textId="77777777" w:rsidTr="002D2F67">
        <w:tc>
          <w:tcPr>
            <w:tcW w:w="1684" w:type="pct"/>
            <w:shd w:val="clear" w:color="auto" w:fill="auto"/>
            <w:vAlign w:val="bottom"/>
          </w:tcPr>
          <w:p w14:paraId="28C424F8" w14:textId="77777777" w:rsidR="0004779D" w:rsidRPr="002D2F67" w:rsidRDefault="0004779D" w:rsidP="005611FE">
            <w:pPr>
              <w:rPr>
                <w:rFonts w:ascii="Arial" w:hAnsi="Arial" w:cs="Arial"/>
                <w:color w:val="000000"/>
                <w:sz w:val="20"/>
                <w:szCs w:val="20"/>
              </w:rPr>
            </w:pPr>
          </w:p>
        </w:tc>
        <w:tc>
          <w:tcPr>
            <w:tcW w:w="474" w:type="pct"/>
            <w:tcBorders>
              <w:top w:val="single" w:sz="4" w:space="0" w:color="auto"/>
            </w:tcBorders>
            <w:shd w:val="clear" w:color="auto" w:fill="auto"/>
            <w:vAlign w:val="bottom"/>
          </w:tcPr>
          <w:p w14:paraId="07CB06DA"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12D29AFC"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34907B75"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25DCFD0A"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29E431B1"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32530A99" w14:textId="77777777" w:rsidR="0004779D" w:rsidRPr="002D2F67" w:rsidRDefault="0004779D" w:rsidP="005611FE">
            <w:pPr>
              <w:ind w:right="-72"/>
              <w:jc w:val="right"/>
              <w:rPr>
                <w:rFonts w:ascii="Arial" w:hAnsi="Arial" w:cs="Arial"/>
                <w:color w:val="000000"/>
                <w:sz w:val="20"/>
                <w:szCs w:val="20"/>
              </w:rPr>
            </w:pPr>
          </w:p>
        </w:tc>
        <w:tc>
          <w:tcPr>
            <w:tcW w:w="472" w:type="pct"/>
            <w:tcBorders>
              <w:top w:val="single" w:sz="4" w:space="0" w:color="auto"/>
            </w:tcBorders>
            <w:shd w:val="clear" w:color="auto" w:fill="auto"/>
            <w:vAlign w:val="bottom"/>
          </w:tcPr>
          <w:p w14:paraId="36CA6B5F" w14:textId="77777777" w:rsidR="0004779D" w:rsidRPr="002D2F67" w:rsidRDefault="0004779D" w:rsidP="005611FE">
            <w:pPr>
              <w:ind w:right="-72"/>
              <w:jc w:val="right"/>
              <w:rPr>
                <w:rFonts w:ascii="Arial" w:hAnsi="Arial" w:cs="Arial"/>
                <w:color w:val="000000"/>
                <w:sz w:val="20"/>
                <w:szCs w:val="20"/>
              </w:rPr>
            </w:pPr>
          </w:p>
        </w:tc>
      </w:tr>
      <w:tr w:rsidR="0004779D" w:rsidRPr="002D2F67" w14:paraId="3F13F62A" w14:textId="77777777" w:rsidTr="002D2F67">
        <w:tc>
          <w:tcPr>
            <w:tcW w:w="1684" w:type="pct"/>
            <w:shd w:val="clear" w:color="auto" w:fill="auto"/>
            <w:vAlign w:val="bottom"/>
          </w:tcPr>
          <w:p w14:paraId="4150CFD4" w14:textId="77777777" w:rsidR="0004779D" w:rsidRPr="002D2F67" w:rsidRDefault="0004779D" w:rsidP="005611FE">
            <w:pPr>
              <w:jc w:val="both"/>
              <w:rPr>
                <w:rFonts w:ascii="Arial" w:hAnsi="Arial" w:cs="Arial"/>
                <w:color w:val="000000"/>
                <w:sz w:val="20"/>
                <w:szCs w:val="20"/>
              </w:rPr>
            </w:pPr>
            <w:r w:rsidRPr="002D2F67">
              <w:rPr>
                <w:rFonts w:ascii="Arial" w:hAnsi="Arial" w:cs="Arial"/>
                <w:color w:val="000000"/>
                <w:sz w:val="20"/>
                <w:szCs w:val="20"/>
              </w:rPr>
              <w:t>Net book value</w:t>
            </w:r>
          </w:p>
        </w:tc>
        <w:tc>
          <w:tcPr>
            <w:tcW w:w="474" w:type="pct"/>
            <w:tcBorders>
              <w:bottom w:val="single" w:sz="4" w:space="0" w:color="auto"/>
            </w:tcBorders>
            <w:shd w:val="clear" w:color="auto" w:fill="auto"/>
            <w:vAlign w:val="bottom"/>
          </w:tcPr>
          <w:p w14:paraId="5441CFFB" w14:textId="3EFC1515"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636</w:t>
            </w:r>
            <w:r w:rsidR="0004779D" w:rsidRPr="002D2F67">
              <w:rPr>
                <w:rFonts w:ascii="Arial" w:hAnsi="Arial" w:cs="Arial"/>
                <w:color w:val="000000"/>
                <w:sz w:val="20"/>
                <w:szCs w:val="20"/>
              </w:rPr>
              <w:t>,</w:t>
            </w:r>
            <w:r w:rsidRPr="00CD5714">
              <w:rPr>
                <w:rFonts w:ascii="Arial" w:hAnsi="Arial" w:cs="Arial"/>
                <w:color w:val="000000"/>
                <w:sz w:val="20"/>
                <w:szCs w:val="20"/>
                <w:lang w:val="en-GB"/>
              </w:rPr>
              <w:t>901</w:t>
            </w:r>
          </w:p>
        </w:tc>
        <w:tc>
          <w:tcPr>
            <w:tcW w:w="474" w:type="pct"/>
            <w:tcBorders>
              <w:bottom w:val="single" w:sz="4" w:space="0" w:color="auto"/>
            </w:tcBorders>
            <w:shd w:val="clear" w:color="auto" w:fill="auto"/>
            <w:vAlign w:val="bottom"/>
          </w:tcPr>
          <w:p w14:paraId="7BD4B376" w14:textId="08C5FDD3"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216</w:t>
            </w:r>
            <w:r w:rsidR="0004779D" w:rsidRPr="002D2F67">
              <w:rPr>
                <w:rFonts w:ascii="Arial" w:hAnsi="Arial" w:cs="Arial"/>
                <w:color w:val="000000"/>
                <w:sz w:val="20"/>
                <w:szCs w:val="20"/>
              </w:rPr>
              <w:t>,</w:t>
            </w:r>
            <w:r w:rsidRPr="00CD5714">
              <w:rPr>
                <w:rFonts w:ascii="Arial" w:hAnsi="Arial" w:cs="Arial"/>
                <w:color w:val="000000"/>
                <w:sz w:val="20"/>
                <w:szCs w:val="20"/>
                <w:lang w:val="en-GB"/>
              </w:rPr>
              <w:t>294</w:t>
            </w:r>
          </w:p>
        </w:tc>
        <w:tc>
          <w:tcPr>
            <w:tcW w:w="474" w:type="pct"/>
            <w:tcBorders>
              <w:bottom w:val="single" w:sz="4" w:space="0" w:color="auto"/>
            </w:tcBorders>
            <w:shd w:val="clear" w:color="auto" w:fill="auto"/>
            <w:vAlign w:val="bottom"/>
          </w:tcPr>
          <w:p w14:paraId="29F5A98F" w14:textId="1E383DF9"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04779D" w:rsidRPr="002D2F67">
              <w:rPr>
                <w:rFonts w:ascii="Arial" w:hAnsi="Arial" w:cs="Arial"/>
                <w:color w:val="000000"/>
                <w:sz w:val="20"/>
                <w:szCs w:val="20"/>
              </w:rPr>
              <w:t>,</w:t>
            </w:r>
            <w:r w:rsidRPr="00CD5714">
              <w:rPr>
                <w:rFonts w:ascii="Arial" w:hAnsi="Arial" w:cs="Arial"/>
                <w:color w:val="000000"/>
                <w:sz w:val="20"/>
                <w:szCs w:val="20"/>
                <w:lang w:val="en-GB"/>
              </w:rPr>
              <w:t>485</w:t>
            </w:r>
            <w:r w:rsidR="0004779D" w:rsidRPr="002D2F67">
              <w:rPr>
                <w:rFonts w:ascii="Arial" w:hAnsi="Arial" w:cs="Arial"/>
                <w:color w:val="000000"/>
                <w:sz w:val="20"/>
                <w:szCs w:val="20"/>
              </w:rPr>
              <w:t>,</w:t>
            </w:r>
            <w:r w:rsidRPr="00CD5714">
              <w:rPr>
                <w:rFonts w:ascii="Arial" w:hAnsi="Arial" w:cs="Arial"/>
                <w:color w:val="000000"/>
                <w:sz w:val="20"/>
                <w:szCs w:val="20"/>
                <w:lang w:val="en-GB"/>
              </w:rPr>
              <w:t>780</w:t>
            </w:r>
          </w:p>
        </w:tc>
        <w:tc>
          <w:tcPr>
            <w:tcW w:w="474" w:type="pct"/>
            <w:tcBorders>
              <w:bottom w:val="single" w:sz="4" w:space="0" w:color="auto"/>
            </w:tcBorders>
            <w:shd w:val="clear" w:color="auto" w:fill="auto"/>
            <w:vAlign w:val="bottom"/>
          </w:tcPr>
          <w:p w14:paraId="507697CF" w14:textId="5F1303FD"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25</w:t>
            </w:r>
            <w:r w:rsidR="0004779D" w:rsidRPr="002D2F67">
              <w:rPr>
                <w:rFonts w:ascii="Arial" w:hAnsi="Arial" w:cs="Arial"/>
                <w:color w:val="000000"/>
                <w:sz w:val="20"/>
                <w:szCs w:val="20"/>
              </w:rPr>
              <w:t>,</w:t>
            </w:r>
            <w:r w:rsidRPr="00CD5714">
              <w:rPr>
                <w:rFonts w:ascii="Arial" w:hAnsi="Arial" w:cs="Arial"/>
                <w:color w:val="000000"/>
                <w:sz w:val="20"/>
                <w:szCs w:val="20"/>
                <w:lang w:val="en-GB"/>
              </w:rPr>
              <w:t>129</w:t>
            </w:r>
          </w:p>
        </w:tc>
        <w:tc>
          <w:tcPr>
            <w:tcW w:w="474" w:type="pct"/>
            <w:tcBorders>
              <w:bottom w:val="single" w:sz="4" w:space="0" w:color="auto"/>
            </w:tcBorders>
            <w:shd w:val="clear" w:color="auto" w:fill="auto"/>
            <w:vAlign w:val="bottom"/>
          </w:tcPr>
          <w:p w14:paraId="70AAB743" w14:textId="73E43012"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66</w:t>
            </w:r>
            <w:r w:rsidR="0004779D" w:rsidRPr="002D2F67">
              <w:rPr>
                <w:rFonts w:ascii="Arial" w:hAnsi="Arial" w:cs="Arial"/>
                <w:color w:val="000000"/>
                <w:sz w:val="20"/>
                <w:szCs w:val="20"/>
              </w:rPr>
              <w:t>,</w:t>
            </w:r>
            <w:r w:rsidRPr="00CD5714">
              <w:rPr>
                <w:rFonts w:ascii="Arial" w:hAnsi="Arial" w:cs="Arial"/>
                <w:color w:val="000000"/>
                <w:sz w:val="20"/>
                <w:szCs w:val="20"/>
                <w:lang w:val="en-GB"/>
              </w:rPr>
              <w:t>295</w:t>
            </w:r>
          </w:p>
        </w:tc>
        <w:tc>
          <w:tcPr>
            <w:tcW w:w="474" w:type="pct"/>
            <w:tcBorders>
              <w:bottom w:val="single" w:sz="4" w:space="0" w:color="auto"/>
            </w:tcBorders>
            <w:shd w:val="clear" w:color="auto" w:fill="auto"/>
            <w:vAlign w:val="bottom"/>
          </w:tcPr>
          <w:p w14:paraId="60458817" w14:textId="4D11BCB6"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197</w:t>
            </w:r>
            <w:r w:rsidR="0004779D" w:rsidRPr="002D2F67">
              <w:rPr>
                <w:rFonts w:ascii="Arial" w:hAnsi="Arial" w:cs="Arial"/>
                <w:color w:val="000000"/>
                <w:sz w:val="20"/>
                <w:szCs w:val="20"/>
              </w:rPr>
              <w:t>,</w:t>
            </w:r>
            <w:r w:rsidRPr="00CD5714">
              <w:rPr>
                <w:rFonts w:ascii="Arial" w:hAnsi="Arial" w:cs="Arial"/>
                <w:color w:val="000000"/>
                <w:sz w:val="20"/>
                <w:szCs w:val="20"/>
                <w:lang w:val="en-GB"/>
              </w:rPr>
              <w:t>952</w:t>
            </w:r>
          </w:p>
        </w:tc>
        <w:tc>
          <w:tcPr>
            <w:tcW w:w="472" w:type="pct"/>
            <w:tcBorders>
              <w:bottom w:val="single" w:sz="4" w:space="0" w:color="auto"/>
            </w:tcBorders>
            <w:shd w:val="clear" w:color="auto" w:fill="auto"/>
            <w:vAlign w:val="bottom"/>
          </w:tcPr>
          <w:p w14:paraId="6682B2D8" w14:textId="2C1851D3"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w:t>
            </w:r>
            <w:r w:rsidR="0004779D" w:rsidRPr="002D2F67">
              <w:rPr>
                <w:rFonts w:ascii="Arial" w:hAnsi="Arial" w:cs="Arial"/>
                <w:color w:val="000000"/>
                <w:sz w:val="20"/>
                <w:szCs w:val="20"/>
              </w:rPr>
              <w:t>,</w:t>
            </w:r>
            <w:r w:rsidRPr="00CD5714">
              <w:rPr>
                <w:rFonts w:ascii="Arial" w:hAnsi="Arial" w:cs="Arial"/>
                <w:color w:val="000000"/>
                <w:sz w:val="20"/>
                <w:szCs w:val="20"/>
                <w:lang w:val="en-GB"/>
              </w:rPr>
              <w:t>628</w:t>
            </w:r>
            <w:r w:rsidR="0004779D" w:rsidRPr="002D2F67">
              <w:rPr>
                <w:rFonts w:ascii="Arial" w:hAnsi="Arial" w:cs="Arial"/>
                <w:color w:val="000000"/>
                <w:sz w:val="20"/>
                <w:szCs w:val="20"/>
              </w:rPr>
              <w:t>,</w:t>
            </w:r>
            <w:r w:rsidRPr="00CD5714">
              <w:rPr>
                <w:rFonts w:ascii="Arial" w:hAnsi="Arial" w:cs="Arial"/>
                <w:color w:val="000000"/>
                <w:sz w:val="20"/>
                <w:szCs w:val="20"/>
                <w:lang w:val="en-GB"/>
              </w:rPr>
              <w:t>351</w:t>
            </w:r>
          </w:p>
        </w:tc>
      </w:tr>
      <w:tr w:rsidR="0004779D" w:rsidRPr="002D2F67" w14:paraId="698AC769" w14:textId="77777777" w:rsidTr="002D2F67">
        <w:tc>
          <w:tcPr>
            <w:tcW w:w="1684" w:type="pct"/>
            <w:shd w:val="clear" w:color="auto" w:fill="auto"/>
            <w:vAlign w:val="bottom"/>
          </w:tcPr>
          <w:p w14:paraId="7BD78019" w14:textId="77777777" w:rsidR="0004779D" w:rsidRPr="002D2F67" w:rsidRDefault="0004779D" w:rsidP="005611FE">
            <w:pPr>
              <w:jc w:val="both"/>
              <w:rPr>
                <w:rFonts w:ascii="Arial" w:hAnsi="Arial" w:cs="Arial"/>
                <w:color w:val="000000"/>
                <w:sz w:val="20"/>
                <w:szCs w:val="20"/>
              </w:rPr>
            </w:pPr>
          </w:p>
        </w:tc>
        <w:tc>
          <w:tcPr>
            <w:tcW w:w="474" w:type="pct"/>
            <w:tcBorders>
              <w:top w:val="single" w:sz="4" w:space="0" w:color="auto"/>
            </w:tcBorders>
            <w:shd w:val="clear" w:color="auto" w:fill="auto"/>
            <w:vAlign w:val="bottom"/>
          </w:tcPr>
          <w:p w14:paraId="155A2CEE"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3F7A6507"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55828AB8"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0C109222"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72C2DB4B"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3863CE3F" w14:textId="77777777" w:rsidR="0004779D" w:rsidRPr="002D2F67" w:rsidRDefault="0004779D" w:rsidP="005611FE">
            <w:pPr>
              <w:ind w:right="-72"/>
              <w:jc w:val="right"/>
              <w:rPr>
                <w:rFonts w:ascii="Arial" w:hAnsi="Arial" w:cs="Arial"/>
                <w:color w:val="000000"/>
                <w:sz w:val="20"/>
                <w:szCs w:val="20"/>
              </w:rPr>
            </w:pPr>
          </w:p>
        </w:tc>
        <w:tc>
          <w:tcPr>
            <w:tcW w:w="472" w:type="pct"/>
            <w:tcBorders>
              <w:top w:val="single" w:sz="4" w:space="0" w:color="auto"/>
            </w:tcBorders>
            <w:shd w:val="clear" w:color="auto" w:fill="auto"/>
            <w:vAlign w:val="bottom"/>
          </w:tcPr>
          <w:p w14:paraId="67EC266B" w14:textId="77777777" w:rsidR="0004779D" w:rsidRPr="002D2F67" w:rsidRDefault="0004779D" w:rsidP="005611FE">
            <w:pPr>
              <w:ind w:right="-72"/>
              <w:jc w:val="right"/>
              <w:rPr>
                <w:rFonts w:ascii="Arial" w:hAnsi="Arial" w:cs="Arial"/>
                <w:color w:val="000000"/>
                <w:sz w:val="20"/>
                <w:szCs w:val="20"/>
              </w:rPr>
            </w:pPr>
          </w:p>
        </w:tc>
      </w:tr>
      <w:tr w:rsidR="0004779D" w:rsidRPr="002D2F67" w14:paraId="086461C5" w14:textId="77777777" w:rsidTr="002D2F67">
        <w:tc>
          <w:tcPr>
            <w:tcW w:w="1684" w:type="pct"/>
            <w:shd w:val="clear" w:color="auto" w:fill="auto"/>
            <w:vAlign w:val="bottom"/>
          </w:tcPr>
          <w:p w14:paraId="0C11009B" w14:textId="5EFF889D" w:rsidR="0004779D" w:rsidRPr="002D2F67" w:rsidRDefault="0004779D" w:rsidP="005611FE">
            <w:pPr>
              <w:jc w:val="both"/>
              <w:rPr>
                <w:rFonts w:ascii="Arial" w:hAnsi="Arial" w:cs="Arial"/>
                <w:color w:val="000000"/>
                <w:sz w:val="20"/>
                <w:szCs w:val="20"/>
              </w:rPr>
            </w:pPr>
            <w:r w:rsidRPr="002D2F67">
              <w:rPr>
                <w:rFonts w:ascii="Arial" w:hAnsi="Arial" w:cs="Arial"/>
                <w:b/>
                <w:bCs/>
                <w:color w:val="000000"/>
                <w:sz w:val="20"/>
                <w:szCs w:val="20"/>
              </w:rPr>
              <w:t xml:space="preserve">For the year ended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 </w:t>
            </w:r>
            <w:r w:rsidR="00CD5714" w:rsidRPr="00CD5714">
              <w:rPr>
                <w:rFonts w:ascii="Arial" w:hAnsi="Arial" w:cs="Arial"/>
                <w:b/>
                <w:bCs/>
                <w:color w:val="000000"/>
                <w:sz w:val="20"/>
                <w:szCs w:val="20"/>
                <w:lang w:val="en-GB"/>
              </w:rPr>
              <w:t>2023</w:t>
            </w:r>
          </w:p>
        </w:tc>
        <w:tc>
          <w:tcPr>
            <w:tcW w:w="474" w:type="pct"/>
            <w:shd w:val="clear" w:color="auto" w:fill="auto"/>
            <w:vAlign w:val="bottom"/>
          </w:tcPr>
          <w:p w14:paraId="0350FEA6" w14:textId="77777777" w:rsidR="0004779D" w:rsidRPr="002D2F67" w:rsidRDefault="0004779D" w:rsidP="005611FE">
            <w:pPr>
              <w:ind w:right="-72"/>
              <w:jc w:val="right"/>
              <w:rPr>
                <w:rFonts w:ascii="Arial" w:hAnsi="Arial" w:cs="Arial"/>
                <w:color w:val="000000"/>
                <w:sz w:val="20"/>
                <w:szCs w:val="20"/>
              </w:rPr>
            </w:pPr>
          </w:p>
        </w:tc>
        <w:tc>
          <w:tcPr>
            <w:tcW w:w="474" w:type="pct"/>
            <w:shd w:val="clear" w:color="auto" w:fill="auto"/>
            <w:vAlign w:val="bottom"/>
          </w:tcPr>
          <w:p w14:paraId="5545CC98" w14:textId="77777777" w:rsidR="0004779D" w:rsidRPr="002D2F67" w:rsidRDefault="0004779D" w:rsidP="005611FE">
            <w:pPr>
              <w:ind w:right="-72"/>
              <w:jc w:val="right"/>
              <w:rPr>
                <w:rFonts w:ascii="Arial" w:hAnsi="Arial" w:cs="Arial"/>
                <w:color w:val="000000"/>
                <w:sz w:val="20"/>
                <w:szCs w:val="20"/>
              </w:rPr>
            </w:pPr>
          </w:p>
        </w:tc>
        <w:tc>
          <w:tcPr>
            <w:tcW w:w="474" w:type="pct"/>
            <w:shd w:val="clear" w:color="auto" w:fill="auto"/>
            <w:vAlign w:val="bottom"/>
          </w:tcPr>
          <w:p w14:paraId="71C6B617" w14:textId="77777777" w:rsidR="0004779D" w:rsidRPr="002D2F67" w:rsidRDefault="0004779D" w:rsidP="005611FE">
            <w:pPr>
              <w:ind w:right="-72"/>
              <w:jc w:val="right"/>
              <w:rPr>
                <w:rFonts w:ascii="Arial" w:hAnsi="Arial" w:cs="Arial"/>
                <w:color w:val="000000"/>
                <w:sz w:val="20"/>
                <w:szCs w:val="20"/>
              </w:rPr>
            </w:pPr>
          </w:p>
        </w:tc>
        <w:tc>
          <w:tcPr>
            <w:tcW w:w="474" w:type="pct"/>
            <w:shd w:val="clear" w:color="auto" w:fill="auto"/>
            <w:vAlign w:val="bottom"/>
          </w:tcPr>
          <w:p w14:paraId="6F447D26" w14:textId="77777777" w:rsidR="0004779D" w:rsidRPr="002D2F67" w:rsidRDefault="0004779D" w:rsidP="005611FE">
            <w:pPr>
              <w:ind w:right="-72"/>
              <w:jc w:val="right"/>
              <w:rPr>
                <w:rFonts w:ascii="Arial" w:hAnsi="Arial" w:cs="Arial"/>
                <w:color w:val="000000"/>
                <w:sz w:val="20"/>
                <w:szCs w:val="20"/>
              </w:rPr>
            </w:pPr>
          </w:p>
        </w:tc>
        <w:tc>
          <w:tcPr>
            <w:tcW w:w="474" w:type="pct"/>
            <w:shd w:val="clear" w:color="auto" w:fill="auto"/>
            <w:vAlign w:val="bottom"/>
          </w:tcPr>
          <w:p w14:paraId="3182111E" w14:textId="77777777" w:rsidR="0004779D" w:rsidRPr="002D2F67" w:rsidRDefault="0004779D" w:rsidP="005611FE">
            <w:pPr>
              <w:ind w:right="-72"/>
              <w:jc w:val="right"/>
              <w:rPr>
                <w:rFonts w:ascii="Arial" w:hAnsi="Arial" w:cs="Arial"/>
                <w:color w:val="000000"/>
                <w:sz w:val="20"/>
                <w:szCs w:val="20"/>
              </w:rPr>
            </w:pPr>
          </w:p>
        </w:tc>
        <w:tc>
          <w:tcPr>
            <w:tcW w:w="474" w:type="pct"/>
            <w:shd w:val="clear" w:color="auto" w:fill="auto"/>
            <w:vAlign w:val="bottom"/>
          </w:tcPr>
          <w:p w14:paraId="65D77E8B" w14:textId="77777777" w:rsidR="0004779D" w:rsidRPr="002D2F67" w:rsidRDefault="0004779D" w:rsidP="005611FE">
            <w:pPr>
              <w:ind w:right="-72"/>
              <w:jc w:val="right"/>
              <w:rPr>
                <w:rFonts w:ascii="Arial" w:hAnsi="Arial" w:cs="Arial"/>
                <w:color w:val="000000"/>
                <w:sz w:val="20"/>
                <w:szCs w:val="20"/>
              </w:rPr>
            </w:pPr>
          </w:p>
        </w:tc>
        <w:tc>
          <w:tcPr>
            <w:tcW w:w="472" w:type="pct"/>
            <w:shd w:val="clear" w:color="auto" w:fill="auto"/>
            <w:vAlign w:val="bottom"/>
          </w:tcPr>
          <w:p w14:paraId="171E81C0" w14:textId="77777777" w:rsidR="0004779D" w:rsidRPr="002D2F67" w:rsidRDefault="0004779D" w:rsidP="005611FE">
            <w:pPr>
              <w:ind w:right="-72"/>
              <w:jc w:val="right"/>
              <w:rPr>
                <w:rFonts w:ascii="Arial" w:hAnsi="Arial" w:cs="Arial"/>
                <w:color w:val="000000"/>
                <w:sz w:val="20"/>
                <w:szCs w:val="20"/>
              </w:rPr>
            </w:pPr>
          </w:p>
        </w:tc>
      </w:tr>
      <w:tr w:rsidR="0004779D" w:rsidRPr="002D2F67" w14:paraId="3685E036" w14:textId="77777777" w:rsidTr="002D2F67">
        <w:tc>
          <w:tcPr>
            <w:tcW w:w="1684" w:type="pct"/>
            <w:shd w:val="clear" w:color="auto" w:fill="auto"/>
            <w:vAlign w:val="bottom"/>
          </w:tcPr>
          <w:p w14:paraId="0E076CD4" w14:textId="77777777" w:rsidR="0004779D" w:rsidRPr="002D2F67" w:rsidRDefault="0004779D" w:rsidP="005611FE">
            <w:pPr>
              <w:jc w:val="both"/>
              <w:rPr>
                <w:rFonts w:ascii="Arial" w:hAnsi="Arial" w:cs="Arial"/>
                <w:color w:val="000000"/>
                <w:sz w:val="20"/>
                <w:szCs w:val="20"/>
              </w:rPr>
            </w:pPr>
            <w:r w:rsidRPr="002D2F67">
              <w:rPr>
                <w:rFonts w:ascii="Arial" w:hAnsi="Arial" w:cs="Arial"/>
                <w:color w:val="000000"/>
                <w:sz w:val="20"/>
                <w:szCs w:val="20"/>
              </w:rPr>
              <w:t>Opening net book value</w:t>
            </w:r>
          </w:p>
        </w:tc>
        <w:tc>
          <w:tcPr>
            <w:tcW w:w="474" w:type="pct"/>
            <w:shd w:val="clear" w:color="auto" w:fill="auto"/>
            <w:vAlign w:val="bottom"/>
          </w:tcPr>
          <w:p w14:paraId="4DE6C593" w14:textId="4F6D2144"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636</w:t>
            </w:r>
            <w:r w:rsidR="0004779D" w:rsidRPr="002D2F67">
              <w:rPr>
                <w:rFonts w:ascii="Arial" w:hAnsi="Arial" w:cs="Arial"/>
                <w:color w:val="000000"/>
                <w:sz w:val="20"/>
                <w:szCs w:val="20"/>
              </w:rPr>
              <w:t>,</w:t>
            </w:r>
            <w:r w:rsidRPr="00CD5714">
              <w:rPr>
                <w:rFonts w:ascii="Arial" w:hAnsi="Arial" w:cs="Arial"/>
                <w:color w:val="000000"/>
                <w:sz w:val="20"/>
                <w:szCs w:val="20"/>
                <w:lang w:val="en-GB"/>
              </w:rPr>
              <w:t>901</w:t>
            </w:r>
          </w:p>
        </w:tc>
        <w:tc>
          <w:tcPr>
            <w:tcW w:w="474" w:type="pct"/>
            <w:shd w:val="clear" w:color="auto" w:fill="auto"/>
            <w:vAlign w:val="bottom"/>
          </w:tcPr>
          <w:p w14:paraId="293679F6" w14:textId="6B83CB9B"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216</w:t>
            </w:r>
            <w:r w:rsidR="0004779D" w:rsidRPr="002D2F67">
              <w:rPr>
                <w:rFonts w:ascii="Arial" w:hAnsi="Arial" w:cs="Arial"/>
                <w:color w:val="000000"/>
                <w:sz w:val="20"/>
                <w:szCs w:val="20"/>
              </w:rPr>
              <w:t>,</w:t>
            </w:r>
            <w:r w:rsidRPr="00CD5714">
              <w:rPr>
                <w:rFonts w:ascii="Arial" w:hAnsi="Arial" w:cs="Arial"/>
                <w:color w:val="000000"/>
                <w:sz w:val="20"/>
                <w:szCs w:val="20"/>
                <w:lang w:val="en-GB"/>
              </w:rPr>
              <w:t>294</w:t>
            </w:r>
          </w:p>
        </w:tc>
        <w:tc>
          <w:tcPr>
            <w:tcW w:w="474" w:type="pct"/>
            <w:shd w:val="clear" w:color="auto" w:fill="auto"/>
            <w:vAlign w:val="bottom"/>
          </w:tcPr>
          <w:p w14:paraId="29F198E0" w14:textId="2E32AF19"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04779D" w:rsidRPr="002D2F67">
              <w:rPr>
                <w:rFonts w:ascii="Arial" w:hAnsi="Arial" w:cs="Arial"/>
                <w:color w:val="000000"/>
                <w:sz w:val="20"/>
                <w:szCs w:val="20"/>
              </w:rPr>
              <w:t>,</w:t>
            </w:r>
            <w:r w:rsidRPr="00CD5714">
              <w:rPr>
                <w:rFonts w:ascii="Arial" w:hAnsi="Arial" w:cs="Arial"/>
                <w:color w:val="000000"/>
                <w:sz w:val="20"/>
                <w:szCs w:val="20"/>
                <w:lang w:val="en-GB"/>
              </w:rPr>
              <w:t>485</w:t>
            </w:r>
            <w:r w:rsidR="0004779D" w:rsidRPr="002D2F67">
              <w:rPr>
                <w:rFonts w:ascii="Arial" w:hAnsi="Arial" w:cs="Arial"/>
                <w:color w:val="000000"/>
                <w:sz w:val="20"/>
                <w:szCs w:val="20"/>
              </w:rPr>
              <w:t>,</w:t>
            </w:r>
            <w:r w:rsidRPr="00CD5714">
              <w:rPr>
                <w:rFonts w:ascii="Arial" w:hAnsi="Arial" w:cs="Arial"/>
                <w:color w:val="000000"/>
                <w:sz w:val="20"/>
                <w:szCs w:val="20"/>
                <w:lang w:val="en-GB"/>
              </w:rPr>
              <w:t>780</w:t>
            </w:r>
          </w:p>
        </w:tc>
        <w:tc>
          <w:tcPr>
            <w:tcW w:w="474" w:type="pct"/>
            <w:shd w:val="clear" w:color="auto" w:fill="auto"/>
            <w:vAlign w:val="bottom"/>
          </w:tcPr>
          <w:p w14:paraId="3482A04B" w14:textId="009E720A"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25</w:t>
            </w:r>
            <w:r w:rsidR="0004779D" w:rsidRPr="002D2F67">
              <w:rPr>
                <w:rFonts w:ascii="Arial" w:hAnsi="Arial" w:cs="Arial"/>
                <w:color w:val="000000"/>
                <w:sz w:val="20"/>
                <w:szCs w:val="20"/>
              </w:rPr>
              <w:t>,</w:t>
            </w:r>
            <w:r w:rsidRPr="00CD5714">
              <w:rPr>
                <w:rFonts w:ascii="Arial" w:hAnsi="Arial" w:cs="Arial"/>
                <w:color w:val="000000"/>
                <w:sz w:val="20"/>
                <w:szCs w:val="20"/>
                <w:lang w:val="en-GB"/>
              </w:rPr>
              <w:t>129</w:t>
            </w:r>
          </w:p>
        </w:tc>
        <w:tc>
          <w:tcPr>
            <w:tcW w:w="474" w:type="pct"/>
            <w:shd w:val="clear" w:color="auto" w:fill="auto"/>
            <w:vAlign w:val="bottom"/>
          </w:tcPr>
          <w:p w14:paraId="124C2BB3" w14:textId="0D8E41AB"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66</w:t>
            </w:r>
            <w:r w:rsidR="0004779D" w:rsidRPr="002D2F67">
              <w:rPr>
                <w:rFonts w:ascii="Arial" w:hAnsi="Arial" w:cs="Arial"/>
                <w:color w:val="000000"/>
                <w:sz w:val="20"/>
                <w:szCs w:val="20"/>
              </w:rPr>
              <w:t>,</w:t>
            </w:r>
            <w:r w:rsidRPr="00CD5714">
              <w:rPr>
                <w:rFonts w:ascii="Arial" w:hAnsi="Arial" w:cs="Arial"/>
                <w:color w:val="000000"/>
                <w:sz w:val="20"/>
                <w:szCs w:val="20"/>
                <w:lang w:val="en-GB"/>
              </w:rPr>
              <w:t>295</w:t>
            </w:r>
          </w:p>
        </w:tc>
        <w:tc>
          <w:tcPr>
            <w:tcW w:w="474" w:type="pct"/>
            <w:shd w:val="clear" w:color="auto" w:fill="auto"/>
            <w:vAlign w:val="bottom"/>
          </w:tcPr>
          <w:p w14:paraId="0F352C53" w14:textId="2676D304"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197</w:t>
            </w:r>
            <w:r w:rsidR="0004779D" w:rsidRPr="002D2F67">
              <w:rPr>
                <w:rFonts w:ascii="Arial" w:hAnsi="Arial" w:cs="Arial"/>
                <w:color w:val="000000"/>
                <w:sz w:val="20"/>
                <w:szCs w:val="20"/>
              </w:rPr>
              <w:t>,</w:t>
            </w:r>
            <w:r w:rsidRPr="00CD5714">
              <w:rPr>
                <w:rFonts w:ascii="Arial" w:hAnsi="Arial" w:cs="Arial"/>
                <w:color w:val="000000"/>
                <w:sz w:val="20"/>
                <w:szCs w:val="20"/>
                <w:lang w:val="en-GB"/>
              </w:rPr>
              <w:t>952</w:t>
            </w:r>
          </w:p>
        </w:tc>
        <w:tc>
          <w:tcPr>
            <w:tcW w:w="472" w:type="pct"/>
            <w:shd w:val="clear" w:color="auto" w:fill="auto"/>
            <w:vAlign w:val="bottom"/>
          </w:tcPr>
          <w:p w14:paraId="05F22BC5" w14:textId="2897D07A"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w:t>
            </w:r>
            <w:r w:rsidR="0004779D" w:rsidRPr="002D2F67">
              <w:rPr>
                <w:rFonts w:ascii="Arial" w:hAnsi="Arial" w:cs="Arial"/>
                <w:color w:val="000000"/>
                <w:sz w:val="20"/>
                <w:szCs w:val="20"/>
              </w:rPr>
              <w:t>,</w:t>
            </w:r>
            <w:r w:rsidRPr="00CD5714">
              <w:rPr>
                <w:rFonts w:ascii="Arial" w:hAnsi="Arial" w:cs="Arial"/>
                <w:color w:val="000000"/>
                <w:sz w:val="20"/>
                <w:szCs w:val="20"/>
                <w:lang w:val="en-GB"/>
              </w:rPr>
              <w:t>628</w:t>
            </w:r>
            <w:r w:rsidR="0004779D" w:rsidRPr="002D2F67">
              <w:rPr>
                <w:rFonts w:ascii="Arial" w:hAnsi="Arial" w:cs="Arial"/>
                <w:color w:val="000000"/>
                <w:sz w:val="20"/>
                <w:szCs w:val="20"/>
              </w:rPr>
              <w:t>,</w:t>
            </w:r>
            <w:r w:rsidRPr="00CD5714">
              <w:rPr>
                <w:rFonts w:ascii="Arial" w:hAnsi="Arial" w:cs="Arial"/>
                <w:color w:val="000000"/>
                <w:sz w:val="20"/>
                <w:szCs w:val="20"/>
                <w:lang w:val="en-GB"/>
              </w:rPr>
              <w:t>351</w:t>
            </w:r>
          </w:p>
        </w:tc>
      </w:tr>
      <w:tr w:rsidR="0004779D" w:rsidRPr="002D2F67" w14:paraId="4E0E69DE" w14:textId="77777777" w:rsidTr="002D2F67">
        <w:tc>
          <w:tcPr>
            <w:tcW w:w="1684" w:type="pct"/>
            <w:shd w:val="clear" w:color="auto" w:fill="auto"/>
            <w:vAlign w:val="bottom"/>
          </w:tcPr>
          <w:p w14:paraId="48F74192" w14:textId="77777777" w:rsidR="0004779D" w:rsidRPr="002D2F67" w:rsidRDefault="0004779D" w:rsidP="005611FE">
            <w:pPr>
              <w:jc w:val="both"/>
              <w:rPr>
                <w:rFonts w:ascii="Arial" w:hAnsi="Arial" w:cs="Arial"/>
                <w:color w:val="000000"/>
                <w:sz w:val="20"/>
                <w:szCs w:val="20"/>
              </w:rPr>
            </w:pPr>
            <w:r w:rsidRPr="002D2F67">
              <w:rPr>
                <w:rFonts w:ascii="Arial" w:hAnsi="Arial" w:cs="Arial"/>
                <w:color w:val="000000"/>
                <w:sz w:val="20"/>
                <w:szCs w:val="20"/>
              </w:rPr>
              <w:t>Additions</w:t>
            </w:r>
          </w:p>
        </w:tc>
        <w:tc>
          <w:tcPr>
            <w:tcW w:w="474" w:type="pct"/>
            <w:shd w:val="clear" w:color="auto" w:fill="auto"/>
            <w:vAlign w:val="bottom"/>
          </w:tcPr>
          <w:p w14:paraId="509B6298" w14:textId="77777777"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4" w:type="pct"/>
            <w:shd w:val="clear" w:color="auto" w:fill="auto"/>
            <w:vAlign w:val="bottom"/>
          </w:tcPr>
          <w:p w14:paraId="742231EA" w14:textId="77777777"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4" w:type="pct"/>
            <w:shd w:val="clear" w:color="auto" w:fill="auto"/>
            <w:vAlign w:val="bottom"/>
          </w:tcPr>
          <w:p w14:paraId="5EE1CFE6" w14:textId="77777777"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4" w:type="pct"/>
            <w:shd w:val="clear" w:color="auto" w:fill="auto"/>
            <w:vAlign w:val="bottom"/>
          </w:tcPr>
          <w:p w14:paraId="17F187FE" w14:textId="77777777"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4" w:type="pct"/>
            <w:shd w:val="clear" w:color="auto" w:fill="auto"/>
          </w:tcPr>
          <w:p w14:paraId="27FAE228" w14:textId="2DD0936D"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13</w:t>
            </w:r>
            <w:r w:rsidR="0004779D" w:rsidRPr="002D2F67">
              <w:rPr>
                <w:rFonts w:ascii="Arial" w:hAnsi="Arial" w:cs="Arial"/>
                <w:color w:val="000000"/>
                <w:sz w:val="20"/>
                <w:szCs w:val="20"/>
              </w:rPr>
              <w:t>,</w:t>
            </w:r>
            <w:r w:rsidRPr="00CD5714">
              <w:rPr>
                <w:rFonts w:ascii="Arial" w:hAnsi="Arial" w:cs="Arial"/>
                <w:color w:val="000000"/>
                <w:sz w:val="20"/>
                <w:szCs w:val="20"/>
                <w:lang w:val="en-GB"/>
              </w:rPr>
              <w:t>622</w:t>
            </w:r>
          </w:p>
        </w:tc>
        <w:tc>
          <w:tcPr>
            <w:tcW w:w="474" w:type="pct"/>
            <w:shd w:val="clear" w:color="auto" w:fill="auto"/>
          </w:tcPr>
          <w:p w14:paraId="5EC2EBED" w14:textId="43F7F0C5"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9</w:t>
            </w:r>
            <w:r w:rsidR="0004779D" w:rsidRPr="002D2F67">
              <w:rPr>
                <w:rFonts w:ascii="Arial" w:hAnsi="Arial" w:cs="Arial"/>
                <w:color w:val="000000"/>
                <w:sz w:val="20"/>
                <w:szCs w:val="20"/>
              </w:rPr>
              <w:t>,</w:t>
            </w:r>
            <w:r w:rsidRPr="00CD5714">
              <w:rPr>
                <w:rFonts w:ascii="Arial" w:hAnsi="Arial" w:cs="Arial"/>
                <w:color w:val="000000"/>
                <w:sz w:val="20"/>
                <w:szCs w:val="20"/>
                <w:lang w:val="en-GB"/>
              </w:rPr>
              <w:t>417</w:t>
            </w:r>
          </w:p>
        </w:tc>
        <w:tc>
          <w:tcPr>
            <w:tcW w:w="472" w:type="pct"/>
            <w:shd w:val="clear" w:color="auto" w:fill="auto"/>
          </w:tcPr>
          <w:p w14:paraId="76E1C34D" w14:textId="3BEF6C0B"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23</w:t>
            </w:r>
            <w:r w:rsidR="0004779D" w:rsidRPr="002D2F67">
              <w:rPr>
                <w:rFonts w:ascii="Arial" w:hAnsi="Arial" w:cs="Arial"/>
                <w:color w:val="000000"/>
                <w:sz w:val="20"/>
                <w:szCs w:val="20"/>
              </w:rPr>
              <w:t>,</w:t>
            </w:r>
            <w:r w:rsidRPr="00CD5714">
              <w:rPr>
                <w:rFonts w:ascii="Arial" w:hAnsi="Arial" w:cs="Arial"/>
                <w:color w:val="000000"/>
                <w:sz w:val="20"/>
                <w:szCs w:val="20"/>
                <w:lang w:val="en-GB"/>
              </w:rPr>
              <w:t>039</w:t>
            </w:r>
          </w:p>
        </w:tc>
      </w:tr>
      <w:tr w:rsidR="0004779D" w:rsidRPr="002D2F67" w14:paraId="1D07E087" w14:textId="77777777" w:rsidTr="002D2F67">
        <w:tc>
          <w:tcPr>
            <w:tcW w:w="1684" w:type="pct"/>
            <w:shd w:val="clear" w:color="auto" w:fill="auto"/>
            <w:vAlign w:val="bottom"/>
          </w:tcPr>
          <w:p w14:paraId="1A003E18" w14:textId="77777777" w:rsidR="0004779D" w:rsidRPr="002D2F67" w:rsidRDefault="0004779D" w:rsidP="005611FE">
            <w:pPr>
              <w:jc w:val="both"/>
              <w:rPr>
                <w:rFonts w:ascii="Arial" w:hAnsi="Arial" w:cs="Arial"/>
                <w:color w:val="000000"/>
                <w:sz w:val="20"/>
                <w:szCs w:val="25"/>
              </w:rPr>
            </w:pPr>
            <w:r w:rsidRPr="002D2F67">
              <w:rPr>
                <w:rFonts w:ascii="Arial" w:hAnsi="Arial" w:cs="Arial"/>
                <w:color w:val="000000"/>
                <w:sz w:val="20"/>
                <w:szCs w:val="25"/>
              </w:rPr>
              <w:t>Transfer</w:t>
            </w:r>
          </w:p>
        </w:tc>
        <w:tc>
          <w:tcPr>
            <w:tcW w:w="474" w:type="pct"/>
            <w:shd w:val="clear" w:color="auto" w:fill="auto"/>
            <w:vAlign w:val="bottom"/>
          </w:tcPr>
          <w:p w14:paraId="165AED65" w14:textId="77777777"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4" w:type="pct"/>
            <w:shd w:val="clear" w:color="auto" w:fill="auto"/>
            <w:vAlign w:val="bottom"/>
          </w:tcPr>
          <w:p w14:paraId="39520AE4" w14:textId="77777777"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4" w:type="pct"/>
            <w:shd w:val="clear" w:color="auto" w:fill="auto"/>
            <w:vAlign w:val="bottom"/>
          </w:tcPr>
          <w:p w14:paraId="1B78A672" w14:textId="77777777"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4" w:type="pct"/>
            <w:shd w:val="clear" w:color="auto" w:fill="auto"/>
            <w:vAlign w:val="bottom"/>
          </w:tcPr>
          <w:p w14:paraId="7E96202D" w14:textId="77777777"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4" w:type="pct"/>
            <w:shd w:val="clear" w:color="auto" w:fill="auto"/>
          </w:tcPr>
          <w:p w14:paraId="605D6A76" w14:textId="6F21EFBA"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w:t>
            </w:r>
            <w:r w:rsidR="0004779D" w:rsidRPr="002D2F67">
              <w:rPr>
                <w:rFonts w:ascii="Arial" w:hAnsi="Arial" w:cs="Arial"/>
                <w:color w:val="000000"/>
                <w:sz w:val="20"/>
                <w:szCs w:val="20"/>
              </w:rPr>
              <w:t>,</w:t>
            </w:r>
            <w:r w:rsidRPr="00CD5714">
              <w:rPr>
                <w:rFonts w:ascii="Arial" w:hAnsi="Arial" w:cs="Arial"/>
                <w:color w:val="000000"/>
                <w:sz w:val="20"/>
                <w:szCs w:val="20"/>
                <w:lang w:val="en-GB"/>
              </w:rPr>
              <w:t>331</w:t>
            </w:r>
          </w:p>
        </w:tc>
        <w:tc>
          <w:tcPr>
            <w:tcW w:w="474" w:type="pct"/>
            <w:shd w:val="clear" w:color="auto" w:fill="auto"/>
          </w:tcPr>
          <w:p w14:paraId="7ACA247A" w14:textId="2D48C323"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2</w:t>
            </w:r>
            <w:r w:rsidRPr="002D2F67">
              <w:rPr>
                <w:rFonts w:ascii="Arial" w:hAnsi="Arial" w:cs="Arial"/>
                <w:color w:val="000000"/>
                <w:sz w:val="20"/>
                <w:szCs w:val="20"/>
              </w:rPr>
              <w:t>,</w:t>
            </w:r>
            <w:r w:rsidR="00CD5714" w:rsidRPr="00CD5714">
              <w:rPr>
                <w:rFonts w:ascii="Arial" w:hAnsi="Arial" w:cs="Arial"/>
                <w:color w:val="000000"/>
                <w:sz w:val="20"/>
                <w:szCs w:val="20"/>
                <w:lang w:val="en-GB"/>
              </w:rPr>
              <w:t>331</w:t>
            </w:r>
            <w:r w:rsidRPr="002D2F67">
              <w:rPr>
                <w:rFonts w:ascii="Arial" w:hAnsi="Arial" w:cs="Arial"/>
                <w:color w:val="000000"/>
                <w:sz w:val="20"/>
                <w:szCs w:val="20"/>
              </w:rPr>
              <w:t>)</w:t>
            </w:r>
          </w:p>
        </w:tc>
        <w:tc>
          <w:tcPr>
            <w:tcW w:w="472" w:type="pct"/>
            <w:shd w:val="clear" w:color="auto" w:fill="auto"/>
            <w:vAlign w:val="bottom"/>
          </w:tcPr>
          <w:p w14:paraId="37E666F0" w14:textId="77777777"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p>
        </w:tc>
      </w:tr>
      <w:tr w:rsidR="0004779D" w:rsidRPr="002D2F67" w14:paraId="44BF13D7" w14:textId="77777777" w:rsidTr="002D2F67">
        <w:tc>
          <w:tcPr>
            <w:tcW w:w="1684" w:type="pct"/>
            <w:shd w:val="clear" w:color="auto" w:fill="auto"/>
            <w:vAlign w:val="bottom"/>
          </w:tcPr>
          <w:p w14:paraId="523D5EA1" w14:textId="1383B6B2" w:rsidR="0004779D" w:rsidRPr="002D2F67" w:rsidRDefault="0004779D" w:rsidP="005611FE">
            <w:pPr>
              <w:jc w:val="both"/>
              <w:rPr>
                <w:rFonts w:ascii="Arial" w:hAnsi="Arial" w:cs="Arial"/>
                <w:color w:val="000000"/>
                <w:sz w:val="20"/>
                <w:szCs w:val="20"/>
              </w:rPr>
            </w:pPr>
            <w:r w:rsidRPr="002D2F67">
              <w:rPr>
                <w:rFonts w:ascii="Arial" w:hAnsi="Arial" w:cs="Arial"/>
                <w:color w:val="000000"/>
                <w:sz w:val="20"/>
                <w:szCs w:val="20"/>
              </w:rPr>
              <w:t xml:space="preserve">Amortisation </w:t>
            </w:r>
            <w:r w:rsidR="00E536A7" w:rsidRPr="002D2F67">
              <w:rPr>
                <w:rFonts w:ascii="Arial" w:hAnsi="Arial" w:cs="Arial"/>
                <w:color w:val="000000"/>
                <w:sz w:val="20"/>
                <w:szCs w:val="20"/>
              </w:rPr>
              <w:t>charged</w:t>
            </w:r>
          </w:p>
        </w:tc>
        <w:tc>
          <w:tcPr>
            <w:tcW w:w="474" w:type="pct"/>
            <w:shd w:val="clear" w:color="auto" w:fill="auto"/>
            <w:vAlign w:val="bottom"/>
          </w:tcPr>
          <w:p w14:paraId="17641A30" w14:textId="160371DA" w:rsidR="0004779D" w:rsidRPr="002D2F67" w:rsidRDefault="0004779D"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43</w:t>
            </w:r>
            <w:r w:rsidRPr="002D2F67">
              <w:rPr>
                <w:rFonts w:ascii="Arial" w:hAnsi="Arial" w:cs="Arial"/>
                <w:color w:val="000000"/>
                <w:sz w:val="20"/>
                <w:szCs w:val="20"/>
              </w:rPr>
              <w:t>,</w:t>
            </w:r>
            <w:r w:rsidR="00CD5714" w:rsidRPr="00CD5714">
              <w:rPr>
                <w:rFonts w:ascii="Arial" w:hAnsi="Arial" w:cs="Arial"/>
                <w:color w:val="000000"/>
                <w:sz w:val="20"/>
                <w:szCs w:val="20"/>
                <w:lang w:val="en-GB"/>
              </w:rPr>
              <w:t>032</w:t>
            </w:r>
            <w:r w:rsidRPr="002D2F67">
              <w:rPr>
                <w:rFonts w:ascii="Arial" w:hAnsi="Arial" w:cs="Arial"/>
                <w:color w:val="000000"/>
                <w:sz w:val="20"/>
                <w:szCs w:val="20"/>
              </w:rPr>
              <w:t>)</w:t>
            </w:r>
          </w:p>
        </w:tc>
        <w:tc>
          <w:tcPr>
            <w:tcW w:w="474" w:type="pct"/>
            <w:shd w:val="clear" w:color="auto" w:fill="auto"/>
            <w:vAlign w:val="bottom"/>
          </w:tcPr>
          <w:p w14:paraId="764D52CA" w14:textId="2CE00A3D" w:rsidR="0004779D" w:rsidRPr="002D2F67" w:rsidRDefault="0004779D"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14</w:t>
            </w:r>
            <w:r w:rsidRPr="002D2F67">
              <w:rPr>
                <w:rFonts w:ascii="Arial" w:hAnsi="Arial" w:cs="Arial"/>
                <w:color w:val="000000"/>
                <w:sz w:val="20"/>
                <w:szCs w:val="20"/>
              </w:rPr>
              <w:t>,</w:t>
            </w:r>
            <w:r w:rsidR="00CD5714" w:rsidRPr="00CD5714">
              <w:rPr>
                <w:rFonts w:ascii="Arial" w:hAnsi="Arial" w:cs="Arial"/>
                <w:color w:val="000000"/>
                <w:sz w:val="20"/>
                <w:szCs w:val="20"/>
                <w:lang w:val="en-GB"/>
              </w:rPr>
              <w:t>423</w:t>
            </w:r>
            <w:r w:rsidRPr="002D2F67">
              <w:rPr>
                <w:rFonts w:ascii="Arial" w:hAnsi="Arial" w:cs="Arial"/>
                <w:color w:val="000000"/>
                <w:sz w:val="20"/>
                <w:szCs w:val="20"/>
              </w:rPr>
              <w:t>)</w:t>
            </w:r>
          </w:p>
        </w:tc>
        <w:tc>
          <w:tcPr>
            <w:tcW w:w="474" w:type="pct"/>
            <w:shd w:val="clear" w:color="auto" w:fill="auto"/>
            <w:vAlign w:val="bottom"/>
          </w:tcPr>
          <w:p w14:paraId="0F6E07CC" w14:textId="0DC2D753" w:rsidR="0004779D" w:rsidRPr="002D2F67" w:rsidRDefault="0004779D"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75</w:t>
            </w:r>
            <w:r w:rsidRPr="002D2F67">
              <w:rPr>
                <w:rFonts w:ascii="Arial" w:hAnsi="Arial" w:cs="Arial"/>
                <w:color w:val="000000"/>
                <w:sz w:val="20"/>
                <w:szCs w:val="20"/>
              </w:rPr>
              <w:t>,</w:t>
            </w:r>
            <w:r w:rsidR="00CD5714" w:rsidRPr="00CD5714">
              <w:rPr>
                <w:rFonts w:ascii="Arial" w:hAnsi="Arial" w:cs="Arial"/>
                <w:color w:val="000000"/>
                <w:sz w:val="20"/>
                <w:szCs w:val="20"/>
                <w:lang w:val="en-GB"/>
              </w:rPr>
              <w:t>652</w:t>
            </w:r>
            <w:r w:rsidRPr="002D2F67">
              <w:rPr>
                <w:rFonts w:ascii="Arial" w:hAnsi="Arial" w:cs="Arial"/>
                <w:color w:val="000000"/>
                <w:sz w:val="20"/>
                <w:szCs w:val="20"/>
              </w:rPr>
              <w:t>)</w:t>
            </w:r>
          </w:p>
        </w:tc>
        <w:tc>
          <w:tcPr>
            <w:tcW w:w="474" w:type="pct"/>
            <w:shd w:val="clear" w:color="auto" w:fill="auto"/>
            <w:vAlign w:val="bottom"/>
          </w:tcPr>
          <w:p w14:paraId="0B2DCCB1" w14:textId="79B2AD0D"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w:t>
            </w:r>
            <w:r w:rsidRPr="002D2F67">
              <w:rPr>
                <w:rFonts w:ascii="Arial" w:hAnsi="Arial" w:cs="Arial"/>
                <w:color w:val="000000"/>
                <w:sz w:val="20"/>
                <w:szCs w:val="20"/>
              </w:rPr>
              <w:t>,</w:t>
            </w:r>
            <w:r w:rsidR="00CD5714" w:rsidRPr="00CD5714">
              <w:rPr>
                <w:rFonts w:ascii="Arial" w:hAnsi="Arial" w:cs="Arial"/>
                <w:color w:val="000000"/>
                <w:sz w:val="20"/>
                <w:szCs w:val="20"/>
                <w:lang w:val="en-GB"/>
              </w:rPr>
              <w:t>698</w:t>
            </w:r>
            <w:r w:rsidRPr="002D2F67">
              <w:rPr>
                <w:rFonts w:ascii="Arial" w:hAnsi="Arial" w:cs="Arial"/>
                <w:color w:val="000000"/>
                <w:sz w:val="20"/>
                <w:szCs w:val="20"/>
              </w:rPr>
              <w:t>)</w:t>
            </w:r>
          </w:p>
        </w:tc>
        <w:tc>
          <w:tcPr>
            <w:tcW w:w="474" w:type="pct"/>
            <w:shd w:val="clear" w:color="auto" w:fill="auto"/>
            <w:vAlign w:val="bottom"/>
          </w:tcPr>
          <w:p w14:paraId="771262E3" w14:textId="4BE315E2"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20</w:t>
            </w:r>
            <w:r w:rsidRPr="002D2F67">
              <w:rPr>
                <w:rFonts w:ascii="Arial" w:hAnsi="Arial" w:cs="Arial"/>
                <w:color w:val="000000"/>
                <w:sz w:val="20"/>
                <w:szCs w:val="20"/>
              </w:rPr>
              <w:t>,</w:t>
            </w:r>
            <w:r w:rsidR="00CD5714" w:rsidRPr="00CD5714">
              <w:rPr>
                <w:rFonts w:ascii="Arial" w:hAnsi="Arial" w:cs="Arial"/>
                <w:color w:val="000000"/>
                <w:sz w:val="20"/>
                <w:szCs w:val="20"/>
                <w:lang w:val="en-GB"/>
              </w:rPr>
              <w:t>224</w:t>
            </w:r>
            <w:r w:rsidRPr="002D2F67">
              <w:rPr>
                <w:rFonts w:ascii="Arial" w:hAnsi="Arial" w:cs="Arial"/>
                <w:color w:val="000000"/>
                <w:sz w:val="20"/>
                <w:szCs w:val="20"/>
              </w:rPr>
              <w:t>)</w:t>
            </w:r>
          </w:p>
        </w:tc>
        <w:tc>
          <w:tcPr>
            <w:tcW w:w="474" w:type="pct"/>
            <w:shd w:val="clear" w:color="auto" w:fill="auto"/>
            <w:vAlign w:val="bottom"/>
          </w:tcPr>
          <w:p w14:paraId="17688E56" w14:textId="77777777"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2" w:type="pct"/>
            <w:shd w:val="clear" w:color="auto" w:fill="auto"/>
            <w:vAlign w:val="bottom"/>
          </w:tcPr>
          <w:p w14:paraId="21293410" w14:textId="32398D16"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155</w:t>
            </w:r>
            <w:r w:rsidRPr="002D2F67">
              <w:rPr>
                <w:rFonts w:ascii="Arial" w:hAnsi="Arial" w:cs="Arial"/>
                <w:color w:val="000000"/>
                <w:sz w:val="20"/>
                <w:szCs w:val="20"/>
              </w:rPr>
              <w:t>,</w:t>
            </w:r>
            <w:r w:rsidR="00CD5714" w:rsidRPr="00CD5714">
              <w:rPr>
                <w:rFonts w:ascii="Arial" w:hAnsi="Arial" w:cs="Arial"/>
                <w:color w:val="000000"/>
                <w:sz w:val="20"/>
                <w:szCs w:val="20"/>
                <w:lang w:val="en-GB"/>
              </w:rPr>
              <w:t>029</w:t>
            </w:r>
            <w:r w:rsidRPr="002D2F67">
              <w:rPr>
                <w:rFonts w:ascii="Arial" w:hAnsi="Arial" w:cs="Arial"/>
                <w:color w:val="000000"/>
                <w:sz w:val="20"/>
                <w:szCs w:val="20"/>
              </w:rPr>
              <w:t>)</w:t>
            </w:r>
          </w:p>
        </w:tc>
      </w:tr>
      <w:tr w:rsidR="0004779D" w:rsidRPr="002D2F67" w14:paraId="534E6446" w14:textId="77777777" w:rsidTr="002D2F67">
        <w:tc>
          <w:tcPr>
            <w:tcW w:w="1684" w:type="pct"/>
            <w:shd w:val="clear" w:color="auto" w:fill="auto"/>
            <w:vAlign w:val="bottom"/>
          </w:tcPr>
          <w:p w14:paraId="71690AA0" w14:textId="77777777" w:rsidR="0004779D" w:rsidRPr="002D2F67" w:rsidRDefault="0004779D" w:rsidP="005611FE">
            <w:pPr>
              <w:jc w:val="both"/>
              <w:rPr>
                <w:rFonts w:ascii="Arial" w:hAnsi="Arial" w:cs="Arial"/>
                <w:color w:val="000000"/>
                <w:sz w:val="20"/>
                <w:szCs w:val="20"/>
              </w:rPr>
            </w:pPr>
            <w:r w:rsidRPr="002D2F67">
              <w:rPr>
                <w:rFonts w:ascii="Arial" w:hAnsi="Arial" w:cs="Arial"/>
                <w:color w:val="000000"/>
                <w:sz w:val="20"/>
                <w:szCs w:val="20"/>
              </w:rPr>
              <w:t>Currency translation differences</w:t>
            </w:r>
          </w:p>
        </w:tc>
        <w:tc>
          <w:tcPr>
            <w:tcW w:w="474" w:type="pct"/>
            <w:tcBorders>
              <w:bottom w:val="single" w:sz="4" w:space="0" w:color="auto"/>
            </w:tcBorders>
            <w:shd w:val="clear" w:color="auto" w:fill="auto"/>
            <w:vAlign w:val="bottom"/>
          </w:tcPr>
          <w:p w14:paraId="65C98F10" w14:textId="733B9548" w:rsidR="0004779D" w:rsidRPr="002D2F67" w:rsidRDefault="0004779D"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9</w:t>
            </w:r>
            <w:r w:rsidRPr="002D2F67">
              <w:rPr>
                <w:rFonts w:ascii="Arial" w:hAnsi="Arial" w:cs="Arial"/>
                <w:color w:val="000000"/>
                <w:sz w:val="20"/>
                <w:szCs w:val="20"/>
              </w:rPr>
              <w:t>,</w:t>
            </w:r>
            <w:r w:rsidR="00CD5714" w:rsidRPr="00CD5714">
              <w:rPr>
                <w:rFonts w:ascii="Arial" w:hAnsi="Arial" w:cs="Arial"/>
                <w:color w:val="000000"/>
                <w:sz w:val="20"/>
                <w:szCs w:val="20"/>
                <w:lang w:val="en-GB"/>
              </w:rPr>
              <w:t>887</w:t>
            </w:r>
            <w:r w:rsidRPr="002D2F67">
              <w:rPr>
                <w:rFonts w:ascii="Arial" w:hAnsi="Arial" w:cs="Arial"/>
                <w:color w:val="000000"/>
                <w:sz w:val="20"/>
                <w:szCs w:val="20"/>
              </w:rPr>
              <w:t>)</w:t>
            </w:r>
          </w:p>
        </w:tc>
        <w:tc>
          <w:tcPr>
            <w:tcW w:w="474" w:type="pct"/>
            <w:tcBorders>
              <w:bottom w:val="single" w:sz="4" w:space="0" w:color="auto"/>
            </w:tcBorders>
            <w:shd w:val="clear" w:color="auto" w:fill="auto"/>
            <w:vAlign w:val="bottom"/>
          </w:tcPr>
          <w:p w14:paraId="00824B3B" w14:textId="1D4A512C" w:rsidR="0004779D" w:rsidRPr="002D2F67" w:rsidRDefault="0004779D"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3</w:t>
            </w:r>
            <w:r w:rsidRPr="002D2F67">
              <w:rPr>
                <w:rFonts w:ascii="Arial" w:hAnsi="Arial" w:cs="Arial"/>
                <w:color w:val="000000"/>
                <w:sz w:val="20"/>
                <w:szCs w:val="20"/>
              </w:rPr>
              <w:t>,</w:t>
            </w:r>
            <w:r w:rsidR="00CD5714" w:rsidRPr="00CD5714">
              <w:rPr>
                <w:rFonts w:ascii="Arial" w:hAnsi="Arial" w:cs="Arial"/>
                <w:color w:val="000000"/>
                <w:sz w:val="20"/>
                <w:szCs w:val="20"/>
                <w:lang w:val="en-GB"/>
              </w:rPr>
              <w:t>409</w:t>
            </w:r>
            <w:r w:rsidRPr="002D2F67">
              <w:rPr>
                <w:rFonts w:ascii="Arial" w:hAnsi="Arial" w:cs="Arial"/>
                <w:color w:val="000000"/>
                <w:sz w:val="20"/>
                <w:szCs w:val="20"/>
              </w:rPr>
              <w:t>)</w:t>
            </w:r>
          </w:p>
        </w:tc>
        <w:tc>
          <w:tcPr>
            <w:tcW w:w="474" w:type="pct"/>
            <w:tcBorders>
              <w:bottom w:val="single" w:sz="4" w:space="0" w:color="auto"/>
            </w:tcBorders>
            <w:shd w:val="clear" w:color="auto" w:fill="auto"/>
            <w:vAlign w:val="bottom"/>
          </w:tcPr>
          <w:p w14:paraId="218CD7EC" w14:textId="77777777" w:rsidR="0004779D" w:rsidRPr="002D2F67" w:rsidRDefault="0004779D" w:rsidP="005611FE">
            <w:pPr>
              <w:ind w:right="-72"/>
              <w:jc w:val="right"/>
              <w:rPr>
                <w:rFonts w:ascii="Arial" w:hAnsi="Arial" w:cs="Arial"/>
                <w:color w:val="000000"/>
                <w:sz w:val="20"/>
                <w:szCs w:val="20"/>
                <w:cs/>
              </w:rPr>
            </w:pPr>
            <w:r w:rsidRPr="002D2F67">
              <w:rPr>
                <w:rFonts w:ascii="Arial" w:hAnsi="Arial" w:cs="Arial"/>
                <w:color w:val="000000"/>
                <w:sz w:val="20"/>
                <w:szCs w:val="20"/>
              </w:rPr>
              <w:t>-</w:t>
            </w:r>
          </w:p>
        </w:tc>
        <w:tc>
          <w:tcPr>
            <w:tcW w:w="474" w:type="pct"/>
            <w:tcBorders>
              <w:bottom w:val="single" w:sz="4" w:space="0" w:color="auto"/>
            </w:tcBorders>
            <w:shd w:val="clear" w:color="auto" w:fill="auto"/>
            <w:vAlign w:val="bottom"/>
          </w:tcPr>
          <w:p w14:paraId="33444922" w14:textId="77777777" w:rsidR="0004779D" w:rsidRPr="002D2F67" w:rsidRDefault="0004779D" w:rsidP="005611FE">
            <w:pPr>
              <w:ind w:right="-72"/>
              <w:jc w:val="right"/>
              <w:rPr>
                <w:rFonts w:ascii="Arial" w:hAnsi="Arial" w:cs="Arial"/>
                <w:color w:val="000000"/>
                <w:sz w:val="20"/>
                <w:szCs w:val="20"/>
                <w:cs/>
              </w:rPr>
            </w:pPr>
            <w:r w:rsidRPr="002D2F67">
              <w:rPr>
                <w:rFonts w:ascii="Arial" w:hAnsi="Arial" w:cs="Arial"/>
                <w:color w:val="000000"/>
                <w:sz w:val="20"/>
                <w:szCs w:val="20"/>
              </w:rPr>
              <w:t>-</w:t>
            </w:r>
          </w:p>
        </w:tc>
        <w:tc>
          <w:tcPr>
            <w:tcW w:w="474" w:type="pct"/>
            <w:tcBorders>
              <w:bottom w:val="single" w:sz="4" w:space="0" w:color="auto"/>
            </w:tcBorders>
            <w:shd w:val="clear" w:color="auto" w:fill="auto"/>
            <w:vAlign w:val="bottom"/>
          </w:tcPr>
          <w:p w14:paraId="5DB67EDF" w14:textId="61C64F5A" w:rsidR="0004779D" w:rsidRPr="002D2F67" w:rsidRDefault="00CD5714" w:rsidP="005611FE">
            <w:pPr>
              <w:ind w:right="-72"/>
              <w:jc w:val="right"/>
              <w:rPr>
                <w:rFonts w:ascii="Arial" w:hAnsi="Arial" w:cs="Arial"/>
                <w:color w:val="000000"/>
                <w:sz w:val="20"/>
                <w:szCs w:val="20"/>
                <w:cs/>
              </w:rPr>
            </w:pPr>
            <w:r w:rsidRPr="00CD5714">
              <w:rPr>
                <w:rFonts w:ascii="Arial" w:hAnsi="Arial" w:cs="Arial"/>
                <w:color w:val="000000"/>
                <w:sz w:val="20"/>
                <w:szCs w:val="20"/>
                <w:lang w:val="en-GB"/>
              </w:rPr>
              <w:t>540</w:t>
            </w:r>
          </w:p>
        </w:tc>
        <w:tc>
          <w:tcPr>
            <w:tcW w:w="474" w:type="pct"/>
            <w:tcBorders>
              <w:bottom w:val="single" w:sz="4" w:space="0" w:color="auto"/>
            </w:tcBorders>
            <w:shd w:val="clear" w:color="auto" w:fill="auto"/>
            <w:vAlign w:val="bottom"/>
          </w:tcPr>
          <w:p w14:paraId="3D2E0738" w14:textId="226938B7" w:rsidR="0004779D" w:rsidRPr="002D2F67" w:rsidRDefault="0004779D"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650</w:t>
            </w:r>
            <w:r w:rsidRPr="002D2F67">
              <w:rPr>
                <w:rFonts w:ascii="Arial" w:hAnsi="Arial" w:cs="Arial"/>
                <w:color w:val="000000"/>
                <w:sz w:val="20"/>
                <w:szCs w:val="20"/>
              </w:rPr>
              <w:t>)</w:t>
            </w:r>
          </w:p>
        </w:tc>
        <w:tc>
          <w:tcPr>
            <w:tcW w:w="472" w:type="pct"/>
            <w:tcBorders>
              <w:bottom w:val="single" w:sz="4" w:space="0" w:color="auto"/>
            </w:tcBorders>
            <w:shd w:val="clear" w:color="auto" w:fill="auto"/>
            <w:vAlign w:val="bottom"/>
          </w:tcPr>
          <w:p w14:paraId="29D7B52E" w14:textId="688D4116" w:rsidR="0004779D" w:rsidRPr="002D2F67" w:rsidRDefault="0004779D"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13</w:t>
            </w:r>
            <w:r w:rsidRPr="002D2F67">
              <w:rPr>
                <w:rFonts w:ascii="Arial" w:hAnsi="Arial" w:cs="Arial"/>
                <w:color w:val="000000"/>
                <w:sz w:val="20"/>
                <w:szCs w:val="20"/>
              </w:rPr>
              <w:t>,</w:t>
            </w:r>
            <w:r w:rsidR="00CD5714" w:rsidRPr="00CD5714">
              <w:rPr>
                <w:rFonts w:ascii="Arial" w:hAnsi="Arial" w:cs="Arial"/>
                <w:color w:val="000000"/>
                <w:sz w:val="20"/>
                <w:szCs w:val="20"/>
                <w:lang w:val="en-GB"/>
              </w:rPr>
              <w:t>406</w:t>
            </w:r>
            <w:r w:rsidRPr="002D2F67">
              <w:rPr>
                <w:rFonts w:ascii="Arial" w:hAnsi="Arial" w:cs="Arial"/>
                <w:color w:val="000000"/>
                <w:sz w:val="20"/>
                <w:szCs w:val="20"/>
              </w:rPr>
              <w:t>)</w:t>
            </w:r>
          </w:p>
        </w:tc>
      </w:tr>
      <w:tr w:rsidR="0004779D" w:rsidRPr="002D2F67" w14:paraId="49949429" w14:textId="77777777" w:rsidTr="002D2F67">
        <w:tc>
          <w:tcPr>
            <w:tcW w:w="1684" w:type="pct"/>
            <w:shd w:val="clear" w:color="auto" w:fill="auto"/>
            <w:vAlign w:val="bottom"/>
          </w:tcPr>
          <w:p w14:paraId="0169C4F9" w14:textId="77777777" w:rsidR="0004779D" w:rsidRPr="002D2F67" w:rsidRDefault="0004779D" w:rsidP="005611FE">
            <w:pPr>
              <w:jc w:val="both"/>
              <w:rPr>
                <w:rFonts w:ascii="Arial" w:hAnsi="Arial" w:cs="Arial"/>
                <w:color w:val="000000"/>
                <w:sz w:val="20"/>
                <w:szCs w:val="20"/>
              </w:rPr>
            </w:pPr>
          </w:p>
        </w:tc>
        <w:tc>
          <w:tcPr>
            <w:tcW w:w="474" w:type="pct"/>
            <w:tcBorders>
              <w:top w:val="single" w:sz="4" w:space="0" w:color="auto"/>
            </w:tcBorders>
            <w:shd w:val="clear" w:color="auto" w:fill="auto"/>
            <w:vAlign w:val="bottom"/>
          </w:tcPr>
          <w:p w14:paraId="51B63B61"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5710D78C"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3C29FCF6"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31DA40CF"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1CF51E11"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028F35FD" w14:textId="77777777" w:rsidR="0004779D" w:rsidRPr="002D2F67" w:rsidRDefault="0004779D" w:rsidP="005611FE">
            <w:pPr>
              <w:ind w:right="-72"/>
              <w:jc w:val="right"/>
              <w:rPr>
                <w:rFonts w:ascii="Arial" w:hAnsi="Arial" w:cs="Arial"/>
                <w:color w:val="000000"/>
                <w:sz w:val="20"/>
                <w:szCs w:val="20"/>
              </w:rPr>
            </w:pPr>
          </w:p>
        </w:tc>
        <w:tc>
          <w:tcPr>
            <w:tcW w:w="472" w:type="pct"/>
            <w:tcBorders>
              <w:top w:val="single" w:sz="4" w:space="0" w:color="auto"/>
            </w:tcBorders>
            <w:shd w:val="clear" w:color="auto" w:fill="auto"/>
            <w:vAlign w:val="bottom"/>
          </w:tcPr>
          <w:p w14:paraId="4B16ED25" w14:textId="77777777" w:rsidR="0004779D" w:rsidRPr="002D2F67" w:rsidRDefault="0004779D" w:rsidP="005611FE">
            <w:pPr>
              <w:ind w:right="-72"/>
              <w:jc w:val="right"/>
              <w:rPr>
                <w:rFonts w:ascii="Arial" w:hAnsi="Arial" w:cs="Arial"/>
                <w:color w:val="000000"/>
                <w:sz w:val="20"/>
                <w:szCs w:val="20"/>
              </w:rPr>
            </w:pPr>
          </w:p>
        </w:tc>
      </w:tr>
      <w:tr w:rsidR="0004779D" w:rsidRPr="002D2F67" w14:paraId="0FCF8C97" w14:textId="77777777" w:rsidTr="002D2F67">
        <w:tc>
          <w:tcPr>
            <w:tcW w:w="1684" w:type="pct"/>
            <w:shd w:val="clear" w:color="auto" w:fill="auto"/>
            <w:vAlign w:val="bottom"/>
          </w:tcPr>
          <w:p w14:paraId="6404D311" w14:textId="77777777" w:rsidR="0004779D" w:rsidRPr="002D2F67" w:rsidRDefault="0004779D" w:rsidP="005611FE">
            <w:pPr>
              <w:jc w:val="both"/>
              <w:rPr>
                <w:rFonts w:ascii="Arial" w:hAnsi="Arial" w:cs="Arial"/>
                <w:color w:val="000000"/>
                <w:sz w:val="20"/>
                <w:szCs w:val="20"/>
              </w:rPr>
            </w:pPr>
            <w:r w:rsidRPr="002D2F67">
              <w:rPr>
                <w:rFonts w:ascii="Arial" w:hAnsi="Arial" w:cs="Arial"/>
                <w:color w:val="000000"/>
                <w:sz w:val="20"/>
                <w:szCs w:val="20"/>
              </w:rPr>
              <w:t>Closing net book value</w:t>
            </w:r>
          </w:p>
        </w:tc>
        <w:tc>
          <w:tcPr>
            <w:tcW w:w="474" w:type="pct"/>
            <w:tcBorders>
              <w:bottom w:val="single" w:sz="4" w:space="0" w:color="auto"/>
            </w:tcBorders>
            <w:shd w:val="clear" w:color="auto" w:fill="auto"/>
            <w:vAlign w:val="bottom"/>
          </w:tcPr>
          <w:p w14:paraId="28221BC7" w14:textId="1DB95264"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583</w:t>
            </w:r>
            <w:r w:rsidR="0004779D" w:rsidRPr="002D2F67">
              <w:rPr>
                <w:rFonts w:ascii="Arial" w:hAnsi="Arial" w:cs="Arial"/>
                <w:color w:val="000000"/>
                <w:sz w:val="20"/>
                <w:szCs w:val="20"/>
              </w:rPr>
              <w:t>,</w:t>
            </w:r>
            <w:r w:rsidRPr="00CD5714">
              <w:rPr>
                <w:rFonts w:ascii="Arial" w:hAnsi="Arial" w:cs="Arial"/>
                <w:color w:val="000000"/>
                <w:sz w:val="20"/>
                <w:szCs w:val="20"/>
                <w:lang w:val="en-GB"/>
              </w:rPr>
              <w:t>982</w:t>
            </w:r>
          </w:p>
        </w:tc>
        <w:tc>
          <w:tcPr>
            <w:tcW w:w="474" w:type="pct"/>
            <w:tcBorders>
              <w:bottom w:val="single" w:sz="4" w:space="0" w:color="auto"/>
            </w:tcBorders>
            <w:shd w:val="clear" w:color="auto" w:fill="auto"/>
            <w:vAlign w:val="bottom"/>
          </w:tcPr>
          <w:p w14:paraId="3F906AA6" w14:textId="67F771B8"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198</w:t>
            </w:r>
            <w:r w:rsidR="0004779D" w:rsidRPr="002D2F67">
              <w:rPr>
                <w:rFonts w:ascii="Arial" w:hAnsi="Arial" w:cs="Arial"/>
                <w:color w:val="000000"/>
                <w:sz w:val="20"/>
                <w:szCs w:val="20"/>
              </w:rPr>
              <w:t>,</w:t>
            </w:r>
            <w:r w:rsidRPr="00CD5714">
              <w:rPr>
                <w:rFonts w:ascii="Arial" w:hAnsi="Arial" w:cs="Arial"/>
                <w:color w:val="000000"/>
                <w:sz w:val="20"/>
                <w:szCs w:val="20"/>
                <w:lang w:val="en-GB"/>
              </w:rPr>
              <w:t>462</w:t>
            </w:r>
          </w:p>
        </w:tc>
        <w:tc>
          <w:tcPr>
            <w:tcW w:w="474" w:type="pct"/>
            <w:tcBorders>
              <w:bottom w:val="single" w:sz="4" w:space="0" w:color="auto"/>
            </w:tcBorders>
            <w:shd w:val="clear" w:color="auto" w:fill="auto"/>
            <w:vAlign w:val="bottom"/>
          </w:tcPr>
          <w:p w14:paraId="2258357A" w14:textId="56CF76F9" w:rsidR="0004779D" w:rsidRPr="002D2F67" w:rsidRDefault="00CD5714" w:rsidP="005611FE">
            <w:pPr>
              <w:ind w:right="-72"/>
              <w:jc w:val="right"/>
              <w:rPr>
                <w:rFonts w:ascii="Arial" w:hAnsi="Arial" w:cs="Arial"/>
                <w:color w:val="000000"/>
                <w:sz w:val="20"/>
                <w:szCs w:val="20"/>
                <w:cs/>
              </w:rPr>
            </w:pPr>
            <w:r w:rsidRPr="00CD5714">
              <w:rPr>
                <w:rFonts w:ascii="Arial" w:hAnsi="Arial" w:cs="Arial"/>
                <w:color w:val="000000"/>
                <w:sz w:val="20"/>
                <w:szCs w:val="20"/>
                <w:lang w:val="en-GB"/>
              </w:rPr>
              <w:t>1</w:t>
            </w:r>
            <w:r w:rsidR="0004779D" w:rsidRPr="002D2F67">
              <w:rPr>
                <w:rFonts w:ascii="Arial" w:hAnsi="Arial" w:cs="Arial"/>
                <w:color w:val="000000"/>
                <w:sz w:val="20"/>
                <w:szCs w:val="20"/>
              </w:rPr>
              <w:t>,</w:t>
            </w:r>
            <w:r w:rsidRPr="00CD5714">
              <w:rPr>
                <w:rFonts w:ascii="Arial" w:hAnsi="Arial" w:cs="Arial"/>
                <w:color w:val="000000"/>
                <w:sz w:val="20"/>
                <w:szCs w:val="20"/>
                <w:lang w:val="en-GB"/>
              </w:rPr>
              <w:t>410</w:t>
            </w:r>
            <w:r w:rsidR="0004779D" w:rsidRPr="002D2F67">
              <w:rPr>
                <w:rFonts w:ascii="Arial" w:hAnsi="Arial" w:cs="Arial"/>
                <w:color w:val="000000"/>
                <w:sz w:val="20"/>
                <w:szCs w:val="20"/>
              </w:rPr>
              <w:t>,</w:t>
            </w:r>
            <w:r w:rsidRPr="00CD5714">
              <w:rPr>
                <w:rFonts w:ascii="Arial" w:hAnsi="Arial" w:cs="Arial"/>
                <w:color w:val="000000"/>
                <w:sz w:val="20"/>
                <w:szCs w:val="20"/>
                <w:lang w:val="en-GB"/>
              </w:rPr>
              <w:t>128</w:t>
            </w:r>
          </w:p>
        </w:tc>
        <w:tc>
          <w:tcPr>
            <w:tcW w:w="474" w:type="pct"/>
            <w:tcBorders>
              <w:bottom w:val="single" w:sz="4" w:space="0" w:color="auto"/>
            </w:tcBorders>
            <w:shd w:val="clear" w:color="auto" w:fill="auto"/>
            <w:vAlign w:val="bottom"/>
          </w:tcPr>
          <w:p w14:paraId="2D0854A0" w14:textId="53A8FF2F"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23</w:t>
            </w:r>
            <w:r w:rsidR="0004779D" w:rsidRPr="002D2F67">
              <w:rPr>
                <w:rFonts w:ascii="Arial" w:hAnsi="Arial" w:cs="Arial"/>
                <w:color w:val="000000"/>
                <w:sz w:val="20"/>
                <w:szCs w:val="20"/>
              </w:rPr>
              <w:t>,</w:t>
            </w:r>
            <w:r w:rsidRPr="00CD5714">
              <w:rPr>
                <w:rFonts w:ascii="Arial" w:hAnsi="Arial" w:cs="Arial"/>
                <w:color w:val="000000"/>
                <w:sz w:val="20"/>
                <w:szCs w:val="20"/>
                <w:lang w:val="en-GB"/>
              </w:rPr>
              <w:t>431</w:t>
            </w:r>
          </w:p>
        </w:tc>
        <w:tc>
          <w:tcPr>
            <w:tcW w:w="474" w:type="pct"/>
            <w:tcBorders>
              <w:bottom w:val="single" w:sz="4" w:space="0" w:color="auto"/>
            </w:tcBorders>
            <w:shd w:val="clear" w:color="auto" w:fill="auto"/>
            <w:vAlign w:val="bottom"/>
          </w:tcPr>
          <w:p w14:paraId="33A346A8" w14:textId="6E3D21F7"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62</w:t>
            </w:r>
            <w:r w:rsidR="0004779D" w:rsidRPr="002D2F67">
              <w:rPr>
                <w:rFonts w:ascii="Arial" w:hAnsi="Arial" w:cs="Arial"/>
                <w:color w:val="000000"/>
                <w:sz w:val="20"/>
                <w:szCs w:val="20"/>
              </w:rPr>
              <w:t>,</w:t>
            </w:r>
            <w:r w:rsidRPr="00CD5714">
              <w:rPr>
                <w:rFonts w:ascii="Arial" w:hAnsi="Arial" w:cs="Arial"/>
                <w:color w:val="000000"/>
                <w:sz w:val="20"/>
                <w:szCs w:val="20"/>
                <w:lang w:val="en-GB"/>
              </w:rPr>
              <w:t>564</w:t>
            </w:r>
          </w:p>
        </w:tc>
        <w:tc>
          <w:tcPr>
            <w:tcW w:w="474" w:type="pct"/>
            <w:tcBorders>
              <w:bottom w:val="single" w:sz="4" w:space="0" w:color="auto"/>
            </w:tcBorders>
            <w:shd w:val="clear" w:color="auto" w:fill="auto"/>
            <w:vAlign w:val="bottom"/>
          </w:tcPr>
          <w:p w14:paraId="19DA6E47" w14:textId="16066C0E"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204</w:t>
            </w:r>
            <w:r w:rsidR="0004779D" w:rsidRPr="002D2F67">
              <w:rPr>
                <w:rFonts w:ascii="Arial" w:hAnsi="Arial" w:cs="Arial"/>
                <w:color w:val="000000"/>
                <w:sz w:val="20"/>
                <w:szCs w:val="20"/>
              </w:rPr>
              <w:t>,</w:t>
            </w:r>
            <w:r w:rsidRPr="00CD5714">
              <w:rPr>
                <w:rFonts w:ascii="Arial" w:hAnsi="Arial" w:cs="Arial"/>
                <w:color w:val="000000"/>
                <w:sz w:val="20"/>
                <w:szCs w:val="20"/>
                <w:lang w:val="en-GB"/>
              </w:rPr>
              <w:t>388</w:t>
            </w:r>
          </w:p>
        </w:tc>
        <w:tc>
          <w:tcPr>
            <w:tcW w:w="472" w:type="pct"/>
            <w:tcBorders>
              <w:bottom w:val="single" w:sz="4" w:space="0" w:color="auto"/>
            </w:tcBorders>
            <w:shd w:val="clear" w:color="auto" w:fill="auto"/>
            <w:vAlign w:val="bottom"/>
          </w:tcPr>
          <w:p w14:paraId="6BC56C10" w14:textId="1AC07BA6"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w:t>
            </w:r>
            <w:r w:rsidR="0004779D" w:rsidRPr="002D2F67">
              <w:rPr>
                <w:rFonts w:ascii="Arial" w:hAnsi="Arial" w:cs="Arial"/>
                <w:color w:val="000000"/>
                <w:sz w:val="20"/>
                <w:szCs w:val="20"/>
              </w:rPr>
              <w:t>,</w:t>
            </w:r>
            <w:r w:rsidRPr="00CD5714">
              <w:rPr>
                <w:rFonts w:ascii="Arial" w:hAnsi="Arial" w:cs="Arial"/>
                <w:color w:val="000000"/>
                <w:sz w:val="20"/>
                <w:szCs w:val="20"/>
                <w:lang w:val="en-GB"/>
              </w:rPr>
              <w:t>482</w:t>
            </w:r>
            <w:r w:rsidR="0004779D" w:rsidRPr="002D2F67">
              <w:rPr>
                <w:rFonts w:ascii="Arial" w:hAnsi="Arial" w:cs="Arial"/>
                <w:color w:val="000000"/>
                <w:sz w:val="20"/>
                <w:szCs w:val="20"/>
              </w:rPr>
              <w:t>,</w:t>
            </w:r>
            <w:r w:rsidRPr="00CD5714">
              <w:rPr>
                <w:rFonts w:ascii="Arial" w:hAnsi="Arial" w:cs="Arial"/>
                <w:color w:val="000000"/>
                <w:sz w:val="20"/>
                <w:szCs w:val="20"/>
                <w:lang w:val="en-GB"/>
              </w:rPr>
              <w:t>955</w:t>
            </w:r>
          </w:p>
        </w:tc>
      </w:tr>
      <w:tr w:rsidR="0004779D" w:rsidRPr="002D2F67" w14:paraId="14AD469D" w14:textId="77777777" w:rsidTr="002D2F67">
        <w:tc>
          <w:tcPr>
            <w:tcW w:w="1684" w:type="pct"/>
            <w:shd w:val="clear" w:color="auto" w:fill="auto"/>
            <w:vAlign w:val="bottom"/>
          </w:tcPr>
          <w:p w14:paraId="28512A30" w14:textId="77777777" w:rsidR="0004779D" w:rsidRPr="002D2F67" w:rsidRDefault="0004779D" w:rsidP="005611FE">
            <w:pPr>
              <w:jc w:val="both"/>
              <w:rPr>
                <w:rFonts w:ascii="Arial" w:hAnsi="Arial" w:cs="Arial"/>
                <w:color w:val="000000"/>
                <w:sz w:val="20"/>
                <w:szCs w:val="20"/>
              </w:rPr>
            </w:pPr>
          </w:p>
        </w:tc>
        <w:tc>
          <w:tcPr>
            <w:tcW w:w="474" w:type="pct"/>
            <w:tcBorders>
              <w:top w:val="single" w:sz="4" w:space="0" w:color="auto"/>
            </w:tcBorders>
            <w:shd w:val="clear" w:color="auto" w:fill="auto"/>
            <w:vAlign w:val="bottom"/>
          </w:tcPr>
          <w:p w14:paraId="4CCC4928"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541F5594"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5122E4A2"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42A9FAD6"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0E08B15F"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7E8943E1" w14:textId="77777777" w:rsidR="0004779D" w:rsidRPr="002D2F67" w:rsidRDefault="0004779D" w:rsidP="005611FE">
            <w:pPr>
              <w:ind w:right="-72"/>
              <w:jc w:val="right"/>
              <w:rPr>
                <w:rFonts w:ascii="Arial" w:hAnsi="Arial" w:cs="Arial"/>
                <w:color w:val="000000"/>
                <w:sz w:val="20"/>
                <w:szCs w:val="20"/>
              </w:rPr>
            </w:pPr>
          </w:p>
        </w:tc>
        <w:tc>
          <w:tcPr>
            <w:tcW w:w="472" w:type="pct"/>
            <w:tcBorders>
              <w:top w:val="single" w:sz="4" w:space="0" w:color="auto"/>
            </w:tcBorders>
            <w:shd w:val="clear" w:color="auto" w:fill="auto"/>
            <w:vAlign w:val="bottom"/>
          </w:tcPr>
          <w:p w14:paraId="72FDFBAE" w14:textId="77777777" w:rsidR="0004779D" w:rsidRPr="002D2F67" w:rsidRDefault="0004779D" w:rsidP="005611FE">
            <w:pPr>
              <w:ind w:right="-72"/>
              <w:jc w:val="right"/>
              <w:rPr>
                <w:rFonts w:ascii="Arial" w:hAnsi="Arial" w:cs="Arial"/>
                <w:color w:val="000000"/>
                <w:sz w:val="20"/>
                <w:szCs w:val="20"/>
              </w:rPr>
            </w:pPr>
          </w:p>
        </w:tc>
      </w:tr>
      <w:tr w:rsidR="0004779D" w:rsidRPr="002D2F67" w14:paraId="5AA652DA" w14:textId="77777777" w:rsidTr="002D2F67">
        <w:tc>
          <w:tcPr>
            <w:tcW w:w="1684" w:type="pct"/>
            <w:shd w:val="clear" w:color="auto" w:fill="auto"/>
            <w:vAlign w:val="bottom"/>
          </w:tcPr>
          <w:p w14:paraId="567AA703" w14:textId="2EAC3046" w:rsidR="0004779D" w:rsidRPr="002D2F67" w:rsidRDefault="0004779D" w:rsidP="005611FE">
            <w:pPr>
              <w:rPr>
                <w:rFonts w:ascii="Arial" w:hAnsi="Arial" w:cs="Arial"/>
                <w:color w:val="000000"/>
                <w:sz w:val="20"/>
                <w:szCs w:val="20"/>
              </w:rPr>
            </w:pPr>
            <w:r w:rsidRPr="002D2F67">
              <w:rPr>
                <w:rFonts w:ascii="Arial" w:hAnsi="Arial" w:cs="Arial"/>
                <w:b/>
                <w:bCs/>
                <w:color w:val="000000"/>
                <w:sz w:val="20"/>
                <w:szCs w:val="20"/>
              </w:rPr>
              <w:t xml:space="preserve">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 </w:t>
            </w:r>
            <w:r w:rsidR="00CD5714" w:rsidRPr="00CD5714">
              <w:rPr>
                <w:rFonts w:ascii="Arial" w:hAnsi="Arial" w:cs="Arial"/>
                <w:b/>
                <w:bCs/>
                <w:color w:val="000000"/>
                <w:sz w:val="20"/>
                <w:szCs w:val="20"/>
                <w:lang w:val="en-GB"/>
              </w:rPr>
              <w:t>2023</w:t>
            </w:r>
          </w:p>
        </w:tc>
        <w:tc>
          <w:tcPr>
            <w:tcW w:w="474" w:type="pct"/>
            <w:shd w:val="clear" w:color="auto" w:fill="auto"/>
            <w:vAlign w:val="bottom"/>
          </w:tcPr>
          <w:p w14:paraId="3A65FDD9" w14:textId="77777777" w:rsidR="0004779D" w:rsidRPr="002D2F67" w:rsidRDefault="0004779D" w:rsidP="005611FE">
            <w:pPr>
              <w:ind w:right="-72"/>
              <w:jc w:val="right"/>
              <w:rPr>
                <w:rFonts w:ascii="Arial" w:hAnsi="Arial" w:cs="Arial"/>
                <w:color w:val="000000"/>
                <w:sz w:val="20"/>
                <w:szCs w:val="20"/>
              </w:rPr>
            </w:pPr>
          </w:p>
        </w:tc>
        <w:tc>
          <w:tcPr>
            <w:tcW w:w="474" w:type="pct"/>
            <w:shd w:val="clear" w:color="auto" w:fill="auto"/>
            <w:vAlign w:val="bottom"/>
          </w:tcPr>
          <w:p w14:paraId="75C84CEA" w14:textId="77777777" w:rsidR="0004779D" w:rsidRPr="002D2F67" w:rsidRDefault="0004779D" w:rsidP="005611FE">
            <w:pPr>
              <w:ind w:right="-72"/>
              <w:jc w:val="right"/>
              <w:rPr>
                <w:rFonts w:ascii="Arial" w:hAnsi="Arial" w:cs="Arial"/>
                <w:color w:val="000000"/>
                <w:sz w:val="20"/>
                <w:szCs w:val="20"/>
              </w:rPr>
            </w:pPr>
          </w:p>
        </w:tc>
        <w:tc>
          <w:tcPr>
            <w:tcW w:w="474" w:type="pct"/>
            <w:shd w:val="clear" w:color="auto" w:fill="auto"/>
            <w:vAlign w:val="bottom"/>
          </w:tcPr>
          <w:p w14:paraId="203B9A1B" w14:textId="77777777" w:rsidR="0004779D" w:rsidRPr="002D2F67" w:rsidRDefault="0004779D" w:rsidP="005611FE">
            <w:pPr>
              <w:ind w:right="-72"/>
              <w:jc w:val="right"/>
              <w:rPr>
                <w:rFonts w:ascii="Arial" w:hAnsi="Arial" w:cs="Arial"/>
                <w:color w:val="000000"/>
                <w:sz w:val="20"/>
                <w:szCs w:val="20"/>
              </w:rPr>
            </w:pPr>
          </w:p>
        </w:tc>
        <w:tc>
          <w:tcPr>
            <w:tcW w:w="474" w:type="pct"/>
            <w:shd w:val="clear" w:color="auto" w:fill="auto"/>
            <w:vAlign w:val="bottom"/>
          </w:tcPr>
          <w:p w14:paraId="2993C345" w14:textId="77777777" w:rsidR="0004779D" w:rsidRPr="002D2F67" w:rsidRDefault="0004779D" w:rsidP="005611FE">
            <w:pPr>
              <w:ind w:right="-72"/>
              <w:jc w:val="right"/>
              <w:rPr>
                <w:rFonts w:ascii="Arial" w:hAnsi="Arial" w:cs="Arial"/>
                <w:color w:val="000000"/>
                <w:sz w:val="20"/>
                <w:szCs w:val="20"/>
              </w:rPr>
            </w:pPr>
          </w:p>
        </w:tc>
        <w:tc>
          <w:tcPr>
            <w:tcW w:w="474" w:type="pct"/>
            <w:shd w:val="clear" w:color="auto" w:fill="auto"/>
            <w:vAlign w:val="bottom"/>
          </w:tcPr>
          <w:p w14:paraId="24B6F028" w14:textId="77777777" w:rsidR="0004779D" w:rsidRPr="002D2F67" w:rsidRDefault="0004779D" w:rsidP="005611FE">
            <w:pPr>
              <w:ind w:right="-72"/>
              <w:jc w:val="right"/>
              <w:rPr>
                <w:rFonts w:ascii="Arial" w:hAnsi="Arial" w:cs="Arial"/>
                <w:color w:val="000000"/>
                <w:sz w:val="20"/>
                <w:szCs w:val="20"/>
              </w:rPr>
            </w:pPr>
          </w:p>
        </w:tc>
        <w:tc>
          <w:tcPr>
            <w:tcW w:w="474" w:type="pct"/>
            <w:shd w:val="clear" w:color="auto" w:fill="auto"/>
            <w:vAlign w:val="bottom"/>
          </w:tcPr>
          <w:p w14:paraId="1927E9F4" w14:textId="77777777" w:rsidR="0004779D" w:rsidRPr="002D2F67" w:rsidRDefault="0004779D" w:rsidP="005611FE">
            <w:pPr>
              <w:ind w:right="-72"/>
              <w:jc w:val="right"/>
              <w:rPr>
                <w:rFonts w:ascii="Arial" w:hAnsi="Arial" w:cs="Arial"/>
                <w:color w:val="000000"/>
                <w:sz w:val="20"/>
                <w:szCs w:val="20"/>
              </w:rPr>
            </w:pPr>
          </w:p>
        </w:tc>
        <w:tc>
          <w:tcPr>
            <w:tcW w:w="472" w:type="pct"/>
            <w:shd w:val="clear" w:color="auto" w:fill="auto"/>
            <w:vAlign w:val="bottom"/>
          </w:tcPr>
          <w:p w14:paraId="2B46EAB1" w14:textId="77777777" w:rsidR="0004779D" w:rsidRPr="002D2F67" w:rsidRDefault="0004779D" w:rsidP="005611FE">
            <w:pPr>
              <w:ind w:right="-72"/>
              <w:jc w:val="right"/>
              <w:rPr>
                <w:rFonts w:ascii="Arial" w:hAnsi="Arial" w:cs="Arial"/>
                <w:color w:val="000000"/>
                <w:sz w:val="20"/>
                <w:szCs w:val="20"/>
              </w:rPr>
            </w:pPr>
          </w:p>
        </w:tc>
      </w:tr>
      <w:tr w:rsidR="0004779D" w:rsidRPr="002D2F67" w14:paraId="3D77ABB4" w14:textId="77777777" w:rsidTr="002D2F67">
        <w:tc>
          <w:tcPr>
            <w:tcW w:w="1684" w:type="pct"/>
            <w:shd w:val="clear" w:color="auto" w:fill="auto"/>
            <w:vAlign w:val="bottom"/>
          </w:tcPr>
          <w:p w14:paraId="39C56B22" w14:textId="77777777" w:rsidR="0004779D" w:rsidRPr="002D2F67" w:rsidRDefault="0004779D" w:rsidP="005611FE">
            <w:pPr>
              <w:jc w:val="both"/>
              <w:rPr>
                <w:rFonts w:ascii="Arial" w:hAnsi="Arial" w:cs="Arial"/>
                <w:color w:val="000000"/>
                <w:sz w:val="20"/>
                <w:szCs w:val="20"/>
              </w:rPr>
            </w:pPr>
            <w:r w:rsidRPr="002D2F67">
              <w:rPr>
                <w:rFonts w:ascii="Arial" w:hAnsi="Arial" w:cs="Arial"/>
                <w:color w:val="000000"/>
                <w:sz w:val="20"/>
                <w:szCs w:val="20"/>
              </w:rPr>
              <w:t>Cost</w:t>
            </w:r>
          </w:p>
        </w:tc>
        <w:tc>
          <w:tcPr>
            <w:tcW w:w="474" w:type="pct"/>
            <w:shd w:val="clear" w:color="auto" w:fill="auto"/>
          </w:tcPr>
          <w:p w14:paraId="65ABCD71" w14:textId="5399102E"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844</w:t>
            </w:r>
            <w:r w:rsidR="0004779D" w:rsidRPr="002D2F67">
              <w:rPr>
                <w:rFonts w:ascii="Arial" w:hAnsi="Arial" w:cs="Arial"/>
                <w:color w:val="000000"/>
                <w:sz w:val="20"/>
                <w:szCs w:val="20"/>
              </w:rPr>
              <w:t>,</w:t>
            </w:r>
            <w:r w:rsidRPr="00CD5714">
              <w:rPr>
                <w:rFonts w:ascii="Arial" w:hAnsi="Arial" w:cs="Arial"/>
                <w:color w:val="000000"/>
                <w:sz w:val="20"/>
                <w:szCs w:val="20"/>
                <w:lang w:val="en-GB"/>
              </w:rPr>
              <w:t>187</w:t>
            </w:r>
          </w:p>
        </w:tc>
        <w:tc>
          <w:tcPr>
            <w:tcW w:w="474" w:type="pct"/>
            <w:shd w:val="clear" w:color="auto" w:fill="auto"/>
            <w:vAlign w:val="bottom"/>
          </w:tcPr>
          <w:p w14:paraId="0AF55CF1" w14:textId="6FF3FD66"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286</w:t>
            </w:r>
            <w:r w:rsidR="0004779D" w:rsidRPr="002D2F67">
              <w:rPr>
                <w:rFonts w:ascii="Arial" w:hAnsi="Arial" w:cs="Arial"/>
                <w:color w:val="000000"/>
                <w:sz w:val="20"/>
                <w:szCs w:val="20"/>
              </w:rPr>
              <w:t>,</w:t>
            </w:r>
            <w:r w:rsidRPr="00CD5714">
              <w:rPr>
                <w:rFonts w:ascii="Arial" w:hAnsi="Arial" w:cs="Arial"/>
                <w:color w:val="000000"/>
                <w:sz w:val="20"/>
                <w:szCs w:val="20"/>
                <w:lang w:val="en-GB"/>
              </w:rPr>
              <w:t>943</w:t>
            </w:r>
          </w:p>
        </w:tc>
        <w:tc>
          <w:tcPr>
            <w:tcW w:w="474" w:type="pct"/>
            <w:shd w:val="clear" w:color="auto" w:fill="auto"/>
            <w:vAlign w:val="bottom"/>
          </w:tcPr>
          <w:p w14:paraId="01FB4AD1" w14:textId="362506BA"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04779D" w:rsidRPr="002D2F67">
              <w:rPr>
                <w:rFonts w:ascii="Arial" w:hAnsi="Arial" w:cs="Arial"/>
                <w:color w:val="000000"/>
                <w:sz w:val="20"/>
                <w:szCs w:val="20"/>
              </w:rPr>
              <w:t>,</w:t>
            </w:r>
            <w:r w:rsidRPr="00CD5714">
              <w:rPr>
                <w:rFonts w:ascii="Arial" w:hAnsi="Arial" w:cs="Arial"/>
                <w:color w:val="000000"/>
                <w:sz w:val="20"/>
                <w:szCs w:val="20"/>
                <w:lang w:val="en-GB"/>
              </w:rPr>
              <w:t>909</w:t>
            </w:r>
            <w:r w:rsidR="0004779D" w:rsidRPr="002D2F67">
              <w:rPr>
                <w:rFonts w:ascii="Arial" w:hAnsi="Arial" w:cs="Arial"/>
                <w:color w:val="000000"/>
                <w:sz w:val="20"/>
                <w:szCs w:val="20"/>
              </w:rPr>
              <w:t>,</w:t>
            </w:r>
            <w:r w:rsidRPr="00CD5714">
              <w:rPr>
                <w:rFonts w:ascii="Arial" w:hAnsi="Arial" w:cs="Arial"/>
                <w:color w:val="000000"/>
                <w:sz w:val="20"/>
                <w:szCs w:val="20"/>
                <w:lang w:val="en-GB"/>
              </w:rPr>
              <w:t>028</w:t>
            </w:r>
          </w:p>
        </w:tc>
        <w:tc>
          <w:tcPr>
            <w:tcW w:w="474" w:type="pct"/>
            <w:shd w:val="clear" w:color="auto" w:fill="auto"/>
            <w:vAlign w:val="bottom"/>
          </w:tcPr>
          <w:p w14:paraId="2071EF6C" w14:textId="19B4F3EE"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42</w:t>
            </w:r>
            <w:r w:rsidR="0004779D" w:rsidRPr="002D2F67">
              <w:rPr>
                <w:rFonts w:ascii="Arial" w:hAnsi="Arial" w:cs="Arial"/>
                <w:color w:val="000000"/>
                <w:sz w:val="20"/>
                <w:szCs w:val="20"/>
              </w:rPr>
              <w:t>,</w:t>
            </w:r>
            <w:r w:rsidRPr="00CD5714">
              <w:rPr>
                <w:rFonts w:ascii="Arial" w:hAnsi="Arial" w:cs="Arial"/>
                <w:color w:val="000000"/>
                <w:sz w:val="20"/>
                <w:szCs w:val="20"/>
                <w:lang w:val="en-GB"/>
              </w:rPr>
              <w:t>461</w:t>
            </w:r>
          </w:p>
        </w:tc>
        <w:tc>
          <w:tcPr>
            <w:tcW w:w="474" w:type="pct"/>
            <w:shd w:val="clear" w:color="auto" w:fill="auto"/>
            <w:vAlign w:val="bottom"/>
          </w:tcPr>
          <w:p w14:paraId="4DFABE41" w14:textId="31C4DC31"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133</w:t>
            </w:r>
            <w:r w:rsidR="0004779D" w:rsidRPr="002D2F67">
              <w:rPr>
                <w:rFonts w:ascii="Arial" w:hAnsi="Arial" w:cs="Arial"/>
                <w:color w:val="000000"/>
                <w:sz w:val="20"/>
                <w:szCs w:val="20"/>
              </w:rPr>
              <w:t>,</w:t>
            </w:r>
            <w:r w:rsidRPr="00CD5714">
              <w:rPr>
                <w:rFonts w:ascii="Arial" w:hAnsi="Arial" w:cs="Arial"/>
                <w:color w:val="000000"/>
                <w:sz w:val="20"/>
                <w:szCs w:val="20"/>
                <w:lang w:val="en-GB"/>
              </w:rPr>
              <w:t>353</w:t>
            </w:r>
          </w:p>
        </w:tc>
        <w:tc>
          <w:tcPr>
            <w:tcW w:w="474" w:type="pct"/>
            <w:shd w:val="clear" w:color="auto" w:fill="auto"/>
            <w:vAlign w:val="bottom"/>
          </w:tcPr>
          <w:p w14:paraId="2761A10D" w14:textId="7E6491F3"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204</w:t>
            </w:r>
            <w:r w:rsidR="0004779D" w:rsidRPr="002D2F67">
              <w:rPr>
                <w:rFonts w:ascii="Arial" w:hAnsi="Arial" w:cs="Arial"/>
                <w:color w:val="000000"/>
                <w:sz w:val="20"/>
                <w:szCs w:val="20"/>
              </w:rPr>
              <w:t>,</w:t>
            </w:r>
            <w:r w:rsidRPr="00CD5714">
              <w:rPr>
                <w:rFonts w:ascii="Arial" w:hAnsi="Arial" w:cs="Arial"/>
                <w:color w:val="000000"/>
                <w:sz w:val="20"/>
                <w:szCs w:val="20"/>
                <w:lang w:val="en-GB"/>
              </w:rPr>
              <w:t>388</w:t>
            </w:r>
          </w:p>
        </w:tc>
        <w:tc>
          <w:tcPr>
            <w:tcW w:w="472" w:type="pct"/>
            <w:shd w:val="clear" w:color="auto" w:fill="auto"/>
            <w:vAlign w:val="bottom"/>
          </w:tcPr>
          <w:p w14:paraId="676C369A" w14:textId="405496F8"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w:t>
            </w:r>
            <w:r w:rsidR="0004779D" w:rsidRPr="002D2F67">
              <w:rPr>
                <w:rFonts w:ascii="Arial" w:hAnsi="Arial" w:cs="Arial"/>
                <w:color w:val="000000"/>
                <w:sz w:val="20"/>
                <w:szCs w:val="20"/>
              </w:rPr>
              <w:t>,</w:t>
            </w:r>
            <w:r w:rsidRPr="00CD5714">
              <w:rPr>
                <w:rFonts w:ascii="Arial" w:hAnsi="Arial" w:cs="Arial"/>
                <w:color w:val="000000"/>
                <w:sz w:val="20"/>
                <w:szCs w:val="20"/>
                <w:lang w:val="en-GB"/>
              </w:rPr>
              <w:t>420</w:t>
            </w:r>
            <w:r w:rsidR="0004779D" w:rsidRPr="002D2F67">
              <w:rPr>
                <w:rFonts w:ascii="Arial" w:hAnsi="Arial" w:cs="Arial"/>
                <w:color w:val="000000"/>
                <w:sz w:val="20"/>
                <w:szCs w:val="20"/>
              </w:rPr>
              <w:t>,</w:t>
            </w:r>
            <w:r w:rsidRPr="00CD5714">
              <w:rPr>
                <w:rFonts w:ascii="Arial" w:hAnsi="Arial" w:cs="Arial"/>
                <w:color w:val="000000"/>
                <w:sz w:val="20"/>
                <w:szCs w:val="20"/>
                <w:lang w:val="en-GB"/>
              </w:rPr>
              <w:t>360</w:t>
            </w:r>
          </w:p>
        </w:tc>
      </w:tr>
      <w:tr w:rsidR="0004779D" w:rsidRPr="002D2F67" w14:paraId="71A23058" w14:textId="77777777" w:rsidTr="002D2F67">
        <w:tc>
          <w:tcPr>
            <w:tcW w:w="1684" w:type="pct"/>
            <w:shd w:val="clear" w:color="auto" w:fill="auto"/>
            <w:vAlign w:val="bottom"/>
          </w:tcPr>
          <w:p w14:paraId="3302F89A" w14:textId="77777777" w:rsidR="0004779D" w:rsidRPr="002D2F67" w:rsidRDefault="0004779D" w:rsidP="005611FE">
            <w:pPr>
              <w:jc w:val="both"/>
              <w:rPr>
                <w:rFonts w:ascii="Arial" w:hAnsi="Arial" w:cs="Arial"/>
                <w:color w:val="000000"/>
                <w:sz w:val="20"/>
                <w:szCs w:val="20"/>
              </w:rPr>
            </w:pPr>
            <w:r w:rsidRPr="002D2F67">
              <w:rPr>
                <w:rFonts w:ascii="Arial" w:hAnsi="Arial" w:cs="Arial"/>
                <w:color w:val="000000"/>
                <w:sz w:val="20"/>
                <w:szCs w:val="20"/>
                <w:u w:val="single"/>
              </w:rPr>
              <w:t>Less</w:t>
            </w:r>
            <w:r w:rsidRPr="002D2F67">
              <w:rPr>
                <w:rFonts w:ascii="Arial" w:hAnsi="Arial" w:cs="Arial"/>
                <w:color w:val="000000"/>
                <w:sz w:val="20"/>
                <w:szCs w:val="20"/>
              </w:rPr>
              <w:t xml:space="preserve">  Accumulated amortisation</w:t>
            </w:r>
          </w:p>
        </w:tc>
        <w:tc>
          <w:tcPr>
            <w:tcW w:w="474" w:type="pct"/>
            <w:tcBorders>
              <w:bottom w:val="single" w:sz="4" w:space="0" w:color="auto"/>
            </w:tcBorders>
            <w:shd w:val="clear" w:color="auto" w:fill="auto"/>
          </w:tcPr>
          <w:p w14:paraId="1407E81E" w14:textId="4529BFB3" w:rsidR="0004779D" w:rsidRPr="002D2F67" w:rsidRDefault="0004779D"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260</w:t>
            </w:r>
            <w:r w:rsidRPr="002D2F67">
              <w:rPr>
                <w:rFonts w:ascii="Arial" w:hAnsi="Arial" w:cs="Arial"/>
                <w:color w:val="000000"/>
                <w:sz w:val="20"/>
                <w:szCs w:val="20"/>
              </w:rPr>
              <w:t>,</w:t>
            </w:r>
            <w:r w:rsidR="00CD5714" w:rsidRPr="00CD5714">
              <w:rPr>
                <w:rFonts w:ascii="Arial" w:hAnsi="Arial" w:cs="Arial"/>
                <w:color w:val="000000"/>
                <w:sz w:val="20"/>
                <w:szCs w:val="20"/>
                <w:lang w:val="en-GB"/>
              </w:rPr>
              <w:t>205</w:t>
            </w:r>
            <w:r w:rsidRPr="002D2F67">
              <w:rPr>
                <w:rFonts w:ascii="Arial" w:hAnsi="Arial" w:cs="Arial"/>
                <w:color w:val="000000"/>
                <w:sz w:val="20"/>
                <w:szCs w:val="20"/>
              </w:rPr>
              <w:t>)</w:t>
            </w:r>
          </w:p>
        </w:tc>
        <w:tc>
          <w:tcPr>
            <w:tcW w:w="474" w:type="pct"/>
            <w:tcBorders>
              <w:bottom w:val="single" w:sz="4" w:space="0" w:color="auto"/>
            </w:tcBorders>
            <w:shd w:val="clear" w:color="auto" w:fill="auto"/>
            <w:vAlign w:val="bottom"/>
          </w:tcPr>
          <w:p w14:paraId="0E6074E8" w14:textId="15B3E2CB" w:rsidR="0004779D" w:rsidRPr="002D2F67" w:rsidRDefault="0004779D"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88</w:t>
            </w:r>
            <w:r w:rsidRPr="002D2F67">
              <w:rPr>
                <w:rFonts w:ascii="Arial" w:hAnsi="Arial" w:cs="Arial"/>
                <w:color w:val="000000"/>
                <w:sz w:val="20"/>
                <w:szCs w:val="20"/>
              </w:rPr>
              <w:t>,</w:t>
            </w:r>
            <w:r w:rsidR="00CD5714" w:rsidRPr="00CD5714">
              <w:rPr>
                <w:rFonts w:ascii="Arial" w:hAnsi="Arial" w:cs="Arial"/>
                <w:color w:val="000000"/>
                <w:sz w:val="20"/>
                <w:szCs w:val="20"/>
                <w:lang w:val="en-GB"/>
              </w:rPr>
              <w:t>481</w:t>
            </w:r>
            <w:r w:rsidRPr="002D2F67">
              <w:rPr>
                <w:rFonts w:ascii="Arial" w:hAnsi="Arial" w:cs="Arial"/>
                <w:color w:val="000000"/>
                <w:sz w:val="20"/>
                <w:szCs w:val="20"/>
              </w:rPr>
              <w:t>)</w:t>
            </w:r>
          </w:p>
        </w:tc>
        <w:tc>
          <w:tcPr>
            <w:tcW w:w="474" w:type="pct"/>
            <w:tcBorders>
              <w:bottom w:val="single" w:sz="4" w:space="0" w:color="auto"/>
            </w:tcBorders>
            <w:shd w:val="clear" w:color="auto" w:fill="auto"/>
            <w:vAlign w:val="bottom"/>
          </w:tcPr>
          <w:p w14:paraId="2571AFFD" w14:textId="67E5C74C" w:rsidR="0004779D" w:rsidRPr="002D2F67" w:rsidRDefault="0004779D"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498</w:t>
            </w:r>
            <w:r w:rsidRPr="002D2F67">
              <w:rPr>
                <w:rFonts w:ascii="Arial" w:hAnsi="Arial" w:cs="Arial"/>
                <w:color w:val="000000"/>
                <w:sz w:val="20"/>
                <w:szCs w:val="20"/>
              </w:rPr>
              <w:t>,</w:t>
            </w:r>
            <w:r w:rsidR="00CD5714" w:rsidRPr="00CD5714">
              <w:rPr>
                <w:rFonts w:ascii="Arial" w:hAnsi="Arial" w:cs="Arial"/>
                <w:color w:val="000000"/>
                <w:sz w:val="20"/>
                <w:szCs w:val="20"/>
                <w:lang w:val="en-GB"/>
              </w:rPr>
              <w:t>899</w:t>
            </w:r>
            <w:r w:rsidRPr="002D2F67">
              <w:rPr>
                <w:rFonts w:ascii="Arial" w:hAnsi="Arial" w:cs="Arial"/>
                <w:color w:val="000000"/>
                <w:sz w:val="20"/>
                <w:szCs w:val="20"/>
              </w:rPr>
              <w:t>)</w:t>
            </w:r>
          </w:p>
        </w:tc>
        <w:tc>
          <w:tcPr>
            <w:tcW w:w="474" w:type="pct"/>
            <w:tcBorders>
              <w:bottom w:val="single" w:sz="4" w:space="0" w:color="auto"/>
            </w:tcBorders>
            <w:shd w:val="clear" w:color="auto" w:fill="auto"/>
            <w:vAlign w:val="bottom"/>
          </w:tcPr>
          <w:p w14:paraId="1579503C" w14:textId="3EDDD7F7"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19</w:t>
            </w:r>
            <w:r w:rsidRPr="002D2F67">
              <w:rPr>
                <w:rFonts w:ascii="Arial" w:hAnsi="Arial" w:cs="Arial"/>
                <w:color w:val="000000"/>
                <w:sz w:val="20"/>
                <w:szCs w:val="20"/>
              </w:rPr>
              <w:t>,</w:t>
            </w:r>
            <w:r w:rsidR="00CD5714" w:rsidRPr="00CD5714">
              <w:rPr>
                <w:rFonts w:ascii="Arial" w:hAnsi="Arial" w:cs="Arial"/>
                <w:color w:val="000000"/>
                <w:sz w:val="20"/>
                <w:szCs w:val="20"/>
                <w:lang w:val="en-GB"/>
              </w:rPr>
              <w:t>031</w:t>
            </w:r>
            <w:r w:rsidRPr="002D2F67">
              <w:rPr>
                <w:rFonts w:ascii="Arial" w:hAnsi="Arial" w:cs="Arial"/>
                <w:color w:val="000000"/>
                <w:sz w:val="20"/>
                <w:szCs w:val="20"/>
              </w:rPr>
              <w:t>)</w:t>
            </w:r>
          </w:p>
        </w:tc>
        <w:tc>
          <w:tcPr>
            <w:tcW w:w="474" w:type="pct"/>
            <w:tcBorders>
              <w:bottom w:val="single" w:sz="4" w:space="0" w:color="auto"/>
            </w:tcBorders>
            <w:shd w:val="clear" w:color="auto" w:fill="auto"/>
            <w:vAlign w:val="bottom"/>
          </w:tcPr>
          <w:p w14:paraId="6A07C0AC" w14:textId="6D16EBD1"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70</w:t>
            </w:r>
            <w:r w:rsidRPr="002D2F67">
              <w:rPr>
                <w:rFonts w:ascii="Arial" w:hAnsi="Arial" w:cs="Arial"/>
                <w:color w:val="000000"/>
                <w:sz w:val="20"/>
                <w:szCs w:val="20"/>
              </w:rPr>
              <w:t>,</w:t>
            </w:r>
            <w:r w:rsidR="00CD5714" w:rsidRPr="00CD5714">
              <w:rPr>
                <w:rFonts w:ascii="Arial" w:hAnsi="Arial" w:cs="Arial"/>
                <w:color w:val="000000"/>
                <w:sz w:val="20"/>
                <w:szCs w:val="20"/>
                <w:lang w:val="en-GB"/>
              </w:rPr>
              <w:t>789</w:t>
            </w:r>
            <w:r w:rsidRPr="002D2F67">
              <w:rPr>
                <w:rFonts w:ascii="Arial" w:hAnsi="Arial" w:cs="Arial"/>
                <w:color w:val="000000"/>
                <w:sz w:val="20"/>
                <w:szCs w:val="20"/>
              </w:rPr>
              <w:t>)</w:t>
            </w:r>
          </w:p>
        </w:tc>
        <w:tc>
          <w:tcPr>
            <w:tcW w:w="474" w:type="pct"/>
            <w:tcBorders>
              <w:bottom w:val="single" w:sz="4" w:space="0" w:color="auto"/>
            </w:tcBorders>
            <w:shd w:val="clear" w:color="auto" w:fill="auto"/>
            <w:vAlign w:val="bottom"/>
          </w:tcPr>
          <w:p w14:paraId="46776D23" w14:textId="77777777"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2" w:type="pct"/>
            <w:tcBorders>
              <w:bottom w:val="single" w:sz="4" w:space="0" w:color="auto"/>
            </w:tcBorders>
            <w:shd w:val="clear" w:color="auto" w:fill="auto"/>
            <w:vAlign w:val="bottom"/>
          </w:tcPr>
          <w:p w14:paraId="6EA2ABB5" w14:textId="72E3F29E"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937</w:t>
            </w:r>
            <w:r w:rsidRPr="002D2F67">
              <w:rPr>
                <w:rFonts w:ascii="Arial" w:hAnsi="Arial" w:cs="Arial"/>
                <w:color w:val="000000"/>
                <w:sz w:val="20"/>
                <w:szCs w:val="20"/>
              </w:rPr>
              <w:t>,</w:t>
            </w:r>
            <w:r w:rsidR="00CD5714" w:rsidRPr="00CD5714">
              <w:rPr>
                <w:rFonts w:ascii="Arial" w:hAnsi="Arial" w:cs="Arial"/>
                <w:color w:val="000000"/>
                <w:sz w:val="20"/>
                <w:szCs w:val="20"/>
                <w:lang w:val="en-GB"/>
              </w:rPr>
              <w:t>405</w:t>
            </w:r>
            <w:r w:rsidRPr="002D2F67">
              <w:rPr>
                <w:rFonts w:ascii="Arial" w:hAnsi="Arial" w:cs="Arial"/>
                <w:color w:val="000000"/>
                <w:sz w:val="20"/>
                <w:szCs w:val="20"/>
              </w:rPr>
              <w:t>)</w:t>
            </w:r>
          </w:p>
        </w:tc>
      </w:tr>
      <w:tr w:rsidR="0004779D" w:rsidRPr="002D2F67" w14:paraId="7229AEF9" w14:textId="77777777" w:rsidTr="002D2F67">
        <w:tc>
          <w:tcPr>
            <w:tcW w:w="1684" w:type="pct"/>
            <w:shd w:val="clear" w:color="auto" w:fill="auto"/>
            <w:vAlign w:val="bottom"/>
          </w:tcPr>
          <w:p w14:paraId="762587E4" w14:textId="77777777" w:rsidR="0004779D" w:rsidRPr="002D2F67" w:rsidRDefault="0004779D" w:rsidP="005611FE">
            <w:pPr>
              <w:rPr>
                <w:rFonts w:ascii="Arial" w:hAnsi="Arial" w:cs="Arial"/>
                <w:color w:val="000000"/>
                <w:sz w:val="20"/>
                <w:szCs w:val="20"/>
              </w:rPr>
            </w:pPr>
          </w:p>
        </w:tc>
        <w:tc>
          <w:tcPr>
            <w:tcW w:w="474" w:type="pct"/>
            <w:tcBorders>
              <w:top w:val="single" w:sz="4" w:space="0" w:color="auto"/>
            </w:tcBorders>
            <w:shd w:val="clear" w:color="auto" w:fill="auto"/>
            <w:vAlign w:val="bottom"/>
          </w:tcPr>
          <w:p w14:paraId="18DB33A3"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2C58A6CB"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60038486"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01FFED2A"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523A07A0"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174354C7" w14:textId="77777777" w:rsidR="0004779D" w:rsidRPr="002D2F67" w:rsidRDefault="0004779D" w:rsidP="005611FE">
            <w:pPr>
              <w:ind w:right="-72"/>
              <w:jc w:val="right"/>
              <w:rPr>
                <w:rFonts w:ascii="Arial" w:hAnsi="Arial" w:cs="Arial"/>
                <w:color w:val="000000"/>
                <w:sz w:val="20"/>
                <w:szCs w:val="20"/>
              </w:rPr>
            </w:pPr>
          </w:p>
        </w:tc>
        <w:tc>
          <w:tcPr>
            <w:tcW w:w="472" w:type="pct"/>
            <w:tcBorders>
              <w:top w:val="single" w:sz="4" w:space="0" w:color="auto"/>
            </w:tcBorders>
            <w:shd w:val="clear" w:color="auto" w:fill="auto"/>
            <w:vAlign w:val="bottom"/>
          </w:tcPr>
          <w:p w14:paraId="0D1823FF" w14:textId="77777777" w:rsidR="0004779D" w:rsidRPr="002D2F67" w:rsidRDefault="0004779D" w:rsidP="005611FE">
            <w:pPr>
              <w:ind w:right="-72"/>
              <w:jc w:val="right"/>
              <w:rPr>
                <w:rFonts w:ascii="Arial" w:hAnsi="Arial" w:cs="Arial"/>
                <w:color w:val="000000"/>
                <w:sz w:val="20"/>
                <w:szCs w:val="20"/>
              </w:rPr>
            </w:pPr>
          </w:p>
        </w:tc>
      </w:tr>
      <w:tr w:rsidR="0004779D" w:rsidRPr="002D2F67" w14:paraId="10066874" w14:textId="77777777" w:rsidTr="002D2F67">
        <w:tc>
          <w:tcPr>
            <w:tcW w:w="1684" w:type="pct"/>
            <w:shd w:val="clear" w:color="auto" w:fill="auto"/>
            <w:vAlign w:val="bottom"/>
          </w:tcPr>
          <w:p w14:paraId="442A6F48" w14:textId="77777777" w:rsidR="0004779D" w:rsidRPr="002D2F67" w:rsidRDefault="0004779D" w:rsidP="005611FE">
            <w:pPr>
              <w:jc w:val="both"/>
              <w:rPr>
                <w:rFonts w:ascii="Arial" w:hAnsi="Arial" w:cs="Arial"/>
                <w:color w:val="000000"/>
                <w:sz w:val="20"/>
                <w:szCs w:val="20"/>
              </w:rPr>
            </w:pPr>
            <w:r w:rsidRPr="002D2F67">
              <w:rPr>
                <w:rFonts w:ascii="Arial" w:hAnsi="Arial" w:cs="Arial"/>
                <w:color w:val="000000"/>
                <w:sz w:val="20"/>
                <w:szCs w:val="20"/>
              </w:rPr>
              <w:t>Net book value</w:t>
            </w:r>
          </w:p>
        </w:tc>
        <w:tc>
          <w:tcPr>
            <w:tcW w:w="474" w:type="pct"/>
            <w:tcBorders>
              <w:bottom w:val="single" w:sz="4" w:space="0" w:color="auto"/>
            </w:tcBorders>
            <w:shd w:val="clear" w:color="auto" w:fill="auto"/>
            <w:vAlign w:val="bottom"/>
          </w:tcPr>
          <w:p w14:paraId="2AFBFB7E" w14:textId="71D6CE02"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583</w:t>
            </w:r>
            <w:r w:rsidR="0004779D" w:rsidRPr="002D2F67">
              <w:rPr>
                <w:rFonts w:ascii="Arial" w:hAnsi="Arial" w:cs="Arial"/>
                <w:color w:val="000000"/>
                <w:sz w:val="20"/>
                <w:szCs w:val="20"/>
              </w:rPr>
              <w:t>,</w:t>
            </w:r>
            <w:r w:rsidRPr="00CD5714">
              <w:rPr>
                <w:rFonts w:ascii="Arial" w:hAnsi="Arial" w:cs="Arial"/>
                <w:color w:val="000000"/>
                <w:sz w:val="20"/>
                <w:szCs w:val="20"/>
                <w:lang w:val="en-GB"/>
              </w:rPr>
              <w:t>982</w:t>
            </w:r>
          </w:p>
        </w:tc>
        <w:tc>
          <w:tcPr>
            <w:tcW w:w="474" w:type="pct"/>
            <w:tcBorders>
              <w:bottom w:val="single" w:sz="4" w:space="0" w:color="auto"/>
            </w:tcBorders>
            <w:shd w:val="clear" w:color="auto" w:fill="auto"/>
            <w:vAlign w:val="bottom"/>
          </w:tcPr>
          <w:p w14:paraId="1FEBDE8D" w14:textId="10478A97"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198</w:t>
            </w:r>
            <w:r w:rsidR="0004779D" w:rsidRPr="002D2F67">
              <w:rPr>
                <w:rFonts w:ascii="Arial" w:hAnsi="Arial" w:cs="Arial"/>
                <w:color w:val="000000"/>
                <w:sz w:val="20"/>
                <w:szCs w:val="20"/>
              </w:rPr>
              <w:t>,</w:t>
            </w:r>
            <w:r w:rsidRPr="00CD5714">
              <w:rPr>
                <w:rFonts w:ascii="Arial" w:hAnsi="Arial" w:cs="Arial"/>
                <w:color w:val="000000"/>
                <w:sz w:val="20"/>
                <w:szCs w:val="20"/>
                <w:lang w:val="en-GB"/>
              </w:rPr>
              <w:t>462</w:t>
            </w:r>
          </w:p>
        </w:tc>
        <w:tc>
          <w:tcPr>
            <w:tcW w:w="474" w:type="pct"/>
            <w:tcBorders>
              <w:bottom w:val="single" w:sz="4" w:space="0" w:color="auto"/>
            </w:tcBorders>
            <w:shd w:val="clear" w:color="auto" w:fill="auto"/>
            <w:vAlign w:val="bottom"/>
          </w:tcPr>
          <w:p w14:paraId="36C58F88" w14:textId="45B37E32"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04779D" w:rsidRPr="002D2F67">
              <w:rPr>
                <w:rFonts w:ascii="Arial" w:hAnsi="Arial" w:cs="Arial"/>
                <w:color w:val="000000"/>
                <w:sz w:val="20"/>
                <w:szCs w:val="20"/>
              </w:rPr>
              <w:t>,</w:t>
            </w:r>
            <w:r w:rsidRPr="00CD5714">
              <w:rPr>
                <w:rFonts w:ascii="Arial" w:hAnsi="Arial" w:cs="Arial"/>
                <w:color w:val="000000"/>
                <w:sz w:val="20"/>
                <w:szCs w:val="20"/>
                <w:lang w:val="en-GB"/>
              </w:rPr>
              <w:t>410</w:t>
            </w:r>
            <w:r w:rsidR="0004779D" w:rsidRPr="002D2F67">
              <w:rPr>
                <w:rFonts w:ascii="Arial" w:hAnsi="Arial" w:cs="Arial"/>
                <w:color w:val="000000"/>
                <w:sz w:val="20"/>
                <w:szCs w:val="20"/>
              </w:rPr>
              <w:t>,</w:t>
            </w:r>
            <w:r w:rsidRPr="00CD5714">
              <w:rPr>
                <w:rFonts w:ascii="Arial" w:hAnsi="Arial" w:cs="Arial"/>
                <w:color w:val="000000"/>
                <w:sz w:val="20"/>
                <w:szCs w:val="20"/>
                <w:lang w:val="en-GB"/>
              </w:rPr>
              <w:t>129</w:t>
            </w:r>
          </w:p>
        </w:tc>
        <w:tc>
          <w:tcPr>
            <w:tcW w:w="474" w:type="pct"/>
            <w:tcBorders>
              <w:bottom w:val="single" w:sz="4" w:space="0" w:color="auto"/>
            </w:tcBorders>
            <w:shd w:val="clear" w:color="auto" w:fill="auto"/>
            <w:vAlign w:val="bottom"/>
          </w:tcPr>
          <w:p w14:paraId="542012BF" w14:textId="6931DF5C"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23</w:t>
            </w:r>
            <w:r w:rsidR="0004779D" w:rsidRPr="002D2F67">
              <w:rPr>
                <w:rFonts w:ascii="Arial" w:hAnsi="Arial" w:cs="Arial"/>
                <w:color w:val="000000"/>
                <w:sz w:val="20"/>
                <w:szCs w:val="20"/>
              </w:rPr>
              <w:t>,</w:t>
            </w:r>
            <w:r w:rsidRPr="00CD5714">
              <w:rPr>
                <w:rFonts w:ascii="Arial" w:hAnsi="Arial" w:cs="Arial"/>
                <w:color w:val="000000"/>
                <w:sz w:val="20"/>
                <w:szCs w:val="20"/>
                <w:lang w:val="en-GB"/>
              </w:rPr>
              <w:t>430</w:t>
            </w:r>
          </w:p>
        </w:tc>
        <w:tc>
          <w:tcPr>
            <w:tcW w:w="474" w:type="pct"/>
            <w:tcBorders>
              <w:bottom w:val="single" w:sz="4" w:space="0" w:color="auto"/>
            </w:tcBorders>
            <w:shd w:val="clear" w:color="auto" w:fill="auto"/>
            <w:vAlign w:val="bottom"/>
          </w:tcPr>
          <w:p w14:paraId="6D7C0805" w14:textId="2BD9FF20"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62</w:t>
            </w:r>
            <w:r w:rsidR="0004779D" w:rsidRPr="002D2F67">
              <w:rPr>
                <w:rFonts w:ascii="Arial" w:hAnsi="Arial" w:cs="Arial"/>
                <w:color w:val="000000"/>
                <w:sz w:val="20"/>
                <w:szCs w:val="20"/>
              </w:rPr>
              <w:t>,</w:t>
            </w:r>
            <w:r w:rsidRPr="00CD5714">
              <w:rPr>
                <w:rFonts w:ascii="Arial" w:hAnsi="Arial" w:cs="Arial"/>
                <w:color w:val="000000"/>
                <w:sz w:val="20"/>
                <w:szCs w:val="20"/>
                <w:lang w:val="en-GB"/>
              </w:rPr>
              <w:t>564</w:t>
            </w:r>
          </w:p>
        </w:tc>
        <w:tc>
          <w:tcPr>
            <w:tcW w:w="474" w:type="pct"/>
            <w:tcBorders>
              <w:bottom w:val="single" w:sz="4" w:space="0" w:color="auto"/>
            </w:tcBorders>
            <w:shd w:val="clear" w:color="auto" w:fill="auto"/>
            <w:vAlign w:val="bottom"/>
          </w:tcPr>
          <w:p w14:paraId="4A4C9177" w14:textId="759CCA81"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204</w:t>
            </w:r>
            <w:r w:rsidR="0004779D" w:rsidRPr="002D2F67">
              <w:rPr>
                <w:rFonts w:ascii="Arial" w:hAnsi="Arial" w:cs="Arial"/>
                <w:color w:val="000000"/>
                <w:sz w:val="20"/>
                <w:szCs w:val="20"/>
              </w:rPr>
              <w:t>,</w:t>
            </w:r>
            <w:r w:rsidRPr="00CD5714">
              <w:rPr>
                <w:rFonts w:ascii="Arial" w:hAnsi="Arial" w:cs="Arial"/>
                <w:color w:val="000000"/>
                <w:sz w:val="20"/>
                <w:szCs w:val="20"/>
                <w:lang w:val="en-GB"/>
              </w:rPr>
              <w:t>388</w:t>
            </w:r>
          </w:p>
        </w:tc>
        <w:tc>
          <w:tcPr>
            <w:tcW w:w="472" w:type="pct"/>
            <w:tcBorders>
              <w:bottom w:val="single" w:sz="4" w:space="0" w:color="auto"/>
            </w:tcBorders>
            <w:shd w:val="clear" w:color="auto" w:fill="auto"/>
            <w:vAlign w:val="bottom"/>
          </w:tcPr>
          <w:p w14:paraId="76756090" w14:textId="36D3B9C5"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w:t>
            </w:r>
            <w:r w:rsidR="0004779D" w:rsidRPr="002D2F67">
              <w:rPr>
                <w:rFonts w:ascii="Arial" w:hAnsi="Arial" w:cs="Arial"/>
                <w:color w:val="000000"/>
                <w:sz w:val="20"/>
                <w:szCs w:val="20"/>
              </w:rPr>
              <w:t>,</w:t>
            </w:r>
            <w:r w:rsidRPr="00CD5714">
              <w:rPr>
                <w:rFonts w:ascii="Arial" w:hAnsi="Arial" w:cs="Arial"/>
                <w:color w:val="000000"/>
                <w:sz w:val="20"/>
                <w:szCs w:val="20"/>
                <w:lang w:val="en-GB"/>
              </w:rPr>
              <w:t>482</w:t>
            </w:r>
            <w:r w:rsidR="0004779D" w:rsidRPr="002D2F67">
              <w:rPr>
                <w:rFonts w:ascii="Arial" w:hAnsi="Arial" w:cs="Arial"/>
                <w:color w:val="000000"/>
                <w:sz w:val="20"/>
                <w:szCs w:val="20"/>
              </w:rPr>
              <w:t>,</w:t>
            </w:r>
            <w:r w:rsidRPr="00CD5714">
              <w:rPr>
                <w:rFonts w:ascii="Arial" w:hAnsi="Arial" w:cs="Arial"/>
                <w:color w:val="000000"/>
                <w:sz w:val="20"/>
                <w:szCs w:val="20"/>
                <w:lang w:val="en-GB"/>
              </w:rPr>
              <w:t>955</w:t>
            </w:r>
          </w:p>
        </w:tc>
      </w:tr>
    </w:tbl>
    <w:p w14:paraId="6F260F1F" w14:textId="4FB4DE03" w:rsidR="00E7165A" w:rsidRPr="002D2F67" w:rsidRDefault="00E7165A" w:rsidP="005611FE">
      <w:pPr>
        <w:ind w:left="540" w:hanging="540"/>
        <w:jc w:val="both"/>
        <w:rPr>
          <w:rFonts w:ascii="Arial" w:hAnsi="Arial" w:cs="Arial"/>
          <w:color w:val="000000"/>
          <w:sz w:val="20"/>
          <w:szCs w:val="20"/>
        </w:rPr>
      </w:pPr>
      <w:r w:rsidRPr="002D2F67">
        <w:rPr>
          <w:rFonts w:ascii="Arial" w:hAnsi="Arial" w:cs="Arial"/>
          <w:color w:val="000000"/>
          <w:sz w:val="20"/>
          <w:szCs w:val="20"/>
        </w:rPr>
        <w:br w:type="page"/>
      </w:r>
    </w:p>
    <w:tbl>
      <w:tblPr>
        <w:tblW w:w="4968" w:type="pct"/>
        <w:tblLayout w:type="fixed"/>
        <w:tblLook w:val="0000" w:firstRow="0" w:lastRow="0" w:firstColumn="0" w:lastColumn="0" w:noHBand="0" w:noVBand="0"/>
      </w:tblPr>
      <w:tblGrid>
        <w:gridCol w:w="5225"/>
        <w:gridCol w:w="1471"/>
        <w:gridCol w:w="1471"/>
        <w:gridCol w:w="1471"/>
        <w:gridCol w:w="1471"/>
        <w:gridCol w:w="1471"/>
        <w:gridCol w:w="1471"/>
        <w:gridCol w:w="1465"/>
      </w:tblGrid>
      <w:tr w:rsidR="00E7165A" w:rsidRPr="002D2F67" w14:paraId="1AD294A1" w14:textId="77777777" w:rsidTr="002D2F67">
        <w:trPr>
          <w:trHeight w:val="20"/>
        </w:trPr>
        <w:tc>
          <w:tcPr>
            <w:tcW w:w="1684" w:type="pct"/>
            <w:shd w:val="clear" w:color="auto" w:fill="auto"/>
            <w:vAlign w:val="bottom"/>
          </w:tcPr>
          <w:p w14:paraId="68B60582" w14:textId="77777777" w:rsidR="00E7165A" w:rsidRPr="002D2F67" w:rsidRDefault="00E7165A" w:rsidP="005611FE">
            <w:pPr>
              <w:ind w:left="27"/>
              <w:rPr>
                <w:rFonts w:ascii="Arial" w:hAnsi="Arial" w:cs="Arial"/>
                <w:b/>
                <w:bCs/>
                <w:color w:val="000000"/>
                <w:sz w:val="20"/>
                <w:szCs w:val="20"/>
              </w:rPr>
            </w:pPr>
          </w:p>
        </w:tc>
        <w:tc>
          <w:tcPr>
            <w:tcW w:w="3316" w:type="pct"/>
            <w:gridSpan w:val="7"/>
            <w:tcBorders>
              <w:bottom w:val="single" w:sz="4" w:space="0" w:color="auto"/>
            </w:tcBorders>
            <w:shd w:val="clear" w:color="auto" w:fill="auto"/>
          </w:tcPr>
          <w:p w14:paraId="29FE4610" w14:textId="29F89FC2" w:rsidR="00E7165A" w:rsidRPr="002D2F67" w:rsidRDefault="00E7165A"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Consolidated financial statements </w:t>
            </w:r>
          </w:p>
        </w:tc>
      </w:tr>
      <w:tr w:rsidR="00E7165A" w:rsidRPr="002D2F67" w14:paraId="407780C5" w14:textId="77777777" w:rsidTr="002D2F67">
        <w:trPr>
          <w:trHeight w:val="20"/>
        </w:trPr>
        <w:tc>
          <w:tcPr>
            <w:tcW w:w="1684" w:type="pct"/>
            <w:shd w:val="clear" w:color="auto" w:fill="auto"/>
            <w:vAlign w:val="bottom"/>
          </w:tcPr>
          <w:p w14:paraId="1B9C9C8A" w14:textId="77777777" w:rsidR="00E7165A" w:rsidRPr="002D2F67" w:rsidRDefault="00E7165A" w:rsidP="005611FE">
            <w:pPr>
              <w:ind w:left="27"/>
              <w:rPr>
                <w:rFonts w:ascii="Arial" w:hAnsi="Arial" w:cs="Arial"/>
                <w:b/>
                <w:bCs/>
                <w:color w:val="000000"/>
                <w:sz w:val="20"/>
                <w:szCs w:val="20"/>
              </w:rPr>
            </w:pPr>
          </w:p>
        </w:tc>
        <w:tc>
          <w:tcPr>
            <w:tcW w:w="474" w:type="pct"/>
            <w:tcBorders>
              <w:top w:val="single" w:sz="4" w:space="0" w:color="auto"/>
            </w:tcBorders>
            <w:shd w:val="clear" w:color="auto" w:fill="auto"/>
            <w:vAlign w:val="bottom"/>
          </w:tcPr>
          <w:p w14:paraId="622E0883" w14:textId="77777777" w:rsidR="00E7165A" w:rsidRPr="002D2F67" w:rsidRDefault="00E7165A" w:rsidP="005611FE">
            <w:pPr>
              <w:ind w:right="-72"/>
              <w:jc w:val="right"/>
              <w:rPr>
                <w:rFonts w:ascii="Arial" w:hAnsi="Arial" w:cs="Arial"/>
                <w:b/>
                <w:bCs/>
                <w:color w:val="000000"/>
                <w:sz w:val="20"/>
                <w:szCs w:val="20"/>
              </w:rPr>
            </w:pPr>
          </w:p>
          <w:p w14:paraId="1B097424" w14:textId="77777777" w:rsidR="00E7165A" w:rsidRPr="002D2F67" w:rsidRDefault="00E7165A" w:rsidP="005611FE">
            <w:pPr>
              <w:ind w:right="-72"/>
              <w:jc w:val="right"/>
              <w:rPr>
                <w:rFonts w:ascii="Arial" w:hAnsi="Arial" w:cs="Arial"/>
                <w:b/>
                <w:bCs/>
                <w:color w:val="000000"/>
                <w:sz w:val="20"/>
                <w:szCs w:val="20"/>
              </w:rPr>
            </w:pPr>
          </w:p>
          <w:p w14:paraId="54B947CB" w14:textId="77777777" w:rsidR="00E7165A" w:rsidRPr="002D2F67" w:rsidRDefault="00E7165A" w:rsidP="005611FE">
            <w:pPr>
              <w:ind w:right="-72"/>
              <w:jc w:val="right"/>
              <w:rPr>
                <w:rFonts w:ascii="Arial" w:hAnsi="Arial" w:cs="Arial"/>
                <w:b/>
                <w:bCs/>
                <w:color w:val="000000"/>
                <w:sz w:val="20"/>
                <w:szCs w:val="20"/>
              </w:rPr>
            </w:pPr>
          </w:p>
          <w:p w14:paraId="630411DB" w14:textId="77777777" w:rsidR="00E7165A" w:rsidRPr="002D2F67" w:rsidRDefault="00E7165A" w:rsidP="005611FE">
            <w:pPr>
              <w:ind w:right="-72"/>
              <w:jc w:val="right"/>
              <w:rPr>
                <w:rFonts w:ascii="Arial" w:hAnsi="Arial" w:cs="Arial"/>
                <w:b/>
                <w:bCs/>
                <w:color w:val="000000"/>
                <w:sz w:val="20"/>
                <w:szCs w:val="20"/>
              </w:rPr>
            </w:pPr>
            <w:r w:rsidRPr="002D2F67">
              <w:rPr>
                <w:rFonts w:ascii="Arial" w:hAnsi="Arial" w:cs="Arial"/>
                <w:b/>
                <w:bCs/>
                <w:color w:val="000000"/>
                <w:sz w:val="20"/>
                <w:szCs w:val="20"/>
              </w:rPr>
              <w:t>Patents</w:t>
            </w:r>
          </w:p>
        </w:tc>
        <w:tc>
          <w:tcPr>
            <w:tcW w:w="474" w:type="pct"/>
            <w:tcBorders>
              <w:top w:val="single" w:sz="4" w:space="0" w:color="auto"/>
            </w:tcBorders>
            <w:shd w:val="clear" w:color="auto" w:fill="auto"/>
            <w:vAlign w:val="bottom"/>
          </w:tcPr>
          <w:p w14:paraId="2E2DF9F8" w14:textId="77777777" w:rsidR="00E7165A" w:rsidRPr="002D2F67" w:rsidRDefault="00E7165A" w:rsidP="005611FE">
            <w:pPr>
              <w:ind w:right="-72"/>
              <w:jc w:val="right"/>
              <w:rPr>
                <w:rFonts w:ascii="Arial" w:hAnsi="Arial" w:cs="Arial"/>
                <w:b/>
                <w:bCs/>
                <w:color w:val="000000"/>
                <w:sz w:val="20"/>
                <w:szCs w:val="20"/>
              </w:rPr>
            </w:pPr>
          </w:p>
          <w:p w14:paraId="34DB58CA" w14:textId="77777777" w:rsidR="00E7165A" w:rsidRPr="002D2F67" w:rsidRDefault="00E7165A" w:rsidP="005611FE">
            <w:pPr>
              <w:ind w:right="-72"/>
              <w:jc w:val="right"/>
              <w:rPr>
                <w:rFonts w:ascii="Arial" w:hAnsi="Arial" w:cs="Arial"/>
                <w:b/>
                <w:bCs/>
                <w:color w:val="000000"/>
                <w:sz w:val="20"/>
                <w:szCs w:val="20"/>
              </w:rPr>
            </w:pPr>
          </w:p>
          <w:p w14:paraId="5DEA11FA" w14:textId="77777777" w:rsidR="00E7165A" w:rsidRPr="002D2F67" w:rsidRDefault="00E7165A" w:rsidP="005611FE">
            <w:pPr>
              <w:ind w:right="-72"/>
              <w:jc w:val="right"/>
              <w:rPr>
                <w:rFonts w:ascii="Arial" w:hAnsi="Arial" w:cs="Arial"/>
                <w:b/>
                <w:bCs/>
                <w:color w:val="000000"/>
                <w:sz w:val="20"/>
                <w:szCs w:val="20"/>
              </w:rPr>
            </w:pPr>
          </w:p>
          <w:p w14:paraId="77C0806E" w14:textId="77777777" w:rsidR="00E7165A" w:rsidRPr="002D2F67" w:rsidRDefault="00E7165A" w:rsidP="005611FE">
            <w:pPr>
              <w:ind w:right="-72"/>
              <w:jc w:val="right"/>
              <w:rPr>
                <w:rFonts w:ascii="Arial" w:hAnsi="Arial" w:cs="Arial"/>
                <w:b/>
                <w:bCs/>
                <w:color w:val="000000"/>
                <w:sz w:val="20"/>
                <w:szCs w:val="20"/>
              </w:rPr>
            </w:pPr>
            <w:r w:rsidRPr="002D2F67">
              <w:rPr>
                <w:rFonts w:ascii="Arial" w:hAnsi="Arial" w:cs="Arial"/>
                <w:b/>
                <w:bCs/>
                <w:color w:val="000000"/>
                <w:sz w:val="20"/>
                <w:szCs w:val="20"/>
              </w:rPr>
              <w:t>Brand</w:t>
            </w:r>
          </w:p>
        </w:tc>
        <w:tc>
          <w:tcPr>
            <w:tcW w:w="474" w:type="pct"/>
            <w:tcBorders>
              <w:top w:val="single" w:sz="4" w:space="0" w:color="auto"/>
            </w:tcBorders>
            <w:shd w:val="clear" w:color="auto" w:fill="auto"/>
            <w:vAlign w:val="bottom"/>
          </w:tcPr>
          <w:p w14:paraId="77014997" w14:textId="77777777" w:rsidR="00E7165A" w:rsidRPr="002D2F67" w:rsidRDefault="00E7165A" w:rsidP="005611FE">
            <w:pPr>
              <w:ind w:right="-72"/>
              <w:jc w:val="right"/>
              <w:rPr>
                <w:rFonts w:ascii="Arial" w:hAnsi="Arial" w:cs="Arial"/>
                <w:b/>
                <w:bCs/>
                <w:color w:val="000000"/>
                <w:sz w:val="20"/>
                <w:szCs w:val="20"/>
              </w:rPr>
            </w:pPr>
          </w:p>
          <w:p w14:paraId="07712F47" w14:textId="77777777" w:rsidR="00E7165A" w:rsidRPr="002D2F67" w:rsidRDefault="00E7165A"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Right to use </w:t>
            </w:r>
            <w:r w:rsidRPr="002D2F67">
              <w:rPr>
                <w:rFonts w:ascii="Arial" w:hAnsi="Arial" w:cs="Arial"/>
                <w:b/>
                <w:bCs/>
                <w:color w:val="000000"/>
                <w:spacing w:val="-6"/>
                <w:sz w:val="20"/>
                <w:szCs w:val="20"/>
              </w:rPr>
              <w:t>transmission line</w:t>
            </w:r>
          </w:p>
        </w:tc>
        <w:tc>
          <w:tcPr>
            <w:tcW w:w="474" w:type="pct"/>
            <w:tcBorders>
              <w:top w:val="single" w:sz="4" w:space="0" w:color="auto"/>
            </w:tcBorders>
            <w:shd w:val="clear" w:color="auto" w:fill="auto"/>
            <w:vAlign w:val="bottom"/>
          </w:tcPr>
          <w:p w14:paraId="1C2F6F5E" w14:textId="77777777" w:rsidR="00E7165A" w:rsidRPr="002D2F67" w:rsidRDefault="00E7165A"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Right to power purchase agreement </w:t>
            </w:r>
          </w:p>
        </w:tc>
        <w:tc>
          <w:tcPr>
            <w:tcW w:w="474" w:type="pct"/>
            <w:tcBorders>
              <w:top w:val="single" w:sz="4" w:space="0" w:color="auto"/>
            </w:tcBorders>
            <w:shd w:val="clear" w:color="auto" w:fill="auto"/>
            <w:vAlign w:val="bottom"/>
          </w:tcPr>
          <w:p w14:paraId="62D021F1" w14:textId="3962EF47" w:rsidR="00E7165A" w:rsidRPr="002D2F67" w:rsidRDefault="00E7165A" w:rsidP="005611FE">
            <w:pPr>
              <w:ind w:right="-72"/>
              <w:jc w:val="right"/>
              <w:rPr>
                <w:rFonts w:ascii="Arial" w:hAnsi="Arial" w:cs="Arial"/>
                <w:b/>
                <w:bCs/>
                <w:color w:val="000000"/>
                <w:sz w:val="20"/>
                <w:szCs w:val="20"/>
              </w:rPr>
            </w:pPr>
          </w:p>
          <w:p w14:paraId="65B30E9D" w14:textId="77777777" w:rsidR="00E7165A" w:rsidRPr="002D2F67" w:rsidRDefault="00E7165A" w:rsidP="005611FE">
            <w:pPr>
              <w:ind w:right="-72"/>
              <w:jc w:val="right"/>
              <w:rPr>
                <w:rFonts w:ascii="Arial" w:hAnsi="Arial" w:cs="Arial"/>
                <w:b/>
                <w:bCs/>
                <w:color w:val="000000"/>
                <w:sz w:val="20"/>
                <w:szCs w:val="20"/>
              </w:rPr>
            </w:pPr>
          </w:p>
          <w:p w14:paraId="214484BD" w14:textId="77777777" w:rsidR="00E7165A" w:rsidRPr="002D2F67" w:rsidRDefault="00E7165A" w:rsidP="005611FE">
            <w:pPr>
              <w:ind w:right="-72"/>
              <w:jc w:val="right"/>
              <w:rPr>
                <w:rFonts w:ascii="Arial" w:hAnsi="Arial" w:cs="Arial"/>
                <w:b/>
                <w:bCs/>
                <w:color w:val="000000"/>
                <w:sz w:val="20"/>
                <w:szCs w:val="20"/>
              </w:rPr>
            </w:pPr>
            <w:r w:rsidRPr="002D2F67">
              <w:rPr>
                <w:rFonts w:ascii="Arial" w:hAnsi="Arial" w:cs="Arial"/>
                <w:b/>
                <w:bCs/>
                <w:color w:val="000000"/>
                <w:sz w:val="20"/>
                <w:szCs w:val="20"/>
              </w:rPr>
              <w:t>Computer software</w:t>
            </w:r>
          </w:p>
        </w:tc>
        <w:tc>
          <w:tcPr>
            <w:tcW w:w="474" w:type="pct"/>
            <w:tcBorders>
              <w:top w:val="single" w:sz="4" w:space="0" w:color="auto"/>
            </w:tcBorders>
            <w:shd w:val="clear" w:color="auto" w:fill="auto"/>
            <w:vAlign w:val="bottom"/>
          </w:tcPr>
          <w:p w14:paraId="5CA5091F" w14:textId="77777777" w:rsidR="00E7165A" w:rsidRPr="002D2F67" w:rsidRDefault="00E7165A" w:rsidP="005611FE">
            <w:pPr>
              <w:ind w:right="-72"/>
              <w:jc w:val="right"/>
              <w:rPr>
                <w:rFonts w:ascii="Arial" w:hAnsi="Arial" w:cs="Arial"/>
                <w:b/>
                <w:bCs/>
                <w:color w:val="000000"/>
                <w:sz w:val="20"/>
                <w:szCs w:val="20"/>
              </w:rPr>
            </w:pPr>
            <w:r w:rsidRPr="002D2F67">
              <w:rPr>
                <w:rFonts w:ascii="Arial" w:hAnsi="Arial" w:cs="Arial"/>
                <w:b/>
                <w:bCs/>
                <w:color w:val="000000"/>
                <w:sz w:val="20"/>
                <w:szCs w:val="20"/>
              </w:rPr>
              <w:t>Intangible assets under development</w:t>
            </w:r>
          </w:p>
        </w:tc>
        <w:tc>
          <w:tcPr>
            <w:tcW w:w="472" w:type="pct"/>
            <w:tcBorders>
              <w:top w:val="single" w:sz="4" w:space="0" w:color="auto"/>
            </w:tcBorders>
            <w:shd w:val="clear" w:color="auto" w:fill="auto"/>
            <w:vAlign w:val="bottom"/>
          </w:tcPr>
          <w:p w14:paraId="425BC886" w14:textId="77777777" w:rsidR="00E7165A" w:rsidRPr="002D2F67" w:rsidRDefault="00E7165A" w:rsidP="005611FE">
            <w:pPr>
              <w:ind w:right="-72"/>
              <w:jc w:val="right"/>
              <w:rPr>
                <w:rFonts w:ascii="Arial" w:hAnsi="Arial" w:cs="Arial"/>
                <w:b/>
                <w:bCs/>
                <w:color w:val="000000"/>
                <w:sz w:val="20"/>
                <w:szCs w:val="20"/>
              </w:rPr>
            </w:pPr>
          </w:p>
          <w:p w14:paraId="5628837C" w14:textId="77777777" w:rsidR="00E7165A" w:rsidRPr="002D2F67" w:rsidRDefault="00E7165A" w:rsidP="005611FE">
            <w:pPr>
              <w:ind w:right="-72"/>
              <w:jc w:val="right"/>
              <w:rPr>
                <w:rFonts w:ascii="Arial" w:hAnsi="Arial" w:cs="Arial"/>
                <w:b/>
                <w:bCs/>
                <w:color w:val="000000"/>
                <w:sz w:val="20"/>
                <w:szCs w:val="20"/>
              </w:rPr>
            </w:pPr>
          </w:p>
          <w:p w14:paraId="6B491ED6" w14:textId="77777777" w:rsidR="00E7165A" w:rsidRPr="002D2F67" w:rsidRDefault="00E7165A" w:rsidP="005611FE">
            <w:pPr>
              <w:ind w:right="-72"/>
              <w:jc w:val="right"/>
              <w:rPr>
                <w:rFonts w:ascii="Arial" w:hAnsi="Arial" w:cs="Arial"/>
                <w:b/>
                <w:bCs/>
                <w:color w:val="000000"/>
                <w:sz w:val="20"/>
                <w:szCs w:val="20"/>
              </w:rPr>
            </w:pPr>
          </w:p>
          <w:p w14:paraId="6F30DC12" w14:textId="77777777" w:rsidR="00E7165A" w:rsidRPr="002D2F67" w:rsidRDefault="00E7165A" w:rsidP="005611FE">
            <w:pPr>
              <w:ind w:right="-72"/>
              <w:jc w:val="right"/>
              <w:rPr>
                <w:rFonts w:ascii="Arial" w:hAnsi="Arial" w:cs="Arial"/>
                <w:b/>
                <w:bCs/>
                <w:color w:val="000000"/>
                <w:sz w:val="20"/>
                <w:szCs w:val="20"/>
              </w:rPr>
            </w:pPr>
            <w:r w:rsidRPr="002D2F67">
              <w:rPr>
                <w:rFonts w:ascii="Arial" w:hAnsi="Arial" w:cs="Arial"/>
                <w:b/>
                <w:bCs/>
                <w:color w:val="000000"/>
                <w:sz w:val="20"/>
                <w:szCs w:val="20"/>
              </w:rPr>
              <w:t>Total</w:t>
            </w:r>
          </w:p>
        </w:tc>
      </w:tr>
      <w:tr w:rsidR="00E7165A" w:rsidRPr="002D2F67" w14:paraId="4AEBEE5E" w14:textId="77777777" w:rsidTr="002D2F67">
        <w:trPr>
          <w:trHeight w:val="20"/>
        </w:trPr>
        <w:tc>
          <w:tcPr>
            <w:tcW w:w="1684" w:type="pct"/>
            <w:shd w:val="clear" w:color="auto" w:fill="auto"/>
            <w:vAlign w:val="bottom"/>
          </w:tcPr>
          <w:p w14:paraId="4393E480" w14:textId="77777777" w:rsidR="00E7165A" w:rsidRPr="002D2F67" w:rsidRDefault="00E7165A" w:rsidP="005611FE">
            <w:pPr>
              <w:ind w:left="27"/>
              <w:rPr>
                <w:rFonts w:ascii="Arial" w:hAnsi="Arial" w:cs="Arial"/>
                <w:color w:val="000000"/>
                <w:sz w:val="20"/>
                <w:szCs w:val="20"/>
              </w:rPr>
            </w:pPr>
          </w:p>
        </w:tc>
        <w:tc>
          <w:tcPr>
            <w:tcW w:w="474" w:type="pct"/>
            <w:tcBorders>
              <w:bottom w:val="single" w:sz="4" w:space="0" w:color="auto"/>
            </w:tcBorders>
            <w:shd w:val="clear" w:color="auto" w:fill="auto"/>
            <w:vAlign w:val="bottom"/>
          </w:tcPr>
          <w:p w14:paraId="1BB1E1A9" w14:textId="427EA573" w:rsidR="00E7165A" w:rsidRPr="002D2F67" w:rsidRDefault="00503145"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474" w:type="pct"/>
            <w:tcBorders>
              <w:bottom w:val="single" w:sz="4" w:space="0" w:color="auto"/>
            </w:tcBorders>
            <w:shd w:val="clear" w:color="auto" w:fill="auto"/>
            <w:vAlign w:val="bottom"/>
          </w:tcPr>
          <w:p w14:paraId="122ADE19" w14:textId="5E6AF9EF" w:rsidR="00E7165A" w:rsidRPr="002D2F67" w:rsidRDefault="00503145"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474" w:type="pct"/>
            <w:tcBorders>
              <w:bottom w:val="single" w:sz="4" w:space="0" w:color="auto"/>
            </w:tcBorders>
            <w:shd w:val="clear" w:color="auto" w:fill="auto"/>
            <w:vAlign w:val="bottom"/>
          </w:tcPr>
          <w:p w14:paraId="1197266C" w14:textId="2732BA38" w:rsidR="00E7165A" w:rsidRPr="002D2F67" w:rsidRDefault="00503145"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474" w:type="pct"/>
            <w:tcBorders>
              <w:bottom w:val="single" w:sz="4" w:space="0" w:color="auto"/>
            </w:tcBorders>
            <w:shd w:val="clear" w:color="auto" w:fill="auto"/>
            <w:vAlign w:val="bottom"/>
          </w:tcPr>
          <w:p w14:paraId="6EA9BFB1" w14:textId="63530603" w:rsidR="00E7165A" w:rsidRPr="002D2F67" w:rsidRDefault="00503145"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474" w:type="pct"/>
            <w:tcBorders>
              <w:bottom w:val="single" w:sz="4" w:space="0" w:color="auto"/>
            </w:tcBorders>
            <w:shd w:val="clear" w:color="auto" w:fill="auto"/>
            <w:vAlign w:val="bottom"/>
          </w:tcPr>
          <w:p w14:paraId="012BEDEE" w14:textId="2BA83E60" w:rsidR="00E7165A" w:rsidRPr="002D2F67" w:rsidRDefault="00503145"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474" w:type="pct"/>
            <w:tcBorders>
              <w:bottom w:val="single" w:sz="4" w:space="0" w:color="auto"/>
            </w:tcBorders>
            <w:shd w:val="clear" w:color="auto" w:fill="auto"/>
            <w:vAlign w:val="bottom"/>
          </w:tcPr>
          <w:p w14:paraId="0D53640F" w14:textId="5296325E" w:rsidR="00E7165A" w:rsidRPr="002D2F67" w:rsidRDefault="00503145"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472" w:type="pct"/>
            <w:tcBorders>
              <w:bottom w:val="single" w:sz="4" w:space="0" w:color="auto"/>
            </w:tcBorders>
            <w:shd w:val="clear" w:color="auto" w:fill="auto"/>
            <w:vAlign w:val="bottom"/>
          </w:tcPr>
          <w:p w14:paraId="53324773" w14:textId="7B9416C5" w:rsidR="00E7165A" w:rsidRPr="002D2F67" w:rsidRDefault="00503145"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5611FE" w:rsidRPr="002D2F67" w14:paraId="02E49513" w14:textId="77777777" w:rsidTr="002D2F67">
        <w:trPr>
          <w:trHeight w:val="20"/>
        </w:trPr>
        <w:tc>
          <w:tcPr>
            <w:tcW w:w="1684" w:type="pct"/>
            <w:shd w:val="clear" w:color="auto" w:fill="auto"/>
            <w:vAlign w:val="bottom"/>
          </w:tcPr>
          <w:p w14:paraId="4A35D9C9" w14:textId="77777777" w:rsidR="00453411" w:rsidRPr="002D2F67" w:rsidRDefault="00453411" w:rsidP="005611FE">
            <w:pPr>
              <w:jc w:val="both"/>
              <w:rPr>
                <w:rFonts w:ascii="Arial" w:hAnsi="Arial" w:cs="Arial"/>
                <w:color w:val="000000"/>
                <w:sz w:val="20"/>
                <w:szCs w:val="20"/>
              </w:rPr>
            </w:pPr>
          </w:p>
        </w:tc>
        <w:tc>
          <w:tcPr>
            <w:tcW w:w="474" w:type="pct"/>
            <w:tcBorders>
              <w:top w:val="single" w:sz="4" w:space="0" w:color="auto"/>
            </w:tcBorders>
            <w:shd w:val="clear" w:color="auto" w:fill="auto"/>
            <w:vAlign w:val="bottom"/>
          </w:tcPr>
          <w:p w14:paraId="0EF0D607" w14:textId="77777777" w:rsidR="00453411" w:rsidRPr="002D2F67" w:rsidRDefault="00453411"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484F947F" w14:textId="77777777" w:rsidR="00453411" w:rsidRPr="002D2F67" w:rsidRDefault="00453411"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3000B0B1" w14:textId="77777777" w:rsidR="00453411" w:rsidRPr="002D2F67" w:rsidRDefault="00453411"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25874700" w14:textId="77777777" w:rsidR="00453411" w:rsidRPr="002D2F67" w:rsidRDefault="00453411"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51BB9687" w14:textId="21EECB65" w:rsidR="00453411" w:rsidRPr="002D2F67" w:rsidRDefault="00453411"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248A967B" w14:textId="77777777" w:rsidR="00453411" w:rsidRPr="002D2F67" w:rsidRDefault="00453411" w:rsidP="005611FE">
            <w:pPr>
              <w:ind w:right="-72"/>
              <w:jc w:val="right"/>
              <w:rPr>
                <w:rFonts w:ascii="Arial" w:hAnsi="Arial" w:cs="Arial"/>
                <w:color w:val="000000"/>
                <w:sz w:val="20"/>
                <w:szCs w:val="20"/>
              </w:rPr>
            </w:pPr>
          </w:p>
        </w:tc>
        <w:tc>
          <w:tcPr>
            <w:tcW w:w="472" w:type="pct"/>
            <w:tcBorders>
              <w:top w:val="single" w:sz="4" w:space="0" w:color="auto"/>
            </w:tcBorders>
            <w:shd w:val="clear" w:color="auto" w:fill="auto"/>
            <w:vAlign w:val="bottom"/>
          </w:tcPr>
          <w:p w14:paraId="73BBB390" w14:textId="77777777" w:rsidR="00453411" w:rsidRPr="002D2F67" w:rsidRDefault="00453411" w:rsidP="005611FE">
            <w:pPr>
              <w:ind w:right="-72"/>
              <w:jc w:val="right"/>
              <w:rPr>
                <w:rFonts w:ascii="Arial" w:hAnsi="Arial" w:cs="Arial"/>
                <w:color w:val="000000"/>
                <w:sz w:val="20"/>
                <w:szCs w:val="20"/>
              </w:rPr>
            </w:pPr>
          </w:p>
        </w:tc>
      </w:tr>
      <w:tr w:rsidR="005611FE" w:rsidRPr="002D2F67" w14:paraId="40F5CE46" w14:textId="77777777" w:rsidTr="002D2F67">
        <w:trPr>
          <w:trHeight w:val="20"/>
        </w:trPr>
        <w:tc>
          <w:tcPr>
            <w:tcW w:w="1684" w:type="pct"/>
            <w:shd w:val="clear" w:color="auto" w:fill="auto"/>
            <w:vAlign w:val="bottom"/>
          </w:tcPr>
          <w:p w14:paraId="1637B3D3" w14:textId="71BB340F" w:rsidR="00453411" w:rsidRPr="002D2F67" w:rsidRDefault="00453411" w:rsidP="005611FE">
            <w:pPr>
              <w:jc w:val="both"/>
              <w:rPr>
                <w:rFonts w:ascii="Arial" w:hAnsi="Arial" w:cs="Arial"/>
                <w:color w:val="000000"/>
                <w:sz w:val="20"/>
                <w:szCs w:val="20"/>
              </w:rPr>
            </w:pPr>
            <w:r w:rsidRPr="002D2F67">
              <w:rPr>
                <w:rFonts w:ascii="Arial" w:hAnsi="Arial" w:cs="Arial"/>
                <w:b/>
                <w:bCs/>
                <w:color w:val="000000"/>
                <w:sz w:val="20"/>
                <w:szCs w:val="20"/>
              </w:rPr>
              <w:t xml:space="preserve">For the year ended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 </w:t>
            </w:r>
            <w:r w:rsidR="00CD5714" w:rsidRPr="00CD5714">
              <w:rPr>
                <w:rFonts w:ascii="Arial" w:hAnsi="Arial" w:cs="Arial"/>
                <w:b/>
                <w:bCs/>
                <w:color w:val="000000"/>
                <w:sz w:val="20"/>
                <w:szCs w:val="20"/>
                <w:lang w:val="en-GB"/>
              </w:rPr>
              <w:t>2024</w:t>
            </w:r>
          </w:p>
        </w:tc>
        <w:tc>
          <w:tcPr>
            <w:tcW w:w="474" w:type="pct"/>
            <w:shd w:val="clear" w:color="auto" w:fill="auto"/>
            <w:vAlign w:val="bottom"/>
          </w:tcPr>
          <w:p w14:paraId="71FA68CA" w14:textId="77777777" w:rsidR="00453411" w:rsidRPr="002D2F67" w:rsidRDefault="00453411" w:rsidP="005611FE">
            <w:pPr>
              <w:ind w:right="-72"/>
              <w:jc w:val="right"/>
              <w:rPr>
                <w:rFonts w:ascii="Arial" w:hAnsi="Arial" w:cs="Arial"/>
                <w:color w:val="000000"/>
                <w:sz w:val="20"/>
                <w:szCs w:val="20"/>
              </w:rPr>
            </w:pPr>
          </w:p>
        </w:tc>
        <w:tc>
          <w:tcPr>
            <w:tcW w:w="474" w:type="pct"/>
            <w:shd w:val="clear" w:color="auto" w:fill="auto"/>
            <w:vAlign w:val="bottom"/>
          </w:tcPr>
          <w:p w14:paraId="2E92F4A3" w14:textId="77777777" w:rsidR="00453411" w:rsidRPr="002D2F67" w:rsidRDefault="00453411" w:rsidP="005611FE">
            <w:pPr>
              <w:ind w:right="-72"/>
              <w:jc w:val="right"/>
              <w:rPr>
                <w:rFonts w:ascii="Arial" w:hAnsi="Arial" w:cs="Arial"/>
                <w:color w:val="000000"/>
                <w:sz w:val="20"/>
                <w:szCs w:val="20"/>
              </w:rPr>
            </w:pPr>
          </w:p>
        </w:tc>
        <w:tc>
          <w:tcPr>
            <w:tcW w:w="474" w:type="pct"/>
            <w:shd w:val="clear" w:color="auto" w:fill="auto"/>
            <w:vAlign w:val="bottom"/>
          </w:tcPr>
          <w:p w14:paraId="56BFD061" w14:textId="77777777" w:rsidR="00453411" w:rsidRPr="002D2F67" w:rsidRDefault="00453411" w:rsidP="005611FE">
            <w:pPr>
              <w:ind w:right="-72"/>
              <w:jc w:val="right"/>
              <w:rPr>
                <w:rFonts w:ascii="Arial" w:hAnsi="Arial" w:cs="Arial"/>
                <w:color w:val="000000"/>
                <w:sz w:val="20"/>
                <w:szCs w:val="20"/>
              </w:rPr>
            </w:pPr>
          </w:p>
        </w:tc>
        <w:tc>
          <w:tcPr>
            <w:tcW w:w="474" w:type="pct"/>
            <w:shd w:val="clear" w:color="auto" w:fill="auto"/>
            <w:vAlign w:val="bottom"/>
          </w:tcPr>
          <w:p w14:paraId="17A9F7CD" w14:textId="77777777" w:rsidR="00453411" w:rsidRPr="002D2F67" w:rsidRDefault="00453411" w:rsidP="005611FE">
            <w:pPr>
              <w:ind w:right="-72"/>
              <w:jc w:val="right"/>
              <w:rPr>
                <w:rFonts w:ascii="Arial" w:hAnsi="Arial" w:cs="Arial"/>
                <w:color w:val="000000"/>
                <w:sz w:val="20"/>
                <w:szCs w:val="20"/>
              </w:rPr>
            </w:pPr>
          </w:p>
        </w:tc>
        <w:tc>
          <w:tcPr>
            <w:tcW w:w="474" w:type="pct"/>
            <w:shd w:val="clear" w:color="auto" w:fill="auto"/>
            <w:vAlign w:val="bottom"/>
          </w:tcPr>
          <w:p w14:paraId="6E942FCA" w14:textId="08D92930" w:rsidR="00453411" w:rsidRPr="002D2F67" w:rsidRDefault="00453411" w:rsidP="005611FE">
            <w:pPr>
              <w:ind w:right="-72"/>
              <w:jc w:val="right"/>
              <w:rPr>
                <w:rFonts w:ascii="Arial" w:hAnsi="Arial" w:cs="Arial"/>
                <w:color w:val="000000"/>
                <w:sz w:val="20"/>
                <w:szCs w:val="20"/>
              </w:rPr>
            </w:pPr>
          </w:p>
        </w:tc>
        <w:tc>
          <w:tcPr>
            <w:tcW w:w="474" w:type="pct"/>
            <w:shd w:val="clear" w:color="auto" w:fill="auto"/>
            <w:vAlign w:val="bottom"/>
          </w:tcPr>
          <w:p w14:paraId="45FA3AB0" w14:textId="77777777" w:rsidR="00453411" w:rsidRPr="002D2F67" w:rsidRDefault="00453411" w:rsidP="005611FE">
            <w:pPr>
              <w:ind w:right="-72"/>
              <w:jc w:val="right"/>
              <w:rPr>
                <w:rFonts w:ascii="Arial" w:hAnsi="Arial" w:cs="Arial"/>
                <w:color w:val="000000"/>
                <w:sz w:val="20"/>
                <w:szCs w:val="20"/>
              </w:rPr>
            </w:pPr>
          </w:p>
        </w:tc>
        <w:tc>
          <w:tcPr>
            <w:tcW w:w="472" w:type="pct"/>
            <w:shd w:val="clear" w:color="auto" w:fill="auto"/>
            <w:vAlign w:val="bottom"/>
          </w:tcPr>
          <w:p w14:paraId="2BAA57C4" w14:textId="77777777" w:rsidR="00453411" w:rsidRPr="002D2F67" w:rsidRDefault="00453411" w:rsidP="005611FE">
            <w:pPr>
              <w:ind w:right="-72"/>
              <w:jc w:val="right"/>
              <w:rPr>
                <w:rFonts w:ascii="Arial" w:hAnsi="Arial" w:cs="Arial"/>
                <w:color w:val="000000"/>
                <w:sz w:val="20"/>
                <w:szCs w:val="20"/>
              </w:rPr>
            </w:pPr>
          </w:p>
        </w:tc>
      </w:tr>
      <w:tr w:rsidR="005611FE" w:rsidRPr="002D2F67" w14:paraId="37EB942E" w14:textId="77777777" w:rsidTr="002D2F67">
        <w:trPr>
          <w:trHeight w:val="20"/>
        </w:trPr>
        <w:tc>
          <w:tcPr>
            <w:tcW w:w="1684" w:type="pct"/>
            <w:shd w:val="clear" w:color="auto" w:fill="auto"/>
            <w:vAlign w:val="bottom"/>
          </w:tcPr>
          <w:p w14:paraId="30F725A1" w14:textId="77777777" w:rsidR="0004779D" w:rsidRPr="002D2F67" w:rsidRDefault="0004779D" w:rsidP="005611FE">
            <w:pPr>
              <w:jc w:val="both"/>
              <w:rPr>
                <w:rFonts w:ascii="Arial" w:hAnsi="Arial" w:cs="Arial"/>
                <w:color w:val="000000"/>
                <w:sz w:val="20"/>
                <w:szCs w:val="20"/>
              </w:rPr>
            </w:pPr>
            <w:r w:rsidRPr="002D2F67">
              <w:rPr>
                <w:rFonts w:ascii="Arial" w:hAnsi="Arial" w:cs="Arial"/>
                <w:color w:val="000000"/>
                <w:sz w:val="20"/>
                <w:szCs w:val="20"/>
              </w:rPr>
              <w:t>Opening net book value</w:t>
            </w:r>
          </w:p>
        </w:tc>
        <w:tc>
          <w:tcPr>
            <w:tcW w:w="474" w:type="pct"/>
            <w:shd w:val="clear" w:color="auto" w:fill="auto"/>
            <w:vAlign w:val="bottom"/>
          </w:tcPr>
          <w:p w14:paraId="146B4EEF" w14:textId="2338F050"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583</w:t>
            </w:r>
            <w:r w:rsidR="0004779D" w:rsidRPr="002D2F67">
              <w:rPr>
                <w:rFonts w:ascii="Arial" w:hAnsi="Arial" w:cs="Arial"/>
                <w:color w:val="000000"/>
                <w:sz w:val="20"/>
                <w:szCs w:val="20"/>
              </w:rPr>
              <w:t>,</w:t>
            </w:r>
            <w:r w:rsidRPr="00CD5714">
              <w:rPr>
                <w:rFonts w:ascii="Arial" w:hAnsi="Arial" w:cs="Arial"/>
                <w:color w:val="000000"/>
                <w:sz w:val="20"/>
                <w:szCs w:val="20"/>
                <w:lang w:val="en-GB"/>
              </w:rPr>
              <w:t>982</w:t>
            </w:r>
          </w:p>
        </w:tc>
        <w:tc>
          <w:tcPr>
            <w:tcW w:w="474" w:type="pct"/>
            <w:shd w:val="clear" w:color="auto" w:fill="auto"/>
            <w:vAlign w:val="bottom"/>
          </w:tcPr>
          <w:p w14:paraId="73BFD833" w14:textId="6198F7B6"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198</w:t>
            </w:r>
            <w:r w:rsidR="0004779D" w:rsidRPr="002D2F67">
              <w:rPr>
                <w:rFonts w:ascii="Arial" w:hAnsi="Arial" w:cs="Arial"/>
                <w:color w:val="000000"/>
                <w:sz w:val="20"/>
                <w:szCs w:val="20"/>
              </w:rPr>
              <w:t>,</w:t>
            </w:r>
            <w:r w:rsidRPr="00CD5714">
              <w:rPr>
                <w:rFonts w:ascii="Arial" w:hAnsi="Arial" w:cs="Arial"/>
                <w:color w:val="000000"/>
                <w:sz w:val="20"/>
                <w:szCs w:val="20"/>
                <w:lang w:val="en-GB"/>
              </w:rPr>
              <w:t>462</w:t>
            </w:r>
          </w:p>
        </w:tc>
        <w:tc>
          <w:tcPr>
            <w:tcW w:w="474" w:type="pct"/>
            <w:shd w:val="clear" w:color="auto" w:fill="auto"/>
            <w:vAlign w:val="bottom"/>
          </w:tcPr>
          <w:p w14:paraId="21D61145" w14:textId="49C78D27"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04779D" w:rsidRPr="002D2F67">
              <w:rPr>
                <w:rFonts w:ascii="Arial" w:hAnsi="Arial" w:cs="Arial"/>
                <w:color w:val="000000"/>
                <w:sz w:val="20"/>
                <w:szCs w:val="20"/>
              </w:rPr>
              <w:t>,</w:t>
            </w:r>
            <w:r w:rsidRPr="00CD5714">
              <w:rPr>
                <w:rFonts w:ascii="Arial" w:hAnsi="Arial" w:cs="Arial"/>
                <w:color w:val="000000"/>
                <w:sz w:val="20"/>
                <w:szCs w:val="20"/>
                <w:lang w:val="en-GB"/>
              </w:rPr>
              <w:t>410</w:t>
            </w:r>
            <w:r w:rsidR="0004779D" w:rsidRPr="002D2F67">
              <w:rPr>
                <w:rFonts w:ascii="Arial" w:hAnsi="Arial" w:cs="Arial"/>
                <w:color w:val="000000"/>
                <w:sz w:val="20"/>
                <w:szCs w:val="20"/>
              </w:rPr>
              <w:t>,</w:t>
            </w:r>
            <w:r w:rsidRPr="00CD5714">
              <w:rPr>
                <w:rFonts w:ascii="Arial" w:hAnsi="Arial" w:cs="Arial"/>
                <w:color w:val="000000"/>
                <w:sz w:val="20"/>
                <w:szCs w:val="20"/>
                <w:lang w:val="en-GB"/>
              </w:rPr>
              <w:t>129</w:t>
            </w:r>
          </w:p>
        </w:tc>
        <w:tc>
          <w:tcPr>
            <w:tcW w:w="474" w:type="pct"/>
            <w:shd w:val="clear" w:color="auto" w:fill="auto"/>
            <w:vAlign w:val="bottom"/>
          </w:tcPr>
          <w:p w14:paraId="2C61378B" w14:textId="447E3D1E"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23</w:t>
            </w:r>
            <w:r w:rsidR="0004779D" w:rsidRPr="002D2F67">
              <w:rPr>
                <w:rFonts w:ascii="Arial" w:hAnsi="Arial" w:cs="Arial"/>
                <w:color w:val="000000"/>
                <w:sz w:val="20"/>
                <w:szCs w:val="20"/>
              </w:rPr>
              <w:t>,</w:t>
            </w:r>
            <w:r w:rsidRPr="00CD5714">
              <w:rPr>
                <w:rFonts w:ascii="Arial" w:hAnsi="Arial" w:cs="Arial"/>
                <w:color w:val="000000"/>
                <w:sz w:val="20"/>
                <w:szCs w:val="20"/>
                <w:lang w:val="en-GB"/>
              </w:rPr>
              <w:t>430</w:t>
            </w:r>
          </w:p>
        </w:tc>
        <w:tc>
          <w:tcPr>
            <w:tcW w:w="474" w:type="pct"/>
            <w:shd w:val="clear" w:color="auto" w:fill="auto"/>
            <w:vAlign w:val="bottom"/>
          </w:tcPr>
          <w:p w14:paraId="289CA12B" w14:textId="685B358A"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62</w:t>
            </w:r>
            <w:r w:rsidR="0004779D" w:rsidRPr="002D2F67">
              <w:rPr>
                <w:rFonts w:ascii="Arial" w:hAnsi="Arial" w:cs="Arial"/>
                <w:color w:val="000000"/>
                <w:sz w:val="20"/>
                <w:szCs w:val="20"/>
              </w:rPr>
              <w:t>,</w:t>
            </w:r>
            <w:r w:rsidRPr="00CD5714">
              <w:rPr>
                <w:rFonts w:ascii="Arial" w:hAnsi="Arial" w:cs="Arial"/>
                <w:color w:val="000000"/>
                <w:sz w:val="20"/>
                <w:szCs w:val="20"/>
                <w:lang w:val="en-GB"/>
              </w:rPr>
              <w:t>564</w:t>
            </w:r>
          </w:p>
        </w:tc>
        <w:tc>
          <w:tcPr>
            <w:tcW w:w="474" w:type="pct"/>
            <w:shd w:val="clear" w:color="auto" w:fill="auto"/>
            <w:vAlign w:val="bottom"/>
          </w:tcPr>
          <w:p w14:paraId="1BDFC803" w14:textId="17D6A5B8"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204</w:t>
            </w:r>
            <w:r w:rsidR="0004779D" w:rsidRPr="002D2F67">
              <w:rPr>
                <w:rFonts w:ascii="Arial" w:hAnsi="Arial" w:cs="Arial"/>
                <w:color w:val="000000"/>
                <w:sz w:val="20"/>
                <w:szCs w:val="20"/>
              </w:rPr>
              <w:t>,</w:t>
            </w:r>
            <w:r w:rsidRPr="00CD5714">
              <w:rPr>
                <w:rFonts w:ascii="Arial" w:hAnsi="Arial" w:cs="Arial"/>
                <w:color w:val="000000"/>
                <w:sz w:val="20"/>
                <w:szCs w:val="20"/>
                <w:lang w:val="en-GB"/>
              </w:rPr>
              <w:t>388</w:t>
            </w:r>
          </w:p>
        </w:tc>
        <w:tc>
          <w:tcPr>
            <w:tcW w:w="472" w:type="pct"/>
            <w:shd w:val="clear" w:color="auto" w:fill="auto"/>
            <w:vAlign w:val="bottom"/>
          </w:tcPr>
          <w:p w14:paraId="7308E950" w14:textId="2C0D31C3"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w:t>
            </w:r>
            <w:r w:rsidR="0004779D" w:rsidRPr="002D2F67">
              <w:rPr>
                <w:rFonts w:ascii="Arial" w:hAnsi="Arial" w:cs="Arial"/>
                <w:color w:val="000000"/>
                <w:sz w:val="20"/>
                <w:szCs w:val="20"/>
              </w:rPr>
              <w:t>,</w:t>
            </w:r>
            <w:r w:rsidRPr="00CD5714">
              <w:rPr>
                <w:rFonts w:ascii="Arial" w:hAnsi="Arial" w:cs="Arial"/>
                <w:color w:val="000000"/>
                <w:sz w:val="20"/>
                <w:szCs w:val="20"/>
                <w:lang w:val="en-GB"/>
              </w:rPr>
              <w:t>482</w:t>
            </w:r>
            <w:r w:rsidR="0004779D" w:rsidRPr="002D2F67">
              <w:rPr>
                <w:rFonts w:ascii="Arial" w:hAnsi="Arial" w:cs="Arial"/>
                <w:color w:val="000000"/>
                <w:sz w:val="20"/>
                <w:szCs w:val="20"/>
              </w:rPr>
              <w:t>,</w:t>
            </w:r>
            <w:r w:rsidRPr="00CD5714">
              <w:rPr>
                <w:rFonts w:ascii="Arial" w:hAnsi="Arial" w:cs="Arial"/>
                <w:color w:val="000000"/>
                <w:sz w:val="20"/>
                <w:szCs w:val="20"/>
                <w:lang w:val="en-GB"/>
              </w:rPr>
              <w:t>955</w:t>
            </w:r>
          </w:p>
        </w:tc>
      </w:tr>
      <w:tr w:rsidR="005611FE" w:rsidRPr="002D2F67" w14:paraId="77668C2B" w14:textId="77777777" w:rsidTr="002D2F67">
        <w:trPr>
          <w:trHeight w:val="20"/>
        </w:trPr>
        <w:tc>
          <w:tcPr>
            <w:tcW w:w="1684" w:type="pct"/>
            <w:shd w:val="clear" w:color="auto" w:fill="auto"/>
            <w:vAlign w:val="bottom"/>
          </w:tcPr>
          <w:p w14:paraId="63A074C3" w14:textId="77777777" w:rsidR="0004779D" w:rsidRPr="002D2F67" w:rsidRDefault="0004779D" w:rsidP="005611FE">
            <w:pPr>
              <w:jc w:val="both"/>
              <w:rPr>
                <w:rFonts w:ascii="Arial" w:hAnsi="Arial" w:cs="Arial"/>
                <w:color w:val="000000"/>
                <w:sz w:val="20"/>
                <w:szCs w:val="20"/>
              </w:rPr>
            </w:pPr>
            <w:r w:rsidRPr="002D2F67">
              <w:rPr>
                <w:rFonts w:ascii="Arial" w:hAnsi="Arial" w:cs="Arial"/>
                <w:color w:val="000000"/>
                <w:sz w:val="20"/>
                <w:szCs w:val="20"/>
              </w:rPr>
              <w:t>Additions</w:t>
            </w:r>
          </w:p>
        </w:tc>
        <w:tc>
          <w:tcPr>
            <w:tcW w:w="474" w:type="pct"/>
            <w:shd w:val="clear" w:color="auto" w:fill="auto"/>
            <w:vAlign w:val="bottom"/>
          </w:tcPr>
          <w:p w14:paraId="1DAC44B1" w14:textId="2CEE1DE1" w:rsidR="0004779D" w:rsidRPr="002D2F67" w:rsidRDefault="00C14718"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4" w:type="pct"/>
            <w:shd w:val="clear" w:color="auto" w:fill="auto"/>
            <w:vAlign w:val="bottom"/>
          </w:tcPr>
          <w:p w14:paraId="74D40AB2" w14:textId="65E17D60" w:rsidR="0004779D" w:rsidRPr="002D2F67" w:rsidRDefault="00C14718"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4" w:type="pct"/>
            <w:shd w:val="clear" w:color="auto" w:fill="auto"/>
            <w:vAlign w:val="bottom"/>
          </w:tcPr>
          <w:p w14:paraId="05AB4B0D" w14:textId="63E1F110" w:rsidR="0004779D" w:rsidRPr="002D2F67" w:rsidRDefault="00C14718"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4" w:type="pct"/>
            <w:shd w:val="clear" w:color="auto" w:fill="auto"/>
            <w:vAlign w:val="bottom"/>
          </w:tcPr>
          <w:p w14:paraId="176AD2EB" w14:textId="2B745E29" w:rsidR="0004779D" w:rsidRPr="002D2F67" w:rsidRDefault="00C14718"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4" w:type="pct"/>
            <w:shd w:val="clear" w:color="auto" w:fill="auto"/>
          </w:tcPr>
          <w:p w14:paraId="782A46C0" w14:textId="16BB94E4"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15</w:t>
            </w:r>
            <w:r w:rsidR="00C14718" w:rsidRPr="002D2F67">
              <w:rPr>
                <w:rFonts w:ascii="Arial" w:hAnsi="Arial" w:cs="Arial"/>
                <w:color w:val="000000"/>
                <w:sz w:val="20"/>
                <w:szCs w:val="20"/>
              </w:rPr>
              <w:t>,</w:t>
            </w:r>
            <w:r w:rsidRPr="00CD5714">
              <w:rPr>
                <w:rFonts w:ascii="Arial" w:hAnsi="Arial" w:cs="Arial"/>
                <w:color w:val="000000"/>
                <w:sz w:val="20"/>
                <w:szCs w:val="20"/>
                <w:lang w:val="en-GB"/>
              </w:rPr>
              <w:t>950</w:t>
            </w:r>
          </w:p>
        </w:tc>
        <w:tc>
          <w:tcPr>
            <w:tcW w:w="474" w:type="pct"/>
            <w:shd w:val="clear" w:color="auto" w:fill="auto"/>
          </w:tcPr>
          <w:p w14:paraId="08E93B99" w14:textId="03092F4E"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33</w:t>
            </w:r>
            <w:r w:rsidR="00F9185F">
              <w:rPr>
                <w:rFonts w:ascii="Arial" w:hAnsi="Arial" w:cs="Arial"/>
                <w:color w:val="000000"/>
                <w:sz w:val="20"/>
                <w:szCs w:val="20"/>
                <w:lang w:val="en-GB"/>
              </w:rPr>
              <w:t>4</w:t>
            </w:r>
            <w:r w:rsidR="00E81443" w:rsidRPr="002D2F67">
              <w:rPr>
                <w:rFonts w:ascii="Arial" w:hAnsi="Arial" w:cs="Arial"/>
                <w:color w:val="000000"/>
                <w:sz w:val="20"/>
                <w:szCs w:val="20"/>
              </w:rPr>
              <w:t>,</w:t>
            </w:r>
            <w:r w:rsidRPr="00CD5714">
              <w:rPr>
                <w:rFonts w:ascii="Arial" w:hAnsi="Arial" w:cs="Arial"/>
                <w:color w:val="000000"/>
                <w:sz w:val="20"/>
                <w:szCs w:val="20"/>
                <w:lang w:val="en-GB"/>
              </w:rPr>
              <w:t>924</w:t>
            </w:r>
          </w:p>
        </w:tc>
        <w:tc>
          <w:tcPr>
            <w:tcW w:w="472" w:type="pct"/>
            <w:shd w:val="clear" w:color="auto" w:fill="auto"/>
          </w:tcPr>
          <w:p w14:paraId="76A01C31" w14:textId="25AE63A5"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35</w:t>
            </w:r>
            <w:r w:rsidR="00F9185F">
              <w:rPr>
                <w:rFonts w:ascii="Arial" w:hAnsi="Arial" w:cs="Arial"/>
                <w:color w:val="000000"/>
                <w:sz w:val="20"/>
                <w:szCs w:val="20"/>
                <w:lang w:val="en-GB"/>
              </w:rPr>
              <w:t>0</w:t>
            </w:r>
            <w:r w:rsidR="00E81443" w:rsidRPr="002D2F67">
              <w:rPr>
                <w:rFonts w:ascii="Arial" w:hAnsi="Arial" w:cs="Arial"/>
                <w:color w:val="000000"/>
                <w:sz w:val="20"/>
                <w:szCs w:val="20"/>
              </w:rPr>
              <w:t>,</w:t>
            </w:r>
            <w:r w:rsidRPr="00CD5714">
              <w:rPr>
                <w:rFonts w:ascii="Arial" w:hAnsi="Arial" w:cs="Arial"/>
                <w:color w:val="000000"/>
                <w:sz w:val="20"/>
                <w:szCs w:val="20"/>
                <w:lang w:val="en-GB"/>
              </w:rPr>
              <w:t>874</w:t>
            </w:r>
          </w:p>
        </w:tc>
      </w:tr>
      <w:tr w:rsidR="005611FE" w:rsidRPr="002D2F67" w14:paraId="0FEBFA5A" w14:textId="77777777" w:rsidTr="002D2F67">
        <w:trPr>
          <w:trHeight w:val="20"/>
        </w:trPr>
        <w:tc>
          <w:tcPr>
            <w:tcW w:w="1684" w:type="pct"/>
            <w:shd w:val="clear" w:color="auto" w:fill="auto"/>
            <w:vAlign w:val="bottom"/>
          </w:tcPr>
          <w:p w14:paraId="25ED9452" w14:textId="322F8C8C" w:rsidR="0004779D" w:rsidRPr="002D2F67" w:rsidRDefault="0004779D" w:rsidP="005611FE">
            <w:pPr>
              <w:jc w:val="both"/>
              <w:rPr>
                <w:rFonts w:ascii="Arial" w:hAnsi="Arial" w:cs="Arial"/>
                <w:color w:val="000000"/>
                <w:sz w:val="20"/>
                <w:szCs w:val="25"/>
              </w:rPr>
            </w:pPr>
            <w:r w:rsidRPr="002D2F67">
              <w:rPr>
                <w:rFonts w:ascii="Arial" w:hAnsi="Arial" w:cs="Arial"/>
                <w:color w:val="000000"/>
                <w:sz w:val="20"/>
                <w:szCs w:val="25"/>
              </w:rPr>
              <w:t>Transfer</w:t>
            </w:r>
          </w:p>
        </w:tc>
        <w:tc>
          <w:tcPr>
            <w:tcW w:w="474" w:type="pct"/>
            <w:shd w:val="clear" w:color="auto" w:fill="auto"/>
            <w:vAlign w:val="bottom"/>
          </w:tcPr>
          <w:p w14:paraId="265FC636" w14:textId="45FD0107" w:rsidR="0004779D" w:rsidRPr="002D2F67" w:rsidRDefault="00C14718"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4" w:type="pct"/>
            <w:shd w:val="clear" w:color="auto" w:fill="auto"/>
            <w:vAlign w:val="bottom"/>
          </w:tcPr>
          <w:p w14:paraId="4343D6D7" w14:textId="1693A7BD" w:rsidR="0004779D" w:rsidRPr="002D2F67" w:rsidRDefault="00C14718"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4" w:type="pct"/>
            <w:shd w:val="clear" w:color="auto" w:fill="auto"/>
            <w:vAlign w:val="bottom"/>
          </w:tcPr>
          <w:p w14:paraId="1C95CC0D" w14:textId="2367E5A7" w:rsidR="0004779D" w:rsidRPr="002D2F67" w:rsidRDefault="00C14718"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4" w:type="pct"/>
            <w:shd w:val="clear" w:color="auto" w:fill="auto"/>
            <w:vAlign w:val="bottom"/>
          </w:tcPr>
          <w:p w14:paraId="39C1CF50" w14:textId="2A4D0245" w:rsidR="0004779D" w:rsidRPr="002D2F67" w:rsidRDefault="00C14718"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4" w:type="pct"/>
            <w:shd w:val="clear" w:color="auto" w:fill="auto"/>
          </w:tcPr>
          <w:p w14:paraId="008510C9" w14:textId="1D6B4CF7"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C14718" w:rsidRPr="002D2F67">
              <w:rPr>
                <w:rFonts w:ascii="Arial" w:hAnsi="Arial" w:cs="Arial"/>
                <w:color w:val="000000"/>
                <w:sz w:val="20"/>
                <w:szCs w:val="20"/>
              </w:rPr>
              <w:t>,</w:t>
            </w:r>
            <w:r w:rsidRPr="00CD5714">
              <w:rPr>
                <w:rFonts w:ascii="Arial" w:hAnsi="Arial" w:cs="Arial"/>
                <w:color w:val="000000"/>
                <w:sz w:val="20"/>
                <w:szCs w:val="20"/>
                <w:lang w:val="en-GB"/>
              </w:rPr>
              <w:t>244</w:t>
            </w:r>
          </w:p>
        </w:tc>
        <w:tc>
          <w:tcPr>
            <w:tcW w:w="474" w:type="pct"/>
            <w:shd w:val="clear" w:color="auto" w:fill="auto"/>
          </w:tcPr>
          <w:p w14:paraId="0BE1B215" w14:textId="04339CD2" w:rsidR="0004779D" w:rsidRPr="002D2F67" w:rsidRDefault="00C14718"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w:t>
            </w:r>
            <w:r w:rsidRPr="002D2F67">
              <w:rPr>
                <w:rFonts w:ascii="Arial" w:hAnsi="Arial" w:cs="Arial"/>
                <w:color w:val="000000"/>
                <w:sz w:val="20"/>
                <w:szCs w:val="20"/>
              </w:rPr>
              <w:t>,</w:t>
            </w:r>
            <w:r w:rsidR="00CD5714" w:rsidRPr="00CD5714">
              <w:rPr>
                <w:rFonts w:ascii="Arial" w:hAnsi="Arial" w:cs="Arial"/>
                <w:color w:val="000000"/>
                <w:sz w:val="20"/>
                <w:szCs w:val="20"/>
                <w:lang w:val="en-GB"/>
              </w:rPr>
              <w:t>244</w:t>
            </w:r>
            <w:r w:rsidRPr="002D2F67">
              <w:rPr>
                <w:rFonts w:ascii="Arial" w:hAnsi="Arial" w:cs="Arial"/>
                <w:color w:val="000000"/>
                <w:sz w:val="20"/>
                <w:szCs w:val="20"/>
              </w:rPr>
              <w:t>)</w:t>
            </w:r>
          </w:p>
        </w:tc>
        <w:tc>
          <w:tcPr>
            <w:tcW w:w="472" w:type="pct"/>
            <w:shd w:val="clear" w:color="auto" w:fill="auto"/>
            <w:vAlign w:val="bottom"/>
          </w:tcPr>
          <w:p w14:paraId="6C7998E8" w14:textId="33CB9BC3" w:rsidR="0004779D" w:rsidRPr="002D2F67" w:rsidRDefault="00C14718" w:rsidP="005611FE">
            <w:pPr>
              <w:ind w:right="-72"/>
              <w:jc w:val="right"/>
              <w:rPr>
                <w:rFonts w:ascii="Arial" w:hAnsi="Arial" w:cs="Arial"/>
                <w:color w:val="000000"/>
                <w:sz w:val="20"/>
                <w:szCs w:val="20"/>
              </w:rPr>
            </w:pPr>
            <w:r w:rsidRPr="002D2F67">
              <w:rPr>
                <w:rFonts w:ascii="Arial" w:hAnsi="Arial" w:cs="Arial"/>
                <w:color w:val="000000"/>
                <w:sz w:val="20"/>
                <w:szCs w:val="20"/>
              </w:rPr>
              <w:t>-</w:t>
            </w:r>
          </w:p>
        </w:tc>
      </w:tr>
      <w:tr w:rsidR="00C14718" w:rsidRPr="002D2F67" w14:paraId="3018C869" w14:textId="77777777" w:rsidTr="002D2F67">
        <w:trPr>
          <w:trHeight w:val="20"/>
        </w:trPr>
        <w:tc>
          <w:tcPr>
            <w:tcW w:w="1684" w:type="pct"/>
            <w:shd w:val="clear" w:color="auto" w:fill="auto"/>
            <w:vAlign w:val="bottom"/>
          </w:tcPr>
          <w:p w14:paraId="7D392A86" w14:textId="4A969FEA" w:rsidR="00C14718" w:rsidRPr="002D2F67" w:rsidRDefault="00110977" w:rsidP="005611FE">
            <w:pPr>
              <w:jc w:val="both"/>
              <w:rPr>
                <w:rFonts w:ascii="Arial" w:hAnsi="Arial" w:cs="Arial"/>
                <w:color w:val="000000"/>
                <w:sz w:val="20"/>
                <w:szCs w:val="25"/>
              </w:rPr>
            </w:pPr>
            <w:r w:rsidRPr="002D2F67">
              <w:rPr>
                <w:rFonts w:ascii="Arial" w:hAnsi="Arial" w:cs="Arial"/>
                <w:color w:val="000000"/>
                <w:sz w:val="20"/>
                <w:szCs w:val="25"/>
              </w:rPr>
              <w:t>Writ</w:t>
            </w:r>
            <w:r w:rsidR="002277CD" w:rsidRPr="002D2F67">
              <w:rPr>
                <w:rFonts w:ascii="Arial" w:hAnsi="Arial" w:cs="Arial"/>
                <w:color w:val="000000"/>
                <w:sz w:val="20"/>
                <w:szCs w:val="25"/>
              </w:rPr>
              <w:t>ten-</w:t>
            </w:r>
            <w:r w:rsidR="00C14718" w:rsidRPr="002D2F67">
              <w:rPr>
                <w:rFonts w:ascii="Arial" w:hAnsi="Arial" w:cs="Arial"/>
                <w:color w:val="000000"/>
                <w:sz w:val="20"/>
                <w:szCs w:val="25"/>
              </w:rPr>
              <w:t>o</w:t>
            </w:r>
            <w:r w:rsidR="002277CD" w:rsidRPr="002D2F67">
              <w:rPr>
                <w:rFonts w:ascii="Arial" w:hAnsi="Arial" w:cs="Arial"/>
                <w:color w:val="000000"/>
                <w:sz w:val="20"/>
                <w:szCs w:val="25"/>
              </w:rPr>
              <w:t>f</w:t>
            </w:r>
            <w:r w:rsidR="00C14718" w:rsidRPr="002D2F67">
              <w:rPr>
                <w:rFonts w:ascii="Arial" w:hAnsi="Arial" w:cs="Arial"/>
                <w:color w:val="000000"/>
                <w:sz w:val="20"/>
                <w:szCs w:val="25"/>
              </w:rPr>
              <w:t xml:space="preserve">f </w:t>
            </w:r>
            <w:r w:rsidR="00B86C52">
              <w:rPr>
                <w:rFonts w:ascii="Arial" w:hAnsi="Arial" w:cs="Arial"/>
                <w:color w:val="000000"/>
                <w:sz w:val="20"/>
                <w:szCs w:val="25"/>
              </w:rPr>
              <w:t>during the year</w:t>
            </w:r>
          </w:p>
        </w:tc>
        <w:tc>
          <w:tcPr>
            <w:tcW w:w="474" w:type="pct"/>
            <w:shd w:val="clear" w:color="auto" w:fill="auto"/>
            <w:vAlign w:val="bottom"/>
          </w:tcPr>
          <w:p w14:paraId="15215C6E" w14:textId="61CF16E7" w:rsidR="00C14718" w:rsidRPr="002D2F67" w:rsidRDefault="00C14718"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4" w:type="pct"/>
            <w:shd w:val="clear" w:color="auto" w:fill="auto"/>
            <w:vAlign w:val="bottom"/>
          </w:tcPr>
          <w:p w14:paraId="3BE3A447" w14:textId="3996CBA9" w:rsidR="00C14718" w:rsidRPr="002D2F67" w:rsidRDefault="00C14718"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4" w:type="pct"/>
            <w:shd w:val="clear" w:color="auto" w:fill="auto"/>
            <w:vAlign w:val="bottom"/>
          </w:tcPr>
          <w:p w14:paraId="27221A1A" w14:textId="690FEF9A" w:rsidR="00C14718" w:rsidRPr="002D2F67" w:rsidRDefault="00C14718"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4" w:type="pct"/>
            <w:shd w:val="clear" w:color="auto" w:fill="auto"/>
            <w:vAlign w:val="bottom"/>
          </w:tcPr>
          <w:p w14:paraId="625016E8" w14:textId="675CCD75" w:rsidR="00C14718" w:rsidRPr="002D2F67" w:rsidRDefault="00C14718"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4" w:type="pct"/>
            <w:shd w:val="clear" w:color="auto" w:fill="auto"/>
          </w:tcPr>
          <w:p w14:paraId="358BBCB7" w14:textId="17C76096" w:rsidR="00C14718" w:rsidRPr="002D2F67" w:rsidRDefault="00C14718"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4" w:type="pct"/>
            <w:shd w:val="clear" w:color="auto" w:fill="auto"/>
          </w:tcPr>
          <w:p w14:paraId="4CD38AAD" w14:textId="22535078" w:rsidR="00C14718" w:rsidRPr="002D2F67" w:rsidRDefault="00E81443"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13</w:t>
            </w:r>
            <w:r w:rsidR="00F9185F">
              <w:rPr>
                <w:rFonts w:ascii="Arial" w:hAnsi="Arial" w:cs="Arial"/>
                <w:color w:val="000000"/>
                <w:sz w:val="20"/>
                <w:szCs w:val="20"/>
                <w:lang w:val="en-GB"/>
              </w:rPr>
              <w:t>4</w:t>
            </w:r>
            <w:r w:rsidRPr="002D2F67">
              <w:rPr>
                <w:rFonts w:ascii="Arial" w:hAnsi="Arial" w:cs="Arial"/>
                <w:color w:val="000000"/>
                <w:sz w:val="20"/>
                <w:szCs w:val="20"/>
              </w:rPr>
              <w:t>,</w:t>
            </w:r>
            <w:r w:rsidR="00CD5714" w:rsidRPr="00CD5714">
              <w:rPr>
                <w:rFonts w:ascii="Arial" w:hAnsi="Arial" w:cs="Arial"/>
                <w:color w:val="000000"/>
                <w:sz w:val="20"/>
                <w:szCs w:val="20"/>
                <w:lang w:val="en-GB"/>
              </w:rPr>
              <w:t>809</w:t>
            </w:r>
            <w:r w:rsidRPr="002D2F67">
              <w:rPr>
                <w:rFonts w:ascii="Arial" w:hAnsi="Arial" w:cs="Arial"/>
                <w:color w:val="000000"/>
                <w:sz w:val="20"/>
                <w:szCs w:val="20"/>
              </w:rPr>
              <w:t>)</w:t>
            </w:r>
          </w:p>
        </w:tc>
        <w:tc>
          <w:tcPr>
            <w:tcW w:w="472" w:type="pct"/>
            <w:shd w:val="clear" w:color="auto" w:fill="auto"/>
            <w:vAlign w:val="bottom"/>
          </w:tcPr>
          <w:p w14:paraId="6A7BF2A6" w14:textId="4B7228F2" w:rsidR="00C14718" w:rsidRPr="002D2F67" w:rsidRDefault="00E81443"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13</w:t>
            </w:r>
            <w:r w:rsidR="00F9185F">
              <w:rPr>
                <w:rFonts w:ascii="Arial" w:hAnsi="Arial" w:cs="Arial"/>
                <w:color w:val="000000"/>
                <w:sz w:val="20"/>
                <w:szCs w:val="20"/>
                <w:lang w:val="en-GB"/>
              </w:rPr>
              <w:t>4</w:t>
            </w:r>
            <w:r w:rsidRPr="002D2F67">
              <w:rPr>
                <w:rFonts w:ascii="Arial" w:hAnsi="Arial" w:cs="Arial"/>
                <w:color w:val="000000"/>
                <w:sz w:val="20"/>
                <w:szCs w:val="20"/>
              </w:rPr>
              <w:t>,</w:t>
            </w:r>
            <w:r w:rsidR="00CD5714" w:rsidRPr="00CD5714">
              <w:rPr>
                <w:rFonts w:ascii="Arial" w:hAnsi="Arial" w:cs="Arial"/>
                <w:color w:val="000000"/>
                <w:sz w:val="20"/>
                <w:szCs w:val="20"/>
                <w:lang w:val="en-GB"/>
              </w:rPr>
              <w:t>809</w:t>
            </w:r>
            <w:r w:rsidRPr="002D2F67">
              <w:rPr>
                <w:rFonts w:ascii="Arial" w:hAnsi="Arial" w:cs="Arial"/>
                <w:color w:val="000000"/>
                <w:sz w:val="20"/>
                <w:szCs w:val="20"/>
              </w:rPr>
              <w:t>)</w:t>
            </w:r>
          </w:p>
        </w:tc>
      </w:tr>
      <w:tr w:rsidR="005611FE" w:rsidRPr="002D2F67" w14:paraId="16673DA3" w14:textId="77777777" w:rsidTr="002D2F67">
        <w:trPr>
          <w:trHeight w:val="20"/>
        </w:trPr>
        <w:tc>
          <w:tcPr>
            <w:tcW w:w="1684" w:type="pct"/>
            <w:shd w:val="clear" w:color="auto" w:fill="auto"/>
            <w:vAlign w:val="bottom"/>
          </w:tcPr>
          <w:p w14:paraId="44D6F6C1" w14:textId="7C19280A" w:rsidR="0004779D" w:rsidRPr="002D2F67" w:rsidRDefault="0004779D" w:rsidP="005611FE">
            <w:pPr>
              <w:jc w:val="both"/>
              <w:rPr>
                <w:rFonts w:ascii="Arial" w:hAnsi="Arial" w:cs="Arial"/>
                <w:color w:val="000000"/>
                <w:sz w:val="20"/>
                <w:szCs w:val="20"/>
              </w:rPr>
            </w:pPr>
            <w:r w:rsidRPr="002D2F67">
              <w:rPr>
                <w:rFonts w:ascii="Arial" w:hAnsi="Arial" w:cs="Arial"/>
                <w:color w:val="000000"/>
                <w:sz w:val="20"/>
                <w:szCs w:val="20"/>
              </w:rPr>
              <w:t xml:space="preserve">Amortisation </w:t>
            </w:r>
            <w:r w:rsidR="00E536A7" w:rsidRPr="002D2F67">
              <w:rPr>
                <w:rFonts w:ascii="Arial" w:hAnsi="Arial" w:cs="Arial"/>
                <w:color w:val="000000"/>
                <w:sz w:val="20"/>
                <w:szCs w:val="20"/>
              </w:rPr>
              <w:t>charged</w:t>
            </w:r>
          </w:p>
        </w:tc>
        <w:tc>
          <w:tcPr>
            <w:tcW w:w="474" w:type="pct"/>
            <w:shd w:val="clear" w:color="auto" w:fill="auto"/>
            <w:vAlign w:val="bottom"/>
          </w:tcPr>
          <w:p w14:paraId="05C5186B" w14:textId="71758799" w:rsidR="0004779D" w:rsidRPr="002D2F67" w:rsidRDefault="00C14718"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41</w:t>
            </w:r>
            <w:r w:rsidRPr="002D2F67">
              <w:rPr>
                <w:rFonts w:ascii="Arial" w:hAnsi="Arial" w:cs="Arial"/>
                <w:color w:val="000000"/>
                <w:sz w:val="20"/>
                <w:szCs w:val="20"/>
              </w:rPr>
              <w:t>,</w:t>
            </w:r>
            <w:r w:rsidR="00CD5714" w:rsidRPr="00CD5714">
              <w:rPr>
                <w:rFonts w:ascii="Arial" w:hAnsi="Arial" w:cs="Arial"/>
                <w:color w:val="000000"/>
                <w:sz w:val="20"/>
                <w:szCs w:val="20"/>
                <w:lang w:val="en-GB"/>
              </w:rPr>
              <w:t>398</w:t>
            </w:r>
            <w:r w:rsidRPr="002D2F67">
              <w:rPr>
                <w:rFonts w:ascii="Arial" w:hAnsi="Arial" w:cs="Arial"/>
                <w:color w:val="000000"/>
                <w:sz w:val="20"/>
                <w:szCs w:val="20"/>
              </w:rPr>
              <w:t>)</w:t>
            </w:r>
          </w:p>
        </w:tc>
        <w:tc>
          <w:tcPr>
            <w:tcW w:w="474" w:type="pct"/>
            <w:shd w:val="clear" w:color="auto" w:fill="auto"/>
            <w:vAlign w:val="bottom"/>
          </w:tcPr>
          <w:p w14:paraId="75466D3A" w14:textId="141BE3AF" w:rsidR="0004779D" w:rsidRPr="002D2F67" w:rsidRDefault="00C14718"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14</w:t>
            </w:r>
            <w:r w:rsidRPr="002D2F67">
              <w:rPr>
                <w:rFonts w:ascii="Arial" w:hAnsi="Arial" w:cs="Arial"/>
                <w:color w:val="000000"/>
                <w:sz w:val="20"/>
                <w:szCs w:val="20"/>
              </w:rPr>
              <w:t>,</w:t>
            </w:r>
            <w:r w:rsidR="00CD5714" w:rsidRPr="00CD5714">
              <w:rPr>
                <w:rFonts w:ascii="Arial" w:hAnsi="Arial" w:cs="Arial"/>
                <w:color w:val="000000"/>
                <w:sz w:val="20"/>
                <w:szCs w:val="20"/>
                <w:lang w:val="en-GB"/>
              </w:rPr>
              <w:t>268</w:t>
            </w:r>
            <w:r w:rsidRPr="002D2F67">
              <w:rPr>
                <w:rFonts w:ascii="Arial" w:hAnsi="Arial" w:cs="Arial"/>
                <w:color w:val="000000"/>
                <w:sz w:val="20"/>
                <w:szCs w:val="20"/>
              </w:rPr>
              <w:t>)</w:t>
            </w:r>
          </w:p>
        </w:tc>
        <w:tc>
          <w:tcPr>
            <w:tcW w:w="474" w:type="pct"/>
            <w:shd w:val="clear" w:color="auto" w:fill="auto"/>
            <w:vAlign w:val="bottom"/>
          </w:tcPr>
          <w:p w14:paraId="29D9384B" w14:textId="4BCD4072" w:rsidR="0004779D" w:rsidRPr="002D2F67" w:rsidRDefault="00E81443"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76</w:t>
            </w:r>
            <w:r w:rsidRPr="002D2F67">
              <w:rPr>
                <w:rFonts w:ascii="Arial" w:hAnsi="Arial" w:cs="Arial"/>
                <w:color w:val="000000"/>
                <w:sz w:val="20"/>
                <w:szCs w:val="20"/>
              </w:rPr>
              <w:t>,</w:t>
            </w:r>
            <w:r w:rsidR="00CD5714" w:rsidRPr="00CD5714">
              <w:rPr>
                <w:rFonts w:ascii="Arial" w:hAnsi="Arial" w:cs="Arial"/>
                <w:color w:val="000000"/>
                <w:sz w:val="20"/>
                <w:szCs w:val="20"/>
                <w:lang w:val="en-GB"/>
              </w:rPr>
              <w:t>622</w:t>
            </w:r>
            <w:r w:rsidRPr="002D2F67">
              <w:rPr>
                <w:rFonts w:ascii="Arial" w:hAnsi="Arial" w:cs="Arial"/>
                <w:color w:val="000000"/>
                <w:sz w:val="20"/>
                <w:szCs w:val="20"/>
              </w:rPr>
              <w:t>)</w:t>
            </w:r>
          </w:p>
        </w:tc>
        <w:tc>
          <w:tcPr>
            <w:tcW w:w="474" w:type="pct"/>
            <w:shd w:val="clear" w:color="auto" w:fill="auto"/>
            <w:vAlign w:val="bottom"/>
          </w:tcPr>
          <w:p w14:paraId="0D515038" w14:textId="5C332CFA" w:rsidR="0004779D" w:rsidRPr="002D2F67" w:rsidRDefault="00C14718"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w:t>
            </w:r>
            <w:r w:rsidRPr="002D2F67">
              <w:rPr>
                <w:rFonts w:ascii="Arial" w:hAnsi="Arial" w:cs="Arial"/>
                <w:color w:val="000000"/>
                <w:sz w:val="20"/>
                <w:szCs w:val="20"/>
              </w:rPr>
              <w:t>,</w:t>
            </w:r>
            <w:r w:rsidR="00CD5714" w:rsidRPr="00CD5714">
              <w:rPr>
                <w:rFonts w:ascii="Arial" w:hAnsi="Arial" w:cs="Arial"/>
                <w:color w:val="000000"/>
                <w:sz w:val="20"/>
                <w:szCs w:val="20"/>
                <w:lang w:val="en-GB"/>
              </w:rPr>
              <w:t>698</w:t>
            </w:r>
            <w:r w:rsidRPr="002D2F67">
              <w:rPr>
                <w:rFonts w:ascii="Arial" w:hAnsi="Arial" w:cs="Arial"/>
                <w:color w:val="000000"/>
                <w:sz w:val="20"/>
                <w:szCs w:val="20"/>
              </w:rPr>
              <w:t>)</w:t>
            </w:r>
          </w:p>
        </w:tc>
        <w:tc>
          <w:tcPr>
            <w:tcW w:w="474" w:type="pct"/>
            <w:shd w:val="clear" w:color="auto" w:fill="auto"/>
            <w:vAlign w:val="bottom"/>
          </w:tcPr>
          <w:p w14:paraId="037F25F3" w14:textId="7563D0A4" w:rsidR="0004779D" w:rsidRPr="002D2F67" w:rsidRDefault="00C14718"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19</w:t>
            </w:r>
            <w:r w:rsidRPr="002D2F67">
              <w:rPr>
                <w:rFonts w:ascii="Arial" w:hAnsi="Arial" w:cs="Arial"/>
                <w:color w:val="000000"/>
                <w:sz w:val="20"/>
                <w:szCs w:val="20"/>
              </w:rPr>
              <w:t>,</w:t>
            </w:r>
            <w:r w:rsidR="00CD5714" w:rsidRPr="00CD5714">
              <w:rPr>
                <w:rFonts w:ascii="Arial" w:hAnsi="Arial" w:cs="Arial"/>
                <w:color w:val="000000"/>
                <w:sz w:val="20"/>
                <w:szCs w:val="20"/>
                <w:lang w:val="en-GB"/>
              </w:rPr>
              <w:t>617</w:t>
            </w:r>
            <w:r w:rsidRPr="002D2F67">
              <w:rPr>
                <w:rFonts w:ascii="Arial" w:hAnsi="Arial" w:cs="Arial"/>
                <w:color w:val="000000"/>
                <w:sz w:val="20"/>
                <w:szCs w:val="20"/>
              </w:rPr>
              <w:t>)</w:t>
            </w:r>
          </w:p>
        </w:tc>
        <w:tc>
          <w:tcPr>
            <w:tcW w:w="474" w:type="pct"/>
            <w:shd w:val="clear" w:color="auto" w:fill="auto"/>
            <w:vAlign w:val="bottom"/>
          </w:tcPr>
          <w:p w14:paraId="3FDF9832" w14:textId="787375C6" w:rsidR="0004779D" w:rsidRPr="002D2F67" w:rsidRDefault="00C14718"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2" w:type="pct"/>
            <w:shd w:val="clear" w:color="auto" w:fill="auto"/>
            <w:vAlign w:val="bottom"/>
          </w:tcPr>
          <w:p w14:paraId="7FDE837D" w14:textId="6BD581DB" w:rsidR="0004779D" w:rsidRPr="002D2F67" w:rsidRDefault="00E81443"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153</w:t>
            </w:r>
            <w:r w:rsidRPr="002D2F67">
              <w:rPr>
                <w:rFonts w:ascii="Arial" w:hAnsi="Arial" w:cs="Arial"/>
                <w:color w:val="000000"/>
                <w:sz w:val="20"/>
                <w:szCs w:val="20"/>
              </w:rPr>
              <w:t>,</w:t>
            </w:r>
            <w:r w:rsidR="00CD5714" w:rsidRPr="00CD5714">
              <w:rPr>
                <w:rFonts w:ascii="Arial" w:hAnsi="Arial" w:cs="Arial"/>
                <w:color w:val="000000"/>
                <w:sz w:val="20"/>
                <w:szCs w:val="20"/>
                <w:lang w:val="en-GB"/>
              </w:rPr>
              <w:t>603</w:t>
            </w:r>
            <w:r w:rsidRPr="002D2F67">
              <w:rPr>
                <w:rFonts w:ascii="Arial" w:hAnsi="Arial" w:cs="Arial"/>
                <w:color w:val="000000"/>
                <w:sz w:val="20"/>
                <w:szCs w:val="20"/>
              </w:rPr>
              <w:t>)</w:t>
            </w:r>
          </w:p>
        </w:tc>
      </w:tr>
      <w:tr w:rsidR="00693201" w:rsidRPr="002D2F67" w14:paraId="1E84BF37" w14:textId="77777777" w:rsidTr="002D2F67">
        <w:trPr>
          <w:trHeight w:val="20"/>
        </w:trPr>
        <w:tc>
          <w:tcPr>
            <w:tcW w:w="1684" w:type="pct"/>
            <w:shd w:val="clear" w:color="auto" w:fill="auto"/>
            <w:vAlign w:val="bottom"/>
          </w:tcPr>
          <w:p w14:paraId="18A649AD" w14:textId="661BD065" w:rsidR="00693201" w:rsidRPr="002D2F67" w:rsidRDefault="00693201" w:rsidP="005611FE">
            <w:pPr>
              <w:jc w:val="both"/>
              <w:rPr>
                <w:rFonts w:ascii="Arial" w:hAnsi="Arial" w:cs="Arial"/>
                <w:color w:val="000000"/>
                <w:sz w:val="20"/>
                <w:szCs w:val="25"/>
              </w:rPr>
            </w:pPr>
            <w:r w:rsidRPr="002D2F67">
              <w:rPr>
                <w:rFonts w:ascii="Arial" w:hAnsi="Arial" w:cs="Arial"/>
                <w:color w:val="000000"/>
                <w:sz w:val="20"/>
                <w:szCs w:val="25"/>
              </w:rPr>
              <w:t xml:space="preserve">Impairment </w:t>
            </w:r>
            <w:r w:rsidR="0054247E" w:rsidRPr="002D2F67">
              <w:rPr>
                <w:rFonts w:ascii="Arial" w:hAnsi="Arial" w:cs="Arial"/>
                <w:color w:val="000000"/>
                <w:sz w:val="20"/>
                <w:szCs w:val="25"/>
              </w:rPr>
              <w:t>loss</w:t>
            </w:r>
            <w:r w:rsidR="0054247E" w:rsidRPr="002D2F67">
              <w:rPr>
                <w:rFonts w:ascii="Arial" w:hAnsi="Arial" w:cs="Arial"/>
                <w:color w:val="000000"/>
                <w:sz w:val="20"/>
                <w:szCs w:val="25"/>
                <w:vertAlign w:val="superscript"/>
              </w:rPr>
              <w:t>(</w:t>
            </w:r>
            <w:r w:rsidR="00CD5714" w:rsidRPr="00CD5714">
              <w:rPr>
                <w:rFonts w:ascii="Arial" w:hAnsi="Arial" w:cs="Arial"/>
                <w:color w:val="000000"/>
                <w:sz w:val="20"/>
                <w:szCs w:val="25"/>
                <w:vertAlign w:val="superscript"/>
                <w:lang w:val="en-GB"/>
              </w:rPr>
              <w:t>1</w:t>
            </w:r>
            <w:r w:rsidR="0054247E" w:rsidRPr="002D2F67">
              <w:rPr>
                <w:rFonts w:ascii="Arial" w:hAnsi="Arial" w:cs="Arial"/>
                <w:color w:val="000000"/>
                <w:sz w:val="20"/>
                <w:szCs w:val="25"/>
                <w:vertAlign w:val="superscript"/>
              </w:rPr>
              <w:t>)</w:t>
            </w:r>
          </w:p>
        </w:tc>
        <w:tc>
          <w:tcPr>
            <w:tcW w:w="474" w:type="pct"/>
            <w:shd w:val="clear" w:color="auto" w:fill="auto"/>
            <w:vAlign w:val="bottom"/>
          </w:tcPr>
          <w:p w14:paraId="3E65246D" w14:textId="13CE8CA8" w:rsidR="00693201" w:rsidRPr="002D2F67" w:rsidRDefault="00E81443"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498</w:t>
            </w:r>
            <w:r w:rsidRPr="002D2F67">
              <w:rPr>
                <w:rFonts w:ascii="Arial" w:hAnsi="Arial" w:cs="Arial"/>
                <w:color w:val="000000"/>
                <w:sz w:val="20"/>
                <w:szCs w:val="20"/>
              </w:rPr>
              <w:t>,</w:t>
            </w:r>
            <w:r w:rsidR="00CD5714" w:rsidRPr="00CD5714">
              <w:rPr>
                <w:rFonts w:ascii="Arial" w:hAnsi="Arial" w:cs="Arial"/>
                <w:color w:val="000000"/>
                <w:sz w:val="20"/>
                <w:szCs w:val="20"/>
                <w:lang w:val="en-GB"/>
              </w:rPr>
              <w:t>863</w:t>
            </w:r>
            <w:r w:rsidRPr="002D2F67">
              <w:rPr>
                <w:rFonts w:ascii="Arial" w:hAnsi="Arial" w:cs="Arial"/>
                <w:color w:val="000000"/>
                <w:sz w:val="20"/>
                <w:szCs w:val="20"/>
              </w:rPr>
              <w:t>)</w:t>
            </w:r>
          </w:p>
        </w:tc>
        <w:tc>
          <w:tcPr>
            <w:tcW w:w="474" w:type="pct"/>
            <w:shd w:val="clear" w:color="auto" w:fill="auto"/>
            <w:vAlign w:val="bottom"/>
          </w:tcPr>
          <w:p w14:paraId="49333460" w14:textId="18A2490D" w:rsidR="00693201" w:rsidRPr="002D2F67" w:rsidRDefault="00E81443"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172</w:t>
            </w:r>
            <w:r w:rsidRPr="002D2F67">
              <w:rPr>
                <w:rFonts w:ascii="Arial" w:hAnsi="Arial" w:cs="Arial"/>
                <w:color w:val="000000"/>
                <w:sz w:val="20"/>
                <w:szCs w:val="20"/>
              </w:rPr>
              <w:t>,</w:t>
            </w:r>
            <w:r w:rsidR="00CD5714" w:rsidRPr="00CD5714">
              <w:rPr>
                <w:rFonts w:ascii="Arial" w:hAnsi="Arial" w:cs="Arial"/>
                <w:color w:val="000000"/>
                <w:sz w:val="20"/>
                <w:szCs w:val="20"/>
                <w:lang w:val="en-GB"/>
              </w:rPr>
              <w:t>031</w:t>
            </w:r>
            <w:r w:rsidRPr="002D2F67">
              <w:rPr>
                <w:rFonts w:ascii="Arial" w:hAnsi="Arial" w:cs="Arial"/>
                <w:color w:val="000000"/>
                <w:sz w:val="20"/>
                <w:szCs w:val="20"/>
              </w:rPr>
              <w:t>)</w:t>
            </w:r>
          </w:p>
        </w:tc>
        <w:tc>
          <w:tcPr>
            <w:tcW w:w="474" w:type="pct"/>
            <w:shd w:val="clear" w:color="auto" w:fill="auto"/>
            <w:vAlign w:val="bottom"/>
          </w:tcPr>
          <w:p w14:paraId="4C6D2B5A" w14:textId="59577B57" w:rsidR="00693201" w:rsidRPr="002D2F67" w:rsidRDefault="00C14718" w:rsidP="005611FE">
            <w:pPr>
              <w:ind w:right="-72"/>
              <w:jc w:val="right"/>
              <w:rPr>
                <w:rFonts w:ascii="Arial" w:hAnsi="Arial" w:cs="Arial"/>
                <w:color w:val="000000"/>
                <w:sz w:val="20"/>
                <w:szCs w:val="20"/>
                <w:cs/>
              </w:rPr>
            </w:pPr>
            <w:r w:rsidRPr="002D2F67">
              <w:rPr>
                <w:rFonts w:ascii="Arial" w:hAnsi="Arial" w:cs="Arial"/>
                <w:color w:val="000000"/>
                <w:sz w:val="20"/>
                <w:szCs w:val="20"/>
              </w:rPr>
              <w:t>-</w:t>
            </w:r>
          </w:p>
        </w:tc>
        <w:tc>
          <w:tcPr>
            <w:tcW w:w="474" w:type="pct"/>
            <w:shd w:val="clear" w:color="auto" w:fill="auto"/>
            <w:vAlign w:val="bottom"/>
          </w:tcPr>
          <w:p w14:paraId="13250BCB" w14:textId="2D6FC262" w:rsidR="00693201" w:rsidRPr="002D2F67" w:rsidRDefault="00973BD8"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4" w:type="pct"/>
            <w:shd w:val="clear" w:color="auto" w:fill="auto"/>
            <w:vAlign w:val="bottom"/>
          </w:tcPr>
          <w:p w14:paraId="0F421409" w14:textId="3380E206" w:rsidR="00693201" w:rsidRPr="002D2F67" w:rsidRDefault="00973BD8"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4" w:type="pct"/>
            <w:shd w:val="clear" w:color="auto" w:fill="auto"/>
            <w:vAlign w:val="bottom"/>
          </w:tcPr>
          <w:p w14:paraId="750753F7" w14:textId="092A3000" w:rsidR="00693201" w:rsidRPr="002D2F67" w:rsidRDefault="00C14718"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2" w:type="pct"/>
            <w:shd w:val="clear" w:color="auto" w:fill="auto"/>
            <w:vAlign w:val="bottom"/>
          </w:tcPr>
          <w:p w14:paraId="352D1B80" w14:textId="15853A95" w:rsidR="00693201" w:rsidRPr="002D2F67" w:rsidRDefault="00E81443"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670</w:t>
            </w:r>
            <w:r w:rsidRPr="002D2F67">
              <w:rPr>
                <w:rFonts w:ascii="Arial" w:hAnsi="Arial" w:cs="Arial"/>
                <w:color w:val="000000"/>
                <w:sz w:val="20"/>
                <w:szCs w:val="20"/>
              </w:rPr>
              <w:t>,</w:t>
            </w:r>
            <w:r w:rsidR="00CD5714" w:rsidRPr="00CD5714">
              <w:rPr>
                <w:rFonts w:ascii="Arial" w:hAnsi="Arial" w:cs="Arial"/>
                <w:color w:val="000000"/>
                <w:sz w:val="20"/>
                <w:szCs w:val="20"/>
                <w:lang w:val="en-GB"/>
              </w:rPr>
              <w:t>894</w:t>
            </w:r>
            <w:r w:rsidRPr="002D2F67">
              <w:rPr>
                <w:rFonts w:ascii="Arial" w:hAnsi="Arial" w:cs="Arial"/>
                <w:color w:val="000000"/>
                <w:sz w:val="20"/>
                <w:szCs w:val="20"/>
              </w:rPr>
              <w:t>)</w:t>
            </w:r>
          </w:p>
        </w:tc>
      </w:tr>
      <w:tr w:rsidR="005611FE" w:rsidRPr="002D2F67" w14:paraId="4F133268" w14:textId="77777777" w:rsidTr="002D2F67">
        <w:trPr>
          <w:trHeight w:val="20"/>
        </w:trPr>
        <w:tc>
          <w:tcPr>
            <w:tcW w:w="1684" w:type="pct"/>
            <w:shd w:val="clear" w:color="auto" w:fill="auto"/>
            <w:vAlign w:val="bottom"/>
          </w:tcPr>
          <w:p w14:paraId="11B446FF" w14:textId="77777777" w:rsidR="0004779D" w:rsidRPr="002D2F67" w:rsidRDefault="0004779D" w:rsidP="005611FE">
            <w:pPr>
              <w:jc w:val="both"/>
              <w:rPr>
                <w:rFonts w:ascii="Arial" w:hAnsi="Arial" w:cs="Arial"/>
                <w:color w:val="000000"/>
                <w:sz w:val="20"/>
                <w:szCs w:val="20"/>
              </w:rPr>
            </w:pPr>
            <w:r w:rsidRPr="002D2F67">
              <w:rPr>
                <w:rFonts w:ascii="Arial" w:hAnsi="Arial" w:cs="Arial"/>
                <w:color w:val="000000"/>
                <w:sz w:val="20"/>
                <w:szCs w:val="20"/>
              </w:rPr>
              <w:t>Currency translation differences</w:t>
            </w:r>
          </w:p>
        </w:tc>
        <w:tc>
          <w:tcPr>
            <w:tcW w:w="474" w:type="pct"/>
            <w:tcBorders>
              <w:bottom w:val="single" w:sz="4" w:space="0" w:color="auto"/>
            </w:tcBorders>
            <w:shd w:val="clear" w:color="auto" w:fill="auto"/>
            <w:vAlign w:val="bottom"/>
          </w:tcPr>
          <w:p w14:paraId="4C1461A1" w14:textId="2313990E" w:rsidR="0004779D" w:rsidRPr="002D2F67" w:rsidRDefault="00E81443"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43</w:t>
            </w:r>
            <w:r w:rsidRPr="002D2F67">
              <w:rPr>
                <w:rFonts w:ascii="Arial" w:hAnsi="Arial" w:cs="Arial"/>
                <w:color w:val="000000"/>
                <w:sz w:val="20"/>
                <w:szCs w:val="20"/>
              </w:rPr>
              <w:t>,</w:t>
            </w:r>
            <w:r w:rsidR="00CD5714" w:rsidRPr="00CD5714">
              <w:rPr>
                <w:rFonts w:ascii="Arial" w:hAnsi="Arial" w:cs="Arial"/>
                <w:color w:val="000000"/>
                <w:sz w:val="20"/>
                <w:szCs w:val="20"/>
                <w:lang w:val="en-GB"/>
              </w:rPr>
              <w:t>721</w:t>
            </w:r>
            <w:r w:rsidRPr="002D2F67">
              <w:rPr>
                <w:rFonts w:ascii="Arial" w:hAnsi="Arial" w:cs="Arial"/>
                <w:color w:val="000000"/>
                <w:sz w:val="20"/>
                <w:szCs w:val="20"/>
              </w:rPr>
              <w:t>)</w:t>
            </w:r>
          </w:p>
        </w:tc>
        <w:tc>
          <w:tcPr>
            <w:tcW w:w="474" w:type="pct"/>
            <w:tcBorders>
              <w:bottom w:val="single" w:sz="4" w:space="0" w:color="auto"/>
            </w:tcBorders>
            <w:shd w:val="clear" w:color="auto" w:fill="auto"/>
            <w:vAlign w:val="bottom"/>
          </w:tcPr>
          <w:p w14:paraId="44F231C8" w14:textId="23BE106A" w:rsidR="0004779D" w:rsidRPr="002D2F67" w:rsidRDefault="00C14718"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12</w:t>
            </w:r>
            <w:r w:rsidRPr="002D2F67">
              <w:rPr>
                <w:rFonts w:ascii="Arial" w:hAnsi="Arial" w:cs="Arial"/>
                <w:color w:val="000000"/>
                <w:sz w:val="20"/>
                <w:szCs w:val="20"/>
              </w:rPr>
              <w:t>,</w:t>
            </w:r>
            <w:r w:rsidR="00CD5714" w:rsidRPr="00CD5714">
              <w:rPr>
                <w:rFonts w:ascii="Arial" w:hAnsi="Arial" w:cs="Arial"/>
                <w:color w:val="000000"/>
                <w:sz w:val="20"/>
                <w:szCs w:val="20"/>
                <w:lang w:val="en-GB"/>
              </w:rPr>
              <w:t>163</w:t>
            </w:r>
            <w:r w:rsidRPr="002D2F67">
              <w:rPr>
                <w:rFonts w:ascii="Arial" w:hAnsi="Arial" w:cs="Arial"/>
                <w:color w:val="000000"/>
                <w:sz w:val="20"/>
                <w:szCs w:val="20"/>
              </w:rPr>
              <w:t>)</w:t>
            </w:r>
          </w:p>
        </w:tc>
        <w:tc>
          <w:tcPr>
            <w:tcW w:w="474" w:type="pct"/>
            <w:tcBorders>
              <w:bottom w:val="single" w:sz="4" w:space="0" w:color="auto"/>
            </w:tcBorders>
            <w:shd w:val="clear" w:color="auto" w:fill="auto"/>
            <w:vAlign w:val="bottom"/>
          </w:tcPr>
          <w:p w14:paraId="1A6CACC3" w14:textId="3E262B4A" w:rsidR="0004779D" w:rsidRPr="002D2F67" w:rsidRDefault="00C14718" w:rsidP="005611FE">
            <w:pPr>
              <w:ind w:right="-72"/>
              <w:jc w:val="right"/>
              <w:rPr>
                <w:rFonts w:ascii="Arial" w:hAnsi="Arial" w:cs="Arial"/>
                <w:color w:val="000000"/>
                <w:sz w:val="20"/>
                <w:szCs w:val="20"/>
                <w:cs/>
              </w:rPr>
            </w:pPr>
            <w:r w:rsidRPr="002D2F67">
              <w:rPr>
                <w:rFonts w:ascii="Arial" w:hAnsi="Arial" w:cs="Arial"/>
                <w:color w:val="000000"/>
                <w:sz w:val="20"/>
                <w:szCs w:val="20"/>
              </w:rPr>
              <w:t>-</w:t>
            </w:r>
          </w:p>
        </w:tc>
        <w:tc>
          <w:tcPr>
            <w:tcW w:w="474" w:type="pct"/>
            <w:tcBorders>
              <w:bottom w:val="single" w:sz="4" w:space="0" w:color="auto"/>
            </w:tcBorders>
            <w:shd w:val="clear" w:color="auto" w:fill="auto"/>
            <w:vAlign w:val="bottom"/>
          </w:tcPr>
          <w:p w14:paraId="562C65EB" w14:textId="245D6170" w:rsidR="0004779D" w:rsidRPr="002D2F67" w:rsidRDefault="00973BD8" w:rsidP="005611FE">
            <w:pPr>
              <w:ind w:right="-72"/>
              <w:jc w:val="right"/>
              <w:rPr>
                <w:rFonts w:ascii="Arial" w:hAnsi="Arial" w:cs="Arial"/>
                <w:color w:val="000000"/>
                <w:sz w:val="20"/>
                <w:szCs w:val="20"/>
                <w:cs/>
              </w:rPr>
            </w:pPr>
            <w:r w:rsidRPr="002D2F67">
              <w:rPr>
                <w:rFonts w:ascii="Arial" w:hAnsi="Arial" w:cs="Arial"/>
                <w:color w:val="000000"/>
                <w:sz w:val="20"/>
                <w:szCs w:val="20"/>
              </w:rPr>
              <w:t>-</w:t>
            </w:r>
          </w:p>
        </w:tc>
        <w:tc>
          <w:tcPr>
            <w:tcW w:w="474" w:type="pct"/>
            <w:tcBorders>
              <w:bottom w:val="single" w:sz="4" w:space="0" w:color="auto"/>
            </w:tcBorders>
            <w:shd w:val="clear" w:color="auto" w:fill="auto"/>
            <w:vAlign w:val="bottom"/>
          </w:tcPr>
          <w:p w14:paraId="004EC13E" w14:textId="52747EBE" w:rsidR="0004779D" w:rsidRPr="002D2F67" w:rsidRDefault="00C14718"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255</w:t>
            </w:r>
            <w:r w:rsidRPr="002D2F67">
              <w:rPr>
                <w:rFonts w:ascii="Arial" w:hAnsi="Arial" w:cs="Arial"/>
                <w:color w:val="000000"/>
                <w:sz w:val="20"/>
                <w:szCs w:val="20"/>
              </w:rPr>
              <w:t>)</w:t>
            </w:r>
          </w:p>
        </w:tc>
        <w:tc>
          <w:tcPr>
            <w:tcW w:w="474" w:type="pct"/>
            <w:tcBorders>
              <w:bottom w:val="single" w:sz="4" w:space="0" w:color="auto"/>
            </w:tcBorders>
            <w:shd w:val="clear" w:color="auto" w:fill="auto"/>
            <w:vAlign w:val="bottom"/>
          </w:tcPr>
          <w:p w14:paraId="685804F8" w14:textId="6C13FAC8" w:rsidR="0004779D" w:rsidRPr="002D2F67" w:rsidRDefault="00E81443" w:rsidP="005611FE">
            <w:pPr>
              <w:ind w:right="-72"/>
              <w:jc w:val="right"/>
              <w:rPr>
                <w:rFonts w:ascii="Arial" w:hAnsi="Arial" w:cs="Arial"/>
                <w:color w:val="000000"/>
                <w:sz w:val="20"/>
                <w:szCs w:val="20"/>
                <w:cs/>
              </w:rPr>
            </w:pPr>
            <w:r w:rsidRPr="002D2F67">
              <w:rPr>
                <w:rFonts w:ascii="Arial" w:hAnsi="Arial" w:cs="Arial"/>
                <w:color w:val="000000"/>
                <w:sz w:val="20"/>
                <w:szCs w:val="20"/>
              </w:rPr>
              <w:t>-</w:t>
            </w:r>
          </w:p>
        </w:tc>
        <w:tc>
          <w:tcPr>
            <w:tcW w:w="472" w:type="pct"/>
            <w:tcBorders>
              <w:bottom w:val="single" w:sz="4" w:space="0" w:color="auto"/>
            </w:tcBorders>
            <w:shd w:val="clear" w:color="auto" w:fill="auto"/>
            <w:vAlign w:val="bottom"/>
          </w:tcPr>
          <w:p w14:paraId="13C386B3" w14:textId="338D4760" w:rsidR="0004779D" w:rsidRPr="002D2F67" w:rsidRDefault="00E81443"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56</w:t>
            </w:r>
            <w:r w:rsidRPr="002D2F67">
              <w:rPr>
                <w:rFonts w:ascii="Arial" w:hAnsi="Arial" w:cs="Arial"/>
                <w:color w:val="000000"/>
                <w:sz w:val="20"/>
                <w:szCs w:val="20"/>
              </w:rPr>
              <w:t>,</w:t>
            </w:r>
            <w:r w:rsidR="00CD5714" w:rsidRPr="00CD5714">
              <w:rPr>
                <w:rFonts w:ascii="Arial" w:hAnsi="Arial" w:cs="Arial"/>
                <w:color w:val="000000"/>
                <w:sz w:val="20"/>
                <w:szCs w:val="20"/>
                <w:lang w:val="en-GB"/>
              </w:rPr>
              <w:t>139</w:t>
            </w:r>
            <w:r w:rsidRPr="002D2F67">
              <w:rPr>
                <w:rFonts w:ascii="Arial" w:hAnsi="Arial" w:cs="Arial"/>
                <w:color w:val="000000"/>
                <w:sz w:val="20"/>
                <w:szCs w:val="20"/>
              </w:rPr>
              <w:t>)</w:t>
            </w:r>
          </w:p>
        </w:tc>
      </w:tr>
      <w:tr w:rsidR="005611FE" w:rsidRPr="002D2F67" w14:paraId="20EC326E" w14:textId="77777777" w:rsidTr="002D2F67">
        <w:trPr>
          <w:trHeight w:val="20"/>
        </w:trPr>
        <w:tc>
          <w:tcPr>
            <w:tcW w:w="1684" w:type="pct"/>
            <w:shd w:val="clear" w:color="auto" w:fill="auto"/>
            <w:vAlign w:val="bottom"/>
          </w:tcPr>
          <w:p w14:paraId="2E818E28" w14:textId="77777777" w:rsidR="0004779D" w:rsidRPr="002D2F67" w:rsidRDefault="0004779D" w:rsidP="005611FE">
            <w:pPr>
              <w:jc w:val="both"/>
              <w:rPr>
                <w:rFonts w:ascii="Arial" w:hAnsi="Arial" w:cs="Arial"/>
                <w:color w:val="000000"/>
                <w:sz w:val="20"/>
                <w:szCs w:val="20"/>
              </w:rPr>
            </w:pPr>
          </w:p>
        </w:tc>
        <w:tc>
          <w:tcPr>
            <w:tcW w:w="474" w:type="pct"/>
            <w:tcBorders>
              <w:top w:val="single" w:sz="4" w:space="0" w:color="auto"/>
            </w:tcBorders>
            <w:shd w:val="clear" w:color="auto" w:fill="auto"/>
            <w:vAlign w:val="bottom"/>
          </w:tcPr>
          <w:p w14:paraId="3B376E39"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588C4471"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182A84AF"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3230FB0D"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1C1BF485" w14:textId="7463AA1F"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77806123" w14:textId="77777777" w:rsidR="0004779D" w:rsidRPr="002D2F67" w:rsidRDefault="0004779D" w:rsidP="005611FE">
            <w:pPr>
              <w:ind w:right="-72"/>
              <w:jc w:val="right"/>
              <w:rPr>
                <w:rFonts w:ascii="Arial" w:hAnsi="Arial" w:cs="Arial"/>
                <w:color w:val="000000"/>
                <w:sz w:val="20"/>
                <w:szCs w:val="20"/>
              </w:rPr>
            </w:pPr>
          </w:p>
        </w:tc>
        <w:tc>
          <w:tcPr>
            <w:tcW w:w="472" w:type="pct"/>
            <w:tcBorders>
              <w:top w:val="single" w:sz="4" w:space="0" w:color="auto"/>
            </w:tcBorders>
            <w:shd w:val="clear" w:color="auto" w:fill="auto"/>
            <w:vAlign w:val="bottom"/>
          </w:tcPr>
          <w:p w14:paraId="131B7F38" w14:textId="77777777" w:rsidR="0004779D" w:rsidRPr="002D2F67" w:rsidRDefault="0004779D" w:rsidP="005611FE">
            <w:pPr>
              <w:ind w:right="-72"/>
              <w:jc w:val="right"/>
              <w:rPr>
                <w:rFonts w:ascii="Arial" w:hAnsi="Arial" w:cs="Arial"/>
                <w:color w:val="000000"/>
                <w:sz w:val="20"/>
                <w:szCs w:val="20"/>
              </w:rPr>
            </w:pPr>
          </w:p>
        </w:tc>
      </w:tr>
      <w:tr w:rsidR="005611FE" w:rsidRPr="002D2F67" w14:paraId="2906B1DC" w14:textId="77777777" w:rsidTr="002D2F67">
        <w:trPr>
          <w:trHeight w:val="20"/>
        </w:trPr>
        <w:tc>
          <w:tcPr>
            <w:tcW w:w="1684" w:type="pct"/>
            <w:shd w:val="clear" w:color="auto" w:fill="auto"/>
            <w:vAlign w:val="bottom"/>
          </w:tcPr>
          <w:p w14:paraId="20576A73" w14:textId="77777777" w:rsidR="0004779D" w:rsidRPr="002D2F67" w:rsidRDefault="0004779D" w:rsidP="005611FE">
            <w:pPr>
              <w:jc w:val="both"/>
              <w:rPr>
                <w:rFonts w:ascii="Arial" w:hAnsi="Arial" w:cs="Arial"/>
                <w:color w:val="000000"/>
                <w:sz w:val="20"/>
                <w:szCs w:val="20"/>
              </w:rPr>
            </w:pPr>
            <w:r w:rsidRPr="002D2F67">
              <w:rPr>
                <w:rFonts w:ascii="Arial" w:hAnsi="Arial" w:cs="Arial"/>
                <w:color w:val="000000"/>
                <w:sz w:val="20"/>
                <w:szCs w:val="20"/>
              </w:rPr>
              <w:t>Closing net book value</w:t>
            </w:r>
          </w:p>
        </w:tc>
        <w:tc>
          <w:tcPr>
            <w:tcW w:w="474" w:type="pct"/>
            <w:tcBorders>
              <w:bottom w:val="single" w:sz="4" w:space="0" w:color="auto"/>
            </w:tcBorders>
            <w:shd w:val="clear" w:color="auto" w:fill="auto"/>
            <w:vAlign w:val="bottom"/>
          </w:tcPr>
          <w:p w14:paraId="549B7200" w14:textId="5B331A5E" w:rsidR="0004779D" w:rsidRPr="002D2F67" w:rsidRDefault="00E81443"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4" w:type="pct"/>
            <w:tcBorders>
              <w:bottom w:val="single" w:sz="4" w:space="0" w:color="auto"/>
            </w:tcBorders>
            <w:shd w:val="clear" w:color="auto" w:fill="auto"/>
            <w:vAlign w:val="bottom"/>
          </w:tcPr>
          <w:p w14:paraId="6A715AFD" w14:textId="5352FD25" w:rsidR="0004779D" w:rsidRPr="002D2F67" w:rsidRDefault="00E81443"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4" w:type="pct"/>
            <w:tcBorders>
              <w:bottom w:val="single" w:sz="4" w:space="0" w:color="auto"/>
            </w:tcBorders>
            <w:shd w:val="clear" w:color="auto" w:fill="auto"/>
            <w:vAlign w:val="bottom"/>
          </w:tcPr>
          <w:p w14:paraId="19BC98D1" w14:textId="4E643D7B" w:rsidR="0004779D" w:rsidRPr="002D2F67" w:rsidRDefault="00CD5714" w:rsidP="005611FE">
            <w:pPr>
              <w:ind w:right="-72"/>
              <w:jc w:val="right"/>
              <w:rPr>
                <w:rFonts w:ascii="Arial" w:hAnsi="Arial" w:cs="Arial"/>
                <w:color w:val="000000"/>
                <w:sz w:val="20"/>
                <w:szCs w:val="20"/>
                <w:cs/>
              </w:rPr>
            </w:pPr>
            <w:r w:rsidRPr="00CD5714">
              <w:rPr>
                <w:rFonts w:ascii="Arial" w:hAnsi="Arial" w:cs="Arial"/>
                <w:color w:val="000000"/>
                <w:sz w:val="20"/>
                <w:szCs w:val="20"/>
                <w:lang w:val="en-GB"/>
              </w:rPr>
              <w:t>1</w:t>
            </w:r>
            <w:r w:rsidR="00E81443" w:rsidRPr="002D2F67">
              <w:rPr>
                <w:rFonts w:ascii="Arial" w:hAnsi="Arial" w:cs="Arial"/>
                <w:color w:val="000000"/>
                <w:sz w:val="20"/>
                <w:szCs w:val="20"/>
              </w:rPr>
              <w:t>,</w:t>
            </w:r>
            <w:r w:rsidRPr="00CD5714">
              <w:rPr>
                <w:rFonts w:ascii="Arial" w:hAnsi="Arial" w:cs="Arial"/>
                <w:color w:val="000000"/>
                <w:sz w:val="20"/>
                <w:szCs w:val="20"/>
                <w:lang w:val="en-GB"/>
              </w:rPr>
              <w:t>333</w:t>
            </w:r>
            <w:r w:rsidR="00E81443" w:rsidRPr="002D2F67">
              <w:rPr>
                <w:rFonts w:ascii="Arial" w:hAnsi="Arial" w:cs="Arial"/>
                <w:color w:val="000000"/>
                <w:sz w:val="20"/>
                <w:szCs w:val="20"/>
              </w:rPr>
              <w:t>,</w:t>
            </w:r>
            <w:r w:rsidRPr="00CD5714">
              <w:rPr>
                <w:rFonts w:ascii="Arial" w:hAnsi="Arial" w:cs="Arial"/>
                <w:color w:val="000000"/>
                <w:sz w:val="20"/>
                <w:szCs w:val="20"/>
                <w:lang w:val="en-GB"/>
              </w:rPr>
              <w:t>507</w:t>
            </w:r>
          </w:p>
        </w:tc>
        <w:tc>
          <w:tcPr>
            <w:tcW w:w="474" w:type="pct"/>
            <w:tcBorders>
              <w:bottom w:val="single" w:sz="4" w:space="0" w:color="auto"/>
            </w:tcBorders>
            <w:shd w:val="clear" w:color="auto" w:fill="auto"/>
            <w:vAlign w:val="bottom"/>
          </w:tcPr>
          <w:p w14:paraId="733F5BE5" w14:textId="29F97E37"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21</w:t>
            </w:r>
            <w:r w:rsidR="00C14718" w:rsidRPr="002D2F67">
              <w:rPr>
                <w:rFonts w:ascii="Arial" w:hAnsi="Arial" w:cs="Arial"/>
                <w:color w:val="000000"/>
                <w:sz w:val="20"/>
                <w:szCs w:val="20"/>
              </w:rPr>
              <w:t>,</w:t>
            </w:r>
            <w:r w:rsidRPr="00CD5714">
              <w:rPr>
                <w:rFonts w:ascii="Arial" w:hAnsi="Arial" w:cs="Arial"/>
                <w:color w:val="000000"/>
                <w:sz w:val="20"/>
                <w:szCs w:val="20"/>
                <w:lang w:val="en-GB"/>
              </w:rPr>
              <w:t>732</w:t>
            </w:r>
          </w:p>
        </w:tc>
        <w:tc>
          <w:tcPr>
            <w:tcW w:w="474" w:type="pct"/>
            <w:tcBorders>
              <w:bottom w:val="single" w:sz="4" w:space="0" w:color="auto"/>
            </w:tcBorders>
            <w:shd w:val="clear" w:color="auto" w:fill="auto"/>
            <w:vAlign w:val="bottom"/>
          </w:tcPr>
          <w:p w14:paraId="60B55574" w14:textId="3DAEDBC7"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59</w:t>
            </w:r>
            <w:r w:rsidR="00C14718" w:rsidRPr="002D2F67">
              <w:rPr>
                <w:rFonts w:ascii="Arial" w:hAnsi="Arial" w:cs="Arial"/>
                <w:color w:val="000000"/>
                <w:sz w:val="20"/>
                <w:szCs w:val="20"/>
              </w:rPr>
              <w:t>,</w:t>
            </w:r>
            <w:r w:rsidRPr="00CD5714">
              <w:rPr>
                <w:rFonts w:ascii="Arial" w:hAnsi="Arial" w:cs="Arial"/>
                <w:color w:val="000000"/>
                <w:sz w:val="20"/>
                <w:szCs w:val="20"/>
                <w:lang w:val="en-GB"/>
              </w:rPr>
              <w:t>886</w:t>
            </w:r>
          </w:p>
        </w:tc>
        <w:tc>
          <w:tcPr>
            <w:tcW w:w="474" w:type="pct"/>
            <w:tcBorders>
              <w:bottom w:val="single" w:sz="4" w:space="0" w:color="auto"/>
            </w:tcBorders>
            <w:shd w:val="clear" w:color="auto" w:fill="auto"/>
            <w:vAlign w:val="bottom"/>
          </w:tcPr>
          <w:p w14:paraId="279C2752" w14:textId="36F43CFA"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403</w:t>
            </w:r>
            <w:r w:rsidR="00E81443" w:rsidRPr="002D2F67">
              <w:rPr>
                <w:rFonts w:ascii="Arial" w:hAnsi="Arial" w:cs="Arial"/>
                <w:color w:val="000000"/>
                <w:sz w:val="20"/>
                <w:szCs w:val="20"/>
              </w:rPr>
              <w:t>,</w:t>
            </w:r>
            <w:r w:rsidRPr="00CD5714">
              <w:rPr>
                <w:rFonts w:ascii="Arial" w:hAnsi="Arial" w:cs="Arial"/>
                <w:color w:val="000000"/>
                <w:sz w:val="20"/>
                <w:szCs w:val="20"/>
                <w:lang w:val="en-GB"/>
              </w:rPr>
              <w:t>259</w:t>
            </w:r>
          </w:p>
        </w:tc>
        <w:tc>
          <w:tcPr>
            <w:tcW w:w="472" w:type="pct"/>
            <w:tcBorders>
              <w:bottom w:val="single" w:sz="4" w:space="0" w:color="auto"/>
            </w:tcBorders>
            <w:shd w:val="clear" w:color="auto" w:fill="auto"/>
            <w:vAlign w:val="bottom"/>
          </w:tcPr>
          <w:p w14:paraId="2C9D4903" w14:textId="0D27EE57"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E81443" w:rsidRPr="002D2F67">
              <w:rPr>
                <w:rFonts w:ascii="Arial" w:hAnsi="Arial" w:cs="Arial"/>
                <w:color w:val="000000"/>
                <w:sz w:val="20"/>
                <w:szCs w:val="20"/>
              </w:rPr>
              <w:t>,</w:t>
            </w:r>
            <w:r w:rsidRPr="00CD5714">
              <w:rPr>
                <w:rFonts w:ascii="Arial" w:hAnsi="Arial" w:cs="Arial"/>
                <w:color w:val="000000"/>
                <w:sz w:val="20"/>
                <w:szCs w:val="20"/>
                <w:lang w:val="en-GB"/>
              </w:rPr>
              <w:t>818</w:t>
            </w:r>
            <w:r w:rsidR="00E81443" w:rsidRPr="002D2F67">
              <w:rPr>
                <w:rFonts w:ascii="Arial" w:hAnsi="Arial" w:cs="Arial"/>
                <w:color w:val="000000"/>
                <w:sz w:val="20"/>
                <w:szCs w:val="20"/>
              </w:rPr>
              <w:t>,</w:t>
            </w:r>
            <w:r w:rsidRPr="00CD5714">
              <w:rPr>
                <w:rFonts w:ascii="Arial" w:hAnsi="Arial" w:cs="Arial"/>
                <w:color w:val="000000"/>
                <w:sz w:val="20"/>
                <w:szCs w:val="20"/>
                <w:lang w:val="en-GB"/>
              </w:rPr>
              <w:t>384</w:t>
            </w:r>
          </w:p>
        </w:tc>
      </w:tr>
      <w:tr w:rsidR="005611FE" w:rsidRPr="002D2F67" w14:paraId="41230248" w14:textId="77777777" w:rsidTr="002D2F67">
        <w:trPr>
          <w:trHeight w:val="20"/>
        </w:trPr>
        <w:tc>
          <w:tcPr>
            <w:tcW w:w="1684" w:type="pct"/>
            <w:shd w:val="clear" w:color="auto" w:fill="auto"/>
            <w:vAlign w:val="bottom"/>
          </w:tcPr>
          <w:p w14:paraId="00E2207D" w14:textId="77777777" w:rsidR="0004779D" w:rsidRPr="002D2F67" w:rsidRDefault="0004779D" w:rsidP="005611FE">
            <w:pPr>
              <w:jc w:val="both"/>
              <w:rPr>
                <w:rFonts w:ascii="Arial" w:hAnsi="Arial" w:cs="Arial"/>
                <w:color w:val="000000"/>
                <w:sz w:val="20"/>
                <w:szCs w:val="20"/>
              </w:rPr>
            </w:pPr>
          </w:p>
        </w:tc>
        <w:tc>
          <w:tcPr>
            <w:tcW w:w="474" w:type="pct"/>
            <w:tcBorders>
              <w:top w:val="single" w:sz="4" w:space="0" w:color="auto"/>
            </w:tcBorders>
            <w:shd w:val="clear" w:color="auto" w:fill="auto"/>
            <w:vAlign w:val="bottom"/>
          </w:tcPr>
          <w:p w14:paraId="7E050D89"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22E52E78"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4D346D9C"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6F5DE677"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005F598C" w14:textId="3C058D50"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64FAFC24" w14:textId="77777777" w:rsidR="0004779D" w:rsidRPr="002D2F67" w:rsidRDefault="0004779D" w:rsidP="005611FE">
            <w:pPr>
              <w:ind w:right="-72"/>
              <w:jc w:val="right"/>
              <w:rPr>
                <w:rFonts w:ascii="Arial" w:hAnsi="Arial" w:cs="Arial"/>
                <w:color w:val="000000"/>
                <w:sz w:val="20"/>
                <w:szCs w:val="20"/>
              </w:rPr>
            </w:pPr>
          </w:p>
        </w:tc>
        <w:tc>
          <w:tcPr>
            <w:tcW w:w="472" w:type="pct"/>
            <w:tcBorders>
              <w:top w:val="single" w:sz="4" w:space="0" w:color="auto"/>
            </w:tcBorders>
            <w:shd w:val="clear" w:color="auto" w:fill="auto"/>
            <w:vAlign w:val="bottom"/>
          </w:tcPr>
          <w:p w14:paraId="0BA7D856" w14:textId="77777777" w:rsidR="0004779D" w:rsidRPr="002D2F67" w:rsidRDefault="0004779D" w:rsidP="005611FE">
            <w:pPr>
              <w:ind w:right="-72"/>
              <w:jc w:val="right"/>
              <w:rPr>
                <w:rFonts w:ascii="Arial" w:hAnsi="Arial" w:cs="Arial"/>
                <w:color w:val="000000"/>
                <w:sz w:val="20"/>
                <w:szCs w:val="20"/>
              </w:rPr>
            </w:pPr>
          </w:p>
        </w:tc>
      </w:tr>
      <w:tr w:rsidR="005611FE" w:rsidRPr="002D2F67" w14:paraId="73D630A9" w14:textId="77777777" w:rsidTr="002D2F67">
        <w:trPr>
          <w:trHeight w:val="20"/>
        </w:trPr>
        <w:tc>
          <w:tcPr>
            <w:tcW w:w="1684" w:type="pct"/>
            <w:shd w:val="clear" w:color="auto" w:fill="auto"/>
            <w:vAlign w:val="bottom"/>
          </w:tcPr>
          <w:p w14:paraId="771B4FFB" w14:textId="00E893F1" w:rsidR="0004779D" w:rsidRPr="002D2F67" w:rsidRDefault="0004779D" w:rsidP="005611FE">
            <w:pPr>
              <w:rPr>
                <w:rFonts w:ascii="Arial" w:hAnsi="Arial" w:cs="Arial"/>
                <w:color w:val="000000"/>
                <w:sz w:val="20"/>
                <w:szCs w:val="20"/>
              </w:rPr>
            </w:pPr>
            <w:r w:rsidRPr="002D2F67">
              <w:rPr>
                <w:rFonts w:ascii="Arial" w:hAnsi="Arial" w:cs="Arial"/>
                <w:b/>
                <w:bCs/>
                <w:color w:val="000000"/>
                <w:sz w:val="20"/>
                <w:szCs w:val="20"/>
              </w:rPr>
              <w:t xml:space="preserve">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 </w:t>
            </w:r>
            <w:r w:rsidR="00CD5714" w:rsidRPr="00CD5714">
              <w:rPr>
                <w:rFonts w:ascii="Arial" w:hAnsi="Arial" w:cs="Arial"/>
                <w:b/>
                <w:bCs/>
                <w:color w:val="000000"/>
                <w:sz w:val="20"/>
                <w:szCs w:val="20"/>
                <w:lang w:val="en-GB"/>
              </w:rPr>
              <w:t>2024</w:t>
            </w:r>
          </w:p>
        </w:tc>
        <w:tc>
          <w:tcPr>
            <w:tcW w:w="474" w:type="pct"/>
            <w:shd w:val="clear" w:color="auto" w:fill="auto"/>
            <w:vAlign w:val="bottom"/>
          </w:tcPr>
          <w:p w14:paraId="6DD8497D" w14:textId="77777777" w:rsidR="0004779D" w:rsidRPr="002D2F67" w:rsidRDefault="0004779D" w:rsidP="005611FE">
            <w:pPr>
              <w:ind w:right="-72"/>
              <w:jc w:val="right"/>
              <w:rPr>
                <w:rFonts w:ascii="Arial" w:hAnsi="Arial" w:cs="Arial"/>
                <w:color w:val="000000"/>
                <w:sz w:val="20"/>
                <w:szCs w:val="20"/>
              </w:rPr>
            </w:pPr>
          </w:p>
        </w:tc>
        <w:tc>
          <w:tcPr>
            <w:tcW w:w="474" w:type="pct"/>
            <w:shd w:val="clear" w:color="auto" w:fill="auto"/>
            <w:vAlign w:val="bottom"/>
          </w:tcPr>
          <w:p w14:paraId="1D88439D" w14:textId="77777777" w:rsidR="0004779D" w:rsidRPr="002D2F67" w:rsidRDefault="0004779D" w:rsidP="005611FE">
            <w:pPr>
              <w:ind w:right="-72"/>
              <w:jc w:val="right"/>
              <w:rPr>
                <w:rFonts w:ascii="Arial" w:hAnsi="Arial" w:cs="Arial"/>
                <w:color w:val="000000"/>
                <w:sz w:val="20"/>
                <w:szCs w:val="20"/>
              </w:rPr>
            </w:pPr>
          </w:p>
        </w:tc>
        <w:tc>
          <w:tcPr>
            <w:tcW w:w="474" w:type="pct"/>
            <w:shd w:val="clear" w:color="auto" w:fill="auto"/>
            <w:vAlign w:val="bottom"/>
          </w:tcPr>
          <w:p w14:paraId="0F96939D" w14:textId="77777777" w:rsidR="0004779D" w:rsidRPr="002D2F67" w:rsidRDefault="0004779D" w:rsidP="005611FE">
            <w:pPr>
              <w:ind w:right="-72"/>
              <w:jc w:val="right"/>
              <w:rPr>
                <w:rFonts w:ascii="Arial" w:hAnsi="Arial" w:cs="Arial"/>
                <w:color w:val="000000"/>
                <w:sz w:val="20"/>
                <w:szCs w:val="20"/>
              </w:rPr>
            </w:pPr>
          </w:p>
        </w:tc>
        <w:tc>
          <w:tcPr>
            <w:tcW w:w="474" w:type="pct"/>
            <w:shd w:val="clear" w:color="auto" w:fill="auto"/>
            <w:vAlign w:val="bottom"/>
          </w:tcPr>
          <w:p w14:paraId="1EA99CA5" w14:textId="77777777" w:rsidR="0004779D" w:rsidRPr="002D2F67" w:rsidRDefault="0004779D" w:rsidP="005611FE">
            <w:pPr>
              <w:ind w:right="-72"/>
              <w:jc w:val="right"/>
              <w:rPr>
                <w:rFonts w:ascii="Arial" w:hAnsi="Arial" w:cs="Arial"/>
                <w:color w:val="000000"/>
                <w:sz w:val="20"/>
                <w:szCs w:val="20"/>
              </w:rPr>
            </w:pPr>
          </w:p>
        </w:tc>
        <w:tc>
          <w:tcPr>
            <w:tcW w:w="474" w:type="pct"/>
            <w:shd w:val="clear" w:color="auto" w:fill="auto"/>
            <w:vAlign w:val="bottom"/>
          </w:tcPr>
          <w:p w14:paraId="6BEB18AA" w14:textId="4C66AED6" w:rsidR="0004779D" w:rsidRPr="002D2F67" w:rsidRDefault="0004779D" w:rsidP="005611FE">
            <w:pPr>
              <w:ind w:right="-72"/>
              <w:jc w:val="right"/>
              <w:rPr>
                <w:rFonts w:ascii="Arial" w:hAnsi="Arial" w:cs="Arial"/>
                <w:color w:val="000000"/>
                <w:sz w:val="20"/>
                <w:szCs w:val="20"/>
              </w:rPr>
            </w:pPr>
          </w:p>
        </w:tc>
        <w:tc>
          <w:tcPr>
            <w:tcW w:w="474" w:type="pct"/>
            <w:shd w:val="clear" w:color="auto" w:fill="auto"/>
            <w:vAlign w:val="bottom"/>
          </w:tcPr>
          <w:p w14:paraId="351E30D6" w14:textId="77777777" w:rsidR="0004779D" w:rsidRPr="002D2F67" w:rsidRDefault="0004779D" w:rsidP="005611FE">
            <w:pPr>
              <w:ind w:right="-72"/>
              <w:jc w:val="right"/>
              <w:rPr>
                <w:rFonts w:ascii="Arial" w:hAnsi="Arial" w:cs="Arial"/>
                <w:color w:val="000000"/>
                <w:sz w:val="20"/>
                <w:szCs w:val="20"/>
              </w:rPr>
            </w:pPr>
          </w:p>
        </w:tc>
        <w:tc>
          <w:tcPr>
            <w:tcW w:w="472" w:type="pct"/>
            <w:shd w:val="clear" w:color="auto" w:fill="auto"/>
            <w:vAlign w:val="bottom"/>
          </w:tcPr>
          <w:p w14:paraId="62445DFA" w14:textId="77777777" w:rsidR="0004779D" w:rsidRPr="002D2F67" w:rsidRDefault="0004779D" w:rsidP="005611FE">
            <w:pPr>
              <w:ind w:right="-72"/>
              <w:jc w:val="right"/>
              <w:rPr>
                <w:rFonts w:ascii="Arial" w:hAnsi="Arial" w:cs="Arial"/>
                <w:color w:val="000000"/>
                <w:sz w:val="20"/>
                <w:szCs w:val="20"/>
              </w:rPr>
            </w:pPr>
          </w:p>
        </w:tc>
      </w:tr>
      <w:tr w:rsidR="005611FE" w:rsidRPr="002D2F67" w14:paraId="7A2FAB01" w14:textId="77777777" w:rsidTr="002D2F67">
        <w:trPr>
          <w:trHeight w:val="20"/>
        </w:trPr>
        <w:tc>
          <w:tcPr>
            <w:tcW w:w="1684" w:type="pct"/>
            <w:shd w:val="clear" w:color="auto" w:fill="auto"/>
            <w:vAlign w:val="bottom"/>
          </w:tcPr>
          <w:p w14:paraId="7B15B25C" w14:textId="77777777" w:rsidR="0004779D" w:rsidRPr="002D2F67" w:rsidRDefault="0004779D" w:rsidP="005611FE">
            <w:pPr>
              <w:jc w:val="both"/>
              <w:rPr>
                <w:rFonts w:ascii="Arial" w:hAnsi="Arial" w:cs="Arial"/>
                <w:color w:val="000000"/>
                <w:sz w:val="20"/>
                <w:szCs w:val="20"/>
              </w:rPr>
            </w:pPr>
            <w:r w:rsidRPr="002D2F67">
              <w:rPr>
                <w:rFonts w:ascii="Arial" w:hAnsi="Arial" w:cs="Arial"/>
                <w:color w:val="000000"/>
                <w:sz w:val="20"/>
                <w:szCs w:val="20"/>
              </w:rPr>
              <w:t>Cost</w:t>
            </w:r>
          </w:p>
        </w:tc>
        <w:tc>
          <w:tcPr>
            <w:tcW w:w="474" w:type="pct"/>
            <w:shd w:val="clear" w:color="auto" w:fill="auto"/>
          </w:tcPr>
          <w:p w14:paraId="0A687414" w14:textId="3B59037E"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789</w:t>
            </w:r>
            <w:r w:rsidR="00C14718" w:rsidRPr="002D2F67">
              <w:rPr>
                <w:rFonts w:ascii="Arial" w:hAnsi="Arial" w:cs="Arial"/>
                <w:color w:val="000000"/>
                <w:sz w:val="20"/>
                <w:szCs w:val="20"/>
              </w:rPr>
              <w:t>,</w:t>
            </w:r>
            <w:r w:rsidRPr="00CD5714">
              <w:rPr>
                <w:rFonts w:ascii="Arial" w:hAnsi="Arial" w:cs="Arial"/>
                <w:color w:val="000000"/>
                <w:sz w:val="20"/>
                <w:szCs w:val="20"/>
                <w:lang w:val="en-GB"/>
              </w:rPr>
              <w:t>696</w:t>
            </w:r>
          </w:p>
        </w:tc>
        <w:tc>
          <w:tcPr>
            <w:tcW w:w="474" w:type="pct"/>
            <w:shd w:val="clear" w:color="auto" w:fill="auto"/>
            <w:vAlign w:val="bottom"/>
          </w:tcPr>
          <w:p w14:paraId="6439D218" w14:textId="72FB9BC3"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268</w:t>
            </w:r>
            <w:r w:rsidR="00C14718" w:rsidRPr="002D2F67">
              <w:rPr>
                <w:rFonts w:ascii="Arial" w:hAnsi="Arial" w:cs="Arial"/>
                <w:color w:val="000000"/>
                <w:sz w:val="20"/>
                <w:szCs w:val="20"/>
              </w:rPr>
              <w:t>,</w:t>
            </w:r>
            <w:r w:rsidRPr="00CD5714">
              <w:rPr>
                <w:rFonts w:ascii="Arial" w:hAnsi="Arial" w:cs="Arial"/>
                <w:color w:val="000000"/>
                <w:sz w:val="20"/>
                <w:szCs w:val="20"/>
                <w:lang w:val="en-GB"/>
              </w:rPr>
              <w:t>155</w:t>
            </w:r>
          </w:p>
        </w:tc>
        <w:tc>
          <w:tcPr>
            <w:tcW w:w="474" w:type="pct"/>
            <w:shd w:val="clear" w:color="auto" w:fill="auto"/>
            <w:vAlign w:val="bottom"/>
          </w:tcPr>
          <w:p w14:paraId="193DD0B7" w14:textId="3707581D"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C14718" w:rsidRPr="002D2F67">
              <w:rPr>
                <w:rFonts w:ascii="Arial" w:hAnsi="Arial" w:cs="Arial"/>
                <w:color w:val="000000"/>
                <w:sz w:val="20"/>
                <w:szCs w:val="20"/>
              </w:rPr>
              <w:t>,</w:t>
            </w:r>
            <w:r w:rsidRPr="00CD5714">
              <w:rPr>
                <w:rFonts w:ascii="Arial" w:hAnsi="Arial" w:cs="Arial"/>
                <w:color w:val="000000"/>
                <w:sz w:val="20"/>
                <w:szCs w:val="20"/>
                <w:lang w:val="en-GB"/>
              </w:rPr>
              <w:t>909</w:t>
            </w:r>
            <w:r w:rsidR="00C14718" w:rsidRPr="002D2F67">
              <w:rPr>
                <w:rFonts w:ascii="Arial" w:hAnsi="Arial" w:cs="Arial"/>
                <w:color w:val="000000"/>
                <w:sz w:val="20"/>
                <w:szCs w:val="20"/>
              </w:rPr>
              <w:t>,</w:t>
            </w:r>
            <w:r w:rsidRPr="00CD5714">
              <w:rPr>
                <w:rFonts w:ascii="Arial" w:hAnsi="Arial" w:cs="Arial"/>
                <w:color w:val="000000"/>
                <w:sz w:val="20"/>
                <w:szCs w:val="20"/>
                <w:lang w:val="en-GB"/>
              </w:rPr>
              <w:t>028</w:t>
            </w:r>
          </w:p>
        </w:tc>
        <w:tc>
          <w:tcPr>
            <w:tcW w:w="474" w:type="pct"/>
            <w:shd w:val="clear" w:color="auto" w:fill="auto"/>
            <w:vAlign w:val="bottom"/>
          </w:tcPr>
          <w:p w14:paraId="737CC8D4" w14:textId="7EC28986"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42</w:t>
            </w:r>
            <w:r w:rsidR="00C14718" w:rsidRPr="002D2F67">
              <w:rPr>
                <w:rFonts w:ascii="Arial" w:hAnsi="Arial" w:cs="Arial"/>
                <w:color w:val="000000"/>
                <w:sz w:val="20"/>
                <w:szCs w:val="20"/>
              </w:rPr>
              <w:t>,</w:t>
            </w:r>
            <w:r w:rsidRPr="00CD5714">
              <w:rPr>
                <w:rFonts w:ascii="Arial" w:hAnsi="Arial" w:cs="Arial"/>
                <w:color w:val="000000"/>
                <w:sz w:val="20"/>
                <w:szCs w:val="20"/>
                <w:lang w:val="en-GB"/>
              </w:rPr>
              <w:t>461</w:t>
            </w:r>
          </w:p>
        </w:tc>
        <w:tc>
          <w:tcPr>
            <w:tcW w:w="474" w:type="pct"/>
            <w:shd w:val="clear" w:color="auto" w:fill="auto"/>
            <w:vAlign w:val="bottom"/>
          </w:tcPr>
          <w:p w14:paraId="153170BE" w14:textId="4676F710"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150</w:t>
            </w:r>
            <w:r w:rsidR="00C14718" w:rsidRPr="002D2F67">
              <w:rPr>
                <w:rFonts w:ascii="Arial" w:hAnsi="Arial" w:cs="Arial"/>
                <w:color w:val="000000"/>
                <w:sz w:val="20"/>
                <w:szCs w:val="20"/>
              </w:rPr>
              <w:t>,</w:t>
            </w:r>
            <w:r w:rsidRPr="00CD5714">
              <w:rPr>
                <w:rFonts w:ascii="Arial" w:hAnsi="Arial" w:cs="Arial"/>
                <w:color w:val="000000"/>
                <w:sz w:val="20"/>
                <w:szCs w:val="20"/>
                <w:lang w:val="en-GB"/>
              </w:rPr>
              <w:t>292</w:t>
            </w:r>
          </w:p>
        </w:tc>
        <w:tc>
          <w:tcPr>
            <w:tcW w:w="474" w:type="pct"/>
            <w:shd w:val="clear" w:color="auto" w:fill="auto"/>
            <w:vAlign w:val="bottom"/>
          </w:tcPr>
          <w:p w14:paraId="24BEE917" w14:textId="2633CEAA"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403</w:t>
            </w:r>
            <w:r w:rsidR="00E81443" w:rsidRPr="002D2F67">
              <w:rPr>
                <w:rFonts w:ascii="Arial" w:hAnsi="Arial" w:cs="Arial"/>
                <w:color w:val="000000"/>
                <w:sz w:val="20"/>
                <w:szCs w:val="20"/>
              </w:rPr>
              <w:t>,</w:t>
            </w:r>
            <w:r w:rsidRPr="00CD5714">
              <w:rPr>
                <w:rFonts w:ascii="Arial" w:hAnsi="Arial" w:cs="Arial"/>
                <w:color w:val="000000"/>
                <w:sz w:val="20"/>
                <w:szCs w:val="20"/>
                <w:lang w:val="en-GB"/>
              </w:rPr>
              <w:t>259</w:t>
            </w:r>
          </w:p>
        </w:tc>
        <w:tc>
          <w:tcPr>
            <w:tcW w:w="472" w:type="pct"/>
            <w:shd w:val="clear" w:color="auto" w:fill="auto"/>
            <w:vAlign w:val="bottom"/>
          </w:tcPr>
          <w:p w14:paraId="4B00D672" w14:textId="1824A442"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w:t>
            </w:r>
            <w:r w:rsidR="00E81443" w:rsidRPr="002D2F67">
              <w:rPr>
                <w:rFonts w:ascii="Arial" w:hAnsi="Arial" w:cs="Arial"/>
                <w:color w:val="000000"/>
                <w:sz w:val="20"/>
                <w:szCs w:val="20"/>
              </w:rPr>
              <w:t>,</w:t>
            </w:r>
            <w:r w:rsidRPr="00CD5714">
              <w:rPr>
                <w:rFonts w:ascii="Arial" w:hAnsi="Arial" w:cs="Arial"/>
                <w:color w:val="000000"/>
                <w:sz w:val="20"/>
                <w:szCs w:val="20"/>
                <w:lang w:val="en-GB"/>
              </w:rPr>
              <w:t>562</w:t>
            </w:r>
            <w:r w:rsidR="00E81443" w:rsidRPr="002D2F67">
              <w:rPr>
                <w:rFonts w:ascii="Arial" w:hAnsi="Arial" w:cs="Arial"/>
                <w:color w:val="000000"/>
                <w:sz w:val="20"/>
                <w:szCs w:val="20"/>
              </w:rPr>
              <w:t>,</w:t>
            </w:r>
            <w:r w:rsidRPr="00CD5714">
              <w:rPr>
                <w:rFonts w:ascii="Arial" w:hAnsi="Arial" w:cs="Arial"/>
                <w:color w:val="000000"/>
                <w:sz w:val="20"/>
                <w:szCs w:val="20"/>
                <w:lang w:val="en-GB"/>
              </w:rPr>
              <w:t>891</w:t>
            </w:r>
          </w:p>
        </w:tc>
      </w:tr>
      <w:tr w:rsidR="005611FE" w:rsidRPr="002D2F67" w14:paraId="54AE6685" w14:textId="77777777" w:rsidTr="002D2F67">
        <w:trPr>
          <w:trHeight w:val="20"/>
        </w:trPr>
        <w:tc>
          <w:tcPr>
            <w:tcW w:w="1684" w:type="pct"/>
            <w:shd w:val="clear" w:color="auto" w:fill="auto"/>
            <w:vAlign w:val="bottom"/>
          </w:tcPr>
          <w:p w14:paraId="11C02C2B" w14:textId="39889D2F" w:rsidR="0004779D" w:rsidRPr="002D2F67" w:rsidRDefault="0004779D" w:rsidP="005611FE">
            <w:pPr>
              <w:jc w:val="both"/>
              <w:rPr>
                <w:rFonts w:ascii="Arial" w:hAnsi="Arial" w:cs="Arial"/>
                <w:color w:val="000000"/>
                <w:sz w:val="20"/>
                <w:szCs w:val="20"/>
              </w:rPr>
            </w:pPr>
            <w:r w:rsidRPr="002D2F67">
              <w:rPr>
                <w:rFonts w:ascii="Arial" w:hAnsi="Arial" w:cs="Arial"/>
                <w:color w:val="000000"/>
                <w:sz w:val="20"/>
                <w:szCs w:val="20"/>
                <w:u w:val="single"/>
              </w:rPr>
              <w:t>Less</w:t>
            </w:r>
            <w:r w:rsidRPr="002D2F67">
              <w:rPr>
                <w:rFonts w:ascii="Arial" w:hAnsi="Arial" w:cs="Arial"/>
                <w:color w:val="000000"/>
                <w:sz w:val="20"/>
                <w:szCs w:val="20"/>
              </w:rPr>
              <w:t xml:space="preserve">  Accumulated amortisation</w:t>
            </w:r>
          </w:p>
        </w:tc>
        <w:tc>
          <w:tcPr>
            <w:tcW w:w="474" w:type="pct"/>
            <w:shd w:val="clear" w:color="auto" w:fill="auto"/>
          </w:tcPr>
          <w:p w14:paraId="146B2931" w14:textId="2A849397" w:rsidR="0004779D" w:rsidRPr="002D2F67" w:rsidRDefault="00E81443"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290</w:t>
            </w:r>
            <w:r w:rsidRPr="002D2F67">
              <w:rPr>
                <w:rFonts w:ascii="Arial" w:hAnsi="Arial" w:cs="Arial"/>
                <w:color w:val="000000"/>
                <w:sz w:val="20"/>
                <w:szCs w:val="20"/>
              </w:rPr>
              <w:t>,</w:t>
            </w:r>
            <w:r w:rsidR="00CD5714" w:rsidRPr="00CD5714">
              <w:rPr>
                <w:rFonts w:ascii="Arial" w:hAnsi="Arial" w:cs="Arial"/>
                <w:color w:val="000000"/>
                <w:sz w:val="20"/>
                <w:szCs w:val="20"/>
                <w:lang w:val="en-GB"/>
              </w:rPr>
              <w:t>833</w:t>
            </w:r>
            <w:r w:rsidRPr="002D2F67">
              <w:rPr>
                <w:rFonts w:ascii="Arial" w:hAnsi="Arial" w:cs="Arial"/>
                <w:color w:val="000000"/>
                <w:sz w:val="20"/>
                <w:szCs w:val="20"/>
              </w:rPr>
              <w:t>)</w:t>
            </w:r>
          </w:p>
        </w:tc>
        <w:tc>
          <w:tcPr>
            <w:tcW w:w="474" w:type="pct"/>
            <w:shd w:val="clear" w:color="auto" w:fill="auto"/>
            <w:vAlign w:val="bottom"/>
          </w:tcPr>
          <w:p w14:paraId="6E17FFC9" w14:textId="28A8D3A7" w:rsidR="0004779D" w:rsidRPr="002D2F67" w:rsidRDefault="00C14718"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96</w:t>
            </w:r>
            <w:r w:rsidRPr="002D2F67">
              <w:rPr>
                <w:rFonts w:ascii="Arial" w:hAnsi="Arial" w:cs="Arial"/>
                <w:color w:val="000000"/>
                <w:sz w:val="20"/>
                <w:szCs w:val="20"/>
              </w:rPr>
              <w:t>,</w:t>
            </w:r>
            <w:r w:rsidR="00CD5714" w:rsidRPr="00CD5714">
              <w:rPr>
                <w:rFonts w:ascii="Arial" w:hAnsi="Arial" w:cs="Arial"/>
                <w:color w:val="000000"/>
                <w:sz w:val="20"/>
                <w:szCs w:val="20"/>
                <w:lang w:val="en-GB"/>
              </w:rPr>
              <w:t>124</w:t>
            </w:r>
            <w:r w:rsidRPr="002D2F67">
              <w:rPr>
                <w:rFonts w:ascii="Arial" w:hAnsi="Arial" w:cs="Arial"/>
                <w:color w:val="000000"/>
                <w:sz w:val="20"/>
                <w:szCs w:val="20"/>
              </w:rPr>
              <w:t>)</w:t>
            </w:r>
          </w:p>
        </w:tc>
        <w:tc>
          <w:tcPr>
            <w:tcW w:w="474" w:type="pct"/>
            <w:shd w:val="clear" w:color="auto" w:fill="auto"/>
            <w:vAlign w:val="bottom"/>
          </w:tcPr>
          <w:p w14:paraId="29BCAAB2" w14:textId="530D2253" w:rsidR="0004779D" w:rsidRPr="002D2F67" w:rsidRDefault="00E81443"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575</w:t>
            </w:r>
            <w:r w:rsidRPr="002D2F67">
              <w:rPr>
                <w:rFonts w:ascii="Arial" w:hAnsi="Arial" w:cs="Arial"/>
                <w:color w:val="000000"/>
                <w:sz w:val="20"/>
                <w:szCs w:val="20"/>
              </w:rPr>
              <w:t>,</w:t>
            </w:r>
            <w:r w:rsidR="00CD5714" w:rsidRPr="00CD5714">
              <w:rPr>
                <w:rFonts w:ascii="Arial" w:hAnsi="Arial" w:cs="Arial"/>
                <w:color w:val="000000"/>
                <w:sz w:val="20"/>
                <w:szCs w:val="20"/>
                <w:lang w:val="en-GB"/>
              </w:rPr>
              <w:t>521</w:t>
            </w:r>
            <w:r w:rsidRPr="002D2F67">
              <w:rPr>
                <w:rFonts w:ascii="Arial" w:hAnsi="Arial" w:cs="Arial"/>
                <w:color w:val="000000"/>
                <w:sz w:val="20"/>
                <w:szCs w:val="20"/>
              </w:rPr>
              <w:t>)</w:t>
            </w:r>
          </w:p>
        </w:tc>
        <w:tc>
          <w:tcPr>
            <w:tcW w:w="474" w:type="pct"/>
            <w:shd w:val="clear" w:color="auto" w:fill="auto"/>
            <w:vAlign w:val="bottom"/>
          </w:tcPr>
          <w:p w14:paraId="45ED3F10" w14:textId="0FC5CDF6" w:rsidR="0004779D" w:rsidRPr="002D2F67" w:rsidRDefault="00C14718"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20</w:t>
            </w:r>
            <w:r w:rsidRPr="002D2F67">
              <w:rPr>
                <w:rFonts w:ascii="Arial" w:hAnsi="Arial" w:cs="Arial"/>
                <w:color w:val="000000"/>
                <w:sz w:val="20"/>
                <w:szCs w:val="20"/>
              </w:rPr>
              <w:t>,</w:t>
            </w:r>
            <w:r w:rsidR="00CD5714" w:rsidRPr="00CD5714">
              <w:rPr>
                <w:rFonts w:ascii="Arial" w:hAnsi="Arial" w:cs="Arial"/>
                <w:color w:val="000000"/>
                <w:sz w:val="20"/>
                <w:szCs w:val="20"/>
                <w:lang w:val="en-GB"/>
              </w:rPr>
              <w:t>729</w:t>
            </w:r>
            <w:r w:rsidRPr="002D2F67">
              <w:rPr>
                <w:rFonts w:ascii="Arial" w:hAnsi="Arial" w:cs="Arial"/>
                <w:color w:val="000000"/>
                <w:sz w:val="20"/>
                <w:szCs w:val="20"/>
              </w:rPr>
              <w:t>)</w:t>
            </w:r>
          </w:p>
        </w:tc>
        <w:tc>
          <w:tcPr>
            <w:tcW w:w="474" w:type="pct"/>
            <w:shd w:val="clear" w:color="auto" w:fill="auto"/>
            <w:vAlign w:val="bottom"/>
          </w:tcPr>
          <w:p w14:paraId="39991ED5" w14:textId="34947C62" w:rsidR="0004779D" w:rsidRPr="002D2F67" w:rsidRDefault="00C14718"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90</w:t>
            </w:r>
            <w:r w:rsidRPr="002D2F67">
              <w:rPr>
                <w:rFonts w:ascii="Arial" w:hAnsi="Arial" w:cs="Arial"/>
                <w:color w:val="000000"/>
                <w:sz w:val="20"/>
                <w:szCs w:val="20"/>
              </w:rPr>
              <w:t>,</w:t>
            </w:r>
            <w:r w:rsidR="00CD5714" w:rsidRPr="00CD5714">
              <w:rPr>
                <w:rFonts w:ascii="Arial" w:hAnsi="Arial" w:cs="Arial"/>
                <w:color w:val="000000"/>
                <w:sz w:val="20"/>
                <w:szCs w:val="20"/>
                <w:lang w:val="en-GB"/>
              </w:rPr>
              <w:t>406</w:t>
            </w:r>
            <w:r w:rsidRPr="002D2F67">
              <w:rPr>
                <w:rFonts w:ascii="Arial" w:hAnsi="Arial" w:cs="Arial"/>
                <w:color w:val="000000"/>
                <w:sz w:val="20"/>
                <w:szCs w:val="20"/>
              </w:rPr>
              <w:t>)</w:t>
            </w:r>
          </w:p>
        </w:tc>
        <w:tc>
          <w:tcPr>
            <w:tcW w:w="474" w:type="pct"/>
            <w:shd w:val="clear" w:color="auto" w:fill="auto"/>
            <w:vAlign w:val="bottom"/>
          </w:tcPr>
          <w:p w14:paraId="424098F0" w14:textId="04F25FF9" w:rsidR="0004779D" w:rsidRPr="002D2F67" w:rsidRDefault="00C14718"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2" w:type="pct"/>
            <w:shd w:val="clear" w:color="auto" w:fill="auto"/>
            <w:vAlign w:val="bottom"/>
          </w:tcPr>
          <w:p w14:paraId="4337F492" w14:textId="2EBA9518" w:rsidR="0004779D" w:rsidRPr="002D2F67" w:rsidRDefault="00E81443"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w:t>
            </w:r>
            <w:r w:rsidRPr="002D2F67">
              <w:rPr>
                <w:rFonts w:ascii="Arial" w:hAnsi="Arial" w:cs="Arial"/>
                <w:color w:val="000000"/>
                <w:sz w:val="20"/>
                <w:szCs w:val="20"/>
              </w:rPr>
              <w:t>,</w:t>
            </w:r>
            <w:r w:rsidR="00CD5714" w:rsidRPr="00CD5714">
              <w:rPr>
                <w:rFonts w:ascii="Arial" w:hAnsi="Arial" w:cs="Arial"/>
                <w:color w:val="000000"/>
                <w:sz w:val="20"/>
                <w:szCs w:val="20"/>
                <w:lang w:val="en-GB"/>
              </w:rPr>
              <w:t>073</w:t>
            </w:r>
            <w:r w:rsidRPr="002D2F67">
              <w:rPr>
                <w:rFonts w:ascii="Arial" w:hAnsi="Arial" w:cs="Arial"/>
                <w:color w:val="000000"/>
                <w:sz w:val="20"/>
                <w:szCs w:val="20"/>
              </w:rPr>
              <w:t>,</w:t>
            </w:r>
            <w:r w:rsidR="00CD5714" w:rsidRPr="00CD5714">
              <w:rPr>
                <w:rFonts w:ascii="Arial" w:hAnsi="Arial" w:cs="Arial"/>
                <w:color w:val="000000"/>
                <w:sz w:val="20"/>
                <w:szCs w:val="20"/>
                <w:lang w:val="en-GB"/>
              </w:rPr>
              <w:t>613</w:t>
            </w:r>
            <w:r w:rsidRPr="002D2F67">
              <w:rPr>
                <w:rFonts w:ascii="Arial" w:hAnsi="Arial" w:cs="Arial"/>
                <w:color w:val="000000"/>
                <w:sz w:val="20"/>
                <w:szCs w:val="20"/>
              </w:rPr>
              <w:t>)</w:t>
            </w:r>
          </w:p>
        </w:tc>
      </w:tr>
      <w:tr w:rsidR="00E81443" w:rsidRPr="002D2F67" w14:paraId="513021A3" w14:textId="77777777" w:rsidTr="002D2F67">
        <w:trPr>
          <w:trHeight w:val="20"/>
        </w:trPr>
        <w:tc>
          <w:tcPr>
            <w:tcW w:w="1684" w:type="pct"/>
            <w:shd w:val="clear" w:color="auto" w:fill="auto"/>
            <w:vAlign w:val="bottom"/>
          </w:tcPr>
          <w:p w14:paraId="603D1209" w14:textId="067F5402" w:rsidR="00E81443" w:rsidRPr="002D2F67" w:rsidRDefault="00E81443" w:rsidP="005611FE">
            <w:pPr>
              <w:jc w:val="both"/>
              <w:rPr>
                <w:rFonts w:ascii="Arial" w:hAnsi="Arial" w:cs="Arial"/>
                <w:color w:val="000000"/>
                <w:sz w:val="20"/>
                <w:szCs w:val="20"/>
              </w:rPr>
            </w:pPr>
            <w:r w:rsidRPr="002D2F67">
              <w:rPr>
                <w:rFonts w:ascii="Arial" w:hAnsi="Arial" w:cs="Arial"/>
                <w:color w:val="000000"/>
                <w:sz w:val="20"/>
                <w:szCs w:val="20"/>
                <w:u w:val="single"/>
              </w:rPr>
              <w:t>Less</w:t>
            </w:r>
            <w:r w:rsidRPr="002D2F67">
              <w:rPr>
                <w:rFonts w:ascii="Arial" w:hAnsi="Arial" w:cs="Arial"/>
                <w:color w:val="000000"/>
                <w:sz w:val="20"/>
                <w:szCs w:val="20"/>
              </w:rPr>
              <w:t xml:space="preserve"> </w:t>
            </w:r>
            <w:r w:rsidR="004F4DED" w:rsidRPr="002D2F67">
              <w:rPr>
                <w:rFonts w:ascii="Arial" w:hAnsi="Arial" w:cs="Arial"/>
                <w:color w:val="000000"/>
                <w:sz w:val="20"/>
                <w:szCs w:val="20"/>
              </w:rPr>
              <w:t xml:space="preserve"> </w:t>
            </w:r>
            <w:r w:rsidRPr="002D2F67">
              <w:rPr>
                <w:rFonts w:ascii="Arial" w:hAnsi="Arial" w:cs="Arial"/>
                <w:color w:val="000000"/>
                <w:sz w:val="20"/>
                <w:szCs w:val="20"/>
              </w:rPr>
              <w:t>Accumulated impairment</w:t>
            </w:r>
          </w:p>
        </w:tc>
        <w:tc>
          <w:tcPr>
            <w:tcW w:w="474" w:type="pct"/>
            <w:tcBorders>
              <w:bottom w:val="single" w:sz="4" w:space="0" w:color="auto"/>
            </w:tcBorders>
            <w:shd w:val="clear" w:color="auto" w:fill="auto"/>
          </w:tcPr>
          <w:p w14:paraId="21E9E041" w14:textId="769BA176" w:rsidR="00E81443" w:rsidRPr="002D2F67" w:rsidRDefault="00E81443"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498</w:t>
            </w:r>
            <w:r w:rsidRPr="002D2F67">
              <w:rPr>
                <w:rFonts w:ascii="Arial" w:hAnsi="Arial" w:cs="Arial"/>
                <w:color w:val="000000"/>
                <w:sz w:val="20"/>
                <w:szCs w:val="20"/>
              </w:rPr>
              <w:t>,</w:t>
            </w:r>
            <w:r w:rsidR="00CD5714" w:rsidRPr="00CD5714">
              <w:rPr>
                <w:rFonts w:ascii="Arial" w:hAnsi="Arial" w:cs="Arial"/>
                <w:color w:val="000000"/>
                <w:sz w:val="20"/>
                <w:szCs w:val="20"/>
                <w:lang w:val="en-GB"/>
              </w:rPr>
              <w:t>863</w:t>
            </w:r>
            <w:r w:rsidRPr="002D2F67">
              <w:rPr>
                <w:rFonts w:ascii="Arial" w:hAnsi="Arial" w:cs="Arial"/>
                <w:color w:val="000000"/>
                <w:sz w:val="20"/>
                <w:szCs w:val="20"/>
              </w:rPr>
              <w:t>)</w:t>
            </w:r>
          </w:p>
        </w:tc>
        <w:tc>
          <w:tcPr>
            <w:tcW w:w="474" w:type="pct"/>
            <w:tcBorders>
              <w:bottom w:val="single" w:sz="4" w:space="0" w:color="auto"/>
            </w:tcBorders>
            <w:shd w:val="clear" w:color="auto" w:fill="auto"/>
            <w:vAlign w:val="bottom"/>
          </w:tcPr>
          <w:p w14:paraId="244CD031" w14:textId="7A2C01C7" w:rsidR="00E81443" w:rsidRPr="002D2F67" w:rsidRDefault="00E81443"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172</w:t>
            </w:r>
            <w:r w:rsidRPr="002D2F67">
              <w:rPr>
                <w:rFonts w:ascii="Arial" w:hAnsi="Arial" w:cs="Arial"/>
                <w:color w:val="000000"/>
                <w:sz w:val="20"/>
                <w:szCs w:val="20"/>
              </w:rPr>
              <w:t>,</w:t>
            </w:r>
            <w:r w:rsidR="00CD5714" w:rsidRPr="00CD5714">
              <w:rPr>
                <w:rFonts w:ascii="Arial" w:hAnsi="Arial" w:cs="Arial"/>
                <w:color w:val="000000"/>
                <w:sz w:val="20"/>
                <w:szCs w:val="20"/>
                <w:lang w:val="en-GB"/>
              </w:rPr>
              <w:t>031</w:t>
            </w:r>
            <w:r w:rsidRPr="002D2F67">
              <w:rPr>
                <w:rFonts w:ascii="Arial" w:hAnsi="Arial" w:cs="Arial"/>
                <w:color w:val="000000"/>
                <w:sz w:val="20"/>
                <w:szCs w:val="20"/>
              </w:rPr>
              <w:t>)</w:t>
            </w:r>
          </w:p>
        </w:tc>
        <w:tc>
          <w:tcPr>
            <w:tcW w:w="474" w:type="pct"/>
            <w:tcBorders>
              <w:bottom w:val="single" w:sz="4" w:space="0" w:color="auto"/>
            </w:tcBorders>
            <w:shd w:val="clear" w:color="auto" w:fill="auto"/>
            <w:vAlign w:val="bottom"/>
          </w:tcPr>
          <w:p w14:paraId="31DBB295" w14:textId="35E16A44" w:rsidR="00E81443" w:rsidRPr="002D2F67" w:rsidRDefault="00E81443"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4" w:type="pct"/>
            <w:tcBorders>
              <w:bottom w:val="single" w:sz="4" w:space="0" w:color="auto"/>
            </w:tcBorders>
            <w:shd w:val="clear" w:color="auto" w:fill="auto"/>
            <w:vAlign w:val="bottom"/>
          </w:tcPr>
          <w:p w14:paraId="545EBC3E" w14:textId="5F1B3782" w:rsidR="00E81443" w:rsidRPr="002D2F67" w:rsidRDefault="00E81443"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4" w:type="pct"/>
            <w:tcBorders>
              <w:bottom w:val="single" w:sz="4" w:space="0" w:color="auto"/>
            </w:tcBorders>
            <w:shd w:val="clear" w:color="auto" w:fill="auto"/>
            <w:vAlign w:val="bottom"/>
          </w:tcPr>
          <w:p w14:paraId="5168869E" w14:textId="322D5F0D" w:rsidR="00E81443" w:rsidRPr="002D2F67" w:rsidRDefault="00E81443"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4" w:type="pct"/>
            <w:tcBorders>
              <w:bottom w:val="single" w:sz="4" w:space="0" w:color="auto"/>
            </w:tcBorders>
            <w:shd w:val="clear" w:color="auto" w:fill="auto"/>
            <w:vAlign w:val="bottom"/>
          </w:tcPr>
          <w:p w14:paraId="32012B0C" w14:textId="11A453FC" w:rsidR="00E81443" w:rsidRPr="002D2F67" w:rsidRDefault="00E81443"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2" w:type="pct"/>
            <w:tcBorders>
              <w:bottom w:val="single" w:sz="4" w:space="0" w:color="auto"/>
            </w:tcBorders>
            <w:shd w:val="clear" w:color="auto" w:fill="auto"/>
            <w:vAlign w:val="bottom"/>
          </w:tcPr>
          <w:p w14:paraId="71DD486B" w14:textId="26F00F4A" w:rsidR="00E81443" w:rsidRPr="002D2F67" w:rsidRDefault="00E81443"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670</w:t>
            </w:r>
            <w:r w:rsidRPr="002D2F67">
              <w:rPr>
                <w:rFonts w:ascii="Arial" w:hAnsi="Arial" w:cs="Arial"/>
                <w:color w:val="000000"/>
                <w:sz w:val="20"/>
                <w:szCs w:val="20"/>
              </w:rPr>
              <w:t>,</w:t>
            </w:r>
            <w:r w:rsidR="00CD5714" w:rsidRPr="00CD5714">
              <w:rPr>
                <w:rFonts w:ascii="Arial" w:hAnsi="Arial" w:cs="Arial"/>
                <w:color w:val="000000"/>
                <w:sz w:val="20"/>
                <w:szCs w:val="20"/>
                <w:lang w:val="en-GB"/>
              </w:rPr>
              <w:t>894</w:t>
            </w:r>
            <w:r w:rsidRPr="002D2F67">
              <w:rPr>
                <w:rFonts w:ascii="Arial" w:hAnsi="Arial" w:cs="Arial"/>
                <w:color w:val="000000"/>
                <w:sz w:val="20"/>
                <w:szCs w:val="20"/>
              </w:rPr>
              <w:t>)</w:t>
            </w:r>
          </w:p>
        </w:tc>
      </w:tr>
      <w:tr w:rsidR="005611FE" w:rsidRPr="002D2F67" w14:paraId="2E96B91B" w14:textId="77777777" w:rsidTr="002D2F67">
        <w:trPr>
          <w:trHeight w:val="20"/>
        </w:trPr>
        <w:tc>
          <w:tcPr>
            <w:tcW w:w="1684" w:type="pct"/>
            <w:shd w:val="clear" w:color="auto" w:fill="auto"/>
            <w:vAlign w:val="bottom"/>
          </w:tcPr>
          <w:p w14:paraId="419FE238" w14:textId="77777777" w:rsidR="0004779D" w:rsidRPr="002D2F67" w:rsidRDefault="0004779D" w:rsidP="005611FE">
            <w:pPr>
              <w:rPr>
                <w:rFonts w:ascii="Arial" w:hAnsi="Arial" w:cs="Arial"/>
                <w:color w:val="000000"/>
                <w:sz w:val="20"/>
                <w:szCs w:val="20"/>
              </w:rPr>
            </w:pPr>
          </w:p>
        </w:tc>
        <w:tc>
          <w:tcPr>
            <w:tcW w:w="474" w:type="pct"/>
            <w:tcBorders>
              <w:top w:val="single" w:sz="4" w:space="0" w:color="auto"/>
            </w:tcBorders>
            <w:shd w:val="clear" w:color="auto" w:fill="auto"/>
            <w:vAlign w:val="bottom"/>
          </w:tcPr>
          <w:p w14:paraId="2DB65962"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478FD2AD"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73921B06"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4723AFC3" w14:textId="77777777"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3F1AABF9" w14:textId="0E931495" w:rsidR="0004779D" w:rsidRPr="002D2F67" w:rsidRDefault="0004779D" w:rsidP="005611FE">
            <w:pPr>
              <w:ind w:right="-72"/>
              <w:jc w:val="right"/>
              <w:rPr>
                <w:rFonts w:ascii="Arial" w:hAnsi="Arial" w:cs="Arial"/>
                <w:color w:val="000000"/>
                <w:sz w:val="20"/>
                <w:szCs w:val="20"/>
              </w:rPr>
            </w:pPr>
          </w:p>
        </w:tc>
        <w:tc>
          <w:tcPr>
            <w:tcW w:w="474" w:type="pct"/>
            <w:tcBorders>
              <w:top w:val="single" w:sz="4" w:space="0" w:color="auto"/>
            </w:tcBorders>
            <w:shd w:val="clear" w:color="auto" w:fill="auto"/>
            <w:vAlign w:val="bottom"/>
          </w:tcPr>
          <w:p w14:paraId="7D444B04" w14:textId="77777777" w:rsidR="0004779D" w:rsidRPr="002D2F67" w:rsidRDefault="0004779D" w:rsidP="005611FE">
            <w:pPr>
              <w:ind w:right="-72"/>
              <w:jc w:val="right"/>
              <w:rPr>
                <w:rFonts w:ascii="Arial" w:hAnsi="Arial" w:cs="Arial"/>
                <w:color w:val="000000"/>
                <w:sz w:val="20"/>
                <w:szCs w:val="20"/>
              </w:rPr>
            </w:pPr>
          </w:p>
        </w:tc>
        <w:tc>
          <w:tcPr>
            <w:tcW w:w="472" w:type="pct"/>
            <w:tcBorders>
              <w:top w:val="single" w:sz="4" w:space="0" w:color="auto"/>
            </w:tcBorders>
            <w:shd w:val="clear" w:color="auto" w:fill="auto"/>
            <w:vAlign w:val="bottom"/>
          </w:tcPr>
          <w:p w14:paraId="3FFED74F" w14:textId="77777777" w:rsidR="0004779D" w:rsidRPr="002D2F67" w:rsidRDefault="0004779D" w:rsidP="005611FE">
            <w:pPr>
              <w:ind w:right="-72"/>
              <w:jc w:val="right"/>
              <w:rPr>
                <w:rFonts w:ascii="Arial" w:hAnsi="Arial" w:cs="Arial"/>
                <w:color w:val="000000"/>
                <w:sz w:val="20"/>
                <w:szCs w:val="20"/>
              </w:rPr>
            </w:pPr>
          </w:p>
        </w:tc>
      </w:tr>
      <w:tr w:rsidR="0004779D" w:rsidRPr="002D2F67" w14:paraId="21D12A2F" w14:textId="77777777" w:rsidTr="002D2F67">
        <w:trPr>
          <w:trHeight w:val="20"/>
        </w:trPr>
        <w:tc>
          <w:tcPr>
            <w:tcW w:w="1684" w:type="pct"/>
            <w:shd w:val="clear" w:color="auto" w:fill="auto"/>
            <w:vAlign w:val="bottom"/>
          </w:tcPr>
          <w:p w14:paraId="67481E9E" w14:textId="77777777" w:rsidR="0004779D" w:rsidRPr="002D2F67" w:rsidRDefault="0004779D" w:rsidP="005611FE">
            <w:pPr>
              <w:jc w:val="both"/>
              <w:rPr>
                <w:rFonts w:ascii="Arial" w:hAnsi="Arial" w:cs="Arial"/>
                <w:color w:val="000000"/>
                <w:sz w:val="20"/>
                <w:szCs w:val="20"/>
              </w:rPr>
            </w:pPr>
            <w:r w:rsidRPr="002D2F67">
              <w:rPr>
                <w:rFonts w:ascii="Arial" w:hAnsi="Arial" w:cs="Arial"/>
                <w:color w:val="000000"/>
                <w:sz w:val="20"/>
                <w:szCs w:val="20"/>
              </w:rPr>
              <w:t>Net book value</w:t>
            </w:r>
          </w:p>
        </w:tc>
        <w:tc>
          <w:tcPr>
            <w:tcW w:w="474" w:type="pct"/>
            <w:tcBorders>
              <w:bottom w:val="single" w:sz="4" w:space="0" w:color="auto"/>
            </w:tcBorders>
            <w:shd w:val="clear" w:color="auto" w:fill="auto"/>
            <w:vAlign w:val="bottom"/>
          </w:tcPr>
          <w:p w14:paraId="54CB7D1F" w14:textId="22F4998A" w:rsidR="0004779D" w:rsidRPr="002D2F67" w:rsidRDefault="00E81443"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4" w:type="pct"/>
            <w:tcBorders>
              <w:bottom w:val="single" w:sz="4" w:space="0" w:color="auto"/>
            </w:tcBorders>
            <w:shd w:val="clear" w:color="auto" w:fill="auto"/>
            <w:vAlign w:val="bottom"/>
          </w:tcPr>
          <w:p w14:paraId="1D8BF36B" w14:textId="7B624119" w:rsidR="0004779D" w:rsidRPr="002D2F67" w:rsidRDefault="00E81443"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474" w:type="pct"/>
            <w:tcBorders>
              <w:bottom w:val="single" w:sz="4" w:space="0" w:color="auto"/>
            </w:tcBorders>
            <w:shd w:val="clear" w:color="auto" w:fill="auto"/>
            <w:vAlign w:val="bottom"/>
          </w:tcPr>
          <w:p w14:paraId="1D060B97" w14:textId="48951C14"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E81443" w:rsidRPr="002D2F67">
              <w:rPr>
                <w:rFonts w:ascii="Arial" w:hAnsi="Arial" w:cs="Arial"/>
                <w:color w:val="000000"/>
                <w:sz w:val="20"/>
                <w:szCs w:val="20"/>
              </w:rPr>
              <w:t>,</w:t>
            </w:r>
            <w:r w:rsidRPr="00CD5714">
              <w:rPr>
                <w:rFonts w:ascii="Arial" w:hAnsi="Arial" w:cs="Arial"/>
                <w:color w:val="000000"/>
                <w:sz w:val="20"/>
                <w:szCs w:val="20"/>
                <w:lang w:val="en-GB"/>
              </w:rPr>
              <w:t>333</w:t>
            </w:r>
            <w:r w:rsidR="00E81443" w:rsidRPr="002D2F67">
              <w:rPr>
                <w:rFonts w:ascii="Arial" w:hAnsi="Arial" w:cs="Arial"/>
                <w:color w:val="000000"/>
                <w:sz w:val="20"/>
                <w:szCs w:val="20"/>
              </w:rPr>
              <w:t>,</w:t>
            </w:r>
            <w:r w:rsidRPr="00CD5714">
              <w:rPr>
                <w:rFonts w:ascii="Arial" w:hAnsi="Arial" w:cs="Arial"/>
                <w:color w:val="000000"/>
                <w:sz w:val="20"/>
                <w:szCs w:val="20"/>
                <w:lang w:val="en-GB"/>
              </w:rPr>
              <w:t>507</w:t>
            </w:r>
          </w:p>
        </w:tc>
        <w:tc>
          <w:tcPr>
            <w:tcW w:w="474" w:type="pct"/>
            <w:tcBorders>
              <w:bottom w:val="single" w:sz="4" w:space="0" w:color="auto"/>
            </w:tcBorders>
            <w:shd w:val="clear" w:color="auto" w:fill="auto"/>
            <w:vAlign w:val="bottom"/>
          </w:tcPr>
          <w:p w14:paraId="0BF770C8" w14:textId="42881A4E"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21</w:t>
            </w:r>
            <w:r w:rsidR="00C14718" w:rsidRPr="002D2F67">
              <w:rPr>
                <w:rFonts w:ascii="Arial" w:hAnsi="Arial" w:cs="Arial"/>
                <w:color w:val="000000"/>
                <w:sz w:val="20"/>
                <w:szCs w:val="20"/>
              </w:rPr>
              <w:t>,</w:t>
            </w:r>
            <w:r w:rsidRPr="00CD5714">
              <w:rPr>
                <w:rFonts w:ascii="Arial" w:hAnsi="Arial" w:cs="Arial"/>
                <w:color w:val="000000"/>
                <w:sz w:val="20"/>
                <w:szCs w:val="20"/>
                <w:lang w:val="en-GB"/>
              </w:rPr>
              <w:t>732</w:t>
            </w:r>
          </w:p>
        </w:tc>
        <w:tc>
          <w:tcPr>
            <w:tcW w:w="474" w:type="pct"/>
            <w:tcBorders>
              <w:bottom w:val="single" w:sz="4" w:space="0" w:color="auto"/>
            </w:tcBorders>
            <w:shd w:val="clear" w:color="auto" w:fill="auto"/>
            <w:vAlign w:val="bottom"/>
          </w:tcPr>
          <w:p w14:paraId="2EAE62BA" w14:textId="7CEA3A51"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59</w:t>
            </w:r>
            <w:r w:rsidR="00C14718" w:rsidRPr="002D2F67">
              <w:rPr>
                <w:rFonts w:ascii="Arial" w:hAnsi="Arial" w:cs="Arial"/>
                <w:color w:val="000000"/>
                <w:sz w:val="20"/>
                <w:szCs w:val="20"/>
              </w:rPr>
              <w:t>,</w:t>
            </w:r>
            <w:r w:rsidRPr="00CD5714">
              <w:rPr>
                <w:rFonts w:ascii="Arial" w:hAnsi="Arial" w:cs="Arial"/>
                <w:color w:val="000000"/>
                <w:sz w:val="20"/>
                <w:szCs w:val="20"/>
                <w:lang w:val="en-GB"/>
              </w:rPr>
              <w:t>886</w:t>
            </w:r>
          </w:p>
        </w:tc>
        <w:tc>
          <w:tcPr>
            <w:tcW w:w="474" w:type="pct"/>
            <w:tcBorders>
              <w:bottom w:val="single" w:sz="4" w:space="0" w:color="auto"/>
            </w:tcBorders>
            <w:shd w:val="clear" w:color="auto" w:fill="auto"/>
            <w:vAlign w:val="bottom"/>
          </w:tcPr>
          <w:p w14:paraId="730E4AA4" w14:textId="76DE7FE3"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403</w:t>
            </w:r>
            <w:r w:rsidR="00E81443" w:rsidRPr="002D2F67">
              <w:rPr>
                <w:rFonts w:ascii="Arial" w:hAnsi="Arial" w:cs="Arial"/>
                <w:color w:val="000000"/>
                <w:sz w:val="20"/>
                <w:szCs w:val="20"/>
              </w:rPr>
              <w:t>,</w:t>
            </w:r>
            <w:r w:rsidRPr="00CD5714">
              <w:rPr>
                <w:rFonts w:ascii="Arial" w:hAnsi="Arial" w:cs="Arial"/>
                <w:color w:val="000000"/>
                <w:sz w:val="20"/>
                <w:szCs w:val="20"/>
                <w:lang w:val="en-GB"/>
              </w:rPr>
              <w:t>259</w:t>
            </w:r>
          </w:p>
        </w:tc>
        <w:tc>
          <w:tcPr>
            <w:tcW w:w="472" w:type="pct"/>
            <w:tcBorders>
              <w:bottom w:val="single" w:sz="4" w:space="0" w:color="auto"/>
            </w:tcBorders>
            <w:shd w:val="clear" w:color="auto" w:fill="auto"/>
            <w:vAlign w:val="bottom"/>
          </w:tcPr>
          <w:p w14:paraId="065263F4" w14:textId="2F7F919E"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E81443" w:rsidRPr="002D2F67">
              <w:rPr>
                <w:rFonts w:ascii="Arial" w:hAnsi="Arial" w:cs="Arial"/>
                <w:color w:val="000000"/>
                <w:sz w:val="20"/>
                <w:szCs w:val="20"/>
              </w:rPr>
              <w:t>,</w:t>
            </w:r>
            <w:r w:rsidRPr="00CD5714">
              <w:rPr>
                <w:rFonts w:ascii="Arial" w:hAnsi="Arial" w:cs="Arial"/>
                <w:color w:val="000000"/>
                <w:sz w:val="20"/>
                <w:szCs w:val="20"/>
                <w:lang w:val="en-GB"/>
              </w:rPr>
              <w:t>818</w:t>
            </w:r>
            <w:r w:rsidR="00E81443" w:rsidRPr="002D2F67">
              <w:rPr>
                <w:rFonts w:ascii="Arial" w:hAnsi="Arial" w:cs="Arial"/>
                <w:color w:val="000000"/>
                <w:sz w:val="20"/>
                <w:szCs w:val="20"/>
              </w:rPr>
              <w:t>,</w:t>
            </w:r>
            <w:r w:rsidRPr="00CD5714">
              <w:rPr>
                <w:rFonts w:ascii="Arial" w:hAnsi="Arial" w:cs="Arial"/>
                <w:color w:val="000000"/>
                <w:sz w:val="20"/>
                <w:szCs w:val="20"/>
                <w:lang w:val="en-GB"/>
              </w:rPr>
              <w:t>384</w:t>
            </w:r>
          </w:p>
        </w:tc>
      </w:tr>
    </w:tbl>
    <w:p w14:paraId="688EF75F" w14:textId="77777777" w:rsidR="00E7165A" w:rsidRPr="002D2F67" w:rsidRDefault="00E7165A" w:rsidP="005611FE">
      <w:pPr>
        <w:jc w:val="both"/>
        <w:rPr>
          <w:rFonts w:ascii="Arial" w:hAnsi="Arial" w:cs="Arial"/>
          <w:color w:val="000000"/>
          <w:sz w:val="20"/>
          <w:szCs w:val="20"/>
        </w:rPr>
      </w:pPr>
    </w:p>
    <w:p w14:paraId="41B119BD" w14:textId="7DEECC1F" w:rsidR="0054247E" w:rsidRPr="002D2F67" w:rsidRDefault="0054247E" w:rsidP="0054247E">
      <w:pPr>
        <w:ind w:left="284" w:hanging="284"/>
        <w:jc w:val="both"/>
        <w:rPr>
          <w:rFonts w:ascii="Arial" w:eastAsia="Cordia New" w:hAnsi="Arial" w:cs="Arial"/>
          <w:snapToGrid w:val="0"/>
          <w:color w:val="000000"/>
          <w:spacing w:val="-2"/>
          <w:sz w:val="20"/>
          <w:szCs w:val="20"/>
          <w:cs/>
          <w:lang w:eastAsia="th-TH"/>
        </w:rPr>
      </w:pPr>
      <w:r w:rsidRPr="002D2F67">
        <w:rPr>
          <w:rFonts w:ascii="Arial" w:eastAsia="Cordia New" w:hAnsi="Arial" w:cs="Arial"/>
          <w:snapToGrid w:val="0"/>
          <w:color w:val="000000"/>
          <w:spacing w:val="-2"/>
          <w:sz w:val="20"/>
          <w:szCs w:val="20"/>
          <w:vertAlign w:val="superscript"/>
          <w:lang w:eastAsia="th-TH"/>
        </w:rPr>
        <w:t>(</w:t>
      </w:r>
      <w:r w:rsidR="00CD5714" w:rsidRPr="00CD5714">
        <w:rPr>
          <w:rFonts w:ascii="Arial" w:eastAsia="Cordia New" w:hAnsi="Arial" w:cs="Arial"/>
          <w:snapToGrid w:val="0"/>
          <w:color w:val="000000"/>
          <w:spacing w:val="-2"/>
          <w:sz w:val="20"/>
          <w:szCs w:val="20"/>
          <w:vertAlign w:val="superscript"/>
          <w:lang w:val="en-GB" w:eastAsia="th-TH"/>
        </w:rPr>
        <w:t>1</w:t>
      </w:r>
      <w:r w:rsidRPr="002D2F67">
        <w:rPr>
          <w:rFonts w:ascii="Arial" w:eastAsia="Cordia New" w:hAnsi="Arial" w:cs="Arial"/>
          <w:snapToGrid w:val="0"/>
          <w:color w:val="000000"/>
          <w:spacing w:val="-2"/>
          <w:sz w:val="20"/>
          <w:szCs w:val="20"/>
          <w:vertAlign w:val="superscript"/>
          <w:lang w:eastAsia="th-TH"/>
        </w:rPr>
        <w:t xml:space="preserve">) </w:t>
      </w:r>
      <w:r w:rsidRPr="002D2F67">
        <w:rPr>
          <w:rFonts w:ascii="Arial" w:eastAsia="Cordia New" w:hAnsi="Arial" w:cs="Arial"/>
          <w:snapToGrid w:val="0"/>
          <w:color w:val="000000"/>
          <w:spacing w:val="-2"/>
          <w:sz w:val="20"/>
          <w:szCs w:val="20"/>
          <w:vertAlign w:val="superscript"/>
          <w:lang w:eastAsia="th-TH"/>
        </w:rPr>
        <w:tab/>
      </w:r>
      <w:r w:rsidRPr="002D2F67">
        <w:rPr>
          <w:rFonts w:ascii="Arial" w:hAnsi="Arial" w:cs="Arial"/>
          <w:color w:val="000000"/>
          <w:spacing w:val="-6"/>
          <w:sz w:val="20"/>
          <w:szCs w:val="20"/>
        </w:rPr>
        <w:t xml:space="preserve">During </w:t>
      </w:r>
      <w:r w:rsidR="00CD5714" w:rsidRPr="00CD5714">
        <w:rPr>
          <w:rFonts w:ascii="Arial" w:hAnsi="Arial" w:cs="Arial"/>
          <w:color w:val="000000"/>
          <w:spacing w:val="-6"/>
          <w:sz w:val="20"/>
          <w:szCs w:val="20"/>
          <w:lang w:val="en-GB"/>
        </w:rPr>
        <w:t>2024</w:t>
      </w:r>
      <w:r w:rsidRPr="002D2F67">
        <w:rPr>
          <w:rFonts w:ascii="Arial" w:hAnsi="Arial" w:cs="Arial"/>
          <w:color w:val="000000"/>
          <w:spacing w:val="-6"/>
          <w:sz w:val="20"/>
          <w:szCs w:val="20"/>
        </w:rPr>
        <w:t xml:space="preserve">, impairment loss of Baht </w:t>
      </w:r>
      <w:r w:rsidR="00CD5714" w:rsidRPr="00CD5714">
        <w:rPr>
          <w:rFonts w:ascii="Arial" w:hAnsi="Arial" w:cs="Arial"/>
          <w:color w:val="000000"/>
          <w:spacing w:val="-6"/>
          <w:sz w:val="20"/>
          <w:szCs w:val="20"/>
          <w:lang w:val="en-GB"/>
        </w:rPr>
        <w:t>671</w:t>
      </w:r>
      <w:r w:rsidRPr="002D2F67">
        <w:rPr>
          <w:rFonts w:ascii="Arial" w:hAnsi="Arial" w:cs="Arial"/>
          <w:color w:val="000000"/>
          <w:spacing w:val="-6"/>
          <w:sz w:val="20"/>
          <w:szCs w:val="20"/>
        </w:rPr>
        <w:t xml:space="preserve"> million for </w:t>
      </w:r>
      <w:r w:rsidR="00D945BC" w:rsidRPr="002D2F67">
        <w:rPr>
          <w:rFonts w:ascii="Arial" w:hAnsi="Arial" w:cs="Arial"/>
          <w:color w:val="000000"/>
          <w:spacing w:val="-6"/>
          <w:sz w:val="20"/>
          <w:szCs w:val="20"/>
        </w:rPr>
        <w:t>patents and brand</w:t>
      </w:r>
      <w:r w:rsidRPr="002D2F67">
        <w:rPr>
          <w:rFonts w:ascii="Arial" w:hAnsi="Arial" w:cs="Arial"/>
          <w:color w:val="000000"/>
          <w:spacing w:val="-6"/>
          <w:sz w:val="20"/>
          <w:szCs w:val="20"/>
        </w:rPr>
        <w:t xml:space="preserve"> of the battery manufacturing and distributing business </w:t>
      </w:r>
      <w:r w:rsidR="00F3787B" w:rsidRPr="002D2F67">
        <w:rPr>
          <w:rFonts w:ascii="Arial" w:hAnsi="Arial" w:cs="Arial"/>
          <w:color w:val="000000"/>
          <w:spacing w:val="-6"/>
          <w:sz w:val="20"/>
          <w:szCs w:val="20"/>
        </w:rPr>
        <w:t>were</w:t>
      </w:r>
      <w:r w:rsidRPr="002D2F67">
        <w:rPr>
          <w:rFonts w:ascii="Arial" w:hAnsi="Arial" w:cs="Arial"/>
          <w:color w:val="000000"/>
          <w:spacing w:val="-6"/>
          <w:sz w:val="20"/>
          <w:szCs w:val="20"/>
        </w:rPr>
        <w:t xml:space="preserve"> recognised due to changes in electric batter</w:t>
      </w:r>
      <w:r w:rsidR="00D51A28" w:rsidRPr="002D2F67">
        <w:rPr>
          <w:rFonts w:ascii="Arial" w:hAnsi="Arial" w:cs="Arial"/>
          <w:color w:val="000000"/>
          <w:spacing w:val="-6"/>
          <w:sz w:val="20"/>
          <w:szCs w:val="20"/>
        </w:rPr>
        <w:t>y</w:t>
      </w:r>
      <w:r w:rsidRPr="002D2F67">
        <w:rPr>
          <w:rFonts w:ascii="Arial" w:hAnsi="Arial" w:cs="Arial"/>
          <w:color w:val="000000"/>
          <w:spacing w:val="-4"/>
          <w:sz w:val="20"/>
          <w:szCs w:val="20"/>
        </w:rPr>
        <w:t xml:space="preserve"> industry’s trend and revision of management business plan. The recoverable amount</w:t>
      </w:r>
      <w:r w:rsidRPr="002D2F67">
        <w:rPr>
          <w:rFonts w:ascii="Arial" w:hAnsi="Arial" w:cs="Arial"/>
          <w:color w:val="000000"/>
          <w:spacing w:val="-2"/>
          <w:sz w:val="20"/>
          <w:szCs w:val="20"/>
        </w:rPr>
        <w:t xml:space="preserve"> was determined using value-in-use</w:t>
      </w:r>
      <w:r w:rsidR="00B86C52">
        <w:rPr>
          <w:rFonts w:ascii="Arial" w:eastAsia="Cordia New" w:hAnsi="Arial" w:cs="Arial"/>
          <w:snapToGrid w:val="0"/>
          <w:color w:val="000000"/>
          <w:spacing w:val="-2"/>
          <w:sz w:val="20"/>
          <w:szCs w:val="20"/>
          <w:lang w:eastAsia="th-TH"/>
        </w:rPr>
        <w:t xml:space="preserve"> which calculated using the discount rate at 10.66% </w:t>
      </w:r>
      <w:r w:rsidR="00B86C52">
        <w:rPr>
          <w:rFonts w:ascii="Arial" w:eastAsia="Cordia New" w:hAnsi="Arial" w:cs="Arial"/>
          <w:snapToGrid w:val="0"/>
          <w:color w:val="000000"/>
          <w:spacing w:val="-2"/>
          <w:sz w:val="20"/>
          <w:szCs w:val="20"/>
          <w:lang w:eastAsia="th-TH"/>
        </w:rPr>
        <w:br/>
        <w:t>per annum.</w:t>
      </w:r>
    </w:p>
    <w:p w14:paraId="6AB876C3" w14:textId="77777777" w:rsidR="0054247E" w:rsidRPr="002D2F67" w:rsidRDefault="0054247E" w:rsidP="005611FE">
      <w:pPr>
        <w:jc w:val="both"/>
        <w:rPr>
          <w:rFonts w:ascii="Arial" w:hAnsi="Arial" w:cs="Arial"/>
          <w:color w:val="000000"/>
          <w:sz w:val="20"/>
          <w:szCs w:val="20"/>
        </w:rPr>
      </w:pPr>
    </w:p>
    <w:p w14:paraId="4D32C3D7" w14:textId="77777777" w:rsidR="005E58CC" w:rsidRPr="002D2F67" w:rsidRDefault="005E58CC" w:rsidP="005611FE">
      <w:pPr>
        <w:jc w:val="both"/>
        <w:rPr>
          <w:rFonts w:ascii="Arial" w:hAnsi="Arial" w:cs="Arial"/>
          <w:color w:val="000000"/>
          <w:sz w:val="20"/>
          <w:szCs w:val="20"/>
        </w:rPr>
        <w:sectPr w:rsidR="005E58CC" w:rsidRPr="002D2F67" w:rsidSect="004F4DED">
          <w:pgSz w:w="16840" w:h="11907" w:orient="landscape" w:code="9"/>
          <w:pgMar w:top="1440" w:right="720" w:bottom="720" w:left="720" w:header="706" w:footer="706" w:gutter="0"/>
          <w:cols w:space="720"/>
          <w:docGrid w:linePitch="326"/>
        </w:sectPr>
      </w:pPr>
    </w:p>
    <w:p w14:paraId="2F8FF3F6" w14:textId="77777777" w:rsidR="00235335" w:rsidRPr="002D2F67" w:rsidRDefault="00235335" w:rsidP="005611FE">
      <w:pPr>
        <w:jc w:val="both"/>
        <w:rPr>
          <w:rFonts w:ascii="Arial" w:hAnsi="Arial" w:cs="Arial"/>
          <w:color w:val="000000"/>
          <w:sz w:val="20"/>
          <w:szCs w:val="20"/>
        </w:rPr>
      </w:pPr>
    </w:p>
    <w:tbl>
      <w:tblPr>
        <w:tblW w:w="4885" w:type="pct"/>
        <w:tblInd w:w="108" w:type="dxa"/>
        <w:tblLook w:val="0000" w:firstRow="0" w:lastRow="0" w:firstColumn="0" w:lastColumn="0" w:noHBand="0" w:noVBand="0"/>
      </w:tblPr>
      <w:tblGrid>
        <w:gridCol w:w="4007"/>
        <w:gridCol w:w="1813"/>
        <w:gridCol w:w="1815"/>
        <w:gridCol w:w="1816"/>
      </w:tblGrid>
      <w:tr w:rsidR="008E040F" w:rsidRPr="002D2F67" w14:paraId="2E8D3301" w14:textId="77777777" w:rsidTr="008255E8">
        <w:trPr>
          <w:trHeight w:val="252"/>
        </w:trPr>
        <w:tc>
          <w:tcPr>
            <w:tcW w:w="2120" w:type="pct"/>
            <w:shd w:val="clear" w:color="auto" w:fill="auto"/>
            <w:vAlign w:val="bottom"/>
          </w:tcPr>
          <w:p w14:paraId="622867D9" w14:textId="77777777" w:rsidR="008E040F" w:rsidRPr="002D2F67" w:rsidRDefault="008E040F" w:rsidP="005611FE">
            <w:pPr>
              <w:ind w:left="-89"/>
              <w:rPr>
                <w:rFonts w:ascii="Arial" w:hAnsi="Arial" w:cs="Arial"/>
                <w:b/>
                <w:bCs/>
                <w:color w:val="000000"/>
                <w:sz w:val="20"/>
                <w:szCs w:val="20"/>
              </w:rPr>
            </w:pPr>
          </w:p>
        </w:tc>
        <w:tc>
          <w:tcPr>
            <w:tcW w:w="2880" w:type="pct"/>
            <w:gridSpan w:val="3"/>
            <w:tcBorders>
              <w:bottom w:val="single" w:sz="4" w:space="0" w:color="auto"/>
            </w:tcBorders>
            <w:shd w:val="clear" w:color="auto" w:fill="auto"/>
            <w:vAlign w:val="bottom"/>
          </w:tcPr>
          <w:p w14:paraId="4E33A6A7" w14:textId="563162E1" w:rsidR="008E040F" w:rsidRPr="002D2F67" w:rsidRDefault="008E040F" w:rsidP="005611FE">
            <w:pPr>
              <w:ind w:right="-72"/>
              <w:jc w:val="right"/>
              <w:rPr>
                <w:rFonts w:ascii="Arial" w:hAnsi="Arial" w:cs="Arial"/>
                <w:b/>
                <w:bCs/>
                <w:color w:val="000000"/>
                <w:sz w:val="20"/>
                <w:szCs w:val="20"/>
              </w:rPr>
            </w:pPr>
            <w:r w:rsidRPr="002D2F67">
              <w:rPr>
                <w:rFonts w:ascii="Arial" w:hAnsi="Arial" w:cs="Arial"/>
                <w:b/>
                <w:bCs/>
                <w:color w:val="000000"/>
                <w:sz w:val="20"/>
                <w:szCs w:val="20"/>
              </w:rPr>
              <w:t>Separate financial statements</w:t>
            </w:r>
          </w:p>
        </w:tc>
      </w:tr>
      <w:tr w:rsidR="00DF1034" w:rsidRPr="002D2F67" w14:paraId="406639C4" w14:textId="77777777" w:rsidTr="008255E8">
        <w:trPr>
          <w:trHeight w:val="252"/>
        </w:trPr>
        <w:tc>
          <w:tcPr>
            <w:tcW w:w="2120" w:type="pct"/>
            <w:shd w:val="clear" w:color="auto" w:fill="auto"/>
            <w:vAlign w:val="bottom"/>
          </w:tcPr>
          <w:p w14:paraId="6C49CF99" w14:textId="77777777" w:rsidR="00DF1034" w:rsidRPr="002D2F67" w:rsidRDefault="00DF1034" w:rsidP="005611FE">
            <w:pPr>
              <w:ind w:left="-89"/>
              <w:rPr>
                <w:rFonts w:ascii="Arial" w:hAnsi="Arial" w:cs="Arial"/>
                <w:b/>
                <w:bCs/>
                <w:color w:val="000000"/>
                <w:sz w:val="20"/>
                <w:szCs w:val="20"/>
              </w:rPr>
            </w:pPr>
          </w:p>
        </w:tc>
        <w:tc>
          <w:tcPr>
            <w:tcW w:w="959" w:type="pct"/>
            <w:tcBorders>
              <w:top w:val="single" w:sz="4" w:space="0" w:color="auto"/>
            </w:tcBorders>
            <w:shd w:val="clear" w:color="auto" w:fill="auto"/>
            <w:vAlign w:val="bottom"/>
          </w:tcPr>
          <w:p w14:paraId="7A90494B" w14:textId="20073DDC" w:rsidR="002B6F9C" w:rsidRPr="002D2F67" w:rsidRDefault="002B6F9C"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Right to use </w:t>
            </w:r>
            <w:r w:rsidRPr="002D2F67">
              <w:rPr>
                <w:rFonts w:ascii="Arial" w:hAnsi="Arial" w:cs="Arial"/>
                <w:b/>
                <w:bCs/>
                <w:color w:val="000000"/>
                <w:spacing w:val="-6"/>
                <w:sz w:val="20"/>
                <w:szCs w:val="20"/>
              </w:rPr>
              <w:t>transmission line</w:t>
            </w:r>
          </w:p>
        </w:tc>
        <w:tc>
          <w:tcPr>
            <w:tcW w:w="960" w:type="pct"/>
            <w:tcBorders>
              <w:top w:val="single" w:sz="4" w:space="0" w:color="auto"/>
            </w:tcBorders>
            <w:shd w:val="clear" w:color="auto" w:fill="auto"/>
            <w:vAlign w:val="bottom"/>
          </w:tcPr>
          <w:p w14:paraId="7F36851E" w14:textId="5D29A742" w:rsidR="002B6F9C" w:rsidRPr="002D2F67" w:rsidRDefault="002B6F9C" w:rsidP="005611FE">
            <w:pPr>
              <w:ind w:right="-72"/>
              <w:jc w:val="right"/>
              <w:rPr>
                <w:rFonts w:ascii="Arial" w:hAnsi="Arial" w:cs="Arial"/>
                <w:b/>
                <w:bCs/>
                <w:color w:val="000000"/>
                <w:sz w:val="20"/>
                <w:szCs w:val="20"/>
              </w:rPr>
            </w:pPr>
            <w:r w:rsidRPr="002D2F67">
              <w:rPr>
                <w:rFonts w:ascii="Arial" w:hAnsi="Arial" w:cs="Arial"/>
                <w:b/>
                <w:bCs/>
                <w:color w:val="000000"/>
                <w:sz w:val="20"/>
                <w:szCs w:val="20"/>
              </w:rPr>
              <w:t>Computer software</w:t>
            </w:r>
          </w:p>
        </w:tc>
        <w:tc>
          <w:tcPr>
            <w:tcW w:w="961" w:type="pct"/>
            <w:tcBorders>
              <w:top w:val="single" w:sz="4" w:space="0" w:color="auto"/>
            </w:tcBorders>
            <w:shd w:val="clear" w:color="auto" w:fill="auto"/>
            <w:vAlign w:val="bottom"/>
          </w:tcPr>
          <w:p w14:paraId="2547DA50" w14:textId="300A2D4E" w:rsidR="002B6F9C" w:rsidRPr="002D2F67" w:rsidRDefault="002B6F9C" w:rsidP="005611FE">
            <w:pPr>
              <w:ind w:right="-72"/>
              <w:jc w:val="right"/>
              <w:rPr>
                <w:rFonts w:ascii="Arial" w:hAnsi="Arial" w:cs="Arial"/>
                <w:b/>
                <w:bCs/>
                <w:color w:val="000000"/>
                <w:sz w:val="20"/>
                <w:szCs w:val="20"/>
              </w:rPr>
            </w:pPr>
            <w:r w:rsidRPr="002D2F67">
              <w:rPr>
                <w:rFonts w:ascii="Arial" w:hAnsi="Arial" w:cs="Arial"/>
                <w:b/>
                <w:bCs/>
                <w:color w:val="000000"/>
                <w:sz w:val="20"/>
                <w:szCs w:val="20"/>
              </w:rPr>
              <w:t>Total</w:t>
            </w:r>
          </w:p>
        </w:tc>
      </w:tr>
      <w:tr w:rsidR="00DF1034" w:rsidRPr="002D2F67" w14:paraId="168C85BE" w14:textId="77777777" w:rsidTr="005611FE">
        <w:trPr>
          <w:trHeight w:val="252"/>
        </w:trPr>
        <w:tc>
          <w:tcPr>
            <w:tcW w:w="2120" w:type="pct"/>
            <w:shd w:val="clear" w:color="auto" w:fill="auto"/>
            <w:vAlign w:val="bottom"/>
          </w:tcPr>
          <w:p w14:paraId="2CC2E4FA" w14:textId="77777777" w:rsidR="00DF1034" w:rsidRPr="002D2F67" w:rsidRDefault="00DF1034" w:rsidP="005611FE">
            <w:pPr>
              <w:ind w:left="-89"/>
              <w:rPr>
                <w:rFonts w:ascii="Arial" w:hAnsi="Arial" w:cs="Arial"/>
                <w:color w:val="000000"/>
                <w:sz w:val="20"/>
                <w:szCs w:val="20"/>
              </w:rPr>
            </w:pPr>
          </w:p>
        </w:tc>
        <w:tc>
          <w:tcPr>
            <w:tcW w:w="959" w:type="pct"/>
            <w:tcBorders>
              <w:bottom w:val="single" w:sz="4" w:space="0" w:color="auto"/>
            </w:tcBorders>
            <w:shd w:val="clear" w:color="auto" w:fill="auto"/>
            <w:vAlign w:val="bottom"/>
          </w:tcPr>
          <w:p w14:paraId="005CFF64" w14:textId="3C86BD13" w:rsidR="002B6F9C" w:rsidRPr="002D2F67" w:rsidRDefault="002B6F9C"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960" w:type="pct"/>
            <w:tcBorders>
              <w:bottom w:val="single" w:sz="4" w:space="0" w:color="auto"/>
            </w:tcBorders>
            <w:shd w:val="clear" w:color="auto" w:fill="auto"/>
            <w:vAlign w:val="bottom"/>
          </w:tcPr>
          <w:p w14:paraId="4A019499" w14:textId="1EAF7DC5" w:rsidR="002B6F9C" w:rsidRPr="002D2F67" w:rsidRDefault="002B6F9C"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961" w:type="pct"/>
            <w:tcBorders>
              <w:bottom w:val="single" w:sz="4" w:space="0" w:color="auto"/>
            </w:tcBorders>
            <w:shd w:val="clear" w:color="auto" w:fill="auto"/>
            <w:vAlign w:val="bottom"/>
          </w:tcPr>
          <w:p w14:paraId="3DE7C6FD" w14:textId="6F0E89FD" w:rsidR="002B6F9C" w:rsidRPr="002D2F67" w:rsidRDefault="002B6F9C"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DF1034" w:rsidRPr="002D2F67" w14:paraId="52C6C982" w14:textId="77777777" w:rsidTr="005611FE">
        <w:trPr>
          <w:trHeight w:val="240"/>
        </w:trPr>
        <w:tc>
          <w:tcPr>
            <w:tcW w:w="2120" w:type="pct"/>
            <w:shd w:val="clear" w:color="auto" w:fill="auto"/>
            <w:vAlign w:val="bottom"/>
          </w:tcPr>
          <w:p w14:paraId="27F39148" w14:textId="2347077B" w:rsidR="00DF1034" w:rsidRPr="002D2F67" w:rsidRDefault="00DF1034" w:rsidP="005611FE">
            <w:pPr>
              <w:ind w:left="-89"/>
              <w:rPr>
                <w:rFonts w:ascii="Arial" w:hAnsi="Arial" w:cs="Arial"/>
                <w:b/>
                <w:bCs/>
                <w:color w:val="000000"/>
                <w:sz w:val="20"/>
                <w:szCs w:val="20"/>
              </w:rPr>
            </w:pPr>
            <w:r w:rsidRPr="002D2F67">
              <w:rPr>
                <w:rFonts w:ascii="Arial" w:hAnsi="Arial" w:cs="Arial"/>
                <w:b/>
                <w:bCs/>
                <w:color w:val="000000"/>
                <w:sz w:val="20"/>
                <w:szCs w:val="20"/>
              </w:rPr>
              <w:t xml:space="preserve">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1</w:t>
            </w:r>
            <w:r w:rsidRPr="002D2F67">
              <w:rPr>
                <w:rFonts w:ascii="Arial" w:hAnsi="Arial" w:cs="Arial"/>
                <w:b/>
                <w:bCs/>
                <w:color w:val="000000"/>
                <w:sz w:val="20"/>
                <w:szCs w:val="20"/>
              </w:rPr>
              <w:t xml:space="preserve"> January </w:t>
            </w:r>
            <w:r w:rsidR="00CD5714" w:rsidRPr="00CD5714">
              <w:rPr>
                <w:rFonts w:ascii="Arial" w:hAnsi="Arial" w:cs="Arial"/>
                <w:b/>
                <w:bCs/>
                <w:color w:val="000000"/>
                <w:sz w:val="20"/>
                <w:szCs w:val="20"/>
                <w:lang w:val="en-GB"/>
              </w:rPr>
              <w:t>2023</w:t>
            </w:r>
          </w:p>
        </w:tc>
        <w:tc>
          <w:tcPr>
            <w:tcW w:w="959" w:type="pct"/>
            <w:tcBorders>
              <w:top w:val="single" w:sz="4" w:space="0" w:color="auto"/>
            </w:tcBorders>
            <w:shd w:val="clear" w:color="auto" w:fill="auto"/>
            <w:vAlign w:val="bottom"/>
          </w:tcPr>
          <w:p w14:paraId="578B0894" w14:textId="77777777" w:rsidR="002B6F9C" w:rsidRPr="002D2F67" w:rsidRDefault="002B6F9C" w:rsidP="005611FE">
            <w:pPr>
              <w:ind w:right="-72"/>
              <w:jc w:val="right"/>
              <w:rPr>
                <w:rFonts w:ascii="Arial" w:hAnsi="Arial" w:cs="Arial"/>
                <w:color w:val="000000"/>
                <w:sz w:val="20"/>
                <w:szCs w:val="20"/>
              </w:rPr>
            </w:pPr>
          </w:p>
        </w:tc>
        <w:tc>
          <w:tcPr>
            <w:tcW w:w="960" w:type="pct"/>
            <w:tcBorders>
              <w:top w:val="single" w:sz="4" w:space="0" w:color="auto"/>
            </w:tcBorders>
            <w:shd w:val="clear" w:color="auto" w:fill="auto"/>
            <w:vAlign w:val="bottom"/>
          </w:tcPr>
          <w:p w14:paraId="0597A84F" w14:textId="77777777" w:rsidR="002B6F9C" w:rsidRPr="002D2F67" w:rsidRDefault="002B6F9C" w:rsidP="005611FE">
            <w:pPr>
              <w:ind w:right="-72"/>
              <w:jc w:val="right"/>
              <w:rPr>
                <w:rFonts w:ascii="Arial" w:hAnsi="Arial" w:cs="Arial"/>
                <w:color w:val="000000"/>
                <w:sz w:val="20"/>
                <w:szCs w:val="20"/>
              </w:rPr>
            </w:pPr>
          </w:p>
        </w:tc>
        <w:tc>
          <w:tcPr>
            <w:tcW w:w="961" w:type="pct"/>
            <w:tcBorders>
              <w:top w:val="single" w:sz="4" w:space="0" w:color="auto"/>
            </w:tcBorders>
            <w:shd w:val="clear" w:color="auto" w:fill="auto"/>
            <w:vAlign w:val="bottom"/>
          </w:tcPr>
          <w:p w14:paraId="5D7BDBD5" w14:textId="710FC8CF" w:rsidR="002B6F9C" w:rsidRPr="002D2F67" w:rsidRDefault="002B6F9C" w:rsidP="005611FE">
            <w:pPr>
              <w:ind w:right="-72"/>
              <w:jc w:val="right"/>
              <w:rPr>
                <w:rFonts w:ascii="Arial" w:hAnsi="Arial" w:cs="Arial"/>
                <w:color w:val="000000"/>
                <w:sz w:val="20"/>
                <w:szCs w:val="20"/>
              </w:rPr>
            </w:pPr>
          </w:p>
        </w:tc>
      </w:tr>
      <w:tr w:rsidR="0004779D" w:rsidRPr="002D2F67" w14:paraId="206623CF" w14:textId="77777777" w:rsidTr="005611FE">
        <w:trPr>
          <w:trHeight w:val="252"/>
        </w:trPr>
        <w:tc>
          <w:tcPr>
            <w:tcW w:w="2120" w:type="pct"/>
            <w:shd w:val="clear" w:color="auto" w:fill="auto"/>
            <w:vAlign w:val="bottom"/>
          </w:tcPr>
          <w:p w14:paraId="2F2D64A2" w14:textId="77777777" w:rsidR="0004779D" w:rsidRPr="002D2F67" w:rsidRDefault="0004779D" w:rsidP="005611FE">
            <w:pPr>
              <w:ind w:left="-89"/>
              <w:rPr>
                <w:rFonts w:ascii="Arial" w:hAnsi="Arial" w:cs="Arial"/>
                <w:color w:val="000000"/>
                <w:sz w:val="20"/>
                <w:szCs w:val="20"/>
              </w:rPr>
            </w:pPr>
            <w:bookmarkStart w:id="7" w:name="_Hlk159106264"/>
            <w:r w:rsidRPr="002D2F67">
              <w:rPr>
                <w:rFonts w:ascii="Arial" w:hAnsi="Arial" w:cs="Arial"/>
                <w:color w:val="000000"/>
                <w:sz w:val="20"/>
                <w:szCs w:val="20"/>
              </w:rPr>
              <w:t>Cost</w:t>
            </w:r>
          </w:p>
        </w:tc>
        <w:tc>
          <w:tcPr>
            <w:tcW w:w="959" w:type="pct"/>
            <w:shd w:val="clear" w:color="auto" w:fill="auto"/>
            <w:vAlign w:val="bottom"/>
          </w:tcPr>
          <w:p w14:paraId="71EA5DFA" w14:textId="0AEB81B9"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382</w:t>
            </w:r>
            <w:r w:rsidR="0004779D" w:rsidRPr="002D2F67">
              <w:rPr>
                <w:rFonts w:ascii="Arial" w:hAnsi="Arial" w:cs="Arial"/>
                <w:color w:val="000000"/>
                <w:sz w:val="20"/>
                <w:szCs w:val="20"/>
              </w:rPr>
              <w:t>,</w:t>
            </w:r>
            <w:r w:rsidRPr="00CD5714">
              <w:rPr>
                <w:rFonts w:ascii="Arial" w:hAnsi="Arial" w:cs="Arial"/>
                <w:color w:val="000000"/>
                <w:sz w:val="20"/>
                <w:szCs w:val="20"/>
                <w:lang w:val="en-GB"/>
              </w:rPr>
              <w:t>674</w:t>
            </w:r>
          </w:p>
        </w:tc>
        <w:tc>
          <w:tcPr>
            <w:tcW w:w="960" w:type="pct"/>
            <w:shd w:val="clear" w:color="auto" w:fill="auto"/>
            <w:vAlign w:val="bottom"/>
          </w:tcPr>
          <w:p w14:paraId="00E06BE7" w14:textId="4F2DBE1B"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24</w:t>
            </w:r>
            <w:r w:rsidR="0004779D" w:rsidRPr="002D2F67">
              <w:rPr>
                <w:rFonts w:ascii="Arial" w:hAnsi="Arial" w:cs="Arial"/>
                <w:color w:val="000000"/>
                <w:sz w:val="20"/>
                <w:szCs w:val="20"/>
              </w:rPr>
              <w:t>,</w:t>
            </w:r>
            <w:r w:rsidRPr="00CD5714">
              <w:rPr>
                <w:rFonts w:ascii="Arial" w:hAnsi="Arial" w:cs="Arial"/>
                <w:color w:val="000000"/>
                <w:sz w:val="20"/>
                <w:szCs w:val="20"/>
                <w:lang w:val="en-GB"/>
              </w:rPr>
              <w:t>903</w:t>
            </w:r>
          </w:p>
        </w:tc>
        <w:tc>
          <w:tcPr>
            <w:tcW w:w="961" w:type="pct"/>
            <w:shd w:val="clear" w:color="auto" w:fill="auto"/>
            <w:vAlign w:val="bottom"/>
          </w:tcPr>
          <w:p w14:paraId="1B6D3070" w14:textId="03A46EC0"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407</w:t>
            </w:r>
            <w:r w:rsidR="0004779D" w:rsidRPr="002D2F67">
              <w:rPr>
                <w:rFonts w:ascii="Arial" w:hAnsi="Arial" w:cs="Arial"/>
                <w:color w:val="000000"/>
                <w:sz w:val="20"/>
                <w:szCs w:val="20"/>
              </w:rPr>
              <w:t>,</w:t>
            </w:r>
            <w:r w:rsidRPr="00CD5714">
              <w:rPr>
                <w:rFonts w:ascii="Arial" w:hAnsi="Arial" w:cs="Arial"/>
                <w:color w:val="000000"/>
                <w:sz w:val="20"/>
                <w:szCs w:val="20"/>
                <w:lang w:val="en-GB"/>
              </w:rPr>
              <w:t>577</w:t>
            </w:r>
          </w:p>
        </w:tc>
      </w:tr>
      <w:tr w:rsidR="0004779D" w:rsidRPr="002D2F67" w14:paraId="1DEA8056" w14:textId="77777777" w:rsidTr="005611FE">
        <w:trPr>
          <w:trHeight w:val="252"/>
        </w:trPr>
        <w:tc>
          <w:tcPr>
            <w:tcW w:w="2120" w:type="pct"/>
            <w:shd w:val="clear" w:color="auto" w:fill="auto"/>
            <w:vAlign w:val="bottom"/>
          </w:tcPr>
          <w:p w14:paraId="097872AD" w14:textId="77777777" w:rsidR="0004779D" w:rsidRPr="002D2F67" w:rsidRDefault="0004779D" w:rsidP="005611FE">
            <w:pPr>
              <w:ind w:left="-89"/>
              <w:rPr>
                <w:rFonts w:ascii="Arial" w:hAnsi="Arial" w:cs="Arial"/>
                <w:color w:val="000000"/>
                <w:sz w:val="20"/>
                <w:szCs w:val="20"/>
              </w:rPr>
            </w:pPr>
            <w:r w:rsidRPr="002D2F67">
              <w:rPr>
                <w:rFonts w:ascii="Arial" w:hAnsi="Arial" w:cs="Arial"/>
                <w:color w:val="000000"/>
                <w:sz w:val="20"/>
                <w:szCs w:val="20"/>
                <w:u w:val="single"/>
              </w:rPr>
              <w:t>Less</w:t>
            </w:r>
            <w:r w:rsidRPr="002D2F67">
              <w:rPr>
                <w:rFonts w:ascii="Arial" w:hAnsi="Arial" w:cs="Arial"/>
                <w:color w:val="000000"/>
                <w:sz w:val="20"/>
                <w:szCs w:val="20"/>
              </w:rPr>
              <w:t xml:space="preserve">  Accumulated amortisation</w:t>
            </w:r>
          </w:p>
        </w:tc>
        <w:tc>
          <w:tcPr>
            <w:tcW w:w="959" w:type="pct"/>
            <w:tcBorders>
              <w:bottom w:val="single" w:sz="4" w:space="0" w:color="auto"/>
            </w:tcBorders>
            <w:shd w:val="clear" w:color="auto" w:fill="auto"/>
            <w:vAlign w:val="bottom"/>
          </w:tcPr>
          <w:p w14:paraId="5642AFC1" w14:textId="264B9BE6"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129</w:t>
            </w:r>
            <w:r w:rsidRPr="002D2F67">
              <w:rPr>
                <w:rFonts w:ascii="Arial" w:hAnsi="Arial" w:cs="Arial"/>
                <w:color w:val="000000"/>
                <w:sz w:val="20"/>
                <w:szCs w:val="20"/>
              </w:rPr>
              <w:t>,</w:t>
            </w:r>
            <w:r w:rsidR="00CD5714" w:rsidRPr="00CD5714">
              <w:rPr>
                <w:rFonts w:ascii="Arial" w:hAnsi="Arial" w:cs="Arial"/>
                <w:color w:val="000000"/>
                <w:sz w:val="20"/>
                <w:szCs w:val="20"/>
                <w:lang w:val="en-GB"/>
              </w:rPr>
              <w:t>457</w:t>
            </w:r>
            <w:r w:rsidRPr="002D2F67">
              <w:rPr>
                <w:rFonts w:ascii="Arial" w:hAnsi="Arial" w:cs="Arial"/>
                <w:color w:val="000000"/>
                <w:sz w:val="20"/>
                <w:szCs w:val="20"/>
              </w:rPr>
              <w:t>)</w:t>
            </w:r>
          </w:p>
        </w:tc>
        <w:tc>
          <w:tcPr>
            <w:tcW w:w="960" w:type="pct"/>
            <w:tcBorders>
              <w:bottom w:val="single" w:sz="4" w:space="0" w:color="auto"/>
            </w:tcBorders>
            <w:shd w:val="clear" w:color="auto" w:fill="auto"/>
            <w:vAlign w:val="bottom"/>
          </w:tcPr>
          <w:p w14:paraId="02A72917" w14:textId="673614E6"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12</w:t>
            </w:r>
            <w:r w:rsidRPr="002D2F67">
              <w:rPr>
                <w:rFonts w:ascii="Arial" w:hAnsi="Arial" w:cs="Arial"/>
                <w:color w:val="000000"/>
                <w:sz w:val="20"/>
                <w:szCs w:val="20"/>
              </w:rPr>
              <w:t>,</w:t>
            </w:r>
            <w:r w:rsidR="00CD5714" w:rsidRPr="00CD5714">
              <w:rPr>
                <w:rFonts w:ascii="Arial" w:hAnsi="Arial" w:cs="Arial"/>
                <w:color w:val="000000"/>
                <w:sz w:val="20"/>
                <w:szCs w:val="20"/>
                <w:lang w:val="en-GB"/>
              </w:rPr>
              <w:t>601</w:t>
            </w:r>
            <w:r w:rsidRPr="002D2F67">
              <w:rPr>
                <w:rFonts w:ascii="Arial" w:hAnsi="Arial" w:cs="Arial"/>
                <w:color w:val="000000"/>
                <w:sz w:val="20"/>
                <w:szCs w:val="20"/>
              </w:rPr>
              <w:t>)</w:t>
            </w:r>
          </w:p>
        </w:tc>
        <w:tc>
          <w:tcPr>
            <w:tcW w:w="961" w:type="pct"/>
            <w:tcBorders>
              <w:bottom w:val="single" w:sz="4" w:space="0" w:color="auto"/>
            </w:tcBorders>
            <w:shd w:val="clear" w:color="auto" w:fill="auto"/>
            <w:vAlign w:val="bottom"/>
          </w:tcPr>
          <w:p w14:paraId="0CD567B0" w14:textId="2C1FCC6D"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142</w:t>
            </w:r>
            <w:r w:rsidRPr="002D2F67">
              <w:rPr>
                <w:rFonts w:ascii="Arial" w:hAnsi="Arial" w:cs="Arial"/>
                <w:color w:val="000000"/>
                <w:sz w:val="20"/>
                <w:szCs w:val="20"/>
              </w:rPr>
              <w:t>,</w:t>
            </w:r>
            <w:r w:rsidR="00CD5714" w:rsidRPr="00CD5714">
              <w:rPr>
                <w:rFonts w:ascii="Arial" w:hAnsi="Arial" w:cs="Arial"/>
                <w:color w:val="000000"/>
                <w:sz w:val="20"/>
                <w:szCs w:val="20"/>
                <w:lang w:val="en-GB"/>
              </w:rPr>
              <w:t>058</w:t>
            </w:r>
            <w:r w:rsidRPr="002D2F67">
              <w:rPr>
                <w:rFonts w:ascii="Arial" w:hAnsi="Arial" w:cs="Arial"/>
                <w:color w:val="000000"/>
                <w:sz w:val="20"/>
                <w:szCs w:val="20"/>
              </w:rPr>
              <w:t>)</w:t>
            </w:r>
          </w:p>
        </w:tc>
      </w:tr>
      <w:tr w:rsidR="0004779D" w:rsidRPr="002D2F67" w14:paraId="26B54251" w14:textId="77777777" w:rsidTr="005611FE">
        <w:trPr>
          <w:trHeight w:val="252"/>
        </w:trPr>
        <w:tc>
          <w:tcPr>
            <w:tcW w:w="2120" w:type="pct"/>
            <w:shd w:val="clear" w:color="auto" w:fill="auto"/>
            <w:vAlign w:val="bottom"/>
          </w:tcPr>
          <w:p w14:paraId="484A1A2A" w14:textId="77777777" w:rsidR="0004779D" w:rsidRPr="002D2F67" w:rsidRDefault="0004779D" w:rsidP="005611FE">
            <w:pPr>
              <w:ind w:left="-89"/>
              <w:rPr>
                <w:rFonts w:ascii="Arial" w:hAnsi="Arial" w:cs="Arial"/>
                <w:color w:val="000000"/>
                <w:sz w:val="20"/>
                <w:szCs w:val="20"/>
              </w:rPr>
            </w:pPr>
          </w:p>
        </w:tc>
        <w:tc>
          <w:tcPr>
            <w:tcW w:w="959" w:type="pct"/>
            <w:tcBorders>
              <w:top w:val="single" w:sz="4" w:space="0" w:color="auto"/>
            </w:tcBorders>
            <w:shd w:val="clear" w:color="auto" w:fill="auto"/>
            <w:vAlign w:val="bottom"/>
          </w:tcPr>
          <w:p w14:paraId="0F5ABDA4" w14:textId="77777777" w:rsidR="0004779D" w:rsidRPr="002D2F67" w:rsidRDefault="0004779D" w:rsidP="005611FE">
            <w:pPr>
              <w:ind w:right="-72"/>
              <w:jc w:val="right"/>
              <w:rPr>
                <w:rFonts w:ascii="Arial" w:hAnsi="Arial" w:cs="Arial"/>
                <w:color w:val="000000"/>
                <w:sz w:val="20"/>
                <w:szCs w:val="20"/>
              </w:rPr>
            </w:pPr>
          </w:p>
        </w:tc>
        <w:tc>
          <w:tcPr>
            <w:tcW w:w="960" w:type="pct"/>
            <w:tcBorders>
              <w:top w:val="single" w:sz="4" w:space="0" w:color="auto"/>
            </w:tcBorders>
            <w:shd w:val="clear" w:color="auto" w:fill="auto"/>
            <w:vAlign w:val="bottom"/>
          </w:tcPr>
          <w:p w14:paraId="7FA016E7" w14:textId="77777777" w:rsidR="0004779D" w:rsidRPr="002D2F67" w:rsidRDefault="0004779D" w:rsidP="005611FE">
            <w:pPr>
              <w:ind w:right="-72"/>
              <w:jc w:val="right"/>
              <w:rPr>
                <w:rFonts w:ascii="Arial" w:hAnsi="Arial" w:cs="Arial"/>
                <w:color w:val="000000"/>
                <w:sz w:val="20"/>
                <w:szCs w:val="20"/>
              </w:rPr>
            </w:pPr>
          </w:p>
        </w:tc>
        <w:tc>
          <w:tcPr>
            <w:tcW w:w="961" w:type="pct"/>
            <w:tcBorders>
              <w:top w:val="single" w:sz="4" w:space="0" w:color="auto"/>
            </w:tcBorders>
            <w:shd w:val="clear" w:color="auto" w:fill="auto"/>
            <w:vAlign w:val="bottom"/>
          </w:tcPr>
          <w:p w14:paraId="06F8029B" w14:textId="2386A621" w:rsidR="0004779D" w:rsidRPr="002D2F67" w:rsidRDefault="0004779D" w:rsidP="005611FE">
            <w:pPr>
              <w:ind w:right="-72"/>
              <w:jc w:val="right"/>
              <w:rPr>
                <w:rFonts w:ascii="Arial" w:hAnsi="Arial" w:cs="Arial"/>
                <w:color w:val="000000"/>
                <w:sz w:val="20"/>
                <w:szCs w:val="20"/>
              </w:rPr>
            </w:pPr>
          </w:p>
        </w:tc>
      </w:tr>
      <w:tr w:rsidR="0004779D" w:rsidRPr="002D2F67" w14:paraId="5E12230B" w14:textId="77777777" w:rsidTr="005611FE">
        <w:trPr>
          <w:trHeight w:val="82"/>
        </w:trPr>
        <w:tc>
          <w:tcPr>
            <w:tcW w:w="2120" w:type="pct"/>
            <w:shd w:val="clear" w:color="auto" w:fill="auto"/>
            <w:vAlign w:val="bottom"/>
          </w:tcPr>
          <w:p w14:paraId="12BDD686" w14:textId="77777777" w:rsidR="0004779D" w:rsidRPr="002D2F67" w:rsidRDefault="0004779D" w:rsidP="005611FE">
            <w:pPr>
              <w:ind w:left="-89"/>
              <w:rPr>
                <w:rFonts w:ascii="Arial" w:hAnsi="Arial" w:cs="Arial"/>
                <w:color w:val="000000"/>
                <w:sz w:val="20"/>
                <w:szCs w:val="20"/>
              </w:rPr>
            </w:pPr>
            <w:r w:rsidRPr="002D2F67">
              <w:rPr>
                <w:rFonts w:ascii="Arial" w:hAnsi="Arial" w:cs="Arial"/>
                <w:color w:val="000000"/>
                <w:sz w:val="20"/>
                <w:szCs w:val="20"/>
              </w:rPr>
              <w:t>Net book value</w:t>
            </w:r>
          </w:p>
        </w:tc>
        <w:tc>
          <w:tcPr>
            <w:tcW w:w="959" w:type="pct"/>
            <w:tcBorders>
              <w:bottom w:val="single" w:sz="4" w:space="0" w:color="auto"/>
            </w:tcBorders>
            <w:shd w:val="clear" w:color="auto" w:fill="auto"/>
            <w:vAlign w:val="bottom"/>
          </w:tcPr>
          <w:p w14:paraId="00A3556D" w14:textId="20004CE6"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253</w:t>
            </w:r>
            <w:r w:rsidR="0004779D" w:rsidRPr="002D2F67">
              <w:rPr>
                <w:rFonts w:ascii="Arial" w:hAnsi="Arial" w:cs="Arial"/>
                <w:color w:val="000000"/>
                <w:sz w:val="20"/>
                <w:szCs w:val="20"/>
              </w:rPr>
              <w:t>,</w:t>
            </w:r>
            <w:r w:rsidRPr="00CD5714">
              <w:rPr>
                <w:rFonts w:ascii="Arial" w:hAnsi="Arial" w:cs="Arial"/>
                <w:color w:val="000000"/>
                <w:sz w:val="20"/>
                <w:szCs w:val="20"/>
                <w:lang w:val="en-GB"/>
              </w:rPr>
              <w:t>217</w:t>
            </w:r>
          </w:p>
        </w:tc>
        <w:tc>
          <w:tcPr>
            <w:tcW w:w="960" w:type="pct"/>
            <w:tcBorders>
              <w:bottom w:val="single" w:sz="4" w:space="0" w:color="auto"/>
            </w:tcBorders>
            <w:shd w:val="clear" w:color="auto" w:fill="auto"/>
            <w:vAlign w:val="bottom"/>
          </w:tcPr>
          <w:p w14:paraId="2CB34B47" w14:textId="6464CDAF"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12</w:t>
            </w:r>
            <w:r w:rsidR="0004779D" w:rsidRPr="002D2F67">
              <w:rPr>
                <w:rFonts w:ascii="Arial" w:hAnsi="Arial" w:cs="Arial"/>
                <w:color w:val="000000"/>
                <w:sz w:val="20"/>
                <w:szCs w:val="20"/>
              </w:rPr>
              <w:t>,</w:t>
            </w:r>
            <w:r w:rsidRPr="00CD5714">
              <w:rPr>
                <w:rFonts w:ascii="Arial" w:hAnsi="Arial" w:cs="Arial"/>
                <w:color w:val="000000"/>
                <w:sz w:val="20"/>
                <w:szCs w:val="20"/>
                <w:lang w:val="en-GB"/>
              </w:rPr>
              <w:t>302</w:t>
            </w:r>
          </w:p>
        </w:tc>
        <w:tc>
          <w:tcPr>
            <w:tcW w:w="961" w:type="pct"/>
            <w:tcBorders>
              <w:bottom w:val="single" w:sz="4" w:space="0" w:color="auto"/>
            </w:tcBorders>
            <w:shd w:val="clear" w:color="auto" w:fill="auto"/>
            <w:vAlign w:val="bottom"/>
          </w:tcPr>
          <w:p w14:paraId="26CE1439" w14:textId="061E96E6"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265</w:t>
            </w:r>
            <w:r w:rsidR="0004779D" w:rsidRPr="002D2F67">
              <w:rPr>
                <w:rFonts w:ascii="Arial" w:hAnsi="Arial" w:cs="Arial"/>
                <w:color w:val="000000"/>
                <w:sz w:val="20"/>
                <w:szCs w:val="20"/>
              </w:rPr>
              <w:t>,</w:t>
            </w:r>
            <w:r w:rsidRPr="00CD5714">
              <w:rPr>
                <w:rFonts w:ascii="Arial" w:hAnsi="Arial" w:cs="Arial"/>
                <w:color w:val="000000"/>
                <w:sz w:val="20"/>
                <w:szCs w:val="20"/>
                <w:lang w:val="en-GB"/>
              </w:rPr>
              <w:t>519</w:t>
            </w:r>
          </w:p>
        </w:tc>
      </w:tr>
      <w:bookmarkEnd w:id="7"/>
      <w:tr w:rsidR="0004779D" w:rsidRPr="002D2F67" w14:paraId="767798FD" w14:textId="77777777" w:rsidTr="005611FE">
        <w:trPr>
          <w:trHeight w:val="252"/>
        </w:trPr>
        <w:tc>
          <w:tcPr>
            <w:tcW w:w="2120" w:type="pct"/>
            <w:shd w:val="clear" w:color="auto" w:fill="auto"/>
            <w:vAlign w:val="bottom"/>
          </w:tcPr>
          <w:p w14:paraId="78D74751" w14:textId="77777777" w:rsidR="0004779D" w:rsidRPr="002D2F67" w:rsidRDefault="0004779D" w:rsidP="005611FE">
            <w:pPr>
              <w:rPr>
                <w:rFonts w:ascii="Arial" w:hAnsi="Arial" w:cs="Arial"/>
                <w:color w:val="000000"/>
                <w:sz w:val="20"/>
                <w:szCs w:val="20"/>
              </w:rPr>
            </w:pPr>
          </w:p>
        </w:tc>
        <w:tc>
          <w:tcPr>
            <w:tcW w:w="959" w:type="pct"/>
            <w:tcBorders>
              <w:top w:val="single" w:sz="4" w:space="0" w:color="auto"/>
            </w:tcBorders>
            <w:shd w:val="clear" w:color="auto" w:fill="auto"/>
            <w:vAlign w:val="bottom"/>
          </w:tcPr>
          <w:p w14:paraId="39E5890D" w14:textId="77777777" w:rsidR="0004779D" w:rsidRPr="002D2F67" w:rsidRDefault="0004779D" w:rsidP="005611FE">
            <w:pPr>
              <w:ind w:right="-72"/>
              <w:jc w:val="right"/>
              <w:rPr>
                <w:rFonts w:ascii="Arial" w:hAnsi="Arial" w:cs="Arial"/>
                <w:color w:val="000000"/>
                <w:sz w:val="20"/>
                <w:szCs w:val="20"/>
              </w:rPr>
            </w:pPr>
          </w:p>
        </w:tc>
        <w:tc>
          <w:tcPr>
            <w:tcW w:w="960" w:type="pct"/>
            <w:tcBorders>
              <w:top w:val="single" w:sz="4" w:space="0" w:color="auto"/>
            </w:tcBorders>
            <w:shd w:val="clear" w:color="auto" w:fill="auto"/>
            <w:vAlign w:val="bottom"/>
          </w:tcPr>
          <w:p w14:paraId="332A80AA" w14:textId="77777777" w:rsidR="0004779D" w:rsidRPr="002D2F67" w:rsidRDefault="0004779D" w:rsidP="005611FE">
            <w:pPr>
              <w:ind w:right="-72"/>
              <w:jc w:val="right"/>
              <w:rPr>
                <w:rFonts w:ascii="Arial" w:hAnsi="Arial" w:cs="Arial"/>
                <w:color w:val="000000"/>
                <w:sz w:val="20"/>
                <w:szCs w:val="20"/>
              </w:rPr>
            </w:pPr>
          </w:p>
        </w:tc>
        <w:tc>
          <w:tcPr>
            <w:tcW w:w="961" w:type="pct"/>
            <w:tcBorders>
              <w:top w:val="single" w:sz="4" w:space="0" w:color="auto"/>
            </w:tcBorders>
            <w:shd w:val="clear" w:color="auto" w:fill="auto"/>
            <w:vAlign w:val="bottom"/>
          </w:tcPr>
          <w:p w14:paraId="54B0AA5A" w14:textId="710DA2C6" w:rsidR="0004779D" w:rsidRPr="002D2F67" w:rsidRDefault="0004779D" w:rsidP="005611FE">
            <w:pPr>
              <w:ind w:right="-72"/>
              <w:jc w:val="right"/>
              <w:rPr>
                <w:rFonts w:ascii="Arial" w:hAnsi="Arial" w:cs="Arial"/>
                <w:color w:val="000000"/>
                <w:sz w:val="20"/>
                <w:szCs w:val="20"/>
              </w:rPr>
            </w:pPr>
          </w:p>
        </w:tc>
      </w:tr>
      <w:tr w:rsidR="0004779D" w:rsidRPr="002D2F67" w14:paraId="11164AB5" w14:textId="77777777" w:rsidTr="005611FE">
        <w:trPr>
          <w:trHeight w:val="252"/>
        </w:trPr>
        <w:tc>
          <w:tcPr>
            <w:tcW w:w="2120" w:type="pct"/>
            <w:shd w:val="clear" w:color="auto" w:fill="auto"/>
            <w:vAlign w:val="bottom"/>
          </w:tcPr>
          <w:p w14:paraId="65352A34" w14:textId="0A7AE780" w:rsidR="0004779D" w:rsidRPr="002D2F67" w:rsidRDefault="0004779D" w:rsidP="005611FE">
            <w:pPr>
              <w:ind w:left="-89"/>
              <w:rPr>
                <w:rFonts w:ascii="Arial" w:hAnsi="Arial" w:cs="Arial"/>
                <w:color w:val="000000"/>
                <w:sz w:val="20"/>
                <w:szCs w:val="20"/>
              </w:rPr>
            </w:pPr>
            <w:r w:rsidRPr="002D2F67">
              <w:rPr>
                <w:rFonts w:ascii="Arial" w:hAnsi="Arial" w:cs="Arial"/>
                <w:b/>
                <w:bCs/>
                <w:color w:val="000000"/>
                <w:sz w:val="20"/>
                <w:szCs w:val="20"/>
              </w:rPr>
              <w:t xml:space="preserve">For the year ended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 </w:t>
            </w:r>
            <w:r w:rsidR="00CD5714" w:rsidRPr="00CD5714">
              <w:rPr>
                <w:rFonts w:ascii="Arial" w:hAnsi="Arial" w:cs="Arial"/>
                <w:b/>
                <w:bCs/>
                <w:color w:val="000000"/>
                <w:sz w:val="20"/>
                <w:szCs w:val="20"/>
                <w:lang w:val="en-GB"/>
              </w:rPr>
              <w:t>2023</w:t>
            </w:r>
          </w:p>
        </w:tc>
        <w:tc>
          <w:tcPr>
            <w:tcW w:w="959" w:type="pct"/>
            <w:shd w:val="clear" w:color="auto" w:fill="auto"/>
            <w:vAlign w:val="bottom"/>
          </w:tcPr>
          <w:p w14:paraId="45C5BF2C" w14:textId="77777777" w:rsidR="0004779D" w:rsidRPr="002D2F67" w:rsidRDefault="0004779D" w:rsidP="005611FE">
            <w:pPr>
              <w:ind w:right="-72"/>
              <w:jc w:val="right"/>
              <w:rPr>
                <w:rFonts w:ascii="Arial" w:hAnsi="Arial" w:cs="Arial"/>
                <w:color w:val="000000"/>
                <w:sz w:val="20"/>
                <w:szCs w:val="20"/>
              </w:rPr>
            </w:pPr>
          </w:p>
        </w:tc>
        <w:tc>
          <w:tcPr>
            <w:tcW w:w="960" w:type="pct"/>
            <w:shd w:val="clear" w:color="auto" w:fill="auto"/>
            <w:vAlign w:val="bottom"/>
          </w:tcPr>
          <w:p w14:paraId="29FEC06D" w14:textId="77777777" w:rsidR="0004779D" w:rsidRPr="002D2F67" w:rsidRDefault="0004779D" w:rsidP="005611FE">
            <w:pPr>
              <w:ind w:right="-72"/>
              <w:jc w:val="right"/>
              <w:rPr>
                <w:rFonts w:ascii="Arial" w:hAnsi="Arial" w:cs="Arial"/>
                <w:color w:val="000000"/>
                <w:sz w:val="20"/>
                <w:szCs w:val="20"/>
              </w:rPr>
            </w:pPr>
          </w:p>
        </w:tc>
        <w:tc>
          <w:tcPr>
            <w:tcW w:w="961" w:type="pct"/>
            <w:shd w:val="clear" w:color="auto" w:fill="auto"/>
            <w:vAlign w:val="bottom"/>
          </w:tcPr>
          <w:p w14:paraId="2B589DE9" w14:textId="209C5F3F" w:rsidR="0004779D" w:rsidRPr="002D2F67" w:rsidRDefault="0004779D" w:rsidP="005611FE">
            <w:pPr>
              <w:ind w:right="-72"/>
              <w:jc w:val="right"/>
              <w:rPr>
                <w:rFonts w:ascii="Arial" w:hAnsi="Arial" w:cs="Arial"/>
                <w:color w:val="000000"/>
                <w:sz w:val="20"/>
                <w:szCs w:val="20"/>
              </w:rPr>
            </w:pPr>
          </w:p>
        </w:tc>
      </w:tr>
      <w:tr w:rsidR="0004779D" w:rsidRPr="002D2F67" w14:paraId="3314E71E" w14:textId="77777777" w:rsidTr="005611FE">
        <w:trPr>
          <w:trHeight w:val="252"/>
        </w:trPr>
        <w:tc>
          <w:tcPr>
            <w:tcW w:w="2120" w:type="pct"/>
            <w:shd w:val="clear" w:color="auto" w:fill="auto"/>
            <w:vAlign w:val="bottom"/>
          </w:tcPr>
          <w:p w14:paraId="1F3CCDF5" w14:textId="4024AC1B" w:rsidR="0004779D" w:rsidRPr="002D2F67" w:rsidRDefault="0004779D" w:rsidP="005611FE">
            <w:pPr>
              <w:ind w:left="-89"/>
              <w:rPr>
                <w:rFonts w:ascii="Arial" w:hAnsi="Arial" w:cs="Arial"/>
                <w:color w:val="000000"/>
                <w:sz w:val="20"/>
                <w:szCs w:val="20"/>
              </w:rPr>
            </w:pPr>
            <w:r w:rsidRPr="002D2F67">
              <w:rPr>
                <w:rFonts w:ascii="Arial" w:hAnsi="Arial" w:cs="Arial"/>
                <w:color w:val="000000"/>
                <w:sz w:val="20"/>
                <w:szCs w:val="20"/>
              </w:rPr>
              <w:t>Opening net book value</w:t>
            </w:r>
          </w:p>
        </w:tc>
        <w:tc>
          <w:tcPr>
            <w:tcW w:w="959" w:type="pct"/>
            <w:shd w:val="clear" w:color="auto" w:fill="auto"/>
          </w:tcPr>
          <w:p w14:paraId="32C7BBC2" w14:textId="0B91E599"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253</w:t>
            </w:r>
            <w:r w:rsidR="0004779D" w:rsidRPr="002D2F67">
              <w:rPr>
                <w:rFonts w:ascii="Arial" w:hAnsi="Arial" w:cs="Arial"/>
                <w:color w:val="000000"/>
                <w:sz w:val="20"/>
                <w:szCs w:val="20"/>
              </w:rPr>
              <w:t>,</w:t>
            </w:r>
            <w:r w:rsidRPr="00CD5714">
              <w:rPr>
                <w:rFonts w:ascii="Arial" w:hAnsi="Arial" w:cs="Arial"/>
                <w:color w:val="000000"/>
                <w:sz w:val="20"/>
                <w:szCs w:val="20"/>
                <w:lang w:val="en-GB"/>
              </w:rPr>
              <w:t>217</w:t>
            </w:r>
          </w:p>
        </w:tc>
        <w:tc>
          <w:tcPr>
            <w:tcW w:w="960" w:type="pct"/>
            <w:shd w:val="clear" w:color="auto" w:fill="auto"/>
            <w:vAlign w:val="bottom"/>
          </w:tcPr>
          <w:p w14:paraId="59DAC58D" w14:textId="2BFE2592"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12</w:t>
            </w:r>
            <w:r w:rsidR="0004779D" w:rsidRPr="002D2F67">
              <w:rPr>
                <w:rFonts w:ascii="Arial" w:hAnsi="Arial" w:cs="Arial"/>
                <w:color w:val="000000"/>
                <w:sz w:val="20"/>
                <w:szCs w:val="20"/>
              </w:rPr>
              <w:t>,</w:t>
            </w:r>
            <w:r w:rsidRPr="00CD5714">
              <w:rPr>
                <w:rFonts w:ascii="Arial" w:hAnsi="Arial" w:cs="Arial"/>
                <w:color w:val="000000"/>
                <w:sz w:val="20"/>
                <w:szCs w:val="20"/>
                <w:lang w:val="en-GB"/>
              </w:rPr>
              <w:t>302</w:t>
            </w:r>
          </w:p>
        </w:tc>
        <w:tc>
          <w:tcPr>
            <w:tcW w:w="961" w:type="pct"/>
            <w:shd w:val="clear" w:color="auto" w:fill="auto"/>
          </w:tcPr>
          <w:p w14:paraId="1365EEA7" w14:textId="086B2660"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265</w:t>
            </w:r>
            <w:r w:rsidR="0004779D" w:rsidRPr="002D2F67">
              <w:rPr>
                <w:rFonts w:ascii="Arial" w:hAnsi="Arial" w:cs="Arial"/>
                <w:color w:val="000000"/>
                <w:sz w:val="20"/>
                <w:szCs w:val="20"/>
              </w:rPr>
              <w:t>,</w:t>
            </w:r>
            <w:r w:rsidRPr="00CD5714">
              <w:rPr>
                <w:rFonts w:ascii="Arial" w:hAnsi="Arial" w:cs="Arial"/>
                <w:color w:val="000000"/>
                <w:sz w:val="20"/>
                <w:szCs w:val="20"/>
                <w:lang w:val="en-GB"/>
              </w:rPr>
              <w:t>519</w:t>
            </w:r>
          </w:p>
        </w:tc>
      </w:tr>
      <w:tr w:rsidR="0004779D" w:rsidRPr="002D2F67" w14:paraId="22CC02B9" w14:textId="77777777" w:rsidTr="005611FE">
        <w:trPr>
          <w:trHeight w:val="252"/>
        </w:trPr>
        <w:tc>
          <w:tcPr>
            <w:tcW w:w="2120" w:type="pct"/>
            <w:shd w:val="clear" w:color="auto" w:fill="auto"/>
            <w:vAlign w:val="bottom"/>
          </w:tcPr>
          <w:p w14:paraId="63B3AE2E" w14:textId="594D9CE0" w:rsidR="0004779D" w:rsidRPr="002D2F67" w:rsidRDefault="0004779D" w:rsidP="005611FE">
            <w:pPr>
              <w:ind w:left="-89"/>
              <w:rPr>
                <w:rFonts w:ascii="Arial" w:hAnsi="Arial" w:cs="Arial"/>
                <w:color w:val="000000"/>
                <w:sz w:val="20"/>
                <w:szCs w:val="20"/>
              </w:rPr>
            </w:pPr>
            <w:r w:rsidRPr="002D2F67">
              <w:rPr>
                <w:rFonts w:ascii="Arial" w:hAnsi="Arial" w:cs="Arial"/>
                <w:color w:val="000000"/>
                <w:sz w:val="20"/>
                <w:szCs w:val="20"/>
              </w:rPr>
              <w:t>Additions</w:t>
            </w:r>
          </w:p>
        </w:tc>
        <w:tc>
          <w:tcPr>
            <w:tcW w:w="959" w:type="pct"/>
            <w:shd w:val="clear" w:color="auto" w:fill="auto"/>
          </w:tcPr>
          <w:p w14:paraId="3C5A7991" w14:textId="1151215F"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cs/>
              </w:rPr>
              <w:t>-</w:t>
            </w:r>
          </w:p>
        </w:tc>
        <w:tc>
          <w:tcPr>
            <w:tcW w:w="960" w:type="pct"/>
            <w:shd w:val="clear" w:color="auto" w:fill="auto"/>
            <w:vAlign w:val="bottom"/>
          </w:tcPr>
          <w:p w14:paraId="3DC5E963" w14:textId="0C162ED8"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w:t>
            </w:r>
            <w:r w:rsidR="0004779D" w:rsidRPr="002D2F67">
              <w:rPr>
                <w:rFonts w:ascii="Arial" w:hAnsi="Arial" w:cs="Arial"/>
                <w:color w:val="000000"/>
                <w:sz w:val="20"/>
                <w:szCs w:val="20"/>
              </w:rPr>
              <w:t>,</w:t>
            </w:r>
            <w:r w:rsidRPr="00CD5714">
              <w:rPr>
                <w:rFonts w:ascii="Arial" w:hAnsi="Arial" w:cs="Arial"/>
                <w:color w:val="000000"/>
                <w:sz w:val="20"/>
                <w:szCs w:val="20"/>
                <w:lang w:val="en-GB"/>
              </w:rPr>
              <w:t>935</w:t>
            </w:r>
          </w:p>
        </w:tc>
        <w:tc>
          <w:tcPr>
            <w:tcW w:w="961" w:type="pct"/>
            <w:shd w:val="clear" w:color="auto" w:fill="auto"/>
          </w:tcPr>
          <w:p w14:paraId="4604CDED" w14:textId="59204FF9"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w:t>
            </w:r>
            <w:r w:rsidR="0004779D" w:rsidRPr="002D2F67">
              <w:rPr>
                <w:rFonts w:ascii="Arial" w:hAnsi="Arial" w:cs="Arial"/>
                <w:color w:val="000000"/>
                <w:sz w:val="20"/>
                <w:szCs w:val="20"/>
              </w:rPr>
              <w:t>,</w:t>
            </w:r>
            <w:r w:rsidRPr="00CD5714">
              <w:rPr>
                <w:rFonts w:ascii="Arial" w:hAnsi="Arial" w:cs="Arial"/>
                <w:color w:val="000000"/>
                <w:sz w:val="20"/>
                <w:szCs w:val="20"/>
                <w:lang w:val="en-GB"/>
              </w:rPr>
              <w:t>935</w:t>
            </w:r>
          </w:p>
        </w:tc>
      </w:tr>
      <w:tr w:rsidR="0004779D" w:rsidRPr="002D2F67" w14:paraId="68EDC227" w14:textId="77777777" w:rsidTr="005611FE">
        <w:trPr>
          <w:trHeight w:val="252"/>
        </w:trPr>
        <w:tc>
          <w:tcPr>
            <w:tcW w:w="2120" w:type="pct"/>
            <w:shd w:val="clear" w:color="auto" w:fill="auto"/>
            <w:vAlign w:val="bottom"/>
          </w:tcPr>
          <w:p w14:paraId="07912FAE" w14:textId="2CF52A65" w:rsidR="0004779D" w:rsidRPr="002D2F67" w:rsidRDefault="0004779D" w:rsidP="005611FE">
            <w:pPr>
              <w:ind w:left="-89"/>
              <w:rPr>
                <w:rFonts w:ascii="Arial" w:hAnsi="Arial" w:cs="Arial"/>
                <w:color w:val="000000"/>
                <w:sz w:val="20"/>
                <w:szCs w:val="20"/>
              </w:rPr>
            </w:pPr>
            <w:r w:rsidRPr="002D2F67">
              <w:rPr>
                <w:rFonts w:ascii="Arial" w:hAnsi="Arial" w:cs="Arial"/>
                <w:color w:val="000000"/>
                <w:sz w:val="20"/>
                <w:szCs w:val="20"/>
              </w:rPr>
              <w:t xml:space="preserve">Amortisation </w:t>
            </w:r>
          </w:p>
        </w:tc>
        <w:tc>
          <w:tcPr>
            <w:tcW w:w="959" w:type="pct"/>
            <w:tcBorders>
              <w:bottom w:val="single" w:sz="4" w:space="0" w:color="auto"/>
            </w:tcBorders>
            <w:shd w:val="clear" w:color="auto" w:fill="auto"/>
          </w:tcPr>
          <w:p w14:paraId="783CBEF9" w14:textId="38ADEB33"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cs/>
              </w:rPr>
              <w:t>(</w:t>
            </w:r>
            <w:r w:rsidR="00CD5714" w:rsidRPr="00CD5714">
              <w:rPr>
                <w:rFonts w:ascii="Arial" w:hAnsi="Arial" w:cs="Arial"/>
                <w:color w:val="000000"/>
                <w:sz w:val="20"/>
                <w:szCs w:val="20"/>
                <w:lang w:val="en-GB"/>
              </w:rPr>
              <w:t>14</w:t>
            </w:r>
            <w:r w:rsidRPr="002D2F67">
              <w:rPr>
                <w:rFonts w:ascii="Arial" w:hAnsi="Arial" w:cs="Arial"/>
                <w:color w:val="000000"/>
                <w:sz w:val="20"/>
                <w:szCs w:val="20"/>
              </w:rPr>
              <w:t>,</w:t>
            </w:r>
            <w:r w:rsidR="00CD5714" w:rsidRPr="00CD5714">
              <w:rPr>
                <w:rFonts w:ascii="Arial" w:hAnsi="Arial" w:cs="Arial"/>
                <w:color w:val="000000"/>
                <w:sz w:val="20"/>
                <w:szCs w:val="20"/>
                <w:lang w:val="en-GB"/>
              </w:rPr>
              <w:t>649</w:t>
            </w:r>
            <w:r w:rsidRPr="002D2F67">
              <w:rPr>
                <w:rFonts w:ascii="Arial" w:hAnsi="Arial" w:cs="Arial"/>
                <w:color w:val="000000"/>
                <w:sz w:val="20"/>
                <w:szCs w:val="20"/>
              </w:rPr>
              <w:t>)</w:t>
            </w:r>
          </w:p>
        </w:tc>
        <w:tc>
          <w:tcPr>
            <w:tcW w:w="960" w:type="pct"/>
            <w:tcBorders>
              <w:bottom w:val="single" w:sz="4" w:space="0" w:color="auto"/>
            </w:tcBorders>
            <w:shd w:val="clear" w:color="auto" w:fill="auto"/>
            <w:vAlign w:val="bottom"/>
          </w:tcPr>
          <w:p w14:paraId="2F01B40F" w14:textId="35C0AE2E"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3</w:t>
            </w:r>
            <w:r w:rsidRPr="002D2F67">
              <w:rPr>
                <w:rFonts w:ascii="Arial" w:hAnsi="Arial" w:cs="Arial"/>
                <w:color w:val="000000"/>
                <w:sz w:val="20"/>
                <w:szCs w:val="20"/>
              </w:rPr>
              <w:t>,</w:t>
            </w:r>
            <w:r w:rsidR="00CD5714" w:rsidRPr="00CD5714">
              <w:rPr>
                <w:rFonts w:ascii="Arial" w:hAnsi="Arial" w:cs="Arial"/>
                <w:color w:val="000000"/>
                <w:sz w:val="20"/>
                <w:szCs w:val="20"/>
                <w:lang w:val="en-GB"/>
              </w:rPr>
              <w:t>209</w:t>
            </w:r>
            <w:r w:rsidRPr="002D2F67">
              <w:rPr>
                <w:rFonts w:ascii="Arial" w:hAnsi="Arial" w:cs="Arial"/>
                <w:color w:val="000000"/>
                <w:sz w:val="20"/>
                <w:szCs w:val="20"/>
              </w:rPr>
              <w:t>)</w:t>
            </w:r>
          </w:p>
        </w:tc>
        <w:tc>
          <w:tcPr>
            <w:tcW w:w="961" w:type="pct"/>
            <w:tcBorders>
              <w:bottom w:val="single" w:sz="4" w:space="0" w:color="auto"/>
            </w:tcBorders>
            <w:shd w:val="clear" w:color="auto" w:fill="auto"/>
          </w:tcPr>
          <w:p w14:paraId="191EBE88" w14:textId="020776D1"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17</w:t>
            </w:r>
            <w:r w:rsidRPr="002D2F67">
              <w:rPr>
                <w:rFonts w:ascii="Arial" w:hAnsi="Arial" w:cs="Arial"/>
                <w:color w:val="000000"/>
                <w:sz w:val="20"/>
                <w:szCs w:val="20"/>
              </w:rPr>
              <w:t>,</w:t>
            </w:r>
            <w:r w:rsidR="00CD5714" w:rsidRPr="00CD5714">
              <w:rPr>
                <w:rFonts w:ascii="Arial" w:hAnsi="Arial" w:cs="Arial"/>
                <w:color w:val="000000"/>
                <w:sz w:val="20"/>
                <w:szCs w:val="20"/>
                <w:lang w:val="en-GB"/>
              </w:rPr>
              <w:t>858</w:t>
            </w:r>
            <w:r w:rsidRPr="002D2F67">
              <w:rPr>
                <w:rFonts w:ascii="Arial" w:hAnsi="Arial" w:cs="Arial"/>
                <w:color w:val="000000"/>
                <w:sz w:val="20"/>
                <w:szCs w:val="20"/>
              </w:rPr>
              <w:t>)</w:t>
            </w:r>
          </w:p>
        </w:tc>
      </w:tr>
      <w:tr w:rsidR="0004779D" w:rsidRPr="002D2F67" w14:paraId="2106A5CB" w14:textId="77777777" w:rsidTr="005611FE">
        <w:trPr>
          <w:trHeight w:val="252"/>
        </w:trPr>
        <w:tc>
          <w:tcPr>
            <w:tcW w:w="2120" w:type="pct"/>
            <w:shd w:val="clear" w:color="auto" w:fill="auto"/>
            <w:vAlign w:val="bottom"/>
          </w:tcPr>
          <w:p w14:paraId="043E4D5B" w14:textId="77777777" w:rsidR="0004779D" w:rsidRPr="002D2F67" w:rsidRDefault="0004779D" w:rsidP="005611FE">
            <w:pPr>
              <w:ind w:left="-89"/>
              <w:rPr>
                <w:rFonts w:ascii="Arial" w:hAnsi="Arial" w:cs="Arial"/>
                <w:color w:val="000000"/>
                <w:sz w:val="20"/>
                <w:szCs w:val="20"/>
              </w:rPr>
            </w:pPr>
          </w:p>
        </w:tc>
        <w:tc>
          <w:tcPr>
            <w:tcW w:w="959" w:type="pct"/>
            <w:tcBorders>
              <w:top w:val="single" w:sz="4" w:space="0" w:color="auto"/>
            </w:tcBorders>
            <w:shd w:val="clear" w:color="auto" w:fill="auto"/>
            <w:vAlign w:val="bottom"/>
          </w:tcPr>
          <w:p w14:paraId="048659E4" w14:textId="77777777" w:rsidR="0004779D" w:rsidRPr="002D2F67" w:rsidRDefault="0004779D" w:rsidP="005611FE">
            <w:pPr>
              <w:ind w:right="-72"/>
              <w:jc w:val="right"/>
              <w:rPr>
                <w:rFonts w:ascii="Arial" w:hAnsi="Arial" w:cs="Arial"/>
                <w:color w:val="000000"/>
                <w:sz w:val="20"/>
                <w:szCs w:val="20"/>
              </w:rPr>
            </w:pPr>
          </w:p>
        </w:tc>
        <w:tc>
          <w:tcPr>
            <w:tcW w:w="960" w:type="pct"/>
            <w:tcBorders>
              <w:top w:val="single" w:sz="4" w:space="0" w:color="auto"/>
            </w:tcBorders>
            <w:shd w:val="clear" w:color="auto" w:fill="auto"/>
            <w:vAlign w:val="bottom"/>
          </w:tcPr>
          <w:p w14:paraId="0A9F5F31" w14:textId="77777777" w:rsidR="0004779D" w:rsidRPr="002D2F67" w:rsidRDefault="0004779D" w:rsidP="005611FE">
            <w:pPr>
              <w:ind w:right="-72"/>
              <w:jc w:val="right"/>
              <w:rPr>
                <w:rFonts w:ascii="Arial" w:hAnsi="Arial" w:cs="Arial"/>
                <w:color w:val="000000"/>
                <w:sz w:val="20"/>
                <w:szCs w:val="20"/>
              </w:rPr>
            </w:pPr>
          </w:p>
        </w:tc>
        <w:tc>
          <w:tcPr>
            <w:tcW w:w="961" w:type="pct"/>
            <w:tcBorders>
              <w:top w:val="single" w:sz="4" w:space="0" w:color="auto"/>
            </w:tcBorders>
            <w:shd w:val="clear" w:color="auto" w:fill="auto"/>
            <w:vAlign w:val="bottom"/>
          </w:tcPr>
          <w:p w14:paraId="639E45DD" w14:textId="1CF553DF" w:rsidR="0004779D" w:rsidRPr="002D2F67" w:rsidRDefault="0004779D" w:rsidP="005611FE">
            <w:pPr>
              <w:ind w:right="-72"/>
              <w:jc w:val="right"/>
              <w:rPr>
                <w:rFonts w:ascii="Arial" w:hAnsi="Arial" w:cs="Arial"/>
                <w:color w:val="000000"/>
                <w:sz w:val="20"/>
                <w:szCs w:val="20"/>
              </w:rPr>
            </w:pPr>
          </w:p>
        </w:tc>
      </w:tr>
      <w:tr w:rsidR="0004779D" w:rsidRPr="002D2F67" w14:paraId="385A7839" w14:textId="77777777" w:rsidTr="005611FE">
        <w:trPr>
          <w:trHeight w:val="252"/>
        </w:trPr>
        <w:tc>
          <w:tcPr>
            <w:tcW w:w="2120" w:type="pct"/>
            <w:shd w:val="clear" w:color="auto" w:fill="auto"/>
            <w:vAlign w:val="bottom"/>
          </w:tcPr>
          <w:p w14:paraId="171311E0" w14:textId="77777777" w:rsidR="0004779D" w:rsidRPr="002D2F67" w:rsidRDefault="0004779D" w:rsidP="005611FE">
            <w:pPr>
              <w:ind w:left="-89"/>
              <w:rPr>
                <w:rFonts w:ascii="Arial" w:hAnsi="Arial" w:cs="Arial"/>
                <w:color w:val="000000"/>
                <w:sz w:val="20"/>
                <w:szCs w:val="20"/>
              </w:rPr>
            </w:pPr>
            <w:r w:rsidRPr="002D2F67">
              <w:rPr>
                <w:rFonts w:ascii="Arial" w:hAnsi="Arial" w:cs="Arial"/>
                <w:color w:val="000000"/>
                <w:sz w:val="20"/>
                <w:szCs w:val="20"/>
              </w:rPr>
              <w:t>Closing net book value</w:t>
            </w:r>
          </w:p>
        </w:tc>
        <w:tc>
          <w:tcPr>
            <w:tcW w:w="959" w:type="pct"/>
            <w:tcBorders>
              <w:bottom w:val="single" w:sz="4" w:space="0" w:color="auto"/>
            </w:tcBorders>
            <w:shd w:val="clear" w:color="auto" w:fill="auto"/>
            <w:vAlign w:val="bottom"/>
          </w:tcPr>
          <w:p w14:paraId="0BE8406C" w14:textId="02906D27" w:rsidR="0004779D" w:rsidRPr="002D2F67" w:rsidRDefault="00CD5714" w:rsidP="005611FE">
            <w:pPr>
              <w:ind w:right="-72"/>
              <w:jc w:val="right"/>
              <w:rPr>
                <w:rFonts w:ascii="Arial" w:hAnsi="Arial" w:cs="Arial"/>
                <w:color w:val="000000"/>
                <w:sz w:val="20"/>
                <w:szCs w:val="22"/>
              </w:rPr>
            </w:pPr>
            <w:r w:rsidRPr="00CD5714">
              <w:rPr>
                <w:rFonts w:ascii="Arial" w:hAnsi="Arial" w:cs="Arial"/>
                <w:color w:val="000000"/>
                <w:sz w:val="20"/>
                <w:szCs w:val="22"/>
                <w:lang w:val="en-GB"/>
              </w:rPr>
              <w:t>238</w:t>
            </w:r>
            <w:r w:rsidR="0004779D" w:rsidRPr="002D2F67">
              <w:rPr>
                <w:rFonts w:ascii="Arial" w:hAnsi="Arial" w:cs="Arial"/>
                <w:color w:val="000000"/>
                <w:sz w:val="20"/>
                <w:szCs w:val="22"/>
              </w:rPr>
              <w:t>,</w:t>
            </w:r>
            <w:r w:rsidRPr="00CD5714">
              <w:rPr>
                <w:rFonts w:ascii="Arial" w:hAnsi="Arial" w:cs="Arial"/>
                <w:color w:val="000000"/>
                <w:sz w:val="20"/>
                <w:szCs w:val="22"/>
                <w:lang w:val="en-GB"/>
              </w:rPr>
              <w:t>568</w:t>
            </w:r>
          </w:p>
        </w:tc>
        <w:tc>
          <w:tcPr>
            <w:tcW w:w="960" w:type="pct"/>
            <w:tcBorders>
              <w:bottom w:val="single" w:sz="4" w:space="0" w:color="auto"/>
            </w:tcBorders>
            <w:shd w:val="clear" w:color="auto" w:fill="auto"/>
            <w:vAlign w:val="bottom"/>
          </w:tcPr>
          <w:p w14:paraId="68F1E450" w14:textId="28B8DBBD" w:rsidR="0004779D" w:rsidRPr="002D2F67" w:rsidRDefault="00CD5714" w:rsidP="005611FE">
            <w:pPr>
              <w:ind w:right="-72"/>
              <w:jc w:val="right"/>
              <w:rPr>
                <w:rFonts w:ascii="Arial" w:hAnsi="Arial" w:cs="Arial"/>
                <w:color w:val="000000"/>
                <w:sz w:val="20"/>
                <w:szCs w:val="22"/>
              </w:rPr>
            </w:pPr>
            <w:r w:rsidRPr="00CD5714">
              <w:rPr>
                <w:rFonts w:ascii="Arial" w:hAnsi="Arial" w:cs="Arial"/>
                <w:color w:val="000000"/>
                <w:sz w:val="20"/>
                <w:szCs w:val="22"/>
                <w:lang w:val="en-GB"/>
              </w:rPr>
              <w:t>12</w:t>
            </w:r>
            <w:r w:rsidR="0004779D" w:rsidRPr="002D2F67">
              <w:rPr>
                <w:rFonts w:ascii="Arial" w:hAnsi="Arial" w:cs="Arial"/>
                <w:color w:val="000000"/>
                <w:sz w:val="20"/>
                <w:szCs w:val="22"/>
              </w:rPr>
              <w:t>,</w:t>
            </w:r>
            <w:r w:rsidRPr="00CD5714">
              <w:rPr>
                <w:rFonts w:ascii="Arial" w:hAnsi="Arial" w:cs="Arial"/>
                <w:color w:val="000000"/>
                <w:sz w:val="20"/>
                <w:szCs w:val="22"/>
                <w:lang w:val="en-GB"/>
              </w:rPr>
              <w:t>028</w:t>
            </w:r>
          </w:p>
        </w:tc>
        <w:tc>
          <w:tcPr>
            <w:tcW w:w="961" w:type="pct"/>
            <w:tcBorders>
              <w:bottom w:val="single" w:sz="4" w:space="0" w:color="auto"/>
            </w:tcBorders>
            <w:shd w:val="clear" w:color="auto" w:fill="auto"/>
            <w:vAlign w:val="bottom"/>
          </w:tcPr>
          <w:p w14:paraId="48E7F57C" w14:textId="22A5F76A" w:rsidR="0004779D" w:rsidRPr="002D2F67" w:rsidRDefault="00CD5714" w:rsidP="005611FE">
            <w:pPr>
              <w:ind w:right="-72"/>
              <w:jc w:val="right"/>
              <w:rPr>
                <w:rFonts w:ascii="Arial" w:hAnsi="Arial" w:cs="Arial"/>
                <w:color w:val="000000"/>
                <w:sz w:val="20"/>
                <w:szCs w:val="22"/>
              </w:rPr>
            </w:pPr>
            <w:r w:rsidRPr="00CD5714">
              <w:rPr>
                <w:rFonts w:ascii="Arial" w:hAnsi="Arial" w:cs="Arial"/>
                <w:color w:val="000000"/>
                <w:sz w:val="20"/>
                <w:szCs w:val="22"/>
                <w:lang w:val="en-GB"/>
              </w:rPr>
              <w:t>250</w:t>
            </w:r>
            <w:r w:rsidR="0004779D" w:rsidRPr="002D2F67">
              <w:rPr>
                <w:rFonts w:ascii="Arial" w:hAnsi="Arial" w:cs="Arial"/>
                <w:color w:val="000000"/>
                <w:sz w:val="20"/>
                <w:szCs w:val="22"/>
              </w:rPr>
              <w:t>,</w:t>
            </w:r>
            <w:r w:rsidRPr="00CD5714">
              <w:rPr>
                <w:rFonts w:ascii="Arial" w:hAnsi="Arial" w:cs="Arial"/>
                <w:color w:val="000000"/>
                <w:sz w:val="20"/>
                <w:szCs w:val="22"/>
                <w:lang w:val="en-GB"/>
              </w:rPr>
              <w:t>596</w:t>
            </w:r>
          </w:p>
        </w:tc>
      </w:tr>
      <w:tr w:rsidR="0004779D" w:rsidRPr="002D2F67" w14:paraId="727395B7" w14:textId="77777777" w:rsidTr="005611FE">
        <w:trPr>
          <w:trHeight w:val="240"/>
        </w:trPr>
        <w:tc>
          <w:tcPr>
            <w:tcW w:w="2120" w:type="pct"/>
            <w:shd w:val="clear" w:color="auto" w:fill="auto"/>
            <w:vAlign w:val="bottom"/>
          </w:tcPr>
          <w:p w14:paraId="01C2F92E" w14:textId="77777777" w:rsidR="0004779D" w:rsidRPr="002D2F67" w:rsidRDefault="0004779D" w:rsidP="005611FE">
            <w:pPr>
              <w:ind w:left="-89"/>
              <w:rPr>
                <w:rFonts w:ascii="Arial" w:hAnsi="Arial" w:cs="Arial"/>
                <w:color w:val="000000"/>
                <w:sz w:val="20"/>
                <w:szCs w:val="20"/>
              </w:rPr>
            </w:pPr>
          </w:p>
        </w:tc>
        <w:tc>
          <w:tcPr>
            <w:tcW w:w="959" w:type="pct"/>
            <w:tcBorders>
              <w:top w:val="single" w:sz="4" w:space="0" w:color="auto"/>
            </w:tcBorders>
            <w:shd w:val="clear" w:color="auto" w:fill="auto"/>
            <w:vAlign w:val="bottom"/>
          </w:tcPr>
          <w:p w14:paraId="50EE5E0A" w14:textId="77777777" w:rsidR="0004779D" w:rsidRPr="002D2F67" w:rsidRDefault="0004779D" w:rsidP="005611FE">
            <w:pPr>
              <w:ind w:right="-72"/>
              <w:jc w:val="right"/>
              <w:rPr>
                <w:rFonts w:ascii="Arial" w:hAnsi="Arial" w:cs="Arial"/>
                <w:color w:val="000000"/>
                <w:sz w:val="20"/>
                <w:szCs w:val="20"/>
              </w:rPr>
            </w:pPr>
          </w:p>
        </w:tc>
        <w:tc>
          <w:tcPr>
            <w:tcW w:w="960" w:type="pct"/>
            <w:tcBorders>
              <w:top w:val="single" w:sz="4" w:space="0" w:color="auto"/>
            </w:tcBorders>
            <w:shd w:val="clear" w:color="auto" w:fill="auto"/>
            <w:vAlign w:val="bottom"/>
          </w:tcPr>
          <w:p w14:paraId="6EC3D4B1" w14:textId="77777777" w:rsidR="0004779D" w:rsidRPr="002D2F67" w:rsidRDefault="0004779D" w:rsidP="005611FE">
            <w:pPr>
              <w:ind w:right="-72"/>
              <w:jc w:val="right"/>
              <w:rPr>
                <w:rFonts w:ascii="Arial" w:hAnsi="Arial" w:cs="Arial"/>
                <w:color w:val="000000"/>
                <w:sz w:val="20"/>
                <w:szCs w:val="20"/>
              </w:rPr>
            </w:pPr>
          </w:p>
        </w:tc>
        <w:tc>
          <w:tcPr>
            <w:tcW w:w="961" w:type="pct"/>
            <w:tcBorders>
              <w:top w:val="single" w:sz="4" w:space="0" w:color="auto"/>
            </w:tcBorders>
            <w:shd w:val="clear" w:color="auto" w:fill="auto"/>
            <w:vAlign w:val="bottom"/>
          </w:tcPr>
          <w:p w14:paraId="0AE5250C" w14:textId="34F32449" w:rsidR="0004779D" w:rsidRPr="002D2F67" w:rsidRDefault="0004779D" w:rsidP="005611FE">
            <w:pPr>
              <w:ind w:right="-72"/>
              <w:jc w:val="right"/>
              <w:rPr>
                <w:rFonts w:ascii="Arial" w:hAnsi="Arial" w:cs="Arial"/>
                <w:color w:val="000000"/>
                <w:sz w:val="20"/>
                <w:szCs w:val="20"/>
              </w:rPr>
            </w:pPr>
          </w:p>
        </w:tc>
      </w:tr>
      <w:tr w:rsidR="0004779D" w:rsidRPr="002D2F67" w14:paraId="67FB8BFF" w14:textId="77777777" w:rsidTr="005611FE">
        <w:trPr>
          <w:trHeight w:val="252"/>
        </w:trPr>
        <w:tc>
          <w:tcPr>
            <w:tcW w:w="2120" w:type="pct"/>
            <w:shd w:val="clear" w:color="auto" w:fill="auto"/>
            <w:vAlign w:val="bottom"/>
          </w:tcPr>
          <w:p w14:paraId="57438836" w14:textId="295381D3" w:rsidR="0004779D" w:rsidRPr="002D2F67" w:rsidRDefault="0004779D" w:rsidP="005611FE">
            <w:pPr>
              <w:ind w:left="-89"/>
              <w:rPr>
                <w:rFonts w:ascii="Arial" w:hAnsi="Arial" w:cs="Arial"/>
                <w:color w:val="000000"/>
                <w:sz w:val="20"/>
                <w:szCs w:val="20"/>
              </w:rPr>
            </w:pPr>
            <w:r w:rsidRPr="002D2F67">
              <w:rPr>
                <w:rFonts w:ascii="Arial" w:hAnsi="Arial" w:cs="Arial"/>
                <w:b/>
                <w:bCs/>
                <w:color w:val="000000"/>
                <w:sz w:val="20"/>
                <w:szCs w:val="20"/>
              </w:rPr>
              <w:t xml:space="preserve">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 </w:t>
            </w:r>
            <w:r w:rsidR="00CD5714" w:rsidRPr="00CD5714">
              <w:rPr>
                <w:rFonts w:ascii="Arial" w:hAnsi="Arial" w:cs="Arial"/>
                <w:b/>
                <w:bCs/>
                <w:color w:val="000000"/>
                <w:sz w:val="20"/>
                <w:szCs w:val="20"/>
                <w:lang w:val="en-GB"/>
              </w:rPr>
              <w:t>2023</w:t>
            </w:r>
          </w:p>
        </w:tc>
        <w:tc>
          <w:tcPr>
            <w:tcW w:w="959" w:type="pct"/>
            <w:shd w:val="clear" w:color="auto" w:fill="auto"/>
            <w:vAlign w:val="bottom"/>
          </w:tcPr>
          <w:p w14:paraId="67F0139E" w14:textId="77777777" w:rsidR="0004779D" w:rsidRPr="002D2F67" w:rsidRDefault="0004779D" w:rsidP="005611FE">
            <w:pPr>
              <w:ind w:right="-72"/>
              <w:jc w:val="right"/>
              <w:rPr>
                <w:rFonts w:ascii="Arial" w:hAnsi="Arial" w:cs="Arial"/>
                <w:color w:val="000000"/>
                <w:sz w:val="20"/>
                <w:szCs w:val="20"/>
              </w:rPr>
            </w:pPr>
          </w:p>
        </w:tc>
        <w:tc>
          <w:tcPr>
            <w:tcW w:w="960" w:type="pct"/>
            <w:shd w:val="clear" w:color="auto" w:fill="auto"/>
            <w:vAlign w:val="bottom"/>
          </w:tcPr>
          <w:p w14:paraId="0D6DBF1A" w14:textId="77777777" w:rsidR="0004779D" w:rsidRPr="002D2F67" w:rsidRDefault="0004779D" w:rsidP="005611FE">
            <w:pPr>
              <w:ind w:right="-72"/>
              <w:jc w:val="right"/>
              <w:rPr>
                <w:rFonts w:ascii="Arial" w:hAnsi="Arial" w:cs="Arial"/>
                <w:color w:val="000000"/>
                <w:sz w:val="20"/>
                <w:szCs w:val="20"/>
              </w:rPr>
            </w:pPr>
          </w:p>
        </w:tc>
        <w:tc>
          <w:tcPr>
            <w:tcW w:w="961" w:type="pct"/>
            <w:shd w:val="clear" w:color="auto" w:fill="auto"/>
            <w:vAlign w:val="bottom"/>
          </w:tcPr>
          <w:p w14:paraId="159BCC56" w14:textId="721AE91C" w:rsidR="0004779D" w:rsidRPr="002D2F67" w:rsidRDefault="0004779D" w:rsidP="005611FE">
            <w:pPr>
              <w:ind w:right="-72"/>
              <w:jc w:val="right"/>
              <w:rPr>
                <w:rFonts w:ascii="Arial" w:hAnsi="Arial" w:cs="Arial"/>
                <w:color w:val="000000"/>
                <w:sz w:val="20"/>
                <w:szCs w:val="20"/>
              </w:rPr>
            </w:pPr>
          </w:p>
        </w:tc>
      </w:tr>
      <w:tr w:rsidR="0004779D" w:rsidRPr="002D2F67" w14:paraId="66FD3E95" w14:textId="77777777" w:rsidTr="005611FE">
        <w:trPr>
          <w:trHeight w:val="252"/>
        </w:trPr>
        <w:tc>
          <w:tcPr>
            <w:tcW w:w="2120" w:type="pct"/>
            <w:shd w:val="clear" w:color="auto" w:fill="auto"/>
            <w:vAlign w:val="bottom"/>
          </w:tcPr>
          <w:p w14:paraId="3836AD00" w14:textId="77777777" w:rsidR="0004779D" w:rsidRPr="002D2F67" w:rsidRDefault="0004779D" w:rsidP="005611FE">
            <w:pPr>
              <w:ind w:left="-89"/>
              <w:rPr>
                <w:rFonts w:ascii="Arial" w:hAnsi="Arial" w:cs="Arial"/>
                <w:color w:val="000000"/>
                <w:sz w:val="20"/>
                <w:szCs w:val="20"/>
              </w:rPr>
            </w:pPr>
            <w:r w:rsidRPr="002D2F67">
              <w:rPr>
                <w:rFonts w:ascii="Arial" w:hAnsi="Arial" w:cs="Arial"/>
                <w:color w:val="000000"/>
                <w:sz w:val="20"/>
                <w:szCs w:val="20"/>
              </w:rPr>
              <w:t>Cost</w:t>
            </w:r>
          </w:p>
        </w:tc>
        <w:tc>
          <w:tcPr>
            <w:tcW w:w="959" w:type="pct"/>
            <w:shd w:val="clear" w:color="auto" w:fill="auto"/>
          </w:tcPr>
          <w:p w14:paraId="4A152CB8" w14:textId="69CC9912"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382</w:t>
            </w:r>
            <w:r w:rsidR="0004779D" w:rsidRPr="002D2F67">
              <w:rPr>
                <w:rFonts w:ascii="Arial" w:hAnsi="Arial" w:cs="Arial"/>
                <w:color w:val="000000"/>
                <w:sz w:val="20"/>
                <w:szCs w:val="20"/>
              </w:rPr>
              <w:t>,</w:t>
            </w:r>
            <w:r w:rsidRPr="00CD5714">
              <w:rPr>
                <w:rFonts w:ascii="Arial" w:hAnsi="Arial" w:cs="Arial"/>
                <w:color w:val="000000"/>
                <w:sz w:val="20"/>
                <w:szCs w:val="20"/>
                <w:lang w:val="en-GB"/>
              </w:rPr>
              <w:t>674</w:t>
            </w:r>
          </w:p>
        </w:tc>
        <w:tc>
          <w:tcPr>
            <w:tcW w:w="960" w:type="pct"/>
            <w:tcBorders>
              <w:top w:val="nil"/>
              <w:left w:val="nil"/>
              <w:right w:val="nil"/>
            </w:tcBorders>
            <w:shd w:val="clear" w:color="auto" w:fill="auto"/>
            <w:vAlign w:val="bottom"/>
          </w:tcPr>
          <w:p w14:paraId="046480CD" w14:textId="4FB8DCD1"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27</w:t>
            </w:r>
            <w:r w:rsidR="0004779D" w:rsidRPr="002D2F67">
              <w:rPr>
                <w:rFonts w:ascii="Arial" w:hAnsi="Arial" w:cs="Arial"/>
                <w:color w:val="000000"/>
                <w:sz w:val="20"/>
                <w:szCs w:val="20"/>
              </w:rPr>
              <w:t>,</w:t>
            </w:r>
            <w:r w:rsidRPr="00CD5714">
              <w:rPr>
                <w:rFonts w:ascii="Arial" w:hAnsi="Arial" w:cs="Arial"/>
                <w:color w:val="000000"/>
                <w:sz w:val="20"/>
                <w:szCs w:val="20"/>
                <w:lang w:val="en-GB"/>
              </w:rPr>
              <w:t>838</w:t>
            </w:r>
          </w:p>
        </w:tc>
        <w:tc>
          <w:tcPr>
            <w:tcW w:w="961" w:type="pct"/>
            <w:tcBorders>
              <w:top w:val="nil"/>
              <w:left w:val="nil"/>
              <w:right w:val="nil"/>
            </w:tcBorders>
            <w:shd w:val="clear" w:color="auto" w:fill="auto"/>
          </w:tcPr>
          <w:p w14:paraId="4EDD7D44" w14:textId="1700D164"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410</w:t>
            </w:r>
            <w:r w:rsidR="0004779D" w:rsidRPr="002D2F67">
              <w:rPr>
                <w:rFonts w:ascii="Arial" w:hAnsi="Arial" w:cs="Arial"/>
                <w:color w:val="000000"/>
                <w:sz w:val="20"/>
                <w:szCs w:val="20"/>
              </w:rPr>
              <w:t>,</w:t>
            </w:r>
            <w:r w:rsidRPr="00CD5714">
              <w:rPr>
                <w:rFonts w:ascii="Arial" w:hAnsi="Arial" w:cs="Arial"/>
                <w:color w:val="000000"/>
                <w:sz w:val="20"/>
                <w:szCs w:val="20"/>
                <w:lang w:val="en-GB"/>
              </w:rPr>
              <w:t>512</w:t>
            </w:r>
          </w:p>
        </w:tc>
      </w:tr>
      <w:tr w:rsidR="0004779D" w:rsidRPr="002D2F67" w14:paraId="658B5A16" w14:textId="77777777" w:rsidTr="005611FE">
        <w:trPr>
          <w:trHeight w:val="252"/>
        </w:trPr>
        <w:tc>
          <w:tcPr>
            <w:tcW w:w="2120" w:type="pct"/>
            <w:shd w:val="clear" w:color="auto" w:fill="auto"/>
            <w:vAlign w:val="bottom"/>
          </w:tcPr>
          <w:p w14:paraId="1C56C8E0" w14:textId="77777777" w:rsidR="0004779D" w:rsidRPr="002D2F67" w:rsidRDefault="0004779D" w:rsidP="005611FE">
            <w:pPr>
              <w:ind w:left="-89"/>
              <w:rPr>
                <w:rFonts w:ascii="Arial" w:hAnsi="Arial" w:cs="Arial"/>
                <w:color w:val="000000"/>
                <w:sz w:val="20"/>
                <w:szCs w:val="20"/>
              </w:rPr>
            </w:pPr>
            <w:r w:rsidRPr="002D2F67">
              <w:rPr>
                <w:rFonts w:ascii="Arial" w:hAnsi="Arial" w:cs="Arial"/>
                <w:color w:val="000000"/>
                <w:sz w:val="20"/>
                <w:szCs w:val="20"/>
                <w:u w:val="single"/>
              </w:rPr>
              <w:t>Less</w:t>
            </w:r>
            <w:r w:rsidRPr="002D2F67">
              <w:rPr>
                <w:rFonts w:ascii="Arial" w:hAnsi="Arial" w:cs="Arial"/>
                <w:color w:val="000000"/>
                <w:sz w:val="20"/>
                <w:szCs w:val="20"/>
              </w:rPr>
              <w:t xml:space="preserve">  Accumulated amortisation</w:t>
            </w:r>
          </w:p>
        </w:tc>
        <w:tc>
          <w:tcPr>
            <w:tcW w:w="959" w:type="pct"/>
            <w:tcBorders>
              <w:bottom w:val="single" w:sz="4" w:space="0" w:color="auto"/>
            </w:tcBorders>
            <w:shd w:val="clear" w:color="auto" w:fill="auto"/>
          </w:tcPr>
          <w:p w14:paraId="6B52423E" w14:textId="7A760D68"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144</w:t>
            </w:r>
            <w:r w:rsidRPr="002D2F67">
              <w:rPr>
                <w:rFonts w:ascii="Arial" w:hAnsi="Arial" w:cs="Arial"/>
                <w:color w:val="000000"/>
                <w:sz w:val="20"/>
                <w:szCs w:val="20"/>
              </w:rPr>
              <w:t>,</w:t>
            </w:r>
            <w:r w:rsidR="00CD5714" w:rsidRPr="00CD5714">
              <w:rPr>
                <w:rFonts w:ascii="Arial" w:hAnsi="Arial" w:cs="Arial"/>
                <w:color w:val="000000"/>
                <w:sz w:val="20"/>
                <w:szCs w:val="20"/>
                <w:lang w:val="en-GB"/>
              </w:rPr>
              <w:t>106</w:t>
            </w:r>
            <w:r w:rsidRPr="002D2F67">
              <w:rPr>
                <w:rFonts w:ascii="Arial" w:hAnsi="Arial" w:cs="Arial"/>
                <w:color w:val="000000"/>
                <w:sz w:val="20"/>
                <w:szCs w:val="20"/>
              </w:rPr>
              <w:t>)</w:t>
            </w:r>
          </w:p>
        </w:tc>
        <w:tc>
          <w:tcPr>
            <w:tcW w:w="960" w:type="pct"/>
            <w:tcBorders>
              <w:top w:val="nil"/>
              <w:left w:val="nil"/>
              <w:bottom w:val="single" w:sz="4" w:space="0" w:color="auto"/>
              <w:right w:val="nil"/>
            </w:tcBorders>
            <w:shd w:val="clear" w:color="auto" w:fill="auto"/>
            <w:vAlign w:val="bottom"/>
          </w:tcPr>
          <w:p w14:paraId="0A55E599" w14:textId="413F33D2"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15</w:t>
            </w:r>
            <w:r w:rsidRPr="002D2F67">
              <w:rPr>
                <w:rFonts w:ascii="Arial" w:hAnsi="Arial" w:cs="Arial"/>
                <w:color w:val="000000"/>
                <w:sz w:val="20"/>
                <w:szCs w:val="20"/>
              </w:rPr>
              <w:t>,</w:t>
            </w:r>
            <w:r w:rsidR="00CD5714" w:rsidRPr="00CD5714">
              <w:rPr>
                <w:rFonts w:ascii="Arial" w:hAnsi="Arial" w:cs="Arial"/>
                <w:color w:val="000000"/>
                <w:sz w:val="20"/>
                <w:szCs w:val="20"/>
                <w:lang w:val="en-GB"/>
              </w:rPr>
              <w:t>810</w:t>
            </w:r>
            <w:r w:rsidRPr="002D2F67">
              <w:rPr>
                <w:rFonts w:ascii="Arial" w:hAnsi="Arial" w:cs="Arial"/>
                <w:color w:val="000000"/>
                <w:sz w:val="20"/>
                <w:szCs w:val="20"/>
              </w:rPr>
              <w:t>)</w:t>
            </w:r>
          </w:p>
        </w:tc>
        <w:tc>
          <w:tcPr>
            <w:tcW w:w="961" w:type="pct"/>
            <w:tcBorders>
              <w:top w:val="nil"/>
              <w:left w:val="nil"/>
              <w:bottom w:val="single" w:sz="4" w:space="0" w:color="auto"/>
              <w:right w:val="nil"/>
            </w:tcBorders>
            <w:shd w:val="clear" w:color="auto" w:fill="auto"/>
          </w:tcPr>
          <w:p w14:paraId="4E03CE17" w14:textId="1D4248DB" w:rsidR="0004779D" w:rsidRPr="002D2F67" w:rsidRDefault="0004779D"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159</w:t>
            </w:r>
            <w:r w:rsidRPr="002D2F67">
              <w:rPr>
                <w:rFonts w:ascii="Arial" w:hAnsi="Arial" w:cs="Arial"/>
                <w:color w:val="000000"/>
                <w:sz w:val="20"/>
                <w:szCs w:val="20"/>
              </w:rPr>
              <w:t>,</w:t>
            </w:r>
            <w:r w:rsidR="00CD5714" w:rsidRPr="00CD5714">
              <w:rPr>
                <w:rFonts w:ascii="Arial" w:hAnsi="Arial" w:cs="Arial"/>
                <w:color w:val="000000"/>
                <w:sz w:val="20"/>
                <w:szCs w:val="20"/>
                <w:lang w:val="en-GB"/>
              </w:rPr>
              <w:t>916</w:t>
            </w:r>
            <w:r w:rsidRPr="002D2F67">
              <w:rPr>
                <w:rFonts w:ascii="Arial" w:hAnsi="Arial" w:cs="Arial"/>
                <w:color w:val="000000"/>
                <w:sz w:val="20"/>
                <w:szCs w:val="20"/>
              </w:rPr>
              <w:t>)</w:t>
            </w:r>
          </w:p>
        </w:tc>
      </w:tr>
      <w:tr w:rsidR="0004779D" w:rsidRPr="002D2F67" w14:paraId="77CD9C7E" w14:textId="77777777" w:rsidTr="005611FE">
        <w:trPr>
          <w:trHeight w:val="252"/>
        </w:trPr>
        <w:tc>
          <w:tcPr>
            <w:tcW w:w="2120" w:type="pct"/>
            <w:shd w:val="clear" w:color="auto" w:fill="auto"/>
            <w:vAlign w:val="bottom"/>
          </w:tcPr>
          <w:p w14:paraId="2E0BE804" w14:textId="77777777" w:rsidR="0004779D" w:rsidRPr="002D2F67" w:rsidRDefault="0004779D" w:rsidP="005611FE">
            <w:pPr>
              <w:ind w:left="-89"/>
              <w:rPr>
                <w:rFonts w:ascii="Arial" w:hAnsi="Arial" w:cs="Arial"/>
                <w:color w:val="000000"/>
                <w:sz w:val="20"/>
                <w:szCs w:val="20"/>
              </w:rPr>
            </w:pPr>
          </w:p>
        </w:tc>
        <w:tc>
          <w:tcPr>
            <w:tcW w:w="959" w:type="pct"/>
            <w:tcBorders>
              <w:top w:val="single" w:sz="4" w:space="0" w:color="auto"/>
            </w:tcBorders>
            <w:shd w:val="clear" w:color="auto" w:fill="auto"/>
            <w:vAlign w:val="bottom"/>
          </w:tcPr>
          <w:p w14:paraId="33E036C2" w14:textId="77777777" w:rsidR="0004779D" w:rsidRPr="002D2F67" w:rsidRDefault="0004779D" w:rsidP="005611FE">
            <w:pPr>
              <w:ind w:right="-72"/>
              <w:jc w:val="right"/>
              <w:rPr>
                <w:rFonts w:ascii="Arial" w:hAnsi="Arial" w:cs="Arial"/>
                <w:color w:val="000000"/>
                <w:sz w:val="20"/>
                <w:szCs w:val="20"/>
              </w:rPr>
            </w:pPr>
          </w:p>
        </w:tc>
        <w:tc>
          <w:tcPr>
            <w:tcW w:w="960" w:type="pct"/>
            <w:tcBorders>
              <w:top w:val="single" w:sz="4" w:space="0" w:color="auto"/>
            </w:tcBorders>
            <w:shd w:val="clear" w:color="auto" w:fill="auto"/>
            <w:vAlign w:val="bottom"/>
          </w:tcPr>
          <w:p w14:paraId="31BDBC1B" w14:textId="77777777" w:rsidR="0004779D" w:rsidRPr="002D2F67" w:rsidRDefault="0004779D" w:rsidP="005611FE">
            <w:pPr>
              <w:ind w:right="-72"/>
              <w:jc w:val="right"/>
              <w:rPr>
                <w:rFonts w:ascii="Arial" w:hAnsi="Arial" w:cs="Arial"/>
                <w:color w:val="000000"/>
                <w:sz w:val="20"/>
                <w:szCs w:val="20"/>
              </w:rPr>
            </w:pPr>
          </w:p>
        </w:tc>
        <w:tc>
          <w:tcPr>
            <w:tcW w:w="961" w:type="pct"/>
            <w:tcBorders>
              <w:top w:val="single" w:sz="4" w:space="0" w:color="auto"/>
            </w:tcBorders>
            <w:shd w:val="clear" w:color="auto" w:fill="auto"/>
            <w:vAlign w:val="bottom"/>
          </w:tcPr>
          <w:p w14:paraId="407DC648" w14:textId="24782F5D" w:rsidR="0004779D" w:rsidRPr="002D2F67" w:rsidRDefault="0004779D" w:rsidP="005611FE">
            <w:pPr>
              <w:ind w:right="-72"/>
              <w:jc w:val="right"/>
              <w:rPr>
                <w:rFonts w:ascii="Arial" w:hAnsi="Arial" w:cs="Arial"/>
                <w:color w:val="000000"/>
                <w:sz w:val="20"/>
                <w:szCs w:val="20"/>
              </w:rPr>
            </w:pPr>
          </w:p>
        </w:tc>
      </w:tr>
      <w:tr w:rsidR="0004779D" w:rsidRPr="002D2F67" w14:paraId="0EE1A4FE" w14:textId="77777777" w:rsidTr="005611FE">
        <w:trPr>
          <w:trHeight w:val="252"/>
        </w:trPr>
        <w:tc>
          <w:tcPr>
            <w:tcW w:w="2120" w:type="pct"/>
            <w:shd w:val="clear" w:color="auto" w:fill="auto"/>
            <w:vAlign w:val="bottom"/>
          </w:tcPr>
          <w:p w14:paraId="25F9868F" w14:textId="77777777" w:rsidR="0004779D" w:rsidRPr="002D2F67" w:rsidRDefault="0004779D" w:rsidP="005611FE">
            <w:pPr>
              <w:ind w:left="-89"/>
              <w:rPr>
                <w:rFonts w:ascii="Arial" w:hAnsi="Arial" w:cs="Arial"/>
                <w:color w:val="000000"/>
                <w:sz w:val="20"/>
                <w:szCs w:val="20"/>
              </w:rPr>
            </w:pPr>
            <w:r w:rsidRPr="002D2F67">
              <w:rPr>
                <w:rFonts w:ascii="Arial" w:hAnsi="Arial" w:cs="Arial"/>
                <w:color w:val="000000"/>
                <w:sz w:val="20"/>
                <w:szCs w:val="20"/>
              </w:rPr>
              <w:t>Net book value</w:t>
            </w:r>
          </w:p>
        </w:tc>
        <w:tc>
          <w:tcPr>
            <w:tcW w:w="959" w:type="pct"/>
            <w:tcBorders>
              <w:bottom w:val="single" w:sz="4" w:space="0" w:color="auto"/>
            </w:tcBorders>
            <w:shd w:val="clear" w:color="auto" w:fill="auto"/>
            <w:vAlign w:val="bottom"/>
          </w:tcPr>
          <w:p w14:paraId="5531ED65" w14:textId="19277E7E"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238</w:t>
            </w:r>
            <w:r w:rsidR="0004779D" w:rsidRPr="002D2F67">
              <w:rPr>
                <w:rFonts w:ascii="Arial" w:hAnsi="Arial" w:cs="Arial"/>
                <w:color w:val="000000"/>
                <w:sz w:val="20"/>
                <w:szCs w:val="20"/>
              </w:rPr>
              <w:t>,</w:t>
            </w:r>
            <w:r w:rsidRPr="00CD5714">
              <w:rPr>
                <w:rFonts w:ascii="Arial" w:hAnsi="Arial" w:cs="Arial"/>
                <w:color w:val="000000"/>
                <w:sz w:val="20"/>
                <w:szCs w:val="20"/>
                <w:lang w:val="en-GB"/>
              </w:rPr>
              <w:t>568</w:t>
            </w:r>
          </w:p>
        </w:tc>
        <w:tc>
          <w:tcPr>
            <w:tcW w:w="960" w:type="pct"/>
            <w:tcBorders>
              <w:bottom w:val="single" w:sz="4" w:space="0" w:color="auto"/>
            </w:tcBorders>
            <w:shd w:val="clear" w:color="auto" w:fill="auto"/>
            <w:vAlign w:val="bottom"/>
          </w:tcPr>
          <w:p w14:paraId="476CAF2E" w14:textId="11398677"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12</w:t>
            </w:r>
            <w:r w:rsidR="0004779D" w:rsidRPr="002D2F67">
              <w:rPr>
                <w:rFonts w:ascii="Arial" w:hAnsi="Arial" w:cs="Arial"/>
                <w:color w:val="000000"/>
                <w:sz w:val="20"/>
                <w:szCs w:val="20"/>
              </w:rPr>
              <w:t>,</w:t>
            </w:r>
            <w:r w:rsidRPr="00CD5714">
              <w:rPr>
                <w:rFonts w:ascii="Arial" w:hAnsi="Arial" w:cs="Arial"/>
                <w:color w:val="000000"/>
                <w:sz w:val="20"/>
                <w:szCs w:val="20"/>
                <w:lang w:val="en-GB"/>
              </w:rPr>
              <w:t>028</w:t>
            </w:r>
          </w:p>
        </w:tc>
        <w:tc>
          <w:tcPr>
            <w:tcW w:w="961" w:type="pct"/>
            <w:tcBorders>
              <w:bottom w:val="single" w:sz="4" w:space="0" w:color="auto"/>
            </w:tcBorders>
            <w:shd w:val="clear" w:color="auto" w:fill="auto"/>
            <w:vAlign w:val="bottom"/>
          </w:tcPr>
          <w:p w14:paraId="7DAC5E8E" w14:textId="60145B13"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250</w:t>
            </w:r>
            <w:r w:rsidR="0004779D" w:rsidRPr="002D2F67">
              <w:rPr>
                <w:rFonts w:ascii="Arial" w:hAnsi="Arial" w:cs="Arial"/>
                <w:color w:val="000000"/>
                <w:sz w:val="20"/>
                <w:szCs w:val="20"/>
              </w:rPr>
              <w:t>,</w:t>
            </w:r>
            <w:r w:rsidRPr="00CD5714">
              <w:rPr>
                <w:rFonts w:ascii="Arial" w:hAnsi="Arial" w:cs="Arial"/>
                <w:color w:val="000000"/>
                <w:sz w:val="20"/>
                <w:szCs w:val="20"/>
                <w:lang w:val="en-GB"/>
              </w:rPr>
              <w:t>596</w:t>
            </w:r>
          </w:p>
        </w:tc>
      </w:tr>
      <w:tr w:rsidR="0004779D" w:rsidRPr="002D2F67" w14:paraId="2094F17F" w14:textId="77777777" w:rsidTr="005611FE">
        <w:trPr>
          <w:trHeight w:val="252"/>
        </w:trPr>
        <w:tc>
          <w:tcPr>
            <w:tcW w:w="2120" w:type="pct"/>
            <w:shd w:val="clear" w:color="auto" w:fill="auto"/>
            <w:vAlign w:val="bottom"/>
          </w:tcPr>
          <w:p w14:paraId="01834D90" w14:textId="77777777" w:rsidR="0004779D" w:rsidRPr="002D2F67" w:rsidRDefault="0004779D" w:rsidP="005611FE">
            <w:pPr>
              <w:ind w:left="-89"/>
              <w:rPr>
                <w:rFonts w:ascii="Arial" w:hAnsi="Arial" w:cs="Arial"/>
                <w:color w:val="000000"/>
                <w:sz w:val="20"/>
                <w:szCs w:val="20"/>
              </w:rPr>
            </w:pPr>
          </w:p>
        </w:tc>
        <w:tc>
          <w:tcPr>
            <w:tcW w:w="959" w:type="pct"/>
            <w:tcBorders>
              <w:top w:val="single" w:sz="4" w:space="0" w:color="auto"/>
            </w:tcBorders>
            <w:shd w:val="clear" w:color="auto" w:fill="auto"/>
            <w:vAlign w:val="bottom"/>
          </w:tcPr>
          <w:p w14:paraId="2C3E11E9" w14:textId="77777777" w:rsidR="0004779D" w:rsidRPr="002D2F67" w:rsidRDefault="0004779D" w:rsidP="005611FE">
            <w:pPr>
              <w:ind w:right="-72"/>
              <w:jc w:val="right"/>
              <w:rPr>
                <w:rFonts w:ascii="Arial" w:hAnsi="Arial" w:cs="Arial"/>
                <w:color w:val="000000"/>
                <w:sz w:val="20"/>
                <w:szCs w:val="20"/>
              </w:rPr>
            </w:pPr>
          </w:p>
        </w:tc>
        <w:tc>
          <w:tcPr>
            <w:tcW w:w="960" w:type="pct"/>
            <w:tcBorders>
              <w:top w:val="single" w:sz="4" w:space="0" w:color="auto"/>
            </w:tcBorders>
            <w:shd w:val="clear" w:color="auto" w:fill="auto"/>
            <w:vAlign w:val="bottom"/>
          </w:tcPr>
          <w:p w14:paraId="2EBBF0CB" w14:textId="77777777" w:rsidR="0004779D" w:rsidRPr="002D2F67" w:rsidRDefault="0004779D" w:rsidP="005611FE">
            <w:pPr>
              <w:ind w:right="-72"/>
              <w:jc w:val="right"/>
              <w:rPr>
                <w:rFonts w:ascii="Arial" w:hAnsi="Arial" w:cs="Arial"/>
                <w:color w:val="000000"/>
                <w:sz w:val="20"/>
                <w:szCs w:val="20"/>
              </w:rPr>
            </w:pPr>
          </w:p>
        </w:tc>
        <w:tc>
          <w:tcPr>
            <w:tcW w:w="961" w:type="pct"/>
            <w:tcBorders>
              <w:top w:val="single" w:sz="4" w:space="0" w:color="auto"/>
            </w:tcBorders>
            <w:shd w:val="clear" w:color="auto" w:fill="auto"/>
            <w:vAlign w:val="bottom"/>
          </w:tcPr>
          <w:p w14:paraId="395452DF" w14:textId="35057DE8" w:rsidR="0004779D" w:rsidRPr="002D2F67" w:rsidRDefault="0004779D" w:rsidP="005611FE">
            <w:pPr>
              <w:ind w:right="-72"/>
              <w:jc w:val="right"/>
              <w:rPr>
                <w:rFonts w:ascii="Arial" w:hAnsi="Arial" w:cs="Arial"/>
                <w:color w:val="000000"/>
                <w:sz w:val="20"/>
                <w:szCs w:val="20"/>
              </w:rPr>
            </w:pPr>
          </w:p>
        </w:tc>
      </w:tr>
      <w:tr w:rsidR="0004779D" w:rsidRPr="002D2F67" w14:paraId="45CA24B2" w14:textId="77777777" w:rsidTr="005611FE">
        <w:trPr>
          <w:trHeight w:val="252"/>
        </w:trPr>
        <w:tc>
          <w:tcPr>
            <w:tcW w:w="2120" w:type="pct"/>
            <w:shd w:val="clear" w:color="auto" w:fill="auto"/>
            <w:vAlign w:val="bottom"/>
          </w:tcPr>
          <w:p w14:paraId="0D016247" w14:textId="3DF0A06F" w:rsidR="0004779D" w:rsidRPr="002D2F67" w:rsidRDefault="0004779D" w:rsidP="005611FE">
            <w:pPr>
              <w:ind w:left="-89"/>
              <w:rPr>
                <w:rFonts w:ascii="Arial" w:hAnsi="Arial" w:cs="Arial"/>
                <w:color w:val="000000"/>
                <w:sz w:val="20"/>
                <w:szCs w:val="20"/>
              </w:rPr>
            </w:pPr>
            <w:r w:rsidRPr="002D2F67">
              <w:rPr>
                <w:rFonts w:ascii="Arial" w:hAnsi="Arial" w:cs="Arial"/>
                <w:b/>
                <w:bCs/>
                <w:color w:val="000000"/>
                <w:sz w:val="20"/>
                <w:szCs w:val="20"/>
              </w:rPr>
              <w:t xml:space="preserve">For the year ended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 </w:t>
            </w:r>
            <w:r w:rsidR="00CD5714" w:rsidRPr="00CD5714">
              <w:rPr>
                <w:rFonts w:ascii="Arial" w:hAnsi="Arial" w:cs="Arial"/>
                <w:b/>
                <w:bCs/>
                <w:color w:val="000000"/>
                <w:sz w:val="20"/>
                <w:szCs w:val="20"/>
                <w:lang w:val="en-GB"/>
              </w:rPr>
              <w:t>2024</w:t>
            </w:r>
          </w:p>
        </w:tc>
        <w:tc>
          <w:tcPr>
            <w:tcW w:w="959" w:type="pct"/>
            <w:shd w:val="clear" w:color="auto" w:fill="auto"/>
            <w:vAlign w:val="bottom"/>
          </w:tcPr>
          <w:p w14:paraId="6DF62F5F" w14:textId="77777777" w:rsidR="0004779D" w:rsidRPr="002D2F67" w:rsidRDefault="0004779D" w:rsidP="005611FE">
            <w:pPr>
              <w:ind w:right="-72"/>
              <w:jc w:val="right"/>
              <w:rPr>
                <w:rFonts w:ascii="Arial" w:hAnsi="Arial" w:cs="Arial"/>
                <w:color w:val="000000"/>
                <w:sz w:val="20"/>
                <w:szCs w:val="20"/>
              </w:rPr>
            </w:pPr>
          </w:p>
        </w:tc>
        <w:tc>
          <w:tcPr>
            <w:tcW w:w="960" w:type="pct"/>
            <w:shd w:val="clear" w:color="auto" w:fill="auto"/>
            <w:vAlign w:val="bottom"/>
          </w:tcPr>
          <w:p w14:paraId="12DBC3EB" w14:textId="77777777" w:rsidR="0004779D" w:rsidRPr="002D2F67" w:rsidRDefault="0004779D" w:rsidP="005611FE">
            <w:pPr>
              <w:ind w:right="-72"/>
              <w:jc w:val="right"/>
              <w:rPr>
                <w:rFonts w:ascii="Arial" w:hAnsi="Arial" w:cs="Arial"/>
                <w:color w:val="000000"/>
                <w:sz w:val="20"/>
                <w:szCs w:val="20"/>
              </w:rPr>
            </w:pPr>
          </w:p>
        </w:tc>
        <w:tc>
          <w:tcPr>
            <w:tcW w:w="961" w:type="pct"/>
            <w:shd w:val="clear" w:color="auto" w:fill="auto"/>
            <w:vAlign w:val="bottom"/>
          </w:tcPr>
          <w:p w14:paraId="25F9E12D" w14:textId="21213ADC" w:rsidR="0004779D" w:rsidRPr="002D2F67" w:rsidRDefault="0004779D" w:rsidP="005611FE">
            <w:pPr>
              <w:ind w:right="-72"/>
              <w:jc w:val="right"/>
              <w:rPr>
                <w:rFonts w:ascii="Arial" w:hAnsi="Arial" w:cs="Arial"/>
                <w:color w:val="000000"/>
                <w:sz w:val="20"/>
                <w:szCs w:val="20"/>
              </w:rPr>
            </w:pPr>
          </w:p>
        </w:tc>
      </w:tr>
      <w:tr w:rsidR="0004779D" w:rsidRPr="002D2F67" w14:paraId="6D676DE4" w14:textId="77777777" w:rsidTr="3ABCB9CB">
        <w:trPr>
          <w:trHeight w:val="252"/>
        </w:trPr>
        <w:tc>
          <w:tcPr>
            <w:tcW w:w="2120" w:type="pct"/>
            <w:shd w:val="clear" w:color="auto" w:fill="auto"/>
            <w:vAlign w:val="bottom"/>
          </w:tcPr>
          <w:p w14:paraId="76EE9C1C" w14:textId="77777777" w:rsidR="0004779D" w:rsidRPr="002D2F67" w:rsidRDefault="0004779D" w:rsidP="005611FE">
            <w:pPr>
              <w:ind w:left="-89"/>
              <w:rPr>
                <w:rFonts w:ascii="Arial" w:hAnsi="Arial" w:cs="Arial"/>
                <w:color w:val="000000"/>
                <w:sz w:val="20"/>
                <w:szCs w:val="20"/>
              </w:rPr>
            </w:pPr>
            <w:r w:rsidRPr="002D2F67">
              <w:rPr>
                <w:rFonts w:ascii="Arial" w:hAnsi="Arial" w:cs="Arial"/>
                <w:color w:val="000000"/>
                <w:sz w:val="20"/>
                <w:szCs w:val="20"/>
              </w:rPr>
              <w:t>Opening net book value</w:t>
            </w:r>
          </w:p>
        </w:tc>
        <w:tc>
          <w:tcPr>
            <w:tcW w:w="959" w:type="pct"/>
            <w:shd w:val="clear" w:color="auto" w:fill="auto"/>
            <w:vAlign w:val="bottom"/>
          </w:tcPr>
          <w:p w14:paraId="2E0A81DB" w14:textId="0BDCB7C7"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238</w:t>
            </w:r>
            <w:r w:rsidR="0004779D" w:rsidRPr="002D2F67">
              <w:rPr>
                <w:rFonts w:ascii="Arial" w:hAnsi="Arial" w:cs="Arial"/>
                <w:color w:val="000000"/>
                <w:sz w:val="20"/>
                <w:szCs w:val="20"/>
              </w:rPr>
              <w:t>,</w:t>
            </w:r>
            <w:r w:rsidRPr="00CD5714">
              <w:rPr>
                <w:rFonts w:ascii="Arial" w:hAnsi="Arial" w:cs="Arial"/>
                <w:color w:val="000000"/>
                <w:sz w:val="20"/>
                <w:szCs w:val="20"/>
                <w:lang w:val="en-GB"/>
              </w:rPr>
              <w:t>568</w:t>
            </w:r>
          </w:p>
        </w:tc>
        <w:tc>
          <w:tcPr>
            <w:tcW w:w="960" w:type="pct"/>
            <w:tcBorders>
              <w:top w:val="nil"/>
              <w:left w:val="nil"/>
              <w:right w:val="nil"/>
            </w:tcBorders>
            <w:shd w:val="clear" w:color="auto" w:fill="auto"/>
            <w:vAlign w:val="bottom"/>
          </w:tcPr>
          <w:p w14:paraId="1F572A14" w14:textId="168D6E0F"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12</w:t>
            </w:r>
            <w:r w:rsidR="0004779D" w:rsidRPr="002D2F67">
              <w:rPr>
                <w:rFonts w:ascii="Arial" w:hAnsi="Arial" w:cs="Arial"/>
                <w:color w:val="000000"/>
                <w:sz w:val="20"/>
                <w:szCs w:val="20"/>
              </w:rPr>
              <w:t>,</w:t>
            </w:r>
            <w:r w:rsidRPr="00CD5714">
              <w:rPr>
                <w:rFonts w:ascii="Arial" w:hAnsi="Arial" w:cs="Arial"/>
                <w:color w:val="000000"/>
                <w:sz w:val="20"/>
                <w:szCs w:val="20"/>
                <w:lang w:val="en-GB"/>
              </w:rPr>
              <w:t>028</w:t>
            </w:r>
          </w:p>
        </w:tc>
        <w:tc>
          <w:tcPr>
            <w:tcW w:w="961" w:type="pct"/>
            <w:tcBorders>
              <w:top w:val="nil"/>
              <w:left w:val="nil"/>
              <w:right w:val="nil"/>
            </w:tcBorders>
            <w:shd w:val="clear" w:color="auto" w:fill="auto"/>
            <w:vAlign w:val="bottom"/>
          </w:tcPr>
          <w:p w14:paraId="7FF3C521" w14:textId="20B2A4DA"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250</w:t>
            </w:r>
            <w:r w:rsidR="0004779D" w:rsidRPr="002D2F67">
              <w:rPr>
                <w:rFonts w:ascii="Arial" w:hAnsi="Arial" w:cs="Arial"/>
                <w:color w:val="000000"/>
                <w:sz w:val="20"/>
                <w:szCs w:val="20"/>
              </w:rPr>
              <w:t>,</w:t>
            </w:r>
            <w:r w:rsidRPr="00CD5714">
              <w:rPr>
                <w:rFonts w:ascii="Arial" w:hAnsi="Arial" w:cs="Arial"/>
                <w:color w:val="000000"/>
                <w:sz w:val="20"/>
                <w:szCs w:val="20"/>
                <w:lang w:val="en-GB"/>
              </w:rPr>
              <w:t>596</w:t>
            </w:r>
          </w:p>
        </w:tc>
      </w:tr>
      <w:tr w:rsidR="0004779D" w:rsidRPr="002D2F67" w14:paraId="14EB24C1" w14:textId="77777777" w:rsidTr="3ABCB9CB">
        <w:trPr>
          <w:trHeight w:val="252"/>
        </w:trPr>
        <w:tc>
          <w:tcPr>
            <w:tcW w:w="2120" w:type="pct"/>
            <w:shd w:val="clear" w:color="auto" w:fill="auto"/>
            <w:vAlign w:val="bottom"/>
          </w:tcPr>
          <w:p w14:paraId="33EFB92B" w14:textId="77777777" w:rsidR="0004779D" w:rsidRPr="002D2F67" w:rsidRDefault="0004779D" w:rsidP="005611FE">
            <w:pPr>
              <w:ind w:left="-89"/>
              <w:rPr>
                <w:rFonts w:ascii="Arial" w:hAnsi="Arial" w:cs="Arial"/>
                <w:color w:val="000000"/>
                <w:sz w:val="20"/>
                <w:szCs w:val="20"/>
              </w:rPr>
            </w:pPr>
            <w:r w:rsidRPr="002D2F67">
              <w:rPr>
                <w:rFonts w:ascii="Arial" w:hAnsi="Arial" w:cs="Arial"/>
                <w:color w:val="000000"/>
                <w:sz w:val="20"/>
                <w:szCs w:val="20"/>
              </w:rPr>
              <w:t>Additions</w:t>
            </w:r>
          </w:p>
        </w:tc>
        <w:tc>
          <w:tcPr>
            <w:tcW w:w="959" w:type="pct"/>
            <w:shd w:val="clear" w:color="auto" w:fill="auto"/>
          </w:tcPr>
          <w:p w14:paraId="763A68F8" w14:textId="160AB792" w:rsidR="0004779D" w:rsidRPr="002D2F67" w:rsidRDefault="002C5D32"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960" w:type="pct"/>
            <w:tcBorders>
              <w:top w:val="nil"/>
              <w:left w:val="nil"/>
              <w:right w:val="nil"/>
            </w:tcBorders>
            <w:shd w:val="clear" w:color="auto" w:fill="auto"/>
            <w:vAlign w:val="bottom"/>
          </w:tcPr>
          <w:p w14:paraId="2C1309FC" w14:textId="258458C6"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6</w:t>
            </w:r>
            <w:r w:rsidR="002C5D32" w:rsidRPr="002D2F67">
              <w:rPr>
                <w:rFonts w:ascii="Arial" w:hAnsi="Arial" w:cs="Arial"/>
                <w:color w:val="000000"/>
                <w:sz w:val="20"/>
                <w:szCs w:val="20"/>
              </w:rPr>
              <w:t>,</w:t>
            </w:r>
            <w:r w:rsidRPr="00CD5714">
              <w:rPr>
                <w:rFonts w:ascii="Arial" w:hAnsi="Arial" w:cs="Arial"/>
                <w:color w:val="000000"/>
                <w:sz w:val="20"/>
                <w:szCs w:val="20"/>
                <w:lang w:val="en-GB"/>
              </w:rPr>
              <w:t>589</w:t>
            </w:r>
          </w:p>
        </w:tc>
        <w:tc>
          <w:tcPr>
            <w:tcW w:w="961" w:type="pct"/>
            <w:tcBorders>
              <w:top w:val="nil"/>
              <w:left w:val="nil"/>
              <w:right w:val="nil"/>
            </w:tcBorders>
            <w:shd w:val="clear" w:color="auto" w:fill="auto"/>
          </w:tcPr>
          <w:p w14:paraId="2FA80A64" w14:textId="1902A559"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6</w:t>
            </w:r>
            <w:r w:rsidR="002C5D32" w:rsidRPr="002D2F67">
              <w:rPr>
                <w:rFonts w:ascii="Arial" w:hAnsi="Arial" w:cs="Arial"/>
                <w:color w:val="000000"/>
                <w:sz w:val="20"/>
                <w:szCs w:val="20"/>
              </w:rPr>
              <w:t>,</w:t>
            </w:r>
            <w:r w:rsidRPr="00CD5714">
              <w:rPr>
                <w:rFonts w:ascii="Arial" w:hAnsi="Arial" w:cs="Arial"/>
                <w:color w:val="000000"/>
                <w:sz w:val="20"/>
                <w:szCs w:val="20"/>
                <w:lang w:val="en-GB"/>
              </w:rPr>
              <w:t>589</w:t>
            </w:r>
          </w:p>
        </w:tc>
      </w:tr>
      <w:tr w:rsidR="0004779D" w:rsidRPr="002D2F67" w14:paraId="571019B7" w14:textId="77777777" w:rsidTr="3ABCB9CB">
        <w:trPr>
          <w:trHeight w:val="252"/>
        </w:trPr>
        <w:tc>
          <w:tcPr>
            <w:tcW w:w="2120" w:type="pct"/>
            <w:shd w:val="clear" w:color="auto" w:fill="auto"/>
            <w:vAlign w:val="bottom"/>
          </w:tcPr>
          <w:p w14:paraId="1BEDB624" w14:textId="77777777" w:rsidR="0004779D" w:rsidRPr="002D2F67" w:rsidRDefault="0004779D" w:rsidP="005611FE">
            <w:pPr>
              <w:ind w:left="-89"/>
              <w:rPr>
                <w:rFonts w:ascii="Arial" w:hAnsi="Arial" w:cs="Arial"/>
                <w:color w:val="000000"/>
                <w:sz w:val="20"/>
                <w:szCs w:val="20"/>
              </w:rPr>
            </w:pPr>
            <w:r w:rsidRPr="002D2F67">
              <w:rPr>
                <w:rFonts w:ascii="Arial" w:hAnsi="Arial" w:cs="Arial"/>
                <w:color w:val="000000"/>
                <w:sz w:val="20"/>
                <w:szCs w:val="20"/>
              </w:rPr>
              <w:t xml:space="preserve">Amortisation </w:t>
            </w:r>
          </w:p>
        </w:tc>
        <w:tc>
          <w:tcPr>
            <w:tcW w:w="959" w:type="pct"/>
            <w:tcBorders>
              <w:bottom w:val="single" w:sz="4" w:space="0" w:color="auto"/>
            </w:tcBorders>
            <w:shd w:val="clear" w:color="auto" w:fill="auto"/>
          </w:tcPr>
          <w:p w14:paraId="11E052F9" w14:textId="5E8016DB" w:rsidR="0004779D" w:rsidRPr="002D2F67" w:rsidRDefault="002C5D32"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15</w:t>
            </w:r>
            <w:r w:rsidRPr="002D2F67">
              <w:rPr>
                <w:rFonts w:ascii="Arial" w:hAnsi="Arial" w:cs="Arial"/>
                <w:color w:val="000000"/>
                <w:sz w:val="20"/>
                <w:szCs w:val="20"/>
              </w:rPr>
              <w:t>,</w:t>
            </w:r>
            <w:r w:rsidR="00CD5714" w:rsidRPr="00CD5714">
              <w:rPr>
                <w:rFonts w:ascii="Arial" w:hAnsi="Arial" w:cs="Arial"/>
                <w:color w:val="000000"/>
                <w:sz w:val="20"/>
                <w:szCs w:val="20"/>
                <w:lang w:val="en-GB"/>
              </w:rPr>
              <w:t>340</w:t>
            </w:r>
            <w:r w:rsidRPr="002D2F67">
              <w:rPr>
                <w:rFonts w:ascii="Arial" w:hAnsi="Arial" w:cs="Arial"/>
                <w:color w:val="000000"/>
                <w:sz w:val="20"/>
                <w:szCs w:val="20"/>
              </w:rPr>
              <w:t>)</w:t>
            </w:r>
          </w:p>
        </w:tc>
        <w:tc>
          <w:tcPr>
            <w:tcW w:w="960" w:type="pct"/>
            <w:tcBorders>
              <w:top w:val="nil"/>
              <w:left w:val="nil"/>
              <w:bottom w:val="single" w:sz="4" w:space="0" w:color="auto"/>
              <w:right w:val="nil"/>
            </w:tcBorders>
            <w:shd w:val="clear" w:color="auto" w:fill="auto"/>
            <w:vAlign w:val="bottom"/>
          </w:tcPr>
          <w:p w14:paraId="15D2D088" w14:textId="43C4FE1B" w:rsidR="0004779D" w:rsidRPr="002D2F67" w:rsidRDefault="002C5D32"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2</w:t>
            </w:r>
            <w:r w:rsidRPr="002D2F67">
              <w:rPr>
                <w:rFonts w:ascii="Arial" w:hAnsi="Arial" w:cs="Arial"/>
                <w:color w:val="000000"/>
                <w:sz w:val="20"/>
                <w:szCs w:val="20"/>
              </w:rPr>
              <w:t>,</w:t>
            </w:r>
            <w:r w:rsidR="00CD5714" w:rsidRPr="00CD5714">
              <w:rPr>
                <w:rFonts w:ascii="Arial" w:hAnsi="Arial" w:cs="Arial"/>
                <w:color w:val="000000"/>
                <w:sz w:val="20"/>
                <w:szCs w:val="20"/>
                <w:lang w:val="en-GB"/>
              </w:rPr>
              <w:t>862</w:t>
            </w:r>
            <w:r w:rsidRPr="002D2F67">
              <w:rPr>
                <w:rFonts w:ascii="Arial" w:hAnsi="Arial" w:cs="Arial"/>
                <w:color w:val="000000"/>
                <w:sz w:val="20"/>
                <w:szCs w:val="20"/>
              </w:rPr>
              <w:t>)</w:t>
            </w:r>
          </w:p>
        </w:tc>
        <w:tc>
          <w:tcPr>
            <w:tcW w:w="961" w:type="pct"/>
            <w:tcBorders>
              <w:top w:val="nil"/>
              <w:left w:val="nil"/>
              <w:bottom w:val="single" w:sz="4" w:space="0" w:color="auto"/>
              <w:right w:val="nil"/>
            </w:tcBorders>
            <w:shd w:val="clear" w:color="auto" w:fill="auto"/>
          </w:tcPr>
          <w:p w14:paraId="11047F10" w14:textId="1AB762A0" w:rsidR="0004779D" w:rsidRPr="002D2F67" w:rsidRDefault="002C5D32"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18</w:t>
            </w:r>
            <w:r w:rsidRPr="002D2F67">
              <w:rPr>
                <w:rFonts w:ascii="Arial" w:hAnsi="Arial" w:cs="Arial"/>
                <w:color w:val="000000"/>
                <w:sz w:val="20"/>
                <w:szCs w:val="20"/>
              </w:rPr>
              <w:t>,</w:t>
            </w:r>
            <w:r w:rsidR="00CD5714" w:rsidRPr="00CD5714">
              <w:rPr>
                <w:rFonts w:ascii="Arial" w:hAnsi="Arial" w:cs="Arial"/>
                <w:color w:val="000000"/>
                <w:sz w:val="20"/>
                <w:szCs w:val="20"/>
                <w:lang w:val="en-GB"/>
              </w:rPr>
              <w:t>202</w:t>
            </w:r>
            <w:r w:rsidRPr="002D2F67">
              <w:rPr>
                <w:rFonts w:ascii="Arial" w:hAnsi="Arial" w:cs="Arial"/>
                <w:color w:val="000000"/>
                <w:sz w:val="20"/>
                <w:szCs w:val="20"/>
              </w:rPr>
              <w:t>)</w:t>
            </w:r>
          </w:p>
        </w:tc>
      </w:tr>
      <w:tr w:rsidR="0004779D" w:rsidRPr="002D2F67" w14:paraId="4D84FE9E" w14:textId="77777777" w:rsidTr="005611FE">
        <w:trPr>
          <w:trHeight w:val="252"/>
        </w:trPr>
        <w:tc>
          <w:tcPr>
            <w:tcW w:w="2120" w:type="pct"/>
            <w:shd w:val="clear" w:color="auto" w:fill="auto"/>
            <w:vAlign w:val="bottom"/>
          </w:tcPr>
          <w:p w14:paraId="1FB75C72" w14:textId="77777777" w:rsidR="0004779D" w:rsidRPr="002D2F67" w:rsidRDefault="0004779D" w:rsidP="005611FE">
            <w:pPr>
              <w:ind w:left="-89"/>
              <w:rPr>
                <w:rFonts w:ascii="Arial" w:hAnsi="Arial" w:cs="Arial"/>
                <w:color w:val="000000"/>
                <w:sz w:val="20"/>
                <w:szCs w:val="20"/>
              </w:rPr>
            </w:pPr>
          </w:p>
        </w:tc>
        <w:tc>
          <w:tcPr>
            <w:tcW w:w="959" w:type="pct"/>
            <w:tcBorders>
              <w:top w:val="single" w:sz="4" w:space="0" w:color="auto"/>
            </w:tcBorders>
            <w:shd w:val="clear" w:color="auto" w:fill="auto"/>
            <w:vAlign w:val="bottom"/>
          </w:tcPr>
          <w:p w14:paraId="025061C5" w14:textId="77777777" w:rsidR="0004779D" w:rsidRPr="002D2F67" w:rsidRDefault="0004779D" w:rsidP="005611FE">
            <w:pPr>
              <w:ind w:right="-72"/>
              <w:jc w:val="right"/>
              <w:rPr>
                <w:rFonts w:ascii="Arial" w:hAnsi="Arial" w:cs="Arial"/>
                <w:color w:val="000000"/>
                <w:sz w:val="20"/>
                <w:szCs w:val="20"/>
              </w:rPr>
            </w:pPr>
          </w:p>
        </w:tc>
        <w:tc>
          <w:tcPr>
            <w:tcW w:w="960" w:type="pct"/>
            <w:tcBorders>
              <w:top w:val="single" w:sz="4" w:space="0" w:color="auto"/>
            </w:tcBorders>
            <w:shd w:val="clear" w:color="auto" w:fill="auto"/>
            <w:vAlign w:val="bottom"/>
          </w:tcPr>
          <w:p w14:paraId="76315037" w14:textId="77777777" w:rsidR="0004779D" w:rsidRPr="002D2F67" w:rsidRDefault="0004779D" w:rsidP="005611FE">
            <w:pPr>
              <w:ind w:right="-72"/>
              <w:jc w:val="right"/>
              <w:rPr>
                <w:rFonts w:ascii="Arial" w:hAnsi="Arial" w:cs="Arial"/>
                <w:color w:val="000000"/>
                <w:sz w:val="20"/>
                <w:szCs w:val="20"/>
              </w:rPr>
            </w:pPr>
          </w:p>
        </w:tc>
        <w:tc>
          <w:tcPr>
            <w:tcW w:w="961" w:type="pct"/>
            <w:tcBorders>
              <w:top w:val="single" w:sz="4" w:space="0" w:color="auto"/>
            </w:tcBorders>
            <w:shd w:val="clear" w:color="auto" w:fill="auto"/>
            <w:vAlign w:val="bottom"/>
          </w:tcPr>
          <w:p w14:paraId="03E3B903" w14:textId="056B087D" w:rsidR="0004779D" w:rsidRPr="002D2F67" w:rsidRDefault="0004779D" w:rsidP="005611FE">
            <w:pPr>
              <w:ind w:right="-72"/>
              <w:jc w:val="right"/>
              <w:rPr>
                <w:rFonts w:ascii="Arial" w:hAnsi="Arial" w:cs="Arial"/>
                <w:color w:val="000000"/>
                <w:sz w:val="20"/>
                <w:szCs w:val="20"/>
              </w:rPr>
            </w:pPr>
          </w:p>
        </w:tc>
      </w:tr>
      <w:tr w:rsidR="0004779D" w:rsidRPr="002D2F67" w14:paraId="02E5A386" w14:textId="77777777" w:rsidTr="005611FE">
        <w:trPr>
          <w:trHeight w:val="252"/>
        </w:trPr>
        <w:tc>
          <w:tcPr>
            <w:tcW w:w="2120" w:type="pct"/>
            <w:shd w:val="clear" w:color="auto" w:fill="auto"/>
            <w:vAlign w:val="bottom"/>
          </w:tcPr>
          <w:p w14:paraId="0228C73F" w14:textId="77777777" w:rsidR="0004779D" w:rsidRPr="002D2F67" w:rsidRDefault="0004779D" w:rsidP="005611FE">
            <w:pPr>
              <w:ind w:left="-89"/>
              <w:rPr>
                <w:rFonts w:ascii="Arial" w:hAnsi="Arial" w:cs="Arial"/>
                <w:color w:val="000000"/>
                <w:sz w:val="20"/>
                <w:szCs w:val="20"/>
              </w:rPr>
            </w:pPr>
            <w:r w:rsidRPr="002D2F67">
              <w:rPr>
                <w:rFonts w:ascii="Arial" w:hAnsi="Arial" w:cs="Arial"/>
                <w:color w:val="000000"/>
                <w:sz w:val="20"/>
                <w:szCs w:val="20"/>
              </w:rPr>
              <w:t>Closing net book value</w:t>
            </w:r>
          </w:p>
        </w:tc>
        <w:tc>
          <w:tcPr>
            <w:tcW w:w="959" w:type="pct"/>
            <w:tcBorders>
              <w:bottom w:val="single" w:sz="4" w:space="0" w:color="auto"/>
            </w:tcBorders>
            <w:shd w:val="clear" w:color="auto" w:fill="auto"/>
            <w:vAlign w:val="bottom"/>
          </w:tcPr>
          <w:p w14:paraId="757F9D5A" w14:textId="64DC6C38" w:rsidR="0004779D" w:rsidRPr="002D2F67" w:rsidRDefault="00CD5714" w:rsidP="005611FE">
            <w:pPr>
              <w:ind w:right="-72"/>
              <w:jc w:val="right"/>
              <w:rPr>
                <w:rFonts w:ascii="Arial" w:hAnsi="Arial" w:cs="Arial"/>
                <w:color w:val="000000"/>
                <w:sz w:val="20"/>
                <w:szCs w:val="22"/>
              </w:rPr>
            </w:pPr>
            <w:r w:rsidRPr="00CD5714">
              <w:rPr>
                <w:rFonts w:ascii="Arial" w:hAnsi="Arial" w:cs="Arial"/>
                <w:color w:val="000000"/>
                <w:sz w:val="20"/>
                <w:szCs w:val="22"/>
                <w:lang w:val="en-GB"/>
              </w:rPr>
              <w:t>223</w:t>
            </w:r>
            <w:r w:rsidR="002C5D32" w:rsidRPr="002D2F67">
              <w:rPr>
                <w:rFonts w:ascii="Arial" w:hAnsi="Arial" w:cs="Arial"/>
                <w:color w:val="000000"/>
                <w:sz w:val="20"/>
                <w:szCs w:val="22"/>
              </w:rPr>
              <w:t>,</w:t>
            </w:r>
            <w:r w:rsidRPr="00CD5714">
              <w:rPr>
                <w:rFonts w:ascii="Arial" w:hAnsi="Arial" w:cs="Arial"/>
                <w:color w:val="000000"/>
                <w:sz w:val="20"/>
                <w:szCs w:val="22"/>
                <w:lang w:val="en-GB"/>
              </w:rPr>
              <w:t>228</w:t>
            </w:r>
          </w:p>
        </w:tc>
        <w:tc>
          <w:tcPr>
            <w:tcW w:w="960" w:type="pct"/>
            <w:tcBorders>
              <w:bottom w:val="single" w:sz="4" w:space="0" w:color="auto"/>
            </w:tcBorders>
            <w:shd w:val="clear" w:color="auto" w:fill="auto"/>
            <w:vAlign w:val="bottom"/>
          </w:tcPr>
          <w:p w14:paraId="2ECD1D13" w14:textId="4AEA545F" w:rsidR="0004779D" w:rsidRPr="002D2F67" w:rsidRDefault="00CD5714" w:rsidP="005611FE">
            <w:pPr>
              <w:ind w:right="-72"/>
              <w:jc w:val="right"/>
              <w:rPr>
                <w:rFonts w:ascii="Arial" w:hAnsi="Arial" w:cs="Arial"/>
                <w:color w:val="000000"/>
                <w:sz w:val="20"/>
                <w:szCs w:val="22"/>
              </w:rPr>
            </w:pPr>
            <w:r w:rsidRPr="00CD5714">
              <w:rPr>
                <w:rFonts w:ascii="Arial" w:hAnsi="Arial" w:cs="Arial"/>
                <w:color w:val="000000"/>
                <w:sz w:val="20"/>
                <w:szCs w:val="22"/>
                <w:lang w:val="en-GB"/>
              </w:rPr>
              <w:t>15</w:t>
            </w:r>
            <w:r w:rsidR="002C5D32" w:rsidRPr="002D2F67">
              <w:rPr>
                <w:rFonts w:ascii="Arial" w:hAnsi="Arial" w:cs="Arial"/>
                <w:color w:val="000000"/>
                <w:sz w:val="20"/>
                <w:szCs w:val="22"/>
              </w:rPr>
              <w:t>,</w:t>
            </w:r>
            <w:r w:rsidRPr="00CD5714">
              <w:rPr>
                <w:rFonts w:ascii="Arial" w:hAnsi="Arial" w:cs="Arial"/>
                <w:color w:val="000000"/>
                <w:sz w:val="20"/>
                <w:szCs w:val="22"/>
                <w:lang w:val="en-GB"/>
              </w:rPr>
              <w:t>755</w:t>
            </w:r>
          </w:p>
        </w:tc>
        <w:tc>
          <w:tcPr>
            <w:tcW w:w="961" w:type="pct"/>
            <w:tcBorders>
              <w:bottom w:val="single" w:sz="4" w:space="0" w:color="auto"/>
            </w:tcBorders>
            <w:shd w:val="clear" w:color="auto" w:fill="auto"/>
            <w:vAlign w:val="bottom"/>
          </w:tcPr>
          <w:p w14:paraId="249F3930" w14:textId="06879E96" w:rsidR="0004779D" w:rsidRPr="002D2F67" w:rsidRDefault="00CD5714" w:rsidP="005611FE">
            <w:pPr>
              <w:ind w:right="-72"/>
              <w:jc w:val="right"/>
              <w:rPr>
                <w:rFonts w:ascii="Arial" w:hAnsi="Arial" w:cs="Arial"/>
                <w:color w:val="000000"/>
                <w:sz w:val="20"/>
                <w:szCs w:val="22"/>
              </w:rPr>
            </w:pPr>
            <w:r w:rsidRPr="00CD5714">
              <w:rPr>
                <w:rFonts w:ascii="Arial" w:hAnsi="Arial" w:cs="Arial"/>
                <w:color w:val="000000"/>
                <w:sz w:val="20"/>
                <w:szCs w:val="22"/>
                <w:lang w:val="en-GB"/>
              </w:rPr>
              <w:t>238</w:t>
            </w:r>
            <w:r w:rsidR="002C5D32" w:rsidRPr="002D2F67">
              <w:rPr>
                <w:rFonts w:ascii="Arial" w:hAnsi="Arial" w:cs="Arial"/>
                <w:color w:val="000000"/>
                <w:sz w:val="20"/>
                <w:szCs w:val="22"/>
              </w:rPr>
              <w:t>,</w:t>
            </w:r>
            <w:r w:rsidRPr="00CD5714">
              <w:rPr>
                <w:rFonts w:ascii="Arial" w:hAnsi="Arial" w:cs="Arial"/>
                <w:color w:val="000000"/>
                <w:sz w:val="20"/>
                <w:szCs w:val="22"/>
                <w:lang w:val="en-GB"/>
              </w:rPr>
              <w:t>983</w:t>
            </w:r>
          </w:p>
        </w:tc>
      </w:tr>
      <w:tr w:rsidR="0004779D" w:rsidRPr="002D2F67" w14:paraId="6ECCED65" w14:textId="77777777" w:rsidTr="005611FE">
        <w:trPr>
          <w:trHeight w:val="240"/>
        </w:trPr>
        <w:tc>
          <w:tcPr>
            <w:tcW w:w="2120" w:type="pct"/>
            <w:shd w:val="clear" w:color="auto" w:fill="auto"/>
            <w:vAlign w:val="bottom"/>
          </w:tcPr>
          <w:p w14:paraId="3EBEEC93" w14:textId="77777777" w:rsidR="0004779D" w:rsidRPr="002D2F67" w:rsidRDefault="0004779D" w:rsidP="005611FE">
            <w:pPr>
              <w:ind w:left="-89"/>
              <w:rPr>
                <w:rFonts w:ascii="Arial" w:hAnsi="Arial" w:cs="Arial"/>
                <w:color w:val="000000"/>
                <w:sz w:val="20"/>
                <w:szCs w:val="20"/>
              </w:rPr>
            </w:pPr>
          </w:p>
        </w:tc>
        <w:tc>
          <w:tcPr>
            <w:tcW w:w="959" w:type="pct"/>
            <w:tcBorders>
              <w:top w:val="single" w:sz="4" w:space="0" w:color="auto"/>
            </w:tcBorders>
            <w:shd w:val="clear" w:color="auto" w:fill="auto"/>
            <w:vAlign w:val="bottom"/>
          </w:tcPr>
          <w:p w14:paraId="44102049" w14:textId="77777777" w:rsidR="0004779D" w:rsidRPr="002D2F67" w:rsidRDefault="0004779D" w:rsidP="005611FE">
            <w:pPr>
              <w:ind w:right="-72"/>
              <w:jc w:val="right"/>
              <w:rPr>
                <w:rFonts w:ascii="Arial" w:hAnsi="Arial" w:cs="Arial"/>
                <w:color w:val="000000"/>
                <w:sz w:val="20"/>
                <w:szCs w:val="20"/>
              </w:rPr>
            </w:pPr>
          </w:p>
        </w:tc>
        <w:tc>
          <w:tcPr>
            <w:tcW w:w="960" w:type="pct"/>
            <w:tcBorders>
              <w:top w:val="single" w:sz="4" w:space="0" w:color="auto"/>
            </w:tcBorders>
            <w:shd w:val="clear" w:color="auto" w:fill="auto"/>
            <w:vAlign w:val="bottom"/>
          </w:tcPr>
          <w:p w14:paraId="1915CD56" w14:textId="77777777" w:rsidR="0004779D" w:rsidRPr="002D2F67" w:rsidRDefault="0004779D" w:rsidP="005611FE">
            <w:pPr>
              <w:ind w:right="-72"/>
              <w:jc w:val="right"/>
              <w:rPr>
                <w:rFonts w:ascii="Arial" w:hAnsi="Arial" w:cs="Arial"/>
                <w:color w:val="000000"/>
                <w:sz w:val="20"/>
                <w:szCs w:val="20"/>
              </w:rPr>
            </w:pPr>
          </w:p>
        </w:tc>
        <w:tc>
          <w:tcPr>
            <w:tcW w:w="961" w:type="pct"/>
            <w:tcBorders>
              <w:top w:val="single" w:sz="4" w:space="0" w:color="auto"/>
            </w:tcBorders>
            <w:shd w:val="clear" w:color="auto" w:fill="auto"/>
            <w:vAlign w:val="bottom"/>
          </w:tcPr>
          <w:p w14:paraId="5BE39886" w14:textId="423F7FC7" w:rsidR="0004779D" w:rsidRPr="002D2F67" w:rsidRDefault="0004779D" w:rsidP="005611FE">
            <w:pPr>
              <w:ind w:right="-72"/>
              <w:jc w:val="right"/>
              <w:rPr>
                <w:rFonts w:ascii="Arial" w:hAnsi="Arial" w:cs="Arial"/>
                <w:color w:val="000000"/>
                <w:sz w:val="20"/>
                <w:szCs w:val="20"/>
              </w:rPr>
            </w:pPr>
          </w:p>
        </w:tc>
      </w:tr>
      <w:tr w:rsidR="0004779D" w:rsidRPr="002D2F67" w14:paraId="1E35CA5C" w14:textId="77777777" w:rsidTr="005611FE">
        <w:trPr>
          <w:trHeight w:val="252"/>
        </w:trPr>
        <w:tc>
          <w:tcPr>
            <w:tcW w:w="2120" w:type="pct"/>
            <w:shd w:val="clear" w:color="auto" w:fill="auto"/>
            <w:vAlign w:val="bottom"/>
          </w:tcPr>
          <w:p w14:paraId="46BC3D64" w14:textId="02530021" w:rsidR="0004779D" w:rsidRPr="002D2F67" w:rsidRDefault="0004779D" w:rsidP="005611FE">
            <w:pPr>
              <w:ind w:left="-89"/>
              <w:rPr>
                <w:rFonts w:ascii="Arial" w:hAnsi="Arial" w:cs="Arial"/>
                <w:color w:val="000000"/>
                <w:sz w:val="20"/>
                <w:szCs w:val="20"/>
              </w:rPr>
            </w:pPr>
            <w:r w:rsidRPr="002D2F67">
              <w:rPr>
                <w:rFonts w:ascii="Arial" w:hAnsi="Arial" w:cs="Arial"/>
                <w:b/>
                <w:bCs/>
                <w:color w:val="000000"/>
                <w:sz w:val="20"/>
                <w:szCs w:val="20"/>
              </w:rPr>
              <w:t xml:space="preserve">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 </w:t>
            </w:r>
            <w:r w:rsidR="00CD5714" w:rsidRPr="00CD5714">
              <w:rPr>
                <w:rFonts w:ascii="Arial" w:hAnsi="Arial" w:cs="Arial"/>
                <w:b/>
                <w:bCs/>
                <w:color w:val="000000"/>
                <w:sz w:val="20"/>
                <w:szCs w:val="20"/>
                <w:lang w:val="en-GB"/>
              </w:rPr>
              <w:t>2024</w:t>
            </w:r>
          </w:p>
        </w:tc>
        <w:tc>
          <w:tcPr>
            <w:tcW w:w="959" w:type="pct"/>
            <w:shd w:val="clear" w:color="auto" w:fill="auto"/>
            <w:vAlign w:val="bottom"/>
          </w:tcPr>
          <w:p w14:paraId="0D9D7E05" w14:textId="77777777" w:rsidR="0004779D" w:rsidRPr="002D2F67" w:rsidRDefault="0004779D" w:rsidP="005611FE">
            <w:pPr>
              <w:ind w:right="-72"/>
              <w:jc w:val="right"/>
              <w:rPr>
                <w:rFonts w:ascii="Arial" w:hAnsi="Arial" w:cs="Arial"/>
                <w:color w:val="000000"/>
                <w:sz w:val="20"/>
                <w:szCs w:val="20"/>
              </w:rPr>
            </w:pPr>
          </w:p>
        </w:tc>
        <w:tc>
          <w:tcPr>
            <w:tcW w:w="960" w:type="pct"/>
            <w:shd w:val="clear" w:color="auto" w:fill="auto"/>
            <w:vAlign w:val="bottom"/>
          </w:tcPr>
          <w:p w14:paraId="67A7C68B" w14:textId="77777777" w:rsidR="0004779D" w:rsidRPr="002D2F67" w:rsidRDefault="0004779D" w:rsidP="005611FE">
            <w:pPr>
              <w:ind w:right="-72"/>
              <w:jc w:val="right"/>
              <w:rPr>
                <w:rFonts w:ascii="Arial" w:hAnsi="Arial" w:cs="Arial"/>
                <w:color w:val="000000"/>
                <w:sz w:val="20"/>
                <w:szCs w:val="20"/>
              </w:rPr>
            </w:pPr>
          </w:p>
        </w:tc>
        <w:tc>
          <w:tcPr>
            <w:tcW w:w="961" w:type="pct"/>
            <w:shd w:val="clear" w:color="auto" w:fill="auto"/>
            <w:vAlign w:val="bottom"/>
          </w:tcPr>
          <w:p w14:paraId="41DED75F" w14:textId="5F4B5279" w:rsidR="0004779D" w:rsidRPr="002D2F67" w:rsidRDefault="0004779D" w:rsidP="005611FE">
            <w:pPr>
              <w:ind w:right="-72"/>
              <w:jc w:val="right"/>
              <w:rPr>
                <w:rFonts w:ascii="Arial" w:hAnsi="Arial" w:cs="Arial"/>
                <w:color w:val="000000"/>
                <w:sz w:val="20"/>
                <w:szCs w:val="20"/>
              </w:rPr>
            </w:pPr>
          </w:p>
        </w:tc>
      </w:tr>
      <w:tr w:rsidR="0004779D" w:rsidRPr="002D2F67" w14:paraId="1EDFA582" w14:textId="77777777" w:rsidTr="3ABCB9CB">
        <w:trPr>
          <w:trHeight w:val="217"/>
        </w:trPr>
        <w:tc>
          <w:tcPr>
            <w:tcW w:w="2120" w:type="pct"/>
            <w:shd w:val="clear" w:color="auto" w:fill="auto"/>
            <w:vAlign w:val="bottom"/>
          </w:tcPr>
          <w:p w14:paraId="10A0FD06" w14:textId="77777777" w:rsidR="0004779D" w:rsidRPr="002D2F67" w:rsidRDefault="0004779D" w:rsidP="005611FE">
            <w:pPr>
              <w:ind w:left="-89"/>
              <w:rPr>
                <w:rFonts w:ascii="Arial" w:hAnsi="Arial" w:cs="Arial"/>
                <w:color w:val="000000"/>
                <w:sz w:val="20"/>
                <w:szCs w:val="20"/>
              </w:rPr>
            </w:pPr>
            <w:r w:rsidRPr="002D2F67">
              <w:rPr>
                <w:rFonts w:ascii="Arial" w:hAnsi="Arial" w:cs="Arial"/>
                <w:color w:val="000000"/>
                <w:sz w:val="20"/>
                <w:szCs w:val="20"/>
              </w:rPr>
              <w:t>Cost</w:t>
            </w:r>
          </w:p>
        </w:tc>
        <w:tc>
          <w:tcPr>
            <w:tcW w:w="959" w:type="pct"/>
            <w:shd w:val="clear" w:color="auto" w:fill="auto"/>
          </w:tcPr>
          <w:p w14:paraId="23BC2A37" w14:textId="75372AD4"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382</w:t>
            </w:r>
            <w:r w:rsidR="002C5D32" w:rsidRPr="002D2F67">
              <w:rPr>
                <w:rFonts w:ascii="Arial" w:hAnsi="Arial" w:cs="Arial"/>
                <w:color w:val="000000"/>
                <w:sz w:val="20"/>
                <w:szCs w:val="20"/>
              </w:rPr>
              <w:t>,</w:t>
            </w:r>
            <w:r w:rsidRPr="00CD5714">
              <w:rPr>
                <w:rFonts w:ascii="Arial" w:hAnsi="Arial" w:cs="Arial"/>
                <w:color w:val="000000"/>
                <w:sz w:val="20"/>
                <w:szCs w:val="20"/>
                <w:lang w:val="en-GB"/>
              </w:rPr>
              <w:t>674</w:t>
            </w:r>
          </w:p>
        </w:tc>
        <w:tc>
          <w:tcPr>
            <w:tcW w:w="960" w:type="pct"/>
            <w:tcBorders>
              <w:top w:val="nil"/>
              <w:left w:val="nil"/>
              <w:right w:val="nil"/>
            </w:tcBorders>
            <w:shd w:val="clear" w:color="auto" w:fill="auto"/>
            <w:vAlign w:val="bottom"/>
          </w:tcPr>
          <w:p w14:paraId="42AA4816" w14:textId="2ED1C82C"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34</w:t>
            </w:r>
            <w:r w:rsidR="001C1E56" w:rsidRPr="002D2F67">
              <w:rPr>
                <w:rFonts w:ascii="Arial" w:hAnsi="Arial" w:cs="Arial"/>
                <w:color w:val="000000"/>
                <w:sz w:val="20"/>
                <w:szCs w:val="20"/>
              </w:rPr>
              <w:t>,</w:t>
            </w:r>
            <w:r w:rsidRPr="00CD5714">
              <w:rPr>
                <w:rFonts w:ascii="Arial" w:hAnsi="Arial" w:cs="Arial"/>
                <w:color w:val="000000"/>
                <w:sz w:val="20"/>
                <w:szCs w:val="20"/>
                <w:lang w:val="en-GB"/>
              </w:rPr>
              <w:t>427</w:t>
            </w:r>
          </w:p>
        </w:tc>
        <w:tc>
          <w:tcPr>
            <w:tcW w:w="961" w:type="pct"/>
            <w:tcBorders>
              <w:top w:val="nil"/>
              <w:left w:val="nil"/>
              <w:right w:val="nil"/>
            </w:tcBorders>
            <w:shd w:val="clear" w:color="auto" w:fill="auto"/>
          </w:tcPr>
          <w:p w14:paraId="647CC182" w14:textId="2D2A3ECE"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417</w:t>
            </w:r>
            <w:r w:rsidR="00C14718" w:rsidRPr="002D2F67">
              <w:rPr>
                <w:rFonts w:ascii="Arial" w:hAnsi="Arial" w:cs="Arial"/>
                <w:color w:val="000000"/>
                <w:sz w:val="20"/>
                <w:szCs w:val="20"/>
              </w:rPr>
              <w:t>,</w:t>
            </w:r>
            <w:r w:rsidRPr="00CD5714">
              <w:rPr>
                <w:rFonts w:ascii="Arial" w:hAnsi="Arial" w:cs="Arial"/>
                <w:color w:val="000000"/>
                <w:sz w:val="20"/>
                <w:szCs w:val="20"/>
                <w:lang w:val="en-GB"/>
              </w:rPr>
              <w:t>101</w:t>
            </w:r>
          </w:p>
        </w:tc>
      </w:tr>
      <w:tr w:rsidR="0004779D" w:rsidRPr="002D2F67" w14:paraId="7CE44852" w14:textId="77777777" w:rsidTr="3ABCB9CB">
        <w:trPr>
          <w:trHeight w:val="252"/>
        </w:trPr>
        <w:tc>
          <w:tcPr>
            <w:tcW w:w="2120" w:type="pct"/>
            <w:shd w:val="clear" w:color="auto" w:fill="auto"/>
            <w:vAlign w:val="bottom"/>
          </w:tcPr>
          <w:p w14:paraId="04DD379C" w14:textId="77777777" w:rsidR="0004779D" w:rsidRPr="002D2F67" w:rsidRDefault="0004779D" w:rsidP="005611FE">
            <w:pPr>
              <w:ind w:left="-89"/>
              <w:rPr>
                <w:rFonts w:ascii="Arial" w:hAnsi="Arial" w:cs="Arial"/>
                <w:color w:val="000000"/>
                <w:sz w:val="20"/>
                <w:szCs w:val="20"/>
              </w:rPr>
            </w:pPr>
            <w:r w:rsidRPr="002D2F67">
              <w:rPr>
                <w:rFonts w:ascii="Arial" w:hAnsi="Arial" w:cs="Arial"/>
                <w:color w:val="000000"/>
                <w:sz w:val="20"/>
                <w:szCs w:val="20"/>
                <w:u w:val="single"/>
              </w:rPr>
              <w:t>Less</w:t>
            </w:r>
            <w:r w:rsidRPr="002D2F67">
              <w:rPr>
                <w:rFonts w:ascii="Arial" w:hAnsi="Arial" w:cs="Arial"/>
                <w:color w:val="000000"/>
                <w:sz w:val="20"/>
                <w:szCs w:val="20"/>
              </w:rPr>
              <w:t xml:space="preserve">  Accumulated amortisation</w:t>
            </w:r>
          </w:p>
        </w:tc>
        <w:tc>
          <w:tcPr>
            <w:tcW w:w="959" w:type="pct"/>
            <w:tcBorders>
              <w:bottom w:val="single" w:sz="4" w:space="0" w:color="auto"/>
            </w:tcBorders>
            <w:shd w:val="clear" w:color="auto" w:fill="auto"/>
          </w:tcPr>
          <w:p w14:paraId="1BB74077" w14:textId="50FC4BF2" w:rsidR="0004779D" w:rsidRPr="002D2F67" w:rsidRDefault="002C5D32"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159</w:t>
            </w:r>
            <w:r w:rsidRPr="002D2F67">
              <w:rPr>
                <w:rFonts w:ascii="Arial" w:hAnsi="Arial" w:cs="Arial"/>
                <w:color w:val="000000"/>
                <w:sz w:val="20"/>
                <w:szCs w:val="20"/>
              </w:rPr>
              <w:t>,</w:t>
            </w:r>
            <w:r w:rsidR="00CD5714" w:rsidRPr="00CD5714">
              <w:rPr>
                <w:rFonts w:ascii="Arial" w:hAnsi="Arial" w:cs="Arial"/>
                <w:color w:val="000000"/>
                <w:sz w:val="20"/>
                <w:szCs w:val="20"/>
                <w:lang w:val="en-GB"/>
              </w:rPr>
              <w:t>446</w:t>
            </w:r>
            <w:r w:rsidRPr="002D2F67">
              <w:rPr>
                <w:rFonts w:ascii="Arial" w:hAnsi="Arial" w:cs="Arial"/>
                <w:color w:val="000000"/>
                <w:sz w:val="20"/>
                <w:szCs w:val="20"/>
              </w:rPr>
              <w:t>)</w:t>
            </w:r>
          </w:p>
        </w:tc>
        <w:tc>
          <w:tcPr>
            <w:tcW w:w="960" w:type="pct"/>
            <w:tcBorders>
              <w:top w:val="nil"/>
              <w:left w:val="nil"/>
              <w:bottom w:val="single" w:sz="4" w:space="0" w:color="auto"/>
              <w:right w:val="nil"/>
            </w:tcBorders>
            <w:shd w:val="clear" w:color="auto" w:fill="auto"/>
            <w:vAlign w:val="bottom"/>
          </w:tcPr>
          <w:p w14:paraId="2640F270" w14:textId="347368ED" w:rsidR="0004779D" w:rsidRPr="002D2F67" w:rsidRDefault="00C14718"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18</w:t>
            </w:r>
            <w:r w:rsidRPr="002D2F67">
              <w:rPr>
                <w:rFonts w:ascii="Arial" w:hAnsi="Arial" w:cs="Arial"/>
                <w:color w:val="000000"/>
                <w:sz w:val="20"/>
                <w:szCs w:val="20"/>
              </w:rPr>
              <w:t>,</w:t>
            </w:r>
            <w:r w:rsidR="00CD5714" w:rsidRPr="00CD5714">
              <w:rPr>
                <w:rFonts w:ascii="Arial" w:hAnsi="Arial" w:cs="Arial"/>
                <w:color w:val="000000"/>
                <w:sz w:val="20"/>
                <w:szCs w:val="20"/>
                <w:lang w:val="en-GB"/>
              </w:rPr>
              <w:t>672</w:t>
            </w:r>
            <w:r w:rsidRPr="002D2F67">
              <w:rPr>
                <w:rFonts w:ascii="Arial" w:hAnsi="Arial" w:cs="Arial"/>
                <w:color w:val="000000"/>
                <w:sz w:val="20"/>
                <w:szCs w:val="20"/>
              </w:rPr>
              <w:t>)</w:t>
            </w:r>
          </w:p>
        </w:tc>
        <w:tc>
          <w:tcPr>
            <w:tcW w:w="961" w:type="pct"/>
            <w:tcBorders>
              <w:top w:val="nil"/>
              <w:left w:val="nil"/>
              <w:bottom w:val="single" w:sz="4" w:space="0" w:color="auto"/>
              <w:right w:val="nil"/>
            </w:tcBorders>
            <w:shd w:val="clear" w:color="auto" w:fill="auto"/>
          </w:tcPr>
          <w:p w14:paraId="37B0923F" w14:textId="2CCF1C09" w:rsidR="0004779D" w:rsidRPr="002D2F67" w:rsidRDefault="00C14718"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178</w:t>
            </w:r>
            <w:r w:rsidRPr="002D2F67">
              <w:rPr>
                <w:rFonts w:ascii="Arial" w:hAnsi="Arial" w:cs="Arial"/>
                <w:color w:val="000000"/>
                <w:sz w:val="20"/>
                <w:szCs w:val="20"/>
              </w:rPr>
              <w:t>,</w:t>
            </w:r>
            <w:r w:rsidR="00CD5714" w:rsidRPr="00CD5714">
              <w:rPr>
                <w:rFonts w:ascii="Arial" w:hAnsi="Arial" w:cs="Arial"/>
                <w:color w:val="000000"/>
                <w:sz w:val="20"/>
                <w:szCs w:val="20"/>
                <w:lang w:val="en-GB"/>
              </w:rPr>
              <w:t>118</w:t>
            </w:r>
            <w:r w:rsidRPr="002D2F67">
              <w:rPr>
                <w:rFonts w:ascii="Arial" w:hAnsi="Arial" w:cs="Arial"/>
                <w:color w:val="000000"/>
                <w:sz w:val="20"/>
                <w:szCs w:val="20"/>
              </w:rPr>
              <w:t>)</w:t>
            </w:r>
          </w:p>
        </w:tc>
      </w:tr>
      <w:tr w:rsidR="0004779D" w:rsidRPr="002D2F67" w14:paraId="3922BDAC" w14:textId="77777777" w:rsidTr="005611FE">
        <w:trPr>
          <w:trHeight w:val="252"/>
        </w:trPr>
        <w:tc>
          <w:tcPr>
            <w:tcW w:w="2120" w:type="pct"/>
            <w:shd w:val="clear" w:color="auto" w:fill="auto"/>
            <w:vAlign w:val="bottom"/>
          </w:tcPr>
          <w:p w14:paraId="5CB76ACC" w14:textId="77777777" w:rsidR="0004779D" w:rsidRPr="002D2F67" w:rsidRDefault="0004779D" w:rsidP="005611FE">
            <w:pPr>
              <w:ind w:left="-89"/>
              <w:rPr>
                <w:rFonts w:ascii="Arial" w:hAnsi="Arial" w:cs="Arial"/>
                <w:color w:val="000000"/>
                <w:sz w:val="20"/>
                <w:szCs w:val="20"/>
              </w:rPr>
            </w:pPr>
          </w:p>
        </w:tc>
        <w:tc>
          <w:tcPr>
            <w:tcW w:w="959" w:type="pct"/>
            <w:tcBorders>
              <w:top w:val="single" w:sz="4" w:space="0" w:color="auto"/>
            </w:tcBorders>
            <w:shd w:val="clear" w:color="auto" w:fill="auto"/>
            <w:vAlign w:val="bottom"/>
          </w:tcPr>
          <w:p w14:paraId="37C55E8C" w14:textId="77777777" w:rsidR="0004779D" w:rsidRPr="002D2F67" w:rsidRDefault="0004779D" w:rsidP="005611FE">
            <w:pPr>
              <w:ind w:right="-72"/>
              <w:jc w:val="right"/>
              <w:rPr>
                <w:rFonts w:ascii="Arial" w:hAnsi="Arial" w:cs="Arial"/>
                <w:color w:val="000000"/>
                <w:sz w:val="20"/>
                <w:szCs w:val="20"/>
              </w:rPr>
            </w:pPr>
          </w:p>
        </w:tc>
        <w:tc>
          <w:tcPr>
            <w:tcW w:w="960" w:type="pct"/>
            <w:tcBorders>
              <w:top w:val="single" w:sz="4" w:space="0" w:color="auto"/>
            </w:tcBorders>
            <w:shd w:val="clear" w:color="auto" w:fill="auto"/>
            <w:vAlign w:val="bottom"/>
          </w:tcPr>
          <w:p w14:paraId="4CB4A069" w14:textId="77777777" w:rsidR="0004779D" w:rsidRPr="002D2F67" w:rsidRDefault="0004779D" w:rsidP="005611FE">
            <w:pPr>
              <w:ind w:right="-72"/>
              <w:jc w:val="right"/>
              <w:rPr>
                <w:rFonts w:ascii="Arial" w:hAnsi="Arial" w:cs="Arial"/>
                <w:color w:val="000000"/>
                <w:sz w:val="20"/>
                <w:szCs w:val="20"/>
              </w:rPr>
            </w:pPr>
          </w:p>
        </w:tc>
        <w:tc>
          <w:tcPr>
            <w:tcW w:w="961" w:type="pct"/>
            <w:tcBorders>
              <w:top w:val="single" w:sz="4" w:space="0" w:color="auto"/>
            </w:tcBorders>
            <w:shd w:val="clear" w:color="auto" w:fill="auto"/>
            <w:vAlign w:val="bottom"/>
          </w:tcPr>
          <w:p w14:paraId="0A09AE5F" w14:textId="78AAD4DA" w:rsidR="0004779D" w:rsidRPr="002D2F67" w:rsidRDefault="0004779D" w:rsidP="005611FE">
            <w:pPr>
              <w:ind w:right="-72"/>
              <w:jc w:val="right"/>
              <w:rPr>
                <w:rFonts w:ascii="Arial" w:hAnsi="Arial" w:cs="Arial"/>
                <w:color w:val="000000"/>
                <w:sz w:val="20"/>
                <w:szCs w:val="20"/>
              </w:rPr>
            </w:pPr>
          </w:p>
        </w:tc>
      </w:tr>
      <w:tr w:rsidR="0004779D" w:rsidRPr="002D2F67" w14:paraId="43D2C581" w14:textId="77777777" w:rsidTr="005611FE">
        <w:trPr>
          <w:trHeight w:val="252"/>
        </w:trPr>
        <w:tc>
          <w:tcPr>
            <w:tcW w:w="2120" w:type="pct"/>
            <w:shd w:val="clear" w:color="auto" w:fill="auto"/>
            <w:vAlign w:val="bottom"/>
          </w:tcPr>
          <w:p w14:paraId="04D33BFD" w14:textId="77777777" w:rsidR="0004779D" w:rsidRPr="002D2F67" w:rsidRDefault="0004779D" w:rsidP="005611FE">
            <w:pPr>
              <w:ind w:left="-89"/>
              <w:rPr>
                <w:rFonts w:ascii="Arial" w:hAnsi="Arial" w:cs="Arial"/>
                <w:color w:val="000000"/>
                <w:sz w:val="20"/>
                <w:szCs w:val="20"/>
              </w:rPr>
            </w:pPr>
            <w:r w:rsidRPr="002D2F67">
              <w:rPr>
                <w:rFonts w:ascii="Arial" w:hAnsi="Arial" w:cs="Arial"/>
                <w:color w:val="000000"/>
                <w:sz w:val="20"/>
                <w:szCs w:val="20"/>
              </w:rPr>
              <w:t>Net book value</w:t>
            </w:r>
          </w:p>
        </w:tc>
        <w:tc>
          <w:tcPr>
            <w:tcW w:w="959" w:type="pct"/>
            <w:tcBorders>
              <w:bottom w:val="single" w:sz="4" w:space="0" w:color="auto"/>
            </w:tcBorders>
            <w:shd w:val="clear" w:color="auto" w:fill="auto"/>
            <w:vAlign w:val="bottom"/>
          </w:tcPr>
          <w:p w14:paraId="6C07D568" w14:textId="02D5A0B7"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223</w:t>
            </w:r>
            <w:r w:rsidR="002C5D32" w:rsidRPr="002D2F67">
              <w:rPr>
                <w:rFonts w:ascii="Arial" w:hAnsi="Arial" w:cs="Arial"/>
                <w:color w:val="000000"/>
                <w:sz w:val="20"/>
                <w:szCs w:val="20"/>
              </w:rPr>
              <w:t>,</w:t>
            </w:r>
            <w:r w:rsidRPr="00CD5714">
              <w:rPr>
                <w:rFonts w:ascii="Arial" w:hAnsi="Arial" w:cs="Arial"/>
                <w:color w:val="000000"/>
                <w:sz w:val="20"/>
                <w:szCs w:val="20"/>
                <w:lang w:val="en-GB"/>
              </w:rPr>
              <w:t>228</w:t>
            </w:r>
          </w:p>
        </w:tc>
        <w:tc>
          <w:tcPr>
            <w:tcW w:w="960" w:type="pct"/>
            <w:tcBorders>
              <w:bottom w:val="single" w:sz="4" w:space="0" w:color="auto"/>
            </w:tcBorders>
            <w:shd w:val="clear" w:color="auto" w:fill="auto"/>
            <w:vAlign w:val="bottom"/>
          </w:tcPr>
          <w:p w14:paraId="77CD995F" w14:textId="7EC756DC"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15</w:t>
            </w:r>
            <w:r w:rsidR="00C14718" w:rsidRPr="002D2F67">
              <w:rPr>
                <w:rFonts w:ascii="Arial" w:hAnsi="Arial" w:cs="Arial"/>
                <w:color w:val="000000"/>
                <w:sz w:val="20"/>
                <w:szCs w:val="20"/>
              </w:rPr>
              <w:t>,</w:t>
            </w:r>
            <w:r w:rsidRPr="00CD5714">
              <w:rPr>
                <w:rFonts w:ascii="Arial" w:hAnsi="Arial" w:cs="Arial"/>
                <w:color w:val="000000"/>
                <w:sz w:val="20"/>
                <w:szCs w:val="20"/>
                <w:lang w:val="en-GB"/>
              </w:rPr>
              <w:t>755</w:t>
            </w:r>
          </w:p>
        </w:tc>
        <w:tc>
          <w:tcPr>
            <w:tcW w:w="961" w:type="pct"/>
            <w:tcBorders>
              <w:bottom w:val="single" w:sz="4" w:space="0" w:color="auto"/>
            </w:tcBorders>
            <w:shd w:val="clear" w:color="auto" w:fill="auto"/>
            <w:vAlign w:val="bottom"/>
          </w:tcPr>
          <w:p w14:paraId="54975082" w14:textId="184EA10D" w:rsidR="0004779D"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238</w:t>
            </w:r>
            <w:r w:rsidR="00C14718" w:rsidRPr="002D2F67">
              <w:rPr>
                <w:rFonts w:ascii="Arial" w:hAnsi="Arial" w:cs="Arial"/>
                <w:color w:val="000000"/>
                <w:sz w:val="20"/>
                <w:szCs w:val="20"/>
              </w:rPr>
              <w:t>,</w:t>
            </w:r>
            <w:r w:rsidRPr="00CD5714">
              <w:rPr>
                <w:rFonts w:ascii="Arial" w:hAnsi="Arial" w:cs="Arial"/>
                <w:color w:val="000000"/>
                <w:sz w:val="20"/>
                <w:szCs w:val="20"/>
                <w:lang w:val="en-GB"/>
              </w:rPr>
              <w:t>983</w:t>
            </w:r>
          </w:p>
        </w:tc>
      </w:tr>
    </w:tbl>
    <w:p w14:paraId="2B6D0575" w14:textId="48E2A05E" w:rsidR="00DF1034" w:rsidRPr="002D2F67" w:rsidRDefault="00DF1034" w:rsidP="005611FE">
      <w:pPr>
        <w:jc w:val="both"/>
        <w:rPr>
          <w:rFonts w:ascii="Arial" w:hAnsi="Arial" w:cs="Arial"/>
          <w:b/>
          <w:bCs/>
          <w:color w:val="000000"/>
          <w:sz w:val="20"/>
          <w:szCs w:val="20"/>
        </w:rPr>
      </w:pPr>
    </w:p>
    <w:p w14:paraId="2AB35FF8" w14:textId="06C2F466" w:rsidR="00544BF6" w:rsidRPr="002D2F67" w:rsidRDefault="00D95497" w:rsidP="005611FE">
      <w:pPr>
        <w:jc w:val="both"/>
        <w:rPr>
          <w:rFonts w:ascii="Arial" w:hAnsi="Arial" w:cs="Arial"/>
          <w:b/>
          <w:bCs/>
          <w:color w:val="000000"/>
          <w:sz w:val="20"/>
          <w:szCs w:val="20"/>
        </w:rPr>
      </w:pPr>
      <w:r w:rsidRPr="002D2F67">
        <w:rPr>
          <w:rFonts w:ascii="Arial" w:hAnsi="Arial" w:cs="Arial"/>
          <w:b/>
          <w:bCs/>
          <w:color w:val="000000"/>
          <w:sz w:val="20"/>
          <w:szCs w:val="20"/>
        </w:rPr>
        <w:br w:type="page"/>
      </w:r>
    </w:p>
    <w:p w14:paraId="6043142A" w14:textId="5C3FC70B" w:rsidR="00862F48"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25</w:t>
      </w:r>
      <w:r w:rsidR="00862F48" w:rsidRPr="002D2F67">
        <w:rPr>
          <w:rFonts w:ascii="Arial" w:hAnsi="Arial" w:cs="Arial"/>
          <w:b/>
          <w:bCs/>
          <w:color w:val="000000"/>
          <w:kern w:val="26"/>
          <w:position w:val="-24"/>
          <w:sz w:val="20"/>
          <w:szCs w:val="20"/>
          <w:cs/>
        </w:rPr>
        <w:tab/>
      </w:r>
      <w:r w:rsidR="00862F48" w:rsidRPr="002D2F67">
        <w:rPr>
          <w:rFonts w:ascii="Arial" w:hAnsi="Arial" w:cs="Arial"/>
          <w:b/>
          <w:bCs/>
          <w:color w:val="000000"/>
          <w:kern w:val="26"/>
          <w:position w:val="-24"/>
          <w:sz w:val="20"/>
          <w:szCs w:val="20"/>
        </w:rPr>
        <w:t>Deferred income taxes</w:t>
      </w:r>
    </w:p>
    <w:p w14:paraId="08697CF5" w14:textId="77777777" w:rsidR="00B4267B" w:rsidRPr="002D2F67" w:rsidRDefault="00B4267B" w:rsidP="005611FE">
      <w:pPr>
        <w:pStyle w:val="BodyTextIndent2"/>
        <w:spacing w:line="240" w:lineRule="auto"/>
        <w:ind w:left="0"/>
        <w:jc w:val="left"/>
        <w:rPr>
          <w:rFonts w:ascii="Arial" w:hAnsi="Arial" w:cs="Arial"/>
          <w:spacing w:val="-2"/>
        </w:rPr>
      </w:pPr>
    </w:p>
    <w:p w14:paraId="61DFF42A" w14:textId="16BFCC1E" w:rsidR="007B701F" w:rsidRPr="002D2F67" w:rsidRDefault="007B701F" w:rsidP="005611FE">
      <w:pPr>
        <w:jc w:val="both"/>
        <w:rPr>
          <w:rFonts w:ascii="Arial" w:hAnsi="Arial" w:cs="Arial"/>
          <w:color w:val="000000"/>
          <w:sz w:val="20"/>
          <w:szCs w:val="20"/>
        </w:rPr>
      </w:pPr>
      <w:r w:rsidRPr="002D2F67">
        <w:rPr>
          <w:rFonts w:ascii="Arial" w:hAnsi="Arial" w:cs="Arial"/>
          <w:color w:val="000000"/>
          <w:sz w:val="20"/>
          <w:szCs w:val="20"/>
        </w:rPr>
        <w:t xml:space="preserve">The analysis of deferred tax assets and deferred tax liabilities </w:t>
      </w:r>
      <w:r w:rsidR="00C3251B" w:rsidRPr="002D2F67">
        <w:rPr>
          <w:rFonts w:ascii="Arial" w:hAnsi="Arial" w:cs="Arial"/>
          <w:color w:val="000000"/>
          <w:sz w:val="20"/>
          <w:szCs w:val="20"/>
        </w:rPr>
        <w:t>wer</w:t>
      </w:r>
      <w:r w:rsidRPr="002D2F67">
        <w:rPr>
          <w:rFonts w:ascii="Arial" w:hAnsi="Arial" w:cs="Arial"/>
          <w:color w:val="000000"/>
          <w:sz w:val="20"/>
          <w:szCs w:val="20"/>
        </w:rPr>
        <w:t>e as follows:</w:t>
      </w:r>
    </w:p>
    <w:p w14:paraId="67A6E1AC" w14:textId="77777777" w:rsidR="007B701F" w:rsidRPr="002D2F67" w:rsidRDefault="007B701F" w:rsidP="005611FE">
      <w:pPr>
        <w:jc w:val="both"/>
        <w:rPr>
          <w:rFonts w:ascii="Arial" w:hAnsi="Arial" w:cs="Arial"/>
          <w:color w:val="000000"/>
          <w:sz w:val="20"/>
          <w:szCs w:val="20"/>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7B701F" w:rsidRPr="002D2F67" w14:paraId="67142E59" w14:textId="77777777" w:rsidTr="008255E8">
        <w:tc>
          <w:tcPr>
            <w:tcW w:w="3690" w:type="dxa"/>
            <w:shd w:val="clear" w:color="auto" w:fill="auto"/>
          </w:tcPr>
          <w:p w14:paraId="082C6B57" w14:textId="77777777" w:rsidR="007B701F" w:rsidRPr="002D2F67" w:rsidRDefault="007B701F" w:rsidP="005611FE">
            <w:pPr>
              <w:ind w:left="-80" w:right="-288" w:hanging="11"/>
              <w:rPr>
                <w:rFonts w:ascii="Arial" w:hAnsi="Arial" w:cs="Arial"/>
                <w:color w:val="000000"/>
                <w:sz w:val="20"/>
                <w:szCs w:val="20"/>
              </w:rPr>
            </w:pPr>
          </w:p>
        </w:tc>
        <w:tc>
          <w:tcPr>
            <w:tcW w:w="2880" w:type="dxa"/>
            <w:gridSpan w:val="2"/>
            <w:tcBorders>
              <w:bottom w:val="single" w:sz="4" w:space="0" w:color="auto"/>
            </w:tcBorders>
            <w:shd w:val="clear" w:color="auto" w:fill="auto"/>
          </w:tcPr>
          <w:p w14:paraId="2B1E92A4" w14:textId="77777777" w:rsidR="007B701F" w:rsidRPr="002D2F67" w:rsidRDefault="007B701F" w:rsidP="005611FE">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color w:val="000000"/>
                <w:sz w:val="20"/>
                <w:szCs w:val="20"/>
              </w:rPr>
            </w:pPr>
            <w:r w:rsidRPr="002D2F67">
              <w:rPr>
                <w:rFonts w:ascii="Arial" w:hAnsi="Arial" w:cs="Arial"/>
                <w:b/>
                <w:bCs/>
                <w:color w:val="000000"/>
                <w:sz w:val="20"/>
                <w:szCs w:val="20"/>
              </w:rPr>
              <w:t>Consolidated</w:t>
            </w:r>
          </w:p>
          <w:p w14:paraId="4EEC7398" w14:textId="77777777" w:rsidR="007B701F" w:rsidRPr="002D2F67" w:rsidRDefault="007B701F" w:rsidP="005611FE">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2880" w:type="dxa"/>
            <w:gridSpan w:val="2"/>
            <w:tcBorders>
              <w:bottom w:val="single" w:sz="4" w:space="0" w:color="auto"/>
            </w:tcBorders>
            <w:shd w:val="clear" w:color="auto" w:fill="auto"/>
          </w:tcPr>
          <w:p w14:paraId="601B7C23" w14:textId="77777777" w:rsidR="007B701F" w:rsidRPr="002D2F67" w:rsidRDefault="007B701F" w:rsidP="005611FE">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color w:val="000000"/>
                <w:sz w:val="20"/>
                <w:szCs w:val="20"/>
              </w:rPr>
            </w:pPr>
            <w:r w:rsidRPr="002D2F67">
              <w:rPr>
                <w:rFonts w:ascii="Arial" w:hAnsi="Arial" w:cs="Arial"/>
                <w:b/>
                <w:bCs/>
                <w:color w:val="000000"/>
                <w:sz w:val="20"/>
                <w:szCs w:val="20"/>
              </w:rPr>
              <w:t xml:space="preserve">Separate </w:t>
            </w:r>
          </w:p>
          <w:p w14:paraId="19763677" w14:textId="77777777" w:rsidR="007B701F" w:rsidRPr="002D2F67" w:rsidRDefault="007B701F" w:rsidP="005611FE">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38252F" w:rsidRPr="002D2F67" w14:paraId="5B184375" w14:textId="77777777" w:rsidTr="005611FE">
        <w:tc>
          <w:tcPr>
            <w:tcW w:w="3690" w:type="dxa"/>
            <w:shd w:val="clear" w:color="auto" w:fill="auto"/>
          </w:tcPr>
          <w:p w14:paraId="0C42F23D" w14:textId="380031CF" w:rsidR="0038252F" w:rsidRPr="002D2F67" w:rsidRDefault="00FB1244" w:rsidP="005611FE">
            <w:pPr>
              <w:ind w:left="-80" w:right="-288" w:hanging="11"/>
              <w:rPr>
                <w:rFonts w:ascii="Arial" w:hAnsi="Arial" w:cs="Arial"/>
                <w:b/>
                <w:bCs/>
                <w:color w:val="000000"/>
                <w:sz w:val="20"/>
                <w:szCs w:val="20"/>
              </w:rPr>
            </w:pPr>
            <w:r w:rsidRPr="002D2F67">
              <w:rPr>
                <w:rFonts w:ascii="Arial" w:hAnsi="Arial" w:cs="Arial"/>
                <w:b/>
                <w:bCs/>
                <w:color w:val="000000"/>
                <w:sz w:val="20"/>
                <w:szCs w:val="20"/>
              </w:rPr>
              <w:t xml:space="preserve">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w:t>
            </w:r>
          </w:p>
        </w:tc>
        <w:tc>
          <w:tcPr>
            <w:tcW w:w="1440" w:type="dxa"/>
            <w:shd w:val="clear" w:color="auto" w:fill="auto"/>
          </w:tcPr>
          <w:p w14:paraId="7F53C2D5" w14:textId="78A9BF12" w:rsidR="0038252F" w:rsidRPr="002D2F67" w:rsidRDefault="00CD5714" w:rsidP="005611FE">
            <w:pPr>
              <w:ind w:left="706" w:right="-72" w:hanging="706"/>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1440" w:type="dxa"/>
            <w:shd w:val="clear" w:color="auto" w:fill="auto"/>
          </w:tcPr>
          <w:p w14:paraId="4B6659D1" w14:textId="291B256B" w:rsidR="0038252F" w:rsidRPr="002D2F67" w:rsidRDefault="00CD5714" w:rsidP="005611FE">
            <w:pPr>
              <w:ind w:left="706" w:right="-72" w:hanging="706"/>
              <w:jc w:val="right"/>
              <w:rPr>
                <w:rFonts w:ascii="Arial" w:hAnsi="Arial" w:cs="Arial"/>
                <w:b/>
                <w:bCs/>
                <w:color w:val="000000"/>
                <w:sz w:val="20"/>
                <w:szCs w:val="20"/>
              </w:rPr>
            </w:pPr>
            <w:r w:rsidRPr="00CD5714">
              <w:rPr>
                <w:rFonts w:ascii="Arial" w:hAnsi="Arial" w:cs="Arial"/>
                <w:b/>
                <w:bCs/>
                <w:color w:val="000000"/>
                <w:sz w:val="20"/>
                <w:szCs w:val="20"/>
                <w:lang w:val="en-GB"/>
              </w:rPr>
              <w:t>2023</w:t>
            </w:r>
          </w:p>
        </w:tc>
        <w:tc>
          <w:tcPr>
            <w:tcW w:w="1440" w:type="dxa"/>
            <w:shd w:val="clear" w:color="auto" w:fill="auto"/>
          </w:tcPr>
          <w:p w14:paraId="30908B42" w14:textId="5403323C" w:rsidR="0038252F" w:rsidRPr="002D2F67" w:rsidRDefault="00CD5714" w:rsidP="005611FE">
            <w:pPr>
              <w:ind w:left="706" w:right="-72" w:hanging="706"/>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1440" w:type="dxa"/>
            <w:shd w:val="clear" w:color="auto" w:fill="auto"/>
          </w:tcPr>
          <w:p w14:paraId="343B1EC5" w14:textId="26976409" w:rsidR="0038252F" w:rsidRPr="002D2F67" w:rsidRDefault="00CD5714" w:rsidP="005611FE">
            <w:pPr>
              <w:ind w:left="706" w:right="-72" w:hanging="706"/>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7B701F" w:rsidRPr="002D2F67" w14:paraId="3882CB63" w14:textId="77777777" w:rsidTr="005611FE">
        <w:tc>
          <w:tcPr>
            <w:tcW w:w="3690" w:type="dxa"/>
            <w:shd w:val="clear" w:color="auto" w:fill="auto"/>
          </w:tcPr>
          <w:p w14:paraId="4CE0BBD1" w14:textId="77777777" w:rsidR="007B701F" w:rsidRPr="002D2F67" w:rsidRDefault="007B701F" w:rsidP="005611FE">
            <w:pPr>
              <w:ind w:left="-80" w:right="-288" w:hanging="11"/>
              <w:rPr>
                <w:rFonts w:ascii="Arial" w:hAnsi="Arial" w:cs="Arial"/>
                <w:b/>
                <w:bCs/>
                <w:color w:val="000000"/>
                <w:sz w:val="20"/>
                <w:szCs w:val="20"/>
              </w:rPr>
            </w:pPr>
          </w:p>
        </w:tc>
        <w:tc>
          <w:tcPr>
            <w:tcW w:w="1440" w:type="dxa"/>
            <w:tcBorders>
              <w:bottom w:val="single" w:sz="4" w:space="0" w:color="auto"/>
            </w:tcBorders>
            <w:shd w:val="clear" w:color="auto" w:fill="auto"/>
          </w:tcPr>
          <w:p w14:paraId="6492125F" w14:textId="1F496767" w:rsidR="007B701F" w:rsidRPr="002D2F67" w:rsidRDefault="007B701F" w:rsidP="005611FE">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color w:val="000000"/>
                <w:sz w:val="20"/>
                <w:szCs w:val="20"/>
              </w:rPr>
            </w:pPr>
            <w:r w:rsidRPr="002D2F67">
              <w:rPr>
                <w:rFonts w:ascii="Arial" w:hAnsi="Arial" w:cs="Arial"/>
                <w:b/>
                <w:bCs/>
                <w:color w:val="000000"/>
                <w:sz w:val="20"/>
                <w:szCs w:val="20"/>
              </w:rPr>
              <w:t>Baht</w:t>
            </w:r>
            <w:r w:rsidR="00EF44A7" w:rsidRPr="002D2F67">
              <w:rPr>
                <w:rFonts w:ascii="Arial" w:hAnsi="Arial" w:cs="Arial"/>
                <w:b/>
                <w:bCs/>
                <w:color w:val="000000"/>
                <w:sz w:val="20"/>
                <w:szCs w:val="20"/>
              </w:rPr>
              <w: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52D7B15C" w14:textId="095FE5F2" w:rsidR="007B701F" w:rsidRPr="002D2F67" w:rsidRDefault="00EF44A7" w:rsidP="005611FE">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37BBF103" w14:textId="3C344AAB" w:rsidR="007B701F" w:rsidRPr="002D2F67" w:rsidRDefault="00EF44A7" w:rsidP="005611FE">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4019CAB8" w14:textId="1527FCE0" w:rsidR="007B701F" w:rsidRPr="002D2F67" w:rsidRDefault="00EF44A7" w:rsidP="005611FE">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7B701F" w:rsidRPr="002D2F67" w14:paraId="25E1608B" w14:textId="77777777" w:rsidTr="005611FE">
        <w:tc>
          <w:tcPr>
            <w:tcW w:w="3690" w:type="dxa"/>
            <w:shd w:val="clear" w:color="auto" w:fill="auto"/>
          </w:tcPr>
          <w:p w14:paraId="0CC166F1" w14:textId="77777777" w:rsidR="007B701F" w:rsidRPr="002D2F67" w:rsidRDefault="007B701F" w:rsidP="005611FE">
            <w:pPr>
              <w:pStyle w:val="Header"/>
              <w:tabs>
                <w:tab w:val="clear" w:pos="4320"/>
                <w:tab w:val="clear" w:pos="8640"/>
              </w:tabs>
              <w:ind w:left="-80" w:right="-288" w:hanging="11"/>
              <w:jc w:val="left"/>
              <w:rPr>
                <w:rFonts w:ascii="Arial" w:hAnsi="Arial" w:cs="Arial"/>
                <w:color w:val="000000"/>
                <w:sz w:val="20"/>
                <w:szCs w:val="20"/>
              </w:rPr>
            </w:pPr>
          </w:p>
        </w:tc>
        <w:tc>
          <w:tcPr>
            <w:tcW w:w="1440" w:type="dxa"/>
            <w:tcBorders>
              <w:top w:val="single" w:sz="4" w:space="0" w:color="auto"/>
            </w:tcBorders>
            <w:shd w:val="clear" w:color="auto" w:fill="auto"/>
          </w:tcPr>
          <w:p w14:paraId="7296D416" w14:textId="77777777" w:rsidR="007B701F" w:rsidRPr="002D2F67" w:rsidRDefault="007B701F" w:rsidP="005611FE">
            <w:pPr>
              <w:tabs>
                <w:tab w:val="left" w:pos="1134"/>
                <w:tab w:val="left" w:pos="1276"/>
                <w:tab w:val="center" w:pos="3402"/>
                <w:tab w:val="center" w:pos="4536"/>
                <w:tab w:val="center" w:pos="5670"/>
                <w:tab w:val="center" w:pos="6804"/>
                <w:tab w:val="right" w:pos="7655"/>
              </w:tabs>
              <w:ind w:left="709" w:hanging="709"/>
              <w:jc w:val="right"/>
              <w:rPr>
                <w:rFonts w:ascii="Arial" w:hAnsi="Arial" w:cs="Arial"/>
                <w:color w:val="000000"/>
                <w:spacing w:val="-6"/>
                <w:sz w:val="20"/>
                <w:szCs w:val="20"/>
              </w:rPr>
            </w:pPr>
          </w:p>
        </w:tc>
        <w:tc>
          <w:tcPr>
            <w:tcW w:w="1440" w:type="dxa"/>
            <w:tcBorders>
              <w:top w:val="single" w:sz="4" w:space="0" w:color="auto"/>
            </w:tcBorders>
            <w:shd w:val="clear" w:color="auto" w:fill="auto"/>
          </w:tcPr>
          <w:p w14:paraId="1F533419" w14:textId="77777777" w:rsidR="007B701F" w:rsidRPr="002D2F67" w:rsidRDefault="007B701F" w:rsidP="005611FE">
            <w:pPr>
              <w:tabs>
                <w:tab w:val="left" w:pos="1134"/>
                <w:tab w:val="left" w:pos="1276"/>
                <w:tab w:val="center" w:pos="3402"/>
                <w:tab w:val="center" w:pos="4536"/>
                <w:tab w:val="center" w:pos="5670"/>
                <w:tab w:val="center" w:pos="6804"/>
                <w:tab w:val="right" w:pos="7655"/>
              </w:tabs>
              <w:ind w:left="709" w:hanging="709"/>
              <w:jc w:val="right"/>
              <w:rPr>
                <w:rFonts w:ascii="Arial" w:hAnsi="Arial" w:cs="Arial"/>
                <w:color w:val="000000"/>
                <w:spacing w:val="-6"/>
                <w:sz w:val="20"/>
                <w:szCs w:val="20"/>
              </w:rPr>
            </w:pPr>
          </w:p>
        </w:tc>
        <w:tc>
          <w:tcPr>
            <w:tcW w:w="1440" w:type="dxa"/>
            <w:tcBorders>
              <w:top w:val="single" w:sz="4" w:space="0" w:color="auto"/>
            </w:tcBorders>
            <w:shd w:val="clear" w:color="auto" w:fill="auto"/>
          </w:tcPr>
          <w:p w14:paraId="56027055" w14:textId="77777777" w:rsidR="007B701F" w:rsidRPr="002D2F67" w:rsidRDefault="007B701F" w:rsidP="005611FE">
            <w:pPr>
              <w:tabs>
                <w:tab w:val="left" w:pos="1134"/>
                <w:tab w:val="left" w:pos="1276"/>
                <w:tab w:val="center" w:pos="3402"/>
                <w:tab w:val="center" w:pos="4536"/>
                <w:tab w:val="center" w:pos="5670"/>
                <w:tab w:val="center" w:pos="6804"/>
                <w:tab w:val="right" w:pos="7655"/>
              </w:tabs>
              <w:ind w:left="709" w:hanging="709"/>
              <w:jc w:val="right"/>
              <w:rPr>
                <w:rFonts w:ascii="Arial" w:hAnsi="Arial" w:cs="Arial"/>
                <w:color w:val="000000"/>
                <w:spacing w:val="-6"/>
                <w:sz w:val="20"/>
                <w:szCs w:val="20"/>
              </w:rPr>
            </w:pPr>
          </w:p>
        </w:tc>
        <w:tc>
          <w:tcPr>
            <w:tcW w:w="1440" w:type="dxa"/>
            <w:tcBorders>
              <w:top w:val="single" w:sz="4" w:space="0" w:color="auto"/>
            </w:tcBorders>
            <w:shd w:val="clear" w:color="auto" w:fill="auto"/>
          </w:tcPr>
          <w:p w14:paraId="369C5122" w14:textId="77777777" w:rsidR="007B701F" w:rsidRPr="002D2F67" w:rsidRDefault="007B701F" w:rsidP="005611FE">
            <w:pPr>
              <w:tabs>
                <w:tab w:val="left" w:pos="1134"/>
                <w:tab w:val="left" w:pos="1276"/>
                <w:tab w:val="center" w:pos="3402"/>
                <w:tab w:val="center" w:pos="4536"/>
                <w:tab w:val="center" w:pos="5670"/>
                <w:tab w:val="center" w:pos="6804"/>
                <w:tab w:val="right" w:pos="7655"/>
              </w:tabs>
              <w:ind w:left="709" w:hanging="709"/>
              <w:jc w:val="right"/>
              <w:rPr>
                <w:rFonts w:ascii="Arial" w:hAnsi="Arial" w:cs="Arial"/>
                <w:color w:val="000000"/>
                <w:spacing w:val="-6"/>
                <w:sz w:val="20"/>
                <w:szCs w:val="20"/>
              </w:rPr>
            </w:pPr>
          </w:p>
        </w:tc>
      </w:tr>
      <w:tr w:rsidR="00FB6B7A" w:rsidRPr="002D2F67" w14:paraId="2417A6D0" w14:textId="77777777" w:rsidTr="005611FE">
        <w:tc>
          <w:tcPr>
            <w:tcW w:w="3690" w:type="dxa"/>
            <w:shd w:val="clear" w:color="auto" w:fill="auto"/>
          </w:tcPr>
          <w:p w14:paraId="52416A25" w14:textId="45F28FE2" w:rsidR="00FB6B7A" w:rsidRPr="002D2F67" w:rsidRDefault="00FB6B7A" w:rsidP="005611FE">
            <w:pPr>
              <w:pStyle w:val="Header"/>
              <w:tabs>
                <w:tab w:val="clear" w:pos="4320"/>
                <w:tab w:val="clear" w:pos="8640"/>
              </w:tabs>
              <w:ind w:left="-80" w:right="-288" w:hanging="11"/>
              <w:jc w:val="left"/>
              <w:rPr>
                <w:rFonts w:ascii="Arial" w:hAnsi="Arial" w:cs="Arial"/>
                <w:color w:val="000000"/>
                <w:sz w:val="20"/>
                <w:szCs w:val="20"/>
              </w:rPr>
            </w:pPr>
            <w:r w:rsidRPr="002D2F67">
              <w:rPr>
                <w:rFonts w:ascii="Arial" w:hAnsi="Arial" w:cs="Arial"/>
                <w:color w:val="000000"/>
                <w:sz w:val="20"/>
                <w:szCs w:val="20"/>
              </w:rPr>
              <w:t>Deferred tax assets</w:t>
            </w:r>
          </w:p>
        </w:tc>
        <w:tc>
          <w:tcPr>
            <w:tcW w:w="1440" w:type="dxa"/>
            <w:shd w:val="clear" w:color="auto" w:fill="auto"/>
            <w:vAlign w:val="bottom"/>
          </w:tcPr>
          <w:p w14:paraId="3291E961" w14:textId="4B903369" w:rsidR="00FB6B7A" w:rsidRPr="002D2F67" w:rsidRDefault="00CD5714" w:rsidP="005611FE">
            <w:pPr>
              <w:pStyle w:val="Header"/>
              <w:ind w:left="709" w:right="-72" w:hanging="709"/>
              <w:jc w:val="right"/>
              <w:rPr>
                <w:rFonts w:ascii="Arial" w:hAnsi="Arial" w:cs="Arial"/>
                <w:color w:val="000000"/>
                <w:spacing w:val="-6"/>
                <w:sz w:val="20"/>
                <w:szCs w:val="20"/>
              </w:rPr>
            </w:pPr>
            <w:r w:rsidRPr="00CD5714">
              <w:rPr>
                <w:rFonts w:ascii="Arial" w:hAnsi="Arial" w:cs="Arial"/>
                <w:color w:val="000000"/>
                <w:spacing w:val="-6"/>
                <w:sz w:val="20"/>
                <w:szCs w:val="20"/>
                <w:lang w:val="en-GB"/>
              </w:rPr>
              <w:t>689</w:t>
            </w:r>
            <w:r w:rsidR="002E097E" w:rsidRPr="002D2F67">
              <w:rPr>
                <w:rFonts w:ascii="Arial" w:hAnsi="Arial" w:cs="Arial"/>
                <w:color w:val="000000"/>
                <w:spacing w:val="-6"/>
                <w:sz w:val="20"/>
                <w:szCs w:val="20"/>
              </w:rPr>
              <w:t>,</w:t>
            </w:r>
            <w:r w:rsidRPr="00CD5714">
              <w:rPr>
                <w:rFonts w:ascii="Arial" w:hAnsi="Arial" w:cs="Arial"/>
                <w:color w:val="000000"/>
                <w:spacing w:val="-6"/>
                <w:sz w:val="20"/>
                <w:szCs w:val="20"/>
                <w:lang w:val="en-GB"/>
              </w:rPr>
              <w:t>209</w:t>
            </w:r>
          </w:p>
        </w:tc>
        <w:tc>
          <w:tcPr>
            <w:tcW w:w="1440" w:type="dxa"/>
            <w:shd w:val="clear" w:color="auto" w:fill="auto"/>
            <w:vAlign w:val="bottom"/>
          </w:tcPr>
          <w:p w14:paraId="22B30336" w14:textId="1E72BF47" w:rsidR="00FB6B7A" w:rsidRPr="002D2F67" w:rsidRDefault="00CD5714" w:rsidP="005611FE">
            <w:pPr>
              <w:pStyle w:val="Header"/>
              <w:ind w:left="709" w:right="-72" w:hanging="709"/>
              <w:jc w:val="right"/>
              <w:rPr>
                <w:rFonts w:ascii="Arial" w:hAnsi="Arial" w:cs="Arial"/>
                <w:color w:val="000000"/>
                <w:spacing w:val="-6"/>
                <w:sz w:val="20"/>
                <w:szCs w:val="20"/>
              </w:rPr>
            </w:pPr>
            <w:r w:rsidRPr="00CD5714">
              <w:rPr>
                <w:rFonts w:ascii="Arial" w:hAnsi="Arial" w:cs="Arial"/>
                <w:color w:val="000000"/>
                <w:spacing w:val="-6"/>
                <w:sz w:val="20"/>
                <w:szCs w:val="20"/>
                <w:lang w:val="en-GB"/>
              </w:rPr>
              <w:t>646</w:t>
            </w:r>
            <w:r w:rsidR="00FB6B7A" w:rsidRPr="002D2F67">
              <w:rPr>
                <w:rFonts w:ascii="Arial" w:hAnsi="Arial" w:cs="Arial"/>
                <w:color w:val="000000"/>
                <w:spacing w:val="-6"/>
                <w:sz w:val="20"/>
                <w:szCs w:val="20"/>
              </w:rPr>
              <w:t>,</w:t>
            </w:r>
            <w:r w:rsidRPr="00CD5714">
              <w:rPr>
                <w:rFonts w:ascii="Arial" w:hAnsi="Arial" w:cs="Arial"/>
                <w:color w:val="000000"/>
                <w:spacing w:val="-6"/>
                <w:sz w:val="20"/>
                <w:szCs w:val="20"/>
                <w:lang w:val="en-GB"/>
              </w:rPr>
              <w:t>535</w:t>
            </w:r>
          </w:p>
        </w:tc>
        <w:tc>
          <w:tcPr>
            <w:tcW w:w="1440" w:type="dxa"/>
            <w:shd w:val="clear" w:color="auto" w:fill="auto"/>
            <w:vAlign w:val="bottom"/>
          </w:tcPr>
          <w:p w14:paraId="488EE158" w14:textId="0C4961ED" w:rsidR="00FB6B7A" w:rsidRPr="002D2F67" w:rsidRDefault="00CD5714" w:rsidP="005611FE">
            <w:pPr>
              <w:tabs>
                <w:tab w:val="center" w:pos="3402"/>
                <w:tab w:val="center" w:pos="4536"/>
                <w:tab w:val="center" w:pos="5670"/>
                <w:tab w:val="center" w:pos="6804"/>
                <w:tab w:val="right" w:pos="7655"/>
              </w:tabs>
              <w:ind w:left="709" w:right="-75" w:hanging="709"/>
              <w:jc w:val="right"/>
              <w:rPr>
                <w:rFonts w:ascii="Arial" w:eastAsia="Cordia New" w:hAnsi="Arial" w:cs="Arial"/>
                <w:color w:val="000000"/>
                <w:spacing w:val="-6"/>
                <w:sz w:val="20"/>
                <w:szCs w:val="20"/>
              </w:rPr>
            </w:pPr>
            <w:r w:rsidRPr="00CD5714">
              <w:rPr>
                <w:rFonts w:ascii="Arial" w:eastAsia="Cordia New" w:hAnsi="Arial" w:cs="Arial"/>
                <w:color w:val="000000"/>
                <w:spacing w:val="-6"/>
                <w:sz w:val="20"/>
                <w:szCs w:val="20"/>
                <w:lang w:val="en-GB"/>
              </w:rPr>
              <w:t>328</w:t>
            </w:r>
            <w:r w:rsidR="002E097E" w:rsidRPr="002D2F67">
              <w:rPr>
                <w:rFonts w:ascii="Arial" w:eastAsia="Cordia New" w:hAnsi="Arial" w:cs="Arial"/>
                <w:color w:val="000000"/>
                <w:spacing w:val="-6"/>
                <w:sz w:val="20"/>
                <w:szCs w:val="20"/>
              </w:rPr>
              <w:t>,</w:t>
            </w:r>
            <w:r w:rsidRPr="00CD5714">
              <w:rPr>
                <w:rFonts w:ascii="Arial" w:eastAsia="Cordia New" w:hAnsi="Arial" w:cs="Arial"/>
                <w:color w:val="000000"/>
                <w:spacing w:val="-6"/>
                <w:sz w:val="20"/>
                <w:szCs w:val="20"/>
                <w:lang w:val="en-GB"/>
              </w:rPr>
              <w:t>349</w:t>
            </w:r>
          </w:p>
        </w:tc>
        <w:tc>
          <w:tcPr>
            <w:tcW w:w="1440" w:type="dxa"/>
            <w:shd w:val="clear" w:color="auto" w:fill="auto"/>
            <w:vAlign w:val="bottom"/>
          </w:tcPr>
          <w:p w14:paraId="2C67C5AF" w14:textId="54FF7D97" w:rsidR="00FB6B7A" w:rsidRPr="002D2F67" w:rsidRDefault="00CD5714" w:rsidP="005611FE">
            <w:pPr>
              <w:tabs>
                <w:tab w:val="center" w:pos="3402"/>
                <w:tab w:val="center" w:pos="4536"/>
                <w:tab w:val="center" w:pos="5670"/>
                <w:tab w:val="center" w:pos="6804"/>
                <w:tab w:val="right" w:pos="7655"/>
              </w:tabs>
              <w:ind w:left="709" w:right="-75" w:hanging="709"/>
              <w:jc w:val="right"/>
              <w:rPr>
                <w:rFonts w:ascii="Arial" w:hAnsi="Arial" w:cs="Arial"/>
                <w:color w:val="000000"/>
                <w:spacing w:val="-6"/>
                <w:sz w:val="20"/>
                <w:szCs w:val="20"/>
              </w:rPr>
            </w:pPr>
            <w:r w:rsidRPr="00CD5714">
              <w:rPr>
                <w:rFonts w:ascii="Arial" w:eastAsia="Cordia New" w:hAnsi="Arial" w:cs="Arial"/>
                <w:color w:val="000000"/>
                <w:spacing w:val="-6"/>
                <w:sz w:val="20"/>
                <w:szCs w:val="20"/>
                <w:lang w:val="en-GB"/>
              </w:rPr>
              <w:t>290</w:t>
            </w:r>
            <w:r w:rsidR="00FB6B7A" w:rsidRPr="002D2F67">
              <w:rPr>
                <w:rFonts w:ascii="Arial" w:eastAsia="Cordia New" w:hAnsi="Arial" w:cs="Arial"/>
                <w:color w:val="000000"/>
                <w:spacing w:val="-6"/>
                <w:sz w:val="20"/>
                <w:szCs w:val="20"/>
              </w:rPr>
              <w:t>,</w:t>
            </w:r>
            <w:r w:rsidRPr="00CD5714">
              <w:rPr>
                <w:rFonts w:ascii="Arial" w:eastAsia="Cordia New" w:hAnsi="Arial" w:cs="Arial"/>
                <w:color w:val="000000"/>
                <w:spacing w:val="-6"/>
                <w:sz w:val="20"/>
                <w:szCs w:val="20"/>
                <w:lang w:val="en-GB"/>
              </w:rPr>
              <w:t>277</w:t>
            </w:r>
          </w:p>
        </w:tc>
      </w:tr>
      <w:tr w:rsidR="00FB6B7A" w:rsidRPr="002D2F67" w14:paraId="2D623B8B" w14:textId="77777777" w:rsidTr="005611FE">
        <w:tc>
          <w:tcPr>
            <w:tcW w:w="3690" w:type="dxa"/>
            <w:shd w:val="clear" w:color="auto" w:fill="auto"/>
          </w:tcPr>
          <w:p w14:paraId="3A67440B" w14:textId="05869810" w:rsidR="00FB6B7A" w:rsidRPr="002D2F67" w:rsidRDefault="00FB6B7A" w:rsidP="005611FE">
            <w:pPr>
              <w:pStyle w:val="Header"/>
              <w:tabs>
                <w:tab w:val="clear" w:pos="4320"/>
                <w:tab w:val="clear" w:pos="8640"/>
              </w:tabs>
              <w:ind w:left="-80" w:right="-288"/>
              <w:jc w:val="left"/>
              <w:rPr>
                <w:rFonts w:ascii="Arial" w:hAnsi="Arial" w:cs="Arial"/>
                <w:color w:val="000000"/>
                <w:sz w:val="20"/>
                <w:szCs w:val="20"/>
              </w:rPr>
            </w:pPr>
            <w:r w:rsidRPr="002D2F67">
              <w:rPr>
                <w:rFonts w:ascii="Arial" w:hAnsi="Arial" w:cs="Arial"/>
                <w:color w:val="000000"/>
                <w:sz w:val="20"/>
                <w:szCs w:val="20"/>
              </w:rPr>
              <w:t>Deferred tax liabilities</w:t>
            </w:r>
          </w:p>
        </w:tc>
        <w:tc>
          <w:tcPr>
            <w:tcW w:w="1440" w:type="dxa"/>
            <w:tcBorders>
              <w:bottom w:val="single" w:sz="4" w:space="0" w:color="auto"/>
            </w:tcBorders>
            <w:shd w:val="clear" w:color="auto" w:fill="auto"/>
            <w:vAlign w:val="bottom"/>
          </w:tcPr>
          <w:p w14:paraId="26AA229A" w14:textId="011F4B03" w:rsidR="00FB6B7A" w:rsidRPr="002D2F67" w:rsidRDefault="00933881" w:rsidP="005611FE">
            <w:pPr>
              <w:pStyle w:val="Header"/>
              <w:ind w:left="709" w:right="-72" w:hanging="709"/>
              <w:jc w:val="right"/>
              <w:rPr>
                <w:rFonts w:ascii="Arial" w:hAnsi="Arial" w:cs="Arial"/>
                <w:color w:val="000000"/>
                <w:spacing w:val="-6"/>
                <w:sz w:val="20"/>
                <w:szCs w:val="20"/>
              </w:rPr>
            </w:pPr>
            <w:r w:rsidRPr="002D2F67">
              <w:rPr>
                <w:rFonts w:ascii="Arial" w:hAnsi="Arial" w:cs="Arial"/>
                <w:color w:val="000000"/>
                <w:spacing w:val="-6"/>
                <w:sz w:val="20"/>
                <w:szCs w:val="20"/>
              </w:rPr>
              <w:t>(</w:t>
            </w:r>
            <w:r w:rsidR="00CD5714" w:rsidRPr="00CD5714">
              <w:rPr>
                <w:rFonts w:ascii="Arial" w:hAnsi="Arial" w:cs="Arial"/>
                <w:color w:val="000000"/>
                <w:spacing w:val="-6"/>
                <w:sz w:val="20"/>
                <w:szCs w:val="20"/>
                <w:lang w:val="en-GB"/>
              </w:rPr>
              <w:t>368</w:t>
            </w:r>
            <w:r w:rsidRPr="002D2F67">
              <w:rPr>
                <w:rFonts w:ascii="Arial" w:hAnsi="Arial" w:cs="Arial"/>
                <w:color w:val="000000"/>
                <w:spacing w:val="-6"/>
                <w:sz w:val="20"/>
                <w:szCs w:val="20"/>
              </w:rPr>
              <w:t>,</w:t>
            </w:r>
            <w:r w:rsidR="00CD5714" w:rsidRPr="00CD5714">
              <w:rPr>
                <w:rFonts w:ascii="Arial" w:hAnsi="Arial" w:cs="Arial"/>
                <w:color w:val="000000"/>
                <w:spacing w:val="-6"/>
                <w:sz w:val="20"/>
                <w:szCs w:val="20"/>
                <w:lang w:val="en-GB"/>
              </w:rPr>
              <w:t>534</w:t>
            </w:r>
            <w:r w:rsidRPr="002D2F67">
              <w:rPr>
                <w:rFonts w:ascii="Arial" w:hAnsi="Arial" w:cs="Arial"/>
                <w:color w:val="000000"/>
                <w:spacing w:val="-6"/>
                <w:sz w:val="20"/>
                <w:szCs w:val="20"/>
              </w:rPr>
              <w:t>)</w:t>
            </w:r>
          </w:p>
        </w:tc>
        <w:tc>
          <w:tcPr>
            <w:tcW w:w="1440" w:type="dxa"/>
            <w:tcBorders>
              <w:bottom w:val="single" w:sz="4" w:space="0" w:color="auto"/>
            </w:tcBorders>
            <w:shd w:val="clear" w:color="auto" w:fill="auto"/>
            <w:vAlign w:val="bottom"/>
          </w:tcPr>
          <w:p w14:paraId="67FE4828" w14:textId="50989EB7" w:rsidR="00FB6B7A" w:rsidRPr="002D2F67" w:rsidRDefault="00FB6B7A" w:rsidP="005611FE">
            <w:pPr>
              <w:pStyle w:val="Header"/>
              <w:ind w:left="709" w:right="-72" w:hanging="709"/>
              <w:jc w:val="right"/>
              <w:rPr>
                <w:rFonts w:ascii="Arial" w:hAnsi="Arial" w:cs="Arial"/>
                <w:color w:val="000000"/>
                <w:spacing w:val="-6"/>
                <w:sz w:val="20"/>
                <w:szCs w:val="20"/>
              </w:rPr>
            </w:pPr>
            <w:r w:rsidRPr="002D2F67">
              <w:rPr>
                <w:rFonts w:ascii="Arial" w:hAnsi="Arial" w:cs="Arial"/>
                <w:color w:val="000000"/>
                <w:spacing w:val="-6"/>
                <w:sz w:val="20"/>
                <w:szCs w:val="20"/>
              </w:rPr>
              <w:t>(</w:t>
            </w:r>
            <w:r w:rsidR="00CD5714" w:rsidRPr="00CD5714">
              <w:rPr>
                <w:rFonts w:ascii="Arial" w:hAnsi="Arial" w:cs="Arial"/>
                <w:color w:val="000000"/>
                <w:spacing w:val="-6"/>
                <w:sz w:val="20"/>
                <w:szCs w:val="20"/>
                <w:lang w:val="en-GB"/>
              </w:rPr>
              <w:t>537</w:t>
            </w:r>
            <w:r w:rsidRPr="002D2F67">
              <w:rPr>
                <w:rFonts w:ascii="Arial" w:hAnsi="Arial" w:cs="Arial"/>
                <w:color w:val="000000"/>
                <w:spacing w:val="-6"/>
                <w:sz w:val="20"/>
                <w:szCs w:val="20"/>
              </w:rPr>
              <w:t>,</w:t>
            </w:r>
            <w:r w:rsidR="00CD5714" w:rsidRPr="00CD5714">
              <w:rPr>
                <w:rFonts w:ascii="Arial" w:hAnsi="Arial" w:cs="Arial"/>
                <w:color w:val="000000"/>
                <w:spacing w:val="-6"/>
                <w:sz w:val="20"/>
                <w:szCs w:val="20"/>
                <w:lang w:val="en-GB"/>
              </w:rPr>
              <w:t>386</w:t>
            </w:r>
            <w:r w:rsidRPr="002D2F67">
              <w:rPr>
                <w:rFonts w:ascii="Arial" w:hAnsi="Arial" w:cs="Arial"/>
                <w:color w:val="000000"/>
                <w:spacing w:val="-6"/>
                <w:sz w:val="20"/>
                <w:szCs w:val="20"/>
              </w:rPr>
              <w:t>)</w:t>
            </w:r>
          </w:p>
        </w:tc>
        <w:tc>
          <w:tcPr>
            <w:tcW w:w="1440" w:type="dxa"/>
            <w:tcBorders>
              <w:bottom w:val="single" w:sz="4" w:space="0" w:color="auto"/>
            </w:tcBorders>
            <w:shd w:val="clear" w:color="auto" w:fill="auto"/>
            <w:vAlign w:val="bottom"/>
          </w:tcPr>
          <w:p w14:paraId="21231B0C" w14:textId="58A5D06F" w:rsidR="00FB6B7A" w:rsidRPr="002D2F67" w:rsidRDefault="002C5D32" w:rsidP="005611FE">
            <w:pPr>
              <w:tabs>
                <w:tab w:val="center" w:pos="3402"/>
                <w:tab w:val="center" w:pos="4536"/>
                <w:tab w:val="center" w:pos="5670"/>
                <w:tab w:val="center" w:pos="6804"/>
                <w:tab w:val="right" w:pos="7655"/>
              </w:tabs>
              <w:ind w:left="709" w:right="-75" w:hanging="709"/>
              <w:jc w:val="right"/>
              <w:rPr>
                <w:rFonts w:ascii="Arial" w:eastAsia="Cordia New" w:hAnsi="Arial" w:cs="Arial"/>
                <w:color w:val="000000"/>
                <w:spacing w:val="-6"/>
                <w:sz w:val="20"/>
                <w:szCs w:val="20"/>
              </w:rPr>
            </w:pPr>
            <w:r w:rsidRPr="002D2F67">
              <w:rPr>
                <w:rFonts w:ascii="Arial" w:eastAsia="Cordia New" w:hAnsi="Arial" w:cs="Arial"/>
                <w:color w:val="000000"/>
                <w:spacing w:val="-6"/>
                <w:sz w:val="20"/>
                <w:szCs w:val="20"/>
              </w:rPr>
              <w:t>(</w:t>
            </w:r>
            <w:r w:rsidR="00CD5714" w:rsidRPr="00CD5714">
              <w:rPr>
                <w:rFonts w:ascii="Arial" w:eastAsia="Cordia New" w:hAnsi="Arial" w:cs="Arial"/>
                <w:color w:val="000000"/>
                <w:spacing w:val="-6"/>
                <w:sz w:val="20"/>
                <w:szCs w:val="20"/>
                <w:lang w:val="en-GB"/>
              </w:rPr>
              <w:t>53</w:t>
            </w:r>
            <w:r w:rsidRPr="002D2F67">
              <w:rPr>
                <w:rFonts w:ascii="Arial" w:eastAsia="Cordia New" w:hAnsi="Arial" w:cs="Arial"/>
                <w:color w:val="000000"/>
                <w:spacing w:val="-6"/>
                <w:sz w:val="20"/>
                <w:szCs w:val="20"/>
              </w:rPr>
              <w:t>,</w:t>
            </w:r>
            <w:r w:rsidR="00CD5714" w:rsidRPr="00CD5714">
              <w:rPr>
                <w:rFonts w:ascii="Arial" w:eastAsia="Cordia New" w:hAnsi="Arial" w:cs="Arial"/>
                <w:color w:val="000000"/>
                <w:spacing w:val="-6"/>
                <w:sz w:val="20"/>
                <w:szCs w:val="20"/>
                <w:lang w:val="en-GB"/>
              </w:rPr>
              <w:t>050</w:t>
            </w:r>
            <w:r w:rsidRPr="002D2F67">
              <w:rPr>
                <w:rFonts w:ascii="Arial" w:eastAsia="Cordia New" w:hAnsi="Arial" w:cs="Arial"/>
                <w:color w:val="000000"/>
                <w:spacing w:val="-6"/>
                <w:sz w:val="20"/>
                <w:szCs w:val="20"/>
              </w:rPr>
              <w:t>)</w:t>
            </w:r>
          </w:p>
        </w:tc>
        <w:tc>
          <w:tcPr>
            <w:tcW w:w="1440" w:type="dxa"/>
            <w:tcBorders>
              <w:bottom w:val="single" w:sz="4" w:space="0" w:color="auto"/>
            </w:tcBorders>
            <w:shd w:val="clear" w:color="auto" w:fill="auto"/>
            <w:vAlign w:val="bottom"/>
          </w:tcPr>
          <w:p w14:paraId="5AD16024" w14:textId="3669B721" w:rsidR="00FB6B7A" w:rsidRPr="002D2F67" w:rsidRDefault="00FB6B7A" w:rsidP="005611FE">
            <w:pPr>
              <w:pStyle w:val="Header"/>
              <w:ind w:left="709" w:right="-72" w:hanging="709"/>
              <w:jc w:val="right"/>
              <w:rPr>
                <w:rFonts w:ascii="Arial" w:hAnsi="Arial" w:cs="Arial"/>
                <w:color w:val="000000"/>
                <w:spacing w:val="-6"/>
                <w:sz w:val="20"/>
                <w:szCs w:val="20"/>
              </w:rPr>
            </w:pPr>
            <w:r w:rsidRPr="002D2F67">
              <w:rPr>
                <w:rFonts w:ascii="Arial" w:hAnsi="Arial" w:cs="Arial"/>
                <w:color w:val="000000"/>
                <w:spacing w:val="-6"/>
                <w:sz w:val="20"/>
                <w:szCs w:val="20"/>
              </w:rPr>
              <w:t>(</w:t>
            </w:r>
            <w:r w:rsidR="00CD5714" w:rsidRPr="00CD5714">
              <w:rPr>
                <w:rFonts w:ascii="Arial" w:hAnsi="Arial" w:cs="Arial"/>
                <w:color w:val="000000"/>
                <w:spacing w:val="-6"/>
                <w:sz w:val="20"/>
                <w:szCs w:val="20"/>
                <w:lang w:val="en-GB"/>
              </w:rPr>
              <w:t>55</w:t>
            </w:r>
            <w:r w:rsidRPr="002D2F67">
              <w:rPr>
                <w:rFonts w:ascii="Arial" w:hAnsi="Arial" w:cs="Arial"/>
                <w:color w:val="000000"/>
                <w:spacing w:val="-6"/>
                <w:sz w:val="20"/>
                <w:szCs w:val="20"/>
              </w:rPr>
              <w:t>,</w:t>
            </w:r>
            <w:r w:rsidR="00CD5714" w:rsidRPr="00CD5714">
              <w:rPr>
                <w:rFonts w:ascii="Arial" w:hAnsi="Arial" w:cs="Arial"/>
                <w:color w:val="000000"/>
                <w:spacing w:val="-6"/>
                <w:sz w:val="20"/>
                <w:szCs w:val="20"/>
                <w:lang w:val="en-GB"/>
              </w:rPr>
              <w:t>100</w:t>
            </w:r>
            <w:r w:rsidRPr="002D2F67">
              <w:rPr>
                <w:rFonts w:ascii="Arial" w:hAnsi="Arial" w:cs="Arial"/>
                <w:color w:val="000000"/>
                <w:spacing w:val="-6"/>
                <w:sz w:val="20"/>
                <w:szCs w:val="20"/>
              </w:rPr>
              <w:t>)</w:t>
            </w:r>
          </w:p>
        </w:tc>
      </w:tr>
      <w:tr w:rsidR="00FB6B7A" w:rsidRPr="002D2F67" w14:paraId="5094B832" w14:textId="77777777" w:rsidTr="005611FE">
        <w:tc>
          <w:tcPr>
            <w:tcW w:w="3690" w:type="dxa"/>
            <w:shd w:val="clear" w:color="auto" w:fill="auto"/>
          </w:tcPr>
          <w:p w14:paraId="2C92FDA4" w14:textId="77777777" w:rsidR="00FB6B7A" w:rsidRPr="002D2F67" w:rsidRDefault="00FB6B7A" w:rsidP="005611FE">
            <w:pPr>
              <w:pStyle w:val="Header"/>
              <w:tabs>
                <w:tab w:val="clear" w:pos="4320"/>
                <w:tab w:val="clear" w:pos="8640"/>
              </w:tabs>
              <w:ind w:left="-80" w:right="-288" w:hanging="11"/>
              <w:jc w:val="left"/>
              <w:rPr>
                <w:rFonts w:ascii="Arial" w:hAnsi="Arial" w:cs="Arial"/>
                <w:color w:val="000000"/>
                <w:sz w:val="20"/>
                <w:szCs w:val="20"/>
              </w:rPr>
            </w:pPr>
          </w:p>
        </w:tc>
        <w:tc>
          <w:tcPr>
            <w:tcW w:w="1440" w:type="dxa"/>
            <w:tcBorders>
              <w:top w:val="single" w:sz="4" w:space="0" w:color="auto"/>
            </w:tcBorders>
            <w:shd w:val="clear" w:color="auto" w:fill="auto"/>
          </w:tcPr>
          <w:p w14:paraId="1E19549F" w14:textId="77777777" w:rsidR="00FB6B7A" w:rsidRPr="002D2F67" w:rsidRDefault="00FB6B7A" w:rsidP="005611FE">
            <w:pPr>
              <w:tabs>
                <w:tab w:val="left" w:pos="1134"/>
                <w:tab w:val="left" w:pos="1276"/>
                <w:tab w:val="center" w:pos="3402"/>
                <w:tab w:val="center" w:pos="4536"/>
                <w:tab w:val="center" w:pos="5670"/>
                <w:tab w:val="center" w:pos="6804"/>
                <w:tab w:val="right" w:pos="7655"/>
              </w:tabs>
              <w:ind w:left="709" w:hanging="709"/>
              <w:jc w:val="right"/>
              <w:rPr>
                <w:rFonts w:ascii="Arial" w:hAnsi="Arial" w:cs="Arial"/>
                <w:color w:val="000000"/>
                <w:spacing w:val="-6"/>
                <w:sz w:val="20"/>
                <w:szCs w:val="20"/>
              </w:rPr>
            </w:pPr>
          </w:p>
        </w:tc>
        <w:tc>
          <w:tcPr>
            <w:tcW w:w="1440" w:type="dxa"/>
            <w:tcBorders>
              <w:top w:val="single" w:sz="4" w:space="0" w:color="auto"/>
            </w:tcBorders>
            <w:shd w:val="clear" w:color="auto" w:fill="auto"/>
          </w:tcPr>
          <w:p w14:paraId="4CD01BA5" w14:textId="77777777" w:rsidR="00FB6B7A" w:rsidRPr="002D2F67" w:rsidRDefault="00FB6B7A" w:rsidP="005611FE">
            <w:pPr>
              <w:tabs>
                <w:tab w:val="left" w:pos="1134"/>
                <w:tab w:val="left" w:pos="1276"/>
                <w:tab w:val="center" w:pos="3402"/>
                <w:tab w:val="center" w:pos="4536"/>
                <w:tab w:val="center" w:pos="5670"/>
                <w:tab w:val="center" w:pos="6804"/>
                <w:tab w:val="right" w:pos="7655"/>
              </w:tabs>
              <w:ind w:left="709" w:hanging="709"/>
              <w:jc w:val="right"/>
              <w:rPr>
                <w:rFonts w:ascii="Arial" w:hAnsi="Arial" w:cs="Arial"/>
                <w:color w:val="000000"/>
                <w:spacing w:val="-6"/>
                <w:sz w:val="20"/>
                <w:szCs w:val="20"/>
              </w:rPr>
            </w:pPr>
          </w:p>
        </w:tc>
        <w:tc>
          <w:tcPr>
            <w:tcW w:w="1440" w:type="dxa"/>
            <w:tcBorders>
              <w:top w:val="single" w:sz="4" w:space="0" w:color="auto"/>
            </w:tcBorders>
            <w:shd w:val="clear" w:color="auto" w:fill="auto"/>
            <w:vAlign w:val="bottom"/>
          </w:tcPr>
          <w:p w14:paraId="66C17882" w14:textId="77777777" w:rsidR="00FB6B7A" w:rsidRPr="002D2F67" w:rsidRDefault="00FB6B7A" w:rsidP="005611FE">
            <w:pPr>
              <w:tabs>
                <w:tab w:val="center" w:pos="3402"/>
                <w:tab w:val="center" w:pos="4536"/>
                <w:tab w:val="center" w:pos="5670"/>
                <w:tab w:val="center" w:pos="6804"/>
                <w:tab w:val="right" w:pos="7655"/>
              </w:tabs>
              <w:ind w:left="709" w:right="-75" w:hanging="709"/>
              <w:jc w:val="right"/>
              <w:rPr>
                <w:rFonts w:ascii="Arial" w:hAnsi="Arial" w:cs="Arial"/>
                <w:color w:val="000000"/>
                <w:sz w:val="20"/>
                <w:szCs w:val="20"/>
              </w:rPr>
            </w:pPr>
          </w:p>
        </w:tc>
        <w:tc>
          <w:tcPr>
            <w:tcW w:w="1440" w:type="dxa"/>
            <w:tcBorders>
              <w:top w:val="single" w:sz="4" w:space="0" w:color="auto"/>
            </w:tcBorders>
            <w:shd w:val="clear" w:color="auto" w:fill="auto"/>
            <w:vAlign w:val="bottom"/>
          </w:tcPr>
          <w:p w14:paraId="2738FED3" w14:textId="77777777" w:rsidR="00FB6B7A" w:rsidRPr="002D2F67" w:rsidRDefault="00FB6B7A" w:rsidP="005611FE">
            <w:pPr>
              <w:tabs>
                <w:tab w:val="left" w:pos="1134"/>
                <w:tab w:val="left" w:pos="1276"/>
                <w:tab w:val="center" w:pos="3402"/>
                <w:tab w:val="center" w:pos="4536"/>
                <w:tab w:val="center" w:pos="5670"/>
                <w:tab w:val="center" w:pos="6804"/>
                <w:tab w:val="right" w:pos="7655"/>
              </w:tabs>
              <w:ind w:left="709" w:hanging="709"/>
              <w:jc w:val="right"/>
              <w:rPr>
                <w:rFonts w:ascii="Arial" w:hAnsi="Arial" w:cs="Arial"/>
                <w:color w:val="000000"/>
                <w:spacing w:val="-6"/>
                <w:sz w:val="20"/>
                <w:szCs w:val="20"/>
              </w:rPr>
            </w:pPr>
          </w:p>
        </w:tc>
      </w:tr>
      <w:tr w:rsidR="00FB6B7A" w:rsidRPr="002D2F67" w14:paraId="651345DA" w14:textId="77777777" w:rsidTr="005611FE">
        <w:tc>
          <w:tcPr>
            <w:tcW w:w="3690" w:type="dxa"/>
            <w:shd w:val="clear" w:color="auto" w:fill="auto"/>
          </w:tcPr>
          <w:p w14:paraId="746B444E" w14:textId="77777777" w:rsidR="00FB6B7A" w:rsidRPr="002D2F67" w:rsidRDefault="00FB6B7A" w:rsidP="005611FE">
            <w:pPr>
              <w:pStyle w:val="Header"/>
              <w:tabs>
                <w:tab w:val="clear" w:pos="4320"/>
                <w:tab w:val="clear" w:pos="8640"/>
              </w:tabs>
              <w:ind w:left="-80" w:right="-288"/>
              <w:jc w:val="left"/>
              <w:rPr>
                <w:rFonts w:ascii="Arial" w:hAnsi="Arial" w:cs="Arial"/>
                <w:color w:val="000000"/>
                <w:sz w:val="20"/>
                <w:szCs w:val="20"/>
              </w:rPr>
            </w:pPr>
            <w:r w:rsidRPr="002D2F67">
              <w:rPr>
                <w:rFonts w:ascii="Arial" w:hAnsi="Arial" w:cs="Arial"/>
                <w:color w:val="000000"/>
                <w:sz w:val="20"/>
                <w:szCs w:val="20"/>
              </w:rPr>
              <w:t>Deferred income taxes, net</w:t>
            </w:r>
          </w:p>
        </w:tc>
        <w:tc>
          <w:tcPr>
            <w:tcW w:w="1440" w:type="dxa"/>
            <w:tcBorders>
              <w:bottom w:val="single" w:sz="4" w:space="0" w:color="auto"/>
            </w:tcBorders>
            <w:shd w:val="clear" w:color="auto" w:fill="auto"/>
            <w:vAlign w:val="bottom"/>
          </w:tcPr>
          <w:p w14:paraId="522864FD" w14:textId="3EE3B7D9" w:rsidR="00FB6B7A" w:rsidRPr="002D2F67" w:rsidRDefault="00CD5714" w:rsidP="005611FE">
            <w:pPr>
              <w:pStyle w:val="Header"/>
              <w:ind w:left="709" w:right="-72" w:hanging="709"/>
              <w:jc w:val="right"/>
              <w:rPr>
                <w:rFonts w:ascii="Arial" w:hAnsi="Arial" w:cs="Arial"/>
                <w:color w:val="000000"/>
                <w:spacing w:val="-6"/>
                <w:sz w:val="20"/>
                <w:szCs w:val="20"/>
              </w:rPr>
            </w:pPr>
            <w:r w:rsidRPr="00CD5714">
              <w:rPr>
                <w:rFonts w:ascii="Arial" w:hAnsi="Arial" w:cs="Arial"/>
                <w:color w:val="000000"/>
                <w:spacing w:val="-6"/>
                <w:sz w:val="20"/>
                <w:szCs w:val="20"/>
                <w:lang w:val="en-GB"/>
              </w:rPr>
              <w:t>320</w:t>
            </w:r>
            <w:r w:rsidR="00EF442A" w:rsidRPr="002D2F67">
              <w:rPr>
                <w:rFonts w:ascii="Arial" w:hAnsi="Arial" w:cs="Arial"/>
                <w:color w:val="000000"/>
                <w:spacing w:val="-6"/>
                <w:sz w:val="20"/>
                <w:szCs w:val="20"/>
              </w:rPr>
              <w:t>,</w:t>
            </w:r>
            <w:r w:rsidRPr="00CD5714">
              <w:rPr>
                <w:rFonts w:ascii="Arial" w:hAnsi="Arial" w:cs="Arial"/>
                <w:color w:val="000000"/>
                <w:spacing w:val="-6"/>
                <w:sz w:val="20"/>
                <w:szCs w:val="20"/>
                <w:lang w:val="en-GB"/>
              </w:rPr>
              <w:t>675</w:t>
            </w:r>
          </w:p>
        </w:tc>
        <w:tc>
          <w:tcPr>
            <w:tcW w:w="1440" w:type="dxa"/>
            <w:tcBorders>
              <w:bottom w:val="single" w:sz="4" w:space="0" w:color="auto"/>
            </w:tcBorders>
            <w:shd w:val="clear" w:color="auto" w:fill="auto"/>
            <w:vAlign w:val="bottom"/>
          </w:tcPr>
          <w:p w14:paraId="72B7131A" w14:textId="26B369E0" w:rsidR="00FB6B7A" w:rsidRPr="002D2F67" w:rsidRDefault="00CD5714" w:rsidP="005611FE">
            <w:pPr>
              <w:pStyle w:val="Header"/>
              <w:ind w:left="709" w:right="-72" w:hanging="709"/>
              <w:jc w:val="right"/>
              <w:rPr>
                <w:rFonts w:ascii="Arial" w:hAnsi="Arial" w:cs="Arial"/>
                <w:color w:val="000000"/>
                <w:spacing w:val="-6"/>
                <w:sz w:val="20"/>
                <w:szCs w:val="20"/>
              </w:rPr>
            </w:pPr>
            <w:r w:rsidRPr="00CD5714">
              <w:rPr>
                <w:rFonts w:ascii="Arial" w:hAnsi="Arial" w:cs="Arial"/>
                <w:color w:val="000000"/>
                <w:spacing w:val="-6"/>
                <w:sz w:val="20"/>
                <w:szCs w:val="20"/>
                <w:lang w:val="en-GB"/>
              </w:rPr>
              <w:t>109</w:t>
            </w:r>
            <w:r w:rsidR="00FB6B7A" w:rsidRPr="002D2F67">
              <w:rPr>
                <w:rFonts w:ascii="Arial" w:hAnsi="Arial" w:cs="Arial"/>
                <w:color w:val="000000"/>
                <w:spacing w:val="-6"/>
                <w:sz w:val="20"/>
                <w:szCs w:val="20"/>
              </w:rPr>
              <w:t>,</w:t>
            </w:r>
            <w:r w:rsidRPr="00CD5714">
              <w:rPr>
                <w:rFonts w:ascii="Arial" w:hAnsi="Arial" w:cs="Arial"/>
                <w:color w:val="000000"/>
                <w:spacing w:val="-6"/>
                <w:sz w:val="20"/>
                <w:szCs w:val="20"/>
                <w:lang w:val="en-GB"/>
              </w:rPr>
              <w:t>149</w:t>
            </w:r>
          </w:p>
        </w:tc>
        <w:tc>
          <w:tcPr>
            <w:tcW w:w="1440" w:type="dxa"/>
            <w:tcBorders>
              <w:bottom w:val="single" w:sz="4" w:space="0" w:color="auto"/>
            </w:tcBorders>
            <w:shd w:val="clear" w:color="auto" w:fill="auto"/>
            <w:vAlign w:val="bottom"/>
          </w:tcPr>
          <w:p w14:paraId="7464BA70" w14:textId="3215B066" w:rsidR="00FB6B7A" w:rsidRPr="002D2F67" w:rsidRDefault="00CD5714" w:rsidP="005611FE">
            <w:pPr>
              <w:tabs>
                <w:tab w:val="center" w:pos="3402"/>
                <w:tab w:val="center" w:pos="4536"/>
                <w:tab w:val="center" w:pos="5670"/>
                <w:tab w:val="center" w:pos="6804"/>
                <w:tab w:val="right" w:pos="7655"/>
              </w:tabs>
              <w:ind w:left="709" w:right="-75" w:hanging="709"/>
              <w:jc w:val="right"/>
              <w:rPr>
                <w:rFonts w:ascii="Arial" w:eastAsia="Cordia New" w:hAnsi="Arial" w:cs="Arial"/>
                <w:color w:val="000000"/>
                <w:spacing w:val="-6"/>
                <w:sz w:val="20"/>
                <w:szCs w:val="20"/>
              </w:rPr>
            </w:pPr>
            <w:r w:rsidRPr="00CD5714">
              <w:rPr>
                <w:rFonts w:ascii="Arial" w:eastAsia="Cordia New" w:hAnsi="Arial" w:cs="Arial"/>
                <w:color w:val="000000"/>
                <w:spacing w:val="-6"/>
                <w:sz w:val="20"/>
                <w:szCs w:val="20"/>
                <w:lang w:val="en-GB"/>
              </w:rPr>
              <w:t>275</w:t>
            </w:r>
            <w:r w:rsidR="002E097E" w:rsidRPr="002D2F67">
              <w:rPr>
                <w:rFonts w:ascii="Arial" w:eastAsia="Cordia New" w:hAnsi="Arial" w:cs="Arial"/>
                <w:color w:val="000000"/>
                <w:spacing w:val="-6"/>
                <w:sz w:val="20"/>
                <w:szCs w:val="20"/>
              </w:rPr>
              <w:t>,</w:t>
            </w:r>
            <w:r w:rsidRPr="00CD5714">
              <w:rPr>
                <w:rFonts w:ascii="Arial" w:eastAsia="Cordia New" w:hAnsi="Arial" w:cs="Arial"/>
                <w:color w:val="000000"/>
                <w:spacing w:val="-6"/>
                <w:sz w:val="20"/>
                <w:szCs w:val="20"/>
                <w:lang w:val="en-GB"/>
              </w:rPr>
              <w:t>299</w:t>
            </w:r>
          </w:p>
        </w:tc>
        <w:tc>
          <w:tcPr>
            <w:tcW w:w="1440" w:type="dxa"/>
            <w:tcBorders>
              <w:bottom w:val="single" w:sz="4" w:space="0" w:color="auto"/>
            </w:tcBorders>
            <w:shd w:val="clear" w:color="auto" w:fill="auto"/>
            <w:vAlign w:val="bottom"/>
          </w:tcPr>
          <w:p w14:paraId="57514D67" w14:textId="652234F3" w:rsidR="00FB6B7A" w:rsidRPr="002D2F67" w:rsidRDefault="00CD5714" w:rsidP="005611FE">
            <w:pPr>
              <w:pStyle w:val="Header"/>
              <w:ind w:left="709" w:right="-72" w:hanging="709"/>
              <w:jc w:val="right"/>
              <w:rPr>
                <w:rFonts w:ascii="Arial" w:hAnsi="Arial" w:cs="Arial"/>
                <w:color w:val="000000"/>
                <w:spacing w:val="-6"/>
                <w:sz w:val="20"/>
                <w:szCs w:val="20"/>
              </w:rPr>
            </w:pPr>
            <w:r w:rsidRPr="00CD5714">
              <w:rPr>
                <w:rFonts w:ascii="Arial" w:hAnsi="Arial" w:cs="Arial"/>
                <w:color w:val="000000"/>
                <w:spacing w:val="-6"/>
                <w:sz w:val="20"/>
                <w:szCs w:val="20"/>
                <w:lang w:val="en-GB"/>
              </w:rPr>
              <w:t>235</w:t>
            </w:r>
            <w:r w:rsidR="00FB6B7A" w:rsidRPr="002D2F67">
              <w:rPr>
                <w:rFonts w:ascii="Arial" w:hAnsi="Arial" w:cs="Arial"/>
                <w:color w:val="000000"/>
                <w:spacing w:val="-6"/>
                <w:sz w:val="20"/>
                <w:szCs w:val="20"/>
              </w:rPr>
              <w:t>,</w:t>
            </w:r>
            <w:r w:rsidRPr="00CD5714">
              <w:rPr>
                <w:rFonts w:ascii="Arial" w:hAnsi="Arial" w:cs="Arial"/>
                <w:color w:val="000000"/>
                <w:spacing w:val="-6"/>
                <w:sz w:val="20"/>
                <w:szCs w:val="20"/>
                <w:lang w:val="en-GB"/>
              </w:rPr>
              <w:t>177</w:t>
            </w:r>
          </w:p>
        </w:tc>
      </w:tr>
    </w:tbl>
    <w:p w14:paraId="50502772" w14:textId="6FE3CE95" w:rsidR="00F62853" w:rsidRPr="002D2F67" w:rsidRDefault="00F62853" w:rsidP="005611FE">
      <w:pPr>
        <w:jc w:val="both"/>
        <w:rPr>
          <w:rFonts w:ascii="Arial" w:hAnsi="Arial" w:cs="Arial"/>
          <w:snapToGrid w:val="0"/>
          <w:color w:val="000000"/>
          <w:sz w:val="20"/>
          <w:szCs w:val="20"/>
          <w:lang w:eastAsia="th-TH"/>
        </w:rPr>
      </w:pPr>
    </w:p>
    <w:p w14:paraId="2E0620A0" w14:textId="7988A4BA" w:rsidR="007B701F" w:rsidRPr="002D2F67" w:rsidRDefault="007B701F" w:rsidP="005611FE">
      <w:pPr>
        <w:jc w:val="both"/>
        <w:rPr>
          <w:rFonts w:ascii="Arial" w:hAnsi="Arial" w:cs="Arial"/>
          <w:snapToGrid w:val="0"/>
          <w:color w:val="000000"/>
          <w:sz w:val="20"/>
          <w:szCs w:val="20"/>
          <w:lang w:eastAsia="th-TH"/>
        </w:rPr>
      </w:pPr>
      <w:r w:rsidRPr="002D2F67">
        <w:rPr>
          <w:rFonts w:ascii="Arial" w:hAnsi="Arial" w:cs="Arial"/>
          <w:snapToGrid w:val="0"/>
          <w:color w:val="000000"/>
          <w:sz w:val="20"/>
          <w:szCs w:val="20"/>
          <w:lang w:eastAsia="th-TH"/>
        </w:rPr>
        <w:t xml:space="preserve">The movement of the deferred income tax account </w:t>
      </w:r>
      <w:r w:rsidR="00C3251B" w:rsidRPr="002D2F67">
        <w:rPr>
          <w:rFonts w:ascii="Arial" w:hAnsi="Arial" w:cs="Arial"/>
          <w:snapToGrid w:val="0"/>
          <w:color w:val="000000"/>
          <w:sz w:val="20"/>
          <w:szCs w:val="20"/>
          <w:lang w:eastAsia="th-TH"/>
        </w:rPr>
        <w:t>wa</w:t>
      </w:r>
      <w:r w:rsidRPr="002D2F67">
        <w:rPr>
          <w:rFonts w:ascii="Arial" w:hAnsi="Arial" w:cs="Arial"/>
          <w:snapToGrid w:val="0"/>
          <w:color w:val="000000"/>
          <w:sz w:val="20"/>
          <w:szCs w:val="20"/>
          <w:lang w:eastAsia="th-TH"/>
        </w:rPr>
        <w:t>s as follows:</w:t>
      </w:r>
    </w:p>
    <w:p w14:paraId="2CF6137D" w14:textId="77777777" w:rsidR="00B4267B" w:rsidRPr="002D2F67" w:rsidRDefault="00B4267B" w:rsidP="005611FE">
      <w:pPr>
        <w:jc w:val="both"/>
        <w:rPr>
          <w:rFonts w:ascii="Arial" w:hAnsi="Arial" w:cs="Arial"/>
          <w:snapToGrid w:val="0"/>
          <w:color w:val="000000"/>
          <w:sz w:val="20"/>
          <w:szCs w:val="20"/>
          <w:lang w:eastAsia="th-TH"/>
        </w:rPr>
      </w:pPr>
    </w:p>
    <w:tbl>
      <w:tblPr>
        <w:tblW w:w="9588" w:type="dxa"/>
        <w:tblInd w:w="-34" w:type="dxa"/>
        <w:tblLayout w:type="fixed"/>
        <w:tblLook w:val="0000" w:firstRow="0" w:lastRow="0" w:firstColumn="0" w:lastColumn="0" w:noHBand="0" w:noVBand="0"/>
      </w:tblPr>
      <w:tblGrid>
        <w:gridCol w:w="3828"/>
        <w:gridCol w:w="1440"/>
        <w:gridCol w:w="1440"/>
        <w:gridCol w:w="1440"/>
        <w:gridCol w:w="1440"/>
      </w:tblGrid>
      <w:tr w:rsidR="00FE72E0" w:rsidRPr="002D2F67" w14:paraId="5B1D4AFB" w14:textId="77777777" w:rsidTr="00834DA6">
        <w:tc>
          <w:tcPr>
            <w:tcW w:w="3828" w:type="dxa"/>
            <w:shd w:val="clear" w:color="auto" w:fill="auto"/>
          </w:tcPr>
          <w:p w14:paraId="0E048ABA" w14:textId="77777777" w:rsidR="007B701F" w:rsidRPr="002D2F67" w:rsidRDefault="007B701F" w:rsidP="005611FE">
            <w:pPr>
              <w:tabs>
                <w:tab w:val="left" w:pos="1134"/>
                <w:tab w:val="left" w:pos="1276"/>
                <w:tab w:val="center" w:pos="3402"/>
                <w:tab w:val="center" w:pos="4536"/>
                <w:tab w:val="center" w:pos="5670"/>
                <w:tab w:val="center" w:pos="6804"/>
                <w:tab w:val="right" w:pos="7655"/>
              </w:tabs>
              <w:ind w:left="31" w:right="-108"/>
              <w:rPr>
                <w:rFonts w:ascii="Arial" w:hAnsi="Arial" w:cs="Arial"/>
                <w:color w:val="000000"/>
                <w:spacing w:val="-6"/>
                <w:sz w:val="20"/>
                <w:szCs w:val="20"/>
              </w:rPr>
            </w:pPr>
          </w:p>
        </w:tc>
        <w:tc>
          <w:tcPr>
            <w:tcW w:w="2880" w:type="dxa"/>
            <w:gridSpan w:val="2"/>
            <w:tcBorders>
              <w:bottom w:val="single" w:sz="4" w:space="0" w:color="auto"/>
            </w:tcBorders>
            <w:shd w:val="clear" w:color="auto" w:fill="auto"/>
          </w:tcPr>
          <w:p w14:paraId="5F4AB6C5" w14:textId="77777777" w:rsidR="007B701F" w:rsidRPr="002D2F67" w:rsidRDefault="007B701F" w:rsidP="005611FE">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color w:val="000000"/>
                <w:sz w:val="20"/>
                <w:szCs w:val="20"/>
              </w:rPr>
            </w:pPr>
            <w:r w:rsidRPr="002D2F67">
              <w:rPr>
                <w:rFonts w:ascii="Arial" w:hAnsi="Arial" w:cs="Arial"/>
                <w:b/>
                <w:bCs/>
                <w:color w:val="000000"/>
                <w:sz w:val="20"/>
                <w:szCs w:val="20"/>
              </w:rPr>
              <w:t>Consolidated</w:t>
            </w:r>
          </w:p>
          <w:p w14:paraId="50527C0E" w14:textId="77777777" w:rsidR="007B701F" w:rsidRPr="002D2F67" w:rsidRDefault="007B701F" w:rsidP="005611FE">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2880" w:type="dxa"/>
            <w:gridSpan w:val="2"/>
            <w:tcBorders>
              <w:bottom w:val="single" w:sz="4" w:space="0" w:color="auto"/>
            </w:tcBorders>
            <w:shd w:val="clear" w:color="auto" w:fill="auto"/>
          </w:tcPr>
          <w:p w14:paraId="076E12C9" w14:textId="77777777" w:rsidR="007B701F" w:rsidRPr="002D2F67" w:rsidRDefault="007B701F" w:rsidP="005611FE">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color w:val="000000"/>
                <w:sz w:val="20"/>
                <w:szCs w:val="20"/>
              </w:rPr>
            </w:pPr>
            <w:r w:rsidRPr="002D2F67">
              <w:rPr>
                <w:rFonts w:ascii="Arial" w:hAnsi="Arial" w:cs="Arial"/>
                <w:b/>
                <w:bCs/>
                <w:color w:val="000000"/>
                <w:sz w:val="20"/>
                <w:szCs w:val="20"/>
              </w:rPr>
              <w:t>Separate</w:t>
            </w:r>
          </w:p>
          <w:p w14:paraId="24D35980" w14:textId="77777777" w:rsidR="007B701F" w:rsidRPr="002D2F67" w:rsidRDefault="007B701F" w:rsidP="005611FE">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784D8D" w:rsidRPr="002D2F67" w14:paraId="74DEEFF9" w14:textId="77777777" w:rsidTr="00834DA6">
        <w:tc>
          <w:tcPr>
            <w:tcW w:w="3828" w:type="dxa"/>
            <w:shd w:val="clear" w:color="auto" w:fill="auto"/>
          </w:tcPr>
          <w:p w14:paraId="0DD263F7" w14:textId="64D31F5C" w:rsidR="0038252F" w:rsidRPr="002D2F67" w:rsidRDefault="00FB1244" w:rsidP="005611FE">
            <w:pPr>
              <w:ind w:left="31" w:right="-108"/>
              <w:rPr>
                <w:rFonts w:ascii="Arial" w:hAnsi="Arial" w:cs="Arial"/>
                <w:b/>
                <w:bCs/>
                <w:color w:val="000000"/>
                <w:spacing w:val="-6"/>
                <w:sz w:val="20"/>
                <w:szCs w:val="20"/>
              </w:rPr>
            </w:pPr>
            <w:r w:rsidRPr="002D2F67">
              <w:rPr>
                <w:rFonts w:ascii="Arial" w:hAnsi="Arial" w:cs="Arial"/>
                <w:b/>
                <w:bCs/>
                <w:color w:val="000000"/>
                <w:spacing w:val="-6"/>
                <w:sz w:val="20"/>
                <w:szCs w:val="20"/>
              </w:rPr>
              <w:t xml:space="preserve">For the years ended </w:t>
            </w:r>
            <w:r w:rsidR="00CD5714" w:rsidRPr="00CD5714">
              <w:rPr>
                <w:rFonts w:ascii="Arial" w:hAnsi="Arial" w:cs="Arial"/>
                <w:b/>
                <w:bCs/>
                <w:color w:val="000000"/>
                <w:spacing w:val="-6"/>
                <w:sz w:val="20"/>
                <w:szCs w:val="20"/>
                <w:lang w:val="en-GB"/>
              </w:rPr>
              <w:t>31</w:t>
            </w:r>
            <w:r w:rsidRPr="002D2F67">
              <w:rPr>
                <w:rFonts w:ascii="Arial" w:hAnsi="Arial" w:cs="Arial"/>
                <w:b/>
                <w:bCs/>
                <w:color w:val="000000"/>
                <w:spacing w:val="-6"/>
                <w:sz w:val="20"/>
                <w:szCs w:val="20"/>
              </w:rPr>
              <w:t xml:space="preserve"> December</w:t>
            </w:r>
          </w:p>
        </w:tc>
        <w:tc>
          <w:tcPr>
            <w:tcW w:w="1440" w:type="dxa"/>
            <w:shd w:val="clear" w:color="auto" w:fill="auto"/>
          </w:tcPr>
          <w:p w14:paraId="5B51B9F8" w14:textId="72B62319" w:rsidR="0038252F" w:rsidRPr="002D2F67" w:rsidRDefault="00CD5714" w:rsidP="005611FE">
            <w:pPr>
              <w:ind w:left="706" w:right="-72" w:hanging="706"/>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1440" w:type="dxa"/>
            <w:shd w:val="clear" w:color="auto" w:fill="auto"/>
          </w:tcPr>
          <w:p w14:paraId="6958449F" w14:textId="15E4C634" w:rsidR="0038252F" w:rsidRPr="002D2F67" w:rsidRDefault="00CD5714" w:rsidP="005611FE">
            <w:pPr>
              <w:ind w:left="706" w:right="-72" w:hanging="706"/>
              <w:jc w:val="right"/>
              <w:rPr>
                <w:rFonts w:ascii="Arial" w:hAnsi="Arial" w:cs="Arial"/>
                <w:b/>
                <w:bCs/>
                <w:color w:val="000000"/>
                <w:sz w:val="20"/>
                <w:szCs w:val="20"/>
              </w:rPr>
            </w:pPr>
            <w:r w:rsidRPr="00CD5714">
              <w:rPr>
                <w:rFonts w:ascii="Arial" w:hAnsi="Arial" w:cs="Arial"/>
                <w:b/>
                <w:bCs/>
                <w:color w:val="000000"/>
                <w:sz w:val="20"/>
                <w:szCs w:val="20"/>
                <w:lang w:val="en-GB"/>
              </w:rPr>
              <w:t>2023</w:t>
            </w:r>
          </w:p>
        </w:tc>
        <w:tc>
          <w:tcPr>
            <w:tcW w:w="1440" w:type="dxa"/>
            <w:shd w:val="clear" w:color="auto" w:fill="auto"/>
          </w:tcPr>
          <w:p w14:paraId="7A4D6651" w14:textId="10BBF327" w:rsidR="0038252F" w:rsidRPr="002D2F67" w:rsidRDefault="00CD5714" w:rsidP="005611FE">
            <w:pPr>
              <w:ind w:left="706" w:right="-72" w:hanging="706"/>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1440" w:type="dxa"/>
            <w:shd w:val="clear" w:color="auto" w:fill="auto"/>
          </w:tcPr>
          <w:p w14:paraId="065B3A79" w14:textId="4BC0B2D2" w:rsidR="0038252F" w:rsidRPr="002D2F67" w:rsidRDefault="00CD5714" w:rsidP="005611FE">
            <w:pPr>
              <w:ind w:left="706" w:right="-72" w:hanging="706"/>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9C7F58" w:rsidRPr="002D2F67" w14:paraId="318A63B2" w14:textId="77777777" w:rsidTr="00834DA6">
        <w:tc>
          <w:tcPr>
            <w:tcW w:w="3828" w:type="dxa"/>
            <w:shd w:val="clear" w:color="auto" w:fill="auto"/>
          </w:tcPr>
          <w:p w14:paraId="27A91041" w14:textId="77777777" w:rsidR="00EF44A7" w:rsidRPr="002D2F67" w:rsidRDefault="00EF44A7" w:rsidP="005611FE">
            <w:pPr>
              <w:tabs>
                <w:tab w:val="left" w:pos="1134"/>
                <w:tab w:val="left" w:pos="1276"/>
                <w:tab w:val="center" w:pos="3402"/>
                <w:tab w:val="center" w:pos="4536"/>
                <w:tab w:val="center" w:pos="5670"/>
                <w:tab w:val="center" w:pos="6804"/>
                <w:tab w:val="right" w:pos="7655"/>
              </w:tabs>
              <w:ind w:left="31" w:right="-108"/>
              <w:rPr>
                <w:rFonts w:ascii="Arial" w:hAnsi="Arial" w:cs="Arial"/>
                <w:b/>
                <w:bCs/>
                <w:color w:val="000000"/>
                <w:spacing w:val="-6"/>
                <w:sz w:val="20"/>
                <w:szCs w:val="20"/>
              </w:rPr>
            </w:pPr>
          </w:p>
        </w:tc>
        <w:tc>
          <w:tcPr>
            <w:tcW w:w="1440" w:type="dxa"/>
            <w:tcBorders>
              <w:bottom w:val="single" w:sz="4" w:space="0" w:color="auto"/>
            </w:tcBorders>
            <w:shd w:val="clear" w:color="auto" w:fill="auto"/>
          </w:tcPr>
          <w:p w14:paraId="1BE15D90" w14:textId="72C59892" w:rsidR="00EF44A7" w:rsidRPr="002D2F67" w:rsidRDefault="00EF44A7" w:rsidP="005611FE">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2FCF2FE3" w14:textId="24B3F046" w:rsidR="00EF44A7" w:rsidRPr="002D2F67" w:rsidRDefault="00EF44A7" w:rsidP="005611FE">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3A6CD163" w14:textId="3F60A796" w:rsidR="00EF44A7" w:rsidRPr="002D2F67" w:rsidRDefault="00EF44A7" w:rsidP="005611FE">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7BA98619" w14:textId="167573BF" w:rsidR="00EF44A7" w:rsidRPr="002D2F67" w:rsidRDefault="00EF44A7" w:rsidP="005611FE">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A82DBA" w:rsidRPr="002D2F67" w14:paraId="2C163383" w14:textId="77777777" w:rsidTr="00834DA6">
        <w:tc>
          <w:tcPr>
            <w:tcW w:w="3828" w:type="dxa"/>
            <w:shd w:val="clear" w:color="auto" w:fill="auto"/>
          </w:tcPr>
          <w:p w14:paraId="251F6BD2" w14:textId="77777777" w:rsidR="007B701F" w:rsidRPr="002D2F67" w:rsidRDefault="007B701F" w:rsidP="005611FE">
            <w:pPr>
              <w:pStyle w:val="Header"/>
              <w:tabs>
                <w:tab w:val="left" w:pos="1134"/>
                <w:tab w:val="left" w:pos="1276"/>
                <w:tab w:val="center" w:pos="3402"/>
                <w:tab w:val="center" w:pos="4536"/>
                <w:tab w:val="center" w:pos="5670"/>
                <w:tab w:val="center" w:pos="6804"/>
                <w:tab w:val="right" w:pos="7655"/>
              </w:tabs>
              <w:ind w:left="31" w:right="-288"/>
              <w:jc w:val="left"/>
              <w:rPr>
                <w:rFonts w:ascii="Arial" w:hAnsi="Arial" w:cs="Arial"/>
                <w:color w:val="000000"/>
                <w:spacing w:val="-6"/>
                <w:sz w:val="20"/>
                <w:szCs w:val="20"/>
              </w:rPr>
            </w:pPr>
          </w:p>
        </w:tc>
        <w:tc>
          <w:tcPr>
            <w:tcW w:w="1440" w:type="dxa"/>
            <w:tcBorders>
              <w:top w:val="single" w:sz="4" w:space="0" w:color="auto"/>
            </w:tcBorders>
            <w:shd w:val="clear" w:color="auto" w:fill="auto"/>
          </w:tcPr>
          <w:p w14:paraId="41782E0E" w14:textId="77777777" w:rsidR="007B701F" w:rsidRPr="002D2F67" w:rsidRDefault="007B701F" w:rsidP="005611FE">
            <w:pPr>
              <w:tabs>
                <w:tab w:val="left" w:pos="1134"/>
                <w:tab w:val="left" w:pos="1276"/>
                <w:tab w:val="center" w:pos="3402"/>
                <w:tab w:val="center" w:pos="4536"/>
                <w:tab w:val="center" w:pos="5670"/>
                <w:tab w:val="center" w:pos="6804"/>
                <w:tab w:val="right" w:pos="7655"/>
              </w:tabs>
              <w:ind w:left="709" w:hanging="709"/>
              <w:jc w:val="right"/>
              <w:rPr>
                <w:rFonts w:ascii="Arial" w:hAnsi="Arial" w:cs="Arial"/>
                <w:color w:val="000000"/>
                <w:spacing w:val="-6"/>
                <w:sz w:val="20"/>
                <w:szCs w:val="20"/>
              </w:rPr>
            </w:pPr>
          </w:p>
        </w:tc>
        <w:tc>
          <w:tcPr>
            <w:tcW w:w="1440" w:type="dxa"/>
            <w:tcBorders>
              <w:top w:val="single" w:sz="4" w:space="0" w:color="auto"/>
            </w:tcBorders>
            <w:shd w:val="clear" w:color="auto" w:fill="auto"/>
          </w:tcPr>
          <w:p w14:paraId="3A8BB5F7" w14:textId="77777777" w:rsidR="007B701F" w:rsidRPr="002D2F67" w:rsidRDefault="007B701F" w:rsidP="005611FE">
            <w:pPr>
              <w:tabs>
                <w:tab w:val="left" w:pos="1134"/>
                <w:tab w:val="left" w:pos="1276"/>
                <w:tab w:val="center" w:pos="3402"/>
                <w:tab w:val="center" w:pos="4536"/>
                <w:tab w:val="center" w:pos="5670"/>
                <w:tab w:val="center" w:pos="6804"/>
                <w:tab w:val="right" w:pos="7655"/>
              </w:tabs>
              <w:ind w:left="709" w:hanging="709"/>
              <w:jc w:val="right"/>
              <w:rPr>
                <w:rFonts w:ascii="Arial" w:hAnsi="Arial" w:cs="Arial"/>
                <w:color w:val="000000"/>
                <w:spacing w:val="-6"/>
                <w:sz w:val="20"/>
                <w:szCs w:val="20"/>
              </w:rPr>
            </w:pPr>
          </w:p>
        </w:tc>
        <w:tc>
          <w:tcPr>
            <w:tcW w:w="1440" w:type="dxa"/>
            <w:tcBorders>
              <w:top w:val="single" w:sz="4" w:space="0" w:color="auto"/>
            </w:tcBorders>
            <w:shd w:val="clear" w:color="auto" w:fill="auto"/>
          </w:tcPr>
          <w:p w14:paraId="1CD08745" w14:textId="77777777" w:rsidR="007B701F" w:rsidRPr="002D2F67" w:rsidRDefault="007B701F" w:rsidP="005611FE">
            <w:pPr>
              <w:tabs>
                <w:tab w:val="left" w:pos="1134"/>
                <w:tab w:val="left" w:pos="1276"/>
                <w:tab w:val="center" w:pos="3402"/>
                <w:tab w:val="center" w:pos="4536"/>
                <w:tab w:val="center" w:pos="5670"/>
                <w:tab w:val="center" w:pos="6804"/>
                <w:tab w:val="right" w:pos="7655"/>
              </w:tabs>
              <w:ind w:left="709" w:hanging="709"/>
              <w:jc w:val="right"/>
              <w:rPr>
                <w:rFonts w:ascii="Arial" w:hAnsi="Arial" w:cs="Arial"/>
                <w:color w:val="000000"/>
                <w:spacing w:val="-6"/>
                <w:sz w:val="20"/>
                <w:szCs w:val="20"/>
              </w:rPr>
            </w:pPr>
          </w:p>
        </w:tc>
        <w:tc>
          <w:tcPr>
            <w:tcW w:w="1440" w:type="dxa"/>
            <w:tcBorders>
              <w:top w:val="single" w:sz="4" w:space="0" w:color="auto"/>
            </w:tcBorders>
            <w:shd w:val="clear" w:color="auto" w:fill="auto"/>
          </w:tcPr>
          <w:p w14:paraId="06E220EF" w14:textId="77777777" w:rsidR="007B701F" w:rsidRPr="002D2F67" w:rsidRDefault="007B701F" w:rsidP="005611FE">
            <w:pPr>
              <w:tabs>
                <w:tab w:val="left" w:pos="1134"/>
                <w:tab w:val="left" w:pos="1276"/>
                <w:tab w:val="center" w:pos="3402"/>
                <w:tab w:val="center" w:pos="4536"/>
                <w:tab w:val="center" w:pos="5670"/>
                <w:tab w:val="center" w:pos="6804"/>
                <w:tab w:val="right" w:pos="7655"/>
              </w:tabs>
              <w:ind w:left="709" w:hanging="709"/>
              <w:jc w:val="right"/>
              <w:rPr>
                <w:rFonts w:ascii="Arial" w:hAnsi="Arial" w:cs="Arial"/>
                <w:color w:val="000000"/>
                <w:spacing w:val="-6"/>
                <w:sz w:val="20"/>
                <w:szCs w:val="20"/>
              </w:rPr>
            </w:pPr>
          </w:p>
        </w:tc>
      </w:tr>
      <w:tr w:rsidR="00FB6B7A" w:rsidRPr="002D2F67" w14:paraId="48F0831F" w14:textId="77777777" w:rsidTr="00834DA6">
        <w:tc>
          <w:tcPr>
            <w:tcW w:w="3828" w:type="dxa"/>
            <w:shd w:val="clear" w:color="auto" w:fill="auto"/>
          </w:tcPr>
          <w:p w14:paraId="6AC2F564" w14:textId="32D5FA30" w:rsidR="00FB6B7A" w:rsidRPr="002D2F67" w:rsidRDefault="003E5885" w:rsidP="005611FE">
            <w:pPr>
              <w:pStyle w:val="Header"/>
              <w:ind w:left="31" w:right="-108"/>
              <w:jc w:val="left"/>
              <w:rPr>
                <w:rFonts w:ascii="Arial" w:hAnsi="Arial" w:cs="Arial"/>
                <w:color w:val="000000"/>
                <w:sz w:val="20"/>
                <w:szCs w:val="20"/>
              </w:rPr>
            </w:pPr>
            <w:r w:rsidRPr="002D2F67">
              <w:rPr>
                <w:rFonts w:ascii="Arial" w:hAnsi="Arial" w:cs="Arial"/>
                <w:color w:val="000000"/>
                <w:sz w:val="20"/>
                <w:szCs w:val="20"/>
              </w:rPr>
              <w:t>Opening net book value</w:t>
            </w:r>
          </w:p>
        </w:tc>
        <w:tc>
          <w:tcPr>
            <w:tcW w:w="1440" w:type="dxa"/>
            <w:shd w:val="clear" w:color="auto" w:fill="auto"/>
            <w:vAlign w:val="bottom"/>
          </w:tcPr>
          <w:p w14:paraId="544CDE22" w14:textId="38A26E9C" w:rsidR="00FB6B7A" w:rsidRPr="002D2F67" w:rsidRDefault="00CD5714" w:rsidP="005611FE">
            <w:pPr>
              <w:pStyle w:val="Header"/>
              <w:ind w:left="709" w:right="-72" w:hanging="709"/>
              <w:jc w:val="right"/>
              <w:rPr>
                <w:rFonts w:ascii="Arial" w:hAnsi="Arial" w:cs="Arial"/>
                <w:color w:val="000000"/>
                <w:spacing w:val="-6"/>
                <w:sz w:val="20"/>
                <w:szCs w:val="20"/>
              </w:rPr>
            </w:pPr>
            <w:r w:rsidRPr="00CD5714">
              <w:rPr>
                <w:rFonts w:ascii="Arial" w:hAnsi="Arial" w:cs="Arial"/>
                <w:color w:val="000000"/>
                <w:spacing w:val="-6"/>
                <w:sz w:val="20"/>
                <w:szCs w:val="20"/>
                <w:lang w:val="en-GB"/>
              </w:rPr>
              <w:t>109</w:t>
            </w:r>
            <w:r w:rsidR="002C5D32" w:rsidRPr="002D2F67">
              <w:rPr>
                <w:rFonts w:ascii="Arial" w:hAnsi="Arial" w:cs="Arial"/>
                <w:color w:val="000000"/>
                <w:spacing w:val="-6"/>
                <w:sz w:val="20"/>
                <w:szCs w:val="20"/>
              </w:rPr>
              <w:t>,</w:t>
            </w:r>
            <w:r w:rsidRPr="00CD5714">
              <w:rPr>
                <w:rFonts w:ascii="Arial" w:hAnsi="Arial" w:cs="Arial"/>
                <w:color w:val="000000"/>
                <w:spacing w:val="-6"/>
                <w:sz w:val="20"/>
                <w:szCs w:val="20"/>
                <w:lang w:val="en-GB"/>
              </w:rPr>
              <w:t>149</w:t>
            </w:r>
          </w:p>
        </w:tc>
        <w:tc>
          <w:tcPr>
            <w:tcW w:w="1440" w:type="dxa"/>
            <w:shd w:val="clear" w:color="auto" w:fill="auto"/>
            <w:vAlign w:val="bottom"/>
          </w:tcPr>
          <w:p w14:paraId="23F2B245" w14:textId="499CE74E" w:rsidR="00FB6B7A" w:rsidRPr="002D2F67" w:rsidRDefault="00FB6B7A" w:rsidP="005611FE">
            <w:pPr>
              <w:pStyle w:val="Header"/>
              <w:ind w:left="709" w:right="-72" w:hanging="709"/>
              <w:jc w:val="right"/>
              <w:rPr>
                <w:rFonts w:ascii="Arial" w:hAnsi="Arial" w:cs="Arial"/>
                <w:color w:val="000000"/>
                <w:spacing w:val="-6"/>
                <w:sz w:val="20"/>
                <w:szCs w:val="20"/>
                <w:cs/>
              </w:rPr>
            </w:pPr>
            <w:r w:rsidRPr="002D2F67">
              <w:rPr>
                <w:rFonts w:ascii="Arial" w:hAnsi="Arial" w:cs="Arial"/>
                <w:color w:val="000000"/>
                <w:spacing w:val="-6"/>
                <w:sz w:val="20"/>
                <w:szCs w:val="20"/>
              </w:rPr>
              <w:t>(</w:t>
            </w:r>
            <w:r w:rsidR="00CD5714" w:rsidRPr="00CD5714">
              <w:rPr>
                <w:rFonts w:ascii="Arial" w:hAnsi="Arial" w:cs="Arial"/>
                <w:color w:val="000000"/>
                <w:spacing w:val="-6"/>
                <w:sz w:val="20"/>
                <w:szCs w:val="20"/>
                <w:lang w:val="en-GB"/>
              </w:rPr>
              <w:t>63</w:t>
            </w:r>
            <w:r w:rsidRPr="002D2F67">
              <w:rPr>
                <w:rFonts w:ascii="Arial" w:hAnsi="Arial" w:cs="Arial"/>
                <w:color w:val="000000"/>
                <w:spacing w:val="-6"/>
                <w:sz w:val="20"/>
                <w:szCs w:val="20"/>
              </w:rPr>
              <w:t>,</w:t>
            </w:r>
            <w:r w:rsidR="00CD5714" w:rsidRPr="00CD5714">
              <w:rPr>
                <w:rFonts w:ascii="Arial" w:hAnsi="Arial" w:cs="Arial"/>
                <w:color w:val="000000"/>
                <w:spacing w:val="-6"/>
                <w:sz w:val="20"/>
                <w:szCs w:val="20"/>
                <w:lang w:val="en-GB"/>
              </w:rPr>
              <w:t>875</w:t>
            </w:r>
            <w:r w:rsidRPr="002D2F67">
              <w:rPr>
                <w:rFonts w:ascii="Arial" w:hAnsi="Arial" w:cs="Arial"/>
                <w:color w:val="000000"/>
                <w:spacing w:val="-6"/>
                <w:sz w:val="20"/>
                <w:szCs w:val="20"/>
              </w:rPr>
              <w:t>)</w:t>
            </w:r>
          </w:p>
        </w:tc>
        <w:tc>
          <w:tcPr>
            <w:tcW w:w="1440" w:type="dxa"/>
            <w:shd w:val="clear" w:color="auto" w:fill="auto"/>
            <w:vAlign w:val="bottom"/>
          </w:tcPr>
          <w:p w14:paraId="30ADB478" w14:textId="3E5C19EB" w:rsidR="00FB6B7A" w:rsidRPr="002D2F67" w:rsidRDefault="00CD5714" w:rsidP="005611FE">
            <w:pPr>
              <w:pStyle w:val="Header"/>
              <w:ind w:left="709" w:right="-72" w:hanging="709"/>
              <w:jc w:val="right"/>
              <w:rPr>
                <w:rFonts w:ascii="Arial" w:hAnsi="Arial" w:cs="Arial"/>
                <w:color w:val="000000"/>
                <w:spacing w:val="-6"/>
                <w:sz w:val="20"/>
                <w:szCs w:val="20"/>
              </w:rPr>
            </w:pPr>
            <w:r w:rsidRPr="00CD5714">
              <w:rPr>
                <w:rFonts w:ascii="Arial" w:hAnsi="Arial" w:cs="Arial"/>
                <w:color w:val="000000"/>
                <w:spacing w:val="-6"/>
                <w:sz w:val="20"/>
                <w:szCs w:val="20"/>
                <w:lang w:val="en-GB"/>
              </w:rPr>
              <w:t>235</w:t>
            </w:r>
            <w:r w:rsidR="002C5D32" w:rsidRPr="002D2F67">
              <w:rPr>
                <w:rFonts w:ascii="Arial" w:hAnsi="Arial" w:cs="Arial"/>
                <w:color w:val="000000"/>
                <w:spacing w:val="-6"/>
                <w:sz w:val="20"/>
                <w:szCs w:val="20"/>
              </w:rPr>
              <w:t>,</w:t>
            </w:r>
            <w:r w:rsidRPr="00CD5714">
              <w:rPr>
                <w:rFonts w:ascii="Arial" w:hAnsi="Arial" w:cs="Arial"/>
                <w:color w:val="000000"/>
                <w:spacing w:val="-6"/>
                <w:sz w:val="20"/>
                <w:szCs w:val="20"/>
                <w:lang w:val="en-GB"/>
              </w:rPr>
              <w:t>177</w:t>
            </w:r>
          </w:p>
        </w:tc>
        <w:tc>
          <w:tcPr>
            <w:tcW w:w="1440" w:type="dxa"/>
            <w:shd w:val="clear" w:color="auto" w:fill="auto"/>
            <w:vAlign w:val="bottom"/>
          </w:tcPr>
          <w:p w14:paraId="12F12A4D" w14:textId="497387FD" w:rsidR="00FB6B7A" w:rsidRPr="002D2F67" w:rsidRDefault="00CD5714" w:rsidP="005611FE">
            <w:pPr>
              <w:pStyle w:val="Header"/>
              <w:ind w:left="709" w:right="-72" w:hanging="709"/>
              <w:jc w:val="right"/>
              <w:rPr>
                <w:rFonts w:ascii="Arial" w:hAnsi="Arial" w:cs="Arial"/>
                <w:color w:val="000000"/>
                <w:spacing w:val="-6"/>
                <w:sz w:val="20"/>
                <w:szCs w:val="20"/>
                <w:cs/>
              </w:rPr>
            </w:pPr>
            <w:r w:rsidRPr="00CD5714">
              <w:rPr>
                <w:rFonts w:ascii="Arial" w:hAnsi="Arial" w:cs="Arial"/>
                <w:color w:val="000000"/>
                <w:spacing w:val="-6"/>
                <w:sz w:val="20"/>
                <w:szCs w:val="20"/>
                <w:lang w:val="en-GB"/>
              </w:rPr>
              <w:t>38</w:t>
            </w:r>
            <w:r w:rsidR="00FB6B7A" w:rsidRPr="002D2F67">
              <w:rPr>
                <w:rFonts w:ascii="Arial" w:hAnsi="Arial" w:cs="Arial"/>
                <w:color w:val="000000"/>
                <w:spacing w:val="-6"/>
                <w:sz w:val="20"/>
                <w:szCs w:val="20"/>
              </w:rPr>
              <w:t>,</w:t>
            </w:r>
            <w:r w:rsidRPr="00CD5714">
              <w:rPr>
                <w:rFonts w:ascii="Arial" w:hAnsi="Arial" w:cs="Arial"/>
                <w:color w:val="000000"/>
                <w:spacing w:val="-6"/>
                <w:sz w:val="20"/>
                <w:szCs w:val="20"/>
                <w:lang w:val="en-GB"/>
              </w:rPr>
              <w:t>694</w:t>
            </w:r>
          </w:p>
        </w:tc>
      </w:tr>
      <w:tr w:rsidR="00FB6B7A" w:rsidRPr="002D2F67" w14:paraId="1C94B20C" w14:textId="77777777" w:rsidTr="00834DA6">
        <w:tc>
          <w:tcPr>
            <w:tcW w:w="3828" w:type="dxa"/>
            <w:shd w:val="clear" w:color="auto" w:fill="auto"/>
          </w:tcPr>
          <w:p w14:paraId="4DE30A1D" w14:textId="4E1E7165" w:rsidR="00FB6B7A" w:rsidRPr="002D2F67" w:rsidRDefault="00FB6B7A" w:rsidP="005611FE">
            <w:pPr>
              <w:pStyle w:val="Header"/>
              <w:ind w:left="31" w:right="-108"/>
              <w:jc w:val="left"/>
              <w:rPr>
                <w:rFonts w:ascii="Arial" w:hAnsi="Arial" w:cs="Arial"/>
                <w:color w:val="000000"/>
                <w:sz w:val="20"/>
                <w:szCs w:val="20"/>
              </w:rPr>
            </w:pPr>
            <w:r w:rsidRPr="002D2F67">
              <w:rPr>
                <w:rFonts w:ascii="Arial" w:hAnsi="Arial" w:cs="Arial"/>
                <w:color w:val="000000"/>
                <w:sz w:val="20"/>
                <w:szCs w:val="20"/>
              </w:rPr>
              <w:t>Tax (charged) credited to profit or loss</w:t>
            </w:r>
          </w:p>
        </w:tc>
        <w:tc>
          <w:tcPr>
            <w:tcW w:w="1440" w:type="dxa"/>
            <w:shd w:val="clear" w:color="auto" w:fill="auto"/>
            <w:vAlign w:val="bottom"/>
          </w:tcPr>
          <w:p w14:paraId="1A07C9D0" w14:textId="268E3618" w:rsidR="00FB6B7A" w:rsidRPr="002D2F67" w:rsidRDefault="00CD5714" w:rsidP="005611FE">
            <w:pPr>
              <w:pStyle w:val="Header"/>
              <w:ind w:left="709" w:right="-72" w:hanging="709"/>
              <w:jc w:val="right"/>
              <w:rPr>
                <w:rFonts w:ascii="Arial" w:hAnsi="Arial" w:cs="Arial"/>
                <w:color w:val="000000"/>
                <w:spacing w:val="-6"/>
                <w:sz w:val="20"/>
                <w:szCs w:val="20"/>
              </w:rPr>
            </w:pPr>
            <w:r w:rsidRPr="00CD5714">
              <w:rPr>
                <w:rFonts w:ascii="Arial" w:hAnsi="Arial" w:cs="Arial"/>
                <w:color w:val="000000"/>
                <w:spacing w:val="-6"/>
                <w:sz w:val="20"/>
                <w:szCs w:val="20"/>
                <w:lang w:val="en-GB"/>
              </w:rPr>
              <w:t>31</w:t>
            </w:r>
            <w:r w:rsidR="005B7DB9" w:rsidRPr="002D2F67">
              <w:rPr>
                <w:rFonts w:ascii="Arial" w:hAnsi="Arial" w:cs="Arial"/>
                <w:color w:val="000000"/>
                <w:spacing w:val="-6"/>
                <w:sz w:val="20"/>
                <w:szCs w:val="20"/>
              </w:rPr>
              <w:t>,</w:t>
            </w:r>
            <w:r w:rsidRPr="00CD5714">
              <w:rPr>
                <w:rFonts w:ascii="Arial" w:hAnsi="Arial" w:cs="Arial"/>
                <w:color w:val="000000"/>
                <w:spacing w:val="-6"/>
                <w:sz w:val="20"/>
                <w:szCs w:val="20"/>
                <w:lang w:val="en-GB"/>
              </w:rPr>
              <w:t>233</w:t>
            </w:r>
          </w:p>
        </w:tc>
        <w:tc>
          <w:tcPr>
            <w:tcW w:w="1440" w:type="dxa"/>
            <w:shd w:val="clear" w:color="auto" w:fill="auto"/>
            <w:vAlign w:val="bottom"/>
          </w:tcPr>
          <w:p w14:paraId="37D5EAC8" w14:textId="183684F7" w:rsidR="00FB6B7A" w:rsidRPr="002D2F67" w:rsidRDefault="00CD5714" w:rsidP="005611FE">
            <w:pPr>
              <w:pStyle w:val="Header"/>
              <w:ind w:left="709" w:right="-72" w:hanging="709"/>
              <w:jc w:val="right"/>
              <w:rPr>
                <w:rFonts w:ascii="Arial" w:hAnsi="Arial" w:cs="Arial"/>
                <w:color w:val="000000"/>
                <w:spacing w:val="-6"/>
                <w:sz w:val="20"/>
                <w:szCs w:val="20"/>
              </w:rPr>
            </w:pPr>
            <w:r w:rsidRPr="00CD5714">
              <w:rPr>
                <w:rFonts w:ascii="Arial" w:hAnsi="Arial" w:cs="Arial"/>
                <w:color w:val="000000"/>
                <w:spacing w:val="-6"/>
                <w:sz w:val="20"/>
                <w:szCs w:val="20"/>
                <w:lang w:val="en-GB"/>
              </w:rPr>
              <w:t>100</w:t>
            </w:r>
            <w:r w:rsidR="00FB6B7A" w:rsidRPr="002D2F67">
              <w:rPr>
                <w:rFonts w:ascii="Arial" w:hAnsi="Arial" w:cs="Arial"/>
                <w:color w:val="000000"/>
                <w:spacing w:val="-6"/>
                <w:sz w:val="20"/>
                <w:szCs w:val="20"/>
              </w:rPr>
              <w:t>,</w:t>
            </w:r>
            <w:r w:rsidRPr="00CD5714">
              <w:rPr>
                <w:rFonts w:ascii="Arial" w:hAnsi="Arial" w:cs="Arial"/>
                <w:color w:val="000000"/>
                <w:spacing w:val="-6"/>
                <w:sz w:val="20"/>
                <w:szCs w:val="20"/>
                <w:lang w:val="en-GB"/>
              </w:rPr>
              <w:t>286</w:t>
            </w:r>
          </w:p>
        </w:tc>
        <w:tc>
          <w:tcPr>
            <w:tcW w:w="1440" w:type="dxa"/>
            <w:shd w:val="clear" w:color="auto" w:fill="auto"/>
            <w:vAlign w:val="bottom"/>
          </w:tcPr>
          <w:p w14:paraId="249CD9AB" w14:textId="76B2D8DA" w:rsidR="00FB6B7A" w:rsidRPr="002D2F67" w:rsidRDefault="002E097E" w:rsidP="005611FE">
            <w:pPr>
              <w:pStyle w:val="Header"/>
              <w:ind w:left="709" w:right="-72" w:hanging="709"/>
              <w:jc w:val="right"/>
              <w:rPr>
                <w:rFonts w:ascii="Arial" w:hAnsi="Arial" w:cs="Arial"/>
                <w:color w:val="000000"/>
                <w:spacing w:val="-6"/>
                <w:sz w:val="20"/>
                <w:szCs w:val="20"/>
              </w:rPr>
            </w:pPr>
            <w:r w:rsidRPr="002D2F67">
              <w:rPr>
                <w:rFonts w:ascii="Arial" w:hAnsi="Arial" w:cs="Arial"/>
                <w:color w:val="000000"/>
                <w:spacing w:val="-6"/>
                <w:sz w:val="20"/>
                <w:szCs w:val="20"/>
              </w:rPr>
              <w:t>(</w:t>
            </w:r>
            <w:r w:rsidR="00CD5714" w:rsidRPr="00CD5714">
              <w:rPr>
                <w:rFonts w:ascii="Arial" w:hAnsi="Arial" w:cs="Arial"/>
                <w:color w:val="000000"/>
                <w:spacing w:val="-6"/>
                <w:sz w:val="20"/>
                <w:szCs w:val="20"/>
                <w:lang w:val="en-GB"/>
              </w:rPr>
              <w:t>129</w:t>
            </w:r>
            <w:r w:rsidRPr="002D2F67">
              <w:rPr>
                <w:rFonts w:ascii="Arial" w:hAnsi="Arial" w:cs="Arial"/>
                <w:color w:val="000000"/>
                <w:spacing w:val="-6"/>
                <w:sz w:val="20"/>
                <w:szCs w:val="20"/>
              </w:rPr>
              <w:t>,</w:t>
            </w:r>
            <w:r w:rsidR="00CD5714" w:rsidRPr="00CD5714">
              <w:rPr>
                <w:rFonts w:ascii="Arial" w:hAnsi="Arial" w:cs="Arial"/>
                <w:color w:val="000000"/>
                <w:spacing w:val="-6"/>
                <w:sz w:val="20"/>
                <w:szCs w:val="20"/>
                <w:lang w:val="en-GB"/>
              </w:rPr>
              <w:t>390</w:t>
            </w:r>
            <w:r w:rsidRPr="002D2F67">
              <w:rPr>
                <w:rFonts w:ascii="Arial" w:hAnsi="Arial" w:cs="Arial"/>
                <w:color w:val="000000"/>
                <w:spacing w:val="-6"/>
                <w:sz w:val="20"/>
                <w:szCs w:val="20"/>
              </w:rPr>
              <w:t>)</w:t>
            </w:r>
          </w:p>
        </w:tc>
        <w:tc>
          <w:tcPr>
            <w:tcW w:w="1440" w:type="dxa"/>
            <w:shd w:val="clear" w:color="auto" w:fill="auto"/>
            <w:vAlign w:val="bottom"/>
          </w:tcPr>
          <w:p w14:paraId="305734E3" w14:textId="1E5E8199" w:rsidR="00FB6B7A" w:rsidRPr="002D2F67" w:rsidRDefault="00CD5714" w:rsidP="005611FE">
            <w:pPr>
              <w:pStyle w:val="Header"/>
              <w:ind w:left="709" w:right="-72" w:hanging="709"/>
              <w:jc w:val="right"/>
              <w:rPr>
                <w:rFonts w:ascii="Arial" w:hAnsi="Arial" w:cs="Arial"/>
                <w:color w:val="000000"/>
                <w:spacing w:val="-6"/>
                <w:sz w:val="20"/>
                <w:szCs w:val="20"/>
              </w:rPr>
            </w:pPr>
            <w:r w:rsidRPr="00CD5714">
              <w:rPr>
                <w:rFonts w:ascii="Arial" w:hAnsi="Arial" w:cs="Arial"/>
                <w:color w:val="000000"/>
                <w:spacing w:val="-6"/>
                <w:sz w:val="20"/>
                <w:szCs w:val="20"/>
                <w:lang w:val="en-GB"/>
              </w:rPr>
              <w:t>140</w:t>
            </w:r>
            <w:r w:rsidR="00FB6B7A" w:rsidRPr="002D2F67">
              <w:rPr>
                <w:rFonts w:ascii="Arial" w:hAnsi="Arial" w:cs="Arial"/>
                <w:color w:val="000000"/>
                <w:spacing w:val="-6"/>
                <w:sz w:val="20"/>
                <w:szCs w:val="20"/>
              </w:rPr>
              <w:t>,</w:t>
            </w:r>
            <w:r w:rsidRPr="00CD5714">
              <w:rPr>
                <w:rFonts w:ascii="Arial" w:hAnsi="Arial" w:cs="Arial"/>
                <w:color w:val="000000"/>
                <w:spacing w:val="-6"/>
                <w:sz w:val="20"/>
                <w:szCs w:val="20"/>
                <w:lang w:val="en-GB"/>
              </w:rPr>
              <w:t>738</w:t>
            </w:r>
          </w:p>
        </w:tc>
      </w:tr>
      <w:tr w:rsidR="00FB6B7A" w:rsidRPr="002D2F67" w14:paraId="7CABFBB6" w14:textId="77777777" w:rsidTr="00834DA6">
        <w:tc>
          <w:tcPr>
            <w:tcW w:w="3828" w:type="dxa"/>
            <w:shd w:val="clear" w:color="auto" w:fill="auto"/>
          </w:tcPr>
          <w:p w14:paraId="64BE7D3A" w14:textId="77777777" w:rsidR="00834DA6" w:rsidRPr="002D2F67" w:rsidRDefault="00FB6B7A" w:rsidP="00834DA6">
            <w:pPr>
              <w:pStyle w:val="Header"/>
              <w:ind w:left="31" w:right="-108"/>
              <w:jc w:val="left"/>
              <w:rPr>
                <w:rFonts w:ascii="Arial" w:hAnsi="Arial" w:cs="Arial"/>
                <w:color w:val="000000"/>
                <w:sz w:val="20"/>
                <w:szCs w:val="20"/>
              </w:rPr>
            </w:pPr>
            <w:r w:rsidRPr="002D2F67">
              <w:rPr>
                <w:rFonts w:ascii="Arial" w:hAnsi="Arial" w:cs="Arial"/>
                <w:color w:val="000000"/>
                <w:sz w:val="20"/>
                <w:szCs w:val="20"/>
              </w:rPr>
              <w:t xml:space="preserve">Tax credited to other </w:t>
            </w:r>
          </w:p>
          <w:p w14:paraId="1ED37B5D" w14:textId="071729D8" w:rsidR="00FB6B7A" w:rsidRPr="002D2F67" w:rsidRDefault="00834DA6" w:rsidP="00834DA6">
            <w:pPr>
              <w:pStyle w:val="Header"/>
              <w:ind w:left="31" w:right="-108"/>
              <w:jc w:val="left"/>
              <w:rPr>
                <w:rFonts w:ascii="Arial" w:hAnsi="Arial" w:cs="Arial"/>
                <w:color w:val="000000"/>
                <w:sz w:val="20"/>
                <w:szCs w:val="20"/>
              </w:rPr>
            </w:pPr>
            <w:r w:rsidRPr="002D2F67">
              <w:rPr>
                <w:rFonts w:ascii="Arial" w:hAnsi="Arial" w:cs="Arial"/>
                <w:color w:val="000000"/>
                <w:sz w:val="20"/>
                <w:szCs w:val="20"/>
              </w:rPr>
              <w:t xml:space="preserve">   </w:t>
            </w:r>
            <w:r w:rsidR="00FB6B7A" w:rsidRPr="002D2F67">
              <w:rPr>
                <w:rFonts w:ascii="Arial" w:hAnsi="Arial" w:cs="Arial"/>
                <w:color w:val="000000"/>
                <w:sz w:val="20"/>
                <w:szCs w:val="20"/>
              </w:rPr>
              <w:t>comprehensive income</w:t>
            </w:r>
          </w:p>
        </w:tc>
        <w:tc>
          <w:tcPr>
            <w:tcW w:w="1440" w:type="dxa"/>
            <w:shd w:val="clear" w:color="auto" w:fill="auto"/>
            <w:vAlign w:val="bottom"/>
          </w:tcPr>
          <w:p w14:paraId="3230673E" w14:textId="6A1A2E60" w:rsidR="00FB6B7A" w:rsidRPr="002D2F67" w:rsidRDefault="00CD5714" w:rsidP="005611FE">
            <w:pPr>
              <w:pStyle w:val="Header"/>
              <w:ind w:left="709" w:right="-72" w:hanging="709"/>
              <w:jc w:val="right"/>
              <w:rPr>
                <w:rFonts w:ascii="Arial" w:hAnsi="Arial" w:cs="Arial"/>
                <w:color w:val="000000"/>
                <w:spacing w:val="-6"/>
                <w:sz w:val="20"/>
                <w:szCs w:val="20"/>
              </w:rPr>
            </w:pPr>
            <w:r w:rsidRPr="00CD5714">
              <w:rPr>
                <w:rFonts w:ascii="Arial" w:hAnsi="Arial" w:cs="Arial"/>
                <w:color w:val="000000"/>
                <w:spacing w:val="-6"/>
                <w:sz w:val="20"/>
                <w:szCs w:val="20"/>
                <w:lang w:val="en-GB"/>
              </w:rPr>
              <w:t>167</w:t>
            </w:r>
            <w:r w:rsidR="002E097E" w:rsidRPr="002D2F67">
              <w:rPr>
                <w:rFonts w:ascii="Arial" w:hAnsi="Arial" w:cs="Arial"/>
                <w:color w:val="000000"/>
                <w:spacing w:val="-6"/>
                <w:sz w:val="20"/>
                <w:szCs w:val="20"/>
              </w:rPr>
              <w:t>,</w:t>
            </w:r>
            <w:r w:rsidRPr="00CD5714">
              <w:rPr>
                <w:rFonts w:ascii="Arial" w:hAnsi="Arial" w:cs="Arial"/>
                <w:color w:val="000000"/>
                <w:spacing w:val="-6"/>
                <w:sz w:val="20"/>
                <w:szCs w:val="20"/>
                <w:lang w:val="en-GB"/>
              </w:rPr>
              <w:t>640</w:t>
            </w:r>
          </w:p>
        </w:tc>
        <w:tc>
          <w:tcPr>
            <w:tcW w:w="1440" w:type="dxa"/>
            <w:shd w:val="clear" w:color="auto" w:fill="auto"/>
            <w:vAlign w:val="bottom"/>
          </w:tcPr>
          <w:p w14:paraId="05F581CE" w14:textId="76DD4118" w:rsidR="00FB6B7A" w:rsidRPr="002D2F67" w:rsidRDefault="00CD5714" w:rsidP="005611FE">
            <w:pPr>
              <w:pStyle w:val="Header"/>
              <w:ind w:left="709" w:right="-72" w:hanging="709"/>
              <w:jc w:val="right"/>
              <w:rPr>
                <w:rFonts w:ascii="Arial" w:hAnsi="Arial" w:cs="Arial"/>
                <w:color w:val="000000"/>
                <w:spacing w:val="-6"/>
                <w:sz w:val="20"/>
                <w:szCs w:val="20"/>
              </w:rPr>
            </w:pPr>
            <w:r w:rsidRPr="00CD5714">
              <w:rPr>
                <w:rFonts w:ascii="Arial" w:hAnsi="Arial" w:cs="Arial"/>
                <w:color w:val="000000"/>
                <w:spacing w:val="-6"/>
                <w:sz w:val="20"/>
                <w:szCs w:val="20"/>
                <w:lang w:val="en-GB"/>
              </w:rPr>
              <w:t>53</w:t>
            </w:r>
            <w:r w:rsidR="00FB6B7A" w:rsidRPr="002D2F67">
              <w:rPr>
                <w:rFonts w:ascii="Arial" w:hAnsi="Arial" w:cs="Arial"/>
                <w:color w:val="000000"/>
                <w:spacing w:val="-6"/>
                <w:sz w:val="20"/>
                <w:szCs w:val="20"/>
              </w:rPr>
              <w:t>,</w:t>
            </w:r>
            <w:r w:rsidRPr="00CD5714">
              <w:rPr>
                <w:rFonts w:ascii="Arial" w:hAnsi="Arial" w:cs="Arial"/>
                <w:color w:val="000000"/>
                <w:spacing w:val="-6"/>
                <w:sz w:val="20"/>
                <w:szCs w:val="20"/>
                <w:lang w:val="en-GB"/>
              </w:rPr>
              <w:t>705</w:t>
            </w:r>
          </w:p>
        </w:tc>
        <w:tc>
          <w:tcPr>
            <w:tcW w:w="1440" w:type="dxa"/>
            <w:shd w:val="clear" w:color="auto" w:fill="auto"/>
            <w:vAlign w:val="bottom"/>
          </w:tcPr>
          <w:p w14:paraId="36816BDE" w14:textId="220ABF11" w:rsidR="00FB6B7A" w:rsidRPr="002D2F67" w:rsidRDefault="00CD5714" w:rsidP="005611FE">
            <w:pPr>
              <w:pStyle w:val="Header"/>
              <w:ind w:left="709" w:right="-72" w:hanging="709"/>
              <w:jc w:val="right"/>
              <w:rPr>
                <w:rFonts w:ascii="Arial" w:hAnsi="Arial" w:cs="Arial"/>
                <w:color w:val="000000"/>
                <w:spacing w:val="-6"/>
                <w:sz w:val="20"/>
                <w:szCs w:val="20"/>
              </w:rPr>
            </w:pPr>
            <w:r w:rsidRPr="00CD5714">
              <w:rPr>
                <w:rFonts w:ascii="Arial" w:hAnsi="Arial" w:cs="Arial"/>
                <w:color w:val="000000"/>
                <w:spacing w:val="-6"/>
                <w:sz w:val="20"/>
                <w:szCs w:val="20"/>
                <w:lang w:val="en-GB"/>
              </w:rPr>
              <w:t>169</w:t>
            </w:r>
            <w:r w:rsidR="002E097E" w:rsidRPr="002D2F67">
              <w:rPr>
                <w:rFonts w:ascii="Arial" w:hAnsi="Arial" w:cs="Arial"/>
                <w:color w:val="000000"/>
                <w:spacing w:val="-6"/>
                <w:sz w:val="20"/>
                <w:szCs w:val="20"/>
              </w:rPr>
              <w:t>,</w:t>
            </w:r>
            <w:r w:rsidRPr="00CD5714">
              <w:rPr>
                <w:rFonts w:ascii="Arial" w:hAnsi="Arial" w:cs="Arial"/>
                <w:color w:val="000000"/>
                <w:spacing w:val="-6"/>
                <w:sz w:val="20"/>
                <w:szCs w:val="20"/>
                <w:lang w:val="en-GB"/>
              </w:rPr>
              <w:t>512</w:t>
            </w:r>
          </w:p>
        </w:tc>
        <w:tc>
          <w:tcPr>
            <w:tcW w:w="1440" w:type="dxa"/>
            <w:shd w:val="clear" w:color="auto" w:fill="auto"/>
            <w:vAlign w:val="bottom"/>
          </w:tcPr>
          <w:p w14:paraId="1E13E7B0" w14:textId="0FE18E7D" w:rsidR="00FB6B7A" w:rsidRPr="002D2F67" w:rsidRDefault="00CD5714" w:rsidP="005611FE">
            <w:pPr>
              <w:pStyle w:val="Header"/>
              <w:ind w:left="709" w:right="-72" w:hanging="709"/>
              <w:jc w:val="right"/>
              <w:rPr>
                <w:rFonts w:ascii="Arial" w:hAnsi="Arial" w:cs="Arial"/>
                <w:color w:val="000000"/>
                <w:spacing w:val="-6"/>
                <w:sz w:val="20"/>
                <w:szCs w:val="20"/>
              </w:rPr>
            </w:pPr>
            <w:r w:rsidRPr="00CD5714">
              <w:rPr>
                <w:rFonts w:ascii="Arial" w:hAnsi="Arial" w:cs="Arial"/>
                <w:color w:val="000000"/>
                <w:spacing w:val="-6"/>
                <w:sz w:val="20"/>
                <w:szCs w:val="20"/>
                <w:lang w:val="en-GB"/>
              </w:rPr>
              <w:t>55</w:t>
            </w:r>
            <w:r w:rsidR="00FB6B7A" w:rsidRPr="002D2F67">
              <w:rPr>
                <w:rFonts w:ascii="Arial" w:hAnsi="Arial" w:cs="Arial"/>
                <w:color w:val="000000"/>
                <w:spacing w:val="-6"/>
                <w:sz w:val="20"/>
                <w:szCs w:val="20"/>
              </w:rPr>
              <w:t>,</w:t>
            </w:r>
            <w:r w:rsidRPr="00CD5714">
              <w:rPr>
                <w:rFonts w:ascii="Arial" w:hAnsi="Arial" w:cs="Arial"/>
                <w:color w:val="000000"/>
                <w:spacing w:val="-6"/>
                <w:sz w:val="20"/>
                <w:szCs w:val="20"/>
                <w:lang w:val="en-GB"/>
              </w:rPr>
              <w:t>745</w:t>
            </w:r>
          </w:p>
        </w:tc>
      </w:tr>
      <w:tr w:rsidR="00FB6B7A" w:rsidRPr="002D2F67" w14:paraId="7E09FA0D" w14:textId="77777777" w:rsidTr="00834DA6">
        <w:tc>
          <w:tcPr>
            <w:tcW w:w="3828" w:type="dxa"/>
            <w:shd w:val="clear" w:color="auto" w:fill="auto"/>
          </w:tcPr>
          <w:p w14:paraId="053274FA" w14:textId="5CD10347" w:rsidR="002C5D32" w:rsidRPr="002D2F67" w:rsidRDefault="002C5D32" w:rsidP="005611FE">
            <w:pPr>
              <w:pStyle w:val="Header"/>
              <w:ind w:left="31" w:right="-108"/>
              <w:jc w:val="left"/>
              <w:rPr>
                <w:rFonts w:ascii="Arial" w:hAnsi="Arial" w:cs="Arial"/>
                <w:color w:val="000000"/>
                <w:sz w:val="20"/>
                <w:szCs w:val="20"/>
              </w:rPr>
            </w:pPr>
            <w:r w:rsidRPr="002D2F67">
              <w:rPr>
                <w:rFonts w:ascii="Arial" w:hAnsi="Arial" w:cs="Arial"/>
                <w:color w:val="000000"/>
                <w:sz w:val="20"/>
                <w:szCs w:val="20"/>
              </w:rPr>
              <w:t>Decrease</w:t>
            </w:r>
            <w:r w:rsidR="00A85C12" w:rsidRPr="002D2F67">
              <w:rPr>
                <w:rFonts w:ascii="Arial" w:hAnsi="Arial" w:cs="Arial"/>
                <w:color w:val="000000"/>
                <w:sz w:val="20"/>
                <w:szCs w:val="20"/>
              </w:rPr>
              <w:t>d</w:t>
            </w:r>
            <w:r w:rsidRPr="002D2F67">
              <w:rPr>
                <w:rFonts w:ascii="Arial" w:hAnsi="Arial" w:cs="Arial"/>
                <w:color w:val="000000"/>
                <w:sz w:val="20"/>
                <w:szCs w:val="20"/>
              </w:rPr>
              <w:t xml:space="preserve"> from disposal of </w:t>
            </w:r>
          </w:p>
          <w:p w14:paraId="6CE47ED5" w14:textId="7BBE59AF" w:rsidR="00FB6B7A" w:rsidRPr="002D2F67" w:rsidRDefault="002C5D32" w:rsidP="005611FE">
            <w:pPr>
              <w:pStyle w:val="Header"/>
              <w:ind w:left="31" w:right="-108"/>
              <w:jc w:val="left"/>
              <w:rPr>
                <w:rFonts w:ascii="Arial" w:hAnsi="Arial" w:cs="Arial"/>
                <w:color w:val="000000"/>
                <w:sz w:val="20"/>
                <w:szCs w:val="20"/>
              </w:rPr>
            </w:pPr>
            <w:r w:rsidRPr="002D2F67">
              <w:rPr>
                <w:rFonts w:ascii="Arial" w:hAnsi="Arial" w:cs="Arial"/>
                <w:color w:val="000000"/>
                <w:sz w:val="20"/>
                <w:szCs w:val="20"/>
              </w:rPr>
              <w:t xml:space="preserve">   investments in subsidiaries</w:t>
            </w:r>
          </w:p>
        </w:tc>
        <w:tc>
          <w:tcPr>
            <w:tcW w:w="1440" w:type="dxa"/>
            <w:shd w:val="clear" w:color="auto" w:fill="auto"/>
            <w:vAlign w:val="bottom"/>
          </w:tcPr>
          <w:p w14:paraId="14E2AC30" w14:textId="1E1A4E54" w:rsidR="00FB6B7A" w:rsidRPr="002D2F67" w:rsidRDefault="002C5D32" w:rsidP="005611FE">
            <w:pPr>
              <w:pStyle w:val="Header"/>
              <w:ind w:left="709" w:right="-72" w:hanging="709"/>
              <w:jc w:val="right"/>
              <w:rPr>
                <w:rFonts w:ascii="Arial" w:hAnsi="Arial" w:cs="Arial"/>
                <w:color w:val="000000"/>
                <w:spacing w:val="-6"/>
                <w:sz w:val="20"/>
                <w:szCs w:val="20"/>
              </w:rPr>
            </w:pPr>
            <w:r w:rsidRPr="002D2F67">
              <w:rPr>
                <w:rFonts w:ascii="Arial" w:hAnsi="Arial" w:cs="Arial"/>
                <w:color w:val="000000"/>
                <w:spacing w:val="-6"/>
                <w:sz w:val="20"/>
                <w:szCs w:val="20"/>
              </w:rPr>
              <w:t>(</w:t>
            </w:r>
            <w:r w:rsidR="00CD5714" w:rsidRPr="00CD5714">
              <w:rPr>
                <w:rFonts w:ascii="Arial" w:hAnsi="Arial" w:cs="Arial"/>
                <w:color w:val="000000"/>
                <w:spacing w:val="-6"/>
                <w:sz w:val="20"/>
                <w:szCs w:val="20"/>
                <w:lang w:val="en-GB"/>
              </w:rPr>
              <w:t>8</w:t>
            </w:r>
            <w:r w:rsidRPr="002D2F67">
              <w:rPr>
                <w:rFonts w:ascii="Arial" w:hAnsi="Arial" w:cs="Arial"/>
                <w:color w:val="000000"/>
                <w:spacing w:val="-6"/>
                <w:sz w:val="20"/>
                <w:szCs w:val="20"/>
              </w:rPr>
              <w:t>,</w:t>
            </w:r>
            <w:r w:rsidR="00CD5714" w:rsidRPr="00CD5714">
              <w:rPr>
                <w:rFonts w:ascii="Arial" w:hAnsi="Arial" w:cs="Arial"/>
                <w:color w:val="000000"/>
                <w:spacing w:val="-6"/>
                <w:sz w:val="20"/>
                <w:szCs w:val="20"/>
                <w:lang w:val="en-GB"/>
              </w:rPr>
              <w:t>076</w:t>
            </w:r>
            <w:r w:rsidRPr="002D2F67">
              <w:rPr>
                <w:rFonts w:ascii="Arial" w:hAnsi="Arial" w:cs="Arial"/>
                <w:color w:val="000000"/>
                <w:spacing w:val="-6"/>
                <w:sz w:val="20"/>
                <w:szCs w:val="20"/>
              </w:rPr>
              <w:t>)</w:t>
            </w:r>
          </w:p>
        </w:tc>
        <w:tc>
          <w:tcPr>
            <w:tcW w:w="1440" w:type="dxa"/>
            <w:shd w:val="clear" w:color="auto" w:fill="auto"/>
            <w:vAlign w:val="bottom"/>
          </w:tcPr>
          <w:p w14:paraId="56F47C30" w14:textId="3392563F" w:rsidR="00FB6B7A" w:rsidRPr="002D2F67" w:rsidRDefault="00FB6B7A" w:rsidP="005611FE">
            <w:pPr>
              <w:pStyle w:val="Header"/>
              <w:ind w:left="709" w:right="-72" w:hanging="709"/>
              <w:jc w:val="right"/>
              <w:rPr>
                <w:rFonts w:ascii="Arial" w:hAnsi="Arial" w:cs="Arial"/>
                <w:color w:val="000000"/>
                <w:spacing w:val="-6"/>
                <w:sz w:val="20"/>
                <w:szCs w:val="20"/>
              </w:rPr>
            </w:pPr>
            <w:r w:rsidRPr="002D2F67">
              <w:rPr>
                <w:rFonts w:ascii="Arial" w:hAnsi="Arial" w:cs="Arial"/>
                <w:color w:val="000000"/>
                <w:spacing w:val="-6"/>
                <w:sz w:val="20"/>
                <w:szCs w:val="20"/>
              </w:rPr>
              <w:t>-</w:t>
            </w:r>
          </w:p>
        </w:tc>
        <w:tc>
          <w:tcPr>
            <w:tcW w:w="1440" w:type="dxa"/>
            <w:shd w:val="clear" w:color="auto" w:fill="auto"/>
            <w:vAlign w:val="bottom"/>
          </w:tcPr>
          <w:p w14:paraId="7C4D139A" w14:textId="333865CA" w:rsidR="00FB6B7A" w:rsidRPr="002D2F67" w:rsidRDefault="002C5D32" w:rsidP="005611FE">
            <w:pPr>
              <w:pStyle w:val="Header"/>
              <w:ind w:left="709" w:right="-72" w:hanging="709"/>
              <w:jc w:val="right"/>
              <w:rPr>
                <w:rFonts w:ascii="Arial" w:hAnsi="Arial" w:cs="Arial"/>
                <w:color w:val="000000"/>
                <w:spacing w:val="-6"/>
                <w:sz w:val="20"/>
                <w:szCs w:val="20"/>
              </w:rPr>
            </w:pPr>
            <w:r w:rsidRPr="002D2F67">
              <w:rPr>
                <w:rFonts w:ascii="Arial" w:hAnsi="Arial" w:cs="Arial"/>
                <w:color w:val="000000"/>
                <w:spacing w:val="-6"/>
                <w:sz w:val="20"/>
                <w:szCs w:val="20"/>
              </w:rPr>
              <w:t>-</w:t>
            </w:r>
          </w:p>
        </w:tc>
        <w:tc>
          <w:tcPr>
            <w:tcW w:w="1440" w:type="dxa"/>
            <w:shd w:val="clear" w:color="auto" w:fill="auto"/>
            <w:vAlign w:val="bottom"/>
          </w:tcPr>
          <w:p w14:paraId="33F5F6CE" w14:textId="4BF836DC" w:rsidR="00FB6B7A" w:rsidRPr="002D2F67" w:rsidRDefault="00FB6B7A" w:rsidP="005611FE">
            <w:pPr>
              <w:pStyle w:val="Header"/>
              <w:ind w:left="709" w:right="-72" w:hanging="709"/>
              <w:jc w:val="right"/>
              <w:rPr>
                <w:rFonts w:ascii="Arial" w:hAnsi="Arial" w:cs="Arial"/>
                <w:color w:val="000000"/>
                <w:spacing w:val="-6"/>
                <w:sz w:val="20"/>
                <w:szCs w:val="20"/>
              </w:rPr>
            </w:pPr>
            <w:r w:rsidRPr="002D2F67">
              <w:rPr>
                <w:rFonts w:ascii="Arial" w:hAnsi="Arial" w:cs="Arial"/>
                <w:color w:val="000000"/>
                <w:spacing w:val="-6"/>
                <w:sz w:val="20"/>
                <w:szCs w:val="20"/>
              </w:rPr>
              <w:t>-</w:t>
            </w:r>
          </w:p>
        </w:tc>
      </w:tr>
      <w:tr w:rsidR="00FB6B7A" w:rsidRPr="002D2F67" w14:paraId="49318B5C" w14:textId="77777777" w:rsidTr="00834DA6">
        <w:tc>
          <w:tcPr>
            <w:tcW w:w="3828" w:type="dxa"/>
            <w:shd w:val="clear" w:color="auto" w:fill="auto"/>
          </w:tcPr>
          <w:p w14:paraId="3C16E52E" w14:textId="2FD46401" w:rsidR="00FB6B7A" w:rsidRPr="002D2F67" w:rsidRDefault="002C5D32" w:rsidP="005611FE">
            <w:pPr>
              <w:pStyle w:val="Header"/>
              <w:ind w:left="31" w:right="-108"/>
              <w:jc w:val="left"/>
              <w:rPr>
                <w:rFonts w:ascii="Arial" w:hAnsi="Arial" w:cs="Arial"/>
                <w:color w:val="000000"/>
                <w:sz w:val="20"/>
                <w:szCs w:val="20"/>
              </w:rPr>
            </w:pPr>
            <w:r w:rsidRPr="002D2F67">
              <w:rPr>
                <w:rFonts w:ascii="Arial" w:hAnsi="Arial" w:cs="Arial"/>
                <w:color w:val="000000"/>
                <w:sz w:val="20"/>
                <w:szCs w:val="20"/>
              </w:rPr>
              <w:t>Currency translation differences</w:t>
            </w:r>
          </w:p>
        </w:tc>
        <w:tc>
          <w:tcPr>
            <w:tcW w:w="1440" w:type="dxa"/>
            <w:tcBorders>
              <w:bottom w:val="single" w:sz="4" w:space="0" w:color="auto"/>
            </w:tcBorders>
            <w:shd w:val="clear" w:color="auto" w:fill="auto"/>
            <w:vAlign w:val="bottom"/>
          </w:tcPr>
          <w:p w14:paraId="5562EBCD" w14:textId="61E65F83" w:rsidR="00FB6B7A" w:rsidRPr="002D2F67" w:rsidRDefault="00CD5714" w:rsidP="005611FE">
            <w:pPr>
              <w:pStyle w:val="Header"/>
              <w:ind w:left="709" w:right="-72" w:hanging="709"/>
              <w:jc w:val="right"/>
              <w:rPr>
                <w:rFonts w:ascii="Arial" w:hAnsi="Arial" w:cs="Arial"/>
                <w:color w:val="000000"/>
                <w:spacing w:val="-6"/>
                <w:sz w:val="20"/>
                <w:szCs w:val="20"/>
              </w:rPr>
            </w:pPr>
            <w:r w:rsidRPr="00CD5714">
              <w:rPr>
                <w:rFonts w:ascii="Arial" w:hAnsi="Arial" w:cs="Arial"/>
                <w:color w:val="000000"/>
                <w:spacing w:val="-6"/>
                <w:sz w:val="20"/>
                <w:szCs w:val="20"/>
                <w:lang w:val="en-GB"/>
              </w:rPr>
              <w:t>20</w:t>
            </w:r>
            <w:r w:rsidR="002E097E" w:rsidRPr="002D2F67">
              <w:rPr>
                <w:rFonts w:ascii="Arial" w:hAnsi="Arial" w:cs="Arial"/>
                <w:color w:val="000000"/>
                <w:spacing w:val="-6"/>
                <w:sz w:val="20"/>
                <w:szCs w:val="20"/>
              </w:rPr>
              <w:t>,</w:t>
            </w:r>
            <w:r w:rsidRPr="00CD5714">
              <w:rPr>
                <w:rFonts w:ascii="Arial" w:hAnsi="Arial" w:cs="Arial"/>
                <w:color w:val="000000"/>
                <w:spacing w:val="-6"/>
                <w:sz w:val="20"/>
                <w:szCs w:val="20"/>
                <w:lang w:val="en-GB"/>
              </w:rPr>
              <w:t>729</w:t>
            </w:r>
          </w:p>
        </w:tc>
        <w:tc>
          <w:tcPr>
            <w:tcW w:w="1440" w:type="dxa"/>
            <w:tcBorders>
              <w:bottom w:val="single" w:sz="4" w:space="0" w:color="auto"/>
            </w:tcBorders>
            <w:shd w:val="clear" w:color="auto" w:fill="auto"/>
            <w:vAlign w:val="bottom"/>
          </w:tcPr>
          <w:p w14:paraId="4EFD0C5C" w14:textId="1F9F008D" w:rsidR="00FB6B7A" w:rsidRPr="002D2F67" w:rsidRDefault="00CD5714" w:rsidP="005611FE">
            <w:pPr>
              <w:pStyle w:val="Header"/>
              <w:ind w:left="709" w:right="-72" w:hanging="709"/>
              <w:jc w:val="right"/>
              <w:rPr>
                <w:rFonts w:ascii="Arial" w:hAnsi="Arial" w:cs="Arial"/>
                <w:color w:val="000000"/>
                <w:spacing w:val="-6"/>
                <w:sz w:val="20"/>
                <w:szCs w:val="20"/>
              </w:rPr>
            </w:pPr>
            <w:r w:rsidRPr="00CD5714">
              <w:rPr>
                <w:rFonts w:ascii="Arial" w:hAnsi="Arial" w:cs="Arial"/>
                <w:color w:val="000000"/>
                <w:spacing w:val="-6"/>
                <w:sz w:val="20"/>
                <w:szCs w:val="20"/>
                <w:lang w:val="en-GB"/>
              </w:rPr>
              <w:t>19</w:t>
            </w:r>
            <w:r w:rsidR="002C5D32" w:rsidRPr="002D2F67">
              <w:rPr>
                <w:rFonts w:ascii="Arial" w:hAnsi="Arial" w:cs="Arial"/>
                <w:color w:val="000000"/>
                <w:spacing w:val="-6"/>
                <w:sz w:val="20"/>
                <w:szCs w:val="20"/>
              </w:rPr>
              <w:t>,</w:t>
            </w:r>
            <w:r w:rsidRPr="00CD5714">
              <w:rPr>
                <w:rFonts w:ascii="Arial" w:hAnsi="Arial" w:cs="Arial"/>
                <w:color w:val="000000"/>
                <w:spacing w:val="-6"/>
                <w:sz w:val="20"/>
                <w:szCs w:val="20"/>
                <w:lang w:val="en-GB"/>
              </w:rPr>
              <w:t>033</w:t>
            </w:r>
          </w:p>
        </w:tc>
        <w:tc>
          <w:tcPr>
            <w:tcW w:w="1440" w:type="dxa"/>
            <w:tcBorders>
              <w:bottom w:val="single" w:sz="4" w:space="0" w:color="auto"/>
            </w:tcBorders>
            <w:shd w:val="clear" w:color="auto" w:fill="auto"/>
            <w:vAlign w:val="bottom"/>
          </w:tcPr>
          <w:p w14:paraId="5CD00D0C" w14:textId="15A5B806" w:rsidR="00FB6B7A" w:rsidRPr="002D2F67" w:rsidRDefault="002C5D32" w:rsidP="005611FE">
            <w:pPr>
              <w:pStyle w:val="Header"/>
              <w:ind w:left="709" w:right="-72" w:hanging="709"/>
              <w:jc w:val="right"/>
              <w:rPr>
                <w:rFonts w:ascii="Arial" w:hAnsi="Arial" w:cs="Arial"/>
                <w:color w:val="000000"/>
                <w:spacing w:val="-6"/>
                <w:sz w:val="20"/>
                <w:szCs w:val="20"/>
              </w:rPr>
            </w:pPr>
            <w:r w:rsidRPr="002D2F67">
              <w:rPr>
                <w:rFonts w:ascii="Arial" w:hAnsi="Arial" w:cs="Arial"/>
                <w:color w:val="000000"/>
                <w:spacing w:val="-6"/>
                <w:sz w:val="20"/>
                <w:szCs w:val="20"/>
              </w:rPr>
              <w:t>-</w:t>
            </w:r>
          </w:p>
        </w:tc>
        <w:tc>
          <w:tcPr>
            <w:tcW w:w="1440" w:type="dxa"/>
            <w:tcBorders>
              <w:bottom w:val="single" w:sz="4" w:space="0" w:color="auto"/>
            </w:tcBorders>
            <w:shd w:val="clear" w:color="auto" w:fill="auto"/>
            <w:vAlign w:val="bottom"/>
          </w:tcPr>
          <w:p w14:paraId="34916737" w14:textId="783EF5E1" w:rsidR="00FB6B7A" w:rsidRPr="002D2F67" w:rsidRDefault="00FB6B7A" w:rsidP="005611FE">
            <w:pPr>
              <w:pStyle w:val="Header"/>
              <w:ind w:left="709" w:right="-72" w:hanging="709"/>
              <w:jc w:val="right"/>
              <w:rPr>
                <w:rFonts w:ascii="Arial" w:hAnsi="Arial" w:cs="Arial"/>
                <w:color w:val="000000"/>
                <w:spacing w:val="-6"/>
                <w:sz w:val="20"/>
                <w:szCs w:val="20"/>
              </w:rPr>
            </w:pPr>
            <w:r w:rsidRPr="002D2F67">
              <w:rPr>
                <w:rFonts w:ascii="Arial" w:hAnsi="Arial" w:cs="Arial"/>
                <w:color w:val="000000"/>
                <w:spacing w:val="-6"/>
                <w:sz w:val="20"/>
                <w:szCs w:val="20"/>
              </w:rPr>
              <w:t>-</w:t>
            </w:r>
          </w:p>
        </w:tc>
      </w:tr>
      <w:tr w:rsidR="00FB6B7A" w:rsidRPr="002D2F67" w14:paraId="39703965" w14:textId="77777777" w:rsidTr="00834DA6">
        <w:tc>
          <w:tcPr>
            <w:tcW w:w="3828" w:type="dxa"/>
            <w:shd w:val="clear" w:color="auto" w:fill="auto"/>
          </w:tcPr>
          <w:p w14:paraId="5DDDF71F" w14:textId="253D1906" w:rsidR="00FB6B7A" w:rsidRPr="002D2F67" w:rsidRDefault="00FB6B7A" w:rsidP="005611FE">
            <w:pPr>
              <w:pStyle w:val="Header"/>
              <w:ind w:left="31" w:right="-108"/>
              <w:jc w:val="left"/>
              <w:rPr>
                <w:rFonts w:ascii="Arial" w:hAnsi="Arial" w:cs="Arial"/>
                <w:color w:val="000000"/>
                <w:sz w:val="20"/>
                <w:szCs w:val="20"/>
              </w:rPr>
            </w:pPr>
          </w:p>
        </w:tc>
        <w:tc>
          <w:tcPr>
            <w:tcW w:w="1440" w:type="dxa"/>
            <w:tcBorders>
              <w:top w:val="single" w:sz="4" w:space="0" w:color="auto"/>
            </w:tcBorders>
            <w:shd w:val="clear" w:color="auto" w:fill="auto"/>
          </w:tcPr>
          <w:p w14:paraId="275E5500" w14:textId="186D5B8E" w:rsidR="00FB6B7A" w:rsidRPr="002D2F67" w:rsidRDefault="00FB6B7A" w:rsidP="005611FE">
            <w:pPr>
              <w:pStyle w:val="Header"/>
              <w:ind w:left="709" w:right="-72" w:hanging="709"/>
              <w:jc w:val="right"/>
              <w:rPr>
                <w:rFonts w:ascii="Arial" w:hAnsi="Arial" w:cs="Arial"/>
                <w:color w:val="000000"/>
                <w:spacing w:val="-6"/>
                <w:sz w:val="20"/>
                <w:szCs w:val="20"/>
              </w:rPr>
            </w:pPr>
          </w:p>
        </w:tc>
        <w:tc>
          <w:tcPr>
            <w:tcW w:w="1440" w:type="dxa"/>
            <w:tcBorders>
              <w:top w:val="single" w:sz="4" w:space="0" w:color="auto"/>
            </w:tcBorders>
            <w:shd w:val="clear" w:color="auto" w:fill="auto"/>
          </w:tcPr>
          <w:p w14:paraId="68EFBAB0" w14:textId="773986A9" w:rsidR="00FB6B7A" w:rsidRPr="002D2F67" w:rsidRDefault="00FB6B7A" w:rsidP="005611FE">
            <w:pPr>
              <w:pStyle w:val="Header"/>
              <w:ind w:left="709" w:right="-72" w:hanging="709"/>
              <w:jc w:val="right"/>
              <w:rPr>
                <w:rFonts w:ascii="Arial" w:hAnsi="Arial" w:cs="Arial"/>
                <w:color w:val="000000"/>
                <w:spacing w:val="-6"/>
                <w:sz w:val="20"/>
                <w:szCs w:val="20"/>
              </w:rPr>
            </w:pPr>
          </w:p>
        </w:tc>
        <w:tc>
          <w:tcPr>
            <w:tcW w:w="1440" w:type="dxa"/>
            <w:tcBorders>
              <w:top w:val="single" w:sz="4" w:space="0" w:color="auto"/>
            </w:tcBorders>
            <w:shd w:val="clear" w:color="auto" w:fill="auto"/>
          </w:tcPr>
          <w:p w14:paraId="4FD9DC09" w14:textId="65055CA2" w:rsidR="00FB6B7A" w:rsidRPr="002D2F67" w:rsidRDefault="00FB6B7A" w:rsidP="005611FE">
            <w:pPr>
              <w:pStyle w:val="Header"/>
              <w:ind w:left="709" w:right="-72" w:hanging="709"/>
              <w:jc w:val="right"/>
              <w:rPr>
                <w:rFonts w:ascii="Arial" w:hAnsi="Arial" w:cs="Arial"/>
                <w:color w:val="000000"/>
                <w:spacing w:val="-6"/>
                <w:sz w:val="20"/>
                <w:szCs w:val="20"/>
              </w:rPr>
            </w:pPr>
          </w:p>
        </w:tc>
        <w:tc>
          <w:tcPr>
            <w:tcW w:w="1440" w:type="dxa"/>
            <w:tcBorders>
              <w:top w:val="single" w:sz="4" w:space="0" w:color="auto"/>
            </w:tcBorders>
            <w:shd w:val="clear" w:color="auto" w:fill="auto"/>
          </w:tcPr>
          <w:p w14:paraId="73DB26E6" w14:textId="74EFF7DA" w:rsidR="00FB6B7A" w:rsidRPr="002D2F67" w:rsidRDefault="00FB6B7A" w:rsidP="005611FE">
            <w:pPr>
              <w:pStyle w:val="Header"/>
              <w:ind w:left="709" w:right="-72" w:hanging="709"/>
              <w:jc w:val="right"/>
              <w:rPr>
                <w:rFonts w:ascii="Arial" w:hAnsi="Arial" w:cs="Arial"/>
                <w:color w:val="000000"/>
                <w:spacing w:val="-6"/>
                <w:sz w:val="20"/>
                <w:szCs w:val="20"/>
              </w:rPr>
            </w:pPr>
          </w:p>
        </w:tc>
      </w:tr>
      <w:tr w:rsidR="00FB6B7A" w:rsidRPr="002D2F67" w14:paraId="65E697CC" w14:textId="77777777" w:rsidTr="00834DA6">
        <w:tc>
          <w:tcPr>
            <w:tcW w:w="3828" w:type="dxa"/>
            <w:shd w:val="clear" w:color="auto" w:fill="auto"/>
          </w:tcPr>
          <w:p w14:paraId="5E780460" w14:textId="3FCC6678" w:rsidR="00FB6B7A" w:rsidRPr="002D2F67" w:rsidRDefault="003E5885" w:rsidP="005611FE">
            <w:pPr>
              <w:pStyle w:val="Header"/>
              <w:tabs>
                <w:tab w:val="left" w:pos="1134"/>
                <w:tab w:val="left" w:pos="1276"/>
                <w:tab w:val="center" w:pos="3402"/>
                <w:tab w:val="center" w:pos="4536"/>
                <w:tab w:val="center" w:pos="5670"/>
                <w:tab w:val="center" w:pos="6804"/>
                <w:tab w:val="right" w:pos="7655"/>
              </w:tabs>
              <w:ind w:left="31" w:right="-288"/>
              <w:jc w:val="left"/>
              <w:rPr>
                <w:rFonts w:ascii="Arial" w:hAnsi="Arial" w:cs="Arial"/>
                <w:color w:val="000000"/>
                <w:spacing w:val="-6"/>
                <w:sz w:val="20"/>
                <w:szCs w:val="20"/>
              </w:rPr>
            </w:pPr>
            <w:r w:rsidRPr="002D2F67">
              <w:rPr>
                <w:rFonts w:ascii="Arial" w:hAnsi="Arial" w:cs="Arial"/>
                <w:color w:val="000000"/>
                <w:sz w:val="20"/>
                <w:szCs w:val="25"/>
              </w:rPr>
              <w:t>Closing</w:t>
            </w:r>
            <w:r w:rsidRPr="002D2F67">
              <w:rPr>
                <w:rFonts w:ascii="Arial" w:hAnsi="Arial" w:cs="Arial"/>
                <w:color w:val="000000"/>
                <w:sz w:val="20"/>
                <w:szCs w:val="20"/>
              </w:rPr>
              <w:t xml:space="preserve"> net book value</w:t>
            </w:r>
          </w:p>
        </w:tc>
        <w:tc>
          <w:tcPr>
            <w:tcW w:w="1440" w:type="dxa"/>
            <w:tcBorders>
              <w:bottom w:val="single" w:sz="4" w:space="0" w:color="auto"/>
            </w:tcBorders>
            <w:shd w:val="clear" w:color="auto" w:fill="auto"/>
            <w:vAlign w:val="bottom"/>
          </w:tcPr>
          <w:p w14:paraId="3D4CC731" w14:textId="715B77C2" w:rsidR="00FB6B7A" w:rsidRPr="002D2F67" w:rsidRDefault="00CD5714" w:rsidP="005611FE">
            <w:pPr>
              <w:pStyle w:val="Header"/>
              <w:ind w:left="709" w:right="-72" w:hanging="709"/>
              <w:jc w:val="right"/>
              <w:rPr>
                <w:rFonts w:ascii="Arial" w:hAnsi="Arial" w:cs="Arial"/>
                <w:color w:val="000000"/>
                <w:spacing w:val="-6"/>
                <w:sz w:val="20"/>
                <w:szCs w:val="20"/>
              </w:rPr>
            </w:pPr>
            <w:r w:rsidRPr="00CD5714">
              <w:rPr>
                <w:rFonts w:ascii="Arial" w:hAnsi="Arial" w:cs="Arial"/>
                <w:color w:val="000000"/>
                <w:spacing w:val="-6"/>
                <w:sz w:val="20"/>
                <w:szCs w:val="20"/>
                <w:lang w:val="en-GB"/>
              </w:rPr>
              <w:t>320</w:t>
            </w:r>
            <w:r w:rsidR="00096DD9" w:rsidRPr="002D2F67">
              <w:rPr>
                <w:rFonts w:ascii="Arial" w:hAnsi="Arial" w:cs="Arial"/>
                <w:color w:val="000000"/>
                <w:spacing w:val="-6"/>
                <w:sz w:val="20"/>
                <w:szCs w:val="20"/>
              </w:rPr>
              <w:t>,</w:t>
            </w:r>
            <w:r w:rsidRPr="00CD5714">
              <w:rPr>
                <w:rFonts w:ascii="Arial" w:hAnsi="Arial" w:cs="Arial"/>
                <w:color w:val="000000"/>
                <w:spacing w:val="-6"/>
                <w:sz w:val="20"/>
                <w:szCs w:val="20"/>
                <w:lang w:val="en-GB"/>
              </w:rPr>
              <w:t>675</w:t>
            </w:r>
          </w:p>
        </w:tc>
        <w:tc>
          <w:tcPr>
            <w:tcW w:w="1440" w:type="dxa"/>
            <w:tcBorders>
              <w:bottom w:val="single" w:sz="4" w:space="0" w:color="auto"/>
            </w:tcBorders>
            <w:shd w:val="clear" w:color="auto" w:fill="auto"/>
            <w:vAlign w:val="bottom"/>
          </w:tcPr>
          <w:p w14:paraId="4582875B" w14:textId="754F84E2" w:rsidR="00FB6B7A" w:rsidRPr="002D2F67" w:rsidRDefault="00CD5714" w:rsidP="005611FE">
            <w:pPr>
              <w:pStyle w:val="Header"/>
              <w:ind w:left="709" w:right="-72" w:hanging="709"/>
              <w:jc w:val="right"/>
              <w:rPr>
                <w:rFonts w:ascii="Arial" w:hAnsi="Arial" w:cs="Arial"/>
                <w:color w:val="000000"/>
                <w:spacing w:val="-6"/>
                <w:sz w:val="20"/>
                <w:szCs w:val="20"/>
              </w:rPr>
            </w:pPr>
            <w:r w:rsidRPr="00CD5714">
              <w:rPr>
                <w:rFonts w:ascii="Arial" w:hAnsi="Arial" w:cs="Arial"/>
                <w:color w:val="000000"/>
                <w:spacing w:val="-6"/>
                <w:sz w:val="20"/>
                <w:szCs w:val="20"/>
                <w:lang w:val="en-GB"/>
              </w:rPr>
              <w:t>109</w:t>
            </w:r>
            <w:r w:rsidR="002C5D32" w:rsidRPr="002D2F67">
              <w:rPr>
                <w:rFonts w:ascii="Arial" w:hAnsi="Arial" w:cs="Arial"/>
                <w:color w:val="000000"/>
                <w:spacing w:val="-6"/>
                <w:sz w:val="20"/>
                <w:szCs w:val="20"/>
              </w:rPr>
              <w:t>,</w:t>
            </w:r>
            <w:r w:rsidRPr="00CD5714">
              <w:rPr>
                <w:rFonts w:ascii="Arial" w:hAnsi="Arial" w:cs="Arial"/>
                <w:color w:val="000000"/>
                <w:spacing w:val="-6"/>
                <w:sz w:val="20"/>
                <w:szCs w:val="20"/>
                <w:lang w:val="en-GB"/>
              </w:rPr>
              <w:t>149</w:t>
            </w:r>
          </w:p>
        </w:tc>
        <w:tc>
          <w:tcPr>
            <w:tcW w:w="1440" w:type="dxa"/>
            <w:tcBorders>
              <w:bottom w:val="single" w:sz="4" w:space="0" w:color="auto"/>
            </w:tcBorders>
            <w:shd w:val="clear" w:color="auto" w:fill="auto"/>
            <w:vAlign w:val="bottom"/>
          </w:tcPr>
          <w:p w14:paraId="3B8F7EC2" w14:textId="244C602D" w:rsidR="00FB6B7A" w:rsidRPr="002D2F67" w:rsidRDefault="00CD5714" w:rsidP="005611FE">
            <w:pPr>
              <w:pStyle w:val="Header"/>
              <w:ind w:left="709" w:right="-72" w:hanging="709"/>
              <w:jc w:val="right"/>
              <w:rPr>
                <w:rFonts w:ascii="Arial" w:hAnsi="Arial" w:cs="Arial"/>
                <w:color w:val="000000"/>
                <w:spacing w:val="-6"/>
                <w:sz w:val="20"/>
                <w:szCs w:val="20"/>
              </w:rPr>
            </w:pPr>
            <w:r w:rsidRPr="00CD5714">
              <w:rPr>
                <w:rFonts w:ascii="Arial" w:hAnsi="Arial" w:cs="Arial"/>
                <w:color w:val="000000"/>
                <w:spacing w:val="-6"/>
                <w:sz w:val="20"/>
                <w:szCs w:val="20"/>
                <w:lang w:val="en-GB"/>
              </w:rPr>
              <w:t>275</w:t>
            </w:r>
            <w:r w:rsidR="002E097E" w:rsidRPr="002D2F67">
              <w:rPr>
                <w:rFonts w:ascii="Arial" w:hAnsi="Arial" w:cs="Arial"/>
                <w:color w:val="000000"/>
                <w:spacing w:val="-6"/>
                <w:sz w:val="20"/>
                <w:szCs w:val="20"/>
              </w:rPr>
              <w:t>,</w:t>
            </w:r>
            <w:r w:rsidRPr="00CD5714">
              <w:rPr>
                <w:rFonts w:ascii="Arial" w:hAnsi="Arial" w:cs="Arial"/>
                <w:color w:val="000000"/>
                <w:spacing w:val="-6"/>
                <w:sz w:val="20"/>
                <w:szCs w:val="20"/>
                <w:lang w:val="en-GB"/>
              </w:rPr>
              <w:t>299</w:t>
            </w:r>
          </w:p>
        </w:tc>
        <w:tc>
          <w:tcPr>
            <w:tcW w:w="1440" w:type="dxa"/>
            <w:tcBorders>
              <w:bottom w:val="single" w:sz="4" w:space="0" w:color="auto"/>
            </w:tcBorders>
            <w:shd w:val="clear" w:color="auto" w:fill="auto"/>
            <w:vAlign w:val="bottom"/>
          </w:tcPr>
          <w:p w14:paraId="0AFEA402" w14:textId="7C41DF11" w:rsidR="00FB6B7A" w:rsidRPr="002D2F67" w:rsidRDefault="00CD5714" w:rsidP="005611FE">
            <w:pPr>
              <w:pStyle w:val="Header"/>
              <w:ind w:left="709" w:right="-72" w:hanging="709"/>
              <w:jc w:val="right"/>
              <w:rPr>
                <w:rFonts w:ascii="Arial" w:hAnsi="Arial" w:cs="Arial"/>
                <w:color w:val="000000"/>
                <w:spacing w:val="-6"/>
                <w:sz w:val="20"/>
                <w:szCs w:val="20"/>
              </w:rPr>
            </w:pPr>
            <w:r w:rsidRPr="00CD5714">
              <w:rPr>
                <w:rFonts w:ascii="Arial" w:hAnsi="Arial" w:cs="Arial"/>
                <w:color w:val="000000"/>
                <w:spacing w:val="-6"/>
                <w:sz w:val="20"/>
                <w:szCs w:val="20"/>
                <w:lang w:val="en-GB"/>
              </w:rPr>
              <w:t>235</w:t>
            </w:r>
            <w:r w:rsidR="002C5D32" w:rsidRPr="002D2F67">
              <w:rPr>
                <w:rFonts w:ascii="Arial" w:hAnsi="Arial" w:cs="Arial"/>
                <w:color w:val="000000"/>
                <w:spacing w:val="-6"/>
                <w:sz w:val="20"/>
                <w:szCs w:val="20"/>
              </w:rPr>
              <w:t>,</w:t>
            </w:r>
            <w:r w:rsidRPr="00CD5714">
              <w:rPr>
                <w:rFonts w:ascii="Arial" w:hAnsi="Arial" w:cs="Arial"/>
                <w:color w:val="000000"/>
                <w:spacing w:val="-6"/>
                <w:sz w:val="20"/>
                <w:szCs w:val="20"/>
                <w:lang w:val="en-GB"/>
              </w:rPr>
              <w:t>177</w:t>
            </w:r>
          </w:p>
        </w:tc>
      </w:tr>
    </w:tbl>
    <w:p w14:paraId="0186D5EE" w14:textId="77777777" w:rsidR="00B4267B" w:rsidRPr="002D2F67" w:rsidRDefault="00B4267B" w:rsidP="005611FE">
      <w:pPr>
        <w:jc w:val="both"/>
        <w:rPr>
          <w:rFonts w:ascii="Arial" w:hAnsi="Arial" w:cs="Arial"/>
          <w:color w:val="000000"/>
          <w:sz w:val="20"/>
          <w:szCs w:val="20"/>
        </w:rPr>
        <w:sectPr w:rsidR="00B4267B" w:rsidRPr="002D2F67" w:rsidSect="00BC5B63">
          <w:pgSz w:w="11906" w:h="16838" w:code="9"/>
          <w:pgMar w:top="1440" w:right="720" w:bottom="720" w:left="1728" w:header="706" w:footer="706" w:gutter="0"/>
          <w:cols w:space="720"/>
        </w:sectPr>
      </w:pPr>
    </w:p>
    <w:p w14:paraId="2CC9C9E1" w14:textId="77777777" w:rsidR="00B4267B" w:rsidRPr="002D2F67" w:rsidRDefault="00B4267B" w:rsidP="005611FE">
      <w:pPr>
        <w:jc w:val="both"/>
        <w:rPr>
          <w:rFonts w:ascii="Arial" w:hAnsi="Arial" w:cs="Arial"/>
          <w:snapToGrid w:val="0"/>
          <w:color w:val="000000"/>
          <w:sz w:val="20"/>
          <w:szCs w:val="20"/>
          <w:lang w:eastAsia="th-TH"/>
        </w:rPr>
      </w:pPr>
    </w:p>
    <w:tbl>
      <w:tblPr>
        <w:tblW w:w="15545" w:type="dxa"/>
        <w:tblInd w:w="-34" w:type="dxa"/>
        <w:tblLayout w:type="fixed"/>
        <w:tblLook w:val="0000" w:firstRow="0" w:lastRow="0" w:firstColumn="0" w:lastColumn="0" w:noHBand="0" w:noVBand="0"/>
      </w:tblPr>
      <w:tblGrid>
        <w:gridCol w:w="3298"/>
        <w:gridCol w:w="992"/>
        <w:gridCol w:w="1465"/>
        <w:gridCol w:w="1465"/>
        <w:gridCol w:w="1232"/>
        <w:gridCol w:w="1465"/>
        <w:gridCol w:w="1279"/>
        <w:gridCol w:w="1700"/>
        <w:gridCol w:w="1175"/>
        <w:gridCol w:w="1474"/>
      </w:tblGrid>
      <w:tr w:rsidR="007E73EB" w:rsidRPr="002D2F67" w14:paraId="56587014" w14:textId="7B6E9D71" w:rsidTr="008255E8">
        <w:trPr>
          <w:trHeight w:val="19"/>
        </w:trPr>
        <w:tc>
          <w:tcPr>
            <w:tcW w:w="3298" w:type="dxa"/>
            <w:shd w:val="clear" w:color="auto" w:fill="auto"/>
          </w:tcPr>
          <w:p w14:paraId="54527BFA" w14:textId="77777777" w:rsidR="007E73EB" w:rsidRPr="002D2F67" w:rsidRDefault="007E73EB" w:rsidP="005611FE">
            <w:pPr>
              <w:ind w:left="49"/>
              <w:rPr>
                <w:rFonts w:ascii="Arial" w:hAnsi="Arial" w:cs="Arial"/>
                <w:b/>
                <w:bCs/>
                <w:color w:val="000000"/>
                <w:sz w:val="18"/>
                <w:szCs w:val="18"/>
              </w:rPr>
            </w:pPr>
          </w:p>
        </w:tc>
        <w:tc>
          <w:tcPr>
            <w:tcW w:w="12247" w:type="dxa"/>
            <w:gridSpan w:val="9"/>
            <w:tcBorders>
              <w:bottom w:val="single" w:sz="4" w:space="0" w:color="auto"/>
            </w:tcBorders>
            <w:shd w:val="clear" w:color="auto" w:fill="auto"/>
          </w:tcPr>
          <w:p w14:paraId="5D9B042A" w14:textId="3DAD0C81" w:rsidR="007E73EB" w:rsidRPr="002D2F67" w:rsidRDefault="007E73EB" w:rsidP="005611FE">
            <w:pPr>
              <w:tabs>
                <w:tab w:val="left" w:pos="1134"/>
                <w:tab w:val="left" w:pos="1276"/>
                <w:tab w:val="center" w:pos="3402"/>
                <w:tab w:val="center" w:pos="4536"/>
                <w:tab w:val="center" w:pos="5670"/>
                <w:tab w:val="center" w:pos="6804"/>
                <w:tab w:val="right" w:pos="7655"/>
              </w:tabs>
              <w:ind w:right="-90"/>
              <w:jc w:val="right"/>
              <w:rPr>
                <w:rFonts w:ascii="Arial" w:hAnsi="Arial" w:cs="Arial"/>
                <w:b/>
                <w:bCs/>
                <w:color w:val="000000"/>
                <w:sz w:val="18"/>
                <w:szCs w:val="18"/>
              </w:rPr>
            </w:pPr>
            <w:r w:rsidRPr="002D2F67">
              <w:rPr>
                <w:rFonts w:ascii="Arial" w:hAnsi="Arial" w:cs="Arial"/>
                <w:b/>
                <w:bCs/>
                <w:color w:val="000000"/>
                <w:sz w:val="18"/>
                <w:szCs w:val="18"/>
              </w:rPr>
              <w:t>Consolidated financial statements</w:t>
            </w:r>
          </w:p>
        </w:tc>
      </w:tr>
      <w:tr w:rsidR="00A82DBA" w:rsidRPr="002D2F67" w14:paraId="0AB5CF8B" w14:textId="4EAC80E4" w:rsidTr="008255E8">
        <w:trPr>
          <w:trHeight w:val="1205"/>
        </w:trPr>
        <w:tc>
          <w:tcPr>
            <w:tcW w:w="3298" w:type="dxa"/>
            <w:shd w:val="clear" w:color="auto" w:fill="auto"/>
          </w:tcPr>
          <w:p w14:paraId="19D082D0" w14:textId="77777777" w:rsidR="007E73EB" w:rsidRPr="002D2F67" w:rsidRDefault="007E73EB" w:rsidP="005611FE">
            <w:pPr>
              <w:ind w:left="49"/>
              <w:rPr>
                <w:rFonts w:ascii="Arial" w:hAnsi="Arial" w:cs="Arial"/>
                <w:b/>
                <w:bCs/>
                <w:color w:val="000000"/>
                <w:sz w:val="18"/>
                <w:szCs w:val="18"/>
              </w:rPr>
            </w:pPr>
          </w:p>
        </w:tc>
        <w:tc>
          <w:tcPr>
            <w:tcW w:w="992" w:type="dxa"/>
            <w:tcBorders>
              <w:top w:val="single" w:sz="4" w:space="0" w:color="auto"/>
            </w:tcBorders>
            <w:shd w:val="clear" w:color="auto" w:fill="auto"/>
            <w:vAlign w:val="bottom"/>
          </w:tcPr>
          <w:p w14:paraId="6F372D57" w14:textId="663F86B5" w:rsidR="007E73EB" w:rsidRPr="002D2F67" w:rsidRDefault="000154DE" w:rsidP="005611FE">
            <w:pPr>
              <w:pStyle w:val="Header"/>
              <w:ind w:right="-72"/>
              <w:jc w:val="right"/>
              <w:rPr>
                <w:rFonts w:ascii="Arial" w:hAnsi="Arial" w:cs="Arial"/>
                <w:b/>
                <w:bCs/>
                <w:color w:val="000000"/>
                <w:sz w:val="18"/>
                <w:szCs w:val="18"/>
                <w:cs/>
              </w:rPr>
            </w:pPr>
            <w:r w:rsidRPr="002D2F67">
              <w:rPr>
                <w:rFonts w:ascii="Arial" w:hAnsi="Arial" w:cs="Arial"/>
                <w:b/>
                <w:bCs/>
                <w:color w:val="000000"/>
                <w:sz w:val="18"/>
                <w:szCs w:val="18"/>
              </w:rPr>
              <w:t>Tax loss</w:t>
            </w:r>
          </w:p>
        </w:tc>
        <w:tc>
          <w:tcPr>
            <w:tcW w:w="1465" w:type="dxa"/>
            <w:tcBorders>
              <w:top w:val="single" w:sz="4" w:space="0" w:color="auto"/>
            </w:tcBorders>
            <w:shd w:val="clear" w:color="auto" w:fill="auto"/>
            <w:vAlign w:val="bottom"/>
          </w:tcPr>
          <w:p w14:paraId="39939E3C" w14:textId="1D740D20" w:rsidR="007E73EB" w:rsidRPr="002D2F67" w:rsidRDefault="007E73EB" w:rsidP="005611FE">
            <w:pPr>
              <w:pStyle w:val="Header"/>
              <w:ind w:right="-72"/>
              <w:jc w:val="right"/>
              <w:rPr>
                <w:rFonts w:ascii="Arial" w:hAnsi="Arial" w:cs="Arial"/>
                <w:b/>
                <w:bCs/>
                <w:color w:val="000000"/>
                <w:sz w:val="18"/>
                <w:szCs w:val="18"/>
              </w:rPr>
            </w:pPr>
            <w:r w:rsidRPr="002D2F67">
              <w:rPr>
                <w:rFonts w:ascii="Arial" w:hAnsi="Arial" w:cs="Arial"/>
                <w:b/>
                <w:bCs/>
                <w:color w:val="000000"/>
                <w:sz w:val="18"/>
                <w:szCs w:val="18"/>
              </w:rPr>
              <w:t>Allowance for decrease in value of inventories</w:t>
            </w:r>
          </w:p>
        </w:tc>
        <w:tc>
          <w:tcPr>
            <w:tcW w:w="1465" w:type="dxa"/>
            <w:tcBorders>
              <w:top w:val="single" w:sz="4" w:space="0" w:color="auto"/>
            </w:tcBorders>
            <w:shd w:val="clear" w:color="auto" w:fill="auto"/>
            <w:vAlign w:val="bottom"/>
          </w:tcPr>
          <w:p w14:paraId="32D36342" w14:textId="0BEE58BF" w:rsidR="007E73EB" w:rsidRPr="002D2F67" w:rsidRDefault="007E73EB" w:rsidP="005611FE">
            <w:pPr>
              <w:pStyle w:val="Header"/>
              <w:ind w:right="-72"/>
              <w:jc w:val="right"/>
              <w:rPr>
                <w:rFonts w:ascii="Arial" w:hAnsi="Arial" w:cs="Arial"/>
                <w:b/>
                <w:bCs/>
                <w:color w:val="000000"/>
                <w:sz w:val="18"/>
                <w:szCs w:val="18"/>
              </w:rPr>
            </w:pPr>
            <w:r w:rsidRPr="002D2F67">
              <w:rPr>
                <w:rFonts w:ascii="Arial" w:hAnsi="Arial" w:cs="Arial"/>
                <w:b/>
                <w:bCs/>
                <w:color w:val="000000"/>
                <w:sz w:val="18"/>
                <w:szCs w:val="18"/>
              </w:rPr>
              <w:t>Financial assets measured at fair value through other comprehensive income</w:t>
            </w:r>
          </w:p>
        </w:tc>
        <w:tc>
          <w:tcPr>
            <w:tcW w:w="1232" w:type="dxa"/>
            <w:tcBorders>
              <w:top w:val="single" w:sz="4" w:space="0" w:color="auto"/>
            </w:tcBorders>
            <w:shd w:val="clear" w:color="auto" w:fill="auto"/>
            <w:vAlign w:val="bottom"/>
          </w:tcPr>
          <w:p w14:paraId="7293B02B" w14:textId="1ACAD730" w:rsidR="007E73EB" w:rsidRPr="002D2F67" w:rsidRDefault="007E73EB" w:rsidP="005611FE">
            <w:pPr>
              <w:pStyle w:val="Header"/>
              <w:ind w:right="-72"/>
              <w:jc w:val="right"/>
              <w:rPr>
                <w:rFonts w:ascii="Arial" w:hAnsi="Arial" w:cs="Arial"/>
                <w:b/>
                <w:bCs/>
                <w:color w:val="000000"/>
                <w:sz w:val="18"/>
                <w:szCs w:val="18"/>
              </w:rPr>
            </w:pPr>
            <w:r w:rsidRPr="002D2F67">
              <w:rPr>
                <w:rFonts w:ascii="Arial" w:hAnsi="Arial" w:cs="Arial"/>
                <w:b/>
                <w:bCs/>
                <w:color w:val="000000"/>
                <w:sz w:val="18"/>
                <w:szCs w:val="18"/>
              </w:rPr>
              <w:t xml:space="preserve">Retirement benefit obligations  </w:t>
            </w:r>
          </w:p>
        </w:tc>
        <w:tc>
          <w:tcPr>
            <w:tcW w:w="1465" w:type="dxa"/>
            <w:tcBorders>
              <w:top w:val="single" w:sz="4" w:space="0" w:color="auto"/>
            </w:tcBorders>
            <w:shd w:val="clear" w:color="auto" w:fill="auto"/>
            <w:vAlign w:val="bottom"/>
          </w:tcPr>
          <w:p w14:paraId="26DA4F9E" w14:textId="1C9233E4" w:rsidR="007E73EB" w:rsidRPr="002D2F67" w:rsidRDefault="007E73EB" w:rsidP="005611FE">
            <w:pPr>
              <w:ind w:right="-72"/>
              <w:jc w:val="right"/>
              <w:rPr>
                <w:rFonts w:ascii="Arial" w:hAnsi="Arial" w:cs="Arial"/>
                <w:b/>
                <w:bCs/>
                <w:color w:val="000000"/>
                <w:sz w:val="18"/>
                <w:szCs w:val="18"/>
                <w:cs/>
              </w:rPr>
            </w:pPr>
            <w:r w:rsidRPr="002D2F67">
              <w:rPr>
                <w:rFonts w:ascii="Arial" w:hAnsi="Arial" w:cs="Arial"/>
                <w:b/>
                <w:bCs/>
                <w:color w:val="000000"/>
                <w:sz w:val="18"/>
                <w:szCs w:val="18"/>
              </w:rPr>
              <w:t>Property, plant and equipment</w:t>
            </w:r>
          </w:p>
        </w:tc>
        <w:tc>
          <w:tcPr>
            <w:tcW w:w="1279" w:type="dxa"/>
            <w:tcBorders>
              <w:top w:val="single" w:sz="4" w:space="0" w:color="auto"/>
            </w:tcBorders>
            <w:shd w:val="clear" w:color="auto" w:fill="auto"/>
            <w:vAlign w:val="bottom"/>
          </w:tcPr>
          <w:p w14:paraId="001A9F1D" w14:textId="5F27891B" w:rsidR="007E73EB" w:rsidRPr="002D2F67" w:rsidRDefault="007E73EB" w:rsidP="005611FE">
            <w:pPr>
              <w:ind w:right="-72"/>
              <w:jc w:val="right"/>
              <w:rPr>
                <w:rFonts w:ascii="Arial" w:hAnsi="Arial" w:cs="Arial"/>
                <w:b/>
                <w:bCs/>
                <w:color w:val="000000"/>
                <w:sz w:val="18"/>
                <w:szCs w:val="18"/>
              </w:rPr>
            </w:pPr>
            <w:r w:rsidRPr="002D2F67">
              <w:rPr>
                <w:rFonts w:ascii="Arial" w:hAnsi="Arial" w:cs="Arial"/>
                <w:b/>
                <w:bCs/>
                <w:color w:val="000000"/>
                <w:sz w:val="18"/>
                <w:szCs w:val="18"/>
              </w:rPr>
              <w:t>Right to use transmission line</w:t>
            </w:r>
          </w:p>
        </w:tc>
        <w:tc>
          <w:tcPr>
            <w:tcW w:w="1700" w:type="dxa"/>
            <w:tcBorders>
              <w:top w:val="single" w:sz="4" w:space="0" w:color="auto"/>
            </w:tcBorders>
            <w:shd w:val="clear" w:color="auto" w:fill="auto"/>
            <w:vAlign w:val="bottom"/>
          </w:tcPr>
          <w:p w14:paraId="572DA24B" w14:textId="0E28B3E8" w:rsidR="007E73EB" w:rsidRPr="002D2F67" w:rsidRDefault="007E73EB" w:rsidP="005611FE">
            <w:pPr>
              <w:ind w:right="-72"/>
              <w:jc w:val="right"/>
              <w:rPr>
                <w:rFonts w:ascii="Arial" w:hAnsi="Arial" w:cs="Arial"/>
                <w:b/>
                <w:bCs/>
                <w:color w:val="000000"/>
                <w:sz w:val="18"/>
                <w:szCs w:val="18"/>
              </w:rPr>
            </w:pPr>
            <w:r w:rsidRPr="002D2F67">
              <w:rPr>
                <w:rFonts w:ascii="Arial" w:hAnsi="Arial" w:cs="Arial"/>
                <w:b/>
                <w:bCs/>
                <w:color w:val="000000"/>
                <w:sz w:val="18"/>
                <w:szCs w:val="18"/>
              </w:rPr>
              <w:t>Provision for decommissioning costs</w:t>
            </w:r>
          </w:p>
        </w:tc>
        <w:tc>
          <w:tcPr>
            <w:tcW w:w="1175" w:type="dxa"/>
            <w:tcBorders>
              <w:top w:val="single" w:sz="4" w:space="0" w:color="auto"/>
            </w:tcBorders>
            <w:shd w:val="clear" w:color="auto" w:fill="auto"/>
            <w:vAlign w:val="bottom"/>
          </w:tcPr>
          <w:p w14:paraId="0CB80573" w14:textId="3E3369E4" w:rsidR="007E73EB" w:rsidRPr="002D2F67" w:rsidRDefault="007E73EB" w:rsidP="005611FE">
            <w:pPr>
              <w:ind w:right="-72"/>
              <w:jc w:val="right"/>
              <w:rPr>
                <w:rFonts w:ascii="Arial" w:hAnsi="Arial" w:cs="Arial"/>
                <w:b/>
                <w:bCs/>
                <w:color w:val="000000"/>
                <w:sz w:val="18"/>
                <w:szCs w:val="18"/>
              </w:rPr>
            </w:pPr>
            <w:r w:rsidRPr="002D2F67">
              <w:rPr>
                <w:rFonts w:ascii="Arial" w:hAnsi="Arial" w:cs="Arial"/>
                <w:b/>
                <w:bCs/>
                <w:color w:val="000000"/>
                <w:sz w:val="18"/>
                <w:szCs w:val="18"/>
              </w:rPr>
              <w:t>Lease liabilities</w:t>
            </w:r>
          </w:p>
        </w:tc>
        <w:tc>
          <w:tcPr>
            <w:tcW w:w="1474" w:type="dxa"/>
            <w:tcBorders>
              <w:top w:val="single" w:sz="4" w:space="0" w:color="auto"/>
            </w:tcBorders>
            <w:shd w:val="clear" w:color="auto" w:fill="auto"/>
            <w:vAlign w:val="bottom"/>
          </w:tcPr>
          <w:p w14:paraId="4AD986D7" w14:textId="557220F9" w:rsidR="007E73EB" w:rsidRPr="002D2F67" w:rsidRDefault="007E73EB" w:rsidP="005611FE">
            <w:pPr>
              <w:ind w:right="-72"/>
              <w:jc w:val="right"/>
              <w:rPr>
                <w:rFonts w:ascii="Arial" w:hAnsi="Arial" w:cs="Arial"/>
                <w:b/>
                <w:bCs/>
                <w:color w:val="000000"/>
                <w:sz w:val="18"/>
                <w:szCs w:val="18"/>
              </w:rPr>
            </w:pPr>
            <w:r w:rsidRPr="002D2F67">
              <w:rPr>
                <w:rFonts w:ascii="Arial" w:hAnsi="Arial" w:cs="Arial"/>
                <w:b/>
                <w:bCs/>
                <w:color w:val="000000"/>
                <w:sz w:val="18"/>
                <w:szCs w:val="18"/>
              </w:rPr>
              <w:t>Total</w:t>
            </w:r>
          </w:p>
        </w:tc>
      </w:tr>
      <w:tr w:rsidR="00A82DBA" w:rsidRPr="002D2F67" w14:paraId="3EE48ED2" w14:textId="78A880D1" w:rsidTr="005611FE">
        <w:trPr>
          <w:trHeight w:val="19"/>
        </w:trPr>
        <w:tc>
          <w:tcPr>
            <w:tcW w:w="3298" w:type="dxa"/>
            <w:shd w:val="clear" w:color="auto" w:fill="auto"/>
          </w:tcPr>
          <w:p w14:paraId="7BE7B4E6" w14:textId="77777777" w:rsidR="007E73EB" w:rsidRPr="002D2F67" w:rsidRDefault="007E73EB" w:rsidP="005611FE">
            <w:pPr>
              <w:ind w:left="49"/>
              <w:rPr>
                <w:rFonts w:ascii="Arial" w:hAnsi="Arial" w:cs="Arial"/>
                <w:b/>
                <w:bCs/>
                <w:color w:val="000000"/>
                <w:sz w:val="18"/>
                <w:szCs w:val="18"/>
              </w:rPr>
            </w:pPr>
          </w:p>
        </w:tc>
        <w:tc>
          <w:tcPr>
            <w:tcW w:w="992" w:type="dxa"/>
            <w:tcBorders>
              <w:bottom w:val="single" w:sz="4" w:space="0" w:color="auto"/>
            </w:tcBorders>
            <w:shd w:val="clear" w:color="auto" w:fill="auto"/>
          </w:tcPr>
          <w:p w14:paraId="0313DE9C" w14:textId="24569044" w:rsidR="007E73EB" w:rsidRPr="002D2F67" w:rsidRDefault="000154DE" w:rsidP="005611FE">
            <w:pPr>
              <w:ind w:right="-72"/>
              <w:jc w:val="right"/>
              <w:rPr>
                <w:rFonts w:ascii="Arial" w:hAnsi="Arial" w:cs="Arial"/>
                <w:color w:val="000000"/>
                <w:sz w:val="18"/>
                <w:szCs w:val="18"/>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c>
          <w:tcPr>
            <w:tcW w:w="1465" w:type="dxa"/>
            <w:tcBorders>
              <w:bottom w:val="single" w:sz="4" w:space="0" w:color="auto"/>
            </w:tcBorders>
            <w:shd w:val="clear" w:color="auto" w:fill="auto"/>
          </w:tcPr>
          <w:p w14:paraId="42BF258F" w14:textId="579F962A" w:rsidR="007E73EB" w:rsidRPr="002D2F67" w:rsidRDefault="007E73EB" w:rsidP="005611FE">
            <w:pPr>
              <w:ind w:right="-72"/>
              <w:jc w:val="right"/>
              <w:rPr>
                <w:rFonts w:ascii="Arial" w:hAnsi="Arial" w:cs="Arial"/>
                <w:b/>
                <w:bCs/>
                <w:color w:val="000000"/>
                <w:sz w:val="18"/>
                <w:szCs w:val="18"/>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c>
          <w:tcPr>
            <w:tcW w:w="1465" w:type="dxa"/>
            <w:tcBorders>
              <w:bottom w:val="single" w:sz="4" w:space="0" w:color="auto"/>
            </w:tcBorders>
            <w:shd w:val="clear" w:color="auto" w:fill="auto"/>
          </w:tcPr>
          <w:p w14:paraId="2C4FAE4F" w14:textId="35FAF6E8" w:rsidR="007E73EB" w:rsidRPr="002D2F67" w:rsidRDefault="007E73EB" w:rsidP="005611FE">
            <w:pPr>
              <w:ind w:right="-72"/>
              <w:jc w:val="right"/>
              <w:rPr>
                <w:rFonts w:ascii="Arial" w:hAnsi="Arial" w:cs="Arial"/>
                <w:color w:val="000000"/>
                <w:sz w:val="18"/>
                <w:szCs w:val="18"/>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c>
          <w:tcPr>
            <w:tcW w:w="1232" w:type="dxa"/>
            <w:tcBorders>
              <w:bottom w:val="single" w:sz="4" w:space="0" w:color="auto"/>
            </w:tcBorders>
            <w:shd w:val="clear" w:color="auto" w:fill="auto"/>
          </w:tcPr>
          <w:p w14:paraId="07DEE9EB" w14:textId="45CC137E" w:rsidR="007E73EB" w:rsidRPr="002D2F67" w:rsidRDefault="007E73EB" w:rsidP="005611FE">
            <w:pPr>
              <w:ind w:right="-72"/>
              <w:jc w:val="right"/>
              <w:rPr>
                <w:rFonts w:ascii="Arial" w:hAnsi="Arial" w:cs="Arial"/>
                <w:color w:val="000000"/>
                <w:sz w:val="18"/>
                <w:szCs w:val="18"/>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c>
          <w:tcPr>
            <w:tcW w:w="1465" w:type="dxa"/>
            <w:tcBorders>
              <w:bottom w:val="single" w:sz="4" w:space="0" w:color="auto"/>
            </w:tcBorders>
            <w:shd w:val="clear" w:color="auto" w:fill="auto"/>
          </w:tcPr>
          <w:p w14:paraId="0DC07EFE" w14:textId="4C491B5A" w:rsidR="007E73EB" w:rsidRPr="002D2F67" w:rsidRDefault="007E73EB" w:rsidP="005611FE">
            <w:pPr>
              <w:ind w:right="-72"/>
              <w:jc w:val="right"/>
              <w:rPr>
                <w:rFonts w:ascii="Arial" w:hAnsi="Arial" w:cs="Arial"/>
                <w:color w:val="000000"/>
                <w:sz w:val="18"/>
                <w:szCs w:val="18"/>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c>
          <w:tcPr>
            <w:tcW w:w="1279" w:type="dxa"/>
            <w:tcBorders>
              <w:bottom w:val="single" w:sz="4" w:space="0" w:color="auto"/>
            </w:tcBorders>
            <w:shd w:val="clear" w:color="auto" w:fill="auto"/>
          </w:tcPr>
          <w:p w14:paraId="2CD4869B" w14:textId="04EE5CB3" w:rsidR="007E73EB" w:rsidRPr="002D2F67" w:rsidRDefault="007E73EB" w:rsidP="005611FE">
            <w:pPr>
              <w:ind w:right="-72"/>
              <w:jc w:val="right"/>
              <w:rPr>
                <w:rFonts w:ascii="Arial" w:hAnsi="Arial" w:cs="Arial"/>
                <w:b/>
                <w:bCs/>
                <w:color w:val="000000"/>
                <w:sz w:val="18"/>
                <w:szCs w:val="18"/>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c>
          <w:tcPr>
            <w:tcW w:w="1700" w:type="dxa"/>
            <w:tcBorders>
              <w:bottom w:val="single" w:sz="4" w:space="0" w:color="auto"/>
            </w:tcBorders>
            <w:shd w:val="clear" w:color="auto" w:fill="auto"/>
          </w:tcPr>
          <w:p w14:paraId="611A1537" w14:textId="073BEC3F" w:rsidR="007E73EB" w:rsidRPr="002D2F67" w:rsidRDefault="007E73EB"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18"/>
                <w:szCs w:val="18"/>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c>
          <w:tcPr>
            <w:tcW w:w="1175" w:type="dxa"/>
            <w:tcBorders>
              <w:bottom w:val="single" w:sz="4" w:space="0" w:color="auto"/>
            </w:tcBorders>
            <w:shd w:val="clear" w:color="auto" w:fill="auto"/>
          </w:tcPr>
          <w:p w14:paraId="40ACC3E9" w14:textId="5C5E942A" w:rsidR="007E73EB" w:rsidRPr="002D2F67" w:rsidRDefault="007E73EB"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18"/>
                <w:szCs w:val="18"/>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c>
          <w:tcPr>
            <w:tcW w:w="1474" w:type="dxa"/>
            <w:tcBorders>
              <w:bottom w:val="single" w:sz="4" w:space="0" w:color="auto"/>
            </w:tcBorders>
            <w:shd w:val="clear" w:color="auto" w:fill="auto"/>
          </w:tcPr>
          <w:p w14:paraId="7362D101" w14:textId="1838050B" w:rsidR="007E73EB" w:rsidRPr="002D2F67" w:rsidRDefault="007E73EB"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18"/>
                <w:szCs w:val="18"/>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r>
      <w:tr w:rsidR="00A82DBA" w:rsidRPr="002D2F67" w14:paraId="4D848878" w14:textId="03B9B167" w:rsidTr="005611FE">
        <w:trPr>
          <w:trHeight w:val="19"/>
        </w:trPr>
        <w:tc>
          <w:tcPr>
            <w:tcW w:w="3298" w:type="dxa"/>
            <w:shd w:val="clear" w:color="auto" w:fill="auto"/>
          </w:tcPr>
          <w:p w14:paraId="6147EB93" w14:textId="77777777" w:rsidR="007E73EB" w:rsidRPr="002D2F67" w:rsidRDefault="007E73EB" w:rsidP="005611FE">
            <w:pPr>
              <w:pStyle w:val="Header"/>
              <w:tabs>
                <w:tab w:val="clear" w:pos="4320"/>
                <w:tab w:val="clear" w:pos="8640"/>
              </w:tabs>
              <w:ind w:left="49"/>
              <w:jc w:val="left"/>
              <w:rPr>
                <w:rFonts w:ascii="Arial" w:hAnsi="Arial" w:cs="Arial"/>
                <w:color w:val="000000"/>
                <w:sz w:val="18"/>
                <w:szCs w:val="18"/>
              </w:rPr>
            </w:pPr>
          </w:p>
        </w:tc>
        <w:tc>
          <w:tcPr>
            <w:tcW w:w="992" w:type="dxa"/>
            <w:tcBorders>
              <w:top w:val="single" w:sz="4" w:space="0" w:color="auto"/>
            </w:tcBorders>
            <w:shd w:val="clear" w:color="auto" w:fill="auto"/>
          </w:tcPr>
          <w:p w14:paraId="1F2545B7" w14:textId="77777777" w:rsidR="007E73EB" w:rsidRPr="002D2F67" w:rsidRDefault="007E73EB"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65" w:type="dxa"/>
            <w:tcBorders>
              <w:top w:val="single" w:sz="4" w:space="0" w:color="auto"/>
            </w:tcBorders>
            <w:shd w:val="clear" w:color="auto" w:fill="auto"/>
          </w:tcPr>
          <w:p w14:paraId="2EDE6B6F" w14:textId="77777777" w:rsidR="007E73EB" w:rsidRPr="002D2F67" w:rsidRDefault="007E73EB"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65" w:type="dxa"/>
            <w:tcBorders>
              <w:top w:val="single" w:sz="4" w:space="0" w:color="auto"/>
            </w:tcBorders>
            <w:shd w:val="clear" w:color="auto" w:fill="auto"/>
          </w:tcPr>
          <w:p w14:paraId="73F032C0" w14:textId="3A10BAE3" w:rsidR="007E73EB" w:rsidRPr="002D2F67" w:rsidRDefault="007E73EB"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232" w:type="dxa"/>
            <w:tcBorders>
              <w:top w:val="single" w:sz="4" w:space="0" w:color="auto"/>
            </w:tcBorders>
            <w:shd w:val="clear" w:color="auto" w:fill="auto"/>
          </w:tcPr>
          <w:p w14:paraId="60D7F592" w14:textId="2FC5A611" w:rsidR="007E73EB" w:rsidRPr="002D2F67" w:rsidRDefault="007E73EB"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65" w:type="dxa"/>
            <w:tcBorders>
              <w:top w:val="single" w:sz="4" w:space="0" w:color="auto"/>
            </w:tcBorders>
            <w:shd w:val="clear" w:color="auto" w:fill="auto"/>
          </w:tcPr>
          <w:p w14:paraId="57F4CBC3" w14:textId="77777777" w:rsidR="007E73EB" w:rsidRPr="002D2F67" w:rsidRDefault="007E73EB"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279" w:type="dxa"/>
            <w:tcBorders>
              <w:top w:val="single" w:sz="4" w:space="0" w:color="auto"/>
            </w:tcBorders>
            <w:shd w:val="clear" w:color="auto" w:fill="auto"/>
          </w:tcPr>
          <w:p w14:paraId="6539DCFE" w14:textId="77777777" w:rsidR="007E73EB" w:rsidRPr="002D2F67" w:rsidRDefault="007E73EB"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700" w:type="dxa"/>
            <w:tcBorders>
              <w:top w:val="single" w:sz="4" w:space="0" w:color="auto"/>
            </w:tcBorders>
            <w:shd w:val="clear" w:color="auto" w:fill="auto"/>
          </w:tcPr>
          <w:p w14:paraId="626219FB" w14:textId="77777777" w:rsidR="007E73EB" w:rsidRPr="002D2F67" w:rsidRDefault="007E73EB"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175" w:type="dxa"/>
            <w:tcBorders>
              <w:top w:val="single" w:sz="4" w:space="0" w:color="auto"/>
            </w:tcBorders>
            <w:shd w:val="clear" w:color="auto" w:fill="auto"/>
          </w:tcPr>
          <w:p w14:paraId="688B929D" w14:textId="77777777" w:rsidR="007E73EB" w:rsidRPr="002D2F67" w:rsidRDefault="007E73EB"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74" w:type="dxa"/>
            <w:tcBorders>
              <w:top w:val="single" w:sz="4" w:space="0" w:color="auto"/>
            </w:tcBorders>
            <w:shd w:val="clear" w:color="auto" w:fill="auto"/>
          </w:tcPr>
          <w:p w14:paraId="05D76C73" w14:textId="77777777" w:rsidR="007E73EB" w:rsidRPr="002D2F67" w:rsidRDefault="007E73EB"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r>
      <w:tr w:rsidR="00A82DBA" w:rsidRPr="002D2F67" w14:paraId="7B6C9BF2" w14:textId="20D5E9BF" w:rsidTr="005611FE">
        <w:trPr>
          <w:trHeight w:val="19"/>
        </w:trPr>
        <w:tc>
          <w:tcPr>
            <w:tcW w:w="3298" w:type="dxa"/>
            <w:shd w:val="clear" w:color="auto" w:fill="auto"/>
          </w:tcPr>
          <w:p w14:paraId="707451F6" w14:textId="77777777" w:rsidR="007E73EB" w:rsidRPr="002D2F67" w:rsidRDefault="007E73EB" w:rsidP="005611FE">
            <w:pPr>
              <w:pStyle w:val="Header"/>
              <w:tabs>
                <w:tab w:val="clear" w:pos="4320"/>
                <w:tab w:val="clear" w:pos="8640"/>
              </w:tabs>
              <w:ind w:left="49"/>
              <w:jc w:val="left"/>
              <w:rPr>
                <w:rFonts w:ascii="Arial" w:hAnsi="Arial" w:cs="Arial"/>
                <w:b/>
                <w:bCs/>
                <w:color w:val="000000"/>
                <w:sz w:val="18"/>
                <w:szCs w:val="18"/>
              </w:rPr>
            </w:pPr>
            <w:r w:rsidRPr="002D2F67">
              <w:rPr>
                <w:rFonts w:ascii="Arial" w:hAnsi="Arial" w:cs="Arial"/>
                <w:b/>
                <w:bCs/>
                <w:color w:val="000000"/>
                <w:sz w:val="18"/>
                <w:szCs w:val="18"/>
              </w:rPr>
              <w:t>Deferred tax assets</w:t>
            </w:r>
          </w:p>
        </w:tc>
        <w:tc>
          <w:tcPr>
            <w:tcW w:w="992" w:type="dxa"/>
            <w:shd w:val="clear" w:color="auto" w:fill="auto"/>
          </w:tcPr>
          <w:p w14:paraId="39793990" w14:textId="77777777" w:rsidR="007E73EB" w:rsidRPr="002D2F67" w:rsidRDefault="007E73EB" w:rsidP="005611FE">
            <w:pPr>
              <w:pStyle w:val="Header"/>
              <w:ind w:right="-72"/>
              <w:jc w:val="right"/>
              <w:rPr>
                <w:rFonts w:ascii="Arial" w:hAnsi="Arial" w:cs="Arial"/>
                <w:color w:val="000000"/>
                <w:sz w:val="18"/>
                <w:szCs w:val="18"/>
              </w:rPr>
            </w:pPr>
          </w:p>
        </w:tc>
        <w:tc>
          <w:tcPr>
            <w:tcW w:w="1465" w:type="dxa"/>
            <w:shd w:val="clear" w:color="auto" w:fill="auto"/>
          </w:tcPr>
          <w:p w14:paraId="2BB56D39" w14:textId="77777777" w:rsidR="007E73EB" w:rsidRPr="002D2F67" w:rsidRDefault="007E73EB" w:rsidP="005611FE">
            <w:pPr>
              <w:pStyle w:val="Header"/>
              <w:ind w:right="-72"/>
              <w:jc w:val="right"/>
              <w:rPr>
                <w:rFonts w:ascii="Arial" w:hAnsi="Arial" w:cs="Arial"/>
                <w:color w:val="000000"/>
                <w:sz w:val="18"/>
                <w:szCs w:val="18"/>
              </w:rPr>
            </w:pPr>
          </w:p>
        </w:tc>
        <w:tc>
          <w:tcPr>
            <w:tcW w:w="1465" w:type="dxa"/>
            <w:shd w:val="clear" w:color="auto" w:fill="auto"/>
          </w:tcPr>
          <w:p w14:paraId="7AA21211" w14:textId="25CC5A6A" w:rsidR="007E73EB" w:rsidRPr="002D2F67" w:rsidRDefault="007E73EB" w:rsidP="005611FE">
            <w:pPr>
              <w:pStyle w:val="Header"/>
              <w:ind w:right="-72"/>
              <w:jc w:val="right"/>
              <w:rPr>
                <w:rFonts w:ascii="Arial" w:hAnsi="Arial" w:cs="Arial"/>
                <w:color w:val="000000"/>
                <w:sz w:val="18"/>
                <w:szCs w:val="18"/>
              </w:rPr>
            </w:pPr>
          </w:p>
        </w:tc>
        <w:tc>
          <w:tcPr>
            <w:tcW w:w="1232" w:type="dxa"/>
            <w:shd w:val="clear" w:color="auto" w:fill="auto"/>
          </w:tcPr>
          <w:p w14:paraId="369BFE54" w14:textId="7FFCD554" w:rsidR="007E73EB" w:rsidRPr="002D2F67" w:rsidRDefault="007E73EB"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65" w:type="dxa"/>
            <w:shd w:val="clear" w:color="auto" w:fill="auto"/>
          </w:tcPr>
          <w:p w14:paraId="1978A294" w14:textId="77777777" w:rsidR="007E73EB" w:rsidRPr="002D2F67" w:rsidRDefault="007E73EB"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279" w:type="dxa"/>
            <w:shd w:val="clear" w:color="auto" w:fill="auto"/>
          </w:tcPr>
          <w:p w14:paraId="4401B4DF" w14:textId="77777777" w:rsidR="007E73EB" w:rsidRPr="002D2F67" w:rsidRDefault="007E73EB"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700" w:type="dxa"/>
            <w:shd w:val="clear" w:color="auto" w:fill="auto"/>
          </w:tcPr>
          <w:p w14:paraId="4E4E2DD9" w14:textId="77777777" w:rsidR="007E73EB" w:rsidRPr="002D2F67" w:rsidRDefault="007E73EB"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175" w:type="dxa"/>
            <w:shd w:val="clear" w:color="auto" w:fill="auto"/>
          </w:tcPr>
          <w:p w14:paraId="2841B294" w14:textId="77777777" w:rsidR="007E73EB" w:rsidRPr="002D2F67" w:rsidRDefault="007E73EB"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74" w:type="dxa"/>
            <w:shd w:val="clear" w:color="auto" w:fill="auto"/>
          </w:tcPr>
          <w:p w14:paraId="497518AE" w14:textId="77777777" w:rsidR="007E73EB" w:rsidRPr="002D2F67" w:rsidRDefault="007E73EB"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r>
      <w:tr w:rsidR="0049508C" w:rsidRPr="002D2F67" w14:paraId="5A8B4661" w14:textId="40227E48" w:rsidTr="005611FE">
        <w:trPr>
          <w:trHeight w:val="19"/>
        </w:trPr>
        <w:tc>
          <w:tcPr>
            <w:tcW w:w="3298" w:type="dxa"/>
            <w:shd w:val="clear" w:color="auto" w:fill="auto"/>
          </w:tcPr>
          <w:p w14:paraId="000DBB77" w14:textId="3F304A51" w:rsidR="0049508C" w:rsidRPr="002D2F67" w:rsidRDefault="0049508C" w:rsidP="005611FE">
            <w:pPr>
              <w:pStyle w:val="Header"/>
              <w:tabs>
                <w:tab w:val="clear" w:pos="4320"/>
                <w:tab w:val="clear" w:pos="8640"/>
              </w:tabs>
              <w:ind w:left="49"/>
              <w:jc w:val="left"/>
              <w:rPr>
                <w:rFonts w:ascii="Arial" w:hAnsi="Arial" w:cs="Arial"/>
                <w:color w:val="000000"/>
                <w:sz w:val="18"/>
                <w:szCs w:val="18"/>
              </w:rPr>
            </w:pPr>
            <w:r w:rsidRPr="002D2F67">
              <w:rPr>
                <w:rFonts w:ascii="Arial" w:hAnsi="Arial" w:cs="Arial"/>
                <w:color w:val="000000"/>
                <w:sz w:val="18"/>
                <w:szCs w:val="18"/>
              </w:rPr>
              <w:t xml:space="preserve">As </w:t>
            </w:r>
            <w:proofErr w:type="gramStart"/>
            <w:r w:rsidRPr="002D2F67">
              <w:rPr>
                <w:rFonts w:ascii="Arial" w:hAnsi="Arial" w:cs="Arial"/>
                <w:color w:val="000000"/>
                <w:sz w:val="18"/>
                <w:szCs w:val="18"/>
              </w:rPr>
              <w:t>at</w:t>
            </w:r>
            <w:proofErr w:type="gramEnd"/>
            <w:r w:rsidRPr="002D2F67">
              <w:rPr>
                <w:rFonts w:ascii="Arial" w:hAnsi="Arial" w:cs="Arial"/>
                <w:color w:val="000000"/>
                <w:sz w:val="18"/>
                <w:szCs w:val="18"/>
              </w:rPr>
              <w:t xml:space="preserve"> </w:t>
            </w:r>
            <w:r w:rsidR="00CD5714" w:rsidRPr="00CD5714">
              <w:rPr>
                <w:rFonts w:ascii="Arial" w:hAnsi="Arial" w:cs="Arial"/>
                <w:color w:val="000000"/>
                <w:sz w:val="18"/>
                <w:szCs w:val="18"/>
                <w:lang w:val="en-GB"/>
              </w:rPr>
              <w:t>1</w:t>
            </w:r>
            <w:r w:rsidRPr="002D2F67">
              <w:rPr>
                <w:rFonts w:ascii="Arial" w:hAnsi="Arial" w:cs="Arial"/>
                <w:color w:val="000000"/>
                <w:sz w:val="18"/>
                <w:szCs w:val="18"/>
              </w:rPr>
              <w:t xml:space="preserve"> January </w:t>
            </w:r>
            <w:r w:rsidR="00CD5714" w:rsidRPr="00CD5714">
              <w:rPr>
                <w:rFonts w:ascii="Arial" w:hAnsi="Arial" w:cs="Arial"/>
                <w:color w:val="000000"/>
                <w:sz w:val="18"/>
                <w:szCs w:val="18"/>
                <w:lang w:val="en-GB"/>
              </w:rPr>
              <w:t>2023</w:t>
            </w:r>
          </w:p>
        </w:tc>
        <w:tc>
          <w:tcPr>
            <w:tcW w:w="992" w:type="dxa"/>
            <w:shd w:val="clear" w:color="auto" w:fill="auto"/>
            <w:vAlign w:val="bottom"/>
          </w:tcPr>
          <w:p w14:paraId="29DD6859" w14:textId="1E11EF0B" w:rsidR="0049508C" w:rsidRPr="002D2F67" w:rsidRDefault="0049508C"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p>
        </w:tc>
        <w:tc>
          <w:tcPr>
            <w:tcW w:w="1465" w:type="dxa"/>
            <w:shd w:val="clear" w:color="auto" w:fill="auto"/>
            <w:vAlign w:val="bottom"/>
          </w:tcPr>
          <w:p w14:paraId="2DF8E6F1" w14:textId="6612C729"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325</w:t>
            </w:r>
          </w:p>
        </w:tc>
        <w:tc>
          <w:tcPr>
            <w:tcW w:w="1465" w:type="dxa"/>
            <w:shd w:val="clear" w:color="auto" w:fill="auto"/>
            <w:vAlign w:val="bottom"/>
          </w:tcPr>
          <w:p w14:paraId="40C06D0A" w14:textId="59C81B92"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2</w:t>
            </w:r>
            <w:r w:rsidR="0049508C" w:rsidRPr="002D2F67">
              <w:rPr>
                <w:rFonts w:ascii="Arial" w:hAnsi="Arial" w:cs="Arial"/>
                <w:color w:val="000000"/>
                <w:sz w:val="18"/>
                <w:szCs w:val="18"/>
              </w:rPr>
              <w:t>,</w:t>
            </w:r>
            <w:r w:rsidRPr="00CD5714">
              <w:rPr>
                <w:rFonts w:ascii="Arial" w:hAnsi="Arial" w:cs="Arial"/>
                <w:color w:val="000000"/>
                <w:sz w:val="18"/>
                <w:szCs w:val="18"/>
                <w:lang w:val="en-GB"/>
              </w:rPr>
              <w:t>932</w:t>
            </w:r>
          </w:p>
        </w:tc>
        <w:tc>
          <w:tcPr>
            <w:tcW w:w="1232" w:type="dxa"/>
            <w:shd w:val="clear" w:color="auto" w:fill="auto"/>
            <w:vAlign w:val="bottom"/>
          </w:tcPr>
          <w:p w14:paraId="3123E908" w14:textId="7863B7AE" w:rsidR="0049508C"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CD5714">
              <w:rPr>
                <w:rFonts w:ascii="Arial" w:hAnsi="Arial" w:cs="Arial"/>
                <w:color w:val="000000"/>
                <w:sz w:val="18"/>
                <w:szCs w:val="18"/>
                <w:lang w:val="en-GB"/>
              </w:rPr>
              <w:t>15</w:t>
            </w:r>
            <w:r w:rsidR="0049508C" w:rsidRPr="002D2F67">
              <w:rPr>
                <w:rFonts w:ascii="Arial" w:hAnsi="Arial" w:cs="Arial"/>
                <w:color w:val="000000"/>
                <w:sz w:val="18"/>
                <w:szCs w:val="18"/>
              </w:rPr>
              <w:t>,</w:t>
            </w:r>
            <w:r w:rsidRPr="00CD5714">
              <w:rPr>
                <w:rFonts w:ascii="Arial" w:hAnsi="Arial" w:cs="Arial"/>
                <w:color w:val="000000"/>
                <w:sz w:val="18"/>
                <w:szCs w:val="18"/>
                <w:lang w:val="en-GB"/>
              </w:rPr>
              <w:t>857</w:t>
            </w:r>
          </w:p>
        </w:tc>
        <w:tc>
          <w:tcPr>
            <w:tcW w:w="1465" w:type="dxa"/>
            <w:shd w:val="clear" w:color="auto" w:fill="auto"/>
            <w:vAlign w:val="bottom"/>
          </w:tcPr>
          <w:p w14:paraId="49AFADEC" w14:textId="10352C15" w:rsidR="0049508C"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CD5714">
              <w:rPr>
                <w:rFonts w:ascii="Arial" w:hAnsi="Arial" w:cs="Arial"/>
                <w:color w:val="000000"/>
                <w:sz w:val="18"/>
                <w:szCs w:val="18"/>
                <w:lang w:val="en-GB"/>
              </w:rPr>
              <w:t>34</w:t>
            </w:r>
            <w:r w:rsidR="0049508C" w:rsidRPr="002D2F67">
              <w:rPr>
                <w:rFonts w:ascii="Arial" w:hAnsi="Arial" w:cs="Arial"/>
                <w:color w:val="000000"/>
                <w:sz w:val="18"/>
                <w:szCs w:val="18"/>
              </w:rPr>
              <w:t>,</w:t>
            </w:r>
            <w:r w:rsidRPr="00CD5714">
              <w:rPr>
                <w:rFonts w:ascii="Arial" w:hAnsi="Arial" w:cs="Arial"/>
                <w:color w:val="000000"/>
                <w:sz w:val="18"/>
                <w:szCs w:val="18"/>
                <w:lang w:val="en-GB"/>
              </w:rPr>
              <w:t>402</w:t>
            </w:r>
          </w:p>
        </w:tc>
        <w:tc>
          <w:tcPr>
            <w:tcW w:w="1279" w:type="dxa"/>
            <w:shd w:val="clear" w:color="auto" w:fill="auto"/>
            <w:vAlign w:val="bottom"/>
          </w:tcPr>
          <w:p w14:paraId="73B024A7" w14:textId="7D2C71A4" w:rsidR="0049508C"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CD5714">
              <w:rPr>
                <w:rFonts w:ascii="Arial" w:eastAsia="Cordia New" w:hAnsi="Arial" w:cs="Arial"/>
                <w:color w:val="000000"/>
                <w:sz w:val="18"/>
                <w:szCs w:val="18"/>
                <w:lang w:val="en-GB"/>
              </w:rPr>
              <w:t>69</w:t>
            </w:r>
          </w:p>
        </w:tc>
        <w:tc>
          <w:tcPr>
            <w:tcW w:w="1700" w:type="dxa"/>
            <w:shd w:val="clear" w:color="auto" w:fill="auto"/>
            <w:vAlign w:val="bottom"/>
          </w:tcPr>
          <w:p w14:paraId="55B1F223" w14:textId="6F05729A" w:rsidR="0049508C"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CD5714">
              <w:rPr>
                <w:rFonts w:ascii="Arial" w:eastAsia="Cordia New" w:hAnsi="Arial" w:cs="Arial"/>
                <w:color w:val="000000"/>
                <w:sz w:val="18"/>
                <w:szCs w:val="18"/>
                <w:lang w:val="en-GB"/>
              </w:rPr>
              <w:t>118</w:t>
            </w:r>
            <w:r w:rsidR="0049508C" w:rsidRPr="002D2F67">
              <w:rPr>
                <w:rFonts w:ascii="Arial" w:eastAsia="Cordia New" w:hAnsi="Arial" w:cs="Arial"/>
                <w:color w:val="000000"/>
                <w:sz w:val="18"/>
                <w:szCs w:val="18"/>
              </w:rPr>
              <w:t>,</w:t>
            </w:r>
            <w:r w:rsidRPr="00CD5714">
              <w:rPr>
                <w:rFonts w:ascii="Arial" w:eastAsia="Cordia New" w:hAnsi="Arial" w:cs="Arial"/>
                <w:color w:val="000000"/>
                <w:sz w:val="18"/>
                <w:szCs w:val="18"/>
                <w:lang w:val="en-GB"/>
              </w:rPr>
              <w:t>316</w:t>
            </w:r>
          </w:p>
        </w:tc>
        <w:tc>
          <w:tcPr>
            <w:tcW w:w="1175" w:type="dxa"/>
            <w:shd w:val="clear" w:color="auto" w:fill="auto"/>
            <w:vAlign w:val="bottom"/>
          </w:tcPr>
          <w:p w14:paraId="26A31C8E" w14:textId="0EC77E74" w:rsidR="0049508C"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CD5714">
              <w:rPr>
                <w:rFonts w:ascii="Arial" w:eastAsia="Cordia New" w:hAnsi="Arial" w:cs="Arial"/>
                <w:color w:val="000000"/>
                <w:sz w:val="18"/>
                <w:szCs w:val="18"/>
                <w:lang w:val="en-GB"/>
              </w:rPr>
              <w:t>338</w:t>
            </w:r>
            <w:r w:rsidR="0049508C" w:rsidRPr="002D2F67">
              <w:rPr>
                <w:rFonts w:ascii="Arial" w:eastAsia="Cordia New" w:hAnsi="Arial" w:cs="Arial"/>
                <w:color w:val="000000"/>
                <w:sz w:val="18"/>
                <w:szCs w:val="18"/>
              </w:rPr>
              <w:t>,</w:t>
            </w:r>
            <w:r w:rsidRPr="00CD5714">
              <w:rPr>
                <w:rFonts w:ascii="Arial" w:eastAsia="Cordia New" w:hAnsi="Arial" w:cs="Arial"/>
                <w:color w:val="000000"/>
                <w:sz w:val="18"/>
                <w:szCs w:val="18"/>
                <w:lang w:val="en-GB"/>
              </w:rPr>
              <w:t>767</w:t>
            </w:r>
          </w:p>
        </w:tc>
        <w:tc>
          <w:tcPr>
            <w:tcW w:w="1474" w:type="dxa"/>
            <w:shd w:val="clear" w:color="auto" w:fill="auto"/>
            <w:vAlign w:val="bottom"/>
          </w:tcPr>
          <w:p w14:paraId="06536534" w14:textId="4ECFC57A" w:rsidR="0049508C"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CD5714">
              <w:rPr>
                <w:rFonts w:ascii="Arial" w:eastAsia="Cordia New" w:hAnsi="Arial" w:cs="Arial"/>
                <w:color w:val="000000"/>
                <w:sz w:val="18"/>
                <w:szCs w:val="18"/>
                <w:lang w:val="en-GB"/>
              </w:rPr>
              <w:t>510</w:t>
            </w:r>
            <w:r w:rsidR="0049508C" w:rsidRPr="002D2F67">
              <w:rPr>
                <w:rFonts w:ascii="Arial" w:eastAsia="Cordia New" w:hAnsi="Arial" w:cs="Arial"/>
                <w:color w:val="000000"/>
                <w:sz w:val="18"/>
                <w:szCs w:val="18"/>
              </w:rPr>
              <w:t>,</w:t>
            </w:r>
            <w:r w:rsidRPr="00CD5714">
              <w:rPr>
                <w:rFonts w:ascii="Arial" w:eastAsia="Cordia New" w:hAnsi="Arial" w:cs="Arial"/>
                <w:color w:val="000000"/>
                <w:sz w:val="18"/>
                <w:szCs w:val="18"/>
                <w:lang w:val="en-GB"/>
              </w:rPr>
              <w:t>668</w:t>
            </w:r>
          </w:p>
        </w:tc>
      </w:tr>
      <w:tr w:rsidR="0049508C" w:rsidRPr="002D2F67" w14:paraId="5E9FD9FA" w14:textId="1EB6789B" w:rsidTr="005611FE">
        <w:trPr>
          <w:trHeight w:val="19"/>
        </w:trPr>
        <w:tc>
          <w:tcPr>
            <w:tcW w:w="3298" w:type="dxa"/>
            <w:shd w:val="clear" w:color="auto" w:fill="auto"/>
          </w:tcPr>
          <w:p w14:paraId="0B1FF76F" w14:textId="202366B9" w:rsidR="0049508C" w:rsidRPr="002D2F67" w:rsidRDefault="0049508C" w:rsidP="005611FE">
            <w:pPr>
              <w:pStyle w:val="Header"/>
              <w:tabs>
                <w:tab w:val="clear" w:pos="4320"/>
                <w:tab w:val="clear" w:pos="8640"/>
              </w:tabs>
              <w:ind w:left="49"/>
              <w:jc w:val="left"/>
              <w:rPr>
                <w:rFonts w:ascii="Arial" w:hAnsi="Arial" w:cs="Arial"/>
                <w:color w:val="000000"/>
                <w:sz w:val="18"/>
                <w:szCs w:val="18"/>
              </w:rPr>
            </w:pPr>
            <w:r w:rsidRPr="002D2F67">
              <w:rPr>
                <w:rFonts w:ascii="Arial" w:hAnsi="Arial" w:cs="Arial"/>
                <w:color w:val="000000"/>
                <w:spacing w:val="-6"/>
                <w:sz w:val="18"/>
                <w:szCs w:val="18"/>
              </w:rPr>
              <w:t>Tax (charged) credited to profit or loss</w:t>
            </w:r>
          </w:p>
        </w:tc>
        <w:tc>
          <w:tcPr>
            <w:tcW w:w="992" w:type="dxa"/>
            <w:shd w:val="clear" w:color="auto" w:fill="auto"/>
            <w:vAlign w:val="bottom"/>
          </w:tcPr>
          <w:p w14:paraId="646419CA" w14:textId="4C5F08E7"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130</w:t>
            </w:r>
            <w:r w:rsidR="0049508C" w:rsidRPr="002D2F67">
              <w:rPr>
                <w:rFonts w:ascii="Arial" w:hAnsi="Arial" w:cs="Arial"/>
                <w:color w:val="000000"/>
                <w:sz w:val="18"/>
                <w:szCs w:val="18"/>
              </w:rPr>
              <w:t>,</w:t>
            </w:r>
            <w:r w:rsidRPr="00CD5714">
              <w:rPr>
                <w:rFonts w:ascii="Arial" w:hAnsi="Arial" w:cs="Arial"/>
                <w:color w:val="000000"/>
                <w:sz w:val="18"/>
                <w:szCs w:val="18"/>
                <w:lang w:val="en-GB"/>
              </w:rPr>
              <w:t>472</w:t>
            </w:r>
          </w:p>
        </w:tc>
        <w:tc>
          <w:tcPr>
            <w:tcW w:w="1465" w:type="dxa"/>
            <w:shd w:val="clear" w:color="auto" w:fill="auto"/>
            <w:vAlign w:val="bottom"/>
          </w:tcPr>
          <w:p w14:paraId="6F3E4A9F" w14:textId="316AFCBE" w:rsidR="0049508C" w:rsidRPr="002D2F67" w:rsidRDefault="0049508C"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p>
        </w:tc>
        <w:tc>
          <w:tcPr>
            <w:tcW w:w="1465" w:type="dxa"/>
            <w:shd w:val="clear" w:color="auto" w:fill="auto"/>
            <w:vAlign w:val="bottom"/>
          </w:tcPr>
          <w:p w14:paraId="43C1B9B6" w14:textId="0255D40D" w:rsidR="0049508C" w:rsidRPr="002D2F67" w:rsidRDefault="0049508C"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57</w:t>
            </w:r>
            <w:r w:rsidRPr="002D2F67">
              <w:rPr>
                <w:rFonts w:ascii="Arial" w:hAnsi="Arial" w:cs="Arial"/>
                <w:color w:val="000000"/>
                <w:sz w:val="18"/>
                <w:szCs w:val="18"/>
              </w:rPr>
              <w:t>,</w:t>
            </w:r>
            <w:r w:rsidR="00CD5714" w:rsidRPr="00CD5714">
              <w:rPr>
                <w:rFonts w:ascii="Arial" w:hAnsi="Arial" w:cs="Arial"/>
                <w:color w:val="000000"/>
                <w:sz w:val="18"/>
                <w:szCs w:val="18"/>
                <w:lang w:val="en-GB"/>
              </w:rPr>
              <w:t>070</w:t>
            </w:r>
            <w:r w:rsidRPr="002D2F67">
              <w:rPr>
                <w:rFonts w:ascii="Arial" w:hAnsi="Arial" w:cs="Arial"/>
                <w:color w:val="000000"/>
                <w:sz w:val="18"/>
                <w:szCs w:val="18"/>
              </w:rPr>
              <w:t>)</w:t>
            </w:r>
          </w:p>
        </w:tc>
        <w:tc>
          <w:tcPr>
            <w:tcW w:w="1232" w:type="dxa"/>
            <w:shd w:val="clear" w:color="auto" w:fill="auto"/>
            <w:vAlign w:val="bottom"/>
          </w:tcPr>
          <w:p w14:paraId="79FE5002" w14:textId="03E064DF" w:rsidR="0049508C"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CD5714">
              <w:rPr>
                <w:rFonts w:ascii="Arial" w:hAnsi="Arial" w:cs="Arial"/>
                <w:color w:val="000000"/>
                <w:sz w:val="18"/>
                <w:szCs w:val="18"/>
                <w:lang w:val="en-GB"/>
              </w:rPr>
              <w:t>2</w:t>
            </w:r>
            <w:r w:rsidR="0049508C" w:rsidRPr="002D2F67">
              <w:rPr>
                <w:rFonts w:ascii="Arial" w:hAnsi="Arial" w:cs="Arial"/>
                <w:color w:val="000000"/>
                <w:sz w:val="18"/>
                <w:szCs w:val="18"/>
              </w:rPr>
              <w:t>,</w:t>
            </w:r>
            <w:r w:rsidRPr="00CD5714">
              <w:rPr>
                <w:rFonts w:ascii="Arial" w:hAnsi="Arial" w:cs="Arial"/>
                <w:color w:val="000000"/>
                <w:sz w:val="18"/>
                <w:szCs w:val="18"/>
                <w:lang w:val="en-GB"/>
              </w:rPr>
              <w:t>201</w:t>
            </w:r>
          </w:p>
        </w:tc>
        <w:tc>
          <w:tcPr>
            <w:tcW w:w="1465" w:type="dxa"/>
            <w:shd w:val="clear" w:color="auto" w:fill="auto"/>
            <w:vAlign w:val="bottom"/>
          </w:tcPr>
          <w:p w14:paraId="2C505536" w14:textId="577C40FC" w:rsidR="0049508C" w:rsidRPr="002D2F67" w:rsidRDefault="0049508C"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864</w:t>
            </w:r>
            <w:r w:rsidRPr="002D2F67">
              <w:rPr>
                <w:rFonts w:ascii="Arial" w:hAnsi="Arial" w:cs="Arial"/>
                <w:color w:val="000000"/>
                <w:sz w:val="18"/>
                <w:szCs w:val="18"/>
              </w:rPr>
              <w:t>)</w:t>
            </w:r>
          </w:p>
        </w:tc>
        <w:tc>
          <w:tcPr>
            <w:tcW w:w="1279" w:type="dxa"/>
            <w:shd w:val="clear" w:color="auto" w:fill="auto"/>
            <w:vAlign w:val="bottom"/>
          </w:tcPr>
          <w:p w14:paraId="20E1D575" w14:textId="3BC9FC22" w:rsidR="0049508C" w:rsidRPr="002D2F67" w:rsidRDefault="0049508C"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2D2F67">
              <w:rPr>
                <w:rFonts w:ascii="Arial" w:hAnsi="Arial" w:cs="Arial"/>
                <w:color w:val="000000"/>
                <w:sz w:val="18"/>
                <w:szCs w:val="18"/>
              </w:rPr>
              <w:t>-</w:t>
            </w:r>
          </w:p>
        </w:tc>
        <w:tc>
          <w:tcPr>
            <w:tcW w:w="1700" w:type="dxa"/>
            <w:shd w:val="clear" w:color="auto" w:fill="auto"/>
            <w:vAlign w:val="bottom"/>
          </w:tcPr>
          <w:p w14:paraId="68CEB75D" w14:textId="7D0E9FE3" w:rsidR="0049508C"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CD5714">
              <w:rPr>
                <w:rFonts w:ascii="Arial" w:hAnsi="Arial" w:cs="Arial"/>
                <w:color w:val="000000"/>
                <w:sz w:val="18"/>
                <w:szCs w:val="18"/>
                <w:lang w:val="en-GB"/>
              </w:rPr>
              <w:t>22</w:t>
            </w:r>
            <w:r w:rsidR="0049508C" w:rsidRPr="002D2F67">
              <w:rPr>
                <w:rFonts w:ascii="Arial" w:hAnsi="Arial" w:cs="Arial"/>
                <w:color w:val="000000"/>
                <w:sz w:val="18"/>
                <w:szCs w:val="18"/>
              </w:rPr>
              <w:t>,</w:t>
            </w:r>
            <w:r w:rsidRPr="00CD5714">
              <w:rPr>
                <w:rFonts w:ascii="Arial" w:hAnsi="Arial" w:cs="Arial"/>
                <w:color w:val="000000"/>
                <w:sz w:val="18"/>
                <w:szCs w:val="18"/>
                <w:lang w:val="en-GB"/>
              </w:rPr>
              <w:t>704</w:t>
            </w:r>
          </w:p>
        </w:tc>
        <w:tc>
          <w:tcPr>
            <w:tcW w:w="1175" w:type="dxa"/>
            <w:shd w:val="clear" w:color="auto" w:fill="auto"/>
            <w:vAlign w:val="bottom"/>
          </w:tcPr>
          <w:p w14:paraId="5D5D47FF" w14:textId="0F32C504" w:rsidR="0049508C" w:rsidRPr="002D2F67" w:rsidRDefault="0049508C"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2D2F67">
              <w:rPr>
                <w:rFonts w:ascii="Arial" w:eastAsia="Cordia New" w:hAnsi="Arial" w:cs="Arial"/>
                <w:color w:val="000000"/>
                <w:sz w:val="18"/>
                <w:szCs w:val="18"/>
              </w:rPr>
              <w:t>(</w:t>
            </w:r>
            <w:r w:rsidR="00CD5714" w:rsidRPr="00CD5714">
              <w:rPr>
                <w:rFonts w:ascii="Arial" w:eastAsia="Cordia New" w:hAnsi="Arial" w:cs="Arial"/>
                <w:color w:val="000000"/>
                <w:sz w:val="18"/>
                <w:szCs w:val="18"/>
                <w:lang w:val="en-GB"/>
              </w:rPr>
              <w:t>17</w:t>
            </w:r>
            <w:r w:rsidRPr="002D2F67">
              <w:rPr>
                <w:rFonts w:ascii="Arial" w:eastAsia="Cordia New" w:hAnsi="Arial" w:cs="Arial"/>
                <w:color w:val="000000"/>
                <w:sz w:val="18"/>
                <w:szCs w:val="18"/>
              </w:rPr>
              <w:t>,</w:t>
            </w:r>
            <w:r w:rsidR="00CD5714" w:rsidRPr="00CD5714">
              <w:rPr>
                <w:rFonts w:ascii="Arial" w:eastAsia="Cordia New" w:hAnsi="Arial" w:cs="Arial"/>
                <w:color w:val="000000"/>
                <w:sz w:val="18"/>
                <w:szCs w:val="18"/>
                <w:lang w:val="en-GB"/>
              </w:rPr>
              <w:t>321</w:t>
            </w:r>
            <w:r w:rsidRPr="002D2F67">
              <w:rPr>
                <w:rFonts w:ascii="Arial" w:eastAsia="Cordia New" w:hAnsi="Arial" w:cs="Arial"/>
                <w:color w:val="000000"/>
                <w:sz w:val="18"/>
                <w:szCs w:val="18"/>
              </w:rPr>
              <w:t>)</w:t>
            </w:r>
          </w:p>
        </w:tc>
        <w:tc>
          <w:tcPr>
            <w:tcW w:w="1474" w:type="dxa"/>
            <w:shd w:val="clear" w:color="auto" w:fill="auto"/>
            <w:vAlign w:val="bottom"/>
          </w:tcPr>
          <w:p w14:paraId="593D9944" w14:textId="2D080037" w:rsidR="0049508C"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CD5714">
              <w:rPr>
                <w:rFonts w:ascii="Arial" w:eastAsia="Cordia New" w:hAnsi="Arial" w:cs="Arial"/>
                <w:color w:val="000000"/>
                <w:sz w:val="18"/>
                <w:szCs w:val="18"/>
                <w:lang w:val="en-GB"/>
              </w:rPr>
              <w:t>80</w:t>
            </w:r>
            <w:r w:rsidR="0049508C" w:rsidRPr="002D2F67">
              <w:rPr>
                <w:rFonts w:ascii="Arial" w:eastAsia="Cordia New" w:hAnsi="Arial" w:cs="Arial"/>
                <w:color w:val="000000"/>
                <w:sz w:val="18"/>
                <w:szCs w:val="18"/>
              </w:rPr>
              <w:t>,</w:t>
            </w:r>
            <w:r w:rsidRPr="00CD5714">
              <w:rPr>
                <w:rFonts w:ascii="Arial" w:eastAsia="Cordia New" w:hAnsi="Arial" w:cs="Arial"/>
                <w:color w:val="000000"/>
                <w:sz w:val="18"/>
                <w:szCs w:val="18"/>
                <w:lang w:val="en-GB"/>
              </w:rPr>
              <w:t>122</w:t>
            </w:r>
          </w:p>
        </w:tc>
      </w:tr>
      <w:tr w:rsidR="0049508C" w:rsidRPr="002D2F67" w14:paraId="13B33F8C" w14:textId="2F12553F" w:rsidTr="005611FE">
        <w:trPr>
          <w:trHeight w:val="19"/>
        </w:trPr>
        <w:tc>
          <w:tcPr>
            <w:tcW w:w="3298" w:type="dxa"/>
            <w:shd w:val="clear" w:color="auto" w:fill="auto"/>
          </w:tcPr>
          <w:p w14:paraId="5238FAE3" w14:textId="77777777" w:rsidR="0049508C" w:rsidRPr="002D2F67" w:rsidRDefault="0049508C" w:rsidP="005611FE">
            <w:pPr>
              <w:pStyle w:val="Header"/>
              <w:tabs>
                <w:tab w:val="clear" w:pos="4320"/>
                <w:tab w:val="clear" w:pos="8640"/>
              </w:tabs>
              <w:ind w:left="49"/>
              <w:jc w:val="left"/>
              <w:rPr>
                <w:rFonts w:ascii="Arial" w:hAnsi="Arial" w:cs="Arial"/>
                <w:color w:val="000000"/>
                <w:sz w:val="18"/>
                <w:szCs w:val="18"/>
              </w:rPr>
            </w:pPr>
            <w:r w:rsidRPr="002D2F67">
              <w:rPr>
                <w:rFonts w:ascii="Arial" w:hAnsi="Arial" w:cs="Arial"/>
                <w:color w:val="000000"/>
                <w:sz w:val="18"/>
                <w:szCs w:val="18"/>
              </w:rPr>
              <w:t xml:space="preserve">Tax credited to other </w:t>
            </w:r>
          </w:p>
          <w:p w14:paraId="7F5EFBDD" w14:textId="6EFDA822" w:rsidR="0049508C" w:rsidRPr="002D2F67" w:rsidRDefault="0049508C" w:rsidP="005611FE">
            <w:pPr>
              <w:pStyle w:val="Header"/>
              <w:tabs>
                <w:tab w:val="clear" w:pos="4320"/>
                <w:tab w:val="clear" w:pos="8640"/>
              </w:tabs>
              <w:ind w:left="49"/>
              <w:jc w:val="left"/>
              <w:rPr>
                <w:rFonts w:ascii="Arial" w:hAnsi="Arial" w:cs="Arial"/>
                <w:color w:val="000000"/>
                <w:sz w:val="18"/>
                <w:szCs w:val="18"/>
              </w:rPr>
            </w:pPr>
            <w:r w:rsidRPr="002D2F67">
              <w:rPr>
                <w:rFonts w:ascii="Arial" w:hAnsi="Arial" w:cs="Arial"/>
                <w:color w:val="000000"/>
                <w:sz w:val="18"/>
                <w:szCs w:val="18"/>
              </w:rPr>
              <w:t xml:space="preserve">   comprehensive income</w:t>
            </w:r>
          </w:p>
        </w:tc>
        <w:tc>
          <w:tcPr>
            <w:tcW w:w="992" w:type="dxa"/>
            <w:tcBorders>
              <w:bottom w:val="single" w:sz="4" w:space="0" w:color="auto"/>
            </w:tcBorders>
            <w:shd w:val="clear" w:color="auto" w:fill="auto"/>
            <w:vAlign w:val="bottom"/>
          </w:tcPr>
          <w:p w14:paraId="79F159C6" w14:textId="62647A1B" w:rsidR="0049508C" w:rsidRPr="002D2F67" w:rsidRDefault="0049508C"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p>
        </w:tc>
        <w:tc>
          <w:tcPr>
            <w:tcW w:w="1465" w:type="dxa"/>
            <w:tcBorders>
              <w:bottom w:val="single" w:sz="4" w:space="0" w:color="auto"/>
            </w:tcBorders>
            <w:shd w:val="clear" w:color="auto" w:fill="auto"/>
            <w:vAlign w:val="bottom"/>
          </w:tcPr>
          <w:p w14:paraId="3B0DF0F3" w14:textId="6BEB570C" w:rsidR="0049508C" w:rsidRPr="002D2F67" w:rsidRDefault="0049508C"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p>
        </w:tc>
        <w:tc>
          <w:tcPr>
            <w:tcW w:w="1465" w:type="dxa"/>
            <w:tcBorders>
              <w:bottom w:val="single" w:sz="4" w:space="0" w:color="auto"/>
            </w:tcBorders>
            <w:shd w:val="clear" w:color="auto" w:fill="auto"/>
            <w:vAlign w:val="bottom"/>
          </w:tcPr>
          <w:p w14:paraId="20E16309" w14:textId="4FE24AE1"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55</w:t>
            </w:r>
            <w:r w:rsidR="0049508C" w:rsidRPr="002D2F67">
              <w:rPr>
                <w:rFonts w:ascii="Arial" w:hAnsi="Arial" w:cs="Arial"/>
                <w:color w:val="000000"/>
                <w:sz w:val="18"/>
                <w:szCs w:val="18"/>
              </w:rPr>
              <w:t>,</w:t>
            </w:r>
            <w:r w:rsidRPr="00CD5714">
              <w:rPr>
                <w:rFonts w:ascii="Arial" w:hAnsi="Arial" w:cs="Arial"/>
                <w:color w:val="000000"/>
                <w:sz w:val="18"/>
                <w:szCs w:val="18"/>
                <w:lang w:val="en-GB"/>
              </w:rPr>
              <w:t>745</w:t>
            </w:r>
          </w:p>
        </w:tc>
        <w:tc>
          <w:tcPr>
            <w:tcW w:w="1232" w:type="dxa"/>
            <w:tcBorders>
              <w:bottom w:val="single" w:sz="4" w:space="0" w:color="auto"/>
            </w:tcBorders>
            <w:shd w:val="clear" w:color="auto" w:fill="auto"/>
            <w:vAlign w:val="bottom"/>
          </w:tcPr>
          <w:p w14:paraId="01A11210" w14:textId="7D8A3173" w:rsidR="0049508C" w:rsidRPr="002D2F67" w:rsidRDefault="0049508C"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2D2F67">
              <w:rPr>
                <w:rFonts w:ascii="Arial" w:hAnsi="Arial" w:cs="Arial"/>
                <w:color w:val="000000"/>
                <w:sz w:val="18"/>
                <w:szCs w:val="18"/>
              </w:rPr>
              <w:t>-</w:t>
            </w:r>
          </w:p>
        </w:tc>
        <w:tc>
          <w:tcPr>
            <w:tcW w:w="1465" w:type="dxa"/>
            <w:tcBorders>
              <w:bottom w:val="single" w:sz="4" w:space="0" w:color="auto"/>
            </w:tcBorders>
            <w:shd w:val="clear" w:color="auto" w:fill="auto"/>
            <w:vAlign w:val="bottom"/>
          </w:tcPr>
          <w:p w14:paraId="1B3E8F5C" w14:textId="17D41FFC" w:rsidR="0049508C" w:rsidRPr="002D2F67" w:rsidRDefault="0049508C"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2D2F67">
              <w:rPr>
                <w:rFonts w:ascii="Arial" w:hAnsi="Arial" w:cs="Arial"/>
                <w:color w:val="000000"/>
                <w:sz w:val="18"/>
                <w:szCs w:val="18"/>
              </w:rPr>
              <w:t>-</w:t>
            </w:r>
          </w:p>
        </w:tc>
        <w:tc>
          <w:tcPr>
            <w:tcW w:w="1279" w:type="dxa"/>
            <w:tcBorders>
              <w:bottom w:val="single" w:sz="4" w:space="0" w:color="auto"/>
            </w:tcBorders>
            <w:shd w:val="clear" w:color="auto" w:fill="auto"/>
            <w:vAlign w:val="bottom"/>
          </w:tcPr>
          <w:p w14:paraId="4A0E81F5" w14:textId="6F72FC32" w:rsidR="0049508C" w:rsidRPr="002D2F67" w:rsidRDefault="0049508C"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2D2F67">
              <w:rPr>
                <w:rFonts w:ascii="Arial" w:eastAsia="Cordia New" w:hAnsi="Arial" w:cs="Arial"/>
                <w:color w:val="000000"/>
                <w:sz w:val="18"/>
                <w:szCs w:val="18"/>
              </w:rPr>
              <w:t>-</w:t>
            </w:r>
          </w:p>
        </w:tc>
        <w:tc>
          <w:tcPr>
            <w:tcW w:w="1700" w:type="dxa"/>
            <w:tcBorders>
              <w:bottom w:val="single" w:sz="4" w:space="0" w:color="auto"/>
            </w:tcBorders>
            <w:shd w:val="clear" w:color="auto" w:fill="auto"/>
            <w:vAlign w:val="bottom"/>
          </w:tcPr>
          <w:p w14:paraId="7064224B" w14:textId="65F92571" w:rsidR="0049508C" w:rsidRPr="002D2F67" w:rsidRDefault="0049508C"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2D2F67">
              <w:rPr>
                <w:rFonts w:ascii="Arial" w:eastAsia="Cordia New" w:hAnsi="Arial" w:cs="Arial"/>
                <w:color w:val="000000"/>
                <w:sz w:val="18"/>
                <w:szCs w:val="18"/>
              </w:rPr>
              <w:t>-</w:t>
            </w:r>
          </w:p>
        </w:tc>
        <w:tc>
          <w:tcPr>
            <w:tcW w:w="1175" w:type="dxa"/>
            <w:tcBorders>
              <w:bottom w:val="single" w:sz="4" w:space="0" w:color="auto"/>
            </w:tcBorders>
            <w:shd w:val="clear" w:color="auto" w:fill="auto"/>
            <w:vAlign w:val="bottom"/>
          </w:tcPr>
          <w:p w14:paraId="4C848A1C" w14:textId="0006AA52" w:rsidR="0049508C" w:rsidRPr="002D2F67" w:rsidRDefault="0049508C"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2D2F67">
              <w:rPr>
                <w:rFonts w:ascii="Arial" w:eastAsia="Cordia New" w:hAnsi="Arial" w:cs="Arial"/>
                <w:color w:val="000000"/>
                <w:sz w:val="18"/>
                <w:szCs w:val="18"/>
              </w:rPr>
              <w:t>-</w:t>
            </w:r>
          </w:p>
        </w:tc>
        <w:tc>
          <w:tcPr>
            <w:tcW w:w="1474" w:type="dxa"/>
            <w:tcBorders>
              <w:bottom w:val="single" w:sz="4" w:space="0" w:color="auto"/>
            </w:tcBorders>
            <w:shd w:val="clear" w:color="auto" w:fill="auto"/>
            <w:vAlign w:val="bottom"/>
          </w:tcPr>
          <w:p w14:paraId="6D5D22BB" w14:textId="64ED1A69" w:rsidR="0049508C"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CD5714">
              <w:rPr>
                <w:rFonts w:ascii="Arial" w:eastAsia="Cordia New" w:hAnsi="Arial" w:cs="Arial"/>
                <w:color w:val="000000"/>
                <w:sz w:val="18"/>
                <w:szCs w:val="18"/>
                <w:lang w:val="en-GB"/>
              </w:rPr>
              <w:t>55</w:t>
            </w:r>
            <w:r w:rsidR="0049508C" w:rsidRPr="002D2F67">
              <w:rPr>
                <w:rFonts w:ascii="Arial" w:eastAsia="Cordia New" w:hAnsi="Arial" w:cs="Arial"/>
                <w:color w:val="000000"/>
                <w:sz w:val="18"/>
                <w:szCs w:val="18"/>
              </w:rPr>
              <w:t>,</w:t>
            </w:r>
            <w:r w:rsidRPr="00CD5714">
              <w:rPr>
                <w:rFonts w:ascii="Arial" w:eastAsia="Cordia New" w:hAnsi="Arial" w:cs="Arial"/>
                <w:color w:val="000000"/>
                <w:sz w:val="18"/>
                <w:szCs w:val="18"/>
                <w:lang w:val="en-GB"/>
              </w:rPr>
              <w:t>745</w:t>
            </w:r>
          </w:p>
        </w:tc>
      </w:tr>
      <w:tr w:rsidR="0049508C" w:rsidRPr="002D2F67" w14:paraId="43BFBA81" w14:textId="79B68DA4" w:rsidTr="005611FE">
        <w:trPr>
          <w:trHeight w:val="19"/>
        </w:trPr>
        <w:tc>
          <w:tcPr>
            <w:tcW w:w="3298" w:type="dxa"/>
            <w:shd w:val="clear" w:color="auto" w:fill="auto"/>
          </w:tcPr>
          <w:p w14:paraId="29C60F8A" w14:textId="56266EFF" w:rsidR="0049508C" w:rsidRPr="002D2F67" w:rsidRDefault="0049508C" w:rsidP="005611FE">
            <w:pPr>
              <w:pStyle w:val="Header"/>
              <w:tabs>
                <w:tab w:val="clear" w:pos="4320"/>
                <w:tab w:val="clear" w:pos="8640"/>
              </w:tabs>
              <w:ind w:left="49"/>
              <w:jc w:val="left"/>
              <w:rPr>
                <w:rFonts w:ascii="Arial" w:hAnsi="Arial" w:cs="Arial"/>
                <w:color w:val="000000"/>
                <w:spacing w:val="-10"/>
                <w:sz w:val="18"/>
                <w:szCs w:val="18"/>
              </w:rPr>
            </w:pPr>
          </w:p>
        </w:tc>
        <w:tc>
          <w:tcPr>
            <w:tcW w:w="992" w:type="dxa"/>
            <w:tcBorders>
              <w:top w:val="single" w:sz="4" w:space="0" w:color="auto"/>
            </w:tcBorders>
            <w:shd w:val="clear" w:color="auto" w:fill="auto"/>
            <w:vAlign w:val="bottom"/>
          </w:tcPr>
          <w:p w14:paraId="2E4EEF49" w14:textId="1B7D0BB9" w:rsidR="0049508C" w:rsidRPr="002D2F67" w:rsidRDefault="0049508C" w:rsidP="005611FE">
            <w:pPr>
              <w:pStyle w:val="Header"/>
              <w:ind w:right="-72"/>
              <w:jc w:val="right"/>
              <w:rPr>
                <w:rFonts w:ascii="Arial" w:hAnsi="Arial" w:cs="Arial"/>
                <w:color w:val="000000"/>
                <w:sz w:val="18"/>
                <w:szCs w:val="18"/>
              </w:rPr>
            </w:pPr>
          </w:p>
        </w:tc>
        <w:tc>
          <w:tcPr>
            <w:tcW w:w="1465" w:type="dxa"/>
            <w:tcBorders>
              <w:top w:val="single" w:sz="4" w:space="0" w:color="auto"/>
            </w:tcBorders>
            <w:shd w:val="clear" w:color="auto" w:fill="auto"/>
            <w:vAlign w:val="bottom"/>
          </w:tcPr>
          <w:p w14:paraId="3B0C95D3" w14:textId="27377EF1" w:rsidR="0049508C" w:rsidRPr="002D2F67" w:rsidRDefault="0049508C" w:rsidP="005611FE">
            <w:pPr>
              <w:pStyle w:val="Header"/>
              <w:ind w:right="-72"/>
              <w:jc w:val="right"/>
              <w:rPr>
                <w:rFonts w:ascii="Arial" w:hAnsi="Arial" w:cs="Arial"/>
                <w:color w:val="000000"/>
                <w:sz w:val="18"/>
                <w:szCs w:val="18"/>
              </w:rPr>
            </w:pPr>
          </w:p>
        </w:tc>
        <w:tc>
          <w:tcPr>
            <w:tcW w:w="1465" w:type="dxa"/>
            <w:tcBorders>
              <w:top w:val="single" w:sz="4" w:space="0" w:color="auto"/>
            </w:tcBorders>
            <w:shd w:val="clear" w:color="auto" w:fill="auto"/>
            <w:vAlign w:val="bottom"/>
          </w:tcPr>
          <w:p w14:paraId="253E884E" w14:textId="170DA903" w:rsidR="0049508C" w:rsidRPr="002D2F67" w:rsidRDefault="0049508C" w:rsidP="005611FE">
            <w:pPr>
              <w:pStyle w:val="Header"/>
              <w:ind w:right="-72"/>
              <w:jc w:val="right"/>
              <w:rPr>
                <w:rFonts w:ascii="Arial" w:hAnsi="Arial" w:cs="Arial"/>
                <w:color w:val="000000"/>
                <w:sz w:val="18"/>
                <w:szCs w:val="18"/>
              </w:rPr>
            </w:pPr>
          </w:p>
        </w:tc>
        <w:tc>
          <w:tcPr>
            <w:tcW w:w="1232" w:type="dxa"/>
            <w:tcBorders>
              <w:top w:val="single" w:sz="4" w:space="0" w:color="auto"/>
            </w:tcBorders>
            <w:shd w:val="clear" w:color="auto" w:fill="auto"/>
            <w:vAlign w:val="bottom"/>
          </w:tcPr>
          <w:p w14:paraId="6AFFE86F" w14:textId="02199A2E" w:rsidR="0049508C" w:rsidRPr="002D2F67" w:rsidRDefault="0049508C" w:rsidP="005611FE">
            <w:pPr>
              <w:pStyle w:val="Header"/>
              <w:ind w:right="-72"/>
              <w:jc w:val="right"/>
              <w:rPr>
                <w:rFonts w:ascii="Arial" w:hAnsi="Arial" w:cs="Arial"/>
                <w:color w:val="000000"/>
                <w:sz w:val="18"/>
                <w:szCs w:val="18"/>
              </w:rPr>
            </w:pPr>
          </w:p>
        </w:tc>
        <w:tc>
          <w:tcPr>
            <w:tcW w:w="1465" w:type="dxa"/>
            <w:tcBorders>
              <w:top w:val="single" w:sz="4" w:space="0" w:color="auto"/>
            </w:tcBorders>
            <w:shd w:val="clear" w:color="auto" w:fill="auto"/>
            <w:vAlign w:val="bottom"/>
          </w:tcPr>
          <w:p w14:paraId="7684CAD4" w14:textId="2B3C9221" w:rsidR="0049508C" w:rsidRPr="002D2F67" w:rsidRDefault="0049508C" w:rsidP="005611FE">
            <w:pPr>
              <w:pStyle w:val="Header"/>
              <w:ind w:right="-72"/>
              <w:jc w:val="right"/>
              <w:rPr>
                <w:rFonts w:ascii="Arial" w:hAnsi="Arial" w:cs="Arial"/>
                <w:color w:val="000000"/>
                <w:sz w:val="18"/>
                <w:szCs w:val="18"/>
              </w:rPr>
            </w:pPr>
          </w:p>
        </w:tc>
        <w:tc>
          <w:tcPr>
            <w:tcW w:w="1279" w:type="dxa"/>
            <w:tcBorders>
              <w:top w:val="single" w:sz="4" w:space="0" w:color="auto"/>
            </w:tcBorders>
            <w:shd w:val="clear" w:color="auto" w:fill="auto"/>
            <w:vAlign w:val="bottom"/>
          </w:tcPr>
          <w:p w14:paraId="5F66256B" w14:textId="4DBED767" w:rsidR="0049508C" w:rsidRPr="002D2F67" w:rsidRDefault="0049508C"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700" w:type="dxa"/>
            <w:tcBorders>
              <w:top w:val="single" w:sz="4" w:space="0" w:color="auto"/>
            </w:tcBorders>
            <w:shd w:val="clear" w:color="auto" w:fill="auto"/>
            <w:vAlign w:val="bottom"/>
          </w:tcPr>
          <w:p w14:paraId="2C2EA257" w14:textId="00ED1C55" w:rsidR="0049508C" w:rsidRPr="002D2F67" w:rsidRDefault="0049508C"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175" w:type="dxa"/>
            <w:tcBorders>
              <w:top w:val="single" w:sz="4" w:space="0" w:color="auto"/>
            </w:tcBorders>
            <w:shd w:val="clear" w:color="auto" w:fill="auto"/>
            <w:vAlign w:val="bottom"/>
          </w:tcPr>
          <w:p w14:paraId="1416A4DF" w14:textId="2364996F" w:rsidR="0049508C" w:rsidRPr="002D2F67" w:rsidRDefault="0049508C"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74" w:type="dxa"/>
            <w:tcBorders>
              <w:top w:val="single" w:sz="4" w:space="0" w:color="auto"/>
            </w:tcBorders>
            <w:shd w:val="clear" w:color="auto" w:fill="auto"/>
            <w:vAlign w:val="bottom"/>
          </w:tcPr>
          <w:p w14:paraId="6B64B70D" w14:textId="77777777" w:rsidR="0049508C" w:rsidRPr="002D2F67" w:rsidRDefault="0049508C"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r>
      <w:tr w:rsidR="0049508C" w:rsidRPr="002D2F67" w14:paraId="545E5AC3" w14:textId="09CFEA78" w:rsidTr="005611FE">
        <w:trPr>
          <w:trHeight w:val="19"/>
        </w:trPr>
        <w:tc>
          <w:tcPr>
            <w:tcW w:w="3298" w:type="dxa"/>
            <w:shd w:val="clear" w:color="auto" w:fill="auto"/>
          </w:tcPr>
          <w:p w14:paraId="2D62C93F" w14:textId="5870160A" w:rsidR="0049508C" w:rsidRPr="002D2F67" w:rsidRDefault="0049508C" w:rsidP="005611FE">
            <w:pPr>
              <w:pStyle w:val="Header"/>
              <w:tabs>
                <w:tab w:val="clear" w:pos="4320"/>
                <w:tab w:val="clear" w:pos="8640"/>
              </w:tabs>
              <w:ind w:left="49"/>
              <w:jc w:val="left"/>
              <w:rPr>
                <w:rFonts w:ascii="Arial" w:hAnsi="Arial" w:cs="Arial"/>
                <w:color w:val="000000"/>
                <w:sz w:val="18"/>
                <w:szCs w:val="18"/>
              </w:rPr>
            </w:pPr>
            <w:r w:rsidRPr="002D2F67">
              <w:rPr>
                <w:rFonts w:ascii="Arial" w:hAnsi="Arial" w:cs="Arial"/>
                <w:color w:val="000000"/>
                <w:sz w:val="18"/>
                <w:szCs w:val="18"/>
              </w:rPr>
              <w:t xml:space="preserve">As </w:t>
            </w:r>
            <w:proofErr w:type="gramStart"/>
            <w:r w:rsidRPr="002D2F67">
              <w:rPr>
                <w:rFonts w:ascii="Arial" w:hAnsi="Arial" w:cs="Arial"/>
                <w:color w:val="000000"/>
                <w:sz w:val="18"/>
                <w:szCs w:val="18"/>
              </w:rPr>
              <w:t>at</w:t>
            </w:r>
            <w:proofErr w:type="gramEnd"/>
            <w:r w:rsidRPr="002D2F67">
              <w:rPr>
                <w:rFonts w:ascii="Arial" w:hAnsi="Arial" w:cs="Arial"/>
                <w:color w:val="000000"/>
                <w:sz w:val="18"/>
                <w:szCs w:val="18"/>
              </w:rPr>
              <w:t xml:space="preserve"> </w:t>
            </w:r>
            <w:r w:rsidR="00CD5714" w:rsidRPr="00CD5714">
              <w:rPr>
                <w:rFonts w:ascii="Arial" w:hAnsi="Arial" w:cs="Arial"/>
                <w:color w:val="000000"/>
                <w:sz w:val="18"/>
                <w:szCs w:val="18"/>
                <w:lang w:val="en-GB"/>
              </w:rPr>
              <w:t>31</w:t>
            </w:r>
            <w:r w:rsidRPr="002D2F67">
              <w:rPr>
                <w:rFonts w:ascii="Arial" w:hAnsi="Arial" w:cs="Arial"/>
                <w:color w:val="000000"/>
                <w:sz w:val="18"/>
                <w:szCs w:val="18"/>
              </w:rPr>
              <w:t xml:space="preserve"> December </w:t>
            </w:r>
            <w:r w:rsidR="00CD5714" w:rsidRPr="00CD5714">
              <w:rPr>
                <w:rFonts w:ascii="Arial" w:hAnsi="Arial" w:cs="Arial"/>
                <w:color w:val="000000"/>
                <w:sz w:val="18"/>
                <w:szCs w:val="18"/>
                <w:lang w:val="en-GB"/>
              </w:rPr>
              <w:t>2023</w:t>
            </w:r>
          </w:p>
        </w:tc>
        <w:tc>
          <w:tcPr>
            <w:tcW w:w="992" w:type="dxa"/>
            <w:tcBorders>
              <w:bottom w:val="single" w:sz="4" w:space="0" w:color="auto"/>
            </w:tcBorders>
            <w:shd w:val="clear" w:color="auto" w:fill="auto"/>
            <w:vAlign w:val="bottom"/>
          </w:tcPr>
          <w:p w14:paraId="41CF3C52" w14:textId="630B4059" w:rsidR="0049508C" w:rsidRPr="002D2F67" w:rsidRDefault="00CD5714" w:rsidP="005611FE">
            <w:pPr>
              <w:pStyle w:val="Header"/>
              <w:ind w:right="-72"/>
              <w:jc w:val="right"/>
              <w:rPr>
                <w:rFonts w:ascii="Arial" w:hAnsi="Arial" w:cs="Arial"/>
                <w:color w:val="000000"/>
                <w:sz w:val="18"/>
                <w:szCs w:val="18"/>
                <w:cs/>
              </w:rPr>
            </w:pPr>
            <w:r w:rsidRPr="00CD5714">
              <w:rPr>
                <w:rFonts w:ascii="Arial" w:hAnsi="Arial" w:cs="Arial"/>
                <w:color w:val="000000"/>
                <w:sz w:val="18"/>
                <w:szCs w:val="18"/>
                <w:lang w:val="en-GB"/>
              </w:rPr>
              <w:t>130</w:t>
            </w:r>
            <w:r w:rsidR="0049508C" w:rsidRPr="002D2F67">
              <w:rPr>
                <w:rFonts w:ascii="Arial" w:hAnsi="Arial" w:cs="Arial"/>
                <w:color w:val="000000"/>
                <w:sz w:val="18"/>
                <w:szCs w:val="18"/>
              </w:rPr>
              <w:t>,</w:t>
            </w:r>
            <w:r w:rsidRPr="00CD5714">
              <w:rPr>
                <w:rFonts w:ascii="Arial" w:hAnsi="Arial" w:cs="Arial"/>
                <w:color w:val="000000"/>
                <w:sz w:val="18"/>
                <w:szCs w:val="18"/>
                <w:lang w:val="en-GB"/>
              </w:rPr>
              <w:t>472</w:t>
            </w:r>
          </w:p>
        </w:tc>
        <w:tc>
          <w:tcPr>
            <w:tcW w:w="1465" w:type="dxa"/>
            <w:tcBorders>
              <w:bottom w:val="single" w:sz="4" w:space="0" w:color="auto"/>
            </w:tcBorders>
            <w:shd w:val="clear" w:color="auto" w:fill="auto"/>
          </w:tcPr>
          <w:p w14:paraId="6438DC9E" w14:textId="3969FC48"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325</w:t>
            </w:r>
          </w:p>
        </w:tc>
        <w:tc>
          <w:tcPr>
            <w:tcW w:w="1465" w:type="dxa"/>
            <w:tcBorders>
              <w:bottom w:val="single" w:sz="4" w:space="0" w:color="auto"/>
            </w:tcBorders>
            <w:shd w:val="clear" w:color="auto" w:fill="auto"/>
            <w:vAlign w:val="bottom"/>
          </w:tcPr>
          <w:p w14:paraId="4649E5BD" w14:textId="295BD331"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1</w:t>
            </w:r>
            <w:r w:rsidR="0049508C" w:rsidRPr="002D2F67">
              <w:rPr>
                <w:rFonts w:ascii="Arial" w:hAnsi="Arial" w:cs="Arial"/>
                <w:color w:val="000000"/>
                <w:sz w:val="18"/>
                <w:szCs w:val="18"/>
              </w:rPr>
              <w:t>,</w:t>
            </w:r>
            <w:r w:rsidRPr="00CD5714">
              <w:rPr>
                <w:rFonts w:ascii="Arial" w:hAnsi="Arial" w:cs="Arial"/>
                <w:color w:val="000000"/>
                <w:sz w:val="18"/>
                <w:szCs w:val="18"/>
                <w:lang w:val="en-GB"/>
              </w:rPr>
              <w:t>607</w:t>
            </w:r>
          </w:p>
        </w:tc>
        <w:tc>
          <w:tcPr>
            <w:tcW w:w="1232" w:type="dxa"/>
            <w:tcBorders>
              <w:bottom w:val="single" w:sz="4" w:space="0" w:color="auto"/>
            </w:tcBorders>
            <w:shd w:val="clear" w:color="auto" w:fill="auto"/>
            <w:vAlign w:val="bottom"/>
          </w:tcPr>
          <w:p w14:paraId="1BFF563C" w14:textId="7CF3CEC6"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18</w:t>
            </w:r>
            <w:r w:rsidR="0049508C" w:rsidRPr="002D2F67">
              <w:rPr>
                <w:rFonts w:ascii="Arial" w:hAnsi="Arial" w:cs="Arial"/>
                <w:color w:val="000000"/>
                <w:sz w:val="18"/>
                <w:szCs w:val="18"/>
              </w:rPr>
              <w:t>,</w:t>
            </w:r>
            <w:r w:rsidRPr="00CD5714">
              <w:rPr>
                <w:rFonts w:ascii="Arial" w:hAnsi="Arial" w:cs="Arial"/>
                <w:color w:val="000000"/>
                <w:sz w:val="18"/>
                <w:szCs w:val="18"/>
                <w:lang w:val="en-GB"/>
              </w:rPr>
              <w:t>058</w:t>
            </w:r>
          </w:p>
        </w:tc>
        <w:tc>
          <w:tcPr>
            <w:tcW w:w="1465" w:type="dxa"/>
            <w:tcBorders>
              <w:bottom w:val="single" w:sz="4" w:space="0" w:color="auto"/>
            </w:tcBorders>
            <w:shd w:val="clear" w:color="auto" w:fill="auto"/>
            <w:vAlign w:val="bottom"/>
          </w:tcPr>
          <w:p w14:paraId="2D9BF5B8" w14:textId="1813ACC4"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33</w:t>
            </w:r>
            <w:r w:rsidR="0049508C" w:rsidRPr="002D2F67">
              <w:rPr>
                <w:rFonts w:ascii="Arial" w:hAnsi="Arial" w:cs="Arial"/>
                <w:color w:val="000000"/>
                <w:sz w:val="18"/>
                <w:szCs w:val="18"/>
              </w:rPr>
              <w:t>,</w:t>
            </w:r>
            <w:r w:rsidRPr="00CD5714">
              <w:rPr>
                <w:rFonts w:ascii="Arial" w:hAnsi="Arial" w:cs="Arial"/>
                <w:color w:val="000000"/>
                <w:sz w:val="18"/>
                <w:szCs w:val="18"/>
                <w:lang w:val="en-GB"/>
              </w:rPr>
              <w:t>538</w:t>
            </w:r>
          </w:p>
        </w:tc>
        <w:tc>
          <w:tcPr>
            <w:tcW w:w="1279" w:type="dxa"/>
            <w:tcBorders>
              <w:bottom w:val="single" w:sz="4" w:space="0" w:color="auto"/>
            </w:tcBorders>
            <w:shd w:val="clear" w:color="auto" w:fill="auto"/>
            <w:vAlign w:val="bottom"/>
          </w:tcPr>
          <w:p w14:paraId="532E56FB" w14:textId="7017BFDE" w:rsidR="0049508C"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CD5714">
              <w:rPr>
                <w:rFonts w:ascii="Arial" w:eastAsia="Cordia New" w:hAnsi="Arial" w:cs="Arial"/>
                <w:color w:val="000000"/>
                <w:sz w:val="18"/>
                <w:szCs w:val="18"/>
                <w:lang w:val="en-GB"/>
              </w:rPr>
              <w:t>69</w:t>
            </w:r>
          </w:p>
        </w:tc>
        <w:tc>
          <w:tcPr>
            <w:tcW w:w="1700" w:type="dxa"/>
            <w:tcBorders>
              <w:bottom w:val="single" w:sz="4" w:space="0" w:color="auto"/>
            </w:tcBorders>
            <w:shd w:val="clear" w:color="auto" w:fill="auto"/>
            <w:vAlign w:val="bottom"/>
          </w:tcPr>
          <w:p w14:paraId="277C8968" w14:textId="4D33789D" w:rsidR="0049508C"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cs/>
              </w:rPr>
            </w:pPr>
            <w:r w:rsidRPr="00CD5714">
              <w:rPr>
                <w:rFonts w:ascii="Arial" w:eastAsia="Cordia New" w:hAnsi="Arial" w:cs="Arial"/>
                <w:color w:val="000000"/>
                <w:sz w:val="18"/>
                <w:szCs w:val="18"/>
                <w:lang w:val="en-GB"/>
              </w:rPr>
              <w:t>141</w:t>
            </w:r>
            <w:r w:rsidR="0049508C" w:rsidRPr="002D2F67">
              <w:rPr>
                <w:rFonts w:ascii="Arial" w:eastAsia="Cordia New" w:hAnsi="Arial" w:cs="Arial"/>
                <w:color w:val="000000"/>
                <w:sz w:val="18"/>
                <w:szCs w:val="18"/>
              </w:rPr>
              <w:t>,</w:t>
            </w:r>
            <w:r w:rsidRPr="00CD5714">
              <w:rPr>
                <w:rFonts w:ascii="Arial" w:eastAsia="Cordia New" w:hAnsi="Arial" w:cs="Arial"/>
                <w:color w:val="000000"/>
                <w:sz w:val="18"/>
                <w:szCs w:val="18"/>
                <w:lang w:val="en-GB"/>
              </w:rPr>
              <w:t>020</w:t>
            </w:r>
          </w:p>
        </w:tc>
        <w:tc>
          <w:tcPr>
            <w:tcW w:w="1175" w:type="dxa"/>
            <w:tcBorders>
              <w:bottom w:val="single" w:sz="4" w:space="0" w:color="auto"/>
            </w:tcBorders>
            <w:shd w:val="clear" w:color="auto" w:fill="auto"/>
            <w:vAlign w:val="bottom"/>
          </w:tcPr>
          <w:p w14:paraId="6FB02A94" w14:textId="5E159462" w:rsidR="0049508C"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CD5714">
              <w:rPr>
                <w:rFonts w:ascii="Arial" w:eastAsia="Cordia New" w:hAnsi="Arial" w:cs="Arial"/>
                <w:color w:val="000000"/>
                <w:sz w:val="18"/>
                <w:szCs w:val="18"/>
                <w:lang w:val="en-GB"/>
              </w:rPr>
              <w:t>321</w:t>
            </w:r>
            <w:r w:rsidR="0049508C" w:rsidRPr="002D2F67">
              <w:rPr>
                <w:rFonts w:ascii="Arial" w:eastAsia="Cordia New" w:hAnsi="Arial" w:cs="Arial"/>
                <w:color w:val="000000"/>
                <w:sz w:val="18"/>
                <w:szCs w:val="18"/>
              </w:rPr>
              <w:t>,</w:t>
            </w:r>
            <w:r w:rsidRPr="00CD5714">
              <w:rPr>
                <w:rFonts w:ascii="Arial" w:eastAsia="Cordia New" w:hAnsi="Arial" w:cs="Arial"/>
                <w:color w:val="000000"/>
                <w:sz w:val="18"/>
                <w:szCs w:val="18"/>
                <w:lang w:val="en-GB"/>
              </w:rPr>
              <w:t>446</w:t>
            </w:r>
          </w:p>
        </w:tc>
        <w:tc>
          <w:tcPr>
            <w:tcW w:w="1474" w:type="dxa"/>
            <w:tcBorders>
              <w:bottom w:val="single" w:sz="4" w:space="0" w:color="auto"/>
            </w:tcBorders>
            <w:shd w:val="clear" w:color="auto" w:fill="auto"/>
            <w:vAlign w:val="bottom"/>
          </w:tcPr>
          <w:p w14:paraId="0862B711" w14:textId="60AF5CBE" w:rsidR="0049508C"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CD5714">
              <w:rPr>
                <w:rFonts w:ascii="Arial" w:eastAsia="Cordia New" w:hAnsi="Arial" w:cs="Arial"/>
                <w:color w:val="000000"/>
                <w:sz w:val="18"/>
                <w:szCs w:val="18"/>
                <w:lang w:val="en-GB"/>
              </w:rPr>
              <w:t>646</w:t>
            </w:r>
            <w:r w:rsidR="0049508C" w:rsidRPr="002D2F67">
              <w:rPr>
                <w:rFonts w:ascii="Arial" w:eastAsia="Cordia New" w:hAnsi="Arial" w:cs="Arial"/>
                <w:color w:val="000000"/>
                <w:sz w:val="18"/>
                <w:szCs w:val="18"/>
              </w:rPr>
              <w:t>,</w:t>
            </w:r>
            <w:r w:rsidRPr="00CD5714">
              <w:rPr>
                <w:rFonts w:ascii="Arial" w:eastAsia="Cordia New" w:hAnsi="Arial" w:cs="Arial"/>
                <w:color w:val="000000"/>
                <w:sz w:val="18"/>
                <w:szCs w:val="18"/>
                <w:lang w:val="en-GB"/>
              </w:rPr>
              <w:t>535</w:t>
            </w:r>
          </w:p>
        </w:tc>
      </w:tr>
      <w:tr w:rsidR="00A82DBA" w:rsidRPr="002D2F67" w14:paraId="72BA2053" w14:textId="6C1FD12C" w:rsidTr="005611FE">
        <w:trPr>
          <w:trHeight w:val="19"/>
        </w:trPr>
        <w:tc>
          <w:tcPr>
            <w:tcW w:w="3298" w:type="dxa"/>
            <w:shd w:val="clear" w:color="auto" w:fill="auto"/>
          </w:tcPr>
          <w:p w14:paraId="1520372B" w14:textId="77777777" w:rsidR="007E73EB" w:rsidRPr="002D2F67" w:rsidRDefault="007E73EB" w:rsidP="005611FE">
            <w:pPr>
              <w:pStyle w:val="Header"/>
              <w:tabs>
                <w:tab w:val="clear" w:pos="4320"/>
                <w:tab w:val="clear" w:pos="8640"/>
              </w:tabs>
              <w:ind w:left="49"/>
              <w:jc w:val="left"/>
              <w:rPr>
                <w:rFonts w:ascii="Arial" w:hAnsi="Arial" w:cs="Arial"/>
                <w:color w:val="000000"/>
                <w:sz w:val="18"/>
                <w:szCs w:val="18"/>
              </w:rPr>
            </w:pPr>
          </w:p>
        </w:tc>
        <w:tc>
          <w:tcPr>
            <w:tcW w:w="992" w:type="dxa"/>
            <w:tcBorders>
              <w:top w:val="single" w:sz="4" w:space="0" w:color="auto"/>
            </w:tcBorders>
            <w:shd w:val="clear" w:color="auto" w:fill="auto"/>
            <w:vAlign w:val="bottom"/>
          </w:tcPr>
          <w:p w14:paraId="0FF120C6" w14:textId="77777777" w:rsidR="007E73EB" w:rsidRPr="002D2F67" w:rsidRDefault="007E73EB" w:rsidP="005611FE">
            <w:pPr>
              <w:pStyle w:val="Header"/>
              <w:ind w:right="-72"/>
              <w:jc w:val="right"/>
              <w:rPr>
                <w:rFonts w:ascii="Arial" w:hAnsi="Arial" w:cs="Arial"/>
                <w:color w:val="000000"/>
                <w:sz w:val="18"/>
                <w:szCs w:val="18"/>
              </w:rPr>
            </w:pPr>
          </w:p>
        </w:tc>
        <w:tc>
          <w:tcPr>
            <w:tcW w:w="1465" w:type="dxa"/>
            <w:tcBorders>
              <w:top w:val="single" w:sz="4" w:space="0" w:color="auto"/>
            </w:tcBorders>
            <w:shd w:val="clear" w:color="auto" w:fill="auto"/>
            <w:vAlign w:val="bottom"/>
          </w:tcPr>
          <w:p w14:paraId="62DD5CB1" w14:textId="77777777" w:rsidR="007E73EB" w:rsidRPr="002D2F67" w:rsidRDefault="007E73EB" w:rsidP="005611FE">
            <w:pPr>
              <w:pStyle w:val="Header"/>
              <w:ind w:right="-72"/>
              <w:jc w:val="right"/>
              <w:rPr>
                <w:rFonts w:ascii="Arial" w:hAnsi="Arial" w:cs="Arial"/>
                <w:color w:val="000000"/>
                <w:sz w:val="18"/>
                <w:szCs w:val="18"/>
              </w:rPr>
            </w:pPr>
          </w:p>
        </w:tc>
        <w:tc>
          <w:tcPr>
            <w:tcW w:w="1465" w:type="dxa"/>
            <w:tcBorders>
              <w:top w:val="single" w:sz="4" w:space="0" w:color="auto"/>
            </w:tcBorders>
            <w:shd w:val="clear" w:color="auto" w:fill="auto"/>
            <w:vAlign w:val="bottom"/>
          </w:tcPr>
          <w:p w14:paraId="30830F97" w14:textId="4FE6C340" w:rsidR="007E73EB" w:rsidRPr="002D2F67" w:rsidRDefault="007E73EB" w:rsidP="005611FE">
            <w:pPr>
              <w:pStyle w:val="Header"/>
              <w:ind w:right="-72"/>
              <w:jc w:val="right"/>
              <w:rPr>
                <w:rFonts w:ascii="Arial" w:hAnsi="Arial" w:cs="Arial"/>
                <w:color w:val="000000"/>
                <w:sz w:val="18"/>
                <w:szCs w:val="18"/>
              </w:rPr>
            </w:pPr>
          </w:p>
        </w:tc>
        <w:tc>
          <w:tcPr>
            <w:tcW w:w="1232" w:type="dxa"/>
            <w:tcBorders>
              <w:top w:val="single" w:sz="4" w:space="0" w:color="auto"/>
            </w:tcBorders>
            <w:shd w:val="clear" w:color="auto" w:fill="auto"/>
            <w:vAlign w:val="bottom"/>
          </w:tcPr>
          <w:p w14:paraId="2EF9EE85" w14:textId="4567C203" w:rsidR="007E73EB" w:rsidRPr="002D2F67" w:rsidRDefault="007E73EB"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65" w:type="dxa"/>
            <w:tcBorders>
              <w:top w:val="single" w:sz="4" w:space="0" w:color="auto"/>
            </w:tcBorders>
            <w:shd w:val="clear" w:color="auto" w:fill="auto"/>
            <w:vAlign w:val="bottom"/>
          </w:tcPr>
          <w:p w14:paraId="454035EA" w14:textId="77777777" w:rsidR="007E73EB" w:rsidRPr="002D2F67" w:rsidRDefault="007E73EB"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279" w:type="dxa"/>
            <w:tcBorders>
              <w:top w:val="single" w:sz="4" w:space="0" w:color="auto"/>
            </w:tcBorders>
            <w:shd w:val="clear" w:color="auto" w:fill="auto"/>
            <w:vAlign w:val="bottom"/>
          </w:tcPr>
          <w:p w14:paraId="4B61246E" w14:textId="77777777" w:rsidR="007E73EB" w:rsidRPr="002D2F67" w:rsidRDefault="007E73EB"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700" w:type="dxa"/>
            <w:tcBorders>
              <w:top w:val="single" w:sz="4" w:space="0" w:color="auto"/>
            </w:tcBorders>
            <w:shd w:val="clear" w:color="auto" w:fill="auto"/>
            <w:vAlign w:val="bottom"/>
          </w:tcPr>
          <w:p w14:paraId="112B3C15" w14:textId="77777777" w:rsidR="007E73EB" w:rsidRPr="002D2F67" w:rsidRDefault="007E73EB"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175" w:type="dxa"/>
            <w:tcBorders>
              <w:top w:val="single" w:sz="4" w:space="0" w:color="auto"/>
            </w:tcBorders>
            <w:shd w:val="clear" w:color="auto" w:fill="auto"/>
            <w:vAlign w:val="bottom"/>
          </w:tcPr>
          <w:p w14:paraId="42AC9AC4" w14:textId="77777777" w:rsidR="007E73EB" w:rsidRPr="002D2F67" w:rsidRDefault="007E73EB"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74" w:type="dxa"/>
            <w:tcBorders>
              <w:top w:val="single" w:sz="4" w:space="0" w:color="auto"/>
            </w:tcBorders>
            <w:shd w:val="clear" w:color="auto" w:fill="auto"/>
            <w:vAlign w:val="bottom"/>
          </w:tcPr>
          <w:p w14:paraId="1BA869EA" w14:textId="77777777" w:rsidR="007E73EB" w:rsidRPr="002D2F67" w:rsidRDefault="007E73EB"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r>
      <w:tr w:rsidR="005611FE" w:rsidRPr="002D2F67" w14:paraId="40109145" w14:textId="4CD9B59F" w:rsidTr="005611FE">
        <w:trPr>
          <w:trHeight w:val="19"/>
        </w:trPr>
        <w:tc>
          <w:tcPr>
            <w:tcW w:w="3298" w:type="dxa"/>
            <w:shd w:val="clear" w:color="auto" w:fill="auto"/>
          </w:tcPr>
          <w:p w14:paraId="69770929" w14:textId="67FFE3EF" w:rsidR="0049508C" w:rsidRPr="002D2F67" w:rsidRDefault="0049508C" w:rsidP="005611FE">
            <w:pPr>
              <w:pStyle w:val="Header"/>
              <w:tabs>
                <w:tab w:val="clear" w:pos="4320"/>
                <w:tab w:val="clear" w:pos="8640"/>
              </w:tabs>
              <w:ind w:left="49"/>
              <w:jc w:val="left"/>
              <w:rPr>
                <w:rFonts w:ascii="Arial" w:hAnsi="Arial" w:cs="Arial"/>
                <w:color w:val="000000"/>
                <w:spacing w:val="-10"/>
                <w:sz w:val="18"/>
                <w:szCs w:val="18"/>
              </w:rPr>
            </w:pPr>
            <w:r w:rsidRPr="002D2F67">
              <w:rPr>
                <w:rFonts w:ascii="Arial" w:hAnsi="Arial" w:cs="Arial"/>
                <w:color w:val="000000"/>
                <w:sz w:val="18"/>
                <w:szCs w:val="18"/>
              </w:rPr>
              <w:t xml:space="preserve">As </w:t>
            </w:r>
            <w:proofErr w:type="gramStart"/>
            <w:r w:rsidRPr="002D2F67">
              <w:rPr>
                <w:rFonts w:ascii="Arial" w:hAnsi="Arial" w:cs="Arial"/>
                <w:color w:val="000000"/>
                <w:sz w:val="18"/>
                <w:szCs w:val="18"/>
              </w:rPr>
              <w:t>at</w:t>
            </w:r>
            <w:proofErr w:type="gramEnd"/>
            <w:r w:rsidRPr="002D2F67">
              <w:rPr>
                <w:rFonts w:ascii="Arial" w:hAnsi="Arial" w:cs="Arial"/>
                <w:color w:val="000000"/>
                <w:sz w:val="18"/>
                <w:szCs w:val="18"/>
              </w:rPr>
              <w:t xml:space="preserve"> </w:t>
            </w:r>
            <w:r w:rsidR="00CD5714" w:rsidRPr="00CD5714">
              <w:rPr>
                <w:rFonts w:ascii="Arial" w:hAnsi="Arial" w:cs="Arial"/>
                <w:color w:val="000000"/>
                <w:sz w:val="18"/>
                <w:szCs w:val="18"/>
                <w:lang w:val="en-GB"/>
              </w:rPr>
              <w:t>1</w:t>
            </w:r>
            <w:r w:rsidRPr="002D2F67">
              <w:rPr>
                <w:rFonts w:ascii="Arial" w:hAnsi="Arial" w:cs="Arial"/>
                <w:color w:val="000000"/>
                <w:sz w:val="18"/>
                <w:szCs w:val="18"/>
              </w:rPr>
              <w:t xml:space="preserve"> January </w:t>
            </w:r>
            <w:r w:rsidR="00CD5714" w:rsidRPr="00CD5714">
              <w:rPr>
                <w:rFonts w:ascii="Arial" w:hAnsi="Arial" w:cs="Arial"/>
                <w:color w:val="000000"/>
                <w:sz w:val="18"/>
                <w:szCs w:val="18"/>
                <w:lang w:val="en-GB"/>
              </w:rPr>
              <w:t>2024</w:t>
            </w:r>
          </w:p>
        </w:tc>
        <w:tc>
          <w:tcPr>
            <w:tcW w:w="992" w:type="dxa"/>
            <w:shd w:val="clear" w:color="auto" w:fill="auto"/>
            <w:vAlign w:val="bottom"/>
          </w:tcPr>
          <w:p w14:paraId="16A75139" w14:textId="1F6D769A"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130</w:t>
            </w:r>
            <w:r w:rsidR="0049508C" w:rsidRPr="002D2F67">
              <w:rPr>
                <w:rFonts w:ascii="Arial" w:hAnsi="Arial" w:cs="Arial"/>
                <w:color w:val="000000"/>
                <w:sz w:val="18"/>
                <w:szCs w:val="18"/>
              </w:rPr>
              <w:t>,</w:t>
            </w:r>
            <w:r w:rsidRPr="00CD5714">
              <w:rPr>
                <w:rFonts w:ascii="Arial" w:hAnsi="Arial" w:cs="Arial"/>
                <w:color w:val="000000"/>
                <w:sz w:val="18"/>
                <w:szCs w:val="18"/>
                <w:lang w:val="en-GB"/>
              </w:rPr>
              <w:t>472</w:t>
            </w:r>
          </w:p>
        </w:tc>
        <w:tc>
          <w:tcPr>
            <w:tcW w:w="1465" w:type="dxa"/>
            <w:shd w:val="clear" w:color="auto" w:fill="auto"/>
          </w:tcPr>
          <w:p w14:paraId="0597E1DE" w14:textId="68CB012F"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325</w:t>
            </w:r>
          </w:p>
        </w:tc>
        <w:tc>
          <w:tcPr>
            <w:tcW w:w="1465" w:type="dxa"/>
            <w:shd w:val="clear" w:color="auto" w:fill="auto"/>
            <w:vAlign w:val="bottom"/>
          </w:tcPr>
          <w:p w14:paraId="2BE3BDB1" w14:textId="4DF52F0F"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1</w:t>
            </w:r>
            <w:r w:rsidR="0049508C" w:rsidRPr="002D2F67">
              <w:rPr>
                <w:rFonts w:ascii="Arial" w:hAnsi="Arial" w:cs="Arial"/>
                <w:color w:val="000000"/>
                <w:sz w:val="18"/>
                <w:szCs w:val="18"/>
              </w:rPr>
              <w:t>,</w:t>
            </w:r>
            <w:r w:rsidRPr="00CD5714">
              <w:rPr>
                <w:rFonts w:ascii="Arial" w:hAnsi="Arial" w:cs="Arial"/>
                <w:color w:val="000000"/>
                <w:sz w:val="18"/>
                <w:szCs w:val="18"/>
                <w:lang w:val="en-GB"/>
              </w:rPr>
              <w:t>607</w:t>
            </w:r>
          </w:p>
        </w:tc>
        <w:tc>
          <w:tcPr>
            <w:tcW w:w="1232" w:type="dxa"/>
            <w:shd w:val="clear" w:color="auto" w:fill="auto"/>
            <w:vAlign w:val="bottom"/>
          </w:tcPr>
          <w:p w14:paraId="5AF0FBCD" w14:textId="36BD12F4"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18</w:t>
            </w:r>
            <w:r w:rsidR="0049508C" w:rsidRPr="002D2F67">
              <w:rPr>
                <w:rFonts w:ascii="Arial" w:hAnsi="Arial" w:cs="Arial"/>
                <w:color w:val="000000"/>
                <w:sz w:val="18"/>
                <w:szCs w:val="18"/>
              </w:rPr>
              <w:t>,</w:t>
            </w:r>
            <w:r w:rsidRPr="00CD5714">
              <w:rPr>
                <w:rFonts w:ascii="Arial" w:hAnsi="Arial" w:cs="Arial"/>
                <w:color w:val="000000"/>
                <w:sz w:val="18"/>
                <w:szCs w:val="18"/>
                <w:lang w:val="en-GB"/>
              </w:rPr>
              <w:t>058</w:t>
            </w:r>
          </w:p>
        </w:tc>
        <w:tc>
          <w:tcPr>
            <w:tcW w:w="1465" w:type="dxa"/>
            <w:shd w:val="clear" w:color="auto" w:fill="auto"/>
            <w:vAlign w:val="bottom"/>
          </w:tcPr>
          <w:p w14:paraId="69F8D2C5" w14:textId="4F69916B"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33</w:t>
            </w:r>
            <w:r w:rsidR="0049508C" w:rsidRPr="002D2F67">
              <w:rPr>
                <w:rFonts w:ascii="Arial" w:hAnsi="Arial" w:cs="Arial"/>
                <w:color w:val="000000"/>
                <w:sz w:val="18"/>
                <w:szCs w:val="18"/>
              </w:rPr>
              <w:t>,</w:t>
            </w:r>
            <w:r w:rsidRPr="00CD5714">
              <w:rPr>
                <w:rFonts w:ascii="Arial" w:hAnsi="Arial" w:cs="Arial"/>
                <w:color w:val="000000"/>
                <w:sz w:val="18"/>
                <w:szCs w:val="18"/>
                <w:lang w:val="en-GB"/>
              </w:rPr>
              <w:t>538</w:t>
            </w:r>
          </w:p>
        </w:tc>
        <w:tc>
          <w:tcPr>
            <w:tcW w:w="1279" w:type="dxa"/>
            <w:shd w:val="clear" w:color="auto" w:fill="auto"/>
            <w:vAlign w:val="bottom"/>
          </w:tcPr>
          <w:p w14:paraId="09BAAD9B" w14:textId="64BF07BC" w:rsidR="0049508C"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Cordia New" w:hAnsi="Arial" w:cs="Arial"/>
                <w:color w:val="000000"/>
                <w:sz w:val="18"/>
                <w:szCs w:val="18"/>
              </w:rPr>
            </w:pPr>
            <w:r w:rsidRPr="00CD5714">
              <w:rPr>
                <w:rFonts w:ascii="Arial" w:eastAsia="Cordia New" w:hAnsi="Arial" w:cs="Arial"/>
                <w:color w:val="000000"/>
                <w:sz w:val="18"/>
                <w:szCs w:val="18"/>
                <w:lang w:val="en-GB"/>
              </w:rPr>
              <w:t>69</w:t>
            </w:r>
          </w:p>
        </w:tc>
        <w:tc>
          <w:tcPr>
            <w:tcW w:w="1700" w:type="dxa"/>
            <w:shd w:val="clear" w:color="auto" w:fill="auto"/>
            <w:vAlign w:val="bottom"/>
          </w:tcPr>
          <w:p w14:paraId="54748168" w14:textId="5338436C" w:rsidR="0049508C"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Cordia New" w:hAnsi="Arial" w:cs="Arial"/>
                <w:color w:val="000000"/>
                <w:sz w:val="18"/>
                <w:szCs w:val="18"/>
              </w:rPr>
            </w:pPr>
            <w:r w:rsidRPr="00CD5714">
              <w:rPr>
                <w:rFonts w:ascii="Arial" w:eastAsia="Cordia New" w:hAnsi="Arial" w:cs="Arial"/>
                <w:color w:val="000000"/>
                <w:sz w:val="18"/>
                <w:szCs w:val="18"/>
                <w:lang w:val="en-GB"/>
              </w:rPr>
              <w:t>141</w:t>
            </w:r>
            <w:r w:rsidR="0049508C" w:rsidRPr="002D2F67">
              <w:rPr>
                <w:rFonts w:ascii="Arial" w:eastAsia="Cordia New" w:hAnsi="Arial" w:cs="Arial"/>
                <w:color w:val="000000"/>
                <w:sz w:val="18"/>
                <w:szCs w:val="18"/>
              </w:rPr>
              <w:t>,</w:t>
            </w:r>
            <w:r w:rsidRPr="00CD5714">
              <w:rPr>
                <w:rFonts w:ascii="Arial" w:eastAsia="Cordia New" w:hAnsi="Arial" w:cs="Arial"/>
                <w:color w:val="000000"/>
                <w:sz w:val="18"/>
                <w:szCs w:val="18"/>
                <w:lang w:val="en-GB"/>
              </w:rPr>
              <w:t>020</w:t>
            </w:r>
          </w:p>
        </w:tc>
        <w:tc>
          <w:tcPr>
            <w:tcW w:w="1175" w:type="dxa"/>
            <w:shd w:val="clear" w:color="auto" w:fill="auto"/>
            <w:vAlign w:val="bottom"/>
          </w:tcPr>
          <w:p w14:paraId="149555FD" w14:textId="2F4B3920" w:rsidR="0049508C"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Cordia New" w:hAnsi="Arial" w:cs="Arial"/>
                <w:color w:val="000000"/>
                <w:sz w:val="18"/>
                <w:szCs w:val="18"/>
              </w:rPr>
            </w:pPr>
            <w:r w:rsidRPr="00CD5714">
              <w:rPr>
                <w:rFonts w:ascii="Arial" w:eastAsia="Cordia New" w:hAnsi="Arial" w:cs="Arial"/>
                <w:color w:val="000000"/>
                <w:sz w:val="18"/>
                <w:szCs w:val="18"/>
                <w:lang w:val="en-GB"/>
              </w:rPr>
              <w:t>321</w:t>
            </w:r>
            <w:r w:rsidR="0049508C" w:rsidRPr="002D2F67">
              <w:rPr>
                <w:rFonts w:ascii="Arial" w:eastAsia="Cordia New" w:hAnsi="Arial" w:cs="Arial"/>
                <w:color w:val="000000"/>
                <w:sz w:val="18"/>
                <w:szCs w:val="18"/>
              </w:rPr>
              <w:t>,</w:t>
            </w:r>
            <w:r w:rsidRPr="00CD5714">
              <w:rPr>
                <w:rFonts w:ascii="Arial" w:eastAsia="Cordia New" w:hAnsi="Arial" w:cs="Arial"/>
                <w:color w:val="000000"/>
                <w:sz w:val="18"/>
                <w:szCs w:val="18"/>
                <w:lang w:val="en-GB"/>
              </w:rPr>
              <w:t>446</w:t>
            </w:r>
          </w:p>
        </w:tc>
        <w:tc>
          <w:tcPr>
            <w:tcW w:w="1474" w:type="dxa"/>
            <w:shd w:val="clear" w:color="auto" w:fill="auto"/>
            <w:vAlign w:val="bottom"/>
          </w:tcPr>
          <w:p w14:paraId="571970D9" w14:textId="512833D5" w:rsidR="0049508C"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Cordia New" w:hAnsi="Arial" w:cs="Arial"/>
                <w:color w:val="000000"/>
                <w:sz w:val="18"/>
                <w:szCs w:val="18"/>
              </w:rPr>
            </w:pPr>
            <w:r w:rsidRPr="00CD5714">
              <w:rPr>
                <w:rFonts w:ascii="Arial" w:eastAsia="Cordia New" w:hAnsi="Arial" w:cs="Arial"/>
                <w:color w:val="000000"/>
                <w:sz w:val="18"/>
                <w:szCs w:val="18"/>
                <w:lang w:val="en-GB"/>
              </w:rPr>
              <w:t>646</w:t>
            </w:r>
            <w:r w:rsidR="0049508C" w:rsidRPr="002D2F67">
              <w:rPr>
                <w:rFonts w:ascii="Arial" w:eastAsia="Cordia New" w:hAnsi="Arial" w:cs="Arial"/>
                <w:color w:val="000000"/>
                <w:sz w:val="18"/>
                <w:szCs w:val="18"/>
              </w:rPr>
              <w:t>,</w:t>
            </w:r>
            <w:r w:rsidRPr="00CD5714">
              <w:rPr>
                <w:rFonts w:ascii="Arial" w:eastAsia="Cordia New" w:hAnsi="Arial" w:cs="Arial"/>
                <w:color w:val="000000"/>
                <w:sz w:val="18"/>
                <w:szCs w:val="18"/>
                <w:lang w:val="en-GB"/>
              </w:rPr>
              <w:t>535</w:t>
            </w:r>
          </w:p>
        </w:tc>
      </w:tr>
      <w:tr w:rsidR="005611FE" w:rsidRPr="002D2F67" w14:paraId="31B2B7FE" w14:textId="2BF41AB1" w:rsidTr="005611FE">
        <w:trPr>
          <w:trHeight w:val="19"/>
        </w:trPr>
        <w:tc>
          <w:tcPr>
            <w:tcW w:w="3298" w:type="dxa"/>
            <w:shd w:val="clear" w:color="auto" w:fill="auto"/>
          </w:tcPr>
          <w:p w14:paraId="56A1CD0C" w14:textId="7B59CFBA" w:rsidR="0049508C" w:rsidRPr="002D2F67" w:rsidRDefault="0049508C" w:rsidP="005611FE">
            <w:pPr>
              <w:pStyle w:val="Header"/>
              <w:tabs>
                <w:tab w:val="clear" w:pos="4320"/>
                <w:tab w:val="clear" w:pos="8640"/>
              </w:tabs>
              <w:ind w:left="49"/>
              <w:jc w:val="left"/>
              <w:rPr>
                <w:rFonts w:ascii="Arial" w:hAnsi="Arial" w:cs="Arial"/>
                <w:color w:val="000000"/>
                <w:spacing w:val="-6"/>
                <w:sz w:val="18"/>
                <w:szCs w:val="18"/>
              </w:rPr>
            </w:pPr>
            <w:r w:rsidRPr="002D2F67">
              <w:rPr>
                <w:rFonts w:ascii="Arial" w:hAnsi="Arial" w:cs="Arial"/>
                <w:color w:val="000000"/>
                <w:spacing w:val="-6"/>
                <w:sz w:val="18"/>
                <w:szCs w:val="18"/>
              </w:rPr>
              <w:t>Tax (charged) credited to profit or loss</w:t>
            </w:r>
          </w:p>
        </w:tc>
        <w:tc>
          <w:tcPr>
            <w:tcW w:w="992" w:type="dxa"/>
            <w:shd w:val="clear" w:color="auto" w:fill="auto"/>
            <w:vAlign w:val="bottom"/>
          </w:tcPr>
          <w:p w14:paraId="18441C0E" w14:textId="7B16BB2B" w:rsidR="0049508C" w:rsidRPr="002D2F67" w:rsidRDefault="007B6DBD" w:rsidP="005611FE">
            <w:pPr>
              <w:pStyle w:val="Header"/>
              <w:ind w:right="-72"/>
              <w:jc w:val="right"/>
              <w:rPr>
                <w:rFonts w:ascii="Arial" w:hAnsi="Arial" w:cs="Arial"/>
                <w:color w:val="000000"/>
                <w:sz w:val="18"/>
                <w:szCs w:val="18"/>
                <w:cs/>
              </w:rPr>
            </w:pPr>
            <w:r w:rsidRPr="002D2F67">
              <w:rPr>
                <w:rFonts w:ascii="Arial" w:hAnsi="Arial" w:cs="Arial"/>
                <w:color w:val="000000"/>
                <w:sz w:val="18"/>
                <w:szCs w:val="18"/>
              </w:rPr>
              <w:t>(</w:t>
            </w:r>
            <w:r w:rsidR="00CD5714" w:rsidRPr="00CD5714">
              <w:rPr>
                <w:rFonts w:ascii="Arial" w:hAnsi="Arial" w:cs="Arial"/>
                <w:color w:val="000000"/>
                <w:sz w:val="18"/>
                <w:szCs w:val="18"/>
                <w:lang w:val="en-GB"/>
              </w:rPr>
              <w:t>130</w:t>
            </w:r>
            <w:r w:rsidRPr="002D2F67">
              <w:rPr>
                <w:rFonts w:ascii="Arial" w:hAnsi="Arial" w:cs="Arial"/>
                <w:color w:val="000000"/>
                <w:sz w:val="18"/>
                <w:szCs w:val="18"/>
              </w:rPr>
              <w:t>,</w:t>
            </w:r>
            <w:r w:rsidR="00CD5714" w:rsidRPr="00CD5714">
              <w:rPr>
                <w:rFonts w:ascii="Arial" w:hAnsi="Arial" w:cs="Arial"/>
                <w:color w:val="000000"/>
                <w:sz w:val="18"/>
                <w:szCs w:val="18"/>
                <w:lang w:val="en-GB"/>
              </w:rPr>
              <w:t>472</w:t>
            </w:r>
            <w:r w:rsidRPr="002D2F67">
              <w:rPr>
                <w:rFonts w:ascii="Arial" w:hAnsi="Arial" w:cs="Arial"/>
                <w:color w:val="000000"/>
                <w:sz w:val="18"/>
                <w:szCs w:val="18"/>
              </w:rPr>
              <w:t>)</w:t>
            </w:r>
          </w:p>
        </w:tc>
        <w:tc>
          <w:tcPr>
            <w:tcW w:w="1465" w:type="dxa"/>
            <w:shd w:val="clear" w:color="auto" w:fill="auto"/>
            <w:vAlign w:val="bottom"/>
          </w:tcPr>
          <w:p w14:paraId="3424C4F3" w14:textId="36337586" w:rsidR="0049508C" w:rsidRPr="002D2F67" w:rsidRDefault="00C64115" w:rsidP="005611FE">
            <w:pPr>
              <w:pStyle w:val="Header"/>
              <w:ind w:right="-72"/>
              <w:jc w:val="right"/>
              <w:rPr>
                <w:rFonts w:ascii="Arial" w:hAnsi="Arial" w:cs="Arial"/>
                <w:color w:val="000000"/>
                <w:sz w:val="18"/>
                <w:szCs w:val="18"/>
                <w:cs/>
              </w:rPr>
            </w:pPr>
            <w:r w:rsidRPr="002D2F67">
              <w:rPr>
                <w:rFonts w:ascii="Arial" w:hAnsi="Arial" w:cs="Arial"/>
                <w:color w:val="000000"/>
                <w:sz w:val="18"/>
                <w:szCs w:val="18"/>
              </w:rPr>
              <w:t>(</w:t>
            </w:r>
            <w:r w:rsidR="00CD5714" w:rsidRPr="00CD5714">
              <w:rPr>
                <w:rFonts w:ascii="Arial" w:hAnsi="Arial" w:cs="Arial"/>
                <w:color w:val="000000"/>
                <w:sz w:val="18"/>
                <w:szCs w:val="18"/>
                <w:lang w:val="en-GB"/>
              </w:rPr>
              <w:t>18</w:t>
            </w:r>
            <w:r w:rsidRPr="002D2F67">
              <w:rPr>
                <w:rFonts w:ascii="Arial" w:hAnsi="Arial" w:cs="Arial"/>
                <w:color w:val="000000"/>
                <w:sz w:val="18"/>
                <w:szCs w:val="18"/>
              </w:rPr>
              <w:t>)</w:t>
            </w:r>
          </w:p>
        </w:tc>
        <w:tc>
          <w:tcPr>
            <w:tcW w:w="1465" w:type="dxa"/>
            <w:shd w:val="clear" w:color="auto" w:fill="auto"/>
            <w:vAlign w:val="bottom"/>
          </w:tcPr>
          <w:p w14:paraId="07F4FEA2" w14:textId="5A62104F" w:rsidR="0049508C" w:rsidRPr="002D2F67" w:rsidRDefault="00C64115"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p>
        </w:tc>
        <w:tc>
          <w:tcPr>
            <w:tcW w:w="1232" w:type="dxa"/>
            <w:shd w:val="clear" w:color="auto" w:fill="auto"/>
            <w:vAlign w:val="bottom"/>
          </w:tcPr>
          <w:p w14:paraId="5CD95382" w14:textId="7015230F"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1</w:t>
            </w:r>
            <w:r w:rsidR="00C64115" w:rsidRPr="002D2F67">
              <w:rPr>
                <w:rFonts w:ascii="Arial" w:hAnsi="Arial" w:cs="Arial"/>
                <w:color w:val="000000"/>
                <w:sz w:val="18"/>
                <w:szCs w:val="18"/>
              </w:rPr>
              <w:t>,</w:t>
            </w:r>
            <w:r w:rsidRPr="00CD5714">
              <w:rPr>
                <w:rFonts w:ascii="Arial" w:hAnsi="Arial" w:cs="Arial"/>
                <w:color w:val="000000"/>
                <w:sz w:val="18"/>
                <w:szCs w:val="18"/>
                <w:lang w:val="en-GB"/>
              </w:rPr>
              <w:t>594</w:t>
            </w:r>
          </w:p>
        </w:tc>
        <w:tc>
          <w:tcPr>
            <w:tcW w:w="1465" w:type="dxa"/>
            <w:shd w:val="clear" w:color="auto" w:fill="auto"/>
            <w:vAlign w:val="bottom"/>
          </w:tcPr>
          <w:p w14:paraId="18658715" w14:textId="27705977" w:rsidR="0049508C" w:rsidRPr="002D2F67" w:rsidRDefault="00C64115"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717</w:t>
            </w:r>
            <w:r w:rsidRPr="002D2F67">
              <w:rPr>
                <w:rFonts w:ascii="Arial" w:hAnsi="Arial" w:cs="Arial"/>
                <w:color w:val="000000"/>
                <w:sz w:val="18"/>
                <w:szCs w:val="18"/>
              </w:rPr>
              <w:t>)</w:t>
            </w:r>
          </w:p>
        </w:tc>
        <w:tc>
          <w:tcPr>
            <w:tcW w:w="1279" w:type="dxa"/>
            <w:shd w:val="clear" w:color="auto" w:fill="auto"/>
            <w:vAlign w:val="bottom"/>
          </w:tcPr>
          <w:p w14:paraId="09FBF6D7" w14:textId="418F1DE1" w:rsidR="0049508C" w:rsidRPr="002D2F67" w:rsidRDefault="00C64115"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p>
        </w:tc>
        <w:tc>
          <w:tcPr>
            <w:tcW w:w="1700" w:type="dxa"/>
            <w:shd w:val="clear" w:color="auto" w:fill="auto"/>
            <w:vAlign w:val="bottom"/>
          </w:tcPr>
          <w:p w14:paraId="0BEAFDBE" w14:textId="68D5B4BB" w:rsidR="0049508C" w:rsidRPr="002D2F67" w:rsidRDefault="00CD5714" w:rsidP="005611FE">
            <w:pPr>
              <w:pStyle w:val="Header"/>
              <w:ind w:right="-72"/>
              <w:jc w:val="right"/>
              <w:rPr>
                <w:rFonts w:ascii="Arial" w:hAnsi="Arial" w:cs="Arial"/>
                <w:color w:val="000000"/>
                <w:sz w:val="18"/>
                <w:szCs w:val="18"/>
                <w:cs/>
              </w:rPr>
            </w:pPr>
            <w:r w:rsidRPr="00CD5714">
              <w:rPr>
                <w:rFonts w:ascii="Arial" w:hAnsi="Arial" w:cs="Arial"/>
                <w:color w:val="000000"/>
                <w:sz w:val="18"/>
                <w:szCs w:val="18"/>
                <w:lang w:val="en-GB"/>
              </w:rPr>
              <w:t>22</w:t>
            </w:r>
            <w:r w:rsidR="00C64115" w:rsidRPr="002D2F67">
              <w:rPr>
                <w:rFonts w:ascii="Arial" w:hAnsi="Arial" w:cs="Arial"/>
                <w:color w:val="000000"/>
                <w:sz w:val="18"/>
                <w:szCs w:val="18"/>
              </w:rPr>
              <w:t>,</w:t>
            </w:r>
            <w:r w:rsidRPr="00CD5714">
              <w:rPr>
                <w:rFonts w:ascii="Arial" w:hAnsi="Arial" w:cs="Arial"/>
                <w:color w:val="000000"/>
                <w:sz w:val="18"/>
                <w:szCs w:val="18"/>
                <w:lang w:val="en-GB"/>
              </w:rPr>
              <w:t>795</w:t>
            </w:r>
          </w:p>
        </w:tc>
        <w:tc>
          <w:tcPr>
            <w:tcW w:w="1175" w:type="dxa"/>
            <w:shd w:val="clear" w:color="auto" w:fill="auto"/>
            <w:vAlign w:val="bottom"/>
          </w:tcPr>
          <w:p w14:paraId="51151AD2" w14:textId="6D24C514" w:rsidR="0049508C" w:rsidRPr="002D2F67" w:rsidRDefault="002E097E"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11</w:t>
            </w:r>
            <w:r w:rsidRPr="002D2F67">
              <w:rPr>
                <w:rFonts w:ascii="Arial" w:hAnsi="Arial" w:cs="Arial"/>
                <w:color w:val="000000"/>
                <w:sz w:val="18"/>
                <w:szCs w:val="18"/>
              </w:rPr>
              <w:t>,</w:t>
            </w:r>
            <w:r w:rsidR="00CD5714" w:rsidRPr="00CD5714">
              <w:rPr>
                <w:rFonts w:ascii="Arial" w:hAnsi="Arial" w:cs="Arial"/>
                <w:color w:val="000000"/>
                <w:sz w:val="18"/>
                <w:szCs w:val="18"/>
                <w:lang w:val="en-GB"/>
              </w:rPr>
              <w:t>729</w:t>
            </w:r>
            <w:r w:rsidRPr="002D2F67">
              <w:rPr>
                <w:rFonts w:ascii="Arial" w:hAnsi="Arial" w:cs="Arial"/>
                <w:color w:val="000000"/>
                <w:sz w:val="18"/>
                <w:szCs w:val="18"/>
              </w:rPr>
              <w:t>)</w:t>
            </w:r>
          </w:p>
        </w:tc>
        <w:tc>
          <w:tcPr>
            <w:tcW w:w="1474" w:type="dxa"/>
            <w:shd w:val="clear" w:color="auto" w:fill="auto"/>
            <w:vAlign w:val="bottom"/>
          </w:tcPr>
          <w:p w14:paraId="4EB0CDA5" w14:textId="2FA63954" w:rsidR="0049508C" w:rsidRPr="002D2F67" w:rsidRDefault="002E097E"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118</w:t>
            </w:r>
            <w:r w:rsidRPr="002D2F67">
              <w:rPr>
                <w:rFonts w:ascii="Arial" w:hAnsi="Arial" w:cs="Arial"/>
                <w:color w:val="000000"/>
                <w:sz w:val="18"/>
                <w:szCs w:val="18"/>
              </w:rPr>
              <w:t>,</w:t>
            </w:r>
            <w:r w:rsidR="00CD5714" w:rsidRPr="00CD5714">
              <w:rPr>
                <w:rFonts w:ascii="Arial" w:hAnsi="Arial" w:cs="Arial"/>
                <w:color w:val="000000"/>
                <w:sz w:val="18"/>
                <w:szCs w:val="18"/>
                <w:lang w:val="en-GB"/>
              </w:rPr>
              <w:t>547</w:t>
            </w:r>
            <w:r w:rsidRPr="002D2F67">
              <w:rPr>
                <w:rFonts w:ascii="Arial" w:hAnsi="Arial" w:cs="Arial"/>
                <w:color w:val="000000"/>
                <w:sz w:val="18"/>
                <w:szCs w:val="18"/>
              </w:rPr>
              <w:t>)</w:t>
            </w:r>
          </w:p>
        </w:tc>
      </w:tr>
      <w:tr w:rsidR="005611FE" w:rsidRPr="002D2F67" w14:paraId="33023C12" w14:textId="2196AA37" w:rsidTr="00C64115">
        <w:trPr>
          <w:trHeight w:val="19"/>
        </w:trPr>
        <w:tc>
          <w:tcPr>
            <w:tcW w:w="3298" w:type="dxa"/>
            <w:shd w:val="clear" w:color="auto" w:fill="auto"/>
          </w:tcPr>
          <w:p w14:paraId="23FA88D3" w14:textId="43ABBC27" w:rsidR="0049508C" w:rsidRPr="002D2F67" w:rsidRDefault="0049508C" w:rsidP="005611FE">
            <w:pPr>
              <w:pStyle w:val="Header"/>
              <w:tabs>
                <w:tab w:val="clear" w:pos="4320"/>
                <w:tab w:val="clear" w:pos="8640"/>
              </w:tabs>
              <w:ind w:left="49"/>
              <w:jc w:val="left"/>
              <w:rPr>
                <w:rFonts w:ascii="Arial" w:hAnsi="Arial" w:cs="Arial"/>
                <w:color w:val="000000"/>
                <w:sz w:val="18"/>
                <w:szCs w:val="18"/>
              </w:rPr>
            </w:pPr>
            <w:r w:rsidRPr="002D2F67">
              <w:rPr>
                <w:rFonts w:ascii="Arial" w:hAnsi="Arial" w:cs="Arial"/>
                <w:color w:val="000000"/>
                <w:sz w:val="18"/>
                <w:szCs w:val="18"/>
              </w:rPr>
              <w:t xml:space="preserve">Tax </w:t>
            </w:r>
            <w:r w:rsidR="00834DA6" w:rsidRPr="002D2F67">
              <w:rPr>
                <w:rFonts w:ascii="Arial" w:hAnsi="Arial" w:cs="Arial"/>
                <w:color w:val="000000"/>
                <w:spacing w:val="-6"/>
                <w:sz w:val="18"/>
                <w:szCs w:val="18"/>
              </w:rPr>
              <w:t xml:space="preserve">(charged) </w:t>
            </w:r>
            <w:r w:rsidRPr="002D2F67">
              <w:rPr>
                <w:rFonts w:ascii="Arial" w:hAnsi="Arial" w:cs="Arial"/>
                <w:color w:val="000000"/>
                <w:sz w:val="18"/>
                <w:szCs w:val="18"/>
              </w:rPr>
              <w:t xml:space="preserve">credited to other </w:t>
            </w:r>
          </w:p>
          <w:p w14:paraId="4DAFF51E" w14:textId="74DC4AA9" w:rsidR="0049508C" w:rsidRPr="002D2F67" w:rsidRDefault="0049508C" w:rsidP="005611FE">
            <w:pPr>
              <w:pStyle w:val="Header"/>
              <w:tabs>
                <w:tab w:val="clear" w:pos="4320"/>
                <w:tab w:val="clear" w:pos="8640"/>
              </w:tabs>
              <w:ind w:left="49"/>
              <w:jc w:val="left"/>
              <w:rPr>
                <w:rFonts w:ascii="Arial" w:hAnsi="Arial" w:cs="Arial"/>
                <w:color w:val="000000"/>
                <w:sz w:val="18"/>
                <w:szCs w:val="18"/>
              </w:rPr>
            </w:pPr>
            <w:r w:rsidRPr="002D2F67">
              <w:rPr>
                <w:rFonts w:ascii="Arial" w:hAnsi="Arial" w:cs="Arial"/>
                <w:color w:val="000000"/>
                <w:sz w:val="18"/>
                <w:szCs w:val="18"/>
              </w:rPr>
              <w:t xml:space="preserve">   comprehensive income</w:t>
            </w:r>
          </w:p>
        </w:tc>
        <w:tc>
          <w:tcPr>
            <w:tcW w:w="992" w:type="dxa"/>
            <w:shd w:val="clear" w:color="auto" w:fill="auto"/>
            <w:vAlign w:val="bottom"/>
          </w:tcPr>
          <w:p w14:paraId="725B52D7" w14:textId="0B9F95AE" w:rsidR="0049508C" w:rsidRPr="002D2F67" w:rsidRDefault="007B6DBD"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p>
        </w:tc>
        <w:tc>
          <w:tcPr>
            <w:tcW w:w="1465" w:type="dxa"/>
            <w:shd w:val="clear" w:color="auto" w:fill="auto"/>
            <w:vAlign w:val="bottom"/>
          </w:tcPr>
          <w:p w14:paraId="1D3F2CF8" w14:textId="47EBB716" w:rsidR="0049508C" w:rsidRPr="002D2F67" w:rsidRDefault="00C64115"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p>
        </w:tc>
        <w:tc>
          <w:tcPr>
            <w:tcW w:w="1465" w:type="dxa"/>
            <w:shd w:val="clear" w:color="auto" w:fill="auto"/>
            <w:vAlign w:val="bottom"/>
          </w:tcPr>
          <w:p w14:paraId="3486053B" w14:textId="22A7D6E0" w:rsidR="0049508C" w:rsidRPr="002D2F67" w:rsidRDefault="00CD5714" w:rsidP="005611FE">
            <w:pPr>
              <w:pStyle w:val="Header"/>
              <w:ind w:right="-72"/>
              <w:jc w:val="right"/>
              <w:rPr>
                <w:rFonts w:ascii="Arial" w:hAnsi="Arial" w:cs="Arial"/>
                <w:color w:val="000000"/>
                <w:sz w:val="18"/>
                <w:szCs w:val="18"/>
                <w:cs/>
              </w:rPr>
            </w:pPr>
            <w:r w:rsidRPr="00CD5714">
              <w:rPr>
                <w:rFonts w:ascii="Arial" w:hAnsi="Arial" w:cs="Arial"/>
                <w:color w:val="000000"/>
                <w:sz w:val="18"/>
                <w:szCs w:val="18"/>
                <w:lang w:val="en-GB"/>
              </w:rPr>
              <w:t>180</w:t>
            </w:r>
            <w:r w:rsidR="002E097E" w:rsidRPr="002D2F67">
              <w:rPr>
                <w:rFonts w:ascii="Arial" w:hAnsi="Arial" w:cs="Arial"/>
                <w:color w:val="000000"/>
                <w:sz w:val="18"/>
                <w:szCs w:val="18"/>
              </w:rPr>
              <w:t>,</w:t>
            </w:r>
            <w:r w:rsidRPr="00CD5714">
              <w:rPr>
                <w:rFonts w:ascii="Arial" w:hAnsi="Arial" w:cs="Arial"/>
                <w:color w:val="000000"/>
                <w:sz w:val="18"/>
                <w:szCs w:val="18"/>
                <w:lang w:val="en-GB"/>
              </w:rPr>
              <w:t>590</w:t>
            </w:r>
          </w:p>
        </w:tc>
        <w:tc>
          <w:tcPr>
            <w:tcW w:w="1232" w:type="dxa"/>
            <w:shd w:val="clear" w:color="auto" w:fill="auto"/>
            <w:vAlign w:val="bottom"/>
          </w:tcPr>
          <w:p w14:paraId="13719162" w14:textId="2670E1FA" w:rsidR="0049508C" w:rsidRPr="002D2F67" w:rsidRDefault="002E097E"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11</w:t>
            </w:r>
            <w:r w:rsidRPr="002D2F67">
              <w:rPr>
                <w:rFonts w:ascii="Arial" w:hAnsi="Arial" w:cs="Arial"/>
                <w:color w:val="000000"/>
                <w:sz w:val="18"/>
                <w:szCs w:val="18"/>
              </w:rPr>
              <w:t>,</w:t>
            </w:r>
            <w:r w:rsidR="00CD5714" w:rsidRPr="00CD5714">
              <w:rPr>
                <w:rFonts w:ascii="Arial" w:hAnsi="Arial" w:cs="Arial"/>
                <w:color w:val="000000"/>
                <w:sz w:val="18"/>
                <w:szCs w:val="18"/>
                <w:lang w:val="en-GB"/>
              </w:rPr>
              <w:t>293</w:t>
            </w:r>
            <w:r w:rsidRPr="002D2F67">
              <w:rPr>
                <w:rFonts w:ascii="Arial" w:hAnsi="Arial" w:cs="Arial"/>
                <w:color w:val="000000"/>
                <w:sz w:val="18"/>
                <w:szCs w:val="18"/>
              </w:rPr>
              <w:t>)</w:t>
            </w:r>
          </w:p>
        </w:tc>
        <w:tc>
          <w:tcPr>
            <w:tcW w:w="1465" w:type="dxa"/>
            <w:shd w:val="clear" w:color="auto" w:fill="auto"/>
            <w:vAlign w:val="bottom"/>
          </w:tcPr>
          <w:p w14:paraId="06E30AD6" w14:textId="71A5DA2B" w:rsidR="0049508C" w:rsidRPr="002D2F67" w:rsidRDefault="00C64115" w:rsidP="005611FE">
            <w:pPr>
              <w:pStyle w:val="BodyText3"/>
              <w:ind w:right="-72"/>
              <w:jc w:val="right"/>
              <w:rPr>
                <w:rFonts w:ascii="Arial" w:hAnsi="Arial" w:cs="Arial"/>
                <w:b w:val="0"/>
                <w:bCs w:val="0"/>
                <w:color w:val="000000"/>
                <w:sz w:val="18"/>
                <w:szCs w:val="18"/>
              </w:rPr>
            </w:pPr>
            <w:r w:rsidRPr="002D2F67">
              <w:rPr>
                <w:rFonts w:ascii="Arial" w:hAnsi="Arial" w:cs="Arial"/>
                <w:b w:val="0"/>
                <w:bCs w:val="0"/>
                <w:color w:val="000000"/>
                <w:sz w:val="18"/>
                <w:szCs w:val="18"/>
              </w:rPr>
              <w:t>-</w:t>
            </w:r>
          </w:p>
        </w:tc>
        <w:tc>
          <w:tcPr>
            <w:tcW w:w="1279" w:type="dxa"/>
            <w:shd w:val="clear" w:color="auto" w:fill="auto"/>
            <w:vAlign w:val="bottom"/>
          </w:tcPr>
          <w:p w14:paraId="4F2369FD" w14:textId="10E1CD56" w:rsidR="0049508C" w:rsidRPr="002D2F67" w:rsidRDefault="00C64115" w:rsidP="005611FE">
            <w:pPr>
              <w:tabs>
                <w:tab w:val="left" w:pos="1134"/>
                <w:tab w:val="left" w:pos="1276"/>
                <w:tab w:val="center" w:pos="3402"/>
                <w:tab w:val="center" w:pos="4536"/>
                <w:tab w:val="center" w:pos="5670"/>
                <w:tab w:val="center" w:pos="6804"/>
                <w:tab w:val="right" w:pos="7655"/>
              </w:tabs>
              <w:ind w:right="-72"/>
              <w:jc w:val="right"/>
              <w:rPr>
                <w:rFonts w:ascii="Arial" w:eastAsia="Cordia New" w:hAnsi="Arial" w:cs="Arial"/>
                <w:color w:val="000000"/>
                <w:sz w:val="18"/>
                <w:szCs w:val="18"/>
              </w:rPr>
            </w:pPr>
            <w:r w:rsidRPr="002D2F67">
              <w:rPr>
                <w:rFonts w:ascii="Arial" w:eastAsia="Cordia New" w:hAnsi="Arial" w:cs="Arial"/>
                <w:color w:val="000000"/>
                <w:sz w:val="18"/>
                <w:szCs w:val="18"/>
              </w:rPr>
              <w:t>-</w:t>
            </w:r>
          </w:p>
        </w:tc>
        <w:tc>
          <w:tcPr>
            <w:tcW w:w="1700" w:type="dxa"/>
            <w:shd w:val="clear" w:color="auto" w:fill="auto"/>
            <w:vAlign w:val="bottom"/>
          </w:tcPr>
          <w:p w14:paraId="26CA3DCD" w14:textId="1F18EA1E" w:rsidR="0049508C" w:rsidRPr="002D2F67" w:rsidRDefault="00C64115" w:rsidP="005611FE">
            <w:pPr>
              <w:tabs>
                <w:tab w:val="left" w:pos="1134"/>
                <w:tab w:val="left" w:pos="1276"/>
                <w:tab w:val="center" w:pos="3402"/>
                <w:tab w:val="center" w:pos="4536"/>
                <w:tab w:val="center" w:pos="5670"/>
                <w:tab w:val="center" w:pos="6804"/>
                <w:tab w:val="right" w:pos="7655"/>
              </w:tabs>
              <w:ind w:right="-72"/>
              <w:jc w:val="right"/>
              <w:rPr>
                <w:rFonts w:ascii="Arial" w:eastAsia="Cordia New" w:hAnsi="Arial" w:cs="Arial"/>
                <w:color w:val="000000"/>
                <w:sz w:val="18"/>
                <w:szCs w:val="18"/>
              </w:rPr>
            </w:pPr>
            <w:r w:rsidRPr="002D2F67">
              <w:rPr>
                <w:rFonts w:ascii="Arial" w:eastAsia="Cordia New" w:hAnsi="Arial" w:cs="Arial"/>
                <w:color w:val="000000"/>
                <w:sz w:val="18"/>
                <w:szCs w:val="18"/>
              </w:rPr>
              <w:t>-</w:t>
            </w:r>
          </w:p>
        </w:tc>
        <w:tc>
          <w:tcPr>
            <w:tcW w:w="1175" w:type="dxa"/>
            <w:shd w:val="clear" w:color="auto" w:fill="auto"/>
            <w:vAlign w:val="bottom"/>
          </w:tcPr>
          <w:p w14:paraId="37B19732" w14:textId="2A81B2C1" w:rsidR="0049508C" w:rsidRPr="002D2F67" w:rsidRDefault="00C64115" w:rsidP="005611FE">
            <w:pPr>
              <w:tabs>
                <w:tab w:val="left" w:pos="1134"/>
                <w:tab w:val="left" w:pos="1276"/>
                <w:tab w:val="center" w:pos="3402"/>
                <w:tab w:val="center" w:pos="4536"/>
                <w:tab w:val="center" w:pos="5670"/>
                <w:tab w:val="center" w:pos="6804"/>
                <w:tab w:val="right" w:pos="7655"/>
              </w:tabs>
              <w:ind w:right="-72"/>
              <w:jc w:val="right"/>
              <w:rPr>
                <w:rFonts w:ascii="Arial" w:eastAsia="Cordia New" w:hAnsi="Arial" w:cs="Arial"/>
                <w:color w:val="000000"/>
                <w:sz w:val="18"/>
                <w:szCs w:val="18"/>
              </w:rPr>
            </w:pPr>
            <w:r w:rsidRPr="002D2F67">
              <w:rPr>
                <w:rFonts w:ascii="Arial" w:eastAsia="Cordia New" w:hAnsi="Arial" w:cs="Arial"/>
                <w:color w:val="000000"/>
                <w:sz w:val="18"/>
                <w:szCs w:val="18"/>
              </w:rPr>
              <w:t>-</w:t>
            </w:r>
          </w:p>
        </w:tc>
        <w:tc>
          <w:tcPr>
            <w:tcW w:w="1474" w:type="dxa"/>
            <w:shd w:val="clear" w:color="auto" w:fill="auto"/>
            <w:vAlign w:val="bottom"/>
          </w:tcPr>
          <w:p w14:paraId="2C0CBFD2" w14:textId="4192958F" w:rsidR="0049508C"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Cordia New" w:hAnsi="Arial" w:cs="Arial"/>
                <w:color w:val="000000"/>
                <w:sz w:val="18"/>
                <w:szCs w:val="18"/>
              </w:rPr>
            </w:pPr>
            <w:r w:rsidRPr="00CD5714">
              <w:rPr>
                <w:rFonts w:ascii="Arial" w:eastAsia="Cordia New" w:hAnsi="Arial" w:cs="Arial"/>
                <w:color w:val="000000"/>
                <w:sz w:val="18"/>
                <w:szCs w:val="18"/>
                <w:lang w:val="en-GB"/>
              </w:rPr>
              <w:t>169</w:t>
            </w:r>
            <w:r w:rsidR="002E097E" w:rsidRPr="002D2F67">
              <w:rPr>
                <w:rFonts w:ascii="Arial" w:eastAsia="Cordia New" w:hAnsi="Arial" w:cs="Arial"/>
                <w:color w:val="000000"/>
                <w:sz w:val="18"/>
                <w:szCs w:val="18"/>
              </w:rPr>
              <w:t>,</w:t>
            </w:r>
            <w:r w:rsidRPr="00CD5714">
              <w:rPr>
                <w:rFonts w:ascii="Arial" w:eastAsia="Cordia New" w:hAnsi="Arial" w:cs="Arial"/>
                <w:color w:val="000000"/>
                <w:sz w:val="18"/>
                <w:szCs w:val="18"/>
                <w:lang w:val="en-GB"/>
              </w:rPr>
              <w:t>297</w:t>
            </w:r>
          </w:p>
        </w:tc>
      </w:tr>
      <w:tr w:rsidR="005611FE" w:rsidRPr="002D2F67" w14:paraId="5502F91D" w14:textId="56ECF4D3" w:rsidTr="004F4DED">
        <w:trPr>
          <w:trHeight w:val="19"/>
        </w:trPr>
        <w:tc>
          <w:tcPr>
            <w:tcW w:w="3298" w:type="dxa"/>
            <w:shd w:val="clear" w:color="auto" w:fill="auto"/>
          </w:tcPr>
          <w:p w14:paraId="10459657" w14:textId="1BBF337F" w:rsidR="004F4DED" w:rsidRPr="002D2F67" w:rsidRDefault="00C64115" w:rsidP="005611FE">
            <w:pPr>
              <w:pStyle w:val="Header"/>
              <w:tabs>
                <w:tab w:val="clear" w:pos="4320"/>
                <w:tab w:val="clear" w:pos="8640"/>
              </w:tabs>
              <w:ind w:left="49"/>
              <w:jc w:val="left"/>
              <w:rPr>
                <w:rFonts w:ascii="Arial" w:hAnsi="Arial" w:cs="Arial"/>
                <w:color w:val="000000"/>
                <w:sz w:val="18"/>
                <w:szCs w:val="18"/>
              </w:rPr>
            </w:pPr>
            <w:r w:rsidRPr="002D2F67">
              <w:rPr>
                <w:rFonts w:ascii="Arial" w:hAnsi="Arial" w:cs="Arial"/>
                <w:color w:val="000000"/>
                <w:sz w:val="18"/>
                <w:szCs w:val="18"/>
              </w:rPr>
              <w:t>Decrease</w:t>
            </w:r>
            <w:r w:rsidR="008D2D40" w:rsidRPr="002D2F67">
              <w:rPr>
                <w:rFonts w:ascii="Arial" w:hAnsi="Arial" w:cs="Arial"/>
                <w:color w:val="000000"/>
                <w:sz w:val="18"/>
                <w:szCs w:val="18"/>
              </w:rPr>
              <w:t>d</w:t>
            </w:r>
            <w:r w:rsidRPr="002D2F67">
              <w:rPr>
                <w:rFonts w:ascii="Arial" w:hAnsi="Arial" w:cs="Arial"/>
                <w:color w:val="000000"/>
                <w:sz w:val="18"/>
                <w:szCs w:val="18"/>
              </w:rPr>
              <w:t xml:space="preserve"> from disposal of </w:t>
            </w:r>
          </w:p>
          <w:p w14:paraId="75A0039C" w14:textId="26C0E10E" w:rsidR="0049508C" w:rsidRPr="002D2F67" w:rsidRDefault="004F4DED" w:rsidP="005611FE">
            <w:pPr>
              <w:pStyle w:val="Header"/>
              <w:tabs>
                <w:tab w:val="clear" w:pos="4320"/>
                <w:tab w:val="clear" w:pos="8640"/>
              </w:tabs>
              <w:ind w:left="49"/>
              <w:jc w:val="left"/>
              <w:rPr>
                <w:rFonts w:ascii="Arial" w:hAnsi="Arial" w:cs="Arial"/>
                <w:color w:val="000000"/>
                <w:sz w:val="18"/>
                <w:szCs w:val="18"/>
              </w:rPr>
            </w:pPr>
            <w:r w:rsidRPr="002D2F67">
              <w:rPr>
                <w:rFonts w:ascii="Arial" w:hAnsi="Arial" w:cs="Arial"/>
                <w:color w:val="000000"/>
                <w:sz w:val="18"/>
                <w:szCs w:val="18"/>
              </w:rPr>
              <w:t xml:space="preserve">   </w:t>
            </w:r>
            <w:r w:rsidR="00C64115" w:rsidRPr="002D2F67">
              <w:rPr>
                <w:rFonts w:ascii="Arial" w:hAnsi="Arial" w:cs="Arial"/>
                <w:color w:val="000000"/>
                <w:sz w:val="18"/>
                <w:szCs w:val="18"/>
              </w:rPr>
              <w:t>investment in subsidiaries</w:t>
            </w:r>
          </w:p>
        </w:tc>
        <w:tc>
          <w:tcPr>
            <w:tcW w:w="992" w:type="dxa"/>
            <w:tcBorders>
              <w:bottom w:val="single" w:sz="4" w:space="0" w:color="auto"/>
            </w:tcBorders>
            <w:shd w:val="clear" w:color="auto" w:fill="auto"/>
            <w:vAlign w:val="bottom"/>
          </w:tcPr>
          <w:p w14:paraId="16B77900" w14:textId="0E75325E" w:rsidR="0049508C" w:rsidRPr="002D2F67" w:rsidRDefault="00C64115" w:rsidP="005611FE">
            <w:pPr>
              <w:pStyle w:val="Header"/>
              <w:ind w:right="-72"/>
              <w:jc w:val="right"/>
              <w:rPr>
                <w:rFonts w:ascii="Arial" w:hAnsi="Arial" w:cs="Arial"/>
                <w:color w:val="000000"/>
                <w:sz w:val="18"/>
                <w:szCs w:val="18"/>
              </w:rPr>
            </w:pPr>
            <w:r w:rsidRPr="002D2F67">
              <w:rPr>
                <w:rFonts w:ascii="Arial" w:hAnsi="Arial" w:cs="Arial"/>
                <w:color w:val="000000"/>
                <w:sz w:val="18"/>
                <w:szCs w:val="22"/>
              </w:rPr>
              <w:t>-</w:t>
            </w:r>
          </w:p>
        </w:tc>
        <w:tc>
          <w:tcPr>
            <w:tcW w:w="1465" w:type="dxa"/>
            <w:tcBorders>
              <w:bottom w:val="single" w:sz="4" w:space="0" w:color="auto"/>
            </w:tcBorders>
            <w:shd w:val="clear" w:color="auto" w:fill="auto"/>
            <w:vAlign w:val="bottom"/>
          </w:tcPr>
          <w:p w14:paraId="52FEAAA4" w14:textId="38DBAD58" w:rsidR="0049508C" w:rsidRPr="002D2F67" w:rsidRDefault="00C64115"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p>
        </w:tc>
        <w:tc>
          <w:tcPr>
            <w:tcW w:w="1465" w:type="dxa"/>
            <w:tcBorders>
              <w:bottom w:val="single" w:sz="4" w:space="0" w:color="auto"/>
            </w:tcBorders>
            <w:shd w:val="clear" w:color="auto" w:fill="auto"/>
            <w:vAlign w:val="bottom"/>
          </w:tcPr>
          <w:p w14:paraId="17A9BC42" w14:textId="7F188C13" w:rsidR="0049508C" w:rsidRPr="002D2F67" w:rsidRDefault="00C64115"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p>
        </w:tc>
        <w:tc>
          <w:tcPr>
            <w:tcW w:w="1232" w:type="dxa"/>
            <w:tcBorders>
              <w:bottom w:val="single" w:sz="4" w:space="0" w:color="auto"/>
            </w:tcBorders>
            <w:shd w:val="clear" w:color="auto" w:fill="auto"/>
            <w:vAlign w:val="bottom"/>
          </w:tcPr>
          <w:p w14:paraId="65A7FFD9" w14:textId="48C5BBF8" w:rsidR="0049508C" w:rsidRPr="002D2F67" w:rsidRDefault="00C64115"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p>
        </w:tc>
        <w:tc>
          <w:tcPr>
            <w:tcW w:w="1465" w:type="dxa"/>
            <w:tcBorders>
              <w:bottom w:val="single" w:sz="4" w:space="0" w:color="auto"/>
            </w:tcBorders>
            <w:shd w:val="clear" w:color="auto" w:fill="auto"/>
            <w:vAlign w:val="bottom"/>
          </w:tcPr>
          <w:p w14:paraId="790F19CB" w14:textId="183860EC" w:rsidR="0049508C" w:rsidRPr="002D2F67" w:rsidRDefault="00C64115"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8</w:t>
            </w:r>
            <w:r w:rsidRPr="002D2F67">
              <w:rPr>
                <w:rFonts w:ascii="Arial" w:hAnsi="Arial" w:cs="Arial"/>
                <w:color w:val="000000"/>
                <w:sz w:val="18"/>
                <w:szCs w:val="18"/>
              </w:rPr>
              <w:t>,</w:t>
            </w:r>
            <w:r w:rsidR="00CD5714" w:rsidRPr="00CD5714">
              <w:rPr>
                <w:rFonts w:ascii="Arial" w:hAnsi="Arial" w:cs="Arial"/>
                <w:color w:val="000000"/>
                <w:sz w:val="18"/>
                <w:szCs w:val="18"/>
                <w:lang w:val="en-GB"/>
              </w:rPr>
              <w:t>076</w:t>
            </w:r>
            <w:r w:rsidRPr="002D2F67">
              <w:rPr>
                <w:rFonts w:ascii="Arial" w:hAnsi="Arial" w:cs="Arial"/>
                <w:color w:val="000000"/>
                <w:sz w:val="18"/>
                <w:szCs w:val="18"/>
              </w:rPr>
              <w:t>)</w:t>
            </w:r>
          </w:p>
        </w:tc>
        <w:tc>
          <w:tcPr>
            <w:tcW w:w="1279" w:type="dxa"/>
            <w:tcBorders>
              <w:bottom w:val="single" w:sz="4" w:space="0" w:color="auto"/>
            </w:tcBorders>
            <w:shd w:val="clear" w:color="auto" w:fill="auto"/>
            <w:vAlign w:val="bottom"/>
          </w:tcPr>
          <w:p w14:paraId="535D8B83" w14:textId="659143C5" w:rsidR="0049508C" w:rsidRPr="002D2F67" w:rsidRDefault="00C64115"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2D2F67">
              <w:rPr>
                <w:rFonts w:ascii="Arial" w:hAnsi="Arial" w:cs="Arial"/>
                <w:color w:val="000000"/>
                <w:sz w:val="18"/>
                <w:szCs w:val="18"/>
              </w:rPr>
              <w:t>-</w:t>
            </w:r>
          </w:p>
        </w:tc>
        <w:tc>
          <w:tcPr>
            <w:tcW w:w="1700" w:type="dxa"/>
            <w:tcBorders>
              <w:bottom w:val="single" w:sz="4" w:space="0" w:color="auto"/>
            </w:tcBorders>
            <w:shd w:val="clear" w:color="auto" w:fill="auto"/>
            <w:vAlign w:val="bottom"/>
          </w:tcPr>
          <w:p w14:paraId="03878541" w14:textId="19DA4EC0" w:rsidR="0049508C" w:rsidRPr="002D2F67" w:rsidRDefault="00C64115"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2D2F67">
              <w:rPr>
                <w:rFonts w:ascii="Arial" w:hAnsi="Arial" w:cs="Arial"/>
                <w:color w:val="000000"/>
                <w:sz w:val="18"/>
                <w:szCs w:val="18"/>
              </w:rPr>
              <w:t>-</w:t>
            </w:r>
          </w:p>
        </w:tc>
        <w:tc>
          <w:tcPr>
            <w:tcW w:w="1175" w:type="dxa"/>
            <w:tcBorders>
              <w:bottom w:val="single" w:sz="4" w:space="0" w:color="auto"/>
            </w:tcBorders>
            <w:shd w:val="clear" w:color="auto" w:fill="auto"/>
            <w:vAlign w:val="bottom"/>
          </w:tcPr>
          <w:p w14:paraId="010FC4F1" w14:textId="4CB36DC7" w:rsidR="0049508C" w:rsidRPr="002D2F67" w:rsidRDefault="00C64115"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2D2F67">
              <w:rPr>
                <w:rFonts w:ascii="Arial" w:hAnsi="Arial" w:cs="Arial"/>
                <w:color w:val="000000"/>
                <w:sz w:val="18"/>
                <w:szCs w:val="18"/>
              </w:rPr>
              <w:t>-</w:t>
            </w:r>
          </w:p>
        </w:tc>
        <w:tc>
          <w:tcPr>
            <w:tcW w:w="1474" w:type="dxa"/>
            <w:tcBorders>
              <w:bottom w:val="single" w:sz="4" w:space="0" w:color="auto"/>
            </w:tcBorders>
            <w:shd w:val="clear" w:color="auto" w:fill="auto"/>
            <w:vAlign w:val="bottom"/>
          </w:tcPr>
          <w:p w14:paraId="5B792482" w14:textId="653987FD" w:rsidR="0049508C" w:rsidRPr="002D2F67" w:rsidRDefault="00C64115"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8</w:t>
            </w:r>
            <w:r w:rsidRPr="002D2F67">
              <w:rPr>
                <w:rFonts w:ascii="Arial" w:hAnsi="Arial" w:cs="Arial"/>
                <w:color w:val="000000"/>
                <w:sz w:val="18"/>
                <w:szCs w:val="18"/>
              </w:rPr>
              <w:t>,</w:t>
            </w:r>
            <w:r w:rsidR="00CD5714" w:rsidRPr="00CD5714">
              <w:rPr>
                <w:rFonts w:ascii="Arial" w:hAnsi="Arial" w:cs="Arial"/>
                <w:color w:val="000000"/>
                <w:sz w:val="18"/>
                <w:szCs w:val="18"/>
                <w:lang w:val="en-GB"/>
              </w:rPr>
              <w:t>076</w:t>
            </w:r>
            <w:r w:rsidRPr="002D2F67">
              <w:rPr>
                <w:rFonts w:ascii="Arial" w:hAnsi="Arial" w:cs="Arial"/>
                <w:color w:val="000000"/>
                <w:sz w:val="18"/>
                <w:szCs w:val="18"/>
              </w:rPr>
              <w:t>)</w:t>
            </w:r>
          </w:p>
        </w:tc>
      </w:tr>
      <w:tr w:rsidR="004F4DED" w:rsidRPr="002D2F67" w14:paraId="7AA08A35" w14:textId="77777777" w:rsidTr="004F4DED">
        <w:trPr>
          <w:trHeight w:val="19"/>
        </w:trPr>
        <w:tc>
          <w:tcPr>
            <w:tcW w:w="3298" w:type="dxa"/>
            <w:shd w:val="clear" w:color="auto" w:fill="auto"/>
          </w:tcPr>
          <w:p w14:paraId="2A06A148" w14:textId="77777777" w:rsidR="004F4DED" w:rsidRPr="002D2F67" w:rsidRDefault="004F4DED" w:rsidP="005611FE">
            <w:pPr>
              <w:pStyle w:val="Header"/>
              <w:tabs>
                <w:tab w:val="clear" w:pos="4320"/>
                <w:tab w:val="clear" w:pos="8640"/>
              </w:tabs>
              <w:ind w:left="49"/>
              <w:jc w:val="left"/>
              <w:rPr>
                <w:rFonts w:ascii="Arial" w:hAnsi="Arial" w:cs="Arial"/>
                <w:color w:val="000000"/>
                <w:sz w:val="18"/>
                <w:szCs w:val="18"/>
              </w:rPr>
            </w:pPr>
          </w:p>
        </w:tc>
        <w:tc>
          <w:tcPr>
            <w:tcW w:w="992" w:type="dxa"/>
            <w:tcBorders>
              <w:top w:val="single" w:sz="4" w:space="0" w:color="auto"/>
            </w:tcBorders>
            <w:shd w:val="clear" w:color="auto" w:fill="auto"/>
            <w:vAlign w:val="bottom"/>
          </w:tcPr>
          <w:p w14:paraId="5B661D8C" w14:textId="77777777" w:rsidR="004F4DED" w:rsidRPr="002D2F67" w:rsidRDefault="004F4DED" w:rsidP="005611FE">
            <w:pPr>
              <w:pStyle w:val="Header"/>
              <w:ind w:right="-72"/>
              <w:jc w:val="right"/>
              <w:rPr>
                <w:rFonts w:ascii="Arial" w:hAnsi="Arial" w:cs="Arial"/>
                <w:color w:val="000000"/>
                <w:sz w:val="18"/>
                <w:szCs w:val="22"/>
              </w:rPr>
            </w:pPr>
          </w:p>
        </w:tc>
        <w:tc>
          <w:tcPr>
            <w:tcW w:w="1465" w:type="dxa"/>
            <w:tcBorders>
              <w:top w:val="single" w:sz="4" w:space="0" w:color="auto"/>
            </w:tcBorders>
            <w:shd w:val="clear" w:color="auto" w:fill="auto"/>
            <w:vAlign w:val="bottom"/>
          </w:tcPr>
          <w:p w14:paraId="77886E41" w14:textId="77777777" w:rsidR="004F4DED" w:rsidRPr="002D2F67" w:rsidRDefault="004F4DED" w:rsidP="005611FE">
            <w:pPr>
              <w:pStyle w:val="Header"/>
              <w:ind w:right="-72"/>
              <w:jc w:val="right"/>
              <w:rPr>
                <w:rFonts w:ascii="Arial" w:hAnsi="Arial" w:cs="Arial"/>
                <w:color w:val="000000"/>
                <w:sz w:val="18"/>
                <w:szCs w:val="18"/>
              </w:rPr>
            </w:pPr>
          </w:p>
        </w:tc>
        <w:tc>
          <w:tcPr>
            <w:tcW w:w="1465" w:type="dxa"/>
            <w:tcBorders>
              <w:top w:val="single" w:sz="4" w:space="0" w:color="auto"/>
            </w:tcBorders>
            <w:shd w:val="clear" w:color="auto" w:fill="auto"/>
            <w:vAlign w:val="bottom"/>
          </w:tcPr>
          <w:p w14:paraId="47FAB11E" w14:textId="77777777" w:rsidR="004F4DED" w:rsidRPr="002D2F67" w:rsidRDefault="004F4DED" w:rsidP="005611FE">
            <w:pPr>
              <w:pStyle w:val="Header"/>
              <w:ind w:right="-72"/>
              <w:jc w:val="right"/>
              <w:rPr>
                <w:rFonts w:ascii="Arial" w:hAnsi="Arial" w:cs="Arial"/>
                <w:color w:val="000000"/>
                <w:sz w:val="18"/>
                <w:szCs w:val="18"/>
              </w:rPr>
            </w:pPr>
          </w:p>
        </w:tc>
        <w:tc>
          <w:tcPr>
            <w:tcW w:w="1232" w:type="dxa"/>
            <w:tcBorders>
              <w:top w:val="single" w:sz="4" w:space="0" w:color="auto"/>
            </w:tcBorders>
            <w:shd w:val="clear" w:color="auto" w:fill="auto"/>
            <w:vAlign w:val="bottom"/>
          </w:tcPr>
          <w:p w14:paraId="7769AF53" w14:textId="77777777" w:rsidR="004F4DED" w:rsidRPr="002D2F67" w:rsidRDefault="004F4DED" w:rsidP="005611FE">
            <w:pPr>
              <w:pStyle w:val="Header"/>
              <w:ind w:right="-72"/>
              <w:jc w:val="right"/>
              <w:rPr>
                <w:rFonts w:ascii="Arial" w:hAnsi="Arial" w:cs="Arial"/>
                <w:color w:val="000000"/>
                <w:sz w:val="18"/>
                <w:szCs w:val="18"/>
              </w:rPr>
            </w:pPr>
          </w:p>
        </w:tc>
        <w:tc>
          <w:tcPr>
            <w:tcW w:w="1465" w:type="dxa"/>
            <w:tcBorders>
              <w:top w:val="single" w:sz="4" w:space="0" w:color="auto"/>
            </w:tcBorders>
            <w:shd w:val="clear" w:color="auto" w:fill="auto"/>
            <w:vAlign w:val="bottom"/>
          </w:tcPr>
          <w:p w14:paraId="2C7804C8" w14:textId="77777777" w:rsidR="004F4DED" w:rsidRPr="002D2F67" w:rsidRDefault="004F4DED" w:rsidP="005611FE">
            <w:pPr>
              <w:pStyle w:val="Header"/>
              <w:ind w:right="-72"/>
              <w:jc w:val="right"/>
              <w:rPr>
                <w:rFonts w:ascii="Arial" w:hAnsi="Arial" w:cs="Arial"/>
                <w:color w:val="000000"/>
                <w:sz w:val="18"/>
                <w:szCs w:val="18"/>
              </w:rPr>
            </w:pPr>
          </w:p>
        </w:tc>
        <w:tc>
          <w:tcPr>
            <w:tcW w:w="1279" w:type="dxa"/>
            <w:tcBorders>
              <w:top w:val="single" w:sz="4" w:space="0" w:color="auto"/>
            </w:tcBorders>
            <w:shd w:val="clear" w:color="auto" w:fill="auto"/>
            <w:vAlign w:val="bottom"/>
          </w:tcPr>
          <w:p w14:paraId="135C296D" w14:textId="77777777" w:rsidR="004F4DED" w:rsidRPr="002D2F67" w:rsidRDefault="004F4DED"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700" w:type="dxa"/>
            <w:tcBorders>
              <w:top w:val="single" w:sz="4" w:space="0" w:color="auto"/>
            </w:tcBorders>
            <w:shd w:val="clear" w:color="auto" w:fill="auto"/>
            <w:vAlign w:val="bottom"/>
          </w:tcPr>
          <w:p w14:paraId="51ADF9FC" w14:textId="77777777" w:rsidR="004F4DED" w:rsidRPr="002D2F67" w:rsidRDefault="004F4DED"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175" w:type="dxa"/>
            <w:tcBorders>
              <w:top w:val="single" w:sz="4" w:space="0" w:color="auto"/>
            </w:tcBorders>
            <w:shd w:val="clear" w:color="auto" w:fill="auto"/>
            <w:vAlign w:val="bottom"/>
          </w:tcPr>
          <w:p w14:paraId="1A5C2C04" w14:textId="77777777" w:rsidR="004F4DED" w:rsidRPr="002D2F67" w:rsidRDefault="004F4DED"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74" w:type="dxa"/>
            <w:tcBorders>
              <w:top w:val="single" w:sz="4" w:space="0" w:color="auto"/>
            </w:tcBorders>
            <w:shd w:val="clear" w:color="auto" w:fill="auto"/>
            <w:vAlign w:val="bottom"/>
          </w:tcPr>
          <w:p w14:paraId="5D114568" w14:textId="77777777" w:rsidR="004F4DED" w:rsidRPr="002D2F67" w:rsidRDefault="004F4DED"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r>
      <w:tr w:rsidR="0049508C" w:rsidRPr="002D2F67" w14:paraId="7BD1F143" w14:textId="77777777" w:rsidTr="004F4DED">
        <w:trPr>
          <w:trHeight w:val="19"/>
        </w:trPr>
        <w:tc>
          <w:tcPr>
            <w:tcW w:w="3298" w:type="dxa"/>
            <w:shd w:val="clear" w:color="auto" w:fill="auto"/>
          </w:tcPr>
          <w:p w14:paraId="6EA2F462" w14:textId="3B4AAC4E" w:rsidR="0049508C" w:rsidRPr="002D2F67" w:rsidRDefault="0049508C" w:rsidP="005611FE">
            <w:pPr>
              <w:pStyle w:val="Header"/>
              <w:tabs>
                <w:tab w:val="clear" w:pos="4320"/>
                <w:tab w:val="clear" w:pos="8640"/>
              </w:tabs>
              <w:ind w:left="49"/>
              <w:jc w:val="left"/>
              <w:rPr>
                <w:rFonts w:ascii="Arial" w:hAnsi="Arial" w:cs="Arial"/>
                <w:color w:val="000000"/>
                <w:sz w:val="18"/>
                <w:szCs w:val="18"/>
              </w:rPr>
            </w:pPr>
            <w:r w:rsidRPr="002D2F67">
              <w:rPr>
                <w:rFonts w:ascii="Arial" w:hAnsi="Arial" w:cs="Arial"/>
                <w:color w:val="000000"/>
                <w:sz w:val="18"/>
                <w:szCs w:val="18"/>
              </w:rPr>
              <w:t xml:space="preserve">As </w:t>
            </w:r>
            <w:proofErr w:type="gramStart"/>
            <w:r w:rsidRPr="002D2F67">
              <w:rPr>
                <w:rFonts w:ascii="Arial" w:hAnsi="Arial" w:cs="Arial"/>
                <w:color w:val="000000"/>
                <w:sz w:val="18"/>
                <w:szCs w:val="18"/>
              </w:rPr>
              <w:t>at</w:t>
            </w:r>
            <w:proofErr w:type="gramEnd"/>
            <w:r w:rsidRPr="002D2F67">
              <w:rPr>
                <w:rFonts w:ascii="Arial" w:hAnsi="Arial" w:cs="Arial"/>
                <w:color w:val="000000"/>
                <w:sz w:val="18"/>
                <w:szCs w:val="18"/>
              </w:rPr>
              <w:t xml:space="preserve"> </w:t>
            </w:r>
            <w:r w:rsidR="00CD5714" w:rsidRPr="00CD5714">
              <w:rPr>
                <w:rFonts w:ascii="Arial" w:hAnsi="Arial" w:cs="Arial"/>
                <w:color w:val="000000"/>
                <w:sz w:val="18"/>
                <w:szCs w:val="18"/>
                <w:lang w:val="en-GB"/>
              </w:rPr>
              <w:t>31</w:t>
            </w:r>
            <w:r w:rsidRPr="002D2F67">
              <w:rPr>
                <w:rFonts w:ascii="Arial" w:hAnsi="Arial" w:cs="Arial"/>
                <w:color w:val="000000"/>
                <w:sz w:val="18"/>
                <w:szCs w:val="18"/>
              </w:rPr>
              <w:t xml:space="preserve"> December </w:t>
            </w:r>
            <w:r w:rsidR="00CD5714" w:rsidRPr="00CD5714">
              <w:rPr>
                <w:rFonts w:ascii="Arial" w:hAnsi="Arial" w:cs="Arial"/>
                <w:color w:val="000000"/>
                <w:sz w:val="18"/>
                <w:szCs w:val="18"/>
                <w:lang w:val="en-GB"/>
              </w:rPr>
              <w:t>2024</w:t>
            </w:r>
          </w:p>
        </w:tc>
        <w:tc>
          <w:tcPr>
            <w:tcW w:w="992" w:type="dxa"/>
            <w:tcBorders>
              <w:bottom w:val="single" w:sz="4" w:space="0" w:color="auto"/>
            </w:tcBorders>
            <w:shd w:val="clear" w:color="auto" w:fill="auto"/>
            <w:vAlign w:val="bottom"/>
          </w:tcPr>
          <w:p w14:paraId="7C86347B" w14:textId="411A05AF" w:rsidR="0049508C" w:rsidRPr="002D2F67" w:rsidRDefault="00C64115"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p>
        </w:tc>
        <w:tc>
          <w:tcPr>
            <w:tcW w:w="1465" w:type="dxa"/>
            <w:tcBorders>
              <w:bottom w:val="single" w:sz="4" w:space="0" w:color="auto"/>
            </w:tcBorders>
            <w:shd w:val="clear" w:color="auto" w:fill="auto"/>
          </w:tcPr>
          <w:p w14:paraId="43984DA4" w14:textId="09642601"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307</w:t>
            </w:r>
          </w:p>
        </w:tc>
        <w:tc>
          <w:tcPr>
            <w:tcW w:w="1465" w:type="dxa"/>
            <w:tcBorders>
              <w:bottom w:val="single" w:sz="4" w:space="0" w:color="auto"/>
            </w:tcBorders>
            <w:shd w:val="clear" w:color="auto" w:fill="auto"/>
            <w:vAlign w:val="bottom"/>
          </w:tcPr>
          <w:p w14:paraId="44E76944" w14:textId="6D23F4D6"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182</w:t>
            </w:r>
            <w:r w:rsidR="002E097E" w:rsidRPr="002D2F67">
              <w:rPr>
                <w:rFonts w:ascii="Arial" w:hAnsi="Arial" w:cs="Arial"/>
                <w:color w:val="000000"/>
                <w:sz w:val="18"/>
                <w:szCs w:val="18"/>
              </w:rPr>
              <w:t>,</w:t>
            </w:r>
            <w:r w:rsidRPr="00CD5714">
              <w:rPr>
                <w:rFonts w:ascii="Arial" w:hAnsi="Arial" w:cs="Arial"/>
                <w:color w:val="000000"/>
                <w:sz w:val="18"/>
                <w:szCs w:val="18"/>
                <w:lang w:val="en-GB"/>
              </w:rPr>
              <w:t>197</w:t>
            </w:r>
          </w:p>
        </w:tc>
        <w:tc>
          <w:tcPr>
            <w:tcW w:w="1232" w:type="dxa"/>
            <w:tcBorders>
              <w:bottom w:val="single" w:sz="4" w:space="0" w:color="auto"/>
            </w:tcBorders>
            <w:shd w:val="clear" w:color="auto" w:fill="auto"/>
            <w:vAlign w:val="bottom"/>
          </w:tcPr>
          <w:p w14:paraId="7CBE23A0" w14:textId="7097D790"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8</w:t>
            </w:r>
            <w:r w:rsidR="002E097E" w:rsidRPr="002D2F67">
              <w:rPr>
                <w:rFonts w:ascii="Arial" w:hAnsi="Arial" w:cs="Arial"/>
                <w:color w:val="000000"/>
                <w:sz w:val="18"/>
                <w:szCs w:val="18"/>
              </w:rPr>
              <w:t>,</w:t>
            </w:r>
            <w:r w:rsidRPr="00CD5714">
              <w:rPr>
                <w:rFonts w:ascii="Arial" w:hAnsi="Arial" w:cs="Arial"/>
                <w:color w:val="000000"/>
                <w:sz w:val="18"/>
                <w:szCs w:val="18"/>
                <w:lang w:val="en-GB"/>
              </w:rPr>
              <w:t>359</w:t>
            </w:r>
          </w:p>
        </w:tc>
        <w:tc>
          <w:tcPr>
            <w:tcW w:w="1465" w:type="dxa"/>
            <w:tcBorders>
              <w:bottom w:val="single" w:sz="4" w:space="0" w:color="auto"/>
            </w:tcBorders>
            <w:shd w:val="clear" w:color="auto" w:fill="auto"/>
            <w:vAlign w:val="bottom"/>
          </w:tcPr>
          <w:p w14:paraId="2569ADBC" w14:textId="17B760EC"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24</w:t>
            </w:r>
            <w:r w:rsidR="00C64115" w:rsidRPr="002D2F67">
              <w:rPr>
                <w:rFonts w:ascii="Arial" w:hAnsi="Arial" w:cs="Arial"/>
                <w:color w:val="000000"/>
                <w:sz w:val="18"/>
                <w:szCs w:val="18"/>
              </w:rPr>
              <w:t>,</w:t>
            </w:r>
            <w:r w:rsidRPr="00CD5714">
              <w:rPr>
                <w:rFonts w:ascii="Arial" w:hAnsi="Arial" w:cs="Arial"/>
                <w:color w:val="000000"/>
                <w:sz w:val="18"/>
                <w:szCs w:val="18"/>
                <w:lang w:val="en-GB"/>
              </w:rPr>
              <w:t>745</w:t>
            </w:r>
          </w:p>
        </w:tc>
        <w:tc>
          <w:tcPr>
            <w:tcW w:w="1279" w:type="dxa"/>
            <w:tcBorders>
              <w:bottom w:val="single" w:sz="4" w:space="0" w:color="auto"/>
            </w:tcBorders>
            <w:shd w:val="clear" w:color="auto" w:fill="auto"/>
            <w:vAlign w:val="bottom"/>
          </w:tcPr>
          <w:p w14:paraId="623ABB78" w14:textId="7F0BF5C5" w:rsidR="0049508C"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Cordia New" w:hAnsi="Arial" w:cs="Arial"/>
                <w:color w:val="000000"/>
                <w:sz w:val="18"/>
                <w:szCs w:val="18"/>
              </w:rPr>
            </w:pPr>
            <w:r w:rsidRPr="00CD5714">
              <w:rPr>
                <w:rFonts w:ascii="Arial" w:eastAsia="Cordia New" w:hAnsi="Arial" w:cs="Arial"/>
                <w:color w:val="000000"/>
                <w:sz w:val="18"/>
                <w:szCs w:val="18"/>
                <w:lang w:val="en-GB"/>
              </w:rPr>
              <w:t>69</w:t>
            </w:r>
          </w:p>
        </w:tc>
        <w:tc>
          <w:tcPr>
            <w:tcW w:w="1700" w:type="dxa"/>
            <w:tcBorders>
              <w:bottom w:val="single" w:sz="4" w:space="0" w:color="auto"/>
            </w:tcBorders>
            <w:shd w:val="clear" w:color="auto" w:fill="auto"/>
            <w:vAlign w:val="bottom"/>
          </w:tcPr>
          <w:p w14:paraId="0BFAB267" w14:textId="562A13B6" w:rsidR="0049508C"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Cordia New" w:hAnsi="Arial" w:cs="Arial"/>
                <w:color w:val="000000"/>
                <w:sz w:val="18"/>
                <w:szCs w:val="18"/>
              </w:rPr>
            </w:pPr>
            <w:r w:rsidRPr="00CD5714">
              <w:rPr>
                <w:rFonts w:ascii="Arial" w:eastAsia="Cordia New" w:hAnsi="Arial" w:cs="Arial"/>
                <w:color w:val="000000"/>
                <w:sz w:val="18"/>
                <w:szCs w:val="18"/>
                <w:lang w:val="en-GB"/>
              </w:rPr>
              <w:t>163</w:t>
            </w:r>
            <w:r w:rsidR="00C64115" w:rsidRPr="002D2F67">
              <w:rPr>
                <w:rFonts w:ascii="Arial" w:eastAsia="Cordia New" w:hAnsi="Arial" w:cs="Arial"/>
                <w:color w:val="000000"/>
                <w:sz w:val="18"/>
                <w:szCs w:val="18"/>
              </w:rPr>
              <w:t>,</w:t>
            </w:r>
            <w:r w:rsidRPr="00CD5714">
              <w:rPr>
                <w:rFonts w:ascii="Arial" w:eastAsia="Cordia New" w:hAnsi="Arial" w:cs="Arial"/>
                <w:color w:val="000000"/>
                <w:sz w:val="18"/>
                <w:szCs w:val="18"/>
                <w:lang w:val="en-GB"/>
              </w:rPr>
              <w:t>815</w:t>
            </w:r>
          </w:p>
        </w:tc>
        <w:tc>
          <w:tcPr>
            <w:tcW w:w="1175" w:type="dxa"/>
            <w:tcBorders>
              <w:bottom w:val="single" w:sz="4" w:space="0" w:color="auto"/>
            </w:tcBorders>
            <w:shd w:val="clear" w:color="auto" w:fill="auto"/>
            <w:vAlign w:val="bottom"/>
          </w:tcPr>
          <w:p w14:paraId="2B9ACEC5" w14:textId="25324CD6" w:rsidR="0049508C"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Cordia New" w:hAnsi="Arial" w:cs="Arial"/>
                <w:color w:val="000000"/>
                <w:sz w:val="18"/>
                <w:szCs w:val="18"/>
              </w:rPr>
            </w:pPr>
            <w:r w:rsidRPr="00CD5714">
              <w:rPr>
                <w:rFonts w:ascii="Arial" w:eastAsia="Cordia New" w:hAnsi="Arial" w:cs="Arial"/>
                <w:color w:val="000000"/>
                <w:sz w:val="18"/>
                <w:szCs w:val="18"/>
                <w:lang w:val="en-GB"/>
              </w:rPr>
              <w:t>309</w:t>
            </w:r>
            <w:r w:rsidR="002E097E" w:rsidRPr="002D2F67">
              <w:rPr>
                <w:rFonts w:ascii="Arial" w:eastAsia="Cordia New" w:hAnsi="Arial" w:cs="Arial"/>
                <w:color w:val="000000"/>
                <w:sz w:val="18"/>
                <w:szCs w:val="18"/>
              </w:rPr>
              <w:t>,</w:t>
            </w:r>
            <w:r w:rsidRPr="00CD5714">
              <w:rPr>
                <w:rFonts w:ascii="Arial" w:eastAsia="Cordia New" w:hAnsi="Arial" w:cs="Arial"/>
                <w:color w:val="000000"/>
                <w:sz w:val="18"/>
                <w:szCs w:val="18"/>
                <w:lang w:val="en-GB"/>
              </w:rPr>
              <w:t>717</w:t>
            </w:r>
          </w:p>
        </w:tc>
        <w:tc>
          <w:tcPr>
            <w:tcW w:w="1474" w:type="dxa"/>
            <w:tcBorders>
              <w:bottom w:val="single" w:sz="4" w:space="0" w:color="auto"/>
            </w:tcBorders>
            <w:shd w:val="clear" w:color="auto" w:fill="auto"/>
            <w:vAlign w:val="bottom"/>
          </w:tcPr>
          <w:p w14:paraId="6CFB329F" w14:textId="62835DA8" w:rsidR="0049508C"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eastAsia="Cordia New" w:hAnsi="Arial" w:cs="Arial"/>
                <w:color w:val="000000"/>
                <w:sz w:val="18"/>
                <w:szCs w:val="18"/>
              </w:rPr>
            </w:pPr>
            <w:r w:rsidRPr="00CD5714">
              <w:rPr>
                <w:rFonts w:ascii="Arial" w:eastAsia="Cordia New" w:hAnsi="Arial" w:cs="Arial"/>
                <w:color w:val="000000"/>
                <w:sz w:val="18"/>
                <w:szCs w:val="18"/>
                <w:lang w:val="en-GB"/>
              </w:rPr>
              <w:t>689</w:t>
            </w:r>
            <w:r w:rsidR="002E097E" w:rsidRPr="002D2F67">
              <w:rPr>
                <w:rFonts w:ascii="Arial" w:eastAsia="Cordia New" w:hAnsi="Arial" w:cs="Arial"/>
                <w:color w:val="000000"/>
                <w:sz w:val="18"/>
                <w:szCs w:val="18"/>
              </w:rPr>
              <w:t>,</w:t>
            </w:r>
            <w:r w:rsidRPr="00CD5714">
              <w:rPr>
                <w:rFonts w:ascii="Arial" w:eastAsia="Cordia New" w:hAnsi="Arial" w:cs="Arial"/>
                <w:color w:val="000000"/>
                <w:sz w:val="18"/>
                <w:szCs w:val="18"/>
                <w:lang w:val="en-GB"/>
              </w:rPr>
              <w:t>209</w:t>
            </w:r>
          </w:p>
        </w:tc>
      </w:tr>
    </w:tbl>
    <w:p w14:paraId="73F47B73" w14:textId="77777777" w:rsidR="00B4267B" w:rsidRPr="002D2F67" w:rsidRDefault="00B4267B" w:rsidP="005611FE">
      <w:pPr>
        <w:jc w:val="both"/>
        <w:rPr>
          <w:rFonts w:ascii="Arial" w:hAnsi="Arial" w:cs="Arial"/>
          <w:snapToGrid w:val="0"/>
          <w:color w:val="000000"/>
          <w:sz w:val="16"/>
          <w:szCs w:val="16"/>
          <w:lang w:eastAsia="th-TH"/>
        </w:rPr>
      </w:pPr>
    </w:p>
    <w:p w14:paraId="0530E36A" w14:textId="77777777" w:rsidR="00B4267B" w:rsidRPr="002D2F67" w:rsidRDefault="00B4267B" w:rsidP="005611FE">
      <w:pPr>
        <w:jc w:val="both"/>
        <w:rPr>
          <w:rFonts w:ascii="Arial" w:hAnsi="Arial" w:cs="Arial"/>
          <w:snapToGrid w:val="0"/>
          <w:color w:val="000000"/>
          <w:sz w:val="16"/>
          <w:szCs w:val="16"/>
          <w:lang w:eastAsia="th-TH"/>
        </w:rPr>
      </w:pPr>
    </w:p>
    <w:p w14:paraId="3F911E11" w14:textId="77777777" w:rsidR="00B4267B" w:rsidRPr="002D2F67" w:rsidRDefault="00B4267B" w:rsidP="005611FE">
      <w:pPr>
        <w:jc w:val="both"/>
        <w:rPr>
          <w:rFonts w:ascii="Arial" w:hAnsi="Arial" w:cs="Arial"/>
          <w:b/>
          <w:bCs/>
          <w:color w:val="000000"/>
          <w:sz w:val="20"/>
          <w:szCs w:val="20"/>
        </w:rPr>
        <w:sectPr w:rsidR="00B4267B" w:rsidRPr="002D2F67" w:rsidSect="00D95497">
          <w:pgSz w:w="16838" w:h="11906" w:orient="landscape" w:code="9"/>
          <w:pgMar w:top="1440" w:right="720" w:bottom="720" w:left="720" w:header="706" w:footer="706" w:gutter="0"/>
          <w:cols w:space="720"/>
          <w:docGrid w:linePitch="326"/>
        </w:sectPr>
      </w:pPr>
    </w:p>
    <w:p w14:paraId="3D3B53BC" w14:textId="77777777" w:rsidR="00B4267B" w:rsidRPr="002D2F67" w:rsidRDefault="00B4267B" w:rsidP="005611FE">
      <w:pPr>
        <w:jc w:val="both"/>
        <w:rPr>
          <w:rFonts w:ascii="Arial" w:hAnsi="Arial" w:cs="Arial"/>
          <w:snapToGrid w:val="0"/>
          <w:color w:val="000000"/>
          <w:sz w:val="20"/>
          <w:szCs w:val="20"/>
          <w:lang w:eastAsia="th-TH"/>
        </w:rPr>
      </w:pPr>
    </w:p>
    <w:tbl>
      <w:tblPr>
        <w:tblW w:w="15551" w:type="dxa"/>
        <w:tblInd w:w="-34" w:type="dxa"/>
        <w:tblLayout w:type="fixed"/>
        <w:tblLook w:val="0000" w:firstRow="0" w:lastRow="0" w:firstColumn="0" w:lastColumn="0" w:noHBand="0" w:noVBand="0"/>
      </w:tblPr>
      <w:tblGrid>
        <w:gridCol w:w="6889"/>
        <w:gridCol w:w="1197"/>
        <w:gridCol w:w="1198"/>
        <w:gridCol w:w="1477"/>
        <w:gridCol w:w="1241"/>
        <w:gridCol w:w="1196"/>
        <w:gridCol w:w="1196"/>
        <w:gridCol w:w="1157"/>
      </w:tblGrid>
      <w:tr w:rsidR="0078298F" w:rsidRPr="002D2F67" w14:paraId="46D0DBD3" w14:textId="77777777" w:rsidTr="0029681C">
        <w:tc>
          <w:tcPr>
            <w:tcW w:w="6889" w:type="dxa"/>
            <w:shd w:val="clear" w:color="auto" w:fill="auto"/>
          </w:tcPr>
          <w:p w14:paraId="517232B9" w14:textId="77777777" w:rsidR="0078298F" w:rsidRPr="002D2F67" w:rsidRDefault="0078298F" w:rsidP="005611FE">
            <w:pPr>
              <w:ind w:left="31"/>
              <w:rPr>
                <w:rFonts w:ascii="Arial" w:hAnsi="Arial" w:cs="Arial"/>
                <w:b/>
                <w:bCs/>
                <w:color w:val="000000"/>
                <w:sz w:val="18"/>
                <w:szCs w:val="18"/>
              </w:rPr>
            </w:pPr>
          </w:p>
        </w:tc>
        <w:tc>
          <w:tcPr>
            <w:tcW w:w="8661" w:type="dxa"/>
            <w:gridSpan w:val="7"/>
            <w:shd w:val="clear" w:color="auto" w:fill="auto"/>
            <w:vAlign w:val="bottom"/>
          </w:tcPr>
          <w:p w14:paraId="27AA2EC4" w14:textId="14A9E497" w:rsidR="0078298F" w:rsidRPr="002D2F67" w:rsidRDefault="0078298F" w:rsidP="005611FE">
            <w:pPr>
              <w:ind w:right="-72"/>
              <w:jc w:val="right"/>
              <w:rPr>
                <w:rFonts w:ascii="Arial" w:hAnsi="Arial" w:cs="Arial"/>
                <w:b/>
                <w:bCs/>
                <w:color w:val="000000"/>
                <w:sz w:val="18"/>
                <w:szCs w:val="18"/>
              </w:rPr>
            </w:pPr>
            <w:r w:rsidRPr="002D2F67">
              <w:rPr>
                <w:rFonts w:ascii="Arial" w:hAnsi="Arial" w:cs="Arial"/>
                <w:b/>
                <w:bCs/>
                <w:color w:val="000000"/>
                <w:sz w:val="18"/>
                <w:szCs w:val="18"/>
              </w:rPr>
              <w:t>Consolidated financial statements</w:t>
            </w:r>
          </w:p>
        </w:tc>
      </w:tr>
      <w:tr w:rsidR="003654F1" w:rsidRPr="002D2F67" w14:paraId="5ADE539B" w14:textId="77777777" w:rsidTr="0029681C">
        <w:tc>
          <w:tcPr>
            <w:tcW w:w="6889" w:type="dxa"/>
            <w:shd w:val="clear" w:color="auto" w:fill="auto"/>
          </w:tcPr>
          <w:p w14:paraId="0689A0F9" w14:textId="77777777" w:rsidR="008E03C9" w:rsidRPr="002D2F67" w:rsidRDefault="008E03C9" w:rsidP="005611FE">
            <w:pPr>
              <w:ind w:left="31"/>
              <w:rPr>
                <w:rFonts w:ascii="Arial" w:hAnsi="Arial" w:cs="Arial"/>
                <w:b/>
                <w:bCs/>
                <w:color w:val="000000"/>
                <w:sz w:val="18"/>
                <w:szCs w:val="18"/>
              </w:rPr>
            </w:pPr>
          </w:p>
        </w:tc>
        <w:tc>
          <w:tcPr>
            <w:tcW w:w="1197" w:type="dxa"/>
            <w:tcBorders>
              <w:top w:val="single" w:sz="4" w:space="0" w:color="auto"/>
            </w:tcBorders>
            <w:shd w:val="clear" w:color="auto" w:fill="auto"/>
            <w:vAlign w:val="bottom"/>
          </w:tcPr>
          <w:p w14:paraId="68F13012" w14:textId="77777777" w:rsidR="008E03C9" w:rsidRPr="002D2F67" w:rsidRDefault="008E03C9" w:rsidP="005611FE">
            <w:pPr>
              <w:ind w:right="-72"/>
              <w:jc w:val="right"/>
              <w:rPr>
                <w:rFonts w:ascii="Arial" w:hAnsi="Arial" w:cs="Arial"/>
                <w:b/>
                <w:bCs/>
                <w:color w:val="000000"/>
                <w:sz w:val="18"/>
                <w:szCs w:val="18"/>
                <w:cs/>
              </w:rPr>
            </w:pPr>
            <w:r w:rsidRPr="002D2F67">
              <w:rPr>
                <w:rFonts w:ascii="Arial" w:hAnsi="Arial" w:cs="Arial"/>
                <w:b/>
                <w:bCs/>
                <w:color w:val="000000"/>
                <w:sz w:val="18"/>
                <w:szCs w:val="18"/>
              </w:rPr>
              <w:t xml:space="preserve">Patents  </w:t>
            </w:r>
          </w:p>
        </w:tc>
        <w:tc>
          <w:tcPr>
            <w:tcW w:w="1198" w:type="dxa"/>
            <w:tcBorders>
              <w:top w:val="single" w:sz="4" w:space="0" w:color="auto"/>
            </w:tcBorders>
            <w:shd w:val="clear" w:color="auto" w:fill="auto"/>
            <w:vAlign w:val="bottom"/>
          </w:tcPr>
          <w:p w14:paraId="07CE048D" w14:textId="77777777" w:rsidR="008E03C9" w:rsidRPr="002D2F67" w:rsidRDefault="008E03C9" w:rsidP="005611FE">
            <w:pPr>
              <w:ind w:right="-72"/>
              <w:jc w:val="right"/>
              <w:rPr>
                <w:rFonts w:ascii="Arial" w:hAnsi="Arial" w:cs="Arial"/>
                <w:b/>
                <w:bCs/>
                <w:color w:val="000000"/>
                <w:sz w:val="18"/>
                <w:szCs w:val="18"/>
              </w:rPr>
            </w:pPr>
            <w:r w:rsidRPr="002D2F67">
              <w:rPr>
                <w:rFonts w:ascii="Arial" w:hAnsi="Arial" w:cs="Arial"/>
                <w:b/>
                <w:bCs/>
                <w:color w:val="000000"/>
                <w:sz w:val="18"/>
                <w:szCs w:val="18"/>
              </w:rPr>
              <w:t>Brand</w:t>
            </w:r>
          </w:p>
        </w:tc>
        <w:tc>
          <w:tcPr>
            <w:tcW w:w="1477" w:type="dxa"/>
            <w:tcBorders>
              <w:top w:val="single" w:sz="4" w:space="0" w:color="auto"/>
            </w:tcBorders>
            <w:shd w:val="clear" w:color="auto" w:fill="auto"/>
            <w:vAlign w:val="bottom"/>
          </w:tcPr>
          <w:p w14:paraId="059138D1" w14:textId="2A9A99FE" w:rsidR="008E03C9" w:rsidRPr="002D2F67" w:rsidRDefault="009352CA" w:rsidP="005611FE">
            <w:pPr>
              <w:ind w:right="-72"/>
              <w:jc w:val="right"/>
              <w:rPr>
                <w:rFonts w:ascii="Arial" w:hAnsi="Arial" w:cs="Arial"/>
                <w:b/>
                <w:bCs/>
                <w:color w:val="000000"/>
                <w:sz w:val="18"/>
                <w:szCs w:val="18"/>
              </w:rPr>
            </w:pPr>
            <w:r w:rsidRPr="002D2F67">
              <w:rPr>
                <w:rFonts w:ascii="Arial" w:hAnsi="Arial" w:cs="Arial"/>
                <w:b/>
                <w:bCs/>
                <w:color w:val="000000"/>
                <w:sz w:val="18"/>
                <w:szCs w:val="18"/>
              </w:rPr>
              <w:t>Financial assets measured at fair value through other comprehensive income</w:t>
            </w:r>
          </w:p>
        </w:tc>
        <w:tc>
          <w:tcPr>
            <w:tcW w:w="1241" w:type="dxa"/>
            <w:tcBorders>
              <w:top w:val="single" w:sz="4" w:space="0" w:color="auto"/>
            </w:tcBorders>
            <w:shd w:val="clear" w:color="auto" w:fill="auto"/>
            <w:vAlign w:val="bottom"/>
          </w:tcPr>
          <w:p w14:paraId="3AB342BF" w14:textId="6478236E" w:rsidR="008E03C9" w:rsidRPr="002D2F67" w:rsidRDefault="008E03C9" w:rsidP="005611FE">
            <w:pPr>
              <w:ind w:right="-72"/>
              <w:jc w:val="right"/>
              <w:rPr>
                <w:rFonts w:ascii="Arial" w:hAnsi="Arial" w:cs="Arial"/>
                <w:b/>
                <w:bCs/>
                <w:color w:val="000000"/>
                <w:sz w:val="18"/>
                <w:szCs w:val="18"/>
              </w:rPr>
            </w:pPr>
            <w:r w:rsidRPr="002D2F67">
              <w:rPr>
                <w:rFonts w:ascii="Arial" w:hAnsi="Arial" w:cs="Arial"/>
                <w:b/>
                <w:bCs/>
                <w:color w:val="000000"/>
                <w:sz w:val="18"/>
                <w:szCs w:val="18"/>
              </w:rPr>
              <w:t>Property, Plant and Equipment</w:t>
            </w:r>
          </w:p>
        </w:tc>
        <w:tc>
          <w:tcPr>
            <w:tcW w:w="1196" w:type="dxa"/>
            <w:tcBorders>
              <w:top w:val="single" w:sz="4" w:space="0" w:color="auto"/>
            </w:tcBorders>
            <w:shd w:val="clear" w:color="auto" w:fill="auto"/>
            <w:vAlign w:val="bottom"/>
          </w:tcPr>
          <w:p w14:paraId="18D37AF9" w14:textId="44BEFDA2" w:rsidR="000C5680" w:rsidRPr="002D2F67" w:rsidRDefault="000C5680" w:rsidP="00DE6A5D">
            <w:pPr>
              <w:ind w:right="-72"/>
              <w:jc w:val="right"/>
              <w:rPr>
                <w:rFonts w:ascii="Arial" w:hAnsi="Arial" w:cs="Arial"/>
                <w:b/>
                <w:bCs/>
                <w:color w:val="000000"/>
                <w:sz w:val="18"/>
                <w:szCs w:val="18"/>
              </w:rPr>
            </w:pPr>
            <w:r w:rsidRPr="002D2F67">
              <w:rPr>
                <w:rFonts w:ascii="Arial" w:hAnsi="Arial" w:cs="Arial"/>
                <w:b/>
                <w:bCs/>
                <w:color w:val="000000"/>
                <w:spacing w:val="-2"/>
                <w:sz w:val="18"/>
                <w:szCs w:val="18"/>
              </w:rPr>
              <w:t>Lease</w:t>
            </w:r>
            <w:r w:rsidRPr="002D2F67">
              <w:rPr>
                <w:rFonts w:ascii="Arial" w:hAnsi="Arial" w:cs="Arial"/>
                <w:b/>
                <w:bCs/>
                <w:color w:val="000000"/>
                <w:sz w:val="18"/>
                <w:szCs w:val="18"/>
              </w:rPr>
              <w:t xml:space="preserve"> receivable</w:t>
            </w:r>
          </w:p>
        </w:tc>
        <w:tc>
          <w:tcPr>
            <w:tcW w:w="1196" w:type="dxa"/>
            <w:tcBorders>
              <w:top w:val="single" w:sz="4" w:space="0" w:color="auto"/>
            </w:tcBorders>
            <w:shd w:val="clear" w:color="auto" w:fill="auto"/>
            <w:vAlign w:val="bottom"/>
          </w:tcPr>
          <w:p w14:paraId="61D01798" w14:textId="270E9086" w:rsidR="008E03C9" w:rsidRPr="002D2F67" w:rsidRDefault="008E03C9" w:rsidP="005611FE">
            <w:pPr>
              <w:ind w:right="-72"/>
              <w:jc w:val="right"/>
              <w:rPr>
                <w:rFonts w:ascii="Arial" w:hAnsi="Arial" w:cs="Arial"/>
                <w:b/>
                <w:bCs/>
                <w:color w:val="000000"/>
                <w:sz w:val="18"/>
                <w:szCs w:val="18"/>
              </w:rPr>
            </w:pPr>
            <w:r w:rsidRPr="002D2F67">
              <w:rPr>
                <w:rFonts w:ascii="Arial" w:hAnsi="Arial" w:cs="Arial"/>
                <w:b/>
                <w:bCs/>
                <w:color w:val="000000"/>
                <w:spacing w:val="-2"/>
                <w:sz w:val="18"/>
                <w:szCs w:val="18"/>
              </w:rPr>
              <w:t>Right</w:t>
            </w:r>
            <w:r w:rsidR="00022865" w:rsidRPr="002D2F67">
              <w:rPr>
                <w:rFonts w:ascii="Arial" w:hAnsi="Arial" w:cs="Arial"/>
                <w:b/>
                <w:bCs/>
                <w:color w:val="000000"/>
                <w:spacing w:val="-2"/>
                <w:sz w:val="18"/>
                <w:szCs w:val="22"/>
              </w:rPr>
              <w:t>-</w:t>
            </w:r>
            <w:r w:rsidRPr="002D2F67">
              <w:rPr>
                <w:rFonts w:ascii="Arial" w:hAnsi="Arial" w:cs="Arial"/>
                <w:b/>
                <w:bCs/>
                <w:color w:val="000000"/>
                <w:spacing w:val="-2"/>
                <w:sz w:val="18"/>
                <w:szCs w:val="18"/>
              </w:rPr>
              <w:t>of</w:t>
            </w:r>
            <w:r w:rsidR="00022865" w:rsidRPr="002D2F67">
              <w:rPr>
                <w:rFonts w:ascii="Arial" w:hAnsi="Arial" w:cs="Arial"/>
                <w:b/>
                <w:bCs/>
                <w:color w:val="000000"/>
                <w:spacing w:val="-2"/>
                <w:sz w:val="18"/>
                <w:szCs w:val="18"/>
              </w:rPr>
              <w:t>-</w:t>
            </w:r>
            <w:r w:rsidRPr="002D2F67">
              <w:rPr>
                <w:rFonts w:ascii="Arial" w:hAnsi="Arial" w:cs="Arial"/>
                <w:b/>
                <w:bCs/>
                <w:color w:val="000000"/>
                <w:spacing w:val="-2"/>
                <w:sz w:val="18"/>
                <w:szCs w:val="18"/>
              </w:rPr>
              <w:t>use</w:t>
            </w:r>
            <w:r w:rsidRPr="002D2F67">
              <w:rPr>
                <w:rFonts w:ascii="Arial" w:hAnsi="Arial" w:cs="Arial"/>
                <w:b/>
                <w:bCs/>
                <w:color w:val="000000"/>
                <w:sz w:val="18"/>
                <w:szCs w:val="18"/>
              </w:rPr>
              <w:t xml:space="preserve"> asset</w:t>
            </w:r>
          </w:p>
        </w:tc>
        <w:tc>
          <w:tcPr>
            <w:tcW w:w="1157" w:type="dxa"/>
            <w:tcBorders>
              <w:top w:val="single" w:sz="4" w:space="0" w:color="auto"/>
            </w:tcBorders>
            <w:shd w:val="clear" w:color="auto" w:fill="auto"/>
            <w:vAlign w:val="bottom"/>
          </w:tcPr>
          <w:p w14:paraId="0726141D" w14:textId="77777777" w:rsidR="008E03C9" w:rsidRPr="002D2F67" w:rsidRDefault="008E03C9" w:rsidP="005611FE">
            <w:pPr>
              <w:ind w:right="-72"/>
              <w:jc w:val="right"/>
              <w:rPr>
                <w:rFonts w:ascii="Arial" w:hAnsi="Arial" w:cs="Arial"/>
                <w:b/>
                <w:bCs/>
                <w:color w:val="000000"/>
                <w:sz w:val="18"/>
                <w:szCs w:val="18"/>
              </w:rPr>
            </w:pPr>
            <w:r w:rsidRPr="002D2F67">
              <w:rPr>
                <w:rFonts w:ascii="Arial" w:hAnsi="Arial" w:cs="Arial"/>
                <w:b/>
                <w:bCs/>
                <w:color w:val="000000"/>
                <w:sz w:val="18"/>
                <w:szCs w:val="18"/>
              </w:rPr>
              <w:t>Total</w:t>
            </w:r>
          </w:p>
        </w:tc>
      </w:tr>
      <w:tr w:rsidR="00FE72E0" w:rsidRPr="002D2F67" w14:paraId="6A25C48C" w14:textId="77777777" w:rsidTr="0029681C">
        <w:tc>
          <w:tcPr>
            <w:tcW w:w="6889" w:type="dxa"/>
            <w:shd w:val="clear" w:color="auto" w:fill="auto"/>
          </w:tcPr>
          <w:p w14:paraId="1E3A4E8E" w14:textId="77777777" w:rsidR="008E03C9" w:rsidRPr="002D2F67" w:rsidRDefault="008E03C9" w:rsidP="005611FE">
            <w:pPr>
              <w:ind w:left="31"/>
              <w:rPr>
                <w:rFonts w:ascii="Arial" w:hAnsi="Arial" w:cs="Arial"/>
                <w:b/>
                <w:bCs/>
                <w:color w:val="000000"/>
                <w:sz w:val="18"/>
                <w:szCs w:val="18"/>
              </w:rPr>
            </w:pPr>
          </w:p>
        </w:tc>
        <w:tc>
          <w:tcPr>
            <w:tcW w:w="1197" w:type="dxa"/>
            <w:tcBorders>
              <w:bottom w:val="single" w:sz="4" w:space="0" w:color="auto"/>
            </w:tcBorders>
            <w:shd w:val="clear" w:color="auto" w:fill="auto"/>
          </w:tcPr>
          <w:p w14:paraId="3DE470FB" w14:textId="57C543AC" w:rsidR="008E03C9" w:rsidRPr="002D2F67" w:rsidRDefault="008E03C9" w:rsidP="005611FE">
            <w:pPr>
              <w:ind w:right="-72"/>
              <w:jc w:val="right"/>
              <w:rPr>
                <w:rFonts w:ascii="Arial" w:hAnsi="Arial" w:cs="Arial"/>
                <w:color w:val="000000"/>
                <w:sz w:val="18"/>
                <w:szCs w:val="18"/>
              </w:rPr>
            </w:pPr>
            <w:r w:rsidRPr="002D2F67">
              <w:rPr>
                <w:rFonts w:ascii="Arial" w:hAnsi="Arial" w:cs="Arial"/>
                <w:b/>
                <w:bCs/>
                <w:color w:val="000000"/>
                <w:sz w:val="18"/>
                <w:szCs w:val="18"/>
              </w:rPr>
              <w:t>Baht</w:t>
            </w:r>
            <w:r w:rsidR="00590120" w:rsidRPr="002D2F67">
              <w:rPr>
                <w:rFonts w:ascii="Arial" w:hAnsi="Arial" w:cs="Arial"/>
                <w:b/>
                <w:bCs/>
                <w:color w:val="000000"/>
                <w:sz w:val="18"/>
                <w:szCs w:val="18"/>
              </w:rPr>
              <w:t>’</w:t>
            </w:r>
            <w:r w:rsidR="00CD5714" w:rsidRPr="00CD5714">
              <w:rPr>
                <w:rFonts w:ascii="Arial" w:hAnsi="Arial" w:cs="Arial"/>
                <w:b/>
                <w:bCs/>
                <w:color w:val="000000"/>
                <w:sz w:val="18"/>
                <w:szCs w:val="18"/>
                <w:lang w:val="en-GB"/>
              </w:rPr>
              <w:t>000</w:t>
            </w:r>
          </w:p>
        </w:tc>
        <w:tc>
          <w:tcPr>
            <w:tcW w:w="1198" w:type="dxa"/>
            <w:tcBorders>
              <w:bottom w:val="single" w:sz="4" w:space="0" w:color="auto"/>
            </w:tcBorders>
            <w:shd w:val="clear" w:color="auto" w:fill="auto"/>
          </w:tcPr>
          <w:p w14:paraId="7FCF2D63" w14:textId="52CE974F" w:rsidR="008E03C9" w:rsidRPr="002D2F67" w:rsidRDefault="00590120"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18"/>
                <w:szCs w:val="18"/>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c>
          <w:tcPr>
            <w:tcW w:w="1477" w:type="dxa"/>
            <w:tcBorders>
              <w:bottom w:val="single" w:sz="4" w:space="0" w:color="auto"/>
            </w:tcBorders>
            <w:shd w:val="clear" w:color="auto" w:fill="auto"/>
          </w:tcPr>
          <w:p w14:paraId="4A0D37DC" w14:textId="0819AD1E" w:rsidR="008E03C9" w:rsidRPr="002D2F67" w:rsidRDefault="00590120"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18"/>
                <w:szCs w:val="18"/>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c>
          <w:tcPr>
            <w:tcW w:w="1241" w:type="dxa"/>
            <w:tcBorders>
              <w:bottom w:val="single" w:sz="4" w:space="0" w:color="auto"/>
            </w:tcBorders>
            <w:shd w:val="clear" w:color="auto" w:fill="auto"/>
          </w:tcPr>
          <w:p w14:paraId="4EC03C4B" w14:textId="34F802A7" w:rsidR="008E03C9" w:rsidRPr="002D2F67" w:rsidRDefault="00590120" w:rsidP="005611FE">
            <w:pPr>
              <w:tabs>
                <w:tab w:val="left" w:pos="1134"/>
                <w:tab w:val="left" w:pos="1276"/>
                <w:tab w:val="center" w:pos="3402"/>
                <w:tab w:val="center" w:pos="4536"/>
                <w:tab w:val="center" w:pos="5670"/>
                <w:tab w:val="center" w:pos="6804"/>
                <w:tab w:val="right" w:pos="7655"/>
              </w:tabs>
              <w:ind w:left="64" w:right="-72" w:hanging="64"/>
              <w:jc w:val="right"/>
              <w:rPr>
                <w:rFonts w:ascii="Arial" w:hAnsi="Arial" w:cs="Arial"/>
                <w:b/>
                <w:bCs/>
                <w:color w:val="000000"/>
                <w:sz w:val="18"/>
                <w:szCs w:val="18"/>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c>
          <w:tcPr>
            <w:tcW w:w="1196" w:type="dxa"/>
            <w:tcBorders>
              <w:bottom w:val="single" w:sz="4" w:space="0" w:color="auto"/>
            </w:tcBorders>
            <w:shd w:val="clear" w:color="auto" w:fill="auto"/>
          </w:tcPr>
          <w:p w14:paraId="223B1380" w14:textId="5B0274F9" w:rsidR="000C5680" w:rsidRPr="002D2F67" w:rsidRDefault="000C5680"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18"/>
                <w:szCs w:val="18"/>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c>
          <w:tcPr>
            <w:tcW w:w="1196" w:type="dxa"/>
            <w:tcBorders>
              <w:bottom w:val="single" w:sz="4" w:space="0" w:color="auto"/>
            </w:tcBorders>
            <w:shd w:val="clear" w:color="auto" w:fill="auto"/>
          </w:tcPr>
          <w:p w14:paraId="36012FD3" w14:textId="2A7AB801" w:rsidR="008E03C9" w:rsidRPr="002D2F67" w:rsidRDefault="00590120"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18"/>
                <w:szCs w:val="18"/>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c>
          <w:tcPr>
            <w:tcW w:w="1157" w:type="dxa"/>
            <w:tcBorders>
              <w:bottom w:val="single" w:sz="4" w:space="0" w:color="auto"/>
            </w:tcBorders>
            <w:shd w:val="clear" w:color="auto" w:fill="auto"/>
          </w:tcPr>
          <w:p w14:paraId="66948100" w14:textId="0969B32A" w:rsidR="008E03C9" w:rsidRPr="002D2F67" w:rsidRDefault="00590120"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18"/>
                <w:szCs w:val="18"/>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r>
      <w:tr w:rsidR="00836759" w:rsidRPr="002D2F67" w14:paraId="4B414272" w14:textId="77777777" w:rsidTr="0029681C">
        <w:tc>
          <w:tcPr>
            <w:tcW w:w="6889" w:type="dxa"/>
            <w:shd w:val="clear" w:color="auto" w:fill="auto"/>
          </w:tcPr>
          <w:p w14:paraId="45F2301C" w14:textId="77777777" w:rsidR="008E03C9" w:rsidRPr="002D2F67" w:rsidRDefault="008E03C9" w:rsidP="005611FE">
            <w:pPr>
              <w:pStyle w:val="Header"/>
              <w:tabs>
                <w:tab w:val="clear" w:pos="4320"/>
                <w:tab w:val="clear" w:pos="8640"/>
              </w:tabs>
              <w:ind w:left="31"/>
              <w:jc w:val="left"/>
              <w:rPr>
                <w:rFonts w:ascii="Arial" w:hAnsi="Arial" w:cs="Arial"/>
                <w:color w:val="000000"/>
                <w:sz w:val="18"/>
                <w:szCs w:val="18"/>
              </w:rPr>
            </w:pPr>
          </w:p>
        </w:tc>
        <w:tc>
          <w:tcPr>
            <w:tcW w:w="1197" w:type="dxa"/>
            <w:tcBorders>
              <w:top w:val="single" w:sz="4" w:space="0" w:color="auto"/>
            </w:tcBorders>
            <w:shd w:val="clear" w:color="auto" w:fill="auto"/>
          </w:tcPr>
          <w:p w14:paraId="772C88AC" w14:textId="77777777" w:rsidR="008E03C9" w:rsidRPr="002D2F67" w:rsidRDefault="008E03C9"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198" w:type="dxa"/>
            <w:tcBorders>
              <w:top w:val="single" w:sz="4" w:space="0" w:color="auto"/>
            </w:tcBorders>
            <w:shd w:val="clear" w:color="auto" w:fill="auto"/>
          </w:tcPr>
          <w:p w14:paraId="02841AE9" w14:textId="77777777" w:rsidR="008E03C9" w:rsidRPr="002D2F67" w:rsidRDefault="008E03C9"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77" w:type="dxa"/>
            <w:tcBorders>
              <w:top w:val="single" w:sz="4" w:space="0" w:color="auto"/>
            </w:tcBorders>
            <w:shd w:val="clear" w:color="auto" w:fill="auto"/>
          </w:tcPr>
          <w:p w14:paraId="210909D4" w14:textId="77777777" w:rsidR="008E03C9" w:rsidRPr="002D2F67" w:rsidRDefault="008E03C9"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241" w:type="dxa"/>
            <w:tcBorders>
              <w:top w:val="single" w:sz="4" w:space="0" w:color="auto"/>
            </w:tcBorders>
            <w:shd w:val="clear" w:color="auto" w:fill="auto"/>
          </w:tcPr>
          <w:p w14:paraId="0A6760D3" w14:textId="77777777" w:rsidR="008E03C9" w:rsidRPr="002D2F67" w:rsidRDefault="008E03C9"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196" w:type="dxa"/>
            <w:tcBorders>
              <w:top w:val="single" w:sz="4" w:space="0" w:color="auto"/>
            </w:tcBorders>
            <w:shd w:val="clear" w:color="auto" w:fill="auto"/>
          </w:tcPr>
          <w:p w14:paraId="725D692A" w14:textId="77777777" w:rsidR="000C5680" w:rsidRPr="002D2F67" w:rsidRDefault="000C568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196" w:type="dxa"/>
            <w:tcBorders>
              <w:top w:val="single" w:sz="4" w:space="0" w:color="auto"/>
            </w:tcBorders>
            <w:shd w:val="clear" w:color="auto" w:fill="auto"/>
          </w:tcPr>
          <w:p w14:paraId="69DF7066" w14:textId="77777777" w:rsidR="008E03C9" w:rsidRPr="002D2F67" w:rsidRDefault="008E03C9"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157" w:type="dxa"/>
            <w:tcBorders>
              <w:top w:val="single" w:sz="4" w:space="0" w:color="auto"/>
            </w:tcBorders>
            <w:shd w:val="clear" w:color="auto" w:fill="auto"/>
          </w:tcPr>
          <w:p w14:paraId="3BE7EB79" w14:textId="77777777" w:rsidR="008E03C9" w:rsidRPr="002D2F67" w:rsidRDefault="008E03C9"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r>
      <w:tr w:rsidR="00827E37" w:rsidRPr="002D2F67" w14:paraId="3DBD426D" w14:textId="77777777" w:rsidTr="0029681C">
        <w:trPr>
          <w:trHeight w:val="75"/>
        </w:trPr>
        <w:tc>
          <w:tcPr>
            <w:tcW w:w="6889" w:type="dxa"/>
            <w:shd w:val="clear" w:color="auto" w:fill="auto"/>
          </w:tcPr>
          <w:p w14:paraId="219EDFD0" w14:textId="77777777" w:rsidR="008E03C9" w:rsidRPr="002D2F67" w:rsidRDefault="008E03C9" w:rsidP="005611FE">
            <w:pPr>
              <w:pStyle w:val="Header"/>
              <w:tabs>
                <w:tab w:val="clear" w:pos="4320"/>
                <w:tab w:val="clear" w:pos="8640"/>
              </w:tabs>
              <w:ind w:left="31"/>
              <w:jc w:val="left"/>
              <w:rPr>
                <w:rFonts w:ascii="Arial" w:hAnsi="Arial" w:cs="Arial"/>
                <w:b/>
                <w:bCs/>
                <w:color w:val="000000"/>
                <w:sz w:val="18"/>
                <w:szCs w:val="18"/>
              </w:rPr>
            </w:pPr>
            <w:r w:rsidRPr="002D2F67">
              <w:rPr>
                <w:rFonts w:ascii="Arial" w:hAnsi="Arial" w:cs="Arial"/>
                <w:b/>
                <w:bCs/>
                <w:color w:val="000000"/>
                <w:sz w:val="18"/>
                <w:szCs w:val="18"/>
              </w:rPr>
              <w:t>Deferred tax liabilities</w:t>
            </w:r>
          </w:p>
        </w:tc>
        <w:tc>
          <w:tcPr>
            <w:tcW w:w="1197" w:type="dxa"/>
            <w:shd w:val="clear" w:color="auto" w:fill="auto"/>
            <w:vAlign w:val="bottom"/>
          </w:tcPr>
          <w:p w14:paraId="66FD0494" w14:textId="77777777" w:rsidR="008E03C9" w:rsidRPr="002D2F67" w:rsidRDefault="008E03C9"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198" w:type="dxa"/>
            <w:shd w:val="clear" w:color="auto" w:fill="auto"/>
            <w:vAlign w:val="bottom"/>
          </w:tcPr>
          <w:p w14:paraId="13A58FB0" w14:textId="77777777" w:rsidR="008E03C9" w:rsidRPr="002D2F67" w:rsidRDefault="008E03C9"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77" w:type="dxa"/>
            <w:shd w:val="clear" w:color="auto" w:fill="auto"/>
            <w:vAlign w:val="bottom"/>
          </w:tcPr>
          <w:p w14:paraId="51861852" w14:textId="77777777" w:rsidR="008E03C9" w:rsidRPr="002D2F67" w:rsidRDefault="008E03C9"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241" w:type="dxa"/>
            <w:shd w:val="clear" w:color="auto" w:fill="auto"/>
            <w:vAlign w:val="bottom"/>
          </w:tcPr>
          <w:p w14:paraId="2BE067F9" w14:textId="77777777" w:rsidR="008E03C9" w:rsidRPr="002D2F67" w:rsidRDefault="008E03C9"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196" w:type="dxa"/>
            <w:shd w:val="clear" w:color="auto" w:fill="auto"/>
            <w:vAlign w:val="bottom"/>
          </w:tcPr>
          <w:p w14:paraId="508E1E2A" w14:textId="2C118B18" w:rsidR="000C5680" w:rsidRPr="002D2F67" w:rsidRDefault="000C568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196" w:type="dxa"/>
            <w:shd w:val="clear" w:color="auto" w:fill="auto"/>
            <w:vAlign w:val="bottom"/>
          </w:tcPr>
          <w:p w14:paraId="199EB3F9" w14:textId="77777777" w:rsidR="008E03C9" w:rsidRPr="002D2F67" w:rsidRDefault="008E03C9"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157" w:type="dxa"/>
            <w:shd w:val="clear" w:color="auto" w:fill="auto"/>
            <w:vAlign w:val="bottom"/>
          </w:tcPr>
          <w:p w14:paraId="786B0C21" w14:textId="77777777" w:rsidR="008E03C9" w:rsidRPr="002D2F67" w:rsidRDefault="008E03C9"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r>
      <w:tr w:rsidR="0049508C" w:rsidRPr="002D2F67" w14:paraId="63301C94" w14:textId="77777777" w:rsidTr="0029681C">
        <w:tc>
          <w:tcPr>
            <w:tcW w:w="6889" w:type="dxa"/>
            <w:shd w:val="clear" w:color="auto" w:fill="auto"/>
          </w:tcPr>
          <w:p w14:paraId="5F9037B6" w14:textId="43C300D3" w:rsidR="0049508C" w:rsidRPr="002D2F67" w:rsidRDefault="0049508C" w:rsidP="005611FE">
            <w:pPr>
              <w:pStyle w:val="Header"/>
              <w:tabs>
                <w:tab w:val="clear" w:pos="4320"/>
                <w:tab w:val="clear" w:pos="8640"/>
              </w:tabs>
              <w:ind w:left="31"/>
              <w:jc w:val="left"/>
              <w:rPr>
                <w:rFonts w:ascii="Arial" w:hAnsi="Arial" w:cs="Arial"/>
                <w:color w:val="000000"/>
                <w:sz w:val="18"/>
                <w:szCs w:val="18"/>
              </w:rPr>
            </w:pPr>
            <w:r w:rsidRPr="002D2F67">
              <w:rPr>
                <w:rFonts w:ascii="Arial" w:hAnsi="Arial" w:cs="Arial"/>
                <w:color w:val="000000"/>
                <w:sz w:val="18"/>
                <w:szCs w:val="18"/>
              </w:rPr>
              <w:t xml:space="preserve">As </w:t>
            </w:r>
            <w:proofErr w:type="gramStart"/>
            <w:r w:rsidRPr="002D2F67">
              <w:rPr>
                <w:rFonts w:ascii="Arial" w:hAnsi="Arial" w:cs="Arial"/>
                <w:color w:val="000000"/>
                <w:sz w:val="18"/>
                <w:szCs w:val="18"/>
              </w:rPr>
              <w:t>at</w:t>
            </w:r>
            <w:proofErr w:type="gramEnd"/>
            <w:r w:rsidRPr="002D2F67">
              <w:rPr>
                <w:rFonts w:ascii="Arial" w:hAnsi="Arial" w:cs="Arial"/>
                <w:color w:val="000000"/>
                <w:sz w:val="18"/>
                <w:szCs w:val="18"/>
              </w:rPr>
              <w:t xml:space="preserve"> </w:t>
            </w:r>
            <w:r w:rsidR="00CD5714" w:rsidRPr="00CD5714">
              <w:rPr>
                <w:rFonts w:ascii="Arial" w:hAnsi="Arial" w:cs="Arial"/>
                <w:color w:val="000000"/>
                <w:sz w:val="18"/>
                <w:szCs w:val="18"/>
                <w:lang w:val="en-GB"/>
              </w:rPr>
              <w:t>1</w:t>
            </w:r>
            <w:r w:rsidRPr="002D2F67">
              <w:rPr>
                <w:rFonts w:ascii="Arial" w:hAnsi="Arial" w:cs="Arial"/>
                <w:color w:val="000000"/>
                <w:sz w:val="18"/>
                <w:szCs w:val="18"/>
              </w:rPr>
              <w:t xml:space="preserve"> January </w:t>
            </w:r>
            <w:r w:rsidR="00CD5714" w:rsidRPr="00CD5714">
              <w:rPr>
                <w:rFonts w:ascii="Arial" w:hAnsi="Arial" w:cs="Arial"/>
                <w:color w:val="000000"/>
                <w:sz w:val="18"/>
                <w:szCs w:val="18"/>
                <w:lang w:val="en-GB"/>
              </w:rPr>
              <w:t>2023</w:t>
            </w:r>
          </w:p>
        </w:tc>
        <w:tc>
          <w:tcPr>
            <w:tcW w:w="1197" w:type="dxa"/>
            <w:shd w:val="clear" w:color="auto" w:fill="auto"/>
            <w:vAlign w:val="bottom"/>
          </w:tcPr>
          <w:p w14:paraId="3AB63B1A" w14:textId="2BD9C42A"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125</w:t>
            </w:r>
            <w:r w:rsidR="0049508C" w:rsidRPr="002D2F67">
              <w:rPr>
                <w:rFonts w:ascii="Arial" w:hAnsi="Arial" w:cs="Arial"/>
                <w:color w:val="000000"/>
                <w:sz w:val="18"/>
                <w:szCs w:val="18"/>
              </w:rPr>
              <w:t>,</w:t>
            </w:r>
            <w:r w:rsidRPr="00CD5714">
              <w:rPr>
                <w:rFonts w:ascii="Arial" w:hAnsi="Arial" w:cs="Arial"/>
                <w:color w:val="000000"/>
                <w:sz w:val="18"/>
                <w:szCs w:val="18"/>
                <w:lang w:val="en-GB"/>
              </w:rPr>
              <w:t>076</w:t>
            </w:r>
          </w:p>
        </w:tc>
        <w:tc>
          <w:tcPr>
            <w:tcW w:w="1198" w:type="dxa"/>
            <w:shd w:val="clear" w:color="auto" w:fill="auto"/>
            <w:vAlign w:val="bottom"/>
          </w:tcPr>
          <w:p w14:paraId="7C062331" w14:textId="55EE8154"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43</w:t>
            </w:r>
            <w:r w:rsidR="0049508C" w:rsidRPr="002D2F67">
              <w:rPr>
                <w:rFonts w:ascii="Arial" w:hAnsi="Arial" w:cs="Arial"/>
                <w:color w:val="000000"/>
                <w:sz w:val="18"/>
                <w:szCs w:val="18"/>
              </w:rPr>
              <w:t>,</w:t>
            </w:r>
            <w:r w:rsidRPr="00CD5714">
              <w:rPr>
                <w:rFonts w:ascii="Arial" w:hAnsi="Arial" w:cs="Arial"/>
                <w:color w:val="000000"/>
                <w:sz w:val="18"/>
                <w:szCs w:val="18"/>
                <w:lang w:val="en-GB"/>
              </w:rPr>
              <w:t>259</w:t>
            </w:r>
          </w:p>
        </w:tc>
        <w:tc>
          <w:tcPr>
            <w:tcW w:w="1477" w:type="dxa"/>
            <w:shd w:val="clear" w:color="auto" w:fill="auto"/>
            <w:vAlign w:val="bottom"/>
          </w:tcPr>
          <w:p w14:paraId="12810B56" w14:textId="4E48DBC9"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2</w:t>
            </w:r>
            <w:r w:rsidR="0049508C" w:rsidRPr="002D2F67">
              <w:rPr>
                <w:rFonts w:ascii="Arial" w:hAnsi="Arial" w:cs="Arial"/>
                <w:color w:val="000000"/>
                <w:sz w:val="18"/>
                <w:szCs w:val="18"/>
              </w:rPr>
              <w:t>,</w:t>
            </w:r>
            <w:r w:rsidRPr="00CD5714">
              <w:rPr>
                <w:rFonts w:ascii="Arial" w:hAnsi="Arial" w:cs="Arial"/>
                <w:color w:val="000000"/>
                <w:sz w:val="18"/>
                <w:szCs w:val="18"/>
                <w:lang w:val="en-GB"/>
              </w:rPr>
              <w:t>220</w:t>
            </w:r>
          </w:p>
        </w:tc>
        <w:tc>
          <w:tcPr>
            <w:tcW w:w="1241" w:type="dxa"/>
            <w:shd w:val="clear" w:color="auto" w:fill="auto"/>
            <w:vAlign w:val="bottom"/>
          </w:tcPr>
          <w:p w14:paraId="26203D3C" w14:textId="1890F45A"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46</w:t>
            </w:r>
            <w:r w:rsidR="0049508C" w:rsidRPr="002D2F67">
              <w:rPr>
                <w:rFonts w:ascii="Arial" w:hAnsi="Arial" w:cs="Arial"/>
                <w:color w:val="000000"/>
                <w:sz w:val="18"/>
                <w:szCs w:val="18"/>
              </w:rPr>
              <w:t>,</w:t>
            </w:r>
            <w:r w:rsidRPr="00CD5714">
              <w:rPr>
                <w:rFonts w:ascii="Arial" w:hAnsi="Arial" w:cs="Arial"/>
                <w:color w:val="000000"/>
                <w:sz w:val="18"/>
                <w:szCs w:val="18"/>
                <w:lang w:val="en-GB"/>
              </w:rPr>
              <w:t>488</w:t>
            </w:r>
          </w:p>
        </w:tc>
        <w:tc>
          <w:tcPr>
            <w:tcW w:w="1196" w:type="dxa"/>
            <w:shd w:val="clear" w:color="auto" w:fill="auto"/>
            <w:vAlign w:val="bottom"/>
          </w:tcPr>
          <w:p w14:paraId="629E5570" w14:textId="3554E6BC"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30</w:t>
            </w:r>
            <w:r w:rsidR="0049508C" w:rsidRPr="002D2F67">
              <w:rPr>
                <w:rFonts w:ascii="Arial" w:hAnsi="Arial" w:cs="Arial"/>
                <w:color w:val="000000"/>
                <w:sz w:val="18"/>
                <w:szCs w:val="18"/>
              </w:rPr>
              <w:t>,</w:t>
            </w:r>
            <w:r w:rsidRPr="00CD5714">
              <w:rPr>
                <w:rFonts w:ascii="Arial" w:hAnsi="Arial" w:cs="Arial"/>
                <w:color w:val="000000"/>
                <w:sz w:val="18"/>
                <w:szCs w:val="18"/>
                <w:lang w:val="en-GB"/>
              </w:rPr>
              <w:t>745</w:t>
            </w:r>
          </w:p>
        </w:tc>
        <w:tc>
          <w:tcPr>
            <w:tcW w:w="1196" w:type="dxa"/>
            <w:shd w:val="clear" w:color="auto" w:fill="auto"/>
            <w:vAlign w:val="bottom"/>
          </w:tcPr>
          <w:p w14:paraId="40878CC2" w14:textId="33C49D62"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326</w:t>
            </w:r>
            <w:r w:rsidR="0049508C" w:rsidRPr="002D2F67">
              <w:rPr>
                <w:rFonts w:ascii="Arial" w:hAnsi="Arial" w:cs="Arial"/>
                <w:color w:val="000000"/>
                <w:sz w:val="18"/>
                <w:szCs w:val="18"/>
              </w:rPr>
              <w:t>,</w:t>
            </w:r>
            <w:r w:rsidRPr="00CD5714">
              <w:rPr>
                <w:rFonts w:ascii="Arial" w:hAnsi="Arial" w:cs="Arial"/>
                <w:color w:val="000000"/>
                <w:sz w:val="18"/>
                <w:szCs w:val="18"/>
                <w:lang w:val="en-GB"/>
              </w:rPr>
              <w:t>755</w:t>
            </w:r>
          </w:p>
        </w:tc>
        <w:tc>
          <w:tcPr>
            <w:tcW w:w="1157" w:type="dxa"/>
            <w:shd w:val="clear" w:color="auto" w:fill="auto"/>
            <w:vAlign w:val="bottom"/>
          </w:tcPr>
          <w:p w14:paraId="2B2FC89E" w14:textId="7AF92801"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574</w:t>
            </w:r>
            <w:r w:rsidR="0049508C" w:rsidRPr="002D2F67">
              <w:rPr>
                <w:rFonts w:ascii="Arial" w:hAnsi="Arial" w:cs="Arial"/>
                <w:color w:val="000000"/>
                <w:sz w:val="18"/>
                <w:szCs w:val="18"/>
              </w:rPr>
              <w:t>,</w:t>
            </w:r>
            <w:r w:rsidRPr="00CD5714">
              <w:rPr>
                <w:rFonts w:ascii="Arial" w:hAnsi="Arial" w:cs="Arial"/>
                <w:color w:val="000000"/>
                <w:sz w:val="18"/>
                <w:szCs w:val="18"/>
                <w:lang w:val="en-GB"/>
              </w:rPr>
              <w:t>543</w:t>
            </w:r>
          </w:p>
        </w:tc>
      </w:tr>
      <w:tr w:rsidR="0049508C" w:rsidRPr="002D2F67" w14:paraId="78001A45" w14:textId="77777777" w:rsidTr="0029681C">
        <w:tc>
          <w:tcPr>
            <w:tcW w:w="6889" w:type="dxa"/>
            <w:shd w:val="clear" w:color="auto" w:fill="auto"/>
          </w:tcPr>
          <w:p w14:paraId="1ABF9641" w14:textId="6DE7C94A" w:rsidR="0049508C" w:rsidRPr="002D2F67" w:rsidRDefault="0049508C" w:rsidP="005611FE">
            <w:pPr>
              <w:pStyle w:val="Header"/>
              <w:tabs>
                <w:tab w:val="clear" w:pos="4320"/>
                <w:tab w:val="clear" w:pos="8640"/>
              </w:tabs>
              <w:ind w:left="31"/>
              <w:jc w:val="left"/>
              <w:rPr>
                <w:rFonts w:ascii="Arial" w:hAnsi="Arial" w:cs="Arial"/>
                <w:color w:val="000000"/>
                <w:sz w:val="18"/>
                <w:szCs w:val="18"/>
              </w:rPr>
            </w:pPr>
            <w:r w:rsidRPr="002D2F67">
              <w:rPr>
                <w:rFonts w:ascii="Arial" w:hAnsi="Arial" w:cs="Arial"/>
                <w:color w:val="000000"/>
                <w:sz w:val="18"/>
                <w:szCs w:val="18"/>
              </w:rPr>
              <w:t>Tax charged (credited) to profit or loss</w:t>
            </w:r>
          </w:p>
        </w:tc>
        <w:tc>
          <w:tcPr>
            <w:tcW w:w="1197" w:type="dxa"/>
            <w:shd w:val="clear" w:color="auto" w:fill="auto"/>
            <w:vAlign w:val="bottom"/>
          </w:tcPr>
          <w:p w14:paraId="42F40A96" w14:textId="31E69F6E" w:rsidR="0049508C" w:rsidRPr="002D2F67" w:rsidRDefault="0049508C"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8</w:t>
            </w:r>
            <w:r w:rsidRPr="002D2F67">
              <w:rPr>
                <w:rFonts w:ascii="Arial" w:hAnsi="Arial" w:cs="Arial"/>
                <w:color w:val="000000"/>
                <w:sz w:val="18"/>
                <w:szCs w:val="18"/>
              </w:rPr>
              <w:t>,</w:t>
            </w:r>
            <w:r w:rsidR="00CD5714" w:rsidRPr="00CD5714">
              <w:rPr>
                <w:rFonts w:ascii="Arial" w:hAnsi="Arial" w:cs="Arial"/>
                <w:color w:val="000000"/>
                <w:sz w:val="18"/>
                <w:szCs w:val="18"/>
                <w:lang w:val="en-GB"/>
              </w:rPr>
              <w:t>365</w:t>
            </w:r>
            <w:r w:rsidRPr="002D2F67">
              <w:rPr>
                <w:rFonts w:ascii="Arial" w:hAnsi="Arial" w:cs="Arial"/>
                <w:color w:val="000000"/>
                <w:sz w:val="18"/>
                <w:szCs w:val="18"/>
              </w:rPr>
              <w:t>)</w:t>
            </w:r>
          </w:p>
        </w:tc>
        <w:tc>
          <w:tcPr>
            <w:tcW w:w="1198" w:type="dxa"/>
            <w:shd w:val="clear" w:color="auto" w:fill="auto"/>
            <w:vAlign w:val="bottom"/>
          </w:tcPr>
          <w:p w14:paraId="27470791" w14:textId="26413131" w:rsidR="0049508C" w:rsidRPr="002D2F67" w:rsidRDefault="0049508C"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2</w:t>
            </w:r>
            <w:r w:rsidRPr="002D2F67">
              <w:rPr>
                <w:rFonts w:ascii="Arial" w:hAnsi="Arial" w:cs="Arial"/>
                <w:color w:val="000000"/>
                <w:sz w:val="18"/>
                <w:szCs w:val="18"/>
              </w:rPr>
              <w:t>,</w:t>
            </w:r>
            <w:r w:rsidR="00CD5714" w:rsidRPr="00CD5714">
              <w:rPr>
                <w:rFonts w:ascii="Arial" w:hAnsi="Arial" w:cs="Arial"/>
                <w:color w:val="000000"/>
                <w:sz w:val="18"/>
                <w:szCs w:val="18"/>
                <w:lang w:val="en-GB"/>
              </w:rPr>
              <w:t>885</w:t>
            </w:r>
            <w:r w:rsidRPr="002D2F67">
              <w:rPr>
                <w:rFonts w:ascii="Arial" w:hAnsi="Arial" w:cs="Arial"/>
                <w:color w:val="000000"/>
                <w:sz w:val="18"/>
                <w:szCs w:val="18"/>
              </w:rPr>
              <w:t>)</w:t>
            </w:r>
          </w:p>
        </w:tc>
        <w:tc>
          <w:tcPr>
            <w:tcW w:w="1477" w:type="dxa"/>
            <w:shd w:val="clear" w:color="auto" w:fill="auto"/>
            <w:vAlign w:val="bottom"/>
          </w:tcPr>
          <w:p w14:paraId="6AFA0ECE" w14:textId="4BBC5109" w:rsidR="0049508C" w:rsidRPr="002D2F67" w:rsidRDefault="0049508C"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p>
        </w:tc>
        <w:tc>
          <w:tcPr>
            <w:tcW w:w="1241" w:type="dxa"/>
            <w:shd w:val="clear" w:color="auto" w:fill="auto"/>
            <w:vAlign w:val="bottom"/>
          </w:tcPr>
          <w:p w14:paraId="1616D978" w14:textId="265216F7" w:rsidR="0049508C" w:rsidRPr="002D2F67" w:rsidRDefault="0049508C"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785</w:t>
            </w:r>
            <w:r w:rsidRPr="002D2F67">
              <w:rPr>
                <w:rFonts w:ascii="Arial" w:hAnsi="Arial" w:cs="Arial"/>
                <w:color w:val="000000"/>
                <w:sz w:val="18"/>
                <w:szCs w:val="18"/>
              </w:rPr>
              <w:t>)</w:t>
            </w:r>
          </w:p>
        </w:tc>
        <w:tc>
          <w:tcPr>
            <w:tcW w:w="1196" w:type="dxa"/>
            <w:shd w:val="clear" w:color="auto" w:fill="auto"/>
            <w:vAlign w:val="bottom"/>
          </w:tcPr>
          <w:p w14:paraId="15E59296" w14:textId="1A2E4EF9"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13</w:t>
            </w:r>
            <w:r w:rsidR="0049508C" w:rsidRPr="002D2F67">
              <w:rPr>
                <w:rFonts w:ascii="Arial" w:hAnsi="Arial" w:cs="Arial"/>
                <w:color w:val="000000"/>
                <w:sz w:val="18"/>
                <w:szCs w:val="18"/>
              </w:rPr>
              <w:t>,</w:t>
            </w:r>
            <w:r w:rsidRPr="00CD5714">
              <w:rPr>
                <w:rFonts w:ascii="Arial" w:hAnsi="Arial" w:cs="Arial"/>
                <w:color w:val="000000"/>
                <w:sz w:val="18"/>
                <w:szCs w:val="18"/>
                <w:lang w:val="en-GB"/>
              </w:rPr>
              <w:t>513</w:t>
            </w:r>
          </w:p>
        </w:tc>
        <w:tc>
          <w:tcPr>
            <w:tcW w:w="1196" w:type="dxa"/>
            <w:shd w:val="clear" w:color="auto" w:fill="auto"/>
            <w:vAlign w:val="bottom"/>
          </w:tcPr>
          <w:p w14:paraId="2003FBD6" w14:textId="3F546372" w:rsidR="0049508C" w:rsidRPr="002D2F67" w:rsidRDefault="0049508C"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21</w:t>
            </w:r>
            <w:r w:rsidRPr="002D2F67">
              <w:rPr>
                <w:rFonts w:ascii="Arial" w:hAnsi="Arial" w:cs="Arial"/>
                <w:color w:val="000000"/>
                <w:sz w:val="18"/>
                <w:szCs w:val="18"/>
              </w:rPr>
              <w:t>,</w:t>
            </w:r>
            <w:r w:rsidR="00CD5714" w:rsidRPr="00CD5714">
              <w:rPr>
                <w:rFonts w:ascii="Arial" w:hAnsi="Arial" w:cs="Arial"/>
                <w:color w:val="000000"/>
                <w:sz w:val="18"/>
                <w:szCs w:val="18"/>
                <w:lang w:val="en-GB"/>
              </w:rPr>
              <w:t>645</w:t>
            </w:r>
            <w:r w:rsidRPr="002D2F67">
              <w:rPr>
                <w:rFonts w:ascii="Arial" w:hAnsi="Arial" w:cs="Arial"/>
                <w:color w:val="000000"/>
                <w:sz w:val="18"/>
                <w:szCs w:val="18"/>
              </w:rPr>
              <w:t>)</w:t>
            </w:r>
          </w:p>
        </w:tc>
        <w:tc>
          <w:tcPr>
            <w:tcW w:w="1157" w:type="dxa"/>
            <w:shd w:val="clear" w:color="auto" w:fill="auto"/>
            <w:vAlign w:val="bottom"/>
          </w:tcPr>
          <w:p w14:paraId="53E0F411" w14:textId="764AD46E" w:rsidR="0049508C" w:rsidRPr="002D2F67" w:rsidRDefault="0049508C"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20</w:t>
            </w:r>
            <w:r w:rsidRPr="002D2F67">
              <w:rPr>
                <w:rFonts w:ascii="Arial" w:hAnsi="Arial" w:cs="Arial"/>
                <w:color w:val="000000"/>
                <w:sz w:val="18"/>
                <w:szCs w:val="18"/>
              </w:rPr>
              <w:t>,</w:t>
            </w:r>
            <w:r w:rsidR="00CD5714" w:rsidRPr="00CD5714">
              <w:rPr>
                <w:rFonts w:ascii="Arial" w:hAnsi="Arial" w:cs="Arial"/>
                <w:color w:val="000000"/>
                <w:sz w:val="18"/>
                <w:szCs w:val="18"/>
                <w:lang w:val="en-GB"/>
              </w:rPr>
              <w:t>167</w:t>
            </w:r>
            <w:r w:rsidRPr="002D2F67">
              <w:rPr>
                <w:rFonts w:ascii="Arial" w:hAnsi="Arial" w:cs="Arial"/>
                <w:color w:val="000000"/>
                <w:sz w:val="18"/>
                <w:szCs w:val="18"/>
              </w:rPr>
              <w:t>)</w:t>
            </w:r>
          </w:p>
        </w:tc>
      </w:tr>
      <w:tr w:rsidR="0049508C" w:rsidRPr="002D2F67" w14:paraId="42F527F7" w14:textId="77777777" w:rsidTr="0029681C">
        <w:tc>
          <w:tcPr>
            <w:tcW w:w="6889" w:type="dxa"/>
            <w:shd w:val="clear" w:color="auto" w:fill="auto"/>
          </w:tcPr>
          <w:p w14:paraId="5E4FB07D" w14:textId="7EB9FD8E" w:rsidR="0049508C" w:rsidRPr="002D2F67" w:rsidRDefault="0049508C" w:rsidP="005611FE">
            <w:pPr>
              <w:pStyle w:val="Header"/>
              <w:ind w:left="31" w:right="-108"/>
              <w:jc w:val="left"/>
              <w:rPr>
                <w:rFonts w:ascii="Arial" w:hAnsi="Arial" w:cs="Arial"/>
                <w:color w:val="000000"/>
                <w:sz w:val="18"/>
                <w:szCs w:val="18"/>
              </w:rPr>
            </w:pPr>
            <w:r w:rsidRPr="002D2F67">
              <w:rPr>
                <w:rFonts w:ascii="Arial" w:hAnsi="Arial" w:cs="Arial"/>
                <w:color w:val="000000"/>
                <w:sz w:val="18"/>
                <w:szCs w:val="18"/>
              </w:rPr>
              <w:t>Tax credited to other comprehensive income</w:t>
            </w:r>
          </w:p>
        </w:tc>
        <w:tc>
          <w:tcPr>
            <w:tcW w:w="1197" w:type="dxa"/>
            <w:shd w:val="clear" w:color="auto" w:fill="auto"/>
            <w:vAlign w:val="bottom"/>
          </w:tcPr>
          <w:p w14:paraId="323284F3" w14:textId="1D02A946" w:rsidR="0049508C" w:rsidRPr="002D2F67" w:rsidRDefault="0049508C"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p>
        </w:tc>
        <w:tc>
          <w:tcPr>
            <w:tcW w:w="1198" w:type="dxa"/>
            <w:shd w:val="clear" w:color="auto" w:fill="auto"/>
            <w:vAlign w:val="bottom"/>
          </w:tcPr>
          <w:p w14:paraId="57233A70" w14:textId="3BA2B3E8" w:rsidR="0049508C" w:rsidRPr="002D2F67" w:rsidRDefault="0049508C"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p>
        </w:tc>
        <w:tc>
          <w:tcPr>
            <w:tcW w:w="1477" w:type="dxa"/>
            <w:shd w:val="clear" w:color="auto" w:fill="auto"/>
            <w:vAlign w:val="bottom"/>
          </w:tcPr>
          <w:p w14:paraId="7D85C48F" w14:textId="2E2E2C71"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2</w:t>
            </w:r>
            <w:r w:rsidR="0049508C" w:rsidRPr="002D2F67">
              <w:rPr>
                <w:rFonts w:ascii="Arial" w:hAnsi="Arial" w:cs="Arial"/>
                <w:color w:val="000000"/>
                <w:sz w:val="18"/>
                <w:szCs w:val="18"/>
              </w:rPr>
              <w:t>,</w:t>
            </w:r>
            <w:r w:rsidRPr="00CD5714">
              <w:rPr>
                <w:rFonts w:ascii="Arial" w:hAnsi="Arial" w:cs="Arial"/>
                <w:color w:val="000000"/>
                <w:sz w:val="18"/>
                <w:szCs w:val="18"/>
                <w:lang w:val="en-GB"/>
              </w:rPr>
              <w:t>040</w:t>
            </w:r>
          </w:p>
        </w:tc>
        <w:tc>
          <w:tcPr>
            <w:tcW w:w="1241" w:type="dxa"/>
            <w:shd w:val="clear" w:color="auto" w:fill="auto"/>
            <w:vAlign w:val="bottom"/>
          </w:tcPr>
          <w:p w14:paraId="0FD2950B" w14:textId="0F44D04E" w:rsidR="0049508C" w:rsidRPr="002D2F67" w:rsidRDefault="0049508C"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p>
        </w:tc>
        <w:tc>
          <w:tcPr>
            <w:tcW w:w="1196" w:type="dxa"/>
            <w:shd w:val="clear" w:color="auto" w:fill="auto"/>
            <w:vAlign w:val="bottom"/>
          </w:tcPr>
          <w:p w14:paraId="38F248F0" w14:textId="2008FEB4" w:rsidR="0049508C" w:rsidRPr="002D2F67" w:rsidRDefault="0049508C"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p>
        </w:tc>
        <w:tc>
          <w:tcPr>
            <w:tcW w:w="1196" w:type="dxa"/>
            <w:shd w:val="clear" w:color="auto" w:fill="auto"/>
            <w:vAlign w:val="bottom"/>
          </w:tcPr>
          <w:p w14:paraId="1FE345A2" w14:textId="2972B7C9" w:rsidR="0049508C" w:rsidRPr="002D2F67" w:rsidRDefault="0049508C"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p>
        </w:tc>
        <w:tc>
          <w:tcPr>
            <w:tcW w:w="1157" w:type="dxa"/>
            <w:shd w:val="clear" w:color="auto" w:fill="auto"/>
            <w:vAlign w:val="bottom"/>
          </w:tcPr>
          <w:p w14:paraId="6CF30AE0" w14:textId="0A6AD32A"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2</w:t>
            </w:r>
            <w:r w:rsidR="0049508C" w:rsidRPr="002D2F67">
              <w:rPr>
                <w:rFonts w:ascii="Arial" w:hAnsi="Arial" w:cs="Arial"/>
                <w:color w:val="000000"/>
                <w:sz w:val="18"/>
                <w:szCs w:val="18"/>
              </w:rPr>
              <w:t>,</w:t>
            </w:r>
            <w:r w:rsidRPr="00CD5714">
              <w:rPr>
                <w:rFonts w:ascii="Arial" w:hAnsi="Arial" w:cs="Arial"/>
                <w:color w:val="000000"/>
                <w:sz w:val="18"/>
                <w:szCs w:val="18"/>
                <w:lang w:val="en-GB"/>
              </w:rPr>
              <w:t>040</w:t>
            </w:r>
          </w:p>
        </w:tc>
      </w:tr>
      <w:tr w:rsidR="0049508C" w:rsidRPr="002D2F67" w14:paraId="751FAE2D" w14:textId="77777777" w:rsidTr="0029681C">
        <w:tc>
          <w:tcPr>
            <w:tcW w:w="6889" w:type="dxa"/>
            <w:shd w:val="clear" w:color="auto" w:fill="auto"/>
          </w:tcPr>
          <w:p w14:paraId="405CB0AB" w14:textId="108C145B" w:rsidR="0049508C" w:rsidRPr="002D2F67" w:rsidRDefault="0049508C" w:rsidP="005611FE">
            <w:pPr>
              <w:pStyle w:val="Header"/>
              <w:tabs>
                <w:tab w:val="clear" w:pos="4320"/>
                <w:tab w:val="clear" w:pos="8640"/>
              </w:tabs>
              <w:ind w:left="31"/>
              <w:jc w:val="left"/>
              <w:rPr>
                <w:rFonts w:ascii="Arial" w:hAnsi="Arial" w:cs="Arial"/>
                <w:color w:val="000000"/>
                <w:sz w:val="18"/>
                <w:szCs w:val="18"/>
              </w:rPr>
            </w:pPr>
            <w:r w:rsidRPr="002D2F67">
              <w:rPr>
                <w:rFonts w:ascii="Arial" w:hAnsi="Arial" w:cs="Arial"/>
                <w:color w:val="000000"/>
                <w:sz w:val="18"/>
                <w:szCs w:val="18"/>
              </w:rPr>
              <w:t>Currency translation differences</w:t>
            </w:r>
          </w:p>
        </w:tc>
        <w:tc>
          <w:tcPr>
            <w:tcW w:w="1197" w:type="dxa"/>
            <w:tcBorders>
              <w:bottom w:val="single" w:sz="4" w:space="0" w:color="auto"/>
            </w:tcBorders>
            <w:shd w:val="clear" w:color="auto" w:fill="auto"/>
            <w:vAlign w:val="bottom"/>
          </w:tcPr>
          <w:p w14:paraId="3EF25C40" w14:textId="06D74977" w:rsidR="0049508C" w:rsidRPr="002D2F67" w:rsidRDefault="0049508C"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10</w:t>
            </w:r>
            <w:r w:rsidRPr="002D2F67">
              <w:rPr>
                <w:rFonts w:ascii="Arial" w:hAnsi="Arial" w:cs="Arial"/>
                <w:color w:val="000000"/>
                <w:sz w:val="18"/>
                <w:szCs w:val="18"/>
              </w:rPr>
              <w:t>,</w:t>
            </w:r>
            <w:r w:rsidR="00CD5714" w:rsidRPr="00CD5714">
              <w:rPr>
                <w:rFonts w:ascii="Arial" w:hAnsi="Arial" w:cs="Arial"/>
                <w:color w:val="000000"/>
                <w:sz w:val="18"/>
                <w:szCs w:val="18"/>
                <w:lang w:val="en-GB"/>
              </w:rPr>
              <w:t>495</w:t>
            </w:r>
            <w:r w:rsidRPr="002D2F67">
              <w:rPr>
                <w:rFonts w:ascii="Arial" w:hAnsi="Arial" w:cs="Arial"/>
                <w:color w:val="000000"/>
                <w:sz w:val="18"/>
                <w:szCs w:val="18"/>
              </w:rPr>
              <w:t>)</w:t>
            </w:r>
          </w:p>
        </w:tc>
        <w:tc>
          <w:tcPr>
            <w:tcW w:w="1198" w:type="dxa"/>
            <w:tcBorders>
              <w:bottom w:val="single" w:sz="4" w:space="0" w:color="auto"/>
            </w:tcBorders>
            <w:shd w:val="clear" w:color="auto" w:fill="auto"/>
            <w:vAlign w:val="bottom"/>
          </w:tcPr>
          <w:p w14:paraId="72C9CBB4" w14:textId="0E540939" w:rsidR="0049508C" w:rsidRPr="002D2F67" w:rsidRDefault="0049508C"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3</w:t>
            </w:r>
            <w:r w:rsidRPr="002D2F67">
              <w:rPr>
                <w:rFonts w:ascii="Arial" w:hAnsi="Arial" w:cs="Arial"/>
                <w:color w:val="000000"/>
                <w:sz w:val="18"/>
                <w:szCs w:val="18"/>
              </w:rPr>
              <w:t>,</w:t>
            </w:r>
            <w:r w:rsidR="00CD5714" w:rsidRPr="00CD5714">
              <w:rPr>
                <w:rFonts w:ascii="Arial" w:hAnsi="Arial" w:cs="Arial"/>
                <w:color w:val="000000"/>
                <w:sz w:val="18"/>
                <w:szCs w:val="18"/>
                <w:lang w:val="en-GB"/>
              </w:rPr>
              <w:t>566</w:t>
            </w:r>
            <w:r w:rsidRPr="002D2F67">
              <w:rPr>
                <w:rFonts w:ascii="Arial" w:hAnsi="Arial" w:cs="Arial"/>
                <w:color w:val="000000"/>
                <w:sz w:val="18"/>
                <w:szCs w:val="18"/>
              </w:rPr>
              <w:t>)</w:t>
            </w:r>
          </w:p>
        </w:tc>
        <w:tc>
          <w:tcPr>
            <w:tcW w:w="1477" w:type="dxa"/>
            <w:tcBorders>
              <w:bottom w:val="single" w:sz="4" w:space="0" w:color="auto"/>
            </w:tcBorders>
            <w:shd w:val="clear" w:color="auto" w:fill="auto"/>
            <w:vAlign w:val="bottom"/>
          </w:tcPr>
          <w:p w14:paraId="4298AB08" w14:textId="5B8ACA18"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22</w:t>
            </w:r>
          </w:p>
        </w:tc>
        <w:tc>
          <w:tcPr>
            <w:tcW w:w="1241" w:type="dxa"/>
            <w:tcBorders>
              <w:bottom w:val="single" w:sz="4" w:space="0" w:color="auto"/>
            </w:tcBorders>
            <w:shd w:val="clear" w:color="auto" w:fill="auto"/>
            <w:vAlign w:val="bottom"/>
          </w:tcPr>
          <w:p w14:paraId="75E62872" w14:textId="71DCD455" w:rsidR="0049508C" w:rsidRPr="002D2F67" w:rsidRDefault="0049508C"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32</w:t>
            </w:r>
            <w:r w:rsidRPr="002D2F67">
              <w:rPr>
                <w:rFonts w:ascii="Arial" w:hAnsi="Arial" w:cs="Arial"/>
                <w:color w:val="000000"/>
                <w:sz w:val="18"/>
                <w:szCs w:val="18"/>
              </w:rPr>
              <w:t>)</w:t>
            </w:r>
          </w:p>
        </w:tc>
        <w:tc>
          <w:tcPr>
            <w:tcW w:w="1196" w:type="dxa"/>
            <w:tcBorders>
              <w:bottom w:val="single" w:sz="4" w:space="0" w:color="auto"/>
            </w:tcBorders>
            <w:shd w:val="clear" w:color="auto" w:fill="auto"/>
            <w:vAlign w:val="bottom"/>
          </w:tcPr>
          <w:p w14:paraId="7210E699" w14:textId="0EBD6668" w:rsidR="0049508C" w:rsidRPr="002D2F67" w:rsidRDefault="0049508C"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p>
        </w:tc>
        <w:tc>
          <w:tcPr>
            <w:tcW w:w="1196" w:type="dxa"/>
            <w:tcBorders>
              <w:bottom w:val="single" w:sz="4" w:space="0" w:color="auto"/>
            </w:tcBorders>
            <w:shd w:val="clear" w:color="auto" w:fill="auto"/>
            <w:vAlign w:val="bottom"/>
          </w:tcPr>
          <w:p w14:paraId="403FB5CD" w14:textId="228F062A" w:rsidR="0049508C" w:rsidRPr="002D2F67" w:rsidRDefault="0049508C"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4</w:t>
            </w:r>
            <w:r w:rsidRPr="002D2F67">
              <w:rPr>
                <w:rFonts w:ascii="Arial" w:hAnsi="Arial" w:cs="Arial"/>
                <w:color w:val="000000"/>
                <w:sz w:val="18"/>
                <w:szCs w:val="18"/>
              </w:rPr>
              <w:t>,</w:t>
            </w:r>
            <w:r w:rsidR="00CD5714" w:rsidRPr="00CD5714">
              <w:rPr>
                <w:rFonts w:ascii="Arial" w:hAnsi="Arial" w:cs="Arial"/>
                <w:color w:val="000000"/>
                <w:sz w:val="18"/>
                <w:szCs w:val="18"/>
                <w:lang w:val="en-GB"/>
              </w:rPr>
              <w:t>959</w:t>
            </w:r>
            <w:r w:rsidRPr="002D2F67">
              <w:rPr>
                <w:rFonts w:ascii="Arial" w:hAnsi="Arial" w:cs="Arial"/>
                <w:color w:val="000000"/>
                <w:sz w:val="18"/>
                <w:szCs w:val="18"/>
              </w:rPr>
              <w:t>)</w:t>
            </w:r>
          </w:p>
        </w:tc>
        <w:tc>
          <w:tcPr>
            <w:tcW w:w="1157" w:type="dxa"/>
            <w:tcBorders>
              <w:bottom w:val="single" w:sz="4" w:space="0" w:color="auto"/>
            </w:tcBorders>
            <w:shd w:val="clear" w:color="auto" w:fill="auto"/>
            <w:vAlign w:val="bottom"/>
          </w:tcPr>
          <w:p w14:paraId="672E4526" w14:textId="7B11C533" w:rsidR="0049508C" w:rsidRPr="002D2F67" w:rsidRDefault="0049508C"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19</w:t>
            </w:r>
            <w:r w:rsidRPr="002D2F67">
              <w:rPr>
                <w:rFonts w:ascii="Arial" w:hAnsi="Arial" w:cs="Arial"/>
                <w:color w:val="000000"/>
                <w:sz w:val="18"/>
                <w:szCs w:val="18"/>
              </w:rPr>
              <w:t>,</w:t>
            </w:r>
            <w:r w:rsidR="00CD5714" w:rsidRPr="00CD5714">
              <w:rPr>
                <w:rFonts w:ascii="Arial" w:hAnsi="Arial" w:cs="Arial"/>
                <w:color w:val="000000"/>
                <w:sz w:val="18"/>
                <w:szCs w:val="18"/>
                <w:lang w:val="en-GB"/>
              </w:rPr>
              <w:t>030</w:t>
            </w:r>
            <w:r w:rsidRPr="002D2F67">
              <w:rPr>
                <w:rFonts w:ascii="Arial" w:hAnsi="Arial" w:cs="Arial"/>
                <w:color w:val="000000"/>
                <w:sz w:val="18"/>
                <w:szCs w:val="18"/>
              </w:rPr>
              <w:t>)</w:t>
            </w:r>
          </w:p>
        </w:tc>
      </w:tr>
      <w:tr w:rsidR="0049508C" w:rsidRPr="002D2F67" w14:paraId="02C38EC6" w14:textId="77777777" w:rsidTr="0029681C">
        <w:tc>
          <w:tcPr>
            <w:tcW w:w="6889" w:type="dxa"/>
            <w:shd w:val="clear" w:color="auto" w:fill="auto"/>
          </w:tcPr>
          <w:p w14:paraId="47C54909" w14:textId="510EDB02" w:rsidR="0049508C" w:rsidRPr="002D2F67" w:rsidRDefault="0049508C" w:rsidP="005611FE">
            <w:pPr>
              <w:pStyle w:val="Header"/>
              <w:ind w:left="31" w:right="-108"/>
              <w:jc w:val="left"/>
              <w:rPr>
                <w:rFonts w:ascii="Arial" w:hAnsi="Arial" w:cs="Arial"/>
                <w:color w:val="000000"/>
                <w:sz w:val="18"/>
                <w:szCs w:val="18"/>
              </w:rPr>
            </w:pPr>
          </w:p>
        </w:tc>
        <w:tc>
          <w:tcPr>
            <w:tcW w:w="1197" w:type="dxa"/>
            <w:tcBorders>
              <w:top w:val="single" w:sz="4" w:space="0" w:color="auto"/>
            </w:tcBorders>
            <w:shd w:val="clear" w:color="auto" w:fill="auto"/>
            <w:vAlign w:val="bottom"/>
          </w:tcPr>
          <w:p w14:paraId="768FADFD" w14:textId="2687A839" w:rsidR="0049508C" w:rsidRPr="002D2F67" w:rsidRDefault="0049508C" w:rsidP="005611FE">
            <w:pPr>
              <w:pStyle w:val="Header"/>
              <w:ind w:right="-72"/>
              <w:jc w:val="right"/>
              <w:rPr>
                <w:rFonts w:ascii="Arial" w:hAnsi="Arial" w:cs="Arial"/>
                <w:color w:val="000000"/>
                <w:sz w:val="18"/>
                <w:szCs w:val="18"/>
              </w:rPr>
            </w:pPr>
          </w:p>
        </w:tc>
        <w:tc>
          <w:tcPr>
            <w:tcW w:w="1198" w:type="dxa"/>
            <w:tcBorders>
              <w:top w:val="single" w:sz="4" w:space="0" w:color="auto"/>
            </w:tcBorders>
            <w:shd w:val="clear" w:color="auto" w:fill="auto"/>
            <w:vAlign w:val="bottom"/>
          </w:tcPr>
          <w:p w14:paraId="0112CD4F" w14:textId="6EB81196" w:rsidR="0049508C" w:rsidRPr="002D2F67" w:rsidRDefault="0049508C" w:rsidP="005611FE">
            <w:pPr>
              <w:pStyle w:val="Header"/>
              <w:ind w:right="-72"/>
              <w:jc w:val="right"/>
              <w:rPr>
                <w:rFonts w:ascii="Arial" w:hAnsi="Arial" w:cs="Arial"/>
                <w:color w:val="000000"/>
                <w:sz w:val="18"/>
                <w:szCs w:val="18"/>
              </w:rPr>
            </w:pPr>
          </w:p>
        </w:tc>
        <w:tc>
          <w:tcPr>
            <w:tcW w:w="1477" w:type="dxa"/>
            <w:tcBorders>
              <w:top w:val="single" w:sz="4" w:space="0" w:color="auto"/>
            </w:tcBorders>
            <w:shd w:val="clear" w:color="auto" w:fill="auto"/>
            <w:vAlign w:val="bottom"/>
          </w:tcPr>
          <w:p w14:paraId="495AEFB2" w14:textId="10BE470A" w:rsidR="0049508C" w:rsidRPr="002D2F67" w:rsidRDefault="0049508C" w:rsidP="005611FE">
            <w:pPr>
              <w:pStyle w:val="Header"/>
              <w:ind w:right="-72"/>
              <w:jc w:val="right"/>
              <w:rPr>
                <w:rFonts w:ascii="Arial" w:hAnsi="Arial" w:cs="Arial"/>
                <w:color w:val="000000"/>
                <w:sz w:val="18"/>
                <w:szCs w:val="18"/>
              </w:rPr>
            </w:pPr>
          </w:p>
        </w:tc>
        <w:tc>
          <w:tcPr>
            <w:tcW w:w="1241" w:type="dxa"/>
            <w:tcBorders>
              <w:top w:val="single" w:sz="4" w:space="0" w:color="auto"/>
            </w:tcBorders>
            <w:shd w:val="clear" w:color="auto" w:fill="auto"/>
            <w:vAlign w:val="bottom"/>
          </w:tcPr>
          <w:p w14:paraId="6A3599FD" w14:textId="2C77F351" w:rsidR="0049508C" w:rsidRPr="002D2F67" w:rsidRDefault="0049508C" w:rsidP="005611FE">
            <w:pPr>
              <w:pStyle w:val="Header"/>
              <w:ind w:right="-72"/>
              <w:jc w:val="right"/>
              <w:rPr>
                <w:rFonts w:ascii="Arial" w:hAnsi="Arial" w:cs="Arial"/>
                <w:color w:val="000000"/>
                <w:sz w:val="18"/>
                <w:szCs w:val="18"/>
              </w:rPr>
            </w:pPr>
          </w:p>
        </w:tc>
        <w:tc>
          <w:tcPr>
            <w:tcW w:w="1196" w:type="dxa"/>
            <w:tcBorders>
              <w:top w:val="single" w:sz="4" w:space="0" w:color="auto"/>
            </w:tcBorders>
            <w:shd w:val="clear" w:color="auto" w:fill="auto"/>
            <w:vAlign w:val="bottom"/>
          </w:tcPr>
          <w:p w14:paraId="524867B7" w14:textId="77777777" w:rsidR="0049508C" w:rsidRPr="002D2F67" w:rsidRDefault="0049508C" w:rsidP="005611FE">
            <w:pPr>
              <w:pStyle w:val="Header"/>
              <w:ind w:right="-72"/>
              <w:jc w:val="right"/>
              <w:rPr>
                <w:rFonts w:ascii="Arial" w:hAnsi="Arial" w:cs="Arial"/>
                <w:color w:val="000000"/>
                <w:sz w:val="18"/>
                <w:szCs w:val="18"/>
              </w:rPr>
            </w:pPr>
          </w:p>
        </w:tc>
        <w:tc>
          <w:tcPr>
            <w:tcW w:w="1196" w:type="dxa"/>
            <w:tcBorders>
              <w:top w:val="single" w:sz="4" w:space="0" w:color="auto"/>
            </w:tcBorders>
            <w:shd w:val="clear" w:color="auto" w:fill="auto"/>
            <w:vAlign w:val="bottom"/>
          </w:tcPr>
          <w:p w14:paraId="5FB1C419" w14:textId="7BA5BF26" w:rsidR="0049508C" w:rsidRPr="002D2F67" w:rsidRDefault="0049508C" w:rsidP="005611FE">
            <w:pPr>
              <w:pStyle w:val="Header"/>
              <w:ind w:right="-72"/>
              <w:jc w:val="right"/>
              <w:rPr>
                <w:rFonts w:ascii="Arial" w:hAnsi="Arial" w:cs="Arial"/>
                <w:color w:val="000000"/>
                <w:sz w:val="18"/>
                <w:szCs w:val="18"/>
              </w:rPr>
            </w:pPr>
          </w:p>
        </w:tc>
        <w:tc>
          <w:tcPr>
            <w:tcW w:w="1157" w:type="dxa"/>
            <w:tcBorders>
              <w:top w:val="single" w:sz="4" w:space="0" w:color="auto"/>
            </w:tcBorders>
            <w:shd w:val="clear" w:color="auto" w:fill="auto"/>
            <w:vAlign w:val="bottom"/>
          </w:tcPr>
          <w:p w14:paraId="41BCCAF9" w14:textId="4DDB9311" w:rsidR="0049508C" w:rsidRPr="002D2F67" w:rsidRDefault="0049508C" w:rsidP="005611FE">
            <w:pPr>
              <w:pStyle w:val="Header"/>
              <w:ind w:right="-72"/>
              <w:jc w:val="right"/>
              <w:rPr>
                <w:rFonts w:ascii="Arial" w:hAnsi="Arial" w:cs="Arial"/>
                <w:color w:val="000000"/>
                <w:sz w:val="18"/>
                <w:szCs w:val="18"/>
              </w:rPr>
            </w:pPr>
          </w:p>
        </w:tc>
      </w:tr>
      <w:tr w:rsidR="0049508C" w:rsidRPr="002D2F67" w14:paraId="1A6DFBD4" w14:textId="77777777" w:rsidTr="0029681C">
        <w:tc>
          <w:tcPr>
            <w:tcW w:w="6889" w:type="dxa"/>
            <w:shd w:val="clear" w:color="auto" w:fill="auto"/>
          </w:tcPr>
          <w:p w14:paraId="2348ED04" w14:textId="7A0B136F" w:rsidR="0049508C" w:rsidRPr="002D2F67" w:rsidRDefault="0049508C" w:rsidP="005611FE">
            <w:pPr>
              <w:pStyle w:val="Header"/>
              <w:ind w:left="31" w:right="-108"/>
              <w:jc w:val="left"/>
              <w:rPr>
                <w:rFonts w:ascii="Arial" w:hAnsi="Arial" w:cs="Arial"/>
                <w:color w:val="000000"/>
                <w:sz w:val="18"/>
                <w:szCs w:val="18"/>
              </w:rPr>
            </w:pPr>
            <w:r w:rsidRPr="002D2F67">
              <w:rPr>
                <w:rFonts w:ascii="Arial" w:hAnsi="Arial" w:cs="Arial"/>
                <w:color w:val="000000"/>
                <w:sz w:val="18"/>
                <w:szCs w:val="18"/>
              </w:rPr>
              <w:t xml:space="preserve">As </w:t>
            </w:r>
            <w:proofErr w:type="gramStart"/>
            <w:r w:rsidRPr="002D2F67">
              <w:rPr>
                <w:rFonts w:ascii="Arial" w:hAnsi="Arial" w:cs="Arial"/>
                <w:color w:val="000000"/>
                <w:sz w:val="18"/>
                <w:szCs w:val="18"/>
              </w:rPr>
              <w:t>at</w:t>
            </w:r>
            <w:proofErr w:type="gramEnd"/>
            <w:r w:rsidRPr="002D2F67">
              <w:rPr>
                <w:rFonts w:ascii="Arial" w:hAnsi="Arial" w:cs="Arial"/>
                <w:color w:val="000000"/>
                <w:sz w:val="18"/>
                <w:szCs w:val="18"/>
              </w:rPr>
              <w:t xml:space="preserve"> </w:t>
            </w:r>
            <w:r w:rsidR="00CD5714" w:rsidRPr="00CD5714">
              <w:rPr>
                <w:rFonts w:ascii="Arial" w:hAnsi="Arial" w:cs="Arial"/>
                <w:color w:val="000000"/>
                <w:sz w:val="18"/>
                <w:szCs w:val="18"/>
                <w:lang w:val="en-GB"/>
              </w:rPr>
              <w:t>31</w:t>
            </w:r>
            <w:r w:rsidRPr="002D2F67">
              <w:rPr>
                <w:rFonts w:ascii="Arial" w:hAnsi="Arial" w:cs="Arial"/>
                <w:color w:val="000000"/>
                <w:sz w:val="18"/>
                <w:szCs w:val="18"/>
              </w:rPr>
              <w:t xml:space="preserve"> December </w:t>
            </w:r>
            <w:r w:rsidR="00CD5714" w:rsidRPr="00CD5714">
              <w:rPr>
                <w:rFonts w:ascii="Arial" w:hAnsi="Arial" w:cs="Arial"/>
                <w:color w:val="000000"/>
                <w:sz w:val="18"/>
                <w:szCs w:val="18"/>
                <w:lang w:val="en-GB"/>
              </w:rPr>
              <w:t>2023</w:t>
            </w:r>
          </w:p>
        </w:tc>
        <w:tc>
          <w:tcPr>
            <w:tcW w:w="1197" w:type="dxa"/>
            <w:tcBorders>
              <w:bottom w:val="single" w:sz="4" w:space="0" w:color="auto"/>
            </w:tcBorders>
            <w:shd w:val="clear" w:color="auto" w:fill="auto"/>
            <w:vAlign w:val="bottom"/>
          </w:tcPr>
          <w:p w14:paraId="3FB976F1" w14:textId="1D00DCA0"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106</w:t>
            </w:r>
            <w:r w:rsidR="0049508C" w:rsidRPr="002D2F67">
              <w:rPr>
                <w:rFonts w:ascii="Arial" w:hAnsi="Arial" w:cs="Arial"/>
                <w:color w:val="000000"/>
                <w:sz w:val="18"/>
                <w:szCs w:val="18"/>
              </w:rPr>
              <w:t>,</w:t>
            </w:r>
            <w:r w:rsidRPr="00CD5714">
              <w:rPr>
                <w:rFonts w:ascii="Arial" w:hAnsi="Arial" w:cs="Arial"/>
                <w:color w:val="000000"/>
                <w:sz w:val="18"/>
                <w:szCs w:val="18"/>
                <w:lang w:val="en-GB"/>
              </w:rPr>
              <w:t>216</w:t>
            </w:r>
          </w:p>
        </w:tc>
        <w:tc>
          <w:tcPr>
            <w:tcW w:w="1198" w:type="dxa"/>
            <w:tcBorders>
              <w:bottom w:val="single" w:sz="4" w:space="0" w:color="auto"/>
            </w:tcBorders>
            <w:shd w:val="clear" w:color="auto" w:fill="auto"/>
            <w:vAlign w:val="bottom"/>
          </w:tcPr>
          <w:p w14:paraId="4914C6C7" w14:textId="3723CC88"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36</w:t>
            </w:r>
            <w:r w:rsidR="0049508C" w:rsidRPr="002D2F67">
              <w:rPr>
                <w:rFonts w:ascii="Arial" w:hAnsi="Arial" w:cs="Arial"/>
                <w:color w:val="000000"/>
                <w:sz w:val="18"/>
                <w:szCs w:val="18"/>
              </w:rPr>
              <w:t>,</w:t>
            </w:r>
            <w:r w:rsidRPr="00CD5714">
              <w:rPr>
                <w:rFonts w:ascii="Arial" w:hAnsi="Arial" w:cs="Arial"/>
                <w:color w:val="000000"/>
                <w:sz w:val="18"/>
                <w:szCs w:val="18"/>
                <w:lang w:val="en-GB"/>
              </w:rPr>
              <w:t>808</w:t>
            </w:r>
          </w:p>
        </w:tc>
        <w:tc>
          <w:tcPr>
            <w:tcW w:w="1477" w:type="dxa"/>
            <w:tcBorders>
              <w:bottom w:val="single" w:sz="4" w:space="0" w:color="auto"/>
            </w:tcBorders>
            <w:shd w:val="clear" w:color="auto" w:fill="auto"/>
            <w:vAlign w:val="bottom"/>
          </w:tcPr>
          <w:p w14:paraId="3D1AA838" w14:textId="50D5C6BD"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4</w:t>
            </w:r>
            <w:r w:rsidR="0049508C" w:rsidRPr="002D2F67">
              <w:rPr>
                <w:rFonts w:ascii="Arial" w:hAnsi="Arial" w:cs="Arial"/>
                <w:color w:val="000000"/>
                <w:sz w:val="18"/>
                <w:szCs w:val="18"/>
              </w:rPr>
              <w:t>,</w:t>
            </w:r>
            <w:r w:rsidRPr="00CD5714">
              <w:rPr>
                <w:rFonts w:ascii="Arial" w:hAnsi="Arial" w:cs="Arial"/>
                <w:color w:val="000000"/>
                <w:sz w:val="18"/>
                <w:szCs w:val="18"/>
                <w:lang w:val="en-GB"/>
              </w:rPr>
              <w:t>282</w:t>
            </w:r>
          </w:p>
        </w:tc>
        <w:tc>
          <w:tcPr>
            <w:tcW w:w="1241" w:type="dxa"/>
            <w:tcBorders>
              <w:bottom w:val="single" w:sz="4" w:space="0" w:color="auto"/>
            </w:tcBorders>
            <w:shd w:val="clear" w:color="auto" w:fill="auto"/>
            <w:vAlign w:val="bottom"/>
          </w:tcPr>
          <w:p w14:paraId="230C6A1F" w14:textId="21C5EDCD"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45</w:t>
            </w:r>
            <w:r w:rsidR="0049508C" w:rsidRPr="002D2F67">
              <w:rPr>
                <w:rFonts w:ascii="Arial" w:hAnsi="Arial" w:cs="Arial"/>
                <w:color w:val="000000"/>
                <w:sz w:val="18"/>
                <w:szCs w:val="18"/>
              </w:rPr>
              <w:t>,</w:t>
            </w:r>
            <w:r w:rsidRPr="00CD5714">
              <w:rPr>
                <w:rFonts w:ascii="Arial" w:hAnsi="Arial" w:cs="Arial"/>
                <w:color w:val="000000"/>
                <w:sz w:val="18"/>
                <w:szCs w:val="18"/>
                <w:lang w:val="en-GB"/>
              </w:rPr>
              <w:t>671</w:t>
            </w:r>
          </w:p>
        </w:tc>
        <w:tc>
          <w:tcPr>
            <w:tcW w:w="1196" w:type="dxa"/>
            <w:tcBorders>
              <w:bottom w:val="single" w:sz="4" w:space="0" w:color="auto"/>
            </w:tcBorders>
            <w:shd w:val="clear" w:color="auto" w:fill="auto"/>
            <w:vAlign w:val="bottom"/>
          </w:tcPr>
          <w:p w14:paraId="7D2A44A6" w14:textId="1E2FC94F"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44</w:t>
            </w:r>
            <w:r w:rsidR="0049508C" w:rsidRPr="002D2F67">
              <w:rPr>
                <w:rFonts w:ascii="Arial" w:hAnsi="Arial" w:cs="Arial"/>
                <w:color w:val="000000"/>
                <w:sz w:val="18"/>
                <w:szCs w:val="18"/>
              </w:rPr>
              <w:t>,</w:t>
            </w:r>
            <w:r w:rsidRPr="00CD5714">
              <w:rPr>
                <w:rFonts w:ascii="Arial" w:hAnsi="Arial" w:cs="Arial"/>
                <w:color w:val="000000"/>
                <w:sz w:val="18"/>
                <w:szCs w:val="18"/>
                <w:lang w:val="en-GB"/>
              </w:rPr>
              <w:t>258</w:t>
            </w:r>
          </w:p>
        </w:tc>
        <w:tc>
          <w:tcPr>
            <w:tcW w:w="1196" w:type="dxa"/>
            <w:tcBorders>
              <w:bottom w:val="single" w:sz="4" w:space="0" w:color="auto"/>
            </w:tcBorders>
            <w:shd w:val="clear" w:color="auto" w:fill="auto"/>
            <w:vAlign w:val="bottom"/>
          </w:tcPr>
          <w:p w14:paraId="18966F04" w14:textId="0BACEBEF"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300</w:t>
            </w:r>
            <w:r w:rsidR="0049508C" w:rsidRPr="002D2F67">
              <w:rPr>
                <w:rFonts w:ascii="Arial" w:hAnsi="Arial" w:cs="Arial"/>
                <w:color w:val="000000"/>
                <w:sz w:val="18"/>
                <w:szCs w:val="18"/>
              </w:rPr>
              <w:t>,</w:t>
            </w:r>
            <w:r w:rsidRPr="00CD5714">
              <w:rPr>
                <w:rFonts w:ascii="Arial" w:hAnsi="Arial" w:cs="Arial"/>
                <w:color w:val="000000"/>
                <w:sz w:val="18"/>
                <w:szCs w:val="18"/>
                <w:lang w:val="en-GB"/>
              </w:rPr>
              <w:t>151</w:t>
            </w:r>
          </w:p>
        </w:tc>
        <w:tc>
          <w:tcPr>
            <w:tcW w:w="1157" w:type="dxa"/>
            <w:tcBorders>
              <w:bottom w:val="single" w:sz="4" w:space="0" w:color="auto"/>
            </w:tcBorders>
            <w:shd w:val="clear" w:color="auto" w:fill="auto"/>
            <w:vAlign w:val="bottom"/>
          </w:tcPr>
          <w:p w14:paraId="5E2DB462" w14:textId="09A2C02E"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537</w:t>
            </w:r>
            <w:r w:rsidR="0049508C" w:rsidRPr="002D2F67">
              <w:rPr>
                <w:rFonts w:ascii="Arial" w:hAnsi="Arial" w:cs="Arial"/>
                <w:color w:val="000000"/>
                <w:sz w:val="18"/>
                <w:szCs w:val="18"/>
              </w:rPr>
              <w:t>,</w:t>
            </w:r>
            <w:r w:rsidRPr="00CD5714">
              <w:rPr>
                <w:rFonts w:ascii="Arial" w:hAnsi="Arial" w:cs="Arial"/>
                <w:color w:val="000000"/>
                <w:sz w:val="18"/>
                <w:szCs w:val="18"/>
                <w:lang w:val="en-GB"/>
              </w:rPr>
              <w:t>386</w:t>
            </w:r>
          </w:p>
        </w:tc>
      </w:tr>
      <w:tr w:rsidR="00211F95" w:rsidRPr="002D2F67" w14:paraId="77E5C1DD" w14:textId="77777777" w:rsidTr="0029681C">
        <w:tc>
          <w:tcPr>
            <w:tcW w:w="6889" w:type="dxa"/>
            <w:shd w:val="clear" w:color="auto" w:fill="auto"/>
          </w:tcPr>
          <w:p w14:paraId="5A387C62" w14:textId="77777777" w:rsidR="00425288" w:rsidRPr="002D2F67" w:rsidRDefault="00425288" w:rsidP="005611FE">
            <w:pPr>
              <w:pStyle w:val="Header"/>
              <w:tabs>
                <w:tab w:val="clear" w:pos="4320"/>
                <w:tab w:val="clear" w:pos="8640"/>
              </w:tabs>
              <w:ind w:left="31"/>
              <w:jc w:val="left"/>
              <w:rPr>
                <w:rFonts w:ascii="Arial" w:hAnsi="Arial" w:cs="Arial"/>
                <w:color w:val="000000"/>
                <w:sz w:val="18"/>
                <w:szCs w:val="18"/>
              </w:rPr>
            </w:pPr>
          </w:p>
        </w:tc>
        <w:tc>
          <w:tcPr>
            <w:tcW w:w="1197" w:type="dxa"/>
            <w:tcBorders>
              <w:top w:val="single" w:sz="4" w:space="0" w:color="auto"/>
            </w:tcBorders>
            <w:shd w:val="clear" w:color="auto" w:fill="auto"/>
            <w:vAlign w:val="bottom"/>
          </w:tcPr>
          <w:p w14:paraId="4408A8B2" w14:textId="77777777" w:rsidR="00425288" w:rsidRPr="002D2F67" w:rsidRDefault="00425288"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198" w:type="dxa"/>
            <w:tcBorders>
              <w:top w:val="single" w:sz="4" w:space="0" w:color="auto"/>
            </w:tcBorders>
            <w:shd w:val="clear" w:color="auto" w:fill="auto"/>
            <w:vAlign w:val="bottom"/>
          </w:tcPr>
          <w:p w14:paraId="1B3CA07D" w14:textId="77777777" w:rsidR="00425288" w:rsidRPr="002D2F67" w:rsidRDefault="00425288"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77" w:type="dxa"/>
            <w:tcBorders>
              <w:top w:val="single" w:sz="4" w:space="0" w:color="auto"/>
            </w:tcBorders>
            <w:shd w:val="clear" w:color="auto" w:fill="auto"/>
            <w:vAlign w:val="bottom"/>
          </w:tcPr>
          <w:p w14:paraId="7FE59D7E" w14:textId="77777777" w:rsidR="00425288" w:rsidRPr="002D2F67" w:rsidRDefault="00425288"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241" w:type="dxa"/>
            <w:tcBorders>
              <w:top w:val="single" w:sz="4" w:space="0" w:color="auto"/>
            </w:tcBorders>
            <w:shd w:val="clear" w:color="auto" w:fill="auto"/>
            <w:vAlign w:val="bottom"/>
          </w:tcPr>
          <w:p w14:paraId="19CC69EC" w14:textId="77777777" w:rsidR="00425288" w:rsidRPr="002D2F67" w:rsidRDefault="00425288"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196" w:type="dxa"/>
            <w:tcBorders>
              <w:top w:val="single" w:sz="4" w:space="0" w:color="auto"/>
            </w:tcBorders>
            <w:shd w:val="clear" w:color="auto" w:fill="auto"/>
            <w:vAlign w:val="bottom"/>
          </w:tcPr>
          <w:p w14:paraId="7D8152EA" w14:textId="77777777" w:rsidR="00425288" w:rsidRPr="002D2F67" w:rsidRDefault="00425288"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196" w:type="dxa"/>
            <w:tcBorders>
              <w:top w:val="single" w:sz="4" w:space="0" w:color="auto"/>
            </w:tcBorders>
            <w:shd w:val="clear" w:color="auto" w:fill="auto"/>
            <w:vAlign w:val="bottom"/>
          </w:tcPr>
          <w:p w14:paraId="458EFCDC" w14:textId="77777777" w:rsidR="00425288" w:rsidRPr="002D2F67" w:rsidRDefault="00425288"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157" w:type="dxa"/>
            <w:tcBorders>
              <w:top w:val="single" w:sz="4" w:space="0" w:color="auto"/>
            </w:tcBorders>
            <w:shd w:val="clear" w:color="auto" w:fill="auto"/>
            <w:vAlign w:val="bottom"/>
          </w:tcPr>
          <w:p w14:paraId="19875572" w14:textId="77777777" w:rsidR="00425288" w:rsidRPr="002D2F67" w:rsidRDefault="00425288"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r>
      <w:tr w:rsidR="005611FE" w:rsidRPr="002D2F67" w14:paraId="36AC0CA2" w14:textId="77777777" w:rsidTr="0029681C">
        <w:tc>
          <w:tcPr>
            <w:tcW w:w="6889" w:type="dxa"/>
            <w:shd w:val="clear" w:color="auto" w:fill="auto"/>
          </w:tcPr>
          <w:p w14:paraId="444B381E" w14:textId="2BA91BFD" w:rsidR="0049508C" w:rsidRPr="002D2F67" w:rsidRDefault="0049508C" w:rsidP="005611FE">
            <w:pPr>
              <w:pStyle w:val="Header"/>
              <w:tabs>
                <w:tab w:val="clear" w:pos="4320"/>
                <w:tab w:val="clear" w:pos="8640"/>
              </w:tabs>
              <w:ind w:left="31"/>
              <w:jc w:val="left"/>
              <w:rPr>
                <w:rFonts w:ascii="Arial" w:hAnsi="Arial" w:cs="Arial"/>
                <w:color w:val="000000"/>
                <w:spacing w:val="-10"/>
                <w:sz w:val="18"/>
                <w:szCs w:val="18"/>
              </w:rPr>
            </w:pPr>
            <w:r w:rsidRPr="002D2F67">
              <w:rPr>
                <w:rFonts w:ascii="Arial" w:hAnsi="Arial" w:cs="Arial"/>
                <w:color w:val="000000"/>
                <w:sz w:val="18"/>
                <w:szCs w:val="18"/>
              </w:rPr>
              <w:t xml:space="preserve">As </w:t>
            </w:r>
            <w:proofErr w:type="gramStart"/>
            <w:r w:rsidRPr="002D2F67">
              <w:rPr>
                <w:rFonts w:ascii="Arial" w:hAnsi="Arial" w:cs="Arial"/>
                <w:color w:val="000000"/>
                <w:sz w:val="18"/>
                <w:szCs w:val="18"/>
              </w:rPr>
              <w:t>at</w:t>
            </w:r>
            <w:proofErr w:type="gramEnd"/>
            <w:r w:rsidRPr="002D2F67">
              <w:rPr>
                <w:rFonts w:ascii="Arial" w:hAnsi="Arial" w:cs="Arial"/>
                <w:color w:val="000000"/>
                <w:sz w:val="18"/>
                <w:szCs w:val="18"/>
              </w:rPr>
              <w:t xml:space="preserve"> </w:t>
            </w:r>
            <w:r w:rsidR="00CD5714" w:rsidRPr="00CD5714">
              <w:rPr>
                <w:rFonts w:ascii="Arial" w:hAnsi="Arial" w:cs="Arial"/>
                <w:color w:val="000000"/>
                <w:sz w:val="18"/>
                <w:szCs w:val="18"/>
                <w:lang w:val="en-GB"/>
              </w:rPr>
              <w:t>1</w:t>
            </w:r>
            <w:r w:rsidRPr="002D2F67">
              <w:rPr>
                <w:rFonts w:ascii="Arial" w:hAnsi="Arial" w:cs="Arial"/>
                <w:color w:val="000000"/>
                <w:sz w:val="18"/>
                <w:szCs w:val="18"/>
              </w:rPr>
              <w:t xml:space="preserve"> January </w:t>
            </w:r>
            <w:r w:rsidR="00CD5714" w:rsidRPr="00CD5714">
              <w:rPr>
                <w:rFonts w:ascii="Arial" w:hAnsi="Arial" w:cs="Arial"/>
                <w:color w:val="000000"/>
                <w:sz w:val="18"/>
                <w:szCs w:val="18"/>
                <w:lang w:val="en-GB"/>
              </w:rPr>
              <w:t>2024</w:t>
            </w:r>
          </w:p>
        </w:tc>
        <w:tc>
          <w:tcPr>
            <w:tcW w:w="1197" w:type="dxa"/>
            <w:shd w:val="clear" w:color="auto" w:fill="auto"/>
            <w:vAlign w:val="bottom"/>
          </w:tcPr>
          <w:p w14:paraId="14B4A20E" w14:textId="7D788EA0"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106</w:t>
            </w:r>
            <w:r w:rsidR="0049508C" w:rsidRPr="002D2F67">
              <w:rPr>
                <w:rFonts w:ascii="Arial" w:hAnsi="Arial" w:cs="Arial"/>
                <w:color w:val="000000"/>
                <w:sz w:val="18"/>
                <w:szCs w:val="18"/>
              </w:rPr>
              <w:t>,</w:t>
            </w:r>
            <w:r w:rsidRPr="00CD5714">
              <w:rPr>
                <w:rFonts w:ascii="Arial" w:hAnsi="Arial" w:cs="Arial"/>
                <w:color w:val="000000"/>
                <w:sz w:val="18"/>
                <w:szCs w:val="18"/>
                <w:lang w:val="en-GB"/>
              </w:rPr>
              <w:t>216</w:t>
            </w:r>
          </w:p>
        </w:tc>
        <w:tc>
          <w:tcPr>
            <w:tcW w:w="1198" w:type="dxa"/>
            <w:shd w:val="clear" w:color="auto" w:fill="auto"/>
            <w:vAlign w:val="bottom"/>
          </w:tcPr>
          <w:p w14:paraId="70B9ADAD" w14:textId="3BE74D9B"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36</w:t>
            </w:r>
            <w:r w:rsidR="0049508C" w:rsidRPr="002D2F67">
              <w:rPr>
                <w:rFonts w:ascii="Arial" w:hAnsi="Arial" w:cs="Arial"/>
                <w:color w:val="000000"/>
                <w:sz w:val="18"/>
                <w:szCs w:val="18"/>
              </w:rPr>
              <w:t>,</w:t>
            </w:r>
            <w:r w:rsidRPr="00CD5714">
              <w:rPr>
                <w:rFonts w:ascii="Arial" w:hAnsi="Arial" w:cs="Arial"/>
                <w:color w:val="000000"/>
                <w:sz w:val="18"/>
                <w:szCs w:val="18"/>
                <w:lang w:val="en-GB"/>
              </w:rPr>
              <w:t>808</w:t>
            </w:r>
          </w:p>
        </w:tc>
        <w:tc>
          <w:tcPr>
            <w:tcW w:w="1477" w:type="dxa"/>
            <w:shd w:val="clear" w:color="auto" w:fill="auto"/>
            <w:vAlign w:val="bottom"/>
          </w:tcPr>
          <w:p w14:paraId="1E48C7B3" w14:textId="1315AB69"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4</w:t>
            </w:r>
            <w:r w:rsidR="0049508C" w:rsidRPr="002D2F67">
              <w:rPr>
                <w:rFonts w:ascii="Arial" w:hAnsi="Arial" w:cs="Arial"/>
                <w:color w:val="000000"/>
                <w:sz w:val="18"/>
                <w:szCs w:val="18"/>
              </w:rPr>
              <w:t>,</w:t>
            </w:r>
            <w:r w:rsidRPr="00CD5714">
              <w:rPr>
                <w:rFonts w:ascii="Arial" w:hAnsi="Arial" w:cs="Arial"/>
                <w:color w:val="000000"/>
                <w:sz w:val="18"/>
                <w:szCs w:val="18"/>
                <w:lang w:val="en-GB"/>
              </w:rPr>
              <w:t>282</w:t>
            </w:r>
          </w:p>
        </w:tc>
        <w:tc>
          <w:tcPr>
            <w:tcW w:w="1241" w:type="dxa"/>
            <w:shd w:val="clear" w:color="auto" w:fill="auto"/>
            <w:vAlign w:val="bottom"/>
          </w:tcPr>
          <w:p w14:paraId="1F932D1C" w14:textId="41AE07F1"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45</w:t>
            </w:r>
            <w:r w:rsidR="0049508C" w:rsidRPr="002D2F67">
              <w:rPr>
                <w:rFonts w:ascii="Arial" w:hAnsi="Arial" w:cs="Arial"/>
                <w:color w:val="000000"/>
                <w:sz w:val="18"/>
                <w:szCs w:val="18"/>
              </w:rPr>
              <w:t>,</w:t>
            </w:r>
            <w:r w:rsidRPr="00CD5714">
              <w:rPr>
                <w:rFonts w:ascii="Arial" w:hAnsi="Arial" w:cs="Arial"/>
                <w:color w:val="000000"/>
                <w:sz w:val="18"/>
                <w:szCs w:val="18"/>
                <w:lang w:val="en-GB"/>
              </w:rPr>
              <w:t>671</w:t>
            </w:r>
          </w:p>
        </w:tc>
        <w:tc>
          <w:tcPr>
            <w:tcW w:w="1196" w:type="dxa"/>
            <w:shd w:val="clear" w:color="auto" w:fill="auto"/>
            <w:vAlign w:val="bottom"/>
          </w:tcPr>
          <w:p w14:paraId="40339262" w14:textId="3C1B881C"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44</w:t>
            </w:r>
            <w:r w:rsidR="0049508C" w:rsidRPr="002D2F67">
              <w:rPr>
                <w:rFonts w:ascii="Arial" w:hAnsi="Arial" w:cs="Arial"/>
                <w:color w:val="000000"/>
                <w:sz w:val="18"/>
                <w:szCs w:val="18"/>
              </w:rPr>
              <w:t>,</w:t>
            </w:r>
            <w:r w:rsidRPr="00CD5714">
              <w:rPr>
                <w:rFonts w:ascii="Arial" w:hAnsi="Arial" w:cs="Arial"/>
                <w:color w:val="000000"/>
                <w:sz w:val="18"/>
                <w:szCs w:val="18"/>
                <w:lang w:val="en-GB"/>
              </w:rPr>
              <w:t>258</w:t>
            </w:r>
          </w:p>
        </w:tc>
        <w:tc>
          <w:tcPr>
            <w:tcW w:w="1196" w:type="dxa"/>
            <w:shd w:val="clear" w:color="auto" w:fill="auto"/>
            <w:vAlign w:val="bottom"/>
          </w:tcPr>
          <w:p w14:paraId="55F29F8C" w14:textId="2699DBE0"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300</w:t>
            </w:r>
            <w:r w:rsidR="0049508C" w:rsidRPr="002D2F67">
              <w:rPr>
                <w:rFonts w:ascii="Arial" w:hAnsi="Arial" w:cs="Arial"/>
                <w:color w:val="000000"/>
                <w:sz w:val="18"/>
                <w:szCs w:val="18"/>
              </w:rPr>
              <w:t>,</w:t>
            </w:r>
            <w:r w:rsidRPr="00CD5714">
              <w:rPr>
                <w:rFonts w:ascii="Arial" w:hAnsi="Arial" w:cs="Arial"/>
                <w:color w:val="000000"/>
                <w:sz w:val="18"/>
                <w:szCs w:val="18"/>
                <w:lang w:val="en-GB"/>
              </w:rPr>
              <w:t>151</w:t>
            </w:r>
          </w:p>
        </w:tc>
        <w:tc>
          <w:tcPr>
            <w:tcW w:w="1157" w:type="dxa"/>
            <w:shd w:val="clear" w:color="auto" w:fill="auto"/>
            <w:vAlign w:val="bottom"/>
          </w:tcPr>
          <w:p w14:paraId="57DF9034" w14:textId="724388D5"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537</w:t>
            </w:r>
            <w:r w:rsidR="0049508C" w:rsidRPr="002D2F67">
              <w:rPr>
                <w:rFonts w:ascii="Arial" w:hAnsi="Arial" w:cs="Arial"/>
                <w:color w:val="000000"/>
                <w:sz w:val="18"/>
                <w:szCs w:val="18"/>
              </w:rPr>
              <w:t>,</w:t>
            </w:r>
            <w:r w:rsidRPr="00CD5714">
              <w:rPr>
                <w:rFonts w:ascii="Arial" w:hAnsi="Arial" w:cs="Arial"/>
                <w:color w:val="000000"/>
                <w:sz w:val="18"/>
                <w:szCs w:val="18"/>
                <w:lang w:val="en-GB"/>
              </w:rPr>
              <w:t>386</w:t>
            </w:r>
          </w:p>
        </w:tc>
      </w:tr>
      <w:tr w:rsidR="005611FE" w:rsidRPr="002D2F67" w14:paraId="729386FE" w14:textId="77777777" w:rsidTr="0029681C">
        <w:tc>
          <w:tcPr>
            <w:tcW w:w="6889" w:type="dxa"/>
            <w:shd w:val="clear" w:color="auto" w:fill="auto"/>
          </w:tcPr>
          <w:p w14:paraId="016D725B" w14:textId="77777777" w:rsidR="0049508C" w:rsidRPr="002D2F67" w:rsidRDefault="0049508C" w:rsidP="005611FE">
            <w:pPr>
              <w:pStyle w:val="Header"/>
              <w:tabs>
                <w:tab w:val="clear" w:pos="4320"/>
                <w:tab w:val="clear" w:pos="8640"/>
              </w:tabs>
              <w:ind w:left="31"/>
              <w:jc w:val="left"/>
              <w:rPr>
                <w:rFonts w:ascii="Arial" w:hAnsi="Arial" w:cs="Arial"/>
                <w:color w:val="000000"/>
                <w:sz w:val="18"/>
                <w:szCs w:val="18"/>
              </w:rPr>
            </w:pPr>
            <w:r w:rsidRPr="002D2F67">
              <w:rPr>
                <w:rFonts w:ascii="Arial" w:hAnsi="Arial" w:cs="Arial"/>
                <w:color w:val="000000"/>
                <w:sz w:val="18"/>
                <w:szCs w:val="18"/>
              </w:rPr>
              <w:t>Tax charged (credited) to profit or loss</w:t>
            </w:r>
          </w:p>
        </w:tc>
        <w:tc>
          <w:tcPr>
            <w:tcW w:w="1197" w:type="dxa"/>
            <w:shd w:val="clear" w:color="auto" w:fill="auto"/>
            <w:vAlign w:val="bottom"/>
          </w:tcPr>
          <w:p w14:paraId="5EC8B5D1" w14:textId="704899C8" w:rsidR="0049508C" w:rsidRPr="002D2F67" w:rsidRDefault="00521FFF"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90</w:t>
            </w:r>
            <w:r w:rsidRPr="002D2F67">
              <w:rPr>
                <w:rFonts w:ascii="Arial" w:hAnsi="Arial" w:cs="Arial"/>
                <w:color w:val="000000"/>
                <w:sz w:val="18"/>
                <w:szCs w:val="18"/>
              </w:rPr>
              <w:t>,</w:t>
            </w:r>
            <w:r w:rsidR="00483E31">
              <w:rPr>
                <w:rFonts w:ascii="Arial" w:hAnsi="Arial" w:cs="Arial"/>
                <w:color w:val="000000"/>
                <w:sz w:val="18"/>
                <w:szCs w:val="18"/>
                <w:lang w:val="en-GB"/>
              </w:rPr>
              <w:t>88</w:t>
            </w:r>
            <w:r w:rsidR="00CD5714" w:rsidRPr="00CD5714">
              <w:rPr>
                <w:rFonts w:ascii="Arial" w:hAnsi="Arial" w:cs="Arial"/>
                <w:color w:val="000000"/>
                <w:sz w:val="18"/>
                <w:szCs w:val="18"/>
                <w:lang w:val="en-GB"/>
              </w:rPr>
              <w:t>2</w:t>
            </w:r>
            <w:r w:rsidRPr="002D2F67">
              <w:rPr>
                <w:rFonts w:ascii="Arial" w:hAnsi="Arial" w:cs="Arial"/>
                <w:color w:val="000000"/>
                <w:sz w:val="18"/>
                <w:szCs w:val="18"/>
              </w:rPr>
              <w:t>)</w:t>
            </w:r>
          </w:p>
        </w:tc>
        <w:tc>
          <w:tcPr>
            <w:tcW w:w="1198" w:type="dxa"/>
            <w:shd w:val="clear" w:color="auto" w:fill="auto"/>
            <w:vAlign w:val="bottom"/>
          </w:tcPr>
          <w:p w14:paraId="54F40BEF" w14:textId="23DEE45A" w:rsidR="0049508C" w:rsidRPr="002D2F67" w:rsidRDefault="00B80D6F"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31</w:t>
            </w:r>
            <w:r w:rsidRPr="002D2F67">
              <w:rPr>
                <w:rFonts w:ascii="Arial" w:hAnsi="Arial" w:cs="Arial"/>
                <w:color w:val="000000"/>
                <w:sz w:val="18"/>
                <w:szCs w:val="18"/>
              </w:rPr>
              <w:t>,</w:t>
            </w:r>
            <w:r w:rsidR="00CD5714" w:rsidRPr="00CD5714">
              <w:rPr>
                <w:rFonts w:ascii="Arial" w:hAnsi="Arial" w:cs="Arial"/>
                <w:color w:val="000000"/>
                <w:sz w:val="18"/>
                <w:szCs w:val="18"/>
                <w:lang w:val="en-GB"/>
              </w:rPr>
              <w:t>520</w:t>
            </w:r>
            <w:r w:rsidRPr="002D2F67">
              <w:rPr>
                <w:rFonts w:ascii="Arial" w:hAnsi="Arial" w:cs="Arial"/>
                <w:color w:val="000000"/>
                <w:sz w:val="18"/>
                <w:szCs w:val="18"/>
              </w:rPr>
              <w:t>)</w:t>
            </w:r>
          </w:p>
        </w:tc>
        <w:tc>
          <w:tcPr>
            <w:tcW w:w="1477" w:type="dxa"/>
            <w:shd w:val="clear" w:color="auto" w:fill="auto"/>
            <w:vAlign w:val="bottom"/>
          </w:tcPr>
          <w:p w14:paraId="317AC28A" w14:textId="6A5D09DF" w:rsidR="0049508C" w:rsidRPr="002D2F67" w:rsidRDefault="007B6DBD"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p>
        </w:tc>
        <w:tc>
          <w:tcPr>
            <w:tcW w:w="1241" w:type="dxa"/>
            <w:shd w:val="clear" w:color="auto" w:fill="auto"/>
            <w:vAlign w:val="bottom"/>
          </w:tcPr>
          <w:p w14:paraId="7CC86187" w14:textId="1D75D6CB" w:rsidR="0049508C" w:rsidRPr="002D2F67" w:rsidRDefault="007B6DBD"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p>
        </w:tc>
        <w:tc>
          <w:tcPr>
            <w:tcW w:w="1196" w:type="dxa"/>
            <w:shd w:val="clear" w:color="auto" w:fill="auto"/>
            <w:vAlign w:val="bottom"/>
          </w:tcPr>
          <w:p w14:paraId="7C20FECC" w14:textId="44E75AA4" w:rsidR="0049508C" w:rsidRPr="002D2F67" w:rsidRDefault="007B6DBD"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14</w:t>
            </w:r>
            <w:r w:rsidRPr="002D2F67">
              <w:rPr>
                <w:rFonts w:ascii="Arial" w:hAnsi="Arial" w:cs="Arial"/>
                <w:color w:val="000000"/>
                <w:sz w:val="18"/>
                <w:szCs w:val="18"/>
              </w:rPr>
              <w:t>,</w:t>
            </w:r>
            <w:r w:rsidR="00CD5714" w:rsidRPr="00CD5714">
              <w:rPr>
                <w:rFonts w:ascii="Arial" w:hAnsi="Arial" w:cs="Arial"/>
                <w:color w:val="000000"/>
                <w:sz w:val="18"/>
                <w:szCs w:val="18"/>
                <w:lang w:val="en-GB"/>
              </w:rPr>
              <w:t>095</w:t>
            </w:r>
            <w:r w:rsidRPr="002D2F67">
              <w:rPr>
                <w:rFonts w:ascii="Arial" w:hAnsi="Arial" w:cs="Arial"/>
                <w:color w:val="000000"/>
                <w:sz w:val="18"/>
                <w:szCs w:val="18"/>
              </w:rPr>
              <w:t>)</w:t>
            </w:r>
          </w:p>
        </w:tc>
        <w:tc>
          <w:tcPr>
            <w:tcW w:w="1196" w:type="dxa"/>
            <w:shd w:val="clear" w:color="auto" w:fill="auto"/>
            <w:vAlign w:val="bottom"/>
          </w:tcPr>
          <w:p w14:paraId="298D990D" w14:textId="0E6628E1" w:rsidR="0049508C" w:rsidRPr="002D2F67" w:rsidRDefault="002E097E"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13</w:t>
            </w:r>
            <w:r w:rsidRPr="002D2F67">
              <w:rPr>
                <w:rFonts w:ascii="Arial" w:hAnsi="Arial" w:cs="Arial"/>
                <w:color w:val="000000"/>
                <w:sz w:val="18"/>
                <w:szCs w:val="18"/>
              </w:rPr>
              <w:t>,</w:t>
            </w:r>
            <w:r w:rsidR="00CD5714" w:rsidRPr="00CD5714">
              <w:rPr>
                <w:rFonts w:ascii="Arial" w:hAnsi="Arial" w:cs="Arial"/>
                <w:color w:val="000000"/>
                <w:sz w:val="18"/>
                <w:szCs w:val="18"/>
                <w:lang w:val="en-GB"/>
              </w:rPr>
              <w:t>282</w:t>
            </w:r>
            <w:r w:rsidRPr="002D2F67">
              <w:rPr>
                <w:rFonts w:ascii="Arial" w:hAnsi="Arial" w:cs="Arial"/>
                <w:color w:val="000000"/>
                <w:sz w:val="18"/>
                <w:szCs w:val="18"/>
              </w:rPr>
              <w:t>)</w:t>
            </w:r>
          </w:p>
        </w:tc>
        <w:tc>
          <w:tcPr>
            <w:tcW w:w="1157" w:type="dxa"/>
            <w:shd w:val="clear" w:color="auto" w:fill="auto"/>
            <w:vAlign w:val="bottom"/>
          </w:tcPr>
          <w:p w14:paraId="38355F3D" w14:textId="5D25426B" w:rsidR="0049508C" w:rsidRPr="002D2F67" w:rsidRDefault="002E097E"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r w:rsidR="00483E31">
              <w:rPr>
                <w:rFonts w:ascii="Arial" w:hAnsi="Arial" w:cs="Browallia New"/>
                <w:color w:val="000000"/>
                <w:sz w:val="18"/>
                <w:szCs w:val="22"/>
              </w:rPr>
              <w:t>149,779</w:t>
            </w:r>
            <w:r w:rsidRPr="002D2F67">
              <w:rPr>
                <w:rFonts w:ascii="Arial" w:hAnsi="Arial" w:cs="Arial"/>
                <w:color w:val="000000"/>
                <w:sz w:val="18"/>
                <w:szCs w:val="18"/>
              </w:rPr>
              <w:t>)</w:t>
            </w:r>
          </w:p>
        </w:tc>
      </w:tr>
      <w:tr w:rsidR="005611FE" w:rsidRPr="002D2F67" w14:paraId="5DD8358F" w14:textId="77777777" w:rsidTr="0029681C">
        <w:tc>
          <w:tcPr>
            <w:tcW w:w="6889" w:type="dxa"/>
            <w:shd w:val="clear" w:color="auto" w:fill="auto"/>
          </w:tcPr>
          <w:p w14:paraId="20AEA454" w14:textId="1D7310EA" w:rsidR="0049508C" w:rsidRPr="002D2F67" w:rsidRDefault="0049508C" w:rsidP="005611FE">
            <w:pPr>
              <w:pStyle w:val="Header"/>
              <w:ind w:left="31" w:right="-108"/>
              <w:jc w:val="left"/>
              <w:rPr>
                <w:rFonts w:ascii="Arial" w:hAnsi="Arial" w:cs="Arial"/>
                <w:color w:val="000000"/>
                <w:sz w:val="18"/>
                <w:szCs w:val="18"/>
              </w:rPr>
            </w:pPr>
            <w:r w:rsidRPr="002D2F67">
              <w:rPr>
                <w:rFonts w:ascii="Arial" w:hAnsi="Arial" w:cs="Arial"/>
                <w:color w:val="000000"/>
                <w:sz w:val="18"/>
                <w:szCs w:val="18"/>
              </w:rPr>
              <w:t>Tax credited to other comprehensive income</w:t>
            </w:r>
          </w:p>
        </w:tc>
        <w:tc>
          <w:tcPr>
            <w:tcW w:w="1197" w:type="dxa"/>
            <w:shd w:val="clear" w:color="auto" w:fill="auto"/>
            <w:vAlign w:val="bottom"/>
          </w:tcPr>
          <w:p w14:paraId="66E2ED46" w14:textId="2AA79415" w:rsidR="0049508C" w:rsidRPr="002D2F67" w:rsidRDefault="006969BE"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p>
        </w:tc>
        <w:tc>
          <w:tcPr>
            <w:tcW w:w="1198" w:type="dxa"/>
            <w:shd w:val="clear" w:color="auto" w:fill="auto"/>
            <w:vAlign w:val="bottom"/>
          </w:tcPr>
          <w:p w14:paraId="2AB59090" w14:textId="6E52E68F" w:rsidR="0049508C" w:rsidRPr="002D2F67" w:rsidRDefault="007B6DBD"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p>
        </w:tc>
        <w:tc>
          <w:tcPr>
            <w:tcW w:w="1477" w:type="dxa"/>
            <w:shd w:val="clear" w:color="auto" w:fill="auto"/>
            <w:vAlign w:val="bottom"/>
          </w:tcPr>
          <w:p w14:paraId="1277C100" w14:textId="75AB5188"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1</w:t>
            </w:r>
            <w:r w:rsidR="007B6DBD" w:rsidRPr="002D2F67">
              <w:rPr>
                <w:rFonts w:ascii="Arial" w:hAnsi="Arial" w:cs="Arial"/>
                <w:color w:val="000000"/>
                <w:sz w:val="18"/>
                <w:szCs w:val="18"/>
              </w:rPr>
              <w:t>,</w:t>
            </w:r>
            <w:r w:rsidRPr="00CD5714">
              <w:rPr>
                <w:rFonts w:ascii="Arial" w:hAnsi="Arial" w:cs="Arial"/>
                <w:color w:val="000000"/>
                <w:sz w:val="18"/>
                <w:szCs w:val="18"/>
                <w:lang w:val="en-GB"/>
              </w:rPr>
              <w:t>656</w:t>
            </w:r>
          </w:p>
        </w:tc>
        <w:tc>
          <w:tcPr>
            <w:tcW w:w="1241" w:type="dxa"/>
            <w:shd w:val="clear" w:color="auto" w:fill="auto"/>
            <w:vAlign w:val="bottom"/>
          </w:tcPr>
          <w:p w14:paraId="2B82EA27" w14:textId="4CBDE6AA" w:rsidR="0049508C" w:rsidRPr="002D2F67" w:rsidRDefault="007B6DBD"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p>
        </w:tc>
        <w:tc>
          <w:tcPr>
            <w:tcW w:w="1196" w:type="dxa"/>
            <w:shd w:val="clear" w:color="auto" w:fill="auto"/>
            <w:vAlign w:val="bottom"/>
          </w:tcPr>
          <w:p w14:paraId="21128C23" w14:textId="1CBB4405" w:rsidR="0049508C" w:rsidRPr="002D2F67" w:rsidRDefault="007B6DBD"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p>
        </w:tc>
        <w:tc>
          <w:tcPr>
            <w:tcW w:w="1196" w:type="dxa"/>
            <w:shd w:val="clear" w:color="auto" w:fill="auto"/>
            <w:vAlign w:val="bottom"/>
          </w:tcPr>
          <w:p w14:paraId="3DC85C57" w14:textId="3F490C1E" w:rsidR="0049508C" w:rsidRPr="002D2F67" w:rsidRDefault="007B6DBD"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p>
        </w:tc>
        <w:tc>
          <w:tcPr>
            <w:tcW w:w="1157" w:type="dxa"/>
            <w:shd w:val="clear" w:color="auto" w:fill="auto"/>
            <w:vAlign w:val="bottom"/>
          </w:tcPr>
          <w:p w14:paraId="4A8B5211" w14:textId="4FF0AB65"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1</w:t>
            </w:r>
            <w:r w:rsidR="007B6DBD" w:rsidRPr="002D2F67">
              <w:rPr>
                <w:rFonts w:ascii="Arial" w:hAnsi="Arial" w:cs="Arial"/>
                <w:color w:val="000000"/>
                <w:sz w:val="18"/>
                <w:szCs w:val="18"/>
              </w:rPr>
              <w:t>,</w:t>
            </w:r>
            <w:r w:rsidRPr="00CD5714">
              <w:rPr>
                <w:rFonts w:ascii="Arial" w:hAnsi="Arial" w:cs="Arial"/>
                <w:color w:val="000000"/>
                <w:sz w:val="18"/>
                <w:szCs w:val="18"/>
                <w:lang w:val="en-GB"/>
              </w:rPr>
              <w:t>656</w:t>
            </w:r>
          </w:p>
        </w:tc>
      </w:tr>
      <w:tr w:rsidR="005611FE" w:rsidRPr="002D2F67" w14:paraId="546B0D86" w14:textId="77777777" w:rsidTr="0029681C">
        <w:tc>
          <w:tcPr>
            <w:tcW w:w="6889" w:type="dxa"/>
            <w:shd w:val="clear" w:color="auto" w:fill="auto"/>
          </w:tcPr>
          <w:p w14:paraId="31E541CF" w14:textId="77777777" w:rsidR="0049508C" w:rsidRPr="002D2F67" w:rsidRDefault="0049508C" w:rsidP="005611FE">
            <w:pPr>
              <w:pStyle w:val="Header"/>
              <w:ind w:left="31" w:right="-108"/>
              <w:jc w:val="left"/>
              <w:rPr>
                <w:rFonts w:ascii="Arial" w:hAnsi="Arial" w:cs="Arial"/>
                <w:color w:val="000000"/>
                <w:sz w:val="18"/>
                <w:szCs w:val="18"/>
              </w:rPr>
            </w:pPr>
            <w:r w:rsidRPr="002D2F67">
              <w:rPr>
                <w:rFonts w:ascii="Arial" w:hAnsi="Arial" w:cs="Arial"/>
                <w:color w:val="000000"/>
                <w:sz w:val="18"/>
                <w:szCs w:val="18"/>
              </w:rPr>
              <w:t>Currency translation differences</w:t>
            </w:r>
          </w:p>
        </w:tc>
        <w:tc>
          <w:tcPr>
            <w:tcW w:w="1197" w:type="dxa"/>
            <w:tcBorders>
              <w:bottom w:val="single" w:sz="4" w:space="0" w:color="auto"/>
            </w:tcBorders>
            <w:shd w:val="clear" w:color="auto" w:fill="auto"/>
            <w:vAlign w:val="bottom"/>
          </w:tcPr>
          <w:p w14:paraId="431A82EF" w14:textId="496CB00D" w:rsidR="0049508C" w:rsidRPr="002D2F67" w:rsidRDefault="006969BE"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15</w:t>
            </w:r>
            <w:r w:rsidRPr="002D2F67">
              <w:rPr>
                <w:rFonts w:ascii="Arial" w:hAnsi="Arial" w:cs="Arial"/>
                <w:color w:val="000000"/>
                <w:sz w:val="18"/>
                <w:szCs w:val="18"/>
              </w:rPr>
              <w:t>,</w:t>
            </w:r>
            <w:r w:rsidR="00CD5714" w:rsidRPr="00CD5714">
              <w:rPr>
                <w:rFonts w:ascii="Arial" w:hAnsi="Arial" w:cs="Arial"/>
                <w:color w:val="000000"/>
                <w:sz w:val="18"/>
                <w:szCs w:val="18"/>
                <w:lang w:val="en-GB"/>
              </w:rPr>
              <w:t>334</w:t>
            </w:r>
            <w:r w:rsidRPr="002D2F67">
              <w:rPr>
                <w:rFonts w:ascii="Arial" w:hAnsi="Arial" w:cs="Arial"/>
                <w:color w:val="000000"/>
                <w:sz w:val="18"/>
                <w:szCs w:val="18"/>
              </w:rPr>
              <w:t>)</w:t>
            </w:r>
          </w:p>
        </w:tc>
        <w:tc>
          <w:tcPr>
            <w:tcW w:w="1198" w:type="dxa"/>
            <w:tcBorders>
              <w:bottom w:val="single" w:sz="4" w:space="0" w:color="auto"/>
            </w:tcBorders>
            <w:shd w:val="clear" w:color="auto" w:fill="auto"/>
            <w:vAlign w:val="bottom"/>
          </w:tcPr>
          <w:p w14:paraId="6B1DD168" w14:textId="02EA2B10" w:rsidR="0049508C" w:rsidRPr="002D2F67" w:rsidRDefault="007B6DBD"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5</w:t>
            </w:r>
            <w:r w:rsidRPr="002D2F67">
              <w:rPr>
                <w:rFonts w:ascii="Arial" w:hAnsi="Arial" w:cs="Arial"/>
                <w:color w:val="000000"/>
                <w:sz w:val="18"/>
                <w:szCs w:val="18"/>
              </w:rPr>
              <w:t>,</w:t>
            </w:r>
            <w:r w:rsidR="00CD5714" w:rsidRPr="00CD5714">
              <w:rPr>
                <w:rFonts w:ascii="Arial" w:hAnsi="Arial" w:cs="Arial"/>
                <w:color w:val="000000"/>
                <w:sz w:val="18"/>
                <w:szCs w:val="18"/>
                <w:lang w:val="en-GB"/>
              </w:rPr>
              <w:t>288</w:t>
            </w:r>
            <w:r w:rsidRPr="002D2F67">
              <w:rPr>
                <w:rFonts w:ascii="Arial" w:hAnsi="Arial" w:cs="Arial"/>
                <w:color w:val="000000"/>
                <w:sz w:val="18"/>
                <w:szCs w:val="18"/>
              </w:rPr>
              <w:t>)</w:t>
            </w:r>
          </w:p>
        </w:tc>
        <w:tc>
          <w:tcPr>
            <w:tcW w:w="1477" w:type="dxa"/>
            <w:tcBorders>
              <w:bottom w:val="single" w:sz="4" w:space="0" w:color="auto"/>
            </w:tcBorders>
            <w:shd w:val="clear" w:color="auto" w:fill="auto"/>
            <w:vAlign w:val="bottom"/>
          </w:tcPr>
          <w:p w14:paraId="71F760AA" w14:textId="6B24803D" w:rsidR="0049508C" w:rsidRPr="002D2F67" w:rsidRDefault="007B6DBD"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758</w:t>
            </w:r>
            <w:r w:rsidRPr="002D2F67">
              <w:rPr>
                <w:rFonts w:ascii="Arial" w:hAnsi="Arial" w:cs="Arial"/>
                <w:color w:val="000000"/>
                <w:sz w:val="18"/>
                <w:szCs w:val="18"/>
              </w:rPr>
              <w:t>)</w:t>
            </w:r>
          </w:p>
        </w:tc>
        <w:tc>
          <w:tcPr>
            <w:tcW w:w="1241" w:type="dxa"/>
            <w:tcBorders>
              <w:bottom w:val="single" w:sz="4" w:space="0" w:color="auto"/>
            </w:tcBorders>
            <w:shd w:val="clear" w:color="auto" w:fill="auto"/>
            <w:vAlign w:val="bottom"/>
          </w:tcPr>
          <w:p w14:paraId="1C0B2CF5" w14:textId="2C46D516" w:rsidR="0049508C" w:rsidRPr="002D2F67" w:rsidRDefault="007B6DBD"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p>
        </w:tc>
        <w:tc>
          <w:tcPr>
            <w:tcW w:w="1196" w:type="dxa"/>
            <w:tcBorders>
              <w:bottom w:val="single" w:sz="4" w:space="0" w:color="auto"/>
            </w:tcBorders>
            <w:shd w:val="clear" w:color="auto" w:fill="auto"/>
            <w:vAlign w:val="bottom"/>
          </w:tcPr>
          <w:p w14:paraId="36B3094B" w14:textId="572D4676" w:rsidR="0049508C" w:rsidRPr="002D2F67" w:rsidRDefault="007B6DBD"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p>
        </w:tc>
        <w:tc>
          <w:tcPr>
            <w:tcW w:w="1196" w:type="dxa"/>
            <w:tcBorders>
              <w:bottom w:val="single" w:sz="4" w:space="0" w:color="auto"/>
            </w:tcBorders>
            <w:shd w:val="clear" w:color="auto" w:fill="auto"/>
            <w:vAlign w:val="bottom"/>
          </w:tcPr>
          <w:p w14:paraId="68EBDEC1" w14:textId="2489CF54"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651</w:t>
            </w:r>
          </w:p>
        </w:tc>
        <w:tc>
          <w:tcPr>
            <w:tcW w:w="1157" w:type="dxa"/>
            <w:tcBorders>
              <w:bottom w:val="single" w:sz="4" w:space="0" w:color="auto"/>
            </w:tcBorders>
            <w:shd w:val="clear" w:color="auto" w:fill="auto"/>
            <w:vAlign w:val="bottom"/>
          </w:tcPr>
          <w:p w14:paraId="3BCD776B" w14:textId="13069D07" w:rsidR="0049508C" w:rsidRPr="002D2F67" w:rsidRDefault="002E097E"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r w:rsidR="00CD5714" w:rsidRPr="00CD5714">
              <w:rPr>
                <w:rFonts w:ascii="Arial" w:hAnsi="Arial" w:cs="Arial"/>
                <w:color w:val="000000"/>
                <w:sz w:val="18"/>
                <w:szCs w:val="18"/>
                <w:lang w:val="en-GB"/>
              </w:rPr>
              <w:t>20</w:t>
            </w:r>
            <w:r w:rsidRPr="002D2F67">
              <w:rPr>
                <w:rFonts w:ascii="Arial" w:hAnsi="Arial" w:cs="Arial"/>
                <w:color w:val="000000"/>
                <w:sz w:val="18"/>
                <w:szCs w:val="18"/>
              </w:rPr>
              <w:t>,</w:t>
            </w:r>
            <w:r w:rsidR="00CD5714" w:rsidRPr="00CD5714">
              <w:rPr>
                <w:rFonts w:ascii="Arial" w:hAnsi="Arial" w:cs="Arial"/>
                <w:color w:val="000000"/>
                <w:sz w:val="18"/>
                <w:szCs w:val="18"/>
                <w:lang w:val="en-GB"/>
              </w:rPr>
              <w:t>729</w:t>
            </w:r>
            <w:r w:rsidRPr="002D2F67">
              <w:rPr>
                <w:rFonts w:ascii="Arial" w:hAnsi="Arial" w:cs="Arial"/>
                <w:color w:val="000000"/>
                <w:sz w:val="18"/>
                <w:szCs w:val="18"/>
              </w:rPr>
              <w:t>)</w:t>
            </w:r>
          </w:p>
        </w:tc>
      </w:tr>
      <w:tr w:rsidR="005611FE" w:rsidRPr="002D2F67" w14:paraId="3660FF6D" w14:textId="77777777" w:rsidTr="0029681C">
        <w:tc>
          <w:tcPr>
            <w:tcW w:w="6889" w:type="dxa"/>
            <w:shd w:val="clear" w:color="auto" w:fill="auto"/>
          </w:tcPr>
          <w:p w14:paraId="29F2BCBA" w14:textId="77777777" w:rsidR="0049508C" w:rsidRPr="002D2F67" w:rsidRDefault="0049508C" w:rsidP="005611FE">
            <w:pPr>
              <w:pStyle w:val="Header"/>
              <w:tabs>
                <w:tab w:val="clear" w:pos="4320"/>
                <w:tab w:val="clear" w:pos="8640"/>
              </w:tabs>
              <w:ind w:left="31"/>
              <w:jc w:val="left"/>
              <w:rPr>
                <w:rFonts w:ascii="Arial" w:hAnsi="Arial" w:cs="Arial"/>
                <w:color w:val="000000"/>
                <w:sz w:val="18"/>
                <w:szCs w:val="18"/>
              </w:rPr>
            </w:pPr>
          </w:p>
        </w:tc>
        <w:tc>
          <w:tcPr>
            <w:tcW w:w="1197" w:type="dxa"/>
            <w:tcBorders>
              <w:top w:val="single" w:sz="4" w:space="0" w:color="auto"/>
            </w:tcBorders>
            <w:shd w:val="clear" w:color="auto" w:fill="auto"/>
            <w:vAlign w:val="bottom"/>
          </w:tcPr>
          <w:p w14:paraId="603EE663" w14:textId="77777777" w:rsidR="0049508C" w:rsidRPr="002D2F67" w:rsidRDefault="0049508C"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198" w:type="dxa"/>
            <w:tcBorders>
              <w:top w:val="single" w:sz="4" w:space="0" w:color="auto"/>
            </w:tcBorders>
            <w:shd w:val="clear" w:color="auto" w:fill="auto"/>
            <w:vAlign w:val="bottom"/>
          </w:tcPr>
          <w:p w14:paraId="6819545B" w14:textId="77777777" w:rsidR="0049508C" w:rsidRPr="002D2F67" w:rsidRDefault="0049508C"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77" w:type="dxa"/>
            <w:tcBorders>
              <w:top w:val="single" w:sz="4" w:space="0" w:color="auto"/>
            </w:tcBorders>
            <w:shd w:val="clear" w:color="auto" w:fill="auto"/>
            <w:vAlign w:val="bottom"/>
          </w:tcPr>
          <w:p w14:paraId="2EC61295" w14:textId="77777777" w:rsidR="0049508C" w:rsidRPr="002D2F67" w:rsidRDefault="0049508C"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241" w:type="dxa"/>
            <w:tcBorders>
              <w:top w:val="single" w:sz="4" w:space="0" w:color="auto"/>
            </w:tcBorders>
            <w:shd w:val="clear" w:color="auto" w:fill="auto"/>
            <w:vAlign w:val="bottom"/>
          </w:tcPr>
          <w:p w14:paraId="6E15600E" w14:textId="77777777" w:rsidR="0049508C" w:rsidRPr="002D2F67" w:rsidRDefault="0049508C" w:rsidP="005611FE">
            <w:pPr>
              <w:pStyle w:val="Header"/>
              <w:ind w:right="-72"/>
              <w:jc w:val="right"/>
              <w:rPr>
                <w:rFonts w:ascii="Arial" w:hAnsi="Arial" w:cs="Arial"/>
                <w:color w:val="000000"/>
                <w:sz w:val="18"/>
                <w:szCs w:val="18"/>
              </w:rPr>
            </w:pPr>
          </w:p>
        </w:tc>
        <w:tc>
          <w:tcPr>
            <w:tcW w:w="1196" w:type="dxa"/>
            <w:tcBorders>
              <w:top w:val="single" w:sz="4" w:space="0" w:color="auto"/>
            </w:tcBorders>
            <w:shd w:val="clear" w:color="auto" w:fill="auto"/>
            <w:vAlign w:val="bottom"/>
          </w:tcPr>
          <w:p w14:paraId="484BC362" w14:textId="77777777" w:rsidR="0049508C" w:rsidRPr="002D2F67" w:rsidRDefault="0049508C"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196" w:type="dxa"/>
            <w:tcBorders>
              <w:top w:val="single" w:sz="4" w:space="0" w:color="auto"/>
            </w:tcBorders>
            <w:shd w:val="clear" w:color="auto" w:fill="auto"/>
            <w:vAlign w:val="bottom"/>
          </w:tcPr>
          <w:p w14:paraId="1078ADA9" w14:textId="77777777" w:rsidR="0049508C" w:rsidRPr="002D2F67" w:rsidRDefault="0049508C"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157" w:type="dxa"/>
            <w:tcBorders>
              <w:top w:val="single" w:sz="4" w:space="0" w:color="auto"/>
            </w:tcBorders>
            <w:shd w:val="clear" w:color="auto" w:fill="auto"/>
            <w:vAlign w:val="bottom"/>
          </w:tcPr>
          <w:p w14:paraId="00AAE006" w14:textId="77777777" w:rsidR="0049508C" w:rsidRPr="002D2F67" w:rsidRDefault="0049508C"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r>
      <w:tr w:rsidR="0049508C" w:rsidRPr="002D2F67" w14:paraId="7A6D7D24" w14:textId="77777777" w:rsidTr="0029681C">
        <w:tc>
          <w:tcPr>
            <w:tcW w:w="6889" w:type="dxa"/>
            <w:shd w:val="clear" w:color="auto" w:fill="auto"/>
          </w:tcPr>
          <w:p w14:paraId="4233C9BF" w14:textId="3BD533E2" w:rsidR="0049508C" w:rsidRPr="002D2F67" w:rsidRDefault="0049508C" w:rsidP="005611FE">
            <w:pPr>
              <w:pStyle w:val="Header"/>
              <w:tabs>
                <w:tab w:val="clear" w:pos="4320"/>
                <w:tab w:val="clear" w:pos="8640"/>
              </w:tabs>
              <w:ind w:left="31"/>
              <w:jc w:val="left"/>
              <w:rPr>
                <w:rFonts w:ascii="Arial" w:hAnsi="Arial" w:cs="Arial"/>
                <w:color w:val="000000"/>
                <w:sz w:val="18"/>
                <w:szCs w:val="18"/>
              </w:rPr>
            </w:pPr>
            <w:r w:rsidRPr="002D2F67">
              <w:rPr>
                <w:rFonts w:ascii="Arial" w:hAnsi="Arial" w:cs="Arial"/>
                <w:color w:val="000000"/>
                <w:sz w:val="18"/>
                <w:szCs w:val="18"/>
              </w:rPr>
              <w:t xml:space="preserve">As </w:t>
            </w:r>
            <w:proofErr w:type="gramStart"/>
            <w:r w:rsidRPr="002D2F67">
              <w:rPr>
                <w:rFonts w:ascii="Arial" w:hAnsi="Arial" w:cs="Arial"/>
                <w:color w:val="000000"/>
                <w:sz w:val="18"/>
                <w:szCs w:val="18"/>
              </w:rPr>
              <w:t>at</w:t>
            </w:r>
            <w:proofErr w:type="gramEnd"/>
            <w:r w:rsidRPr="002D2F67">
              <w:rPr>
                <w:rFonts w:ascii="Arial" w:hAnsi="Arial" w:cs="Arial"/>
                <w:color w:val="000000"/>
                <w:sz w:val="18"/>
                <w:szCs w:val="18"/>
              </w:rPr>
              <w:t xml:space="preserve"> </w:t>
            </w:r>
            <w:r w:rsidR="00CD5714" w:rsidRPr="00CD5714">
              <w:rPr>
                <w:rFonts w:ascii="Arial" w:hAnsi="Arial" w:cs="Arial"/>
                <w:color w:val="000000"/>
                <w:sz w:val="18"/>
                <w:szCs w:val="18"/>
                <w:lang w:val="en-GB"/>
              </w:rPr>
              <w:t>31</w:t>
            </w:r>
            <w:r w:rsidRPr="002D2F67">
              <w:rPr>
                <w:rFonts w:ascii="Arial" w:hAnsi="Arial" w:cs="Arial"/>
                <w:color w:val="000000"/>
                <w:sz w:val="18"/>
                <w:szCs w:val="18"/>
              </w:rPr>
              <w:t xml:space="preserve"> December </w:t>
            </w:r>
            <w:r w:rsidR="00CD5714" w:rsidRPr="00CD5714">
              <w:rPr>
                <w:rFonts w:ascii="Arial" w:hAnsi="Arial" w:cs="Arial"/>
                <w:color w:val="000000"/>
                <w:sz w:val="18"/>
                <w:szCs w:val="18"/>
                <w:lang w:val="en-GB"/>
              </w:rPr>
              <w:t>2024</w:t>
            </w:r>
          </w:p>
        </w:tc>
        <w:tc>
          <w:tcPr>
            <w:tcW w:w="1197" w:type="dxa"/>
            <w:tcBorders>
              <w:bottom w:val="single" w:sz="4" w:space="0" w:color="auto"/>
            </w:tcBorders>
            <w:shd w:val="clear" w:color="auto" w:fill="auto"/>
            <w:vAlign w:val="bottom"/>
          </w:tcPr>
          <w:p w14:paraId="57CF7ED3" w14:textId="45A5E630" w:rsidR="0049508C" w:rsidRPr="002D2F67" w:rsidRDefault="00521FFF"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p>
        </w:tc>
        <w:tc>
          <w:tcPr>
            <w:tcW w:w="1198" w:type="dxa"/>
            <w:tcBorders>
              <w:bottom w:val="single" w:sz="4" w:space="0" w:color="auto"/>
            </w:tcBorders>
            <w:shd w:val="clear" w:color="auto" w:fill="auto"/>
            <w:vAlign w:val="bottom"/>
          </w:tcPr>
          <w:p w14:paraId="4E4147B5" w14:textId="1FBCBE62" w:rsidR="0049508C" w:rsidRPr="002D2F67" w:rsidRDefault="009021DC" w:rsidP="005611FE">
            <w:pPr>
              <w:pStyle w:val="Header"/>
              <w:ind w:right="-72"/>
              <w:jc w:val="right"/>
              <w:rPr>
                <w:rFonts w:ascii="Arial" w:hAnsi="Arial" w:cs="Arial"/>
                <w:color w:val="000000"/>
                <w:sz w:val="18"/>
                <w:szCs w:val="18"/>
              </w:rPr>
            </w:pPr>
            <w:r w:rsidRPr="002D2F67">
              <w:rPr>
                <w:rFonts w:ascii="Arial" w:hAnsi="Arial" w:cs="Arial"/>
                <w:color w:val="000000"/>
                <w:sz w:val="18"/>
                <w:szCs w:val="18"/>
              </w:rPr>
              <w:t>-</w:t>
            </w:r>
          </w:p>
        </w:tc>
        <w:tc>
          <w:tcPr>
            <w:tcW w:w="1477" w:type="dxa"/>
            <w:tcBorders>
              <w:bottom w:val="single" w:sz="4" w:space="0" w:color="auto"/>
            </w:tcBorders>
            <w:shd w:val="clear" w:color="auto" w:fill="auto"/>
            <w:vAlign w:val="bottom"/>
          </w:tcPr>
          <w:p w14:paraId="3968C98A" w14:textId="4D1C5BBD"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5</w:t>
            </w:r>
            <w:r w:rsidR="007B6DBD" w:rsidRPr="002D2F67">
              <w:rPr>
                <w:rFonts w:ascii="Arial" w:hAnsi="Arial" w:cs="Arial"/>
                <w:color w:val="000000"/>
                <w:sz w:val="18"/>
                <w:szCs w:val="18"/>
              </w:rPr>
              <w:t>,</w:t>
            </w:r>
            <w:r w:rsidRPr="00CD5714">
              <w:rPr>
                <w:rFonts w:ascii="Arial" w:hAnsi="Arial" w:cs="Arial"/>
                <w:color w:val="000000"/>
                <w:sz w:val="18"/>
                <w:szCs w:val="18"/>
                <w:lang w:val="en-GB"/>
              </w:rPr>
              <w:t>180</w:t>
            </w:r>
          </w:p>
        </w:tc>
        <w:tc>
          <w:tcPr>
            <w:tcW w:w="1241" w:type="dxa"/>
            <w:tcBorders>
              <w:bottom w:val="single" w:sz="4" w:space="0" w:color="auto"/>
            </w:tcBorders>
            <w:shd w:val="clear" w:color="auto" w:fill="auto"/>
            <w:vAlign w:val="bottom"/>
          </w:tcPr>
          <w:p w14:paraId="01407CAC" w14:textId="706805C3"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45</w:t>
            </w:r>
            <w:r w:rsidR="007B6DBD" w:rsidRPr="002D2F67">
              <w:rPr>
                <w:rFonts w:ascii="Arial" w:hAnsi="Arial" w:cs="Arial"/>
                <w:color w:val="000000"/>
                <w:sz w:val="18"/>
                <w:szCs w:val="18"/>
              </w:rPr>
              <w:t>,</w:t>
            </w:r>
            <w:r w:rsidRPr="00CD5714">
              <w:rPr>
                <w:rFonts w:ascii="Arial" w:hAnsi="Arial" w:cs="Arial"/>
                <w:color w:val="000000"/>
                <w:sz w:val="18"/>
                <w:szCs w:val="18"/>
                <w:lang w:val="en-GB"/>
              </w:rPr>
              <w:t>671</w:t>
            </w:r>
          </w:p>
        </w:tc>
        <w:tc>
          <w:tcPr>
            <w:tcW w:w="1196" w:type="dxa"/>
            <w:tcBorders>
              <w:bottom w:val="single" w:sz="4" w:space="0" w:color="auto"/>
            </w:tcBorders>
            <w:shd w:val="clear" w:color="auto" w:fill="auto"/>
            <w:vAlign w:val="bottom"/>
          </w:tcPr>
          <w:p w14:paraId="15A858E8" w14:textId="62853758"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30</w:t>
            </w:r>
            <w:r w:rsidR="007B6DBD" w:rsidRPr="002D2F67">
              <w:rPr>
                <w:rFonts w:ascii="Arial" w:hAnsi="Arial" w:cs="Arial"/>
                <w:color w:val="000000"/>
                <w:sz w:val="18"/>
                <w:szCs w:val="18"/>
              </w:rPr>
              <w:t>,</w:t>
            </w:r>
            <w:r w:rsidRPr="00CD5714">
              <w:rPr>
                <w:rFonts w:ascii="Arial" w:hAnsi="Arial" w:cs="Arial"/>
                <w:color w:val="000000"/>
                <w:sz w:val="18"/>
                <w:szCs w:val="18"/>
                <w:lang w:val="en-GB"/>
              </w:rPr>
              <w:t>163</w:t>
            </w:r>
          </w:p>
        </w:tc>
        <w:tc>
          <w:tcPr>
            <w:tcW w:w="1196" w:type="dxa"/>
            <w:tcBorders>
              <w:bottom w:val="single" w:sz="4" w:space="0" w:color="auto"/>
            </w:tcBorders>
            <w:shd w:val="clear" w:color="auto" w:fill="auto"/>
            <w:vAlign w:val="bottom"/>
          </w:tcPr>
          <w:p w14:paraId="55CA6D00" w14:textId="76F25971"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287</w:t>
            </w:r>
            <w:r w:rsidR="002E097E" w:rsidRPr="002D2F67">
              <w:rPr>
                <w:rFonts w:ascii="Arial" w:hAnsi="Arial" w:cs="Arial"/>
                <w:color w:val="000000"/>
                <w:sz w:val="18"/>
                <w:szCs w:val="18"/>
              </w:rPr>
              <w:t>,</w:t>
            </w:r>
            <w:r w:rsidRPr="00CD5714">
              <w:rPr>
                <w:rFonts w:ascii="Arial" w:hAnsi="Arial" w:cs="Arial"/>
                <w:color w:val="000000"/>
                <w:sz w:val="18"/>
                <w:szCs w:val="18"/>
                <w:lang w:val="en-GB"/>
              </w:rPr>
              <w:t>520</w:t>
            </w:r>
          </w:p>
        </w:tc>
        <w:tc>
          <w:tcPr>
            <w:tcW w:w="1157" w:type="dxa"/>
            <w:tcBorders>
              <w:bottom w:val="single" w:sz="4" w:space="0" w:color="auto"/>
            </w:tcBorders>
            <w:shd w:val="clear" w:color="auto" w:fill="auto"/>
            <w:vAlign w:val="bottom"/>
          </w:tcPr>
          <w:p w14:paraId="51C47FF3" w14:textId="1D17073E" w:rsidR="0049508C" w:rsidRPr="002D2F67" w:rsidRDefault="00CD5714" w:rsidP="005611FE">
            <w:pPr>
              <w:pStyle w:val="Header"/>
              <w:ind w:right="-72"/>
              <w:jc w:val="right"/>
              <w:rPr>
                <w:rFonts w:ascii="Arial" w:hAnsi="Arial" w:cs="Arial"/>
                <w:color w:val="000000"/>
                <w:sz w:val="18"/>
                <w:szCs w:val="18"/>
              </w:rPr>
            </w:pPr>
            <w:r w:rsidRPr="00CD5714">
              <w:rPr>
                <w:rFonts w:ascii="Arial" w:hAnsi="Arial" w:cs="Arial"/>
                <w:color w:val="000000"/>
                <w:sz w:val="18"/>
                <w:szCs w:val="18"/>
                <w:lang w:val="en-GB"/>
              </w:rPr>
              <w:t>368</w:t>
            </w:r>
            <w:r w:rsidR="00106D2D" w:rsidRPr="002D2F67">
              <w:rPr>
                <w:rFonts w:ascii="Arial" w:hAnsi="Arial" w:cs="Arial"/>
                <w:color w:val="000000"/>
                <w:sz w:val="18"/>
                <w:szCs w:val="18"/>
              </w:rPr>
              <w:t>,</w:t>
            </w:r>
            <w:r w:rsidRPr="00CD5714">
              <w:rPr>
                <w:rFonts w:ascii="Arial" w:hAnsi="Arial" w:cs="Arial"/>
                <w:color w:val="000000"/>
                <w:sz w:val="18"/>
                <w:szCs w:val="18"/>
                <w:lang w:val="en-GB"/>
              </w:rPr>
              <w:t>534</w:t>
            </w:r>
          </w:p>
        </w:tc>
      </w:tr>
    </w:tbl>
    <w:p w14:paraId="623DCACC" w14:textId="69F37005" w:rsidR="00A31D30" w:rsidRPr="002D2F67" w:rsidRDefault="00A31D30" w:rsidP="005611FE">
      <w:pPr>
        <w:jc w:val="both"/>
        <w:rPr>
          <w:rFonts w:ascii="Arial" w:hAnsi="Arial" w:cs="Arial"/>
          <w:color w:val="000000"/>
          <w:sz w:val="20"/>
          <w:szCs w:val="20"/>
        </w:rPr>
      </w:pPr>
    </w:p>
    <w:p w14:paraId="7EBB13CC" w14:textId="77777777" w:rsidR="00B4267B" w:rsidRPr="002D2F67" w:rsidRDefault="00A31D30" w:rsidP="005611FE">
      <w:pPr>
        <w:jc w:val="both"/>
        <w:rPr>
          <w:rFonts w:ascii="Arial" w:hAnsi="Arial" w:cs="Arial"/>
          <w:color w:val="000000"/>
          <w:sz w:val="20"/>
          <w:szCs w:val="20"/>
        </w:rPr>
      </w:pPr>
      <w:r w:rsidRPr="002D2F67">
        <w:rPr>
          <w:rFonts w:ascii="Arial" w:hAnsi="Arial" w:cs="Arial"/>
          <w:color w:val="000000"/>
          <w:sz w:val="20"/>
          <w:szCs w:val="20"/>
        </w:rPr>
        <w:br w:type="page"/>
      </w:r>
    </w:p>
    <w:tbl>
      <w:tblPr>
        <w:tblW w:w="15550" w:type="dxa"/>
        <w:tblInd w:w="-34" w:type="dxa"/>
        <w:tblLayout w:type="fixed"/>
        <w:tblLook w:val="0000" w:firstRow="0" w:lastRow="0" w:firstColumn="0" w:lastColumn="0" w:noHBand="0" w:noVBand="0"/>
      </w:tblPr>
      <w:tblGrid>
        <w:gridCol w:w="4372"/>
        <w:gridCol w:w="1636"/>
        <w:gridCol w:w="1636"/>
        <w:gridCol w:w="1636"/>
        <w:gridCol w:w="1636"/>
        <w:gridCol w:w="1842"/>
        <w:gridCol w:w="1430"/>
        <w:gridCol w:w="1362"/>
      </w:tblGrid>
      <w:tr w:rsidR="00A31D30" w:rsidRPr="002D2F67" w14:paraId="0BFA5219" w14:textId="77777777" w:rsidTr="008255E8">
        <w:trPr>
          <w:trHeight w:val="19"/>
        </w:trPr>
        <w:tc>
          <w:tcPr>
            <w:tcW w:w="4372" w:type="dxa"/>
            <w:shd w:val="clear" w:color="auto" w:fill="auto"/>
            <w:vAlign w:val="bottom"/>
          </w:tcPr>
          <w:p w14:paraId="38BC7C43" w14:textId="77777777" w:rsidR="00A31D30" w:rsidRPr="002D2F67" w:rsidRDefault="00A31D30" w:rsidP="005611FE">
            <w:pPr>
              <w:tabs>
                <w:tab w:val="left" w:pos="1134"/>
                <w:tab w:val="left" w:pos="1276"/>
                <w:tab w:val="center" w:pos="3402"/>
                <w:tab w:val="center" w:pos="4536"/>
                <w:tab w:val="center" w:pos="5670"/>
                <w:tab w:val="center" w:pos="6804"/>
                <w:tab w:val="right" w:pos="7655"/>
              </w:tabs>
              <w:ind w:left="49"/>
              <w:rPr>
                <w:rFonts w:ascii="Arial" w:hAnsi="Arial" w:cs="Arial"/>
                <w:b/>
                <w:bCs/>
                <w:color w:val="000000"/>
                <w:sz w:val="20"/>
                <w:szCs w:val="20"/>
              </w:rPr>
            </w:pPr>
          </w:p>
        </w:tc>
        <w:tc>
          <w:tcPr>
            <w:tcW w:w="11178" w:type="dxa"/>
            <w:gridSpan w:val="7"/>
            <w:tcBorders>
              <w:bottom w:val="single" w:sz="4" w:space="0" w:color="auto"/>
            </w:tcBorders>
            <w:shd w:val="clear" w:color="auto" w:fill="auto"/>
          </w:tcPr>
          <w:p w14:paraId="31F7D6DB" w14:textId="6737F0ED" w:rsidR="00A31D30" w:rsidRPr="002D2F67" w:rsidRDefault="00A31D30"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Separate financial statements</w:t>
            </w:r>
          </w:p>
        </w:tc>
      </w:tr>
      <w:tr w:rsidR="00A31D30" w:rsidRPr="002D2F67" w14:paraId="50B2C32B" w14:textId="77777777" w:rsidTr="005611FE">
        <w:trPr>
          <w:trHeight w:val="19"/>
        </w:trPr>
        <w:tc>
          <w:tcPr>
            <w:tcW w:w="4372" w:type="dxa"/>
            <w:shd w:val="clear" w:color="auto" w:fill="auto"/>
            <w:vAlign w:val="bottom"/>
          </w:tcPr>
          <w:p w14:paraId="1D2C47F3" w14:textId="77777777" w:rsidR="00A31D30" w:rsidRPr="002D2F67" w:rsidRDefault="00A31D30" w:rsidP="005611FE">
            <w:pPr>
              <w:tabs>
                <w:tab w:val="left" w:pos="1134"/>
                <w:tab w:val="left" w:pos="1276"/>
                <w:tab w:val="center" w:pos="3402"/>
                <w:tab w:val="center" w:pos="4536"/>
                <w:tab w:val="center" w:pos="5670"/>
                <w:tab w:val="center" w:pos="6804"/>
                <w:tab w:val="right" w:pos="7655"/>
              </w:tabs>
              <w:ind w:left="49"/>
              <w:rPr>
                <w:rFonts w:ascii="Arial" w:hAnsi="Arial" w:cs="Arial"/>
                <w:b/>
                <w:bCs/>
                <w:color w:val="000000"/>
                <w:sz w:val="20"/>
                <w:szCs w:val="20"/>
              </w:rPr>
            </w:pPr>
          </w:p>
        </w:tc>
        <w:tc>
          <w:tcPr>
            <w:tcW w:w="1636" w:type="dxa"/>
            <w:tcBorders>
              <w:top w:val="single" w:sz="4" w:space="0" w:color="auto"/>
            </w:tcBorders>
            <w:shd w:val="clear" w:color="auto" w:fill="auto"/>
            <w:vAlign w:val="bottom"/>
          </w:tcPr>
          <w:p w14:paraId="29990C86" w14:textId="46A518DB" w:rsidR="00A31D30" w:rsidRPr="002D2F67" w:rsidRDefault="00A31D30" w:rsidP="005611FE">
            <w:pPr>
              <w:pStyle w:val="Header"/>
              <w:ind w:left="-36" w:right="-72"/>
              <w:jc w:val="right"/>
              <w:rPr>
                <w:rFonts w:ascii="Arial" w:hAnsi="Arial" w:cs="Arial"/>
                <w:b/>
                <w:bCs/>
                <w:color w:val="000000"/>
                <w:sz w:val="20"/>
                <w:szCs w:val="20"/>
              </w:rPr>
            </w:pPr>
            <w:r w:rsidRPr="002D2F67">
              <w:rPr>
                <w:rFonts w:ascii="Arial" w:hAnsi="Arial" w:cs="Arial"/>
                <w:b/>
                <w:bCs/>
                <w:color w:val="000000"/>
                <w:sz w:val="20"/>
                <w:szCs w:val="20"/>
              </w:rPr>
              <w:t>Tax loss</w:t>
            </w:r>
          </w:p>
        </w:tc>
        <w:tc>
          <w:tcPr>
            <w:tcW w:w="1636" w:type="dxa"/>
            <w:tcBorders>
              <w:top w:val="single" w:sz="4" w:space="0" w:color="auto"/>
            </w:tcBorders>
            <w:shd w:val="clear" w:color="auto" w:fill="auto"/>
            <w:vAlign w:val="bottom"/>
          </w:tcPr>
          <w:p w14:paraId="3F279073" w14:textId="0489D070" w:rsidR="00A31D30" w:rsidRPr="002D2F67" w:rsidRDefault="00A31D30" w:rsidP="005611FE">
            <w:pPr>
              <w:pStyle w:val="Header"/>
              <w:ind w:left="-36" w:right="-72"/>
              <w:jc w:val="right"/>
              <w:rPr>
                <w:rFonts w:ascii="Arial" w:hAnsi="Arial" w:cs="Arial"/>
                <w:b/>
                <w:bCs/>
                <w:color w:val="000000"/>
                <w:sz w:val="20"/>
                <w:szCs w:val="20"/>
              </w:rPr>
            </w:pPr>
            <w:r w:rsidRPr="002D2F67">
              <w:rPr>
                <w:rFonts w:ascii="Arial" w:hAnsi="Arial" w:cs="Arial"/>
                <w:b/>
                <w:bCs/>
                <w:color w:val="000000"/>
                <w:sz w:val="20"/>
                <w:szCs w:val="20"/>
              </w:rPr>
              <w:t>Allowance for decrease in value of inventories</w:t>
            </w:r>
          </w:p>
        </w:tc>
        <w:tc>
          <w:tcPr>
            <w:tcW w:w="1636" w:type="dxa"/>
            <w:tcBorders>
              <w:top w:val="single" w:sz="4" w:space="0" w:color="auto"/>
            </w:tcBorders>
            <w:shd w:val="clear" w:color="auto" w:fill="auto"/>
            <w:vAlign w:val="bottom"/>
          </w:tcPr>
          <w:p w14:paraId="5376FE9E" w14:textId="77777777" w:rsidR="00A31D30" w:rsidRPr="002D2F67" w:rsidRDefault="00A31D30" w:rsidP="005611FE">
            <w:pPr>
              <w:ind w:left="-36" w:right="-72"/>
              <w:jc w:val="right"/>
              <w:rPr>
                <w:rFonts w:ascii="Arial" w:hAnsi="Arial" w:cs="Arial"/>
                <w:b/>
                <w:bCs/>
                <w:color w:val="000000"/>
                <w:sz w:val="20"/>
                <w:szCs w:val="20"/>
              </w:rPr>
            </w:pPr>
            <w:r w:rsidRPr="002D2F67">
              <w:rPr>
                <w:rFonts w:ascii="Arial" w:hAnsi="Arial" w:cs="Arial"/>
                <w:b/>
                <w:bCs/>
                <w:color w:val="000000"/>
                <w:sz w:val="20"/>
                <w:szCs w:val="20"/>
              </w:rPr>
              <w:t xml:space="preserve">Financial assets measured at </w:t>
            </w:r>
          </w:p>
          <w:p w14:paraId="1712E8AA" w14:textId="77777777" w:rsidR="00A31D30" w:rsidRPr="002D2F67" w:rsidRDefault="00A31D30" w:rsidP="005611FE">
            <w:pPr>
              <w:ind w:left="-36" w:right="-72"/>
              <w:jc w:val="right"/>
              <w:rPr>
                <w:rFonts w:ascii="Arial" w:hAnsi="Arial" w:cs="Arial"/>
                <w:b/>
                <w:bCs/>
                <w:color w:val="000000"/>
                <w:sz w:val="20"/>
                <w:szCs w:val="20"/>
              </w:rPr>
            </w:pPr>
            <w:r w:rsidRPr="002D2F67">
              <w:rPr>
                <w:rFonts w:ascii="Arial" w:hAnsi="Arial" w:cs="Arial"/>
                <w:b/>
                <w:bCs/>
                <w:color w:val="000000"/>
                <w:sz w:val="20"/>
                <w:szCs w:val="20"/>
              </w:rPr>
              <w:t xml:space="preserve">fair value </w:t>
            </w:r>
          </w:p>
          <w:p w14:paraId="46D0F7F7" w14:textId="4B747F80" w:rsidR="00A31D30" w:rsidRPr="002D2F67" w:rsidRDefault="00A31D30" w:rsidP="005611FE">
            <w:pPr>
              <w:pStyle w:val="Header"/>
              <w:ind w:left="-36" w:right="-72"/>
              <w:jc w:val="right"/>
              <w:rPr>
                <w:rFonts w:ascii="Arial" w:hAnsi="Arial" w:cs="Arial"/>
                <w:b/>
                <w:bCs/>
                <w:color w:val="000000"/>
                <w:sz w:val="20"/>
                <w:szCs w:val="20"/>
              </w:rPr>
            </w:pPr>
            <w:r w:rsidRPr="002D2F67">
              <w:rPr>
                <w:rFonts w:ascii="Arial" w:hAnsi="Arial" w:cs="Arial"/>
                <w:b/>
                <w:bCs/>
                <w:color w:val="000000"/>
                <w:sz w:val="20"/>
                <w:szCs w:val="20"/>
              </w:rPr>
              <w:t>through other comprehensive income</w:t>
            </w:r>
          </w:p>
        </w:tc>
        <w:tc>
          <w:tcPr>
            <w:tcW w:w="1636" w:type="dxa"/>
            <w:tcBorders>
              <w:top w:val="single" w:sz="4" w:space="0" w:color="auto"/>
            </w:tcBorders>
            <w:shd w:val="clear" w:color="auto" w:fill="auto"/>
            <w:vAlign w:val="bottom"/>
          </w:tcPr>
          <w:p w14:paraId="391856E6" w14:textId="36449001" w:rsidR="00A31D30" w:rsidRPr="002D2F67" w:rsidRDefault="00A31D30" w:rsidP="005611FE">
            <w:pPr>
              <w:ind w:left="-36" w:right="-72"/>
              <w:jc w:val="right"/>
              <w:rPr>
                <w:rFonts w:ascii="Arial" w:hAnsi="Arial" w:cs="Arial"/>
                <w:b/>
                <w:bCs/>
                <w:color w:val="000000"/>
                <w:sz w:val="20"/>
                <w:szCs w:val="20"/>
              </w:rPr>
            </w:pPr>
            <w:r w:rsidRPr="002D2F67">
              <w:rPr>
                <w:rFonts w:ascii="Arial" w:hAnsi="Arial" w:cs="Arial"/>
                <w:b/>
                <w:bCs/>
                <w:color w:val="000000"/>
                <w:sz w:val="20"/>
                <w:szCs w:val="20"/>
              </w:rPr>
              <w:t xml:space="preserve">Retirement benefit obligations  </w:t>
            </w:r>
          </w:p>
        </w:tc>
        <w:tc>
          <w:tcPr>
            <w:tcW w:w="1842" w:type="dxa"/>
            <w:tcBorders>
              <w:top w:val="single" w:sz="4" w:space="0" w:color="auto"/>
            </w:tcBorders>
            <w:shd w:val="clear" w:color="auto" w:fill="auto"/>
            <w:vAlign w:val="bottom"/>
          </w:tcPr>
          <w:p w14:paraId="59C58B88" w14:textId="662041E8" w:rsidR="00A31D30" w:rsidRPr="002D2F67" w:rsidRDefault="00A31D30" w:rsidP="005611FE">
            <w:pPr>
              <w:ind w:left="-36" w:right="-72"/>
              <w:jc w:val="right"/>
              <w:rPr>
                <w:rFonts w:ascii="Arial" w:hAnsi="Arial" w:cs="Arial"/>
                <w:b/>
                <w:bCs/>
                <w:color w:val="000000"/>
                <w:sz w:val="20"/>
                <w:szCs w:val="20"/>
                <w:cs/>
              </w:rPr>
            </w:pPr>
            <w:r w:rsidRPr="002D2F67">
              <w:rPr>
                <w:rFonts w:ascii="Arial" w:hAnsi="Arial" w:cs="Arial"/>
                <w:b/>
                <w:bCs/>
                <w:color w:val="000000"/>
                <w:sz w:val="20"/>
                <w:szCs w:val="20"/>
              </w:rPr>
              <w:t>Provision for decommissioning costs</w:t>
            </w:r>
          </w:p>
        </w:tc>
        <w:tc>
          <w:tcPr>
            <w:tcW w:w="1430" w:type="dxa"/>
            <w:tcBorders>
              <w:top w:val="single" w:sz="4" w:space="0" w:color="auto"/>
            </w:tcBorders>
            <w:shd w:val="clear" w:color="auto" w:fill="auto"/>
            <w:vAlign w:val="bottom"/>
          </w:tcPr>
          <w:p w14:paraId="0A86C138" w14:textId="7ADC5864" w:rsidR="00A31D30" w:rsidRPr="002D2F67" w:rsidRDefault="00A31D30" w:rsidP="005611FE">
            <w:pPr>
              <w:ind w:left="-36" w:right="-72"/>
              <w:jc w:val="right"/>
              <w:rPr>
                <w:rFonts w:ascii="Arial" w:hAnsi="Arial" w:cs="Arial"/>
                <w:b/>
                <w:bCs/>
                <w:color w:val="000000"/>
                <w:sz w:val="20"/>
                <w:szCs w:val="20"/>
              </w:rPr>
            </w:pPr>
            <w:r w:rsidRPr="002D2F67">
              <w:rPr>
                <w:rFonts w:ascii="Arial" w:hAnsi="Arial" w:cs="Arial"/>
                <w:b/>
                <w:bCs/>
                <w:color w:val="000000"/>
                <w:sz w:val="20"/>
                <w:szCs w:val="20"/>
              </w:rPr>
              <w:t>Lease liabilities</w:t>
            </w:r>
          </w:p>
        </w:tc>
        <w:tc>
          <w:tcPr>
            <w:tcW w:w="1362" w:type="dxa"/>
            <w:tcBorders>
              <w:top w:val="single" w:sz="4" w:space="0" w:color="auto"/>
            </w:tcBorders>
            <w:shd w:val="clear" w:color="auto" w:fill="auto"/>
            <w:vAlign w:val="bottom"/>
          </w:tcPr>
          <w:p w14:paraId="6EAF2887" w14:textId="77777777" w:rsidR="00A31D30" w:rsidRPr="002D2F67" w:rsidRDefault="00A31D30" w:rsidP="005611FE">
            <w:pPr>
              <w:ind w:left="-36" w:right="-72"/>
              <w:jc w:val="right"/>
              <w:rPr>
                <w:rFonts w:ascii="Arial" w:hAnsi="Arial" w:cs="Arial"/>
                <w:b/>
                <w:bCs/>
                <w:color w:val="000000"/>
                <w:sz w:val="20"/>
                <w:szCs w:val="20"/>
              </w:rPr>
            </w:pPr>
            <w:r w:rsidRPr="002D2F67">
              <w:rPr>
                <w:rFonts w:ascii="Arial" w:hAnsi="Arial" w:cs="Arial"/>
                <w:b/>
                <w:bCs/>
                <w:color w:val="000000"/>
                <w:sz w:val="20"/>
                <w:szCs w:val="20"/>
              </w:rPr>
              <w:t xml:space="preserve"> Total</w:t>
            </w:r>
          </w:p>
        </w:tc>
      </w:tr>
      <w:tr w:rsidR="00A31D30" w:rsidRPr="002D2F67" w14:paraId="0BF6AF77" w14:textId="77777777" w:rsidTr="005611FE">
        <w:trPr>
          <w:trHeight w:val="19"/>
        </w:trPr>
        <w:tc>
          <w:tcPr>
            <w:tcW w:w="4372" w:type="dxa"/>
            <w:shd w:val="clear" w:color="auto" w:fill="auto"/>
            <w:vAlign w:val="bottom"/>
          </w:tcPr>
          <w:p w14:paraId="74F639D6" w14:textId="77777777" w:rsidR="00A31D30" w:rsidRPr="002D2F67" w:rsidRDefault="00A31D30" w:rsidP="005611FE">
            <w:pPr>
              <w:tabs>
                <w:tab w:val="left" w:pos="1134"/>
                <w:tab w:val="left" w:pos="1276"/>
                <w:tab w:val="center" w:pos="3402"/>
                <w:tab w:val="center" w:pos="4536"/>
                <w:tab w:val="center" w:pos="5670"/>
                <w:tab w:val="center" w:pos="6804"/>
                <w:tab w:val="right" w:pos="7655"/>
              </w:tabs>
              <w:ind w:left="49"/>
              <w:rPr>
                <w:rFonts w:ascii="Arial" w:hAnsi="Arial" w:cs="Arial"/>
                <w:b/>
                <w:bCs/>
                <w:color w:val="000000"/>
                <w:sz w:val="20"/>
                <w:szCs w:val="20"/>
              </w:rPr>
            </w:pPr>
          </w:p>
        </w:tc>
        <w:tc>
          <w:tcPr>
            <w:tcW w:w="1636" w:type="dxa"/>
            <w:tcBorders>
              <w:bottom w:val="single" w:sz="4" w:space="0" w:color="auto"/>
            </w:tcBorders>
            <w:shd w:val="clear" w:color="auto" w:fill="auto"/>
            <w:vAlign w:val="bottom"/>
          </w:tcPr>
          <w:p w14:paraId="715E056C" w14:textId="3B7E27C1" w:rsidR="00A31D30" w:rsidRPr="002D2F67" w:rsidRDefault="00A31D30"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636" w:type="dxa"/>
            <w:tcBorders>
              <w:bottom w:val="single" w:sz="4" w:space="0" w:color="auto"/>
            </w:tcBorders>
            <w:shd w:val="clear" w:color="auto" w:fill="auto"/>
            <w:vAlign w:val="bottom"/>
          </w:tcPr>
          <w:p w14:paraId="4EE6F3D0" w14:textId="286CC48B" w:rsidR="00A31D30" w:rsidRPr="002D2F67" w:rsidRDefault="00A31D30"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636" w:type="dxa"/>
            <w:tcBorders>
              <w:bottom w:val="single" w:sz="4" w:space="0" w:color="auto"/>
            </w:tcBorders>
            <w:shd w:val="clear" w:color="auto" w:fill="auto"/>
            <w:vAlign w:val="bottom"/>
          </w:tcPr>
          <w:p w14:paraId="2515B231" w14:textId="06FFF61E" w:rsidR="00A31D30" w:rsidRPr="002D2F67" w:rsidRDefault="00A31D30" w:rsidP="005611FE">
            <w:pPr>
              <w:ind w:right="-72"/>
              <w:jc w:val="right"/>
              <w:rPr>
                <w:rFonts w:ascii="Arial" w:hAnsi="Arial" w:cs="Arial"/>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636" w:type="dxa"/>
            <w:tcBorders>
              <w:bottom w:val="single" w:sz="4" w:space="0" w:color="auto"/>
            </w:tcBorders>
            <w:shd w:val="clear" w:color="auto" w:fill="auto"/>
            <w:vAlign w:val="bottom"/>
          </w:tcPr>
          <w:p w14:paraId="76ACAA35" w14:textId="35A8C1E6" w:rsidR="00A31D30" w:rsidRPr="002D2F67" w:rsidRDefault="00A31D30"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842" w:type="dxa"/>
            <w:tcBorders>
              <w:bottom w:val="single" w:sz="4" w:space="0" w:color="auto"/>
            </w:tcBorders>
            <w:shd w:val="clear" w:color="auto" w:fill="auto"/>
          </w:tcPr>
          <w:p w14:paraId="4C61C78F" w14:textId="79A2115E" w:rsidR="00A31D30" w:rsidRPr="002D2F67" w:rsidRDefault="00A31D30" w:rsidP="005611FE">
            <w:pPr>
              <w:ind w:right="-72"/>
              <w:jc w:val="right"/>
              <w:rPr>
                <w:rFonts w:ascii="Arial" w:hAnsi="Arial" w:cs="Arial"/>
                <w:color w:val="000000"/>
                <w:sz w:val="20"/>
                <w:szCs w:val="20"/>
              </w:rPr>
            </w:pPr>
            <w:r w:rsidRPr="002D2F67">
              <w:rPr>
                <w:rFonts w:ascii="Arial" w:hAnsi="Arial" w:cs="Arial"/>
                <w:b/>
                <w:bCs/>
                <w:color w:val="000000"/>
                <w:sz w:val="18"/>
                <w:szCs w:val="18"/>
              </w:rPr>
              <w:t>Baht’</w:t>
            </w:r>
            <w:r w:rsidR="00CD5714" w:rsidRPr="00CD5714">
              <w:rPr>
                <w:rFonts w:ascii="Arial" w:hAnsi="Arial" w:cs="Arial"/>
                <w:b/>
                <w:bCs/>
                <w:color w:val="000000"/>
                <w:sz w:val="18"/>
                <w:szCs w:val="18"/>
                <w:lang w:val="en-GB"/>
              </w:rPr>
              <w:t>000</w:t>
            </w:r>
          </w:p>
        </w:tc>
        <w:tc>
          <w:tcPr>
            <w:tcW w:w="1430" w:type="dxa"/>
            <w:tcBorders>
              <w:bottom w:val="single" w:sz="4" w:space="0" w:color="auto"/>
            </w:tcBorders>
            <w:shd w:val="clear" w:color="auto" w:fill="auto"/>
            <w:vAlign w:val="bottom"/>
          </w:tcPr>
          <w:p w14:paraId="5E3196E8" w14:textId="7C6B598C" w:rsidR="00A31D30" w:rsidRPr="002D2F67" w:rsidRDefault="00A31D30"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362" w:type="dxa"/>
            <w:tcBorders>
              <w:bottom w:val="single" w:sz="4" w:space="0" w:color="auto"/>
            </w:tcBorders>
            <w:shd w:val="clear" w:color="auto" w:fill="auto"/>
            <w:vAlign w:val="bottom"/>
          </w:tcPr>
          <w:p w14:paraId="2F7739F1" w14:textId="20ED1CC6" w:rsidR="00A31D30" w:rsidRPr="002D2F67" w:rsidRDefault="00A31D30"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A31D30" w:rsidRPr="002D2F67" w14:paraId="3941E458" w14:textId="77777777" w:rsidTr="005611FE">
        <w:trPr>
          <w:trHeight w:val="19"/>
        </w:trPr>
        <w:tc>
          <w:tcPr>
            <w:tcW w:w="4372" w:type="dxa"/>
            <w:shd w:val="clear" w:color="auto" w:fill="auto"/>
            <w:vAlign w:val="bottom"/>
          </w:tcPr>
          <w:p w14:paraId="11B624B3" w14:textId="77777777" w:rsidR="00A31D30" w:rsidRPr="002D2F67" w:rsidRDefault="00A31D30" w:rsidP="005611FE">
            <w:pPr>
              <w:pStyle w:val="Header"/>
              <w:tabs>
                <w:tab w:val="left" w:pos="1134"/>
                <w:tab w:val="left" w:pos="1276"/>
                <w:tab w:val="center" w:pos="3402"/>
                <w:tab w:val="center" w:pos="5670"/>
                <w:tab w:val="center" w:pos="6804"/>
                <w:tab w:val="right" w:pos="7655"/>
              </w:tabs>
              <w:ind w:left="49"/>
              <w:jc w:val="left"/>
              <w:rPr>
                <w:rFonts w:ascii="Arial" w:hAnsi="Arial" w:cs="Arial"/>
                <w:color w:val="000000"/>
                <w:sz w:val="20"/>
                <w:szCs w:val="20"/>
              </w:rPr>
            </w:pPr>
          </w:p>
        </w:tc>
        <w:tc>
          <w:tcPr>
            <w:tcW w:w="1636" w:type="dxa"/>
            <w:tcBorders>
              <w:top w:val="single" w:sz="4" w:space="0" w:color="auto"/>
            </w:tcBorders>
            <w:shd w:val="clear" w:color="auto" w:fill="auto"/>
            <w:vAlign w:val="bottom"/>
          </w:tcPr>
          <w:p w14:paraId="6DE1C0B6" w14:textId="77777777" w:rsidR="00A31D30" w:rsidRPr="002D2F67" w:rsidRDefault="00A31D3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636" w:type="dxa"/>
            <w:tcBorders>
              <w:top w:val="single" w:sz="4" w:space="0" w:color="auto"/>
            </w:tcBorders>
            <w:shd w:val="clear" w:color="auto" w:fill="auto"/>
            <w:vAlign w:val="bottom"/>
          </w:tcPr>
          <w:p w14:paraId="667512E7" w14:textId="3F02EA42" w:rsidR="00A31D30" w:rsidRPr="002D2F67" w:rsidRDefault="00A31D3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636" w:type="dxa"/>
            <w:tcBorders>
              <w:top w:val="single" w:sz="4" w:space="0" w:color="auto"/>
            </w:tcBorders>
            <w:shd w:val="clear" w:color="auto" w:fill="auto"/>
            <w:vAlign w:val="bottom"/>
          </w:tcPr>
          <w:p w14:paraId="13AAB0E9" w14:textId="77777777" w:rsidR="00A31D30" w:rsidRPr="002D2F67" w:rsidRDefault="00A31D3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636" w:type="dxa"/>
            <w:tcBorders>
              <w:top w:val="single" w:sz="4" w:space="0" w:color="auto"/>
            </w:tcBorders>
            <w:shd w:val="clear" w:color="auto" w:fill="auto"/>
            <w:vAlign w:val="bottom"/>
          </w:tcPr>
          <w:p w14:paraId="06D90C31" w14:textId="77777777" w:rsidR="00A31D30" w:rsidRPr="002D2F67" w:rsidRDefault="00A31D3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842" w:type="dxa"/>
            <w:tcBorders>
              <w:top w:val="single" w:sz="4" w:space="0" w:color="auto"/>
            </w:tcBorders>
            <w:shd w:val="clear" w:color="auto" w:fill="auto"/>
            <w:vAlign w:val="bottom"/>
          </w:tcPr>
          <w:p w14:paraId="165191DF" w14:textId="590A9A94" w:rsidR="00A31D30" w:rsidRPr="002D2F67" w:rsidRDefault="00A31D3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30" w:type="dxa"/>
            <w:tcBorders>
              <w:top w:val="single" w:sz="4" w:space="0" w:color="auto"/>
            </w:tcBorders>
            <w:shd w:val="clear" w:color="auto" w:fill="auto"/>
            <w:vAlign w:val="bottom"/>
          </w:tcPr>
          <w:p w14:paraId="5255C677" w14:textId="77777777" w:rsidR="00A31D30" w:rsidRPr="002D2F67" w:rsidRDefault="00A31D3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2" w:type="dxa"/>
            <w:tcBorders>
              <w:top w:val="single" w:sz="4" w:space="0" w:color="auto"/>
            </w:tcBorders>
            <w:shd w:val="clear" w:color="auto" w:fill="auto"/>
            <w:vAlign w:val="bottom"/>
          </w:tcPr>
          <w:p w14:paraId="3FABB4BF" w14:textId="77777777" w:rsidR="00A31D30" w:rsidRPr="002D2F67" w:rsidRDefault="00A31D3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A31D30" w:rsidRPr="002D2F67" w14:paraId="1AD61196" w14:textId="77777777" w:rsidTr="005611FE">
        <w:trPr>
          <w:trHeight w:val="19"/>
        </w:trPr>
        <w:tc>
          <w:tcPr>
            <w:tcW w:w="4372" w:type="dxa"/>
            <w:shd w:val="clear" w:color="auto" w:fill="auto"/>
            <w:vAlign w:val="bottom"/>
          </w:tcPr>
          <w:p w14:paraId="2FE1DF75" w14:textId="77777777" w:rsidR="00A31D30" w:rsidRPr="002D2F67" w:rsidRDefault="00A31D30" w:rsidP="005611FE">
            <w:pPr>
              <w:pStyle w:val="Header"/>
              <w:ind w:left="49"/>
              <w:jc w:val="left"/>
              <w:rPr>
                <w:rFonts w:ascii="Arial" w:hAnsi="Arial" w:cs="Arial"/>
                <w:b/>
                <w:bCs/>
                <w:color w:val="000000"/>
                <w:sz w:val="20"/>
                <w:szCs w:val="20"/>
              </w:rPr>
            </w:pPr>
            <w:r w:rsidRPr="002D2F67">
              <w:rPr>
                <w:rFonts w:ascii="Arial" w:hAnsi="Arial" w:cs="Arial"/>
                <w:b/>
                <w:bCs/>
                <w:color w:val="000000"/>
                <w:sz w:val="20"/>
                <w:szCs w:val="20"/>
              </w:rPr>
              <w:t>Deferred tax assets</w:t>
            </w:r>
          </w:p>
        </w:tc>
        <w:tc>
          <w:tcPr>
            <w:tcW w:w="1636" w:type="dxa"/>
            <w:shd w:val="clear" w:color="auto" w:fill="auto"/>
            <w:vAlign w:val="bottom"/>
          </w:tcPr>
          <w:p w14:paraId="23ED6BD0" w14:textId="77777777" w:rsidR="00A31D30" w:rsidRPr="002D2F67" w:rsidRDefault="00A31D3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636" w:type="dxa"/>
            <w:shd w:val="clear" w:color="auto" w:fill="auto"/>
            <w:vAlign w:val="bottom"/>
          </w:tcPr>
          <w:p w14:paraId="3DB5BC18" w14:textId="08AB050D" w:rsidR="00A31D30" w:rsidRPr="002D2F67" w:rsidRDefault="00A31D3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636" w:type="dxa"/>
            <w:shd w:val="clear" w:color="auto" w:fill="auto"/>
            <w:vAlign w:val="bottom"/>
          </w:tcPr>
          <w:p w14:paraId="07465D08" w14:textId="77777777" w:rsidR="00A31D30" w:rsidRPr="002D2F67" w:rsidRDefault="00A31D3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636" w:type="dxa"/>
            <w:shd w:val="clear" w:color="auto" w:fill="auto"/>
            <w:vAlign w:val="bottom"/>
          </w:tcPr>
          <w:p w14:paraId="7C538B74" w14:textId="77777777" w:rsidR="00A31D30" w:rsidRPr="002D2F67" w:rsidRDefault="00A31D3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842" w:type="dxa"/>
            <w:shd w:val="clear" w:color="auto" w:fill="auto"/>
            <w:vAlign w:val="bottom"/>
          </w:tcPr>
          <w:p w14:paraId="316BA0FF" w14:textId="4FB560E8" w:rsidR="00A31D30" w:rsidRPr="002D2F67" w:rsidRDefault="00A31D3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30" w:type="dxa"/>
            <w:shd w:val="clear" w:color="auto" w:fill="auto"/>
            <w:vAlign w:val="bottom"/>
          </w:tcPr>
          <w:p w14:paraId="090C2D1C" w14:textId="77777777" w:rsidR="00A31D30" w:rsidRPr="002D2F67" w:rsidRDefault="00A31D3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2" w:type="dxa"/>
            <w:shd w:val="clear" w:color="auto" w:fill="auto"/>
            <w:vAlign w:val="bottom"/>
          </w:tcPr>
          <w:p w14:paraId="332B2FD0" w14:textId="77777777" w:rsidR="00A31D30" w:rsidRPr="002D2F67" w:rsidRDefault="00A31D3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49508C" w:rsidRPr="002D2F67" w14:paraId="2DF83624" w14:textId="77777777" w:rsidTr="005611FE">
        <w:trPr>
          <w:trHeight w:val="19"/>
        </w:trPr>
        <w:tc>
          <w:tcPr>
            <w:tcW w:w="4372" w:type="dxa"/>
            <w:shd w:val="clear" w:color="auto" w:fill="auto"/>
            <w:vAlign w:val="bottom"/>
          </w:tcPr>
          <w:p w14:paraId="216D64DC" w14:textId="27092D65" w:rsidR="0049508C" w:rsidRPr="002D2F67" w:rsidRDefault="0049508C" w:rsidP="005611FE">
            <w:pPr>
              <w:pStyle w:val="Header"/>
              <w:tabs>
                <w:tab w:val="left" w:pos="852"/>
              </w:tabs>
              <w:ind w:left="49"/>
              <w:jc w:val="left"/>
              <w:rPr>
                <w:rFonts w:ascii="Arial" w:hAnsi="Arial" w:cs="Arial"/>
                <w:color w:val="000000"/>
                <w:sz w:val="20"/>
                <w:szCs w:val="20"/>
                <w:cs/>
              </w:rPr>
            </w:pPr>
            <w:r w:rsidRPr="002D2F67">
              <w:rPr>
                <w:rFonts w:ascii="Arial" w:hAnsi="Arial" w:cs="Arial"/>
                <w:color w:val="000000"/>
                <w:sz w:val="20"/>
                <w:szCs w:val="20"/>
              </w:rPr>
              <w:t xml:space="preserve">As </w:t>
            </w:r>
            <w:proofErr w:type="gramStart"/>
            <w:r w:rsidRPr="002D2F67">
              <w:rPr>
                <w:rFonts w:ascii="Arial" w:hAnsi="Arial" w:cs="Arial"/>
                <w:color w:val="000000"/>
                <w:sz w:val="20"/>
                <w:szCs w:val="20"/>
              </w:rPr>
              <w:t>at</w:t>
            </w:r>
            <w:proofErr w:type="gramEnd"/>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1</w:t>
            </w:r>
            <w:r w:rsidRPr="002D2F67">
              <w:rPr>
                <w:rFonts w:ascii="Arial" w:hAnsi="Arial" w:cs="Arial"/>
                <w:color w:val="000000"/>
                <w:sz w:val="20"/>
                <w:szCs w:val="20"/>
              </w:rPr>
              <w:t xml:space="preserve"> January </w:t>
            </w:r>
            <w:r w:rsidR="00CD5714" w:rsidRPr="00CD5714">
              <w:rPr>
                <w:rFonts w:ascii="Arial" w:hAnsi="Arial" w:cs="Arial"/>
                <w:color w:val="000000"/>
                <w:sz w:val="20"/>
                <w:szCs w:val="20"/>
                <w:lang w:val="en-GB"/>
              </w:rPr>
              <w:t>2023</w:t>
            </w:r>
          </w:p>
        </w:tc>
        <w:tc>
          <w:tcPr>
            <w:tcW w:w="1636" w:type="dxa"/>
            <w:shd w:val="clear" w:color="auto" w:fill="auto"/>
            <w:vAlign w:val="bottom"/>
          </w:tcPr>
          <w:p w14:paraId="5085EB89" w14:textId="578F3D89" w:rsidR="0049508C" w:rsidRPr="002D2F67" w:rsidRDefault="0049508C"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p>
        </w:tc>
        <w:tc>
          <w:tcPr>
            <w:tcW w:w="1636" w:type="dxa"/>
            <w:shd w:val="clear" w:color="auto" w:fill="auto"/>
            <w:vAlign w:val="bottom"/>
          </w:tcPr>
          <w:p w14:paraId="4AEDDB66" w14:textId="2CD5F41A" w:rsidR="0049508C"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325</w:t>
            </w:r>
          </w:p>
        </w:tc>
        <w:tc>
          <w:tcPr>
            <w:tcW w:w="1636" w:type="dxa"/>
            <w:shd w:val="clear" w:color="auto" w:fill="auto"/>
            <w:vAlign w:val="bottom"/>
          </w:tcPr>
          <w:p w14:paraId="7CC31CB1" w14:textId="71E2713D" w:rsidR="0049508C"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2</w:t>
            </w:r>
            <w:r w:rsidR="0049508C" w:rsidRPr="002D2F67">
              <w:rPr>
                <w:rFonts w:ascii="Arial" w:hAnsi="Arial" w:cs="Arial"/>
                <w:color w:val="000000"/>
                <w:sz w:val="20"/>
                <w:szCs w:val="20"/>
              </w:rPr>
              <w:t>,</w:t>
            </w:r>
            <w:r w:rsidRPr="00CD5714">
              <w:rPr>
                <w:rFonts w:ascii="Arial" w:hAnsi="Arial" w:cs="Arial"/>
                <w:color w:val="000000"/>
                <w:sz w:val="20"/>
                <w:szCs w:val="20"/>
                <w:lang w:val="en-GB"/>
              </w:rPr>
              <w:t>932</w:t>
            </w:r>
          </w:p>
        </w:tc>
        <w:tc>
          <w:tcPr>
            <w:tcW w:w="1636" w:type="dxa"/>
            <w:shd w:val="clear" w:color="auto" w:fill="auto"/>
            <w:vAlign w:val="bottom"/>
          </w:tcPr>
          <w:p w14:paraId="789616C0" w14:textId="258A5B12" w:rsidR="0049508C"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14</w:t>
            </w:r>
            <w:r w:rsidR="0049508C" w:rsidRPr="002D2F67">
              <w:rPr>
                <w:rFonts w:ascii="Arial" w:hAnsi="Arial" w:cs="Arial"/>
                <w:color w:val="000000"/>
                <w:sz w:val="20"/>
                <w:szCs w:val="20"/>
              </w:rPr>
              <w:t>,</w:t>
            </w:r>
            <w:r w:rsidRPr="00CD5714">
              <w:rPr>
                <w:rFonts w:ascii="Arial" w:hAnsi="Arial" w:cs="Arial"/>
                <w:color w:val="000000"/>
                <w:sz w:val="20"/>
                <w:szCs w:val="20"/>
                <w:lang w:val="en-GB"/>
              </w:rPr>
              <w:t>443</w:t>
            </w:r>
          </w:p>
        </w:tc>
        <w:tc>
          <w:tcPr>
            <w:tcW w:w="1842" w:type="dxa"/>
            <w:shd w:val="clear" w:color="auto" w:fill="auto"/>
            <w:vAlign w:val="bottom"/>
          </w:tcPr>
          <w:p w14:paraId="6430AB29" w14:textId="24175705" w:rsidR="0049508C"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24</w:t>
            </w:r>
            <w:r w:rsidR="0049508C" w:rsidRPr="002D2F67">
              <w:rPr>
                <w:rFonts w:ascii="Arial" w:hAnsi="Arial" w:cs="Arial"/>
                <w:color w:val="000000"/>
                <w:sz w:val="20"/>
                <w:szCs w:val="20"/>
              </w:rPr>
              <w:t>,</w:t>
            </w:r>
            <w:r w:rsidRPr="00CD5714">
              <w:rPr>
                <w:rFonts w:ascii="Arial" w:hAnsi="Arial" w:cs="Arial"/>
                <w:color w:val="000000"/>
                <w:sz w:val="20"/>
                <w:szCs w:val="20"/>
                <w:lang w:val="en-GB"/>
              </w:rPr>
              <w:t>161</w:t>
            </w:r>
          </w:p>
        </w:tc>
        <w:tc>
          <w:tcPr>
            <w:tcW w:w="1430" w:type="dxa"/>
            <w:shd w:val="clear" w:color="auto" w:fill="auto"/>
            <w:vAlign w:val="bottom"/>
          </w:tcPr>
          <w:p w14:paraId="3A231D49" w14:textId="483F5CAD" w:rsidR="0049508C"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57</w:t>
            </w:r>
            <w:r w:rsidR="0049508C" w:rsidRPr="002D2F67">
              <w:rPr>
                <w:rFonts w:ascii="Arial" w:hAnsi="Arial" w:cs="Arial"/>
                <w:color w:val="000000"/>
                <w:sz w:val="20"/>
                <w:szCs w:val="20"/>
              </w:rPr>
              <w:t>,</w:t>
            </w:r>
            <w:r w:rsidRPr="00CD5714">
              <w:rPr>
                <w:rFonts w:ascii="Arial" w:hAnsi="Arial" w:cs="Arial"/>
                <w:color w:val="000000"/>
                <w:sz w:val="20"/>
                <w:szCs w:val="20"/>
                <w:lang w:val="en-GB"/>
              </w:rPr>
              <w:t>228</w:t>
            </w:r>
          </w:p>
        </w:tc>
        <w:tc>
          <w:tcPr>
            <w:tcW w:w="1362" w:type="dxa"/>
            <w:shd w:val="clear" w:color="auto" w:fill="auto"/>
            <w:vAlign w:val="bottom"/>
          </w:tcPr>
          <w:p w14:paraId="702747BE" w14:textId="49831CDA" w:rsidR="0049508C"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99</w:t>
            </w:r>
            <w:r w:rsidR="0049508C" w:rsidRPr="002D2F67">
              <w:rPr>
                <w:rFonts w:ascii="Arial" w:hAnsi="Arial" w:cs="Arial"/>
                <w:color w:val="000000"/>
                <w:sz w:val="20"/>
                <w:szCs w:val="20"/>
              </w:rPr>
              <w:t>,</w:t>
            </w:r>
            <w:r w:rsidRPr="00CD5714">
              <w:rPr>
                <w:rFonts w:ascii="Arial" w:hAnsi="Arial" w:cs="Arial"/>
                <w:color w:val="000000"/>
                <w:sz w:val="20"/>
                <w:szCs w:val="20"/>
                <w:lang w:val="en-GB"/>
              </w:rPr>
              <w:t>089</w:t>
            </w:r>
          </w:p>
        </w:tc>
      </w:tr>
      <w:tr w:rsidR="0049508C" w:rsidRPr="002D2F67" w14:paraId="6FCBF7C7" w14:textId="77777777" w:rsidTr="005611FE">
        <w:trPr>
          <w:trHeight w:val="19"/>
        </w:trPr>
        <w:tc>
          <w:tcPr>
            <w:tcW w:w="4372" w:type="dxa"/>
            <w:shd w:val="clear" w:color="auto" w:fill="auto"/>
            <w:vAlign w:val="bottom"/>
          </w:tcPr>
          <w:p w14:paraId="2641CF22" w14:textId="2943686A" w:rsidR="0049508C" w:rsidRPr="002D2F67" w:rsidRDefault="0049508C" w:rsidP="005611FE">
            <w:pPr>
              <w:pStyle w:val="Header"/>
              <w:tabs>
                <w:tab w:val="clear" w:pos="4320"/>
                <w:tab w:val="clear" w:pos="8640"/>
                <w:tab w:val="left" w:pos="2663"/>
              </w:tabs>
              <w:ind w:left="49"/>
              <w:jc w:val="left"/>
              <w:rPr>
                <w:rFonts w:ascii="Arial" w:hAnsi="Arial" w:cs="Arial"/>
                <w:color w:val="000000"/>
                <w:spacing w:val="-10"/>
                <w:sz w:val="20"/>
                <w:szCs w:val="20"/>
              </w:rPr>
            </w:pPr>
            <w:r w:rsidRPr="002D2F67">
              <w:rPr>
                <w:rFonts w:ascii="Arial" w:hAnsi="Arial" w:cs="Arial"/>
                <w:color w:val="000000"/>
                <w:sz w:val="20"/>
                <w:szCs w:val="20"/>
              </w:rPr>
              <w:t xml:space="preserve">Tax </w:t>
            </w:r>
            <w:r w:rsidRPr="002D2F67">
              <w:rPr>
                <w:rFonts w:ascii="Arial" w:hAnsi="Arial" w:cs="Arial"/>
                <w:color w:val="000000"/>
                <w:sz w:val="20"/>
                <w:szCs w:val="25"/>
              </w:rPr>
              <w:t>(</w:t>
            </w:r>
            <w:r w:rsidRPr="002D2F67">
              <w:rPr>
                <w:rFonts w:ascii="Arial" w:hAnsi="Arial" w:cs="Arial"/>
                <w:color w:val="000000"/>
                <w:sz w:val="20"/>
                <w:szCs w:val="20"/>
              </w:rPr>
              <w:t>charged) credited to profit or loss</w:t>
            </w:r>
          </w:p>
        </w:tc>
        <w:tc>
          <w:tcPr>
            <w:tcW w:w="1636" w:type="dxa"/>
            <w:shd w:val="clear" w:color="auto" w:fill="auto"/>
            <w:vAlign w:val="bottom"/>
          </w:tcPr>
          <w:p w14:paraId="5888443F" w14:textId="4C049860" w:rsidR="0049508C"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130</w:t>
            </w:r>
            <w:r w:rsidR="0049508C" w:rsidRPr="002D2F67">
              <w:rPr>
                <w:rFonts w:ascii="Arial" w:hAnsi="Arial" w:cs="Arial"/>
                <w:color w:val="000000"/>
                <w:sz w:val="20"/>
                <w:szCs w:val="20"/>
              </w:rPr>
              <w:t>,</w:t>
            </w:r>
            <w:r w:rsidRPr="00CD5714">
              <w:rPr>
                <w:rFonts w:ascii="Arial" w:hAnsi="Arial" w:cs="Arial"/>
                <w:color w:val="000000"/>
                <w:sz w:val="20"/>
                <w:szCs w:val="20"/>
                <w:lang w:val="en-GB"/>
              </w:rPr>
              <w:t>472</w:t>
            </w:r>
          </w:p>
        </w:tc>
        <w:tc>
          <w:tcPr>
            <w:tcW w:w="1636" w:type="dxa"/>
            <w:shd w:val="clear" w:color="auto" w:fill="auto"/>
            <w:vAlign w:val="bottom"/>
          </w:tcPr>
          <w:p w14:paraId="4707E907" w14:textId="7C4E6A50" w:rsidR="0049508C" w:rsidRPr="002D2F67" w:rsidRDefault="0049508C" w:rsidP="005611FE">
            <w:pPr>
              <w:pStyle w:val="Header"/>
              <w:ind w:right="-72"/>
              <w:jc w:val="right"/>
              <w:rPr>
                <w:rFonts w:ascii="Arial" w:hAnsi="Arial" w:cs="Arial"/>
                <w:color w:val="000000"/>
                <w:sz w:val="20"/>
                <w:szCs w:val="20"/>
              </w:rPr>
            </w:pPr>
            <w:r w:rsidRPr="002D2F67">
              <w:rPr>
                <w:rFonts w:ascii="Arial" w:hAnsi="Arial" w:cs="Arial"/>
                <w:color w:val="000000"/>
                <w:sz w:val="20"/>
                <w:szCs w:val="20"/>
              </w:rPr>
              <w:t>-</w:t>
            </w:r>
          </w:p>
        </w:tc>
        <w:tc>
          <w:tcPr>
            <w:tcW w:w="1636" w:type="dxa"/>
            <w:shd w:val="clear" w:color="auto" w:fill="auto"/>
            <w:vAlign w:val="bottom"/>
          </w:tcPr>
          <w:p w14:paraId="45B40CD7" w14:textId="3A4D3F51" w:rsidR="0049508C" w:rsidRPr="002D2F67" w:rsidRDefault="0049508C" w:rsidP="005611FE">
            <w:pPr>
              <w:pStyle w:val="Header"/>
              <w:ind w:right="-72"/>
              <w:jc w:val="right"/>
              <w:rPr>
                <w:rFonts w:ascii="Arial" w:hAnsi="Arial" w:cs="Arial"/>
                <w:color w:val="000000"/>
                <w:sz w:val="20"/>
                <w:szCs w:val="20"/>
              </w:rPr>
            </w:pPr>
            <w:r w:rsidRPr="002D2F67">
              <w:rPr>
                <w:rFonts w:ascii="Arial" w:hAnsi="Arial" w:cs="Arial"/>
                <w:color w:val="000000"/>
                <w:sz w:val="20"/>
                <w:szCs w:val="20"/>
              </w:rPr>
              <w:t>-</w:t>
            </w:r>
          </w:p>
        </w:tc>
        <w:tc>
          <w:tcPr>
            <w:tcW w:w="1636" w:type="dxa"/>
            <w:shd w:val="clear" w:color="auto" w:fill="auto"/>
            <w:vAlign w:val="bottom"/>
          </w:tcPr>
          <w:p w14:paraId="0F727ED7" w14:textId="2406970A" w:rsidR="0049508C"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1</w:t>
            </w:r>
            <w:r w:rsidR="0049508C" w:rsidRPr="002D2F67">
              <w:rPr>
                <w:rFonts w:ascii="Arial" w:hAnsi="Arial" w:cs="Arial"/>
                <w:color w:val="000000"/>
                <w:sz w:val="20"/>
                <w:szCs w:val="20"/>
              </w:rPr>
              <w:t>,</w:t>
            </w:r>
            <w:r w:rsidRPr="00CD5714">
              <w:rPr>
                <w:rFonts w:ascii="Arial" w:hAnsi="Arial" w:cs="Arial"/>
                <w:color w:val="000000"/>
                <w:sz w:val="20"/>
                <w:szCs w:val="20"/>
                <w:lang w:val="en-GB"/>
              </w:rPr>
              <w:t>946</w:t>
            </w:r>
          </w:p>
        </w:tc>
        <w:tc>
          <w:tcPr>
            <w:tcW w:w="1842" w:type="dxa"/>
            <w:shd w:val="clear" w:color="auto" w:fill="auto"/>
            <w:vAlign w:val="bottom"/>
          </w:tcPr>
          <w:p w14:paraId="275D6481" w14:textId="3B0DA402" w:rsidR="0049508C"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3</w:t>
            </w:r>
            <w:r w:rsidR="0049508C" w:rsidRPr="002D2F67">
              <w:rPr>
                <w:rFonts w:ascii="Arial" w:hAnsi="Arial" w:cs="Arial"/>
                <w:color w:val="000000"/>
                <w:sz w:val="20"/>
                <w:szCs w:val="20"/>
              </w:rPr>
              <w:t>,</w:t>
            </w:r>
            <w:r w:rsidRPr="00CD5714">
              <w:rPr>
                <w:rFonts w:ascii="Arial" w:hAnsi="Arial" w:cs="Arial"/>
                <w:color w:val="000000"/>
                <w:sz w:val="20"/>
                <w:szCs w:val="20"/>
                <w:lang w:val="en-GB"/>
              </w:rPr>
              <w:t>262</w:t>
            </w:r>
          </w:p>
        </w:tc>
        <w:tc>
          <w:tcPr>
            <w:tcW w:w="1430" w:type="dxa"/>
            <w:shd w:val="clear" w:color="auto" w:fill="auto"/>
            <w:vAlign w:val="bottom"/>
          </w:tcPr>
          <w:p w14:paraId="44E57EE2" w14:textId="437A5233" w:rsidR="0049508C" w:rsidRPr="002D2F67" w:rsidRDefault="0049508C" w:rsidP="005611FE">
            <w:pPr>
              <w:pStyle w:val="Heade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238</w:t>
            </w:r>
            <w:r w:rsidRPr="002D2F67">
              <w:rPr>
                <w:rFonts w:ascii="Arial" w:hAnsi="Arial" w:cs="Arial"/>
                <w:color w:val="000000"/>
                <w:sz w:val="20"/>
                <w:szCs w:val="20"/>
              </w:rPr>
              <w:t>)</w:t>
            </w:r>
          </w:p>
        </w:tc>
        <w:tc>
          <w:tcPr>
            <w:tcW w:w="1362" w:type="dxa"/>
            <w:shd w:val="clear" w:color="auto" w:fill="auto"/>
            <w:vAlign w:val="bottom"/>
          </w:tcPr>
          <w:p w14:paraId="33416BA9" w14:textId="32280431" w:rsidR="0049508C"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135</w:t>
            </w:r>
            <w:r w:rsidR="0049508C" w:rsidRPr="002D2F67">
              <w:rPr>
                <w:rFonts w:ascii="Arial" w:hAnsi="Arial" w:cs="Arial"/>
                <w:color w:val="000000"/>
                <w:sz w:val="20"/>
                <w:szCs w:val="20"/>
              </w:rPr>
              <w:t>,</w:t>
            </w:r>
            <w:r w:rsidRPr="00CD5714">
              <w:rPr>
                <w:rFonts w:ascii="Arial" w:hAnsi="Arial" w:cs="Arial"/>
                <w:color w:val="000000"/>
                <w:sz w:val="20"/>
                <w:szCs w:val="20"/>
                <w:lang w:val="en-GB"/>
              </w:rPr>
              <w:t>442</w:t>
            </w:r>
          </w:p>
        </w:tc>
      </w:tr>
      <w:tr w:rsidR="0049508C" w:rsidRPr="002D2F67" w14:paraId="6EA9140C" w14:textId="77777777" w:rsidTr="005611FE">
        <w:trPr>
          <w:trHeight w:val="19"/>
        </w:trPr>
        <w:tc>
          <w:tcPr>
            <w:tcW w:w="4372" w:type="dxa"/>
            <w:shd w:val="clear" w:color="auto" w:fill="auto"/>
            <w:vAlign w:val="bottom"/>
          </w:tcPr>
          <w:p w14:paraId="7025B0B1" w14:textId="5F6DFE6A" w:rsidR="0049508C" w:rsidRPr="002D2F67" w:rsidRDefault="0049508C" w:rsidP="005611FE">
            <w:pPr>
              <w:pStyle w:val="Header"/>
              <w:tabs>
                <w:tab w:val="clear" w:pos="4320"/>
                <w:tab w:val="clear" w:pos="8640"/>
                <w:tab w:val="left" w:pos="2663"/>
              </w:tabs>
              <w:ind w:left="49"/>
              <w:jc w:val="left"/>
              <w:rPr>
                <w:rFonts w:ascii="Arial" w:hAnsi="Arial" w:cs="Arial"/>
                <w:color w:val="000000"/>
                <w:sz w:val="20"/>
                <w:szCs w:val="20"/>
              </w:rPr>
            </w:pPr>
            <w:r w:rsidRPr="002D2F67">
              <w:rPr>
                <w:rFonts w:ascii="Arial" w:hAnsi="Arial" w:cs="Arial"/>
                <w:color w:val="000000"/>
                <w:sz w:val="20"/>
                <w:szCs w:val="20"/>
              </w:rPr>
              <w:t>Tax credited to other comprehensive income</w:t>
            </w:r>
          </w:p>
        </w:tc>
        <w:tc>
          <w:tcPr>
            <w:tcW w:w="1636" w:type="dxa"/>
            <w:tcBorders>
              <w:bottom w:val="single" w:sz="4" w:space="0" w:color="auto"/>
            </w:tcBorders>
            <w:shd w:val="clear" w:color="auto" w:fill="auto"/>
            <w:vAlign w:val="bottom"/>
          </w:tcPr>
          <w:p w14:paraId="1C0A04C0" w14:textId="1221D5BC" w:rsidR="0049508C" w:rsidRPr="002D2F67" w:rsidRDefault="0049508C" w:rsidP="005611FE">
            <w:pPr>
              <w:pStyle w:val="Header"/>
              <w:ind w:right="-72"/>
              <w:jc w:val="right"/>
              <w:rPr>
                <w:rFonts w:ascii="Arial" w:hAnsi="Arial" w:cs="Arial"/>
                <w:color w:val="000000"/>
                <w:sz w:val="20"/>
                <w:szCs w:val="20"/>
              </w:rPr>
            </w:pPr>
            <w:r w:rsidRPr="002D2F67">
              <w:rPr>
                <w:rFonts w:ascii="Arial" w:hAnsi="Arial" w:cs="Arial"/>
                <w:color w:val="000000"/>
                <w:sz w:val="20"/>
                <w:szCs w:val="20"/>
              </w:rPr>
              <w:t>-</w:t>
            </w:r>
          </w:p>
        </w:tc>
        <w:tc>
          <w:tcPr>
            <w:tcW w:w="1636" w:type="dxa"/>
            <w:tcBorders>
              <w:bottom w:val="single" w:sz="4" w:space="0" w:color="auto"/>
            </w:tcBorders>
            <w:shd w:val="clear" w:color="auto" w:fill="auto"/>
            <w:vAlign w:val="bottom"/>
          </w:tcPr>
          <w:p w14:paraId="71012AA6" w14:textId="2D1C9006" w:rsidR="0049508C" w:rsidRPr="002D2F67" w:rsidRDefault="0049508C" w:rsidP="005611FE">
            <w:pPr>
              <w:pStyle w:val="Header"/>
              <w:ind w:right="-72"/>
              <w:jc w:val="right"/>
              <w:rPr>
                <w:rFonts w:ascii="Arial" w:hAnsi="Arial" w:cs="Arial"/>
                <w:color w:val="000000"/>
                <w:sz w:val="20"/>
                <w:szCs w:val="20"/>
              </w:rPr>
            </w:pPr>
            <w:r w:rsidRPr="002D2F67">
              <w:rPr>
                <w:rFonts w:ascii="Arial" w:hAnsi="Arial" w:cs="Arial"/>
                <w:color w:val="000000"/>
                <w:sz w:val="20"/>
                <w:szCs w:val="20"/>
              </w:rPr>
              <w:t>-</w:t>
            </w:r>
          </w:p>
        </w:tc>
        <w:tc>
          <w:tcPr>
            <w:tcW w:w="1636" w:type="dxa"/>
            <w:tcBorders>
              <w:bottom w:val="single" w:sz="4" w:space="0" w:color="auto"/>
            </w:tcBorders>
            <w:shd w:val="clear" w:color="auto" w:fill="auto"/>
            <w:vAlign w:val="bottom"/>
          </w:tcPr>
          <w:p w14:paraId="70F8700E" w14:textId="7A864520" w:rsidR="0049508C"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55</w:t>
            </w:r>
            <w:r w:rsidR="0049508C" w:rsidRPr="002D2F67">
              <w:rPr>
                <w:rFonts w:ascii="Arial" w:hAnsi="Arial" w:cs="Arial"/>
                <w:color w:val="000000"/>
                <w:sz w:val="20"/>
                <w:szCs w:val="20"/>
              </w:rPr>
              <w:t>,</w:t>
            </w:r>
            <w:r w:rsidRPr="00CD5714">
              <w:rPr>
                <w:rFonts w:ascii="Arial" w:hAnsi="Arial" w:cs="Arial"/>
                <w:color w:val="000000"/>
                <w:sz w:val="20"/>
                <w:szCs w:val="20"/>
                <w:lang w:val="en-GB"/>
              </w:rPr>
              <w:t>745</w:t>
            </w:r>
          </w:p>
        </w:tc>
        <w:tc>
          <w:tcPr>
            <w:tcW w:w="1636" w:type="dxa"/>
            <w:tcBorders>
              <w:bottom w:val="single" w:sz="4" w:space="0" w:color="auto"/>
            </w:tcBorders>
            <w:shd w:val="clear" w:color="auto" w:fill="auto"/>
            <w:vAlign w:val="bottom"/>
          </w:tcPr>
          <w:p w14:paraId="05EFCFBC" w14:textId="026BC57D" w:rsidR="0049508C" w:rsidRPr="002D2F67" w:rsidRDefault="0049508C" w:rsidP="005611FE">
            <w:pPr>
              <w:pStyle w:val="Header"/>
              <w:ind w:right="-72"/>
              <w:jc w:val="right"/>
              <w:rPr>
                <w:rFonts w:ascii="Arial" w:hAnsi="Arial" w:cs="Arial"/>
                <w:color w:val="000000"/>
                <w:sz w:val="20"/>
                <w:szCs w:val="20"/>
              </w:rPr>
            </w:pPr>
            <w:r w:rsidRPr="002D2F67">
              <w:rPr>
                <w:rFonts w:ascii="Arial" w:hAnsi="Arial" w:cs="Arial"/>
                <w:color w:val="000000"/>
                <w:sz w:val="20"/>
                <w:szCs w:val="20"/>
              </w:rPr>
              <w:t>-</w:t>
            </w:r>
          </w:p>
        </w:tc>
        <w:tc>
          <w:tcPr>
            <w:tcW w:w="1842" w:type="dxa"/>
            <w:tcBorders>
              <w:bottom w:val="single" w:sz="4" w:space="0" w:color="auto"/>
            </w:tcBorders>
            <w:shd w:val="clear" w:color="auto" w:fill="auto"/>
            <w:vAlign w:val="bottom"/>
          </w:tcPr>
          <w:p w14:paraId="5C012282" w14:textId="13C58494" w:rsidR="0049508C" w:rsidRPr="002D2F67" w:rsidRDefault="0049508C" w:rsidP="005611FE">
            <w:pPr>
              <w:pStyle w:val="Header"/>
              <w:ind w:right="-72"/>
              <w:jc w:val="right"/>
              <w:rPr>
                <w:rFonts w:ascii="Arial" w:hAnsi="Arial" w:cs="Arial"/>
                <w:color w:val="000000"/>
                <w:sz w:val="20"/>
                <w:szCs w:val="20"/>
              </w:rPr>
            </w:pPr>
            <w:r w:rsidRPr="002D2F67">
              <w:rPr>
                <w:rFonts w:ascii="Arial" w:hAnsi="Arial" w:cs="Arial"/>
                <w:color w:val="000000"/>
                <w:sz w:val="20"/>
                <w:szCs w:val="20"/>
              </w:rPr>
              <w:t>-</w:t>
            </w:r>
          </w:p>
        </w:tc>
        <w:tc>
          <w:tcPr>
            <w:tcW w:w="1430" w:type="dxa"/>
            <w:tcBorders>
              <w:bottom w:val="single" w:sz="4" w:space="0" w:color="auto"/>
            </w:tcBorders>
            <w:shd w:val="clear" w:color="auto" w:fill="auto"/>
            <w:vAlign w:val="bottom"/>
          </w:tcPr>
          <w:p w14:paraId="3295AC72" w14:textId="7B9BDB91" w:rsidR="0049508C" w:rsidRPr="002D2F67" w:rsidRDefault="0049508C" w:rsidP="005611FE">
            <w:pPr>
              <w:pStyle w:val="Header"/>
              <w:ind w:right="-72"/>
              <w:jc w:val="right"/>
              <w:rPr>
                <w:rFonts w:ascii="Arial" w:hAnsi="Arial" w:cs="Arial"/>
                <w:color w:val="000000"/>
                <w:sz w:val="20"/>
                <w:szCs w:val="20"/>
              </w:rPr>
            </w:pPr>
            <w:r w:rsidRPr="002D2F67">
              <w:rPr>
                <w:rFonts w:ascii="Arial" w:hAnsi="Arial" w:cs="Arial"/>
                <w:color w:val="000000"/>
                <w:sz w:val="20"/>
                <w:szCs w:val="20"/>
              </w:rPr>
              <w:t>-</w:t>
            </w:r>
          </w:p>
        </w:tc>
        <w:tc>
          <w:tcPr>
            <w:tcW w:w="1362" w:type="dxa"/>
            <w:tcBorders>
              <w:bottom w:val="single" w:sz="4" w:space="0" w:color="auto"/>
            </w:tcBorders>
            <w:shd w:val="clear" w:color="auto" w:fill="auto"/>
            <w:vAlign w:val="bottom"/>
          </w:tcPr>
          <w:p w14:paraId="33055560" w14:textId="610646A9" w:rsidR="0049508C"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55</w:t>
            </w:r>
            <w:r w:rsidR="0049508C" w:rsidRPr="002D2F67">
              <w:rPr>
                <w:rFonts w:ascii="Arial" w:hAnsi="Arial" w:cs="Arial"/>
                <w:color w:val="000000"/>
                <w:sz w:val="20"/>
                <w:szCs w:val="20"/>
              </w:rPr>
              <w:t>,</w:t>
            </w:r>
            <w:r w:rsidRPr="00CD5714">
              <w:rPr>
                <w:rFonts w:ascii="Arial" w:hAnsi="Arial" w:cs="Arial"/>
                <w:color w:val="000000"/>
                <w:sz w:val="20"/>
                <w:szCs w:val="20"/>
                <w:lang w:val="en-GB"/>
              </w:rPr>
              <w:t>745</w:t>
            </w:r>
          </w:p>
        </w:tc>
      </w:tr>
      <w:tr w:rsidR="0049508C" w:rsidRPr="002D2F67" w14:paraId="61D791BE" w14:textId="77777777" w:rsidTr="005611FE">
        <w:trPr>
          <w:trHeight w:val="19"/>
        </w:trPr>
        <w:tc>
          <w:tcPr>
            <w:tcW w:w="4372" w:type="dxa"/>
            <w:shd w:val="clear" w:color="auto" w:fill="auto"/>
            <w:vAlign w:val="bottom"/>
          </w:tcPr>
          <w:p w14:paraId="19244119" w14:textId="77777777" w:rsidR="0049508C" w:rsidRPr="002D2F67" w:rsidRDefault="0049508C" w:rsidP="005611FE">
            <w:pPr>
              <w:pStyle w:val="Header"/>
              <w:tabs>
                <w:tab w:val="clear" w:pos="4320"/>
                <w:tab w:val="clear" w:pos="8640"/>
                <w:tab w:val="left" w:pos="2663"/>
              </w:tabs>
              <w:ind w:left="49"/>
              <w:jc w:val="left"/>
              <w:rPr>
                <w:rFonts w:ascii="Arial" w:hAnsi="Arial" w:cs="Arial"/>
                <w:color w:val="000000"/>
                <w:sz w:val="20"/>
                <w:szCs w:val="20"/>
              </w:rPr>
            </w:pPr>
          </w:p>
        </w:tc>
        <w:tc>
          <w:tcPr>
            <w:tcW w:w="1636" w:type="dxa"/>
            <w:tcBorders>
              <w:top w:val="single" w:sz="4" w:space="0" w:color="auto"/>
            </w:tcBorders>
            <w:shd w:val="clear" w:color="auto" w:fill="auto"/>
            <w:vAlign w:val="bottom"/>
          </w:tcPr>
          <w:p w14:paraId="098B321A" w14:textId="77777777" w:rsidR="0049508C" w:rsidRPr="002D2F67" w:rsidRDefault="0049508C" w:rsidP="005611FE">
            <w:pPr>
              <w:pStyle w:val="Header"/>
              <w:ind w:right="-72"/>
              <w:jc w:val="right"/>
              <w:rPr>
                <w:rFonts w:ascii="Arial" w:hAnsi="Arial" w:cs="Arial"/>
                <w:color w:val="000000"/>
                <w:sz w:val="20"/>
                <w:szCs w:val="20"/>
              </w:rPr>
            </w:pPr>
          </w:p>
        </w:tc>
        <w:tc>
          <w:tcPr>
            <w:tcW w:w="1636" w:type="dxa"/>
            <w:tcBorders>
              <w:top w:val="single" w:sz="4" w:space="0" w:color="auto"/>
            </w:tcBorders>
            <w:shd w:val="clear" w:color="auto" w:fill="auto"/>
            <w:vAlign w:val="bottom"/>
          </w:tcPr>
          <w:p w14:paraId="3EA408B2" w14:textId="4765055A" w:rsidR="0049508C" w:rsidRPr="002D2F67" w:rsidRDefault="0049508C" w:rsidP="005611FE">
            <w:pPr>
              <w:pStyle w:val="Header"/>
              <w:ind w:right="-72"/>
              <w:jc w:val="right"/>
              <w:rPr>
                <w:rFonts w:ascii="Arial" w:hAnsi="Arial" w:cs="Arial"/>
                <w:color w:val="000000"/>
                <w:sz w:val="20"/>
                <w:szCs w:val="20"/>
              </w:rPr>
            </w:pPr>
          </w:p>
        </w:tc>
        <w:tc>
          <w:tcPr>
            <w:tcW w:w="1636" w:type="dxa"/>
            <w:tcBorders>
              <w:top w:val="single" w:sz="4" w:space="0" w:color="auto"/>
            </w:tcBorders>
            <w:shd w:val="clear" w:color="auto" w:fill="auto"/>
            <w:vAlign w:val="bottom"/>
          </w:tcPr>
          <w:p w14:paraId="1EE2127B" w14:textId="77777777" w:rsidR="0049508C" w:rsidRPr="002D2F67" w:rsidRDefault="0049508C" w:rsidP="005611FE">
            <w:pPr>
              <w:pStyle w:val="Header"/>
              <w:ind w:right="-72"/>
              <w:jc w:val="right"/>
              <w:rPr>
                <w:rFonts w:ascii="Arial" w:hAnsi="Arial" w:cs="Arial"/>
                <w:color w:val="000000"/>
                <w:sz w:val="20"/>
                <w:szCs w:val="20"/>
              </w:rPr>
            </w:pPr>
          </w:p>
        </w:tc>
        <w:tc>
          <w:tcPr>
            <w:tcW w:w="1636" w:type="dxa"/>
            <w:tcBorders>
              <w:top w:val="single" w:sz="4" w:space="0" w:color="auto"/>
            </w:tcBorders>
            <w:shd w:val="clear" w:color="auto" w:fill="auto"/>
            <w:vAlign w:val="bottom"/>
          </w:tcPr>
          <w:p w14:paraId="61EBCD93" w14:textId="77777777" w:rsidR="0049508C" w:rsidRPr="002D2F67" w:rsidRDefault="0049508C" w:rsidP="005611FE">
            <w:pPr>
              <w:pStyle w:val="Header"/>
              <w:ind w:right="-72"/>
              <w:jc w:val="right"/>
              <w:rPr>
                <w:rFonts w:ascii="Arial" w:hAnsi="Arial" w:cs="Arial"/>
                <w:color w:val="000000"/>
                <w:sz w:val="20"/>
                <w:szCs w:val="20"/>
              </w:rPr>
            </w:pPr>
          </w:p>
        </w:tc>
        <w:tc>
          <w:tcPr>
            <w:tcW w:w="1842" w:type="dxa"/>
            <w:tcBorders>
              <w:top w:val="single" w:sz="4" w:space="0" w:color="auto"/>
            </w:tcBorders>
            <w:shd w:val="clear" w:color="auto" w:fill="auto"/>
            <w:vAlign w:val="bottom"/>
          </w:tcPr>
          <w:p w14:paraId="2E3A78E3" w14:textId="77777777" w:rsidR="0049508C" w:rsidRPr="002D2F67" w:rsidRDefault="0049508C" w:rsidP="005611FE">
            <w:pPr>
              <w:pStyle w:val="Header"/>
              <w:ind w:right="-72"/>
              <w:jc w:val="right"/>
              <w:rPr>
                <w:rFonts w:ascii="Arial" w:hAnsi="Arial" w:cs="Arial"/>
                <w:color w:val="000000"/>
                <w:sz w:val="20"/>
                <w:szCs w:val="20"/>
              </w:rPr>
            </w:pPr>
          </w:p>
        </w:tc>
        <w:tc>
          <w:tcPr>
            <w:tcW w:w="1430" w:type="dxa"/>
            <w:tcBorders>
              <w:top w:val="single" w:sz="4" w:space="0" w:color="auto"/>
            </w:tcBorders>
            <w:shd w:val="clear" w:color="auto" w:fill="auto"/>
            <w:vAlign w:val="bottom"/>
          </w:tcPr>
          <w:p w14:paraId="143C794E" w14:textId="77777777" w:rsidR="0049508C" w:rsidRPr="002D2F67" w:rsidRDefault="0049508C" w:rsidP="005611FE">
            <w:pPr>
              <w:pStyle w:val="Header"/>
              <w:ind w:right="-72"/>
              <w:jc w:val="right"/>
              <w:rPr>
                <w:rFonts w:ascii="Arial" w:hAnsi="Arial" w:cs="Arial"/>
                <w:color w:val="000000"/>
                <w:sz w:val="20"/>
                <w:szCs w:val="20"/>
              </w:rPr>
            </w:pPr>
          </w:p>
        </w:tc>
        <w:tc>
          <w:tcPr>
            <w:tcW w:w="1362" w:type="dxa"/>
            <w:tcBorders>
              <w:top w:val="single" w:sz="4" w:space="0" w:color="auto"/>
            </w:tcBorders>
            <w:shd w:val="clear" w:color="auto" w:fill="auto"/>
            <w:vAlign w:val="bottom"/>
          </w:tcPr>
          <w:p w14:paraId="6F065AD5" w14:textId="77777777" w:rsidR="0049508C" w:rsidRPr="002D2F67" w:rsidRDefault="0049508C" w:rsidP="005611FE">
            <w:pPr>
              <w:pStyle w:val="Header"/>
              <w:ind w:right="-72"/>
              <w:jc w:val="right"/>
              <w:rPr>
                <w:rFonts w:ascii="Arial" w:hAnsi="Arial" w:cs="Arial"/>
                <w:color w:val="000000"/>
                <w:sz w:val="20"/>
                <w:szCs w:val="20"/>
              </w:rPr>
            </w:pPr>
          </w:p>
        </w:tc>
      </w:tr>
      <w:tr w:rsidR="0049508C" w:rsidRPr="002D2F67" w14:paraId="3126E7CF" w14:textId="77777777" w:rsidTr="005611FE">
        <w:trPr>
          <w:trHeight w:val="19"/>
        </w:trPr>
        <w:tc>
          <w:tcPr>
            <w:tcW w:w="4372" w:type="dxa"/>
            <w:shd w:val="clear" w:color="auto" w:fill="auto"/>
            <w:vAlign w:val="bottom"/>
          </w:tcPr>
          <w:p w14:paraId="758FCA82" w14:textId="52462546" w:rsidR="0049508C" w:rsidRPr="002D2F67" w:rsidRDefault="0049508C" w:rsidP="005611FE">
            <w:pPr>
              <w:pStyle w:val="Header"/>
              <w:tabs>
                <w:tab w:val="clear" w:pos="4320"/>
                <w:tab w:val="clear" w:pos="8640"/>
                <w:tab w:val="left" w:pos="2663"/>
              </w:tabs>
              <w:ind w:left="49"/>
              <w:jc w:val="left"/>
              <w:rPr>
                <w:rFonts w:ascii="Arial" w:hAnsi="Arial" w:cs="Arial"/>
                <w:color w:val="000000"/>
                <w:sz w:val="20"/>
                <w:szCs w:val="20"/>
              </w:rPr>
            </w:pPr>
            <w:r w:rsidRPr="002D2F67">
              <w:rPr>
                <w:rFonts w:ascii="Arial" w:hAnsi="Arial" w:cs="Arial"/>
                <w:color w:val="000000"/>
                <w:sz w:val="20"/>
                <w:szCs w:val="20"/>
              </w:rPr>
              <w:t xml:space="preserve">As </w:t>
            </w:r>
            <w:proofErr w:type="gramStart"/>
            <w:r w:rsidRPr="002D2F67">
              <w:rPr>
                <w:rFonts w:ascii="Arial" w:hAnsi="Arial" w:cs="Arial"/>
                <w:color w:val="000000"/>
                <w:sz w:val="20"/>
                <w:szCs w:val="20"/>
              </w:rPr>
              <w:t>at</w:t>
            </w:r>
            <w:proofErr w:type="gramEnd"/>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31</w:t>
            </w:r>
            <w:r w:rsidRPr="002D2F67">
              <w:rPr>
                <w:rFonts w:ascii="Arial" w:hAnsi="Arial" w:cs="Arial"/>
                <w:color w:val="000000"/>
                <w:sz w:val="20"/>
                <w:szCs w:val="20"/>
              </w:rPr>
              <w:t xml:space="preserve"> December </w:t>
            </w:r>
            <w:r w:rsidR="00CD5714" w:rsidRPr="00CD5714">
              <w:rPr>
                <w:rFonts w:ascii="Arial" w:hAnsi="Arial" w:cs="Arial"/>
                <w:color w:val="000000"/>
                <w:sz w:val="20"/>
                <w:szCs w:val="20"/>
                <w:lang w:val="en-GB"/>
              </w:rPr>
              <w:t>2023</w:t>
            </w:r>
          </w:p>
        </w:tc>
        <w:tc>
          <w:tcPr>
            <w:tcW w:w="1636" w:type="dxa"/>
            <w:tcBorders>
              <w:bottom w:val="single" w:sz="4" w:space="0" w:color="auto"/>
            </w:tcBorders>
            <w:shd w:val="clear" w:color="auto" w:fill="auto"/>
            <w:vAlign w:val="bottom"/>
          </w:tcPr>
          <w:p w14:paraId="79460F05" w14:textId="2CDB375B" w:rsidR="0049508C"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130</w:t>
            </w:r>
            <w:r w:rsidR="0049508C" w:rsidRPr="002D2F67">
              <w:rPr>
                <w:rFonts w:ascii="Arial" w:hAnsi="Arial" w:cs="Arial"/>
                <w:color w:val="000000"/>
                <w:sz w:val="20"/>
                <w:szCs w:val="20"/>
              </w:rPr>
              <w:t>,</w:t>
            </w:r>
            <w:r w:rsidRPr="00CD5714">
              <w:rPr>
                <w:rFonts w:ascii="Arial" w:hAnsi="Arial" w:cs="Arial"/>
                <w:color w:val="000000"/>
                <w:sz w:val="20"/>
                <w:szCs w:val="20"/>
                <w:lang w:val="en-GB"/>
              </w:rPr>
              <w:t>472</w:t>
            </w:r>
          </w:p>
        </w:tc>
        <w:tc>
          <w:tcPr>
            <w:tcW w:w="1636" w:type="dxa"/>
            <w:tcBorders>
              <w:bottom w:val="single" w:sz="4" w:space="0" w:color="auto"/>
            </w:tcBorders>
            <w:shd w:val="clear" w:color="auto" w:fill="auto"/>
            <w:vAlign w:val="bottom"/>
          </w:tcPr>
          <w:p w14:paraId="6D842E88" w14:textId="04706F67" w:rsidR="0049508C"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325</w:t>
            </w:r>
          </w:p>
        </w:tc>
        <w:tc>
          <w:tcPr>
            <w:tcW w:w="1636" w:type="dxa"/>
            <w:tcBorders>
              <w:bottom w:val="single" w:sz="4" w:space="0" w:color="auto"/>
            </w:tcBorders>
            <w:shd w:val="clear" w:color="auto" w:fill="auto"/>
            <w:vAlign w:val="bottom"/>
          </w:tcPr>
          <w:p w14:paraId="2858C65A" w14:textId="73D22FF2" w:rsidR="0049508C"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58</w:t>
            </w:r>
            <w:r w:rsidR="0049508C" w:rsidRPr="002D2F67">
              <w:rPr>
                <w:rFonts w:ascii="Arial" w:hAnsi="Arial" w:cs="Arial"/>
                <w:color w:val="000000"/>
                <w:sz w:val="20"/>
                <w:szCs w:val="20"/>
              </w:rPr>
              <w:t>,</w:t>
            </w:r>
            <w:r w:rsidRPr="00CD5714">
              <w:rPr>
                <w:rFonts w:ascii="Arial" w:hAnsi="Arial" w:cs="Arial"/>
                <w:color w:val="000000"/>
                <w:sz w:val="20"/>
                <w:szCs w:val="20"/>
                <w:lang w:val="en-GB"/>
              </w:rPr>
              <w:t>677</w:t>
            </w:r>
          </w:p>
        </w:tc>
        <w:tc>
          <w:tcPr>
            <w:tcW w:w="1636" w:type="dxa"/>
            <w:tcBorders>
              <w:bottom w:val="single" w:sz="4" w:space="0" w:color="auto"/>
            </w:tcBorders>
            <w:shd w:val="clear" w:color="auto" w:fill="auto"/>
            <w:vAlign w:val="bottom"/>
          </w:tcPr>
          <w:p w14:paraId="70BE3E8A" w14:textId="5BCEEA32" w:rsidR="0049508C"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16</w:t>
            </w:r>
            <w:r w:rsidR="0049508C" w:rsidRPr="002D2F67">
              <w:rPr>
                <w:rFonts w:ascii="Arial" w:hAnsi="Arial" w:cs="Arial"/>
                <w:color w:val="000000"/>
                <w:sz w:val="20"/>
                <w:szCs w:val="20"/>
              </w:rPr>
              <w:t>,</w:t>
            </w:r>
            <w:r w:rsidRPr="00CD5714">
              <w:rPr>
                <w:rFonts w:ascii="Arial" w:hAnsi="Arial" w:cs="Arial"/>
                <w:color w:val="000000"/>
                <w:sz w:val="20"/>
                <w:szCs w:val="20"/>
                <w:lang w:val="en-GB"/>
              </w:rPr>
              <w:t>389</w:t>
            </w:r>
          </w:p>
        </w:tc>
        <w:tc>
          <w:tcPr>
            <w:tcW w:w="1842" w:type="dxa"/>
            <w:tcBorders>
              <w:bottom w:val="single" w:sz="4" w:space="0" w:color="auto"/>
            </w:tcBorders>
            <w:shd w:val="clear" w:color="auto" w:fill="auto"/>
            <w:vAlign w:val="bottom"/>
          </w:tcPr>
          <w:p w14:paraId="4D7217C9" w14:textId="4DFD2E10" w:rsidR="0049508C"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27</w:t>
            </w:r>
            <w:r w:rsidR="0049508C" w:rsidRPr="002D2F67">
              <w:rPr>
                <w:rFonts w:ascii="Arial" w:hAnsi="Arial" w:cs="Arial"/>
                <w:color w:val="000000"/>
                <w:sz w:val="20"/>
                <w:szCs w:val="20"/>
              </w:rPr>
              <w:t>,</w:t>
            </w:r>
            <w:r w:rsidRPr="00CD5714">
              <w:rPr>
                <w:rFonts w:ascii="Arial" w:hAnsi="Arial" w:cs="Arial"/>
                <w:color w:val="000000"/>
                <w:sz w:val="20"/>
                <w:szCs w:val="20"/>
                <w:lang w:val="en-GB"/>
              </w:rPr>
              <w:t>423</w:t>
            </w:r>
          </w:p>
        </w:tc>
        <w:tc>
          <w:tcPr>
            <w:tcW w:w="1430" w:type="dxa"/>
            <w:tcBorders>
              <w:bottom w:val="single" w:sz="4" w:space="0" w:color="auto"/>
            </w:tcBorders>
            <w:shd w:val="clear" w:color="auto" w:fill="auto"/>
            <w:vAlign w:val="bottom"/>
          </w:tcPr>
          <w:p w14:paraId="2D076A57" w14:textId="3ABC349B" w:rsidR="0049508C"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56</w:t>
            </w:r>
            <w:r w:rsidR="0049508C" w:rsidRPr="002D2F67">
              <w:rPr>
                <w:rFonts w:ascii="Arial" w:hAnsi="Arial" w:cs="Arial"/>
                <w:color w:val="000000"/>
                <w:sz w:val="20"/>
                <w:szCs w:val="20"/>
              </w:rPr>
              <w:t>,</w:t>
            </w:r>
            <w:r w:rsidRPr="00CD5714">
              <w:rPr>
                <w:rFonts w:ascii="Arial" w:hAnsi="Arial" w:cs="Arial"/>
                <w:color w:val="000000"/>
                <w:sz w:val="20"/>
                <w:szCs w:val="20"/>
                <w:lang w:val="en-GB"/>
              </w:rPr>
              <w:t>990</w:t>
            </w:r>
          </w:p>
        </w:tc>
        <w:tc>
          <w:tcPr>
            <w:tcW w:w="1362" w:type="dxa"/>
            <w:tcBorders>
              <w:bottom w:val="single" w:sz="4" w:space="0" w:color="auto"/>
            </w:tcBorders>
            <w:shd w:val="clear" w:color="auto" w:fill="auto"/>
            <w:vAlign w:val="bottom"/>
          </w:tcPr>
          <w:p w14:paraId="108749CD" w14:textId="2ED89545" w:rsidR="0049508C"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290</w:t>
            </w:r>
            <w:r w:rsidR="0049508C" w:rsidRPr="002D2F67">
              <w:rPr>
                <w:rFonts w:ascii="Arial" w:hAnsi="Arial" w:cs="Arial"/>
                <w:color w:val="000000"/>
                <w:sz w:val="20"/>
                <w:szCs w:val="20"/>
              </w:rPr>
              <w:t>,</w:t>
            </w:r>
            <w:r w:rsidRPr="00CD5714">
              <w:rPr>
                <w:rFonts w:ascii="Arial" w:hAnsi="Arial" w:cs="Arial"/>
                <w:color w:val="000000"/>
                <w:sz w:val="20"/>
                <w:szCs w:val="20"/>
                <w:lang w:val="en-GB"/>
              </w:rPr>
              <w:t>276</w:t>
            </w:r>
          </w:p>
        </w:tc>
      </w:tr>
      <w:tr w:rsidR="0049508C" w:rsidRPr="002D2F67" w14:paraId="5C9C95D7" w14:textId="77777777" w:rsidTr="005611FE">
        <w:trPr>
          <w:trHeight w:val="19"/>
        </w:trPr>
        <w:tc>
          <w:tcPr>
            <w:tcW w:w="4372" w:type="dxa"/>
            <w:shd w:val="clear" w:color="auto" w:fill="auto"/>
            <w:vAlign w:val="bottom"/>
          </w:tcPr>
          <w:p w14:paraId="11455EE4" w14:textId="77777777" w:rsidR="0049508C" w:rsidRPr="002D2F67" w:rsidRDefault="0049508C" w:rsidP="005611FE">
            <w:pPr>
              <w:pStyle w:val="Header"/>
              <w:tabs>
                <w:tab w:val="left" w:pos="852"/>
              </w:tabs>
              <w:ind w:left="49"/>
              <w:jc w:val="left"/>
              <w:rPr>
                <w:rFonts w:ascii="Arial" w:hAnsi="Arial" w:cs="Arial"/>
                <w:color w:val="000000"/>
                <w:sz w:val="20"/>
                <w:szCs w:val="20"/>
              </w:rPr>
            </w:pPr>
          </w:p>
        </w:tc>
        <w:tc>
          <w:tcPr>
            <w:tcW w:w="1636" w:type="dxa"/>
            <w:tcBorders>
              <w:top w:val="single" w:sz="4" w:space="0" w:color="auto"/>
            </w:tcBorders>
            <w:shd w:val="clear" w:color="auto" w:fill="auto"/>
            <w:vAlign w:val="bottom"/>
          </w:tcPr>
          <w:p w14:paraId="1C0E53A7" w14:textId="77777777" w:rsidR="0049508C" w:rsidRPr="002D2F67" w:rsidRDefault="0049508C" w:rsidP="005611FE">
            <w:pPr>
              <w:pStyle w:val="Header"/>
              <w:ind w:right="-72"/>
              <w:jc w:val="right"/>
              <w:rPr>
                <w:rFonts w:ascii="Arial" w:hAnsi="Arial" w:cs="Arial"/>
                <w:color w:val="000000"/>
                <w:sz w:val="20"/>
                <w:szCs w:val="20"/>
              </w:rPr>
            </w:pPr>
          </w:p>
        </w:tc>
        <w:tc>
          <w:tcPr>
            <w:tcW w:w="1636" w:type="dxa"/>
            <w:tcBorders>
              <w:top w:val="single" w:sz="4" w:space="0" w:color="auto"/>
            </w:tcBorders>
            <w:shd w:val="clear" w:color="auto" w:fill="auto"/>
            <w:vAlign w:val="bottom"/>
          </w:tcPr>
          <w:p w14:paraId="1EFEE225" w14:textId="0FBB35DF" w:rsidR="0049508C" w:rsidRPr="002D2F67" w:rsidRDefault="0049508C" w:rsidP="005611FE">
            <w:pPr>
              <w:pStyle w:val="Header"/>
              <w:ind w:right="-72"/>
              <w:jc w:val="right"/>
              <w:rPr>
                <w:rFonts w:ascii="Arial" w:hAnsi="Arial" w:cs="Arial"/>
                <w:color w:val="000000"/>
                <w:sz w:val="20"/>
                <w:szCs w:val="20"/>
              </w:rPr>
            </w:pPr>
          </w:p>
        </w:tc>
        <w:tc>
          <w:tcPr>
            <w:tcW w:w="1636" w:type="dxa"/>
            <w:tcBorders>
              <w:top w:val="single" w:sz="4" w:space="0" w:color="auto"/>
            </w:tcBorders>
            <w:shd w:val="clear" w:color="auto" w:fill="auto"/>
            <w:vAlign w:val="bottom"/>
          </w:tcPr>
          <w:p w14:paraId="2D56032E" w14:textId="77777777" w:rsidR="0049508C" w:rsidRPr="002D2F67" w:rsidRDefault="0049508C" w:rsidP="005611FE">
            <w:pPr>
              <w:pStyle w:val="Header"/>
              <w:ind w:right="-72"/>
              <w:jc w:val="right"/>
              <w:rPr>
                <w:rFonts w:ascii="Arial" w:hAnsi="Arial" w:cs="Arial"/>
                <w:color w:val="000000"/>
                <w:sz w:val="20"/>
                <w:szCs w:val="20"/>
              </w:rPr>
            </w:pPr>
          </w:p>
        </w:tc>
        <w:tc>
          <w:tcPr>
            <w:tcW w:w="1636" w:type="dxa"/>
            <w:tcBorders>
              <w:top w:val="single" w:sz="4" w:space="0" w:color="auto"/>
            </w:tcBorders>
            <w:shd w:val="clear" w:color="auto" w:fill="auto"/>
            <w:vAlign w:val="bottom"/>
          </w:tcPr>
          <w:p w14:paraId="3D91D905" w14:textId="77777777" w:rsidR="0049508C" w:rsidRPr="002D2F67" w:rsidRDefault="0049508C" w:rsidP="005611FE">
            <w:pPr>
              <w:pStyle w:val="Header"/>
              <w:ind w:right="-72"/>
              <w:jc w:val="right"/>
              <w:rPr>
                <w:rFonts w:ascii="Arial" w:hAnsi="Arial" w:cs="Arial"/>
                <w:color w:val="000000"/>
                <w:sz w:val="20"/>
                <w:szCs w:val="20"/>
              </w:rPr>
            </w:pPr>
          </w:p>
        </w:tc>
        <w:tc>
          <w:tcPr>
            <w:tcW w:w="1842" w:type="dxa"/>
            <w:tcBorders>
              <w:top w:val="single" w:sz="4" w:space="0" w:color="auto"/>
            </w:tcBorders>
            <w:shd w:val="clear" w:color="auto" w:fill="auto"/>
            <w:vAlign w:val="bottom"/>
          </w:tcPr>
          <w:p w14:paraId="57C4D7F2" w14:textId="25C2CF27" w:rsidR="0049508C" w:rsidRPr="002D2F67" w:rsidRDefault="0049508C" w:rsidP="005611FE">
            <w:pPr>
              <w:pStyle w:val="Header"/>
              <w:ind w:right="-72"/>
              <w:jc w:val="right"/>
              <w:rPr>
                <w:rFonts w:ascii="Arial" w:hAnsi="Arial" w:cs="Arial"/>
                <w:color w:val="000000"/>
                <w:sz w:val="20"/>
                <w:szCs w:val="20"/>
              </w:rPr>
            </w:pPr>
          </w:p>
        </w:tc>
        <w:tc>
          <w:tcPr>
            <w:tcW w:w="1430" w:type="dxa"/>
            <w:tcBorders>
              <w:top w:val="single" w:sz="4" w:space="0" w:color="auto"/>
            </w:tcBorders>
            <w:shd w:val="clear" w:color="auto" w:fill="auto"/>
            <w:vAlign w:val="bottom"/>
          </w:tcPr>
          <w:p w14:paraId="359D4FC2" w14:textId="77777777" w:rsidR="0049508C" w:rsidRPr="002D2F67" w:rsidRDefault="0049508C" w:rsidP="005611FE">
            <w:pPr>
              <w:pStyle w:val="Header"/>
              <w:ind w:right="-72"/>
              <w:jc w:val="right"/>
              <w:rPr>
                <w:rFonts w:ascii="Arial" w:hAnsi="Arial" w:cs="Arial"/>
                <w:color w:val="000000"/>
                <w:sz w:val="20"/>
                <w:szCs w:val="20"/>
              </w:rPr>
            </w:pPr>
          </w:p>
        </w:tc>
        <w:tc>
          <w:tcPr>
            <w:tcW w:w="1362" w:type="dxa"/>
            <w:tcBorders>
              <w:top w:val="single" w:sz="4" w:space="0" w:color="auto"/>
            </w:tcBorders>
            <w:shd w:val="clear" w:color="auto" w:fill="auto"/>
            <w:vAlign w:val="bottom"/>
          </w:tcPr>
          <w:p w14:paraId="6F098E14" w14:textId="77777777" w:rsidR="0049508C" w:rsidRPr="002D2F67" w:rsidRDefault="0049508C" w:rsidP="005611FE">
            <w:pPr>
              <w:pStyle w:val="Header"/>
              <w:ind w:right="-72"/>
              <w:jc w:val="right"/>
              <w:rPr>
                <w:rFonts w:ascii="Arial" w:hAnsi="Arial" w:cs="Arial"/>
                <w:color w:val="000000"/>
                <w:sz w:val="20"/>
                <w:szCs w:val="20"/>
              </w:rPr>
            </w:pPr>
          </w:p>
        </w:tc>
      </w:tr>
      <w:tr w:rsidR="005611FE" w:rsidRPr="002D2F67" w14:paraId="25E78225" w14:textId="77777777" w:rsidTr="005611FE">
        <w:trPr>
          <w:trHeight w:val="19"/>
        </w:trPr>
        <w:tc>
          <w:tcPr>
            <w:tcW w:w="4372" w:type="dxa"/>
            <w:shd w:val="clear" w:color="auto" w:fill="auto"/>
            <w:vAlign w:val="bottom"/>
          </w:tcPr>
          <w:p w14:paraId="7E2D4D9E" w14:textId="0D95ECBE" w:rsidR="0049508C" w:rsidRPr="002D2F67" w:rsidRDefault="0049508C" w:rsidP="005611FE">
            <w:pPr>
              <w:pStyle w:val="Header"/>
              <w:tabs>
                <w:tab w:val="clear" w:pos="4320"/>
                <w:tab w:val="clear" w:pos="8640"/>
                <w:tab w:val="left" w:pos="2663"/>
              </w:tabs>
              <w:ind w:left="49"/>
              <w:jc w:val="left"/>
              <w:rPr>
                <w:rFonts w:ascii="Arial" w:hAnsi="Arial" w:cs="Arial"/>
                <w:color w:val="000000"/>
                <w:spacing w:val="-10"/>
                <w:sz w:val="20"/>
                <w:szCs w:val="20"/>
              </w:rPr>
            </w:pPr>
            <w:r w:rsidRPr="002D2F67">
              <w:rPr>
                <w:rFonts w:ascii="Arial" w:hAnsi="Arial" w:cs="Arial"/>
                <w:color w:val="000000"/>
                <w:sz w:val="20"/>
                <w:szCs w:val="20"/>
              </w:rPr>
              <w:t xml:space="preserve">As </w:t>
            </w:r>
            <w:proofErr w:type="gramStart"/>
            <w:r w:rsidRPr="002D2F67">
              <w:rPr>
                <w:rFonts w:ascii="Arial" w:hAnsi="Arial" w:cs="Arial"/>
                <w:color w:val="000000"/>
                <w:sz w:val="20"/>
                <w:szCs w:val="20"/>
              </w:rPr>
              <w:t>at</w:t>
            </w:r>
            <w:proofErr w:type="gramEnd"/>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1</w:t>
            </w:r>
            <w:r w:rsidRPr="002D2F67">
              <w:rPr>
                <w:rFonts w:ascii="Arial" w:hAnsi="Arial" w:cs="Arial"/>
                <w:color w:val="000000"/>
                <w:sz w:val="20"/>
                <w:szCs w:val="20"/>
              </w:rPr>
              <w:t xml:space="preserve"> January </w:t>
            </w:r>
            <w:r w:rsidR="00CD5714" w:rsidRPr="00CD5714">
              <w:rPr>
                <w:rFonts w:ascii="Arial" w:hAnsi="Arial" w:cs="Arial"/>
                <w:color w:val="000000"/>
                <w:sz w:val="20"/>
                <w:szCs w:val="20"/>
                <w:lang w:val="en-GB"/>
              </w:rPr>
              <w:t>2024</w:t>
            </w:r>
          </w:p>
        </w:tc>
        <w:tc>
          <w:tcPr>
            <w:tcW w:w="1636" w:type="dxa"/>
            <w:shd w:val="clear" w:color="auto" w:fill="auto"/>
            <w:vAlign w:val="bottom"/>
          </w:tcPr>
          <w:p w14:paraId="196A744C" w14:textId="4C455DE8" w:rsidR="0049508C"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130</w:t>
            </w:r>
            <w:r w:rsidR="0049508C" w:rsidRPr="002D2F67">
              <w:rPr>
                <w:rFonts w:ascii="Arial" w:hAnsi="Arial" w:cs="Arial"/>
                <w:color w:val="000000"/>
                <w:sz w:val="20"/>
                <w:szCs w:val="20"/>
              </w:rPr>
              <w:t>,</w:t>
            </w:r>
            <w:r w:rsidRPr="00CD5714">
              <w:rPr>
                <w:rFonts w:ascii="Arial" w:hAnsi="Arial" w:cs="Arial"/>
                <w:color w:val="000000"/>
                <w:sz w:val="20"/>
                <w:szCs w:val="20"/>
                <w:lang w:val="en-GB"/>
              </w:rPr>
              <w:t>472</w:t>
            </w:r>
          </w:p>
        </w:tc>
        <w:tc>
          <w:tcPr>
            <w:tcW w:w="1636" w:type="dxa"/>
            <w:shd w:val="clear" w:color="auto" w:fill="auto"/>
            <w:vAlign w:val="bottom"/>
          </w:tcPr>
          <w:p w14:paraId="76D38D04" w14:textId="6A86DC58" w:rsidR="0049508C"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325</w:t>
            </w:r>
          </w:p>
        </w:tc>
        <w:tc>
          <w:tcPr>
            <w:tcW w:w="1636" w:type="dxa"/>
            <w:shd w:val="clear" w:color="auto" w:fill="auto"/>
            <w:vAlign w:val="bottom"/>
          </w:tcPr>
          <w:p w14:paraId="2B07918C" w14:textId="0931B946" w:rsidR="0049508C"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58</w:t>
            </w:r>
            <w:r w:rsidR="0049508C" w:rsidRPr="002D2F67">
              <w:rPr>
                <w:rFonts w:ascii="Arial" w:hAnsi="Arial" w:cs="Arial"/>
                <w:color w:val="000000"/>
                <w:sz w:val="20"/>
                <w:szCs w:val="20"/>
              </w:rPr>
              <w:t>,</w:t>
            </w:r>
            <w:r w:rsidRPr="00CD5714">
              <w:rPr>
                <w:rFonts w:ascii="Arial" w:hAnsi="Arial" w:cs="Arial"/>
                <w:color w:val="000000"/>
                <w:sz w:val="20"/>
                <w:szCs w:val="20"/>
                <w:lang w:val="en-GB"/>
              </w:rPr>
              <w:t>677</w:t>
            </w:r>
          </w:p>
        </w:tc>
        <w:tc>
          <w:tcPr>
            <w:tcW w:w="1636" w:type="dxa"/>
            <w:shd w:val="clear" w:color="auto" w:fill="auto"/>
            <w:vAlign w:val="bottom"/>
          </w:tcPr>
          <w:p w14:paraId="5DEFA6F0" w14:textId="3BD2CE13" w:rsidR="0049508C"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16</w:t>
            </w:r>
            <w:r w:rsidR="0049508C" w:rsidRPr="002D2F67">
              <w:rPr>
                <w:rFonts w:ascii="Arial" w:hAnsi="Arial" w:cs="Arial"/>
                <w:color w:val="000000"/>
                <w:sz w:val="20"/>
                <w:szCs w:val="20"/>
              </w:rPr>
              <w:t>,</w:t>
            </w:r>
            <w:r w:rsidRPr="00CD5714">
              <w:rPr>
                <w:rFonts w:ascii="Arial" w:hAnsi="Arial" w:cs="Arial"/>
                <w:color w:val="000000"/>
                <w:sz w:val="20"/>
                <w:szCs w:val="20"/>
                <w:lang w:val="en-GB"/>
              </w:rPr>
              <w:t>389</w:t>
            </w:r>
          </w:p>
        </w:tc>
        <w:tc>
          <w:tcPr>
            <w:tcW w:w="1842" w:type="dxa"/>
            <w:shd w:val="clear" w:color="auto" w:fill="auto"/>
            <w:vAlign w:val="bottom"/>
          </w:tcPr>
          <w:p w14:paraId="5C67781B" w14:textId="170A9870" w:rsidR="0049508C"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27</w:t>
            </w:r>
            <w:r w:rsidR="0049508C" w:rsidRPr="002D2F67">
              <w:rPr>
                <w:rFonts w:ascii="Arial" w:hAnsi="Arial" w:cs="Arial"/>
                <w:color w:val="000000"/>
                <w:sz w:val="20"/>
                <w:szCs w:val="20"/>
              </w:rPr>
              <w:t>,</w:t>
            </w:r>
            <w:r w:rsidRPr="00CD5714">
              <w:rPr>
                <w:rFonts w:ascii="Arial" w:hAnsi="Arial" w:cs="Arial"/>
                <w:color w:val="000000"/>
                <w:sz w:val="20"/>
                <w:szCs w:val="20"/>
                <w:lang w:val="en-GB"/>
              </w:rPr>
              <w:t>423</w:t>
            </w:r>
          </w:p>
        </w:tc>
        <w:tc>
          <w:tcPr>
            <w:tcW w:w="1430" w:type="dxa"/>
            <w:shd w:val="clear" w:color="auto" w:fill="auto"/>
            <w:vAlign w:val="bottom"/>
          </w:tcPr>
          <w:p w14:paraId="08779242" w14:textId="424AAED5" w:rsidR="0049508C"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56</w:t>
            </w:r>
            <w:r w:rsidR="0049508C" w:rsidRPr="002D2F67">
              <w:rPr>
                <w:rFonts w:ascii="Arial" w:hAnsi="Arial" w:cs="Arial"/>
                <w:color w:val="000000"/>
                <w:sz w:val="20"/>
                <w:szCs w:val="20"/>
              </w:rPr>
              <w:t>,</w:t>
            </w:r>
            <w:r w:rsidRPr="00CD5714">
              <w:rPr>
                <w:rFonts w:ascii="Arial" w:hAnsi="Arial" w:cs="Arial"/>
                <w:color w:val="000000"/>
                <w:sz w:val="20"/>
                <w:szCs w:val="20"/>
                <w:lang w:val="en-GB"/>
              </w:rPr>
              <w:t>990</w:t>
            </w:r>
          </w:p>
        </w:tc>
        <w:tc>
          <w:tcPr>
            <w:tcW w:w="1362" w:type="dxa"/>
            <w:shd w:val="clear" w:color="auto" w:fill="auto"/>
            <w:vAlign w:val="bottom"/>
          </w:tcPr>
          <w:p w14:paraId="6E329769" w14:textId="2098660D" w:rsidR="0049508C"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290</w:t>
            </w:r>
            <w:r w:rsidR="0049508C" w:rsidRPr="002D2F67">
              <w:rPr>
                <w:rFonts w:ascii="Arial" w:hAnsi="Arial" w:cs="Arial"/>
                <w:color w:val="000000"/>
                <w:sz w:val="20"/>
                <w:szCs w:val="20"/>
              </w:rPr>
              <w:t>,</w:t>
            </w:r>
            <w:r w:rsidRPr="00CD5714">
              <w:rPr>
                <w:rFonts w:ascii="Arial" w:hAnsi="Arial" w:cs="Arial"/>
                <w:color w:val="000000"/>
                <w:sz w:val="20"/>
                <w:szCs w:val="20"/>
                <w:lang w:val="en-GB"/>
              </w:rPr>
              <w:t>276</w:t>
            </w:r>
          </w:p>
        </w:tc>
      </w:tr>
      <w:tr w:rsidR="005611FE" w:rsidRPr="002D2F67" w14:paraId="07B5B43B" w14:textId="77777777" w:rsidTr="002E097E">
        <w:trPr>
          <w:trHeight w:val="179"/>
        </w:trPr>
        <w:tc>
          <w:tcPr>
            <w:tcW w:w="4372" w:type="dxa"/>
            <w:shd w:val="clear" w:color="auto" w:fill="auto"/>
            <w:vAlign w:val="bottom"/>
          </w:tcPr>
          <w:p w14:paraId="3D78879B" w14:textId="31315716" w:rsidR="0049508C" w:rsidRPr="002D2F67" w:rsidRDefault="0049508C" w:rsidP="005611FE">
            <w:pPr>
              <w:pStyle w:val="Header"/>
              <w:tabs>
                <w:tab w:val="clear" w:pos="4320"/>
                <w:tab w:val="clear" w:pos="8640"/>
                <w:tab w:val="left" w:pos="2663"/>
              </w:tabs>
              <w:ind w:left="49"/>
              <w:jc w:val="left"/>
              <w:rPr>
                <w:rFonts w:ascii="Arial" w:hAnsi="Arial" w:cs="Arial"/>
                <w:color w:val="000000"/>
                <w:sz w:val="20"/>
                <w:szCs w:val="20"/>
              </w:rPr>
            </w:pPr>
            <w:r w:rsidRPr="002D2F67">
              <w:rPr>
                <w:rFonts w:ascii="Arial" w:hAnsi="Arial" w:cs="Arial"/>
                <w:color w:val="000000"/>
                <w:sz w:val="20"/>
                <w:szCs w:val="20"/>
              </w:rPr>
              <w:t>Tax (charged) credited to profit or loss</w:t>
            </w:r>
          </w:p>
        </w:tc>
        <w:tc>
          <w:tcPr>
            <w:tcW w:w="1636" w:type="dxa"/>
            <w:shd w:val="clear" w:color="auto" w:fill="auto"/>
            <w:vAlign w:val="bottom"/>
          </w:tcPr>
          <w:p w14:paraId="1F598252" w14:textId="5D0CA8CA" w:rsidR="0049508C" w:rsidRPr="002D2F67" w:rsidRDefault="006969BE" w:rsidP="005611FE">
            <w:pPr>
              <w:pStyle w:val="Heade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130</w:t>
            </w:r>
            <w:r w:rsidRPr="002D2F67">
              <w:rPr>
                <w:rFonts w:ascii="Arial" w:hAnsi="Arial" w:cs="Arial"/>
                <w:color w:val="000000"/>
                <w:sz w:val="20"/>
                <w:szCs w:val="20"/>
              </w:rPr>
              <w:t>,</w:t>
            </w:r>
            <w:r w:rsidR="00CD5714" w:rsidRPr="00CD5714">
              <w:rPr>
                <w:rFonts w:ascii="Arial" w:hAnsi="Arial" w:cs="Arial"/>
                <w:color w:val="000000"/>
                <w:sz w:val="20"/>
                <w:szCs w:val="20"/>
                <w:lang w:val="en-GB"/>
              </w:rPr>
              <w:t>472</w:t>
            </w:r>
            <w:r w:rsidRPr="002D2F67">
              <w:rPr>
                <w:rFonts w:ascii="Arial" w:hAnsi="Arial" w:cs="Arial"/>
                <w:color w:val="000000"/>
                <w:sz w:val="20"/>
                <w:szCs w:val="20"/>
              </w:rPr>
              <w:t>)</w:t>
            </w:r>
          </w:p>
        </w:tc>
        <w:tc>
          <w:tcPr>
            <w:tcW w:w="1636" w:type="dxa"/>
            <w:shd w:val="clear" w:color="auto" w:fill="auto"/>
            <w:vAlign w:val="bottom"/>
          </w:tcPr>
          <w:p w14:paraId="4FFB0C81" w14:textId="17195CD7" w:rsidR="0049508C" w:rsidRPr="002D2F67" w:rsidRDefault="006969BE" w:rsidP="005611FE">
            <w:pPr>
              <w:pStyle w:val="Heade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18</w:t>
            </w:r>
            <w:r w:rsidRPr="002D2F67">
              <w:rPr>
                <w:rFonts w:ascii="Arial" w:hAnsi="Arial" w:cs="Arial"/>
                <w:color w:val="000000"/>
                <w:sz w:val="20"/>
                <w:szCs w:val="20"/>
              </w:rPr>
              <w:t>)</w:t>
            </w:r>
          </w:p>
        </w:tc>
        <w:tc>
          <w:tcPr>
            <w:tcW w:w="1636" w:type="dxa"/>
            <w:shd w:val="clear" w:color="auto" w:fill="auto"/>
            <w:vAlign w:val="bottom"/>
          </w:tcPr>
          <w:p w14:paraId="53F707B2" w14:textId="5CA39295" w:rsidR="0049508C" w:rsidRPr="002D2F67" w:rsidRDefault="006969BE" w:rsidP="005611FE">
            <w:pPr>
              <w:pStyle w:val="Header"/>
              <w:ind w:right="-72"/>
              <w:jc w:val="right"/>
              <w:rPr>
                <w:rFonts w:ascii="Arial" w:hAnsi="Arial" w:cs="Arial"/>
                <w:color w:val="000000"/>
                <w:sz w:val="20"/>
                <w:szCs w:val="20"/>
              </w:rPr>
            </w:pPr>
            <w:r w:rsidRPr="002D2F67">
              <w:rPr>
                <w:rFonts w:ascii="Arial" w:hAnsi="Arial" w:cs="Arial"/>
                <w:color w:val="000000"/>
                <w:sz w:val="20"/>
                <w:szCs w:val="20"/>
              </w:rPr>
              <w:t>-</w:t>
            </w:r>
          </w:p>
        </w:tc>
        <w:tc>
          <w:tcPr>
            <w:tcW w:w="1636" w:type="dxa"/>
            <w:shd w:val="clear" w:color="auto" w:fill="auto"/>
            <w:vAlign w:val="bottom"/>
          </w:tcPr>
          <w:p w14:paraId="444D784B" w14:textId="55E06212" w:rsidR="0049508C"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1</w:t>
            </w:r>
            <w:r w:rsidR="006969BE" w:rsidRPr="002D2F67">
              <w:rPr>
                <w:rFonts w:ascii="Arial" w:hAnsi="Arial" w:cs="Arial"/>
                <w:color w:val="000000"/>
                <w:sz w:val="20"/>
                <w:szCs w:val="20"/>
              </w:rPr>
              <w:t>,</w:t>
            </w:r>
            <w:r w:rsidRPr="00CD5714">
              <w:rPr>
                <w:rFonts w:ascii="Arial" w:hAnsi="Arial" w:cs="Arial"/>
                <w:color w:val="000000"/>
                <w:sz w:val="20"/>
                <w:szCs w:val="20"/>
                <w:lang w:val="en-GB"/>
              </w:rPr>
              <w:t>590</w:t>
            </w:r>
          </w:p>
        </w:tc>
        <w:tc>
          <w:tcPr>
            <w:tcW w:w="1842" w:type="dxa"/>
            <w:shd w:val="clear" w:color="auto" w:fill="auto"/>
            <w:vAlign w:val="bottom"/>
          </w:tcPr>
          <w:p w14:paraId="46EF0EF5" w14:textId="1FF83FE1" w:rsidR="0049508C"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1</w:t>
            </w:r>
            <w:r w:rsidR="006969BE" w:rsidRPr="002D2F67">
              <w:rPr>
                <w:rFonts w:ascii="Arial" w:hAnsi="Arial" w:cs="Arial"/>
                <w:color w:val="000000"/>
                <w:sz w:val="20"/>
                <w:szCs w:val="20"/>
              </w:rPr>
              <w:t>,</w:t>
            </w:r>
            <w:r w:rsidRPr="00CD5714">
              <w:rPr>
                <w:rFonts w:ascii="Arial" w:hAnsi="Arial" w:cs="Arial"/>
                <w:color w:val="000000"/>
                <w:sz w:val="20"/>
                <w:szCs w:val="20"/>
                <w:lang w:val="en-GB"/>
              </w:rPr>
              <w:t>722</w:t>
            </w:r>
          </w:p>
        </w:tc>
        <w:tc>
          <w:tcPr>
            <w:tcW w:w="1430" w:type="dxa"/>
            <w:shd w:val="clear" w:color="auto" w:fill="auto"/>
            <w:vAlign w:val="bottom"/>
          </w:tcPr>
          <w:p w14:paraId="5C1D97EE" w14:textId="5A4D8130" w:rsidR="0049508C" w:rsidRPr="002D2F67" w:rsidRDefault="002E097E" w:rsidP="005611FE">
            <w:pPr>
              <w:pStyle w:val="Heade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4</w:t>
            </w:r>
            <w:r w:rsidRPr="002D2F67">
              <w:rPr>
                <w:rFonts w:ascii="Arial" w:hAnsi="Arial" w:cs="Arial"/>
                <w:color w:val="000000"/>
                <w:sz w:val="20"/>
                <w:szCs w:val="20"/>
              </w:rPr>
              <w:t>,</w:t>
            </w:r>
            <w:r w:rsidR="00CD5714" w:rsidRPr="00CD5714">
              <w:rPr>
                <w:rFonts w:ascii="Arial" w:hAnsi="Arial" w:cs="Arial"/>
                <w:color w:val="000000"/>
                <w:sz w:val="20"/>
                <w:szCs w:val="20"/>
                <w:lang w:val="en-GB"/>
              </w:rPr>
              <w:t>261</w:t>
            </w:r>
            <w:r w:rsidRPr="002D2F67">
              <w:rPr>
                <w:rFonts w:ascii="Arial" w:hAnsi="Arial" w:cs="Arial"/>
                <w:color w:val="000000"/>
                <w:sz w:val="20"/>
                <w:szCs w:val="20"/>
              </w:rPr>
              <w:t>)</w:t>
            </w:r>
          </w:p>
        </w:tc>
        <w:tc>
          <w:tcPr>
            <w:tcW w:w="1362" w:type="dxa"/>
            <w:shd w:val="clear" w:color="auto" w:fill="auto"/>
            <w:vAlign w:val="bottom"/>
          </w:tcPr>
          <w:p w14:paraId="765A77E0" w14:textId="742C9098" w:rsidR="0049508C" w:rsidRPr="002D2F67" w:rsidRDefault="002E097E" w:rsidP="005611FE">
            <w:pPr>
              <w:pStyle w:val="Heade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131</w:t>
            </w:r>
            <w:r w:rsidRPr="002D2F67">
              <w:rPr>
                <w:rFonts w:ascii="Arial" w:hAnsi="Arial" w:cs="Arial"/>
                <w:color w:val="000000"/>
                <w:sz w:val="20"/>
                <w:szCs w:val="20"/>
              </w:rPr>
              <w:t>,</w:t>
            </w:r>
            <w:r w:rsidR="00CD5714" w:rsidRPr="00CD5714">
              <w:rPr>
                <w:rFonts w:ascii="Arial" w:hAnsi="Arial" w:cs="Arial"/>
                <w:color w:val="000000"/>
                <w:sz w:val="20"/>
                <w:szCs w:val="20"/>
                <w:lang w:val="en-GB"/>
              </w:rPr>
              <w:t>439</w:t>
            </w:r>
            <w:r w:rsidR="006969BE" w:rsidRPr="002D2F67">
              <w:rPr>
                <w:rFonts w:ascii="Arial" w:hAnsi="Arial" w:cs="Arial"/>
                <w:color w:val="000000"/>
                <w:sz w:val="20"/>
                <w:szCs w:val="20"/>
              </w:rPr>
              <w:t>)</w:t>
            </w:r>
          </w:p>
        </w:tc>
      </w:tr>
      <w:tr w:rsidR="005611FE" w:rsidRPr="002D2F67" w14:paraId="4CDDDA95" w14:textId="77777777" w:rsidTr="005611FE">
        <w:trPr>
          <w:trHeight w:val="19"/>
        </w:trPr>
        <w:tc>
          <w:tcPr>
            <w:tcW w:w="4372" w:type="dxa"/>
            <w:shd w:val="clear" w:color="auto" w:fill="auto"/>
            <w:vAlign w:val="bottom"/>
          </w:tcPr>
          <w:p w14:paraId="5138A1A1" w14:textId="77777777" w:rsidR="00834DA6" w:rsidRPr="002D2F67" w:rsidRDefault="0049508C" w:rsidP="005611FE">
            <w:pPr>
              <w:pStyle w:val="Header"/>
              <w:tabs>
                <w:tab w:val="clear" w:pos="4320"/>
                <w:tab w:val="clear" w:pos="8640"/>
                <w:tab w:val="left" w:pos="2663"/>
              </w:tabs>
              <w:ind w:left="49"/>
              <w:jc w:val="left"/>
              <w:rPr>
                <w:rFonts w:ascii="Arial" w:hAnsi="Arial" w:cs="Arial"/>
                <w:color w:val="000000"/>
                <w:sz w:val="20"/>
                <w:szCs w:val="20"/>
              </w:rPr>
            </w:pPr>
            <w:r w:rsidRPr="002D2F67">
              <w:rPr>
                <w:rFonts w:ascii="Arial" w:hAnsi="Arial" w:cs="Arial"/>
                <w:color w:val="000000"/>
                <w:sz w:val="20"/>
                <w:szCs w:val="20"/>
              </w:rPr>
              <w:t xml:space="preserve">Tax </w:t>
            </w:r>
            <w:r w:rsidR="00834DA6" w:rsidRPr="002D2F67">
              <w:rPr>
                <w:rFonts w:ascii="Arial" w:hAnsi="Arial" w:cs="Arial"/>
                <w:color w:val="000000"/>
                <w:sz w:val="20"/>
                <w:szCs w:val="20"/>
              </w:rPr>
              <w:t xml:space="preserve">(charged) </w:t>
            </w:r>
            <w:r w:rsidRPr="002D2F67">
              <w:rPr>
                <w:rFonts w:ascii="Arial" w:hAnsi="Arial" w:cs="Arial"/>
                <w:color w:val="000000"/>
                <w:sz w:val="20"/>
                <w:szCs w:val="20"/>
              </w:rPr>
              <w:t xml:space="preserve">credited to other </w:t>
            </w:r>
            <w:r w:rsidR="00834DA6" w:rsidRPr="002D2F67">
              <w:rPr>
                <w:rFonts w:ascii="Arial" w:hAnsi="Arial" w:cs="Arial"/>
                <w:color w:val="000000"/>
                <w:sz w:val="20"/>
                <w:szCs w:val="20"/>
              </w:rPr>
              <w:t xml:space="preserve">  </w:t>
            </w:r>
          </w:p>
          <w:p w14:paraId="6F3EEB04" w14:textId="24CE75F0" w:rsidR="0049508C" w:rsidRPr="002D2F67" w:rsidRDefault="00834DA6" w:rsidP="005611FE">
            <w:pPr>
              <w:pStyle w:val="Header"/>
              <w:tabs>
                <w:tab w:val="clear" w:pos="4320"/>
                <w:tab w:val="clear" w:pos="8640"/>
                <w:tab w:val="left" w:pos="2663"/>
              </w:tabs>
              <w:ind w:left="49"/>
              <w:jc w:val="left"/>
              <w:rPr>
                <w:rFonts w:ascii="Arial" w:hAnsi="Arial" w:cs="Arial"/>
                <w:color w:val="000000"/>
                <w:sz w:val="20"/>
                <w:szCs w:val="20"/>
              </w:rPr>
            </w:pPr>
            <w:r w:rsidRPr="002D2F67">
              <w:rPr>
                <w:rFonts w:ascii="Arial" w:hAnsi="Arial" w:cs="Arial"/>
                <w:color w:val="000000"/>
                <w:sz w:val="20"/>
                <w:szCs w:val="20"/>
              </w:rPr>
              <w:t xml:space="preserve">   </w:t>
            </w:r>
            <w:r w:rsidR="0049508C" w:rsidRPr="002D2F67">
              <w:rPr>
                <w:rFonts w:ascii="Arial" w:hAnsi="Arial" w:cs="Arial"/>
                <w:color w:val="000000"/>
                <w:sz w:val="20"/>
                <w:szCs w:val="20"/>
              </w:rPr>
              <w:t>comprehensive income</w:t>
            </w:r>
          </w:p>
        </w:tc>
        <w:tc>
          <w:tcPr>
            <w:tcW w:w="1636" w:type="dxa"/>
            <w:tcBorders>
              <w:bottom w:val="single" w:sz="4" w:space="0" w:color="auto"/>
            </w:tcBorders>
            <w:shd w:val="clear" w:color="auto" w:fill="auto"/>
            <w:vAlign w:val="bottom"/>
          </w:tcPr>
          <w:p w14:paraId="5B3EA340" w14:textId="5A4FA489" w:rsidR="0049508C" w:rsidRPr="002D2F67" w:rsidRDefault="006969BE" w:rsidP="005611FE">
            <w:pPr>
              <w:pStyle w:val="Header"/>
              <w:ind w:right="-72"/>
              <w:jc w:val="right"/>
              <w:rPr>
                <w:rFonts w:ascii="Arial" w:hAnsi="Arial" w:cs="Arial"/>
                <w:color w:val="000000"/>
                <w:sz w:val="20"/>
                <w:szCs w:val="20"/>
              </w:rPr>
            </w:pPr>
            <w:r w:rsidRPr="002D2F67">
              <w:rPr>
                <w:rFonts w:ascii="Arial" w:hAnsi="Arial" w:cs="Arial"/>
                <w:color w:val="000000"/>
                <w:sz w:val="20"/>
                <w:szCs w:val="20"/>
              </w:rPr>
              <w:t>-</w:t>
            </w:r>
          </w:p>
        </w:tc>
        <w:tc>
          <w:tcPr>
            <w:tcW w:w="1636" w:type="dxa"/>
            <w:tcBorders>
              <w:bottom w:val="single" w:sz="4" w:space="0" w:color="auto"/>
            </w:tcBorders>
            <w:shd w:val="clear" w:color="auto" w:fill="auto"/>
            <w:vAlign w:val="bottom"/>
          </w:tcPr>
          <w:p w14:paraId="4D845985" w14:textId="4A510EAE" w:rsidR="0049508C" w:rsidRPr="002D2F67" w:rsidRDefault="006969BE" w:rsidP="005611FE">
            <w:pPr>
              <w:pStyle w:val="Header"/>
              <w:ind w:right="-72"/>
              <w:jc w:val="right"/>
              <w:rPr>
                <w:rFonts w:ascii="Arial" w:hAnsi="Arial" w:cs="Arial"/>
                <w:color w:val="000000"/>
                <w:sz w:val="20"/>
                <w:szCs w:val="20"/>
              </w:rPr>
            </w:pPr>
            <w:r w:rsidRPr="002D2F67">
              <w:rPr>
                <w:rFonts w:ascii="Arial" w:hAnsi="Arial" w:cs="Arial"/>
                <w:color w:val="000000"/>
                <w:sz w:val="20"/>
                <w:szCs w:val="20"/>
              </w:rPr>
              <w:t>-</w:t>
            </w:r>
          </w:p>
        </w:tc>
        <w:tc>
          <w:tcPr>
            <w:tcW w:w="1636" w:type="dxa"/>
            <w:tcBorders>
              <w:bottom w:val="single" w:sz="4" w:space="0" w:color="auto"/>
            </w:tcBorders>
            <w:shd w:val="clear" w:color="auto" w:fill="auto"/>
            <w:vAlign w:val="bottom"/>
          </w:tcPr>
          <w:p w14:paraId="5BCAF85B" w14:textId="52C2A9B0" w:rsidR="0049508C"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180</w:t>
            </w:r>
            <w:r w:rsidR="002E097E" w:rsidRPr="002D2F67">
              <w:rPr>
                <w:rFonts w:ascii="Arial" w:hAnsi="Arial" w:cs="Arial"/>
                <w:color w:val="000000"/>
                <w:sz w:val="20"/>
                <w:szCs w:val="20"/>
              </w:rPr>
              <w:t>,</w:t>
            </w:r>
            <w:r w:rsidRPr="00CD5714">
              <w:rPr>
                <w:rFonts w:ascii="Arial" w:hAnsi="Arial" w:cs="Arial"/>
                <w:color w:val="000000"/>
                <w:sz w:val="20"/>
                <w:szCs w:val="20"/>
                <w:lang w:val="en-GB"/>
              </w:rPr>
              <w:t>590</w:t>
            </w:r>
          </w:p>
        </w:tc>
        <w:tc>
          <w:tcPr>
            <w:tcW w:w="1636" w:type="dxa"/>
            <w:tcBorders>
              <w:bottom w:val="single" w:sz="4" w:space="0" w:color="auto"/>
            </w:tcBorders>
            <w:shd w:val="clear" w:color="auto" w:fill="auto"/>
            <w:vAlign w:val="bottom"/>
          </w:tcPr>
          <w:p w14:paraId="5E35ECBA" w14:textId="28E960D5" w:rsidR="0049508C" w:rsidRPr="002D2F67" w:rsidRDefault="006969BE" w:rsidP="005611FE">
            <w:pPr>
              <w:pStyle w:val="Heade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11</w:t>
            </w:r>
            <w:r w:rsidRPr="002D2F67">
              <w:rPr>
                <w:rFonts w:ascii="Arial" w:hAnsi="Arial" w:cs="Arial"/>
                <w:color w:val="000000"/>
                <w:sz w:val="20"/>
                <w:szCs w:val="20"/>
              </w:rPr>
              <w:t>,</w:t>
            </w:r>
            <w:r w:rsidR="00CD5714" w:rsidRPr="00CD5714">
              <w:rPr>
                <w:rFonts w:ascii="Arial" w:hAnsi="Arial" w:cs="Arial"/>
                <w:color w:val="000000"/>
                <w:sz w:val="20"/>
                <w:szCs w:val="20"/>
                <w:lang w:val="en-GB"/>
              </w:rPr>
              <w:t>078</w:t>
            </w:r>
            <w:r w:rsidRPr="002D2F67">
              <w:rPr>
                <w:rFonts w:ascii="Arial" w:hAnsi="Arial" w:cs="Arial"/>
                <w:color w:val="000000"/>
                <w:sz w:val="20"/>
                <w:szCs w:val="20"/>
              </w:rPr>
              <w:t>)</w:t>
            </w:r>
          </w:p>
        </w:tc>
        <w:tc>
          <w:tcPr>
            <w:tcW w:w="1842" w:type="dxa"/>
            <w:tcBorders>
              <w:bottom w:val="single" w:sz="4" w:space="0" w:color="auto"/>
            </w:tcBorders>
            <w:shd w:val="clear" w:color="auto" w:fill="auto"/>
            <w:vAlign w:val="bottom"/>
          </w:tcPr>
          <w:p w14:paraId="14A6974C" w14:textId="7608DCC4" w:rsidR="0049508C" w:rsidRPr="002D2F67" w:rsidRDefault="006969BE" w:rsidP="005611FE">
            <w:pPr>
              <w:pStyle w:val="Header"/>
              <w:ind w:right="-72"/>
              <w:jc w:val="right"/>
              <w:rPr>
                <w:rFonts w:ascii="Arial" w:hAnsi="Arial" w:cs="Arial"/>
                <w:color w:val="000000"/>
                <w:sz w:val="20"/>
                <w:szCs w:val="20"/>
              </w:rPr>
            </w:pPr>
            <w:r w:rsidRPr="002D2F67">
              <w:rPr>
                <w:rFonts w:ascii="Arial" w:hAnsi="Arial" w:cs="Arial"/>
                <w:color w:val="000000"/>
                <w:sz w:val="20"/>
                <w:szCs w:val="20"/>
              </w:rPr>
              <w:t>-</w:t>
            </w:r>
          </w:p>
        </w:tc>
        <w:tc>
          <w:tcPr>
            <w:tcW w:w="1430" w:type="dxa"/>
            <w:tcBorders>
              <w:bottom w:val="single" w:sz="4" w:space="0" w:color="auto"/>
            </w:tcBorders>
            <w:shd w:val="clear" w:color="auto" w:fill="auto"/>
            <w:vAlign w:val="bottom"/>
          </w:tcPr>
          <w:p w14:paraId="56070916" w14:textId="5DB74D43" w:rsidR="0049508C" w:rsidRPr="002D2F67" w:rsidRDefault="006969BE" w:rsidP="005611FE">
            <w:pPr>
              <w:pStyle w:val="Header"/>
              <w:ind w:right="-72"/>
              <w:jc w:val="right"/>
              <w:rPr>
                <w:rFonts w:ascii="Arial" w:hAnsi="Arial" w:cs="Arial"/>
                <w:color w:val="000000"/>
                <w:sz w:val="20"/>
                <w:szCs w:val="20"/>
              </w:rPr>
            </w:pPr>
            <w:r w:rsidRPr="002D2F67">
              <w:rPr>
                <w:rFonts w:ascii="Arial" w:hAnsi="Arial" w:cs="Arial"/>
                <w:color w:val="000000"/>
                <w:sz w:val="20"/>
                <w:szCs w:val="20"/>
              </w:rPr>
              <w:t>-</w:t>
            </w:r>
          </w:p>
        </w:tc>
        <w:tc>
          <w:tcPr>
            <w:tcW w:w="1362" w:type="dxa"/>
            <w:tcBorders>
              <w:bottom w:val="single" w:sz="4" w:space="0" w:color="auto"/>
            </w:tcBorders>
            <w:shd w:val="clear" w:color="auto" w:fill="auto"/>
            <w:vAlign w:val="bottom"/>
          </w:tcPr>
          <w:p w14:paraId="66F47FF5" w14:textId="16B224FB" w:rsidR="0049508C"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169</w:t>
            </w:r>
            <w:r w:rsidR="002E097E" w:rsidRPr="002D2F67">
              <w:rPr>
                <w:rFonts w:ascii="Arial" w:hAnsi="Arial" w:cs="Arial"/>
                <w:color w:val="000000"/>
                <w:sz w:val="20"/>
                <w:szCs w:val="20"/>
              </w:rPr>
              <w:t>,</w:t>
            </w:r>
            <w:r w:rsidRPr="00CD5714">
              <w:rPr>
                <w:rFonts w:ascii="Arial" w:hAnsi="Arial" w:cs="Arial"/>
                <w:color w:val="000000"/>
                <w:sz w:val="20"/>
                <w:szCs w:val="20"/>
                <w:lang w:val="en-GB"/>
              </w:rPr>
              <w:t>512</w:t>
            </w:r>
          </w:p>
        </w:tc>
      </w:tr>
      <w:tr w:rsidR="005611FE" w:rsidRPr="002D2F67" w14:paraId="2B24D651" w14:textId="77777777" w:rsidTr="005611FE">
        <w:trPr>
          <w:trHeight w:val="19"/>
        </w:trPr>
        <w:tc>
          <w:tcPr>
            <w:tcW w:w="4372" w:type="dxa"/>
            <w:shd w:val="clear" w:color="auto" w:fill="auto"/>
            <w:vAlign w:val="bottom"/>
          </w:tcPr>
          <w:p w14:paraId="60CFE59E" w14:textId="77777777" w:rsidR="0049508C" w:rsidRPr="002D2F67" w:rsidRDefault="0049508C" w:rsidP="005611FE">
            <w:pPr>
              <w:pStyle w:val="Header"/>
              <w:tabs>
                <w:tab w:val="left" w:pos="1134"/>
                <w:tab w:val="left" w:pos="1276"/>
                <w:tab w:val="center" w:pos="3402"/>
                <w:tab w:val="center" w:pos="5670"/>
                <w:tab w:val="center" w:pos="6804"/>
                <w:tab w:val="right" w:pos="7655"/>
              </w:tabs>
              <w:ind w:left="49"/>
              <w:jc w:val="left"/>
              <w:rPr>
                <w:rFonts w:ascii="Arial" w:hAnsi="Arial" w:cs="Arial"/>
                <w:color w:val="000000"/>
                <w:sz w:val="20"/>
                <w:szCs w:val="20"/>
              </w:rPr>
            </w:pPr>
          </w:p>
        </w:tc>
        <w:tc>
          <w:tcPr>
            <w:tcW w:w="1636" w:type="dxa"/>
            <w:tcBorders>
              <w:top w:val="single" w:sz="4" w:space="0" w:color="auto"/>
            </w:tcBorders>
            <w:shd w:val="clear" w:color="auto" w:fill="auto"/>
            <w:vAlign w:val="bottom"/>
          </w:tcPr>
          <w:p w14:paraId="482BB8E3" w14:textId="77777777" w:rsidR="0049508C" w:rsidRPr="002D2F67" w:rsidRDefault="0049508C" w:rsidP="005611FE">
            <w:pPr>
              <w:pStyle w:val="Header"/>
              <w:ind w:right="-72"/>
              <w:jc w:val="right"/>
              <w:rPr>
                <w:rFonts w:ascii="Arial" w:hAnsi="Arial" w:cs="Arial"/>
                <w:color w:val="000000"/>
                <w:sz w:val="20"/>
                <w:szCs w:val="20"/>
              </w:rPr>
            </w:pPr>
          </w:p>
        </w:tc>
        <w:tc>
          <w:tcPr>
            <w:tcW w:w="1636" w:type="dxa"/>
            <w:tcBorders>
              <w:top w:val="single" w:sz="4" w:space="0" w:color="auto"/>
            </w:tcBorders>
            <w:shd w:val="clear" w:color="auto" w:fill="auto"/>
            <w:vAlign w:val="bottom"/>
          </w:tcPr>
          <w:p w14:paraId="4467B92E" w14:textId="0D09B32F" w:rsidR="0049508C" w:rsidRPr="002D2F67" w:rsidRDefault="0049508C" w:rsidP="005611FE">
            <w:pPr>
              <w:pStyle w:val="Header"/>
              <w:ind w:right="-72"/>
              <w:jc w:val="right"/>
              <w:rPr>
                <w:rFonts w:ascii="Arial" w:hAnsi="Arial" w:cs="Arial"/>
                <w:color w:val="000000"/>
                <w:sz w:val="20"/>
                <w:szCs w:val="20"/>
              </w:rPr>
            </w:pPr>
          </w:p>
        </w:tc>
        <w:tc>
          <w:tcPr>
            <w:tcW w:w="1636" w:type="dxa"/>
            <w:tcBorders>
              <w:top w:val="single" w:sz="4" w:space="0" w:color="auto"/>
            </w:tcBorders>
            <w:shd w:val="clear" w:color="auto" w:fill="auto"/>
            <w:vAlign w:val="bottom"/>
          </w:tcPr>
          <w:p w14:paraId="22A8C25B" w14:textId="77777777" w:rsidR="0049508C" w:rsidRPr="002D2F67" w:rsidRDefault="0049508C" w:rsidP="005611FE">
            <w:pPr>
              <w:pStyle w:val="Header"/>
              <w:ind w:right="-72"/>
              <w:jc w:val="right"/>
              <w:rPr>
                <w:rFonts w:ascii="Arial" w:hAnsi="Arial" w:cs="Arial"/>
                <w:color w:val="000000"/>
                <w:sz w:val="20"/>
                <w:szCs w:val="20"/>
              </w:rPr>
            </w:pPr>
          </w:p>
        </w:tc>
        <w:tc>
          <w:tcPr>
            <w:tcW w:w="1636" w:type="dxa"/>
            <w:tcBorders>
              <w:top w:val="single" w:sz="4" w:space="0" w:color="auto"/>
            </w:tcBorders>
            <w:shd w:val="clear" w:color="auto" w:fill="auto"/>
            <w:vAlign w:val="bottom"/>
          </w:tcPr>
          <w:p w14:paraId="61AABAE6" w14:textId="77777777" w:rsidR="0049508C" w:rsidRPr="002D2F67" w:rsidRDefault="0049508C" w:rsidP="005611FE">
            <w:pPr>
              <w:pStyle w:val="Header"/>
              <w:ind w:right="-72"/>
              <w:jc w:val="right"/>
              <w:rPr>
                <w:rFonts w:ascii="Arial" w:hAnsi="Arial" w:cs="Arial"/>
                <w:color w:val="000000"/>
                <w:sz w:val="20"/>
                <w:szCs w:val="20"/>
              </w:rPr>
            </w:pPr>
          </w:p>
        </w:tc>
        <w:tc>
          <w:tcPr>
            <w:tcW w:w="1842" w:type="dxa"/>
            <w:tcBorders>
              <w:top w:val="single" w:sz="4" w:space="0" w:color="auto"/>
            </w:tcBorders>
            <w:shd w:val="clear" w:color="auto" w:fill="auto"/>
            <w:vAlign w:val="bottom"/>
          </w:tcPr>
          <w:p w14:paraId="3F34DC60" w14:textId="55C780F3" w:rsidR="0049508C" w:rsidRPr="002D2F67" w:rsidRDefault="0049508C" w:rsidP="005611FE">
            <w:pPr>
              <w:pStyle w:val="Header"/>
              <w:ind w:right="-72"/>
              <w:jc w:val="right"/>
              <w:rPr>
                <w:rFonts w:ascii="Arial" w:hAnsi="Arial" w:cs="Arial"/>
                <w:color w:val="000000"/>
                <w:sz w:val="20"/>
                <w:szCs w:val="20"/>
              </w:rPr>
            </w:pPr>
          </w:p>
        </w:tc>
        <w:tc>
          <w:tcPr>
            <w:tcW w:w="1430" w:type="dxa"/>
            <w:tcBorders>
              <w:top w:val="single" w:sz="4" w:space="0" w:color="auto"/>
            </w:tcBorders>
            <w:shd w:val="clear" w:color="auto" w:fill="auto"/>
            <w:vAlign w:val="bottom"/>
          </w:tcPr>
          <w:p w14:paraId="69F71501" w14:textId="620230FF" w:rsidR="0049508C" w:rsidRPr="002D2F67" w:rsidRDefault="0049508C" w:rsidP="005611FE">
            <w:pPr>
              <w:pStyle w:val="Header"/>
              <w:ind w:right="-72"/>
              <w:jc w:val="right"/>
              <w:rPr>
                <w:rFonts w:ascii="Arial" w:hAnsi="Arial" w:cs="Arial"/>
                <w:color w:val="000000"/>
                <w:sz w:val="20"/>
                <w:szCs w:val="20"/>
              </w:rPr>
            </w:pPr>
          </w:p>
        </w:tc>
        <w:tc>
          <w:tcPr>
            <w:tcW w:w="1362" w:type="dxa"/>
            <w:tcBorders>
              <w:top w:val="single" w:sz="4" w:space="0" w:color="auto"/>
            </w:tcBorders>
            <w:shd w:val="clear" w:color="auto" w:fill="auto"/>
            <w:vAlign w:val="bottom"/>
          </w:tcPr>
          <w:p w14:paraId="46EDC82A" w14:textId="77777777" w:rsidR="0049508C" w:rsidRPr="002D2F67" w:rsidRDefault="0049508C" w:rsidP="005611FE">
            <w:pPr>
              <w:pStyle w:val="Header"/>
              <w:ind w:right="-72"/>
              <w:jc w:val="right"/>
              <w:rPr>
                <w:rFonts w:ascii="Arial" w:hAnsi="Arial" w:cs="Arial"/>
                <w:color w:val="000000"/>
                <w:sz w:val="20"/>
                <w:szCs w:val="20"/>
              </w:rPr>
            </w:pPr>
          </w:p>
        </w:tc>
      </w:tr>
      <w:tr w:rsidR="0049508C" w:rsidRPr="002D2F67" w14:paraId="6604B2AF" w14:textId="77777777" w:rsidTr="005611FE">
        <w:trPr>
          <w:trHeight w:val="19"/>
        </w:trPr>
        <w:tc>
          <w:tcPr>
            <w:tcW w:w="4372" w:type="dxa"/>
            <w:shd w:val="clear" w:color="auto" w:fill="auto"/>
            <w:vAlign w:val="bottom"/>
          </w:tcPr>
          <w:p w14:paraId="3F3E99D9" w14:textId="3D336232" w:rsidR="0049508C" w:rsidRPr="002D2F67" w:rsidRDefault="0049508C" w:rsidP="005611FE">
            <w:pPr>
              <w:pStyle w:val="Header"/>
              <w:ind w:left="49"/>
              <w:jc w:val="left"/>
              <w:rPr>
                <w:rFonts w:ascii="Arial" w:hAnsi="Arial" w:cs="Arial"/>
                <w:color w:val="000000"/>
                <w:sz w:val="20"/>
                <w:szCs w:val="20"/>
              </w:rPr>
            </w:pPr>
            <w:r w:rsidRPr="002D2F67">
              <w:rPr>
                <w:rFonts w:ascii="Arial" w:hAnsi="Arial" w:cs="Arial"/>
                <w:color w:val="000000"/>
                <w:sz w:val="20"/>
                <w:szCs w:val="20"/>
              </w:rPr>
              <w:t xml:space="preserve">As </w:t>
            </w:r>
            <w:proofErr w:type="gramStart"/>
            <w:r w:rsidRPr="002D2F67">
              <w:rPr>
                <w:rFonts w:ascii="Arial" w:hAnsi="Arial" w:cs="Arial"/>
                <w:color w:val="000000"/>
                <w:sz w:val="20"/>
                <w:szCs w:val="20"/>
              </w:rPr>
              <w:t>at</w:t>
            </w:r>
            <w:proofErr w:type="gramEnd"/>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31</w:t>
            </w:r>
            <w:r w:rsidRPr="002D2F67">
              <w:rPr>
                <w:rFonts w:ascii="Arial" w:hAnsi="Arial" w:cs="Arial"/>
                <w:color w:val="000000"/>
                <w:sz w:val="20"/>
                <w:szCs w:val="20"/>
              </w:rPr>
              <w:t xml:space="preserve"> December </w:t>
            </w:r>
            <w:r w:rsidR="00CD5714" w:rsidRPr="00CD5714">
              <w:rPr>
                <w:rFonts w:ascii="Arial" w:hAnsi="Arial" w:cs="Arial"/>
                <w:color w:val="000000"/>
                <w:sz w:val="20"/>
                <w:szCs w:val="20"/>
                <w:lang w:val="en-GB"/>
              </w:rPr>
              <w:t>2024</w:t>
            </w:r>
          </w:p>
        </w:tc>
        <w:tc>
          <w:tcPr>
            <w:tcW w:w="1636" w:type="dxa"/>
            <w:tcBorders>
              <w:bottom w:val="single" w:sz="4" w:space="0" w:color="auto"/>
            </w:tcBorders>
            <w:shd w:val="clear" w:color="auto" w:fill="auto"/>
            <w:vAlign w:val="bottom"/>
          </w:tcPr>
          <w:p w14:paraId="29C2DA0F" w14:textId="3C67F190" w:rsidR="0049508C" w:rsidRPr="002D2F67" w:rsidRDefault="006969BE" w:rsidP="005611FE">
            <w:pPr>
              <w:pStyle w:val="Header"/>
              <w:ind w:right="-72"/>
              <w:jc w:val="right"/>
              <w:rPr>
                <w:rFonts w:ascii="Arial" w:hAnsi="Arial" w:cs="Arial"/>
                <w:color w:val="000000"/>
                <w:sz w:val="20"/>
                <w:szCs w:val="20"/>
              </w:rPr>
            </w:pPr>
            <w:r w:rsidRPr="002D2F67">
              <w:rPr>
                <w:rFonts w:ascii="Arial" w:hAnsi="Arial" w:cs="Arial"/>
                <w:color w:val="000000"/>
                <w:sz w:val="20"/>
                <w:szCs w:val="20"/>
              </w:rPr>
              <w:t>-</w:t>
            </w:r>
          </w:p>
        </w:tc>
        <w:tc>
          <w:tcPr>
            <w:tcW w:w="1636" w:type="dxa"/>
            <w:tcBorders>
              <w:bottom w:val="single" w:sz="4" w:space="0" w:color="auto"/>
            </w:tcBorders>
            <w:shd w:val="clear" w:color="auto" w:fill="auto"/>
            <w:vAlign w:val="bottom"/>
          </w:tcPr>
          <w:p w14:paraId="5EF2D113" w14:textId="6EDB4958" w:rsidR="0049508C"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307</w:t>
            </w:r>
          </w:p>
        </w:tc>
        <w:tc>
          <w:tcPr>
            <w:tcW w:w="1636" w:type="dxa"/>
            <w:tcBorders>
              <w:bottom w:val="single" w:sz="4" w:space="0" w:color="auto"/>
            </w:tcBorders>
            <w:shd w:val="clear" w:color="auto" w:fill="auto"/>
            <w:vAlign w:val="bottom"/>
          </w:tcPr>
          <w:p w14:paraId="5FA0EB0D" w14:textId="2846677B" w:rsidR="0049508C"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239</w:t>
            </w:r>
            <w:r w:rsidR="002E097E" w:rsidRPr="002D2F67">
              <w:rPr>
                <w:rFonts w:ascii="Arial" w:hAnsi="Arial" w:cs="Arial"/>
                <w:color w:val="000000"/>
                <w:sz w:val="20"/>
                <w:szCs w:val="20"/>
              </w:rPr>
              <w:t>,</w:t>
            </w:r>
            <w:r w:rsidRPr="00CD5714">
              <w:rPr>
                <w:rFonts w:ascii="Arial" w:hAnsi="Arial" w:cs="Arial"/>
                <w:color w:val="000000"/>
                <w:sz w:val="20"/>
                <w:szCs w:val="20"/>
                <w:lang w:val="en-GB"/>
              </w:rPr>
              <w:t>267</w:t>
            </w:r>
          </w:p>
        </w:tc>
        <w:tc>
          <w:tcPr>
            <w:tcW w:w="1636" w:type="dxa"/>
            <w:tcBorders>
              <w:bottom w:val="single" w:sz="4" w:space="0" w:color="auto"/>
            </w:tcBorders>
            <w:shd w:val="clear" w:color="auto" w:fill="auto"/>
            <w:vAlign w:val="bottom"/>
          </w:tcPr>
          <w:p w14:paraId="043FCDE2" w14:textId="08EDD67B" w:rsidR="0049508C"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6</w:t>
            </w:r>
            <w:r w:rsidR="006969BE" w:rsidRPr="002D2F67">
              <w:rPr>
                <w:rFonts w:ascii="Arial" w:hAnsi="Arial" w:cs="Arial"/>
                <w:color w:val="000000"/>
                <w:sz w:val="20"/>
                <w:szCs w:val="20"/>
              </w:rPr>
              <w:t>,</w:t>
            </w:r>
            <w:r w:rsidRPr="00CD5714">
              <w:rPr>
                <w:rFonts w:ascii="Arial" w:hAnsi="Arial" w:cs="Arial"/>
                <w:color w:val="000000"/>
                <w:sz w:val="20"/>
                <w:szCs w:val="20"/>
                <w:lang w:val="en-GB"/>
              </w:rPr>
              <w:t>901</w:t>
            </w:r>
          </w:p>
        </w:tc>
        <w:tc>
          <w:tcPr>
            <w:tcW w:w="1842" w:type="dxa"/>
            <w:tcBorders>
              <w:bottom w:val="single" w:sz="4" w:space="0" w:color="auto"/>
            </w:tcBorders>
            <w:shd w:val="clear" w:color="auto" w:fill="auto"/>
            <w:vAlign w:val="bottom"/>
          </w:tcPr>
          <w:p w14:paraId="3B664E07" w14:textId="5903CCBD" w:rsidR="0049508C"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29</w:t>
            </w:r>
            <w:r w:rsidR="006969BE" w:rsidRPr="002D2F67">
              <w:rPr>
                <w:rFonts w:ascii="Arial" w:hAnsi="Arial" w:cs="Arial"/>
                <w:color w:val="000000"/>
                <w:sz w:val="20"/>
                <w:szCs w:val="20"/>
              </w:rPr>
              <w:t>,</w:t>
            </w:r>
            <w:r w:rsidRPr="00CD5714">
              <w:rPr>
                <w:rFonts w:ascii="Arial" w:hAnsi="Arial" w:cs="Arial"/>
                <w:color w:val="000000"/>
                <w:sz w:val="20"/>
                <w:szCs w:val="20"/>
                <w:lang w:val="en-GB"/>
              </w:rPr>
              <w:t>145</w:t>
            </w:r>
          </w:p>
        </w:tc>
        <w:tc>
          <w:tcPr>
            <w:tcW w:w="1430" w:type="dxa"/>
            <w:tcBorders>
              <w:bottom w:val="single" w:sz="4" w:space="0" w:color="auto"/>
            </w:tcBorders>
            <w:shd w:val="clear" w:color="auto" w:fill="auto"/>
            <w:vAlign w:val="bottom"/>
          </w:tcPr>
          <w:p w14:paraId="5ECC497E" w14:textId="7A3173CF" w:rsidR="0049508C"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52</w:t>
            </w:r>
            <w:r w:rsidR="002E097E" w:rsidRPr="002D2F67">
              <w:rPr>
                <w:rFonts w:ascii="Arial" w:hAnsi="Arial" w:cs="Arial"/>
                <w:color w:val="000000"/>
                <w:sz w:val="20"/>
                <w:szCs w:val="20"/>
              </w:rPr>
              <w:t>,</w:t>
            </w:r>
            <w:r w:rsidRPr="00CD5714">
              <w:rPr>
                <w:rFonts w:ascii="Arial" w:hAnsi="Arial" w:cs="Arial"/>
                <w:color w:val="000000"/>
                <w:sz w:val="20"/>
                <w:szCs w:val="20"/>
                <w:lang w:val="en-GB"/>
              </w:rPr>
              <w:t>729</w:t>
            </w:r>
          </w:p>
        </w:tc>
        <w:tc>
          <w:tcPr>
            <w:tcW w:w="1362" w:type="dxa"/>
            <w:tcBorders>
              <w:bottom w:val="single" w:sz="4" w:space="0" w:color="auto"/>
            </w:tcBorders>
            <w:shd w:val="clear" w:color="auto" w:fill="auto"/>
            <w:vAlign w:val="bottom"/>
          </w:tcPr>
          <w:p w14:paraId="5E2C56A4" w14:textId="40988ADB" w:rsidR="0049508C"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328</w:t>
            </w:r>
            <w:r w:rsidR="002E097E" w:rsidRPr="002D2F67">
              <w:rPr>
                <w:rFonts w:ascii="Arial" w:hAnsi="Arial" w:cs="Arial"/>
                <w:color w:val="000000"/>
                <w:sz w:val="20"/>
                <w:szCs w:val="20"/>
              </w:rPr>
              <w:t>,</w:t>
            </w:r>
            <w:r w:rsidRPr="00CD5714">
              <w:rPr>
                <w:rFonts w:ascii="Arial" w:hAnsi="Arial" w:cs="Arial"/>
                <w:color w:val="000000"/>
                <w:sz w:val="20"/>
                <w:szCs w:val="20"/>
                <w:lang w:val="en-GB"/>
              </w:rPr>
              <w:t>349</w:t>
            </w:r>
          </w:p>
        </w:tc>
      </w:tr>
    </w:tbl>
    <w:p w14:paraId="5D47CCFF" w14:textId="4010FFFF" w:rsidR="00B4267B" w:rsidRPr="002D2F67" w:rsidRDefault="00B4267B" w:rsidP="005611FE">
      <w:pPr>
        <w:jc w:val="both"/>
        <w:rPr>
          <w:rFonts w:ascii="Arial" w:hAnsi="Arial" w:cs="Arial"/>
          <w:color w:val="000000"/>
          <w:sz w:val="20"/>
          <w:szCs w:val="20"/>
        </w:rPr>
      </w:pPr>
    </w:p>
    <w:p w14:paraId="59F5D926" w14:textId="77777777" w:rsidR="00A31D30" w:rsidRPr="002D2F67" w:rsidRDefault="00A31D30" w:rsidP="005611FE">
      <w:pPr>
        <w:jc w:val="both"/>
        <w:rPr>
          <w:rFonts w:ascii="Arial" w:hAnsi="Arial" w:cs="Arial"/>
          <w:color w:val="000000"/>
          <w:sz w:val="20"/>
          <w:szCs w:val="20"/>
        </w:rPr>
        <w:sectPr w:rsidR="00A31D30" w:rsidRPr="002D2F67" w:rsidSect="00D95497">
          <w:footerReference w:type="default" r:id="rId13"/>
          <w:pgSz w:w="16838" w:h="11906" w:orient="landscape" w:code="9"/>
          <w:pgMar w:top="1440" w:right="720" w:bottom="720" w:left="720" w:header="706" w:footer="706" w:gutter="0"/>
          <w:cols w:space="720"/>
          <w:docGrid w:linePitch="326"/>
        </w:sectPr>
      </w:pPr>
    </w:p>
    <w:p w14:paraId="1E2A5B1B" w14:textId="77777777" w:rsidR="00A31D30" w:rsidRPr="002D2F67" w:rsidRDefault="00A31D30" w:rsidP="005611FE">
      <w:pPr>
        <w:jc w:val="both"/>
        <w:rPr>
          <w:rFonts w:ascii="Arial" w:hAnsi="Arial" w:cs="Arial"/>
          <w:color w:val="000000"/>
          <w:sz w:val="20"/>
          <w:szCs w:val="20"/>
        </w:rPr>
      </w:pPr>
    </w:p>
    <w:tbl>
      <w:tblPr>
        <w:tblW w:w="9450" w:type="dxa"/>
        <w:tblInd w:w="108" w:type="dxa"/>
        <w:tblLayout w:type="fixed"/>
        <w:tblLook w:val="0000" w:firstRow="0" w:lastRow="0" w:firstColumn="0" w:lastColumn="0" w:noHBand="0" w:noVBand="0"/>
      </w:tblPr>
      <w:tblGrid>
        <w:gridCol w:w="4410"/>
        <w:gridCol w:w="1680"/>
        <w:gridCol w:w="1680"/>
        <w:gridCol w:w="1680"/>
      </w:tblGrid>
      <w:tr w:rsidR="00F11CA6" w:rsidRPr="002D2F67" w14:paraId="736A8279" w14:textId="77777777" w:rsidTr="008255E8">
        <w:tc>
          <w:tcPr>
            <w:tcW w:w="4410" w:type="dxa"/>
            <w:shd w:val="clear" w:color="auto" w:fill="auto"/>
            <w:vAlign w:val="bottom"/>
          </w:tcPr>
          <w:p w14:paraId="26604F14" w14:textId="77777777" w:rsidR="00F11CA6" w:rsidRPr="002D2F67" w:rsidRDefault="00F11CA6" w:rsidP="005611FE">
            <w:pPr>
              <w:tabs>
                <w:tab w:val="left" w:pos="1134"/>
                <w:tab w:val="left" w:pos="1276"/>
                <w:tab w:val="center" w:pos="3402"/>
                <w:tab w:val="center" w:pos="4536"/>
                <w:tab w:val="center" w:pos="5670"/>
                <w:tab w:val="center" w:pos="6804"/>
                <w:tab w:val="right" w:pos="7655"/>
              </w:tabs>
              <w:ind w:left="101" w:right="-72" w:hanging="187"/>
              <w:rPr>
                <w:rFonts w:ascii="Arial" w:hAnsi="Arial" w:cs="Arial"/>
                <w:b/>
                <w:bCs/>
                <w:color w:val="000000"/>
                <w:sz w:val="20"/>
                <w:szCs w:val="20"/>
              </w:rPr>
            </w:pPr>
          </w:p>
        </w:tc>
        <w:tc>
          <w:tcPr>
            <w:tcW w:w="5040" w:type="dxa"/>
            <w:gridSpan w:val="3"/>
            <w:tcBorders>
              <w:bottom w:val="single" w:sz="4" w:space="0" w:color="auto"/>
            </w:tcBorders>
            <w:shd w:val="clear" w:color="auto" w:fill="auto"/>
            <w:vAlign w:val="bottom"/>
          </w:tcPr>
          <w:p w14:paraId="57C6745A" w14:textId="77777777" w:rsidR="00F11CA6" w:rsidRPr="002D2F67" w:rsidRDefault="00F11CA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Separate financial statements</w:t>
            </w:r>
          </w:p>
        </w:tc>
      </w:tr>
      <w:tr w:rsidR="00F11CA6" w:rsidRPr="002D2F67" w14:paraId="408CDFFF" w14:textId="77777777" w:rsidTr="005611FE">
        <w:tc>
          <w:tcPr>
            <w:tcW w:w="4410" w:type="dxa"/>
            <w:shd w:val="clear" w:color="auto" w:fill="auto"/>
            <w:vAlign w:val="bottom"/>
          </w:tcPr>
          <w:p w14:paraId="581C5DBB" w14:textId="77777777" w:rsidR="00F11CA6" w:rsidRPr="002D2F67" w:rsidRDefault="00F11CA6" w:rsidP="005611FE">
            <w:pPr>
              <w:tabs>
                <w:tab w:val="left" w:pos="1134"/>
                <w:tab w:val="left" w:pos="1276"/>
                <w:tab w:val="center" w:pos="3402"/>
                <w:tab w:val="center" w:pos="4536"/>
                <w:tab w:val="center" w:pos="5670"/>
                <w:tab w:val="center" w:pos="6804"/>
                <w:tab w:val="right" w:pos="7655"/>
              </w:tabs>
              <w:ind w:left="101" w:right="-72" w:hanging="187"/>
              <w:rPr>
                <w:rFonts w:ascii="Arial" w:hAnsi="Arial" w:cs="Arial"/>
                <w:b/>
                <w:bCs/>
                <w:color w:val="000000"/>
                <w:sz w:val="20"/>
                <w:szCs w:val="20"/>
              </w:rPr>
            </w:pPr>
          </w:p>
        </w:tc>
        <w:tc>
          <w:tcPr>
            <w:tcW w:w="1680" w:type="dxa"/>
            <w:tcBorders>
              <w:top w:val="single" w:sz="4" w:space="0" w:color="auto"/>
            </w:tcBorders>
            <w:shd w:val="clear" w:color="auto" w:fill="auto"/>
            <w:vAlign w:val="bottom"/>
          </w:tcPr>
          <w:p w14:paraId="0F80DDC6" w14:textId="7744324A" w:rsidR="00F11CA6" w:rsidRPr="002D2F67" w:rsidRDefault="00A31D30" w:rsidP="005611FE">
            <w:pPr>
              <w:ind w:right="-72"/>
              <w:jc w:val="right"/>
              <w:rPr>
                <w:rFonts w:ascii="Arial" w:hAnsi="Arial" w:cs="Arial"/>
                <w:b/>
                <w:bCs/>
                <w:color w:val="000000"/>
                <w:sz w:val="20"/>
                <w:szCs w:val="20"/>
              </w:rPr>
            </w:pPr>
            <w:r w:rsidRPr="002D2F67">
              <w:rPr>
                <w:rFonts w:ascii="Arial" w:hAnsi="Arial" w:cs="Arial"/>
                <w:b/>
                <w:bCs/>
                <w:color w:val="000000"/>
                <w:sz w:val="20"/>
                <w:szCs w:val="20"/>
              </w:rPr>
              <w:t>Lease receivables</w:t>
            </w:r>
          </w:p>
        </w:tc>
        <w:tc>
          <w:tcPr>
            <w:tcW w:w="1680" w:type="dxa"/>
            <w:tcBorders>
              <w:top w:val="single" w:sz="4" w:space="0" w:color="auto"/>
            </w:tcBorders>
            <w:shd w:val="clear" w:color="auto" w:fill="auto"/>
            <w:vAlign w:val="bottom"/>
          </w:tcPr>
          <w:p w14:paraId="5DC8A4A8" w14:textId="617F0FBD" w:rsidR="00F11CA6" w:rsidRPr="002D2F67" w:rsidRDefault="00F11CA6" w:rsidP="005611FE">
            <w:pPr>
              <w:ind w:right="-72"/>
              <w:jc w:val="right"/>
              <w:rPr>
                <w:rFonts w:ascii="Arial" w:hAnsi="Arial" w:cs="Arial"/>
                <w:b/>
                <w:bCs/>
                <w:color w:val="000000"/>
                <w:sz w:val="20"/>
                <w:szCs w:val="20"/>
              </w:rPr>
            </w:pPr>
            <w:r w:rsidRPr="002D2F67">
              <w:rPr>
                <w:rFonts w:ascii="Arial" w:hAnsi="Arial" w:cs="Arial"/>
                <w:b/>
                <w:bCs/>
                <w:color w:val="000000"/>
                <w:sz w:val="20"/>
                <w:szCs w:val="20"/>
              </w:rPr>
              <w:t>Right</w:t>
            </w:r>
            <w:r w:rsidR="00A16E9B" w:rsidRPr="002D2F67">
              <w:rPr>
                <w:rFonts w:ascii="Arial" w:hAnsi="Arial" w:cs="Arial"/>
                <w:b/>
                <w:bCs/>
                <w:color w:val="000000"/>
                <w:sz w:val="20"/>
                <w:szCs w:val="20"/>
              </w:rPr>
              <w:t>-</w:t>
            </w:r>
            <w:r w:rsidRPr="002D2F67">
              <w:rPr>
                <w:rFonts w:ascii="Arial" w:hAnsi="Arial" w:cs="Arial"/>
                <w:b/>
                <w:bCs/>
                <w:color w:val="000000"/>
                <w:sz w:val="20"/>
                <w:szCs w:val="20"/>
              </w:rPr>
              <w:t>of</w:t>
            </w:r>
            <w:r w:rsidR="00A16E9B" w:rsidRPr="002D2F67">
              <w:rPr>
                <w:rFonts w:ascii="Arial" w:hAnsi="Arial" w:cs="Arial"/>
                <w:b/>
                <w:bCs/>
                <w:color w:val="000000"/>
                <w:sz w:val="20"/>
                <w:szCs w:val="20"/>
              </w:rPr>
              <w:t>-</w:t>
            </w:r>
            <w:r w:rsidRPr="002D2F67">
              <w:rPr>
                <w:rFonts w:ascii="Arial" w:hAnsi="Arial" w:cs="Arial"/>
                <w:b/>
                <w:bCs/>
                <w:color w:val="000000"/>
                <w:sz w:val="20"/>
                <w:szCs w:val="20"/>
              </w:rPr>
              <w:t>use assets</w:t>
            </w:r>
          </w:p>
        </w:tc>
        <w:tc>
          <w:tcPr>
            <w:tcW w:w="1680" w:type="dxa"/>
            <w:tcBorders>
              <w:top w:val="single" w:sz="4" w:space="0" w:color="auto"/>
            </w:tcBorders>
            <w:shd w:val="clear" w:color="auto" w:fill="auto"/>
            <w:vAlign w:val="bottom"/>
          </w:tcPr>
          <w:p w14:paraId="7561B5EB" w14:textId="77777777" w:rsidR="00F11CA6" w:rsidRPr="002D2F67" w:rsidRDefault="00F11CA6"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 Total</w:t>
            </w:r>
          </w:p>
        </w:tc>
      </w:tr>
      <w:tr w:rsidR="00F11CA6" w:rsidRPr="002D2F67" w14:paraId="0D7BFAF0" w14:textId="77777777" w:rsidTr="005611FE">
        <w:tc>
          <w:tcPr>
            <w:tcW w:w="4410" w:type="dxa"/>
            <w:shd w:val="clear" w:color="auto" w:fill="auto"/>
            <w:vAlign w:val="bottom"/>
          </w:tcPr>
          <w:p w14:paraId="777A1B91" w14:textId="77777777" w:rsidR="00F11CA6" w:rsidRPr="002D2F67" w:rsidRDefault="00F11CA6" w:rsidP="005611FE">
            <w:pPr>
              <w:tabs>
                <w:tab w:val="left" w:pos="1134"/>
                <w:tab w:val="left" w:pos="1276"/>
                <w:tab w:val="center" w:pos="3402"/>
                <w:tab w:val="center" w:pos="4536"/>
                <w:tab w:val="center" w:pos="5670"/>
                <w:tab w:val="center" w:pos="6804"/>
                <w:tab w:val="right" w:pos="7655"/>
              </w:tabs>
              <w:ind w:left="101" w:right="-72" w:hanging="187"/>
              <w:rPr>
                <w:rFonts w:ascii="Arial" w:hAnsi="Arial" w:cs="Arial"/>
                <w:b/>
                <w:bCs/>
                <w:color w:val="000000"/>
                <w:sz w:val="20"/>
                <w:szCs w:val="20"/>
              </w:rPr>
            </w:pPr>
          </w:p>
        </w:tc>
        <w:tc>
          <w:tcPr>
            <w:tcW w:w="1680" w:type="dxa"/>
            <w:tcBorders>
              <w:bottom w:val="single" w:sz="4" w:space="0" w:color="auto"/>
            </w:tcBorders>
            <w:shd w:val="clear" w:color="auto" w:fill="auto"/>
            <w:vAlign w:val="bottom"/>
          </w:tcPr>
          <w:p w14:paraId="22807307" w14:textId="47FBAB7B" w:rsidR="00F11CA6" w:rsidRPr="002D2F67" w:rsidRDefault="00856CAD"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680" w:type="dxa"/>
            <w:tcBorders>
              <w:bottom w:val="single" w:sz="4" w:space="0" w:color="auto"/>
            </w:tcBorders>
            <w:shd w:val="clear" w:color="auto" w:fill="auto"/>
          </w:tcPr>
          <w:p w14:paraId="34C99601" w14:textId="7E204013" w:rsidR="00F11CA6" w:rsidRPr="002D2F67" w:rsidRDefault="00856CAD"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680" w:type="dxa"/>
            <w:tcBorders>
              <w:bottom w:val="single" w:sz="4" w:space="0" w:color="auto"/>
            </w:tcBorders>
            <w:shd w:val="clear" w:color="auto" w:fill="auto"/>
            <w:vAlign w:val="bottom"/>
          </w:tcPr>
          <w:p w14:paraId="348C82A0" w14:textId="0DBA3EE7" w:rsidR="00F11CA6" w:rsidRPr="002D2F67" w:rsidRDefault="00856CAD"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F11CA6" w:rsidRPr="002D2F67" w14:paraId="52E1E470" w14:textId="77777777" w:rsidTr="005611FE">
        <w:tc>
          <w:tcPr>
            <w:tcW w:w="4410" w:type="dxa"/>
            <w:shd w:val="clear" w:color="auto" w:fill="auto"/>
            <w:vAlign w:val="bottom"/>
          </w:tcPr>
          <w:p w14:paraId="68566F40" w14:textId="77777777" w:rsidR="00F11CA6" w:rsidRPr="002D2F67" w:rsidRDefault="00F11CA6" w:rsidP="005611FE">
            <w:pPr>
              <w:tabs>
                <w:tab w:val="left" w:pos="1134"/>
                <w:tab w:val="left" w:pos="1276"/>
                <w:tab w:val="center" w:pos="3402"/>
                <w:tab w:val="center" w:pos="4536"/>
                <w:tab w:val="center" w:pos="5670"/>
                <w:tab w:val="center" w:pos="6804"/>
                <w:tab w:val="right" w:pos="7655"/>
              </w:tabs>
              <w:ind w:left="101" w:right="-72" w:hanging="187"/>
              <w:rPr>
                <w:rFonts w:ascii="Arial" w:hAnsi="Arial" w:cs="Arial"/>
                <w:color w:val="000000"/>
                <w:sz w:val="12"/>
                <w:szCs w:val="12"/>
              </w:rPr>
            </w:pPr>
          </w:p>
        </w:tc>
        <w:tc>
          <w:tcPr>
            <w:tcW w:w="1680" w:type="dxa"/>
            <w:tcBorders>
              <w:top w:val="single" w:sz="4" w:space="0" w:color="auto"/>
            </w:tcBorders>
            <w:shd w:val="clear" w:color="auto" w:fill="auto"/>
            <w:vAlign w:val="bottom"/>
          </w:tcPr>
          <w:p w14:paraId="56F6CE94" w14:textId="77777777" w:rsidR="00F11CA6" w:rsidRPr="002D2F67" w:rsidRDefault="00F11CA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2"/>
                <w:szCs w:val="12"/>
              </w:rPr>
            </w:pPr>
          </w:p>
        </w:tc>
        <w:tc>
          <w:tcPr>
            <w:tcW w:w="1680" w:type="dxa"/>
            <w:tcBorders>
              <w:top w:val="single" w:sz="4" w:space="0" w:color="auto"/>
            </w:tcBorders>
            <w:shd w:val="clear" w:color="auto" w:fill="auto"/>
          </w:tcPr>
          <w:p w14:paraId="555FE5EC" w14:textId="77777777" w:rsidR="00F11CA6" w:rsidRPr="002D2F67" w:rsidRDefault="00F11CA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2"/>
                <w:szCs w:val="12"/>
              </w:rPr>
            </w:pPr>
          </w:p>
        </w:tc>
        <w:tc>
          <w:tcPr>
            <w:tcW w:w="1680" w:type="dxa"/>
            <w:tcBorders>
              <w:top w:val="single" w:sz="4" w:space="0" w:color="auto"/>
            </w:tcBorders>
            <w:shd w:val="clear" w:color="auto" w:fill="auto"/>
            <w:vAlign w:val="bottom"/>
          </w:tcPr>
          <w:p w14:paraId="5B0466A0" w14:textId="77777777" w:rsidR="00F11CA6" w:rsidRPr="002D2F67" w:rsidRDefault="00F11CA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2"/>
                <w:szCs w:val="12"/>
              </w:rPr>
            </w:pPr>
          </w:p>
        </w:tc>
      </w:tr>
      <w:tr w:rsidR="00F11CA6" w:rsidRPr="002D2F67" w14:paraId="1C7C2A96" w14:textId="77777777" w:rsidTr="005611FE">
        <w:tc>
          <w:tcPr>
            <w:tcW w:w="4410" w:type="dxa"/>
            <w:shd w:val="clear" w:color="auto" w:fill="auto"/>
            <w:vAlign w:val="bottom"/>
          </w:tcPr>
          <w:p w14:paraId="3F056E23" w14:textId="77777777" w:rsidR="00F11CA6" w:rsidRPr="002D2F67" w:rsidRDefault="00F11CA6" w:rsidP="005611FE">
            <w:pPr>
              <w:pStyle w:val="Header"/>
              <w:tabs>
                <w:tab w:val="left" w:pos="1134"/>
                <w:tab w:val="left" w:pos="1276"/>
                <w:tab w:val="center" w:pos="3402"/>
                <w:tab w:val="center" w:pos="5670"/>
                <w:tab w:val="center" w:pos="6804"/>
                <w:tab w:val="right" w:pos="7655"/>
              </w:tabs>
              <w:ind w:left="101" w:right="-72" w:hanging="187"/>
              <w:jc w:val="left"/>
              <w:rPr>
                <w:rFonts w:ascii="Arial" w:hAnsi="Arial" w:cs="Arial"/>
                <w:b/>
                <w:bCs/>
                <w:color w:val="000000"/>
                <w:sz w:val="20"/>
                <w:szCs w:val="20"/>
              </w:rPr>
            </w:pPr>
            <w:r w:rsidRPr="002D2F67">
              <w:rPr>
                <w:rFonts w:ascii="Arial" w:hAnsi="Arial" w:cs="Arial"/>
                <w:b/>
                <w:bCs/>
                <w:color w:val="000000"/>
                <w:sz w:val="20"/>
                <w:szCs w:val="20"/>
              </w:rPr>
              <w:t>Deferred tax liabilities</w:t>
            </w:r>
          </w:p>
        </w:tc>
        <w:tc>
          <w:tcPr>
            <w:tcW w:w="1680" w:type="dxa"/>
            <w:shd w:val="clear" w:color="auto" w:fill="auto"/>
            <w:vAlign w:val="bottom"/>
          </w:tcPr>
          <w:p w14:paraId="4E5EF933" w14:textId="77777777" w:rsidR="00F11CA6" w:rsidRPr="002D2F67" w:rsidRDefault="00F11CA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680" w:type="dxa"/>
            <w:shd w:val="clear" w:color="auto" w:fill="auto"/>
          </w:tcPr>
          <w:p w14:paraId="2C8AF41E" w14:textId="77777777" w:rsidR="00F11CA6" w:rsidRPr="002D2F67" w:rsidRDefault="00F11CA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680" w:type="dxa"/>
            <w:shd w:val="clear" w:color="auto" w:fill="auto"/>
            <w:vAlign w:val="bottom"/>
          </w:tcPr>
          <w:p w14:paraId="69C3ED86" w14:textId="77777777" w:rsidR="00F11CA6" w:rsidRPr="002D2F67" w:rsidRDefault="00F11CA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F11CA6" w:rsidRPr="002D2F67" w14:paraId="0E0CE75A" w14:textId="77777777" w:rsidTr="005611FE">
        <w:tc>
          <w:tcPr>
            <w:tcW w:w="4410" w:type="dxa"/>
            <w:shd w:val="clear" w:color="auto" w:fill="auto"/>
            <w:vAlign w:val="bottom"/>
          </w:tcPr>
          <w:p w14:paraId="627A8E76" w14:textId="77777777" w:rsidR="00F11CA6" w:rsidRPr="002D2F67" w:rsidRDefault="00F11CA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2"/>
                <w:szCs w:val="12"/>
              </w:rPr>
            </w:pPr>
          </w:p>
        </w:tc>
        <w:tc>
          <w:tcPr>
            <w:tcW w:w="1680" w:type="dxa"/>
            <w:shd w:val="clear" w:color="auto" w:fill="auto"/>
            <w:vAlign w:val="bottom"/>
          </w:tcPr>
          <w:p w14:paraId="12B83A22" w14:textId="77777777" w:rsidR="00F11CA6" w:rsidRPr="002D2F67" w:rsidRDefault="00F11CA6" w:rsidP="005611FE">
            <w:pPr>
              <w:pStyle w:val="Header"/>
              <w:ind w:right="-72"/>
              <w:jc w:val="right"/>
              <w:rPr>
                <w:rFonts w:ascii="Arial" w:hAnsi="Arial" w:cs="Arial"/>
                <w:color w:val="000000"/>
                <w:sz w:val="12"/>
                <w:szCs w:val="12"/>
              </w:rPr>
            </w:pPr>
          </w:p>
        </w:tc>
        <w:tc>
          <w:tcPr>
            <w:tcW w:w="1680" w:type="dxa"/>
            <w:shd w:val="clear" w:color="auto" w:fill="auto"/>
          </w:tcPr>
          <w:p w14:paraId="409AE818" w14:textId="77777777" w:rsidR="00F11CA6" w:rsidRPr="002D2F67" w:rsidRDefault="00F11CA6" w:rsidP="005611FE">
            <w:pPr>
              <w:pStyle w:val="Header"/>
              <w:ind w:right="-72"/>
              <w:jc w:val="right"/>
              <w:rPr>
                <w:rFonts w:ascii="Arial" w:hAnsi="Arial" w:cs="Arial"/>
                <w:color w:val="000000"/>
                <w:sz w:val="12"/>
                <w:szCs w:val="12"/>
              </w:rPr>
            </w:pPr>
          </w:p>
        </w:tc>
        <w:tc>
          <w:tcPr>
            <w:tcW w:w="1680" w:type="dxa"/>
            <w:shd w:val="clear" w:color="auto" w:fill="auto"/>
            <w:vAlign w:val="bottom"/>
          </w:tcPr>
          <w:p w14:paraId="11C6ADF9" w14:textId="77777777" w:rsidR="00F11CA6" w:rsidRPr="002D2F67" w:rsidRDefault="00F11CA6" w:rsidP="005611FE">
            <w:pPr>
              <w:pStyle w:val="Header"/>
              <w:ind w:right="-72"/>
              <w:jc w:val="right"/>
              <w:rPr>
                <w:rFonts w:ascii="Arial" w:hAnsi="Arial" w:cs="Arial"/>
                <w:color w:val="000000"/>
                <w:sz w:val="12"/>
                <w:szCs w:val="12"/>
              </w:rPr>
            </w:pPr>
          </w:p>
        </w:tc>
      </w:tr>
      <w:tr w:rsidR="006D247B" w:rsidRPr="002D2F67" w14:paraId="7A7C5642" w14:textId="77777777" w:rsidTr="005611FE">
        <w:tc>
          <w:tcPr>
            <w:tcW w:w="4410" w:type="dxa"/>
            <w:shd w:val="clear" w:color="auto" w:fill="auto"/>
            <w:vAlign w:val="bottom"/>
          </w:tcPr>
          <w:p w14:paraId="20141C86" w14:textId="24DB0930" w:rsidR="006D247B" w:rsidRPr="002D2F67" w:rsidRDefault="006D247B" w:rsidP="005611FE">
            <w:pPr>
              <w:pStyle w:val="Header"/>
              <w:tabs>
                <w:tab w:val="clear" w:pos="4320"/>
                <w:tab w:val="clear" w:pos="8640"/>
                <w:tab w:val="left" w:pos="2663"/>
              </w:tabs>
              <w:ind w:left="101" w:right="-72" w:hanging="187"/>
              <w:jc w:val="left"/>
              <w:rPr>
                <w:rFonts w:ascii="Arial" w:hAnsi="Arial" w:cs="Arial"/>
                <w:color w:val="000000"/>
                <w:spacing w:val="-10"/>
                <w:sz w:val="20"/>
                <w:szCs w:val="20"/>
              </w:rPr>
            </w:pPr>
            <w:r w:rsidRPr="002D2F67">
              <w:rPr>
                <w:rFonts w:ascii="Arial" w:hAnsi="Arial" w:cs="Arial"/>
                <w:color w:val="000000"/>
                <w:sz w:val="20"/>
                <w:szCs w:val="20"/>
              </w:rPr>
              <w:t xml:space="preserve">As </w:t>
            </w:r>
            <w:proofErr w:type="gramStart"/>
            <w:r w:rsidRPr="002D2F67">
              <w:rPr>
                <w:rFonts w:ascii="Arial" w:hAnsi="Arial" w:cs="Arial"/>
                <w:color w:val="000000"/>
                <w:sz w:val="20"/>
                <w:szCs w:val="20"/>
              </w:rPr>
              <w:t>at</w:t>
            </w:r>
            <w:proofErr w:type="gramEnd"/>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1</w:t>
            </w:r>
            <w:r w:rsidRPr="002D2F67">
              <w:rPr>
                <w:rFonts w:ascii="Arial" w:hAnsi="Arial" w:cs="Arial"/>
                <w:color w:val="000000"/>
                <w:sz w:val="20"/>
                <w:szCs w:val="20"/>
              </w:rPr>
              <w:t xml:space="preserve"> January </w:t>
            </w:r>
            <w:r w:rsidR="00CD5714" w:rsidRPr="00CD5714">
              <w:rPr>
                <w:rFonts w:ascii="Arial" w:hAnsi="Arial" w:cs="Arial"/>
                <w:color w:val="000000"/>
                <w:sz w:val="20"/>
                <w:szCs w:val="20"/>
                <w:lang w:val="en-GB"/>
              </w:rPr>
              <w:t>2023</w:t>
            </w:r>
          </w:p>
        </w:tc>
        <w:tc>
          <w:tcPr>
            <w:tcW w:w="1680" w:type="dxa"/>
            <w:shd w:val="clear" w:color="auto" w:fill="auto"/>
          </w:tcPr>
          <w:p w14:paraId="3E96F654" w14:textId="5816F577" w:rsidR="006D247B"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4</w:t>
            </w:r>
            <w:r w:rsidR="006D247B" w:rsidRPr="002D2F67">
              <w:rPr>
                <w:rFonts w:ascii="Arial" w:hAnsi="Arial" w:cs="Arial"/>
                <w:color w:val="000000"/>
                <w:sz w:val="20"/>
                <w:szCs w:val="20"/>
              </w:rPr>
              <w:t>,</w:t>
            </w:r>
            <w:r w:rsidRPr="00CD5714">
              <w:rPr>
                <w:rFonts w:ascii="Arial" w:hAnsi="Arial" w:cs="Arial"/>
                <w:color w:val="000000"/>
                <w:sz w:val="20"/>
                <w:szCs w:val="20"/>
                <w:lang w:val="en-GB"/>
              </w:rPr>
              <w:t>162</w:t>
            </w:r>
          </w:p>
        </w:tc>
        <w:tc>
          <w:tcPr>
            <w:tcW w:w="1680" w:type="dxa"/>
            <w:shd w:val="clear" w:color="auto" w:fill="auto"/>
          </w:tcPr>
          <w:p w14:paraId="4074D074" w14:textId="6EA2CB57" w:rsidR="006D247B"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56</w:t>
            </w:r>
            <w:r w:rsidR="006D247B" w:rsidRPr="002D2F67">
              <w:rPr>
                <w:rFonts w:ascii="Arial" w:hAnsi="Arial" w:cs="Arial"/>
                <w:color w:val="000000"/>
                <w:sz w:val="20"/>
                <w:szCs w:val="20"/>
              </w:rPr>
              <w:t>,</w:t>
            </w:r>
            <w:r w:rsidRPr="00CD5714">
              <w:rPr>
                <w:rFonts w:ascii="Arial" w:hAnsi="Arial" w:cs="Arial"/>
                <w:color w:val="000000"/>
                <w:sz w:val="20"/>
                <w:szCs w:val="20"/>
                <w:lang w:val="en-GB"/>
              </w:rPr>
              <w:t>234</w:t>
            </w:r>
          </w:p>
        </w:tc>
        <w:tc>
          <w:tcPr>
            <w:tcW w:w="1680" w:type="dxa"/>
            <w:shd w:val="clear" w:color="auto" w:fill="auto"/>
          </w:tcPr>
          <w:p w14:paraId="5C6DC71C" w14:textId="0BC48A5D" w:rsidR="006D247B"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60</w:t>
            </w:r>
            <w:r w:rsidR="006D247B" w:rsidRPr="002D2F67">
              <w:rPr>
                <w:rFonts w:ascii="Arial" w:hAnsi="Arial" w:cs="Arial"/>
                <w:color w:val="000000"/>
                <w:sz w:val="20"/>
                <w:szCs w:val="20"/>
              </w:rPr>
              <w:t>,</w:t>
            </w:r>
            <w:r w:rsidRPr="00CD5714">
              <w:rPr>
                <w:rFonts w:ascii="Arial" w:hAnsi="Arial" w:cs="Arial"/>
                <w:color w:val="000000"/>
                <w:sz w:val="20"/>
                <w:szCs w:val="20"/>
                <w:lang w:val="en-GB"/>
              </w:rPr>
              <w:t>396</w:t>
            </w:r>
          </w:p>
        </w:tc>
      </w:tr>
      <w:tr w:rsidR="006D247B" w:rsidRPr="002D2F67" w14:paraId="256FD976" w14:textId="77777777" w:rsidTr="005611FE">
        <w:tc>
          <w:tcPr>
            <w:tcW w:w="4410" w:type="dxa"/>
            <w:shd w:val="clear" w:color="auto" w:fill="auto"/>
            <w:vAlign w:val="bottom"/>
          </w:tcPr>
          <w:p w14:paraId="0F06210F" w14:textId="2AC41378" w:rsidR="006D247B" w:rsidRPr="002D2F67" w:rsidRDefault="006D247B" w:rsidP="005611FE">
            <w:pPr>
              <w:pStyle w:val="Header"/>
              <w:ind w:left="101" w:right="-72" w:hanging="187"/>
              <w:jc w:val="left"/>
              <w:rPr>
                <w:rFonts w:ascii="Arial" w:hAnsi="Arial" w:cs="Arial"/>
                <w:color w:val="000000"/>
                <w:sz w:val="20"/>
                <w:szCs w:val="20"/>
              </w:rPr>
            </w:pPr>
            <w:r w:rsidRPr="002D2F67">
              <w:rPr>
                <w:rFonts w:ascii="Arial" w:hAnsi="Arial" w:cs="Arial"/>
                <w:color w:val="000000"/>
                <w:sz w:val="20"/>
                <w:szCs w:val="20"/>
              </w:rPr>
              <w:t>Tax credited to profit or loss</w:t>
            </w:r>
          </w:p>
        </w:tc>
        <w:tc>
          <w:tcPr>
            <w:tcW w:w="1680" w:type="dxa"/>
            <w:tcBorders>
              <w:bottom w:val="single" w:sz="4" w:space="0" w:color="auto"/>
            </w:tcBorders>
            <w:shd w:val="clear" w:color="auto" w:fill="auto"/>
          </w:tcPr>
          <w:p w14:paraId="792EF252" w14:textId="52BC3DA3" w:rsidR="006D247B" w:rsidRPr="002D2F67" w:rsidRDefault="006D247B" w:rsidP="005611FE">
            <w:pPr>
              <w:pStyle w:val="Header"/>
              <w:ind w:right="-72"/>
              <w:jc w:val="right"/>
              <w:rPr>
                <w:rFonts w:ascii="Arial" w:hAnsi="Arial" w:cs="Arial"/>
                <w:color w:val="000000"/>
                <w:sz w:val="20"/>
                <w:szCs w:val="20"/>
              </w:rPr>
            </w:pPr>
            <w:r w:rsidRPr="002D2F67">
              <w:rPr>
                <w:rFonts w:ascii="Arial" w:hAnsi="Arial" w:cs="Arial"/>
                <w:color w:val="000000"/>
                <w:sz w:val="20"/>
                <w:szCs w:val="25"/>
              </w:rPr>
              <w:t>(</w:t>
            </w:r>
            <w:r w:rsidR="00CD5714" w:rsidRPr="00CD5714">
              <w:rPr>
                <w:rFonts w:ascii="Arial" w:hAnsi="Arial" w:cs="Arial"/>
                <w:color w:val="000000"/>
                <w:sz w:val="20"/>
                <w:szCs w:val="25"/>
                <w:lang w:val="en-GB"/>
              </w:rPr>
              <w:t>217</w:t>
            </w:r>
            <w:r w:rsidRPr="002D2F67">
              <w:rPr>
                <w:rFonts w:ascii="Arial" w:hAnsi="Arial" w:cs="Arial"/>
                <w:color w:val="000000"/>
                <w:sz w:val="20"/>
                <w:szCs w:val="25"/>
              </w:rPr>
              <w:t>)</w:t>
            </w:r>
          </w:p>
        </w:tc>
        <w:tc>
          <w:tcPr>
            <w:tcW w:w="1680" w:type="dxa"/>
            <w:tcBorders>
              <w:bottom w:val="single" w:sz="4" w:space="0" w:color="auto"/>
            </w:tcBorders>
            <w:shd w:val="clear" w:color="auto" w:fill="auto"/>
            <w:vAlign w:val="bottom"/>
          </w:tcPr>
          <w:p w14:paraId="191324A2" w14:textId="33EF1B1C" w:rsidR="006D247B" w:rsidRPr="002D2F67" w:rsidRDefault="006D247B" w:rsidP="005611FE">
            <w:pPr>
              <w:pStyle w:val="Heade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5</w:t>
            </w:r>
            <w:r w:rsidRPr="002D2F67">
              <w:rPr>
                <w:rFonts w:ascii="Arial" w:hAnsi="Arial" w:cs="Arial"/>
                <w:color w:val="000000"/>
                <w:sz w:val="20"/>
                <w:szCs w:val="20"/>
              </w:rPr>
              <w:t>,</w:t>
            </w:r>
            <w:r w:rsidR="00CD5714" w:rsidRPr="00CD5714">
              <w:rPr>
                <w:rFonts w:ascii="Arial" w:hAnsi="Arial" w:cs="Arial"/>
                <w:color w:val="000000"/>
                <w:sz w:val="20"/>
                <w:szCs w:val="20"/>
                <w:lang w:val="en-GB"/>
              </w:rPr>
              <w:t>079</w:t>
            </w:r>
            <w:r w:rsidRPr="002D2F67">
              <w:rPr>
                <w:rFonts w:ascii="Arial" w:hAnsi="Arial" w:cs="Arial"/>
                <w:color w:val="000000"/>
                <w:sz w:val="20"/>
                <w:szCs w:val="20"/>
              </w:rPr>
              <w:t>)</w:t>
            </w:r>
          </w:p>
        </w:tc>
        <w:tc>
          <w:tcPr>
            <w:tcW w:w="1680" w:type="dxa"/>
            <w:tcBorders>
              <w:bottom w:val="single" w:sz="4" w:space="0" w:color="auto"/>
            </w:tcBorders>
            <w:shd w:val="clear" w:color="auto" w:fill="auto"/>
            <w:vAlign w:val="bottom"/>
          </w:tcPr>
          <w:p w14:paraId="0E71239C" w14:textId="68F447CE" w:rsidR="006D247B" w:rsidRPr="002D2F67" w:rsidRDefault="006D247B" w:rsidP="005611FE">
            <w:pPr>
              <w:pStyle w:val="Heade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5</w:t>
            </w:r>
            <w:r w:rsidRPr="002D2F67">
              <w:rPr>
                <w:rFonts w:ascii="Arial" w:hAnsi="Arial" w:cs="Arial"/>
                <w:color w:val="000000"/>
                <w:sz w:val="20"/>
                <w:szCs w:val="20"/>
              </w:rPr>
              <w:t>,</w:t>
            </w:r>
            <w:r w:rsidR="00CD5714" w:rsidRPr="00CD5714">
              <w:rPr>
                <w:rFonts w:ascii="Arial" w:hAnsi="Arial" w:cs="Arial"/>
                <w:color w:val="000000"/>
                <w:sz w:val="20"/>
                <w:szCs w:val="20"/>
                <w:lang w:val="en-GB"/>
              </w:rPr>
              <w:t>296</w:t>
            </w:r>
            <w:r w:rsidRPr="002D2F67">
              <w:rPr>
                <w:rFonts w:ascii="Arial" w:hAnsi="Arial" w:cs="Arial"/>
                <w:color w:val="000000"/>
                <w:sz w:val="20"/>
                <w:szCs w:val="20"/>
              </w:rPr>
              <w:t>)</w:t>
            </w:r>
          </w:p>
        </w:tc>
      </w:tr>
      <w:tr w:rsidR="006D247B" w:rsidRPr="002D2F67" w14:paraId="5D2ADA50" w14:textId="77777777" w:rsidTr="005611FE">
        <w:tc>
          <w:tcPr>
            <w:tcW w:w="4410" w:type="dxa"/>
            <w:shd w:val="clear" w:color="auto" w:fill="auto"/>
            <w:vAlign w:val="bottom"/>
          </w:tcPr>
          <w:p w14:paraId="4EF649C6" w14:textId="77777777" w:rsidR="006D247B" w:rsidRPr="002D2F67" w:rsidRDefault="006D247B" w:rsidP="005611FE">
            <w:pPr>
              <w:pStyle w:val="Header"/>
              <w:ind w:left="101" w:right="-72" w:hanging="187"/>
              <w:jc w:val="left"/>
              <w:rPr>
                <w:rFonts w:ascii="Arial" w:hAnsi="Arial" w:cs="Arial"/>
                <w:color w:val="000000"/>
                <w:sz w:val="12"/>
                <w:szCs w:val="12"/>
              </w:rPr>
            </w:pPr>
          </w:p>
        </w:tc>
        <w:tc>
          <w:tcPr>
            <w:tcW w:w="1680" w:type="dxa"/>
            <w:tcBorders>
              <w:top w:val="single" w:sz="4" w:space="0" w:color="auto"/>
            </w:tcBorders>
            <w:shd w:val="clear" w:color="auto" w:fill="auto"/>
            <w:vAlign w:val="bottom"/>
          </w:tcPr>
          <w:p w14:paraId="59791CD3" w14:textId="126B3EB3" w:rsidR="006D247B" w:rsidRPr="002D2F67" w:rsidRDefault="006D247B" w:rsidP="005611FE">
            <w:pPr>
              <w:pStyle w:val="Header"/>
              <w:ind w:right="-72"/>
              <w:jc w:val="right"/>
              <w:rPr>
                <w:rFonts w:ascii="Arial" w:hAnsi="Arial" w:cs="Arial"/>
                <w:color w:val="000000"/>
                <w:sz w:val="12"/>
                <w:szCs w:val="12"/>
              </w:rPr>
            </w:pPr>
          </w:p>
        </w:tc>
        <w:tc>
          <w:tcPr>
            <w:tcW w:w="1680" w:type="dxa"/>
            <w:tcBorders>
              <w:top w:val="single" w:sz="4" w:space="0" w:color="auto"/>
            </w:tcBorders>
            <w:shd w:val="clear" w:color="auto" w:fill="auto"/>
          </w:tcPr>
          <w:p w14:paraId="1653BA13" w14:textId="6565EE13" w:rsidR="006D247B" w:rsidRPr="002D2F67" w:rsidRDefault="006D247B" w:rsidP="005611FE">
            <w:pPr>
              <w:pStyle w:val="Header"/>
              <w:ind w:right="-72"/>
              <w:jc w:val="right"/>
              <w:rPr>
                <w:rFonts w:ascii="Arial" w:hAnsi="Arial" w:cs="Arial"/>
                <w:color w:val="000000"/>
                <w:sz w:val="12"/>
                <w:szCs w:val="12"/>
              </w:rPr>
            </w:pPr>
          </w:p>
        </w:tc>
        <w:tc>
          <w:tcPr>
            <w:tcW w:w="1680" w:type="dxa"/>
            <w:tcBorders>
              <w:top w:val="single" w:sz="4" w:space="0" w:color="auto"/>
            </w:tcBorders>
            <w:shd w:val="clear" w:color="auto" w:fill="auto"/>
            <w:vAlign w:val="bottom"/>
          </w:tcPr>
          <w:p w14:paraId="25162234" w14:textId="025080B2" w:rsidR="006D247B" w:rsidRPr="002D2F67" w:rsidRDefault="006D247B" w:rsidP="005611FE">
            <w:pPr>
              <w:pStyle w:val="Header"/>
              <w:ind w:right="-72"/>
              <w:jc w:val="right"/>
              <w:rPr>
                <w:rFonts w:ascii="Arial" w:hAnsi="Arial" w:cs="Arial"/>
                <w:color w:val="000000"/>
                <w:sz w:val="12"/>
                <w:szCs w:val="12"/>
              </w:rPr>
            </w:pPr>
          </w:p>
        </w:tc>
      </w:tr>
      <w:tr w:rsidR="006D247B" w:rsidRPr="002D2F67" w14:paraId="5D321798" w14:textId="77777777" w:rsidTr="005611FE">
        <w:tc>
          <w:tcPr>
            <w:tcW w:w="4410" w:type="dxa"/>
            <w:shd w:val="clear" w:color="auto" w:fill="auto"/>
            <w:vAlign w:val="bottom"/>
          </w:tcPr>
          <w:p w14:paraId="50061C75" w14:textId="2CCFBED1" w:rsidR="006D247B" w:rsidRPr="002D2F67" w:rsidRDefault="006D247B" w:rsidP="005611FE">
            <w:pPr>
              <w:pStyle w:val="Header"/>
              <w:ind w:left="101" w:right="-72" w:hanging="187"/>
              <w:jc w:val="left"/>
              <w:rPr>
                <w:rFonts w:ascii="Arial" w:hAnsi="Arial" w:cs="Arial"/>
                <w:color w:val="000000"/>
                <w:sz w:val="20"/>
                <w:szCs w:val="20"/>
              </w:rPr>
            </w:pPr>
            <w:r w:rsidRPr="002D2F67">
              <w:rPr>
                <w:rFonts w:ascii="Arial" w:hAnsi="Arial" w:cs="Arial"/>
                <w:color w:val="000000"/>
                <w:sz w:val="20"/>
                <w:szCs w:val="20"/>
              </w:rPr>
              <w:t xml:space="preserve">As </w:t>
            </w:r>
            <w:proofErr w:type="gramStart"/>
            <w:r w:rsidRPr="002D2F67">
              <w:rPr>
                <w:rFonts w:ascii="Arial" w:hAnsi="Arial" w:cs="Arial"/>
                <w:color w:val="000000"/>
                <w:sz w:val="20"/>
                <w:szCs w:val="20"/>
              </w:rPr>
              <w:t>at</w:t>
            </w:r>
            <w:proofErr w:type="gramEnd"/>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31</w:t>
            </w:r>
            <w:r w:rsidRPr="002D2F67">
              <w:rPr>
                <w:rFonts w:ascii="Arial" w:hAnsi="Arial" w:cs="Arial"/>
                <w:color w:val="000000"/>
                <w:sz w:val="20"/>
                <w:szCs w:val="20"/>
              </w:rPr>
              <w:t xml:space="preserve"> December </w:t>
            </w:r>
            <w:r w:rsidR="00CD5714" w:rsidRPr="00CD5714">
              <w:rPr>
                <w:rFonts w:ascii="Arial" w:hAnsi="Arial" w:cs="Arial"/>
                <w:color w:val="000000"/>
                <w:sz w:val="20"/>
                <w:szCs w:val="20"/>
                <w:lang w:val="en-GB"/>
              </w:rPr>
              <w:t>2023</w:t>
            </w:r>
          </w:p>
        </w:tc>
        <w:tc>
          <w:tcPr>
            <w:tcW w:w="1680" w:type="dxa"/>
            <w:tcBorders>
              <w:bottom w:val="single" w:sz="4" w:space="0" w:color="auto"/>
            </w:tcBorders>
            <w:shd w:val="clear" w:color="auto" w:fill="auto"/>
          </w:tcPr>
          <w:p w14:paraId="157E95D7" w14:textId="343E2B1A" w:rsidR="006D247B"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3</w:t>
            </w:r>
            <w:r w:rsidR="006D247B" w:rsidRPr="002D2F67">
              <w:rPr>
                <w:rFonts w:ascii="Arial" w:hAnsi="Arial" w:cs="Arial"/>
                <w:color w:val="000000"/>
                <w:sz w:val="20"/>
                <w:szCs w:val="20"/>
              </w:rPr>
              <w:t>,</w:t>
            </w:r>
            <w:r w:rsidRPr="00CD5714">
              <w:rPr>
                <w:rFonts w:ascii="Arial" w:hAnsi="Arial" w:cs="Arial"/>
                <w:color w:val="000000"/>
                <w:sz w:val="20"/>
                <w:szCs w:val="20"/>
                <w:lang w:val="en-GB"/>
              </w:rPr>
              <w:t>945</w:t>
            </w:r>
          </w:p>
        </w:tc>
        <w:tc>
          <w:tcPr>
            <w:tcW w:w="1680" w:type="dxa"/>
            <w:tcBorders>
              <w:bottom w:val="single" w:sz="4" w:space="0" w:color="auto"/>
            </w:tcBorders>
            <w:shd w:val="clear" w:color="auto" w:fill="auto"/>
            <w:vAlign w:val="bottom"/>
          </w:tcPr>
          <w:p w14:paraId="34470AB6" w14:textId="6AC57891" w:rsidR="006D247B"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51</w:t>
            </w:r>
            <w:r w:rsidR="006D247B" w:rsidRPr="002D2F67">
              <w:rPr>
                <w:rFonts w:ascii="Arial" w:hAnsi="Arial" w:cs="Arial"/>
                <w:color w:val="000000"/>
                <w:sz w:val="20"/>
                <w:szCs w:val="20"/>
              </w:rPr>
              <w:t>,</w:t>
            </w:r>
            <w:r w:rsidRPr="00CD5714">
              <w:rPr>
                <w:rFonts w:ascii="Arial" w:hAnsi="Arial" w:cs="Arial"/>
                <w:color w:val="000000"/>
                <w:sz w:val="20"/>
                <w:szCs w:val="20"/>
                <w:lang w:val="en-GB"/>
              </w:rPr>
              <w:t>155</w:t>
            </w:r>
          </w:p>
        </w:tc>
        <w:tc>
          <w:tcPr>
            <w:tcW w:w="1680" w:type="dxa"/>
            <w:tcBorders>
              <w:bottom w:val="single" w:sz="4" w:space="0" w:color="auto"/>
            </w:tcBorders>
            <w:shd w:val="clear" w:color="auto" w:fill="auto"/>
            <w:vAlign w:val="bottom"/>
          </w:tcPr>
          <w:p w14:paraId="2472A509" w14:textId="00B335B9" w:rsidR="006D247B"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55</w:t>
            </w:r>
            <w:r w:rsidR="006D247B" w:rsidRPr="002D2F67">
              <w:rPr>
                <w:rFonts w:ascii="Arial" w:hAnsi="Arial" w:cs="Arial"/>
                <w:color w:val="000000"/>
                <w:sz w:val="20"/>
                <w:szCs w:val="20"/>
              </w:rPr>
              <w:t>,</w:t>
            </w:r>
            <w:r w:rsidRPr="00CD5714">
              <w:rPr>
                <w:rFonts w:ascii="Arial" w:hAnsi="Arial" w:cs="Arial"/>
                <w:color w:val="000000"/>
                <w:sz w:val="20"/>
                <w:szCs w:val="20"/>
                <w:lang w:val="en-GB"/>
              </w:rPr>
              <w:t>100</w:t>
            </w:r>
          </w:p>
        </w:tc>
      </w:tr>
      <w:tr w:rsidR="00425288" w:rsidRPr="002D2F67" w14:paraId="639E4D8D" w14:textId="77777777" w:rsidTr="005611FE">
        <w:tc>
          <w:tcPr>
            <w:tcW w:w="4410" w:type="dxa"/>
            <w:shd w:val="clear" w:color="auto" w:fill="auto"/>
            <w:vAlign w:val="bottom"/>
          </w:tcPr>
          <w:p w14:paraId="65C00D70" w14:textId="77777777" w:rsidR="00425288" w:rsidRPr="002D2F67" w:rsidRDefault="00425288" w:rsidP="005611FE">
            <w:pPr>
              <w:pStyle w:val="Header"/>
              <w:ind w:left="101" w:right="-72" w:hanging="187"/>
              <w:jc w:val="left"/>
              <w:rPr>
                <w:rFonts w:ascii="Arial" w:hAnsi="Arial" w:cs="Arial"/>
                <w:color w:val="000000"/>
                <w:sz w:val="12"/>
                <w:szCs w:val="12"/>
              </w:rPr>
            </w:pPr>
          </w:p>
        </w:tc>
        <w:tc>
          <w:tcPr>
            <w:tcW w:w="1680" w:type="dxa"/>
            <w:tcBorders>
              <w:top w:val="single" w:sz="4" w:space="0" w:color="auto"/>
            </w:tcBorders>
            <w:shd w:val="clear" w:color="auto" w:fill="auto"/>
            <w:vAlign w:val="bottom"/>
          </w:tcPr>
          <w:p w14:paraId="13D07F1F" w14:textId="77777777" w:rsidR="00425288" w:rsidRPr="002D2F67" w:rsidRDefault="00425288" w:rsidP="005611FE">
            <w:pPr>
              <w:pStyle w:val="Header"/>
              <w:ind w:right="-72"/>
              <w:jc w:val="right"/>
              <w:rPr>
                <w:rFonts w:ascii="Arial" w:hAnsi="Arial" w:cs="Arial"/>
                <w:color w:val="000000"/>
                <w:sz w:val="12"/>
                <w:szCs w:val="12"/>
              </w:rPr>
            </w:pPr>
          </w:p>
        </w:tc>
        <w:tc>
          <w:tcPr>
            <w:tcW w:w="1680" w:type="dxa"/>
            <w:tcBorders>
              <w:top w:val="single" w:sz="4" w:space="0" w:color="auto"/>
            </w:tcBorders>
            <w:shd w:val="clear" w:color="auto" w:fill="auto"/>
          </w:tcPr>
          <w:p w14:paraId="40A97E49" w14:textId="77777777" w:rsidR="00425288" w:rsidRPr="002D2F67" w:rsidRDefault="00425288" w:rsidP="005611FE">
            <w:pPr>
              <w:pStyle w:val="Header"/>
              <w:ind w:right="-72"/>
              <w:jc w:val="right"/>
              <w:rPr>
                <w:rFonts w:ascii="Arial" w:hAnsi="Arial" w:cs="Arial"/>
                <w:color w:val="000000"/>
                <w:sz w:val="12"/>
                <w:szCs w:val="12"/>
              </w:rPr>
            </w:pPr>
          </w:p>
        </w:tc>
        <w:tc>
          <w:tcPr>
            <w:tcW w:w="1680" w:type="dxa"/>
            <w:tcBorders>
              <w:top w:val="single" w:sz="4" w:space="0" w:color="auto"/>
            </w:tcBorders>
            <w:shd w:val="clear" w:color="auto" w:fill="auto"/>
            <w:vAlign w:val="bottom"/>
          </w:tcPr>
          <w:p w14:paraId="415E8EEF" w14:textId="77777777" w:rsidR="00425288" w:rsidRPr="002D2F67" w:rsidRDefault="00425288" w:rsidP="005611FE">
            <w:pPr>
              <w:pStyle w:val="Header"/>
              <w:ind w:right="-72"/>
              <w:jc w:val="right"/>
              <w:rPr>
                <w:rFonts w:ascii="Arial" w:hAnsi="Arial" w:cs="Arial"/>
                <w:color w:val="000000"/>
                <w:sz w:val="12"/>
                <w:szCs w:val="12"/>
              </w:rPr>
            </w:pPr>
          </w:p>
        </w:tc>
      </w:tr>
      <w:tr w:rsidR="006D247B" w:rsidRPr="002D2F67" w14:paraId="109B9E4C" w14:textId="77777777" w:rsidTr="005611FE">
        <w:tc>
          <w:tcPr>
            <w:tcW w:w="4410" w:type="dxa"/>
            <w:shd w:val="clear" w:color="auto" w:fill="auto"/>
            <w:vAlign w:val="bottom"/>
          </w:tcPr>
          <w:p w14:paraId="4B11F52F" w14:textId="23B9FB8D" w:rsidR="006D247B" w:rsidRPr="002D2F67" w:rsidRDefault="006D247B" w:rsidP="005611FE">
            <w:pPr>
              <w:pStyle w:val="Header"/>
              <w:tabs>
                <w:tab w:val="clear" w:pos="4320"/>
                <w:tab w:val="clear" w:pos="8640"/>
                <w:tab w:val="left" w:pos="2663"/>
              </w:tabs>
              <w:ind w:left="101" w:right="-72" w:hanging="187"/>
              <w:jc w:val="left"/>
              <w:rPr>
                <w:rFonts w:ascii="Arial" w:hAnsi="Arial" w:cs="Arial"/>
                <w:color w:val="000000"/>
                <w:spacing w:val="-10"/>
                <w:sz w:val="20"/>
                <w:szCs w:val="20"/>
              </w:rPr>
            </w:pPr>
            <w:r w:rsidRPr="002D2F67">
              <w:rPr>
                <w:rFonts w:ascii="Arial" w:hAnsi="Arial" w:cs="Arial"/>
                <w:color w:val="000000"/>
                <w:sz w:val="20"/>
                <w:szCs w:val="20"/>
              </w:rPr>
              <w:t xml:space="preserve">As </w:t>
            </w:r>
            <w:proofErr w:type="gramStart"/>
            <w:r w:rsidRPr="002D2F67">
              <w:rPr>
                <w:rFonts w:ascii="Arial" w:hAnsi="Arial" w:cs="Arial"/>
                <w:color w:val="000000"/>
                <w:sz w:val="20"/>
                <w:szCs w:val="20"/>
              </w:rPr>
              <w:t>at</w:t>
            </w:r>
            <w:proofErr w:type="gramEnd"/>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1</w:t>
            </w:r>
            <w:r w:rsidRPr="002D2F67">
              <w:rPr>
                <w:rFonts w:ascii="Arial" w:hAnsi="Arial" w:cs="Arial"/>
                <w:color w:val="000000"/>
                <w:sz w:val="20"/>
                <w:szCs w:val="20"/>
              </w:rPr>
              <w:t xml:space="preserve"> January </w:t>
            </w:r>
            <w:r w:rsidR="00CD5714" w:rsidRPr="00CD5714">
              <w:rPr>
                <w:rFonts w:ascii="Arial" w:hAnsi="Arial" w:cs="Arial"/>
                <w:color w:val="000000"/>
                <w:sz w:val="20"/>
                <w:szCs w:val="20"/>
                <w:lang w:val="en-GB"/>
              </w:rPr>
              <w:t>2024</w:t>
            </w:r>
          </w:p>
        </w:tc>
        <w:tc>
          <w:tcPr>
            <w:tcW w:w="1680" w:type="dxa"/>
            <w:shd w:val="clear" w:color="auto" w:fill="auto"/>
          </w:tcPr>
          <w:p w14:paraId="0AF7F98C" w14:textId="6AB1783A" w:rsidR="006D247B"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3</w:t>
            </w:r>
            <w:r w:rsidR="006D247B" w:rsidRPr="002D2F67">
              <w:rPr>
                <w:rFonts w:ascii="Arial" w:hAnsi="Arial" w:cs="Arial"/>
                <w:color w:val="000000"/>
                <w:sz w:val="20"/>
                <w:szCs w:val="20"/>
              </w:rPr>
              <w:t>,</w:t>
            </w:r>
            <w:r w:rsidRPr="00CD5714">
              <w:rPr>
                <w:rFonts w:ascii="Arial" w:hAnsi="Arial" w:cs="Arial"/>
                <w:color w:val="000000"/>
                <w:sz w:val="20"/>
                <w:szCs w:val="20"/>
                <w:lang w:val="en-GB"/>
              </w:rPr>
              <w:t>945</w:t>
            </w:r>
          </w:p>
        </w:tc>
        <w:tc>
          <w:tcPr>
            <w:tcW w:w="1680" w:type="dxa"/>
            <w:shd w:val="clear" w:color="auto" w:fill="auto"/>
            <w:vAlign w:val="bottom"/>
          </w:tcPr>
          <w:p w14:paraId="662D31CB" w14:textId="1C6E1D31" w:rsidR="006D247B"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51</w:t>
            </w:r>
            <w:r w:rsidR="006D247B" w:rsidRPr="002D2F67">
              <w:rPr>
                <w:rFonts w:ascii="Arial" w:hAnsi="Arial" w:cs="Arial"/>
                <w:color w:val="000000"/>
                <w:sz w:val="20"/>
                <w:szCs w:val="20"/>
              </w:rPr>
              <w:t>,</w:t>
            </w:r>
            <w:r w:rsidRPr="00CD5714">
              <w:rPr>
                <w:rFonts w:ascii="Arial" w:hAnsi="Arial" w:cs="Arial"/>
                <w:color w:val="000000"/>
                <w:sz w:val="20"/>
                <w:szCs w:val="20"/>
                <w:lang w:val="en-GB"/>
              </w:rPr>
              <w:t>155</w:t>
            </w:r>
          </w:p>
        </w:tc>
        <w:tc>
          <w:tcPr>
            <w:tcW w:w="1680" w:type="dxa"/>
            <w:shd w:val="clear" w:color="auto" w:fill="auto"/>
            <w:vAlign w:val="bottom"/>
          </w:tcPr>
          <w:p w14:paraId="6EDC32F4" w14:textId="78E36BA3" w:rsidR="006D247B"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55</w:t>
            </w:r>
            <w:r w:rsidR="006D247B" w:rsidRPr="002D2F67">
              <w:rPr>
                <w:rFonts w:ascii="Arial" w:hAnsi="Arial" w:cs="Arial"/>
                <w:color w:val="000000"/>
                <w:sz w:val="20"/>
                <w:szCs w:val="20"/>
              </w:rPr>
              <w:t>,</w:t>
            </w:r>
            <w:r w:rsidRPr="00CD5714">
              <w:rPr>
                <w:rFonts w:ascii="Arial" w:hAnsi="Arial" w:cs="Arial"/>
                <w:color w:val="000000"/>
                <w:sz w:val="20"/>
                <w:szCs w:val="20"/>
                <w:lang w:val="en-GB"/>
              </w:rPr>
              <w:t>100</w:t>
            </w:r>
          </w:p>
        </w:tc>
      </w:tr>
      <w:tr w:rsidR="006D247B" w:rsidRPr="002D2F67" w14:paraId="3E9EAA5C" w14:textId="77777777" w:rsidTr="005611FE">
        <w:tc>
          <w:tcPr>
            <w:tcW w:w="4410" w:type="dxa"/>
            <w:shd w:val="clear" w:color="auto" w:fill="auto"/>
            <w:vAlign w:val="bottom"/>
          </w:tcPr>
          <w:p w14:paraId="3D149390" w14:textId="44EF9122" w:rsidR="006D247B" w:rsidRPr="002D2F67" w:rsidRDefault="006D247B" w:rsidP="005611FE">
            <w:pPr>
              <w:pStyle w:val="Header"/>
              <w:tabs>
                <w:tab w:val="clear" w:pos="4320"/>
                <w:tab w:val="clear" w:pos="8640"/>
                <w:tab w:val="left" w:pos="2663"/>
              </w:tabs>
              <w:ind w:left="101" w:right="-72" w:hanging="187"/>
              <w:jc w:val="left"/>
              <w:rPr>
                <w:rFonts w:ascii="Arial" w:hAnsi="Arial" w:cs="Arial"/>
                <w:color w:val="000000"/>
                <w:sz w:val="20"/>
                <w:szCs w:val="20"/>
              </w:rPr>
            </w:pPr>
            <w:r w:rsidRPr="002D2F67">
              <w:rPr>
                <w:rFonts w:ascii="Arial" w:hAnsi="Arial" w:cs="Arial"/>
                <w:color w:val="000000"/>
                <w:sz w:val="20"/>
                <w:szCs w:val="20"/>
              </w:rPr>
              <w:t>Tax credited to profit or loss</w:t>
            </w:r>
          </w:p>
        </w:tc>
        <w:tc>
          <w:tcPr>
            <w:tcW w:w="1680" w:type="dxa"/>
            <w:tcBorders>
              <w:bottom w:val="single" w:sz="4" w:space="0" w:color="auto"/>
            </w:tcBorders>
            <w:shd w:val="clear" w:color="auto" w:fill="auto"/>
          </w:tcPr>
          <w:p w14:paraId="596DDFDD" w14:textId="77DA0954" w:rsidR="006D247B" w:rsidRPr="002D2F67" w:rsidRDefault="006969BE" w:rsidP="005611FE">
            <w:pPr>
              <w:pStyle w:val="Header"/>
              <w:ind w:right="-72"/>
              <w:jc w:val="right"/>
              <w:rPr>
                <w:rFonts w:ascii="Arial" w:hAnsi="Arial" w:cs="Arial"/>
                <w:color w:val="000000"/>
                <w:sz w:val="20"/>
                <w:szCs w:val="25"/>
              </w:rPr>
            </w:pPr>
            <w:r w:rsidRPr="002D2F67">
              <w:rPr>
                <w:rFonts w:ascii="Arial" w:hAnsi="Arial" w:cs="Arial"/>
                <w:color w:val="000000"/>
                <w:sz w:val="20"/>
                <w:szCs w:val="25"/>
              </w:rPr>
              <w:t>(</w:t>
            </w:r>
            <w:r w:rsidR="00CD5714" w:rsidRPr="00CD5714">
              <w:rPr>
                <w:rFonts w:ascii="Arial" w:hAnsi="Arial" w:cs="Arial"/>
                <w:color w:val="000000"/>
                <w:sz w:val="20"/>
                <w:szCs w:val="25"/>
                <w:lang w:val="en-GB"/>
              </w:rPr>
              <w:t>437</w:t>
            </w:r>
            <w:r w:rsidRPr="002D2F67">
              <w:rPr>
                <w:rFonts w:ascii="Arial" w:hAnsi="Arial" w:cs="Arial"/>
                <w:color w:val="000000"/>
                <w:sz w:val="20"/>
                <w:szCs w:val="25"/>
              </w:rPr>
              <w:t>)</w:t>
            </w:r>
          </w:p>
        </w:tc>
        <w:tc>
          <w:tcPr>
            <w:tcW w:w="1680" w:type="dxa"/>
            <w:tcBorders>
              <w:bottom w:val="single" w:sz="4" w:space="0" w:color="auto"/>
            </w:tcBorders>
            <w:shd w:val="clear" w:color="auto" w:fill="auto"/>
            <w:vAlign w:val="bottom"/>
          </w:tcPr>
          <w:p w14:paraId="67321858" w14:textId="641766C1" w:rsidR="006D247B" w:rsidRPr="002D2F67" w:rsidRDefault="006969BE" w:rsidP="005611FE">
            <w:pPr>
              <w:pStyle w:val="Heade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w:t>
            </w:r>
            <w:r w:rsidRPr="002D2F67">
              <w:rPr>
                <w:rFonts w:ascii="Arial" w:hAnsi="Arial" w:cs="Arial"/>
                <w:color w:val="000000"/>
                <w:sz w:val="20"/>
                <w:szCs w:val="20"/>
              </w:rPr>
              <w:t>,</w:t>
            </w:r>
            <w:r w:rsidR="00CD5714" w:rsidRPr="00CD5714">
              <w:rPr>
                <w:rFonts w:ascii="Arial" w:hAnsi="Arial" w:cs="Arial"/>
                <w:color w:val="000000"/>
                <w:sz w:val="20"/>
                <w:szCs w:val="20"/>
                <w:lang w:val="en-GB"/>
              </w:rPr>
              <w:t>613</w:t>
            </w:r>
            <w:r w:rsidRPr="002D2F67">
              <w:rPr>
                <w:rFonts w:ascii="Arial" w:hAnsi="Arial" w:cs="Arial"/>
                <w:color w:val="000000"/>
                <w:sz w:val="20"/>
                <w:szCs w:val="20"/>
              </w:rPr>
              <w:t>)</w:t>
            </w:r>
          </w:p>
        </w:tc>
        <w:tc>
          <w:tcPr>
            <w:tcW w:w="1680" w:type="dxa"/>
            <w:tcBorders>
              <w:bottom w:val="single" w:sz="4" w:space="0" w:color="auto"/>
            </w:tcBorders>
            <w:shd w:val="clear" w:color="auto" w:fill="auto"/>
            <w:vAlign w:val="bottom"/>
          </w:tcPr>
          <w:p w14:paraId="07DCD9DD" w14:textId="2C856A34" w:rsidR="006D247B" w:rsidRPr="002D2F67" w:rsidRDefault="006969BE" w:rsidP="005611FE">
            <w:pPr>
              <w:pStyle w:val="Heade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2</w:t>
            </w:r>
            <w:r w:rsidRPr="002D2F67">
              <w:rPr>
                <w:rFonts w:ascii="Arial" w:hAnsi="Arial" w:cs="Arial"/>
                <w:color w:val="000000"/>
                <w:sz w:val="20"/>
                <w:szCs w:val="20"/>
              </w:rPr>
              <w:t>,</w:t>
            </w:r>
            <w:r w:rsidR="00CD5714" w:rsidRPr="00CD5714">
              <w:rPr>
                <w:rFonts w:ascii="Arial" w:hAnsi="Arial" w:cs="Arial"/>
                <w:color w:val="000000"/>
                <w:sz w:val="20"/>
                <w:szCs w:val="20"/>
                <w:lang w:val="en-GB"/>
              </w:rPr>
              <w:t>050</w:t>
            </w:r>
            <w:r w:rsidRPr="002D2F67">
              <w:rPr>
                <w:rFonts w:ascii="Arial" w:hAnsi="Arial" w:cs="Arial"/>
                <w:color w:val="000000"/>
                <w:sz w:val="20"/>
                <w:szCs w:val="20"/>
              </w:rPr>
              <w:t>)</w:t>
            </w:r>
          </w:p>
        </w:tc>
      </w:tr>
      <w:tr w:rsidR="006D247B" w:rsidRPr="002D2F67" w14:paraId="66697A1C" w14:textId="77777777" w:rsidTr="005611FE">
        <w:tc>
          <w:tcPr>
            <w:tcW w:w="4410" w:type="dxa"/>
            <w:shd w:val="clear" w:color="auto" w:fill="auto"/>
            <w:vAlign w:val="bottom"/>
          </w:tcPr>
          <w:p w14:paraId="4C02C8B4" w14:textId="77777777" w:rsidR="006D247B" w:rsidRPr="002D2F67" w:rsidRDefault="006D247B" w:rsidP="005611FE">
            <w:pPr>
              <w:pStyle w:val="Header"/>
              <w:ind w:left="101" w:right="-72" w:hanging="187"/>
              <w:jc w:val="left"/>
              <w:rPr>
                <w:rFonts w:ascii="Arial" w:hAnsi="Arial" w:cs="Arial"/>
                <w:color w:val="000000"/>
                <w:sz w:val="12"/>
                <w:szCs w:val="12"/>
              </w:rPr>
            </w:pPr>
          </w:p>
        </w:tc>
        <w:tc>
          <w:tcPr>
            <w:tcW w:w="1680" w:type="dxa"/>
            <w:tcBorders>
              <w:top w:val="single" w:sz="4" w:space="0" w:color="auto"/>
            </w:tcBorders>
            <w:shd w:val="clear" w:color="auto" w:fill="auto"/>
            <w:vAlign w:val="bottom"/>
          </w:tcPr>
          <w:p w14:paraId="21DA74B7" w14:textId="77777777" w:rsidR="006D247B" w:rsidRPr="002D2F67" w:rsidRDefault="006D247B" w:rsidP="005611FE">
            <w:pPr>
              <w:pStyle w:val="Header"/>
              <w:ind w:right="-72"/>
              <w:jc w:val="right"/>
              <w:rPr>
                <w:rFonts w:ascii="Arial" w:hAnsi="Arial" w:cs="Arial"/>
                <w:color w:val="000000"/>
                <w:sz w:val="12"/>
                <w:szCs w:val="12"/>
              </w:rPr>
            </w:pPr>
          </w:p>
        </w:tc>
        <w:tc>
          <w:tcPr>
            <w:tcW w:w="1680" w:type="dxa"/>
            <w:tcBorders>
              <w:top w:val="single" w:sz="4" w:space="0" w:color="auto"/>
            </w:tcBorders>
            <w:shd w:val="clear" w:color="auto" w:fill="auto"/>
          </w:tcPr>
          <w:p w14:paraId="54BC435B" w14:textId="77777777" w:rsidR="006D247B" w:rsidRPr="002D2F67" w:rsidRDefault="006D247B" w:rsidP="005611FE">
            <w:pPr>
              <w:pStyle w:val="Header"/>
              <w:ind w:right="-72"/>
              <w:jc w:val="right"/>
              <w:rPr>
                <w:rFonts w:ascii="Arial" w:hAnsi="Arial" w:cs="Arial"/>
                <w:color w:val="000000"/>
                <w:sz w:val="12"/>
                <w:szCs w:val="12"/>
              </w:rPr>
            </w:pPr>
          </w:p>
        </w:tc>
        <w:tc>
          <w:tcPr>
            <w:tcW w:w="1680" w:type="dxa"/>
            <w:tcBorders>
              <w:top w:val="single" w:sz="4" w:space="0" w:color="auto"/>
            </w:tcBorders>
            <w:shd w:val="clear" w:color="auto" w:fill="auto"/>
            <w:vAlign w:val="bottom"/>
          </w:tcPr>
          <w:p w14:paraId="5570E0B6" w14:textId="77777777" w:rsidR="006D247B" w:rsidRPr="002D2F67" w:rsidRDefault="006D247B" w:rsidP="005611FE">
            <w:pPr>
              <w:pStyle w:val="Header"/>
              <w:ind w:right="-72"/>
              <w:jc w:val="right"/>
              <w:rPr>
                <w:rFonts w:ascii="Arial" w:hAnsi="Arial" w:cs="Arial"/>
                <w:color w:val="000000"/>
                <w:sz w:val="12"/>
                <w:szCs w:val="12"/>
              </w:rPr>
            </w:pPr>
          </w:p>
        </w:tc>
      </w:tr>
      <w:tr w:rsidR="006D247B" w:rsidRPr="002D2F67" w14:paraId="33A35E03" w14:textId="77777777" w:rsidTr="005611FE">
        <w:tc>
          <w:tcPr>
            <w:tcW w:w="4410" w:type="dxa"/>
            <w:shd w:val="clear" w:color="auto" w:fill="auto"/>
            <w:vAlign w:val="bottom"/>
          </w:tcPr>
          <w:p w14:paraId="777E75C3" w14:textId="72F17251" w:rsidR="006D247B" w:rsidRPr="002D2F67" w:rsidRDefault="006D247B" w:rsidP="005611FE">
            <w:pPr>
              <w:pStyle w:val="Header"/>
              <w:ind w:left="101" w:right="-72" w:hanging="187"/>
              <w:jc w:val="left"/>
              <w:rPr>
                <w:rFonts w:ascii="Arial" w:hAnsi="Arial" w:cs="Arial"/>
                <w:color w:val="000000"/>
                <w:sz w:val="20"/>
                <w:szCs w:val="20"/>
              </w:rPr>
            </w:pPr>
            <w:r w:rsidRPr="002D2F67">
              <w:rPr>
                <w:rFonts w:ascii="Arial" w:hAnsi="Arial" w:cs="Arial"/>
                <w:color w:val="000000"/>
                <w:sz w:val="20"/>
                <w:szCs w:val="20"/>
              </w:rPr>
              <w:t xml:space="preserve">As </w:t>
            </w:r>
            <w:proofErr w:type="gramStart"/>
            <w:r w:rsidRPr="002D2F67">
              <w:rPr>
                <w:rFonts w:ascii="Arial" w:hAnsi="Arial" w:cs="Arial"/>
                <w:color w:val="000000"/>
                <w:sz w:val="20"/>
                <w:szCs w:val="20"/>
              </w:rPr>
              <w:t>at</w:t>
            </w:r>
            <w:proofErr w:type="gramEnd"/>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31</w:t>
            </w:r>
            <w:r w:rsidRPr="002D2F67">
              <w:rPr>
                <w:rFonts w:ascii="Arial" w:hAnsi="Arial" w:cs="Arial"/>
                <w:color w:val="000000"/>
                <w:sz w:val="20"/>
                <w:szCs w:val="20"/>
              </w:rPr>
              <w:t xml:space="preserve"> December </w:t>
            </w:r>
            <w:r w:rsidR="00CD5714" w:rsidRPr="00CD5714">
              <w:rPr>
                <w:rFonts w:ascii="Arial" w:hAnsi="Arial" w:cs="Arial"/>
                <w:color w:val="000000"/>
                <w:sz w:val="20"/>
                <w:szCs w:val="20"/>
                <w:lang w:val="en-GB"/>
              </w:rPr>
              <w:t>2024</w:t>
            </w:r>
          </w:p>
        </w:tc>
        <w:tc>
          <w:tcPr>
            <w:tcW w:w="1680" w:type="dxa"/>
            <w:tcBorders>
              <w:bottom w:val="single" w:sz="4" w:space="0" w:color="auto"/>
            </w:tcBorders>
            <w:shd w:val="clear" w:color="auto" w:fill="auto"/>
          </w:tcPr>
          <w:p w14:paraId="4978A1C4" w14:textId="397005C9" w:rsidR="006D247B"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3</w:t>
            </w:r>
            <w:r w:rsidR="006969BE" w:rsidRPr="002D2F67">
              <w:rPr>
                <w:rFonts w:ascii="Arial" w:hAnsi="Arial" w:cs="Arial"/>
                <w:color w:val="000000"/>
                <w:sz w:val="20"/>
                <w:szCs w:val="20"/>
              </w:rPr>
              <w:t>,</w:t>
            </w:r>
            <w:r w:rsidRPr="00CD5714">
              <w:rPr>
                <w:rFonts w:ascii="Arial" w:hAnsi="Arial" w:cs="Arial"/>
                <w:color w:val="000000"/>
                <w:sz w:val="20"/>
                <w:szCs w:val="20"/>
                <w:lang w:val="en-GB"/>
              </w:rPr>
              <w:t>508</w:t>
            </w:r>
          </w:p>
        </w:tc>
        <w:tc>
          <w:tcPr>
            <w:tcW w:w="1680" w:type="dxa"/>
            <w:tcBorders>
              <w:bottom w:val="single" w:sz="4" w:space="0" w:color="auto"/>
            </w:tcBorders>
            <w:shd w:val="clear" w:color="auto" w:fill="auto"/>
            <w:vAlign w:val="bottom"/>
          </w:tcPr>
          <w:p w14:paraId="33E2B3A5" w14:textId="793441E1" w:rsidR="006D247B"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49</w:t>
            </w:r>
            <w:r w:rsidR="006969BE" w:rsidRPr="002D2F67">
              <w:rPr>
                <w:rFonts w:ascii="Arial" w:hAnsi="Arial" w:cs="Arial"/>
                <w:color w:val="000000"/>
                <w:sz w:val="20"/>
                <w:szCs w:val="20"/>
              </w:rPr>
              <w:t>,</w:t>
            </w:r>
            <w:r w:rsidRPr="00CD5714">
              <w:rPr>
                <w:rFonts w:ascii="Arial" w:hAnsi="Arial" w:cs="Arial"/>
                <w:color w:val="000000"/>
                <w:sz w:val="20"/>
                <w:szCs w:val="20"/>
                <w:lang w:val="en-GB"/>
              </w:rPr>
              <w:t>542</w:t>
            </w:r>
          </w:p>
        </w:tc>
        <w:tc>
          <w:tcPr>
            <w:tcW w:w="1680" w:type="dxa"/>
            <w:tcBorders>
              <w:bottom w:val="single" w:sz="4" w:space="0" w:color="auto"/>
            </w:tcBorders>
            <w:shd w:val="clear" w:color="auto" w:fill="auto"/>
            <w:vAlign w:val="bottom"/>
          </w:tcPr>
          <w:p w14:paraId="1B1299CF" w14:textId="45D6C05C" w:rsidR="006D247B" w:rsidRPr="002D2F67" w:rsidRDefault="00CD5714" w:rsidP="005611FE">
            <w:pPr>
              <w:pStyle w:val="Header"/>
              <w:ind w:right="-72"/>
              <w:jc w:val="right"/>
              <w:rPr>
                <w:rFonts w:ascii="Arial" w:hAnsi="Arial" w:cs="Arial"/>
                <w:color w:val="000000"/>
                <w:sz w:val="20"/>
                <w:szCs w:val="20"/>
              </w:rPr>
            </w:pPr>
            <w:r w:rsidRPr="00CD5714">
              <w:rPr>
                <w:rFonts w:ascii="Arial" w:hAnsi="Arial" w:cs="Arial"/>
                <w:color w:val="000000"/>
                <w:sz w:val="20"/>
                <w:szCs w:val="20"/>
                <w:lang w:val="en-GB"/>
              </w:rPr>
              <w:t>53</w:t>
            </w:r>
            <w:r w:rsidR="006969BE" w:rsidRPr="002D2F67">
              <w:rPr>
                <w:rFonts w:ascii="Arial" w:hAnsi="Arial" w:cs="Arial"/>
                <w:color w:val="000000"/>
                <w:sz w:val="20"/>
                <w:szCs w:val="20"/>
              </w:rPr>
              <w:t>,</w:t>
            </w:r>
            <w:r w:rsidRPr="00CD5714">
              <w:rPr>
                <w:rFonts w:ascii="Arial" w:hAnsi="Arial" w:cs="Arial"/>
                <w:color w:val="000000"/>
                <w:sz w:val="20"/>
                <w:szCs w:val="20"/>
                <w:lang w:val="en-GB"/>
              </w:rPr>
              <w:t>050</w:t>
            </w:r>
          </w:p>
        </w:tc>
      </w:tr>
    </w:tbl>
    <w:p w14:paraId="67F73F23" w14:textId="5F3E95D0" w:rsidR="00C8624F" w:rsidRPr="002D2F67" w:rsidRDefault="00C8624F" w:rsidP="005611FE">
      <w:pPr>
        <w:pStyle w:val="BodyTextIndent2"/>
        <w:spacing w:line="240" w:lineRule="auto"/>
        <w:ind w:left="0"/>
        <w:jc w:val="left"/>
        <w:rPr>
          <w:rFonts w:ascii="Arial" w:hAnsi="Arial" w:cs="Arial"/>
          <w:spacing w:val="-2"/>
        </w:rPr>
      </w:pPr>
    </w:p>
    <w:p w14:paraId="5AD65571" w14:textId="77777777" w:rsidR="00284D3C" w:rsidRPr="002D2F67" w:rsidRDefault="00736E91" w:rsidP="005611FE">
      <w:pPr>
        <w:autoSpaceDE w:val="0"/>
        <w:autoSpaceDN w:val="0"/>
        <w:adjustRightInd w:val="0"/>
        <w:jc w:val="thaiDistribute"/>
        <w:rPr>
          <w:rFonts w:ascii="Arial" w:hAnsi="Arial" w:cs="Arial"/>
          <w:color w:val="000000"/>
          <w:sz w:val="20"/>
          <w:szCs w:val="20"/>
        </w:rPr>
      </w:pPr>
      <w:r w:rsidRPr="002D2F67">
        <w:rPr>
          <w:rFonts w:ascii="Arial" w:hAnsi="Arial" w:cs="Arial"/>
          <w:color w:val="000000"/>
          <w:sz w:val="20"/>
          <w:szCs w:val="20"/>
        </w:rPr>
        <w:t>Deferred tax assets are recognised for tax loss and carry forwards only to the extent that realisation of the related tax</w:t>
      </w:r>
      <w:r w:rsidR="001E5DDA" w:rsidRPr="002D2F67">
        <w:rPr>
          <w:rFonts w:ascii="Arial" w:hAnsi="Arial" w:cs="Arial"/>
          <w:color w:val="000000"/>
          <w:sz w:val="20"/>
          <w:szCs w:val="20"/>
          <w:cs/>
        </w:rPr>
        <w:t xml:space="preserve"> </w:t>
      </w:r>
      <w:r w:rsidRPr="002D2F67">
        <w:rPr>
          <w:rFonts w:ascii="Arial" w:hAnsi="Arial" w:cs="Arial"/>
          <w:color w:val="000000"/>
          <w:sz w:val="20"/>
          <w:szCs w:val="20"/>
        </w:rPr>
        <w:t>benefit through the future taxable profits is probable.</w:t>
      </w:r>
    </w:p>
    <w:p w14:paraId="5EAB541B" w14:textId="77777777" w:rsidR="00284D3C" w:rsidRPr="002D2F67" w:rsidRDefault="00284D3C" w:rsidP="005611FE">
      <w:pPr>
        <w:autoSpaceDE w:val="0"/>
        <w:autoSpaceDN w:val="0"/>
        <w:adjustRightInd w:val="0"/>
        <w:jc w:val="thaiDistribute"/>
        <w:rPr>
          <w:rFonts w:ascii="Arial" w:hAnsi="Arial" w:cs="Arial"/>
          <w:color w:val="000000"/>
          <w:sz w:val="20"/>
          <w:szCs w:val="20"/>
        </w:rPr>
      </w:pPr>
    </w:p>
    <w:p w14:paraId="1AFA8D50" w14:textId="19BF1AF4" w:rsidR="00FD5764" w:rsidRPr="002D2F67" w:rsidRDefault="00FD5764" w:rsidP="005611FE">
      <w:pPr>
        <w:autoSpaceDE w:val="0"/>
        <w:autoSpaceDN w:val="0"/>
        <w:adjustRightInd w:val="0"/>
        <w:jc w:val="thaiDistribute"/>
        <w:rPr>
          <w:rFonts w:ascii="Arial" w:hAnsi="Arial" w:cs="Arial"/>
          <w:color w:val="000000"/>
          <w:sz w:val="20"/>
          <w:szCs w:val="20"/>
        </w:rPr>
      </w:pPr>
      <w:r w:rsidRPr="002D2F67">
        <w:rPr>
          <w:rFonts w:ascii="Arial" w:hAnsi="Arial" w:cs="Arial"/>
          <w:color w:val="000000"/>
          <w:sz w:val="20"/>
          <w:szCs w:val="20"/>
        </w:rPr>
        <w:t>Unreali</w:t>
      </w:r>
      <w:r w:rsidR="00892C23" w:rsidRPr="002D2F67">
        <w:rPr>
          <w:rFonts w:ascii="Arial" w:hAnsi="Arial" w:cs="Arial"/>
          <w:color w:val="000000"/>
          <w:sz w:val="20"/>
          <w:szCs w:val="20"/>
        </w:rPr>
        <w:t>s</w:t>
      </w:r>
      <w:r w:rsidRPr="002D2F67">
        <w:rPr>
          <w:rFonts w:ascii="Arial" w:hAnsi="Arial" w:cs="Arial"/>
          <w:color w:val="000000"/>
          <w:sz w:val="20"/>
          <w:szCs w:val="20"/>
        </w:rPr>
        <w:t>ed income tax assets and tax losses</w:t>
      </w:r>
      <w:r w:rsidR="00C3251B" w:rsidRPr="002D2F67">
        <w:rPr>
          <w:rFonts w:ascii="Arial" w:hAnsi="Arial" w:cs="Arial"/>
          <w:color w:val="000000"/>
          <w:sz w:val="20"/>
          <w:szCs w:val="20"/>
        </w:rPr>
        <w:t xml:space="preserve"> we</w:t>
      </w:r>
      <w:r w:rsidRPr="002D2F67">
        <w:rPr>
          <w:rFonts w:ascii="Arial" w:hAnsi="Arial" w:cs="Arial"/>
          <w:color w:val="000000"/>
          <w:sz w:val="20"/>
          <w:szCs w:val="20"/>
        </w:rPr>
        <w:t>re as follows:</w:t>
      </w:r>
    </w:p>
    <w:p w14:paraId="5F94577E" w14:textId="58ED5483" w:rsidR="00FD5764" w:rsidRPr="002D2F67" w:rsidRDefault="00FD5764" w:rsidP="005611FE">
      <w:pPr>
        <w:autoSpaceDE w:val="0"/>
        <w:autoSpaceDN w:val="0"/>
        <w:adjustRightInd w:val="0"/>
        <w:jc w:val="thaiDistribute"/>
        <w:rPr>
          <w:rFonts w:ascii="Arial" w:hAnsi="Arial" w:cs="Arial"/>
          <w:color w:val="000000"/>
          <w:sz w:val="20"/>
          <w:szCs w:val="20"/>
        </w:rPr>
      </w:pPr>
    </w:p>
    <w:tbl>
      <w:tblPr>
        <w:tblW w:w="9461" w:type="dxa"/>
        <w:tblInd w:w="108" w:type="dxa"/>
        <w:tblLayout w:type="fixed"/>
        <w:tblLook w:val="0000" w:firstRow="0" w:lastRow="0" w:firstColumn="0" w:lastColumn="0" w:noHBand="0" w:noVBand="0"/>
      </w:tblPr>
      <w:tblGrid>
        <w:gridCol w:w="3989"/>
        <w:gridCol w:w="1368"/>
        <w:gridCol w:w="1368"/>
        <w:gridCol w:w="1368"/>
        <w:gridCol w:w="1368"/>
      </w:tblGrid>
      <w:tr w:rsidR="00A466A0" w:rsidRPr="002D2F67" w14:paraId="4ECC1937" w14:textId="77777777" w:rsidTr="002D2F67">
        <w:trPr>
          <w:cantSplit/>
        </w:trPr>
        <w:tc>
          <w:tcPr>
            <w:tcW w:w="3989" w:type="dxa"/>
            <w:shd w:val="clear" w:color="auto" w:fill="auto"/>
            <w:vAlign w:val="center"/>
          </w:tcPr>
          <w:p w14:paraId="5C9D1412" w14:textId="77777777" w:rsidR="00A466A0" w:rsidRPr="002D2F67" w:rsidRDefault="00A466A0" w:rsidP="00155192">
            <w:pPr>
              <w:ind w:left="-105"/>
              <w:rPr>
                <w:rFonts w:ascii="Arial" w:eastAsia="Courier New" w:hAnsi="Arial" w:cs="Arial"/>
                <w:color w:val="000000"/>
                <w:szCs w:val="26"/>
              </w:rPr>
            </w:pPr>
          </w:p>
        </w:tc>
        <w:tc>
          <w:tcPr>
            <w:tcW w:w="2736" w:type="dxa"/>
            <w:gridSpan w:val="2"/>
            <w:tcBorders>
              <w:bottom w:val="single" w:sz="4" w:space="0" w:color="auto"/>
            </w:tcBorders>
            <w:shd w:val="clear" w:color="auto" w:fill="auto"/>
            <w:vAlign w:val="center"/>
          </w:tcPr>
          <w:p w14:paraId="1117F120" w14:textId="77777777" w:rsidR="00A466A0" w:rsidRPr="002D2F67" w:rsidRDefault="00A466A0" w:rsidP="00155192">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5E8A1265" w14:textId="77777777" w:rsidR="00A466A0" w:rsidRPr="002D2F67" w:rsidRDefault="00A466A0" w:rsidP="00155192">
            <w:pPr>
              <w:ind w:right="-72"/>
              <w:jc w:val="right"/>
              <w:rPr>
                <w:rFonts w:ascii="Arial" w:hAnsi="Arial" w:cs="Arial"/>
                <w:b/>
                <w:bCs/>
                <w:color w:val="000000"/>
                <w:sz w:val="20"/>
                <w:szCs w:val="20"/>
                <w:cs/>
              </w:rPr>
            </w:pPr>
            <w:r w:rsidRPr="002D2F67">
              <w:rPr>
                <w:rFonts w:ascii="Arial" w:hAnsi="Arial" w:cs="Arial"/>
                <w:b/>
                <w:bCs/>
                <w:color w:val="000000"/>
                <w:sz w:val="20"/>
                <w:szCs w:val="20"/>
              </w:rPr>
              <w:t>financial statements</w:t>
            </w:r>
          </w:p>
        </w:tc>
        <w:tc>
          <w:tcPr>
            <w:tcW w:w="2736" w:type="dxa"/>
            <w:gridSpan w:val="2"/>
            <w:tcBorders>
              <w:bottom w:val="single" w:sz="4" w:space="0" w:color="auto"/>
            </w:tcBorders>
            <w:shd w:val="clear" w:color="auto" w:fill="auto"/>
            <w:vAlign w:val="center"/>
          </w:tcPr>
          <w:p w14:paraId="71F08840" w14:textId="77777777" w:rsidR="00A466A0" w:rsidRPr="002D2F67" w:rsidRDefault="00A466A0" w:rsidP="00155192">
            <w:pPr>
              <w:ind w:right="-72"/>
              <w:jc w:val="right"/>
              <w:rPr>
                <w:rFonts w:ascii="Arial" w:hAnsi="Arial" w:cs="Arial"/>
                <w:b/>
                <w:bCs/>
                <w:color w:val="000000"/>
                <w:sz w:val="20"/>
                <w:szCs w:val="20"/>
              </w:rPr>
            </w:pPr>
            <w:r w:rsidRPr="002D2F67">
              <w:rPr>
                <w:rFonts w:ascii="Arial" w:hAnsi="Arial" w:cs="Arial"/>
                <w:b/>
                <w:bCs/>
                <w:color w:val="000000"/>
                <w:sz w:val="20"/>
                <w:szCs w:val="20"/>
              </w:rPr>
              <w:t>Separate</w:t>
            </w:r>
          </w:p>
          <w:p w14:paraId="33A7FE1B" w14:textId="77777777" w:rsidR="00A466A0" w:rsidRPr="002D2F67" w:rsidRDefault="00A466A0" w:rsidP="00155192">
            <w:pPr>
              <w:ind w:right="-72"/>
              <w:jc w:val="right"/>
              <w:rPr>
                <w:rFonts w:ascii="Arial" w:hAnsi="Arial" w:cs="Arial"/>
                <w:b/>
                <w:bCs/>
                <w:color w:val="000000"/>
                <w:sz w:val="20"/>
                <w:szCs w:val="20"/>
                <w:cs/>
              </w:rPr>
            </w:pPr>
            <w:r w:rsidRPr="002D2F67">
              <w:rPr>
                <w:rFonts w:ascii="Arial" w:hAnsi="Arial" w:cs="Arial"/>
                <w:b/>
                <w:bCs/>
                <w:color w:val="000000"/>
                <w:sz w:val="20"/>
                <w:szCs w:val="20"/>
              </w:rPr>
              <w:t xml:space="preserve"> financial statements</w:t>
            </w:r>
          </w:p>
        </w:tc>
      </w:tr>
      <w:tr w:rsidR="00A466A0" w:rsidRPr="002D2F67" w14:paraId="708A6554" w14:textId="77777777" w:rsidTr="002D2F67">
        <w:tc>
          <w:tcPr>
            <w:tcW w:w="3989" w:type="dxa"/>
            <w:shd w:val="clear" w:color="auto" w:fill="auto"/>
          </w:tcPr>
          <w:p w14:paraId="06F030CB" w14:textId="12C4271B" w:rsidR="00A466A0" w:rsidRPr="002D2F67" w:rsidRDefault="00A466A0" w:rsidP="00155192">
            <w:pPr>
              <w:ind w:left="-101" w:right="-72"/>
              <w:rPr>
                <w:rFonts w:ascii="Arial" w:eastAsia="Courier New" w:hAnsi="Arial" w:cs="Arial"/>
                <w:b/>
                <w:bCs/>
                <w:color w:val="000000"/>
                <w:sz w:val="20"/>
                <w:szCs w:val="20"/>
              </w:rPr>
            </w:pPr>
            <w:r w:rsidRPr="002D2F67">
              <w:rPr>
                <w:rFonts w:ascii="Arial" w:hAnsi="Arial" w:cs="Arial"/>
                <w:b/>
                <w:bCs/>
                <w:color w:val="000000"/>
                <w:sz w:val="20"/>
                <w:szCs w:val="20"/>
              </w:rPr>
              <w:t xml:space="preserve">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cs/>
              </w:rPr>
              <w:t xml:space="preserve"> </w:t>
            </w:r>
            <w:r w:rsidRPr="002D2F67">
              <w:rPr>
                <w:rFonts w:ascii="Arial" w:hAnsi="Arial" w:cs="Arial"/>
                <w:b/>
                <w:bCs/>
                <w:color w:val="000000"/>
                <w:sz w:val="20"/>
                <w:szCs w:val="20"/>
              </w:rPr>
              <w:t>December</w:t>
            </w:r>
          </w:p>
        </w:tc>
        <w:tc>
          <w:tcPr>
            <w:tcW w:w="1368" w:type="dxa"/>
            <w:tcBorders>
              <w:top w:val="single" w:sz="4" w:space="0" w:color="auto"/>
            </w:tcBorders>
            <w:shd w:val="clear" w:color="auto" w:fill="auto"/>
          </w:tcPr>
          <w:p w14:paraId="478C9F1B" w14:textId="52DCE19A" w:rsidR="00A466A0" w:rsidRPr="002D2F67" w:rsidRDefault="00CD5714" w:rsidP="00155192">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1368" w:type="dxa"/>
            <w:tcBorders>
              <w:top w:val="single" w:sz="4" w:space="0" w:color="auto"/>
            </w:tcBorders>
            <w:shd w:val="clear" w:color="auto" w:fill="auto"/>
          </w:tcPr>
          <w:p w14:paraId="78C0B3F5" w14:textId="11355121" w:rsidR="00A466A0" w:rsidRPr="002D2F67" w:rsidRDefault="00CD5714" w:rsidP="00155192">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c>
          <w:tcPr>
            <w:tcW w:w="1368" w:type="dxa"/>
            <w:tcBorders>
              <w:top w:val="single" w:sz="4" w:space="0" w:color="auto"/>
            </w:tcBorders>
            <w:shd w:val="clear" w:color="auto" w:fill="auto"/>
          </w:tcPr>
          <w:p w14:paraId="13C4C674" w14:textId="4E963FAE" w:rsidR="00A466A0" w:rsidRPr="002D2F67" w:rsidRDefault="00CD5714" w:rsidP="00155192">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1368" w:type="dxa"/>
            <w:tcBorders>
              <w:top w:val="single" w:sz="4" w:space="0" w:color="auto"/>
            </w:tcBorders>
            <w:shd w:val="clear" w:color="auto" w:fill="auto"/>
          </w:tcPr>
          <w:p w14:paraId="7EFDFAC5" w14:textId="5C2282BF" w:rsidR="00A466A0" w:rsidRPr="002D2F67" w:rsidRDefault="00CD5714" w:rsidP="00155192">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A466A0" w:rsidRPr="002D2F67" w14:paraId="324B5DD0" w14:textId="77777777" w:rsidTr="002D2F67">
        <w:tc>
          <w:tcPr>
            <w:tcW w:w="3989" w:type="dxa"/>
            <w:shd w:val="clear" w:color="auto" w:fill="auto"/>
            <w:vAlign w:val="center"/>
          </w:tcPr>
          <w:p w14:paraId="085E3AD6" w14:textId="77777777" w:rsidR="00A466A0" w:rsidRPr="002D2F67" w:rsidRDefault="00A466A0" w:rsidP="00155192">
            <w:pPr>
              <w:ind w:left="-105"/>
              <w:rPr>
                <w:rFonts w:ascii="Arial" w:eastAsia="Courier New" w:hAnsi="Arial" w:cs="Arial"/>
                <w:color w:val="000000"/>
                <w:sz w:val="20"/>
                <w:szCs w:val="20"/>
                <w:cs/>
              </w:rPr>
            </w:pPr>
          </w:p>
        </w:tc>
        <w:tc>
          <w:tcPr>
            <w:tcW w:w="1368" w:type="dxa"/>
            <w:tcBorders>
              <w:bottom w:val="single" w:sz="4" w:space="0" w:color="auto"/>
            </w:tcBorders>
            <w:shd w:val="clear" w:color="auto" w:fill="auto"/>
            <w:vAlign w:val="bottom"/>
          </w:tcPr>
          <w:p w14:paraId="2203C5D6" w14:textId="6526404F" w:rsidR="00A466A0" w:rsidRPr="002D2F67" w:rsidRDefault="00A466A0" w:rsidP="00155192">
            <w:pPr>
              <w:ind w:right="-72"/>
              <w:jc w:val="right"/>
              <w:rPr>
                <w:rFonts w:ascii="Arial" w:hAnsi="Arial" w:cs="Arial"/>
                <w:b/>
                <w:bCs/>
                <w:snapToGrid w:val="0"/>
                <w:color w:val="000000"/>
                <w:sz w:val="20"/>
                <w:szCs w:val="20"/>
                <w:lang w:eastAsia="th-TH"/>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368" w:type="dxa"/>
            <w:tcBorders>
              <w:bottom w:val="single" w:sz="4" w:space="0" w:color="auto"/>
            </w:tcBorders>
            <w:shd w:val="clear" w:color="auto" w:fill="auto"/>
            <w:vAlign w:val="bottom"/>
          </w:tcPr>
          <w:p w14:paraId="05C96F06" w14:textId="5A70F349" w:rsidR="00A466A0" w:rsidRPr="002D2F67" w:rsidRDefault="00A466A0" w:rsidP="00155192">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368" w:type="dxa"/>
            <w:tcBorders>
              <w:bottom w:val="single" w:sz="4" w:space="0" w:color="auto"/>
            </w:tcBorders>
            <w:shd w:val="clear" w:color="auto" w:fill="auto"/>
            <w:vAlign w:val="bottom"/>
          </w:tcPr>
          <w:p w14:paraId="1BB4E936" w14:textId="7363DA15" w:rsidR="00A466A0" w:rsidRPr="002D2F67" w:rsidRDefault="00A466A0" w:rsidP="00155192">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368" w:type="dxa"/>
            <w:tcBorders>
              <w:bottom w:val="single" w:sz="4" w:space="0" w:color="auto"/>
            </w:tcBorders>
            <w:shd w:val="clear" w:color="auto" w:fill="auto"/>
            <w:vAlign w:val="bottom"/>
          </w:tcPr>
          <w:p w14:paraId="066380A8" w14:textId="2302A9B4" w:rsidR="00A466A0" w:rsidRPr="002D2F67" w:rsidRDefault="00A466A0" w:rsidP="00155192">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A466A0" w:rsidRPr="002D2F67" w14:paraId="43AA87AD" w14:textId="77777777" w:rsidTr="002D2F67">
        <w:tc>
          <w:tcPr>
            <w:tcW w:w="3989" w:type="dxa"/>
            <w:shd w:val="clear" w:color="auto" w:fill="auto"/>
            <w:vAlign w:val="center"/>
          </w:tcPr>
          <w:p w14:paraId="105AB18F" w14:textId="77777777" w:rsidR="00A466A0" w:rsidRPr="002D2F67" w:rsidRDefault="00A466A0" w:rsidP="00155192">
            <w:pPr>
              <w:tabs>
                <w:tab w:val="right" w:pos="9360"/>
                <w:tab w:val="right" w:pos="9540"/>
                <w:tab w:val="right" w:pos="11430"/>
                <w:tab w:val="right" w:pos="13320"/>
                <w:tab w:val="right" w:pos="14400"/>
                <w:tab w:val="right" w:pos="14760"/>
              </w:tabs>
              <w:ind w:left="-105"/>
              <w:jc w:val="both"/>
              <w:rPr>
                <w:rFonts w:ascii="Arial" w:eastAsia="PSLChalalaiClassicas" w:hAnsi="Arial" w:cs="Arial"/>
                <w:color w:val="000000"/>
                <w:sz w:val="12"/>
                <w:szCs w:val="12"/>
                <w:cs/>
              </w:rPr>
            </w:pPr>
          </w:p>
        </w:tc>
        <w:tc>
          <w:tcPr>
            <w:tcW w:w="1368" w:type="dxa"/>
            <w:tcBorders>
              <w:top w:val="single" w:sz="4" w:space="0" w:color="auto"/>
            </w:tcBorders>
            <w:shd w:val="clear" w:color="auto" w:fill="auto"/>
            <w:vAlign w:val="center"/>
          </w:tcPr>
          <w:p w14:paraId="025A68E2" w14:textId="77777777" w:rsidR="00A466A0" w:rsidRPr="002D2F67" w:rsidRDefault="00A466A0" w:rsidP="00155192">
            <w:pPr>
              <w:ind w:right="-72"/>
              <w:jc w:val="right"/>
              <w:rPr>
                <w:rFonts w:ascii="Arial" w:eastAsia="Courier New" w:hAnsi="Arial" w:cs="Arial"/>
                <w:color w:val="000000"/>
                <w:sz w:val="12"/>
                <w:szCs w:val="12"/>
              </w:rPr>
            </w:pPr>
          </w:p>
        </w:tc>
        <w:tc>
          <w:tcPr>
            <w:tcW w:w="1368" w:type="dxa"/>
            <w:tcBorders>
              <w:top w:val="single" w:sz="4" w:space="0" w:color="auto"/>
            </w:tcBorders>
            <w:shd w:val="clear" w:color="auto" w:fill="auto"/>
            <w:vAlign w:val="center"/>
          </w:tcPr>
          <w:p w14:paraId="617666D7" w14:textId="77777777" w:rsidR="00A466A0" w:rsidRPr="002D2F67" w:rsidRDefault="00A466A0" w:rsidP="00155192">
            <w:pPr>
              <w:ind w:right="-72"/>
              <w:jc w:val="right"/>
              <w:rPr>
                <w:rFonts w:ascii="Arial" w:eastAsia="Courier New" w:hAnsi="Arial" w:cs="Arial"/>
                <w:color w:val="000000"/>
                <w:sz w:val="12"/>
                <w:szCs w:val="12"/>
              </w:rPr>
            </w:pPr>
          </w:p>
        </w:tc>
        <w:tc>
          <w:tcPr>
            <w:tcW w:w="1368" w:type="dxa"/>
            <w:tcBorders>
              <w:top w:val="single" w:sz="4" w:space="0" w:color="auto"/>
            </w:tcBorders>
            <w:shd w:val="clear" w:color="auto" w:fill="auto"/>
            <w:vAlign w:val="center"/>
          </w:tcPr>
          <w:p w14:paraId="16541D8D" w14:textId="77777777" w:rsidR="00A466A0" w:rsidRPr="002D2F67" w:rsidRDefault="00A466A0" w:rsidP="00155192">
            <w:pPr>
              <w:ind w:right="-72"/>
              <w:jc w:val="right"/>
              <w:rPr>
                <w:rFonts w:ascii="Arial" w:eastAsia="Courier New" w:hAnsi="Arial" w:cs="Arial"/>
                <w:color w:val="000000"/>
                <w:sz w:val="12"/>
                <w:szCs w:val="12"/>
              </w:rPr>
            </w:pPr>
          </w:p>
        </w:tc>
        <w:tc>
          <w:tcPr>
            <w:tcW w:w="1368" w:type="dxa"/>
            <w:tcBorders>
              <w:top w:val="single" w:sz="4" w:space="0" w:color="auto"/>
            </w:tcBorders>
            <w:shd w:val="clear" w:color="auto" w:fill="auto"/>
            <w:vAlign w:val="center"/>
          </w:tcPr>
          <w:p w14:paraId="33FE73BA" w14:textId="77777777" w:rsidR="00A466A0" w:rsidRPr="002D2F67" w:rsidRDefault="00A466A0" w:rsidP="00155192">
            <w:pPr>
              <w:ind w:right="-72"/>
              <w:jc w:val="right"/>
              <w:rPr>
                <w:rFonts w:ascii="Arial" w:eastAsia="Courier New" w:hAnsi="Arial" w:cs="Arial"/>
                <w:color w:val="000000"/>
                <w:sz w:val="12"/>
                <w:szCs w:val="12"/>
              </w:rPr>
            </w:pPr>
          </w:p>
        </w:tc>
      </w:tr>
      <w:tr w:rsidR="002812FF" w:rsidRPr="002D2F67" w14:paraId="784E8660" w14:textId="77777777" w:rsidTr="002D2F67">
        <w:tc>
          <w:tcPr>
            <w:tcW w:w="3989" w:type="dxa"/>
            <w:shd w:val="clear" w:color="auto" w:fill="auto"/>
            <w:vAlign w:val="center"/>
          </w:tcPr>
          <w:p w14:paraId="0023E147" w14:textId="77777777" w:rsidR="002812FF" w:rsidRPr="002D2F67" w:rsidRDefault="002812FF" w:rsidP="002812FF">
            <w:pPr>
              <w:pStyle w:val="Header"/>
              <w:tabs>
                <w:tab w:val="clear" w:pos="4320"/>
                <w:tab w:val="clear" w:pos="8640"/>
                <w:tab w:val="left" w:pos="2663"/>
              </w:tabs>
              <w:ind w:left="101" w:right="-72" w:hanging="187"/>
              <w:jc w:val="left"/>
              <w:rPr>
                <w:rFonts w:ascii="Arial" w:hAnsi="Arial" w:cs="Arial"/>
                <w:color w:val="000000"/>
                <w:sz w:val="20"/>
                <w:szCs w:val="20"/>
                <w:cs/>
              </w:rPr>
            </w:pPr>
            <w:r w:rsidRPr="002D2F67">
              <w:rPr>
                <w:rFonts w:ascii="Arial" w:hAnsi="Arial" w:cs="Arial"/>
                <w:color w:val="000000"/>
                <w:sz w:val="20"/>
                <w:szCs w:val="20"/>
              </w:rPr>
              <w:t>Unrealised income tax assets</w:t>
            </w:r>
          </w:p>
        </w:tc>
        <w:tc>
          <w:tcPr>
            <w:tcW w:w="1368" w:type="dxa"/>
            <w:tcBorders>
              <w:top w:val="nil"/>
              <w:left w:val="nil"/>
              <w:right w:val="nil"/>
            </w:tcBorders>
            <w:shd w:val="clear" w:color="auto" w:fill="auto"/>
          </w:tcPr>
          <w:p w14:paraId="7B8603B5" w14:textId="628F4AF9" w:rsidR="002812FF" w:rsidRPr="002D2F67" w:rsidRDefault="00CD5714" w:rsidP="002812FF">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CD5714">
              <w:rPr>
                <w:rFonts w:ascii="Arial" w:hAnsi="Arial" w:cs="Arial"/>
                <w:sz w:val="20"/>
                <w:szCs w:val="22"/>
                <w:lang w:val="en-GB"/>
              </w:rPr>
              <w:t>2</w:t>
            </w:r>
            <w:r w:rsidR="002812FF" w:rsidRPr="002D2F67">
              <w:rPr>
                <w:rFonts w:ascii="Arial" w:hAnsi="Arial" w:cs="Arial"/>
                <w:sz w:val="20"/>
                <w:szCs w:val="22"/>
              </w:rPr>
              <w:t>,</w:t>
            </w:r>
            <w:r w:rsidRPr="00CD5714">
              <w:rPr>
                <w:rFonts w:ascii="Arial" w:hAnsi="Arial" w:cs="Arial"/>
                <w:sz w:val="20"/>
                <w:szCs w:val="22"/>
                <w:lang w:val="en-GB"/>
              </w:rPr>
              <w:t>241</w:t>
            </w:r>
            <w:r w:rsidR="002812FF" w:rsidRPr="002D2F67">
              <w:rPr>
                <w:rFonts w:ascii="Arial" w:hAnsi="Arial" w:cs="Arial"/>
                <w:sz w:val="20"/>
                <w:szCs w:val="22"/>
              </w:rPr>
              <w:t>,</w:t>
            </w:r>
            <w:r w:rsidRPr="00CD5714">
              <w:rPr>
                <w:rFonts w:ascii="Arial" w:hAnsi="Arial" w:cs="Arial"/>
                <w:sz w:val="20"/>
                <w:szCs w:val="22"/>
                <w:lang w:val="en-GB"/>
              </w:rPr>
              <w:t>758</w:t>
            </w:r>
          </w:p>
        </w:tc>
        <w:tc>
          <w:tcPr>
            <w:tcW w:w="1368" w:type="dxa"/>
            <w:shd w:val="clear" w:color="auto" w:fill="auto"/>
          </w:tcPr>
          <w:p w14:paraId="5F492952" w14:textId="5093D293" w:rsidR="002812FF" w:rsidRPr="002D2F67" w:rsidRDefault="00CD5714" w:rsidP="002812FF">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CD5714">
              <w:rPr>
                <w:rFonts w:ascii="Arial" w:hAnsi="Arial" w:cs="Arial"/>
                <w:sz w:val="20"/>
                <w:szCs w:val="22"/>
                <w:lang w:val="en-GB"/>
              </w:rPr>
              <w:t>1</w:t>
            </w:r>
            <w:r w:rsidR="002812FF" w:rsidRPr="002D2F67">
              <w:rPr>
                <w:rFonts w:ascii="Arial" w:hAnsi="Arial" w:cs="Arial"/>
                <w:sz w:val="20"/>
                <w:szCs w:val="22"/>
              </w:rPr>
              <w:t>,</w:t>
            </w:r>
            <w:r w:rsidRPr="00CD5714">
              <w:rPr>
                <w:rFonts w:ascii="Arial" w:hAnsi="Arial" w:cs="Arial"/>
                <w:sz w:val="20"/>
                <w:szCs w:val="22"/>
                <w:lang w:val="en-GB"/>
              </w:rPr>
              <w:t>662</w:t>
            </w:r>
            <w:r w:rsidR="002812FF" w:rsidRPr="002D2F67">
              <w:rPr>
                <w:rFonts w:ascii="Arial" w:hAnsi="Arial" w:cs="Arial"/>
                <w:sz w:val="20"/>
                <w:szCs w:val="22"/>
              </w:rPr>
              <w:t>,</w:t>
            </w:r>
            <w:r w:rsidRPr="00CD5714">
              <w:rPr>
                <w:rFonts w:ascii="Arial" w:hAnsi="Arial" w:cs="Arial"/>
                <w:sz w:val="20"/>
                <w:szCs w:val="22"/>
                <w:lang w:val="en-GB"/>
              </w:rPr>
              <w:t>183</w:t>
            </w:r>
          </w:p>
        </w:tc>
        <w:tc>
          <w:tcPr>
            <w:tcW w:w="1368" w:type="dxa"/>
            <w:tcBorders>
              <w:top w:val="nil"/>
              <w:left w:val="nil"/>
              <w:right w:val="nil"/>
            </w:tcBorders>
            <w:shd w:val="clear" w:color="auto" w:fill="auto"/>
          </w:tcPr>
          <w:p w14:paraId="14C30CAD" w14:textId="276E7244" w:rsidR="002812FF" w:rsidRPr="002D2F67" w:rsidRDefault="00CD5714" w:rsidP="002812FF">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CD5714">
              <w:rPr>
                <w:rFonts w:ascii="Arial" w:hAnsi="Arial" w:cs="Arial"/>
                <w:sz w:val="20"/>
                <w:szCs w:val="22"/>
                <w:lang w:val="en-GB"/>
              </w:rPr>
              <w:t>444</w:t>
            </w:r>
            <w:r w:rsidR="002812FF" w:rsidRPr="002D2F67">
              <w:rPr>
                <w:rFonts w:ascii="Arial" w:hAnsi="Arial" w:cs="Arial"/>
                <w:sz w:val="20"/>
                <w:szCs w:val="22"/>
              </w:rPr>
              <w:t>,</w:t>
            </w:r>
            <w:r w:rsidRPr="00CD5714">
              <w:rPr>
                <w:rFonts w:ascii="Arial" w:hAnsi="Arial" w:cs="Arial"/>
                <w:sz w:val="20"/>
                <w:szCs w:val="22"/>
                <w:lang w:val="en-GB"/>
              </w:rPr>
              <w:t>597</w:t>
            </w:r>
          </w:p>
        </w:tc>
        <w:tc>
          <w:tcPr>
            <w:tcW w:w="1368" w:type="dxa"/>
            <w:shd w:val="clear" w:color="auto" w:fill="auto"/>
          </w:tcPr>
          <w:p w14:paraId="19CA132E" w14:textId="67E717D1" w:rsidR="002812FF" w:rsidRPr="002D2F67" w:rsidRDefault="00CD5714" w:rsidP="002812FF">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CD5714">
              <w:rPr>
                <w:rFonts w:ascii="Arial" w:hAnsi="Arial" w:cs="Arial"/>
                <w:sz w:val="20"/>
                <w:szCs w:val="22"/>
                <w:lang w:val="en-GB"/>
              </w:rPr>
              <w:t>409</w:t>
            </w:r>
            <w:r w:rsidR="002812FF" w:rsidRPr="002D2F67">
              <w:rPr>
                <w:rFonts w:ascii="Arial" w:hAnsi="Arial" w:cs="Arial"/>
                <w:sz w:val="20"/>
                <w:szCs w:val="22"/>
              </w:rPr>
              <w:t>,</w:t>
            </w:r>
            <w:r w:rsidRPr="00CD5714">
              <w:rPr>
                <w:rFonts w:ascii="Arial" w:hAnsi="Arial" w:cs="Arial"/>
                <w:sz w:val="20"/>
                <w:szCs w:val="22"/>
                <w:lang w:val="en-GB"/>
              </w:rPr>
              <w:t>256</w:t>
            </w:r>
          </w:p>
        </w:tc>
      </w:tr>
      <w:tr w:rsidR="00A466A0" w:rsidRPr="002D2F67" w14:paraId="1238B4D1" w14:textId="77777777" w:rsidTr="002D2F67">
        <w:tc>
          <w:tcPr>
            <w:tcW w:w="3989" w:type="dxa"/>
            <w:shd w:val="clear" w:color="auto" w:fill="auto"/>
          </w:tcPr>
          <w:p w14:paraId="427008CA" w14:textId="4D84DBD1" w:rsidR="00A466A0" w:rsidRPr="002D2F67" w:rsidRDefault="00A466A0" w:rsidP="00155192">
            <w:pPr>
              <w:pStyle w:val="Header"/>
              <w:tabs>
                <w:tab w:val="clear" w:pos="4320"/>
                <w:tab w:val="clear" w:pos="8640"/>
                <w:tab w:val="left" w:pos="2663"/>
              </w:tabs>
              <w:ind w:left="101" w:right="-72" w:hanging="187"/>
              <w:jc w:val="left"/>
              <w:rPr>
                <w:rFonts w:ascii="Arial" w:hAnsi="Arial" w:cs="Arial"/>
                <w:color w:val="000000"/>
                <w:sz w:val="20"/>
                <w:szCs w:val="20"/>
                <w:cs/>
              </w:rPr>
            </w:pPr>
            <w:r w:rsidRPr="002D2F67">
              <w:rPr>
                <w:rFonts w:ascii="Arial" w:hAnsi="Arial" w:cs="Arial"/>
                <w:color w:val="000000"/>
                <w:sz w:val="20"/>
                <w:szCs w:val="20"/>
              </w:rPr>
              <w:t>Tax losses that expire</w:t>
            </w:r>
            <w:r w:rsidR="003C3658" w:rsidRPr="002D2F67">
              <w:rPr>
                <w:rFonts w:ascii="Arial" w:hAnsi="Arial" w:cs="Arial"/>
                <w:color w:val="000000"/>
                <w:sz w:val="20"/>
                <w:szCs w:val="20"/>
              </w:rPr>
              <w:t>:</w:t>
            </w:r>
          </w:p>
        </w:tc>
        <w:tc>
          <w:tcPr>
            <w:tcW w:w="1368" w:type="dxa"/>
            <w:tcBorders>
              <w:top w:val="nil"/>
              <w:left w:val="nil"/>
              <w:bottom w:val="nil"/>
              <w:right w:val="nil"/>
            </w:tcBorders>
            <w:shd w:val="clear" w:color="auto" w:fill="auto"/>
            <w:vAlign w:val="bottom"/>
          </w:tcPr>
          <w:p w14:paraId="5F0DF9BC" w14:textId="790774B1" w:rsidR="00A466A0" w:rsidRPr="002D2F67" w:rsidRDefault="00A466A0" w:rsidP="00155192">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p>
        </w:tc>
        <w:tc>
          <w:tcPr>
            <w:tcW w:w="1368" w:type="dxa"/>
            <w:shd w:val="clear" w:color="auto" w:fill="auto"/>
            <w:vAlign w:val="bottom"/>
          </w:tcPr>
          <w:p w14:paraId="36327EA9" w14:textId="44E7507C" w:rsidR="00A466A0" w:rsidRPr="002D2F67" w:rsidRDefault="00A466A0" w:rsidP="00155192">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p>
        </w:tc>
        <w:tc>
          <w:tcPr>
            <w:tcW w:w="1368" w:type="dxa"/>
            <w:tcBorders>
              <w:top w:val="nil"/>
              <w:left w:val="nil"/>
              <w:bottom w:val="nil"/>
              <w:right w:val="nil"/>
            </w:tcBorders>
            <w:shd w:val="clear" w:color="auto" w:fill="auto"/>
            <w:vAlign w:val="bottom"/>
          </w:tcPr>
          <w:p w14:paraId="4A31D94F" w14:textId="371893B5" w:rsidR="00A466A0" w:rsidRPr="002D2F67" w:rsidRDefault="00A466A0" w:rsidP="00155192">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p>
        </w:tc>
        <w:tc>
          <w:tcPr>
            <w:tcW w:w="1368" w:type="dxa"/>
            <w:shd w:val="clear" w:color="auto" w:fill="auto"/>
            <w:vAlign w:val="bottom"/>
          </w:tcPr>
          <w:p w14:paraId="756A8336" w14:textId="3D6DC482" w:rsidR="00A466A0" w:rsidRPr="002D2F67" w:rsidRDefault="00A466A0" w:rsidP="00155192">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p>
        </w:tc>
      </w:tr>
      <w:tr w:rsidR="00CB2668" w:rsidRPr="002D2F67" w14:paraId="0D612D5A" w14:textId="77777777" w:rsidTr="002D2F67">
        <w:tc>
          <w:tcPr>
            <w:tcW w:w="3989" w:type="dxa"/>
            <w:shd w:val="clear" w:color="auto" w:fill="auto"/>
          </w:tcPr>
          <w:p w14:paraId="22BACB4D" w14:textId="0463F2AB" w:rsidR="00CB2668" w:rsidRPr="002D2F67" w:rsidRDefault="00CB2668" w:rsidP="00CB2668">
            <w:pPr>
              <w:pStyle w:val="Header"/>
              <w:tabs>
                <w:tab w:val="clear" w:pos="4320"/>
                <w:tab w:val="clear" w:pos="8640"/>
                <w:tab w:val="left" w:pos="2663"/>
              </w:tabs>
              <w:ind w:left="326" w:right="-72" w:hanging="187"/>
              <w:jc w:val="left"/>
              <w:rPr>
                <w:rFonts w:ascii="Arial" w:hAnsi="Arial" w:cs="Arial"/>
                <w:color w:val="000000"/>
                <w:sz w:val="20"/>
                <w:szCs w:val="20"/>
              </w:rPr>
            </w:pPr>
            <w:r w:rsidRPr="002D2F67">
              <w:rPr>
                <w:rFonts w:ascii="Arial" w:hAnsi="Arial" w:cs="Arial"/>
                <w:color w:val="000000"/>
                <w:sz w:val="20"/>
                <w:szCs w:val="20"/>
              </w:rPr>
              <w:t xml:space="preserve">- within </w:t>
            </w:r>
            <w:r w:rsidR="00CD5714" w:rsidRPr="00CD5714">
              <w:rPr>
                <w:rFonts w:ascii="Arial" w:hAnsi="Arial" w:cs="Arial"/>
                <w:color w:val="000000"/>
                <w:sz w:val="20"/>
                <w:szCs w:val="20"/>
                <w:lang w:val="en-GB"/>
              </w:rPr>
              <w:t>2024</w:t>
            </w:r>
          </w:p>
        </w:tc>
        <w:tc>
          <w:tcPr>
            <w:tcW w:w="1368" w:type="dxa"/>
            <w:tcBorders>
              <w:top w:val="nil"/>
              <w:left w:val="nil"/>
              <w:bottom w:val="nil"/>
              <w:right w:val="nil"/>
            </w:tcBorders>
            <w:shd w:val="clear" w:color="auto" w:fill="auto"/>
          </w:tcPr>
          <w:p w14:paraId="7316159F" w14:textId="18F5A59C" w:rsidR="00CB2668" w:rsidRPr="002D2F67" w:rsidRDefault="00CB2668" w:rsidP="00CB266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2D2F67">
              <w:rPr>
                <w:rFonts w:ascii="Arial" w:hAnsi="Arial" w:cs="Arial"/>
                <w:sz w:val="20"/>
                <w:szCs w:val="22"/>
              </w:rPr>
              <w:t>-</w:t>
            </w:r>
          </w:p>
        </w:tc>
        <w:tc>
          <w:tcPr>
            <w:tcW w:w="1368" w:type="dxa"/>
            <w:shd w:val="clear" w:color="auto" w:fill="auto"/>
          </w:tcPr>
          <w:p w14:paraId="31486DFF" w14:textId="7533E958" w:rsidR="00CB2668" w:rsidRPr="002D2F67" w:rsidRDefault="00CD5714" w:rsidP="00CB266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CD5714">
              <w:rPr>
                <w:rFonts w:ascii="Arial" w:hAnsi="Arial" w:cs="Arial"/>
                <w:sz w:val="20"/>
                <w:szCs w:val="22"/>
                <w:lang w:val="en-GB"/>
              </w:rPr>
              <w:t>1</w:t>
            </w:r>
            <w:r w:rsidR="00CB2668" w:rsidRPr="002D2F67">
              <w:rPr>
                <w:rFonts w:ascii="Arial" w:hAnsi="Arial" w:cs="Arial"/>
                <w:sz w:val="20"/>
                <w:szCs w:val="22"/>
              </w:rPr>
              <w:t>,</w:t>
            </w:r>
            <w:r w:rsidRPr="00CD5714">
              <w:rPr>
                <w:rFonts w:ascii="Arial" w:hAnsi="Arial" w:cs="Arial"/>
                <w:sz w:val="20"/>
                <w:szCs w:val="22"/>
                <w:lang w:val="en-GB"/>
              </w:rPr>
              <w:t>224</w:t>
            </w:r>
            <w:r w:rsidR="00CB2668" w:rsidRPr="002D2F67">
              <w:rPr>
                <w:rFonts w:ascii="Arial" w:hAnsi="Arial" w:cs="Arial"/>
                <w:sz w:val="20"/>
                <w:szCs w:val="22"/>
              </w:rPr>
              <w:t>,</w:t>
            </w:r>
            <w:r w:rsidRPr="00CD5714">
              <w:rPr>
                <w:rFonts w:ascii="Arial" w:hAnsi="Arial" w:cs="Arial"/>
                <w:sz w:val="20"/>
                <w:szCs w:val="22"/>
                <w:lang w:val="en-GB"/>
              </w:rPr>
              <w:t>000</w:t>
            </w:r>
          </w:p>
        </w:tc>
        <w:tc>
          <w:tcPr>
            <w:tcW w:w="1368" w:type="dxa"/>
            <w:tcBorders>
              <w:top w:val="nil"/>
              <w:left w:val="nil"/>
              <w:bottom w:val="nil"/>
              <w:right w:val="nil"/>
            </w:tcBorders>
            <w:shd w:val="clear" w:color="auto" w:fill="auto"/>
          </w:tcPr>
          <w:p w14:paraId="42B0A594" w14:textId="5FEF5ED2" w:rsidR="00CB2668" w:rsidRPr="002D2F67" w:rsidRDefault="00CB2668" w:rsidP="00CB266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2D2F67">
              <w:rPr>
                <w:rFonts w:ascii="Arial" w:hAnsi="Arial" w:cs="Arial"/>
                <w:sz w:val="20"/>
                <w:szCs w:val="22"/>
              </w:rPr>
              <w:t>-</w:t>
            </w:r>
          </w:p>
        </w:tc>
        <w:tc>
          <w:tcPr>
            <w:tcW w:w="1368" w:type="dxa"/>
            <w:shd w:val="clear" w:color="auto" w:fill="auto"/>
          </w:tcPr>
          <w:p w14:paraId="0DCD05B8" w14:textId="359D5973" w:rsidR="00CB2668" w:rsidRPr="002D2F67" w:rsidRDefault="00CD5714" w:rsidP="00CB266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CD5714">
              <w:rPr>
                <w:rFonts w:ascii="Arial" w:hAnsi="Arial" w:cs="Arial"/>
                <w:sz w:val="20"/>
                <w:szCs w:val="22"/>
                <w:lang w:val="en-GB"/>
              </w:rPr>
              <w:t>716</w:t>
            </w:r>
            <w:r w:rsidR="00CB2668" w:rsidRPr="002D2F67">
              <w:rPr>
                <w:rFonts w:ascii="Arial" w:hAnsi="Arial" w:cs="Arial"/>
                <w:sz w:val="20"/>
                <w:szCs w:val="22"/>
              </w:rPr>
              <w:t>,</w:t>
            </w:r>
            <w:r w:rsidRPr="00CD5714">
              <w:rPr>
                <w:rFonts w:ascii="Arial" w:hAnsi="Arial" w:cs="Arial"/>
                <w:sz w:val="20"/>
                <w:szCs w:val="22"/>
                <w:lang w:val="en-GB"/>
              </w:rPr>
              <w:t>437</w:t>
            </w:r>
          </w:p>
        </w:tc>
      </w:tr>
      <w:tr w:rsidR="00CB2668" w:rsidRPr="002D2F67" w14:paraId="51F1C67F" w14:textId="77777777" w:rsidTr="002D2F67">
        <w:tc>
          <w:tcPr>
            <w:tcW w:w="3989" w:type="dxa"/>
            <w:shd w:val="clear" w:color="auto" w:fill="auto"/>
          </w:tcPr>
          <w:p w14:paraId="46D2FFE2" w14:textId="590AB470" w:rsidR="00CB2668" w:rsidRPr="002D2F67" w:rsidRDefault="00CB2668" w:rsidP="00CB2668">
            <w:pPr>
              <w:pStyle w:val="Header"/>
              <w:tabs>
                <w:tab w:val="clear" w:pos="4320"/>
                <w:tab w:val="clear" w:pos="8640"/>
                <w:tab w:val="left" w:pos="2663"/>
              </w:tabs>
              <w:ind w:left="326" w:right="-72" w:hanging="187"/>
              <w:jc w:val="left"/>
              <w:rPr>
                <w:rFonts w:ascii="Arial" w:hAnsi="Arial" w:cs="Arial"/>
                <w:color w:val="000000"/>
                <w:sz w:val="20"/>
                <w:szCs w:val="20"/>
              </w:rPr>
            </w:pPr>
            <w:r w:rsidRPr="002D2F67">
              <w:rPr>
                <w:rFonts w:ascii="Arial" w:hAnsi="Arial" w:cs="Arial"/>
                <w:color w:val="000000"/>
                <w:sz w:val="20"/>
                <w:szCs w:val="20"/>
              </w:rPr>
              <w:t xml:space="preserve">- within </w:t>
            </w:r>
            <w:r w:rsidR="00CD5714" w:rsidRPr="00CD5714">
              <w:rPr>
                <w:rFonts w:ascii="Arial" w:hAnsi="Arial" w:cs="Arial"/>
                <w:color w:val="000000"/>
                <w:sz w:val="20"/>
                <w:szCs w:val="20"/>
                <w:lang w:val="en-GB"/>
              </w:rPr>
              <w:t>2025</w:t>
            </w:r>
          </w:p>
        </w:tc>
        <w:tc>
          <w:tcPr>
            <w:tcW w:w="1368" w:type="dxa"/>
            <w:tcBorders>
              <w:top w:val="nil"/>
              <w:left w:val="nil"/>
              <w:bottom w:val="nil"/>
              <w:right w:val="nil"/>
            </w:tcBorders>
            <w:shd w:val="clear" w:color="auto" w:fill="auto"/>
          </w:tcPr>
          <w:p w14:paraId="27AF6EA6" w14:textId="1253F068" w:rsidR="00CB2668" w:rsidRPr="002D2F67" w:rsidRDefault="00CD5714" w:rsidP="00CB266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CD5714">
              <w:rPr>
                <w:rFonts w:ascii="Arial" w:hAnsi="Arial" w:cs="Arial"/>
                <w:sz w:val="20"/>
                <w:szCs w:val="22"/>
                <w:lang w:val="en-GB"/>
              </w:rPr>
              <w:t>741</w:t>
            </w:r>
            <w:r w:rsidR="00CB2668" w:rsidRPr="002D2F67">
              <w:rPr>
                <w:rFonts w:ascii="Arial" w:hAnsi="Arial" w:cs="Arial"/>
                <w:sz w:val="20"/>
                <w:szCs w:val="22"/>
              </w:rPr>
              <w:t>,</w:t>
            </w:r>
            <w:r w:rsidRPr="00CD5714">
              <w:rPr>
                <w:rFonts w:ascii="Arial" w:hAnsi="Arial" w:cs="Arial"/>
                <w:sz w:val="20"/>
                <w:szCs w:val="22"/>
                <w:lang w:val="en-GB"/>
              </w:rPr>
              <w:t>333</w:t>
            </w:r>
          </w:p>
        </w:tc>
        <w:tc>
          <w:tcPr>
            <w:tcW w:w="1368" w:type="dxa"/>
            <w:shd w:val="clear" w:color="auto" w:fill="auto"/>
          </w:tcPr>
          <w:p w14:paraId="10349F37" w14:textId="150B167A" w:rsidR="00CB2668" w:rsidRPr="002D2F67" w:rsidRDefault="00CD5714" w:rsidP="00CB266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CD5714">
              <w:rPr>
                <w:rFonts w:ascii="Arial" w:hAnsi="Arial" w:cs="Arial"/>
                <w:sz w:val="20"/>
                <w:szCs w:val="22"/>
                <w:lang w:val="en-GB"/>
              </w:rPr>
              <w:t>741</w:t>
            </w:r>
            <w:r w:rsidR="00CB2668" w:rsidRPr="002D2F67">
              <w:rPr>
                <w:rFonts w:ascii="Arial" w:hAnsi="Arial" w:cs="Arial"/>
                <w:sz w:val="20"/>
                <w:szCs w:val="22"/>
              </w:rPr>
              <w:t>,</w:t>
            </w:r>
            <w:r w:rsidRPr="00CD5714">
              <w:rPr>
                <w:rFonts w:ascii="Arial" w:hAnsi="Arial" w:cs="Arial"/>
                <w:sz w:val="20"/>
                <w:szCs w:val="22"/>
                <w:lang w:val="en-GB"/>
              </w:rPr>
              <w:t>333</w:t>
            </w:r>
          </w:p>
        </w:tc>
        <w:tc>
          <w:tcPr>
            <w:tcW w:w="1368" w:type="dxa"/>
            <w:tcBorders>
              <w:top w:val="nil"/>
              <w:left w:val="nil"/>
              <w:bottom w:val="nil"/>
              <w:right w:val="nil"/>
            </w:tcBorders>
            <w:shd w:val="clear" w:color="auto" w:fill="auto"/>
          </w:tcPr>
          <w:p w14:paraId="4DCCAA57" w14:textId="389DB70F" w:rsidR="00CB2668" w:rsidRPr="002D2F67" w:rsidRDefault="00CD5714" w:rsidP="00CB266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CD5714">
              <w:rPr>
                <w:rFonts w:ascii="Arial" w:hAnsi="Arial" w:cs="Arial"/>
                <w:sz w:val="20"/>
                <w:szCs w:val="22"/>
                <w:lang w:val="en-GB"/>
              </w:rPr>
              <w:t>173</w:t>
            </w:r>
            <w:r w:rsidR="00CB2668" w:rsidRPr="002D2F67">
              <w:rPr>
                <w:rFonts w:ascii="Arial" w:hAnsi="Arial" w:cs="Arial"/>
                <w:sz w:val="20"/>
                <w:szCs w:val="22"/>
              </w:rPr>
              <w:t>,</w:t>
            </w:r>
            <w:r w:rsidRPr="00CD5714">
              <w:rPr>
                <w:rFonts w:ascii="Arial" w:hAnsi="Arial" w:cs="Arial"/>
                <w:sz w:val="20"/>
                <w:szCs w:val="22"/>
                <w:lang w:val="en-GB"/>
              </w:rPr>
              <w:t>238</w:t>
            </w:r>
          </w:p>
        </w:tc>
        <w:tc>
          <w:tcPr>
            <w:tcW w:w="1368" w:type="dxa"/>
            <w:shd w:val="clear" w:color="auto" w:fill="auto"/>
          </w:tcPr>
          <w:p w14:paraId="3FAFAFA3" w14:textId="17A48A4D" w:rsidR="00CB2668" w:rsidRPr="002D2F67" w:rsidRDefault="00CD5714" w:rsidP="00CB266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CD5714">
              <w:rPr>
                <w:rFonts w:ascii="Arial" w:hAnsi="Arial" w:cs="Arial"/>
                <w:sz w:val="20"/>
                <w:szCs w:val="22"/>
                <w:lang w:val="en-GB"/>
              </w:rPr>
              <w:t>173</w:t>
            </w:r>
            <w:r w:rsidR="00CB2668" w:rsidRPr="002D2F67">
              <w:rPr>
                <w:rFonts w:ascii="Arial" w:hAnsi="Arial" w:cs="Arial"/>
                <w:sz w:val="20"/>
                <w:szCs w:val="22"/>
              </w:rPr>
              <w:t>,</w:t>
            </w:r>
            <w:r w:rsidRPr="00CD5714">
              <w:rPr>
                <w:rFonts w:ascii="Arial" w:hAnsi="Arial" w:cs="Arial"/>
                <w:sz w:val="20"/>
                <w:szCs w:val="22"/>
                <w:lang w:val="en-GB"/>
              </w:rPr>
              <w:t>238</w:t>
            </w:r>
          </w:p>
        </w:tc>
      </w:tr>
      <w:tr w:rsidR="00CB2668" w:rsidRPr="002D2F67" w14:paraId="5780B631" w14:textId="77777777" w:rsidTr="002D2F67">
        <w:tc>
          <w:tcPr>
            <w:tcW w:w="3989" w:type="dxa"/>
            <w:shd w:val="clear" w:color="auto" w:fill="auto"/>
          </w:tcPr>
          <w:p w14:paraId="107A682F" w14:textId="0839FDA6" w:rsidR="00CB2668" w:rsidRPr="002D2F67" w:rsidRDefault="00CB2668" w:rsidP="00CB2668">
            <w:pPr>
              <w:pStyle w:val="Header"/>
              <w:tabs>
                <w:tab w:val="clear" w:pos="4320"/>
                <w:tab w:val="clear" w:pos="8640"/>
                <w:tab w:val="left" w:pos="2663"/>
              </w:tabs>
              <w:ind w:left="326" w:right="-72" w:hanging="187"/>
              <w:jc w:val="left"/>
              <w:rPr>
                <w:rFonts w:ascii="Arial" w:hAnsi="Arial" w:cs="Arial"/>
                <w:color w:val="000000"/>
                <w:sz w:val="20"/>
                <w:szCs w:val="20"/>
              </w:rPr>
            </w:pPr>
            <w:r w:rsidRPr="002D2F67">
              <w:rPr>
                <w:rFonts w:ascii="Arial" w:hAnsi="Arial" w:cs="Arial"/>
                <w:color w:val="000000"/>
                <w:sz w:val="20"/>
                <w:szCs w:val="20"/>
              </w:rPr>
              <w:t xml:space="preserve">- within </w:t>
            </w:r>
            <w:r w:rsidR="00CD5714" w:rsidRPr="00CD5714">
              <w:rPr>
                <w:rFonts w:ascii="Arial" w:hAnsi="Arial" w:cs="Arial"/>
                <w:color w:val="000000"/>
                <w:sz w:val="20"/>
                <w:szCs w:val="20"/>
                <w:lang w:val="en-GB"/>
              </w:rPr>
              <w:t>2026</w:t>
            </w:r>
          </w:p>
        </w:tc>
        <w:tc>
          <w:tcPr>
            <w:tcW w:w="1368" w:type="dxa"/>
            <w:tcBorders>
              <w:top w:val="nil"/>
              <w:left w:val="nil"/>
              <w:bottom w:val="nil"/>
              <w:right w:val="nil"/>
            </w:tcBorders>
            <w:shd w:val="clear" w:color="auto" w:fill="auto"/>
          </w:tcPr>
          <w:p w14:paraId="42FB880C" w14:textId="4E4FABB7" w:rsidR="00CB2668" w:rsidRPr="002D2F67" w:rsidRDefault="00CD5714" w:rsidP="00CB266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CD5714">
              <w:rPr>
                <w:rFonts w:ascii="Arial" w:hAnsi="Arial" w:cs="Arial"/>
                <w:sz w:val="20"/>
                <w:szCs w:val="22"/>
                <w:lang w:val="en-GB"/>
              </w:rPr>
              <w:t>1</w:t>
            </w:r>
            <w:r w:rsidR="00CB2668" w:rsidRPr="002D2F67">
              <w:rPr>
                <w:rFonts w:ascii="Arial" w:hAnsi="Arial" w:cs="Arial"/>
                <w:sz w:val="20"/>
                <w:szCs w:val="22"/>
              </w:rPr>
              <w:t>,</w:t>
            </w:r>
            <w:r w:rsidRPr="00CD5714">
              <w:rPr>
                <w:rFonts w:ascii="Arial" w:hAnsi="Arial" w:cs="Arial"/>
                <w:sz w:val="20"/>
                <w:szCs w:val="22"/>
                <w:lang w:val="en-GB"/>
              </w:rPr>
              <w:t>915</w:t>
            </w:r>
            <w:r w:rsidR="00CB2668" w:rsidRPr="002D2F67">
              <w:rPr>
                <w:rFonts w:ascii="Arial" w:hAnsi="Arial" w:cs="Arial"/>
                <w:sz w:val="20"/>
                <w:szCs w:val="22"/>
              </w:rPr>
              <w:t>,</w:t>
            </w:r>
            <w:r w:rsidRPr="00CD5714">
              <w:rPr>
                <w:rFonts w:ascii="Arial" w:hAnsi="Arial" w:cs="Arial"/>
                <w:sz w:val="20"/>
                <w:szCs w:val="22"/>
                <w:lang w:val="en-GB"/>
              </w:rPr>
              <w:t>191</w:t>
            </w:r>
          </w:p>
        </w:tc>
        <w:tc>
          <w:tcPr>
            <w:tcW w:w="1368" w:type="dxa"/>
            <w:shd w:val="clear" w:color="auto" w:fill="auto"/>
          </w:tcPr>
          <w:p w14:paraId="469F1E4F" w14:textId="2647D0BB" w:rsidR="00CB2668" w:rsidRPr="002D2F67" w:rsidRDefault="00CD5714" w:rsidP="00CB266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CD5714">
              <w:rPr>
                <w:rFonts w:ascii="Arial" w:hAnsi="Arial" w:cs="Arial"/>
                <w:sz w:val="20"/>
                <w:szCs w:val="22"/>
                <w:lang w:val="en-GB"/>
              </w:rPr>
              <w:t>1</w:t>
            </w:r>
            <w:r w:rsidR="00CB2668" w:rsidRPr="002D2F67">
              <w:rPr>
                <w:rFonts w:ascii="Arial" w:hAnsi="Arial" w:cs="Arial"/>
                <w:sz w:val="20"/>
                <w:szCs w:val="22"/>
              </w:rPr>
              <w:t>,</w:t>
            </w:r>
            <w:r w:rsidRPr="00CD5714">
              <w:rPr>
                <w:rFonts w:ascii="Arial" w:hAnsi="Arial" w:cs="Arial"/>
                <w:sz w:val="20"/>
                <w:szCs w:val="22"/>
                <w:lang w:val="en-GB"/>
              </w:rPr>
              <w:t>915</w:t>
            </w:r>
            <w:r w:rsidR="00CB2668" w:rsidRPr="002D2F67">
              <w:rPr>
                <w:rFonts w:ascii="Arial" w:hAnsi="Arial" w:cs="Arial"/>
                <w:sz w:val="20"/>
                <w:szCs w:val="22"/>
              </w:rPr>
              <w:t>,</w:t>
            </w:r>
            <w:r w:rsidRPr="00CD5714">
              <w:rPr>
                <w:rFonts w:ascii="Arial" w:hAnsi="Arial" w:cs="Arial"/>
                <w:sz w:val="20"/>
                <w:szCs w:val="22"/>
                <w:lang w:val="en-GB"/>
              </w:rPr>
              <w:t>191</w:t>
            </w:r>
          </w:p>
        </w:tc>
        <w:tc>
          <w:tcPr>
            <w:tcW w:w="1368" w:type="dxa"/>
            <w:tcBorders>
              <w:top w:val="nil"/>
              <w:left w:val="nil"/>
              <w:bottom w:val="nil"/>
              <w:right w:val="nil"/>
            </w:tcBorders>
            <w:shd w:val="clear" w:color="auto" w:fill="auto"/>
          </w:tcPr>
          <w:p w14:paraId="615A9064" w14:textId="47F3EB72" w:rsidR="00CB2668" w:rsidRPr="002D2F67" w:rsidRDefault="00CD5714" w:rsidP="00CB266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CD5714">
              <w:rPr>
                <w:rFonts w:ascii="Arial" w:hAnsi="Arial" w:cs="Arial"/>
                <w:sz w:val="20"/>
                <w:szCs w:val="22"/>
                <w:lang w:val="en-GB"/>
              </w:rPr>
              <w:t>839</w:t>
            </w:r>
            <w:r w:rsidR="00CB2668" w:rsidRPr="002D2F67">
              <w:rPr>
                <w:rFonts w:ascii="Arial" w:hAnsi="Arial" w:cs="Arial"/>
                <w:sz w:val="20"/>
                <w:szCs w:val="22"/>
              </w:rPr>
              <w:t>,</w:t>
            </w:r>
            <w:r w:rsidRPr="00CD5714">
              <w:rPr>
                <w:rFonts w:ascii="Arial" w:hAnsi="Arial" w:cs="Arial"/>
                <w:sz w:val="20"/>
                <w:szCs w:val="22"/>
                <w:lang w:val="en-GB"/>
              </w:rPr>
              <w:t>836</w:t>
            </w:r>
          </w:p>
        </w:tc>
        <w:tc>
          <w:tcPr>
            <w:tcW w:w="1368" w:type="dxa"/>
            <w:shd w:val="clear" w:color="auto" w:fill="auto"/>
          </w:tcPr>
          <w:p w14:paraId="6A624868" w14:textId="4DAC8E35" w:rsidR="00CB2668" w:rsidRPr="002D2F67" w:rsidRDefault="00CD5714" w:rsidP="00CB266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CD5714">
              <w:rPr>
                <w:rFonts w:ascii="Arial" w:hAnsi="Arial" w:cs="Arial"/>
                <w:sz w:val="20"/>
                <w:szCs w:val="22"/>
                <w:lang w:val="en-GB"/>
              </w:rPr>
              <w:t>839</w:t>
            </w:r>
            <w:r w:rsidR="00CB2668" w:rsidRPr="002D2F67">
              <w:rPr>
                <w:rFonts w:ascii="Arial" w:hAnsi="Arial" w:cs="Arial"/>
                <w:sz w:val="20"/>
                <w:szCs w:val="22"/>
              </w:rPr>
              <w:t>,</w:t>
            </w:r>
            <w:r w:rsidRPr="00CD5714">
              <w:rPr>
                <w:rFonts w:ascii="Arial" w:hAnsi="Arial" w:cs="Arial"/>
                <w:sz w:val="20"/>
                <w:szCs w:val="22"/>
                <w:lang w:val="en-GB"/>
              </w:rPr>
              <w:t>836</w:t>
            </w:r>
          </w:p>
        </w:tc>
      </w:tr>
      <w:tr w:rsidR="00CB2668" w:rsidRPr="002D2F67" w14:paraId="31D57030" w14:textId="77777777" w:rsidTr="002D2F67">
        <w:tc>
          <w:tcPr>
            <w:tcW w:w="3989" w:type="dxa"/>
            <w:shd w:val="clear" w:color="auto" w:fill="auto"/>
          </w:tcPr>
          <w:p w14:paraId="008C52CD" w14:textId="07B4DDD4" w:rsidR="00CB2668" w:rsidRPr="002D2F67" w:rsidRDefault="00CB2668" w:rsidP="00CB2668">
            <w:pPr>
              <w:pStyle w:val="Header"/>
              <w:tabs>
                <w:tab w:val="clear" w:pos="4320"/>
                <w:tab w:val="clear" w:pos="8640"/>
                <w:tab w:val="left" w:pos="2663"/>
              </w:tabs>
              <w:ind w:left="326" w:right="-72" w:hanging="187"/>
              <w:jc w:val="left"/>
              <w:rPr>
                <w:rFonts w:ascii="Arial" w:hAnsi="Arial" w:cs="Arial"/>
                <w:color w:val="000000"/>
                <w:sz w:val="20"/>
                <w:szCs w:val="20"/>
              </w:rPr>
            </w:pPr>
            <w:r w:rsidRPr="002D2F67">
              <w:rPr>
                <w:rFonts w:ascii="Arial" w:hAnsi="Arial" w:cs="Arial"/>
                <w:color w:val="000000"/>
                <w:sz w:val="20"/>
                <w:szCs w:val="20"/>
              </w:rPr>
              <w:t xml:space="preserve">- within </w:t>
            </w:r>
            <w:r w:rsidR="00CD5714" w:rsidRPr="00CD5714">
              <w:rPr>
                <w:rFonts w:ascii="Arial" w:hAnsi="Arial" w:cs="Arial"/>
                <w:color w:val="000000"/>
                <w:sz w:val="20"/>
                <w:szCs w:val="20"/>
                <w:lang w:val="en-GB"/>
              </w:rPr>
              <w:t>2027</w:t>
            </w:r>
          </w:p>
        </w:tc>
        <w:tc>
          <w:tcPr>
            <w:tcW w:w="1368" w:type="dxa"/>
            <w:tcBorders>
              <w:top w:val="nil"/>
              <w:left w:val="nil"/>
              <w:bottom w:val="nil"/>
              <w:right w:val="nil"/>
            </w:tcBorders>
            <w:shd w:val="clear" w:color="auto" w:fill="auto"/>
          </w:tcPr>
          <w:p w14:paraId="22512E02" w14:textId="5D223323" w:rsidR="00CB2668" w:rsidRPr="002D2F67" w:rsidRDefault="00CD5714" w:rsidP="00CB266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CD5714">
              <w:rPr>
                <w:rFonts w:ascii="Arial" w:hAnsi="Arial" w:cs="Arial"/>
                <w:sz w:val="20"/>
                <w:szCs w:val="22"/>
                <w:lang w:val="en-GB"/>
              </w:rPr>
              <w:t>1</w:t>
            </w:r>
            <w:r w:rsidR="00CB2668" w:rsidRPr="002D2F67">
              <w:rPr>
                <w:rFonts w:ascii="Arial" w:hAnsi="Arial" w:cs="Arial"/>
                <w:sz w:val="20"/>
                <w:szCs w:val="22"/>
              </w:rPr>
              <w:t>,</w:t>
            </w:r>
            <w:r w:rsidRPr="00CD5714">
              <w:rPr>
                <w:rFonts w:ascii="Arial" w:hAnsi="Arial" w:cs="Arial"/>
                <w:sz w:val="20"/>
                <w:szCs w:val="22"/>
                <w:lang w:val="en-GB"/>
              </w:rPr>
              <w:t>852</w:t>
            </w:r>
            <w:r w:rsidR="00CB2668" w:rsidRPr="002D2F67">
              <w:rPr>
                <w:rFonts w:ascii="Arial" w:hAnsi="Arial" w:cs="Arial"/>
                <w:sz w:val="20"/>
                <w:szCs w:val="22"/>
              </w:rPr>
              <w:t>,</w:t>
            </w:r>
            <w:r w:rsidRPr="00CD5714">
              <w:rPr>
                <w:rFonts w:ascii="Arial" w:hAnsi="Arial" w:cs="Arial"/>
                <w:sz w:val="20"/>
                <w:szCs w:val="22"/>
                <w:lang w:val="en-GB"/>
              </w:rPr>
              <w:t>685</w:t>
            </w:r>
          </w:p>
        </w:tc>
        <w:tc>
          <w:tcPr>
            <w:tcW w:w="1368" w:type="dxa"/>
            <w:shd w:val="clear" w:color="auto" w:fill="auto"/>
          </w:tcPr>
          <w:p w14:paraId="1F5ECAA9" w14:textId="448AA424" w:rsidR="00CB2668" w:rsidRPr="002D2F67" w:rsidRDefault="00CD5714" w:rsidP="00CB266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CD5714">
              <w:rPr>
                <w:rFonts w:ascii="Arial" w:hAnsi="Arial" w:cs="Arial"/>
                <w:sz w:val="20"/>
                <w:szCs w:val="22"/>
                <w:lang w:val="en-GB"/>
              </w:rPr>
              <w:t>1</w:t>
            </w:r>
            <w:r w:rsidR="00CB2668" w:rsidRPr="002D2F67">
              <w:rPr>
                <w:rFonts w:ascii="Arial" w:hAnsi="Arial" w:cs="Arial"/>
                <w:sz w:val="20"/>
                <w:szCs w:val="22"/>
              </w:rPr>
              <w:t>,</w:t>
            </w:r>
            <w:r w:rsidRPr="00CD5714">
              <w:rPr>
                <w:rFonts w:ascii="Arial" w:hAnsi="Arial" w:cs="Arial"/>
                <w:sz w:val="20"/>
                <w:szCs w:val="22"/>
                <w:lang w:val="en-GB"/>
              </w:rPr>
              <w:t>852</w:t>
            </w:r>
            <w:r w:rsidR="00CB2668" w:rsidRPr="002D2F67">
              <w:rPr>
                <w:rFonts w:ascii="Arial" w:hAnsi="Arial" w:cs="Arial"/>
                <w:sz w:val="20"/>
                <w:szCs w:val="22"/>
              </w:rPr>
              <w:t>,</w:t>
            </w:r>
            <w:r w:rsidRPr="00CD5714">
              <w:rPr>
                <w:rFonts w:ascii="Arial" w:hAnsi="Arial" w:cs="Arial"/>
                <w:sz w:val="20"/>
                <w:szCs w:val="22"/>
                <w:lang w:val="en-GB"/>
              </w:rPr>
              <w:t>685</w:t>
            </w:r>
          </w:p>
        </w:tc>
        <w:tc>
          <w:tcPr>
            <w:tcW w:w="1368" w:type="dxa"/>
            <w:tcBorders>
              <w:top w:val="nil"/>
              <w:left w:val="nil"/>
              <w:bottom w:val="nil"/>
              <w:right w:val="nil"/>
            </w:tcBorders>
            <w:shd w:val="clear" w:color="auto" w:fill="auto"/>
          </w:tcPr>
          <w:p w14:paraId="129182C3" w14:textId="2742AD63" w:rsidR="00CB2668" w:rsidRPr="002D2F67" w:rsidRDefault="00CD5714" w:rsidP="00CB266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CD5714">
              <w:rPr>
                <w:rFonts w:ascii="Arial" w:hAnsi="Arial" w:cs="Arial"/>
                <w:sz w:val="20"/>
                <w:szCs w:val="22"/>
                <w:lang w:val="en-GB"/>
              </w:rPr>
              <w:t>316</w:t>
            </w:r>
            <w:r w:rsidR="00CB2668" w:rsidRPr="002D2F67">
              <w:rPr>
                <w:rFonts w:ascii="Arial" w:hAnsi="Arial" w:cs="Arial"/>
                <w:sz w:val="20"/>
                <w:szCs w:val="22"/>
              </w:rPr>
              <w:t>,</w:t>
            </w:r>
            <w:r w:rsidRPr="00CD5714">
              <w:rPr>
                <w:rFonts w:ascii="Arial" w:hAnsi="Arial" w:cs="Arial"/>
                <w:sz w:val="20"/>
                <w:szCs w:val="22"/>
                <w:lang w:val="en-GB"/>
              </w:rPr>
              <w:t>771</w:t>
            </w:r>
          </w:p>
        </w:tc>
        <w:tc>
          <w:tcPr>
            <w:tcW w:w="1368" w:type="dxa"/>
            <w:shd w:val="clear" w:color="auto" w:fill="auto"/>
          </w:tcPr>
          <w:p w14:paraId="73522800" w14:textId="4D4504E5" w:rsidR="00CB2668" w:rsidRPr="002D2F67" w:rsidRDefault="00CD5714" w:rsidP="00CB266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CD5714">
              <w:rPr>
                <w:rFonts w:ascii="Arial" w:hAnsi="Arial" w:cs="Arial"/>
                <w:sz w:val="20"/>
                <w:szCs w:val="22"/>
                <w:lang w:val="en-GB"/>
              </w:rPr>
              <w:t>316</w:t>
            </w:r>
            <w:r w:rsidR="00CB2668" w:rsidRPr="002D2F67">
              <w:rPr>
                <w:rFonts w:ascii="Arial" w:hAnsi="Arial" w:cs="Arial"/>
                <w:sz w:val="20"/>
                <w:szCs w:val="22"/>
              </w:rPr>
              <w:t>,</w:t>
            </w:r>
            <w:r w:rsidRPr="00CD5714">
              <w:rPr>
                <w:rFonts w:ascii="Arial" w:hAnsi="Arial" w:cs="Arial"/>
                <w:sz w:val="20"/>
                <w:szCs w:val="22"/>
                <w:lang w:val="en-GB"/>
              </w:rPr>
              <w:t>771</w:t>
            </w:r>
          </w:p>
        </w:tc>
      </w:tr>
      <w:tr w:rsidR="00CB2668" w:rsidRPr="002D2F67" w14:paraId="532BB488" w14:textId="77777777" w:rsidTr="002D2F67">
        <w:tc>
          <w:tcPr>
            <w:tcW w:w="3989" w:type="dxa"/>
            <w:shd w:val="clear" w:color="auto" w:fill="auto"/>
          </w:tcPr>
          <w:p w14:paraId="19E652C6" w14:textId="2B2A731E" w:rsidR="00CB2668" w:rsidRPr="002D2F67" w:rsidRDefault="00CB2668" w:rsidP="00CB2668">
            <w:pPr>
              <w:pStyle w:val="Header"/>
              <w:tabs>
                <w:tab w:val="clear" w:pos="4320"/>
                <w:tab w:val="clear" w:pos="8640"/>
                <w:tab w:val="left" w:pos="2663"/>
              </w:tabs>
              <w:ind w:left="326" w:right="-72" w:hanging="187"/>
              <w:jc w:val="left"/>
              <w:rPr>
                <w:rFonts w:ascii="Arial" w:hAnsi="Arial" w:cs="Arial"/>
                <w:color w:val="000000"/>
                <w:sz w:val="20"/>
                <w:szCs w:val="20"/>
              </w:rPr>
            </w:pPr>
            <w:r w:rsidRPr="002D2F67">
              <w:rPr>
                <w:rFonts w:ascii="Arial" w:hAnsi="Arial" w:cs="Arial"/>
                <w:color w:val="000000"/>
                <w:sz w:val="20"/>
                <w:szCs w:val="20"/>
              </w:rPr>
              <w:t xml:space="preserve">- within </w:t>
            </w:r>
            <w:r w:rsidR="00CD5714" w:rsidRPr="00CD5714">
              <w:rPr>
                <w:rFonts w:ascii="Arial" w:hAnsi="Arial" w:cs="Arial"/>
                <w:color w:val="000000"/>
                <w:sz w:val="20"/>
                <w:szCs w:val="20"/>
                <w:lang w:val="en-GB"/>
              </w:rPr>
              <w:t>2028</w:t>
            </w:r>
          </w:p>
        </w:tc>
        <w:tc>
          <w:tcPr>
            <w:tcW w:w="1368" w:type="dxa"/>
            <w:tcBorders>
              <w:top w:val="nil"/>
              <w:left w:val="nil"/>
              <w:right w:val="nil"/>
            </w:tcBorders>
            <w:shd w:val="clear" w:color="auto" w:fill="auto"/>
          </w:tcPr>
          <w:p w14:paraId="34023B77" w14:textId="1E3FEF85" w:rsidR="00CB2668" w:rsidRPr="002D2F67" w:rsidRDefault="00CD5714" w:rsidP="00CB266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CD5714">
              <w:rPr>
                <w:rFonts w:ascii="Arial" w:hAnsi="Arial" w:cs="Arial"/>
                <w:sz w:val="20"/>
                <w:szCs w:val="22"/>
                <w:lang w:val="en-GB"/>
              </w:rPr>
              <w:t>2</w:t>
            </w:r>
            <w:r w:rsidR="00CB2668" w:rsidRPr="002D2F67">
              <w:rPr>
                <w:rFonts w:ascii="Arial" w:hAnsi="Arial" w:cs="Arial"/>
                <w:sz w:val="20"/>
                <w:szCs w:val="22"/>
              </w:rPr>
              <w:t>,</w:t>
            </w:r>
            <w:r w:rsidRPr="00CD5714">
              <w:rPr>
                <w:rFonts w:ascii="Arial" w:hAnsi="Arial" w:cs="Arial"/>
                <w:sz w:val="20"/>
                <w:szCs w:val="22"/>
                <w:lang w:val="en-GB"/>
              </w:rPr>
              <w:t>577</w:t>
            </w:r>
            <w:r w:rsidR="00CB2668" w:rsidRPr="002D2F67">
              <w:rPr>
                <w:rFonts w:ascii="Arial" w:hAnsi="Arial" w:cs="Arial"/>
                <w:sz w:val="20"/>
                <w:szCs w:val="22"/>
              </w:rPr>
              <w:t>,</w:t>
            </w:r>
            <w:r w:rsidRPr="00CD5714">
              <w:rPr>
                <w:rFonts w:ascii="Arial" w:hAnsi="Arial" w:cs="Arial"/>
                <w:sz w:val="20"/>
                <w:szCs w:val="22"/>
                <w:lang w:val="en-GB"/>
              </w:rPr>
              <w:t>704</w:t>
            </w:r>
          </w:p>
        </w:tc>
        <w:tc>
          <w:tcPr>
            <w:tcW w:w="1368" w:type="dxa"/>
            <w:shd w:val="clear" w:color="auto" w:fill="auto"/>
          </w:tcPr>
          <w:p w14:paraId="54B00D49" w14:textId="355C946B" w:rsidR="00CB2668" w:rsidRPr="002D2F67" w:rsidRDefault="00CD5714" w:rsidP="00CB266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CD5714">
              <w:rPr>
                <w:rFonts w:ascii="Arial" w:hAnsi="Arial" w:cs="Arial"/>
                <w:sz w:val="20"/>
                <w:szCs w:val="22"/>
                <w:lang w:val="en-GB"/>
              </w:rPr>
              <w:t>2</w:t>
            </w:r>
            <w:r w:rsidR="00CB2668" w:rsidRPr="002D2F67">
              <w:rPr>
                <w:rFonts w:ascii="Arial" w:hAnsi="Arial" w:cs="Arial"/>
                <w:sz w:val="20"/>
                <w:szCs w:val="22"/>
              </w:rPr>
              <w:t>,</w:t>
            </w:r>
            <w:r w:rsidRPr="00CD5714">
              <w:rPr>
                <w:rFonts w:ascii="Arial" w:hAnsi="Arial" w:cs="Arial"/>
                <w:sz w:val="20"/>
                <w:szCs w:val="22"/>
                <w:lang w:val="en-GB"/>
              </w:rPr>
              <w:t>577</w:t>
            </w:r>
            <w:r w:rsidR="00CB2668" w:rsidRPr="002D2F67">
              <w:rPr>
                <w:rFonts w:ascii="Arial" w:hAnsi="Arial" w:cs="Arial"/>
                <w:sz w:val="20"/>
                <w:szCs w:val="22"/>
              </w:rPr>
              <w:t>,</w:t>
            </w:r>
            <w:r w:rsidRPr="00CD5714">
              <w:rPr>
                <w:rFonts w:ascii="Arial" w:hAnsi="Arial" w:cs="Arial"/>
                <w:sz w:val="20"/>
                <w:szCs w:val="22"/>
                <w:lang w:val="en-GB"/>
              </w:rPr>
              <w:t>704</w:t>
            </w:r>
          </w:p>
        </w:tc>
        <w:tc>
          <w:tcPr>
            <w:tcW w:w="1368" w:type="dxa"/>
            <w:tcBorders>
              <w:top w:val="nil"/>
              <w:left w:val="nil"/>
              <w:right w:val="nil"/>
            </w:tcBorders>
            <w:shd w:val="clear" w:color="auto" w:fill="auto"/>
          </w:tcPr>
          <w:p w14:paraId="00FA872F" w14:textId="6C3981F6" w:rsidR="00CB2668" w:rsidRPr="002D2F67" w:rsidRDefault="00CB2668" w:rsidP="00CB266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2D2F67">
              <w:rPr>
                <w:rFonts w:ascii="Arial" w:hAnsi="Arial" w:cs="Arial"/>
                <w:sz w:val="20"/>
                <w:szCs w:val="22"/>
              </w:rPr>
              <w:t>-</w:t>
            </w:r>
          </w:p>
        </w:tc>
        <w:tc>
          <w:tcPr>
            <w:tcW w:w="1368" w:type="dxa"/>
            <w:shd w:val="clear" w:color="auto" w:fill="auto"/>
          </w:tcPr>
          <w:p w14:paraId="2620CB80" w14:textId="753BAE81" w:rsidR="00CB2668" w:rsidRPr="002D2F67" w:rsidRDefault="00CB2668" w:rsidP="00CB266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2D2F67">
              <w:rPr>
                <w:rFonts w:ascii="Arial" w:hAnsi="Arial" w:cs="Arial"/>
                <w:sz w:val="20"/>
                <w:szCs w:val="22"/>
              </w:rPr>
              <w:t>-</w:t>
            </w:r>
          </w:p>
        </w:tc>
      </w:tr>
      <w:tr w:rsidR="00CB2668" w:rsidRPr="002D2F67" w14:paraId="60517CDE" w14:textId="77777777" w:rsidTr="002D2F67">
        <w:tc>
          <w:tcPr>
            <w:tcW w:w="3989" w:type="dxa"/>
            <w:shd w:val="clear" w:color="auto" w:fill="auto"/>
          </w:tcPr>
          <w:p w14:paraId="607781B7" w14:textId="5D61CCBF" w:rsidR="00CB2668" w:rsidRPr="002D2F67" w:rsidRDefault="00CB2668" w:rsidP="00CB2668">
            <w:pPr>
              <w:pStyle w:val="Header"/>
              <w:tabs>
                <w:tab w:val="clear" w:pos="4320"/>
                <w:tab w:val="clear" w:pos="8640"/>
                <w:tab w:val="left" w:pos="2663"/>
              </w:tabs>
              <w:ind w:left="326" w:right="-72" w:hanging="187"/>
              <w:jc w:val="left"/>
              <w:rPr>
                <w:rFonts w:ascii="Arial" w:hAnsi="Arial" w:cs="Arial"/>
                <w:color w:val="000000"/>
                <w:sz w:val="20"/>
                <w:szCs w:val="20"/>
              </w:rPr>
            </w:pPr>
            <w:r w:rsidRPr="002D2F67">
              <w:rPr>
                <w:rFonts w:ascii="Arial" w:hAnsi="Arial" w:cs="Arial"/>
                <w:color w:val="000000"/>
                <w:sz w:val="20"/>
                <w:szCs w:val="20"/>
              </w:rPr>
              <w:t xml:space="preserve">- within </w:t>
            </w:r>
            <w:r w:rsidR="00CD5714" w:rsidRPr="00CD5714">
              <w:rPr>
                <w:rFonts w:ascii="Arial" w:hAnsi="Arial" w:cs="Arial"/>
                <w:color w:val="000000"/>
                <w:sz w:val="20"/>
                <w:szCs w:val="20"/>
                <w:lang w:val="en-GB"/>
              </w:rPr>
              <w:t>2029</w:t>
            </w:r>
          </w:p>
        </w:tc>
        <w:tc>
          <w:tcPr>
            <w:tcW w:w="1368" w:type="dxa"/>
            <w:tcBorders>
              <w:top w:val="nil"/>
              <w:left w:val="nil"/>
              <w:bottom w:val="single" w:sz="4" w:space="0" w:color="auto"/>
              <w:right w:val="nil"/>
            </w:tcBorders>
            <w:shd w:val="clear" w:color="auto" w:fill="auto"/>
          </w:tcPr>
          <w:p w14:paraId="63B83334" w14:textId="099F3FE8" w:rsidR="00CB2668" w:rsidRPr="002D2F67" w:rsidRDefault="00CD5714" w:rsidP="00CB266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CD5714">
              <w:rPr>
                <w:rFonts w:ascii="Arial" w:hAnsi="Arial" w:cs="Arial"/>
                <w:sz w:val="20"/>
                <w:szCs w:val="22"/>
                <w:lang w:val="en-GB"/>
              </w:rPr>
              <w:t>4</w:t>
            </w:r>
            <w:r w:rsidR="00CB2668" w:rsidRPr="002D2F67">
              <w:rPr>
                <w:rFonts w:ascii="Arial" w:hAnsi="Arial" w:cs="Arial"/>
                <w:sz w:val="20"/>
                <w:szCs w:val="22"/>
              </w:rPr>
              <w:t>,</w:t>
            </w:r>
            <w:r w:rsidRPr="00CD5714">
              <w:rPr>
                <w:rFonts w:ascii="Arial" w:hAnsi="Arial" w:cs="Arial"/>
                <w:sz w:val="20"/>
                <w:szCs w:val="22"/>
                <w:lang w:val="en-GB"/>
              </w:rPr>
              <w:t>121</w:t>
            </w:r>
            <w:r w:rsidR="00CB2668" w:rsidRPr="002D2F67">
              <w:rPr>
                <w:rFonts w:ascii="Arial" w:hAnsi="Arial" w:cs="Arial"/>
                <w:sz w:val="20"/>
                <w:szCs w:val="22"/>
              </w:rPr>
              <w:t>,</w:t>
            </w:r>
            <w:r w:rsidRPr="00CD5714">
              <w:rPr>
                <w:rFonts w:ascii="Arial" w:hAnsi="Arial" w:cs="Arial"/>
                <w:sz w:val="20"/>
                <w:szCs w:val="22"/>
                <w:lang w:val="en-GB"/>
              </w:rPr>
              <w:t>875</w:t>
            </w:r>
          </w:p>
        </w:tc>
        <w:tc>
          <w:tcPr>
            <w:tcW w:w="1368" w:type="dxa"/>
            <w:tcBorders>
              <w:bottom w:val="single" w:sz="4" w:space="0" w:color="auto"/>
            </w:tcBorders>
            <w:shd w:val="clear" w:color="auto" w:fill="auto"/>
          </w:tcPr>
          <w:p w14:paraId="2C91370C" w14:textId="2D22FAED" w:rsidR="00CB2668" w:rsidRPr="002D2F67" w:rsidRDefault="00CB2668" w:rsidP="00CB266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2D2F67">
              <w:rPr>
                <w:rFonts w:ascii="Arial" w:hAnsi="Arial" w:cs="Arial"/>
                <w:sz w:val="20"/>
                <w:szCs w:val="22"/>
              </w:rPr>
              <w:t>-</w:t>
            </w:r>
          </w:p>
        </w:tc>
        <w:tc>
          <w:tcPr>
            <w:tcW w:w="1368" w:type="dxa"/>
            <w:tcBorders>
              <w:top w:val="nil"/>
              <w:left w:val="nil"/>
              <w:bottom w:val="single" w:sz="4" w:space="0" w:color="auto"/>
              <w:right w:val="nil"/>
            </w:tcBorders>
            <w:shd w:val="clear" w:color="auto" w:fill="auto"/>
          </w:tcPr>
          <w:p w14:paraId="59F98313" w14:textId="5F726AD6" w:rsidR="00CB2668" w:rsidRPr="002D2F67" w:rsidRDefault="00CD5714" w:rsidP="00CB266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CD5714">
              <w:rPr>
                <w:rFonts w:ascii="Arial" w:hAnsi="Arial" w:cs="Arial"/>
                <w:sz w:val="20"/>
                <w:szCs w:val="22"/>
                <w:lang w:val="en-GB"/>
              </w:rPr>
              <w:t>893</w:t>
            </w:r>
            <w:r w:rsidR="00CB2668" w:rsidRPr="002D2F67">
              <w:rPr>
                <w:rFonts w:ascii="Arial" w:hAnsi="Arial" w:cs="Arial"/>
                <w:sz w:val="20"/>
                <w:szCs w:val="22"/>
              </w:rPr>
              <w:t>,</w:t>
            </w:r>
            <w:r w:rsidRPr="00CD5714">
              <w:rPr>
                <w:rFonts w:ascii="Arial" w:hAnsi="Arial" w:cs="Arial"/>
                <w:sz w:val="20"/>
                <w:szCs w:val="22"/>
                <w:lang w:val="en-GB"/>
              </w:rPr>
              <w:t>140</w:t>
            </w:r>
          </w:p>
        </w:tc>
        <w:tc>
          <w:tcPr>
            <w:tcW w:w="1368" w:type="dxa"/>
            <w:tcBorders>
              <w:bottom w:val="single" w:sz="4" w:space="0" w:color="auto"/>
            </w:tcBorders>
            <w:shd w:val="clear" w:color="auto" w:fill="auto"/>
          </w:tcPr>
          <w:p w14:paraId="54266730" w14:textId="731FF5C7" w:rsidR="00CB2668" w:rsidRPr="002D2F67" w:rsidRDefault="00CB2668" w:rsidP="00CB266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2D2F67">
              <w:rPr>
                <w:rFonts w:ascii="Arial" w:hAnsi="Arial" w:cs="Arial"/>
                <w:sz w:val="20"/>
                <w:szCs w:val="22"/>
              </w:rPr>
              <w:t>-</w:t>
            </w:r>
          </w:p>
        </w:tc>
      </w:tr>
      <w:tr w:rsidR="003C3658" w:rsidRPr="002D2F67" w14:paraId="1F3F417C" w14:textId="77777777" w:rsidTr="002D2F67">
        <w:tc>
          <w:tcPr>
            <w:tcW w:w="3989" w:type="dxa"/>
            <w:shd w:val="clear" w:color="auto" w:fill="auto"/>
          </w:tcPr>
          <w:p w14:paraId="494F30A0" w14:textId="77777777" w:rsidR="003C3658" w:rsidRPr="002D2F67" w:rsidRDefault="003C3658" w:rsidP="00155192">
            <w:pPr>
              <w:pStyle w:val="Header"/>
              <w:tabs>
                <w:tab w:val="clear" w:pos="4320"/>
                <w:tab w:val="clear" w:pos="8640"/>
                <w:tab w:val="left" w:pos="2663"/>
              </w:tabs>
              <w:ind w:left="101" w:right="-72" w:hanging="187"/>
              <w:jc w:val="left"/>
              <w:rPr>
                <w:rFonts w:ascii="Arial" w:hAnsi="Arial" w:cs="Arial"/>
                <w:color w:val="000000"/>
                <w:sz w:val="12"/>
                <w:szCs w:val="12"/>
              </w:rPr>
            </w:pPr>
          </w:p>
        </w:tc>
        <w:tc>
          <w:tcPr>
            <w:tcW w:w="1368" w:type="dxa"/>
            <w:tcBorders>
              <w:top w:val="single" w:sz="4" w:space="0" w:color="auto"/>
              <w:left w:val="nil"/>
              <w:right w:val="nil"/>
            </w:tcBorders>
            <w:shd w:val="clear" w:color="auto" w:fill="auto"/>
            <w:vAlign w:val="bottom"/>
          </w:tcPr>
          <w:p w14:paraId="7E094EFA" w14:textId="77777777" w:rsidR="003C3658" w:rsidRPr="002D2F67" w:rsidRDefault="003C3658" w:rsidP="00155192">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p>
        </w:tc>
        <w:tc>
          <w:tcPr>
            <w:tcW w:w="1368" w:type="dxa"/>
            <w:tcBorders>
              <w:top w:val="single" w:sz="4" w:space="0" w:color="auto"/>
            </w:tcBorders>
            <w:shd w:val="clear" w:color="auto" w:fill="auto"/>
            <w:vAlign w:val="bottom"/>
          </w:tcPr>
          <w:p w14:paraId="4627B964" w14:textId="77777777" w:rsidR="003C3658" w:rsidRPr="002D2F67" w:rsidRDefault="003C3658" w:rsidP="00155192">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p>
        </w:tc>
        <w:tc>
          <w:tcPr>
            <w:tcW w:w="1368" w:type="dxa"/>
            <w:tcBorders>
              <w:top w:val="single" w:sz="4" w:space="0" w:color="auto"/>
              <w:left w:val="nil"/>
              <w:right w:val="nil"/>
            </w:tcBorders>
            <w:shd w:val="clear" w:color="auto" w:fill="auto"/>
            <w:vAlign w:val="bottom"/>
          </w:tcPr>
          <w:p w14:paraId="7D0012CE" w14:textId="77777777" w:rsidR="003C3658" w:rsidRPr="002D2F67" w:rsidRDefault="003C3658" w:rsidP="00155192">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p>
        </w:tc>
        <w:tc>
          <w:tcPr>
            <w:tcW w:w="1368" w:type="dxa"/>
            <w:tcBorders>
              <w:top w:val="single" w:sz="4" w:space="0" w:color="auto"/>
            </w:tcBorders>
            <w:shd w:val="clear" w:color="auto" w:fill="auto"/>
            <w:vAlign w:val="bottom"/>
          </w:tcPr>
          <w:p w14:paraId="06DE751B" w14:textId="77777777" w:rsidR="003C3658" w:rsidRPr="002D2F67" w:rsidRDefault="003C3658" w:rsidP="00155192">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p>
        </w:tc>
      </w:tr>
      <w:tr w:rsidR="00981FD2" w:rsidRPr="002D2F67" w14:paraId="38457DC5" w14:textId="77777777" w:rsidTr="002D2F67">
        <w:tc>
          <w:tcPr>
            <w:tcW w:w="3989" w:type="dxa"/>
            <w:shd w:val="clear" w:color="auto" w:fill="auto"/>
          </w:tcPr>
          <w:p w14:paraId="788ECB22" w14:textId="77777777" w:rsidR="00981FD2" w:rsidRPr="002D2F67" w:rsidRDefault="00981FD2" w:rsidP="00981FD2">
            <w:pPr>
              <w:pStyle w:val="Header"/>
              <w:tabs>
                <w:tab w:val="clear" w:pos="4320"/>
                <w:tab w:val="clear" w:pos="8640"/>
                <w:tab w:val="left" w:pos="2663"/>
              </w:tabs>
              <w:ind w:left="101" w:right="-72" w:hanging="187"/>
              <w:jc w:val="left"/>
              <w:rPr>
                <w:rFonts w:ascii="Arial" w:hAnsi="Arial" w:cs="Arial"/>
                <w:color w:val="000000"/>
                <w:sz w:val="20"/>
                <w:szCs w:val="20"/>
              </w:rPr>
            </w:pPr>
            <w:r w:rsidRPr="002D2F67">
              <w:rPr>
                <w:rFonts w:ascii="Arial" w:hAnsi="Arial" w:cs="Arial"/>
                <w:color w:val="000000"/>
                <w:sz w:val="20"/>
                <w:szCs w:val="20"/>
              </w:rPr>
              <w:t>Accumulated tax losses that can be carried</w:t>
            </w:r>
          </w:p>
          <w:p w14:paraId="47701DCD" w14:textId="067828B8" w:rsidR="00981FD2" w:rsidRPr="002D2F67" w:rsidRDefault="00981FD2" w:rsidP="00981FD2">
            <w:pPr>
              <w:pStyle w:val="Header"/>
              <w:tabs>
                <w:tab w:val="clear" w:pos="4320"/>
                <w:tab w:val="clear" w:pos="8640"/>
                <w:tab w:val="left" w:pos="2663"/>
              </w:tabs>
              <w:ind w:left="101" w:right="-72" w:hanging="187"/>
              <w:jc w:val="left"/>
              <w:rPr>
                <w:rFonts w:ascii="Arial" w:hAnsi="Arial" w:cs="Arial"/>
                <w:color w:val="000000"/>
                <w:sz w:val="20"/>
                <w:szCs w:val="20"/>
              </w:rPr>
            </w:pPr>
            <w:r w:rsidRPr="002D2F67">
              <w:rPr>
                <w:rFonts w:ascii="Arial" w:hAnsi="Arial" w:cs="Arial"/>
                <w:color w:val="000000"/>
                <w:sz w:val="20"/>
                <w:szCs w:val="20"/>
              </w:rPr>
              <w:t xml:space="preserve">   forward to offset future tax</w:t>
            </w:r>
            <w:r w:rsidR="001E6907">
              <w:rPr>
                <w:rFonts w:ascii="Arial" w:hAnsi="Arial" w:cs="Arial"/>
                <w:color w:val="000000"/>
                <w:sz w:val="20"/>
                <w:szCs w:val="20"/>
              </w:rPr>
              <w:t>able</w:t>
            </w:r>
            <w:r w:rsidRPr="002D2F67">
              <w:rPr>
                <w:rFonts w:ascii="Arial" w:hAnsi="Arial" w:cs="Arial"/>
                <w:color w:val="000000"/>
                <w:sz w:val="20"/>
                <w:szCs w:val="20"/>
              </w:rPr>
              <w:t xml:space="preserve"> profits</w:t>
            </w:r>
          </w:p>
        </w:tc>
        <w:tc>
          <w:tcPr>
            <w:tcW w:w="1368" w:type="dxa"/>
            <w:tcBorders>
              <w:top w:val="nil"/>
              <w:left w:val="nil"/>
              <w:bottom w:val="single" w:sz="4" w:space="0" w:color="auto"/>
              <w:right w:val="nil"/>
            </w:tcBorders>
            <w:shd w:val="clear" w:color="auto" w:fill="auto"/>
          </w:tcPr>
          <w:p w14:paraId="28D72F3C" w14:textId="77777777" w:rsidR="00981FD2" w:rsidRPr="002D2F67" w:rsidRDefault="00981FD2" w:rsidP="00981FD2">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p>
          <w:p w14:paraId="3334135F" w14:textId="4F9649A2" w:rsidR="00981FD2" w:rsidRPr="002D2F67" w:rsidRDefault="00CD5714" w:rsidP="00981FD2">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CD5714">
              <w:rPr>
                <w:rFonts w:ascii="Arial" w:hAnsi="Arial" w:cs="Arial"/>
                <w:sz w:val="20"/>
                <w:szCs w:val="22"/>
                <w:lang w:val="en-GB"/>
              </w:rPr>
              <w:t>11</w:t>
            </w:r>
            <w:r w:rsidR="00981FD2" w:rsidRPr="002D2F67">
              <w:rPr>
                <w:rFonts w:ascii="Arial" w:hAnsi="Arial" w:cs="Arial"/>
                <w:sz w:val="20"/>
                <w:szCs w:val="22"/>
              </w:rPr>
              <w:t>,</w:t>
            </w:r>
            <w:r w:rsidRPr="00CD5714">
              <w:rPr>
                <w:rFonts w:ascii="Arial" w:hAnsi="Arial" w:cs="Arial"/>
                <w:sz w:val="20"/>
                <w:szCs w:val="22"/>
                <w:lang w:val="en-GB"/>
              </w:rPr>
              <w:t>208</w:t>
            </w:r>
            <w:r w:rsidR="00981FD2" w:rsidRPr="002D2F67">
              <w:rPr>
                <w:rFonts w:ascii="Arial" w:hAnsi="Arial" w:cs="Arial"/>
                <w:sz w:val="20"/>
                <w:szCs w:val="22"/>
              </w:rPr>
              <w:t>,</w:t>
            </w:r>
            <w:r w:rsidRPr="00CD5714">
              <w:rPr>
                <w:rFonts w:ascii="Arial" w:hAnsi="Arial" w:cs="Arial"/>
                <w:sz w:val="20"/>
                <w:szCs w:val="22"/>
                <w:lang w:val="en-GB"/>
              </w:rPr>
              <w:t>788</w:t>
            </w:r>
          </w:p>
        </w:tc>
        <w:tc>
          <w:tcPr>
            <w:tcW w:w="1368" w:type="dxa"/>
            <w:tcBorders>
              <w:bottom w:val="single" w:sz="4" w:space="0" w:color="auto"/>
            </w:tcBorders>
            <w:shd w:val="clear" w:color="auto" w:fill="auto"/>
          </w:tcPr>
          <w:p w14:paraId="2EE7896C" w14:textId="77777777" w:rsidR="00981FD2" w:rsidRPr="002D2F67" w:rsidRDefault="00981FD2" w:rsidP="00981FD2">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p>
          <w:p w14:paraId="6FD7EB71" w14:textId="28954EF4" w:rsidR="00981FD2" w:rsidRPr="002D2F67" w:rsidRDefault="00CD5714" w:rsidP="00981FD2">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CD5714">
              <w:rPr>
                <w:rFonts w:ascii="Arial" w:hAnsi="Arial" w:cs="Arial"/>
                <w:sz w:val="20"/>
                <w:szCs w:val="22"/>
                <w:lang w:val="en-GB"/>
              </w:rPr>
              <w:t>8</w:t>
            </w:r>
            <w:r w:rsidR="00981FD2" w:rsidRPr="002D2F67">
              <w:rPr>
                <w:rFonts w:ascii="Arial" w:hAnsi="Arial" w:cs="Arial"/>
                <w:sz w:val="20"/>
                <w:szCs w:val="22"/>
              </w:rPr>
              <w:t>,</w:t>
            </w:r>
            <w:r w:rsidRPr="00CD5714">
              <w:rPr>
                <w:rFonts w:ascii="Arial" w:hAnsi="Arial" w:cs="Arial"/>
                <w:sz w:val="20"/>
                <w:szCs w:val="22"/>
                <w:lang w:val="en-GB"/>
              </w:rPr>
              <w:t>310</w:t>
            </w:r>
            <w:r w:rsidR="00981FD2" w:rsidRPr="002D2F67">
              <w:rPr>
                <w:rFonts w:ascii="Arial" w:hAnsi="Arial" w:cs="Arial"/>
                <w:sz w:val="20"/>
                <w:szCs w:val="22"/>
              </w:rPr>
              <w:t>,</w:t>
            </w:r>
            <w:r w:rsidRPr="00CD5714">
              <w:rPr>
                <w:rFonts w:ascii="Arial" w:hAnsi="Arial" w:cs="Arial"/>
                <w:sz w:val="20"/>
                <w:szCs w:val="22"/>
                <w:lang w:val="en-GB"/>
              </w:rPr>
              <w:t>913</w:t>
            </w:r>
          </w:p>
        </w:tc>
        <w:tc>
          <w:tcPr>
            <w:tcW w:w="1368" w:type="dxa"/>
            <w:tcBorders>
              <w:top w:val="nil"/>
              <w:left w:val="nil"/>
              <w:bottom w:val="single" w:sz="4" w:space="0" w:color="auto"/>
              <w:right w:val="nil"/>
            </w:tcBorders>
            <w:shd w:val="clear" w:color="auto" w:fill="auto"/>
          </w:tcPr>
          <w:p w14:paraId="3F547B67" w14:textId="77777777" w:rsidR="00981FD2" w:rsidRPr="002D2F67" w:rsidRDefault="00981FD2" w:rsidP="00981FD2">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p>
          <w:p w14:paraId="49703647" w14:textId="1743B289" w:rsidR="00981FD2" w:rsidRPr="002D2F67" w:rsidRDefault="00CD5714" w:rsidP="00981FD2">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CD5714">
              <w:rPr>
                <w:rFonts w:ascii="Arial" w:hAnsi="Arial" w:cs="Arial"/>
                <w:sz w:val="20"/>
                <w:szCs w:val="22"/>
                <w:lang w:val="en-GB"/>
              </w:rPr>
              <w:t>2</w:t>
            </w:r>
            <w:r w:rsidR="00981FD2" w:rsidRPr="002D2F67">
              <w:rPr>
                <w:rFonts w:ascii="Arial" w:hAnsi="Arial" w:cs="Arial"/>
                <w:sz w:val="20"/>
                <w:szCs w:val="22"/>
              </w:rPr>
              <w:t>,</w:t>
            </w:r>
            <w:r w:rsidRPr="00CD5714">
              <w:rPr>
                <w:rFonts w:ascii="Arial" w:hAnsi="Arial" w:cs="Arial"/>
                <w:sz w:val="20"/>
                <w:szCs w:val="22"/>
                <w:lang w:val="en-GB"/>
              </w:rPr>
              <w:t>222</w:t>
            </w:r>
            <w:r w:rsidR="00981FD2" w:rsidRPr="002D2F67">
              <w:rPr>
                <w:rFonts w:ascii="Arial" w:hAnsi="Arial" w:cs="Arial"/>
                <w:sz w:val="20"/>
                <w:szCs w:val="22"/>
              </w:rPr>
              <w:t>,</w:t>
            </w:r>
            <w:r w:rsidRPr="00CD5714">
              <w:rPr>
                <w:rFonts w:ascii="Arial" w:hAnsi="Arial" w:cs="Arial"/>
                <w:sz w:val="20"/>
                <w:szCs w:val="22"/>
                <w:lang w:val="en-GB"/>
              </w:rPr>
              <w:t>985</w:t>
            </w:r>
          </w:p>
        </w:tc>
        <w:tc>
          <w:tcPr>
            <w:tcW w:w="1368" w:type="dxa"/>
            <w:tcBorders>
              <w:bottom w:val="single" w:sz="4" w:space="0" w:color="auto"/>
            </w:tcBorders>
            <w:shd w:val="clear" w:color="auto" w:fill="auto"/>
          </w:tcPr>
          <w:p w14:paraId="0290A216" w14:textId="77777777" w:rsidR="00981FD2" w:rsidRPr="002D2F67" w:rsidRDefault="00981FD2" w:rsidP="00981FD2">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p>
          <w:p w14:paraId="70DF0EBE" w14:textId="62059012" w:rsidR="00981FD2" w:rsidRPr="002D2F67" w:rsidRDefault="00CD5714" w:rsidP="00981FD2">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CD5714">
              <w:rPr>
                <w:rFonts w:ascii="Arial" w:hAnsi="Arial" w:cs="Arial"/>
                <w:sz w:val="20"/>
                <w:szCs w:val="22"/>
                <w:lang w:val="en-GB"/>
              </w:rPr>
              <w:t>2</w:t>
            </w:r>
            <w:r w:rsidR="00981FD2" w:rsidRPr="002D2F67">
              <w:rPr>
                <w:rFonts w:ascii="Arial" w:hAnsi="Arial" w:cs="Arial"/>
                <w:sz w:val="20"/>
                <w:szCs w:val="22"/>
              </w:rPr>
              <w:t>,</w:t>
            </w:r>
            <w:r w:rsidRPr="00CD5714">
              <w:rPr>
                <w:rFonts w:ascii="Arial" w:hAnsi="Arial" w:cs="Arial"/>
                <w:sz w:val="20"/>
                <w:szCs w:val="22"/>
                <w:lang w:val="en-GB"/>
              </w:rPr>
              <w:t>046</w:t>
            </w:r>
            <w:r w:rsidR="00981FD2" w:rsidRPr="002D2F67">
              <w:rPr>
                <w:rFonts w:ascii="Arial" w:hAnsi="Arial" w:cs="Arial"/>
                <w:sz w:val="20"/>
                <w:szCs w:val="22"/>
              </w:rPr>
              <w:t>,</w:t>
            </w:r>
            <w:r w:rsidRPr="00CD5714">
              <w:rPr>
                <w:rFonts w:ascii="Arial" w:hAnsi="Arial" w:cs="Arial"/>
                <w:sz w:val="20"/>
                <w:szCs w:val="22"/>
                <w:lang w:val="en-GB"/>
              </w:rPr>
              <w:t>282</w:t>
            </w:r>
          </w:p>
        </w:tc>
      </w:tr>
    </w:tbl>
    <w:p w14:paraId="251101CF" w14:textId="3643F36C" w:rsidR="00B4267B" w:rsidRDefault="00B4267B" w:rsidP="005611FE">
      <w:pPr>
        <w:autoSpaceDE w:val="0"/>
        <w:autoSpaceDN w:val="0"/>
        <w:adjustRightInd w:val="0"/>
        <w:rPr>
          <w:rFonts w:ascii="Arial" w:hAnsi="Arial" w:cs="Arial"/>
          <w:color w:val="000000"/>
          <w:sz w:val="20"/>
          <w:szCs w:val="20"/>
        </w:rPr>
      </w:pPr>
    </w:p>
    <w:p w14:paraId="6D40138F" w14:textId="77777777" w:rsidR="002D2F67" w:rsidRPr="002D2F67" w:rsidRDefault="002D2F67" w:rsidP="005611FE">
      <w:pPr>
        <w:autoSpaceDE w:val="0"/>
        <w:autoSpaceDN w:val="0"/>
        <w:adjustRightInd w:val="0"/>
        <w:rPr>
          <w:rFonts w:ascii="Arial" w:hAnsi="Arial" w:cs="Arial"/>
          <w:color w:val="000000"/>
          <w:sz w:val="20"/>
          <w:szCs w:val="20"/>
        </w:rPr>
      </w:pPr>
    </w:p>
    <w:p w14:paraId="187F2184" w14:textId="37BD4F20" w:rsidR="00AC0B8F"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26</w:t>
      </w:r>
      <w:r w:rsidR="00AC0B8F" w:rsidRPr="002D2F67">
        <w:rPr>
          <w:rFonts w:ascii="Arial" w:hAnsi="Arial" w:cs="Arial"/>
          <w:b/>
          <w:bCs/>
          <w:color w:val="000000"/>
          <w:kern w:val="26"/>
          <w:position w:val="-24"/>
          <w:sz w:val="20"/>
          <w:szCs w:val="20"/>
          <w:cs/>
        </w:rPr>
        <w:tab/>
      </w:r>
      <w:r w:rsidR="00AC0B8F" w:rsidRPr="002D2F67">
        <w:rPr>
          <w:rFonts w:ascii="Arial" w:hAnsi="Arial" w:cs="Arial"/>
          <w:b/>
          <w:bCs/>
          <w:color w:val="000000"/>
          <w:kern w:val="26"/>
          <w:position w:val="-24"/>
          <w:sz w:val="20"/>
          <w:szCs w:val="20"/>
        </w:rPr>
        <w:t>Other non-current assets, net</w:t>
      </w:r>
    </w:p>
    <w:p w14:paraId="60358B16" w14:textId="77777777" w:rsidR="00B4267B" w:rsidRPr="002D2F67" w:rsidRDefault="00B4267B" w:rsidP="005611FE">
      <w:pPr>
        <w:pStyle w:val="BodyTextIndent2"/>
        <w:spacing w:line="240" w:lineRule="auto"/>
        <w:ind w:left="0"/>
        <w:jc w:val="left"/>
        <w:rPr>
          <w:rFonts w:ascii="Arial" w:hAnsi="Arial" w:cs="Arial"/>
          <w:spacing w:val="-2"/>
        </w:rPr>
      </w:pPr>
    </w:p>
    <w:tbl>
      <w:tblPr>
        <w:tblW w:w="9461" w:type="dxa"/>
        <w:tblInd w:w="108" w:type="dxa"/>
        <w:tblLayout w:type="fixed"/>
        <w:tblLook w:val="0000" w:firstRow="0" w:lastRow="0" w:firstColumn="0" w:lastColumn="0" w:noHBand="0" w:noVBand="0"/>
      </w:tblPr>
      <w:tblGrid>
        <w:gridCol w:w="3989"/>
        <w:gridCol w:w="1368"/>
        <w:gridCol w:w="1368"/>
        <w:gridCol w:w="1368"/>
        <w:gridCol w:w="1368"/>
      </w:tblGrid>
      <w:tr w:rsidR="001E6C66" w:rsidRPr="002D2F67" w14:paraId="79CFD148" w14:textId="77777777" w:rsidTr="002D2F67">
        <w:tc>
          <w:tcPr>
            <w:tcW w:w="3989" w:type="dxa"/>
            <w:shd w:val="clear" w:color="auto" w:fill="auto"/>
          </w:tcPr>
          <w:p w14:paraId="5C318AB7" w14:textId="77777777" w:rsidR="001E6C66" w:rsidRPr="002D2F67" w:rsidRDefault="001E6C66" w:rsidP="005611FE">
            <w:pPr>
              <w:ind w:left="101" w:right="-72" w:hanging="187"/>
              <w:rPr>
                <w:rFonts w:ascii="Arial" w:hAnsi="Arial" w:cs="Arial"/>
                <w:color w:val="000000"/>
                <w:sz w:val="20"/>
                <w:szCs w:val="20"/>
              </w:rPr>
            </w:pPr>
          </w:p>
        </w:tc>
        <w:tc>
          <w:tcPr>
            <w:tcW w:w="2736" w:type="dxa"/>
            <w:gridSpan w:val="2"/>
            <w:tcBorders>
              <w:bottom w:val="single" w:sz="4" w:space="0" w:color="auto"/>
            </w:tcBorders>
            <w:shd w:val="clear" w:color="auto" w:fill="auto"/>
          </w:tcPr>
          <w:p w14:paraId="73A363D2"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5E396B38"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2736" w:type="dxa"/>
            <w:gridSpan w:val="2"/>
            <w:tcBorders>
              <w:bottom w:val="single" w:sz="4" w:space="0" w:color="auto"/>
            </w:tcBorders>
            <w:shd w:val="clear" w:color="auto" w:fill="auto"/>
          </w:tcPr>
          <w:p w14:paraId="5BD32DF7"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Separate </w:t>
            </w:r>
          </w:p>
          <w:p w14:paraId="4F9748C7"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827E37" w:rsidRPr="002D2F67" w14:paraId="529CADA0" w14:textId="77777777" w:rsidTr="002D2F67">
        <w:tc>
          <w:tcPr>
            <w:tcW w:w="3989" w:type="dxa"/>
            <w:shd w:val="clear" w:color="auto" w:fill="auto"/>
          </w:tcPr>
          <w:p w14:paraId="349CB2F0" w14:textId="48C75975" w:rsidR="00827E37" w:rsidRPr="002D2F67" w:rsidRDefault="00827E37" w:rsidP="005611FE">
            <w:pPr>
              <w:ind w:left="101" w:right="-72" w:hanging="187"/>
              <w:rPr>
                <w:rFonts w:ascii="Arial" w:hAnsi="Arial" w:cs="Arial"/>
                <w:b/>
                <w:bCs/>
                <w:color w:val="000000"/>
                <w:sz w:val="20"/>
                <w:szCs w:val="20"/>
              </w:rPr>
            </w:pPr>
            <w:r w:rsidRPr="002D2F67">
              <w:rPr>
                <w:rFonts w:ascii="Arial" w:hAnsi="Arial" w:cs="Arial"/>
                <w:b/>
                <w:bCs/>
                <w:color w:val="000000"/>
                <w:sz w:val="20"/>
                <w:szCs w:val="20"/>
              </w:rPr>
              <w:t xml:space="preserve">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w:t>
            </w:r>
          </w:p>
        </w:tc>
        <w:tc>
          <w:tcPr>
            <w:tcW w:w="1368" w:type="dxa"/>
            <w:shd w:val="clear" w:color="auto" w:fill="auto"/>
            <w:vAlign w:val="bottom"/>
          </w:tcPr>
          <w:p w14:paraId="7A897DB8" w14:textId="3AE520B9" w:rsidR="00827E37"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368" w:type="dxa"/>
            <w:shd w:val="clear" w:color="auto" w:fill="auto"/>
            <w:vAlign w:val="bottom"/>
          </w:tcPr>
          <w:p w14:paraId="07A90890" w14:textId="3084B5A9" w:rsidR="00827E37"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c>
          <w:tcPr>
            <w:tcW w:w="1368" w:type="dxa"/>
            <w:shd w:val="clear" w:color="auto" w:fill="auto"/>
            <w:vAlign w:val="bottom"/>
          </w:tcPr>
          <w:p w14:paraId="7ABA3495" w14:textId="438637A7" w:rsidR="00827E37"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368" w:type="dxa"/>
            <w:shd w:val="clear" w:color="auto" w:fill="auto"/>
            <w:vAlign w:val="bottom"/>
          </w:tcPr>
          <w:p w14:paraId="548021C7" w14:textId="3AC97B45" w:rsidR="00827E37"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1E6C66" w:rsidRPr="002D2F67" w14:paraId="561235D5" w14:textId="77777777" w:rsidTr="002D2F67">
        <w:tc>
          <w:tcPr>
            <w:tcW w:w="3989" w:type="dxa"/>
            <w:shd w:val="clear" w:color="auto" w:fill="auto"/>
          </w:tcPr>
          <w:p w14:paraId="5FBDC743" w14:textId="77777777" w:rsidR="001E6C66" w:rsidRPr="002D2F67" w:rsidRDefault="001E6C66" w:rsidP="005611FE">
            <w:pPr>
              <w:pStyle w:val="Header"/>
              <w:ind w:left="101" w:right="-72" w:hanging="187"/>
              <w:jc w:val="left"/>
              <w:rPr>
                <w:rFonts w:ascii="Arial" w:hAnsi="Arial" w:cs="Arial"/>
                <w:color w:val="000000"/>
                <w:sz w:val="20"/>
                <w:szCs w:val="20"/>
              </w:rPr>
            </w:pPr>
          </w:p>
        </w:tc>
        <w:tc>
          <w:tcPr>
            <w:tcW w:w="1368" w:type="dxa"/>
            <w:tcBorders>
              <w:bottom w:val="single" w:sz="4" w:space="0" w:color="auto"/>
            </w:tcBorders>
            <w:shd w:val="clear" w:color="auto" w:fill="auto"/>
          </w:tcPr>
          <w:p w14:paraId="0E924403" w14:textId="7DD2FE83"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673F6E" w:rsidRPr="002D2F67">
              <w:rPr>
                <w:rFonts w:ascii="Arial" w:hAnsi="Arial" w:cs="Arial"/>
                <w:b/>
                <w:bCs/>
                <w:color w:val="000000"/>
                <w:sz w:val="20"/>
                <w:szCs w:val="20"/>
              </w:rPr>
              <w:t>’</w:t>
            </w:r>
            <w:r w:rsidR="00CD5714" w:rsidRPr="00CD5714">
              <w:rPr>
                <w:rFonts w:ascii="Arial" w:hAnsi="Arial" w:cs="Arial"/>
                <w:b/>
                <w:bCs/>
                <w:color w:val="000000"/>
                <w:sz w:val="20"/>
                <w:szCs w:val="20"/>
                <w:lang w:val="en-GB"/>
              </w:rPr>
              <w:t>000</w:t>
            </w:r>
          </w:p>
        </w:tc>
        <w:tc>
          <w:tcPr>
            <w:tcW w:w="1368" w:type="dxa"/>
            <w:tcBorders>
              <w:bottom w:val="single" w:sz="4" w:space="0" w:color="auto"/>
            </w:tcBorders>
            <w:shd w:val="clear" w:color="auto" w:fill="auto"/>
          </w:tcPr>
          <w:p w14:paraId="1C47E56F" w14:textId="1F786086" w:rsidR="001E6C66" w:rsidRPr="002D2F67" w:rsidRDefault="00673F6E"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368" w:type="dxa"/>
            <w:tcBorders>
              <w:bottom w:val="single" w:sz="4" w:space="0" w:color="auto"/>
            </w:tcBorders>
            <w:shd w:val="clear" w:color="auto" w:fill="auto"/>
          </w:tcPr>
          <w:p w14:paraId="0D398B99" w14:textId="610E9B51" w:rsidR="001E6C66" w:rsidRPr="002D2F67" w:rsidRDefault="00673F6E"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368" w:type="dxa"/>
            <w:tcBorders>
              <w:bottom w:val="single" w:sz="4" w:space="0" w:color="auto"/>
            </w:tcBorders>
            <w:shd w:val="clear" w:color="auto" w:fill="auto"/>
          </w:tcPr>
          <w:p w14:paraId="73AD2FDD" w14:textId="33AA07B0" w:rsidR="001E6C66" w:rsidRPr="002D2F67" w:rsidRDefault="00673F6E"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1E6C66" w:rsidRPr="002D2F67" w14:paraId="58DA3951" w14:textId="77777777" w:rsidTr="002D2F67">
        <w:trPr>
          <w:trHeight w:val="74"/>
        </w:trPr>
        <w:tc>
          <w:tcPr>
            <w:tcW w:w="3989" w:type="dxa"/>
            <w:shd w:val="clear" w:color="auto" w:fill="auto"/>
          </w:tcPr>
          <w:p w14:paraId="13A812A9" w14:textId="77777777" w:rsidR="001E6C66" w:rsidRPr="002D2F67" w:rsidRDefault="001E6C66" w:rsidP="005611FE">
            <w:pPr>
              <w:ind w:left="101" w:right="-72" w:hanging="187"/>
              <w:rPr>
                <w:rFonts w:ascii="Arial" w:hAnsi="Arial" w:cs="Arial"/>
                <w:b/>
                <w:bCs/>
                <w:color w:val="000000"/>
                <w:sz w:val="20"/>
                <w:szCs w:val="20"/>
              </w:rPr>
            </w:pPr>
          </w:p>
        </w:tc>
        <w:tc>
          <w:tcPr>
            <w:tcW w:w="1368" w:type="dxa"/>
            <w:tcBorders>
              <w:top w:val="single" w:sz="4" w:space="0" w:color="auto"/>
            </w:tcBorders>
            <w:shd w:val="clear" w:color="auto" w:fill="auto"/>
          </w:tcPr>
          <w:p w14:paraId="31E08E8C"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tcBorders>
              <w:top w:val="single" w:sz="4" w:space="0" w:color="auto"/>
            </w:tcBorders>
            <w:shd w:val="clear" w:color="auto" w:fill="auto"/>
          </w:tcPr>
          <w:p w14:paraId="0EC970B2"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tcBorders>
              <w:top w:val="single" w:sz="4" w:space="0" w:color="auto"/>
            </w:tcBorders>
            <w:shd w:val="clear" w:color="auto" w:fill="auto"/>
          </w:tcPr>
          <w:p w14:paraId="60F51C5A"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tcBorders>
              <w:top w:val="single" w:sz="4" w:space="0" w:color="auto"/>
            </w:tcBorders>
            <w:shd w:val="clear" w:color="auto" w:fill="auto"/>
          </w:tcPr>
          <w:p w14:paraId="364D91AC" w14:textId="77777777" w:rsidR="001E6C66" w:rsidRPr="002D2F67" w:rsidRDefault="001E6C66" w:rsidP="005611FE">
            <w:pPr>
              <w:ind w:right="-72"/>
              <w:jc w:val="right"/>
              <w:rPr>
                <w:rFonts w:ascii="Arial" w:hAnsi="Arial" w:cs="Arial"/>
                <w:b/>
                <w:bCs/>
                <w:color w:val="000000"/>
                <w:sz w:val="20"/>
                <w:szCs w:val="20"/>
              </w:rPr>
            </w:pPr>
          </w:p>
        </w:tc>
      </w:tr>
      <w:tr w:rsidR="00BF28D7" w:rsidRPr="002D2F67" w14:paraId="29729C1D" w14:textId="77777777" w:rsidTr="002D2F67">
        <w:tc>
          <w:tcPr>
            <w:tcW w:w="3989" w:type="dxa"/>
            <w:shd w:val="clear" w:color="auto" w:fill="auto"/>
            <w:vAlign w:val="bottom"/>
          </w:tcPr>
          <w:p w14:paraId="46D5BD5B" w14:textId="77777777" w:rsidR="00BF28D7" w:rsidRPr="002D2F67" w:rsidRDefault="00BF28D7" w:rsidP="00BF28D7">
            <w:pPr>
              <w:tabs>
                <w:tab w:val="left" w:pos="2187"/>
              </w:tabs>
              <w:ind w:left="101" w:right="-72" w:hanging="187"/>
              <w:rPr>
                <w:rFonts w:ascii="Arial" w:hAnsi="Arial" w:cs="Arial"/>
                <w:color w:val="000000"/>
                <w:sz w:val="20"/>
                <w:szCs w:val="20"/>
              </w:rPr>
            </w:pPr>
            <w:r w:rsidRPr="002D2F67">
              <w:rPr>
                <w:rFonts w:ascii="Arial" w:hAnsi="Arial" w:cs="Arial"/>
                <w:color w:val="000000"/>
                <w:sz w:val="20"/>
                <w:szCs w:val="20"/>
              </w:rPr>
              <w:t>Withholding tax</w:t>
            </w:r>
          </w:p>
        </w:tc>
        <w:tc>
          <w:tcPr>
            <w:tcW w:w="1368" w:type="dxa"/>
            <w:shd w:val="clear" w:color="auto" w:fill="auto"/>
            <w:vAlign w:val="bottom"/>
          </w:tcPr>
          <w:p w14:paraId="10CE193D" w14:textId="75529E54" w:rsidR="00BF28D7" w:rsidRPr="002D2F67" w:rsidRDefault="00CD5714" w:rsidP="00BF28D7">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131</w:t>
            </w:r>
            <w:r w:rsidR="00BF28D7" w:rsidRPr="002D2F67">
              <w:rPr>
                <w:rFonts w:ascii="Arial" w:hAnsi="Arial" w:cs="Arial"/>
                <w:color w:val="000000"/>
                <w:sz w:val="20"/>
                <w:szCs w:val="20"/>
              </w:rPr>
              <w:t>,</w:t>
            </w:r>
            <w:r w:rsidRPr="00CD5714">
              <w:rPr>
                <w:rFonts w:ascii="Arial" w:hAnsi="Arial" w:cs="Arial"/>
                <w:color w:val="000000"/>
                <w:sz w:val="20"/>
                <w:szCs w:val="20"/>
                <w:lang w:val="en-GB"/>
              </w:rPr>
              <w:t>092</w:t>
            </w:r>
          </w:p>
        </w:tc>
        <w:tc>
          <w:tcPr>
            <w:tcW w:w="1368" w:type="dxa"/>
            <w:shd w:val="clear" w:color="auto" w:fill="auto"/>
            <w:vAlign w:val="bottom"/>
          </w:tcPr>
          <w:p w14:paraId="4DAAF015" w14:textId="6EBFD043" w:rsidR="00BF28D7" w:rsidRPr="002D2F67" w:rsidRDefault="00CD5714" w:rsidP="00BF28D7">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79</w:t>
            </w:r>
            <w:r w:rsidR="00BF28D7" w:rsidRPr="002D2F67">
              <w:rPr>
                <w:rFonts w:ascii="Arial" w:hAnsi="Arial" w:cs="Arial"/>
                <w:color w:val="000000"/>
                <w:sz w:val="20"/>
                <w:szCs w:val="20"/>
              </w:rPr>
              <w:t>,</w:t>
            </w:r>
            <w:r w:rsidRPr="00CD5714">
              <w:rPr>
                <w:rFonts w:ascii="Arial" w:hAnsi="Arial" w:cs="Arial"/>
                <w:color w:val="000000"/>
                <w:sz w:val="20"/>
                <w:szCs w:val="20"/>
                <w:lang w:val="en-GB"/>
              </w:rPr>
              <w:t>689</w:t>
            </w:r>
          </w:p>
        </w:tc>
        <w:tc>
          <w:tcPr>
            <w:tcW w:w="1368" w:type="dxa"/>
            <w:shd w:val="clear" w:color="auto" w:fill="auto"/>
            <w:vAlign w:val="bottom"/>
          </w:tcPr>
          <w:p w14:paraId="31C934F0" w14:textId="1E96DEB6" w:rsidR="00BF28D7" w:rsidRPr="002D2F67" w:rsidRDefault="00CD5714" w:rsidP="00BF28D7">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71</w:t>
            </w:r>
            <w:r w:rsidR="00BF28D7" w:rsidRPr="002D2F67">
              <w:rPr>
                <w:rFonts w:ascii="Arial" w:hAnsi="Arial" w:cs="Arial"/>
                <w:color w:val="000000"/>
                <w:sz w:val="20"/>
                <w:szCs w:val="20"/>
              </w:rPr>
              <w:t>,</w:t>
            </w:r>
            <w:r w:rsidRPr="00CD5714">
              <w:rPr>
                <w:rFonts w:ascii="Arial" w:hAnsi="Arial" w:cs="Arial"/>
                <w:color w:val="000000"/>
                <w:sz w:val="20"/>
                <w:szCs w:val="20"/>
                <w:lang w:val="en-GB"/>
              </w:rPr>
              <w:t>948</w:t>
            </w:r>
          </w:p>
        </w:tc>
        <w:tc>
          <w:tcPr>
            <w:tcW w:w="1368" w:type="dxa"/>
            <w:shd w:val="clear" w:color="auto" w:fill="auto"/>
            <w:vAlign w:val="bottom"/>
          </w:tcPr>
          <w:p w14:paraId="0F00B6D4" w14:textId="6F4BE1E2" w:rsidR="00BF28D7" w:rsidRPr="002D2F67" w:rsidRDefault="00CD5714" w:rsidP="00BF28D7">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39</w:t>
            </w:r>
            <w:r w:rsidR="00BF28D7" w:rsidRPr="002D2F67">
              <w:rPr>
                <w:rFonts w:ascii="Arial" w:hAnsi="Arial" w:cs="Arial"/>
                <w:color w:val="000000"/>
                <w:sz w:val="20"/>
                <w:szCs w:val="20"/>
              </w:rPr>
              <w:t>,</w:t>
            </w:r>
            <w:r w:rsidRPr="00CD5714">
              <w:rPr>
                <w:rFonts w:ascii="Arial" w:hAnsi="Arial" w:cs="Arial"/>
                <w:color w:val="000000"/>
                <w:sz w:val="20"/>
                <w:szCs w:val="20"/>
                <w:lang w:val="en-GB"/>
              </w:rPr>
              <w:t>039</w:t>
            </w:r>
          </w:p>
        </w:tc>
      </w:tr>
      <w:tr w:rsidR="00BF28D7" w:rsidRPr="002D2F67" w14:paraId="075F10FA" w14:textId="77777777" w:rsidTr="002D2F67">
        <w:tc>
          <w:tcPr>
            <w:tcW w:w="3989" w:type="dxa"/>
            <w:shd w:val="clear" w:color="auto" w:fill="auto"/>
            <w:vAlign w:val="bottom"/>
          </w:tcPr>
          <w:p w14:paraId="2CDBC7BF" w14:textId="77777777" w:rsidR="00BF28D7" w:rsidRPr="002D2F67" w:rsidRDefault="00BF28D7" w:rsidP="00BF28D7">
            <w:pPr>
              <w:tabs>
                <w:tab w:val="left" w:pos="2187"/>
              </w:tabs>
              <w:ind w:left="101" w:right="-72" w:hanging="187"/>
              <w:rPr>
                <w:rFonts w:ascii="Arial" w:hAnsi="Arial" w:cs="Arial"/>
                <w:color w:val="000000"/>
                <w:sz w:val="20"/>
                <w:szCs w:val="20"/>
              </w:rPr>
            </w:pPr>
            <w:r w:rsidRPr="002D2F67">
              <w:rPr>
                <w:rFonts w:ascii="Arial" w:hAnsi="Arial" w:cs="Arial"/>
                <w:color w:val="000000"/>
                <w:sz w:val="20"/>
                <w:szCs w:val="20"/>
              </w:rPr>
              <w:t>Advance payment for equipment and</w:t>
            </w:r>
          </w:p>
          <w:p w14:paraId="068AC19B" w14:textId="77777777" w:rsidR="00BF28D7" w:rsidRPr="002D2F67" w:rsidRDefault="00BF28D7" w:rsidP="00BF28D7">
            <w:pPr>
              <w:tabs>
                <w:tab w:val="left" w:pos="2187"/>
              </w:tabs>
              <w:ind w:left="101" w:right="-72" w:hanging="187"/>
              <w:rPr>
                <w:rFonts w:ascii="Arial" w:hAnsi="Arial" w:cs="Arial"/>
                <w:color w:val="000000"/>
                <w:sz w:val="20"/>
                <w:szCs w:val="20"/>
              </w:rPr>
            </w:pPr>
            <w:r w:rsidRPr="002D2F67">
              <w:rPr>
                <w:rFonts w:ascii="Arial" w:hAnsi="Arial" w:cs="Arial"/>
                <w:color w:val="000000"/>
                <w:sz w:val="20"/>
                <w:szCs w:val="20"/>
              </w:rPr>
              <w:t xml:space="preserve">   assets purchase</w:t>
            </w:r>
          </w:p>
        </w:tc>
        <w:tc>
          <w:tcPr>
            <w:tcW w:w="1368" w:type="dxa"/>
            <w:shd w:val="clear" w:color="auto" w:fill="auto"/>
            <w:vAlign w:val="bottom"/>
          </w:tcPr>
          <w:p w14:paraId="14321B46" w14:textId="5B5C6105" w:rsidR="00BF28D7" w:rsidRPr="002D2F67" w:rsidRDefault="00CD5714" w:rsidP="00BF28D7">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w:t>
            </w:r>
            <w:r w:rsidR="00BF28D7" w:rsidRPr="002D2F67">
              <w:rPr>
                <w:rFonts w:ascii="Arial" w:hAnsi="Arial" w:cs="Arial"/>
                <w:color w:val="000000"/>
                <w:sz w:val="20"/>
                <w:szCs w:val="20"/>
              </w:rPr>
              <w:t>,</w:t>
            </w:r>
            <w:r w:rsidRPr="00CD5714">
              <w:rPr>
                <w:rFonts w:ascii="Arial" w:hAnsi="Arial" w:cs="Arial"/>
                <w:color w:val="000000"/>
                <w:sz w:val="20"/>
                <w:szCs w:val="20"/>
                <w:lang w:val="en-GB"/>
              </w:rPr>
              <w:t>430</w:t>
            </w:r>
            <w:r w:rsidR="00BF28D7" w:rsidRPr="002D2F67">
              <w:rPr>
                <w:rFonts w:ascii="Arial" w:hAnsi="Arial" w:cs="Arial"/>
                <w:color w:val="000000"/>
                <w:sz w:val="20"/>
                <w:szCs w:val="20"/>
              </w:rPr>
              <w:t>,</w:t>
            </w:r>
            <w:r w:rsidRPr="00CD5714">
              <w:rPr>
                <w:rFonts w:ascii="Arial" w:hAnsi="Arial" w:cs="Arial"/>
                <w:color w:val="000000"/>
                <w:sz w:val="20"/>
                <w:szCs w:val="20"/>
                <w:lang w:val="en-GB"/>
              </w:rPr>
              <w:t>101</w:t>
            </w:r>
            <w:r w:rsidR="00BF28D7" w:rsidRPr="002D2F67">
              <w:rPr>
                <w:rFonts w:ascii="Arial" w:hAnsi="Arial" w:cs="Arial"/>
                <w:color w:val="000000"/>
                <w:sz w:val="20"/>
                <w:szCs w:val="20"/>
              </w:rPr>
              <w:t xml:space="preserve">  </w:t>
            </w:r>
          </w:p>
        </w:tc>
        <w:tc>
          <w:tcPr>
            <w:tcW w:w="1368" w:type="dxa"/>
            <w:shd w:val="clear" w:color="auto" w:fill="auto"/>
            <w:vAlign w:val="bottom"/>
          </w:tcPr>
          <w:p w14:paraId="614CF63D" w14:textId="6633CB17" w:rsidR="00BF28D7" w:rsidRPr="002D2F67" w:rsidRDefault="00CD5714" w:rsidP="00BF28D7">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2</w:t>
            </w:r>
            <w:r w:rsidR="00BF28D7" w:rsidRPr="002D2F67">
              <w:rPr>
                <w:rFonts w:ascii="Arial" w:hAnsi="Arial" w:cs="Arial"/>
                <w:color w:val="000000"/>
                <w:sz w:val="20"/>
                <w:szCs w:val="20"/>
              </w:rPr>
              <w:t>,</w:t>
            </w:r>
            <w:r w:rsidRPr="00CD5714">
              <w:rPr>
                <w:rFonts w:ascii="Arial" w:hAnsi="Arial" w:cs="Arial"/>
                <w:color w:val="000000"/>
                <w:sz w:val="20"/>
                <w:szCs w:val="20"/>
                <w:lang w:val="en-GB"/>
              </w:rPr>
              <w:t>097</w:t>
            </w:r>
            <w:r w:rsidR="00BF28D7" w:rsidRPr="002D2F67">
              <w:rPr>
                <w:rFonts w:ascii="Arial" w:hAnsi="Arial" w:cs="Arial"/>
                <w:color w:val="000000"/>
                <w:sz w:val="20"/>
                <w:szCs w:val="20"/>
              </w:rPr>
              <w:t>,</w:t>
            </w:r>
            <w:r w:rsidRPr="00CD5714">
              <w:rPr>
                <w:rFonts w:ascii="Arial" w:hAnsi="Arial" w:cs="Arial"/>
                <w:color w:val="000000"/>
                <w:sz w:val="20"/>
                <w:szCs w:val="20"/>
                <w:lang w:val="en-GB"/>
              </w:rPr>
              <w:t>394</w:t>
            </w:r>
          </w:p>
        </w:tc>
        <w:tc>
          <w:tcPr>
            <w:tcW w:w="1368" w:type="dxa"/>
            <w:shd w:val="clear" w:color="auto" w:fill="auto"/>
            <w:vAlign w:val="bottom"/>
          </w:tcPr>
          <w:p w14:paraId="608F69A2" w14:textId="0E9F3658" w:rsidR="00BF28D7" w:rsidRPr="002D2F67" w:rsidRDefault="00CD5714" w:rsidP="00BF28D7">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w:t>
            </w:r>
            <w:r w:rsidR="00BF28D7" w:rsidRPr="002D2F67">
              <w:rPr>
                <w:rFonts w:ascii="Arial" w:hAnsi="Arial" w:cs="Arial"/>
                <w:color w:val="000000"/>
                <w:sz w:val="20"/>
                <w:szCs w:val="20"/>
              </w:rPr>
              <w:t>,</w:t>
            </w:r>
            <w:r w:rsidRPr="00CD5714">
              <w:rPr>
                <w:rFonts w:ascii="Arial" w:hAnsi="Arial" w:cs="Arial"/>
                <w:color w:val="000000"/>
                <w:sz w:val="20"/>
                <w:szCs w:val="20"/>
                <w:lang w:val="en-GB"/>
              </w:rPr>
              <w:t>028</w:t>
            </w:r>
            <w:r w:rsidR="00BF28D7" w:rsidRPr="002D2F67">
              <w:rPr>
                <w:rFonts w:ascii="Arial" w:hAnsi="Arial" w:cs="Arial"/>
                <w:color w:val="000000"/>
                <w:sz w:val="20"/>
                <w:szCs w:val="20"/>
              </w:rPr>
              <w:t>,</w:t>
            </w:r>
            <w:r w:rsidRPr="00CD5714">
              <w:rPr>
                <w:rFonts w:ascii="Arial" w:hAnsi="Arial" w:cs="Arial"/>
                <w:color w:val="000000"/>
                <w:sz w:val="20"/>
                <w:szCs w:val="20"/>
                <w:lang w:val="en-GB"/>
              </w:rPr>
              <w:t>076</w:t>
            </w:r>
          </w:p>
        </w:tc>
        <w:tc>
          <w:tcPr>
            <w:tcW w:w="1368" w:type="dxa"/>
            <w:shd w:val="clear" w:color="auto" w:fill="auto"/>
            <w:vAlign w:val="bottom"/>
          </w:tcPr>
          <w:p w14:paraId="78D46622" w14:textId="504FD413" w:rsidR="00BF28D7" w:rsidRPr="002D2F67" w:rsidRDefault="00CD5714" w:rsidP="00BF28D7">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w:t>
            </w:r>
            <w:r w:rsidR="00BF28D7" w:rsidRPr="002D2F67">
              <w:rPr>
                <w:rFonts w:ascii="Arial" w:hAnsi="Arial" w:cs="Arial"/>
                <w:color w:val="000000"/>
                <w:sz w:val="20"/>
                <w:szCs w:val="20"/>
              </w:rPr>
              <w:t>,</w:t>
            </w:r>
            <w:r w:rsidRPr="00CD5714">
              <w:rPr>
                <w:rFonts w:ascii="Arial" w:hAnsi="Arial" w:cs="Arial"/>
                <w:color w:val="000000"/>
                <w:sz w:val="20"/>
                <w:szCs w:val="20"/>
                <w:lang w:val="en-GB"/>
              </w:rPr>
              <w:t>037</w:t>
            </w:r>
            <w:r w:rsidR="00BF28D7" w:rsidRPr="002D2F67">
              <w:rPr>
                <w:rFonts w:ascii="Arial" w:hAnsi="Arial" w:cs="Arial"/>
                <w:color w:val="000000"/>
                <w:sz w:val="20"/>
                <w:szCs w:val="20"/>
              </w:rPr>
              <w:t>,</w:t>
            </w:r>
            <w:r w:rsidRPr="00CD5714">
              <w:rPr>
                <w:rFonts w:ascii="Arial" w:hAnsi="Arial" w:cs="Arial"/>
                <w:color w:val="000000"/>
                <w:sz w:val="20"/>
                <w:szCs w:val="20"/>
                <w:lang w:val="en-GB"/>
              </w:rPr>
              <w:t>310</w:t>
            </w:r>
          </w:p>
        </w:tc>
      </w:tr>
      <w:tr w:rsidR="00BF28D7" w:rsidRPr="002D2F67" w14:paraId="34454289" w14:textId="77777777" w:rsidTr="002D2F67">
        <w:tc>
          <w:tcPr>
            <w:tcW w:w="3989" w:type="dxa"/>
            <w:shd w:val="clear" w:color="auto" w:fill="auto"/>
          </w:tcPr>
          <w:p w14:paraId="651B0C94" w14:textId="77777777" w:rsidR="00BF28D7" w:rsidRPr="002D2F67" w:rsidRDefault="00BF28D7" w:rsidP="00BF28D7">
            <w:pPr>
              <w:ind w:left="101" w:right="-72" w:hanging="187"/>
              <w:rPr>
                <w:rFonts w:ascii="Arial" w:hAnsi="Arial" w:cs="Arial"/>
                <w:color w:val="000000"/>
                <w:sz w:val="20"/>
                <w:szCs w:val="20"/>
              </w:rPr>
            </w:pPr>
            <w:r w:rsidRPr="002D2F67">
              <w:rPr>
                <w:rFonts w:ascii="Arial" w:hAnsi="Arial" w:cs="Arial"/>
                <w:color w:val="000000"/>
                <w:sz w:val="20"/>
                <w:szCs w:val="20"/>
              </w:rPr>
              <w:t>Deposits</w:t>
            </w:r>
          </w:p>
        </w:tc>
        <w:tc>
          <w:tcPr>
            <w:tcW w:w="1368" w:type="dxa"/>
            <w:shd w:val="clear" w:color="auto" w:fill="auto"/>
            <w:vAlign w:val="bottom"/>
          </w:tcPr>
          <w:p w14:paraId="59BE67B9" w14:textId="303B6B8F" w:rsidR="00BF28D7" w:rsidRPr="002D2F67" w:rsidRDefault="00CD5714" w:rsidP="00BF28D7">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22</w:t>
            </w:r>
            <w:r w:rsidR="00BF28D7" w:rsidRPr="002D2F67">
              <w:rPr>
                <w:rFonts w:ascii="Arial" w:hAnsi="Arial" w:cs="Arial"/>
                <w:color w:val="000000"/>
                <w:sz w:val="20"/>
                <w:szCs w:val="20"/>
              </w:rPr>
              <w:t>,</w:t>
            </w:r>
            <w:r w:rsidRPr="00CD5714">
              <w:rPr>
                <w:rFonts w:ascii="Arial" w:hAnsi="Arial" w:cs="Arial"/>
                <w:color w:val="000000"/>
                <w:sz w:val="20"/>
                <w:szCs w:val="20"/>
                <w:lang w:val="en-GB"/>
              </w:rPr>
              <w:t>306</w:t>
            </w:r>
            <w:r w:rsidR="00BF28D7" w:rsidRPr="002D2F67">
              <w:rPr>
                <w:rFonts w:ascii="Arial" w:hAnsi="Arial" w:cs="Arial"/>
                <w:color w:val="000000"/>
                <w:sz w:val="20"/>
                <w:szCs w:val="20"/>
              </w:rPr>
              <w:t xml:space="preserve"> </w:t>
            </w:r>
          </w:p>
        </w:tc>
        <w:tc>
          <w:tcPr>
            <w:tcW w:w="1368" w:type="dxa"/>
            <w:shd w:val="clear" w:color="auto" w:fill="auto"/>
            <w:vAlign w:val="bottom"/>
          </w:tcPr>
          <w:p w14:paraId="789E1BDD" w14:textId="1B11B01F" w:rsidR="00BF28D7" w:rsidRPr="002D2F67" w:rsidRDefault="00CD5714" w:rsidP="00BF28D7">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22</w:t>
            </w:r>
            <w:r w:rsidR="00BF28D7" w:rsidRPr="002D2F67">
              <w:rPr>
                <w:rFonts w:ascii="Arial" w:hAnsi="Arial" w:cs="Arial"/>
                <w:color w:val="000000"/>
                <w:sz w:val="20"/>
                <w:szCs w:val="20"/>
              </w:rPr>
              <w:t>,</w:t>
            </w:r>
            <w:r w:rsidRPr="00CD5714">
              <w:rPr>
                <w:rFonts w:ascii="Arial" w:hAnsi="Arial" w:cs="Arial"/>
                <w:color w:val="000000"/>
                <w:sz w:val="20"/>
                <w:szCs w:val="20"/>
                <w:lang w:val="en-GB"/>
              </w:rPr>
              <w:t>306</w:t>
            </w:r>
          </w:p>
        </w:tc>
        <w:tc>
          <w:tcPr>
            <w:tcW w:w="1368" w:type="dxa"/>
            <w:shd w:val="clear" w:color="auto" w:fill="auto"/>
            <w:vAlign w:val="bottom"/>
          </w:tcPr>
          <w:p w14:paraId="649FF08F" w14:textId="27BA59E6" w:rsidR="00BF28D7" w:rsidRPr="002D2F67" w:rsidRDefault="00CD5714" w:rsidP="00BF28D7">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22</w:t>
            </w:r>
            <w:r w:rsidR="00BF28D7" w:rsidRPr="002D2F67">
              <w:rPr>
                <w:rFonts w:ascii="Arial" w:hAnsi="Arial" w:cs="Arial"/>
                <w:color w:val="000000"/>
                <w:sz w:val="20"/>
                <w:szCs w:val="20"/>
              </w:rPr>
              <w:t>,</w:t>
            </w:r>
            <w:r w:rsidRPr="00CD5714">
              <w:rPr>
                <w:rFonts w:ascii="Arial" w:hAnsi="Arial" w:cs="Arial"/>
                <w:color w:val="000000"/>
                <w:sz w:val="20"/>
                <w:szCs w:val="20"/>
                <w:lang w:val="en-GB"/>
              </w:rPr>
              <w:t>306</w:t>
            </w:r>
          </w:p>
        </w:tc>
        <w:tc>
          <w:tcPr>
            <w:tcW w:w="1368" w:type="dxa"/>
            <w:shd w:val="clear" w:color="auto" w:fill="auto"/>
            <w:vAlign w:val="bottom"/>
          </w:tcPr>
          <w:p w14:paraId="66DC80C7" w14:textId="28217E5F" w:rsidR="00BF28D7" w:rsidRPr="002D2F67" w:rsidRDefault="00CD5714" w:rsidP="00BF28D7">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22</w:t>
            </w:r>
            <w:r w:rsidR="00BF28D7" w:rsidRPr="002D2F67">
              <w:rPr>
                <w:rFonts w:ascii="Arial" w:hAnsi="Arial" w:cs="Arial"/>
                <w:color w:val="000000"/>
                <w:sz w:val="20"/>
                <w:szCs w:val="20"/>
              </w:rPr>
              <w:t>,</w:t>
            </w:r>
            <w:r w:rsidRPr="00CD5714">
              <w:rPr>
                <w:rFonts w:ascii="Arial" w:hAnsi="Arial" w:cs="Arial"/>
                <w:color w:val="000000"/>
                <w:sz w:val="20"/>
                <w:szCs w:val="20"/>
                <w:lang w:val="en-GB"/>
              </w:rPr>
              <w:t>306</w:t>
            </w:r>
          </w:p>
        </w:tc>
      </w:tr>
      <w:tr w:rsidR="00BF28D7" w:rsidRPr="002D2F67" w14:paraId="415665C0" w14:textId="77777777" w:rsidTr="002D2F67">
        <w:tc>
          <w:tcPr>
            <w:tcW w:w="3989" w:type="dxa"/>
            <w:shd w:val="clear" w:color="auto" w:fill="auto"/>
          </w:tcPr>
          <w:p w14:paraId="60165F5A" w14:textId="77777777" w:rsidR="00BF28D7" w:rsidRPr="002D2F67" w:rsidRDefault="00BF28D7" w:rsidP="00BF28D7">
            <w:pPr>
              <w:ind w:left="101" w:right="-72" w:hanging="187"/>
              <w:rPr>
                <w:rFonts w:ascii="Arial" w:hAnsi="Arial" w:cs="Arial"/>
                <w:color w:val="000000"/>
                <w:sz w:val="20"/>
                <w:szCs w:val="20"/>
              </w:rPr>
            </w:pPr>
            <w:r w:rsidRPr="002D2F67">
              <w:rPr>
                <w:rFonts w:ascii="Arial" w:hAnsi="Arial" w:cs="Arial"/>
                <w:color w:val="000000"/>
                <w:sz w:val="20"/>
                <w:szCs w:val="20"/>
              </w:rPr>
              <w:t>Long-term deposits</w:t>
            </w:r>
          </w:p>
        </w:tc>
        <w:tc>
          <w:tcPr>
            <w:tcW w:w="1368" w:type="dxa"/>
            <w:shd w:val="clear" w:color="auto" w:fill="auto"/>
            <w:vAlign w:val="bottom"/>
          </w:tcPr>
          <w:p w14:paraId="5554FAE0" w14:textId="5137F0A1" w:rsidR="00BF28D7" w:rsidRPr="002D2F67" w:rsidRDefault="00CD5714" w:rsidP="00BF28D7">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131</w:t>
            </w:r>
            <w:r w:rsidR="00BF28D7" w:rsidRPr="002D2F67">
              <w:rPr>
                <w:rFonts w:ascii="Arial" w:hAnsi="Arial" w:cs="Arial"/>
                <w:color w:val="000000"/>
                <w:sz w:val="20"/>
                <w:szCs w:val="20"/>
              </w:rPr>
              <w:t>,</w:t>
            </w:r>
            <w:r w:rsidRPr="00CD5714">
              <w:rPr>
                <w:rFonts w:ascii="Arial" w:hAnsi="Arial" w:cs="Arial"/>
                <w:color w:val="000000"/>
                <w:sz w:val="20"/>
                <w:szCs w:val="20"/>
                <w:lang w:val="en-GB"/>
              </w:rPr>
              <w:t>095</w:t>
            </w:r>
          </w:p>
        </w:tc>
        <w:tc>
          <w:tcPr>
            <w:tcW w:w="1368" w:type="dxa"/>
            <w:shd w:val="clear" w:color="auto" w:fill="auto"/>
            <w:vAlign w:val="bottom"/>
          </w:tcPr>
          <w:p w14:paraId="382954E4" w14:textId="179714FB" w:rsidR="00BF28D7" w:rsidRPr="002D2F67" w:rsidRDefault="00CD5714" w:rsidP="00BF28D7">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91</w:t>
            </w:r>
            <w:r w:rsidR="00BF28D7" w:rsidRPr="002D2F67">
              <w:rPr>
                <w:rFonts w:ascii="Arial" w:hAnsi="Arial" w:cs="Arial"/>
                <w:color w:val="000000"/>
                <w:sz w:val="20"/>
                <w:szCs w:val="20"/>
              </w:rPr>
              <w:t>,</w:t>
            </w:r>
            <w:r w:rsidRPr="00CD5714">
              <w:rPr>
                <w:rFonts w:ascii="Arial" w:hAnsi="Arial" w:cs="Arial"/>
                <w:color w:val="000000"/>
                <w:sz w:val="20"/>
                <w:szCs w:val="20"/>
                <w:lang w:val="en-GB"/>
              </w:rPr>
              <w:t>544</w:t>
            </w:r>
          </w:p>
        </w:tc>
        <w:tc>
          <w:tcPr>
            <w:tcW w:w="1368" w:type="dxa"/>
            <w:shd w:val="clear" w:color="auto" w:fill="auto"/>
            <w:vAlign w:val="bottom"/>
          </w:tcPr>
          <w:p w14:paraId="24AA8FCA" w14:textId="71E16182" w:rsidR="00BF28D7" w:rsidRPr="002D2F67" w:rsidRDefault="00CD5714" w:rsidP="00BF28D7">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12</w:t>
            </w:r>
            <w:r w:rsidR="00BF28D7" w:rsidRPr="002D2F67">
              <w:rPr>
                <w:rFonts w:ascii="Arial" w:hAnsi="Arial" w:cs="Arial"/>
                <w:color w:val="000000"/>
                <w:sz w:val="20"/>
                <w:szCs w:val="20"/>
              </w:rPr>
              <w:t>,</w:t>
            </w:r>
            <w:r w:rsidRPr="00CD5714">
              <w:rPr>
                <w:rFonts w:ascii="Arial" w:hAnsi="Arial" w:cs="Arial"/>
                <w:color w:val="000000"/>
                <w:sz w:val="20"/>
                <w:szCs w:val="20"/>
                <w:lang w:val="en-GB"/>
              </w:rPr>
              <w:t>673</w:t>
            </w:r>
          </w:p>
        </w:tc>
        <w:tc>
          <w:tcPr>
            <w:tcW w:w="1368" w:type="dxa"/>
            <w:shd w:val="clear" w:color="auto" w:fill="auto"/>
            <w:vAlign w:val="bottom"/>
          </w:tcPr>
          <w:p w14:paraId="3E5AED82" w14:textId="72852ABF" w:rsidR="00BF28D7" w:rsidRPr="002D2F67" w:rsidRDefault="00CD5714" w:rsidP="00BF28D7">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53</w:t>
            </w:r>
            <w:r w:rsidR="00BF28D7" w:rsidRPr="002D2F67">
              <w:rPr>
                <w:rFonts w:ascii="Arial" w:hAnsi="Arial" w:cs="Arial"/>
                <w:color w:val="000000"/>
                <w:sz w:val="20"/>
                <w:szCs w:val="20"/>
              </w:rPr>
              <w:t>,</w:t>
            </w:r>
            <w:r w:rsidRPr="00CD5714">
              <w:rPr>
                <w:rFonts w:ascii="Arial" w:hAnsi="Arial" w:cs="Arial"/>
                <w:color w:val="000000"/>
                <w:sz w:val="20"/>
                <w:szCs w:val="20"/>
                <w:lang w:val="en-GB"/>
              </w:rPr>
              <w:t>671</w:t>
            </w:r>
          </w:p>
        </w:tc>
      </w:tr>
      <w:tr w:rsidR="00BF28D7" w:rsidRPr="002D2F67" w14:paraId="238746C3" w14:textId="77777777" w:rsidTr="002D2F67">
        <w:tc>
          <w:tcPr>
            <w:tcW w:w="3989" w:type="dxa"/>
            <w:shd w:val="clear" w:color="auto" w:fill="auto"/>
          </w:tcPr>
          <w:p w14:paraId="2A8A4234" w14:textId="77777777" w:rsidR="00BF28D7" w:rsidRPr="002D2F67" w:rsidRDefault="00BF28D7" w:rsidP="00BF28D7">
            <w:pPr>
              <w:ind w:left="101" w:right="-72" w:hanging="187"/>
              <w:rPr>
                <w:rFonts w:ascii="Arial" w:hAnsi="Arial" w:cs="Arial"/>
                <w:color w:val="000000"/>
                <w:sz w:val="20"/>
                <w:szCs w:val="20"/>
              </w:rPr>
            </w:pPr>
            <w:r w:rsidRPr="002D2F67">
              <w:rPr>
                <w:rFonts w:ascii="Arial" w:hAnsi="Arial" w:cs="Arial"/>
                <w:color w:val="000000"/>
                <w:sz w:val="20"/>
                <w:szCs w:val="20"/>
              </w:rPr>
              <w:t>Others</w:t>
            </w:r>
          </w:p>
        </w:tc>
        <w:tc>
          <w:tcPr>
            <w:tcW w:w="1368" w:type="dxa"/>
            <w:shd w:val="clear" w:color="auto" w:fill="auto"/>
            <w:vAlign w:val="bottom"/>
          </w:tcPr>
          <w:p w14:paraId="151A9B5C" w14:textId="71D2107E" w:rsidR="00BF28D7" w:rsidRPr="002D2F67" w:rsidRDefault="00CD5714" w:rsidP="00BF28D7">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167</w:t>
            </w:r>
            <w:r w:rsidR="00BF28D7" w:rsidRPr="002D2F67">
              <w:rPr>
                <w:rFonts w:ascii="Arial" w:hAnsi="Arial" w:cs="Arial"/>
                <w:color w:val="000000"/>
                <w:sz w:val="20"/>
                <w:szCs w:val="20"/>
              </w:rPr>
              <w:t>,</w:t>
            </w:r>
            <w:r w:rsidRPr="00CD5714">
              <w:rPr>
                <w:rFonts w:ascii="Arial" w:hAnsi="Arial" w:cs="Arial"/>
                <w:color w:val="000000"/>
                <w:sz w:val="20"/>
                <w:szCs w:val="20"/>
                <w:lang w:val="en-GB"/>
              </w:rPr>
              <w:t>981</w:t>
            </w:r>
          </w:p>
        </w:tc>
        <w:tc>
          <w:tcPr>
            <w:tcW w:w="1368" w:type="dxa"/>
            <w:shd w:val="clear" w:color="auto" w:fill="auto"/>
            <w:vAlign w:val="bottom"/>
          </w:tcPr>
          <w:p w14:paraId="38C6E36D" w14:textId="127EB181" w:rsidR="00BF28D7" w:rsidRPr="002D2F67" w:rsidRDefault="00CD5714" w:rsidP="00BF28D7">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10</w:t>
            </w:r>
            <w:r w:rsidR="00BF28D7" w:rsidRPr="002D2F67">
              <w:rPr>
                <w:rFonts w:ascii="Arial" w:hAnsi="Arial" w:cs="Arial"/>
                <w:color w:val="000000"/>
                <w:sz w:val="20"/>
                <w:szCs w:val="20"/>
              </w:rPr>
              <w:t>,</w:t>
            </w:r>
            <w:r w:rsidRPr="00CD5714">
              <w:rPr>
                <w:rFonts w:ascii="Arial" w:hAnsi="Arial" w:cs="Arial"/>
                <w:color w:val="000000"/>
                <w:sz w:val="20"/>
                <w:szCs w:val="20"/>
                <w:lang w:val="en-GB"/>
              </w:rPr>
              <w:t>596</w:t>
            </w:r>
          </w:p>
        </w:tc>
        <w:tc>
          <w:tcPr>
            <w:tcW w:w="1368" w:type="dxa"/>
            <w:shd w:val="clear" w:color="auto" w:fill="auto"/>
            <w:vAlign w:val="bottom"/>
          </w:tcPr>
          <w:p w14:paraId="410F9F9E" w14:textId="2D0F1BB6" w:rsidR="00BF28D7" w:rsidRPr="002D2F67" w:rsidRDefault="00CD5714" w:rsidP="00BF28D7">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8</w:t>
            </w:r>
            <w:r w:rsidR="00BF28D7" w:rsidRPr="002D2F67">
              <w:rPr>
                <w:rFonts w:ascii="Arial" w:hAnsi="Arial" w:cs="Arial"/>
                <w:color w:val="000000"/>
                <w:sz w:val="20"/>
                <w:szCs w:val="20"/>
              </w:rPr>
              <w:t>,</w:t>
            </w:r>
            <w:r w:rsidRPr="00CD5714">
              <w:rPr>
                <w:rFonts w:ascii="Arial" w:hAnsi="Arial" w:cs="Arial"/>
                <w:color w:val="000000"/>
                <w:sz w:val="20"/>
                <w:szCs w:val="20"/>
                <w:lang w:val="en-GB"/>
              </w:rPr>
              <w:t>264</w:t>
            </w:r>
          </w:p>
        </w:tc>
        <w:tc>
          <w:tcPr>
            <w:tcW w:w="1368" w:type="dxa"/>
            <w:shd w:val="clear" w:color="auto" w:fill="auto"/>
            <w:vAlign w:val="bottom"/>
          </w:tcPr>
          <w:p w14:paraId="0F6B5422" w14:textId="1AB9B836" w:rsidR="00BF28D7" w:rsidRPr="002D2F67" w:rsidRDefault="00CD5714" w:rsidP="00BF28D7">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8</w:t>
            </w:r>
            <w:r w:rsidR="00BF28D7" w:rsidRPr="002D2F67">
              <w:rPr>
                <w:rFonts w:ascii="Arial" w:hAnsi="Arial" w:cs="Arial"/>
                <w:color w:val="000000"/>
                <w:sz w:val="20"/>
                <w:szCs w:val="20"/>
              </w:rPr>
              <w:t>,</w:t>
            </w:r>
            <w:r w:rsidRPr="00CD5714">
              <w:rPr>
                <w:rFonts w:ascii="Arial" w:hAnsi="Arial" w:cs="Arial"/>
                <w:color w:val="000000"/>
                <w:sz w:val="20"/>
                <w:szCs w:val="20"/>
                <w:lang w:val="en-GB"/>
              </w:rPr>
              <w:t>264</w:t>
            </w:r>
          </w:p>
        </w:tc>
      </w:tr>
      <w:tr w:rsidR="00BF28D7" w:rsidRPr="002D2F67" w14:paraId="51410100" w14:textId="77777777" w:rsidTr="002D2F67">
        <w:tc>
          <w:tcPr>
            <w:tcW w:w="3989" w:type="dxa"/>
            <w:shd w:val="clear" w:color="auto" w:fill="auto"/>
          </w:tcPr>
          <w:p w14:paraId="17B27957" w14:textId="295C369C" w:rsidR="00BF28D7" w:rsidRPr="002D2F67" w:rsidRDefault="00BF28D7" w:rsidP="00BF28D7">
            <w:pPr>
              <w:tabs>
                <w:tab w:val="left" w:pos="1134"/>
                <w:tab w:val="left" w:pos="1276"/>
                <w:tab w:val="center" w:pos="3402"/>
                <w:tab w:val="center" w:pos="4536"/>
                <w:tab w:val="center" w:pos="5670"/>
                <w:tab w:val="center" w:pos="6804"/>
                <w:tab w:val="right" w:pos="7655"/>
              </w:tabs>
              <w:ind w:left="101" w:right="-72" w:hanging="187"/>
              <w:rPr>
                <w:rFonts w:ascii="Arial" w:hAnsi="Arial" w:cs="Arial"/>
                <w:color w:val="000000"/>
                <w:spacing w:val="-2"/>
                <w:sz w:val="20"/>
                <w:szCs w:val="20"/>
                <w:u w:val="single"/>
              </w:rPr>
            </w:pPr>
            <w:r w:rsidRPr="002D2F67">
              <w:rPr>
                <w:rFonts w:ascii="Arial" w:hAnsi="Arial" w:cs="Arial"/>
                <w:color w:val="000000"/>
                <w:spacing w:val="-2"/>
                <w:sz w:val="20"/>
                <w:szCs w:val="20"/>
                <w:u w:val="single"/>
              </w:rPr>
              <w:t>Less</w:t>
            </w:r>
            <w:r w:rsidRPr="002D2F67">
              <w:rPr>
                <w:rFonts w:ascii="Arial" w:hAnsi="Arial" w:cs="Arial"/>
                <w:color w:val="000000"/>
                <w:spacing w:val="-2"/>
                <w:sz w:val="20"/>
                <w:szCs w:val="20"/>
              </w:rPr>
              <w:t xml:space="preserve">  Allowance for impairment</w:t>
            </w:r>
          </w:p>
        </w:tc>
        <w:tc>
          <w:tcPr>
            <w:tcW w:w="1368" w:type="dxa"/>
            <w:tcBorders>
              <w:bottom w:val="single" w:sz="4" w:space="0" w:color="auto"/>
            </w:tcBorders>
            <w:shd w:val="clear" w:color="auto" w:fill="auto"/>
            <w:vAlign w:val="bottom"/>
          </w:tcPr>
          <w:p w14:paraId="34E5B18F" w14:textId="1839B938" w:rsidR="00BF28D7" w:rsidRPr="002D2F67" w:rsidRDefault="00BF28D7" w:rsidP="00BF28D7">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cs/>
              </w:rPr>
              <w:t>(</w:t>
            </w:r>
            <w:r w:rsidR="00CD5714" w:rsidRPr="00CD5714">
              <w:rPr>
                <w:rFonts w:ascii="Arial" w:hAnsi="Arial" w:cs="Arial"/>
                <w:color w:val="000000"/>
                <w:sz w:val="20"/>
                <w:szCs w:val="20"/>
                <w:lang w:val="en-GB"/>
              </w:rPr>
              <w:t>31</w:t>
            </w:r>
            <w:r w:rsidRPr="002D2F67">
              <w:rPr>
                <w:rFonts w:ascii="Arial" w:hAnsi="Arial" w:cs="Arial"/>
                <w:color w:val="000000"/>
                <w:sz w:val="20"/>
                <w:szCs w:val="20"/>
              </w:rPr>
              <w:t>,</w:t>
            </w:r>
            <w:r w:rsidR="00CD5714" w:rsidRPr="00CD5714">
              <w:rPr>
                <w:rFonts w:ascii="Arial" w:hAnsi="Arial" w:cs="Arial"/>
                <w:color w:val="000000"/>
                <w:sz w:val="20"/>
                <w:szCs w:val="20"/>
                <w:lang w:val="en-GB"/>
              </w:rPr>
              <w:t>216</w:t>
            </w:r>
            <w:r w:rsidRPr="002D2F67">
              <w:rPr>
                <w:rFonts w:ascii="Arial" w:hAnsi="Arial" w:cs="Arial"/>
                <w:color w:val="000000"/>
                <w:sz w:val="20"/>
                <w:szCs w:val="20"/>
                <w:cs/>
              </w:rPr>
              <w:t>)</w:t>
            </w:r>
          </w:p>
        </w:tc>
        <w:tc>
          <w:tcPr>
            <w:tcW w:w="1368" w:type="dxa"/>
            <w:tcBorders>
              <w:bottom w:val="single" w:sz="4" w:space="0" w:color="auto"/>
            </w:tcBorders>
            <w:shd w:val="clear" w:color="auto" w:fill="auto"/>
            <w:vAlign w:val="bottom"/>
          </w:tcPr>
          <w:p w14:paraId="6AD98234" w14:textId="3FDE86AA" w:rsidR="00BF28D7" w:rsidRPr="002D2F67" w:rsidRDefault="00BF28D7" w:rsidP="00BF28D7">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31</w:t>
            </w:r>
            <w:r w:rsidRPr="002D2F67">
              <w:rPr>
                <w:rFonts w:ascii="Arial" w:hAnsi="Arial" w:cs="Arial"/>
                <w:color w:val="000000"/>
                <w:sz w:val="20"/>
                <w:szCs w:val="20"/>
              </w:rPr>
              <w:t>,</w:t>
            </w:r>
            <w:r w:rsidR="00CD5714" w:rsidRPr="00CD5714">
              <w:rPr>
                <w:rFonts w:ascii="Arial" w:hAnsi="Arial" w:cs="Arial"/>
                <w:color w:val="000000"/>
                <w:sz w:val="20"/>
                <w:szCs w:val="20"/>
                <w:lang w:val="en-GB"/>
              </w:rPr>
              <w:t>216</w:t>
            </w:r>
            <w:r w:rsidRPr="002D2F67">
              <w:rPr>
                <w:rFonts w:ascii="Arial" w:hAnsi="Arial" w:cs="Arial"/>
                <w:color w:val="000000"/>
                <w:sz w:val="20"/>
                <w:szCs w:val="20"/>
              </w:rPr>
              <w:t>)</w:t>
            </w:r>
          </w:p>
        </w:tc>
        <w:tc>
          <w:tcPr>
            <w:tcW w:w="1368" w:type="dxa"/>
            <w:tcBorders>
              <w:bottom w:val="single" w:sz="4" w:space="0" w:color="auto"/>
            </w:tcBorders>
            <w:shd w:val="clear" w:color="auto" w:fill="auto"/>
            <w:vAlign w:val="bottom"/>
          </w:tcPr>
          <w:p w14:paraId="3564FB21" w14:textId="10FB9CC6" w:rsidR="00BF28D7" w:rsidRPr="002D2F67" w:rsidRDefault="00BF28D7" w:rsidP="00BF28D7">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31</w:t>
            </w:r>
            <w:r w:rsidRPr="002D2F67">
              <w:rPr>
                <w:rFonts w:ascii="Arial" w:hAnsi="Arial" w:cs="Arial"/>
                <w:color w:val="000000"/>
                <w:sz w:val="20"/>
                <w:szCs w:val="20"/>
              </w:rPr>
              <w:t>,</w:t>
            </w:r>
            <w:r w:rsidR="00CD5714" w:rsidRPr="00CD5714">
              <w:rPr>
                <w:rFonts w:ascii="Arial" w:hAnsi="Arial" w:cs="Arial"/>
                <w:color w:val="000000"/>
                <w:sz w:val="20"/>
                <w:szCs w:val="20"/>
                <w:lang w:val="en-GB"/>
              </w:rPr>
              <w:t>216</w:t>
            </w:r>
            <w:r w:rsidRPr="002D2F67">
              <w:rPr>
                <w:rFonts w:ascii="Arial" w:hAnsi="Arial" w:cs="Arial"/>
                <w:color w:val="000000"/>
                <w:sz w:val="20"/>
                <w:szCs w:val="20"/>
              </w:rPr>
              <w:t>)</w:t>
            </w:r>
          </w:p>
        </w:tc>
        <w:tc>
          <w:tcPr>
            <w:tcW w:w="1368" w:type="dxa"/>
            <w:tcBorders>
              <w:bottom w:val="single" w:sz="4" w:space="0" w:color="auto"/>
            </w:tcBorders>
            <w:shd w:val="clear" w:color="auto" w:fill="auto"/>
            <w:vAlign w:val="bottom"/>
          </w:tcPr>
          <w:p w14:paraId="7E02ECBD" w14:textId="41BB8AC7" w:rsidR="00BF28D7" w:rsidRPr="002D2F67" w:rsidRDefault="00BF28D7" w:rsidP="00BF28D7">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31</w:t>
            </w:r>
            <w:r w:rsidRPr="002D2F67">
              <w:rPr>
                <w:rFonts w:ascii="Arial" w:hAnsi="Arial" w:cs="Arial"/>
                <w:color w:val="000000"/>
                <w:sz w:val="20"/>
                <w:szCs w:val="20"/>
              </w:rPr>
              <w:t>,</w:t>
            </w:r>
            <w:r w:rsidR="00CD5714" w:rsidRPr="00CD5714">
              <w:rPr>
                <w:rFonts w:ascii="Arial" w:hAnsi="Arial" w:cs="Arial"/>
                <w:color w:val="000000"/>
                <w:sz w:val="20"/>
                <w:szCs w:val="20"/>
                <w:lang w:val="en-GB"/>
              </w:rPr>
              <w:t>216</w:t>
            </w:r>
            <w:r w:rsidRPr="002D2F67">
              <w:rPr>
                <w:rFonts w:ascii="Arial" w:hAnsi="Arial" w:cs="Arial"/>
                <w:color w:val="000000"/>
                <w:sz w:val="20"/>
                <w:szCs w:val="20"/>
              </w:rPr>
              <w:t>)</w:t>
            </w:r>
          </w:p>
        </w:tc>
      </w:tr>
      <w:tr w:rsidR="006D247B" w:rsidRPr="002D2F67" w14:paraId="6ADFB510" w14:textId="77777777" w:rsidTr="002D2F67">
        <w:trPr>
          <w:trHeight w:val="74"/>
        </w:trPr>
        <w:tc>
          <w:tcPr>
            <w:tcW w:w="3989" w:type="dxa"/>
            <w:shd w:val="clear" w:color="auto" w:fill="auto"/>
          </w:tcPr>
          <w:p w14:paraId="45D03E08" w14:textId="77777777" w:rsidR="006D247B" w:rsidRPr="002D2F67" w:rsidRDefault="006D247B" w:rsidP="005611FE">
            <w:pPr>
              <w:ind w:left="101" w:right="-72" w:hanging="187"/>
              <w:rPr>
                <w:rFonts w:ascii="Arial" w:hAnsi="Arial" w:cs="Arial"/>
                <w:b/>
                <w:bCs/>
                <w:color w:val="000000"/>
                <w:sz w:val="20"/>
                <w:szCs w:val="20"/>
              </w:rPr>
            </w:pPr>
          </w:p>
        </w:tc>
        <w:tc>
          <w:tcPr>
            <w:tcW w:w="1368" w:type="dxa"/>
            <w:tcBorders>
              <w:top w:val="single" w:sz="4" w:space="0" w:color="auto"/>
            </w:tcBorders>
            <w:shd w:val="clear" w:color="auto" w:fill="auto"/>
            <w:vAlign w:val="bottom"/>
          </w:tcPr>
          <w:p w14:paraId="60E89B5C" w14:textId="77777777" w:rsidR="006D247B" w:rsidRPr="002D2F67" w:rsidRDefault="006D247B"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tcBorders>
              <w:top w:val="single" w:sz="4" w:space="0" w:color="auto"/>
            </w:tcBorders>
            <w:shd w:val="clear" w:color="auto" w:fill="auto"/>
            <w:vAlign w:val="bottom"/>
          </w:tcPr>
          <w:p w14:paraId="569D0C2F" w14:textId="77777777" w:rsidR="006D247B" w:rsidRPr="002D2F67" w:rsidRDefault="006D247B"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tcBorders>
              <w:top w:val="single" w:sz="4" w:space="0" w:color="auto"/>
            </w:tcBorders>
            <w:shd w:val="clear" w:color="auto" w:fill="auto"/>
            <w:vAlign w:val="bottom"/>
          </w:tcPr>
          <w:p w14:paraId="61E95943" w14:textId="77777777" w:rsidR="006D247B" w:rsidRPr="002D2F67" w:rsidRDefault="006D247B"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tcBorders>
              <w:top w:val="single" w:sz="4" w:space="0" w:color="auto"/>
            </w:tcBorders>
            <w:shd w:val="clear" w:color="auto" w:fill="auto"/>
            <w:vAlign w:val="bottom"/>
          </w:tcPr>
          <w:p w14:paraId="501258A6" w14:textId="77777777" w:rsidR="006D247B" w:rsidRPr="002D2F67" w:rsidRDefault="006D247B"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6D247B" w:rsidRPr="002D2F67" w14:paraId="2C6C9B41" w14:textId="77777777" w:rsidTr="002D2F67">
        <w:trPr>
          <w:trHeight w:val="75"/>
        </w:trPr>
        <w:tc>
          <w:tcPr>
            <w:tcW w:w="3989" w:type="dxa"/>
            <w:shd w:val="clear" w:color="auto" w:fill="auto"/>
          </w:tcPr>
          <w:p w14:paraId="23322212" w14:textId="77777777" w:rsidR="006D247B" w:rsidRPr="002D2F67" w:rsidRDefault="006D247B" w:rsidP="005611FE">
            <w:pPr>
              <w:tabs>
                <w:tab w:val="left" w:pos="1134"/>
                <w:tab w:val="left" w:pos="1276"/>
                <w:tab w:val="center" w:pos="3402"/>
                <w:tab w:val="center" w:pos="4536"/>
                <w:tab w:val="center" w:pos="5670"/>
                <w:tab w:val="center" w:pos="6804"/>
                <w:tab w:val="right" w:pos="7655"/>
              </w:tabs>
              <w:ind w:left="101" w:right="-72" w:hanging="187"/>
              <w:rPr>
                <w:rFonts w:ascii="Arial" w:hAnsi="Arial" w:cs="Arial"/>
                <w:color w:val="000000"/>
                <w:sz w:val="20"/>
                <w:szCs w:val="20"/>
              </w:rPr>
            </w:pPr>
            <w:r w:rsidRPr="002D2F67">
              <w:rPr>
                <w:rFonts w:ascii="Arial" w:hAnsi="Arial" w:cs="Arial"/>
                <w:color w:val="000000"/>
                <w:sz w:val="20"/>
                <w:szCs w:val="20"/>
              </w:rPr>
              <w:t>Total other non-current assets, net</w:t>
            </w:r>
          </w:p>
        </w:tc>
        <w:tc>
          <w:tcPr>
            <w:tcW w:w="1368" w:type="dxa"/>
            <w:tcBorders>
              <w:bottom w:val="single" w:sz="4" w:space="0" w:color="auto"/>
            </w:tcBorders>
            <w:shd w:val="clear" w:color="auto" w:fill="auto"/>
            <w:vAlign w:val="bottom"/>
          </w:tcPr>
          <w:p w14:paraId="5551DEBC" w14:textId="5637C393" w:rsidR="006D247B"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w:t>
            </w:r>
            <w:r w:rsidR="00586ED6" w:rsidRPr="002D2F67">
              <w:rPr>
                <w:rFonts w:ascii="Arial" w:hAnsi="Arial" w:cs="Arial"/>
                <w:color w:val="000000"/>
                <w:sz w:val="20"/>
                <w:szCs w:val="20"/>
              </w:rPr>
              <w:t>,</w:t>
            </w:r>
            <w:r w:rsidRPr="00CD5714">
              <w:rPr>
                <w:rFonts w:ascii="Arial" w:hAnsi="Arial" w:cs="Arial"/>
                <w:color w:val="000000"/>
                <w:sz w:val="20"/>
                <w:szCs w:val="20"/>
                <w:lang w:val="en-GB"/>
              </w:rPr>
              <w:t>851</w:t>
            </w:r>
            <w:r w:rsidR="00586ED6" w:rsidRPr="002D2F67">
              <w:rPr>
                <w:rFonts w:ascii="Arial" w:hAnsi="Arial" w:cs="Arial"/>
                <w:color w:val="000000"/>
                <w:sz w:val="20"/>
                <w:szCs w:val="20"/>
              </w:rPr>
              <w:t>,</w:t>
            </w:r>
            <w:r w:rsidRPr="00CD5714">
              <w:rPr>
                <w:rFonts w:ascii="Arial" w:hAnsi="Arial" w:cs="Arial"/>
                <w:color w:val="000000"/>
                <w:sz w:val="20"/>
                <w:szCs w:val="20"/>
                <w:lang w:val="en-GB"/>
              </w:rPr>
              <w:t>359</w:t>
            </w:r>
          </w:p>
        </w:tc>
        <w:tc>
          <w:tcPr>
            <w:tcW w:w="1368" w:type="dxa"/>
            <w:tcBorders>
              <w:bottom w:val="single" w:sz="4" w:space="0" w:color="auto"/>
            </w:tcBorders>
            <w:shd w:val="clear" w:color="auto" w:fill="auto"/>
            <w:vAlign w:val="bottom"/>
          </w:tcPr>
          <w:p w14:paraId="40DAB61A" w14:textId="119A12A9" w:rsidR="006D247B"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2</w:t>
            </w:r>
            <w:r w:rsidR="006D247B" w:rsidRPr="002D2F67">
              <w:rPr>
                <w:rFonts w:ascii="Arial" w:hAnsi="Arial" w:cs="Arial"/>
                <w:color w:val="000000"/>
                <w:sz w:val="20"/>
                <w:szCs w:val="20"/>
              </w:rPr>
              <w:t>,</w:t>
            </w:r>
            <w:r w:rsidRPr="00CD5714">
              <w:rPr>
                <w:rFonts w:ascii="Arial" w:hAnsi="Arial" w:cs="Arial"/>
                <w:color w:val="000000"/>
                <w:sz w:val="20"/>
                <w:szCs w:val="20"/>
                <w:lang w:val="en-GB"/>
              </w:rPr>
              <w:t>270</w:t>
            </w:r>
            <w:r w:rsidR="006D247B" w:rsidRPr="002D2F67">
              <w:rPr>
                <w:rFonts w:ascii="Arial" w:hAnsi="Arial" w:cs="Arial"/>
                <w:color w:val="000000"/>
                <w:sz w:val="20"/>
                <w:szCs w:val="20"/>
              </w:rPr>
              <w:t>,</w:t>
            </w:r>
            <w:r w:rsidRPr="00CD5714">
              <w:rPr>
                <w:rFonts w:ascii="Arial" w:hAnsi="Arial" w:cs="Arial"/>
                <w:color w:val="000000"/>
                <w:sz w:val="20"/>
                <w:szCs w:val="20"/>
                <w:lang w:val="en-GB"/>
              </w:rPr>
              <w:t>313</w:t>
            </w:r>
          </w:p>
        </w:tc>
        <w:tc>
          <w:tcPr>
            <w:tcW w:w="1368" w:type="dxa"/>
            <w:tcBorders>
              <w:bottom w:val="single" w:sz="4" w:space="0" w:color="auto"/>
            </w:tcBorders>
            <w:shd w:val="clear" w:color="auto" w:fill="auto"/>
            <w:vAlign w:val="bottom"/>
          </w:tcPr>
          <w:p w14:paraId="2188DB30" w14:textId="22C8A94C" w:rsidR="006D247B"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w:t>
            </w:r>
            <w:r w:rsidR="00710C70" w:rsidRPr="002D2F67">
              <w:rPr>
                <w:rFonts w:ascii="Arial" w:hAnsi="Arial" w:cs="Arial"/>
                <w:color w:val="000000"/>
                <w:sz w:val="20"/>
                <w:szCs w:val="20"/>
              </w:rPr>
              <w:t>,</w:t>
            </w:r>
            <w:r w:rsidRPr="00CD5714">
              <w:rPr>
                <w:rFonts w:ascii="Arial" w:hAnsi="Arial" w:cs="Arial"/>
                <w:color w:val="000000"/>
                <w:sz w:val="20"/>
                <w:szCs w:val="20"/>
                <w:lang w:val="en-GB"/>
              </w:rPr>
              <w:t>112</w:t>
            </w:r>
            <w:r w:rsidR="00710C70" w:rsidRPr="002D2F67">
              <w:rPr>
                <w:rFonts w:ascii="Arial" w:hAnsi="Arial" w:cs="Arial"/>
                <w:color w:val="000000"/>
                <w:sz w:val="20"/>
                <w:szCs w:val="20"/>
              </w:rPr>
              <w:t>,</w:t>
            </w:r>
            <w:r w:rsidRPr="00CD5714">
              <w:rPr>
                <w:rFonts w:ascii="Arial" w:hAnsi="Arial" w:cs="Arial"/>
                <w:color w:val="000000"/>
                <w:sz w:val="20"/>
                <w:szCs w:val="20"/>
                <w:lang w:val="en-GB"/>
              </w:rPr>
              <w:t>051</w:t>
            </w:r>
          </w:p>
        </w:tc>
        <w:tc>
          <w:tcPr>
            <w:tcW w:w="1368" w:type="dxa"/>
            <w:tcBorders>
              <w:bottom w:val="single" w:sz="4" w:space="0" w:color="auto"/>
            </w:tcBorders>
            <w:shd w:val="clear" w:color="auto" w:fill="auto"/>
            <w:vAlign w:val="bottom"/>
          </w:tcPr>
          <w:p w14:paraId="1A4D8ED1" w14:textId="009BB508" w:rsidR="006D247B"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w:t>
            </w:r>
            <w:r w:rsidR="006D247B" w:rsidRPr="002D2F67">
              <w:rPr>
                <w:rFonts w:ascii="Arial" w:hAnsi="Arial" w:cs="Arial"/>
                <w:color w:val="000000"/>
                <w:sz w:val="20"/>
                <w:szCs w:val="20"/>
              </w:rPr>
              <w:t>,</w:t>
            </w:r>
            <w:r w:rsidRPr="00CD5714">
              <w:rPr>
                <w:rFonts w:ascii="Arial" w:hAnsi="Arial" w:cs="Arial"/>
                <w:color w:val="000000"/>
                <w:sz w:val="20"/>
                <w:szCs w:val="20"/>
                <w:lang w:val="en-GB"/>
              </w:rPr>
              <w:t>129</w:t>
            </w:r>
            <w:r w:rsidR="006D247B" w:rsidRPr="002D2F67">
              <w:rPr>
                <w:rFonts w:ascii="Arial" w:hAnsi="Arial" w:cs="Arial"/>
                <w:color w:val="000000"/>
                <w:sz w:val="20"/>
                <w:szCs w:val="20"/>
              </w:rPr>
              <w:t>,</w:t>
            </w:r>
            <w:r w:rsidRPr="00CD5714">
              <w:rPr>
                <w:rFonts w:ascii="Arial" w:hAnsi="Arial" w:cs="Arial"/>
                <w:color w:val="000000"/>
                <w:sz w:val="20"/>
                <w:szCs w:val="20"/>
                <w:lang w:val="en-GB"/>
              </w:rPr>
              <w:t>374</w:t>
            </w:r>
          </w:p>
        </w:tc>
      </w:tr>
    </w:tbl>
    <w:p w14:paraId="7C356999" w14:textId="28211017" w:rsidR="001E6C66" w:rsidRPr="002D2F67" w:rsidRDefault="001E6C66" w:rsidP="005611FE">
      <w:pPr>
        <w:tabs>
          <w:tab w:val="left" w:pos="4536"/>
        </w:tabs>
        <w:jc w:val="both"/>
        <w:rPr>
          <w:rFonts w:ascii="Arial" w:hAnsi="Arial" w:cs="Arial"/>
          <w:color w:val="000000"/>
          <w:sz w:val="20"/>
          <w:szCs w:val="20"/>
        </w:rPr>
      </w:pPr>
    </w:p>
    <w:p w14:paraId="0ABD3AFE" w14:textId="79C0C5AD" w:rsidR="00B4267B" w:rsidRPr="002D2F67" w:rsidRDefault="004D3ACF" w:rsidP="005611FE">
      <w:pPr>
        <w:jc w:val="both"/>
        <w:rPr>
          <w:rFonts w:ascii="Arial" w:hAnsi="Arial" w:cs="Arial"/>
          <w:color w:val="000000"/>
          <w:spacing w:val="-6"/>
          <w:sz w:val="20"/>
          <w:szCs w:val="20"/>
        </w:rPr>
      </w:pPr>
      <w:r w:rsidRPr="002D2F67">
        <w:rPr>
          <w:rFonts w:ascii="Arial" w:hAnsi="Arial" w:cs="Arial"/>
          <w:color w:val="000000"/>
          <w:spacing w:val="-4"/>
          <w:sz w:val="20"/>
          <w:szCs w:val="20"/>
        </w:rPr>
        <w:t xml:space="preserve">Allowance for an impairment of assets </w:t>
      </w:r>
      <w:r w:rsidR="00B36791" w:rsidRPr="002D2F67">
        <w:rPr>
          <w:rFonts w:ascii="Arial" w:hAnsi="Arial" w:cs="Arial"/>
          <w:color w:val="000000"/>
          <w:spacing w:val="-4"/>
          <w:sz w:val="20"/>
          <w:szCs w:val="20"/>
        </w:rPr>
        <w:t>of</w:t>
      </w:r>
      <w:r w:rsidRPr="002D2F67">
        <w:rPr>
          <w:rFonts w:ascii="Arial" w:hAnsi="Arial" w:cs="Arial"/>
          <w:color w:val="000000"/>
          <w:spacing w:val="-4"/>
          <w:sz w:val="20"/>
          <w:szCs w:val="20"/>
        </w:rPr>
        <w:t xml:space="preserve"> Baht </w:t>
      </w:r>
      <w:r w:rsidR="00CD5714" w:rsidRPr="00CD5714">
        <w:rPr>
          <w:rFonts w:ascii="Arial" w:hAnsi="Arial" w:cs="Arial"/>
          <w:color w:val="000000"/>
          <w:spacing w:val="-4"/>
          <w:sz w:val="20"/>
          <w:szCs w:val="20"/>
          <w:lang w:val="en-GB"/>
        </w:rPr>
        <w:t>31</w:t>
      </w:r>
      <w:r w:rsidRPr="002D2F67">
        <w:rPr>
          <w:rFonts w:ascii="Arial" w:hAnsi="Arial" w:cs="Arial"/>
          <w:color w:val="000000"/>
          <w:spacing w:val="-4"/>
          <w:sz w:val="20"/>
          <w:szCs w:val="20"/>
        </w:rPr>
        <w:t xml:space="preserve"> million </w:t>
      </w:r>
      <w:r w:rsidR="008A1307" w:rsidRPr="002D2F67">
        <w:rPr>
          <w:rFonts w:ascii="Arial" w:hAnsi="Arial" w:cs="Arial"/>
          <w:color w:val="000000"/>
          <w:spacing w:val="-4"/>
          <w:sz w:val="20"/>
          <w:szCs w:val="20"/>
        </w:rPr>
        <w:t xml:space="preserve">consists of </w:t>
      </w:r>
      <w:r w:rsidRPr="002D2F67">
        <w:rPr>
          <w:rFonts w:ascii="Arial" w:hAnsi="Arial" w:cs="Arial"/>
          <w:color w:val="000000"/>
          <w:spacing w:val="-4"/>
          <w:sz w:val="20"/>
          <w:szCs w:val="20"/>
        </w:rPr>
        <w:t>an allowance</w:t>
      </w:r>
      <w:r w:rsidRPr="002D2F67">
        <w:rPr>
          <w:rFonts w:ascii="Arial" w:hAnsi="Arial" w:cs="Arial"/>
          <w:color w:val="000000"/>
          <w:sz w:val="20"/>
          <w:szCs w:val="20"/>
        </w:rPr>
        <w:t xml:space="preserve"> </w:t>
      </w:r>
      <w:r w:rsidR="008A1307" w:rsidRPr="002D2F67">
        <w:rPr>
          <w:rFonts w:ascii="Arial" w:hAnsi="Arial" w:cs="Arial"/>
          <w:color w:val="000000"/>
          <w:sz w:val="20"/>
          <w:szCs w:val="20"/>
        </w:rPr>
        <w:t xml:space="preserve">of Baht </w:t>
      </w:r>
      <w:r w:rsidR="00CD5714" w:rsidRPr="00CD5714">
        <w:rPr>
          <w:rFonts w:ascii="Arial" w:hAnsi="Arial" w:cs="Arial"/>
          <w:color w:val="000000"/>
          <w:sz w:val="20"/>
          <w:szCs w:val="20"/>
          <w:lang w:val="en-GB"/>
        </w:rPr>
        <w:t>9</w:t>
      </w:r>
      <w:r w:rsidR="008A1307" w:rsidRPr="002D2F67">
        <w:rPr>
          <w:rFonts w:ascii="Arial" w:hAnsi="Arial" w:cs="Arial"/>
          <w:color w:val="000000"/>
          <w:sz w:val="20"/>
          <w:szCs w:val="20"/>
        </w:rPr>
        <w:t xml:space="preserve"> million</w:t>
      </w:r>
      <w:r w:rsidRPr="002D2F67">
        <w:rPr>
          <w:rFonts w:ascii="Arial" w:hAnsi="Arial" w:cs="Arial"/>
          <w:color w:val="000000"/>
          <w:sz w:val="20"/>
          <w:szCs w:val="20"/>
        </w:rPr>
        <w:t xml:space="preserve"> for advance payment for purchase of raw materials paid to a particular supplier who could not deliver raw materials or </w:t>
      </w:r>
      <w:r w:rsidRPr="002D2F67">
        <w:rPr>
          <w:rFonts w:ascii="Arial" w:hAnsi="Arial" w:cs="Arial"/>
          <w:color w:val="000000"/>
          <w:spacing w:val="-6"/>
          <w:sz w:val="20"/>
          <w:szCs w:val="20"/>
        </w:rPr>
        <w:t xml:space="preserve">return such advance payment to the Company </w:t>
      </w:r>
      <w:r w:rsidR="008D2D40" w:rsidRPr="002D2F67">
        <w:rPr>
          <w:rFonts w:ascii="Arial" w:hAnsi="Arial" w:cs="Arial"/>
          <w:color w:val="000000"/>
          <w:spacing w:val="-6"/>
          <w:sz w:val="20"/>
          <w:szCs w:val="20"/>
        </w:rPr>
        <w:t xml:space="preserve">due to its financial difficulties </w:t>
      </w:r>
      <w:r w:rsidRPr="002D2F67">
        <w:rPr>
          <w:rFonts w:ascii="Arial" w:hAnsi="Arial" w:cs="Arial"/>
          <w:color w:val="000000"/>
          <w:spacing w:val="-6"/>
          <w:sz w:val="20"/>
          <w:szCs w:val="20"/>
        </w:rPr>
        <w:t xml:space="preserve">and an allowance </w:t>
      </w:r>
      <w:r w:rsidR="008A1307" w:rsidRPr="002D2F67">
        <w:rPr>
          <w:rFonts w:ascii="Arial" w:hAnsi="Arial" w:cs="Arial"/>
          <w:color w:val="000000"/>
          <w:spacing w:val="-6"/>
          <w:sz w:val="20"/>
          <w:szCs w:val="20"/>
        </w:rPr>
        <w:t xml:space="preserve">of Baht </w:t>
      </w:r>
      <w:r w:rsidR="00CD5714" w:rsidRPr="00CD5714">
        <w:rPr>
          <w:rFonts w:ascii="Arial" w:hAnsi="Arial" w:cs="Arial"/>
          <w:color w:val="000000"/>
          <w:spacing w:val="-6"/>
          <w:sz w:val="20"/>
          <w:szCs w:val="20"/>
          <w:lang w:val="en-GB"/>
        </w:rPr>
        <w:t>22</w:t>
      </w:r>
      <w:r w:rsidR="008A1307" w:rsidRPr="002D2F67">
        <w:rPr>
          <w:rFonts w:ascii="Arial" w:hAnsi="Arial" w:cs="Arial"/>
          <w:color w:val="000000"/>
          <w:spacing w:val="-6"/>
          <w:sz w:val="20"/>
          <w:szCs w:val="20"/>
        </w:rPr>
        <w:t xml:space="preserve"> million </w:t>
      </w:r>
      <w:r w:rsidRPr="002D2F67">
        <w:rPr>
          <w:rFonts w:ascii="Arial" w:hAnsi="Arial" w:cs="Arial"/>
          <w:color w:val="000000"/>
          <w:spacing w:val="-6"/>
          <w:sz w:val="20"/>
          <w:szCs w:val="20"/>
        </w:rPr>
        <w:t>for deposit in an overseas</w:t>
      </w:r>
      <w:r w:rsidRPr="002D2F67">
        <w:rPr>
          <w:rFonts w:ascii="Arial" w:hAnsi="Arial" w:cs="Arial"/>
          <w:color w:val="000000"/>
          <w:sz w:val="20"/>
          <w:szCs w:val="20"/>
        </w:rPr>
        <w:t xml:space="preserve"> project which the Company</w:t>
      </w:r>
      <w:r w:rsidRPr="002D2F67">
        <w:rPr>
          <w:rFonts w:ascii="Arial" w:hAnsi="Arial" w:cs="Arial"/>
          <w:color w:val="000000"/>
          <w:spacing w:val="-6"/>
          <w:sz w:val="20"/>
          <w:szCs w:val="20"/>
        </w:rPr>
        <w:t xml:space="preserve"> does not expect to receive such deposit back</w:t>
      </w:r>
      <w:r w:rsidR="00524BB4" w:rsidRPr="002D2F67">
        <w:rPr>
          <w:rFonts w:ascii="Arial" w:hAnsi="Arial" w:cs="Arial"/>
          <w:color w:val="000000"/>
          <w:spacing w:val="-6"/>
          <w:sz w:val="20"/>
          <w:szCs w:val="20"/>
        </w:rPr>
        <w:t>.</w:t>
      </w:r>
    </w:p>
    <w:p w14:paraId="24256AAC" w14:textId="67DE3B9E" w:rsidR="00EE13B3" w:rsidRPr="002D2F67" w:rsidRDefault="00340C9A" w:rsidP="005611FE">
      <w:pPr>
        <w:pStyle w:val="BodyTextIndent2"/>
        <w:spacing w:line="240" w:lineRule="auto"/>
        <w:ind w:left="0"/>
        <w:jc w:val="left"/>
        <w:rPr>
          <w:rFonts w:ascii="Arial" w:hAnsi="Arial" w:cs="Arial"/>
          <w:spacing w:val="-2"/>
        </w:rPr>
      </w:pPr>
      <w:r w:rsidRPr="002D2F67">
        <w:rPr>
          <w:rFonts w:ascii="Arial" w:hAnsi="Arial" w:cs="Arial"/>
          <w:spacing w:val="-2"/>
        </w:rPr>
        <w:br w:type="page"/>
      </w:r>
    </w:p>
    <w:p w14:paraId="000937C4" w14:textId="2C2225EE" w:rsidR="00207E76" w:rsidRPr="002D2F67" w:rsidRDefault="00CD5714" w:rsidP="00207E76">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27</w:t>
      </w:r>
      <w:r w:rsidR="00EE13B3" w:rsidRPr="002D2F67">
        <w:rPr>
          <w:rFonts w:ascii="Arial" w:hAnsi="Arial" w:cs="Arial"/>
          <w:b/>
          <w:bCs/>
          <w:color w:val="000000"/>
          <w:kern w:val="26"/>
          <w:position w:val="-24"/>
          <w:sz w:val="20"/>
          <w:szCs w:val="20"/>
          <w:cs/>
        </w:rPr>
        <w:tab/>
      </w:r>
      <w:r w:rsidR="00EE13B3" w:rsidRPr="002D2F67">
        <w:rPr>
          <w:rFonts w:ascii="Arial" w:hAnsi="Arial" w:cs="Arial"/>
          <w:b/>
          <w:bCs/>
          <w:color w:val="000000"/>
          <w:kern w:val="26"/>
          <w:position w:val="-24"/>
          <w:sz w:val="20"/>
          <w:szCs w:val="20"/>
        </w:rPr>
        <w:t>Short-term loans from financial institutions, net</w:t>
      </w:r>
    </w:p>
    <w:p w14:paraId="44BE1E4C" w14:textId="77777777" w:rsidR="00B4267B" w:rsidRPr="002D2F67" w:rsidRDefault="00B4267B" w:rsidP="005611FE">
      <w:pPr>
        <w:pStyle w:val="BodyTextIndent2"/>
        <w:spacing w:line="240" w:lineRule="auto"/>
        <w:ind w:left="0"/>
        <w:jc w:val="left"/>
        <w:rPr>
          <w:rFonts w:ascii="Arial" w:hAnsi="Arial" w:cs="Arial"/>
          <w:spacing w:val="-2"/>
        </w:rPr>
      </w:pPr>
    </w:p>
    <w:p w14:paraId="6FAB1CA9" w14:textId="61FFB390" w:rsidR="00834DA6" w:rsidRPr="002D2F67" w:rsidRDefault="00834DA6" w:rsidP="00834DA6">
      <w:pPr>
        <w:pStyle w:val="EASUBHEAD6"/>
        <w:ind w:firstLine="0"/>
        <w:rPr>
          <w:color w:val="000000"/>
          <w:sz w:val="20"/>
          <w:szCs w:val="20"/>
        </w:rPr>
      </w:pPr>
      <w:r w:rsidRPr="002D2F67">
        <w:rPr>
          <w:color w:val="000000"/>
          <w:sz w:val="20"/>
          <w:szCs w:val="25"/>
        </w:rPr>
        <w:t>Short</w:t>
      </w:r>
      <w:r w:rsidRPr="002D2F67">
        <w:rPr>
          <w:color w:val="000000"/>
          <w:sz w:val="20"/>
          <w:szCs w:val="20"/>
        </w:rPr>
        <w:t xml:space="preserve">-term loans from financial institutions </w:t>
      </w:r>
      <w:r w:rsidR="007E060D" w:rsidRPr="002D2F67">
        <w:rPr>
          <w:color w:val="000000"/>
          <w:sz w:val="20"/>
          <w:szCs w:val="20"/>
        </w:rPr>
        <w:t>were</w:t>
      </w:r>
      <w:r w:rsidRPr="002D2F67">
        <w:rPr>
          <w:color w:val="000000"/>
          <w:sz w:val="20"/>
          <w:szCs w:val="20"/>
        </w:rPr>
        <w:t xml:space="preserve"> as follows:</w:t>
      </w:r>
    </w:p>
    <w:p w14:paraId="0B199CEB" w14:textId="77777777" w:rsidR="00834DA6" w:rsidRPr="002D2F67" w:rsidRDefault="00834DA6" w:rsidP="005611FE">
      <w:pPr>
        <w:pStyle w:val="BodyTextIndent2"/>
        <w:spacing w:line="240" w:lineRule="auto"/>
        <w:ind w:left="0"/>
        <w:jc w:val="left"/>
        <w:rPr>
          <w:rFonts w:ascii="Arial" w:hAnsi="Arial" w:cs="Arial"/>
          <w:spacing w:val="-2"/>
        </w:rPr>
      </w:pPr>
    </w:p>
    <w:tbl>
      <w:tblPr>
        <w:tblW w:w="9461" w:type="dxa"/>
        <w:tblInd w:w="108" w:type="dxa"/>
        <w:tblLayout w:type="fixed"/>
        <w:tblLook w:val="0000" w:firstRow="0" w:lastRow="0" w:firstColumn="0" w:lastColumn="0" w:noHBand="0" w:noVBand="0"/>
      </w:tblPr>
      <w:tblGrid>
        <w:gridCol w:w="3989"/>
        <w:gridCol w:w="1368"/>
        <w:gridCol w:w="1368"/>
        <w:gridCol w:w="1368"/>
        <w:gridCol w:w="1368"/>
      </w:tblGrid>
      <w:tr w:rsidR="001E6C66" w:rsidRPr="002D2F67" w14:paraId="299176ED" w14:textId="77777777" w:rsidTr="002D2F67">
        <w:tc>
          <w:tcPr>
            <w:tcW w:w="3989" w:type="dxa"/>
            <w:shd w:val="clear" w:color="auto" w:fill="auto"/>
          </w:tcPr>
          <w:p w14:paraId="4999A994" w14:textId="77777777" w:rsidR="001E6C66" w:rsidRPr="002D2F67" w:rsidRDefault="001E6C66" w:rsidP="005611FE">
            <w:pPr>
              <w:ind w:left="-100"/>
              <w:rPr>
                <w:rFonts w:ascii="Arial" w:hAnsi="Arial" w:cs="Arial"/>
                <w:color w:val="000000"/>
                <w:sz w:val="20"/>
                <w:szCs w:val="20"/>
              </w:rPr>
            </w:pPr>
          </w:p>
        </w:tc>
        <w:tc>
          <w:tcPr>
            <w:tcW w:w="2736" w:type="dxa"/>
            <w:gridSpan w:val="2"/>
            <w:tcBorders>
              <w:bottom w:val="single" w:sz="4" w:space="0" w:color="auto"/>
            </w:tcBorders>
            <w:shd w:val="clear" w:color="auto" w:fill="auto"/>
          </w:tcPr>
          <w:p w14:paraId="270B68B6"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7BBCCEB4"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2736" w:type="dxa"/>
            <w:gridSpan w:val="2"/>
            <w:tcBorders>
              <w:bottom w:val="single" w:sz="4" w:space="0" w:color="auto"/>
            </w:tcBorders>
            <w:shd w:val="clear" w:color="auto" w:fill="auto"/>
          </w:tcPr>
          <w:p w14:paraId="1552BF43"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Separate </w:t>
            </w:r>
          </w:p>
          <w:p w14:paraId="22802829"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financial statements </w:t>
            </w:r>
          </w:p>
        </w:tc>
      </w:tr>
      <w:tr w:rsidR="00827E37" w:rsidRPr="002D2F67" w14:paraId="56139017" w14:textId="77777777" w:rsidTr="002D2F67">
        <w:tc>
          <w:tcPr>
            <w:tcW w:w="3989" w:type="dxa"/>
            <w:shd w:val="clear" w:color="auto" w:fill="auto"/>
          </w:tcPr>
          <w:p w14:paraId="4C8C2742" w14:textId="570C7F3F" w:rsidR="00827E37" w:rsidRPr="002D2F67" w:rsidRDefault="00827E37" w:rsidP="005611FE">
            <w:pPr>
              <w:ind w:left="-100"/>
              <w:rPr>
                <w:rFonts w:ascii="Arial" w:hAnsi="Arial" w:cs="Arial"/>
                <w:color w:val="000000"/>
                <w:sz w:val="20"/>
                <w:szCs w:val="20"/>
              </w:rPr>
            </w:pPr>
            <w:r w:rsidRPr="002D2F67">
              <w:rPr>
                <w:rFonts w:ascii="Arial" w:hAnsi="Arial" w:cs="Arial"/>
                <w:b/>
                <w:bCs/>
                <w:color w:val="000000"/>
                <w:sz w:val="20"/>
                <w:szCs w:val="20"/>
              </w:rPr>
              <w:t xml:space="preserve">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 </w:t>
            </w:r>
          </w:p>
        </w:tc>
        <w:tc>
          <w:tcPr>
            <w:tcW w:w="1368" w:type="dxa"/>
            <w:tcBorders>
              <w:top w:val="single" w:sz="4" w:space="0" w:color="auto"/>
            </w:tcBorders>
            <w:shd w:val="clear" w:color="auto" w:fill="auto"/>
            <w:vAlign w:val="bottom"/>
          </w:tcPr>
          <w:p w14:paraId="37CADB8E" w14:textId="7F98F160" w:rsidR="00827E37"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368" w:type="dxa"/>
            <w:tcBorders>
              <w:top w:val="single" w:sz="4" w:space="0" w:color="auto"/>
            </w:tcBorders>
            <w:shd w:val="clear" w:color="auto" w:fill="auto"/>
            <w:vAlign w:val="bottom"/>
          </w:tcPr>
          <w:p w14:paraId="7C55A27C" w14:textId="1537C597" w:rsidR="00827E37"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c>
          <w:tcPr>
            <w:tcW w:w="1368" w:type="dxa"/>
            <w:tcBorders>
              <w:top w:val="single" w:sz="4" w:space="0" w:color="auto"/>
            </w:tcBorders>
            <w:shd w:val="clear" w:color="auto" w:fill="auto"/>
            <w:vAlign w:val="bottom"/>
          </w:tcPr>
          <w:p w14:paraId="7C476F52" w14:textId="6EA84A90" w:rsidR="00827E37"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368" w:type="dxa"/>
            <w:tcBorders>
              <w:top w:val="single" w:sz="4" w:space="0" w:color="auto"/>
            </w:tcBorders>
            <w:shd w:val="clear" w:color="auto" w:fill="auto"/>
            <w:vAlign w:val="bottom"/>
          </w:tcPr>
          <w:p w14:paraId="5B869BCB" w14:textId="0653F789" w:rsidR="00827E37"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AB4A76" w:rsidRPr="002D2F67" w14:paraId="5D8761A0" w14:textId="77777777" w:rsidTr="002D2F67">
        <w:tc>
          <w:tcPr>
            <w:tcW w:w="3989" w:type="dxa"/>
            <w:shd w:val="clear" w:color="auto" w:fill="auto"/>
          </w:tcPr>
          <w:p w14:paraId="478B97EC" w14:textId="77777777" w:rsidR="00AB4A76" w:rsidRPr="002D2F67" w:rsidRDefault="00AB4A76" w:rsidP="005611FE">
            <w:pPr>
              <w:pStyle w:val="Header"/>
              <w:ind w:left="-100"/>
              <w:jc w:val="left"/>
              <w:rPr>
                <w:rFonts w:ascii="Arial" w:hAnsi="Arial" w:cs="Arial"/>
                <w:color w:val="000000"/>
                <w:sz w:val="20"/>
                <w:szCs w:val="20"/>
              </w:rPr>
            </w:pPr>
          </w:p>
        </w:tc>
        <w:tc>
          <w:tcPr>
            <w:tcW w:w="1368" w:type="dxa"/>
            <w:tcBorders>
              <w:bottom w:val="single" w:sz="4" w:space="0" w:color="auto"/>
            </w:tcBorders>
            <w:shd w:val="clear" w:color="auto" w:fill="auto"/>
          </w:tcPr>
          <w:p w14:paraId="51502335" w14:textId="3410AC2D" w:rsidR="00AB4A76" w:rsidRPr="002D2F67" w:rsidRDefault="00AB4A7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368" w:type="dxa"/>
            <w:tcBorders>
              <w:bottom w:val="single" w:sz="4" w:space="0" w:color="auto"/>
            </w:tcBorders>
            <w:shd w:val="clear" w:color="auto" w:fill="auto"/>
          </w:tcPr>
          <w:p w14:paraId="0A63865E" w14:textId="4BC36370" w:rsidR="00AB4A76" w:rsidRPr="002D2F67" w:rsidRDefault="00AB4A7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368" w:type="dxa"/>
            <w:tcBorders>
              <w:bottom w:val="single" w:sz="4" w:space="0" w:color="auto"/>
            </w:tcBorders>
            <w:shd w:val="clear" w:color="auto" w:fill="auto"/>
          </w:tcPr>
          <w:p w14:paraId="27267D05" w14:textId="78F6796D" w:rsidR="00AB4A76" w:rsidRPr="002D2F67" w:rsidRDefault="00AB4A7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368" w:type="dxa"/>
            <w:tcBorders>
              <w:bottom w:val="single" w:sz="4" w:space="0" w:color="auto"/>
            </w:tcBorders>
            <w:shd w:val="clear" w:color="auto" w:fill="auto"/>
          </w:tcPr>
          <w:p w14:paraId="0A96FD7D" w14:textId="1955CCD4" w:rsidR="00AB4A76" w:rsidRPr="002D2F67" w:rsidRDefault="00AB4A7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1E6C66" w:rsidRPr="002D2F67" w14:paraId="52EBA17E" w14:textId="77777777" w:rsidTr="002D2F67">
        <w:trPr>
          <w:trHeight w:val="74"/>
        </w:trPr>
        <w:tc>
          <w:tcPr>
            <w:tcW w:w="3989" w:type="dxa"/>
            <w:shd w:val="clear" w:color="auto" w:fill="auto"/>
          </w:tcPr>
          <w:p w14:paraId="2DB92053"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left="-100" w:right="-72"/>
              <w:rPr>
                <w:rFonts w:ascii="Arial" w:hAnsi="Arial" w:cs="Arial"/>
                <w:color w:val="000000"/>
                <w:spacing w:val="-2"/>
                <w:sz w:val="20"/>
                <w:szCs w:val="20"/>
              </w:rPr>
            </w:pPr>
          </w:p>
        </w:tc>
        <w:tc>
          <w:tcPr>
            <w:tcW w:w="1368" w:type="dxa"/>
            <w:tcBorders>
              <w:top w:val="single" w:sz="4" w:space="0" w:color="auto"/>
            </w:tcBorders>
            <w:shd w:val="clear" w:color="auto" w:fill="auto"/>
          </w:tcPr>
          <w:p w14:paraId="3219EAE4" w14:textId="77777777" w:rsidR="001E6C66" w:rsidRPr="002D2F67" w:rsidRDefault="001E6C66" w:rsidP="005611FE">
            <w:pPr>
              <w:ind w:right="-72"/>
              <w:jc w:val="right"/>
              <w:rPr>
                <w:rFonts w:ascii="Arial" w:hAnsi="Arial" w:cs="Arial"/>
                <w:b/>
                <w:bCs/>
                <w:color w:val="000000"/>
                <w:spacing w:val="-6"/>
                <w:sz w:val="20"/>
                <w:szCs w:val="20"/>
              </w:rPr>
            </w:pPr>
          </w:p>
        </w:tc>
        <w:tc>
          <w:tcPr>
            <w:tcW w:w="1368" w:type="dxa"/>
            <w:tcBorders>
              <w:top w:val="single" w:sz="4" w:space="0" w:color="auto"/>
            </w:tcBorders>
            <w:shd w:val="clear" w:color="auto" w:fill="auto"/>
          </w:tcPr>
          <w:p w14:paraId="27550565" w14:textId="77777777" w:rsidR="001E6C66" w:rsidRPr="002D2F67" w:rsidRDefault="001E6C66" w:rsidP="005611FE">
            <w:pPr>
              <w:ind w:right="-72"/>
              <w:jc w:val="right"/>
              <w:rPr>
                <w:rFonts w:ascii="Arial" w:hAnsi="Arial" w:cs="Arial"/>
                <w:b/>
                <w:bCs/>
                <w:color w:val="000000"/>
                <w:sz w:val="20"/>
                <w:szCs w:val="20"/>
              </w:rPr>
            </w:pPr>
          </w:p>
        </w:tc>
        <w:tc>
          <w:tcPr>
            <w:tcW w:w="1368" w:type="dxa"/>
            <w:tcBorders>
              <w:top w:val="single" w:sz="4" w:space="0" w:color="auto"/>
            </w:tcBorders>
            <w:shd w:val="clear" w:color="auto" w:fill="auto"/>
          </w:tcPr>
          <w:p w14:paraId="03BCC1FF" w14:textId="77777777" w:rsidR="001E6C66" w:rsidRPr="002D2F67" w:rsidRDefault="001E6C66" w:rsidP="005611FE">
            <w:pPr>
              <w:ind w:right="-72"/>
              <w:jc w:val="right"/>
              <w:rPr>
                <w:rFonts w:ascii="Arial" w:hAnsi="Arial" w:cs="Arial"/>
                <w:b/>
                <w:bCs/>
                <w:color w:val="000000"/>
                <w:spacing w:val="-6"/>
                <w:sz w:val="20"/>
                <w:szCs w:val="20"/>
              </w:rPr>
            </w:pPr>
          </w:p>
        </w:tc>
        <w:tc>
          <w:tcPr>
            <w:tcW w:w="1368" w:type="dxa"/>
            <w:tcBorders>
              <w:top w:val="single" w:sz="4" w:space="0" w:color="auto"/>
            </w:tcBorders>
            <w:shd w:val="clear" w:color="auto" w:fill="auto"/>
          </w:tcPr>
          <w:p w14:paraId="7B6AFFFE" w14:textId="77777777" w:rsidR="001E6C66" w:rsidRPr="002D2F67" w:rsidRDefault="001E6C66" w:rsidP="005611FE">
            <w:pPr>
              <w:ind w:right="-72"/>
              <w:jc w:val="right"/>
              <w:rPr>
                <w:rFonts w:ascii="Arial" w:hAnsi="Arial" w:cs="Arial"/>
                <w:b/>
                <w:bCs/>
                <w:color w:val="000000"/>
                <w:sz w:val="20"/>
                <w:szCs w:val="20"/>
              </w:rPr>
            </w:pPr>
          </w:p>
        </w:tc>
      </w:tr>
      <w:tr w:rsidR="006215C3" w:rsidRPr="002D2F67" w14:paraId="21FECD00" w14:textId="77777777" w:rsidTr="002D2F67">
        <w:trPr>
          <w:trHeight w:val="74"/>
        </w:trPr>
        <w:tc>
          <w:tcPr>
            <w:tcW w:w="3989" w:type="dxa"/>
            <w:shd w:val="clear" w:color="auto" w:fill="auto"/>
          </w:tcPr>
          <w:p w14:paraId="349F401B" w14:textId="33F2ACEF" w:rsidR="006215C3" w:rsidRPr="002D2F67" w:rsidRDefault="006215C3" w:rsidP="005611FE">
            <w:pPr>
              <w:tabs>
                <w:tab w:val="left" w:pos="1134"/>
                <w:tab w:val="left" w:pos="1276"/>
                <w:tab w:val="center" w:pos="3402"/>
                <w:tab w:val="center" w:pos="4536"/>
                <w:tab w:val="center" w:pos="5670"/>
                <w:tab w:val="center" w:pos="6804"/>
                <w:tab w:val="right" w:pos="7655"/>
              </w:tabs>
              <w:ind w:left="-100" w:right="-72"/>
              <w:rPr>
                <w:rFonts w:ascii="Arial" w:hAnsi="Arial" w:cs="Arial"/>
                <w:color w:val="000000"/>
                <w:spacing w:val="-2"/>
                <w:sz w:val="20"/>
                <w:szCs w:val="20"/>
              </w:rPr>
            </w:pPr>
            <w:r w:rsidRPr="002D2F67">
              <w:rPr>
                <w:rFonts w:ascii="Arial" w:hAnsi="Arial" w:cs="Arial"/>
                <w:color w:val="000000"/>
                <w:spacing w:val="-2"/>
                <w:sz w:val="20"/>
                <w:szCs w:val="20"/>
              </w:rPr>
              <w:t>Bank overdraft</w:t>
            </w:r>
          </w:p>
        </w:tc>
        <w:tc>
          <w:tcPr>
            <w:tcW w:w="1368" w:type="dxa"/>
            <w:shd w:val="clear" w:color="auto" w:fill="auto"/>
            <w:vAlign w:val="bottom"/>
          </w:tcPr>
          <w:p w14:paraId="5C6B23C6" w14:textId="4BECF98F" w:rsidR="006215C3" w:rsidRPr="002D2F67" w:rsidRDefault="0008621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p>
        </w:tc>
        <w:tc>
          <w:tcPr>
            <w:tcW w:w="1368" w:type="dxa"/>
            <w:shd w:val="clear" w:color="auto" w:fill="auto"/>
            <w:vAlign w:val="bottom"/>
          </w:tcPr>
          <w:p w14:paraId="15484636" w14:textId="3DE22B38" w:rsidR="006215C3"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8</w:t>
            </w:r>
            <w:r w:rsidR="006215C3" w:rsidRPr="002D2F67">
              <w:rPr>
                <w:rFonts w:ascii="Arial" w:hAnsi="Arial" w:cs="Arial"/>
                <w:color w:val="000000"/>
                <w:sz w:val="20"/>
                <w:szCs w:val="20"/>
              </w:rPr>
              <w:t>,</w:t>
            </w:r>
            <w:r w:rsidRPr="00CD5714">
              <w:rPr>
                <w:rFonts w:ascii="Arial" w:hAnsi="Arial" w:cs="Arial"/>
                <w:color w:val="000000"/>
                <w:sz w:val="20"/>
                <w:szCs w:val="20"/>
                <w:lang w:val="en-GB"/>
              </w:rPr>
              <w:t>252</w:t>
            </w:r>
          </w:p>
        </w:tc>
        <w:tc>
          <w:tcPr>
            <w:tcW w:w="1368" w:type="dxa"/>
            <w:shd w:val="clear" w:color="auto" w:fill="auto"/>
          </w:tcPr>
          <w:p w14:paraId="10BA52F2" w14:textId="19F5F45C" w:rsidR="006215C3" w:rsidRPr="002D2F67" w:rsidRDefault="00086212"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368" w:type="dxa"/>
            <w:shd w:val="clear" w:color="auto" w:fill="auto"/>
          </w:tcPr>
          <w:p w14:paraId="570CD2C6" w14:textId="46E980D0" w:rsidR="006215C3" w:rsidRPr="002D2F67" w:rsidRDefault="006215C3" w:rsidP="005611FE">
            <w:pPr>
              <w:ind w:right="-72"/>
              <w:jc w:val="right"/>
              <w:rPr>
                <w:rFonts w:ascii="Arial" w:hAnsi="Arial" w:cs="Arial"/>
                <w:color w:val="000000"/>
                <w:sz w:val="20"/>
                <w:szCs w:val="20"/>
              </w:rPr>
            </w:pPr>
            <w:r w:rsidRPr="002D2F67">
              <w:rPr>
                <w:rFonts w:ascii="Arial" w:hAnsi="Arial" w:cs="Arial"/>
                <w:color w:val="000000"/>
                <w:sz w:val="20"/>
                <w:szCs w:val="20"/>
              </w:rPr>
              <w:t>-</w:t>
            </w:r>
          </w:p>
        </w:tc>
      </w:tr>
      <w:tr w:rsidR="006215C3" w:rsidRPr="002D2F67" w14:paraId="29DE9CC5" w14:textId="77777777" w:rsidTr="002D2F67">
        <w:tc>
          <w:tcPr>
            <w:tcW w:w="3989" w:type="dxa"/>
            <w:shd w:val="clear" w:color="auto" w:fill="auto"/>
          </w:tcPr>
          <w:p w14:paraId="470B2F06" w14:textId="77777777" w:rsidR="006215C3" w:rsidRPr="002D2F67" w:rsidRDefault="006215C3" w:rsidP="005611FE">
            <w:pPr>
              <w:tabs>
                <w:tab w:val="left" w:pos="1134"/>
                <w:tab w:val="left" w:pos="1276"/>
                <w:tab w:val="center" w:pos="3402"/>
                <w:tab w:val="center" w:pos="4536"/>
                <w:tab w:val="center" w:pos="5670"/>
                <w:tab w:val="center" w:pos="6804"/>
                <w:tab w:val="right" w:pos="7655"/>
              </w:tabs>
              <w:ind w:left="-100" w:right="-72"/>
              <w:rPr>
                <w:rFonts w:ascii="Arial" w:hAnsi="Arial" w:cs="Arial"/>
                <w:color w:val="000000"/>
                <w:spacing w:val="-2"/>
                <w:sz w:val="20"/>
                <w:szCs w:val="20"/>
              </w:rPr>
            </w:pPr>
            <w:r w:rsidRPr="002D2F67">
              <w:rPr>
                <w:rFonts w:ascii="Arial" w:hAnsi="Arial" w:cs="Arial"/>
                <w:color w:val="000000"/>
                <w:spacing w:val="-2"/>
                <w:sz w:val="20"/>
                <w:szCs w:val="20"/>
              </w:rPr>
              <w:t>Promissory note</w:t>
            </w:r>
          </w:p>
        </w:tc>
        <w:tc>
          <w:tcPr>
            <w:tcW w:w="1368" w:type="dxa"/>
            <w:shd w:val="clear" w:color="auto" w:fill="auto"/>
            <w:vAlign w:val="bottom"/>
          </w:tcPr>
          <w:p w14:paraId="1317D199" w14:textId="23E0FA22" w:rsidR="006215C3"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2</w:t>
            </w:r>
            <w:r w:rsidR="00710C70" w:rsidRPr="002D2F67">
              <w:rPr>
                <w:rFonts w:ascii="Arial" w:hAnsi="Arial" w:cs="Arial"/>
                <w:color w:val="000000"/>
                <w:sz w:val="20"/>
                <w:szCs w:val="20"/>
              </w:rPr>
              <w:t>,</w:t>
            </w:r>
            <w:r w:rsidRPr="00CD5714">
              <w:rPr>
                <w:rFonts w:ascii="Arial" w:hAnsi="Arial" w:cs="Arial"/>
                <w:color w:val="000000"/>
                <w:sz w:val="20"/>
                <w:szCs w:val="20"/>
                <w:lang w:val="en-GB"/>
              </w:rPr>
              <w:t>702</w:t>
            </w:r>
          </w:p>
        </w:tc>
        <w:tc>
          <w:tcPr>
            <w:tcW w:w="1368" w:type="dxa"/>
            <w:shd w:val="clear" w:color="auto" w:fill="auto"/>
            <w:vAlign w:val="bottom"/>
          </w:tcPr>
          <w:p w14:paraId="13D09AF3" w14:textId="09584173" w:rsidR="006215C3"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5</w:t>
            </w:r>
            <w:r w:rsidR="006215C3" w:rsidRPr="002D2F67">
              <w:rPr>
                <w:rFonts w:ascii="Arial" w:hAnsi="Arial" w:cs="Arial"/>
                <w:color w:val="000000"/>
                <w:sz w:val="20"/>
                <w:szCs w:val="20"/>
              </w:rPr>
              <w:t>,</w:t>
            </w:r>
            <w:r w:rsidRPr="00CD5714">
              <w:rPr>
                <w:rFonts w:ascii="Arial" w:hAnsi="Arial" w:cs="Arial"/>
                <w:color w:val="000000"/>
                <w:sz w:val="20"/>
                <w:szCs w:val="20"/>
                <w:lang w:val="en-GB"/>
              </w:rPr>
              <w:t>758</w:t>
            </w:r>
            <w:r w:rsidR="006215C3" w:rsidRPr="002D2F67">
              <w:rPr>
                <w:rFonts w:ascii="Arial" w:hAnsi="Arial" w:cs="Arial"/>
                <w:color w:val="000000"/>
                <w:sz w:val="20"/>
                <w:szCs w:val="20"/>
              </w:rPr>
              <w:t>,</w:t>
            </w:r>
            <w:r w:rsidRPr="00CD5714">
              <w:rPr>
                <w:rFonts w:ascii="Arial" w:hAnsi="Arial" w:cs="Arial"/>
                <w:color w:val="000000"/>
                <w:sz w:val="20"/>
                <w:szCs w:val="20"/>
                <w:lang w:val="en-GB"/>
              </w:rPr>
              <w:t>582</w:t>
            </w:r>
          </w:p>
        </w:tc>
        <w:tc>
          <w:tcPr>
            <w:tcW w:w="1368" w:type="dxa"/>
            <w:shd w:val="clear" w:color="auto" w:fill="auto"/>
          </w:tcPr>
          <w:p w14:paraId="44D510E1" w14:textId="0BAC2639" w:rsidR="006215C3" w:rsidRPr="002D2F67" w:rsidRDefault="0008621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p>
        </w:tc>
        <w:tc>
          <w:tcPr>
            <w:tcW w:w="1368" w:type="dxa"/>
            <w:shd w:val="clear" w:color="auto" w:fill="auto"/>
          </w:tcPr>
          <w:p w14:paraId="3CF54ED9" w14:textId="5E75434F" w:rsidR="006215C3"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2</w:t>
            </w:r>
            <w:r w:rsidR="006215C3" w:rsidRPr="002D2F67">
              <w:rPr>
                <w:rFonts w:ascii="Arial" w:hAnsi="Arial" w:cs="Arial"/>
                <w:color w:val="000000"/>
                <w:sz w:val="20"/>
                <w:szCs w:val="20"/>
              </w:rPr>
              <w:t>,</w:t>
            </w:r>
            <w:r w:rsidRPr="00CD5714">
              <w:rPr>
                <w:rFonts w:ascii="Arial" w:hAnsi="Arial" w:cs="Arial"/>
                <w:color w:val="000000"/>
                <w:sz w:val="20"/>
                <w:szCs w:val="20"/>
                <w:lang w:val="en-GB"/>
              </w:rPr>
              <w:t>050</w:t>
            </w:r>
            <w:r w:rsidR="006215C3" w:rsidRPr="002D2F67">
              <w:rPr>
                <w:rFonts w:ascii="Arial" w:hAnsi="Arial" w:cs="Arial"/>
                <w:color w:val="000000"/>
                <w:sz w:val="20"/>
                <w:szCs w:val="20"/>
              </w:rPr>
              <w:t>,</w:t>
            </w:r>
            <w:r w:rsidRPr="00CD5714">
              <w:rPr>
                <w:rFonts w:ascii="Arial" w:hAnsi="Arial" w:cs="Arial"/>
                <w:color w:val="000000"/>
                <w:sz w:val="20"/>
                <w:szCs w:val="20"/>
                <w:lang w:val="en-GB"/>
              </w:rPr>
              <w:t>000</w:t>
            </w:r>
          </w:p>
        </w:tc>
      </w:tr>
      <w:tr w:rsidR="006215C3" w:rsidRPr="002D2F67" w14:paraId="02FCA628" w14:textId="77777777" w:rsidTr="002D2F67">
        <w:tc>
          <w:tcPr>
            <w:tcW w:w="3989" w:type="dxa"/>
            <w:shd w:val="clear" w:color="auto" w:fill="auto"/>
          </w:tcPr>
          <w:p w14:paraId="16275A8A" w14:textId="7316C980" w:rsidR="006215C3" w:rsidRPr="002D2F67" w:rsidRDefault="006215C3" w:rsidP="005611FE">
            <w:pPr>
              <w:tabs>
                <w:tab w:val="left" w:pos="1134"/>
                <w:tab w:val="left" w:pos="1276"/>
                <w:tab w:val="center" w:pos="3402"/>
                <w:tab w:val="center" w:pos="4536"/>
                <w:tab w:val="center" w:pos="5670"/>
                <w:tab w:val="center" w:pos="6804"/>
                <w:tab w:val="right" w:pos="7655"/>
              </w:tabs>
              <w:ind w:left="-100" w:right="-72"/>
              <w:rPr>
                <w:rFonts w:ascii="Arial" w:hAnsi="Arial" w:cs="Arial"/>
                <w:color w:val="000000"/>
                <w:spacing w:val="-2"/>
                <w:sz w:val="20"/>
                <w:szCs w:val="20"/>
              </w:rPr>
            </w:pPr>
            <w:r w:rsidRPr="002D2F67">
              <w:rPr>
                <w:rFonts w:ascii="Arial" w:hAnsi="Arial" w:cs="Arial"/>
                <w:color w:val="000000"/>
                <w:spacing w:val="-2"/>
                <w:sz w:val="20"/>
                <w:szCs w:val="20"/>
              </w:rPr>
              <w:t>Bill of exchange, net</w:t>
            </w:r>
          </w:p>
        </w:tc>
        <w:tc>
          <w:tcPr>
            <w:tcW w:w="1368" w:type="dxa"/>
            <w:shd w:val="clear" w:color="auto" w:fill="auto"/>
            <w:vAlign w:val="bottom"/>
          </w:tcPr>
          <w:p w14:paraId="7EC912A2" w14:textId="6BFFBF38" w:rsidR="006215C3"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234</w:t>
            </w:r>
            <w:r w:rsidR="00086212" w:rsidRPr="002D2F67">
              <w:rPr>
                <w:rFonts w:ascii="Arial" w:hAnsi="Arial" w:cs="Arial"/>
                <w:color w:val="000000"/>
                <w:sz w:val="20"/>
                <w:szCs w:val="20"/>
              </w:rPr>
              <w:t>,</w:t>
            </w:r>
            <w:r w:rsidRPr="00CD5714">
              <w:rPr>
                <w:rFonts w:ascii="Arial" w:hAnsi="Arial" w:cs="Arial"/>
                <w:color w:val="000000"/>
                <w:sz w:val="20"/>
                <w:szCs w:val="20"/>
                <w:lang w:val="en-GB"/>
              </w:rPr>
              <w:t>000</w:t>
            </w:r>
          </w:p>
        </w:tc>
        <w:tc>
          <w:tcPr>
            <w:tcW w:w="1368" w:type="dxa"/>
            <w:shd w:val="clear" w:color="auto" w:fill="auto"/>
            <w:vAlign w:val="bottom"/>
          </w:tcPr>
          <w:p w14:paraId="02DCBB07" w14:textId="231896E3" w:rsidR="006215C3"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747</w:t>
            </w:r>
            <w:r w:rsidR="006215C3" w:rsidRPr="002D2F67">
              <w:rPr>
                <w:rFonts w:ascii="Arial" w:hAnsi="Arial" w:cs="Arial"/>
                <w:color w:val="000000"/>
                <w:sz w:val="20"/>
                <w:szCs w:val="20"/>
              </w:rPr>
              <w:t>,</w:t>
            </w:r>
            <w:r w:rsidRPr="00CD5714">
              <w:rPr>
                <w:rFonts w:ascii="Arial" w:hAnsi="Arial" w:cs="Arial"/>
                <w:color w:val="000000"/>
                <w:sz w:val="20"/>
                <w:szCs w:val="20"/>
                <w:lang w:val="en-GB"/>
              </w:rPr>
              <w:t>391</w:t>
            </w:r>
          </w:p>
        </w:tc>
        <w:tc>
          <w:tcPr>
            <w:tcW w:w="1368" w:type="dxa"/>
            <w:shd w:val="clear" w:color="auto" w:fill="auto"/>
          </w:tcPr>
          <w:p w14:paraId="68FFBDDA" w14:textId="6643000B" w:rsidR="006215C3" w:rsidRPr="002D2F67" w:rsidRDefault="0008621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p>
        </w:tc>
        <w:tc>
          <w:tcPr>
            <w:tcW w:w="1368" w:type="dxa"/>
            <w:shd w:val="clear" w:color="auto" w:fill="auto"/>
          </w:tcPr>
          <w:p w14:paraId="36234AE3" w14:textId="0C281027" w:rsidR="006215C3"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747</w:t>
            </w:r>
            <w:r w:rsidR="006215C3" w:rsidRPr="002D2F67">
              <w:rPr>
                <w:rFonts w:ascii="Arial" w:hAnsi="Arial" w:cs="Arial"/>
                <w:color w:val="000000"/>
                <w:sz w:val="20"/>
                <w:szCs w:val="20"/>
              </w:rPr>
              <w:t>,</w:t>
            </w:r>
            <w:r w:rsidRPr="00CD5714">
              <w:rPr>
                <w:rFonts w:ascii="Arial" w:hAnsi="Arial" w:cs="Arial"/>
                <w:color w:val="000000"/>
                <w:sz w:val="20"/>
                <w:szCs w:val="20"/>
                <w:lang w:val="en-GB"/>
              </w:rPr>
              <w:t>391</w:t>
            </w:r>
          </w:p>
        </w:tc>
      </w:tr>
      <w:tr w:rsidR="006215C3" w:rsidRPr="002D2F67" w14:paraId="43DF12C6" w14:textId="77777777" w:rsidTr="002D2F67">
        <w:trPr>
          <w:trHeight w:val="198"/>
        </w:trPr>
        <w:tc>
          <w:tcPr>
            <w:tcW w:w="3989" w:type="dxa"/>
            <w:shd w:val="clear" w:color="auto" w:fill="auto"/>
          </w:tcPr>
          <w:p w14:paraId="5C310569" w14:textId="77777777" w:rsidR="006215C3" w:rsidRPr="002D2F67" w:rsidRDefault="006215C3" w:rsidP="005611FE">
            <w:pPr>
              <w:tabs>
                <w:tab w:val="left" w:pos="1134"/>
                <w:tab w:val="left" w:pos="1276"/>
                <w:tab w:val="center" w:pos="3402"/>
                <w:tab w:val="center" w:pos="4536"/>
                <w:tab w:val="center" w:pos="5670"/>
                <w:tab w:val="center" w:pos="6804"/>
                <w:tab w:val="right" w:pos="7655"/>
              </w:tabs>
              <w:ind w:left="-100" w:right="-72"/>
              <w:rPr>
                <w:rFonts w:ascii="Arial" w:hAnsi="Arial" w:cs="Arial"/>
                <w:color w:val="000000"/>
                <w:spacing w:val="-2"/>
                <w:sz w:val="20"/>
                <w:szCs w:val="20"/>
              </w:rPr>
            </w:pPr>
            <w:r w:rsidRPr="002D2F67">
              <w:rPr>
                <w:rFonts w:ascii="Arial" w:hAnsi="Arial" w:cs="Arial"/>
                <w:color w:val="000000"/>
                <w:spacing w:val="-2"/>
                <w:sz w:val="20"/>
                <w:szCs w:val="20"/>
              </w:rPr>
              <w:t>Trust receipts</w:t>
            </w:r>
          </w:p>
        </w:tc>
        <w:tc>
          <w:tcPr>
            <w:tcW w:w="1368" w:type="dxa"/>
            <w:shd w:val="clear" w:color="auto" w:fill="auto"/>
          </w:tcPr>
          <w:p w14:paraId="5FA970CC" w14:textId="182E7E92" w:rsidR="006215C3" w:rsidRPr="002D2F67" w:rsidRDefault="0008621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p>
        </w:tc>
        <w:tc>
          <w:tcPr>
            <w:tcW w:w="1368" w:type="dxa"/>
            <w:shd w:val="clear" w:color="auto" w:fill="auto"/>
          </w:tcPr>
          <w:p w14:paraId="02593248" w14:textId="42C84F18" w:rsidR="006215C3"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w:t>
            </w:r>
            <w:r w:rsidR="006215C3" w:rsidRPr="002D2F67">
              <w:rPr>
                <w:rFonts w:ascii="Arial" w:hAnsi="Arial" w:cs="Arial"/>
                <w:color w:val="000000"/>
                <w:sz w:val="20"/>
                <w:szCs w:val="20"/>
              </w:rPr>
              <w:t>,</w:t>
            </w:r>
            <w:r w:rsidRPr="00CD5714">
              <w:rPr>
                <w:rFonts w:ascii="Arial" w:hAnsi="Arial" w:cs="Arial"/>
                <w:color w:val="000000"/>
                <w:sz w:val="20"/>
                <w:szCs w:val="20"/>
                <w:lang w:val="en-GB"/>
              </w:rPr>
              <w:t>675</w:t>
            </w:r>
            <w:r w:rsidR="006215C3" w:rsidRPr="002D2F67">
              <w:rPr>
                <w:rFonts w:ascii="Arial" w:hAnsi="Arial" w:cs="Arial"/>
                <w:color w:val="000000"/>
                <w:sz w:val="20"/>
                <w:szCs w:val="20"/>
              </w:rPr>
              <w:t>,</w:t>
            </w:r>
            <w:r w:rsidRPr="00CD5714">
              <w:rPr>
                <w:rFonts w:ascii="Arial" w:hAnsi="Arial" w:cs="Arial"/>
                <w:color w:val="000000"/>
                <w:sz w:val="20"/>
                <w:szCs w:val="20"/>
                <w:lang w:val="en-GB"/>
              </w:rPr>
              <w:t>791</w:t>
            </w:r>
          </w:p>
        </w:tc>
        <w:tc>
          <w:tcPr>
            <w:tcW w:w="1368" w:type="dxa"/>
            <w:shd w:val="clear" w:color="auto" w:fill="auto"/>
          </w:tcPr>
          <w:p w14:paraId="32EAA469" w14:textId="33658DB3" w:rsidR="006215C3" w:rsidRPr="002D2F67" w:rsidRDefault="0008621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p>
        </w:tc>
        <w:tc>
          <w:tcPr>
            <w:tcW w:w="1368" w:type="dxa"/>
            <w:shd w:val="clear" w:color="auto" w:fill="auto"/>
          </w:tcPr>
          <w:p w14:paraId="6EB22916" w14:textId="1E244209" w:rsidR="006215C3"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342</w:t>
            </w:r>
            <w:r w:rsidR="006215C3" w:rsidRPr="002D2F67">
              <w:rPr>
                <w:rFonts w:ascii="Arial" w:hAnsi="Arial" w:cs="Arial"/>
                <w:color w:val="000000"/>
                <w:sz w:val="20"/>
                <w:szCs w:val="20"/>
              </w:rPr>
              <w:t>,</w:t>
            </w:r>
            <w:r w:rsidRPr="00CD5714">
              <w:rPr>
                <w:rFonts w:ascii="Arial" w:hAnsi="Arial" w:cs="Arial"/>
                <w:color w:val="000000"/>
                <w:sz w:val="20"/>
                <w:szCs w:val="20"/>
                <w:lang w:val="en-GB"/>
              </w:rPr>
              <w:t>240</w:t>
            </w:r>
          </w:p>
        </w:tc>
      </w:tr>
      <w:tr w:rsidR="006215C3" w:rsidRPr="002D2F67" w14:paraId="210EFA54" w14:textId="77777777" w:rsidTr="002D2F67">
        <w:tc>
          <w:tcPr>
            <w:tcW w:w="3989" w:type="dxa"/>
            <w:shd w:val="clear" w:color="auto" w:fill="auto"/>
          </w:tcPr>
          <w:p w14:paraId="5FE0116A" w14:textId="77777777" w:rsidR="006215C3" w:rsidRPr="002D2F67" w:rsidRDefault="006215C3" w:rsidP="005611FE">
            <w:pPr>
              <w:tabs>
                <w:tab w:val="left" w:pos="1134"/>
                <w:tab w:val="left" w:pos="1276"/>
                <w:tab w:val="center" w:pos="3402"/>
                <w:tab w:val="center" w:pos="4536"/>
                <w:tab w:val="center" w:pos="5670"/>
                <w:tab w:val="center" w:pos="6804"/>
                <w:tab w:val="right" w:pos="7655"/>
              </w:tabs>
              <w:ind w:left="-100" w:right="-72"/>
              <w:rPr>
                <w:rFonts w:ascii="Arial" w:hAnsi="Arial" w:cs="Arial"/>
                <w:color w:val="000000"/>
                <w:spacing w:val="-2"/>
                <w:sz w:val="20"/>
                <w:szCs w:val="20"/>
              </w:rPr>
            </w:pPr>
            <w:r w:rsidRPr="002D2F67">
              <w:rPr>
                <w:rFonts w:ascii="Arial" w:hAnsi="Arial" w:cs="Arial"/>
                <w:color w:val="000000"/>
                <w:spacing w:val="-2"/>
                <w:sz w:val="20"/>
                <w:szCs w:val="20"/>
              </w:rPr>
              <w:t>Letter of credit</w:t>
            </w:r>
          </w:p>
        </w:tc>
        <w:tc>
          <w:tcPr>
            <w:tcW w:w="1368" w:type="dxa"/>
            <w:tcBorders>
              <w:bottom w:val="single" w:sz="4" w:space="0" w:color="auto"/>
            </w:tcBorders>
            <w:shd w:val="clear" w:color="auto" w:fill="auto"/>
          </w:tcPr>
          <w:p w14:paraId="32090765" w14:textId="4ABA5917" w:rsidR="006215C3" w:rsidRPr="002D2F67" w:rsidRDefault="0008621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p>
        </w:tc>
        <w:tc>
          <w:tcPr>
            <w:tcW w:w="1368" w:type="dxa"/>
            <w:tcBorders>
              <w:bottom w:val="single" w:sz="4" w:space="0" w:color="auto"/>
            </w:tcBorders>
            <w:shd w:val="clear" w:color="auto" w:fill="auto"/>
          </w:tcPr>
          <w:p w14:paraId="1F6D7926" w14:textId="3542DC45" w:rsidR="006215C3"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102</w:t>
            </w:r>
            <w:r w:rsidR="006215C3" w:rsidRPr="002D2F67">
              <w:rPr>
                <w:rFonts w:ascii="Arial" w:hAnsi="Arial" w:cs="Arial"/>
                <w:color w:val="000000"/>
                <w:sz w:val="20"/>
                <w:szCs w:val="20"/>
              </w:rPr>
              <w:t>,</w:t>
            </w:r>
            <w:r w:rsidRPr="00CD5714">
              <w:rPr>
                <w:rFonts w:ascii="Arial" w:hAnsi="Arial" w:cs="Arial"/>
                <w:color w:val="000000"/>
                <w:sz w:val="20"/>
                <w:szCs w:val="20"/>
                <w:lang w:val="en-GB"/>
              </w:rPr>
              <w:t>402</w:t>
            </w:r>
          </w:p>
        </w:tc>
        <w:tc>
          <w:tcPr>
            <w:tcW w:w="1368" w:type="dxa"/>
            <w:tcBorders>
              <w:bottom w:val="single" w:sz="4" w:space="0" w:color="auto"/>
            </w:tcBorders>
            <w:shd w:val="clear" w:color="auto" w:fill="auto"/>
          </w:tcPr>
          <w:p w14:paraId="45CD56E9" w14:textId="59F9CE7D" w:rsidR="006215C3" w:rsidRPr="002D2F67" w:rsidRDefault="0008621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p>
        </w:tc>
        <w:tc>
          <w:tcPr>
            <w:tcW w:w="1368" w:type="dxa"/>
            <w:tcBorders>
              <w:bottom w:val="single" w:sz="4" w:space="0" w:color="auto"/>
            </w:tcBorders>
            <w:shd w:val="clear" w:color="auto" w:fill="auto"/>
          </w:tcPr>
          <w:p w14:paraId="718BF3A5" w14:textId="4B9BE1B5" w:rsidR="006215C3" w:rsidRPr="002D2F67" w:rsidRDefault="006215C3"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p>
        </w:tc>
      </w:tr>
      <w:tr w:rsidR="006215C3" w:rsidRPr="002D2F67" w14:paraId="6B10E6E0" w14:textId="77777777" w:rsidTr="002D2F67">
        <w:tc>
          <w:tcPr>
            <w:tcW w:w="3989" w:type="dxa"/>
            <w:shd w:val="clear" w:color="auto" w:fill="auto"/>
          </w:tcPr>
          <w:p w14:paraId="56A625E1" w14:textId="77777777" w:rsidR="006215C3" w:rsidRPr="002D2F67" w:rsidRDefault="006215C3" w:rsidP="005611FE">
            <w:pPr>
              <w:tabs>
                <w:tab w:val="left" w:pos="1134"/>
                <w:tab w:val="left" w:pos="1276"/>
                <w:tab w:val="center" w:pos="3402"/>
                <w:tab w:val="center" w:pos="4536"/>
                <w:tab w:val="center" w:pos="5670"/>
                <w:tab w:val="center" w:pos="6804"/>
                <w:tab w:val="right" w:pos="7655"/>
              </w:tabs>
              <w:ind w:left="-100" w:right="-72"/>
              <w:rPr>
                <w:rFonts w:ascii="Arial" w:hAnsi="Arial" w:cs="Arial"/>
                <w:color w:val="000000"/>
                <w:spacing w:val="-2"/>
                <w:sz w:val="20"/>
                <w:szCs w:val="20"/>
              </w:rPr>
            </w:pPr>
          </w:p>
        </w:tc>
        <w:tc>
          <w:tcPr>
            <w:tcW w:w="1368" w:type="dxa"/>
            <w:tcBorders>
              <w:top w:val="single" w:sz="4" w:space="0" w:color="auto"/>
            </w:tcBorders>
            <w:shd w:val="clear" w:color="auto" w:fill="auto"/>
          </w:tcPr>
          <w:p w14:paraId="3F081FE0" w14:textId="21DCA106" w:rsidR="006215C3" w:rsidRPr="002D2F67" w:rsidRDefault="006215C3"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tcBorders>
              <w:top w:val="single" w:sz="4" w:space="0" w:color="auto"/>
            </w:tcBorders>
            <w:shd w:val="clear" w:color="auto" w:fill="auto"/>
          </w:tcPr>
          <w:p w14:paraId="35BBA6DF" w14:textId="77777777" w:rsidR="006215C3" w:rsidRPr="002D2F67" w:rsidRDefault="006215C3"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tcBorders>
              <w:top w:val="single" w:sz="4" w:space="0" w:color="auto"/>
            </w:tcBorders>
            <w:shd w:val="clear" w:color="auto" w:fill="auto"/>
            <w:vAlign w:val="bottom"/>
          </w:tcPr>
          <w:p w14:paraId="7AFD9253" w14:textId="77777777" w:rsidR="006215C3" w:rsidRPr="002D2F67" w:rsidRDefault="006215C3"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tcBorders>
              <w:top w:val="single" w:sz="4" w:space="0" w:color="auto"/>
            </w:tcBorders>
            <w:shd w:val="clear" w:color="auto" w:fill="auto"/>
            <w:vAlign w:val="bottom"/>
          </w:tcPr>
          <w:p w14:paraId="6CE367C5" w14:textId="77777777" w:rsidR="006215C3" w:rsidRPr="002D2F67" w:rsidRDefault="006215C3"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6215C3" w:rsidRPr="002D2F67" w14:paraId="7F702C83" w14:textId="77777777" w:rsidTr="002D2F67">
        <w:tc>
          <w:tcPr>
            <w:tcW w:w="3989" w:type="dxa"/>
            <w:shd w:val="clear" w:color="auto" w:fill="auto"/>
          </w:tcPr>
          <w:p w14:paraId="02761863" w14:textId="77777777" w:rsidR="006215C3" w:rsidRPr="002D2F67" w:rsidRDefault="006215C3" w:rsidP="005611FE">
            <w:pPr>
              <w:tabs>
                <w:tab w:val="left" w:pos="1134"/>
                <w:tab w:val="left" w:pos="1276"/>
                <w:tab w:val="center" w:pos="3402"/>
                <w:tab w:val="center" w:pos="4536"/>
                <w:tab w:val="center" w:pos="5670"/>
                <w:tab w:val="center" w:pos="6804"/>
                <w:tab w:val="right" w:pos="7655"/>
              </w:tabs>
              <w:ind w:left="-100" w:right="-72"/>
              <w:rPr>
                <w:rFonts w:ascii="Arial" w:hAnsi="Arial" w:cs="Arial"/>
                <w:color w:val="000000"/>
                <w:sz w:val="20"/>
                <w:szCs w:val="20"/>
              </w:rPr>
            </w:pPr>
            <w:r w:rsidRPr="002D2F67">
              <w:rPr>
                <w:rFonts w:ascii="Arial" w:hAnsi="Arial" w:cs="Arial"/>
                <w:color w:val="000000"/>
                <w:sz w:val="20"/>
                <w:szCs w:val="20"/>
              </w:rPr>
              <w:t xml:space="preserve">Total short-term loans from </w:t>
            </w:r>
          </w:p>
        </w:tc>
        <w:tc>
          <w:tcPr>
            <w:tcW w:w="1368" w:type="dxa"/>
            <w:shd w:val="clear" w:color="auto" w:fill="auto"/>
            <w:vAlign w:val="bottom"/>
          </w:tcPr>
          <w:p w14:paraId="07924EEE" w14:textId="77777777" w:rsidR="006215C3" w:rsidRPr="002D2F67" w:rsidRDefault="006215C3"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shd w:val="clear" w:color="auto" w:fill="auto"/>
            <w:vAlign w:val="bottom"/>
          </w:tcPr>
          <w:p w14:paraId="12EAC673" w14:textId="77777777" w:rsidR="006215C3" w:rsidRPr="002D2F67" w:rsidRDefault="006215C3"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shd w:val="clear" w:color="auto" w:fill="auto"/>
            <w:vAlign w:val="bottom"/>
          </w:tcPr>
          <w:p w14:paraId="53CBE6E9" w14:textId="77777777" w:rsidR="006215C3" w:rsidRPr="002D2F67" w:rsidRDefault="006215C3"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shd w:val="clear" w:color="auto" w:fill="auto"/>
            <w:vAlign w:val="bottom"/>
          </w:tcPr>
          <w:p w14:paraId="50664BA0" w14:textId="77777777" w:rsidR="006215C3" w:rsidRPr="002D2F67" w:rsidRDefault="006215C3"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6215C3" w:rsidRPr="002D2F67" w14:paraId="3155120F" w14:textId="77777777" w:rsidTr="002D2F67">
        <w:trPr>
          <w:trHeight w:val="75"/>
        </w:trPr>
        <w:tc>
          <w:tcPr>
            <w:tcW w:w="3989" w:type="dxa"/>
            <w:shd w:val="clear" w:color="auto" w:fill="auto"/>
          </w:tcPr>
          <w:p w14:paraId="0D68934E" w14:textId="77777777" w:rsidR="006215C3" w:rsidRPr="002D2F67" w:rsidRDefault="006215C3" w:rsidP="005611FE">
            <w:pPr>
              <w:tabs>
                <w:tab w:val="left" w:pos="1134"/>
                <w:tab w:val="left" w:pos="1276"/>
                <w:tab w:val="center" w:pos="3402"/>
                <w:tab w:val="center" w:pos="4536"/>
                <w:tab w:val="center" w:pos="5670"/>
                <w:tab w:val="center" w:pos="6804"/>
                <w:tab w:val="right" w:pos="7655"/>
              </w:tabs>
              <w:ind w:left="-100" w:right="-72"/>
              <w:rPr>
                <w:rFonts w:ascii="Arial" w:hAnsi="Arial" w:cs="Arial"/>
                <w:color w:val="000000"/>
                <w:sz w:val="20"/>
                <w:szCs w:val="20"/>
              </w:rPr>
            </w:pPr>
            <w:r w:rsidRPr="002D2F67">
              <w:rPr>
                <w:rFonts w:ascii="Arial" w:hAnsi="Arial" w:cs="Arial"/>
                <w:color w:val="000000"/>
                <w:sz w:val="20"/>
                <w:szCs w:val="20"/>
              </w:rPr>
              <w:t xml:space="preserve">   financial institutions, net</w:t>
            </w:r>
          </w:p>
        </w:tc>
        <w:tc>
          <w:tcPr>
            <w:tcW w:w="1368" w:type="dxa"/>
            <w:tcBorders>
              <w:bottom w:val="single" w:sz="4" w:space="0" w:color="auto"/>
            </w:tcBorders>
            <w:shd w:val="clear" w:color="auto" w:fill="auto"/>
          </w:tcPr>
          <w:p w14:paraId="7FE7D898" w14:textId="1A0C28B4" w:rsidR="006215C3"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236</w:t>
            </w:r>
            <w:r w:rsidR="00710C70" w:rsidRPr="002D2F67">
              <w:rPr>
                <w:rFonts w:ascii="Arial" w:hAnsi="Arial" w:cs="Arial"/>
                <w:color w:val="000000"/>
                <w:sz w:val="20"/>
                <w:szCs w:val="20"/>
              </w:rPr>
              <w:t>,</w:t>
            </w:r>
            <w:r w:rsidRPr="00CD5714">
              <w:rPr>
                <w:rFonts w:ascii="Arial" w:hAnsi="Arial" w:cs="Arial"/>
                <w:color w:val="000000"/>
                <w:sz w:val="20"/>
                <w:szCs w:val="20"/>
                <w:lang w:val="en-GB"/>
              </w:rPr>
              <w:t>702</w:t>
            </w:r>
          </w:p>
        </w:tc>
        <w:tc>
          <w:tcPr>
            <w:tcW w:w="1368" w:type="dxa"/>
            <w:tcBorders>
              <w:bottom w:val="single" w:sz="4" w:space="0" w:color="auto"/>
            </w:tcBorders>
            <w:shd w:val="clear" w:color="auto" w:fill="auto"/>
          </w:tcPr>
          <w:p w14:paraId="7C6D476F" w14:textId="2510A012" w:rsidR="006215C3"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8</w:t>
            </w:r>
            <w:r w:rsidR="006215C3" w:rsidRPr="002D2F67">
              <w:rPr>
                <w:rFonts w:ascii="Arial" w:hAnsi="Arial" w:cs="Arial"/>
                <w:color w:val="000000"/>
                <w:sz w:val="20"/>
                <w:szCs w:val="20"/>
              </w:rPr>
              <w:t>,</w:t>
            </w:r>
            <w:r w:rsidRPr="00CD5714">
              <w:rPr>
                <w:rFonts w:ascii="Arial" w:hAnsi="Arial" w:cs="Arial"/>
                <w:color w:val="000000"/>
                <w:sz w:val="20"/>
                <w:szCs w:val="20"/>
                <w:lang w:val="en-GB"/>
              </w:rPr>
              <w:t>292</w:t>
            </w:r>
            <w:r w:rsidR="006215C3" w:rsidRPr="002D2F67">
              <w:rPr>
                <w:rFonts w:ascii="Arial" w:hAnsi="Arial" w:cs="Arial"/>
                <w:color w:val="000000"/>
                <w:sz w:val="20"/>
                <w:szCs w:val="20"/>
              </w:rPr>
              <w:t>,</w:t>
            </w:r>
            <w:r w:rsidRPr="00CD5714">
              <w:rPr>
                <w:rFonts w:ascii="Arial" w:hAnsi="Arial" w:cs="Arial"/>
                <w:color w:val="000000"/>
                <w:sz w:val="20"/>
                <w:szCs w:val="20"/>
                <w:lang w:val="en-GB"/>
              </w:rPr>
              <w:t>418</w:t>
            </w:r>
          </w:p>
        </w:tc>
        <w:tc>
          <w:tcPr>
            <w:tcW w:w="1368" w:type="dxa"/>
            <w:tcBorders>
              <w:bottom w:val="single" w:sz="4" w:space="0" w:color="auto"/>
            </w:tcBorders>
            <w:shd w:val="clear" w:color="auto" w:fill="auto"/>
          </w:tcPr>
          <w:p w14:paraId="075A7639" w14:textId="5F736FAB" w:rsidR="006215C3" w:rsidRPr="002D2F67" w:rsidRDefault="0008621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p>
        </w:tc>
        <w:tc>
          <w:tcPr>
            <w:tcW w:w="1368" w:type="dxa"/>
            <w:tcBorders>
              <w:bottom w:val="single" w:sz="4" w:space="0" w:color="auto"/>
            </w:tcBorders>
            <w:shd w:val="clear" w:color="auto" w:fill="auto"/>
          </w:tcPr>
          <w:p w14:paraId="347616CA" w14:textId="7A55C958" w:rsidR="006215C3"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3</w:t>
            </w:r>
            <w:r w:rsidR="006215C3" w:rsidRPr="002D2F67">
              <w:rPr>
                <w:rFonts w:ascii="Arial" w:hAnsi="Arial" w:cs="Arial"/>
                <w:color w:val="000000"/>
                <w:sz w:val="20"/>
                <w:szCs w:val="20"/>
              </w:rPr>
              <w:t>,</w:t>
            </w:r>
            <w:r w:rsidRPr="00CD5714">
              <w:rPr>
                <w:rFonts w:ascii="Arial" w:hAnsi="Arial" w:cs="Arial"/>
                <w:color w:val="000000"/>
                <w:sz w:val="20"/>
                <w:szCs w:val="20"/>
                <w:lang w:val="en-GB"/>
              </w:rPr>
              <w:t>139</w:t>
            </w:r>
            <w:r w:rsidR="006215C3" w:rsidRPr="002D2F67">
              <w:rPr>
                <w:rFonts w:ascii="Arial" w:hAnsi="Arial" w:cs="Arial"/>
                <w:color w:val="000000"/>
                <w:sz w:val="20"/>
                <w:szCs w:val="20"/>
              </w:rPr>
              <w:t>,</w:t>
            </w:r>
            <w:r w:rsidRPr="00CD5714">
              <w:rPr>
                <w:rFonts w:ascii="Arial" w:hAnsi="Arial" w:cs="Arial"/>
                <w:color w:val="000000"/>
                <w:sz w:val="20"/>
                <w:szCs w:val="20"/>
                <w:lang w:val="en-GB"/>
              </w:rPr>
              <w:t>631</w:t>
            </w:r>
          </w:p>
        </w:tc>
      </w:tr>
    </w:tbl>
    <w:p w14:paraId="727521F4" w14:textId="77777777" w:rsidR="00B4267B" w:rsidRPr="002D2F67" w:rsidRDefault="00B4267B" w:rsidP="005611FE">
      <w:pPr>
        <w:jc w:val="both"/>
        <w:rPr>
          <w:rFonts w:ascii="Arial" w:hAnsi="Arial" w:cs="Arial"/>
          <w:color w:val="000000"/>
          <w:spacing w:val="-2"/>
          <w:sz w:val="20"/>
          <w:szCs w:val="20"/>
          <w:u w:val="single"/>
        </w:rPr>
      </w:pPr>
    </w:p>
    <w:p w14:paraId="0B5B293D" w14:textId="77777777" w:rsidR="00B4267B" w:rsidRPr="002D2F67" w:rsidRDefault="00B4267B" w:rsidP="005611FE">
      <w:pPr>
        <w:jc w:val="both"/>
        <w:rPr>
          <w:rFonts w:ascii="Arial" w:hAnsi="Arial" w:cs="Arial"/>
          <w:color w:val="000000"/>
          <w:sz w:val="20"/>
          <w:szCs w:val="20"/>
        </w:rPr>
      </w:pPr>
      <w:r w:rsidRPr="002D2F67">
        <w:rPr>
          <w:rFonts w:ascii="Arial" w:hAnsi="Arial" w:cs="Arial"/>
          <w:color w:val="000000"/>
          <w:sz w:val="20"/>
          <w:szCs w:val="20"/>
        </w:rPr>
        <w:t>The movement of short-term loans from financial institutions can be analysed as follows:</w:t>
      </w:r>
    </w:p>
    <w:p w14:paraId="4349C6E7" w14:textId="77777777" w:rsidR="00B4267B" w:rsidRPr="002D2F67" w:rsidRDefault="00B4267B" w:rsidP="005611FE">
      <w:pPr>
        <w:jc w:val="both"/>
        <w:rPr>
          <w:rFonts w:ascii="Arial" w:hAnsi="Arial" w:cs="Arial"/>
          <w:color w:val="000000"/>
          <w:sz w:val="20"/>
          <w:szCs w:val="20"/>
        </w:rPr>
      </w:pPr>
    </w:p>
    <w:tbl>
      <w:tblPr>
        <w:tblW w:w="0" w:type="auto"/>
        <w:tblInd w:w="115" w:type="dxa"/>
        <w:tblLayout w:type="fixed"/>
        <w:tblLook w:val="0000" w:firstRow="0" w:lastRow="0" w:firstColumn="0" w:lastColumn="0" w:noHBand="0" w:noVBand="0"/>
      </w:tblPr>
      <w:tblGrid>
        <w:gridCol w:w="3989"/>
        <w:gridCol w:w="1368"/>
        <w:gridCol w:w="1368"/>
        <w:gridCol w:w="1368"/>
        <w:gridCol w:w="1368"/>
      </w:tblGrid>
      <w:tr w:rsidR="00B4267B" w:rsidRPr="002D2F67" w14:paraId="111BB31F" w14:textId="77777777" w:rsidTr="002D2F67">
        <w:tc>
          <w:tcPr>
            <w:tcW w:w="3989" w:type="dxa"/>
            <w:shd w:val="clear" w:color="auto" w:fill="auto"/>
            <w:vAlign w:val="bottom"/>
          </w:tcPr>
          <w:p w14:paraId="0060592C" w14:textId="77777777" w:rsidR="00B4267B" w:rsidRPr="002D2F67" w:rsidRDefault="00B4267B" w:rsidP="002D2F67">
            <w:pPr>
              <w:ind w:left="-86"/>
              <w:rPr>
                <w:rFonts w:ascii="Arial" w:hAnsi="Arial" w:cs="Arial"/>
                <w:b/>
                <w:bCs/>
                <w:color w:val="000000"/>
                <w:sz w:val="20"/>
                <w:szCs w:val="20"/>
              </w:rPr>
            </w:pPr>
          </w:p>
        </w:tc>
        <w:tc>
          <w:tcPr>
            <w:tcW w:w="2736" w:type="dxa"/>
            <w:gridSpan w:val="2"/>
            <w:tcBorders>
              <w:bottom w:val="single" w:sz="4" w:space="0" w:color="auto"/>
            </w:tcBorders>
            <w:shd w:val="clear" w:color="auto" w:fill="auto"/>
          </w:tcPr>
          <w:p w14:paraId="0B49AAE1" w14:textId="77777777" w:rsidR="00B4267B" w:rsidRPr="002D2F67" w:rsidRDefault="00B4267B"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242D2E91" w14:textId="77777777" w:rsidR="00B4267B" w:rsidRPr="002D2F67" w:rsidRDefault="00B4267B" w:rsidP="005611FE">
            <w:pPr>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2736" w:type="dxa"/>
            <w:gridSpan w:val="2"/>
            <w:tcBorders>
              <w:bottom w:val="single" w:sz="4" w:space="0" w:color="auto"/>
            </w:tcBorders>
            <w:shd w:val="clear" w:color="auto" w:fill="auto"/>
            <w:vAlign w:val="bottom"/>
          </w:tcPr>
          <w:p w14:paraId="746034B3" w14:textId="77777777" w:rsidR="00B4267B" w:rsidRPr="002D2F67" w:rsidRDefault="00B4267B" w:rsidP="005611FE">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Separate </w:t>
            </w:r>
          </w:p>
          <w:p w14:paraId="29D2A549" w14:textId="77777777" w:rsidR="00B4267B" w:rsidRPr="002D2F67" w:rsidRDefault="00B4267B" w:rsidP="005611FE">
            <w:pPr>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827E37" w:rsidRPr="002D2F67" w14:paraId="15373D56" w14:textId="77777777" w:rsidTr="002D2F67">
        <w:tc>
          <w:tcPr>
            <w:tcW w:w="3989" w:type="dxa"/>
            <w:shd w:val="clear" w:color="auto" w:fill="auto"/>
            <w:vAlign w:val="bottom"/>
          </w:tcPr>
          <w:p w14:paraId="6EB35851" w14:textId="4ABA61C4" w:rsidR="00827E37" w:rsidRPr="002D2F67" w:rsidRDefault="00827E37" w:rsidP="002D2F67">
            <w:pPr>
              <w:ind w:left="-86"/>
              <w:rPr>
                <w:rFonts w:ascii="Arial" w:hAnsi="Arial" w:cs="Arial"/>
                <w:color w:val="000000"/>
                <w:sz w:val="20"/>
                <w:szCs w:val="20"/>
              </w:rPr>
            </w:pPr>
            <w:r w:rsidRPr="002D2F67">
              <w:rPr>
                <w:rFonts w:ascii="Arial" w:hAnsi="Arial" w:cs="Arial"/>
                <w:b/>
                <w:bCs/>
                <w:color w:val="000000"/>
                <w:sz w:val="20"/>
                <w:szCs w:val="20"/>
              </w:rPr>
              <w:t xml:space="preserve">For the years ended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w:t>
            </w:r>
          </w:p>
        </w:tc>
        <w:tc>
          <w:tcPr>
            <w:tcW w:w="1368" w:type="dxa"/>
            <w:tcBorders>
              <w:top w:val="single" w:sz="4" w:space="0" w:color="auto"/>
            </w:tcBorders>
            <w:shd w:val="clear" w:color="auto" w:fill="auto"/>
            <w:vAlign w:val="bottom"/>
          </w:tcPr>
          <w:p w14:paraId="71501422" w14:textId="2B7715DE" w:rsidR="00827E37"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368" w:type="dxa"/>
            <w:tcBorders>
              <w:top w:val="single" w:sz="4" w:space="0" w:color="auto"/>
            </w:tcBorders>
            <w:shd w:val="clear" w:color="auto" w:fill="auto"/>
            <w:vAlign w:val="bottom"/>
          </w:tcPr>
          <w:p w14:paraId="28214E2B" w14:textId="649D20D8" w:rsidR="00827E37"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c>
          <w:tcPr>
            <w:tcW w:w="1368" w:type="dxa"/>
            <w:tcBorders>
              <w:top w:val="single" w:sz="4" w:space="0" w:color="auto"/>
            </w:tcBorders>
            <w:shd w:val="clear" w:color="auto" w:fill="auto"/>
            <w:vAlign w:val="bottom"/>
          </w:tcPr>
          <w:p w14:paraId="20C09E2A" w14:textId="04E2A34D" w:rsidR="00827E37"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368" w:type="dxa"/>
            <w:tcBorders>
              <w:top w:val="single" w:sz="4" w:space="0" w:color="auto"/>
            </w:tcBorders>
            <w:shd w:val="clear" w:color="auto" w:fill="auto"/>
            <w:vAlign w:val="bottom"/>
          </w:tcPr>
          <w:p w14:paraId="1880833B" w14:textId="14D37256" w:rsidR="00827E37"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AB4A76" w:rsidRPr="002D2F67" w14:paraId="09EB5CF8" w14:textId="77777777" w:rsidTr="002D2F67">
        <w:tc>
          <w:tcPr>
            <w:tcW w:w="3989" w:type="dxa"/>
            <w:shd w:val="clear" w:color="auto" w:fill="auto"/>
            <w:vAlign w:val="bottom"/>
          </w:tcPr>
          <w:p w14:paraId="0338C9FD" w14:textId="77777777" w:rsidR="00AB4A76" w:rsidRPr="002D2F67" w:rsidRDefault="00AB4A76" w:rsidP="002D2F67">
            <w:pPr>
              <w:ind w:left="-86"/>
              <w:rPr>
                <w:rFonts w:ascii="Arial" w:hAnsi="Arial" w:cs="Arial"/>
                <w:b/>
                <w:bCs/>
                <w:color w:val="000000"/>
                <w:sz w:val="20"/>
                <w:szCs w:val="20"/>
              </w:rPr>
            </w:pPr>
          </w:p>
        </w:tc>
        <w:tc>
          <w:tcPr>
            <w:tcW w:w="1368" w:type="dxa"/>
            <w:tcBorders>
              <w:bottom w:val="single" w:sz="4" w:space="0" w:color="auto"/>
            </w:tcBorders>
            <w:shd w:val="clear" w:color="auto" w:fill="auto"/>
          </w:tcPr>
          <w:p w14:paraId="34A995CD" w14:textId="57CDF3B8" w:rsidR="00AB4A76" w:rsidRPr="002D2F67" w:rsidRDefault="00AB4A7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368" w:type="dxa"/>
            <w:tcBorders>
              <w:bottom w:val="single" w:sz="4" w:space="0" w:color="auto"/>
            </w:tcBorders>
            <w:shd w:val="clear" w:color="auto" w:fill="auto"/>
          </w:tcPr>
          <w:p w14:paraId="68E4975D" w14:textId="6A1D8B54" w:rsidR="00AB4A76" w:rsidRPr="002D2F67" w:rsidRDefault="00AB4A7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368" w:type="dxa"/>
            <w:tcBorders>
              <w:bottom w:val="single" w:sz="4" w:space="0" w:color="auto"/>
            </w:tcBorders>
            <w:shd w:val="clear" w:color="auto" w:fill="auto"/>
          </w:tcPr>
          <w:p w14:paraId="248FBCFA" w14:textId="08D708B6" w:rsidR="00AB4A76" w:rsidRPr="002D2F67" w:rsidRDefault="00AB4A7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368" w:type="dxa"/>
            <w:tcBorders>
              <w:bottom w:val="single" w:sz="4" w:space="0" w:color="auto"/>
            </w:tcBorders>
            <w:shd w:val="clear" w:color="auto" w:fill="auto"/>
          </w:tcPr>
          <w:p w14:paraId="395195C4" w14:textId="170762DE" w:rsidR="00AB4A76" w:rsidRPr="002D2F67" w:rsidRDefault="00AB4A7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827E37" w:rsidRPr="002D2F67" w14:paraId="28D80958" w14:textId="77777777" w:rsidTr="002D2F67">
        <w:tc>
          <w:tcPr>
            <w:tcW w:w="3989" w:type="dxa"/>
            <w:shd w:val="clear" w:color="auto" w:fill="auto"/>
            <w:vAlign w:val="bottom"/>
          </w:tcPr>
          <w:p w14:paraId="255A44A0" w14:textId="77777777" w:rsidR="00827E37" w:rsidRPr="002D2F67" w:rsidRDefault="00827E37" w:rsidP="002D2F67">
            <w:pPr>
              <w:ind w:left="-86"/>
              <w:rPr>
                <w:rFonts w:ascii="Arial" w:hAnsi="Arial" w:cs="Arial"/>
                <w:color w:val="000000"/>
                <w:sz w:val="20"/>
                <w:szCs w:val="20"/>
              </w:rPr>
            </w:pPr>
          </w:p>
        </w:tc>
        <w:tc>
          <w:tcPr>
            <w:tcW w:w="1368" w:type="dxa"/>
            <w:tcBorders>
              <w:top w:val="single" w:sz="4" w:space="0" w:color="auto"/>
            </w:tcBorders>
            <w:shd w:val="clear" w:color="auto" w:fill="auto"/>
          </w:tcPr>
          <w:p w14:paraId="13078040" w14:textId="77777777" w:rsidR="00827E37" w:rsidRPr="002D2F67" w:rsidRDefault="00827E37" w:rsidP="005611FE">
            <w:pPr>
              <w:ind w:right="-72"/>
              <w:jc w:val="right"/>
              <w:rPr>
                <w:rFonts w:ascii="Arial" w:hAnsi="Arial" w:cs="Arial"/>
                <w:color w:val="000000"/>
                <w:sz w:val="20"/>
                <w:szCs w:val="20"/>
              </w:rPr>
            </w:pPr>
          </w:p>
        </w:tc>
        <w:tc>
          <w:tcPr>
            <w:tcW w:w="1368" w:type="dxa"/>
            <w:tcBorders>
              <w:top w:val="single" w:sz="4" w:space="0" w:color="auto"/>
            </w:tcBorders>
            <w:shd w:val="clear" w:color="auto" w:fill="auto"/>
          </w:tcPr>
          <w:p w14:paraId="21CFCDBA" w14:textId="77777777" w:rsidR="00827E37" w:rsidRPr="002D2F67" w:rsidRDefault="00827E37" w:rsidP="005611FE">
            <w:pPr>
              <w:ind w:right="-72"/>
              <w:jc w:val="right"/>
              <w:rPr>
                <w:rFonts w:ascii="Arial" w:hAnsi="Arial" w:cs="Arial"/>
                <w:color w:val="000000"/>
                <w:sz w:val="20"/>
                <w:szCs w:val="20"/>
              </w:rPr>
            </w:pPr>
          </w:p>
        </w:tc>
        <w:tc>
          <w:tcPr>
            <w:tcW w:w="1368" w:type="dxa"/>
            <w:tcBorders>
              <w:top w:val="single" w:sz="4" w:space="0" w:color="auto"/>
            </w:tcBorders>
            <w:shd w:val="clear" w:color="auto" w:fill="auto"/>
            <w:vAlign w:val="bottom"/>
          </w:tcPr>
          <w:p w14:paraId="3C140E12" w14:textId="77777777" w:rsidR="00827E37" w:rsidRPr="002D2F67" w:rsidRDefault="00827E37" w:rsidP="005611FE">
            <w:pPr>
              <w:ind w:right="-72"/>
              <w:jc w:val="right"/>
              <w:rPr>
                <w:rFonts w:ascii="Arial" w:hAnsi="Arial" w:cs="Arial"/>
                <w:color w:val="000000"/>
                <w:sz w:val="20"/>
                <w:szCs w:val="20"/>
              </w:rPr>
            </w:pPr>
          </w:p>
        </w:tc>
        <w:tc>
          <w:tcPr>
            <w:tcW w:w="1368" w:type="dxa"/>
            <w:tcBorders>
              <w:top w:val="single" w:sz="4" w:space="0" w:color="auto"/>
            </w:tcBorders>
            <w:shd w:val="clear" w:color="auto" w:fill="auto"/>
            <w:vAlign w:val="bottom"/>
          </w:tcPr>
          <w:p w14:paraId="686C968A" w14:textId="77777777" w:rsidR="00827E37" w:rsidRPr="002D2F67" w:rsidRDefault="00827E37" w:rsidP="005611FE">
            <w:pPr>
              <w:ind w:right="-72"/>
              <w:jc w:val="right"/>
              <w:rPr>
                <w:rFonts w:ascii="Arial" w:hAnsi="Arial" w:cs="Arial"/>
                <w:color w:val="000000"/>
                <w:sz w:val="20"/>
                <w:szCs w:val="20"/>
              </w:rPr>
            </w:pPr>
          </w:p>
        </w:tc>
      </w:tr>
      <w:tr w:rsidR="006215C3" w:rsidRPr="002D2F67" w14:paraId="1539B0F3" w14:textId="77777777" w:rsidTr="002D2F67">
        <w:tc>
          <w:tcPr>
            <w:tcW w:w="3989" w:type="dxa"/>
            <w:shd w:val="clear" w:color="auto" w:fill="auto"/>
            <w:vAlign w:val="bottom"/>
          </w:tcPr>
          <w:p w14:paraId="02EB4D50" w14:textId="77777777" w:rsidR="006215C3" w:rsidRPr="002D2F67" w:rsidRDefault="006215C3" w:rsidP="002D2F67">
            <w:pPr>
              <w:tabs>
                <w:tab w:val="left" w:pos="1134"/>
                <w:tab w:val="left" w:pos="1276"/>
                <w:tab w:val="center" w:pos="3402"/>
                <w:tab w:val="center" w:pos="4536"/>
                <w:tab w:val="center" w:pos="5670"/>
                <w:tab w:val="center" w:pos="6804"/>
                <w:tab w:val="right" w:pos="7655"/>
              </w:tabs>
              <w:ind w:left="-86"/>
              <w:rPr>
                <w:rFonts w:ascii="Arial" w:hAnsi="Arial" w:cs="Arial"/>
                <w:color w:val="000000"/>
                <w:sz w:val="20"/>
                <w:szCs w:val="20"/>
              </w:rPr>
            </w:pPr>
            <w:r w:rsidRPr="002D2F67">
              <w:rPr>
                <w:rFonts w:ascii="Arial" w:hAnsi="Arial" w:cs="Arial"/>
                <w:color w:val="000000"/>
                <w:sz w:val="20"/>
                <w:szCs w:val="20"/>
              </w:rPr>
              <w:t>Opening net book value</w:t>
            </w:r>
          </w:p>
        </w:tc>
        <w:tc>
          <w:tcPr>
            <w:tcW w:w="1368" w:type="dxa"/>
            <w:shd w:val="clear" w:color="auto" w:fill="auto"/>
          </w:tcPr>
          <w:p w14:paraId="1801AF76" w14:textId="2FCA327E" w:rsidR="006215C3"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8</w:t>
            </w:r>
            <w:r w:rsidR="00086212" w:rsidRPr="002D2F67">
              <w:rPr>
                <w:rFonts w:ascii="Arial" w:hAnsi="Arial" w:cs="Arial"/>
                <w:color w:val="000000"/>
                <w:sz w:val="20"/>
                <w:szCs w:val="20"/>
              </w:rPr>
              <w:t>,</w:t>
            </w:r>
            <w:r w:rsidRPr="00CD5714">
              <w:rPr>
                <w:rFonts w:ascii="Arial" w:hAnsi="Arial" w:cs="Arial"/>
                <w:color w:val="000000"/>
                <w:sz w:val="20"/>
                <w:szCs w:val="20"/>
                <w:lang w:val="en-GB"/>
              </w:rPr>
              <w:t>292</w:t>
            </w:r>
            <w:r w:rsidR="00086212" w:rsidRPr="002D2F67">
              <w:rPr>
                <w:rFonts w:ascii="Arial" w:hAnsi="Arial" w:cs="Arial"/>
                <w:color w:val="000000"/>
                <w:sz w:val="20"/>
                <w:szCs w:val="20"/>
              </w:rPr>
              <w:t>,</w:t>
            </w:r>
            <w:r w:rsidRPr="00CD5714">
              <w:rPr>
                <w:rFonts w:ascii="Arial" w:hAnsi="Arial" w:cs="Arial"/>
                <w:color w:val="000000"/>
                <w:sz w:val="20"/>
                <w:szCs w:val="20"/>
                <w:lang w:val="en-GB"/>
              </w:rPr>
              <w:t>418</w:t>
            </w:r>
          </w:p>
        </w:tc>
        <w:tc>
          <w:tcPr>
            <w:tcW w:w="1368" w:type="dxa"/>
            <w:shd w:val="clear" w:color="auto" w:fill="auto"/>
          </w:tcPr>
          <w:p w14:paraId="13B4FA98" w14:textId="0E77104E" w:rsidR="006215C3"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10</w:t>
            </w:r>
            <w:r w:rsidR="006215C3" w:rsidRPr="002D2F67">
              <w:rPr>
                <w:rFonts w:ascii="Arial" w:hAnsi="Arial" w:cs="Arial"/>
                <w:color w:val="000000"/>
                <w:sz w:val="20"/>
                <w:szCs w:val="20"/>
              </w:rPr>
              <w:t>,</w:t>
            </w:r>
            <w:r w:rsidRPr="00CD5714">
              <w:rPr>
                <w:rFonts w:ascii="Arial" w:hAnsi="Arial" w:cs="Arial"/>
                <w:color w:val="000000"/>
                <w:sz w:val="20"/>
                <w:szCs w:val="20"/>
                <w:lang w:val="en-GB"/>
              </w:rPr>
              <w:t>806</w:t>
            </w:r>
            <w:r w:rsidR="006215C3" w:rsidRPr="002D2F67">
              <w:rPr>
                <w:rFonts w:ascii="Arial" w:hAnsi="Arial" w:cs="Arial"/>
                <w:color w:val="000000"/>
                <w:sz w:val="20"/>
                <w:szCs w:val="20"/>
              </w:rPr>
              <w:t>,</w:t>
            </w:r>
            <w:r w:rsidRPr="00CD5714">
              <w:rPr>
                <w:rFonts w:ascii="Arial" w:hAnsi="Arial" w:cs="Arial"/>
                <w:color w:val="000000"/>
                <w:sz w:val="20"/>
                <w:szCs w:val="20"/>
                <w:lang w:val="en-GB"/>
              </w:rPr>
              <w:t>006</w:t>
            </w:r>
          </w:p>
        </w:tc>
        <w:tc>
          <w:tcPr>
            <w:tcW w:w="1368" w:type="dxa"/>
            <w:shd w:val="clear" w:color="auto" w:fill="auto"/>
            <w:vAlign w:val="bottom"/>
          </w:tcPr>
          <w:p w14:paraId="20FE5098" w14:textId="43E2432F" w:rsidR="006215C3" w:rsidRPr="002D2F67" w:rsidRDefault="00CD5714" w:rsidP="005611FE">
            <w:pPr>
              <w:tabs>
                <w:tab w:val="left" w:pos="1134"/>
                <w:tab w:val="left" w:pos="1284"/>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3</w:t>
            </w:r>
            <w:r w:rsidR="00086212" w:rsidRPr="002D2F67">
              <w:rPr>
                <w:rFonts w:ascii="Arial" w:hAnsi="Arial" w:cs="Arial"/>
                <w:color w:val="000000"/>
                <w:sz w:val="20"/>
                <w:szCs w:val="20"/>
              </w:rPr>
              <w:t>,</w:t>
            </w:r>
            <w:r w:rsidRPr="00CD5714">
              <w:rPr>
                <w:rFonts w:ascii="Arial" w:hAnsi="Arial" w:cs="Arial"/>
                <w:color w:val="000000"/>
                <w:sz w:val="20"/>
                <w:szCs w:val="20"/>
                <w:lang w:val="en-GB"/>
              </w:rPr>
              <w:t>139</w:t>
            </w:r>
            <w:r w:rsidR="00086212" w:rsidRPr="002D2F67">
              <w:rPr>
                <w:rFonts w:ascii="Arial" w:hAnsi="Arial" w:cs="Arial"/>
                <w:color w:val="000000"/>
                <w:sz w:val="20"/>
                <w:szCs w:val="20"/>
              </w:rPr>
              <w:t>,</w:t>
            </w:r>
            <w:r w:rsidRPr="00CD5714">
              <w:rPr>
                <w:rFonts w:ascii="Arial" w:hAnsi="Arial" w:cs="Arial"/>
                <w:color w:val="000000"/>
                <w:sz w:val="20"/>
                <w:szCs w:val="20"/>
                <w:lang w:val="en-GB"/>
              </w:rPr>
              <w:t>631</w:t>
            </w:r>
          </w:p>
        </w:tc>
        <w:tc>
          <w:tcPr>
            <w:tcW w:w="1368" w:type="dxa"/>
            <w:shd w:val="clear" w:color="auto" w:fill="auto"/>
            <w:vAlign w:val="bottom"/>
          </w:tcPr>
          <w:p w14:paraId="5766939C" w14:textId="3B3F8798" w:rsidR="006215C3"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6</w:t>
            </w:r>
            <w:r w:rsidR="006215C3" w:rsidRPr="002D2F67">
              <w:rPr>
                <w:rFonts w:ascii="Arial" w:hAnsi="Arial" w:cs="Arial"/>
                <w:color w:val="000000"/>
                <w:sz w:val="20"/>
                <w:szCs w:val="20"/>
              </w:rPr>
              <w:t>,</w:t>
            </w:r>
            <w:r w:rsidRPr="00CD5714">
              <w:rPr>
                <w:rFonts w:ascii="Arial" w:hAnsi="Arial" w:cs="Arial"/>
                <w:color w:val="000000"/>
                <w:sz w:val="20"/>
                <w:szCs w:val="20"/>
                <w:lang w:val="en-GB"/>
              </w:rPr>
              <w:t>833</w:t>
            </w:r>
            <w:r w:rsidR="006215C3" w:rsidRPr="002D2F67">
              <w:rPr>
                <w:rFonts w:ascii="Arial" w:hAnsi="Arial" w:cs="Arial"/>
                <w:color w:val="000000"/>
                <w:sz w:val="20"/>
                <w:szCs w:val="20"/>
              </w:rPr>
              <w:t>,</w:t>
            </w:r>
            <w:r w:rsidRPr="00CD5714">
              <w:rPr>
                <w:rFonts w:ascii="Arial" w:hAnsi="Arial" w:cs="Arial"/>
                <w:color w:val="000000"/>
                <w:sz w:val="20"/>
                <w:szCs w:val="20"/>
                <w:lang w:val="en-GB"/>
              </w:rPr>
              <w:t>966</w:t>
            </w:r>
          </w:p>
        </w:tc>
      </w:tr>
      <w:tr w:rsidR="006215C3" w:rsidRPr="002D2F67" w14:paraId="696FDDDB" w14:textId="77777777" w:rsidTr="002D2F67">
        <w:tc>
          <w:tcPr>
            <w:tcW w:w="3989" w:type="dxa"/>
            <w:shd w:val="clear" w:color="auto" w:fill="auto"/>
            <w:vAlign w:val="bottom"/>
          </w:tcPr>
          <w:p w14:paraId="6146159E" w14:textId="77777777" w:rsidR="006215C3" w:rsidRPr="002D2F67" w:rsidRDefault="006215C3" w:rsidP="002D2F67">
            <w:pPr>
              <w:tabs>
                <w:tab w:val="left" w:pos="1134"/>
                <w:tab w:val="left" w:pos="1276"/>
                <w:tab w:val="center" w:pos="3402"/>
                <w:tab w:val="center" w:pos="4536"/>
                <w:tab w:val="center" w:pos="5670"/>
                <w:tab w:val="center" w:pos="6804"/>
                <w:tab w:val="right" w:pos="7655"/>
              </w:tabs>
              <w:ind w:left="-86"/>
              <w:rPr>
                <w:rFonts w:ascii="Arial" w:hAnsi="Arial" w:cs="Arial"/>
                <w:color w:val="000000"/>
                <w:sz w:val="20"/>
                <w:szCs w:val="20"/>
              </w:rPr>
            </w:pPr>
            <w:r w:rsidRPr="002D2F67">
              <w:rPr>
                <w:rFonts w:ascii="Arial" w:hAnsi="Arial" w:cs="Arial"/>
                <w:color w:val="000000"/>
                <w:sz w:val="20"/>
                <w:szCs w:val="20"/>
              </w:rPr>
              <w:t>Cash flows:</w:t>
            </w:r>
          </w:p>
        </w:tc>
        <w:tc>
          <w:tcPr>
            <w:tcW w:w="1368" w:type="dxa"/>
            <w:shd w:val="clear" w:color="auto" w:fill="auto"/>
          </w:tcPr>
          <w:p w14:paraId="58B84934" w14:textId="77777777" w:rsidR="006215C3" w:rsidRPr="002D2F67" w:rsidRDefault="006215C3"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shd w:val="clear" w:color="auto" w:fill="auto"/>
          </w:tcPr>
          <w:p w14:paraId="30DD44EE" w14:textId="77777777" w:rsidR="006215C3" w:rsidRPr="002D2F67" w:rsidRDefault="006215C3"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shd w:val="clear" w:color="auto" w:fill="auto"/>
            <w:vAlign w:val="bottom"/>
          </w:tcPr>
          <w:p w14:paraId="33AA2DA9" w14:textId="77777777" w:rsidR="006215C3" w:rsidRPr="002D2F67" w:rsidRDefault="006215C3"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shd w:val="clear" w:color="auto" w:fill="auto"/>
            <w:vAlign w:val="bottom"/>
          </w:tcPr>
          <w:p w14:paraId="22A68603" w14:textId="77777777" w:rsidR="006215C3" w:rsidRPr="002D2F67" w:rsidRDefault="006215C3"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6215C3" w:rsidRPr="002D2F67" w14:paraId="6DD6AD8E" w14:textId="77777777" w:rsidTr="002D2F67">
        <w:tc>
          <w:tcPr>
            <w:tcW w:w="3989" w:type="dxa"/>
            <w:shd w:val="clear" w:color="auto" w:fill="auto"/>
            <w:vAlign w:val="bottom"/>
          </w:tcPr>
          <w:p w14:paraId="039F0051" w14:textId="562A290D" w:rsidR="006215C3" w:rsidRPr="002D2F67" w:rsidRDefault="006215C3" w:rsidP="002D2F67">
            <w:pPr>
              <w:tabs>
                <w:tab w:val="left" w:pos="1134"/>
                <w:tab w:val="left" w:pos="1276"/>
                <w:tab w:val="center" w:pos="3402"/>
                <w:tab w:val="center" w:pos="4536"/>
                <w:tab w:val="center" w:pos="5670"/>
                <w:tab w:val="center" w:pos="6804"/>
                <w:tab w:val="right" w:pos="7655"/>
              </w:tabs>
              <w:ind w:left="-86"/>
              <w:rPr>
                <w:rFonts w:ascii="Arial" w:hAnsi="Arial" w:cs="Arial"/>
                <w:color w:val="000000"/>
                <w:sz w:val="20"/>
                <w:szCs w:val="20"/>
                <w:cs/>
              </w:rPr>
            </w:pPr>
            <w:r w:rsidRPr="002D2F67">
              <w:rPr>
                <w:rFonts w:ascii="Arial" w:hAnsi="Arial" w:cs="Arial"/>
                <w:color w:val="000000"/>
                <w:sz w:val="20"/>
                <w:szCs w:val="20"/>
              </w:rPr>
              <w:t xml:space="preserve">   Additional loans during the year</w:t>
            </w:r>
          </w:p>
        </w:tc>
        <w:tc>
          <w:tcPr>
            <w:tcW w:w="1368" w:type="dxa"/>
            <w:shd w:val="clear" w:color="auto" w:fill="auto"/>
          </w:tcPr>
          <w:p w14:paraId="05DBCA2B" w14:textId="6333A6FC" w:rsidR="006215C3"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11</w:t>
            </w:r>
            <w:r w:rsidR="00086212" w:rsidRPr="002D2F67">
              <w:rPr>
                <w:rFonts w:ascii="Arial" w:hAnsi="Arial" w:cs="Arial"/>
                <w:color w:val="000000"/>
                <w:sz w:val="20"/>
                <w:szCs w:val="20"/>
              </w:rPr>
              <w:t>,</w:t>
            </w:r>
            <w:r w:rsidRPr="00CD5714">
              <w:rPr>
                <w:rFonts w:ascii="Arial" w:hAnsi="Arial" w:cs="Arial"/>
                <w:color w:val="000000"/>
                <w:sz w:val="20"/>
                <w:szCs w:val="20"/>
                <w:lang w:val="en-GB"/>
              </w:rPr>
              <w:t>362</w:t>
            </w:r>
            <w:r w:rsidR="00086212" w:rsidRPr="002D2F67">
              <w:rPr>
                <w:rFonts w:ascii="Arial" w:hAnsi="Arial" w:cs="Arial"/>
                <w:color w:val="000000"/>
                <w:sz w:val="20"/>
                <w:szCs w:val="20"/>
              </w:rPr>
              <w:t>,</w:t>
            </w:r>
            <w:r w:rsidRPr="00CD5714">
              <w:rPr>
                <w:rFonts w:ascii="Arial" w:hAnsi="Arial" w:cs="Arial"/>
                <w:color w:val="000000"/>
                <w:sz w:val="20"/>
                <w:szCs w:val="20"/>
                <w:lang w:val="en-GB"/>
              </w:rPr>
              <w:t>139</w:t>
            </w:r>
          </w:p>
        </w:tc>
        <w:tc>
          <w:tcPr>
            <w:tcW w:w="1368" w:type="dxa"/>
            <w:shd w:val="clear" w:color="auto" w:fill="auto"/>
          </w:tcPr>
          <w:p w14:paraId="5BE78393" w14:textId="619FA757" w:rsidR="006215C3"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34</w:t>
            </w:r>
            <w:r w:rsidR="006215C3" w:rsidRPr="002D2F67">
              <w:rPr>
                <w:rFonts w:ascii="Arial" w:hAnsi="Arial" w:cs="Arial"/>
                <w:color w:val="000000"/>
                <w:sz w:val="20"/>
                <w:szCs w:val="20"/>
              </w:rPr>
              <w:t>,</w:t>
            </w:r>
            <w:r w:rsidRPr="00CD5714">
              <w:rPr>
                <w:rFonts w:ascii="Arial" w:hAnsi="Arial" w:cs="Arial"/>
                <w:color w:val="000000"/>
                <w:sz w:val="20"/>
                <w:szCs w:val="20"/>
                <w:lang w:val="en-GB"/>
              </w:rPr>
              <w:t>687</w:t>
            </w:r>
            <w:r w:rsidR="006215C3" w:rsidRPr="002D2F67">
              <w:rPr>
                <w:rFonts w:ascii="Arial" w:hAnsi="Arial" w:cs="Arial"/>
                <w:color w:val="000000"/>
                <w:sz w:val="20"/>
                <w:szCs w:val="20"/>
              </w:rPr>
              <w:t>,</w:t>
            </w:r>
            <w:r w:rsidRPr="00CD5714">
              <w:rPr>
                <w:rFonts w:ascii="Arial" w:hAnsi="Arial" w:cs="Arial"/>
                <w:color w:val="000000"/>
                <w:sz w:val="20"/>
                <w:szCs w:val="20"/>
                <w:lang w:val="en-GB"/>
              </w:rPr>
              <w:t>029</w:t>
            </w:r>
          </w:p>
        </w:tc>
        <w:tc>
          <w:tcPr>
            <w:tcW w:w="1368" w:type="dxa"/>
            <w:shd w:val="clear" w:color="auto" w:fill="auto"/>
            <w:vAlign w:val="bottom"/>
          </w:tcPr>
          <w:p w14:paraId="5BAF81D5" w14:textId="68D0FD9A" w:rsidR="006215C3"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5</w:t>
            </w:r>
            <w:r w:rsidR="00086212" w:rsidRPr="002D2F67">
              <w:rPr>
                <w:rFonts w:ascii="Arial" w:hAnsi="Arial" w:cs="Arial"/>
                <w:color w:val="000000"/>
                <w:sz w:val="20"/>
                <w:szCs w:val="20"/>
              </w:rPr>
              <w:t>,</w:t>
            </w:r>
            <w:r w:rsidRPr="00CD5714">
              <w:rPr>
                <w:rFonts w:ascii="Arial" w:hAnsi="Arial" w:cs="Arial"/>
                <w:color w:val="000000"/>
                <w:sz w:val="20"/>
                <w:szCs w:val="20"/>
                <w:lang w:val="en-GB"/>
              </w:rPr>
              <w:t>971</w:t>
            </w:r>
            <w:r w:rsidR="00086212" w:rsidRPr="002D2F67">
              <w:rPr>
                <w:rFonts w:ascii="Arial" w:hAnsi="Arial" w:cs="Arial"/>
                <w:color w:val="000000"/>
                <w:sz w:val="20"/>
                <w:szCs w:val="20"/>
              </w:rPr>
              <w:t>,</w:t>
            </w:r>
            <w:r w:rsidRPr="00CD5714">
              <w:rPr>
                <w:rFonts w:ascii="Arial" w:hAnsi="Arial" w:cs="Arial"/>
                <w:color w:val="000000"/>
                <w:sz w:val="20"/>
                <w:szCs w:val="20"/>
                <w:lang w:val="en-GB"/>
              </w:rPr>
              <w:t>653</w:t>
            </w:r>
          </w:p>
        </w:tc>
        <w:tc>
          <w:tcPr>
            <w:tcW w:w="1368" w:type="dxa"/>
            <w:shd w:val="clear" w:color="auto" w:fill="auto"/>
            <w:vAlign w:val="bottom"/>
          </w:tcPr>
          <w:p w14:paraId="7714A3A3" w14:textId="28ACD304" w:rsidR="006215C3"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CD5714">
              <w:rPr>
                <w:rFonts w:ascii="Arial" w:hAnsi="Arial" w:cs="Arial"/>
                <w:color w:val="000000"/>
                <w:sz w:val="20"/>
                <w:szCs w:val="20"/>
                <w:lang w:val="en-GB"/>
              </w:rPr>
              <w:t>22</w:t>
            </w:r>
            <w:r w:rsidR="006215C3" w:rsidRPr="002D2F67">
              <w:rPr>
                <w:rFonts w:ascii="Arial" w:hAnsi="Arial" w:cs="Arial"/>
                <w:color w:val="000000"/>
                <w:sz w:val="20"/>
                <w:szCs w:val="20"/>
              </w:rPr>
              <w:t>,</w:t>
            </w:r>
            <w:r w:rsidRPr="00CD5714">
              <w:rPr>
                <w:rFonts w:ascii="Arial" w:hAnsi="Arial" w:cs="Arial"/>
                <w:color w:val="000000"/>
                <w:sz w:val="20"/>
                <w:szCs w:val="20"/>
                <w:lang w:val="en-GB"/>
              </w:rPr>
              <w:t>938</w:t>
            </w:r>
            <w:r w:rsidR="006215C3" w:rsidRPr="002D2F67">
              <w:rPr>
                <w:rFonts w:ascii="Arial" w:hAnsi="Arial" w:cs="Arial"/>
                <w:color w:val="000000"/>
                <w:sz w:val="20"/>
                <w:szCs w:val="20"/>
              </w:rPr>
              <w:t>,</w:t>
            </w:r>
            <w:r w:rsidRPr="00CD5714">
              <w:rPr>
                <w:rFonts w:ascii="Arial" w:hAnsi="Arial" w:cs="Arial"/>
                <w:color w:val="000000"/>
                <w:sz w:val="20"/>
                <w:szCs w:val="20"/>
                <w:lang w:val="en-GB"/>
              </w:rPr>
              <w:t>304</w:t>
            </w:r>
          </w:p>
        </w:tc>
      </w:tr>
      <w:tr w:rsidR="006215C3" w:rsidRPr="002D2F67" w14:paraId="71E1B3D0" w14:textId="77777777" w:rsidTr="002D2F67">
        <w:tc>
          <w:tcPr>
            <w:tcW w:w="3989" w:type="dxa"/>
            <w:shd w:val="clear" w:color="auto" w:fill="auto"/>
          </w:tcPr>
          <w:p w14:paraId="5FCD1ED7" w14:textId="2A75C173" w:rsidR="006215C3" w:rsidRPr="002D2F67" w:rsidRDefault="006215C3" w:rsidP="002D2F67">
            <w:pPr>
              <w:tabs>
                <w:tab w:val="left" w:pos="1134"/>
                <w:tab w:val="left" w:pos="1276"/>
                <w:tab w:val="center" w:pos="3402"/>
                <w:tab w:val="center" w:pos="4536"/>
                <w:tab w:val="center" w:pos="5670"/>
                <w:tab w:val="center" w:pos="6804"/>
                <w:tab w:val="right" w:pos="7655"/>
              </w:tabs>
              <w:ind w:left="-86"/>
              <w:rPr>
                <w:rFonts w:ascii="Arial" w:hAnsi="Arial" w:cs="Arial"/>
                <w:color w:val="000000"/>
                <w:sz w:val="20"/>
                <w:szCs w:val="20"/>
              </w:rPr>
            </w:pPr>
            <w:r w:rsidRPr="002D2F67">
              <w:rPr>
                <w:rFonts w:ascii="Arial" w:hAnsi="Arial" w:cs="Arial"/>
                <w:color w:val="000000"/>
                <w:sz w:val="20"/>
                <w:szCs w:val="20"/>
              </w:rPr>
              <w:t xml:space="preserve">   Loan repayments during the year</w:t>
            </w:r>
          </w:p>
        </w:tc>
        <w:tc>
          <w:tcPr>
            <w:tcW w:w="1368" w:type="dxa"/>
            <w:shd w:val="clear" w:color="auto" w:fill="auto"/>
            <w:vAlign w:val="bottom"/>
          </w:tcPr>
          <w:p w14:paraId="5B24FA7E" w14:textId="628580EB" w:rsidR="006215C3" w:rsidRPr="002D2F67" w:rsidRDefault="0008621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10</w:t>
            </w:r>
            <w:r w:rsidRPr="002D2F67">
              <w:rPr>
                <w:rFonts w:ascii="Arial" w:hAnsi="Arial" w:cs="Arial"/>
                <w:color w:val="000000"/>
                <w:sz w:val="20"/>
                <w:szCs w:val="20"/>
              </w:rPr>
              <w:t>,</w:t>
            </w:r>
            <w:r w:rsidR="00CD5714" w:rsidRPr="00CD5714">
              <w:rPr>
                <w:rFonts w:ascii="Arial" w:hAnsi="Arial" w:cs="Arial"/>
                <w:color w:val="000000"/>
                <w:sz w:val="20"/>
                <w:szCs w:val="20"/>
                <w:lang w:val="en-GB"/>
              </w:rPr>
              <w:t>834</w:t>
            </w:r>
            <w:r w:rsidRPr="002D2F67">
              <w:rPr>
                <w:rFonts w:ascii="Arial" w:hAnsi="Arial" w:cs="Arial"/>
                <w:color w:val="000000"/>
                <w:sz w:val="20"/>
                <w:szCs w:val="20"/>
              </w:rPr>
              <w:t>,</w:t>
            </w:r>
            <w:r w:rsidR="00CD5714" w:rsidRPr="00CD5714">
              <w:rPr>
                <w:rFonts w:ascii="Arial" w:hAnsi="Arial" w:cs="Arial"/>
                <w:color w:val="000000"/>
                <w:sz w:val="20"/>
                <w:szCs w:val="20"/>
                <w:lang w:val="en-GB"/>
              </w:rPr>
              <w:t>693</w:t>
            </w:r>
            <w:r w:rsidRPr="002D2F67">
              <w:rPr>
                <w:rFonts w:ascii="Arial" w:hAnsi="Arial" w:cs="Arial"/>
                <w:color w:val="000000"/>
                <w:sz w:val="20"/>
                <w:szCs w:val="20"/>
              </w:rPr>
              <w:t>)</w:t>
            </w:r>
          </w:p>
        </w:tc>
        <w:tc>
          <w:tcPr>
            <w:tcW w:w="1368" w:type="dxa"/>
            <w:shd w:val="clear" w:color="auto" w:fill="auto"/>
            <w:vAlign w:val="bottom"/>
          </w:tcPr>
          <w:p w14:paraId="34AA8C31" w14:textId="5828E26D" w:rsidR="006215C3" w:rsidRPr="002D2F67" w:rsidRDefault="006215C3"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37</w:t>
            </w:r>
            <w:r w:rsidRPr="002D2F67">
              <w:rPr>
                <w:rFonts w:ascii="Arial" w:hAnsi="Arial" w:cs="Arial"/>
                <w:color w:val="000000"/>
                <w:sz w:val="20"/>
                <w:szCs w:val="20"/>
              </w:rPr>
              <w:t>,</w:t>
            </w:r>
            <w:r w:rsidR="00CD5714" w:rsidRPr="00CD5714">
              <w:rPr>
                <w:rFonts w:ascii="Arial" w:hAnsi="Arial" w:cs="Arial"/>
                <w:color w:val="000000"/>
                <w:sz w:val="20"/>
                <w:szCs w:val="20"/>
                <w:lang w:val="en-GB"/>
              </w:rPr>
              <w:t>307</w:t>
            </w:r>
            <w:r w:rsidRPr="002D2F67">
              <w:rPr>
                <w:rFonts w:ascii="Arial" w:hAnsi="Arial" w:cs="Arial"/>
                <w:color w:val="000000"/>
                <w:sz w:val="20"/>
                <w:szCs w:val="20"/>
              </w:rPr>
              <w:t>,</w:t>
            </w:r>
            <w:r w:rsidR="00CD5714" w:rsidRPr="00CD5714">
              <w:rPr>
                <w:rFonts w:ascii="Arial" w:hAnsi="Arial" w:cs="Arial"/>
                <w:color w:val="000000"/>
                <w:sz w:val="20"/>
                <w:szCs w:val="20"/>
                <w:lang w:val="en-GB"/>
              </w:rPr>
              <w:t>068</w:t>
            </w:r>
            <w:r w:rsidRPr="002D2F67">
              <w:rPr>
                <w:rFonts w:ascii="Arial" w:hAnsi="Arial" w:cs="Arial"/>
                <w:color w:val="000000"/>
                <w:sz w:val="20"/>
                <w:szCs w:val="20"/>
              </w:rPr>
              <w:t>)</w:t>
            </w:r>
          </w:p>
        </w:tc>
        <w:tc>
          <w:tcPr>
            <w:tcW w:w="1368" w:type="dxa"/>
            <w:shd w:val="clear" w:color="auto" w:fill="auto"/>
            <w:vAlign w:val="bottom"/>
          </w:tcPr>
          <w:p w14:paraId="0DD0F42B" w14:textId="51E999BA" w:rsidR="006215C3" w:rsidRPr="002D2F67" w:rsidRDefault="0008621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5</w:t>
            </w:r>
            <w:r w:rsidRPr="002D2F67">
              <w:rPr>
                <w:rFonts w:ascii="Arial" w:hAnsi="Arial" w:cs="Arial"/>
                <w:color w:val="000000"/>
                <w:sz w:val="20"/>
                <w:szCs w:val="20"/>
              </w:rPr>
              <w:t>,</w:t>
            </w:r>
            <w:r w:rsidR="00CD5714" w:rsidRPr="00CD5714">
              <w:rPr>
                <w:rFonts w:ascii="Arial" w:hAnsi="Arial" w:cs="Arial"/>
                <w:color w:val="000000"/>
                <w:sz w:val="20"/>
                <w:szCs w:val="20"/>
                <w:lang w:val="en-GB"/>
              </w:rPr>
              <w:t>803</w:t>
            </w:r>
            <w:r w:rsidRPr="002D2F67">
              <w:rPr>
                <w:rFonts w:ascii="Arial" w:hAnsi="Arial" w:cs="Arial"/>
                <w:color w:val="000000"/>
                <w:sz w:val="20"/>
                <w:szCs w:val="20"/>
              </w:rPr>
              <w:t>,</w:t>
            </w:r>
            <w:r w:rsidR="00CD5714" w:rsidRPr="00CD5714">
              <w:rPr>
                <w:rFonts w:ascii="Arial" w:hAnsi="Arial" w:cs="Arial"/>
                <w:color w:val="000000"/>
                <w:sz w:val="20"/>
                <w:szCs w:val="20"/>
                <w:lang w:val="en-GB"/>
              </w:rPr>
              <w:t>756</w:t>
            </w:r>
            <w:r w:rsidRPr="002D2F67">
              <w:rPr>
                <w:rFonts w:ascii="Arial" w:hAnsi="Arial" w:cs="Arial"/>
                <w:color w:val="000000"/>
                <w:sz w:val="20"/>
                <w:szCs w:val="20"/>
              </w:rPr>
              <w:t>)</w:t>
            </w:r>
          </w:p>
        </w:tc>
        <w:tc>
          <w:tcPr>
            <w:tcW w:w="1368" w:type="dxa"/>
            <w:shd w:val="clear" w:color="auto" w:fill="auto"/>
            <w:vAlign w:val="bottom"/>
          </w:tcPr>
          <w:p w14:paraId="2433CA39" w14:textId="7598C105" w:rsidR="006215C3" w:rsidRPr="002D2F67" w:rsidRDefault="006215C3"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26</w:t>
            </w:r>
            <w:r w:rsidRPr="002D2F67">
              <w:rPr>
                <w:rFonts w:ascii="Arial" w:hAnsi="Arial" w:cs="Arial"/>
                <w:color w:val="000000"/>
                <w:sz w:val="20"/>
                <w:szCs w:val="20"/>
              </w:rPr>
              <w:t>,</w:t>
            </w:r>
            <w:r w:rsidR="00CD5714" w:rsidRPr="00CD5714">
              <w:rPr>
                <w:rFonts w:ascii="Arial" w:hAnsi="Arial" w:cs="Arial"/>
                <w:color w:val="000000"/>
                <w:sz w:val="20"/>
                <w:szCs w:val="20"/>
                <w:lang w:val="en-GB"/>
              </w:rPr>
              <w:t>741</w:t>
            </w:r>
            <w:r w:rsidRPr="002D2F67">
              <w:rPr>
                <w:rFonts w:ascii="Arial" w:hAnsi="Arial" w:cs="Arial"/>
                <w:color w:val="000000"/>
                <w:sz w:val="20"/>
                <w:szCs w:val="20"/>
              </w:rPr>
              <w:t>,</w:t>
            </w:r>
            <w:r w:rsidR="00CD5714" w:rsidRPr="00CD5714">
              <w:rPr>
                <w:rFonts w:ascii="Arial" w:hAnsi="Arial" w:cs="Arial"/>
                <w:color w:val="000000"/>
                <w:sz w:val="20"/>
                <w:szCs w:val="20"/>
                <w:lang w:val="en-GB"/>
              </w:rPr>
              <w:t>565</w:t>
            </w:r>
            <w:r w:rsidRPr="002D2F67">
              <w:rPr>
                <w:rFonts w:ascii="Arial" w:hAnsi="Arial" w:cs="Arial"/>
                <w:color w:val="000000"/>
                <w:sz w:val="20"/>
                <w:szCs w:val="20"/>
              </w:rPr>
              <w:t>)</w:t>
            </w:r>
          </w:p>
        </w:tc>
      </w:tr>
      <w:tr w:rsidR="006215C3" w:rsidRPr="002D2F67" w14:paraId="43FB953F" w14:textId="77777777" w:rsidTr="002D2F67">
        <w:tc>
          <w:tcPr>
            <w:tcW w:w="3989" w:type="dxa"/>
            <w:shd w:val="clear" w:color="auto" w:fill="auto"/>
            <w:vAlign w:val="bottom"/>
          </w:tcPr>
          <w:p w14:paraId="7ABC1ADC" w14:textId="77777777" w:rsidR="006215C3" w:rsidRPr="002D2F67" w:rsidRDefault="006215C3" w:rsidP="002D2F67">
            <w:pPr>
              <w:tabs>
                <w:tab w:val="left" w:pos="1134"/>
                <w:tab w:val="left" w:pos="1276"/>
                <w:tab w:val="center" w:pos="3402"/>
                <w:tab w:val="center" w:pos="4536"/>
                <w:tab w:val="center" w:pos="5670"/>
                <w:tab w:val="center" w:pos="6804"/>
                <w:tab w:val="right" w:pos="7655"/>
              </w:tabs>
              <w:ind w:left="-86"/>
              <w:rPr>
                <w:rFonts w:ascii="Arial" w:hAnsi="Arial" w:cs="Arial"/>
                <w:color w:val="000000"/>
                <w:sz w:val="20"/>
                <w:szCs w:val="20"/>
                <w:cs/>
              </w:rPr>
            </w:pPr>
            <w:r w:rsidRPr="002D2F67">
              <w:rPr>
                <w:rFonts w:ascii="Arial" w:hAnsi="Arial" w:cs="Arial"/>
                <w:color w:val="000000"/>
                <w:sz w:val="20"/>
                <w:szCs w:val="20"/>
              </w:rPr>
              <w:t>Other non-cash movements:</w:t>
            </w:r>
          </w:p>
        </w:tc>
        <w:tc>
          <w:tcPr>
            <w:tcW w:w="1368" w:type="dxa"/>
            <w:shd w:val="clear" w:color="auto" w:fill="auto"/>
            <w:vAlign w:val="bottom"/>
          </w:tcPr>
          <w:p w14:paraId="1D5F6422" w14:textId="77777777" w:rsidR="006215C3" w:rsidRPr="002D2F67" w:rsidRDefault="006215C3"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shd w:val="clear" w:color="auto" w:fill="auto"/>
            <w:vAlign w:val="bottom"/>
          </w:tcPr>
          <w:p w14:paraId="6F9129B7" w14:textId="77777777" w:rsidR="006215C3" w:rsidRPr="002D2F67" w:rsidRDefault="006215C3"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shd w:val="clear" w:color="auto" w:fill="auto"/>
            <w:vAlign w:val="bottom"/>
          </w:tcPr>
          <w:p w14:paraId="2EFA489E" w14:textId="77777777" w:rsidR="006215C3" w:rsidRPr="002D2F67" w:rsidRDefault="006215C3"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shd w:val="clear" w:color="auto" w:fill="auto"/>
            <w:vAlign w:val="bottom"/>
          </w:tcPr>
          <w:p w14:paraId="52C0A80B" w14:textId="77777777" w:rsidR="006215C3" w:rsidRPr="002D2F67" w:rsidRDefault="006215C3"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6215C3" w:rsidRPr="002D2F67" w14:paraId="2CBC1818" w14:textId="77777777" w:rsidTr="002D2F67">
        <w:tc>
          <w:tcPr>
            <w:tcW w:w="3989" w:type="dxa"/>
            <w:shd w:val="clear" w:color="auto" w:fill="auto"/>
            <w:vAlign w:val="bottom"/>
          </w:tcPr>
          <w:p w14:paraId="1602F8DA" w14:textId="01B25532" w:rsidR="006215C3" w:rsidRPr="002D2F67" w:rsidRDefault="006215C3" w:rsidP="002D2F67">
            <w:pPr>
              <w:tabs>
                <w:tab w:val="left" w:pos="1134"/>
                <w:tab w:val="left" w:pos="1276"/>
                <w:tab w:val="center" w:pos="3402"/>
                <w:tab w:val="center" w:pos="4536"/>
                <w:tab w:val="center" w:pos="5670"/>
                <w:tab w:val="center" w:pos="6804"/>
                <w:tab w:val="right" w:pos="7655"/>
              </w:tabs>
              <w:ind w:left="-86"/>
              <w:rPr>
                <w:rFonts w:ascii="Arial" w:hAnsi="Arial" w:cs="Arial"/>
                <w:color w:val="000000"/>
                <w:sz w:val="20"/>
                <w:szCs w:val="20"/>
              </w:rPr>
            </w:pPr>
            <w:r w:rsidRPr="002D2F67">
              <w:rPr>
                <w:rFonts w:ascii="Arial" w:hAnsi="Arial" w:cs="Arial"/>
                <w:color w:val="000000"/>
                <w:sz w:val="20"/>
                <w:szCs w:val="20"/>
              </w:rPr>
              <w:t xml:space="preserve">   Bill of exchange amortisation </w:t>
            </w:r>
          </w:p>
        </w:tc>
        <w:tc>
          <w:tcPr>
            <w:tcW w:w="1368" w:type="dxa"/>
            <w:shd w:val="clear" w:color="auto" w:fill="auto"/>
            <w:vAlign w:val="bottom"/>
          </w:tcPr>
          <w:p w14:paraId="0B117A1F" w14:textId="2AA7DE52" w:rsidR="006215C3"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7</w:t>
            </w:r>
            <w:r w:rsidR="00086212" w:rsidRPr="002D2F67">
              <w:rPr>
                <w:rFonts w:ascii="Arial" w:hAnsi="Arial" w:cs="Arial"/>
                <w:color w:val="000000"/>
                <w:sz w:val="20"/>
                <w:szCs w:val="20"/>
              </w:rPr>
              <w:t>,</w:t>
            </w:r>
            <w:r w:rsidRPr="00CD5714">
              <w:rPr>
                <w:rFonts w:ascii="Arial" w:hAnsi="Arial" w:cs="Arial"/>
                <w:color w:val="000000"/>
                <w:sz w:val="20"/>
                <w:szCs w:val="20"/>
                <w:lang w:val="en-GB"/>
              </w:rPr>
              <w:t>074</w:t>
            </w:r>
          </w:p>
        </w:tc>
        <w:tc>
          <w:tcPr>
            <w:tcW w:w="1368" w:type="dxa"/>
            <w:shd w:val="clear" w:color="auto" w:fill="auto"/>
            <w:vAlign w:val="bottom"/>
          </w:tcPr>
          <w:p w14:paraId="3886B035" w14:textId="08515712" w:rsidR="006215C3"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108</w:t>
            </w:r>
            <w:r w:rsidR="006215C3" w:rsidRPr="002D2F67">
              <w:rPr>
                <w:rFonts w:ascii="Arial" w:hAnsi="Arial" w:cs="Arial"/>
                <w:color w:val="000000"/>
                <w:sz w:val="20"/>
                <w:szCs w:val="20"/>
              </w:rPr>
              <w:t>,</w:t>
            </w:r>
            <w:r w:rsidRPr="00CD5714">
              <w:rPr>
                <w:rFonts w:ascii="Arial" w:hAnsi="Arial" w:cs="Arial"/>
                <w:color w:val="000000"/>
                <w:sz w:val="20"/>
                <w:szCs w:val="20"/>
                <w:lang w:val="en-GB"/>
              </w:rPr>
              <w:t>927</w:t>
            </w:r>
          </w:p>
        </w:tc>
        <w:tc>
          <w:tcPr>
            <w:tcW w:w="1368" w:type="dxa"/>
            <w:shd w:val="clear" w:color="auto" w:fill="auto"/>
            <w:vAlign w:val="bottom"/>
          </w:tcPr>
          <w:p w14:paraId="2222BCE5" w14:textId="2570E6FE" w:rsidR="006215C3"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7</w:t>
            </w:r>
            <w:r w:rsidR="00086212" w:rsidRPr="002D2F67">
              <w:rPr>
                <w:rFonts w:ascii="Arial" w:hAnsi="Arial" w:cs="Arial"/>
                <w:color w:val="000000"/>
                <w:sz w:val="20"/>
                <w:szCs w:val="20"/>
              </w:rPr>
              <w:t>,</w:t>
            </w:r>
            <w:r w:rsidRPr="00CD5714">
              <w:rPr>
                <w:rFonts w:ascii="Arial" w:hAnsi="Arial" w:cs="Arial"/>
                <w:color w:val="000000"/>
                <w:sz w:val="20"/>
                <w:szCs w:val="20"/>
                <w:lang w:val="en-GB"/>
              </w:rPr>
              <w:t>074</w:t>
            </w:r>
          </w:p>
        </w:tc>
        <w:tc>
          <w:tcPr>
            <w:tcW w:w="1368" w:type="dxa"/>
            <w:shd w:val="clear" w:color="auto" w:fill="auto"/>
            <w:vAlign w:val="bottom"/>
          </w:tcPr>
          <w:p w14:paraId="29B5564A" w14:textId="34C56070" w:rsidR="006215C3"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108</w:t>
            </w:r>
            <w:r w:rsidR="006215C3" w:rsidRPr="002D2F67">
              <w:rPr>
                <w:rFonts w:ascii="Arial" w:hAnsi="Arial" w:cs="Arial"/>
                <w:color w:val="000000"/>
                <w:sz w:val="20"/>
                <w:szCs w:val="20"/>
              </w:rPr>
              <w:t>,</w:t>
            </w:r>
            <w:r w:rsidRPr="00CD5714">
              <w:rPr>
                <w:rFonts w:ascii="Arial" w:hAnsi="Arial" w:cs="Arial"/>
                <w:color w:val="000000"/>
                <w:sz w:val="20"/>
                <w:szCs w:val="20"/>
                <w:lang w:val="en-GB"/>
              </w:rPr>
              <w:t>926</w:t>
            </w:r>
          </w:p>
        </w:tc>
      </w:tr>
      <w:tr w:rsidR="006215C3" w:rsidRPr="002D2F67" w14:paraId="6FCC39AA" w14:textId="77777777" w:rsidTr="002D2F67">
        <w:tc>
          <w:tcPr>
            <w:tcW w:w="3989" w:type="dxa"/>
            <w:shd w:val="clear" w:color="auto" w:fill="auto"/>
            <w:vAlign w:val="bottom"/>
          </w:tcPr>
          <w:p w14:paraId="46F527EF" w14:textId="29B48175" w:rsidR="006215C3" w:rsidRPr="002D2F67" w:rsidRDefault="00086212" w:rsidP="002D2F67">
            <w:pPr>
              <w:tabs>
                <w:tab w:val="left" w:pos="1134"/>
                <w:tab w:val="left" w:pos="1276"/>
                <w:tab w:val="center" w:pos="3402"/>
                <w:tab w:val="center" w:pos="4536"/>
                <w:tab w:val="center" w:pos="5670"/>
                <w:tab w:val="center" w:pos="6804"/>
                <w:tab w:val="right" w:pos="7655"/>
              </w:tabs>
              <w:ind w:left="-86"/>
              <w:rPr>
                <w:rFonts w:ascii="Arial" w:hAnsi="Arial" w:cs="Arial"/>
                <w:color w:val="000000"/>
                <w:sz w:val="20"/>
                <w:szCs w:val="20"/>
              </w:rPr>
            </w:pPr>
            <w:r w:rsidRPr="002D2F67">
              <w:rPr>
                <w:rFonts w:ascii="Arial" w:hAnsi="Arial" w:cs="Arial"/>
                <w:color w:val="000000"/>
                <w:sz w:val="20"/>
                <w:szCs w:val="20"/>
              </w:rPr>
              <w:t xml:space="preserve">   Amendment of loan agreement</w:t>
            </w:r>
            <w:r w:rsidRPr="002D2F67">
              <w:rPr>
                <w:rFonts w:ascii="Arial" w:hAnsi="Arial" w:cs="Arial"/>
                <w:color w:val="000000"/>
                <w:sz w:val="20"/>
                <w:szCs w:val="20"/>
                <w:cs/>
              </w:rPr>
              <w:t xml:space="preserve"> </w:t>
            </w:r>
          </w:p>
        </w:tc>
        <w:tc>
          <w:tcPr>
            <w:tcW w:w="1368" w:type="dxa"/>
            <w:shd w:val="clear" w:color="auto" w:fill="auto"/>
            <w:vAlign w:val="bottom"/>
          </w:tcPr>
          <w:p w14:paraId="4609E626" w14:textId="02C8B34D" w:rsidR="006215C3" w:rsidRPr="002D2F67" w:rsidRDefault="0008621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8</w:t>
            </w:r>
            <w:r w:rsidRPr="002D2F67">
              <w:rPr>
                <w:rFonts w:ascii="Arial" w:hAnsi="Arial" w:cs="Arial"/>
                <w:color w:val="000000"/>
                <w:sz w:val="20"/>
                <w:szCs w:val="20"/>
              </w:rPr>
              <w:t>,</w:t>
            </w:r>
            <w:r w:rsidR="00CD5714" w:rsidRPr="00CD5714">
              <w:rPr>
                <w:rFonts w:ascii="Arial" w:hAnsi="Arial" w:cs="Arial"/>
                <w:color w:val="000000"/>
                <w:sz w:val="20"/>
                <w:szCs w:val="20"/>
                <w:lang w:val="en-GB"/>
              </w:rPr>
              <w:t>445</w:t>
            </w:r>
            <w:r w:rsidRPr="002D2F67">
              <w:rPr>
                <w:rFonts w:ascii="Arial" w:hAnsi="Arial" w:cs="Arial"/>
                <w:color w:val="000000"/>
                <w:sz w:val="20"/>
                <w:szCs w:val="20"/>
              </w:rPr>
              <w:t>,</w:t>
            </w:r>
            <w:r w:rsidR="00CD5714" w:rsidRPr="00CD5714">
              <w:rPr>
                <w:rFonts w:ascii="Arial" w:hAnsi="Arial" w:cs="Arial"/>
                <w:color w:val="000000"/>
                <w:sz w:val="20"/>
                <w:szCs w:val="20"/>
                <w:lang w:val="en-GB"/>
              </w:rPr>
              <w:t>993</w:t>
            </w:r>
            <w:r w:rsidRPr="002D2F67">
              <w:rPr>
                <w:rFonts w:ascii="Arial" w:hAnsi="Arial" w:cs="Arial"/>
                <w:color w:val="000000"/>
                <w:sz w:val="20"/>
                <w:szCs w:val="20"/>
              </w:rPr>
              <w:t>)</w:t>
            </w:r>
          </w:p>
        </w:tc>
        <w:tc>
          <w:tcPr>
            <w:tcW w:w="1368" w:type="dxa"/>
            <w:shd w:val="clear" w:color="auto" w:fill="auto"/>
            <w:vAlign w:val="bottom"/>
          </w:tcPr>
          <w:p w14:paraId="04CF0FFB" w14:textId="2547FFE8" w:rsidR="006215C3" w:rsidRPr="002D2F67" w:rsidRDefault="0008621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p>
        </w:tc>
        <w:tc>
          <w:tcPr>
            <w:tcW w:w="1368" w:type="dxa"/>
            <w:shd w:val="clear" w:color="auto" w:fill="auto"/>
            <w:vAlign w:val="bottom"/>
          </w:tcPr>
          <w:p w14:paraId="16A4D14D" w14:textId="4E461DE1" w:rsidR="006215C3" w:rsidRPr="002D2F67" w:rsidRDefault="0008621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3</w:t>
            </w:r>
            <w:r w:rsidRPr="002D2F67">
              <w:rPr>
                <w:rFonts w:ascii="Arial" w:hAnsi="Arial" w:cs="Arial"/>
                <w:color w:val="000000"/>
                <w:sz w:val="20"/>
                <w:szCs w:val="20"/>
              </w:rPr>
              <w:t>,</w:t>
            </w:r>
            <w:r w:rsidR="00CD5714" w:rsidRPr="00CD5714">
              <w:rPr>
                <w:rFonts w:ascii="Arial" w:hAnsi="Arial" w:cs="Arial"/>
                <w:color w:val="000000"/>
                <w:sz w:val="20"/>
                <w:szCs w:val="20"/>
                <w:lang w:val="en-GB"/>
              </w:rPr>
              <w:t>314</w:t>
            </w:r>
            <w:r w:rsidRPr="002D2F67">
              <w:rPr>
                <w:rFonts w:ascii="Arial" w:hAnsi="Arial" w:cs="Arial"/>
                <w:color w:val="000000"/>
                <w:sz w:val="20"/>
                <w:szCs w:val="20"/>
              </w:rPr>
              <w:t>,</w:t>
            </w:r>
            <w:r w:rsidR="00CD5714" w:rsidRPr="00CD5714">
              <w:rPr>
                <w:rFonts w:ascii="Arial" w:hAnsi="Arial" w:cs="Arial"/>
                <w:color w:val="000000"/>
                <w:sz w:val="20"/>
                <w:szCs w:val="20"/>
                <w:lang w:val="en-GB"/>
              </w:rPr>
              <w:t>602</w:t>
            </w:r>
            <w:r w:rsidRPr="002D2F67">
              <w:rPr>
                <w:rFonts w:ascii="Arial" w:hAnsi="Arial" w:cs="Arial"/>
                <w:color w:val="000000"/>
                <w:sz w:val="20"/>
                <w:szCs w:val="20"/>
              </w:rPr>
              <w:t>)</w:t>
            </w:r>
          </w:p>
        </w:tc>
        <w:tc>
          <w:tcPr>
            <w:tcW w:w="1368" w:type="dxa"/>
            <w:shd w:val="clear" w:color="auto" w:fill="auto"/>
            <w:vAlign w:val="bottom"/>
          </w:tcPr>
          <w:p w14:paraId="4BFE2487" w14:textId="6B607478" w:rsidR="006215C3" w:rsidRPr="002D2F67" w:rsidRDefault="006215C3"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p>
        </w:tc>
      </w:tr>
      <w:tr w:rsidR="00086212" w:rsidRPr="002D2F67" w14:paraId="6219388F" w14:textId="77777777" w:rsidTr="002D2F67">
        <w:tc>
          <w:tcPr>
            <w:tcW w:w="3989" w:type="dxa"/>
            <w:shd w:val="clear" w:color="auto" w:fill="auto"/>
            <w:vAlign w:val="bottom"/>
          </w:tcPr>
          <w:p w14:paraId="73485846" w14:textId="4243BC58" w:rsidR="00086212" w:rsidRPr="002D2F67" w:rsidRDefault="00086212" w:rsidP="002D2F67">
            <w:pPr>
              <w:tabs>
                <w:tab w:val="left" w:pos="1134"/>
                <w:tab w:val="left" w:pos="1276"/>
                <w:tab w:val="center" w:pos="3402"/>
                <w:tab w:val="center" w:pos="4536"/>
                <w:tab w:val="center" w:pos="5670"/>
                <w:tab w:val="center" w:pos="6804"/>
                <w:tab w:val="right" w:pos="7655"/>
              </w:tabs>
              <w:ind w:left="-86"/>
              <w:rPr>
                <w:rFonts w:ascii="Arial" w:hAnsi="Arial" w:cs="Arial"/>
                <w:color w:val="000000"/>
                <w:sz w:val="20"/>
                <w:szCs w:val="20"/>
              </w:rPr>
            </w:pPr>
            <w:r w:rsidRPr="002D2F67">
              <w:rPr>
                <w:rFonts w:ascii="Arial" w:hAnsi="Arial" w:cs="Arial"/>
                <w:color w:val="000000"/>
                <w:sz w:val="20"/>
                <w:szCs w:val="20"/>
              </w:rPr>
              <w:t xml:space="preserve">   Decreased </w:t>
            </w:r>
            <w:r w:rsidR="00AB57DF" w:rsidRPr="002D2F67">
              <w:rPr>
                <w:rFonts w:ascii="Arial" w:hAnsi="Arial" w:cs="Arial"/>
                <w:color w:val="000000"/>
                <w:sz w:val="20"/>
                <w:szCs w:val="20"/>
              </w:rPr>
              <w:t>from</w:t>
            </w:r>
            <w:r w:rsidRPr="002D2F67">
              <w:rPr>
                <w:rFonts w:ascii="Arial" w:hAnsi="Arial" w:cs="Arial"/>
                <w:color w:val="000000"/>
                <w:sz w:val="20"/>
                <w:szCs w:val="20"/>
              </w:rPr>
              <w:t xml:space="preserve"> the disposal of </w:t>
            </w:r>
          </w:p>
        </w:tc>
        <w:tc>
          <w:tcPr>
            <w:tcW w:w="1368" w:type="dxa"/>
            <w:shd w:val="clear" w:color="auto" w:fill="auto"/>
            <w:vAlign w:val="bottom"/>
          </w:tcPr>
          <w:p w14:paraId="396F5C75" w14:textId="77777777" w:rsidR="00086212" w:rsidRPr="002D2F67" w:rsidRDefault="0008621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shd w:val="clear" w:color="auto" w:fill="auto"/>
            <w:vAlign w:val="bottom"/>
          </w:tcPr>
          <w:p w14:paraId="003AC50E" w14:textId="77777777" w:rsidR="00086212" w:rsidRPr="002D2F67" w:rsidRDefault="0008621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shd w:val="clear" w:color="auto" w:fill="auto"/>
            <w:vAlign w:val="bottom"/>
          </w:tcPr>
          <w:p w14:paraId="69A667AD" w14:textId="77777777" w:rsidR="00086212" w:rsidRPr="002D2F67" w:rsidRDefault="0008621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shd w:val="clear" w:color="auto" w:fill="auto"/>
            <w:vAlign w:val="bottom"/>
          </w:tcPr>
          <w:p w14:paraId="2FE43D87" w14:textId="77777777" w:rsidR="00086212" w:rsidRPr="002D2F67" w:rsidRDefault="0008621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086212" w:rsidRPr="002D2F67" w14:paraId="4BD16C8B" w14:textId="77777777" w:rsidTr="002D2F67">
        <w:tc>
          <w:tcPr>
            <w:tcW w:w="3989" w:type="dxa"/>
            <w:shd w:val="clear" w:color="auto" w:fill="auto"/>
            <w:vAlign w:val="bottom"/>
          </w:tcPr>
          <w:p w14:paraId="1FE41802" w14:textId="74BB8131" w:rsidR="00086212" w:rsidRPr="002D2F67" w:rsidRDefault="00086212" w:rsidP="002D2F67">
            <w:pPr>
              <w:tabs>
                <w:tab w:val="left" w:pos="1134"/>
                <w:tab w:val="left" w:pos="1276"/>
                <w:tab w:val="center" w:pos="3402"/>
                <w:tab w:val="center" w:pos="4536"/>
                <w:tab w:val="center" w:pos="5670"/>
                <w:tab w:val="center" w:pos="6804"/>
                <w:tab w:val="right" w:pos="7655"/>
              </w:tabs>
              <w:ind w:left="-86"/>
              <w:rPr>
                <w:rFonts w:ascii="Arial" w:hAnsi="Arial" w:cs="Arial"/>
                <w:color w:val="000000"/>
                <w:sz w:val="20"/>
                <w:szCs w:val="20"/>
              </w:rPr>
            </w:pPr>
            <w:r w:rsidRPr="002D2F67">
              <w:rPr>
                <w:rFonts w:ascii="Arial" w:hAnsi="Arial" w:cs="Arial"/>
                <w:color w:val="000000"/>
                <w:sz w:val="20"/>
                <w:szCs w:val="20"/>
              </w:rPr>
              <w:t xml:space="preserve">Business (Note </w:t>
            </w:r>
            <w:r w:rsidR="00CD5714" w:rsidRPr="00CD5714">
              <w:rPr>
                <w:rFonts w:ascii="Arial" w:hAnsi="Arial" w:cs="Arial"/>
                <w:color w:val="000000"/>
                <w:sz w:val="20"/>
                <w:szCs w:val="20"/>
                <w:lang w:val="en-GB"/>
              </w:rPr>
              <w:t>19</w:t>
            </w:r>
            <w:r w:rsidRPr="002D2F67">
              <w:rPr>
                <w:rFonts w:ascii="Arial" w:hAnsi="Arial" w:cs="Arial"/>
                <w:color w:val="000000"/>
                <w:sz w:val="20"/>
                <w:szCs w:val="20"/>
              </w:rPr>
              <w:t>.</w:t>
            </w:r>
            <w:r w:rsidR="00CD5714" w:rsidRPr="00CD5714">
              <w:rPr>
                <w:rFonts w:ascii="Arial" w:hAnsi="Arial" w:cs="Arial"/>
                <w:color w:val="000000"/>
                <w:sz w:val="20"/>
                <w:szCs w:val="20"/>
                <w:lang w:val="en-GB"/>
              </w:rPr>
              <w:t>1</w:t>
            </w:r>
            <w:r w:rsidRPr="002D2F67">
              <w:rPr>
                <w:rFonts w:ascii="Arial" w:hAnsi="Arial" w:cs="Arial"/>
                <w:color w:val="000000"/>
                <w:sz w:val="20"/>
                <w:szCs w:val="20"/>
              </w:rPr>
              <w:t>)</w:t>
            </w:r>
          </w:p>
        </w:tc>
        <w:tc>
          <w:tcPr>
            <w:tcW w:w="1368" w:type="dxa"/>
            <w:shd w:val="clear" w:color="auto" w:fill="auto"/>
            <w:vAlign w:val="bottom"/>
          </w:tcPr>
          <w:p w14:paraId="0C79BB21" w14:textId="528981A1" w:rsidR="00086212" w:rsidRPr="002D2F67" w:rsidRDefault="0008621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139</w:t>
            </w:r>
            <w:r w:rsidRPr="002D2F67">
              <w:rPr>
                <w:rFonts w:ascii="Arial" w:hAnsi="Arial" w:cs="Arial"/>
                <w:color w:val="000000"/>
                <w:sz w:val="20"/>
                <w:szCs w:val="20"/>
              </w:rPr>
              <w:t>,</w:t>
            </w:r>
            <w:r w:rsidR="00CD5714" w:rsidRPr="00CD5714">
              <w:rPr>
                <w:rFonts w:ascii="Arial" w:hAnsi="Arial" w:cs="Arial"/>
                <w:color w:val="000000"/>
                <w:sz w:val="20"/>
                <w:szCs w:val="20"/>
                <w:lang w:val="en-GB"/>
              </w:rPr>
              <w:t>999</w:t>
            </w:r>
            <w:r w:rsidRPr="002D2F67">
              <w:rPr>
                <w:rFonts w:ascii="Arial" w:hAnsi="Arial" w:cs="Arial"/>
                <w:color w:val="000000"/>
                <w:sz w:val="20"/>
                <w:szCs w:val="20"/>
              </w:rPr>
              <w:t>)</w:t>
            </w:r>
          </w:p>
        </w:tc>
        <w:tc>
          <w:tcPr>
            <w:tcW w:w="1368" w:type="dxa"/>
            <w:shd w:val="clear" w:color="auto" w:fill="auto"/>
            <w:vAlign w:val="bottom"/>
          </w:tcPr>
          <w:p w14:paraId="350C8F85" w14:textId="5687484C" w:rsidR="00086212" w:rsidRPr="002D2F67" w:rsidRDefault="0008621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p>
        </w:tc>
        <w:tc>
          <w:tcPr>
            <w:tcW w:w="1368" w:type="dxa"/>
            <w:shd w:val="clear" w:color="auto" w:fill="auto"/>
            <w:vAlign w:val="bottom"/>
          </w:tcPr>
          <w:p w14:paraId="3DEAB370" w14:textId="1EED5DE2" w:rsidR="00086212" w:rsidRPr="002D2F67" w:rsidRDefault="0008621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p>
        </w:tc>
        <w:tc>
          <w:tcPr>
            <w:tcW w:w="1368" w:type="dxa"/>
            <w:shd w:val="clear" w:color="auto" w:fill="auto"/>
            <w:vAlign w:val="bottom"/>
          </w:tcPr>
          <w:p w14:paraId="6FF2AC85" w14:textId="13376B84" w:rsidR="00086212" w:rsidRPr="002D2F67" w:rsidRDefault="0008621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p>
        </w:tc>
      </w:tr>
      <w:tr w:rsidR="00086212" w:rsidRPr="002D2F67" w14:paraId="4CF56D60" w14:textId="77777777" w:rsidTr="002D2F67">
        <w:tc>
          <w:tcPr>
            <w:tcW w:w="3989" w:type="dxa"/>
            <w:shd w:val="clear" w:color="auto" w:fill="auto"/>
            <w:vAlign w:val="bottom"/>
          </w:tcPr>
          <w:p w14:paraId="531972A5" w14:textId="15D08C38" w:rsidR="00086212" w:rsidRPr="002D2F67" w:rsidRDefault="00086212" w:rsidP="002D2F67">
            <w:pPr>
              <w:tabs>
                <w:tab w:val="left" w:pos="1134"/>
                <w:tab w:val="left" w:pos="1276"/>
                <w:tab w:val="center" w:pos="3402"/>
                <w:tab w:val="center" w:pos="4536"/>
                <w:tab w:val="center" w:pos="5670"/>
                <w:tab w:val="center" w:pos="6804"/>
                <w:tab w:val="right" w:pos="7655"/>
              </w:tabs>
              <w:ind w:left="-86"/>
              <w:rPr>
                <w:rFonts w:ascii="Arial" w:hAnsi="Arial" w:cs="Arial"/>
                <w:color w:val="000000"/>
                <w:sz w:val="20"/>
                <w:szCs w:val="20"/>
              </w:rPr>
            </w:pPr>
            <w:r w:rsidRPr="002D2F67">
              <w:rPr>
                <w:rFonts w:ascii="Arial" w:hAnsi="Arial" w:cs="Arial"/>
                <w:color w:val="000000"/>
                <w:sz w:val="20"/>
                <w:szCs w:val="20"/>
              </w:rPr>
              <w:t xml:space="preserve">   Currency translation differences</w:t>
            </w:r>
          </w:p>
        </w:tc>
        <w:tc>
          <w:tcPr>
            <w:tcW w:w="1368" w:type="dxa"/>
            <w:shd w:val="clear" w:color="auto" w:fill="auto"/>
            <w:vAlign w:val="bottom"/>
          </w:tcPr>
          <w:p w14:paraId="1250086C" w14:textId="26E90B86" w:rsidR="00086212" w:rsidRPr="002D2F67" w:rsidRDefault="0008621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4</w:t>
            </w:r>
            <w:r w:rsidR="00382DB5" w:rsidRPr="002D2F67">
              <w:rPr>
                <w:rFonts w:ascii="Arial" w:hAnsi="Arial" w:cs="Arial"/>
                <w:color w:val="000000"/>
                <w:sz w:val="20"/>
                <w:szCs w:val="20"/>
              </w:rPr>
              <w:t>,</w:t>
            </w:r>
            <w:r w:rsidR="00CD5714" w:rsidRPr="00CD5714">
              <w:rPr>
                <w:rFonts w:ascii="Arial" w:hAnsi="Arial" w:cs="Arial"/>
                <w:color w:val="000000"/>
                <w:sz w:val="20"/>
                <w:szCs w:val="20"/>
                <w:lang w:val="en-GB"/>
              </w:rPr>
              <w:t>244</w:t>
            </w:r>
            <w:r w:rsidRPr="002D2F67">
              <w:rPr>
                <w:rFonts w:ascii="Arial" w:hAnsi="Arial" w:cs="Arial"/>
                <w:color w:val="000000"/>
                <w:sz w:val="20"/>
                <w:szCs w:val="20"/>
              </w:rPr>
              <w:t>)</w:t>
            </w:r>
          </w:p>
        </w:tc>
        <w:tc>
          <w:tcPr>
            <w:tcW w:w="1368" w:type="dxa"/>
            <w:shd w:val="clear" w:color="auto" w:fill="auto"/>
            <w:vAlign w:val="bottom"/>
          </w:tcPr>
          <w:p w14:paraId="235FE0F7" w14:textId="428D5478" w:rsidR="00086212" w:rsidRPr="002D2F67" w:rsidRDefault="0008621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2</w:t>
            </w:r>
            <w:r w:rsidRPr="002D2F67">
              <w:rPr>
                <w:rFonts w:ascii="Arial" w:hAnsi="Arial" w:cs="Arial"/>
                <w:color w:val="000000"/>
                <w:sz w:val="20"/>
                <w:szCs w:val="20"/>
              </w:rPr>
              <w:t>,</w:t>
            </w:r>
            <w:r w:rsidR="00CD5714" w:rsidRPr="00CD5714">
              <w:rPr>
                <w:rFonts w:ascii="Arial" w:hAnsi="Arial" w:cs="Arial"/>
                <w:color w:val="000000"/>
                <w:sz w:val="20"/>
                <w:szCs w:val="20"/>
                <w:lang w:val="en-GB"/>
              </w:rPr>
              <w:t>226</w:t>
            </w:r>
            <w:r w:rsidRPr="002D2F67">
              <w:rPr>
                <w:rFonts w:ascii="Arial" w:hAnsi="Arial" w:cs="Arial"/>
                <w:color w:val="000000"/>
                <w:sz w:val="20"/>
                <w:szCs w:val="20"/>
              </w:rPr>
              <w:t>)</w:t>
            </w:r>
          </w:p>
        </w:tc>
        <w:tc>
          <w:tcPr>
            <w:tcW w:w="1368" w:type="dxa"/>
            <w:shd w:val="clear" w:color="auto" w:fill="auto"/>
            <w:vAlign w:val="bottom"/>
          </w:tcPr>
          <w:p w14:paraId="30463361" w14:textId="674119F4" w:rsidR="00086212" w:rsidRPr="002D2F67" w:rsidRDefault="0008621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p>
        </w:tc>
        <w:tc>
          <w:tcPr>
            <w:tcW w:w="1368" w:type="dxa"/>
            <w:shd w:val="clear" w:color="auto" w:fill="auto"/>
            <w:vAlign w:val="bottom"/>
          </w:tcPr>
          <w:p w14:paraId="102DED4D" w14:textId="478D9B34" w:rsidR="00086212" w:rsidRPr="002D2F67" w:rsidRDefault="0008621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p>
        </w:tc>
      </w:tr>
      <w:tr w:rsidR="006215C3" w:rsidRPr="002D2F67" w14:paraId="1C75C6A1" w14:textId="77777777" w:rsidTr="002D2F67">
        <w:tc>
          <w:tcPr>
            <w:tcW w:w="3989" w:type="dxa"/>
            <w:shd w:val="clear" w:color="auto" w:fill="auto"/>
            <w:vAlign w:val="bottom"/>
          </w:tcPr>
          <w:p w14:paraId="67FC00C1" w14:textId="39F8513D" w:rsidR="006215C3" w:rsidRPr="002D2F67" w:rsidRDefault="006215C3" w:rsidP="002D2F67">
            <w:pPr>
              <w:tabs>
                <w:tab w:val="left" w:pos="1134"/>
                <w:tab w:val="left" w:pos="1276"/>
                <w:tab w:val="center" w:pos="3402"/>
                <w:tab w:val="center" w:pos="4536"/>
                <w:tab w:val="center" w:pos="5670"/>
                <w:tab w:val="center" w:pos="6804"/>
                <w:tab w:val="right" w:pos="7655"/>
              </w:tabs>
              <w:ind w:left="-86"/>
              <w:rPr>
                <w:rFonts w:ascii="Arial" w:hAnsi="Arial" w:cs="Arial"/>
                <w:color w:val="000000"/>
                <w:sz w:val="20"/>
                <w:szCs w:val="20"/>
              </w:rPr>
            </w:pPr>
            <w:r w:rsidRPr="002D2F67">
              <w:rPr>
                <w:rFonts w:ascii="Arial" w:hAnsi="Arial" w:cs="Arial"/>
                <w:color w:val="000000"/>
                <w:sz w:val="20"/>
                <w:szCs w:val="20"/>
              </w:rPr>
              <w:t xml:space="preserve">   Reclassif</w:t>
            </w:r>
            <w:r w:rsidR="004F2957" w:rsidRPr="002D2F67">
              <w:rPr>
                <w:rFonts w:ascii="Arial" w:hAnsi="Arial" w:cs="Arial"/>
                <w:color w:val="000000"/>
                <w:sz w:val="20"/>
                <w:szCs w:val="20"/>
              </w:rPr>
              <w:t>ication</w:t>
            </w:r>
          </w:p>
        </w:tc>
        <w:tc>
          <w:tcPr>
            <w:tcW w:w="1368" w:type="dxa"/>
            <w:tcBorders>
              <w:bottom w:val="single" w:sz="4" w:space="0" w:color="auto"/>
            </w:tcBorders>
            <w:shd w:val="clear" w:color="auto" w:fill="auto"/>
            <w:vAlign w:val="bottom"/>
          </w:tcPr>
          <w:p w14:paraId="49B5D8FC" w14:textId="155133E8" w:rsidR="006215C3" w:rsidRPr="002D2F67" w:rsidRDefault="0008621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p>
        </w:tc>
        <w:tc>
          <w:tcPr>
            <w:tcW w:w="1368" w:type="dxa"/>
            <w:tcBorders>
              <w:bottom w:val="single" w:sz="4" w:space="0" w:color="auto"/>
            </w:tcBorders>
            <w:shd w:val="clear" w:color="auto" w:fill="auto"/>
            <w:vAlign w:val="bottom"/>
          </w:tcPr>
          <w:p w14:paraId="60521276" w14:textId="4764EC45" w:rsidR="006215C3" w:rsidRPr="002D2F67" w:rsidRDefault="006215C3"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250</w:t>
            </w:r>
            <w:r w:rsidRPr="002D2F67">
              <w:rPr>
                <w:rFonts w:ascii="Arial" w:hAnsi="Arial" w:cs="Arial"/>
                <w:color w:val="000000"/>
                <w:sz w:val="20"/>
                <w:szCs w:val="20"/>
              </w:rPr>
              <w:t>)</w:t>
            </w:r>
          </w:p>
        </w:tc>
        <w:tc>
          <w:tcPr>
            <w:tcW w:w="1368" w:type="dxa"/>
            <w:tcBorders>
              <w:bottom w:val="single" w:sz="4" w:space="0" w:color="auto"/>
            </w:tcBorders>
            <w:shd w:val="clear" w:color="auto" w:fill="auto"/>
            <w:vAlign w:val="bottom"/>
          </w:tcPr>
          <w:p w14:paraId="479B2DAE" w14:textId="1E87F382" w:rsidR="006215C3" w:rsidRPr="002D2F67" w:rsidRDefault="0008621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p>
        </w:tc>
        <w:tc>
          <w:tcPr>
            <w:tcW w:w="1368" w:type="dxa"/>
            <w:tcBorders>
              <w:bottom w:val="single" w:sz="4" w:space="0" w:color="auto"/>
            </w:tcBorders>
            <w:shd w:val="clear" w:color="auto" w:fill="auto"/>
            <w:vAlign w:val="bottom"/>
          </w:tcPr>
          <w:p w14:paraId="27344CDF" w14:textId="1AF47623" w:rsidR="006215C3" w:rsidRPr="002D2F67" w:rsidRDefault="006215C3"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p>
        </w:tc>
      </w:tr>
      <w:tr w:rsidR="006215C3" w:rsidRPr="002D2F67" w14:paraId="0CCE77A8" w14:textId="77777777" w:rsidTr="002D2F67">
        <w:tc>
          <w:tcPr>
            <w:tcW w:w="3989" w:type="dxa"/>
            <w:shd w:val="clear" w:color="auto" w:fill="auto"/>
            <w:vAlign w:val="bottom"/>
          </w:tcPr>
          <w:p w14:paraId="08CD1ACF" w14:textId="77777777" w:rsidR="006215C3" w:rsidRPr="002D2F67" w:rsidRDefault="006215C3" w:rsidP="002D2F67">
            <w:pPr>
              <w:ind w:left="-86"/>
              <w:rPr>
                <w:rFonts w:ascii="Arial" w:hAnsi="Arial" w:cs="Arial"/>
                <w:b/>
                <w:bCs/>
                <w:color w:val="000000"/>
                <w:sz w:val="20"/>
                <w:szCs w:val="20"/>
              </w:rPr>
            </w:pPr>
          </w:p>
        </w:tc>
        <w:tc>
          <w:tcPr>
            <w:tcW w:w="1368" w:type="dxa"/>
            <w:tcBorders>
              <w:top w:val="single" w:sz="4" w:space="0" w:color="auto"/>
            </w:tcBorders>
            <w:shd w:val="clear" w:color="auto" w:fill="auto"/>
            <w:vAlign w:val="bottom"/>
          </w:tcPr>
          <w:p w14:paraId="3F8A27FA" w14:textId="77777777" w:rsidR="006215C3" w:rsidRPr="002D2F67" w:rsidRDefault="006215C3"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tcBorders>
              <w:top w:val="single" w:sz="4" w:space="0" w:color="auto"/>
            </w:tcBorders>
            <w:shd w:val="clear" w:color="auto" w:fill="auto"/>
            <w:vAlign w:val="bottom"/>
          </w:tcPr>
          <w:p w14:paraId="322C852D" w14:textId="77777777" w:rsidR="006215C3" w:rsidRPr="002D2F67" w:rsidRDefault="006215C3"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tcBorders>
              <w:top w:val="single" w:sz="4" w:space="0" w:color="auto"/>
            </w:tcBorders>
            <w:shd w:val="clear" w:color="auto" w:fill="auto"/>
            <w:vAlign w:val="bottom"/>
          </w:tcPr>
          <w:p w14:paraId="70FDE3A4" w14:textId="77777777" w:rsidR="006215C3" w:rsidRPr="002D2F67" w:rsidRDefault="006215C3"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tcBorders>
              <w:top w:val="single" w:sz="4" w:space="0" w:color="auto"/>
            </w:tcBorders>
            <w:shd w:val="clear" w:color="auto" w:fill="auto"/>
            <w:vAlign w:val="bottom"/>
          </w:tcPr>
          <w:p w14:paraId="5712F1AE" w14:textId="77777777" w:rsidR="006215C3" w:rsidRPr="002D2F67" w:rsidRDefault="006215C3"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6215C3" w:rsidRPr="002D2F67" w14:paraId="11507E93" w14:textId="77777777" w:rsidTr="002D2F67">
        <w:tc>
          <w:tcPr>
            <w:tcW w:w="3989" w:type="dxa"/>
            <w:shd w:val="clear" w:color="auto" w:fill="auto"/>
            <w:vAlign w:val="bottom"/>
          </w:tcPr>
          <w:p w14:paraId="67D11A88" w14:textId="77777777" w:rsidR="006215C3" w:rsidRPr="002D2F67" w:rsidRDefault="006215C3" w:rsidP="002D2F67">
            <w:pPr>
              <w:ind w:left="-86"/>
              <w:rPr>
                <w:rFonts w:ascii="Arial" w:hAnsi="Arial" w:cs="Arial"/>
                <w:color w:val="000000"/>
                <w:sz w:val="20"/>
                <w:szCs w:val="20"/>
              </w:rPr>
            </w:pPr>
            <w:r w:rsidRPr="002D2F67">
              <w:rPr>
                <w:rFonts w:ascii="Arial" w:hAnsi="Arial" w:cs="Arial"/>
                <w:color w:val="000000"/>
                <w:sz w:val="20"/>
                <w:szCs w:val="20"/>
              </w:rPr>
              <w:t>Closing net book value</w:t>
            </w:r>
          </w:p>
        </w:tc>
        <w:tc>
          <w:tcPr>
            <w:tcW w:w="1368" w:type="dxa"/>
            <w:tcBorders>
              <w:bottom w:val="single" w:sz="4" w:space="0" w:color="auto"/>
            </w:tcBorders>
            <w:shd w:val="clear" w:color="auto" w:fill="auto"/>
          </w:tcPr>
          <w:p w14:paraId="5BF3BD94" w14:textId="608312F6" w:rsidR="006215C3"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236</w:t>
            </w:r>
            <w:r w:rsidR="00710C70" w:rsidRPr="002D2F67">
              <w:rPr>
                <w:rFonts w:ascii="Arial" w:hAnsi="Arial" w:cs="Arial"/>
                <w:color w:val="000000"/>
                <w:sz w:val="20"/>
                <w:szCs w:val="20"/>
              </w:rPr>
              <w:t>,</w:t>
            </w:r>
            <w:r w:rsidRPr="00CD5714">
              <w:rPr>
                <w:rFonts w:ascii="Arial" w:hAnsi="Arial" w:cs="Arial"/>
                <w:color w:val="000000"/>
                <w:sz w:val="20"/>
                <w:szCs w:val="20"/>
                <w:lang w:val="en-GB"/>
              </w:rPr>
              <w:t>702</w:t>
            </w:r>
          </w:p>
        </w:tc>
        <w:tc>
          <w:tcPr>
            <w:tcW w:w="1368" w:type="dxa"/>
            <w:tcBorders>
              <w:bottom w:val="single" w:sz="4" w:space="0" w:color="auto"/>
            </w:tcBorders>
            <w:shd w:val="clear" w:color="auto" w:fill="auto"/>
          </w:tcPr>
          <w:p w14:paraId="30BCBF5E" w14:textId="081F08F0" w:rsidR="006215C3"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8</w:t>
            </w:r>
            <w:r w:rsidR="006215C3" w:rsidRPr="002D2F67">
              <w:rPr>
                <w:rFonts w:ascii="Arial" w:hAnsi="Arial" w:cs="Arial"/>
                <w:color w:val="000000"/>
                <w:sz w:val="20"/>
                <w:szCs w:val="20"/>
              </w:rPr>
              <w:t>,</w:t>
            </w:r>
            <w:r w:rsidRPr="00CD5714">
              <w:rPr>
                <w:rFonts w:ascii="Arial" w:hAnsi="Arial" w:cs="Arial"/>
                <w:color w:val="000000"/>
                <w:sz w:val="20"/>
                <w:szCs w:val="20"/>
                <w:lang w:val="en-GB"/>
              </w:rPr>
              <w:t>292</w:t>
            </w:r>
            <w:r w:rsidR="006215C3" w:rsidRPr="002D2F67">
              <w:rPr>
                <w:rFonts w:ascii="Arial" w:hAnsi="Arial" w:cs="Arial"/>
                <w:color w:val="000000"/>
                <w:sz w:val="20"/>
                <w:szCs w:val="20"/>
              </w:rPr>
              <w:t>,</w:t>
            </w:r>
            <w:r w:rsidRPr="00CD5714">
              <w:rPr>
                <w:rFonts w:ascii="Arial" w:hAnsi="Arial" w:cs="Arial"/>
                <w:color w:val="000000"/>
                <w:sz w:val="20"/>
                <w:szCs w:val="20"/>
                <w:lang w:val="en-GB"/>
              </w:rPr>
              <w:t>418</w:t>
            </w:r>
          </w:p>
        </w:tc>
        <w:tc>
          <w:tcPr>
            <w:tcW w:w="1368" w:type="dxa"/>
            <w:tcBorders>
              <w:bottom w:val="single" w:sz="4" w:space="0" w:color="auto"/>
            </w:tcBorders>
            <w:shd w:val="clear" w:color="auto" w:fill="auto"/>
            <w:vAlign w:val="bottom"/>
          </w:tcPr>
          <w:p w14:paraId="54064281" w14:textId="6F1D23A2" w:rsidR="006215C3" w:rsidRPr="002D2F67" w:rsidRDefault="0008621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p>
        </w:tc>
        <w:tc>
          <w:tcPr>
            <w:tcW w:w="1368" w:type="dxa"/>
            <w:tcBorders>
              <w:bottom w:val="single" w:sz="4" w:space="0" w:color="auto"/>
            </w:tcBorders>
            <w:shd w:val="clear" w:color="auto" w:fill="auto"/>
            <w:vAlign w:val="bottom"/>
          </w:tcPr>
          <w:p w14:paraId="0F322209" w14:textId="7760B7C7" w:rsidR="006215C3"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CD5714">
              <w:rPr>
                <w:rFonts w:ascii="Arial" w:hAnsi="Arial" w:cs="Arial"/>
                <w:color w:val="000000"/>
                <w:sz w:val="20"/>
                <w:szCs w:val="20"/>
                <w:lang w:val="en-GB"/>
              </w:rPr>
              <w:t>3</w:t>
            </w:r>
            <w:r w:rsidR="006215C3" w:rsidRPr="002D2F67">
              <w:rPr>
                <w:rFonts w:ascii="Arial" w:hAnsi="Arial" w:cs="Arial"/>
                <w:color w:val="000000"/>
                <w:sz w:val="20"/>
                <w:szCs w:val="20"/>
              </w:rPr>
              <w:t>,</w:t>
            </w:r>
            <w:r w:rsidRPr="00CD5714">
              <w:rPr>
                <w:rFonts w:ascii="Arial" w:hAnsi="Arial" w:cs="Arial"/>
                <w:color w:val="000000"/>
                <w:sz w:val="20"/>
                <w:szCs w:val="20"/>
                <w:lang w:val="en-GB"/>
              </w:rPr>
              <w:t>139</w:t>
            </w:r>
            <w:r w:rsidR="006215C3" w:rsidRPr="002D2F67">
              <w:rPr>
                <w:rFonts w:ascii="Arial" w:hAnsi="Arial" w:cs="Arial"/>
                <w:color w:val="000000"/>
                <w:sz w:val="20"/>
                <w:szCs w:val="20"/>
              </w:rPr>
              <w:t>,</w:t>
            </w:r>
            <w:r w:rsidRPr="00CD5714">
              <w:rPr>
                <w:rFonts w:ascii="Arial" w:hAnsi="Arial" w:cs="Arial"/>
                <w:color w:val="000000"/>
                <w:sz w:val="20"/>
                <w:szCs w:val="20"/>
                <w:lang w:val="en-GB"/>
              </w:rPr>
              <w:t>631</w:t>
            </w:r>
          </w:p>
        </w:tc>
      </w:tr>
    </w:tbl>
    <w:p w14:paraId="1914E268" w14:textId="3C19653E" w:rsidR="00EC74BD" w:rsidRPr="002D2F67" w:rsidRDefault="00EC74BD" w:rsidP="005611FE">
      <w:pPr>
        <w:jc w:val="both"/>
        <w:rPr>
          <w:rFonts w:ascii="Arial" w:hAnsi="Arial" w:cs="Arial"/>
          <w:color w:val="000000"/>
          <w:sz w:val="20"/>
          <w:szCs w:val="20"/>
        </w:rPr>
      </w:pPr>
    </w:p>
    <w:p w14:paraId="5DF59D9A" w14:textId="7CE105A4" w:rsidR="00AB3B61" w:rsidRPr="002D2F67" w:rsidRDefault="00147269" w:rsidP="005611FE">
      <w:pPr>
        <w:jc w:val="both"/>
        <w:rPr>
          <w:rFonts w:ascii="Arial" w:hAnsi="Arial" w:cs="Arial"/>
          <w:color w:val="000000"/>
          <w:spacing w:val="-4"/>
          <w:sz w:val="20"/>
          <w:szCs w:val="20"/>
          <w:lang w:val="en"/>
        </w:rPr>
      </w:pPr>
      <w:r w:rsidRPr="002D2F67">
        <w:rPr>
          <w:rFonts w:ascii="Arial" w:hAnsi="Arial" w:cs="Arial"/>
          <w:color w:val="000000"/>
          <w:sz w:val="20"/>
          <w:szCs w:val="20"/>
        </w:rPr>
        <w:t>During</w:t>
      </w:r>
      <w:r w:rsidR="00A66A9A"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2024</w:t>
      </w:r>
      <w:r w:rsidRPr="002D2F67">
        <w:rPr>
          <w:rFonts w:ascii="Arial" w:hAnsi="Arial" w:cs="Arial"/>
          <w:color w:val="000000"/>
          <w:sz w:val="20"/>
          <w:szCs w:val="20"/>
        </w:rPr>
        <w:t xml:space="preserve">, the Group and the Company entered into </w:t>
      </w:r>
      <w:r w:rsidRPr="002D2F67">
        <w:rPr>
          <w:rFonts w:ascii="Arial" w:hAnsi="Arial" w:cs="Arial"/>
          <w:sz w:val="20"/>
          <w:szCs w:val="20"/>
        </w:rPr>
        <w:t>long-term loan agreements and a syndicated loan agreement</w:t>
      </w:r>
      <w:r w:rsidRPr="002D2F67">
        <w:rPr>
          <w:rFonts w:ascii="Arial" w:hAnsi="Arial" w:cs="Arial"/>
          <w:spacing w:val="-4"/>
          <w:sz w:val="20"/>
          <w:szCs w:val="20"/>
        </w:rPr>
        <w:t xml:space="preserve"> with financial institutions to refinance short-term loans from financial institutions to long-term loans, as disclosed in Note </w:t>
      </w:r>
      <w:r w:rsidR="00CD5714" w:rsidRPr="00CD5714">
        <w:rPr>
          <w:rFonts w:ascii="Arial" w:hAnsi="Arial" w:cs="Arial"/>
          <w:spacing w:val="-4"/>
          <w:sz w:val="20"/>
          <w:szCs w:val="20"/>
          <w:lang w:val="en-GB"/>
        </w:rPr>
        <w:t>29</w:t>
      </w:r>
      <w:r w:rsidRPr="002D2F67">
        <w:rPr>
          <w:rFonts w:ascii="Arial" w:hAnsi="Arial" w:cs="Arial"/>
          <w:spacing w:val="-4"/>
          <w:sz w:val="20"/>
          <w:szCs w:val="20"/>
        </w:rPr>
        <w:t>.</w:t>
      </w:r>
    </w:p>
    <w:p w14:paraId="09C872F6" w14:textId="77777777" w:rsidR="00AB3B61" w:rsidRPr="002D2F67" w:rsidRDefault="00AB3B61" w:rsidP="005611FE">
      <w:pPr>
        <w:jc w:val="both"/>
        <w:rPr>
          <w:rFonts w:ascii="Arial" w:hAnsi="Arial" w:cs="Arial"/>
          <w:color w:val="000000"/>
          <w:spacing w:val="-4"/>
          <w:sz w:val="20"/>
          <w:szCs w:val="20"/>
          <w:lang w:val="en"/>
        </w:rPr>
      </w:pPr>
    </w:p>
    <w:p w14:paraId="12B93A2C" w14:textId="3B04048F" w:rsidR="00E24754" w:rsidRPr="002D2F67" w:rsidRDefault="004F2957" w:rsidP="0E420E34">
      <w:pPr>
        <w:jc w:val="both"/>
        <w:rPr>
          <w:rFonts w:ascii="Arial" w:hAnsi="Arial" w:cs="Arial"/>
          <w:color w:val="000000"/>
          <w:spacing w:val="-4"/>
          <w:sz w:val="20"/>
          <w:szCs w:val="20"/>
        </w:rPr>
      </w:pPr>
      <w:r w:rsidRPr="002D2F67">
        <w:rPr>
          <w:rFonts w:ascii="Arial" w:hAnsi="Arial" w:cs="Arial"/>
          <w:color w:val="000000"/>
          <w:spacing w:val="-4"/>
          <w:sz w:val="20"/>
          <w:szCs w:val="20"/>
        </w:rPr>
        <w:t>Sh</w:t>
      </w:r>
      <w:r w:rsidR="7A33A429" w:rsidRPr="002D2F67">
        <w:rPr>
          <w:rFonts w:ascii="Arial" w:hAnsi="Arial" w:cs="Arial"/>
          <w:color w:val="000000"/>
          <w:spacing w:val="-4"/>
          <w:sz w:val="20"/>
          <w:szCs w:val="20"/>
        </w:rPr>
        <w:t xml:space="preserve">ort-term loans from financial institutions of the Company and subsidiaries </w:t>
      </w:r>
      <w:r w:rsidR="00A469AF" w:rsidRPr="002D2F67">
        <w:rPr>
          <w:rFonts w:ascii="Arial" w:hAnsi="Arial" w:cs="Arial"/>
          <w:color w:val="000000"/>
          <w:spacing w:val="-4"/>
          <w:sz w:val="20"/>
          <w:szCs w:val="20"/>
        </w:rPr>
        <w:t>were</w:t>
      </w:r>
      <w:r w:rsidR="7A33A429" w:rsidRPr="002D2F67">
        <w:rPr>
          <w:rFonts w:ascii="Arial" w:hAnsi="Arial" w:cs="Arial"/>
          <w:color w:val="000000"/>
          <w:spacing w:val="-4"/>
          <w:sz w:val="20"/>
          <w:szCs w:val="20"/>
        </w:rPr>
        <w:t xml:space="preserve"> as follows:</w:t>
      </w:r>
    </w:p>
    <w:p w14:paraId="66F95F8E" w14:textId="77777777" w:rsidR="00E24754" w:rsidRPr="002D2F67" w:rsidRDefault="00E24754" w:rsidP="005611FE">
      <w:pPr>
        <w:jc w:val="both"/>
        <w:rPr>
          <w:rFonts w:ascii="Arial" w:hAnsi="Arial" w:cs="Arial"/>
          <w:color w:val="000000"/>
          <w:spacing w:val="-8"/>
          <w:sz w:val="20"/>
          <w:szCs w:val="20"/>
          <w:lang w:val="en"/>
        </w:rPr>
      </w:pPr>
    </w:p>
    <w:p w14:paraId="07D3C5EC" w14:textId="77777777" w:rsidR="00E24754" w:rsidRPr="002D2F67" w:rsidRDefault="00E24754" w:rsidP="005611FE">
      <w:pPr>
        <w:jc w:val="both"/>
        <w:rPr>
          <w:rFonts w:ascii="Arial" w:hAnsi="Arial" w:cs="Arial"/>
          <w:color w:val="000000"/>
          <w:sz w:val="20"/>
          <w:szCs w:val="20"/>
          <w:u w:val="single"/>
          <w:lang w:val="en"/>
        </w:rPr>
      </w:pPr>
      <w:r w:rsidRPr="002D2F67">
        <w:rPr>
          <w:rFonts w:ascii="Arial" w:hAnsi="Arial" w:cs="Arial"/>
          <w:color w:val="000000"/>
          <w:sz w:val="20"/>
          <w:szCs w:val="20"/>
          <w:u w:val="single"/>
          <w:lang w:val="en"/>
        </w:rPr>
        <w:t>Loans of the Company</w:t>
      </w:r>
    </w:p>
    <w:p w14:paraId="04F21E8B" w14:textId="77777777" w:rsidR="00344809" w:rsidRPr="002D2F67" w:rsidRDefault="00344809" w:rsidP="005611FE">
      <w:pPr>
        <w:jc w:val="both"/>
        <w:rPr>
          <w:rFonts w:ascii="Arial" w:hAnsi="Arial" w:cs="Arial"/>
          <w:color w:val="000000"/>
          <w:sz w:val="20"/>
          <w:szCs w:val="20"/>
          <w:u w:val="single"/>
          <w:lang w:val="en"/>
        </w:rPr>
      </w:pPr>
    </w:p>
    <w:p w14:paraId="0BF69337" w14:textId="4F862636" w:rsidR="006D2BB2" w:rsidRPr="002D2F67" w:rsidRDefault="004927E6" w:rsidP="005611FE">
      <w:pPr>
        <w:jc w:val="both"/>
        <w:rPr>
          <w:rFonts w:ascii="Arial" w:hAnsi="Arial" w:cs="Arial"/>
          <w:color w:val="000000"/>
          <w:sz w:val="20"/>
          <w:szCs w:val="20"/>
          <w:lang w:val="en"/>
        </w:rPr>
      </w:pPr>
      <w:r w:rsidRPr="002D2F67">
        <w:rPr>
          <w:rFonts w:ascii="Arial" w:hAnsi="Arial" w:cs="Arial"/>
          <w:color w:val="000000"/>
          <w:sz w:val="20"/>
          <w:szCs w:val="20"/>
          <w:lang w:val="en"/>
        </w:rPr>
        <w:t xml:space="preserve">As </w:t>
      </w:r>
      <w:proofErr w:type="gramStart"/>
      <w:r w:rsidRPr="002D2F67">
        <w:rPr>
          <w:rFonts w:ascii="Arial" w:hAnsi="Arial" w:cs="Arial"/>
          <w:color w:val="000000"/>
          <w:sz w:val="20"/>
          <w:szCs w:val="20"/>
          <w:lang w:val="en"/>
        </w:rPr>
        <w:t>at</w:t>
      </w:r>
      <w:proofErr w:type="gramEnd"/>
      <w:r w:rsidRPr="002D2F67">
        <w:rPr>
          <w:rFonts w:ascii="Arial" w:hAnsi="Arial" w:cs="Arial"/>
          <w:color w:val="000000"/>
          <w:sz w:val="20"/>
          <w:szCs w:val="20"/>
          <w:lang w:val="en"/>
        </w:rPr>
        <w:t xml:space="preserve"> </w:t>
      </w:r>
      <w:r w:rsidR="00CD5714" w:rsidRPr="00CD5714">
        <w:rPr>
          <w:rFonts w:ascii="Arial" w:hAnsi="Arial" w:cs="Arial"/>
          <w:color w:val="000000"/>
          <w:sz w:val="20"/>
          <w:szCs w:val="20"/>
          <w:lang w:val="en-GB"/>
        </w:rPr>
        <w:t>31</w:t>
      </w:r>
      <w:r w:rsidRPr="002D2F67">
        <w:rPr>
          <w:rFonts w:ascii="Arial" w:hAnsi="Arial" w:cs="Arial"/>
          <w:color w:val="000000"/>
          <w:sz w:val="20"/>
          <w:szCs w:val="20"/>
          <w:lang w:val="en"/>
        </w:rPr>
        <w:t xml:space="preserve"> December </w:t>
      </w:r>
      <w:r w:rsidR="00CD5714" w:rsidRPr="00CD5714">
        <w:rPr>
          <w:rFonts w:ascii="Arial" w:hAnsi="Arial" w:cs="Arial"/>
          <w:color w:val="000000"/>
          <w:sz w:val="20"/>
          <w:szCs w:val="20"/>
          <w:lang w:val="en-GB"/>
        </w:rPr>
        <w:t>2024</w:t>
      </w:r>
      <w:r w:rsidRPr="002D2F67">
        <w:rPr>
          <w:rFonts w:ascii="Arial" w:hAnsi="Arial" w:cs="Arial"/>
          <w:color w:val="000000"/>
          <w:sz w:val="20"/>
          <w:szCs w:val="20"/>
          <w:lang w:val="en"/>
        </w:rPr>
        <w:t>, the Company ha</w:t>
      </w:r>
      <w:r w:rsidR="00A469AF" w:rsidRPr="002D2F67">
        <w:rPr>
          <w:rFonts w:ascii="Arial" w:hAnsi="Arial" w:cs="Arial"/>
          <w:color w:val="000000"/>
          <w:sz w:val="20"/>
          <w:szCs w:val="20"/>
          <w:lang w:val="en"/>
        </w:rPr>
        <w:t>d</w:t>
      </w:r>
      <w:r w:rsidRPr="002D2F67">
        <w:rPr>
          <w:rFonts w:ascii="Arial" w:hAnsi="Arial" w:cs="Arial"/>
          <w:color w:val="000000"/>
          <w:sz w:val="20"/>
          <w:szCs w:val="20"/>
          <w:lang w:val="en"/>
        </w:rPr>
        <w:t xml:space="preserve"> no </w:t>
      </w:r>
      <w:r w:rsidR="006D2BB2" w:rsidRPr="002D2F67">
        <w:rPr>
          <w:rFonts w:ascii="Arial" w:hAnsi="Arial" w:cs="Arial"/>
          <w:color w:val="000000"/>
          <w:sz w:val="20"/>
          <w:szCs w:val="20"/>
          <w:lang w:val="en"/>
        </w:rPr>
        <w:t xml:space="preserve">outstanding </w:t>
      </w:r>
      <w:r w:rsidR="004F2957" w:rsidRPr="002D2F67">
        <w:rPr>
          <w:rFonts w:ascii="Arial" w:hAnsi="Arial" w:cs="Arial"/>
          <w:color w:val="000000"/>
          <w:sz w:val="20"/>
          <w:szCs w:val="20"/>
          <w:lang w:val="en"/>
        </w:rPr>
        <w:t>short-</w:t>
      </w:r>
      <w:r w:rsidR="006D2BB2" w:rsidRPr="002D2F67">
        <w:rPr>
          <w:rFonts w:ascii="Arial" w:hAnsi="Arial" w:cs="Arial"/>
          <w:color w:val="000000"/>
          <w:spacing w:val="-4"/>
          <w:sz w:val="20"/>
          <w:szCs w:val="20"/>
          <w:lang w:val="en"/>
        </w:rPr>
        <w:t xml:space="preserve"> </w:t>
      </w:r>
      <w:r w:rsidR="004F2957" w:rsidRPr="002D2F67">
        <w:rPr>
          <w:rFonts w:ascii="Arial" w:hAnsi="Arial" w:cs="Arial"/>
          <w:color w:val="000000"/>
          <w:sz w:val="20"/>
          <w:szCs w:val="20"/>
          <w:lang w:val="en"/>
        </w:rPr>
        <w:t>term loans from financial institutions</w:t>
      </w:r>
      <w:r w:rsidR="006D2BB2" w:rsidRPr="002D2F67">
        <w:rPr>
          <w:rFonts w:ascii="Arial" w:hAnsi="Arial" w:cs="Arial"/>
          <w:color w:val="000000"/>
          <w:spacing w:val="-4"/>
          <w:sz w:val="20"/>
          <w:szCs w:val="20"/>
          <w:lang w:val="en"/>
        </w:rPr>
        <w:t>.</w:t>
      </w:r>
    </w:p>
    <w:p w14:paraId="27299557" w14:textId="77777777" w:rsidR="004F2957" w:rsidRPr="002D2F67" w:rsidRDefault="004F2957" w:rsidP="005611FE">
      <w:pPr>
        <w:jc w:val="both"/>
        <w:rPr>
          <w:rFonts w:ascii="Arial" w:hAnsi="Arial" w:cs="Arial"/>
          <w:color w:val="000000"/>
          <w:sz w:val="20"/>
          <w:szCs w:val="20"/>
          <w:lang w:val="en"/>
        </w:rPr>
      </w:pPr>
    </w:p>
    <w:tbl>
      <w:tblPr>
        <w:tblW w:w="9498" w:type="dxa"/>
        <w:tblInd w:w="108" w:type="dxa"/>
        <w:tblLayout w:type="fixed"/>
        <w:tblLook w:val="0000" w:firstRow="0" w:lastRow="0" w:firstColumn="0" w:lastColumn="0" w:noHBand="0" w:noVBand="0"/>
      </w:tblPr>
      <w:tblGrid>
        <w:gridCol w:w="1985"/>
        <w:gridCol w:w="2102"/>
        <w:gridCol w:w="5387"/>
        <w:gridCol w:w="24"/>
      </w:tblGrid>
      <w:tr w:rsidR="006215C3" w:rsidRPr="002D2F67" w14:paraId="12E1E1DB" w14:textId="77777777" w:rsidTr="008255E8">
        <w:tc>
          <w:tcPr>
            <w:tcW w:w="9498" w:type="dxa"/>
            <w:gridSpan w:val="4"/>
            <w:tcBorders>
              <w:bottom w:val="single" w:sz="4" w:space="0" w:color="auto"/>
            </w:tcBorders>
            <w:shd w:val="clear" w:color="auto" w:fill="auto"/>
            <w:vAlign w:val="bottom"/>
          </w:tcPr>
          <w:p w14:paraId="75748A13" w14:textId="26AFA9AE" w:rsidR="006215C3" w:rsidRPr="002D2F67" w:rsidRDefault="00CD5714" w:rsidP="005611FE">
            <w:pPr>
              <w:ind w:left="-29" w:right="-57"/>
              <w:jc w:val="right"/>
              <w:rPr>
                <w:rFonts w:ascii="Arial" w:hAnsi="Arial" w:cs="Arial"/>
                <w:b/>
                <w:bCs/>
                <w:color w:val="000000"/>
                <w:sz w:val="20"/>
                <w:szCs w:val="20"/>
              </w:rPr>
            </w:pPr>
            <w:r w:rsidRPr="00CD5714">
              <w:rPr>
                <w:rFonts w:ascii="Arial" w:hAnsi="Arial" w:cs="Arial"/>
                <w:b/>
                <w:bCs/>
                <w:color w:val="000000"/>
                <w:sz w:val="20"/>
                <w:szCs w:val="20"/>
                <w:lang w:val="en-GB"/>
              </w:rPr>
              <w:t>31</w:t>
            </w:r>
            <w:r w:rsidR="006215C3" w:rsidRPr="002D2F67">
              <w:rPr>
                <w:rFonts w:ascii="Arial" w:hAnsi="Arial" w:cs="Arial"/>
                <w:b/>
                <w:bCs/>
                <w:color w:val="000000"/>
                <w:sz w:val="20"/>
                <w:szCs w:val="20"/>
              </w:rPr>
              <w:t xml:space="preserve"> December </w:t>
            </w:r>
            <w:r w:rsidRPr="00CD5714">
              <w:rPr>
                <w:rFonts w:ascii="Arial" w:hAnsi="Arial" w:cs="Arial"/>
                <w:b/>
                <w:bCs/>
                <w:color w:val="000000"/>
                <w:spacing w:val="-4"/>
                <w:sz w:val="20"/>
                <w:szCs w:val="20"/>
                <w:lang w:val="en-GB"/>
              </w:rPr>
              <w:t>2023</w:t>
            </w:r>
          </w:p>
        </w:tc>
      </w:tr>
      <w:tr w:rsidR="006215C3" w:rsidRPr="002D2F67" w14:paraId="3C9D0989" w14:textId="77777777" w:rsidTr="005611FE">
        <w:trPr>
          <w:gridAfter w:val="1"/>
          <w:wAfter w:w="24" w:type="dxa"/>
        </w:trPr>
        <w:tc>
          <w:tcPr>
            <w:tcW w:w="1985" w:type="dxa"/>
            <w:tcBorders>
              <w:top w:val="single" w:sz="4" w:space="0" w:color="auto"/>
            </w:tcBorders>
            <w:shd w:val="clear" w:color="auto" w:fill="auto"/>
            <w:vAlign w:val="bottom"/>
          </w:tcPr>
          <w:p w14:paraId="7EA25836" w14:textId="77777777" w:rsidR="006215C3" w:rsidRPr="002D2F67" w:rsidRDefault="006215C3" w:rsidP="005611FE">
            <w:pPr>
              <w:ind w:left="-29" w:right="-29"/>
              <w:jc w:val="right"/>
              <w:rPr>
                <w:rFonts w:ascii="Arial" w:hAnsi="Arial" w:cs="Arial"/>
                <w:b/>
                <w:bCs/>
                <w:color w:val="000000"/>
                <w:spacing w:val="-4"/>
                <w:sz w:val="20"/>
                <w:szCs w:val="20"/>
              </w:rPr>
            </w:pPr>
          </w:p>
        </w:tc>
        <w:tc>
          <w:tcPr>
            <w:tcW w:w="2102" w:type="dxa"/>
            <w:tcBorders>
              <w:top w:val="single" w:sz="4" w:space="0" w:color="auto"/>
              <w:bottom w:val="single" w:sz="4" w:space="0" w:color="auto"/>
            </w:tcBorders>
            <w:shd w:val="clear" w:color="auto" w:fill="auto"/>
            <w:vAlign w:val="bottom"/>
          </w:tcPr>
          <w:p w14:paraId="351EFEA9" w14:textId="77777777" w:rsidR="006215C3" w:rsidRPr="002D2F67" w:rsidRDefault="006215C3" w:rsidP="005611FE">
            <w:pPr>
              <w:ind w:left="-29" w:right="-29"/>
              <w:jc w:val="center"/>
              <w:rPr>
                <w:rFonts w:ascii="Arial" w:hAnsi="Arial" w:cs="Arial"/>
                <w:b/>
                <w:bCs/>
                <w:color w:val="000000"/>
                <w:spacing w:val="-4"/>
                <w:sz w:val="20"/>
                <w:szCs w:val="20"/>
              </w:rPr>
            </w:pPr>
            <w:r w:rsidRPr="002D2F67">
              <w:rPr>
                <w:rFonts w:ascii="Arial" w:hAnsi="Arial" w:cs="Arial"/>
                <w:b/>
                <w:bCs/>
                <w:color w:val="000000"/>
                <w:spacing w:val="-4"/>
                <w:sz w:val="20"/>
                <w:szCs w:val="20"/>
              </w:rPr>
              <w:t>Balance</w:t>
            </w:r>
          </w:p>
        </w:tc>
        <w:tc>
          <w:tcPr>
            <w:tcW w:w="5387" w:type="dxa"/>
            <w:tcBorders>
              <w:top w:val="single" w:sz="4" w:space="0" w:color="auto"/>
            </w:tcBorders>
            <w:shd w:val="clear" w:color="auto" w:fill="auto"/>
            <w:vAlign w:val="bottom"/>
          </w:tcPr>
          <w:p w14:paraId="011C7ABB" w14:textId="77777777" w:rsidR="006215C3" w:rsidRPr="002D2F67" w:rsidRDefault="006215C3" w:rsidP="005611FE">
            <w:pPr>
              <w:ind w:left="-29" w:right="-29"/>
              <w:jc w:val="right"/>
              <w:rPr>
                <w:rFonts w:ascii="Arial" w:hAnsi="Arial" w:cs="Arial"/>
                <w:b/>
                <w:bCs/>
                <w:color w:val="000000"/>
                <w:spacing w:val="-4"/>
                <w:sz w:val="20"/>
                <w:szCs w:val="20"/>
              </w:rPr>
            </w:pPr>
          </w:p>
        </w:tc>
      </w:tr>
      <w:tr w:rsidR="006215C3" w:rsidRPr="002D2F67" w14:paraId="0824FF57" w14:textId="77777777" w:rsidTr="005611FE">
        <w:trPr>
          <w:gridAfter w:val="1"/>
          <w:wAfter w:w="24" w:type="dxa"/>
        </w:trPr>
        <w:tc>
          <w:tcPr>
            <w:tcW w:w="1985" w:type="dxa"/>
            <w:tcBorders>
              <w:bottom w:val="single" w:sz="4" w:space="0" w:color="auto"/>
            </w:tcBorders>
            <w:shd w:val="clear" w:color="auto" w:fill="auto"/>
          </w:tcPr>
          <w:p w14:paraId="6F83B00C" w14:textId="77777777" w:rsidR="006215C3" w:rsidRPr="002D2F67" w:rsidRDefault="006215C3" w:rsidP="005611FE">
            <w:pPr>
              <w:ind w:left="-101"/>
              <w:jc w:val="center"/>
              <w:rPr>
                <w:rFonts w:ascii="Arial" w:hAnsi="Arial" w:cs="Arial"/>
                <w:b/>
                <w:bCs/>
                <w:color w:val="000000"/>
                <w:spacing w:val="-4"/>
                <w:sz w:val="20"/>
                <w:szCs w:val="20"/>
              </w:rPr>
            </w:pPr>
            <w:r w:rsidRPr="002D2F67">
              <w:rPr>
                <w:rFonts w:ascii="Arial" w:hAnsi="Arial" w:cs="Arial"/>
                <w:b/>
                <w:bCs/>
                <w:color w:val="000000"/>
                <w:sz w:val="20"/>
                <w:szCs w:val="20"/>
              </w:rPr>
              <w:t>Type</w:t>
            </w:r>
          </w:p>
        </w:tc>
        <w:tc>
          <w:tcPr>
            <w:tcW w:w="2102" w:type="dxa"/>
            <w:tcBorders>
              <w:top w:val="single" w:sz="4" w:space="0" w:color="auto"/>
              <w:bottom w:val="single" w:sz="4" w:space="0" w:color="auto"/>
            </w:tcBorders>
            <w:shd w:val="clear" w:color="auto" w:fill="auto"/>
            <w:vAlign w:val="bottom"/>
          </w:tcPr>
          <w:p w14:paraId="2A05BB84" w14:textId="77777777" w:rsidR="006215C3" w:rsidRPr="002D2F67" w:rsidRDefault="006215C3" w:rsidP="005611FE">
            <w:pPr>
              <w:ind w:left="-29" w:right="-108"/>
              <w:jc w:val="center"/>
              <w:rPr>
                <w:rFonts w:ascii="Arial" w:hAnsi="Arial" w:cs="Arial"/>
                <w:b/>
                <w:bCs/>
                <w:color w:val="000000"/>
                <w:sz w:val="20"/>
                <w:szCs w:val="20"/>
              </w:rPr>
            </w:pPr>
            <w:r w:rsidRPr="002D2F67">
              <w:rPr>
                <w:rFonts w:ascii="Arial" w:hAnsi="Arial" w:cs="Arial"/>
                <w:b/>
                <w:bCs/>
                <w:color w:val="000000"/>
                <w:sz w:val="20"/>
                <w:szCs w:val="20"/>
              </w:rPr>
              <w:t>Million Baht</w:t>
            </w:r>
          </w:p>
        </w:tc>
        <w:tc>
          <w:tcPr>
            <w:tcW w:w="5387" w:type="dxa"/>
            <w:tcBorders>
              <w:bottom w:val="single" w:sz="4" w:space="0" w:color="auto"/>
            </w:tcBorders>
            <w:shd w:val="clear" w:color="auto" w:fill="auto"/>
            <w:vAlign w:val="bottom"/>
          </w:tcPr>
          <w:p w14:paraId="38F773DF" w14:textId="77777777" w:rsidR="006215C3" w:rsidRPr="002D2F67" w:rsidRDefault="006215C3" w:rsidP="005611FE">
            <w:pPr>
              <w:ind w:left="-29" w:right="-29"/>
              <w:jc w:val="center"/>
              <w:rPr>
                <w:rFonts w:ascii="Arial" w:hAnsi="Arial" w:cs="Arial"/>
                <w:b/>
                <w:bCs/>
                <w:color w:val="000000"/>
                <w:sz w:val="20"/>
                <w:szCs w:val="20"/>
              </w:rPr>
            </w:pPr>
            <w:r w:rsidRPr="002D2F67">
              <w:rPr>
                <w:rFonts w:ascii="Arial" w:hAnsi="Arial" w:cs="Arial"/>
                <w:b/>
                <w:bCs/>
                <w:color w:val="000000"/>
                <w:sz w:val="20"/>
                <w:szCs w:val="20"/>
              </w:rPr>
              <w:t>Interest rate</w:t>
            </w:r>
          </w:p>
        </w:tc>
      </w:tr>
      <w:tr w:rsidR="006215C3" w:rsidRPr="002D2F67" w14:paraId="33AB330E" w14:textId="77777777" w:rsidTr="005611FE">
        <w:trPr>
          <w:gridAfter w:val="1"/>
          <w:wAfter w:w="24" w:type="dxa"/>
        </w:trPr>
        <w:tc>
          <w:tcPr>
            <w:tcW w:w="1985" w:type="dxa"/>
            <w:tcBorders>
              <w:top w:val="single" w:sz="4" w:space="0" w:color="auto"/>
            </w:tcBorders>
            <w:shd w:val="clear" w:color="auto" w:fill="auto"/>
            <w:vAlign w:val="bottom"/>
          </w:tcPr>
          <w:p w14:paraId="0E647178" w14:textId="77777777" w:rsidR="006215C3" w:rsidRPr="002D2F67" w:rsidRDefault="006215C3" w:rsidP="005611FE">
            <w:pPr>
              <w:ind w:left="166"/>
              <w:jc w:val="center"/>
              <w:rPr>
                <w:rFonts w:ascii="Arial" w:hAnsi="Arial" w:cs="Arial"/>
                <w:b/>
                <w:bCs/>
                <w:color w:val="000000"/>
                <w:spacing w:val="-4"/>
                <w:sz w:val="20"/>
                <w:szCs w:val="20"/>
              </w:rPr>
            </w:pPr>
          </w:p>
        </w:tc>
        <w:tc>
          <w:tcPr>
            <w:tcW w:w="2102" w:type="dxa"/>
            <w:tcBorders>
              <w:top w:val="single" w:sz="4" w:space="0" w:color="auto"/>
            </w:tcBorders>
            <w:shd w:val="clear" w:color="auto" w:fill="auto"/>
            <w:vAlign w:val="bottom"/>
          </w:tcPr>
          <w:p w14:paraId="3E61B94C" w14:textId="77777777" w:rsidR="006215C3" w:rsidRPr="002D2F67" w:rsidRDefault="006215C3" w:rsidP="005611FE">
            <w:pPr>
              <w:ind w:left="-29" w:right="-108"/>
              <w:jc w:val="center"/>
              <w:rPr>
                <w:rFonts w:ascii="Arial" w:hAnsi="Arial" w:cs="Arial"/>
                <w:b/>
                <w:bCs/>
                <w:color w:val="000000"/>
                <w:sz w:val="20"/>
                <w:szCs w:val="20"/>
              </w:rPr>
            </w:pPr>
          </w:p>
        </w:tc>
        <w:tc>
          <w:tcPr>
            <w:tcW w:w="5387" w:type="dxa"/>
            <w:tcBorders>
              <w:top w:val="single" w:sz="4" w:space="0" w:color="auto"/>
            </w:tcBorders>
            <w:shd w:val="clear" w:color="auto" w:fill="auto"/>
            <w:vAlign w:val="bottom"/>
          </w:tcPr>
          <w:p w14:paraId="460E74FF" w14:textId="77777777" w:rsidR="006215C3" w:rsidRPr="002D2F67" w:rsidRDefault="006215C3" w:rsidP="005611FE">
            <w:pPr>
              <w:ind w:left="-29" w:right="-29"/>
              <w:jc w:val="center"/>
              <w:rPr>
                <w:rFonts w:ascii="Arial" w:hAnsi="Arial" w:cs="Arial"/>
                <w:b/>
                <w:bCs/>
                <w:color w:val="000000"/>
                <w:sz w:val="20"/>
                <w:szCs w:val="20"/>
              </w:rPr>
            </w:pPr>
          </w:p>
        </w:tc>
      </w:tr>
      <w:tr w:rsidR="006215C3" w:rsidRPr="002D2F67" w14:paraId="6F874049" w14:textId="77777777" w:rsidTr="005611FE">
        <w:trPr>
          <w:gridAfter w:val="1"/>
          <w:wAfter w:w="24" w:type="dxa"/>
        </w:trPr>
        <w:tc>
          <w:tcPr>
            <w:tcW w:w="1985" w:type="dxa"/>
            <w:shd w:val="clear" w:color="auto" w:fill="auto"/>
          </w:tcPr>
          <w:p w14:paraId="49D26073" w14:textId="77777777" w:rsidR="006215C3" w:rsidRPr="002D2F67" w:rsidRDefault="006215C3" w:rsidP="005611FE">
            <w:pPr>
              <w:ind w:left="-108"/>
              <w:rPr>
                <w:rFonts w:ascii="Arial" w:hAnsi="Arial" w:cs="Arial"/>
                <w:color w:val="000000"/>
                <w:sz w:val="20"/>
                <w:szCs w:val="20"/>
              </w:rPr>
            </w:pPr>
            <w:r w:rsidRPr="002D2F67">
              <w:rPr>
                <w:rFonts w:ascii="Arial" w:hAnsi="Arial" w:cs="Arial"/>
                <w:color w:val="000000"/>
                <w:sz w:val="20"/>
                <w:szCs w:val="20"/>
              </w:rPr>
              <w:t>Promissory notes</w:t>
            </w:r>
          </w:p>
        </w:tc>
        <w:tc>
          <w:tcPr>
            <w:tcW w:w="2102" w:type="dxa"/>
            <w:shd w:val="clear" w:color="auto" w:fill="auto"/>
          </w:tcPr>
          <w:p w14:paraId="26CAF6BE" w14:textId="0ADBB370" w:rsidR="006215C3" w:rsidRPr="002D2F67" w:rsidRDefault="00CD5714" w:rsidP="005611FE">
            <w:pPr>
              <w:ind w:left="-43" w:right="-72"/>
              <w:jc w:val="right"/>
              <w:rPr>
                <w:rFonts w:ascii="Arial" w:hAnsi="Arial" w:cs="Arial"/>
                <w:color w:val="000000"/>
                <w:sz w:val="20"/>
                <w:szCs w:val="20"/>
              </w:rPr>
            </w:pPr>
            <w:r w:rsidRPr="00CD5714">
              <w:rPr>
                <w:rFonts w:ascii="Arial" w:hAnsi="Arial" w:cs="Arial"/>
                <w:color w:val="000000"/>
                <w:sz w:val="20"/>
                <w:szCs w:val="20"/>
                <w:lang w:val="en-GB"/>
              </w:rPr>
              <w:t>2</w:t>
            </w:r>
            <w:r w:rsidR="006215C3" w:rsidRPr="002D2F67">
              <w:rPr>
                <w:rFonts w:ascii="Arial" w:hAnsi="Arial" w:cs="Arial"/>
                <w:color w:val="000000"/>
                <w:sz w:val="20"/>
                <w:szCs w:val="20"/>
              </w:rPr>
              <w:t>,</w:t>
            </w:r>
            <w:r w:rsidRPr="00CD5714">
              <w:rPr>
                <w:rFonts w:ascii="Arial" w:hAnsi="Arial" w:cs="Arial"/>
                <w:color w:val="000000"/>
                <w:sz w:val="20"/>
                <w:szCs w:val="20"/>
                <w:lang w:val="en-GB"/>
              </w:rPr>
              <w:t>050</w:t>
            </w:r>
          </w:p>
        </w:tc>
        <w:tc>
          <w:tcPr>
            <w:tcW w:w="5387" w:type="dxa"/>
            <w:shd w:val="clear" w:color="auto" w:fill="auto"/>
          </w:tcPr>
          <w:p w14:paraId="53689E21" w14:textId="19C10BFD" w:rsidR="006215C3" w:rsidRPr="002D2F67" w:rsidRDefault="006215C3" w:rsidP="005611FE">
            <w:pPr>
              <w:ind w:left="-62"/>
              <w:jc w:val="center"/>
              <w:rPr>
                <w:rFonts w:ascii="Arial" w:hAnsi="Arial" w:cs="Arial"/>
                <w:color w:val="000000"/>
                <w:sz w:val="20"/>
                <w:szCs w:val="20"/>
              </w:rPr>
            </w:pPr>
            <w:r w:rsidRPr="002D2F67">
              <w:rPr>
                <w:rFonts w:ascii="Arial" w:hAnsi="Arial" w:cs="Arial"/>
                <w:color w:val="000000"/>
                <w:sz w:val="20"/>
                <w:szCs w:val="20"/>
              </w:rPr>
              <w:t xml:space="preserve">Fixed interest rate </w:t>
            </w:r>
            <w:r w:rsidR="00086212" w:rsidRPr="002D2F67">
              <w:rPr>
                <w:rFonts w:ascii="Arial" w:hAnsi="Arial" w:cs="Arial"/>
                <w:color w:val="000000"/>
                <w:sz w:val="20"/>
                <w:szCs w:val="20"/>
              </w:rPr>
              <w:t>at</w:t>
            </w:r>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2</w:t>
            </w:r>
            <w:r w:rsidRPr="002D2F67">
              <w:rPr>
                <w:rFonts w:ascii="Arial" w:hAnsi="Arial" w:cs="Arial"/>
                <w:color w:val="000000"/>
                <w:sz w:val="20"/>
                <w:szCs w:val="20"/>
              </w:rPr>
              <w:t>.</w:t>
            </w:r>
            <w:r w:rsidR="00CD5714" w:rsidRPr="00CD5714">
              <w:rPr>
                <w:rFonts w:ascii="Arial" w:hAnsi="Arial" w:cs="Arial"/>
                <w:color w:val="000000"/>
                <w:sz w:val="20"/>
                <w:szCs w:val="20"/>
                <w:lang w:val="en-GB"/>
              </w:rPr>
              <w:t>25</w:t>
            </w:r>
            <w:r w:rsidRPr="002D2F67">
              <w:rPr>
                <w:rFonts w:ascii="Arial" w:hAnsi="Arial" w:cs="Arial"/>
                <w:color w:val="000000"/>
                <w:sz w:val="20"/>
                <w:szCs w:val="20"/>
              </w:rPr>
              <w:t>% per annum</w:t>
            </w:r>
          </w:p>
        </w:tc>
      </w:tr>
      <w:tr w:rsidR="006215C3" w:rsidRPr="002D2F67" w14:paraId="04C910E3" w14:textId="77777777" w:rsidTr="005611FE">
        <w:trPr>
          <w:gridAfter w:val="1"/>
          <w:wAfter w:w="24" w:type="dxa"/>
        </w:trPr>
        <w:tc>
          <w:tcPr>
            <w:tcW w:w="1985" w:type="dxa"/>
            <w:shd w:val="clear" w:color="auto" w:fill="auto"/>
          </w:tcPr>
          <w:p w14:paraId="32BA2ABB" w14:textId="77777777" w:rsidR="006215C3" w:rsidRPr="002D2F67" w:rsidRDefault="006215C3" w:rsidP="005611FE">
            <w:pPr>
              <w:ind w:left="-108"/>
              <w:rPr>
                <w:rFonts w:ascii="Arial" w:hAnsi="Arial" w:cs="Arial"/>
                <w:color w:val="000000"/>
                <w:sz w:val="20"/>
                <w:szCs w:val="20"/>
              </w:rPr>
            </w:pPr>
            <w:r w:rsidRPr="002D2F67">
              <w:rPr>
                <w:rFonts w:ascii="Arial" w:hAnsi="Arial" w:cs="Arial"/>
                <w:color w:val="000000"/>
                <w:spacing w:val="-2"/>
                <w:sz w:val="20"/>
                <w:szCs w:val="20"/>
              </w:rPr>
              <w:t>Bill of exchange, net</w:t>
            </w:r>
          </w:p>
        </w:tc>
        <w:tc>
          <w:tcPr>
            <w:tcW w:w="2102" w:type="dxa"/>
            <w:shd w:val="clear" w:color="auto" w:fill="auto"/>
          </w:tcPr>
          <w:p w14:paraId="2B06054D" w14:textId="31BC3C54" w:rsidR="006215C3" w:rsidRPr="002D2F67" w:rsidRDefault="00CD5714" w:rsidP="005611FE">
            <w:pPr>
              <w:ind w:left="-43" w:right="-72"/>
              <w:jc w:val="right"/>
              <w:rPr>
                <w:rFonts w:ascii="Arial" w:eastAsia="Arial Unicode MS" w:hAnsi="Arial" w:cs="Arial"/>
                <w:color w:val="000000"/>
                <w:sz w:val="20"/>
                <w:szCs w:val="20"/>
              </w:rPr>
            </w:pPr>
            <w:r w:rsidRPr="00CD5714">
              <w:rPr>
                <w:rFonts w:ascii="Arial" w:eastAsia="Arial Unicode MS" w:hAnsi="Arial" w:cs="Arial"/>
                <w:color w:val="000000"/>
                <w:sz w:val="20"/>
                <w:szCs w:val="20"/>
                <w:lang w:val="en-GB"/>
              </w:rPr>
              <w:t>747</w:t>
            </w:r>
          </w:p>
        </w:tc>
        <w:tc>
          <w:tcPr>
            <w:tcW w:w="5387" w:type="dxa"/>
            <w:shd w:val="clear" w:color="auto" w:fill="auto"/>
          </w:tcPr>
          <w:p w14:paraId="21062BBF" w14:textId="0A99AC30" w:rsidR="006215C3" w:rsidRPr="002D2F67" w:rsidRDefault="006215C3" w:rsidP="005611FE">
            <w:pPr>
              <w:ind w:left="-62"/>
              <w:jc w:val="center"/>
              <w:rPr>
                <w:rFonts w:ascii="Arial" w:hAnsi="Arial" w:cs="Arial"/>
                <w:color w:val="000000"/>
                <w:sz w:val="20"/>
                <w:szCs w:val="20"/>
              </w:rPr>
            </w:pPr>
            <w:r w:rsidRPr="002D2F67">
              <w:rPr>
                <w:rFonts w:ascii="Arial" w:hAnsi="Arial" w:cs="Arial"/>
                <w:color w:val="000000"/>
                <w:sz w:val="20"/>
                <w:szCs w:val="20"/>
              </w:rPr>
              <w:t xml:space="preserve">Fixed interest rate </w:t>
            </w:r>
            <w:r w:rsidR="00086212" w:rsidRPr="002D2F67">
              <w:rPr>
                <w:rFonts w:ascii="Arial" w:hAnsi="Arial" w:cs="Arial"/>
                <w:color w:val="000000"/>
                <w:sz w:val="20"/>
                <w:szCs w:val="20"/>
              </w:rPr>
              <w:t>between</w:t>
            </w:r>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1</w:t>
            </w:r>
            <w:r w:rsidR="00086212" w:rsidRPr="002D2F67">
              <w:rPr>
                <w:rFonts w:ascii="Arial" w:hAnsi="Arial" w:cs="Arial"/>
                <w:color w:val="000000"/>
                <w:sz w:val="20"/>
                <w:szCs w:val="20"/>
              </w:rPr>
              <w:t>.</w:t>
            </w:r>
            <w:r w:rsidR="00CD5714" w:rsidRPr="00CD5714">
              <w:rPr>
                <w:rFonts w:ascii="Arial" w:hAnsi="Arial" w:cs="Arial"/>
                <w:color w:val="000000"/>
                <w:sz w:val="20"/>
                <w:szCs w:val="20"/>
                <w:lang w:val="en-GB"/>
              </w:rPr>
              <w:t>40</w:t>
            </w:r>
            <w:r w:rsidRPr="002D2F67">
              <w:rPr>
                <w:rFonts w:ascii="Arial" w:hAnsi="Arial" w:cs="Arial"/>
                <w:color w:val="000000"/>
                <w:sz w:val="20"/>
                <w:szCs w:val="20"/>
              </w:rPr>
              <w:t>%</w:t>
            </w:r>
            <w:r w:rsidR="00086212" w:rsidRPr="002D2F67">
              <w:rPr>
                <w:rFonts w:ascii="Arial" w:hAnsi="Arial" w:cs="Arial"/>
                <w:color w:val="000000"/>
                <w:sz w:val="20"/>
                <w:szCs w:val="20"/>
              </w:rPr>
              <w:t xml:space="preserve"> and </w:t>
            </w:r>
            <w:r w:rsidR="00CD5714" w:rsidRPr="00CD5714">
              <w:rPr>
                <w:rFonts w:ascii="Arial" w:hAnsi="Arial" w:cs="Arial"/>
                <w:color w:val="000000"/>
                <w:sz w:val="20"/>
                <w:szCs w:val="20"/>
                <w:lang w:val="en-GB"/>
              </w:rPr>
              <w:t>1</w:t>
            </w:r>
            <w:r w:rsidR="00086212" w:rsidRPr="002D2F67">
              <w:rPr>
                <w:rFonts w:ascii="Arial" w:hAnsi="Arial" w:cs="Arial"/>
                <w:color w:val="000000"/>
                <w:sz w:val="20"/>
                <w:szCs w:val="20"/>
              </w:rPr>
              <w:t>.</w:t>
            </w:r>
            <w:r w:rsidR="00CD5714" w:rsidRPr="00CD5714">
              <w:rPr>
                <w:rFonts w:ascii="Arial" w:hAnsi="Arial" w:cs="Arial"/>
                <w:color w:val="000000"/>
                <w:sz w:val="20"/>
                <w:szCs w:val="20"/>
                <w:lang w:val="en-GB"/>
              </w:rPr>
              <w:t>80</w:t>
            </w:r>
            <w:r w:rsidRPr="002D2F67">
              <w:rPr>
                <w:rFonts w:ascii="Arial" w:hAnsi="Arial" w:cs="Arial"/>
                <w:color w:val="000000"/>
                <w:sz w:val="20"/>
                <w:szCs w:val="20"/>
              </w:rPr>
              <w:t>% per annum</w:t>
            </w:r>
          </w:p>
        </w:tc>
      </w:tr>
      <w:tr w:rsidR="006215C3" w:rsidRPr="002D2F67" w14:paraId="7BEDF9E2" w14:textId="77777777" w:rsidTr="005611FE">
        <w:trPr>
          <w:gridAfter w:val="1"/>
          <w:wAfter w:w="24" w:type="dxa"/>
        </w:trPr>
        <w:tc>
          <w:tcPr>
            <w:tcW w:w="1985" w:type="dxa"/>
            <w:shd w:val="clear" w:color="auto" w:fill="auto"/>
          </w:tcPr>
          <w:p w14:paraId="3099876B" w14:textId="77777777" w:rsidR="006215C3" w:rsidRPr="002D2F67" w:rsidRDefault="006215C3" w:rsidP="005611FE">
            <w:pPr>
              <w:ind w:left="-108"/>
              <w:rPr>
                <w:rFonts w:ascii="Arial" w:hAnsi="Arial" w:cs="Arial"/>
                <w:color w:val="000000"/>
                <w:sz w:val="20"/>
                <w:szCs w:val="20"/>
              </w:rPr>
            </w:pPr>
            <w:r w:rsidRPr="002D2F67">
              <w:rPr>
                <w:rFonts w:ascii="Arial" w:hAnsi="Arial" w:cs="Arial"/>
                <w:color w:val="000000"/>
                <w:sz w:val="20"/>
                <w:szCs w:val="20"/>
              </w:rPr>
              <w:t>Trust receipts</w:t>
            </w:r>
          </w:p>
        </w:tc>
        <w:tc>
          <w:tcPr>
            <w:tcW w:w="2102" w:type="dxa"/>
            <w:tcBorders>
              <w:bottom w:val="single" w:sz="4" w:space="0" w:color="000000"/>
            </w:tcBorders>
            <w:shd w:val="clear" w:color="auto" w:fill="auto"/>
          </w:tcPr>
          <w:p w14:paraId="0CECDB22" w14:textId="1C14AE99" w:rsidR="006215C3" w:rsidRPr="002D2F67" w:rsidRDefault="00CD5714" w:rsidP="005611FE">
            <w:pPr>
              <w:ind w:left="-29" w:right="-72"/>
              <w:jc w:val="right"/>
              <w:rPr>
                <w:rFonts w:ascii="Arial" w:hAnsi="Arial" w:cs="Arial"/>
                <w:color w:val="000000"/>
                <w:sz w:val="20"/>
                <w:szCs w:val="20"/>
              </w:rPr>
            </w:pPr>
            <w:r w:rsidRPr="00CD5714">
              <w:rPr>
                <w:rFonts w:ascii="Arial" w:hAnsi="Arial" w:cs="Arial"/>
                <w:color w:val="000000"/>
                <w:sz w:val="20"/>
                <w:szCs w:val="20"/>
                <w:lang w:val="en-GB"/>
              </w:rPr>
              <w:t>342</w:t>
            </w:r>
          </w:p>
        </w:tc>
        <w:tc>
          <w:tcPr>
            <w:tcW w:w="5387" w:type="dxa"/>
            <w:shd w:val="clear" w:color="auto" w:fill="auto"/>
          </w:tcPr>
          <w:p w14:paraId="759F50DC" w14:textId="26F73746" w:rsidR="006215C3" w:rsidRPr="002D2F67" w:rsidRDefault="006215C3" w:rsidP="005611FE">
            <w:pPr>
              <w:ind w:left="-62" w:right="-29"/>
              <w:jc w:val="center"/>
              <w:rPr>
                <w:rFonts w:ascii="Arial" w:hAnsi="Arial" w:cs="Arial"/>
                <w:color w:val="000000"/>
                <w:sz w:val="20"/>
                <w:szCs w:val="20"/>
              </w:rPr>
            </w:pPr>
            <w:r w:rsidRPr="002D2F67">
              <w:rPr>
                <w:rFonts w:ascii="Arial" w:hAnsi="Arial" w:cs="Arial"/>
                <w:color w:val="000000"/>
                <w:sz w:val="20"/>
                <w:szCs w:val="20"/>
              </w:rPr>
              <w:t xml:space="preserve">Fixed interest rate at </w:t>
            </w:r>
            <w:r w:rsidR="00CD5714" w:rsidRPr="00CD5714">
              <w:rPr>
                <w:rFonts w:ascii="Arial" w:hAnsi="Arial" w:cs="Arial"/>
                <w:color w:val="000000"/>
                <w:sz w:val="20"/>
                <w:szCs w:val="20"/>
                <w:lang w:val="en-GB"/>
              </w:rPr>
              <w:t>2</w:t>
            </w:r>
            <w:r w:rsidR="00086212" w:rsidRPr="002D2F67">
              <w:rPr>
                <w:rFonts w:ascii="Arial" w:hAnsi="Arial" w:cs="Arial"/>
                <w:color w:val="000000"/>
                <w:sz w:val="20"/>
                <w:szCs w:val="20"/>
              </w:rPr>
              <w:t>.</w:t>
            </w:r>
            <w:r w:rsidR="00CD5714" w:rsidRPr="00CD5714">
              <w:rPr>
                <w:rFonts w:ascii="Arial" w:hAnsi="Arial" w:cs="Arial"/>
                <w:color w:val="000000"/>
                <w:sz w:val="20"/>
                <w:szCs w:val="20"/>
                <w:lang w:val="en-GB"/>
              </w:rPr>
              <w:t>23</w:t>
            </w:r>
            <w:r w:rsidRPr="002D2F67">
              <w:rPr>
                <w:rFonts w:ascii="Arial" w:hAnsi="Arial" w:cs="Arial"/>
                <w:color w:val="000000"/>
                <w:sz w:val="20"/>
                <w:szCs w:val="20"/>
              </w:rPr>
              <w:t>% per annum</w:t>
            </w:r>
          </w:p>
        </w:tc>
      </w:tr>
      <w:tr w:rsidR="006215C3" w:rsidRPr="002D2F67" w14:paraId="2D2392AE" w14:textId="77777777" w:rsidTr="005611FE">
        <w:trPr>
          <w:gridAfter w:val="1"/>
          <w:wAfter w:w="24" w:type="dxa"/>
        </w:trPr>
        <w:tc>
          <w:tcPr>
            <w:tcW w:w="1985" w:type="dxa"/>
            <w:shd w:val="clear" w:color="auto" w:fill="auto"/>
          </w:tcPr>
          <w:p w14:paraId="73985DF1" w14:textId="77777777" w:rsidR="006215C3" w:rsidRPr="002D2F67" w:rsidRDefault="006215C3" w:rsidP="005611FE">
            <w:pPr>
              <w:ind w:left="-108"/>
              <w:rPr>
                <w:rFonts w:ascii="Arial" w:hAnsi="Arial" w:cs="Arial"/>
                <w:color w:val="000000"/>
                <w:sz w:val="20"/>
                <w:szCs w:val="20"/>
              </w:rPr>
            </w:pPr>
          </w:p>
        </w:tc>
        <w:tc>
          <w:tcPr>
            <w:tcW w:w="2102" w:type="dxa"/>
            <w:tcBorders>
              <w:top w:val="single" w:sz="4" w:space="0" w:color="000000"/>
            </w:tcBorders>
            <w:shd w:val="clear" w:color="auto" w:fill="auto"/>
          </w:tcPr>
          <w:p w14:paraId="3758D6B8" w14:textId="77777777" w:rsidR="006215C3" w:rsidRPr="002D2F67" w:rsidRDefault="006215C3" w:rsidP="005611FE">
            <w:pPr>
              <w:ind w:left="-29" w:right="-72"/>
              <w:jc w:val="right"/>
              <w:rPr>
                <w:rFonts w:ascii="Arial" w:hAnsi="Arial" w:cs="Arial"/>
                <w:color w:val="000000"/>
                <w:sz w:val="20"/>
                <w:szCs w:val="20"/>
              </w:rPr>
            </w:pPr>
          </w:p>
        </w:tc>
        <w:tc>
          <w:tcPr>
            <w:tcW w:w="5387" w:type="dxa"/>
            <w:shd w:val="clear" w:color="auto" w:fill="auto"/>
          </w:tcPr>
          <w:p w14:paraId="66322789" w14:textId="77777777" w:rsidR="006215C3" w:rsidRPr="002D2F67" w:rsidRDefault="006215C3" w:rsidP="005611FE">
            <w:pPr>
              <w:ind w:left="-29" w:right="-29"/>
              <w:jc w:val="center"/>
              <w:rPr>
                <w:rFonts w:ascii="Arial" w:hAnsi="Arial" w:cs="Arial"/>
                <w:color w:val="000000"/>
                <w:sz w:val="20"/>
                <w:szCs w:val="20"/>
              </w:rPr>
            </w:pPr>
          </w:p>
        </w:tc>
      </w:tr>
      <w:tr w:rsidR="006215C3" w:rsidRPr="002D2F67" w14:paraId="625102F2" w14:textId="77777777" w:rsidTr="005611FE">
        <w:trPr>
          <w:gridAfter w:val="1"/>
          <w:wAfter w:w="24" w:type="dxa"/>
        </w:trPr>
        <w:tc>
          <w:tcPr>
            <w:tcW w:w="1985" w:type="dxa"/>
            <w:shd w:val="clear" w:color="auto" w:fill="auto"/>
          </w:tcPr>
          <w:p w14:paraId="48BEE3DE" w14:textId="77777777" w:rsidR="006215C3" w:rsidRPr="002D2F67" w:rsidRDefault="006215C3" w:rsidP="005611FE">
            <w:pPr>
              <w:ind w:left="-108"/>
              <w:rPr>
                <w:rFonts w:ascii="Arial" w:hAnsi="Arial" w:cs="Arial"/>
                <w:color w:val="000000"/>
                <w:sz w:val="20"/>
                <w:szCs w:val="20"/>
              </w:rPr>
            </w:pPr>
            <w:r w:rsidRPr="002D2F67">
              <w:rPr>
                <w:rFonts w:ascii="Arial" w:hAnsi="Arial" w:cs="Arial"/>
                <w:color w:val="000000"/>
                <w:sz w:val="20"/>
                <w:szCs w:val="20"/>
              </w:rPr>
              <w:t>Total</w:t>
            </w:r>
          </w:p>
        </w:tc>
        <w:tc>
          <w:tcPr>
            <w:tcW w:w="2102" w:type="dxa"/>
            <w:tcBorders>
              <w:bottom w:val="single" w:sz="4" w:space="0" w:color="auto"/>
            </w:tcBorders>
            <w:shd w:val="clear" w:color="auto" w:fill="auto"/>
            <w:vAlign w:val="bottom"/>
          </w:tcPr>
          <w:p w14:paraId="5E38A080" w14:textId="74997779" w:rsidR="006215C3" w:rsidRPr="002D2F67" w:rsidRDefault="00CD5714" w:rsidP="005611FE">
            <w:pPr>
              <w:ind w:left="-43" w:right="-72"/>
              <w:jc w:val="right"/>
              <w:rPr>
                <w:rFonts w:ascii="Arial" w:hAnsi="Arial" w:cs="Arial"/>
                <w:color w:val="000000"/>
                <w:sz w:val="20"/>
                <w:szCs w:val="20"/>
              </w:rPr>
            </w:pPr>
            <w:r w:rsidRPr="00CD5714">
              <w:rPr>
                <w:rFonts w:ascii="Arial" w:hAnsi="Arial" w:cs="Arial"/>
                <w:color w:val="000000"/>
                <w:sz w:val="20"/>
                <w:szCs w:val="20"/>
                <w:lang w:val="en-GB"/>
              </w:rPr>
              <w:t>3</w:t>
            </w:r>
            <w:r w:rsidR="006215C3" w:rsidRPr="002D2F67">
              <w:rPr>
                <w:rFonts w:ascii="Arial" w:hAnsi="Arial" w:cs="Arial"/>
                <w:color w:val="000000"/>
                <w:sz w:val="20"/>
                <w:szCs w:val="20"/>
              </w:rPr>
              <w:t>,</w:t>
            </w:r>
            <w:r w:rsidRPr="00CD5714">
              <w:rPr>
                <w:rFonts w:ascii="Arial" w:hAnsi="Arial" w:cs="Arial"/>
                <w:color w:val="000000"/>
                <w:sz w:val="20"/>
                <w:szCs w:val="20"/>
                <w:lang w:val="en-GB"/>
              </w:rPr>
              <w:t>139</w:t>
            </w:r>
          </w:p>
        </w:tc>
        <w:tc>
          <w:tcPr>
            <w:tcW w:w="5387" w:type="dxa"/>
            <w:shd w:val="clear" w:color="auto" w:fill="auto"/>
          </w:tcPr>
          <w:p w14:paraId="3D723B12" w14:textId="77777777" w:rsidR="006215C3" w:rsidRPr="002D2F67" w:rsidRDefault="006215C3" w:rsidP="005611FE">
            <w:pPr>
              <w:ind w:left="-29" w:right="-29"/>
              <w:jc w:val="center"/>
              <w:rPr>
                <w:rFonts w:ascii="Arial" w:hAnsi="Arial" w:cs="Arial"/>
                <w:color w:val="000000"/>
                <w:sz w:val="20"/>
                <w:szCs w:val="20"/>
              </w:rPr>
            </w:pPr>
          </w:p>
        </w:tc>
      </w:tr>
    </w:tbl>
    <w:p w14:paraId="093300C7" w14:textId="77777777" w:rsidR="00F46BF3" w:rsidRPr="002D2F67" w:rsidRDefault="004F4DED" w:rsidP="005611FE">
      <w:pPr>
        <w:jc w:val="both"/>
        <w:rPr>
          <w:rFonts w:ascii="Arial" w:hAnsi="Arial" w:cs="Arial"/>
          <w:color w:val="000000"/>
          <w:sz w:val="20"/>
          <w:szCs w:val="20"/>
          <w:u w:val="single"/>
          <w:lang w:val="en"/>
        </w:rPr>
      </w:pPr>
      <w:r w:rsidRPr="002D2F67">
        <w:rPr>
          <w:rFonts w:ascii="Arial" w:hAnsi="Arial" w:cs="Arial"/>
          <w:color w:val="000000"/>
          <w:sz w:val="20"/>
          <w:szCs w:val="20"/>
        </w:rPr>
        <w:br w:type="page"/>
      </w:r>
    </w:p>
    <w:p w14:paraId="289987B6" w14:textId="24C310E1" w:rsidR="00E24754" w:rsidRPr="002D2F67" w:rsidRDefault="00E24754" w:rsidP="005611FE">
      <w:pPr>
        <w:jc w:val="both"/>
        <w:rPr>
          <w:rFonts w:ascii="Arial" w:hAnsi="Arial" w:cs="Arial"/>
          <w:color w:val="000000"/>
          <w:sz w:val="20"/>
          <w:szCs w:val="20"/>
          <w:u w:val="single"/>
          <w:lang w:val="en"/>
        </w:rPr>
      </w:pPr>
      <w:r w:rsidRPr="002D2F67">
        <w:rPr>
          <w:rFonts w:ascii="Arial" w:hAnsi="Arial" w:cs="Arial"/>
          <w:color w:val="000000"/>
          <w:sz w:val="20"/>
          <w:szCs w:val="20"/>
          <w:u w:val="single"/>
          <w:lang w:val="en"/>
        </w:rPr>
        <w:t>Loans of subsidiaries</w:t>
      </w:r>
    </w:p>
    <w:p w14:paraId="24F80EEF" w14:textId="77777777" w:rsidR="00E24754" w:rsidRPr="002D2F67" w:rsidRDefault="00E24754" w:rsidP="005611FE">
      <w:pPr>
        <w:jc w:val="both"/>
        <w:rPr>
          <w:rFonts w:ascii="Arial" w:hAnsi="Arial" w:cs="Arial"/>
          <w:color w:val="000000"/>
          <w:sz w:val="20"/>
          <w:szCs w:val="20"/>
          <w:lang w:val="en"/>
        </w:rPr>
      </w:pPr>
    </w:p>
    <w:tbl>
      <w:tblPr>
        <w:tblW w:w="9461" w:type="dxa"/>
        <w:tblInd w:w="108" w:type="dxa"/>
        <w:tblLayout w:type="fixed"/>
        <w:tblLook w:val="0000" w:firstRow="0" w:lastRow="0" w:firstColumn="0" w:lastColumn="0" w:noHBand="0" w:noVBand="0"/>
      </w:tblPr>
      <w:tblGrid>
        <w:gridCol w:w="1953"/>
        <w:gridCol w:w="1417"/>
        <w:gridCol w:w="1166"/>
        <w:gridCol w:w="4925"/>
      </w:tblGrid>
      <w:tr w:rsidR="00E24754" w:rsidRPr="002D2F67" w14:paraId="4F517521" w14:textId="77777777" w:rsidTr="008255E8">
        <w:tc>
          <w:tcPr>
            <w:tcW w:w="9461" w:type="dxa"/>
            <w:gridSpan w:val="4"/>
            <w:tcBorders>
              <w:bottom w:val="single" w:sz="4" w:space="0" w:color="auto"/>
            </w:tcBorders>
            <w:shd w:val="clear" w:color="auto" w:fill="auto"/>
            <w:vAlign w:val="bottom"/>
          </w:tcPr>
          <w:p w14:paraId="5B61BB0B" w14:textId="6562378E" w:rsidR="00E24754" w:rsidRPr="002D2F67" w:rsidRDefault="00CD5714" w:rsidP="005611FE">
            <w:pPr>
              <w:ind w:left="-29" w:right="-72"/>
              <w:jc w:val="right"/>
              <w:rPr>
                <w:rFonts w:ascii="Arial" w:hAnsi="Arial" w:cs="Arial"/>
                <w:b/>
                <w:bCs/>
                <w:color w:val="000000"/>
                <w:sz w:val="20"/>
                <w:szCs w:val="25"/>
              </w:rPr>
            </w:pPr>
            <w:r w:rsidRPr="00CD5714">
              <w:rPr>
                <w:rFonts w:ascii="Arial" w:hAnsi="Arial" w:cs="Arial"/>
                <w:b/>
                <w:bCs/>
                <w:color w:val="000000"/>
                <w:sz w:val="20"/>
                <w:szCs w:val="20"/>
                <w:lang w:val="en-GB"/>
              </w:rPr>
              <w:t>31</w:t>
            </w:r>
            <w:r w:rsidR="00E24754" w:rsidRPr="002D2F67">
              <w:rPr>
                <w:rFonts w:ascii="Arial" w:hAnsi="Arial" w:cs="Arial"/>
                <w:b/>
                <w:bCs/>
                <w:color w:val="000000"/>
                <w:sz w:val="20"/>
                <w:szCs w:val="20"/>
              </w:rPr>
              <w:t xml:space="preserve"> December</w:t>
            </w:r>
            <w:r w:rsidR="00E24754" w:rsidRPr="002D2F67">
              <w:rPr>
                <w:rFonts w:ascii="Arial" w:hAnsi="Arial" w:cs="Arial"/>
                <w:b/>
                <w:bCs/>
                <w:color w:val="000000"/>
                <w:sz w:val="20"/>
                <w:szCs w:val="25"/>
              </w:rPr>
              <w:t xml:space="preserve"> </w:t>
            </w:r>
            <w:r w:rsidRPr="00CD5714">
              <w:rPr>
                <w:rFonts w:ascii="Arial" w:hAnsi="Arial" w:cs="Arial"/>
                <w:b/>
                <w:bCs/>
                <w:color w:val="000000"/>
                <w:sz w:val="20"/>
                <w:szCs w:val="25"/>
                <w:lang w:val="en-GB"/>
              </w:rPr>
              <w:t>2024</w:t>
            </w:r>
          </w:p>
        </w:tc>
      </w:tr>
      <w:tr w:rsidR="003951DE" w:rsidRPr="002D2F67" w14:paraId="099925B7" w14:textId="77777777" w:rsidTr="008255E8">
        <w:tc>
          <w:tcPr>
            <w:tcW w:w="1953" w:type="dxa"/>
            <w:vMerge w:val="restart"/>
            <w:tcBorders>
              <w:top w:val="single" w:sz="4" w:space="0" w:color="auto"/>
            </w:tcBorders>
            <w:shd w:val="clear" w:color="auto" w:fill="auto"/>
            <w:vAlign w:val="bottom"/>
          </w:tcPr>
          <w:p w14:paraId="03074E8E" w14:textId="77777777" w:rsidR="003951DE" w:rsidRPr="002D2F67" w:rsidRDefault="003951DE" w:rsidP="005611FE">
            <w:pPr>
              <w:ind w:left="-101"/>
              <w:jc w:val="center"/>
              <w:rPr>
                <w:rFonts w:ascii="Arial" w:hAnsi="Arial" w:cs="Arial"/>
                <w:b/>
                <w:bCs/>
                <w:color w:val="000000"/>
                <w:spacing w:val="-4"/>
                <w:sz w:val="20"/>
                <w:szCs w:val="20"/>
              </w:rPr>
            </w:pPr>
            <w:r w:rsidRPr="002D2F67">
              <w:rPr>
                <w:rFonts w:ascii="Arial" w:hAnsi="Arial" w:cs="Arial"/>
                <w:b/>
                <w:bCs/>
                <w:color w:val="000000"/>
                <w:sz w:val="20"/>
                <w:szCs w:val="20"/>
              </w:rPr>
              <w:t>Type</w:t>
            </w:r>
          </w:p>
        </w:tc>
        <w:tc>
          <w:tcPr>
            <w:tcW w:w="2583" w:type="dxa"/>
            <w:gridSpan w:val="2"/>
            <w:tcBorders>
              <w:top w:val="single" w:sz="4" w:space="0" w:color="auto"/>
              <w:bottom w:val="single" w:sz="4" w:space="0" w:color="auto"/>
            </w:tcBorders>
            <w:shd w:val="clear" w:color="auto" w:fill="auto"/>
            <w:vAlign w:val="bottom"/>
          </w:tcPr>
          <w:p w14:paraId="4A5D4FB6" w14:textId="77777777" w:rsidR="003951DE" w:rsidRPr="002D2F67" w:rsidRDefault="003951DE" w:rsidP="005611FE">
            <w:pPr>
              <w:ind w:left="-29" w:right="-29"/>
              <w:jc w:val="center"/>
              <w:rPr>
                <w:rFonts w:ascii="Arial" w:hAnsi="Arial" w:cs="Arial"/>
                <w:b/>
                <w:bCs/>
                <w:color w:val="000000"/>
                <w:sz w:val="20"/>
                <w:szCs w:val="20"/>
              </w:rPr>
            </w:pPr>
            <w:r w:rsidRPr="002D2F67">
              <w:rPr>
                <w:rFonts w:ascii="Arial" w:hAnsi="Arial" w:cs="Arial"/>
                <w:b/>
                <w:bCs/>
                <w:color w:val="000000"/>
                <w:sz w:val="20"/>
                <w:szCs w:val="20"/>
              </w:rPr>
              <w:t>Balance</w:t>
            </w:r>
          </w:p>
        </w:tc>
        <w:tc>
          <w:tcPr>
            <w:tcW w:w="4925" w:type="dxa"/>
            <w:vMerge w:val="restart"/>
            <w:tcBorders>
              <w:top w:val="single" w:sz="4" w:space="0" w:color="auto"/>
            </w:tcBorders>
            <w:shd w:val="clear" w:color="auto" w:fill="auto"/>
            <w:vAlign w:val="bottom"/>
          </w:tcPr>
          <w:p w14:paraId="78C7E6D0" w14:textId="77777777" w:rsidR="003951DE" w:rsidRPr="002D2F67" w:rsidRDefault="003951DE" w:rsidP="005611FE">
            <w:pPr>
              <w:ind w:left="-29" w:right="-29"/>
              <w:jc w:val="center"/>
              <w:rPr>
                <w:rFonts w:ascii="Arial" w:hAnsi="Arial" w:cs="Arial"/>
                <w:b/>
                <w:bCs/>
                <w:color w:val="000000"/>
                <w:sz w:val="20"/>
                <w:szCs w:val="20"/>
              </w:rPr>
            </w:pPr>
            <w:r w:rsidRPr="002D2F67">
              <w:rPr>
                <w:rFonts w:ascii="Arial" w:hAnsi="Arial" w:cs="Arial"/>
                <w:b/>
                <w:bCs/>
                <w:color w:val="000000"/>
                <w:sz w:val="20"/>
                <w:szCs w:val="20"/>
              </w:rPr>
              <w:t>Interest rate</w:t>
            </w:r>
          </w:p>
        </w:tc>
      </w:tr>
      <w:tr w:rsidR="003951DE" w:rsidRPr="002D2F67" w14:paraId="7C8FAFD4" w14:textId="77777777" w:rsidTr="005611FE">
        <w:tc>
          <w:tcPr>
            <w:tcW w:w="1953" w:type="dxa"/>
            <w:vMerge/>
            <w:tcBorders>
              <w:bottom w:val="single" w:sz="4" w:space="0" w:color="auto"/>
            </w:tcBorders>
            <w:shd w:val="clear" w:color="auto" w:fill="auto"/>
            <w:vAlign w:val="bottom"/>
          </w:tcPr>
          <w:p w14:paraId="5348844B" w14:textId="77777777" w:rsidR="003951DE" w:rsidRPr="002D2F67" w:rsidRDefault="003951DE" w:rsidP="005611FE">
            <w:pPr>
              <w:ind w:left="166"/>
              <w:jc w:val="center"/>
              <w:rPr>
                <w:rFonts w:ascii="Arial" w:hAnsi="Arial" w:cs="Arial"/>
                <w:b/>
                <w:bCs/>
                <w:color w:val="000000"/>
                <w:spacing w:val="-4"/>
                <w:sz w:val="20"/>
                <w:szCs w:val="20"/>
              </w:rPr>
            </w:pPr>
          </w:p>
        </w:tc>
        <w:tc>
          <w:tcPr>
            <w:tcW w:w="1417" w:type="dxa"/>
            <w:tcBorders>
              <w:top w:val="single" w:sz="4" w:space="0" w:color="auto"/>
              <w:bottom w:val="single" w:sz="4" w:space="0" w:color="auto"/>
            </w:tcBorders>
            <w:shd w:val="clear" w:color="auto" w:fill="auto"/>
            <w:vAlign w:val="bottom"/>
          </w:tcPr>
          <w:p w14:paraId="20080E89" w14:textId="0D8FC6BE" w:rsidR="003951DE" w:rsidRPr="002D2F67" w:rsidRDefault="003951DE" w:rsidP="005611FE">
            <w:pPr>
              <w:ind w:left="-29" w:right="-108"/>
              <w:jc w:val="center"/>
              <w:rPr>
                <w:rFonts w:ascii="Arial" w:hAnsi="Arial" w:cs="Arial"/>
                <w:b/>
                <w:bCs/>
                <w:color w:val="000000"/>
                <w:sz w:val="20"/>
                <w:szCs w:val="20"/>
              </w:rPr>
            </w:pPr>
            <w:r w:rsidRPr="002D2F67">
              <w:rPr>
                <w:rFonts w:ascii="Arial" w:hAnsi="Arial" w:cs="Arial"/>
                <w:b/>
                <w:bCs/>
                <w:color w:val="000000"/>
                <w:sz w:val="20"/>
                <w:szCs w:val="20"/>
              </w:rPr>
              <w:t xml:space="preserve">Million </w:t>
            </w:r>
            <w:r w:rsidRPr="002D2F67">
              <w:rPr>
                <w:rFonts w:ascii="Arial" w:hAnsi="Arial" w:cs="Arial"/>
                <w:b/>
                <w:bCs/>
                <w:color w:val="000000"/>
                <w:sz w:val="20"/>
                <w:szCs w:val="20"/>
              </w:rPr>
              <w:br/>
              <w:t>Taiwan Dollar</w:t>
            </w:r>
          </w:p>
        </w:tc>
        <w:tc>
          <w:tcPr>
            <w:tcW w:w="1166" w:type="dxa"/>
            <w:tcBorders>
              <w:top w:val="single" w:sz="4" w:space="0" w:color="auto"/>
              <w:bottom w:val="single" w:sz="4" w:space="0" w:color="auto"/>
            </w:tcBorders>
            <w:shd w:val="clear" w:color="auto" w:fill="auto"/>
            <w:vAlign w:val="bottom"/>
          </w:tcPr>
          <w:p w14:paraId="702256B6" w14:textId="46CC0F9B" w:rsidR="003951DE" w:rsidRPr="002D2F67" w:rsidRDefault="003951DE" w:rsidP="005611FE">
            <w:pPr>
              <w:ind w:left="-29" w:right="-29"/>
              <w:jc w:val="center"/>
              <w:rPr>
                <w:rFonts w:ascii="Arial" w:hAnsi="Arial" w:cs="Arial"/>
                <w:b/>
                <w:bCs/>
                <w:color w:val="000000"/>
                <w:sz w:val="20"/>
                <w:szCs w:val="20"/>
              </w:rPr>
            </w:pPr>
            <w:r w:rsidRPr="002D2F67">
              <w:rPr>
                <w:rFonts w:ascii="Arial" w:hAnsi="Arial" w:cs="Arial"/>
                <w:b/>
                <w:bCs/>
                <w:color w:val="000000"/>
                <w:sz w:val="20"/>
                <w:szCs w:val="20"/>
              </w:rPr>
              <w:t>Million Baht</w:t>
            </w:r>
          </w:p>
        </w:tc>
        <w:tc>
          <w:tcPr>
            <w:tcW w:w="4925" w:type="dxa"/>
            <w:vMerge/>
            <w:tcBorders>
              <w:bottom w:val="single" w:sz="4" w:space="0" w:color="auto"/>
            </w:tcBorders>
            <w:shd w:val="clear" w:color="auto" w:fill="auto"/>
            <w:vAlign w:val="bottom"/>
          </w:tcPr>
          <w:p w14:paraId="7065861D" w14:textId="77777777" w:rsidR="003951DE" w:rsidRPr="002D2F67" w:rsidRDefault="003951DE" w:rsidP="005611FE">
            <w:pPr>
              <w:ind w:left="-29" w:right="-29"/>
              <w:jc w:val="center"/>
              <w:rPr>
                <w:rFonts w:ascii="Arial" w:hAnsi="Arial" w:cs="Arial"/>
                <w:b/>
                <w:bCs/>
                <w:color w:val="000000"/>
                <w:sz w:val="20"/>
                <w:szCs w:val="20"/>
              </w:rPr>
            </w:pPr>
          </w:p>
        </w:tc>
      </w:tr>
      <w:tr w:rsidR="003951DE" w:rsidRPr="002D2F67" w14:paraId="047BE050" w14:textId="77777777" w:rsidTr="005611FE">
        <w:trPr>
          <w:trHeight w:val="20"/>
        </w:trPr>
        <w:tc>
          <w:tcPr>
            <w:tcW w:w="1953" w:type="dxa"/>
            <w:tcBorders>
              <w:top w:val="single" w:sz="4" w:space="0" w:color="auto"/>
            </w:tcBorders>
            <w:shd w:val="clear" w:color="auto" w:fill="auto"/>
          </w:tcPr>
          <w:p w14:paraId="2F595599" w14:textId="77777777" w:rsidR="003951DE" w:rsidRPr="002D2F67" w:rsidRDefault="003951DE" w:rsidP="005611FE">
            <w:pPr>
              <w:ind w:left="166"/>
              <w:jc w:val="center"/>
              <w:rPr>
                <w:rFonts w:ascii="Arial" w:hAnsi="Arial" w:cs="Arial"/>
                <w:color w:val="000000"/>
                <w:sz w:val="10"/>
                <w:szCs w:val="10"/>
              </w:rPr>
            </w:pPr>
          </w:p>
        </w:tc>
        <w:tc>
          <w:tcPr>
            <w:tcW w:w="1417" w:type="dxa"/>
            <w:tcBorders>
              <w:top w:val="single" w:sz="4" w:space="0" w:color="auto"/>
            </w:tcBorders>
            <w:shd w:val="clear" w:color="auto" w:fill="auto"/>
          </w:tcPr>
          <w:p w14:paraId="1135928C" w14:textId="77777777" w:rsidR="003951DE" w:rsidRPr="002D2F67" w:rsidRDefault="003951DE" w:rsidP="005611FE">
            <w:pPr>
              <w:ind w:left="-29" w:right="-29"/>
              <w:jc w:val="center"/>
              <w:rPr>
                <w:rFonts w:ascii="Arial" w:hAnsi="Arial" w:cs="Arial"/>
                <w:color w:val="000000"/>
                <w:sz w:val="10"/>
                <w:szCs w:val="10"/>
              </w:rPr>
            </w:pPr>
          </w:p>
        </w:tc>
        <w:tc>
          <w:tcPr>
            <w:tcW w:w="1166" w:type="dxa"/>
            <w:tcBorders>
              <w:top w:val="single" w:sz="4" w:space="0" w:color="auto"/>
            </w:tcBorders>
            <w:shd w:val="clear" w:color="auto" w:fill="auto"/>
          </w:tcPr>
          <w:p w14:paraId="4F43AEAB" w14:textId="77777777" w:rsidR="003951DE" w:rsidRPr="002D2F67" w:rsidRDefault="003951DE" w:rsidP="005611FE">
            <w:pPr>
              <w:ind w:left="-29" w:right="-29"/>
              <w:jc w:val="center"/>
              <w:rPr>
                <w:rFonts w:ascii="Arial" w:hAnsi="Arial" w:cs="Arial"/>
                <w:color w:val="000000"/>
                <w:sz w:val="10"/>
                <w:szCs w:val="10"/>
              </w:rPr>
            </w:pPr>
          </w:p>
        </w:tc>
        <w:tc>
          <w:tcPr>
            <w:tcW w:w="4925" w:type="dxa"/>
            <w:tcBorders>
              <w:top w:val="single" w:sz="4" w:space="0" w:color="auto"/>
            </w:tcBorders>
            <w:shd w:val="clear" w:color="auto" w:fill="auto"/>
          </w:tcPr>
          <w:p w14:paraId="7290BD98" w14:textId="77777777" w:rsidR="003951DE" w:rsidRPr="002D2F67" w:rsidRDefault="003951DE" w:rsidP="005611FE">
            <w:pPr>
              <w:ind w:left="-29" w:right="-29"/>
              <w:jc w:val="center"/>
              <w:rPr>
                <w:rFonts w:ascii="Arial" w:hAnsi="Arial" w:cs="Arial"/>
                <w:color w:val="000000"/>
                <w:sz w:val="10"/>
                <w:szCs w:val="10"/>
              </w:rPr>
            </w:pPr>
          </w:p>
        </w:tc>
      </w:tr>
      <w:tr w:rsidR="003951DE" w:rsidRPr="002D2F67" w14:paraId="0698ECC0" w14:textId="77777777" w:rsidTr="005611FE">
        <w:tc>
          <w:tcPr>
            <w:tcW w:w="1953" w:type="dxa"/>
            <w:shd w:val="clear" w:color="auto" w:fill="auto"/>
          </w:tcPr>
          <w:p w14:paraId="23327EE6" w14:textId="77777777" w:rsidR="003951DE" w:rsidRPr="002D2F67" w:rsidRDefault="003951DE" w:rsidP="005611FE">
            <w:pPr>
              <w:ind w:left="-108"/>
              <w:rPr>
                <w:rFonts w:ascii="Arial" w:hAnsi="Arial" w:cs="Arial"/>
                <w:color w:val="000000"/>
                <w:sz w:val="20"/>
                <w:szCs w:val="20"/>
              </w:rPr>
            </w:pPr>
            <w:r w:rsidRPr="002D2F67">
              <w:rPr>
                <w:rFonts w:ascii="Arial" w:hAnsi="Arial" w:cs="Arial"/>
                <w:color w:val="000000"/>
                <w:sz w:val="20"/>
                <w:szCs w:val="20"/>
              </w:rPr>
              <w:t>Promissory notes</w:t>
            </w:r>
          </w:p>
        </w:tc>
        <w:tc>
          <w:tcPr>
            <w:tcW w:w="1417" w:type="dxa"/>
            <w:shd w:val="clear" w:color="auto" w:fill="auto"/>
          </w:tcPr>
          <w:p w14:paraId="633AFDFE" w14:textId="733CB6A9" w:rsidR="003951DE" w:rsidRPr="002D2F67" w:rsidRDefault="00CD5714" w:rsidP="005611FE">
            <w:pPr>
              <w:ind w:left="-43" w:right="-72"/>
              <w:jc w:val="right"/>
              <w:rPr>
                <w:rFonts w:ascii="Arial" w:hAnsi="Arial" w:cs="Arial"/>
                <w:color w:val="000000"/>
                <w:sz w:val="20"/>
                <w:szCs w:val="20"/>
              </w:rPr>
            </w:pPr>
            <w:r w:rsidRPr="00CD5714">
              <w:rPr>
                <w:rFonts w:ascii="Arial" w:hAnsi="Arial" w:cs="Arial"/>
                <w:color w:val="000000"/>
                <w:sz w:val="20"/>
                <w:szCs w:val="20"/>
                <w:lang w:val="en-GB"/>
              </w:rPr>
              <w:t>3</w:t>
            </w:r>
          </w:p>
        </w:tc>
        <w:tc>
          <w:tcPr>
            <w:tcW w:w="1166" w:type="dxa"/>
            <w:shd w:val="clear" w:color="auto" w:fill="auto"/>
          </w:tcPr>
          <w:p w14:paraId="692EDB34" w14:textId="3259F722" w:rsidR="003951DE"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234</w:t>
            </w:r>
            <w:r w:rsidR="00086212" w:rsidRPr="002D2F67">
              <w:rPr>
                <w:rFonts w:ascii="Arial" w:hAnsi="Arial" w:cs="Arial"/>
                <w:color w:val="000000"/>
                <w:sz w:val="20"/>
                <w:szCs w:val="20"/>
              </w:rPr>
              <w:t>,</w:t>
            </w:r>
            <w:r w:rsidRPr="00CD5714">
              <w:rPr>
                <w:rFonts w:ascii="Arial" w:hAnsi="Arial" w:cs="Arial"/>
                <w:color w:val="000000"/>
                <w:sz w:val="20"/>
                <w:szCs w:val="20"/>
                <w:lang w:val="en-GB"/>
              </w:rPr>
              <w:t>000</w:t>
            </w:r>
          </w:p>
        </w:tc>
        <w:tc>
          <w:tcPr>
            <w:tcW w:w="4925" w:type="dxa"/>
            <w:shd w:val="clear" w:color="auto" w:fill="auto"/>
          </w:tcPr>
          <w:p w14:paraId="16CC63D6" w14:textId="015B71DF" w:rsidR="003951DE" w:rsidRPr="002D2F67" w:rsidRDefault="003951DE" w:rsidP="005611FE">
            <w:pPr>
              <w:jc w:val="center"/>
              <w:rPr>
                <w:rFonts w:ascii="Arial" w:hAnsi="Arial" w:cs="Arial"/>
                <w:color w:val="000000"/>
                <w:spacing w:val="-8"/>
                <w:sz w:val="20"/>
                <w:szCs w:val="20"/>
              </w:rPr>
            </w:pPr>
            <w:r w:rsidRPr="002D2F67">
              <w:rPr>
                <w:rFonts w:ascii="Arial" w:hAnsi="Arial" w:cs="Arial"/>
                <w:color w:val="000000"/>
                <w:spacing w:val="-8"/>
                <w:sz w:val="20"/>
                <w:szCs w:val="20"/>
              </w:rPr>
              <w:t xml:space="preserve">Fixed interest rate </w:t>
            </w:r>
            <w:r w:rsidR="00710C70" w:rsidRPr="002D2F67">
              <w:rPr>
                <w:rFonts w:ascii="Arial" w:hAnsi="Arial" w:cs="Arial"/>
                <w:color w:val="000000"/>
                <w:spacing w:val="-8"/>
                <w:sz w:val="20"/>
                <w:szCs w:val="20"/>
              </w:rPr>
              <w:t>at</w:t>
            </w:r>
            <w:r w:rsidRPr="002D2F67">
              <w:rPr>
                <w:rFonts w:ascii="Arial" w:hAnsi="Arial" w:cs="Arial"/>
                <w:color w:val="000000"/>
                <w:spacing w:val="-8"/>
                <w:sz w:val="20"/>
                <w:szCs w:val="20"/>
              </w:rPr>
              <w:t xml:space="preserve"> </w:t>
            </w:r>
            <w:r w:rsidR="00CD5714" w:rsidRPr="00CD5714">
              <w:rPr>
                <w:rFonts w:ascii="Arial" w:hAnsi="Arial" w:cs="Arial"/>
                <w:color w:val="000000"/>
                <w:spacing w:val="-8"/>
                <w:sz w:val="20"/>
                <w:szCs w:val="20"/>
                <w:lang w:val="en-GB"/>
              </w:rPr>
              <w:t>3</w:t>
            </w:r>
            <w:r w:rsidR="00710C70" w:rsidRPr="002D2F67">
              <w:rPr>
                <w:rFonts w:ascii="Arial" w:hAnsi="Arial" w:cs="Arial"/>
                <w:color w:val="000000"/>
                <w:spacing w:val="-8"/>
                <w:sz w:val="20"/>
                <w:szCs w:val="20"/>
              </w:rPr>
              <w:t>.</w:t>
            </w:r>
            <w:r w:rsidR="00CD5714" w:rsidRPr="00CD5714">
              <w:rPr>
                <w:rFonts w:ascii="Arial" w:hAnsi="Arial" w:cs="Arial"/>
                <w:color w:val="000000"/>
                <w:spacing w:val="-8"/>
                <w:sz w:val="20"/>
                <w:szCs w:val="20"/>
                <w:lang w:val="en-GB"/>
              </w:rPr>
              <w:t>82</w:t>
            </w:r>
            <w:r w:rsidRPr="002D2F67">
              <w:rPr>
                <w:rFonts w:ascii="Arial" w:hAnsi="Arial" w:cs="Arial"/>
                <w:color w:val="000000"/>
                <w:spacing w:val="-8"/>
                <w:sz w:val="20"/>
                <w:szCs w:val="20"/>
              </w:rPr>
              <w:t>%</w:t>
            </w:r>
            <w:r w:rsidR="00710C70" w:rsidRPr="002D2F67">
              <w:rPr>
                <w:rFonts w:ascii="Arial" w:hAnsi="Arial" w:cs="Arial"/>
                <w:color w:val="000000"/>
                <w:spacing w:val="-8"/>
                <w:sz w:val="20"/>
                <w:szCs w:val="20"/>
              </w:rPr>
              <w:t xml:space="preserve"> </w:t>
            </w:r>
            <w:r w:rsidRPr="002D2F67">
              <w:rPr>
                <w:rFonts w:ascii="Arial" w:hAnsi="Arial" w:cs="Arial"/>
                <w:color w:val="000000"/>
                <w:spacing w:val="-8"/>
                <w:sz w:val="20"/>
                <w:szCs w:val="20"/>
              </w:rPr>
              <w:t xml:space="preserve">per annum </w:t>
            </w:r>
            <w:r w:rsidR="006D2BB2" w:rsidRPr="002D2F67">
              <w:rPr>
                <w:rFonts w:ascii="Arial" w:hAnsi="Arial" w:cs="Arial"/>
                <w:color w:val="000000"/>
                <w:spacing w:val="-8"/>
                <w:sz w:val="20"/>
                <w:szCs w:val="20"/>
              </w:rPr>
              <w:br/>
            </w:r>
            <w:r w:rsidRPr="002D2F67">
              <w:rPr>
                <w:rFonts w:ascii="Arial" w:hAnsi="Arial" w:cs="Arial"/>
                <w:color w:val="000000"/>
                <w:spacing w:val="-8"/>
                <w:sz w:val="20"/>
                <w:szCs w:val="20"/>
              </w:rPr>
              <w:t>and</w:t>
            </w:r>
            <w:r w:rsidRPr="002D2F67">
              <w:rPr>
                <w:rFonts w:ascii="Arial" w:hAnsi="Arial" w:cs="Arial"/>
                <w:color w:val="000000"/>
                <w:spacing w:val="-8"/>
                <w:sz w:val="20"/>
                <w:szCs w:val="25"/>
              </w:rPr>
              <w:t xml:space="preserve"> </w:t>
            </w:r>
            <w:r w:rsidR="00710C70" w:rsidRPr="002D2F67">
              <w:rPr>
                <w:rFonts w:ascii="Arial" w:hAnsi="Arial" w:cs="Arial"/>
                <w:color w:val="000000"/>
                <w:spacing w:val="-8"/>
                <w:sz w:val="20"/>
                <w:szCs w:val="20"/>
              </w:rPr>
              <w:t>Fixed interest</w:t>
            </w:r>
            <w:r w:rsidR="00710C70" w:rsidRPr="002D2F67">
              <w:rPr>
                <w:rFonts w:ascii="Arial" w:hAnsi="Arial" w:cs="Arial"/>
                <w:color w:val="000000"/>
                <w:spacing w:val="-8"/>
                <w:sz w:val="20"/>
                <w:szCs w:val="25"/>
              </w:rPr>
              <w:t xml:space="preserve"> rate </w:t>
            </w:r>
            <w:r w:rsidR="00710C70" w:rsidRPr="002D2F67">
              <w:rPr>
                <w:rFonts w:ascii="Arial" w:hAnsi="Arial" w:cs="Arial"/>
                <w:color w:val="000000"/>
                <w:spacing w:val="-8"/>
                <w:sz w:val="20"/>
                <w:szCs w:val="20"/>
              </w:rPr>
              <w:t xml:space="preserve">at </w:t>
            </w:r>
            <w:r w:rsidR="00CD5714" w:rsidRPr="00CD5714">
              <w:rPr>
                <w:rFonts w:ascii="Arial" w:hAnsi="Arial" w:cs="Arial"/>
                <w:color w:val="000000"/>
                <w:spacing w:val="-8"/>
                <w:sz w:val="20"/>
                <w:szCs w:val="20"/>
                <w:lang w:val="en-GB"/>
              </w:rPr>
              <w:t>5</w:t>
            </w:r>
            <w:r w:rsidR="00710C70" w:rsidRPr="002D2F67">
              <w:rPr>
                <w:rFonts w:ascii="Arial" w:hAnsi="Arial" w:cs="Arial"/>
                <w:color w:val="000000"/>
                <w:spacing w:val="-8"/>
                <w:sz w:val="20"/>
                <w:szCs w:val="20"/>
              </w:rPr>
              <w:t>.</w:t>
            </w:r>
            <w:r w:rsidR="00CD5714" w:rsidRPr="00CD5714">
              <w:rPr>
                <w:rFonts w:ascii="Arial" w:hAnsi="Arial" w:cs="Arial"/>
                <w:color w:val="000000"/>
                <w:spacing w:val="-8"/>
                <w:sz w:val="20"/>
                <w:szCs w:val="20"/>
                <w:lang w:val="en-GB"/>
              </w:rPr>
              <w:t>50</w:t>
            </w:r>
            <w:r w:rsidR="00710C70" w:rsidRPr="002D2F67">
              <w:rPr>
                <w:rFonts w:ascii="Arial" w:hAnsi="Arial" w:cs="Arial"/>
                <w:color w:val="000000"/>
                <w:spacing w:val="-8"/>
                <w:sz w:val="20"/>
                <w:szCs w:val="20"/>
              </w:rPr>
              <w:t>%</w:t>
            </w:r>
            <w:r w:rsidR="00710C70" w:rsidRPr="002D2F67">
              <w:rPr>
                <w:rFonts w:ascii="Arial" w:hAnsi="Arial" w:cs="Arial"/>
                <w:color w:val="000000"/>
                <w:spacing w:val="-8"/>
                <w:sz w:val="20"/>
                <w:szCs w:val="25"/>
              </w:rPr>
              <w:t xml:space="preserve"> per annum</w:t>
            </w:r>
            <w:r w:rsidR="00710C70" w:rsidRPr="002D2F67">
              <w:rPr>
                <w:rFonts w:ascii="Arial" w:hAnsi="Arial" w:cs="Arial"/>
                <w:color w:val="000000"/>
                <w:spacing w:val="-8"/>
                <w:sz w:val="20"/>
                <w:szCs w:val="20"/>
              </w:rPr>
              <w:t xml:space="preserve"> </w:t>
            </w:r>
          </w:p>
        </w:tc>
      </w:tr>
      <w:tr w:rsidR="003951DE" w:rsidRPr="002D2F67" w14:paraId="7BD8F0D5" w14:textId="77777777" w:rsidTr="005611FE">
        <w:tc>
          <w:tcPr>
            <w:tcW w:w="1953" w:type="dxa"/>
            <w:shd w:val="clear" w:color="auto" w:fill="auto"/>
          </w:tcPr>
          <w:p w14:paraId="3AD40175" w14:textId="77777777" w:rsidR="003951DE" w:rsidRPr="002D2F67" w:rsidRDefault="003951DE" w:rsidP="005611FE">
            <w:pPr>
              <w:ind w:left="-108"/>
              <w:rPr>
                <w:rFonts w:ascii="Arial" w:hAnsi="Arial" w:cs="Arial"/>
                <w:color w:val="000000"/>
                <w:sz w:val="16"/>
                <w:szCs w:val="16"/>
              </w:rPr>
            </w:pPr>
          </w:p>
        </w:tc>
        <w:tc>
          <w:tcPr>
            <w:tcW w:w="1417" w:type="dxa"/>
            <w:tcBorders>
              <w:top w:val="single" w:sz="4" w:space="0" w:color="000000"/>
            </w:tcBorders>
            <w:shd w:val="clear" w:color="auto" w:fill="auto"/>
          </w:tcPr>
          <w:p w14:paraId="7248BA52" w14:textId="77777777" w:rsidR="003951DE" w:rsidRPr="002D2F67" w:rsidRDefault="003951DE" w:rsidP="005611FE">
            <w:pPr>
              <w:ind w:left="-29" w:right="-72"/>
              <w:jc w:val="right"/>
              <w:rPr>
                <w:rFonts w:ascii="Arial" w:hAnsi="Arial" w:cs="Arial"/>
                <w:color w:val="000000"/>
                <w:sz w:val="16"/>
                <w:szCs w:val="16"/>
              </w:rPr>
            </w:pPr>
          </w:p>
        </w:tc>
        <w:tc>
          <w:tcPr>
            <w:tcW w:w="1166" w:type="dxa"/>
            <w:tcBorders>
              <w:top w:val="single" w:sz="4" w:space="0" w:color="000000"/>
            </w:tcBorders>
            <w:shd w:val="clear" w:color="auto" w:fill="auto"/>
          </w:tcPr>
          <w:p w14:paraId="6B20CD4E" w14:textId="77777777" w:rsidR="003951DE" w:rsidRPr="002D2F67" w:rsidRDefault="003951DE" w:rsidP="005611FE">
            <w:pPr>
              <w:ind w:left="-29" w:right="-72"/>
              <w:jc w:val="right"/>
              <w:rPr>
                <w:rFonts w:ascii="Arial" w:hAnsi="Arial" w:cs="Arial"/>
                <w:color w:val="000000"/>
                <w:sz w:val="16"/>
                <w:szCs w:val="16"/>
              </w:rPr>
            </w:pPr>
          </w:p>
        </w:tc>
        <w:tc>
          <w:tcPr>
            <w:tcW w:w="4925" w:type="dxa"/>
            <w:shd w:val="clear" w:color="auto" w:fill="auto"/>
          </w:tcPr>
          <w:p w14:paraId="64710A5E" w14:textId="77777777" w:rsidR="003951DE" w:rsidRPr="002D2F67" w:rsidRDefault="003951DE" w:rsidP="005611FE">
            <w:pPr>
              <w:ind w:left="-29" w:right="-29"/>
              <w:jc w:val="right"/>
              <w:rPr>
                <w:rFonts w:ascii="Arial" w:hAnsi="Arial" w:cs="Arial"/>
                <w:color w:val="000000"/>
                <w:sz w:val="16"/>
                <w:szCs w:val="16"/>
              </w:rPr>
            </w:pPr>
          </w:p>
        </w:tc>
      </w:tr>
      <w:tr w:rsidR="003951DE" w:rsidRPr="002D2F67" w14:paraId="39D67C6F" w14:textId="77777777" w:rsidTr="005611FE">
        <w:tc>
          <w:tcPr>
            <w:tcW w:w="1953" w:type="dxa"/>
            <w:shd w:val="clear" w:color="auto" w:fill="auto"/>
          </w:tcPr>
          <w:p w14:paraId="4C9C1510" w14:textId="77777777" w:rsidR="003951DE" w:rsidRPr="002D2F67" w:rsidRDefault="003951DE" w:rsidP="005611FE">
            <w:pPr>
              <w:ind w:left="-108"/>
              <w:rPr>
                <w:rFonts w:ascii="Arial" w:hAnsi="Arial" w:cs="Arial"/>
                <w:color w:val="000000"/>
                <w:sz w:val="20"/>
                <w:szCs w:val="20"/>
              </w:rPr>
            </w:pPr>
            <w:r w:rsidRPr="002D2F67">
              <w:rPr>
                <w:rFonts w:ascii="Arial" w:hAnsi="Arial" w:cs="Arial"/>
                <w:color w:val="000000"/>
                <w:sz w:val="20"/>
                <w:szCs w:val="20"/>
              </w:rPr>
              <w:t>Total</w:t>
            </w:r>
          </w:p>
        </w:tc>
        <w:tc>
          <w:tcPr>
            <w:tcW w:w="1417" w:type="dxa"/>
            <w:tcBorders>
              <w:bottom w:val="single" w:sz="4" w:space="0" w:color="000000"/>
            </w:tcBorders>
            <w:shd w:val="clear" w:color="auto" w:fill="auto"/>
            <w:vAlign w:val="bottom"/>
          </w:tcPr>
          <w:p w14:paraId="1AE0E00E" w14:textId="7778B53D" w:rsidR="003951DE" w:rsidRPr="002D2F67" w:rsidRDefault="00CD5714" w:rsidP="005611FE">
            <w:pPr>
              <w:ind w:left="-43" w:right="-72"/>
              <w:jc w:val="right"/>
              <w:rPr>
                <w:rFonts w:ascii="Arial" w:hAnsi="Arial" w:cs="Arial"/>
                <w:color w:val="000000"/>
                <w:sz w:val="20"/>
                <w:szCs w:val="20"/>
              </w:rPr>
            </w:pPr>
            <w:r w:rsidRPr="00CD5714">
              <w:rPr>
                <w:rFonts w:ascii="Arial" w:hAnsi="Arial" w:cs="Arial"/>
                <w:color w:val="000000"/>
                <w:sz w:val="20"/>
                <w:szCs w:val="20"/>
                <w:lang w:val="en-GB"/>
              </w:rPr>
              <w:t>3</w:t>
            </w:r>
          </w:p>
        </w:tc>
        <w:tc>
          <w:tcPr>
            <w:tcW w:w="1166" w:type="dxa"/>
            <w:tcBorders>
              <w:bottom w:val="single" w:sz="4" w:space="0" w:color="000000"/>
            </w:tcBorders>
            <w:shd w:val="clear" w:color="auto" w:fill="auto"/>
          </w:tcPr>
          <w:p w14:paraId="40003960" w14:textId="57B9A004" w:rsidR="003951DE" w:rsidRPr="002D2F67" w:rsidRDefault="00CD5714" w:rsidP="005611FE">
            <w:pPr>
              <w:ind w:left="-29" w:right="-72"/>
              <w:jc w:val="right"/>
              <w:rPr>
                <w:rFonts w:ascii="Arial" w:hAnsi="Arial" w:cs="Arial"/>
                <w:color w:val="000000"/>
                <w:sz w:val="20"/>
                <w:szCs w:val="20"/>
              </w:rPr>
            </w:pPr>
            <w:r w:rsidRPr="00CD5714">
              <w:rPr>
                <w:rFonts w:ascii="Arial" w:hAnsi="Arial" w:cs="Arial"/>
                <w:color w:val="000000"/>
                <w:sz w:val="20"/>
                <w:szCs w:val="20"/>
                <w:lang w:val="en-GB"/>
              </w:rPr>
              <w:t>234</w:t>
            </w:r>
            <w:r w:rsidR="00086212" w:rsidRPr="002D2F67">
              <w:rPr>
                <w:rFonts w:ascii="Arial" w:hAnsi="Arial" w:cs="Arial"/>
                <w:color w:val="000000"/>
                <w:sz w:val="20"/>
                <w:szCs w:val="20"/>
              </w:rPr>
              <w:t>,</w:t>
            </w:r>
            <w:r w:rsidRPr="00CD5714">
              <w:rPr>
                <w:rFonts w:ascii="Arial" w:hAnsi="Arial" w:cs="Arial"/>
                <w:color w:val="000000"/>
                <w:sz w:val="20"/>
                <w:szCs w:val="20"/>
                <w:lang w:val="en-GB"/>
              </w:rPr>
              <w:t>000</w:t>
            </w:r>
          </w:p>
        </w:tc>
        <w:tc>
          <w:tcPr>
            <w:tcW w:w="4925" w:type="dxa"/>
            <w:shd w:val="clear" w:color="auto" w:fill="auto"/>
          </w:tcPr>
          <w:p w14:paraId="63A5EBDE" w14:textId="77777777" w:rsidR="003951DE" w:rsidRPr="002D2F67" w:rsidRDefault="003951DE" w:rsidP="005611FE">
            <w:pPr>
              <w:ind w:left="-29" w:right="-29"/>
              <w:jc w:val="right"/>
              <w:rPr>
                <w:rFonts w:ascii="Arial" w:hAnsi="Arial" w:cs="Arial"/>
                <w:color w:val="000000"/>
                <w:sz w:val="20"/>
                <w:szCs w:val="20"/>
              </w:rPr>
            </w:pPr>
          </w:p>
        </w:tc>
      </w:tr>
    </w:tbl>
    <w:p w14:paraId="74708730" w14:textId="7AFE5CF6" w:rsidR="00E24754" w:rsidRPr="002D2F67" w:rsidRDefault="00E24754" w:rsidP="005611FE">
      <w:pPr>
        <w:jc w:val="both"/>
        <w:rPr>
          <w:rFonts w:ascii="Arial" w:hAnsi="Arial" w:cs="Arial"/>
          <w:color w:val="000000"/>
          <w:sz w:val="20"/>
          <w:szCs w:val="20"/>
          <w:lang w:val="en"/>
        </w:rPr>
      </w:pPr>
    </w:p>
    <w:tbl>
      <w:tblPr>
        <w:tblW w:w="9461" w:type="dxa"/>
        <w:tblInd w:w="108" w:type="dxa"/>
        <w:tblLayout w:type="fixed"/>
        <w:tblLook w:val="0000" w:firstRow="0" w:lastRow="0" w:firstColumn="0" w:lastColumn="0" w:noHBand="0" w:noVBand="0"/>
      </w:tblPr>
      <w:tblGrid>
        <w:gridCol w:w="1953"/>
        <w:gridCol w:w="1417"/>
        <w:gridCol w:w="1166"/>
        <w:gridCol w:w="4925"/>
      </w:tblGrid>
      <w:tr w:rsidR="006215C3" w:rsidRPr="002D2F67" w14:paraId="53C05BB9" w14:textId="77777777" w:rsidTr="008255E8">
        <w:tc>
          <w:tcPr>
            <w:tcW w:w="9461" w:type="dxa"/>
            <w:gridSpan w:val="4"/>
            <w:tcBorders>
              <w:bottom w:val="single" w:sz="4" w:space="0" w:color="auto"/>
            </w:tcBorders>
            <w:shd w:val="clear" w:color="auto" w:fill="auto"/>
            <w:vAlign w:val="bottom"/>
          </w:tcPr>
          <w:p w14:paraId="1D29481E" w14:textId="1E1EDCA0" w:rsidR="006215C3" w:rsidRPr="002D2F67" w:rsidRDefault="00CD5714" w:rsidP="005611FE">
            <w:pPr>
              <w:ind w:left="-29" w:right="-72"/>
              <w:jc w:val="right"/>
              <w:rPr>
                <w:rFonts w:ascii="Arial" w:hAnsi="Arial" w:cs="Arial"/>
                <w:b/>
                <w:bCs/>
                <w:color w:val="000000"/>
                <w:sz w:val="20"/>
                <w:szCs w:val="25"/>
              </w:rPr>
            </w:pPr>
            <w:r w:rsidRPr="00CD5714">
              <w:rPr>
                <w:rFonts w:ascii="Arial" w:hAnsi="Arial" w:cs="Arial"/>
                <w:b/>
                <w:bCs/>
                <w:color w:val="000000"/>
                <w:sz w:val="20"/>
                <w:szCs w:val="20"/>
                <w:lang w:val="en-GB"/>
              </w:rPr>
              <w:t>31</w:t>
            </w:r>
            <w:r w:rsidR="006215C3" w:rsidRPr="002D2F67">
              <w:rPr>
                <w:rFonts w:ascii="Arial" w:hAnsi="Arial" w:cs="Arial"/>
                <w:b/>
                <w:bCs/>
                <w:color w:val="000000"/>
                <w:sz w:val="20"/>
                <w:szCs w:val="20"/>
              </w:rPr>
              <w:t xml:space="preserve"> December</w:t>
            </w:r>
            <w:r w:rsidR="006215C3" w:rsidRPr="002D2F67">
              <w:rPr>
                <w:rFonts w:ascii="Arial" w:hAnsi="Arial" w:cs="Arial"/>
                <w:b/>
                <w:bCs/>
                <w:color w:val="000000"/>
                <w:sz w:val="20"/>
                <w:szCs w:val="25"/>
              </w:rPr>
              <w:t xml:space="preserve"> </w:t>
            </w:r>
            <w:r w:rsidRPr="00CD5714">
              <w:rPr>
                <w:rFonts w:ascii="Arial" w:hAnsi="Arial" w:cs="Arial"/>
                <w:b/>
                <w:bCs/>
                <w:color w:val="000000"/>
                <w:sz w:val="20"/>
                <w:szCs w:val="25"/>
                <w:lang w:val="en-GB"/>
              </w:rPr>
              <w:t>2023</w:t>
            </w:r>
          </w:p>
        </w:tc>
      </w:tr>
      <w:tr w:rsidR="006215C3" w:rsidRPr="002D2F67" w14:paraId="5809DBB7" w14:textId="77777777" w:rsidTr="008255E8">
        <w:tc>
          <w:tcPr>
            <w:tcW w:w="1953" w:type="dxa"/>
            <w:vMerge w:val="restart"/>
            <w:tcBorders>
              <w:top w:val="single" w:sz="4" w:space="0" w:color="auto"/>
            </w:tcBorders>
            <w:shd w:val="clear" w:color="auto" w:fill="auto"/>
            <w:vAlign w:val="bottom"/>
          </w:tcPr>
          <w:p w14:paraId="158BA439" w14:textId="77777777" w:rsidR="006215C3" w:rsidRPr="002D2F67" w:rsidRDefault="006215C3" w:rsidP="005611FE">
            <w:pPr>
              <w:ind w:left="-101"/>
              <w:jc w:val="center"/>
              <w:rPr>
                <w:rFonts w:ascii="Arial" w:hAnsi="Arial" w:cs="Arial"/>
                <w:b/>
                <w:bCs/>
                <w:color w:val="000000"/>
                <w:spacing w:val="-4"/>
                <w:sz w:val="20"/>
                <w:szCs w:val="20"/>
              </w:rPr>
            </w:pPr>
            <w:r w:rsidRPr="002D2F67">
              <w:rPr>
                <w:rFonts w:ascii="Arial" w:hAnsi="Arial" w:cs="Arial"/>
                <w:b/>
                <w:bCs/>
                <w:color w:val="000000"/>
                <w:sz w:val="20"/>
                <w:szCs w:val="20"/>
              </w:rPr>
              <w:t>Type</w:t>
            </w:r>
          </w:p>
        </w:tc>
        <w:tc>
          <w:tcPr>
            <w:tcW w:w="2583" w:type="dxa"/>
            <w:gridSpan w:val="2"/>
            <w:tcBorders>
              <w:top w:val="single" w:sz="4" w:space="0" w:color="auto"/>
              <w:bottom w:val="single" w:sz="4" w:space="0" w:color="auto"/>
            </w:tcBorders>
            <w:shd w:val="clear" w:color="auto" w:fill="auto"/>
            <w:vAlign w:val="bottom"/>
          </w:tcPr>
          <w:p w14:paraId="2927D448" w14:textId="77777777" w:rsidR="006215C3" w:rsidRPr="002D2F67" w:rsidRDefault="006215C3" w:rsidP="005611FE">
            <w:pPr>
              <w:ind w:left="-29" w:right="-29"/>
              <w:jc w:val="center"/>
              <w:rPr>
                <w:rFonts w:ascii="Arial" w:hAnsi="Arial" w:cs="Arial"/>
                <w:b/>
                <w:bCs/>
                <w:color w:val="000000"/>
                <w:sz w:val="20"/>
                <w:szCs w:val="20"/>
              </w:rPr>
            </w:pPr>
            <w:r w:rsidRPr="002D2F67">
              <w:rPr>
                <w:rFonts w:ascii="Arial" w:hAnsi="Arial" w:cs="Arial"/>
                <w:b/>
                <w:bCs/>
                <w:color w:val="000000"/>
                <w:sz w:val="20"/>
                <w:szCs w:val="20"/>
              </w:rPr>
              <w:t>Balance</w:t>
            </w:r>
          </w:p>
        </w:tc>
        <w:tc>
          <w:tcPr>
            <w:tcW w:w="4925" w:type="dxa"/>
            <w:vMerge w:val="restart"/>
            <w:tcBorders>
              <w:top w:val="single" w:sz="4" w:space="0" w:color="auto"/>
            </w:tcBorders>
            <w:shd w:val="clear" w:color="auto" w:fill="auto"/>
            <w:vAlign w:val="bottom"/>
          </w:tcPr>
          <w:p w14:paraId="7807A31F" w14:textId="77777777" w:rsidR="006215C3" w:rsidRPr="002D2F67" w:rsidRDefault="006215C3" w:rsidP="005611FE">
            <w:pPr>
              <w:ind w:left="-29" w:right="-29"/>
              <w:jc w:val="center"/>
              <w:rPr>
                <w:rFonts w:ascii="Arial" w:hAnsi="Arial" w:cs="Arial"/>
                <w:b/>
                <w:bCs/>
                <w:color w:val="000000"/>
                <w:sz w:val="20"/>
                <w:szCs w:val="20"/>
              </w:rPr>
            </w:pPr>
            <w:r w:rsidRPr="002D2F67">
              <w:rPr>
                <w:rFonts w:ascii="Arial" w:hAnsi="Arial" w:cs="Arial"/>
                <w:b/>
                <w:bCs/>
                <w:color w:val="000000"/>
                <w:sz w:val="20"/>
                <w:szCs w:val="20"/>
              </w:rPr>
              <w:t>Interest rate</w:t>
            </w:r>
          </w:p>
        </w:tc>
      </w:tr>
      <w:tr w:rsidR="006215C3" w:rsidRPr="002D2F67" w14:paraId="5EE8AD7A" w14:textId="77777777" w:rsidTr="005611FE">
        <w:tc>
          <w:tcPr>
            <w:tcW w:w="1953" w:type="dxa"/>
            <w:vMerge/>
            <w:tcBorders>
              <w:bottom w:val="single" w:sz="4" w:space="0" w:color="auto"/>
            </w:tcBorders>
            <w:shd w:val="clear" w:color="auto" w:fill="auto"/>
            <w:vAlign w:val="bottom"/>
          </w:tcPr>
          <w:p w14:paraId="0D3ED446" w14:textId="77777777" w:rsidR="006215C3" w:rsidRPr="002D2F67" w:rsidRDefault="006215C3" w:rsidP="005611FE">
            <w:pPr>
              <w:ind w:left="166"/>
              <w:jc w:val="center"/>
              <w:rPr>
                <w:rFonts w:ascii="Arial" w:hAnsi="Arial" w:cs="Arial"/>
                <w:b/>
                <w:bCs/>
                <w:color w:val="000000"/>
                <w:spacing w:val="-4"/>
                <w:sz w:val="20"/>
                <w:szCs w:val="20"/>
              </w:rPr>
            </w:pPr>
          </w:p>
        </w:tc>
        <w:tc>
          <w:tcPr>
            <w:tcW w:w="1417" w:type="dxa"/>
            <w:tcBorders>
              <w:top w:val="single" w:sz="4" w:space="0" w:color="auto"/>
              <w:bottom w:val="single" w:sz="4" w:space="0" w:color="auto"/>
            </w:tcBorders>
            <w:shd w:val="clear" w:color="auto" w:fill="auto"/>
            <w:vAlign w:val="bottom"/>
          </w:tcPr>
          <w:p w14:paraId="3E623E46" w14:textId="77777777" w:rsidR="006215C3" w:rsidRPr="002D2F67" w:rsidRDefault="006215C3" w:rsidP="005611FE">
            <w:pPr>
              <w:ind w:left="-29" w:right="-108"/>
              <w:jc w:val="center"/>
              <w:rPr>
                <w:rFonts w:ascii="Arial" w:hAnsi="Arial" w:cs="Arial"/>
                <w:b/>
                <w:bCs/>
                <w:color w:val="000000"/>
                <w:sz w:val="20"/>
                <w:szCs w:val="20"/>
              </w:rPr>
            </w:pPr>
            <w:r w:rsidRPr="002D2F67">
              <w:rPr>
                <w:rFonts w:ascii="Arial" w:hAnsi="Arial" w:cs="Arial"/>
                <w:b/>
                <w:bCs/>
                <w:color w:val="000000"/>
                <w:sz w:val="20"/>
                <w:szCs w:val="20"/>
              </w:rPr>
              <w:t xml:space="preserve">Million </w:t>
            </w:r>
            <w:r w:rsidRPr="002D2F67">
              <w:rPr>
                <w:rFonts w:ascii="Arial" w:hAnsi="Arial" w:cs="Arial"/>
                <w:b/>
                <w:bCs/>
                <w:color w:val="000000"/>
                <w:sz w:val="20"/>
                <w:szCs w:val="20"/>
              </w:rPr>
              <w:br/>
              <w:t>Taiwan Dollar</w:t>
            </w:r>
          </w:p>
        </w:tc>
        <w:tc>
          <w:tcPr>
            <w:tcW w:w="1166" w:type="dxa"/>
            <w:tcBorders>
              <w:top w:val="single" w:sz="4" w:space="0" w:color="auto"/>
              <w:bottom w:val="single" w:sz="4" w:space="0" w:color="auto"/>
            </w:tcBorders>
            <w:shd w:val="clear" w:color="auto" w:fill="auto"/>
            <w:vAlign w:val="bottom"/>
          </w:tcPr>
          <w:p w14:paraId="59FBC9C9" w14:textId="77777777" w:rsidR="006215C3" w:rsidRPr="002D2F67" w:rsidRDefault="006215C3" w:rsidP="005611FE">
            <w:pPr>
              <w:ind w:left="-29" w:right="-29"/>
              <w:jc w:val="center"/>
              <w:rPr>
                <w:rFonts w:ascii="Arial" w:hAnsi="Arial" w:cs="Arial"/>
                <w:b/>
                <w:bCs/>
                <w:color w:val="000000"/>
                <w:sz w:val="20"/>
                <w:szCs w:val="20"/>
              </w:rPr>
            </w:pPr>
            <w:r w:rsidRPr="002D2F67">
              <w:rPr>
                <w:rFonts w:ascii="Arial" w:hAnsi="Arial" w:cs="Arial"/>
                <w:b/>
                <w:bCs/>
                <w:color w:val="000000"/>
                <w:sz w:val="20"/>
                <w:szCs w:val="20"/>
              </w:rPr>
              <w:t>Million Baht</w:t>
            </w:r>
          </w:p>
        </w:tc>
        <w:tc>
          <w:tcPr>
            <w:tcW w:w="4925" w:type="dxa"/>
            <w:vMerge/>
            <w:tcBorders>
              <w:bottom w:val="single" w:sz="4" w:space="0" w:color="auto"/>
            </w:tcBorders>
            <w:shd w:val="clear" w:color="auto" w:fill="auto"/>
            <w:vAlign w:val="bottom"/>
          </w:tcPr>
          <w:p w14:paraId="2B79135D" w14:textId="77777777" w:rsidR="006215C3" w:rsidRPr="002D2F67" w:rsidRDefault="006215C3" w:rsidP="005611FE">
            <w:pPr>
              <w:ind w:left="-29" w:right="-29"/>
              <w:jc w:val="center"/>
              <w:rPr>
                <w:rFonts w:ascii="Arial" w:hAnsi="Arial" w:cs="Arial"/>
                <w:b/>
                <w:bCs/>
                <w:color w:val="000000"/>
                <w:sz w:val="20"/>
                <w:szCs w:val="20"/>
              </w:rPr>
            </w:pPr>
          </w:p>
        </w:tc>
      </w:tr>
      <w:tr w:rsidR="006215C3" w:rsidRPr="002D2F67" w14:paraId="687BBECC" w14:textId="77777777" w:rsidTr="005611FE">
        <w:trPr>
          <w:trHeight w:val="20"/>
        </w:trPr>
        <w:tc>
          <w:tcPr>
            <w:tcW w:w="1953" w:type="dxa"/>
            <w:tcBorders>
              <w:top w:val="single" w:sz="4" w:space="0" w:color="auto"/>
            </w:tcBorders>
            <w:shd w:val="clear" w:color="auto" w:fill="auto"/>
          </w:tcPr>
          <w:p w14:paraId="1F54013B" w14:textId="77777777" w:rsidR="006215C3" w:rsidRPr="002D2F67" w:rsidRDefault="006215C3" w:rsidP="005611FE">
            <w:pPr>
              <w:ind w:left="166"/>
              <w:jc w:val="center"/>
              <w:rPr>
                <w:rFonts w:ascii="Arial" w:hAnsi="Arial" w:cs="Arial"/>
                <w:color w:val="000000"/>
                <w:sz w:val="10"/>
                <w:szCs w:val="10"/>
              </w:rPr>
            </w:pPr>
          </w:p>
        </w:tc>
        <w:tc>
          <w:tcPr>
            <w:tcW w:w="1417" w:type="dxa"/>
            <w:tcBorders>
              <w:top w:val="single" w:sz="4" w:space="0" w:color="auto"/>
            </w:tcBorders>
            <w:shd w:val="clear" w:color="auto" w:fill="auto"/>
          </w:tcPr>
          <w:p w14:paraId="74BFFB17" w14:textId="77777777" w:rsidR="006215C3" w:rsidRPr="002D2F67" w:rsidRDefault="006215C3" w:rsidP="005611FE">
            <w:pPr>
              <w:ind w:left="-29" w:right="-29"/>
              <w:jc w:val="center"/>
              <w:rPr>
                <w:rFonts w:ascii="Arial" w:hAnsi="Arial" w:cs="Arial"/>
                <w:color w:val="000000"/>
                <w:sz w:val="10"/>
                <w:szCs w:val="10"/>
              </w:rPr>
            </w:pPr>
          </w:p>
        </w:tc>
        <w:tc>
          <w:tcPr>
            <w:tcW w:w="1166" w:type="dxa"/>
            <w:tcBorders>
              <w:top w:val="single" w:sz="4" w:space="0" w:color="auto"/>
            </w:tcBorders>
            <w:shd w:val="clear" w:color="auto" w:fill="auto"/>
          </w:tcPr>
          <w:p w14:paraId="04108637" w14:textId="77777777" w:rsidR="006215C3" w:rsidRPr="002D2F67" w:rsidRDefault="006215C3" w:rsidP="005611FE">
            <w:pPr>
              <w:ind w:left="-29" w:right="-29"/>
              <w:jc w:val="center"/>
              <w:rPr>
                <w:rFonts w:ascii="Arial" w:hAnsi="Arial" w:cs="Arial"/>
                <w:color w:val="000000"/>
                <w:sz w:val="10"/>
                <w:szCs w:val="10"/>
              </w:rPr>
            </w:pPr>
          </w:p>
        </w:tc>
        <w:tc>
          <w:tcPr>
            <w:tcW w:w="4925" w:type="dxa"/>
            <w:tcBorders>
              <w:top w:val="single" w:sz="4" w:space="0" w:color="auto"/>
            </w:tcBorders>
            <w:shd w:val="clear" w:color="auto" w:fill="auto"/>
          </w:tcPr>
          <w:p w14:paraId="08F98BFB" w14:textId="77777777" w:rsidR="006215C3" w:rsidRPr="002D2F67" w:rsidRDefault="006215C3" w:rsidP="005611FE">
            <w:pPr>
              <w:ind w:left="-29" w:right="-29"/>
              <w:jc w:val="center"/>
              <w:rPr>
                <w:rFonts w:ascii="Arial" w:hAnsi="Arial" w:cs="Arial"/>
                <w:color w:val="000000"/>
                <w:sz w:val="10"/>
                <w:szCs w:val="10"/>
              </w:rPr>
            </w:pPr>
          </w:p>
        </w:tc>
      </w:tr>
      <w:tr w:rsidR="006215C3" w:rsidRPr="002D2F67" w14:paraId="70788283" w14:textId="77777777" w:rsidTr="005611FE">
        <w:trPr>
          <w:trHeight w:val="20"/>
        </w:trPr>
        <w:tc>
          <w:tcPr>
            <w:tcW w:w="1953" w:type="dxa"/>
            <w:shd w:val="clear" w:color="auto" w:fill="auto"/>
          </w:tcPr>
          <w:p w14:paraId="6E53952A" w14:textId="77777777" w:rsidR="006215C3" w:rsidRPr="002D2F67" w:rsidRDefault="006215C3" w:rsidP="005611FE">
            <w:pPr>
              <w:ind w:left="-108"/>
              <w:rPr>
                <w:rFonts w:ascii="Arial" w:hAnsi="Arial" w:cs="Arial"/>
                <w:color w:val="000000"/>
                <w:sz w:val="20"/>
                <w:szCs w:val="20"/>
              </w:rPr>
            </w:pPr>
            <w:r w:rsidRPr="002D2F67">
              <w:rPr>
                <w:rFonts w:ascii="Arial" w:hAnsi="Arial" w:cs="Arial"/>
                <w:color w:val="000000"/>
                <w:sz w:val="20"/>
                <w:szCs w:val="20"/>
              </w:rPr>
              <w:t>Bank overdraft</w:t>
            </w:r>
          </w:p>
        </w:tc>
        <w:tc>
          <w:tcPr>
            <w:tcW w:w="1417" w:type="dxa"/>
            <w:shd w:val="clear" w:color="auto" w:fill="auto"/>
          </w:tcPr>
          <w:p w14:paraId="178E4C2B" w14:textId="77777777" w:rsidR="006215C3" w:rsidRPr="002D2F67" w:rsidRDefault="006215C3" w:rsidP="005611FE">
            <w:pPr>
              <w:ind w:left="-43" w:right="-72"/>
              <w:jc w:val="right"/>
              <w:rPr>
                <w:rFonts w:ascii="Arial" w:hAnsi="Arial" w:cs="Arial"/>
                <w:color w:val="000000"/>
                <w:sz w:val="20"/>
                <w:szCs w:val="20"/>
              </w:rPr>
            </w:pPr>
            <w:r w:rsidRPr="002D2F67">
              <w:rPr>
                <w:rFonts w:ascii="Arial" w:hAnsi="Arial" w:cs="Arial"/>
                <w:color w:val="000000"/>
                <w:sz w:val="20"/>
                <w:szCs w:val="20"/>
              </w:rPr>
              <w:t>-</w:t>
            </w:r>
          </w:p>
        </w:tc>
        <w:tc>
          <w:tcPr>
            <w:tcW w:w="1166" w:type="dxa"/>
            <w:shd w:val="clear" w:color="auto" w:fill="auto"/>
          </w:tcPr>
          <w:p w14:paraId="490CD447" w14:textId="35AFAA88" w:rsidR="006215C3" w:rsidRPr="002D2F67" w:rsidRDefault="00CD5714" w:rsidP="005611FE">
            <w:pPr>
              <w:ind w:left="-43" w:right="-72"/>
              <w:jc w:val="right"/>
              <w:rPr>
                <w:rFonts w:ascii="Arial" w:hAnsi="Arial" w:cs="Arial"/>
                <w:color w:val="000000"/>
                <w:sz w:val="20"/>
                <w:szCs w:val="20"/>
              </w:rPr>
            </w:pPr>
            <w:r w:rsidRPr="00CD5714">
              <w:rPr>
                <w:rFonts w:ascii="Arial" w:hAnsi="Arial" w:cs="Arial"/>
                <w:color w:val="000000"/>
                <w:sz w:val="20"/>
                <w:szCs w:val="20"/>
                <w:lang w:val="en-GB"/>
              </w:rPr>
              <w:t>8</w:t>
            </w:r>
          </w:p>
        </w:tc>
        <w:tc>
          <w:tcPr>
            <w:tcW w:w="4925" w:type="dxa"/>
            <w:shd w:val="clear" w:color="auto" w:fill="auto"/>
          </w:tcPr>
          <w:p w14:paraId="0C388CA6" w14:textId="77777777" w:rsidR="006215C3" w:rsidRPr="002D2F67" w:rsidRDefault="006215C3" w:rsidP="005611FE">
            <w:pPr>
              <w:ind w:left="-108"/>
              <w:jc w:val="center"/>
              <w:rPr>
                <w:rFonts w:ascii="Arial" w:hAnsi="Arial" w:cs="Arial"/>
                <w:color w:val="000000"/>
                <w:sz w:val="20"/>
                <w:szCs w:val="20"/>
              </w:rPr>
            </w:pPr>
            <w:r w:rsidRPr="002D2F67">
              <w:rPr>
                <w:rFonts w:ascii="Arial" w:hAnsi="Arial" w:cs="Arial"/>
                <w:color w:val="000000"/>
                <w:sz w:val="20"/>
                <w:szCs w:val="20"/>
              </w:rPr>
              <w:t>Floating rate MOR</w:t>
            </w:r>
          </w:p>
        </w:tc>
      </w:tr>
      <w:tr w:rsidR="006215C3" w:rsidRPr="002D2F67" w14:paraId="64BFA7C5" w14:textId="77777777" w:rsidTr="005611FE">
        <w:tc>
          <w:tcPr>
            <w:tcW w:w="1953" w:type="dxa"/>
            <w:shd w:val="clear" w:color="auto" w:fill="auto"/>
          </w:tcPr>
          <w:p w14:paraId="5A33BCFF" w14:textId="77777777" w:rsidR="006215C3" w:rsidRPr="002D2F67" w:rsidRDefault="006215C3" w:rsidP="005611FE">
            <w:pPr>
              <w:ind w:left="-108"/>
              <w:rPr>
                <w:rFonts w:ascii="Arial" w:hAnsi="Arial" w:cs="Arial"/>
                <w:color w:val="000000"/>
                <w:sz w:val="20"/>
                <w:szCs w:val="20"/>
              </w:rPr>
            </w:pPr>
            <w:r w:rsidRPr="002D2F67">
              <w:rPr>
                <w:rFonts w:ascii="Arial" w:hAnsi="Arial" w:cs="Arial"/>
                <w:color w:val="000000"/>
                <w:sz w:val="20"/>
                <w:szCs w:val="20"/>
              </w:rPr>
              <w:t>Promissory notes</w:t>
            </w:r>
          </w:p>
        </w:tc>
        <w:tc>
          <w:tcPr>
            <w:tcW w:w="1417" w:type="dxa"/>
            <w:shd w:val="clear" w:color="auto" w:fill="auto"/>
          </w:tcPr>
          <w:p w14:paraId="0DE66193" w14:textId="4EC2AC0B" w:rsidR="006215C3" w:rsidRPr="002D2F67" w:rsidRDefault="00CD5714" w:rsidP="005611FE">
            <w:pPr>
              <w:ind w:left="-43" w:right="-72"/>
              <w:jc w:val="right"/>
              <w:rPr>
                <w:rFonts w:ascii="Arial" w:hAnsi="Arial" w:cs="Arial"/>
                <w:color w:val="000000"/>
                <w:sz w:val="20"/>
                <w:szCs w:val="20"/>
              </w:rPr>
            </w:pPr>
            <w:r w:rsidRPr="00CD5714">
              <w:rPr>
                <w:rFonts w:ascii="Arial" w:hAnsi="Arial" w:cs="Arial"/>
                <w:color w:val="000000"/>
                <w:sz w:val="20"/>
                <w:szCs w:val="20"/>
                <w:lang w:val="en-GB"/>
              </w:rPr>
              <w:t>35</w:t>
            </w:r>
          </w:p>
        </w:tc>
        <w:tc>
          <w:tcPr>
            <w:tcW w:w="1166" w:type="dxa"/>
            <w:shd w:val="clear" w:color="auto" w:fill="auto"/>
          </w:tcPr>
          <w:p w14:paraId="5A39FD32" w14:textId="32BA0E67" w:rsidR="006215C3"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w:t>
            </w:r>
            <w:r w:rsidR="006215C3" w:rsidRPr="002D2F67">
              <w:rPr>
                <w:rFonts w:ascii="Arial" w:hAnsi="Arial" w:cs="Arial"/>
                <w:color w:val="000000"/>
                <w:sz w:val="20"/>
                <w:szCs w:val="20"/>
              </w:rPr>
              <w:t>,</w:t>
            </w:r>
            <w:r w:rsidRPr="00CD5714">
              <w:rPr>
                <w:rFonts w:ascii="Arial" w:hAnsi="Arial" w:cs="Arial"/>
                <w:color w:val="000000"/>
                <w:sz w:val="20"/>
                <w:szCs w:val="20"/>
                <w:lang w:val="en-GB"/>
              </w:rPr>
              <w:t>709</w:t>
            </w:r>
          </w:p>
        </w:tc>
        <w:tc>
          <w:tcPr>
            <w:tcW w:w="4925" w:type="dxa"/>
            <w:shd w:val="clear" w:color="auto" w:fill="auto"/>
          </w:tcPr>
          <w:p w14:paraId="7DB35B39" w14:textId="545672AC" w:rsidR="006215C3" w:rsidRPr="002D2F67" w:rsidRDefault="006215C3" w:rsidP="005611FE">
            <w:pPr>
              <w:jc w:val="center"/>
              <w:rPr>
                <w:rFonts w:ascii="Arial" w:hAnsi="Arial" w:cs="Arial"/>
                <w:color w:val="000000"/>
                <w:spacing w:val="-8"/>
                <w:sz w:val="20"/>
                <w:szCs w:val="20"/>
              </w:rPr>
            </w:pPr>
            <w:r w:rsidRPr="002D2F67">
              <w:rPr>
                <w:rFonts w:ascii="Arial" w:hAnsi="Arial" w:cs="Arial"/>
                <w:color w:val="000000"/>
                <w:spacing w:val="-8"/>
                <w:sz w:val="20"/>
                <w:szCs w:val="20"/>
              </w:rPr>
              <w:t xml:space="preserve">Fixed interest rate between </w:t>
            </w:r>
            <w:r w:rsidR="00CD5714" w:rsidRPr="00CD5714">
              <w:rPr>
                <w:rFonts w:ascii="Arial" w:hAnsi="Arial" w:cs="Arial"/>
                <w:color w:val="000000"/>
                <w:spacing w:val="-8"/>
                <w:sz w:val="20"/>
                <w:szCs w:val="20"/>
                <w:lang w:val="en-GB"/>
              </w:rPr>
              <w:t>2</w:t>
            </w:r>
            <w:r w:rsidRPr="002D2F67">
              <w:rPr>
                <w:rFonts w:ascii="Arial" w:hAnsi="Arial" w:cs="Arial"/>
                <w:color w:val="000000"/>
                <w:spacing w:val="-8"/>
                <w:sz w:val="20"/>
                <w:szCs w:val="20"/>
              </w:rPr>
              <w:t>.</w:t>
            </w:r>
            <w:r w:rsidR="00CD5714" w:rsidRPr="00CD5714">
              <w:rPr>
                <w:rFonts w:ascii="Arial" w:hAnsi="Arial" w:cs="Arial"/>
                <w:color w:val="000000"/>
                <w:spacing w:val="-8"/>
                <w:sz w:val="20"/>
                <w:szCs w:val="20"/>
                <w:lang w:val="en-GB"/>
              </w:rPr>
              <w:t>88</w:t>
            </w:r>
            <w:r w:rsidRPr="002D2F67">
              <w:rPr>
                <w:rFonts w:ascii="Arial" w:hAnsi="Arial" w:cs="Arial"/>
                <w:color w:val="000000"/>
                <w:spacing w:val="-8"/>
                <w:sz w:val="20"/>
                <w:szCs w:val="20"/>
              </w:rPr>
              <w:t xml:space="preserve">% and </w:t>
            </w:r>
            <w:r w:rsidR="00CD5714" w:rsidRPr="00CD5714">
              <w:rPr>
                <w:rFonts w:ascii="Arial" w:hAnsi="Arial" w:cs="Arial"/>
                <w:color w:val="000000"/>
                <w:spacing w:val="-8"/>
                <w:sz w:val="20"/>
                <w:szCs w:val="20"/>
                <w:lang w:val="en-GB"/>
              </w:rPr>
              <w:t>4</w:t>
            </w:r>
            <w:r w:rsidRPr="002D2F67">
              <w:rPr>
                <w:rFonts w:ascii="Arial" w:hAnsi="Arial" w:cs="Arial"/>
                <w:color w:val="000000"/>
                <w:spacing w:val="-8"/>
                <w:sz w:val="20"/>
                <w:szCs w:val="20"/>
              </w:rPr>
              <w:t>.</w:t>
            </w:r>
            <w:r w:rsidR="00CD5714" w:rsidRPr="00CD5714">
              <w:rPr>
                <w:rFonts w:ascii="Arial" w:hAnsi="Arial" w:cs="Arial"/>
                <w:color w:val="000000"/>
                <w:spacing w:val="-8"/>
                <w:sz w:val="20"/>
                <w:szCs w:val="20"/>
                <w:lang w:val="en-GB"/>
              </w:rPr>
              <w:t>47</w:t>
            </w:r>
            <w:r w:rsidRPr="002D2F67">
              <w:rPr>
                <w:rFonts w:ascii="Arial" w:hAnsi="Arial" w:cs="Arial"/>
                <w:color w:val="000000"/>
                <w:spacing w:val="-8"/>
                <w:sz w:val="20"/>
                <w:szCs w:val="20"/>
              </w:rPr>
              <w:t>% per annum and</w:t>
            </w:r>
            <w:r w:rsidRPr="002D2F67">
              <w:rPr>
                <w:rFonts w:ascii="Arial" w:hAnsi="Arial" w:cs="Arial"/>
                <w:color w:val="000000"/>
                <w:spacing w:val="-8"/>
                <w:sz w:val="20"/>
                <w:szCs w:val="25"/>
              </w:rPr>
              <w:t xml:space="preserve"> floating</w:t>
            </w:r>
            <w:r w:rsidRPr="002D2F67">
              <w:rPr>
                <w:rFonts w:ascii="Arial" w:hAnsi="Arial" w:cs="Arial"/>
                <w:color w:val="000000"/>
                <w:spacing w:val="-4"/>
                <w:sz w:val="20"/>
                <w:szCs w:val="20"/>
                <w:lang w:val="en"/>
              </w:rPr>
              <w:t xml:space="preserve"> </w:t>
            </w:r>
            <w:r w:rsidR="006D2BB2" w:rsidRPr="002D2F67">
              <w:rPr>
                <w:rFonts w:ascii="Arial" w:hAnsi="Arial" w:cs="Arial"/>
                <w:color w:val="000000"/>
                <w:spacing w:val="-4"/>
                <w:sz w:val="20"/>
                <w:szCs w:val="20"/>
                <w:lang w:val="en"/>
              </w:rPr>
              <w:t>term loans from financial institutions</w:t>
            </w:r>
            <w:r w:rsidRPr="002D2F67">
              <w:rPr>
                <w:rFonts w:ascii="Arial" w:hAnsi="Arial" w:cs="Arial"/>
                <w:color w:val="000000"/>
                <w:spacing w:val="-8"/>
                <w:sz w:val="20"/>
                <w:szCs w:val="25"/>
              </w:rPr>
              <w:t xml:space="preserve"> rate between MLR less fixed discount and MLR per annum</w:t>
            </w:r>
          </w:p>
        </w:tc>
      </w:tr>
      <w:tr w:rsidR="006215C3" w:rsidRPr="002D2F67" w14:paraId="6F0BC745" w14:textId="77777777" w:rsidTr="005611FE">
        <w:tc>
          <w:tcPr>
            <w:tcW w:w="1953" w:type="dxa"/>
            <w:shd w:val="clear" w:color="auto" w:fill="auto"/>
          </w:tcPr>
          <w:p w14:paraId="27941965" w14:textId="77777777" w:rsidR="006215C3" w:rsidRPr="002D2F67" w:rsidRDefault="006215C3" w:rsidP="005611FE">
            <w:pPr>
              <w:ind w:left="-108"/>
              <w:rPr>
                <w:rFonts w:ascii="Arial" w:hAnsi="Arial" w:cs="Arial"/>
                <w:color w:val="000000"/>
                <w:sz w:val="20"/>
                <w:szCs w:val="20"/>
              </w:rPr>
            </w:pPr>
            <w:r w:rsidRPr="002D2F67">
              <w:rPr>
                <w:rFonts w:ascii="Arial" w:hAnsi="Arial" w:cs="Arial"/>
                <w:color w:val="000000"/>
                <w:sz w:val="20"/>
                <w:szCs w:val="20"/>
              </w:rPr>
              <w:t>Trust receipts</w:t>
            </w:r>
          </w:p>
        </w:tc>
        <w:tc>
          <w:tcPr>
            <w:tcW w:w="1417" w:type="dxa"/>
            <w:shd w:val="clear" w:color="auto" w:fill="auto"/>
          </w:tcPr>
          <w:p w14:paraId="779EEF96" w14:textId="77777777" w:rsidR="006215C3" w:rsidRPr="002D2F67" w:rsidRDefault="006215C3" w:rsidP="005611FE">
            <w:pPr>
              <w:ind w:left="-43" w:right="-72"/>
              <w:jc w:val="right"/>
              <w:rPr>
                <w:rFonts w:ascii="Arial" w:hAnsi="Arial" w:cs="Arial"/>
                <w:color w:val="000000"/>
                <w:sz w:val="20"/>
                <w:szCs w:val="20"/>
              </w:rPr>
            </w:pPr>
            <w:r w:rsidRPr="002D2F67">
              <w:rPr>
                <w:rFonts w:ascii="Arial" w:hAnsi="Arial" w:cs="Arial"/>
                <w:color w:val="000000"/>
                <w:sz w:val="20"/>
                <w:szCs w:val="20"/>
              </w:rPr>
              <w:t>-</w:t>
            </w:r>
          </w:p>
        </w:tc>
        <w:tc>
          <w:tcPr>
            <w:tcW w:w="1166" w:type="dxa"/>
            <w:shd w:val="clear" w:color="auto" w:fill="auto"/>
          </w:tcPr>
          <w:p w14:paraId="275A3AAA" w14:textId="11CF36D7" w:rsidR="006215C3"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6215C3" w:rsidRPr="002D2F67">
              <w:rPr>
                <w:rFonts w:ascii="Arial" w:hAnsi="Arial" w:cs="Arial"/>
                <w:color w:val="000000"/>
                <w:sz w:val="20"/>
                <w:szCs w:val="20"/>
              </w:rPr>
              <w:t>,</w:t>
            </w:r>
            <w:r w:rsidRPr="00CD5714">
              <w:rPr>
                <w:rFonts w:ascii="Arial" w:hAnsi="Arial" w:cs="Arial"/>
                <w:color w:val="000000"/>
                <w:sz w:val="20"/>
                <w:szCs w:val="20"/>
                <w:lang w:val="en-GB"/>
              </w:rPr>
              <w:t>334</w:t>
            </w:r>
          </w:p>
        </w:tc>
        <w:tc>
          <w:tcPr>
            <w:tcW w:w="4925" w:type="dxa"/>
            <w:shd w:val="clear" w:color="auto" w:fill="auto"/>
          </w:tcPr>
          <w:p w14:paraId="4B895842" w14:textId="4FD8F68F" w:rsidR="006215C3" w:rsidRPr="002D2F67" w:rsidRDefault="006215C3" w:rsidP="005611FE">
            <w:pPr>
              <w:jc w:val="center"/>
              <w:rPr>
                <w:rFonts w:ascii="Arial" w:hAnsi="Arial" w:cs="Arial"/>
                <w:color w:val="000000"/>
                <w:spacing w:val="-8"/>
                <w:sz w:val="20"/>
                <w:szCs w:val="20"/>
              </w:rPr>
            </w:pPr>
            <w:r w:rsidRPr="002D2F67">
              <w:rPr>
                <w:rFonts w:ascii="Arial" w:hAnsi="Arial" w:cs="Arial"/>
                <w:color w:val="000000"/>
                <w:spacing w:val="-8"/>
                <w:sz w:val="20"/>
                <w:szCs w:val="20"/>
              </w:rPr>
              <w:t xml:space="preserve">Fixed interest rate between </w:t>
            </w:r>
            <w:r w:rsidR="00CD5714" w:rsidRPr="00CD5714">
              <w:rPr>
                <w:rFonts w:ascii="Arial" w:hAnsi="Arial" w:cs="Arial"/>
                <w:color w:val="000000"/>
                <w:spacing w:val="-8"/>
                <w:sz w:val="20"/>
                <w:szCs w:val="20"/>
                <w:lang w:val="en-GB"/>
              </w:rPr>
              <w:t>2</w:t>
            </w:r>
            <w:r w:rsidRPr="002D2F67">
              <w:rPr>
                <w:rFonts w:ascii="Arial" w:hAnsi="Arial" w:cs="Arial"/>
                <w:color w:val="000000"/>
                <w:spacing w:val="-8"/>
                <w:sz w:val="20"/>
                <w:szCs w:val="20"/>
              </w:rPr>
              <w:t>.</w:t>
            </w:r>
            <w:r w:rsidR="00CD5714" w:rsidRPr="00CD5714">
              <w:rPr>
                <w:rFonts w:ascii="Arial" w:hAnsi="Arial" w:cs="Arial"/>
                <w:color w:val="000000"/>
                <w:spacing w:val="-8"/>
                <w:sz w:val="20"/>
                <w:szCs w:val="20"/>
                <w:lang w:val="en-GB"/>
              </w:rPr>
              <w:t>30</w:t>
            </w:r>
            <w:r w:rsidRPr="002D2F67">
              <w:rPr>
                <w:rFonts w:ascii="Arial" w:hAnsi="Arial" w:cs="Arial"/>
                <w:color w:val="000000"/>
                <w:spacing w:val="-8"/>
                <w:sz w:val="20"/>
                <w:szCs w:val="20"/>
              </w:rPr>
              <w:t xml:space="preserve">% and </w:t>
            </w:r>
            <w:r w:rsidR="00CD5714" w:rsidRPr="00CD5714">
              <w:rPr>
                <w:rFonts w:ascii="Arial" w:hAnsi="Arial" w:cs="Arial"/>
                <w:color w:val="000000"/>
                <w:spacing w:val="-8"/>
                <w:sz w:val="20"/>
                <w:szCs w:val="20"/>
                <w:lang w:val="en-GB"/>
              </w:rPr>
              <w:t>3</w:t>
            </w:r>
            <w:r w:rsidRPr="002D2F67">
              <w:rPr>
                <w:rFonts w:ascii="Arial" w:hAnsi="Arial" w:cs="Arial"/>
                <w:color w:val="000000"/>
                <w:spacing w:val="-8"/>
                <w:sz w:val="20"/>
                <w:szCs w:val="20"/>
              </w:rPr>
              <w:t>.</w:t>
            </w:r>
            <w:r w:rsidR="00CD5714" w:rsidRPr="00CD5714">
              <w:rPr>
                <w:rFonts w:ascii="Arial" w:hAnsi="Arial" w:cs="Arial"/>
                <w:color w:val="000000"/>
                <w:spacing w:val="-8"/>
                <w:sz w:val="20"/>
                <w:szCs w:val="20"/>
                <w:lang w:val="en-GB"/>
              </w:rPr>
              <w:t>80</w:t>
            </w:r>
            <w:r w:rsidRPr="002D2F67">
              <w:rPr>
                <w:rFonts w:ascii="Arial" w:hAnsi="Arial" w:cs="Arial"/>
                <w:color w:val="000000"/>
                <w:spacing w:val="-8"/>
                <w:sz w:val="20"/>
                <w:szCs w:val="20"/>
              </w:rPr>
              <w:t>% per annum</w:t>
            </w:r>
          </w:p>
        </w:tc>
      </w:tr>
      <w:tr w:rsidR="006215C3" w:rsidRPr="002D2F67" w14:paraId="5225F8E5" w14:textId="77777777" w:rsidTr="005611FE">
        <w:tc>
          <w:tcPr>
            <w:tcW w:w="1953" w:type="dxa"/>
            <w:shd w:val="clear" w:color="auto" w:fill="auto"/>
          </w:tcPr>
          <w:p w14:paraId="31E8A677" w14:textId="77777777" w:rsidR="006215C3" w:rsidRPr="002D2F67" w:rsidRDefault="006215C3" w:rsidP="005611FE">
            <w:pPr>
              <w:ind w:left="-108"/>
              <w:rPr>
                <w:rFonts w:ascii="Arial" w:hAnsi="Arial" w:cs="Arial"/>
                <w:color w:val="000000"/>
                <w:sz w:val="20"/>
                <w:szCs w:val="20"/>
              </w:rPr>
            </w:pPr>
            <w:r w:rsidRPr="002D2F67">
              <w:rPr>
                <w:rFonts w:ascii="Arial" w:hAnsi="Arial" w:cs="Arial"/>
                <w:color w:val="000000"/>
                <w:sz w:val="20"/>
                <w:szCs w:val="20"/>
              </w:rPr>
              <w:t>Letter of credit</w:t>
            </w:r>
          </w:p>
        </w:tc>
        <w:tc>
          <w:tcPr>
            <w:tcW w:w="1417" w:type="dxa"/>
            <w:tcBorders>
              <w:bottom w:val="single" w:sz="4" w:space="0" w:color="000000"/>
            </w:tcBorders>
            <w:shd w:val="clear" w:color="auto" w:fill="auto"/>
          </w:tcPr>
          <w:p w14:paraId="4546FB92" w14:textId="44923813" w:rsidR="006215C3" w:rsidRPr="002D2F67" w:rsidRDefault="00CD5714" w:rsidP="005611FE">
            <w:pPr>
              <w:ind w:left="-29" w:right="-72"/>
              <w:jc w:val="right"/>
              <w:rPr>
                <w:rFonts w:ascii="Arial" w:hAnsi="Arial" w:cs="Arial"/>
                <w:color w:val="000000"/>
                <w:sz w:val="20"/>
                <w:szCs w:val="20"/>
              </w:rPr>
            </w:pPr>
            <w:r w:rsidRPr="00CD5714">
              <w:rPr>
                <w:rFonts w:ascii="Arial" w:hAnsi="Arial" w:cs="Arial"/>
                <w:color w:val="000000"/>
                <w:sz w:val="20"/>
                <w:szCs w:val="20"/>
                <w:lang w:val="en-GB"/>
              </w:rPr>
              <w:t>100</w:t>
            </w:r>
          </w:p>
        </w:tc>
        <w:tc>
          <w:tcPr>
            <w:tcW w:w="1166" w:type="dxa"/>
            <w:tcBorders>
              <w:bottom w:val="single" w:sz="4" w:space="0" w:color="000000"/>
            </w:tcBorders>
            <w:shd w:val="clear" w:color="auto" w:fill="auto"/>
          </w:tcPr>
          <w:p w14:paraId="4F2DEFCC" w14:textId="234A4A55" w:rsidR="006215C3" w:rsidRPr="002D2F67" w:rsidRDefault="00CD5714" w:rsidP="005611FE">
            <w:pPr>
              <w:ind w:left="-29" w:right="-72"/>
              <w:jc w:val="right"/>
              <w:rPr>
                <w:rFonts w:ascii="Arial" w:hAnsi="Arial" w:cs="Arial"/>
                <w:color w:val="000000"/>
                <w:sz w:val="20"/>
                <w:szCs w:val="20"/>
              </w:rPr>
            </w:pPr>
            <w:r w:rsidRPr="00CD5714">
              <w:rPr>
                <w:rFonts w:ascii="Arial" w:hAnsi="Arial" w:cs="Arial"/>
                <w:color w:val="000000"/>
                <w:sz w:val="20"/>
                <w:szCs w:val="20"/>
                <w:lang w:val="en-GB"/>
              </w:rPr>
              <w:t>102</w:t>
            </w:r>
          </w:p>
        </w:tc>
        <w:tc>
          <w:tcPr>
            <w:tcW w:w="4925" w:type="dxa"/>
            <w:shd w:val="clear" w:color="auto" w:fill="auto"/>
          </w:tcPr>
          <w:p w14:paraId="30554432" w14:textId="55371468" w:rsidR="006215C3" w:rsidRPr="002D2F67" w:rsidRDefault="006215C3" w:rsidP="005611FE">
            <w:pPr>
              <w:ind w:left="-29" w:right="-29"/>
              <w:jc w:val="center"/>
              <w:rPr>
                <w:rFonts w:ascii="Arial" w:hAnsi="Arial" w:cs="Arial"/>
                <w:color w:val="000000"/>
                <w:spacing w:val="-8"/>
                <w:sz w:val="20"/>
                <w:szCs w:val="20"/>
              </w:rPr>
            </w:pPr>
            <w:r w:rsidRPr="002D2F67">
              <w:rPr>
                <w:rFonts w:ascii="Arial" w:hAnsi="Arial" w:cs="Arial"/>
                <w:color w:val="000000"/>
                <w:spacing w:val="-8"/>
                <w:sz w:val="20"/>
                <w:szCs w:val="20"/>
              </w:rPr>
              <w:t xml:space="preserve">Fixed interest rate between </w:t>
            </w:r>
            <w:r w:rsidR="00CD5714" w:rsidRPr="00CD5714">
              <w:rPr>
                <w:rFonts w:ascii="Arial" w:hAnsi="Arial" w:cs="Arial"/>
                <w:color w:val="000000"/>
                <w:spacing w:val="-8"/>
                <w:sz w:val="20"/>
                <w:szCs w:val="20"/>
                <w:lang w:val="en-GB"/>
              </w:rPr>
              <w:t>3</w:t>
            </w:r>
            <w:r w:rsidRPr="002D2F67">
              <w:rPr>
                <w:rFonts w:ascii="Arial" w:hAnsi="Arial" w:cs="Arial"/>
                <w:color w:val="000000"/>
                <w:spacing w:val="-8"/>
                <w:sz w:val="20"/>
                <w:szCs w:val="20"/>
              </w:rPr>
              <w:t>.</w:t>
            </w:r>
            <w:r w:rsidR="00CD5714" w:rsidRPr="00CD5714">
              <w:rPr>
                <w:rFonts w:ascii="Arial" w:hAnsi="Arial" w:cs="Arial"/>
                <w:color w:val="000000"/>
                <w:spacing w:val="-8"/>
                <w:sz w:val="20"/>
                <w:szCs w:val="20"/>
                <w:lang w:val="en-GB"/>
              </w:rPr>
              <w:t>53</w:t>
            </w:r>
            <w:r w:rsidRPr="002D2F67">
              <w:rPr>
                <w:rFonts w:ascii="Arial" w:hAnsi="Arial" w:cs="Arial"/>
                <w:color w:val="000000"/>
                <w:spacing w:val="-8"/>
                <w:sz w:val="20"/>
                <w:szCs w:val="20"/>
              </w:rPr>
              <w:t xml:space="preserve">% and </w:t>
            </w:r>
            <w:r w:rsidR="00CD5714" w:rsidRPr="00CD5714">
              <w:rPr>
                <w:rFonts w:ascii="Arial" w:hAnsi="Arial" w:cs="Arial"/>
                <w:color w:val="000000"/>
                <w:spacing w:val="-8"/>
                <w:sz w:val="20"/>
                <w:szCs w:val="20"/>
                <w:lang w:val="en-GB"/>
              </w:rPr>
              <w:t>4</w:t>
            </w:r>
            <w:r w:rsidRPr="002D2F67">
              <w:rPr>
                <w:rFonts w:ascii="Arial" w:hAnsi="Arial" w:cs="Arial"/>
                <w:color w:val="000000"/>
                <w:spacing w:val="-8"/>
                <w:sz w:val="20"/>
                <w:szCs w:val="20"/>
              </w:rPr>
              <w:t>.</w:t>
            </w:r>
            <w:r w:rsidR="00CD5714" w:rsidRPr="00CD5714">
              <w:rPr>
                <w:rFonts w:ascii="Arial" w:hAnsi="Arial" w:cs="Arial"/>
                <w:color w:val="000000"/>
                <w:spacing w:val="-8"/>
                <w:sz w:val="20"/>
                <w:szCs w:val="20"/>
                <w:lang w:val="en-GB"/>
              </w:rPr>
              <w:t>47</w:t>
            </w:r>
            <w:r w:rsidRPr="002D2F67">
              <w:rPr>
                <w:rFonts w:ascii="Arial" w:hAnsi="Arial" w:cs="Arial"/>
                <w:color w:val="000000"/>
                <w:spacing w:val="-8"/>
                <w:sz w:val="20"/>
                <w:szCs w:val="20"/>
              </w:rPr>
              <w:t>% per annum</w:t>
            </w:r>
          </w:p>
        </w:tc>
      </w:tr>
      <w:tr w:rsidR="006215C3" w:rsidRPr="002D2F67" w14:paraId="273728CA" w14:textId="77777777" w:rsidTr="005611FE">
        <w:tc>
          <w:tcPr>
            <w:tcW w:w="1953" w:type="dxa"/>
            <w:shd w:val="clear" w:color="auto" w:fill="auto"/>
          </w:tcPr>
          <w:p w14:paraId="15CA5504" w14:textId="77777777" w:rsidR="006215C3" w:rsidRPr="002D2F67" w:rsidRDefault="006215C3" w:rsidP="005611FE">
            <w:pPr>
              <w:ind w:left="-108"/>
              <w:rPr>
                <w:rFonts w:ascii="Arial" w:hAnsi="Arial" w:cs="Arial"/>
                <w:color w:val="000000"/>
                <w:sz w:val="16"/>
                <w:szCs w:val="16"/>
              </w:rPr>
            </w:pPr>
          </w:p>
        </w:tc>
        <w:tc>
          <w:tcPr>
            <w:tcW w:w="1417" w:type="dxa"/>
            <w:tcBorders>
              <w:top w:val="single" w:sz="4" w:space="0" w:color="000000"/>
            </w:tcBorders>
            <w:shd w:val="clear" w:color="auto" w:fill="auto"/>
          </w:tcPr>
          <w:p w14:paraId="0E2C3C8B" w14:textId="77777777" w:rsidR="006215C3" w:rsidRPr="002D2F67" w:rsidRDefault="006215C3" w:rsidP="005611FE">
            <w:pPr>
              <w:ind w:left="-29" w:right="-72"/>
              <w:jc w:val="right"/>
              <w:rPr>
                <w:rFonts w:ascii="Arial" w:hAnsi="Arial" w:cs="Arial"/>
                <w:color w:val="000000"/>
                <w:sz w:val="16"/>
                <w:szCs w:val="16"/>
              </w:rPr>
            </w:pPr>
          </w:p>
        </w:tc>
        <w:tc>
          <w:tcPr>
            <w:tcW w:w="1166" w:type="dxa"/>
            <w:tcBorders>
              <w:top w:val="single" w:sz="4" w:space="0" w:color="000000"/>
            </w:tcBorders>
            <w:shd w:val="clear" w:color="auto" w:fill="auto"/>
          </w:tcPr>
          <w:p w14:paraId="521B5BEA" w14:textId="77777777" w:rsidR="006215C3" w:rsidRPr="002D2F67" w:rsidRDefault="006215C3" w:rsidP="005611FE">
            <w:pPr>
              <w:ind w:left="-29" w:right="-72"/>
              <w:jc w:val="right"/>
              <w:rPr>
                <w:rFonts w:ascii="Arial" w:hAnsi="Arial" w:cs="Arial"/>
                <w:color w:val="000000"/>
                <w:sz w:val="16"/>
                <w:szCs w:val="16"/>
              </w:rPr>
            </w:pPr>
          </w:p>
        </w:tc>
        <w:tc>
          <w:tcPr>
            <w:tcW w:w="4925" w:type="dxa"/>
            <w:shd w:val="clear" w:color="auto" w:fill="auto"/>
          </w:tcPr>
          <w:p w14:paraId="7EA1FB6B" w14:textId="77777777" w:rsidR="006215C3" w:rsidRPr="002D2F67" w:rsidRDefault="006215C3" w:rsidP="005611FE">
            <w:pPr>
              <w:ind w:left="-29" w:right="-29"/>
              <w:jc w:val="right"/>
              <w:rPr>
                <w:rFonts w:ascii="Arial" w:hAnsi="Arial" w:cs="Arial"/>
                <w:color w:val="000000"/>
                <w:sz w:val="16"/>
                <w:szCs w:val="16"/>
              </w:rPr>
            </w:pPr>
          </w:p>
        </w:tc>
      </w:tr>
      <w:tr w:rsidR="006215C3" w:rsidRPr="002D2F67" w14:paraId="7DB6590C" w14:textId="77777777" w:rsidTr="005611FE">
        <w:tc>
          <w:tcPr>
            <w:tcW w:w="1953" w:type="dxa"/>
            <w:shd w:val="clear" w:color="auto" w:fill="auto"/>
          </w:tcPr>
          <w:p w14:paraId="0A249D09" w14:textId="77777777" w:rsidR="006215C3" w:rsidRPr="002D2F67" w:rsidRDefault="006215C3" w:rsidP="005611FE">
            <w:pPr>
              <w:ind w:left="-108"/>
              <w:rPr>
                <w:rFonts w:ascii="Arial" w:hAnsi="Arial" w:cs="Arial"/>
                <w:color w:val="000000"/>
                <w:sz w:val="20"/>
                <w:szCs w:val="20"/>
              </w:rPr>
            </w:pPr>
            <w:r w:rsidRPr="002D2F67">
              <w:rPr>
                <w:rFonts w:ascii="Arial" w:hAnsi="Arial" w:cs="Arial"/>
                <w:color w:val="000000"/>
                <w:sz w:val="20"/>
                <w:szCs w:val="20"/>
              </w:rPr>
              <w:t>Total</w:t>
            </w:r>
          </w:p>
        </w:tc>
        <w:tc>
          <w:tcPr>
            <w:tcW w:w="1417" w:type="dxa"/>
            <w:tcBorders>
              <w:bottom w:val="single" w:sz="4" w:space="0" w:color="000000"/>
            </w:tcBorders>
            <w:shd w:val="clear" w:color="auto" w:fill="auto"/>
            <w:vAlign w:val="bottom"/>
          </w:tcPr>
          <w:p w14:paraId="39A918F8" w14:textId="6EBF7190" w:rsidR="006215C3" w:rsidRPr="002D2F67" w:rsidRDefault="00CD5714" w:rsidP="005611FE">
            <w:pPr>
              <w:ind w:left="-43" w:right="-72"/>
              <w:jc w:val="right"/>
              <w:rPr>
                <w:rFonts w:ascii="Arial" w:hAnsi="Arial" w:cs="Arial"/>
                <w:color w:val="000000"/>
                <w:sz w:val="20"/>
                <w:szCs w:val="20"/>
              </w:rPr>
            </w:pPr>
            <w:r w:rsidRPr="00CD5714">
              <w:rPr>
                <w:rFonts w:ascii="Arial" w:hAnsi="Arial" w:cs="Arial"/>
                <w:color w:val="000000"/>
                <w:sz w:val="20"/>
                <w:szCs w:val="20"/>
                <w:lang w:val="en-GB"/>
              </w:rPr>
              <w:t>135</w:t>
            </w:r>
          </w:p>
        </w:tc>
        <w:tc>
          <w:tcPr>
            <w:tcW w:w="1166" w:type="dxa"/>
            <w:tcBorders>
              <w:bottom w:val="single" w:sz="4" w:space="0" w:color="000000"/>
            </w:tcBorders>
            <w:shd w:val="clear" w:color="auto" w:fill="auto"/>
          </w:tcPr>
          <w:p w14:paraId="272FAC80" w14:textId="0C9A3A85" w:rsidR="006215C3" w:rsidRPr="002D2F67" w:rsidRDefault="00CD5714" w:rsidP="005611FE">
            <w:pPr>
              <w:ind w:left="-29" w:right="-72"/>
              <w:jc w:val="right"/>
              <w:rPr>
                <w:rFonts w:ascii="Arial" w:hAnsi="Arial" w:cs="Arial"/>
                <w:color w:val="000000"/>
                <w:sz w:val="20"/>
                <w:szCs w:val="20"/>
              </w:rPr>
            </w:pPr>
            <w:r w:rsidRPr="00CD5714">
              <w:rPr>
                <w:rFonts w:ascii="Arial" w:hAnsi="Arial" w:cs="Arial"/>
                <w:color w:val="000000"/>
                <w:sz w:val="20"/>
                <w:szCs w:val="20"/>
                <w:lang w:val="en-GB"/>
              </w:rPr>
              <w:t>5</w:t>
            </w:r>
            <w:r w:rsidR="006215C3" w:rsidRPr="002D2F67">
              <w:rPr>
                <w:rFonts w:ascii="Arial" w:hAnsi="Arial" w:cs="Arial"/>
                <w:color w:val="000000"/>
                <w:sz w:val="20"/>
                <w:szCs w:val="20"/>
              </w:rPr>
              <w:t>,</w:t>
            </w:r>
            <w:r w:rsidRPr="00CD5714">
              <w:rPr>
                <w:rFonts w:ascii="Arial" w:hAnsi="Arial" w:cs="Arial"/>
                <w:color w:val="000000"/>
                <w:sz w:val="20"/>
                <w:szCs w:val="20"/>
                <w:lang w:val="en-GB"/>
              </w:rPr>
              <w:t>153</w:t>
            </w:r>
          </w:p>
        </w:tc>
        <w:tc>
          <w:tcPr>
            <w:tcW w:w="4925" w:type="dxa"/>
            <w:shd w:val="clear" w:color="auto" w:fill="auto"/>
          </w:tcPr>
          <w:p w14:paraId="6AF96C23" w14:textId="77777777" w:rsidR="006215C3" w:rsidRPr="002D2F67" w:rsidRDefault="006215C3" w:rsidP="005611FE">
            <w:pPr>
              <w:ind w:left="-29" w:right="-29"/>
              <w:jc w:val="right"/>
              <w:rPr>
                <w:rFonts w:ascii="Arial" w:hAnsi="Arial" w:cs="Arial"/>
                <w:color w:val="000000"/>
                <w:sz w:val="20"/>
                <w:szCs w:val="20"/>
              </w:rPr>
            </w:pPr>
          </w:p>
        </w:tc>
      </w:tr>
    </w:tbl>
    <w:p w14:paraId="380BA6FC" w14:textId="2B35E196" w:rsidR="00546FD8" w:rsidRPr="002D2F67" w:rsidRDefault="00546FD8" w:rsidP="005611FE">
      <w:pPr>
        <w:jc w:val="both"/>
        <w:rPr>
          <w:rFonts w:ascii="Arial" w:hAnsi="Arial" w:cs="Arial"/>
          <w:color w:val="000000"/>
          <w:sz w:val="20"/>
          <w:szCs w:val="20"/>
          <w:lang w:val="en"/>
        </w:rPr>
      </w:pPr>
    </w:p>
    <w:p w14:paraId="3B4AF538" w14:textId="09DB526E" w:rsidR="001D7125" w:rsidRPr="002D2F67" w:rsidRDefault="00A332F8" w:rsidP="005611FE">
      <w:pPr>
        <w:jc w:val="both"/>
        <w:rPr>
          <w:rFonts w:ascii="Arial" w:hAnsi="Arial" w:cs="Arial"/>
          <w:b/>
          <w:bCs/>
          <w:color w:val="000000"/>
          <w:sz w:val="20"/>
          <w:szCs w:val="20"/>
        </w:rPr>
      </w:pPr>
      <w:r w:rsidRPr="002D2F67">
        <w:rPr>
          <w:rFonts w:ascii="Arial" w:hAnsi="Arial" w:cs="Arial"/>
          <w:b/>
          <w:bCs/>
          <w:color w:val="000000"/>
          <w:sz w:val="20"/>
          <w:szCs w:val="20"/>
        </w:rPr>
        <w:t>Credit facilities</w:t>
      </w:r>
      <w:r w:rsidR="001D7125" w:rsidRPr="002D2F67">
        <w:rPr>
          <w:rFonts w:ascii="Arial" w:hAnsi="Arial" w:cs="Arial"/>
          <w:b/>
          <w:bCs/>
          <w:color w:val="000000"/>
          <w:sz w:val="20"/>
          <w:szCs w:val="20"/>
        </w:rPr>
        <w:t xml:space="preserve"> for short-term loans</w:t>
      </w:r>
    </w:p>
    <w:p w14:paraId="69DEA355" w14:textId="77777777" w:rsidR="00843DE7" w:rsidRPr="002D2F67" w:rsidRDefault="00843DE7" w:rsidP="005611FE">
      <w:pPr>
        <w:jc w:val="both"/>
        <w:rPr>
          <w:rFonts w:ascii="Arial" w:hAnsi="Arial" w:cs="Arial"/>
          <w:b/>
          <w:bCs/>
          <w:color w:val="000000"/>
          <w:sz w:val="20"/>
          <w:szCs w:val="20"/>
        </w:rPr>
      </w:pPr>
    </w:p>
    <w:p w14:paraId="3E7150C1" w14:textId="785EEE30" w:rsidR="00D94EAC" w:rsidRPr="002D2F67" w:rsidRDefault="00820DC5" w:rsidP="005611FE">
      <w:pPr>
        <w:jc w:val="both"/>
        <w:rPr>
          <w:rFonts w:ascii="Arial" w:hAnsi="Arial" w:cs="Arial"/>
          <w:b/>
          <w:bCs/>
          <w:color w:val="000000"/>
          <w:sz w:val="18"/>
          <w:szCs w:val="18"/>
        </w:rPr>
      </w:pPr>
      <w:r w:rsidRPr="002D2F67">
        <w:rPr>
          <w:rFonts w:ascii="Arial" w:hAnsi="Arial" w:cs="Arial"/>
          <w:color w:val="000000"/>
          <w:spacing w:val="-4"/>
          <w:sz w:val="20"/>
          <w:szCs w:val="20"/>
        </w:rPr>
        <w:t>As</w:t>
      </w:r>
      <w:r w:rsidR="00044AB6" w:rsidRPr="002D2F67">
        <w:rPr>
          <w:rFonts w:ascii="Arial" w:hAnsi="Arial" w:cs="Arial"/>
          <w:color w:val="000000"/>
          <w:spacing w:val="-4"/>
          <w:sz w:val="20"/>
          <w:szCs w:val="20"/>
        </w:rPr>
        <w:t xml:space="preserve"> </w:t>
      </w:r>
      <w:proofErr w:type="gramStart"/>
      <w:r w:rsidR="00044AB6" w:rsidRPr="002D2F67">
        <w:rPr>
          <w:rFonts w:ascii="Arial" w:hAnsi="Arial" w:cs="Arial"/>
          <w:color w:val="000000"/>
          <w:spacing w:val="-4"/>
          <w:sz w:val="20"/>
          <w:szCs w:val="20"/>
        </w:rPr>
        <w:t>at</w:t>
      </w:r>
      <w:proofErr w:type="gramEnd"/>
      <w:r w:rsidR="00044AB6" w:rsidRPr="002D2F67">
        <w:rPr>
          <w:rFonts w:ascii="Arial" w:hAnsi="Arial" w:cs="Arial"/>
          <w:color w:val="000000"/>
          <w:spacing w:val="-4"/>
          <w:sz w:val="20"/>
          <w:szCs w:val="20"/>
        </w:rPr>
        <w:t xml:space="preserve"> </w:t>
      </w:r>
      <w:r w:rsidR="00CD5714" w:rsidRPr="00CD5714">
        <w:rPr>
          <w:rFonts w:ascii="Arial" w:hAnsi="Arial" w:cs="Arial"/>
          <w:color w:val="000000"/>
          <w:spacing w:val="-4"/>
          <w:sz w:val="20"/>
          <w:szCs w:val="20"/>
          <w:lang w:val="en-GB"/>
        </w:rPr>
        <w:t>31</w:t>
      </w:r>
      <w:r w:rsidR="00044AB6" w:rsidRPr="002D2F67">
        <w:rPr>
          <w:rFonts w:ascii="Arial" w:hAnsi="Arial" w:cs="Arial"/>
          <w:color w:val="000000"/>
          <w:spacing w:val="-4"/>
          <w:sz w:val="20"/>
          <w:szCs w:val="20"/>
        </w:rPr>
        <w:t xml:space="preserve"> December </w:t>
      </w:r>
      <w:r w:rsidR="00CD5714" w:rsidRPr="00CD5714">
        <w:rPr>
          <w:rFonts w:ascii="Arial" w:hAnsi="Arial" w:cs="Arial"/>
          <w:color w:val="000000"/>
          <w:spacing w:val="-4"/>
          <w:sz w:val="20"/>
          <w:szCs w:val="20"/>
          <w:lang w:val="en-GB"/>
        </w:rPr>
        <w:t>2024</w:t>
      </w:r>
      <w:r w:rsidR="00044AB6" w:rsidRPr="002D2F67">
        <w:rPr>
          <w:rFonts w:ascii="Arial" w:hAnsi="Arial" w:cs="Arial"/>
          <w:color w:val="000000"/>
          <w:spacing w:val="-4"/>
          <w:sz w:val="20"/>
          <w:szCs w:val="20"/>
        </w:rPr>
        <w:t>, the Group and the Company ha</w:t>
      </w:r>
      <w:r w:rsidR="00A469AF" w:rsidRPr="002D2F67">
        <w:rPr>
          <w:rFonts w:ascii="Arial" w:hAnsi="Arial" w:cs="Arial"/>
          <w:color w:val="000000"/>
          <w:spacing w:val="-4"/>
          <w:sz w:val="20"/>
          <w:szCs w:val="20"/>
        </w:rPr>
        <w:t>d</w:t>
      </w:r>
      <w:r w:rsidR="00044AB6" w:rsidRPr="002D2F67">
        <w:rPr>
          <w:rFonts w:ascii="Arial" w:hAnsi="Arial" w:cs="Arial"/>
          <w:color w:val="000000"/>
          <w:spacing w:val="-4"/>
          <w:sz w:val="20"/>
          <w:szCs w:val="20"/>
        </w:rPr>
        <w:t xml:space="preserve"> no available credit facilities </w:t>
      </w:r>
      <w:r w:rsidR="00D13D3C" w:rsidRPr="002D2F67">
        <w:rPr>
          <w:rFonts w:ascii="Arial" w:hAnsi="Arial" w:cs="Arial"/>
          <w:color w:val="000000"/>
          <w:spacing w:val="-4"/>
          <w:sz w:val="20"/>
          <w:szCs w:val="20"/>
        </w:rPr>
        <w:t>from</w:t>
      </w:r>
      <w:r w:rsidR="00044AB6" w:rsidRPr="002D2F67">
        <w:rPr>
          <w:rFonts w:ascii="Arial" w:hAnsi="Arial" w:cs="Arial"/>
          <w:color w:val="000000"/>
          <w:spacing w:val="-4"/>
          <w:sz w:val="20"/>
          <w:szCs w:val="20"/>
        </w:rPr>
        <w:t xml:space="preserve"> short-term loans</w:t>
      </w:r>
      <w:r w:rsidR="00044AB6" w:rsidRPr="002D2F67">
        <w:rPr>
          <w:rFonts w:ascii="Arial" w:hAnsi="Arial" w:cs="Arial"/>
          <w:color w:val="000000"/>
          <w:sz w:val="20"/>
          <w:szCs w:val="20"/>
        </w:rPr>
        <w:t xml:space="preserve"> from financial institutions</w:t>
      </w:r>
      <w:r w:rsidR="00B02EDD"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2023</w:t>
      </w:r>
      <w:r w:rsidR="00B02EDD" w:rsidRPr="002D2F67">
        <w:rPr>
          <w:rFonts w:ascii="Arial" w:hAnsi="Arial" w:cs="Arial"/>
          <w:color w:val="000000"/>
          <w:sz w:val="20"/>
          <w:szCs w:val="20"/>
        </w:rPr>
        <w:t xml:space="preserve">: the Group had short-term loans facilities of Baht </w:t>
      </w:r>
      <w:r w:rsidR="00CD5714" w:rsidRPr="00CD5714">
        <w:rPr>
          <w:rFonts w:ascii="Arial" w:hAnsi="Arial" w:cs="Arial"/>
          <w:color w:val="000000"/>
          <w:sz w:val="20"/>
          <w:szCs w:val="20"/>
          <w:lang w:val="en-GB"/>
        </w:rPr>
        <w:t>5</w:t>
      </w:r>
      <w:r w:rsidR="00B02EDD" w:rsidRPr="002D2F67">
        <w:rPr>
          <w:rFonts w:ascii="Arial" w:hAnsi="Arial" w:cs="Arial"/>
          <w:color w:val="000000"/>
          <w:sz w:val="20"/>
          <w:szCs w:val="20"/>
        </w:rPr>
        <w:t>,</w:t>
      </w:r>
      <w:r w:rsidR="00CD5714" w:rsidRPr="00CD5714">
        <w:rPr>
          <w:rFonts w:ascii="Arial" w:hAnsi="Arial" w:cs="Arial"/>
          <w:color w:val="000000"/>
          <w:sz w:val="20"/>
          <w:szCs w:val="20"/>
          <w:lang w:val="en-GB"/>
        </w:rPr>
        <w:t>344</w:t>
      </w:r>
      <w:r w:rsidR="00B02EDD" w:rsidRPr="002D2F67">
        <w:rPr>
          <w:rFonts w:ascii="Arial" w:hAnsi="Arial" w:cs="Arial"/>
          <w:color w:val="000000"/>
          <w:sz w:val="20"/>
          <w:szCs w:val="20"/>
        </w:rPr>
        <w:t xml:space="preserve"> million and Taiwan Dollar </w:t>
      </w:r>
      <w:r w:rsidR="00CD5714" w:rsidRPr="00CD5714">
        <w:rPr>
          <w:rFonts w:ascii="Arial" w:hAnsi="Arial" w:cs="Arial"/>
          <w:color w:val="000000"/>
          <w:sz w:val="20"/>
          <w:szCs w:val="20"/>
          <w:lang w:val="en-GB"/>
        </w:rPr>
        <w:t>15</w:t>
      </w:r>
      <w:r w:rsidR="00B02EDD" w:rsidRPr="002D2F67">
        <w:rPr>
          <w:rFonts w:ascii="Arial" w:hAnsi="Arial" w:cs="Arial"/>
          <w:color w:val="000000"/>
          <w:sz w:val="20"/>
          <w:szCs w:val="20"/>
        </w:rPr>
        <w:t xml:space="preserve"> million which </w:t>
      </w:r>
      <w:r w:rsidR="000F71C0" w:rsidRPr="002D2F67">
        <w:rPr>
          <w:rFonts w:ascii="Arial" w:hAnsi="Arial" w:cs="Arial"/>
          <w:color w:val="000000"/>
          <w:sz w:val="20"/>
          <w:szCs w:val="20"/>
        </w:rPr>
        <w:t>wa</w:t>
      </w:r>
      <w:r w:rsidR="00B02EDD" w:rsidRPr="002D2F67">
        <w:rPr>
          <w:rFonts w:ascii="Arial" w:hAnsi="Arial" w:cs="Arial"/>
          <w:color w:val="000000"/>
          <w:sz w:val="20"/>
          <w:szCs w:val="20"/>
        </w:rPr>
        <w:t xml:space="preserve">s the Company's credit facilities of Baht </w:t>
      </w:r>
      <w:r w:rsidR="00CD5714" w:rsidRPr="00CD5714">
        <w:rPr>
          <w:rFonts w:ascii="Arial" w:hAnsi="Arial" w:cs="Arial"/>
          <w:color w:val="000000"/>
          <w:sz w:val="20"/>
          <w:szCs w:val="20"/>
          <w:lang w:val="en-GB"/>
        </w:rPr>
        <w:t>1</w:t>
      </w:r>
      <w:r w:rsidR="00B02EDD" w:rsidRPr="002D2F67">
        <w:rPr>
          <w:rFonts w:ascii="Arial" w:hAnsi="Arial" w:cs="Arial"/>
          <w:color w:val="000000"/>
          <w:sz w:val="20"/>
          <w:szCs w:val="20"/>
        </w:rPr>
        <w:t>,</w:t>
      </w:r>
      <w:r w:rsidR="00CD5714" w:rsidRPr="00CD5714">
        <w:rPr>
          <w:rFonts w:ascii="Arial" w:hAnsi="Arial" w:cs="Arial"/>
          <w:color w:val="000000"/>
          <w:sz w:val="20"/>
          <w:szCs w:val="20"/>
          <w:lang w:val="en-GB"/>
        </w:rPr>
        <w:t>058</w:t>
      </w:r>
      <w:r w:rsidR="00B02EDD" w:rsidRPr="002D2F67">
        <w:rPr>
          <w:rFonts w:ascii="Arial" w:hAnsi="Arial" w:cs="Arial"/>
          <w:color w:val="000000"/>
          <w:sz w:val="20"/>
          <w:szCs w:val="20"/>
        </w:rPr>
        <w:t xml:space="preserve"> million). </w:t>
      </w:r>
    </w:p>
    <w:p w14:paraId="219B96C2" w14:textId="77777777" w:rsidR="00B02EDD" w:rsidRPr="002D2F67" w:rsidRDefault="00B02EDD" w:rsidP="005611FE">
      <w:pPr>
        <w:jc w:val="both"/>
        <w:rPr>
          <w:rFonts w:ascii="Arial" w:hAnsi="Arial" w:cs="Arial"/>
          <w:b/>
          <w:bCs/>
          <w:color w:val="000000"/>
          <w:sz w:val="18"/>
          <w:szCs w:val="18"/>
        </w:rPr>
      </w:pPr>
    </w:p>
    <w:p w14:paraId="290696B8" w14:textId="77777777" w:rsidR="00E40F83" w:rsidRPr="002D2F67" w:rsidRDefault="00E40F83" w:rsidP="005611FE">
      <w:pPr>
        <w:jc w:val="both"/>
        <w:rPr>
          <w:rFonts w:ascii="Arial" w:hAnsi="Arial" w:cs="Arial"/>
          <w:b/>
          <w:bCs/>
          <w:color w:val="000000"/>
          <w:sz w:val="18"/>
          <w:szCs w:val="18"/>
        </w:rPr>
      </w:pPr>
    </w:p>
    <w:p w14:paraId="5F4B6649" w14:textId="1825F12D" w:rsidR="00C90CE8" w:rsidRPr="002D2F67" w:rsidRDefault="00CD5714" w:rsidP="008255E8">
      <w:pPr>
        <w:pStyle w:val="HeadSub6EA"/>
        <w:spacing w:line="324" w:lineRule="auto"/>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28</w:t>
      </w:r>
      <w:r w:rsidR="00C90CE8" w:rsidRPr="002D2F67">
        <w:rPr>
          <w:rFonts w:ascii="Arial" w:hAnsi="Arial" w:cs="Arial"/>
          <w:b/>
          <w:bCs/>
          <w:color w:val="000000"/>
          <w:kern w:val="26"/>
          <w:position w:val="-24"/>
          <w:sz w:val="20"/>
          <w:szCs w:val="20"/>
          <w:cs/>
        </w:rPr>
        <w:tab/>
      </w:r>
      <w:r w:rsidR="00C90CE8" w:rsidRPr="002D2F67">
        <w:rPr>
          <w:rFonts w:ascii="Arial" w:hAnsi="Arial" w:cs="Arial"/>
          <w:b/>
          <w:bCs/>
          <w:color w:val="000000"/>
          <w:kern w:val="26"/>
          <w:position w:val="-24"/>
          <w:sz w:val="20"/>
          <w:szCs w:val="20"/>
        </w:rPr>
        <w:t xml:space="preserve">Other </w:t>
      </w:r>
      <w:r w:rsidR="00AF29D7" w:rsidRPr="002D2F67">
        <w:rPr>
          <w:rFonts w:ascii="Arial" w:hAnsi="Arial" w:cs="Arial"/>
          <w:b/>
          <w:bCs/>
          <w:color w:val="000000"/>
          <w:kern w:val="26"/>
          <w:position w:val="-24"/>
          <w:sz w:val="20"/>
          <w:szCs w:val="20"/>
        </w:rPr>
        <w:t>current</w:t>
      </w:r>
      <w:r w:rsidR="00C90CE8" w:rsidRPr="002D2F67">
        <w:rPr>
          <w:rFonts w:ascii="Arial" w:hAnsi="Arial" w:cs="Arial"/>
          <w:b/>
          <w:bCs/>
          <w:color w:val="000000"/>
          <w:kern w:val="26"/>
          <w:position w:val="-24"/>
          <w:sz w:val="20"/>
          <w:szCs w:val="20"/>
        </w:rPr>
        <w:t xml:space="preserve"> payable</w:t>
      </w:r>
      <w:r w:rsidR="00AF29D7" w:rsidRPr="002D2F67">
        <w:rPr>
          <w:rFonts w:ascii="Arial" w:hAnsi="Arial" w:cs="Arial"/>
          <w:b/>
          <w:bCs/>
          <w:color w:val="000000"/>
          <w:kern w:val="26"/>
          <w:position w:val="-24"/>
          <w:sz w:val="20"/>
          <w:szCs w:val="20"/>
        </w:rPr>
        <w:t>s</w:t>
      </w:r>
    </w:p>
    <w:p w14:paraId="6A9FF2E2" w14:textId="77777777" w:rsidR="001E6C66" w:rsidRPr="002D2F67" w:rsidRDefault="001E6C66" w:rsidP="005611FE">
      <w:pPr>
        <w:pStyle w:val="BodyTextIndent2"/>
        <w:spacing w:line="240" w:lineRule="auto"/>
        <w:ind w:left="0"/>
        <w:jc w:val="left"/>
        <w:rPr>
          <w:rFonts w:ascii="Arial" w:hAnsi="Arial" w:cs="Arial"/>
          <w:spacing w:val="-2"/>
        </w:rPr>
      </w:pPr>
    </w:p>
    <w:tbl>
      <w:tblPr>
        <w:tblW w:w="9461" w:type="dxa"/>
        <w:tblInd w:w="108" w:type="dxa"/>
        <w:tblLayout w:type="fixed"/>
        <w:tblLook w:val="0000" w:firstRow="0" w:lastRow="0" w:firstColumn="0" w:lastColumn="0" w:noHBand="0" w:noVBand="0"/>
      </w:tblPr>
      <w:tblGrid>
        <w:gridCol w:w="3989"/>
        <w:gridCol w:w="1368"/>
        <w:gridCol w:w="1368"/>
        <w:gridCol w:w="1368"/>
        <w:gridCol w:w="1368"/>
      </w:tblGrid>
      <w:tr w:rsidR="001E6C66" w:rsidRPr="002D2F67" w14:paraId="49F28839" w14:textId="77777777" w:rsidTr="002D2F67">
        <w:tc>
          <w:tcPr>
            <w:tcW w:w="3989" w:type="dxa"/>
            <w:shd w:val="clear" w:color="auto" w:fill="auto"/>
          </w:tcPr>
          <w:p w14:paraId="20923E74" w14:textId="77777777" w:rsidR="001E6C66" w:rsidRPr="002D2F67" w:rsidRDefault="001E6C66" w:rsidP="005611FE">
            <w:pPr>
              <w:ind w:left="-84"/>
              <w:rPr>
                <w:rFonts w:ascii="Arial" w:hAnsi="Arial" w:cs="Arial"/>
                <w:color w:val="000000"/>
                <w:sz w:val="20"/>
                <w:szCs w:val="20"/>
              </w:rPr>
            </w:pPr>
          </w:p>
        </w:tc>
        <w:tc>
          <w:tcPr>
            <w:tcW w:w="2736" w:type="dxa"/>
            <w:gridSpan w:val="2"/>
            <w:tcBorders>
              <w:bottom w:val="single" w:sz="4" w:space="0" w:color="auto"/>
            </w:tcBorders>
            <w:shd w:val="clear" w:color="auto" w:fill="auto"/>
          </w:tcPr>
          <w:p w14:paraId="2572B10C"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3BFEE915"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2736" w:type="dxa"/>
            <w:gridSpan w:val="2"/>
            <w:tcBorders>
              <w:bottom w:val="single" w:sz="4" w:space="0" w:color="auto"/>
            </w:tcBorders>
            <w:shd w:val="clear" w:color="auto" w:fill="auto"/>
          </w:tcPr>
          <w:p w14:paraId="3D40AEA9"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Separate </w:t>
            </w:r>
          </w:p>
          <w:p w14:paraId="75794FAD"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5754BE" w:rsidRPr="002D2F67" w14:paraId="6DEFCB4D" w14:textId="77777777" w:rsidTr="002D2F67">
        <w:tc>
          <w:tcPr>
            <w:tcW w:w="3989" w:type="dxa"/>
            <w:shd w:val="clear" w:color="auto" w:fill="auto"/>
          </w:tcPr>
          <w:p w14:paraId="7860CD98" w14:textId="0976C8D6" w:rsidR="005754BE" w:rsidRPr="002D2F67" w:rsidRDefault="005754BE" w:rsidP="005611FE">
            <w:pPr>
              <w:ind w:left="-84"/>
              <w:rPr>
                <w:rFonts w:ascii="Arial" w:hAnsi="Arial" w:cs="Arial"/>
                <w:b/>
                <w:bCs/>
                <w:color w:val="000000"/>
                <w:sz w:val="20"/>
                <w:szCs w:val="20"/>
              </w:rPr>
            </w:pPr>
            <w:r w:rsidRPr="002D2F67">
              <w:rPr>
                <w:rFonts w:ascii="Arial" w:hAnsi="Arial" w:cs="Arial"/>
                <w:b/>
                <w:bCs/>
                <w:color w:val="000000"/>
                <w:sz w:val="20"/>
                <w:szCs w:val="20"/>
              </w:rPr>
              <w:t xml:space="preserve">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w:t>
            </w:r>
          </w:p>
        </w:tc>
        <w:tc>
          <w:tcPr>
            <w:tcW w:w="1368" w:type="dxa"/>
            <w:shd w:val="clear" w:color="auto" w:fill="auto"/>
            <w:vAlign w:val="bottom"/>
          </w:tcPr>
          <w:p w14:paraId="34BC26B9" w14:textId="4CA6118B" w:rsidR="005754BE"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368" w:type="dxa"/>
            <w:shd w:val="clear" w:color="auto" w:fill="auto"/>
            <w:vAlign w:val="bottom"/>
          </w:tcPr>
          <w:p w14:paraId="31264D44" w14:textId="77DAEB01" w:rsidR="005754BE"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c>
          <w:tcPr>
            <w:tcW w:w="1368" w:type="dxa"/>
            <w:shd w:val="clear" w:color="auto" w:fill="auto"/>
            <w:vAlign w:val="bottom"/>
          </w:tcPr>
          <w:p w14:paraId="256EFD2D" w14:textId="70702903" w:rsidR="005754BE"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368" w:type="dxa"/>
            <w:shd w:val="clear" w:color="auto" w:fill="auto"/>
            <w:vAlign w:val="bottom"/>
          </w:tcPr>
          <w:p w14:paraId="2DF36829" w14:textId="6FF7D3FA" w:rsidR="005754BE"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1E6C66" w:rsidRPr="002D2F67" w14:paraId="23F4D166" w14:textId="77777777" w:rsidTr="002D2F67">
        <w:tc>
          <w:tcPr>
            <w:tcW w:w="3989" w:type="dxa"/>
            <w:shd w:val="clear" w:color="auto" w:fill="auto"/>
          </w:tcPr>
          <w:p w14:paraId="23574415" w14:textId="77777777" w:rsidR="001E6C66" w:rsidRPr="002D2F67" w:rsidRDefault="001E6C66" w:rsidP="005611FE">
            <w:pPr>
              <w:pStyle w:val="Header"/>
              <w:ind w:left="-84"/>
              <w:jc w:val="left"/>
              <w:rPr>
                <w:rFonts w:ascii="Arial" w:hAnsi="Arial" w:cs="Arial"/>
                <w:color w:val="000000"/>
                <w:sz w:val="20"/>
                <w:szCs w:val="20"/>
              </w:rPr>
            </w:pPr>
          </w:p>
        </w:tc>
        <w:tc>
          <w:tcPr>
            <w:tcW w:w="1368" w:type="dxa"/>
            <w:tcBorders>
              <w:bottom w:val="single" w:sz="4" w:space="0" w:color="auto"/>
            </w:tcBorders>
            <w:shd w:val="clear" w:color="auto" w:fill="auto"/>
          </w:tcPr>
          <w:p w14:paraId="65DB9DE3" w14:textId="1FB4A33E"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B96498" w:rsidRPr="002D2F67">
              <w:rPr>
                <w:rFonts w:ascii="Arial" w:hAnsi="Arial" w:cs="Arial"/>
                <w:b/>
                <w:bCs/>
                <w:color w:val="000000"/>
                <w:sz w:val="20"/>
                <w:szCs w:val="20"/>
              </w:rPr>
              <w:t>’</w:t>
            </w:r>
            <w:r w:rsidR="00CD5714" w:rsidRPr="00CD5714">
              <w:rPr>
                <w:rFonts w:ascii="Arial" w:hAnsi="Arial" w:cs="Arial"/>
                <w:b/>
                <w:bCs/>
                <w:color w:val="000000"/>
                <w:sz w:val="20"/>
                <w:szCs w:val="20"/>
                <w:lang w:val="en-GB"/>
              </w:rPr>
              <w:t>000</w:t>
            </w:r>
          </w:p>
        </w:tc>
        <w:tc>
          <w:tcPr>
            <w:tcW w:w="1368" w:type="dxa"/>
            <w:tcBorders>
              <w:bottom w:val="single" w:sz="4" w:space="0" w:color="auto"/>
            </w:tcBorders>
            <w:shd w:val="clear" w:color="auto" w:fill="auto"/>
          </w:tcPr>
          <w:p w14:paraId="3544F983" w14:textId="010E1A84" w:rsidR="001E6C66" w:rsidRPr="002D2F67" w:rsidRDefault="00B96498"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368" w:type="dxa"/>
            <w:tcBorders>
              <w:bottom w:val="single" w:sz="4" w:space="0" w:color="auto"/>
            </w:tcBorders>
            <w:shd w:val="clear" w:color="auto" w:fill="auto"/>
          </w:tcPr>
          <w:p w14:paraId="3224ED95" w14:textId="7038603E" w:rsidR="001E6C66" w:rsidRPr="002D2F67" w:rsidRDefault="00B96498"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368" w:type="dxa"/>
            <w:tcBorders>
              <w:bottom w:val="single" w:sz="4" w:space="0" w:color="auto"/>
            </w:tcBorders>
            <w:shd w:val="clear" w:color="auto" w:fill="auto"/>
          </w:tcPr>
          <w:p w14:paraId="4DBB428C" w14:textId="75A9BE5E" w:rsidR="001E6C66" w:rsidRPr="002D2F67" w:rsidRDefault="00B96498"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1E6C66" w:rsidRPr="002D2F67" w14:paraId="1D3EDC7F" w14:textId="77777777" w:rsidTr="002D2F67">
        <w:trPr>
          <w:trHeight w:val="74"/>
        </w:trPr>
        <w:tc>
          <w:tcPr>
            <w:tcW w:w="3989" w:type="dxa"/>
            <w:shd w:val="clear" w:color="auto" w:fill="auto"/>
          </w:tcPr>
          <w:p w14:paraId="0211F60C" w14:textId="77777777" w:rsidR="001E6C66" w:rsidRPr="002D2F67" w:rsidRDefault="001E6C66" w:rsidP="005611FE">
            <w:pPr>
              <w:ind w:left="-84"/>
              <w:contextualSpacing/>
              <w:rPr>
                <w:rFonts w:ascii="Arial" w:hAnsi="Arial" w:cs="Arial"/>
                <w:b/>
                <w:bCs/>
                <w:color w:val="000000"/>
                <w:sz w:val="20"/>
                <w:szCs w:val="20"/>
              </w:rPr>
            </w:pPr>
          </w:p>
        </w:tc>
        <w:tc>
          <w:tcPr>
            <w:tcW w:w="1368" w:type="dxa"/>
            <w:tcBorders>
              <w:top w:val="single" w:sz="4" w:space="0" w:color="auto"/>
            </w:tcBorders>
            <w:shd w:val="clear" w:color="auto" w:fill="auto"/>
          </w:tcPr>
          <w:p w14:paraId="0618E27C"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368" w:type="dxa"/>
            <w:tcBorders>
              <w:top w:val="single" w:sz="4" w:space="0" w:color="auto"/>
            </w:tcBorders>
            <w:shd w:val="clear" w:color="auto" w:fill="auto"/>
          </w:tcPr>
          <w:p w14:paraId="03B56467"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368" w:type="dxa"/>
            <w:tcBorders>
              <w:top w:val="single" w:sz="4" w:space="0" w:color="auto"/>
            </w:tcBorders>
            <w:shd w:val="clear" w:color="auto" w:fill="auto"/>
          </w:tcPr>
          <w:p w14:paraId="60D9741C"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368" w:type="dxa"/>
            <w:tcBorders>
              <w:top w:val="single" w:sz="4" w:space="0" w:color="auto"/>
            </w:tcBorders>
            <w:shd w:val="clear" w:color="auto" w:fill="auto"/>
          </w:tcPr>
          <w:p w14:paraId="114849AB" w14:textId="77777777" w:rsidR="001E6C66" w:rsidRPr="002D2F67" w:rsidRDefault="001E6C66" w:rsidP="005611FE">
            <w:pPr>
              <w:ind w:right="-72"/>
              <w:contextualSpacing/>
              <w:jc w:val="right"/>
              <w:rPr>
                <w:rFonts w:ascii="Arial" w:hAnsi="Arial" w:cs="Arial"/>
                <w:b/>
                <w:bCs/>
                <w:color w:val="000000"/>
                <w:sz w:val="20"/>
                <w:szCs w:val="20"/>
              </w:rPr>
            </w:pPr>
          </w:p>
        </w:tc>
      </w:tr>
      <w:tr w:rsidR="00E765E0" w:rsidRPr="002D2F67" w14:paraId="0AA68739" w14:textId="77777777" w:rsidTr="002D2F67">
        <w:tc>
          <w:tcPr>
            <w:tcW w:w="3989" w:type="dxa"/>
            <w:shd w:val="clear" w:color="auto" w:fill="auto"/>
            <w:vAlign w:val="bottom"/>
          </w:tcPr>
          <w:p w14:paraId="0F9DB088" w14:textId="6FED9C84" w:rsidR="00E765E0" w:rsidRPr="002D2F67" w:rsidRDefault="00E765E0" w:rsidP="005611FE">
            <w:pPr>
              <w:tabs>
                <w:tab w:val="left" w:pos="2187"/>
              </w:tabs>
              <w:ind w:left="-86" w:right="72"/>
              <w:contextualSpacing/>
              <w:jc w:val="thaiDistribute"/>
              <w:rPr>
                <w:rFonts w:ascii="Arial" w:hAnsi="Arial" w:cs="Arial"/>
                <w:color w:val="000000"/>
                <w:sz w:val="20"/>
                <w:szCs w:val="20"/>
              </w:rPr>
            </w:pPr>
            <w:r w:rsidRPr="002D2F67">
              <w:rPr>
                <w:rFonts w:ascii="Arial" w:hAnsi="Arial" w:cs="Arial"/>
                <w:color w:val="000000"/>
                <w:sz w:val="20"/>
                <w:szCs w:val="20"/>
              </w:rPr>
              <w:t xml:space="preserve">Other </w:t>
            </w:r>
            <w:r w:rsidR="00FF66DB" w:rsidRPr="002D2F67">
              <w:rPr>
                <w:rFonts w:ascii="Arial" w:hAnsi="Arial" w:cs="Arial"/>
                <w:color w:val="000000"/>
                <w:sz w:val="20"/>
                <w:szCs w:val="20"/>
              </w:rPr>
              <w:t xml:space="preserve">current </w:t>
            </w:r>
            <w:r w:rsidRPr="002D2F67">
              <w:rPr>
                <w:rFonts w:ascii="Arial" w:hAnsi="Arial" w:cs="Arial"/>
                <w:color w:val="000000"/>
                <w:sz w:val="20"/>
                <w:szCs w:val="20"/>
              </w:rPr>
              <w:t>payable</w:t>
            </w:r>
            <w:r w:rsidR="00FF66DB" w:rsidRPr="002D2F67">
              <w:rPr>
                <w:rFonts w:ascii="Arial" w:hAnsi="Arial" w:cs="Arial"/>
                <w:color w:val="000000"/>
                <w:sz w:val="20"/>
                <w:szCs w:val="20"/>
              </w:rPr>
              <w:t>s</w:t>
            </w:r>
          </w:p>
        </w:tc>
        <w:tc>
          <w:tcPr>
            <w:tcW w:w="1368" w:type="dxa"/>
            <w:shd w:val="clear" w:color="auto" w:fill="auto"/>
          </w:tcPr>
          <w:p w14:paraId="2F8A1452" w14:textId="0FDC6718" w:rsidR="00E765E0" w:rsidRPr="002D2F67" w:rsidRDefault="00E765E0"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368" w:type="dxa"/>
            <w:shd w:val="clear" w:color="auto" w:fill="auto"/>
          </w:tcPr>
          <w:p w14:paraId="5F3A4921" w14:textId="0C756CD2" w:rsidR="00E765E0" w:rsidRPr="002D2F67" w:rsidRDefault="00E765E0"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368" w:type="dxa"/>
            <w:shd w:val="clear" w:color="auto" w:fill="auto"/>
          </w:tcPr>
          <w:p w14:paraId="5A1471CB" w14:textId="4812989C" w:rsidR="00E765E0" w:rsidRPr="002D2F67" w:rsidRDefault="00E765E0"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368" w:type="dxa"/>
            <w:shd w:val="clear" w:color="auto" w:fill="auto"/>
          </w:tcPr>
          <w:p w14:paraId="5D5E6DC8" w14:textId="1EBCB258" w:rsidR="00E765E0" w:rsidRPr="002D2F67" w:rsidRDefault="00E765E0"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r>
      <w:tr w:rsidR="00972AF0" w:rsidRPr="002D2F67" w14:paraId="5E6370CC" w14:textId="77777777" w:rsidTr="002D2F67">
        <w:tc>
          <w:tcPr>
            <w:tcW w:w="3989" w:type="dxa"/>
            <w:shd w:val="clear" w:color="auto" w:fill="auto"/>
            <w:vAlign w:val="bottom"/>
          </w:tcPr>
          <w:p w14:paraId="319E48F6" w14:textId="28DF6B1B" w:rsidR="00972AF0" w:rsidRPr="002D2F67" w:rsidRDefault="00972AF0" w:rsidP="005611FE">
            <w:pPr>
              <w:tabs>
                <w:tab w:val="left" w:pos="2187"/>
              </w:tabs>
              <w:ind w:left="-84" w:right="72"/>
              <w:contextualSpacing/>
              <w:jc w:val="thaiDistribute"/>
              <w:rPr>
                <w:rFonts w:ascii="Arial" w:hAnsi="Arial" w:cs="Arial"/>
                <w:color w:val="000000"/>
                <w:sz w:val="20"/>
                <w:szCs w:val="20"/>
              </w:rPr>
            </w:pPr>
            <w:r w:rsidRPr="002D2F67">
              <w:rPr>
                <w:rFonts w:ascii="Arial" w:hAnsi="Arial" w:cs="Arial"/>
                <w:color w:val="000000"/>
                <w:sz w:val="20"/>
                <w:szCs w:val="20"/>
              </w:rPr>
              <w:t xml:space="preserve">   - other parties</w:t>
            </w:r>
          </w:p>
        </w:tc>
        <w:tc>
          <w:tcPr>
            <w:tcW w:w="1368" w:type="dxa"/>
            <w:shd w:val="clear" w:color="auto" w:fill="auto"/>
          </w:tcPr>
          <w:p w14:paraId="2061C223" w14:textId="4A5ECFFC"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402</w:t>
            </w:r>
            <w:r w:rsidR="008E4CA6" w:rsidRPr="002D2F67">
              <w:rPr>
                <w:rFonts w:ascii="Arial" w:hAnsi="Arial" w:cs="Arial"/>
                <w:color w:val="000000"/>
                <w:sz w:val="20"/>
                <w:szCs w:val="20"/>
              </w:rPr>
              <w:t>,</w:t>
            </w:r>
            <w:r w:rsidRPr="00CD5714">
              <w:rPr>
                <w:rFonts w:ascii="Arial" w:hAnsi="Arial" w:cs="Arial"/>
                <w:color w:val="000000"/>
                <w:sz w:val="20"/>
                <w:szCs w:val="20"/>
                <w:lang w:val="en-GB"/>
              </w:rPr>
              <w:t>779</w:t>
            </w:r>
          </w:p>
        </w:tc>
        <w:tc>
          <w:tcPr>
            <w:tcW w:w="1368" w:type="dxa"/>
            <w:shd w:val="clear" w:color="auto" w:fill="auto"/>
          </w:tcPr>
          <w:p w14:paraId="6161781A" w14:textId="52DCA579"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286</w:t>
            </w:r>
            <w:r w:rsidR="00972AF0" w:rsidRPr="002D2F67">
              <w:rPr>
                <w:rFonts w:ascii="Arial" w:hAnsi="Arial" w:cs="Arial"/>
                <w:color w:val="000000"/>
                <w:sz w:val="20"/>
                <w:szCs w:val="20"/>
              </w:rPr>
              <w:t>,</w:t>
            </w:r>
            <w:r w:rsidRPr="00CD5714">
              <w:rPr>
                <w:rFonts w:ascii="Arial" w:hAnsi="Arial" w:cs="Arial"/>
                <w:color w:val="000000"/>
                <w:sz w:val="20"/>
                <w:szCs w:val="20"/>
                <w:lang w:val="en-GB"/>
              </w:rPr>
              <w:t>149</w:t>
            </w:r>
          </w:p>
        </w:tc>
        <w:tc>
          <w:tcPr>
            <w:tcW w:w="1368" w:type="dxa"/>
            <w:shd w:val="clear" w:color="auto" w:fill="auto"/>
          </w:tcPr>
          <w:p w14:paraId="734970E8" w14:textId="76CBF6E2"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84</w:t>
            </w:r>
            <w:r w:rsidR="00BD11F8" w:rsidRPr="002D2F67">
              <w:rPr>
                <w:rFonts w:ascii="Arial" w:hAnsi="Arial" w:cs="Arial"/>
                <w:color w:val="000000"/>
                <w:sz w:val="20"/>
                <w:szCs w:val="20"/>
              </w:rPr>
              <w:t>,</w:t>
            </w:r>
            <w:r w:rsidRPr="00CD5714">
              <w:rPr>
                <w:rFonts w:ascii="Arial" w:hAnsi="Arial" w:cs="Arial"/>
                <w:color w:val="000000"/>
                <w:sz w:val="20"/>
                <w:szCs w:val="20"/>
                <w:lang w:val="en-GB"/>
              </w:rPr>
              <w:t>448</w:t>
            </w:r>
          </w:p>
        </w:tc>
        <w:tc>
          <w:tcPr>
            <w:tcW w:w="1368" w:type="dxa"/>
            <w:shd w:val="clear" w:color="auto" w:fill="auto"/>
          </w:tcPr>
          <w:p w14:paraId="637D70F6" w14:textId="21831FD7"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134</w:t>
            </w:r>
            <w:r w:rsidR="00972AF0" w:rsidRPr="002D2F67">
              <w:rPr>
                <w:rFonts w:ascii="Arial" w:hAnsi="Arial" w:cs="Arial"/>
                <w:color w:val="000000"/>
                <w:sz w:val="20"/>
                <w:szCs w:val="20"/>
              </w:rPr>
              <w:t>,</w:t>
            </w:r>
            <w:r w:rsidRPr="00CD5714">
              <w:rPr>
                <w:rFonts w:ascii="Arial" w:hAnsi="Arial" w:cs="Arial"/>
                <w:color w:val="000000"/>
                <w:sz w:val="20"/>
                <w:szCs w:val="20"/>
                <w:lang w:val="en-GB"/>
              </w:rPr>
              <w:t>790</w:t>
            </w:r>
          </w:p>
        </w:tc>
      </w:tr>
      <w:tr w:rsidR="00972AF0" w:rsidRPr="002D2F67" w14:paraId="0FBE5C8E" w14:textId="77777777" w:rsidTr="002D2F67">
        <w:tc>
          <w:tcPr>
            <w:tcW w:w="3989" w:type="dxa"/>
            <w:shd w:val="clear" w:color="auto" w:fill="auto"/>
            <w:vAlign w:val="bottom"/>
          </w:tcPr>
          <w:p w14:paraId="27EB1D60" w14:textId="6224424A" w:rsidR="00972AF0" w:rsidRPr="002D2F67" w:rsidRDefault="00972AF0" w:rsidP="005611FE">
            <w:pPr>
              <w:tabs>
                <w:tab w:val="left" w:pos="2187"/>
              </w:tabs>
              <w:ind w:left="-84" w:right="72"/>
              <w:contextualSpacing/>
              <w:jc w:val="thaiDistribute"/>
              <w:rPr>
                <w:rFonts w:ascii="Arial" w:hAnsi="Arial" w:cs="Arial"/>
                <w:color w:val="000000"/>
                <w:sz w:val="20"/>
                <w:szCs w:val="20"/>
              </w:rPr>
            </w:pPr>
            <w:r w:rsidRPr="002D2F67">
              <w:rPr>
                <w:rFonts w:ascii="Arial" w:hAnsi="Arial" w:cs="Arial"/>
                <w:color w:val="000000"/>
                <w:sz w:val="20"/>
                <w:szCs w:val="20"/>
              </w:rPr>
              <w:t xml:space="preserve">   - related parties (Note </w:t>
            </w:r>
            <w:r w:rsidR="00CD5714" w:rsidRPr="00CD5714">
              <w:rPr>
                <w:rFonts w:ascii="Arial" w:hAnsi="Arial" w:cs="Arial"/>
                <w:color w:val="000000"/>
                <w:sz w:val="20"/>
                <w:szCs w:val="20"/>
                <w:lang w:val="en-GB"/>
              </w:rPr>
              <w:t>43</w:t>
            </w:r>
            <w:r w:rsidRPr="002D2F67">
              <w:rPr>
                <w:rFonts w:ascii="Arial" w:hAnsi="Arial" w:cs="Arial"/>
                <w:color w:val="000000"/>
                <w:sz w:val="20"/>
                <w:szCs w:val="20"/>
              </w:rPr>
              <w:t>.</w:t>
            </w:r>
            <w:r w:rsidR="00CD5714" w:rsidRPr="00CD5714">
              <w:rPr>
                <w:rFonts w:ascii="Arial" w:hAnsi="Arial" w:cs="Arial"/>
                <w:color w:val="000000"/>
                <w:sz w:val="20"/>
                <w:szCs w:val="20"/>
                <w:lang w:val="en-GB"/>
              </w:rPr>
              <w:t>3</w:t>
            </w:r>
            <w:r w:rsidRPr="002D2F67">
              <w:rPr>
                <w:rFonts w:ascii="Arial" w:hAnsi="Arial" w:cs="Arial"/>
                <w:color w:val="000000"/>
                <w:sz w:val="20"/>
                <w:szCs w:val="20"/>
              </w:rPr>
              <w:t>)</w:t>
            </w:r>
          </w:p>
        </w:tc>
        <w:tc>
          <w:tcPr>
            <w:tcW w:w="1368" w:type="dxa"/>
            <w:shd w:val="clear" w:color="auto" w:fill="auto"/>
          </w:tcPr>
          <w:p w14:paraId="01D2A87F" w14:textId="52938827"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280</w:t>
            </w:r>
            <w:r w:rsidR="008E4CA6" w:rsidRPr="002D2F67">
              <w:rPr>
                <w:rFonts w:ascii="Arial" w:hAnsi="Arial" w:cs="Arial"/>
                <w:color w:val="000000"/>
                <w:sz w:val="20"/>
                <w:szCs w:val="20"/>
              </w:rPr>
              <w:t>,</w:t>
            </w:r>
            <w:r w:rsidRPr="00CD5714">
              <w:rPr>
                <w:rFonts w:ascii="Arial" w:hAnsi="Arial" w:cs="Arial"/>
                <w:color w:val="000000"/>
                <w:sz w:val="20"/>
                <w:szCs w:val="20"/>
                <w:lang w:val="en-GB"/>
              </w:rPr>
              <w:t>653</w:t>
            </w:r>
          </w:p>
        </w:tc>
        <w:tc>
          <w:tcPr>
            <w:tcW w:w="1368" w:type="dxa"/>
            <w:shd w:val="clear" w:color="auto" w:fill="auto"/>
          </w:tcPr>
          <w:p w14:paraId="0996C198" w14:textId="702E3425"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81</w:t>
            </w:r>
            <w:r w:rsidR="00972AF0" w:rsidRPr="002D2F67">
              <w:rPr>
                <w:rFonts w:ascii="Arial" w:hAnsi="Arial" w:cs="Arial"/>
                <w:color w:val="000000"/>
                <w:sz w:val="20"/>
                <w:szCs w:val="20"/>
              </w:rPr>
              <w:t>,</w:t>
            </w:r>
            <w:r w:rsidRPr="00CD5714">
              <w:rPr>
                <w:rFonts w:ascii="Arial" w:hAnsi="Arial" w:cs="Arial"/>
                <w:color w:val="000000"/>
                <w:sz w:val="20"/>
                <w:szCs w:val="20"/>
                <w:lang w:val="en-GB"/>
              </w:rPr>
              <w:t>135</w:t>
            </w:r>
          </w:p>
        </w:tc>
        <w:tc>
          <w:tcPr>
            <w:tcW w:w="1368" w:type="dxa"/>
            <w:shd w:val="clear" w:color="auto" w:fill="auto"/>
          </w:tcPr>
          <w:p w14:paraId="778D9333" w14:textId="2EC7434D"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108</w:t>
            </w:r>
            <w:r w:rsidR="00086212" w:rsidRPr="002D2F67">
              <w:rPr>
                <w:rFonts w:ascii="Arial" w:hAnsi="Arial" w:cs="Arial"/>
                <w:color w:val="000000"/>
                <w:sz w:val="20"/>
                <w:szCs w:val="20"/>
              </w:rPr>
              <w:t>,</w:t>
            </w:r>
            <w:r w:rsidRPr="00CD5714">
              <w:rPr>
                <w:rFonts w:ascii="Arial" w:hAnsi="Arial" w:cs="Arial"/>
                <w:color w:val="000000"/>
                <w:sz w:val="20"/>
                <w:szCs w:val="20"/>
                <w:lang w:val="en-GB"/>
              </w:rPr>
              <w:t>731</w:t>
            </w:r>
          </w:p>
        </w:tc>
        <w:tc>
          <w:tcPr>
            <w:tcW w:w="1368" w:type="dxa"/>
            <w:shd w:val="clear" w:color="auto" w:fill="auto"/>
          </w:tcPr>
          <w:p w14:paraId="0D54F818" w14:textId="78B626C2"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36</w:t>
            </w:r>
            <w:r w:rsidR="00972AF0" w:rsidRPr="002D2F67">
              <w:rPr>
                <w:rFonts w:ascii="Arial" w:hAnsi="Arial" w:cs="Arial"/>
                <w:color w:val="000000"/>
                <w:sz w:val="20"/>
                <w:szCs w:val="20"/>
              </w:rPr>
              <w:t>,</w:t>
            </w:r>
            <w:r w:rsidRPr="00CD5714">
              <w:rPr>
                <w:rFonts w:ascii="Arial" w:hAnsi="Arial" w:cs="Arial"/>
                <w:color w:val="000000"/>
                <w:sz w:val="20"/>
                <w:szCs w:val="20"/>
                <w:lang w:val="en-GB"/>
              </w:rPr>
              <w:t>242</w:t>
            </w:r>
          </w:p>
        </w:tc>
      </w:tr>
      <w:tr w:rsidR="00972AF0" w:rsidRPr="002D2F67" w14:paraId="0DCA51FB" w14:textId="77777777" w:rsidTr="002D2F67">
        <w:tc>
          <w:tcPr>
            <w:tcW w:w="3989" w:type="dxa"/>
            <w:shd w:val="clear" w:color="auto" w:fill="auto"/>
            <w:vAlign w:val="bottom"/>
          </w:tcPr>
          <w:p w14:paraId="725BEC27" w14:textId="38DE7C11" w:rsidR="003C3020" w:rsidRPr="002D2F67" w:rsidRDefault="00972AF0" w:rsidP="005611FE">
            <w:pPr>
              <w:tabs>
                <w:tab w:val="left" w:pos="2187"/>
              </w:tabs>
              <w:ind w:left="-84" w:right="72"/>
              <w:contextualSpacing/>
              <w:rPr>
                <w:rFonts w:ascii="Arial" w:hAnsi="Arial" w:cs="Arial"/>
                <w:color w:val="000000"/>
                <w:sz w:val="20"/>
                <w:szCs w:val="20"/>
              </w:rPr>
            </w:pPr>
            <w:r w:rsidRPr="002D2F67">
              <w:rPr>
                <w:rFonts w:ascii="Arial" w:hAnsi="Arial" w:cs="Arial"/>
                <w:color w:val="000000"/>
                <w:sz w:val="20"/>
                <w:szCs w:val="20"/>
              </w:rPr>
              <w:t xml:space="preserve">Creditors from the entire business transfer </w:t>
            </w:r>
          </w:p>
          <w:p w14:paraId="01B92227" w14:textId="6C96CD2A" w:rsidR="00972AF0" w:rsidRPr="002D2F67" w:rsidRDefault="003C3020" w:rsidP="005611FE">
            <w:pPr>
              <w:tabs>
                <w:tab w:val="left" w:pos="2187"/>
              </w:tabs>
              <w:ind w:left="-84" w:right="72"/>
              <w:contextualSpacing/>
              <w:rPr>
                <w:rFonts w:ascii="Arial" w:hAnsi="Arial" w:cs="Arial"/>
                <w:color w:val="000000"/>
                <w:sz w:val="20"/>
                <w:szCs w:val="20"/>
              </w:rPr>
            </w:pPr>
            <w:r w:rsidRPr="002D2F67">
              <w:rPr>
                <w:rFonts w:ascii="Arial" w:hAnsi="Arial" w:cs="Arial"/>
                <w:color w:val="000000"/>
                <w:sz w:val="20"/>
                <w:szCs w:val="20"/>
              </w:rPr>
              <w:t xml:space="preserve">   </w:t>
            </w:r>
            <w:r w:rsidR="00972AF0" w:rsidRPr="002D2F67">
              <w:rPr>
                <w:rFonts w:ascii="Arial" w:hAnsi="Arial" w:cs="Arial"/>
                <w:color w:val="000000"/>
                <w:sz w:val="20"/>
                <w:szCs w:val="20"/>
              </w:rPr>
              <w:t xml:space="preserve">- related </w:t>
            </w:r>
            <w:r w:rsidR="00B62B1B" w:rsidRPr="002D2F67">
              <w:rPr>
                <w:rFonts w:ascii="Arial" w:hAnsi="Arial" w:cs="Arial"/>
                <w:color w:val="000000"/>
                <w:sz w:val="20"/>
                <w:szCs w:val="20"/>
              </w:rPr>
              <w:t>parties</w:t>
            </w:r>
            <w:r w:rsidR="00972AF0" w:rsidRPr="002D2F67">
              <w:rPr>
                <w:rFonts w:ascii="Arial" w:hAnsi="Arial" w:cs="Arial"/>
                <w:color w:val="000000"/>
                <w:sz w:val="20"/>
                <w:szCs w:val="20"/>
              </w:rPr>
              <w:t xml:space="preserve"> </w:t>
            </w:r>
          </w:p>
        </w:tc>
        <w:tc>
          <w:tcPr>
            <w:tcW w:w="1368" w:type="dxa"/>
            <w:shd w:val="clear" w:color="auto" w:fill="auto"/>
            <w:vAlign w:val="bottom"/>
          </w:tcPr>
          <w:p w14:paraId="365FDC21" w14:textId="3F7628DE" w:rsidR="00972AF0" w:rsidRPr="002D2F67" w:rsidRDefault="00086212"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2D2F67">
              <w:rPr>
                <w:rFonts w:ascii="Arial" w:hAnsi="Arial" w:cs="Arial"/>
                <w:color w:val="000000"/>
                <w:sz w:val="20"/>
                <w:szCs w:val="20"/>
              </w:rPr>
              <w:t>-</w:t>
            </w:r>
          </w:p>
        </w:tc>
        <w:tc>
          <w:tcPr>
            <w:tcW w:w="1368" w:type="dxa"/>
            <w:shd w:val="clear" w:color="auto" w:fill="auto"/>
            <w:vAlign w:val="bottom"/>
          </w:tcPr>
          <w:p w14:paraId="168CAD0B" w14:textId="729CAB9C" w:rsidR="00972AF0" w:rsidRPr="002D2F67" w:rsidRDefault="00972AF0"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2D2F67">
              <w:rPr>
                <w:rFonts w:ascii="Arial" w:hAnsi="Arial" w:cs="Arial"/>
                <w:color w:val="000000"/>
                <w:sz w:val="20"/>
                <w:szCs w:val="20"/>
              </w:rPr>
              <w:t>-</w:t>
            </w:r>
          </w:p>
        </w:tc>
        <w:tc>
          <w:tcPr>
            <w:tcW w:w="1368" w:type="dxa"/>
            <w:shd w:val="clear" w:color="auto" w:fill="auto"/>
            <w:vAlign w:val="bottom"/>
          </w:tcPr>
          <w:p w14:paraId="2DD73B51" w14:textId="0EB668CC"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9</w:t>
            </w:r>
            <w:r w:rsidR="00086212" w:rsidRPr="002D2F67">
              <w:rPr>
                <w:rFonts w:ascii="Arial" w:hAnsi="Arial" w:cs="Arial"/>
                <w:color w:val="000000"/>
                <w:sz w:val="20"/>
                <w:szCs w:val="20"/>
              </w:rPr>
              <w:t>,</w:t>
            </w:r>
            <w:r w:rsidRPr="00CD5714">
              <w:rPr>
                <w:rFonts w:ascii="Arial" w:hAnsi="Arial" w:cs="Arial"/>
                <w:color w:val="000000"/>
                <w:sz w:val="20"/>
                <w:szCs w:val="20"/>
                <w:lang w:val="en-GB"/>
              </w:rPr>
              <w:t>997</w:t>
            </w:r>
            <w:r w:rsidR="00086212" w:rsidRPr="002D2F67">
              <w:rPr>
                <w:rFonts w:ascii="Arial" w:hAnsi="Arial" w:cs="Arial"/>
                <w:color w:val="000000"/>
                <w:sz w:val="20"/>
                <w:szCs w:val="20"/>
              </w:rPr>
              <w:t>,</w:t>
            </w:r>
            <w:r w:rsidRPr="00CD5714">
              <w:rPr>
                <w:rFonts w:ascii="Arial" w:hAnsi="Arial" w:cs="Arial"/>
                <w:color w:val="000000"/>
                <w:sz w:val="20"/>
                <w:szCs w:val="20"/>
                <w:lang w:val="en-GB"/>
              </w:rPr>
              <w:t>336</w:t>
            </w:r>
          </w:p>
        </w:tc>
        <w:tc>
          <w:tcPr>
            <w:tcW w:w="1368" w:type="dxa"/>
            <w:shd w:val="clear" w:color="auto" w:fill="auto"/>
            <w:vAlign w:val="bottom"/>
          </w:tcPr>
          <w:p w14:paraId="350B4E5F" w14:textId="7A803BB6"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9</w:t>
            </w:r>
            <w:r w:rsidR="00972AF0" w:rsidRPr="002D2F67">
              <w:rPr>
                <w:rFonts w:ascii="Arial" w:hAnsi="Arial" w:cs="Arial"/>
                <w:color w:val="000000"/>
                <w:sz w:val="20"/>
                <w:szCs w:val="20"/>
              </w:rPr>
              <w:t>,</w:t>
            </w:r>
            <w:r w:rsidRPr="00CD5714">
              <w:rPr>
                <w:rFonts w:ascii="Arial" w:hAnsi="Arial" w:cs="Arial"/>
                <w:color w:val="000000"/>
                <w:sz w:val="20"/>
                <w:szCs w:val="20"/>
                <w:lang w:val="en-GB"/>
              </w:rPr>
              <w:t>997</w:t>
            </w:r>
            <w:r w:rsidR="00972AF0" w:rsidRPr="002D2F67">
              <w:rPr>
                <w:rFonts w:ascii="Arial" w:hAnsi="Arial" w:cs="Arial"/>
                <w:color w:val="000000"/>
                <w:sz w:val="20"/>
                <w:szCs w:val="20"/>
              </w:rPr>
              <w:t>,</w:t>
            </w:r>
            <w:r w:rsidRPr="00CD5714">
              <w:rPr>
                <w:rFonts w:ascii="Arial" w:hAnsi="Arial" w:cs="Arial"/>
                <w:color w:val="000000"/>
                <w:sz w:val="20"/>
                <w:szCs w:val="20"/>
                <w:lang w:val="en-GB"/>
              </w:rPr>
              <w:t>336</w:t>
            </w:r>
          </w:p>
        </w:tc>
      </w:tr>
      <w:tr w:rsidR="00972AF0" w:rsidRPr="002D2F67" w14:paraId="428BC13F" w14:textId="77777777" w:rsidTr="002D2F67">
        <w:tc>
          <w:tcPr>
            <w:tcW w:w="3989" w:type="dxa"/>
            <w:shd w:val="clear" w:color="auto" w:fill="auto"/>
          </w:tcPr>
          <w:p w14:paraId="14F17108" w14:textId="77777777" w:rsidR="00972AF0" w:rsidRPr="002D2F67" w:rsidRDefault="00972AF0" w:rsidP="005611FE">
            <w:pPr>
              <w:ind w:left="-84" w:right="72"/>
              <w:contextualSpacing/>
              <w:jc w:val="thaiDistribute"/>
              <w:rPr>
                <w:rFonts w:ascii="Arial" w:hAnsi="Arial" w:cs="Arial"/>
                <w:color w:val="000000"/>
                <w:sz w:val="20"/>
                <w:szCs w:val="20"/>
              </w:rPr>
            </w:pPr>
            <w:r w:rsidRPr="002D2F67">
              <w:rPr>
                <w:rFonts w:ascii="Arial" w:hAnsi="Arial" w:cs="Arial"/>
                <w:color w:val="000000"/>
                <w:sz w:val="20"/>
                <w:szCs w:val="20"/>
              </w:rPr>
              <w:t>Undue output VAT</w:t>
            </w:r>
          </w:p>
        </w:tc>
        <w:tc>
          <w:tcPr>
            <w:tcW w:w="1368" w:type="dxa"/>
            <w:shd w:val="clear" w:color="auto" w:fill="auto"/>
          </w:tcPr>
          <w:p w14:paraId="0D89F14A" w14:textId="6D29C5BE"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207</w:t>
            </w:r>
            <w:r w:rsidR="00086212" w:rsidRPr="002D2F67">
              <w:rPr>
                <w:rFonts w:ascii="Arial" w:hAnsi="Arial" w:cs="Arial"/>
                <w:color w:val="000000"/>
                <w:sz w:val="20"/>
                <w:szCs w:val="20"/>
              </w:rPr>
              <w:t>,</w:t>
            </w:r>
            <w:r w:rsidRPr="00CD5714">
              <w:rPr>
                <w:rFonts w:ascii="Arial" w:hAnsi="Arial" w:cs="Arial"/>
                <w:color w:val="000000"/>
                <w:sz w:val="20"/>
                <w:szCs w:val="20"/>
                <w:lang w:val="en-GB"/>
              </w:rPr>
              <w:t>634</w:t>
            </w:r>
          </w:p>
        </w:tc>
        <w:tc>
          <w:tcPr>
            <w:tcW w:w="1368" w:type="dxa"/>
            <w:shd w:val="clear" w:color="auto" w:fill="auto"/>
          </w:tcPr>
          <w:p w14:paraId="7FFA4BE4" w14:textId="616E9FBB"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181</w:t>
            </w:r>
            <w:r w:rsidR="00972AF0" w:rsidRPr="002D2F67">
              <w:rPr>
                <w:rFonts w:ascii="Arial" w:hAnsi="Arial" w:cs="Arial"/>
                <w:color w:val="000000"/>
                <w:sz w:val="20"/>
                <w:szCs w:val="20"/>
              </w:rPr>
              <w:t>,</w:t>
            </w:r>
            <w:r w:rsidRPr="00CD5714">
              <w:rPr>
                <w:rFonts w:ascii="Arial" w:hAnsi="Arial" w:cs="Arial"/>
                <w:color w:val="000000"/>
                <w:sz w:val="20"/>
                <w:szCs w:val="20"/>
                <w:lang w:val="en-GB"/>
              </w:rPr>
              <w:t>020</w:t>
            </w:r>
          </w:p>
        </w:tc>
        <w:tc>
          <w:tcPr>
            <w:tcW w:w="1368" w:type="dxa"/>
            <w:shd w:val="clear" w:color="auto" w:fill="auto"/>
          </w:tcPr>
          <w:p w14:paraId="403E69E2" w14:textId="3CB98586"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28</w:t>
            </w:r>
            <w:r w:rsidR="00086212" w:rsidRPr="002D2F67">
              <w:rPr>
                <w:rFonts w:ascii="Arial" w:hAnsi="Arial" w:cs="Arial"/>
                <w:color w:val="000000"/>
                <w:sz w:val="20"/>
                <w:szCs w:val="20"/>
              </w:rPr>
              <w:t>,</w:t>
            </w:r>
            <w:r w:rsidRPr="00CD5714">
              <w:rPr>
                <w:rFonts w:ascii="Arial" w:hAnsi="Arial" w:cs="Arial"/>
                <w:color w:val="000000"/>
                <w:sz w:val="20"/>
                <w:szCs w:val="20"/>
                <w:lang w:val="en-GB"/>
              </w:rPr>
              <w:t>578</w:t>
            </w:r>
          </w:p>
        </w:tc>
        <w:tc>
          <w:tcPr>
            <w:tcW w:w="1368" w:type="dxa"/>
            <w:shd w:val="clear" w:color="auto" w:fill="auto"/>
          </w:tcPr>
          <w:p w14:paraId="3570C6EA" w14:textId="71031A40"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52</w:t>
            </w:r>
            <w:r w:rsidR="00972AF0" w:rsidRPr="002D2F67">
              <w:rPr>
                <w:rFonts w:ascii="Arial" w:hAnsi="Arial" w:cs="Arial"/>
                <w:color w:val="000000"/>
                <w:sz w:val="20"/>
                <w:szCs w:val="20"/>
              </w:rPr>
              <w:t>,</w:t>
            </w:r>
            <w:r w:rsidRPr="00CD5714">
              <w:rPr>
                <w:rFonts w:ascii="Arial" w:hAnsi="Arial" w:cs="Arial"/>
                <w:color w:val="000000"/>
                <w:sz w:val="20"/>
                <w:szCs w:val="20"/>
                <w:lang w:val="en-GB"/>
              </w:rPr>
              <w:t>402</w:t>
            </w:r>
          </w:p>
        </w:tc>
      </w:tr>
      <w:tr w:rsidR="00972AF0" w:rsidRPr="002D2F67" w14:paraId="6DE014DB" w14:textId="77777777" w:rsidTr="002D2F67">
        <w:tc>
          <w:tcPr>
            <w:tcW w:w="3989" w:type="dxa"/>
            <w:shd w:val="clear" w:color="auto" w:fill="auto"/>
          </w:tcPr>
          <w:p w14:paraId="0681573F" w14:textId="4A4A66C6" w:rsidR="00972AF0" w:rsidRPr="002D2F67" w:rsidRDefault="00FF66DB" w:rsidP="002D2F67">
            <w:pPr>
              <w:ind w:left="-84" w:right="72"/>
              <w:contextualSpacing/>
              <w:jc w:val="thaiDistribute"/>
              <w:rPr>
                <w:rFonts w:ascii="Arial" w:hAnsi="Arial" w:cs="Arial"/>
                <w:color w:val="000000"/>
                <w:sz w:val="20"/>
                <w:szCs w:val="20"/>
              </w:rPr>
            </w:pPr>
            <w:r w:rsidRPr="002D2F67">
              <w:rPr>
                <w:rFonts w:ascii="Arial" w:hAnsi="Arial" w:cs="Arial"/>
                <w:color w:val="000000"/>
                <w:sz w:val="20"/>
                <w:szCs w:val="20"/>
              </w:rPr>
              <w:t>Payables due to the Revenue Department</w:t>
            </w:r>
          </w:p>
        </w:tc>
        <w:tc>
          <w:tcPr>
            <w:tcW w:w="1368" w:type="dxa"/>
            <w:shd w:val="clear" w:color="auto" w:fill="auto"/>
          </w:tcPr>
          <w:p w14:paraId="2AFCB8B2" w14:textId="5164A7A8" w:rsidR="00FF66DB"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196</w:t>
            </w:r>
            <w:r w:rsidR="00710C70" w:rsidRPr="002D2F67">
              <w:rPr>
                <w:rFonts w:ascii="Arial" w:hAnsi="Arial" w:cs="Arial"/>
                <w:color w:val="000000"/>
                <w:sz w:val="20"/>
                <w:szCs w:val="20"/>
              </w:rPr>
              <w:t>,</w:t>
            </w:r>
            <w:r w:rsidRPr="00CD5714">
              <w:rPr>
                <w:rFonts w:ascii="Arial" w:hAnsi="Arial" w:cs="Arial"/>
                <w:color w:val="000000"/>
                <w:sz w:val="20"/>
                <w:szCs w:val="20"/>
                <w:lang w:val="en-GB"/>
              </w:rPr>
              <w:t>484</w:t>
            </w:r>
          </w:p>
        </w:tc>
        <w:tc>
          <w:tcPr>
            <w:tcW w:w="1368" w:type="dxa"/>
            <w:shd w:val="clear" w:color="auto" w:fill="auto"/>
          </w:tcPr>
          <w:p w14:paraId="3C464FF8" w14:textId="6F8D4EA7"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103</w:t>
            </w:r>
            <w:r w:rsidR="00972AF0" w:rsidRPr="002D2F67">
              <w:rPr>
                <w:rFonts w:ascii="Arial" w:hAnsi="Arial" w:cs="Arial"/>
                <w:color w:val="000000"/>
                <w:sz w:val="20"/>
                <w:szCs w:val="20"/>
              </w:rPr>
              <w:t>,</w:t>
            </w:r>
            <w:r w:rsidRPr="00CD5714">
              <w:rPr>
                <w:rFonts w:ascii="Arial" w:hAnsi="Arial" w:cs="Arial"/>
                <w:color w:val="000000"/>
                <w:sz w:val="20"/>
                <w:szCs w:val="20"/>
                <w:lang w:val="en-GB"/>
              </w:rPr>
              <w:t>319</w:t>
            </w:r>
          </w:p>
        </w:tc>
        <w:tc>
          <w:tcPr>
            <w:tcW w:w="1368" w:type="dxa"/>
            <w:shd w:val="clear" w:color="auto" w:fill="auto"/>
          </w:tcPr>
          <w:p w14:paraId="7076A59F" w14:textId="56A3A176" w:rsidR="00FF66DB"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77</w:t>
            </w:r>
            <w:r w:rsidR="00086212" w:rsidRPr="002D2F67">
              <w:rPr>
                <w:rFonts w:ascii="Arial" w:hAnsi="Arial" w:cs="Arial"/>
                <w:color w:val="000000"/>
                <w:sz w:val="20"/>
                <w:szCs w:val="20"/>
              </w:rPr>
              <w:t>,</w:t>
            </w:r>
            <w:r w:rsidRPr="00CD5714">
              <w:rPr>
                <w:rFonts w:ascii="Arial" w:hAnsi="Arial" w:cs="Arial"/>
                <w:color w:val="000000"/>
                <w:sz w:val="20"/>
                <w:szCs w:val="20"/>
                <w:lang w:val="en-GB"/>
              </w:rPr>
              <w:t>535</w:t>
            </w:r>
          </w:p>
        </w:tc>
        <w:tc>
          <w:tcPr>
            <w:tcW w:w="1368" w:type="dxa"/>
            <w:shd w:val="clear" w:color="auto" w:fill="auto"/>
          </w:tcPr>
          <w:p w14:paraId="12BCBE60" w14:textId="1F3D0294"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50</w:t>
            </w:r>
            <w:r w:rsidR="00972AF0" w:rsidRPr="002D2F67">
              <w:rPr>
                <w:rFonts w:ascii="Arial" w:hAnsi="Arial" w:cs="Arial"/>
                <w:color w:val="000000"/>
                <w:sz w:val="20"/>
                <w:szCs w:val="20"/>
              </w:rPr>
              <w:t>,</w:t>
            </w:r>
            <w:r w:rsidRPr="00CD5714">
              <w:rPr>
                <w:rFonts w:ascii="Arial" w:hAnsi="Arial" w:cs="Arial"/>
                <w:color w:val="000000"/>
                <w:sz w:val="20"/>
                <w:szCs w:val="20"/>
                <w:lang w:val="en-GB"/>
              </w:rPr>
              <w:t>654</w:t>
            </w:r>
          </w:p>
        </w:tc>
      </w:tr>
      <w:tr w:rsidR="00972AF0" w:rsidRPr="002D2F67" w14:paraId="69A78C53" w14:textId="77777777" w:rsidTr="002D2F67">
        <w:tc>
          <w:tcPr>
            <w:tcW w:w="3989" w:type="dxa"/>
            <w:shd w:val="clear" w:color="auto" w:fill="auto"/>
            <w:vAlign w:val="bottom"/>
          </w:tcPr>
          <w:p w14:paraId="488D074D" w14:textId="77777777" w:rsidR="00972AF0" w:rsidRPr="002D2F67" w:rsidRDefault="00972AF0" w:rsidP="005611FE">
            <w:pPr>
              <w:ind w:left="-84" w:right="72"/>
              <w:contextualSpacing/>
              <w:jc w:val="thaiDistribute"/>
              <w:rPr>
                <w:rFonts w:ascii="Arial" w:hAnsi="Arial" w:cs="Arial"/>
                <w:color w:val="000000"/>
                <w:sz w:val="20"/>
                <w:szCs w:val="20"/>
              </w:rPr>
            </w:pPr>
            <w:r w:rsidRPr="002D2F67">
              <w:rPr>
                <w:rFonts w:ascii="Arial" w:hAnsi="Arial" w:cs="Arial"/>
                <w:color w:val="000000"/>
                <w:sz w:val="20"/>
                <w:szCs w:val="20"/>
              </w:rPr>
              <w:t>Accrued expenses</w:t>
            </w:r>
          </w:p>
        </w:tc>
        <w:tc>
          <w:tcPr>
            <w:tcW w:w="1368" w:type="dxa"/>
            <w:shd w:val="clear" w:color="auto" w:fill="auto"/>
          </w:tcPr>
          <w:p w14:paraId="655DE49F" w14:textId="43C5C792"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cs/>
              </w:rPr>
            </w:pPr>
            <w:r w:rsidRPr="00CD5714">
              <w:rPr>
                <w:rFonts w:ascii="Arial" w:hAnsi="Arial" w:cs="Arial"/>
                <w:color w:val="000000"/>
                <w:sz w:val="20"/>
                <w:szCs w:val="20"/>
                <w:lang w:val="en-GB"/>
              </w:rPr>
              <w:t>342</w:t>
            </w:r>
            <w:r w:rsidR="00710C70" w:rsidRPr="002D2F67">
              <w:rPr>
                <w:rFonts w:ascii="Arial" w:hAnsi="Arial" w:cs="Arial"/>
                <w:color w:val="000000"/>
                <w:sz w:val="20"/>
                <w:szCs w:val="20"/>
              </w:rPr>
              <w:t>,</w:t>
            </w:r>
            <w:r w:rsidRPr="00CD5714">
              <w:rPr>
                <w:rFonts w:ascii="Arial" w:hAnsi="Arial" w:cs="Arial"/>
                <w:color w:val="000000"/>
                <w:sz w:val="20"/>
                <w:szCs w:val="20"/>
                <w:lang w:val="en-GB"/>
              </w:rPr>
              <w:t>665</w:t>
            </w:r>
          </w:p>
        </w:tc>
        <w:tc>
          <w:tcPr>
            <w:tcW w:w="1368" w:type="dxa"/>
            <w:shd w:val="clear" w:color="auto" w:fill="auto"/>
          </w:tcPr>
          <w:p w14:paraId="5E1884D2" w14:textId="2CBBD7AF"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cs/>
              </w:rPr>
            </w:pPr>
            <w:r w:rsidRPr="00CD5714">
              <w:rPr>
                <w:rFonts w:ascii="Arial" w:hAnsi="Arial" w:cs="Arial"/>
                <w:color w:val="000000"/>
                <w:sz w:val="20"/>
                <w:szCs w:val="20"/>
                <w:lang w:val="en-GB"/>
              </w:rPr>
              <w:t>309</w:t>
            </w:r>
            <w:r w:rsidR="00972AF0" w:rsidRPr="002D2F67">
              <w:rPr>
                <w:rFonts w:ascii="Arial" w:hAnsi="Arial" w:cs="Arial"/>
                <w:color w:val="000000"/>
                <w:sz w:val="20"/>
                <w:szCs w:val="20"/>
              </w:rPr>
              <w:t>,</w:t>
            </w:r>
            <w:r w:rsidRPr="00CD5714">
              <w:rPr>
                <w:rFonts w:ascii="Arial" w:hAnsi="Arial" w:cs="Arial"/>
                <w:color w:val="000000"/>
                <w:sz w:val="20"/>
                <w:szCs w:val="20"/>
                <w:lang w:val="en-GB"/>
              </w:rPr>
              <w:t>869</w:t>
            </w:r>
          </w:p>
        </w:tc>
        <w:tc>
          <w:tcPr>
            <w:tcW w:w="1368" w:type="dxa"/>
            <w:shd w:val="clear" w:color="auto" w:fill="auto"/>
          </w:tcPr>
          <w:p w14:paraId="6DAC5D0E" w14:textId="60A7125C"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cs/>
              </w:rPr>
            </w:pPr>
            <w:r w:rsidRPr="00CD5714">
              <w:rPr>
                <w:rFonts w:ascii="Arial" w:hAnsi="Arial" w:cs="Arial"/>
                <w:color w:val="000000"/>
                <w:sz w:val="20"/>
                <w:szCs w:val="20"/>
                <w:lang w:val="en-GB"/>
              </w:rPr>
              <w:t>53</w:t>
            </w:r>
            <w:r w:rsidR="00086212" w:rsidRPr="002D2F67">
              <w:rPr>
                <w:rFonts w:ascii="Arial" w:hAnsi="Arial" w:cs="Arial"/>
                <w:color w:val="000000"/>
                <w:sz w:val="20"/>
                <w:szCs w:val="20"/>
              </w:rPr>
              <w:t>,</w:t>
            </w:r>
            <w:r w:rsidRPr="00CD5714">
              <w:rPr>
                <w:rFonts w:ascii="Arial" w:hAnsi="Arial" w:cs="Arial"/>
                <w:color w:val="000000"/>
                <w:sz w:val="20"/>
                <w:szCs w:val="20"/>
                <w:lang w:val="en-GB"/>
              </w:rPr>
              <w:t>825</w:t>
            </w:r>
          </w:p>
        </w:tc>
        <w:tc>
          <w:tcPr>
            <w:tcW w:w="1368" w:type="dxa"/>
            <w:shd w:val="clear" w:color="auto" w:fill="auto"/>
          </w:tcPr>
          <w:p w14:paraId="087ACA17" w14:textId="1ACED78C"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cs/>
              </w:rPr>
            </w:pPr>
            <w:r w:rsidRPr="00CD5714">
              <w:rPr>
                <w:rFonts w:ascii="Arial" w:hAnsi="Arial" w:cs="Arial"/>
                <w:color w:val="000000"/>
                <w:sz w:val="20"/>
                <w:szCs w:val="20"/>
                <w:lang w:val="en-GB"/>
              </w:rPr>
              <w:t>14</w:t>
            </w:r>
            <w:r w:rsidR="00972AF0" w:rsidRPr="002D2F67">
              <w:rPr>
                <w:rFonts w:ascii="Arial" w:hAnsi="Arial" w:cs="Arial"/>
                <w:color w:val="000000"/>
                <w:sz w:val="20"/>
                <w:szCs w:val="20"/>
              </w:rPr>
              <w:t>,</w:t>
            </w:r>
            <w:r w:rsidRPr="00CD5714">
              <w:rPr>
                <w:rFonts w:ascii="Arial" w:hAnsi="Arial" w:cs="Arial"/>
                <w:color w:val="000000"/>
                <w:sz w:val="20"/>
                <w:szCs w:val="20"/>
                <w:lang w:val="en-GB"/>
              </w:rPr>
              <w:t>512</w:t>
            </w:r>
          </w:p>
        </w:tc>
      </w:tr>
      <w:tr w:rsidR="00972AF0" w:rsidRPr="002D2F67" w14:paraId="4215452F" w14:textId="77777777" w:rsidTr="002D2F67">
        <w:tc>
          <w:tcPr>
            <w:tcW w:w="3989" w:type="dxa"/>
            <w:shd w:val="clear" w:color="auto" w:fill="auto"/>
            <w:vAlign w:val="bottom"/>
          </w:tcPr>
          <w:p w14:paraId="5BBF404A" w14:textId="77777777" w:rsidR="00972AF0" w:rsidRPr="002D2F67" w:rsidRDefault="00972AF0" w:rsidP="005611FE">
            <w:pPr>
              <w:tabs>
                <w:tab w:val="left" w:pos="1134"/>
                <w:tab w:val="left" w:pos="1276"/>
                <w:tab w:val="center" w:pos="3402"/>
                <w:tab w:val="center" w:pos="4536"/>
                <w:tab w:val="center" w:pos="5670"/>
                <w:tab w:val="center" w:pos="6804"/>
                <w:tab w:val="right" w:pos="7655"/>
              </w:tabs>
              <w:ind w:left="-84" w:right="-72"/>
              <w:contextualSpacing/>
              <w:rPr>
                <w:rFonts w:ascii="Arial" w:hAnsi="Arial" w:cs="Arial"/>
                <w:color w:val="000000"/>
                <w:spacing w:val="-2"/>
                <w:sz w:val="20"/>
                <w:szCs w:val="20"/>
              </w:rPr>
            </w:pPr>
            <w:r w:rsidRPr="002D2F67">
              <w:rPr>
                <w:rFonts w:ascii="Arial" w:hAnsi="Arial" w:cs="Arial"/>
                <w:color w:val="000000"/>
                <w:sz w:val="20"/>
                <w:szCs w:val="20"/>
              </w:rPr>
              <w:t>Interest payable</w:t>
            </w:r>
          </w:p>
        </w:tc>
        <w:tc>
          <w:tcPr>
            <w:tcW w:w="1368" w:type="dxa"/>
            <w:shd w:val="clear" w:color="auto" w:fill="auto"/>
          </w:tcPr>
          <w:p w14:paraId="5312458D" w14:textId="77F3513C"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506</w:t>
            </w:r>
            <w:r w:rsidR="00710C70" w:rsidRPr="002D2F67">
              <w:rPr>
                <w:rFonts w:ascii="Arial" w:hAnsi="Arial" w:cs="Arial"/>
                <w:color w:val="000000"/>
                <w:sz w:val="20"/>
                <w:szCs w:val="20"/>
              </w:rPr>
              <w:t>,</w:t>
            </w:r>
            <w:r w:rsidRPr="00CD5714">
              <w:rPr>
                <w:rFonts w:ascii="Arial" w:hAnsi="Arial" w:cs="Arial"/>
                <w:color w:val="000000"/>
                <w:sz w:val="20"/>
                <w:szCs w:val="20"/>
                <w:lang w:val="en-GB"/>
              </w:rPr>
              <w:t>095</w:t>
            </w:r>
          </w:p>
        </w:tc>
        <w:tc>
          <w:tcPr>
            <w:tcW w:w="1368" w:type="dxa"/>
            <w:shd w:val="clear" w:color="auto" w:fill="auto"/>
          </w:tcPr>
          <w:p w14:paraId="7F0316EC" w14:textId="724E5682"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433</w:t>
            </w:r>
            <w:r w:rsidR="00972AF0" w:rsidRPr="002D2F67">
              <w:rPr>
                <w:rFonts w:ascii="Arial" w:hAnsi="Arial" w:cs="Arial"/>
                <w:color w:val="000000"/>
                <w:sz w:val="20"/>
                <w:szCs w:val="20"/>
              </w:rPr>
              <w:t>,</w:t>
            </w:r>
            <w:r w:rsidRPr="00CD5714">
              <w:rPr>
                <w:rFonts w:ascii="Arial" w:hAnsi="Arial" w:cs="Arial"/>
                <w:color w:val="000000"/>
                <w:sz w:val="20"/>
                <w:szCs w:val="20"/>
                <w:lang w:val="en-GB"/>
              </w:rPr>
              <w:t>908</w:t>
            </w:r>
          </w:p>
        </w:tc>
        <w:tc>
          <w:tcPr>
            <w:tcW w:w="1368" w:type="dxa"/>
            <w:shd w:val="clear" w:color="auto" w:fill="auto"/>
          </w:tcPr>
          <w:p w14:paraId="349360BC" w14:textId="531E99E9"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506</w:t>
            </w:r>
            <w:r w:rsidR="00BD11F8" w:rsidRPr="002D2F67">
              <w:rPr>
                <w:rFonts w:ascii="Arial" w:hAnsi="Arial" w:cs="Arial"/>
                <w:color w:val="000000"/>
                <w:sz w:val="20"/>
                <w:szCs w:val="20"/>
              </w:rPr>
              <w:t>,</w:t>
            </w:r>
            <w:r w:rsidRPr="00CD5714">
              <w:rPr>
                <w:rFonts w:ascii="Arial" w:hAnsi="Arial" w:cs="Arial"/>
                <w:color w:val="000000"/>
                <w:sz w:val="20"/>
                <w:szCs w:val="20"/>
                <w:lang w:val="en-GB"/>
              </w:rPr>
              <w:t>543</w:t>
            </w:r>
          </w:p>
        </w:tc>
        <w:tc>
          <w:tcPr>
            <w:tcW w:w="1368" w:type="dxa"/>
            <w:shd w:val="clear" w:color="auto" w:fill="auto"/>
          </w:tcPr>
          <w:p w14:paraId="14F2CFA9" w14:textId="2BF325C1"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399</w:t>
            </w:r>
            <w:r w:rsidR="00972AF0" w:rsidRPr="002D2F67">
              <w:rPr>
                <w:rFonts w:ascii="Arial" w:hAnsi="Arial" w:cs="Arial"/>
                <w:color w:val="000000"/>
                <w:sz w:val="20"/>
                <w:szCs w:val="20"/>
              </w:rPr>
              <w:t>,</w:t>
            </w:r>
            <w:r w:rsidRPr="00CD5714">
              <w:rPr>
                <w:rFonts w:ascii="Arial" w:hAnsi="Arial" w:cs="Arial"/>
                <w:color w:val="000000"/>
                <w:sz w:val="20"/>
                <w:szCs w:val="20"/>
                <w:lang w:val="en-GB"/>
              </w:rPr>
              <w:t>092</w:t>
            </w:r>
          </w:p>
        </w:tc>
      </w:tr>
      <w:tr w:rsidR="00972AF0" w:rsidRPr="002D2F67" w14:paraId="2B49A03D" w14:textId="77777777" w:rsidTr="002D2F67">
        <w:tc>
          <w:tcPr>
            <w:tcW w:w="3989" w:type="dxa"/>
            <w:shd w:val="clear" w:color="auto" w:fill="auto"/>
            <w:vAlign w:val="bottom"/>
          </w:tcPr>
          <w:p w14:paraId="450BFE28" w14:textId="26CBC406" w:rsidR="00972AF0" w:rsidRPr="002D2F67" w:rsidRDefault="00B02EDD" w:rsidP="005611FE">
            <w:pPr>
              <w:tabs>
                <w:tab w:val="left" w:pos="1134"/>
                <w:tab w:val="left" w:pos="1276"/>
                <w:tab w:val="center" w:pos="3402"/>
                <w:tab w:val="center" w:pos="4536"/>
                <w:tab w:val="center" w:pos="5670"/>
                <w:tab w:val="center" w:pos="6804"/>
                <w:tab w:val="right" w:pos="7655"/>
              </w:tabs>
              <w:ind w:left="-84" w:right="-72"/>
              <w:contextualSpacing/>
              <w:rPr>
                <w:rFonts w:ascii="Arial" w:hAnsi="Arial" w:cs="Arial"/>
                <w:color w:val="000000"/>
                <w:sz w:val="20"/>
                <w:szCs w:val="20"/>
              </w:rPr>
            </w:pPr>
            <w:r w:rsidRPr="002D2F67">
              <w:rPr>
                <w:rFonts w:ascii="Arial" w:hAnsi="Arial" w:cs="Arial"/>
                <w:color w:val="000000"/>
                <w:sz w:val="20"/>
                <w:szCs w:val="20"/>
              </w:rPr>
              <w:t>Unearned</w:t>
            </w:r>
            <w:r w:rsidR="00972AF0" w:rsidRPr="002D2F67">
              <w:rPr>
                <w:rFonts w:ascii="Arial" w:hAnsi="Arial" w:cs="Arial"/>
                <w:color w:val="000000"/>
                <w:sz w:val="20"/>
                <w:szCs w:val="20"/>
              </w:rPr>
              <w:t xml:space="preserve"> revenue</w:t>
            </w:r>
          </w:p>
        </w:tc>
        <w:tc>
          <w:tcPr>
            <w:tcW w:w="1368" w:type="dxa"/>
            <w:shd w:val="clear" w:color="auto" w:fill="auto"/>
          </w:tcPr>
          <w:p w14:paraId="78221573" w14:textId="14924FF4"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60</w:t>
            </w:r>
            <w:r w:rsidR="00086212" w:rsidRPr="002D2F67">
              <w:rPr>
                <w:rFonts w:ascii="Arial" w:hAnsi="Arial" w:cs="Arial"/>
                <w:color w:val="000000"/>
                <w:sz w:val="20"/>
                <w:szCs w:val="20"/>
              </w:rPr>
              <w:t>,</w:t>
            </w:r>
            <w:r w:rsidRPr="00CD5714">
              <w:rPr>
                <w:rFonts w:ascii="Arial" w:hAnsi="Arial" w:cs="Arial"/>
                <w:color w:val="000000"/>
                <w:sz w:val="20"/>
                <w:szCs w:val="20"/>
                <w:lang w:val="en-GB"/>
              </w:rPr>
              <w:t>431</w:t>
            </w:r>
          </w:p>
        </w:tc>
        <w:tc>
          <w:tcPr>
            <w:tcW w:w="1368" w:type="dxa"/>
            <w:shd w:val="clear" w:color="auto" w:fill="auto"/>
          </w:tcPr>
          <w:p w14:paraId="4E9DE393" w14:textId="729D2D37"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73</w:t>
            </w:r>
            <w:r w:rsidR="00972AF0" w:rsidRPr="002D2F67">
              <w:rPr>
                <w:rFonts w:ascii="Arial" w:hAnsi="Arial" w:cs="Arial"/>
                <w:color w:val="000000"/>
                <w:sz w:val="20"/>
                <w:szCs w:val="20"/>
              </w:rPr>
              <w:t>,</w:t>
            </w:r>
            <w:r w:rsidRPr="00CD5714">
              <w:rPr>
                <w:rFonts w:ascii="Arial" w:hAnsi="Arial" w:cs="Arial"/>
                <w:color w:val="000000"/>
                <w:sz w:val="20"/>
                <w:szCs w:val="20"/>
                <w:lang w:val="en-GB"/>
              </w:rPr>
              <w:t>222</w:t>
            </w:r>
          </w:p>
        </w:tc>
        <w:tc>
          <w:tcPr>
            <w:tcW w:w="1368" w:type="dxa"/>
            <w:shd w:val="clear" w:color="auto" w:fill="auto"/>
          </w:tcPr>
          <w:p w14:paraId="1A304F8D" w14:textId="3BC5B096"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44</w:t>
            </w:r>
            <w:r w:rsidR="00086212" w:rsidRPr="002D2F67">
              <w:rPr>
                <w:rFonts w:ascii="Arial" w:hAnsi="Arial" w:cs="Arial"/>
                <w:color w:val="000000"/>
                <w:sz w:val="20"/>
                <w:szCs w:val="20"/>
              </w:rPr>
              <w:t>,</w:t>
            </w:r>
            <w:r w:rsidRPr="00CD5714">
              <w:rPr>
                <w:rFonts w:ascii="Arial" w:hAnsi="Arial" w:cs="Arial"/>
                <w:color w:val="000000"/>
                <w:sz w:val="20"/>
                <w:szCs w:val="20"/>
                <w:lang w:val="en-GB"/>
              </w:rPr>
              <w:t>305</w:t>
            </w:r>
          </w:p>
        </w:tc>
        <w:tc>
          <w:tcPr>
            <w:tcW w:w="1368" w:type="dxa"/>
            <w:shd w:val="clear" w:color="auto" w:fill="auto"/>
          </w:tcPr>
          <w:p w14:paraId="4A68A332" w14:textId="65977791"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44</w:t>
            </w:r>
            <w:r w:rsidR="00972AF0" w:rsidRPr="002D2F67">
              <w:rPr>
                <w:rFonts w:ascii="Arial" w:hAnsi="Arial" w:cs="Arial"/>
                <w:color w:val="000000"/>
                <w:sz w:val="20"/>
                <w:szCs w:val="20"/>
              </w:rPr>
              <w:t>,</w:t>
            </w:r>
            <w:r w:rsidRPr="00CD5714">
              <w:rPr>
                <w:rFonts w:ascii="Arial" w:hAnsi="Arial" w:cs="Arial"/>
                <w:color w:val="000000"/>
                <w:sz w:val="20"/>
                <w:szCs w:val="20"/>
                <w:lang w:val="en-GB"/>
              </w:rPr>
              <w:t>184</w:t>
            </w:r>
          </w:p>
        </w:tc>
      </w:tr>
      <w:tr w:rsidR="00972AF0" w:rsidRPr="002D2F67" w14:paraId="32E946CD" w14:textId="77777777" w:rsidTr="002D2F67">
        <w:tc>
          <w:tcPr>
            <w:tcW w:w="3989" w:type="dxa"/>
            <w:shd w:val="clear" w:color="auto" w:fill="auto"/>
          </w:tcPr>
          <w:p w14:paraId="42950D4A" w14:textId="77777777" w:rsidR="00972AF0" w:rsidRPr="002D2F67" w:rsidRDefault="00972AF0" w:rsidP="005611FE">
            <w:pPr>
              <w:tabs>
                <w:tab w:val="left" w:pos="1134"/>
                <w:tab w:val="left" w:pos="1276"/>
                <w:tab w:val="center" w:pos="3402"/>
                <w:tab w:val="center" w:pos="4536"/>
                <w:tab w:val="center" w:pos="5670"/>
                <w:tab w:val="center" w:pos="6804"/>
                <w:tab w:val="right" w:pos="7655"/>
              </w:tabs>
              <w:ind w:left="-84" w:right="-72"/>
              <w:contextualSpacing/>
              <w:rPr>
                <w:rFonts w:ascii="Arial" w:hAnsi="Arial" w:cs="Arial"/>
                <w:color w:val="000000"/>
                <w:spacing w:val="-2"/>
                <w:sz w:val="20"/>
                <w:szCs w:val="20"/>
              </w:rPr>
            </w:pPr>
            <w:r w:rsidRPr="002D2F67">
              <w:rPr>
                <w:rFonts w:ascii="Arial" w:hAnsi="Arial" w:cs="Arial"/>
                <w:color w:val="000000"/>
                <w:spacing w:val="-2"/>
                <w:sz w:val="20"/>
                <w:szCs w:val="20"/>
              </w:rPr>
              <w:t>Others</w:t>
            </w:r>
          </w:p>
        </w:tc>
        <w:tc>
          <w:tcPr>
            <w:tcW w:w="1368" w:type="dxa"/>
            <w:tcBorders>
              <w:bottom w:val="single" w:sz="4" w:space="0" w:color="auto"/>
            </w:tcBorders>
            <w:shd w:val="clear" w:color="auto" w:fill="auto"/>
          </w:tcPr>
          <w:p w14:paraId="6B2BB482" w14:textId="5698EEFB"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11</w:t>
            </w:r>
            <w:r w:rsidR="00086212" w:rsidRPr="002D2F67">
              <w:rPr>
                <w:rFonts w:ascii="Arial" w:hAnsi="Arial" w:cs="Arial"/>
                <w:color w:val="000000"/>
                <w:sz w:val="20"/>
                <w:szCs w:val="20"/>
              </w:rPr>
              <w:t>,</w:t>
            </w:r>
            <w:r w:rsidRPr="00CD5714">
              <w:rPr>
                <w:rFonts w:ascii="Arial" w:hAnsi="Arial" w:cs="Arial"/>
                <w:color w:val="000000"/>
                <w:sz w:val="20"/>
                <w:szCs w:val="20"/>
                <w:lang w:val="en-GB"/>
              </w:rPr>
              <w:t>104</w:t>
            </w:r>
          </w:p>
        </w:tc>
        <w:tc>
          <w:tcPr>
            <w:tcW w:w="1368" w:type="dxa"/>
            <w:tcBorders>
              <w:bottom w:val="single" w:sz="4" w:space="0" w:color="auto"/>
            </w:tcBorders>
            <w:shd w:val="clear" w:color="auto" w:fill="auto"/>
          </w:tcPr>
          <w:p w14:paraId="06B8DD43" w14:textId="7AB4727F"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30</w:t>
            </w:r>
            <w:r w:rsidR="00972AF0" w:rsidRPr="002D2F67">
              <w:rPr>
                <w:rFonts w:ascii="Arial" w:hAnsi="Arial" w:cs="Arial"/>
                <w:color w:val="000000"/>
                <w:sz w:val="20"/>
                <w:szCs w:val="20"/>
              </w:rPr>
              <w:t>,</w:t>
            </w:r>
            <w:r w:rsidRPr="00CD5714">
              <w:rPr>
                <w:rFonts w:ascii="Arial" w:hAnsi="Arial" w:cs="Arial"/>
                <w:color w:val="000000"/>
                <w:sz w:val="20"/>
                <w:szCs w:val="20"/>
                <w:lang w:val="en-GB"/>
              </w:rPr>
              <w:t>218</w:t>
            </w:r>
          </w:p>
        </w:tc>
        <w:tc>
          <w:tcPr>
            <w:tcW w:w="1368" w:type="dxa"/>
            <w:tcBorders>
              <w:bottom w:val="single" w:sz="4" w:space="0" w:color="auto"/>
            </w:tcBorders>
            <w:shd w:val="clear" w:color="auto" w:fill="auto"/>
          </w:tcPr>
          <w:p w14:paraId="7D0CF488" w14:textId="30032177"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751</w:t>
            </w:r>
          </w:p>
        </w:tc>
        <w:tc>
          <w:tcPr>
            <w:tcW w:w="1368" w:type="dxa"/>
            <w:tcBorders>
              <w:bottom w:val="single" w:sz="4" w:space="0" w:color="auto"/>
            </w:tcBorders>
            <w:shd w:val="clear" w:color="auto" w:fill="auto"/>
          </w:tcPr>
          <w:p w14:paraId="750DF126" w14:textId="697B5D79"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65</w:t>
            </w:r>
          </w:p>
        </w:tc>
      </w:tr>
      <w:tr w:rsidR="00972AF0" w:rsidRPr="002D2F67" w14:paraId="44AA2269" w14:textId="77777777" w:rsidTr="002D2F67">
        <w:trPr>
          <w:trHeight w:val="74"/>
        </w:trPr>
        <w:tc>
          <w:tcPr>
            <w:tcW w:w="3989" w:type="dxa"/>
            <w:shd w:val="clear" w:color="auto" w:fill="auto"/>
          </w:tcPr>
          <w:p w14:paraId="3A4DF406" w14:textId="77777777" w:rsidR="00972AF0" w:rsidRPr="002D2F67" w:rsidRDefault="00972AF0" w:rsidP="005611FE">
            <w:pPr>
              <w:ind w:left="-129" w:right="-90" w:firstLine="111"/>
              <w:contextualSpacing/>
              <w:rPr>
                <w:rFonts w:ascii="Arial" w:hAnsi="Arial" w:cs="Arial"/>
                <w:b/>
                <w:bCs/>
                <w:color w:val="000000"/>
                <w:sz w:val="20"/>
                <w:szCs w:val="20"/>
              </w:rPr>
            </w:pPr>
          </w:p>
        </w:tc>
        <w:tc>
          <w:tcPr>
            <w:tcW w:w="1368" w:type="dxa"/>
            <w:tcBorders>
              <w:top w:val="single" w:sz="4" w:space="0" w:color="auto"/>
            </w:tcBorders>
            <w:shd w:val="clear" w:color="auto" w:fill="auto"/>
          </w:tcPr>
          <w:p w14:paraId="5B9763F1" w14:textId="77777777" w:rsidR="00972AF0" w:rsidRPr="002D2F67" w:rsidRDefault="00972AF0" w:rsidP="005611FE">
            <w:pPr>
              <w:tabs>
                <w:tab w:val="left" w:pos="1134"/>
                <w:tab w:val="left" w:pos="1276"/>
                <w:tab w:val="center" w:pos="3402"/>
                <w:tab w:val="center" w:pos="4536"/>
                <w:tab w:val="center" w:pos="5670"/>
                <w:tab w:val="center" w:pos="6804"/>
                <w:tab w:val="right" w:pos="7655"/>
              </w:tabs>
              <w:ind w:left="-129" w:right="-90" w:firstLine="111"/>
              <w:contextualSpacing/>
              <w:jc w:val="right"/>
              <w:rPr>
                <w:rFonts w:ascii="Arial" w:hAnsi="Arial" w:cs="Arial"/>
                <w:b/>
                <w:bCs/>
                <w:color w:val="000000"/>
                <w:sz w:val="20"/>
                <w:szCs w:val="20"/>
              </w:rPr>
            </w:pPr>
          </w:p>
        </w:tc>
        <w:tc>
          <w:tcPr>
            <w:tcW w:w="1368" w:type="dxa"/>
            <w:tcBorders>
              <w:top w:val="single" w:sz="4" w:space="0" w:color="auto"/>
            </w:tcBorders>
            <w:shd w:val="clear" w:color="auto" w:fill="auto"/>
          </w:tcPr>
          <w:p w14:paraId="59E2059E" w14:textId="77777777" w:rsidR="00972AF0" w:rsidRPr="002D2F67" w:rsidRDefault="00972AF0" w:rsidP="005611FE">
            <w:pPr>
              <w:tabs>
                <w:tab w:val="left" w:pos="1134"/>
                <w:tab w:val="left" w:pos="1276"/>
                <w:tab w:val="center" w:pos="3402"/>
                <w:tab w:val="center" w:pos="4536"/>
                <w:tab w:val="center" w:pos="5670"/>
                <w:tab w:val="center" w:pos="6804"/>
                <w:tab w:val="right" w:pos="7655"/>
              </w:tabs>
              <w:ind w:left="-129" w:right="-90" w:firstLine="111"/>
              <w:contextualSpacing/>
              <w:jc w:val="right"/>
              <w:rPr>
                <w:rFonts w:ascii="Arial" w:hAnsi="Arial" w:cs="Arial"/>
                <w:b/>
                <w:bCs/>
                <w:color w:val="000000"/>
                <w:sz w:val="20"/>
                <w:szCs w:val="20"/>
              </w:rPr>
            </w:pPr>
          </w:p>
        </w:tc>
        <w:tc>
          <w:tcPr>
            <w:tcW w:w="1368" w:type="dxa"/>
            <w:tcBorders>
              <w:top w:val="single" w:sz="4" w:space="0" w:color="auto"/>
            </w:tcBorders>
            <w:shd w:val="clear" w:color="auto" w:fill="auto"/>
          </w:tcPr>
          <w:p w14:paraId="4EFE5BE9" w14:textId="77777777" w:rsidR="00972AF0" w:rsidRPr="002D2F67" w:rsidRDefault="00972AF0" w:rsidP="005611FE">
            <w:pPr>
              <w:tabs>
                <w:tab w:val="left" w:pos="1134"/>
                <w:tab w:val="left" w:pos="1276"/>
                <w:tab w:val="center" w:pos="3402"/>
                <w:tab w:val="center" w:pos="4536"/>
                <w:tab w:val="center" w:pos="5670"/>
                <w:tab w:val="center" w:pos="6804"/>
                <w:tab w:val="right" w:pos="7655"/>
              </w:tabs>
              <w:ind w:left="-129" w:right="-90" w:firstLine="111"/>
              <w:contextualSpacing/>
              <w:jc w:val="right"/>
              <w:rPr>
                <w:rFonts w:ascii="Arial" w:hAnsi="Arial" w:cs="Arial"/>
                <w:b/>
                <w:bCs/>
                <w:color w:val="000000"/>
                <w:sz w:val="20"/>
                <w:szCs w:val="20"/>
              </w:rPr>
            </w:pPr>
          </w:p>
        </w:tc>
        <w:tc>
          <w:tcPr>
            <w:tcW w:w="1368" w:type="dxa"/>
            <w:tcBorders>
              <w:top w:val="single" w:sz="4" w:space="0" w:color="auto"/>
            </w:tcBorders>
            <w:shd w:val="clear" w:color="auto" w:fill="auto"/>
          </w:tcPr>
          <w:p w14:paraId="0F18C780" w14:textId="77777777" w:rsidR="00972AF0" w:rsidRPr="002D2F67" w:rsidRDefault="00972AF0" w:rsidP="005611FE">
            <w:pPr>
              <w:tabs>
                <w:tab w:val="left" w:pos="1134"/>
                <w:tab w:val="left" w:pos="1276"/>
                <w:tab w:val="center" w:pos="3402"/>
                <w:tab w:val="center" w:pos="4536"/>
                <w:tab w:val="center" w:pos="5670"/>
                <w:tab w:val="center" w:pos="6804"/>
                <w:tab w:val="right" w:pos="7655"/>
              </w:tabs>
              <w:ind w:left="-129" w:right="-90" w:firstLine="111"/>
              <w:contextualSpacing/>
              <w:jc w:val="right"/>
              <w:rPr>
                <w:rFonts w:ascii="Arial" w:hAnsi="Arial" w:cs="Arial"/>
                <w:b/>
                <w:bCs/>
                <w:color w:val="000000"/>
                <w:sz w:val="20"/>
                <w:szCs w:val="20"/>
              </w:rPr>
            </w:pPr>
          </w:p>
        </w:tc>
      </w:tr>
      <w:tr w:rsidR="00972AF0" w:rsidRPr="002D2F67" w14:paraId="7070B6E1" w14:textId="77777777" w:rsidTr="002D2F67">
        <w:trPr>
          <w:trHeight w:val="70"/>
        </w:trPr>
        <w:tc>
          <w:tcPr>
            <w:tcW w:w="3989" w:type="dxa"/>
            <w:shd w:val="clear" w:color="auto" w:fill="auto"/>
            <w:vAlign w:val="bottom"/>
          </w:tcPr>
          <w:p w14:paraId="4DF6F6BA" w14:textId="3E75E7BB" w:rsidR="00972AF0" w:rsidRPr="002D2F67" w:rsidRDefault="00972AF0" w:rsidP="005611FE">
            <w:pPr>
              <w:tabs>
                <w:tab w:val="left" w:pos="1134"/>
                <w:tab w:val="left" w:pos="1276"/>
                <w:tab w:val="center" w:pos="3402"/>
                <w:tab w:val="center" w:pos="4536"/>
                <w:tab w:val="center" w:pos="5670"/>
                <w:tab w:val="center" w:pos="6804"/>
                <w:tab w:val="right" w:pos="7655"/>
              </w:tabs>
              <w:ind w:left="-84" w:right="-72"/>
              <w:contextualSpacing/>
              <w:rPr>
                <w:rFonts w:ascii="Arial" w:hAnsi="Arial" w:cs="Arial"/>
                <w:color w:val="000000"/>
                <w:sz w:val="20"/>
                <w:szCs w:val="20"/>
              </w:rPr>
            </w:pPr>
            <w:r w:rsidRPr="002D2F67">
              <w:rPr>
                <w:rFonts w:ascii="Arial" w:hAnsi="Arial" w:cs="Arial"/>
                <w:color w:val="000000"/>
                <w:sz w:val="20"/>
                <w:szCs w:val="20"/>
              </w:rPr>
              <w:t xml:space="preserve">Total other </w:t>
            </w:r>
            <w:r w:rsidR="004713E7" w:rsidRPr="002D2F67">
              <w:rPr>
                <w:rFonts w:ascii="Arial" w:hAnsi="Arial" w:cs="Arial"/>
                <w:color w:val="000000"/>
                <w:sz w:val="20"/>
                <w:szCs w:val="20"/>
              </w:rPr>
              <w:t>current payables</w:t>
            </w:r>
          </w:p>
        </w:tc>
        <w:tc>
          <w:tcPr>
            <w:tcW w:w="1368" w:type="dxa"/>
            <w:tcBorders>
              <w:bottom w:val="single" w:sz="4" w:space="0" w:color="auto"/>
            </w:tcBorders>
            <w:shd w:val="clear" w:color="auto" w:fill="auto"/>
            <w:vAlign w:val="bottom"/>
          </w:tcPr>
          <w:p w14:paraId="16641C95" w14:textId="566DB236"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2</w:t>
            </w:r>
            <w:r w:rsidR="00BD11F8" w:rsidRPr="002D2F67">
              <w:rPr>
                <w:rFonts w:ascii="Arial" w:hAnsi="Arial" w:cs="Arial"/>
                <w:color w:val="000000"/>
                <w:sz w:val="20"/>
                <w:szCs w:val="20"/>
              </w:rPr>
              <w:t>,</w:t>
            </w:r>
            <w:r w:rsidRPr="00CD5714">
              <w:rPr>
                <w:rFonts w:ascii="Arial" w:hAnsi="Arial" w:cs="Arial"/>
                <w:color w:val="000000"/>
                <w:sz w:val="20"/>
                <w:szCs w:val="20"/>
                <w:lang w:val="en-GB"/>
              </w:rPr>
              <w:t>007</w:t>
            </w:r>
            <w:r w:rsidR="00BD11F8" w:rsidRPr="002D2F67">
              <w:rPr>
                <w:rFonts w:ascii="Arial" w:hAnsi="Arial" w:cs="Arial"/>
                <w:color w:val="000000"/>
                <w:sz w:val="20"/>
                <w:szCs w:val="20"/>
              </w:rPr>
              <w:t>,</w:t>
            </w:r>
            <w:r w:rsidRPr="00CD5714">
              <w:rPr>
                <w:rFonts w:ascii="Arial" w:hAnsi="Arial" w:cs="Arial"/>
                <w:color w:val="000000"/>
                <w:sz w:val="20"/>
                <w:szCs w:val="20"/>
                <w:lang w:val="en-GB"/>
              </w:rPr>
              <w:t>845</w:t>
            </w:r>
          </w:p>
        </w:tc>
        <w:tc>
          <w:tcPr>
            <w:tcW w:w="1368" w:type="dxa"/>
            <w:tcBorders>
              <w:bottom w:val="single" w:sz="4" w:space="0" w:color="auto"/>
            </w:tcBorders>
            <w:shd w:val="clear" w:color="auto" w:fill="auto"/>
            <w:vAlign w:val="bottom"/>
          </w:tcPr>
          <w:p w14:paraId="19A93FE5" w14:textId="492E9ED5"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1</w:t>
            </w:r>
            <w:r w:rsidR="00972AF0" w:rsidRPr="002D2F67">
              <w:rPr>
                <w:rFonts w:ascii="Arial" w:hAnsi="Arial" w:cs="Arial"/>
                <w:color w:val="000000"/>
                <w:sz w:val="20"/>
                <w:szCs w:val="20"/>
              </w:rPr>
              <w:t>,</w:t>
            </w:r>
            <w:r w:rsidRPr="00CD5714">
              <w:rPr>
                <w:rFonts w:ascii="Arial" w:hAnsi="Arial" w:cs="Arial"/>
                <w:color w:val="000000"/>
                <w:sz w:val="20"/>
                <w:szCs w:val="20"/>
                <w:lang w:val="en-GB"/>
              </w:rPr>
              <w:t>498</w:t>
            </w:r>
            <w:r w:rsidR="00972AF0" w:rsidRPr="002D2F67">
              <w:rPr>
                <w:rFonts w:ascii="Arial" w:hAnsi="Arial" w:cs="Arial"/>
                <w:color w:val="000000"/>
                <w:sz w:val="20"/>
                <w:szCs w:val="20"/>
              </w:rPr>
              <w:t>,</w:t>
            </w:r>
            <w:r w:rsidRPr="00CD5714">
              <w:rPr>
                <w:rFonts w:ascii="Arial" w:hAnsi="Arial" w:cs="Arial"/>
                <w:color w:val="000000"/>
                <w:sz w:val="20"/>
                <w:szCs w:val="20"/>
                <w:lang w:val="en-GB"/>
              </w:rPr>
              <w:t>840</w:t>
            </w:r>
          </w:p>
        </w:tc>
        <w:tc>
          <w:tcPr>
            <w:tcW w:w="1368" w:type="dxa"/>
            <w:tcBorders>
              <w:bottom w:val="single" w:sz="4" w:space="0" w:color="auto"/>
            </w:tcBorders>
            <w:shd w:val="clear" w:color="auto" w:fill="auto"/>
            <w:vAlign w:val="bottom"/>
          </w:tcPr>
          <w:p w14:paraId="0D04FDC6" w14:textId="63CAFE83"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10</w:t>
            </w:r>
            <w:r w:rsidR="00BD11F8" w:rsidRPr="002D2F67">
              <w:rPr>
                <w:rFonts w:ascii="Arial" w:hAnsi="Arial" w:cs="Arial"/>
                <w:color w:val="000000"/>
                <w:sz w:val="20"/>
                <w:szCs w:val="20"/>
              </w:rPr>
              <w:t>,</w:t>
            </w:r>
            <w:r w:rsidRPr="00CD5714">
              <w:rPr>
                <w:rFonts w:ascii="Arial" w:hAnsi="Arial" w:cs="Arial"/>
                <w:color w:val="000000"/>
                <w:sz w:val="20"/>
                <w:szCs w:val="20"/>
                <w:lang w:val="en-GB"/>
              </w:rPr>
              <w:t>902</w:t>
            </w:r>
            <w:r w:rsidR="00BD11F8" w:rsidRPr="002D2F67">
              <w:rPr>
                <w:rFonts w:ascii="Arial" w:hAnsi="Arial" w:cs="Arial"/>
                <w:color w:val="000000"/>
                <w:sz w:val="20"/>
                <w:szCs w:val="20"/>
              </w:rPr>
              <w:t>,</w:t>
            </w:r>
            <w:r w:rsidRPr="00CD5714">
              <w:rPr>
                <w:rFonts w:ascii="Arial" w:hAnsi="Arial" w:cs="Arial"/>
                <w:color w:val="000000"/>
                <w:sz w:val="20"/>
                <w:szCs w:val="20"/>
                <w:lang w:val="en-GB"/>
              </w:rPr>
              <w:t>052</w:t>
            </w:r>
          </w:p>
        </w:tc>
        <w:tc>
          <w:tcPr>
            <w:tcW w:w="1368" w:type="dxa"/>
            <w:tcBorders>
              <w:bottom w:val="single" w:sz="4" w:space="0" w:color="auto"/>
            </w:tcBorders>
            <w:shd w:val="clear" w:color="auto" w:fill="auto"/>
            <w:vAlign w:val="bottom"/>
          </w:tcPr>
          <w:p w14:paraId="138856A5" w14:textId="03C856FB" w:rsidR="00972AF0"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10</w:t>
            </w:r>
            <w:r w:rsidR="00972AF0" w:rsidRPr="002D2F67">
              <w:rPr>
                <w:rFonts w:ascii="Arial" w:hAnsi="Arial" w:cs="Arial"/>
                <w:color w:val="000000"/>
                <w:sz w:val="20"/>
                <w:szCs w:val="20"/>
              </w:rPr>
              <w:t>,</w:t>
            </w:r>
            <w:r w:rsidRPr="00CD5714">
              <w:rPr>
                <w:rFonts w:ascii="Arial" w:hAnsi="Arial" w:cs="Arial"/>
                <w:color w:val="000000"/>
                <w:sz w:val="20"/>
                <w:szCs w:val="20"/>
                <w:lang w:val="en-GB"/>
              </w:rPr>
              <w:t>729</w:t>
            </w:r>
            <w:r w:rsidR="00972AF0" w:rsidRPr="002D2F67">
              <w:rPr>
                <w:rFonts w:ascii="Arial" w:hAnsi="Arial" w:cs="Arial"/>
                <w:color w:val="000000"/>
                <w:sz w:val="20"/>
                <w:szCs w:val="20"/>
              </w:rPr>
              <w:t>,</w:t>
            </w:r>
            <w:r w:rsidRPr="00CD5714">
              <w:rPr>
                <w:rFonts w:ascii="Arial" w:hAnsi="Arial" w:cs="Arial"/>
                <w:color w:val="000000"/>
                <w:sz w:val="20"/>
                <w:szCs w:val="20"/>
                <w:lang w:val="en-GB"/>
              </w:rPr>
              <w:t>277</w:t>
            </w:r>
          </w:p>
        </w:tc>
      </w:tr>
    </w:tbl>
    <w:p w14:paraId="4CCC6419" w14:textId="707AEA06" w:rsidR="009F1D09" w:rsidRPr="002D2F67" w:rsidRDefault="004F4DED" w:rsidP="005611FE">
      <w:pPr>
        <w:pStyle w:val="BodyTextIndent2"/>
        <w:spacing w:line="240" w:lineRule="auto"/>
        <w:ind w:left="0"/>
        <w:jc w:val="left"/>
        <w:rPr>
          <w:rFonts w:ascii="Arial" w:hAnsi="Arial" w:cs="Arial"/>
          <w:spacing w:val="-2"/>
        </w:rPr>
      </w:pPr>
      <w:r w:rsidRPr="002D2F67">
        <w:rPr>
          <w:rFonts w:ascii="Arial" w:hAnsi="Arial" w:cs="Arial"/>
          <w:spacing w:val="-2"/>
        </w:rPr>
        <w:br w:type="page"/>
      </w:r>
    </w:p>
    <w:p w14:paraId="63C516B4" w14:textId="7C28514F" w:rsidR="00C90CE8"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29</w:t>
      </w:r>
      <w:r w:rsidR="00C90CE8" w:rsidRPr="002D2F67">
        <w:rPr>
          <w:rFonts w:ascii="Arial" w:hAnsi="Arial" w:cs="Arial"/>
          <w:b/>
          <w:bCs/>
          <w:color w:val="000000"/>
          <w:kern w:val="26"/>
          <w:position w:val="-24"/>
          <w:sz w:val="20"/>
          <w:szCs w:val="20"/>
          <w:cs/>
        </w:rPr>
        <w:tab/>
      </w:r>
      <w:r w:rsidR="00C90CE8" w:rsidRPr="002D2F67">
        <w:rPr>
          <w:rFonts w:ascii="Arial" w:hAnsi="Arial" w:cs="Arial"/>
          <w:b/>
          <w:bCs/>
          <w:color w:val="000000"/>
          <w:kern w:val="26"/>
          <w:position w:val="-24"/>
          <w:sz w:val="20"/>
          <w:szCs w:val="20"/>
        </w:rPr>
        <w:t>Long-term loans from financial institutions, net</w:t>
      </w:r>
    </w:p>
    <w:p w14:paraId="1B04E77C" w14:textId="77777777" w:rsidR="001E6C66" w:rsidRPr="002D2F67" w:rsidRDefault="001E6C66" w:rsidP="005611FE">
      <w:pPr>
        <w:pStyle w:val="BodyTextIndent2"/>
        <w:spacing w:line="240" w:lineRule="auto"/>
        <w:ind w:left="0"/>
        <w:jc w:val="left"/>
        <w:rPr>
          <w:rFonts w:ascii="Arial" w:hAnsi="Arial" w:cs="Arial"/>
          <w:spacing w:val="-2"/>
        </w:rPr>
      </w:pPr>
    </w:p>
    <w:p w14:paraId="1AB964B3" w14:textId="4E5A2A19" w:rsidR="001E6C66" w:rsidRPr="002D2F67" w:rsidRDefault="00CD5714" w:rsidP="004F4DED">
      <w:pPr>
        <w:pStyle w:val="EASUBHEAD6"/>
        <w:rPr>
          <w:b/>
          <w:bCs/>
          <w:color w:val="000000"/>
          <w:sz w:val="20"/>
          <w:szCs w:val="20"/>
        </w:rPr>
      </w:pPr>
      <w:r w:rsidRPr="00CD5714">
        <w:rPr>
          <w:b/>
          <w:bCs/>
          <w:color w:val="000000"/>
          <w:sz w:val="20"/>
          <w:szCs w:val="20"/>
          <w:lang w:val="en-GB"/>
        </w:rPr>
        <w:t>29</w:t>
      </w:r>
      <w:r w:rsidR="001E6C66" w:rsidRPr="002D2F67">
        <w:rPr>
          <w:b/>
          <w:bCs/>
          <w:color w:val="000000"/>
          <w:sz w:val="20"/>
          <w:szCs w:val="20"/>
        </w:rPr>
        <w:t>.</w:t>
      </w:r>
      <w:r w:rsidRPr="00CD5714">
        <w:rPr>
          <w:b/>
          <w:bCs/>
          <w:color w:val="000000"/>
          <w:sz w:val="20"/>
          <w:szCs w:val="20"/>
          <w:lang w:val="en-GB"/>
        </w:rPr>
        <w:t>1</w:t>
      </w:r>
      <w:r w:rsidR="001E6C66" w:rsidRPr="002D2F67">
        <w:rPr>
          <w:b/>
          <w:bCs/>
          <w:color w:val="000000"/>
          <w:sz w:val="20"/>
          <w:szCs w:val="20"/>
        </w:rPr>
        <w:tab/>
      </w:r>
      <w:r w:rsidR="006D21C7" w:rsidRPr="002D2F67">
        <w:rPr>
          <w:b/>
          <w:bCs/>
          <w:color w:val="000000"/>
          <w:sz w:val="20"/>
          <w:szCs w:val="20"/>
        </w:rPr>
        <w:t>Details of</w:t>
      </w:r>
      <w:r w:rsidR="001E6C66" w:rsidRPr="002D2F67">
        <w:rPr>
          <w:b/>
          <w:bCs/>
          <w:color w:val="000000"/>
          <w:sz w:val="20"/>
          <w:szCs w:val="20"/>
        </w:rPr>
        <w:t xml:space="preserve"> long-term loans from financial institutions</w:t>
      </w:r>
    </w:p>
    <w:p w14:paraId="22EEFC2D" w14:textId="77777777" w:rsidR="004F4DED" w:rsidRPr="002D2F67" w:rsidRDefault="004F4DED" w:rsidP="004F4DED">
      <w:pPr>
        <w:pStyle w:val="EASUBHEAD6"/>
        <w:ind w:firstLine="0"/>
        <w:rPr>
          <w:color w:val="000000"/>
          <w:sz w:val="20"/>
          <w:szCs w:val="25"/>
        </w:rPr>
      </w:pPr>
    </w:p>
    <w:p w14:paraId="717481E4" w14:textId="57A3F64B" w:rsidR="00E96E3B" w:rsidRPr="002D2F67" w:rsidRDefault="006D21C7" w:rsidP="004F4DED">
      <w:pPr>
        <w:pStyle w:val="EASUBHEAD6"/>
        <w:ind w:firstLine="0"/>
        <w:rPr>
          <w:color w:val="000000"/>
          <w:sz w:val="20"/>
          <w:szCs w:val="20"/>
        </w:rPr>
      </w:pPr>
      <w:r w:rsidRPr="002D2F67">
        <w:rPr>
          <w:color w:val="000000"/>
          <w:sz w:val="20"/>
          <w:szCs w:val="25"/>
        </w:rPr>
        <w:t>L</w:t>
      </w:r>
      <w:r w:rsidR="00E96E3B" w:rsidRPr="002D2F67">
        <w:rPr>
          <w:color w:val="000000"/>
          <w:sz w:val="20"/>
          <w:szCs w:val="20"/>
        </w:rPr>
        <w:t>ong-term loans from financial institutions</w:t>
      </w:r>
      <w:r w:rsidR="003D2C16" w:rsidRPr="002D2F67">
        <w:rPr>
          <w:color w:val="000000"/>
          <w:sz w:val="20"/>
          <w:szCs w:val="20"/>
        </w:rPr>
        <w:t xml:space="preserve"> were</w:t>
      </w:r>
      <w:r w:rsidR="00E96E3B" w:rsidRPr="002D2F67">
        <w:rPr>
          <w:color w:val="000000"/>
          <w:sz w:val="20"/>
          <w:szCs w:val="20"/>
        </w:rPr>
        <w:t xml:space="preserve"> as follows:</w:t>
      </w:r>
    </w:p>
    <w:p w14:paraId="5558DE53" w14:textId="77777777" w:rsidR="001E6C66" w:rsidRPr="002D2F67" w:rsidRDefault="001E6C66" w:rsidP="004F4DED">
      <w:pPr>
        <w:ind w:left="540"/>
        <w:jc w:val="both"/>
        <w:rPr>
          <w:rFonts w:ascii="Arial" w:hAnsi="Arial" w:cs="Arial"/>
          <w:color w:val="000000"/>
          <w:sz w:val="20"/>
          <w:szCs w:val="20"/>
          <w:lang w:val="en"/>
        </w:rPr>
      </w:pPr>
    </w:p>
    <w:tbl>
      <w:tblPr>
        <w:tblW w:w="9461" w:type="dxa"/>
        <w:tblInd w:w="108" w:type="dxa"/>
        <w:tblLayout w:type="fixed"/>
        <w:tblLook w:val="0000" w:firstRow="0" w:lastRow="0" w:firstColumn="0" w:lastColumn="0" w:noHBand="0" w:noVBand="0"/>
      </w:tblPr>
      <w:tblGrid>
        <w:gridCol w:w="3989"/>
        <w:gridCol w:w="1368"/>
        <w:gridCol w:w="1368"/>
        <w:gridCol w:w="1368"/>
        <w:gridCol w:w="1368"/>
      </w:tblGrid>
      <w:tr w:rsidR="001E6C66" w:rsidRPr="002D2F67" w14:paraId="7776E09C" w14:textId="77777777" w:rsidTr="002D2F67">
        <w:tc>
          <w:tcPr>
            <w:tcW w:w="3989" w:type="dxa"/>
            <w:shd w:val="clear" w:color="auto" w:fill="auto"/>
          </w:tcPr>
          <w:p w14:paraId="4D55F1F0" w14:textId="77777777" w:rsidR="001E6C66" w:rsidRPr="002D2F67" w:rsidRDefault="001E6C66" w:rsidP="005611FE">
            <w:pPr>
              <w:ind w:left="431"/>
              <w:rPr>
                <w:rFonts w:ascii="Arial" w:hAnsi="Arial" w:cs="Arial"/>
                <w:color w:val="000000"/>
                <w:sz w:val="20"/>
                <w:szCs w:val="20"/>
              </w:rPr>
            </w:pPr>
          </w:p>
        </w:tc>
        <w:tc>
          <w:tcPr>
            <w:tcW w:w="2736" w:type="dxa"/>
            <w:gridSpan w:val="2"/>
            <w:tcBorders>
              <w:bottom w:val="single" w:sz="4" w:space="0" w:color="auto"/>
            </w:tcBorders>
            <w:shd w:val="clear" w:color="auto" w:fill="auto"/>
          </w:tcPr>
          <w:p w14:paraId="752F7194"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38254276"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2736" w:type="dxa"/>
            <w:gridSpan w:val="2"/>
            <w:tcBorders>
              <w:bottom w:val="single" w:sz="4" w:space="0" w:color="auto"/>
            </w:tcBorders>
            <w:shd w:val="clear" w:color="auto" w:fill="auto"/>
          </w:tcPr>
          <w:p w14:paraId="087380E9"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Separate </w:t>
            </w:r>
          </w:p>
          <w:p w14:paraId="52252E87"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5754BE" w:rsidRPr="002D2F67" w14:paraId="4830251C" w14:textId="77777777" w:rsidTr="002D2F67">
        <w:tc>
          <w:tcPr>
            <w:tcW w:w="3989" w:type="dxa"/>
            <w:shd w:val="clear" w:color="auto" w:fill="auto"/>
          </w:tcPr>
          <w:p w14:paraId="2693AC45" w14:textId="63D9A0CD" w:rsidR="005754BE" w:rsidRPr="002D2F67" w:rsidRDefault="005754BE" w:rsidP="005611FE">
            <w:pPr>
              <w:ind w:left="431"/>
              <w:rPr>
                <w:rFonts w:ascii="Arial" w:hAnsi="Arial" w:cs="Arial"/>
                <w:color w:val="000000"/>
                <w:sz w:val="20"/>
                <w:szCs w:val="20"/>
              </w:rPr>
            </w:pPr>
            <w:r w:rsidRPr="002D2F67">
              <w:rPr>
                <w:rFonts w:ascii="Arial" w:hAnsi="Arial" w:cs="Arial"/>
                <w:b/>
                <w:bCs/>
                <w:color w:val="000000"/>
                <w:sz w:val="20"/>
                <w:szCs w:val="20"/>
              </w:rPr>
              <w:t xml:space="preserve">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w:t>
            </w:r>
          </w:p>
        </w:tc>
        <w:tc>
          <w:tcPr>
            <w:tcW w:w="1368" w:type="dxa"/>
            <w:shd w:val="clear" w:color="auto" w:fill="auto"/>
            <w:vAlign w:val="bottom"/>
          </w:tcPr>
          <w:p w14:paraId="0A44A69D" w14:textId="04F9E0E1" w:rsidR="005754BE"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368" w:type="dxa"/>
            <w:shd w:val="clear" w:color="auto" w:fill="auto"/>
            <w:vAlign w:val="bottom"/>
          </w:tcPr>
          <w:p w14:paraId="06B89CD2" w14:textId="6585B6FA" w:rsidR="005754BE"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c>
          <w:tcPr>
            <w:tcW w:w="1368" w:type="dxa"/>
            <w:shd w:val="clear" w:color="auto" w:fill="auto"/>
            <w:vAlign w:val="bottom"/>
          </w:tcPr>
          <w:p w14:paraId="7364D836" w14:textId="614AEFD1" w:rsidR="005754BE"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368" w:type="dxa"/>
            <w:shd w:val="clear" w:color="auto" w:fill="auto"/>
            <w:vAlign w:val="bottom"/>
          </w:tcPr>
          <w:p w14:paraId="7EC78B18" w14:textId="311EFC16" w:rsidR="005754BE"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B96498" w:rsidRPr="002D2F67" w14:paraId="36D41CCA" w14:textId="77777777" w:rsidTr="002D2F67">
        <w:tc>
          <w:tcPr>
            <w:tcW w:w="3989" w:type="dxa"/>
            <w:shd w:val="clear" w:color="auto" w:fill="auto"/>
          </w:tcPr>
          <w:p w14:paraId="7A0C73B7" w14:textId="77777777" w:rsidR="00B96498" w:rsidRPr="002D2F67" w:rsidRDefault="00B96498" w:rsidP="005611FE">
            <w:pPr>
              <w:pStyle w:val="Header"/>
              <w:ind w:left="431"/>
              <w:jc w:val="left"/>
              <w:rPr>
                <w:rFonts w:ascii="Arial" w:hAnsi="Arial" w:cs="Arial"/>
                <w:color w:val="000000"/>
                <w:sz w:val="20"/>
                <w:szCs w:val="20"/>
              </w:rPr>
            </w:pPr>
          </w:p>
        </w:tc>
        <w:tc>
          <w:tcPr>
            <w:tcW w:w="1368" w:type="dxa"/>
            <w:tcBorders>
              <w:bottom w:val="single" w:sz="4" w:space="0" w:color="auto"/>
            </w:tcBorders>
            <w:shd w:val="clear" w:color="auto" w:fill="auto"/>
          </w:tcPr>
          <w:p w14:paraId="4AC03DCC" w14:textId="2BA9DA2D" w:rsidR="00B96498" w:rsidRPr="002D2F67" w:rsidRDefault="00B96498"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368" w:type="dxa"/>
            <w:tcBorders>
              <w:bottom w:val="single" w:sz="4" w:space="0" w:color="auto"/>
            </w:tcBorders>
            <w:shd w:val="clear" w:color="auto" w:fill="auto"/>
          </w:tcPr>
          <w:p w14:paraId="4C0FA0F0" w14:textId="510CA4AA" w:rsidR="00B96498" w:rsidRPr="002D2F67" w:rsidRDefault="00B96498"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368" w:type="dxa"/>
            <w:tcBorders>
              <w:bottom w:val="single" w:sz="4" w:space="0" w:color="auto"/>
            </w:tcBorders>
            <w:shd w:val="clear" w:color="auto" w:fill="auto"/>
          </w:tcPr>
          <w:p w14:paraId="0E9DEB43" w14:textId="28686602" w:rsidR="00B96498" w:rsidRPr="002D2F67" w:rsidRDefault="00B96498"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368" w:type="dxa"/>
            <w:tcBorders>
              <w:bottom w:val="single" w:sz="4" w:space="0" w:color="auto"/>
            </w:tcBorders>
            <w:shd w:val="clear" w:color="auto" w:fill="auto"/>
          </w:tcPr>
          <w:p w14:paraId="5B57152C" w14:textId="78C83BBC" w:rsidR="00B96498" w:rsidRPr="002D2F67" w:rsidRDefault="00B96498"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1E6C66" w:rsidRPr="002D2F67" w14:paraId="71AC1FD3" w14:textId="77777777" w:rsidTr="002D2F67">
        <w:tc>
          <w:tcPr>
            <w:tcW w:w="3989" w:type="dxa"/>
            <w:shd w:val="clear" w:color="auto" w:fill="auto"/>
          </w:tcPr>
          <w:p w14:paraId="02614921"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left="431" w:right="-158"/>
              <w:rPr>
                <w:rFonts w:ascii="Arial" w:hAnsi="Arial" w:cs="Arial"/>
                <w:color w:val="000000"/>
                <w:spacing w:val="-4"/>
                <w:sz w:val="20"/>
                <w:szCs w:val="20"/>
              </w:rPr>
            </w:pPr>
          </w:p>
        </w:tc>
        <w:tc>
          <w:tcPr>
            <w:tcW w:w="1368" w:type="dxa"/>
            <w:tcBorders>
              <w:top w:val="single" w:sz="4" w:space="0" w:color="auto"/>
            </w:tcBorders>
            <w:shd w:val="clear" w:color="auto" w:fill="auto"/>
            <w:vAlign w:val="bottom"/>
          </w:tcPr>
          <w:p w14:paraId="693F1EFF"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p>
        </w:tc>
        <w:tc>
          <w:tcPr>
            <w:tcW w:w="1368" w:type="dxa"/>
            <w:tcBorders>
              <w:top w:val="single" w:sz="4" w:space="0" w:color="auto"/>
            </w:tcBorders>
            <w:shd w:val="clear" w:color="auto" w:fill="auto"/>
          </w:tcPr>
          <w:p w14:paraId="35951CB1"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p>
        </w:tc>
        <w:tc>
          <w:tcPr>
            <w:tcW w:w="1368" w:type="dxa"/>
            <w:tcBorders>
              <w:top w:val="single" w:sz="4" w:space="0" w:color="auto"/>
            </w:tcBorders>
            <w:shd w:val="clear" w:color="auto" w:fill="auto"/>
            <w:vAlign w:val="bottom"/>
          </w:tcPr>
          <w:p w14:paraId="347A8D0A"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p>
        </w:tc>
        <w:tc>
          <w:tcPr>
            <w:tcW w:w="1368" w:type="dxa"/>
            <w:tcBorders>
              <w:top w:val="single" w:sz="4" w:space="0" w:color="auto"/>
            </w:tcBorders>
            <w:shd w:val="clear" w:color="auto" w:fill="auto"/>
          </w:tcPr>
          <w:p w14:paraId="5C819132"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p>
        </w:tc>
      </w:tr>
      <w:tr w:rsidR="00972AF0" w:rsidRPr="002D2F67" w14:paraId="6AA48F53" w14:textId="77777777" w:rsidTr="002D2F67">
        <w:tc>
          <w:tcPr>
            <w:tcW w:w="3989" w:type="dxa"/>
            <w:shd w:val="clear" w:color="auto" w:fill="auto"/>
          </w:tcPr>
          <w:p w14:paraId="734DDABC" w14:textId="77777777" w:rsidR="00972AF0" w:rsidRPr="002D2F67" w:rsidRDefault="00972AF0" w:rsidP="005611FE">
            <w:pPr>
              <w:ind w:left="431" w:right="-158"/>
              <w:rPr>
                <w:rFonts w:ascii="Arial" w:hAnsi="Arial" w:cs="Arial"/>
                <w:color w:val="000000"/>
                <w:spacing w:val="-4"/>
                <w:sz w:val="20"/>
                <w:szCs w:val="20"/>
              </w:rPr>
            </w:pPr>
            <w:r w:rsidRPr="002D2F67">
              <w:rPr>
                <w:rFonts w:ascii="Arial" w:hAnsi="Arial" w:cs="Arial"/>
                <w:color w:val="000000"/>
                <w:spacing w:val="-4"/>
                <w:sz w:val="20"/>
                <w:szCs w:val="20"/>
              </w:rPr>
              <w:t xml:space="preserve">Long-term loans from </w:t>
            </w:r>
          </w:p>
          <w:p w14:paraId="0CCD4C85" w14:textId="77777777" w:rsidR="00972AF0" w:rsidRPr="002D2F67" w:rsidRDefault="00972AF0" w:rsidP="005611FE">
            <w:pPr>
              <w:tabs>
                <w:tab w:val="left" w:pos="1134"/>
                <w:tab w:val="left" w:pos="1276"/>
                <w:tab w:val="center" w:pos="3402"/>
                <w:tab w:val="center" w:pos="4536"/>
                <w:tab w:val="center" w:pos="5670"/>
                <w:tab w:val="center" w:pos="6804"/>
                <w:tab w:val="right" w:pos="7655"/>
              </w:tabs>
              <w:ind w:left="431" w:right="-158"/>
              <w:rPr>
                <w:rFonts w:ascii="Arial" w:hAnsi="Arial" w:cs="Arial"/>
                <w:color w:val="000000"/>
                <w:spacing w:val="-4"/>
                <w:sz w:val="20"/>
                <w:szCs w:val="20"/>
              </w:rPr>
            </w:pPr>
            <w:r w:rsidRPr="002D2F67">
              <w:rPr>
                <w:rFonts w:ascii="Arial" w:hAnsi="Arial" w:cs="Arial"/>
                <w:color w:val="000000"/>
                <w:spacing w:val="-4"/>
                <w:sz w:val="20"/>
                <w:szCs w:val="20"/>
              </w:rPr>
              <w:t xml:space="preserve">   financial institutions</w:t>
            </w:r>
          </w:p>
        </w:tc>
        <w:tc>
          <w:tcPr>
            <w:tcW w:w="1368" w:type="dxa"/>
            <w:shd w:val="clear" w:color="auto" w:fill="auto"/>
            <w:vAlign w:val="bottom"/>
          </w:tcPr>
          <w:p w14:paraId="3AFD4549" w14:textId="4FC66A04" w:rsidR="00972AF0"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CD5714">
              <w:rPr>
                <w:rFonts w:ascii="Arial" w:hAnsi="Arial" w:cs="Arial"/>
                <w:color w:val="000000"/>
                <w:sz w:val="20"/>
                <w:szCs w:val="20"/>
                <w:lang w:val="en-GB"/>
              </w:rPr>
              <w:t>25</w:t>
            </w:r>
            <w:r w:rsidR="00BD11F8" w:rsidRPr="002D2F67">
              <w:rPr>
                <w:rFonts w:ascii="Arial" w:hAnsi="Arial" w:cs="Arial"/>
                <w:color w:val="000000"/>
                <w:sz w:val="20"/>
                <w:szCs w:val="20"/>
              </w:rPr>
              <w:t>,</w:t>
            </w:r>
            <w:r w:rsidRPr="00CD5714">
              <w:rPr>
                <w:rFonts w:ascii="Arial" w:hAnsi="Arial" w:cs="Arial"/>
                <w:color w:val="000000"/>
                <w:sz w:val="20"/>
                <w:szCs w:val="20"/>
                <w:lang w:val="en-GB"/>
              </w:rPr>
              <w:t>754</w:t>
            </w:r>
            <w:r w:rsidR="00BD11F8" w:rsidRPr="002D2F67">
              <w:rPr>
                <w:rFonts w:ascii="Arial" w:hAnsi="Arial" w:cs="Arial"/>
                <w:color w:val="000000"/>
                <w:sz w:val="20"/>
                <w:szCs w:val="20"/>
              </w:rPr>
              <w:t>,</w:t>
            </w:r>
            <w:r w:rsidRPr="00CD5714">
              <w:rPr>
                <w:rFonts w:ascii="Arial" w:hAnsi="Arial" w:cs="Arial"/>
                <w:color w:val="000000"/>
                <w:sz w:val="20"/>
                <w:szCs w:val="20"/>
                <w:lang w:val="en-GB"/>
              </w:rPr>
              <w:t>570</w:t>
            </w:r>
          </w:p>
        </w:tc>
        <w:tc>
          <w:tcPr>
            <w:tcW w:w="1368" w:type="dxa"/>
            <w:shd w:val="clear" w:color="auto" w:fill="auto"/>
            <w:vAlign w:val="bottom"/>
          </w:tcPr>
          <w:p w14:paraId="2157D97D" w14:textId="691E90BC" w:rsidR="00972AF0"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CD5714">
              <w:rPr>
                <w:rFonts w:ascii="Arial" w:hAnsi="Arial" w:cs="Arial"/>
                <w:color w:val="000000"/>
                <w:sz w:val="20"/>
                <w:szCs w:val="20"/>
                <w:lang w:val="en-GB"/>
              </w:rPr>
              <w:t>22</w:t>
            </w:r>
            <w:r w:rsidR="00972AF0" w:rsidRPr="002D2F67">
              <w:rPr>
                <w:rFonts w:ascii="Arial" w:hAnsi="Arial" w:cs="Arial"/>
                <w:color w:val="000000"/>
                <w:sz w:val="20"/>
                <w:szCs w:val="20"/>
              </w:rPr>
              <w:t>,</w:t>
            </w:r>
            <w:r w:rsidRPr="00CD5714">
              <w:rPr>
                <w:rFonts w:ascii="Arial" w:hAnsi="Arial" w:cs="Arial"/>
                <w:color w:val="000000"/>
                <w:sz w:val="20"/>
                <w:szCs w:val="20"/>
                <w:lang w:val="en-GB"/>
              </w:rPr>
              <w:t>928</w:t>
            </w:r>
            <w:r w:rsidR="00972AF0" w:rsidRPr="002D2F67">
              <w:rPr>
                <w:rFonts w:ascii="Arial" w:hAnsi="Arial" w:cs="Arial"/>
                <w:color w:val="000000"/>
                <w:sz w:val="20"/>
                <w:szCs w:val="20"/>
              </w:rPr>
              <w:t>,</w:t>
            </w:r>
            <w:r w:rsidRPr="00CD5714">
              <w:rPr>
                <w:rFonts w:ascii="Arial" w:hAnsi="Arial" w:cs="Arial"/>
                <w:color w:val="000000"/>
                <w:sz w:val="20"/>
                <w:szCs w:val="20"/>
                <w:lang w:val="en-GB"/>
              </w:rPr>
              <w:t>539</w:t>
            </w:r>
          </w:p>
        </w:tc>
        <w:tc>
          <w:tcPr>
            <w:tcW w:w="1368" w:type="dxa"/>
            <w:shd w:val="clear" w:color="auto" w:fill="auto"/>
            <w:vAlign w:val="bottom"/>
          </w:tcPr>
          <w:p w14:paraId="423F4D54" w14:textId="1A1803C9" w:rsidR="00972AF0"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CD5714">
              <w:rPr>
                <w:rFonts w:ascii="Arial" w:hAnsi="Arial" w:cs="Arial"/>
                <w:color w:val="000000"/>
                <w:sz w:val="20"/>
                <w:szCs w:val="20"/>
                <w:lang w:val="en-GB"/>
              </w:rPr>
              <w:t>11</w:t>
            </w:r>
            <w:r w:rsidR="00086212" w:rsidRPr="002D2F67">
              <w:rPr>
                <w:rFonts w:ascii="Arial" w:hAnsi="Arial" w:cs="Arial"/>
                <w:color w:val="000000"/>
                <w:sz w:val="20"/>
                <w:szCs w:val="20"/>
              </w:rPr>
              <w:t>,</w:t>
            </w:r>
            <w:r w:rsidRPr="00CD5714">
              <w:rPr>
                <w:rFonts w:ascii="Arial" w:hAnsi="Arial" w:cs="Arial"/>
                <w:color w:val="000000"/>
                <w:sz w:val="20"/>
                <w:szCs w:val="20"/>
                <w:lang w:val="en-GB"/>
              </w:rPr>
              <w:t>727</w:t>
            </w:r>
            <w:r w:rsidR="00086212" w:rsidRPr="002D2F67">
              <w:rPr>
                <w:rFonts w:ascii="Arial" w:hAnsi="Arial" w:cs="Arial"/>
                <w:color w:val="000000"/>
                <w:sz w:val="20"/>
                <w:szCs w:val="20"/>
              </w:rPr>
              <w:t>,</w:t>
            </w:r>
            <w:r w:rsidRPr="00CD5714">
              <w:rPr>
                <w:rFonts w:ascii="Arial" w:hAnsi="Arial" w:cs="Arial"/>
                <w:color w:val="000000"/>
                <w:sz w:val="20"/>
                <w:szCs w:val="20"/>
                <w:lang w:val="en-GB"/>
              </w:rPr>
              <w:t>494</w:t>
            </w:r>
          </w:p>
        </w:tc>
        <w:tc>
          <w:tcPr>
            <w:tcW w:w="1368" w:type="dxa"/>
            <w:shd w:val="clear" w:color="auto" w:fill="auto"/>
            <w:vAlign w:val="bottom"/>
          </w:tcPr>
          <w:p w14:paraId="11865CD8" w14:textId="045310BC" w:rsidR="00972AF0"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CD5714">
              <w:rPr>
                <w:rFonts w:ascii="Arial" w:hAnsi="Arial" w:cs="Arial"/>
                <w:color w:val="000000"/>
                <w:sz w:val="20"/>
                <w:szCs w:val="20"/>
                <w:lang w:val="en-GB"/>
              </w:rPr>
              <w:t>13</w:t>
            </w:r>
            <w:r w:rsidR="00972AF0" w:rsidRPr="002D2F67">
              <w:rPr>
                <w:rFonts w:ascii="Arial" w:hAnsi="Arial" w:cs="Arial"/>
                <w:color w:val="000000"/>
                <w:sz w:val="20"/>
                <w:szCs w:val="20"/>
              </w:rPr>
              <w:t>,</w:t>
            </w:r>
            <w:r w:rsidRPr="00CD5714">
              <w:rPr>
                <w:rFonts w:ascii="Arial" w:hAnsi="Arial" w:cs="Arial"/>
                <w:color w:val="000000"/>
                <w:sz w:val="20"/>
                <w:szCs w:val="20"/>
                <w:lang w:val="en-GB"/>
              </w:rPr>
              <w:t>410</w:t>
            </w:r>
            <w:r w:rsidR="00972AF0" w:rsidRPr="002D2F67">
              <w:rPr>
                <w:rFonts w:ascii="Arial" w:hAnsi="Arial" w:cs="Arial"/>
                <w:color w:val="000000"/>
                <w:sz w:val="20"/>
                <w:szCs w:val="20"/>
              </w:rPr>
              <w:t>,</w:t>
            </w:r>
            <w:r w:rsidRPr="00CD5714">
              <w:rPr>
                <w:rFonts w:ascii="Arial" w:hAnsi="Arial" w:cs="Arial"/>
                <w:color w:val="000000"/>
                <w:sz w:val="20"/>
                <w:szCs w:val="20"/>
                <w:lang w:val="en-GB"/>
              </w:rPr>
              <w:t>373</w:t>
            </w:r>
          </w:p>
        </w:tc>
      </w:tr>
      <w:tr w:rsidR="00972AF0" w:rsidRPr="002D2F67" w14:paraId="0DC018B7" w14:textId="77777777" w:rsidTr="002D2F67">
        <w:tc>
          <w:tcPr>
            <w:tcW w:w="3989" w:type="dxa"/>
            <w:shd w:val="clear" w:color="auto" w:fill="auto"/>
          </w:tcPr>
          <w:p w14:paraId="461B6095" w14:textId="47E1EB9A" w:rsidR="00972AF0" w:rsidRPr="002D2F67" w:rsidRDefault="00972AF0" w:rsidP="005611FE">
            <w:pPr>
              <w:tabs>
                <w:tab w:val="left" w:pos="1134"/>
                <w:tab w:val="left" w:pos="1276"/>
                <w:tab w:val="center" w:pos="3402"/>
                <w:tab w:val="center" w:pos="4536"/>
                <w:tab w:val="center" w:pos="5670"/>
                <w:tab w:val="center" w:pos="6804"/>
                <w:tab w:val="right" w:pos="7655"/>
              </w:tabs>
              <w:ind w:left="431" w:right="-72"/>
              <w:rPr>
                <w:rFonts w:ascii="Arial" w:hAnsi="Arial" w:cs="Arial"/>
                <w:color w:val="000000"/>
                <w:spacing w:val="-2"/>
                <w:sz w:val="20"/>
                <w:szCs w:val="20"/>
              </w:rPr>
            </w:pPr>
            <w:r w:rsidRPr="002D2F67">
              <w:rPr>
                <w:rFonts w:ascii="Arial" w:hAnsi="Arial" w:cs="Arial"/>
                <w:color w:val="000000"/>
                <w:spacing w:val="-2"/>
                <w:sz w:val="20"/>
                <w:szCs w:val="20"/>
                <w:u w:val="single"/>
              </w:rPr>
              <w:t>Less</w:t>
            </w:r>
            <w:r w:rsidRPr="002D2F67">
              <w:rPr>
                <w:rFonts w:ascii="Arial" w:hAnsi="Arial" w:cs="Arial"/>
                <w:color w:val="000000"/>
                <w:spacing w:val="-2"/>
                <w:sz w:val="20"/>
                <w:szCs w:val="20"/>
              </w:rPr>
              <w:t xml:space="preserve">  Deferred financing fee</w:t>
            </w:r>
          </w:p>
        </w:tc>
        <w:tc>
          <w:tcPr>
            <w:tcW w:w="1368" w:type="dxa"/>
            <w:tcBorders>
              <w:bottom w:val="single" w:sz="4" w:space="0" w:color="auto"/>
            </w:tcBorders>
            <w:shd w:val="clear" w:color="auto" w:fill="auto"/>
            <w:vAlign w:val="bottom"/>
          </w:tcPr>
          <w:p w14:paraId="23551084" w14:textId="09FC724E" w:rsidR="00972AF0" w:rsidRPr="002D2F67" w:rsidRDefault="0008621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74</w:t>
            </w:r>
            <w:r w:rsidRPr="002D2F67">
              <w:rPr>
                <w:rFonts w:ascii="Arial" w:hAnsi="Arial" w:cs="Arial"/>
                <w:color w:val="000000"/>
                <w:sz w:val="20"/>
                <w:szCs w:val="20"/>
              </w:rPr>
              <w:t>,</w:t>
            </w:r>
            <w:r w:rsidR="00CD5714" w:rsidRPr="00CD5714">
              <w:rPr>
                <w:rFonts w:ascii="Arial" w:hAnsi="Arial" w:cs="Arial"/>
                <w:color w:val="000000"/>
                <w:sz w:val="20"/>
                <w:szCs w:val="20"/>
                <w:lang w:val="en-GB"/>
              </w:rPr>
              <w:t>537</w:t>
            </w:r>
            <w:r w:rsidRPr="002D2F67">
              <w:rPr>
                <w:rFonts w:ascii="Arial" w:hAnsi="Arial" w:cs="Arial"/>
                <w:color w:val="000000"/>
                <w:sz w:val="20"/>
                <w:szCs w:val="20"/>
              </w:rPr>
              <w:t>)</w:t>
            </w:r>
          </w:p>
        </w:tc>
        <w:tc>
          <w:tcPr>
            <w:tcW w:w="1368" w:type="dxa"/>
            <w:tcBorders>
              <w:bottom w:val="single" w:sz="4" w:space="0" w:color="auto"/>
            </w:tcBorders>
            <w:shd w:val="clear" w:color="auto" w:fill="auto"/>
            <w:vAlign w:val="bottom"/>
          </w:tcPr>
          <w:p w14:paraId="1167705F" w14:textId="46B10421" w:rsidR="00972AF0" w:rsidRPr="002D2F67" w:rsidRDefault="00972AF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54</w:t>
            </w:r>
            <w:r w:rsidRPr="002D2F67">
              <w:rPr>
                <w:rFonts w:ascii="Arial" w:hAnsi="Arial" w:cs="Arial"/>
                <w:color w:val="000000"/>
                <w:sz w:val="20"/>
                <w:szCs w:val="20"/>
              </w:rPr>
              <w:t>,</w:t>
            </w:r>
            <w:r w:rsidR="00CD5714" w:rsidRPr="00CD5714">
              <w:rPr>
                <w:rFonts w:ascii="Arial" w:hAnsi="Arial" w:cs="Arial"/>
                <w:color w:val="000000"/>
                <w:sz w:val="20"/>
                <w:szCs w:val="20"/>
                <w:lang w:val="en-GB"/>
              </w:rPr>
              <w:t>378</w:t>
            </w:r>
            <w:r w:rsidRPr="002D2F67">
              <w:rPr>
                <w:rFonts w:ascii="Arial" w:hAnsi="Arial" w:cs="Arial"/>
                <w:color w:val="000000"/>
                <w:sz w:val="20"/>
                <w:szCs w:val="20"/>
              </w:rPr>
              <w:t>)</w:t>
            </w:r>
          </w:p>
        </w:tc>
        <w:tc>
          <w:tcPr>
            <w:tcW w:w="1368" w:type="dxa"/>
            <w:tcBorders>
              <w:bottom w:val="single" w:sz="4" w:space="0" w:color="auto"/>
            </w:tcBorders>
            <w:shd w:val="clear" w:color="auto" w:fill="auto"/>
            <w:vAlign w:val="bottom"/>
          </w:tcPr>
          <w:p w14:paraId="484EACE0" w14:textId="49F3F2E9" w:rsidR="00972AF0" w:rsidRPr="002D2F67" w:rsidRDefault="0008621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40</w:t>
            </w:r>
            <w:r w:rsidRPr="002D2F67">
              <w:rPr>
                <w:rFonts w:ascii="Arial" w:hAnsi="Arial" w:cs="Arial"/>
                <w:color w:val="000000"/>
                <w:sz w:val="20"/>
                <w:szCs w:val="20"/>
              </w:rPr>
              <w:t>,</w:t>
            </w:r>
            <w:r w:rsidR="00CD5714" w:rsidRPr="00CD5714">
              <w:rPr>
                <w:rFonts w:ascii="Arial" w:hAnsi="Arial" w:cs="Arial"/>
                <w:color w:val="000000"/>
                <w:sz w:val="20"/>
                <w:szCs w:val="20"/>
                <w:lang w:val="en-GB"/>
              </w:rPr>
              <w:t>409</w:t>
            </w:r>
            <w:r w:rsidRPr="002D2F67">
              <w:rPr>
                <w:rFonts w:ascii="Arial" w:hAnsi="Arial" w:cs="Arial"/>
                <w:color w:val="000000"/>
                <w:sz w:val="20"/>
                <w:szCs w:val="20"/>
              </w:rPr>
              <w:t>)</w:t>
            </w:r>
          </w:p>
        </w:tc>
        <w:tc>
          <w:tcPr>
            <w:tcW w:w="1368" w:type="dxa"/>
            <w:tcBorders>
              <w:bottom w:val="single" w:sz="4" w:space="0" w:color="auto"/>
            </w:tcBorders>
            <w:shd w:val="clear" w:color="auto" w:fill="auto"/>
            <w:vAlign w:val="bottom"/>
          </w:tcPr>
          <w:p w14:paraId="0D4AE857" w14:textId="41455EBB" w:rsidR="00972AF0" w:rsidRPr="002D2F67" w:rsidRDefault="00972AF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27</w:t>
            </w:r>
            <w:r w:rsidRPr="002D2F67">
              <w:rPr>
                <w:rFonts w:ascii="Arial" w:hAnsi="Arial" w:cs="Arial"/>
                <w:color w:val="000000"/>
                <w:sz w:val="20"/>
                <w:szCs w:val="20"/>
              </w:rPr>
              <w:t>,</w:t>
            </w:r>
            <w:r w:rsidR="00CD5714" w:rsidRPr="00CD5714">
              <w:rPr>
                <w:rFonts w:ascii="Arial" w:hAnsi="Arial" w:cs="Arial"/>
                <w:color w:val="000000"/>
                <w:sz w:val="20"/>
                <w:szCs w:val="20"/>
                <w:lang w:val="en-GB"/>
              </w:rPr>
              <w:t>182</w:t>
            </w:r>
            <w:r w:rsidRPr="002D2F67">
              <w:rPr>
                <w:rFonts w:ascii="Arial" w:hAnsi="Arial" w:cs="Arial"/>
                <w:color w:val="000000"/>
                <w:sz w:val="20"/>
                <w:szCs w:val="20"/>
              </w:rPr>
              <w:t>)</w:t>
            </w:r>
          </w:p>
        </w:tc>
      </w:tr>
      <w:tr w:rsidR="00972AF0" w:rsidRPr="002D2F67" w14:paraId="3B67138C" w14:textId="77777777" w:rsidTr="002D2F67">
        <w:tc>
          <w:tcPr>
            <w:tcW w:w="3989" w:type="dxa"/>
            <w:shd w:val="clear" w:color="auto" w:fill="auto"/>
          </w:tcPr>
          <w:p w14:paraId="1D80E66B" w14:textId="77777777" w:rsidR="00972AF0" w:rsidRPr="002D2F67" w:rsidRDefault="00972AF0" w:rsidP="005611FE">
            <w:pPr>
              <w:ind w:left="431"/>
              <w:rPr>
                <w:rFonts w:ascii="Arial" w:hAnsi="Arial" w:cs="Arial"/>
                <w:b/>
                <w:bCs/>
                <w:color w:val="000000"/>
                <w:sz w:val="20"/>
                <w:szCs w:val="20"/>
              </w:rPr>
            </w:pPr>
          </w:p>
        </w:tc>
        <w:tc>
          <w:tcPr>
            <w:tcW w:w="1368" w:type="dxa"/>
            <w:tcBorders>
              <w:top w:val="single" w:sz="4" w:space="0" w:color="auto"/>
            </w:tcBorders>
            <w:shd w:val="clear" w:color="auto" w:fill="auto"/>
            <w:vAlign w:val="bottom"/>
          </w:tcPr>
          <w:p w14:paraId="75146AB7" w14:textId="12A31F17" w:rsidR="00972AF0" w:rsidRPr="002D2F67" w:rsidRDefault="00972AF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tcBorders>
              <w:top w:val="single" w:sz="4" w:space="0" w:color="auto"/>
            </w:tcBorders>
            <w:shd w:val="clear" w:color="auto" w:fill="auto"/>
            <w:vAlign w:val="bottom"/>
          </w:tcPr>
          <w:p w14:paraId="2B4ED223" w14:textId="03B35A7D" w:rsidR="00972AF0" w:rsidRPr="002D2F67" w:rsidRDefault="00972AF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tcBorders>
              <w:top w:val="single" w:sz="4" w:space="0" w:color="auto"/>
            </w:tcBorders>
            <w:shd w:val="clear" w:color="auto" w:fill="auto"/>
            <w:vAlign w:val="bottom"/>
          </w:tcPr>
          <w:p w14:paraId="09E052AC" w14:textId="7E2F9D52" w:rsidR="00972AF0" w:rsidRPr="002D2F67" w:rsidRDefault="00972AF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tcBorders>
              <w:top w:val="single" w:sz="4" w:space="0" w:color="auto"/>
            </w:tcBorders>
            <w:shd w:val="clear" w:color="auto" w:fill="auto"/>
            <w:vAlign w:val="bottom"/>
          </w:tcPr>
          <w:p w14:paraId="7DD04EAC" w14:textId="7916E3D7" w:rsidR="00972AF0" w:rsidRPr="002D2F67" w:rsidRDefault="00972AF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972AF0" w:rsidRPr="002D2F67" w14:paraId="08268580" w14:textId="77777777" w:rsidTr="002D2F67">
        <w:tc>
          <w:tcPr>
            <w:tcW w:w="3989" w:type="dxa"/>
            <w:shd w:val="clear" w:color="auto" w:fill="auto"/>
          </w:tcPr>
          <w:p w14:paraId="7C65AD75" w14:textId="77777777" w:rsidR="00972AF0" w:rsidRPr="002D2F67" w:rsidRDefault="00972AF0" w:rsidP="005611FE">
            <w:pPr>
              <w:tabs>
                <w:tab w:val="left" w:pos="1134"/>
                <w:tab w:val="left" w:pos="1276"/>
                <w:tab w:val="center" w:pos="3402"/>
                <w:tab w:val="center" w:pos="4536"/>
                <w:tab w:val="center" w:pos="5670"/>
                <w:tab w:val="center" w:pos="6804"/>
                <w:tab w:val="right" w:pos="7655"/>
              </w:tabs>
              <w:ind w:left="431" w:right="-72"/>
              <w:rPr>
                <w:rFonts w:ascii="Arial" w:hAnsi="Arial" w:cs="Arial"/>
                <w:color w:val="000000"/>
                <w:sz w:val="20"/>
                <w:szCs w:val="20"/>
              </w:rPr>
            </w:pPr>
          </w:p>
        </w:tc>
        <w:tc>
          <w:tcPr>
            <w:tcW w:w="1368" w:type="dxa"/>
            <w:shd w:val="clear" w:color="auto" w:fill="auto"/>
            <w:vAlign w:val="bottom"/>
          </w:tcPr>
          <w:p w14:paraId="63BC6C45" w14:textId="22FFE2D6" w:rsidR="00972AF0"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25</w:t>
            </w:r>
            <w:r w:rsidR="00BD11F8" w:rsidRPr="002D2F67">
              <w:rPr>
                <w:rFonts w:ascii="Arial" w:hAnsi="Arial" w:cs="Arial"/>
                <w:color w:val="000000"/>
                <w:sz w:val="20"/>
                <w:szCs w:val="20"/>
              </w:rPr>
              <w:t>,</w:t>
            </w:r>
            <w:r w:rsidRPr="00CD5714">
              <w:rPr>
                <w:rFonts w:ascii="Arial" w:hAnsi="Arial" w:cs="Arial"/>
                <w:color w:val="000000"/>
                <w:sz w:val="20"/>
                <w:szCs w:val="20"/>
                <w:lang w:val="en-GB"/>
              </w:rPr>
              <w:t>680</w:t>
            </w:r>
            <w:r w:rsidR="00BD11F8" w:rsidRPr="002D2F67">
              <w:rPr>
                <w:rFonts w:ascii="Arial" w:hAnsi="Arial" w:cs="Arial"/>
                <w:color w:val="000000"/>
                <w:sz w:val="20"/>
                <w:szCs w:val="20"/>
              </w:rPr>
              <w:t>,</w:t>
            </w:r>
            <w:r w:rsidRPr="00CD5714">
              <w:rPr>
                <w:rFonts w:ascii="Arial" w:hAnsi="Arial" w:cs="Arial"/>
                <w:color w:val="000000"/>
                <w:sz w:val="20"/>
                <w:szCs w:val="20"/>
                <w:lang w:val="en-GB"/>
              </w:rPr>
              <w:t>033</w:t>
            </w:r>
          </w:p>
        </w:tc>
        <w:tc>
          <w:tcPr>
            <w:tcW w:w="1368" w:type="dxa"/>
            <w:shd w:val="clear" w:color="auto" w:fill="auto"/>
            <w:vAlign w:val="bottom"/>
          </w:tcPr>
          <w:p w14:paraId="4E927C31" w14:textId="23928AEC" w:rsidR="00972AF0"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22</w:t>
            </w:r>
            <w:r w:rsidR="00972AF0" w:rsidRPr="002D2F67">
              <w:rPr>
                <w:rFonts w:ascii="Arial" w:hAnsi="Arial" w:cs="Arial"/>
                <w:color w:val="000000"/>
                <w:sz w:val="20"/>
                <w:szCs w:val="20"/>
              </w:rPr>
              <w:t>,</w:t>
            </w:r>
            <w:r w:rsidRPr="00CD5714">
              <w:rPr>
                <w:rFonts w:ascii="Arial" w:hAnsi="Arial" w:cs="Arial"/>
                <w:color w:val="000000"/>
                <w:sz w:val="20"/>
                <w:szCs w:val="20"/>
                <w:lang w:val="en-GB"/>
              </w:rPr>
              <w:t>874</w:t>
            </w:r>
            <w:r w:rsidR="00972AF0" w:rsidRPr="002D2F67">
              <w:rPr>
                <w:rFonts w:ascii="Arial" w:hAnsi="Arial" w:cs="Arial"/>
                <w:color w:val="000000"/>
                <w:sz w:val="20"/>
                <w:szCs w:val="20"/>
              </w:rPr>
              <w:t>,</w:t>
            </w:r>
            <w:r w:rsidRPr="00CD5714">
              <w:rPr>
                <w:rFonts w:ascii="Arial" w:hAnsi="Arial" w:cs="Arial"/>
                <w:color w:val="000000"/>
                <w:sz w:val="20"/>
                <w:szCs w:val="20"/>
                <w:lang w:val="en-GB"/>
              </w:rPr>
              <w:t>161</w:t>
            </w:r>
          </w:p>
        </w:tc>
        <w:tc>
          <w:tcPr>
            <w:tcW w:w="1368" w:type="dxa"/>
            <w:shd w:val="clear" w:color="auto" w:fill="auto"/>
            <w:vAlign w:val="bottom"/>
          </w:tcPr>
          <w:p w14:paraId="64B33792" w14:textId="3ADB38A7" w:rsidR="00972AF0"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11</w:t>
            </w:r>
            <w:r w:rsidR="00086212" w:rsidRPr="002D2F67">
              <w:rPr>
                <w:rFonts w:ascii="Arial" w:hAnsi="Arial" w:cs="Arial"/>
                <w:color w:val="000000"/>
                <w:sz w:val="20"/>
                <w:szCs w:val="20"/>
              </w:rPr>
              <w:t>,</w:t>
            </w:r>
            <w:r w:rsidRPr="00CD5714">
              <w:rPr>
                <w:rFonts w:ascii="Arial" w:hAnsi="Arial" w:cs="Arial"/>
                <w:color w:val="000000"/>
                <w:sz w:val="20"/>
                <w:szCs w:val="20"/>
                <w:lang w:val="en-GB"/>
              </w:rPr>
              <w:t>687</w:t>
            </w:r>
            <w:r w:rsidR="00086212" w:rsidRPr="002D2F67">
              <w:rPr>
                <w:rFonts w:ascii="Arial" w:hAnsi="Arial" w:cs="Arial"/>
                <w:color w:val="000000"/>
                <w:sz w:val="20"/>
                <w:szCs w:val="20"/>
              </w:rPr>
              <w:t>,</w:t>
            </w:r>
            <w:r w:rsidRPr="00CD5714">
              <w:rPr>
                <w:rFonts w:ascii="Arial" w:hAnsi="Arial" w:cs="Arial"/>
                <w:color w:val="000000"/>
                <w:sz w:val="20"/>
                <w:szCs w:val="20"/>
                <w:lang w:val="en-GB"/>
              </w:rPr>
              <w:t>085</w:t>
            </w:r>
          </w:p>
        </w:tc>
        <w:tc>
          <w:tcPr>
            <w:tcW w:w="1368" w:type="dxa"/>
            <w:shd w:val="clear" w:color="auto" w:fill="auto"/>
            <w:vAlign w:val="bottom"/>
          </w:tcPr>
          <w:p w14:paraId="4A67B8BA" w14:textId="4B5FD5BC" w:rsidR="00972AF0"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13</w:t>
            </w:r>
            <w:r w:rsidR="00972AF0" w:rsidRPr="002D2F67">
              <w:rPr>
                <w:rFonts w:ascii="Arial" w:hAnsi="Arial" w:cs="Arial"/>
                <w:color w:val="000000"/>
                <w:sz w:val="20"/>
                <w:szCs w:val="20"/>
              </w:rPr>
              <w:t>,</w:t>
            </w:r>
            <w:r w:rsidRPr="00CD5714">
              <w:rPr>
                <w:rFonts w:ascii="Arial" w:hAnsi="Arial" w:cs="Arial"/>
                <w:color w:val="000000"/>
                <w:sz w:val="20"/>
                <w:szCs w:val="20"/>
                <w:lang w:val="en-GB"/>
              </w:rPr>
              <w:t>383</w:t>
            </w:r>
            <w:r w:rsidR="00972AF0" w:rsidRPr="002D2F67">
              <w:rPr>
                <w:rFonts w:ascii="Arial" w:hAnsi="Arial" w:cs="Arial"/>
                <w:color w:val="000000"/>
                <w:sz w:val="20"/>
                <w:szCs w:val="20"/>
              </w:rPr>
              <w:t>,</w:t>
            </w:r>
            <w:r w:rsidRPr="00CD5714">
              <w:rPr>
                <w:rFonts w:ascii="Arial" w:hAnsi="Arial" w:cs="Arial"/>
                <w:color w:val="000000"/>
                <w:sz w:val="20"/>
                <w:szCs w:val="20"/>
                <w:lang w:val="en-GB"/>
              </w:rPr>
              <w:t>191</w:t>
            </w:r>
          </w:p>
        </w:tc>
      </w:tr>
      <w:tr w:rsidR="00972AF0" w:rsidRPr="002D2F67" w14:paraId="136632F2" w14:textId="77777777" w:rsidTr="002D2F67">
        <w:tc>
          <w:tcPr>
            <w:tcW w:w="3989" w:type="dxa"/>
            <w:shd w:val="clear" w:color="auto" w:fill="auto"/>
          </w:tcPr>
          <w:p w14:paraId="48DC2F61" w14:textId="0202DC49" w:rsidR="00972AF0" w:rsidRPr="002D2F67" w:rsidRDefault="00972AF0" w:rsidP="005611FE">
            <w:pPr>
              <w:tabs>
                <w:tab w:val="left" w:pos="971"/>
              </w:tabs>
              <w:ind w:left="431" w:right="-68"/>
              <w:jc w:val="thaiDistribute"/>
              <w:rPr>
                <w:rFonts w:ascii="Arial" w:hAnsi="Arial" w:cs="Arial"/>
                <w:color w:val="000000"/>
                <w:sz w:val="20"/>
                <w:szCs w:val="20"/>
              </w:rPr>
            </w:pPr>
            <w:r w:rsidRPr="002D2F67">
              <w:rPr>
                <w:rFonts w:ascii="Arial" w:hAnsi="Arial" w:cs="Arial"/>
                <w:color w:val="000000"/>
                <w:sz w:val="20"/>
                <w:szCs w:val="20"/>
                <w:u w:val="single"/>
              </w:rPr>
              <w:t>Less</w:t>
            </w:r>
            <w:r w:rsidRPr="002D2F67">
              <w:rPr>
                <w:rFonts w:ascii="Arial" w:hAnsi="Arial" w:cs="Arial"/>
                <w:color w:val="000000"/>
                <w:sz w:val="20"/>
                <w:szCs w:val="20"/>
              </w:rPr>
              <w:t xml:space="preserve">  Current portion of </w:t>
            </w:r>
          </w:p>
        </w:tc>
        <w:tc>
          <w:tcPr>
            <w:tcW w:w="1368" w:type="dxa"/>
            <w:shd w:val="clear" w:color="auto" w:fill="auto"/>
            <w:vAlign w:val="bottom"/>
          </w:tcPr>
          <w:p w14:paraId="421278B3" w14:textId="77777777" w:rsidR="00972AF0" w:rsidRPr="002D2F67" w:rsidRDefault="00972AF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shd w:val="clear" w:color="auto" w:fill="auto"/>
            <w:vAlign w:val="bottom"/>
          </w:tcPr>
          <w:p w14:paraId="59AD4A69" w14:textId="77777777" w:rsidR="00972AF0" w:rsidRPr="002D2F67" w:rsidRDefault="00972AF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shd w:val="clear" w:color="auto" w:fill="auto"/>
            <w:vAlign w:val="bottom"/>
          </w:tcPr>
          <w:p w14:paraId="680C80BF" w14:textId="77777777" w:rsidR="00972AF0" w:rsidRPr="002D2F67" w:rsidRDefault="00972AF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shd w:val="clear" w:color="auto" w:fill="auto"/>
            <w:vAlign w:val="bottom"/>
          </w:tcPr>
          <w:p w14:paraId="42B42116" w14:textId="77777777" w:rsidR="00972AF0" w:rsidRPr="002D2F67" w:rsidRDefault="00972AF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972AF0" w:rsidRPr="002D2F67" w14:paraId="40359FFF" w14:textId="77777777" w:rsidTr="002D2F67">
        <w:tc>
          <w:tcPr>
            <w:tcW w:w="3989" w:type="dxa"/>
            <w:shd w:val="clear" w:color="auto" w:fill="auto"/>
          </w:tcPr>
          <w:p w14:paraId="52BD1B3F" w14:textId="03CE2873" w:rsidR="00972AF0" w:rsidRPr="002D2F67" w:rsidRDefault="00972AF0" w:rsidP="005611FE">
            <w:pPr>
              <w:tabs>
                <w:tab w:val="left" w:pos="971"/>
              </w:tabs>
              <w:ind w:left="431" w:right="-68"/>
              <w:jc w:val="thaiDistribute"/>
              <w:rPr>
                <w:rFonts w:ascii="Arial" w:hAnsi="Arial" w:cs="Arial"/>
                <w:color w:val="000000"/>
                <w:spacing w:val="-6"/>
                <w:sz w:val="20"/>
                <w:szCs w:val="20"/>
                <w:u w:val="single"/>
              </w:rPr>
            </w:pPr>
            <w:r w:rsidRPr="002D2F67">
              <w:rPr>
                <w:rFonts w:ascii="Arial" w:hAnsi="Arial" w:cs="Arial"/>
                <w:color w:val="000000"/>
                <w:spacing w:val="-6"/>
                <w:sz w:val="20"/>
                <w:szCs w:val="20"/>
              </w:rPr>
              <w:tab/>
              <w:t xml:space="preserve">  long-term loans from</w:t>
            </w:r>
          </w:p>
        </w:tc>
        <w:tc>
          <w:tcPr>
            <w:tcW w:w="1368" w:type="dxa"/>
            <w:shd w:val="clear" w:color="auto" w:fill="auto"/>
            <w:vAlign w:val="bottom"/>
          </w:tcPr>
          <w:p w14:paraId="3BCB159B" w14:textId="77777777" w:rsidR="00972AF0" w:rsidRPr="002D2F67" w:rsidRDefault="00972AF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shd w:val="clear" w:color="auto" w:fill="auto"/>
            <w:vAlign w:val="bottom"/>
          </w:tcPr>
          <w:p w14:paraId="7908AD5A" w14:textId="77777777" w:rsidR="00972AF0" w:rsidRPr="002D2F67" w:rsidRDefault="00972AF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shd w:val="clear" w:color="auto" w:fill="auto"/>
            <w:vAlign w:val="bottom"/>
          </w:tcPr>
          <w:p w14:paraId="5CEF51ED" w14:textId="77777777" w:rsidR="00972AF0" w:rsidRPr="002D2F67" w:rsidRDefault="00972AF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shd w:val="clear" w:color="auto" w:fill="auto"/>
            <w:vAlign w:val="bottom"/>
          </w:tcPr>
          <w:p w14:paraId="6426D13B" w14:textId="77777777" w:rsidR="00972AF0" w:rsidRPr="002D2F67" w:rsidRDefault="00972AF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972AF0" w:rsidRPr="002D2F67" w14:paraId="12E3B7A4" w14:textId="77777777" w:rsidTr="002D2F67">
        <w:tc>
          <w:tcPr>
            <w:tcW w:w="3989" w:type="dxa"/>
            <w:shd w:val="clear" w:color="auto" w:fill="auto"/>
          </w:tcPr>
          <w:p w14:paraId="6447D220" w14:textId="29AC9626" w:rsidR="00972AF0" w:rsidRPr="002D2F67" w:rsidRDefault="00972AF0" w:rsidP="005611FE">
            <w:pPr>
              <w:tabs>
                <w:tab w:val="left" w:pos="971"/>
                <w:tab w:val="left" w:pos="1134"/>
                <w:tab w:val="left" w:pos="1276"/>
                <w:tab w:val="center" w:pos="3402"/>
                <w:tab w:val="center" w:pos="4536"/>
                <w:tab w:val="center" w:pos="5670"/>
                <w:tab w:val="center" w:pos="6804"/>
                <w:tab w:val="right" w:pos="7655"/>
              </w:tabs>
              <w:ind w:left="431" w:right="-158"/>
              <w:rPr>
                <w:rFonts w:ascii="Arial" w:hAnsi="Arial" w:cs="Arial"/>
                <w:color w:val="000000"/>
                <w:spacing w:val="-6"/>
                <w:sz w:val="20"/>
                <w:szCs w:val="20"/>
              </w:rPr>
            </w:pPr>
            <w:r w:rsidRPr="002D2F67">
              <w:rPr>
                <w:rFonts w:ascii="Arial" w:hAnsi="Arial" w:cs="Arial"/>
                <w:color w:val="000000"/>
                <w:spacing w:val="-6"/>
                <w:sz w:val="20"/>
                <w:szCs w:val="20"/>
              </w:rPr>
              <w:tab/>
              <w:t xml:space="preserve">  financial institutions, net</w:t>
            </w:r>
          </w:p>
        </w:tc>
        <w:tc>
          <w:tcPr>
            <w:tcW w:w="1368" w:type="dxa"/>
            <w:tcBorders>
              <w:bottom w:val="single" w:sz="4" w:space="0" w:color="auto"/>
            </w:tcBorders>
            <w:shd w:val="clear" w:color="auto" w:fill="auto"/>
            <w:vAlign w:val="bottom"/>
          </w:tcPr>
          <w:p w14:paraId="32550352" w14:textId="122CAAC1" w:rsidR="00972AF0" w:rsidRPr="002D2F67" w:rsidRDefault="00BD11F8"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7</w:t>
            </w:r>
            <w:r w:rsidRPr="002D2F67">
              <w:rPr>
                <w:rFonts w:ascii="Arial" w:hAnsi="Arial" w:cs="Arial"/>
                <w:color w:val="000000"/>
                <w:sz w:val="20"/>
                <w:szCs w:val="20"/>
              </w:rPr>
              <w:t>,</w:t>
            </w:r>
            <w:r w:rsidR="00CD5714" w:rsidRPr="00CD5714">
              <w:rPr>
                <w:rFonts w:ascii="Arial" w:hAnsi="Arial" w:cs="Arial"/>
                <w:color w:val="000000"/>
                <w:sz w:val="20"/>
                <w:szCs w:val="20"/>
                <w:lang w:val="en-GB"/>
              </w:rPr>
              <w:t>769</w:t>
            </w:r>
            <w:r w:rsidRPr="002D2F67">
              <w:rPr>
                <w:rFonts w:ascii="Arial" w:hAnsi="Arial" w:cs="Arial"/>
                <w:color w:val="000000"/>
                <w:sz w:val="20"/>
                <w:szCs w:val="20"/>
              </w:rPr>
              <w:t>,</w:t>
            </w:r>
            <w:r w:rsidR="00CD5714" w:rsidRPr="00CD5714">
              <w:rPr>
                <w:rFonts w:ascii="Arial" w:hAnsi="Arial" w:cs="Arial"/>
                <w:color w:val="000000"/>
                <w:sz w:val="20"/>
                <w:szCs w:val="20"/>
                <w:lang w:val="en-GB"/>
              </w:rPr>
              <w:t>955</w:t>
            </w:r>
            <w:r w:rsidRPr="002D2F67">
              <w:rPr>
                <w:rFonts w:ascii="Arial" w:hAnsi="Arial" w:cs="Arial"/>
                <w:color w:val="000000"/>
                <w:sz w:val="20"/>
                <w:szCs w:val="20"/>
              </w:rPr>
              <w:t>)</w:t>
            </w:r>
          </w:p>
        </w:tc>
        <w:tc>
          <w:tcPr>
            <w:tcW w:w="1368" w:type="dxa"/>
            <w:tcBorders>
              <w:bottom w:val="single" w:sz="4" w:space="0" w:color="auto"/>
            </w:tcBorders>
            <w:shd w:val="clear" w:color="auto" w:fill="auto"/>
            <w:vAlign w:val="bottom"/>
          </w:tcPr>
          <w:p w14:paraId="026D37A3" w14:textId="3A673B6D" w:rsidR="00972AF0" w:rsidRPr="002D2F67" w:rsidRDefault="00972AF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6</w:t>
            </w:r>
            <w:r w:rsidRPr="002D2F67">
              <w:rPr>
                <w:rFonts w:ascii="Arial" w:hAnsi="Arial" w:cs="Arial"/>
                <w:color w:val="000000"/>
                <w:sz w:val="20"/>
                <w:szCs w:val="20"/>
              </w:rPr>
              <w:t>,</w:t>
            </w:r>
            <w:r w:rsidR="00CD5714" w:rsidRPr="00CD5714">
              <w:rPr>
                <w:rFonts w:ascii="Arial" w:hAnsi="Arial" w:cs="Arial"/>
                <w:color w:val="000000"/>
                <w:sz w:val="20"/>
                <w:szCs w:val="20"/>
                <w:lang w:val="en-GB"/>
              </w:rPr>
              <w:t>934</w:t>
            </w:r>
            <w:r w:rsidRPr="002D2F67">
              <w:rPr>
                <w:rFonts w:ascii="Arial" w:hAnsi="Arial" w:cs="Arial"/>
                <w:color w:val="000000"/>
                <w:sz w:val="20"/>
                <w:szCs w:val="20"/>
              </w:rPr>
              <w:t>,</w:t>
            </w:r>
            <w:r w:rsidR="00CD5714" w:rsidRPr="00CD5714">
              <w:rPr>
                <w:rFonts w:ascii="Arial" w:hAnsi="Arial" w:cs="Arial"/>
                <w:color w:val="000000"/>
                <w:sz w:val="20"/>
                <w:szCs w:val="20"/>
                <w:lang w:val="en-GB"/>
              </w:rPr>
              <w:t>412</w:t>
            </w:r>
            <w:r w:rsidRPr="002D2F67">
              <w:rPr>
                <w:rFonts w:ascii="Arial" w:hAnsi="Arial" w:cs="Arial"/>
                <w:color w:val="000000"/>
                <w:sz w:val="20"/>
                <w:szCs w:val="20"/>
              </w:rPr>
              <w:t>)</w:t>
            </w:r>
          </w:p>
        </w:tc>
        <w:tc>
          <w:tcPr>
            <w:tcW w:w="1368" w:type="dxa"/>
            <w:tcBorders>
              <w:bottom w:val="single" w:sz="4" w:space="0" w:color="auto"/>
            </w:tcBorders>
            <w:shd w:val="clear" w:color="auto" w:fill="auto"/>
            <w:vAlign w:val="bottom"/>
          </w:tcPr>
          <w:p w14:paraId="32FC0956" w14:textId="5F9048E5" w:rsidR="00972AF0" w:rsidRPr="002D2F67" w:rsidRDefault="0008621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2</w:t>
            </w:r>
            <w:r w:rsidRPr="002D2F67">
              <w:rPr>
                <w:rFonts w:ascii="Arial" w:hAnsi="Arial" w:cs="Arial"/>
                <w:color w:val="000000"/>
                <w:sz w:val="20"/>
                <w:szCs w:val="20"/>
              </w:rPr>
              <w:t>,</w:t>
            </w:r>
            <w:r w:rsidR="00CD5714" w:rsidRPr="00CD5714">
              <w:rPr>
                <w:rFonts w:ascii="Arial" w:hAnsi="Arial" w:cs="Arial"/>
                <w:color w:val="000000"/>
                <w:sz w:val="20"/>
                <w:szCs w:val="20"/>
                <w:lang w:val="en-GB"/>
              </w:rPr>
              <w:t>965</w:t>
            </w:r>
            <w:r w:rsidRPr="002D2F67">
              <w:rPr>
                <w:rFonts w:ascii="Arial" w:hAnsi="Arial" w:cs="Arial"/>
                <w:color w:val="000000"/>
                <w:sz w:val="20"/>
                <w:szCs w:val="20"/>
              </w:rPr>
              <w:t>,</w:t>
            </w:r>
            <w:r w:rsidR="00CD5714" w:rsidRPr="00CD5714">
              <w:rPr>
                <w:rFonts w:ascii="Arial" w:hAnsi="Arial" w:cs="Arial"/>
                <w:color w:val="000000"/>
                <w:sz w:val="20"/>
                <w:szCs w:val="20"/>
                <w:lang w:val="en-GB"/>
              </w:rPr>
              <w:t>047</w:t>
            </w:r>
            <w:r w:rsidRPr="002D2F67">
              <w:rPr>
                <w:rFonts w:ascii="Arial" w:hAnsi="Arial" w:cs="Arial"/>
                <w:color w:val="000000"/>
                <w:sz w:val="20"/>
                <w:szCs w:val="20"/>
              </w:rPr>
              <w:t>)</w:t>
            </w:r>
          </w:p>
        </w:tc>
        <w:tc>
          <w:tcPr>
            <w:tcW w:w="1368" w:type="dxa"/>
            <w:tcBorders>
              <w:bottom w:val="single" w:sz="4" w:space="0" w:color="auto"/>
            </w:tcBorders>
            <w:shd w:val="clear" w:color="auto" w:fill="auto"/>
            <w:vAlign w:val="bottom"/>
          </w:tcPr>
          <w:p w14:paraId="09FEE6AA" w14:textId="168BA2D8" w:rsidR="00972AF0" w:rsidRPr="002D2F67" w:rsidRDefault="00972AF0" w:rsidP="005611FE">
            <w:pPr>
              <w:tabs>
                <w:tab w:val="left" w:pos="1134"/>
                <w:tab w:val="left" w:pos="1276"/>
                <w:tab w:val="center" w:pos="3402"/>
                <w:tab w:val="center" w:pos="4536"/>
                <w:tab w:val="center" w:pos="5670"/>
                <w:tab w:val="center" w:pos="6804"/>
                <w:tab w:val="right" w:pos="7655"/>
              </w:tabs>
              <w:ind w:left="-81"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4</w:t>
            </w:r>
            <w:r w:rsidRPr="002D2F67">
              <w:rPr>
                <w:rFonts w:ascii="Arial" w:hAnsi="Arial" w:cs="Arial"/>
                <w:color w:val="000000"/>
                <w:sz w:val="20"/>
                <w:szCs w:val="20"/>
              </w:rPr>
              <w:t>,</w:t>
            </w:r>
            <w:r w:rsidR="00CD5714" w:rsidRPr="00CD5714">
              <w:rPr>
                <w:rFonts w:ascii="Arial" w:hAnsi="Arial" w:cs="Arial"/>
                <w:color w:val="000000"/>
                <w:sz w:val="20"/>
                <w:szCs w:val="20"/>
                <w:lang w:val="en-GB"/>
              </w:rPr>
              <w:t>575</w:t>
            </w:r>
            <w:r w:rsidRPr="002D2F67">
              <w:rPr>
                <w:rFonts w:ascii="Arial" w:hAnsi="Arial" w:cs="Arial"/>
                <w:color w:val="000000"/>
                <w:sz w:val="20"/>
                <w:szCs w:val="20"/>
              </w:rPr>
              <w:t>,</w:t>
            </w:r>
            <w:r w:rsidR="00CD5714" w:rsidRPr="00CD5714">
              <w:rPr>
                <w:rFonts w:ascii="Arial" w:hAnsi="Arial" w:cs="Arial"/>
                <w:color w:val="000000"/>
                <w:sz w:val="20"/>
                <w:szCs w:val="20"/>
                <w:lang w:val="en-GB"/>
              </w:rPr>
              <w:t>648</w:t>
            </w:r>
            <w:r w:rsidRPr="002D2F67">
              <w:rPr>
                <w:rFonts w:ascii="Arial" w:hAnsi="Arial" w:cs="Arial"/>
                <w:color w:val="000000"/>
                <w:sz w:val="20"/>
                <w:szCs w:val="20"/>
              </w:rPr>
              <w:t>)</w:t>
            </w:r>
          </w:p>
        </w:tc>
      </w:tr>
      <w:tr w:rsidR="00972AF0" w:rsidRPr="002D2F67" w14:paraId="0E7909B2" w14:textId="77777777" w:rsidTr="002D2F67">
        <w:tc>
          <w:tcPr>
            <w:tcW w:w="3989" w:type="dxa"/>
            <w:shd w:val="clear" w:color="auto" w:fill="auto"/>
          </w:tcPr>
          <w:p w14:paraId="4508C4AD" w14:textId="77777777" w:rsidR="00972AF0" w:rsidRPr="002D2F67" w:rsidRDefault="00972AF0" w:rsidP="005611FE">
            <w:pPr>
              <w:ind w:left="431"/>
              <w:rPr>
                <w:rFonts w:ascii="Arial" w:hAnsi="Arial" w:cs="Arial"/>
                <w:b/>
                <w:bCs/>
                <w:color w:val="000000"/>
                <w:sz w:val="20"/>
                <w:szCs w:val="20"/>
              </w:rPr>
            </w:pPr>
          </w:p>
        </w:tc>
        <w:tc>
          <w:tcPr>
            <w:tcW w:w="1368" w:type="dxa"/>
            <w:tcBorders>
              <w:top w:val="single" w:sz="4" w:space="0" w:color="auto"/>
            </w:tcBorders>
            <w:shd w:val="clear" w:color="auto" w:fill="auto"/>
            <w:vAlign w:val="bottom"/>
          </w:tcPr>
          <w:p w14:paraId="7C6E003A" w14:textId="77777777" w:rsidR="00972AF0" w:rsidRPr="002D2F67" w:rsidRDefault="00972AF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tcBorders>
              <w:top w:val="single" w:sz="4" w:space="0" w:color="auto"/>
            </w:tcBorders>
            <w:shd w:val="clear" w:color="auto" w:fill="auto"/>
            <w:vAlign w:val="bottom"/>
          </w:tcPr>
          <w:p w14:paraId="230BBA0B" w14:textId="77777777" w:rsidR="00972AF0" w:rsidRPr="002D2F67" w:rsidRDefault="00972AF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tcBorders>
              <w:top w:val="single" w:sz="4" w:space="0" w:color="auto"/>
            </w:tcBorders>
            <w:shd w:val="clear" w:color="auto" w:fill="auto"/>
            <w:vAlign w:val="bottom"/>
          </w:tcPr>
          <w:p w14:paraId="13ECECF9" w14:textId="77777777" w:rsidR="00972AF0" w:rsidRPr="002D2F67" w:rsidRDefault="00972AF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tcBorders>
              <w:top w:val="single" w:sz="4" w:space="0" w:color="auto"/>
            </w:tcBorders>
            <w:shd w:val="clear" w:color="auto" w:fill="auto"/>
            <w:vAlign w:val="bottom"/>
          </w:tcPr>
          <w:p w14:paraId="034BD00C" w14:textId="77777777" w:rsidR="00972AF0" w:rsidRPr="002D2F67" w:rsidRDefault="00972AF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972AF0" w:rsidRPr="002D2F67" w14:paraId="3AEE2DC3" w14:textId="77777777" w:rsidTr="002D2F67">
        <w:tc>
          <w:tcPr>
            <w:tcW w:w="3989" w:type="dxa"/>
            <w:shd w:val="clear" w:color="auto" w:fill="auto"/>
          </w:tcPr>
          <w:p w14:paraId="5475A105" w14:textId="77777777" w:rsidR="00972AF0" w:rsidRPr="002D2F67" w:rsidRDefault="00972AF0" w:rsidP="005611FE">
            <w:pPr>
              <w:tabs>
                <w:tab w:val="left" w:pos="1134"/>
                <w:tab w:val="left" w:pos="1276"/>
                <w:tab w:val="center" w:pos="3402"/>
                <w:tab w:val="center" w:pos="4536"/>
                <w:tab w:val="center" w:pos="5670"/>
                <w:tab w:val="center" w:pos="6804"/>
                <w:tab w:val="right" w:pos="7655"/>
              </w:tabs>
              <w:ind w:left="431" w:right="-72"/>
              <w:rPr>
                <w:rFonts w:ascii="Arial" w:hAnsi="Arial" w:cs="Arial"/>
                <w:color w:val="000000"/>
                <w:sz w:val="20"/>
                <w:szCs w:val="20"/>
              </w:rPr>
            </w:pPr>
            <w:r w:rsidRPr="002D2F67">
              <w:rPr>
                <w:rFonts w:ascii="Arial" w:hAnsi="Arial" w:cs="Arial"/>
                <w:color w:val="000000"/>
                <w:sz w:val="20"/>
                <w:szCs w:val="20"/>
              </w:rPr>
              <w:t xml:space="preserve">Total long-term loans from </w:t>
            </w:r>
          </w:p>
        </w:tc>
        <w:tc>
          <w:tcPr>
            <w:tcW w:w="1368" w:type="dxa"/>
            <w:shd w:val="clear" w:color="auto" w:fill="auto"/>
            <w:vAlign w:val="bottom"/>
          </w:tcPr>
          <w:p w14:paraId="3FAF25DE" w14:textId="77777777" w:rsidR="00972AF0" w:rsidRPr="002D2F67" w:rsidRDefault="00972AF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shd w:val="clear" w:color="auto" w:fill="auto"/>
            <w:vAlign w:val="bottom"/>
          </w:tcPr>
          <w:p w14:paraId="3D4C8273" w14:textId="77777777" w:rsidR="00972AF0" w:rsidRPr="002D2F67" w:rsidRDefault="00972AF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shd w:val="clear" w:color="auto" w:fill="auto"/>
            <w:vAlign w:val="bottom"/>
          </w:tcPr>
          <w:p w14:paraId="3B355696" w14:textId="77777777" w:rsidR="00972AF0" w:rsidRPr="002D2F67" w:rsidRDefault="00972AF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shd w:val="clear" w:color="auto" w:fill="auto"/>
            <w:vAlign w:val="bottom"/>
          </w:tcPr>
          <w:p w14:paraId="0847860C" w14:textId="77777777" w:rsidR="00972AF0" w:rsidRPr="002D2F67" w:rsidRDefault="00972AF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972AF0" w:rsidRPr="002D2F67" w14:paraId="4F6CA1FD" w14:textId="77777777" w:rsidTr="002D2F67">
        <w:tc>
          <w:tcPr>
            <w:tcW w:w="3989" w:type="dxa"/>
            <w:shd w:val="clear" w:color="auto" w:fill="auto"/>
          </w:tcPr>
          <w:p w14:paraId="5E5E5C8B" w14:textId="77777777" w:rsidR="00972AF0" w:rsidRPr="002D2F67" w:rsidRDefault="00972AF0" w:rsidP="005611FE">
            <w:pPr>
              <w:tabs>
                <w:tab w:val="left" w:pos="1134"/>
                <w:tab w:val="left" w:pos="1276"/>
                <w:tab w:val="center" w:pos="3402"/>
                <w:tab w:val="center" w:pos="4536"/>
                <w:tab w:val="center" w:pos="5670"/>
                <w:tab w:val="center" w:pos="6804"/>
                <w:tab w:val="right" w:pos="7655"/>
              </w:tabs>
              <w:ind w:left="431" w:right="-72"/>
              <w:rPr>
                <w:rFonts w:ascii="Arial" w:hAnsi="Arial" w:cs="Arial"/>
                <w:color w:val="000000"/>
                <w:sz w:val="20"/>
                <w:szCs w:val="20"/>
              </w:rPr>
            </w:pPr>
            <w:r w:rsidRPr="002D2F67">
              <w:rPr>
                <w:rFonts w:ascii="Arial" w:hAnsi="Arial" w:cs="Arial"/>
                <w:color w:val="000000"/>
                <w:sz w:val="20"/>
                <w:szCs w:val="20"/>
              </w:rPr>
              <w:t xml:space="preserve">   financial institutions, net</w:t>
            </w:r>
          </w:p>
        </w:tc>
        <w:tc>
          <w:tcPr>
            <w:tcW w:w="1368" w:type="dxa"/>
            <w:tcBorders>
              <w:bottom w:val="single" w:sz="4" w:space="0" w:color="auto"/>
            </w:tcBorders>
            <w:shd w:val="clear" w:color="auto" w:fill="auto"/>
            <w:vAlign w:val="bottom"/>
          </w:tcPr>
          <w:p w14:paraId="65111E01" w14:textId="41762668" w:rsidR="00972AF0"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17</w:t>
            </w:r>
            <w:r w:rsidR="00086212" w:rsidRPr="002D2F67">
              <w:rPr>
                <w:rFonts w:ascii="Arial" w:hAnsi="Arial" w:cs="Arial"/>
                <w:color w:val="000000"/>
                <w:sz w:val="20"/>
                <w:szCs w:val="20"/>
              </w:rPr>
              <w:t>,</w:t>
            </w:r>
            <w:r w:rsidRPr="00CD5714">
              <w:rPr>
                <w:rFonts w:ascii="Arial" w:hAnsi="Arial" w:cs="Arial"/>
                <w:color w:val="000000"/>
                <w:sz w:val="20"/>
                <w:szCs w:val="20"/>
                <w:lang w:val="en-GB"/>
              </w:rPr>
              <w:t>910</w:t>
            </w:r>
            <w:r w:rsidR="00086212" w:rsidRPr="002D2F67">
              <w:rPr>
                <w:rFonts w:ascii="Arial" w:hAnsi="Arial" w:cs="Arial"/>
                <w:color w:val="000000"/>
                <w:sz w:val="20"/>
                <w:szCs w:val="20"/>
              </w:rPr>
              <w:t>,</w:t>
            </w:r>
            <w:r w:rsidRPr="00CD5714">
              <w:rPr>
                <w:rFonts w:ascii="Arial" w:hAnsi="Arial" w:cs="Arial"/>
                <w:color w:val="000000"/>
                <w:sz w:val="20"/>
                <w:szCs w:val="20"/>
                <w:lang w:val="en-GB"/>
              </w:rPr>
              <w:t>078</w:t>
            </w:r>
          </w:p>
        </w:tc>
        <w:tc>
          <w:tcPr>
            <w:tcW w:w="1368" w:type="dxa"/>
            <w:tcBorders>
              <w:bottom w:val="single" w:sz="4" w:space="0" w:color="auto"/>
            </w:tcBorders>
            <w:shd w:val="clear" w:color="auto" w:fill="auto"/>
            <w:vAlign w:val="bottom"/>
          </w:tcPr>
          <w:p w14:paraId="5CB90093" w14:textId="080679FD" w:rsidR="00972AF0"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15</w:t>
            </w:r>
            <w:r w:rsidR="00972AF0" w:rsidRPr="002D2F67">
              <w:rPr>
                <w:rFonts w:ascii="Arial" w:hAnsi="Arial" w:cs="Arial"/>
                <w:color w:val="000000"/>
                <w:sz w:val="20"/>
                <w:szCs w:val="20"/>
              </w:rPr>
              <w:t>,</w:t>
            </w:r>
            <w:r w:rsidRPr="00CD5714">
              <w:rPr>
                <w:rFonts w:ascii="Arial" w:hAnsi="Arial" w:cs="Arial"/>
                <w:color w:val="000000"/>
                <w:sz w:val="20"/>
                <w:szCs w:val="20"/>
                <w:lang w:val="en-GB"/>
              </w:rPr>
              <w:t>939</w:t>
            </w:r>
            <w:r w:rsidR="00972AF0" w:rsidRPr="002D2F67">
              <w:rPr>
                <w:rFonts w:ascii="Arial" w:hAnsi="Arial" w:cs="Arial"/>
                <w:color w:val="000000"/>
                <w:sz w:val="20"/>
                <w:szCs w:val="20"/>
              </w:rPr>
              <w:t>,</w:t>
            </w:r>
            <w:r w:rsidRPr="00CD5714">
              <w:rPr>
                <w:rFonts w:ascii="Arial" w:hAnsi="Arial" w:cs="Arial"/>
                <w:color w:val="000000"/>
                <w:sz w:val="20"/>
                <w:szCs w:val="20"/>
                <w:lang w:val="en-GB"/>
              </w:rPr>
              <w:t>749</w:t>
            </w:r>
          </w:p>
        </w:tc>
        <w:tc>
          <w:tcPr>
            <w:tcW w:w="1368" w:type="dxa"/>
            <w:tcBorders>
              <w:bottom w:val="single" w:sz="4" w:space="0" w:color="auto"/>
            </w:tcBorders>
            <w:shd w:val="clear" w:color="auto" w:fill="auto"/>
            <w:vAlign w:val="bottom"/>
          </w:tcPr>
          <w:p w14:paraId="4057FD0A" w14:textId="6FD907DF" w:rsidR="00972AF0"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8</w:t>
            </w:r>
            <w:r w:rsidR="00086212" w:rsidRPr="002D2F67">
              <w:rPr>
                <w:rFonts w:ascii="Arial" w:hAnsi="Arial" w:cs="Arial"/>
                <w:color w:val="000000"/>
                <w:sz w:val="20"/>
                <w:szCs w:val="20"/>
              </w:rPr>
              <w:t>,</w:t>
            </w:r>
            <w:r w:rsidRPr="00CD5714">
              <w:rPr>
                <w:rFonts w:ascii="Arial" w:hAnsi="Arial" w:cs="Arial"/>
                <w:color w:val="000000"/>
                <w:sz w:val="20"/>
                <w:szCs w:val="20"/>
                <w:lang w:val="en-GB"/>
              </w:rPr>
              <w:t>722</w:t>
            </w:r>
            <w:r w:rsidR="00086212" w:rsidRPr="002D2F67">
              <w:rPr>
                <w:rFonts w:ascii="Arial" w:hAnsi="Arial" w:cs="Arial"/>
                <w:color w:val="000000"/>
                <w:sz w:val="20"/>
                <w:szCs w:val="20"/>
              </w:rPr>
              <w:t>,</w:t>
            </w:r>
            <w:r w:rsidRPr="00CD5714">
              <w:rPr>
                <w:rFonts w:ascii="Arial" w:hAnsi="Arial" w:cs="Arial"/>
                <w:color w:val="000000"/>
                <w:sz w:val="20"/>
                <w:szCs w:val="20"/>
                <w:lang w:val="en-GB"/>
              </w:rPr>
              <w:t>038</w:t>
            </w:r>
          </w:p>
        </w:tc>
        <w:tc>
          <w:tcPr>
            <w:tcW w:w="1368" w:type="dxa"/>
            <w:tcBorders>
              <w:bottom w:val="single" w:sz="4" w:space="0" w:color="auto"/>
            </w:tcBorders>
            <w:shd w:val="clear" w:color="auto" w:fill="auto"/>
            <w:vAlign w:val="bottom"/>
          </w:tcPr>
          <w:p w14:paraId="0A934938" w14:textId="04A1851A" w:rsidR="00972AF0"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8</w:t>
            </w:r>
            <w:r w:rsidR="00972AF0" w:rsidRPr="002D2F67">
              <w:rPr>
                <w:rFonts w:ascii="Arial" w:hAnsi="Arial" w:cs="Arial"/>
                <w:color w:val="000000"/>
                <w:sz w:val="20"/>
                <w:szCs w:val="20"/>
              </w:rPr>
              <w:t>,</w:t>
            </w:r>
            <w:r w:rsidRPr="00CD5714">
              <w:rPr>
                <w:rFonts w:ascii="Arial" w:hAnsi="Arial" w:cs="Arial"/>
                <w:color w:val="000000"/>
                <w:sz w:val="20"/>
                <w:szCs w:val="20"/>
                <w:lang w:val="en-GB"/>
              </w:rPr>
              <w:t>807</w:t>
            </w:r>
            <w:r w:rsidR="00972AF0" w:rsidRPr="002D2F67">
              <w:rPr>
                <w:rFonts w:ascii="Arial" w:hAnsi="Arial" w:cs="Arial"/>
                <w:color w:val="000000"/>
                <w:sz w:val="20"/>
                <w:szCs w:val="20"/>
              </w:rPr>
              <w:t>,</w:t>
            </w:r>
            <w:r w:rsidRPr="00CD5714">
              <w:rPr>
                <w:rFonts w:ascii="Arial" w:hAnsi="Arial" w:cs="Arial"/>
                <w:color w:val="000000"/>
                <w:sz w:val="20"/>
                <w:szCs w:val="20"/>
                <w:lang w:val="en-GB"/>
              </w:rPr>
              <w:t>543</w:t>
            </w:r>
          </w:p>
        </w:tc>
      </w:tr>
    </w:tbl>
    <w:p w14:paraId="158F4D0A" w14:textId="2D61CB21" w:rsidR="00B96498" w:rsidRPr="002D2F67" w:rsidRDefault="00B96498" w:rsidP="005611FE">
      <w:pPr>
        <w:ind w:left="540"/>
        <w:rPr>
          <w:rFonts w:ascii="Arial" w:hAnsi="Arial" w:cs="Arial"/>
          <w:color w:val="000000"/>
          <w:sz w:val="20"/>
          <w:szCs w:val="20"/>
        </w:rPr>
      </w:pPr>
    </w:p>
    <w:p w14:paraId="358B4237" w14:textId="44BB6CDC" w:rsidR="001E6C66" w:rsidRPr="002D2F67" w:rsidRDefault="001E6C66" w:rsidP="00276A9D">
      <w:pPr>
        <w:ind w:left="540"/>
        <w:jc w:val="both"/>
        <w:rPr>
          <w:rFonts w:ascii="Arial" w:hAnsi="Arial" w:cs="Arial"/>
          <w:color w:val="000000"/>
          <w:sz w:val="20"/>
          <w:szCs w:val="20"/>
        </w:rPr>
      </w:pPr>
      <w:r w:rsidRPr="002D2F67">
        <w:rPr>
          <w:rFonts w:ascii="Arial" w:hAnsi="Arial" w:cs="Arial"/>
          <w:color w:val="000000"/>
          <w:sz w:val="20"/>
          <w:szCs w:val="20"/>
        </w:rPr>
        <w:t>The movement</w:t>
      </w:r>
      <w:r w:rsidR="00340E91" w:rsidRPr="002D2F67">
        <w:rPr>
          <w:rFonts w:ascii="Arial" w:hAnsi="Arial" w:cs="Arial"/>
          <w:color w:val="000000"/>
          <w:sz w:val="20"/>
          <w:szCs w:val="20"/>
        </w:rPr>
        <w:t>s</w:t>
      </w:r>
      <w:r w:rsidRPr="002D2F67">
        <w:rPr>
          <w:rFonts w:ascii="Arial" w:hAnsi="Arial" w:cs="Arial"/>
          <w:color w:val="000000"/>
          <w:sz w:val="20"/>
          <w:szCs w:val="20"/>
        </w:rPr>
        <w:t xml:space="preserve"> of long-term loans from financial institutions can be analysed as follows:</w:t>
      </w:r>
    </w:p>
    <w:p w14:paraId="3A77F9B1" w14:textId="77777777" w:rsidR="001E6C66" w:rsidRPr="002D2F67" w:rsidRDefault="001E6C66" w:rsidP="005611FE">
      <w:pPr>
        <w:ind w:left="540"/>
        <w:rPr>
          <w:rFonts w:ascii="Arial" w:hAnsi="Arial" w:cs="Arial"/>
          <w:color w:val="000000"/>
          <w:sz w:val="20"/>
          <w:szCs w:val="20"/>
        </w:rPr>
      </w:pPr>
    </w:p>
    <w:tbl>
      <w:tblPr>
        <w:tblW w:w="9461" w:type="dxa"/>
        <w:tblInd w:w="108" w:type="dxa"/>
        <w:tblLayout w:type="fixed"/>
        <w:tblLook w:val="0000" w:firstRow="0" w:lastRow="0" w:firstColumn="0" w:lastColumn="0" w:noHBand="0" w:noVBand="0"/>
      </w:tblPr>
      <w:tblGrid>
        <w:gridCol w:w="3989"/>
        <w:gridCol w:w="1368"/>
        <w:gridCol w:w="1368"/>
        <w:gridCol w:w="1368"/>
        <w:gridCol w:w="1368"/>
      </w:tblGrid>
      <w:tr w:rsidR="001E6C66" w:rsidRPr="002D2F67" w14:paraId="3A07B405" w14:textId="77777777" w:rsidTr="002D2F67">
        <w:tc>
          <w:tcPr>
            <w:tcW w:w="3989" w:type="dxa"/>
            <w:shd w:val="clear" w:color="auto" w:fill="auto"/>
          </w:tcPr>
          <w:p w14:paraId="27B2E09B" w14:textId="77777777" w:rsidR="001E6C66" w:rsidRPr="002D2F67" w:rsidRDefault="001E6C66" w:rsidP="004F4DED">
            <w:pPr>
              <w:ind w:left="431"/>
              <w:rPr>
                <w:rFonts w:ascii="Arial" w:hAnsi="Arial" w:cs="Arial"/>
                <w:color w:val="000000"/>
                <w:sz w:val="20"/>
                <w:szCs w:val="20"/>
              </w:rPr>
            </w:pPr>
          </w:p>
        </w:tc>
        <w:tc>
          <w:tcPr>
            <w:tcW w:w="2736" w:type="dxa"/>
            <w:gridSpan w:val="2"/>
            <w:tcBorders>
              <w:bottom w:val="single" w:sz="4" w:space="0" w:color="auto"/>
            </w:tcBorders>
            <w:shd w:val="clear" w:color="auto" w:fill="auto"/>
          </w:tcPr>
          <w:p w14:paraId="145F63F7"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2A8AC36A"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2736" w:type="dxa"/>
            <w:gridSpan w:val="2"/>
            <w:tcBorders>
              <w:bottom w:val="single" w:sz="4" w:space="0" w:color="auto"/>
            </w:tcBorders>
            <w:shd w:val="clear" w:color="auto" w:fill="auto"/>
          </w:tcPr>
          <w:p w14:paraId="28777454"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Separate </w:t>
            </w:r>
          </w:p>
          <w:p w14:paraId="09B6848C"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5754BE" w:rsidRPr="002D2F67" w14:paraId="6046E718" w14:textId="77777777" w:rsidTr="002D2F67">
        <w:tc>
          <w:tcPr>
            <w:tcW w:w="3989" w:type="dxa"/>
            <w:shd w:val="clear" w:color="auto" w:fill="auto"/>
          </w:tcPr>
          <w:p w14:paraId="5491F064" w14:textId="2E4B1A40" w:rsidR="005754BE" w:rsidRPr="002D2F67" w:rsidRDefault="00340E91" w:rsidP="004F4DED">
            <w:pPr>
              <w:ind w:left="431"/>
              <w:rPr>
                <w:rFonts w:ascii="Arial" w:hAnsi="Arial" w:cs="Arial"/>
                <w:b/>
                <w:bCs/>
                <w:color w:val="000000"/>
                <w:sz w:val="20"/>
                <w:szCs w:val="20"/>
              </w:rPr>
            </w:pPr>
            <w:r w:rsidRPr="002D2F67">
              <w:rPr>
                <w:rFonts w:ascii="Arial" w:hAnsi="Arial" w:cs="Arial"/>
                <w:b/>
                <w:bCs/>
                <w:color w:val="000000"/>
                <w:sz w:val="20"/>
                <w:szCs w:val="20"/>
              </w:rPr>
              <w:t xml:space="preserve">For the years ended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w:t>
            </w:r>
          </w:p>
        </w:tc>
        <w:tc>
          <w:tcPr>
            <w:tcW w:w="1368" w:type="dxa"/>
            <w:shd w:val="clear" w:color="auto" w:fill="auto"/>
            <w:vAlign w:val="bottom"/>
          </w:tcPr>
          <w:p w14:paraId="7DC01E97" w14:textId="53290DF9" w:rsidR="005754BE"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368" w:type="dxa"/>
            <w:shd w:val="clear" w:color="auto" w:fill="auto"/>
            <w:vAlign w:val="bottom"/>
          </w:tcPr>
          <w:p w14:paraId="4E628722" w14:textId="7466A638" w:rsidR="005754BE"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c>
          <w:tcPr>
            <w:tcW w:w="1368" w:type="dxa"/>
            <w:shd w:val="clear" w:color="auto" w:fill="auto"/>
            <w:vAlign w:val="bottom"/>
          </w:tcPr>
          <w:p w14:paraId="34E6FBFE" w14:textId="3E24CC78" w:rsidR="005754BE"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368" w:type="dxa"/>
            <w:shd w:val="clear" w:color="auto" w:fill="auto"/>
            <w:vAlign w:val="bottom"/>
          </w:tcPr>
          <w:p w14:paraId="1C5E148B" w14:textId="2521FF67" w:rsidR="005754BE"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1E6C66" w:rsidRPr="002D2F67" w14:paraId="082EDB5A" w14:textId="77777777" w:rsidTr="002D2F67">
        <w:tc>
          <w:tcPr>
            <w:tcW w:w="3989" w:type="dxa"/>
            <w:shd w:val="clear" w:color="auto" w:fill="auto"/>
          </w:tcPr>
          <w:p w14:paraId="1B1C7251" w14:textId="21B3C64D" w:rsidR="001E6C66" w:rsidRPr="002D2F67" w:rsidRDefault="001E6C66" w:rsidP="004F4DED">
            <w:pPr>
              <w:ind w:left="431"/>
              <w:rPr>
                <w:rFonts w:ascii="Arial" w:hAnsi="Arial" w:cs="Arial"/>
                <w:b/>
                <w:bCs/>
                <w:color w:val="000000"/>
                <w:sz w:val="20"/>
                <w:szCs w:val="20"/>
              </w:rPr>
            </w:pPr>
          </w:p>
        </w:tc>
        <w:tc>
          <w:tcPr>
            <w:tcW w:w="1368" w:type="dxa"/>
            <w:tcBorders>
              <w:bottom w:val="single" w:sz="4" w:space="0" w:color="auto"/>
            </w:tcBorders>
            <w:shd w:val="clear" w:color="auto" w:fill="auto"/>
          </w:tcPr>
          <w:p w14:paraId="2D5A44CD" w14:textId="15767D6A"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2D3411" w:rsidRPr="002D2F67">
              <w:rPr>
                <w:rFonts w:ascii="Arial" w:hAnsi="Arial" w:cs="Arial"/>
                <w:b/>
                <w:bCs/>
                <w:color w:val="000000"/>
                <w:sz w:val="20"/>
                <w:szCs w:val="20"/>
              </w:rPr>
              <w:t>’</w:t>
            </w:r>
            <w:r w:rsidR="00CD5714" w:rsidRPr="00CD5714">
              <w:rPr>
                <w:rFonts w:ascii="Arial" w:hAnsi="Arial" w:cs="Arial"/>
                <w:b/>
                <w:bCs/>
                <w:color w:val="000000"/>
                <w:sz w:val="20"/>
                <w:szCs w:val="20"/>
                <w:lang w:val="en-GB"/>
              </w:rPr>
              <w:t>000</w:t>
            </w:r>
          </w:p>
        </w:tc>
        <w:tc>
          <w:tcPr>
            <w:tcW w:w="1368" w:type="dxa"/>
            <w:tcBorders>
              <w:bottom w:val="single" w:sz="4" w:space="0" w:color="auto"/>
            </w:tcBorders>
            <w:shd w:val="clear" w:color="auto" w:fill="auto"/>
          </w:tcPr>
          <w:p w14:paraId="7B0E28DD" w14:textId="28338991" w:rsidR="001E6C66" w:rsidRPr="002D2F67" w:rsidRDefault="002D3411"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368" w:type="dxa"/>
            <w:tcBorders>
              <w:bottom w:val="single" w:sz="4" w:space="0" w:color="auto"/>
            </w:tcBorders>
            <w:shd w:val="clear" w:color="auto" w:fill="auto"/>
          </w:tcPr>
          <w:p w14:paraId="69428F8F" w14:textId="498D110F" w:rsidR="001E6C66" w:rsidRPr="002D2F67" w:rsidRDefault="002D3411"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368" w:type="dxa"/>
            <w:tcBorders>
              <w:bottom w:val="single" w:sz="4" w:space="0" w:color="auto"/>
            </w:tcBorders>
            <w:shd w:val="clear" w:color="auto" w:fill="auto"/>
          </w:tcPr>
          <w:p w14:paraId="398A42BB" w14:textId="180B541F" w:rsidR="001E6C66" w:rsidRPr="002D2F67" w:rsidRDefault="002D3411"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1E6C66" w:rsidRPr="002D2F67" w14:paraId="0DE8EFD4" w14:textId="77777777" w:rsidTr="002D2F67">
        <w:trPr>
          <w:trHeight w:val="74"/>
        </w:trPr>
        <w:tc>
          <w:tcPr>
            <w:tcW w:w="3989" w:type="dxa"/>
            <w:shd w:val="clear" w:color="auto" w:fill="auto"/>
          </w:tcPr>
          <w:p w14:paraId="08A1AFE4" w14:textId="77777777" w:rsidR="001E6C66" w:rsidRPr="002D2F67" w:rsidRDefault="001E6C66" w:rsidP="004F4DED">
            <w:pPr>
              <w:ind w:left="431"/>
              <w:rPr>
                <w:rFonts w:ascii="Arial" w:hAnsi="Arial" w:cs="Arial"/>
                <w:b/>
                <w:bCs/>
                <w:color w:val="000000"/>
                <w:sz w:val="16"/>
                <w:szCs w:val="16"/>
              </w:rPr>
            </w:pPr>
          </w:p>
        </w:tc>
        <w:tc>
          <w:tcPr>
            <w:tcW w:w="1368" w:type="dxa"/>
            <w:tcBorders>
              <w:top w:val="single" w:sz="4" w:space="0" w:color="auto"/>
            </w:tcBorders>
            <w:shd w:val="clear" w:color="auto" w:fill="auto"/>
          </w:tcPr>
          <w:p w14:paraId="3DE5670A"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6"/>
                <w:szCs w:val="16"/>
              </w:rPr>
            </w:pPr>
          </w:p>
        </w:tc>
        <w:tc>
          <w:tcPr>
            <w:tcW w:w="1368" w:type="dxa"/>
            <w:tcBorders>
              <w:top w:val="single" w:sz="4" w:space="0" w:color="auto"/>
            </w:tcBorders>
            <w:shd w:val="clear" w:color="auto" w:fill="auto"/>
          </w:tcPr>
          <w:p w14:paraId="24AEC0BA"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6"/>
                <w:szCs w:val="16"/>
              </w:rPr>
            </w:pPr>
          </w:p>
        </w:tc>
        <w:tc>
          <w:tcPr>
            <w:tcW w:w="1368" w:type="dxa"/>
            <w:tcBorders>
              <w:top w:val="single" w:sz="4" w:space="0" w:color="auto"/>
            </w:tcBorders>
            <w:shd w:val="clear" w:color="auto" w:fill="auto"/>
          </w:tcPr>
          <w:p w14:paraId="5F246E18"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6"/>
                <w:szCs w:val="16"/>
              </w:rPr>
            </w:pPr>
          </w:p>
        </w:tc>
        <w:tc>
          <w:tcPr>
            <w:tcW w:w="1368" w:type="dxa"/>
            <w:tcBorders>
              <w:top w:val="single" w:sz="4" w:space="0" w:color="auto"/>
            </w:tcBorders>
            <w:shd w:val="clear" w:color="auto" w:fill="auto"/>
          </w:tcPr>
          <w:p w14:paraId="13A07659" w14:textId="77777777" w:rsidR="001E6C66" w:rsidRPr="002D2F67" w:rsidRDefault="001E6C66" w:rsidP="005611FE">
            <w:pPr>
              <w:ind w:right="-72"/>
              <w:jc w:val="right"/>
              <w:rPr>
                <w:rFonts w:ascii="Arial" w:hAnsi="Arial" w:cs="Arial"/>
                <w:b/>
                <w:bCs/>
                <w:color w:val="000000"/>
                <w:sz w:val="16"/>
                <w:szCs w:val="16"/>
              </w:rPr>
            </w:pPr>
          </w:p>
        </w:tc>
      </w:tr>
      <w:tr w:rsidR="00972AF0" w:rsidRPr="002D2F67" w14:paraId="0A7B3ABE" w14:textId="77777777" w:rsidTr="002D2F67">
        <w:trPr>
          <w:trHeight w:val="74"/>
        </w:trPr>
        <w:tc>
          <w:tcPr>
            <w:tcW w:w="3989" w:type="dxa"/>
            <w:shd w:val="clear" w:color="auto" w:fill="auto"/>
          </w:tcPr>
          <w:p w14:paraId="60E99B4C" w14:textId="3267831C" w:rsidR="00972AF0" w:rsidRPr="002D2F67" w:rsidRDefault="00972AF0" w:rsidP="004F4DED">
            <w:pPr>
              <w:ind w:left="431"/>
              <w:rPr>
                <w:rFonts w:ascii="Arial" w:hAnsi="Arial" w:cs="Arial"/>
                <w:b/>
                <w:bCs/>
                <w:color w:val="000000"/>
                <w:sz w:val="20"/>
                <w:szCs w:val="20"/>
              </w:rPr>
            </w:pPr>
            <w:r w:rsidRPr="002D2F67">
              <w:rPr>
                <w:rFonts w:ascii="Arial" w:hAnsi="Arial" w:cs="Arial"/>
                <w:color w:val="000000"/>
                <w:sz w:val="20"/>
                <w:szCs w:val="20"/>
              </w:rPr>
              <w:t>Opening net book value</w:t>
            </w:r>
          </w:p>
        </w:tc>
        <w:tc>
          <w:tcPr>
            <w:tcW w:w="1368" w:type="dxa"/>
            <w:shd w:val="clear" w:color="auto" w:fill="auto"/>
            <w:vAlign w:val="bottom"/>
          </w:tcPr>
          <w:p w14:paraId="7CF79A88" w14:textId="05C3BDA6" w:rsidR="00972AF0"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22</w:t>
            </w:r>
            <w:r w:rsidR="00911D6E" w:rsidRPr="002D2F67">
              <w:rPr>
                <w:rFonts w:ascii="Arial" w:hAnsi="Arial" w:cs="Arial"/>
                <w:color w:val="000000"/>
                <w:sz w:val="20"/>
                <w:szCs w:val="20"/>
              </w:rPr>
              <w:t>,</w:t>
            </w:r>
            <w:r w:rsidRPr="00CD5714">
              <w:rPr>
                <w:rFonts w:ascii="Arial" w:hAnsi="Arial" w:cs="Arial"/>
                <w:color w:val="000000"/>
                <w:sz w:val="20"/>
                <w:szCs w:val="20"/>
                <w:lang w:val="en-GB"/>
              </w:rPr>
              <w:t>874</w:t>
            </w:r>
            <w:r w:rsidR="00911D6E" w:rsidRPr="002D2F67">
              <w:rPr>
                <w:rFonts w:ascii="Arial" w:hAnsi="Arial" w:cs="Arial"/>
                <w:color w:val="000000"/>
                <w:sz w:val="20"/>
                <w:szCs w:val="20"/>
              </w:rPr>
              <w:t>,</w:t>
            </w:r>
            <w:r w:rsidRPr="00CD5714">
              <w:rPr>
                <w:rFonts w:ascii="Arial" w:hAnsi="Arial" w:cs="Arial"/>
                <w:color w:val="000000"/>
                <w:sz w:val="20"/>
                <w:szCs w:val="20"/>
                <w:lang w:val="en-GB"/>
              </w:rPr>
              <w:t>161</w:t>
            </w:r>
          </w:p>
        </w:tc>
        <w:tc>
          <w:tcPr>
            <w:tcW w:w="1368" w:type="dxa"/>
            <w:shd w:val="clear" w:color="auto" w:fill="auto"/>
            <w:vAlign w:val="bottom"/>
          </w:tcPr>
          <w:p w14:paraId="41F05123" w14:textId="16B06961" w:rsidR="00972AF0"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24</w:t>
            </w:r>
            <w:r w:rsidR="00972AF0" w:rsidRPr="002D2F67">
              <w:rPr>
                <w:rFonts w:ascii="Arial" w:hAnsi="Arial" w:cs="Arial"/>
                <w:color w:val="000000"/>
                <w:sz w:val="20"/>
                <w:szCs w:val="20"/>
              </w:rPr>
              <w:t>,</w:t>
            </w:r>
            <w:r w:rsidRPr="00CD5714">
              <w:rPr>
                <w:rFonts w:ascii="Arial" w:hAnsi="Arial" w:cs="Arial"/>
                <w:color w:val="000000"/>
                <w:sz w:val="20"/>
                <w:szCs w:val="20"/>
                <w:lang w:val="en-GB"/>
              </w:rPr>
              <w:t>446</w:t>
            </w:r>
            <w:r w:rsidR="00972AF0" w:rsidRPr="002D2F67">
              <w:rPr>
                <w:rFonts w:ascii="Arial" w:hAnsi="Arial" w:cs="Arial"/>
                <w:color w:val="000000"/>
                <w:sz w:val="20"/>
                <w:szCs w:val="20"/>
              </w:rPr>
              <w:t>,</w:t>
            </w:r>
            <w:r w:rsidRPr="00CD5714">
              <w:rPr>
                <w:rFonts w:ascii="Arial" w:hAnsi="Arial" w:cs="Arial"/>
                <w:color w:val="000000"/>
                <w:sz w:val="20"/>
                <w:szCs w:val="20"/>
                <w:lang w:val="en-GB"/>
              </w:rPr>
              <w:t>563</w:t>
            </w:r>
          </w:p>
        </w:tc>
        <w:tc>
          <w:tcPr>
            <w:tcW w:w="1368" w:type="dxa"/>
            <w:shd w:val="clear" w:color="auto" w:fill="auto"/>
            <w:vAlign w:val="bottom"/>
          </w:tcPr>
          <w:p w14:paraId="3B657DC3" w14:textId="5DE89299" w:rsidR="00972AF0"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13</w:t>
            </w:r>
            <w:r w:rsidR="00C00516" w:rsidRPr="002D2F67">
              <w:rPr>
                <w:rFonts w:ascii="Arial" w:hAnsi="Arial" w:cs="Arial"/>
                <w:color w:val="000000"/>
                <w:sz w:val="20"/>
                <w:szCs w:val="20"/>
              </w:rPr>
              <w:t>,</w:t>
            </w:r>
            <w:r w:rsidRPr="00CD5714">
              <w:rPr>
                <w:rFonts w:ascii="Arial" w:hAnsi="Arial" w:cs="Arial"/>
                <w:color w:val="000000"/>
                <w:sz w:val="20"/>
                <w:szCs w:val="20"/>
                <w:lang w:val="en-GB"/>
              </w:rPr>
              <w:t>383</w:t>
            </w:r>
            <w:r w:rsidR="00C00516" w:rsidRPr="002D2F67">
              <w:rPr>
                <w:rFonts w:ascii="Arial" w:hAnsi="Arial" w:cs="Arial"/>
                <w:color w:val="000000"/>
                <w:sz w:val="20"/>
                <w:szCs w:val="20"/>
              </w:rPr>
              <w:t>,</w:t>
            </w:r>
            <w:r w:rsidRPr="00CD5714">
              <w:rPr>
                <w:rFonts w:ascii="Arial" w:hAnsi="Arial" w:cs="Arial"/>
                <w:color w:val="000000"/>
                <w:sz w:val="20"/>
                <w:szCs w:val="20"/>
                <w:lang w:val="en-GB"/>
              </w:rPr>
              <w:t>191</w:t>
            </w:r>
          </w:p>
        </w:tc>
        <w:tc>
          <w:tcPr>
            <w:tcW w:w="1368" w:type="dxa"/>
            <w:shd w:val="clear" w:color="auto" w:fill="auto"/>
            <w:vAlign w:val="bottom"/>
          </w:tcPr>
          <w:p w14:paraId="3F9677B5" w14:textId="0792D407" w:rsidR="00972AF0"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12</w:t>
            </w:r>
            <w:r w:rsidR="00972AF0" w:rsidRPr="002D2F67">
              <w:rPr>
                <w:rFonts w:ascii="Arial" w:hAnsi="Arial" w:cs="Arial"/>
                <w:color w:val="000000"/>
                <w:sz w:val="20"/>
                <w:szCs w:val="20"/>
              </w:rPr>
              <w:t>,</w:t>
            </w:r>
            <w:r w:rsidRPr="00CD5714">
              <w:rPr>
                <w:rFonts w:ascii="Arial" w:hAnsi="Arial" w:cs="Arial"/>
                <w:color w:val="000000"/>
                <w:sz w:val="20"/>
                <w:szCs w:val="20"/>
                <w:lang w:val="en-GB"/>
              </w:rPr>
              <w:t>002</w:t>
            </w:r>
            <w:r w:rsidR="00972AF0" w:rsidRPr="002D2F67">
              <w:rPr>
                <w:rFonts w:ascii="Arial" w:hAnsi="Arial" w:cs="Arial"/>
                <w:color w:val="000000"/>
                <w:sz w:val="20"/>
                <w:szCs w:val="20"/>
              </w:rPr>
              <w:t>,</w:t>
            </w:r>
            <w:r w:rsidRPr="00CD5714">
              <w:rPr>
                <w:rFonts w:ascii="Arial" w:hAnsi="Arial" w:cs="Arial"/>
                <w:color w:val="000000"/>
                <w:sz w:val="20"/>
                <w:szCs w:val="20"/>
                <w:lang w:val="en-GB"/>
              </w:rPr>
              <w:t>580</w:t>
            </w:r>
          </w:p>
        </w:tc>
      </w:tr>
      <w:tr w:rsidR="00972AF0" w:rsidRPr="002D2F67" w14:paraId="6FF3091E" w14:textId="77777777" w:rsidTr="002D2F67">
        <w:trPr>
          <w:trHeight w:val="74"/>
        </w:trPr>
        <w:tc>
          <w:tcPr>
            <w:tcW w:w="3989" w:type="dxa"/>
            <w:shd w:val="clear" w:color="auto" w:fill="auto"/>
          </w:tcPr>
          <w:p w14:paraId="1B92B0CF" w14:textId="77777777" w:rsidR="00972AF0" w:rsidRPr="002D2F67" w:rsidRDefault="00972AF0" w:rsidP="004F4DED">
            <w:pPr>
              <w:ind w:left="431"/>
              <w:rPr>
                <w:rFonts w:ascii="Arial" w:hAnsi="Arial" w:cs="Arial"/>
                <w:color w:val="000000"/>
                <w:sz w:val="16"/>
                <w:szCs w:val="16"/>
              </w:rPr>
            </w:pPr>
          </w:p>
        </w:tc>
        <w:tc>
          <w:tcPr>
            <w:tcW w:w="1368" w:type="dxa"/>
            <w:shd w:val="clear" w:color="auto" w:fill="auto"/>
            <w:vAlign w:val="bottom"/>
          </w:tcPr>
          <w:p w14:paraId="6595B2DD" w14:textId="77777777" w:rsidR="00972AF0" w:rsidRPr="002D2F67" w:rsidRDefault="00972AF0" w:rsidP="005611FE">
            <w:pPr>
              <w:ind w:right="-72"/>
              <w:jc w:val="right"/>
              <w:rPr>
                <w:rFonts w:ascii="Arial" w:hAnsi="Arial" w:cs="Arial"/>
                <w:color w:val="000000"/>
                <w:sz w:val="16"/>
                <w:szCs w:val="16"/>
              </w:rPr>
            </w:pPr>
          </w:p>
        </w:tc>
        <w:tc>
          <w:tcPr>
            <w:tcW w:w="1368" w:type="dxa"/>
            <w:shd w:val="clear" w:color="auto" w:fill="auto"/>
            <w:vAlign w:val="bottom"/>
          </w:tcPr>
          <w:p w14:paraId="3AFBB4EF" w14:textId="77777777" w:rsidR="00972AF0" w:rsidRPr="002D2F67" w:rsidRDefault="00972AF0" w:rsidP="005611FE">
            <w:pPr>
              <w:ind w:right="-72"/>
              <w:jc w:val="right"/>
              <w:rPr>
                <w:rFonts w:ascii="Arial" w:hAnsi="Arial" w:cs="Arial"/>
                <w:color w:val="000000"/>
                <w:sz w:val="16"/>
                <w:szCs w:val="16"/>
              </w:rPr>
            </w:pPr>
          </w:p>
        </w:tc>
        <w:tc>
          <w:tcPr>
            <w:tcW w:w="1368" w:type="dxa"/>
            <w:shd w:val="clear" w:color="auto" w:fill="auto"/>
            <w:vAlign w:val="bottom"/>
          </w:tcPr>
          <w:p w14:paraId="6558F6D6" w14:textId="77777777" w:rsidR="00972AF0" w:rsidRPr="002D2F67" w:rsidRDefault="00972AF0" w:rsidP="005611FE">
            <w:pPr>
              <w:ind w:right="-72"/>
              <w:jc w:val="right"/>
              <w:rPr>
                <w:rFonts w:ascii="Arial" w:hAnsi="Arial" w:cs="Arial"/>
                <w:color w:val="000000"/>
                <w:sz w:val="16"/>
                <w:szCs w:val="16"/>
              </w:rPr>
            </w:pPr>
          </w:p>
        </w:tc>
        <w:tc>
          <w:tcPr>
            <w:tcW w:w="1368" w:type="dxa"/>
            <w:shd w:val="clear" w:color="auto" w:fill="auto"/>
            <w:vAlign w:val="bottom"/>
          </w:tcPr>
          <w:p w14:paraId="21024A8F" w14:textId="77777777" w:rsidR="00972AF0" w:rsidRPr="002D2F67" w:rsidRDefault="00972AF0" w:rsidP="005611FE">
            <w:pPr>
              <w:ind w:right="-72"/>
              <w:jc w:val="right"/>
              <w:rPr>
                <w:rFonts w:ascii="Arial" w:hAnsi="Arial" w:cs="Arial"/>
                <w:color w:val="000000"/>
                <w:sz w:val="16"/>
                <w:szCs w:val="16"/>
              </w:rPr>
            </w:pPr>
          </w:p>
        </w:tc>
      </w:tr>
      <w:tr w:rsidR="00972AF0" w:rsidRPr="002D2F67" w14:paraId="11A7ECBC" w14:textId="77777777" w:rsidTr="002D2F67">
        <w:tc>
          <w:tcPr>
            <w:tcW w:w="3989" w:type="dxa"/>
            <w:shd w:val="clear" w:color="auto" w:fill="auto"/>
          </w:tcPr>
          <w:p w14:paraId="4BA15928" w14:textId="77777777" w:rsidR="00972AF0" w:rsidRPr="002D2F67" w:rsidRDefault="00972AF0" w:rsidP="004F4DED">
            <w:pPr>
              <w:tabs>
                <w:tab w:val="left" w:pos="1134"/>
                <w:tab w:val="left" w:pos="1276"/>
                <w:tab w:val="center" w:pos="3402"/>
                <w:tab w:val="center" w:pos="4536"/>
                <w:tab w:val="center" w:pos="5670"/>
                <w:tab w:val="center" w:pos="6804"/>
                <w:tab w:val="right" w:pos="7655"/>
              </w:tabs>
              <w:ind w:left="431"/>
              <w:rPr>
                <w:rFonts w:ascii="Arial" w:hAnsi="Arial" w:cs="Arial"/>
                <w:color w:val="000000"/>
                <w:sz w:val="20"/>
                <w:szCs w:val="20"/>
              </w:rPr>
            </w:pPr>
            <w:r w:rsidRPr="002D2F67">
              <w:rPr>
                <w:rFonts w:ascii="Arial" w:hAnsi="Arial" w:cs="Arial"/>
                <w:color w:val="000000"/>
                <w:sz w:val="20"/>
                <w:szCs w:val="20"/>
              </w:rPr>
              <w:t>Cash flows:</w:t>
            </w:r>
          </w:p>
        </w:tc>
        <w:tc>
          <w:tcPr>
            <w:tcW w:w="1368" w:type="dxa"/>
            <w:shd w:val="clear" w:color="auto" w:fill="auto"/>
            <w:vAlign w:val="bottom"/>
          </w:tcPr>
          <w:p w14:paraId="07E641FB" w14:textId="77777777" w:rsidR="00972AF0" w:rsidRPr="002D2F67" w:rsidRDefault="00972AF0" w:rsidP="005611FE">
            <w:pPr>
              <w:ind w:right="-72"/>
              <w:jc w:val="right"/>
              <w:rPr>
                <w:rFonts w:ascii="Arial" w:hAnsi="Arial" w:cs="Arial"/>
                <w:color w:val="000000"/>
                <w:spacing w:val="-2"/>
                <w:sz w:val="20"/>
                <w:szCs w:val="20"/>
              </w:rPr>
            </w:pPr>
          </w:p>
        </w:tc>
        <w:tc>
          <w:tcPr>
            <w:tcW w:w="1368" w:type="dxa"/>
            <w:shd w:val="clear" w:color="auto" w:fill="auto"/>
            <w:vAlign w:val="bottom"/>
          </w:tcPr>
          <w:p w14:paraId="277DE39F" w14:textId="77777777" w:rsidR="00972AF0" w:rsidRPr="002D2F67" w:rsidRDefault="00972AF0" w:rsidP="005611FE">
            <w:pPr>
              <w:ind w:right="-72"/>
              <w:jc w:val="right"/>
              <w:rPr>
                <w:rFonts w:ascii="Arial" w:hAnsi="Arial" w:cs="Arial"/>
                <w:color w:val="000000"/>
                <w:spacing w:val="-2"/>
                <w:sz w:val="20"/>
                <w:szCs w:val="20"/>
              </w:rPr>
            </w:pPr>
          </w:p>
        </w:tc>
        <w:tc>
          <w:tcPr>
            <w:tcW w:w="1368" w:type="dxa"/>
            <w:shd w:val="clear" w:color="auto" w:fill="auto"/>
            <w:vAlign w:val="bottom"/>
          </w:tcPr>
          <w:p w14:paraId="23920F66" w14:textId="7D103522" w:rsidR="00972AF0" w:rsidRPr="002D2F67" w:rsidRDefault="00972AF0" w:rsidP="005611FE">
            <w:pPr>
              <w:ind w:right="-72"/>
              <w:jc w:val="right"/>
              <w:rPr>
                <w:rFonts w:ascii="Arial" w:hAnsi="Arial" w:cs="Arial"/>
                <w:color w:val="000000"/>
                <w:spacing w:val="-2"/>
                <w:sz w:val="20"/>
                <w:szCs w:val="20"/>
              </w:rPr>
            </w:pPr>
          </w:p>
        </w:tc>
        <w:tc>
          <w:tcPr>
            <w:tcW w:w="1368" w:type="dxa"/>
            <w:shd w:val="clear" w:color="auto" w:fill="auto"/>
            <w:vAlign w:val="bottom"/>
          </w:tcPr>
          <w:p w14:paraId="35657E38" w14:textId="53BC95AE" w:rsidR="00972AF0" w:rsidRPr="002D2F67" w:rsidRDefault="00972AF0" w:rsidP="005611FE">
            <w:pPr>
              <w:ind w:right="-72"/>
              <w:jc w:val="right"/>
              <w:rPr>
                <w:rFonts w:ascii="Arial" w:hAnsi="Arial" w:cs="Arial"/>
                <w:color w:val="000000"/>
                <w:spacing w:val="-2"/>
                <w:sz w:val="20"/>
                <w:szCs w:val="20"/>
              </w:rPr>
            </w:pPr>
          </w:p>
        </w:tc>
      </w:tr>
      <w:tr w:rsidR="00972AF0" w:rsidRPr="002D2F67" w14:paraId="01A4E989" w14:textId="77777777" w:rsidTr="002D2F67">
        <w:tc>
          <w:tcPr>
            <w:tcW w:w="3989" w:type="dxa"/>
            <w:shd w:val="clear" w:color="auto" w:fill="auto"/>
          </w:tcPr>
          <w:p w14:paraId="73D010FF" w14:textId="37BC927D" w:rsidR="00972AF0" w:rsidRPr="002D2F67" w:rsidRDefault="00972AF0" w:rsidP="004F4DED">
            <w:pPr>
              <w:tabs>
                <w:tab w:val="left" w:pos="1134"/>
                <w:tab w:val="left" w:pos="1276"/>
                <w:tab w:val="center" w:pos="3402"/>
                <w:tab w:val="center" w:pos="4536"/>
                <w:tab w:val="center" w:pos="5670"/>
                <w:tab w:val="center" w:pos="6804"/>
                <w:tab w:val="right" w:pos="7655"/>
              </w:tabs>
              <w:ind w:left="431"/>
              <w:rPr>
                <w:rFonts w:ascii="Arial" w:hAnsi="Arial" w:cs="Arial"/>
                <w:color w:val="000000"/>
                <w:sz w:val="20"/>
                <w:szCs w:val="20"/>
              </w:rPr>
            </w:pPr>
            <w:r w:rsidRPr="002D2F67">
              <w:rPr>
                <w:rFonts w:ascii="Arial" w:hAnsi="Arial" w:cs="Arial"/>
                <w:color w:val="000000"/>
                <w:sz w:val="20"/>
                <w:szCs w:val="20"/>
                <w:cs/>
              </w:rPr>
              <w:t xml:space="preserve">   </w:t>
            </w:r>
            <w:r w:rsidRPr="002D2F67">
              <w:rPr>
                <w:rFonts w:ascii="Arial" w:hAnsi="Arial" w:cs="Arial"/>
                <w:color w:val="000000"/>
                <w:sz w:val="20"/>
                <w:szCs w:val="20"/>
              </w:rPr>
              <w:t>Additional loans during the year</w:t>
            </w:r>
          </w:p>
        </w:tc>
        <w:tc>
          <w:tcPr>
            <w:tcW w:w="1368" w:type="dxa"/>
            <w:shd w:val="clear" w:color="auto" w:fill="auto"/>
          </w:tcPr>
          <w:p w14:paraId="1028F90E" w14:textId="217F889C" w:rsidR="00972AF0"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w:t>
            </w:r>
            <w:r w:rsidR="00BD11F8" w:rsidRPr="002D2F67">
              <w:rPr>
                <w:rFonts w:ascii="Arial" w:hAnsi="Arial" w:cs="Arial"/>
                <w:color w:val="000000"/>
                <w:sz w:val="20"/>
                <w:szCs w:val="20"/>
              </w:rPr>
              <w:t>,</w:t>
            </w:r>
            <w:r w:rsidRPr="00CD5714">
              <w:rPr>
                <w:rFonts w:ascii="Arial" w:hAnsi="Arial" w:cs="Arial"/>
                <w:color w:val="000000"/>
                <w:sz w:val="20"/>
                <w:szCs w:val="20"/>
                <w:lang w:val="en-GB"/>
              </w:rPr>
              <w:t>459</w:t>
            </w:r>
            <w:r w:rsidR="00BD11F8" w:rsidRPr="002D2F67">
              <w:rPr>
                <w:rFonts w:ascii="Arial" w:hAnsi="Arial" w:cs="Arial"/>
                <w:color w:val="000000"/>
                <w:sz w:val="20"/>
                <w:szCs w:val="20"/>
              </w:rPr>
              <w:t>,</w:t>
            </w:r>
            <w:r w:rsidRPr="00CD5714">
              <w:rPr>
                <w:rFonts w:ascii="Arial" w:hAnsi="Arial" w:cs="Arial"/>
                <w:color w:val="000000"/>
                <w:sz w:val="20"/>
                <w:szCs w:val="20"/>
                <w:lang w:val="en-GB"/>
              </w:rPr>
              <w:t>189</w:t>
            </w:r>
          </w:p>
        </w:tc>
        <w:tc>
          <w:tcPr>
            <w:tcW w:w="1368" w:type="dxa"/>
            <w:shd w:val="clear" w:color="auto" w:fill="auto"/>
          </w:tcPr>
          <w:p w14:paraId="0EE74FA7" w14:textId="39A31DF3" w:rsidR="00972AF0"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8</w:t>
            </w:r>
            <w:r w:rsidR="00972AF0" w:rsidRPr="002D2F67">
              <w:rPr>
                <w:rFonts w:ascii="Arial" w:hAnsi="Arial" w:cs="Arial"/>
                <w:color w:val="000000"/>
                <w:sz w:val="20"/>
                <w:szCs w:val="20"/>
              </w:rPr>
              <w:t>,</w:t>
            </w:r>
            <w:r w:rsidRPr="00CD5714">
              <w:rPr>
                <w:rFonts w:ascii="Arial" w:hAnsi="Arial" w:cs="Arial"/>
                <w:color w:val="000000"/>
                <w:sz w:val="20"/>
                <w:szCs w:val="20"/>
                <w:lang w:val="en-GB"/>
              </w:rPr>
              <w:t>757</w:t>
            </w:r>
            <w:r w:rsidR="00972AF0" w:rsidRPr="002D2F67">
              <w:rPr>
                <w:rFonts w:ascii="Arial" w:hAnsi="Arial" w:cs="Arial"/>
                <w:color w:val="000000"/>
                <w:sz w:val="20"/>
                <w:szCs w:val="20"/>
              </w:rPr>
              <w:t>,</w:t>
            </w:r>
            <w:r w:rsidRPr="00CD5714">
              <w:rPr>
                <w:rFonts w:ascii="Arial" w:hAnsi="Arial" w:cs="Arial"/>
                <w:color w:val="000000"/>
                <w:sz w:val="20"/>
                <w:szCs w:val="20"/>
                <w:lang w:val="en-GB"/>
              </w:rPr>
              <w:t>608</w:t>
            </w:r>
          </w:p>
        </w:tc>
        <w:tc>
          <w:tcPr>
            <w:tcW w:w="1368" w:type="dxa"/>
            <w:shd w:val="clear" w:color="auto" w:fill="auto"/>
            <w:vAlign w:val="bottom"/>
          </w:tcPr>
          <w:p w14:paraId="5AE76AAB" w14:textId="577AA2F6" w:rsidR="00972AF0"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w:t>
            </w:r>
            <w:r w:rsidR="00C00516" w:rsidRPr="002D2F67">
              <w:rPr>
                <w:rFonts w:ascii="Arial" w:hAnsi="Arial" w:cs="Arial"/>
                <w:color w:val="000000"/>
                <w:sz w:val="20"/>
                <w:szCs w:val="20"/>
              </w:rPr>
              <w:t>,</w:t>
            </w:r>
            <w:r w:rsidRPr="00CD5714">
              <w:rPr>
                <w:rFonts w:ascii="Arial" w:hAnsi="Arial" w:cs="Arial"/>
                <w:color w:val="000000"/>
                <w:sz w:val="20"/>
                <w:szCs w:val="20"/>
                <w:lang w:val="en-GB"/>
              </w:rPr>
              <w:t>164</w:t>
            </w:r>
            <w:r w:rsidR="00C00516" w:rsidRPr="002D2F67">
              <w:rPr>
                <w:rFonts w:ascii="Arial" w:hAnsi="Arial" w:cs="Arial"/>
                <w:color w:val="000000"/>
                <w:sz w:val="20"/>
                <w:szCs w:val="20"/>
              </w:rPr>
              <w:t>,</w:t>
            </w:r>
            <w:r w:rsidRPr="00CD5714">
              <w:rPr>
                <w:rFonts w:ascii="Arial" w:hAnsi="Arial" w:cs="Arial"/>
                <w:color w:val="000000"/>
                <w:sz w:val="20"/>
                <w:szCs w:val="20"/>
                <w:lang w:val="en-GB"/>
              </w:rPr>
              <w:t>399</w:t>
            </w:r>
          </w:p>
        </w:tc>
        <w:tc>
          <w:tcPr>
            <w:tcW w:w="1368" w:type="dxa"/>
            <w:shd w:val="clear" w:color="auto" w:fill="auto"/>
            <w:vAlign w:val="bottom"/>
          </w:tcPr>
          <w:p w14:paraId="7AF41A61" w14:textId="685EEDDC" w:rsidR="00972AF0" w:rsidRPr="002D2F67" w:rsidRDefault="00CD5714" w:rsidP="005611FE">
            <w:pPr>
              <w:ind w:right="-72"/>
              <w:jc w:val="right"/>
              <w:rPr>
                <w:rFonts w:ascii="Arial" w:hAnsi="Arial" w:cs="Arial"/>
                <w:color w:val="000000"/>
                <w:sz w:val="20"/>
                <w:szCs w:val="20"/>
                <w:cs/>
              </w:rPr>
            </w:pPr>
            <w:r w:rsidRPr="00CD5714">
              <w:rPr>
                <w:rFonts w:ascii="Arial" w:hAnsi="Arial" w:cs="Arial"/>
                <w:color w:val="000000"/>
                <w:sz w:val="20"/>
                <w:szCs w:val="20"/>
                <w:lang w:val="en-GB"/>
              </w:rPr>
              <w:t>7</w:t>
            </w:r>
            <w:r w:rsidR="00972AF0" w:rsidRPr="002D2F67">
              <w:rPr>
                <w:rFonts w:ascii="Arial" w:hAnsi="Arial" w:cs="Arial"/>
                <w:color w:val="000000"/>
                <w:sz w:val="20"/>
                <w:szCs w:val="20"/>
              </w:rPr>
              <w:t>,</w:t>
            </w:r>
            <w:r w:rsidRPr="00CD5714">
              <w:rPr>
                <w:rFonts w:ascii="Arial" w:hAnsi="Arial" w:cs="Arial"/>
                <w:color w:val="000000"/>
                <w:sz w:val="20"/>
                <w:szCs w:val="20"/>
                <w:lang w:val="en-GB"/>
              </w:rPr>
              <w:t>244</w:t>
            </w:r>
            <w:r w:rsidR="00972AF0" w:rsidRPr="002D2F67">
              <w:rPr>
                <w:rFonts w:ascii="Arial" w:hAnsi="Arial" w:cs="Arial"/>
                <w:color w:val="000000"/>
                <w:sz w:val="20"/>
                <w:szCs w:val="20"/>
              </w:rPr>
              <w:t>,</w:t>
            </w:r>
            <w:r w:rsidRPr="00CD5714">
              <w:rPr>
                <w:rFonts w:ascii="Arial" w:hAnsi="Arial" w:cs="Arial"/>
                <w:color w:val="000000"/>
                <w:sz w:val="20"/>
                <w:szCs w:val="20"/>
                <w:lang w:val="en-GB"/>
              </w:rPr>
              <w:t>257</w:t>
            </w:r>
          </w:p>
        </w:tc>
      </w:tr>
      <w:tr w:rsidR="00972AF0" w:rsidRPr="002D2F67" w14:paraId="5F05874B" w14:textId="77777777" w:rsidTr="002D2F67">
        <w:tc>
          <w:tcPr>
            <w:tcW w:w="3989" w:type="dxa"/>
            <w:shd w:val="clear" w:color="auto" w:fill="auto"/>
          </w:tcPr>
          <w:p w14:paraId="489289BB" w14:textId="25349050" w:rsidR="00972AF0" w:rsidRPr="002D2F67" w:rsidRDefault="00972AF0" w:rsidP="004F4DED">
            <w:pPr>
              <w:tabs>
                <w:tab w:val="left" w:pos="1134"/>
                <w:tab w:val="left" w:pos="1276"/>
                <w:tab w:val="center" w:pos="3402"/>
                <w:tab w:val="center" w:pos="4536"/>
                <w:tab w:val="center" w:pos="5670"/>
                <w:tab w:val="center" w:pos="6804"/>
                <w:tab w:val="right" w:pos="7655"/>
              </w:tabs>
              <w:ind w:left="431"/>
              <w:rPr>
                <w:rFonts w:ascii="Arial" w:hAnsi="Arial" w:cs="Arial"/>
                <w:color w:val="000000"/>
                <w:sz w:val="20"/>
                <w:szCs w:val="20"/>
              </w:rPr>
            </w:pPr>
            <w:r w:rsidRPr="002D2F67">
              <w:rPr>
                <w:rFonts w:ascii="Arial" w:hAnsi="Arial" w:cs="Arial"/>
                <w:color w:val="000000"/>
                <w:sz w:val="20"/>
                <w:szCs w:val="20"/>
                <w:cs/>
              </w:rPr>
              <w:t xml:space="preserve">   </w:t>
            </w:r>
            <w:r w:rsidRPr="002D2F67">
              <w:rPr>
                <w:rFonts w:ascii="Arial" w:hAnsi="Arial" w:cs="Arial"/>
                <w:color w:val="000000"/>
                <w:sz w:val="20"/>
                <w:szCs w:val="20"/>
              </w:rPr>
              <w:t>Loan repayments during the year</w:t>
            </w:r>
          </w:p>
        </w:tc>
        <w:tc>
          <w:tcPr>
            <w:tcW w:w="1368" w:type="dxa"/>
            <w:shd w:val="clear" w:color="auto" w:fill="auto"/>
          </w:tcPr>
          <w:p w14:paraId="38BA97D9" w14:textId="1B61B6E5" w:rsidR="00972AF0" w:rsidRPr="002D2F67" w:rsidRDefault="00BD11F8"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7</w:t>
            </w:r>
            <w:r w:rsidRPr="002D2F67">
              <w:rPr>
                <w:rFonts w:ascii="Arial" w:hAnsi="Arial" w:cs="Arial"/>
                <w:color w:val="000000"/>
                <w:sz w:val="20"/>
                <w:szCs w:val="20"/>
              </w:rPr>
              <w:t>,</w:t>
            </w:r>
            <w:r w:rsidR="00CD5714" w:rsidRPr="00CD5714">
              <w:rPr>
                <w:rFonts w:ascii="Arial" w:hAnsi="Arial" w:cs="Arial"/>
                <w:color w:val="000000"/>
                <w:sz w:val="20"/>
                <w:szCs w:val="20"/>
                <w:lang w:val="en-GB"/>
              </w:rPr>
              <w:t>754</w:t>
            </w:r>
            <w:r w:rsidRPr="002D2F67">
              <w:rPr>
                <w:rFonts w:ascii="Arial" w:hAnsi="Arial" w:cs="Arial"/>
                <w:color w:val="000000"/>
                <w:sz w:val="20"/>
                <w:szCs w:val="20"/>
              </w:rPr>
              <w:t>,</w:t>
            </w:r>
            <w:r w:rsidR="00CD5714" w:rsidRPr="00CD5714">
              <w:rPr>
                <w:rFonts w:ascii="Arial" w:hAnsi="Arial" w:cs="Arial"/>
                <w:color w:val="000000"/>
                <w:sz w:val="20"/>
                <w:szCs w:val="20"/>
                <w:lang w:val="en-GB"/>
              </w:rPr>
              <w:t>814</w:t>
            </w:r>
            <w:r w:rsidRPr="002D2F67">
              <w:rPr>
                <w:rFonts w:ascii="Arial" w:hAnsi="Arial" w:cs="Arial"/>
                <w:color w:val="000000"/>
                <w:sz w:val="20"/>
                <w:szCs w:val="20"/>
              </w:rPr>
              <w:t>)</w:t>
            </w:r>
          </w:p>
        </w:tc>
        <w:tc>
          <w:tcPr>
            <w:tcW w:w="1368" w:type="dxa"/>
            <w:shd w:val="clear" w:color="auto" w:fill="auto"/>
          </w:tcPr>
          <w:p w14:paraId="696037F2" w14:textId="2F860FE5" w:rsidR="00972AF0" w:rsidRPr="002D2F67" w:rsidRDefault="00972AF0"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10</w:t>
            </w:r>
            <w:r w:rsidRPr="002D2F67">
              <w:rPr>
                <w:rFonts w:ascii="Arial" w:hAnsi="Arial" w:cs="Arial"/>
                <w:color w:val="000000"/>
                <w:sz w:val="20"/>
                <w:szCs w:val="20"/>
              </w:rPr>
              <w:t>,</w:t>
            </w:r>
            <w:r w:rsidR="00CD5714" w:rsidRPr="00CD5714">
              <w:rPr>
                <w:rFonts w:ascii="Arial" w:hAnsi="Arial" w:cs="Arial"/>
                <w:color w:val="000000"/>
                <w:sz w:val="20"/>
                <w:szCs w:val="20"/>
                <w:lang w:val="en-GB"/>
              </w:rPr>
              <w:t>323</w:t>
            </w:r>
            <w:r w:rsidRPr="002D2F67">
              <w:rPr>
                <w:rFonts w:ascii="Arial" w:hAnsi="Arial" w:cs="Arial"/>
                <w:color w:val="000000"/>
                <w:sz w:val="20"/>
                <w:szCs w:val="20"/>
              </w:rPr>
              <w:t>,</w:t>
            </w:r>
            <w:r w:rsidR="00CD5714" w:rsidRPr="00CD5714">
              <w:rPr>
                <w:rFonts w:ascii="Arial" w:hAnsi="Arial" w:cs="Arial"/>
                <w:color w:val="000000"/>
                <w:sz w:val="20"/>
                <w:szCs w:val="20"/>
                <w:lang w:val="en-GB"/>
              </w:rPr>
              <w:t>550</w:t>
            </w:r>
            <w:r w:rsidRPr="002D2F67">
              <w:rPr>
                <w:rFonts w:ascii="Arial" w:hAnsi="Arial" w:cs="Arial"/>
                <w:color w:val="000000"/>
                <w:sz w:val="20"/>
                <w:szCs w:val="20"/>
              </w:rPr>
              <w:t>)</w:t>
            </w:r>
          </w:p>
        </w:tc>
        <w:tc>
          <w:tcPr>
            <w:tcW w:w="1368" w:type="dxa"/>
            <w:shd w:val="clear" w:color="auto" w:fill="auto"/>
            <w:vAlign w:val="bottom"/>
          </w:tcPr>
          <w:p w14:paraId="2B4F3022" w14:textId="05758EBC" w:rsidR="00972AF0" w:rsidRPr="002D2F67" w:rsidRDefault="00C00516"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4</w:t>
            </w:r>
            <w:r w:rsidRPr="002D2F67">
              <w:rPr>
                <w:rFonts w:ascii="Arial" w:hAnsi="Arial" w:cs="Arial"/>
                <w:color w:val="000000"/>
                <w:sz w:val="20"/>
                <w:szCs w:val="20"/>
              </w:rPr>
              <w:t>,</w:t>
            </w:r>
            <w:r w:rsidR="00CD5714" w:rsidRPr="00CD5714">
              <w:rPr>
                <w:rFonts w:ascii="Arial" w:hAnsi="Arial" w:cs="Arial"/>
                <w:color w:val="000000"/>
                <w:sz w:val="20"/>
                <w:szCs w:val="20"/>
                <w:lang w:val="en-GB"/>
              </w:rPr>
              <w:t>416</w:t>
            </w:r>
            <w:r w:rsidRPr="002D2F67">
              <w:rPr>
                <w:rFonts w:ascii="Arial" w:hAnsi="Arial" w:cs="Arial"/>
                <w:color w:val="000000"/>
                <w:sz w:val="20"/>
                <w:szCs w:val="20"/>
              </w:rPr>
              <w:t>,</w:t>
            </w:r>
            <w:r w:rsidR="00CD5714" w:rsidRPr="00CD5714">
              <w:rPr>
                <w:rFonts w:ascii="Arial" w:hAnsi="Arial" w:cs="Arial"/>
                <w:color w:val="000000"/>
                <w:sz w:val="20"/>
                <w:szCs w:val="20"/>
                <w:lang w:val="en-GB"/>
              </w:rPr>
              <w:t>603</w:t>
            </w:r>
            <w:r w:rsidRPr="002D2F67">
              <w:rPr>
                <w:rFonts w:ascii="Arial" w:hAnsi="Arial" w:cs="Arial"/>
                <w:color w:val="000000"/>
                <w:sz w:val="20"/>
                <w:szCs w:val="20"/>
              </w:rPr>
              <w:t>)</w:t>
            </w:r>
          </w:p>
        </w:tc>
        <w:tc>
          <w:tcPr>
            <w:tcW w:w="1368" w:type="dxa"/>
            <w:shd w:val="clear" w:color="auto" w:fill="auto"/>
            <w:vAlign w:val="bottom"/>
          </w:tcPr>
          <w:p w14:paraId="17F64D70" w14:textId="7356F9C0" w:rsidR="00972AF0" w:rsidRPr="002D2F67" w:rsidRDefault="00972AF0" w:rsidP="005611FE">
            <w:pPr>
              <w:tabs>
                <w:tab w:val="left" w:pos="1168"/>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5</w:t>
            </w:r>
            <w:r w:rsidRPr="002D2F67">
              <w:rPr>
                <w:rFonts w:ascii="Arial" w:hAnsi="Arial" w:cs="Arial"/>
                <w:color w:val="000000"/>
                <w:sz w:val="20"/>
                <w:szCs w:val="20"/>
              </w:rPr>
              <w:t>,</w:t>
            </w:r>
            <w:r w:rsidR="00CD5714" w:rsidRPr="00CD5714">
              <w:rPr>
                <w:rFonts w:ascii="Arial" w:hAnsi="Arial" w:cs="Arial"/>
                <w:color w:val="000000"/>
                <w:sz w:val="20"/>
                <w:szCs w:val="20"/>
                <w:lang w:val="en-GB"/>
              </w:rPr>
              <w:t>874</w:t>
            </w:r>
            <w:r w:rsidRPr="002D2F67">
              <w:rPr>
                <w:rFonts w:ascii="Arial" w:hAnsi="Arial" w:cs="Arial"/>
                <w:color w:val="000000"/>
                <w:sz w:val="20"/>
                <w:szCs w:val="20"/>
              </w:rPr>
              <w:t>,</w:t>
            </w:r>
            <w:r w:rsidR="00CD5714" w:rsidRPr="00CD5714">
              <w:rPr>
                <w:rFonts w:ascii="Arial" w:hAnsi="Arial" w:cs="Arial"/>
                <w:color w:val="000000"/>
                <w:sz w:val="20"/>
                <w:szCs w:val="20"/>
                <w:lang w:val="en-GB"/>
              </w:rPr>
              <w:t>195</w:t>
            </w:r>
            <w:r w:rsidRPr="002D2F67">
              <w:rPr>
                <w:rFonts w:ascii="Arial" w:hAnsi="Arial" w:cs="Arial"/>
                <w:color w:val="000000"/>
                <w:sz w:val="20"/>
                <w:szCs w:val="20"/>
              </w:rPr>
              <w:t>)</w:t>
            </w:r>
          </w:p>
        </w:tc>
      </w:tr>
      <w:tr w:rsidR="00972AF0" w:rsidRPr="002D2F67" w14:paraId="22495ED2" w14:textId="77777777" w:rsidTr="002D2F67">
        <w:tc>
          <w:tcPr>
            <w:tcW w:w="3989" w:type="dxa"/>
            <w:shd w:val="clear" w:color="auto" w:fill="auto"/>
            <w:vAlign w:val="bottom"/>
          </w:tcPr>
          <w:p w14:paraId="7383A663" w14:textId="40302C89" w:rsidR="00972AF0" w:rsidRPr="002D2F67" w:rsidRDefault="00972AF0" w:rsidP="004F4DED">
            <w:pPr>
              <w:tabs>
                <w:tab w:val="left" w:pos="1134"/>
                <w:tab w:val="left" w:pos="1276"/>
                <w:tab w:val="center" w:pos="3402"/>
                <w:tab w:val="center" w:pos="4536"/>
                <w:tab w:val="center" w:pos="5670"/>
                <w:tab w:val="center" w:pos="6804"/>
                <w:tab w:val="right" w:pos="7655"/>
              </w:tabs>
              <w:ind w:left="431"/>
              <w:rPr>
                <w:rFonts w:ascii="Arial" w:hAnsi="Arial" w:cs="Arial"/>
                <w:color w:val="000000"/>
                <w:sz w:val="20"/>
                <w:szCs w:val="20"/>
              </w:rPr>
            </w:pPr>
            <w:r w:rsidRPr="002D2F67">
              <w:rPr>
                <w:rFonts w:ascii="Arial" w:hAnsi="Arial" w:cs="Arial"/>
                <w:color w:val="000000"/>
                <w:sz w:val="20"/>
                <w:szCs w:val="20"/>
              </w:rPr>
              <w:t xml:space="preserve">   Payment for deferred financing fee</w:t>
            </w:r>
            <w:r w:rsidRPr="002D2F67">
              <w:rPr>
                <w:rFonts w:ascii="Arial" w:hAnsi="Arial" w:cs="Arial"/>
                <w:color w:val="000000"/>
                <w:sz w:val="20"/>
                <w:szCs w:val="20"/>
              </w:rPr>
              <w:br/>
              <w:t xml:space="preserve">      during the year</w:t>
            </w:r>
          </w:p>
        </w:tc>
        <w:tc>
          <w:tcPr>
            <w:tcW w:w="1368" w:type="dxa"/>
            <w:shd w:val="clear" w:color="auto" w:fill="auto"/>
            <w:vAlign w:val="bottom"/>
          </w:tcPr>
          <w:p w14:paraId="1C932691" w14:textId="715590F6" w:rsidR="00972AF0" w:rsidRPr="002D2F67" w:rsidRDefault="00911D6E"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55</w:t>
            </w:r>
            <w:r w:rsidRPr="002D2F67">
              <w:rPr>
                <w:rFonts w:ascii="Arial" w:hAnsi="Arial" w:cs="Arial"/>
                <w:color w:val="000000"/>
                <w:sz w:val="20"/>
                <w:szCs w:val="20"/>
              </w:rPr>
              <w:t>,</w:t>
            </w:r>
            <w:r w:rsidR="00CD5714" w:rsidRPr="00CD5714">
              <w:rPr>
                <w:rFonts w:ascii="Arial" w:hAnsi="Arial" w:cs="Arial"/>
                <w:color w:val="000000"/>
                <w:sz w:val="20"/>
                <w:szCs w:val="20"/>
                <w:lang w:val="en-GB"/>
              </w:rPr>
              <w:t>476</w:t>
            </w:r>
            <w:r w:rsidRPr="002D2F67">
              <w:rPr>
                <w:rFonts w:ascii="Arial" w:hAnsi="Arial" w:cs="Arial"/>
                <w:color w:val="000000"/>
                <w:sz w:val="20"/>
                <w:szCs w:val="20"/>
              </w:rPr>
              <w:t>)</w:t>
            </w:r>
          </w:p>
        </w:tc>
        <w:tc>
          <w:tcPr>
            <w:tcW w:w="1368" w:type="dxa"/>
            <w:shd w:val="clear" w:color="auto" w:fill="auto"/>
            <w:vAlign w:val="bottom"/>
          </w:tcPr>
          <w:p w14:paraId="543B533B" w14:textId="3ABAF66A" w:rsidR="00972AF0" w:rsidRPr="002D2F67" w:rsidRDefault="00972AF0"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60</w:t>
            </w:r>
            <w:r w:rsidRPr="002D2F67">
              <w:rPr>
                <w:rFonts w:ascii="Arial" w:hAnsi="Arial" w:cs="Arial"/>
                <w:color w:val="000000"/>
                <w:sz w:val="20"/>
                <w:szCs w:val="20"/>
              </w:rPr>
              <w:t>,</w:t>
            </w:r>
            <w:r w:rsidR="00CD5714" w:rsidRPr="00CD5714">
              <w:rPr>
                <w:rFonts w:ascii="Arial" w:hAnsi="Arial" w:cs="Arial"/>
                <w:color w:val="000000"/>
                <w:sz w:val="20"/>
                <w:szCs w:val="20"/>
                <w:lang w:val="en-GB"/>
              </w:rPr>
              <w:t>383</w:t>
            </w:r>
            <w:r w:rsidRPr="002D2F67">
              <w:rPr>
                <w:rFonts w:ascii="Arial" w:hAnsi="Arial" w:cs="Arial"/>
                <w:color w:val="000000"/>
                <w:sz w:val="20"/>
                <w:szCs w:val="20"/>
              </w:rPr>
              <w:t>)</w:t>
            </w:r>
          </w:p>
        </w:tc>
        <w:tc>
          <w:tcPr>
            <w:tcW w:w="1368" w:type="dxa"/>
            <w:shd w:val="clear" w:color="auto" w:fill="auto"/>
            <w:vAlign w:val="bottom"/>
          </w:tcPr>
          <w:p w14:paraId="02F4CE03" w14:textId="70A232DC" w:rsidR="00972AF0" w:rsidRPr="002D2F67" w:rsidRDefault="00C00516"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32</w:t>
            </w:r>
            <w:r w:rsidRPr="002D2F67">
              <w:rPr>
                <w:rFonts w:ascii="Arial" w:hAnsi="Arial" w:cs="Arial"/>
                <w:color w:val="000000"/>
                <w:sz w:val="20"/>
                <w:szCs w:val="20"/>
              </w:rPr>
              <w:t>,</w:t>
            </w:r>
            <w:r w:rsidR="00CD5714" w:rsidRPr="00CD5714">
              <w:rPr>
                <w:rFonts w:ascii="Arial" w:hAnsi="Arial" w:cs="Arial"/>
                <w:color w:val="000000"/>
                <w:sz w:val="20"/>
                <w:szCs w:val="20"/>
                <w:lang w:val="en-GB"/>
              </w:rPr>
              <w:t>401</w:t>
            </w:r>
            <w:r w:rsidRPr="002D2F67">
              <w:rPr>
                <w:rFonts w:ascii="Arial" w:hAnsi="Arial" w:cs="Arial"/>
                <w:color w:val="000000"/>
                <w:sz w:val="20"/>
                <w:szCs w:val="20"/>
              </w:rPr>
              <w:t>)</w:t>
            </w:r>
          </w:p>
        </w:tc>
        <w:tc>
          <w:tcPr>
            <w:tcW w:w="1368" w:type="dxa"/>
            <w:shd w:val="clear" w:color="auto" w:fill="auto"/>
            <w:vAlign w:val="bottom"/>
          </w:tcPr>
          <w:p w14:paraId="048FF8D3" w14:textId="76992455" w:rsidR="00972AF0" w:rsidRPr="002D2F67" w:rsidRDefault="00972AF0" w:rsidP="005611FE">
            <w:pPr>
              <w:tabs>
                <w:tab w:val="left" w:pos="1168"/>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36</w:t>
            </w:r>
            <w:r w:rsidRPr="002D2F67">
              <w:rPr>
                <w:rFonts w:ascii="Arial" w:hAnsi="Arial" w:cs="Arial"/>
                <w:color w:val="000000"/>
                <w:sz w:val="20"/>
                <w:szCs w:val="20"/>
              </w:rPr>
              <w:t>,</w:t>
            </w:r>
            <w:r w:rsidR="00CD5714" w:rsidRPr="00CD5714">
              <w:rPr>
                <w:rFonts w:ascii="Arial" w:hAnsi="Arial" w:cs="Arial"/>
                <w:color w:val="000000"/>
                <w:sz w:val="20"/>
                <w:szCs w:val="20"/>
                <w:lang w:val="en-GB"/>
              </w:rPr>
              <w:t>360</w:t>
            </w:r>
            <w:r w:rsidRPr="002D2F67">
              <w:rPr>
                <w:rFonts w:ascii="Arial" w:hAnsi="Arial" w:cs="Arial"/>
                <w:color w:val="000000"/>
                <w:sz w:val="20"/>
                <w:szCs w:val="20"/>
              </w:rPr>
              <w:t>)</w:t>
            </w:r>
          </w:p>
        </w:tc>
      </w:tr>
      <w:tr w:rsidR="00972AF0" w:rsidRPr="002D2F67" w14:paraId="4D309515" w14:textId="77777777" w:rsidTr="002D2F67">
        <w:tc>
          <w:tcPr>
            <w:tcW w:w="3989" w:type="dxa"/>
            <w:shd w:val="clear" w:color="auto" w:fill="auto"/>
            <w:vAlign w:val="bottom"/>
          </w:tcPr>
          <w:p w14:paraId="73C7502E" w14:textId="26412833" w:rsidR="00972AF0" w:rsidRPr="002D2F67" w:rsidRDefault="00972AF0" w:rsidP="004F4DED">
            <w:pPr>
              <w:tabs>
                <w:tab w:val="left" w:pos="1134"/>
                <w:tab w:val="left" w:pos="1276"/>
                <w:tab w:val="center" w:pos="3402"/>
                <w:tab w:val="center" w:pos="4536"/>
                <w:tab w:val="center" w:pos="5670"/>
                <w:tab w:val="center" w:pos="6804"/>
                <w:tab w:val="right" w:pos="7655"/>
              </w:tabs>
              <w:ind w:left="431"/>
              <w:rPr>
                <w:rFonts w:ascii="Arial" w:hAnsi="Arial" w:cs="Arial"/>
                <w:color w:val="000000"/>
                <w:spacing w:val="-2"/>
                <w:sz w:val="20"/>
                <w:szCs w:val="20"/>
                <w:cs/>
              </w:rPr>
            </w:pPr>
            <w:r w:rsidRPr="002D2F67">
              <w:rPr>
                <w:rFonts w:ascii="Arial" w:hAnsi="Arial" w:cs="Arial"/>
                <w:color w:val="000000"/>
                <w:spacing w:val="-2"/>
                <w:sz w:val="20"/>
                <w:szCs w:val="20"/>
              </w:rPr>
              <w:t>Other non-cash movements:</w:t>
            </w:r>
          </w:p>
        </w:tc>
        <w:tc>
          <w:tcPr>
            <w:tcW w:w="1368" w:type="dxa"/>
            <w:shd w:val="clear" w:color="auto" w:fill="auto"/>
            <w:vAlign w:val="bottom"/>
          </w:tcPr>
          <w:p w14:paraId="405BE49E" w14:textId="77777777" w:rsidR="00972AF0" w:rsidRPr="002D2F67" w:rsidRDefault="00972AF0" w:rsidP="005611FE">
            <w:pPr>
              <w:tabs>
                <w:tab w:val="left" w:pos="1168"/>
                <w:tab w:val="left" w:pos="1276"/>
                <w:tab w:val="center" w:pos="3402"/>
                <w:tab w:val="center" w:pos="4536"/>
                <w:tab w:val="center" w:pos="5670"/>
                <w:tab w:val="center" w:pos="6804"/>
                <w:tab w:val="right" w:pos="7655"/>
              </w:tabs>
              <w:ind w:right="-72"/>
              <w:jc w:val="right"/>
              <w:rPr>
                <w:rFonts w:ascii="Arial" w:hAnsi="Arial" w:cs="Arial"/>
                <w:color w:val="000000"/>
                <w:spacing w:val="-2"/>
                <w:sz w:val="20"/>
                <w:szCs w:val="20"/>
              </w:rPr>
            </w:pPr>
          </w:p>
        </w:tc>
        <w:tc>
          <w:tcPr>
            <w:tcW w:w="1368" w:type="dxa"/>
            <w:shd w:val="clear" w:color="auto" w:fill="auto"/>
            <w:vAlign w:val="bottom"/>
          </w:tcPr>
          <w:p w14:paraId="205E52D9" w14:textId="77777777" w:rsidR="00972AF0" w:rsidRPr="002D2F67" w:rsidRDefault="00972AF0" w:rsidP="005611FE">
            <w:pPr>
              <w:tabs>
                <w:tab w:val="left" w:pos="1168"/>
                <w:tab w:val="left" w:pos="1276"/>
                <w:tab w:val="center" w:pos="3402"/>
                <w:tab w:val="center" w:pos="4536"/>
                <w:tab w:val="center" w:pos="5670"/>
                <w:tab w:val="center" w:pos="6804"/>
                <w:tab w:val="right" w:pos="7655"/>
              </w:tabs>
              <w:ind w:right="-72"/>
              <w:jc w:val="right"/>
              <w:rPr>
                <w:rFonts w:ascii="Arial" w:hAnsi="Arial" w:cs="Arial"/>
                <w:color w:val="000000"/>
                <w:spacing w:val="-2"/>
                <w:sz w:val="20"/>
                <w:szCs w:val="20"/>
              </w:rPr>
            </w:pPr>
          </w:p>
        </w:tc>
        <w:tc>
          <w:tcPr>
            <w:tcW w:w="1368" w:type="dxa"/>
            <w:shd w:val="clear" w:color="auto" w:fill="auto"/>
            <w:vAlign w:val="bottom"/>
          </w:tcPr>
          <w:p w14:paraId="5D9D1351" w14:textId="77777777" w:rsidR="00972AF0" w:rsidRPr="002D2F67" w:rsidRDefault="00972AF0" w:rsidP="005611FE">
            <w:pPr>
              <w:tabs>
                <w:tab w:val="left" w:pos="1168"/>
                <w:tab w:val="left" w:pos="1276"/>
                <w:tab w:val="center" w:pos="3402"/>
                <w:tab w:val="center" w:pos="4536"/>
                <w:tab w:val="center" w:pos="5670"/>
                <w:tab w:val="center" w:pos="6804"/>
                <w:tab w:val="right" w:pos="7655"/>
              </w:tabs>
              <w:ind w:right="-72"/>
              <w:jc w:val="right"/>
              <w:rPr>
                <w:rFonts w:ascii="Arial" w:hAnsi="Arial" w:cs="Arial"/>
                <w:color w:val="000000"/>
                <w:spacing w:val="-2"/>
                <w:sz w:val="20"/>
                <w:szCs w:val="20"/>
              </w:rPr>
            </w:pPr>
          </w:p>
        </w:tc>
        <w:tc>
          <w:tcPr>
            <w:tcW w:w="1368" w:type="dxa"/>
            <w:shd w:val="clear" w:color="auto" w:fill="auto"/>
            <w:vAlign w:val="bottom"/>
          </w:tcPr>
          <w:p w14:paraId="6DFAE503" w14:textId="77777777" w:rsidR="00972AF0" w:rsidRPr="002D2F67" w:rsidRDefault="00972AF0" w:rsidP="005611FE">
            <w:pPr>
              <w:tabs>
                <w:tab w:val="left" w:pos="1168"/>
                <w:tab w:val="left" w:pos="1276"/>
                <w:tab w:val="center" w:pos="3402"/>
                <w:tab w:val="center" w:pos="4536"/>
                <w:tab w:val="center" w:pos="5670"/>
                <w:tab w:val="center" w:pos="6804"/>
                <w:tab w:val="right" w:pos="7655"/>
              </w:tabs>
              <w:ind w:right="-72"/>
              <w:jc w:val="right"/>
              <w:rPr>
                <w:rFonts w:ascii="Arial" w:hAnsi="Arial" w:cs="Arial"/>
                <w:color w:val="000000"/>
                <w:spacing w:val="-2"/>
                <w:sz w:val="20"/>
                <w:szCs w:val="20"/>
              </w:rPr>
            </w:pPr>
          </w:p>
        </w:tc>
      </w:tr>
      <w:tr w:rsidR="00972AF0" w:rsidRPr="002D2F67" w14:paraId="57FEFD5F" w14:textId="77777777" w:rsidTr="002D2F67">
        <w:tc>
          <w:tcPr>
            <w:tcW w:w="3989" w:type="dxa"/>
            <w:shd w:val="clear" w:color="auto" w:fill="auto"/>
          </w:tcPr>
          <w:p w14:paraId="49CC8550" w14:textId="3EF78FB4" w:rsidR="00CE5FDB" w:rsidRPr="002D2F67" w:rsidRDefault="00972AF0" w:rsidP="004F4DED">
            <w:pPr>
              <w:ind w:left="431"/>
              <w:rPr>
                <w:rFonts w:ascii="Arial" w:hAnsi="Arial" w:cs="Arial"/>
                <w:color w:val="000000"/>
                <w:sz w:val="20"/>
                <w:szCs w:val="20"/>
              </w:rPr>
            </w:pPr>
            <w:r w:rsidRPr="002D2F67">
              <w:rPr>
                <w:rFonts w:ascii="Arial" w:hAnsi="Arial" w:cs="Arial"/>
                <w:color w:val="000000"/>
                <w:sz w:val="20"/>
                <w:szCs w:val="20"/>
                <w:cs/>
              </w:rPr>
              <w:t xml:space="preserve">   </w:t>
            </w:r>
            <w:r w:rsidR="0072429F" w:rsidRPr="002D2F67">
              <w:rPr>
                <w:rFonts w:ascii="Arial" w:hAnsi="Arial" w:cs="Arial"/>
                <w:color w:val="000000"/>
                <w:sz w:val="20"/>
                <w:szCs w:val="20"/>
              </w:rPr>
              <w:t>Amorti</w:t>
            </w:r>
            <w:r w:rsidR="00E758D8" w:rsidRPr="002D2F67">
              <w:rPr>
                <w:rFonts w:ascii="Arial" w:hAnsi="Arial" w:cs="Arial"/>
                <w:color w:val="000000"/>
                <w:sz w:val="20"/>
                <w:szCs w:val="20"/>
              </w:rPr>
              <w:t>s</w:t>
            </w:r>
            <w:r w:rsidR="0072429F" w:rsidRPr="002D2F67">
              <w:rPr>
                <w:rFonts w:ascii="Arial" w:hAnsi="Arial" w:cs="Arial"/>
                <w:color w:val="000000"/>
                <w:sz w:val="20"/>
                <w:szCs w:val="20"/>
              </w:rPr>
              <w:t xml:space="preserve">ation of deferred loan </w:t>
            </w:r>
          </w:p>
          <w:p w14:paraId="736FF2F4" w14:textId="6907EC44" w:rsidR="00972AF0" w:rsidRPr="002D2F67" w:rsidRDefault="00CE5FDB" w:rsidP="004F4DED">
            <w:pPr>
              <w:ind w:left="588"/>
              <w:rPr>
                <w:rFonts w:ascii="Arial" w:hAnsi="Arial" w:cs="Arial"/>
                <w:color w:val="000000"/>
                <w:sz w:val="20"/>
                <w:szCs w:val="20"/>
              </w:rPr>
            </w:pPr>
            <w:r w:rsidRPr="002D2F67">
              <w:rPr>
                <w:rFonts w:ascii="Arial" w:hAnsi="Arial" w:cs="Arial"/>
                <w:color w:val="000000"/>
                <w:sz w:val="20"/>
                <w:szCs w:val="20"/>
              </w:rPr>
              <w:t xml:space="preserve">   </w:t>
            </w:r>
            <w:r w:rsidR="0072429F" w:rsidRPr="002D2F67">
              <w:rPr>
                <w:rFonts w:ascii="Arial" w:hAnsi="Arial" w:cs="Arial"/>
                <w:color w:val="000000"/>
                <w:sz w:val="20"/>
                <w:szCs w:val="20"/>
              </w:rPr>
              <w:t>origination fees</w:t>
            </w:r>
          </w:p>
        </w:tc>
        <w:tc>
          <w:tcPr>
            <w:tcW w:w="1368" w:type="dxa"/>
            <w:shd w:val="clear" w:color="auto" w:fill="auto"/>
            <w:vAlign w:val="bottom"/>
          </w:tcPr>
          <w:p w14:paraId="28C86FE8" w14:textId="7AA30ABF" w:rsidR="00972AF0" w:rsidRPr="002D2F67" w:rsidRDefault="00CD5714" w:rsidP="005611FE">
            <w:pPr>
              <w:ind w:right="-72"/>
              <w:jc w:val="right"/>
              <w:rPr>
                <w:rFonts w:ascii="Arial" w:hAnsi="Arial" w:cs="Arial"/>
                <w:color w:val="000000"/>
                <w:sz w:val="20"/>
                <w:szCs w:val="20"/>
                <w:cs/>
              </w:rPr>
            </w:pPr>
            <w:r w:rsidRPr="00CD5714">
              <w:rPr>
                <w:rFonts w:ascii="Arial" w:hAnsi="Arial" w:cs="Arial"/>
                <w:color w:val="000000"/>
                <w:sz w:val="20"/>
                <w:szCs w:val="20"/>
                <w:lang w:val="en-GB"/>
              </w:rPr>
              <w:t>35</w:t>
            </w:r>
            <w:r w:rsidR="00911D6E" w:rsidRPr="002D2F67">
              <w:rPr>
                <w:rFonts w:ascii="Arial" w:hAnsi="Arial" w:cs="Arial"/>
                <w:color w:val="000000"/>
                <w:sz w:val="20"/>
                <w:szCs w:val="20"/>
              </w:rPr>
              <w:t>,</w:t>
            </w:r>
            <w:r w:rsidRPr="00CD5714">
              <w:rPr>
                <w:rFonts w:ascii="Arial" w:hAnsi="Arial" w:cs="Arial"/>
                <w:color w:val="000000"/>
                <w:sz w:val="20"/>
                <w:szCs w:val="20"/>
                <w:lang w:val="en-GB"/>
              </w:rPr>
              <w:t>317</w:t>
            </w:r>
          </w:p>
        </w:tc>
        <w:tc>
          <w:tcPr>
            <w:tcW w:w="1368" w:type="dxa"/>
            <w:shd w:val="clear" w:color="auto" w:fill="auto"/>
            <w:vAlign w:val="bottom"/>
          </w:tcPr>
          <w:p w14:paraId="2C79D519" w14:textId="5077DC12" w:rsidR="00972AF0" w:rsidRPr="002D2F67" w:rsidRDefault="00CD5714" w:rsidP="005611FE">
            <w:pPr>
              <w:ind w:right="-72"/>
              <w:jc w:val="right"/>
              <w:rPr>
                <w:rFonts w:ascii="Arial" w:hAnsi="Arial" w:cs="Arial"/>
                <w:color w:val="000000"/>
                <w:sz w:val="20"/>
                <w:szCs w:val="20"/>
                <w:cs/>
              </w:rPr>
            </w:pPr>
            <w:r w:rsidRPr="00CD5714">
              <w:rPr>
                <w:rFonts w:ascii="Arial" w:hAnsi="Arial" w:cs="Arial"/>
                <w:color w:val="000000"/>
                <w:sz w:val="20"/>
                <w:szCs w:val="20"/>
                <w:lang w:val="en-GB"/>
              </w:rPr>
              <w:t>52</w:t>
            </w:r>
            <w:r w:rsidR="00972AF0" w:rsidRPr="002D2F67">
              <w:rPr>
                <w:rFonts w:ascii="Arial" w:hAnsi="Arial" w:cs="Arial"/>
                <w:color w:val="000000"/>
                <w:sz w:val="20"/>
                <w:szCs w:val="20"/>
              </w:rPr>
              <w:t>,</w:t>
            </w:r>
            <w:r w:rsidRPr="00CD5714">
              <w:rPr>
                <w:rFonts w:ascii="Arial" w:hAnsi="Arial" w:cs="Arial"/>
                <w:color w:val="000000"/>
                <w:sz w:val="20"/>
                <w:szCs w:val="20"/>
                <w:lang w:val="en-GB"/>
              </w:rPr>
              <w:t>995</w:t>
            </w:r>
          </w:p>
        </w:tc>
        <w:tc>
          <w:tcPr>
            <w:tcW w:w="1368" w:type="dxa"/>
            <w:shd w:val="clear" w:color="auto" w:fill="auto"/>
            <w:vAlign w:val="bottom"/>
          </w:tcPr>
          <w:p w14:paraId="58F0F44D" w14:textId="10D9D2D7" w:rsidR="00972AF0" w:rsidRPr="002D2F67" w:rsidRDefault="00CD5714" w:rsidP="005611FE">
            <w:pPr>
              <w:ind w:right="-72"/>
              <w:jc w:val="right"/>
              <w:rPr>
                <w:rFonts w:ascii="Arial" w:hAnsi="Arial" w:cs="Arial"/>
                <w:color w:val="000000"/>
                <w:sz w:val="20"/>
                <w:szCs w:val="20"/>
                <w:cs/>
              </w:rPr>
            </w:pPr>
            <w:r w:rsidRPr="00CD5714">
              <w:rPr>
                <w:rFonts w:ascii="Arial" w:hAnsi="Arial" w:cs="Arial"/>
                <w:color w:val="000000"/>
                <w:sz w:val="20"/>
                <w:szCs w:val="20"/>
                <w:lang w:val="en-GB"/>
              </w:rPr>
              <w:t>19</w:t>
            </w:r>
            <w:r w:rsidR="00C00516" w:rsidRPr="002D2F67">
              <w:rPr>
                <w:rFonts w:ascii="Arial" w:hAnsi="Arial" w:cs="Arial"/>
                <w:color w:val="000000"/>
                <w:sz w:val="20"/>
                <w:szCs w:val="20"/>
              </w:rPr>
              <w:t>,</w:t>
            </w:r>
            <w:r w:rsidRPr="00CD5714">
              <w:rPr>
                <w:rFonts w:ascii="Arial" w:hAnsi="Arial" w:cs="Arial"/>
                <w:color w:val="000000"/>
                <w:sz w:val="20"/>
                <w:szCs w:val="20"/>
                <w:lang w:val="en-GB"/>
              </w:rPr>
              <w:t>174</w:t>
            </w:r>
          </w:p>
        </w:tc>
        <w:tc>
          <w:tcPr>
            <w:tcW w:w="1368" w:type="dxa"/>
            <w:shd w:val="clear" w:color="auto" w:fill="auto"/>
            <w:vAlign w:val="bottom"/>
          </w:tcPr>
          <w:p w14:paraId="2ED90E1B" w14:textId="60660FC7" w:rsidR="00972AF0"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33</w:t>
            </w:r>
            <w:r w:rsidR="00972AF0" w:rsidRPr="002D2F67">
              <w:rPr>
                <w:rFonts w:ascii="Arial" w:hAnsi="Arial" w:cs="Arial"/>
                <w:color w:val="000000"/>
                <w:sz w:val="20"/>
                <w:szCs w:val="20"/>
              </w:rPr>
              <w:t>,</w:t>
            </w:r>
            <w:r w:rsidRPr="00CD5714">
              <w:rPr>
                <w:rFonts w:ascii="Arial" w:hAnsi="Arial" w:cs="Arial"/>
                <w:color w:val="000000"/>
                <w:sz w:val="20"/>
                <w:szCs w:val="20"/>
                <w:lang w:val="en-GB"/>
              </w:rPr>
              <w:t>893</w:t>
            </w:r>
          </w:p>
        </w:tc>
      </w:tr>
      <w:tr w:rsidR="00972AF0" w:rsidRPr="002D2F67" w14:paraId="27E44886" w14:textId="77777777" w:rsidTr="002D2F67">
        <w:tc>
          <w:tcPr>
            <w:tcW w:w="3989" w:type="dxa"/>
            <w:shd w:val="clear" w:color="auto" w:fill="auto"/>
          </w:tcPr>
          <w:p w14:paraId="68348ABF" w14:textId="77777777" w:rsidR="00CE5FDB" w:rsidRPr="002D2F67" w:rsidRDefault="00972AF0" w:rsidP="004F4DED">
            <w:pPr>
              <w:ind w:left="435"/>
              <w:rPr>
                <w:rFonts w:ascii="Arial" w:hAnsi="Arial" w:cs="Arial"/>
                <w:color w:val="000000"/>
                <w:sz w:val="20"/>
                <w:szCs w:val="20"/>
              </w:rPr>
            </w:pPr>
            <w:r w:rsidRPr="002D2F67">
              <w:rPr>
                <w:rFonts w:ascii="Arial" w:eastAsia="MS Mincho" w:hAnsi="Arial" w:cs="Arial"/>
                <w:color w:val="000000"/>
                <w:sz w:val="20"/>
                <w:szCs w:val="20"/>
              </w:rPr>
              <w:t xml:space="preserve">   </w:t>
            </w:r>
            <w:r w:rsidRPr="002D2F67">
              <w:rPr>
                <w:rFonts w:ascii="Arial" w:hAnsi="Arial" w:cs="Arial"/>
                <w:color w:val="000000"/>
                <w:spacing w:val="-8"/>
                <w:sz w:val="20"/>
                <w:szCs w:val="20"/>
              </w:rPr>
              <w:t xml:space="preserve">Unrealised </w:t>
            </w:r>
            <w:r w:rsidR="00A81861" w:rsidRPr="002D2F67">
              <w:rPr>
                <w:rFonts w:ascii="Arial" w:hAnsi="Arial" w:cs="Arial"/>
                <w:color w:val="000000"/>
                <w:sz w:val="20"/>
                <w:szCs w:val="20"/>
              </w:rPr>
              <w:t>(gain)</w:t>
            </w:r>
            <w:r w:rsidRPr="002D2F67">
              <w:rPr>
                <w:rFonts w:ascii="Arial" w:hAnsi="Arial" w:cs="Arial"/>
                <w:color w:val="000000"/>
                <w:sz w:val="20"/>
                <w:szCs w:val="20"/>
              </w:rPr>
              <w:t xml:space="preserve"> </w:t>
            </w:r>
            <w:r w:rsidRPr="002D2F67">
              <w:rPr>
                <w:rFonts w:ascii="Arial" w:hAnsi="Arial" w:cs="Arial"/>
                <w:color w:val="000000"/>
                <w:spacing w:val="-8"/>
                <w:sz w:val="20"/>
                <w:szCs w:val="20"/>
              </w:rPr>
              <w:t xml:space="preserve">loss on </w:t>
            </w:r>
          </w:p>
          <w:p w14:paraId="2AF89B5A" w14:textId="3A9C0FA6" w:rsidR="00972AF0" w:rsidRPr="002D2F67" w:rsidRDefault="00CE5FDB" w:rsidP="004F4DED">
            <w:pPr>
              <w:ind w:left="615"/>
              <w:rPr>
                <w:rFonts w:ascii="Arial" w:hAnsi="Arial" w:cs="Arial"/>
                <w:color w:val="000000"/>
                <w:spacing w:val="-8"/>
                <w:sz w:val="20"/>
                <w:szCs w:val="20"/>
                <w:cs/>
              </w:rPr>
            </w:pPr>
            <w:r w:rsidRPr="002D2F67">
              <w:rPr>
                <w:rFonts w:ascii="Arial" w:hAnsi="Arial" w:cs="Arial"/>
                <w:color w:val="000000"/>
                <w:sz w:val="20"/>
                <w:szCs w:val="20"/>
              </w:rPr>
              <w:t xml:space="preserve">   </w:t>
            </w:r>
            <w:r w:rsidR="00972AF0" w:rsidRPr="002D2F67">
              <w:rPr>
                <w:rFonts w:ascii="Arial" w:hAnsi="Arial" w:cs="Arial"/>
                <w:color w:val="000000"/>
                <w:spacing w:val="-8"/>
                <w:sz w:val="20"/>
                <w:szCs w:val="20"/>
              </w:rPr>
              <w:t>exchange rate</w:t>
            </w:r>
          </w:p>
        </w:tc>
        <w:tc>
          <w:tcPr>
            <w:tcW w:w="1368" w:type="dxa"/>
            <w:shd w:val="clear" w:color="auto" w:fill="auto"/>
            <w:vAlign w:val="bottom"/>
          </w:tcPr>
          <w:p w14:paraId="1E6C94AE" w14:textId="4DCD7572" w:rsidR="00972AF0" w:rsidRPr="002D2F67" w:rsidRDefault="00911D6E"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255</w:t>
            </w:r>
            <w:r w:rsidRPr="002D2F67">
              <w:rPr>
                <w:rFonts w:ascii="Arial" w:hAnsi="Arial" w:cs="Arial"/>
                <w:color w:val="000000"/>
                <w:sz w:val="20"/>
                <w:szCs w:val="20"/>
              </w:rPr>
              <w:t>,</w:t>
            </w:r>
            <w:r w:rsidR="00CD5714" w:rsidRPr="00CD5714">
              <w:rPr>
                <w:rFonts w:ascii="Arial" w:hAnsi="Arial" w:cs="Arial"/>
                <w:color w:val="000000"/>
                <w:sz w:val="20"/>
                <w:szCs w:val="20"/>
                <w:lang w:val="en-GB"/>
              </w:rPr>
              <w:t>506</w:t>
            </w:r>
            <w:r w:rsidRPr="002D2F67">
              <w:rPr>
                <w:rFonts w:ascii="Arial" w:hAnsi="Arial" w:cs="Arial"/>
                <w:color w:val="000000"/>
                <w:sz w:val="20"/>
                <w:szCs w:val="20"/>
              </w:rPr>
              <w:t>)</w:t>
            </w:r>
          </w:p>
        </w:tc>
        <w:tc>
          <w:tcPr>
            <w:tcW w:w="1368" w:type="dxa"/>
            <w:shd w:val="clear" w:color="auto" w:fill="auto"/>
            <w:vAlign w:val="bottom"/>
          </w:tcPr>
          <w:p w14:paraId="4690878A" w14:textId="7927A801" w:rsidR="00972AF0"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13</w:t>
            </w:r>
            <w:r w:rsidR="00972AF0" w:rsidRPr="002D2F67">
              <w:rPr>
                <w:rFonts w:ascii="Arial" w:hAnsi="Arial" w:cs="Arial"/>
                <w:color w:val="000000"/>
                <w:sz w:val="20"/>
                <w:szCs w:val="20"/>
              </w:rPr>
              <w:t>,</w:t>
            </w:r>
            <w:r w:rsidRPr="00CD5714">
              <w:rPr>
                <w:rFonts w:ascii="Arial" w:hAnsi="Arial" w:cs="Arial"/>
                <w:color w:val="000000"/>
                <w:sz w:val="20"/>
                <w:szCs w:val="20"/>
                <w:lang w:val="en-GB"/>
              </w:rPr>
              <w:t>016</w:t>
            </w:r>
          </w:p>
        </w:tc>
        <w:tc>
          <w:tcPr>
            <w:tcW w:w="1368" w:type="dxa"/>
            <w:shd w:val="clear" w:color="auto" w:fill="auto"/>
            <w:vAlign w:val="bottom"/>
          </w:tcPr>
          <w:p w14:paraId="31AC990B" w14:textId="763A05E1" w:rsidR="00972AF0" w:rsidRPr="002D2F67" w:rsidRDefault="00C00516" w:rsidP="005611FE">
            <w:pPr>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235</w:t>
            </w:r>
            <w:r w:rsidRPr="002D2F67">
              <w:rPr>
                <w:rFonts w:ascii="Arial" w:hAnsi="Arial" w:cs="Arial"/>
                <w:color w:val="000000"/>
                <w:sz w:val="20"/>
                <w:szCs w:val="20"/>
              </w:rPr>
              <w:t>,</w:t>
            </w:r>
            <w:r w:rsidR="00CD5714" w:rsidRPr="00CD5714">
              <w:rPr>
                <w:rFonts w:ascii="Arial" w:hAnsi="Arial" w:cs="Arial"/>
                <w:color w:val="000000"/>
                <w:sz w:val="20"/>
                <w:szCs w:val="20"/>
                <w:lang w:val="en-GB"/>
              </w:rPr>
              <w:t>675</w:t>
            </w:r>
            <w:r w:rsidRPr="002D2F67">
              <w:rPr>
                <w:rFonts w:ascii="Arial" w:hAnsi="Arial" w:cs="Arial"/>
                <w:color w:val="000000"/>
                <w:sz w:val="20"/>
                <w:szCs w:val="20"/>
              </w:rPr>
              <w:t>)</w:t>
            </w:r>
          </w:p>
        </w:tc>
        <w:tc>
          <w:tcPr>
            <w:tcW w:w="1368" w:type="dxa"/>
            <w:shd w:val="clear" w:color="auto" w:fill="auto"/>
            <w:vAlign w:val="bottom"/>
          </w:tcPr>
          <w:p w14:paraId="457801A7" w14:textId="3A421DBC" w:rsidR="00972AF0"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13</w:t>
            </w:r>
            <w:r w:rsidR="00972AF0" w:rsidRPr="002D2F67">
              <w:rPr>
                <w:rFonts w:ascii="Arial" w:hAnsi="Arial" w:cs="Arial"/>
                <w:color w:val="000000"/>
                <w:sz w:val="20"/>
                <w:szCs w:val="20"/>
              </w:rPr>
              <w:t>,</w:t>
            </w:r>
            <w:r w:rsidRPr="00CD5714">
              <w:rPr>
                <w:rFonts w:ascii="Arial" w:hAnsi="Arial" w:cs="Arial"/>
                <w:color w:val="000000"/>
                <w:sz w:val="20"/>
                <w:szCs w:val="20"/>
                <w:lang w:val="en-GB"/>
              </w:rPr>
              <w:t>016</w:t>
            </w:r>
          </w:p>
        </w:tc>
      </w:tr>
      <w:tr w:rsidR="00972AF0" w:rsidRPr="002D2F67" w14:paraId="773E078E" w14:textId="77777777" w:rsidTr="002D2F67">
        <w:tc>
          <w:tcPr>
            <w:tcW w:w="3989" w:type="dxa"/>
            <w:shd w:val="clear" w:color="auto" w:fill="auto"/>
          </w:tcPr>
          <w:p w14:paraId="4ACF0EBA" w14:textId="57286FA2" w:rsidR="00972AF0" w:rsidRPr="002D2F67" w:rsidRDefault="00972AF0" w:rsidP="004F4DED">
            <w:pPr>
              <w:ind w:left="431"/>
              <w:rPr>
                <w:rFonts w:ascii="Arial" w:eastAsia="MS Mincho" w:hAnsi="Arial" w:cs="Arial"/>
                <w:color w:val="000000"/>
                <w:sz w:val="20"/>
                <w:szCs w:val="20"/>
              </w:rPr>
            </w:pPr>
            <w:r w:rsidRPr="002D2F67">
              <w:rPr>
                <w:rFonts w:ascii="Arial" w:eastAsia="MS Mincho" w:hAnsi="Arial" w:cs="Arial"/>
                <w:color w:val="000000"/>
                <w:sz w:val="20"/>
                <w:szCs w:val="20"/>
              </w:rPr>
              <w:t xml:space="preserve">   Reclassification</w:t>
            </w:r>
          </w:p>
        </w:tc>
        <w:tc>
          <w:tcPr>
            <w:tcW w:w="1368" w:type="dxa"/>
            <w:shd w:val="clear" w:color="auto" w:fill="auto"/>
            <w:vAlign w:val="bottom"/>
          </w:tcPr>
          <w:p w14:paraId="0474DA34" w14:textId="77BCF4DE" w:rsidR="00972AF0" w:rsidRPr="002D2F67" w:rsidRDefault="00911D6E" w:rsidP="005611FE">
            <w:pPr>
              <w:ind w:right="-72"/>
              <w:jc w:val="right"/>
              <w:rPr>
                <w:rFonts w:ascii="Arial" w:hAnsi="Arial" w:cs="Arial"/>
                <w:color w:val="000000"/>
                <w:sz w:val="20"/>
                <w:szCs w:val="20"/>
                <w:cs/>
              </w:rPr>
            </w:pPr>
            <w:r w:rsidRPr="002D2F67">
              <w:rPr>
                <w:rFonts w:ascii="Arial" w:hAnsi="Arial" w:cs="Arial"/>
                <w:color w:val="000000"/>
                <w:sz w:val="20"/>
                <w:szCs w:val="20"/>
              </w:rPr>
              <w:t>-</w:t>
            </w:r>
          </w:p>
        </w:tc>
        <w:tc>
          <w:tcPr>
            <w:tcW w:w="1368" w:type="dxa"/>
            <w:shd w:val="clear" w:color="auto" w:fill="auto"/>
            <w:vAlign w:val="bottom"/>
          </w:tcPr>
          <w:p w14:paraId="11E3AE32" w14:textId="2A67075C" w:rsidR="00972AF0" w:rsidRPr="002D2F67" w:rsidRDefault="00972AF0" w:rsidP="005611FE">
            <w:pPr>
              <w:ind w:right="-72"/>
              <w:jc w:val="right"/>
              <w:rPr>
                <w:rFonts w:ascii="Arial" w:hAnsi="Arial" w:cs="Arial"/>
                <w:color w:val="000000"/>
                <w:sz w:val="20"/>
                <w:szCs w:val="20"/>
              </w:rPr>
            </w:pPr>
            <w:r w:rsidRPr="002D2F67">
              <w:rPr>
                <w:rFonts w:ascii="Arial" w:hAnsi="Arial" w:cs="Arial"/>
                <w:color w:val="000000"/>
                <w:sz w:val="20"/>
                <w:szCs w:val="20"/>
                <w:cs/>
              </w:rPr>
              <w:t>(</w:t>
            </w:r>
            <w:r w:rsidR="00CD5714" w:rsidRPr="00CD5714">
              <w:rPr>
                <w:rFonts w:ascii="Arial" w:hAnsi="Arial" w:cs="Arial"/>
                <w:color w:val="000000"/>
                <w:sz w:val="20"/>
                <w:szCs w:val="20"/>
                <w:lang w:val="en-GB"/>
              </w:rPr>
              <w:t>11</w:t>
            </w:r>
            <w:r w:rsidRPr="002D2F67">
              <w:rPr>
                <w:rFonts w:ascii="Arial" w:hAnsi="Arial" w:cs="Arial"/>
                <w:color w:val="000000"/>
                <w:sz w:val="20"/>
                <w:szCs w:val="20"/>
              </w:rPr>
              <w:t>,</w:t>
            </w:r>
            <w:r w:rsidR="00CD5714" w:rsidRPr="00CD5714">
              <w:rPr>
                <w:rFonts w:ascii="Arial" w:hAnsi="Arial" w:cs="Arial"/>
                <w:color w:val="000000"/>
                <w:sz w:val="20"/>
                <w:szCs w:val="20"/>
                <w:lang w:val="en-GB"/>
              </w:rPr>
              <w:t>482</w:t>
            </w:r>
            <w:r w:rsidRPr="002D2F67">
              <w:rPr>
                <w:rFonts w:ascii="Arial" w:hAnsi="Arial" w:cs="Arial"/>
                <w:color w:val="000000"/>
                <w:sz w:val="20"/>
                <w:szCs w:val="20"/>
                <w:cs/>
              </w:rPr>
              <w:t>)</w:t>
            </w:r>
          </w:p>
        </w:tc>
        <w:tc>
          <w:tcPr>
            <w:tcW w:w="1368" w:type="dxa"/>
            <w:shd w:val="clear" w:color="auto" w:fill="auto"/>
            <w:vAlign w:val="bottom"/>
          </w:tcPr>
          <w:p w14:paraId="669E7B92" w14:textId="4A9A58EF" w:rsidR="00972AF0" w:rsidRPr="002D2F67" w:rsidRDefault="00C00516" w:rsidP="005611FE">
            <w:pPr>
              <w:ind w:right="-72"/>
              <w:jc w:val="right"/>
              <w:rPr>
                <w:rFonts w:ascii="Arial" w:hAnsi="Arial" w:cs="Arial"/>
                <w:color w:val="000000"/>
                <w:sz w:val="20"/>
                <w:szCs w:val="20"/>
                <w:cs/>
              </w:rPr>
            </w:pPr>
            <w:r w:rsidRPr="002D2F67">
              <w:rPr>
                <w:rFonts w:ascii="Arial" w:hAnsi="Arial" w:cs="Arial"/>
                <w:color w:val="000000"/>
                <w:sz w:val="20"/>
                <w:szCs w:val="20"/>
              </w:rPr>
              <w:t>-</w:t>
            </w:r>
          </w:p>
        </w:tc>
        <w:tc>
          <w:tcPr>
            <w:tcW w:w="1368" w:type="dxa"/>
            <w:shd w:val="clear" w:color="auto" w:fill="auto"/>
            <w:vAlign w:val="bottom"/>
          </w:tcPr>
          <w:p w14:paraId="68F76DD9" w14:textId="6BA26123" w:rsidR="00972AF0" w:rsidRPr="002D2F67" w:rsidRDefault="00972AF0" w:rsidP="005611FE">
            <w:pPr>
              <w:ind w:right="-72"/>
              <w:jc w:val="right"/>
              <w:rPr>
                <w:rFonts w:ascii="Arial" w:hAnsi="Arial" w:cs="Arial"/>
                <w:color w:val="000000"/>
                <w:sz w:val="20"/>
                <w:szCs w:val="20"/>
              </w:rPr>
            </w:pPr>
            <w:r w:rsidRPr="002D2F67">
              <w:rPr>
                <w:rFonts w:ascii="Arial" w:hAnsi="Arial" w:cs="Arial"/>
                <w:color w:val="000000"/>
                <w:sz w:val="20"/>
                <w:szCs w:val="20"/>
              </w:rPr>
              <w:t>-</w:t>
            </w:r>
          </w:p>
        </w:tc>
      </w:tr>
      <w:tr w:rsidR="00911D6E" w:rsidRPr="002D2F67" w14:paraId="4FE0F521" w14:textId="77777777" w:rsidTr="002D2F67">
        <w:tc>
          <w:tcPr>
            <w:tcW w:w="3989" w:type="dxa"/>
            <w:shd w:val="clear" w:color="auto" w:fill="auto"/>
          </w:tcPr>
          <w:p w14:paraId="4AA534B9" w14:textId="77777777" w:rsidR="00CE5FDB" w:rsidRPr="002D2F67" w:rsidRDefault="00C00516" w:rsidP="004F4DED">
            <w:pPr>
              <w:ind w:left="431"/>
              <w:rPr>
                <w:rFonts w:ascii="Arial" w:eastAsia="MS Mincho" w:hAnsi="Arial" w:cs="Arial"/>
                <w:color w:val="000000"/>
                <w:sz w:val="20"/>
                <w:szCs w:val="20"/>
              </w:rPr>
            </w:pPr>
            <w:r w:rsidRPr="002D2F67">
              <w:rPr>
                <w:rFonts w:ascii="Arial" w:eastAsia="MS Mincho" w:hAnsi="Arial" w:cs="Arial"/>
                <w:color w:val="000000"/>
                <w:sz w:val="20"/>
                <w:szCs w:val="20"/>
                <w:cs/>
              </w:rPr>
              <w:t xml:space="preserve">     </w:t>
            </w:r>
            <w:r w:rsidRPr="002D2F67">
              <w:rPr>
                <w:rFonts w:ascii="Arial" w:eastAsia="MS Mincho" w:hAnsi="Arial" w:cs="Arial"/>
                <w:color w:val="000000"/>
                <w:sz w:val="20"/>
                <w:szCs w:val="20"/>
              </w:rPr>
              <w:t xml:space="preserve">Amendment of loan agreement </w:t>
            </w:r>
          </w:p>
          <w:p w14:paraId="3D9B5FA4" w14:textId="4E503A32" w:rsidR="00911D6E" w:rsidRPr="002D2F67" w:rsidRDefault="004F4DED" w:rsidP="004F4DED">
            <w:pPr>
              <w:ind w:left="615"/>
              <w:rPr>
                <w:rFonts w:ascii="Arial" w:eastAsia="MS Mincho" w:hAnsi="Arial" w:cs="Arial"/>
                <w:color w:val="000000"/>
                <w:sz w:val="18"/>
                <w:szCs w:val="18"/>
                <w:vertAlign w:val="superscript"/>
              </w:rPr>
            </w:pPr>
            <w:r w:rsidRPr="002D2F67">
              <w:rPr>
                <w:rFonts w:ascii="Arial" w:eastAsia="MS Mincho" w:hAnsi="Arial" w:cs="Arial"/>
                <w:color w:val="000000"/>
                <w:sz w:val="20"/>
                <w:szCs w:val="20"/>
              </w:rPr>
              <w:t xml:space="preserve">  </w:t>
            </w:r>
            <w:r w:rsidR="00CE5FDB" w:rsidRPr="002D2F67">
              <w:rPr>
                <w:rFonts w:ascii="Arial" w:eastAsia="MS Mincho" w:hAnsi="Arial" w:cs="Arial"/>
                <w:color w:val="000000"/>
                <w:sz w:val="20"/>
                <w:szCs w:val="20"/>
              </w:rPr>
              <w:t xml:space="preserve"> </w:t>
            </w:r>
            <w:r w:rsidR="00C00516" w:rsidRPr="002D2F67">
              <w:rPr>
                <w:rFonts w:ascii="Arial" w:eastAsia="MS Mincho" w:hAnsi="Arial" w:cs="Arial"/>
                <w:color w:val="000000"/>
                <w:sz w:val="20"/>
                <w:szCs w:val="20"/>
              </w:rPr>
              <w:t>(</w:t>
            </w:r>
            <w:r w:rsidR="0072429F" w:rsidRPr="002D2F67">
              <w:rPr>
                <w:rFonts w:ascii="Arial" w:eastAsia="MS Mincho" w:hAnsi="Arial" w:cs="Arial"/>
                <w:color w:val="000000"/>
                <w:sz w:val="20"/>
                <w:szCs w:val="20"/>
              </w:rPr>
              <w:t xml:space="preserve">Note </w:t>
            </w:r>
            <w:r w:rsidR="00CD5714" w:rsidRPr="00CD5714">
              <w:rPr>
                <w:rFonts w:ascii="Arial" w:eastAsia="MS Mincho" w:hAnsi="Arial" w:cs="Arial"/>
                <w:color w:val="000000"/>
                <w:sz w:val="20"/>
                <w:szCs w:val="20"/>
                <w:lang w:val="en-GB"/>
              </w:rPr>
              <w:t>27</w:t>
            </w:r>
            <w:r w:rsidR="00C00516" w:rsidRPr="002D2F67">
              <w:rPr>
                <w:rFonts w:ascii="Arial" w:eastAsia="MS Mincho" w:hAnsi="Arial" w:cs="Arial"/>
                <w:color w:val="000000"/>
                <w:sz w:val="20"/>
                <w:szCs w:val="20"/>
              </w:rPr>
              <w:t>)</w:t>
            </w:r>
          </w:p>
        </w:tc>
        <w:tc>
          <w:tcPr>
            <w:tcW w:w="1368" w:type="dxa"/>
            <w:shd w:val="clear" w:color="auto" w:fill="auto"/>
            <w:vAlign w:val="bottom"/>
          </w:tcPr>
          <w:p w14:paraId="0CB0FE6F" w14:textId="0E4B739B" w:rsidR="00911D6E"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8</w:t>
            </w:r>
            <w:r w:rsidR="00911D6E" w:rsidRPr="002D2F67">
              <w:rPr>
                <w:rFonts w:ascii="Arial" w:hAnsi="Arial" w:cs="Arial"/>
                <w:color w:val="000000"/>
                <w:sz w:val="20"/>
                <w:szCs w:val="20"/>
              </w:rPr>
              <w:t>,</w:t>
            </w:r>
            <w:r w:rsidRPr="00CD5714">
              <w:rPr>
                <w:rFonts w:ascii="Arial" w:hAnsi="Arial" w:cs="Arial"/>
                <w:color w:val="000000"/>
                <w:sz w:val="20"/>
                <w:szCs w:val="20"/>
                <w:lang w:val="en-GB"/>
              </w:rPr>
              <w:t>460</w:t>
            </w:r>
            <w:r w:rsidR="00911D6E" w:rsidRPr="002D2F67">
              <w:rPr>
                <w:rFonts w:ascii="Arial" w:hAnsi="Arial" w:cs="Arial"/>
                <w:color w:val="000000"/>
                <w:sz w:val="20"/>
                <w:szCs w:val="20"/>
              </w:rPr>
              <w:t>,</w:t>
            </w:r>
            <w:r w:rsidRPr="00CD5714">
              <w:rPr>
                <w:rFonts w:ascii="Arial" w:hAnsi="Arial" w:cs="Arial"/>
                <w:color w:val="000000"/>
                <w:sz w:val="20"/>
                <w:szCs w:val="20"/>
                <w:lang w:val="en-GB"/>
              </w:rPr>
              <w:t>197</w:t>
            </w:r>
          </w:p>
        </w:tc>
        <w:tc>
          <w:tcPr>
            <w:tcW w:w="1368" w:type="dxa"/>
            <w:shd w:val="clear" w:color="auto" w:fill="auto"/>
            <w:vAlign w:val="bottom"/>
          </w:tcPr>
          <w:p w14:paraId="7D1D925B" w14:textId="6A7511CE" w:rsidR="00911D6E" w:rsidRPr="002D2F67" w:rsidRDefault="00911D6E" w:rsidP="005611FE">
            <w:pPr>
              <w:ind w:right="-72"/>
              <w:jc w:val="right"/>
              <w:rPr>
                <w:rFonts w:ascii="Arial" w:hAnsi="Arial" w:cs="Arial"/>
                <w:color w:val="000000"/>
                <w:sz w:val="20"/>
                <w:szCs w:val="20"/>
                <w:cs/>
              </w:rPr>
            </w:pPr>
            <w:r w:rsidRPr="002D2F67">
              <w:rPr>
                <w:rFonts w:ascii="Arial" w:hAnsi="Arial" w:cs="Arial"/>
                <w:color w:val="000000"/>
                <w:sz w:val="20"/>
                <w:szCs w:val="20"/>
              </w:rPr>
              <w:t>-</w:t>
            </w:r>
          </w:p>
        </w:tc>
        <w:tc>
          <w:tcPr>
            <w:tcW w:w="1368" w:type="dxa"/>
            <w:shd w:val="clear" w:color="auto" w:fill="auto"/>
            <w:vAlign w:val="bottom"/>
          </w:tcPr>
          <w:p w14:paraId="7284A970" w14:textId="3DE62AA2" w:rsidR="00911D6E" w:rsidRPr="002D2F67" w:rsidRDefault="00CD5714" w:rsidP="005611FE">
            <w:pPr>
              <w:ind w:right="-72"/>
              <w:jc w:val="right"/>
              <w:rPr>
                <w:rFonts w:ascii="Arial" w:hAnsi="Arial" w:cs="Arial"/>
                <w:color w:val="000000"/>
                <w:sz w:val="20"/>
                <w:szCs w:val="20"/>
                <w:cs/>
              </w:rPr>
            </w:pPr>
            <w:r w:rsidRPr="00CD5714">
              <w:rPr>
                <w:rFonts w:ascii="Arial" w:hAnsi="Arial" w:cs="Arial"/>
                <w:color w:val="000000"/>
                <w:sz w:val="20"/>
                <w:szCs w:val="20"/>
                <w:lang w:val="en-GB"/>
              </w:rPr>
              <w:t>805</w:t>
            </w:r>
            <w:r w:rsidR="00C00516" w:rsidRPr="002D2F67">
              <w:rPr>
                <w:rFonts w:ascii="Arial" w:hAnsi="Arial" w:cs="Arial"/>
                <w:color w:val="000000"/>
                <w:sz w:val="20"/>
                <w:szCs w:val="20"/>
              </w:rPr>
              <w:t>,</w:t>
            </w:r>
            <w:r w:rsidRPr="00CD5714">
              <w:rPr>
                <w:rFonts w:ascii="Arial" w:hAnsi="Arial" w:cs="Arial"/>
                <w:color w:val="000000"/>
                <w:sz w:val="20"/>
                <w:szCs w:val="20"/>
                <w:lang w:val="en-GB"/>
              </w:rPr>
              <w:t>000</w:t>
            </w:r>
          </w:p>
        </w:tc>
        <w:tc>
          <w:tcPr>
            <w:tcW w:w="1368" w:type="dxa"/>
            <w:shd w:val="clear" w:color="auto" w:fill="auto"/>
            <w:vAlign w:val="bottom"/>
          </w:tcPr>
          <w:p w14:paraId="66651B9B" w14:textId="2AD863A0" w:rsidR="00911D6E" w:rsidRPr="002D2F67" w:rsidRDefault="00911D6E" w:rsidP="005611FE">
            <w:pPr>
              <w:ind w:right="-72"/>
              <w:jc w:val="right"/>
              <w:rPr>
                <w:rFonts w:ascii="Arial" w:hAnsi="Arial" w:cs="Arial"/>
                <w:color w:val="000000"/>
                <w:sz w:val="20"/>
                <w:szCs w:val="20"/>
              </w:rPr>
            </w:pPr>
            <w:r w:rsidRPr="002D2F67">
              <w:rPr>
                <w:rFonts w:ascii="Arial" w:hAnsi="Arial" w:cs="Arial"/>
                <w:color w:val="000000"/>
                <w:sz w:val="20"/>
                <w:szCs w:val="20"/>
              </w:rPr>
              <w:t>-</w:t>
            </w:r>
          </w:p>
        </w:tc>
      </w:tr>
      <w:tr w:rsidR="00911D6E" w:rsidRPr="002D2F67" w14:paraId="51C955FD" w14:textId="77777777" w:rsidTr="002D2F67">
        <w:tc>
          <w:tcPr>
            <w:tcW w:w="3989" w:type="dxa"/>
            <w:shd w:val="clear" w:color="auto" w:fill="auto"/>
          </w:tcPr>
          <w:p w14:paraId="376BA4A2" w14:textId="3A50CDB9" w:rsidR="00CE5FDB" w:rsidRPr="002D2F67" w:rsidRDefault="00C00516" w:rsidP="004F4DED">
            <w:pPr>
              <w:ind w:left="431"/>
              <w:rPr>
                <w:rFonts w:ascii="Arial" w:eastAsia="MS Mincho" w:hAnsi="Arial" w:cs="Arial"/>
                <w:color w:val="000000"/>
                <w:sz w:val="20"/>
                <w:szCs w:val="20"/>
              </w:rPr>
            </w:pPr>
            <w:r w:rsidRPr="002D2F67">
              <w:rPr>
                <w:rFonts w:ascii="Arial" w:eastAsia="MS Mincho" w:hAnsi="Arial" w:cs="Arial"/>
                <w:color w:val="000000"/>
                <w:sz w:val="20"/>
                <w:szCs w:val="20"/>
              </w:rPr>
              <w:t xml:space="preserve">   Decrease</w:t>
            </w:r>
            <w:r w:rsidR="00E758D8" w:rsidRPr="002D2F67">
              <w:rPr>
                <w:rFonts w:ascii="Arial" w:eastAsia="MS Mincho" w:hAnsi="Arial" w:cs="Arial"/>
                <w:color w:val="000000"/>
                <w:sz w:val="20"/>
                <w:szCs w:val="20"/>
              </w:rPr>
              <w:t>d</w:t>
            </w:r>
            <w:r w:rsidRPr="002D2F67">
              <w:rPr>
                <w:rFonts w:ascii="Arial" w:eastAsia="MS Mincho" w:hAnsi="Arial" w:cs="Arial"/>
                <w:color w:val="000000"/>
                <w:sz w:val="20"/>
                <w:szCs w:val="20"/>
              </w:rPr>
              <w:t xml:space="preserve"> from the disposal of</w:t>
            </w:r>
          </w:p>
          <w:p w14:paraId="5F8A3C06" w14:textId="0839814C" w:rsidR="00911D6E" w:rsidRPr="002D2F67" w:rsidRDefault="004F4DED" w:rsidP="004F4DED">
            <w:pPr>
              <w:ind w:left="615"/>
              <w:rPr>
                <w:rFonts w:ascii="Arial" w:eastAsia="MS Mincho" w:hAnsi="Arial" w:cs="Arial"/>
                <w:color w:val="000000"/>
                <w:sz w:val="20"/>
                <w:szCs w:val="20"/>
                <w:cs/>
              </w:rPr>
            </w:pPr>
            <w:r w:rsidRPr="002D2F67">
              <w:rPr>
                <w:rFonts w:ascii="Arial" w:eastAsia="MS Mincho" w:hAnsi="Arial" w:cs="Arial"/>
                <w:color w:val="000000"/>
                <w:sz w:val="20"/>
                <w:szCs w:val="20"/>
              </w:rPr>
              <w:t xml:space="preserve">   </w:t>
            </w:r>
            <w:r w:rsidR="00C00516" w:rsidRPr="002D2F67">
              <w:rPr>
                <w:rFonts w:ascii="Arial" w:eastAsia="MS Mincho" w:hAnsi="Arial" w:cs="Arial"/>
                <w:color w:val="000000"/>
                <w:sz w:val="20"/>
                <w:szCs w:val="20"/>
              </w:rPr>
              <w:t xml:space="preserve">business (Note </w:t>
            </w:r>
            <w:r w:rsidR="00CD5714" w:rsidRPr="00CD5714">
              <w:rPr>
                <w:rFonts w:ascii="Arial" w:eastAsia="MS Mincho" w:hAnsi="Arial" w:cs="Arial"/>
                <w:color w:val="000000"/>
                <w:sz w:val="20"/>
                <w:szCs w:val="20"/>
                <w:lang w:val="en-GB"/>
              </w:rPr>
              <w:t>19</w:t>
            </w:r>
            <w:r w:rsidR="00C00516" w:rsidRPr="002D2F67">
              <w:rPr>
                <w:rFonts w:ascii="Arial" w:eastAsia="MS Mincho" w:hAnsi="Arial" w:cs="Arial"/>
                <w:color w:val="000000"/>
                <w:sz w:val="20"/>
                <w:szCs w:val="20"/>
              </w:rPr>
              <w:t>.</w:t>
            </w:r>
            <w:r w:rsidR="00CD5714" w:rsidRPr="00CD5714">
              <w:rPr>
                <w:rFonts w:ascii="Arial" w:eastAsia="MS Mincho" w:hAnsi="Arial" w:cs="Arial"/>
                <w:color w:val="000000"/>
                <w:sz w:val="20"/>
                <w:szCs w:val="20"/>
                <w:lang w:val="en-GB"/>
              </w:rPr>
              <w:t>1</w:t>
            </w:r>
            <w:r w:rsidR="00C00516" w:rsidRPr="002D2F67">
              <w:rPr>
                <w:rFonts w:ascii="Arial" w:eastAsia="MS Mincho" w:hAnsi="Arial" w:cs="Arial"/>
                <w:color w:val="000000"/>
                <w:sz w:val="20"/>
                <w:szCs w:val="20"/>
              </w:rPr>
              <w:t>)</w:t>
            </w:r>
          </w:p>
        </w:tc>
        <w:tc>
          <w:tcPr>
            <w:tcW w:w="1368" w:type="dxa"/>
            <w:shd w:val="clear" w:color="auto" w:fill="auto"/>
            <w:vAlign w:val="bottom"/>
          </w:tcPr>
          <w:p w14:paraId="552DA711" w14:textId="5596038F" w:rsidR="00911D6E" w:rsidRPr="002D2F67" w:rsidRDefault="00911D6E"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81</w:t>
            </w:r>
            <w:r w:rsidRPr="002D2F67">
              <w:rPr>
                <w:rFonts w:ascii="Arial" w:hAnsi="Arial" w:cs="Arial"/>
                <w:color w:val="000000"/>
                <w:sz w:val="20"/>
                <w:szCs w:val="20"/>
              </w:rPr>
              <w:t>,</w:t>
            </w:r>
            <w:r w:rsidR="00CD5714" w:rsidRPr="00CD5714">
              <w:rPr>
                <w:rFonts w:ascii="Arial" w:hAnsi="Arial" w:cs="Arial"/>
                <w:color w:val="000000"/>
                <w:sz w:val="20"/>
                <w:szCs w:val="20"/>
                <w:lang w:val="en-GB"/>
              </w:rPr>
              <w:t>616</w:t>
            </w:r>
            <w:r w:rsidRPr="002D2F67">
              <w:rPr>
                <w:rFonts w:ascii="Arial" w:hAnsi="Arial" w:cs="Arial"/>
                <w:color w:val="000000"/>
                <w:sz w:val="20"/>
                <w:szCs w:val="20"/>
              </w:rPr>
              <w:t>)</w:t>
            </w:r>
          </w:p>
        </w:tc>
        <w:tc>
          <w:tcPr>
            <w:tcW w:w="1368" w:type="dxa"/>
            <w:shd w:val="clear" w:color="auto" w:fill="auto"/>
            <w:vAlign w:val="bottom"/>
          </w:tcPr>
          <w:p w14:paraId="536F1ECD" w14:textId="2838EC92" w:rsidR="00911D6E" w:rsidRPr="002D2F67" w:rsidRDefault="00911D6E" w:rsidP="005611FE">
            <w:pPr>
              <w:ind w:right="-72"/>
              <w:jc w:val="right"/>
              <w:rPr>
                <w:rFonts w:ascii="Arial" w:hAnsi="Arial" w:cs="Arial"/>
                <w:color w:val="000000"/>
                <w:sz w:val="20"/>
                <w:szCs w:val="20"/>
                <w:cs/>
              </w:rPr>
            </w:pPr>
            <w:r w:rsidRPr="002D2F67">
              <w:rPr>
                <w:rFonts w:ascii="Arial" w:hAnsi="Arial" w:cs="Arial"/>
                <w:color w:val="000000"/>
                <w:sz w:val="20"/>
                <w:szCs w:val="20"/>
              </w:rPr>
              <w:t>-</w:t>
            </w:r>
          </w:p>
        </w:tc>
        <w:tc>
          <w:tcPr>
            <w:tcW w:w="1368" w:type="dxa"/>
            <w:shd w:val="clear" w:color="auto" w:fill="auto"/>
            <w:vAlign w:val="bottom"/>
          </w:tcPr>
          <w:p w14:paraId="68FD8054" w14:textId="5FCA973B" w:rsidR="00911D6E" w:rsidRPr="002D2F67" w:rsidRDefault="00C00516" w:rsidP="005611FE">
            <w:pPr>
              <w:ind w:right="-72"/>
              <w:jc w:val="right"/>
              <w:rPr>
                <w:rFonts w:ascii="Arial" w:hAnsi="Arial" w:cs="Arial"/>
                <w:color w:val="000000"/>
                <w:sz w:val="20"/>
                <w:szCs w:val="20"/>
                <w:cs/>
              </w:rPr>
            </w:pPr>
            <w:r w:rsidRPr="002D2F67">
              <w:rPr>
                <w:rFonts w:ascii="Arial" w:hAnsi="Arial" w:cs="Arial"/>
                <w:color w:val="000000"/>
                <w:sz w:val="20"/>
                <w:szCs w:val="20"/>
              </w:rPr>
              <w:t>-</w:t>
            </w:r>
          </w:p>
        </w:tc>
        <w:tc>
          <w:tcPr>
            <w:tcW w:w="1368" w:type="dxa"/>
            <w:shd w:val="clear" w:color="auto" w:fill="auto"/>
            <w:vAlign w:val="bottom"/>
          </w:tcPr>
          <w:p w14:paraId="6030F8E5" w14:textId="4A72A8A6" w:rsidR="00911D6E" w:rsidRPr="002D2F67" w:rsidRDefault="00911D6E" w:rsidP="005611FE">
            <w:pPr>
              <w:ind w:right="-72"/>
              <w:jc w:val="right"/>
              <w:rPr>
                <w:rFonts w:ascii="Arial" w:hAnsi="Arial" w:cs="Arial"/>
                <w:color w:val="000000"/>
                <w:sz w:val="20"/>
                <w:szCs w:val="20"/>
                <w:cs/>
              </w:rPr>
            </w:pPr>
            <w:r w:rsidRPr="002D2F67">
              <w:rPr>
                <w:rFonts w:ascii="Arial" w:hAnsi="Arial" w:cs="Arial"/>
                <w:color w:val="000000"/>
                <w:sz w:val="20"/>
                <w:szCs w:val="20"/>
              </w:rPr>
              <w:t>-</w:t>
            </w:r>
          </w:p>
        </w:tc>
      </w:tr>
      <w:tr w:rsidR="00972AF0" w:rsidRPr="002D2F67" w14:paraId="37ADEC6E" w14:textId="77777777" w:rsidTr="002D2F67">
        <w:tc>
          <w:tcPr>
            <w:tcW w:w="3989" w:type="dxa"/>
            <w:shd w:val="clear" w:color="auto" w:fill="auto"/>
          </w:tcPr>
          <w:p w14:paraId="2639DBED" w14:textId="4A92026B" w:rsidR="00972AF0" w:rsidRPr="002D2F67" w:rsidRDefault="00972AF0" w:rsidP="004F4DED">
            <w:pPr>
              <w:ind w:left="431"/>
              <w:rPr>
                <w:rFonts w:ascii="Arial" w:hAnsi="Arial" w:cs="Arial"/>
                <w:color w:val="000000"/>
                <w:sz w:val="20"/>
                <w:szCs w:val="20"/>
              </w:rPr>
            </w:pPr>
            <w:r w:rsidRPr="002D2F67">
              <w:rPr>
                <w:rFonts w:ascii="Arial" w:hAnsi="Arial" w:cs="Arial"/>
                <w:color w:val="000000"/>
                <w:sz w:val="20"/>
                <w:szCs w:val="20"/>
              </w:rPr>
              <w:t xml:space="preserve">   Currency translation differences</w:t>
            </w:r>
          </w:p>
        </w:tc>
        <w:tc>
          <w:tcPr>
            <w:tcW w:w="1368" w:type="dxa"/>
            <w:tcBorders>
              <w:bottom w:val="single" w:sz="4" w:space="0" w:color="auto"/>
            </w:tcBorders>
            <w:shd w:val="clear" w:color="auto" w:fill="auto"/>
            <w:vAlign w:val="bottom"/>
          </w:tcPr>
          <w:p w14:paraId="14B6DFE7" w14:textId="2DE5C9F1" w:rsidR="00972AF0" w:rsidRPr="002D2F67" w:rsidRDefault="00BD11F8"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w:t>
            </w:r>
            <w:r w:rsidRPr="002D2F67">
              <w:rPr>
                <w:rFonts w:ascii="Arial" w:hAnsi="Arial" w:cs="Arial"/>
                <w:color w:val="000000"/>
                <w:sz w:val="20"/>
                <w:szCs w:val="20"/>
              </w:rPr>
              <w:t>,</w:t>
            </w:r>
            <w:r w:rsidR="00CD5714" w:rsidRPr="00CD5714">
              <w:rPr>
                <w:rFonts w:ascii="Arial" w:hAnsi="Arial" w:cs="Arial"/>
                <w:color w:val="000000"/>
                <w:sz w:val="20"/>
                <w:szCs w:val="20"/>
                <w:lang w:val="en-GB"/>
              </w:rPr>
              <w:t>419</w:t>
            </w:r>
            <w:r w:rsidRPr="002D2F67">
              <w:rPr>
                <w:rFonts w:ascii="Arial" w:hAnsi="Arial" w:cs="Arial"/>
                <w:color w:val="000000"/>
                <w:sz w:val="20"/>
                <w:szCs w:val="20"/>
              </w:rPr>
              <w:t>)</w:t>
            </w:r>
          </w:p>
        </w:tc>
        <w:tc>
          <w:tcPr>
            <w:tcW w:w="1368" w:type="dxa"/>
            <w:tcBorders>
              <w:bottom w:val="single" w:sz="4" w:space="0" w:color="auto"/>
            </w:tcBorders>
            <w:shd w:val="clear" w:color="auto" w:fill="auto"/>
            <w:vAlign w:val="bottom"/>
          </w:tcPr>
          <w:p w14:paraId="46B85B5D" w14:textId="76A2B199" w:rsidR="00972AF0" w:rsidRPr="002D2F67" w:rsidRDefault="00972AF0"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606</w:t>
            </w:r>
            <w:r w:rsidRPr="002D2F67">
              <w:rPr>
                <w:rFonts w:ascii="Arial" w:hAnsi="Arial" w:cs="Arial"/>
                <w:color w:val="000000"/>
                <w:sz w:val="20"/>
                <w:szCs w:val="20"/>
              </w:rPr>
              <w:t>)</w:t>
            </w:r>
          </w:p>
        </w:tc>
        <w:tc>
          <w:tcPr>
            <w:tcW w:w="1368" w:type="dxa"/>
            <w:tcBorders>
              <w:bottom w:val="single" w:sz="4" w:space="0" w:color="auto"/>
            </w:tcBorders>
            <w:shd w:val="clear" w:color="auto" w:fill="auto"/>
            <w:vAlign w:val="bottom"/>
          </w:tcPr>
          <w:p w14:paraId="2995CC56" w14:textId="7A189E1A" w:rsidR="00972AF0" w:rsidRPr="002D2F67" w:rsidRDefault="00C00516"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368" w:type="dxa"/>
            <w:tcBorders>
              <w:bottom w:val="single" w:sz="4" w:space="0" w:color="auto"/>
            </w:tcBorders>
            <w:shd w:val="clear" w:color="auto" w:fill="auto"/>
            <w:vAlign w:val="bottom"/>
          </w:tcPr>
          <w:p w14:paraId="72CCD901" w14:textId="67A728FC" w:rsidR="00972AF0" w:rsidRPr="002D2F67" w:rsidRDefault="00972AF0" w:rsidP="005611FE">
            <w:pPr>
              <w:ind w:right="-72"/>
              <w:jc w:val="right"/>
              <w:rPr>
                <w:rFonts w:ascii="Arial" w:hAnsi="Arial" w:cs="Arial"/>
                <w:color w:val="000000"/>
                <w:sz w:val="20"/>
                <w:szCs w:val="20"/>
              </w:rPr>
            </w:pPr>
            <w:r w:rsidRPr="002D2F67">
              <w:rPr>
                <w:rFonts w:ascii="Arial" w:hAnsi="Arial" w:cs="Arial"/>
                <w:color w:val="000000"/>
                <w:sz w:val="20"/>
                <w:szCs w:val="20"/>
              </w:rPr>
              <w:t>-</w:t>
            </w:r>
          </w:p>
        </w:tc>
      </w:tr>
      <w:tr w:rsidR="00972AF0" w:rsidRPr="002D2F67" w14:paraId="23CAE74F" w14:textId="77777777" w:rsidTr="002D2F67">
        <w:tc>
          <w:tcPr>
            <w:tcW w:w="3989" w:type="dxa"/>
            <w:shd w:val="clear" w:color="auto" w:fill="auto"/>
          </w:tcPr>
          <w:p w14:paraId="7876AAB4" w14:textId="77777777" w:rsidR="00972AF0" w:rsidRPr="002D2F67" w:rsidRDefault="00972AF0" w:rsidP="004F4DED">
            <w:pPr>
              <w:ind w:left="431"/>
              <w:jc w:val="thaiDistribute"/>
              <w:rPr>
                <w:rFonts w:ascii="Arial" w:hAnsi="Arial" w:cs="Arial"/>
                <w:color w:val="000000"/>
                <w:sz w:val="16"/>
                <w:szCs w:val="16"/>
                <w:cs/>
              </w:rPr>
            </w:pPr>
          </w:p>
        </w:tc>
        <w:tc>
          <w:tcPr>
            <w:tcW w:w="1368" w:type="dxa"/>
            <w:tcBorders>
              <w:top w:val="single" w:sz="4" w:space="0" w:color="auto"/>
            </w:tcBorders>
            <w:shd w:val="clear" w:color="auto" w:fill="auto"/>
            <w:vAlign w:val="bottom"/>
          </w:tcPr>
          <w:p w14:paraId="7B7FB6DF" w14:textId="77777777" w:rsidR="00972AF0" w:rsidRPr="002D2F67" w:rsidRDefault="00972AF0" w:rsidP="005611FE">
            <w:pPr>
              <w:ind w:right="-72"/>
              <w:jc w:val="right"/>
              <w:rPr>
                <w:rFonts w:ascii="Arial" w:hAnsi="Arial" w:cs="Arial"/>
                <w:color w:val="000000"/>
                <w:sz w:val="16"/>
                <w:szCs w:val="16"/>
              </w:rPr>
            </w:pPr>
          </w:p>
        </w:tc>
        <w:tc>
          <w:tcPr>
            <w:tcW w:w="1368" w:type="dxa"/>
            <w:tcBorders>
              <w:top w:val="single" w:sz="4" w:space="0" w:color="auto"/>
            </w:tcBorders>
            <w:shd w:val="clear" w:color="auto" w:fill="auto"/>
            <w:vAlign w:val="bottom"/>
          </w:tcPr>
          <w:p w14:paraId="6D977009" w14:textId="77777777" w:rsidR="00972AF0" w:rsidRPr="002D2F67" w:rsidRDefault="00972AF0" w:rsidP="005611FE">
            <w:pPr>
              <w:ind w:right="-72"/>
              <w:jc w:val="right"/>
              <w:rPr>
                <w:rFonts w:ascii="Arial" w:hAnsi="Arial" w:cs="Arial"/>
                <w:color w:val="000000"/>
                <w:sz w:val="16"/>
                <w:szCs w:val="16"/>
              </w:rPr>
            </w:pPr>
          </w:p>
        </w:tc>
        <w:tc>
          <w:tcPr>
            <w:tcW w:w="1368" w:type="dxa"/>
            <w:tcBorders>
              <w:top w:val="single" w:sz="4" w:space="0" w:color="auto"/>
            </w:tcBorders>
            <w:shd w:val="clear" w:color="auto" w:fill="auto"/>
            <w:vAlign w:val="bottom"/>
          </w:tcPr>
          <w:p w14:paraId="65B2002E" w14:textId="77777777" w:rsidR="00972AF0" w:rsidRPr="002D2F67" w:rsidRDefault="00972AF0" w:rsidP="005611FE">
            <w:pPr>
              <w:ind w:right="-72"/>
              <w:jc w:val="right"/>
              <w:rPr>
                <w:rFonts w:ascii="Arial" w:hAnsi="Arial" w:cs="Arial"/>
                <w:color w:val="000000"/>
                <w:sz w:val="16"/>
                <w:szCs w:val="16"/>
              </w:rPr>
            </w:pPr>
          </w:p>
        </w:tc>
        <w:tc>
          <w:tcPr>
            <w:tcW w:w="1368" w:type="dxa"/>
            <w:tcBorders>
              <w:top w:val="single" w:sz="4" w:space="0" w:color="auto"/>
            </w:tcBorders>
            <w:shd w:val="clear" w:color="auto" w:fill="auto"/>
            <w:vAlign w:val="bottom"/>
          </w:tcPr>
          <w:p w14:paraId="78BDC8BD" w14:textId="77777777" w:rsidR="00972AF0" w:rsidRPr="002D2F67" w:rsidRDefault="00972AF0" w:rsidP="005611FE">
            <w:pPr>
              <w:ind w:right="-72"/>
              <w:jc w:val="right"/>
              <w:rPr>
                <w:rFonts w:ascii="Arial" w:hAnsi="Arial" w:cs="Arial"/>
                <w:color w:val="000000"/>
                <w:sz w:val="16"/>
                <w:szCs w:val="16"/>
              </w:rPr>
            </w:pPr>
          </w:p>
        </w:tc>
      </w:tr>
      <w:tr w:rsidR="00972AF0" w:rsidRPr="002D2F67" w14:paraId="64048568" w14:textId="77777777" w:rsidTr="002D2F67">
        <w:tc>
          <w:tcPr>
            <w:tcW w:w="3989" w:type="dxa"/>
            <w:shd w:val="clear" w:color="auto" w:fill="auto"/>
          </w:tcPr>
          <w:p w14:paraId="2654158C" w14:textId="77777777" w:rsidR="00972AF0" w:rsidRPr="002D2F67" w:rsidRDefault="00972AF0" w:rsidP="004F4DED">
            <w:pPr>
              <w:ind w:left="431"/>
              <w:jc w:val="thaiDistribute"/>
              <w:rPr>
                <w:rFonts w:ascii="Arial" w:hAnsi="Arial" w:cs="Arial"/>
                <w:color w:val="000000"/>
                <w:sz w:val="20"/>
                <w:szCs w:val="20"/>
                <w:cs/>
              </w:rPr>
            </w:pPr>
          </w:p>
        </w:tc>
        <w:tc>
          <w:tcPr>
            <w:tcW w:w="1368" w:type="dxa"/>
            <w:tcBorders>
              <w:bottom w:val="single" w:sz="4" w:space="0" w:color="auto"/>
            </w:tcBorders>
            <w:shd w:val="clear" w:color="auto" w:fill="auto"/>
            <w:vAlign w:val="bottom"/>
          </w:tcPr>
          <w:p w14:paraId="02CB70AF" w14:textId="4097D57B" w:rsidR="00972AF0"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25</w:t>
            </w:r>
            <w:r w:rsidR="00BD11F8" w:rsidRPr="002D2F67">
              <w:rPr>
                <w:rFonts w:ascii="Arial" w:hAnsi="Arial" w:cs="Arial"/>
                <w:color w:val="000000"/>
                <w:sz w:val="20"/>
                <w:szCs w:val="20"/>
              </w:rPr>
              <w:t>,</w:t>
            </w:r>
            <w:r w:rsidRPr="00CD5714">
              <w:rPr>
                <w:rFonts w:ascii="Arial" w:hAnsi="Arial" w:cs="Arial"/>
                <w:color w:val="000000"/>
                <w:sz w:val="20"/>
                <w:szCs w:val="20"/>
                <w:lang w:val="en-GB"/>
              </w:rPr>
              <w:t>680</w:t>
            </w:r>
            <w:r w:rsidR="00BD11F8" w:rsidRPr="002D2F67">
              <w:rPr>
                <w:rFonts w:ascii="Arial" w:hAnsi="Arial" w:cs="Arial"/>
                <w:color w:val="000000"/>
                <w:sz w:val="20"/>
                <w:szCs w:val="20"/>
              </w:rPr>
              <w:t>,</w:t>
            </w:r>
            <w:r w:rsidRPr="00CD5714">
              <w:rPr>
                <w:rFonts w:ascii="Arial" w:hAnsi="Arial" w:cs="Arial"/>
                <w:color w:val="000000"/>
                <w:sz w:val="20"/>
                <w:szCs w:val="20"/>
                <w:lang w:val="en-GB"/>
              </w:rPr>
              <w:t>033</w:t>
            </w:r>
          </w:p>
        </w:tc>
        <w:tc>
          <w:tcPr>
            <w:tcW w:w="1368" w:type="dxa"/>
            <w:tcBorders>
              <w:bottom w:val="single" w:sz="4" w:space="0" w:color="auto"/>
            </w:tcBorders>
            <w:shd w:val="clear" w:color="auto" w:fill="auto"/>
            <w:vAlign w:val="bottom"/>
          </w:tcPr>
          <w:p w14:paraId="51AE8E5D" w14:textId="5551C397" w:rsidR="00972AF0"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22</w:t>
            </w:r>
            <w:r w:rsidR="00972AF0" w:rsidRPr="002D2F67">
              <w:rPr>
                <w:rFonts w:ascii="Arial" w:hAnsi="Arial" w:cs="Arial"/>
                <w:color w:val="000000"/>
                <w:sz w:val="20"/>
                <w:szCs w:val="20"/>
              </w:rPr>
              <w:t>,</w:t>
            </w:r>
            <w:r w:rsidRPr="00CD5714">
              <w:rPr>
                <w:rFonts w:ascii="Arial" w:hAnsi="Arial" w:cs="Arial"/>
                <w:color w:val="000000"/>
                <w:sz w:val="20"/>
                <w:szCs w:val="20"/>
                <w:lang w:val="en-GB"/>
              </w:rPr>
              <w:t>874</w:t>
            </w:r>
            <w:r w:rsidR="00972AF0" w:rsidRPr="002D2F67">
              <w:rPr>
                <w:rFonts w:ascii="Arial" w:hAnsi="Arial" w:cs="Arial"/>
                <w:color w:val="000000"/>
                <w:sz w:val="20"/>
                <w:szCs w:val="20"/>
              </w:rPr>
              <w:t>,</w:t>
            </w:r>
            <w:r w:rsidRPr="00CD5714">
              <w:rPr>
                <w:rFonts w:ascii="Arial" w:hAnsi="Arial" w:cs="Arial"/>
                <w:color w:val="000000"/>
                <w:sz w:val="20"/>
                <w:szCs w:val="20"/>
                <w:lang w:val="en-GB"/>
              </w:rPr>
              <w:t>161</w:t>
            </w:r>
          </w:p>
        </w:tc>
        <w:tc>
          <w:tcPr>
            <w:tcW w:w="1368" w:type="dxa"/>
            <w:tcBorders>
              <w:bottom w:val="single" w:sz="4" w:space="0" w:color="auto"/>
            </w:tcBorders>
            <w:shd w:val="clear" w:color="auto" w:fill="auto"/>
            <w:vAlign w:val="bottom"/>
          </w:tcPr>
          <w:p w14:paraId="309866BF" w14:textId="1083FC73" w:rsidR="00972AF0"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11</w:t>
            </w:r>
            <w:r w:rsidR="00C00516" w:rsidRPr="002D2F67">
              <w:rPr>
                <w:rFonts w:ascii="Arial" w:hAnsi="Arial" w:cs="Arial"/>
                <w:color w:val="000000"/>
                <w:sz w:val="20"/>
                <w:szCs w:val="20"/>
              </w:rPr>
              <w:t>,</w:t>
            </w:r>
            <w:r w:rsidRPr="00CD5714">
              <w:rPr>
                <w:rFonts w:ascii="Arial" w:hAnsi="Arial" w:cs="Arial"/>
                <w:color w:val="000000"/>
                <w:sz w:val="20"/>
                <w:szCs w:val="20"/>
                <w:lang w:val="en-GB"/>
              </w:rPr>
              <w:t>687</w:t>
            </w:r>
            <w:r w:rsidR="00C00516" w:rsidRPr="002D2F67">
              <w:rPr>
                <w:rFonts w:ascii="Arial" w:hAnsi="Arial" w:cs="Arial"/>
                <w:color w:val="000000"/>
                <w:sz w:val="20"/>
                <w:szCs w:val="20"/>
              </w:rPr>
              <w:t>,</w:t>
            </w:r>
            <w:r w:rsidRPr="00CD5714">
              <w:rPr>
                <w:rFonts w:ascii="Arial" w:hAnsi="Arial" w:cs="Arial"/>
                <w:color w:val="000000"/>
                <w:sz w:val="20"/>
                <w:szCs w:val="20"/>
                <w:lang w:val="en-GB"/>
              </w:rPr>
              <w:t>085</w:t>
            </w:r>
          </w:p>
        </w:tc>
        <w:tc>
          <w:tcPr>
            <w:tcW w:w="1368" w:type="dxa"/>
            <w:tcBorders>
              <w:bottom w:val="single" w:sz="4" w:space="0" w:color="auto"/>
            </w:tcBorders>
            <w:shd w:val="clear" w:color="auto" w:fill="auto"/>
            <w:vAlign w:val="bottom"/>
          </w:tcPr>
          <w:p w14:paraId="61AA7983" w14:textId="6596230D" w:rsidR="00972AF0"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13</w:t>
            </w:r>
            <w:r w:rsidR="00972AF0" w:rsidRPr="002D2F67">
              <w:rPr>
                <w:rFonts w:ascii="Arial" w:hAnsi="Arial" w:cs="Arial"/>
                <w:color w:val="000000"/>
                <w:sz w:val="20"/>
                <w:szCs w:val="20"/>
              </w:rPr>
              <w:t>,</w:t>
            </w:r>
            <w:r w:rsidRPr="00CD5714">
              <w:rPr>
                <w:rFonts w:ascii="Arial" w:hAnsi="Arial" w:cs="Arial"/>
                <w:color w:val="000000"/>
                <w:sz w:val="20"/>
                <w:szCs w:val="20"/>
                <w:lang w:val="en-GB"/>
              </w:rPr>
              <w:t>383</w:t>
            </w:r>
            <w:r w:rsidR="00972AF0" w:rsidRPr="002D2F67">
              <w:rPr>
                <w:rFonts w:ascii="Arial" w:hAnsi="Arial" w:cs="Arial"/>
                <w:color w:val="000000"/>
                <w:sz w:val="20"/>
                <w:szCs w:val="20"/>
              </w:rPr>
              <w:t>,</w:t>
            </w:r>
            <w:r w:rsidRPr="00CD5714">
              <w:rPr>
                <w:rFonts w:ascii="Arial" w:hAnsi="Arial" w:cs="Arial"/>
                <w:color w:val="000000"/>
                <w:sz w:val="20"/>
                <w:szCs w:val="20"/>
                <w:lang w:val="en-GB"/>
              </w:rPr>
              <w:t>191</w:t>
            </w:r>
          </w:p>
        </w:tc>
      </w:tr>
    </w:tbl>
    <w:p w14:paraId="468FCE99" w14:textId="77777777" w:rsidR="00F155AE" w:rsidRPr="002D2F67" w:rsidRDefault="004F4DED" w:rsidP="00276A9D">
      <w:pPr>
        <w:ind w:left="540"/>
        <w:jc w:val="both"/>
        <w:rPr>
          <w:rFonts w:ascii="Arial" w:hAnsi="Arial" w:cs="Arial"/>
          <w:color w:val="000000"/>
          <w:sz w:val="20"/>
          <w:szCs w:val="20"/>
        </w:rPr>
      </w:pPr>
      <w:r w:rsidRPr="002D2F67">
        <w:rPr>
          <w:rFonts w:ascii="Arial" w:hAnsi="Arial" w:cs="Arial"/>
          <w:spacing w:val="-2"/>
          <w:sz w:val="20"/>
          <w:szCs w:val="20"/>
        </w:rPr>
        <w:br w:type="page"/>
      </w:r>
    </w:p>
    <w:p w14:paraId="14BE9BCF" w14:textId="3FC2F4C1" w:rsidR="00276A9D" w:rsidRPr="002D2F67" w:rsidRDefault="009F1D09" w:rsidP="00276A9D">
      <w:pPr>
        <w:ind w:left="540"/>
        <w:jc w:val="both"/>
        <w:rPr>
          <w:rFonts w:ascii="Arial" w:hAnsi="Arial" w:cs="Arial"/>
          <w:color w:val="000000"/>
          <w:sz w:val="20"/>
          <w:szCs w:val="20"/>
        </w:rPr>
      </w:pPr>
      <w:r w:rsidRPr="002D2F67">
        <w:rPr>
          <w:rFonts w:ascii="Arial" w:hAnsi="Arial" w:cs="Arial"/>
          <w:color w:val="000000"/>
          <w:sz w:val="20"/>
          <w:szCs w:val="20"/>
        </w:rPr>
        <w:t>During</w:t>
      </w:r>
      <w:r w:rsidR="004A755D"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2024</w:t>
      </w:r>
      <w:r w:rsidR="00276A9D" w:rsidRPr="002D2F67">
        <w:rPr>
          <w:rFonts w:ascii="Arial" w:hAnsi="Arial" w:cs="Arial"/>
          <w:color w:val="000000"/>
          <w:sz w:val="20"/>
          <w:szCs w:val="20"/>
        </w:rPr>
        <w:t xml:space="preserve">, two subsidiaries entered into the amendments to the loan agreements with financial institutions of Baht </w:t>
      </w:r>
      <w:r w:rsidR="00CD5714" w:rsidRPr="00CD5714">
        <w:rPr>
          <w:rFonts w:ascii="Arial" w:hAnsi="Arial" w:cs="Arial"/>
          <w:color w:val="000000"/>
          <w:sz w:val="20"/>
          <w:szCs w:val="20"/>
          <w:lang w:val="en-GB"/>
        </w:rPr>
        <w:t>8</w:t>
      </w:r>
      <w:r w:rsidR="00276A9D" w:rsidRPr="002D2F67">
        <w:rPr>
          <w:rFonts w:ascii="Arial" w:hAnsi="Arial" w:cs="Arial"/>
          <w:color w:val="000000"/>
          <w:sz w:val="20"/>
          <w:szCs w:val="20"/>
        </w:rPr>
        <w:t>,</w:t>
      </w:r>
      <w:r w:rsidR="00CD5714" w:rsidRPr="00CD5714">
        <w:rPr>
          <w:rFonts w:ascii="Arial" w:hAnsi="Arial" w:cs="Arial"/>
          <w:color w:val="000000"/>
          <w:sz w:val="20"/>
          <w:szCs w:val="20"/>
          <w:lang w:val="en-GB"/>
        </w:rPr>
        <w:t>038</w:t>
      </w:r>
      <w:r w:rsidR="00276A9D" w:rsidRPr="002D2F67">
        <w:rPr>
          <w:rFonts w:ascii="Arial" w:hAnsi="Arial" w:cs="Arial"/>
          <w:color w:val="000000"/>
          <w:sz w:val="20"/>
          <w:szCs w:val="20"/>
        </w:rPr>
        <w:t xml:space="preserve"> million to change the reference interest rate from MLR less a fixed margin </w:t>
      </w:r>
      <w:r w:rsidR="00276A9D" w:rsidRPr="002D2F67">
        <w:rPr>
          <w:rFonts w:ascii="Arial" w:hAnsi="Arial" w:cs="Arial"/>
          <w:color w:val="000000"/>
          <w:spacing w:val="-4"/>
          <w:sz w:val="20"/>
          <w:szCs w:val="20"/>
        </w:rPr>
        <w:t xml:space="preserve">per annum to THOR plus a fixed margin. Those changes were effective from </w:t>
      </w:r>
      <w:r w:rsidR="00CD5714" w:rsidRPr="00CD5714">
        <w:rPr>
          <w:rFonts w:ascii="Arial" w:hAnsi="Arial" w:cs="Arial"/>
          <w:color w:val="000000"/>
          <w:spacing w:val="-4"/>
          <w:sz w:val="20"/>
          <w:szCs w:val="20"/>
          <w:lang w:val="en-GB"/>
        </w:rPr>
        <w:t>1</w:t>
      </w:r>
      <w:r w:rsidR="00276A9D" w:rsidRPr="002D2F67">
        <w:rPr>
          <w:rFonts w:ascii="Arial" w:hAnsi="Arial" w:cs="Arial"/>
          <w:color w:val="000000"/>
          <w:spacing w:val="-4"/>
          <w:sz w:val="20"/>
          <w:szCs w:val="20"/>
        </w:rPr>
        <w:t xml:space="preserve"> January </w:t>
      </w:r>
      <w:r w:rsidR="00CD5714" w:rsidRPr="00CD5714">
        <w:rPr>
          <w:rFonts w:ascii="Arial" w:hAnsi="Arial" w:cs="Arial"/>
          <w:color w:val="000000"/>
          <w:spacing w:val="-4"/>
          <w:sz w:val="20"/>
          <w:szCs w:val="20"/>
          <w:lang w:val="en-GB"/>
        </w:rPr>
        <w:t>2024</w:t>
      </w:r>
      <w:r w:rsidR="00276A9D" w:rsidRPr="002D2F67">
        <w:rPr>
          <w:rFonts w:ascii="Arial" w:hAnsi="Arial" w:cs="Arial"/>
          <w:color w:val="000000"/>
          <w:spacing w:val="-4"/>
          <w:sz w:val="20"/>
          <w:szCs w:val="20"/>
        </w:rPr>
        <w:t xml:space="preserve"> onwards</w:t>
      </w:r>
      <w:r w:rsidR="00276A9D" w:rsidRPr="002D2F67">
        <w:rPr>
          <w:rFonts w:ascii="Arial" w:hAnsi="Arial" w:cs="Arial"/>
          <w:color w:val="000000"/>
          <w:sz w:val="20"/>
          <w:szCs w:val="20"/>
        </w:rPr>
        <w:t>.</w:t>
      </w:r>
    </w:p>
    <w:p w14:paraId="4BC5757D" w14:textId="77777777" w:rsidR="00276A9D" w:rsidRPr="002D2F67" w:rsidRDefault="00276A9D" w:rsidP="00276A9D">
      <w:pPr>
        <w:ind w:left="540"/>
        <w:jc w:val="both"/>
        <w:rPr>
          <w:rFonts w:ascii="Arial" w:hAnsi="Arial" w:cs="Arial"/>
          <w:color w:val="000000"/>
          <w:sz w:val="20"/>
          <w:szCs w:val="20"/>
        </w:rPr>
      </w:pPr>
    </w:p>
    <w:p w14:paraId="346B1A31" w14:textId="3FD03322" w:rsidR="00276A9D" w:rsidRPr="002D2F67" w:rsidRDefault="009F1D09" w:rsidP="00276A9D">
      <w:pPr>
        <w:ind w:left="540"/>
        <w:jc w:val="both"/>
        <w:rPr>
          <w:rFonts w:ascii="Arial" w:hAnsi="Arial" w:cs="Arial"/>
          <w:spacing w:val="-2"/>
          <w:sz w:val="20"/>
          <w:szCs w:val="20"/>
        </w:rPr>
      </w:pPr>
      <w:r w:rsidRPr="002D2F67">
        <w:rPr>
          <w:rFonts w:ascii="Arial" w:hAnsi="Arial" w:cs="Arial"/>
          <w:color w:val="000000"/>
          <w:sz w:val="20"/>
          <w:szCs w:val="20"/>
        </w:rPr>
        <w:t>During</w:t>
      </w:r>
      <w:r w:rsidR="005C5D56"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2024</w:t>
      </w:r>
      <w:r w:rsidR="005C5D56" w:rsidRPr="002D2F67">
        <w:rPr>
          <w:rFonts w:ascii="Arial" w:hAnsi="Arial" w:cs="Arial"/>
          <w:spacing w:val="-2"/>
          <w:sz w:val="20"/>
          <w:szCs w:val="20"/>
        </w:rPr>
        <w:t xml:space="preserve">, the Company entered into a syndicate loan </w:t>
      </w:r>
      <w:r w:rsidR="005C5D56" w:rsidRPr="002D2F67">
        <w:rPr>
          <w:rFonts w:ascii="Arial" w:hAnsi="Arial" w:cs="Arial"/>
          <w:spacing w:val="-6"/>
          <w:sz w:val="20"/>
          <w:szCs w:val="20"/>
        </w:rPr>
        <w:t>agreement with foreign financial institutions. The Company ha</w:t>
      </w:r>
      <w:r w:rsidR="001E6907">
        <w:rPr>
          <w:rFonts w:ascii="Arial" w:hAnsi="Arial" w:cs="Arial"/>
          <w:spacing w:val="-6"/>
          <w:sz w:val="20"/>
          <w:szCs w:val="20"/>
        </w:rPr>
        <w:t>d</w:t>
      </w:r>
      <w:r w:rsidR="005C5D56" w:rsidRPr="002D2F67">
        <w:rPr>
          <w:rFonts w:ascii="Arial" w:hAnsi="Arial" w:cs="Arial"/>
          <w:spacing w:val="-6"/>
          <w:sz w:val="20"/>
          <w:szCs w:val="20"/>
        </w:rPr>
        <w:t xml:space="preserve"> drawn down the loan </w:t>
      </w:r>
      <w:r w:rsidR="001E6907">
        <w:rPr>
          <w:rFonts w:ascii="Arial" w:hAnsi="Arial" w:cs="Arial"/>
          <w:spacing w:val="-6"/>
          <w:sz w:val="20"/>
          <w:szCs w:val="20"/>
        </w:rPr>
        <w:t>of</w:t>
      </w:r>
      <w:r w:rsidR="005C5D56" w:rsidRPr="002D2F67">
        <w:rPr>
          <w:rFonts w:ascii="Arial" w:hAnsi="Arial" w:cs="Arial"/>
          <w:spacing w:val="-6"/>
          <w:sz w:val="20"/>
          <w:szCs w:val="20"/>
          <w:cs/>
        </w:rPr>
        <w:t xml:space="preserve"> </w:t>
      </w:r>
      <w:r w:rsidR="005C5D56" w:rsidRPr="002D2F67">
        <w:rPr>
          <w:rFonts w:ascii="Arial" w:hAnsi="Arial" w:cs="Arial"/>
          <w:spacing w:val="-6"/>
          <w:sz w:val="20"/>
          <w:szCs w:val="20"/>
        </w:rPr>
        <w:t xml:space="preserve">Baht </w:t>
      </w:r>
      <w:r w:rsidR="00CD5714" w:rsidRPr="00CD5714">
        <w:rPr>
          <w:rFonts w:ascii="Arial" w:hAnsi="Arial" w:cs="Arial"/>
          <w:spacing w:val="-6"/>
          <w:sz w:val="20"/>
          <w:szCs w:val="20"/>
          <w:lang w:val="en-GB"/>
        </w:rPr>
        <w:t>1</w:t>
      </w:r>
      <w:r w:rsidR="005C5D56" w:rsidRPr="002D2F67">
        <w:rPr>
          <w:rFonts w:ascii="Arial" w:hAnsi="Arial" w:cs="Arial"/>
          <w:spacing w:val="-6"/>
          <w:sz w:val="20"/>
          <w:szCs w:val="20"/>
        </w:rPr>
        <w:t>,</w:t>
      </w:r>
      <w:r w:rsidR="00CD5714" w:rsidRPr="00CD5714">
        <w:rPr>
          <w:rFonts w:ascii="Arial" w:hAnsi="Arial" w:cs="Arial"/>
          <w:spacing w:val="-6"/>
          <w:sz w:val="20"/>
          <w:szCs w:val="20"/>
          <w:lang w:val="en-GB"/>
        </w:rPr>
        <w:t>140</w:t>
      </w:r>
      <w:r w:rsidR="005C5D56" w:rsidRPr="002D2F67">
        <w:rPr>
          <w:rFonts w:ascii="Arial" w:hAnsi="Arial" w:cs="Arial"/>
          <w:spacing w:val="-6"/>
          <w:sz w:val="20"/>
          <w:szCs w:val="20"/>
        </w:rPr>
        <w:t xml:space="preserve"> million</w:t>
      </w:r>
      <w:r w:rsidR="005C5D56" w:rsidRPr="002D2F67">
        <w:rPr>
          <w:rFonts w:ascii="Arial" w:hAnsi="Arial" w:cs="Arial"/>
          <w:spacing w:val="-2"/>
          <w:sz w:val="20"/>
          <w:szCs w:val="20"/>
        </w:rPr>
        <w:t xml:space="preserve"> and US dollar </w:t>
      </w:r>
      <w:r w:rsidR="00CD5714" w:rsidRPr="00CD5714">
        <w:rPr>
          <w:rFonts w:ascii="Arial" w:hAnsi="Arial" w:cs="Arial"/>
          <w:spacing w:val="-2"/>
          <w:sz w:val="20"/>
          <w:szCs w:val="20"/>
          <w:lang w:val="en-GB"/>
        </w:rPr>
        <w:t>16</w:t>
      </w:r>
      <w:r w:rsidR="005C5D56" w:rsidRPr="002D2F67">
        <w:rPr>
          <w:rFonts w:ascii="Arial" w:hAnsi="Arial" w:cs="Arial"/>
          <w:spacing w:val="-4"/>
          <w:sz w:val="20"/>
          <w:szCs w:val="20"/>
        </w:rPr>
        <w:t xml:space="preserve"> </w:t>
      </w:r>
      <w:r w:rsidR="005C5D56" w:rsidRPr="002D2F67">
        <w:rPr>
          <w:rFonts w:ascii="Arial" w:hAnsi="Arial" w:cs="Arial"/>
          <w:spacing w:val="-2"/>
          <w:sz w:val="20"/>
          <w:szCs w:val="20"/>
        </w:rPr>
        <w:t xml:space="preserve">million or equivalent to Baht </w:t>
      </w:r>
      <w:r w:rsidR="00CD5714" w:rsidRPr="00CD5714">
        <w:rPr>
          <w:rFonts w:ascii="Arial" w:hAnsi="Arial" w:cs="Arial"/>
          <w:spacing w:val="-4"/>
          <w:sz w:val="20"/>
          <w:szCs w:val="20"/>
          <w:lang w:val="en-GB"/>
        </w:rPr>
        <w:t>592</w:t>
      </w:r>
      <w:r w:rsidR="005C5D56" w:rsidRPr="002D2F67">
        <w:rPr>
          <w:rFonts w:ascii="Arial" w:hAnsi="Arial" w:cs="Arial"/>
          <w:spacing w:val="-2"/>
          <w:sz w:val="20"/>
          <w:szCs w:val="20"/>
        </w:rPr>
        <w:t xml:space="preserve"> million. These loans have a floating interest rate</w:t>
      </w:r>
      <w:r w:rsidR="005C5D56" w:rsidRPr="002D2F67">
        <w:rPr>
          <w:rFonts w:ascii="Arial" w:hAnsi="Arial" w:cs="Arial"/>
          <w:spacing w:val="-2"/>
          <w:sz w:val="20"/>
          <w:szCs w:val="20"/>
          <w:cs/>
        </w:rPr>
        <w:t xml:space="preserve"> </w:t>
      </w:r>
      <w:r w:rsidR="005C5D56" w:rsidRPr="002D2F67">
        <w:rPr>
          <w:rFonts w:ascii="Arial" w:hAnsi="Arial" w:cs="Arial"/>
          <w:spacing w:val="-2"/>
          <w:sz w:val="20"/>
          <w:szCs w:val="20"/>
        </w:rPr>
        <w:t xml:space="preserve">of TORF </w:t>
      </w:r>
      <w:r w:rsidR="005C5D56" w:rsidRPr="002D2F67">
        <w:rPr>
          <w:rFonts w:ascii="Arial" w:hAnsi="Arial" w:cs="Arial"/>
          <w:spacing w:val="-4"/>
          <w:sz w:val="20"/>
          <w:szCs w:val="20"/>
        </w:rPr>
        <w:t xml:space="preserve">plus a fixed margin and SOFR plus </w:t>
      </w:r>
      <w:r w:rsidR="005C5D56" w:rsidRPr="002D2F67">
        <w:rPr>
          <w:rFonts w:ascii="Arial" w:hAnsi="Arial" w:cs="Arial"/>
          <w:spacing w:val="-6"/>
          <w:sz w:val="20"/>
          <w:szCs w:val="20"/>
        </w:rPr>
        <w:t>a fixed margin, respectively. In addition, the Company also entered into a cross-currency interest rate swap</w:t>
      </w:r>
      <w:r w:rsidR="005C5D56" w:rsidRPr="002D2F67">
        <w:rPr>
          <w:rFonts w:ascii="Arial" w:hAnsi="Arial" w:cs="Arial"/>
          <w:spacing w:val="-4"/>
          <w:sz w:val="20"/>
          <w:szCs w:val="20"/>
        </w:rPr>
        <w:t xml:space="preserve"> agreement with a financial institution to fix the loan foreign currency exchange and interest. The loan has an interest repayment schedule every six months, and the principal</w:t>
      </w:r>
      <w:r w:rsidR="005C5D56" w:rsidRPr="002D2F67">
        <w:rPr>
          <w:rFonts w:ascii="Arial" w:hAnsi="Arial" w:cs="Arial"/>
          <w:spacing w:val="-2"/>
          <w:sz w:val="20"/>
          <w:szCs w:val="20"/>
        </w:rPr>
        <w:t xml:space="preserve"> repayment is in full at the end of the loan agreement.</w:t>
      </w:r>
    </w:p>
    <w:p w14:paraId="2E49B088" w14:textId="77777777" w:rsidR="005C5D56" w:rsidRPr="002D2F67" w:rsidRDefault="005C5D56" w:rsidP="00276A9D">
      <w:pPr>
        <w:ind w:left="540"/>
        <w:jc w:val="both"/>
        <w:rPr>
          <w:rFonts w:ascii="Arial" w:hAnsi="Arial" w:cs="Arial"/>
          <w:spacing w:val="-2"/>
          <w:sz w:val="20"/>
          <w:szCs w:val="20"/>
        </w:rPr>
      </w:pPr>
    </w:p>
    <w:p w14:paraId="6F6BD2F5" w14:textId="545411CF" w:rsidR="005C5D56" w:rsidRPr="002D2F67" w:rsidRDefault="009F1D09" w:rsidP="00276A9D">
      <w:pPr>
        <w:ind w:left="540"/>
        <w:jc w:val="both"/>
        <w:rPr>
          <w:rFonts w:ascii="Arial" w:eastAsia="Arial Unicode MS" w:hAnsi="Arial" w:cs="Arial"/>
          <w:spacing w:val="-4"/>
          <w:sz w:val="20"/>
          <w:szCs w:val="20"/>
        </w:rPr>
      </w:pPr>
      <w:r w:rsidRPr="002D2F67">
        <w:rPr>
          <w:rFonts w:ascii="Arial" w:hAnsi="Arial" w:cs="Arial"/>
          <w:color w:val="000000"/>
          <w:sz w:val="20"/>
          <w:szCs w:val="20"/>
        </w:rPr>
        <w:t>During</w:t>
      </w:r>
      <w:r w:rsidR="008B483A"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2024</w:t>
      </w:r>
      <w:r w:rsidR="00986CEB" w:rsidRPr="002D2F67">
        <w:rPr>
          <w:rFonts w:ascii="Arial" w:eastAsia="Arial Unicode MS" w:hAnsi="Arial" w:cs="Arial"/>
          <w:sz w:val="20"/>
          <w:szCs w:val="20"/>
        </w:rPr>
        <w:t>, the Group and the Company entered into loan agreements with financial institutions</w:t>
      </w:r>
      <w:r w:rsidR="00986CEB" w:rsidRPr="002D2F67">
        <w:rPr>
          <w:rFonts w:ascii="Arial" w:eastAsia="Arial Unicode MS" w:hAnsi="Arial" w:cs="Arial"/>
          <w:sz w:val="20"/>
          <w:szCs w:val="20"/>
          <w:cs/>
        </w:rPr>
        <w:t xml:space="preserve"> </w:t>
      </w:r>
      <w:r w:rsidR="00986CEB" w:rsidRPr="002D2F67">
        <w:rPr>
          <w:rFonts w:ascii="Arial" w:eastAsia="Arial Unicode MS" w:hAnsi="Arial" w:cs="Arial"/>
          <w:sz w:val="20"/>
          <w:szCs w:val="20"/>
        </w:rPr>
        <w:t>to refinance short-term loans from financial institutions to long-term loans as follows</w:t>
      </w:r>
      <w:r w:rsidR="00986CEB" w:rsidRPr="002D2F67">
        <w:rPr>
          <w:rFonts w:ascii="Arial" w:eastAsia="Arial Unicode MS" w:hAnsi="Arial" w:cs="Arial"/>
          <w:spacing w:val="-4"/>
          <w:sz w:val="20"/>
          <w:szCs w:val="20"/>
        </w:rPr>
        <w:t>:</w:t>
      </w:r>
    </w:p>
    <w:p w14:paraId="231A0579" w14:textId="77777777" w:rsidR="003836DD" w:rsidRPr="002D2F67" w:rsidRDefault="003836DD" w:rsidP="00276A9D">
      <w:pPr>
        <w:ind w:left="540"/>
        <w:jc w:val="both"/>
        <w:rPr>
          <w:rFonts w:ascii="Arial" w:eastAsia="Arial Unicode MS" w:hAnsi="Arial" w:cs="Arial"/>
          <w:spacing w:val="-4"/>
          <w:sz w:val="20"/>
          <w:szCs w:val="20"/>
        </w:rPr>
      </w:pPr>
    </w:p>
    <w:p w14:paraId="7F102C3C" w14:textId="36E88647" w:rsidR="009F1D09" w:rsidRPr="002D2F67" w:rsidRDefault="003836DD" w:rsidP="00634427">
      <w:pPr>
        <w:numPr>
          <w:ilvl w:val="0"/>
          <w:numId w:val="10"/>
        </w:numPr>
        <w:tabs>
          <w:tab w:val="left" w:pos="851"/>
        </w:tabs>
        <w:ind w:left="851" w:hanging="284"/>
        <w:jc w:val="both"/>
        <w:rPr>
          <w:rFonts w:ascii="Arial" w:eastAsia="Arial Unicode MS" w:hAnsi="Arial" w:cs="Arial"/>
          <w:spacing w:val="-4"/>
          <w:sz w:val="20"/>
          <w:szCs w:val="20"/>
        </w:rPr>
      </w:pPr>
      <w:r w:rsidRPr="002D2F67">
        <w:rPr>
          <w:rFonts w:ascii="Arial" w:eastAsia="Arial Unicode MS" w:hAnsi="Arial" w:cs="Arial"/>
          <w:spacing w:val="-4"/>
          <w:sz w:val="20"/>
          <w:szCs w:val="20"/>
        </w:rPr>
        <w:t xml:space="preserve">On </w:t>
      </w:r>
      <w:r w:rsidR="00CD5714" w:rsidRPr="00CD5714">
        <w:rPr>
          <w:rFonts w:ascii="Arial" w:eastAsia="Arial Unicode MS" w:hAnsi="Arial" w:cs="Arial"/>
          <w:spacing w:val="-4"/>
          <w:sz w:val="20"/>
          <w:szCs w:val="20"/>
          <w:lang w:val="en-GB"/>
        </w:rPr>
        <w:t>5</w:t>
      </w:r>
      <w:r w:rsidRPr="002D2F67">
        <w:rPr>
          <w:rFonts w:ascii="Arial" w:eastAsia="Arial Unicode MS" w:hAnsi="Arial" w:cs="Arial"/>
          <w:spacing w:val="-4"/>
          <w:sz w:val="20"/>
          <w:szCs w:val="20"/>
        </w:rPr>
        <w:t xml:space="preserve"> August </w:t>
      </w:r>
      <w:r w:rsidR="00CD5714" w:rsidRPr="00CD5714">
        <w:rPr>
          <w:rFonts w:ascii="Arial" w:eastAsia="Arial Unicode MS" w:hAnsi="Arial" w:cs="Arial"/>
          <w:spacing w:val="-4"/>
          <w:sz w:val="20"/>
          <w:szCs w:val="20"/>
          <w:lang w:val="en-GB"/>
        </w:rPr>
        <w:t>2024</w:t>
      </w:r>
      <w:r w:rsidRPr="002D2F67">
        <w:rPr>
          <w:rFonts w:ascii="Arial" w:eastAsia="Arial Unicode MS" w:hAnsi="Arial" w:cs="Arial"/>
          <w:spacing w:val="-4"/>
          <w:sz w:val="20"/>
          <w:szCs w:val="20"/>
        </w:rPr>
        <w:t xml:space="preserve">, the Company entered into a long-term loan agreement with a financial institution, </w:t>
      </w:r>
      <w:r w:rsidRPr="002D2F67">
        <w:rPr>
          <w:rFonts w:ascii="Arial" w:eastAsia="Arial Unicode MS" w:hAnsi="Arial" w:cs="Arial"/>
          <w:spacing w:val="-6"/>
          <w:sz w:val="20"/>
          <w:szCs w:val="20"/>
        </w:rPr>
        <w:t xml:space="preserve">totalling Baht </w:t>
      </w:r>
      <w:r w:rsidR="00CD5714" w:rsidRPr="00CD5714">
        <w:rPr>
          <w:rFonts w:ascii="Arial" w:eastAsia="Arial Unicode MS" w:hAnsi="Arial" w:cs="Arial"/>
          <w:spacing w:val="-6"/>
          <w:sz w:val="20"/>
          <w:szCs w:val="20"/>
          <w:lang w:val="en-GB"/>
        </w:rPr>
        <w:t>805</w:t>
      </w:r>
      <w:r w:rsidRPr="002D2F67">
        <w:rPr>
          <w:rFonts w:ascii="Arial" w:eastAsia="Arial Unicode MS" w:hAnsi="Arial" w:cs="Arial"/>
          <w:spacing w:val="-6"/>
          <w:sz w:val="20"/>
          <w:szCs w:val="20"/>
        </w:rPr>
        <w:t xml:space="preserve"> million, with monthly principal and interest repayments term starting from September</w:t>
      </w:r>
      <w:r w:rsidRPr="002D2F67">
        <w:rPr>
          <w:rFonts w:ascii="Arial" w:eastAsia="Arial Unicode MS" w:hAnsi="Arial" w:cs="Arial"/>
          <w:spacing w:val="-4"/>
          <w:sz w:val="20"/>
          <w:szCs w:val="20"/>
        </w:rPr>
        <w:t xml:space="preserve"> </w:t>
      </w:r>
      <w:r w:rsidR="00CD5714" w:rsidRPr="00CD5714">
        <w:rPr>
          <w:rFonts w:ascii="Arial" w:eastAsia="Arial Unicode MS" w:hAnsi="Arial" w:cs="Arial"/>
          <w:spacing w:val="-4"/>
          <w:sz w:val="20"/>
          <w:szCs w:val="20"/>
          <w:lang w:val="en-GB"/>
        </w:rPr>
        <w:t>2024</w:t>
      </w:r>
      <w:r w:rsidRPr="002D2F67">
        <w:rPr>
          <w:rFonts w:ascii="Arial" w:eastAsia="Arial Unicode MS" w:hAnsi="Arial" w:cs="Arial"/>
          <w:spacing w:val="-4"/>
          <w:sz w:val="20"/>
          <w:szCs w:val="20"/>
        </w:rPr>
        <w:t xml:space="preserve"> to September </w:t>
      </w:r>
      <w:r w:rsidR="00CD5714" w:rsidRPr="00CD5714">
        <w:rPr>
          <w:rFonts w:ascii="Arial" w:eastAsia="Arial Unicode MS" w:hAnsi="Arial" w:cs="Arial"/>
          <w:spacing w:val="-4"/>
          <w:sz w:val="20"/>
          <w:szCs w:val="20"/>
          <w:lang w:val="en-GB"/>
        </w:rPr>
        <w:t>2027</w:t>
      </w:r>
      <w:r w:rsidRPr="002D2F67">
        <w:rPr>
          <w:rFonts w:ascii="Arial" w:eastAsia="Arial Unicode MS" w:hAnsi="Arial" w:cs="Arial"/>
          <w:spacing w:val="-4"/>
          <w:sz w:val="20"/>
          <w:szCs w:val="20"/>
        </w:rPr>
        <w:t>.</w:t>
      </w:r>
    </w:p>
    <w:p w14:paraId="3E3AF89D" w14:textId="34DC35FE" w:rsidR="003836DD" w:rsidRPr="002D2F67" w:rsidRDefault="003836DD" w:rsidP="009F1D09">
      <w:pPr>
        <w:tabs>
          <w:tab w:val="left" w:pos="851"/>
        </w:tabs>
        <w:ind w:left="851"/>
        <w:jc w:val="both"/>
        <w:rPr>
          <w:rFonts w:ascii="Arial" w:eastAsia="Arial Unicode MS" w:hAnsi="Arial" w:cs="Arial"/>
          <w:spacing w:val="-4"/>
          <w:sz w:val="20"/>
          <w:szCs w:val="20"/>
        </w:rPr>
      </w:pPr>
      <w:r w:rsidRPr="002D2F67">
        <w:rPr>
          <w:rFonts w:ascii="Arial" w:eastAsia="Arial Unicode MS" w:hAnsi="Arial" w:cs="Arial"/>
          <w:spacing w:val="-4"/>
          <w:sz w:val="20"/>
          <w:szCs w:val="20"/>
        </w:rPr>
        <w:t xml:space="preserve"> </w:t>
      </w:r>
    </w:p>
    <w:p w14:paraId="494F4EF6" w14:textId="31786EFD" w:rsidR="003836DD" w:rsidRPr="002D2F67" w:rsidRDefault="003836DD" w:rsidP="00634427">
      <w:pPr>
        <w:numPr>
          <w:ilvl w:val="0"/>
          <w:numId w:val="10"/>
        </w:numPr>
        <w:tabs>
          <w:tab w:val="left" w:pos="851"/>
        </w:tabs>
        <w:ind w:left="851" w:hanging="284"/>
        <w:jc w:val="both"/>
        <w:rPr>
          <w:rFonts w:ascii="Arial" w:eastAsia="Arial Unicode MS" w:hAnsi="Arial" w:cs="Arial"/>
          <w:spacing w:val="-4"/>
          <w:sz w:val="20"/>
          <w:szCs w:val="20"/>
        </w:rPr>
      </w:pPr>
      <w:r w:rsidRPr="002D2F67">
        <w:rPr>
          <w:rFonts w:ascii="Arial" w:eastAsia="Arial Unicode MS" w:hAnsi="Arial" w:cs="Arial"/>
          <w:spacing w:val="-4"/>
          <w:sz w:val="20"/>
          <w:szCs w:val="20"/>
        </w:rPr>
        <w:t xml:space="preserve">On </w:t>
      </w:r>
      <w:r w:rsidR="00CD5714" w:rsidRPr="00CD5714">
        <w:rPr>
          <w:rFonts w:ascii="Arial" w:eastAsia="Arial Unicode MS" w:hAnsi="Arial" w:cs="Arial"/>
          <w:spacing w:val="-4"/>
          <w:sz w:val="20"/>
          <w:szCs w:val="20"/>
          <w:lang w:val="en-GB"/>
        </w:rPr>
        <w:t>8</w:t>
      </w:r>
      <w:r w:rsidRPr="002D2F67">
        <w:rPr>
          <w:rFonts w:ascii="Arial" w:eastAsia="Arial Unicode MS" w:hAnsi="Arial" w:cs="Arial"/>
          <w:spacing w:val="-4"/>
          <w:sz w:val="20"/>
          <w:szCs w:val="20"/>
        </w:rPr>
        <w:t xml:space="preserve"> August </w:t>
      </w:r>
      <w:r w:rsidR="00CD5714" w:rsidRPr="00CD5714">
        <w:rPr>
          <w:rFonts w:ascii="Arial" w:eastAsia="Arial Unicode MS" w:hAnsi="Arial" w:cs="Arial"/>
          <w:spacing w:val="-4"/>
          <w:sz w:val="20"/>
          <w:szCs w:val="20"/>
          <w:lang w:val="en-GB"/>
        </w:rPr>
        <w:t>2024</w:t>
      </w:r>
      <w:r w:rsidRPr="002D2F67">
        <w:rPr>
          <w:rFonts w:ascii="Arial" w:eastAsia="Arial Unicode MS" w:hAnsi="Arial" w:cs="Arial"/>
          <w:spacing w:val="-4"/>
          <w:sz w:val="20"/>
          <w:szCs w:val="20"/>
        </w:rPr>
        <w:t xml:space="preserve">, the Group entered into a long-term loan agreement and a syndicated loan agreement with financial institutions, totalling Baht </w:t>
      </w:r>
      <w:r w:rsidR="00CD5714" w:rsidRPr="00CD5714">
        <w:rPr>
          <w:rFonts w:ascii="Arial" w:eastAsia="Arial Unicode MS" w:hAnsi="Arial" w:cs="Arial"/>
          <w:spacing w:val="-4"/>
          <w:sz w:val="20"/>
          <w:szCs w:val="20"/>
          <w:lang w:val="en-GB"/>
        </w:rPr>
        <w:t>7</w:t>
      </w:r>
      <w:r w:rsidRPr="002D2F67">
        <w:rPr>
          <w:rFonts w:ascii="Arial" w:eastAsia="Arial Unicode MS" w:hAnsi="Arial" w:cs="Arial"/>
          <w:spacing w:val="-4"/>
          <w:sz w:val="20"/>
          <w:szCs w:val="20"/>
        </w:rPr>
        <w:t>,</w:t>
      </w:r>
      <w:r w:rsidR="00CD5714" w:rsidRPr="00CD5714">
        <w:rPr>
          <w:rFonts w:ascii="Arial" w:eastAsia="Arial Unicode MS" w:hAnsi="Arial" w:cs="Arial"/>
          <w:spacing w:val="-4"/>
          <w:sz w:val="20"/>
          <w:szCs w:val="20"/>
          <w:lang w:val="en-GB"/>
        </w:rPr>
        <w:t>455</w:t>
      </w:r>
      <w:r w:rsidRPr="002D2F67">
        <w:rPr>
          <w:rFonts w:ascii="Arial" w:eastAsia="Arial Unicode MS" w:hAnsi="Arial" w:cs="Arial"/>
          <w:spacing w:val="-4"/>
          <w:sz w:val="20"/>
          <w:szCs w:val="20"/>
        </w:rPr>
        <w:t xml:space="preserve"> million, with monthly principal and interest repayments scheduled monthly from August </w:t>
      </w:r>
      <w:r w:rsidR="00CD5714" w:rsidRPr="00CD5714">
        <w:rPr>
          <w:rFonts w:ascii="Arial" w:eastAsia="Arial Unicode MS" w:hAnsi="Arial" w:cs="Arial"/>
          <w:spacing w:val="-4"/>
          <w:sz w:val="20"/>
          <w:szCs w:val="20"/>
          <w:lang w:val="en-GB"/>
        </w:rPr>
        <w:t>2024</w:t>
      </w:r>
      <w:r w:rsidRPr="002D2F67">
        <w:rPr>
          <w:rFonts w:ascii="Arial" w:eastAsia="Arial Unicode MS" w:hAnsi="Arial" w:cs="Arial"/>
          <w:spacing w:val="-4"/>
          <w:sz w:val="20"/>
          <w:szCs w:val="20"/>
        </w:rPr>
        <w:t xml:space="preserve"> to August </w:t>
      </w:r>
      <w:r w:rsidR="00CD5714" w:rsidRPr="00CD5714">
        <w:rPr>
          <w:rFonts w:ascii="Arial" w:eastAsia="Arial Unicode MS" w:hAnsi="Arial" w:cs="Arial"/>
          <w:spacing w:val="-4"/>
          <w:sz w:val="20"/>
          <w:szCs w:val="20"/>
          <w:lang w:val="en-GB"/>
        </w:rPr>
        <w:t>2027</w:t>
      </w:r>
      <w:r w:rsidRPr="002D2F67">
        <w:rPr>
          <w:rFonts w:ascii="Arial" w:eastAsia="Arial Unicode MS" w:hAnsi="Arial" w:cs="Arial"/>
          <w:spacing w:val="-4"/>
          <w:sz w:val="20"/>
          <w:szCs w:val="20"/>
        </w:rPr>
        <w:t>.</w:t>
      </w:r>
    </w:p>
    <w:p w14:paraId="3B1E0414" w14:textId="77777777" w:rsidR="009F1D09" w:rsidRPr="002D2F67" w:rsidRDefault="009F1D09" w:rsidP="009F1D09">
      <w:pPr>
        <w:tabs>
          <w:tab w:val="left" w:pos="851"/>
        </w:tabs>
        <w:ind w:left="851"/>
        <w:jc w:val="both"/>
        <w:rPr>
          <w:rFonts w:ascii="Arial" w:eastAsia="Arial Unicode MS" w:hAnsi="Arial" w:cs="Arial"/>
          <w:spacing w:val="-4"/>
          <w:sz w:val="20"/>
          <w:szCs w:val="20"/>
        </w:rPr>
      </w:pPr>
    </w:p>
    <w:p w14:paraId="2E3658C0" w14:textId="5920C221" w:rsidR="003836DD" w:rsidRPr="002D2F67" w:rsidRDefault="003836DD" w:rsidP="00634427">
      <w:pPr>
        <w:numPr>
          <w:ilvl w:val="0"/>
          <w:numId w:val="10"/>
        </w:numPr>
        <w:tabs>
          <w:tab w:val="left" w:pos="851"/>
        </w:tabs>
        <w:ind w:left="851" w:hanging="284"/>
        <w:jc w:val="both"/>
        <w:rPr>
          <w:rFonts w:ascii="Arial" w:eastAsia="Arial Unicode MS" w:hAnsi="Arial" w:cs="Arial"/>
          <w:spacing w:val="-4"/>
          <w:sz w:val="20"/>
          <w:szCs w:val="20"/>
        </w:rPr>
      </w:pPr>
      <w:r w:rsidRPr="002D2F67">
        <w:rPr>
          <w:rFonts w:ascii="Arial" w:eastAsia="Arial Unicode MS" w:hAnsi="Arial" w:cs="Arial"/>
          <w:spacing w:val="-4"/>
          <w:sz w:val="20"/>
          <w:szCs w:val="20"/>
        </w:rPr>
        <w:t xml:space="preserve">On </w:t>
      </w:r>
      <w:r w:rsidR="00CD5714" w:rsidRPr="00CD5714">
        <w:rPr>
          <w:rFonts w:ascii="Arial" w:eastAsia="Arial Unicode MS" w:hAnsi="Arial" w:cs="Arial"/>
          <w:spacing w:val="-4"/>
          <w:sz w:val="20"/>
          <w:szCs w:val="20"/>
          <w:lang w:val="en-GB"/>
        </w:rPr>
        <w:t>9</w:t>
      </w:r>
      <w:r w:rsidRPr="002D2F67">
        <w:rPr>
          <w:rFonts w:ascii="Arial" w:eastAsia="Arial Unicode MS" w:hAnsi="Arial" w:cs="Arial"/>
          <w:spacing w:val="-4"/>
          <w:sz w:val="20"/>
          <w:szCs w:val="20"/>
        </w:rPr>
        <w:t xml:space="preserve"> August </w:t>
      </w:r>
      <w:r w:rsidR="00CD5714" w:rsidRPr="00CD5714">
        <w:rPr>
          <w:rFonts w:ascii="Arial" w:eastAsia="Arial Unicode MS" w:hAnsi="Arial" w:cs="Arial"/>
          <w:spacing w:val="-4"/>
          <w:sz w:val="20"/>
          <w:szCs w:val="20"/>
          <w:lang w:val="en-GB"/>
        </w:rPr>
        <w:t>2024</w:t>
      </w:r>
      <w:r w:rsidRPr="002D2F67">
        <w:rPr>
          <w:rFonts w:ascii="Arial" w:eastAsia="Arial Unicode MS" w:hAnsi="Arial" w:cs="Arial"/>
          <w:spacing w:val="-4"/>
          <w:sz w:val="20"/>
          <w:szCs w:val="20"/>
        </w:rPr>
        <w:t xml:space="preserve">, the Group entered into a long-term loan agreement with a financial institution, totalling Baht </w:t>
      </w:r>
      <w:r w:rsidR="00CD5714" w:rsidRPr="00CD5714">
        <w:rPr>
          <w:rFonts w:ascii="Arial" w:eastAsia="Arial Unicode MS" w:hAnsi="Arial" w:cs="Arial"/>
          <w:spacing w:val="-4"/>
          <w:sz w:val="20"/>
          <w:szCs w:val="20"/>
          <w:lang w:val="en-GB"/>
        </w:rPr>
        <w:t>200</w:t>
      </w:r>
      <w:r w:rsidRPr="002D2F67">
        <w:rPr>
          <w:rFonts w:ascii="Arial" w:eastAsia="Arial Unicode MS" w:hAnsi="Arial" w:cs="Arial"/>
          <w:spacing w:val="-4"/>
          <w:sz w:val="20"/>
          <w:szCs w:val="20"/>
        </w:rPr>
        <w:t xml:space="preserve"> million, with monthly principal and interest repayments term starting from August </w:t>
      </w:r>
      <w:r w:rsidR="00CD5714" w:rsidRPr="00CD5714">
        <w:rPr>
          <w:rFonts w:ascii="Arial" w:eastAsia="Arial Unicode MS" w:hAnsi="Arial" w:cs="Arial"/>
          <w:spacing w:val="-4"/>
          <w:sz w:val="20"/>
          <w:szCs w:val="20"/>
          <w:lang w:val="en-GB"/>
        </w:rPr>
        <w:t>2024</w:t>
      </w:r>
      <w:r w:rsidRPr="002D2F67">
        <w:rPr>
          <w:rFonts w:ascii="Arial" w:eastAsia="Arial Unicode MS" w:hAnsi="Arial" w:cs="Arial"/>
          <w:spacing w:val="-4"/>
          <w:sz w:val="20"/>
          <w:szCs w:val="20"/>
        </w:rPr>
        <w:t xml:space="preserve"> to July </w:t>
      </w:r>
      <w:r w:rsidR="00CD5714" w:rsidRPr="00CD5714">
        <w:rPr>
          <w:rFonts w:ascii="Arial" w:eastAsia="Arial Unicode MS" w:hAnsi="Arial" w:cs="Arial"/>
          <w:spacing w:val="-4"/>
          <w:sz w:val="20"/>
          <w:szCs w:val="20"/>
          <w:lang w:val="en-GB"/>
        </w:rPr>
        <w:t>2026</w:t>
      </w:r>
      <w:r w:rsidRPr="002D2F67">
        <w:rPr>
          <w:rFonts w:ascii="Arial" w:eastAsia="Arial Unicode MS" w:hAnsi="Arial" w:cs="Arial"/>
          <w:spacing w:val="-4"/>
          <w:sz w:val="20"/>
          <w:szCs w:val="20"/>
        </w:rPr>
        <w:t>.</w:t>
      </w:r>
    </w:p>
    <w:p w14:paraId="75F78EBF" w14:textId="77777777" w:rsidR="003836DD" w:rsidRPr="002D2F67" w:rsidRDefault="003836DD" w:rsidP="00AB5B46">
      <w:pPr>
        <w:ind w:left="540"/>
        <w:jc w:val="thaiDistribute"/>
        <w:rPr>
          <w:rFonts w:ascii="Arial" w:hAnsi="Arial" w:cs="Arial"/>
          <w:spacing w:val="-2"/>
          <w:sz w:val="20"/>
          <w:szCs w:val="20"/>
        </w:rPr>
      </w:pPr>
    </w:p>
    <w:p w14:paraId="0B5B077D" w14:textId="089E3774" w:rsidR="003836DD" w:rsidRPr="002D2F67" w:rsidRDefault="009F1D09" w:rsidP="00AB5B46">
      <w:pPr>
        <w:ind w:left="540"/>
        <w:jc w:val="both"/>
        <w:rPr>
          <w:rFonts w:ascii="Arial" w:eastAsia="Arial Unicode MS" w:hAnsi="Arial" w:cs="Arial"/>
          <w:sz w:val="20"/>
          <w:szCs w:val="20"/>
        </w:rPr>
      </w:pPr>
      <w:r w:rsidRPr="002D2F67">
        <w:rPr>
          <w:rFonts w:ascii="Arial" w:eastAsia="Arial Unicode MS" w:hAnsi="Arial" w:cs="Arial"/>
          <w:sz w:val="20"/>
          <w:szCs w:val="20"/>
        </w:rPr>
        <w:t>Long</w:t>
      </w:r>
      <w:r w:rsidR="003836DD" w:rsidRPr="002D2F67">
        <w:rPr>
          <w:rFonts w:ascii="Arial" w:eastAsia="Arial Unicode MS" w:hAnsi="Arial" w:cs="Arial"/>
          <w:sz w:val="20"/>
          <w:szCs w:val="20"/>
        </w:rPr>
        <w:t xml:space="preserve">-term loans bore a fixed interest rate of </w:t>
      </w:r>
      <w:r w:rsidR="00CD5714" w:rsidRPr="00CD5714">
        <w:rPr>
          <w:rFonts w:ascii="Arial" w:eastAsia="Arial Unicode MS" w:hAnsi="Arial" w:cs="Arial"/>
          <w:sz w:val="20"/>
          <w:szCs w:val="20"/>
          <w:lang w:val="en-GB"/>
        </w:rPr>
        <w:t>5</w:t>
      </w:r>
      <w:r w:rsidR="003836DD" w:rsidRPr="002D2F67">
        <w:rPr>
          <w:rFonts w:ascii="Arial" w:eastAsia="Arial Unicode MS" w:hAnsi="Arial" w:cs="Arial"/>
          <w:sz w:val="20"/>
          <w:szCs w:val="20"/>
        </w:rPr>
        <w:t>.</w:t>
      </w:r>
      <w:r w:rsidR="00CD5714" w:rsidRPr="00CD5714">
        <w:rPr>
          <w:rFonts w:ascii="Arial" w:eastAsia="Arial Unicode MS" w:hAnsi="Arial" w:cs="Arial"/>
          <w:sz w:val="20"/>
          <w:szCs w:val="20"/>
          <w:lang w:val="en-GB"/>
        </w:rPr>
        <w:t>50</w:t>
      </w:r>
      <w:r w:rsidR="003836DD" w:rsidRPr="002D2F67">
        <w:rPr>
          <w:rFonts w:ascii="Arial" w:eastAsia="Arial Unicode MS" w:hAnsi="Arial" w:cs="Arial"/>
          <w:sz w:val="20"/>
          <w:szCs w:val="20"/>
        </w:rPr>
        <w:t>% per annum and are secured by the rights to the deposits at financial institution, factory buildings, machinery and equipment used by the Group, right to collect proceeds from some power purchase agreements of the Group, subsidiaries’ ordinary shares and assignment of insurance contracts. The Group must comply with certain covenants and restrictions as specified in the long-term loan agreements and syndicated loan agreements, such as maintaining debt-to-equity ratios and debt service coverage ratios</w:t>
      </w:r>
      <w:r w:rsidR="00634427" w:rsidRPr="002D2F67">
        <w:rPr>
          <w:rFonts w:ascii="Arial" w:eastAsia="Arial Unicode MS" w:hAnsi="Arial" w:cs="Arial"/>
          <w:sz w:val="20"/>
          <w:szCs w:val="20"/>
        </w:rPr>
        <w:t>.</w:t>
      </w:r>
    </w:p>
    <w:p w14:paraId="7B895A44" w14:textId="77011B64" w:rsidR="009F1D09" w:rsidRPr="002D2F67" w:rsidRDefault="00AB5B46" w:rsidP="00304272">
      <w:pPr>
        <w:jc w:val="both"/>
        <w:rPr>
          <w:rFonts w:ascii="Arial" w:hAnsi="Arial" w:cs="Arial"/>
          <w:color w:val="000000"/>
          <w:sz w:val="20"/>
          <w:szCs w:val="20"/>
        </w:rPr>
      </w:pPr>
      <w:r w:rsidRPr="002D2F67">
        <w:rPr>
          <w:rFonts w:ascii="Arial" w:hAnsi="Arial" w:cs="Arial"/>
          <w:color w:val="000000"/>
          <w:sz w:val="20"/>
          <w:szCs w:val="20"/>
        </w:rPr>
        <w:br w:type="page"/>
      </w:r>
    </w:p>
    <w:p w14:paraId="280EC858" w14:textId="7E26C5AF" w:rsidR="00B4267B" w:rsidRPr="002D2F67" w:rsidRDefault="00C57F8A" w:rsidP="005611FE">
      <w:pPr>
        <w:ind w:left="540"/>
        <w:jc w:val="both"/>
        <w:rPr>
          <w:rFonts w:ascii="Arial" w:hAnsi="Arial" w:cs="Arial"/>
          <w:color w:val="000000"/>
          <w:sz w:val="20"/>
          <w:szCs w:val="20"/>
        </w:rPr>
      </w:pPr>
      <w:r w:rsidRPr="002D2F67">
        <w:rPr>
          <w:rFonts w:ascii="Arial" w:hAnsi="Arial" w:cs="Arial"/>
          <w:color w:val="000000"/>
          <w:spacing w:val="-8"/>
          <w:sz w:val="20"/>
          <w:szCs w:val="20"/>
        </w:rPr>
        <w:t xml:space="preserve">As </w:t>
      </w:r>
      <w:proofErr w:type="gramStart"/>
      <w:r w:rsidRPr="002D2F67">
        <w:rPr>
          <w:rFonts w:ascii="Arial" w:hAnsi="Arial" w:cs="Arial"/>
          <w:color w:val="000000"/>
          <w:spacing w:val="-8"/>
          <w:sz w:val="20"/>
          <w:szCs w:val="20"/>
        </w:rPr>
        <w:t>at</w:t>
      </w:r>
      <w:proofErr w:type="gramEnd"/>
      <w:r w:rsidRPr="002D2F67">
        <w:rPr>
          <w:rFonts w:ascii="Arial" w:hAnsi="Arial" w:cs="Arial"/>
          <w:color w:val="000000"/>
          <w:spacing w:val="-8"/>
          <w:sz w:val="20"/>
          <w:szCs w:val="20"/>
        </w:rPr>
        <w:t xml:space="preserve"> </w:t>
      </w:r>
      <w:r w:rsidR="00CD5714" w:rsidRPr="00CD5714">
        <w:rPr>
          <w:rFonts w:ascii="Arial" w:hAnsi="Arial" w:cs="Arial"/>
          <w:color w:val="000000"/>
          <w:spacing w:val="-8"/>
          <w:sz w:val="20"/>
          <w:szCs w:val="20"/>
          <w:lang w:val="en-GB"/>
        </w:rPr>
        <w:t>31</w:t>
      </w:r>
      <w:r w:rsidRPr="002D2F67">
        <w:rPr>
          <w:rFonts w:ascii="Arial" w:hAnsi="Arial" w:cs="Arial"/>
          <w:color w:val="000000"/>
          <w:spacing w:val="-8"/>
          <w:sz w:val="20"/>
          <w:szCs w:val="20"/>
        </w:rPr>
        <w:t xml:space="preserve"> December, long-term loans from financial institutions of the Company and subsidiaries are as follows</w:t>
      </w:r>
      <w:r w:rsidRPr="002D2F67">
        <w:rPr>
          <w:rFonts w:ascii="Arial" w:hAnsi="Arial" w:cs="Arial"/>
          <w:color w:val="000000"/>
          <w:sz w:val="20"/>
          <w:szCs w:val="20"/>
        </w:rPr>
        <w:t>:</w:t>
      </w:r>
    </w:p>
    <w:p w14:paraId="6B689F96" w14:textId="77777777" w:rsidR="00C57F8A" w:rsidRPr="002D2F67" w:rsidRDefault="00C57F8A" w:rsidP="005611FE">
      <w:pPr>
        <w:ind w:left="540"/>
        <w:jc w:val="both"/>
        <w:rPr>
          <w:rFonts w:ascii="Arial" w:hAnsi="Arial" w:cs="Arial"/>
          <w:color w:val="000000"/>
          <w:sz w:val="20"/>
          <w:szCs w:val="20"/>
        </w:rPr>
      </w:pPr>
    </w:p>
    <w:p w14:paraId="5A28ACA3" w14:textId="6EDB8CE8" w:rsidR="00B4267B" w:rsidRPr="002D2F67" w:rsidRDefault="00B4267B" w:rsidP="005611FE">
      <w:pPr>
        <w:ind w:left="539"/>
        <w:rPr>
          <w:rFonts w:ascii="Arial" w:hAnsi="Arial" w:cs="Arial"/>
          <w:b/>
          <w:bCs/>
          <w:color w:val="000000"/>
          <w:sz w:val="20"/>
          <w:szCs w:val="20"/>
          <w:u w:val="single"/>
          <w:lang w:val="en"/>
        </w:rPr>
      </w:pPr>
      <w:r w:rsidRPr="002D2F67">
        <w:rPr>
          <w:rFonts w:ascii="Arial" w:hAnsi="Arial" w:cs="Arial"/>
          <w:color w:val="000000"/>
          <w:sz w:val="20"/>
          <w:szCs w:val="20"/>
          <w:u w:val="single"/>
          <w:lang w:val="en"/>
        </w:rPr>
        <w:t>Loan</w:t>
      </w:r>
      <w:r w:rsidR="00AB0558" w:rsidRPr="002D2F67">
        <w:rPr>
          <w:rFonts w:ascii="Arial" w:hAnsi="Arial" w:cs="Arial"/>
          <w:color w:val="000000"/>
          <w:sz w:val="20"/>
          <w:szCs w:val="20"/>
          <w:u w:val="single"/>
          <w:lang w:val="en"/>
        </w:rPr>
        <w:t>s</w:t>
      </w:r>
      <w:r w:rsidRPr="002D2F67">
        <w:rPr>
          <w:rFonts w:ascii="Arial" w:hAnsi="Arial" w:cs="Arial"/>
          <w:color w:val="000000"/>
          <w:sz w:val="20"/>
          <w:szCs w:val="20"/>
          <w:u w:val="single"/>
          <w:lang w:val="en"/>
        </w:rPr>
        <w:t xml:space="preserve"> of the Company</w:t>
      </w:r>
    </w:p>
    <w:p w14:paraId="6573CCCB" w14:textId="77777777" w:rsidR="00B4267B" w:rsidRPr="002D2F67" w:rsidRDefault="00B4267B" w:rsidP="005611FE">
      <w:pPr>
        <w:ind w:left="540"/>
        <w:jc w:val="both"/>
        <w:rPr>
          <w:rFonts w:ascii="Arial" w:hAnsi="Arial" w:cs="Arial"/>
          <w:color w:val="000000"/>
          <w:sz w:val="20"/>
          <w:szCs w:val="20"/>
          <w:lang w:val="en"/>
        </w:rPr>
      </w:pPr>
    </w:p>
    <w:tbl>
      <w:tblPr>
        <w:tblW w:w="8910" w:type="dxa"/>
        <w:tblInd w:w="648" w:type="dxa"/>
        <w:tblLayout w:type="fixed"/>
        <w:tblLook w:val="0000" w:firstRow="0" w:lastRow="0" w:firstColumn="0" w:lastColumn="0" w:noHBand="0" w:noVBand="0"/>
      </w:tblPr>
      <w:tblGrid>
        <w:gridCol w:w="738"/>
        <w:gridCol w:w="1132"/>
        <w:gridCol w:w="1134"/>
        <w:gridCol w:w="2268"/>
        <w:gridCol w:w="1843"/>
        <w:gridCol w:w="1795"/>
      </w:tblGrid>
      <w:tr w:rsidR="001A4AC6" w:rsidRPr="002D2F67" w14:paraId="58513D5A" w14:textId="20CFCE3B" w:rsidTr="002D2F67">
        <w:trPr>
          <w:trHeight w:val="225"/>
        </w:trPr>
        <w:tc>
          <w:tcPr>
            <w:tcW w:w="738" w:type="dxa"/>
            <w:shd w:val="clear" w:color="auto" w:fill="auto"/>
            <w:vAlign w:val="bottom"/>
          </w:tcPr>
          <w:p w14:paraId="78FC6ABC" w14:textId="77777777" w:rsidR="001A4AC6" w:rsidRPr="002D2F67" w:rsidRDefault="001A4AC6" w:rsidP="005611FE">
            <w:pPr>
              <w:ind w:left="-104" w:right="-75"/>
              <w:jc w:val="center"/>
              <w:rPr>
                <w:rFonts w:ascii="Arial" w:hAnsi="Arial" w:cs="Arial"/>
                <w:b/>
                <w:bCs/>
                <w:color w:val="000000"/>
                <w:spacing w:val="-4"/>
                <w:sz w:val="18"/>
                <w:szCs w:val="18"/>
              </w:rPr>
            </w:pPr>
          </w:p>
        </w:tc>
        <w:tc>
          <w:tcPr>
            <w:tcW w:w="2266" w:type="dxa"/>
            <w:gridSpan w:val="2"/>
            <w:tcBorders>
              <w:bottom w:val="single" w:sz="4" w:space="0" w:color="auto"/>
            </w:tcBorders>
            <w:shd w:val="clear" w:color="auto" w:fill="auto"/>
            <w:vAlign w:val="bottom"/>
          </w:tcPr>
          <w:p w14:paraId="03AF5A98" w14:textId="2C29B0CF" w:rsidR="001A4AC6" w:rsidRPr="002D2F67" w:rsidRDefault="001A4AC6" w:rsidP="005611FE">
            <w:pPr>
              <w:ind w:left="-29" w:right="-108"/>
              <w:jc w:val="center"/>
              <w:rPr>
                <w:rFonts w:ascii="Arial" w:hAnsi="Arial" w:cs="Arial"/>
                <w:b/>
                <w:bCs/>
                <w:color w:val="000000"/>
                <w:sz w:val="18"/>
                <w:szCs w:val="18"/>
              </w:rPr>
            </w:pPr>
            <w:r w:rsidRPr="002D2F67">
              <w:rPr>
                <w:rFonts w:ascii="Arial" w:hAnsi="Arial" w:cs="Arial"/>
                <w:b/>
                <w:bCs/>
                <w:color w:val="000000"/>
                <w:sz w:val="18"/>
                <w:szCs w:val="18"/>
              </w:rPr>
              <w:t>Balance</w:t>
            </w:r>
          </w:p>
        </w:tc>
        <w:tc>
          <w:tcPr>
            <w:tcW w:w="2268" w:type="dxa"/>
            <w:shd w:val="clear" w:color="auto" w:fill="auto"/>
            <w:vAlign w:val="bottom"/>
          </w:tcPr>
          <w:p w14:paraId="793328B8" w14:textId="77777777" w:rsidR="001A4AC6" w:rsidRPr="002D2F67" w:rsidRDefault="001A4AC6" w:rsidP="005611FE">
            <w:pPr>
              <w:ind w:left="-29" w:right="-29"/>
              <w:jc w:val="center"/>
              <w:rPr>
                <w:rFonts w:ascii="Arial" w:hAnsi="Arial" w:cs="Arial"/>
                <w:b/>
                <w:bCs/>
                <w:color w:val="000000"/>
                <w:sz w:val="18"/>
                <w:szCs w:val="18"/>
              </w:rPr>
            </w:pPr>
          </w:p>
        </w:tc>
        <w:tc>
          <w:tcPr>
            <w:tcW w:w="1843" w:type="dxa"/>
            <w:shd w:val="clear" w:color="auto" w:fill="auto"/>
            <w:vAlign w:val="bottom"/>
          </w:tcPr>
          <w:p w14:paraId="3AAE2131" w14:textId="77777777" w:rsidR="001A4AC6" w:rsidRPr="002D2F67" w:rsidRDefault="001A4AC6" w:rsidP="005611FE">
            <w:pPr>
              <w:ind w:left="-29" w:right="-29"/>
              <w:jc w:val="center"/>
              <w:rPr>
                <w:rFonts w:ascii="Arial" w:hAnsi="Arial" w:cs="Arial"/>
                <w:b/>
                <w:bCs/>
                <w:color w:val="000000"/>
                <w:sz w:val="18"/>
                <w:szCs w:val="18"/>
              </w:rPr>
            </w:pPr>
          </w:p>
        </w:tc>
        <w:tc>
          <w:tcPr>
            <w:tcW w:w="1795" w:type="dxa"/>
            <w:shd w:val="clear" w:color="auto" w:fill="auto"/>
            <w:vAlign w:val="bottom"/>
          </w:tcPr>
          <w:p w14:paraId="453C2280" w14:textId="77777777" w:rsidR="001A4AC6" w:rsidRPr="002D2F67" w:rsidRDefault="001A4AC6" w:rsidP="005611FE">
            <w:pPr>
              <w:ind w:left="-29" w:right="-29"/>
              <w:jc w:val="center"/>
              <w:rPr>
                <w:rFonts w:ascii="Arial" w:hAnsi="Arial" w:cs="Arial"/>
                <w:b/>
                <w:bCs/>
                <w:color w:val="000000"/>
                <w:sz w:val="18"/>
                <w:szCs w:val="18"/>
              </w:rPr>
            </w:pPr>
          </w:p>
        </w:tc>
      </w:tr>
      <w:tr w:rsidR="001A4AC6" w:rsidRPr="002D2F67" w14:paraId="14D109EF" w14:textId="06A08698" w:rsidTr="002D2F67">
        <w:trPr>
          <w:trHeight w:val="677"/>
        </w:trPr>
        <w:tc>
          <w:tcPr>
            <w:tcW w:w="738" w:type="dxa"/>
            <w:tcBorders>
              <w:bottom w:val="single" w:sz="4" w:space="0" w:color="auto"/>
            </w:tcBorders>
            <w:shd w:val="clear" w:color="auto" w:fill="auto"/>
            <w:vAlign w:val="bottom"/>
          </w:tcPr>
          <w:p w14:paraId="2004B745" w14:textId="77777777" w:rsidR="001A4AC6" w:rsidRPr="002D2F67" w:rsidRDefault="001A4AC6" w:rsidP="005611FE">
            <w:pPr>
              <w:ind w:left="-104" w:right="-75"/>
              <w:jc w:val="center"/>
              <w:rPr>
                <w:rFonts w:ascii="Arial" w:hAnsi="Arial" w:cs="Arial"/>
                <w:b/>
                <w:bCs/>
                <w:color w:val="000000"/>
                <w:spacing w:val="-4"/>
                <w:sz w:val="18"/>
                <w:szCs w:val="18"/>
              </w:rPr>
            </w:pPr>
            <w:r w:rsidRPr="002D2F67">
              <w:rPr>
                <w:rFonts w:ascii="Arial" w:hAnsi="Arial" w:cs="Arial"/>
                <w:b/>
                <w:bCs/>
                <w:color w:val="000000"/>
                <w:spacing w:val="-4"/>
                <w:sz w:val="18"/>
                <w:szCs w:val="18"/>
              </w:rPr>
              <w:t>Number</w:t>
            </w:r>
          </w:p>
        </w:tc>
        <w:tc>
          <w:tcPr>
            <w:tcW w:w="1132" w:type="dxa"/>
            <w:tcBorders>
              <w:top w:val="single" w:sz="4" w:space="0" w:color="auto"/>
              <w:bottom w:val="single" w:sz="4" w:space="0" w:color="auto"/>
            </w:tcBorders>
            <w:shd w:val="clear" w:color="auto" w:fill="auto"/>
            <w:vAlign w:val="bottom"/>
          </w:tcPr>
          <w:p w14:paraId="6FF78BC2" w14:textId="021FFF46" w:rsidR="001A4AC6" w:rsidRPr="002D2F67" w:rsidRDefault="00CD5714" w:rsidP="005611FE">
            <w:pPr>
              <w:ind w:left="-29" w:right="-108"/>
              <w:jc w:val="center"/>
              <w:rPr>
                <w:rFonts w:ascii="Arial" w:hAnsi="Arial" w:cs="Arial"/>
                <w:b/>
                <w:bCs/>
                <w:color w:val="000000"/>
                <w:sz w:val="18"/>
                <w:szCs w:val="18"/>
              </w:rPr>
            </w:pPr>
            <w:r w:rsidRPr="00CD5714">
              <w:rPr>
                <w:rFonts w:ascii="Arial" w:hAnsi="Arial" w:cs="Arial"/>
                <w:b/>
                <w:bCs/>
                <w:color w:val="000000"/>
                <w:sz w:val="18"/>
                <w:szCs w:val="18"/>
                <w:lang w:val="en-GB"/>
              </w:rPr>
              <w:t>2024</w:t>
            </w:r>
          </w:p>
          <w:p w14:paraId="06B98C70" w14:textId="2AE9C528" w:rsidR="001A4AC6" w:rsidRPr="002D2F67" w:rsidRDefault="001A4AC6" w:rsidP="005611FE">
            <w:pPr>
              <w:ind w:left="-29" w:right="-108"/>
              <w:jc w:val="center"/>
              <w:rPr>
                <w:rFonts w:ascii="Arial" w:hAnsi="Arial" w:cs="Arial"/>
                <w:b/>
                <w:bCs/>
                <w:color w:val="000000"/>
                <w:sz w:val="18"/>
                <w:szCs w:val="18"/>
              </w:rPr>
            </w:pPr>
            <w:r w:rsidRPr="002D2F67">
              <w:rPr>
                <w:rFonts w:ascii="Arial" w:hAnsi="Arial" w:cs="Arial"/>
                <w:b/>
                <w:bCs/>
                <w:color w:val="000000"/>
                <w:sz w:val="18"/>
                <w:szCs w:val="18"/>
              </w:rPr>
              <w:t xml:space="preserve">Million </w:t>
            </w:r>
            <w:r w:rsidR="00B75625" w:rsidRPr="002D2F67">
              <w:rPr>
                <w:rFonts w:ascii="Arial" w:hAnsi="Arial" w:cs="Arial"/>
                <w:b/>
                <w:bCs/>
                <w:color w:val="000000"/>
                <w:sz w:val="18"/>
                <w:szCs w:val="18"/>
              </w:rPr>
              <w:br/>
            </w:r>
            <w:r w:rsidRPr="002D2F67">
              <w:rPr>
                <w:rFonts w:ascii="Arial" w:hAnsi="Arial" w:cs="Arial"/>
                <w:b/>
                <w:bCs/>
                <w:color w:val="000000"/>
                <w:sz w:val="18"/>
                <w:szCs w:val="18"/>
              </w:rPr>
              <w:t>Baht</w:t>
            </w:r>
          </w:p>
        </w:tc>
        <w:tc>
          <w:tcPr>
            <w:tcW w:w="1134" w:type="dxa"/>
            <w:tcBorders>
              <w:top w:val="single" w:sz="4" w:space="0" w:color="auto"/>
              <w:bottom w:val="single" w:sz="4" w:space="0" w:color="auto"/>
            </w:tcBorders>
            <w:shd w:val="clear" w:color="auto" w:fill="auto"/>
            <w:vAlign w:val="bottom"/>
          </w:tcPr>
          <w:p w14:paraId="174D5B03" w14:textId="6ED0E7EC" w:rsidR="001A4AC6" w:rsidRPr="002D2F67" w:rsidRDefault="00CD5714" w:rsidP="005611FE">
            <w:pPr>
              <w:ind w:left="-29" w:right="-108"/>
              <w:jc w:val="center"/>
              <w:rPr>
                <w:rFonts w:ascii="Arial" w:hAnsi="Arial" w:cs="Arial"/>
                <w:b/>
                <w:bCs/>
                <w:color w:val="000000"/>
                <w:sz w:val="18"/>
                <w:szCs w:val="18"/>
              </w:rPr>
            </w:pPr>
            <w:r w:rsidRPr="00CD5714">
              <w:rPr>
                <w:rFonts w:ascii="Arial" w:hAnsi="Arial" w:cs="Arial"/>
                <w:b/>
                <w:bCs/>
                <w:color w:val="000000"/>
                <w:sz w:val="18"/>
                <w:szCs w:val="18"/>
                <w:lang w:val="en-GB"/>
              </w:rPr>
              <w:t>2023</w:t>
            </w:r>
          </w:p>
          <w:p w14:paraId="0DA95005" w14:textId="653D5FC7" w:rsidR="001A4AC6" w:rsidRPr="002D2F67" w:rsidRDefault="001A4AC6" w:rsidP="005611FE">
            <w:pPr>
              <w:ind w:left="-29" w:right="-108"/>
              <w:jc w:val="center"/>
              <w:rPr>
                <w:rFonts w:ascii="Arial" w:hAnsi="Arial" w:cs="Arial"/>
                <w:b/>
                <w:bCs/>
                <w:color w:val="000000"/>
                <w:sz w:val="18"/>
                <w:szCs w:val="18"/>
              </w:rPr>
            </w:pPr>
            <w:r w:rsidRPr="002D2F67">
              <w:rPr>
                <w:rFonts w:ascii="Arial" w:hAnsi="Arial" w:cs="Arial"/>
                <w:b/>
                <w:bCs/>
                <w:color w:val="000000"/>
                <w:sz w:val="18"/>
                <w:szCs w:val="18"/>
              </w:rPr>
              <w:t xml:space="preserve">Million </w:t>
            </w:r>
            <w:r w:rsidR="00B75625" w:rsidRPr="002D2F67">
              <w:rPr>
                <w:rFonts w:ascii="Arial" w:hAnsi="Arial" w:cs="Arial"/>
                <w:b/>
                <w:bCs/>
                <w:color w:val="000000"/>
                <w:sz w:val="18"/>
                <w:szCs w:val="18"/>
              </w:rPr>
              <w:br/>
            </w:r>
            <w:r w:rsidRPr="002D2F67">
              <w:rPr>
                <w:rFonts w:ascii="Arial" w:hAnsi="Arial" w:cs="Arial"/>
                <w:b/>
                <w:bCs/>
                <w:color w:val="000000"/>
                <w:sz w:val="18"/>
                <w:szCs w:val="18"/>
              </w:rPr>
              <w:t>Baht</w:t>
            </w:r>
          </w:p>
        </w:tc>
        <w:tc>
          <w:tcPr>
            <w:tcW w:w="2268" w:type="dxa"/>
            <w:tcBorders>
              <w:bottom w:val="single" w:sz="4" w:space="0" w:color="auto"/>
            </w:tcBorders>
            <w:shd w:val="clear" w:color="auto" w:fill="auto"/>
            <w:vAlign w:val="bottom"/>
          </w:tcPr>
          <w:p w14:paraId="336F7FB2" w14:textId="77777777" w:rsidR="001A4AC6" w:rsidRPr="002D2F67" w:rsidRDefault="001A4AC6" w:rsidP="005611FE">
            <w:pPr>
              <w:ind w:left="-29" w:right="-29"/>
              <w:jc w:val="center"/>
              <w:rPr>
                <w:rFonts w:ascii="Arial" w:hAnsi="Arial" w:cs="Arial"/>
                <w:b/>
                <w:bCs/>
                <w:color w:val="000000"/>
                <w:sz w:val="18"/>
                <w:szCs w:val="18"/>
              </w:rPr>
            </w:pPr>
            <w:r w:rsidRPr="002D2F67">
              <w:rPr>
                <w:rFonts w:ascii="Arial" w:hAnsi="Arial" w:cs="Arial"/>
                <w:b/>
                <w:bCs/>
                <w:color w:val="000000"/>
                <w:sz w:val="18"/>
                <w:szCs w:val="18"/>
              </w:rPr>
              <w:t>Interest rate</w:t>
            </w:r>
          </w:p>
        </w:tc>
        <w:tc>
          <w:tcPr>
            <w:tcW w:w="1843" w:type="dxa"/>
            <w:tcBorders>
              <w:bottom w:val="single" w:sz="4" w:space="0" w:color="auto"/>
            </w:tcBorders>
            <w:shd w:val="clear" w:color="auto" w:fill="auto"/>
            <w:vAlign w:val="bottom"/>
          </w:tcPr>
          <w:p w14:paraId="5782AC20" w14:textId="77777777" w:rsidR="001A4AC6" w:rsidRPr="002D2F67" w:rsidRDefault="001A4AC6" w:rsidP="005611FE">
            <w:pPr>
              <w:ind w:left="-29" w:right="-29"/>
              <w:jc w:val="center"/>
              <w:rPr>
                <w:rFonts w:ascii="Arial" w:hAnsi="Arial" w:cs="Arial"/>
                <w:b/>
                <w:bCs/>
                <w:color w:val="000000"/>
                <w:sz w:val="18"/>
                <w:szCs w:val="18"/>
              </w:rPr>
            </w:pPr>
            <w:r w:rsidRPr="002D2F67">
              <w:rPr>
                <w:rFonts w:ascii="Arial" w:hAnsi="Arial" w:cs="Arial"/>
                <w:b/>
                <w:bCs/>
                <w:color w:val="000000"/>
                <w:sz w:val="18"/>
                <w:szCs w:val="18"/>
              </w:rPr>
              <w:t>Principal</w:t>
            </w:r>
          </w:p>
          <w:p w14:paraId="4B122702" w14:textId="77777777" w:rsidR="001A4AC6" w:rsidRPr="002D2F67" w:rsidRDefault="001A4AC6" w:rsidP="005611FE">
            <w:pPr>
              <w:ind w:left="-29" w:right="-29"/>
              <w:jc w:val="center"/>
              <w:rPr>
                <w:rFonts w:ascii="Arial" w:hAnsi="Arial" w:cs="Arial"/>
                <w:b/>
                <w:bCs/>
                <w:color w:val="000000"/>
                <w:sz w:val="18"/>
                <w:szCs w:val="18"/>
              </w:rPr>
            </w:pPr>
            <w:r w:rsidRPr="002D2F67">
              <w:rPr>
                <w:rFonts w:ascii="Arial" w:hAnsi="Arial" w:cs="Arial"/>
                <w:b/>
                <w:bCs/>
                <w:color w:val="000000"/>
                <w:sz w:val="18"/>
                <w:szCs w:val="18"/>
              </w:rPr>
              <w:t>repayment term</w:t>
            </w:r>
          </w:p>
        </w:tc>
        <w:tc>
          <w:tcPr>
            <w:tcW w:w="1795" w:type="dxa"/>
            <w:tcBorders>
              <w:bottom w:val="single" w:sz="4" w:space="0" w:color="auto"/>
            </w:tcBorders>
            <w:shd w:val="clear" w:color="auto" w:fill="auto"/>
            <w:vAlign w:val="bottom"/>
          </w:tcPr>
          <w:p w14:paraId="126F5A56" w14:textId="77777777" w:rsidR="001A4AC6" w:rsidRPr="002D2F67" w:rsidRDefault="001A4AC6" w:rsidP="005611FE">
            <w:pPr>
              <w:ind w:left="-29" w:right="-29"/>
              <w:jc w:val="center"/>
              <w:rPr>
                <w:rFonts w:ascii="Arial" w:hAnsi="Arial" w:cs="Arial"/>
                <w:b/>
                <w:bCs/>
                <w:color w:val="000000"/>
                <w:sz w:val="18"/>
                <w:szCs w:val="18"/>
              </w:rPr>
            </w:pPr>
            <w:r w:rsidRPr="002D2F67">
              <w:rPr>
                <w:rFonts w:ascii="Arial" w:hAnsi="Arial" w:cs="Arial"/>
                <w:b/>
                <w:bCs/>
                <w:color w:val="000000"/>
                <w:sz w:val="18"/>
                <w:szCs w:val="18"/>
              </w:rPr>
              <w:t>Interest</w:t>
            </w:r>
          </w:p>
          <w:p w14:paraId="54E94A37" w14:textId="7638BD26" w:rsidR="001A4AC6" w:rsidRPr="002D2F67" w:rsidRDefault="001A4AC6" w:rsidP="005611FE">
            <w:pPr>
              <w:ind w:left="-29" w:right="-29"/>
              <w:jc w:val="center"/>
              <w:rPr>
                <w:rFonts w:ascii="Arial" w:hAnsi="Arial" w:cs="Arial"/>
                <w:b/>
                <w:bCs/>
                <w:color w:val="000000"/>
                <w:sz w:val="18"/>
                <w:szCs w:val="18"/>
              </w:rPr>
            </w:pPr>
            <w:r w:rsidRPr="002D2F67">
              <w:rPr>
                <w:rFonts w:ascii="Arial" w:hAnsi="Arial" w:cs="Arial"/>
                <w:b/>
                <w:bCs/>
                <w:color w:val="000000"/>
                <w:sz w:val="18"/>
                <w:szCs w:val="18"/>
              </w:rPr>
              <w:t>payment period</w:t>
            </w:r>
          </w:p>
        </w:tc>
      </w:tr>
      <w:tr w:rsidR="001A4AC6" w:rsidRPr="002D2F67" w14:paraId="2156B41A" w14:textId="6BC7CA37" w:rsidTr="002D2F67">
        <w:trPr>
          <w:trHeight w:val="19"/>
        </w:trPr>
        <w:tc>
          <w:tcPr>
            <w:tcW w:w="738" w:type="dxa"/>
            <w:tcBorders>
              <w:top w:val="single" w:sz="4" w:space="0" w:color="auto"/>
            </w:tcBorders>
            <w:shd w:val="clear" w:color="auto" w:fill="auto"/>
          </w:tcPr>
          <w:p w14:paraId="3276C328" w14:textId="77777777" w:rsidR="001A4AC6" w:rsidRPr="002D2F67" w:rsidRDefault="001A4AC6" w:rsidP="005611FE">
            <w:pPr>
              <w:ind w:left="-104" w:right="-75"/>
              <w:jc w:val="center"/>
              <w:rPr>
                <w:rFonts w:ascii="Arial" w:hAnsi="Arial" w:cs="Arial"/>
                <w:color w:val="000000"/>
                <w:sz w:val="18"/>
                <w:szCs w:val="18"/>
              </w:rPr>
            </w:pPr>
          </w:p>
        </w:tc>
        <w:tc>
          <w:tcPr>
            <w:tcW w:w="1132" w:type="dxa"/>
            <w:tcBorders>
              <w:top w:val="single" w:sz="4" w:space="0" w:color="auto"/>
            </w:tcBorders>
            <w:shd w:val="clear" w:color="auto" w:fill="auto"/>
          </w:tcPr>
          <w:p w14:paraId="1129AB41" w14:textId="77777777" w:rsidR="001A4AC6" w:rsidRPr="002D2F67" w:rsidRDefault="001A4AC6" w:rsidP="005611FE">
            <w:pPr>
              <w:ind w:left="-29" w:right="-29"/>
              <w:jc w:val="center"/>
              <w:rPr>
                <w:rFonts w:ascii="Arial" w:hAnsi="Arial" w:cs="Arial"/>
                <w:color w:val="000000"/>
                <w:sz w:val="18"/>
                <w:szCs w:val="18"/>
              </w:rPr>
            </w:pPr>
          </w:p>
        </w:tc>
        <w:tc>
          <w:tcPr>
            <w:tcW w:w="1134" w:type="dxa"/>
            <w:tcBorders>
              <w:top w:val="single" w:sz="4" w:space="0" w:color="auto"/>
            </w:tcBorders>
            <w:shd w:val="clear" w:color="auto" w:fill="auto"/>
          </w:tcPr>
          <w:p w14:paraId="069B884D" w14:textId="77777777" w:rsidR="001A4AC6" w:rsidRPr="002D2F67" w:rsidRDefault="001A4AC6" w:rsidP="005611FE">
            <w:pPr>
              <w:ind w:left="-29" w:right="-29"/>
              <w:jc w:val="center"/>
              <w:rPr>
                <w:rFonts w:ascii="Arial" w:hAnsi="Arial" w:cs="Arial"/>
                <w:color w:val="000000"/>
                <w:sz w:val="18"/>
                <w:szCs w:val="18"/>
              </w:rPr>
            </w:pPr>
          </w:p>
        </w:tc>
        <w:tc>
          <w:tcPr>
            <w:tcW w:w="2268" w:type="dxa"/>
            <w:tcBorders>
              <w:top w:val="single" w:sz="4" w:space="0" w:color="auto"/>
            </w:tcBorders>
            <w:shd w:val="clear" w:color="auto" w:fill="auto"/>
          </w:tcPr>
          <w:p w14:paraId="17C8A17B" w14:textId="77777777" w:rsidR="001A4AC6" w:rsidRPr="002D2F67" w:rsidRDefault="001A4AC6" w:rsidP="005611FE">
            <w:pPr>
              <w:ind w:left="-29" w:right="-29"/>
              <w:jc w:val="center"/>
              <w:rPr>
                <w:rFonts w:ascii="Arial" w:hAnsi="Arial" w:cs="Arial"/>
                <w:color w:val="000000"/>
                <w:sz w:val="18"/>
                <w:szCs w:val="18"/>
              </w:rPr>
            </w:pPr>
          </w:p>
        </w:tc>
        <w:tc>
          <w:tcPr>
            <w:tcW w:w="1843" w:type="dxa"/>
            <w:tcBorders>
              <w:top w:val="single" w:sz="4" w:space="0" w:color="auto"/>
            </w:tcBorders>
            <w:shd w:val="clear" w:color="auto" w:fill="auto"/>
          </w:tcPr>
          <w:p w14:paraId="06E7A54F" w14:textId="77777777" w:rsidR="001A4AC6" w:rsidRPr="002D2F67" w:rsidRDefault="001A4AC6" w:rsidP="005611FE">
            <w:pPr>
              <w:ind w:left="-29" w:right="-29"/>
              <w:jc w:val="center"/>
              <w:rPr>
                <w:rFonts w:ascii="Arial" w:hAnsi="Arial" w:cs="Arial"/>
                <w:color w:val="000000"/>
                <w:sz w:val="18"/>
                <w:szCs w:val="18"/>
                <w:cs/>
              </w:rPr>
            </w:pPr>
          </w:p>
        </w:tc>
        <w:tc>
          <w:tcPr>
            <w:tcW w:w="1795" w:type="dxa"/>
            <w:tcBorders>
              <w:top w:val="single" w:sz="4" w:space="0" w:color="auto"/>
            </w:tcBorders>
            <w:shd w:val="clear" w:color="auto" w:fill="auto"/>
          </w:tcPr>
          <w:p w14:paraId="7FBD6EF5" w14:textId="77777777" w:rsidR="001A4AC6" w:rsidRPr="002D2F67" w:rsidRDefault="001A4AC6" w:rsidP="005611FE">
            <w:pPr>
              <w:ind w:left="-29" w:right="-29"/>
              <w:jc w:val="center"/>
              <w:rPr>
                <w:rFonts w:ascii="Arial" w:hAnsi="Arial" w:cs="Arial"/>
                <w:color w:val="000000"/>
                <w:sz w:val="18"/>
                <w:szCs w:val="18"/>
                <w:cs/>
              </w:rPr>
            </w:pPr>
          </w:p>
        </w:tc>
      </w:tr>
      <w:tr w:rsidR="001A4AC6" w:rsidRPr="002D2F67" w14:paraId="3691AD15" w14:textId="6A75B111" w:rsidTr="002D2F67">
        <w:trPr>
          <w:trHeight w:val="689"/>
        </w:trPr>
        <w:tc>
          <w:tcPr>
            <w:tcW w:w="738" w:type="dxa"/>
            <w:shd w:val="clear" w:color="auto" w:fill="auto"/>
          </w:tcPr>
          <w:p w14:paraId="1648101B" w14:textId="5D97CCFD" w:rsidR="001A4AC6" w:rsidRPr="002D2F67" w:rsidRDefault="00CD5714" w:rsidP="005611FE">
            <w:pPr>
              <w:ind w:left="-104" w:right="-75"/>
              <w:jc w:val="center"/>
              <w:rPr>
                <w:rFonts w:ascii="Arial" w:hAnsi="Arial" w:cs="Arial"/>
                <w:color w:val="000000"/>
                <w:sz w:val="18"/>
                <w:szCs w:val="18"/>
              </w:rPr>
            </w:pPr>
            <w:r w:rsidRPr="00CD5714">
              <w:rPr>
                <w:rFonts w:ascii="Arial" w:hAnsi="Arial" w:cs="Arial"/>
                <w:color w:val="000000"/>
                <w:sz w:val="18"/>
                <w:szCs w:val="18"/>
                <w:lang w:val="en-GB"/>
              </w:rPr>
              <w:t>1</w:t>
            </w:r>
          </w:p>
        </w:tc>
        <w:tc>
          <w:tcPr>
            <w:tcW w:w="1132" w:type="dxa"/>
            <w:shd w:val="clear" w:color="auto" w:fill="auto"/>
          </w:tcPr>
          <w:p w14:paraId="659E9A4C" w14:textId="57BB5325" w:rsidR="001A4AC6" w:rsidRPr="002D2F67" w:rsidRDefault="00CD5714" w:rsidP="005611FE">
            <w:pPr>
              <w:ind w:left="-43" w:right="-53"/>
              <w:jc w:val="right"/>
              <w:rPr>
                <w:rFonts w:ascii="Arial" w:hAnsi="Arial" w:cs="Arial"/>
                <w:color w:val="000000"/>
                <w:sz w:val="18"/>
                <w:szCs w:val="18"/>
              </w:rPr>
            </w:pPr>
            <w:r w:rsidRPr="00CD5714">
              <w:rPr>
                <w:rFonts w:ascii="Arial" w:hAnsi="Arial" w:cs="Arial"/>
                <w:color w:val="000000"/>
                <w:sz w:val="18"/>
                <w:szCs w:val="18"/>
                <w:lang w:val="en-GB"/>
              </w:rPr>
              <w:t>338</w:t>
            </w:r>
          </w:p>
        </w:tc>
        <w:tc>
          <w:tcPr>
            <w:tcW w:w="1134" w:type="dxa"/>
            <w:shd w:val="clear" w:color="auto" w:fill="auto"/>
          </w:tcPr>
          <w:p w14:paraId="1092422F" w14:textId="08EBE006" w:rsidR="001A4AC6" w:rsidRPr="002D2F67" w:rsidRDefault="00CD5714" w:rsidP="005611FE">
            <w:pPr>
              <w:ind w:left="-43" w:right="-53"/>
              <w:jc w:val="right"/>
              <w:rPr>
                <w:rFonts w:ascii="Arial" w:hAnsi="Arial" w:cs="Arial"/>
                <w:color w:val="000000"/>
                <w:sz w:val="18"/>
                <w:szCs w:val="18"/>
              </w:rPr>
            </w:pPr>
            <w:r w:rsidRPr="00CD5714">
              <w:rPr>
                <w:rFonts w:ascii="Arial" w:hAnsi="Arial" w:cs="Arial"/>
                <w:color w:val="000000"/>
                <w:sz w:val="18"/>
                <w:szCs w:val="18"/>
                <w:lang w:val="en-GB"/>
              </w:rPr>
              <w:t>675</w:t>
            </w:r>
          </w:p>
        </w:tc>
        <w:tc>
          <w:tcPr>
            <w:tcW w:w="2268" w:type="dxa"/>
            <w:shd w:val="clear" w:color="auto" w:fill="auto"/>
          </w:tcPr>
          <w:p w14:paraId="14721D4A" w14:textId="77777777" w:rsidR="001A4AC6" w:rsidRPr="002D2F67" w:rsidRDefault="001A4AC6" w:rsidP="005611FE">
            <w:pPr>
              <w:jc w:val="center"/>
              <w:rPr>
                <w:rFonts w:ascii="Arial" w:hAnsi="Arial" w:cs="Arial"/>
                <w:color w:val="000000"/>
                <w:sz w:val="18"/>
                <w:szCs w:val="18"/>
              </w:rPr>
            </w:pPr>
            <w:r w:rsidRPr="002D2F67">
              <w:rPr>
                <w:rFonts w:ascii="Arial" w:hAnsi="Arial" w:cs="Arial"/>
                <w:color w:val="000000"/>
                <w:sz w:val="18"/>
                <w:szCs w:val="18"/>
              </w:rPr>
              <w:t xml:space="preserve">Fixed interest rate </w:t>
            </w:r>
          </w:p>
          <w:p w14:paraId="5601C01E" w14:textId="1AB7B70F" w:rsidR="001A4AC6" w:rsidRPr="002D2F67" w:rsidRDefault="001A4AC6" w:rsidP="00BD11F8">
            <w:pPr>
              <w:jc w:val="center"/>
              <w:rPr>
                <w:rFonts w:ascii="Arial" w:hAnsi="Arial" w:cs="Arial"/>
                <w:color w:val="000000"/>
                <w:sz w:val="18"/>
                <w:szCs w:val="18"/>
              </w:rPr>
            </w:pPr>
            <w:r w:rsidRPr="002D2F67">
              <w:rPr>
                <w:rFonts w:ascii="Arial" w:hAnsi="Arial" w:cs="Arial"/>
                <w:color w:val="000000"/>
                <w:sz w:val="18"/>
                <w:szCs w:val="18"/>
              </w:rPr>
              <w:t xml:space="preserve">per annum at </w:t>
            </w:r>
            <w:r w:rsidR="00CD5714" w:rsidRPr="00CD5714">
              <w:rPr>
                <w:rFonts w:ascii="Arial" w:hAnsi="Arial" w:cs="Arial"/>
                <w:color w:val="000000"/>
                <w:sz w:val="18"/>
                <w:szCs w:val="18"/>
                <w:lang w:val="en-GB"/>
              </w:rPr>
              <w:t>3</w:t>
            </w:r>
            <w:r w:rsidRPr="002D2F67">
              <w:rPr>
                <w:rFonts w:ascii="Arial" w:hAnsi="Arial" w:cs="Arial"/>
                <w:color w:val="000000"/>
                <w:sz w:val="18"/>
                <w:szCs w:val="18"/>
              </w:rPr>
              <w:t>.</w:t>
            </w:r>
            <w:r w:rsidR="00CD5714" w:rsidRPr="00CD5714">
              <w:rPr>
                <w:rFonts w:ascii="Arial" w:hAnsi="Arial" w:cs="Arial"/>
                <w:color w:val="000000"/>
                <w:sz w:val="18"/>
                <w:szCs w:val="18"/>
                <w:lang w:val="en-GB"/>
              </w:rPr>
              <w:t>55</w:t>
            </w:r>
            <w:r w:rsidRPr="002D2F67">
              <w:rPr>
                <w:rFonts w:ascii="Arial" w:hAnsi="Arial" w:cs="Arial"/>
                <w:color w:val="000000"/>
                <w:sz w:val="18"/>
                <w:szCs w:val="18"/>
              </w:rPr>
              <w:t>%</w:t>
            </w:r>
          </w:p>
        </w:tc>
        <w:tc>
          <w:tcPr>
            <w:tcW w:w="1843" w:type="dxa"/>
            <w:shd w:val="clear" w:color="auto" w:fill="auto"/>
          </w:tcPr>
          <w:p w14:paraId="1C341DD6" w14:textId="67DFD591"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 xml:space="preserve">Repayment every month from December </w:t>
            </w:r>
            <w:r w:rsidR="00CD5714" w:rsidRPr="00CD5714">
              <w:rPr>
                <w:rFonts w:ascii="Arial" w:hAnsi="Arial" w:cs="Arial"/>
                <w:color w:val="000000"/>
                <w:sz w:val="18"/>
                <w:szCs w:val="18"/>
                <w:lang w:val="en-GB"/>
              </w:rPr>
              <w:t>2020</w:t>
            </w:r>
          </w:p>
        </w:tc>
        <w:tc>
          <w:tcPr>
            <w:tcW w:w="1795" w:type="dxa"/>
            <w:shd w:val="clear" w:color="auto" w:fill="auto"/>
          </w:tcPr>
          <w:p w14:paraId="1669538A" w14:textId="77777777"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 xml:space="preserve">Payment every </w:t>
            </w:r>
          </w:p>
          <w:p w14:paraId="61B6A2D5" w14:textId="77777777"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six months</w:t>
            </w:r>
          </w:p>
        </w:tc>
      </w:tr>
      <w:tr w:rsidR="001A4AC6" w:rsidRPr="002D2F67" w14:paraId="3A49FB6C" w14:textId="77777777" w:rsidTr="002D2F67">
        <w:trPr>
          <w:trHeight w:val="689"/>
        </w:trPr>
        <w:tc>
          <w:tcPr>
            <w:tcW w:w="738" w:type="dxa"/>
            <w:shd w:val="clear" w:color="auto" w:fill="auto"/>
          </w:tcPr>
          <w:p w14:paraId="2C2D9D53" w14:textId="54AA237A" w:rsidR="001A4AC6" w:rsidRPr="002D2F67" w:rsidRDefault="00CD5714" w:rsidP="005611FE">
            <w:pPr>
              <w:ind w:left="-104" w:right="-75"/>
              <w:jc w:val="center"/>
              <w:rPr>
                <w:rFonts w:ascii="Arial" w:hAnsi="Arial" w:cs="Arial"/>
                <w:color w:val="000000"/>
                <w:sz w:val="18"/>
                <w:szCs w:val="18"/>
              </w:rPr>
            </w:pPr>
            <w:r w:rsidRPr="00CD5714">
              <w:rPr>
                <w:rFonts w:ascii="Arial" w:hAnsi="Arial" w:cs="Arial"/>
                <w:color w:val="000000"/>
                <w:sz w:val="18"/>
                <w:szCs w:val="18"/>
                <w:lang w:val="en-GB"/>
              </w:rPr>
              <w:t>2</w:t>
            </w:r>
          </w:p>
        </w:tc>
        <w:tc>
          <w:tcPr>
            <w:tcW w:w="1132" w:type="dxa"/>
            <w:shd w:val="clear" w:color="auto" w:fill="auto"/>
          </w:tcPr>
          <w:p w14:paraId="6CF9389D" w14:textId="4C59F4FA" w:rsidR="001A4AC6" w:rsidRPr="002D2F67" w:rsidRDefault="00CD5714" w:rsidP="005611FE">
            <w:pPr>
              <w:ind w:left="-43" w:right="-53"/>
              <w:jc w:val="right"/>
              <w:rPr>
                <w:rFonts w:ascii="Arial" w:hAnsi="Arial" w:cs="Arial"/>
                <w:color w:val="000000"/>
                <w:sz w:val="18"/>
                <w:szCs w:val="18"/>
              </w:rPr>
            </w:pPr>
            <w:r w:rsidRPr="00CD5714">
              <w:rPr>
                <w:rFonts w:ascii="Arial" w:hAnsi="Arial" w:cs="Arial"/>
                <w:color w:val="000000"/>
                <w:sz w:val="18"/>
                <w:szCs w:val="18"/>
                <w:lang w:val="en-GB"/>
              </w:rPr>
              <w:t>450</w:t>
            </w:r>
          </w:p>
        </w:tc>
        <w:tc>
          <w:tcPr>
            <w:tcW w:w="1134" w:type="dxa"/>
            <w:shd w:val="clear" w:color="auto" w:fill="auto"/>
          </w:tcPr>
          <w:p w14:paraId="2FFDD978" w14:textId="466FFEAB" w:rsidR="001A4AC6" w:rsidRPr="002D2F67" w:rsidRDefault="001A4AC6" w:rsidP="005611FE">
            <w:pPr>
              <w:ind w:left="-43" w:right="-53"/>
              <w:jc w:val="right"/>
              <w:rPr>
                <w:rFonts w:ascii="Arial" w:hAnsi="Arial" w:cs="Arial"/>
                <w:color w:val="000000"/>
                <w:sz w:val="18"/>
                <w:szCs w:val="18"/>
              </w:rPr>
            </w:pPr>
            <w:r w:rsidRPr="002D2F67">
              <w:rPr>
                <w:rFonts w:ascii="Arial" w:hAnsi="Arial" w:cs="Arial"/>
                <w:color w:val="000000"/>
                <w:sz w:val="18"/>
                <w:szCs w:val="18"/>
              </w:rPr>
              <w:t>-</w:t>
            </w:r>
          </w:p>
        </w:tc>
        <w:tc>
          <w:tcPr>
            <w:tcW w:w="2268" w:type="dxa"/>
            <w:shd w:val="clear" w:color="auto" w:fill="auto"/>
          </w:tcPr>
          <w:p w14:paraId="388CA2F1" w14:textId="20390015" w:rsidR="001A4AC6" w:rsidRPr="002D2F67" w:rsidRDefault="001A4AC6" w:rsidP="005611FE">
            <w:pPr>
              <w:jc w:val="center"/>
              <w:rPr>
                <w:rFonts w:ascii="Arial" w:hAnsi="Arial" w:cs="Arial"/>
                <w:color w:val="000000"/>
                <w:sz w:val="18"/>
                <w:szCs w:val="18"/>
              </w:rPr>
            </w:pPr>
            <w:r w:rsidRPr="002D2F67">
              <w:rPr>
                <w:rFonts w:ascii="Arial" w:hAnsi="Arial" w:cs="Arial"/>
                <w:color w:val="000000"/>
                <w:sz w:val="18"/>
                <w:szCs w:val="18"/>
              </w:rPr>
              <w:t>THOR plus a certain margin per annum</w:t>
            </w:r>
          </w:p>
        </w:tc>
        <w:tc>
          <w:tcPr>
            <w:tcW w:w="1843" w:type="dxa"/>
            <w:shd w:val="clear" w:color="auto" w:fill="auto"/>
          </w:tcPr>
          <w:p w14:paraId="0136ADB3" w14:textId="7EDE5B45" w:rsidR="001A4AC6" w:rsidRPr="002D2F67" w:rsidRDefault="001A4AC6" w:rsidP="00DC0B5C">
            <w:pPr>
              <w:ind w:left="-29" w:right="-29"/>
              <w:jc w:val="center"/>
              <w:rPr>
                <w:rFonts w:ascii="Arial" w:hAnsi="Arial" w:cs="Arial"/>
                <w:color w:val="000000"/>
                <w:sz w:val="18"/>
                <w:szCs w:val="18"/>
              </w:rPr>
            </w:pPr>
            <w:r w:rsidRPr="002D2F67">
              <w:rPr>
                <w:rFonts w:ascii="Arial" w:hAnsi="Arial" w:cs="Arial"/>
                <w:color w:val="000000"/>
                <w:sz w:val="18"/>
                <w:szCs w:val="18"/>
              </w:rPr>
              <w:t xml:space="preserve">Repayment within five years from </w:t>
            </w:r>
          </w:p>
          <w:p w14:paraId="0653C2EF" w14:textId="29B26A72" w:rsidR="001A4AC6" w:rsidRPr="002D2F67" w:rsidRDefault="001A4AC6" w:rsidP="00DC0B5C">
            <w:pPr>
              <w:ind w:left="-29" w:right="-29"/>
              <w:jc w:val="center"/>
              <w:rPr>
                <w:rFonts w:ascii="Arial" w:hAnsi="Arial" w:cs="Arial"/>
                <w:color w:val="000000"/>
                <w:sz w:val="18"/>
                <w:szCs w:val="18"/>
              </w:rPr>
            </w:pPr>
            <w:r w:rsidRPr="002D2F67">
              <w:rPr>
                <w:rFonts w:ascii="Arial" w:hAnsi="Arial" w:cs="Arial"/>
                <w:color w:val="000000"/>
                <w:sz w:val="18"/>
                <w:szCs w:val="18"/>
              </w:rPr>
              <w:t>the agreement date</w:t>
            </w:r>
          </w:p>
        </w:tc>
        <w:tc>
          <w:tcPr>
            <w:tcW w:w="1795" w:type="dxa"/>
            <w:shd w:val="clear" w:color="auto" w:fill="auto"/>
          </w:tcPr>
          <w:p w14:paraId="3E7A10F8" w14:textId="77777777" w:rsidR="001A4AC6" w:rsidRPr="002D2F67" w:rsidRDefault="001A4AC6" w:rsidP="00911D6E">
            <w:pPr>
              <w:ind w:left="-29" w:right="-29"/>
              <w:jc w:val="center"/>
              <w:rPr>
                <w:rFonts w:ascii="Arial" w:hAnsi="Arial" w:cs="Arial"/>
                <w:color w:val="000000"/>
                <w:sz w:val="18"/>
                <w:szCs w:val="18"/>
              </w:rPr>
            </w:pPr>
            <w:r w:rsidRPr="002D2F67">
              <w:rPr>
                <w:rFonts w:ascii="Arial" w:hAnsi="Arial" w:cs="Arial"/>
                <w:color w:val="000000"/>
                <w:sz w:val="18"/>
                <w:szCs w:val="18"/>
              </w:rPr>
              <w:t xml:space="preserve">Payment every </w:t>
            </w:r>
          </w:p>
          <w:p w14:paraId="5669F3F5" w14:textId="54BC445E" w:rsidR="001A4AC6" w:rsidRPr="002D2F67" w:rsidRDefault="001A4AC6" w:rsidP="00DC0B5C">
            <w:pPr>
              <w:ind w:left="-29" w:right="-29"/>
              <w:jc w:val="center"/>
              <w:rPr>
                <w:rFonts w:ascii="Arial" w:hAnsi="Arial" w:cs="Arial"/>
                <w:color w:val="000000"/>
                <w:sz w:val="18"/>
                <w:szCs w:val="18"/>
              </w:rPr>
            </w:pPr>
            <w:r w:rsidRPr="002D2F67">
              <w:rPr>
                <w:rFonts w:ascii="Arial" w:hAnsi="Arial" w:cs="Arial"/>
                <w:color w:val="000000"/>
                <w:sz w:val="18"/>
                <w:szCs w:val="18"/>
              </w:rPr>
              <w:t>months</w:t>
            </w:r>
          </w:p>
        </w:tc>
      </w:tr>
      <w:tr w:rsidR="001A4AC6" w:rsidRPr="002D2F67" w14:paraId="627FA4FC" w14:textId="4522EC7E" w:rsidTr="002D2F67">
        <w:trPr>
          <w:trHeight w:val="62"/>
        </w:trPr>
        <w:tc>
          <w:tcPr>
            <w:tcW w:w="738" w:type="dxa"/>
            <w:shd w:val="clear" w:color="auto" w:fill="auto"/>
          </w:tcPr>
          <w:p w14:paraId="5B91373D" w14:textId="42B300F4" w:rsidR="001A4AC6" w:rsidRPr="002D2F67" w:rsidRDefault="00CD5714" w:rsidP="005611FE">
            <w:pPr>
              <w:ind w:left="-104" w:right="-75"/>
              <w:jc w:val="center"/>
              <w:rPr>
                <w:rFonts w:ascii="Arial" w:hAnsi="Arial" w:cs="Arial"/>
                <w:color w:val="000000"/>
                <w:sz w:val="18"/>
                <w:szCs w:val="18"/>
              </w:rPr>
            </w:pPr>
            <w:r w:rsidRPr="00CD5714">
              <w:rPr>
                <w:rFonts w:ascii="Arial" w:hAnsi="Arial" w:cs="Arial"/>
                <w:color w:val="000000"/>
                <w:sz w:val="18"/>
                <w:szCs w:val="18"/>
                <w:lang w:val="en-GB"/>
              </w:rPr>
              <w:t>3</w:t>
            </w:r>
          </w:p>
        </w:tc>
        <w:tc>
          <w:tcPr>
            <w:tcW w:w="1132" w:type="dxa"/>
            <w:shd w:val="clear" w:color="auto" w:fill="auto"/>
          </w:tcPr>
          <w:p w14:paraId="6D0116F8" w14:textId="5CE67F7F" w:rsidR="001A4AC6" w:rsidRPr="002D2F67" w:rsidRDefault="00CD5714" w:rsidP="005611FE">
            <w:pPr>
              <w:ind w:left="-43" w:right="-53"/>
              <w:jc w:val="right"/>
              <w:rPr>
                <w:rFonts w:ascii="Arial" w:hAnsi="Arial" w:cs="Arial"/>
                <w:color w:val="000000"/>
                <w:sz w:val="18"/>
                <w:szCs w:val="18"/>
              </w:rPr>
            </w:pPr>
            <w:r w:rsidRPr="00CD5714">
              <w:rPr>
                <w:rFonts w:ascii="Arial" w:hAnsi="Arial" w:cs="Arial"/>
                <w:color w:val="000000"/>
                <w:sz w:val="18"/>
                <w:szCs w:val="18"/>
                <w:lang w:val="en-GB"/>
              </w:rPr>
              <w:t>1</w:t>
            </w:r>
            <w:r w:rsidR="001A4AC6" w:rsidRPr="002D2F67">
              <w:rPr>
                <w:rFonts w:ascii="Arial" w:hAnsi="Arial" w:cs="Arial"/>
                <w:color w:val="000000"/>
                <w:sz w:val="18"/>
                <w:szCs w:val="18"/>
              </w:rPr>
              <w:t>,</w:t>
            </w:r>
            <w:r w:rsidRPr="00CD5714">
              <w:rPr>
                <w:rFonts w:ascii="Arial" w:hAnsi="Arial" w:cs="Arial"/>
                <w:color w:val="000000"/>
                <w:sz w:val="18"/>
                <w:szCs w:val="18"/>
                <w:lang w:val="en-GB"/>
              </w:rPr>
              <w:t>500</w:t>
            </w:r>
          </w:p>
        </w:tc>
        <w:tc>
          <w:tcPr>
            <w:tcW w:w="1134" w:type="dxa"/>
            <w:shd w:val="clear" w:color="auto" w:fill="auto"/>
          </w:tcPr>
          <w:p w14:paraId="5DDB12F1" w14:textId="4A72518C" w:rsidR="001A4AC6" w:rsidRPr="002D2F67" w:rsidRDefault="00CD5714" w:rsidP="005611FE">
            <w:pPr>
              <w:ind w:left="-29" w:right="-53"/>
              <w:jc w:val="right"/>
              <w:rPr>
                <w:rFonts w:ascii="Arial" w:hAnsi="Arial" w:cs="Arial"/>
                <w:color w:val="000000"/>
                <w:sz w:val="18"/>
                <w:szCs w:val="18"/>
              </w:rPr>
            </w:pPr>
            <w:r w:rsidRPr="00CD5714">
              <w:rPr>
                <w:rFonts w:ascii="Arial" w:hAnsi="Arial" w:cs="Arial"/>
                <w:color w:val="000000"/>
                <w:sz w:val="18"/>
                <w:szCs w:val="18"/>
                <w:lang w:val="en-GB"/>
              </w:rPr>
              <w:t>1</w:t>
            </w:r>
            <w:r w:rsidR="001A4AC6" w:rsidRPr="002D2F67">
              <w:rPr>
                <w:rFonts w:ascii="Arial" w:hAnsi="Arial" w:cs="Arial"/>
                <w:color w:val="000000"/>
                <w:sz w:val="18"/>
                <w:szCs w:val="18"/>
              </w:rPr>
              <w:t>,</w:t>
            </w:r>
            <w:r w:rsidRPr="00CD5714">
              <w:rPr>
                <w:rFonts w:ascii="Arial" w:hAnsi="Arial" w:cs="Arial"/>
                <w:color w:val="000000"/>
                <w:sz w:val="18"/>
                <w:szCs w:val="18"/>
                <w:lang w:val="en-GB"/>
              </w:rPr>
              <w:t>800</w:t>
            </w:r>
          </w:p>
        </w:tc>
        <w:tc>
          <w:tcPr>
            <w:tcW w:w="2268" w:type="dxa"/>
            <w:shd w:val="clear" w:color="auto" w:fill="auto"/>
          </w:tcPr>
          <w:p w14:paraId="3872824A" w14:textId="264763F6"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BIBOR six-month</w:t>
            </w:r>
            <w:r w:rsidRPr="002D2F67">
              <w:rPr>
                <w:rFonts w:ascii="Arial" w:hAnsi="Arial" w:cs="Arial"/>
                <w:color w:val="000000"/>
                <w:sz w:val="18"/>
                <w:szCs w:val="18"/>
                <w:cs/>
              </w:rPr>
              <w:t xml:space="preserve"> </w:t>
            </w:r>
            <w:r w:rsidRPr="002D2F67">
              <w:rPr>
                <w:rFonts w:ascii="Arial" w:hAnsi="Arial" w:cs="Arial"/>
                <w:color w:val="000000"/>
                <w:sz w:val="18"/>
                <w:szCs w:val="18"/>
              </w:rPr>
              <w:t>interest rate</w:t>
            </w:r>
          </w:p>
        </w:tc>
        <w:tc>
          <w:tcPr>
            <w:tcW w:w="1843" w:type="dxa"/>
            <w:shd w:val="clear" w:color="auto" w:fill="auto"/>
          </w:tcPr>
          <w:p w14:paraId="1BFD2973" w14:textId="5E0DF678"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 xml:space="preserve">Repayment every six months from January </w:t>
            </w:r>
            <w:r w:rsidR="00CD5714" w:rsidRPr="00CD5714">
              <w:rPr>
                <w:rFonts w:ascii="Arial" w:hAnsi="Arial" w:cs="Arial"/>
                <w:color w:val="000000"/>
                <w:sz w:val="18"/>
                <w:szCs w:val="18"/>
                <w:lang w:val="en-GB"/>
              </w:rPr>
              <w:t>2022</w:t>
            </w:r>
          </w:p>
        </w:tc>
        <w:tc>
          <w:tcPr>
            <w:tcW w:w="1795" w:type="dxa"/>
            <w:shd w:val="clear" w:color="auto" w:fill="auto"/>
          </w:tcPr>
          <w:p w14:paraId="5AAF8C59" w14:textId="77777777"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 xml:space="preserve">Payment every </w:t>
            </w:r>
          </w:p>
          <w:p w14:paraId="5A2BEF13" w14:textId="0AC24A78"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six months</w:t>
            </w:r>
          </w:p>
        </w:tc>
      </w:tr>
      <w:tr w:rsidR="001A4AC6" w:rsidRPr="002D2F67" w14:paraId="5D80C521" w14:textId="4E8505AF" w:rsidTr="002D2F67">
        <w:trPr>
          <w:trHeight w:val="62"/>
        </w:trPr>
        <w:tc>
          <w:tcPr>
            <w:tcW w:w="738" w:type="dxa"/>
            <w:shd w:val="clear" w:color="auto" w:fill="auto"/>
          </w:tcPr>
          <w:p w14:paraId="55E945C4" w14:textId="3CC288D4" w:rsidR="001A4AC6" w:rsidRPr="002D2F67" w:rsidRDefault="00CD5714" w:rsidP="005611FE">
            <w:pPr>
              <w:ind w:left="-104" w:right="-75"/>
              <w:jc w:val="center"/>
              <w:rPr>
                <w:rFonts w:ascii="Arial" w:hAnsi="Arial" w:cs="Arial"/>
                <w:color w:val="000000"/>
                <w:sz w:val="18"/>
                <w:szCs w:val="18"/>
              </w:rPr>
            </w:pPr>
            <w:r w:rsidRPr="00CD5714">
              <w:rPr>
                <w:rFonts w:ascii="Arial" w:hAnsi="Arial" w:cs="Arial"/>
                <w:color w:val="000000"/>
                <w:sz w:val="18"/>
                <w:szCs w:val="18"/>
                <w:lang w:val="en-GB"/>
              </w:rPr>
              <w:t>4</w:t>
            </w:r>
          </w:p>
        </w:tc>
        <w:tc>
          <w:tcPr>
            <w:tcW w:w="1132" w:type="dxa"/>
            <w:shd w:val="clear" w:color="auto" w:fill="auto"/>
          </w:tcPr>
          <w:p w14:paraId="71265175" w14:textId="7DF79F17" w:rsidR="001A4AC6" w:rsidRPr="002D2F67" w:rsidRDefault="001A4AC6" w:rsidP="005611FE">
            <w:pPr>
              <w:ind w:left="-43" w:right="-53"/>
              <w:jc w:val="right"/>
              <w:rPr>
                <w:rFonts w:ascii="Arial" w:hAnsi="Arial" w:cs="Arial"/>
                <w:color w:val="000000"/>
                <w:sz w:val="18"/>
                <w:szCs w:val="18"/>
              </w:rPr>
            </w:pPr>
            <w:r w:rsidRPr="002D2F67">
              <w:rPr>
                <w:rFonts w:ascii="Arial" w:hAnsi="Arial" w:cs="Arial"/>
                <w:color w:val="000000"/>
                <w:sz w:val="18"/>
                <w:szCs w:val="18"/>
              </w:rPr>
              <w:t>-</w:t>
            </w:r>
          </w:p>
        </w:tc>
        <w:tc>
          <w:tcPr>
            <w:tcW w:w="1134" w:type="dxa"/>
            <w:shd w:val="clear" w:color="auto" w:fill="auto"/>
          </w:tcPr>
          <w:p w14:paraId="660FECDD" w14:textId="0F2339E9" w:rsidR="001A4AC6" w:rsidRPr="002D2F67" w:rsidRDefault="00CD5714" w:rsidP="005611FE">
            <w:pPr>
              <w:ind w:left="-29" w:right="-53"/>
              <w:jc w:val="right"/>
              <w:rPr>
                <w:rFonts w:ascii="Arial" w:hAnsi="Arial" w:cs="Arial"/>
                <w:color w:val="000000"/>
                <w:sz w:val="18"/>
                <w:szCs w:val="18"/>
              </w:rPr>
            </w:pPr>
            <w:r w:rsidRPr="00CD5714">
              <w:rPr>
                <w:rFonts w:ascii="Arial" w:hAnsi="Arial" w:cs="Arial"/>
                <w:color w:val="000000"/>
                <w:sz w:val="18"/>
                <w:szCs w:val="18"/>
                <w:lang w:val="en-GB"/>
              </w:rPr>
              <w:t>1</w:t>
            </w:r>
            <w:r w:rsidR="001A4AC6" w:rsidRPr="002D2F67">
              <w:rPr>
                <w:rFonts w:ascii="Arial" w:hAnsi="Arial" w:cs="Arial"/>
                <w:color w:val="000000"/>
                <w:sz w:val="18"/>
                <w:szCs w:val="18"/>
              </w:rPr>
              <w:t>,</w:t>
            </w:r>
            <w:r w:rsidRPr="00CD5714">
              <w:rPr>
                <w:rFonts w:ascii="Arial" w:hAnsi="Arial" w:cs="Arial"/>
                <w:color w:val="000000"/>
                <w:sz w:val="18"/>
                <w:szCs w:val="18"/>
                <w:lang w:val="en-GB"/>
              </w:rPr>
              <w:t>500</w:t>
            </w:r>
          </w:p>
        </w:tc>
        <w:tc>
          <w:tcPr>
            <w:tcW w:w="2268" w:type="dxa"/>
            <w:shd w:val="clear" w:color="auto" w:fill="auto"/>
          </w:tcPr>
          <w:p w14:paraId="13C302BF" w14:textId="77777777"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 xml:space="preserve">Fixed interest rate </w:t>
            </w:r>
          </w:p>
          <w:p w14:paraId="6CF028BE" w14:textId="31DC5CE6"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 xml:space="preserve">per annum between </w:t>
            </w:r>
          </w:p>
          <w:p w14:paraId="0BFEC1C4" w14:textId="0CBC1175" w:rsidR="001A4AC6" w:rsidRPr="002D2F67" w:rsidRDefault="00CD5714" w:rsidP="005611FE">
            <w:pPr>
              <w:ind w:left="-29" w:right="-29"/>
              <w:jc w:val="center"/>
              <w:rPr>
                <w:rFonts w:ascii="Arial" w:hAnsi="Arial" w:cs="Arial"/>
                <w:color w:val="000000"/>
                <w:sz w:val="18"/>
                <w:szCs w:val="18"/>
              </w:rPr>
            </w:pPr>
            <w:r w:rsidRPr="00CD5714">
              <w:rPr>
                <w:rFonts w:ascii="Arial" w:hAnsi="Arial" w:cs="Arial"/>
                <w:color w:val="000000"/>
                <w:sz w:val="18"/>
                <w:szCs w:val="18"/>
                <w:lang w:val="en-GB"/>
              </w:rPr>
              <w:t>2</w:t>
            </w:r>
            <w:r w:rsidR="001A4AC6" w:rsidRPr="002D2F67">
              <w:rPr>
                <w:rFonts w:ascii="Arial" w:hAnsi="Arial" w:cs="Arial"/>
                <w:color w:val="000000"/>
                <w:sz w:val="18"/>
                <w:szCs w:val="18"/>
              </w:rPr>
              <w:t>.</w:t>
            </w:r>
            <w:r w:rsidRPr="00CD5714">
              <w:rPr>
                <w:rFonts w:ascii="Arial" w:hAnsi="Arial" w:cs="Arial"/>
                <w:color w:val="000000"/>
                <w:sz w:val="18"/>
                <w:szCs w:val="18"/>
                <w:lang w:val="en-GB"/>
              </w:rPr>
              <w:t>31</w:t>
            </w:r>
            <w:r w:rsidR="001A4AC6" w:rsidRPr="002D2F67">
              <w:rPr>
                <w:rFonts w:ascii="Arial" w:hAnsi="Arial" w:cs="Arial"/>
                <w:color w:val="000000"/>
                <w:sz w:val="18"/>
                <w:szCs w:val="18"/>
              </w:rPr>
              <w:t xml:space="preserve">% and </w:t>
            </w:r>
            <w:r w:rsidRPr="00CD5714">
              <w:rPr>
                <w:rFonts w:ascii="Arial" w:hAnsi="Arial" w:cs="Arial"/>
                <w:color w:val="000000"/>
                <w:sz w:val="18"/>
                <w:szCs w:val="18"/>
                <w:lang w:val="en-GB"/>
              </w:rPr>
              <w:t>2</w:t>
            </w:r>
            <w:r w:rsidR="001A4AC6" w:rsidRPr="002D2F67">
              <w:rPr>
                <w:rFonts w:ascii="Arial" w:hAnsi="Arial" w:cs="Arial"/>
                <w:color w:val="000000"/>
                <w:sz w:val="18"/>
                <w:szCs w:val="18"/>
              </w:rPr>
              <w:t>.</w:t>
            </w:r>
            <w:r w:rsidRPr="00CD5714">
              <w:rPr>
                <w:rFonts w:ascii="Arial" w:hAnsi="Arial" w:cs="Arial"/>
                <w:color w:val="000000"/>
                <w:sz w:val="18"/>
                <w:szCs w:val="18"/>
                <w:lang w:val="en-GB"/>
              </w:rPr>
              <w:t>44</w:t>
            </w:r>
            <w:r w:rsidR="001A4AC6" w:rsidRPr="002D2F67">
              <w:rPr>
                <w:rFonts w:ascii="Arial" w:hAnsi="Arial" w:cs="Arial"/>
                <w:color w:val="000000"/>
                <w:sz w:val="18"/>
                <w:szCs w:val="18"/>
              </w:rPr>
              <w:t>%</w:t>
            </w:r>
          </w:p>
        </w:tc>
        <w:tc>
          <w:tcPr>
            <w:tcW w:w="1843" w:type="dxa"/>
            <w:shd w:val="clear" w:color="auto" w:fill="auto"/>
          </w:tcPr>
          <w:p w14:paraId="616936C6" w14:textId="20966A6D"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 xml:space="preserve">Repayment within three years from </w:t>
            </w:r>
          </w:p>
          <w:p w14:paraId="475C29C2" w14:textId="0910B7D6"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the agreement date</w:t>
            </w:r>
          </w:p>
        </w:tc>
        <w:tc>
          <w:tcPr>
            <w:tcW w:w="1795" w:type="dxa"/>
            <w:shd w:val="clear" w:color="auto" w:fill="auto"/>
          </w:tcPr>
          <w:p w14:paraId="047C842B" w14:textId="77777777"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Payment every</w:t>
            </w:r>
          </w:p>
          <w:p w14:paraId="35BAE21A" w14:textId="5918A7DB"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six months</w:t>
            </w:r>
          </w:p>
        </w:tc>
      </w:tr>
      <w:tr w:rsidR="001A4AC6" w:rsidRPr="002D2F67" w14:paraId="04A4D0D0" w14:textId="5ACCAD7B" w:rsidTr="002D2F67">
        <w:trPr>
          <w:trHeight w:val="62"/>
        </w:trPr>
        <w:tc>
          <w:tcPr>
            <w:tcW w:w="738" w:type="dxa"/>
            <w:shd w:val="clear" w:color="auto" w:fill="auto"/>
          </w:tcPr>
          <w:p w14:paraId="450226C8" w14:textId="76A2E889" w:rsidR="001A4AC6" w:rsidRPr="002D2F67" w:rsidRDefault="00CD5714" w:rsidP="005611FE">
            <w:pPr>
              <w:ind w:left="-104" w:right="-75"/>
              <w:jc w:val="center"/>
              <w:rPr>
                <w:rFonts w:ascii="Arial" w:hAnsi="Arial" w:cs="Arial"/>
                <w:color w:val="000000"/>
                <w:sz w:val="18"/>
                <w:szCs w:val="18"/>
              </w:rPr>
            </w:pPr>
            <w:r w:rsidRPr="00CD5714">
              <w:rPr>
                <w:rFonts w:ascii="Arial" w:hAnsi="Arial" w:cs="Arial"/>
                <w:color w:val="000000"/>
                <w:sz w:val="18"/>
                <w:szCs w:val="18"/>
                <w:lang w:val="en-GB"/>
              </w:rPr>
              <w:t>5</w:t>
            </w:r>
          </w:p>
        </w:tc>
        <w:tc>
          <w:tcPr>
            <w:tcW w:w="1132" w:type="dxa"/>
            <w:shd w:val="clear" w:color="auto" w:fill="auto"/>
          </w:tcPr>
          <w:p w14:paraId="7E96B133" w14:textId="6D69F6D9" w:rsidR="001A4AC6" w:rsidRPr="002D2F67" w:rsidRDefault="00CD5714" w:rsidP="005611FE">
            <w:pPr>
              <w:ind w:left="-43" w:right="-53"/>
              <w:jc w:val="right"/>
              <w:rPr>
                <w:rFonts w:ascii="Arial" w:hAnsi="Arial" w:cs="Arial"/>
                <w:color w:val="000000"/>
                <w:sz w:val="18"/>
                <w:szCs w:val="22"/>
              </w:rPr>
            </w:pPr>
            <w:r w:rsidRPr="00CD5714">
              <w:rPr>
                <w:rFonts w:ascii="Arial" w:hAnsi="Arial" w:cs="Arial"/>
                <w:color w:val="000000"/>
                <w:sz w:val="18"/>
                <w:szCs w:val="18"/>
                <w:lang w:val="en-GB"/>
              </w:rPr>
              <w:t>2</w:t>
            </w:r>
            <w:r w:rsidR="001A4AC6" w:rsidRPr="002D2F67">
              <w:rPr>
                <w:rFonts w:ascii="Arial" w:hAnsi="Arial" w:cs="Arial"/>
                <w:color w:val="000000"/>
                <w:sz w:val="18"/>
                <w:szCs w:val="18"/>
              </w:rPr>
              <w:t>,</w:t>
            </w:r>
            <w:r w:rsidRPr="00CD5714">
              <w:rPr>
                <w:rFonts w:ascii="Arial" w:hAnsi="Arial" w:cs="Arial"/>
                <w:color w:val="000000"/>
                <w:sz w:val="18"/>
                <w:szCs w:val="18"/>
                <w:lang w:val="en-GB"/>
              </w:rPr>
              <w:t>26</w:t>
            </w:r>
            <w:r w:rsidRPr="00CD5714">
              <w:rPr>
                <w:rFonts w:ascii="Arial" w:hAnsi="Arial" w:cs="Arial"/>
                <w:color w:val="000000"/>
                <w:sz w:val="18"/>
                <w:szCs w:val="22"/>
                <w:lang w:val="en-GB"/>
              </w:rPr>
              <w:t>5</w:t>
            </w:r>
          </w:p>
        </w:tc>
        <w:tc>
          <w:tcPr>
            <w:tcW w:w="1134" w:type="dxa"/>
            <w:shd w:val="clear" w:color="auto" w:fill="auto"/>
          </w:tcPr>
          <w:p w14:paraId="7618FCF7" w14:textId="3762AA98" w:rsidR="001A4AC6" w:rsidRPr="002D2F67" w:rsidRDefault="00CD5714" w:rsidP="005611FE">
            <w:pPr>
              <w:ind w:left="-29" w:right="-53"/>
              <w:jc w:val="right"/>
              <w:rPr>
                <w:rFonts w:ascii="Arial" w:hAnsi="Arial" w:cs="Arial"/>
                <w:color w:val="000000"/>
                <w:sz w:val="18"/>
                <w:szCs w:val="18"/>
              </w:rPr>
            </w:pPr>
            <w:r w:rsidRPr="00CD5714">
              <w:rPr>
                <w:rFonts w:ascii="Arial" w:hAnsi="Arial" w:cs="Arial"/>
                <w:color w:val="000000"/>
                <w:sz w:val="18"/>
                <w:szCs w:val="18"/>
                <w:lang w:val="en-GB"/>
              </w:rPr>
              <w:t>3</w:t>
            </w:r>
            <w:r w:rsidR="001A4AC6" w:rsidRPr="002D2F67">
              <w:rPr>
                <w:rFonts w:ascii="Arial" w:hAnsi="Arial" w:cs="Arial"/>
                <w:color w:val="000000"/>
                <w:sz w:val="18"/>
                <w:szCs w:val="18"/>
              </w:rPr>
              <w:t>,</w:t>
            </w:r>
            <w:r w:rsidRPr="00CD5714">
              <w:rPr>
                <w:rFonts w:ascii="Arial" w:hAnsi="Arial" w:cs="Arial"/>
                <w:color w:val="000000"/>
                <w:sz w:val="18"/>
                <w:szCs w:val="18"/>
                <w:lang w:val="en-GB"/>
              </w:rPr>
              <w:t>273</w:t>
            </w:r>
          </w:p>
        </w:tc>
        <w:tc>
          <w:tcPr>
            <w:tcW w:w="2268" w:type="dxa"/>
            <w:shd w:val="clear" w:color="auto" w:fill="auto"/>
          </w:tcPr>
          <w:p w14:paraId="2654E785" w14:textId="77777777" w:rsidR="001A4AC6" w:rsidRPr="002D2F67" w:rsidRDefault="001A4AC6" w:rsidP="007939B0">
            <w:pPr>
              <w:jc w:val="center"/>
              <w:rPr>
                <w:rFonts w:ascii="Arial" w:hAnsi="Arial" w:cs="Arial"/>
                <w:color w:val="000000"/>
                <w:sz w:val="18"/>
                <w:szCs w:val="18"/>
              </w:rPr>
            </w:pPr>
            <w:r w:rsidRPr="002D2F67">
              <w:rPr>
                <w:rFonts w:ascii="Arial" w:hAnsi="Arial" w:cs="Arial"/>
                <w:color w:val="000000"/>
                <w:sz w:val="18"/>
                <w:szCs w:val="18"/>
              </w:rPr>
              <w:t xml:space="preserve">Fixed interest rate </w:t>
            </w:r>
          </w:p>
          <w:p w14:paraId="5FA4C39B" w14:textId="7A00AD06" w:rsidR="001A4AC6" w:rsidRPr="002D2F67" w:rsidRDefault="001A4AC6" w:rsidP="00BD11F8">
            <w:pPr>
              <w:jc w:val="center"/>
              <w:rPr>
                <w:rFonts w:ascii="Arial" w:hAnsi="Arial" w:cs="Arial"/>
                <w:color w:val="000000"/>
                <w:sz w:val="18"/>
                <w:szCs w:val="18"/>
              </w:rPr>
            </w:pPr>
            <w:r w:rsidRPr="002D2F67">
              <w:rPr>
                <w:rFonts w:ascii="Arial" w:hAnsi="Arial" w:cs="Arial"/>
                <w:color w:val="000000"/>
                <w:sz w:val="18"/>
                <w:szCs w:val="18"/>
              </w:rPr>
              <w:t xml:space="preserve">per annum at </w:t>
            </w:r>
            <w:r w:rsidR="00CD5714" w:rsidRPr="00CD5714">
              <w:rPr>
                <w:rFonts w:ascii="Arial" w:hAnsi="Arial" w:cs="Arial"/>
                <w:color w:val="000000"/>
                <w:sz w:val="18"/>
                <w:szCs w:val="18"/>
                <w:lang w:val="en-GB"/>
              </w:rPr>
              <w:t>4</w:t>
            </w:r>
            <w:r w:rsidRPr="002D2F67">
              <w:rPr>
                <w:rFonts w:ascii="Arial" w:hAnsi="Arial" w:cs="Arial"/>
                <w:color w:val="000000"/>
                <w:sz w:val="18"/>
                <w:szCs w:val="18"/>
              </w:rPr>
              <w:t>.</w:t>
            </w:r>
            <w:r w:rsidR="00CD5714" w:rsidRPr="00CD5714">
              <w:rPr>
                <w:rFonts w:ascii="Arial" w:hAnsi="Arial" w:cs="Arial"/>
                <w:color w:val="000000"/>
                <w:sz w:val="18"/>
                <w:szCs w:val="18"/>
                <w:lang w:val="en-GB"/>
              </w:rPr>
              <w:t>20</w:t>
            </w:r>
            <w:r w:rsidRPr="002D2F67">
              <w:rPr>
                <w:rFonts w:ascii="Arial" w:hAnsi="Arial" w:cs="Arial"/>
                <w:color w:val="000000"/>
                <w:sz w:val="18"/>
                <w:szCs w:val="18"/>
              </w:rPr>
              <w:t>%</w:t>
            </w:r>
          </w:p>
          <w:p w14:paraId="37AD9148" w14:textId="4EF0F677" w:rsidR="001A4AC6" w:rsidRPr="002D2F67" w:rsidRDefault="001A4AC6" w:rsidP="005611FE">
            <w:pPr>
              <w:ind w:left="-29" w:right="-29"/>
              <w:jc w:val="center"/>
              <w:rPr>
                <w:rFonts w:ascii="Arial" w:hAnsi="Arial" w:cs="Arial"/>
                <w:color w:val="000000"/>
                <w:sz w:val="18"/>
                <w:szCs w:val="18"/>
              </w:rPr>
            </w:pPr>
          </w:p>
        </w:tc>
        <w:tc>
          <w:tcPr>
            <w:tcW w:w="1843" w:type="dxa"/>
            <w:shd w:val="clear" w:color="auto" w:fill="auto"/>
          </w:tcPr>
          <w:p w14:paraId="698903BA" w14:textId="77777777" w:rsidR="001A4AC6" w:rsidRPr="002D2F67" w:rsidRDefault="001A4AC6" w:rsidP="005611FE">
            <w:pPr>
              <w:ind w:left="-29" w:right="-29"/>
              <w:jc w:val="center"/>
              <w:rPr>
                <w:rFonts w:ascii="Arial" w:hAnsi="Arial" w:cs="Arial"/>
                <w:color w:val="000000"/>
                <w:spacing w:val="-6"/>
                <w:sz w:val="18"/>
                <w:szCs w:val="18"/>
              </w:rPr>
            </w:pPr>
            <w:r w:rsidRPr="002D2F67">
              <w:rPr>
                <w:rFonts w:ascii="Arial" w:hAnsi="Arial" w:cs="Arial"/>
                <w:color w:val="000000"/>
                <w:spacing w:val="-6"/>
                <w:sz w:val="18"/>
                <w:szCs w:val="18"/>
              </w:rPr>
              <w:t xml:space="preserve">Repayment </w:t>
            </w:r>
          </w:p>
          <w:p w14:paraId="18AB533F" w14:textId="68EDD1EF"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pacing w:val="-6"/>
                <w:sz w:val="18"/>
                <w:szCs w:val="18"/>
              </w:rPr>
              <w:t>every month</w:t>
            </w:r>
            <w:r w:rsidRPr="002D2F67">
              <w:rPr>
                <w:rFonts w:ascii="Arial" w:hAnsi="Arial" w:cs="Arial"/>
                <w:color w:val="000000"/>
                <w:sz w:val="18"/>
                <w:szCs w:val="18"/>
              </w:rPr>
              <w:t xml:space="preserve"> from December </w:t>
            </w:r>
            <w:r w:rsidR="00CD5714" w:rsidRPr="00CD5714">
              <w:rPr>
                <w:rFonts w:ascii="Arial" w:hAnsi="Arial" w:cs="Arial"/>
                <w:color w:val="000000"/>
                <w:sz w:val="18"/>
                <w:szCs w:val="18"/>
                <w:lang w:val="en-GB"/>
              </w:rPr>
              <w:t>2023</w:t>
            </w:r>
          </w:p>
        </w:tc>
        <w:tc>
          <w:tcPr>
            <w:tcW w:w="1795" w:type="dxa"/>
            <w:shd w:val="clear" w:color="auto" w:fill="auto"/>
          </w:tcPr>
          <w:p w14:paraId="0488DD02" w14:textId="77777777"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Payment every</w:t>
            </w:r>
          </w:p>
          <w:p w14:paraId="7FA5546D" w14:textId="790574D7"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months</w:t>
            </w:r>
          </w:p>
        </w:tc>
      </w:tr>
      <w:tr w:rsidR="001A4AC6" w:rsidRPr="002D2F67" w14:paraId="7A01AB74" w14:textId="15DCA95C" w:rsidTr="002D2F67">
        <w:trPr>
          <w:trHeight w:val="62"/>
        </w:trPr>
        <w:tc>
          <w:tcPr>
            <w:tcW w:w="738" w:type="dxa"/>
            <w:shd w:val="clear" w:color="auto" w:fill="auto"/>
          </w:tcPr>
          <w:p w14:paraId="67D4776C" w14:textId="645199A0" w:rsidR="001A4AC6" w:rsidRPr="002D2F67" w:rsidRDefault="00CD5714" w:rsidP="005611FE">
            <w:pPr>
              <w:ind w:left="-104" w:right="-75"/>
              <w:jc w:val="center"/>
              <w:rPr>
                <w:rFonts w:ascii="Arial" w:hAnsi="Arial" w:cs="Arial"/>
                <w:color w:val="000000"/>
                <w:sz w:val="18"/>
                <w:szCs w:val="18"/>
              </w:rPr>
            </w:pPr>
            <w:r w:rsidRPr="00CD5714">
              <w:rPr>
                <w:rFonts w:ascii="Arial" w:hAnsi="Arial" w:cs="Arial"/>
                <w:color w:val="000000"/>
                <w:sz w:val="18"/>
                <w:szCs w:val="18"/>
                <w:lang w:val="en-GB"/>
              </w:rPr>
              <w:t>6</w:t>
            </w:r>
          </w:p>
        </w:tc>
        <w:tc>
          <w:tcPr>
            <w:tcW w:w="1132" w:type="dxa"/>
            <w:shd w:val="clear" w:color="auto" w:fill="auto"/>
          </w:tcPr>
          <w:p w14:paraId="5CF64A97" w14:textId="4BE7A86A" w:rsidR="001A4AC6" w:rsidRPr="002D2F67" w:rsidRDefault="00CD5714" w:rsidP="005611FE">
            <w:pPr>
              <w:ind w:left="-43" w:right="-53"/>
              <w:jc w:val="right"/>
              <w:rPr>
                <w:rFonts w:ascii="Arial" w:hAnsi="Arial" w:cs="Arial"/>
                <w:color w:val="000000"/>
                <w:sz w:val="18"/>
                <w:szCs w:val="18"/>
              </w:rPr>
            </w:pPr>
            <w:r w:rsidRPr="00CD5714">
              <w:rPr>
                <w:rFonts w:ascii="Arial" w:hAnsi="Arial" w:cs="Arial"/>
                <w:color w:val="000000"/>
                <w:sz w:val="18"/>
                <w:szCs w:val="18"/>
                <w:lang w:val="en-GB"/>
              </w:rPr>
              <w:t>1</w:t>
            </w:r>
            <w:r w:rsidR="001A4AC6" w:rsidRPr="002D2F67">
              <w:rPr>
                <w:rFonts w:ascii="Arial" w:hAnsi="Arial" w:cs="Arial"/>
                <w:color w:val="000000"/>
                <w:sz w:val="18"/>
                <w:szCs w:val="18"/>
              </w:rPr>
              <w:t>,</w:t>
            </w:r>
            <w:r w:rsidRPr="00CD5714">
              <w:rPr>
                <w:rFonts w:ascii="Arial" w:hAnsi="Arial" w:cs="Arial"/>
                <w:color w:val="000000"/>
                <w:sz w:val="18"/>
                <w:szCs w:val="18"/>
                <w:lang w:val="en-GB"/>
              </w:rPr>
              <w:t>205</w:t>
            </w:r>
          </w:p>
        </w:tc>
        <w:tc>
          <w:tcPr>
            <w:tcW w:w="1134" w:type="dxa"/>
            <w:shd w:val="clear" w:color="auto" w:fill="auto"/>
          </w:tcPr>
          <w:p w14:paraId="6F987352" w14:textId="6AE2E7FD" w:rsidR="001A4AC6" w:rsidRPr="002D2F67" w:rsidRDefault="00CD5714" w:rsidP="005611FE">
            <w:pPr>
              <w:ind w:left="-29" w:right="-53"/>
              <w:jc w:val="right"/>
              <w:rPr>
                <w:rFonts w:ascii="Arial" w:hAnsi="Arial" w:cs="Arial"/>
                <w:color w:val="000000"/>
                <w:sz w:val="18"/>
                <w:szCs w:val="18"/>
              </w:rPr>
            </w:pPr>
            <w:r w:rsidRPr="00CD5714">
              <w:rPr>
                <w:rFonts w:ascii="Arial" w:hAnsi="Arial" w:cs="Arial"/>
                <w:color w:val="000000"/>
                <w:sz w:val="18"/>
                <w:szCs w:val="18"/>
                <w:lang w:val="en-GB"/>
              </w:rPr>
              <w:t>1</w:t>
            </w:r>
            <w:r w:rsidR="001A4AC6" w:rsidRPr="002D2F67">
              <w:rPr>
                <w:rFonts w:ascii="Arial" w:hAnsi="Arial" w:cs="Arial"/>
                <w:color w:val="000000"/>
                <w:sz w:val="18"/>
                <w:szCs w:val="18"/>
              </w:rPr>
              <w:t>,</w:t>
            </w:r>
            <w:r w:rsidRPr="00CD5714">
              <w:rPr>
                <w:rFonts w:ascii="Arial" w:hAnsi="Arial" w:cs="Arial"/>
                <w:color w:val="000000"/>
                <w:sz w:val="18"/>
                <w:szCs w:val="18"/>
                <w:lang w:val="en-GB"/>
              </w:rPr>
              <w:t>705</w:t>
            </w:r>
          </w:p>
        </w:tc>
        <w:tc>
          <w:tcPr>
            <w:tcW w:w="2268" w:type="dxa"/>
            <w:shd w:val="clear" w:color="auto" w:fill="auto"/>
          </w:tcPr>
          <w:p w14:paraId="4E1BC93D" w14:textId="77777777"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MLR interest rate less a certain discount</w:t>
            </w:r>
          </w:p>
          <w:p w14:paraId="468D0348" w14:textId="1B041AC1"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per annum</w:t>
            </w:r>
          </w:p>
        </w:tc>
        <w:tc>
          <w:tcPr>
            <w:tcW w:w="1843" w:type="dxa"/>
            <w:shd w:val="clear" w:color="auto" w:fill="auto"/>
          </w:tcPr>
          <w:p w14:paraId="3507AB78" w14:textId="77777777" w:rsidR="001A4AC6" w:rsidRPr="002D2F67" w:rsidRDefault="001A4AC6" w:rsidP="005611FE">
            <w:pPr>
              <w:ind w:left="-29" w:right="-29"/>
              <w:jc w:val="center"/>
              <w:rPr>
                <w:rFonts w:ascii="Arial" w:hAnsi="Arial" w:cs="Arial"/>
                <w:color w:val="000000"/>
                <w:spacing w:val="-6"/>
                <w:sz w:val="18"/>
                <w:szCs w:val="18"/>
              </w:rPr>
            </w:pPr>
            <w:r w:rsidRPr="002D2F67">
              <w:rPr>
                <w:rFonts w:ascii="Arial" w:hAnsi="Arial" w:cs="Arial"/>
                <w:color w:val="000000"/>
                <w:spacing w:val="-6"/>
                <w:sz w:val="18"/>
                <w:szCs w:val="18"/>
              </w:rPr>
              <w:t xml:space="preserve">Repayment </w:t>
            </w:r>
          </w:p>
          <w:p w14:paraId="2AC3A99D" w14:textId="1C100FAC"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pacing w:val="-6"/>
                <w:sz w:val="18"/>
                <w:szCs w:val="18"/>
              </w:rPr>
              <w:t>every three months</w:t>
            </w:r>
            <w:r w:rsidRPr="002D2F67">
              <w:rPr>
                <w:rFonts w:ascii="Arial" w:hAnsi="Arial" w:cs="Arial"/>
                <w:color w:val="000000"/>
                <w:sz w:val="18"/>
                <w:szCs w:val="18"/>
              </w:rPr>
              <w:t xml:space="preserve"> from December </w:t>
            </w:r>
            <w:r w:rsidR="00CD5714" w:rsidRPr="00CD5714">
              <w:rPr>
                <w:rFonts w:ascii="Arial" w:hAnsi="Arial" w:cs="Arial"/>
                <w:color w:val="000000"/>
                <w:sz w:val="18"/>
                <w:szCs w:val="18"/>
                <w:lang w:val="en-GB"/>
              </w:rPr>
              <w:t>2023</w:t>
            </w:r>
          </w:p>
        </w:tc>
        <w:tc>
          <w:tcPr>
            <w:tcW w:w="1795" w:type="dxa"/>
            <w:shd w:val="clear" w:color="auto" w:fill="auto"/>
          </w:tcPr>
          <w:p w14:paraId="033B7208" w14:textId="77777777"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 xml:space="preserve">Payment every </w:t>
            </w:r>
          </w:p>
          <w:p w14:paraId="2F4EB850" w14:textId="1A92455F"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three months</w:t>
            </w:r>
          </w:p>
        </w:tc>
      </w:tr>
      <w:tr w:rsidR="001A4AC6" w:rsidRPr="002D2F67" w14:paraId="6BE968AC" w14:textId="0E866BD9" w:rsidTr="002D2F67">
        <w:trPr>
          <w:trHeight w:val="62"/>
        </w:trPr>
        <w:tc>
          <w:tcPr>
            <w:tcW w:w="738" w:type="dxa"/>
            <w:shd w:val="clear" w:color="auto" w:fill="auto"/>
          </w:tcPr>
          <w:p w14:paraId="204342D0" w14:textId="544F333F" w:rsidR="001A4AC6" w:rsidRPr="002D2F67" w:rsidRDefault="00CD5714" w:rsidP="005611FE">
            <w:pPr>
              <w:ind w:left="-104" w:right="-75"/>
              <w:jc w:val="center"/>
              <w:rPr>
                <w:rFonts w:ascii="Arial" w:hAnsi="Arial" w:cs="Arial"/>
                <w:color w:val="000000"/>
                <w:sz w:val="18"/>
                <w:szCs w:val="18"/>
              </w:rPr>
            </w:pPr>
            <w:r w:rsidRPr="00CD5714">
              <w:rPr>
                <w:rFonts w:ascii="Arial" w:hAnsi="Arial" w:cs="Arial"/>
                <w:color w:val="000000"/>
                <w:sz w:val="18"/>
                <w:szCs w:val="18"/>
                <w:lang w:val="en-GB"/>
              </w:rPr>
              <w:t>7</w:t>
            </w:r>
          </w:p>
        </w:tc>
        <w:tc>
          <w:tcPr>
            <w:tcW w:w="1132" w:type="dxa"/>
            <w:shd w:val="clear" w:color="auto" w:fill="auto"/>
          </w:tcPr>
          <w:p w14:paraId="4F66FB34" w14:textId="07E12A3F" w:rsidR="001A4AC6" w:rsidRPr="002D2F67" w:rsidRDefault="00CD5714" w:rsidP="005611FE">
            <w:pPr>
              <w:ind w:left="-43" w:right="-53"/>
              <w:jc w:val="right"/>
              <w:rPr>
                <w:rFonts w:ascii="Arial" w:hAnsi="Arial" w:cs="Arial"/>
                <w:color w:val="000000"/>
                <w:sz w:val="18"/>
                <w:szCs w:val="18"/>
              </w:rPr>
            </w:pPr>
            <w:r w:rsidRPr="00CD5714">
              <w:rPr>
                <w:rFonts w:ascii="Arial" w:hAnsi="Arial" w:cs="Arial"/>
                <w:color w:val="000000"/>
                <w:sz w:val="18"/>
                <w:szCs w:val="18"/>
                <w:lang w:val="en-GB"/>
              </w:rPr>
              <w:t>1</w:t>
            </w:r>
            <w:r w:rsidR="001A4AC6" w:rsidRPr="002D2F67">
              <w:rPr>
                <w:rFonts w:ascii="Arial" w:hAnsi="Arial" w:cs="Arial"/>
                <w:color w:val="000000"/>
                <w:sz w:val="18"/>
                <w:szCs w:val="18"/>
              </w:rPr>
              <w:t>,</w:t>
            </w:r>
            <w:r w:rsidRPr="00CD5714">
              <w:rPr>
                <w:rFonts w:ascii="Arial" w:hAnsi="Arial" w:cs="Arial"/>
                <w:color w:val="000000"/>
                <w:sz w:val="18"/>
                <w:szCs w:val="18"/>
                <w:lang w:val="en-GB"/>
              </w:rPr>
              <w:t>707</w:t>
            </w:r>
          </w:p>
        </w:tc>
        <w:tc>
          <w:tcPr>
            <w:tcW w:w="1134" w:type="dxa"/>
            <w:shd w:val="clear" w:color="auto" w:fill="auto"/>
          </w:tcPr>
          <w:p w14:paraId="3CBFEB55" w14:textId="011E74FF" w:rsidR="001A4AC6" w:rsidRPr="002D2F67" w:rsidRDefault="00CD5714" w:rsidP="005611FE">
            <w:pPr>
              <w:ind w:left="-29" w:right="-53"/>
              <w:jc w:val="right"/>
              <w:rPr>
                <w:rFonts w:ascii="Arial" w:hAnsi="Arial" w:cs="Arial"/>
                <w:color w:val="000000"/>
                <w:sz w:val="18"/>
                <w:szCs w:val="18"/>
              </w:rPr>
            </w:pPr>
            <w:r w:rsidRPr="00CD5714">
              <w:rPr>
                <w:rFonts w:ascii="Arial" w:hAnsi="Arial" w:cs="Arial"/>
                <w:color w:val="000000"/>
                <w:sz w:val="18"/>
                <w:szCs w:val="18"/>
                <w:lang w:val="en-GB"/>
              </w:rPr>
              <w:t>1</w:t>
            </w:r>
            <w:r w:rsidR="001A4AC6" w:rsidRPr="002D2F67">
              <w:rPr>
                <w:rFonts w:ascii="Arial" w:hAnsi="Arial" w:cs="Arial"/>
                <w:color w:val="000000"/>
                <w:sz w:val="18"/>
                <w:szCs w:val="18"/>
              </w:rPr>
              <w:t>,</w:t>
            </w:r>
            <w:r w:rsidRPr="00CD5714">
              <w:rPr>
                <w:rFonts w:ascii="Arial" w:hAnsi="Arial" w:cs="Arial"/>
                <w:color w:val="000000"/>
                <w:sz w:val="18"/>
                <w:szCs w:val="18"/>
                <w:lang w:val="en-GB"/>
              </w:rPr>
              <w:t>917</w:t>
            </w:r>
          </w:p>
        </w:tc>
        <w:tc>
          <w:tcPr>
            <w:tcW w:w="2268" w:type="dxa"/>
            <w:shd w:val="clear" w:color="auto" w:fill="auto"/>
          </w:tcPr>
          <w:p w14:paraId="29B3F5DF" w14:textId="32521C9F"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TORF three-month plus a certain margin per annum</w:t>
            </w:r>
          </w:p>
        </w:tc>
        <w:tc>
          <w:tcPr>
            <w:tcW w:w="1843" w:type="dxa"/>
            <w:shd w:val="clear" w:color="auto" w:fill="auto"/>
          </w:tcPr>
          <w:p w14:paraId="7258F062" w14:textId="408005B7"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 xml:space="preserve">Repayment within </w:t>
            </w:r>
            <w:r w:rsidRPr="002D2F67">
              <w:rPr>
                <w:rFonts w:ascii="Arial" w:hAnsi="Arial" w:cs="Arial"/>
                <w:color w:val="000000"/>
                <w:sz w:val="18"/>
                <w:szCs w:val="18"/>
              </w:rPr>
              <w:br/>
              <w:t xml:space="preserve">five years from </w:t>
            </w:r>
          </w:p>
          <w:p w14:paraId="77EC2541" w14:textId="590AC906"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the agreement date</w:t>
            </w:r>
          </w:p>
        </w:tc>
        <w:tc>
          <w:tcPr>
            <w:tcW w:w="1795" w:type="dxa"/>
            <w:shd w:val="clear" w:color="auto" w:fill="auto"/>
          </w:tcPr>
          <w:p w14:paraId="724CEC15" w14:textId="77777777"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 xml:space="preserve">Payment every </w:t>
            </w:r>
          </w:p>
          <w:p w14:paraId="395E2620" w14:textId="0C09DC97"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three months</w:t>
            </w:r>
          </w:p>
        </w:tc>
      </w:tr>
      <w:tr w:rsidR="001A4AC6" w:rsidRPr="002D2F67" w14:paraId="1D69EA47" w14:textId="2ACC3E75" w:rsidTr="002D2F67">
        <w:trPr>
          <w:trHeight w:val="62"/>
        </w:trPr>
        <w:tc>
          <w:tcPr>
            <w:tcW w:w="738" w:type="dxa"/>
            <w:shd w:val="clear" w:color="auto" w:fill="auto"/>
          </w:tcPr>
          <w:p w14:paraId="2DB5AA1A" w14:textId="4591F506" w:rsidR="001A4AC6" w:rsidRPr="002D2F67" w:rsidRDefault="00CD5714" w:rsidP="005611FE">
            <w:pPr>
              <w:ind w:left="-104" w:right="-75"/>
              <w:jc w:val="center"/>
              <w:rPr>
                <w:rFonts w:ascii="Arial" w:hAnsi="Arial" w:cs="Arial"/>
                <w:color w:val="000000"/>
                <w:sz w:val="18"/>
                <w:szCs w:val="18"/>
              </w:rPr>
            </w:pPr>
            <w:r w:rsidRPr="00CD5714">
              <w:rPr>
                <w:rFonts w:ascii="Arial" w:hAnsi="Arial" w:cs="Arial"/>
                <w:color w:val="000000"/>
                <w:sz w:val="18"/>
                <w:szCs w:val="18"/>
                <w:lang w:val="en-GB"/>
              </w:rPr>
              <w:t>8</w:t>
            </w:r>
          </w:p>
        </w:tc>
        <w:tc>
          <w:tcPr>
            <w:tcW w:w="1132" w:type="dxa"/>
            <w:shd w:val="clear" w:color="auto" w:fill="auto"/>
          </w:tcPr>
          <w:p w14:paraId="2D4B8256" w14:textId="0C5242BA" w:rsidR="001A4AC6" w:rsidRPr="002D2F67" w:rsidRDefault="00CD5714" w:rsidP="005611FE">
            <w:pPr>
              <w:ind w:left="-43" w:right="-53"/>
              <w:jc w:val="right"/>
              <w:rPr>
                <w:rFonts w:ascii="Arial" w:hAnsi="Arial" w:cs="Arial"/>
                <w:color w:val="000000"/>
                <w:sz w:val="18"/>
                <w:szCs w:val="18"/>
              </w:rPr>
            </w:pPr>
            <w:r w:rsidRPr="00CD5714">
              <w:rPr>
                <w:rFonts w:ascii="Arial" w:hAnsi="Arial" w:cs="Arial"/>
                <w:color w:val="000000"/>
                <w:sz w:val="18"/>
                <w:szCs w:val="18"/>
                <w:lang w:val="en-GB"/>
              </w:rPr>
              <w:t>500</w:t>
            </w:r>
          </w:p>
        </w:tc>
        <w:tc>
          <w:tcPr>
            <w:tcW w:w="1134" w:type="dxa"/>
            <w:shd w:val="clear" w:color="auto" w:fill="auto"/>
          </w:tcPr>
          <w:p w14:paraId="44D3DD61" w14:textId="21F3EDCB" w:rsidR="001A4AC6" w:rsidRPr="002D2F67" w:rsidRDefault="00CD5714" w:rsidP="005611FE">
            <w:pPr>
              <w:ind w:left="-29" w:right="-53"/>
              <w:jc w:val="right"/>
              <w:rPr>
                <w:rFonts w:ascii="Arial" w:hAnsi="Arial" w:cs="Arial"/>
                <w:color w:val="000000"/>
                <w:sz w:val="18"/>
                <w:szCs w:val="18"/>
              </w:rPr>
            </w:pPr>
            <w:r w:rsidRPr="00CD5714">
              <w:rPr>
                <w:rFonts w:ascii="Arial" w:hAnsi="Arial" w:cs="Arial"/>
                <w:color w:val="000000"/>
                <w:sz w:val="18"/>
                <w:szCs w:val="18"/>
                <w:lang w:val="en-GB"/>
              </w:rPr>
              <w:t>500</w:t>
            </w:r>
          </w:p>
        </w:tc>
        <w:tc>
          <w:tcPr>
            <w:tcW w:w="2268" w:type="dxa"/>
            <w:shd w:val="clear" w:color="auto" w:fill="auto"/>
          </w:tcPr>
          <w:p w14:paraId="0EE0BEAA" w14:textId="17288D84"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THOR plus a certain margin per annum</w:t>
            </w:r>
          </w:p>
        </w:tc>
        <w:tc>
          <w:tcPr>
            <w:tcW w:w="1843" w:type="dxa"/>
            <w:shd w:val="clear" w:color="auto" w:fill="auto"/>
          </w:tcPr>
          <w:p w14:paraId="21BB2CC0" w14:textId="18BF01CD"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 xml:space="preserve">Repayment within three years from </w:t>
            </w:r>
          </w:p>
          <w:p w14:paraId="5EFF2CDD" w14:textId="24B09885"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the agreement date</w:t>
            </w:r>
          </w:p>
        </w:tc>
        <w:tc>
          <w:tcPr>
            <w:tcW w:w="1795" w:type="dxa"/>
            <w:shd w:val="clear" w:color="auto" w:fill="auto"/>
          </w:tcPr>
          <w:p w14:paraId="139E3A29" w14:textId="77777777"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 xml:space="preserve">Payment every </w:t>
            </w:r>
          </w:p>
          <w:p w14:paraId="7E690175" w14:textId="3829F83C"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three months</w:t>
            </w:r>
          </w:p>
        </w:tc>
      </w:tr>
      <w:tr w:rsidR="001A4AC6" w:rsidRPr="002D2F67" w14:paraId="7DD35F09" w14:textId="1D484FDA" w:rsidTr="002D2F67">
        <w:trPr>
          <w:trHeight w:val="62"/>
        </w:trPr>
        <w:tc>
          <w:tcPr>
            <w:tcW w:w="738" w:type="dxa"/>
            <w:shd w:val="clear" w:color="auto" w:fill="auto"/>
          </w:tcPr>
          <w:p w14:paraId="15279FBE" w14:textId="73270839" w:rsidR="001A4AC6" w:rsidRPr="002D2F67" w:rsidRDefault="00CD5714" w:rsidP="005611FE">
            <w:pPr>
              <w:ind w:left="-104" w:right="-75"/>
              <w:jc w:val="center"/>
              <w:rPr>
                <w:rFonts w:ascii="Arial" w:hAnsi="Arial" w:cs="Arial"/>
                <w:color w:val="000000"/>
                <w:sz w:val="18"/>
                <w:szCs w:val="18"/>
              </w:rPr>
            </w:pPr>
            <w:r w:rsidRPr="00CD5714">
              <w:rPr>
                <w:rFonts w:ascii="Arial" w:hAnsi="Arial" w:cs="Arial"/>
                <w:color w:val="000000"/>
                <w:sz w:val="18"/>
                <w:szCs w:val="18"/>
                <w:lang w:val="en-GB"/>
              </w:rPr>
              <w:t>9</w:t>
            </w:r>
          </w:p>
        </w:tc>
        <w:tc>
          <w:tcPr>
            <w:tcW w:w="1132" w:type="dxa"/>
            <w:shd w:val="clear" w:color="auto" w:fill="auto"/>
          </w:tcPr>
          <w:p w14:paraId="2C280980" w14:textId="1FB1C8DC" w:rsidR="001A4AC6" w:rsidRPr="002D2F67" w:rsidRDefault="00CD5714" w:rsidP="005611FE">
            <w:pPr>
              <w:ind w:left="-43" w:right="-53"/>
              <w:jc w:val="right"/>
              <w:rPr>
                <w:rFonts w:ascii="Arial" w:hAnsi="Arial" w:cs="Arial"/>
                <w:color w:val="000000"/>
                <w:sz w:val="18"/>
                <w:szCs w:val="18"/>
              </w:rPr>
            </w:pPr>
            <w:r w:rsidRPr="00CD5714">
              <w:rPr>
                <w:rFonts w:ascii="Arial" w:hAnsi="Arial" w:cs="Arial"/>
                <w:color w:val="000000"/>
                <w:sz w:val="18"/>
                <w:szCs w:val="18"/>
                <w:lang w:val="en-GB"/>
              </w:rPr>
              <w:t>1</w:t>
            </w:r>
            <w:r w:rsidR="001A4AC6" w:rsidRPr="002D2F67">
              <w:rPr>
                <w:rFonts w:ascii="Arial" w:hAnsi="Arial" w:cs="Arial"/>
                <w:color w:val="000000"/>
                <w:sz w:val="18"/>
                <w:szCs w:val="18"/>
              </w:rPr>
              <w:t>,</w:t>
            </w:r>
            <w:r w:rsidRPr="00CD5714">
              <w:rPr>
                <w:rFonts w:ascii="Arial" w:hAnsi="Arial" w:cs="Arial"/>
                <w:color w:val="000000"/>
                <w:sz w:val="18"/>
                <w:szCs w:val="18"/>
                <w:lang w:val="en-GB"/>
              </w:rPr>
              <w:t>740</w:t>
            </w:r>
          </w:p>
        </w:tc>
        <w:tc>
          <w:tcPr>
            <w:tcW w:w="1134" w:type="dxa"/>
            <w:shd w:val="clear" w:color="auto" w:fill="auto"/>
          </w:tcPr>
          <w:p w14:paraId="1701464C" w14:textId="79CFC027" w:rsidR="001A4AC6" w:rsidRPr="002D2F67" w:rsidRDefault="00CD5714" w:rsidP="005611FE">
            <w:pPr>
              <w:ind w:left="-29" w:right="-53"/>
              <w:jc w:val="right"/>
              <w:rPr>
                <w:rFonts w:ascii="Arial" w:hAnsi="Arial" w:cs="Arial"/>
                <w:color w:val="000000"/>
                <w:sz w:val="18"/>
                <w:szCs w:val="18"/>
              </w:rPr>
            </w:pPr>
            <w:r w:rsidRPr="00CD5714">
              <w:rPr>
                <w:rFonts w:ascii="Arial" w:hAnsi="Arial" w:cs="Arial"/>
                <w:color w:val="000000"/>
                <w:sz w:val="18"/>
                <w:szCs w:val="18"/>
                <w:lang w:val="en-GB"/>
              </w:rPr>
              <w:t>2</w:t>
            </w:r>
            <w:r w:rsidR="001A4AC6" w:rsidRPr="002D2F67">
              <w:rPr>
                <w:rFonts w:ascii="Arial" w:hAnsi="Arial" w:cs="Arial"/>
                <w:color w:val="000000"/>
                <w:sz w:val="18"/>
                <w:szCs w:val="18"/>
              </w:rPr>
              <w:t>,</w:t>
            </w:r>
            <w:r w:rsidRPr="00CD5714">
              <w:rPr>
                <w:rFonts w:ascii="Arial" w:hAnsi="Arial" w:cs="Arial"/>
                <w:color w:val="000000"/>
                <w:sz w:val="18"/>
                <w:szCs w:val="18"/>
                <w:lang w:val="en-GB"/>
              </w:rPr>
              <w:t>040</w:t>
            </w:r>
          </w:p>
        </w:tc>
        <w:tc>
          <w:tcPr>
            <w:tcW w:w="2268" w:type="dxa"/>
            <w:shd w:val="clear" w:color="auto" w:fill="auto"/>
          </w:tcPr>
          <w:p w14:paraId="26F2A070" w14:textId="7C47A9BD"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THOR plus a certain margin per annum</w:t>
            </w:r>
          </w:p>
        </w:tc>
        <w:tc>
          <w:tcPr>
            <w:tcW w:w="1843" w:type="dxa"/>
            <w:shd w:val="clear" w:color="auto" w:fill="auto"/>
          </w:tcPr>
          <w:p w14:paraId="47384B06" w14:textId="77777777" w:rsidR="001A4AC6" w:rsidRPr="002D2F67" w:rsidRDefault="001A4AC6" w:rsidP="005611FE">
            <w:pPr>
              <w:ind w:left="-29" w:right="-29"/>
              <w:jc w:val="center"/>
              <w:rPr>
                <w:rFonts w:ascii="Arial" w:hAnsi="Arial" w:cs="Arial"/>
                <w:color w:val="000000"/>
                <w:spacing w:val="-6"/>
                <w:sz w:val="18"/>
                <w:szCs w:val="18"/>
              </w:rPr>
            </w:pPr>
            <w:r w:rsidRPr="002D2F67">
              <w:rPr>
                <w:rFonts w:ascii="Arial" w:hAnsi="Arial" w:cs="Arial"/>
                <w:color w:val="000000"/>
                <w:spacing w:val="-6"/>
                <w:sz w:val="18"/>
                <w:szCs w:val="18"/>
              </w:rPr>
              <w:t xml:space="preserve">Repayment </w:t>
            </w:r>
          </w:p>
          <w:p w14:paraId="45019F76" w14:textId="4349259C"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pacing w:val="-6"/>
                <w:sz w:val="18"/>
                <w:szCs w:val="18"/>
              </w:rPr>
              <w:t>every three months</w:t>
            </w:r>
            <w:r w:rsidRPr="002D2F67">
              <w:rPr>
                <w:rFonts w:ascii="Arial" w:hAnsi="Arial" w:cs="Arial"/>
                <w:color w:val="000000"/>
                <w:sz w:val="18"/>
                <w:szCs w:val="18"/>
              </w:rPr>
              <w:t xml:space="preserve"> from December </w:t>
            </w:r>
            <w:r w:rsidR="00CD5714" w:rsidRPr="00CD5714">
              <w:rPr>
                <w:rFonts w:ascii="Arial" w:hAnsi="Arial" w:cs="Arial"/>
                <w:color w:val="000000"/>
                <w:sz w:val="18"/>
                <w:szCs w:val="18"/>
                <w:lang w:val="en-GB"/>
              </w:rPr>
              <w:t>2023</w:t>
            </w:r>
          </w:p>
        </w:tc>
        <w:tc>
          <w:tcPr>
            <w:tcW w:w="1795" w:type="dxa"/>
            <w:shd w:val="clear" w:color="auto" w:fill="auto"/>
          </w:tcPr>
          <w:p w14:paraId="0D060FB8" w14:textId="77777777"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 xml:space="preserve">Payment every </w:t>
            </w:r>
          </w:p>
          <w:p w14:paraId="6A4F433D" w14:textId="3C95C323"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three months</w:t>
            </w:r>
          </w:p>
        </w:tc>
      </w:tr>
      <w:tr w:rsidR="001A4AC6" w:rsidRPr="002D2F67" w14:paraId="1B1B362F" w14:textId="77777777" w:rsidTr="002D2F67">
        <w:trPr>
          <w:trHeight w:val="62"/>
        </w:trPr>
        <w:tc>
          <w:tcPr>
            <w:tcW w:w="738" w:type="dxa"/>
            <w:shd w:val="clear" w:color="auto" w:fill="auto"/>
          </w:tcPr>
          <w:p w14:paraId="34D85CC5" w14:textId="28E61753" w:rsidR="001A4AC6" w:rsidRPr="002D2F67" w:rsidRDefault="00CD5714" w:rsidP="005611FE">
            <w:pPr>
              <w:ind w:left="-104" w:right="-75"/>
              <w:jc w:val="center"/>
              <w:rPr>
                <w:rFonts w:ascii="Arial" w:hAnsi="Arial" w:cs="Arial"/>
                <w:color w:val="000000"/>
                <w:sz w:val="18"/>
                <w:szCs w:val="18"/>
              </w:rPr>
            </w:pPr>
            <w:r w:rsidRPr="00CD5714">
              <w:rPr>
                <w:rFonts w:ascii="Arial" w:hAnsi="Arial" w:cs="Arial"/>
                <w:color w:val="000000"/>
                <w:sz w:val="18"/>
                <w:szCs w:val="18"/>
                <w:lang w:val="en-GB"/>
              </w:rPr>
              <w:t>10</w:t>
            </w:r>
          </w:p>
        </w:tc>
        <w:tc>
          <w:tcPr>
            <w:tcW w:w="1132" w:type="dxa"/>
            <w:shd w:val="clear" w:color="auto" w:fill="auto"/>
          </w:tcPr>
          <w:p w14:paraId="6B6BB8BF" w14:textId="76FC3925" w:rsidR="001A4AC6" w:rsidRPr="002D2F67" w:rsidRDefault="00CD5714" w:rsidP="005611FE">
            <w:pPr>
              <w:ind w:left="-43" w:right="-53"/>
              <w:jc w:val="right"/>
              <w:rPr>
                <w:rFonts w:ascii="Arial" w:hAnsi="Arial" w:cs="Arial"/>
                <w:color w:val="000000"/>
                <w:sz w:val="18"/>
                <w:szCs w:val="18"/>
              </w:rPr>
            </w:pPr>
            <w:r w:rsidRPr="00CD5714">
              <w:rPr>
                <w:rFonts w:ascii="Arial" w:hAnsi="Arial" w:cs="Arial"/>
                <w:color w:val="000000"/>
                <w:sz w:val="18"/>
                <w:szCs w:val="18"/>
                <w:lang w:val="en-GB"/>
              </w:rPr>
              <w:t>522</w:t>
            </w:r>
          </w:p>
        </w:tc>
        <w:tc>
          <w:tcPr>
            <w:tcW w:w="1134" w:type="dxa"/>
            <w:shd w:val="clear" w:color="auto" w:fill="auto"/>
          </w:tcPr>
          <w:p w14:paraId="1E9B66A8" w14:textId="34BEEB2A" w:rsidR="001A4AC6" w:rsidRPr="002D2F67" w:rsidRDefault="001A4AC6" w:rsidP="005611FE">
            <w:pPr>
              <w:ind w:left="-29" w:right="-53"/>
              <w:jc w:val="right"/>
              <w:rPr>
                <w:rFonts w:ascii="Arial" w:hAnsi="Arial" w:cs="Arial"/>
                <w:color w:val="000000"/>
                <w:sz w:val="18"/>
                <w:szCs w:val="18"/>
              </w:rPr>
            </w:pPr>
            <w:r w:rsidRPr="002D2F67">
              <w:rPr>
                <w:rFonts w:ascii="Arial" w:hAnsi="Arial" w:cs="Arial"/>
                <w:color w:val="000000"/>
                <w:sz w:val="18"/>
                <w:szCs w:val="18"/>
              </w:rPr>
              <w:t>-</w:t>
            </w:r>
          </w:p>
        </w:tc>
        <w:tc>
          <w:tcPr>
            <w:tcW w:w="2268" w:type="dxa"/>
            <w:shd w:val="clear" w:color="auto" w:fill="auto"/>
          </w:tcPr>
          <w:p w14:paraId="4ABE0AD4" w14:textId="29D7AA1B"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THOR plus a certain margin per annum</w:t>
            </w:r>
          </w:p>
        </w:tc>
        <w:tc>
          <w:tcPr>
            <w:tcW w:w="1843" w:type="dxa"/>
            <w:shd w:val="clear" w:color="auto" w:fill="auto"/>
          </w:tcPr>
          <w:p w14:paraId="1DD784F9" w14:textId="77777777" w:rsidR="001A4AC6" w:rsidRPr="002D2F67" w:rsidRDefault="001A4AC6" w:rsidP="00911D6E">
            <w:pPr>
              <w:ind w:left="-29" w:right="-29"/>
              <w:jc w:val="center"/>
              <w:rPr>
                <w:rFonts w:ascii="Arial" w:hAnsi="Arial" w:cs="Arial"/>
                <w:color w:val="000000"/>
                <w:spacing w:val="-6"/>
                <w:sz w:val="18"/>
                <w:szCs w:val="18"/>
              </w:rPr>
            </w:pPr>
            <w:r w:rsidRPr="002D2F67">
              <w:rPr>
                <w:rFonts w:ascii="Arial" w:hAnsi="Arial" w:cs="Arial"/>
                <w:color w:val="000000"/>
                <w:spacing w:val="-6"/>
                <w:sz w:val="18"/>
                <w:szCs w:val="18"/>
              </w:rPr>
              <w:t xml:space="preserve">Repayment </w:t>
            </w:r>
          </w:p>
          <w:p w14:paraId="77B25203" w14:textId="01546CAD" w:rsidR="001A4AC6" w:rsidRPr="002D2F67" w:rsidRDefault="001A4AC6" w:rsidP="00911D6E">
            <w:pPr>
              <w:ind w:left="-29" w:right="-29"/>
              <w:jc w:val="center"/>
              <w:rPr>
                <w:rFonts w:ascii="Arial" w:hAnsi="Arial" w:cs="Arial"/>
                <w:color w:val="000000"/>
                <w:spacing w:val="-6"/>
                <w:sz w:val="18"/>
                <w:szCs w:val="18"/>
              </w:rPr>
            </w:pPr>
            <w:r w:rsidRPr="002D2F67">
              <w:rPr>
                <w:rFonts w:ascii="Arial" w:hAnsi="Arial" w:cs="Arial"/>
                <w:color w:val="000000"/>
                <w:spacing w:val="-6"/>
                <w:sz w:val="18"/>
                <w:szCs w:val="18"/>
              </w:rPr>
              <w:t xml:space="preserve">every six months from August </w:t>
            </w:r>
            <w:r w:rsidR="00CD5714" w:rsidRPr="00CD5714">
              <w:rPr>
                <w:rFonts w:ascii="Arial" w:hAnsi="Arial" w:cs="Arial"/>
                <w:color w:val="000000"/>
                <w:spacing w:val="-6"/>
                <w:sz w:val="18"/>
                <w:szCs w:val="18"/>
                <w:lang w:val="en-GB"/>
              </w:rPr>
              <w:t>2024</w:t>
            </w:r>
          </w:p>
        </w:tc>
        <w:tc>
          <w:tcPr>
            <w:tcW w:w="1795" w:type="dxa"/>
            <w:shd w:val="clear" w:color="auto" w:fill="auto"/>
          </w:tcPr>
          <w:p w14:paraId="0D4E7CDD" w14:textId="77777777" w:rsidR="001A4AC6" w:rsidRPr="002D2F67" w:rsidRDefault="001A4AC6" w:rsidP="00911D6E">
            <w:pPr>
              <w:ind w:left="-29" w:right="-29"/>
              <w:jc w:val="center"/>
              <w:rPr>
                <w:rFonts w:ascii="Arial" w:hAnsi="Arial" w:cs="Arial"/>
                <w:color w:val="000000"/>
                <w:sz w:val="18"/>
                <w:szCs w:val="18"/>
              </w:rPr>
            </w:pPr>
            <w:r w:rsidRPr="002D2F67">
              <w:rPr>
                <w:rFonts w:ascii="Arial" w:hAnsi="Arial" w:cs="Arial"/>
                <w:color w:val="000000"/>
                <w:sz w:val="18"/>
                <w:szCs w:val="18"/>
              </w:rPr>
              <w:t xml:space="preserve">Payment every </w:t>
            </w:r>
          </w:p>
          <w:p w14:paraId="0F01259E" w14:textId="1718EDF3" w:rsidR="001A4AC6" w:rsidRPr="002D2F67" w:rsidRDefault="001A4AC6" w:rsidP="00911D6E">
            <w:pPr>
              <w:ind w:left="-29" w:right="-29"/>
              <w:jc w:val="center"/>
              <w:rPr>
                <w:rFonts w:ascii="Arial" w:hAnsi="Arial" w:cs="Arial"/>
                <w:color w:val="000000"/>
                <w:sz w:val="18"/>
                <w:szCs w:val="18"/>
              </w:rPr>
            </w:pPr>
            <w:r w:rsidRPr="002D2F67">
              <w:rPr>
                <w:rFonts w:ascii="Arial" w:hAnsi="Arial" w:cs="Arial"/>
                <w:color w:val="000000"/>
                <w:sz w:val="18"/>
                <w:szCs w:val="18"/>
              </w:rPr>
              <w:t>six months</w:t>
            </w:r>
          </w:p>
        </w:tc>
      </w:tr>
      <w:tr w:rsidR="001A4AC6" w:rsidRPr="002D2F67" w14:paraId="27235360" w14:textId="77777777" w:rsidTr="002D2F67">
        <w:trPr>
          <w:trHeight w:val="62"/>
        </w:trPr>
        <w:tc>
          <w:tcPr>
            <w:tcW w:w="738" w:type="dxa"/>
            <w:shd w:val="clear" w:color="auto" w:fill="auto"/>
          </w:tcPr>
          <w:p w14:paraId="73558E21" w14:textId="271F8A8E" w:rsidR="001A4AC6" w:rsidRPr="002D2F67" w:rsidRDefault="00CD5714" w:rsidP="005611FE">
            <w:pPr>
              <w:ind w:left="-104" w:right="-75"/>
              <w:jc w:val="center"/>
              <w:rPr>
                <w:rFonts w:ascii="Arial" w:hAnsi="Arial" w:cs="Arial"/>
                <w:color w:val="000000"/>
                <w:sz w:val="18"/>
                <w:szCs w:val="18"/>
              </w:rPr>
            </w:pPr>
            <w:r w:rsidRPr="00CD5714">
              <w:rPr>
                <w:rFonts w:ascii="Arial" w:hAnsi="Arial" w:cs="Arial"/>
                <w:color w:val="000000"/>
                <w:sz w:val="18"/>
                <w:szCs w:val="18"/>
                <w:lang w:val="en-GB"/>
              </w:rPr>
              <w:t>11</w:t>
            </w:r>
          </w:p>
        </w:tc>
        <w:tc>
          <w:tcPr>
            <w:tcW w:w="1132" w:type="dxa"/>
            <w:shd w:val="clear" w:color="auto" w:fill="auto"/>
          </w:tcPr>
          <w:p w14:paraId="343A88F1" w14:textId="596B59A7" w:rsidR="001A4AC6" w:rsidRPr="002D2F67" w:rsidRDefault="00CD5714" w:rsidP="005611FE">
            <w:pPr>
              <w:ind w:left="-43" w:right="-53"/>
              <w:jc w:val="right"/>
              <w:rPr>
                <w:rFonts w:ascii="Arial" w:hAnsi="Arial" w:cs="Arial"/>
                <w:color w:val="000000"/>
                <w:sz w:val="18"/>
                <w:szCs w:val="18"/>
              </w:rPr>
            </w:pPr>
            <w:r w:rsidRPr="00CD5714">
              <w:rPr>
                <w:rFonts w:ascii="Arial" w:hAnsi="Arial" w:cs="Arial"/>
                <w:color w:val="000000"/>
                <w:sz w:val="18"/>
                <w:szCs w:val="18"/>
                <w:lang w:val="en-GB"/>
              </w:rPr>
              <w:t>500</w:t>
            </w:r>
          </w:p>
        </w:tc>
        <w:tc>
          <w:tcPr>
            <w:tcW w:w="1134" w:type="dxa"/>
            <w:shd w:val="clear" w:color="auto" w:fill="auto"/>
          </w:tcPr>
          <w:p w14:paraId="44A45041" w14:textId="1B5086F2" w:rsidR="001A4AC6" w:rsidRPr="002D2F67" w:rsidRDefault="001A4AC6" w:rsidP="005611FE">
            <w:pPr>
              <w:ind w:left="-29" w:right="-53"/>
              <w:jc w:val="right"/>
              <w:rPr>
                <w:rFonts w:ascii="Arial" w:hAnsi="Arial" w:cs="Arial"/>
                <w:color w:val="000000"/>
                <w:sz w:val="18"/>
                <w:szCs w:val="18"/>
              </w:rPr>
            </w:pPr>
            <w:r w:rsidRPr="002D2F67">
              <w:rPr>
                <w:rFonts w:ascii="Arial" w:hAnsi="Arial" w:cs="Arial"/>
                <w:color w:val="000000"/>
                <w:sz w:val="18"/>
                <w:szCs w:val="18"/>
              </w:rPr>
              <w:t>-</w:t>
            </w:r>
          </w:p>
        </w:tc>
        <w:tc>
          <w:tcPr>
            <w:tcW w:w="2268" w:type="dxa"/>
            <w:shd w:val="clear" w:color="auto" w:fill="auto"/>
          </w:tcPr>
          <w:p w14:paraId="6EA7AB1F" w14:textId="63442BE4"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USD-SOFR plus a certain margin per annum</w:t>
            </w:r>
          </w:p>
        </w:tc>
        <w:tc>
          <w:tcPr>
            <w:tcW w:w="1843" w:type="dxa"/>
            <w:shd w:val="clear" w:color="auto" w:fill="auto"/>
          </w:tcPr>
          <w:p w14:paraId="26B5F72C" w14:textId="77777777" w:rsidR="001A4AC6" w:rsidRPr="002D2F67" w:rsidRDefault="001A4AC6" w:rsidP="00911D6E">
            <w:pPr>
              <w:ind w:left="-29" w:right="-29"/>
              <w:jc w:val="center"/>
              <w:rPr>
                <w:rFonts w:ascii="Arial" w:hAnsi="Arial" w:cs="Arial"/>
                <w:color w:val="000000"/>
                <w:spacing w:val="-6"/>
                <w:sz w:val="18"/>
                <w:szCs w:val="18"/>
              </w:rPr>
            </w:pPr>
            <w:r w:rsidRPr="002D2F67">
              <w:rPr>
                <w:rFonts w:ascii="Arial" w:hAnsi="Arial" w:cs="Arial"/>
                <w:color w:val="000000"/>
                <w:spacing w:val="-6"/>
                <w:sz w:val="18"/>
                <w:szCs w:val="18"/>
              </w:rPr>
              <w:t xml:space="preserve">Repayment </w:t>
            </w:r>
          </w:p>
          <w:p w14:paraId="315CB87A" w14:textId="24AFE74E" w:rsidR="001A4AC6" w:rsidRPr="002D2F67" w:rsidRDefault="001A4AC6" w:rsidP="00911D6E">
            <w:pPr>
              <w:ind w:left="-29" w:right="-29"/>
              <w:jc w:val="center"/>
              <w:rPr>
                <w:rFonts w:ascii="Arial" w:hAnsi="Arial" w:cs="Arial"/>
                <w:color w:val="000000"/>
                <w:spacing w:val="-6"/>
                <w:sz w:val="18"/>
                <w:szCs w:val="18"/>
              </w:rPr>
            </w:pPr>
            <w:r w:rsidRPr="002D2F67">
              <w:rPr>
                <w:rFonts w:ascii="Arial" w:hAnsi="Arial" w:cs="Arial"/>
                <w:color w:val="000000"/>
                <w:spacing w:val="-6"/>
                <w:sz w:val="18"/>
                <w:szCs w:val="18"/>
              </w:rPr>
              <w:t xml:space="preserve">every six months from August </w:t>
            </w:r>
            <w:r w:rsidR="00CD5714" w:rsidRPr="00CD5714">
              <w:rPr>
                <w:rFonts w:ascii="Arial" w:hAnsi="Arial" w:cs="Arial"/>
                <w:color w:val="000000"/>
                <w:spacing w:val="-6"/>
                <w:sz w:val="18"/>
                <w:szCs w:val="18"/>
                <w:lang w:val="en-GB"/>
              </w:rPr>
              <w:t>2024</w:t>
            </w:r>
          </w:p>
        </w:tc>
        <w:tc>
          <w:tcPr>
            <w:tcW w:w="1795" w:type="dxa"/>
            <w:shd w:val="clear" w:color="auto" w:fill="auto"/>
          </w:tcPr>
          <w:p w14:paraId="22AFC921" w14:textId="77777777" w:rsidR="001A4AC6" w:rsidRPr="002D2F67" w:rsidRDefault="001A4AC6" w:rsidP="00911D6E">
            <w:pPr>
              <w:ind w:left="-29" w:right="-29"/>
              <w:jc w:val="center"/>
              <w:rPr>
                <w:rFonts w:ascii="Arial" w:hAnsi="Arial" w:cs="Arial"/>
                <w:color w:val="000000"/>
                <w:sz w:val="18"/>
                <w:szCs w:val="18"/>
              </w:rPr>
            </w:pPr>
            <w:r w:rsidRPr="002D2F67">
              <w:rPr>
                <w:rFonts w:ascii="Arial" w:hAnsi="Arial" w:cs="Arial"/>
                <w:color w:val="000000"/>
                <w:sz w:val="18"/>
                <w:szCs w:val="18"/>
              </w:rPr>
              <w:t xml:space="preserve">Payment every </w:t>
            </w:r>
          </w:p>
          <w:p w14:paraId="4D1DEFAB" w14:textId="4CC3ABD0" w:rsidR="001A4AC6" w:rsidRPr="002D2F67" w:rsidRDefault="001A4AC6" w:rsidP="00911D6E">
            <w:pPr>
              <w:ind w:left="-29" w:right="-29"/>
              <w:jc w:val="center"/>
              <w:rPr>
                <w:rFonts w:ascii="Arial" w:hAnsi="Arial" w:cs="Arial"/>
                <w:color w:val="000000"/>
                <w:sz w:val="18"/>
                <w:szCs w:val="18"/>
              </w:rPr>
            </w:pPr>
            <w:r w:rsidRPr="002D2F67">
              <w:rPr>
                <w:rFonts w:ascii="Arial" w:hAnsi="Arial" w:cs="Arial"/>
                <w:color w:val="000000"/>
                <w:sz w:val="18"/>
                <w:szCs w:val="18"/>
              </w:rPr>
              <w:t>six months</w:t>
            </w:r>
          </w:p>
        </w:tc>
      </w:tr>
      <w:tr w:rsidR="001A4AC6" w:rsidRPr="002D2F67" w14:paraId="289600AC" w14:textId="77777777" w:rsidTr="002D2F67">
        <w:trPr>
          <w:trHeight w:val="62"/>
        </w:trPr>
        <w:tc>
          <w:tcPr>
            <w:tcW w:w="738" w:type="dxa"/>
            <w:shd w:val="clear" w:color="auto" w:fill="auto"/>
          </w:tcPr>
          <w:p w14:paraId="59A723CB" w14:textId="2796F0E8" w:rsidR="001A4AC6" w:rsidRPr="002D2F67" w:rsidRDefault="00CD5714" w:rsidP="005611FE">
            <w:pPr>
              <w:ind w:left="-104" w:right="-75"/>
              <w:jc w:val="center"/>
              <w:rPr>
                <w:rFonts w:ascii="Arial" w:hAnsi="Arial" w:cs="Arial"/>
                <w:color w:val="000000"/>
                <w:sz w:val="18"/>
                <w:szCs w:val="18"/>
              </w:rPr>
            </w:pPr>
            <w:r w:rsidRPr="00CD5714">
              <w:rPr>
                <w:rFonts w:ascii="Arial" w:hAnsi="Arial" w:cs="Arial"/>
                <w:color w:val="000000"/>
                <w:sz w:val="18"/>
                <w:szCs w:val="18"/>
                <w:lang w:val="en-GB"/>
              </w:rPr>
              <w:t>12</w:t>
            </w:r>
          </w:p>
        </w:tc>
        <w:tc>
          <w:tcPr>
            <w:tcW w:w="1132" w:type="dxa"/>
            <w:shd w:val="clear" w:color="auto" w:fill="auto"/>
          </w:tcPr>
          <w:p w14:paraId="7C14FDDB" w14:textId="788FFAD0" w:rsidR="001A4AC6" w:rsidRPr="002D2F67" w:rsidRDefault="00CD5714" w:rsidP="005611FE">
            <w:pPr>
              <w:ind w:left="-43" w:right="-53"/>
              <w:jc w:val="right"/>
              <w:rPr>
                <w:rFonts w:ascii="Arial" w:hAnsi="Arial" w:cs="Arial"/>
                <w:color w:val="000000"/>
                <w:sz w:val="18"/>
                <w:szCs w:val="18"/>
              </w:rPr>
            </w:pPr>
            <w:r w:rsidRPr="00CD5714">
              <w:rPr>
                <w:rFonts w:ascii="Arial" w:hAnsi="Arial" w:cs="Arial"/>
                <w:color w:val="000000"/>
                <w:sz w:val="18"/>
                <w:szCs w:val="18"/>
                <w:lang w:val="en-GB"/>
              </w:rPr>
              <w:t>522</w:t>
            </w:r>
          </w:p>
        </w:tc>
        <w:tc>
          <w:tcPr>
            <w:tcW w:w="1134" w:type="dxa"/>
            <w:shd w:val="clear" w:color="auto" w:fill="auto"/>
          </w:tcPr>
          <w:p w14:paraId="4C5BB5F7" w14:textId="7B55BFD6" w:rsidR="001A4AC6" w:rsidRPr="002D2F67" w:rsidRDefault="001A4AC6" w:rsidP="005611FE">
            <w:pPr>
              <w:ind w:left="-29" w:right="-53"/>
              <w:jc w:val="right"/>
              <w:rPr>
                <w:rFonts w:ascii="Arial" w:hAnsi="Arial" w:cs="Arial"/>
                <w:color w:val="000000"/>
                <w:sz w:val="18"/>
                <w:szCs w:val="18"/>
              </w:rPr>
            </w:pPr>
            <w:r w:rsidRPr="002D2F67">
              <w:rPr>
                <w:rFonts w:ascii="Arial" w:hAnsi="Arial" w:cs="Arial"/>
                <w:color w:val="000000"/>
                <w:sz w:val="18"/>
                <w:szCs w:val="18"/>
              </w:rPr>
              <w:t>-</w:t>
            </w:r>
          </w:p>
        </w:tc>
        <w:tc>
          <w:tcPr>
            <w:tcW w:w="2268" w:type="dxa"/>
            <w:shd w:val="clear" w:color="auto" w:fill="auto"/>
          </w:tcPr>
          <w:p w14:paraId="50C75B46" w14:textId="77777777" w:rsidR="001A4AC6" w:rsidRPr="002D2F67" w:rsidRDefault="001A4AC6" w:rsidP="00911D6E">
            <w:pPr>
              <w:ind w:left="-29" w:right="-29"/>
              <w:jc w:val="center"/>
              <w:rPr>
                <w:rFonts w:ascii="Arial" w:hAnsi="Arial" w:cs="Arial"/>
                <w:color w:val="000000"/>
                <w:sz w:val="18"/>
                <w:szCs w:val="18"/>
              </w:rPr>
            </w:pPr>
            <w:r w:rsidRPr="002D2F67">
              <w:rPr>
                <w:rFonts w:ascii="Arial" w:hAnsi="Arial" w:cs="Arial"/>
                <w:color w:val="000000"/>
                <w:sz w:val="18"/>
                <w:szCs w:val="18"/>
              </w:rPr>
              <w:t xml:space="preserve">Fixed interest rate </w:t>
            </w:r>
          </w:p>
          <w:p w14:paraId="3E62A5EE" w14:textId="1F614A10" w:rsidR="001A4AC6" w:rsidRPr="002D2F67" w:rsidRDefault="001A4AC6" w:rsidP="00BD11F8">
            <w:pPr>
              <w:ind w:left="-29" w:right="-29"/>
              <w:jc w:val="center"/>
              <w:rPr>
                <w:rFonts w:ascii="Arial" w:hAnsi="Arial" w:cs="Arial"/>
                <w:color w:val="000000"/>
                <w:sz w:val="18"/>
                <w:szCs w:val="18"/>
              </w:rPr>
            </w:pPr>
            <w:r w:rsidRPr="002D2F67">
              <w:rPr>
                <w:rFonts w:ascii="Arial" w:hAnsi="Arial" w:cs="Arial"/>
                <w:color w:val="000000"/>
                <w:sz w:val="18"/>
                <w:szCs w:val="18"/>
              </w:rPr>
              <w:t xml:space="preserve">at </w:t>
            </w:r>
            <w:r w:rsidR="00CD5714" w:rsidRPr="00CD5714">
              <w:rPr>
                <w:rFonts w:ascii="Arial" w:hAnsi="Arial" w:cs="Arial"/>
                <w:color w:val="000000"/>
                <w:sz w:val="18"/>
                <w:szCs w:val="18"/>
                <w:lang w:val="en-GB"/>
              </w:rPr>
              <w:t>2</w:t>
            </w:r>
            <w:r w:rsidRPr="002D2F67">
              <w:rPr>
                <w:rFonts w:ascii="Arial" w:hAnsi="Arial" w:cs="Arial"/>
                <w:color w:val="000000"/>
                <w:sz w:val="18"/>
                <w:szCs w:val="18"/>
              </w:rPr>
              <w:t>.</w:t>
            </w:r>
            <w:r w:rsidR="00CD5714" w:rsidRPr="00CD5714">
              <w:rPr>
                <w:rFonts w:ascii="Arial" w:hAnsi="Arial" w:cs="Arial"/>
                <w:color w:val="000000"/>
                <w:sz w:val="18"/>
                <w:szCs w:val="18"/>
                <w:lang w:val="en-GB"/>
              </w:rPr>
              <w:t>17</w:t>
            </w:r>
            <w:r w:rsidRPr="002D2F67">
              <w:rPr>
                <w:rFonts w:ascii="Arial" w:hAnsi="Arial" w:cs="Arial"/>
                <w:color w:val="000000"/>
                <w:sz w:val="18"/>
                <w:szCs w:val="18"/>
              </w:rPr>
              <w:t>% per annum</w:t>
            </w:r>
          </w:p>
          <w:p w14:paraId="7560A4DC" w14:textId="6984656A" w:rsidR="001A4AC6" w:rsidRPr="002D2F67" w:rsidRDefault="001A4AC6" w:rsidP="00911D6E">
            <w:pPr>
              <w:ind w:left="-29" w:right="-29"/>
              <w:jc w:val="center"/>
              <w:rPr>
                <w:rFonts w:ascii="Arial" w:hAnsi="Arial" w:cs="Arial"/>
                <w:color w:val="000000"/>
                <w:sz w:val="18"/>
                <w:szCs w:val="18"/>
              </w:rPr>
            </w:pPr>
            <w:proofErr w:type="gramStart"/>
            <w:r w:rsidRPr="002D2F67">
              <w:rPr>
                <w:rFonts w:ascii="Arial" w:hAnsi="Arial" w:cs="Arial"/>
                <w:color w:val="000000"/>
                <w:sz w:val="18"/>
                <w:szCs w:val="18"/>
              </w:rPr>
              <w:t>plus</w:t>
            </w:r>
            <w:proofErr w:type="gramEnd"/>
            <w:r w:rsidRPr="002D2F67">
              <w:rPr>
                <w:rFonts w:ascii="Arial" w:hAnsi="Arial" w:cs="Arial"/>
                <w:color w:val="000000"/>
                <w:sz w:val="18"/>
                <w:szCs w:val="18"/>
              </w:rPr>
              <w:t xml:space="preserve"> a certain margin per annum</w:t>
            </w:r>
          </w:p>
        </w:tc>
        <w:tc>
          <w:tcPr>
            <w:tcW w:w="1843" w:type="dxa"/>
            <w:shd w:val="clear" w:color="auto" w:fill="auto"/>
          </w:tcPr>
          <w:p w14:paraId="5B6383D8" w14:textId="77777777" w:rsidR="001A4AC6" w:rsidRPr="002D2F67" w:rsidRDefault="001A4AC6" w:rsidP="00911D6E">
            <w:pPr>
              <w:ind w:left="-29" w:right="-29"/>
              <w:jc w:val="center"/>
              <w:rPr>
                <w:rFonts w:ascii="Arial" w:hAnsi="Arial" w:cs="Arial"/>
                <w:color w:val="000000"/>
                <w:spacing w:val="-6"/>
                <w:sz w:val="18"/>
                <w:szCs w:val="18"/>
              </w:rPr>
            </w:pPr>
            <w:r w:rsidRPr="002D2F67">
              <w:rPr>
                <w:rFonts w:ascii="Arial" w:hAnsi="Arial" w:cs="Arial"/>
                <w:color w:val="000000"/>
                <w:spacing w:val="-6"/>
                <w:sz w:val="18"/>
                <w:szCs w:val="18"/>
              </w:rPr>
              <w:t xml:space="preserve">Repayment </w:t>
            </w:r>
          </w:p>
          <w:p w14:paraId="17A18DDA" w14:textId="18F7E56D" w:rsidR="001A4AC6" w:rsidRPr="002D2F67" w:rsidRDefault="001A4AC6" w:rsidP="00911D6E">
            <w:pPr>
              <w:ind w:left="-29" w:right="-29"/>
              <w:jc w:val="center"/>
              <w:rPr>
                <w:rFonts w:ascii="Arial" w:hAnsi="Arial" w:cs="Arial"/>
                <w:color w:val="000000"/>
                <w:spacing w:val="-6"/>
                <w:sz w:val="18"/>
                <w:szCs w:val="18"/>
              </w:rPr>
            </w:pPr>
            <w:r w:rsidRPr="002D2F67">
              <w:rPr>
                <w:rFonts w:ascii="Arial" w:hAnsi="Arial" w:cs="Arial"/>
                <w:color w:val="000000"/>
                <w:spacing w:val="-6"/>
                <w:sz w:val="18"/>
                <w:szCs w:val="18"/>
              </w:rPr>
              <w:t xml:space="preserve">every six months from August </w:t>
            </w:r>
            <w:r w:rsidR="00CD5714" w:rsidRPr="00CD5714">
              <w:rPr>
                <w:rFonts w:ascii="Arial" w:hAnsi="Arial" w:cs="Arial"/>
                <w:color w:val="000000"/>
                <w:spacing w:val="-6"/>
                <w:sz w:val="18"/>
                <w:szCs w:val="18"/>
                <w:lang w:val="en-GB"/>
              </w:rPr>
              <w:t>2024</w:t>
            </w:r>
          </w:p>
        </w:tc>
        <w:tc>
          <w:tcPr>
            <w:tcW w:w="1795" w:type="dxa"/>
            <w:shd w:val="clear" w:color="auto" w:fill="auto"/>
          </w:tcPr>
          <w:p w14:paraId="2DB92F7C" w14:textId="77777777" w:rsidR="001A4AC6" w:rsidRPr="002D2F67" w:rsidRDefault="001A4AC6" w:rsidP="00911D6E">
            <w:pPr>
              <w:ind w:left="-29" w:right="-29"/>
              <w:jc w:val="center"/>
              <w:rPr>
                <w:rFonts w:ascii="Arial" w:hAnsi="Arial" w:cs="Arial"/>
                <w:color w:val="000000"/>
                <w:sz w:val="18"/>
                <w:szCs w:val="18"/>
              </w:rPr>
            </w:pPr>
            <w:r w:rsidRPr="002D2F67">
              <w:rPr>
                <w:rFonts w:ascii="Arial" w:hAnsi="Arial" w:cs="Arial"/>
                <w:color w:val="000000"/>
                <w:sz w:val="18"/>
                <w:szCs w:val="18"/>
              </w:rPr>
              <w:t xml:space="preserve">Payment every </w:t>
            </w:r>
          </w:p>
          <w:p w14:paraId="2BCB9679" w14:textId="345F7A9E" w:rsidR="001A4AC6" w:rsidRPr="002D2F67" w:rsidRDefault="001A4AC6" w:rsidP="00911D6E">
            <w:pPr>
              <w:ind w:left="-29" w:right="-29"/>
              <w:jc w:val="center"/>
              <w:rPr>
                <w:rFonts w:ascii="Arial" w:hAnsi="Arial" w:cs="Arial"/>
                <w:color w:val="000000"/>
                <w:sz w:val="18"/>
                <w:szCs w:val="18"/>
              </w:rPr>
            </w:pPr>
            <w:r w:rsidRPr="002D2F67">
              <w:rPr>
                <w:rFonts w:ascii="Arial" w:hAnsi="Arial" w:cs="Arial"/>
                <w:color w:val="000000"/>
                <w:sz w:val="18"/>
                <w:szCs w:val="18"/>
              </w:rPr>
              <w:t>six months</w:t>
            </w:r>
          </w:p>
        </w:tc>
      </w:tr>
      <w:tr w:rsidR="001A4AC6" w:rsidRPr="002D2F67" w14:paraId="571E7490" w14:textId="77777777" w:rsidTr="002D2F67">
        <w:trPr>
          <w:trHeight w:val="62"/>
        </w:trPr>
        <w:tc>
          <w:tcPr>
            <w:tcW w:w="738" w:type="dxa"/>
            <w:shd w:val="clear" w:color="auto" w:fill="auto"/>
          </w:tcPr>
          <w:p w14:paraId="230A1428" w14:textId="44A234EC" w:rsidR="001A4AC6" w:rsidRPr="002D2F67" w:rsidRDefault="00CD5714" w:rsidP="005611FE">
            <w:pPr>
              <w:ind w:left="-104" w:right="-75"/>
              <w:jc w:val="center"/>
              <w:rPr>
                <w:rFonts w:ascii="Arial" w:hAnsi="Arial" w:cs="Arial"/>
                <w:color w:val="000000"/>
                <w:sz w:val="18"/>
                <w:szCs w:val="18"/>
              </w:rPr>
            </w:pPr>
            <w:r w:rsidRPr="00CD5714">
              <w:rPr>
                <w:rFonts w:ascii="Arial" w:hAnsi="Arial" w:cs="Arial"/>
                <w:color w:val="000000"/>
                <w:sz w:val="18"/>
                <w:szCs w:val="18"/>
                <w:lang w:val="en-GB"/>
              </w:rPr>
              <w:t>13</w:t>
            </w:r>
          </w:p>
        </w:tc>
        <w:tc>
          <w:tcPr>
            <w:tcW w:w="1132" w:type="dxa"/>
            <w:tcBorders>
              <w:bottom w:val="single" w:sz="4" w:space="0" w:color="auto"/>
            </w:tcBorders>
            <w:shd w:val="clear" w:color="auto" w:fill="auto"/>
          </w:tcPr>
          <w:p w14:paraId="54B41806" w14:textId="28AD0FF8" w:rsidR="001A4AC6" w:rsidRPr="002D2F67" w:rsidRDefault="00CD5714" w:rsidP="005611FE">
            <w:pPr>
              <w:ind w:left="-43" w:right="-53"/>
              <w:jc w:val="right"/>
              <w:rPr>
                <w:rFonts w:ascii="Arial" w:hAnsi="Arial" w:cs="Arial"/>
                <w:color w:val="000000"/>
                <w:sz w:val="18"/>
                <w:szCs w:val="18"/>
              </w:rPr>
            </w:pPr>
            <w:r w:rsidRPr="00CD5714">
              <w:rPr>
                <w:rFonts w:ascii="Arial" w:hAnsi="Arial" w:cs="Arial"/>
                <w:color w:val="000000"/>
                <w:sz w:val="18"/>
                <w:szCs w:val="18"/>
                <w:lang w:val="en-GB"/>
              </w:rPr>
              <w:t>478</w:t>
            </w:r>
          </w:p>
        </w:tc>
        <w:tc>
          <w:tcPr>
            <w:tcW w:w="1134" w:type="dxa"/>
            <w:tcBorders>
              <w:bottom w:val="single" w:sz="4" w:space="0" w:color="auto"/>
            </w:tcBorders>
            <w:shd w:val="clear" w:color="auto" w:fill="auto"/>
          </w:tcPr>
          <w:p w14:paraId="1C0A81B0" w14:textId="23AD715A" w:rsidR="001A4AC6" w:rsidRPr="002D2F67" w:rsidRDefault="001A4AC6" w:rsidP="005611FE">
            <w:pPr>
              <w:ind w:left="-29" w:right="-53"/>
              <w:jc w:val="right"/>
              <w:rPr>
                <w:rFonts w:ascii="Arial" w:hAnsi="Arial" w:cs="Arial"/>
                <w:color w:val="000000"/>
                <w:sz w:val="18"/>
                <w:szCs w:val="18"/>
              </w:rPr>
            </w:pPr>
            <w:r w:rsidRPr="002D2F67">
              <w:rPr>
                <w:rFonts w:ascii="Arial" w:hAnsi="Arial" w:cs="Arial"/>
                <w:color w:val="000000"/>
                <w:sz w:val="18"/>
                <w:szCs w:val="18"/>
              </w:rPr>
              <w:t>-</w:t>
            </w:r>
          </w:p>
        </w:tc>
        <w:tc>
          <w:tcPr>
            <w:tcW w:w="2268" w:type="dxa"/>
            <w:shd w:val="clear" w:color="auto" w:fill="auto"/>
          </w:tcPr>
          <w:p w14:paraId="0B422CEC" w14:textId="77777777" w:rsidR="001A4AC6" w:rsidRPr="002D2F67" w:rsidRDefault="001A4AC6" w:rsidP="00911D6E">
            <w:pPr>
              <w:ind w:left="-29" w:right="-29"/>
              <w:jc w:val="center"/>
              <w:rPr>
                <w:rFonts w:ascii="Arial" w:hAnsi="Arial" w:cs="Arial"/>
                <w:color w:val="000000"/>
                <w:sz w:val="18"/>
                <w:szCs w:val="18"/>
              </w:rPr>
            </w:pPr>
            <w:r w:rsidRPr="002D2F67">
              <w:rPr>
                <w:rFonts w:ascii="Arial" w:hAnsi="Arial" w:cs="Arial"/>
                <w:color w:val="000000"/>
                <w:sz w:val="18"/>
                <w:szCs w:val="18"/>
              </w:rPr>
              <w:t xml:space="preserve">Fixed interest rate </w:t>
            </w:r>
          </w:p>
          <w:p w14:paraId="41D4A296" w14:textId="513D3267" w:rsidR="001A4AC6" w:rsidRPr="002D2F67" w:rsidRDefault="001A4AC6" w:rsidP="00BD11F8">
            <w:pPr>
              <w:ind w:left="-29" w:right="-29"/>
              <w:jc w:val="center"/>
              <w:rPr>
                <w:rFonts w:ascii="Arial" w:hAnsi="Arial" w:cs="Arial"/>
                <w:color w:val="000000"/>
                <w:sz w:val="18"/>
                <w:szCs w:val="18"/>
              </w:rPr>
            </w:pPr>
            <w:r w:rsidRPr="002D2F67">
              <w:rPr>
                <w:rFonts w:ascii="Arial" w:hAnsi="Arial" w:cs="Arial"/>
                <w:color w:val="000000"/>
                <w:sz w:val="18"/>
                <w:szCs w:val="18"/>
              </w:rPr>
              <w:t xml:space="preserve">at </w:t>
            </w:r>
            <w:r w:rsidR="00CD5714" w:rsidRPr="00CD5714">
              <w:rPr>
                <w:rFonts w:ascii="Arial" w:hAnsi="Arial" w:cs="Arial"/>
                <w:color w:val="000000"/>
                <w:sz w:val="18"/>
                <w:szCs w:val="18"/>
                <w:lang w:val="en-GB"/>
              </w:rPr>
              <w:t>5</w:t>
            </w:r>
            <w:r w:rsidRPr="002D2F67">
              <w:rPr>
                <w:rFonts w:ascii="Arial" w:hAnsi="Arial" w:cs="Arial"/>
                <w:color w:val="000000"/>
                <w:sz w:val="18"/>
                <w:szCs w:val="18"/>
              </w:rPr>
              <w:t>.</w:t>
            </w:r>
            <w:r w:rsidR="00CD5714" w:rsidRPr="00CD5714">
              <w:rPr>
                <w:rFonts w:ascii="Arial" w:hAnsi="Arial" w:cs="Arial"/>
                <w:color w:val="000000"/>
                <w:sz w:val="18"/>
                <w:szCs w:val="18"/>
                <w:lang w:val="en-GB"/>
              </w:rPr>
              <w:t>50</w:t>
            </w:r>
            <w:r w:rsidRPr="002D2F67">
              <w:rPr>
                <w:rFonts w:ascii="Arial" w:hAnsi="Arial" w:cs="Arial"/>
                <w:color w:val="000000"/>
                <w:sz w:val="18"/>
                <w:szCs w:val="18"/>
              </w:rPr>
              <w:t>% per annum</w:t>
            </w:r>
          </w:p>
          <w:p w14:paraId="5A1DF8CE" w14:textId="156E298A" w:rsidR="001A4AC6" w:rsidRPr="002D2F67" w:rsidRDefault="001A4AC6" w:rsidP="00911D6E">
            <w:pPr>
              <w:ind w:left="-29" w:right="-29"/>
              <w:jc w:val="center"/>
              <w:rPr>
                <w:rFonts w:ascii="Arial" w:hAnsi="Arial" w:cs="Arial"/>
                <w:color w:val="000000"/>
                <w:sz w:val="18"/>
                <w:szCs w:val="18"/>
              </w:rPr>
            </w:pPr>
          </w:p>
        </w:tc>
        <w:tc>
          <w:tcPr>
            <w:tcW w:w="1843" w:type="dxa"/>
            <w:shd w:val="clear" w:color="auto" w:fill="auto"/>
          </w:tcPr>
          <w:p w14:paraId="34D335AD" w14:textId="77777777" w:rsidR="001A4AC6" w:rsidRPr="002D2F67" w:rsidRDefault="001A4AC6" w:rsidP="00911D6E">
            <w:pPr>
              <w:ind w:left="-29" w:right="-29"/>
              <w:jc w:val="center"/>
              <w:rPr>
                <w:rFonts w:ascii="Arial" w:hAnsi="Arial" w:cs="Arial"/>
                <w:color w:val="000000"/>
                <w:spacing w:val="-6"/>
                <w:sz w:val="18"/>
                <w:szCs w:val="18"/>
              </w:rPr>
            </w:pPr>
            <w:r w:rsidRPr="002D2F67">
              <w:rPr>
                <w:rFonts w:ascii="Arial" w:hAnsi="Arial" w:cs="Arial"/>
                <w:color w:val="000000"/>
                <w:spacing w:val="-6"/>
                <w:sz w:val="18"/>
                <w:szCs w:val="18"/>
              </w:rPr>
              <w:t xml:space="preserve">Repayment </w:t>
            </w:r>
          </w:p>
          <w:p w14:paraId="4ADED5B2" w14:textId="3792394F" w:rsidR="001A4AC6" w:rsidRPr="002D2F67" w:rsidRDefault="001A4AC6" w:rsidP="00911D6E">
            <w:pPr>
              <w:ind w:left="-29" w:right="-29"/>
              <w:jc w:val="center"/>
              <w:rPr>
                <w:rFonts w:ascii="Arial" w:hAnsi="Arial" w:cs="Arial"/>
                <w:color w:val="000000"/>
                <w:spacing w:val="-6"/>
                <w:sz w:val="18"/>
                <w:szCs w:val="18"/>
              </w:rPr>
            </w:pPr>
            <w:r w:rsidRPr="002D2F67">
              <w:rPr>
                <w:rFonts w:ascii="Arial" w:hAnsi="Arial" w:cs="Arial"/>
                <w:color w:val="000000"/>
                <w:spacing w:val="-6"/>
                <w:sz w:val="18"/>
                <w:szCs w:val="18"/>
              </w:rPr>
              <w:t xml:space="preserve">every six months from August </w:t>
            </w:r>
            <w:r w:rsidR="00CD5714" w:rsidRPr="00CD5714">
              <w:rPr>
                <w:rFonts w:ascii="Arial" w:hAnsi="Arial" w:cs="Arial"/>
                <w:color w:val="000000"/>
                <w:spacing w:val="-6"/>
                <w:sz w:val="18"/>
                <w:szCs w:val="18"/>
                <w:lang w:val="en-GB"/>
              </w:rPr>
              <w:t>2024</w:t>
            </w:r>
          </w:p>
        </w:tc>
        <w:tc>
          <w:tcPr>
            <w:tcW w:w="1795" w:type="dxa"/>
            <w:shd w:val="clear" w:color="auto" w:fill="auto"/>
          </w:tcPr>
          <w:p w14:paraId="451B616E" w14:textId="77777777" w:rsidR="001A4AC6" w:rsidRPr="002D2F67" w:rsidRDefault="001A4AC6" w:rsidP="00911D6E">
            <w:pPr>
              <w:ind w:left="-29" w:right="-29"/>
              <w:jc w:val="center"/>
              <w:rPr>
                <w:rFonts w:ascii="Arial" w:hAnsi="Arial" w:cs="Arial"/>
                <w:color w:val="000000"/>
                <w:sz w:val="18"/>
                <w:szCs w:val="18"/>
              </w:rPr>
            </w:pPr>
            <w:r w:rsidRPr="002D2F67">
              <w:rPr>
                <w:rFonts w:ascii="Arial" w:hAnsi="Arial" w:cs="Arial"/>
                <w:color w:val="000000"/>
                <w:sz w:val="18"/>
                <w:szCs w:val="18"/>
              </w:rPr>
              <w:t xml:space="preserve">Payment every </w:t>
            </w:r>
          </w:p>
          <w:p w14:paraId="61B8E5DA" w14:textId="29B29B72" w:rsidR="001A4AC6" w:rsidRPr="002D2F67" w:rsidRDefault="001A4AC6" w:rsidP="00911D6E">
            <w:pPr>
              <w:ind w:left="-29" w:right="-29"/>
              <w:jc w:val="center"/>
              <w:rPr>
                <w:rFonts w:ascii="Arial" w:hAnsi="Arial" w:cs="Arial"/>
                <w:color w:val="000000"/>
                <w:sz w:val="18"/>
                <w:szCs w:val="18"/>
              </w:rPr>
            </w:pPr>
            <w:r w:rsidRPr="002D2F67">
              <w:rPr>
                <w:rFonts w:ascii="Arial" w:hAnsi="Arial" w:cs="Arial"/>
                <w:color w:val="000000"/>
                <w:sz w:val="18"/>
                <w:szCs w:val="18"/>
              </w:rPr>
              <w:t>months</w:t>
            </w:r>
          </w:p>
        </w:tc>
      </w:tr>
      <w:tr w:rsidR="001A4AC6" w:rsidRPr="002D2F67" w14:paraId="3E99B2F3" w14:textId="08893B55" w:rsidTr="002D2F67">
        <w:trPr>
          <w:trHeight w:val="225"/>
        </w:trPr>
        <w:tc>
          <w:tcPr>
            <w:tcW w:w="738" w:type="dxa"/>
            <w:shd w:val="clear" w:color="auto" w:fill="auto"/>
          </w:tcPr>
          <w:p w14:paraId="301759FB" w14:textId="77777777" w:rsidR="001A4AC6" w:rsidRPr="002D2F67" w:rsidRDefault="001A4AC6" w:rsidP="005611FE">
            <w:pPr>
              <w:ind w:left="-104" w:right="-75"/>
              <w:jc w:val="center"/>
              <w:rPr>
                <w:rFonts w:ascii="Arial" w:hAnsi="Arial" w:cs="Arial"/>
                <w:color w:val="000000"/>
                <w:sz w:val="18"/>
                <w:szCs w:val="18"/>
              </w:rPr>
            </w:pPr>
          </w:p>
        </w:tc>
        <w:tc>
          <w:tcPr>
            <w:tcW w:w="1132" w:type="dxa"/>
            <w:tcBorders>
              <w:top w:val="single" w:sz="4" w:space="0" w:color="auto"/>
            </w:tcBorders>
            <w:shd w:val="clear" w:color="auto" w:fill="auto"/>
          </w:tcPr>
          <w:p w14:paraId="0AE3C79B" w14:textId="77777777" w:rsidR="001A4AC6" w:rsidRPr="002D2F67" w:rsidRDefault="001A4AC6" w:rsidP="005611FE">
            <w:pPr>
              <w:ind w:left="-29" w:right="-53"/>
              <w:jc w:val="right"/>
              <w:rPr>
                <w:rFonts w:ascii="Arial" w:hAnsi="Arial" w:cs="Arial"/>
                <w:color w:val="000000"/>
                <w:sz w:val="18"/>
                <w:szCs w:val="18"/>
              </w:rPr>
            </w:pPr>
          </w:p>
        </w:tc>
        <w:tc>
          <w:tcPr>
            <w:tcW w:w="1134" w:type="dxa"/>
            <w:tcBorders>
              <w:top w:val="single" w:sz="4" w:space="0" w:color="auto"/>
            </w:tcBorders>
            <w:shd w:val="clear" w:color="auto" w:fill="auto"/>
          </w:tcPr>
          <w:p w14:paraId="5F6D3B7B" w14:textId="77777777" w:rsidR="001A4AC6" w:rsidRPr="002D2F67" w:rsidRDefault="001A4AC6" w:rsidP="005611FE">
            <w:pPr>
              <w:ind w:left="-29" w:right="-53"/>
              <w:jc w:val="right"/>
              <w:rPr>
                <w:rFonts w:ascii="Arial" w:hAnsi="Arial" w:cs="Arial"/>
                <w:color w:val="000000"/>
                <w:sz w:val="18"/>
                <w:szCs w:val="18"/>
              </w:rPr>
            </w:pPr>
          </w:p>
        </w:tc>
        <w:tc>
          <w:tcPr>
            <w:tcW w:w="2268" w:type="dxa"/>
            <w:shd w:val="clear" w:color="auto" w:fill="auto"/>
          </w:tcPr>
          <w:p w14:paraId="7C8FC408" w14:textId="77777777" w:rsidR="001A4AC6" w:rsidRPr="002D2F67" w:rsidRDefault="001A4AC6" w:rsidP="005611FE">
            <w:pPr>
              <w:ind w:left="-29" w:right="-29"/>
              <w:jc w:val="center"/>
              <w:rPr>
                <w:rFonts w:ascii="Arial" w:hAnsi="Arial" w:cs="Arial"/>
                <w:color w:val="000000"/>
                <w:sz w:val="18"/>
                <w:szCs w:val="18"/>
              </w:rPr>
            </w:pPr>
          </w:p>
        </w:tc>
        <w:tc>
          <w:tcPr>
            <w:tcW w:w="1843" w:type="dxa"/>
            <w:shd w:val="clear" w:color="auto" w:fill="auto"/>
          </w:tcPr>
          <w:p w14:paraId="32606BC1" w14:textId="77777777" w:rsidR="001A4AC6" w:rsidRPr="002D2F67" w:rsidRDefault="001A4AC6" w:rsidP="005611FE">
            <w:pPr>
              <w:ind w:left="-29" w:right="-29"/>
              <w:jc w:val="center"/>
              <w:rPr>
                <w:rFonts w:ascii="Arial" w:hAnsi="Arial" w:cs="Arial"/>
                <w:color w:val="000000"/>
                <w:sz w:val="18"/>
                <w:szCs w:val="18"/>
                <w:cs/>
              </w:rPr>
            </w:pPr>
          </w:p>
        </w:tc>
        <w:tc>
          <w:tcPr>
            <w:tcW w:w="1795" w:type="dxa"/>
            <w:shd w:val="clear" w:color="auto" w:fill="auto"/>
          </w:tcPr>
          <w:p w14:paraId="3812A6E7" w14:textId="77777777" w:rsidR="001A4AC6" w:rsidRPr="002D2F67" w:rsidRDefault="001A4AC6" w:rsidP="005611FE">
            <w:pPr>
              <w:ind w:left="-29" w:right="-29"/>
              <w:jc w:val="center"/>
              <w:rPr>
                <w:rFonts w:ascii="Arial" w:hAnsi="Arial" w:cs="Arial"/>
                <w:color w:val="000000"/>
                <w:sz w:val="18"/>
                <w:szCs w:val="18"/>
                <w:cs/>
              </w:rPr>
            </w:pPr>
          </w:p>
        </w:tc>
      </w:tr>
      <w:tr w:rsidR="001A4AC6" w:rsidRPr="002D2F67" w14:paraId="4B35B8C5" w14:textId="4249831C" w:rsidTr="002D2F67">
        <w:trPr>
          <w:trHeight w:val="225"/>
        </w:trPr>
        <w:tc>
          <w:tcPr>
            <w:tcW w:w="738" w:type="dxa"/>
            <w:shd w:val="clear" w:color="auto" w:fill="auto"/>
          </w:tcPr>
          <w:p w14:paraId="2972F59C" w14:textId="77777777" w:rsidR="001A4AC6" w:rsidRPr="002D2F67" w:rsidRDefault="001A4AC6" w:rsidP="005611FE">
            <w:pPr>
              <w:ind w:left="-104" w:right="-75"/>
              <w:jc w:val="center"/>
              <w:rPr>
                <w:rFonts w:ascii="Arial" w:hAnsi="Arial" w:cs="Arial"/>
                <w:color w:val="000000"/>
                <w:sz w:val="18"/>
                <w:szCs w:val="18"/>
              </w:rPr>
            </w:pPr>
            <w:r w:rsidRPr="002D2F67">
              <w:rPr>
                <w:rFonts w:ascii="Arial" w:hAnsi="Arial" w:cs="Arial"/>
                <w:color w:val="000000"/>
                <w:sz w:val="18"/>
                <w:szCs w:val="18"/>
              </w:rPr>
              <w:t>Total</w:t>
            </w:r>
          </w:p>
        </w:tc>
        <w:tc>
          <w:tcPr>
            <w:tcW w:w="1132" w:type="dxa"/>
            <w:tcBorders>
              <w:bottom w:val="single" w:sz="4" w:space="0" w:color="auto"/>
            </w:tcBorders>
            <w:shd w:val="clear" w:color="auto" w:fill="auto"/>
            <w:vAlign w:val="bottom"/>
          </w:tcPr>
          <w:p w14:paraId="3A4539A3" w14:textId="4ED7C221" w:rsidR="001A4AC6" w:rsidRPr="002D2F67" w:rsidRDefault="00CD5714" w:rsidP="005611FE">
            <w:pPr>
              <w:ind w:left="-43" w:right="-53"/>
              <w:jc w:val="right"/>
              <w:rPr>
                <w:rFonts w:ascii="Arial" w:hAnsi="Arial" w:cs="Arial"/>
                <w:color w:val="000000"/>
                <w:sz w:val="18"/>
                <w:szCs w:val="18"/>
              </w:rPr>
            </w:pPr>
            <w:r w:rsidRPr="00CD5714">
              <w:rPr>
                <w:rFonts w:ascii="Arial" w:hAnsi="Arial" w:cs="Arial"/>
                <w:color w:val="000000"/>
                <w:sz w:val="18"/>
                <w:szCs w:val="18"/>
                <w:lang w:val="en-GB"/>
              </w:rPr>
              <w:t>11</w:t>
            </w:r>
            <w:r w:rsidR="001A4AC6" w:rsidRPr="002D2F67">
              <w:rPr>
                <w:rFonts w:ascii="Arial" w:hAnsi="Arial" w:cs="Arial"/>
                <w:color w:val="000000"/>
                <w:sz w:val="18"/>
                <w:szCs w:val="18"/>
              </w:rPr>
              <w:t>,</w:t>
            </w:r>
            <w:r w:rsidRPr="00CD5714">
              <w:rPr>
                <w:rFonts w:ascii="Arial" w:hAnsi="Arial" w:cs="Arial"/>
                <w:color w:val="000000"/>
                <w:sz w:val="18"/>
                <w:szCs w:val="18"/>
                <w:lang w:val="en-GB"/>
              </w:rPr>
              <w:t>727</w:t>
            </w:r>
          </w:p>
        </w:tc>
        <w:tc>
          <w:tcPr>
            <w:tcW w:w="1134" w:type="dxa"/>
            <w:tcBorders>
              <w:bottom w:val="single" w:sz="4" w:space="0" w:color="auto"/>
            </w:tcBorders>
            <w:shd w:val="clear" w:color="auto" w:fill="auto"/>
            <w:vAlign w:val="bottom"/>
          </w:tcPr>
          <w:p w14:paraId="0CC10580" w14:textId="38D57F8C" w:rsidR="001A4AC6" w:rsidRPr="002D2F67" w:rsidRDefault="00CD5714" w:rsidP="005611FE">
            <w:pPr>
              <w:ind w:left="-43" w:right="-53"/>
              <w:jc w:val="right"/>
              <w:rPr>
                <w:rFonts w:ascii="Arial" w:hAnsi="Arial" w:cs="Arial"/>
                <w:color w:val="000000"/>
                <w:sz w:val="18"/>
                <w:szCs w:val="18"/>
              </w:rPr>
            </w:pPr>
            <w:r w:rsidRPr="00CD5714">
              <w:rPr>
                <w:rFonts w:ascii="Arial" w:hAnsi="Arial" w:cs="Arial"/>
                <w:color w:val="000000"/>
                <w:sz w:val="18"/>
                <w:szCs w:val="18"/>
                <w:lang w:val="en-GB"/>
              </w:rPr>
              <w:t>13</w:t>
            </w:r>
            <w:r w:rsidR="001A4AC6" w:rsidRPr="002D2F67">
              <w:rPr>
                <w:rFonts w:ascii="Arial" w:hAnsi="Arial" w:cs="Arial"/>
                <w:color w:val="000000"/>
                <w:sz w:val="18"/>
                <w:szCs w:val="18"/>
              </w:rPr>
              <w:t>,</w:t>
            </w:r>
            <w:r w:rsidRPr="00CD5714">
              <w:rPr>
                <w:rFonts w:ascii="Arial" w:hAnsi="Arial" w:cs="Arial"/>
                <w:color w:val="000000"/>
                <w:sz w:val="18"/>
                <w:szCs w:val="18"/>
                <w:lang w:val="en-GB"/>
              </w:rPr>
              <w:t>410</w:t>
            </w:r>
          </w:p>
        </w:tc>
        <w:tc>
          <w:tcPr>
            <w:tcW w:w="2268" w:type="dxa"/>
            <w:shd w:val="clear" w:color="auto" w:fill="auto"/>
          </w:tcPr>
          <w:p w14:paraId="63FCA676" w14:textId="77777777" w:rsidR="001A4AC6" w:rsidRPr="002D2F67" w:rsidRDefault="001A4AC6" w:rsidP="005611FE">
            <w:pPr>
              <w:ind w:left="-29" w:right="-29"/>
              <w:jc w:val="center"/>
              <w:rPr>
                <w:rFonts w:ascii="Arial" w:hAnsi="Arial" w:cs="Arial"/>
                <w:color w:val="000000"/>
                <w:sz w:val="18"/>
                <w:szCs w:val="18"/>
              </w:rPr>
            </w:pPr>
          </w:p>
        </w:tc>
        <w:tc>
          <w:tcPr>
            <w:tcW w:w="1843" w:type="dxa"/>
            <w:shd w:val="clear" w:color="auto" w:fill="auto"/>
          </w:tcPr>
          <w:p w14:paraId="6E8AE816" w14:textId="77777777" w:rsidR="001A4AC6" w:rsidRPr="002D2F67" w:rsidRDefault="001A4AC6" w:rsidP="005611FE">
            <w:pPr>
              <w:ind w:left="-29" w:right="-29"/>
              <w:jc w:val="center"/>
              <w:rPr>
                <w:rFonts w:ascii="Arial" w:hAnsi="Arial" w:cs="Arial"/>
                <w:color w:val="000000"/>
                <w:sz w:val="18"/>
                <w:szCs w:val="18"/>
              </w:rPr>
            </w:pPr>
          </w:p>
        </w:tc>
        <w:tc>
          <w:tcPr>
            <w:tcW w:w="1795" w:type="dxa"/>
            <w:shd w:val="clear" w:color="auto" w:fill="auto"/>
          </w:tcPr>
          <w:p w14:paraId="61F6916C" w14:textId="77777777" w:rsidR="001A4AC6" w:rsidRPr="002D2F67" w:rsidRDefault="001A4AC6" w:rsidP="005611FE">
            <w:pPr>
              <w:ind w:left="-29" w:right="-29"/>
              <w:jc w:val="center"/>
              <w:rPr>
                <w:rFonts w:ascii="Arial" w:hAnsi="Arial" w:cs="Arial"/>
                <w:color w:val="000000"/>
                <w:sz w:val="18"/>
                <w:szCs w:val="18"/>
              </w:rPr>
            </w:pPr>
          </w:p>
        </w:tc>
      </w:tr>
    </w:tbl>
    <w:p w14:paraId="00FF980D" w14:textId="77777777" w:rsidR="009F1D09" w:rsidRPr="002D2F67" w:rsidRDefault="00AB5B46" w:rsidP="005611FE">
      <w:pPr>
        <w:ind w:left="539"/>
        <w:rPr>
          <w:rFonts w:ascii="Arial" w:hAnsi="Arial" w:cs="Arial"/>
          <w:color w:val="000000"/>
          <w:sz w:val="20"/>
          <w:szCs w:val="20"/>
          <w:u w:val="single"/>
          <w:lang w:val="en"/>
        </w:rPr>
      </w:pPr>
      <w:r w:rsidRPr="002D2F67">
        <w:rPr>
          <w:rFonts w:ascii="Arial" w:hAnsi="Arial" w:cs="Arial"/>
          <w:color w:val="000000"/>
          <w:sz w:val="20"/>
          <w:szCs w:val="20"/>
          <w:u w:val="single"/>
          <w:lang w:val="en"/>
        </w:rPr>
        <w:br w:type="page"/>
      </w:r>
    </w:p>
    <w:p w14:paraId="4F537106" w14:textId="77B98BA7" w:rsidR="001E6C66" w:rsidRPr="002D2F67" w:rsidRDefault="001E6C66" w:rsidP="005611FE">
      <w:pPr>
        <w:ind w:left="539"/>
        <w:rPr>
          <w:rFonts w:ascii="Arial" w:hAnsi="Arial" w:cs="Arial"/>
          <w:b/>
          <w:bCs/>
          <w:color w:val="000000"/>
          <w:sz w:val="20"/>
          <w:szCs w:val="20"/>
          <w:u w:val="single"/>
          <w:lang w:val="en"/>
        </w:rPr>
      </w:pPr>
      <w:bookmarkStart w:id="8" w:name="_Hlk96293600"/>
      <w:r w:rsidRPr="002D2F67">
        <w:rPr>
          <w:rFonts w:ascii="Arial" w:hAnsi="Arial" w:cs="Arial"/>
          <w:color w:val="000000"/>
          <w:sz w:val="20"/>
          <w:szCs w:val="20"/>
          <w:u w:val="single"/>
          <w:lang w:val="en"/>
        </w:rPr>
        <w:t>Loan</w:t>
      </w:r>
      <w:r w:rsidR="00AB0558" w:rsidRPr="002D2F67">
        <w:rPr>
          <w:rFonts w:ascii="Arial" w:hAnsi="Arial" w:cs="Arial"/>
          <w:color w:val="000000"/>
          <w:sz w:val="20"/>
          <w:szCs w:val="20"/>
          <w:u w:val="single"/>
          <w:lang w:val="en"/>
        </w:rPr>
        <w:t>s</w:t>
      </w:r>
      <w:r w:rsidRPr="002D2F67">
        <w:rPr>
          <w:rFonts w:ascii="Arial" w:hAnsi="Arial" w:cs="Arial"/>
          <w:color w:val="000000"/>
          <w:sz w:val="20"/>
          <w:szCs w:val="20"/>
          <w:u w:val="single"/>
          <w:lang w:val="en"/>
        </w:rPr>
        <w:t xml:space="preserve"> of subsidiaries denominated in Thai Baht</w:t>
      </w:r>
    </w:p>
    <w:p w14:paraId="4F23C7D9" w14:textId="6F582A57" w:rsidR="001E6C66" w:rsidRPr="002D2F67" w:rsidRDefault="001E6C66" w:rsidP="005611FE">
      <w:pPr>
        <w:ind w:left="540"/>
        <w:jc w:val="both"/>
        <w:rPr>
          <w:rFonts w:ascii="Arial" w:hAnsi="Arial" w:cs="Arial"/>
          <w:color w:val="000000"/>
          <w:sz w:val="20"/>
          <w:szCs w:val="20"/>
          <w:lang w:val="en"/>
        </w:rPr>
      </w:pPr>
    </w:p>
    <w:tbl>
      <w:tblPr>
        <w:tblW w:w="8910" w:type="dxa"/>
        <w:tblInd w:w="648" w:type="dxa"/>
        <w:tblLayout w:type="fixed"/>
        <w:tblLook w:val="0000" w:firstRow="0" w:lastRow="0" w:firstColumn="0" w:lastColumn="0" w:noHBand="0" w:noVBand="0"/>
      </w:tblPr>
      <w:tblGrid>
        <w:gridCol w:w="738"/>
        <w:gridCol w:w="1132"/>
        <w:gridCol w:w="1134"/>
        <w:gridCol w:w="2268"/>
        <w:gridCol w:w="2126"/>
        <w:gridCol w:w="1512"/>
      </w:tblGrid>
      <w:tr w:rsidR="001A4AC6" w:rsidRPr="002D2F67" w14:paraId="37E2622C" w14:textId="22FF08FF" w:rsidTr="002D2F67">
        <w:trPr>
          <w:trHeight w:val="228"/>
        </w:trPr>
        <w:tc>
          <w:tcPr>
            <w:tcW w:w="738" w:type="dxa"/>
            <w:shd w:val="clear" w:color="auto" w:fill="auto"/>
            <w:vAlign w:val="bottom"/>
          </w:tcPr>
          <w:p w14:paraId="5AFCB784" w14:textId="77777777" w:rsidR="001A4AC6" w:rsidRPr="002D2F67" w:rsidRDefault="001A4AC6" w:rsidP="005611FE">
            <w:pPr>
              <w:ind w:left="-104" w:right="-75"/>
              <w:jc w:val="center"/>
              <w:rPr>
                <w:rFonts w:ascii="Arial" w:hAnsi="Arial" w:cs="Arial"/>
                <w:b/>
                <w:bCs/>
                <w:color w:val="000000"/>
                <w:spacing w:val="-4"/>
                <w:sz w:val="18"/>
                <w:szCs w:val="18"/>
              </w:rPr>
            </w:pPr>
          </w:p>
        </w:tc>
        <w:tc>
          <w:tcPr>
            <w:tcW w:w="2266" w:type="dxa"/>
            <w:gridSpan w:val="2"/>
            <w:tcBorders>
              <w:bottom w:val="single" w:sz="4" w:space="0" w:color="auto"/>
            </w:tcBorders>
            <w:shd w:val="clear" w:color="auto" w:fill="auto"/>
            <w:vAlign w:val="bottom"/>
          </w:tcPr>
          <w:p w14:paraId="2C192303" w14:textId="77777777" w:rsidR="001A4AC6" w:rsidRPr="002D2F67" w:rsidRDefault="001A4AC6" w:rsidP="005611FE">
            <w:pPr>
              <w:ind w:left="-29" w:right="-108"/>
              <w:jc w:val="center"/>
              <w:rPr>
                <w:rFonts w:ascii="Arial" w:hAnsi="Arial" w:cs="Arial"/>
                <w:b/>
                <w:bCs/>
                <w:color w:val="000000"/>
                <w:sz w:val="18"/>
                <w:szCs w:val="18"/>
              </w:rPr>
            </w:pPr>
            <w:r w:rsidRPr="002D2F67">
              <w:rPr>
                <w:rFonts w:ascii="Arial" w:hAnsi="Arial" w:cs="Arial"/>
                <w:b/>
                <w:bCs/>
                <w:color w:val="000000"/>
                <w:sz w:val="18"/>
                <w:szCs w:val="18"/>
              </w:rPr>
              <w:t>Balance</w:t>
            </w:r>
          </w:p>
        </w:tc>
        <w:tc>
          <w:tcPr>
            <w:tcW w:w="2268" w:type="dxa"/>
            <w:shd w:val="clear" w:color="auto" w:fill="auto"/>
            <w:vAlign w:val="bottom"/>
          </w:tcPr>
          <w:p w14:paraId="5B60FEAF" w14:textId="77777777" w:rsidR="001A4AC6" w:rsidRPr="002D2F67" w:rsidRDefault="001A4AC6" w:rsidP="005611FE">
            <w:pPr>
              <w:ind w:left="-29" w:right="-29"/>
              <w:jc w:val="center"/>
              <w:rPr>
                <w:rFonts w:ascii="Arial" w:hAnsi="Arial" w:cs="Arial"/>
                <w:b/>
                <w:bCs/>
                <w:color w:val="000000"/>
                <w:sz w:val="18"/>
                <w:szCs w:val="18"/>
              </w:rPr>
            </w:pPr>
          </w:p>
        </w:tc>
        <w:tc>
          <w:tcPr>
            <w:tcW w:w="2126" w:type="dxa"/>
            <w:shd w:val="clear" w:color="auto" w:fill="auto"/>
            <w:vAlign w:val="bottom"/>
          </w:tcPr>
          <w:p w14:paraId="33175C30" w14:textId="77777777" w:rsidR="001A4AC6" w:rsidRPr="002D2F67" w:rsidRDefault="001A4AC6" w:rsidP="005611FE">
            <w:pPr>
              <w:ind w:left="-29" w:right="-29"/>
              <w:jc w:val="center"/>
              <w:rPr>
                <w:rFonts w:ascii="Arial" w:hAnsi="Arial" w:cs="Arial"/>
                <w:b/>
                <w:bCs/>
                <w:color w:val="000000"/>
                <w:sz w:val="18"/>
                <w:szCs w:val="18"/>
              </w:rPr>
            </w:pPr>
          </w:p>
        </w:tc>
        <w:tc>
          <w:tcPr>
            <w:tcW w:w="1512" w:type="dxa"/>
            <w:shd w:val="clear" w:color="auto" w:fill="auto"/>
            <w:vAlign w:val="bottom"/>
          </w:tcPr>
          <w:p w14:paraId="22386466" w14:textId="77777777" w:rsidR="001A4AC6" w:rsidRPr="002D2F67" w:rsidRDefault="001A4AC6" w:rsidP="005611FE">
            <w:pPr>
              <w:ind w:left="-29" w:right="-29"/>
              <w:jc w:val="center"/>
              <w:rPr>
                <w:rFonts w:ascii="Arial" w:hAnsi="Arial" w:cs="Arial"/>
                <w:b/>
                <w:bCs/>
                <w:color w:val="000000"/>
                <w:sz w:val="18"/>
                <w:szCs w:val="18"/>
              </w:rPr>
            </w:pPr>
          </w:p>
        </w:tc>
      </w:tr>
      <w:tr w:rsidR="001A4AC6" w:rsidRPr="002D2F67" w14:paraId="1ED1219C" w14:textId="77777777" w:rsidTr="002D2F67">
        <w:trPr>
          <w:trHeight w:val="685"/>
        </w:trPr>
        <w:tc>
          <w:tcPr>
            <w:tcW w:w="738" w:type="dxa"/>
            <w:tcBorders>
              <w:bottom w:val="single" w:sz="4" w:space="0" w:color="auto"/>
            </w:tcBorders>
            <w:shd w:val="clear" w:color="auto" w:fill="auto"/>
            <w:vAlign w:val="bottom"/>
          </w:tcPr>
          <w:p w14:paraId="02DD14E5" w14:textId="4ED2612D" w:rsidR="001A4AC6" w:rsidRPr="002D2F67" w:rsidRDefault="001A4AC6" w:rsidP="005611FE">
            <w:pPr>
              <w:ind w:left="-104" w:right="-75"/>
              <w:jc w:val="center"/>
              <w:rPr>
                <w:rFonts w:ascii="Arial" w:hAnsi="Arial" w:cs="Arial"/>
                <w:b/>
                <w:bCs/>
                <w:color w:val="000000"/>
                <w:spacing w:val="-4"/>
                <w:sz w:val="18"/>
                <w:szCs w:val="18"/>
              </w:rPr>
            </w:pPr>
            <w:r w:rsidRPr="002D2F67">
              <w:rPr>
                <w:rFonts w:ascii="Arial" w:hAnsi="Arial" w:cs="Arial"/>
                <w:b/>
                <w:bCs/>
                <w:color w:val="000000"/>
                <w:sz w:val="18"/>
                <w:szCs w:val="18"/>
              </w:rPr>
              <w:t>Number</w:t>
            </w:r>
          </w:p>
        </w:tc>
        <w:tc>
          <w:tcPr>
            <w:tcW w:w="1132" w:type="dxa"/>
            <w:tcBorders>
              <w:top w:val="single" w:sz="4" w:space="0" w:color="auto"/>
              <w:bottom w:val="single" w:sz="4" w:space="0" w:color="auto"/>
            </w:tcBorders>
            <w:shd w:val="clear" w:color="auto" w:fill="auto"/>
            <w:vAlign w:val="bottom"/>
          </w:tcPr>
          <w:p w14:paraId="70678342" w14:textId="7CA6502D" w:rsidR="001A4AC6" w:rsidRPr="002D2F67" w:rsidRDefault="00CD5714" w:rsidP="005611FE">
            <w:pPr>
              <w:ind w:left="-29" w:right="-108"/>
              <w:jc w:val="center"/>
              <w:rPr>
                <w:rFonts w:ascii="Arial" w:hAnsi="Arial" w:cs="Arial"/>
                <w:b/>
                <w:bCs/>
                <w:color w:val="000000"/>
                <w:sz w:val="18"/>
                <w:szCs w:val="18"/>
              </w:rPr>
            </w:pPr>
            <w:r w:rsidRPr="00CD5714">
              <w:rPr>
                <w:rFonts w:ascii="Arial" w:hAnsi="Arial" w:cs="Arial"/>
                <w:b/>
                <w:bCs/>
                <w:color w:val="000000"/>
                <w:sz w:val="18"/>
                <w:szCs w:val="18"/>
                <w:lang w:val="en-GB"/>
              </w:rPr>
              <w:t>2024</w:t>
            </w:r>
          </w:p>
          <w:p w14:paraId="57D2A950" w14:textId="2D2893C6" w:rsidR="001A4AC6" w:rsidRPr="002D2F67" w:rsidRDefault="001A4AC6" w:rsidP="005611FE">
            <w:pPr>
              <w:ind w:left="-29" w:right="-108"/>
              <w:jc w:val="center"/>
              <w:rPr>
                <w:rFonts w:ascii="Arial" w:hAnsi="Arial" w:cs="Arial"/>
                <w:b/>
                <w:bCs/>
                <w:color w:val="000000"/>
                <w:sz w:val="18"/>
                <w:szCs w:val="18"/>
              </w:rPr>
            </w:pPr>
            <w:r w:rsidRPr="002D2F67">
              <w:rPr>
                <w:rFonts w:ascii="Arial" w:hAnsi="Arial" w:cs="Arial"/>
                <w:b/>
                <w:bCs/>
                <w:color w:val="000000"/>
                <w:sz w:val="18"/>
                <w:szCs w:val="18"/>
              </w:rPr>
              <w:t xml:space="preserve">Million </w:t>
            </w:r>
            <w:r w:rsidR="00B75625" w:rsidRPr="002D2F67">
              <w:rPr>
                <w:rFonts w:ascii="Arial" w:hAnsi="Arial" w:cs="Arial"/>
                <w:b/>
                <w:bCs/>
                <w:color w:val="000000"/>
                <w:sz w:val="18"/>
                <w:szCs w:val="18"/>
              </w:rPr>
              <w:br/>
            </w:r>
            <w:r w:rsidRPr="002D2F67">
              <w:rPr>
                <w:rFonts w:ascii="Arial" w:hAnsi="Arial" w:cs="Arial"/>
                <w:b/>
                <w:bCs/>
                <w:color w:val="000000"/>
                <w:sz w:val="18"/>
                <w:szCs w:val="18"/>
              </w:rPr>
              <w:t>Baht</w:t>
            </w:r>
          </w:p>
        </w:tc>
        <w:tc>
          <w:tcPr>
            <w:tcW w:w="1134" w:type="dxa"/>
            <w:tcBorders>
              <w:top w:val="single" w:sz="4" w:space="0" w:color="auto"/>
              <w:bottom w:val="single" w:sz="4" w:space="0" w:color="auto"/>
            </w:tcBorders>
            <w:shd w:val="clear" w:color="auto" w:fill="auto"/>
            <w:vAlign w:val="bottom"/>
          </w:tcPr>
          <w:p w14:paraId="35273A7B" w14:textId="0F0EE65C" w:rsidR="001A4AC6" w:rsidRPr="002D2F67" w:rsidRDefault="00CD5714" w:rsidP="005611FE">
            <w:pPr>
              <w:ind w:left="-29" w:right="-108"/>
              <w:jc w:val="center"/>
              <w:rPr>
                <w:rFonts w:ascii="Arial" w:hAnsi="Arial" w:cs="Arial"/>
                <w:b/>
                <w:bCs/>
                <w:color w:val="000000"/>
                <w:sz w:val="18"/>
                <w:szCs w:val="18"/>
              </w:rPr>
            </w:pPr>
            <w:r w:rsidRPr="00CD5714">
              <w:rPr>
                <w:rFonts w:ascii="Arial" w:hAnsi="Arial" w:cs="Arial"/>
                <w:b/>
                <w:bCs/>
                <w:color w:val="000000"/>
                <w:sz w:val="18"/>
                <w:szCs w:val="18"/>
                <w:lang w:val="en-GB"/>
              </w:rPr>
              <w:t>2023</w:t>
            </w:r>
          </w:p>
          <w:p w14:paraId="37E7FEC7" w14:textId="08B9E581" w:rsidR="001A4AC6" w:rsidRPr="002D2F67" w:rsidRDefault="001A4AC6" w:rsidP="005611FE">
            <w:pPr>
              <w:ind w:left="-29" w:right="-108"/>
              <w:jc w:val="center"/>
              <w:rPr>
                <w:rFonts w:ascii="Arial" w:hAnsi="Arial" w:cs="Arial"/>
                <w:b/>
                <w:bCs/>
                <w:color w:val="000000"/>
                <w:sz w:val="18"/>
                <w:szCs w:val="18"/>
              </w:rPr>
            </w:pPr>
            <w:r w:rsidRPr="002D2F67">
              <w:rPr>
                <w:rFonts w:ascii="Arial" w:hAnsi="Arial" w:cs="Arial"/>
                <w:b/>
                <w:bCs/>
                <w:color w:val="000000"/>
                <w:sz w:val="18"/>
                <w:szCs w:val="18"/>
              </w:rPr>
              <w:t xml:space="preserve">Million </w:t>
            </w:r>
            <w:r w:rsidR="00B75625" w:rsidRPr="002D2F67">
              <w:rPr>
                <w:rFonts w:ascii="Arial" w:hAnsi="Arial" w:cs="Arial"/>
                <w:b/>
                <w:bCs/>
                <w:color w:val="000000"/>
                <w:sz w:val="18"/>
                <w:szCs w:val="18"/>
              </w:rPr>
              <w:br/>
            </w:r>
            <w:r w:rsidRPr="002D2F67">
              <w:rPr>
                <w:rFonts w:ascii="Arial" w:hAnsi="Arial" w:cs="Arial"/>
                <w:b/>
                <w:bCs/>
                <w:color w:val="000000"/>
                <w:sz w:val="18"/>
                <w:szCs w:val="18"/>
              </w:rPr>
              <w:t>Baht</w:t>
            </w:r>
          </w:p>
        </w:tc>
        <w:tc>
          <w:tcPr>
            <w:tcW w:w="2268" w:type="dxa"/>
            <w:tcBorders>
              <w:bottom w:val="single" w:sz="4" w:space="0" w:color="auto"/>
            </w:tcBorders>
            <w:shd w:val="clear" w:color="auto" w:fill="auto"/>
            <w:vAlign w:val="bottom"/>
          </w:tcPr>
          <w:p w14:paraId="5A25E159" w14:textId="33D7E42F" w:rsidR="001A4AC6" w:rsidRPr="002D2F67" w:rsidRDefault="001A4AC6" w:rsidP="005611FE">
            <w:pPr>
              <w:ind w:left="-29" w:right="-29"/>
              <w:jc w:val="center"/>
              <w:rPr>
                <w:rFonts w:ascii="Arial" w:hAnsi="Arial" w:cs="Arial"/>
                <w:b/>
                <w:bCs/>
                <w:color w:val="000000"/>
                <w:sz w:val="18"/>
                <w:szCs w:val="18"/>
              </w:rPr>
            </w:pPr>
            <w:r w:rsidRPr="002D2F67">
              <w:rPr>
                <w:rFonts w:ascii="Arial" w:hAnsi="Arial" w:cs="Arial"/>
                <w:b/>
                <w:bCs/>
                <w:color w:val="000000"/>
                <w:sz w:val="18"/>
                <w:szCs w:val="18"/>
              </w:rPr>
              <w:t>Interest rate</w:t>
            </w:r>
          </w:p>
        </w:tc>
        <w:tc>
          <w:tcPr>
            <w:tcW w:w="2126" w:type="dxa"/>
            <w:tcBorders>
              <w:bottom w:val="single" w:sz="4" w:space="0" w:color="auto"/>
            </w:tcBorders>
            <w:shd w:val="clear" w:color="auto" w:fill="auto"/>
            <w:vAlign w:val="bottom"/>
          </w:tcPr>
          <w:p w14:paraId="14A28E06" w14:textId="77777777" w:rsidR="001A4AC6" w:rsidRPr="002D2F67" w:rsidRDefault="001A4AC6" w:rsidP="005611FE">
            <w:pPr>
              <w:ind w:left="-29" w:right="-29"/>
              <w:jc w:val="center"/>
              <w:rPr>
                <w:rFonts w:ascii="Arial" w:hAnsi="Arial" w:cs="Arial"/>
                <w:b/>
                <w:bCs/>
                <w:color w:val="000000"/>
                <w:sz w:val="18"/>
                <w:szCs w:val="18"/>
              </w:rPr>
            </w:pPr>
            <w:r w:rsidRPr="002D2F67">
              <w:rPr>
                <w:rFonts w:ascii="Arial" w:hAnsi="Arial" w:cs="Arial"/>
                <w:b/>
                <w:bCs/>
                <w:color w:val="000000"/>
                <w:sz w:val="18"/>
                <w:szCs w:val="18"/>
              </w:rPr>
              <w:t>Principal</w:t>
            </w:r>
          </w:p>
          <w:p w14:paraId="75241C0F" w14:textId="3B2F4815" w:rsidR="001A4AC6" w:rsidRPr="002D2F67" w:rsidRDefault="001A4AC6" w:rsidP="005611FE">
            <w:pPr>
              <w:ind w:left="-29" w:right="-29"/>
              <w:jc w:val="center"/>
              <w:rPr>
                <w:rFonts w:ascii="Arial" w:hAnsi="Arial" w:cs="Arial"/>
                <w:b/>
                <w:bCs/>
                <w:color w:val="000000"/>
                <w:sz w:val="18"/>
                <w:szCs w:val="18"/>
              </w:rPr>
            </w:pPr>
            <w:r w:rsidRPr="002D2F67">
              <w:rPr>
                <w:rFonts w:ascii="Arial" w:hAnsi="Arial" w:cs="Arial"/>
                <w:b/>
                <w:bCs/>
                <w:color w:val="000000"/>
                <w:sz w:val="18"/>
                <w:szCs w:val="18"/>
              </w:rPr>
              <w:t>repayment term</w:t>
            </w:r>
          </w:p>
        </w:tc>
        <w:tc>
          <w:tcPr>
            <w:tcW w:w="1512" w:type="dxa"/>
            <w:tcBorders>
              <w:bottom w:val="single" w:sz="4" w:space="0" w:color="auto"/>
            </w:tcBorders>
            <w:shd w:val="clear" w:color="auto" w:fill="auto"/>
            <w:vAlign w:val="bottom"/>
          </w:tcPr>
          <w:p w14:paraId="44F8A8B8" w14:textId="77777777" w:rsidR="001A4AC6" w:rsidRPr="002D2F67" w:rsidRDefault="001A4AC6" w:rsidP="005611FE">
            <w:pPr>
              <w:ind w:left="-29" w:right="-29"/>
              <w:jc w:val="center"/>
              <w:rPr>
                <w:rFonts w:ascii="Arial" w:hAnsi="Arial" w:cs="Arial"/>
                <w:b/>
                <w:bCs/>
                <w:color w:val="000000"/>
                <w:sz w:val="18"/>
                <w:szCs w:val="18"/>
              </w:rPr>
            </w:pPr>
            <w:r w:rsidRPr="002D2F67">
              <w:rPr>
                <w:rFonts w:ascii="Arial" w:hAnsi="Arial" w:cs="Arial"/>
                <w:b/>
                <w:bCs/>
                <w:color w:val="000000"/>
                <w:sz w:val="18"/>
                <w:szCs w:val="18"/>
              </w:rPr>
              <w:t>Interest</w:t>
            </w:r>
          </w:p>
          <w:p w14:paraId="638E4CD3" w14:textId="126D707D" w:rsidR="001A4AC6" w:rsidRPr="002D2F67" w:rsidRDefault="001A4AC6" w:rsidP="005611FE">
            <w:pPr>
              <w:ind w:left="-29" w:right="-29"/>
              <w:jc w:val="center"/>
              <w:rPr>
                <w:rFonts w:ascii="Arial" w:hAnsi="Arial" w:cs="Arial"/>
                <w:b/>
                <w:bCs/>
                <w:color w:val="000000"/>
                <w:sz w:val="18"/>
                <w:szCs w:val="18"/>
              </w:rPr>
            </w:pPr>
            <w:r w:rsidRPr="002D2F67">
              <w:rPr>
                <w:rFonts w:ascii="Arial" w:hAnsi="Arial" w:cs="Arial"/>
                <w:b/>
                <w:bCs/>
                <w:color w:val="000000"/>
                <w:sz w:val="18"/>
                <w:szCs w:val="18"/>
              </w:rPr>
              <w:t>payment period</w:t>
            </w:r>
          </w:p>
        </w:tc>
      </w:tr>
      <w:tr w:rsidR="001A4AC6" w:rsidRPr="002D2F67" w14:paraId="33B5F6E1" w14:textId="77777777" w:rsidTr="002D2F67">
        <w:trPr>
          <w:trHeight w:val="20"/>
        </w:trPr>
        <w:tc>
          <w:tcPr>
            <w:tcW w:w="738" w:type="dxa"/>
            <w:tcBorders>
              <w:top w:val="single" w:sz="4" w:space="0" w:color="auto"/>
            </w:tcBorders>
            <w:shd w:val="clear" w:color="auto" w:fill="auto"/>
          </w:tcPr>
          <w:p w14:paraId="580326BA" w14:textId="77777777" w:rsidR="001A4AC6" w:rsidRPr="002D2F67" w:rsidRDefault="001A4AC6" w:rsidP="005611FE">
            <w:pPr>
              <w:ind w:left="-104" w:right="-75"/>
              <w:jc w:val="center"/>
              <w:rPr>
                <w:rFonts w:ascii="Arial" w:hAnsi="Arial" w:cs="Arial"/>
                <w:color w:val="000000"/>
                <w:sz w:val="18"/>
                <w:szCs w:val="18"/>
              </w:rPr>
            </w:pPr>
          </w:p>
        </w:tc>
        <w:tc>
          <w:tcPr>
            <w:tcW w:w="1132" w:type="dxa"/>
            <w:tcBorders>
              <w:top w:val="single" w:sz="4" w:space="0" w:color="auto"/>
            </w:tcBorders>
            <w:shd w:val="clear" w:color="auto" w:fill="auto"/>
          </w:tcPr>
          <w:p w14:paraId="0BF18B3C" w14:textId="77777777" w:rsidR="001A4AC6" w:rsidRPr="002D2F67" w:rsidRDefault="001A4AC6" w:rsidP="005611FE">
            <w:pPr>
              <w:ind w:left="-29" w:right="-29"/>
              <w:jc w:val="center"/>
              <w:rPr>
                <w:rFonts w:ascii="Arial" w:hAnsi="Arial" w:cs="Arial"/>
                <w:color w:val="000000"/>
                <w:sz w:val="18"/>
                <w:szCs w:val="18"/>
              </w:rPr>
            </w:pPr>
          </w:p>
        </w:tc>
        <w:tc>
          <w:tcPr>
            <w:tcW w:w="1134" w:type="dxa"/>
            <w:tcBorders>
              <w:top w:val="single" w:sz="4" w:space="0" w:color="auto"/>
            </w:tcBorders>
            <w:shd w:val="clear" w:color="auto" w:fill="auto"/>
          </w:tcPr>
          <w:p w14:paraId="4C773238" w14:textId="77777777" w:rsidR="001A4AC6" w:rsidRPr="002D2F67" w:rsidRDefault="001A4AC6" w:rsidP="005611FE">
            <w:pPr>
              <w:ind w:left="-29" w:right="-29"/>
              <w:jc w:val="center"/>
              <w:rPr>
                <w:rFonts w:ascii="Arial" w:hAnsi="Arial" w:cs="Arial"/>
                <w:color w:val="000000"/>
                <w:sz w:val="18"/>
                <w:szCs w:val="18"/>
              </w:rPr>
            </w:pPr>
          </w:p>
        </w:tc>
        <w:tc>
          <w:tcPr>
            <w:tcW w:w="2268" w:type="dxa"/>
            <w:tcBorders>
              <w:top w:val="single" w:sz="4" w:space="0" w:color="auto"/>
            </w:tcBorders>
            <w:shd w:val="clear" w:color="auto" w:fill="auto"/>
          </w:tcPr>
          <w:p w14:paraId="13CE7BBE" w14:textId="77777777" w:rsidR="001A4AC6" w:rsidRPr="002D2F67" w:rsidRDefault="001A4AC6" w:rsidP="005611FE">
            <w:pPr>
              <w:ind w:left="-29" w:right="-29"/>
              <w:jc w:val="center"/>
              <w:rPr>
                <w:rFonts w:ascii="Arial" w:hAnsi="Arial" w:cs="Arial"/>
                <w:color w:val="000000"/>
                <w:sz w:val="18"/>
                <w:szCs w:val="18"/>
              </w:rPr>
            </w:pPr>
          </w:p>
        </w:tc>
        <w:tc>
          <w:tcPr>
            <w:tcW w:w="2126" w:type="dxa"/>
            <w:tcBorders>
              <w:top w:val="single" w:sz="4" w:space="0" w:color="auto"/>
            </w:tcBorders>
            <w:shd w:val="clear" w:color="auto" w:fill="auto"/>
          </w:tcPr>
          <w:p w14:paraId="736DE2FD" w14:textId="77777777" w:rsidR="001A4AC6" w:rsidRPr="002D2F67" w:rsidRDefault="001A4AC6" w:rsidP="005611FE">
            <w:pPr>
              <w:ind w:left="-29" w:right="-29"/>
              <w:jc w:val="center"/>
              <w:rPr>
                <w:rFonts w:ascii="Arial" w:hAnsi="Arial" w:cs="Arial"/>
                <w:color w:val="000000"/>
                <w:sz w:val="18"/>
                <w:szCs w:val="18"/>
                <w:cs/>
              </w:rPr>
            </w:pPr>
          </w:p>
        </w:tc>
        <w:tc>
          <w:tcPr>
            <w:tcW w:w="1512" w:type="dxa"/>
            <w:tcBorders>
              <w:top w:val="single" w:sz="4" w:space="0" w:color="auto"/>
            </w:tcBorders>
            <w:shd w:val="clear" w:color="auto" w:fill="auto"/>
          </w:tcPr>
          <w:p w14:paraId="040653C1" w14:textId="77777777" w:rsidR="001A4AC6" w:rsidRPr="002D2F67" w:rsidRDefault="001A4AC6" w:rsidP="005611FE">
            <w:pPr>
              <w:ind w:left="-29" w:right="-29"/>
              <w:jc w:val="center"/>
              <w:rPr>
                <w:rFonts w:ascii="Arial" w:hAnsi="Arial" w:cs="Arial"/>
                <w:color w:val="000000"/>
                <w:sz w:val="18"/>
                <w:szCs w:val="18"/>
                <w:cs/>
              </w:rPr>
            </w:pPr>
          </w:p>
        </w:tc>
      </w:tr>
      <w:tr w:rsidR="001A4AC6" w:rsidRPr="002D2F67" w14:paraId="32A7089A" w14:textId="77777777" w:rsidTr="002D2F67">
        <w:trPr>
          <w:trHeight w:val="63"/>
        </w:trPr>
        <w:tc>
          <w:tcPr>
            <w:tcW w:w="738" w:type="dxa"/>
            <w:shd w:val="clear" w:color="auto" w:fill="auto"/>
          </w:tcPr>
          <w:p w14:paraId="2AC2DE2F" w14:textId="6AFDBF3E" w:rsidR="001A4AC6" w:rsidRPr="002D2F67" w:rsidRDefault="00CD5714" w:rsidP="005611FE">
            <w:pPr>
              <w:ind w:left="-104" w:right="-75"/>
              <w:jc w:val="center"/>
              <w:rPr>
                <w:rFonts w:ascii="Arial" w:hAnsi="Arial" w:cs="Arial"/>
                <w:color w:val="000000"/>
                <w:sz w:val="18"/>
                <w:szCs w:val="18"/>
              </w:rPr>
            </w:pPr>
            <w:r w:rsidRPr="00CD5714">
              <w:rPr>
                <w:rFonts w:ascii="Arial" w:hAnsi="Arial" w:cs="Arial"/>
                <w:color w:val="000000"/>
                <w:sz w:val="18"/>
                <w:szCs w:val="18"/>
                <w:lang w:val="en-GB"/>
              </w:rPr>
              <w:t>1</w:t>
            </w:r>
          </w:p>
        </w:tc>
        <w:tc>
          <w:tcPr>
            <w:tcW w:w="1132" w:type="dxa"/>
            <w:shd w:val="clear" w:color="auto" w:fill="auto"/>
          </w:tcPr>
          <w:p w14:paraId="10D286F2" w14:textId="549683E1" w:rsidR="001A4AC6" w:rsidRPr="002D2F67" w:rsidRDefault="001A4AC6" w:rsidP="005611FE">
            <w:pPr>
              <w:ind w:left="-29" w:right="-53"/>
              <w:jc w:val="right"/>
              <w:rPr>
                <w:rFonts w:ascii="Arial" w:hAnsi="Arial" w:cs="Arial"/>
                <w:color w:val="000000"/>
                <w:sz w:val="18"/>
                <w:szCs w:val="18"/>
              </w:rPr>
            </w:pPr>
            <w:r w:rsidRPr="002D2F67">
              <w:rPr>
                <w:rFonts w:ascii="Arial" w:hAnsi="Arial" w:cs="Arial"/>
                <w:color w:val="000000"/>
                <w:sz w:val="18"/>
                <w:szCs w:val="18"/>
              </w:rPr>
              <w:t>-</w:t>
            </w:r>
          </w:p>
        </w:tc>
        <w:tc>
          <w:tcPr>
            <w:tcW w:w="1134" w:type="dxa"/>
            <w:shd w:val="clear" w:color="auto" w:fill="auto"/>
          </w:tcPr>
          <w:p w14:paraId="778FAB88" w14:textId="296635F0" w:rsidR="001A4AC6" w:rsidRPr="002D2F67" w:rsidRDefault="00CD5714" w:rsidP="005611FE">
            <w:pPr>
              <w:ind w:left="-29" w:right="-53"/>
              <w:jc w:val="right"/>
              <w:rPr>
                <w:rFonts w:ascii="Arial" w:hAnsi="Arial" w:cs="Arial"/>
                <w:color w:val="000000"/>
                <w:sz w:val="18"/>
                <w:szCs w:val="18"/>
              </w:rPr>
            </w:pPr>
            <w:r w:rsidRPr="00CD5714">
              <w:rPr>
                <w:rFonts w:ascii="Arial" w:hAnsi="Arial" w:cs="Arial"/>
                <w:color w:val="000000"/>
                <w:sz w:val="18"/>
                <w:szCs w:val="18"/>
                <w:lang w:val="en-GB"/>
              </w:rPr>
              <w:t>166</w:t>
            </w:r>
          </w:p>
        </w:tc>
        <w:tc>
          <w:tcPr>
            <w:tcW w:w="2268" w:type="dxa"/>
            <w:shd w:val="clear" w:color="auto" w:fill="auto"/>
          </w:tcPr>
          <w:p w14:paraId="5DB47465" w14:textId="743423A6" w:rsidR="001A4AC6" w:rsidRPr="002D2F67" w:rsidRDefault="001A4AC6" w:rsidP="005611FE">
            <w:pPr>
              <w:ind w:left="-29" w:right="-29"/>
              <w:jc w:val="center"/>
              <w:rPr>
                <w:rFonts w:ascii="Arial" w:hAnsi="Arial" w:cs="Arial"/>
                <w:color w:val="000000"/>
                <w:spacing w:val="-2"/>
                <w:sz w:val="18"/>
                <w:szCs w:val="18"/>
              </w:rPr>
            </w:pPr>
            <w:r w:rsidRPr="002D2F67">
              <w:rPr>
                <w:rFonts w:ascii="Arial" w:hAnsi="Arial" w:cs="Arial"/>
                <w:color w:val="000000"/>
                <w:spacing w:val="-4"/>
                <w:sz w:val="18"/>
                <w:szCs w:val="18"/>
              </w:rPr>
              <w:t>MLR interest rate less a certain discount per annum</w:t>
            </w:r>
          </w:p>
        </w:tc>
        <w:tc>
          <w:tcPr>
            <w:tcW w:w="2126" w:type="dxa"/>
            <w:shd w:val="clear" w:color="auto" w:fill="auto"/>
          </w:tcPr>
          <w:p w14:paraId="08552DE4" w14:textId="77777777"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 xml:space="preserve">Repayment </w:t>
            </w:r>
          </w:p>
          <w:p w14:paraId="6EE2276C" w14:textId="65FB38C2"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 xml:space="preserve">every three months from September </w:t>
            </w:r>
            <w:r w:rsidR="00CD5714" w:rsidRPr="00CD5714">
              <w:rPr>
                <w:rFonts w:ascii="Arial" w:hAnsi="Arial" w:cs="Arial"/>
                <w:color w:val="000000"/>
                <w:sz w:val="18"/>
                <w:szCs w:val="18"/>
                <w:lang w:val="en-GB"/>
              </w:rPr>
              <w:t>2020</w:t>
            </w:r>
          </w:p>
        </w:tc>
        <w:tc>
          <w:tcPr>
            <w:tcW w:w="1512" w:type="dxa"/>
            <w:shd w:val="clear" w:color="auto" w:fill="auto"/>
          </w:tcPr>
          <w:p w14:paraId="0B81367E" w14:textId="77777777"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 xml:space="preserve">Payment every </w:t>
            </w:r>
          </w:p>
          <w:p w14:paraId="6A0E8A06" w14:textId="77143365"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three months</w:t>
            </w:r>
          </w:p>
        </w:tc>
      </w:tr>
      <w:tr w:rsidR="001A4AC6" w:rsidRPr="002D2F67" w14:paraId="15B3A75E" w14:textId="77777777" w:rsidTr="002D2F67">
        <w:trPr>
          <w:trHeight w:val="63"/>
        </w:trPr>
        <w:tc>
          <w:tcPr>
            <w:tcW w:w="738" w:type="dxa"/>
            <w:shd w:val="clear" w:color="auto" w:fill="auto"/>
          </w:tcPr>
          <w:p w14:paraId="4D01C2C1" w14:textId="06E9B278" w:rsidR="001A4AC6" w:rsidRPr="002D2F67" w:rsidRDefault="00CD5714" w:rsidP="005611FE">
            <w:pPr>
              <w:ind w:left="-104" w:right="-75"/>
              <w:jc w:val="center"/>
              <w:rPr>
                <w:rFonts w:ascii="Arial" w:hAnsi="Arial" w:cs="Arial"/>
                <w:color w:val="000000"/>
                <w:sz w:val="18"/>
                <w:szCs w:val="18"/>
              </w:rPr>
            </w:pPr>
            <w:r w:rsidRPr="00CD5714">
              <w:rPr>
                <w:rFonts w:ascii="Arial" w:hAnsi="Arial" w:cs="Arial"/>
                <w:color w:val="000000"/>
                <w:sz w:val="18"/>
                <w:szCs w:val="18"/>
                <w:lang w:val="en-GB"/>
              </w:rPr>
              <w:t>2</w:t>
            </w:r>
          </w:p>
        </w:tc>
        <w:tc>
          <w:tcPr>
            <w:tcW w:w="1132" w:type="dxa"/>
            <w:shd w:val="clear" w:color="auto" w:fill="auto"/>
          </w:tcPr>
          <w:p w14:paraId="5799328A" w14:textId="56BFF9DB" w:rsidR="001A4AC6" w:rsidRPr="002D2F67" w:rsidRDefault="00CD5714" w:rsidP="005611FE">
            <w:pPr>
              <w:ind w:left="-29" w:right="-53"/>
              <w:jc w:val="right"/>
              <w:rPr>
                <w:rFonts w:ascii="Arial" w:hAnsi="Arial" w:cs="Arial"/>
                <w:color w:val="000000"/>
                <w:sz w:val="18"/>
                <w:szCs w:val="18"/>
              </w:rPr>
            </w:pPr>
            <w:r w:rsidRPr="00CD5714">
              <w:rPr>
                <w:rFonts w:ascii="Arial" w:hAnsi="Arial" w:cs="Arial"/>
                <w:color w:val="000000"/>
                <w:sz w:val="18"/>
                <w:szCs w:val="18"/>
                <w:lang w:val="en-GB"/>
              </w:rPr>
              <w:t>529</w:t>
            </w:r>
          </w:p>
        </w:tc>
        <w:tc>
          <w:tcPr>
            <w:tcW w:w="1134" w:type="dxa"/>
            <w:shd w:val="clear" w:color="auto" w:fill="auto"/>
          </w:tcPr>
          <w:p w14:paraId="2B34BC77" w14:textId="3A2DDF5D" w:rsidR="001A4AC6" w:rsidRPr="002D2F67" w:rsidRDefault="00CD5714" w:rsidP="005611FE">
            <w:pPr>
              <w:ind w:left="-29" w:right="-53"/>
              <w:jc w:val="right"/>
              <w:rPr>
                <w:rFonts w:ascii="Arial" w:hAnsi="Arial" w:cs="Arial"/>
                <w:color w:val="000000"/>
                <w:sz w:val="18"/>
                <w:szCs w:val="18"/>
              </w:rPr>
            </w:pPr>
            <w:r w:rsidRPr="00CD5714">
              <w:rPr>
                <w:rFonts w:ascii="Arial" w:hAnsi="Arial" w:cs="Arial"/>
                <w:color w:val="000000"/>
                <w:sz w:val="18"/>
                <w:szCs w:val="18"/>
                <w:lang w:val="en-GB"/>
              </w:rPr>
              <w:t>635</w:t>
            </w:r>
          </w:p>
        </w:tc>
        <w:tc>
          <w:tcPr>
            <w:tcW w:w="2268" w:type="dxa"/>
            <w:shd w:val="clear" w:color="auto" w:fill="auto"/>
          </w:tcPr>
          <w:p w14:paraId="212EDD07" w14:textId="492E75C1"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MLR interest rate less a certain discount per annum</w:t>
            </w:r>
          </w:p>
        </w:tc>
        <w:tc>
          <w:tcPr>
            <w:tcW w:w="2126" w:type="dxa"/>
            <w:shd w:val="clear" w:color="auto" w:fill="auto"/>
          </w:tcPr>
          <w:p w14:paraId="7C9E3521" w14:textId="77777777" w:rsidR="001A4AC6" w:rsidRPr="002D2F67" w:rsidRDefault="001A4AC6" w:rsidP="005611FE">
            <w:pPr>
              <w:ind w:left="-29" w:right="-29"/>
              <w:jc w:val="center"/>
              <w:rPr>
                <w:rFonts w:ascii="Arial" w:hAnsi="Arial" w:cs="Arial"/>
                <w:color w:val="000000"/>
                <w:spacing w:val="-6"/>
                <w:sz w:val="18"/>
                <w:szCs w:val="18"/>
              </w:rPr>
            </w:pPr>
            <w:r w:rsidRPr="002D2F67">
              <w:rPr>
                <w:rFonts w:ascii="Arial" w:hAnsi="Arial" w:cs="Arial"/>
                <w:color w:val="000000"/>
                <w:spacing w:val="-6"/>
                <w:sz w:val="18"/>
                <w:szCs w:val="18"/>
              </w:rPr>
              <w:t xml:space="preserve">Repayment </w:t>
            </w:r>
          </w:p>
          <w:p w14:paraId="093DA1D5" w14:textId="1C762CB7"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pacing w:val="-6"/>
                <w:sz w:val="18"/>
                <w:szCs w:val="18"/>
              </w:rPr>
              <w:t>every three months</w:t>
            </w:r>
            <w:r w:rsidRPr="002D2F67">
              <w:rPr>
                <w:rFonts w:ascii="Arial" w:hAnsi="Arial" w:cs="Arial"/>
                <w:color w:val="000000"/>
                <w:sz w:val="18"/>
                <w:szCs w:val="18"/>
              </w:rPr>
              <w:t xml:space="preserve"> </w:t>
            </w:r>
          </w:p>
          <w:p w14:paraId="1DE20713" w14:textId="50293F80"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 xml:space="preserve">from December </w:t>
            </w:r>
            <w:r w:rsidR="00CD5714" w:rsidRPr="00CD5714">
              <w:rPr>
                <w:rFonts w:ascii="Arial" w:hAnsi="Arial" w:cs="Arial"/>
                <w:color w:val="000000"/>
                <w:sz w:val="18"/>
                <w:szCs w:val="18"/>
                <w:lang w:val="en-GB"/>
              </w:rPr>
              <w:t>2020</w:t>
            </w:r>
          </w:p>
        </w:tc>
        <w:tc>
          <w:tcPr>
            <w:tcW w:w="1512" w:type="dxa"/>
            <w:shd w:val="clear" w:color="auto" w:fill="auto"/>
          </w:tcPr>
          <w:p w14:paraId="5D04AFA9" w14:textId="77777777"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 xml:space="preserve">Payment every </w:t>
            </w:r>
          </w:p>
          <w:p w14:paraId="728DAED5" w14:textId="17D3DDE8"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three months</w:t>
            </w:r>
          </w:p>
        </w:tc>
      </w:tr>
      <w:tr w:rsidR="001A4AC6" w:rsidRPr="002D2F67" w14:paraId="20221E21" w14:textId="77777777" w:rsidTr="002D2F67">
        <w:trPr>
          <w:trHeight w:val="697"/>
        </w:trPr>
        <w:tc>
          <w:tcPr>
            <w:tcW w:w="738" w:type="dxa"/>
            <w:shd w:val="clear" w:color="auto" w:fill="auto"/>
          </w:tcPr>
          <w:p w14:paraId="28287227" w14:textId="7E0B6CA2" w:rsidR="001A4AC6" w:rsidRPr="002D2F67" w:rsidRDefault="00CD5714" w:rsidP="005611FE">
            <w:pPr>
              <w:ind w:left="-104" w:right="-75"/>
              <w:jc w:val="center"/>
              <w:rPr>
                <w:rFonts w:ascii="Arial" w:hAnsi="Arial" w:cs="Arial"/>
                <w:color w:val="000000"/>
                <w:sz w:val="18"/>
                <w:szCs w:val="18"/>
              </w:rPr>
            </w:pPr>
            <w:r w:rsidRPr="00CD5714">
              <w:rPr>
                <w:rFonts w:ascii="Arial" w:hAnsi="Arial" w:cs="Arial"/>
                <w:color w:val="000000"/>
                <w:sz w:val="18"/>
                <w:szCs w:val="18"/>
                <w:lang w:val="en-GB"/>
              </w:rPr>
              <w:t>3</w:t>
            </w:r>
          </w:p>
        </w:tc>
        <w:tc>
          <w:tcPr>
            <w:tcW w:w="1132" w:type="dxa"/>
            <w:shd w:val="clear" w:color="auto" w:fill="auto"/>
          </w:tcPr>
          <w:p w14:paraId="32B01411" w14:textId="6A4E0A28" w:rsidR="001A4AC6" w:rsidRPr="002D2F67" w:rsidRDefault="001A4AC6" w:rsidP="005611FE">
            <w:pPr>
              <w:ind w:left="-29" w:right="-53"/>
              <w:jc w:val="right"/>
              <w:rPr>
                <w:rFonts w:ascii="Arial" w:hAnsi="Arial" w:cs="Arial"/>
                <w:color w:val="000000"/>
                <w:sz w:val="18"/>
                <w:szCs w:val="18"/>
              </w:rPr>
            </w:pPr>
            <w:r w:rsidRPr="002D2F67">
              <w:rPr>
                <w:rFonts w:ascii="Arial" w:hAnsi="Arial" w:cs="Arial"/>
                <w:color w:val="000000"/>
                <w:sz w:val="18"/>
                <w:szCs w:val="18"/>
              </w:rPr>
              <w:t>-</w:t>
            </w:r>
          </w:p>
        </w:tc>
        <w:tc>
          <w:tcPr>
            <w:tcW w:w="1134" w:type="dxa"/>
            <w:shd w:val="clear" w:color="auto" w:fill="auto"/>
          </w:tcPr>
          <w:p w14:paraId="27FE981C" w14:textId="4BAAD88D" w:rsidR="001A4AC6" w:rsidRPr="002D2F67" w:rsidRDefault="00CD5714" w:rsidP="005611FE">
            <w:pPr>
              <w:ind w:left="-29" w:right="-53"/>
              <w:jc w:val="right"/>
              <w:rPr>
                <w:rFonts w:ascii="Arial" w:hAnsi="Arial" w:cs="Arial"/>
                <w:color w:val="000000"/>
                <w:sz w:val="18"/>
                <w:szCs w:val="18"/>
              </w:rPr>
            </w:pPr>
            <w:r w:rsidRPr="00CD5714">
              <w:rPr>
                <w:rFonts w:ascii="Arial" w:hAnsi="Arial" w:cs="Arial"/>
                <w:color w:val="000000"/>
                <w:sz w:val="18"/>
                <w:szCs w:val="18"/>
                <w:lang w:val="en-GB"/>
              </w:rPr>
              <w:t>118</w:t>
            </w:r>
          </w:p>
        </w:tc>
        <w:tc>
          <w:tcPr>
            <w:tcW w:w="2268" w:type="dxa"/>
            <w:shd w:val="clear" w:color="auto" w:fill="auto"/>
          </w:tcPr>
          <w:p w14:paraId="6D1E2C08" w14:textId="2B1A06B7"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MLR interest rate less a certain discount per annum</w:t>
            </w:r>
          </w:p>
        </w:tc>
        <w:tc>
          <w:tcPr>
            <w:tcW w:w="2126" w:type="dxa"/>
            <w:shd w:val="clear" w:color="auto" w:fill="auto"/>
          </w:tcPr>
          <w:p w14:paraId="2C89D2D6" w14:textId="77777777"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 xml:space="preserve">Repayment </w:t>
            </w:r>
          </w:p>
          <w:p w14:paraId="221A17ED" w14:textId="684B51B1"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 xml:space="preserve">every month </w:t>
            </w:r>
          </w:p>
          <w:p w14:paraId="398C2226" w14:textId="0D46C90F" w:rsidR="001A4AC6" w:rsidRPr="002D2F67" w:rsidRDefault="001A4AC6" w:rsidP="005611FE">
            <w:pPr>
              <w:ind w:left="-29" w:right="-29"/>
              <w:jc w:val="center"/>
              <w:rPr>
                <w:rFonts w:ascii="Arial" w:hAnsi="Arial" w:cs="Arial"/>
                <w:color w:val="000000"/>
                <w:sz w:val="18"/>
                <w:szCs w:val="18"/>
                <w:cs/>
              </w:rPr>
            </w:pPr>
            <w:r w:rsidRPr="002D2F67">
              <w:rPr>
                <w:rFonts w:ascii="Arial" w:hAnsi="Arial" w:cs="Arial"/>
                <w:color w:val="000000"/>
                <w:sz w:val="18"/>
                <w:szCs w:val="18"/>
              </w:rPr>
              <w:t xml:space="preserve">from October </w:t>
            </w:r>
            <w:r w:rsidR="00CD5714" w:rsidRPr="00CD5714">
              <w:rPr>
                <w:rFonts w:ascii="Arial" w:hAnsi="Arial" w:cs="Arial"/>
                <w:color w:val="000000"/>
                <w:sz w:val="18"/>
                <w:szCs w:val="18"/>
                <w:lang w:val="en-GB"/>
              </w:rPr>
              <w:t>2020</w:t>
            </w:r>
          </w:p>
        </w:tc>
        <w:tc>
          <w:tcPr>
            <w:tcW w:w="1512" w:type="dxa"/>
            <w:shd w:val="clear" w:color="auto" w:fill="auto"/>
          </w:tcPr>
          <w:p w14:paraId="7EBA28F3" w14:textId="35F4DC42"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Payment every month</w:t>
            </w:r>
          </w:p>
        </w:tc>
      </w:tr>
      <w:tr w:rsidR="001A4AC6" w:rsidRPr="002D2F67" w14:paraId="3A37D906" w14:textId="77777777" w:rsidTr="002D2F67">
        <w:trPr>
          <w:trHeight w:val="697"/>
        </w:trPr>
        <w:tc>
          <w:tcPr>
            <w:tcW w:w="738" w:type="dxa"/>
            <w:shd w:val="clear" w:color="auto" w:fill="auto"/>
          </w:tcPr>
          <w:p w14:paraId="551C7CAA" w14:textId="37BC423F" w:rsidR="001A4AC6" w:rsidRPr="002D2F67" w:rsidRDefault="00CD5714" w:rsidP="005611FE">
            <w:pPr>
              <w:ind w:left="-104" w:right="-75"/>
              <w:jc w:val="center"/>
              <w:rPr>
                <w:rFonts w:ascii="Arial" w:hAnsi="Arial" w:cs="Arial"/>
                <w:color w:val="000000"/>
                <w:sz w:val="18"/>
                <w:szCs w:val="18"/>
              </w:rPr>
            </w:pPr>
            <w:r w:rsidRPr="00CD5714">
              <w:rPr>
                <w:rFonts w:ascii="Arial" w:hAnsi="Arial" w:cs="Arial"/>
                <w:color w:val="000000"/>
                <w:sz w:val="18"/>
                <w:szCs w:val="18"/>
                <w:lang w:val="en-GB"/>
              </w:rPr>
              <w:t>4</w:t>
            </w:r>
          </w:p>
        </w:tc>
        <w:tc>
          <w:tcPr>
            <w:tcW w:w="1132" w:type="dxa"/>
            <w:shd w:val="clear" w:color="auto" w:fill="auto"/>
          </w:tcPr>
          <w:p w14:paraId="40E77481" w14:textId="6142D39D" w:rsidR="001A4AC6" w:rsidRPr="002D2F67" w:rsidRDefault="00CD5714" w:rsidP="005611FE">
            <w:pPr>
              <w:ind w:left="-29" w:right="-53"/>
              <w:jc w:val="right"/>
              <w:rPr>
                <w:rFonts w:ascii="Arial" w:hAnsi="Arial" w:cs="Arial"/>
                <w:color w:val="000000"/>
                <w:sz w:val="18"/>
                <w:szCs w:val="18"/>
              </w:rPr>
            </w:pPr>
            <w:r w:rsidRPr="00CD5714">
              <w:rPr>
                <w:rFonts w:ascii="Arial" w:hAnsi="Arial" w:cs="Arial"/>
                <w:color w:val="000000"/>
                <w:sz w:val="18"/>
                <w:szCs w:val="18"/>
                <w:lang w:val="en-GB"/>
              </w:rPr>
              <w:t>2</w:t>
            </w:r>
            <w:r w:rsidR="001A4AC6" w:rsidRPr="002D2F67">
              <w:rPr>
                <w:rFonts w:ascii="Arial" w:hAnsi="Arial" w:cs="Arial"/>
                <w:color w:val="000000"/>
                <w:sz w:val="18"/>
                <w:szCs w:val="18"/>
              </w:rPr>
              <w:t>,</w:t>
            </w:r>
            <w:r w:rsidRPr="00CD5714">
              <w:rPr>
                <w:rFonts w:ascii="Arial" w:hAnsi="Arial" w:cs="Arial"/>
                <w:color w:val="000000"/>
                <w:sz w:val="18"/>
                <w:szCs w:val="18"/>
                <w:lang w:val="en-GB"/>
              </w:rPr>
              <w:t>629</w:t>
            </w:r>
          </w:p>
        </w:tc>
        <w:tc>
          <w:tcPr>
            <w:tcW w:w="1134" w:type="dxa"/>
            <w:shd w:val="clear" w:color="auto" w:fill="auto"/>
          </w:tcPr>
          <w:p w14:paraId="0A6D3E2D" w14:textId="3C6320CA" w:rsidR="001A4AC6" w:rsidRPr="002D2F67" w:rsidRDefault="00CD5714" w:rsidP="005611FE">
            <w:pPr>
              <w:ind w:left="-29" w:right="-53"/>
              <w:jc w:val="right"/>
              <w:rPr>
                <w:rFonts w:ascii="Arial" w:hAnsi="Arial" w:cs="Arial"/>
                <w:color w:val="000000"/>
                <w:sz w:val="18"/>
                <w:szCs w:val="18"/>
              </w:rPr>
            </w:pPr>
            <w:r w:rsidRPr="00CD5714">
              <w:rPr>
                <w:rFonts w:ascii="Arial" w:hAnsi="Arial" w:cs="Arial"/>
                <w:color w:val="000000"/>
                <w:sz w:val="18"/>
                <w:szCs w:val="18"/>
                <w:lang w:val="en-GB"/>
              </w:rPr>
              <w:t>3</w:t>
            </w:r>
            <w:r w:rsidR="001A4AC6" w:rsidRPr="002D2F67">
              <w:rPr>
                <w:rFonts w:ascii="Arial" w:hAnsi="Arial" w:cs="Arial"/>
                <w:color w:val="000000"/>
                <w:sz w:val="18"/>
                <w:szCs w:val="18"/>
              </w:rPr>
              <w:t>,</w:t>
            </w:r>
            <w:r w:rsidRPr="00CD5714">
              <w:rPr>
                <w:rFonts w:ascii="Arial" w:hAnsi="Arial" w:cs="Arial"/>
                <w:color w:val="000000"/>
                <w:sz w:val="18"/>
                <w:szCs w:val="18"/>
                <w:lang w:val="en-GB"/>
              </w:rPr>
              <w:t>334</w:t>
            </w:r>
          </w:p>
        </w:tc>
        <w:tc>
          <w:tcPr>
            <w:tcW w:w="2268" w:type="dxa"/>
            <w:shd w:val="clear" w:color="auto" w:fill="auto"/>
          </w:tcPr>
          <w:p w14:paraId="1BF6F880" w14:textId="6D0EC934" w:rsidR="001A4AC6" w:rsidRPr="002D2F67" w:rsidRDefault="001A4AC6" w:rsidP="0090033D">
            <w:pPr>
              <w:ind w:left="-29" w:right="-29"/>
              <w:jc w:val="center"/>
              <w:rPr>
                <w:rFonts w:ascii="Arial" w:hAnsi="Arial" w:cs="Arial"/>
                <w:color w:val="000000"/>
                <w:sz w:val="18"/>
                <w:szCs w:val="18"/>
              </w:rPr>
            </w:pPr>
            <w:r w:rsidRPr="002D2F67">
              <w:rPr>
                <w:rFonts w:ascii="Arial" w:hAnsi="Arial" w:cs="Arial"/>
                <w:color w:val="000000"/>
                <w:sz w:val="18"/>
                <w:szCs w:val="18"/>
              </w:rPr>
              <w:t>MLR interest rate less a certain discount per annum</w:t>
            </w:r>
          </w:p>
        </w:tc>
        <w:tc>
          <w:tcPr>
            <w:tcW w:w="2126" w:type="dxa"/>
            <w:shd w:val="clear" w:color="auto" w:fill="auto"/>
          </w:tcPr>
          <w:p w14:paraId="68C68A6C" w14:textId="77777777" w:rsidR="001A4AC6" w:rsidRPr="002D2F67" w:rsidRDefault="001A4AC6" w:rsidP="0090033D">
            <w:pPr>
              <w:ind w:left="-29" w:right="-29"/>
              <w:jc w:val="center"/>
              <w:rPr>
                <w:rFonts w:ascii="Arial" w:hAnsi="Arial" w:cs="Arial"/>
                <w:color w:val="000000"/>
                <w:sz w:val="18"/>
                <w:szCs w:val="18"/>
              </w:rPr>
            </w:pPr>
            <w:r w:rsidRPr="002D2F67">
              <w:rPr>
                <w:rFonts w:ascii="Arial" w:hAnsi="Arial" w:cs="Arial"/>
                <w:color w:val="000000"/>
                <w:sz w:val="18"/>
                <w:szCs w:val="18"/>
              </w:rPr>
              <w:t xml:space="preserve">Repayment </w:t>
            </w:r>
          </w:p>
          <w:p w14:paraId="23B94BBF" w14:textId="77777777" w:rsidR="001A4AC6" w:rsidRPr="002D2F67" w:rsidRDefault="001A4AC6" w:rsidP="0090033D">
            <w:pPr>
              <w:ind w:left="-29" w:right="-29"/>
              <w:jc w:val="center"/>
              <w:rPr>
                <w:rFonts w:ascii="Arial" w:hAnsi="Arial" w:cs="Arial"/>
                <w:color w:val="000000"/>
                <w:sz w:val="18"/>
                <w:szCs w:val="18"/>
              </w:rPr>
            </w:pPr>
            <w:r w:rsidRPr="002D2F67">
              <w:rPr>
                <w:rFonts w:ascii="Arial" w:hAnsi="Arial" w:cs="Arial"/>
                <w:color w:val="000000"/>
                <w:sz w:val="18"/>
                <w:szCs w:val="18"/>
              </w:rPr>
              <w:t xml:space="preserve">every month </w:t>
            </w:r>
          </w:p>
          <w:p w14:paraId="6CA80A28" w14:textId="580D280B" w:rsidR="001A4AC6" w:rsidRPr="002D2F67" w:rsidRDefault="001A4AC6" w:rsidP="0090033D">
            <w:pPr>
              <w:ind w:left="-29" w:right="-29"/>
              <w:jc w:val="center"/>
              <w:rPr>
                <w:rFonts w:ascii="Arial" w:hAnsi="Arial" w:cs="Arial"/>
                <w:color w:val="000000"/>
                <w:sz w:val="18"/>
                <w:szCs w:val="18"/>
              </w:rPr>
            </w:pPr>
            <w:r w:rsidRPr="002D2F67">
              <w:rPr>
                <w:rFonts w:ascii="Arial" w:hAnsi="Arial" w:cs="Arial"/>
                <w:color w:val="000000"/>
                <w:sz w:val="18"/>
                <w:szCs w:val="18"/>
              </w:rPr>
              <w:t xml:space="preserve">from September </w:t>
            </w:r>
            <w:r w:rsidR="00CD5714" w:rsidRPr="00CD5714">
              <w:rPr>
                <w:rFonts w:ascii="Arial" w:hAnsi="Arial" w:cs="Arial"/>
                <w:color w:val="000000"/>
                <w:sz w:val="18"/>
                <w:szCs w:val="18"/>
                <w:lang w:val="en-GB"/>
              </w:rPr>
              <w:t>2024</w:t>
            </w:r>
          </w:p>
        </w:tc>
        <w:tc>
          <w:tcPr>
            <w:tcW w:w="1512" w:type="dxa"/>
            <w:shd w:val="clear" w:color="auto" w:fill="auto"/>
          </w:tcPr>
          <w:p w14:paraId="1EADBB54" w14:textId="77777777" w:rsidR="001A4AC6" w:rsidRPr="002D2F67" w:rsidRDefault="001A4AC6" w:rsidP="0090033D">
            <w:pPr>
              <w:ind w:left="-29" w:right="-29"/>
              <w:jc w:val="center"/>
              <w:rPr>
                <w:rFonts w:ascii="Arial" w:hAnsi="Arial" w:cs="Arial"/>
                <w:color w:val="000000"/>
                <w:sz w:val="18"/>
                <w:szCs w:val="18"/>
              </w:rPr>
            </w:pPr>
            <w:r w:rsidRPr="002D2F67">
              <w:rPr>
                <w:rFonts w:ascii="Arial" w:hAnsi="Arial" w:cs="Arial"/>
                <w:color w:val="000000"/>
                <w:sz w:val="18"/>
                <w:szCs w:val="18"/>
              </w:rPr>
              <w:t xml:space="preserve">Payment every </w:t>
            </w:r>
          </w:p>
          <w:p w14:paraId="059AA190" w14:textId="09F848BB" w:rsidR="001A4AC6" w:rsidRPr="002D2F67" w:rsidRDefault="001A4AC6" w:rsidP="0090033D">
            <w:pPr>
              <w:ind w:left="-29" w:right="-29"/>
              <w:jc w:val="center"/>
              <w:rPr>
                <w:rFonts w:ascii="Arial" w:hAnsi="Arial" w:cs="Arial"/>
                <w:color w:val="000000"/>
                <w:sz w:val="18"/>
                <w:szCs w:val="18"/>
              </w:rPr>
            </w:pPr>
            <w:r w:rsidRPr="002D2F67">
              <w:rPr>
                <w:rFonts w:ascii="Arial" w:hAnsi="Arial" w:cs="Arial"/>
                <w:color w:val="000000"/>
                <w:sz w:val="18"/>
                <w:szCs w:val="18"/>
              </w:rPr>
              <w:t>three months</w:t>
            </w:r>
          </w:p>
        </w:tc>
      </w:tr>
      <w:tr w:rsidR="001A4AC6" w:rsidRPr="002D2F67" w14:paraId="49443B72" w14:textId="77777777" w:rsidTr="002D2F67">
        <w:trPr>
          <w:trHeight w:val="685"/>
        </w:trPr>
        <w:tc>
          <w:tcPr>
            <w:tcW w:w="738" w:type="dxa"/>
            <w:shd w:val="clear" w:color="auto" w:fill="auto"/>
          </w:tcPr>
          <w:p w14:paraId="57EA99D9" w14:textId="79F1B409" w:rsidR="001A4AC6" w:rsidRPr="002D2F67" w:rsidRDefault="00CD5714" w:rsidP="005611FE">
            <w:pPr>
              <w:ind w:left="-104" w:right="-75"/>
              <w:jc w:val="center"/>
              <w:rPr>
                <w:rFonts w:ascii="Arial" w:hAnsi="Arial" w:cs="Arial"/>
                <w:color w:val="000000"/>
                <w:sz w:val="18"/>
                <w:szCs w:val="18"/>
              </w:rPr>
            </w:pPr>
            <w:r w:rsidRPr="00CD5714">
              <w:rPr>
                <w:rFonts w:ascii="Arial" w:hAnsi="Arial" w:cs="Arial"/>
                <w:color w:val="000000"/>
                <w:sz w:val="18"/>
                <w:szCs w:val="18"/>
                <w:lang w:val="en-GB"/>
              </w:rPr>
              <w:t>5</w:t>
            </w:r>
          </w:p>
        </w:tc>
        <w:tc>
          <w:tcPr>
            <w:tcW w:w="1132" w:type="dxa"/>
            <w:shd w:val="clear" w:color="auto" w:fill="auto"/>
          </w:tcPr>
          <w:p w14:paraId="5E1D0D12" w14:textId="7E59C8BE" w:rsidR="001A4AC6" w:rsidRPr="002D2F67" w:rsidRDefault="00CD5714" w:rsidP="005611FE">
            <w:pPr>
              <w:ind w:left="-29" w:right="-53"/>
              <w:jc w:val="right"/>
              <w:rPr>
                <w:rFonts w:ascii="Arial" w:hAnsi="Arial" w:cs="Arial"/>
                <w:color w:val="000000"/>
                <w:sz w:val="18"/>
                <w:szCs w:val="18"/>
              </w:rPr>
            </w:pPr>
            <w:r w:rsidRPr="00CD5714">
              <w:rPr>
                <w:rFonts w:ascii="Arial" w:hAnsi="Arial" w:cs="Arial"/>
                <w:color w:val="000000"/>
                <w:sz w:val="18"/>
                <w:szCs w:val="18"/>
                <w:lang w:val="en-GB"/>
              </w:rPr>
              <w:t>4</w:t>
            </w:r>
            <w:r w:rsidR="001A4AC6" w:rsidRPr="002D2F67">
              <w:rPr>
                <w:rFonts w:ascii="Arial" w:hAnsi="Arial" w:cs="Arial"/>
                <w:color w:val="000000"/>
                <w:sz w:val="18"/>
                <w:szCs w:val="18"/>
              </w:rPr>
              <w:t>,</w:t>
            </w:r>
            <w:r w:rsidRPr="00CD5714">
              <w:rPr>
                <w:rFonts w:ascii="Arial" w:hAnsi="Arial" w:cs="Arial"/>
                <w:color w:val="000000"/>
                <w:sz w:val="18"/>
                <w:szCs w:val="18"/>
                <w:lang w:val="en-GB"/>
              </w:rPr>
              <w:t>019</w:t>
            </w:r>
          </w:p>
        </w:tc>
        <w:tc>
          <w:tcPr>
            <w:tcW w:w="1134" w:type="dxa"/>
            <w:shd w:val="clear" w:color="auto" w:fill="auto"/>
          </w:tcPr>
          <w:p w14:paraId="1B8B5351" w14:textId="09F12244" w:rsidR="001A4AC6" w:rsidRPr="002D2F67" w:rsidRDefault="00CD5714" w:rsidP="005611FE">
            <w:pPr>
              <w:ind w:left="-43" w:right="-53"/>
              <w:jc w:val="right"/>
              <w:rPr>
                <w:rFonts w:ascii="Arial" w:hAnsi="Arial" w:cs="Arial"/>
                <w:color w:val="000000"/>
                <w:sz w:val="18"/>
                <w:szCs w:val="18"/>
              </w:rPr>
            </w:pPr>
            <w:r w:rsidRPr="00CD5714">
              <w:rPr>
                <w:rFonts w:ascii="Arial" w:hAnsi="Arial" w:cs="Arial"/>
                <w:color w:val="000000"/>
                <w:sz w:val="18"/>
                <w:szCs w:val="22"/>
                <w:lang w:val="en-GB"/>
              </w:rPr>
              <w:t>5</w:t>
            </w:r>
            <w:r w:rsidR="001A4AC6" w:rsidRPr="002D2F67">
              <w:rPr>
                <w:rFonts w:ascii="Arial" w:hAnsi="Arial" w:cs="Arial"/>
                <w:color w:val="000000"/>
                <w:sz w:val="18"/>
                <w:szCs w:val="22"/>
              </w:rPr>
              <w:t>,</w:t>
            </w:r>
            <w:r w:rsidRPr="00CD5714">
              <w:rPr>
                <w:rFonts w:ascii="Arial" w:hAnsi="Arial" w:cs="Arial"/>
                <w:color w:val="000000"/>
                <w:sz w:val="18"/>
                <w:szCs w:val="22"/>
                <w:lang w:val="en-GB"/>
              </w:rPr>
              <w:t>220</w:t>
            </w:r>
          </w:p>
        </w:tc>
        <w:tc>
          <w:tcPr>
            <w:tcW w:w="2268" w:type="dxa"/>
            <w:shd w:val="clear" w:color="auto" w:fill="auto"/>
          </w:tcPr>
          <w:p w14:paraId="4B0813DB" w14:textId="2BCE5E64"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MLR interest rate less a certain discount per annum</w:t>
            </w:r>
          </w:p>
        </w:tc>
        <w:tc>
          <w:tcPr>
            <w:tcW w:w="2126" w:type="dxa"/>
            <w:shd w:val="clear" w:color="auto" w:fill="auto"/>
          </w:tcPr>
          <w:p w14:paraId="49D25CA6" w14:textId="77777777"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 xml:space="preserve">Repayment </w:t>
            </w:r>
          </w:p>
          <w:p w14:paraId="7B70347A" w14:textId="1ED9FE84"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 xml:space="preserve">every month </w:t>
            </w:r>
          </w:p>
          <w:p w14:paraId="0FEE92B3" w14:textId="7DDE560A"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 xml:space="preserve">from August </w:t>
            </w:r>
            <w:r w:rsidR="00CD5714" w:rsidRPr="00CD5714">
              <w:rPr>
                <w:rFonts w:ascii="Arial" w:hAnsi="Arial" w:cs="Arial"/>
                <w:color w:val="000000"/>
                <w:sz w:val="18"/>
                <w:szCs w:val="18"/>
                <w:lang w:val="en-GB"/>
              </w:rPr>
              <w:t>2024</w:t>
            </w:r>
          </w:p>
        </w:tc>
        <w:tc>
          <w:tcPr>
            <w:tcW w:w="1512" w:type="dxa"/>
            <w:shd w:val="clear" w:color="auto" w:fill="auto"/>
          </w:tcPr>
          <w:p w14:paraId="17A5DFD9" w14:textId="337892E5"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Payment every three months</w:t>
            </w:r>
          </w:p>
        </w:tc>
      </w:tr>
      <w:tr w:rsidR="001A4AC6" w:rsidRPr="002D2F67" w14:paraId="2C572B1C" w14:textId="77777777" w:rsidTr="002D2F67">
        <w:trPr>
          <w:trHeight w:val="697"/>
        </w:trPr>
        <w:tc>
          <w:tcPr>
            <w:tcW w:w="738" w:type="dxa"/>
            <w:shd w:val="clear" w:color="auto" w:fill="auto"/>
          </w:tcPr>
          <w:p w14:paraId="1CD8B10B" w14:textId="3C5B013C" w:rsidR="001A4AC6" w:rsidRPr="002D2F67" w:rsidRDefault="00CD5714" w:rsidP="005611FE">
            <w:pPr>
              <w:ind w:left="-104" w:right="-75"/>
              <w:jc w:val="center"/>
              <w:rPr>
                <w:rFonts w:ascii="Arial" w:hAnsi="Arial" w:cs="Arial"/>
                <w:color w:val="000000"/>
                <w:sz w:val="18"/>
                <w:szCs w:val="18"/>
              </w:rPr>
            </w:pPr>
            <w:r w:rsidRPr="00CD5714">
              <w:rPr>
                <w:rFonts w:ascii="Arial" w:hAnsi="Arial" w:cs="Arial"/>
                <w:color w:val="000000"/>
                <w:sz w:val="18"/>
                <w:szCs w:val="18"/>
                <w:lang w:val="en-GB"/>
              </w:rPr>
              <w:t>6</w:t>
            </w:r>
          </w:p>
        </w:tc>
        <w:tc>
          <w:tcPr>
            <w:tcW w:w="1132" w:type="dxa"/>
            <w:tcBorders>
              <w:bottom w:val="single" w:sz="4" w:space="0" w:color="auto"/>
            </w:tcBorders>
            <w:shd w:val="clear" w:color="auto" w:fill="auto"/>
          </w:tcPr>
          <w:p w14:paraId="400CBD1A" w14:textId="252850FF" w:rsidR="001A4AC6" w:rsidRPr="002D2F67" w:rsidRDefault="00CD5714" w:rsidP="005611FE">
            <w:pPr>
              <w:ind w:left="-29" w:right="-53"/>
              <w:jc w:val="right"/>
              <w:rPr>
                <w:rFonts w:ascii="Arial" w:hAnsi="Arial" w:cs="Arial"/>
                <w:color w:val="000000"/>
                <w:sz w:val="18"/>
                <w:szCs w:val="18"/>
              </w:rPr>
            </w:pPr>
            <w:r w:rsidRPr="00CD5714">
              <w:rPr>
                <w:rFonts w:ascii="Arial" w:hAnsi="Arial" w:cs="Arial"/>
                <w:color w:val="000000"/>
                <w:sz w:val="18"/>
                <w:szCs w:val="18"/>
                <w:lang w:val="en-GB"/>
              </w:rPr>
              <w:t>6</w:t>
            </w:r>
            <w:r w:rsidR="001A4AC6" w:rsidRPr="002D2F67">
              <w:rPr>
                <w:rFonts w:ascii="Arial" w:hAnsi="Arial" w:cs="Arial"/>
                <w:color w:val="000000"/>
                <w:sz w:val="18"/>
                <w:szCs w:val="18"/>
              </w:rPr>
              <w:t>,</w:t>
            </w:r>
            <w:r w:rsidRPr="00CD5714">
              <w:rPr>
                <w:rFonts w:ascii="Arial" w:hAnsi="Arial" w:cs="Arial"/>
                <w:color w:val="000000"/>
                <w:sz w:val="18"/>
                <w:szCs w:val="18"/>
                <w:lang w:val="en-GB"/>
              </w:rPr>
              <w:t>655</w:t>
            </w:r>
          </w:p>
        </w:tc>
        <w:tc>
          <w:tcPr>
            <w:tcW w:w="1134" w:type="dxa"/>
            <w:tcBorders>
              <w:bottom w:val="single" w:sz="4" w:space="0" w:color="auto"/>
            </w:tcBorders>
            <w:shd w:val="clear" w:color="auto" w:fill="auto"/>
          </w:tcPr>
          <w:p w14:paraId="43BF5A93" w14:textId="3FFD3351" w:rsidR="001A4AC6" w:rsidRPr="002D2F67" w:rsidRDefault="001A4AC6" w:rsidP="005611FE">
            <w:pPr>
              <w:ind w:left="-43" w:right="-53"/>
              <w:jc w:val="right"/>
              <w:rPr>
                <w:rFonts w:ascii="Arial" w:hAnsi="Arial" w:cs="Arial"/>
                <w:color w:val="000000"/>
                <w:sz w:val="18"/>
                <w:szCs w:val="18"/>
              </w:rPr>
            </w:pPr>
            <w:r w:rsidRPr="002D2F67">
              <w:rPr>
                <w:rFonts w:ascii="Arial" w:hAnsi="Arial" w:cs="Arial"/>
                <w:color w:val="000000"/>
                <w:sz w:val="18"/>
                <w:szCs w:val="18"/>
              </w:rPr>
              <w:t>-</w:t>
            </w:r>
          </w:p>
        </w:tc>
        <w:tc>
          <w:tcPr>
            <w:tcW w:w="2268" w:type="dxa"/>
            <w:shd w:val="clear" w:color="auto" w:fill="auto"/>
          </w:tcPr>
          <w:p w14:paraId="4FE72467" w14:textId="7208D9FE" w:rsidR="001A4AC6" w:rsidRPr="002D2F67" w:rsidRDefault="001A4AC6" w:rsidP="0090033D">
            <w:pPr>
              <w:ind w:left="-29" w:right="-29"/>
              <w:jc w:val="center"/>
              <w:rPr>
                <w:rFonts w:ascii="Arial" w:hAnsi="Arial" w:cs="Arial"/>
                <w:color w:val="000000"/>
                <w:sz w:val="18"/>
                <w:szCs w:val="18"/>
              </w:rPr>
            </w:pPr>
            <w:r w:rsidRPr="002D2F67">
              <w:rPr>
                <w:rFonts w:ascii="Arial" w:hAnsi="Arial" w:cs="Arial"/>
                <w:color w:val="000000"/>
                <w:sz w:val="18"/>
                <w:szCs w:val="18"/>
              </w:rPr>
              <w:t xml:space="preserve">Fixed interest rate per annum at </w:t>
            </w:r>
            <w:r w:rsidR="00CD5714" w:rsidRPr="00CD5714">
              <w:rPr>
                <w:rFonts w:ascii="Arial" w:hAnsi="Arial" w:cs="Arial"/>
                <w:color w:val="000000"/>
                <w:sz w:val="18"/>
                <w:szCs w:val="18"/>
                <w:lang w:val="en-GB"/>
              </w:rPr>
              <w:t>5</w:t>
            </w:r>
            <w:r w:rsidRPr="002D2F67">
              <w:rPr>
                <w:rFonts w:ascii="Arial" w:hAnsi="Arial" w:cs="Arial"/>
                <w:color w:val="000000"/>
                <w:sz w:val="18"/>
                <w:szCs w:val="18"/>
              </w:rPr>
              <w:t>.</w:t>
            </w:r>
            <w:r w:rsidR="00CD5714" w:rsidRPr="00CD5714">
              <w:rPr>
                <w:rFonts w:ascii="Arial" w:hAnsi="Arial" w:cs="Arial"/>
                <w:color w:val="000000"/>
                <w:sz w:val="18"/>
                <w:szCs w:val="18"/>
                <w:lang w:val="en-GB"/>
              </w:rPr>
              <w:t>50</w:t>
            </w:r>
            <w:r w:rsidRPr="002D2F67">
              <w:rPr>
                <w:rFonts w:ascii="Arial" w:hAnsi="Arial" w:cs="Arial"/>
                <w:color w:val="000000"/>
                <w:sz w:val="18"/>
                <w:szCs w:val="18"/>
              </w:rPr>
              <w:t>%</w:t>
            </w:r>
          </w:p>
          <w:p w14:paraId="1F0281DC" w14:textId="30BD7CE1" w:rsidR="001A4AC6" w:rsidRPr="002D2F67" w:rsidRDefault="001A4AC6" w:rsidP="005611FE">
            <w:pPr>
              <w:ind w:left="-29" w:right="-29"/>
              <w:jc w:val="center"/>
              <w:rPr>
                <w:rFonts w:ascii="Arial" w:hAnsi="Arial" w:cs="Arial"/>
                <w:color w:val="000000"/>
                <w:sz w:val="18"/>
                <w:szCs w:val="18"/>
              </w:rPr>
            </w:pPr>
          </w:p>
        </w:tc>
        <w:tc>
          <w:tcPr>
            <w:tcW w:w="2126" w:type="dxa"/>
            <w:shd w:val="clear" w:color="auto" w:fill="auto"/>
          </w:tcPr>
          <w:p w14:paraId="28C1B5CF" w14:textId="77777777" w:rsidR="001A4AC6" w:rsidRPr="002D2F67" w:rsidRDefault="001A4AC6" w:rsidP="005611FE">
            <w:pPr>
              <w:ind w:left="-29" w:right="-29"/>
              <w:jc w:val="center"/>
              <w:rPr>
                <w:rFonts w:ascii="Arial" w:hAnsi="Arial" w:cs="Arial"/>
                <w:color w:val="000000"/>
                <w:spacing w:val="-6"/>
                <w:sz w:val="18"/>
                <w:szCs w:val="18"/>
              </w:rPr>
            </w:pPr>
            <w:r w:rsidRPr="002D2F67">
              <w:rPr>
                <w:rFonts w:ascii="Arial" w:hAnsi="Arial" w:cs="Arial"/>
                <w:color w:val="000000"/>
                <w:spacing w:val="-6"/>
                <w:sz w:val="18"/>
                <w:szCs w:val="18"/>
              </w:rPr>
              <w:t xml:space="preserve">Repayment </w:t>
            </w:r>
          </w:p>
          <w:p w14:paraId="3E3CA133" w14:textId="38D93262"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pacing w:val="-6"/>
                <w:sz w:val="18"/>
                <w:szCs w:val="18"/>
              </w:rPr>
              <w:t>every month</w:t>
            </w:r>
            <w:r w:rsidRPr="002D2F67">
              <w:rPr>
                <w:rFonts w:ascii="Arial" w:hAnsi="Arial" w:cs="Arial"/>
                <w:color w:val="000000"/>
                <w:sz w:val="18"/>
                <w:szCs w:val="18"/>
              </w:rPr>
              <w:t xml:space="preserve"> from September </w:t>
            </w:r>
            <w:r w:rsidR="00CD5714" w:rsidRPr="00CD5714">
              <w:rPr>
                <w:rFonts w:ascii="Arial" w:hAnsi="Arial" w:cs="Arial"/>
                <w:color w:val="000000"/>
                <w:sz w:val="18"/>
                <w:szCs w:val="18"/>
                <w:lang w:val="en-GB"/>
              </w:rPr>
              <w:t>2024</w:t>
            </w:r>
          </w:p>
        </w:tc>
        <w:tc>
          <w:tcPr>
            <w:tcW w:w="1512" w:type="dxa"/>
            <w:shd w:val="clear" w:color="auto" w:fill="auto"/>
          </w:tcPr>
          <w:p w14:paraId="19253254" w14:textId="577F7F3A"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Payment every month</w:t>
            </w:r>
          </w:p>
        </w:tc>
      </w:tr>
      <w:tr w:rsidR="001A4AC6" w:rsidRPr="002D2F67" w14:paraId="18726EFF" w14:textId="77777777" w:rsidTr="002D2F67">
        <w:trPr>
          <w:trHeight w:val="56"/>
        </w:trPr>
        <w:tc>
          <w:tcPr>
            <w:tcW w:w="738" w:type="dxa"/>
            <w:shd w:val="clear" w:color="auto" w:fill="auto"/>
          </w:tcPr>
          <w:p w14:paraId="597ABC79" w14:textId="77777777" w:rsidR="001A4AC6" w:rsidRPr="002D2F67" w:rsidRDefault="001A4AC6" w:rsidP="005611FE">
            <w:pPr>
              <w:ind w:left="-104" w:right="-75"/>
              <w:jc w:val="center"/>
              <w:rPr>
                <w:rFonts w:ascii="Arial" w:hAnsi="Arial" w:cs="Arial"/>
                <w:color w:val="000000"/>
                <w:sz w:val="18"/>
                <w:szCs w:val="18"/>
              </w:rPr>
            </w:pPr>
          </w:p>
        </w:tc>
        <w:tc>
          <w:tcPr>
            <w:tcW w:w="1132" w:type="dxa"/>
            <w:tcBorders>
              <w:top w:val="single" w:sz="4" w:space="0" w:color="auto"/>
            </w:tcBorders>
            <w:shd w:val="clear" w:color="auto" w:fill="auto"/>
          </w:tcPr>
          <w:p w14:paraId="549D597A" w14:textId="77777777" w:rsidR="001A4AC6" w:rsidRPr="002D2F67" w:rsidRDefault="001A4AC6" w:rsidP="005611FE">
            <w:pPr>
              <w:ind w:left="-43" w:right="-53"/>
              <w:jc w:val="right"/>
              <w:rPr>
                <w:rFonts w:ascii="Arial" w:hAnsi="Arial" w:cs="Arial"/>
                <w:color w:val="000000"/>
                <w:sz w:val="18"/>
                <w:szCs w:val="18"/>
              </w:rPr>
            </w:pPr>
          </w:p>
        </w:tc>
        <w:tc>
          <w:tcPr>
            <w:tcW w:w="1134" w:type="dxa"/>
            <w:tcBorders>
              <w:top w:val="single" w:sz="4" w:space="0" w:color="auto"/>
            </w:tcBorders>
            <w:shd w:val="clear" w:color="auto" w:fill="auto"/>
          </w:tcPr>
          <w:p w14:paraId="337E9043" w14:textId="77777777" w:rsidR="001A4AC6" w:rsidRPr="002D2F67" w:rsidRDefault="001A4AC6" w:rsidP="005611FE">
            <w:pPr>
              <w:ind w:left="-43" w:right="-53"/>
              <w:jc w:val="right"/>
              <w:rPr>
                <w:rFonts w:ascii="Arial" w:hAnsi="Arial" w:cs="Arial"/>
                <w:color w:val="000000"/>
                <w:sz w:val="18"/>
                <w:szCs w:val="18"/>
              </w:rPr>
            </w:pPr>
          </w:p>
        </w:tc>
        <w:tc>
          <w:tcPr>
            <w:tcW w:w="2268" w:type="dxa"/>
            <w:shd w:val="clear" w:color="auto" w:fill="auto"/>
          </w:tcPr>
          <w:p w14:paraId="1971263F" w14:textId="77777777" w:rsidR="001A4AC6" w:rsidRPr="002D2F67" w:rsidRDefault="001A4AC6" w:rsidP="005611FE">
            <w:pPr>
              <w:ind w:left="-29" w:right="-29"/>
              <w:jc w:val="center"/>
              <w:rPr>
                <w:rFonts w:ascii="Arial" w:hAnsi="Arial" w:cs="Arial"/>
                <w:color w:val="000000"/>
                <w:sz w:val="18"/>
                <w:szCs w:val="18"/>
              </w:rPr>
            </w:pPr>
          </w:p>
        </w:tc>
        <w:tc>
          <w:tcPr>
            <w:tcW w:w="2126" w:type="dxa"/>
            <w:shd w:val="clear" w:color="auto" w:fill="auto"/>
          </w:tcPr>
          <w:p w14:paraId="24D4F270" w14:textId="77777777" w:rsidR="001A4AC6" w:rsidRPr="002D2F67" w:rsidRDefault="001A4AC6" w:rsidP="005611FE">
            <w:pPr>
              <w:ind w:left="-29" w:right="-29"/>
              <w:jc w:val="center"/>
              <w:rPr>
                <w:rFonts w:ascii="Arial" w:hAnsi="Arial" w:cs="Arial"/>
                <w:color w:val="000000"/>
                <w:sz w:val="18"/>
                <w:szCs w:val="18"/>
              </w:rPr>
            </w:pPr>
          </w:p>
        </w:tc>
        <w:tc>
          <w:tcPr>
            <w:tcW w:w="1512" w:type="dxa"/>
            <w:shd w:val="clear" w:color="auto" w:fill="auto"/>
          </w:tcPr>
          <w:p w14:paraId="3AEE540D" w14:textId="77777777" w:rsidR="001A4AC6" w:rsidRPr="002D2F67" w:rsidRDefault="001A4AC6" w:rsidP="005611FE">
            <w:pPr>
              <w:ind w:left="-29" w:right="-29"/>
              <w:jc w:val="center"/>
              <w:rPr>
                <w:rFonts w:ascii="Arial" w:hAnsi="Arial" w:cs="Arial"/>
                <w:color w:val="000000"/>
                <w:sz w:val="18"/>
                <w:szCs w:val="18"/>
              </w:rPr>
            </w:pPr>
          </w:p>
        </w:tc>
      </w:tr>
      <w:tr w:rsidR="001A4AC6" w:rsidRPr="002D2F67" w14:paraId="119E43B8" w14:textId="77777777" w:rsidTr="002D2F67">
        <w:trPr>
          <w:trHeight w:val="228"/>
        </w:trPr>
        <w:tc>
          <w:tcPr>
            <w:tcW w:w="738" w:type="dxa"/>
            <w:shd w:val="clear" w:color="auto" w:fill="auto"/>
          </w:tcPr>
          <w:p w14:paraId="53B3DEFA" w14:textId="09EB8116" w:rsidR="001A4AC6" w:rsidRPr="002D2F67" w:rsidRDefault="001A4AC6" w:rsidP="005611FE">
            <w:pPr>
              <w:ind w:left="-104" w:right="-75"/>
              <w:jc w:val="center"/>
              <w:rPr>
                <w:rFonts w:ascii="Arial" w:hAnsi="Arial" w:cs="Arial"/>
                <w:color w:val="000000"/>
                <w:sz w:val="18"/>
                <w:szCs w:val="18"/>
              </w:rPr>
            </w:pPr>
            <w:r w:rsidRPr="002D2F67">
              <w:rPr>
                <w:rFonts w:ascii="Arial" w:hAnsi="Arial" w:cs="Arial"/>
                <w:color w:val="000000"/>
                <w:sz w:val="18"/>
                <w:szCs w:val="18"/>
              </w:rPr>
              <w:t>Total</w:t>
            </w:r>
          </w:p>
        </w:tc>
        <w:tc>
          <w:tcPr>
            <w:tcW w:w="1132" w:type="dxa"/>
            <w:tcBorders>
              <w:bottom w:val="single" w:sz="4" w:space="0" w:color="auto"/>
            </w:tcBorders>
            <w:shd w:val="clear" w:color="auto" w:fill="auto"/>
            <w:vAlign w:val="bottom"/>
          </w:tcPr>
          <w:p w14:paraId="367E03A0" w14:textId="3417008E" w:rsidR="001A4AC6" w:rsidRPr="002D2F67" w:rsidRDefault="00CD5714" w:rsidP="005611FE">
            <w:pPr>
              <w:ind w:left="-43" w:right="-53"/>
              <w:jc w:val="right"/>
              <w:rPr>
                <w:rFonts w:ascii="Arial" w:hAnsi="Arial" w:cs="Arial"/>
                <w:color w:val="000000"/>
                <w:sz w:val="18"/>
                <w:szCs w:val="18"/>
              </w:rPr>
            </w:pPr>
            <w:r w:rsidRPr="00CD5714">
              <w:rPr>
                <w:rFonts w:ascii="Arial" w:hAnsi="Arial" w:cs="Arial"/>
                <w:color w:val="000000"/>
                <w:sz w:val="18"/>
                <w:szCs w:val="18"/>
                <w:lang w:val="en-GB"/>
              </w:rPr>
              <w:t>13</w:t>
            </w:r>
            <w:r w:rsidR="001A4AC6" w:rsidRPr="002D2F67">
              <w:rPr>
                <w:rFonts w:ascii="Arial" w:hAnsi="Arial" w:cs="Arial"/>
                <w:color w:val="000000"/>
                <w:sz w:val="18"/>
                <w:szCs w:val="18"/>
              </w:rPr>
              <w:t>,</w:t>
            </w:r>
            <w:r w:rsidRPr="00CD5714">
              <w:rPr>
                <w:rFonts w:ascii="Arial" w:hAnsi="Arial" w:cs="Arial"/>
                <w:color w:val="000000"/>
                <w:sz w:val="18"/>
                <w:szCs w:val="18"/>
                <w:lang w:val="en-GB"/>
              </w:rPr>
              <w:t>832</w:t>
            </w:r>
          </w:p>
        </w:tc>
        <w:tc>
          <w:tcPr>
            <w:tcW w:w="1134" w:type="dxa"/>
            <w:tcBorders>
              <w:bottom w:val="single" w:sz="4" w:space="0" w:color="auto"/>
            </w:tcBorders>
            <w:shd w:val="clear" w:color="auto" w:fill="auto"/>
            <w:vAlign w:val="bottom"/>
          </w:tcPr>
          <w:p w14:paraId="1B5DDB15" w14:textId="53DE3B70" w:rsidR="001A4AC6" w:rsidRPr="002D2F67" w:rsidRDefault="00CD5714" w:rsidP="005611FE">
            <w:pPr>
              <w:ind w:left="-43" w:right="-53"/>
              <w:jc w:val="right"/>
              <w:rPr>
                <w:rFonts w:ascii="Arial" w:hAnsi="Arial" w:cs="Arial"/>
                <w:color w:val="000000"/>
                <w:sz w:val="18"/>
                <w:szCs w:val="18"/>
              </w:rPr>
            </w:pPr>
            <w:r w:rsidRPr="00CD5714">
              <w:rPr>
                <w:rFonts w:ascii="Arial" w:hAnsi="Arial" w:cs="Arial"/>
                <w:color w:val="000000"/>
                <w:sz w:val="18"/>
                <w:szCs w:val="18"/>
                <w:lang w:val="en-GB"/>
              </w:rPr>
              <w:t>9</w:t>
            </w:r>
            <w:r w:rsidR="001A4AC6" w:rsidRPr="002D2F67">
              <w:rPr>
                <w:rFonts w:ascii="Arial" w:hAnsi="Arial" w:cs="Arial"/>
                <w:color w:val="000000"/>
                <w:sz w:val="18"/>
                <w:szCs w:val="18"/>
              </w:rPr>
              <w:t>,</w:t>
            </w:r>
            <w:r w:rsidRPr="00CD5714">
              <w:rPr>
                <w:rFonts w:ascii="Arial" w:hAnsi="Arial" w:cs="Arial"/>
                <w:color w:val="000000"/>
                <w:sz w:val="18"/>
                <w:szCs w:val="18"/>
                <w:lang w:val="en-GB"/>
              </w:rPr>
              <w:t>473</w:t>
            </w:r>
          </w:p>
        </w:tc>
        <w:tc>
          <w:tcPr>
            <w:tcW w:w="2268" w:type="dxa"/>
            <w:shd w:val="clear" w:color="auto" w:fill="auto"/>
          </w:tcPr>
          <w:p w14:paraId="7AAA72D1" w14:textId="77777777" w:rsidR="001A4AC6" w:rsidRPr="002D2F67" w:rsidRDefault="001A4AC6" w:rsidP="005611FE">
            <w:pPr>
              <w:ind w:left="-29" w:right="-29"/>
              <w:jc w:val="center"/>
              <w:rPr>
                <w:rFonts w:ascii="Arial" w:hAnsi="Arial" w:cs="Arial"/>
                <w:color w:val="000000"/>
                <w:sz w:val="18"/>
                <w:szCs w:val="18"/>
              </w:rPr>
            </w:pPr>
          </w:p>
        </w:tc>
        <w:tc>
          <w:tcPr>
            <w:tcW w:w="2126" w:type="dxa"/>
            <w:shd w:val="clear" w:color="auto" w:fill="auto"/>
          </w:tcPr>
          <w:p w14:paraId="7803B2FC" w14:textId="77777777" w:rsidR="001A4AC6" w:rsidRPr="002D2F67" w:rsidRDefault="001A4AC6" w:rsidP="005611FE">
            <w:pPr>
              <w:ind w:left="-29" w:right="-29"/>
              <w:jc w:val="center"/>
              <w:rPr>
                <w:rFonts w:ascii="Arial" w:hAnsi="Arial" w:cs="Arial"/>
                <w:color w:val="000000"/>
                <w:sz w:val="18"/>
                <w:szCs w:val="18"/>
              </w:rPr>
            </w:pPr>
          </w:p>
        </w:tc>
        <w:tc>
          <w:tcPr>
            <w:tcW w:w="1512" w:type="dxa"/>
            <w:shd w:val="clear" w:color="auto" w:fill="auto"/>
          </w:tcPr>
          <w:p w14:paraId="073C127F" w14:textId="77777777" w:rsidR="001A4AC6" w:rsidRPr="002D2F67" w:rsidRDefault="001A4AC6" w:rsidP="005611FE">
            <w:pPr>
              <w:ind w:left="-29" w:right="-29"/>
              <w:jc w:val="center"/>
              <w:rPr>
                <w:rFonts w:ascii="Arial" w:hAnsi="Arial" w:cs="Arial"/>
                <w:color w:val="000000"/>
                <w:sz w:val="18"/>
                <w:szCs w:val="18"/>
              </w:rPr>
            </w:pPr>
          </w:p>
        </w:tc>
      </w:tr>
    </w:tbl>
    <w:p w14:paraId="245D2BAA" w14:textId="6BC685FA" w:rsidR="00CF6FAB" w:rsidRPr="002D2F67" w:rsidRDefault="00CF6FAB" w:rsidP="005611FE">
      <w:pPr>
        <w:ind w:left="540"/>
        <w:jc w:val="both"/>
        <w:rPr>
          <w:rFonts w:ascii="Arial" w:hAnsi="Arial" w:cs="Arial"/>
          <w:color w:val="000000"/>
          <w:sz w:val="20"/>
          <w:szCs w:val="20"/>
          <w:lang w:val="en"/>
        </w:rPr>
      </w:pPr>
    </w:p>
    <w:p w14:paraId="6B49B912" w14:textId="6C2F9720" w:rsidR="001E6C66" w:rsidRPr="002D2F67" w:rsidRDefault="001E6C66" w:rsidP="005611FE">
      <w:pPr>
        <w:ind w:left="539"/>
        <w:rPr>
          <w:rFonts w:ascii="Arial" w:hAnsi="Arial" w:cs="Arial"/>
          <w:b/>
          <w:bCs/>
          <w:color w:val="000000"/>
          <w:sz w:val="20"/>
          <w:szCs w:val="20"/>
          <w:u w:val="single"/>
          <w:lang w:val="en"/>
        </w:rPr>
      </w:pPr>
      <w:r w:rsidRPr="002D2F67">
        <w:rPr>
          <w:rFonts w:ascii="Arial" w:hAnsi="Arial" w:cs="Arial"/>
          <w:color w:val="000000"/>
          <w:sz w:val="20"/>
          <w:szCs w:val="20"/>
          <w:u w:val="single"/>
          <w:lang w:val="en"/>
        </w:rPr>
        <w:t>Loan of subsidiaries denominated in Taiwan Dollar</w:t>
      </w:r>
    </w:p>
    <w:p w14:paraId="064DCE7F" w14:textId="77777777" w:rsidR="001E6C66" w:rsidRPr="002D2F67" w:rsidRDefault="001E6C66" w:rsidP="005611FE">
      <w:pPr>
        <w:ind w:left="540"/>
        <w:jc w:val="both"/>
        <w:rPr>
          <w:rFonts w:ascii="Arial" w:hAnsi="Arial" w:cs="Arial"/>
          <w:color w:val="000000"/>
          <w:sz w:val="20"/>
          <w:szCs w:val="20"/>
          <w:u w:val="single"/>
          <w:lang w:val="en"/>
        </w:rPr>
      </w:pPr>
    </w:p>
    <w:tbl>
      <w:tblPr>
        <w:tblW w:w="8910" w:type="dxa"/>
        <w:tblInd w:w="648" w:type="dxa"/>
        <w:tblLayout w:type="fixed"/>
        <w:tblLook w:val="0000" w:firstRow="0" w:lastRow="0" w:firstColumn="0" w:lastColumn="0" w:noHBand="0" w:noVBand="0"/>
      </w:tblPr>
      <w:tblGrid>
        <w:gridCol w:w="747"/>
        <w:gridCol w:w="1123"/>
        <w:gridCol w:w="1134"/>
        <w:gridCol w:w="2216"/>
        <w:gridCol w:w="2160"/>
        <w:gridCol w:w="1530"/>
      </w:tblGrid>
      <w:tr w:rsidR="001A4AC6" w:rsidRPr="002D2F67" w14:paraId="69A05DF3" w14:textId="60256F3E" w:rsidTr="002D2F67">
        <w:trPr>
          <w:trHeight w:val="214"/>
        </w:trPr>
        <w:tc>
          <w:tcPr>
            <w:tcW w:w="747" w:type="dxa"/>
            <w:shd w:val="clear" w:color="auto" w:fill="auto"/>
            <w:vAlign w:val="bottom"/>
          </w:tcPr>
          <w:p w14:paraId="71F7816D" w14:textId="77777777" w:rsidR="001A4AC6" w:rsidRPr="002D2F67" w:rsidRDefault="001A4AC6" w:rsidP="005611FE">
            <w:pPr>
              <w:ind w:left="166"/>
              <w:jc w:val="center"/>
              <w:rPr>
                <w:rFonts w:ascii="Arial" w:hAnsi="Arial" w:cs="Arial"/>
                <w:b/>
                <w:bCs/>
                <w:color w:val="000000"/>
                <w:sz w:val="18"/>
                <w:szCs w:val="18"/>
              </w:rPr>
            </w:pPr>
          </w:p>
        </w:tc>
        <w:tc>
          <w:tcPr>
            <w:tcW w:w="2257" w:type="dxa"/>
            <w:gridSpan w:val="2"/>
            <w:tcBorders>
              <w:bottom w:val="single" w:sz="4" w:space="0" w:color="auto"/>
            </w:tcBorders>
            <w:shd w:val="clear" w:color="auto" w:fill="auto"/>
            <w:vAlign w:val="bottom"/>
          </w:tcPr>
          <w:p w14:paraId="3F2D21A4" w14:textId="419F05E8" w:rsidR="001A4AC6" w:rsidRPr="002D2F67" w:rsidRDefault="001A4AC6" w:rsidP="005611FE">
            <w:pPr>
              <w:ind w:left="-29" w:right="-108"/>
              <w:jc w:val="center"/>
              <w:rPr>
                <w:rFonts w:ascii="Arial" w:hAnsi="Arial" w:cs="Arial"/>
                <w:b/>
                <w:bCs/>
                <w:color w:val="000000"/>
                <w:sz w:val="18"/>
                <w:szCs w:val="18"/>
              </w:rPr>
            </w:pPr>
            <w:r w:rsidRPr="002D2F67">
              <w:rPr>
                <w:rFonts w:ascii="Arial" w:hAnsi="Arial" w:cs="Arial"/>
                <w:b/>
                <w:bCs/>
                <w:color w:val="000000"/>
                <w:sz w:val="18"/>
                <w:szCs w:val="18"/>
              </w:rPr>
              <w:t>Balance</w:t>
            </w:r>
          </w:p>
        </w:tc>
        <w:tc>
          <w:tcPr>
            <w:tcW w:w="2216" w:type="dxa"/>
            <w:shd w:val="clear" w:color="auto" w:fill="auto"/>
            <w:vAlign w:val="bottom"/>
          </w:tcPr>
          <w:p w14:paraId="417071E9" w14:textId="77777777" w:rsidR="001A4AC6" w:rsidRPr="002D2F67" w:rsidRDefault="001A4AC6" w:rsidP="005611FE">
            <w:pPr>
              <w:ind w:left="-29" w:right="-29"/>
              <w:jc w:val="center"/>
              <w:rPr>
                <w:rFonts w:ascii="Arial" w:hAnsi="Arial" w:cs="Arial"/>
                <w:b/>
                <w:bCs/>
                <w:color w:val="000000"/>
                <w:sz w:val="18"/>
                <w:szCs w:val="18"/>
              </w:rPr>
            </w:pPr>
          </w:p>
        </w:tc>
        <w:tc>
          <w:tcPr>
            <w:tcW w:w="2160" w:type="dxa"/>
            <w:shd w:val="clear" w:color="auto" w:fill="auto"/>
            <w:vAlign w:val="bottom"/>
          </w:tcPr>
          <w:p w14:paraId="11CECF9D" w14:textId="77777777" w:rsidR="001A4AC6" w:rsidRPr="002D2F67" w:rsidRDefault="001A4AC6" w:rsidP="005611FE">
            <w:pPr>
              <w:ind w:left="-29" w:right="-29"/>
              <w:jc w:val="center"/>
              <w:rPr>
                <w:rFonts w:ascii="Arial" w:hAnsi="Arial" w:cs="Arial"/>
                <w:b/>
                <w:bCs/>
                <w:color w:val="000000"/>
                <w:sz w:val="18"/>
                <w:szCs w:val="18"/>
              </w:rPr>
            </w:pPr>
          </w:p>
        </w:tc>
        <w:tc>
          <w:tcPr>
            <w:tcW w:w="1530" w:type="dxa"/>
            <w:shd w:val="clear" w:color="auto" w:fill="auto"/>
            <w:vAlign w:val="bottom"/>
          </w:tcPr>
          <w:p w14:paraId="45FF76F4" w14:textId="77777777" w:rsidR="001A4AC6" w:rsidRPr="002D2F67" w:rsidRDefault="001A4AC6" w:rsidP="005611FE">
            <w:pPr>
              <w:ind w:left="-29" w:right="-29"/>
              <w:jc w:val="center"/>
              <w:rPr>
                <w:rFonts w:ascii="Arial" w:hAnsi="Arial" w:cs="Arial"/>
                <w:b/>
                <w:bCs/>
                <w:color w:val="000000"/>
                <w:sz w:val="18"/>
                <w:szCs w:val="18"/>
              </w:rPr>
            </w:pPr>
          </w:p>
        </w:tc>
      </w:tr>
      <w:tr w:rsidR="001A4AC6" w:rsidRPr="002D2F67" w14:paraId="7F8AE5DD" w14:textId="77777777" w:rsidTr="002D2F67">
        <w:trPr>
          <w:trHeight w:val="856"/>
        </w:trPr>
        <w:tc>
          <w:tcPr>
            <w:tcW w:w="747" w:type="dxa"/>
            <w:tcBorders>
              <w:bottom w:val="single" w:sz="4" w:space="0" w:color="auto"/>
            </w:tcBorders>
            <w:shd w:val="clear" w:color="auto" w:fill="auto"/>
            <w:vAlign w:val="bottom"/>
          </w:tcPr>
          <w:p w14:paraId="484130C8" w14:textId="71C952B7" w:rsidR="001A4AC6" w:rsidRPr="002D2F67" w:rsidRDefault="001A4AC6" w:rsidP="005611FE">
            <w:pPr>
              <w:ind w:left="-78" w:right="-94"/>
              <w:jc w:val="center"/>
              <w:rPr>
                <w:rFonts w:ascii="Arial" w:hAnsi="Arial" w:cs="Arial"/>
                <w:b/>
                <w:bCs/>
                <w:color w:val="000000"/>
                <w:sz w:val="18"/>
                <w:szCs w:val="18"/>
              </w:rPr>
            </w:pPr>
            <w:r w:rsidRPr="002D2F67">
              <w:rPr>
                <w:rFonts w:ascii="Arial" w:hAnsi="Arial" w:cs="Arial"/>
                <w:b/>
                <w:bCs/>
                <w:color w:val="000000"/>
                <w:sz w:val="18"/>
                <w:szCs w:val="18"/>
              </w:rPr>
              <w:t>Number</w:t>
            </w:r>
          </w:p>
        </w:tc>
        <w:tc>
          <w:tcPr>
            <w:tcW w:w="1123" w:type="dxa"/>
            <w:tcBorders>
              <w:top w:val="single" w:sz="4" w:space="0" w:color="auto"/>
              <w:bottom w:val="single" w:sz="4" w:space="0" w:color="auto"/>
            </w:tcBorders>
            <w:shd w:val="clear" w:color="auto" w:fill="auto"/>
            <w:vAlign w:val="bottom"/>
          </w:tcPr>
          <w:p w14:paraId="07F94C04" w14:textId="3AFEA7F1" w:rsidR="001A4AC6" w:rsidRPr="002D2F67" w:rsidRDefault="00CD5714" w:rsidP="005611FE">
            <w:pPr>
              <w:ind w:left="-29" w:right="-108"/>
              <w:jc w:val="center"/>
              <w:rPr>
                <w:rFonts w:ascii="Arial" w:hAnsi="Arial" w:cs="Arial"/>
                <w:b/>
                <w:bCs/>
                <w:color w:val="000000"/>
                <w:sz w:val="18"/>
                <w:szCs w:val="18"/>
              </w:rPr>
            </w:pPr>
            <w:r w:rsidRPr="00CD5714">
              <w:rPr>
                <w:rFonts w:ascii="Arial" w:hAnsi="Arial" w:cs="Arial"/>
                <w:b/>
                <w:bCs/>
                <w:color w:val="000000"/>
                <w:sz w:val="18"/>
                <w:szCs w:val="18"/>
                <w:lang w:val="en-GB"/>
              </w:rPr>
              <w:t>2024</w:t>
            </w:r>
          </w:p>
          <w:p w14:paraId="01E5E363" w14:textId="4D8BFD3B" w:rsidR="001A4AC6" w:rsidRPr="002D2F67" w:rsidRDefault="001A4AC6" w:rsidP="005611FE">
            <w:pPr>
              <w:ind w:left="-29" w:right="-108"/>
              <w:jc w:val="center"/>
              <w:rPr>
                <w:rFonts w:ascii="Arial" w:hAnsi="Arial" w:cs="Arial"/>
                <w:b/>
                <w:bCs/>
                <w:color w:val="000000"/>
                <w:sz w:val="18"/>
                <w:szCs w:val="18"/>
              </w:rPr>
            </w:pPr>
            <w:r w:rsidRPr="002D2F67">
              <w:rPr>
                <w:rFonts w:ascii="Arial" w:hAnsi="Arial" w:cs="Arial"/>
                <w:b/>
                <w:bCs/>
                <w:color w:val="000000"/>
                <w:sz w:val="18"/>
                <w:szCs w:val="18"/>
              </w:rPr>
              <w:t xml:space="preserve">Million </w:t>
            </w:r>
            <w:r w:rsidRPr="002D2F67">
              <w:rPr>
                <w:rFonts w:ascii="Arial" w:hAnsi="Arial" w:cs="Arial"/>
                <w:b/>
                <w:bCs/>
                <w:color w:val="000000"/>
                <w:sz w:val="18"/>
                <w:szCs w:val="18"/>
              </w:rPr>
              <w:br/>
              <w:t>Taiwan Dollar</w:t>
            </w:r>
          </w:p>
        </w:tc>
        <w:tc>
          <w:tcPr>
            <w:tcW w:w="1134" w:type="dxa"/>
            <w:tcBorders>
              <w:top w:val="single" w:sz="4" w:space="0" w:color="auto"/>
              <w:bottom w:val="single" w:sz="4" w:space="0" w:color="auto"/>
            </w:tcBorders>
            <w:shd w:val="clear" w:color="auto" w:fill="auto"/>
            <w:vAlign w:val="bottom"/>
          </w:tcPr>
          <w:p w14:paraId="6B510DB3" w14:textId="0F1C8B3A" w:rsidR="001A4AC6" w:rsidRPr="002D2F67" w:rsidRDefault="00CD5714" w:rsidP="005611FE">
            <w:pPr>
              <w:ind w:left="-29" w:right="-108"/>
              <w:jc w:val="center"/>
              <w:rPr>
                <w:rFonts w:ascii="Arial" w:hAnsi="Arial" w:cs="Arial"/>
                <w:b/>
                <w:bCs/>
                <w:color w:val="000000"/>
                <w:sz w:val="18"/>
                <w:szCs w:val="18"/>
              </w:rPr>
            </w:pPr>
            <w:r w:rsidRPr="00CD5714">
              <w:rPr>
                <w:rFonts w:ascii="Arial" w:hAnsi="Arial" w:cs="Arial"/>
                <w:b/>
                <w:bCs/>
                <w:color w:val="000000"/>
                <w:sz w:val="18"/>
                <w:szCs w:val="18"/>
                <w:lang w:val="en-GB"/>
              </w:rPr>
              <w:t>2023</w:t>
            </w:r>
          </w:p>
          <w:p w14:paraId="1F8789D6" w14:textId="4D06AE44" w:rsidR="001A4AC6" w:rsidRPr="002D2F67" w:rsidRDefault="001A4AC6" w:rsidP="005611FE">
            <w:pPr>
              <w:ind w:left="-29" w:right="-108"/>
              <w:jc w:val="center"/>
              <w:rPr>
                <w:rFonts w:ascii="Arial" w:hAnsi="Arial" w:cs="Arial"/>
                <w:b/>
                <w:bCs/>
                <w:color w:val="000000"/>
                <w:sz w:val="18"/>
                <w:szCs w:val="18"/>
              </w:rPr>
            </w:pPr>
            <w:r w:rsidRPr="002D2F67">
              <w:rPr>
                <w:rFonts w:ascii="Arial" w:hAnsi="Arial" w:cs="Arial"/>
                <w:b/>
                <w:bCs/>
                <w:color w:val="000000"/>
                <w:sz w:val="18"/>
                <w:szCs w:val="18"/>
              </w:rPr>
              <w:t xml:space="preserve">Million </w:t>
            </w:r>
            <w:r w:rsidRPr="002D2F67">
              <w:rPr>
                <w:rFonts w:ascii="Arial" w:hAnsi="Arial" w:cs="Arial"/>
                <w:b/>
                <w:bCs/>
                <w:color w:val="000000"/>
                <w:sz w:val="18"/>
                <w:szCs w:val="18"/>
              </w:rPr>
              <w:br/>
              <w:t>Taiwan Dollar</w:t>
            </w:r>
          </w:p>
        </w:tc>
        <w:tc>
          <w:tcPr>
            <w:tcW w:w="2216" w:type="dxa"/>
            <w:tcBorders>
              <w:bottom w:val="single" w:sz="4" w:space="0" w:color="auto"/>
            </w:tcBorders>
            <w:shd w:val="clear" w:color="auto" w:fill="auto"/>
            <w:vAlign w:val="bottom"/>
          </w:tcPr>
          <w:p w14:paraId="2DBFA040" w14:textId="77777777" w:rsidR="001A4AC6" w:rsidRPr="002D2F67" w:rsidRDefault="001A4AC6" w:rsidP="005611FE">
            <w:pPr>
              <w:ind w:left="-29" w:right="-29"/>
              <w:jc w:val="center"/>
              <w:rPr>
                <w:rFonts w:ascii="Arial" w:hAnsi="Arial" w:cs="Arial"/>
                <w:b/>
                <w:bCs/>
                <w:color w:val="000000"/>
                <w:sz w:val="18"/>
                <w:szCs w:val="18"/>
              </w:rPr>
            </w:pPr>
            <w:r w:rsidRPr="002D2F67">
              <w:rPr>
                <w:rFonts w:ascii="Arial" w:hAnsi="Arial" w:cs="Arial"/>
                <w:b/>
                <w:bCs/>
                <w:color w:val="000000"/>
                <w:sz w:val="18"/>
                <w:szCs w:val="18"/>
              </w:rPr>
              <w:t>Interest rate</w:t>
            </w:r>
          </w:p>
        </w:tc>
        <w:tc>
          <w:tcPr>
            <w:tcW w:w="2160" w:type="dxa"/>
            <w:tcBorders>
              <w:bottom w:val="single" w:sz="4" w:space="0" w:color="auto"/>
            </w:tcBorders>
            <w:shd w:val="clear" w:color="auto" w:fill="auto"/>
            <w:vAlign w:val="bottom"/>
          </w:tcPr>
          <w:p w14:paraId="2B7371FF" w14:textId="77777777" w:rsidR="001A4AC6" w:rsidRPr="002D2F67" w:rsidRDefault="001A4AC6" w:rsidP="005611FE">
            <w:pPr>
              <w:ind w:left="-29" w:right="-29"/>
              <w:jc w:val="center"/>
              <w:rPr>
                <w:rFonts w:ascii="Arial" w:hAnsi="Arial" w:cs="Arial"/>
                <w:b/>
                <w:bCs/>
                <w:color w:val="000000"/>
                <w:sz w:val="18"/>
                <w:szCs w:val="18"/>
              </w:rPr>
            </w:pPr>
            <w:r w:rsidRPr="002D2F67">
              <w:rPr>
                <w:rFonts w:ascii="Arial" w:hAnsi="Arial" w:cs="Arial"/>
                <w:b/>
                <w:bCs/>
                <w:color w:val="000000"/>
                <w:sz w:val="18"/>
                <w:szCs w:val="18"/>
              </w:rPr>
              <w:t>Principal</w:t>
            </w:r>
          </w:p>
          <w:p w14:paraId="06E906B4" w14:textId="77777777" w:rsidR="001A4AC6" w:rsidRPr="002D2F67" w:rsidRDefault="001A4AC6" w:rsidP="005611FE">
            <w:pPr>
              <w:ind w:left="-29" w:right="-29"/>
              <w:jc w:val="center"/>
              <w:rPr>
                <w:rFonts w:ascii="Arial" w:hAnsi="Arial" w:cs="Arial"/>
                <w:b/>
                <w:bCs/>
                <w:color w:val="000000"/>
                <w:sz w:val="18"/>
                <w:szCs w:val="18"/>
              </w:rPr>
            </w:pPr>
            <w:r w:rsidRPr="002D2F67">
              <w:rPr>
                <w:rFonts w:ascii="Arial" w:hAnsi="Arial" w:cs="Arial"/>
                <w:b/>
                <w:bCs/>
                <w:color w:val="000000"/>
                <w:sz w:val="18"/>
                <w:szCs w:val="18"/>
              </w:rPr>
              <w:t>repayment term</w:t>
            </w:r>
          </w:p>
        </w:tc>
        <w:tc>
          <w:tcPr>
            <w:tcW w:w="1530" w:type="dxa"/>
            <w:tcBorders>
              <w:bottom w:val="single" w:sz="4" w:space="0" w:color="auto"/>
            </w:tcBorders>
            <w:shd w:val="clear" w:color="auto" w:fill="auto"/>
            <w:vAlign w:val="bottom"/>
          </w:tcPr>
          <w:p w14:paraId="60A68B4A" w14:textId="77777777" w:rsidR="001A4AC6" w:rsidRPr="002D2F67" w:rsidRDefault="001A4AC6" w:rsidP="005611FE">
            <w:pPr>
              <w:ind w:left="-29" w:right="-29"/>
              <w:jc w:val="center"/>
              <w:rPr>
                <w:rFonts w:ascii="Arial" w:hAnsi="Arial" w:cs="Arial"/>
                <w:b/>
                <w:bCs/>
                <w:color w:val="000000"/>
                <w:sz w:val="18"/>
                <w:szCs w:val="18"/>
              </w:rPr>
            </w:pPr>
            <w:r w:rsidRPr="002D2F67">
              <w:rPr>
                <w:rFonts w:ascii="Arial" w:hAnsi="Arial" w:cs="Arial"/>
                <w:b/>
                <w:bCs/>
                <w:color w:val="000000"/>
                <w:sz w:val="18"/>
                <w:szCs w:val="18"/>
              </w:rPr>
              <w:t>Interest</w:t>
            </w:r>
          </w:p>
          <w:p w14:paraId="57C52CA0" w14:textId="703A921C" w:rsidR="001A4AC6" w:rsidRPr="002D2F67" w:rsidRDefault="001A4AC6" w:rsidP="005611FE">
            <w:pPr>
              <w:ind w:left="-29" w:right="-29"/>
              <w:jc w:val="center"/>
              <w:rPr>
                <w:rFonts w:ascii="Arial" w:hAnsi="Arial" w:cs="Arial"/>
                <w:b/>
                <w:bCs/>
                <w:color w:val="000000"/>
                <w:sz w:val="18"/>
                <w:szCs w:val="18"/>
              </w:rPr>
            </w:pPr>
            <w:r w:rsidRPr="002D2F67">
              <w:rPr>
                <w:rFonts w:ascii="Arial" w:hAnsi="Arial" w:cs="Arial"/>
                <w:b/>
                <w:bCs/>
                <w:color w:val="000000"/>
                <w:sz w:val="18"/>
                <w:szCs w:val="18"/>
              </w:rPr>
              <w:t>payment period</w:t>
            </w:r>
          </w:p>
        </w:tc>
      </w:tr>
      <w:tr w:rsidR="001A4AC6" w:rsidRPr="002D2F67" w14:paraId="0766F7E9" w14:textId="77777777" w:rsidTr="002D2F67">
        <w:trPr>
          <w:trHeight w:val="18"/>
        </w:trPr>
        <w:tc>
          <w:tcPr>
            <w:tcW w:w="747" w:type="dxa"/>
            <w:tcBorders>
              <w:top w:val="single" w:sz="4" w:space="0" w:color="auto"/>
            </w:tcBorders>
            <w:shd w:val="clear" w:color="auto" w:fill="auto"/>
          </w:tcPr>
          <w:p w14:paraId="0EA13B7C" w14:textId="77777777" w:rsidR="001A4AC6" w:rsidRPr="002D2F67" w:rsidRDefault="001A4AC6" w:rsidP="005611FE">
            <w:pPr>
              <w:ind w:left="-69"/>
              <w:jc w:val="center"/>
              <w:rPr>
                <w:rFonts w:ascii="Arial" w:hAnsi="Arial" w:cs="Arial"/>
                <w:color w:val="000000"/>
                <w:sz w:val="18"/>
                <w:szCs w:val="18"/>
              </w:rPr>
            </w:pPr>
          </w:p>
        </w:tc>
        <w:tc>
          <w:tcPr>
            <w:tcW w:w="1123" w:type="dxa"/>
            <w:tcBorders>
              <w:top w:val="single" w:sz="4" w:space="0" w:color="auto"/>
            </w:tcBorders>
            <w:shd w:val="clear" w:color="auto" w:fill="auto"/>
          </w:tcPr>
          <w:p w14:paraId="5A73C29C" w14:textId="77777777" w:rsidR="001A4AC6" w:rsidRPr="002D2F67" w:rsidRDefault="001A4AC6" w:rsidP="005611FE">
            <w:pPr>
              <w:ind w:left="-29" w:right="-29"/>
              <w:jc w:val="center"/>
              <w:rPr>
                <w:rFonts w:ascii="Arial" w:hAnsi="Arial" w:cs="Arial"/>
                <w:color w:val="000000"/>
                <w:sz w:val="18"/>
                <w:szCs w:val="18"/>
              </w:rPr>
            </w:pPr>
          </w:p>
        </w:tc>
        <w:tc>
          <w:tcPr>
            <w:tcW w:w="1134" w:type="dxa"/>
            <w:tcBorders>
              <w:top w:val="single" w:sz="4" w:space="0" w:color="auto"/>
            </w:tcBorders>
            <w:shd w:val="clear" w:color="auto" w:fill="auto"/>
          </w:tcPr>
          <w:p w14:paraId="25FDCE37" w14:textId="77777777" w:rsidR="001A4AC6" w:rsidRPr="002D2F67" w:rsidRDefault="001A4AC6" w:rsidP="005611FE">
            <w:pPr>
              <w:ind w:left="-29" w:right="-29"/>
              <w:jc w:val="center"/>
              <w:rPr>
                <w:rFonts w:ascii="Arial" w:hAnsi="Arial" w:cs="Arial"/>
                <w:color w:val="000000"/>
                <w:sz w:val="18"/>
                <w:szCs w:val="18"/>
              </w:rPr>
            </w:pPr>
          </w:p>
        </w:tc>
        <w:tc>
          <w:tcPr>
            <w:tcW w:w="2216" w:type="dxa"/>
            <w:tcBorders>
              <w:top w:val="single" w:sz="4" w:space="0" w:color="auto"/>
            </w:tcBorders>
            <w:shd w:val="clear" w:color="auto" w:fill="auto"/>
          </w:tcPr>
          <w:p w14:paraId="14DCCAE8" w14:textId="77777777" w:rsidR="001A4AC6" w:rsidRPr="002D2F67" w:rsidRDefault="001A4AC6" w:rsidP="005611FE">
            <w:pPr>
              <w:ind w:left="-29" w:right="-29"/>
              <w:jc w:val="center"/>
              <w:rPr>
                <w:rFonts w:ascii="Arial" w:hAnsi="Arial" w:cs="Arial"/>
                <w:color w:val="000000"/>
                <w:sz w:val="18"/>
                <w:szCs w:val="18"/>
              </w:rPr>
            </w:pPr>
          </w:p>
        </w:tc>
        <w:tc>
          <w:tcPr>
            <w:tcW w:w="2160" w:type="dxa"/>
            <w:tcBorders>
              <w:top w:val="single" w:sz="4" w:space="0" w:color="auto"/>
            </w:tcBorders>
            <w:shd w:val="clear" w:color="auto" w:fill="auto"/>
          </w:tcPr>
          <w:p w14:paraId="7560DF39" w14:textId="77777777" w:rsidR="001A4AC6" w:rsidRPr="002D2F67" w:rsidRDefault="001A4AC6" w:rsidP="005611FE">
            <w:pPr>
              <w:ind w:left="-29" w:right="-29"/>
              <w:jc w:val="center"/>
              <w:rPr>
                <w:rFonts w:ascii="Arial" w:hAnsi="Arial" w:cs="Arial"/>
                <w:color w:val="000000"/>
                <w:sz w:val="18"/>
                <w:szCs w:val="18"/>
                <w:cs/>
              </w:rPr>
            </w:pPr>
          </w:p>
        </w:tc>
        <w:tc>
          <w:tcPr>
            <w:tcW w:w="1530" w:type="dxa"/>
            <w:tcBorders>
              <w:top w:val="single" w:sz="4" w:space="0" w:color="auto"/>
            </w:tcBorders>
            <w:shd w:val="clear" w:color="auto" w:fill="auto"/>
          </w:tcPr>
          <w:p w14:paraId="42717763" w14:textId="77777777" w:rsidR="001A4AC6" w:rsidRPr="002D2F67" w:rsidRDefault="001A4AC6" w:rsidP="005611FE">
            <w:pPr>
              <w:ind w:left="-29" w:right="-29"/>
              <w:jc w:val="center"/>
              <w:rPr>
                <w:rFonts w:ascii="Arial" w:hAnsi="Arial" w:cs="Arial"/>
                <w:color w:val="000000"/>
                <w:sz w:val="18"/>
                <w:szCs w:val="18"/>
                <w:cs/>
              </w:rPr>
            </w:pPr>
          </w:p>
        </w:tc>
      </w:tr>
      <w:tr w:rsidR="001A4AC6" w:rsidRPr="002D2F67" w14:paraId="66283D93" w14:textId="77777777" w:rsidTr="002D2F67">
        <w:trPr>
          <w:trHeight w:val="653"/>
        </w:trPr>
        <w:tc>
          <w:tcPr>
            <w:tcW w:w="747" w:type="dxa"/>
            <w:shd w:val="clear" w:color="auto" w:fill="auto"/>
          </w:tcPr>
          <w:p w14:paraId="144169FB" w14:textId="7D78D203" w:rsidR="001A4AC6" w:rsidRPr="002D2F67" w:rsidRDefault="00CD5714" w:rsidP="005611FE">
            <w:pPr>
              <w:ind w:left="-69"/>
              <w:jc w:val="center"/>
              <w:rPr>
                <w:rFonts w:ascii="Arial" w:hAnsi="Arial" w:cs="Arial"/>
                <w:color w:val="000000"/>
                <w:sz w:val="18"/>
                <w:szCs w:val="18"/>
              </w:rPr>
            </w:pPr>
            <w:r w:rsidRPr="00CD5714">
              <w:rPr>
                <w:rFonts w:ascii="Arial" w:hAnsi="Arial" w:cs="Arial"/>
                <w:color w:val="000000"/>
                <w:sz w:val="18"/>
                <w:szCs w:val="18"/>
                <w:lang w:val="en-GB"/>
              </w:rPr>
              <w:t>1</w:t>
            </w:r>
          </w:p>
        </w:tc>
        <w:tc>
          <w:tcPr>
            <w:tcW w:w="1123" w:type="dxa"/>
            <w:shd w:val="clear" w:color="auto" w:fill="auto"/>
          </w:tcPr>
          <w:p w14:paraId="2C8B8ED6" w14:textId="15C267C0" w:rsidR="001A4AC6" w:rsidRPr="002D2F67" w:rsidRDefault="00CD5714" w:rsidP="005611FE">
            <w:pPr>
              <w:ind w:right="-72"/>
              <w:jc w:val="right"/>
              <w:rPr>
                <w:rFonts w:ascii="Arial" w:hAnsi="Arial" w:cs="Arial"/>
                <w:color w:val="000000"/>
                <w:sz w:val="18"/>
                <w:szCs w:val="18"/>
              </w:rPr>
            </w:pPr>
            <w:r w:rsidRPr="00CD5714">
              <w:rPr>
                <w:rFonts w:ascii="Arial" w:hAnsi="Arial" w:cs="Arial"/>
                <w:sz w:val="18"/>
                <w:szCs w:val="18"/>
                <w:lang w:val="en-GB"/>
              </w:rPr>
              <w:t>137</w:t>
            </w:r>
          </w:p>
        </w:tc>
        <w:tc>
          <w:tcPr>
            <w:tcW w:w="1134" w:type="dxa"/>
            <w:shd w:val="clear" w:color="auto" w:fill="auto"/>
          </w:tcPr>
          <w:p w14:paraId="00F37A9E" w14:textId="74BBA1A7" w:rsidR="001A4AC6" w:rsidRPr="002D2F67" w:rsidRDefault="00CD5714" w:rsidP="005611FE">
            <w:pPr>
              <w:ind w:right="-72"/>
              <w:jc w:val="right"/>
              <w:rPr>
                <w:rFonts w:ascii="Arial" w:hAnsi="Arial" w:cs="Arial"/>
                <w:color w:val="000000"/>
                <w:sz w:val="18"/>
                <w:szCs w:val="18"/>
              </w:rPr>
            </w:pPr>
            <w:r w:rsidRPr="00CD5714">
              <w:rPr>
                <w:rFonts w:ascii="Arial" w:hAnsi="Arial" w:cs="Arial"/>
                <w:sz w:val="18"/>
                <w:szCs w:val="18"/>
                <w:lang w:val="en-GB"/>
              </w:rPr>
              <w:t>155</w:t>
            </w:r>
          </w:p>
        </w:tc>
        <w:tc>
          <w:tcPr>
            <w:tcW w:w="2216" w:type="dxa"/>
            <w:shd w:val="clear" w:color="auto" w:fill="auto"/>
          </w:tcPr>
          <w:p w14:paraId="481B8C15" w14:textId="77777777" w:rsidR="001A4AC6" w:rsidRPr="002D2F67" w:rsidRDefault="001A4AC6" w:rsidP="005611FE">
            <w:pPr>
              <w:jc w:val="center"/>
              <w:rPr>
                <w:rFonts w:ascii="Arial" w:hAnsi="Arial" w:cs="Arial"/>
                <w:color w:val="000000"/>
                <w:sz w:val="18"/>
                <w:szCs w:val="18"/>
              </w:rPr>
            </w:pPr>
            <w:r w:rsidRPr="002D2F67">
              <w:rPr>
                <w:rFonts w:ascii="Arial" w:hAnsi="Arial" w:cs="Arial"/>
                <w:color w:val="000000"/>
                <w:sz w:val="18"/>
                <w:szCs w:val="18"/>
              </w:rPr>
              <w:t xml:space="preserve">Fixed interest rate per annum </w:t>
            </w:r>
          </w:p>
          <w:p w14:paraId="17B3AED5" w14:textId="680E47A7" w:rsidR="001A4AC6" w:rsidRPr="002D2F67" w:rsidRDefault="001A4AC6" w:rsidP="005611FE">
            <w:pPr>
              <w:jc w:val="center"/>
              <w:rPr>
                <w:rFonts w:ascii="Arial" w:hAnsi="Arial" w:cs="Arial"/>
                <w:color w:val="000000"/>
                <w:sz w:val="18"/>
                <w:szCs w:val="18"/>
              </w:rPr>
            </w:pPr>
            <w:r w:rsidRPr="002D2F67">
              <w:rPr>
                <w:rFonts w:ascii="Arial" w:hAnsi="Arial" w:cs="Arial"/>
                <w:color w:val="000000"/>
                <w:sz w:val="18"/>
                <w:szCs w:val="18"/>
              </w:rPr>
              <w:t xml:space="preserve">at </w:t>
            </w:r>
            <w:r w:rsidR="00CD5714" w:rsidRPr="00CD5714">
              <w:rPr>
                <w:rFonts w:ascii="Arial" w:hAnsi="Arial" w:cs="Arial"/>
                <w:color w:val="000000"/>
                <w:sz w:val="18"/>
                <w:szCs w:val="18"/>
                <w:lang w:val="en-GB"/>
              </w:rPr>
              <w:t>3</w:t>
            </w:r>
            <w:r w:rsidRPr="002D2F67">
              <w:rPr>
                <w:rFonts w:ascii="Arial" w:hAnsi="Arial" w:cs="Arial"/>
                <w:color w:val="000000"/>
                <w:sz w:val="18"/>
                <w:szCs w:val="18"/>
              </w:rPr>
              <w:t>.</w:t>
            </w:r>
            <w:r w:rsidR="00CD5714" w:rsidRPr="00CD5714">
              <w:rPr>
                <w:rFonts w:ascii="Arial" w:hAnsi="Arial" w:cs="Arial"/>
                <w:color w:val="000000"/>
                <w:sz w:val="18"/>
                <w:szCs w:val="18"/>
                <w:lang w:val="en-GB"/>
              </w:rPr>
              <w:t>13</w:t>
            </w:r>
            <w:r w:rsidRPr="002D2F67">
              <w:rPr>
                <w:rFonts w:ascii="Arial" w:hAnsi="Arial" w:cs="Arial"/>
                <w:color w:val="000000"/>
                <w:sz w:val="18"/>
                <w:szCs w:val="18"/>
              </w:rPr>
              <w:t>%</w:t>
            </w:r>
          </w:p>
        </w:tc>
        <w:tc>
          <w:tcPr>
            <w:tcW w:w="2160" w:type="dxa"/>
            <w:shd w:val="clear" w:color="auto" w:fill="auto"/>
          </w:tcPr>
          <w:p w14:paraId="39FBA2CA" w14:textId="77777777"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 xml:space="preserve">Repayment every month </w:t>
            </w:r>
          </w:p>
          <w:p w14:paraId="6346D408" w14:textId="7B40FB15"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 xml:space="preserve">from January </w:t>
            </w:r>
            <w:r w:rsidR="00CD5714" w:rsidRPr="00CD5714">
              <w:rPr>
                <w:rFonts w:ascii="Arial" w:hAnsi="Arial" w:cs="Arial"/>
                <w:color w:val="000000"/>
                <w:sz w:val="18"/>
                <w:szCs w:val="18"/>
                <w:lang w:val="en-GB"/>
              </w:rPr>
              <w:t>2021</w:t>
            </w:r>
          </w:p>
        </w:tc>
        <w:tc>
          <w:tcPr>
            <w:tcW w:w="1530" w:type="dxa"/>
            <w:shd w:val="clear" w:color="auto" w:fill="auto"/>
          </w:tcPr>
          <w:p w14:paraId="4ABB0046" w14:textId="12044285"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Payment every month</w:t>
            </w:r>
          </w:p>
        </w:tc>
      </w:tr>
      <w:tr w:rsidR="001A4AC6" w:rsidRPr="002D2F67" w14:paraId="35485133" w14:textId="77777777" w:rsidTr="002D2F67">
        <w:trPr>
          <w:trHeight w:val="642"/>
        </w:trPr>
        <w:tc>
          <w:tcPr>
            <w:tcW w:w="747" w:type="dxa"/>
            <w:shd w:val="clear" w:color="auto" w:fill="auto"/>
          </w:tcPr>
          <w:p w14:paraId="30CF22E5" w14:textId="596C2618" w:rsidR="001A4AC6" w:rsidRPr="002D2F67" w:rsidRDefault="00CD5714" w:rsidP="005611FE">
            <w:pPr>
              <w:ind w:left="-69"/>
              <w:jc w:val="center"/>
              <w:rPr>
                <w:rFonts w:ascii="Arial" w:hAnsi="Arial" w:cs="Arial"/>
                <w:color w:val="000000"/>
                <w:sz w:val="18"/>
                <w:szCs w:val="18"/>
              </w:rPr>
            </w:pPr>
            <w:r w:rsidRPr="00CD5714">
              <w:rPr>
                <w:rFonts w:ascii="Arial" w:hAnsi="Arial" w:cs="Arial"/>
                <w:color w:val="000000"/>
                <w:sz w:val="18"/>
                <w:szCs w:val="18"/>
                <w:lang w:val="en-GB"/>
              </w:rPr>
              <w:t>2</w:t>
            </w:r>
          </w:p>
        </w:tc>
        <w:tc>
          <w:tcPr>
            <w:tcW w:w="1123" w:type="dxa"/>
            <w:shd w:val="clear" w:color="auto" w:fill="auto"/>
          </w:tcPr>
          <w:p w14:paraId="157A73A6" w14:textId="2BAC34EF" w:rsidR="001A4AC6" w:rsidRPr="002D2F67" w:rsidRDefault="00CD5714" w:rsidP="005611FE">
            <w:pPr>
              <w:ind w:right="-72"/>
              <w:jc w:val="right"/>
              <w:rPr>
                <w:rFonts w:ascii="Arial" w:hAnsi="Arial" w:cs="Arial"/>
                <w:color w:val="000000"/>
                <w:sz w:val="18"/>
                <w:szCs w:val="18"/>
              </w:rPr>
            </w:pPr>
            <w:r w:rsidRPr="00CD5714">
              <w:rPr>
                <w:rFonts w:ascii="Arial" w:hAnsi="Arial" w:cs="Arial"/>
                <w:sz w:val="18"/>
                <w:szCs w:val="18"/>
                <w:lang w:val="en-GB"/>
              </w:rPr>
              <w:t>4</w:t>
            </w:r>
          </w:p>
        </w:tc>
        <w:tc>
          <w:tcPr>
            <w:tcW w:w="1134" w:type="dxa"/>
            <w:shd w:val="clear" w:color="auto" w:fill="auto"/>
          </w:tcPr>
          <w:p w14:paraId="15B37396" w14:textId="67C6428E" w:rsidR="001A4AC6" w:rsidRPr="002D2F67" w:rsidRDefault="00CD5714" w:rsidP="005611FE">
            <w:pPr>
              <w:ind w:right="-72"/>
              <w:jc w:val="right"/>
              <w:rPr>
                <w:rFonts w:ascii="Arial" w:hAnsi="Arial" w:cs="Arial"/>
                <w:color w:val="000000"/>
                <w:sz w:val="18"/>
                <w:szCs w:val="18"/>
              </w:rPr>
            </w:pPr>
            <w:r w:rsidRPr="00CD5714">
              <w:rPr>
                <w:rFonts w:ascii="Arial" w:hAnsi="Arial" w:cs="Arial"/>
                <w:sz w:val="18"/>
                <w:szCs w:val="18"/>
                <w:lang w:val="en-GB"/>
              </w:rPr>
              <w:t>5</w:t>
            </w:r>
          </w:p>
        </w:tc>
        <w:tc>
          <w:tcPr>
            <w:tcW w:w="2216" w:type="dxa"/>
            <w:shd w:val="clear" w:color="auto" w:fill="auto"/>
          </w:tcPr>
          <w:p w14:paraId="50F07BF1" w14:textId="77777777" w:rsidR="001A4AC6" w:rsidRPr="002D2F67" w:rsidRDefault="001A4AC6" w:rsidP="005611FE">
            <w:pPr>
              <w:jc w:val="center"/>
              <w:rPr>
                <w:rFonts w:ascii="Arial" w:hAnsi="Arial" w:cs="Arial"/>
                <w:color w:val="000000"/>
                <w:sz w:val="18"/>
                <w:szCs w:val="18"/>
              </w:rPr>
            </w:pPr>
            <w:r w:rsidRPr="002D2F67">
              <w:rPr>
                <w:rFonts w:ascii="Arial" w:hAnsi="Arial" w:cs="Arial"/>
                <w:color w:val="000000"/>
                <w:sz w:val="18"/>
                <w:szCs w:val="18"/>
              </w:rPr>
              <w:t xml:space="preserve">Fixed interest rate per annum </w:t>
            </w:r>
          </w:p>
          <w:p w14:paraId="2065F186" w14:textId="46867066" w:rsidR="001A4AC6" w:rsidRPr="002D2F67" w:rsidRDefault="001A4AC6" w:rsidP="005611FE">
            <w:pPr>
              <w:jc w:val="center"/>
              <w:rPr>
                <w:rFonts w:ascii="Arial" w:hAnsi="Arial" w:cs="Arial"/>
                <w:color w:val="000000"/>
                <w:sz w:val="18"/>
                <w:szCs w:val="18"/>
              </w:rPr>
            </w:pPr>
            <w:r w:rsidRPr="002D2F67">
              <w:rPr>
                <w:rFonts w:ascii="Arial" w:hAnsi="Arial" w:cs="Arial"/>
                <w:color w:val="000000"/>
                <w:sz w:val="18"/>
                <w:szCs w:val="18"/>
              </w:rPr>
              <w:t xml:space="preserve">at </w:t>
            </w:r>
            <w:r w:rsidR="00CD5714" w:rsidRPr="00CD5714">
              <w:rPr>
                <w:rFonts w:ascii="Arial" w:hAnsi="Arial" w:cs="Arial"/>
                <w:color w:val="000000"/>
                <w:sz w:val="18"/>
                <w:szCs w:val="18"/>
                <w:lang w:val="en-GB"/>
              </w:rPr>
              <w:t>3</w:t>
            </w:r>
            <w:r w:rsidRPr="002D2F67">
              <w:rPr>
                <w:rFonts w:ascii="Arial" w:hAnsi="Arial" w:cs="Arial"/>
                <w:color w:val="000000"/>
                <w:sz w:val="18"/>
                <w:szCs w:val="18"/>
              </w:rPr>
              <w:t>.</w:t>
            </w:r>
            <w:r w:rsidR="00CD5714" w:rsidRPr="00CD5714">
              <w:rPr>
                <w:rFonts w:ascii="Arial" w:hAnsi="Arial" w:cs="Arial"/>
                <w:color w:val="000000"/>
                <w:sz w:val="18"/>
                <w:szCs w:val="18"/>
                <w:lang w:val="en-GB"/>
              </w:rPr>
              <w:t>33</w:t>
            </w:r>
            <w:r w:rsidRPr="002D2F67">
              <w:rPr>
                <w:rFonts w:ascii="Arial" w:hAnsi="Arial" w:cs="Arial"/>
                <w:color w:val="000000"/>
                <w:sz w:val="18"/>
                <w:szCs w:val="18"/>
              </w:rPr>
              <w:t>%</w:t>
            </w:r>
          </w:p>
        </w:tc>
        <w:tc>
          <w:tcPr>
            <w:tcW w:w="2160" w:type="dxa"/>
            <w:shd w:val="clear" w:color="auto" w:fill="auto"/>
          </w:tcPr>
          <w:p w14:paraId="51437F5C" w14:textId="77777777"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 xml:space="preserve">Repayment every month </w:t>
            </w:r>
          </w:p>
          <w:p w14:paraId="01EF65B8" w14:textId="4791B8D8"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 xml:space="preserve">from October </w:t>
            </w:r>
            <w:r w:rsidR="00CD5714" w:rsidRPr="00CD5714">
              <w:rPr>
                <w:rFonts w:ascii="Arial" w:hAnsi="Arial" w:cs="Arial"/>
                <w:color w:val="000000"/>
                <w:sz w:val="18"/>
                <w:szCs w:val="18"/>
                <w:lang w:val="en-GB"/>
              </w:rPr>
              <w:t>2021</w:t>
            </w:r>
          </w:p>
        </w:tc>
        <w:tc>
          <w:tcPr>
            <w:tcW w:w="1530" w:type="dxa"/>
            <w:shd w:val="clear" w:color="auto" w:fill="auto"/>
          </w:tcPr>
          <w:p w14:paraId="2465EE37" w14:textId="4878B604"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Payment every month</w:t>
            </w:r>
          </w:p>
        </w:tc>
      </w:tr>
      <w:tr w:rsidR="001A4AC6" w:rsidRPr="002D2F67" w14:paraId="6BB0644C" w14:textId="77777777" w:rsidTr="002D2F67">
        <w:trPr>
          <w:trHeight w:val="653"/>
        </w:trPr>
        <w:tc>
          <w:tcPr>
            <w:tcW w:w="747" w:type="dxa"/>
            <w:shd w:val="clear" w:color="auto" w:fill="auto"/>
          </w:tcPr>
          <w:p w14:paraId="1B66FEC2" w14:textId="54662DB2" w:rsidR="001A4AC6" w:rsidRPr="002D2F67" w:rsidRDefault="00CD5714" w:rsidP="005611FE">
            <w:pPr>
              <w:ind w:left="-69"/>
              <w:jc w:val="center"/>
              <w:rPr>
                <w:rFonts w:ascii="Arial" w:hAnsi="Arial" w:cs="Arial"/>
                <w:color w:val="000000"/>
                <w:sz w:val="18"/>
                <w:szCs w:val="18"/>
              </w:rPr>
            </w:pPr>
            <w:r w:rsidRPr="00CD5714">
              <w:rPr>
                <w:rFonts w:ascii="Arial" w:hAnsi="Arial" w:cs="Arial"/>
                <w:color w:val="000000"/>
                <w:sz w:val="18"/>
                <w:szCs w:val="18"/>
                <w:lang w:val="en-GB"/>
              </w:rPr>
              <w:t>3</w:t>
            </w:r>
          </w:p>
        </w:tc>
        <w:tc>
          <w:tcPr>
            <w:tcW w:w="1123" w:type="dxa"/>
            <w:shd w:val="clear" w:color="auto" w:fill="auto"/>
          </w:tcPr>
          <w:p w14:paraId="59480C53" w14:textId="14DEA15A" w:rsidR="001A4AC6" w:rsidRPr="002D2F67" w:rsidRDefault="00CD5714" w:rsidP="005611FE">
            <w:pPr>
              <w:ind w:right="-72"/>
              <w:jc w:val="right"/>
              <w:rPr>
                <w:rFonts w:ascii="Arial" w:hAnsi="Arial" w:cs="Arial"/>
                <w:color w:val="000000"/>
                <w:sz w:val="18"/>
                <w:szCs w:val="18"/>
              </w:rPr>
            </w:pPr>
            <w:r w:rsidRPr="00CD5714">
              <w:rPr>
                <w:rFonts w:ascii="Arial" w:hAnsi="Arial" w:cs="Arial"/>
                <w:sz w:val="18"/>
                <w:szCs w:val="18"/>
                <w:lang w:val="en-GB"/>
              </w:rPr>
              <w:t>17</w:t>
            </w:r>
          </w:p>
        </w:tc>
        <w:tc>
          <w:tcPr>
            <w:tcW w:w="1134" w:type="dxa"/>
            <w:shd w:val="clear" w:color="auto" w:fill="auto"/>
          </w:tcPr>
          <w:p w14:paraId="3C0DC0AB" w14:textId="35CA1224" w:rsidR="001A4AC6" w:rsidRPr="002D2F67" w:rsidRDefault="00CD5714" w:rsidP="005611FE">
            <w:pPr>
              <w:ind w:right="-72"/>
              <w:jc w:val="right"/>
              <w:rPr>
                <w:rFonts w:ascii="Arial" w:hAnsi="Arial" w:cs="Arial"/>
                <w:color w:val="000000"/>
                <w:sz w:val="18"/>
                <w:szCs w:val="18"/>
              </w:rPr>
            </w:pPr>
            <w:r w:rsidRPr="00CD5714">
              <w:rPr>
                <w:rFonts w:ascii="Arial" w:hAnsi="Arial" w:cs="Arial"/>
                <w:sz w:val="18"/>
                <w:szCs w:val="18"/>
                <w:lang w:val="en-GB"/>
              </w:rPr>
              <w:t>22</w:t>
            </w:r>
          </w:p>
        </w:tc>
        <w:tc>
          <w:tcPr>
            <w:tcW w:w="2216" w:type="dxa"/>
            <w:shd w:val="clear" w:color="auto" w:fill="auto"/>
          </w:tcPr>
          <w:p w14:paraId="3DB0F3DE" w14:textId="77777777" w:rsidR="001A4AC6" w:rsidRPr="002D2F67" w:rsidRDefault="001A4AC6" w:rsidP="005611FE">
            <w:pPr>
              <w:jc w:val="center"/>
              <w:rPr>
                <w:rFonts w:ascii="Arial" w:hAnsi="Arial" w:cs="Arial"/>
                <w:color w:val="000000"/>
                <w:sz w:val="18"/>
                <w:szCs w:val="18"/>
              </w:rPr>
            </w:pPr>
            <w:r w:rsidRPr="002D2F67">
              <w:rPr>
                <w:rFonts w:ascii="Arial" w:hAnsi="Arial" w:cs="Arial"/>
                <w:color w:val="000000"/>
                <w:sz w:val="18"/>
                <w:szCs w:val="18"/>
              </w:rPr>
              <w:t xml:space="preserve">Fixed interest rate per annum </w:t>
            </w:r>
          </w:p>
          <w:p w14:paraId="76A524E7" w14:textId="66CEB768" w:rsidR="001A4AC6" w:rsidRPr="002D2F67" w:rsidRDefault="001A4AC6" w:rsidP="005611FE">
            <w:pPr>
              <w:jc w:val="center"/>
              <w:rPr>
                <w:rFonts w:ascii="Arial" w:hAnsi="Arial" w:cs="Arial"/>
                <w:color w:val="000000"/>
                <w:sz w:val="18"/>
                <w:szCs w:val="18"/>
              </w:rPr>
            </w:pPr>
            <w:r w:rsidRPr="002D2F67">
              <w:rPr>
                <w:rFonts w:ascii="Arial" w:hAnsi="Arial" w:cs="Arial"/>
                <w:color w:val="000000"/>
                <w:sz w:val="18"/>
                <w:szCs w:val="18"/>
              </w:rPr>
              <w:t xml:space="preserve">at </w:t>
            </w:r>
            <w:r w:rsidR="00CD5714" w:rsidRPr="00CD5714">
              <w:rPr>
                <w:rFonts w:ascii="Arial" w:hAnsi="Arial" w:cs="Arial"/>
                <w:color w:val="000000"/>
                <w:sz w:val="18"/>
                <w:szCs w:val="18"/>
                <w:lang w:val="en-GB"/>
              </w:rPr>
              <w:t>3</w:t>
            </w:r>
            <w:r w:rsidRPr="002D2F67">
              <w:rPr>
                <w:rFonts w:ascii="Arial" w:hAnsi="Arial" w:cs="Arial"/>
                <w:color w:val="000000"/>
                <w:sz w:val="18"/>
                <w:szCs w:val="18"/>
              </w:rPr>
              <w:t>.</w:t>
            </w:r>
            <w:r w:rsidR="00CD5714" w:rsidRPr="00CD5714">
              <w:rPr>
                <w:rFonts w:ascii="Arial" w:hAnsi="Arial" w:cs="Arial"/>
                <w:color w:val="000000"/>
                <w:sz w:val="18"/>
                <w:szCs w:val="18"/>
                <w:lang w:val="en-GB"/>
              </w:rPr>
              <w:t>85</w:t>
            </w:r>
            <w:r w:rsidRPr="002D2F67">
              <w:rPr>
                <w:rFonts w:ascii="Arial" w:hAnsi="Arial" w:cs="Arial"/>
                <w:color w:val="000000"/>
                <w:sz w:val="18"/>
                <w:szCs w:val="18"/>
              </w:rPr>
              <w:t>%</w:t>
            </w:r>
          </w:p>
        </w:tc>
        <w:tc>
          <w:tcPr>
            <w:tcW w:w="2160" w:type="dxa"/>
            <w:shd w:val="clear" w:color="auto" w:fill="auto"/>
          </w:tcPr>
          <w:p w14:paraId="540BD9EF" w14:textId="77777777"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 xml:space="preserve">Repayment every month </w:t>
            </w:r>
          </w:p>
          <w:p w14:paraId="3885A861" w14:textId="6C1C3346"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 xml:space="preserve">from January </w:t>
            </w:r>
            <w:r w:rsidR="00CD5714" w:rsidRPr="00CD5714">
              <w:rPr>
                <w:rFonts w:ascii="Arial" w:hAnsi="Arial" w:cs="Arial"/>
                <w:color w:val="000000"/>
                <w:sz w:val="18"/>
                <w:szCs w:val="18"/>
                <w:lang w:val="en-GB"/>
              </w:rPr>
              <w:t>2024</w:t>
            </w:r>
          </w:p>
        </w:tc>
        <w:tc>
          <w:tcPr>
            <w:tcW w:w="1530" w:type="dxa"/>
            <w:shd w:val="clear" w:color="auto" w:fill="auto"/>
          </w:tcPr>
          <w:p w14:paraId="78348E86" w14:textId="59EB9F27"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Payment every month</w:t>
            </w:r>
          </w:p>
        </w:tc>
      </w:tr>
      <w:tr w:rsidR="001A4AC6" w:rsidRPr="002D2F67" w14:paraId="31A8390D" w14:textId="77777777" w:rsidTr="002D2F67">
        <w:trPr>
          <w:trHeight w:val="653"/>
        </w:trPr>
        <w:tc>
          <w:tcPr>
            <w:tcW w:w="747" w:type="dxa"/>
            <w:shd w:val="clear" w:color="auto" w:fill="auto"/>
          </w:tcPr>
          <w:p w14:paraId="3E1D913A" w14:textId="2EF29904" w:rsidR="001A4AC6" w:rsidRPr="002D2F67" w:rsidRDefault="00CD5714" w:rsidP="005611FE">
            <w:pPr>
              <w:ind w:left="-69"/>
              <w:jc w:val="center"/>
              <w:rPr>
                <w:rFonts w:ascii="Arial" w:hAnsi="Arial" w:cs="Arial"/>
                <w:color w:val="000000"/>
                <w:sz w:val="18"/>
                <w:szCs w:val="18"/>
              </w:rPr>
            </w:pPr>
            <w:r w:rsidRPr="00CD5714">
              <w:rPr>
                <w:rFonts w:ascii="Arial" w:hAnsi="Arial" w:cs="Arial"/>
                <w:color w:val="000000"/>
                <w:sz w:val="18"/>
                <w:szCs w:val="18"/>
                <w:lang w:val="en-GB"/>
              </w:rPr>
              <w:t>4</w:t>
            </w:r>
          </w:p>
          <w:p w14:paraId="100E2E99" w14:textId="65377CC6" w:rsidR="001A4AC6" w:rsidRPr="002D2F67" w:rsidRDefault="001A4AC6" w:rsidP="005611FE">
            <w:pPr>
              <w:ind w:left="-69"/>
              <w:jc w:val="center"/>
              <w:rPr>
                <w:rFonts w:ascii="Arial" w:hAnsi="Arial" w:cs="Arial"/>
                <w:color w:val="000000"/>
                <w:sz w:val="18"/>
                <w:szCs w:val="18"/>
              </w:rPr>
            </w:pPr>
          </w:p>
        </w:tc>
        <w:tc>
          <w:tcPr>
            <w:tcW w:w="1123" w:type="dxa"/>
            <w:shd w:val="clear" w:color="auto" w:fill="auto"/>
          </w:tcPr>
          <w:p w14:paraId="0B1E527E" w14:textId="5F7C3D0E" w:rsidR="001A4AC6" w:rsidRPr="002D2F67" w:rsidRDefault="001A4AC6" w:rsidP="005611FE">
            <w:pPr>
              <w:ind w:right="-72"/>
              <w:jc w:val="right"/>
              <w:rPr>
                <w:rFonts w:ascii="Arial" w:hAnsi="Arial" w:cs="Arial"/>
                <w:color w:val="000000"/>
                <w:sz w:val="18"/>
                <w:szCs w:val="18"/>
              </w:rPr>
            </w:pPr>
            <w:r w:rsidRPr="002D2F67">
              <w:rPr>
                <w:rFonts w:ascii="Arial" w:hAnsi="Arial" w:cs="Arial"/>
                <w:sz w:val="18"/>
                <w:szCs w:val="18"/>
              </w:rPr>
              <w:t>-</w:t>
            </w:r>
          </w:p>
        </w:tc>
        <w:tc>
          <w:tcPr>
            <w:tcW w:w="1134" w:type="dxa"/>
            <w:shd w:val="clear" w:color="auto" w:fill="auto"/>
          </w:tcPr>
          <w:p w14:paraId="254F5403" w14:textId="107A6C77" w:rsidR="001A4AC6" w:rsidRPr="002D2F67" w:rsidRDefault="00CD5714" w:rsidP="005611FE">
            <w:pPr>
              <w:ind w:right="-72"/>
              <w:jc w:val="right"/>
              <w:rPr>
                <w:rFonts w:ascii="Arial" w:hAnsi="Arial" w:cs="Arial"/>
                <w:color w:val="000000"/>
                <w:sz w:val="18"/>
                <w:szCs w:val="18"/>
              </w:rPr>
            </w:pPr>
            <w:r w:rsidRPr="00CD5714">
              <w:rPr>
                <w:rFonts w:ascii="Arial" w:hAnsi="Arial" w:cs="Arial"/>
                <w:sz w:val="18"/>
                <w:szCs w:val="18"/>
                <w:lang w:val="en-GB"/>
              </w:rPr>
              <w:t>18</w:t>
            </w:r>
          </w:p>
        </w:tc>
        <w:tc>
          <w:tcPr>
            <w:tcW w:w="2216" w:type="dxa"/>
            <w:shd w:val="clear" w:color="auto" w:fill="auto"/>
          </w:tcPr>
          <w:p w14:paraId="3A6B7E61" w14:textId="77777777" w:rsidR="001A4AC6" w:rsidRPr="002D2F67" w:rsidRDefault="001A4AC6" w:rsidP="00FD6FB5">
            <w:pPr>
              <w:jc w:val="center"/>
              <w:rPr>
                <w:rFonts w:ascii="Arial" w:hAnsi="Arial" w:cs="Arial"/>
                <w:color w:val="000000"/>
                <w:sz w:val="18"/>
                <w:szCs w:val="18"/>
              </w:rPr>
            </w:pPr>
            <w:r w:rsidRPr="002D2F67">
              <w:rPr>
                <w:rFonts w:ascii="Arial" w:hAnsi="Arial" w:cs="Arial"/>
                <w:color w:val="000000"/>
                <w:sz w:val="18"/>
                <w:szCs w:val="18"/>
              </w:rPr>
              <w:t xml:space="preserve">Fixed interest rate per annum </w:t>
            </w:r>
          </w:p>
          <w:p w14:paraId="6F56BF51" w14:textId="4C524A53" w:rsidR="001A4AC6" w:rsidRPr="002D2F67" w:rsidRDefault="001A4AC6" w:rsidP="00FD6FB5">
            <w:pPr>
              <w:jc w:val="center"/>
              <w:rPr>
                <w:rFonts w:ascii="Arial" w:hAnsi="Arial" w:cs="Arial"/>
                <w:color w:val="000000"/>
                <w:sz w:val="18"/>
                <w:szCs w:val="18"/>
              </w:rPr>
            </w:pPr>
            <w:r w:rsidRPr="002D2F67">
              <w:rPr>
                <w:rFonts w:ascii="Arial" w:hAnsi="Arial" w:cs="Arial"/>
                <w:color w:val="000000"/>
                <w:sz w:val="18"/>
                <w:szCs w:val="18"/>
              </w:rPr>
              <w:t xml:space="preserve">at </w:t>
            </w:r>
            <w:r w:rsidR="00CD5714" w:rsidRPr="00CD5714">
              <w:rPr>
                <w:rFonts w:ascii="Arial" w:hAnsi="Arial" w:cs="Arial"/>
                <w:color w:val="000000"/>
                <w:sz w:val="18"/>
                <w:szCs w:val="18"/>
                <w:lang w:val="en-GB"/>
              </w:rPr>
              <w:t>3</w:t>
            </w:r>
            <w:r w:rsidRPr="002D2F67">
              <w:rPr>
                <w:rFonts w:ascii="Arial" w:hAnsi="Arial" w:cs="Arial"/>
                <w:color w:val="000000"/>
                <w:sz w:val="18"/>
                <w:szCs w:val="18"/>
              </w:rPr>
              <w:t>.</w:t>
            </w:r>
            <w:r w:rsidR="00CD5714" w:rsidRPr="00CD5714">
              <w:rPr>
                <w:rFonts w:ascii="Arial" w:hAnsi="Arial" w:cs="Arial"/>
                <w:color w:val="000000"/>
                <w:sz w:val="18"/>
                <w:szCs w:val="18"/>
                <w:lang w:val="en-GB"/>
              </w:rPr>
              <w:t>96</w:t>
            </w:r>
            <w:r w:rsidRPr="002D2F67">
              <w:rPr>
                <w:rFonts w:ascii="Arial" w:hAnsi="Arial" w:cs="Arial"/>
                <w:color w:val="000000"/>
                <w:sz w:val="18"/>
                <w:szCs w:val="18"/>
              </w:rPr>
              <w:t>%</w:t>
            </w:r>
          </w:p>
        </w:tc>
        <w:tc>
          <w:tcPr>
            <w:tcW w:w="2160" w:type="dxa"/>
            <w:shd w:val="clear" w:color="auto" w:fill="auto"/>
          </w:tcPr>
          <w:p w14:paraId="4A8720BD" w14:textId="77777777" w:rsidR="001A4AC6" w:rsidRPr="002D2F67" w:rsidRDefault="001A4AC6" w:rsidP="00FD6FB5">
            <w:pPr>
              <w:ind w:left="-29" w:right="-29"/>
              <w:jc w:val="center"/>
              <w:rPr>
                <w:rFonts w:ascii="Arial" w:hAnsi="Arial" w:cs="Arial"/>
                <w:color w:val="000000"/>
                <w:sz w:val="18"/>
                <w:szCs w:val="18"/>
              </w:rPr>
            </w:pPr>
            <w:r w:rsidRPr="002D2F67">
              <w:rPr>
                <w:rFonts w:ascii="Arial" w:hAnsi="Arial" w:cs="Arial"/>
                <w:color w:val="000000"/>
                <w:sz w:val="18"/>
                <w:szCs w:val="18"/>
              </w:rPr>
              <w:t xml:space="preserve">Repayment every month </w:t>
            </w:r>
          </w:p>
          <w:p w14:paraId="6DF68A86" w14:textId="09823931" w:rsidR="001A4AC6" w:rsidRPr="002D2F67" w:rsidRDefault="001A4AC6" w:rsidP="00FD6FB5">
            <w:pPr>
              <w:ind w:left="-29" w:right="-29"/>
              <w:jc w:val="center"/>
              <w:rPr>
                <w:rFonts w:ascii="Arial" w:hAnsi="Arial" w:cs="Arial"/>
                <w:color w:val="000000"/>
                <w:sz w:val="18"/>
                <w:szCs w:val="18"/>
              </w:rPr>
            </w:pPr>
            <w:r w:rsidRPr="002D2F67">
              <w:rPr>
                <w:rFonts w:ascii="Arial" w:hAnsi="Arial" w:cs="Arial"/>
                <w:color w:val="000000"/>
                <w:sz w:val="18"/>
                <w:szCs w:val="18"/>
              </w:rPr>
              <w:t xml:space="preserve">from March </w:t>
            </w:r>
            <w:r w:rsidR="00CD5714" w:rsidRPr="00CD5714">
              <w:rPr>
                <w:rFonts w:ascii="Arial" w:hAnsi="Arial" w:cs="Arial"/>
                <w:color w:val="000000"/>
                <w:sz w:val="18"/>
                <w:szCs w:val="18"/>
                <w:lang w:val="en-GB"/>
              </w:rPr>
              <w:t>2024</w:t>
            </w:r>
          </w:p>
        </w:tc>
        <w:tc>
          <w:tcPr>
            <w:tcW w:w="1530" w:type="dxa"/>
            <w:shd w:val="clear" w:color="auto" w:fill="auto"/>
          </w:tcPr>
          <w:p w14:paraId="262D1983" w14:textId="459BC415"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Payment every month</w:t>
            </w:r>
          </w:p>
        </w:tc>
      </w:tr>
      <w:tr w:rsidR="001A4AC6" w:rsidRPr="002D2F67" w14:paraId="247630B6" w14:textId="77777777" w:rsidTr="002D2F67">
        <w:trPr>
          <w:trHeight w:val="653"/>
        </w:trPr>
        <w:tc>
          <w:tcPr>
            <w:tcW w:w="747" w:type="dxa"/>
            <w:shd w:val="clear" w:color="auto" w:fill="auto"/>
          </w:tcPr>
          <w:p w14:paraId="31B2D59A" w14:textId="2F60C037" w:rsidR="001A4AC6" w:rsidRPr="002D2F67" w:rsidRDefault="00CD5714" w:rsidP="005611FE">
            <w:pPr>
              <w:ind w:left="-69"/>
              <w:jc w:val="center"/>
              <w:rPr>
                <w:rFonts w:ascii="Arial" w:hAnsi="Arial" w:cs="Arial"/>
                <w:color w:val="000000"/>
                <w:sz w:val="18"/>
                <w:szCs w:val="18"/>
              </w:rPr>
            </w:pPr>
            <w:r w:rsidRPr="00CD5714">
              <w:rPr>
                <w:rFonts w:ascii="Arial" w:hAnsi="Arial" w:cs="Arial"/>
                <w:color w:val="000000"/>
                <w:sz w:val="18"/>
                <w:szCs w:val="18"/>
                <w:lang w:val="en-GB"/>
              </w:rPr>
              <w:t>5</w:t>
            </w:r>
          </w:p>
        </w:tc>
        <w:tc>
          <w:tcPr>
            <w:tcW w:w="1123" w:type="dxa"/>
            <w:shd w:val="clear" w:color="auto" w:fill="auto"/>
          </w:tcPr>
          <w:p w14:paraId="34B93CA7" w14:textId="717B218A" w:rsidR="001A4AC6" w:rsidRPr="002D2F67" w:rsidRDefault="00CD5714" w:rsidP="005611FE">
            <w:pPr>
              <w:ind w:right="-72"/>
              <w:jc w:val="right"/>
              <w:rPr>
                <w:rFonts w:ascii="Arial" w:hAnsi="Arial" w:cs="Arial"/>
                <w:color w:val="000000"/>
                <w:sz w:val="18"/>
                <w:szCs w:val="18"/>
              </w:rPr>
            </w:pPr>
            <w:r w:rsidRPr="00CD5714">
              <w:rPr>
                <w:rFonts w:ascii="Arial" w:hAnsi="Arial" w:cs="Arial"/>
                <w:sz w:val="18"/>
                <w:szCs w:val="18"/>
                <w:lang w:val="en-GB"/>
              </w:rPr>
              <w:t>15</w:t>
            </w:r>
          </w:p>
        </w:tc>
        <w:tc>
          <w:tcPr>
            <w:tcW w:w="1134" w:type="dxa"/>
            <w:shd w:val="clear" w:color="auto" w:fill="auto"/>
          </w:tcPr>
          <w:p w14:paraId="4158A5FD" w14:textId="3435501B" w:rsidR="001A4AC6" w:rsidRPr="002D2F67" w:rsidRDefault="00CD5714" w:rsidP="005611FE">
            <w:pPr>
              <w:ind w:right="-72"/>
              <w:jc w:val="right"/>
              <w:rPr>
                <w:rFonts w:ascii="Arial" w:hAnsi="Arial" w:cs="Arial"/>
                <w:color w:val="000000"/>
                <w:sz w:val="18"/>
                <w:szCs w:val="18"/>
              </w:rPr>
            </w:pPr>
            <w:r w:rsidRPr="00CD5714">
              <w:rPr>
                <w:rFonts w:ascii="Arial" w:hAnsi="Arial" w:cs="Arial"/>
                <w:sz w:val="18"/>
                <w:szCs w:val="18"/>
                <w:lang w:val="en-GB"/>
              </w:rPr>
              <w:t>17</w:t>
            </w:r>
          </w:p>
        </w:tc>
        <w:tc>
          <w:tcPr>
            <w:tcW w:w="2216" w:type="dxa"/>
            <w:shd w:val="clear" w:color="auto" w:fill="auto"/>
          </w:tcPr>
          <w:p w14:paraId="1F7CA7E1" w14:textId="77777777" w:rsidR="001A4AC6" w:rsidRPr="002D2F67" w:rsidRDefault="001A4AC6" w:rsidP="00FD6FB5">
            <w:pPr>
              <w:jc w:val="center"/>
              <w:rPr>
                <w:rFonts w:ascii="Arial" w:hAnsi="Arial" w:cs="Arial"/>
                <w:color w:val="000000"/>
                <w:sz w:val="18"/>
                <w:szCs w:val="18"/>
              </w:rPr>
            </w:pPr>
            <w:r w:rsidRPr="002D2F67">
              <w:rPr>
                <w:rFonts w:ascii="Arial" w:hAnsi="Arial" w:cs="Arial"/>
                <w:color w:val="000000"/>
                <w:sz w:val="18"/>
                <w:szCs w:val="18"/>
              </w:rPr>
              <w:t xml:space="preserve">Fixed interest rate per annum </w:t>
            </w:r>
          </w:p>
          <w:p w14:paraId="00E4B427" w14:textId="1DC11B8B" w:rsidR="001A4AC6" w:rsidRPr="002D2F67" w:rsidRDefault="001A4AC6" w:rsidP="00FD6FB5">
            <w:pPr>
              <w:jc w:val="center"/>
              <w:rPr>
                <w:rFonts w:ascii="Arial" w:hAnsi="Arial" w:cs="Arial"/>
                <w:color w:val="000000"/>
                <w:sz w:val="18"/>
                <w:szCs w:val="18"/>
              </w:rPr>
            </w:pPr>
            <w:r w:rsidRPr="002D2F67">
              <w:rPr>
                <w:rFonts w:ascii="Arial" w:hAnsi="Arial" w:cs="Arial"/>
                <w:color w:val="000000"/>
                <w:sz w:val="18"/>
                <w:szCs w:val="18"/>
              </w:rPr>
              <w:t xml:space="preserve">at </w:t>
            </w:r>
            <w:r w:rsidR="00CD5714" w:rsidRPr="00CD5714">
              <w:rPr>
                <w:rFonts w:ascii="Arial" w:hAnsi="Arial" w:cs="Arial"/>
                <w:color w:val="000000"/>
                <w:sz w:val="18"/>
                <w:szCs w:val="18"/>
                <w:lang w:val="en-GB"/>
              </w:rPr>
              <w:t>3</w:t>
            </w:r>
            <w:r w:rsidRPr="002D2F67">
              <w:rPr>
                <w:rFonts w:ascii="Arial" w:hAnsi="Arial" w:cs="Arial"/>
                <w:color w:val="000000"/>
                <w:sz w:val="18"/>
                <w:szCs w:val="18"/>
              </w:rPr>
              <w:t>.</w:t>
            </w:r>
            <w:r w:rsidR="00CD5714" w:rsidRPr="00CD5714">
              <w:rPr>
                <w:rFonts w:ascii="Arial" w:hAnsi="Arial" w:cs="Arial"/>
                <w:color w:val="000000"/>
                <w:sz w:val="18"/>
                <w:szCs w:val="18"/>
                <w:lang w:val="en-GB"/>
              </w:rPr>
              <w:t>88</w:t>
            </w:r>
            <w:r w:rsidRPr="002D2F67">
              <w:rPr>
                <w:rFonts w:ascii="Arial" w:hAnsi="Arial" w:cs="Arial"/>
                <w:color w:val="000000"/>
                <w:sz w:val="18"/>
                <w:szCs w:val="18"/>
              </w:rPr>
              <w:t>%</w:t>
            </w:r>
          </w:p>
        </w:tc>
        <w:tc>
          <w:tcPr>
            <w:tcW w:w="2160" w:type="dxa"/>
            <w:shd w:val="clear" w:color="auto" w:fill="auto"/>
          </w:tcPr>
          <w:p w14:paraId="360A5B02" w14:textId="77777777" w:rsidR="001A4AC6" w:rsidRPr="002D2F67" w:rsidRDefault="001A4AC6" w:rsidP="00FD6FB5">
            <w:pPr>
              <w:ind w:left="-29" w:right="-29"/>
              <w:jc w:val="center"/>
              <w:rPr>
                <w:rFonts w:ascii="Arial" w:hAnsi="Arial" w:cs="Arial"/>
                <w:color w:val="000000"/>
                <w:sz w:val="18"/>
                <w:szCs w:val="18"/>
              </w:rPr>
            </w:pPr>
            <w:r w:rsidRPr="002D2F67">
              <w:rPr>
                <w:rFonts w:ascii="Arial" w:hAnsi="Arial" w:cs="Arial"/>
                <w:color w:val="000000"/>
                <w:sz w:val="18"/>
                <w:szCs w:val="18"/>
              </w:rPr>
              <w:t xml:space="preserve">Repayment every month </w:t>
            </w:r>
          </w:p>
          <w:p w14:paraId="60DFFC74" w14:textId="0FF2F756" w:rsidR="001A4AC6" w:rsidRPr="002D2F67" w:rsidRDefault="001A4AC6" w:rsidP="00FD6FB5">
            <w:pPr>
              <w:ind w:left="-29" w:right="-29"/>
              <w:jc w:val="center"/>
              <w:rPr>
                <w:rFonts w:ascii="Arial" w:hAnsi="Arial" w:cs="Arial"/>
                <w:color w:val="000000"/>
                <w:sz w:val="18"/>
                <w:szCs w:val="18"/>
              </w:rPr>
            </w:pPr>
            <w:r w:rsidRPr="002D2F67">
              <w:rPr>
                <w:rFonts w:ascii="Arial" w:hAnsi="Arial" w:cs="Arial"/>
                <w:color w:val="000000"/>
                <w:sz w:val="18"/>
                <w:szCs w:val="18"/>
              </w:rPr>
              <w:t xml:space="preserve">from June </w:t>
            </w:r>
            <w:r w:rsidR="00CD5714" w:rsidRPr="00CD5714">
              <w:rPr>
                <w:rFonts w:ascii="Arial" w:hAnsi="Arial" w:cs="Arial"/>
                <w:color w:val="000000"/>
                <w:sz w:val="18"/>
                <w:szCs w:val="18"/>
                <w:lang w:val="en-GB"/>
              </w:rPr>
              <w:t>2024</w:t>
            </w:r>
          </w:p>
        </w:tc>
        <w:tc>
          <w:tcPr>
            <w:tcW w:w="1530" w:type="dxa"/>
            <w:shd w:val="clear" w:color="auto" w:fill="auto"/>
          </w:tcPr>
          <w:p w14:paraId="0BE4E881" w14:textId="6C457C72"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Payment every month</w:t>
            </w:r>
          </w:p>
        </w:tc>
      </w:tr>
      <w:tr w:rsidR="001A4AC6" w:rsidRPr="002D2F67" w14:paraId="5808A494" w14:textId="77777777" w:rsidTr="002D2F67">
        <w:trPr>
          <w:trHeight w:val="653"/>
        </w:trPr>
        <w:tc>
          <w:tcPr>
            <w:tcW w:w="747" w:type="dxa"/>
            <w:shd w:val="clear" w:color="auto" w:fill="auto"/>
          </w:tcPr>
          <w:p w14:paraId="5CC8CF9C" w14:textId="436648B1" w:rsidR="001A4AC6" w:rsidRPr="002D2F67" w:rsidRDefault="00CD5714" w:rsidP="005611FE">
            <w:pPr>
              <w:ind w:left="-69"/>
              <w:jc w:val="center"/>
              <w:rPr>
                <w:rFonts w:ascii="Arial" w:hAnsi="Arial" w:cs="Arial"/>
                <w:color w:val="000000"/>
                <w:sz w:val="18"/>
                <w:szCs w:val="18"/>
              </w:rPr>
            </w:pPr>
            <w:r w:rsidRPr="00CD5714">
              <w:rPr>
                <w:rFonts w:ascii="Arial" w:hAnsi="Arial" w:cs="Arial"/>
                <w:color w:val="000000"/>
                <w:sz w:val="18"/>
                <w:szCs w:val="18"/>
                <w:lang w:val="en-GB"/>
              </w:rPr>
              <w:t>6</w:t>
            </w:r>
          </w:p>
        </w:tc>
        <w:tc>
          <w:tcPr>
            <w:tcW w:w="1123" w:type="dxa"/>
            <w:tcBorders>
              <w:bottom w:val="single" w:sz="4" w:space="0" w:color="auto"/>
            </w:tcBorders>
            <w:shd w:val="clear" w:color="auto" w:fill="auto"/>
          </w:tcPr>
          <w:p w14:paraId="1ED189E9" w14:textId="14A445E5" w:rsidR="001A4AC6" w:rsidRPr="002D2F67" w:rsidRDefault="00CD5714" w:rsidP="005611FE">
            <w:pPr>
              <w:ind w:right="-72"/>
              <w:jc w:val="right"/>
              <w:rPr>
                <w:rFonts w:ascii="Arial" w:hAnsi="Arial" w:cs="Arial"/>
                <w:color w:val="000000"/>
                <w:sz w:val="18"/>
                <w:szCs w:val="18"/>
              </w:rPr>
            </w:pPr>
            <w:r w:rsidRPr="00CD5714">
              <w:rPr>
                <w:rFonts w:ascii="Arial" w:hAnsi="Arial" w:cs="Arial"/>
                <w:sz w:val="18"/>
                <w:szCs w:val="18"/>
                <w:lang w:val="en-GB"/>
              </w:rPr>
              <w:t>15</w:t>
            </w:r>
          </w:p>
        </w:tc>
        <w:tc>
          <w:tcPr>
            <w:tcW w:w="1134" w:type="dxa"/>
            <w:tcBorders>
              <w:bottom w:val="single" w:sz="4" w:space="0" w:color="auto"/>
            </w:tcBorders>
            <w:shd w:val="clear" w:color="auto" w:fill="auto"/>
          </w:tcPr>
          <w:p w14:paraId="67A47B3F" w14:textId="7BA54C10" w:rsidR="001A4AC6" w:rsidRPr="002D2F67" w:rsidRDefault="001A4AC6" w:rsidP="005611FE">
            <w:pPr>
              <w:ind w:right="-72"/>
              <w:jc w:val="right"/>
              <w:rPr>
                <w:rFonts w:ascii="Arial" w:hAnsi="Arial" w:cs="Arial"/>
                <w:color w:val="000000"/>
                <w:sz w:val="18"/>
                <w:szCs w:val="18"/>
              </w:rPr>
            </w:pPr>
            <w:r w:rsidRPr="002D2F67">
              <w:rPr>
                <w:rFonts w:ascii="Arial" w:hAnsi="Arial" w:cs="Arial"/>
                <w:sz w:val="18"/>
                <w:szCs w:val="18"/>
              </w:rPr>
              <w:t>-</w:t>
            </w:r>
          </w:p>
        </w:tc>
        <w:tc>
          <w:tcPr>
            <w:tcW w:w="2216" w:type="dxa"/>
            <w:shd w:val="clear" w:color="auto" w:fill="auto"/>
          </w:tcPr>
          <w:p w14:paraId="6FC0468F" w14:textId="77777777" w:rsidR="001A4AC6" w:rsidRPr="002D2F67" w:rsidRDefault="001A4AC6" w:rsidP="005869CC">
            <w:pPr>
              <w:jc w:val="center"/>
              <w:rPr>
                <w:rFonts w:ascii="Arial" w:hAnsi="Arial" w:cs="Arial"/>
                <w:color w:val="000000"/>
                <w:sz w:val="18"/>
                <w:szCs w:val="18"/>
              </w:rPr>
            </w:pPr>
            <w:r w:rsidRPr="002D2F67">
              <w:rPr>
                <w:rFonts w:ascii="Arial" w:hAnsi="Arial" w:cs="Arial"/>
                <w:color w:val="000000"/>
                <w:sz w:val="18"/>
                <w:szCs w:val="18"/>
              </w:rPr>
              <w:t xml:space="preserve">Fixed interest rate per annum </w:t>
            </w:r>
          </w:p>
          <w:p w14:paraId="2C19044B" w14:textId="18A4535E" w:rsidR="001A4AC6" w:rsidRPr="002D2F67" w:rsidRDefault="001A4AC6" w:rsidP="005869CC">
            <w:pPr>
              <w:jc w:val="center"/>
              <w:rPr>
                <w:rFonts w:ascii="Arial" w:hAnsi="Arial" w:cs="Arial"/>
                <w:color w:val="000000"/>
                <w:sz w:val="18"/>
                <w:szCs w:val="18"/>
              </w:rPr>
            </w:pPr>
            <w:r w:rsidRPr="002D2F67">
              <w:rPr>
                <w:rFonts w:ascii="Arial" w:hAnsi="Arial" w:cs="Arial"/>
                <w:color w:val="000000"/>
                <w:sz w:val="18"/>
                <w:szCs w:val="18"/>
              </w:rPr>
              <w:t xml:space="preserve">at </w:t>
            </w:r>
            <w:r w:rsidR="00CD5714" w:rsidRPr="00CD5714">
              <w:rPr>
                <w:rFonts w:ascii="Arial" w:hAnsi="Arial" w:cs="Arial"/>
                <w:color w:val="000000"/>
                <w:sz w:val="18"/>
                <w:szCs w:val="18"/>
                <w:lang w:val="en-GB"/>
              </w:rPr>
              <w:t>3</w:t>
            </w:r>
            <w:r w:rsidRPr="002D2F67">
              <w:rPr>
                <w:rFonts w:ascii="Arial" w:hAnsi="Arial" w:cs="Arial"/>
                <w:color w:val="000000"/>
                <w:sz w:val="18"/>
                <w:szCs w:val="18"/>
              </w:rPr>
              <w:t>.</w:t>
            </w:r>
            <w:r w:rsidR="00CD5714" w:rsidRPr="00CD5714">
              <w:rPr>
                <w:rFonts w:ascii="Arial" w:hAnsi="Arial" w:cs="Arial"/>
                <w:color w:val="000000"/>
                <w:sz w:val="18"/>
                <w:szCs w:val="18"/>
                <w:lang w:val="en-GB"/>
              </w:rPr>
              <w:t>96</w:t>
            </w:r>
            <w:r w:rsidRPr="002D2F67">
              <w:rPr>
                <w:rFonts w:ascii="Arial" w:hAnsi="Arial" w:cs="Arial"/>
                <w:color w:val="000000"/>
                <w:sz w:val="18"/>
                <w:szCs w:val="18"/>
              </w:rPr>
              <w:t>%</w:t>
            </w:r>
          </w:p>
        </w:tc>
        <w:tc>
          <w:tcPr>
            <w:tcW w:w="2160" w:type="dxa"/>
            <w:shd w:val="clear" w:color="auto" w:fill="auto"/>
          </w:tcPr>
          <w:p w14:paraId="72623CEA" w14:textId="77777777" w:rsidR="001A4AC6" w:rsidRPr="002D2F67" w:rsidRDefault="001A4AC6" w:rsidP="005869CC">
            <w:pPr>
              <w:ind w:left="-29" w:right="-29"/>
              <w:jc w:val="center"/>
              <w:rPr>
                <w:rFonts w:ascii="Arial" w:hAnsi="Arial" w:cs="Arial"/>
                <w:color w:val="000000"/>
                <w:sz w:val="18"/>
                <w:szCs w:val="18"/>
              </w:rPr>
            </w:pPr>
            <w:r w:rsidRPr="002D2F67">
              <w:rPr>
                <w:rFonts w:ascii="Arial" w:hAnsi="Arial" w:cs="Arial"/>
                <w:color w:val="000000"/>
                <w:sz w:val="18"/>
                <w:szCs w:val="18"/>
              </w:rPr>
              <w:t xml:space="preserve">Repayment every month </w:t>
            </w:r>
          </w:p>
          <w:p w14:paraId="56C67402" w14:textId="6E9A743B" w:rsidR="001A4AC6" w:rsidRPr="002D2F67" w:rsidRDefault="001A4AC6" w:rsidP="005869CC">
            <w:pPr>
              <w:ind w:left="-29" w:right="-29"/>
              <w:jc w:val="center"/>
              <w:rPr>
                <w:rFonts w:ascii="Arial" w:hAnsi="Arial" w:cs="Arial"/>
                <w:color w:val="000000"/>
                <w:sz w:val="18"/>
                <w:szCs w:val="18"/>
              </w:rPr>
            </w:pPr>
            <w:r w:rsidRPr="002D2F67">
              <w:rPr>
                <w:rFonts w:ascii="Arial" w:hAnsi="Arial" w:cs="Arial"/>
                <w:color w:val="000000"/>
                <w:sz w:val="18"/>
                <w:szCs w:val="18"/>
              </w:rPr>
              <w:t xml:space="preserve">from April </w:t>
            </w:r>
            <w:r w:rsidR="00CD5714" w:rsidRPr="00CD5714">
              <w:rPr>
                <w:rFonts w:ascii="Arial" w:hAnsi="Arial" w:cs="Arial"/>
                <w:color w:val="000000"/>
                <w:sz w:val="18"/>
                <w:szCs w:val="18"/>
                <w:lang w:val="en-GB"/>
              </w:rPr>
              <w:t>2024</w:t>
            </w:r>
          </w:p>
        </w:tc>
        <w:tc>
          <w:tcPr>
            <w:tcW w:w="1530" w:type="dxa"/>
            <w:shd w:val="clear" w:color="auto" w:fill="auto"/>
          </w:tcPr>
          <w:p w14:paraId="165D4480" w14:textId="107FDC64" w:rsidR="001A4AC6" w:rsidRPr="002D2F67" w:rsidRDefault="001A4AC6" w:rsidP="005611FE">
            <w:pPr>
              <w:ind w:left="-29" w:right="-29"/>
              <w:jc w:val="center"/>
              <w:rPr>
                <w:rFonts w:ascii="Arial" w:hAnsi="Arial" w:cs="Arial"/>
                <w:color w:val="000000"/>
                <w:sz w:val="18"/>
                <w:szCs w:val="18"/>
              </w:rPr>
            </w:pPr>
            <w:r w:rsidRPr="002D2F67">
              <w:rPr>
                <w:rFonts w:ascii="Arial" w:hAnsi="Arial" w:cs="Arial"/>
                <w:color w:val="000000"/>
                <w:sz w:val="18"/>
                <w:szCs w:val="18"/>
              </w:rPr>
              <w:t>Payment every month</w:t>
            </w:r>
          </w:p>
        </w:tc>
      </w:tr>
      <w:tr w:rsidR="001A4AC6" w:rsidRPr="002D2F67" w14:paraId="377A99E1" w14:textId="77777777" w:rsidTr="002D2F67">
        <w:trPr>
          <w:trHeight w:val="214"/>
        </w:trPr>
        <w:tc>
          <w:tcPr>
            <w:tcW w:w="747" w:type="dxa"/>
            <w:shd w:val="clear" w:color="auto" w:fill="auto"/>
          </w:tcPr>
          <w:p w14:paraId="1CF3151E" w14:textId="77777777" w:rsidR="001A4AC6" w:rsidRPr="002D2F67" w:rsidRDefault="001A4AC6" w:rsidP="005611FE">
            <w:pPr>
              <w:ind w:left="-69"/>
              <w:jc w:val="center"/>
              <w:rPr>
                <w:rFonts w:ascii="Arial" w:hAnsi="Arial" w:cs="Arial"/>
                <w:color w:val="000000"/>
                <w:sz w:val="18"/>
                <w:szCs w:val="18"/>
              </w:rPr>
            </w:pPr>
          </w:p>
        </w:tc>
        <w:tc>
          <w:tcPr>
            <w:tcW w:w="1123" w:type="dxa"/>
            <w:shd w:val="clear" w:color="auto" w:fill="auto"/>
            <w:vAlign w:val="bottom"/>
          </w:tcPr>
          <w:p w14:paraId="347DE954" w14:textId="77777777" w:rsidR="001A4AC6" w:rsidRPr="002D2F67" w:rsidRDefault="001A4AC6" w:rsidP="005611FE">
            <w:pPr>
              <w:ind w:right="-72"/>
              <w:jc w:val="right"/>
              <w:rPr>
                <w:rFonts w:ascii="Arial" w:hAnsi="Arial" w:cs="Arial"/>
                <w:color w:val="000000"/>
                <w:sz w:val="18"/>
                <w:szCs w:val="18"/>
              </w:rPr>
            </w:pPr>
          </w:p>
        </w:tc>
        <w:tc>
          <w:tcPr>
            <w:tcW w:w="1134" w:type="dxa"/>
            <w:shd w:val="clear" w:color="auto" w:fill="auto"/>
            <w:vAlign w:val="bottom"/>
          </w:tcPr>
          <w:p w14:paraId="5D6D15A7" w14:textId="77777777" w:rsidR="001A4AC6" w:rsidRPr="002D2F67" w:rsidRDefault="001A4AC6" w:rsidP="005611FE">
            <w:pPr>
              <w:ind w:right="-72"/>
              <w:jc w:val="right"/>
              <w:rPr>
                <w:rFonts w:ascii="Arial" w:hAnsi="Arial" w:cs="Arial"/>
                <w:color w:val="000000"/>
                <w:sz w:val="18"/>
                <w:szCs w:val="18"/>
              </w:rPr>
            </w:pPr>
          </w:p>
        </w:tc>
        <w:tc>
          <w:tcPr>
            <w:tcW w:w="2216" w:type="dxa"/>
            <w:shd w:val="clear" w:color="auto" w:fill="auto"/>
          </w:tcPr>
          <w:p w14:paraId="3CE49537" w14:textId="77777777" w:rsidR="001A4AC6" w:rsidRPr="002D2F67" w:rsidRDefault="001A4AC6" w:rsidP="005611FE">
            <w:pPr>
              <w:jc w:val="center"/>
              <w:rPr>
                <w:rFonts w:ascii="Arial" w:hAnsi="Arial" w:cs="Arial"/>
                <w:color w:val="000000"/>
                <w:sz w:val="18"/>
                <w:szCs w:val="18"/>
              </w:rPr>
            </w:pPr>
          </w:p>
        </w:tc>
        <w:tc>
          <w:tcPr>
            <w:tcW w:w="2160" w:type="dxa"/>
            <w:shd w:val="clear" w:color="auto" w:fill="auto"/>
          </w:tcPr>
          <w:p w14:paraId="283D27E3" w14:textId="77777777" w:rsidR="001A4AC6" w:rsidRPr="002D2F67" w:rsidRDefault="001A4AC6" w:rsidP="005611FE">
            <w:pPr>
              <w:ind w:left="-29" w:right="-29"/>
              <w:jc w:val="center"/>
              <w:rPr>
                <w:rFonts w:ascii="Arial" w:hAnsi="Arial" w:cs="Arial"/>
                <w:color w:val="000000"/>
                <w:sz w:val="18"/>
                <w:szCs w:val="18"/>
              </w:rPr>
            </w:pPr>
          </w:p>
        </w:tc>
        <w:tc>
          <w:tcPr>
            <w:tcW w:w="1530" w:type="dxa"/>
            <w:shd w:val="clear" w:color="auto" w:fill="auto"/>
          </w:tcPr>
          <w:p w14:paraId="4D2FFF30" w14:textId="77777777" w:rsidR="001A4AC6" w:rsidRPr="002D2F67" w:rsidRDefault="001A4AC6" w:rsidP="005611FE">
            <w:pPr>
              <w:ind w:left="-29" w:right="-29"/>
              <w:jc w:val="center"/>
              <w:rPr>
                <w:rFonts w:ascii="Arial" w:hAnsi="Arial" w:cs="Arial"/>
                <w:color w:val="000000"/>
                <w:sz w:val="18"/>
                <w:szCs w:val="18"/>
              </w:rPr>
            </w:pPr>
          </w:p>
        </w:tc>
      </w:tr>
      <w:tr w:rsidR="001A4AC6" w:rsidRPr="002D2F67" w14:paraId="2E9C8678" w14:textId="77777777" w:rsidTr="002D2F67">
        <w:trPr>
          <w:trHeight w:val="214"/>
        </w:trPr>
        <w:tc>
          <w:tcPr>
            <w:tcW w:w="747" w:type="dxa"/>
            <w:shd w:val="clear" w:color="auto" w:fill="auto"/>
          </w:tcPr>
          <w:p w14:paraId="05CF8A31" w14:textId="17880D26" w:rsidR="001A4AC6" w:rsidRPr="002D2F67" w:rsidRDefault="001A4AC6" w:rsidP="005611FE">
            <w:pPr>
              <w:ind w:left="-69"/>
              <w:jc w:val="center"/>
              <w:rPr>
                <w:rFonts w:ascii="Arial" w:hAnsi="Arial" w:cs="Arial"/>
                <w:color w:val="000000"/>
                <w:sz w:val="18"/>
                <w:szCs w:val="18"/>
              </w:rPr>
            </w:pPr>
            <w:r w:rsidRPr="002D2F67">
              <w:rPr>
                <w:rFonts w:ascii="Arial" w:hAnsi="Arial" w:cs="Arial"/>
                <w:color w:val="000000"/>
                <w:sz w:val="18"/>
                <w:szCs w:val="18"/>
              </w:rPr>
              <w:t>Total</w:t>
            </w:r>
          </w:p>
        </w:tc>
        <w:tc>
          <w:tcPr>
            <w:tcW w:w="1123" w:type="dxa"/>
            <w:tcBorders>
              <w:bottom w:val="single" w:sz="4" w:space="0" w:color="auto"/>
            </w:tcBorders>
            <w:shd w:val="clear" w:color="auto" w:fill="auto"/>
          </w:tcPr>
          <w:p w14:paraId="05F5324D" w14:textId="215E851A" w:rsidR="001A4AC6" w:rsidRPr="002D2F67" w:rsidRDefault="00CD5714" w:rsidP="005611FE">
            <w:pPr>
              <w:ind w:right="-72"/>
              <w:jc w:val="right"/>
              <w:rPr>
                <w:rFonts w:ascii="Arial" w:hAnsi="Arial" w:cs="Arial"/>
                <w:color w:val="000000"/>
                <w:sz w:val="18"/>
                <w:szCs w:val="18"/>
              </w:rPr>
            </w:pPr>
            <w:r w:rsidRPr="00CD5714">
              <w:rPr>
                <w:rFonts w:ascii="Arial" w:hAnsi="Arial" w:cs="Arial"/>
                <w:sz w:val="18"/>
                <w:szCs w:val="18"/>
                <w:lang w:val="en-GB"/>
              </w:rPr>
              <w:t>188</w:t>
            </w:r>
          </w:p>
        </w:tc>
        <w:tc>
          <w:tcPr>
            <w:tcW w:w="1134" w:type="dxa"/>
            <w:tcBorders>
              <w:bottom w:val="single" w:sz="4" w:space="0" w:color="auto"/>
            </w:tcBorders>
            <w:shd w:val="clear" w:color="auto" w:fill="auto"/>
          </w:tcPr>
          <w:p w14:paraId="2A9765CD" w14:textId="7D1E685E" w:rsidR="001A4AC6" w:rsidRPr="002D2F67" w:rsidRDefault="00CD5714" w:rsidP="005611FE">
            <w:pPr>
              <w:ind w:right="-72"/>
              <w:jc w:val="right"/>
              <w:rPr>
                <w:rFonts w:ascii="Arial" w:hAnsi="Arial" w:cs="Arial"/>
                <w:color w:val="000000"/>
                <w:sz w:val="18"/>
                <w:szCs w:val="18"/>
              </w:rPr>
            </w:pPr>
            <w:r w:rsidRPr="00CD5714">
              <w:rPr>
                <w:rFonts w:ascii="Arial" w:hAnsi="Arial" w:cs="Arial"/>
                <w:sz w:val="18"/>
                <w:szCs w:val="18"/>
                <w:lang w:val="en-GB"/>
              </w:rPr>
              <w:t>217</w:t>
            </w:r>
          </w:p>
        </w:tc>
        <w:tc>
          <w:tcPr>
            <w:tcW w:w="2216" w:type="dxa"/>
            <w:shd w:val="clear" w:color="auto" w:fill="auto"/>
          </w:tcPr>
          <w:p w14:paraId="0D293B4C" w14:textId="77777777" w:rsidR="001A4AC6" w:rsidRPr="002D2F67" w:rsidRDefault="001A4AC6" w:rsidP="005611FE">
            <w:pPr>
              <w:jc w:val="center"/>
              <w:rPr>
                <w:rFonts w:ascii="Arial" w:hAnsi="Arial" w:cs="Arial"/>
                <w:color w:val="000000"/>
                <w:sz w:val="18"/>
                <w:szCs w:val="18"/>
              </w:rPr>
            </w:pPr>
          </w:p>
        </w:tc>
        <w:tc>
          <w:tcPr>
            <w:tcW w:w="2160" w:type="dxa"/>
            <w:shd w:val="clear" w:color="auto" w:fill="auto"/>
          </w:tcPr>
          <w:p w14:paraId="01D49394" w14:textId="77777777" w:rsidR="001A4AC6" w:rsidRPr="002D2F67" w:rsidRDefault="001A4AC6" w:rsidP="005611FE">
            <w:pPr>
              <w:ind w:left="-29" w:right="-29"/>
              <w:jc w:val="center"/>
              <w:rPr>
                <w:rFonts w:ascii="Arial" w:hAnsi="Arial" w:cs="Arial"/>
                <w:color w:val="000000"/>
                <w:sz w:val="18"/>
                <w:szCs w:val="18"/>
              </w:rPr>
            </w:pPr>
          </w:p>
        </w:tc>
        <w:tc>
          <w:tcPr>
            <w:tcW w:w="1530" w:type="dxa"/>
            <w:shd w:val="clear" w:color="auto" w:fill="auto"/>
          </w:tcPr>
          <w:p w14:paraId="7E52FCB5" w14:textId="77777777" w:rsidR="001A4AC6" w:rsidRPr="002D2F67" w:rsidRDefault="001A4AC6" w:rsidP="005611FE">
            <w:pPr>
              <w:ind w:left="-29" w:right="-29"/>
              <w:jc w:val="center"/>
              <w:rPr>
                <w:rFonts w:ascii="Arial" w:hAnsi="Arial" w:cs="Arial"/>
                <w:color w:val="000000"/>
                <w:sz w:val="18"/>
                <w:szCs w:val="18"/>
              </w:rPr>
            </w:pPr>
          </w:p>
        </w:tc>
      </w:tr>
    </w:tbl>
    <w:p w14:paraId="1C0AAA48" w14:textId="77777777" w:rsidR="00280959" w:rsidRPr="002D2F67" w:rsidRDefault="00ED42E5" w:rsidP="00FD6FB5">
      <w:pPr>
        <w:ind w:right="-72"/>
        <w:jc w:val="right"/>
        <w:rPr>
          <w:rFonts w:ascii="Arial" w:hAnsi="Arial" w:cs="Arial"/>
          <w:color w:val="000000"/>
          <w:sz w:val="20"/>
          <w:szCs w:val="20"/>
        </w:rPr>
      </w:pPr>
      <w:r w:rsidRPr="002D2F67">
        <w:rPr>
          <w:rFonts w:ascii="Arial" w:hAnsi="Arial" w:cs="Arial"/>
          <w:color w:val="000000"/>
          <w:sz w:val="20"/>
          <w:szCs w:val="20"/>
        </w:rPr>
        <w:br w:type="page"/>
      </w:r>
    </w:p>
    <w:p w14:paraId="130C6775" w14:textId="7F5EE320" w:rsidR="00280959" w:rsidRPr="002D2F67" w:rsidRDefault="00020F48" w:rsidP="001A4AC6">
      <w:pPr>
        <w:ind w:left="532"/>
        <w:jc w:val="thaiDistribute"/>
        <w:rPr>
          <w:rFonts w:ascii="Arial" w:hAnsi="Arial" w:cs="Arial"/>
          <w:color w:val="000000"/>
          <w:sz w:val="20"/>
          <w:szCs w:val="20"/>
        </w:rPr>
      </w:pPr>
      <w:r w:rsidRPr="002D2F67">
        <w:rPr>
          <w:rFonts w:ascii="Arial" w:hAnsi="Arial" w:cs="Arial"/>
          <w:color w:val="000000"/>
          <w:spacing w:val="-4"/>
          <w:sz w:val="20"/>
          <w:szCs w:val="20"/>
        </w:rPr>
        <w:t>S</w:t>
      </w:r>
      <w:r w:rsidR="00280959" w:rsidRPr="002D2F67">
        <w:rPr>
          <w:rFonts w:ascii="Arial" w:hAnsi="Arial" w:cs="Arial"/>
          <w:color w:val="000000"/>
          <w:spacing w:val="-4"/>
          <w:sz w:val="20"/>
          <w:szCs w:val="20"/>
        </w:rPr>
        <w:t>ecured with the deposits at a financial institution, land, factory building, machinery and equipment</w:t>
      </w:r>
      <w:r w:rsidR="00280959" w:rsidRPr="002D2F67">
        <w:rPr>
          <w:rFonts w:ascii="Arial" w:hAnsi="Arial" w:cs="Arial"/>
          <w:color w:val="000000"/>
          <w:sz w:val="20"/>
          <w:szCs w:val="20"/>
        </w:rPr>
        <w:t xml:space="preserve"> </w:t>
      </w:r>
      <w:r w:rsidR="00280959" w:rsidRPr="002D2F67">
        <w:rPr>
          <w:rFonts w:ascii="Arial" w:hAnsi="Arial" w:cs="Arial"/>
          <w:color w:val="000000"/>
          <w:spacing w:val="-6"/>
          <w:sz w:val="20"/>
          <w:szCs w:val="20"/>
        </w:rPr>
        <w:t>used by the Group, right to collect proceeds from land and factory building rental contract of the Group,</w:t>
      </w:r>
      <w:r w:rsidR="00280959" w:rsidRPr="002D2F67">
        <w:rPr>
          <w:rFonts w:ascii="Arial" w:hAnsi="Arial" w:cs="Arial"/>
          <w:color w:val="000000"/>
          <w:sz w:val="20"/>
          <w:szCs w:val="20"/>
        </w:rPr>
        <w:t xml:space="preserve"> pledging the subsidiaries’ ordinary shares (Note </w:t>
      </w:r>
      <w:r w:rsidR="00CD5714" w:rsidRPr="00CD5714">
        <w:rPr>
          <w:rFonts w:ascii="Arial" w:hAnsi="Arial" w:cs="Arial"/>
          <w:color w:val="000000"/>
          <w:sz w:val="20"/>
          <w:szCs w:val="20"/>
          <w:lang w:val="en-GB"/>
        </w:rPr>
        <w:t>21</w:t>
      </w:r>
      <w:r w:rsidR="00280959" w:rsidRPr="002D2F67">
        <w:rPr>
          <w:rFonts w:ascii="Arial" w:hAnsi="Arial" w:cs="Arial"/>
          <w:color w:val="000000"/>
          <w:sz w:val="20"/>
          <w:szCs w:val="20"/>
        </w:rPr>
        <w:t xml:space="preserve">) and assignment of insurance contracts. These </w:t>
      </w:r>
      <w:r w:rsidR="00280959" w:rsidRPr="002D2F67">
        <w:rPr>
          <w:rFonts w:ascii="Arial" w:hAnsi="Arial" w:cs="Arial"/>
          <w:color w:val="000000"/>
          <w:spacing w:val="-4"/>
          <w:sz w:val="20"/>
          <w:szCs w:val="20"/>
        </w:rPr>
        <w:t>loans were secured by the Company. The subsidiaries must comply with certain terms and conditions</w:t>
      </w:r>
      <w:r w:rsidR="00280959" w:rsidRPr="002D2F67">
        <w:rPr>
          <w:rFonts w:ascii="Arial" w:hAnsi="Arial" w:cs="Arial"/>
          <w:color w:val="000000"/>
          <w:sz w:val="20"/>
          <w:szCs w:val="20"/>
        </w:rPr>
        <w:t xml:space="preserve"> as specified in the long-term loan agreement with financial institutions; for example, by maintaining the debt-to-equity ratio and the debt service coverage ratio at the specified level.</w:t>
      </w:r>
    </w:p>
    <w:p w14:paraId="45CFB95F" w14:textId="370AB1BE" w:rsidR="00132ADF" w:rsidRPr="002D2F67" w:rsidRDefault="00132ADF" w:rsidP="00FE68F3">
      <w:pPr>
        <w:jc w:val="thaiDistribute"/>
        <w:rPr>
          <w:rFonts w:ascii="Arial" w:hAnsi="Arial" w:cs="Arial"/>
          <w:color w:val="000000"/>
          <w:sz w:val="20"/>
          <w:szCs w:val="20"/>
        </w:rPr>
      </w:pPr>
    </w:p>
    <w:p w14:paraId="3FE9807A" w14:textId="4CED0C03" w:rsidR="006A0A93" w:rsidRPr="002D2F67" w:rsidRDefault="006A0A93" w:rsidP="005611FE">
      <w:pPr>
        <w:ind w:left="532"/>
        <w:jc w:val="both"/>
        <w:rPr>
          <w:rFonts w:ascii="Arial" w:hAnsi="Arial" w:cs="Arial"/>
          <w:b/>
          <w:bCs/>
          <w:color w:val="000000"/>
          <w:sz w:val="20"/>
          <w:szCs w:val="20"/>
        </w:rPr>
      </w:pPr>
      <w:r w:rsidRPr="002D2F67">
        <w:rPr>
          <w:rFonts w:ascii="Arial" w:hAnsi="Arial" w:cs="Arial"/>
          <w:b/>
          <w:bCs/>
          <w:color w:val="000000"/>
          <w:sz w:val="20"/>
          <w:szCs w:val="20"/>
        </w:rPr>
        <w:t xml:space="preserve">Credit facilities for </w:t>
      </w:r>
      <w:r w:rsidR="007C1DBC" w:rsidRPr="002D2F67">
        <w:rPr>
          <w:rFonts w:ascii="Arial" w:hAnsi="Arial" w:cs="Arial"/>
          <w:b/>
          <w:bCs/>
          <w:color w:val="000000"/>
          <w:sz w:val="20"/>
          <w:szCs w:val="20"/>
        </w:rPr>
        <w:t>long</w:t>
      </w:r>
      <w:r w:rsidRPr="002D2F67">
        <w:rPr>
          <w:rFonts w:ascii="Arial" w:hAnsi="Arial" w:cs="Arial"/>
          <w:b/>
          <w:bCs/>
          <w:color w:val="000000"/>
          <w:sz w:val="20"/>
          <w:szCs w:val="20"/>
        </w:rPr>
        <w:t>-term loans</w:t>
      </w:r>
    </w:p>
    <w:p w14:paraId="677256AE" w14:textId="691E3C4C" w:rsidR="00132ADF" w:rsidRPr="002D2F67" w:rsidRDefault="00132ADF" w:rsidP="005611FE">
      <w:pPr>
        <w:ind w:left="540"/>
        <w:jc w:val="thaiDistribute"/>
        <w:rPr>
          <w:rFonts w:ascii="Arial" w:hAnsi="Arial" w:cs="Arial"/>
          <w:color w:val="000000"/>
          <w:sz w:val="20"/>
          <w:szCs w:val="20"/>
        </w:rPr>
      </w:pPr>
    </w:p>
    <w:p w14:paraId="7F7034B1" w14:textId="1691DFE2" w:rsidR="009C4AA6" w:rsidRPr="002D2F67" w:rsidRDefault="009C4AA6" w:rsidP="005611FE">
      <w:pPr>
        <w:ind w:left="540"/>
        <w:jc w:val="thaiDistribute"/>
        <w:rPr>
          <w:rFonts w:ascii="Arial" w:hAnsi="Arial" w:cs="Arial"/>
          <w:color w:val="000000"/>
          <w:spacing w:val="-3"/>
          <w:sz w:val="20"/>
          <w:szCs w:val="20"/>
        </w:rPr>
      </w:pPr>
      <w:r w:rsidRPr="002D2F67">
        <w:rPr>
          <w:rFonts w:ascii="Arial" w:hAnsi="Arial" w:cs="Arial"/>
          <w:color w:val="000000"/>
          <w:sz w:val="20"/>
          <w:szCs w:val="20"/>
        </w:rPr>
        <w:t xml:space="preserve">As </w:t>
      </w:r>
      <w:proofErr w:type="gramStart"/>
      <w:r w:rsidRPr="002D2F67">
        <w:rPr>
          <w:rFonts w:ascii="Arial" w:hAnsi="Arial" w:cs="Arial"/>
          <w:color w:val="000000"/>
          <w:sz w:val="20"/>
          <w:szCs w:val="20"/>
        </w:rPr>
        <w:t>at</w:t>
      </w:r>
      <w:proofErr w:type="gramEnd"/>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31</w:t>
      </w:r>
      <w:r w:rsidRPr="002D2F67">
        <w:rPr>
          <w:rFonts w:ascii="Arial" w:hAnsi="Arial" w:cs="Arial"/>
          <w:color w:val="000000"/>
          <w:sz w:val="20"/>
          <w:szCs w:val="20"/>
        </w:rPr>
        <w:t xml:space="preserve"> December </w:t>
      </w:r>
      <w:r w:rsidR="00CD5714" w:rsidRPr="00CD5714">
        <w:rPr>
          <w:rFonts w:ascii="Arial" w:hAnsi="Arial" w:cs="Arial"/>
          <w:color w:val="000000"/>
          <w:sz w:val="20"/>
          <w:szCs w:val="20"/>
          <w:lang w:val="en-GB"/>
        </w:rPr>
        <w:t>2024</w:t>
      </w:r>
      <w:r w:rsidR="0078133C" w:rsidRPr="002D2F67">
        <w:rPr>
          <w:rFonts w:ascii="Arial" w:hAnsi="Arial" w:cs="Arial"/>
          <w:color w:val="000000"/>
          <w:sz w:val="20"/>
          <w:szCs w:val="20"/>
        </w:rPr>
        <w:t xml:space="preserve"> and </w:t>
      </w:r>
      <w:r w:rsidR="00CD5714" w:rsidRPr="00CD5714">
        <w:rPr>
          <w:rFonts w:ascii="Arial" w:hAnsi="Arial" w:cs="Arial"/>
          <w:color w:val="000000"/>
          <w:sz w:val="20"/>
          <w:szCs w:val="20"/>
          <w:lang w:val="en-GB"/>
        </w:rPr>
        <w:t>2023</w:t>
      </w:r>
      <w:r w:rsidRPr="002D2F67">
        <w:rPr>
          <w:rFonts w:ascii="Arial" w:hAnsi="Arial" w:cs="Arial"/>
          <w:color w:val="000000"/>
          <w:sz w:val="20"/>
          <w:szCs w:val="20"/>
        </w:rPr>
        <w:t>, the Group</w:t>
      </w:r>
      <w:r w:rsidR="000C49DE" w:rsidRPr="002D2F67">
        <w:rPr>
          <w:rFonts w:ascii="Arial" w:hAnsi="Arial" w:cs="Arial"/>
          <w:color w:val="000000"/>
          <w:sz w:val="20"/>
          <w:szCs w:val="20"/>
        </w:rPr>
        <w:t xml:space="preserve"> and the Company</w:t>
      </w:r>
      <w:r w:rsidRPr="002D2F67">
        <w:rPr>
          <w:rFonts w:ascii="Arial" w:hAnsi="Arial" w:cs="Arial"/>
          <w:color w:val="000000"/>
          <w:sz w:val="20"/>
          <w:szCs w:val="20"/>
        </w:rPr>
        <w:t xml:space="preserve"> ha</w:t>
      </w:r>
      <w:r w:rsidR="00031DE3" w:rsidRPr="002D2F67">
        <w:rPr>
          <w:rFonts w:ascii="Arial" w:hAnsi="Arial" w:cs="Arial"/>
          <w:color w:val="000000"/>
          <w:sz w:val="20"/>
          <w:szCs w:val="20"/>
        </w:rPr>
        <w:t>d</w:t>
      </w:r>
      <w:r w:rsidRPr="002D2F67">
        <w:rPr>
          <w:rFonts w:ascii="Arial" w:hAnsi="Arial" w:cs="Arial"/>
          <w:color w:val="000000"/>
          <w:sz w:val="20"/>
          <w:szCs w:val="20"/>
        </w:rPr>
        <w:t xml:space="preserve"> </w:t>
      </w:r>
      <w:r w:rsidR="006632C3" w:rsidRPr="002D2F67">
        <w:rPr>
          <w:rFonts w:ascii="Arial" w:hAnsi="Arial" w:cs="Arial"/>
          <w:color w:val="000000"/>
          <w:sz w:val="20"/>
          <w:szCs w:val="20"/>
        </w:rPr>
        <w:t xml:space="preserve">no </w:t>
      </w:r>
      <w:r w:rsidR="00864DA0" w:rsidRPr="002D2F67">
        <w:rPr>
          <w:rFonts w:ascii="Arial" w:hAnsi="Arial" w:cs="Arial"/>
          <w:color w:val="000000"/>
          <w:sz w:val="20"/>
          <w:szCs w:val="20"/>
        </w:rPr>
        <w:t>available</w:t>
      </w:r>
      <w:r w:rsidRPr="002D2F67">
        <w:rPr>
          <w:rFonts w:ascii="Arial" w:hAnsi="Arial" w:cs="Arial"/>
          <w:color w:val="000000"/>
          <w:sz w:val="20"/>
          <w:szCs w:val="20"/>
        </w:rPr>
        <w:t xml:space="preserve"> credit </w:t>
      </w:r>
      <w:r w:rsidR="00864DA0" w:rsidRPr="002D2F67">
        <w:rPr>
          <w:rFonts w:ascii="Arial" w:hAnsi="Arial" w:cs="Arial"/>
          <w:color w:val="000000"/>
          <w:sz w:val="20"/>
          <w:szCs w:val="20"/>
        </w:rPr>
        <w:t>facilities</w:t>
      </w:r>
      <w:r w:rsidRPr="002D2F67">
        <w:rPr>
          <w:rFonts w:ascii="Arial" w:hAnsi="Arial" w:cs="Arial"/>
          <w:color w:val="000000"/>
          <w:sz w:val="20"/>
          <w:szCs w:val="20"/>
        </w:rPr>
        <w:t xml:space="preserve"> of long-term</w:t>
      </w:r>
      <w:r w:rsidRPr="002D2F67">
        <w:rPr>
          <w:rFonts w:ascii="Arial" w:hAnsi="Arial" w:cs="Arial"/>
          <w:color w:val="000000"/>
          <w:spacing w:val="-4"/>
          <w:sz w:val="20"/>
          <w:szCs w:val="20"/>
        </w:rPr>
        <w:t xml:space="preserve"> loans from financial institutions</w:t>
      </w:r>
      <w:r w:rsidR="001C502B" w:rsidRPr="002D2F67">
        <w:rPr>
          <w:rFonts w:ascii="Arial" w:hAnsi="Arial" w:cs="Arial"/>
          <w:color w:val="000000"/>
          <w:spacing w:val="-3"/>
          <w:sz w:val="20"/>
          <w:szCs w:val="20"/>
        </w:rPr>
        <w:t>.</w:t>
      </w:r>
    </w:p>
    <w:bookmarkEnd w:id="8"/>
    <w:p w14:paraId="06E46C52" w14:textId="2CC051A0" w:rsidR="00132ADF" w:rsidRPr="002D2F67" w:rsidRDefault="00132ADF" w:rsidP="005611FE">
      <w:pPr>
        <w:jc w:val="thaiDistribute"/>
        <w:rPr>
          <w:rFonts w:ascii="Arial" w:hAnsi="Arial" w:cs="Arial"/>
          <w:color w:val="000000"/>
          <w:sz w:val="20"/>
          <w:szCs w:val="20"/>
        </w:rPr>
      </w:pPr>
    </w:p>
    <w:p w14:paraId="2F0F3199" w14:textId="02C36860" w:rsidR="00B4267B" w:rsidRPr="002D2F67" w:rsidRDefault="00CD5714" w:rsidP="005611FE">
      <w:pPr>
        <w:pStyle w:val="EASUBHEAD6"/>
        <w:rPr>
          <w:b/>
          <w:bCs/>
          <w:color w:val="000000"/>
          <w:sz w:val="20"/>
          <w:szCs w:val="20"/>
        </w:rPr>
      </w:pPr>
      <w:r w:rsidRPr="00CD5714">
        <w:rPr>
          <w:b/>
          <w:bCs/>
          <w:color w:val="000000"/>
          <w:sz w:val="20"/>
          <w:szCs w:val="20"/>
          <w:lang w:val="en-GB"/>
        </w:rPr>
        <w:t>29</w:t>
      </w:r>
      <w:r w:rsidR="00B4267B" w:rsidRPr="002D2F67">
        <w:rPr>
          <w:b/>
          <w:bCs/>
          <w:color w:val="000000"/>
          <w:sz w:val="20"/>
          <w:szCs w:val="20"/>
        </w:rPr>
        <w:t>.</w:t>
      </w:r>
      <w:r w:rsidRPr="00CD5714">
        <w:rPr>
          <w:b/>
          <w:bCs/>
          <w:color w:val="000000"/>
          <w:sz w:val="20"/>
          <w:szCs w:val="20"/>
          <w:lang w:val="en-GB"/>
        </w:rPr>
        <w:t>2</w:t>
      </w:r>
      <w:r w:rsidR="00B4267B" w:rsidRPr="002D2F67">
        <w:rPr>
          <w:b/>
          <w:bCs/>
          <w:color w:val="000000"/>
          <w:sz w:val="20"/>
          <w:szCs w:val="20"/>
        </w:rPr>
        <w:tab/>
        <w:t>Terms of maturity of long-term loans from financial institutions</w:t>
      </w:r>
    </w:p>
    <w:p w14:paraId="74EE77B8" w14:textId="77777777" w:rsidR="00B4267B" w:rsidRPr="002D2F67" w:rsidRDefault="00B4267B" w:rsidP="005611FE">
      <w:pPr>
        <w:ind w:left="540"/>
        <w:jc w:val="thaiDistribute"/>
        <w:rPr>
          <w:rFonts w:ascii="Arial" w:hAnsi="Arial" w:cs="Arial"/>
          <w:color w:val="000000"/>
          <w:sz w:val="20"/>
          <w:szCs w:val="20"/>
        </w:rPr>
      </w:pPr>
    </w:p>
    <w:tbl>
      <w:tblPr>
        <w:tblW w:w="4600" w:type="pct"/>
        <w:tblInd w:w="657" w:type="dxa"/>
        <w:tblLook w:val="0000" w:firstRow="0" w:lastRow="0" w:firstColumn="0" w:lastColumn="0" w:noHBand="0" w:noVBand="0"/>
      </w:tblPr>
      <w:tblGrid>
        <w:gridCol w:w="3140"/>
        <w:gridCol w:w="1440"/>
        <w:gridCol w:w="1440"/>
        <w:gridCol w:w="1440"/>
        <w:gridCol w:w="1440"/>
      </w:tblGrid>
      <w:tr w:rsidR="001E6C66" w:rsidRPr="002D2F67" w14:paraId="0D2238CB" w14:textId="77777777" w:rsidTr="008255E8">
        <w:trPr>
          <w:cantSplit/>
        </w:trPr>
        <w:tc>
          <w:tcPr>
            <w:tcW w:w="1764" w:type="pct"/>
            <w:shd w:val="clear" w:color="auto" w:fill="auto"/>
          </w:tcPr>
          <w:p w14:paraId="58DB466B" w14:textId="77777777" w:rsidR="001E6C66" w:rsidRPr="002D2F67" w:rsidRDefault="001E6C66" w:rsidP="005611FE">
            <w:pPr>
              <w:ind w:left="-85" w:hanging="27"/>
              <w:rPr>
                <w:rFonts w:ascii="Arial" w:hAnsi="Arial" w:cs="Arial"/>
                <w:b/>
                <w:bCs/>
                <w:color w:val="000000"/>
                <w:sz w:val="20"/>
                <w:szCs w:val="20"/>
              </w:rPr>
            </w:pPr>
          </w:p>
        </w:tc>
        <w:tc>
          <w:tcPr>
            <w:tcW w:w="1618" w:type="pct"/>
            <w:gridSpan w:val="2"/>
            <w:tcBorders>
              <w:bottom w:val="single" w:sz="4" w:space="0" w:color="auto"/>
            </w:tcBorders>
            <w:shd w:val="clear" w:color="auto" w:fill="auto"/>
          </w:tcPr>
          <w:p w14:paraId="6F294F95"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1EDF09BB"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1618" w:type="pct"/>
            <w:gridSpan w:val="2"/>
            <w:tcBorders>
              <w:bottom w:val="single" w:sz="4" w:space="0" w:color="auto"/>
            </w:tcBorders>
            <w:shd w:val="clear" w:color="auto" w:fill="auto"/>
          </w:tcPr>
          <w:p w14:paraId="6D85157C"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Separate </w:t>
            </w:r>
          </w:p>
          <w:p w14:paraId="25962BFC"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5754BE" w:rsidRPr="002D2F67" w14:paraId="7812A6B3" w14:textId="77777777" w:rsidTr="005611FE">
        <w:tc>
          <w:tcPr>
            <w:tcW w:w="1764" w:type="pct"/>
            <w:shd w:val="clear" w:color="auto" w:fill="auto"/>
          </w:tcPr>
          <w:p w14:paraId="74E979D7" w14:textId="233E80E2" w:rsidR="005754BE" w:rsidRPr="002D2F67" w:rsidRDefault="006276B3" w:rsidP="005611FE">
            <w:pPr>
              <w:ind w:left="-85" w:hanging="27"/>
              <w:rPr>
                <w:rFonts w:ascii="Arial" w:hAnsi="Arial" w:cs="Arial"/>
                <w:b/>
                <w:bCs/>
                <w:color w:val="000000"/>
                <w:sz w:val="20"/>
                <w:szCs w:val="20"/>
              </w:rPr>
            </w:pPr>
            <w:r w:rsidRPr="002D2F67">
              <w:rPr>
                <w:rFonts w:ascii="Arial" w:hAnsi="Arial" w:cs="Arial"/>
                <w:b/>
                <w:bCs/>
                <w:color w:val="000000"/>
                <w:sz w:val="20"/>
                <w:szCs w:val="20"/>
              </w:rPr>
              <w:t xml:space="preserve">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w:t>
            </w:r>
          </w:p>
        </w:tc>
        <w:tc>
          <w:tcPr>
            <w:tcW w:w="809" w:type="pct"/>
            <w:tcBorders>
              <w:top w:val="single" w:sz="4" w:space="0" w:color="auto"/>
            </w:tcBorders>
            <w:shd w:val="clear" w:color="auto" w:fill="auto"/>
          </w:tcPr>
          <w:p w14:paraId="3BF432DA" w14:textId="428772D1" w:rsidR="005754BE"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809" w:type="pct"/>
            <w:tcBorders>
              <w:top w:val="single" w:sz="4" w:space="0" w:color="auto"/>
            </w:tcBorders>
            <w:shd w:val="clear" w:color="auto" w:fill="auto"/>
          </w:tcPr>
          <w:p w14:paraId="224FB7E1" w14:textId="35D2A4AE" w:rsidR="005754BE"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c>
          <w:tcPr>
            <w:tcW w:w="809" w:type="pct"/>
            <w:tcBorders>
              <w:top w:val="single" w:sz="4" w:space="0" w:color="auto"/>
            </w:tcBorders>
            <w:shd w:val="clear" w:color="auto" w:fill="auto"/>
          </w:tcPr>
          <w:p w14:paraId="674DEEAE" w14:textId="51E0D476" w:rsidR="005754BE"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809" w:type="pct"/>
            <w:tcBorders>
              <w:top w:val="single" w:sz="4" w:space="0" w:color="auto"/>
            </w:tcBorders>
            <w:shd w:val="clear" w:color="auto" w:fill="auto"/>
          </w:tcPr>
          <w:p w14:paraId="33CA6F0A" w14:textId="5E36FFA8" w:rsidR="005754BE"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5754BE" w:rsidRPr="002D2F67" w14:paraId="1D548BBE" w14:textId="77777777" w:rsidTr="005611FE">
        <w:tc>
          <w:tcPr>
            <w:tcW w:w="1764" w:type="pct"/>
            <w:shd w:val="clear" w:color="auto" w:fill="auto"/>
          </w:tcPr>
          <w:p w14:paraId="7E921995" w14:textId="77777777" w:rsidR="005754BE" w:rsidRPr="002D2F67" w:rsidRDefault="005754BE" w:rsidP="005611FE">
            <w:pPr>
              <w:ind w:left="-85" w:hanging="27"/>
              <w:rPr>
                <w:rFonts w:ascii="Arial" w:hAnsi="Arial" w:cs="Arial"/>
                <w:color w:val="000000"/>
                <w:sz w:val="20"/>
                <w:szCs w:val="20"/>
              </w:rPr>
            </w:pPr>
          </w:p>
        </w:tc>
        <w:tc>
          <w:tcPr>
            <w:tcW w:w="809" w:type="pct"/>
            <w:tcBorders>
              <w:bottom w:val="single" w:sz="4" w:space="0" w:color="auto"/>
            </w:tcBorders>
            <w:shd w:val="clear" w:color="auto" w:fill="auto"/>
          </w:tcPr>
          <w:p w14:paraId="45EC735F" w14:textId="4814C818" w:rsidR="005754BE" w:rsidRPr="002D2F67" w:rsidRDefault="005754BE"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132ADF" w:rsidRPr="002D2F67">
              <w:rPr>
                <w:rFonts w:ascii="Arial" w:hAnsi="Arial" w:cs="Arial"/>
                <w:b/>
                <w:bCs/>
                <w:color w:val="000000"/>
                <w:sz w:val="20"/>
                <w:szCs w:val="20"/>
              </w:rPr>
              <w:t>’</w:t>
            </w:r>
            <w:r w:rsidR="00CD5714" w:rsidRPr="00CD5714">
              <w:rPr>
                <w:rFonts w:ascii="Arial" w:hAnsi="Arial" w:cs="Arial"/>
                <w:b/>
                <w:bCs/>
                <w:color w:val="000000"/>
                <w:sz w:val="20"/>
                <w:szCs w:val="20"/>
                <w:lang w:val="en-GB"/>
              </w:rPr>
              <w:t>000</w:t>
            </w:r>
          </w:p>
        </w:tc>
        <w:tc>
          <w:tcPr>
            <w:tcW w:w="809" w:type="pct"/>
            <w:tcBorders>
              <w:bottom w:val="single" w:sz="4" w:space="0" w:color="auto"/>
            </w:tcBorders>
            <w:shd w:val="clear" w:color="auto" w:fill="auto"/>
          </w:tcPr>
          <w:p w14:paraId="1B12E24C" w14:textId="139D1AE7" w:rsidR="005754BE" w:rsidRPr="002D2F67" w:rsidRDefault="00132ADF"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809" w:type="pct"/>
            <w:tcBorders>
              <w:bottom w:val="single" w:sz="4" w:space="0" w:color="auto"/>
            </w:tcBorders>
            <w:shd w:val="clear" w:color="auto" w:fill="auto"/>
          </w:tcPr>
          <w:p w14:paraId="3E804ED5" w14:textId="2CE89640" w:rsidR="005754BE" w:rsidRPr="002D2F67" w:rsidRDefault="00132ADF"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809" w:type="pct"/>
            <w:tcBorders>
              <w:bottom w:val="single" w:sz="4" w:space="0" w:color="auto"/>
            </w:tcBorders>
            <w:shd w:val="clear" w:color="auto" w:fill="auto"/>
          </w:tcPr>
          <w:p w14:paraId="5B5D1752" w14:textId="50942404" w:rsidR="005754BE" w:rsidRPr="002D2F67" w:rsidRDefault="00132ADF"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1E6C66" w:rsidRPr="002D2F67" w14:paraId="68CA90FF" w14:textId="77777777" w:rsidTr="005611FE">
        <w:tc>
          <w:tcPr>
            <w:tcW w:w="1764" w:type="pct"/>
            <w:shd w:val="clear" w:color="auto" w:fill="auto"/>
          </w:tcPr>
          <w:p w14:paraId="4F81C187" w14:textId="77777777" w:rsidR="001E6C66" w:rsidRPr="002D2F67" w:rsidRDefault="001E6C66" w:rsidP="005611FE">
            <w:pPr>
              <w:ind w:left="-85" w:hanging="27"/>
              <w:rPr>
                <w:rFonts w:ascii="Arial" w:hAnsi="Arial" w:cs="Arial"/>
                <w:color w:val="000000"/>
                <w:sz w:val="20"/>
                <w:szCs w:val="20"/>
              </w:rPr>
            </w:pPr>
          </w:p>
        </w:tc>
        <w:tc>
          <w:tcPr>
            <w:tcW w:w="809" w:type="pct"/>
            <w:tcBorders>
              <w:top w:val="single" w:sz="4" w:space="0" w:color="auto"/>
            </w:tcBorders>
            <w:shd w:val="clear" w:color="auto" w:fill="auto"/>
          </w:tcPr>
          <w:p w14:paraId="3FEA3926" w14:textId="77777777" w:rsidR="001E6C66" w:rsidRPr="002D2F67" w:rsidRDefault="001E6C66" w:rsidP="005611FE">
            <w:pPr>
              <w:tabs>
                <w:tab w:val="left" w:pos="709"/>
              </w:tabs>
              <w:ind w:right="-72"/>
              <w:rPr>
                <w:rFonts w:ascii="Arial" w:hAnsi="Arial" w:cs="Arial"/>
                <w:color w:val="000000"/>
                <w:sz w:val="20"/>
                <w:szCs w:val="20"/>
              </w:rPr>
            </w:pPr>
          </w:p>
        </w:tc>
        <w:tc>
          <w:tcPr>
            <w:tcW w:w="809" w:type="pct"/>
            <w:tcBorders>
              <w:top w:val="single" w:sz="4" w:space="0" w:color="auto"/>
            </w:tcBorders>
            <w:shd w:val="clear" w:color="auto" w:fill="auto"/>
          </w:tcPr>
          <w:p w14:paraId="179F503B" w14:textId="77777777" w:rsidR="001E6C66" w:rsidRPr="002D2F67" w:rsidRDefault="001E6C66" w:rsidP="005611FE">
            <w:pPr>
              <w:tabs>
                <w:tab w:val="left" w:pos="709"/>
              </w:tabs>
              <w:ind w:right="-72"/>
              <w:rPr>
                <w:rFonts w:ascii="Arial" w:hAnsi="Arial" w:cs="Arial"/>
                <w:color w:val="000000"/>
                <w:sz w:val="20"/>
                <w:szCs w:val="20"/>
              </w:rPr>
            </w:pPr>
          </w:p>
        </w:tc>
        <w:tc>
          <w:tcPr>
            <w:tcW w:w="809" w:type="pct"/>
            <w:tcBorders>
              <w:top w:val="single" w:sz="4" w:space="0" w:color="auto"/>
            </w:tcBorders>
            <w:shd w:val="clear" w:color="auto" w:fill="auto"/>
          </w:tcPr>
          <w:p w14:paraId="55D5B0B6" w14:textId="77777777" w:rsidR="001E6C66" w:rsidRPr="002D2F67" w:rsidRDefault="001E6C66" w:rsidP="005611FE">
            <w:pPr>
              <w:tabs>
                <w:tab w:val="left" w:pos="709"/>
              </w:tabs>
              <w:ind w:right="-72"/>
              <w:rPr>
                <w:rFonts w:ascii="Arial" w:hAnsi="Arial" w:cs="Arial"/>
                <w:color w:val="000000"/>
                <w:sz w:val="20"/>
                <w:szCs w:val="20"/>
              </w:rPr>
            </w:pPr>
          </w:p>
        </w:tc>
        <w:tc>
          <w:tcPr>
            <w:tcW w:w="809" w:type="pct"/>
            <w:tcBorders>
              <w:top w:val="single" w:sz="4" w:space="0" w:color="auto"/>
            </w:tcBorders>
            <w:shd w:val="clear" w:color="auto" w:fill="auto"/>
          </w:tcPr>
          <w:p w14:paraId="01E928B0" w14:textId="77777777" w:rsidR="001E6C66" w:rsidRPr="002D2F67" w:rsidRDefault="001E6C66" w:rsidP="005611FE">
            <w:pPr>
              <w:tabs>
                <w:tab w:val="left" w:pos="709"/>
              </w:tabs>
              <w:ind w:right="-72"/>
              <w:rPr>
                <w:rFonts w:ascii="Arial" w:hAnsi="Arial" w:cs="Arial"/>
                <w:color w:val="000000"/>
                <w:sz w:val="20"/>
                <w:szCs w:val="20"/>
              </w:rPr>
            </w:pPr>
          </w:p>
        </w:tc>
      </w:tr>
      <w:tr w:rsidR="00972AF0" w:rsidRPr="002D2F67" w14:paraId="5A952647" w14:textId="77777777" w:rsidTr="005611FE">
        <w:trPr>
          <w:trHeight w:val="80"/>
        </w:trPr>
        <w:tc>
          <w:tcPr>
            <w:tcW w:w="1764" w:type="pct"/>
            <w:shd w:val="clear" w:color="auto" w:fill="auto"/>
          </w:tcPr>
          <w:p w14:paraId="3E297529" w14:textId="74C1062D" w:rsidR="00972AF0" w:rsidRPr="002D2F67" w:rsidRDefault="00972AF0" w:rsidP="005611FE">
            <w:pPr>
              <w:tabs>
                <w:tab w:val="left" w:pos="1134"/>
                <w:tab w:val="left" w:pos="1276"/>
                <w:tab w:val="center" w:pos="3402"/>
                <w:tab w:val="center" w:pos="4536"/>
                <w:tab w:val="center" w:pos="5670"/>
                <w:tab w:val="center" w:pos="6804"/>
                <w:tab w:val="right" w:pos="7655"/>
              </w:tabs>
              <w:ind w:left="-85" w:right="-158" w:hanging="27"/>
              <w:rPr>
                <w:rFonts w:ascii="Arial" w:hAnsi="Arial" w:cs="Arial"/>
                <w:color w:val="000000"/>
                <w:spacing w:val="-4"/>
                <w:sz w:val="20"/>
                <w:szCs w:val="20"/>
              </w:rPr>
            </w:pPr>
            <w:r w:rsidRPr="002D2F67">
              <w:rPr>
                <w:rFonts w:ascii="Arial" w:hAnsi="Arial" w:cs="Arial"/>
                <w:color w:val="000000"/>
                <w:spacing w:val="-4"/>
                <w:sz w:val="20"/>
                <w:szCs w:val="20"/>
              </w:rPr>
              <w:t xml:space="preserve">Within </w:t>
            </w:r>
            <w:r w:rsidR="00CD5714" w:rsidRPr="00CD5714">
              <w:rPr>
                <w:rFonts w:ascii="Arial" w:hAnsi="Arial" w:cs="Arial"/>
                <w:color w:val="000000"/>
                <w:spacing w:val="-4"/>
                <w:sz w:val="20"/>
                <w:szCs w:val="20"/>
                <w:lang w:val="en-GB"/>
              </w:rPr>
              <w:t>1</w:t>
            </w:r>
            <w:r w:rsidRPr="002D2F67">
              <w:rPr>
                <w:rFonts w:ascii="Arial" w:hAnsi="Arial" w:cs="Arial"/>
                <w:color w:val="000000"/>
                <w:spacing w:val="-4"/>
                <w:sz w:val="20"/>
                <w:szCs w:val="20"/>
              </w:rPr>
              <w:t xml:space="preserve"> year</w:t>
            </w:r>
          </w:p>
        </w:tc>
        <w:tc>
          <w:tcPr>
            <w:tcW w:w="809" w:type="pct"/>
            <w:shd w:val="clear" w:color="auto" w:fill="auto"/>
            <w:vAlign w:val="bottom"/>
          </w:tcPr>
          <w:p w14:paraId="57806D4D" w14:textId="0190393C" w:rsidR="00972AF0"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7</w:t>
            </w:r>
            <w:r w:rsidR="005869CC" w:rsidRPr="002D2F67">
              <w:rPr>
                <w:rFonts w:ascii="Arial" w:hAnsi="Arial" w:cs="Arial"/>
                <w:color w:val="000000"/>
                <w:sz w:val="20"/>
                <w:szCs w:val="20"/>
              </w:rPr>
              <w:t>,</w:t>
            </w:r>
            <w:r w:rsidRPr="00CD5714">
              <w:rPr>
                <w:rFonts w:ascii="Arial" w:hAnsi="Arial" w:cs="Arial"/>
                <w:color w:val="000000"/>
                <w:sz w:val="20"/>
                <w:szCs w:val="20"/>
                <w:lang w:val="en-GB"/>
              </w:rPr>
              <w:t>783</w:t>
            </w:r>
            <w:r w:rsidR="005869CC" w:rsidRPr="002D2F67">
              <w:rPr>
                <w:rFonts w:ascii="Arial" w:hAnsi="Arial" w:cs="Arial"/>
                <w:color w:val="000000"/>
                <w:sz w:val="20"/>
                <w:szCs w:val="20"/>
              </w:rPr>
              <w:t>,</w:t>
            </w:r>
            <w:r w:rsidRPr="00CD5714">
              <w:rPr>
                <w:rFonts w:ascii="Arial" w:hAnsi="Arial" w:cs="Arial"/>
                <w:color w:val="000000"/>
                <w:sz w:val="20"/>
                <w:szCs w:val="20"/>
                <w:lang w:val="en-GB"/>
              </w:rPr>
              <w:t>683</w:t>
            </w:r>
          </w:p>
        </w:tc>
        <w:tc>
          <w:tcPr>
            <w:tcW w:w="809" w:type="pct"/>
            <w:shd w:val="clear" w:color="auto" w:fill="auto"/>
            <w:vAlign w:val="bottom"/>
          </w:tcPr>
          <w:p w14:paraId="74EE00C8" w14:textId="7F5BC086" w:rsidR="00972AF0"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6</w:t>
            </w:r>
            <w:r w:rsidR="00972AF0" w:rsidRPr="002D2F67">
              <w:rPr>
                <w:rFonts w:ascii="Arial" w:hAnsi="Arial" w:cs="Arial"/>
                <w:color w:val="000000"/>
                <w:sz w:val="20"/>
                <w:szCs w:val="20"/>
              </w:rPr>
              <w:t>,</w:t>
            </w:r>
            <w:r w:rsidRPr="00CD5714">
              <w:rPr>
                <w:rFonts w:ascii="Arial" w:hAnsi="Arial" w:cs="Arial"/>
                <w:color w:val="000000"/>
                <w:sz w:val="20"/>
                <w:szCs w:val="20"/>
                <w:lang w:val="en-GB"/>
              </w:rPr>
              <w:t>932</w:t>
            </w:r>
            <w:r w:rsidR="00972AF0" w:rsidRPr="002D2F67">
              <w:rPr>
                <w:rFonts w:ascii="Arial" w:hAnsi="Arial" w:cs="Arial"/>
                <w:color w:val="000000"/>
                <w:sz w:val="20"/>
                <w:szCs w:val="20"/>
              </w:rPr>
              <w:t>,</w:t>
            </w:r>
            <w:r w:rsidRPr="00CD5714">
              <w:rPr>
                <w:rFonts w:ascii="Arial" w:hAnsi="Arial" w:cs="Arial"/>
                <w:color w:val="000000"/>
                <w:sz w:val="20"/>
                <w:szCs w:val="20"/>
                <w:lang w:val="en-GB"/>
              </w:rPr>
              <w:t>566</w:t>
            </w:r>
          </w:p>
        </w:tc>
        <w:tc>
          <w:tcPr>
            <w:tcW w:w="809" w:type="pct"/>
            <w:shd w:val="clear" w:color="auto" w:fill="auto"/>
            <w:vAlign w:val="bottom"/>
          </w:tcPr>
          <w:p w14:paraId="69A0E261" w14:textId="5925E8BE" w:rsidR="00972AF0"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2</w:t>
            </w:r>
            <w:r w:rsidR="00FD6FB5" w:rsidRPr="002D2F67">
              <w:rPr>
                <w:rFonts w:ascii="Arial" w:hAnsi="Arial" w:cs="Arial"/>
                <w:color w:val="000000"/>
                <w:sz w:val="20"/>
                <w:szCs w:val="20"/>
              </w:rPr>
              <w:t>,</w:t>
            </w:r>
            <w:r w:rsidRPr="00CD5714">
              <w:rPr>
                <w:rFonts w:ascii="Arial" w:hAnsi="Arial" w:cs="Arial"/>
                <w:color w:val="000000"/>
                <w:sz w:val="20"/>
                <w:szCs w:val="20"/>
                <w:lang w:val="en-GB"/>
              </w:rPr>
              <w:t>973</w:t>
            </w:r>
            <w:r w:rsidR="00FD6FB5" w:rsidRPr="002D2F67">
              <w:rPr>
                <w:rFonts w:ascii="Arial" w:hAnsi="Arial" w:cs="Arial"/>
                <w:color w:val="000000"/>
                <w:sz w:val="20"/>
                <w:szCs w:val="20"/>
              </w:rPr>
              <w:t>,</w:t>
            </w:r>
            <w:r w:rsidRPr="00CD5714">
              <w:rPr>
                <w:rFonts w:ascii="Arial" w:hAnsi="Arial" w:cs="Arial"/>
                <w:color w:val="000000"/>
                <w:sz w:val="20"/>
                <w:szCs w:val="20"/>
                <w:lang w:val="en-GB"/>
              </w:rPr>
              <w:t>021</w:t>
            </w:r>
          </w:p>
        </w:tc>
        <w:tc>
          <w:tcPr>
            <w:tcW w:w="809" w:type="pct"/>
            <w:shd w:val="clear" w:color="auto" w:fill="auto"/>
            <w:vAlign w:val="bottom"/>
          </w:tcPr>
          <w:p w14:paraId="5C198877" w14:textId="0A824C4F" w:rsidR="00972AF0"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4</w:t>
            </w:r>
            <w:r w:rsidR="00972AF0" w:rsidRPr="002D2F67">
              <w:rPr>
                <w:rFonts w:ascii="Arial" w:hAnsi="Arial" w:cs="Arial"/>
                <w:color w:val="000000"/>
                <w:sz w:val="20"/>
                <w:szCs w:val="20"/>
              </w:rPr>
              <w:t>,</w:t>
            </w:r>
            <w:r w:rsidRPr="00CD5714">
              <w:rPr>
                <w:rFonts w:ascii="Arial" w:hAnsi="Arial" w:cs="Arial"/>
                <w:color w:val="000000"/>
                <w:sz w:val="20"/>
                <w:szCs w:val="20"/>
                <w:lang w:val="en-GB"/>
              </w:rPr>
              <w:t>577</w:t>
            </w:r>
            <w:r w:rsidR="00972AF0" w:rsidRPr="002D2F67">
              <w:rPr>
                <w:rFonts w:ascii="Arial" w:hAnsi="Arial" w:cs="Arial"/>
                <w:color w:val="000000"/>
                <w:sz w:val="20"/>
                <w:szCs w:val="20"/>
              </w:rPr>
              <w:t>,</w:t>
            </w:r>
            <w:r w:rsidRPr="00CD5714">
              <w:rPr>
                <w:rFonts w:ascii="Arial" w:hAnsi="Arial" w:cs="Arial"/>
                <w:color w:val="000000"/>
                <w:sz w:val="20"/>
                <w:szCs w:val="20"/>
                <w:lang w:val="en-GB"/>
              </w:rPr>
              <w:t>273</w:t>
            </w:r>
          </w:p>
        </w:tc>
      </w:tr>
      <w:tr w:rsidR="00972AF0" w:rsidRPr="002D2F67" w14:paraId="3ABA9F25" w14:textId="77777777" w:rsidTr="005611FE">
        <w:tc>
          <w:tcPr>
            <w:tcW w:w="1764" w:type="pct"/>
            <w:shd w:val="clear" w:color="auto" w:fill="auto"/>
          </w:tcPr>
          <w:p w14:paraId="092FEBD1" w14:textId="0D6100F1" w:rsidR="00972AF0" w:rsidRPr="002D2F67" w:rsidRDefault="00972AF0" w:rsidP="005611FE">
            <w:pPr>
              <w:ind w:left="-85"/>
              <w:rPr>
                <w:rFonts w:ascii="Arial" w:hAnsi="Arial" w:cs="Arial"/>
                <w:color w:val="000000"/>
                <w:spacing w:val="-4"/>
                <w:sz w:val="20"/>
                <w:szCs w:val="20"/>
              </w:rPr>
            </w:pPr>
            <w:r w:rsidRPr="002D2F67">
              <w:rPr>
                <w:rFonts w:ascii="Arial" w:hAnsi="Arial" w:cs="Arial"/>
                <w:color w:val="000000"/>
                <w:sz w:val="20"/>
                <w:szCs w:val="20"/>
              </w:rPr>
              <w:t xml:space="preserve">Later than </w:t>
            </w:r>
            <w:r w:rsidR="00CD5714" w:rsidRPr="00CD5714">
              <w:rPr>
                <w:rFonts w:ascii="Arial" w:hAnsi="Arial" w:cs="Arial"/>
                <w:color w:val="000000"/>
                <w:sz w:val="20"/>
                <w:szCs w:val="20"/>
                <w:lang w:val="en-GB"/>
              </w:rPr>
              <w:t>1</w:t>
            </w:r>
            <w:r w:rsidRPr="002D2F67">
              <w:rPr>
                <w:rFonts w:ascii="Arial" w:hAnsi="Arial" w:cs="Arial"/>
                <w:color w:val="000000"/>
                <w:sz w:val="20"/>
                <w:szCs w:val="20"/>
              </w:rPr>
              <w:t xml:space="preserve"> year to </w:t>
            </w:r>
            <w:r w:rsidR="00CD5714" w:rsidRPr="00CD5714">
              <w:rPr>
                <w:rFonts w:ascii="Arial" w:hAnsi="Arial" w:cs="Arial"/>
                <w:color w:val="000000"/>
                <w:sz w:val="20"/>
                <w:szCs w:val="20"/>
                <w:lang w:val="en-GB"/>
              </w:rPr>
              <w:t>5</w:t>
            </w:r>
            <w:r w:rsidRPr="002D2F67">
              <w:rPr>
                <w:rFonts w:ascii="Arial" w:hAnsi="Arial" w:cs="Arial"/>
                <w:color w:val="000000"/>
                <w:sz w:val="20"/>
                <w:szCs w:val="20"/>
              </w:rPr>
              <w:t xml:space="preserve"> years</w:t>
            </w:r>
          </w:p>
        </w:tc>
        <w:tc>
          <w:tcPr>
            <w:tcW w:w="809" w:type="pct"/>
            <w:shd w:val="clear" w:color="auto" w:fill="auto"/>
            <w:vAlign w:val="bottom"/>
          </w:tcPr>
          <w:p w14:paraId="0E76581E" w14:textId="678D2636" w:rsidR="00972AF0"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16</w:t>
            </w:r>
            <w:r w:rsidR="00FD6FB5" w:rsidRPr="002D2F67">
              <w:rPr>
                <w:rFonts w:ascii="Arial" w:hAnsi="Arial" w:cs="Arial"/>
                <w:color w:val="000000"/>
                <w:sz w:val="20"/>
                <w:szCs w:val="20"/>
              </w:rPr>
              <w:t>,</w:t>
            </w:r>
            <w:r w:rsidRPr="00CD5714">
              <w:rPr>
                <w:rFonts w:ascii="Arial" w:hAnsi="Arial" w:cs="Arial"/>
                <w:color w:val="000000"/>
                <w:sz w:val="20"/>
                <w:szCs w:val="20"/>
                <w:lang w:val="en-GB"/>
              </w:rPr>
              <w:t>582</w:t>
            </w:r>
            <w:r w:rsidR="00FD6FB5" w:rsidRPr="002D2F67">
              <w:rPr>
                <w:rFonts w:ascii="Arial" w:hAnsi="Arial" w:cs="Arial"/>
                <w:color w:val="000000"/>
                <w:sz w:val="20"/>
                <w:szCs w:val="20"/>
              </w:rPr>
              <w:t>,</w:t>
            </w:r>
            <w:r w:rsidRPr="00CD5714">
              <w:rPr>
                <w:rFonts w:ascii="Arial" w:hAnsi="Arial" w:cs="Arial"/>
                <w:color w:val="000000"/>
                <w:sz w:val="20"/>
                <w:szCs w:val="20"/>
                <w:lang w:val="en-GB"/>
              </w:rPr>
              <w:t>350</w:t>
            </w:r>
          </w:p>
        </w:tc>
        <w:tc>
          <w:tcPr>
            <w:tcW w:w="809" w:type="pct"/>
            <w:shd w:val="clear" w:color="auto" w:fill="auto"/>
            <w:vAlign w:val="bottom"/>
          </w:tcPr>
          <w:p w14:paraId="6D1F2A4C" w14:textId="266D3081" w:rsidR="00972AF0"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13</w:t>
            </w:r>
            <w:r w:rsidR="00972AF0" w:rsidRPr="002D2F67">
              <w:rPr>
                <w:rFonts w:ascii="Arial" w:hAnsi="Arial" w:cs="Arial"/>
                <w:color w:val="000000"/>
                <w:sz w:val="20"/>
                <w:szCs w:val="20"/>
              </w:rPr>
              <w:t>,</w:t>
            </w:r>
            <w:r w:rsidRPr="00CD5714">
              <w:rPr>
                <w:rFonts w:ascii="Arial" w:hAnsi="Arial" w:cs="Arial"/>
                <w:color w:val="000000"/>
                <w:sz w:val="20"/>
                <w:szCs w:val="20"/>
                <w:lang w:val="en-GB"/>
              </w:rPr>
              <w:t>474</w:t>
            </w:r>
            <w:r w:rsidR="00972AF0" w:rsidRPr="002D2F67">
              <w:rPr>
                <w:rFonts w:ascii="Arial" w:hAnsi="Arial" w:cs="Arial"/>
                <w:color w:val="000000"/>
                <w:sz w:val="20"/>
                <w:szCs w:val="20"/>
              </w:rPr>
              <w:t>,</w:t>
            </w:r>
            <w:r w:rsidRPr="00CD5714">
              <w:rPr>
                <w:rFonts w:ascii="Arial" w:hAnsi="Arial" w:cs="Arial"/>
                <w:color w:val="000000"/>
                <w:sz w:val="20"/>
                <w:szCs w:val="20"/>
                <w:lang w:val="en-GB"/>
              </w:rPr>
              <w:t>880</w:t>
            </w:r>
          </w:p>
        </w:tc>
        <w:tc>
          <w:tcPr>
            <w:tcW w:w="809" w:type="pct"/>
            <w:shd w:val="clear" w:color="auto" w:fill="auto"/>
            <w:vAlign w:val="bottom"/>
          </w:tcPr>
          <w:p w14:paraId="5FA696AD" w14:textId="32223706" w:rsidR="00972AF0"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8</w:t>
            </w:r>
            <w:r w:rsidR="00FD6FB5" w:rsidRPr="002D2F67">
              <w:rPr>
                <w:rFonts w:ascii="Arial" w:hAnsi="Arial" w:cs="Arial"/>
                <w:color w:val="000000"/>
                <w:sz w:val="20"/>
                <w:szCs w:val="20"/>
              </w:rPr>
              <w:t>,</w:t>
            </w:r>
            <w:r w:rsidRPr="00CD5714">
              <w:rPr>
                <w:rFonts w:ascii="Arial" w:hAnsi="Arial" w:cs="Arial"/>
                <w:color w:val="000000"/>
                <w:sz w:val="20"/>
                <w:szCs w:val="20"/>
                <w:lang w:val="en-GB"/>
              </w:rPr>
              <w:t>017</w:t>
            </w:r>
            <w:r w:rsidR="00FD6FB5" w:rsidRPr="002D2F67">
              <w:rPr>
                <w:rFonts w:ascii="Arial" w:hAnsi="Arial" w:cs="Arial"/>
                <w:color w:val="000000"/>
                <w:sz w:val="20"/>
                <w:szCs w:val="20"/>
              </w:rPr>
              <w:t>,</w:t>
            </w:r>
            <w:r w:rsidRPr="00CD5714">
              <w:rPr>
                <w:rFonts w:ascii="Arial" w:hAnsi="Arial" w:cs="Arial"/>
                <w:color w:val="000000"/>
                <w:sz w:val="20"/>
                <w:szCs w:val="20"/>
                <w:lang w:val="en-GB"/>
              </w:rPr>
              <w:t>891</w:t>
            </w:r>
          </w:p>
        </w:tc>
        <w:tc>
          <w:tcPr>
            <w:tcW w:w="809" w:type="pct"/>
            <w:shd w:val="clear" w:color="auto" w:fill="auto"/>
            <w:vAlign w:val="bottom"/>
          </w:tcPr>
          <w:p w14:paraId="14EF4870" w14:textId="75D055DC" w:rsidR="00972AF0"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7</w:t>
            </w:r>
            <w:r w:rsidR="00972AF0" w:rsidRPr="002D2F67">
              <w:rPr>
                <w:rFonts w:ascii="Arial" w:hAnsi="Arial" w:cs="Arial"/>
                <w:color w:val="000000"/>
                <w:sz w:val="20"/>
                <w:szCs w:val="20"/>
              </w:rPr>
              <w:t>,</w:t>
            </w:r>
            <w:r w:rsidRPr="00CD5714">
              <w:rPr>
                <w:rFonts w:ascii="Arial" w:hAnsi="Arial" w:cs="Arial"/>
                <w:color w:val="000000"/>
                <w:sz w:val="20"/>
                <w:szCs w:val="20"/>
                <w:lang w:val="en-GB"/>
              </w:rPr>
              <w:t>623</w:t>
            </w:r>
            <w:r w:rsidR="00972AF0" w:rsidRPr="002D2F67">
              <w:rPr>
                <w:rFonts w:ascii="Arial" w:hAnsi="Arial" w:cs="Arial"/>
                <w:color w:val="000000"/>
                <w:sz w:val="20"/>
                <w:szCs w:val="20"/>
              </w:rPr>
              <w:t>,</w:t>
            </w:r>
            <w:r w:rsidRPr="00CD5714">
              <w:rPr>
                <w:rFonts w:ascii="Arial" w:hAnsi="Arial" w:cs="Arial"/>
                <w:color w:val="000000"/>
                <w:sz w:val="20"/>
                <w:szCs w:val="20"/>
                <w:lang w:val="en-GB"/>
              </w:rPr>
              <w:t>647</w:t>
            </w:r>
          </w:p>
        </w:tc>
      </w:tr>
      <w:tr w:rsidR="00972AF0" w:rsidRPr="002D2F67" w14:paraId="18D2E613" w14:textId="77777777" w:rsidTr="005611FE">
        <w:tc>
          <w:tcPr>
            <w:tcW w:w="1764" w:type="pct"/>
            <w:shd w:val="clear" w:color="auto" w:fill="auto"/>
          </w:tcPr>
          <w:p w14:paraId="24781999" w14:textId="6DC00526" w:rsidR="00972AF0" w:rsidRPr="002D2F67" w:rsidRDefault="00972AF0" w:rsidP="005611FE">
            <w:pPr>
              <w:ind w:left="-85"/>
              <w:rPr>
                <w:rFonts w:ascii="Arial" w:hAnsi="Arial" w:cs="Arial"/>
                <w:color w:val="000000"/>
                <w:sz w:val="20"/>
                <w:szCs w:val="20"/>
              </w:rPr>
            </w:pPr>
            <w:r w:rsidRPr="002D2F67">
              <w:rPr>
                <w:rFonts w:ascii="Arial" w:hAnsi="Arial" w:cs="Arial"/>
                <w:color w:val="000000"/>
                <w:sz w:val="20"/>
                <w:szCs w:val="20"/>
              </w:rPr>
              <w:t xml:space="preserve">Later than </w:t>
            </w:r>
            <w:r w:rsidR="00CD5714" w:rsidRPr="00CD5714">
              <w:rPr>
                <w:rFonts w:ascii="Arial" w:hAnsi="Arial" w:cs="Arial"/>
                <w:color w:val="000000"/>
                <w:sz w:val="20"/>
                <w:szCs w:val="20"/>
                <w:lang w:val="en-GB"/>
              </w:rPr>
              <w:t>5</w:t>
            </w:r>
            <w:r w:rsidRPr="002D2F67">
              <w:rPr>
                <w:rFonts w:ascii="Arial" w:hAnsi="Arial" w:cs="Arial"/>
                <w:color w:val="000000"/>
                <w:sz w:val="20"/>
                <w:szCs w:val="20"/>
              </w:rPr>
              <w:t xml:space="preserve"> years</w:t>
            </w:r>
          </w:p>
        </w:tc>
        <w:tc>
          <w:tcPr>
            <w:tcW w:w="809" w:type="pct"/>
            <w:tcBorders>
              <w:bottom w:val="single" w:sz="4" w:space="0" w:color="auto"/>
            </w:tcBorders>
            <w:shd w:val="clear" w:color="auto" w:fill="auto"/>
            <w:vAlign w:val="bottom"/>
          </w:tcPr>
          <w:p w14:paraId="2E7ABD2D" w14:textId="7CB3B44C" w:rsidR="00972AF0"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CD5714">
              <w:rPr>
                <w:rFonts w:ascii="Arial" w:hAnsi="Arial" w:cs="Arial"/>
                <w:color w:val="000000"/>
                <w:sz w:val="20"/>
                <w:szCs w:val="20"/>
                <w:lang w:val="en-GB"/>
              </w:rPr>
              <w:t>1</w:t>
            </w:r>
            <w:r w:rsidR="005869CC" w:rsidRPr="002D2F67">
              <w:rPr>
                <w:rFonts w:ascii="Arial" w:hAnsi="Arial" w:cs="Arial"/>
                <w:color w:val="000000"/>
                <w:sz w:val="20"/>
                <w:szCs w:val="20"/>
              </w:rPr>
              <w:t>,</w:t>
            </w:r>
            <w:r w:rsidRPr="00CD5714">
              <w:rPr>
                <w:rFonts w:ascii="Arial" w:hAnsi="Arial" w:cs="Arial"/>
                <w:color w:val="000000"/>
                <w:sz w:val="20"/>
                <w:szCs w:val="20"/>
                <w:lang w:val="en-GB"/>
              </w:rPr>
              <w:t>388</w:t>
            </w:r>
            <w:r w:rsidR="005869CC" w:rsidRPr="002D2F67">
              <w:rPr>
                <w:rFonts w:ascii="Arial" w:hAnsi="Arial" w:cs="Arial"/>
                <w:color w:val="000000"/>
                <w:sz w:val="20"/>
                <w:szCs w:val="20"/>
              </w:rPr>
              <w:t>,</w:t>
            </w:r>
            <w:r w:rsidRPr="00CD5714">
              <w:rPr>
                <w:rFonts w:ascii="Arial" w:hAnsi="Arial" w:cs="Arial"/>
                <w:color w:val="000000"/>
                <w:sz w:val="20"/>
                <w:szCs w:val="20"/>
                <w:lang w:val="en-GB"/>
              </w:rPr>
              <w:t>537</w:t>
            </w:r>
          </w:p>
        </w:tc>
        <w:tc>
          <w:tcPr>
            <w:tcW w:w="809" w:type="pct"/>
            <w:tcBorders>
              <w:bottom w:val="single" w:sz="4" w:space="0" w:color="auto"/>
            </w:tcBorders>
            <w:shd w:val="clear" w:color="auto" w:fill="auto"/>
            <w:vAlign w:val="bottom"/>
          </w:tcPr>
          <w:p w14:paraId="35B842D6" w14:textId="1E21ED3D" w:rsidR="00972AF0"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CD5714">
              <w:rPr>
                <w:rFonts w:ascii="Arial" w:hAnsi="Arial" w:cs="Arial"/>
                <w:color w:val="000000"/>
                <w:sz w:val="20"/>
                <w:szCs w:val="20"/>
                <w:lang w:val="en-GB"/>
              </w:rPr>
              <w:t>2</w:t>
            </w:r>
            <w:r w:rsidR="00972AF0" w:rsidRPr="002D2F67">
              <w:rPr>
                <w:rFonts w:ascii="Arial" w:hAnsi="Arial" w:cs="Arial"/>
                <w:color w:val="000000"/>
                <w:sz w:val="20"/>
                <w:szCs w:val="20"/>
              </w:rPr>
              <w:t>,</w:t>
            </w:r>
            <w:r w:rsidRPr="00CD5714">
              <w:rPr>
                <w:rFonts w:ascii="Arial" w:hAnsi="Arial" w:cs="Arial"/>
                <w:color w:val="000000"/>
                <w:sz w:val="20"/>
                <w:szCs w:val="20"/>
                <w:lang w:val="en-GB"/>
              </w:rPr>
              <w:t>521</w:t>
            </w:r>
            <w:r w:rsidR="00972AF0" w:rsidRPr="002D2F67">
              <w:rPr>
                <w:rFonts w:ascii="Arial" w:hAnsi="Arial" w:cs="Arial"/>
                <w:color w:val="000000"/>
                <w:sz w:val="20"/>
                <w:szCs w:val="20"/>
              </w:rPr>
              <w:t>,</w:t>
            </w:r>
            <w:r w:rsidRPr="00CD5714">
              <w:rPr>
                <w:rFonts w:ascii="Arial" w:hAnsi="Arial" w:cs="Arial"/>
                <w:color w:val="000000"/>
                <w:sz w:val="20"/>
                <w:szCs w:val="20"/>
                <w:lang w:val="en-GB"/>
              </w:rPr>
              <w:t>093</w:t>
            </w:r>
          </w:p>
        </w:tc>
        <w:tc>
          <w:tcPr>
            <w:tcW w:w="809" w:type="pct"/>
            <w:tcBorders>
              <w:bottom w:val="single" w:sz="4" w:space="0" w:color="auto"/>
            </w:tcBorders>
            <w:shd w:val="clear" w:color="auto" w:fill="auto"/>
            <w:vAlign w:val="bottom"/>
          </w:tcPr>
          <w:p w14:paraId="78E8DD43" w14:textId="6F7D4D59" w:rsidR="00972AF0"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CD5714">
              <w:rPr>
                <w:rFonts w:ascii="Arial" w:hAnsi="Arial" w:cs="Arial"/>
                <w:color w:val="000000"/>
                <w:sz w:val="20"/>
                <w:szCs w:val="20"/>
                <w:lang w:val="en-GB"/>
              </w:rPr>
              <w:t>736</w:t>
            </w:r>
            <w:r w:rsidR="00FD6FB5" w:rsidRPr="002D2F67">
              <w:rPr>
                <w:rFonts w:ascii="Arial" w:hAnsi="Arial" w:cs="Arial"/>
                <w:color w:val="000000"/>
                <w:sz w:val="20"/>
                <w:szCs w:val="20"/>
              </w:rPr>
              <w:t>,</w:t>
            </w:r>
            <w:r w:rsidRPr="00CD5714">
              <w:rPr>
                <w:rFonts w:ascii="Arial" w:hAnsi="Arial" w:cs="Arial"/>
                <w:color w:val="000000"/>
                <w:sz w:val="20"/>
                <w:szCs w:val="20"/>
                <w:lang w:val="en-GB"/>
              </w:rPr>
              <w:t>582</w:t>
            </w:r>
          </w:p>
        </w:tc>
        <w:tc>
          <w:tcPr>
            <w:tcW w:w="809" w:type="pct"/>
            <w:tcBorders>
              <w:bottom w:val="single" w:sz="4" w:space="0" w:color="auto"/>
            </w:tcBorders>
            <w:shd w:val="clear" w:color="auto" w:fill="auto"/>
            <w:vAlign w:val="bottom"/>
          </w:tcPr>
          <w:p w14:paraId="187D4529" w14:textId="3880648B" w:rsidR="00972AF0"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CD5714">
              <w:rPr>
                <w:rFonts w:ascii="Arial" w:hAnsi="Arial" w:cs="Arial"/>
                <w:color w:val="000000"/>
                <w:sz w:val="20"/>
                <w:szCs w:val="20"/>
                <w:lang w:val="en-GB"/>
              </w:rPr>
              <w:t>1</w:t>
            </w:r>
            <w:r w:rsidR="00972AF0" w:rsidRPr="002D2F67">
              <w:rPr>
                <w:rFonts w:ascii="Arial" w:hAnsi="Arial" w:cs="Arial"/>
                <w:color w:val="000000"/>
                <w:sz w:val="20"/>
                <w:szCs w:val="20"/>
              </w:rPr>
              <w:t>,</w:t>
            </w:r>
            <w:r w:rsidRPr="00CD5714">
              <w:rPr>
                <w:rFonts w:ascii="Arial" w:hAnsi="Arial" w:cs="Arial"/>
                <w:color w:val="000000"/>
                <w:sz w:val="20"/>
                <w:szCs w:val="20"/>
                <w:lang w:val="en-GB"/>
              </w:rPr>
              <w:t>209</w:t>
            </w:r>
            <w:r w:rsidR="00972AF0" w:rsidRPr="002D2F67">
              <w:rPr>
                <w:rFonts w:ascii="Arial" w:hAnsi="Arial" w:cs="Arial"/>
                <w:color w:val="000000"/>
                <w:sz w:val="20"/>
                <w:szCs w:val="20"/>
              </w:rPr>
              <w:t>,</w:t>
            </w:r>
            <w:r w:rsidRPr="00CD5714">
              <w:rPr>
                <w:rFonts w:ascii="Arial" w:hAnsi="Arial" w:cs="Arial"/>
                <w:color w:val="000000"/>
                <w:sz w:val="20"/>
                <w:szCs w:val="20"/>
                <w:lang w:val="en-GB"/>
              </w:rPr>
              <w:t>453</w:t>
            </w:r>
          </w:p>
        </w:tc>
      </w:tr>
      <w:tr w:rsidR="00972AF0" w:rsidRPr="002D2F67" w14:paraId="441F4BEE" w14:textId="77777777" w:rsidTr="005611FE">
        <w:tc>
          <w:tcPr>
            <w:tcW w:w="1764" w:type="pct"/>
            <w:shd w:val="clear" w:color="auto" w:fill="auto"/>
          </w:tcPr>
          <w:p w14:paraId="6DD138DF" w14:textId="77777777" w:rsidR="00972AF0" w:rsidRPr="002D2F67" w:rsidRDefault="00972AF0" w:rsidP="005611FE">
            <w:pPr>
              <w:ind w:left="-85" w:hanging="27"/>
              <w:rPr>
                <w:rFonts w:ascii="Arial" w:hAnsi="Arial" w:cs="Arial"/>
                <w:b/>
                <w:bCs/>
                <w:color w:val="000000"/>
                <w:sz w:val="20"/>
                <w:szCs w:val="20"/>
              </w:rPr>
            </w:pPr>
          </w:p>
        </w:tc>
        <w:tc>
          <w:tcPr>
            <w:tcW w:w="809" w:type="pct"/>
            <w:tcBorders>
              <w:top w:val="single" w:sz="4" w:space="0" w:color="auto"/>
            </w:tcBorders>
            <w:shd w:val="clear" w:color="auto" w:fill="auto"/>
            <w:vAlign w:val="bottom"/>
          </w:tcPr>
          <w:p w14:paraId="0E7FB847" w14:textId="77777777" w:rsidR="00972AF0" w:rsidRPr="002D2F67" w:rsidRDefault="00972AF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809" w:type="pct"/>
            <w:tcBorders>
              <w:top w:val="single" w:sz="4" w:space="0" w:color="auto"/>
            </w:tcBorders>
            <w:shd w:val="clear" w:color="auto" w:fill="auto"/>
            <w:vAlign w:val="bottom"/>
          </w:tcPr>
          <w:p w14:paraId="54CD399C" w14:textId="77777777" w:rsidR="00972AF0" w:rsidRPr="002D2F67" w:rsidRDefault="00972AF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809" w:type="pct"/>
            <w:tcBorders>
              <w:top w:val="single" w:sz="4" w:space="0" w:color="auto"/>
            </w:tcBorders>
            <w:shd w:val="clear" w:color="auto" w:fill="auto"/>
            <w:vAlign w:val="bottom"/>
          </w:tcPr>
          <w:p w14:paraId="6027E9E4" w14:textId="77777777" w:rsidR="00972AF0" w:rsidRPr="002D2F67" w:rsidRDefault="00972AF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809" w:type="pct"/>
            <w:tcBorders>
              <w:top w:val="single" w:sz="4" w:space="0" w:color="auto"/>
            </w:tcBorders>
            <w:shd w:val="clear" w:color="auto" w:fill="auto"/>
            <w:vAlign w:val="bottom"/>
          </w:tcPr>
          <w:p w14:paraId="7644AFF5" w14:textId="77777777" w:rsidR="00972AF0" w:rsidRPr="002D2F67" w:rsidRDefault="00972AF0"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972AF0" w:rsidRPr="002D2F67" w14:paraId="4E482AD0" w14:textId="77777777" w:rsidTr="005611FE">
        <w:tc>
          <w:tcPr>
            <w:tcW w:w="1764" w:type="pct"/>
            <w:shd w:val="clear" w:color="auto" w:fill="auto"/>
          </w:tcPr>
          <w:p w14:paraId="3B1334B7" w14:textId="6CC9FBB3" w:rsidR="00972AF0" w:rsidRPr="002D2F67" w:rsidRDefault="00972AF0" w:rsidP="005611FE">
            <w:pPr>
              <w:tabs>
                <w:tab w:val="left" w:pos="1134"/>
                <w:tab w:val="left" w:pos="1276"/>
                <w:tab w:val="center" w:pos="3402"/>
                <w:tab w:val="center" w:pos="4536"/>
                <w:tab w:val="center" w:pos="5670"/>
                <w:tab w:val="center" w:pos="6804"/>
                <w:tab w:val="right" w:pos="7655"/>
              </w:tabs>
              <w:ind w:left="-85" w:right="-72" w:hanging="27"/>
              <w:rPr>
                <w:rFonts w:ascii="Arial" w:hAnsi="Arial" w:cs="Arial"/>
                <w:color w:val="000000"/>
                <w:sz w:val="20"/>
                <w:szCs w:val="20"/>
              </w:rPr>
            </w:pPr>
            <w:r w:rsidRPr="002D2F67">
              <w:rPr>
                <w:rFonts w:ascii="Arial" w:hAnsi="Arial" w:cs="Arial"/>
                <w:color w:val="000000"/>
                <w:sz w:val="20"/>
                <w:szCs w:val="20"/>
              </w:rPr>
              <w:t>Total long-term loans</w:t>
            </w:r>
          </w:p>
        </w:tc>
        <w:tc>
          <w:tcPr>
            <w:tcW w:w="809" w:type="pct"/>
            <w:tcBorders>
              <w:bottom w:val="single" w:sz="4" w:space="0" w:color="auto"/>
            </w:tcBorders>
            <w:shd w:val="clear" w:color="auto" w:fill="auto"/>
            <w:vAlign w:val="bottom"/>
          </w:tcPr>
          <w:p w14:paraId="6ADA1F3A" w14:textId="3F75B6B3" w:rsidR="00972AF0"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25</w:t>
            </w:r>
            <w:r w:rsidR="005869CC" w:rsidRPr="002D2F67">
              <w:rPr>
                <w:rFonts w:ascii="Arial" w:hAnsi="Arial" w:cs="Arial"/>
                <w:color w:val="000000"/>
                <w:sz w:val="20"/>
                <w:szCs w:val="20"/>
              </w:rPr>
              <w:t>,</w:t>
            </w:r>
            <w:r w:rsidRPr="00CD5714">
              <w:rPr>
                <w:rFonts w:ascii="Arial" w:hAnsi="Arial" w:cs="Arial"/>
                <w:color w:val="000000"/>
                <w:sz w:val="20"/>
                <w:szCs w:val="20"/>
                <w:lang w:val="en-GB"/>
              </w:rPr>
              <w:t>754</w:t>
            </w:r>
            <w:r w:rsidR="005869CC" w:rsidRPr="002D2F67">
              <w:rPr>
                <w:rFonts w:ascii="Arial" w:hAnsi="Arial" w:cs="Arial"/>
                <w:color w:val="000000"/>
                <w:sz w:val="20"/>
                <w:szCs w:val="20"/>
              </w:rPr>
              <w:t>,</w:t>
            </w:r>
            <w:r w:rsidRPr="00CD5714">
              <w:rPr>
                <w:rFonts w:ascii="Arial" w:hAnsi="Arial" w:cs="Arial"/>
                <w:color w:val="000000"/>
                <w:sz w:val="20"/>
                <w:szCs w:val="20"/>
                <w:lang w:val="en-GB"/>
              </w:rPr>
              <w:t>570</w:t>
            </w:r>
          </w:p>
        </w:tc>
        <w:tc>
          <w:tcPr>
            <w:tcW w:w="809" w:type="pct"/>
            <w:tcBorders>
              <w:bottom w:val="single" w:sz="4" w:space="0" w:color="auto"/>
            </w:tcBorders>
            <w:shd w:val="clear" w:color="auto" w:fill="auto"/>
            <w:vAlign w:val="bottom"/>
          </w:tcPr>
          <w:p w14:paraId="4CECF09A" w14:textId="318F586C" w:rsidR="00972AF0"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22</w:t>
            </w:r>
            <w:r w:rsidR="00972AF0" w:rsidRPr="002D2F67">
              <w:rPr>
                <w:rFonts w:ascii="Arial" w:hAnsi="Arial" w:cs="Arial"/>
                <w:color w:val="000000"/>
                <w:sz w:val="20"/>
                <w:szCs w:val="20"/>
              </w:rPr>
              <w:t>,</w:t>
            </w:r>
            <w:r w:rsidRPr="00CD5714">
              <w:rPr>
                <w:rFonts w:ascii="Arial" w:hAnsi="Arial" w:cs="Arial"/>
                <w:color w:val="000000"/>
                <w:sz w:val="20"/>
                <w:szCs w:val="20"/>
                <w:lang w:val="en-GB"/>
              </w:rPr>
              <w:t>928</w:t>
            </w:r>
            <w:r w:rsidR="00972AF0" w:rsidRPr="002D2F67">
              <w:rPr>
                <w:rFonts w:ascii="Arial" w:hAnsi="Arial" w:cs="Arial"/>
                <w:color w:val="000000"/>
                <w:sz w:val="20"/>
                <w:szCs w:val="20"/>
              </w:rPr>
              <w:t>,</w:t>
            </w:r>
            <w:r w:rsidRPr="00CD5714">
              <w:rPr>
                <w:rFonts w:ascii="Arial" w:hAnsi="Arial" w:cs="Arial"/>
                <w:color w:val="000000"/>
                <w:sz w:val="20"/>
                <w:szCs w:val="20"/>
                <w:lang w:val="en-GB"/>
              </w:rPr>
              <w:t>539</w:t>
            </w:r>
          </w:p>
        </w:tc>
        <w:tc>
          <w:tcPr>
            <w:tcW w:w="809" w:type="pct"/>
            <w:tcBorders>
              <w:bottom w:val="single" w:sz="4" w:space="0" w:color="auto"/>
            </w:tcBorders>
            <w:shd w:val="clear" w:color="auto" w:fill="auto"/>
            <w:vAlign w:val="bottom"/>
          </w:tcPr>
          <w:p w14:paraId="38D71997" w14:textId="29FA41A0" w:rsidR="00972AF0"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11</w:t>
            </w:r>
            <w:r w:rsidR="00FD6FB5" w:rsidRPr="002D2F67">
              <w:rPr>
                <w:rFonts w:ascii="Arial" w:hAnsi="Arial" w:cs="Arial"/>
                <w:color w:val="000000"/>
                <w:sz w:val="20"/>
                <w:szCs w:val="20"/>
              </w:rPr>
              <w:t>,</w:t>
            </w:r>
            <w:r w:rsidRPr="00CD5714">
              <w:rPr>
                <w:rFonts w:ascii="Arial" w:hAnsi="Arial" w:cs="Arial"/>
                <w:color w:val="000000"/>
                <w:sz w:val="20"/>
                <w:szCs w:val="20"/>
                <w:lang w:val="en-GB"/>
              </w:rPr>
              <w:t>727</w:t>
            </w:r>
            <w:r w:rsidR="00FD6FB5" w:rsidRPr="002D2F67">
              <w:rPr>
                <w:rFonts w:ascii="Arial" w:hAnsi="Arial" w:cs="Arial"/>
                <w:color w:val="000000"/>
                <w:sz w:val="20"/>
                <w:szCs w:val="20"/>
              </w:rPr>
              <w:t>,</w:t>
            </w:r>
            <w:r w:rsidRPr="00CD5714">
              <w:rPr>
                <w:rFonts w:ascii="Arial" w:hAnsi="Arial" w:cs="Arial"/>
                <w:color w:val="000000"/>
                <w:sz w:val="20"/>
                <w:szCs w:val="20"/>
                <w:lang w:val="en-GB"/>
              </w:rPr>
              <w:t>494</w:t>
            </w:r>
          </w:p>
        </w:tc>
        <w:tc>
          <w:tcPr>
            <w:tcW w:w="809" w:type="pct"/>
            <w:tcBorders>
              <w:bottom w:val="single" w:sz="4" w:space="0" w:color="auto"/>
            </w:tcBorders>
            <w:shd w:val="clear" w:color="auto" w:fill="auto"/>
            <w:vAlign w:val="bottom"/>
          </w:tcPr>
          <w:p w14:paraId="2EFD80EF" w14:textId="3EF3B596" w:rsidR="00972AF0"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13</w:t>
            </w:r>
            <w:r w:rsidR="00972AF0" w:rsidRPr="002D2F67">
              <w:rPr>
                <w:rFonts w:ascii="Arial" w:hAnsi="Arial" w:cs="Arial"/>
                <w:color w:val="000000"/>
                <w:sz w:val="20"/>
                <w:szCs w:val="20"/>
              </w:rPr>
              <w:t>,</w:t>
            </w:r>
            <w:r w:rsidRPr="00CD5714">
              <w:rPr>
                <w:rFonts w:ascii="Arial" w:hAnsi="Arial" w:cs="Arial"/>
                <w:color w:val="000000"/>
                <w:sz w:val="20"/>
                <w:szCs w:val="20"/>
                <w:lang w:val="en-GB"/>
              </w:rPr>
              <w:t>410</w:t>
            </w:r>
            <w:r w:rsidR="00972AF0" w:rsidRPr="002D2F67">
              <w:rPr>
                <w:rFonts w:ascii="Arial" w:hAnsi="Arial" w:cs="Arial"/>
                <w:color w:val="000000"/>
                <w:sz w:val="20"/>
                <w:szCs w:val="20"/>
              </w:rPr>
              <w:t>,</w:t>
            </w:r>
            <w:r w:rsidRPr="00CD5714">
              <w:rPr>
                <w:rFonts w:ascii="Arial" w:hAnsi="Arial" w:cs="Arial"/>
                <w:color w:val="000000"/>
                <w:sz w:val="20"/>
                <w:szCs w:val="20"/>
                <w:lang w:val="en-GB"/>
              </w:rPr>
              <w:t>373</w:t>
            </w:r>
          </w:p>
        </w:tc>
      </w:tr>
    </w:tbl>
    <w:p w14:paraId="651D7BDD" w14:textId="129897A7" w:rsidR="001E6C66" w:rsidRPr="002D2F67" w:rsidRDefault="001E6C66" w:rsidP="005611FE">
      <w:pPr>
        <w:pStyle w:val="BodyTextIndent2"/>
        <w:spacing w:line="240" w:lineRule="auto"/>
        <w:ind w:left="0"/>
        <w:jc w:val="left"/>
        <w:rPr>
          <w:rFonts w:ascii="Arial" w:hAnsi="Arial" w:cs="Arial"/>
          <w:spacing w:val="-2"/>
        </w:rPr>
      </w:pPr>
    </w:p>
    <w:p w14:paraId="7E80DD85" w14:textId="77777777" w:rsidR="005065B5" w:rsidRPr="002D2F67" w:rsidRDefault="005065B5" w:rsidP="005611FE">
      <w:pPr>
        <w:pStyle w:val="BodyTextIndent2"/>
        <w:spacing w:line="240" w:lineRule="auto"/>
        <w:ind w:left="0"/>
        <w:jc w:val="left"/>
        <w:rPr>
          <w:rFonts w:ascii="Arial" w:hAnsi="Arial" w:cs="Arial"/>
          <w:spacing w:val="-2"/>
        </w:rPr>
      </w:pPr>
    </w:p>
    <w:p w14:paraId="3725C94B" w14:textId="5622C3EA" w:rsidR="00996E25"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30</w:t>
      </w:r>
      <w:r w:rsidR="00996E25" w:rsidRPr="002D2F67">
        <w:rPr>
          <w:rFonts w:ascii="Arial" w:hAnsi="Arial" w:cs="Arial"/>
          <w:b/>
          <w:bCs/>
          <w:color w:val="000000"/>
          <w:kern w:val="26"/>
          <w:position w:val="-24"/>
          <w:sz w:val="20"/>
          <w:szCs w:val="20"/>
          <w:cs/>
        </w:rPr>
        <w:tab/>
      </w:r>
      <w:r w:rsidR="00996E25" w:rsidRPr="002D2F67">
        <w:rPr>
          <w:rFonts w:ascii="Arial" w:hAnsi="Arial" w:cs="Arial"/>
          <w:b/>
          <w:bCs/>
          <w:color w:val="000000"/>
          <w:kern w:val="26"/>
          <w:position w:val="-24"/>
          <w:sz w:val="20"/>
          <w:szCs w:val="20"/>
        </w:rPr>
        <w:t>Debentures, net</w:t>
      </w:r>
    </w:p>
    <w:p w14:paraId="3FA80D53" w14:textId="77777777" w:rsidR="001E6C66" w:rsidRPr="002D2F67" w:rsidRDefault="001E6C66" w:rsidP="005611FE">
      <w:pPr>
        <w:pStyle w:val="BodyTextIndent2"/>
        <w:spacing w:line="240" w:lineRule="auto"/>
        <w:ind w:left="0"/>
        <w:jc w:val="left"/>
        <w:rPr>
          <w:rFonts w:ascii="Arial" w:hAnsi="Arial" w:cs="Arial"/>
          <w:spacing w:val="-2"/>
        </w:rPr>
      </w:pPr>
    </w:p>
    <w:tbl>
      <w:tblPr>
        <w:tblW w:w="4940" w:type="pct"/>
        <w:tblLook w:val="0000" w:firstRow="0" w:lastRow="0" w:firstColumn="0" w:lastColumn="0" w:noHBand="0" w:noVBand="0"/>
      </w:tblPr>
      <w:tblGrid>
        <w:gridCol w:w="6678"/>
        <w:gridCol w:w="1439"/>
        <w:gridCol w:w="1441"/>
      </w:tblGrid>
      <w:tr w:rsidR="007B5C2E" w:rsidRPr="002D2F67" w14:paraId="2DD5C864" w14:textId="77777777" w:rsidTr="008255E8">
        <w:trPr>
          <w:trHeight w:val="450"/>
        </w:trPr>
        <w:tc>
          <w:tcPr>
            <w:tcW w:w="3493" w:type="pct"/>
            <w:shd w:val="clear" w:color="auto" w:fill="auto"/>
            <w:vAlign w:val="bottom"/>
          </w:tcPr>
          <w:p w14:paraId="4826710C" w14:textId="77777777" w:rsidR="007B5C2E" w:rsidRPr="002D2F67" w:rsidRDefault="007B5C2E" w:rsidP="005611FE">
            <w:pPr>
              <w:ind w:left="27" w:hanging="27"/>
              <w:rPr>
                <w:rFonts w:ascii="Arial" w:hAnsi="Arial" w:cs="Arial"/>
                <w:b/>
                <w:bCs/>
                <w:color w:val="000000"/>
                <w:sz w:val="20"/>
                <w:szCs w:val="20"/>
              </w:rPr>
            </w:pPr>
          </w:p>
        </w:tc>
        <w:tc>
          <w:tcPr>
            <w:tcW w:w="1507" w:type="pct"/>
            <w:gridSpan w:val="2"/>
            <w:tcBorders>
              <w:bottom w:val="single" w:sz="4" w:space="0" w:color="auto"/>
            </w:tcBorders>
            <w:shd w:val="clear" w:color="auto" w:fill="auto"/>
            <w:vAlign w:val="bottom"/>
          </w:tcPr>
          <w:p w14:paraId="05CBC077" w14:textId="715FA557" w:rsidR="007B5C2E" w:rsidRPr="002D2F67" w:rsidRDefault="007B5C2E"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Consolidated and separate </w:t>
            </w:r>
          </w:p>
          <w:p w14:paraId="74A3464E" w14:textId="77777777" w:rsidR="007B5C2E" w:rsidRPr="002D2F67" w:rsidRDefault="007B5C2E"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7B5C2E" w:rsidRPr="002D2F67" w14:paraId="3B963DE8" w14:textId="77777777" w:rsidTr="005611FE">
        <w:trPr>
          <w:trHeight w:val="225"/>
        </w:trPr>
        <w:tc>
          <w:tcPr>
            <w:tcW w:w="3493" w:type="pct"/>
            <w:shd w:val="clear" w:color="auto" w:fill="auto"/>
            <w:vAlign w:val="bottom"/>
          </w:tcPr>
          <w:p w14:paraId="7D756596" w14:textId="64D4E27D" w:rsidR="007B5C2E" w:rsidRPr="002D2F67" w:rsidRDefault="007B5C2E" w:rsidP="005611FE">
            <w:pPr>
              <w:ind w:left="27" w:hanging="27"/>
              <w:rPr>
                <w:rFonts w:ascii="Arial" w:hAnsi="Arial" w:cs="Arial"/>
                <w:b/>
                <w:bCs/>
                <w:color w:val="000000"/>
                <w:sz w:val="20"/>
                <w:szCs w:val="20"/>
              </w:rPr>
            </w:pPr>
            <w:r w:rsidRPr="002D2F67">
              <w:rPr>
                <w:rFonts w:ascii="Arial" w:hAnsi="Arial" w:cs="Arial"/>
                <w:b/>
                <w:bCs/>
                <w:color w:val="000000"/>
                <w:sz w:val="20"/>
                <w:szCs w:val="20"/>
              </w:rPr>
              <w:t xml:space="preserve">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w:t>
            </w:r>
          </w:p>
        </w:tc>
        <w:tc>
          <w:tcPr>
            <w:tcW w:w="753" w:type="pct"/>
            <w:tcBorders>
              <w:top w:val="single" w:sz="4" w:space="0" w:color="auto"/>
            </w:tcBorders>
            <w:shd w:val="clear" w:color="auto" w:fill="auto"/>
            <w:vAlign w:val="bottom"/>
          </w:tcPr>
          <w:p w14:paraId="1BC733B7" w14:textId="2A9B8F70" w:rsidR="007B5C2E"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754" w:type="pct"/>
            <w:tcBorders>
              <w:top w:val="single" w:sz="4" w:space="0" w:color="auto"/>
            </w:tcBorders>
            <w:shd w:val="clear" w:color="auto" w:fill="auto"/>
            <w:vAlign w:val="bottom"/>
          </w:tcPr>
          <w:p w14:paraId="4417AFA6" w14:textId="1B4249B1" w:rsidR="007B5C2E"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7B5C2E" w:rsidRPr="002D2F67" w14:paraId="29ABF987" w14:textId="77777777" w:rsidTr="005611FE">
        <w:trPr>
          <w:trHeight w:val="240"/>
        </w:trPr>
        <w:tc>
          <w:tcPr>
            <w:tcW w:w="3493" w:type="pct"/>
            <w:shd w:val="clear" w:color="auto" w:fill="auto"/>
            <w:vAlign w:val="bottom"/>
          </w:tcPr>
          <w:p w14:paraId="0DD1C686" w14:textId="77777777" w:rsidR="007B5C2E" w:rsidRPr="002D2F67" w:rsidRDefault="007B5C2E" w:rsidP="005611FE">
            <w:pPr>
              <w:ind w:left="27" w:hanging="27"/>
              <w:rPr>
                <w:rFonts w:ascii="Arial" w:hAnsi="Arial" w:cs="Arial"/>
                <w:color w:val="000000"/>
                <w:sz w:val="20"/>
                <w:szCs w:val="20"/>
              </w:rPr>
            </w:pPr>
          </w:p>
        </w:tc>
        <w:tc>
          <w:tcPr>
            <w:tcW w:w="753" w:type="pct"/>
            <w:tcBorders>
              <w:bottom w:val="single" w:sz="4" w:space="0" w:color="auto"/>
            </w:tcBorders>
            <w:shd w:val="clear" w:color="auto" w:fill="auto"/>
            <w:vAlign w:val="bottom"/>
          </w:tcPr>
          <w:p w14:paraId="43B9C2F8" w14:textId="09D84638" w:rsidR="007B5C2E" w:rsidRPr="002D2F67" w:rsidRDefault="007B5C2E"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754" w:type="pct"/>
            <w:tcBorders>
              <w:bottom w:val="single" w:sz="4" w:space="0" w:color="auto"/>
            </w:tcBorders>
            <w:shd w:val="clear" w:color="auto" w:fill="auto"/>
            <w:vAlign w:val="bottom"/>
          </w:tcPr>
          <w:p w14:paraId="48797817" w14:textId="56969B76" w:rsidR="007B5C2E" w:rsidRPr="002D2F67" w:rsidRDefault="007B5C2E"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7B5C2E" w:rsidRPr="002D2F67" w14:paraId="1E3E705B" w14:textId="77777777" w:rsidTr="005611FE">
        <w:trPr>
          <w:trHeight w:val="225"/>
        </w:trPr>
        <w:tc>
          <w:tcPr>
            <w:tcW w:w="3493" w:type="pct"/>
            <w:shd w:val="clear" w:color="auto" w:fill="auto"/>
            <w:vAlign w:val="bottom"/>
          </w:tcPr>
          <w:p w14:paraId="459088FC" w14:textId="77777777" w:rsidR="007B5C2E" w:rsidRPr="002D2F67" w:rsidRDefault="007B5C2E" w:rsidP="005611FE">
            <w:pPr>
              <w:ind w:left="27" w:hanging="27"/>
              <w:rPr>
                <w:rFonts w:ascii="Arial" w:hAnsi="Arial" w:cs="Arial"/>
                <w:color w:val="000000"/>
                <w:sz w:val="20"/>
                <w:szCs w:val="20"/>
              </w:rPr>
            </w:pPr>
          </w:p>
        </w:tc>
        <w:tc>
          <w:tcPr>
            <w:tcW w:w="753" w:type="pct"/>
            <w:tcBorders>
              <w:top w:val="single" w:sz="4" w:space="0" w:color="auto"/>
            </w:tcBorders>
            <w:shd w:val="clear" w:color="auto" w:fill="auto"/>
            <w:vAlign w:val="bottom"/>
          </w:tcPr>
          <w:p w14:paraId="54E3F653" w14:textId="77777777" w:rsidR="007B5C2E" w:rsidRPr="002D2F67" w:rsidRDefault="007B5C2E" w:rsidP="005611FE">
            <w:pPr>
              <w:tabs>
                <w:tab w:val="left" w:pos="709"/>
              </w:tabs>
              <w:ind w:right="-72"/>
              <w:rPr>
                <w:rFonts w:ascii="Arial" w:hAnsi="Arial" w:cs="Arial"/>
                <w:color w:val="000000"/>
                <w:sz w:val="20"/>
                <w:szCs w:val="20"/>
              </w:rPr>
            </w:pPr>
          </w:p>
        </w:tc>
        <w:tc>
          <w:tcPr>
            <w:tcW w:w="754" w:type="pct"/>
            <w:tcBorders>
              <w:top w:val="single" w:sz="4" w:space="0" w:color="auto"/>
            </w:tcBorders>
            <w:shd w:val="clear" w:color="auto" w:fill="auto"/>
            <w:vAlign w:val="bottom"/>
          </w:tcPr>
          <w:p w14:paraId="486DB2A2" w14:textId="77777777" w:rsidR="007B5C2E" w:rsidRPr="002D2F67" w:rsidRDefault="007B5C2E" w:rsidP="005611FE">
            <w:pPr>
              <w:tabs>
                <w:tab w:val="left" w:pos="709"/>
              </w:tabs>
              <w:ind w:right="-72"/>
              <w:rPr>
                <w:rFonts w:ascii="Arial" w:hAnsi="Arial" w:cs="Arial"/>
                <w:color w:val="000000"/>
                <w:sz w:val="20"/>
                <w:szCs w:val="20"/>
              </w:rPr>
            </w:pPr>
          </w:p>
        </w:tc>
      </w:tr>
      <w:tr w:rsidR="007B5C2E" w:rsidRPr="002D2F67" w14:paraId="4FBD9748" w14:textId="77777777" w:rsidTr="005611FE">
        <w:trPr>
          <w:trHeight w:val="225"/>
        </w:trPr>
        <w:tc>
          <w:tcPr>
            <w:tcW w:w="3493" w:type="pct"/>
            <w:shd w:val="clear" w:color="auto" w:fill="auto"/>
            <w:vAlign w:val="bottom"/>
          </w:tcPr>
          <w:p w14:paraId="5C691D76" w14:textId="77777777" w:rsidR="007B5C2E" w:rsidRPr="002D2F67" w:rsidRDefault="007B5C2E" w:rsidP="005611FE">
            <w:pPr>
              <w:tabs>
                <w:tab w:val="left" w:pos="1134"/>
                <w:tab w:val="left" w:pos="1276"/>
                <w:tab w:val="center" w:pos="3402"/>
                <w:tab w:val="center" w:pos="4536"/>
                <w:tab w:val="center" w:pos="5670"/>
                <w:tab w:val="center" w:pos="6804"/>
                <w:tab w:val="right" w:pos="7655"/>
              </w:tabs>
              <w:ind w:left="27" w:right="-158" w:hanging="27"/>
              <w:rPr>
                <w:rFonts w:ascii="Arial" w:hAnsi="Arial" w:cs="Arial"/>
                <w:color w:val="000000"/>
                <w:spacing w:val="-4"/>
                <w:sz w:val="20"/>
                <w:szCs w:val="20"/>
              </w:rPr>
            </w:pPr>
            <w:r w:rsidRPr="002D2F67">
              <w:rPr>
                <w:rFonts w:ascii="Arial" w:hAnsi="Arial" w:cs="Arial"/>
                <w:color w:val="000000"/>
                <w:spacing w:val="-4"/>
                <w:sz w:val="20"/>
                <w:szCs w:val="20"/>
              </w:rPr>
              <w:t>Debentures</w:t>
            </w:r>
          </w:p>
        </w:tc>
        <w:tc>
          <w:tcPr>
            <w:tcW w:w="753" w:type="pct"/>
            <w:shd w:val="clear" w:color="auto" w:fill="auto"/>
            <w:vAlign w:val="bottom"/>
          </w:tcPr>
          <w:p w14:paraId="479C1FDE" w14:textId="10CA4E0A" w:rsidR="007B5C2E"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31</w:t>
            </w:r>
            <w:r w:rsidR="00FD6FB5" w:rsidRPr="002D2F67">
              <w:rPr>
                <w:rFonts w:ascii="Arial" w:hAnsi="Arial" w:cs="Arial"/>
                <w:color w:val="000000"/>
                <w:sz w:val="20"/>
                <w:szCs w:val="20"/>
              </w:rPr>
              <w:t>,</w:t>
            </w:r>
            <w:r w:rsidRPr="00CD5714">
              <w:rPr>
                <w:rFonts w:ascii="Arial" w:hAnsi="Arial" w:cs="Arial"/>
                <w:color w:val="000000"/>
                <w:sz w:val="20"/>
                <w:szCs w:val="20"/>
                <w:lang w:val="en-GB"/>
              </w:rPr>
              <w:t>166</w:t>
            </w:r>
            <w:r w:rsidR="00FD6FB5" w:rsidRPr="002D2F67">
              <w:rPr>
                <w:rFonts w:ascii="Arial" w:hAnsi="Arial" w:cs="Arial"/>
                <w:color w:val="000000"/>
                <w:sz w:val="20"/>
                <w:szCs w:val="20"/>
              </w:rPr>
              <w:t>,</w:t>
            </w:r>
            <w:r w:rsidRPr="00CD5714">
              <w:rPr>
                <w:rFonts w:ascii="Arial" w:hAnsi="Arial" w:cs="Arial"/>
                <w:color w:val="000000"/>
                <w:sz w:val="20"/>
                <w:szCs w:val="20"/>
                <w:lang w:val="en-GB"/>
              </w:rPr>
              <w:t>000</w:t>
            </w:r>
          </w:p>
        </w:tc>
        <w:tc>
          <w:tcPr>
            <w:tcW w:w="754" w:type="pct"/>
            <w:shd w:val="clear" w:color="auto" w:fill="auto"/>
            <w:vAlign w:val="bottom"/>
          </w:tcPr>
          <w:p w14:paraId="4B7F65FC" w14:textId="6EF99C8E" w:rsidR="007B5C2E"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31</w:t>
            </w:r>
            <w:r w:rsidR="007B5C2E" w:rsidRPr="002D2F67">
              <w:rPr>
                <w:rFonts w:ascii="Arial" w:hAnsi="Arial" w:cs="Arial"/>
                <w:color w:val="000000"/>
                <w:sz w:val="20"/>
                <w:szCs w:val="20"/>
              </w:rPr>
              <w:t>,</w:t>
            </w:r>
            <w:r w:rsidRPr="00CD5714">
              <w:rPr>
                <w:rFonts w:ascii="Arial" w:hAnsi="Arial" w:cs="Arial"/>
                <w:color w:val="000000"/>
                <w:sz w:val="20"/>
                <w:szCs w:val="20"/>
                <w:lang w:val="en-GB"/>
              </w:rPr>
              <w:t>166</w:t>
            </w:r>
            <w:r w:rsidR="007B5C2E" w:rsidRPr="002D2F67">
              <w:rPr>
                <w:rFonts w:ascii="Arial" w:hAnsi="Arial" w:cs="Arial"/>
                <w:color w:val="000000"/>
                <w:sz w:val="20"/>
                <w:szCs w:val="20"/>
              </w:rPr>
              <w:t>,</w:t>
            </w:r>
            <w:r w:rsidRPr="00CD5714">
              <w:rPr>
                <w:rFonts w:ascii="Arial" w:hAnsi="Arial" w:cs="Arial"/>
                <w:color w:val="000000"/>
                <w:sz w:val="20"/>
                <w:szCs w:val="20"/>
                <w:lang w:val="en-GB"/>
              </w:rPr>
              <w:t>000</w:t>
            </w:r>
          </w:p>
        </w:tc>
      </w:tr>
      <w:tr w:rsidR="007B5C2E" w:rsidRPr="002D2F67" w14:paraId="32EAD364" w14:textId="77777777" w:rsidTr="005611FE">
        <w:trPr>
          <w:trHeight w:val="225"/>
        </w:trPr>
        <w:tc>
          <w:tcPr>
            <w:tcW w:w="3493" w:type="pct"/>
            <w:shd w:val="clear" w:color="auto" w:fill="auto"/>
            <w:vAlign w:val="bottom"/>
          </w:tcPr>
          <w:p w14:paraId="37618AC3" w14:textId="70C0D52F" w:rsidR="007B5C2E" w:rsidRPr="002D2F67" w:rsidRDefault="007B5C2E" w:rsidP="005611FE">
            <w:pPr>
              <w:tabs>
                <w:tab w:val="left" w:pos="1134"/>
                <w:tab w:val="left" w:pos="1276"/>
                <w:tab w:val="center" w:pos="3402"/>
                <w:tab w:val="center" w:pos="4536"/>
                <w:tab w:val="center" w:pos="5670"/>
                <w:tab w:val="center" w:pos="6804"/>
                <w:tab w:val="right" w:pos="7655"/>
              </w:tabs>
              <w:ind w:left="27" w:right="-72" w:hanging="27"/>
              <w:rPr>
                <w:rFonts w:ascii="Arial" w:hAnsi="Arial" w:cs="Arial"/>
                <w:color w:val="000000"/>
                <w:spacing w:val="-2"/>
                <w:sz w:val="20"/>
                <w:szCs w:val="20"/>
              </w:rPr>
            </w:pPr>
            <w:r w:rsidRPr="002D2F67">
              <w:rPr>
                <w:rFonts w:ascii="Arial" w:hAnsi="Arial" w:cs="Arial"/>
                <w:color w:val="000000"/>
                <w:spacing w:val="-2"/>
                <w:sz w:val="20"/>
                <w:szCs w:val="20"/>
                <w:u w:val="single"/>
              </w:rPr>
              <w:t>Less</w:t>
            </w:r>
            <w:r w:rsidRPr="002D2F67">
              <w:rPr>
                <w:rFonts w:ascii="Arial" w:hAnsi="Arial" w:cs="Arial"/>
                <w:color w:val="000000"/>
                <w:spacing w:val="-2"/>
                <w:sz w:val="20"/>
                <w:szCs w:val="20"/>
              </w:rPr>
              <w:t xml:space="preserve">  Deferred financing fee</w:t>
            </w:r>
          </w:p>
        </w:tc>
        <w:tc>
          <w:tcPr>
            <w:tcW w:w="753" w:type="pct"/>
            <w:tcBorders>
              <w:bottom w:val="single" w:sz="4" w:space="0" w:color="auto"/>
            </w:tcBorders>
            <w:shd w:val="clear" w:color="auto" w:fill="auto"/>
            <w:vAlign w:val="bottom"/>
          </w:tcPr>
          <w:p w14:paraId="34151A01" w14:textId="69518233" w:rsidR="007B5C2E" w:rsidRPr="002D2F67" w:rsidRDefault="00FD6FB5"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13</w:t>
            </w:r>
            <w:r w:rsidRPr="002D2F67">
              <w:rPr>
                <w:rFonts w:ascii="Arial" w:hAnsi="Arial" w:cs="Arial"/>
                <w:color w:val="000000"/>
                <w:sz w:val="20"/>
                <w:szCs w:val="20"/>
              </w:rPr>
              <w:t>,</w:t>
            </w:r>
            <w:r w:rsidR="00CD5714" w:rsidRPr="00CD5714">
              <w:rPr>
                <w:rFonts w:ascii="Arial" w:hAnsi="Arial" w:cs="Arial"/>
                <w:color w:val="000000"/>
                <w:sz w:val="20"/>
                <w:szCs w:val="20"/>
                <w:lang w:val="en-GB"/>
              </w:rPr>
              <w:t>876</w:t>
            </w:r>
            <w:r w:rsidRPr="002D2F67">
              <w:rPr>
                <w:rFonts w:ascii="Arial" w:hAnsi="Arial" w:cs="Arial"/>
                <w:color w:val="000000"/>
                <w:sz w:val="20"/>
                <w:szCs w:val="20"/>
              </w:rPr>
              <w:t>)</w:t>
            </w:r>
          </w:p>
        </w:tc>
        <w:tc>
          <w:tcPr>
            <w:tcW w:w="754" w:type="pct"/>
            <w:tcBorders>
              <w:bottom w:val="single" w:sz="4" w:space="0" w:color="auto"/>
            </w:tcBorders>
            <w:shd w:val="clear" w:color="auto" w:fill="auto"/>
            <w:vAlign w:val="bottom"/>
          </w:tcPr>
          <w:p w14:paraId="289376ED" w14:textId="59509346" w:rsidR="007B5C2E" w:rsidRPr="002D2F67" w:rsidRDefault="007B5C2E"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21</w:t>
            </w:r>
            <w:r w:rsidRPr="002D2F67">
              <w:rPr>
                <w:rFonts w:ascii="Arial" w:hAnsi="Arial" w:cs="Arial"/>
                <w:color w:val="000000"/>
                <w:sz w:val="20"/>
                <w:szCs w:val="20"/>
              </w:rPr>
              <w:t>,</w:t>
            </w:r>
            <w:r w:rsidR="00CD5714" w:rsidRPr="00CD5714">
              <w:rPr>
                <w:rFonts w:ascii="Arial" w:hAnsi="Arial" w:cs="Arial"/>
                <w:color w:val="000000"/>
                <w:sz w:val="20"/>
                <w:szCs w:val="20"/>
                <w:lang w:val="en-GB"/>
              </w:rPr>
              <w:t>800</w:t>
            </w:r>
            <w:r w:rsidRPr="002D2F67">
              <w:rPr>
                <w:rFonts w:ascii="Arial" w:hAnsi="Arial" w:cs="Arial"/>
                <w:color w:val="000000"/>
                <w:sz w:val="20"/>
                <w:szCs w:val="20"/>
              </w:rPr>
              <w:t>)</w:t>
            </w:r>
          </w:p>
        </w:tc>
      </w:tr>
      <w:tr w:rsidR="007B5C2E" w:rsidRPr="002D2F67" w14:paraId="3C25043F" w14:textId="77777777" w:rsidTr="005611FE">
        <w:trPr>
          <w:trHeight w:val="225"/>
        </w:trPr>
        <w:tc>
          <w:tcPr>
            <w:tcW w:w="3493" w:type="pct"/>
            <w:shd w:val="clear" w:color="auto" w:fill="auto"/>
            <w:vAlign w:val="bottom"/>
          </w:tcPr>
          <w:p w14:paraId="0E4C20FB" w14:textId="77777777" w:rsidR="007B5C2E" w:rsidRPr="002D2F67" w:rsidRDefault="007B5C2E" w:rsidP="005611FE">
            <w:pPr>
              <w:ind w:left="27" w:hanging="27"/>
              <w:rPr>
                <w:rFonts w:ascii="Arial" w:hAnsi="Arial" w:cs="Arial"/>
                <w:b/>
                <w:bCs/>
                <w:color w:val="000000"/>
                <w:sz w:val="20"/>
                <w:szCs w:val="20"/>
              </w:rPr>
            </w:pPr>
          </w:p>
        </w:tc>
        <w:tc>
          <w:tcPr>
            <w:tcW w:w="753" w:type="pct"/>
            <w:tcBorders>
              <w:top w:val="single" w:sz="4" w:space="0" w:color="auto"/>
            </w:tcBorders>
            <w:shd w:val="clear" w:color="auto" w:fill="auto"/>
            <w:vAlign w:val="bottom"/>
          </w:tcPr>
          <w:p w14:paraId="1999E978" w14:textId="77777777" w:rsidR="007B5C2E" w:rsidRPr="002D2F67" w:rsidRDefault="007B5C2E"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754" w:type="pct"/>
            <w:tcBorders>
              <w:top w:val="single" w:sz="4" w:space="0" w:color="auto"/>
            </w:tcBorders>
            <w:shd w:val="clear" w:color="auto" w:fill="auto"/>
            <w:vAlign w:val="bottom"/>
          </w:tcPr>
          <w:p w14:paraId="409E617B" w14:textId="77777777" w:rsidR="007B5C2E" w:rsidRPr="002D2F67" w:rsidRDefault="007B5C2E"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7B5C2E" w:rsidRPr="002D2F67" w14:paraId="038B9A39" w14:textId="77777777" w:rsidTr="005611FE">
        <w:trPr>
          <w:trHeight w:val="240"/>
        </w:trPr>
        <w:tc>
          <w:tcPr>
            <w:tcW w:w="3493" w:type="pct"/>
            <w:shd w:val="clear" w:color="auto" w:fill="auto"/>
            <w:vAlign w:val="bottom"/>
          </w:tcPr>
          <w:p w14:paraId="75BC7765" w14:textId="77777777" w:rsidR="007B5C2E" w:rsidRPr="002D2F67" w:rsidRDefault="007B5C2E" w:rsidP="005611FE">
            <w:pPr>
              <w:ind w:left="27" w:hanging="27"/>
              <w:rPr>
                <w:rFonts w:ascii="Arial" w:hAnsi="Arial" w:cs="Arial"/>
                <w:b/>
                <w:bCs/>
                <w:color w:val="000000"/>
                <w:sz w:val="20"/>
                <w:szCs w:val="20"/>
              </w:rPr>
            </w:pPr>
          </w:p>
        </w:tc>
        <w:tc>
          <w:tcPr>
            <w:tcW w:w="753" w:type="pct"/>
            <w:shd w:val="clear" w:color="auto" w:fill="auto"/>
            <w:vAlign w:val="bottom"/>
          </w:tcPr>
          <w:p w14:paraId="5A3D5640" w14:textId="405702E2" w:rsidR="007B5C2E"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31</w:t>
            </w:r>
            <w:r w:rsidR="00FD6FB5" w:rsidRPr="002D2F67">
              <w:rPr>
                <w:rFonts w:ascii="Arial" w:hAnsi="Arial" w:cs="Arial"/>
                <w:color w:val="000000"/>
                <w:sz w:val="20"/>
                <w:szCs w:val="20"/>
              </w:rPr>
              <w:t>,</w:t>
            </w:r>
            <w:r w:rsidRPr="00CD5714">
              <w:rPr>
                <w:rFonts w:ascii="Arial" w:hAnsi="Arial" w:cs="Arial"/>
                <w:color w:val="000000"/>
                <w:sz w:val="20"/>
                <w:szCs w:val="20"/>
                <w:lang w:val="en-GB"/>
              </w:rPr>
              <w:t>152</w:t>
            </w:r>
            <w:r w:rsidR="00FD6FB5" w:rsidRPr="002D2F67">
              <w:rPr>
                <w:rFonts w:ascii="Arial" w:hAnsi="Arial" w:cs="Arial"/>
                <w:color w:val="000000"/>
                <w:sz w:val="20"/>
                <w:szCs w:val="20"/>
              </w:rPr>
              <w:t>,</w:t>
            </w:r>
            <w:r w:rsidRPr="00CD5714">
              <w:rPr>
                <w:rFonts w:ascii="Arial" w:hAnsi="Arial" w:cs="Arial"/>
                <w:color w:val="000000"/>
                <w:sz w:val="20"/>
                <w:szCs w:val="20"/>
                <w:lang w:val="en-GB"/>
              </w:rPr>
              <w:t>124</w:t>
            </w:r>
          </w:p>
        </w:tc>
        <w:tc>
          <w:tcPr>
            <w:tcW w:w="754" w:type="pct"/>
            <w:shd w:val="clear" w:color="auto" w:fill="auto"/>
            <w:vAlign w:val="bottom"/>
          </w:tcPr>
          <w:p w14:paraId="7E22B920" w14:textId="2116D844" w:rsidR="007B5C2E"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31</w:t>
            </w:r>
            <w:r w:rsidR="007B5C2E" w:rsidRPr="002D2F67">
              <w:rPr>
                <w:rFonts w:ascii="Arial" w:hAnsi="Arial" w:cs="Arial"/>
                <w:color w:val="000000"/>
                <w:sz w:val="20"/>
                <w:szCs w:val="20"/>
              </w:rPr>
              <w:t>,</w:t>
            </w:r>
            <w:r w:rsidRPr="00CD5714">
              <w:rPr>
                <w:rFonts w:ascii="Arial" w:hAnsi="Arial" w:cs="Arial"/>
                <w:color w:val="000000"/>
                <w:sz w:val="20"/>
                <w:szCs w:val="20"/>
                <w:lang w:val="en-GB"/>
              </w:rPr>
              <w:t>144</w:t>
            </w:r>
            <w:r w:rsidR="007B5C2E" w:rsidRPr="002D2F67">
              <w:rPr>
                <w:rFonts w:ascii="Arial" w:hAnsi="Arial" w:cs="Arial"/>
                <w:color w:val="000000"/>
                <w:sz w:val="20"/>
                <w:szCs w:val="20"/>
              </w:rPr>
              <w:t>,</w:t>
            </w:r>
            <w:r w:rsidRPr="00CD5714">
              <w:rPr>
                <w:rFonts w:ascii="Arial" w:hAnsi="Arial" w:cs="Arial"/>
                <w:color w:val="000000"/>
                <w:sz w:val="20"/>
                <w:szCs w:val="20"/>
                <w:lang w:val="en-GB"/>
              </w:rPr>
              <w:t>200</w:t>
            </w:r>
          </w:p>
        </w:tc>
      </w:tr>
      <w:tr w:rsidR="007B5C2E" w:rsidRPr="002D2F67" w14:paraId="6AA5DA23" w14:textId="77777777" w:rsidTr="3ABCB9CB">
        <w:trPr>
          <w:trHeight w:val="227"/>
        </w:trPr>
        <w:tc>
          <w:tcPr>
            <w:tcW w:w="3493" w:type="pct"/>
            <w:shd w:val="clear" w:color="auto" w:fill="auto"/>
            <w:vAlign w:val="bottom"/>
          </w:tcPr>
          <w:p w14:paraId="709B6709" w14:textId="6BAD4318" w:rsidR="007B5C2E" w:rsidRPr="002D2F67" w:rsidRDefault="007B5C2E" w:rsidP="005611FE">
            <w:pPr>
              <w:ind w:left="27" w:hanging="27"/>
              <w:rPr>
                <w:rFonts w:ascii="Arial" w:hAnsi="Arial" w:cs="Arial"/>
                <w:color w:val="000000"/>
                <w:spacing w:val="-2"/>
                <w:sz w:val="20"/>
                <w:szCs w:val="20"/>
              </w:rPr>
            </w:pPr>
            <w:r w:rsidRPr="002D2F67">
              <w:rPr>
                <w:rFonts w:ascii="Arial" w:hAnsi="Arial" w:cs="Arial"/>
                <w:color w:val="000000"/>
                <w:spacing w:val="-2"/>
                <w:sz w:val="20"/>
                <w:szCs w:val="20"/>
                <w:u w:val="single"/>
              </w:rPr>
              <w:t>Less</w:t>
            </w:r>
            <w:r w:rsidRPr="002D2F67">
              <w:rPr>
                <w:rFonts w:ascii="Arial" w:hAnsi="Arial" w:cs="Arial"/>
                <w:color w:val="000000"/>
                <w:spacing w:val="-2"/>
                <w:sz w:val="20"/>
                <w:szCs w:val="20"/>
              </w:rPr>
              <w:t xml:space="preserve">  Current portion of debentures, net</w:t>
            </w:r>
          </w:p>
        </w:tc>
        <w:tc>
          <w:tcPr>
            <w:tcW w:w="753" w:type="pct"/>
            <w:tcBorders>
              <w:top w:val="nil"/>
              <w:left w:val="nil"/>
              <w:bottom w:val="single" w:sz="4" w:space="0" w:color="auto"/>
              <w:right w:val="nil"/>
            </w:tcBorders>
            <w:shd w:val="clear" w:color="auto" w:fill="auto"/>
            <w:vAlign w:val="bottom"/>
          </w:tcPr>
          <w:p w14:paraId="14CCC0F4" w14:textId="368D88FA" w:rsidR="007B5C2E" w:rsidRPr="002D2F67" w:rsidRDefault="00FD6FB5"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7</w:t>
            </w:r>
            <w:r w:rsidRPr="002D2F67">
              <w:rPr>
                <w:rFonts w:ascii="Arial" w:hAnsi="Arial" w:cs="Arial"/>
                <w:color w:val="000000"/>
                <w:sz w:val="20"/>
                <w:szCs w:val="20"/>
              </w:rPr>
              <w:t>,</w:t>
            </w:r>
            <w:r w:rsidR="00CD5714" w:rsidRPr="00CD5714">
              <w:rPr>
                <w:rFonts w:ascii="Arial" w:hAnsi="Arial" w:cs="Arial"/>
                <w:color w:val="000000"/>
                <w:sz w:val="20"/>
                <w:szCs w:val="20"/>
                <w:lang w:val="en-GB"/>
              </w:rPr>
              <w:t>445</w:t>
            </w:r>
            <w:r w:rsidRPr="002D2F67">
              <w:rPr>
                <w:rFonts w:ascii="Arial" w:hAnsi="Arial" w:cs="Arial"/>
                <w:color w:val="000000"/>
                <w:sz w:val="20"/>
                <w:szCs w:val="20"/>
              </w:rPr>
              <w:t>,</w:t>
            </w:r>
            <w:r w:rsidR="00CD5714" w:rsidRPr="00CD5714">
              <w:rPr>
                <w:rFonts w:ascii="Arial" w:hAnsi="Arial" w:cs="Arial"/>
                <w:color w:val="000000"/>
                <w:sz w:val="20"/>
                <w:szCs w:val="20"/>
                <w:lang w:val="en-GB"/>
              </w:rPr>
              <w:t>738</w:t>
            </w:r>
            <w:r w:rsidRPr="002D2F67">
              <w:rPr>
                <w:rFonts w:ascii="Arial" w:hAnsi="Arial" w:cs="Arial"/>
                <w:color w:val="000000"/>
                <w:sz w:val="20"/>
                <w:szCs w:val="20"/>
              </w:rPr>
              <w:t>)</w:t>
            </w:r>
          </w:p>
        </w:tc>
        <w:tc>
          <w:tcPr>
            <w:tcW w:w="754" w:type="pct"/>
            <w:tcBorders>
              <w:bottom w:val="single" w:sz="4" w:space="0" w:color="auto"/>
            </w:tcBorders>
            <w:shd w:val="clear" w:color="auto" w:fill="auto"/>
            <w:vAlign w:val="bottom"/>
          </w:tcPr>
          <w:p w14:paraId="0E130DB6" w14:textId="25A3824D" w:rsidR="007B5C2E" w:rsidRPr="002D2F67" w:rsidRDefault="007B5C2E"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5</w:t>
            </w:r>
            <w:r w:rsidRPr="002D2F67">
              <w:rPr>
                <w:rFonts w:ascii="Arial" w:hAnsi="Arial" w:cs="Arial"/>
                <w:color w:val="000000"/>
                <w:sz w:val="20"/>
                <w:szCs w:val="20"/>
              </w:rPr>
              <w:t>,</w:t>
            </w:r>
            <w:r w:rsidR="00CD5714" w:rsidRPr="00CD5714">
              <w:rPr>
                <w:rFonts w:ascii="Arial" w:hAnsi="Arial" w:cs="Arial"/>
                <w:color w:val="000000"/>
                <w:sz w:val="20"/>
                <w:szCs w:val="20"/>
                <w:lang w:val="en-GB"/>
              </w:rPr>
              <w:t>492</w:t>
            </w:r>
            <w:r w:rsidRPr="002D2F67">
              <w:rPr>
                <w:rFonts w:ascii="Arial" w:hAnsi="Arial" w:cs="Arial"/>
                <w:color w:val="000000"/>
                <w:sz w:val="20"/>
                <w:szCs w:val="20"/>
              </w:rPr>
              <w:t>,</w:t>
            </w:r>
            <w:r w:rsidR="00CD5714" w:rsidRPr="00CD5714">
              <w:rPr>
                <w:rFonts w:ascii="Arial" w:hAnsi="Arial" w:cs="Arial"/>
                <w:color w:val="000000"/>
                <w:sz w:val="20"/>
                <w:szCs w:val="20"/>
                <w:lang w:val="en-GB"/>
              </w:rPr>
              <w:t>077</w:t>
            </w:r>
            <w:r w:rsidRPr="002D2F67">
              <w:rPr>
                <w:rFonts w:ascii="Arial" w:hAnsi="Arial" w:cs="Arial"/>
                <w:color w:val="000000"/>
                <w:sz w:val="20"/>
                <w:szCs w:val="20"/>
              </w:rPr>
              <w:t>)</w:t>
            </w:r>
          </w:p>
        </w:tc>
      </w:tr>
      <w:tr w:rsidR="007B5C2E" w:rsidRPr="002D2F67" w14:paraId="2C686E79" w14:textId="77777777" w:rsidTr="005611FE">
        <w:trPr>
          <w:trHeight w:val="225"/>
        </w:trPr>
        <w:tc>
          <w:tcPr>
            <w:tcW w:w="3493" w:type="pct"/>
            <w:shd w:val="clear" w:color="auto" w:fill="auto"/>
            <w:vAlign w:val="bottom"/>
          </w:tcPr>
          <w:p w14:paraId="77AE6C6B" w14:textId="77777777" w:rsidR="007B5C2E" w:rsidRPr="002D2F67" w:rsidRDefault="007B5C2E" w:rsidP="005611FE">
            <w:pPr>
              <w:ind w:left="27" w:hanging="27"/>
              <w:rPr>
                <w:rFonts w:ascii="Arial" w:hAnsi="Arial" w:cs="Arial"/>
                <w:b/>
                <w:bCs/>
                <w:color w:val="000000"/>
                <w:sz w:val="20"/>
                <w:szCs w:val="20"/>
              </w:rPr>
            </w:pPr>
          </w:p>
        </w:tc>
        <w:tc>
          <w:tcPr>
            <w:tcW w:w="753" w:type="pct"/>
            <w:tcBorders>
              <w:top w:val="single" w:sz="4" w:space="0" w:color="auto"/>
            </w:tcBorders>
            <w:shd w:val="clear" w:color="auto" w:fill="auto"/>
            <w:vAlign w:val="bottom"/>
          </w:tcPr>
          <w:p w14:paraId="798240CD" w14:textId="77777777" w:rsidR="007B5C2E" w:rsidRPr="002D2F67" w:rsidRDefault="007B5C2E"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754" w:type="pct"/>
            <w:tcBorders>
              <w:top w:val="single" w:sz="4" w:space="0" w:color="auto"/>
            </w:tcBorders>
            <w:shd w:val="clear" w:color="auto" w:fill="auto"/>
            <w:vAlign w:val="bottom"/>
          </w:tcPr>
          <w:p w14:paraId="14FCE319" w14:textId="77777777" w:rsidR="007B5C2E" w:rsidRPr="002D2F67" w:rsidRDefault="007B5C2E"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7B5C2E" w:rsidRPr="002D2F67" w14:paraId="60F698EF" w14:textId="77777777" w:rsidTr="005611FE">
        <w:trPr>
          <w:trHeight w:val="225"/>
        </w:trPr>
        <w:tc>
          <w:tcPr>
            <w:tcW w:w="3493" w:type="pct"/>
            <w:shd w:val="clear" w:color="auto" w:fill="auto"/>
            <w:vAlign w:val="bottom"/>
          </w:tcPr>
          <w:p w14:paraId="3D62F4F2" w14:textId="77777777" w:rsidR="007B5C2E" w:rsidRPr="002D2F67" w:rsidRDefault="007B5C2E" w:rsidP="005611FE">
            <w:pPr>
              <w:tabs>
                <w:tab w:val="left" w:pos="1134"/>
                <w:tab w:val="left" w:pos="1276"/>
                <w:tab w:val="center" w:pos="3402"/>
                <w:tab w:val="center" w:pos="4536"/>
                <w:tab w:val="center" w:pos="5670"/>
                <w:tab w:val="center" w:pos="6804"/>
                <w:tab w:val="right" w:pos="7655"/>
              </w:tabs>
              <w:ind w:left="27" w:right="-72" w:hanging="27"/>
              <w:rPr>
                <w:rFonts w:ascii="Arial" w:hAnsi="Arial" w:cs="Arial"/>
                <w:color w:val="000000"/>
                <w:sz w:val="20"/>
                <w:szCs w:val="20"/>
              </w:rPr>
            </w:pPr>
            <w:r w:rsidRPr="002D2F67">
              <w:rPr>
                <w:rFonts w:ascii="Arial" w:hAnsi="Arial" w:cs="Arial"/>
                <w:color w:val="000000"/>
                <w:sz w:val="20"/>
                <w:szCs w:val="20"/>
              </w:rPr>
              <w:t>Debentures, net</w:t>
            </w:r>
          </w:p>
        </w:tc>
        <w:tc>
          <w:tcPr>
            <w:tcW w:w="753" w:type="pct"/>
            <w:tcBorders>
              <w:bottom w:val="single" w:sz="4" w:space="0" w:color="auto"/>
            </w:tcBorders>
            <w:shd w:val="clear" w:color="auto" w:fill="auto"/>
            <w:vAlign w:val="bottom"/>
          </w:tcPr>
          <w:p w14:paraId="185BAB5A" w14:textId="3CA76D29" w:rsidR="007B5C2E"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23</w:t>
            </w:r>
            <w:r w:rsidR="00FD6FB5" w:rsidRPr="002D2F67">
              <w:rPr>
                <w:rFonts w:ascii="Arial" w:hAnsi="Arial" w:cs="Arial"/>
                <w:color w:val="000000"/>
                <w:sz w:val="20"/>
                <w:szCs w:val="20"/>
              </w:rPr>
              <w:t>,</w:t>
            </w:r>
            <w:r w:rsidRPr="00CD5714">
              <w:rPr>
                <w:rFonts w:ascii="Arial" w:hAnsi="Arial" w:cs="Arial"/>
                <w:color w:val="000000"/>
                <w:sz w:val="20"/>
                <w:szCs w:val="20"/>
                <w:lang w:val="en-GB"/>
              </w:rPr>
              <w:t>706</w:t>
            </w:r>
            <w:r w:rsidR="00FD6FB5" w:rsidRPr="002D2F67">
              <w:rPr>
                <w:rFonts w:ascii="Arial" w:hAnsi="Arial" w:cs="Arial"/>
                <w:color w:val="000000"/>
                <w:sz w:val="20"/>
                <w:szCs w:val="20"/>
              </w:rPr>
              <w:t>,</w:t>
            </w:r>
            <w:r w:rsidRPr="00CD5714">
              <w:rPr>
                <w:rFonts w:ascii="Arial" w:hAnsi="Arial" w:cs="Arial"/>
                <w:color w:val="000000"/>
                <w:sz w:val="20"/>
                <w:szCs w:val="20"/>
                <w:lang w:val="en-GB"/>
              </w:rPr>
              <w:t>386</w:t>
            </w:r>
          </w:p>
        </w:tc>
        <w:tc>
          <w:tcPr>
            <w:tcW w:w="754" w:type="pct"/>
            <w:tcBorders>
              <w:bottom w:val="single" w:sz="4" w:space="0" w:color="auto"/>
            </w:tcBorders>
            <w:shd w:val="clear" w:color="auto" w:fill="auto"/>
            <w:vAlign w:val="bottom"/>
          </w:tcPr>
          <w:p w14:paraId="0FC96175" w14:textId="27C8B1E1" w:rsidR="007B5C2E"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25</w:t>
            </w:r>
            <w:r w:rsidR="007B5C2E" w:rsidRPr="002D2F67">
              <w:rPr>
                <w:rFonts w:ascii="Arial" w:hAnsi="Arial" w:cs="Arial"/>
                <w:color w:val="000000"/>
                <w:sz w:val="20"/>
                <w:szCs w:val="20"/>
              </w:rPr>
              <w:t>,</w:t>
            </w:r>
            <w:r w:rsidRPr="00CD5714">
              <w:rPr>
                <w:rFonts w:ascii="Arial" w:hAnsi="Arial" w:cs="Arial"/>
                <w:color w:val="000000"/>
                <w:sz w:val="20"/>
                <w:szCs w:val="20"/>
                <w:lang w:val="en-GB"/>
              </w:rPr>
              <w:t>652</w:t>
            </w:r>
            <w:r w:rsidR="007B5C2E" w:rsidRPr="002D2F67">
              <w:rPr>
                <w:rFonts w:ascii="Arial" w:hAnsi="Arial" w:cs="Arial"/>
                <w:color w:val="000000"/>
                <w:sz w:val="20"/>
                <w:szCs w:val="20"/>
              </w:rPr>
              <w:t>,</w:t>
            </w:r>
            <w:r w:rsidRPr="00CD5714">
              <w:rPr>
                <w:rFonts w:ascii="Arial" w:hAnsi="Arial" w:cs="Arial"/>
                <w:color w:val="000000"/>
                <w:sz w:val="20"/>
                <w:szCs w:val="20"/>
                <w:lang w:val="en-GB"/>
              </w:rPr>
              <w:t>123</w:t>
            </w:r>
          </w:p>
        </w:tc>
      </w:tr>
    </w:tbl>
    <w:p w14:paraId="5BD2A166" w14:textId="4B5826D7" w:rsidR="00AB5B46" w:rsidRPr="002D2F67" w:rsidRDefault="00AB5B46" w:rsidP="005611FE">
      <w:pPr>
        <w:jc w:val="thaiDistribute"/>
        <w:rPr>
          <w:rFonts w:ascii="Arial" w:eastAsia="MS Mincho" w:hAnsi="Arial" w:cs="Arial"/>
          <w:color w:val="000000"/>
          <w:sz w:val="20"/>
          <w:szCs w:val="20"/>
        </w:rPr>
      </w:pPr>
    </w:p>
    <w:p w14:paraId="0984EBD6" w14:textId="77777777" w:rsidR="005065B5" w:rsidRPr="002D2F67" w:rsidRDefault="00AB5B46" w:rsidP="005611FE">
      <w:pPr>
        <w:jc w:val="thaiDistribute"/>
        <w:rPr>
          <w:rFonts w:ascii="Arial" w:eastAsia="MS Mincho" w:hAnsi="Arial" w:cs="Arial"/>
          <w:color w:val="000000"/>
          <w:sz w:val="20"/>
          <w:szCs w:val="20"/>
        </w:rPr>
      </w:pPr>
      <w:r w:rsidRPr="002D2F67">
        <w:rPr>
          <w:rFonts w:ascii="Arial" w:eastAsia="MS Mincho" w:hAnsi="Arial" w:cs="Arial"/>
          <w:color w:val="000000"/>
          <w:sz w:val="20"/>
          <w:szCs w:val="20"/>
        </w:rPr>
        <w:br w:type="page"/>
      </w:r>
    </w:p>
    <w:p w14:paraId="4872A961" w14:textId="77777777" w:rsidR="001E6C66" w:rsidRPr="002D2F67" w:rsidRDefault="001E6C66" w:rsidP="005611FE">
      <w:pPr>
        <w:jc w:val="thaiDistribute"/>
        <w:rPr>
          <w:rFonts w:ascii="Arial" w:hAnsi="Arial" w:cs="Arial"/>
          <w:color w:val="000000"/>
          <w:sz w:val="20"/>
          <w:szCs w:val="20"/>
        </w:rPr>
      </w:pPr>
      <w:r w:rsidRPr="002D2F67">
        <w:rPr>
          <w:rFonts w:ascii="Arial" w:hAnsi="Arial" w:cs="Arial"/>
          <w:color w:val="000000"/>
          <w:sz w:val="20"/>
          <w:szCs w:val="20"/>
        </w:rPr>
        <w:t>The movement of debentures can be analysed as follows:</w:t>
      </w:r>
    </w:p>
    <w:p w14:paraId="71D8D0FE" w14:textId="77777777" w:rsidR="001E6C66" w:rsidRPr="002D2F67" w:rsidRDefault="001E6C66" w:rsidP="005611FE">
      <w:pPr>
        <w:rPr>
          <w:rFonts w:ascii="Arial" w:hAnsi="Arial" w:cs="Arial"/>
          <w:color w:val="000000"/>
          <w:sz w:val="20"/>
          <w:szCs w:val="20"/>
        </w:rPr>
      </w:pPr>
    </w:p>
    <w:tbl>
      <w:tblPr>
        <w:tblW w:w="9450" w:type="dxa"/>
        <w:tblInd w:w="108" w:type="dxa"/>
        <w:tblLayout w:type="fixed"/>
        <w:tblLook w:val="0000" w:firstRow="0" w:lastRow="0" w:firstColumn="0" w:lastColumn="0" w:noHBand="0" w:noVBand="0"/>
      </w:tblPr>
      <w:tblGrid>
        <w:gridCol w:w="6570"/>
        <w:gridCol w:w="1440"/>
        <w:gridCol w:w="1440"/>
      </w:tblGrid>
      <w:tr w:rsidR="00774A5C" w:rsidRPr="002D2F67" w14:paraId="0C38FBF4" w14:textId="77777777" w:rsidTr="008255E8">
        <w:trPr>
          <w:trHeight w:val="434"/>
        </w:trPr>
        <w:tc>
          <w:tcPr>
            <w:tcW w:w="6570" w:type="dxa"/>
            <w:shd w:val="clear" w:color="auto" w:fill="auto"/>
          </w:tcPr>
          <w:p w14:paraId="25D6898D" w14:textId="77777777" w:rsidR="00774A5C" w:rsidRPr="002D2F67" w:rsidRDefault="00774A5C" w:rsidP="005611FE">
            <w:pPr>
              <w:ind w:left="-100"/>
              <w:rPr>
                <w:rFonts w:ascii="Arial" w:hAnsi="Arial" w:cs="Arial"/>
                <w:color w:val="000000"/>
                <w:sz w:val="20"/>
                <w:szCs w:val="20"/>
              </w:rPr>
            </w:pPr>
          </w:p>
        </w:tc>
        <w:tc>
          <w:tcPr>
            <w:tcW w:w="2880" w:type="dxa"/>
            <w:gridSpan w:val="2"/>
            <w:tcBorders>
              <w:bottom w:val="single" w:sz="4" w:space="0" w:color="auto"/>
            </w:tcBorders>
            <w:shd w:val="clear" w:color="auto" w:fill="auto"/>
            <w:vAlign w:val="bottom"/>
          </w:tcPr>
          <w:p w14:paraId="429B25AB" w14:textId="77777777" w:rsidR="00774A5C" w:rsidRPr="002D2F67" w:rsidRDefault="00774A5C"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Consolidated and separate </w:t>
            </w:r>
          </w:p>
          <w:p w14:paraId="4CB0EBFD" w14:textId="5500F1A1" w:rsidR="00774A5C" w:rsidRPr="002D2F67" w:rsidRDefault="00774A5C"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5754BE" w:rsidRPr="002D2F67" w14:paraId="3AA6622D" w14:textId="77777777" w:rsidTr="005611FE">
        <w:trPr>
          <w:trHeight w:val="217"/>
        </w:trPr>
        <w:tc>
          <w:tcPr>
            <w:tcW w:w="6570" w:type="dxa"/>
            <w:shd w:val="clear" w:color="auto" w:fill="auto"/>
          </w:tcPr>
          <w:p w14:paraId="012667CE" w14:textId="4E3FBB5E" w:rsidR="005754BE" w:rsidRPr="002D2F67" w:rsidRDefault="005754BE" w:rsidP="005611FE">
            <w:pPr>
              <w:ind w:left="-100"/>
              <w:rPr>
                <w:rFonts w:ascii="Arial" w:hAnsi="Arial" w:cs="Arial"/>
                <w:color w:val="000000"/>
                <w:sz w:val="20"/>
                <w:szCs w:val="20"/>
              </w:rPr>
            </w:pPr>
            <w:r w:rsidRPr="002D2F67">
              <w:rPr>
                <w:rFonts w:ascii="Arial" w:hAnsi="Arial" w:cs="Arial"/>
                <w:b/>
                <w:bCs/>
                <w:color w:val="000000"/>
                <w:sz w:val="20"/>
                <w:szCs w:val="20"/>
              </w:rPr>
              <w:t xml:space="preserve">For the years ended </w:t>
            </w:r>
            <w:r w:rsidR="00CD5714" w:rsidRPr="00CD5714">
              <w:rPr>
                <w:rFonts w:ascii="Arial" w:hAnsi="Arial" w:cs="Arial"/>
                <w:b/>
                <w:bCs/>
                <w:color w:val="000000"/>
                <w:sz w:val="20"/>
                <w:szCs w:val="20"/>
                <w:lang w:val="en-GB"/>
              </w:rPr>
              <w:t>31</w:t>
            </w:r>
            <w:r w:rsidR="00FF69C8" w:rsidRPr="002D2F67">
              <w:rPr>
                <w:rFonts w:ascii="Arial" w:hAnsi="Arial" w:cs="Arial"/>
                <w:b/>
                <w:bCs/>
                <w:color w:val="000000"/>
                <w:sz w:val="20"/>
                <w:szCs w:val="20"/>
              </w:rPr>
              <w:t xml:space="preserve"> December</w:t>
            </w:r>
          </w:p>
        </w:tc>
        <w:tc>
          <w:tcPr>
            <w:tcW w:w="1440" w:type="dxa"/>
            <w:tcBorders>
              <w:top w:val="single" w:sz="4" w:space="0" w:color="auto"/>
            </w:tcBorders>
            <w:shd w:val="clear" w:color="auto" w:fill="auto"/>
          </w:tcPr>
          <w:p w14:paraId="39690B19" w14:textId="52425B80" w:rsidR="005754BE"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40" w:type="dxa"/>
            <w:tcBorders>
              <w:top w:val="single" w:sz="4" w:space="0" w:color="auto"/>
            </w:tcBorders>
            <w:shd w:val="clear" w:color="auto" w:fill="auto"/>
          </w:tcPr>
          <w:p w14:paraId="0DDB9FF1" w14:textId="76043C47" w:rsidR="005754BE"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1E6C66" w:rsidRPr="002D2F67" w14:paraId="651370EB" w14:textId="77777777" w:rsidTr="005611FE">
        <w:trPr>
          <w:trHeight w:val="60"/>
        </w:trPr>
        <w:tc>
          <w:tcPr>
            <w:tcW w:w="6570" w:type="dxa"/>
            <w:shd w:val="clear" w:color="auto" w:fill="auto"/>
          </w:tcPr>
          <w:p w14:paraId="1C113DE1" w14:textId="09874BDA" w:rsidR="001E6C66" w:rsidRPr="002D2F67" w:rsidRDefault="001E6C66" w:rsidP="005611FE">
            <w:pPr>
              <w:pStyle w:val="Header"/>
              <w:ind w:left="-100"/>
              <w:jc w:val="left"/>
              <w:rPr>
                <w:rFonts w:ascii="Arial" w:hAnsi="Arial" w:cs="Arial"/>
                <w:b/>
                <w:bCs/>
                <w:color w:val="000000"/>
                <w:sz w:val="20"/>
                <w:szCs w:val="20"/>
              </w:rPr>
            </w:pPr>
          </w:p>
        </w:tc>
        <w:tc>
          <w:tcPr>
            <w:tcW w:w="1440" w:type="dxa"/>
            <w:tcBorders>
              <w:bottom w:val="single" w:sz="4" w:space="0" w:color="auto"/>
            </w:tcBorders>
            <w:shd w:val="clear" w:color="auto" w:fill="auto"/>
          </w:tcPr>
          <w:p w14:paraId="5C7F98EF" w14:textId="1BC54E6E"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921880" w:rsidRPr="002D2F67">
              <w:rPr>
                <w:rFonts w:ascii="Arial" w:hAnsi="Arial" w:cs="Arial"/>
                <w:b/>
                <w:bCs/>
                <w:color w:val="000000"/>
                <w:sz w:val="20"/>
                <w:szCs w:val="20"/>
              </w:rPr>
              <w: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261AEB82" w14:textId="25EB0625" w:rsidR="001E6C66" w:rsidRPr="002D2F67" w:rsidRDefault="00921880" w:rsidP="005611FE">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1E6C66" w:rsidRPr="002D2F67" w14:paraId="5906F216" w14:textId="77777777" w:rsidTr="005611FE">
        <w:trPr>
          <w:trHeight w:val="71"/>
        </w:trPr>
        <w:tc>
          <w:tcPr>
            <w:tcW w:w="6570" w:type="dxa"/>
            <w:shd w:val="clear" w:color="auto" w:fill="auto"/>
          </w:tcPr>
          <w:p w14:paraId="35DFE6E6" w14:textId="77777777" w:rsidR="001E6C66" w:rsidRPr="002D2F67" w:rsidRDefault="001E6C66" w:rsidP="005611FE">
            <w:pPr>
              <w:ind w:left="-100"/>
              <w:rPr>
                <w:rFonts w:ascii="Arial" w:hAnsi="Arial" w:cs="Arial"/>
                <w:b/>
                <w:bCs/>
                <w:color w:val="000000"/>
                <w:sz w:val="12"/>
                <w:szCs w:val="12"/>
              </w:rPr>
            </w:pPr>
          </w:p>
        </w:tc>
        <w:tc>
          <w:tcPr>
            <w:tcW w:w="1440" w:type="dxa"/>
            <w:tcBorders>
              <w:top w:val="single" w:sz="4" w:space="0" w:color="auto"/>
            </w:tcBorders>
            <w:shd w:val="clear" w:color="auto" w:fill="auto"/>
          </w:tcPr>
          <w:p w14:paraId="69A9E53C"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2"/>
                <w:szCs w:val="12"/>
              </w:rPr>
            </w:pPr>
          </w:p>
        </w:tc>
        <w:tc>
          <w:tcPr>
            <w:tcW w:w="1440" w:type="dxa"/>
            <w:tcBorders>
              <w:top w:val="single" w:sz="4" w:space="0" w:color="auto"/>
            </w:tcBorders>
            <w:shd w:val="clear" w:color="auto" w:fill="auto"/>
          </w:tcPr>
          <w:p w14:paraId="35CC2D47"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2"/>
                <w:szCs w:val="12"/>
              </w:rPr>
            </w:pPr>
          </w:p>
        </w:tc>
      </w:tr>
      <w:tr w:rsidR="00972AF0" w:rsidRPr="002D2F67" w14:paraId="6E68B640" w14:textId="77777777" w:rsidTr="005611FE">
        <w:trPr>
          <w:trHeight w:val="217"/>
        </w:trPr>
        <w:tc>
          <w:tcPr>
            <w:tcW w:w="6570" w:type="dxa"/>
            <w:shd w:val="clear" w:color="auto" w:fill="auto"/>
          </w:tcPr>
          <w:p w14:paraId="7A821406" w14:textId="77777777" w:rsidR="00972AF0" w:rsidRPr="002D2F67" w:rsidRDefault="00972AF0" w:rsidP="005611FE">
            <w:pPr>
              <w:ind w:left="-100"/>
              <w:rPr>
                <w:rFonts w:ascii="Arial" w:hAnsi="Arial" w:cs="Arial"/>
                <w:color w:val="000000"/>
                <w:sz w:val="20"/>
                <w:szCs w:val="20"/>
              </w:rPr>
            </w:pPr>
            <w:r w:rsidRPr="002D2F67">
              <w:rPr>
                <w:rFonts w:ascii="Arial" w:hAnsi="Arial" w:cs="Arial"/>
                <w:color w:val="000000"/>
                <w:sz w:val="20"/>
                <w:szCs w:val="20"/>
              </w:rPr>
              <w:t>Opening net book value</w:t>
            </w:r>
          </w:p>
        </w:tc>
        <w:tc>
          <w:tcPr>
            <w:tcW w:w="1440" w:type="dxa"/>
            <w:shd w:val="clear" w:color="auto" w:fill="auto"/>
          </w:tcPr>
          <w:p w14:paraId="6B4728CE" w14:textId="3BCF1336" w:rsidR="00972AF0" w:rsidRPr="002D2F67" w:rsidRDefault="00CD5714" w:rsidP="005611FE">
            <w:pPr>
              <w:ind w:right="-72"/>
              <w:jc w:val="right"/>
              <w:rPr>
                <w:rFonts w:ascii="Arial" w:hAnsi="Arial" w:cs="Arial"/>
                <w:color w:val="000000"/>
                <w:sz w:val="20"/>
                <w:szCs w:val="25"/>
              </w:rPr>
            </w:pPr>
            <w:r w:rsidRPr="00CD5714">
              <w:rPr>
                <w:rFonts w:ascii="Arial" w:hAnsi="Arial" w:cs="Arial"/>
                <w:color w:val="000000"/>
                <w:sz w:val="20"/>
                <w:szCs w:val="25"/>
                <w:lang w:val="en-GB"/>
              </w:rPr>
              <w:t>31</w:t>
            </w:r>
            <w:r w:rsidR="00FD6FB5" w:rsidRPr="002D2F67">
              <w:rPr>
                <w:rFonts w:ascii="Arial" w:hAnsi="Arial" w:cs="Arial"/>
                <w:color w:val="000000"/>
                <w:sz w:val="20"/>
                <w:szCs w:val="25"/>
              </w:rPr>
              <w:t>,</w:t>
            </w:r>
            <w:r w:rsidRPr="00CD5714">
              <w:rPr>
                <w:rFonts w:ascii="Arial" w:hAnsi="Arial" w:cs="Arial"/>
                <w:color w:val="000000"/>
                <w:sz w:val="20"/>
                <w:szCs w:val="25"/>
                <w:lang w:val="en-GB"/>
              </w:rPr>
              <w:t>144</w:t>
            </w:r>
            <w:r w:rsidR="00FD6FB5" w:rsidRPr="002D2F67">
              <w:rPr>
                <w:rFonts w:ascii="Arial" w:hAnsi="Arial" w:cs="Arial"/>
                <w:color w:val="000000"/>
                <w:sz w:val="20"/>
                <w:szCs w:val="25"/>
              </w:rPr>
              <w:t>,</w:t>
            </w:r>
            <w:r w:rsidRPr="00CD5714">
              <w:rPr>
                <w:rFonts w:ascii="Arial" w:hAnsi="Arial" w:cs="Arial"/>
                <w:color w:val="000000"/>
                <w:sz w:val="20"/>
                <w:szCs w:val="25"/>
                <w:lang w:val="en-GB"/>
              </w:rPr>
              <w:t>200</w:t>
            </w:r>
          </w:p>
        </w:tc>
        <w:tc>
          <w:tcPr>
            <w:tcW w:w="1440" w:type="dxa"/>
            <w:shd w:val="clear" w:color="auto" w:fill="auto"/>
          </w:tcPr>
          <w:p w14:paraId="23F56624" w14:textId="50B0F8CB" w:rsidR="00972AF0"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15</w:t>
            </w:r>
            <w:r w:rsidR="00972AF0" w:rsidRPr="002D2F67">
              <w:rPr>
                <w:rFonts w:ascii="Arial" w:hAnsi="Arial" w:cs="Arial"/>
                <w:color w:val="000000"/>
                <w:sz w:val="20"/>
                <w:szCs w:val="20"/>
              </w:rPr>
              <w:t>,</w:t>
            </w:r>
            <w:r w:rsidRPr="00CD5714">
              <w:rPr>
                <w:rFonts w:ascii="Arial" w:hAnsi="Arial" w:cs="Arial"/>
                <w:color w:val="000000"/>
                <w:sz w:val="20"/>
                <w:szCs w:val="20"/>
                <w:lang w:val="en-GB"/>
              </w:rPr>
              <w:t>291</w:t>
            </w:r>
            <w:r w:rsidR="00972AF0" w:rsidRPr="002D2F67">
              <w:rPr>
                <w:rFonts w:ascii="Arial" w:hAnsi="Arial" w:cs="Arial"/>
                <w:color w:val="000000"/>
                <w:sz w:val="20"/>
                <w:szCs w:val="20"/>
              </w:rPr>
              <w:t>,</w:t>
            </w:r>
            <w:r w:rsidRPr="00CD5714">
              <w:rPr>
                <w:rFonts w:ascii="Arial" w:hAnsi="Arial" w:cs="Arial"/>
                <w:color w:val="000000"/>
                <w:sz w:val="20"/>
                <w:szCs w:val="20"/>
                <w:lang w:val="en-GB"/>
              </w:rPr>
              <w:t>232</w:t>
            </w:r>
          </w:p>
        </w:tc>
      </w:tr>
      <w:tr w:rsidR="00972AF0" w:rsidRPr="002D2F67" w14:paraId="4B1CE4A7" w14:textId="77777777" w:rsidTr="005611FE">
        <w:trPr>
          <w:trHeight w:val="217"/>
        </w:trPr>
        <w:tc>
          <w:tcPr>
            <w:tcW w:w="6570" w:type="dxa"/>
            <w:shd w:val="clear" w:color="auto" w:fill="auto"/>
          </w:tcPr>
          <w:p w14:paraId="4224ABA3" w14:textId="77777777" w:rsidR="00972AF0" w:rsidRPr="002D2F67" w:rsidRDefault="00972AF0" w:rsidP="005611FE">
            <w:pPr>
              <w:tabs>
                <w:tab w:val="left" w:pos="1134"/>
                <w:tab w:val="left" w:pos="1276"/>
                <w:tab w:val="center" w:pos="3402"/>
                <w:tab w:val="center" w:pos="4536"/>
                <w:tab w:val="center" w:pos="5670"/>
                <w:tab w:val="center" w:pos="6804"/>
                <w:tab w:val="right" w:pos="7655"/>
              </w:tabs>
              <w:ind w:left="-100"/>
              <w:rPr>
                <w:rFonts w:ascii="Arial" w:hAnsi="Arial" w:cs="Arial"/>
                <w:color w:val="000000"/>
                <w:sz w:val="20"/>
                <w:szCs w:val="20"/>
              </w:rPr>
            </w:pPr>
            <w:r w:rsidRPr="002D2F67">
              <w:rPr>
                <w:rFonts w:ascii="Arial" w:hAnsi="Arial" w:cs="Arial"/>
                <w:color w:val="000000"/>
                <w:sz w:val="20"/>
                <w:szCs w:val="20"/>
              </w:rPr>
              <w:t>Cash flows:</w:t>
            </w:r>
          </w:p>
        </w:tc>
        <w:tc>
          <w:tcPr>
            <w:tcW w:w="1440" w:type="dxa"/>
            <w:shd w:val="clear" w:color="auto" w:fill="auto"/>
          </w:tcPr>
          <w:p w14:paraId="13D965C2" w14:textId="77777777" w:rsidR="00972AF0" w:rsidRPr="002D2F67" w:rsidRDefault="00972AF0" w:rsidP="005611FE">
            <w:pPr>
              <w:ind w:right="-72"/>
              <w:jc w:val="right"/>
              <w:rPr>
                <w:rFonts w:ascii="Arial" w:hAnsi="Arial" w:cs="Arial"/>
                <w:color w:val="000000"/>
                <w:sz w:val="20"/>
                <w:szCs w:val="20"/>
              </w:rPr>
            </w:pPr>
          </w:p>
        </w:tc>
        <w:tc>
          <w:tcPr>
            <w:tcW w:w="1440" w:type="dxa"/>
            <w:shd w:val="clear" w:color="auto" w:fill="auto"/>
          </w:tcPr>
          <w:p w14:paraId="16217947" w14:textId="77777777" w:rsidR="00972AF0" w:rsidRPr="002D2F67" w:rsidRDefault="00972AF0" w:rsidP="005611FE">
            <w:pPr>
              <w:ind w:right="-72"/>
              <w:jc w:val="right"/>
              <w:rPr>
                <w:rFonts w:ascii="Arial" w:hAnsi="Arial" w:cs="Arial"/>
                <w:color w:val="000000"/>
                <w:sz w:val="20"/>
                <w:szCs w:val="20"/>
              </w:rPr>
            </w:pPr>
          </w:p>
        </w:tc>
      </w:tr>
      <w:tr w:rsidR="00972AF0" w:rsidRPr="002D2F67" w14:paraId="70B08C1C" w14:textId="77777777" w:rsidTr="005611FE">
        <w:trPr>
          <w:trHeight w:val="20"/>
        </w:trPr>
        <w:tc>
          <w:tcPr>
            <w:tcW w:w="6570" w:type="dxa"/>
            <w:shd w:val="clear" w:color="auto" w:fill="auto"/>
          </w:tcPr>
          <w:p w14:paraId="7FEC5EFE" w14:textId="156F5A35" w:rsidR="00972AF0" w:rsidRPr="002D2F67" w:rsidRDefault="00972AF0" w:rsidP="005611FE">
            <w:pPr>
              <w:tabs>
                <w:tab w:val="left" w:pos="1134"/>
                <w:tab w:val="left" w:pos="1276"/>
                <w:tab w:val="center" w:pos="3402"/>
                <w:tab w:val="center" w:pos="4536"/>
                <w:tab w:val="center" w:pos="5670"/>
                <w:tab w:val="center" w:pos="6804"/>
                <w:tab w:val="right" w:pos="7655"/>
              </w:tabs>
              <w:ind w:left="-100"/>
              <w:rPr>
                <w:rFonts w:ascii="Arial" w:hAnsi="Arial" w:cs="Arial"/>
                <w:color w:val="000000"/>
                <w:sz w:val="20"/>
                <w:szCs w:val="20"/>
              </w:rPr>
            </w:pPr>
            <w:r w:rsidRPr="002D2F67">
              <w:rPr>
                <w:rFonts w:ascii="Arial" w:hAnsi="Arial" w:cs="Arial"/>
                <w:color w:val="000000"/>
                <w:sz w:val="20"/>
                <w:szCs w:val="20"/>
                <w:cs/>
              </w:rPr>
              <w:t xml:space="preserve">   </w:t>
            </w:r>
            <w:r w:rsidRPr="002D2F67">
              <w:rPr>
                <w:rFonts w:ascii="Arial" w:hAnsi="Arial" w:cs="Arial"/>
                <w:color w:val="000000"/>
                <w:sz w:val="20"/>
                <w:szCs w:val="20"/>
              </w:rPr>
              <w:t>Issuance of debentures during the year</w:t>
            </w:r>
          </w:p>
        </w:tc>
        <w:tc>
          <w:tcPr>
            <w:tcW w:w="1440" w:type="dxa"/>
            <w:shd w:val="clear" w:color="auto" w:fill="auto"/>
            <w:vAlign w:val="bottom"/>
          </w:tcPr>
          <w:p w14:paraId="2A052ADD" w14:textId="532F628B" w:rsidR="00972AF0" w:rsidRPr="002D2F67" w:rsidRDefault="00FD6FB5"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vAlign w:val="bottom"/>
          </w:tcPr>
          <w:p w14:paraId="6F88479C" w14:textId="4E5AF3DE" w:rsidR="00972AF0"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16</w:t>
            </w:r>
            <w:r w:rsidR="00972AF0" w:rsidRPr="002D2F67">
              <w:rPr>
                <w:rFonts w:ascii="Arial" w:hAnsi="Arial" w:cs="Arial"/>
                <w:color w:val="000000"/>
                <w:sz w:val="20"/>
                <w:szCs w:val="20"/>
              </w:rPr>
              <w:t>,</w:t>
            </w:r>
            <w:r w:rsidRPr="00CD5714">
              <w:rPr>
                <w:rFonts w:ascii="Arial" w:hAnsi="Arial" w:cs="Arial"/>
                <w:color w:val="000000"/>
                <w:sz w:val="20"/>
                <w:szCs w:val="20"/>
                <w:lang w:val="en-GB"/>
              </w:rPr>
              <w:t>866</w:t>
            </w:r>
            <w:r w:rsidR="00972AF0" w:rsidRPr="002D2F67">
              <w:rPr>
                <w:rFonts w:ascii="Arial" w:hAnsi="Arial" w:cs="Arial"/>
                <w:color w:val="000000"/>
                <w:sz w:val="20"/>
                <w:szCs w:val="20"/>
              </w:rPr>
              <w:t>,</w:t>
            </w:r>
            <w:r w:rsidRPr="00CD5714">
              <w:rPr>
                <w:rFonts w:ascii="Arial" w:hAnsi="Arial" w:cs="Arial"/>
                <w:color w:val="000000"/>
                <w:sz w:val="20"/>
                <w:szCs w:val="20"/>
                <w:lang w:val="en-GB"/>
              </w:rPr>
              <w:t>000</w:t>
            </w:r>
          </w:p>
        </w:tc>
      </w:tr>
      <w:tr w:rsidR="00972AF0" w:rsidRPr="002D2F67" w14:paraId="31B26EFB" w14:textId="77777777" w:rsidTr="005611FE">
        <w:trPr>
          <w:trHeight w:val="20"/>
        </w:trPr>
        <w:tc>
          <w:tcPr>
            <w:tcW w:w="6570" w:type="dxa"/>
            <w:shd w:val="clear" w:color="auto" w:fill="auto"/>
          </w:tcPr>
          <w:p w14:paraId="403C932D" w14:textId="6C551512" w:rsidR="00972AF0" w:rsidRPr="002D2F67" w:rsidRDefault="00972AF0" w:rsidP="005611FE">
            <w:pPr>
              <w:tabs>
                <w:tab w:val="left" w:pos="1134"/>
                <w:tab w:val="left" w:pos="1276"/>
                <w:tab w:val="center" w:pos="3402"/>
                <w:tab w:val="center" w:pos="4536"/>
                <w:tab w:val="center" w:pos="5670"/>
                <w:tab w:val="center" w:pos="6804"/>
                <w:tab w:val="right" w:pos="7655"/>
              </w:tabs>
              <w:ind w:left="-100"/>
              <w:rPr>
                <w:rFonts w:ascii="Arial" w:hAnsi="Arial" w:cs="Arial"/>
                <w:color w:val="000000"/>
                <w:sz w:val="20"/>
                <w:szCs w:val="20"/>
              </w:rPr>
            </w:pPr>
            <w:r w:rsidRPr="002D2F67">
              <w:rPr>
                <w:rFonts w:ascii="Arial" w:hAnsi="Arial" w:cs="Arial"/>
                <w:color w:val="000000"/>
                <w:sz w:val="20"/>
                <w:szCs w:val="20"/>
                <w:cs/>
              </w:rPr>
              <w:t xml:space="preserve">   </w:t>
            </w:r>
            <w:r w:rsidRPr="002D2F67">
              <w:rPr>
                <w:rFonts w:ascii="Arial" w:hAnsi="Arial" w:cs="Arial"/>
                <w:color w:val="000000"/>
                <w:sz w:val="20"/>
                <w:szCs w:val="20"/>
              </w:rPr>
              <w:t xml:space="preserve">Repayment of debenture during the year  </w:t>
            </w:r>
          </w:p>
        </w:tc>
        <w:tc>
          <w:tcPr>
            <w:tcW w:w="1440" w:type="dxa"/>
            <w:shd w:val="clear" w:color="auto" w:fill="auto"/>
            <w:vAlign w:val="bottom"/>
          </w:tcPr>
          <w:p w14:paraId="6EE6FE36" w14:textId="5BE45FCA" w:rsidR="00972AF0" w:rsidRPr="002D2F67" w:rsidRDefault="00FD6FB5"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vAlign w:val="bottom"/>
          </w:tcPr>
          <w:p w14:paraId="2EB347CB" w14:textId="4625601D" w:rsidR="00972AF0" w:rsidRPr="002D2F67" w:rsidRDefault="00972AF0"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w:t>
            </w:r>
            <w:r w:rsidRPr="002D2F67">
              <w:rPr>
                <w:rFonts w:ascii="Arial" w:hAnsi="Arial" w:cs="Arial"/>
                <w:color w:val="000000"/>
                <w:sz w:val="20"/>
                <w:szCs w:val="20"/>
              </w:rPr>
              <w:t>,</w:t>
            </w:r>
            <w:r w:rsidR="00CD5714" w:rsidRPr="00CD5714">
              <w:rPr>
                <w:rFonts w:ascii="Arial" w:hAnsi="Arial" w:cs="Arial"/>
                <w:color w:val="000000"/>
                <w:sz w:val="20"/>
                <w:szCs w:val="20"/>
                <w:lang w:val="en-GB"/>
              </w:rPr>
              <w:t>000</w:t>
            </w:r>
            <w:r w:rsidRPr="002D2F67">
              <w:rPr>
                <w:rFonts w:ascii="Arial" w:hAnsi="Arial" w:cs="Arial"/>
                <w:color w:val="000000"/>
                <w:sz w:val="20"/>
                <w:szCs w:val="20"/>
              </w:rPr>
              <w:t>,</w:t>
            </w:r>
            <w:r w:rsidR="00CD5714" w:rsidRPr="00CD5714">
              <w:rPr>
                <w:rFonts w:ascii="Arial" w:hAnsi="Arial" w:cs="Arial"/>
                <w:color w:val="000000"/>
                <w:sz w:val="20"/>
                <w:szCs w:val="20"/>
                <w:lang w:val="en-GB"/>
              </w:rPr>
              <w:t>000</w:t>
            </w:r>
            <w:r w:rsidRPr="002D2F67">
              <w:rPr>
                <w:rFonts w:ascii="Arial" w:hAnsi="Arial" w:cs="Arial"/>
                <w:color w:val="000000"/>
                <w:sz w:val="20"/>
                <w:szCs w:val="20"/>
              </w:rPr>
              <w:t>)</w:t>
            </w:r>
          </w:p>
        </w:tc>
      </w:tr>
      <w:tr w:rsidR="00972AF0" w:rsidRPr="002D2F67" w14:paraId="261D1A88" w14:textId="77777777" w:rsidTr="005611FE">
        <w:trPr>
          <w:trHeight w:val="20"/>
        </w:trPr>
        <w:tc>
          <w:tcPr>
            <w:tcW w:w="6570" w:type="dxa"/>
            <w:shd w:val="clear" w:color="auto" w:fill="auto"/>
            <w:vAlign w:val="bottom"/>
          </w:tcPr>
          <w:p w14:paraId="4A3C094B" w14:textId="6F4F11EF" w:rsidR="00972AF0" w:rsidRPr="002D2F67" w:rsidRDefault="00972AF0" w:rsidP="005611FE">
            <w:pPr>
              <w:tabs>
                <w:tab w:val="left" w:pos="1134"/>
                <w:tab w:val="left" w:pos="1276"/>
                <w:tab w:val="center" w:pos="3402"/>
                <w:tab w:val="center" w:pos="4536"/>
                <w:tab w:val="center" w:pos="5670"/>
                <w:tab w:val="center" w:pos="6804"/>
                <w:tab w:val="right" w:pos="7655"/>
              </w:tabs>
              <w:ind w:left="-100"/>
              <w:rPr>
                <w:rFonts w:ascii="Arial" w:hAnsi="Arial" w:cs="Arial"/>
                <w:color w:val="000000"/>
                <w:sz w:val="20"/>
                <w:szCs w:val="20"/>
              </w:rPr>
            </w:pPr>
            <w:r w:rsidRPr="002D2F67">
              <w:rPr>
                <w:rFonts w:ascii="Arial" w:hAnsi="Arial" w:cs="Arial"/>
                <w:color w:val="000000"/>
                <w:sz w:val="20"/>
                <w:szCs w:val="20"/>
              </w:rPr>
              <w:t xml:space="preserve">   Payment for deferred financing fee during the year</w:t>
            </w:r>
          </w:p>
        </w:tc>
        <w:tc>
          <w:tcPr>
            <w:tcW w:w="1440" w:type="dxa"/>
            <w:shd w:val="clear" w:color="auto" w:fill="auto"/>
            <w:vAlign w:val="bottom"/>
          </w:tcPr>
          <w:p w14:paraId="7C3D673F" w14:textId="633BAB70" w:rsidR="00972AF0" w:rsidRPr="002D2F67" w:rsidRDefault="00FD6FB5"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vAlign w:val="bottom"/>
          </w:tcPr>
          <w:p w14:paraId="5AAED665" w14:textId="3288BE0E" w:rsidR="00972AF0" w:rsidRPr="002D2F67" w:rsidRDefault="00972AF0"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17</w:t>
            </w:r>
            <w:r w:rsidRPr="002D2F67">
              <w:rPr>
                <w:rFonts w:ascii="Arial" w:hAnsi="Arial" w:cs="Arial"/>
                <w:color w:val="000000"/>
                <w:sz w:val="20"/>
                <w:szCs w:val="20"/>
              </w:rPr>
              <w:t>,</w:t>
            </w:r>
            <w:r w:rsidR="00CD5714" w:rsidRPr="00CD5714">
              <w:rPr>
                <w:rFonts w:ascii="Arial" w:hAnsi="Arial" w:cs="Arial"/>
                <w:color w:val="000000"/>
                <w:sz w:val="20"/>
                <w:szCs w:val="20"/>
                <w:lang w:val="en-GB"/>
              </w:rPr>
              <w:t>775</w:t>
            </w:r>
            <w:r w:rsidRPr="002D2F67">
              <w:rPr>
                <w:rFonts w:ascii="Arial" w:hAnsi="Arial" w:cs="Arial"/>
                <w:color w:val="000000"/>
                <w:sz w:val="20"/>
                <w:szCs w:val="20"/>
              </w:rPr>
              <w:t>)</w:t>
            </w:r>
          </w:p>
        </w:tc>
      </w:tr>
      <w:tr w:rsidR="00972AF0" w:rsidRPr="002D2F67" w14:paraId="2359FE11" w14:textId="77777777" w:rsidTr="005611FE">
        <w:trPr>
          <w:trHeight w:val="231"/>
        </w:trPr>
        <w:tc>
          <w:tcPr>
            <w:tcW w:w="6570" w:type="dxa"/>
            <w:shd w:val="clear" w:color="auto" w:fill="auto"/>
            <w:vAlign w:val="bottom"/>
          </w:tcPr>
          <w:p w14:paraId="458FAD03" w14:textId="77777777" w:rsidR="00972AF0" w:rsidRPr="002D2F67" w:rsidRDefault="00972AF0" w:rsidP="005611FE">
            <w:pPr>
              <w:tabs>
                <w:tab w:val="left" w:pos="1134"/>
                <w:tab w:val="left" w:pos="1276"/>
                <w:tab w:val="center" w:pos="3402"/>
                <w:tab w:val="center" w:pos="4536"/>
                <w:tab w:val="center" w:pos="5670"/>
                <w:tab w:val="center" w:pos="6804"/>
                <w:tab w:val="right" w:pos="7655"/>
              </w:tabs>
              <w:ind w:left="-100"/>
              <w:rPr>
                <w:rFonts w:ascii="Arial" w:hAnsi="Arial" w:cs="Arial"/>
                <w:color w:val="000000"/>
                <w:sz w:val="20"/>
                <w:szCs w:val="20"/>
                <w:cs/>
              </w:rPr>
            </w:pPr>
            <w:r w:rsidRPr="002D2F67">
              <w:rPr>
                <w:rFonts w:ascii="Arial" w:hAnsi="Arial" w:cs="Arial"/>
                <w:color w:val="000000"/>
                <w:sz w:val="20"/>
                <w:szCs w:val="20"/>
              </w:rPr>
              <w:t>Other non-cash movements:</w:t>
            </w:r>
          </w:p>
        </w:tc>
        <w:tc>
          <w:tcPr>
            <w:tcW w:w="1440" w:type="dxa"/>
            <w:shd w:val="clear" w:color="auto" w:fill="auto"/>
          </w:tcPr>
          <w:p w14:paraId="33ED1FF9" w14:textId="77777777" w:rsidR="00972AF0" w:rsidRPr="002D2F67" w:rsidRDefault="00972AF0" w:rsidP="005611FE">
            <w:pPr>
              <w:tabs>
                <w:tab w:val="left" w:pos="1168"/>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shd w:val="clear" w:color="auto" w:fill="auto"/>
          </w:tcPr>
          <w:p w14:paraId="2AF06761" w14:textId="4568BCAC" w:rsidR="00972AF0" w:rsidRPr="002D2F67" w:rsidRDefault="00972AF0" w:rsidP="005611FE">
            <w:pPr>
              <w:tabs>
                <w:tab w:val="left" w:pos="1168"/>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972AF0" w:rsidRPr="002D2F67" w14:paraId="57DF6C01" w14:textId="77777777" w:rsidTr="005611FE">
        <w:trPr>
          <w:trHeight w:val="227"/>
        </w:trPr>
        <w:tc>
          <w:tcPr>
            <w:tcW w:w="6570" w:type="dxa"/>
            <w:shd w:val="clear" w:color="auto" w:fill="auto"/>
          </w:tcPr>
          <w:p w14:paraId="6C4E4EC1" w14:textId="0D420EE7" w:rsidR="00972AF0" w:rsidRPr="002D2F67" w:rsidRDefault="00972AF0" w:rsidP="005611FE">
            <w:pPr>
              <w:ind w:left="-100"/>
              <w:rPr>
                <w:rFonts w:ascii="Arial" w:hAnsi="Arial" w:cs="Arial"/>
                <w:color w:val="000000"/>
                <w:sz w:val="20"/>
                <w:szCs w:val="20"/>
              </w:rPr>
            </w:pPr>
            <w:r w:rsidRPr="002D2F67">
              <w:rPr>
                <w:rFonts w:ascii="Arial" w:hAnsi="Arial" w:cs="Arial"/>
                <w:color w:val="000000"/>
                <w:sz w:val="20"/>
                <w:szCs w:val="20"/>
                <w:cs/>
              </w:rPr>
              <w:t xml:space="preserve">   </w:t>
            </w:r>
            <w:r w:rsidRPr="002D2F67">
              <w:rPr>
                <w:rFonts w:ascii="Arial" w:hAnsi="Arial" w:cs="Arial"/>
                <w:color w:val="000000"/>
                <w:sz w:val="20"/>
                <w:szCs w:val="20"/>
              </w:rPr>
              <w:t>Amortisation of deferred financing fee</w:t>
            </w:r>
          </w:p>
        </w:tc>
        <w:tc>
          <w:tcPr>
            <w:tcW w:w="1440" w:type="dxa"/>
            <w:tcBorders>
              <w:bottom w:val="single" w:sz="4" w:space="0" w:color="auto"/>
            </w:tcBorders>
            <w:shd w:val="clear" w:color="auto" w:fill="auto"/>
            <w:vAlign w:val="bottom"/>
          </w:tcPr>
          <w:p w14:paraId="13302878" w14:textId="6F0EB1AE" w:rsidR="00972AF0" w:rsidRPr="002D2F67" w:rsidRDefault="00CD5714" w:rsidP="005611FE">
            <w:pPr>
              <w:tabs>
                <w:tab w:val="left" w:pos="1168"/>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CD5714">
              <w:rPr>
                <w:rFonts w:ascii="Arial" w:hAnsi="Arial" w:cs="Arial"/>
                <w:color w:val="000000"/>
                <w:sz w:val="20"/>
                <w:szCs w:val="20"/>
                <w:lang w:val="en-GB"/>
              </w:rPr>
              <w:t>7</w:t>
            </w:r>
            <w:r w:rsidR="00FD6FB5" w:rsidRPr="002D2F67">
              <w:rPr>
                <w:rFonts w:ascii="Arial" w:hAnsi="Arial" w:cs="Arial"/>
                <w:color w:val="000000"/>
                <w:sz w:val="20"/>
                <w:szCs w:val="20"/>
              </w:rPr>
              <w:t>,</w:t>
            </w:r>
            <w:r w:rsidRPr="00CD5714">
              <w:rPr>
                <w:rFonts w:ascii="Arial" w:hAnsi="Arial" w:cs="Arial"/>
                <w:color w:val="000000"/>
                <w:sz w:val="20"/>
                <w:szCs w:val="20"/>
                <w:lang w:val="en-GB"/>
              </w:rPr>
              <w:t>924</w:t>
            </w:r>
          </w:p>
        </w:tc>
        <w:tc>
          <w:tcPr>
            <w:tcW w:w="1440" w:type="dxa"/>
            <w:tcBorders>
              <w:bottom w:val="single" w:sz="4" w:space="0" w:color="auto"/>
            </w:tcBorders>
            <w:shd w:val="clear" w:color="auto" w:fill="auto"/>
            <w:vAlign w:val="bottom"/>
          </w:tcPr>
          <w:p w14:paraId="398D3BDE" w14:textId="2FDC5C99" w:rsidR="00972AF0" w:rsidRPr="002D2F67" w:rsidRDefault="00CD5714" w:rsidP="005611FE">
            <w:pPr>
              <w:tabs>
                <w:tab w:val="left" w:pos="1168"/>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CD5714">
              <w:rPr>
                <w:rFonts w:ascii="Arial" w:hAnsi="Arial" w:cs="Arial"/>
                <w:color w:val="000000"/>
                <w:sz w:val="20"/>
                <w:szCs w:val="20"/>
                <w:lang w:val="en-GB"/>
              </w:rPr>
              <w:t>4</w:t>
            </w:r>
            <w:r w:rsidR="00972AF0" w:rsidRPr="002D2F67">
              <w:rPr>
                <w:rFonts w:ascii="Arial" w:hAnsi="Arial" w:cs="Arial"/>
                <w:color w:val="000000"/>
                <w:sz w:val="20"/>
                <w:szCs w:val="20"/>
              </w:rPr>
              <w:t>,</w:t>
            </w:r>
            <w:r w:rsidRPr="00CD5714">
              <w:rPr>
                <w:rFonts w:ascii="Arial" w:hAnsi="Arial" w:cs="Arial"/>
                <w:color w:val="000000"/>
                <w:sz w:val="20"/>
                <w:szCs w:val="20"/>
                <w:lang w:val="en-GB"/>
              </w:rPr>
              <w:t>743</w:t>
            </w:r>
          </w:p>
        </w:tc>
      </w:tr>
      <w:tr w:rsidR="00972AF0" w:rsidRPr="002D2F67" w14:paraId="4012C70C" w14:textId="77777777" w:rsidTr="005611FE">
        <w:trPr>
          <w:trHeight w:val="217"/>
        </w:trPr>
        <w:tc>
          <w:tcPr>
            <w:tcW w:w="6570" w:type="dxa"/>
            <w:shd w:val="clear" w:color="auto" w:fill="auto"/>
          </w:tcPr>
          <w:p w14:paraId="313F39E1" w14:textId="77777777" w:rsidR="00972AF0" w:rsidRPr="002D2F67" w:rsidRDefault="00972AF0" w:rsidP="005611FE">
            <w:pPr>
              <w:ind w:left="-100"/>
              <w:jc w:val="thaiDistribute"/>
              <w:rPr>
                <w:rFonts w:ascii="Arial" w:hAnsi="Arial" w:cs="Arial"/>
                <w:color w:val="000000"/>
                <w:sz w:val="12"/>
                <w:szCs w:val="12"/>
                <w:cs/>
              </w:rPr>
            </w:pPr>
          </w:p>
        </w:tc>
        <w:tc>
          <w:tcPr>
            <w:tcW w:w="1440" w:type="dxa"/>
            <w:tcBorders>
              <w:top w:val="single" w:sz="4" w:space="0" w:color="auto"/>
            </w:tcBorders>
            <w:shd w:val="clear" w:color="auto" w:fill="auto"/>
            <w:vAlign w:val="bottom"/>
          </w:tcPr>
          <w:p w14:paraId="619C4C92" w14:textId="77777777" w:rsidR="00972AF0" w:rsidRPr="002D2F67" w:rsidRDefault="00972AF0" w:rsidP="005611FE">
            <w:pPr>
              <w:ind w:right="-72"/>
              <w:jc w:val="right"/>
              <w:rPr>
                <w:rFonts w:ascii="Arial" w:hAnsi="Arial" w:cs="Arial"/>
                <w:color w:val="000000"/>
                <w:sz w:val="12"/>
                <w:szCs w:val="12"/>
              </w:rPr>
            </w:pPr>
          </w:p>
        </w:tc>
        <w:tc>
          <w:tcPr>
            <w:tcW w:w="1440" w:type="dxa"/>
            <w:tcBorders>
              <w:top w:val="single" w:sz="4" w:space="0" w:color="auto"/>
            </w:tcBorders>
            <w:shd w:val="clear" w:color="auto" w:fill="auto"/>
            <w:vAlign w:val="bottom"/>
          </w:tcPr>
          <w:p w14:paraId="44326317" w14:textId="77777777" w:rsidR="00972AF0" w:rsidRPr="002D2F67" w:rsidRDefault="00972AF0" w:rsidP="005611FE">
            <w:pPr>
              <w:ind w:right="-72"/>
              <w:jc w:val="right"/>
              <w:rPr>
                <w:rFonts w:ascii="Arial" w:hAnsi="Arial" w:cs="Arial"/>
                <w:color w:val="000000"/>
                <w:sz w:val="12"/>
                <w:szCs w:val="12"/>
              </w:rPr>
            </w:pPr>
          </w:p>
        </w:tc>
      </w:tr>
      <w:tr w:rsidR="00972AF0" w:rsidRPr="002D2F67" w14:paraId="790CCCEF" w14:textId="77777777" w:rsidTr="005611FE">
        <w:trPr>
          <w:trHeight w:val="231"/>
        </w:trPr>
        <w:tc>
          <w:tcPr>
            <w:tcW w:w="6570" w:type="dxa"/>
            <w:shd w:val="clear" w:color="auto" w:fill="auto"/>
          </w:tcPr>
          <w:p w14:paraId="2B6AE49D" w14:textId="77777777" w:rsidR="00972AF0" w:rsidRPr="002D2F67" w:rsidRDefault="00972AF0" w:rsidP="005611FE">
            <w:pPr>
              <w:ind w:left="-100"/>
              <w:rPr>
                <w:rFonts w:ascii="Arial" w:hAnsi="Arial" w:cs="Arial"/>
                <w:b/>
                <w:bCs/>
                <w:color w:val="000000"/>
                <w:sz w:val="20"/>
                <w:szCs w:val="20"/>
                <w:cs/>
              </w:rPr>
            </w:pPr>
          </w:p>
        </w:tc>
        <w:tc>
          <w:tcPr>
            <w:tcW w:w="1440" w:type="dxa"/>
            <w:shd w:val="clear" w:color="auto" w:fill="auto"/>
            <w:vAlign w:val="bottom"/>
          </w:tcPr>
          <w:p w14:paraId="3ED118ED" w14:textId="7027534B" w:rsidR="00972AF0"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31</w:t>
            </w:r>
            <w:r w:rsidR="00FD6FB5" w:rsidRPr="002D2F67">
              <w:rPr>
                <w:rFonts w:ascii="Arial" w:hAnsi="Arial" w:cs="Arial"/>
                <w:color w:val="000000"/>
                <w:sz w:val="20"/>
                <w:szCs w:val="20"/>
              </w:rPr>
              <w:t>,</w:t>
            </w:r>
            <w:r w:rsidRPr="00CD5714">
              <w:rPr>
                <w:rFonts w:ascii="Arial" w:hAnsi="Arial" w:cs="Arial"/>
                <w:color w:val="000000"/>
                <w:sz w:val="20"/>
                <w:szCs w:val="20"/>
                <w:lang w:val="en-GB"/>
              </w:rPr>
              <w:t>152</w:t>
            </w:r>
            <w:r w:rsidR="00FD6FB5" w:rsidRPr="002D2F67">
              <w:rPr>
                <w:rFonts w:ascii="Arial" w:hAnsi="Arial" w:cs="Arial"/>
                <w:color w:val="000000"/>
                <w:sz w:val="20"/>
                <w:szCs w:val="20"/>
              </w:rPr>
              <w:t>,</w:t>
            </w:r>
            <w:r w:rsidRPr="00CD5714">
              <w:rPr>
                <w:rFonts w:ascii="Arial" w:hAnsi="Arial" w:cs="Arial"/>
                <w:color w:val="000000"/>
                <w:sz w:val="20"/>
                <w:szCs w:val="20"/>
                <w:lang w:val="en-GB"/>
              </w:rPr>
              <w:t>124</w:t>
            </w:r>
          </w:p>
        </w:tc>
        <w:tc>
          <w:tcPr>
            <w:tcW w:w="1440" w:type="dxa"/>
            <w:shd w:val="clear" w:color="auto" w:fill="auto"/>
            <w:vAlign w:val="bottom"/>
          </w:tcPr>
          <w:p w14:paraId="76B61748" w14:textId="7AD2749A" w:rsidR="00972AF0"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31</w:t>
            </w:r>
            <w:r w:rsidR="00972AF0" w:rsidRPr="002D2F67">
              <w:rPr>
                <w:rFonts w:ascii="Arial" w:hAnsi="Arial" w:cs="Arial"/>
                <w:color w:val="000000"/>
                <w:sz w:val="20"/>
                <w:szCs w:val="20"/>
              </w:rPr>
              <w:t>,</w:t>
            </w:r>
            <w:r w:rsidRPr="00CD5714">
              <w:rPr>
                <w:rFonts w:ascii="Arial" w:hAnsi="Arial" w:cs="Arial"/>
                <w:color w:val="000000"/>
                <w:sz w:val="20"/>
                <w:szCs w:val="20"/>
                <w:lang w:val="en-GB"/>
              </w:rPr>
              <w:t>144</w:t>
            </w:r>
            <w:r w:rsidR="00972AF0" w:rsidRPr="002D2F67">
              <w:rPr>
                <w:rFonts w:ascii="Arial" w:hAnsi="Arial" w:cs="Arial"/>
                <w:color w:val="000000"/>
                <w:sz w:val="20"/>
                <w:szCs w:val="20"/>
              </w:rPr>
              <w:t>,</w:t>
            </w:r>
            <w:r w:rsidRPr="00CD5714">
              <w:rPr>
                <w:rFonts w:ascii="Arial" w:hAnsi="Arial" w:cs="Arial"/>
                <w:color w:val="000000"/>
                <w:sz w:val="20"/>
                <w:szCs w:val="20"/>
                <w:lang w:val="en-GB"/>
              </w:rPr>
              <w:t>200</w:t>
            </w:r>
          </w:p>
        </w:tc>
      </w:tr>
      <w:tr w:rsidR="00972AF0" w:rsidRPr="002D2F67" w14:paraId="12073F2A" w14:textId="77777777" w:rsidTr="005611FE">
        <w:trPr>
          <w:trHeight w:val="227"/>
        </w:trPr>
        <w:tc>
          <w:tcPr>
            <w:tcW w:w="6570" w:type="dxa"/>
            <w:shd w:val="clear" w:color="auto" w:fill="auto"/>
          </w:tcPr>
          <w:p w14:paraId="6C5B3895" w14:textId="0544817C" w:rsidR="00972AF0" w:rsidRPr="002D2F67" w:rsidRDefault="00972AF0" w:rsidP="005611FE">
            <w:pPr>
              <w:tabs>
                <w:tab w:val="left" w:pos="459"/>
              </w:tabs>
              <w:ind w:left="-100"/>
              <w:rPr>
                <w:rFonts w:ascii="Arial" w:hAnsi="Arial" w:cs="Arial"/>
                <w:color w:val="000000"/>
                <w:spacing w:val="-4"/>
                <w:sz w:val="20"/>
                <w:szCs w:val="20"/>
              </w:rPr>
            </w:pPr>
            <w:r w:rsidRPr="002D2F67">
              <w:rPr>
                <w:rFonts w:ascii="Arial" w:hAnsi="Arial" w:cs="Arial"/>
                <w:color w:val="000000"/>
                <w:spacing w:val="-4"/>
                <w:sz w:val="20"/>
                <w:szCs w:val="20"/>
                <w:u w:val="single"/>
              </w:rPr>
              <w:t>Less</w:t>
            </w:r>
            <w:r w:rsidRPr="002D2F67">
              <w:rPr>
                <w:rFonts w:ascii="Arial" w:hAnsi="Arial" w:cs="Arial"/>
                <w:color w:val="000000"/>
                <w:spacing w:val="-4"/>
                <w:sz w:val="20"/>
                <w:szCs w:val="20"/>
              </w:rPr>
              <w:t xml:space="preserve">  Current portion of debentures, net</w:t>
            </w:r>
          </w:p>
        </w:tc>
        <w:tc>
          <w:tcPr>
            <w:tcW w:w="1440" w:type="dxa"/>
            <w:tcBorders>
              <w:bottom w:val="single" w:sz="4" w:space="0" w:color="auto"/>
            </w:tcBorders>
            <w:shd w:val="clear" w:color="auto" w:fill="auto"/>
            <w:vAlign w:val="bottom"/>
          </w:tcPr>
          <w:p w14:paraId="02968F6A" w14:textId="4D12A7D6" w:rsidR="00972AF0" w:rsidRPr="002D2F67" w:rsidRDefault="00FD6FB5" w:rsidP="005611FE">
            <w:pPr>
              <w:tabs>
                <w:tab w:val="left" w:pos="1168"/>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7</w:t>
            </w:r>
            <w:r w:rsidRPr="002D2F67">
              <w:rPr>
                <w:rFonts w:ascii="Arial" w:hAnsi="Arial" w:cs="Arial"/>
                <w:color w:val="000000"/>
                <w:sz w:val="20"/>
                <w:szCs w:val="20"/>
              </w:rPr>
              <w:t>,</w:t>
            </w:r>
            <w:r w:rsidR="00CD5714" w:rsidRPr="00CD5714">
              <w:rPr>
                <w:rFonts w:ascii="Arial" w:hAnsi="Arial" w:cs="Arial"/>
                <w:color w:val="000000"/>
                <w:sz w:val="20"/>
                <w:szCs w:val="20"/>
                <w:lang w:val="en-GB"/>
              </w:rPr>
              <w:t>445</w:t>
            </w:r>
            <w:r w:rsidRPr="002D2F67">
              <w:rPr>
                <w:rFonts w:ascii="Arial" w:hAnsi="Arial" w:cs="Arial"/>
                <w:color w:val="000000"/>
                <w:sz w:val="20"/>
                <w:szCs w:val="20"/>
              </w:rPr>
              <w:t>,</w:t>
            </w:r>
            <w:r w:rsidR="00CD5714" w:rsidRPr="00CD5714">
              <w:rPr>
                <w:rFonts w:ascii="Arial" w:hAnsi="Arial" w:cs="Arial"/>
                <w:color w:val="000000"/>
                <w:sz w:val="20"/>
                <w:szCs w:val="20"/>
                <w:lang w:val="en-GB"/>
              </w:rPr>
              <w:t>738</w:t>
            </w:r>
            <w:r w:rsidRPr="002D2F67">
              <w:rPr>
                <w:rFonts w:ascii="Arial" w:hAnsi="Arial" w:cs="Arial"/>
                <w:color w:val="000000"/>
                <w:sz w:val="20"/>
                <w:szCs w:val="20"/>
              </w:rPr>
              <w:t>)</w:t>
            </w:r>
          </w:p>
        </w:tc>
        <w:tc>
          <w:tcPr>
            <w:tcW w:w="1440" w:type="dxa"/>
            <w:tcBorders>
              <w:bottom w:val="single" w:sz="4" w:space="0" w:color="auto"/>
            </w:tcBorders>
            <w:shd w:val="clear" w:color="auto" w:fill="auto"/>
            <w:vAlign w:val="bottom"/>
          </w:tcPr>
          <w:p w14:paraId="65087C8B" w14:textId="5C2638FB" w:rsidR="00972AF0" w:rsidRPr="002D2F67" w:rsidRDefault="00972AF0" w:rsidP="005611FE">
            <w:pPr>
              <w:tabs>
                <w:tab w:val="left" w:pos="1168"/>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5</w:t>
            </w:r>
            <w:r w:rsidRPr="002D2F67">
              <w:rPr>
                <w:rFonts w:ascii="Arial" w:hAnsi="Arial" w:cs="Arial"/>
                <w:color w:val="000000"/>
                <w:sz w:val="20"/>
                <w:szCs w:val="20"/>
              </w:rPr>
              <w:t>,</w:t>
            </w:r>
            <w:r w:rsidR="00CD5714" w:rsidRPr="00CD5714">
              <w:rPr>
                <w:rFonts w:ascii="Arial" w:hAnsi="Arial" w:cs="Arial"/>
                <w:color w:val="000000"/>
                <w:sz w:val="20"/>
                <w:szCs w:val="20"/>
                <w:lang w:val="en-GB"/>
              </w:rPr>
              <w:t>492</w:t>
            </w:r>
            <w:r w:rsidRPr="002D2F67">
              <w:rPr>
                <w:rFonts w:ascii="Arial" w:hAnsi="Arial" w:cs="Arial"/>
                <w:color w:val="000000"/>
                <w:sz w:val="20"/>
                <w:szCs w:val="20"/>
              </w:rPr>
              <w:t>,</w:t>
            </w:r>
            <w:r w:rsidR="00CD5714" w:rsidRPr="00CD5714">
              <w:rPr>
                <w:rFonts w:ascii="Arial" w:hAnsi="Arial" w:cs="Arial"/>
                <w:color w:val="000000"/>
                <w:sz w:val="20"/>
                <w:szCs w:val="20"/>
                <w:lang w:val="en-GB"/>
              </w:rPr>
              <w:t>077</w:t>
            </w:r>
            <w:r w:rsidRPr="002D2F67">
              <w:rPr>
                <w:rFonts w:ascii="Arial" w:hAnsi="Arial" w:cs="Arial"/>
                <w:color w:val="000000"/>
                <w:sz w:val="20"/>
                <w:szCs w:val="20"/>
              </w:rPr>
              <w:t>)</w:t>
            </w:r>
          </w:p>
        </w:tc>
      </w:tr>
      <w:tr w:rsidR="00972AF0" w:rsidRPr="002D2F67" w14:paraId="13B8A033" w14:textId="77777777" w:rsidTr="005611FE">
        <w:trPr>
          <w:trHeight w:val="217"/>
        </w:trPr>
        <w:tc>
          <w:tcPr>
            <w:tcW w:w="6570" w:type="dxa"/>
            <w:shd w:val="clear" w:color="auto" w:fill="auto"/>
          </w:tcPr>
          <w:p w14:paraId="3B0EDD9D" w14:textId="77777777" w:rsidR="00972AF0" w:rsidRPr="002D2F67" w:rsidRDefault="00972AF0" w:rsidP="005611FE">
            <w:pPr>
              <w:ind w:left="-100"/>
              <w:rPr>
                <w:rFonts w:ascii="Arial" w:hAnsi="Arial" w:cs="Arial"/>
                <w:color w:val="000000"/>
                <w:sz w:val="12"/>
                <w:szCs w:val="12"/>
                <w:cs/>
              </w:rPr>
            </w:pPr>
          </w:p>
        </w:tc>
        <w:tc>
          <w:tcPr>
            <w:tcW w:w="1440" w:type="dxa"/>
            <w:tcBorders>
              <w:top w:val="single" w:sz="4" w:space="0" w:color="auto"/>
            </w:tcBorders>
            <w:shd w:val="clear" w:color="auto" w:fill="auto"/>
            <w:vAlign w:val="bottom"/>
          </w:tcPr>
          <w:p w14:paraId="4458A215" w14:textId="77777777" w:rsidR="00972AF0" w:rsidRPr="002D2F67" w:rsidRDefault="00972AF0" w:rsidP="005611FE">
            <w:pPr>
              <w:ind w:right="-72"/>
              <w:jc w:val="right"/>
              <w:rPr>
                <w:rFonts w:ascii="Arial" w:hAnsi="Arial" w:cs="Arial"/>
                <w:color w:val="000000"/>
                <w:sz w:val="12"/>
                <w:szCs w:val="12"/>
              </w:rPr>
            </w:pPr>
          </w:p>
        </w:tc>
        <w:tc>
          <w:tcPr>
            <w:tcW w:w="1440" w:type="dxa"/>
            <w:tcBorders>
              <w:top w:val="single" w:sz="4" w:space="0" w:color="auto"/>
            </w:tcBorders>
            <w:shd w:val="clear" w:color="auto" w:fill="auto"/>
            <w:vAlign w:val="bottom"/>
          </w:tcPr>
          <w:p w14:paraId="174ED580" w14:textId="77777777" w:rsidR="00972AF0" w:rsidRPr="002D2F67" w:rsidRDefault="00972AF0" w:rsidP="005611FE">
            <w:pPr>
              <w:ind w:right="-72"/>
              <w:jc w:val="right"/>
              <w:rPr>
                <w:rFonts w:ascii="Arial" w:hAnsi="Arial" w:cs="Arial"/>
                <w:color w:val="000000"/>
                <w:sz w:val="12"/>
                <w:szCs w:val="12"/>
              </w:rPr>
            </w:pPr>
          </w:p>
        </w:tc>
      </w:tr>
      <w:tr w:rsidR="00972AF0" w:rsidRPr="002D2F67" w14:paraId="1E646F14" w14:textId="77777777" w:rsidTr="005611FE">
        <w:trPr>
          <w:trHeight w:val="217"/>
        </w:trPr>
        <w:tc>
          <w:tcPr>
            <w:tcW w:w="6570" w:type="dxa"/>
            <w:shd w:val="clear" w:color="auto" w:fill="auto"/>
          </w:tcPr>
          <w:p w14:paraId="2CE68B1C" w14:textId="77777777" w:rsidR="00972AF0" w:rsidRPr="002D2F67" w:rsidRDefault="00972AF0" w:rsidP="005611FE">
            <w:pPr>
              <w:ind w:left="-100"/>
              <w:jc w:val="thaiDistribute"/>
              <w:rPr>
                <w:rFonts w:ascii="Arial" w:hAnsi="Arial" w:cs="Arial"/>
                <w:color w:val="000000"/>
                <w:sz w:val="20"/>
                <w:szCs w:val="20"/>
              </w:rPr>
            </w:pPr>
            <w:r w:rsidRPr="002D2F67">
              <w:rPr>
                <w:rFonts w:ascii="Arial" w:hAnsi="Arial" w:cs="Arial"/>
                <w:color w:val="000000"/>
                <w:sz w:val="20"/>
                <w:szCs w:val="20"/>
              </w:rPr>
              <w:t>Closing net book value</w:t>
            </w:r>
          </w:p>
        </w:tc>
        <w:tc>
          <w:tcPr>
            <w:tcW w:w="1440" w:type="dxa"/>
            <w:tcBorders>
              <w:bottom w:val="single" w:sz="4" w:space="0" w:color="auto"/>
            </w:tcBorders>
            <w:shd w:val="clear" w:color="auto" w:fill="auto"/>
          </w:tcPr>
          <w:p w14:paraId="23738F0F" w14:textId="0A37C1EC" w:rsidR="00972AF0"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23</w:t>
            </w:r>
            <w:r w:rsidR="00FD6FB5" w:rsidRPr="002D2F67">
              <w:rPr>
                <w:rFonts w:ascii="Arial" w:hAnsi="Arial" w:cs="Arial"/>
                <w:color w:val="000000"/>
                <w:sz w:val="20"/>
                <w:szCs w:val="20"/>
              </w:rPr>
              <w:t>,</w:t>
            </w:r>
            <w:r w:rsidRPr="00CD5714">
              <w:rPr>
                <w:rFonts w:ascii="Arial" w:hAnsi="Arial" w:cs="Arial"/>
                <w:color w:val="000000"/>
                <w:sz w:val="20"/>
                <w:szCs w:val="20"/>
                <w:lang w:val="en-GB"/>
              </w:rPr>
              <w:t>706</w:t>
            </w:r>
            <w:r w:rsidR="00FD6FB5" w:rsidRPr="002D2F67">
              <w:rPr>
                <w:rFonts w:ascii="Arial" w:hAnsi="Arial" w:cs="Arial"/>
                <w:color w:val="000000"/>
                <w:sz w:val="20"/>
                <w:szCs w:val="20"/>
              </w:rPr>
              <w:t>,</w:t>
            </w:r>
            <w:r w:rsidRPr="00CD5714">
              <w:rPr>
                <w:rFonts w:ascii="Arial" w:hAnsi="Arial" w:cs="Arial"/>
                <w:color w:val="000000"/>
                <w:sz w:val="20"/>
                <w:szCs w:val="20"/>
                <w:lang w:val="en-GB"/>
              </w:rPr>
              <w:t>386</w:t>
            </w:r>
          </w:p>
        </w:tc>
        <w:tc>
          <w:tcPr>
            <w:tcW w:w="1440" w:type="dxa"/>
            <w:tcBorders>
              <w:bottom w:val="single" w:sz="4" w:space="0" w:color="auto"/>
            </w:tcBorders>
            <w:shd w:val="clear" w:color="auto" w:fill="auto"/>
          </w:tcPr>
          <w:p w14:paraId="2343FCC8" w14:textId="543649EA" w:rsidR="00972AF0"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25</w:t>
            </w:r>
            <w:r w:rsidR="00972AF0" w:rsidRPr="002D2F67">
              <w:rPr>
                <w:rFonts w:ascii="Arial" w:hAnsi="Arial" w:cs="Arial"/>
                <w:color w:val="000000"/>
                <w:sz w:val="20"/>
                <w:szCs w:val="20"/>
              </w:rPr>
              <w:t>,</w:t>
            </w:r>
            <w:r w:rsidRPr="00CD5714">
              <w:rPr>
                <w:rFonts w:ascii="Arial" w:hAnsi="Arial" w:cs="Arial"/>
                <w:color w:val="000000"/>
                <w:sz w:val="20"/>
                <w:szCs w:val="20"/>
                <w:lang w:val="en-GB"/>
              </w:rPr>
              <w:t>652</w:t>
            </w:r>
            <w:r w:rsidR="00972AF0" w:rsidRPr="002D2F67">
              <w:rPr>
                <w:rFonts w:ascii="Arial" w:hAnsi="Arial" w:cs="Arial"/>
                <w:color w:val="000000"/>
                <w:sz w:val="20"/>
                <w:szCs w:val="20"/>
              </w:rPr>
              <w:t>,</w:t>
            </w:r>
            <w:r w:rsidRPr="00CD5714">
              <w:rPr>
                <w:rFonts w:ascii="Arial" w:hAnsi="Arial" w:cs="Arial"/>
                <w:color w:val="000000"/>
                <w:sz w:val="20"/>
                <w:szCs w:val="20"/>
                <w:lang w:val="en-GB"/>
              </w:rPr>
              <w:t>123</w:t>
            </w:r>
          </w:p>
        </w:tc>
      </w:tr>
    </w:tbl>
    <w:p w14:paraId="3F85472C" w14:textId="77777777" w:rsidR="00012337" w:rsidRPr="002D2F67" w:rsidRDefault="00012337" w:rsidP="005611FE">
      <w:pPr>
        <w:jc w:val="thaiDistribute"/>
        <w:rPr>
          <w:rFonts w:ascii="Arial" w:hAnsi="Arial" w:cs="Arial"/>
          <w:color w:val="000000"/>
          <w:spacing w:val="-4"/>
          <w:sz w:val="20"/>
          <w:szCs w:val="20"/>
        </w:rPr>
      </w:pPr>
    </w:p>
    <w:p w14:paraId="3C17C7DE" w14:textId="45BB1CA1" w:rsidR="00CE5FDB" w:rsidRPr="002D2F67" w:rsidRDefault="00CE5FDB" w:rsidP="00CE5FDB">
      <w:pPr>
        <w:jc w:val="thaiDistribute"/>
        <w:rPr>
          <w:rFonts w:ascii="Arial" w:hAnsi="Arial" w:cs="Arial"/>
          <w:spacing w:val="-4"/>
          <w:sz w:val="20"/>
          <w:szCs w:val="20"/>
        </w:rPr>
      </w:pPr>
      <w:r w:rsidRPr="002D2F67">
        <w:rPr>
          <w:rFonts w:ascii="Arial" w:hAnsi="Arial" w:cs="Arial"/>
          <w:spacing w:val="-4"/>
          <w:sz w:val="20"/>
          <w:szCs w:val="20"/>
        </w:rPr>
        <w:t xml:space="preserve">At the Annual General Shareholders’ Meeting of the Company on </w:t>
      </w:r>
      <w:r w:rsidR="00CD5714" w:rsidRPr="00CD5714">
        <w:rPr>
          <w:rFonts w:ascii="Arial" w:hAnsi="Arial" w:cs="Arial"/>
          <w:spacing w:val="-4"/>
          <w:sz w:val="20"/>
          <w:szCs w:val="20"/>
          <w:lang w:val="en-GB"/>
        </w:rPr>
        <w:t>26</w:t>
      </w:r>
      <w:r w:rsidRPr="002D2F67">
        <w:rPr>
          <w:rFonts w:ascii="Arial" w:hAnsi="Arial" w:cs="Arial"/>
          <w:spacing w:val="-4"/>
          <w:sz w:val="20"/>
          <w:szCs w:val="20"/>
        </w:rPr>
        <w:t xml:space="preserve"> April </w:t>
      </w:r>
      <w:r w:rsidR="00CD5714" w:rsidRPr="00CD5714">
        <w:rPr>
          <w:rFonts w:ascii="Arial" w:hAnsi="Arial" w:cs="Arial"/>
          <w:spacing w:val="-4"/>
          <w:sz w:val="20"/>
          <w:szCs w:val="20"/>
          <w:lang w:val="en-GB"/>
        </w:rPr>
        <w:t>2024</w:t>
      </w:r>
      <w:r w:rsidRPr="002D2F67">
        <w:rPr>
          <w:rFonts w:ascii="Arial" w:hAnsi="Arial" w:cs="Arial"/>
          <w:spacing w:val="-4"/>
          <w:sz w:val="20"/>
          <w:szCs w:val="20"/>
        </w:rPr>
        <w:t xml:space="preserve">, the shareholders passed </w:t>
      </w:r>
      <w:r w:rsidRPr="002D2F67">
        <w:rPr>
          <w:rFonts w:ascii="Arial" w:hAnsi="Arial" w:cs="Arial"/>
          <w:sz w:val="20"/>
          <w:szCs w:val="20"/>
        </w:rPr>
        <w:t xml:space="preserve">resolutions to approve a cancellation of the remaining unissued debenture of Baht </w:t>
      </w:r>
      <w:r w:rsidR="00CD5714" w:rsidRPr="00CD5714">
        <w:rPr>
          <w:rFonts w:ascii="Arial" w:hAnsi="Arial" w:cs="Arial"/>
          <w:sz w:val="20"/>
          <w:szCs w:val="20"/>
          <w:lang w:val="en-GB"/>
        </w:rPr>
        <w:t>10</w:t>
      </w:r>
      <w:r w:rsidRPr="002D2F67">
        <w:rPr>
          <w:rFonts w:ascii="Arial" w:hAnsi="Arial" w:cs="Arial"/>
          <w:sz w:val="20"/>
          <w:szCs w:val="20"/>
        </w:rPr>
        <w:t>,</w:t>
      </w:r>
      <w:r w:rsidR="00CD5714" w:rsidRPr="00CD5714">
        <w:rPr>
          <w:rFonts w:ascii="Arial" w:hAnsi="Arial" w:cs="Arial"/>
          <w:sz w:val="20"/>
          <w:szCs w:val="20"/>
          <w:lang w:val="en-GB"/>
        </w:rPr>
        <w:t>134</w:t>
      </w:r>
      <w:r w:rsidRPr="002D2F67">
        <w:rPr>
          <w:rFonts w:ascii="Arial" w:hAnsi="Arial" w:cs="Arial"/>
          <w:sz w:val="20"/>
          <w:szCs w:val="20"/>
        </w:rPr>
        <w:t xml:space="preserve"> million that was approved</w:t>
      </w:r>
      <w:r w:rsidRPr="002D2F67">
        <w:rPr>
          <w:rFonts w:ascii="Arial" w:hAnsi="Arial" w:cs="Arial"/>
          <w:spacing w:val="-4"/>
          <w:sz w:val="20"/>
          <w:szCs w:val="20"/>
        </w:rPr>
        <w:t xml:space="preserve"> at the Annual General Shareholders’ Meeting for the year </w:t>
      </w:r>
      <w:r w:rsidR="00CD5714" w:rsidRPr="00CD5714">
        <w:rPr>
          <w:rFonts w:ascii="Arial" w:hAnsi="Arial" w:cs="Arial"/>
          <w:spacing w:val="-4"/>
          <w:sz w:val="20"/>
          <w:szCs w:val="20"/>
          <w:lang w:val="en-GB"/>
        </w:rPr>
        <w:t>2023</w:t>
      </w:r>
      <w:r w:rsidRPr="002D2F67">
        <w:rPr>
          <w:rFonts w:ascii="Arial" w:hAnsi="Arial" w:cs="Arial"/>
          <w:spacing w:val="-4"/>
          <w:sz w:val="20"/>
          <w:szCs w:val="20"/>
        </w:rPr>
        <w:t xml:space="preserve"> and issuance and offering debenture in an amount not exceeding Baht </w:t>
      </w:r>
      <w:r w:rsidR="00CD5714" w:rsidRPr="00CD5714">
        <w:rPr>
          <w:rFonts w:ascii="Arial" w:hAnsi="Arial" w:cs="Arial"/>
          <w:spacing w:val="-4"/>
          <w:sz w:val="20"/>
          <w:szCs w:val="20"/>
          <w:lang w:val="en-GB"/>
        </w:rPr>
        <w:t>20</w:t>
      </w:r>
      <w:r w:rsidRPr="002D2F67">
        <w:rPr>
          <w:rFonts w:ascii="Arial" w:hAnsi="Arial" w:cs="Arial"/>
          <w:spacing w:val="-4"/>
          <w:sz w:val="20"/>
          <w:szCs w:val="20"/>
        </w:rPr>
        <w:t>,</w:t>
      </w:r>
      <w:r w:rsidR="00CD5714" w:rsidRPr="00CD5714">
        <w:rPr>
          <w:rFonts w:ascii="Arial" w:hAnsi="Arial" w:cs="Arial"/>
          <w:spacing w:val="-4"/>
          <w:sz w:val="20"/>
          <w:szCs w:val="20"/>
          <w:lang w:val="en-GB"/>
        </w:rPr>
        <w:t>000</w:t>
      </w:r>
      <w:r w:rsidRPr="002D2F67">
        <w:rPr>
          <w:rFonts w:ascii="Arial" w:hAnsi="Arial" w:cs="Arial"/>
          <w:spacing w:val="-4"/>
          <w:sz w:val="20"/>
          <w:szCs w:val="20"/>
        </w:rPr>
        <w:t xml:space="preserve"> million. </w:t>
      </w:r>
    </w:p>
    <w:p w14:paraId="775B521B" w14:textId="77777777" w:rsidR="00CE5FDB" w:rsidRPr="002D2F67" w:rsidRDefault="00CE5FDB" w:rsidP="00CE5FDB">
      <w:pPr>
        <w:jc w:val="thaiDistribute"/>
        <w:rPr>
          <w:rFonts w:ascii="Arial" w:hAnsi="Arial" w:cs="Arial"/>
          <w:spacing w:val="-4"/>
          <w:sz w:val="20"/>
          <w:szCs w:val="20"/>
        </w:rPr>
      </w:pPr>
      <w:r w:rsidRPr="002D2F67">
        <w:rPr>
          <w:rFonts w:ascii="Arial" w:hAnsi="Arial" w:cs="Arial"/>
          <w:spacing w:val="-4"/>
          <w:sz w:val="20"/>
          <w:szCs w:val="20"/>
        </w:rPr>
        <w:t> </w:t>
      </w:r>
    </w:p>
    <w:p w14:paraId="0569DA70" w14:textId="574C5DF9" w:rsidR="00CE5FDB" w:rsidRPr="002D2F67" w:rsidRDefault="00CE5FDB" w:rsidP="00CE5FDB">
      <w:pPr>
        <w:jc w:val="thaiDistribute"/>
        <w:rPr>
          <w:rFonts w:ascii="Arial" w:hAnsi="Arial" w:cs="Arial"/>
          <w:spacing w:val="-4"/>
          <w:sz w:val="20"/>
          <w:szCs w:val="20"/>
        </w:rPr>
      </w:pPr>
      <w:r w:rsidRPr="002D2F67">
        <w:rPr>
          <w:rFonts w:ascii="Arial" w:hAnsi="Arial" w:cs="Arial"/>
          <w:spacing w:val="-4"/>
          <w:sz w:val="20"/>
          <w:szCs w:val="20"/>
        </w:rPr>
        <w:t xml:space="preserve">At the Debenture Holders' Meetings on </w:t>
      </w:r>
      <w:r w:rsidR="00CD5714" w:rsidRPr="00CD5714">
        <w:rPr>
          <w:rFonts w:ascii="Arial" w:hAnsi="Arial" w:cs="Arial"/>
          <w:spacing w:val="-4"/>
          <w:sz w:val="20"/>
          <w:szCs w:val="20"/>
          <w:lang w:val="en-GB"/>
        </w:rPr>
        <w:t>9</w:t>
      </w:r>
      <w:r w:rsidRPr="002D2F67">
        <w:rPr>
          <w:rFonts w:ascii="Arial" w:hAnsi="Arial" w:cs="Arial"/>
          <w:spacing w:val="-4"/>
          <w:sz w:val="20"/>
          <w:szCs w:val="20"/>
        </w:rPr>
        <w:t xml:space="preserve"> August </w:t>
      </w:r>
      <w:r w:rsidR="00CD5714" w:rsidRPr="00CD5714">
        <w:rPr>
          <w:rFonts w:ascii="Arial" w:hAnsi="Arial" w:cs="Arial"/>
          <w:spacing w:val="-4"/>
          <w:sz w:val="20"/>
          <w:szCs w:val="20"/>
          <w:lang w:val="en-GB"/>
        </w:rPr>
        <w:t>2024</w:t>
      </w:r>
      <w:r w:rsidRPr="002D2F67">
        <w:rPr>
          <w:rFonts w:ascii="Arial" w:hAnsi="Arial" w:cs="Arial"/>
          <w:spacing w:val="-4"/>
          <w:sz w:val="20"/>
          <w:szCs w:val="20"/>
        </w:rPr>
        <w:t xml:space="preserve"> for debenture EA</w:t>
      </w:r>
      <w:r w:rsidR="00CD5714" w:rsidRPr="00CD5714">
        <w:rPr>
          <w:rFonts w:ascii="Arial" w:hAnsi="Arial" w:cs="Arial"/>
          <w:spacing w:val="-4"/>
          <w:sz w:val="20"/>
          <w:szCs w:val="20"/>
          <w:lang w:val="en-GB"/>
        </w:rPr>
        <w:t>248</w:t>
      </w:r>
      <w:r w:rsidRPr="002D2F67">
        <w:rPr>
          <w:rFonts w:ascii="Arial" w:hAnsi="Arial" w:cs="Arial"/>
          <w:spacing w:val="-4"/>
          <w:sz w:val="20"/>
          <w:szCs w:val="20"/>
        </w:rPr>
        <w:t xml:space="preserve">A, the debenture holders approved the extension of the debenture redemption date, without being considered as default of Baht </w:t>
      </w:r>
      <w:r w:rsidR="00CD5714" w:rsidRPr="00CD5714">
        <w:rPr>
          <w:rFonts w:ascii="Arial" w:hAnsi="Arial" w:cs="Arial"/>
          <w:spacing w:val="-4"/>
          <w:sz w:val="20"/>
          <w:szCs w:val="20"/>
          <w:lang w:val="en-GB"/>
        </w:rPr>
        <w:t>1</w:t>
      </w:r>
      <w:r w:rsidRPr="002D2F67">
        <w:rPr>
          <w:rFonts w:ascii="Arial" w:hAnsi="Arial" w:cs="Arial"/>
          <w:spacing w:val="-4"/>
          <w:sz w:val="20"/>
          <w:szCs w:val="20"/>
        </w:rPr>
        <w:t>,</w:t>
      </w:r>
      <w:r w:rsidR="00CD5714" w:rsidRPr="00CD5714">
        <w:rPr>
          <w:rFonts w:ascii="Arial" w:hAnsi="Arial" w:cs="Arial"/>
          <w:spacing w:val="-4"/>
          <w:sz w:val="20"/>
          <w:szCs w:val="20"/>
          <w:lang w:val="en-GB"/>
        </w:rPr>
        <w:t>500</w:t>
      </w:r>
      <w:r w:rsidRPr="002D2F67">
        <w:rPr>
          <w:rFonts w:ascii="Arial" w:hAnsi="Arial" w:cs="Arial"/>
          <w:spacing w:val="-4"/>
          <w:sz w:val="20"/>
          <w:szCs w:val="20"/>
        </w:rPr>
        <w:t xml:space="preserve"> million from the original redemption date of </w:t>
      </w:r>
      <w:r w:rsidR="00CD5714" w:rsidRPr="00CD5714">
        <w:rPr>
          <w:rFonts w:ascii="Arial" w:hAnsi="Arial" w:cs="Arial"/>
          <w:spacing w:val="-4"/>
          <w:sz w:val="20"/>
          <w:szCs w:val="20"/>
          <w:lang w:val="en-GB"/>
        </w:rPr>
        <w:t>15</w:t>
      </w:r>
      <w:r w:rsidRPr="002D2F67">
        <w:rPr>
          <w:rFonts w:ascii="Arial" w:hAnsi="Arial" w:cs="Arial"/>
          <w:spacing w:val="-4"/>
          <w:sz w:val="20"/>
          <w:szCs w:val="20"/>
        </w:rPr>
        <w:t xml:space="preserve"> August </w:t>
      </w:r>
      <w:r w:rsidR="00CD5714" w:rsidRPr="00CD5714">
        <w:rPr>
          <w:rFonts w:ascii="Arial" w:hAnsi="Arial" w:cs="Arial"/>
          <w:spacing w:val="-4"/>
          <w:sz w:val="20"/>
          <w:szCs w:val="20"/>
          <w:lang w:val="en-GB"/>
        </w:rPr>
        <w:t>2024</w:t>
      </w:r>
      <w:r w:rsidRPr="002D2F67">
        <w:rPr>
          <w:rFonts w:ascii="Arial" w:hAnsi="Arial" w:cs="Arial"/>
          <w:spacing w:val="-4"/>
          <w:sz w:val="20"/>
          <w:szCs w:val="20"/>
        </w:rPr>
        <w:t xml:space="preserve"> to </w:t>
      </w:r>
      <w:r w:rsidR="00CD5714" w:rsidRPr="00CD5714">
        <w:rPr>
          <w:rFonts w:ascii="Arial" w:hAnsi="Arial" w:cs="Arial"/>
          <w:spacing w:val="-4"/>
          <w:sz w:val="20"/>
          <w:szCs w:val="20"/>
          <w:lang w:val="en-GB"/>
        </w:rPr>
        <w:t>31</w:t>
      </w:r>
      <w:r w:rsidRPr="002D2F67">
        <w:rPr>
          <w:rFonts w:ascii="Arial" w:hAnsi="Arial" w:cs="Arial"/>
          <w:spacing w:val="-4"/>
          <w:sz w:val="20"/>
          <w:szCs w:val="20"/>
        </w:rPr>
        <w:t xml:space="preserve"> May </w:t>
      </w:r>
      <w:r w:rsidR="00CD5714" w:rsidRPr="00CD5714">
        <w:rPr>
          <w:rFonts w:ascii="Arial" w:hAnsi="Arial" w:cs="Arial"/>
          <w:spacing w:val="-4"/>
          <w:sz w:val="20"/>
          <w:szCs w:val="20"/>
          <w:lang w:val="en-GB"/>
        </w:rPr>
        <w:t>2025</w:t>
      </w:r>
      <w:r w:rsidRPr="002D2F67">
        <w:rPr>
          <w:rFonts w:ascii="Arial" w:hAnsi="Arial" w:cs="Arial"/>
          <w:spacing w:val="-4"/>
          <w:sz w:val="20"/>
          <w:szCs w:val="20"/>
        </w:rPr>
        <w:t xml:space="preserve">, the amendment of interest rate from </w:t>
      </w:r>
      <w:r w:rsidR="00CD5714" w:rsidRPr="00CD5714">
        <w:rPr>
          <w:rFonts w:ascii="Arial" w:hAnsi="Arial" w:cs="Arial"/>
          <w:spacing w:val="-4"/>
          <w:sz w:val="20"/>
          <w:szCs w:val="20"/>
          <w:lang w:val="en-GB"/>
        </w:rPr>
        <w:t>3</w:t>
      </w:r>
      <w:r w:rsidRPr="002D2F67">
        <w:rPr>
          <w:rFonts w:ascii="Arial" w:hAnsi="Arial" w:cs="Arial"/>
          <w:spacing w:val="-4"/>
          <w:sz w:val="20"/>
          <w:szCs w:val="20"/>
        </w:rPr>
        <w:t>.</w:t>
      </w:r>
      <w:r w:rsidR="00CD5714" w:rsidRPr="00CD5714">
        <w:rPr>
          <w:rFonts w:ascii="Arial" w:hAnsi="Arial" w:cs="Arial"/>
          <w:spacing w:val="-4"/>
          <w:sz w:val="20"/>
          <w:szCs w:val="20"/>
          <w:lang w:val="en-GB"/>
        </w:rPr>
        <w:t>11</w:t>
      </w:r>
      <w:r w:rsidRPr="002D2F67">
        <w:rPr>
          <w:rFonts w:ascii="Arial" w:hAnsi="Arial" w:cs="Arial"/>
          <w:spacing w:val="-4"/>
          <w:sz w:val="20"/>
          <w:szCs w:val="20"/>
        </w:rPr>
        <w:t xml:space="preserve">% per annum to </w:t>
      </w:r>
      <w:r w:rsidR="00CD5714" w:rsidRPr="00CD5714">
        <w:rPr>
          <w:rFonts w:ascii="Arial" w:hAnsi="Arial" w:cs="Arial"/>
          <w:spacing w:val="-4"/>
          <w:sz w:val="20"/>
          <w:szCs w:val="20"/>
          <w:lang w:val="en-GB"/>
        </w:rPr>
        <w:t>5</w:t>
      </w:r>
      <w:r w:rsidRPr="002D2F67">
        <w:rPr>
          <w:rFonts w:ascii="Arial" w:hAnsi="Arial" w:cs="Arial"/>
          <w:spacing w:val="-4"/>
          <w:sz w:val="20"/>
          <w:szCs w:val="20"/>
        </w:rPr>
        <w:t>.</w:t>
      </w:r>
      <w:r w:rsidR="00CD5714" w:rsidRPr="00CD5714">
        <w:rPr>
          <w:rFonts w:ascii="Arial" w:hAnsi="Arial" w:cs="Arial"/>
          <w:spacing w:val="-4"/>
          <w:sz w:val="20"/>
          <w:szCs w:val="20"/>
          <w:lang w:val="en-GB"/>
        </w:rPr>
        <w:t>00</w:t>
      </w:r>
      <w:r w:rsidRPr="002D2F67">
        <w:rPr>
          <w:rFonts w:ascii="Arial" w:hAnsi="Arial" w:cs="Arial"/>
          <w:spacing w:val="-4"/>
          <w:sz w:val="20"/>
          <w:szCs w:val="20"/>
        </w:rPr>
        <w:t>% per annum and the assignment of the debenture collaterals by registering a second-ranking business security agreement over certain contractual rights, the rights to the deposits at financial institution and machinery, and by a second-ranking mortgage over buildings and constructions of subsidiaries and right to collect proceeds from some power purchase agreements of the Group. </w:t>
      </w:r>
    </w:p>
    <w:p w14:paraId="48ED9B48" w14:textId="77777777" w:rsidR="00CE5FDB" w:rsidRPr="002D2F67" w:rsidRDefault="00CE5FDB" w:rsidP="00CE5FDB">
      <w:pPr>
        <w:jc w:val="thaiDistribute"/>
        <w:rPr>
          <w:rFonts w:ascii="Arial" w:hAnsi="Arial" w:cs="Arial"/>
          <w:spacing w:val="-4"/>
          <w:sz w:val="20"/>
          <w:szCs w:val="20"/>
        </w:rPr>
      </w:pPr>
      <w:r w:rsidRPr="002D2F67">
        <w:rPr>
          <w:rFonts w:ascii="Arial" w:hAnsi="Arial" w:cs="Arial"/>
          <w:spacing w:val="-4"/>
          <w:sz w:val="20"/>
          <w:szCs w:val="20"/>
        </w:rPr>
        <w:t> </w:t>
      </w:r>
    </w:p>
    <w:p w14:paraId="5E6AF385" w14:textId="00C3F95A" w:rsidR="00CE5FDB" w:rsidRPr="002D2F67" w:rsidRDefault="00CE5FDB" w:rsidP="00CE5FDB">
      <w:pPr>
        <w:jc w:val="thaiDistribute"/>
        <w:rPr>
          <w:rFonts w:ascii="Arial" w:hAnsi="Arial" w:cs="Arial"/>
          <w:spacing w:val="-4"/>
          <w:sz w:val="20"/>
          <w:szCs w:val="20"/>
        </w:rPr>
      </w:pPr>
      <w:r w:rsidRPr="002D2F67">
        <w:rPr>
          <w:rFonts w:ascii="Arial" w:hAnsi="Arial" w:cs="Arial"/>
          <w:spacing w:val="-4"/>
          <w:sz w:val="20"/>
          <w:szCs w:val="20"/>
        </w:rPr>
        <w:t xml:space="preserve">At the Debenture Holders' Meetings on </w:t>
      </w:r>
      <w:r w:rsidR="00CD5714" w:rsidRPr="00CD5714">
        <w:rPr>
          <w:rFonts w:ascii="Arial" w:hAnsi="Arial" w:cs="Arial"/>
          <w:spacing w:val="-4"/>
          <w:sz w:val="20"/>
          <w:szCs w:val="20"/>
          <w:lang w:val="en-GB"/>
        </w:rPr>
        <w:t>27</w:t>
      </w:r>
      <w:r w:rsidRPr="002D2F67">
        <w:rPr>
          <w:rFonts w:ascii="Arial" w:hAnsi="Arial" w:cs="Arial"/>
          <w:spacing w:val="-4"/>
          <w:sz w:val="20"/>
          <w:szCs w:val="20"/>
        </w:rPr>
        <w:t xml:space="preserve"> August </w:t>
      </w:r>
      <w:r w:rsidR="00CD5714" w:rsidRPr="00CD5714">
        <w:rPr>
          <w:rFonts w:ascii="Arial" w:hAnsi="Arial" w:cs="Arial"/>
          <w:spacing w:val="-4"/>
          <w:sz w:val="20"/>
          <w:szCs w:val="20"/>
          <w:lang w:val="en-GB"/>
        </w:rPr>
        <w:t>2024</w:t>
      </w:r>
      <w:r w:rsidRPr="002D2F67">
        <w:rPr>
          <w:rFonts w:ascii="Arial" w:hAnsi="Arial" w:cs="Arial"/>
          <w:spacing w:val="-4"/>
          <w:sz w:val="20"/>
          <w:szCs w:val="20"/>
        </w:rPr>
        <w:t xml:space="preserve"> for debenture EA</w:t>
      </w:r>
      <w:r w:rsidR="00CD5714" w:rsidRPr="00CD5714">
        <w:rPr>
          <w:rFonts w:ascii="Arial" w:hAnsi="Arial" w:cs="Arial"/>
          <w:spacing w:val="-4"/>
          <w:sz w:val="20"/>
          <w:szCs w:val="20"/>
          <w:lang w:val="en-GB"/>
        </w:rPr>
        <w:t>249</w:t>
      </w:r>
      <w:r w:rsidRPr="002D2F67">
        <w:rPr>
          <w:rFonts w:ascii="Arial" w:hAnsi="Arial" w:cs="Arial"/>
          <w:spacing w:val="-4"/>
          <w:sz w:val="20"/>
          <w:szCs w:val="20"/>
        </w:rPr>
        <w:t xml:space="preserve">A, the debenture holders approved the extension of the debenture redemption date, without being considered as default of Baht </w:t>
      </w:r>
      <w:r w:rsidR="00CD5714" w:rsidRPr="00CD5714">
        <w:rPr>
          <w:rFonts w:ascii="Arial" w:hAnsi="Arial" w:cs="Arial"/>
          <w:spacing w:val="-4"/>
          <w:sz w:val="20"/>
          <w:szCs w:val="20"/>
          <w:lang w:val="en-GB"/>
        </w:rPr>
        <w:t>4</w:t>
      </w:r>
      <w:r w:rsidRPr="002D2F67">
        <w:rPr>
          <w:rFonts w:ascii="Arial" w:hAnsi="Arial" w:cs="Arial"/>
          <w:spacing w:val="-4"/>
          <w:sz w:val="20"/>
          <w:szCs w:val="20"/>
        </w:rPr>
        <w:t>,</w:t>
      </w:r>
      <w:r w:rsidR="00CD5714" w:rsidRPr="00CD5714">
        <w:rPr>
          <w:rFonts w:ascii="Arial" w:hAnsi="Arial" w:cs="Arial"/>
          <w:spacing w:val="-4"/>
          <w:sz w:val="20"/>
          <w:szCs w:val="20"/>
          <w:lang w:val="en-GB"/>
        </w:rPr>
        <w:t>000</w:t>
      </w:r>
      <w:r w:rsidRPr="002D2F67">
        <w:rPr>
          <w:rFonts w:ascii="Arial" w:hAnsi="Arial" w:cs="Arial"/>
          <w:spacing w:val="-4"/>
          <w:sz w:val="20"/>
          <w:szCs w:val="20"/>
        </w:rPr>
        <w:t xml:space="preserve"> million from the original redemption date of </w:t>
      </w:r>
      <w:r w:rsidR="00611E9B">
        <w:rPr>
          <w:rFonts w:ascii="Arial" w:hAnsi="Arial" w:cs="Arial"/>
          <w:spacing w:val="-4"/>
          <w:sz w:val="20"/>
          <w:szCs w:val="20"/>
          <w:lang w:val="en-GB"/>
        </w:rPr>
        <w:t>29 September</w:t>
      </w:r>
      <w:r w:rsidRPr="002D2F67">
        <w:rPr>
          <w:rFonts w:ascii="Arial" w:hAnsi="Arial" w:cs="Arial"/>
          <w:spacing w:val="-4"/>
          <w:sz w:val="20"/>
          <w:szCs w:val="20"/>
        </w:rPr>
        <w:t xml:space="preserve"> </w:t>
      </w:r>
      <w:r w:rsidR="00CD5714" w:rsidRPr="00CD5714">
        <w:rPr>
          <w:rFonts w:ascii="Arial" w:hAnsi="Arial" w:cs="Arial"/>
          <w:spacing w:val="-4"/>
          <w:sz w:val="20"/>
          <w:szCs w:val="20"/>
          <w:lang w:val="en-GB"/>
        </w:rPr>
        <w:t>2024</w:t>
      </w:r>
      <w:r w:rsidRPr="002D2F67">
        <w:rPr>
          <w:rFonts w:ascii="Arial" w:hAnsi="Arial" w:cs="Arial"/>
          <w:spacing w:val="-4"/>
          <w:sz w:val="20"/>
          <w:szCs w:val="20"/>
        </w:rPr>
        <w:t xml:space="preserve"> to</w:t>
      </w:r>
      <w:r w:rsidR="002D6C89" w:rsidRPr="002D2F67">
        <w:rPr>
          <w:rFonts w:ascii="Arial" w:hAnsi="Arial" w:cs="Arial"/>
          <w:spacing w:val="-4"/>
          <w:sz w:val="20"/>
          <w:szCs w:val="20"/>
        </w:rPr>
        <w:t xml:space="preserve"> </w:t>
      </w:r>
      <w:r w:rsidR="00CD5714" w:rsidRPr="00CD5714">
        <w:rPr>
          <w:rFonts w:ascii="Arial" w:hAnsi="Arial" w:cs="Arial"/>
          <w:spacing w:val="-4"/>
          <w:sz w:val="20"/>
          <w:szCs w:val="20"/>
          <w:lang w:val="en-GB"/>
        </w:rPr>
        <w:t>30</w:t>
      </w:r>
      <w:r w:rsidRPr="002D2F67">
        <w:rPr>
          <w:rFonts w:ascii="Arial" w:hAnsi="Arial" w:cs="Arial"/>
          <w:spacing w:val="-4"/>
          <w:sz w:val="20"/>
          <w:szCs w:val="20"/>
        </w:rPr>
        <w:t xml:space="preserve"> June </w:t>
      </w:r>
      <w:r w:rsidR="00CD5714" w:rsidRPr="00CD5714">
        <w:rPr>
          <w:rFonts w:ascii="Arial" w:hAnsi="Arial" w:cs="Arial"/>
          <w:spacing w:val="-4"/>
          <w:sz w:val="20"/>
          <w:szCs w:val="20"/>
          <w:lang w:val="en-GB"/>
        </w:rPr>
        <w:t>2025</w:t>
      </w:r>
      <w:r w:rsidRPr="002D2F67">
        <w:rPr>
          <w:rFonts w:ascii="Arial" w:hAnsi="Arial" w:cs="Arial"/>
          <w:spacing w:val="-4"/>
          <w:sz w:val="20"/>
          <w:szCs w:val="20"/>
        </w:rPr>
        <w:t xml:space="preserve">, the amendment of interest rate from </w:t>
      </w:r>
      <w:r w:rsidR="00CD5714" w:rsidRPr="00CD5714">
        <w:rPr>
          <w:rFonts w:ascii="Arial" w:hAnsi="Arial" w:cs="Arial"/>
          <w:spacing w:val="-4"/>
          <w:sz w:val="20"/>
          <w:szCs w:val="20"/>
          <w:lang w:val="en-GB"/>
        </w:rPr>
        <w:t>3</w:t>
      </w:r>
      <w:r w:rsidRPr="002D2F67">
        <w:rPr>
          <w:rFonts w:ascii="Arial" w:hAnsi="Arial" w:cs="Arial"/>
          <w:spacing w:val="-4"/>
          <w:sz w:val="20"/>
          <w:szCs w:val="20"/>
        </w:rPr>
        <w:t>.</w:t>
      </w:r>
      <w:r w:rsidR="00CD5714" w:rsidRPr="00CD5714">
        <w:rPr>
          <w:rFonts w:ascii="Arial" w:hAnsi="Arial" w:cs="Arial"/>
          <w:spacing w:val="-4"/>
          <w:sz w:val="20"/>
          <w:szCs w:val="20"/>
          <w:lang w:val="en-GB"/>
        </w:rPr>
        <w:t>20</w:t>
      </w:r>
      <w:r w:rsidRPr="002D2F67">
        <w:rPr>
          <w:rFonts w:ascii="Arial" w:hAnsi="Arial" w:cs="Arial"/>
          <w:spacing w:val="-4"/>
          <w:sz w:val="20"/>
          <w:szCs w:val="20"/>
        </w:rPr>
        <w:t xml:space="preserve">% per annum to </w:t>
      </w:r>
      <w:r w:rsidR="00CD5714" w:rsidRPr="00CD5714">
        <w:rPr>
          <w:rFonts w:ascii="Arial" w:hAnsi="Arial" w:cs="Arial"/>
          <w:spacing w:val="-4"/>
          <w:sz w:val="20"/>
          <w:szCs w:val="20"/>
          <w:lang w:val="en-GB"/>
        </w:rPr>
        <w:t>5</w:t>
      </w:r>
      <w:r w:rsidRPr="002D2F67">
        <w:rPr>
          <w:rFonts w:ascii="Arial" w:hAnsi="Arial" w:cs="Arial"/>
          <w:spacing w:val="-4"/>
          <w:sz w:val="20"/>
          <w:szCs w:val="20"/>
        </w:rPr>
        <w:t>.</w:t>
      </w:r>
      <w:r w:rsidR="00CD5714" w:rsidRPr="00CD5714">
        <w:rPr>
          <w:rFonts w:ascii="Arial" w:hAnsi="Arial" w:cs="Arial"/>
          <w:spacing w:val="-4"/>
          <w:sz w:val="20"/>
          <w:szCs w:val="20"/>
          <w:lang w:val="en-GB"/>
        </w:rPr>
        <w:t>00</w:t>
      </w:r>
      <w:r w:rsidRPr="002D2F67">
        <w:rPr>
          <w:rFonts w:ascii="Arial" w:hAnsi="Arial" w:cs="Arial"/>
          <w:spacing w:val="-4"/>
          <w:sz w:val="20"/>
          <w:szCs w:val="20"/>
        </w:rPr>
        <w:t xml:space="preserve">% per annum and the assignment of the debenture collaterals by registering a second-ranking business security agreement over certain contractual rights, the rights to the deposits at financial institution and machinery, and by a second-ranking mortgage over buildings and constructions of subsidiaries and right to collect proceeds from some power purchase agreements of the Group. Subsequently, at the Debenture Holders' Meetings on </w:t>
      </w:r>
      <w:r w:rsidR="00CD5714" w:rsidRPr="00CD5714">
        <w:rPr>
          <w:rFonts w:ascii="Arial" w:hAnsi="Arial" w:cs="Arial"/>
          <w:spacing w:val="-4"/>
          <w:sz w:val="20"/>
          <w:szCs w:val="20"/>
          <w:lang w:val="en-GB"/>
        </w:rPr>
        <w:t>1</w:t>
      </w:r>
      <w:r w:rsidRPr="002D2F67">
        <w:rPr>
          <w:rFonts w:ascii="Arial" w:hAnsi="Arial" w:cs="Arial"/>
          <w:spacing w:val="-4"/>
          <w:sz w:val="20"/>
          <w:szCs w:val="20"/>
        </w:rPr>
        <w:t xml:space="preserve"> October </w:t>
      </w:r>
      <w:r w:rsidR="00CD5714" w:rsidRPr="00CD5714">
        <w:rPr>
          <w:rFonts w:ascii="Arial" w:hAnsi="Arial" w:cs="Arial"/>
          <w:spacing w:val="-4"/>
          <w:sz w:val="20"/>
          <w:szCs w:val="20"/>
          <w:lang w:val="en-GB"/>
        </w:rPr>
        <w:t>2024</w:t>
      </w:r>
      <w:r w:rsidRPr="002D2F67">
        <w:rPr>
          <w:rFonts w:ascii="Arial" w:hAnsi="Arial" w:cs="Arial"/>
          <w:spacing w:val="-4"/>
          <w:sz w:val="20"/>
          <w:szCs w:val="20"/>
        </w:rPr>
        <w:t xml:space="preserve"> for debenture EA</w:t>
      </w:r>
      <w:r w:rsidR="00CD5714" w:rsidRPr="00CD5714">
        <w:rPr>
          <w:rFonts w:ascii="Arial" w:hAnsi="Arial" w:cs="Arial"/>
          <w:spacing w:val="-4"/>
          <w:sz w:val="20"/>
          <w:szCs w:val="20"/>
          <w:lang w:val="en-GB"/>
        </w:rPr>
        <w:t>249</w:t>
      </w:r>
      <w:r w:rsidRPr="002D2F67">
        <w:rPr>
          <w:rFonts w:ascii="Arial" w:hAnsi="Arial" w:cs="Arial"/>
          <w:spacing w:val="-4"/>
          <w:sz w:val="20"/>
          <w:szCs w:val="20"/>
        </w:rPr>
        <w:t xml:space="preserve">A, the debenture holders approved the amendment of debenture redemption date after extension from </w:t>
      </w:r>
      <w:r w:rsidR="00CD5714" w:rsidRPr="00CD5714">
        <w:rPr>
          <w:rFonts w:ascii="Arial" w:hAnsi="Arial" w:cs="Arial"/>
          <w:spacing w:val="-4"/>
          <w:sz w:val="20"/>
          <w:szCs w:val="20"/>
          <w:lang w:val="en-GB"/>
        </w:rPr>
        <w:t>30</w:t>
      </w:r>
      <w:r w:rsidRPr="002D2F67">
        <w:rPr>
          <w:rFonts w:ascii="Arial" w:hAnsi="Arial" w:cs="Arial"/>
          <w:spacing w:val="-4"/>
          <w:sz w:val="20"/>
          <w:szCs w:val="20"/>
        </w:rPr>
        <w:t xml:space="preserve"> June </w:t>
      </w:r>
      <w:r w:rsidR="00CD5714" w:rsidRPr="00CD5714">
        <w:rPr>
          <w:rFonts w:ascii="Arial" w:hAnsi="Arial" w:cs="Arial"/>
          <w:spacing w:val="-4"/>
          <w:sz w:val="20"/>
          <w:szCs w:val="20"/>
          <w:lang w:val="en-GB"/>
        </w:rPr>
        <w:t>2025</w:t>
      </w:r>
      <w:r w:rsidRPr="002D2F67">
        <w:rPr>
          <w:rFonts w:ascii="Arial" w:hAnsi="Arial" w:cs="Arial"/>
          <w:spacing w:val="-4"/>
          <w:sz w:val="20"/>
          <w:szCs w:val="20"/>
        </w:rPr>
        <w:t xml:space="preserve"> to </w:t>
      </w:r>
      <w:r w:rsidR="00CD5714" w:rsidRPr="00CD5714">
        <w:rPr>
          <w:rFonts w:ascii="Arial" w:hAnsi="Arial" w:cs="Arial"/>
          <w:spacing w:val="-4"/>
          <w:sz w:val="20"/>
          <w:szCs w:val="20"/>
          <w:lang w:val="en-GB"/>
        </w:rPr>
        <w:t>31</w:t>
      </w:r>
      <w:r w:rsidRPr="002D2F67">
        <w:rPr>
          <w:rFonts w:ascii="Arial" w:hAnsi="Arial" w:cs="Arial"/>
          <w:spacing w:val="-4"/>
          <w:sz w:val="20"/>
          <w:szCs w:val="20"/>
        </w:rPr>
        <w:t xml:space="preserve"> May </w:t>
      </w:r>
      <w:r w:rsidR="00CD5714" w:rsidRPr="00CD5714">
        <w:rPr>
          <w:rFonts w:ascii="Arial" w:hAnsi="Arial" w:cs="Arial"/>
          <w:spacing w:val="-4"/>
          <w:sz w:val="20"/>
          <w:szCs w:val="20"/>
          <w:lang w:val="en-GB"/>
        </w:rPr>
        <w:t>2025</w:t>
      </w:r>
      <w:r w:rsidRPr="002D2F67">
        <w:rPr>
          <w:rFonts w:ascii="Arial" w:hAnsi="Arial" w:cs="Arial"/>
          <w:spacing w:val="-4"/>
          <w:sz w:val="20"/>
          <w:szCs w:val="20"/>
        </w:rPr>
        <w:t>. </w:t>
      </w:r>
    </w:p>
    <w:p w14:paraId="480D1167" w14:textId="77777777" w:rsidR="00CE5FDB" w:rsidRPr="002D2F67" w:rsidRDefault="00CE5FDB" w:rsidP="00CE5FDB">
      <w:pPr>
        <w:jc w:val="thaiDistribute"/>
        <w:rPr>
          <w:rFonts w:ascii="Arial" w:hAnsi="Arial" w:cs="Arial"/>
          <w:spacing w:val="-4"/>
          <w:sz w:val="20"/>
          <w:szCs w:val="20"/>
        </w:rPr>
      </w:pPr>
      <w:r w:rsidRPr="002D2F67">
        <w:rPr>
          <w:rFonts w:ascii="Arial" w:hAnsi="Arial" w:cs="Arial"/>
          <w:spacing w:val="-4"/>
          <w:sz w:val="20"/>
          <w:szCs w:val="20"/>
        </w:rPr>
        <w:t> </w:t>
      </w:r>
    </w:p>
    <w:p w14:paraId="38617F53" w14:textId="790726D1" w:rsidR="00CE5FDB" w:rsidRPr="002D2F67" w:rsidRDefault="00CE5FDB" w:rsidP="00CE5FDB">
      <w:pPr>
        <w:jc w:val="thaiDistribute"/>
        <w:rPr>
          <w:rFonts w:ascii="Arial" w:hAnsi="Arial" w:cs="Arial"/>
          <w:spacing w:val="-4"/>
          <w:sz w:val="20"/>
          <w:szCs w:val="20"/>
        </w:rPr>
      </w:pPr>
      <w:r w:rsidRPr="002D2F67">
        <w:rPr>
          <w:rFonts w:ascii="Arial" w:hAnsi="Arial" w:cs="Arial"/>
          <w:spacing w:val="-4"/>
          <w:sz w:val="20"/>
          <w:szCs w:val="20"/>
        </w:rPr>
        <w:t xml:space="preserve">As </w:t>
      </w:r>
      <w:proofErr w:type="gramStart"/>
      <w:r w:rsidRPr="002D2F67">
        <w:rPr>
          <w:rFonts w:ascii="Arial" w:hAnsi="Arial" w:cs="Arial"/>
          <w:spacing w:val="-4"/>
          <w:sz w:val="20"/>
          <w:szCs w:val="20"/>
        </w:rPr>
        <w:t>at</w:t>
      </w:r>
      <w:proofErr w:type="gramEnd"/>
      <w:r w:rsidRPr="002D2F67">
        <w:rPr>
          <w:rFonts w:ascii="Arial" w:hAnsi="Arial" w:cs="Arial"/>
          <w:spacing w:val="-4"/>
          <w:sz w:val="20"/>
          <w:szCs w:val="20"/>
        </w:rPr>
        <w:t xml:space="preserve"> </w:t>
      </w:r>
      <w:r w:rsidR="00CD5714" w:rsidRPr="00CD5714">
        <w:rPr>
          <w:rFonts w:ascii="Arial" w:hAnsi="Arial" w:cs="Arial"/>
          <w:spacing w:val="-4"/>
          <w:sz w:val="20"/>
          <w:szCs w:val="20"/>
          <w:lang w:val="en-GB"/>
        </w:rPr>
        <w:t>31</w:t>
      </w:r>
      <w:r w:rsidRPr="002D2F67">
        <w:rPr>
          <w:rFonts w:ascii="Arial" w:hAnsi="Arial" w:cs="Arial"/>
          <w:spacing w:val="-4"/>
          <w:sz w:val="20"/>
          <w:szCs w:val="20"/>
        </w:rPr>
        <w:t xml:space="preserve"> December </w:t>
      </w:r>
      <w:r w:rsidR="00CD5714" w:rsidRPr="00CD5714">
        <w:rPr>
          <w:rFonts w:ascii="Arial" w:hAnsi="Arial" w:cs="Arial"/>
          <w:spacing w:val="-4"/>
          <w:sz w:val="20"/>
          <w:szCs w:val="20"/>
          <w:lang w:val="en-GB"/>
        </w:rPr>
        <w:t>2024</w:t>
      </w:r>
      <w:r w:rsidRPr="002D2F67">
        <w:rPr>
          <w:rFonts w:ascii="Arial" w:hAnsi="Arial" w:cs="Arial"/>
          <w:spacing w:val="-4"/>
          <w:sz w:val="20"/>
          <w:szCs w:val="20"/>
        </w:rPr>
        <w:t xml:space="preserve">, senior secured debentures of Baht </w:t>
      </w:r>
      <w:r w:rsidR="00CD5714" w:rsidRPr="00CD5714">
        <w:rPr>
          <w:rFonts w:ascii="Arial" w:hAnsi="Arial" w:cs="Arial"/>
          <w:spacing w:val="-4"/>
          <w:sz w:val="20"/>
          <w:szCs w:val="20"/>
          <w:lang w:val="en-GB"/>
        </w:rPr>
        <w:t>5</w:t>
      </w:r>
      <w:r w:rsidRPr="002D2F67">
        <w:rPr>
          <w:rFonts w:ascii="Arial" w:hAnsi="Arial" w:cs="Arial"/>
          <w:spacing w:val="-4"/>
          <w:sz w:val="20"/>
          <w:szCs w:val="20"/>
        </w:rPr>
        <w:t>,</w:t>
      </w:r>
      <w:r w:rsidR="00CD5714" w:rsidRPr="00CD5714">
        <w:rPr>
          <w:rFonts w:ascii="Arial" w:hAnsi="Arial" w:cs="Arial"/>
          <w:spacing w:val="-4"/>
          <w:sz w:val="20"/>
          <w:szCs w:val="20"/>
          <w:lang w:val="en-GB"/>
        </w:rPr>
        <w:t>500</w:t>
      </w:r>
      <w:r w:rsidRPr="002D2F67">
        <w:rPr>
          <w:rFonts w:ascii="Arial" w:hAnsi="Arial" w:cs="Arial"/>
          <w:spacing w:val="-4"/>
          <w:sz w:val="20"/>
          <w:szCs w:val="20"/>
        </w:rPr>
        <w:t xml:space="preserve"> million, bore fixed interest rate with effective </w:t>
      </w:r>
      <w:r w:rsidRPr="002D2F67">
        <w:rPr>
          <w:rFonts w:ascii="Arial" w:hAnsi="Arial" w:cs="Arial"/>
          <w:spacing w:val="-6"/>
          <w:sz w:val="20"/>
          <w:szCs w:val="20"/>
        </w:rPr>
        <w:t xml:space="preserve">interest rate of </w:t>
      </w:r>
      <w:r w:rsidR="00CD5714" w:rsidRPr="00CD5714">
        <w:rPr>
          <w:rFonts w:ascii="Arial" w:hAnsi="Arial" w:cs="Arial"/>
          <w:spacing w:val="-6"/>
          <w:sz w:val="20"/>
          <w:szCs w:val="20"/>
          <w:lang w:val="en-GB"/>
        </w:rPr>
        <w:t>5</w:t>
      </w:r>
      <w:r w:rsidRPr="002D2F67">
        <w:rPr>
          <w:rFonts w:ascii="Arial" w:hAnsi="Arial" w:cs="Arial"/>
          <w:spacing w:val="-6"/>
          <w:sz w:val="20"/>
          <w:szCs w:val="20"/>
        </w:rPr>
        <w:t>.</w:t>
      </w:r>
      <w:r w:rsidR="00CD5714" w:rsidRPr="00CD5714">
        <w:rPr>
          <w:rFonts w:ascii="Arial" w:hAnsi="Arial" w:cs="Arial"/>
          <w:spacing w:val="-6"/>
          <w:sz w:val="20"/>
          <w:szCs w:val="20"/>
          <w:lang w:val="en-GB"/>
        </w:rPr>
        <w:t>00</w:t>
      </w:r>
      <w:r w:rsidRPr="002D2F67">
        <w:rPr>
          <w:rFonts w:ascii="Arial" w:hAnsi="Arial" w:cs="Arial"/>
          <w:spacing w:val="-6"/>
          <w:sz w:val="20"/>
          <w:szCs w:val="20"/>
        </w:rPr>
        <w:t xml:space="preserve">% per annum and senior unsecured debentures of Baht </w:t>
      </w:r>
      <w:r w:rsidR="00CD5714" w:rsidRPr="00CD5714">
        <w:rPr>
          <w:rFonts w:ascii="Arial" w:hAnsi="Arial" w:cs="Arial"/>
          <w:spacing w:val="-6"/>
          <w:sz w:val="20"/>
          <w:szCs w:val="20"/>
          <w:lang w:val="en-GB"/>
        </w:rPr>
        <w:t>25</w:t>
      </w:r>
      <w:r w:rsidRPr="002D2F67">
        <w:rPr>
          <w:rFonts w:ascii="Arial" w:hAnsi="Arial" w:cs="Arial"/>
          <w:spacing w:val="-6"/>
          <w:sz w:val="20"/>
          <w:szCs w:val="20"/>
        </w:rPr>
        <w:t>,</w:t>
      </w:r>
      <w:r w:rsidR="00CD5714" w:rsidRPr="00CD5714">
        <w:rPr>
          <w:rFonts w:ascii="Arial" w:hAnsi="Arial" w:cs="Arial"/>
          <w:spacing w:val="-6"/>
          <w:sz w:val="20"/>
          <w:szCs w:val="20"/>
          <w:lang w:val="en-GB"/>
        </w:rPr>
        <w:t>666</w:t>
      </w:r>
      <w:r w:rsidRPr="002D2F67">
        <w:rPr>
          <w:rFonts w:ascii="Arial" w:hAnsi="Arial" w:cs="Arial"/>
          <w:spacing w:val="-6"/>
          <w:sz w:val="20"/>
          <w:szCs w:val="20"/>
        </w:rPr>
        <w:t xml:space="preserve"> million, bore fixed interest rates with effective rates between with effective interest rates between </w:t>
      </w:r>
      <w:r w:rsidR="00CD5714" w:rsidRPr="00CD5714">
        <w:rPr>
          <w:rFonts w:ascii="Arial" w:hAnsi="Arial" w:cs="Arial"/>
          <w:spacing w:val="-6"/>
          <w:sz w:val="20"/>
          <w:szCs w:val="20"/>
          <w:lang w:val="en-GB"/>
        </w:rPr>
        <w:t>2</w:t>
      </w:r>
      <w:r w:rsidRPr="002D2F67">
        <w:rPr>
          <w:rFonts w:ascii="Arial" w:hAnsi="Arial" w:cs="Arial"/>
          <w:spacing w:val="-6"/>
          <w:sz w:val="20"/>
          <w:szCs w:val="20"/>
        </w:rPr>
        <w:t>.</w:t>
      </w:r>
      <w:r w:rsidR="00CD5714" w:rsidRPr="00CD5714">
        <w:rPr>
          <w:rFonts w:ascii="Arial" w:hAnsi="Arial" w:cs="Arial"/>
          <w:spacing w:val="-6"/>
          <w:sz w:val="20"/>
          <w:szCs w:val="20"/>
          <w:lang w:val="en-GB"/>
        </w:rPr>
        <w:t>74</w:t>
      </w:r>
      <w:r w:rsidRPr="002D2F67">
        <w:rPr>
          <w:rFonts w:ascii="Arial" w:hAnsi="Arial" w:cs="Arial"/>
          <w:spacing w:val="-6"/>
          <w:sz w:val="20"/>
          <w:szCs w:val="20"/>
        </w:rPr>
        <w:t xml:space="preserve">% to </w:t>
      </w:r>
      <w:r w:rsidR="00CD5714" w:rsidRPr="00CD5714">
        <w:rPr>
          <w:rFonts w:ascii="Arial" w:hAnsi="Arial" w:cs="Arial"/>
          <w:spacing w:val="-6"/>
          <w:sz w:val="20"/>
          <w:szCs w:val="20"/>
          <w:lang w:val="en-GB"/>
        </w:rPr>
        <w:t>5</w:t>
      </w:r>
      <w:r w:rsidRPr="002D2F67">
        <w:rPr>
          <w:rFonts w:ascii="Arial" w:hAnsi="Arial" w:cs="Arial"/>
          <w:spacing w:val="-6"/>
          <w:sz w:val="20"/>
          <w:szCs w:val="20"/>
        </w:rPr>
        <w:t>.</w:t>
      </w:r>
      <w:r w:rsidR="00CD5714" w:rsidRPr="00CD5714">
        <w:rPr>
          <w:rFonts w:ascii="Arial" w:hAnsi="Arial" w:cs="Arial"/>
          <w:spacing w:val="-6"/>
          <w:sz w:val="20"/>
          <w:szCs w:val="20"/>
          <w:lang w:val="en-GB"/>
        </w:rPr>
        <w:t>00</w:t>
      </w:r>
      <w:r w:rsidRPr="002D2F67">
        <w:rPr>
          <w:rFonts w:ascii="Arial" w:hAnsi="Arial" w:cs="Arial"/>
          <w:spacing w:val="-6"/>
          <w:sz w:val="20"/>
          <w:szCs w:val="20"/>
        </w:rPr>
        <w:t>% per annum (</w:t>
      </w:r>
      <w:r w:rsidR="00CD5714" w:rsidRPr="00CD5714">
        <w:rPr>
          <w:rFonts w:ascii="Arial" w:hAnsi="Arial" w:cs="Arial"/>
          <w:spacing w:val="-6"/>
          <w:sz w:val="20"/>
          <w:szCs w:val="20"/>
          <w:lang w:val="en-GB"/>
        </w:rPr>
        <w:t>2023</w:t>
      </w:r>
      <w:r w:rsidRPr="002D2F67">
        <w:rPr>
          <w:rFonts w:ascii="Arial" w:hAnsi="Arial" w:cs="Arial"/>
          <w:spacing w:val="-6"/>
          <w:sz w:val="20"/>
          <w:szCs w:val="20"/>
        </w:rPr>
        <w:t>: senior</w:t>
      </w:r>
      <w:r w:rsidRPr="002D2F67">
        <w:rPr>
          <w:rFonts w:ascii="Arial" w:hAnsi="Arial" w:cs="Arial"/>
          <w:spacing w:val="-4"/>
          <w:sz w:val="20"/>
          <w:szCs w:val="20"/>
        </w:rPr>
        <w:t xml:space="preserve"> unsecured debentures of Baht </w:t>
      </w:r>
      <w:r w:rsidR="00CD5714" w:rsidRPr="00CD5714">
        <w:rPr>
          <w:rFonts w:ascii="Arial" w:hAnsi="Arial" w:cs="Arial"/>
          <w:spacing w:val="-4"/>
          <w:sz w:val="20"/>
          <w:szCs w:val="20"/>
          <w:lang w:val="en-GB"/>
        </w:rPr>
        <w:t>31</w:t>
      </w:r>
      <w:r w:rsidRPr="002D2F67">
        <w:rPr>
          <w:rFonts w:ascii="Arial" w:hAnsi="Arial" w:cs="Arial"/>
          <w:spacing w:val="-4"/>
          <w:sz w:val="20"/>
          <w:szCs w:val="20"/>
        </w:rPr>
        <w:t>,</w:t>
      </w:r>
      <w:r w:rsidR="00CD5714" w:rsidRPr="00CD5714">
        <w:rPr>
          <w:rFonts w:ascii="Arial" w:hAnsi="Arial" w:cs="Arial"/>
          <w:spacing w:val="-4"/>
          <w:sz w:val="20"/>
          <w:szCs w:val="20"/>
          <w:lang w:val="en-GB"/>
        </w:rPr>
        <w:t>166</w:t>
      </w:r>
      <w:r w:rsidRPr="002D2F67">
        <w:rPr>
          <w:rFonts w:ascii="Arial" w:hAnsi="Arial" w:cs="Arial"/>
          <w:spacing w:val="-4"/>
          <w:sz w:val="20"/>
          <w:szCs w:val="20"/>
        </w:rPr>
        <w:t xml:space="preserve"> million bore fixed interest rates, with effective interest rates between </w:t>
      </w:r>
      <w:r w:rsidR="00CD5714" w:rsidRPr="00CD5714">
        <w:rPr>
          <w:rFonts w:ascii="Arial" w:hAnsi="Arial" w:cs="Arial"/>
          <w:spacing w:val="-6"/>
          <w:sz w:val="20"/>
          <w:szCs w:val="20"/>
          <w:lang w:val="en-GB"/>
        </w:rPr>
        <w:t>2</w:t>
      </w:r>
      <w:r w:rsidRPr="002D2F67">
        <w:rPr>
          <w:rFonts w:ascii="Arial" w:hAnsi="Arial" w:cs="Arial"/>
          <w:spacing w:val="-6"/>
          <w:sz w:val="20"/>
          <w:szCs w:val="20"/>
        </w:rPr>
        <w:t>.</w:t>
      </w:r>
      <w:r w:rsidR="00CD5714" w:rsidRPr="00CD5714">
        <w:rPr>
          <w:rFonts w:ascii="Arial" w:hAnsi="Arial" w:cs="Arial"/>
          <w:spacing w:val="-6"/>
          <w:sz w:val="20"/>
          <w:szCs w:val="20"/>
          <w:lang w:val="en-GB"/>
        </w:rPr>
        <w:t>74</w:t>
      </w:r>
      <w:r w:rsidRPr="002D2F67">
        <w:rPr>
          <w:rFonts w:ascii="Arial" w:hAnsi="Arial" w:cs="Arial"/>
          <w:spacing w:val="-6"/>
          <w:sz w:val="20"/>
          <w:szCs w:val="20"/>
        </w:rPr>
        <w:t xml:space="preserve">% and </w:t>
      </w:r>
      <w:r w:rsidR="00CD5714" w:rsidRPr="00CD5714">
        <w:rPr>
          <w:rFonts w:ascii="Arial" w:hAnsi="Arial" w:cs="Arial"/>
          <w:spacing w:val="-6"/>
          <w:sz w:val="20"/>
          <w:szCs w:val="20"/>
          <w:lang w:val="en-GB"/>
        </w:rPr>
        <w:t>4</w:t>
      </w:r>
      <w:r w:rsidRPr="002D2F67">
        <w:rPr>
          <w:rFonts w:ascii="Arial" w:hAnsi="Arial" w:cs="Arial"/>
          <w:spacing w:val="-6"/>
          <w:sz w:val="20"/>
          <w:szCs w:val="20"/>
        </w:rPr>
        <w:t>.</w:t>
      </w:r>
      <w:r w:rsidR="00CD5714" w:rsidRPr="00CD5714">
        <w:rPr>
          <w:rFonts w:ascii="Arial" w:hAnsi="Arial" w:cs="Arial"/>
          <w:spacing w:val="-6"/>
          <w:sz w:val="20"/>
          <w:szCs w:val="20"/>
          <w:lang w:val="en-GB"/>
        </w:rPr>
        <w:t>26</w:t>
      </w:r>
      <w:r w:rsidRPr="002D2F67">
        <w:rPr>
          <w:rFonts w:ascii="Arial" w:hAnsi="Arial" w:cs="Arial"/>
          <w:spacing w:val="-6"/>
          <w:sz w:val="20"/>
          <w:szCs w:val="20"/>
        </w:rPr>
        <w:t>% per annum). The Company is required to comply with certain terms and conditions as specified; for</w:t>
      </w:r>
      <w:r w:rsidRPr="002D2F67">
        <w:rPr>
          <w:rFonts w:ascii="Arial" w:hAnsi="Arial" w:cs="Arial"/>
          <w:spacing w:val="-4"/>
          <w:sz w:val="20"/>
          <w:szCs w:val="20"/>
        </w:rPr>
        <w:t xml:space="preserve"> example, maintaining debt-to-equity ratio. </w:t>
      </w:r>
    </w:p>
    <w:p w14:paraId="6AE5D032" w14:textId="77777777" w:rsidR="00AB5B46" w:rsidRPr="002D2F67" w:rsidRDefault="00AB5B46" w:rsidP="00CE5FDB">
      <w:pPr>
        <w:jc w:val="thaiDistribute"/>
        <w:rPr>
          <w:rFonts w:ascii="Arial" w:hAnsi="Arial" w:cs="Arial"/>
          <w:spacing w:val="-4"/>
          <w:sz w:val="20"/>
          <w:szCs w:val="20"/>
        </w:rPr>
      </w:pPr>
    </w:p>
    <w:p w14:paraId="49CFF3B2" w14:textId="1D9052CF" w:rsidR="00AB5B46" w:rsidRPr="002D2F67" w:rsidRDefault="00AB5B46" w:rsidP="00AB5B46">
      <w:pPr>
        <w:jc w:val="thaiDistribute"/>
        <w:rPr>
          <w:rFonts w:ascii="Arial" w:hAnsi="Arial" w:cs="Arial"/>
          <w:spacing w:val="-4"/>
          <w:sz w:val="20"/>
          <w:szCs w:val="20"/>
        </w:rPr>
      </w:pPr>
      <w:r w:rsidRPr="002D2F67">
        <w:rPr>
          <w:rFonts w:ascii="Arial" w:hAnsi="Arial" w:cs="Arial"/>
          <w:spacing w:val="-4"/>
          <w:sz w:val="20"/>
          <w:szCs w:val="20"/>
        </w:rPr>
        <w:t xml:space="preserve">As </w:t>
      </w:r>
      <w:proofErr w:type="gramStart"/>
      <w:r w:rsidRPr="002D2F67">
        <w:rPr>
          <w:rFonts w:ascii="Arial" w:hAnsi="Arial" w:cs="Arial"/>
          <w:spacing w:val="-4"/>
          <w:sz w:val="20"/>
          <w:szCs w:val="20"/>
        </w:rPr>
        <w:t>at</w:t>
      </w:r>
      <w:proofErr w:type="gramEnd"/>
      <w:r w:rsidRPr="002D2F67">
        <w:rPr>
          <w:rFonts w:ascii="Arial" w:hAnsi="Arial" w:cs="Arial"/>
          <w:spacing w:val="-4"/>
          <w:sz w:val="20"/>
          <w:szCs w:val="20"/>
        </w:rPr>
        <w:t xml:space="preserve"> </w:t>
      </w:r>
      <w:r w:rsidR="00CD5714" w:rsidRPr="00CD5714">
        <w:rPr>
          <w:rFonts w:ascii="Arial" w:hAnsi="Arial" w:cs="Arial"/>
          <w:spacing w:val="-4"/>
          <w:sz w:val="20"/>
          <w:szCs w:val="20"/>
          <w:lang w:val="en-GB"/>
        </w:rPr>
        <w:t>31</w:t>
      </w:r>
      <w:r w:rsidRPr="002D2F67">
        <w:rPr>
          <w:rFonts w:ascii="Arial" w:hAnsi="Arial" w:cs="Arial"/>
          <w:spacing w:val="-4"/>
          <w:sz w:val="20"/>
          <w:szCs w:val="20"/>
        </w:rPr>
        <w:t xml:space="preserve"> December </w:t>
      </w:r>
      <w:r w:rsidR="00CD5714" w:rsidRPr="00CD5714">
        <w:rPr>
          <w:rFonts w:ascii="Arial" w:hAnsi="Arial" w:cs="Arial"/>
          <w:spacing w:val="-4"/>
          <w:sz w:val="20"/>
          <w:szCs w:val="20"/>
          <w:lang w:val="en-GB"/>
        </w:rPr>
        <w:t>2024</w:t>
      </w:r>
      <w:r w:rsidRPr="002D2F67">
        <w:rPr>
          <w:rFonts w:ascii="Arial" w:hAnsi="Arial" w:cs="Arial"/>
          <w:spacing w:val="-4"/>
          <w:sz w:val="20"/>
          <w:szCs w:val="20"/>
        </w:rPr>
        <w:t>, the Company ha</w:t>
      </w:r>
      <w:r w:rsidR="004269C8" w:rsidRPr="002D2F67">
        <w:rPr>
          <w:rFonts w:ascii="Arial" w:hAnsi="Arial" w:cs="Arial"/>
          <w:spacing w:val="-4"/>
          <w:sz w:val="20"/>
          <w:szCs w:val="20"/>
        </w:rPr>
        <w:t>d</w:t>
      </w:r>
      <w:r w:rsidRPr="002D2F67">
        <w:rPr>
          <w:rFonts w:ascii="Arial" w:hAnsi="Arial" w:cs="Arial"/>
          <w:spacing w:val="-4"/>
          <w:sz w:val="20"/>
          <w:szCs w:val="20"/>
        </w:rPr>
        <w:t xml:space="preserve"> outstanding debenture facilities that has not yet been issued of Baht </w:t>
      </w:r>
      <w:r w:rsidR="00CD5714" w:rsidRPr="00CD5714">
        <w:rPr>
          <w:rFonts w:ascii="Arial" w:hAnsi="Arial" w:cs="Arial"/>
          <w:spacing w:val="-4"/>
          <w:sz w:val="20"/>
          <w:szCs w:val="20"/>
          <w:lang w:val="en-GB"/>
        </w:rPr>
        <w:t>20</w:t>
      </w:r>
      <w:r w:rsidRPr="002D2F67">
        <w:rPr>
          <w:rFonts w:ascii="Arial" w:hAnsi="Arial" w:cs="Arial"/>
          <w:spacing w:val="-4"/>
          <w:sz w:val="20"/>
          <w:szCs w:val="20"/>
        </w:rPr>
        <w:t>,</w:t>
      </w:r>
      <w:r w:rsidR="00CD5714" w:rsidRPr="00CD5714">
        <w:rPr>
          <w:rFonts w:ascii="Arial" w:hAnsi="Arial" w:cs="Arial"/>
          <w:spacing w:val="-4"/>
          <w:sz w:val="20"/>
          <w:szCs w:val="20"/>
          <w:lang w:val="en-GB"/>
        </w:rPr>
        <w:t>000</w:t>
      </w:r>
      <w:r w:rsidRPr="002D2F67">
        <w:rPr>
          <w:rFonts w:ascii="Arial" w:hAnsi="Arial" w:cs="Arial"/>
          <w:spacing w:val="-4"/>
          <w:sz w:val="20"/>
          <w:szCs w:val="20"/>
        </w:rPr>
        <w:t xml:space="preserve"> million (</w:t>
      </w:r>
      <w:r w:rsidR="00CD5714" w:rsidRPr="00CD5714">
        <w:rPr>
          <w:rFonts w:ascii="Arial" w:hAnsi="Arial" w:cs="Arial"/>
          <w:spacing w:val="-4"/>
          <w:sz w:val="20"/>
          <w:szCs w:val="20"/>
          <w:lang w:val="en-GB"/>
        </w:rPr>
        <w:t>2023</w:t>
      </w:r>
      <w:r w:rsidRPr="002D2F67">
        <w:rPr>
          <w:rFonts w:ascii="Arial" w:hAnsi="Arial" w:cs="Arial"/>
          <w:spacing w:val="-4"/>
          <w:sz w:val="20"/>
          <w:szCs w:val="20"/>
        </w:rPr>
        <w:t xml:space="preserve">: Baht </w:t>
      </w:r>
      <w:r w:rsidR="00CD5714" w:rsidRPr="00CD5714">
        <w:rPr>
          <w:rFonts w:ascii="Arial" w:hAnsi="Arial" w:cs="Arial"/>
          <w:spacing w:val="-4"/>
          <w:sz w:val="20"/>
          <w:szCs w:val="20"/>
          <w:lang w:val="en-GB"/>
        </w:rPr>
        <w:t>10</w:t>
      </w:r>
      <w:r w:rsidRPr="002D2F67">
        <w:rPr>
          <w:rFonts w:ascii="Arial" w:hAnsi="Arial" w:cs="Arial"/>
          <w:spacing w:val="-4"/>
          <w:sz w:val="20"/>
          <w:szCs w:val="20"/>
        </w:rPr>
        <w:t>,</w:t>
      </w:r>
      <w:r w:rsidR="00CD5714" w:rsidRPr="00CD5714">
        <w:rPr>
          <w:rFonts w:ascii="Arial" w:hAnsi="Arial" w:cs="Arial"/>
          <w:spacing w:val="-4"/>
          <w:sz w:val="20"/>
          <w:szCs w:val="20"/>
          <w:lang w:val="en-GB"/>
        </w:rPr>
        <w:t>134</w:t>
      </w:r>
      <w:r w:rsidRPr="002D2F67">
        <w:rPr>
          <w:rFonts w:ascii="Arial" w:hAnsi="Arial" w:cs="Arial"/>
          <w:spacing w:val="-4"/>
          <w:sz w:val="20"/>
          <w:szCs w:val="20"/>
        </w:rPr>
        <w:t xml:space="preserve"> million).</w:t>
      </w:r>
    </w:p>
    <w:p w14:paraId="1CC84C70" w14:textId="0D710F0B" w:rsidR="005065B5" w:rsidRPr="002D2F67" w:rsidRDefault="00AB5B46" w:rsidP="00CE5FDB">
      <w:pPr>
        <w:jc w:val="thaiDistribute"/>
        <w:rPr>
          <w:rFonts w:ascii="Arial" w:hAnsi="Arial" w:cs="Arial"/>
          <w:spacing w:val="-4"/>
          <w:sz w:val="20"/>
          <w:szCs w:val="20"/>
        </w:rPr>
      </w:pPr>
      <w:r w:rsidRPr="002D2F67">
        <w:rPr>
          <w:rFonts w:ascii="Arial" w:hAnsi="Arial" w:cs="Arial"/>
          <w:spacing w:val="-4"/>
          <w:sz w:val="20"/>
          <w:szCs w:val="20"/>
        </w:rPr>
        <w:br w:type="page"/>
      </w:r>
    </w:p>
    <w:p w14:paraId="5A3A2AAD" w14:textId="33826A90" w:rsidR="001E6C66" w:rsidRPr="002D2F67" w:rsidRDefault="001E6C66" w:rsidP="005611FE">
      <w:pPr>
        <w:jc w:val="thaiDistribute"/>
        <w:rPr>
          <w:rFonts w:ascii="Arial" w:hAnsi="Arial" w:cs="Arial"/>
          <w:color w:val="000000"/>
          <w:sz w:val="20"/>
          <w:szCs w:val="20"/>
        </w:rPr>
      </w:pPr>
      <w:r w:rsidRPr="002D2F67">
        <w:rPr>
          <w:rFonts w:ascii="Arial" w:hAnsi="Arial" w:cs="Arial"/>
          <w:color w:val="000000"/>
          <w:sz w:val="20"/>
          <w:szCs w:val="20"/>
        </w:rPr>
        <w:t xml:space="preserve">Maturity terms of debentures </w:t>
      </w:r>
      <w:r w:rsidR="004269C8" w:rsidRPr="002D2F67">
        <w:rPr>
          <w:rFonts w:ascii="Arial" w:hAnsi="Arial" w:cs="Arial"/>
          <w:color w:val="000000"/>
          <w:sz w:val="20"/>
          <w:szCs w:val="20"/>
        </w:rPr>
        <w:t>wer</w:t>
      </w:r>
      <w:r w:rsidRPr="002D2F67">
        <w:rPr>
          <w:rFonts w:ascii="Arial" w:hAnsi="Arial" w:cs="Arial"/>
          <w:color w:val="000000"/>
          <w:sz w:val="20"/>
          <w:szCs w:val="20"/>
        </w:rPr>
        <w:t>e as follows:</w:t>
      </w:r>
    </w:p>
    <w:p w14:paraId="048418B7" w14:textId="77777777" w:rsidR="001E6C66" w:rsidRPr="002D2F67" w:rsidRDefault="001E6C66" w:rsidP="005611FE">
      <w:pPr>
        <w:jc w:val="thaiDistribute"/>
        <w:rPr>
          <w:rFonts w:ascii="Arial" w:hAnsi="Arial" w:cs="Arial"/>
          <w:color w:val="000000"/>
          <w:sz w:val="20"/>
          <w:szCs w:val="20"/>
        </w:rPr>
      </w:pPr>
    </w:p>
    <w:tbl>
      <w:tblPr>
        <w:tblW w:w="0" w:type="auto"/>
        <w:tblLook w:val="04A0" w:firstRow="1" w:lastRow="0" w:firstColumn="1" w:lastColumn="0" w:noHBand="0" w:noVBand="1"/>
      </w:tblPr>
      <w:tblGrid>
        <w:gridCol w:w="6678"/>
        <w:gridCol w:w="1440"/>
        <w:gridCol w:w="1440"/>
      </w:tblGrid>
      <w:tr w:rsidR="001E6C66" w:rsidRPr="002D2F67" w14:paraId="6D645519" w14:textId="77777777" w:rsidTr="008255E8">
        <w:trPr>
          <w:trHeight w:val="475"/>
        </w:trPr>
        <w:tc>
          <w:tcPr>
            <w:tcW w:w="6678" w:type="dxa"/>
            <w:shd w:val="clear" w:color="auto" w:fill="auto"/>
          </w:tcPr>
          <w:p w14:paraId="5AB4CAEB" w14:textId="77777777" w:rsidR="001E6C66" w:rsidRPr="002D2F67" w:rsidRDefault="001E6C66" w:rsidP="005611FE">
            <w:pPr>
              <w:spacing w:line="240" w:lineRule="atLeast"/>
              <w:jc w:val="thaiDistribute"/>
              <w:rPr>
                <w:rFonts w:ascii="Arial" w:hAnsi="Arial" w:cs="Arial"/>
                <w:b/>
                <w:bCs/>
                <w:color w:val="000000"/>
                <w:spacing w:val="-2"/>
                <w:sz w:val="20"/>
                <w:szCs w:val="20"/>
              </w:rPr>
            </w:pPr>
          </w:p>
        </w:tc>
        <w:tc>
          <w:tcPr>
            <w:tcW w:w="2880" w:type="dxa"/>
            <w:gridSpan w:val="2"/>
            <w:tcBorders>
              <w:bottom w:val="single" w:sz="4" w:space="0" w:color="auto"/>
            </w:tcBorders>
            <w:shd w:val="clear" w:color="auto" w:fill="auto"/>
            <w:vAlign w:val="center"/>
          </w:tcPr>
          <w:p w14:paraId="6A2956A4" w14:textId="77777777" w:rsidR="00E32A54" w:rsidRPr="002D2F67" w:rsidRDefault="00E32A54"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Consolidated and separate </w:t>
            </w:r>
          </w:p>
          <w:p w14:paraId="06310444" w14:textId="77777777" w:rsidR="001E6C66" w:rsidRPr="002D2F67" w:rsidRDefault="001E6C66" w:rsidP="005611FE">
            <w:pPr>
              <w:spacing w:line="240" w:lineRule="atLeast"/>
              <w:ind w:right="-61"/>
              <w:jc w:val="right"/>
              <w:rPr>
                <w:rFonts w:ascii="Arial" w:hAnsi="Arial" w:cs="Arial"/>
                <w:b/>
                <w:bCs/>
                <w:color w:val="000000"/>
                <w:spacing w:val="-2"/>
                <w:sz w:val="20"/>
                <w:szCs w:val="20"/>
              </w:rPr>
            </w:pPr>
            <w:r w:rsidRPr="002D2F67">
              <w:rPr>
                <w:rFonts w:ascii="Arial" w:hAnsi="Arial" w:cs="Arial"/>
                <w:b/>
                <w:bCs/>
                <w:color w:val="000000"/>
                <w:spacing w:val="-2"/>
                <w:sz w:val="20"/>
                <w:szCs w:val="20"/>
              </w:rPr>
              <w:t>financial statements</w:t>
            </w:r>
          </w:p>
        </w:tc>
      </w:tr>
      <w:tr w:rsidR="005754BE" w:rsidRPr="002D2F67" w14:paraId="6887FAEC" w14:textId="77777777" w:rsidTr="005611FE">
        <w:trPr>
          <w:trHeight w:val="231"/>
        </w:trPr>
        <w:tc>
          <w:tcPr>
            <w:tcW w:w="6678" w:type="dxa"/>
            <w:shd w:val="clear" w:color="auto" w:fill="auto"/>
          </w:tcPr>
          <w:p w14:paraId="3D21944C" w14:textId="77777777" w:rsidR="005754BE" w:rsidRPr="002D2F67" w:rsidRDefault="005754BE" w:rsidP="005611FE">
            <w:pPr>
              <w:spacing w:line="240" w:lineRule="atLeast"/>
              <w:jc w:val="thaiDistribute"/>
              <w:rPr>
                <w:rFonts w:ascii="Arial" w:hAnsi="Arial" w:cs="Arial"/>
                <w:b/>
                <w:bCs/>
                <w:color w:val="000000"/>
                <w:spacing w:val="-2"/>
                <w:sz w:val="20"/>
                <w:szCs w:val="20"/>
              </w:rPr>
            </w:pPr>
          </w:p>
        </w:tc>
        <w:tc>
          <w:tcPr>
            <w:tcW w:w="1440" w:type="dxa"/>
            <w:tcBorders>
              <w:top w:val="single" w:sz="4" w:space="0" w:color="auto"/>
            </w:tcBorders>
            <w:shd w:val="clear" w:color="auto" w:fill="auto"/>
          </w:tcPr>
          <w:p w14:paraId="4C42F6F5" w14:textId="6794DFA1" w:rsidR="005754BE" w:rsidRPr="002D2F67" w:rsidRDefault="00CD5714" w:rsidP="005611FE">
            <w:pPr>
              <w:spacing w:line="240" w:lineRule="atLeast"/>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1440" w:type="dxa"/>
            <w:tcBorders>
              <w:top w:val="single" w:sz="4" w:space="0" w:color="auto"/>
            </w:tcBorders>
            <w:shd w:val="clear" w:color="auto" w:fill="auto"/>
          </w:tcPr>
          <w:p w14:paraId="4008FC8E" w14:textId="76A6A3CA" w:rsidR="005754BE" w:rsidRPr="002D2F67" w:rsidRDefault="00CD5714" w:rsidP="005611FE">
            <w:pPr>
              <w:spacing w:line="240" w:lineRule="atLeast"/>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A52121" w:rsidRPr="002D2F67" w14:paraId="2818A20E" w14:textId="77777777" w:rsidTr="005611FE">
        <w:trPr>
          <w:trHeight w:val="245"/>
        </w:trPr>
        <w:tc>
          <w:tcPr>
            <w:tcW w:w="6678" w:type="dxa"/>
            <w:shd w:val="clear" w:color="auto" w:fill="auto"/>
          </w:tcPr>
          <w:p w14:paraId="43B229A5" w14:textId="77777777" w:rsidR="00A52121" w:rsidRPr="002D2F67" w:rsidRDefault="00A52121" w:rsidP="005611FE">
            <w:pPr>
              <w:spacing w:line="240" w:lineRule="atLeast"/>
              <w:jc w:val="thaiDistribute"/>
              <w:rPr>
                <w:rFonts w:ascii="Arial" w:hAnsi="Arial" w:cs="Arial"/>
                <w:b/>
                <w:bCs/>
                <w:color w:val="000000"/>
                <w:spacing w:val="-2"/>
                <w:sz w:val="20"/>
                <w:szCs w:val="20"/>
              </w:rPr>
            </w:pPr>
          </w:p>
        </w:tc>
        <w:tc>
          <w:tcPr>
            <w:tcW w:w="1440" w:type="dxa"/>
            <w:tcBorders>
              <w:bottom w:val="single" w:sz="4" w:space="0" w:color="auto"/>
            </w:tcBorders>
            <w:shd w:val="clear" w:color="auto" w:fill="auto"/>
          </w:tcPr>
          <w:p w14:paraId="24F466BA" w14:textId="5B63A987" w:rsidR="00A52121" w:rsidRPr="002D2F67" w:rsidRDefault="00A52121" w:rsidP="005611FE">
            <w:pPr>
              <w:spacing w:line="240" w:lineRule="atLeast"/>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4F15A17F" w14:textId="473B4858" w:rsidR="00A52121" w:rsidRPr="002D2F67" w:rsidRDefault="00A52121" w:rsidP="005611FE">
            <w:pPr>
              <w:spacing w:line="240" w:lineRule="atLeast"/>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1E6C66" w:rsidRPr="002D2F67" w14:paraId="5AF7E263" w14:textId="77777777" w:rsidTr="005611FE">
        <w:trPr>
          <w:trHeight w:val="245"/>
        </w:trPr>
        <w:tc>
          <w:tcPr>
            <w:tcW w:w="6678" w:type="dxa"/>
            <w:shd w:val="clear" w:color="auto" w:fill="auto"/>
          </w:tcPr>
          <w:p w14:paraId="540DA9B5" w14:textId="77777777" w:rsidR="001E6C66" w:rsidRPr="002D2F67" w:rsidRDefault="001E6C66" w:rsidP="005611FE">
            <w:pPr>
              <w:spacing w:line="240" w:lineRule="atLeast"/>
              <w:jc w:val="thaiDistribute"/>
              <w:rPr>
                <w:rFonts w:ascii="Arial" w:hAnsi="Arial" w:cs="Arial"/>
                <w:b/>
                <w:bCs/>
                <w:color w:val="000000"/>
                <w:spacing w:val="-2"/>
                <w:sz w:val="20"/>
                <w:szCs w:val="20"/>
              </w:rPr>
            </w:pPr>
          </w:p>
        </w:tc>
        <w:tc>
          <w:tcPr>
            <w:tcW w:w="1440" w:type="dxa"/>
            <w:tcBorders>
              <w:top w:val="single" w:sz="4" w:space="0" w:color="auto"/>
            </w:tcBorders>
            <w:shd w:val="clear" w:color="auto" w:fill="auto"/>
            <w:vAlign w:val="center"/>
          </w:tcPr>
          <w:p w14:paraId="2B346E8E" w14:textId="77777777" w:rsidR="001E6C66" w:rsidRPr="002D2F67" w:rsidRDefault="001E6C66" w:rsidP="005611FE">
            <w:pPr>
              <w:spacing w:line="240" w:lineRule="atLeast"/>
              <w:ind w:right="-61"/>
              <w:jc w:val="right"/>
              <w:rPr>
                <w:rFonts w:ascii="Arial" w:hAnsi="Arial" w:cs="Arial"/>
                <w:color w:val="000000"/>
                <w:spacing w:val="-2"/>
                <w:sz w:val="20"/>
                <w:szCs w:val="20"/>
              </w:rPr>
            </w:pPr>
          </w:p>
        </w:tc>
        <w:tc>
          <w:tcPr>
            <w:tcW w:w="1440" w:type="dxa"/>
            <w:tcBorders>
              <w:top w:val="single" w:sz="4" w:space="0" w:color="auto"/>
            </w:tcBorders>
            <w:shd w:val="clear" w:color="auto" w:fill="auto"/>
            <w:vAlign w:val="center"/>
          </w:tcPr>
          <w:p w14:paraId="15820359" w14:textId="77777777" w:rsidR="001E6C66" w:rsidRPr="002D2F67" w:rsidRDefault="001E6C66" w:rsidP="005611FE">
            <w:pPr>
              <w:spacing w:line="240" w:lineRule="atLeast"/>
              <w:ind w:right="-61"/>
              <w:jc w:val="right"/>
              <w:rPr>
                <w:rFonts w:ascii="Arial" w:hAnsi="Arial" w:cs="Arial"/>
                <w:color w:val="000000"/>
                <w:spacing w:val="-2"/>
                <w:sz w:val="20"/>
                <w:szCs w:val="20"/>
              </w:rPr>
            </w:pPr>
          </w:p>
        </w:tc>
      </w:tr>
      <w:tr w:rsidR="00C130B3" w:rsidRPr="002D2F67" w14:paraId="417A0DE5" w14:textId="77777777" w:rsidTr="005611FE">
        <w:trPr>
          <w:trHeight w:val="231"/>
        </w:trPr>
        <w:tc>
          <w:tcPr>
            <w:tcW w:w="6678" w:type="dxa"/>
            <w:shd w:val="clear" w:color="auto" w:fill="auto"/>
          </w:tcPr>
          <w:p w14:paraId="72B4D2CB" w14:textId="790F8623" w:rsidR="00C130B3" w:rsidRPr="002D2F67" w:rsidRDefault="00C130B3" w:rsidP="005611FE">
            <w:pPr>
              <w:spacing w:line="240" w:lineRule="atLeast"/>
              <w:jc w:val="thaiDistribute"/>
              <w:rPr>
                <w:rFonts w:ascii="Arial" w:hAnsi="Arial" w:cs="Arial"/>
                <w:color w:val="000000"/>
                <w:spacing w:val="-2"/>
                <w:sz w:val="20"/>
                <w:szCs w:val="20"/>
              </w:rPr>
            </w:pPr>
            <w:r w:rsidRPr="002D2F67">
              <w:rPr>
                <w:rFonts w:ascii="Arial" w:hAnsi="Arial" w:cs="Arial"/>
                <w:color w:val="000000"/>
                <w:spacing w:val="-2"/>
                <w:sz w:val="20"/>
                <w:szCs w:val="20"/>
              </w:rPr>
              <w:t xml:space="preserve">Maturity less than </w:t>
            </w:r>
            <w:r w:rsidR="00CD5714" w:rsidRPr="00CD5714">
              <w:rPr>
                <w:rFonts w:ascii="Arial" w:hAnsi="Arial" w:cs="Arial"/>
                <w:color w:val="000000"/>
                <w:spacing w:val="-2"/>
                <w:sz w:val="20"/>
                <w:szCs w:val="20"/>
                <w:lang w:val="en-GB"/>
              </w:rPr>
              <w:t>1</w:t>
            </w:r>
            <w:r w:rsidRPr="002D2F67">
              <w:rPr>
                <w:rFonts w:ascii="Arial" w:hAnsi="Arial" w:cs="Arial"/>
                <w:color w:val="000000"/>
                <w:spacing w:val="-2"/>
                <w:sz w:val="20"/>
                <w:szCs w:val="20"/>
              </w:rPr>
              <w:t xml:space="preserve"> year</w:t>
            </w:r>
          </w:p>
        </w:tc>
        <w:tc>
          <w:tcPr>
            <w:tcW w:w="1440" w:type="dxa"/>
            <w:tcBorders>
              <w:top w:val="nil"/>
              <w:left w:val="nil"/>
              <w:right w:val="nil"/>
            </w:tcBorders>
            <w:shd w:val="clear" w:color="000000" w:fill="auto"/>
            <w:vAlign w:val="center"/>
          </w:tcPr>
          <w:p w14:paraId="1E07A5FE" w14:textId="35A947AC" w:rsidR="00C130B3" w:rsidRPr="002D2F67" w:rsidRDefault="00CD5714" w:rsidP="005611FE">
            <w:pPr>
              <w:spacing w:line="240" w:lineRule="atLeast"/>
              <w:ind w:right="-61"/>
              <w:jc w:val="right"/>
              <w:rPr>
                <w:rFonts w:ascii="Arial" w:hAnsi="Arial" w:cs="Arial"/>
                <w:color w:val="000000"/>
                <w:spacing w:val="-2"/>
                <w:sz w:val="20"/>
                <w:szCs w:val="20"/>
              </w:rPr>
            </w:pPr>
            <w:r w:rsidRPr="00CD5714">
              <w:rPr>
                <w:rFonts w:ascii="Arial" w:hAnsi="Arial" w:cs="Arial"/>
                <w:color w:val="000000"/>
                <w:spacing w:val="-2"/>
                <w:sz w:val="20"/>
                <w:szCs w:val="20"/>
                <w:lang w:val="en-GB"/>
              </w:rPr>
              <w:t>7</w:t>
            </w:r>
            <w:r w:rsidR="00FD6FB5" w:rsidRPr="002D2F67">
              <w:rPr>
                <w:rFonts w:ascii="Arial" w:hAnsi="Arial" w:cs="Arial"/>
                <w:color w:val="000000"/>
                <w:spacing w:val="-2"/>
                <w:sz w:val="20"/>
                <w:szCs w:val="20"/>
              </w:rPr>
              <w:t>,</w:t>
            </w:r>
            <w:r w:rsidRPr="00CD5714">
              <w:rPr>
                <w:rFonts w:ascii="Arial" w:hAnsi="Arial" w:cs="Arial"/>
                <w:color w:val="000000"/>
                <w:spacing w:val="-2"/>
                <w:sz w:val="20"/>
                <w:szCs w:val="20"/>
                <w:lang w:val="en-GB"/>
              </w:rPr>
              <w:t>450</w:t>
            </w:r>
            <w:r w:rsidR="00FD6FB5" w:rsidRPr="002D2F67">
              <w:rPr>
                <w:rFonts w:ascii="Arial" w:hAnsi="Arial" w:cs="Arial"/>
                <w:color w:val="000000"/>
                <w:spacing w:val="-2"/>
                <w:sz w:val="20"/>
                <w:szCs w:val="20"/>
              </w:rPr>
              <w:t>,</w:t>
            </w:r>
            <w:r w:rsidRPr="00CD5714">
              <w:rPr>
                <w:rFonts w:ascii="Arial" w:hAnsi="Arial" w:cs="Arial"/>
                <w:color w:val="000000"/>
                <w:spacing w:val="-2"/>
                <w:sz w:val="20"/>
                <w:szCs w:val="20"/>
                <w:lang w:val="en-GB"/>
              </w:rPr>
              <w:t>000</w:t>
            </w:r>
          </w:p>
        </w:tc>
        <w:tc>
          <w:tcPr>
            <w:tcW w:w="1440" w:type="dxa"/>
            <w:shd w:val="clear" w:color="auto" w:fill="auto"/>
            <w:vAlign w:val="center"/>
          </w:tcPr>
          <w:p w14:paraId="2677B8A6" w14:textId="67BE4F0F" w:rsidR="00C130B3" w:rsidRPr="002D2F67" w:rsidRDefault="00CD5714" w:rsidP="005611FE">
            <w:pPr>
              <w:spacing w:line="240" w:lineRule="atLeast"/>
              <w:ind w:right="-61"/>
              <w:jc w:val="right"/>
              <w:rPr>
                <w:rFonts w:ascii="Arial" w:hAnsi="Arial" w:cs="Arial"/>
                <w:color w:val="000000"/>
                <w:spacing w:val="-2"/>
                <w:sz w:val="20"/>
                <w:szCs w:val="20"/>
              </w:rPr>
            </w:pPr>
            <w:r w:rsidRPr="00CD5714">
              <w:rPr>
                <w:rFonts w:ascii="Arial" w:hAnsi="Arial" w:cs="Arial"/>
                <w:color w:val="000000"/>
                <w:spacing w:val="-2"/>
                <w:sz w:val="20"/>
                <w:szCs w:val="20"/>
                <w:lang w:val="en-GB"/>
              </w:rPr>
              <w:t>5</w:t>
            </w:r>
            <w:r w:rsidR="00C130B3" w:rsidRPr="002D2F67">
              <w:rPr>
                <w:rFonts w:ascii="Arial" w:hAnsi="Arial" w:cs="Arial"/>
                <w:color w:val="000000"/>
                <w:spacing w:val="-2"/>
                <w:sz w:val="20"/>
                <w:szCs w:val="20"/>
              </w:rPr>
              <w:t>,</w:t>
            </w:r>
            <w:r w:rsidRPr="00CD5714">
              <w:rPr>
                <w:rFonts w:ascii="Arial" w:hAnsi="Arial" w:cs="Arial"/>
                <w:color w:val="000000"/>
                <w:spacing w:val="-2"/>
                <w:sz w:val="20"/>
                <w:szCs w:val="20"/>
                <w:lang w:val="en-GB"/>
              </w:rPr>
              <w:t>500</w:t>
            </w:r>
            <w:r w:rsidR="00C130B3" w:rsidRPr="002D2F67">
              <w:rPr>
                <w:rFonts w:ascii="Arial" w:hAnsi="Arial" w:cs="Arial"/>
                <w:color w:val="000000"/>
                <w:spacing w:val="-2"/>
                <w:sz w:val="20"/>
                <w:szCs w:val="20"/>
              </w:rPr>
              <w:t>,</w:t>
            </w:r>
            <w:r w:rsidRPr="00CD5714">
              <w:rPr>
                <w:rFonts w:ascii="Arial" w:hAnsi="Arial" w:cs="Arial"/>
                <w:color w:val="000000"/>
                <w:spacing w:val="-2"/>
                <w:sz w:val="20"/>
                <w:szCs w:val="20"/>
                <w:lang w:val="en-GB"/>
              </w:rPr>
              <w:t>000</w:t>
            </w:r>
          </w:p>
        </w:tc>
      </w:tr>
      <w:tr w:rsidR="00C130B3" w:rsidRPr="002D2F67" w14:paraId="253A1B95" w14:textId="77777777" w:rsidTr="005611FE">
        <w:trPr>
          <w:trHeight w:val="245"/>
        </w:trPr>
        <w:tc>
          <w:tcPr>
            <w:tcW w:w="6678" w:type="dxa"/>
            <w:shd w:val="clear" w:color="auto" w:fill="auto"/>
          </w:tcPr>
          <w:p w14:paraId="0273DEA4" w14:textId="1403194E" w:rsidR="00C130B3" w:rsidRPr="002D2F67" w:rsidRDefault="00C130B3" w:rsidP="005611FE">
            <w:pPr>
              <w:spacing w:line="240" w:lineRule="atLeast"/>
              <w:jc w:val="thaiDistribute"/>
              <w:rPr>
                <w:rFonts w:ascii="Arial" w:hAnsi="Arial" w:cs="Arial"/>
                <w:b/>
                <w:bCs/>
                <w:color w:val="000000"/>
                <w:spacing w:val="-2"/>
                <w:sz w:val="20"/>
                <w:szCs w:val="20"/>
              </w:rPr>
            </w:pPr>
            <w:r w:rsidRPr="002D2F67">
              <w:rPr>
                <w:rFonts w:ascii="Arial" w:hAnsi="Arial" w:cs="Arial"/>
                <w:color w:val="000000"/>
                <w:spacing w:val="-2"/>
                <w:sz w:val="20"/>
                <w:szCs w:val="20"/>
              </w:rPr>
              <w:t xml:space="preserve">Maturity more than </w:t>
            </w:r>
            <w:r w:rsidR="00CD5714" w:rsidRPr="00CD5714">
              <w:rPr>
                <w:rFonts w:ascii="Arial" w:hAnsi="Arial" w:cs="Arial"/>
                <w:color w:val="000000"/>
                <w:spacing w:val="-2"/>
                <w:sz w:val="20"/>
                <w:szCs w:val="20"/>
                <w:lang w:val="en-GB"/>
              </w:rPr>
              <w:t>1</w:t>
            </w:r>
            <w:r w:rsidRPr="002D2F67">
              <w:rPr>
                <w:rFonts w:ascii="Arial" w:hAnsi="Arial" w:cs="Arial"/>
                <w:color w:val="000000"/>
                <w:spacing w:val="-2"/>
                <w:sz w:val="20"/>
                <w:szCs w:val="20"/>
              </w:rPr>
              <w:t xml:space="preserve"> to </w:t>
            </w:r>
            <w:r w:rsidR="00CD5714" w:rsidRPr="00CD5714">
              <w:rPr>
                <w:rFonts w:ascii="Arial" w:hAnsi="Arial" w:cs="Arial"/>
                <w:color w:val="000000"/>
                <w:spacing w:val="-2"/>
                <w:sz w:val="20"/>
                <w:szCs w:val="20"/>
                <w:lang w:val="en-GB"/>
              </w:rPr>
              <w:t>5</w:t>
            </w:r>
            <w:r w:rsidRPr="002D2F67">
              <w:rPr>
                <w:rFonts w:ascii="Arial" w:hAnsi="Arial" w:cs="Arial"/>
                <w:color w:val="000000"/>
                <w:spacing w:val="-2"/>
                <w:sz w:val="20"/>
                <w:szCs w:val="20"/>
              </w:rPr>
              <w:t xml:space="preserve"> years</w:t>
            </w:r>
          </w:p>
        </w:tc>
        <w:tc>
          <w:tcPr>
            <w:tcW w:w="1440" w:type="dxa"/>
            <w:tcBorders>
              <w:top w:val="nil"/>
              <w:left w:val="nil"/>
              <w:right w:val="nil"/>
            </w:tcBorders>
            <w:shd w:val="clear" w:color="000000" w:fill="auto"/>
            <w:vAlign w:val="center"/>
          </w:tcPr>
          <w:p w14:paraId="3230E1E4" w14:textId="01644270" w:rsidR="00C130B3" w:rsidRPr="002D2F67" w:rsidRDefault="00CD5714" w:rsidP="005611FE">
            <w:pPr>
              <w:spacing w:line="240" w:lineRule="atLeast"/>
              <w:ind w:right="-61"/>
              <w:jc w:val="right"/>
              <w:rPr>
                <w:rFonts w:ascii="Arial" w:hAnsi="Arial" w:cs="Arial"/>
                <w:color w:val="000000"/>
                <w:spacing w:val="-2"/>
                <w:sz w:val="20"/>
                <w:szCs w:val="20"/>
              </w:rPr>
            </w:pPr>
            <w:r w:rsidRPr="00CD5714">
              <w:rPr>
                <w:rFonts w:ascii="Arial" w:hAnsi="Arial" w:cs="Arial"/>
                <w:color w:val="000000"/>
                <w:spacing w:val="-2"/>
                <w:sz w:val="20"/>
                <w:szCs w:val="20"/>
                <w:lang w:val="en-GB"/>
              </w:rPr>
              <w:t>18</w:t>
            </w:r>
            <w:r w:rsidR="00FD6FB5" w:rsidRPr="002D2F67">
              <w:rPr>
                <w:rFonts w:ascii="Arial" w:hAnsi="Arial" w:cs="Arial"/>
                <w:color w:val="000000"/>
                <w:spacing w:val="-2"/>
                <w:sz w:val="20"/>
                <w:szCs w:val="20"/>
              </w:rPr>
              <w:t>,</w:t>
            </w:r>
            <w:r w:rsidRPr="00CD5714">
              <w:rPr>
                <w:rFonts w:ascii="Arial" w:hAnsi="Arial" w:cs="Arial"/>
                <w:color w:val="000000"/>
                <w:spacing w:val="-2"/>
                <w:sz w:val="20"/>
                <w:szCs w:val="20"/>
                <w:lang w:val="en-GB"/>
              </w:rPr>
              <w:t>166</w:t>
            </w:r>
            <w:r w:rsidR="00FD6FB5" w:rsidRPr="002D2F67">
              <w:rPr>
                <w:rFonts w:ascii="Arial" w:hAnsi="Arial" w:cs="Arial"/>
                <w:color w:val="000000"/>
                <w:spacing w:val="-2"/>
                <w:sz w:val="20"/>
                <w:szCs w:val="20"/>
              </w:rPr>
              <w:t>,</w:t>
            </w:r>
            <w:r w:rsidRPr="00CD5714">
              <w:rPr>
                <w:rFonts w:ascii="Arial" w:hAnsi="Arial" w:cs="Arial"/>
                <w:color w:val="000000"/>
                <w:spacing w:val="-2"/>
                <w:sz w:val="20"/>
                <w:szCs w:val="20"/>
                <w:lang w:val="en-GB"/>
              </w:rPr>
              <w:t>000</w:t>
            </w:r>
          </w:p>
        </w:tc>
        <w:tc>
          <w:tcPr>
            <w:tcW w:w="1440" w:type="dxa"/>
            <w:shd w:val="clear" w:color="auto" w:fill="auto"/>
            <w:vAlign w:val="center"/>
          </w:tcPr>
          <w:p w14:paraId="1856B708" w14:textId="4449EDF5" w:rsidR="00C130B3" w:rsidRPr="002D2F67" w:rsidRDefault="00CD5714" w:rsidP="005611FE">
            <w:pPr>
              <w:spacing w:line="240" w:lineRule="atLeast"/>
              <w:ind w:right="-61"/>
              <w:jc w:val="right"/>
              <w:rPr>
                <w:rFonts w:ascii="Arial" w:hAnsi="Arial" w:cs="Arial"/>
                <w:color w:val="000000"/>
                <w:spacing w:val="-2"/>
                <w:sz w:val="20"/>
                <w:szCs w:val="20"/>
              </w:rPr>
            </w:pPr>
            <w:r w:rsidRPr="00CD5714">
              <w:rPr>
                <w:rFonts w:ascii="Arial" w:hAnsi="Arial" w:cs="Arial"/>
                <w:color w:val="000000"/>
                <w:spacing w:val="-2"/>
                <w:sz w:val="20"/>
                <w:szCs w:val="20"/>
                <w:lang w:val="en-GB"/>
              </w:rPr>
              <w:t>14</w:t>
            </w:r>
            <w:r w:rsidR="00C130B3" w:rsidRPr="002D2F67">
              <w:rPr>
                <w:rFonts w:ascii="Arial" w:hAnsi="Arial" w:cs="Arial"/>
                <w:color w:val="000000"/>
                <w:spacing w:val="-2"/>
                <w:sz w:val="20"/>
                <w:szCs w:val="20"/>
              </w:rPr>
              <w:t>,</w:t>
            </w:r>
            <w:r w:rsidRPr="00CD5714">
              <w:rPr>
                <w:rFonts w:ascii="Arial" w:hAnsi="Arial" w:cs="Arial"/>
                <w:color w:val="000000"/>
                <w:spacing w:val="-2"/>
                <w:sz w:val="20"/>
                <w:szCs w:val="20"/>
                <w:lang w:val="en-GB"/>
              </w:rPr>
              <w:t>716</w:t>
            </w:r>
            <w:r w:rsidR="00C130B3" w:rsidRPr="002D2F67">
              <w:rPr>
                <w:rFonts w:ascii="Arial" w:hAnsi="Arial" w:cs="Arial"/>
                <w:color w:val="000000"/>
                <w:spacing w:val="-2"/>
                <w:sz w:val="20"/>
                <w:szCs w:val="20"/>
              </w:rPr>
              <w:t>,</w:t>
            </w:r>
            <w:r w:rsidRPr="00CD5714">
              <w:rPr>
                <w:rFonts w:ascii="Arial" w:hAnsi="Arial" w:cs="Arial"/>
                <w:color w:val="000000"/>
                <w:spacing w:val="-2"/>
                <w:sz w:val="20"/>
                <w:szCs w:val="20"/>
                <w:lang w:val="en-GB"/>
              </w:rPr>
              <w:t>000</w:t>
            </w:r>
          </w:p>
        </w:tc>
      </w:tr>
      <w:tr w:rsidR="00C130B3" w:rsidRPr="002D2F67" w14:paraId="691D493F" w14:textId="77777777" w:rsidTr="005611FE">
        <w:trPr>
          <w:trHeight w:val="245"/>
        </w:trPr>
        <w:tc>
          <w:tcPr>
            <w:tcW w:w="6678" w:type="dxa"/>
            <w:shd w:val="clear" w:color="auto" w:fill="auto"/>
          </w:tcPr>
          <w:p w14:paraId="4140F028" w14:textId="3C4F4AB0" w:rsidR="00C130B3" w:rsidRPr="002D2F67" w:rsidRDefault="00C130B3" w:rsidP="005611FE">
            <w:pPr>
              <w:spacing w:line="240" w:lineRule="atLeast"/>
              <w:jc w:val="thaiDistribute"/>
              <w:rPr>
                <w:rFonts w:ascii="Arial" w:hAnsi="Arial" w:cs="Arial"/>
                <w:b/>
                <w:bCs/>
                <w:color w:val="000000"/>
                <w:spacing w:val="-2"/>
                <w:sz w:val="20"/>
                <w:szCs w:val="20"/>
              </w:rPr>
            </w:pPr>
            <w:r w:rsidRPr="002D2F67">
              <w:rPr>
                <w:rFonts w:ascii="Arial" w:hAnsi="Arial" w:cs="Arial"/>
                <w:color w:val="000000"/>
                <w:spacing w:val="-2"/>
                <w:sz w:val="20"/>
                <w:szCs w:val="20"/>
              </w:rPr>
              <w:t xml:space="preserve">Maturity more than </w:t>
            </w:r>
            <w:r w:rsidR="00CD5714" w:rsidRPr="00CD5714">
              <w:rPr>
                <w:rFonts w:ascii="Arial" w:hAnsi="Arial" w:cs="Arial"/>
                <w:color w:val="000000"/>
                <w:spacing w:val="-2"/>
                <w:sz w:val="20"/>
                <w:szCs w:val="20"/>
                <w:lang w:val="en-GB"/>
              </w:rPr>
              <w:t>5</w:t>
            </w:r>
            <w:r w:rsidRPr="002D2F67">
              <w:rPr>
                <w:rFonts w:ascii="Arial" w:hAnsi="Arial" w:cs="Arial"/>
                <w:color w:val="000000"/>
                <w:spacing w:val="-2"/>
                <w:sz w:val="20"/>
                <w:szCs w:val="20"/>
              </w:rPr>
              <w:t xml:space="preserve"> years</w:t>
            </w:r>
          </w:p>
        </w:tc>
        <w:tc>
          <w:tcPr>
            <w:tcW w:w="1440" w:type="dxa"/>
            <w:tcBorders>
              <w:top w:val="nil"/>
              <w:left w:val="nil"/>
              <w:bottom w:val="single" w:sz="4" w:space="0" w:color="auto"/>
              <w:right w:val="nil"/>
            </w:tcBorders>
            <w:shd w:val="clear" w:color="000000" w:fill="auto"/>
            <w:vAlign w:val="center"/>
          </w:tcPr>
          <w:p w14:paraId="7349FDE1" w14:textId="2CED822C" w:rsidR="00C130B3" w:rsidRPr="002D2F67" w:rsidRDefault="00CD5714" w:rsidP="005611FE">
            <w:pPr>
              <w:spacing w:line="240" w:lineRule="atLeast"/>
              <w:ind w:right="-61"/>
              <w:jc w:val="right"/>
              <w:rPr>
                <w:rFonts w:ascii="Arial" w:hAnsi="Arial" w:cs="Arial"/>
                <w:color w:val="000000"/>
                <w:spacing w:val="-2"/>
                <w:sz w:val="20"/>
                <w:szCs w:val="20"/>
              </w:rPr>
            </w:pPr>
            <w:r w:rsidRPr="00CD5714">
              <w:rPr>
                <w:rFonts w:ascii="Arial" w:hAnsi="Arial" w:cs="Arial"/>
                <w:color w:val="000000"/>
                <w:spacing w:val="-2"/>
                <w:sz w:val="20"/>
                <w:szCs w:val="20"/>
                <w:lang w:val="en-GB"/>
              </w:rPr>
              <w:t>5</w:t>
            </w:r>
            <w:r w:rsidR="00FD6FB5" w:rsidRPr="002D2F67">
              <w:rPr>
                <w:rFonts w:ascii="Arial" w:hAnsi="Arial" w:cs="Arial"/>
                <w:color w:val="000000"/>
                <w:spacing w:val="-2"/>
                <w:sz w:val="20"/>
                <w:szCs w:val="20"/>
              </w:rPr>
              <w:t>,</w:t>
            </w:r>
            <w:r w:rsidRPr="00CD5714">
              <w:rPr>
                <w:rFonts w:ascii="Arial" w:hAnsi="Arial" w:cs="Arial"/>
                <w:color w:val="000000"/>
                <w:spacing w:val="-2"/>
                <w:sz w:val="20"/>
                <w:szCs w:val="20"/>
                <w:lang w:val="en-GB"/>
              </w:rPr>
              <w:t>550</w:t>
            </w:r>
            <w:r w:rsidR="00FD6FB5" w:rsidRPr="002D2F67">
              <w:rPr>
                <w:rFonts w:ascii="Arial" w:hAnsi="Arial" w:cs="Arial"/>
                <w:color w:val="000000"/>
                <w:spacing w:val="-2"/>
                <w:sz w:val="20"/>
                <w:szCs w:val="20"/>
              </w:rPr>
              <w:t>,</w:t>
            </w:r>
            <w:r w:rsidRPr="00CD5714">
              <w:rPr>
                <w:rFonts w:ascii="Arial" w:hAnsi="Arial" w:cs="Arial"/>
                <w:color w:val="000000"/>
                <w:spacing w:val="-2"/>
                <w:sz w:val="20"/>
                <w:szCs w:val="20"/>
                <w:lang w:val="en-GB"/>
              </w:rPr>
              <w:t>000</w:t>
            </w:r>
          </w:p>
        </w:tc>
        <w:tc>
          <w:tcPr>
            <w:tcW w:w="1440" w:type="dxa"/>
            <w:tcBorders>
              <w:bottom w:val="single" w:sz="4" w:space="0" w:color="auto"/>
            </w:tcBorders>
            <w:shd w:val="clear" w:color="auto" w:fill="auto"/>
            <w:vAlign w:val="center"/>
          </w:tcPr>
          <w:p w14:paraId="789D8849" w14:textId="0A577E39" w:rsidR="00C130B3" w:rsidRPr="002D2F67" w:rsidRDefault="00CD5714" w:rsidP="005611FE">
            <w:pPr>
              <w:spacing w:line="240" w:lineRule="atLeast"/>
              <w:ind w:right="-61"/>
              <w:jc w:val="right"/>
              <w:rPr>
                <w:rFonts w:ascii="Arial" w:hAnsi="Arial" w:cs="Arial"/>
                <w:color w:val="000000"/>
                <w:spacing w:val="-2"/>
                <w:sz w:val="20"/>
                <w:szCs w:val="20"/>
              </w:rPr>
            </w:pPr>
            <w:r w:rsidRPr="00CD5714">
              <w:rPr>
                <w:rFonts w:ascii="Arial" w:hAnsi="Arial" w:cs="Arial"/>
                <w:color w:val="000000"/>
                <w:spacing w:val="-2"/>
                <w:sz w:val="20"/>
                <w:szCs w:val="20"/>
                <w:lang w:val="en-GB"/>
              </w:rPr>
              <w:t>10</w:t>
            </w:r>
            <w:r w:rsidR="00C130B3" w:rsidRPr="002D2F67">
              <w:rPr>
                <w:rFonts w:ascii="Arial" w:hAnsi="Arial" w:cs="Arial"/>
                <w:color w:val="000000"/>
                <w:spacing w:val="-2"/>
                <w:sz w:val="20"/>
                <w:szCs w:val="20"/>
              </w:rPr>
              <w:t>,</w:t>
            </w:r>
            <w:r w:rsidRPr="00CD5714">
              <w:rPr>
                <w:rFonts w:ascii="Arial" w:hAnsi="Arial" w:cs="Arial"/>
                <w:color w:val="000000"/>
                <w:spacing w:val="-2"/>
                <w:sz w:val="20"/>
                <w:szCs w:val="20"/>
                <w:lang w:val="en-GB"/>
              </w:rPr>
              <w:t>950</w:t>
            </w:r>
            <w:r w:rsidR="00C130B3" w:rsidRPr="002D2F67">
              <w:rPr>
                <w:rFonts w:ascii="Arial" w:hAnsi="Arial" w:cs="Arial"/>
                <w:color w:val="000000"/>
                <w:spacing w:val="-2"/>
                <w:sz w:val="20"/>
                <w:szCs w:val="20"/>
              </w:rPr>
              <w:t>,</w:t>
            </w:r>
            <w:r w:rsidRPr="00CD5714">
              <w:rPr>
                <w:rFonts w:ascii="Arial" w:hAnsi="Arial" w:cs="Arial"/>
                <w:color w:val="000000"/>
                <w:spacing w:val="-2"/>
                <w:sz w:val="20"/>
                <w:szCs w:val="20"/>
                <w:lang w:val="en-GB"/>
              </w:rPr>
              <w:t>000</w:t>
            </w:r>
          </w:p>
        </w:tc>
      </w:tr>
      <w:tr w:rsidR="00C130B3" w:rsidRPr="002D2F67" w14:paraId="69DC3845" w14:textId="77777777" w:rsidTr="005611FE">
        <w:trPr>
          <w:trHeight w:val="231"/>
        </w:trPr>
        <w:tc>
          <w:tcPr>
            <w:tcW w:w="6678" w:type="dxa"/>
            <w:shd w:val="clear" w:color="auto" w:fill="auto"/>
          </w:tcPr>
          <w:p w14:paraId="238FEC80" w14:textId="77777777" w:rsidR="00C130B3" w:rsidRPr="002D2F67" w:rsidRDefault="00C130B3" w:rsidP="005611FE">
            <w:pPr>
              <w:spacing w:line="240" w:lineRule="atLeast"/>
              <w:jc w:val="thaiDistribute"/>
              <w:rPr>
                <w:rFonts w:ascii="Arial" w:hAnsi="Arial" w:cs="Arial"/>
                <w:b/>
                <w:bCs/>
                <w:color w:val="000000"/>
                <w:spacing w:val="-2"/>
                <w:sz w:val="20"/>
                <w:szCs w:val="20"/>
              </w:rPr>
            </w:pPr>
          </w:p>
        </w:tc>
        <w:tc>
          <w:tcPr>
            <w:tcW w:w="1440" w:type="dxa"/>
            <w:tcBorders>
              <w:top w:val="single" w:sz="4" w:space="0" w:color="auto"/>
            </w:tcBorders>
            <w:shd w:val="clear" w:color="auto" w:fill="auto"/>
            <w:vAlign w:val="center"/>
          </w:tcPr>
          <w:p w14:paraId="6370B294" w14:textId="77777777" w:rsidR="00C130B3" w:rsidRPr="002D2F67" w:rsidRDefault="00C130B3" w:rsidP="005611FE">
            <w:pPr>
              <w:spacing w:line="240" w:lineRule="atLeast"/>
              <w:ind w:right="-61"/>
              <w:jc w:val="right"/>
              <w:rPr>
                <w:rFonts w:ascii="Arial" w:hAnsi="Arial" w:cs="Arial"/>
                <w:color w:val="000000"/>
                <w:spacing w:val="-2"/>
                <w:sz w:val="20"/>
                <w:szCs w:val="20"/>
              </w:rPr>
            </w:pPr>
          </w:p>
        </w:tc>
        <w:tc>
          <w:tcPr>
            <w:tcW w:w="1440" w:type="dxa"/>
            <w:tcBorders>
              <w:top w:val="single" w:sz="4" w:space="0" w:color="auto"/>
            </w:tcBorders>
            <w:shd w:val="clear" w:color="auto" w:fill="auto"/>
            <w:vAlign w:val="center"/>
          </w:tcPr>
          <w:p w14:paraId="757FCDED" w14:textId="77777777" w:rsidR="00C130B3" w:rsidRPr="002D2F67" w:rsidRDefault="00C130B3" w:rsidP="005611FE">
            <w:pPr>
              <w:spacing w:line="240" w:lineRule="atLeast"/>
              <w:ind w:right="-61"/>
              <w:jc w:val="right"/>
              <w:rPr>
                <w:rFonts w:ascii="Arial" w:hAnsi="Arial" w:cs="Arial"/>
                <w:color w:val="000000"/>
                <w:spacing w:val="-2"/>
                <w:sz w:val="20"/>
                <w:szCs w:val="20"/>
              </w:rPr>
            </w:pPr>
          </w:p>
        </w:tc>
      </w:tr>
      <w:tr w:rsidR="00C130B3" w:rsidRPr="002D2F67" w14:paraId="2A66C0CF" w14:textId="77777777" w:rsidTr="005611FE">
        <w:trPr>
          <w:trHeight w:val="231"/>
        </w:trPr>
        <w:tc>
          <w:tcPr>
            <w:tcW w:w="6678" w:type="dxa"/>
            <w:shd w:val="clear" w:color="auto" w:fill="auto"/>
          </w:tcPr>
          <w:p w14:paraId="4067ACB9" w14:textId="77777777" w:rsidR="00C130B3" w:rsidRPr="002D2F67" w:rsidRDefault="00C130B3" w:rsidP="005611FE">
            <w:pPr>
              <w:spacing w:line="240" w:lineRule="atLeast"/>
              <w:jc w:val="thaiDistribute"/>
              <w:rPr>
                <w:rFonts w:ascii="Arial" w:hAnsi="Arial" w:cs="Arial"/>
                <w:color w:val="000000"/>
                <w:spacing w:val="-2"/>
                <w:sz w:val="20"/>
                <w:szCs w:val="20"/>
              </w:rPr>
            </w:pPr>
            <w:r w:rsidRPr="002D2F67">
              <w:rPr>
                <w:rFonts w:ascii="Arial" w:hAnsi="Arial" w:cs="Arial"/>
                <w:color w:val="000000"/>
                <w:spacing w:val="-2"/>
                <w:sz w:val="20"/>
                <w:szCs w:val="20"/>
              </w:rPr>
              <w:t>Total debentures</w:t>
            </w:r>
          </w:p>
        </w:tc>
        <w:tc>
          <w:tcPr>
            <w:tcW w:w="1440" w:type="dxa"/>
            <w:tcBorders>
              <w:bottom w:val="single" w:sz="4" w:space="0" w:color="auto"/>
            </w:tcBorders>
            <w:shd w:val="clear" w:color="auto" w:fill="auto"/>
            <w:vAlign w:val="center"/>
          </w:tcPr>
          <w:p w14:paraId="645A0022" w14:textId="73900A8F" w:rsidR="00C130B3" w:rsidRPr="002D2F67" w:rsidRDefault="00CD5714" w:rsidP="005611FE">
            <w:pPr>
              <w:spacing w:line="240" w:lineRule="atLeast"/>
              <w:ind w:right="-61"/>
              <w:jc w:val="right"/>
              <w:rPr>
                <w:rFonts w:ascii="Arial" w:hAnsi="Arial" w:cs="Arial"/>
                <w:color w:val="000000"/>
                <w:spacing w:val="-2"/>
                <w:sz w:val="20"/>
                <w:szCs w:val="20"/>
              </w:rPr>
            </w:pPr>
            <w:r w:rsidRPr="00CD5714">
              <w:rPr>
                <w:rFonts w:ascii="Arial" w:hAnsi="Arial" w:cs="Arial"/>
                <w:color w:val="000000"/>
                <w:spacing w:val="-2"/>
                <w:sz w:val="20"/>
                <w:szCs w:val="20"/>
                <w:lang w:val="en-GB"/>
              </w:rPr>
              <w:t>31</w:t>
            </w:r>
            <w:r w:rsidR="00FD6FB5" w:rsidRPr="002D2F67">
              <w:rPr>
                <w:rFonts w:ascii="Arial" w:hAnsi="Arial" w:cs="Arial"/>
                <w:color w:val="000000"/>
                <w:spacing w:val="-2"/>
                <w:sz w:val="20"/>
                <w:szCs w:val="20"/>
              </w:rPr>
              <w:t>,</w:t>
            </w:r>
            <w:r w:rsidRPr="00CD5714">
              <w:rPr>
                <w:rFonts w:ascii="Arial" w:hAnsi="Arial" w:cs="Arial"/>
                <w:color w:val="000000"/>
                <w:spacing w:val="-2"/>
                <w:sz w:val="20"/>
                <w:szCs w:val="20"/>
                <w:lang w:val="en-GB"/>
              </w:rPr>
              <w:t>166</w:t>
            </w:r>
            <w:r w:rsidR="00FD6FB5" w:rsidRPr="002D2F67">
              <w:rPr>
                <w:rFonts w:ascii="Arial" w:hAnsi="Arial" w:cs="Arial"/>
                <w:color w:val="000000"/>
                <w:spacing w:val="-2"/>
                <w:sz w:val="20"/>
                <w:szCs w:val="20"/>
              </w:rPr>
              <w:t>,</w:t>
            </w:r>
            <w:r w:rsidRPr="00CD5714">
              <w:rPr>
                <w:rFonts w:ascii="Arial" w:hAnsi="Arial" w:cs="Arial"/>
                <w:color w:val="000000"/>
                <w:spacing w:val="-2"/>
                <w:sz w:val="20"/>
                <w:szCs w:val="20"/>
                <w:lang w:val="en-GB"/>
              </w:rPr>
              <w:t>000</w:t>
            </w:r>
          </w:p>
        </w:tc>
        <w:tc>
          <w:tcPr>
            <w:tcW w:w="1440" w:type="dxa"/>
            <w:tcBorders>
              <w:bottom w:val="single" w:sz="4" w:space="0" w:color="auto"/>
            </w:tcBorders>
            <w:shd w:val="clear" w:color="auto" w:fill="auto"/>
            <w:vAlign w:val="center"/>
          </w:tcPr>
          <w:p w14:paraId="6BC40AC4" w14:textId="5BDF16F8" w:rsidR="00C130B3" w:rsidRPr="002D2F67" w:rsidRDefault="00CD5714" w:rsidP="005611FE">
            <w:pPr>
              <w:spacing w:line="240" w:lineRule="atLeast"/>
              <w:ind w:right="-61"/>
              <w:jc w:val="right"/>
              <w:rPr>
                <w:rFonts w:ascii="Arial" w:hAnsi="Arial" w:cs="Arial"/>
                <w:color w:val="000000"/>
                <w:spacing w:val="-2"/>
                <w:sz w:val="20"/>
                <w:szCs w:val="20"/>
              </w:rPr>
            </w:pPr>
            <w:r w:rsidRPr="00CD5714">
              <w:rPr>
                <w:rFonts w:ascii="Arial" w:hAnsi="Arial" w:cs="Arial"/>
                <w:color w:val="000000"/>
                <w:spacing w:val="-2"/>
                <w:sz w:val="20"/>
                <w:szCs w:val="20"/>
                <w:lang w:val="en-GB"/>
              </w:rPr>
              <w:t>31</w:t>
            </w:r>
            <w:r w:rsidR="00C130B3" w:rsidRPr="002D2F67">
              <w:rPr>
                <w:rFonts w:ascii="Arial" w:hAnsi="Arial" w:cs="Arial"/>
                <w:color w:val="000000"/>
                <w:spacing w:val="-2"/>
                <w:sz w:val="20"/>
                <w:szCs w:val="20"/>
              </w:rPr>
              <w:t>,</w:t>
            </w:r>
            <w:r w:rsidRPr="00CD5714">
              <w:rPr>
                <w:rFonts w:ascii="Arial" w:hAnsi="Arial" w:cs="Arial"/>
                <w:color w:val="000000"/>
                <w:spacing w:val="-2"/>
                <w:sz w:val="20"/>
                <w:szCs w:val="20"/>
                <w:lang w:val="en-GB"/>
              </w:rPr>
              <w:t>166</w:t>
            </w:r>
            <w:r w:rsidR="00C130B3" w:rsidRPr="002D2F67">
              <w:rPr>
                <w:rFonts w:ascii="Arial" w:hAnsi="Arial" w:cs="Arial"/>
                <w:color w:val="000000"/>
                <w:spacing w:val="-2"/>
                <w:sz w:val="20"/>
                <w:szCs w:val="20"/>
              </w:rPr>
              <w:t>,</w:t>
            </w:r>
            <w:r w:rsidRPr="00CD5714">
              <w:rPr>
                <w:rFonts w:ascii="Arial" w:hAnsi="Arial" w:cs="Arial"/>
                <w:color w:val="000000"/>
                <w:spacing w:val="-2"/>
                <w:sz w:val="20"/>
                <w:szCs w:val="20"/>
                <w:lang w:val="en-GB"/>
              </w:rPr>
              <w:t>000</w:t>
            </w:r>
          </w:p>
        </w:tc>
      </w:tr>
    </w:tbl>
    <w:p w14:paraId="269C43E4" w14:textId="26A29832" w:rsidR="001E6C66" w:rsidRPr="002D2F67" w:rsidRDefault="001E6C66" w:rsidP="005611FE">
      <w:pPr>
        <w:pStyle w:val="BodyTextIndent2"/>
        <w:spacing w:line="240" w:lineRule="auto"/>
        <w:ind w:left="0"/>
        <w:jc w:val="left"/>
        <w:rPr>
          <w:rFonts w:ascii="Arial" w:hAnsi="Arial" w:cs="Arial"/>
          <w:b/>
          <w:bCs/>
          <w:spacing w:val="-2"/>
        </w:rPr>
      </w:pPr>
    </w:p>
    <w:p w14:paraId="46B58211" w14:textId="77777777" w:rsidR="00ED42E5" w:rsidRPr="002D2F67" w:rsidRDefault="00ED42E5" w:rsidP="005611FE">
      <w:pPr>
        <w:pStyle w:val="BodyTextIndent2"/>
        <w:spacing w:line="240" w:lineRule="auto"/>
        <w:ind w:left="0"/>
        <w:jc w:val="left"/>
        <w:rPr>
          <w:rFonts w:ascii="Arial" w:hAnsi="Arial" w:cs="Arial"/>
          <w:b/>
          <w:bCs/>
          <w:spacing w:val="-2"/>
        </w:rPr>
      </w:pPr>
    </w:p>
    <w:p w14:paraId="53E55513" w14:textId="35CC01A3" w:rsidR="00B0675E"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31</w:t>
      </w:r>
      <w:r w:rsidR="00B0675E" w:rsidRPr="002D2F67">
        <w:rPr>
          <w:rFonts w:ascii="Arial" w:hAnsi="Arial" w:cs="Arial"/>
          <w:b/>
          <w:bCs/>
          <w:color w:val="000000"/>
          <w:kern w:val="26"/>
          <w:position w:val="-24"/>
          <w:sz w:val="20"/>
          <w:szCs w:val="20"/>
          <w:cs/>
        </w:rPr>
        <w:tab/>
      </w:r>
      <w:r w:rsidR="00B0675E" w:rsidRPr="002D2F67">
        <w:rPr>
          <w:rFonts w:ascii="Arial" w:hAnsi="Arial" w:cs="Arial"/>
          <w:b/>
          <w:bCs/>
          <w:color w:val="000000"/>
          <w:kern w:val="26"/>
          <w:position w:val="-24"/>
          <w:sz w:val="20"/>
          <w:szCs w:val="20"/>
        </w:rPr>
        <w:t>Provision for decommissioning costs</w:t>
      </w:r>
    </w:p>
    <w:p w14:paraId="1FFD8C2D" w14:textId="77777777" w:rsidR="001E6C66" w:rsidRPr="002D2F67" w:rsidRDefault="001E6C66" w:rsidP="005611FE">
      <w:pPr>
        <w:pStyle w:val="BodyTextIndent2"/>
        <w:spacing w:line="240" w:lineRule="auto"/>
        <w:ind w:left="0"/>
        <w:jc w:val="left"/>
        <w:rPr>
          <w:rFonts w:ascii="Arial" w:hAnsi="Arial" w:cs="Arial"/>
          <w:spacing w:val="-2"/>
        </w:rPr>
      </w:pPr>
    </w:p>
    <w:tbl>
      <w:tblPr>
        <w:tblW w:w="0" w:type="auto"/>
        <w:tblLayout w:type="fixed"/>
        <w:tblLook w:val="0000" w:firstRow="0" w:lastRow="0" w:firstColumn="0" w:lastColumn="0" w:noHBand="0" w:noVBand="0"/>
      </w:tblPr>
      <w:tblGrid>
        <w:gridCol w:w="3798"/>
        <w:gridCol w:w="1440"/>
        <w:gridCol w:w="1440"/>
        <w:gridCol w:w="1440"/>
        <w:gridCol w:w="1440"/>
      </w:tblGrid>
      <w:tr w:rsidR="001E6C66" w:rsidRPr="002D2F67" w14:paraId="5A60EFC3" w14:textId="77777777" w:rsidTr="008255E8">
        <w:trPr>
          <w:cantSplit/>
        </w:trPr>
        <w:tc>
          <w:tcPr>
            <w:tcW w:w="3798" w:type="dxa"/>
            <w:shd w:val="clear" w:color="auto" w:fill="auto"/>
          </w:tcPr>
          <w:p w14:paraId="22310462" w14:textId="77777777" w:rsidR="001E6C66" w:rsidRPr="002D2F67" w:rsidRDefault="001E6C66" w:rsidP="005611FE">
            <w:pPr>
              <w:ind w:left="27" w:hanging="27"/>
              <w:rPr>
                <w:rFonts w:ascii="Arial" w:hAnsi="Arial" w:cs="Arial"/>
                <w:b/>
                <w:bCs/>
                <w:color w:val="000000"/>
                <w:sz w:val="20"/>
                <w:szCs w:val="20"/>
              </w:rPr>
            </w:pPr>
          </w:p>
        </w:tc>
        <w:tc>
          <w:tcPr>
            <w:tcW w:w="2880" w:type="dxa"/>
            <w:gridSpan w:val="2"/>
            <w:tcBorders>
              <w:bottom w:val="single" w:sz="4" w:space="0" w:color="auto"/>
            </w:tcBorders>
            <w:shd w:val="clear" w:color="auto" w:fill="auto"/>
          </w:tcPr>
          <w:p w14:paraId="4D81F98B"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0E4F3073"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2880" w:type="dxa"/>
            <w:gridSpan w:val="2"/>
            <w:tcBorders>
              <w:bottom w:val="single" w:sz="4" w:space="0" w:color="auto"/>
            </w:tcBorders>
            <w:shd w:val="clear" w:color="auto" w:fill="auto"/>
          </w:tcPr>
          <w:p w14:paraId="0F027549"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Separate </w:t>
            </w:r>
          </w:p>
          <w:p w14:paraId="6C5A2C43"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861A15" w:rsidRPr="002D2F67" w14:paraId="1E96AFC6" w14:textId="77777777" w:rsidTr="005611FE">
        <w:tc>
          <w:tcPr>
            <w:tcW w:w="3798" w:type="dxa"/>
            <w:shd w:val="clear" w:color="auto" w:fill="auto"/>
          </w:tcPr>
          <w:p w14:paraId="53DAFB8F" w14:textId="186C8601" w:rsidR="00861A15" w:rsidRPr="002D2F67" w:rsidRDefault="00512000" w:rsidP="005611FE">
            <w:pPr>
              <w:ind w:left="27" w:hanging="27"/>
              <w:rPr>
                <w:rFonts w:ascii="Arial" w:hAnsi="Arial" w:cs="Arial"/>
                <w:b/>
                <w:bCs/>
                <w:color w:val="000000"/>
                <w:sz w:val="20"/>
                <w:szCs w:val="20"/>
              </w:rPr>
            </w:pPr>
            <w:r w:rsidRPr="002D2F67">
              <w:rPr>
                <w:rFonts w:ascii="Arial" w:hAnsi="Arial" w:cs="Arial"/>
                <w:b/>
                <w:bCs/>
                <w:color w:val="000000"/>
                <w:sz w:val="20"/>
                <w:szCs w:val="20"/>
              </w:rPr>
              <w:t>As</w:t>
            </w:r>
            <w:r w:rsidR="002137F4" w:rsidRPr="002D2F67">
              <w:rPr>
                <w:rFonts w:ascii="Arial" w:hAnsi="Arial" w:cs="Arial"/>
                <w:b/>
                <w:bCs/>
                <w:color w:val="000000"/>
                <w:sz w:val="20"/>
                <w:szCs w:val="20"/>
              </w:rPr>
              <w:t xml:space="preserve"> </w:t>
            </w:r>
            <w:proofErr w:type="gramStart"/>
            <w:r w:rsidR="002137F4" w:rsidRPr="002D2F67">
              <w:rPr>
                <w:rFonts w:ascii="Arial" w:hAnsi="Arial" w:cs="Arial"/>
                <w:b/>
                <w:bCs/>
                <w:color w:val="000000"/>
                <w:sz w:val="20"/>
                <w:szCs w:val="20"/>
              </w:rPr>
              <w:t>at</w:t>
            </w:r>
            <w:proofErr w:type="gramEnd"/>
            <w:r w:rsidR="002137F4"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31</w:t>
            </w:r>
            <w:r w:rsidR="002137F4" w:rsidRPr="002D2F67">
              <w:rPr>
                <w:rFonts w:ascii="Arial" w:hAnsi="Arial" w:cs="Arial"/>
                <w:b/>
                <w:bCs/>
                <w:color w:val="000000"/>
                <w:sz w:val="20"/>
                <w:szCs w:val="20"/>
              </w:rPr>
              <w:t xml:space="preserve"> December</w:t>
            </w:r>
          </w:p>
        </w:tc>
        <w:tc>
          <w:tcPr>
            <w:tcW w:w="1440" w:type="dxa"/>
            <w:shd w:val="clear" w:color="auto" w:fill="auto"/>
          </w:tcPr>
          <w:p w14:paraId="12F1701F" w14:textId="5C9921D3" w:rsidR="00861A15"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1440" w:type="dxa"/>
            <w:shd w:val="clear" w:color="auto" w:fill="auto"/>
          </w:tcPr>
          <w:p w14:paraId="53672090" w14:textId="1D3C9443" w:rsidR="00861A15"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c>
          <w:tcPr>
            <w:tcW w:w="1440" w:type="dxa"/>
            <w:shd w:val="clear" w:color="auto" w:fill="auto"/>
          </w:tcPr>
          <w:p w14:paraId="36592335" w14:textId="781BECFF" w:rsidR="00861A15"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1440" w:type="dxa"/>
            <w:shd w:val="clear" w:color="auto" w:fill="auto"/>
          </w:tcPr>
          <w:p w14:paraId="14A87B81" w14:textId="6F871B9C" w:rsidR="00861A15"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861A15" w:rsidRPr="002D2F67" w14:paraId="2284D025" w14:textId="77777777" w:rsidTr="005611FE">
        <w:tc>
          <w:tcPr>
            <w:tcW w:w="3798" w:type="dxa"/>
            <w:shd w:val="clear" w:color="auto" w:fill="auto"/>
          </w:tcPr>
          <w:p w14:paraId="15E20358" w14:textId="77777777" w:rsidR="00861A15" w:rsidRPr="002D2F67" w:rsidRDefault="00861A15" w:rsidP="005611FE">
            <w:pPr>
              <w:ind w:left="27" w:hanging="27"/>
              <w:rPr>
                <w:rFonts w:ascii="Arial" w:hAnsi="Arial" w:cs="Arial"/>
                <w:color w:val="000000"/>
                <w:sz w:val="20"/>
                <w:szCs w:val="20"/>
              </w:rPr>
            </w:pPr>
          </w:p>
        </w:tc>
        <w:tc>
          <w:tcPr>
            <w:tcW w:w="1440" w:type="dxa"/>
            <w:tcBorders>
              <w:bottom w:val="single" w:sz="4" w:space="0" w:color="auto"/>
            </w:tcBorders>
            <w:shd w:val="clear" w:color="auto" w:fill="auto"/>
          </w:tcPr>
          <w:p w14:paraId="1AA6F43A" w14:textId="0C44626A" w:rsidR="00861A15" w:rsidRPr="002D2F67" w:rsidRDefault="00861A15"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B824F6" w:rsidRPr="002D2F67">
              <w:rPr>
                <w:rFonts w:ascii="Arial" w:hAnsi="Arial" w:cs="Arial"/>
                <w:b/>
                <w:bCs/>
                <w:color w:val="000000"/>
                <w:sz w:val="20"/>
                <w:szCs w:val="20"/>
              </w:rPr>
              <w: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11F423D3" w14:textId="4B997CD4" w:rsidR="00861A15" w:rsidRPr="002D2F67" w:rsidRDefault="00B824F6"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5E0F0575" w14:textId="6796E693" w:rsidR="00861A15" w:rsidRPr="002D2F67" w:rsidRDefault="00B824F6"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01512F00" w14:textId="19679E33" w:rsidR="00861A15" w:rsidRPr="002D2F67" w:rsidRDefault="00B824F6"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861A15" w:rsidRPr="002D2F67" w14:paraId="7EAF591F" w14:textId="77777777" w:rsidTr="005611FE">
        <w:tc>
          <w:tcPr>
            <w:tcW w:w="3798" w:type="dxa"/>
            <w:shd w:val="clear" w:color="auto" w:fill="auto"/>
          </w:tcPr>
          <w:p w14:paraId="5C31D74F" w14:textId="77777777" w:rsidR="00861A15" w:rsidRPr="002D2F67" w:rsidRDefault="00861A15" w:rsidP="005611FE">
            <w:pPr>
              <w:ind w:left="27" w:hanging="27"/>
              <w:rPr>
                <w:rFonts w:ascii="Arial" w:hAnsi="Arial" w:cs="Arial"/>
                <w:color w:val="000000"/>
                <w:sz w:val="12"/>
                <w:szCs w:val="12"/>
              </w:rPr>
            </w:pPr>
          </w:p>
        </w:tc>
        <w:tc>
          <w:tcPr>
            <w:tcW w:w="1440" w:type="dxa"/>
            <w:tcBorders>
              <w:top w:val="single" w:sz="4" w:space="0" w:color="auto"/>
            </w:tcBorders>
            <w:shd w:val="clear" w:color="auto" w:fill="auto"/>
          </w:tcPr>
          <w:p w14:paraId="7F1DDC0E" w14:textId="77777777" w:rsidR="00861A15" w:rsidRPr="002D2F67" w:rsidRDefault="00861A15" w:rsidP="005611FE">
            <w:pPr>
              <w:tabs>
                <w:tab w:val="left" w:pos="709"/>
              </w:tabs>
              <w:ind w:right="-72"/>
              <w:rPr>
                <w:rFonts w:ascii="Arial" w:hAnsi="Arial" w:cs="Arial"/>
                <w:color w:val="000000"/>
                <w:sz w:val="12"/>
                <w:szCs w:val="12"/>
              </w:rPr>
            </w:pPr>
          </w:p>
        </w:tc>
        <w:tc>
          <w:tcPr>
            <w:tcW w:w="1440" w:type="dxa"/>
            <w:tcBorders>
              <w:top w:val="single" w:sz="4" w:space="0" w:color="auto"/>
            </w:tcBorders>
            <w:shd w:val="clear" w:color="auto" w:fill="auto"/>
          </w:tcPr>
          <w:p w14:paraId="37901240" w14:textId="77777777" w:rsidR="00861A15" w:rsidRPr="002D2F67" w:rsidRDefault="00861A15" w:rsidP="005611FE">
            <w:pPr>
              <w:tabs>
                <w:tab w:val="left" w:pos="709"/>
              </w:tabs>
              <w:ind w:right="-72"/>
              <w:rPr>
                <w:rFonts w:ascii="Arial" w:hAnsi="Arial" w:cs="Arial"/>
                <w:color w:val="000000"/>
                <w:sz w:val="12"/>
                <w:szCs w:val="12"/>
              </w:rPr>
            </w:pPr>
          </w:p>
        </w:tc>
        <w:tc>
          <w:tcPr>
            <w:tcW w:w="1440" w:type="dxa"/>
            <w:tcBorders>
              <w:top w:val="single" w:sz="4" w:space="0" w:color="auto"/>
            </w:tcBorders>
            <w:shd w:val="clear" w:color="auto" w:fill="auto"/>
          </w:tcPr>
          <w:p w14:paraId="2D19032F" w14:textId="77777777" w:rsidR="00861A15" w:rsidRPr="002D2F67" w:rsidRDefault="00861A15" w:rsidP="005611FE">
            <w:pPr>
              <w:tabs>
                <w:tab w:val="left" w:pos="709"/>
              </w:tabs>
              <w:ind w:right="-72"/>
              <w:rPr>
                <w:rFonts w:ascii="Arial" w:hAnsi="Arial" w:cs="Arial"/>
                <w:color w:val="000000"/>
                <w:sz w:val="12"/>
                <w:szCs w:val="12"/>
              </w:rPr>
            </w:pPr>
          </w:p>
        </w:tc>
        <w:tc>
          <w:tcPr>
            <w:tcW w:w="1440" w:type="dxa"/>
            <w:tcBorders>
              <w:top w:val="single" w:sz="4" w:space="0" w:color="auto"/>
            </w:tcBorders>
            <w:shd w:val="clear" w:color="auto" w:fill="auto"/>
          </w:tcPr>
          <w:p w14:paraId="339BE510" w14:textId="77777777" w:rsidR="00861A15" w:rsidRPr="002D2F67" w:rsidRDefault="00861A15" w:rsidP="005611FE">
            <w:pPr>
              <w:tabs>
                <w:tab w:val="left" w:pos="709"/>
              </w:tabs>
              <w:ind w:right="-72"/>
              <w:rPr>
                <w:rFonts w:ascii="Arial" w:hAnsi="Arial" w:cs="Arial"/>
                <w:color w:val="000000"/>
                <w:sz w:val="12"/>
                <w:szCs w:val="12"/>
              </w:rPr>
            </w:pPr>
          </w:p>
        </w:tc>
      </w:tr>
      <w:tr w:rsidR="00C130B3" w:rsidRPr="002D2F67" w14:paraId="59B11AC5" w14:textId="77777777" w:rsidTr="005611FE">
        <w:trPr>
          <w:trHeight w:val="70"/>
        </w:trPr>
        <w:tc>
          <w:tcPr>
            <w:tcW w:w="3798" w:type="dxa"/>
            <w:shd w:val="clear" w:color="auto" w:fill="auto"/>
          </w:tcPr>
          <w:p w14:paraId="0CF396E0" w14:textId="2CE1E663" w:rsidR="00C130B3" w:rsidRPr="002D2F67" w:rsidRDefault="00C130B3" w:rsidP="005611FE">
            <w:pPr>
              <w:rPr>
                <w:rFonts w:ascii="Arial" w:hAnsi="Arial" w:cs="Arial"/>
                <w:color w:val="000000"/>
                <w:sz w:val="20"/>
                <w:szCs w:val="20"/>
              </w:rPr>
            </w:pPr>
            <w:r w:rsidRPr="002D2F67">
              <w:rPr>
                <w:rFonts w:ascii="Arial" w:hAnsi="Arial" w:cs="Arial"/>
                <w:color w:val="000000"/>
                <w:sz w:val="20"/>
                <w:szCs w:val="20"/>
              </w:rPr>
              <w:t>Opening balance</w:t>
            </w:r>
          </w:p>
        </w:tc>
        <w:tc>
          <w:tcPr>
            <w:tcW w:w="1440" w:type="dxa"/>
            <w:shd w:val="clear" w:color="auto" w:fill="auto"/>
          </w:tcPr>
          <w:p w14:paraId="7C867995" w14:textId="391AD195" w:rsidR="00C130B3"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w:t>
            </w:r>
            <w:r w:rsidR="00FD6FB5" w:rsidRPr="002D2F67">
              <w:rPr>
                <w:rFonts w:ascii="Arial" w:hAnsi="Arial" w:cs="Arial"/>
                <w:color w:val="000000"/>
                <w:sz w:val="20"/>
                <w:szCs w:val="20"/>
              </w:rPr>
              <w:t>,</w:t>
            </w:r>
            <w:r w:rsidRPr="00CD5714">
              <w:rPr>
                <w:rFonts w:ascii="Arial" w:hAnsi="Arial" w:cs="Arial"/>
                <w:color w:val="000000"/>
                <w:sz w:val="20"/>
                <w:szCs w:val="20"/>
                <w:lang w:val="en-GB"/>
              </w:rPr>
              <w:t>162</w:t>
            </w:r>
            <w:r w:rsidR="00FD6FB5" w:rsidRPr="002D2F67">
              <w:rPr>
                <w:rFonts w:ascii="Arial" w:hAnsi="Arial" w:cs="Arial"/>
                <w:color w:val="000000"/>
                <w:sz w:val="20"/>
                <w:szCs w:val="20"/>
              </w:rPr>
              <w:t>,</w:t>
            </w:r>
            <w:r w:rsidRPr="00CD5714">
              <w:rPr>
                <w:rFonts w:ascii="Arial" w:hAnsi="Arial" w:cs="Arial"/>
                <w:color w:val="000000"/>
                <w:sz w:val="20"/>
                <w:szCs w:val="20"/>
                <w:lang w:val="en-GB"/>
              </w:rPr>
              <w:t>365</w:t>
            </w:r>
          </w:p>
        </w:tc>
        <w:tc>
          <w:tcPr>
            <w:tcW w:w="1440" w:type="dxa"/>
            <w:shd w:val="clear" w:color="auto" w:fill="auto"/>
          </w:tcPr>
          <w:p w14:paraId="20549F7F" w14:textId="4ADC1097" w:rsidR="00C130B3"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C130B3" w:rsidRPr="002D2F67">
              <w:rPr>
                <w:rFonts w:ascii="Arial" w:hAnsi="Arial" w:cs="Arial"/>
                <w:color w:val="000000"/>
                <w:sz w:val="20"/>
                <w:szCs w:val="20"/>
              </w:rPr>
              <w:t>,</w:t>
            </w:r>
            <w:r w:rsidRPr="00CD5714">
              <w:rPr>
                <w:rFonts w:ascii="Arial" w:hAnsi="Arial" w:cs="Arial"/>
                <w:color w:val="000000"/>
                <w:sz w:val="20"/>
                <w:szCs w:val="20"/>
                <w:lang w:val="en-GB"/>
              </w:rPr>
              <w:t>989</w:t>
            </w:r>
            <w:r w:rsidR="00C130B3" w:rsidRPr="002D2F67">
              <w:rPr>
                <w:rFonts w:ascii="Arial" w:hAnsi="Arial" w:cs="Arial"/>
                <w:color w:val="000000"/>
                <w:sz w:val="20"/>
                <w:szCs w:val="20"/>
              </w:rPr>
              <w:t>,</w:t>
            </w:r>
            <w:r w:rsidRPr="00CD5714">
              <w:rPr>
                <w:rFonts w:ascii="Arial" w:hAnsi="Arial" w:cs="Arial"/>
                <w:color w:val="000000"/>
                <w:sz w:val="20"/>
                <w:szCs w:val="20"/>
                <w:lang w:val="en-GB"/>
              </w:rPr>
              <w:t>604</w:t>
            </w:r>
          </w:p>
        </w:tc>
        <w:tc>
          <w:tcPr>
            <w:tcW w:w="1440" w:type="dxa"/>
            <w:shd w:val="clear" w:color="auto" w:fill="auto"/>
          </w:tcPr>
          <w:p w14:paraId="626B30CC" w14:textId="26F00DFB" w:rsidR="00C130B3"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287</w:t>
            </w:r>
            <w:r w:rsidR="00FD6FB5" w:rsidRPr="002D2F67">
              <w:rPr>
                <w:rFonts w:ascii="Arial" w:hAnsi="Arial" w:cs="Arial"/>
                <w:color w:val="000000"/>
                <w:sz w:val="20"/>
                <w:szCs w:val="20"/>
              </w:rPr>
              <w:t>,</w:t>
            </w:r>
            <w:r w:rsidRPr="00CD5714">
              <w:rPr>
                <w:rFonts w:ascii="Arial" w:hAnsi="Arial" w:cs="Arial"/>
                <w:color w:val="000000"/>
                <w:sz w:val="20"/>
                <w:szCs w:val="20"/>
                <w:lang w:val="en-GB"/>
              </w:rPr>
              <w:t>558</w:t>
            </w:r>
          </w:p>
        </w:tc>
        <w:tc>
          <w:tcPr>
            <w:tcW w:w="1440" w:type="dxa"/>
            <w:shd w:val="clear" w:color="auto" w:fill="auto"/>
          </w:tcPr>
          <w:p w14:paraId="17252760" w14:textId="6C6B818E" w:rsidR="00C130B3"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264</w:t>
            </w:r>
            <w:r w:rsidR="00C130B3" w:rsidRPr="002D2F67">
              <w:rPr>
                <w:rFonts w:ascii="Arial" w:hAnsi="Arial" w:cs="Arial"/>
                <w:color w:val="000000"/>
                <w:sz w:val="20"/>
                <w:szCs w:val="20"/>
              </w:rPr>
              <w:t>,</w:t>
            </w:r>
            <w:r w:rsidRPr="00CD5714">
              <w:rPr>
                <w:rFonts w:ascii="Arial" w:hAnsi="Arial" w:cs="Arial"/>
                <w:color w:val="000000"/>
                <w:sz w:val="20"/>
                <w:szCs w:val="20"/>
                <w:lang w:val="en-GB"/>
              </w:rPr>
              <w:t>539</w:t>
            </w:r>
          </w:p>
        </w:tc>
      </w:tr>
      <w:tr w:rsidR="00C130B3" w:rsidRPr="002D2F67" w14:paraId="00242049" w14:textId="77777777" w:rsidTr="005611FE">
        <w:tc>
          <w:tcPr>
            <w:tcW w:w="3798" w:type="dxa"/>
            <w:shd w:val="clear" w:color="auto" w:fill="auto"/>
          </w:tcPr>
          <w:p w14:paraId="65171666" w14:textId="3146857B" w:rsidR="00C130B3" w:rsidRPr="002D2F67" w:rsidRDefault="00C130B3" w:rsidP="005611FE">
            <w:pPr>
              <w:ind w:left="27" w:right="-27"/>
              <w:rPr>
                <w:rFonts w:ascii="Arial" w:hAnsi="Arial" w:cs="Arial"/>
                <w:color w:val="000000"/>
                <w:sz w:val="20"/>
                <w:szCs w:val="20"/>
              </w:rPr>
            </w:pPr>
            <w:r w:rsidRPr="002D2F67">
              <w:rPr>
                <w:rFonts w:ascii="Arial" w:hAnsi="Arial" w:cs="Arial"/>
                <w:color w:val="000000"/>
                <w:sz w:val="20"/>
                <w:szCs w:val="20"/>
              </w:rPr>
              <w:t>Increase</w:t>
            </w:r>
            <w:r w:rsidR="001E6907">
              <w:rPr>
                <w:rFonts w:ascii="Arial" w:hAnsi="Arial" w:cs="Arial"/>
                <w:color w:val="000000"/>
                <w:sz w:val="20"/>
                <w:szCs w:val="20"/>
              </w:rPr>
              <w:t>d</w:t>
            </w:r>
            <w:r w:rsidRPr="002D2F67">
              <w:rPr>
                <w:rFonts w:ascii="Arial" w:hAnsi="Arial" w:cs="Arial"/>
                <w:color w:val="000000"/>
                <w:sz w:val="20"/>
                <w:szCs w:val="20"/>
              </w:rPr>
              <w:t xml:space="preserve"> in provision</w:t>
            </w:r>
          </w:p>
        </w:tc>
        <w:tc>
          <w:tcPr>
            <w:tcW w:w="1440" w:type="dxa"/>
            <w:shd w:val="clear" w:color="auto" w:fill="auto"/>
          </w:tcPr>
          <w:p w14:paraId="41C3271D" w14:textId="74D05982" w:rsidR="00C130B3"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183</w:t>
            </w:r>
            <w:r w:rsidR="00FD6FB5" w:rsidRPr="002D2F67">
              <w:rPr>
                <w:rFonts w:ascii="Arial" w:hAnsi="Arial" w:cs="Arial"/>
                <w:color w:val="000000"/>
                <w:sz w:val="20"/>
                <w:szCs w:val="20"/>
              </w:rPr>
              <w:t>,</w:t>
            </w:r>
            <w:r w:rsidRPr="00CD5714">
              <w:rPr>
                <w:rFonts w:ascii="Arial" w:hAnsi="Arial" w:cs="Arial"/>
                <w:color w:val="000000"/>
                <w:sz w:val="20"/>
                <w:szCs w:val="20"/>
                <w:lang w:val="en-GB"/>
              </w:rPr>
              <w:t>770</w:t>
            </w:r>
          </w:p>
        </w:tc>
        <w:tc>
          <w:tcPr>
            <w:tcW w:w="1440" w:type="dxa"/>
            <w:shd w:val="clear" w:color="auto" w:fill="auto"/>
          </w:tcPr>
          <w:p w14:paraId="76C05820" w14:textId="722D2227" w:rsidR="00C130B3"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114</w:t>
            </w:r>
            <w:r w:rsidR="00C130B3" w:rsidRPr="002D2F67">
              <w:rPr>
                <w:rFonts w:ascii="Arial" w:hAnsi="Arial" w:cs="Arial"/>
                <w:color w:val="000000"/>
                <w:sz w:val="20"/>
                <w:szCs w:val="20"/>
              </w:rPr>
              <w:t>,</w:t>
            </w:r>
            <w:r w:rsidRPr="00CD5714">
              <w:rPr>
                <w:rFonts w:ascii="Arial" w:hAnsi="Arial" w:cs="Arial"/>
                <w:color w:val="000000"/>
                <w:sz w:val="20"/>
                <w:szCs w:val="20"/>
                <w:lang w:val="en-GB"/>
              </w:rPr>
              <w:t>107</w:t>
            </w:r>
          </w:p>
        </w:tc>
        <w:tc>
          <w:tcPr>
            <w:tcW w:w="1440" w:type="dxa"/>
            <w:shd w:val="clear" w:color="auto" w:fill="auto"/>
          </w:tcPr>
          <w:p w14:paraId="4C01C699" w14:textId="39D58DEE" w:rsidR="00C130B3"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22</w:t>
            </w:r>
            <w:r w:rsidR="00FD6FB5" w:rsidRPr="002D2F67">
              <w:rPr>
                <w:rFonts w:ascii="Arial" w:hAnsi="Arial" w:cs="Arial"/>
                <w:color w:val="000000"/>
                <w:sz w:val="20"/>
                <w:szCs w:val="20"/>
              </w:rPr>
              <w:t>,</w:t>
            </w:r>
            <w:r w:rsidRPr="00CD5714">
              <w:rPr>
                <w:rFonts w:ascii="Arial" w:hAnsi="Arial" w:cs="Arial"/>
                <w:color w:val="000000"/>
                <w:sz w:val="20"/>
                <w:szCs w:val="20"/>
                <w:lang w:val="en-GB"/>
              </w:rPr>
              <w:t>178</w:t>
            </w:r>
          </w:p>
        </w:tc>
        <w:tc>
          <w:tcPr>
            <w:tcW w:w="1440" w:type="dxa"/>
            <w:shd w:val="clear" w:color="auto" w:fill="auto"/>
          </w:tcPr>
          <w:p w14:paraId="7B2CC8E6" w14:textId="60624477" w:rsidR="00C130B3"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15</w:t>
            </w:r>
            <w:r w:rsidR="00C130B3" w:rsidRPr="002D2F67">
              <w:rPr>
                <w:rFonts w:ascii="Arial" w:hAnsi="Arial" w:cs="Arial"/>
                <w:color w:val="000000"/>
                <w:sz w:val="20"/>
                <w:szCs w:val="20"/>
              </w:rPr>
              <w:t>,</w:t>
            </w:r>
            <w:r w:rsidRPr="00CD5714">
              <w:rPr>
                <w:rFonts w:ascii="Arial" w:hAnsi="Arial" w:cs="Arial"/>
                <w:color w:val="000000"/>
                <w:sz w:val="20"/>
                <w:szCs w:val="20"/>
                <w:lang w:val="en-GB"/>
              </w:rPr>
              <w:t>220</w:t>
            </w:r>
          </w:p>
        </w:tc>
      </w:tr>
      <w:tr w:rsidR="00C130B3" w:rsidRPr="002D2F67" w14:paraId="2425FB66" w14:textId="77777777" w:rsidTr="005611FE">
        <w:tc>
          <w:tcPr>
            <w:tcW w:w="3798" w:type="dxa"/>
            <w:shd w:val="clear" w:color="auto" w:fill="auto"/>
          </w:tcPr>
          <w:p w14:paraId="2F9CAF7D" w14:textId="132D8A96" w:rsidR="00C130B3" w:rsidRPr="002D2F67" w:rsidRDefault="00C130B3" w:rsidP="005611FE">
            <w:pPr>
              <w:ind w:left="27" w:right="-27"/>
              <w:rPr>
                <w:rFonts w:ascii="Arial" w:hAnsi="Arial" w:cs="Arial"/>
                <w:color w:val="000000"/>
                <w:spacing w:val="-6"/>
                <w:sz w:val="20"/>
                <w:szCs w:val="20"/>
              </w:rPr>
            </w:pPr>
            <w:r w:rsidRPr="002D2F67">
              <w:rPr>
                <w:rFonts w:ascii="Arial" w:hAnsi="Arial" w:cs="Arial"/>
                <w:color w:val="000000"/>
                <w:spacing w:val="-6"/>
                <w:sz w:val="20"/>
                <w:szCs w:val="20"/>
              </w:rPr>
              <w:t>Payments for decommissioning cost</w:t>
            </w:r>
          </w:p>
        </w:tc>
        <w:tc>
          <w:tcPr>
            <w:tcW w:w="1440" w:type="dxa"/>
            <w:shd w:val="clear" w:color="auto" w:fill="auto"/>
          </w:tcPr>
          <w:p w14:paraId="29052BFF" w14:textId="1DB43C9D" w:rsidR="00C130B3" w:rsidRPr="002D2F67" w:rsidRDefault="00FD6FB5"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tcPr>
          <w:p w14:paraId="4675AA75" w14:textId="2882835F" w:rsidR="00C130B3" w:rsidRPr="002D2F67" w:rsidRDefault="00C130B3"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22</w:t>
            </w:r>
            <w:r w:rsidRPr="002D2F67">
              <w:rPr>
                <w:rFonts w:ascii="Arial" w:hAnsi="Arial" w:cs="Arial"/>
                <w:color w:val="000000"/>
                <w:sz w:val="20"/>
                <w:szCs w:val="20"/>
              </w:rPr>
              <w:t>)</w:t>
            </w:r>
          </w:p>
        </w:tc>
        <w:tc>
          <w:tcPr>
            <w:tcW w:w="1440" w:type="dxa"/>
            <w:shd w:val="clear" w:color="auto" w:fill="auto"/>
          </w:tcPr>
          <w:p w14:paraId="2B1915A9" w14:textId="5E03AE70" w:rsidR="00C130B3" w:rsidRPr="002D2F67" w:rsidRDefault="00FD6FB5"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tcPr>
          <w:p w14:paraId="7C60AEFC" w14:textId="04B718A6" w:rsidR="00C130B3" w:rsidRPr="002D2F67" w:rsidRDefault="00C130B3" w:rsidP="005611FE">
            <w:pPr>
              <w:ind w:right="-72"/>
              <w:jc w:val="right"/>
              <w:rPr>
                <w:rFonts w:ascii="Arial" w:hAnsi="Arial" w:cs="Arial"/>
                <w:color w:val="000000"/>
                <w:sz w:val="20"/>
                <w:szCs w:val="20"/>
              </w:rPr>
            </w:pPr>
            <w:r w:rsidRPr="002D2F67">
              <w:rPr>
                <w:rFonts w:ascii="Arial" w:hAnsi="Arial" w:cs="Arial"/>
                <w:color w:val="000000"/>
                <w:sz w:val="20"/>
                <w:szCs w:val="20"/>
              </w:rPr>
              <w:t>-</w:t>
            </w:r>
          </w:p>
        </w:tc>
      </w:tr>
      <w:tr w:rsidR="00C130B3" w:rsidRPr="002D2F67" w14:paraId="2B63324D" w14:textId="77777777" w:rsidTr="005611FE">
        <w:tc>
          <w:tcPr>
            <w:tcW w:w="3798" w:type="dxa"/>
            <w:shd w:val="clear" w:color="auto" w:fill="auto"/>
          </w:tcPr>
          <w:p w14:paraId="602A49A6" w14:textId="77777777" w:rsidR="00C130B3" w:rsidRPr="002D2F67" w:rsidRDefault="00C130B3" w:rsidP="005611FE">
            <w:pPr>
              <w:ind w:left="27" w:right="-27"/>
              <w:rPr>
                <w:rFonts w:ascii="Arial" w:hAnsi="Arial" w:cs="Arial"/>
                <w:color w:val="000000"/>
                <w:sz w:val="20"/>
                <w:szCs w:val="20"/>
              </w:rPr>
            </w:pPr>
            <w:r w:rsidRPr="002D2F67">
              <w:rPr>
                <w:rFonts w:ascii="Arial" w:hAnsi="Arial" w:cs="Arial"/>
                <w:color w:val="000000"/>
                <w:sz w:val="20"/>
                <w:szCs w:val="20"/>
              </w:rPr>
              <w:t>Finance costs</w:t>
            </w:r>
          </w:p>
        </w:tc>
        <w:tc>
          <w:tcPr>
            <w:tcW w:w="1440" w:type="dxa"/>
            <w:tcBorders>
              <w:bottom w:val="single" w:sz="4" w:space="0" w:color="auto"/>
            </w:tcBorders>
            <w:shd w:val="clear" w:color="auto" w:fill="auto"/>
          </w:tcPr>
          <w:p w14:paraId="51585E17" w14:textId="2028BD13" w:rsidR="00C130B3"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68</w:t>
            </w:r>
            <w:r w:rsidR="00FD6FB5" w:rsidRPr="002D2F67">
              <w:rPr>
                <w:rFonts w:ascii="Arial" w:hAnsi="Arial" w:cs="Arial"/>
                <w:color w:val="000000"/>
                <w:sz w:val="20"/>
                <w:szCs w:val="20"/>
              </w:rPr>
              <w:t>,</w:t>
            </w:r>
            <w:r w:rsidRPr="00CD5714">
              <w:rPr>
                <w:rFonts w:ascii="Arial" w:hAnsi="Arial" w:cs="Arial"/>
                <w:color w:val="000000"/>
                <w:sz w:val="20"/>
                <w:szCs w:val="20"/>
                <w:lang w:val="en-GB"/>
              </w:rPr>
              <w:t>348</w:t>
            </w:r>
          </w:p>
        </w:tc>
        <w:tc>
          <w:tcPr>
            <w:tcW w:w="1440" w:type="dxa"/>
            <w:tcBorders>
              <w:bottom w:val="single" w:sz="4" w:space="0" w:color="auto"/>
            </w:tcBorders>
            <w:shd w:val="clear" w:color="auto" w:fill="auto"/>
          </w:tcPr>
          <w:p w14:paraId="461E6AB4" w14:textId="190B0E01" w:rsidR="00C130B3"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58</w:t>
            </w:r>
            <w:r w:rsidR="00C130B3" w:rsidRPr="002D2F67">
              <w:rPr>
                <w:rFonts w:ascii="Arial" w:hAnsi="Arial" w:cs="Arial"/>
                <w:color w:val="000000"/>
                <w:sz w:val="20"/>
                <w:szCs w:val="20"/>
              </w:rPr>
              <w:t>,</w:t>
            </w:r>
            <w:r w:rsidRPr="00CD5714">
              <w:rPr>
                <w:rFonts w:ascii="Arial" w:hAnsi="Arial" w:cs="Arial"/>
                <w:color w:val="000000"/>
                <w:sz w:val="20"/>
                <w:szCs w:val="20"/>
                <w:lang w:val="en-GB"/>
              </w:rPr>
              <w:t>676</w:t>
            </w:r>
          </w:p>
        </w:tc>
        <w:tc>
          <w:tcPr>
            <w:tcW w:w="1440" w:type="dxa"/>
            <w:tcBorders>
              <w:bottom w:val="single" w:sz="4" w:space="0" w:color="auto"/>
            </w:tcBorders>
            <w:shd w:val="clear" w:color="auto" w:fill="auto"/>
          </w:tcPr>
          <w:p w14:paraId="17F046C5" w14:textId="1B3A467B" w:rsidR="00C130B3"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8</w:t>
            </w:r>
            <w:r w:rsidR="00FD6FB5" w:rsidRPr="002D2F67">
              <w:rPr>
                <w:rFonts w:ascii="Arial" w:hAnsi="Arial" w:cs="Arial"/>
                <w:color w:val="000000"/>
                <w:sz w:val="20"/>
                <w:szCs w:val="20"/>
              </w:rPr>
              <w:t>,</w:t>
            </w:r>
            <w:r w:rsidRPr="00CD5714">
              <w:rPr>
                <w:rFonts w:ascii="Arial" w:hAnsi="Arial" w:cs="Arial"/>
                <w:color w:val="000000"/>
                <w:sz w:val="20"/>
                <w:szCs w:val="20"/>
                <w:lang w:val="en-GB"/>
              </w:rPr>
              <w:t>605</w:t>
            </w:r>
          </w:p>
        </w:tc>
        <w:tc>
          <w:tcPr>
            <w:tcW w:w="1440" w:type="dxa"/>
            <w:tcBorders>
              <w:bottom w:val="single" w:sz="4" w:space="0" w:color="auto"/>
            </w:tcBorders>
            <w:shd w:val="clear" w:color="auto" w:fill="auto"/>
          </w:tcPr>
          <w:p w14:paraId="77D7C310" w14:textId="4C24514A" w:rsidR="00C130B3"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7</w:t>
            </w:r>
            <w:r w:rsidR="00C130B3" w:rsidRPr="002D2F67">
              <w:rPr>
                <w:rFonts w:ascii="Arial" w:hAnsi="Arial" w:cs="Arial"/>
                <w:color w:val="000000"/>
                <w:sz w:val="20"/>
                <w:szCs w:val="20"/>
              </w:rPr>
              <w:t>,</w:t>
            </w:r>
            <w:r w:rsidRPr="00CD5714">
              <w:rPr>
                <w:rFonts w:ascii="Arial" w:hAnsi="Arial" w:cs="Arial"/>
                <w:color w:val="000000"/>
                <w:sz w:val="20"/>
                <w:szCs w:val="20"/>
                <w:lang w:val="en-GB"/>
              </w:rPr>
              <w:t>799</w:t>
            </w:r>
          </w:p>
        </w:tc>
      </w:tr>
      <w:tr w:rsidR="00C130B3" w:rsidRPr="002D2F67" w14:paraId="2C93E78D" w14:textId="77777777" w:rsidTr="005611FE">
        <w:tc>
          <w:tcPr>
            <w:tcW w:w="3798" w:type="dxa"/>
            <w:shd w:val="clear" w:color="auto" w:fill="auto"/>
          </w:tcPr>
          <w:p w14:paraId="178D869F" w14:textId="77777777" w:rsidR="00C130B3" w:rsidRPr="002D2F67" w:rsidRDefault="00C130B3" w:rsidP="005611FE">
            <w:pPr>
              <w:ind w:left="27"/>
              <w:rPr>
                <w:rFonts w:ascii="Arial" w:hAnsi="Arial" w:cs="Arial"/>
                <w:color w:val="000000"/>
                <w:sz w:val="20"/>
                <w:szCs w:val="20"/>
              </w:rPr>
            </w:pPr>
          </w:p>
        </w:tc>
        <w:tc>
          <w:tcPr>
            <w:tcW w:w="1440" w:type="dxa"/>
            <w:tcBorders>
              <w:top w:val="single" w:sz="4" w:space="0" w:color="auto"/>
            </w:tcBorders>
            <w:shd w:val="clear" w:color="auto" w:fill="auto"/>
            <w:vAlign w:val="bottom"/>
          </w:tcPr>
          <w:p w14:paraId="2B7242A7" w14:textId="77777777" w:rsidR="00C130B3" w:rsidRPr="002D2F67" w:rsidRDefault="00C130B3" w:rsidP="005611FE">
            <w:pPr>
              <w:ind w:right="-72"/>
              <w:jc w:val="right"/>
              <w:rPr>
                <w:rFonts w:ascii="Arial" w:hAnsi="Arial" w:cs="Arial"/>
                <w:color w:val="000000"/>
                <w:sz w:val="20"/>
                <w:szCs w:val="20"/>
              </w:rPr>
            </w:pPr>
          </w:p>
        </w:tc>
        <w:tc>
          <w:tcPr>
            <w:tcW w:w="1440" w:type="dxa"/>
            <w:tcBorders>
              <w:top w:val="single" w:sz="4" w:space="0" w:color="auto"/>
            </w:tcBorders>
            <w:shd w:val="clear" w:color="auto" w:fill="auto"/>
            <w:vAlign w:val="bottom"/>
          </w:tcPr>
          <w:p w14:paraId="5973BFAE" w14:textId="77777777" w:rsidR="00C130B3" w:rsidRPr="002D2F67" w:rsidRDefault="00C130B3" w:rsidP="005611FE">
            <w:pPr>
              <w:ind w:right="-72"/>
              <w:jc w:val="right"/>
              <w:rPr>
                <w:rFonts w:ascii="Arial" w:hAnsi="Arial" w:cs="Arial"/>
                <w:color w:val="000000"/>
                <w:sz w:val="20"/>
                <w:szCs w:val="20"/>
              </w:rPr>
            </w:pPr>
          </w:p>
        </w:tc>
        <w:tc>
          <w:tcPr>
            <w:tcW w:w="1440" w:type="dxa"/>
            <w:tcBorders>
              <w:top w:val="single" w:sz="4" w:space="0" w:color="auto"/>
            </w:tcBorders>
            <w:shd w:val="clear" w:color="auto" w:fill="auto"/>
            <w:vAlign w:val="bottom"/>
          </w:tcPr>
          <w:p w14:paraId="488D6D32" w14:textId="77777777" w:rsidR="00C130B3" w:rsidRPr="002D2F67" w:rsidRDefault="00C130B3" w:rsidP="005611FE">
            <w:pPr>
              <w:ind w:right="-72"/>
              <w:jc w:val="right"/>
              <w:rPr>
                <w:rFonts w:ascii="Arial" w:hAnsi="Arial" w:cs="Arial"/>
                <w:color w:val="000000"/>
                <w:sz w:val="20"/>
                <w:szCs w:val="20"/>
              </w:rPr>
            </w:pPr>
          </w:p>
        </w:tc>
        <w:tc>
          <w:tcPr>
            <w:tcW w:w="1440" w:type="dxa"/>
            <w:tcBorders>
              <w:top w:val="single" w:sz="4" w:space="0" w:color="auto"/>
            </w:tcBorders>
            <w:shd w:val="clear" w:color="auto" w:fill="auto"/>
            <w:vAlign w:val="bottom"/>
          </w:tcPr>
          <w:p w14:paraId="74A30215" w14:textId="77777777" w:rsidR="00C130B3" w:rsidRPr="002D2F67" w:rsidRDefault="00C130B3" w:rsidP="005611FE">
            <w:pPr>
              <w:jc w:val="right"/>
              <w:rPr>
                <w:rFonts w:ascii="Arial" w:hAnsi="Arial" w:cs="Arial"/>
                <w:color w:val="000000"/>
                <w:sz w:val="20"/>
                <w:szCs w:val="20"/>
              </w:rPr>
            </w:pPr>
          </w:p>
        </w:tc>
      </w:tr>
      <w:tr w:rsidR="00C130B3" w:rsidRPr="002D2F67" w14:paraId="47EFC9C5" w14:textId="77777777" w:rsidTr="005611FE">
        <w:tc>
          <w:tcPr>
            <w:tcW w:w="3798" w:type="dxa"/>
            <w:shd w:val="clear" w:color="auto" w:fill="auto"/>
          </w:tcPr>
          <w:p w14:paraId="4126D2E1" w14:textId="77777777" w:rsidR="00C130B3" w:rsidRPr="002D2F67" w:rsidRDefault="00C130B3" w:rsidP="005611FE">
            <w:pPr>
              <w:ind w:left="29"/>
              <w:rPr>
                <w:rFonts w:ascii="Arial" w:hAnsi="Arial" w:cs="Arial"/>
                <w:color w:val="000000"/>
                <w:sz w:val="20"/>
                <w:szCs w:val="20"/>
              </w:rPr>
            </w:pPr>
            <w:r w:rsidRPr="002D2F67">
              <w:rPr>
                <w:rFonts w:ascii="Arial" w:hAnsi="Arial" w:cs="Arial"/>
                <w:color w:val="000000"/>
                <w:sz w:val="20"/>
                <w:szCs w:val="20"/>
              </w:rPr>
              <w:t>Closing balance</w:t>
            </w:r>
          </w:p>
        </w:tc>
        <w:tc>
          <w:tcPr>
            <w:tcW w:w="1440" w:type="dxa"/>
            <w:tcBorders>
              <w:bottom w:val="single" w:sz="4" w:space="0" w:color="auto"/>
            </w:tcBorders>
            <w:shd w:val="clear" w:color="auto" w:fill="auto"/>
          </w:tcPr>
          <w:p w14:paraId="0974E698" w14:textId="351F6398" w:rsidR="00C130B3"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w:t>
            </w:r>
            <w:r w:rsidR="00FD6FB5" w:rsidRPr="002D2F67">
              <w:rPr>
                <w:rFonts w:ascii="Arial" w:hAnsi="Arial" w:cs="Arial"/>
                <w:color w:val="000000"/>
                <w:sz w:val="20"/>
                <w:szCs w:val="20"/>
              </w:rPr>
              <w:t>,</w:t>
            </w:r>
            <w:r w:rsidRPr="00CD5714">
              <w:rPr>
                <w:rFonts w:ascii="Arial" w:hAnsi="Arial" w:cs="Arial"/>
                <w:color w:val="000000"/>
                <w:sz w:val="20"/>
                <w:szCs w:val="20"/>
                <w:lang w:val="en-GB"/>
              </w:rPr>
              <w:t>414</w:t>
            </w:r>
            <w:r w:rsidR="00FD6FB5" w:rsidRPr="002D2F67">
              <w:rPr>
                <w:rFonts w:ascii="Arial" w:hAnsi="Arial" w:cs="Arial"/>
                <w:color w:val="000000"/>
                <w:sz w:val="20"/>
                <w:szCs w:val="20"/>
              </w:rPr>
              <w:t>,</w:t>
            </w:r>
            <w:r w:rsidRPr="00CD5714">
              <w:rPr>
                <w:rFonts w:ascii="Arial" w:hAnsi="Arial" w:cs="Arial"/>
                <w:color w:val="000000"/>
                <w:sz w:val="20"/>
                <w:szCs w:val="20"/>
                <w:lang w:val="en-GB"/>
              </w:rPr>
              <w:t>483</w:t>
            </w:r>
          </w:p>
        </w:tc>
        <w:tc>
          <w:tcPr>
            <w:tcW w:w="1440" w:type="dxa"/>
            <w:tcBorders>
              <w:bottom w:val="single" w:sz="4" w:space="0" w:color="auto"/>
            </w:tcBorders>
            <w:shd w:val="clear" w:color="auto" w:fill="auto"/>
          </w:tcPr>
          <w:p w14:paraId="64BF1B6D" w14:textId="62CA7A05" w:rsidR="00C130B3"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w:t>
            </w:r>
            <w:r w:rsidR="00C130B3" w:rsidRPr="002D2F67">
              <w:rPr>
                <w:rFonts w:ascii="Arial" w:hAnsi="Arial" w:cs="Arial"/>
                <w:color w:val="000000"/>
                <w:sz w:val="20"/>
                <w:szCs w:val="20"/>
              </w:rPr>
              <w:t>,</w:t>
            </w:r>
            <w:r w:rsidRPr="00CD5714">
              <w:rPr>
                <w:rFonts w:ascii="Arial" w:hAnsi="Arial" w:cs="Arial"/>
                <w:color w:val="000000"/>
                <w:sz w:val="20"/>
                <w:szCs w:val="20"/>
                <w:lang w:val="en-GB"/>
              </w:rPr>
              <w:t>162</w:t>
            </w:r>
            <w:r w:rsidR="00C130B3" w:rsidRPr="002D2F67">
              <w:rPr>
                <w:rFonts w:ascii="Arial" w:hAnsi="Arial" w:cs="Arial"/>
                <w:color w:val="000000"/>
                <w:sz w:val="20"/>
                <w:szCs w:val="20"/>
              </w:rPr>
              <w:t>,</w:t>
            </w:r>
            <w:r w:rsidRPr="00CD5714">
              <w:rPr>
                <w:rFonts w:ascii="Arial" w:hAnsi="Arial" w:cs="Arial"/>
                <w:color w:val="000000"/>
                <w:sz w:val="20"/>
                <w:szCs w:val="20"/>
                <w:lang w:val="en-GB"/>
              </w:rPr>
              <w:t>365</w:t>
            </w:r>
          </w:p>
        </w:tc>
        <w:tc>
          <w:tcPr>
            <w:tcW w:w="1440" w:type="dxa"/>
            <w:tcBorders>
              <w:bottom w:val="single" w:sz="4" w:space="0" w:color="auto"/>
            </w:tcBorders>
            <w:shd w:val="clear" w:color="auto" w:fill="auto"/>
          </w:tcPr>
          <w:p w14:paraId="128C0602" w14:textId="7CDC4910" w:rsidR="00C130B3"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318</w:t>
            </w:r>
            <w:r w:rsidR="00FD6FB5" w:rsidRPr="002D2F67">
              <w:rPr>
                <w:rFonts w:ascii="Arial" w:hAnsi="Arial" w:cs="Arial"/>
                <w:color w:val="000000"/>
                <w:sz w:val="20"/>
                <w:szCs w:val="20"/>
              </w:rPr>
              <w:t>,</w:t>
            </w:r>
            <w:r w:rsidRPr="00CD5714">
              <w:rPr>
                <w:rFonts w:ascii="Arial" w:hAnsi="Arial" w:cs="Arial"/>
                <w:color w:val="000000"/>
                <w:sz w:val="20"/>
                <w:szCs w:val="20"/>
                <w:lang w:val="en-GB"/>
              </w:rPr>
              <w:t>341</w:t>
            </w:r>
          </w:p>
        </w:tc>
        <w:tc>
          <w:tcPr>
            <w:tcW w:w="1440" w:type="dxa"/>
            <w:tcBorders>
              <w:bottom w:val="single" w:sz="4" w:space="0" w:color="auto"/>
            </w:tcBorders>
            <w:shd w:val="clear" w:color="auto" w:fill="auto"/>
          </w:tcPr>
          <w:p w14:paraId="20CF334D" w14:textId="103404C9" w:rsidR="00C130B3"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287</w:t>
            </w:r>
            <w:r w:rsidR="00C130B3" w:rsidRPr="002D2F67">
              <w:rPr>
                <w:rFonts w:ascii="Arial" w:hAnsi="Arial" w:cs="Arial"/>
                <w:color w:val="000000"/>
                <w:sz w:val="20"/>
                <w:szCs w:val="20"/>
              </w:rPr>
              <w:t>,</w:t>
            </w:r>
            <w:r w:rsidRPr="00CD5714">
              <w:rPr>
                <w:rFonts w:ascii="Arial" w:hAnsi="Arial" w:cs="Arial"/>
                <w:color w:val="000000"/>
                <w:sz w:val="20"/>
                <w:szCs w:val="20"/>
                <w:lang w:val="en-GB"/>
              </w:rPr>
              <w:t>558</w:t>
            </w:r>
          </w:p>
        </w:tc>
      </w:tr>
    </w:tbl>
    <w:p w14:paraId="551C5844" w14:textId="220F59A8" w:rsidR="001E6C66" w:rsidRPr="002D2F67" w:rsidRDefault="001E6C66" w:rsidP="005611FE">
      <w:pPr>
        <w:jc w:val="thaiDistribute"/>
        <w:rPr>
          <w:rFonts w:ascii="Arial" w:hAnsi="Arial" w:cs="Arial"/>
          <w:b/>
          <w:bCs/>
          <w:color w:val="000000"/>
          <w:spacing w:val="-2"/>
          <w:sz w:val="20"/>
          <w:szCs w:val="20"/>
        </w:rPr>
      </w:pPr>
    </w:p>
    <w:p w14:paraId="41EF5640" w14:textId="77777777" w:rsidR="00BA6968" w:rsidRPr="002D2F67" w:rsidRDefault="00BA6968" w:rsidP="005611FE">
      <w:pPr>
        <w:jc w:val="thaiDistribute"/>
        <w:rPr>
          <w:rFonts w:ascii="Arial" w:hAnsi="Arial" w:cs="Arial"/>
          <w:b/>
          <w:bCs/>
          <w:color w:val="000000"/>
          <w:spacing w:val="-2"/>
          <w:sz w:val="20"/>
          <w:szCs w:val="20"/>
        </w:rPr>
      </w:pPr>
    </w:p>
    <w:p w14:paraId="06828215" w14:textId="4C77CEB0" w:rsidR="007A3642"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32</w:t>
      </w:r>
      <w:r w:rsidR="007A3642" w:rsidRPr="002D2F67">
        <w:rPr>
          <w:rFonts w:ascii="Arial" w:hAnsi="Arial" w:cs="Arial"/>
          <w:b/>
          <w:bCs/>
          <w:color w:val="000000"/>
          <w:kern w:val="26"/>
          <w:position w:val="-24"/>
          <w:sz w:val="20"/>
          <w:szCs w:val="20"/>
          <w:cs/>
        </w:rPr>
        <w:tab/>
      </w:r>
      <w:r w:rsidR="007A3642" w:rsidRPr="002D2F67">
        <w:rPr>
          <w:rFonts w:ascii="Arial" w:hAnsi="Arial" w:cs="Arial"/>
          <w:b/>
          <w:bCs/>
          <w:color w:val="000000"/>
          <w:kern w:val="26"/>
          <w:position w:val="-24"/>
          <w:sz w:val="20"/>
          <w:szCs w:val="20"/>
        </w:rPr>
        <w:t xml:space="preserve">Treasury </w:t>
      </w:r>
      <w:r w:rsidR="00D61E1A" w:rsidRPr="002D2F67">
        <w:rPr>
          <w:rFonts w:ascii="Arial" w:hAnsi="Arial" w:cs="Arial"/>
          <w:b/>
          <w:bCs/>
          <w:color w:val="000000"/>
          <w:kern w:val="26"/>
          <w:position w:val="-24"/>
          <w:sz w:val="20"/>
          <w:szCs w:val="20"/>
        </w:rPr>
        <w:t>share</w:t>
      </w:r>
    </w:p>
    <w:p w14:paraId="62547A96" w14:textId="3FE15F19" w:rsidR="00182611" w:rsidRPr="002D2F67" w:rsidRDefault="00182611" w:rsidP="005611FE">
      <w:pPr>
        <w:jc w:val="thaiDistribute"/>
        <w:rPr>
          <w:rFonts w:ascii="Arial" w:hAnsi="Arial" w:cs="Arial"/>
          <w:color w:val="000000"/>
          <w:sz w:val="20"/>
          <w:szCs w:val="20"/>
        </w:rPr>
      </w:pPr>
    </w:p>
    <w:p w14:paraId="205FF3A7" w14:textId="71771E5D" w:rsidR="000A65B0" w:rsidRPr="002D2F67" w:rsidRDefault="000A65B0" w:rsidP="000A65B0">
      <w:pPr>
        <w:jc w:val="both"/>
        <w:rPr>
          <w:rFonts w:ascii="Arial" w:eastAsia="Cordia New" w:hAnsi="Arial" w:cs="Arial"/>
          <w:snapToGrid w:val="0"/>
          <w:spacing w:val="-4"/>
          <w:sz w:val="20"/>
          <w:szCs w:val="20"/>
          <w:lang w:eastAsia="th-TH"/>
        </w:rPr>
      </w:pPr>
      <w:r w:rsidRPr="002D2F67">
        <w:rPr>
          <w:rFonts w:ascii="Arial" w:eastAsia="Cordia New" w:hAnsi="Arial" w:cs="Arial"/>
          <w:snapToGrid w:val="0"/>
          <w:spacing w:val="-4"/>
          <w:sz w:val="20"/>
          <w:szCs w:val="20"/>
          <w:lang w:eastAsia="th-TH"/>
        </w:rPr>
        <w:t xml:space="preserve">At the Board of Directors’ meeting on </w:t>
      </w:r>
      <w:r w:rsidR="00CD5714" w:rsidRPr="00CD5714">
        <w:rPr>
          <w:rFonts w:ascii="Arial" w:eastAsia="Cordia New" w:hAnsi="Arial" w:cs="Arial"/>
          <w:snapToGrid w:val="0"/>
          <w:spacing w:val="-4"/>
          <w:sz w:val="20"/>
          <w:szCs w:val="20"/>
          <w:lang w:val="en-GB" w:eastAsia="th-TH"/>
        </w:rPr>
        <w:t>13</w:t>
      </w:r>
      <w:r w:rsidRPr="002D2F67">
        <w:rPr>
          <w:rFonts w:ascii="Arial" w:eastAsia="Cordia New" w:hAnsi="Arial" w:cs="Arial"/>
          <w:snapToGrid w:val="0"/>
          <w:spacing w:val="-4"/>
          <w:sz w:val="20"/>
          <w:szCs w:val="20"/>
          <w:lang w:eastAsia="th-TH"/>
        </w:rPr>
        <w:t xml:space="preserve"> November </w:t>
      </w:r>
      <w:r w:rsidR="00CD5714" w:rsidRPr="00CD5714">
        <w:rPr>
          <w:rFonts w:ascii="Arial" w:eastAsia="Cordia New" w:hAnsi="Arial" w:cs="Arial"/>
          <w:snapToGrid w:val="0"/>
          <w:spacing w:val="-4"/>
          <w:sz w:val="20"/>
          <w:szCs w:val="20"/>
          <w:lang w:val="en-GB" w:eastAsia="th-TH"/>
        </w:rPr>
        <w:t>2023</w:t>
      </w:r>
      <w:r w:rsidRPr="002D2F67">
        <w:rPr>
          <w:rFonts w:ascii="Arial" w:eastAsia="Cordia New" w:hAnsi="Arial" w:cs="Arial"/>
          <w:snapToGrid w:val="0"/>
          <w:spacing w:val="-4"/>
          <w:sz w:val="20"/>
          <w:szCs w:val="20"/>
          <w:lang w:eastAsia="th-TH"/>
        </w:rPr>
        <w:t xml:space="preserve">, the Board of Directors approved a share repurchase </w:t>
      </w:r>
      <w:r w:rsidRPr="002D2F67">
        <w:rPr>
          <w:rFonts w:ascii="Arial" w:eastAsia="Cordia New" w:hAnsi="Arial" w:cs="Arial"/>
          <w:snapToGrid w:val="0"/>
          <w:sz w:val="20"/>
          <w:szCs w:val="20"/>
          <w:lang w:eastAsia="th-TH"/>
        </w:rPr>
        <w:t xml:space="preserve">(the </w:t>
      </w:r>
      <w:r w:rsidR="007E0CBF" w:rsidRPr="002D2F67">
        <w:rPr>
          <w:rFonts w:ascii="Arial" w:eastAsia="Cordia New" w:hAnsi="Arial" w:cs="Arial"/>
          <w:snapToGrid w:val="0"/>
          <w:sz w:val="20"/>
          <w:szCs w:val="20"/>
          <w:lang w:eastAsia="th-TH"/>
        </w:rPr>
        <w:t>Program</w:t>
      </w:r>
      <w:r w:rsidRPr="002D2F67">
        <w:rPr>
          <w:rFonts w:ascii="Arial" w:eastAsia="Cordia New" w:hAnsi="Arial" w:cs="Arial"/>
          <w:snapToGrid w:val="0"/>
          <w:sz w:val="20"/>
          <w:szCs w:val="20"/>
          <w:lang w:eastAsia="th-TH"/>
        </w:rPr>
        <w:t xml:space="preserve">) for the purpose of managing its financing activities. The </w:t>
      </w:r>
      <w:r w:rsidR="007E0CBF" w:rsidRPr="002D2F67">
        <w:rPr>
          <w:rFonts w:ascii="Arial" w:eastAsia="Cordia New" w:hAnsi="Arial" w:cs="Arial"/>
          <w:snapToGrid w:val="0"/>
          <w:sz w:val="20"/>
          <w:szCs w:val="20"/>
          <w:lang w:eastAsia="th-TH"/>
        </w:rPr>
        <w:t>program</w:t>
      </w:r>
      <w:r w:rsidRPr="002D2F67">
        <w:rPr>
          <w:rFonts w:ascii="Arial" w:eastAsia="Cordia New" w:hAnsi="Arial" w:cs="Arial"/>
          <w:snapToGrid w:val="0"/>
          <w:sz w:val="20"/>
          <w:szCs w:val="20"/>
          <w:lang w:eastAsia="th-TH"/>
        </w:rPr>
        <w:t xml:space="preserve"> limits the repurchase of </w:t>
      </w:r>
      <w:r w:rsidR="00CD5714" w:rsidRPr="00CD5714">
        <w:rPr>
          <w:rFonts w:ascii="Arial" w:eastAsia="Cordia New" w:hAnsi="Arial" w:cs="Arial"/>
          <w:snapToGrid w:val="0"/>
          <w:sz w:val="20"/>
          <w:szCs w:val="20"/>
          <w:lang w:val="en-GB" w:eastAsia="th-TH"/>
        </w:rPr>
        <w:t>58</w:t>
      </w:r>
      <w:r w:rsidRPr="002D2F67">
        <w:rPr>
          <w:rFonts w:ascii="Arial" w:eastAsia="Cordia New" w:hAnsi="Arial" w:cs="Arial"/>
          <w:snapToGrid w:val="0"/>
          <w:sz w:val="20"/>
          <w:szCs w:val="20"/>
          <w:lang w:eastAsia="th-TH"/>
        </w:rPr>
        <w:t>,</w:t>
      </w:r>
      <w:r w:rsidR="00CD5714" w:rsidRPr="00CD5714">
        <w:rPr>
          <w:rFonts w:ascii="Arial" w:eastAsia="Cordia New" w:hAnsi="Arial" w:cs="Arial"/>
          <w:snapToGrid w:val="0"/>
          <w:sz w:val="20"/>
          <w:szCs w:val="20"/>
          <w:lang w:val="en-GB" w:eastAsia="th-TH"/>
        </w:rPr>
        <w:t>000</w:t>
      </w:r>
      <w:r w:rsidRPr="002D2F67">
        <w:rPr>
          <w:rFonts w:ascii="Arial" w:eastAsia="Cordia New" w:hAnsi="Arial" w:cs="Arial"/>
          <w:snapToGrid w:val="0"/>
          <w:sz w:val="20"/>
          <w:szCs w:val="20"/>
          <w:lang w:eastAsia="th-TH"/>
        </w:rPr>
        <w:t>,</w:t>
      </w:r>
      <w:r w:rsidR="00CD5714" w:rsidRPr="00CD5714">
        <w:rPr>
          <w:rFonts w:ascii="Arial" w:eastAsia="Cordia New" w:hAnsi="Arial" w:cs="Arial"/>
          <w:snapToGrid w:val="0"/>
          <w:spacing w:val="-6"/>
          <w:sz w:val="20"/>
          <w:szCs w:val="20"/>
          <w:lang w:val="en-GB" w:eastAsia="th-TH"/>
        </w:rPr>
        <w:t>000</w:t>
      </w:r>
      <w:r w:rsidRPr="002D2F67">
        <w:rPr>
          <w:rFonts w:ascii="Arial" w:eastAsia="Cordia New" w:hAnsi="Arial" w:cs="Arial"/>
          <w:snapToGrid w:val="0"/>
          <w:spacing w:val="-6"/>
          <w:sz w:val="20"/>
          <w:szCs w:val="20"/>
          <w:lang w:eastAsia="th-TH"/>
        </w:rPr>
        <w:t xml:space="preserve"> shares with the monetary amount of not exceeding Baht </w:t>
      </w:r>
      <w:r w:rsidR="00CD5714" w:rsidRPr="00CD5714">
        <w:rPr>
          <w:rFonts w:ascii="Arial" w:eastAsia="Cordia New" w:hAnsi="Arial" w:cs="Arial"/>
          <w:snapToGrid w:val="0"/>
          <w:spacing w:val="-6"/>
          <w:sz w:val="20"/>
          <w:szCs w:val="20"/>
          <w:lang w:val="en-GB" w:eastAsia="th-TH"/>
        </w:rPr>
        <w:t>3</w:t>
      </w:r>
      <w:r w:rsidRPr="002D2F67">
        <w:rPr>
          <w:rFonts w:ascii="Arial" w:eastAsia="Cordia New" w:hAnsi="Arial" w:cs="Arial"/>
          <w:snapToGrid w:val="0"/>
          <w:spacing w:val="-6"/>
          <w:sz w:val="20"/>
          <w:szCs w:val="20"/>
          <w:lang w:eastAsia="th-TH"/>
        </w:rPr>
        <w:t>,</w:t>
      </w:r>
      <w:r w:rsidR="00CD5714" w:rsidRPr="00CD5714">
        <w:rPr>
          <w:rFonts w:ascii="Arial" w:eastAsia="Cordia New" w:hAnsi="Arial" w:cs="Arial"/>
          <w:snapToGrid w:val="0"/>
          <w:spacing w:val="-6"/>
          <w:sz w:val="20"/>
          <w:szCs w:val="20"/>
          <w:lang w:val="en-GB" w:eastAsia="th-TH"/>
        </w:rPr>
        <w:t>000</w:t>
      </w:r>
      <w:r w:rsidRPr="002D2F67">
        <w:rPr>
          <w:rFonts w:ascii="Arial" w:eastAsia="Cordia New" w:hAnsi="Arial" w:cs="Arial"/>
          <w:snapToGrid w:val="0"/>
          <w:spacing w:val="-6"/>
          <w:sz w:val="20"/>
          <w:szCs w:val="20"/>
          <w:lang w:eastAsia="th-TH"/>
        </w:rPr>
        <w:t xml:space="preserve"> million. The repurchase period started</w:t>
      </w:r>
      <w:r w:rsidRPr="002D2F67">
        <w:rPr>
          <w:rFonts w:ascii="Arial" w:eastAsia="Cordia New" w:hAnsi="Arial" w:cs="Arial"/>
          <w:snapToGrid w:val="0"/>
          <w:spacing w:val="-4"/>
          <w:sz w:val="20"/>
          <w:szCs w:val="20"/>
          <w:lang w:eastAsia="th-TH"/>
        </w:rPr>
        <w:t xml:space="preserve"> on </w:t>
      </w:r>
      <w:r w:rsidR="00CD5714" w:rsidRPr="00CD5714">
        <w:rPr>
          <w:rFonts w:ascii="Arial" w:eastAsia="Cordia New" w:hAnsi="Arial" w:cs="Arial"/>
          <w:snapToGrid w:val="0"/>
          <w:spacing w:val="-4"/>
          <w:sz w:val="20"/>
          <w:szCs w:val="20"/>
          <w:lang w:val="en-GB" w:eastAsia="th-TH"/>
        </w:rPr>
        <w:t>17</w:t>
      </w:r>
      <w:r w:rsidRPr="002D2F67">
        <w:rPr>
          <w:rFonts w:ascii="Arial" w:eastAsia="Cordia New" w:hAnsi="Arial" w:cs="Arial"/>
          <w:snapToGrid w:val="0"/>
          <w:spacing w:val="-4"/>
          <w:sz w:val="20"/>
          <w:szCs w:val="20"/>
          <w:lang w:eastAsia="th-TH"/>
        </w:rPr>
        <w:t xml:space="preserve"> November </w:t>
      </w:r>
      <w:r w:rsidR="00CD5714" w:rsidRPr="00CD5714">
        <w:rPr>
          <w:rFonts w:ascii="Arial" w:eastAsia="Cordia New" w:hAnsi="Arial" w:cs="Arial"/>
          <w:snapToGrid w:val="0"/>
          <w:spacing w:val="-4"/>
          <w:sz w:val="20"/>
          <w:szCs w:val="20"/>
          <w:lang w:val="en-GB" w:eastAsia="th-TH"/>
        </w:rPr>
        <w:t>2023</w:t>
      </w:r>
      <w:r w:rsidRPr="002D2F67">
        <w:rPr>
          <w:rFonts w:ascii="Arial" w:eastAsia="Cordia New" w:hAnsi="Arial" w:cs="Arial"/>
          <w:snapToGrid w:val="0"/>
          <w:spacing w:val="-4"/>
          <w:sz w:val="20"/>
          <w:szCs w:val="20"/>
          <w:lang w:eastAsia="th-TH"/>
        </w:rPr>
        <w:t xml:space="preserve"> and ended on </w:t>
      </w:r>
      <w:r w:rsidR="00CD5714" w:rsidRPr="00CD5714">
        <w:rPr>
          <w:rFonts w:ascii="Arial" w:eastAsia="Cordia New" w:hAnsi="Arial" w:cs="Arial"/>
          <w:snapToGrid w:val="0"/>
          <w:spacing w:val="-4"/>
          <w:sz w:val="20"/>
          <w:szCs w:val="20"/>
          <w:lang w:val="en-GB" w:eastAsia="th-TH"/>
        </w:rPr>
        <w:t>17</w:t>
      </w:r>
      <w:r w:rsidRPr="002D2F67">
        <w:rPr>
          <w:rFonts w:ascii="Arial" w:eastAsia="Cordia New" w:hAnsi="Arial" w:cs="Arial"/>
          <w:snapToGrid w:val="0"/>
          <w:spacing w:val="-4"/>
          <w:sz w:val="20"/>
          <w:szCs w:val="20"/>
          <w:lang w:eastAsia="th-TH"/>
        </w:rPr>
        <w:t xml:space="preserve"> February </w:t>
      </w:r>
      <w:r w:rsidR="00CD5714" w:rsidRPr="00CD5714">
        <w:rPr>
          <w:rFonts w:ascii="Arial" w:eastAsia="Cordia New" w:hAnsi="Arial" w:cs="Arial"/>
          <w:snapToGrid w:val="0"/>
          <w:spacing w:val="-4"/>
          <w:sz w:val="20"/>
          <w:szCs w:val="20"/>
          <w:lang w:val="en-GB" w:eastAsia="th-TH"/>
        </w:rPr>
        <w:t>2024</w:t>
      </w:r>
      <w:r w:rsidRPr="002D2F67">
        <w:rPr>
          <w:rFonts w:ascii="Arial" w:eastAsia="Cordia New" w:hAnsi="Arial" w:cs="Arial"/>
          <w:snapToGrid w:val="0"/>
          <w:spacing w:val="-4"/>
          <w:sz w:val="20"/>
          <w:szCs w:val="20"/>
          <w:lang w:eastAsia="th-TH"/>
        </w:rPr>
        <w:t>.</w:t>
      </w:r>
    </w:p>
    <w:p w14:paraId="1C1319B9" w14:textId="77777777" w:rsidR="000A65B0" w:rsidRPr="002D2F67" w:rsidRDefault="000A65B0" w:rsidP="000A65B0">
      <w:pPr>
        <w:jc w:val="both"/>
        <w:rPr>
          <w:rFonts w:ascii="Arial" w:eastAsia="Cordia New" w:hAnsi="Arial" w:cs="Arial"/>
          <w:snapToGrid w:val="0"/>
          <w:spacing w:val="-4"/>
          <w:sz w:val="20"/>
          <w:szCs w:val="20"/>
          <w:lang w:eastAsia="th-TH"/>
        </w:rPr>
      </w:pPr>
    </w:p>
    <w:p w14:paraId="44F93074" w14:textId="5DF9B308" w:rsidR="006A19D3" w:rsidRPr="002D2F67" w:rsidRDefault="000A65B0" w:rsidP="000A65B0">
      <w:pPr>
        <w:pStyle w:val="BodyTextIndent2"/>
        <w:tabs>
          <w:tab w:val="left" w:pos="1524"/>
        </w:tabs>
        <w:spacing w:line="240" w:lineRule="auto"/>
        <w:ind w:left="0"/>
        <w:rPr>
          <w:rFonts w:ascii="Arial" w:hAnsi="Arial" w:cs="Arial"/>
          <w:spacing w:val="-4"/>
        </w:rPr>
      </w:pPr>
      <w:r w:rsidRPr="002D2F67">
        <w:rPr>
          <w:rFonts w:ascii="Arial" w:hAnsi="Arial" w:cs="Arial"/>
          <w:color w:val="auto"/>
        </w:rPr>
        <w:t xml:space="preserve">On </w:t>
      </w:r>
      <w:r w:rsidR="00CD5714" w:rsidRPr="00CD5714">
        <w:rPr>
          <w:rFonts w:ascii="Arial" w:hAnsi="Arial" w:cs="Arial"/>
          <w:color w:val="auto"/>
          <w:lang w:val="en-GB"/>
        </w:rPr>
        <w:t>17</w:t>
      </w:r>
      <w:r w:rsidRPr="002D2F67">
        <w:rPr>
          <w:rFonts w:ascii="Arial" w:hAnsi="Arial" w:cs="Arial"/>
          <w:color w:val="auto"/>
        </w:rPr>
        <w:t xml:space="preserve"> February </w:t>
      </w:r>
      <w:r w:rsidR="00CD5714" w:rsidRPr="00CD5714">
        <w:rPr>
          <w:rFonts w:ascii="Arial" w:hAnsi="Arial" w:cs="Arial"/>
          <w:color w:val="auto"/>
          <w:lang w:val="en-GB"/>
        </w:rPr>
        <w:t>2024</w:t>
      </w:r>
      <w:r w:rsidRPr="002D2F67">
        <w:rPr>
          <w:rFonts w:ascii="Arial" w:hAnsi="Arial" w:cs="Arial"/>
          <w:color w:val="auto"/>
        </w:rPr>
        <w:t xml:space="preserve">, a share repurchase </w:t>
      </w:r>
      <w:r w:rsidR="007E0CBF" w:rsidRPr="002D2F67">
        <w:rPr>
          <w:rFonts w:ascii="Arial" w:hAnsi="Arial" w:cs="Arial"/>
          <w:color w:val="auto"/>
        </w:rPr>
        <w:t>program</w:t>
      </w:r>
      <w:r w:rsidRPr="002D2F67">
        <w:rPr>
          <w:rFonts w:ascii="Arial" w:hAnsi="Arial" w:cs="Arial"/>
          <w:color w:val="auto"/>
        </w:rPr>
        <w:t xml:space="preserve"> was ended. The Group repurchased ordinary shares totalling</w:t>
      </w:r>
      <w:r w:rsidRPr="002D2F67">
        <w:rPr>
          <w:rFonts w:ascii="Arial" w:hAnsi="Arial" w:cs="Arial"/>
        </w:rPr>
        <w:t xml:space="preserve"> </w:t>
      </w:r>
      <w:r w:rsidR="00CD5714" w:rsidRPr="00CD5714">
        <w:rPr>
          <w:rFonts w:ascii="Arial" w:hAnsi="Arial" w:cs="Arial"/>
          <w:lang w:val="en-GB"/>
        </w:rPr>
        <w:t>16</w:t>
      </w:r>
      <w:r w:rsidRPr="002D2F67">
        <w:rPr>
          <w:rFonts w:ascii="Arial" w:hAnsi="Arial" w:cs="Arial"/>
        </w:rPr>
        <w:t>,</w:t>
      </w:r>
      <w:r w:rsidR="00CD5714" w:rsidRPr="00CD5714">
        <w:rPr>
          <w:rFonts w:ascii="Arial" w:hAnsi="Arial" w:cs="Arial"/>
          <w:lang w:val="en-GB"/>
        </w:rPr>
        <w:t>658</w:t>
      </w:r>
      <w:r w:rsidRPr="002D2F67">
        <w:rPr>
          <w:rFonts w:ascii="Arial" w:hAnsi="Arial" w:cs="Arial"/>
        </w:rPr>
        <w:t>,</w:t>
      </w:r>
      <w:r w:rsidR="00CD5714" w:rsidRPr="00CD5714">
        <w:rPr>
          <w:rFonts w:ascii="Arial" w:hAnsi="Arial" w:cs="Arial"/>
          <w:lang w:val="en-GB"/>
        </w:rPr>
        <w:t>600</w:t>
      </w:r>
      <w:r w:rsidRPr="002D2F67">
        <w:rPr>
          <w:rFonts w:ascii="Arial" w:hAnsi="Arial" w:cs="Arial"/>
        </w:rPr>
        <w:t xml:space="preserve"> shares, which was equivalent to </w:t>
      </w:r>
      <w:r w:rsidR="00CD5714" w:rsidRPr="00CD5714">
        <w:rPr>
          <w:rFonts w:ascii="Arial" w:hAnsi="Arial" w:cs="Arial"/>
          <w:lang w:val="en-GB"/>
        </w:rPr>
        <w:t>0</w:t>
      </w:r>
      <w:r w:rsidRPr="002D2F67">
        <w:rPr>
          <w:rFonts w:ascii="Arial" w:hAnsi="Arial" w:cs="Arial"/>
        </w:rPr>
        <w:t>.</w:t>
      </w:r>
      <w:r w:rsidR="00CD5714" w:rsidRPr="00CD5714">
        <w:rPr>
          <w:rFonts w:ascii="Arial" w:hAnsi="Arial" w:cs="Arial"/>
          <w:lang w:val="en-GB"/>
        </w:rPr>
        <w:t>45</w:t>
      </w:r>
      <w:r w:rsidRPr="002D2F67">
        <w:rPr>
          <w:rFonts w:ascii="Arial" w:hAnsi="Arial" w:cs="Arial"/>
        </w:rPr>
        <w:t>% of authorised and paid-up share capital of the Company</w:t>
      </w:r>
      <w:r w:rsidRPr="002D2F67">
        <w:rPr>
          <w:rFonts w:ascii="Arial" w:hAnsi="Arial" w:cs="Arial"/>
          <w:spacing w:val="-4"/>
        </w:rPr>
        <w:t xml:space="preserve"> with the average repurchased price of Baht </w:t>
      </w:r>
      <w:r w:rsidR="00CD5714" w:rsidRPr="00CD5714">
        <w:rPr>
          <w:rFonts w:ascii="Arial" w:hAnsi="Arial" w:cs="Arial"/>
          <w:spacing w:val="-4"/>
          <w:lang w:val="en-GB"/>
        </w:rPr>
        <w:t>44</w:t>
      </w:r>
      <w:r w:rsidRPr="002D2F67">
        <w:rPr>
          <w:rFonts w:ascii="Arial" w:hAnsi="Arial" w:cs="Arial"/>
          <w:spacing w:val="-4"/>
        </w:rPr>
        <w:t>.</w:t>
      </w:r>
      <w:r w:rsidR="00CD5714" w:rsidRPr="00CD5714">
        <w:rPr>
          <w:rFonts w:ascii="Arial" w:hAnsi="Arial" w:cs="Arial"/>
          <w:spacing w:val="-4"/>
          <w:lang w:val="en-GB"/>
        </w:rPr>
        <w:t>06</w:t>
      </w:r>
      <w:r w:rsidRPr="002D2F67">
        <w:rPr>
          <w:rFonts w:ascii="Arial" w:hAnsi="Arial" w:cs="Arial"/>
          <w:spacing w:val="-4"/>
        </w:rPr>
        <w:t xml:space="preserve"> per share, totalling Baht </w:t>
      </w:r>
      <w:r w:rsidR="00CD5714" w:rsidRPr="00CD5714">
        <w:rPr>
          <w:rFonts w:ascii="Arial" w:hAnsi="Arial" w:cs="Arial"/>
          <w:spacing w:val="-4"/>
          <w:lang w:val="en-GB"/>
        </w:rPr>
        <w:t>734</w:t>
      </w:r>
      <w:r w:rsidRPr="002D2F67">
        <w:rPr>
          <w:rFonts w:ascii="Arial" w:hAnsi="Arial" w:cs="Arial"/>
          <w:spacing w:val="-4"/>
        </w:rPr>
        <w:t xml:space="preserve"> million. The Company shall be able to resell the repurchased shares after </w:t>
      </w:r>
      <w:r w:rsidR="00CD5714" w:rsidRPr="00CD5714">
        <w:rPr>
          <w:rFonts w:ascii="Arial" w:hAnsi="Arial" w:cs="Arial"/>
          <w:spacing w:val="-4"/>
          <w:lang w:val="en-GB"/>
        </w:rPr>
        <w:t>3</w:t>
      </w:r>
      <w:r w:rsidRPr="002D2F67">
        <w:rPr>
          <w:rFonts w:ascii="Arial" w:hAnsi="Arial" w:cs="Arial"/>
          <w:spacing w:val="-4"/>
        </w:rPr>
        <w:t xml:space="preserve"> months from the completion of shares repurchase, but not exceeding </w:t>
      </w:r>
      <w:r w:rsidR="00CD5714" w:rsidRPr="00CD5714">
        <w:rPr>
          <w:rFonts w:ascii="Arial" w:hAnsi="Arial" w:cs="Arial"/>
          <w:spacing w:val="-4"/>
          <w:lang w:val="en-GB"/>
        </w:rPr>
        <w:t>3</w:t>
      </w:r>
      <w:r w:rsidRPr="002D2F67">
        <w:rPr>
          <w:rFonts w:ascii="Arial" w:hAnsi="Arial" w:cs="Arial"/>
          <w:spacing w:val="-4"/>
        </w:rPr>
        <w:t xml:space="preserve"> years. In case that the Company does not resell the repurchased shares within the share resell period, the Company must reduce the paid-up capital by written-off remaining repurchased shares.</w:t>
      </w:r>
    </w:p>
    <w:p w14:paraId="4035CF1E" w14:textId="77777777" w:rsidR="006A19D3" w:rsidRPr="002D2F67" w:rsidRDefault="006A19D3" w:rsidP="005611FE">
      <w:pPr>
        <w:pStyle w:val="BodyTextIndent2"/>
        <w:tabs>
          <w:tab w:val="left" w:pos="1524"/>
        </w:tabs>
        <w:spacing w:line="240" w:lineRule="auto"/>
        <w:ind w:left="0"/>
        <w:rPr>
          <w:rFonts w:ascii="Arial" w:hAnsi="Arial" w:cs="Arial"/>
          <w:spacing w:val="-4"/>
        </w:rPr>
      </w:pPr>
    </w:p>
    <w:p w14:paraId="14864836" w14:textId="061C2748" w:rsidR="00513F80" w:rsidRPr="002D2F67" w:rsidRDefault="00BD12BD" w:rsidP="005611FE">
      <w:pPr>
        <w:pStyle w:val="BodyTextIndent2"/>
        <w:tabs>
          <w:tab w:val="left" w:pos="1524"/>
        </w:tabs>
        <w:spacing w:line="240" w:lineRule="auto"/>
        <w:ind w:left="0"/>
        <w:rPr>
          <w:rFonts w:ascii="Arial" w:hAnsi="Arial" w:cs="Arial"/>
          <w:spacing w:val="-2"/>
        </w:rPr>
      </w:pPr>
      <w:r w:rsidRPr="002D2F67">
        <w:rPr>
          <w:rFonts w:ascii="Arial" w:hAnsi="Arial" w:cs="Arial"/>
          <w:spacing w:val="-2"/>
        </w:rPr>
        <w:t xml:space="preserve">At the Board of Directors’ meeting on </w:t>
      </w:r>
      <w:r w:rsidR="00CD5714" w:rsidRPr="00CD5714">
        <w:rPr>
          <w:rFonts w:ascii="Arial" w:hAnsi="Arial" w:cs="Arial"/>
          <w:spacing w:val="-2"/>
          <w:lang w:val="en-GB"/>
        </w:rPr>
        <w:t>25</w:t>
      </w:r>
      <w:r w:rsidRPr="002D2F67">
        <w:rPr>
          <w:rFonts w:ascii="Arial" w:hAnsi="Arial" w:cs="Arial"/>
          <w:spacing w:val="-2"/>
        </w:rPr>
        <w:t xml:space="preserve"> November </w:t>
      </w:r>
      <w:r w:rsidR="00CD5714" w:rsidRPr="00CD5714">
        <w:rPr>
          <w:rFonts w:ascii="Arial" w:hAnsi="Arial" w:cs="Arial"/>
          <w:spacing w:val="-2"/>
          <w:lang w:val="en-GB"/>
        </w:rPr>
        <w:t>2024</w:t>
      </w:r>
      <w:r w:rsidRPr="002D2F67">
        <w:rPr>
          <w:rFonts w:ascii="Arial" w:hAnsi="Arial" w:cs="Arial"/>
          <w:spacing w:val="-2"/>
        </w:rPr>
        <w:t xml:space="preserve">, the Board of Directors approved </w:t>
      </w:r>
      <w:r w:rsidR="00A02334" w:rsidRPr="002D2F67">
        <w:rPr>
          <w:rFonts w:ascii="Arial" w:hAnsi="Arial" w:cs="Arial"/>
          <w:spacing w:val="-2"/>
        </w:rPr>
        <w:t>a</w:t>
      </w:r>
      <w:r w:rsidRPr="002D2F67">
        <w:rPr>
          <w:rFonts w:ascii="Arial" w:hAnsi="Arial" w:cs="Arial"/>
          <w:spacing w:val="-2"/>
        </w:rPr>
        <w:t xml:space="preserve"> </w:t>
      </w:r>
      <w:r w:rsidR="00A02334" w:rsidRPr="002D2F67">
        <w:rPr>
          <w:rFonts w:ascii="Arial" w:hAnsi="Arial" w:cs="Arial"/>
          <w:spacing w:val="-2"/>
        </w:rPr>
        <w:t>distribution</w:t>
      </w:r>
      <w:r w:rsidRPr="002D2F67">
        <w:rPr>
          <w:rFonts w:ascii="Arial" w:hAnsi="Arial" w:cs="Arial"/>
          <w:spacing w:val="-2"/>
        </w:rPr>
        <w:t xml:space="preserve"> of repurchased shares under the company's share repurchase program. The total number of repurchas</w:t>
      </w:r>
      <w:r w:rsidR="007E0CBF" w:rsidRPr="002D2F67">
        <w:rPr>
          <w:rFonts w:ascii="Arial" w:hAnsi="Arial" w:cs="Arial"/>
          <w:spacing w:val="-2"/>
        </w:rPr>
        <w:t xml:space="preserve">e </w:t>
      </w:r>
      <w:r w:rsidRPr="002D2F67">
        <w:rPr>
          <w:rFonts w:ascii="Arial" w:hAnsi="Arial" w:cs="Arial"/>
          <w:spacing w:val="-2"/>
        </w:rPr>
        <w:t>shares w</w:t>
      </w:r>
      <w:r w:rsidR="007E0CBF" w:rsidRPr="002D2F67">
        <w:rPr>
          <w:rFonts w:ascii="Arial" w:hAnsi="Arial" w:cs="Arial"/>
          <w:spacing w:val="-2"/>
        </w:rPr>
        <w:t>ere</w:t>
      </w:r>
      <w:r w:rsidRPr="002D2F67">
        <w:rPr>
          <w:rFonts w:ascii="Arial" w:hAnsi="Arial" w:cs="Arial"/>
          <w:spacing w:val="-2"/>
        </w:rPr>
        <w:t xml:space="preserve"> </w:t>
      </w:r>
      <w:r w:rsidR="00CD5714" w:rsidRPr="00CD5714">
        <w:rPr>
          <w:rFonts w:ascii="Arial" w:hAnsi="Arial" w:cs="Arial"/>
          <w:spacing w:val="-2"/>
          <w:lang w:val="en-GB"/>
        </w:rPr>
        <w:t>16</w:t>
      </w:r>
      <w:r w:rsidRPr="002D2F67">
        <w:rPr>
          <w:rFonts w:ascii="Arial" w:hAnsi="Arial" w:cs="Arial"/>
          <w:spacing w:val="-2"/>
        </w:rPr>
        <w:t>,</w:t>
      </w:r>
      <w:r w:rsidR="00CD5714" w:rsidRPr="00CD5714">
        <w:rPr>
          <w:rFonts w:ascii="Arial" w:hAnsi="Arial" w:cs="Arial"/>
          <w:spacing w:val="-2"/>
          <w:lang w:val="en-GB"/>
        </w:rPr>
        <w:t>658</w:t>
      </w:r>
      <w:r w:rsidRPr="002D2F67">
        <w:rPr>
          <w:rFonts w:ascii="Arial" w:hAnsi="Arial" w:cs="Arial"/>
          <w:spacing w:val="-2"/>
        </w:rPr>
        <w:t>,</w:t>
      </w:r>
      <w:r w:rsidR="00CD5714" w:rsidRPr="00CD5714">
        <w:rPr>
          <w:rFonts w:ascii="Arial" w:hAnsi="Arial" w:cs="Arial"/>
          <w:spacing w:val="-2"/>
          <w:lang w:val="en-GB"/>
        </w:rPr>
        <w:t>600</w:t>
      </w:r>
      <w:r w:rsidRPr="002D2F67">
        <w:rPr>
          <w:rFonts w:ascii="Arial" w:hAnsi="Arial" w:cs="Arial"/>
          <w:spacing w:val="-2"/>
        </w:rPr>
        <w:t xml:space="preserve"> shares, </w:t>
      </w:r>
      <w:r w:rsidR="00A02334" w:rsidRPr="002D2F67">
        <w:rPr>
          <w:rFonts w:ascii="Arial" w:hAnsi="Arial" w:cs="Arial"/>
          <w:spacing w:val="-2"/>
        </w:rPr>
        <w:t>which was equivalent to</w:t>
      </w:r>
      <w:r w:rsidRPr="002D2F67">
        <w:rPr>
          <w:rFonts w:ascii="Arial" w:hAnsi="Arial" w:cs="Arial"/>
          <w:spacing w:val="-2"/>
        </w:rPr>
        <w:t xml:space="preserve"> </w:t>
      </w:r>
      <w:r w:rsidR="00CD5714" w:rsidRPr="00CD5714">
        <w:rPr>
          <w:rFonts w:ascii="Arial" w:hAnsi="Arial" w:cs="Arial"/>
          <w:spacing w:val="-2"/>
          <w:lang w:val="en-GB"/>
        </w:rPr>
        <w:t>0</w:t>
      </w:r>
      <w:r w:rsidRPr="002D2F67">
        <w:rPr>
          <w:rFonts w:ascii="Arial" w:hAnsi="Arial" w:cs="Arial"/>
          <w:spacing w:val="-2"/>
        </w:rPr>
        <w:t>.</w:t>
      </w:r>
      <w:r w:rsidR="00CD5714" w:rsidRPr="00CD5714">
        <w:rPr>
          <w:rFonts w:ascii="Arial" w:hAnsi="Arial" w:cs="Arial"/>
          <w:spacing w:val="-2"/>
          <w:lang w:val="en-GB"/>
        </w:rPr>
        <w:t>45</w:t>
      </w:r>
      <w:r w:rsidRPr="002D2F67">
        <w:rPr>
          <w:rFonts w:ascii="Arial" w:hAnsi="Arial" w:cs="Arial"/>
          <w:spacing w:val="-2"/>
        </w:rPr>
        <w:t xml:space="preserve">% of the total </w:t>
      </w:r>
      <w:r w:rsidR="007E0CBF" w:rsidRPr="002D2F67">
        <w:rPr>
          <w:rFonts w:ascii="Arial" w:hAnsi="Arial" w:cs="Arial"/>
          <w:spacing w:val="-2"/>
        </w:rPr>
        <w:t>paid-up</w:t>
      </w:r>
      <w:r w:rsidRPr="002D2F67">
        <w:rPr>
          <w:rFonts w:ascii="Arial" w:hAnsi="Arial" w:cs="Arial"/>
          <w:spacing w:val="-2"/>
        </w:rPr>
        <w:t xml:space="preserve"> shares. The period for the </w:t>
      </w:r>
      <w:r w:rsidR="004A5877" w:rsidRPr="002D2F67">
        <w:rPr>
          <w:rFonts w:ascii="Arial" w:hAnsi="Arial" w:cs="Arial"/>
          <w:spacing w:val="-2"/>
        </w:rPr>
        <w:t>selling</w:t>
      </w:r>
      <w:r w:rsidR="007E0CBF" w:rsidRPr="002D2F67">
        <w:rPr>
          <w:rFonts w:ascii="Arial" w:hAnsi="Arial" w:cs="Arial"/>
          <w:spacing w:val="-2"/>
        </w:rPr>
        <w:t xml:space="preserve"> of </w:t>
      </w:r>
      <w:r w:rsidRPr="002D2F67">
        <w:rPr>
          <w:rFonts w:ascii="Arial" w:hAnsi="Arial" w:cs="Arial"/>
          <w:spacing w:val="-2"/>
        </w:rPr>
        <w:t xml:space="preserve">repurchased shares was set from </w:t>
      </w:r>
      <w:r w:rsidR="00CD5714" w:rsidRPr="00CD5714">
        <w:rPr>
          <w:rFonts w:ascii="Arial" w:hAnsi="Arial" w:cs="Arial"/>
          <w:spacing w:val="-2"/>
          <w:lang w:val="en-GB"/>
        </w:rPr>
        <w:t>29</w:t>
      </w:r>
      <w:r w:rsidRPr="002D2F67">
        <w:rPr>
          <w:rFonts w:ascii="Arial" w:hAnsi="Arial" w:cs="Arial"/>
          <w:spacing w:val="-2"/>
        </w:rPr>
        <w:t xml:space="preserve"> November </w:t>
      </w:r>
      <w:r w:rsidR="00CD5714" w:rsidRPr="00CD5714">
        <w:rPr>
          <w:rFonts w:ascii="Arial" w:hAnsi="Arial" w:cs="Arial"/>
          <w:spacing w:val="-2"/>
          <w:lang w:val="en-GB"/>
        </w:rPr>
        <w:t>2024</w:t>
      </w:r>
      <w:r w:rsidRPr="002D2F67">
        <w:rPr>
          <w:rFonts w:ascii="Arial" w:hAnsi="Arial" w:cs="Arial"/>
          <w:spacing w:val="-2"/>
        </w:rPr>
        <w:t xml:space="preserve"> to </w:t>
      </w:r>
      <w:r w:rsidR="00CD5714" w:rsidRPr="00CD5714">
        <w:rPr>
          <w:rFonts w:ascii="Arial" w:hAnsi="Arial" w:cs="Arial"/>
          <w:spacing w:val="-2"/>
          <w:lang w:val="en-GB"/>
        </w:rPr>
        <w:t>6</w:t>
      </w:r>
      <w:r w:rsidRPr="002D2F67">
        <w:rPr>
          <w:rFonts w:ascii="Arial" w:hAnsi="Arial" w:cs="Arial"/>
          <w:spacing w:val="-2"/>
        </w:rPr>
        <w:t xml:space="preserve"> December </w:t>
      </w:r>
      <w:r w:rsidR="00CD5714" w:rsidRPr="00CD5714">
        <w:rPr>
          <w:rFonts w:ascii="Arial" w:hAnsi="Arial" w:cs="Arial"/>
          <w:spacing w:val="-2"/>
          <w:lang w:val="en-GB"/>
        </w:rPr>
        <w:t>2024</w:t>
      </w:r>
      <w:r w:rsidRPr="002D2F67">
        <w:rPr>
          <w:rFonts w:ascii="Arial" w:hAnsi="Arial" w:cs="Arial"/>
          <w:spacing w:val="-2"/>
        </w:rPr>
        <w:t xml:space="preserve">. However, the </w:t>
      </w:r>
      <w:r w:rsidR="00A02334" w:rsidRPr="002D2F67">
        <w:rPr>
          <w:rFonts w:ascii="Arial" w:hAnsi="Arial" w:cs="Arial"/>
          <w:spacing w:val="-2"/>
        </w:rPr>
        <w:t>C</w:t>
      </w:r>
      <w:r w:rsidRPr="002D2F67">
        <w:rPr>
          <w:rFonts w:ascii="Arial" w:hAnsi="Arial" w:cs="Arial"/>
          <w:spacing w:val="-2"/>
        </w:rPr>
        <w:t xml:space="preserve">ompany was unable to sell the repurchased shares and thus needed to </w:t>
      </w:r>
      <w:r w:rsidR="007E0CBF" w:rsidRPr="002D2F67">
        <w:rPr>
          <w:rFonts w:ascii="Arial" w:hAnsi="Arial" w:cs="Arial"/>
          <w:spacing w:val="-2"/>
        </w:rPr>
        <w:t>decrease</w:t>
      </w:r>
      <w:r w:rsidRPr="002D2F67">
        <w:rPr>
          <w:rFonts w:ascii="Arial" w:hAnsi="Arial" w:cs="Arial"/>
          <w:spacing w:val="-2"/>
        </w:rPr>
        <w:t xml:space="preserve"> the paid-up capital by </w:t>
      </w:r>
      <w:r w:rsidR="007E0CBF" w:rsidRPr="002D2F67">
        <w:rPr>
          <w:rFonts w:ascii="Arial" w:hAnsi="Arial" w:cs="Arial"/>
          <w:spacing w:val="-2"/>
        </w:rPr>
        <w:t>written-off</w:t>
      </w:r>
      <w:r w:rsidRPr="002D2F67">
        <w:rPr>
          <w:rFonts w:ascii="Arial" w:hAnsi="Arial" w:cs="Arial"/>
          <w:spacing w:val="-2"/>
        </w:rPr>
        <w:t xml:space="preserve"> the repurchased shares that could not be </w:t>
      </w:r>
      <w:r w:rsidR="002F3A2F" w:rsidRPr="002D2F67">
        <w:rPr>
          <w:rFonts w:ascii="Arial" w:hAnsi="Arial" w:cs="Arial"/>
          <w:spacing w:val="-2"/>
        </w:rPr>
        <w:t>resell</w:t>
      </w:r>
      <w:r w:rsidRPr="002D2F67">
        <w:rPr>
          <w:rFonts w:ascii="Arial" w:hAnsi="Arial" w:cs="Arial"/>
          <w:spacing w:val="-2"/>
        </w:rPr>
        <w:t>.</w:t>
      </w:r>
    </w:p>
    <w:p w14:paraId="64836351" w14:textId="1CD06DC3" w:rsidR="00A93B67" w:rsidRPr="002D2F67" w:rsidRDefault="00AB5B46" w:rsidP="005611FE">
      <w:pPr>
        <w:pStyle w:val="BodyTextIndent2"/>
        <w:spacing w:line="240" w:lineRule="auto"/>
        <w:ind w:left="0"/>
        <w:jc w:val="left"/>
        <w:rPr>
          <w:rFonts w:ascii="Arial" w:hAnsi="Arial" w:cs="Arial"/>
          <w:spacing w:val="-2"/>
        </w:rPr>
      </w:pPr>
      <w:r w:rsidRPr="002D2F67">
        <w:rPr>
          <w:rFonts w:ascii="Arial" w:hAnsi="Arial" w:cs="Arial"/>
          <w:spacing w:val="-2"/>
        </w:rPr>
        <w:br w:type="page"/>
      </w:r>
    </w:p>
    <w:p w14:paraId="60E228C9" w14:textId="614AFC98" w:rsidR="00B0675E"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33</w:t>
      </w:r>
      <w:r w:rsidR="00B0675E" w:rsidRPr="002D2F67">
        <w:rPr>
          <w:rFonts w:ascii="Arial" w:hAnsi="Arial" w:cs="Arial"/>
          <w:b/>
          <w:bCs/>
          <w:color w:val="000000"/>
          <w:kern w:val="26"/>
          <w:position w:val="-24"/>
          <w:sz w:val="20"/>
          <w:szCs w:val="20"/>
          <w:cs/>
        </w:rPr>
        <w:tab/>
      </w:r>
      <w:r w:rsidR="00B0675E" w:rsidRPr="002D2F67">
        <w:rPr>
          <w:rFonts w:ascii="Arial" w:hAnsi="Arial" w:cs="Arial"/>
          <w:b/>
          <w:bCs/>
          <w:color w:val="000000"/>
          <w:kern w:val="26"/>
          <w:position w:val="-24"/>
          <w:sz w:val="20"/>
          <w:szCs w:val="20"/>
        </w:rPr>
        <w:t xml:space="preserve">Legal </w:t>
      </w:r>
      <w:r w:rsidR="007A3642" w:rsidRPr="002D2F67">
        <w:rPr>
          <w:rFonts w:ascii="Arial" w:hAnsi="Arial" w:cs="Arial"/>
          <w:b/>
          <w:bCs/>
          <w:color w:val="000000"/>
          <w:kern w:val="26"/>
          <w:position w:val="-24"/>
          <w:sz w:val="20"/>
          <w:szCs w:val="20"/>
        </w:rPr>
        <w:t>reserves</w:t>
      </w:r>
    </w:p>
    <w:p w14:paraId="3BAEE219" w14:textId="77777777" w:rsidR="001E6C66" w:rsidRPr="002D2F67" w:rsidRDefault="001E6C66" w:rsidP="005611FE">
      <w:pPr>
        <w:pStyle w:val="BodyTextIndent2"/>
        <w:tabs>
          <w:tab w:val="left" w:pos="1524"/>
        </w:tabs>
        <w:spacing w:line="240" w:lineRule="auto"/>
        <w:ind w:left="0"/>
        <w:rPr>
          <w:rFonts w:ascii="Arial" w:hAnsi="Arial" w:cs="Arial"/>
          <w:spacing w:val="-2"/>
        </w:rPr>
      </w:pPr>
    </w:p>
    <w:p w14:paraId="0F7D6412" w14:textId="25730B44" w:rsidR="001E6C66" w:rsidRPr="002D2F67" w:rsidRDefault="001E6C66" w:rsidP="00EB6F43">
      <w:pPr>
        <w:pStyle w:val="BodyTextIndent2"/>
        <w:tabs>
          <w:tab w:val="left" w:pos="1524"/>
        </w:tabs>
        <w:spacing w:line="240" w:lineRule="auto"/>
        <w:ind w:left="0"/>
        <w:rPr>
          <w:rFonts w:ascii="Arial" w:hAnsi="Arial" w:cs="Arial"/>
          <w:spacing w:val="-2"/>
        </w:rPr>
      </w:pPr>
      <w:r w:rsidRPr="002D2F67">
        <w:rPr>
          <w:rFonts w:ascii="Arial" w:hAnsi="Arial" w:cs="Arial"/>
          <w:spacing w:val="-2"/>
        </w:rPr>
        <w:t xml:space="preserve">Under the Public Companies Act B.E. </w:t>
      </w:r>
      <w:r w:rsidR="00CD5714" w:rsidRPr="00CD5714">
        <w:rPr>
          <w:rFonts w:ascii="Arial" w:hAnsi="Arial" w:cs="Arial"/>
          <w:spacing w:val="-2"/>
          <w:lang w:val="en-GB"/>
        </w:rPr>
        <w:t>2535</w:t>
      </w:r>
      <w:r w:rsidRPr="002D2F67">
        <w:rPr>
          <w:rFonts w:ascii="Arial" w:hAnsi="Arial" w:cs="Arial"/>
          <w:spacing w:val="-2"/>
        </w:rPr>
        <w:t xml:space="preserve">, the Company is required to set aside as a legal reserve at least </w:t>
      </w:r>
      <w:r w:rsidR="00CD5714" w:rsidRPr="00CD5714">
        <w:rPr>
          <w:rFonts w:ascii="Arial" w:hAnsi="Arial" w:cs="Arial"/>
          <w:spacing w:val="-2"/>
          <w:lang w:val="en-GB"/>
        </w:rPr>
        <w:t>5</w:t>
      </w:r>
      <w:r w:rsidRPr="002D2F67">
        <w:rPr>
          <w:rFonts w:ascii="Arial" w:hAnsi="Arial" w:cs="Arial"/>
          <w:spacing w:val="-2"/>
        </w:rPr>
        <w:t xml:space="preserve">% of its net profit after accumulated deficit brought forward (if any) until the reserve is not less than </w:t>
      </w:r>
      <w:r w:rsidR="00CD5714" w:rsidRPr="00CD5714">
        <w:rPr>
          <w:rFonts w:ascii="Arial" w:hAnsi="Arial" w:cs="Arial"/>
          <w:spacing w:val="-2"/>
          <w:lang w:val="en-GB"/>
        </w:rPr>
        <w:t>10</w:t>
      </w:r>
      <w:r w:rsidRPr="002D2F67">
        <w:rPr>
          <w:rFonts w:ascii="Arial" w:hAnsi="Arial" w:cs="Arial"/>
          <w:spacing w:val="-2"/>
        </w:rPr>
        <w:t>% of the registered capital. The legal reserve is non-distributable.</w:t>
      </w:r>
    </w:p>
    <w:p w14:paraId="11CFCC01" w14:textId="77777777" w:rsidR="00EB6F43" w:rsidRPr="002D2F67" w:rsidRDefault="00EB6F43" w:rsidP="00EB6F43">
      <w:pPr>
        <w:pStyle w:val="BodyTextIndent2"/>
        <w:tabs>
          <w:tab w:val="left" w:pos="1524"/>
        </w:tabs>
        <w:spacing w:line="240" w:lineRule="auto"/>
        <w:ind w:left="0"/>
        <w:rPr>
          <w:rFonts w:ascii="Arial" w:hAnsi="Arial" w:cs="Arial"/>
          <w:spacing w:val="-2"/>
        </w:rPr>
      </w:pPr>
    </w:p>
    <w:p w14:paraId="57ECDAA7" w14:textId="77777777" w:rsidR="001E6C66" w:rsidRPr="002D2F67" w:rsidRDefault="001E6C66" w:rsidP="005611FE">
      <w:pPr>
        <w:pStyle w:val="BodyTextIndent2"/>
        <w:spacing w:line="240" w:lineRule="auto"/>
        <w:ind w:left="0"/>
        <w:jc w:val="left"/>
        <w:rPr>
          <w:rFonts w:ascii="Arial" w:hAnsi="Arial" w:cs="Arial"/>
          <w:spacing w:val="-2"/>
          <w:sz w:val="18"/>
          <w:szCs w:val="18"/>
        </w:rPr>
      </w:pPr>
    </w:p>
    <w:p w14:paraId="348D131C" w14:textId="65EA47A0" w:rsidR="00B0675E"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34</w:t>
      </w:r>
      <w:r w:rsidR="00B0675E" w:rsidRPr="002D2F67">
        <w:rPr>
          <w:rFonts w:ascii="Arial" w:hAnsi="Arial" w:cs="Arial"/>
          <w:b/>
          <w:bCs/>
          <w:color w:val="000000"/>
          <w:kern w:val="26"/>
          <w:position w:val="-24"/>
          <w:sz w:val="20"/>
          <w:szCs w:val="20"/>
          <w:cs/>
        </w:rPr>
        <w:tab/>
      </w:r>
      <w:r w:rsidR="00B0675E" w:rsidRPr="002D2F67">
        <w:rPr>
          <w:rFonts w:ascii="Arial" w:hAnsi="Arial" w:cs="Arial"/>
          <w:b/>
          <w:bCs/>
          <w:color w:val="000000"/>
          <w:kern w:val="26"/>
          <w:position w:val="-24"/>
          <w:sz w:val="20"/>
          <w:szCs w:val="20"/>
        </w:rPr>
        <w:t>Revenue from subsidy for adders</w:t>
      </w:r>
    </w:p>
    <w:p w14:paraId="2322D5DE" w14:textId="77777777" w:rsidR="001E6C66" w:rsidRPr="002D2F67" w:rsidRDefault="001E6C66" w:rsidP="005611FE">
      <w:pPr>
        <w:pStyle w:val="BodyTextIndent2"/>
        <w:tabs>
          <w:tab w:val="left" w:pos="1524"/>
        </w:tabs>
        <w:spacing w:line="240" w:lineRule="auto"/>
        <w:ind w:left="0"/>
        <w:rPr>
          <w:rFonts w:ascii="Arial" w:hAnsi="Arial" w:cs="Arial"/>
          <w:spacing w:val="-2"/>
        </w:rPr>
      </w:pPr>
    </w:p>
    <w:p w14:paraId="7C2972B6" w14:textId="0C354658" w:rsidR="001E6C66" w:rsidRPr="002D2F67" w:rsidRDefault="001E6C66" w:rsidP="005611FE">
      <w:pPr>
        <w:jc w:val="thaiDistribute"/>
        <w:rPr>
          <w:rFonts w:ascii="Arial" w:hAnsi="Arial" w:cs="Arial"/>
          <w:color w:val="000000"/>
          <w:spacing w:val="-2"/>
          <w:sz w:val="20"/>
          <w:szCs w:val="20"/>
        </w:rPr>
      </w:pPr>
      <w:r w:rsidRPr="002D2F67">
        <w:rPr>
          <w:rFonts w:ascii="Arial" w:hAnsi="Arial" w:cs="Arial"/>
          <w:color w:val="000000"/>
          <w:spacing w:val="-4"/>
          <w:sz w:val="20"/>
          <w:szCs w:val="20"/>
        </w:rPr>
        <w:t>Revenue from subsidy for adders represented income received from</w:t>
      </w:r>
      <w:r w:rsidR="0091612C" w:rsidRPr="002D2F67">
        <w:rPr>
          <w:rFonts w:ascii="Arial" w:hAnsi="Arial" w:cs="Arial"/>
          <w:color w:val="000000"/>
          <w:spacing w:val="-4"/>
          <w:sz w:val="20"/>
          <w:szCs w:val="20"/>
        </w:rPr>
        <w:t xml:space="preserve"> </w:t>
      </w:r>
      <w:r w:rsidRPr="002D2F67">
        <w:rPr>
          <w:rFonts w:ascii="Arial" w:hAnsi="Arial" w:cs="Arial"/>
          <w:color w:val="000000"/>
          <w:spacing w:val="-4"/>
          <w:sz w:val="20"/>
          <w:szCs w:val="20"/>
        </w:rPr>
        <w:t>Electricity Generating Authority of Thailand</w:t>
      </w:r>
      <w:r w:rsidRPr="002D2F67">
        <w:rPr>
          <w:rFonts w:ascii="Arial" w:hAnsi="Arial" w:cs="Arial"/>
          <w:color w:val="000000"/>
          <w:spacing w:val="-2"/>
          <w:sz w:val="20"/>
          <w:szCs w:val="20"/>
        </w:rPr>
        <w:t xml:space="preserve"> from sales of solar electricity and wind power at Baht </w:t>
      </w:r>
      <w:r w:rsidR="00CD5714" w:rsidRPr="00CD5714">
        <w:rPr>
          <w:rFonts w:ascii="Arial" w:hAnsi="Arial" w:cs="Arial"/>
          <w:color w:val="000000"/>
          <w:spacing w:val="-2"/>
          <w:sz w:val="20"/>
          <w:szCs w:val="20"/>
          <w:lang w:val="en-GB"/>
        </w:rPr>
        <w:t>6</w:t>
      </w:r>
      <w:r w:rsidRPr="002D2F67">
        <w:rPr>
          <w:rFonts w:ascii="Arial" w:hAnsi="Arial" w:cs="Arial"/>
          <w:color w:val="000000"/>
          <w:spacing w:val="-2"/>
          <w:sz w:val="20"/>
          <w:szCs w:val="20"/>
        </w:rPr>
        <w:t>.</w:t>
      </w:r>
      <w:r w:rsidR="00CD5714" w:rsidRPr="00CD5714">
        <w:rPr>
          <w:rFonts w:ascii="Arial" w:hAnsi="Arial" w:cs="Arial"/>
          <w:color w:val="000000"/>
          <w:spacing w:val="-2"/>
          <w:sz w:val="20"/>
          <w:szCs w:val="20"/>
          <w:lang w:val="en-GB"/>
        </w:rPr>
        <w:t>5</w:t>
      </w:r>
      <w:r w:rsidRPr="002D2F67">
        <w:rPr>
          <w:rFonts w:ascii="Arial" w:hAnsi="Arial" w:cs="Arial"/>
          <w:color w:val="000000"/>
          <w:spacing w:val="-2"/>
          <w:sz w:val="20"/>
          <w:szCs w:val="20"/>
        </w:rPr>
        <w:t xml:space="preserve"> per kilowatt-hour and Baht </w:t>
      </w:r>
      <w:r w:rsidR="00CD5714" w:rsidRPr="00CD5714">
        <w:rPr>
          <w:rFonts w:ascii="Arial" w:hAnsi="Arial" w:cs="Arial"/>
          <w:color w:val="000000"/>
          <w:spacing w:val="-2"/>
          <w:sz w:val="20"/>
          <w:szCs w:val="20"/>
          <w:lang w:val="en-GB"/>
        </w:rPr>
        <w:t>3</w:t>
      </w:r>
      <w:r w:rsidRPr="002D2F67">
        <w:rPr>
          <w:rFonts w:ascii="Arial" w:hAnsi="Arial" w:cs="Arial"/>
          <w:color w:val="000000"/>
          <w:spacing w:val="-2"/>
          <w:sz w:val="20"/>
          <w:szCs w:val="20"/>
        </w:rPr>
        <w:t>.</w:t>
      </w:r>
      <w:r w:rsidR="00CD5714" w:rsidRPr="00CD5714">
        <w:rPr>
          <w:rFonts w:ascii="Arial" w:hAnsi="Arial" w:cs="Arial"/>
          <w:color w:val="000000"/>
          <w:spacing w:val="-2"/>
          <w:sz w:val="20"/>
          <w:szCs w:val="20"/>
          <w:lang w:val="en-GB"/>
        </w:rPr>
        <w:t>5</w:t>
      </w:r>
      <w:r w:rsidRPr="002D2F67">
        <w:rPr>
          <w:rFonts w:ascii="Arial" w:hAnsi="Arial" w:cs="Arial"/>
          <w:color w:val="000000"/>
          <w:spacing w:val="-2"/>
          <w:sz w:val="20"/>
          <w:szCs w:val="20"/>
        </w:rPr>
        <w:t xml:space="preserve"> per kilowatt-hour, respective</w:t>
      </w:r>
      <w:r w:rsidR="004269C8" w:rsidRPr="002D2F67">
        <w:rPr>
          <w:rFonts w:ascii="Arial" w:hAnsi="Arial" w:cs="Arial"/>
          <w:color w:val="000000"/>
          <w:spacing w:val="-2"/>
          <w:sz w:val="20"/>
          <w:szCs w:val="20"/>
        </w:rPr>
        <w:t>ly</w:t>
      </w:r>
      <w:r w:rsidRPr="002D2F67">
        <w:rPr>
          <w:rFonts w:ascii="Arial" w:hAnsi="Arial" w:cs="Arial"/>
          <w:color w:val="000000"/>
          <w:spacing w:val="-2"/>
          <w:sz w:val="20"/>
          <w:szCs w:val="20"/>
        </w:rPr>
        <w:t xml:space="preserve"> for the period of </w:t>
      </w:r>
      <w:r w:rsidR="00CD5714" w:rsidRPr="00CD5714">
        <w:rPr>
          <w:rFonts w:ascii="Arial" w:hAnsi="Arial" w:cs="Arial"/>
          <w:color w:val="000000"/>
          <w:spacing w:val="-2"/>
          <w:sz w:val="20"/>
          <w:szCs w:val="20"/>
          <w:lang w:val="en-GB"/>
        </w:rPr>
        <w:t>10</w:t>
      </w:r>
      <w:r w:rsidRPr="002D2F67">
        <w:rPr>
          <w:rFonts w:ascii="Arial" w:hAnsi="Arial" w:cs="Arial"/>
          <w:color w:val="000000"/>
          <w:spacing w:val="-2"/>
          <w:sz w:val="20"/>
          <w:szCs w:val="20"/>
        </w:rPr>
        <w:t xml:space="preserve"> years since commercial operation date. The Group recognised such adders as revenue at whole amount according to the actual electricity production.</w:t>
      </w:r>
    </w:p>
    <w:p w14:paraId="132435F5" w14:textId="197C20E3" w:rsidR="001E6C66" w:rsidRPr="002D2F67" w:rsidRDefault="001E6C66" w:rsidP="005611FE">
      <w:pPr>
        <w:jc w:val="thaiDistribute"/>
        <w:rPr>
          <w:rFonts w:ascii="Arial" w:hAnsi="Arial" w:cs="Arial"/>
          <w:color w:val="000000"/>
          <w:spacing w:val="-2"/>
          <w:sz w:val="20"/>
          <w:szCs w:val="20"/>
        </w:rPr>
      </w:pPr>
    </w:p>
    <w:p w14:paraId="73BE43CF" w14:textId="4027B6BE" w:rsidR="00B0675E" w:rsidRPr="002D2F67" w:rsidRDefault="00B0675E" w:rsidP="005611FE">
      <w:pPr>
        <w:pStyle w:val="BodyTextIndent2"/>
        <w:spacing w:line="240" w:lineRule="auto"/>
        <w:ind w:left="0"/>
        <w:jc w:val="left"/>
        <w:rPr>
          <w:rFonts w:ascii="Arial" w:hAnsi="Arial" w:cs="Arial"/>
          <w:spacing w:val="-2"/>
        </w:rPr>
      </w:pPr>
    </w:p>
    <w:p w14:paraId="653C5F9F" w14:textId="54E299F1" w:rsidR="00B0675E"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35</w:t>
      </w:r>
      <w:r w:rsidR="00B0675E" w:rsidRPr="002D2F67">
        <w:rPr>
          <w:rFonts w:ascii="Arial" w:hAnsi="Arial" w:cs="Arial"/>
          <w:b/>
          <w:bCs/>
          <w:color w:val="000000"/>
          <w:kern w:val="26"/>
          <w:position w:val="-24"/>
          <w:sz w:val="20"/>
          <w:szCs w:val="20"/>
          <w:cs/>
        </w:rPr>
        <w:tab/>
      </w:r>
      <w:r w:rsidR="00B0675E" w:rsidRPr="002D2F67">
        <w:rPr>
          <w:rFonts w:ascii="Arial" w:hAnsi="Arial" w:cs="Arial"/>
          <w:b/>
          <w:bCs/>
          <w:color w:val="000000"/>
          <w:kern w:val="26"/>
          <w:position w:val="-24"/>
          <w:sz w:val="20"/>
          <w:szCs w:val="20"/>
        </w:rPr>
        <w:t>Other income</w:t>
      </w:r>
    </w:p>
    <w:p w14:paraId="582D47AD" w14:textId="77777777" w:rsidR="001E6C66" w:rsidRPr="002D2F67" w:rsidRDefault="001E6C66" w:rsidP="005611FE">
      <w:pPr>
        <w:pStyle w:val="BodyTextIndent2"/>
        <w:tabs>
          <w:tab w:val="left" w:pos="1524"/>
        </w:tabs>
        <w:spacing w:line="240" w:lineRule="auto"/>
        <w:ind w:left="0"/>
        <w:rPr>
          <w:rFonts w:ascii="Arial" w:hAnsi="Arial" w:cs="Arial"/>
          <w:spacing w:val="-2"/>
        </w:rPr>
      </w:pPr>
    </w:p>
    <w:tbl>
      <w:tblPr>
        <w:tblW w:w="9558" w:type="dxa"/>
        <w:tblLayout w:type="fixed"/>
        <w:tblLook w:val="0000" w:firstRow="0" w:lastRow="0" w:firstColumn="0" w:lastColumn="0" w:noHBand="0" w:noVBand="0"/>
      </w:tblPr>
      <w:tblGrid>
        <w:gridCol w:w="3798"/>
        <w:gridCol w:w="1440"/>
        <w:gridCol w:w="1440"/>
        <w:gridCol w:w="1440"/>
        <w:gridCol w:w="1440"/>
      </w:tblGrid>
      <w:tr w:rsidR="001E6C66" w:rsidRPr="002D2F67" w14:paraId="345E454A" w14:textId="77777777" w:rsidTr="008255E8">
        <w:trPr>
          <w:cantSplit/>
        </w:trPr>
        <w:tc>
          <w:tcPr>
            <w:tcW w:w="3798" w:type="dxa"/>
            <w:shd w:val="clear" w:color="auto" w:fill="auto"/>
          </w:tcPr>
          <w:p w14:paraId="7D4F66D8" w14:textId="77777777" w:rsidR="001E6C66" w:rsidRPr="002D2F67" w:rsidRDefault="001E6C66" w:rsidP="005611FE">
            <w:pPr>
              <w:ind w:left="29" w:right="-109"/>
              <w:rPr>
                <w:rFonts w:ascii="Arial" w:hAnsi="Arial" w:cs="Arial"/>
                <w:b/>
                <w:bCs/>
                <w:color w:val="000000"/>
                <w:spacing w:val="-4"/>
                <w:sz w:val="20"/>
                <w:szCs w:val="20"/>
              </w:rPr>
            </w:pPr>
          </w:p>
        </w:tc>
        <w:tc>
          <w:tcPr>
            <w:tcW w:w="2880" w:type="dxa"/>
            <w:gridSpan w:val="2"/>
            <w:tcBorders>
              <w:bottom w:val="single" w:sz="4" w:space="0" w:color="auto"/>
            </w:tcBorders>
            <w:shd w:val="clear" w:color="auto" w:fill="auto"/>
          </w:tcPr>
          <w:p w14:paraId="6A295A63"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4F7D73C9"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2880" w:type="dxa"/>
            <w:gridSpan w:val="2"/>
            <w:tcBorders>
              <w:bottom w:val="single" w:sz="4" w:space="0" w:color="auto"/>
            </w:tcBorders>
            <w:shd w:val="clear" w:color="auto" w:fill="auto"/>
          </w:tcPr>
          <w:p w14:paraId="1ACFCE79"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Separate </w:t>
            </w:r>
          </w:p>
          <w:p w14:paraId="3130B360"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F9711B" w:rsidRPr="002D2F67" w14:paraId="7AD3185B" w14:textId="77777777" w:rsidTr="005611FE">
        <w:tc>
          <w:tcPr>
            <w:tcW w:w="3798" w:type="dxa"/>
            <w:shd w:val="clear" w:color="auto" w:fill="auto"/>
          </w:tcPr>
          <w:p w14:paraId="1F94F270" w14:textId="2C8D86D6" w:rsidR="00F9711B" w:rsidRPr="002D2F67" w:rsidRDefault="00F9711B" w:rsidP="005611FE">
            <w:pPr>
              <w:ind w:left="29" w:right="-109"/>
              <w:rPr>
                <w:rFonts w:ascii="Arial" w:hAnsi="Arial" w:cs="Arial"/>
                <w:color w:val="000000"/>
                <w:spacing w:val="-4"/>
                <w:sz w:val="20"/>
                <w:szCs w:val="20"/>
              </w:rPr>
            </w:pPr>
            <w:r w:rsidRPr="002D2F67">
              <w:rPr>
                <w:rFonts w:ascii="Arial" w:hAnsi="Arial" w:cs="Arial"/>
                <w:b/>
                <w:bCs/>
                <w:color w:val="000000"/>
                <w:spacing w:val="-4"/>
                <w:sz w:val="20"/>
                <w:szCs w:val="20"/>
              </w:rPr>
              <w:t xml:space="preserve">For the years ended </w:t>
            </w:r>
            <w:r w:rsidR="00CD5714" w:rsidRPr="00CD5714">
              <w:rPr>
                <w:rFonts w:ascii="Arial" w:hAnsi="Arial" w:cs="Arial"/>
                <w:b/>
                <w:bCs/>
                <w:color w:val="000000"/>
                <w:spacing w:val="-4"/>
                <w:sz w:val="20"/>
                <w:szCs w:val="20"/>
                <w:lang w:val="en-GB"/>
              </w:rPr>
              <w:t>31</w:t>
            </w:r>
            <w:r w:rsidRPr="002D2F67">
              <w:rPr>
                <w:rFonts w:ascii="Arial" w:hAnsi="Arial" w:cs="Arial"/>
                <w:b/>
                <w:bCs/>
                <w:color w:val="000000"/>
                <w:spacing w:val="-4"/>
                <w:sz w:val="20"/>
                <w:szCs w:val="20"/>
              </w:rPr>
              <w:t xml:space="preserve"> December</w:t>
            </w:r>
          </w:p>
        </w:tc>
        <w:tc>
          <w:tcPr>
            <w:tcW w:w="1440" w:type="dxa"/>
            <w:shd w:val="clear" w:color="auto" w:fill="auto"/>
          </w:tcPr>
          <w:p w14:paraId="30258243" w14:textId="646F0DD2" w:rsidR="00F9711B"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1440" w:type="dxa"/>
            <w:shd w:val="clear" w:color="auto" w:fill="auto"/>
          </w:tcPr>
          <w:p w14:paraId="2A031A6F" w14:textId="16AD7771" w:rsidR="00F9711B"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c>
          <w:tcPr>
            <w:tcW w:w="1440" w:type="dxa"/>
            <w:shd w:val="clear" w:color="auto" w:fill="auto"/>
          </w:tcPr>
          <w:p w14:paraId="5419E2D9" w14:textId="1D3533B8" w:rsidR="00F9711B"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1440" w:type="dxa"/>
            <w:shd w:val="clear" w:color="auto" w:fill="auto"/>
          </w:tcPr>
          <w:p w14:paraId="00208676" w14:textId="041DC8C9" w:rsidR="00F9711B"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1E6C66" w:rsidRPr="002D2F67" w14:paraId="365DCF95" w14:textId="77777777" w:rsidTr="005611FE">
        <w:tc>
          <w:tcPr>
            <w:tcW w:w="3798" w:type="dxa"/>
            <w:shd w:val="clear" w:color="auto" w:fill="auto"/>
          </w:tcPr>
          <w:p w14:paraId="0F5A63CF" w14:textId="77777777" w:rsidR="001E6C66" w:rsidRPr="002D2F67" w:rsidRDefault="001E6C66" w:rsidP="005611FE">
            <w:pPr>
              <w:ind w:left="29" w:right="-109"/>
              <w:rPr>
                <w:rFonts w:ascii="Arial" w:hAnsi="Arial" w:cs="Arial"/>
                <w:color w:val="000000"/>
                <w:spacing w:val="-4"/>
                <w:sz w:val="20"/>
                <w:szCs w:val="20"/>
              </w:rPr>
            </w:pPr>
          </w:p>
        </w:tc>
        <w:tc>
          <w:tcPr>
            <w:tcW w:w="1440" w:type="dxa"/>
            <w:tcBorders>
              <w:bottom w:val="single" w:sz="4" w:space="0" w:color="auto"/>
            </w:tcBorders>
            <w:shd w:val="clear" w:color="auto" w:fill="auto"/>
          </w:tcPr>
          <w:p w14:paraId="19B3AABB" w14:textId="1FE68C40" w:rsidR="001E6C66" w:rsidRPr="002D2F67" w:rsidRDefault="001E6C66" w:rsidP="005611FE">
            <w:pPr>
              <w:ind w:right="-72"/>
              <w:jc w:val="right"/>
              <w:rPr>
                <w:rFonts w:ascii="Arial" w:hAnsi="Arial" w:cs="Arial"/>
                <w:b/>
                <w:bCs/>
                <w:color w:val="000000"/>
                <w:sz w:val="20"/>
                <w:szCs w:val="25"/>
              </w:rPr>
            </w:pPr>
            <w:r w:rsidRPr="002D2F67">
              <w:rPr>
                <w:rFonts w:ascii="Arial" w:hAnsi="Arial" w:cs="Arial"/>
                <w:b/>
                <w:bCs/>
                <w:color w:val="000000"/>
                <w:sz w:val="20"/>
                <w:szCs w:val="20"/>
              </w:rPr>
              <w:t>Baht</w:t>
            </w:r>
            <w:r w:rsidR="003416FC" w:rsidRPr="002D2F67">
              <w:rPr>
                <w:rFonts w:ascii="Arial" w:hAnsi="Arial" w:cs="Arial"/>
                <w:b/>
                <w:bCs/>
                <w:color w:val="000000"/>
                <w:sz w:val="20"/>
                <w:szCs w:val="25"/>
              </w:rPr>
              <w:t>’</w:t>
            </w:r>
            <w:r w:rsidR="00CD5714" w:rsidRPr="00CD5714">
              <w:rPr>
                <w:rFonts w:ascii="Arial" w:hAnsi="Arial" w:cs="Arial"/>
                <w:b/>
                <w:bCs/>
                <w:color w:val="000000"/>
                <w:sz w:val="20"/>
                <w:szCs w:val="25"/>
                <w:lang w:val="en-GB"/>
              </w:rPr>
              <w:t>000</w:t>
            </w:r>
          </w:p>
        </w:tc>
        <w:tc>
          <w:tcPr>
            <w:tcW w:w="1440" w:type="dxa"/>
            <w:tcBorders>
              <w:bottom w:val="single" w:sz="4" w:space="0" w:color="auto"/>
            </w:tcBorders>
            <w:shd w:val="clear" w:color="auto" w:fill="auto"/>
          </w:tcPr>
          <w:p w14:paraId="1CA99A0F" w14:textId="2F37674B" w:rsidR="001E6C66" w:rsidRPr="002D2F67" w:rsidRDefault="003416FC"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Pr="002D2F67">
              <w:rPr>
                <w:rFonts w:ascii="Arial" w:hAnsi="Arial" w:cs="Arial"/>
                <w:b/>
                <w:bCs/>
                <w:color w:val="000000"/>
                <w:sz w:val="20"/>
                <w:szCs w:val="25"/>
              </w:rPr>
              <w:t>’</w:t>
            </w:r>
            <w:r w:rsidR="00CD5714" w:rsidRPr="00CD5714">
              <w:rPr>
                <w:rFonts w:ascii="Arial" w:hAnsi="Arial" w:cs="Arial"/>
                <w:b/>
                <w:bCs/>
                <w:color w:val="000000"/>
                <w:sz w:val="20"/>
                <w:szCs w:val="25"/>
                <w:lang w:val="en-GB"/>
              </w:rPr>
              <w:t>000</w:t>
            </w:r>
          </w:p>
        </w:tc>
        <w:tc>
          <w:tcPr>
            <w:tcW w:w="1440" w:type="dxa"/>
            <w:tcBorders>
              <w:bottom w:val="single" w:sz="4" w:space="0" w:color="auto"/>
            </w:tcBorders>
            <w:shd w:val="clear" w:color="auto" w:fill="auto"/>
          </w:tcPr>
          <w:p w14:paraId="3187E7EC" w14:textId="7896247B" w:rsidR="001E6C66" w:rsidRPr="002D2F67" w:rsidRDefault="003416FC"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Pr="002D2F67">
              <w:rPr>
                <w:rFonts w:ascii="Arial" w:hAnsi="Arial" w:cs="Arial"/>
                <w:b/>
                <w:bCs/>
                <w:color w:val="000000"/>
                <w:sz w:val="20"/>
                <w:szCs w:val="25"/>
              </w:rPr>
              <w:t>’</w:t>
            </w:r>
            <w:r w:rsidR="00CD5714" w:rsidRPr="00CD5714">
              <w:rPr>
                <w:rFonts w:ascii="Arial" w:hAnsi="Arial" w:cs="Arial"/>
                <w:b/>
                <w:bCs/>
                <w:color w:val="000000"/>
                <w:sz w:val="20"/>
                <w:szCs w:val="25"/>
                <w:lang w:val="en-GB"/>
              </w:rPr>
              <w:t>000</w:t>
            </w:r>
          </w:p>
        </w:tc>
        <w:tc>
          <w:tcPr>
            <w:tcW w:w="1440" w:type="dxa"/>
            <w:tcBorders>
              <w:bottom w:val="single" w:sz="4" w:space="0" w:color="auto"/>
            </w:tcBorders>
            <w:shd w:val="clear" w:color="auto" w:fill="auto"/>
          </w:tcPr>
          <w:p w14:paraId="45D92499" w14:textId="64DFD7E3" w:rsidR="001E6C66" w:rsidRPr="002D2F67" w:rsidRDefault="003416FC"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Pr="002D2F67">
              <w:rPr>
                <w:rFonts w:ascii="Arial" w:hAnsi="Arial" w:cs="Arial"/>
                <w:b/>
                <w:bCs/>
                <w:color w:val="000000"/>
                <w:sz w:val="20"/>
                <w:szCs w:val="25"/>
              </w:rPr>
              <w:t>’</w:t>
            </w:r>
            <w:r w:rsidR="00CD5714" w:rsidRPr="00CD5714">
              <w:rPr>
                <w:rFonts w:ascii="Arial" w:hAnsi="Arial" w:cs="Arial"/>
                <w:b/>
                <w:bCs/>
                <w:color w:val="000000"/>
                <w:sz w:val="20"/>
                <w:szCs w:val="25"/>
                <w:lang w:val="en-GB"/>
              </w:rPr>
              <w:t>000</w:t>
            </w:r>
          </w:p>
        </w:tc>
      </w:tr>
      <w:tr w:rsidR="001E6C66" w:rsidRPr="002D2F67" w14:paraId="55929D63" w14:textId="77777777" w:rsidTr="005611FE">
        <w:tc>
          <w:tcPr>
            <w:tcW w:w="3798" w:type="dxa"/>
            <w:shd w:val="clear" w:color="auto" w:fill="auto"/>
          </w:tcPr>
          <w:p w14:paraId="47F16457" w14:textId="77777777" w:rsidR="001E6C66" w:rsidRPr="002D2F67" w:rsidRDefault="001E6C66" w:rsidP="005611FE">
            <w:pPr>
              <w:ind w:left="29" w:right="-109"/>
              <w:rPr>
                <w:rFonts w:ascii="Arial" w:hAnsi="Arial" w:cs="Arial"/>
                <w:color w:val="000000"/>
                <w:spacing w:val="-4"/>
                <w:sz w:val="20"/>
                <w:szCs w:val="20"/>
              </w:rPr>
            </w:pPr>
          </w:p>
        </w:tc>
        <w:tc>
          <w:tcPr>
            <w:tcW w:w="1440" w:type="dxa"/>
            <w:tcBorders>
              <w:top w:val="single" w:sz="4" w:space="0" w:color="auto"/>
            </w:tcBorders>
            <w:shd w:val="clear" w:color="auto" w:fill="auto"/>
          </w:tcPr>
          <w:p w14:paraId="12A335F3" w14:textId="77777777" w:rsidR="001E6C66" w:rsidRPr="002D2F67" w:rsidRDefault="001E6C66" w:rsidP="005611FE">
            <w:pPr>
              <w:tabs>
                <w:tab w:val="left" w:pos="709"/>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1A5964AD" w14:textId="77777777" w:rsidR="001E6C66" w:rsidRPr="002D2F67" w:rsidRDefault="001E6C66" w:rsidP="005611FE">
            <w:pPr>
              <w:tabs>
                <w:tab w:val="left" w:pos="709"/>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7277F991" w14:textId="77777777" w:rsidR="001E6C66" w:rsidRPr="002D2F67" w:rsidRDefault="001E6C66" w:rsidP="005611FE">
            <w:pPr>
              <w:tabs>
                <w:tab w:val="left" w:pos="709"/>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7FAE1CC5" w14:textId="77777777" w:rsidR="001E6C66" w:rsidRPr="002D2F67" w:rsidRDefault="001E6C66" w:rsidP="005611FE">
            <w:pPr>
              <w:tabs>
                <w:tab w:val="left" w:pos="709"/>
              </w:tabs>
              <w:ind w:right="-72"/>
              <w:jc w:val="right"/>
              <w:rPr>
                <w:rFonts w:ascii="Arial" w:hAnsi="Arial" w:cs="Arial"/>
                <w:color w:val="000000"/>
                <w:sz w:val="20"/>
                <w:szCs w:val="20"/>
              </w:rPr>
            </w:pPr>
          </w:p>
        </w:tc>
      </w:tr>
      <w:tr w:rsidR="00DF15D0" w:rsidRPr="002D2F67" w14:paraId="17E22DC9" w14:textId="77777777" w:rsidTr="005611FE">
        <w:tc>
          <w:tcPr>
            <w:tcW w:w="3798" w:type="dxa"/>
            <w:shd w:val="clear" w:color="auto" w:fill="auto"/>
          </w:tcPr>
          <w:p w14:paraId="74ACC77D" w14:textId="77777777" w:rsidR="00DF15D0" w:rsidRPr="002D2F67" w:rsidRDefault="00DF15D0" w:rsidP="005611FE">
            <w:pPr>
              <w:ind w:left="29" w:right="-109"/>
              <w:rPr>
                <w:rFonts w:ascii="Arial" w:hAnsi="Arial" w:cs="Arial"/>
                <w:color w:val="000000"/>
                <w:spacing w:val="-4"/>
                <w:sz w:val="20"/>
                <w:szCs w:val="20"/>
              </w:rPr>
            </w:pPr>
            <w:r w:rsidRPr="002D2F67">
              <w:rPr>
                <w:rFonts w:ascii="Arial" w:hAnsi="Arial" w:cs="Arial"/>
                <w:color w:val="000000"/>
                <w:spacing w:val="-4"/>
                <w:sz w:val="20"/>
                <w:szCs w:val="20"/>
              </w:rPr>
              <w:t>Land rental income</w:t>
            </w:r>
          </w:p>
        </w:tc>
        <w:tc>
          <w:tcPr>
            <w:tcW w:w="1440" w:type="dxa"/>
            <w:shd w:val="clear" w:color="auto" w:fill="auto"/>
            <w:vAlign w:val="bottom"/>
          </w:tcPr>
          <w:p w14:paraId="236DEF29" w14:textId="72DB5000"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6</w:t>
            </w:r>
            <w:r w:rsidR="00162E42" w:rsidRPr="002D2F67">
              <w:rPr>
                <w:rFonts w:ascii="Arial" w:hAnsi="Arial" w:cs="Arial"/>
                <w:color w:val="000000"/>
                <w:sz w:val="20"/>
                <w:szCs w:val="20"/>
              </w:rPr>
              <w:t>,</w:t>
            </w:r>
            <w:r w:rsidRPr="00CD5714">
              <w:rPr>
                <w:rFonts w:ascii="Arial" w:hAnsi="Arial" w:cs="Arial"/>
                <w:color w:val="000000"/>
                <w:sz w:val="20"/>
                <w:szCs w:val="20"/>
                <w:lang w:val="en-GB"/>
              </w:rPr>
              <w:t>413</w:t>
            </w:r>
          </w:p>
        </w:tc>
        <w:tc>
          <w:tcPr>
            <w:tcW w:w="1440" w:type="dxa"/>
            <w:shd w:val="clear" w:color="auto" w:fill="auto"/>
            <w:vAlign w:val="bottom"/>
          </w:tcPr>
          <w:p w14:paraId="4B7CCF56" w14:textId="0D2A2163"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581</w:t>
            </w:r>
          </w:p>
        </w:tc>
        <w:tc>
          <w:tcPr>
            <w:tcW w:w="1440" w:type="dxa"/>
            <w:shd w:val="clear" w:color="auto" w:fill="auto"/>
            <w:vAlign w:val="bottom"/>
          </w:tcPr>
          <w:p w14:paraId="0E2AEF1C" w14:textId="387C6CCF"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49</w:t>
            </w:r>
            <w:r w:rsidR="00BF79FE" w:rsidRPr="002D2F67">
              <w:rPr>
                <w:rFonts w:ascii="Arial" w:hAnsi="Arial" w:cs="Arial"/>
                <w:color w:val="000000"/>
                <w:sz w:val="20"/>
                <w:szCs w:val="20"/>
              </w:rPr>
              <w:t>,</w:t>
            </w:r>
            <w:r w:rsidRPr="00CD5714">
              <w:rPr>
                <w:rFonts w:ascii="Arial" w:hAnsi="Arial" w:cs="Arial"/>
                <w:color w:val="000000"/>
                <w:sz w:val="20"/>
                <w:szCs w:val="20"/>
                <w:lang w:val="en-GB"/>
              </w:rPr>
              <w:t>918</w:t>
            </w:r>
          </w:p>
        </w:tc>
        <w:tc>
          <w:tcPr>
            <w:tcW w:w="1440" w:type="dxa"/>
            <w:shd w:val="clear" w:color="auto" w:fill="auto"/>
            <w:vAlign w:val="bottom"/>
          </w:tcPr>
          <w:p w14:paraId="2023C8FC" w14:textId="59470A29"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45</w:t>
            </w:r>
            <w:r w:rsidR="00DF15D0" w:rsidRPr="002D2F67">
              <w:rPr>
                <w:rFonts w:ascii="Arial" w:hAnsi="Arial" w:cs="Arial"/>
                <w:color w:val="000000"/>
                <w:sz w:val="20"/>
                <w:szCs w:val="20"/>
              </w:rPr>
              <w:t>,</w:t>
            </w:r>
            <w:r w:rsidRPr="00CD5714">
              <w:rPr>
                <w:rFonts w:ascii="Arial" w:hAnsi="Arial" w:cs="Arial"/>
                <w:color w:val="000000"/>
                <w:sz w:val="20"/>
                <w:szCs w:val="20"/>
                <w:lang w:val="en-GB"/>
              </w:rPr>
              <w:t>241</w:t>
            </w:r>
          </w:p>
        </w:tc>
      </w:tr>
      <w:tr w:rsidR="00DF15D0" w:rsidRPr="002D2F67" w14:paraId="5732CE42" w14:textId="77777777" w:rsidTr="005611FE">
        <w:tc>
          <w:tcPr>
            <w:tcW w:w="3798" w:type="dxa"/>
            <w:shd w:val="clear" w:color="auto" w:fill="auto"/>
          </w:tcPr>
          <w:p w14:paraId="5B03415F" w14:textId="77777777" w:rsidR="00DF15D0" w:rsidRPr="002D2F67" w:rsidRDefault="00DF15D0" w:rsidP="005611FE">
            <w:pPr>
              <w:ind w:left="29" w:right="-109"/>
              <w:rPr>
                <w:rFonts w:ascii="Arial" w:hAnsi="Arial" w:cs="Arial"/>
                <w:color w:val="000000"/>
                <w:spacing w:val="-4"/>
                <w:sz w:val="20"/>
                <w:szCs w:val="20"/>
              </w:rPr>
            </w:pPr>
            <w:r w:rsidRPr="002D2F67">
              <w:rPr>
                <w:rFonts w:ascii="Arial" w:hAnsi="Arial" w:cs="Arial"/>
                <w:color w:val="000000"/>
                <w:spacing w:val="-4"/>
                <w:sz w:val="20"/>
                <w:szCs w:val="20"/>
              </w:rPr>
              <w:t xml:space="preserve">Interest income </w:t>
            </w:r>
          </w:p>
        </w:tc>
        <w:tc>
          <w:tcPr>
            <w:tcW w:w="1440" w:type="dxa"/>
            <w:shd w:val="clear" w:color="auto" w:fill="auto"/>
            <w:vAlign w:val="bottom"/>
          </w:tcPr>
          <w:p w14:paraId="26EFD30C" w14:textId="47E82BD6" w:rsidR="00DF15D0" w:rsidRPr="002D2F67" w:rsidRDefault="00CD5714" w:rsidP="005611FE">
            <w:pPr>
              <w:tabs>
                <w:tab w:val="left" w:pos="6840"/>
              </w:tabs>
              <w:ind w:right="-72"/>
              <w:jc w:val="right"/>
              <w:rPr>
                <w:rFonts w:ascii="Arial" w:hAnsi="Arial" w:cs="Arial"/>
                <w:color w:val="000000"/>
                <w:sz w:val="20"/>
                <w:szCs w:val="20"/>
                <w:cs/>
              </w:rPr>
            </w:pPr>
            <w:r w:rsidRPr="00CD5714">
              <w:rPr>
                <w:rFonts w:ascii="Arial" w:hAnsi="Arial" w:cs="Arial"/>
                <w:color w:val="000000"/>
                <w:sz w:val="20"/>
                <w:szCs w:val="20"/>
                <w:lang w:val="en-GB"/>
              </w:rPr>
              <w:t>237</w:t>
            </w:r>
            <w:r w:rsidR="00162E42" w:rsidRPr="002D2F67">
              <w:rPr>
                <w:rFonts w:ascii="Arial" w:hAnsi="Arial" w:cs="Arial"/>
                <w:color w:val="000000"/>
                <w:sz w:val="20"/>
                <w:szCs w:val="20"/>
              </w:rPr>
              <w:t>,</w:t>
            </w:r>
            <w:r w:rsidRPr="00CD5714">
              <w:rPr>
                <w:rFonts w:ascii="Arial" w:hAnsi="Arial" w:cs="Arial"/>
                <w:color w:val="000000"/>
                <w:sz w:val="20"/>
                <w:szCs w:val="20"/>
                <w:lang w:val="en-GB"/>
              </w:rPr>
              <w:t>297</w:t>
            </w:r>
          </w:p>
        </w:tc>
        <w:tc>
          <w:tcPr>
            <w:tcW w:w="1440" w:type="dxa"/>
            <w:shd w:val="clear" w:color="auto" w:fill="auto"/>
            <w:vAlign w:val="bottom"/>
          </w:tcPr>
          <w:p w14:paraId="59803EA9" w14:textId="252C2B59" w:rsidR="00DF15D0" w:rsidRPr="002D2F67" w:rsidRDefault="00CD5714" w:rsidP="005611FE">
            <w:pPr>
              <w:tabs>
                <w:tab w:val="left" w:pos="6840"/>
              </w:tabs>
              <w:ind w:right="-72"/>
              <w:jc w:val="right"/>
              <w:rPr>
                <w:rFonts w:ascii="Arial" w:hAnsi="Arial" w:cs="Arial"/>
                <w:color w:val="000000"/>
                <w:sz w:val="20"/>
                <w:szCs w:val="20"/>
                <w:cs/>
              </w:rPr>
            </w:pPr>
            <w:r w:rsidRPr="00CD5714">
              <w:rPr>
                <w:rFonts w:ascii="Arial" w:hAnsi="Arial" w:cs="Arial"/>
                <w:color w:val="000000"/>
                <w:sz w:val="20"/>
                <w:szCs w:val="20"/>
                <w:lang w:val="en-GB"/>
              </w:rPr>
              <w:t>221</w:t>
            </w:r>
            <w:r w:rsidR="00DF15D0" w:rsidRPr="002D2F67">
              <w:rPr>
                <w:rFonts w:ascii="Arial" w:hAnsi="Arial" w:cs="Arial"/>
                <w:color w:val="000000"/>
                <w:sz w:val="20"/>
                <w:szCs w:val="20"/>
              </w:rPr>
              <w:t>,</w:t>
            </w:r>
            <w:r w:rsidRPr="00CD5714">
              <w:rPr>
                <w:rFonts w:ascii="Arial" w:hAnsi="Arial" w:cs="Arial"/>
                <w:color w:val="000000"/>
                <w:sz w:val="20"/>
                <w:szCs w:val="20"/>
                <w:lang w:val="en-GB"/>
              </w:rPr>
              <w:t>614</w:t>
            </w:r>
          </w:p>
        </w:tc>
        <w:tc>
          <w:tcPr>
            <w:tcW w:w="1440" w:type="dxa"/>
            <w:shd w:val="clear" w:color="auto" w:fill="auto"/>
            <w:vAlign w:val="bottom"/>
          </w:tcPr>
          <w:p w14:paraId="27F0C84A" w14:textId="2B5B8D67" w:rsidR="00DF15D0" w:rsidRPr="002D2F67" w:rsidRDefault="00CD5714" w:rsidP="005611FE">
            <w:pPr>
              <w:tabs>
                <w:tab w:val="left" w:pos="6840"/>
              </w:tabs>
              <w:ind w:right="-72"/>
              <w:jc w:val="right"/>
              <w:rPr>
                <w:rFonts w:ascii="Arial" w:hAnsi="Arial" w:cs="Arial"/>
                <w:color w:val="000000"/>
                <w:sz w:val="20"/>
                <w:szCs w:val="20"/>
                <w:cs/>
              </w:rPr>
            </w:pPr>
            <w:r w:rsidRPr="00CD5714">
              <w:rPr>
                <w:rFonts w:ascii="Arial" w:hAnsi="Arial" w:cs="Arial"/>
                <w:color w:val="000000"/>
                <w:sz w:val="20"/>
                <w:szCs w:val="20"/>
                <w:lang w:val="en-GB"/>
              </w:rPr>
              <w:t>1</w:t>
            </w:r>
            <w:r w:rsidR="00162E42" w:rsidRPr="002D2F67">
              <w:rPr>
                <w:rFonts w:ascii="Arial" w:hAnsi="Arial" w:cs="Arial"/>
                <w:color w:val="000000"/>
                <w:sz w:val="20"/>
                <w:szCs w:val="20"/>
              </w:rPr>
              <w:t>,</w:t>
            </w:r>
            <w:r w:rsidRPr="00CD5714">
              <w:rPr>
                <w:rFonts w:ascii="Arial" w:hAnsi="Arial" w:cs="Arial"/>
                <w:color w:val="000000"/>
                <w:sz w:val="20"/>
                <w:szCs w:val="20"/>
                <w:lang w:val="en-GB"/>
              </w:rPr>
              <w:t>527</w:t>
            </w:r>
            <w:r w:rsidR="00162E42" w:rsidRPr="002D2F67">
              <w:rPr>
                <w:rFonts w:ascii="Arial" w:hAnsi="Arial" w:cs="Arial"/>
                <w:color w:val="000000"/>
                <w:sz w:val="20"/>
                <w:szCs w:val="20"/>
              </w:rPr>
              <w:t>,</w:t>
            </w:r>
            <w:r w:rsidRPr="00CD5714">
              <w:rPr>
                <w:rFonts w:ascii="Arial" w:hAnsi="Arial" w:cs="Arial"/>
                <w:color w:val="000000"/>
                <w:sz w:val="20"/>
                <w:szCs w:val="20"/>
                <w:lang w:val="en-GB"/>
              </w:rPr>
              <w:t>507</w:t>
            </w:r>
          </w:p>
        </w:tc>
        <w:tc>
          <w:tcPr>
            <w:tcW w:w="1440" w:type="dxa"/>
            <w:shd w:val="clear" w:color="auto" w:fill="auto"/>
            <w:vAlign w:val="bottom"/>
          </w:tcPr>
          <w:p w14:paraId="5B409220" w14:textId="7995ED85"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1</w:t>
            </w:r>
            <w:r w:rsidR="00DF15D0" w:rsidRPr="002D2F67">
              <w:rPr>
                <w:rFonts w:ascii="Arial" w:hAnsi="Arial" w:cs="Arial"/>
                <w:color w:val="000000"/>
                <w:sz w:val="20"/>
                <w:szCs w:val="20"/>
              </w:rPr>
              <w:t>,</w:t>
            </w:r>
            <w:r w:rsidRPr="00CD5714">
              <w:rPr>
                <w:rFonts w:ascii="Arial" w:hAnsi="Arial" w:cs="Arial"/>
                <w:color w:val="000000"/>
                <w:sz w:val="20"/>
                <w:szCs w:val="20"/>
                <w:lang w:val="en-GB"/>
              </w:rPr>
              <w:t>054</w:t>
            </w:r>
            <w:r w:rsidR="00DF15D0" w:rsidRPr="002D2F67">
              <w:rPr>
                <w:rFonts w:ascii="Arial" w:hAnsi="Arial" w:cs="Arial"/>
                <w:color w:val="000000"/>
                <w:sz w:val="20"/>
                <w:szCs w:val="20"/>
              </w:rPr>
              <w:t>,</w:t>
            </w:r>
            <w:r w:rsidRPr="00CD5714">
              <w:rPr>
                <w:rFonts w:ascii="Arial" w:hAnsi="Arial" w:cs="Arial"/>
                <w:color w:val="000000"/>
                <w:sz w:val="20"/>
                <w:szCs w:val="20"/>
                <w:lang w:val="en-GB"/>
              </w:rPr>
              <w:t>027</w:t>
            </w:r>
          </w:p>
        </w:tc>
      </w:tr>
      <w:tr w:rsidR="00DF15D0" w:rsidRPr="002D2F67" w14:paraId="4124E243" w14:textId="77777777" w:rsidTr="005611FE">
        <w:tc>
          <w:tcPr>
            <w:tcW w:w="3798" w:type="dxa"/>
            <w:shd w:val="clear" w:color="auto" w:fill="auto"/>
          </w:tcPr>
          <w:p w14:paraId="34850672" w14:textId="77777777" w:rsidR="00DF15D0" w:rsidRPr="002D2F67" w:rsidRDefault="00DF15D0" w:rsidP="005611FE">
            <w:pPr>
              <w:ind w:left="29" w:right="-109"/>
              <w:rPr>
                <w:rFonts w:ascii="Arial" w:hAnsi="Arial" w:cs="Arial"/>
                <w:color w:val="000000"/>
                <w:spacing w:val="-4"/>
                <w:sz w:val="20"/>
                <w:szCs w:val="20"/>
              </w:rPr>
            </w:pPr>
            <w:r w:rsidRPr="002D2F67">
              <w:rPr>
                <w:rFonts w:ascii="Arial" w:hAnsi="Arial" w:cs="Arial"/>
                <w:color w:val="000000"/>
                <w:spacing w:val="-4"/>
                <w:sz w:val="20"/>
                <w:szCs w:val="20"/>
              </w:rPr>
              <w:t>Insurance claim income</w:t>
            </w:r>
          </w:p>
        </w:tc>
        <w:tc>
          <w:tcPr>
            <w:tcW w:w="1440" w:type="dxa"/>
            <w:shd w:val="clear" w:color="auto" w:fill="auto"/>
            <w:vAlign w:val="bottom"/>
          </w:tcPr>
          <w:p w14:paraId="6E551A8E" w14:textId="1517C20F"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29</w:t>
            </w:r>
            <w:r w:rsidR="00162E42" w:rsidRPr="002D2F67">
              <w:rPr>
                <w:rFonts w:ascii="Arial" w:hAnsi="Arial" w:cs="Arial"/>
                <w:color w:val="000000"/>
                <w:sz w:val="20"/>
                <w:szCs w:val="20"/>
              </w:rPr>
              <w:t>,</w:t>
            </w:r>
            <w:r w:rsidRPr="00CD5714">
              <w:rPr>
                <w:rFonts w:ascii="Arial" w:hAnsi="Arial" w:cs="Arial"/>
                <w:color w:val="000000"/>
                <w:sz w:val="20"/>
                <w:szCs w:val="20"/>
                <w:lang w:val="en-GB"/>
              </w:rPr>
              <w:t>356</w:t>
            </w:r>
          </w:p>
        </w:tc>
        <w:tc>
          <w:tcPr>
            <w:tcW w:w="1440" w:type="dxa"/>
            <w:shd w:val="clear" w:color="auto" w:fill="auto"/>
            <w:vAlign w:val="bottom"/>
          </w:tcPr>
          <w:p w14:paraId="51E89CF1" w14:textId="7E3DBF58"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39</w:t>
            </w:r>
            <w:r w:rsidR="00DF15D0" w:rsidRPr="002D2F67">
              <w:rPr>
                <w:rFonts w:ascii="Arial" w:hAnsi="Arial" w:cs="Arial"/>
                <w:color w:val="000000"/>
                <w:sz w:val="20"/>
                <w:szCs w:val="20"/>
              </w:rPr>
              <w:t>,</w:t>
            </w:r>
            <w:r w:rsidRPr="00CD5714">
              <w:rPr>
                <w:rFonts w:ascii="Arial" w:hAnsi="Arial" w:cs="Arial"/>
                <w:color w:val="000000"/>
                <w:sz w:val="20"/>
                <w:szCs w:val="20"/>
                <w:lang w:val="en-GB"/>
              </w:rPr>
              <w:t>067</w:t>
            </w:r>
          </w:p>
        </w:tc>
        <w:tc>
          <w:tcPr>
            <w:tcW w:w="1440" w:type="dxa"/>
            <w:shd w:val="clear" w:color="auto" w:fill="auto"/>
            <w:vAlign w:val="bottom"/>
          </w:tcPr>
          <w:p w14:paraId="63D99DFE" w14:textId="2348E6ED" w:rsidR="00DF15D0" w:rsidRPr="002D2F67" w:rsidRDefault="00162E42" w:rsidP="005611FE">
            <w:pPr>
              <w:tabs>
                <w:tab w:val="left" w:pos="6840"/>
              </w:tabs>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vAlign w:val="bottom"/>
          </w:tcPr>
          <w:p w14:paraId="2E8F0E50" w14:textId="18AA5D96" w:rsidR="00DF15D0" w:rsidRPr="002D2F67" w:rsidRDefault="00DF15D0" w:rsidP="005611FE">
            <w:pPr>
              <w:tabs>
                <w:tab w:val="left" w:pos="6840"/>
              </w:tabs>
              <w:ind w:right="-72"/>
              <w:jc w:val="right"/>
              <w:rPr>
                <w:rFonts w:ascii="Arial" w:hAnsi="Arial" w:cs="Arial"/>
                <w:color w:val="000000"/>
                <w:sz w:val="20"/>
                <w:szCs w:val="20"/>
              </w:rPr>
            </w:pPr>
            <w:r w:rsidRPr="002D2F67">
              <w:rPr>
                <w:rFonts w:ascii="Arial" w:hAnsi="Arial" w:cs="Arial"/>
                <w:color w:val="000000"/>
                <w:sz w:val="20"/>
                <w:szCs w:val="20"/>
              </w:rPr>
              <w:t>-</w:t>
            </w:r>
          </w:p>
        </w:tc>
      </w:tr>
      <w:tr w:rsidR="00DF15D0" w:rsidRPr="002D2F67" w14:paraId="28989291" w14:textId="77777777" w:rsidTr="005611FE">
        <w:tc>
          <w:tcPr>
            <w:tcW w:w="3798" w:type="dxa"/>
            <w:shd w:val="clear" w:color="auto" w:fill="auto"/>
          </w:tcPr>
          <w:p w14:paraId="29E4EBF9" w14:textId="2940348C" w:rsidR="00DF15D0" w:rsidRPr="002D2F67" w:rsidRDefault="00DF15D0" w:rsidP="005611FE">
            <w:pPr>
              <w:ind w:left="29" w:right="-109"/>
              <w:rPr>
                <w:rFonts w:ascii="Arial" w:hAnsi="Arial" w:cs="Arial"/>
                <w:color w:val="000000"/>
                <w:spacing w:val="-4"/>
                <w:sz w:val="20"/>
                <w:szCs w:val="20"/>
                <w:cs/>
              </w:rPr>
            </w:pPr>
            <w:r w:rsidRPr="002D2F67">
              <w:rPr>
                <w:rFonts w:ascii="Arial" w:hAnsi="Arial" w:cs="Arial"/>
                <w:color w:val="000000"/>
                <w:spacing w:val="-4"/>
                <w:sz w:val="20"/>
                <w:szCs w:val="20"/>
              </w:rPr>
              <w:t>Gains from fair value measurement</w:t>
            </w:r>
            <w:r w:rsidRPr="002D2F67">
              <w:rPr>
                <w:rFonts w:ascii="Arial" w:hAnsi="Arial" w:cs="Arial"/>
                <w:color w:val="000000"/>
                <w:spacing w:val="-4"/>
                <w:sz w:val="20"/>
                <w:szCs w:val="20"/>
              </w:rPr>
              <w:br/>
              <w:t xml:space="preserve">   of financial assets</w:t>
            </w:r>
          </w:p>
        </w:tc>
        <w:tc>
          <w:tcPr>
            <w:tcW w:w="1440" w:type="dxa"/>
            <w:shd w:val="clear" w:color="auto" w:fill="auto"/>
            <w:vAlign w:val="bottom"/>
          </w:tcPr>
          <w:p w14:paraId="4E3D6ACD" w14:textId="1A6AA44C" w:rsidR="00DF15D0" w:rsidRPr="002D2F67" w:rsidRDefault="00162E42" w:rsidP="005611FE">
            <w:pPr>
              <w:tabs>
                <w:tab w:val="left" w:pos="6840"/>
              </w:tabs>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vAlign w:val="bottom"/>
          </w:tcPr>
          <w:p w14:paraId="25370EEB" w14:textId="0DBE9EF1"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1</w:t>
            </w:r>
            <w:r w:rsidR="00DF15D0" w:rsidRPr="002D2F67">
              <w:rPr>
                <w:rFonts w:ascii="Arial" w:hAnsi="Arial" w:cs="Arial"/>
                <w:color w:val="000000"/>
                <w:sz w:val="20"/>
                <w:szCs w:val="20"/>
              </w:rPr>
              <w:t>,</w:t>
            </w:r>
            <w:r w:rsidRPr="00CD5714">
              <w:rPr>
                <w:rFonts w:ascii="Arial" w:hAnsi="Arial" w:cs="Arial"/>
                <w:color w:val="000000"/>
                <w:sz w:val="20"/>
                <w:szCs w:val="20"/>
                <w:lang w:val="en-GB"/>
              </w:rPr>
              <w:t>189</w:t>
            </w:r>
            <w:r w:rsidR="00DF15D0" w:rsidRPr="002D2F67">
              <w:rPr>
                <w:rFonts w:ascii="Arial" w:hAnsi="Arial" w:cs="Arial"/>
                <w:color w:val="000000"/>
                <w:sz w:val="20"/>
                <w:szCs w:val="20"/>
              </w:rPr>
              <w:t>,</w:t>
            </w:r>
            <w:r w:rsidRPr="00CD5714">
              <w:rPr>
                <w:rFonts w:ascii="Arial" w:hAnsi="Arial" w:cs="Arial"/>
                <w:color w:val="000000"/>
                <w:sz w:val="20"/>
                <w:szCs w:val="20"/>
                <w:lang w:val="en-GB"/>
              </w:rPr>
              <w:t>773</w:t>
            </w:r>
          </w:p>
        </w:tc>
        <w:tc>
          <w:tcPr>
            <w:tcW w:w="1440" w:type="dxa"/>
            <w:shd w:val="clear" w:color="auto" w:fill="auto"/>
            <w:vAlign w:val="bottom"/>
          </w:tcPr>
          <w:p w14:paraId="4C441C0C" w14:textId="4EA1C15F" w:rsidR="00DF15D0" w:rsidRPr="002D2F67" w:rsidRDefault="00162E42" w:rsidP="005611FE">
            <w:pPr>
              <w:tabs>
                <w:tab w:val="left" w:pos="6840"/>
              </w:tabs>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vAlign w:val="bottom"/>
          </w:tcPr>
          <w:p w14:paraId="6BF4C78E" w14:textId="4FCC0803" w:rsidR="00DF15D0" w:rsidRPr="002D2F67" w:rsidRDefault="00DF15D0" w:rsidP="005611FE">
            <w:pPr>
              <w:tabs>
                <w:tab w:val="left" w:pos="6840"/>
              </w:tabs>
              <w:ind w:right="-72"/>
              <w:jc w:val="right"/>
              <w:rPr>
                <w:rFonts w:ascii="Arial" w:hAnsi="Arial" w:cs="Arial"/>
                <w:color w:val="000000"/>
                <w:sz w:val="20"/>
                <w:szCs w:val="20"/>
              </w:rPr>
            </w:pPr>
            <w:r w:rsidRPr="002D2F67">
              <w:rPr>
                <w:rFonts w:ascii="Arial" w:hAnsi="Arial" w:cs="Arial"/>
                <w:color w:val="000000"/>
                <w:sz w:val="20"/>
                <w:szCs w:val="20"/>
              </w:rPr>
              <w:t>-</w:t>
            </w:r>
          </w:p>
        </w:tc>
      </w:tr>
      <w:tr w:rsidR="00DF15D0" w:rsidRPr="002D2F67" w14:paraId="6B6A44DE" w14:textId="77777777" w:rsidTr="005611FE">
        <w:tc>
          <w:tcPr>
            <w:tcW w:w="3798" w:type="dxa"/>
            <w:shd w:val="clear" w:color="auto" w:fill="auto"/>
          </w:tcPr>
          <w:p w14:paraId="3F08FDF4" w14:textId="40F82617" w:rsidR="00DF15D0" w:rsidRPr="002D2F67" w:rsidRDefault="00DF15D0" w:rsidP="005611FE">
            <w:pPr>
              <w:ind w:left="29" w:right="-109"/>
              <w:rPr>
                <w:rFonts w:ascii="Arial" w:hAnsi="Arial" w:cs="Arial"/>
                <w:color w:val="000000"/>
                <w:spacing w:val="-4"/>
                <w:sz w:val="20"/>
                <w:szCs w:val="20"/>
              </w:rPr>
            </w:pPr>
            <w:r w:rsidRPr="002D2F67">
              <w:rPr>
                <w:rFonts w:ascii="Arial" w:hAnsi="Arial" w:cs="Arial"/>
                <w:color w:val="000000"/>
                <w:spacing w:val="-4"/>
                <w:sz w:val="20"/>
                <w:szCs w:val="20"/>
              </w:rPr>
              <w:t>Income from sales of assets, net</w:t>
            </w:r>
          </w:p>
        </w:tc>
        <w:tc>
          <w:tcPr>
            <w:tcW w:w="1440" w:type="dxa"/>
            <w:shd w:val="clear" w:color="auto" w:fill="auto"/>
            <w:vAlign w:val="bottom"/>
          </w:tcPr>
          <w:p w14:paraId="57035CC5" w14:textId="082DB893" w:rsidR="00DF15D0" w:rsidRPr="002D2F67" w:rsidRDefault="00162E42" w:rsidP="005611FE">
            <w:pPr>
              <w:tabs>
                <w:tab w:val="left" w:pos="6840"/>
              </w:tabs>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vAlign w:val="bottom"/>
          </w:tcPr>
          <w:p w14:paraId="370AD752" w14:textId="23AF673E"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1</w:t>
            </w:r>
            <w:r w:rsidR="00DF15D0" w:rsidRPr="002D2F67">
              <w:rPr>
                <w:rFonts w:ascii="Arial" w:hAnsi="Arial" w:cs="Arial"/>
                <w:color w:val="000000"/>
                <w:sz w:val="20"/>
                <w:szCs w:val="20"/>
              </w:rPr>
              <w:t>,</w:t>
            </w:r>
            <w:r w:rsidRPr="00CD5714">
              <w:rPr>
                <w:rFonts w:ascii="Arial" w:hAnsi="Arial" w:cs="Arial"/>
                <w:color w:val="000000"/>
                <w:sz w:val="20"/>
                <w:szCs w:val="20"/>
                <w:lang w:val="en-GB"/>
              </w:rPr>
              <w:t>594</w:t>
            </w:r>
          </w:p>
        </w:tc>
        <w:tc>
          <w:tcPr>
            <w:tcW w:w="1440" w:type="dxa"/>
            <w:shd w:val="clear" w:color="auto" w:fill="auto"/>
            <w:vAlign w:val="bottom"/>
          </w:tcPr>
          <w:p w14:paraId="35F331E4" w14:textId="3E5A4779" w:rsidR="00DF15D0" w:rsidRPr="002D2F67" w:rsidRDefault="00162E42" w:rsidP="005611FE">
            <w:pPr>
              <w:tabs>
                <w:tab w:val="left" w:pos="6840"/>
              </w:tabs>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vAlign w:val="bottom"/>
          </w:tcPr>
          <w:p w14:paraId="4DCDCE25" w14:textId="12D452ED"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1</w:t>
            </w:r>
            <w:r w:rsidR="00DF15D0" w:rsidRPr="002D2F67">
              <w:rPr>
                <w:rFonts w:ascii="Arial" w:hAnsi="Arial" w:cs="Arial"/>
                <w:color w:val="000000"/>
                <w:sz w:val="20"/>
                <w:szCs w:val="20"/>
              </w:rPr>
              <w:t>,</w:t>
            </w:r>
            <w:r w:rsidRPr="00CD5714">
              <w:rPr>
                <w:rFonts w:ascii="Arial" w:hAnsi="Arial" w:cs="Arial"/>
                <w:color w:val="000000"/>
                <w:sz w:val="20"/>
                <w:szCs w:val="20"/>
                <w:lang w:val="en-GB"/>
              </w:rPr>
              <w:t>294</w:t>
            </w:r>
          </w:p>
        </w:tc>
      </w:tr>
      <w:tr w:rsidR="00DF15D0" w:rsidRPr="002D2F67" w14:paraId="3D6714C9" w14:textId="77777777" w:rsidTr="005611FE">
        <w:tc>
          <w:tcPr>
            <w:tcW w:w="3798" w:type="dxa"/>
            <w:shd w:val="clear" w:color="auto" w:fill="auto"/>
          </w:tcPr>
          <w:p w14:paraId="66E0FA46" w14:textId="77777777" w:rsidR="00DF15D0" w:rsidRPr="002D2F67" w:rsidRDefault="00DF15D0" w:rsidP="005611FE">
            <w:pPr>
              <w:ind w:left="29" w:right="-109"/>
              <w:rPr>
                <w:rFonts w:ascii="Arial" w:hAnsi="Arial" w:cs="Arial"/>
                <w:color w:val="000000"/>
                <w:spacing w:val="-4"/>
                <w:sz w:val="20"/>
                <w:szCs w:val="20"/>
              </w:rPr>
            </w:pPr>
            <w:r w:rsidRPr="002D2F67">
              <w:rPr>
                <w:rFonts w:ascii="Arial" w:hAnsi="Arial" w:cs="Arial"/>
                <w:color w:val="000000"/>
                <w:spacing w:val="-4"/>
                <w:sz w:val="20"/>
                <w:szCs w:val="20"/>
              </w:rPr>
              <w:t>Others</w:t>
            </w:r>
          </w:p>
        </w:tc>
        <w:tc>
          <w:tcPr>
            <w:tcW w:w="1440" w:type="dxa"/>
            <w:tcBorders>
              <w:bottom w:val="single" w:sz="4" w:space="0" w:color="auto"/>
            </w:tcBorders>
            <w:shd w:val="clear" w:color="auto" w:fill="auto"/>
            <w:vAlign w:val="bottom"/>
          </w:tcPr>
          <w:p w14:paraId="5FEE328F" w14:textId="146190A9"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121</w:t>
            </w:r>
            <w:r w:rsidR="005869CC" w:rsidRPr="002D2F67">
              <w:rPr>
                <w:rFonts w:ascii="Arial" w:hAnsi="Arial" w:cs="Arial"/>
                <w:color w:val="000000"/>
                <w:sz w:val="20"/>
                <w:szCs w:val="20"/>
              </w:rPr>
              <w:t>,</w:t>
            </w:r>
            <w:r w:rsidRPr="00CD5714">
              <w:rPr>
                <w:rFonts w:ascii="Arial" w:hAnsi="Arial" w:cs="Arial"/>
                <w:color w:val="000000"/>
                <w:sz w:val="20"/>
                <w:szCs w:val="20"/>
                <w:lang w:val="en-GB"/>
              </w:rPr>
              <w:t>608</w:t>
            </w:r>
          </w:p>
        </w:tc>
        <w:tc>
          <w:tcPr>
            <w:tcW w:w="1440" w:type="dxa"/>
            <w:tcBorders>
              <w:bottom w:val="single" w:sz="4" w:space="0" w:color="auto"/>
            </w:tcBorders>
            <w:shd w:val="clear" w:color="auto" w:fill="auto"/>
            <w:vAlign w:val="bottom"/>
          </w:tcPr>
          <w:p w14:paraId="50167DB4" w14:textId="5A545E7B"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70</w:t>
            </w:r>
            <w:r w:rsidR="00DF15D0" w:rsidRPr="002D2F67">
              <w:rPr>
                <w:rFonts w:ascii="Arial" w:hAnsi="Arial" w:cs="Arial"/>
                <w:color w:val="000000"/>
                <w:sz w:val="20"/>
                <w:szCs w:val="20"/>
              </w:rPr>
              <w:t>,</w:t>
            </w:r>
            <w:r w:rsidRPr="00CD5714">
              <w:rPr>
                <w:rFonts w:ascii="Arial" w:hAnsi="Arial" w:cs="Arial"/>
                <w:color w:val="000000"/>
                <w:sz w:val="20"/>
                <w:szCs w:val="20"/>
                <w:lang w:val="en-GB"/>
              </w:rPr>
              <w:t>689</w:t>
            </w:r>
          </w:p>
        </w:tc>
        <w:tc>
          <w:tcPr>
            <w:tcW w:w="1440" w:type="dxa"/>
            <w:tcBorders>
              <w:bottom w:val="single" w:sz="4" w:space="0" w:color="auto"/>
            </w:tcBorders>
            <w:shd w:val="clear" w:color="auto" w:fill="auto"/>
            <w:vAlign w:val="bottom"/>
          </w:tcPr>
          <w:p w14:paraId="09E12F7F" w14:textId="71A99E29"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69</w:t>
            </w:r>
            <w:r w:rsidR="00162E42" w:rsidRPr="002D2F67">
              <w:rPr>
                <w:rFonts w:ascii="Arial" w:hAnsi="Arial" w:cs="Arial"/>
                <w:color w:val="000000"/>
                <w:sz w:val="20"/>
                <w:szCs w:val="20"/>
              </w:rPr>
              <w:t>,</w:t>
            </w:r>
            <w:r w:rsidRPr="00CD5714">
              <w:rPr>
                <w:rFonts w:ascii="Arial" w:hAnsi="Arial" w:cs="Arial"/>
                <w:color w:val="000000"/>
                <w:sz w:val="20"/>
                <w:szCs w:val="20"/>
                <w:lang w:val="en-GB"/>
              </w:rPr>
              <w:t>612</w:t>
            </w:r>
          </w:p>
        </w:tc>
        <w:tc>
          <w:tcPr>
            <w:tcW w:w="1440" w:type="dxa"/>
            <w:tcBorders>
              <w:bottom w:val="single" w:sz="4" w:space="0" w:color="auto"/>
            </w:tcBorders>
            <w:shd w:val="clear" w:color="auto" w:fill="auto"/>
            <w:vAlign w:val="bottom"/>
          </w:tcPr>
          <w:p w14:paraId="1EE7CB18" w14:textId="1F6AB175"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36</w:t>
            </w:r>
            <w:r w:rsidR="00DF15D0" w:rsidRPr="002D2F67">
              <w:rPr>
                <w:rFonts w:ascii="Arial" w:hAnsi="Arial" w:cs="Arial"/>
                <w:color w:val="000000"/>
                <w:sz w:val="20"/>
                <w:szCs w:val="20"/>
              </w:rPr>
              <w:t>,</w:t>
            </w:r>
            <w:r w:rsidRPr="00CD5714">
              <w:rPr>
                <w:rFonts w:ascii="Arial" w:hAnsi="Arial" w:cs="Arial"/>
                <w:color w:val="000000"/>
                <w:sz w:val="20"/>
                <w:szCs w:val="20"/>
                <w:lang w:val="en-GB"/>
              </w:rPr>
              <w:t>519</w:t>
            </w:r>
          </w:p>
        </w:tc>
      </w:tr>
      <w:tr w:rsidR="00DF15D0" w:rsidRPr="002D2F67" w14:paraId="1755D3E7" w14:textId="77777777" w:rsidTr="005611FE">
        <w:tc>
          <w:tcPr>
            <w:tcW w:w="3798" w:type="dxa"/>
            <w:shd w:val="clear" w:color="auto" w:fill="auto"/>
          </w:tcPr>
          <w:p w14:paraId="36953E48" w14:textId="77777777" w:rsidR="00DF15D0" w:rsidRPr="002D2F67" w:rsidRDefault="00DF15D0" w:rsidP="005611FE">
            <w:pPr>
              <w:ind w:left="29" w:right="-109"/>
              <w:rPr>
                <w:rFonts w:ascii="Arial" w:hAnsi="Arial" w:cs="Arial"/>
                <w:b/>
                <w:bCs/>
                <w:color w:val="000000"/>
                <w:spacing w:val="-4"/>
                <w:sz w:val="20"/>
                <w:szCs w:val="20"/>
              </w:rPr>
            </w:pPr>
          </w:p>
        </w:tc>
        <w:tc>
          <w:tcPr>
            <w:tcW w:w="1440" w:type="dxa"/>
            <w:tcBorders>
              <w:top w:val="single" w:sz="4" w:space="0" w:color="auto"/>
            </w:tcBorders>
            <w:shd w:val="clear" w:color="auto" w:fill="auto"/>
          </w:tcPr>
          <w:p w14:paraId="16833324" w14:textId="77777777" w:rsidR="00DF15D0" w:rsidRPr="002D2F67" w:rsidRDefault="00DF15D0" w:rsidP="005611FE">
            <w:pPr>
              <w:tabs>
                <w:tab w:val="left" w:pos="6840"/>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424D9D88" w14:textId="77777777" w:rsidR="00DF15D0" w:rsidRPr="002D2F67" w:rsidRDefault="00DF15D0" w:rsidP="005611FE">
            <w:pPr>
              <w:tabs>
                <w:tab w:val="left" w:pos="6840"/>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36A13FC0" w14:textId="77777777" w:rsidR="00DF15D0" w:rsidRPr="002D2F67" w:rsidRDefault="00DF15D0" w:rsidP="005611FE">
            <w:pPr>
              <w:tabs>
                <w:tab w:val="left" w:pos="6840"/>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63177E51" w14:textId="77777777" w:rsidR="00DF15D0" w:rsidRPr="002D2F67" w:rsidRDefault="00DF15D0" w:rsidP="005611FE">
            <w:pPr>
              <w:tabs>
                <w:tab w:val="left" w:pos="6840"/>
              </w:tabs>
              <w:ind w:right="-72"/>
              <w:jc w:val="right"/>
              <w:rPr>
                <w:rFonts w:ascii="Arial" w:hAnsi="Arial" w:cs="Arial"/>
                <w:color w:val="000000"/>
                <w:sz w:val="20"/>
                <w:szCs w:val="20"/>
              </w:rPr>
            </w:pPr>
          </w:p>
        </w:tc>
      </w:tr>
      <w:tr w:rsidR="00DF15D0" w:rsidRPr="002D2F67" w14:paraId="002CFC2E" w14:textId="77777777" w:rsidTr="005611FE">
        <w:tc>
          <w:tcPr>
            <w:tcW w:w="3798" w:type="dxa"/>
            <w:shd w:val="clear" w:color="auto" w:fill="auto"/>
          </w:tcPr>
          <w:p w14:paraId="52AEFCAA" w14:textId="77777777" w:rsidR="00DF15D0" w:rsidRPr="002D2F67" w:rsidRDefault="00DF15D0" w:rsidP="005611FE">
            <w:pPr>
              <w:ind w:left="29" w:right="-109"/>
              <w:rPr>
                <w:rFonts w:ascii="Arial" w:hAnsi="Arial" w:cs="Arial"/>
                <w:color w:val="000000"/>
                <w:spacing w:val="-4"/>
                <w:sz w:val="20"/>
                <w:szCs w:val="20"/>
              </w:rPr>
            </w:pPr>
            <w:r w:rsidRPr="002D2F67">
              <w:rPr>
                <w:rFonts w:ascii="Arial" w:hAnsi="Arial" w:cs="Arial"/>
                <w:color w:val="000000"/>
                <w:spacing w:val="-4"/>
                <w:sz w:val="20"/>
                <w:szCs w:val="20"/>
              </w:rPr>
              <w:t>Total other income</w:t>
            </w:r>
          </w:p>
        </w:tc>
        <w:tc>
          <w:tcPr>
            <w:tcW w:w="1440" w:type="dxa"/>
            <w:tcBorders>
              <w:bottom w:val="single" w:sz="4" w:space="0" w:color="auto"/>
            </w:tcBorders>
            <w:shd w:val="clear" w:color="auto" w:fill="auto"/>
            <w:vAlign w:val="bottom"/>
          </w:tcPr>
          <w:p w14:paraId="1E1FE4FE" w14:textId="70F47042"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394</w:t>
            </w:r>
            <w:r w:rsidR="005869CC" w:rsidRPr="002D2F67">
              <w:rPr>
                <w:rFonts w:ascii="Arial" w:hAnsi="Arial" w:cs="Arial"/>
                <w:color w:val="000000"/>
                <w:sz w:val="20"/>
                <w:szCs w:val="20"/>
              </w:rPr>
              <w:t>,</w:t>
            </w:r>
            <w:r w:rsidRPr="00CD5714">
              <w:rPr>
                <w:rFonts w:ascii="Arial" w:hAnsi="Arial" w:cs="Arial"/>
                <w:color w:val="000000"/>
                <w:sz w:val="20"/>
                <w:szCs w:val="20"/>
                <w:lang w:val="en-GB"/>
              </w:rPr>
              <w:t>674</w:t>
            </w:r>
          </w:p>
        </w:tc>
        <w:tc>
          <w:tcPr>
            <w:tcW w:w="1440" w:type="dxa"/>
            <w:tcBorders>
              <w:bottom w:val="single" w:sz="4" w:space="0" w:color="auto"/>
            </w:tcBorders>
            <w:shd w:val="clear" w:color="auto" w:fill="auto"/>
            <w:vAlign w:val="bottom"/>
          </w:tcPr>
          <w:p w14:paraId="48A0B8F1" w14:textId="5E16917E"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1</w:t>
            </w:r>
            <w:r w:rsidR="00DF15D0" w:rsidRPr="002D2F67">
              <w:rPr>
                <w:rFonts w:ascii="Arial" w:hAnsi="Arial" w:cs="Arial"/>
                <w:color w:val="000000"/>
                <w:sz w:val="20"/>
                <w:szCs w:val="20"/>
              </w:rPr>
              <w:t>,</w:t>
            </w:r>
            <w:r w:rsidRPr="00CD5714">
              <w:rPr>
                <w:rFonts w:ascii="Arial" w:hAnsi="Arial" w:cs="Arial"/>
                <w:color w:val="000000"/>
                <w:sz w:val="20"/>
                <w:szCs w:val="20"/>
                <w:lang w:val="en-GB"/>
              </w:rPr>
              <w:t>523</w:t>
            </w:r>
            <w:r w:rsidR="00DF15D0" w:rsidRPr="002D2F67">
              <w:rPr>
                <w:rFonts w:ascii="Arial" w:hAnsi="Arial" w:cs="Arial"/>
                <w:color w:val="000000"/>
                <w:sz w:val="20"/>
                <w:szCs w:val="20"/>
              </w:rPr>
              <w:t>,</w:t>
            </w:r>
            <w:r w:rsidRPr="00CD5714">
              <w:rPr>
                <w:rFonts w:ascii="Arial" w:hAnsi="Arial" w:cs="Arial"/>
                <w:color w:val="000000"/>
                <w:sz w:val="20"/>
                <w:szCs w:val="20"/>
                <w:lang w:val="en-GB"/>
              </w:rPr>
              <w:t>318</w:t>
            </w:r>
          </w:p>
        </w:tc>
        <w:tc>
          <w:tcPr>
            <w:tcW w:w="1440" w:type="dxa"/>
            <w:tcBorders>
              <w:bottom w:val="single" w:sz="4" w:space="0" w:color="auto"/>
            </w:tcBorders>
            <w:shd w:val="clear" w:color="auto" w:fill="auto"/>
            <w:vAlign w:val="bottom"/>
          </w:tcPr>
          <w:p w14:paraId="58E3D921" w14:textId="298D419D"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1</w:t>
            </w:r>
            <w:r w:rsidR="00162E42" w:rsidRPr="002D2F67">
              <w:rPr>
                <w:rFonts w:ascii="Arial" w:hAnsi="Arial" w:cs="Arial"/>
                <w:color w:val="000000"/>
                <w:sz w:val="20"/>
                <w:szCs w:val="20"/>
              </w:rPr>
              <w:t>,</w:t>
            </w:r>
            <w:r w:rsidRPr="00CD5714">
              <w:rPr>
                <w:rFonts w:ascii="Arial" w:hAnsi="Arial" w:cs="Arial"/>
                <w:color w:val="000000"/>
                <w:sz w:val="20"/>
                <w:szCs w:val="20"/>
                <w:lang w:val="en-GB"/>
              </w:rPr>
              <w:t>647</w:t>
            </w:r>
            <w:r w:rsidR="00162E42" w:rsidRPr="002D2F67">
              <w:rPr>
                <w:rFonts w:ascii="Arial" w:hAnsi="Arial" w:cs="Arial"/>
                <w:color w:val="000000"/>
                <w:sz w:val="20"/>
                <w:szCs w:val="20"/>
              </w:rPr>
              <w:t>,</w:t>
            </w:r>
            <w:r w:rsidRPr="00CD5714">
              <w:rPr>
                <w:rFonts w:ascii="Arial" w:hAnsi="Arial" w:cs="Arial"/>
                <w:color w:val="000000"/>
                <w:sz w:val="20"/>
                <w:szCs w:val="20"/>
                <w:lang w:val="en-GB"/>
              </w:rPr>
              <w:t>037</w:t>
            </w:r>
          </w:p>
        </w:tc>
        <w:tc>
          <w:tcPr>
            <w:tcW w:w="1440" w:type="dxa"/>
            <w:tcBorders>
              <w:bottom w:val="single" w:sz="4" w:space="0" w:color="auto"/>
            </w:tcBorders>
            <w:shd w:val="clear" w:color="auto" w:fill="auto"/>
            <w:vAlign w:val="bottom"/>
          </w:tcPr>
          <w:p w14:paraId="380DB030" w14:textId="669639A6"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1</w:t>
            </w:r>
            <w:r w:rsidR="00DF15D0" w:rsidRPr="002D2F67">
              <w:rPr>
                <w:rFonts w:ascii="Arial" w:hAnsi="Arial" w:cs="Arial"/>
                <w:color w:val="000000"/>
                <w:sz w:val="20"/>
                <w:szCs w:val="20"/>
              </w:rPr>
              <w:t>,</w:t>
            </w:r>
            <w:r w:rsidRPr="00CD5714">
              <w:rPr>
                <w:rFonts w:ascii="Arial" w:hAnsi="Arial" w:cs="Arial"/>
                <w:color w:val="000000"/>
                <w:sz w:val="20"/>
                <w:szCs w:val="20"/>
                <w:lang w:val="en-GB"/>
              </w:rPr>
              <w:t>137</w:t>
            </w:r>
            <w:r w:rsidR="00DF15D0" w:rsidRPr="002D2F67">
              <w:rPr>
                <w:rFonts w:ascii="Arial" w:hAnsi="Arial" w:cs="Arial"/>
                <w:color w:val="000000"/>
                <w:sz w:val="20"/>
                <w:szCs w:val="20"/>
              </w:rPr>
              <w:t>,</w:t>
            </w:r>
            <w:r w:rsidRPr="00CD5714">
              <w:rPr>
                <w:rFonts w:ascii="Arial" w:hAnsi="Arial" w:cs="Arial"/>
                <w:color w:val="000000"/>
                <w:sz w:val="20"/>
                <w:szCs w:val="20"/>
                <w:lang w:val="en-GB"/>
              </w:rPr>
              <w:t>081</w:t>
            </w:r>
          </w:p>
        </w:tc>
      </w:tr>
    </w:tbl>
    <w:p w14:paraId="58D322E9" w14:textId="2120DE96" w:rsidR="001E6C66" w:rsidRPr="002D2F67" w:rsidRDefault="001E6C66" w:rsidP="005611FE">
      <w:pPr>
        <w:jc w:val="thaiDistribute"/>
        <w:rPr>
          <w:rFonts w:ascii="Arial" w:hAnsi="Arial" w:cs="Arial"/>
          <w:color w:val="000000"/>
          <w:spacing w:val="-2"/>
          <w:sz w:val="20"/>
          <w:szCs w:val="20"/>
        </w:rPr>
      </w:pPr>
    </w:p>
    <w:p w14:paraId="788ACAAB" w14:textId="0D7CD238" w:rsidR="00B0675E" w:rsidRPr="002D2F67" w:rsidRDefault="00B0675E" w:rsidP="005611FE">
      <w:pPr>
        <w:pStyle w:val="BodyTextIndent2"/>
        <w:spacing w:line="240" w:lineRule="auto"/>
        <w:ind w:left="0"/>
        <w:jc w:val="left"/>
        <w:rPr>
          <w:rFonts w:ascii="Arial" w:hAnsi="Arial" w:cs="Arial"/>
          <w:spacing w:val="-2"/>
        </w:rPr>
      </w:pPr>
    </w:p>
    <w:p w14:paraId="7F8E083D" w14:textId="627190C0" w:rsidR="00B0675E"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36</w:t>
      </w:r>
      <w:r w:rsidR="00B0675E" w:rsidRPr="002D2F67">
        <w:rPr>
          <w:rFonts w:ascii="Arial" w:hAnsi="Arial" w:cs="Arial"/>
          <w:b/>
          <w:bCs/>
          <w:color w:val="000000"/>
          <w:kern w:val="26"/>
          <w:position w:val="-24"/>
          <w:sz w:val="20"/>
          <w:szCs w:val="20"/>
          <w:cs/>
        </w:rPr>
        <w:tab/>
      </w:r>
      <w:r w:rsidR="00B0675E" w:rsidRPr="002D2F67">
        <w:rPr>
          <w:rFonts w:ascii="Arial" w:hAnsi="Arial" w:cs="Arial"/>
          <w:b/>
          <w:bCs/>
          <w:color w:val="000000"/>
          <w:kern w:val="26"/>
          <w:position w:val="-24"/>
          <w:sz w:val="20"/>
          <w:szCs w:val="20"/>
        </w:rPr>
        <w:t>Finance costs</w:t>
      </w:r>
    </w:p>
    <w:p w14:paraId="06DF11C3" w14:textId="77777777" w:rsidR="001E6C66" w:rsidRPr="002D2F67" w:rsidRDefault="001E6C66" w:rsidP="005611FE">
      <w:pPr>
        <w:pStyle w:val="BodyTextIndent2"/>
        <w:tabs>
          <w:tab w:val="left" w:pos="1524"/>
        </w:tabs>
        <w:spacing w:line="240" w:lineRule="auto"/>
        <w:ind w:left="0"/>
        <w:rPr>
          <w:rFonts w:ascii="Arial" w:hAnsi="Arial" w:cs="Arial"/>
          <w:spacing w:val="-2"/>
        </w:rPr>
      </w:pPr>
    </w:p>
    <w:tbl>
      <w:tblPr>
        <w:tblW w:w="4955" w:type="pct"/>
        <w:tblLook w:val="0000" w:firstRow="0" w:lastRow="0" w:firstColumn="0" w:lastColumn="0" w:noHBand="0" w:noVBand="0"/>
      </w:tblPr>
      <w:tblGrid>
        <w:gridCol w:w="3825"/>
        <w:gridCol w:w="1438"/>
        <w:gridCol w:w="1442"/>
        <w:gridCol w:w="1442"/>
        <w:gridCol w:w="1440"/>
      </w:tblGrid>
      <w:tr w:rsidR="001E6C66" w:rsidRPr="002D2F67" w14:paraId="34FAFA1F" w14:textId="77777777" w:rsidTr="008255E8">
        <w:trPr>
          <w:cantSplit/>
        </w:trPr>
        <w:tc>
          <w:tcPr>
            <w:tcW w:w="1995" w:type="pct"/>
            <w:shd w:val="clear" w:color="auto" w:fill="auto"/>
          </w:tcPr>
          <w:p w14:paraId="1A796AF7" w14:textId="77777777" w:rsidR="001E6C66" w:rsidRPr="002D2F67" w:rsidRDefault="001E6C66" w:rsidP="005611FE">
            <w:pPr>
              <w:ind w:left="29"/>
              <w:rPr>
                <w:rFonts w:ascii="Arial" w:hAnsi="Arial" w:cs="Arial"/>
                <w:b/>
                <w:bCs/>
                <w:color w:val="000000"/>
                <w:sz w:val="20"/>
                <w:szCs w:val="20"/>
              </w:rPr>
            </w:pPr>
          </w:p>
        </w:tc>
        <w:tc>
          <w:tcPr>
            <w:tcW w:w="1502" w:type="pct"/>
            <w:gridSpan w:val="2"/>
            <w:tcBorders>
              <w:bottom w:val="single" w:sz="4" w:space="0" w:color="auto"/>
            </w:tcBorders>
            <w:shd w:val="clear" w:color="auto" w:fill="auto"/>
          </w:tcPr>
          <w:p w14:paraId="3F09553B"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6417878E"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1503" w:type="pct"/>
            <w:gridSpan w:val="2"/>
            <w:tcBorders>
              <w:bottom w:val="single" w:sz="4" w:space="0" w:color="auto"/>
            </w:tcBorders>
            <w:shd w:val="clear" w:color="auto" w:fill="auto"/>
          </w:tcPr>
          <w:p w14:paraId="75B84B98"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Separate </w:t>
            </w:r>
          </w:p>
          <w:p w14:paraId="3A38ED78"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F9711B" w:rsidRPr="002D2F67" w14:paraId="0E5E992F" w14:textId="77777777" w:rsidTr="005611FE">
        <w:tc>
          <w:tcPr>
            <w:tcW w:w="1995" w:type="pct"/>
            <w:shd w:val="clear" w:color="auto" w:fill="auto"/>
          </w:tcPr>
          <w:p w14:paraId="1B5A55D3" w14:textId="1C86FFCC" w:rsidR="00F9711B" w:rsidRPr="002D2F67" w:rsidRDefault="00F9711B" w:rsidP="005611FE">
            <w:pPr>
              <w:ind w:left="29"/>
              <w:rPr>
                <w:rFonts w:ascii="Arial" w:hAnsi="Arial" w:cs="Arial"/>
                <w:color w:val="000000"/>
                <w:sz w:val="20"/>
                <w:szCs w:val="20"/>
              </w:rPr>
            </w:pPr>
            <w:r w:rsidRPr="002D2F67">
              <w:rPr>
                <w:rFonts w:ascii="Arial" w:hAnsi="Arial" w:cs="Arial"/>
                <w:b/>
                <w:bCs/>
                <w:color w:val="000000"/>
                <w:sz w:val="20"/>
                <w:szCs w:val="20"/>
              </w:rPr>
              <w:t xml:space="preserve">For the years ended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w:t>
            </w:r>
          </w:p>
        </w:tc>
        <w:tc>
          <w:tcPr>
            <w:tcW w:w="750" w:type="pct"/>
            <w:shd w:val="clear" w:color="auto" w:fill="auto"/>
          </w:tcPr>
          <w:p w14:paraId="739B3BF8" w14:textId="50C2C88C" w:rsidR="00F9711B"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752" w:type="pct"/>
            <w:shd w:val="clear" w:color="auto" w:fill="auto"/>
          </w:tcPr>
          <w:p w14:paraId="25587B67" w14:textId="395D1D04" w:rsidR="00F9711B"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c>
          <w:tcPr>
            <w:tcW w:w="752" w:type="pct"/>
            <w:shd w:val="clear" w:color="auto" w:fill="auto"/>
          </w:tcPr>
          <w:p w14:paraId="4E82DDE2" w14:textId="695E5DC2" w:rsidR="00F9711B"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751" w:type="pct"/>
            <w:shd w:val="clear" w:color="auto" w:fill="auto"/>
          </w:tcPr>
          <w:p w14:paraId="0D86FB2D" w14:textId="583021D4" w:rsidR="00F9711B"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1E6C66" w:rsidRPr="002D2F67" w14:paraId="1D169D19" w14:textId="77777777" w:rsidTr="005611FE">
        <w:tc>
          <w:tcPr>
            <w:tcW w:w="1995" w:type="pct"/>
            <w:shd w:val="clear" w:color="auto" w:fill="auto"/>
          </w:tcPr>
          <w:p w14:paraId="5E275D84" w14:textId="77777777" w:rsidR="001E6C66" w:rsidRPr="002D2F67" w:rsidRDefault="001E6C66" w:rsidP="005611FE">
            <w:pPr>
              <w:ind w:left="29"/>
              <w:rPr>
                <w:rFonts w:ascii="Arial" w:hAnsi="Arial" w:cs="Arial"/>
                <w:color w:val="000000"/>
                <w:sz w:val="20"/>
                <w:szCs w:val="20"/>
              </w:rPr>
            </w:pPr>
          </w:p>
        </w:tc>
        <w:tc>
          <w:tcPr>
            <w:tcW w:w="750" w:type="pct"/>
            <w:tcBorders>
              <w:bottom w:val="single" w:sz="4" w:space="0" w:color="auto"/>
            </w:tcBorders>
            <w:shd w:val="clear" w:color="auto" w:fill="auto"/>
          </w:tcPr>
          <w:p w14:paraId="273B68B2" w14:textId="782A1E38" w:rsidR="001E6C66" w:rsidRPr="002D2F67" w:rsidRDefault="001E6C66"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5338A6" w:rsidRPr="002D2F67">
              <w:rPr>
                <w:rFonts w:ascii="Arial" w:hAnsi="Arial" w:cs="Arial"/>
                <w:b/>
                <w:bCs/>
                <w:color w:val="000000"/>
                <w:sz w:val="20"/>
                <w:szCs w:val="20"/>
              </w:rPr>
              <w:t>’</w:t>
            </w:r>
            <w:r w:rsidR="00CD5714" w:rsidRPr="00CD5714">
              <w:rPr>
                <w:rFonts w:ascii="Arial" w:hAnsi="Arial" w:cs="Arial"/>
                <w:b/>
                <w:bCs/>
                <w:color w:val="000000"/>
                <w:sz w:val="20"/>
                <w:szCs w:val="20"/>
                <w:lang w:val="en-GB"/>
              </w:rPr>
              <w:t>000</w:t>
            </w:r>
          </w:p>
        </w:tc>
        <w:tc>
          <w:tcPr>
            <w:tcW w:w="752" w:type="pct"/>
            <w:tcBorders>
              <w:bottom w:val="single" w:sz="4" w:space="0" w:color="auto"/>
            </w:tcBorders>
            <w:shd w:val="clear" w:color="auto" w:fill="auto"/>
          </w:tcPr>
          <w:p w14:paraId="2D2C430A" w14:textId="5D72D809" w:rsidR="001E6C66" w:rsidRPr="002D2F67" w:rsidRDefault="005338A6"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752" w:type="pct"/>
            <w:tcBorders>
              <w:bottom w:val="single" w:sz="4" w:space="0" w:color="auto"/>
            </w:tcBorders>
            <w:shd w:val="clear" w:color="auto" w:fill="auto"/>
          </w:tcPr>
          <w:p w14:paraId="1614B053" w14:textId="45A00754" w:rsidR="001E6C66" w:rsidRPr="002D2F67" w:rsidRDefault="005338A6"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751" w:type="pct"/>
            <w:tcBorders>
              <w:bottom w:val="single" w:sz="4" w:space="0" w:color="auto"/>
            </w:tcBorders>
            <w:shd w:val="clear" w:color="auto" w:fill="auto"/>
          </w:tcPr>
          <w:p w14:paraId="32BD23E3" w14:textId="644D56FD" w:rsidR="001E6C66" w:rsidRPr="002D2F67" w:rsidRDefault="005338A6"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1E6C66" w:rsidRPr="002D2F67" w14:paraId="164B0CEE" w14:textId="77777777" w:rsidTr="005611FE">
        <w:tc>
          <w:tcPr>
            <w:tcW w:w="1995" w:type="pct"/>
            <w:shd w:val="clear" w:color="auto" w:fill="auto"/>
          </w:tcPr>
          <w:p w14:paraId="07959590" w14:textId="77777777" w:rsidR="001E6C66" w:rsidRPr="002D2F67" w:rsidRDefault="001E6C66" w:rsidP="005611FE">
            <w:pPr>
              <w:ind w:left="29"/>
              <w:rPr>
                <w:rFonts w:ascii="Arial" w:hAnsi="Arial" w:cs="Arial"/>
                <w:color w:val="000000"/>
                <w:sz w:val="20"/>
                <w:szCs w:val="20"/>
              </w:rPr>
            </w:pPr>
          </w:p>
        </w:tc>
        <w:tc>
          <w:tcPr>
            <w:tcW w:w="750" w:type="pct"/>
            <w:tcBorders>
              <w:top w:val="single" w:sz="4" w:space="0" w:color="auto"/>
            </w:tcBorders>
            <w:shd w:val="clear" w:color="auto" w:fill="auto"/>
          </w:tcPr>
          <w:p w14:paraId="109761C0" w14:textId="77777777" w:rsidR="001E6C66" w:rsidRPr="002D2F67" w:rsidRDefault="001E6C66" w:rsidP="005611FE">
            <w:pPr>
              <w:tabs>
                <w:tab w:val="left" w:pos="709"/>
              </w:tabs>
              <w:ind w:right="-72"/>
              <w:rPr>
                <w:rFonts w:ascii="Arial" w:hAnsi="Arial" w:cs="Arial"/>
                <w:color w:val="000000"/>
                <w:sz w:val="20"/>
                <w:szCs w:val="20"/>
              </w:rPr>
            </w:pPr>
          </w:p>
        </w:tc>
        <w:tc>
          <w:tcPr>
            <w:tcW w:w="752" w:type="pct"/>
            <w:tcBorders>
              <w:top w:val="single" w:sz="4" w:space="0" w:color="auto"/>
            </w:tcBorders>
            <w:shd w:val="clear" w:color="auto" w:fill="auto"/>
          </w:tcPr>
          <w:p w14:paraId="1A8DAB37" w14:textId="77777777" w:rsidR="001E6C66" w:rsidRPr="002D2F67" w:rsidRDefault="001E6C66" w:rsidP="005611FE">
            <w:pPr>
              <w:tabs>
                <w:tab w:val="left" w:pos="709"/>
              </w:tabs>
              <w:ind w:right="-72"/>
              <w:rPr>
                <w:rFonts w:ascii="Arial" w:hAnsi="Arial" w:cs="Arial"/>
                <w:color w:val="000000"/>
                <w:sz w:val="20"/>
                <w:szCs w:val="20"/>
              </w:rPr>
            </w:pPr>
          </w:p>
        </w:tc>
        <w:tc>
          <w:tcPr>
            <w:tcW w:w="752" w:type="pct"/>
            <w:tcBorders>
              <w:top w:val="single" w:sz="4" w:space="0" w:color="auto"/>
            </w:tcBorders>
            <w:shd w:val="clear" w:color="auto" w:fill="auto"/>
          </w:tcPr>
          <w:p w14:paraId="47EE13C1" w14:textId="77777777" w:rsidR="001E6C66" w:rsidRPr="002D2F67" w:rsidRDefault="001E6C66" w:rsidP="005611FE">
            <w:pPr>
              <w:tabs>
                <w:tab w:val="left" w:pos="709"/>
              </w:tabs>
              <w:ind w:right="-72"/>
              <w:rPr>
                <w:rFonts w:ascii="Arial" w:hAnsi="Arial" w:cs="Arial"/>
                <w:color w:val="000000"/>
                <w:sz w:val="20"/>
                <w:szCs w:val="20"/>
              </w:rPr>
            </w:pPr>
          </w:p>
        </w:tc>
        <w:tc>
          <w:tcPr>
            <w:tcW w:w="751" w:type="pct"/>
            <w:tcBorders>
              <w:top w:val="single" w:sz="4" w:space="0" w:color="auto"/>
            </w:tcBorders>
            <w:shd w:val="clear" w:color="auto" w:fill="auto"/>
          </w:tcPr>
          <w:p w14:paraId="1378A47D" w14:textId="77777777" w:rsidR="001E6C66" w:rsidRPr="002D2F67" w:rsidRDefault="001E6C66" w:rsidP="005611FE">
            <w:pPr>
              <w:tabs>
                <w:tab w:val="left" w:pos="709"/>
              </w:tabs>
              <w:ind w:right="-72"/>
              <w:rPr>
                <w:rFonts w:ascii="Arial" w:hAnsi="Arial" w:cs="Arial"/>
                <w:color w:val="000000"/>
                <w:sz w:val="20"/>
                <w:szCs w:val="20"/>
              </w:rPr>
            </w:pPr>
          </w:p>
        </w:tc>
      </w:tr>
      <w:tr w:rsidR="00DF15D0" w:rsidRPr="002D2F67" w14:paraId="1C4A551D" w14:textId="77777777" w:rsidTr="00F832D6">
        <w:tc>
          <w:tcPr>
            <w:tcW w:w="1995" w:type="pct"/>
            <w:shd w:val="clear" w:color="auto" w:fill="auto"/>
          </w:tcPr>
          <w:p w14:paraId="67A6F15C" w14:textId="77777777" w:rsidR="007D511E" w:rsidRPr="002D2F67" w:rsidRDefault="00DF15D0" w:rsidP="005611FE">
            <w:pPr>
              <w:tabs>
                <w:tab w:val="left" w:pos="1179"/>
              </w:tabs>
              <w:ind w:left="29" w:right="-163"/>
              <w:rPr>
                <w:rFonts w:ascii="Arial" w:hAnsi="Arial" w:cs="Arial"/>
                <w:color w:val="000000"/>
                <w:sz w:val="20"/>
                <w:szCs w:val="20"/>
              </w:rPr>
            </w:pPr>
            <w:r w:rsidRPr="002D2F67">
              <w:rPr>
                <w:rFonts w:ascii="Arial" w:hAnsi="Arial" w:cs="Arial"/>
                <w:color w:val="000000"/>
                <w:sz w:val="20"/>
                <w:szCs w:val="20"/>
              </w:rPr>
              <w:t>Interest paid</w:t>
            </w:r>
            <w:r w:rsidRPr="002D2F67">
              <w:rPr>
                <w:rFonts w:ascii="Arial" w:hAnsi="Arial" w:cs="Arial"/>
                <w:color w:val="000000"/>
                <w:sz w:val="20"/>
                <w:szCs w:val="20"/>
                <w:cs/>
              </w:rPr>
              <w:tab/>
            </w:r>
          </w:p>
          <w:p w14:paraId="583BBECE" w14:textId="3E0BD995" w:rsidR="00DF15D0" w:rsidRPr="002D2F67" w:rsidRDefault="00DF15D0" w:rsidP="0059063B">
            <w:pPr>
              <w:tabs>
                <w:tab w:val="left" w:pos="1179"/>
              </w:tabs>
              <w:ind w:left="29" w:right="-163" w:firstLine="113"/>
              <w:rPr>
                <w:rFonts w:ascii="Arial" w:hAnsi="Arial" w:cs="Arial"/>
                <w:color w:val="000000"/>
                <w:sz w:val="20"/>
                <w:szCs w:val="20"/>
              </w:rPr>
            </w:pPr>
            <w:r w:rsidRPr="002D2F67">
              <w:rPr>
                <w:rFonts w:ascii="Arial" w:hAnsi="Arial" w:cs="Arial"/>
                <w:color w:val="000000"/>
                <w:sz w:val="20"/>
                <w:szCs w:val="20"/>
              </w:rPr>
              <w:t>- other parties</w:t>
            </w:r>
          </w:p>
        </w:tc>
        <w:tc>
          <w:tcPr>
            <w:tcW w:w="750" w:type="pct"/>
            <w:tcBorders>
              <w:top w:val="nil"/>
              <w:left w:val="nil"/>
              <w:right w:val="nil"/>
            </w:tcBorders>
            <w:shd w:val="clear" w:color="auto" w:fill="auto"/>
            <w:vAlign w:val="bottom"/>
          </w:tcPr>
          <w:p w14:paraId="0713D575" w14:textId="4E9D4D79"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sz w:val="20"/>
                <w:szCs w:val="20"/>
                <w:lang w:val="en-GB"/>
              </w:rPr>
              <w:t>2</w:t>
            </w:r>
            <w:r w:rsidR="005869CC" w:rsidRPr="002D2F67">
              <w:rPr>
                <w:rFonts w:ascii="Arial" w:hAnsi="Arial" w:cs="Arial"/>
                <w:sz w:val="20"/>
                <w:szCs w:val="20"/>
              </w:rPr>
              <w:t>,</w:t>
            </w:r>
            <w:r w:rsidRPr="00CD5714">
              <w:rPr>
                <w:rFonts w:ascii="Arial" w:hAnsi="Arial" w:cs="Arial"/>
                <w:sz w:val="20"/>
                <w:szCs w:val="20"/>
                <w:lang w:val="en-GB"/>
              </w:rPr>
              <w:t>462</w:t>
            </w:r>
            <w:r w:rsidR="005869CC" w:rsidRPr="002D2F67">
              <w:rPr>
                <w:rFonts w:ascii="Arial" w:hAnsi="Arial" w:cs="Arial"/>
                <w:sz w:val="20"/>
                <w:szCs w:val="20"/>
              </w:rPr>
              <w:t>,</w:t>
            </w:r>
            <w:r w:rsidRPr="00CD5714">
              <w:rPr>
                <w:rFonts w:ascii="Arial" w:hAnsi="Arial" w:cs="Arial"/>
                <w:sz w:val="20"/>
                <w:szCs w:val="20"/>
                <w:lang w:val="en-GB"/>
              </w:rPr>
              <w:t>989</w:t>
            </w:r>
          </w:p>
        </w:tc>
        <w:tc>
          <w:tcPr>
            <w:tcW w:w="752" w:type="pct"/>
            <w:shd w:val="clear" w:color="auto" w:fill="auto"/>
            <w:vAlign w:val="bottom"/>
          </w:tcPr>
          <w:p w14:paraId="1EF09D35" w14:textId="6CE10818"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sz w:val="20"/>
                <w:szCs w:val="20"/>
                <w:lang w:val="en-GB"/>
              </w:rPr>
              <w:t>2</w:t>
            </w:r>
            <w:r w:rsidR="00DF15D0" w:rsidRPr="002D2F67">
              <w:rPr>
                <w:rFonts w:ascii="Arial" w:hAnsi="Arial" w:cs="Arial"/>
                <w:sz w:val="20"/>
                <w:szCs w:val="20"/>
              </w:rPr>
              <w:t>,</w:t>
            </w:r>
            <w:r w:rsidRPr="00CD5714">
              <w:rPr>
                <w:rFonts w:ascii="Arial" w:hAnsi="Arial" w:cs="Arial"/>
                <w:sz w:val="20"/>
                <w:szCs w:val="20"/>
                <w:lang w:val="en-GB"/>
              </w:rPr>
              <w:t>117</w:t>
            </w:r>
            <w:r w:rsidR="00DF15D0" w:rsidRPr="002D2F67">
              <w:rPr>
                <w:rFonts w:ascii="Arial" w:hAnsi="Arial" w:cs="Arial"/>
                <w:sz w:val="20"/>
                <w:szCs w:val="20"/>
              </w:rPr>
              <w:t>,</w:t>
            </w:r>
            <w:r w:rsidRPr="00CD5714">
              <w:rPr>
                <w:rFonts w:ascii="Arial" w:hAnsi="Arial" w:cs="Arial"/>
                <w:sz w:val="20"/>
                <w:szCs w:val="20"/>
                <w:lang w:val="en-GB"/>
              </w:rPr>
              <w:t>866</w:t>
            </w:r>
          </w:p>
        </w:tc>
        <w:tc>
          <w:tcPr>
            <w:tcW w:w="752" w:type="pct"/>
            <w:shd w:val="clear" w:color="auto" w:fill="auto"/>
            <w:vAlign w:val="bottom"/>
          </w:tcPr>
          <w:p w14:paraId="0FCBBA79" w14:textId="604AB947"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sz w:val="20"/>
                <w:szCs w:val="20"/>
                <w:lang w:val="en-GB"/>
              </w:rPr>
              <w:t>1</w:t>
            </w:r>
            <w:r w:rsidR="005869CC" w:rsidRPr="002D2F67">
              <w:rPr>
                <w:rFonts w:ascii="Arial" w:hAnsi="Arial" w:cs="Arial"/>
                <w:sz w:val="20"/>
                <w:szCs w:val="20"/>
              </w:rPr>
              <w:t>,</w:t>
            </w:r>
            <w:r w:rsidRPr="00CD5714">
              <w:rPr>
                <w:rFonts w:ascii="Arial" w:hAnsi="Arial" w:cs="Arial"/>
                <w:sz w:val="20"/>
                <w:szCs w:val="20"/>
                <w:lang w:val="en-GB"/>
              </w:rPr>
              <w:t>783</w:t>
            </w:r>
            <w:r w:rsidR="005869CC" w:rsidRPr="002D2F67">
              <w:rPr>
                <w:rFonts w:ascii="Arial" w:hAnsi="Arial" w:cs="Arial"/>
                <w:sz w:val="20"/>
                <w:szCs w:val="20"/>
              </w:rPr>
              <w:t>,</w:t>
            </w:r>
            <w:r w:rsidRPr="00CD5714">
              <w:rPr>
                <w:rFonts w:ascii="Arial" w:hAnsi="Arial" w:cs="Arial"/>
                <w:sz w:val="20"/>
                <w:szCs w:val="20"/>
                <w:lang w:val="en-GB"/>
              </w:rPr>
              <w:t>901</w:t>
            </w:r>
          </w:p>
        </w:tc>
        <w:tc>
          <w:tcPr>
            <w:tcW w:w="751" w:type="pct"/>
            <w:shd w:val="clear" w:color="auto" w:fill="auto"/>
            <w:vAlign w:val="bottom"/>
          </w:tcPr>
          <w:p w14:paraId="15BD5A9F" w14:textId="55B87551"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sz w:val="20"/>
                <w:szCs w:val="20"/>
                <w:lang w:val="en-GB"/>
              </w:rPr>
              <w:t>1</w:t>
            </w:r>
            <w:r w:rsidR="00DF15D0" w:rsidRPr="002D2F67">
              <w:rPr>
                <w:rFonts w:ascii="Arial" w:hAnsi="Arial" w:cs="Arial"/>
                <w:sz w:val="20"/>
                <w:szCs w:val="20"/>
              </w:rPr>
              <w:t>,</w:t>
            </w:r>
            <w:r w:rsidRPr="00CD5714">
              <w:rPr>
                <w:rFonts w:ascii="Arial" w:hAnsi="Arial" w:cs="Arial"/>
                <w:sz w:val="20"/>
                <w:szCs w:val="20"/>
                <w:lang w:val="en-GB"/>
              </w:rPr>
              <w:t>311</w:t>
            </w:r>
            <w:r w:rsidR="00DF15D0" w:rsidRPr="002D2F67">
              <w:rPr>
                <w:rFonts w:ascii="Arial" w:hAnsi="Arial" w:cs="Arial"/>
                <w:sz w:val="20"/>
                <w:szCs w:val="20"/>
              </w:rPr>
              <w:t>,</w:t>
            </w:r>
            <w:r w:rsidRPr="00CD5714">
              <w:rPr>
                <w:rFonts w:ascii="Arial" w:hAnsi="Arial" w:cs="Arial"/>
                <w:sz w:val="20"/>
                <w:szCs w:val="20"/>
                <w:lang w:val="en-GB"/>
              </w:rPr>
              <w:t>403</w:t>
            </w:r>
          </w:p>
        </w:tc>
      </w:tr>
      <w:tr w:rsidR="00DF15D0" w:rsidRPr="002D2F67" w14:paraId="706C68A8" w14:textId="77777777" w:rsidTr="00F832D6">
        <w:tc>
          <w:tcPr>
            <w:tcW w:w="1995" w:type="pct"/>
            <w:shd w:val="clear" w:color="auto" w:fill="auto"/>
          </w:tcPr>
          <w:p w14:paraId="6AAFFAB8" w14:textId="4F427731" w:rsidR="00DF15D0" w:rsidRPr="002D2F67" w:rsidRDefault="00DF15D0" w:rsidP="0059063B">
            <w:pPr>
              <w:tabs>
                <w:tab w:val="left" w:pos="1179"/>
              </w:tabs>
              <w:ind w:left="29" w:right="-163" w:firstLine="113"/>
              <w:rPr>
                <w:rFonts w:ascii="Arial" w:hAnsi="Arial" w:cs="Arial"/>
                <w:color w:val="000000"/>
                <w:sz w:val="20"/>
                <w:szCs w:val="20"/>
              </w:rPr>
            </w:pPr>
            <w:r w:rsidRPr="002D2F67">
              <w:rPr>
                <w:rFonts w:ascii="Arial" w:hAnsi="Arial" w:cs="Arial"/>
                <w:color w:val="000000"/>
                <w:sz w:val="20"/>
                <w:szCs w:val="20"/>
              </w:rPr>
              <w:t>- related parties</w:t>
            </w:r>
          </w:p>
        </w:tc>
        <w:tc>
          <w:tcPr>
            <w:tcW w:w="750" w:type="pct"/>
            <w:tcBorders>
              <w:top w:val="nil"/>
              <w:left w:val="nil"/>
              <w:right w:val="nil"/>
            </w:tcBorders>
            <w:shd w:val="clear" w:color="auto" w:fill="auto"/>
            <w:vAlign w:val="bottom"/>
          </w:tcPr>
          <w:p w14:paraId="7C326617" w14:textId="54F742F3"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sz w:val="20"/>
                <w:szCs w:val="20"/>
                <w:lang w:val="en-GB"/>
              </w:rPr>
              <w:t>15</w:t>
            </w:r>
            <w:r w:rsidR="005869CC" w:rsidRPr="002D2F67">
              <w:rPr>
                <w:rFonts w:ascii="Arial" w:hAnsi="Arial" w:cs="Arial"/>
                <w:sz w:val="20"/>
                <w:szCs w:val="20"/>
              </w:rPr>
              <w:t>,</w:t>
            </w:r>
            <w:r w:rsidRPr="00CD5714">
              <w:rPr>
                <w:rFonts w:ascii="Arial" w:hAnsi="Arial" w:cs="Arial"/>
                <w:sz w:val="20"/>
                <w:szCs w:val="20"/>
                <w:lang w:val="en-GB"/>
              </w:rPr>
              <w:t>582</w:t>
            </w:r>
          </w:p>
        </w:tc>
        <w:tc>
          <w:tcPr>
            <w:tcW w:w="752" w:type="pct"/>
            <w:shd w:val="clear" w:color="auto" w:fill="auto"/>
            <w:vAlign w:val="bottom"/>
          </w:tcPr>
          <w:p w14:paraId="34838D39" w14:textId="4DB4E202"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sz w:val="20"/>
                <w:szCs w:val="20"/>
                <w:lang w:val="en-GB"/>
              </w:rPr>
              <w:t>11</w:t>
            </w:r>
            <w:r w:rsidR="00DF15D0" w:rsidRPr="002D2F67">
              <w:rPr>
                <w:rFonts w:ascii="Arial" w:hAnsi="Arial" w:cs="Arial"/>
                <w:sz w:val="20"/>
                <w:szCs w:val="20"/>
              </w:rPr>
              <w:t>,</w:t>
            </w:r>
            <w:r w:rsidRPr="00CD5714">
              <w:rPr>
                <w:rFonts w:ascii="Arial" w:hAnsi="Arial" w:cs="Arial"/>
                <w:sz w:val="20"/>
                <w:szCs w:val="20"/>
                <w:lang w:val="en-GB"/>
              </w:rPr>
              <w:t>168</w:t>
            </w:r>
          </w:p>
        </w:tc>
        <w:tc>
          <w:tcPr>
            <w:tcW w:w="752" w:type="pct"/>
            <w:shd w:val="clear" w:color="auto" w:fill="auto"/>
            <w:vAlign w:val="bottom"/>
          </w:tcPr>
          <w:p w14:paraId="35CD89C4" w14:textId="0DE5B26E"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sz w:val="20"/>
                <w:szCs w:val="20"/>
                <w:lang w:val="en-GB"/>
              </w:rPr>
              <w:t>72</w:t>
            </w:r>
            <w:r w:rsidR="00A97091" w:rsidRPr="002D2F67">
              <w:rPr>
                <w:rFonts w:ascii="Arial" w:hAnsi="Arial" w:cs="Arial"/>
                <w:sz w:val="20"/>
                <w:szCs w:val="20"/>
              </w:rPr>
              <w:t>,</w:t>
            </w:r>
            <w:r w:rsidRPr="00CD5714">
              <w:rPr>
                <w:rFonts w:ascii="Arial" w:hAnsi="Arial" w:cs="Arial"/>
                <w:sz w:val="20"/>
                <w:szCs w:val="20"/>
                <w:lang w:val="en-GB"/>
              </w:rPr>
              <w:t>582</w:t>
            </w:r>
          </w:p>
        </w:tc>
        <w:tc>
          <w:tcPr>
            <w:tcW w:w="751" w:type="pct"/>
            <w:shd w:val="clear" w:color="auto" w:fill="auto"/>
            <w:vAlign w:val="bottom"/>
          </w:tcPr>
          <w:p w14:paraId="292AF7AD" w14:textId="1994906E"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sz w:val="20"/>
                <w:szCs w:val="20"/>
                <w:lang w:val="en-GB"/>
              </w:rPr>
              <w:t>17</w:t>
            </w:r>
            <w:r w:rsidR="00DF15D0" w:rsidRPr="002D2F67">
              <w:rPr>
                <w:rFonts w:ascii="Arial" w:hAnsi="Arial" w:cs="Arial"/>
                <w:sz w:val="20"/>
                <w:szCs w:val="20"/>
              </w:rPr>
              <w:t>,</w:t>
            </w:r>
            <w:r w:rsidRPr="00CD5714">
              <w:rPr>
                <w:rFonts w:ascii="Arial" w:hAnsi="Arial" w:cs="Arial"/>
                <w:sz w:val="20"/>
                <w:szCs w:val="20"/>
                <w:lang w:val="en-GB"/>
              </w:rPr>
              <w:t>661</w:t>
            </w:r>
          </w:p>
        </w:tc>
      </w:tr>
      <w:tr w:rsidR="00DF15D0" w:rsidRPr="002D2F67" w14:paraId="28688488" w14:textId="77777777" w:rsidTr="005611FE">
        <w:tc>
          <w:tcPr>
            <w:tcW w:w="1995" w:type="pct"/>
            <w:shd w:val="clear" w:color="auto" w:fill="auto"/>
          </w:tcPr>
          <w:p w14:paraId="09F7F9CF" w14:textId="77777777" w:rsidR="00DF15D0" w:rsidRPr="002D2F67" w:rsidRDefault="00DF15D0" w:rsidP="005611FE">
            <w:pPr>
              <w:ind w:left="29" w:right="-163"/>
              <w:rPr>
                <w:rFonts w:ascii="Arial" w:hAnsi="Arial" w:cs="Arial"/>
                <w:color w:val="000000"/>
                <w:sz w:val="20"/>
                <w:szCs w:val="20"/>
              </w:rPr>
            </w:pPr>
            <w:r w:rsidRPr="002D2F67">
              <w:rPr>
                <w:rFonts w:ascii="Arial" w:hAnsi="Arial" w:cs="Arial"/>
                <w:color w:val="000000"/>
                <w:sz w:val="20"/>
                <w:szCs w:val="20"/>
              </w:rPr>
              <w:t xml:space="preserve">Deferred interest of lease liabilities </w:t>
            </w:r>
          </w:p>
          <w:p w14:paraId="09372895" w14:textId="77777777" w:rsidR="00DF15D0" w:rsidRPr="002D2F67" w:rsidRDefault="00DF15D0" w:rsidP="005611FE">
            <w:pPr>
              <w:ind w:left="29" w:right="-163"/>
              <w:rPr>
                <w:rFonts w:ascii="Arial" w:hAnsi="Arial" w:cs="Arial"/>
                <w:color w:val="000000"/>
                <w:sz w:val="20"/>
                <w:szCs w:val="20"/>
              </w:rPr>
            </w:pPr>
            <w:r w:rsidRPr="002D2F67">
              <w:rPr>
                <w:rFonts w:ascii="Arial" w:hAnsi="Arial" w:cs="Arial"/>
                <w:color w:val="000000"/>
                <w:sz w:val="20"/>
                <w:szCs w:val="20"/>
              </w:rPr>
              <w:t xml:space="preserve">   amortisation</w:t>
            </w:r>
          </w:p>
        </w:tc>
        <w:tc>
          <w:tcPr>
            <w:tcW w:w="750" w:type="pct"/>
            <w:shd w:val="clear" w:color="auto" w:fill="auto"/>
            <w:vAlign w:val="bottom"/>
          </w:tcPr>
          <w:p w14:paraId="241CA051" w14:textId="2C93C8DC"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sz w:val="20"/>
                <w:szCs w:val="20"/>
                <w:lang w:val="en-GB"/>
              </w:rPr>
              <w:t>30</w:t>
            </w:r>
            <w:r w:rsidR="005869CC" w:rsidRPr="002D2F67">
              <w:rPr>
                <w:rFonts w:ascii="Arial" w:hAnsi="Arial" w:cs="Arial"/>
                <w:sz w:val="20"/>
                <w:szCs w:val="20"/>
              </w:rPr>
              <w:t>,</w:t>
            </w:r>
            <w:r w:rsidRPr="00CD5714">
              <w:rPr>
                <w:rFonts w:ascii="Arial" w:hAnsi="Arial" w:cs="Arial"/>
                <w:sz w:val="20"/>
                <w:szCs w:val="20"/>
                <w:lang w:val="en-GB"/>
              </w:rPr>
              <w:t>351</w:t>
            </w:r>
          </w:p>
        </w:tc>
        <w:tc>
          <w:tcPr>
            <w:tcW w:w="752" w:type="pct"/>
            <w:shd w:val="clear" w:color="auto" w:fill="auto"/>
            <w:vAlign w:val="bottom"/>
          </w:tcPr>
          <w:p w14:paraId="793F0223" w14:textId="00A35AF6"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sz w:val="20"/>
                <w:szCs w:val="20"/>
                <w:lang w:val="en-GB"/>
              </w:rPr>
              <w:t>27</w:t>
            </w:r>
            <w:r w:rsidR="00DF15D0" w:rsidRPr="002D2F67">
              <w:rPr>
                <w:rFonts w:ascii="Arial" w:hAnsi="Arial" w:cs="Arial"/>
                <w:sz w:val="20"/>
                <w:szCs w:val="20"/>
              </w:rPr>
              <w:t>,</w:t>
            </w:r>
            <w:r w:rsidRPr="00CD5714">
              <w:rPr>
                <w:rFonts w:ascii="Arial" w:hAnsi="Arial" w:cs="Arial"/>
                <w:sz w:val="20"/>
                <w:szCs w:val="20"/>
                <w:lang w:val="en-GB"/>
              </w:rPr>
              <w:t>056</w:t>
            </w:r>
          </w:p>
        </w:tc>
        <w:tc>
          <w:tcPr>
            <w:tcW w:w="752" w:type="pct"/>
            <w:shd w:val="clear" w:color="auto" w:fill="auto"/>
            <w:vAlign w:val="bottom"/>
          </w:tcPr>
          <w:p w14:paraId="0141FA32" w14:textId="3EEE3AD2"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sz w:val="20"/>
                <w:szCs w:val="20"/>
                <w:lang w:val="en-GB"/>
              </w:rPr>
              <w:t>7</w:t>
            </w:r>
            <w:r w:rsidR="00A97091" w:rsidRPr="002D2F67">
              <w:rPr>
                <w:rFonts w:ascii="Arial" w:hAnsi="Arial" w:cs="Arial"/>
                <w:sz w:val="20"/>
                <w:szCs w:val="20"/>
              </w:rPr>
              <w:t>,</w:t>
            </w:r>
            <w:r w:rsidRPr="00CD5714">
              <w:rPr>
                <w:rFonts w:ascii="Arial" w:hAnsi="Arial" w:cs="Arial"/>
                <w:sz w:val="20"/>
                <w:szCs w:val="20"/>
                <w:lang w:val="en-GB"/>
              </w:rPr>
              <w:t>946</w:t>
            </w:r>
          </w:p>
        </w:tc>
        <w:tc>
          <w:tcPr>
            <w:tcW w:w="751" w:type="pct"/>
            <w:shd w:val="clear" w:color="auto" w:fill="auto"/>
            <w:vAlign w:val="bottom"/>
          </w:tcPr>
          <w:p w14:paraId="5B27FED8" w14:textId="45B88942"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sz w:val="20"/>
                <w:szCs w:val="20"/>
                <w:lang w:val="en-GB"/>
              </w:rPr>
              <w:t>9</w:t>
            </w:r>
            <w:r w:rsidR="00DF15D0" w:rsidRPr="002D2F67">
              <w:rPr>
                <w:rFonts w:ascii="Arial" w:hAnsi="Arial" w:cs="Arial"/>
                <w:sz w:val="20"/>
                <w:szCs w:val="20"/>
              </w:rPr>
              <w:t>,</w:t>
            </w:r>
            <w:r w:rsidRPr="00CD5714">
              <w:rPr>
                <w:rFonts w:ascii="Arial" w:hAnsi="Arial" w:cs="Arial"/>
                <w:sz w:val="20"/>
                <w:szCs w:val="20"/>
                <w:lang w:val="en-GB"/>
              </w:rPr>
              <w:t>498</w:t>
            </w:r>
          </w:p>
        </w:tc>
      </w:tr>
      <w:tr w:rsidR="00DF15D0" w:rsidRPr="002D2F67" w14:paraId="448AD777" w14:textId="77777777" w:rsidTr="005611FE">
        <w:tc>
          <w:tcPr>
            <w:tcW w:w="1995" w:type="pct"/>
            <w:shd w:val="clear" w:color="auto" w:fill="auto"/>
          </w:tcPr>
          <w:p w14:paraId="4CB10F1A" w14:textId="77777777" w:rsidR="00DF15D0" w:rsidRPr="002D2F67" w:rsidRDefault="00DF15D0" w:rsidP="005611FE">
            <w:pPr>
              <w:ind w:left="29" w:right="-163"/>
              <w:rPr>
                <w:rFonts w:ascii="Arial" w:hAnsi="Arial" w:cs="Arial"/>
                <w:color w:val="000000"/>
                <w:sz w:val="20"/>
                <w:szCs w:val="20"/>
              </w:rPr>
            </w:pPr>
            <w:r w:rsidRPr="002D2F67">
              <w:rPr>
                <w:rFonts w:ascii="Arial" w:hAnsi="Arial" w:cs="Arial"/>
                <w:color w:val="000000"/>
                <w:sz w:val="20"/>
                <w:szCs w:val="20"/>
              </w:rPr>
              <w:t>Letter guarantee fee amortisation</w:t>
            </w:r>
          </w:p>
        </w:tc>
        <w:tc>
          <w:tcPr>
            <w:tcW w:w="750" w:type="pct"/>
            <w:shd w:val="clear" w:color="auto" w:fill="auto"/>
            <w:vAlign w:val="bottom"/>
          </w:tcPr>
          <w:p w14:paraId="3F9D2D0A" w14:textId="05853217"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sz w:val="20"/>
                <w:szCs w:val="20"/>
                <w:lang w:val="en-GB"/>
              </w:rPr>
              <w:t>7</w:t>
            </w:r>
            <w:r w:rsidR="005869CC" w:rsidRPr="002D2F67">
              <w:rPr>
                <w:rFonts w:ascii="Arial" w:hAnsi="Arial" w:cs="Arial"/>
                <w:sz w:val="20"/>
                <w:szCs w:val="20"/>
              </w:rPr>
              <w:t>,</w:t>
            </w:r>
            <w:r w:rsidRPr="00CD5714">
              <w:rPr>
                <w:rFonts w:ascii="Arial" w:hAnsi="Arial" w:cs="Arial"/>
                <w:sz w:val="20"/>
                <w:szCs w:val="20"/>
                <w:lang w:val="en-GB"/>
              </w:rPr>
              <w:t>095</w:t>
            </w:r>
          </w:p>
        </w:tc>
        <w:tc>
          <w:tcPr>
            <w:tcW w:w="752" w:type="pct"/>
            <w:shd w:val="clear" w:color="auto" w:fill="auto"/>
            <w:vAlign w:val="bottom"/>
          </w:tcPr>
          <w:p w14:paraId="0BD5B53F" w14:textId="517BF3BA"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sz w:val="20"/>
                <w:szCs w:val="20"/>
                <w:lang w:val="en-GB"/>
              </w:rPr>
              <w:t>12</w:t>
            </w:r>
            <w:r w:rsidR="00DF15D0" w:rsidRPr="002D2F67">
              <w:rPr>
                <w:rFonts w:ascii="Arial" w:hAnsi="Arial" w:cs="Arial"/>
                <w:sz w:val="20"/>
                <w:szCs w:val="20"/>
              </w:rPr>
              <w:t>,</w:t>
            </w:r>
            <w:r w:rsidRPr="00CD5714">
              <w:rPr>
                <w:rFonts w:ascii="Arial" w:hAnsi="Arial" w:cs="Arial"/>
                <w:sz w:val="20"/>
                <w:szCs w:val="20"/>
                <w:lang w:val="en-GB"/>
              </w:rPr>
              <w:t>595</w:t>
            </w:r>
          </w:p>
        </w:tc>
        <w:tc>
          <w:tcPr>
            <w:tcW w:w="752" w:type="pct"/>
            <w:shd w:val="clear" w:color="auto" w:fill="auto"/>
            <w:vAlign w:val="bottom"/>
          </w:tcPr>
          <w:p w14:paraId="2096F8D9" w14:textId="50BFCF2A"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sz w:val="20"/>
                <w:szCs w:val="20"/>
                <w:lang w:val="en-GB"/>
              </w:rPr>
              <w:t>3</w:t>
            </w:r>
            <w:r w:rsidR="00A97091" w:rsidRPr="002D2F67">
              <w:rPr>
                <w:rFonts w:ascii="Arial" w:hAnsi="Arial" w:cs="Arial"/>
                <w:sz w:val="20"/>
                <w:szCs w:val="20"/>
              </w:rPr>
              <w:t>,</w:t>
            </w:r>
            <w:r w:rsidRPr="00CD5714">
              <w:rPr>
                <w:rFonts w:ascii="Arial" w:hAnsi="Arial" w:cs="Arial"/>
                <w:sz w:val="20"/>
                <w:szCs w:val="20"/>
                <w:lang w:val="en-GB"/>
              </w:rPr>
              <w:t>059</w:t>
            </w:r>
          </w:p>
        </w:tc>
        <w:tc>
          <w:tcPr>
            <w:tcW w:w="751" w:type="pct"/>
            <w:shd w:val="clear" w:color="auto" w:fill="auto"/>
            <w:vAlign w:val="bottom"/>
          </w:tcPr>
          <w:p w14:paraId="5AD550D5" w14:textId="7572F64C"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sz w:val="20"/>
                <w:szCs w:val="20"/>
                <w:lang w:val="en-GB"/>
              </w:rPr>
              <w:t>6</w:t>
            </w:r>
            <w:r w:rsidR="00DF15D0" w:rsidRPr="002D2F67">
              <w:rPr>
                <w:rFonts w:ascii="Arial" w:hAnsi="Arial" w:cs="Arial"/>
                <w:sz w:val="20"/>
                <w:szCs w:val="20"/>
              </w:rPr>
              <w:t>,</w:t>
            </w:r>
            <w:r w:rsidRPr="00CD5714">
              <w:rPr>
                <w:rFonts w:ascii="Arial" w:hAnsi="Arial" w:cs="Arial"/>
                <w:sz w:val="20"/>
                <w:szCs w:val="20"/>
                <w:lang w:val="en-GB"/>
              </w:rPr>
              <w:t>272</w:t>
            </w:r>
          </w:p>
        </w:tc>
      </w:tr>
      <w:tr w:rsidR="00DF15D0" w:rsidRPr="002D2F67" w14:paraId="275A6FDD" w14:textId="77777777" w:rsidTr="00F832D6">
        <w:tc>
          <w:tcPr>
            <w:tcW w:w="1995" w:type="pct"/>
            <w:shd w:val="clear" w:color="auto" w:fill="auto"/>
          </w:tcPr>
          <w:p w14:paraId="30F636B2" w14:textId="77777777" w:rsidR="00DF15D0" w:rsidRPr="002D2F67" w:rsidRDefault="00DF15D0" w:rsidP="005611FE">
            <w:pPr>
              <w:ind w:left="29"/>
              <w:rPr>
                <w:rFonts w:ascii="Arial" w:hAnsi="Arial" w:cs="Arial"/>
                <w:color w:val="000000"/>
                <w:sz w:val="20"/>
                <w:szCs w:val="20"/>
              </w:rPr>
            </w:pPr>
            <w:r w:rsidRPr="002D2F67">
              <w:rPr>
                <w:rFonts w:ascii="Arial" w:hAnsi="Arial" w:cs="Arial"/>
                <w:color w:val="000000"/>
                <w:sz w:val="20"/>
                <w:szCs w:val="20"/>
              </w:rPr>
              <w:t>Other finance costs</w:t>
            </w:r>
          </w:p>
        </w:tc>
        <w:tc>
          <w:tcPr>
            <w:tcW w:w="750" w:type="pct"/>
            <w:tcBorders>
              <w:bottom w:val="single" w:sz="4" w:space="0" w:color="auto"/>
            </w:tcBorders>
            <w:shd w:val="clear" w:color="auto" w:fill="auto"/>
            <w:vAlign w:val="bottom"/>
          </w:tcPr>
          <w:p w14:paraId="709D0ABA" w14:textId="45ECEEA4"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sz w:val="20"/>
                <w:szCs w:val="20"/>
                <w:lang w:val="en-GB"/>
              </w:rPr>
              <w:t>183</w:t>
            </w:r>
            <w:r w:rsidR="005869CC" w:rsidRPr="002D2F67">
              <w:rPr>
                <w:rFonts w:ascii="Arial" w:hAnsi="Arial" w:cs="Arial"/>
                <w:sz w:val="20"/>
                <w:szCs w:val="20"/>
              </w:rPr>
              <w:t>,</w:t>
            </w:r>
            <w:r w:rsidRPr="00CD5714">
              <w:rPr>
                <w:rFonts w:ascii="Arial" w:hAnsi="Arial" w:cs="Arial"/>
                <w:sz w:val="20"/>
                <w:szCs w:val="20"/>
                <w:lang w:val="en-GB"/>
              </w:rPr>
              <w:t>142</w:t>
            </w:r>
          </w:p>
        </w:tc>
        <w:tc>
          <w:tcPr>
            <w:tcW w:w="752" w:type="pct"/>
            <w:tcBorders>
              <w:bottom w:val="single" w:sz="4" w:space="0" w:color="auto"/>
            </w:tcBorders>
            <w:shd w:val="clear" w:color="auto" w:fill="auto"/>
            <w:vAlign w:val="bottom"/>
          </w:tcPr>
          <w:p w14:paraId="53B16706" w14:textId="3CC76922"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sz w:val="20"/>
                <w:szCs w:val="20"/>
                <w:lang w:val="en-GB"/>
              </w:rPr>
              <w:t>118</w:t>
            </w:r>
            <w:r w:rsidR="00DF15D0" w:rsidRPr="002D2F67">
              <w:rPr>
                <w:rFonts w:ascii="Arial" w:hAnsi="Arial" w:cs="Arial"/>
                <w:sz w:val="20"/>
                <w:szCs w:val="20"/>
              </w:rPr>
              <w:t>,</w:t>
            </w:r>
            <w:r w:rsidRPr="00CD5714">
              <w:rPr>
                <w:rFonts w:ascii="Arial" w:hAnsi="Arial" w:cs="Arial"/>
                <w:sz w:val="20"/>
                <w:szCs w:val="20"/>
                <w:lang w:val="en-GB"/>
              </w:rPr>
              <w:t>787</w:t>
            </w:r>
          </w:p>
        </w:tc>
        <w:tc>
          <w:tcPr>
            <w:tcW w:w="752" w:type="pct"/>
            <w:tcBorders>
              <w:bottom w:val="single" w:sz="4" w:space="0" w:color="auto"/>
            </w:tcBorders>
            <w:shd w:val="clear" w:color="auto" w:fill="auto"/>
            <w:vAlign w:val="bottom"/>
          </w:tcPr>
          <w:p w14:paraId="57CA28EB" w14:textId="61D52D65"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sz w:val="20"/>
                <w:szCs w:val="20"/>
                <w:lang w:val="en-GB"/>
              </w:rPr>
              <w:t>64</w:t>
            </w:r>
            <w:r w:rsidR="005869CC" w:rsidRPr="002D2F67">
              <w:rPr>
                <w:rFonts w:ascii="Arial" w:hAnsi="Arial" w:cs="Arial"/>
                <w:sz w:val="20"/>
                <w:szCs w:val="20"/>
              </w:rPr>
              <w:t>,</w:t>
            </w:r>
            <w:r w:rsidRPr="00CD5714">
              <w:rPr>
                <w:rFonts w:ascii="Arial" w:hAnsi="Arial" w:cs="Arial"/>
                <w:sz w:val="20"/>
                <w:szCs w:val="20"/>
                <w:lang w:val="en-GB"/>
              </w:rPr>
              <w:t>824</w:t>
            </w:r>
          </w:p>
        </w:tc>
        <w:tc>
          <w:tcPr>
            <w:tcW w:w="751" w:type="pct"/>
            <w:tcBorders>
              <w:bottom w:val="single" w:sz="4" w:space="0" w:color="auto"/>
            </w:tcBorders>
            <w:shd w:val="clear" w:color="auto" w:fill="auto"/>
            <w:vAlign w:val="bottom"/>
          </w:tcPr>
          <w:p w14:paraId="0190B41D" w14:textId="275C60D3"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sz w:val="20"/>
                <w:szCs w:val="20"/>
                <w:lang w:val="en-GB"/>
              </w:rPr>
              <w:t>48</w:t>
            </w:r>
            <w:r w:rsidR="00DF15D0" w:rsidRPr="002D2F67">
              <w:rPr>
                <w:rFonts w:ascii="Arial" w:hAnsi="Arial" w:cs="Arial"/>
                <w:sz w:val="20"/>
                <w:szCs w:val="20"/>
              </w:rPr>
              <w:t>,</w:t>
            </w:r>
            <w:r w:rsidRPr="00CD5714">
              <w:rPr>
                <w:rFonts w:ascii="Arial" w:hAnsi="Arial" w:cs="Arial"/>
                <w:sz w:val="20"/>
                <w:szCs w:val="20"/>
                <w:lang w:val="en-GB"/>
              </w:rPr>
              <w:t>834</w:t>
            </w:r>
          </w:p>
        </w:tc>
      </w:tr>
      <w:tr w:rsidR="00DF15D0" w:rsidRPr="002D2F67" w14:paraId="59273379" w14:textId="77777777" w:rsidTr="005611FE">
        <w:tc>
          <w:tcPr>
            <w:tcW w:w="1995" w:type="pct"/>
            <w:shd w:val="clear" w:color="auto" w:fill="auto"/>
          </w:tcPr>
          <w:p w14:paraId="53823505" w14:textId="77777777" w:rsidR="00DF15D0" w:rsidRPr="002D2F67" w:rsidRDefault="00DF15D0" w:rsidP="005611FE">
            <w:pPr>
              <w:ind w:left="29"/>
              <w:rPr>
                <w:rFonts w:ascii="Arial" w:hAnsi="Arial" w:cs="Arial"/>
                <w:b/>
                <w:bCs/>
                <w:color w:val="000000"/>
                <w:sz w:val="20"/>
                <w:szCs w:val="20"/>
              </w:rPr>
            </w:pPr>
          </w:p>
        </w:tc>
        <w:tc>
          <w:tcPr>
            <w:tcW w:w="750" w:type="pct"/>
            <w:tcBorders>
              <w:top w:val="single" w:sz="4" w:space="0" w:color="auto"/>
            </w:tcBorders>
            <w:shd w:val="clear" w:color="auto" w:fill="auto"/>
          </w:tcPr>
          <w:p w14:paraId="4538EDF3" w14:textId="77777777" w:rsidR="00DF15D0" w:rsidRPr="002D2F67" w:rsidRDefault="00DF15D0" w:rsidP="005611FE">
            <w:pPr>
              <w:tabs>
                <w:tab w:val="left" w:pos="6840"/>
              </w:tabs>
              <w:ind w:right="-72"/>
              <w:jc w:val="right"/>
              <w:rPr>
                <w:rFonts w:ascii="Arial" w:hAnsi="Arial" w:cs="Arial"/>
                <w:color w:val="000000"/>
                <w:sz w:val="20"/>
                <w:szCs w:val="20"/>
              </w:rPr>
            </w:pPr>
          </w:p>
        </w:tc>
        <w:tc>
          <w:tcPr>
            <w:tcW w:w="752" w:type="pct"/>
            <w:tcBorders>
              <w:top w:val="single" w:sz="4" w:space="0" w:color="auto"/>
            </w:tcBorders>
            <w:shd w:val="clear" w:color="auto" w:fill="auto"/>
          </w:tcPr>
          <w:p w14:paraId="340D5F71" w14:textId="77777777" w:rsidR="00DF15D0" w:rsidRPr="002D2F67" w:rsidRDefault="00DF15D0" w:rsidP="005611FE">
            <w:pPr>
              <w:tabs>
                <w:tab w:val="left" w:pos="6840"/>
              </w:tabs>
              <w:ind w:right="-72"/>
              <w:jc w:val="right"/>
              <w:rPr>
                <w:rFonts w:ascii="Arial" w:hAnsi="Arial" w:cs="Arial"/>
                <w:color w:val="000000"/>
                <w:sz w:val="20"/>
                <w:szCs w:val="20"/>
              </w:rPr>
            </w:pPr>
          </w:p>
        </w:tc>
        <w:tc>
          <w:tcPr>
            <w:tcW w:w="752" w:type="pct"/>
            <w:tcBorders>
              <w:top w:val="single" w:sz="4" w:space="0" w:color="auto"/>
            </w:tcBorders>
            <w:shd w:val="clear" w:color="auto" w:fill="auto"/>
          </w:tcPr>
          <w:p w14:paraId="00133591" w14:textId="77777777" w:rsidR="00DF15D0" w:rsidRPr="002D2F67" w:rsidRDefault="00DF15D0" w:rsidP="005611FE">
            <w:pPr>
              <w:tabs>
                <w:tab w:val="left" w:pos="6840"/>
              </w:tabs>
              <w:ind w:right="-72"/>
              <w:jc w:val="right"/>
              <w:rPr>
                <w:rFonts w:ascii="Arial" w:hAnsi="Arial" w:cs="Arial"/>
                <w:color w:val="000000"/>
                <w:sz w:val="20"/>
                <w:szCs w:val="20"/>
              </w:rPr>
            </w:pPr>
          </w:p>
        </w:tc>
        <w:tc>
          <w:tcPr>
            <w:tcW w:w="751" w:type="pct"/>
            <w:tcBorders>
              <w:top w:val="single" w:sz="4" w:space="0" w:color="auto"/>
            </w:tcBorders>
            <w:shd w:val="clear" w:color="auto" w:fill="auto"/>
          </w:tcPr>
          <w:p w14:paraId="7BFAA209" w14:textId="77777777" w:rsidR="00DF15D0" w:rsidRPr="002D2F67" w:rsidRDefault="00DF15D0" w:rsidP="005611FE">
            <w:pPr>
              <w:tabs>
                <w:tab w:val="left" w:pos="6840"/>
              </w:tabs>
              <w:ind w:right="-72"/>
              <w:jc w:val="right"/>
              <w:rPr>
                <w:rFonts w:ascii="Arial" w:hAnsi="Arial" w:cs="Arial"/>
                <w:color w:val="000000"/>
                <w:sz w:val="20"/>
                <w:szCs w:val="20"/>
              </w:rPr>
            </w:pPr>
          </w:p>
        </w:tc>
      </w:tr>
      <w:tr w:rsidR="00DF15D0" w:rsidRPr="002D2F67" w14:paraId="257032F1" w14:textId="77777777" w:rsidTr="005611FE">
        <w:tc>
          <w:tcPr>
            <w:tcW w:w="1995" w:type="pct"/>
            <w:shd w:val="clear" w:color="auto" w:fill="auto"/>
          </w:tcPr>
          <w:p w14:paraId="4FEE8857" w14:textId="77777777" w:rsidR="00DF15D0" w:rsidRPr="002D2F67" w:rsidRDefault="00DF15D0" w:rsidP="005611FE">
            <w:pPr>
              <w:ind w:left="29"/>
              <w:rPr>
                <w:rFonts w:ascii="Arial" w:hAnsi="Arial" w:cs="Arial"/>
                <w:color w:val="000000"/>
                <w:sz w:val="20"/>
                <w:szCs w:val="20"/>
              </w:rPr>
            </w:pPr>
            <w:r w:rsidRPr="002D2F67">
              <w:rPr>
                <w:rFonts w:ascii="Arial" w:hAnsi="Arial" w:cs="Arial"/>
                <w:color w:val="000000"/>
                <w:sz w:val="20"/>
                <w:szCs w:val="20"/>
              </w:rPr>
              <w:t>Total finance costs</w:t>
            </w:r>
          </w:p>
        </w:tc>
        <w:tc>
          <w:tcPr>
            <w:tcW w:w="750" w:type="pct"/>
            <w:tcBorders>
              <w:bottom w:val="single" w:sz="4" w:space="0" w:color="auto"/>
            </w:tcBorders>
            <w:shd w:val="clear" w:color="auto" w:fill="auto"/>
            <w:vAlign w:val="bottom"/>
          </w:tcPr>
          <w:p w14:paraId="0CF15437" w14:textId="777DB3CB"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2</w:t>
            </w:r>
            <w:r w:rsidR="005869CC" w:rsidRPr="002D2F67">
              <w:rPr>
                <w:rFonts w:ascii="Arial" w:hAnsi="Arial" w:cs="Arial"/>
                <w:color w:val="000000"/>
                <w:sz w:val="20"/>
                <w:szCs w:val="20"/>
              </w:rPr>
              <w:t>,</w:t>
            </w:r>
            <w:r w:rsidRPr="00CD5714">
              <w:rPr>
                <w:rFonts w:ascii="Arial" w:hAnsi="Arial" w:cs="Arial"/>
                <w:color w:val="000000"/>
                <w:sz w:val="20"/>
                <w:szCs w:val="20"/>
                <w:lang w:val="en-GB"/>
              </w:rPr>
              <w:t>699</w:t>
            </w:r>
            <w:r w:rsidR="005869CC" w:rsidRPr="002D2F67">
              <w:rPr>
                <w:rFonts w:ascii="Arial" w:hAnsi="Arial" w:cs="Arial"/>
                <w:color w:val="000000"/>
                <w:sz w:val="20"/>
                <w:szCs w:val="20"/>
              </w:rPr>
              <w:t>,</w:t>
            </w:r>
            <w:r w:rsidRPr="00CD5714">
              <w:rPr>
                <w:rFonts w:ascii="Arial" w:hAnsi="Arial" w:cs="Arial"/>
                <w:color w:val="000000"/>
                <w:sz w:val="20"/>
                <w:szCs w:val="20"/>
                <w:lang w:val="en-GB"/>
              </w:rPr>
              <w:t>159</w:t>
            </w:r>
          </w:p>
        </w:tc>
        <w:tc>
          <w:tcPr>
            <w:tcW w:w="752" w:type="pct"/>
            <w:tcBorders>
              <w:bottom w:val="single" w:sz="4" w:space="0" w:color="auto"/>
            </w:tcBorders>
            <w:shd w:val="clear" w:color="auto" w:fill="auto"/>
            <w:vAlign w:val="bottom"/>
          </w:tcPr>
          <w:p w14:paraId="213876F5" w14:textId="4D6D97BB"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2</w:t>
            </w:r>
            <w:r w:rsidR="00DF15D0" w:rsidRPr="002D2F67">
              <w:rPr>
                <w:rFonts w:ascii="Arial" w:hAnsi="Arial" w:cs="Arial"/>
                <w:color w:val="000000"/>
                <w:sz w:val="20"/>
                <w:szCs w:val="20"/>
              </w:rPr>
              <w:t>,</w:t>
            </w:r>
            <w:r w:rsidRPr="00CD5714">
              <w:rPr>
                <w:rFonts w:ascii="Arial" w:hAnsi="Arial" w:cs="Arial"/>
                <w:color w:val="000000"/>
                <w:sz w:val="20"/>
                <w:szCs w:val="20"/>
                <w:lang w:val="en-GB"/>
              </w:rPr>
              <w:t>287</w:t>
            </w:r>
            <w:r w:rsidR="00DF15D0" w:rsidRPr="002D2F67">
              <w:rPr>
                <w:rFonts w:ascii="Arial" w:hAnsi="Arial" w:cs="Arial"/>
                <w:color w:val="000000"/>
                <w:sz w:val="20"/>
                <w:szCs w:val="20"/>
              </w:rPr>
              <w:t>,</w:t>
            </w:r>
            <w:r w:rsidRPr="00CD5714">
              <w:rPr>
                <w:rFonts w:ascii="Arial" w:hAnsi="Arial" w:cs="Arial"/>
                <w:color w:val="000000"/>
                <w:sz w:val="20"/>
                <w:szCs w:val="20"/>
                <w:lang w:val="en-GB"/>
              </w:rPr>
              <w:t>472</w:t>
            </w:r>
          </w:p>
        </w:tc>
        <w:tc>
          <w:tcPr>
            <w:tcW w:w="752" w:type="pct"/>
            <w:tcBorders>
              <w:bottom w:val="single" w:sz="4" w:space="0" w:color="auto"/>
            </w:tcBorders>
            <w:shd w:val="clear" w:color="auto" w:fill="auto"/>
            <w:vAlign w:val="bottom"/>
          </w:tcPr>
          <w:p w14:paraId="0E385898" w14:textId="14562C9F"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1</w:t>
            </w:r>
            <w:r w:rsidR="005869CC" w:rsidRPr="002D2F67">
              <w:rPr>
                <w:rFonts w:ascii="Arial" w:hAnsi="Arial" w:cs="Arial"/>
                <w:color w:val="000000"/>
                <w:sz w:val="20"/>
                <w:szCs w:val="20"/>
              </w:rPr>
              <w:t>,</w:t>
            </w:r>
            <w:r w:rsidRPr="00CD5714">
              <w:rPr>
                <w:rFonts w:ascii="Arial" w:hAnsi="Arial" w:cs="Arial"/>
                <w:color w:val="000000"/>
                <w:sz w:val="20"/>
                <w:szCs w:val="20"/>
                <w:lang w:val="en-GB"/>
              </w:rPr>
              <w:t>932</w:t>
            </w:r>
            <w:r w:rsidR="005869CC" w:rsidRPr="002D2F67">
              <w:rPr>
                <w:rFonts w:ascii="Arial" w:hAnsi="Arial" w:cs="Arial"/>
                <w:color w:val="000000"/>
                <w:sz w:val="20"/>
                <w:szCs w:val="20"/>
              </w:rPr>
              <w:t>,</w:t>
            </w:r>
            <w:r w:rsidRPr="00CD5714">
              <w:rPr>
                <w:rFonts w:ascii="Arial" w:hAnsi="Arial" w:cs="Arial"/>
                <w:color w:val="000000"/>
                <w:sz w:val="20"/>
                <w:szCs w:val="20"/>
                <w:lang w:val="en-GB"/>
              </w:rPr>
              <w:t>312</w:t>
            </w:r>
          </w:p>
        </w:tc>
        <w:tc>
          <w:tcPr>
            <w:tcW w:w="751" w:type="pct"/>
            <w:tcBorders>
              <w:bottom w:val="single" w:sz="4" w:space="0" w:color="auto"/>
            </w:tcBorders>
            <w:shd w:val="clear" w:color="auto" w:fill="auto"/>
            <w:vAlign w:val="bottom"/>
          </w:tcPr>
          <w:p w14:paraId="22AB6C8D" w14:textId="4E27A5B8" w:rsidR="00DF15D0" w:rsidRPr="002D2F67" w:rsidRDefault="00CD5714" w:rsidP="005611FE">
            <w:pPr>
              <w:tabs>
                <w:tab w:val="left" w:pos="6840"/>
              </w:tabs>
              <w:ind w:right="-72"/>
              <w:jc w:val="right"/>
              <w:rPr>
                <w:rFonts w:ascii="Arial" w:hAnsi="Arial" w:cs="Arial"/>
                <w:color w:val="000000"/>
                <w:sz w:val="20"/>
                <w:szCs w:val="20"/>
              </w:rPr>
            </w:pPr>
            <w:r w:rsidRPr="00CD5714">
              <w:rPr>
                <w:rFonts w:ascii="Arial" w:hAnsi="Arial" w:cs="Arial"/>
                <w:color w:val="000000"/>
                <w:sz w:val="20"/>
                <w:szCs w:val="20"/>
                <w:lang w:val="en-GB"/>
              </w:rPr>
              <w:t>1</w:t>
            </w:r>
            <w:r w:rsidR="00DF15D0" w:rsidRPr="002D2F67">
              <w:rPr>
                <w:rFonts w:ascii="Arial" w:hAnsi="Arial" w:cs="Arial"/>
                <w:color w:val="000000"/>
                <w:sz w:val="20"/>
                <w:szCs w:val="20"/>
              </w:rPr>
              <w:t>,</w:t>
            </w:r>
            <w:r w:rsidRPr="00CD5714">
              <w:rPr>
                <w:rFonts w:ascii="Arial" w:hAnsi="Arial" w:cs="Arial"/>
                <w:color w:val="000000"/>
                <w:sz w:val="20"/>
                <w:szCs w:val="20"/>
                <w:lang w:val="en-GB"/>
              </w:rPr>
              <w:t>393</w:t>
            </w:r>
            <w:r w:rsidR="00DF15D0" w:rsidRPr="002D2F67">
              <w:rPr>
                <w:rFonts w:ascii="Arial" w:hAnsi="Arial" w:cs="Arial"/>
                <w:color w:val="000000"/>
                <w:sz w:val="20"/>
                <w:szCs w:val="20"/>
              </w:rPr>
              <w:t>,</w:t>
            </w:r>
            <w:r w:rsidRPr="00CD5714">
              <w:rPr>
                <w:rFonts w:ascii="Arial" w:hAnsi="Arial" w:cs="Arial"/>
                <w:color w:val="000000"/>
                <w:sz w:val="20"/>
                <w:szCs w:val="20"/>
                <w:lang w:val="en-GB"/>
              </w:rPr>
              <w:t>668</w:t>
            </w:r>
          </w:p>
        </w:tc>
      </w:tr>
    </w:tbl>
    <w:p w14:paraId="19561F31" w14:textId="77777777" w:rsidR="00AB5B46" w:rsidRPr="002D2F67" w:rsidRDefault="00AB5B46" w:rsidP="007F0874">
      <w:pPr>
        <w:pStyle w:val="HeadSub6EA"/>
        <w:spacing w:line="324" w:lineRule="auto"/>
        <w:ind w:left="567" w:hanging="567"/>
        <w:outlineLvl w:val="0"/>
        <w:rPr>
          <w:rFonts w:ascii="Arial" w:eastAsia="Times New Roman" w:hAnsi="Arial" w:cs="Arial"/>
          <w:color w:val="000000"/>
          <w:spacing w:val="-2"/>
          <w:sz w:val="20"/>
          <w:szCs w:val="20"/>
        </w:rPr>
      </w:pPr>
    </w:p>
    <w:p w14:paraId="719DF0CD" w14:textId="77777777" w:rsidR="00AB5B46" w:rsidRPr="002D2F67" w:rsidRDefault="00AB5B46" w:rsidP="007F0874">
      <w:pPr>
        <w:pStyle w:val="HeadSub6EA"/>
        <w:spacing w:line="324" w:lineRule="auto"/>
        <w:ind w:left="567" w:hanging="567"/>
        <w:outlineLvl w:val="0"/>
        <w:rPr>
          <w:rFonts w:ascii="Arial" w:eastAsia="Times New Roman" w:hAnsi="Arial" w:cs="Arial"/>
          <w:color w:val="000000"/>
          <w:spacing w:val="-2"/>
          <w:sz w:val="20"/>
          <w:szCs w:val="20"/>
        </w:rPr>
      </w:pPr>
      <w:r w:rsidRPr="002D2F67">
        <w:rPr>
          <w:rFonts w:ascii="Arial" w:eastAsia="Times New Roman" w:hAnsi="Arial" w:cs="Arial"/>
          <w:color w:val="000000"/>
          <w:spacing w:val="-2"/>
          <w:sz w:val="20"/>
          <w:szCs w:val="20"/>
        </w:rPr>
        <w:br w:type="page"/>
      </w:r>
    </w:p>
    <w:p w14:paraId="6A602050" w14:textId="60F66C54" w:rsidR="001E6C66" w:rsidRPr="002D2F67" w:rsidRDefault="00CD5714" w:rsidP="007F0874">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37</w:t>
      </w:r>
      <w:r w:rsidR="00B0675E" w:rsidRPr="002D2F67">
        <w:rPr>
          <w:rFonts w:ascii="Arial" w:hAnsi="Arial" w:cs="Arial"/>
          <w:b/>
          <w:bCs/>
          <w:color w:val="000000"/>
          <w:kern w:val="26"/>
          <w:position w:val="-24"/>
          <w:sz w:val="20"/>
          <w:szCs w:val="20"/>
          <w:cs/>
        </w:rPr>
        <w:tab/>
      </w:r>
      <w:r w:rsidR="00B0675E" w:rsidRPr="002D2F67">
        <w:rPr>
          <w:rFonts w:ascii="Arial" w:hAnsi="Arial" w:cs="Arial"/>
          <w:b/>
          <w:bCs/>
          <w:color w:val="000000"/>
          <w:kern w:val="26"/>
          <w:position w:val="-24"/>
          <w:sz w:val="20"/>
          <w:szCs w:val="20"/>
        </w:rPr>
        <w:t>Expense by nature</w:t>
      </w:r>
    </w:p>
    <w:p w14:paraId="04C47AF4" w14:textId="77777777" w:rsidR="001E6C66" w:rsidRPr="002D2F67" w:rsidRDefault="001E6C66" w:rsidP="005611FE">
      <w:pPr>
        <w:jc w:val="thaiDistribute"/>
        <w:rPr>
          <w:rFonts w:ascii="Arial" w:hAnsi="Arial" w:cs="Arial"/>
          <w:color w:val="000000"/>
          <w:spacing w:val="-2"/>
          <w:sz w:val="20"/>
          <w:szCs w:val="20"/>
        </w:rPr>
      </w:pPr>
    </w:p>
    <w:tbl>
      <w:tblPr>
        <w:tblW w:w="4939" w:type="pct"/>
        <w:tblLook w:val="0000" w:firstRow="0" w:lastRow="0" w:firstColumn="0" w:lastColumn="0" w:noHBand="0" w:noVBand="0"/>
      </w:tblPr>
      <w:tblGrid>
        <w:gridCol w:w="3796"/>
        <w:gridCol w:w="1439"/>
        <w:gridCol w:w="1441"/>
        <w:gridCol w:w="1439"/>
        <w:gridCol w:w="1441"/>
      </w:tblGrid>
      <w:tr w:rsidR="001E6C66" w:rsidRPr="002D2F67" w14:paraId="333EAB3E" w14:textId="77777777" w:rsidTr="008255E8">
        <w:trPr>
          <w:cantSplit/>
        </w:trPr>
        <w:tc>
          <w:tcPr>
            <w:tcW w:w="1986" w:type="pct"/>
            <w:shd w:val="clear" w:color="auto" w:fill="auto"/>
          </w:tcPr>
          <w:p w14:paraId="00AD869C" w14:textId="77777777" w:rsidR="001E6C66" w:rsidRPr="002D2F67" w:rsidRDefault="001E6C66" w:rsidP="005611FE">
            <w:pPr>
              <w:ind w:left="29"/>
              <w:rPr>
                <w:rFonts w:ascii="Arial" w:hAnsi="Arial" w:cs="Arial"/>
                <w:b/>
                <w:bCs/>
                <w:color w:val="000000"/>
                <w:sz w:val="20"/>
                <w:szCs w:val="20"/>
              </w:rPr>
            </w:pPr>
          </w:p>
        </w:tc>
        <w:tc>
          <w:tcPr>
            <w:tcW w:w="1507" w:type="pct"/>
            <w:gridSpan w:val="2"/>
            <w:tcBorders>
              <w:bottom w:val="single" w:sz="4" w:space="0" w:color="auto"/>
            </w:tcBorders>
            <w:shd w:val="clear" w:color="auto" w:fill="auto"/>
          </w:tcPr>
          <w:p w14:paraId="1C11C958"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7165F10F"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1507" w:type="pct"/>
            <w:gridSpan w:val="2"/>
            <w:tcBorders>
              <w:bottom w:val="single" w:sz="4" w:space="0" w:color="auto"/>
            </w:tcBorders>
            <w:shd w:val="clear" w:color="auto" w:fill="auto"/>
          </w:tcPr>
          <w:p w14:paraId="6EDDCBB6"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Separate </w:t>
            </w:r>
          </w:p>
          <w:p w14:paraId="4DDD0611"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F9711B" w:rsidRPr="002D2F67" w14:paraId="26676C85" w14:textId="77777777" w:rsidTr="005611FE">
        <w:tc>
          <w:tcPr>
            <w:tcW w:w="1986" w:type="pct"/>
            <w:shd w:val="clear" w:color="auto" w:fill="auto"/>
          </w:tcPr>
          <w:p w14:paraId="063C470A" w14:textId="0C5E6859" w:rsidR="00F9711B" w:rsidRPr="002D2F67" w:rsidRDefault="00F9711B" w:rsidP="005611FE">
            <w:pPr>
              <w:ind w:left="29"/>
              <w:rPr>
                <w:rFonts w:ascii="Arial" w:hAnsi="Arial" w:cs="Arial"/>
                <w:color w:val="000000"/>
                <w:sz w:val="20"/>
                <w:szCs w:val="20"/>
              </w:rPr>
            </w:pPr>
            <w:r w:rsidRPr="002D2F67">
              <w:rPr>
                <w:rFonts w:ascii="Arial" w:hAnsi="Arial" w:cs="Arial"/>
                <w:b/>
                <w:bCs/>
                <w:color w:val="000000"/>
                <w:sz w:val="20"/>
                <w:szCs w:val="20"/>
              </w:rPr>
              <w:t xml:space="preserve">For the years ended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w:t>
            </w:r>
          </w:p>
        </w:tc>
        <w:tc>
          <w:tcPr>
            <w:tcW w:w="753" w:type="pct"/>
            <w:shd w:val="clear" w:color="auto" w:fill="auto"/>
          </w:tcPr>
          <w:p w14:paraId="517DF21F" w14:textId="2369EE3E" w:rsidR="00F9711B"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754" w:type="pct"/>
            <w:shd w:val="clear" w:color="auto" w:fill="auto"/>
          </w:tcPr>
          <w:p w14:paraId="67BE5E89" w14:textId="5429297D" w:rsidR="00F9711B"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c>
          <w:tcPr>
            <w:tcW w:w="753" w:type="pct"/>
            <w:shd w:val="clear" w:color="auto" w:fill="auto"/>
          </w:tcPr>
          <w:p w14:paraId="0D3D8E5B" w14:textId="5023562C" w:rsidR="00F9711B"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754" w:type="pct"/>
            <w:shd w:val="clear" w:color="auto" w:fill="auto"/>
          </w:tcPr>
          <w:p w14:paraId="0D8AF1B5" w14:textId="34B0F602" w:rsidR="00F9711B"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1E6C66" w:rsidRPr="002D2F67" w14:paraId="460D777D" w14:textId="77777777" w:rsidTr="005611FE">
        <w:tc>
          <w:tcPr>
            <w:tcW w:w="1986" w:type="pct"/>
            <w:shd w:val="clear" w:color="auto" w:fill="auto"/>
          </w:tcPr>
          <w:p w14:paraId="68BAF3E5" w14:textId="77777777" w:rsidR="001E6C66" w:rsidRPr="002D2F67" w:rsidRDefault="001E6C66" w:rsidP="005611FE">
            <w:pPr>
              <w:ind w:left="29"/>
              <w:rPr>
                <w:rFonts w:ascii="Arial" w:hAnsi="Arial" w:cs="Arial"/>
                <w:color w:val="000000"/>
                <w:sz w:val="20"/>
                <w:szCs w:val="20"/>
              </w:rPr>
            </w:pPr>
          </w:p>
        </w:tc>
        <w:tc>
          <w:tcPr>
            <w:tcW w:w="753" w:type="pct"/>
            <w:tcBorders>
              <w:bottom w:val="single" w:sz="4" w:space="0" w:color="auto"/>
            </w:tcBorders>
            <w:shd w:val="clear" w:color="auto" w:fill="auto"/>
          </w:tcPr>
          <w:p w14:paraId="672B8044" w14:textId="709968AB" w:rsidR="001E6C66" w:rsidRPr="002D2F67" w:rsidRDefault="001E6C66"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5338A6" w:rsidRPr="002D2F67">
              <w:rPr>
                <w:rFonts w:ascii="Arial" w:hAnsi="Arial" w:cs="Arial"/>
                <w:b/>
                <w:bCs/>
                <w:color w:val="000000"/>
                <w:sz w:val="20"/>
                <w:szCs w:val="20"/>
              </w:rPr>
              <w:t>’</w:t>
            </w:r>
            <w:r w:rsidR="00CD5714" w:rsidRPr="00CD5714">
              <w:rPr>
                <w:rFonts w:ascii="Arial" w:hAnsi="Arial" w:cs="Arial"/>
                <w:b/>
                <w:bCs/>
                <w:color w:val="000000"/>
                <w:sz w:val="20"/>
                <w:szCs w:val="20"/>
                <w:lang w:val="en-GB"/>
              </w:rPr>
              <w:t>000</w:t>
            </w:r>
          </w:p>
        </w:tc>
        <w:tc>
          <w:tcPr>
            <w:tcW w:w="754" w:type="pct"/>
            <w:tcBorders>
              <w:bottom w:val="single" w:sz="4" w:space="0" w:color="auto"/>
            </w:tcBorders>
            <w:shd w:val="clear" w:color="auto" w:fill="auto"/>
          </w:tcPr>
          <w:p w14:paraId="0AE49602" w14:textId="3E310F12" w:rsidR="001E6C66" w:rsidRPr="002D2F67" w:rsidRDefault="005338A6"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753" w:type="pct"/>
            <w:tcBorders>
              <w:bottom w:val="single" w:sz="4" w:space="0" w:color="auto"/>
            </w:tcBorders>
            <w:shd w:val="clear" w:color="auto" w:fill="auto"/>
          </w:tcPr>
          <w:p w14:paraId="7E5B9461" w14:textId="531577B2" w:rsidR="001E6C66" w:rsidRPr="002D2F67" w:rsidRDefault="005338A6"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754" w:type="pct"/>
            <w:tcBorders>
              <w:bottom w:val="single" w:sz="4" w:space="0" w:color="auto"/>
            </w:tcBorders>
            <w:shd w:val="clear" w:color="auto" w:fill="auto"/>
          </w:tcPr>
          <w:p w14:paraId="1A583C49" w14:textId="04209748" w:rsidR="001E6C66" w:rsidRPr="002D2F67" w:rsidRDefault="005338A6"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1E6C66" w:rsidRPr="002D2F67" w14:paraId="65B83797" w14:textId="77777777" w:rsidTr="005611FE">
        <w:tc>
          <w:tcPr>
            <w:tcW w:w="1986" w:type="pct"/>
            <w:shd w:val="clear" w:color="auto" w:fill="auto"/>
          </w:tcPr>
          <w:p w14:paraId="0DADCE61" w14:textId="77777777" w:rsidR="001E6C66" w:rsidRPr="002D2F67" w:rsidRDefault="001E6C66" w:rsidP="005611FE">
            <w:pPr>
              <w:ind w:left="29"/>
              <w:rPr>
                <w:rFonts w:ascii="Arial" w:hAnsi="Arial" w:cs="Arial"/>
                <w:color w:val="000000"/>
                <w:sz w:val="20"/>
                <w:szCs w:val="20"/>
              </w:rPr>
            </w:pPr>
          </w:p>
        </w:tc>
        <w:tc>
          <w:tcPr>
            <w:tcW w:w="753" w:type="pct"/>
            <w:tcBorders>
              <w:top w:val="single" w:sz="4" w:space="0" w:color="auto"/>
            </w:tcBorders>
            <w:shd w:val="clear" w:color="auto" w:fill="auto"/>
          </w:tcPr>
          <w:p w14:paraId="5FD31C27" w14:textId="77777777" w:rsidR="001E6C66" w:rsidRPr="002D2F67" w:rsidRDefault="001E6C66" w:rsidP="005611FE">
            <w:pPr>
              <w:tabs>
                <w:tab w:val="left" w:pos="709"/>
              </w:tabs>
              <w:ind w:right="-72"/>
              <w:rPr>
                <w:rFonts w:ascii="Arial" w:hAnsi="Arial" w:cs="Arial"/>
                <w:color w:val="000000"/>
                <w:sz w:val="20"/>
                <w:szCs w:val="20"/>
              </w:rPr>
            </w:pPr>
          </w:p>
        </w:tc>
        <w:tc>
          <w:tcPr>
            <w:tcW w:w="754" w:type="pct"/>
            <w:tcBorders>
              <w:top w:val="single" w:sz="4" w:space="0" w:color="auto"/>
            </w:tcBorders>
            <w:shd w:val="clear" w:color="auto" w:fill="auto"/>
          </w:tcPr>
          <w:p w14:paraId="40EBF7DC" w14:textId="77777777" w:rsidR="001E6C66" w:rsidRPr="002D2F67" w:rsidRDefault="001E6C66" w:rsidP="005611FE">
            <w:pPr>
              <w:tabs>
                <w:tab w:val="left" w:pos="709"/>
              </w:tabs>
              <w:ind w:right="-72"/>
              <w:rPr>
                <w:rFonts w:ascii="Arial" w:hAnsi="Arial" w:cs="Arial"/>
                <w:color w:val="000000"/>
                <w:sz w:val="20"/>
                <w:szCs w:val="20"/>
              </w:rPr>
            </w:pPr>
          </w:p>
        </w:tc>
        <w:tc>
          <w:tcPr>
            <w:tcW w:w="753" w:type="pct"/>
            <w:tcBorders>
              <w:top w:val="single" w:sz="4" w:space="0" w:color="auto"/>
            </w:tcBorders>
            <w:shd w:val="clear" w:color="auto" w:fill="auto"/>
          </w:tcPr>
          <w:p w14:paraId="379077C8" w14:textId="77777777" w:rsidR="001E6C66" w:rsidRPr="002D2F67" w:rsidRDefault="001E6C66" w:rsidP="005611FE">
            <w:pPr>
              <w:tabs>
                <w:tab w:val="left" w:pos="709"/>
              </w:tabs>
              <w:ind w:right="-72"/>
              <w:rPr>
                <w:rFonts w:ascii="Arial" w:hAnsi="Arial" w:cs="Arial"/>
                <w:color w:val="000000"/>
                <w:sz w:val="20"/>
                <w:szCs w:val="20"/>
              </w:rPr>
            </w:pPr>
          </w:p>
        </w:tc>
        <w:tc>
          <w:tcPr>
            <w:tcW w:w="754" w:type="pct"/>
            <w:tcBorders>
              <w:top w:val="single" w:sz="4" w:space="0" w:color="auto"/>
            </w:tcBorders>
            <w:shd w:val="clear" w:color="auto" w:fill="auto"/>
          </w:tcPr>
          <w:p w14:paraId="3C500AB9" w14:textId="77777777" w:rsidR="001E6C66" w:rsidRPr="002D2F67" w:rsidRDefault="001E6C66" w:rsidP="005611FE">
            <w:pPr>
              <w:tabs>
                <w:tab w:val="left" w:pos="709"/>
              </w:tabs>
              <w:ind w:right="-72"/>
              <w:rPr>
                <w:rFonts w:ascii="Arial" w:hAnsi="Arial" w:cs="Arial"/>
                <w:color w:val="000000"/>
                <w:sz w:val="20"/>
                <w:szCs w:val="20"/>
              </w:rPr>
            </w:pPr>
          </w:p>
        </w:tc>
      </w:tr>
      <w:tr w:rsidR="001E6C66" w:rsidRPr="002D2F67" w14:paraId="3DEA5B9D" w14:textId="77777777" w:rsidTr="005611FE">
        <w:tc>
          <w:tcPr>
            <w:tcW w:w="1986" w:type="pct"/>
            <w:shd w:val="clear" w:color="auto" w:fill="auto"/>
          </w:tcPr>
          <w:p w14:paraId="67399AA2" w14:textId="77777777" w:rsidR="001E6C66" w:rsidRPr="002D2F67" w:rsidRDefault="001E6C66" w:rsidP="005611FE">
            <w:pPr>
              <w:ind w:left="29" w:right="-70"/>
              <w:rPr>
                <w:rFonts w:ascii="Arial" w:hAnsi="Arial" w:cs="Arial"/>
                <w:color w:val="000000"/>
                <w:sz w:val="20"/>
                <w:szCs w:val="20"/>
              </w:rPr>
            </w:pPr>
            <w:r w:rsidRPr="002D2F67">
              <w:rPr>
                <w:rFonts w:ascii="Arial" w:hAnsi="Arial" w:cs="Arial"/>
                <w:color w:val="000000"/>
                <w:sz w:val="20"/>
                <w:szCs w:val="20"/>
              </w:rPr>
              <w:t>Changes in inventories of finished</w:t>
            </w:r>
          </w:p>
        </w:tc>
        <w:tc>
          <w:tcPr>
            <w:tcW w:w="753" w:type="pct"/>
            <w:shd w:val="clear" w:color="auto" w:fill="auto"/>
            <w:vAlign w:val="bottom"/>
          </w:tcPr>
          <w:p w14:paraId="27EE1F94" w14:textId="77777777" w:rsidR="001E6C66" w:rsidRPr="002D2F67" w:rsidRDefault="001E6C66" w:rsidP="005611FE">
            <w:pPr>
              <w:ind w:right="-72"/>
              <w:jc w:val="right"/>
              <w:rPr>
                <w:rFonts w:ascii="Arial" w:hAnsi="Arial" w:cs="Arial"/>
                <w:color w:val="000000"/>
                <w:sz w:val="20"/>
                <w:szCs w:val="20"/>
              </w:rPr>
            </w:pPr>
          </w:p>
        </w:tc>
        <w:tc>
          <w:tcPr>
            <w:tcW w:w="754" w:type="pct"/>
            <w:shd w:val="clear" w:color="auto" w:fill="auto"/>
            <w:vAlign w:val="bottom"/>
          </w:tcPr>
          <w:p w14:paraId="753E4BBA" w14:textId="77777777" w:rsidR="001E6C66" w:rsidRPr="002D2F67" w:rsidRDefault="001E6C66" w:rsidP="005611FE">
            <w:pPr>
              <w:ind w:right="-72"/>
              <w:jc w:val="right"/>
              <w:rPr>
                <w:rFonts w:ascii="Arial" w:hAnsi="Arial" w:cs="Arial"/>
                <w:color w:val="000000"/>
                <w:sz w:val="20"/>
                <w:szCs w:val="20"/>
              </w:rPr>
            </w:pPr>
          </w:p>
        </w:tc>
        <w:tc>
          <w:tcPr>
            <w:tcW w:w="753" w:type="pct"/>
            <w:shd w:val="clear" w:color="auto" w:fill="auto"/>
            <w:vAlign w:val="bottom"/>
          </w:tcPr>
          <w:p w14:paraId="71EC0C0A" w14:textId="77777777" w:rsidR="001E6C66" w:rsidRPr="002D2F67" w:rsidRDefault="001E6C66" w:rsidP="005611FE">
            <w:pPr>
              <w:ind w:right="-72"/>
              <w:jc w:val="right"/>
              <w:rPr>
                <w:rFonts w:ascii="Arial" w:hAnsi="Arial" w:cs="Arial"/>
                <w:color w:val="000000"/>
                <w:sz w:val="20"/>
                <w:szCs w:val="20"/>
              </w:rPr>
            </w:pPr>
          </w:p>
        </w:tc>
        <w:tc>
          <w:tcPr>
            <w:tcW w:w="754" w:type="pct"/>
            <w:shd w:val="clear" w:color="auto" w:fill="auto"/>
            <w:vAlign w:val="bottom"/>
          </w:tcPr>
          <w:p w14:paraId="0796C403" w14:textId="77777777" w:rsidR="001E6C66" w:rsidRPr="002D2F67" w:rsidRDefault="001E6C66" w:rsidP="005611FE">
            <w:pPr>
              <w:ind w:right="-72"/>
              <w:jc w:val="right"/>
              <w:rPr>
                <w:rFonts w:ascii="Arial" w:hAnsi="Arial" w:cs="Arial"/>
                <w:color w:val="000000"/>
                <w:sz w:val="20"/>
                <w:szCs w:val="20"/>
              </w:rPr>
            </w:pPr>
          </w:p>
        </w:tc>
      </w:tr>
      <w:tr w:rsidR="00DF15D0" w:rsidRPr="002D2F67" w14:paraId="75C33291" w14:textId="77777777" w:rsidTr="004A0DA4">
        <w:tc>
          <w:tcPr>
            <w:tcW w:w="1986" w:type="pct"/>
            <w:shd w:val="clear" w:color="auto" w:fill="auto"/>
          </w:tcPr>
          <w:p w14:paraId="62C97C89" w14:textId="77777777" w:rsidR="00DF15D0" w:rsidRPr="002D2F67" w:rsidRDefault="00DF15D0" w:rsidP="005611FE">
            <w:pPr>
              <w:ind w:left="29" w:right="-70"/>
              <w:rPr>
                <w:rFonts w:ascii="Arial" w:hAnsi="Arial" w:cs="Arial"/>
                <w:color w:val="000000"/>
                <w:sz w:val="20"/>
                <w:szCs w:val="20"/>
              </w:rPr>
            </w:pPr>
            <w:r w:rsidRPr="002D2F67">
              <w:rPr>
                <w:rFonts w:ascii="Arial" w:hAnsi="Arial" w:cs="Arial"/>
                <w:color w:val="000000"/>
                <w:sz w:val="20"/>
                <w:szCs w:val="20"/>
              </w:rPr>
              <w:t xml:space="preserve">   goods and work in process</w:t>
            </w:r>
          </w:p>
        </w:tc>
        <w:tc>
          <w:tcPr>
            <w:tcW w:w="753" w:type="pct"/>
            <w:shd w:val="clear" w:color="auto" w:fill="auto"/>
          </w:tcPr>
          <w:p w14:paraId="66BB8030" w14:textId="79BAA3ED" w:rsidR="00DF15D0" w:rsidRPr="002D2F67" w:rsidRDefault="00CD5714" w:rsidP="005611FE">
            <w:pPr>
              <w:ind w:right="-72"/>
              <w:jc w:val="right"/>
              <w:rPr>
                <w:rFonts w:ascii="Arial" w:hAnsi="Arial" w:cs="Arial"/>
                <w:color w:val="000000"/>
                <w:sz w:val="20"/>
                <w:szCs w:val="20"/>
              </w:rPr>
            </w:pPr>
            <w:r w:rsidRPr="00CD5714">
              <w:rPr>
                <w:rFonts w:ascii="Arial" w:hAnsi="Arial" w:cs="Arial"/>
                <w:sz w:val="20"/>
                <w:szCs w:val="20"/>
                <w:lang w:val="en-GB"/>
              </w:rPr>
              <w:t>1</w:t>
            </w:r>
            <w:r w:rsidR="00C238B4" w:rsidRPr="002D2F67">
              <w:rPr>
                <w:rFonts w:ascii="Arial" w:hAnsi="Arial" w:cs="Arial"/>
                <w:sz w:val="20"/>
                <w:szCs w:val="20"/>
              </w:rPr>
              <w:t>,</w:t>
            </w:r>
            <w:r w:rsidRPr="00CD5714">
              <w:rPr>
                <w:rFonts w:ascii="Arial" w:hAnsi="Arial" w:cs="Arial"/>
                <w:sz w:val="20"/>
                <w:szCs w:val="20"/>
                <w:lang w:val="en-GB"/>
              </w:rPr>
              <w:t>063</w:t>
            </w:r>
            <w:r w:rsidR="00C238B4" w:rsidRPr="002D2F67">
              <w:rPr>
                <w:rFonts w:ascii="Arial" w:hAnsi="Arial" w:cs="Arial"/>
                <w:sz w:val="20"/>
                <w:szCs w:val="20"/>
              </w:rPr>
              <w:t>,</w:t>
            </w:r>
            <w:r w:rsidRPr="00CD5714">
              <w:rPr>
                <w:rFonts w:ascii="Arial" w:hAnsi="Arial" w:cs="Arial"/>
                <w:sz w:val="20"/>
                <w:szCs w:val="20"/>
                <w:lang w:val="en-GB"/>
              </w:rPr>
              <w:t>847</w:t>
            </w:r>
          </w:p>
        </w:tc>
        <w:tc>
          <w:tcPr>
            <w:tcW w:w="754" w:type="pct"/>
            <w:shd w:val="clear" w:color="auto" w:fill="auto"/>
          </w:tcPr>
          <w:p w14:paraId="4231AB45" w14:textId="082FC661" w:rsidR="00DF15D0" w:rsidRPr="002D2F67" w:rsidRDefault="00CD5714" w:rsidP="005611FE">
            <w:pPr>
              <w:ind w:right="-72"/>
              <w:jc w:val="right"/>
              <w:rPr>
                <w:rFonts w:ascii="Arial" w:hAnsi="Arial" w:cs="Arial"/>
                <w:color w:val="000000"/>
                <w:sz w:val="20"/>
                <w:szCs w:val="20"/>
              </w:rPr>
            </w:pPr>
            <w:r w:rsidRPr="00CD5714">
              <w:rPr>
                <w:rFonts w:ascii="Arial" w:hAnsi="Arial" w:cs="Arial"/>
                <w:sz w:val="20"/>
                <w:szCs w:val="20"/>
                <w:lang w:val="en-GB"/>
              </w:rPr>
              <w:t>2</w:t>
            </w:r>
            <w:r w:rsidR="00DF15D0" w:rsidRPr="002D2F67">
              <w:rPr>
                <w:rFonts w:ascii="Arial" w:hAnsi="Arial" w:cs="Arial"/>
                <w:sz w:val="20"/>
                <w:szCs w:val="20"/>
              </w:rPr>
              <w:t>,</w:t>
            </w:r>
            <w:r w:rsidRPr="00CD5714">
              <w:rPr>
                <w:rFonts w:ascii="Arial" w:hAnsi="Arial" w:cs="Arial"/>
                <w:sz w:val="20"/>
                <w:szCs w:val="20"/>
                <w:lang w:val="en-GB"/>
              </w:rPr>
              <w:t>411</w:t>
            </w:r>
            <w:r w:rsidR="00DF15D0" w:rsidRPr="002D2F67">
              <w:rPr>
                <w:rFonts w:ascii="Arial" w:hAnsi="Arial" w:cs="Arial"/>
                <w:sz w:val="20"/>
                <w:szCs w:val="20"/>
              </w:rPr>
              <w:t>,</w:t>
            </w:r>
            <w:r w:rsidRPr="00CD5714">
              <w:rPr>
                <w:rFonts w:ascii="Arial" w:hAnsi="Arial" w:cs="Arial"/>
                <w:sz w:val="20"/>
                <w:szCs w:val="20"/>
                <w:lang w:val="en-GB"/>
              </w:rPr>
              <w:t>235</w:t>
            </w:r>
          </w:p>
        </w:tc>
        <w:tc>
          <w:tcPr>
            <w:tcW w:w="753" w:type="pct"/>
            <w:shd w:val="clear" w:color="auto" w:fill="auto"/>
          </w:tcPr>
          <w:p w14:paraId="06845D3F" w14:textId="6E0404DD" w:rsidR="00DF15D0" w:rsidRPr="002D2F67" w:rsidRDefault="00CD5714" w:rsidP="005611FE">
            <w:pPr>
              <w:ind w:right="-72"/>
              <w:jc w:val="right"/>
              <w:rPr>
                <w:rFonts w:ascii="Arial" w:hAnsi="Arial" w:cs="Arial"/>
                <w:color w:val="000000"/>
                <w:sz w:val="20"/>
                <w:szCs w:val="20"/>
              </w:rPr>
            </w:pPr>
            <w:r w:rsidRPr="00CD5714">
              <w:rPr>
                <w:rFonts w:ascii="Arial" w:hAnsi="Arial" w:cs="Arial"/>
                <w:sz w:val="20"/>
                <w:szCs w:val="20"/>
                <w:lang w:val="en-GB"/>
              </w:rPr>
              <w:t>35</w:t>
            </w:r>
            <w:r w:rsidR="00480AD3" w:rsidRPr="002D2F67">
              <w:rPr>
                <w:rFonts w:ascii="Arial" w:hAnsi="Arial" w:cs="Arial"/>
                <w:sz w:val="20"/>
                <w:szCs w:val="20"/>
              </w:rPr>
              <w:t>,</w:t>
            </w:r>
            <w:r w:rsidRPr="00CD5714">
              <w:rPr>
                <w:rFonts w:ascii="Arial" w:hAnsi="Arial" w:cs="Arial"/>
                <w:sz w:val="20"/>
                <w:szCs w:val="20"/>
                <w:lang w:val="en-GB"/>
              </w:rPr>
              <w:t>122</w:t>
            </w:r>
          </w:p>
        </w:tc>
        <w:tc>
          <w:tcPr>
            <w:tcW w:w="754" w:type="pct"/>
            <w:shd w:val="clear" w:color="auto" w:fill="auto"/>
          </w:tcPr>
          <w:p w14:paraId="1EF9F1EF" w14:textId="20257B35" w:rsidR="00DF15D0" w:rsidRPr="002D2F67" w:rsidRDefault="00DF15D0" w:rsidP="005611FE">
            <w:pPr>
              <w:ind w:right="-72"/>
              <w:jc w:val="right"/>
              <w:rPr>
                <w:rFonts w:ascii="Arial" w:hAnsi="Arial" w:cs="Arial"/>
                <w:color w:val="000000"/>
                <w:sz w:val="20"/>
                <w:szCs w:val="20"/>
                <w:cs/>
              </w:rPr>
            </w:pPr>
            <w:r w:rsidRPr="002D2F67">
              <w:rPr>
                <w:rFonts w:ascii="Arial" w:hAnsi="Arial" w:cs="Arial"/>
                <w:sz w:val="20"/>
                <w:szCs w:val="20"/>
              </w:rPr>
              <w:t>(</w:t>
            </w:r>
            <w:r w:rsidR="00CD5714" w:rsidRPr="00CD5714">
              <w:rPr>
                <w:rFonts w:ascii="Arial" w:hAnsi="Arial" w:cs="Arial"/>
                <w:sz w:val="20"/>
                <w:szCs w:val="20"/>
                <w:lang w:val="en-GB"/>
              </w:rPr>
              <w:t>10</w:t>
            </w:r>
            <w:r w:rsidRPr="002D2F67">
              <w:rPr>
                <w:rFonts w:ascii="Arial" w:hAnsi="Arial" w:cs="Arial"/>
                <w:sz w:val="20"/>
                <w:szCs w:val="20"/>
              </w:rPr>
              <w:t>,</w:t>
            </w:r>
            <w:r w:rsidR="00CD5714" w:rsidRPr="00CD5714">
              <w:rPr>
                <w:rFonts w:ascii="Arial" w:hAnsi="Arial" w:cs="Arial"/>
                <w:sz w:val="20"/>
                <w:szCs w:val="20"/>
                <w:lang w:val="en-GB"/>
              </w:rPr>
              <w:t>257</w:t>
            </w:r>
            <w:r w:rsidRPr="002D2F67">
              <w:rPr>
                <w:rFonts w:ascii="Arial" w:hAnsi="Arial" w:cs="Arial"/>
                <w:sz w:val="20"/>
                <w:szCs w:val="20"/>
              </w:rPr>
              <w:t>)</w:t>
            </w:r>
          </w:p>
        </w:tc>
      </w:tr>
      <w:tr w:rsidR="00DF15D0" w:rsidRPr="002D2F67" w14:paraId="64BB0FDD" w14:textId="77777777" w:rsidTr="004A0DA4">
        <w:tc>
          <w:tcPr>
            <w:tcW w:w="1986" w:type="pct"/>
            <w:shd w:val="clear" w:color="auto" w:fill="auto"/>
          </w:tcPr>
          <w:p w14:paraId="5C77CF39" w14:textId="7E940169" w:rsidR="00DF15D0" w:rsidRPr="002D2F67" w:rsidRDefault="00DF15D0" w:rsidP="005611FE">
            <w:pPr>
              <w:ind w:left="29"/>
              <w:rPr>
                <w:rFonts w:ascii="Arial" w:hAnsi="Arial" w:cs="Arial"/>
                <w:color w:val="000000"/>
                <w:sz w:val="20"/>
                <w:szCs w:val="20"/>
              </w:rPr>
            </w:pPr>
            <w:r w:rsidRPr="002D2F67">
              <w:rPr>
                <w:rFonts w:ascii="Arial" w:hAnsi="Arial" w:cs="Arial"/>
                <w:color w:val="000000"/>
                <w:sz w:val="20"/>
                <w:szCs w:val="20"/>
              </w:rPr>
              <w:t>Raw materials and consumables used</w:t>
            </w:r>
          </w:p>
        </w:tc>
        <w:tc>
          <w:tcPr>
            <w:tcW w:w="753" w:type="pct"/>
            <w:shd w:val="clear" w:color="auto" w:fill="auto"/>
          </w:tcPr>
          <w:p w14:paraId="7B55A2EF" w14:textId="2416A055" w:rsidR="00DF15D0" w:rsidRPr="002D2F67" w:rsidRDefault="00CD5714" w:rsidP="005611FE">
            <w:pPr>
              <w:ind w:right="-72"/>
              <w:jc w:val="right"/>
              <w:rPr>
                <w:rFonts w:ascii="Arial" w:hAnsi="Arial" w:cs="Arial"/>
                <w:color w:val="000000"/>
                <w:sz w:val="20"/>
                <w:szCs w:val="20"/>
              </w:rPr>
            </w:pPr>
            <w:r w:rsidRPr="00CD5714">
              <w:rPr>
                <w:rFonts w:ascii="Arial" w:hAnsi="Arial" w:cs="Arial"/>
                <w:sz w:val="20"/>
                <w:szCs w:val="20"/>
                <w:lang w:val="en-GB"/>
              </w:rPr>
              <w:t>5</w:t>
            </w:r>
            <w:r w:rsidR="005869CC" w:rsidRPr="002D2F67">
              <w:rPr>
                <w:rFonts w:ascii="Arial" w:hAnsi="Arial" w:cs="Arial"/>
                <w:sz w:val="20"/>
                <w:szCs w:val="20"/>
              </w:rPr>
              <w:t>,</w:t>
            </w:r>
            <w:r w:rsidRPr="00CD5714">
              <w:rPr>
                <w:rFonts w:ascii="Arial" w:hAnsi="Arial" w:cs="Arial"/>
                <w:sz w:val="20"/>
                <w:szCs w:val="20"/>
                <w:lang w:val="en-GB"/>
              </w:rPr>
              <w:t>599</w:t>
            </w:r>
            <w:r w:rsidR="005869CC" w:rsidRPr="002D2F67">
              <w:rPr>
                <w:rFonts w:ascii="Arial" w:hAnsi="Arial" w:cs="Arial"/>
                <w:sz w:val="20"/>
                <w:szCs w:val="20"/>
              </w:rPr>
              <w:t>,</w:t>
            </w:r>
            <w:r w:rsidRPr="00CD5714">
              <w:rPr>
                <w:rFonts w:ascii="Arial" w:hAnsi="Arial" w:cs="Arial"/>
                <w:sz w:val="20"/>
                <w:szCs w:val="20"/>
                <w:lang w:val="en-GB"/>
              </w:rPr>
              <w:t>175</w:t>
            </w:r>
          </w:p>
        </w:tc>
        <w:tc>
          <w:tcPr>
            <w:tcW w:w="754" w:type="pct"/>
            <w:shd w:val="clear" w:color="auto" w:fill="auto"/>
          </w:tcPr>
          <w:p w14:paraId="1F5893E0" w14:textId="28DAEB2F" w:rsidR="00DF15D0" w:rsidRPr="002D2F67" w:rsidRDefault="00CD5714" w:rsidP="005611FE">
            <w:pPr>
              <w:ind w:right="-72"/>
              <w:jc w:val="right"/>
              <w:rPr>
                <w:rFonts w:ascii="Arial" w:hAnsi="Arial" w:cs="Arial"/>
                <w:color w:val="000000"/>
                <w:sz w:val="20"/>
                <w:szCs w:val="20"/>
              </w:rPr>
            </w:pPr>
            <w:r w:rsidRPr="00CD5714">
              <w:rPr>
                <w:rFonts w:ascii="Arial" w:hAnsi="Arial" w:cs="Arial"/>
                <w:sz w:val="20"/>
                <w:szCs w:val="20"/>
                <w:lang w:val="en-GB"/>
              </w:rPr>
              <w:t>14</w:t>
            </w:r>
            <w:r w:rsidR="00DF15D0" w:rsidRPr="002D2F67">
              <w:rPr>
                <w:rFonts w:ascii="Arial" w:hAnsi="Arial" w:cs="Arial"/>
                <w:sz w:val="20"/>
                <w:szCs w:val="20"/>
              </w:rPr>
              <w:t>,</w:t>
            </w:r>
            <w:r w:rsidRPr="00CD5714">
              <w:rPr>
                <w:rFonts w:ascii="Arial" w:hAnsi="Arial" w:cs="Arial"/>
                <w:sz w:val="20"/>
                <w:szCs w:val="20"/>
                <w:lang w:val="en-GB"/>
              </w:rPr>
              <w:t>058</w:t>
            </w:r>
            <w:r w:rsidR="00DF15D0" w:rsidRPr="002D2F67">
              <w:rPr>
                <w:rFonts w:ascii="Arial" w:hAnsi="Arial" w:cs="Arial"/>
                <w:sz w:val="20"/>
                <w:szCs w:val="20"/>
              </w:rPr>
              <w:t>,</w:t>
            </w:r>
            <w:r w:rsidRPr="00CD5714">
              <w:rPr>
                <w:rFonts w:ascii="Arial" w:hAnsi="Arial" w:cs="Arial"/>
                <w:sz w:val="20"/>
                <w:szCs w:val="20"/>
                <w:lang w:val="en-GB"/>
              </w:rPr>
              <w:t>925</w:t>
            </w:r>
          </w:p>
        </w:tc>
        <w:tc>
          <w:tcPr>
            <w:tcW w:w="753" w:type="pct"/>
            <w:shd w:val="clear" w:color="auto" w:fill="auto"/>
          </w:tcPr>
          <w:p w14:paraId="242DC554" w14:textId="02978D38" w:rsidR="00DF15D0" w:rsidRPr="002D2F67" w:rsidRDefault="00CD5714" w:rsidP="005611FE">
            <w:pPr>
              <w:ind w:right="-72"/>
              <w:jc w:val="right"/>
              <w:rPr>
                <w:rFonts w:ascii="Arial" w:hAnsi="Arial" w:cs="Arial"/>
                <w:color w:val="000000"/>
                <w:sz w:val="20"/>
                <w:szCs w:val="20"/>
              </w:rPr>
            </w:pPr>
            <w:r w:rsidRPr="00CD5714">
              <w:rPr>
                <w:rFonts w:ascii="Arial" w:hAnsi="Arial" w:cs="Arial"/>
                <w:sz w:val="20"/>
                <w:szCs w:val="20"/>
                <w:lang w:val="en-GB"/>
              </w:rPr>
              <w:t>2</w:t>
            </w:r>
            <w:r w:rsidR="00480AD3" w:rsidRPr="002D2F67">
              <w:rPr>
                <w:rFonts w:ascii="Arial" w:hAnsi="Arial" w:cs="Arial"/>
                <w:sz w:val="20"/>
                <w:szCs w:val="20"/>
              </w:rPr>
              <w:t>,</w:t>
            </w:r>
            <w:r w:rsidRPr="00CD5714">
              <w:rPr>
                <w:rFonts w:ascii="Arial" w:hAnsi="Arial" w:cs="Arial"/>
                <w:sz w:val="20"/>
                <w:szCs w:val="20"/>
                <w:lang w:val="en-GB"/>
              </w:rPr>
              <w:t>525</w:t>
            </w:r>
            <w:r w:rsidR="00480AD3" w:rsidRPr="002D2F67">
              <w:rPr>
                <w:rFonts w:ascii="Arial" w:hAnsi="Arial" w:cs="Arial"/>
                <w:sz w:val="20"/>
                <w:szCs w:val="20"/>
              </w:rPr>
              <w:t>,</w:t>
            </w:r>
            <w:r w:rsidRPr="00CD5714">
              <w:rPr>
                <w:rFonts w:ascii="Arial" w:hAnsi="Arial" w:cs="Arial"/>
                <w:sz w:val="20"/>
                <w:szCs w:val="20"/>
                <w:lang w:val="en-GB"/>
              </w:rPr>
              <w:t>026</w:t>
            </w:r>
          </w:p>
        </w:tc>
        <w:tc>
          <w:tcPr>
            <w:tcW w:w="754" w:type="pct"/>
            <w:shd w:val="clear" w:color="auto" w:fill="auto"/>
          </w:tcPr>
          <w:p w14:paraId="0AF7EFE6" w14:textId="036CA2CF" w:rsidR="00DF15D0" w:rsidRPr="002D2F67" w:rsidRDefault="00CD5714" w:rsidP="005611FE">
            <w:pPr>
              <w:ind w:right="-72"/>
              <w:jc w:val="right"/>
              <w:rPr>
                <w:rFonts w:ascii="Arial" w:hAnsi="Arial" w:cs="Arial"/>
                <w:color w:val="000000"/>
                <w:sz w:val="20"/>
                <w:szCs w:val="20"/>
              </w:rPr>
            </w:pPr>
            <w:r w:rsidRPr="00CD5714">
              <w:rPr>
                <w:rFonts w:ascii="Arial" w:hAnsi="Arial" w:cs="Arial"/>
                <w:sz w:val="20"/>
                <w:szCs w:val="20"/>
                <w:lang w:val="en-GB"/>
              </w:rPr>
              <w:t>3</w:t>
            </w:r>
            <w:r w:rsidR="00DF15D0" w:rsidRPr="002D2F67">
              <w:rPr>
                <w:rFonts w:ascii="Arial" w:hAnsi="Arial" w:cs="Arial"/>
                <w:sz w:val="20"/>
                <w:szCs w:val="20"/>
              </w:rPr>
              <w:t>,</w:t>
            </w:r>
            <w:r w:rsidRPr="00CD5714">
              <w:rPr>
                <w:rFonts w:ascii="Arial" w:hAnsi="Arial" w:cs="Arial"/>
                <w:sz w:val="20"/>
                <w:szCs w:val="20"/>
                <w:lang w:val="en-GB"/>
              </w:rPr>
              <w:t>722</w:t>
            </w:r>
            <w:r w:rsidR="00DF15D0" w:rsidRPr="002D2F67">
              <w:rPr>
                <w:rFonts w:ascii="Arial" w:hAnsi="Arial" w:cs="Arial"/>
                <w:sz w:val="20"/>
                <w:szCs w:val="20"/>
              </w:rPr>
              <w:t>,</w:t>
            </w:r>
            <w:r w:rsidRPr="00CD5714">
              <w:rPr>
                <w:rFonts w:ascii="Arial" w:hAnsi="Arial" w:cs="Arial"/>
                <w:sz w:val="20"/>
                <w:szCs w:val="20"/>
                <w:lang w:val="en-GB"/>
              </w:rPr>
              <w:t>454</w:t>
            </w:r>
          </w:p>
        </w:tc>
      </w:tr>
      <w:tr w:rsidR="00DF15D0" w:rsidRPr="002D2F67" w14:paraId="3B3B4BFE" w14:textId="77777777" w:rsidTr="004A0DA4">
        <w:tc>
          <w:tcPr>
            <w:tcW w:w="1986" w:type="pct"/>
            <w:shd w:val="clear" w:color="auto" w:fill="auto"/>
          </w:tcPr>
          <w:p w14:paraId="775C6BCC" w14:textId="6A083A77" w:rsidR="00DF15D0" w:rsidRPr="002D2F67" w:rsidRDefault="00894DEC" w:rsidP="005611FE">
            <w:pPr>
              <w:ind w:left="29"/>
              <w:rPr>
                <w:rFonts w:ascii="Arial" w:hAnsi="Arial" w:cs="Arial"/>
                <w:color w:val="000000"/>
                <w:sz w:val="20"/>
                <w:szCs w:val="20"/>
              </w:rPr>
            </w:pPr>
            <w:r w:rsidRPr="002D2F67">
              <w:rPr>
                <w:rFonts w:ascii="Arial" w:hAnsi="Arial" w:cs="Arial"/>
                <w:color w:val="000000"/>
                <w:sz w:val="20"/>
                <w:szCs w:val="20"/>
              </w:rPr>
              <w:t xml:space="preserve">Employee benefits </w:t>
            </w:r>
            <w:r w:rsidR="00F832D6" w:rsidRPr="002D2F67">
              <w:rPr>
                <w:rFonts w:ascii="Arial" w:hAnsi="Arial" w:cs="Arial"/>
                <w:color w:val="000000"/>
                <w:sz w:val="20"/>
                <w:szCs w:val="20"/>
              </w:rPr>
              <w:t>expenses</w:t>
            </w:r>
          </w:p>
        </w:tc>
        <w:tc>
          <w:tcPr>
            <w:tcW w:w="753" w:type="pct"/>
            <w:shd w:val="clear" w:color="auto" w:fill="auto"/>
          </w:tcPr>
          <w:p w14:paraId="2FA05B22" w14:textId="7D409A7C" w:rsidR="00DF15D0" w:rsidRPr="002D2F67" w:rsidRDefault="00CD5714" w:rsidP="005611FE">
            <w:pPr>
              <w:ind w:right="-72"/>
              <w:jc w:val="right"/>
              <w:rPr>
                <w:rFonts w:ascii="Arial" w:hAnsi="Arial" w:cs="Arial"/>
                <w:color w:val="000000"/>
                <w:sz w:val="20"/>
                <w:szCs w:val="20"/>
              </w:rPr>
            </w:pPr>
            <w:r w:rsidRPr="00CD5714">
              <w:rPr>
                <w:rFonts w:ascii="Arial" w:hAnsi="Arial" w:cs="Arial"/>
                <w:sz w:val="20"/>
                <w:szCs w:val="20"/>
                <w:lang w:val="en-GB"/>
              </w:rPr>
              <w:t>1</w:t>
            </w:r>
            <w:r w:rsidR="00480AD3" w:rsidRPr="002D2F67">
              <w:rPr>
                <w:rFonts w:ascii="Arial" w:hAnsi="Arial" w:cs="Arial"/>
                <w:sz w:val="20"/>
                <w:szCs w:val="20"/>
              </w:rPr>
              <w:t>,</w:t>
            </w:r>
            <w:r w:rsidRPr="00CD5714">
              <w:rPr>
                <w:rFonts w:ascii="Arial" w:hAnsi="Arial" w:cs="Arial"/>
                <w:sz w:val="20"/>
                <w:szCs w:val="20"/>
                <w:lang w:val="en-GB"/>
              </w:rPr>
              <w:t>290</w:t>
            </w:r>
            <w:r w:rsidR="00480AD3" w:rsidRPr="002D2F67">
              <w:rPr>
                <w:rFonts w:ascii="Arial" w:hAnsi="Arial" w:cs="Arial"/>
                <w:sz w:val="20"/>
                <w:szCs w:val="20"/>
              </w:rPr>
              <w:t>,</w:t>
            </w:r>
            <w:r w:rsidRPr="00CD5714">
              <w:rPr>
                <w:rFonts w:ascii="Arial" w:hAnsi="Arial" w:cs="Arial"/>
                <w:sz w:val="20"/>
                <w:szCs w:val="20"/>
                <w:lang w:val="en-GB"/>
              </w:rPr>
              <w:t>956</w:t>
            </w:r>
          </w:p>
        </w:tc>
        <w:tc>
          <w:tcPr>
            <w:tcW w:w="754" w:type="pct"/>
            <w:shd w:val="clear" w:color="auto" w:fill="auto"/>
          </w:tcPr>
          <w:p w14:paraId="35D50217" w14:textId="4EEAD3AA" w:rsidR="00DF15D0" w:rsidRPr="002D2F67" w:rsidRDefault="00CD5714" w:rsidP="005611FE">
            <w:pPr>
              <w:ind w:right="-72"/>
              <w:jc w:val="right"/>
              <w:rPr>
                <w:rFonts w:ascii="Arial" w:hAnsi="Arial" w:cs="Arial"/>
                <w:color w:val="000000"/>
                <w:sz w:val="20"/>
                <w:szCs w:val="20"/>
              </w:rPr>
            </w:pPr>
            <w:r w:rsidRPr="00CD5714">
              <w:rPr>
                <w:rFonts w:ascii="Arial" w:hAnsi="Arial" w:cs="Arial"/>
                <w:sz w:val="20"/>
                <w:szCs w:val="20"/>
                <w:lang w:val="en-GB"/>
              </w:rPr>
              <w:t>1</w:t>
            </w:r>
            <w:r w:rsidR="00DF15D0" w:rsidRPr="002D2F67">
              <w:rPr>
                <w:rFonts w:ascii="Arial" w:hAnsi="Arial" w:cs="Arial"/>
                <w:sz w:val="20"/>
                <w:szCs w:val="20"/>
              </w:rPr>
              <w:t>,</w:t>
            </w:r>
            <w:r w:rsidRPr="00CD5714">
              <w:rPr>
                <w:rFonts w:ascii="Arial" w:hAnsi="Arial" w:cs="Arial"/>
                <w:sz w:val="20"/>
                <w:szCs w:val="20"/>
                <w:lang w:val="en-GB"/>
              </w:rPr>
              <w:t>238</w:t>
            </w:r>
            <w:r w:rsidR="00DF15D0" w:rsidRPr="002D2F67">
              <w:rPr>
                <w:rFonts w:ascii="Arial" w:hAnsi="Arial" w:cs="Arial"/>
                <w:sz w:val="20"/>
                <w:szCs w:val="20"/>
              </w:rPr>
              <w:t>,</w:t>
            </w:r>
            <w:r w:rsidRPr="00CD5714">
              <w:rPr>
                <w:rFonts w:ascii="Arial" w:hAnsi="Arial" w:cs="Arial"/>
                <w:sz w:val="20"/>
                <w:szCs w:val="20"/>
                <w:lang w:val="en-GB"/>
              </w:rPr>
              <w:t>475</w:t>
            </w:r>
          </w:p>
        </w:tc>
        <w:tc>
          <w:tcPr>
            <w:tcW w:w="753" w:type="pct"/>
            <w:shd w:val="clear" w:color="auto" w:fill="auto"/>
          </w:tcPr>
          <w:p w14:paraId="47BE04EC" w14:textId="591EFB1B" w:rsidR="00DF15D0" w:rsidRPr="002D2F67" w:rsidRDefault="00CD5714" w:rsidP="005611FE">
            <w:pPr>
              <w:ind w:right="-72"/>
              <w:jc w:val="right"/>
              <w:rPr>
                <w:rFonts w:ascii="Arial" w:hAnsi="Arial" w:cs="Arial"/>
                <w:color w:val="000000"/>
                <w:sz w:val="20"/>
                <w:szCs w:val="20"/>
              </w:rPr>
            </w:pPr>
            <w:r w:rsidRPr="00CD5714">
              <w:rPr>
                <w:rFonts w:ascii="Arial" w:hAnsi="Arial" w:cs="Arial"/>
                <w:sz w:val="20"/>
                <w:szCs w:val="20"/>
                <w:lang w:val="en-GB"/>
              </w:rPr>
              <w:t>275</w:t>
            </w:r>
            <w:r w:rsidR="00480AD3" w:rsidRPr="002D2F67">
              <w:rPr>
                <w:rFonts w:ascii="Arial" w:hAnsi="Arial" w:cs="Arial"/>
                <w:sz w:val="20"/>
                <w:szCs w:val="20"/>
              </w:rPr>
              <w:t>,</w:t>
            </w:r>
            <w:r w:rsidRPr="00CD5714">
              <w:rPr>
                <w:rFonts w:ascii="Arial" w:hAnsi="Arial" w:cs="Arial"/>
                <w:sz w:val="20"/>
                <w:szCs w:val="20"/>
                <w:lang w:val="en-GB"/>
              </w:rPr>
              <w:t>703</w:t>
            </w:r>
          </w:p>
        </w:tc>
        <w:tc>
          <w:tcPr>
            <w:tcW w:w="754" w:type="pct"/>
            <w:shd w:val="clear" w:color="auto" w:fill="auto"/>
          </w:tcPr>
          <w:p w14:paraId="5FCFA008" w14:textId="2C52E5C4" w:rsidR="00DF15D0" w:rsidRPr="002D2F67" w:rsidRDefault="00CD5714" w:rsidP="005611FE">
            <w:pPr>
              <w:ind w:right="-72"/>
              <w:jc w:val="right"/>
              <w:rPr>
                <w:rFonts w:ascii="Arial" w:hAnsi="Arial" w:cs="Arial"/>
                <w:color w:val="000000"/>
                <w:sz w:val="20"/>
                <w:szCs w:val="20"/>
              </w:rPr>
            </w:pPr>
            <w:r w:rsidRPr="00CD5714">
              <w:rPr>
                <w:rFonts w:ascii="Arial" w:hAnsi="Arial" w:cs="Arial"/>
                <w:sz w:val="20"/>
                <w:szCs w:val="20"/>
                <w:lang w:val="en-GB"/>
              </w:rPr>
              <w:t>313</w:t>
            </w:r>
            <w:r w:rsidR="00DF15D0" w:rsidRPr="002D2F67">
              <w:rPr>
                <w:rFonts w:ascii="Arial" w:hAnsi="Arial" w:cs="Arial"/>
                <w:sz w:val="20"/>
                <w:szCs w:val="20"/>
              </w:rPr>
              <w:t>,</w:t>
            </w:r>
            <w:r w:rsidRPr="00CD5714">
              <w:rPr>
                <w:rFonts w:ascii="Arial" w:hAnsi="Arial" w:cs="Arial"/>
                <w:sz w:val="20"/>
                <w:szCs w:val="20"/>
                <w:lang w:val="en-GB"/>
              </w:rPr>
              <w:t>504</w:t>
            </w:r>
          </w:p>
        </w:tc>
      </w:tr>
      <w:tr w:rsidR="00DF15D0" w:rsidRPr="002D2F67" w14:paraId="7F9BF786" w14:textId="77777777" w:rsidTr="004A0DA4">
        <w:tc>
          <w:tcPr>
            <w:tcW w:w="1986" w:type="pct"/>
            <w:shd w:val="clear" w:color="auto" w:fill="auto"/>
          </w:tcPr>
          <w:p w14:paraId="6CDF1721" w14:textId="77777777" w:rsidR="00DF15D0" w:rsidRPr="002D2F67" w:rsidRDefault="00DF15D0" w:rsidP="005611FE">
            <w:pPr>
              <w:ind w:left="29" w:right="-150"/>
              <w:rPr>
                <w:rFonts w:ascii="Arial" w:hAnsi="Arial" w:cs="Arial"/>
                <w:color w:val="000000"/>
                <w:spacing w:val="-3"/>
                <w:sz w:val="20"/>
                <w:szCs w:val="20"/>
              </w:rPr>
            </w:pPr>
            <w:r w:rsidRPr="002D2F67">
              <w:rPr>
                <w:rFonts w:ascii="Arial" w:hAnsi="Arial" w:cs="Arial"/>
                <w:color w:val="000000"/>
                <w:spacing w:val="-3"/>
                <w:sz w:val="20"/>
                <w:szCs w:val="20"/>
              </w:rPr>
              <w:t>Directors and management compensation</w:t>
            </w:r>
          </w:p>
        </w:tc>
        <w:tc>
          <w:tcPr>
            <w:tcW w:w="753" w:type="pct"/>
            <w:shd w:val="clear" w:color="auto" w:fill="auto"/>
          </w:tcPr>
          <w:p w14:paraId="45872E3F" w14:textId="13F900EF" w:rsidR="00DF15D0" w:rsidRPr="002D2F67" w:rsidRDefault="00CD5714" w:rsidP="005611FE">
            <w:pPr>
              <w:ind w:right="-72"/>
              <w:jc w:val="right"/>
              <w:rPr>
                <w:rFonts w:ascii="Arial" w:hAnsi="Arial" w:cs="Arial"/>
                <w:color w:val="000000"/>
                <w:sz w:val="20"/>
                <w:szCs w:val="20"/>
              </w:rPr>
            </w:pPr>
            <w:r w:rsidRPr="00CD5714">
              <w:rPr>
                <w:rFonts w:ascii="Arial" w:hAnsi="Arial" w:cs="Arial"/>
                <w:sz w:val="20"/>
                <w:szCs w:val="20"/>
                <w:lang w:val="en-GB"/>
              </w:rPr>
              <w:t>194</w:t>
            </w:r>
            <w:r w:rsidR="00480AD3" w:rsidRPr="002D2F67">
              <w:rPr>
                <w:rFonts w:ascii="Arial" w:hAnsi="Arial" w:cs="Arial"/>
                <w:sz w:val="20"/>
                <w:szCs w:val="20"/>
              </w:rPr>
              <w:t>,</w:t>
            </w:r>
            <w:r w:rsidRPr="00CD5714">
              <w:rPr>
                <w:rFonts w:ascii="Arial" w:hAnsi="Arial" w:cs="Arial"/>
                <w:sz w:val="20"/>
                <w:szCs w:val="20"/>
                <w:lang w:val="en-GB"/>
              </w:rPr>
              <w:t>247</w:t>
            </w:r>
          </w:p>
        </w:tc>
        <w:tc>
          <w:tcPr>
            <w:tcW w:w="754" w:type="pct"/>
            <w:shd w:val="clear" w:color="auto" w:fill="auto"/>
          </w:tcPr>
          <w:p w14:paraId="6E05F808" w14:textId="324FF577" w:rsidR="00DF15D0" w:rsidRPr="002D2F67" w:rsidRDefault="00CD5714" w:rsidP="005611FE">
            <w:pPr>
              <w:ind w:right="-72"/>
              <w:jc w:val="right"/>
              <w:rPr>
                <w:rFonts w:ascii="Arial" w:hAnsi="Arial" w:cs="Arial"/>
                <w:color w:val="000000"/>
                <w:sz w:val="20"/>
                <w:szCs w:val="20"/>
              </w:rPr>
            </w:pPr>
            <w:r w:rsidRPr="00CD5714">
              <w:rPr>
                <w:rFonts w:ascii="Arial" w:hAnsi="Arial" w:cs="Arial"/>
                <w:sz w:val="20"/>
                <w:szCs w:val="20"/>
                <w:lang w:val="en-GB"/>
              </w:rPr>
              <w:t>229</w:t>
            </w:r>
            <w:r w:rsidR="00DF15D0" w:rsidRPr="002D2F67">
              <w:rPr>
                <w:rFonts w:ascii="Arial" w:hAnsi="Arial" w:cs="Arial"/>
                <w:sz w:val="20"/>
                <w:szCs w:val="20"/>
              </w:rPr>
              <w:t>,</w:t>
            </w:r>
            <w:r w:rsidRPr="00CD5714">
              <w:rPr>
                <w:rFonts w:ascii="Arial" w:hAnsi="Arial" w:cs="Arial"/>
                <w:sz w:val="20"/>
                <w:szCs w:val="20"/>
                <w:lang w:val="en-GB"/>
              </w:rPr>
              <w:t>361</w:t>
            </w:r>
          </w:p>
        </w:tc>
        <w:tc>
          <w:tcPr>
            <w:tcW w:w="753" w:type="pct"/>
            <w:shd w:val="clear" w:color="auto" w:fill="auto"/>
          </w:tcPr>
          <w:p w14:paraId="7609403E" w14:textId="690CF6D0" w:rsidR="00DF15D0" w:rsidRPr="002D2F67" w:rsidRDefault="00CD5714" w:rsidP="005611FE">
            <w:pPr>
              <w:ind w:right="-72"/>
              <w:jc w:val="right"/>
              <w:rPr>
                <w:rFonts w:ascii="Arial" w:hAnsi="Arial" w:cs="Arial"/>
                <w:color w:val="000000"/>
                <w:sz w:val="20"/>
                <w:szCs w:val="20"/>
              </w:rPr>
            </w:pPr>
            <w:r w:rsidRPr="00CD5714">
              <w:rPr>
                <w:rFonts w:ascii="Arial" w:hAnsi="Arial" w:cs="Arial"/>
                <w:sz w:val="20"/>
                <w:szCs w:val="20"/>
                <w:lang w:val="en-GB"/>
              </w:rPr>
              <w:t>168</w:t>
            </w:r>
            <w:r w:rsidR="00480AD3" w:rsidRPr="002D2F67">
              <w:rPr>
                <w:rFonts w:ascii="Arial" w:hAnsi="Arial" w:cs="Arial"/>
                <w:sz w:val="20"/>
                <w:szCs w:val="20"/>
              </w:rPr>
              <w:t>,</w:t>
            </w:r>
            <w:r w:rsidRPr="00CD5714">
              <w:rPr>
                <w:rFonts w:ascii="Arial" w:hAnsi="Arial" w:cs="Arial"/>
                <w:sz w:val="20"/>
                <w:szCs w:val="20"/>
                <w:lang w:val="en-GB"/>
              </w:rPr>
              <w:t>400</w:t>
            </w:r>
          </w:p>
        </w:tc>
        <w:tc>
          <w:tcPr>
            <w:tcW w:w="754" w:type="pct"/>
            <w:shd w:val="clear" w:color="auto" w:fill="auto"/>
          </w:tcPr>
          <w:p w14:paraId="5BF275BF" w14:textId="55D1DFFB" w:rsidR="00DF15D0" w:rsidRPr="002D2F67" w:rsidRDefault="00CD5714" w:rsidP="005611FE">
            <w:pPr>
              <w:ind w:right="-72"/>
              <w:jc w:val="right"/>
              <w:rPr>
                <w:rFonts w:ascii="Arial" w:hAnsi="Arial" w:cs="Arial"/>
                <w:color w:val="000000"/>
                <w:sz w:val="20"/>
                <w:szCs w:val="20"/>
              </w:rPr>
            </w:pPr>
            <w:r w:rsidRPr="00CD5714">
              <w:rPr>
                <w:rFonts w:ascii="Arial" w:hAnsi="Arial" w:cs="Arial"/>
                <w:sz w:val="20"/>
                <w:szCs w:val="20"/>
                <w:lang w:val="en-GB"/>
              </w:rPr>
              <w:t>203</w:t>
            </w:r>
            <w:r w:rsidR="00DF15D0" w:rsidRPr="002D2F67">
              <w:rPr>
                <w:rFonts w:ascii="Arial" w:hAnsi="Arial" w:cs="Arial"/>
                <w:sz w:val="20"/>
                <w:szCs w:val="20"/>
              </w:rPr>
              <w:t>,</w:t>
            </w:r>
            <w:r w:rsidRPr="00CD5714">
              <w:rPr>
                <w:rFonts w:ascii="Arial" w:hAnsi="Arial" w:cs="Arial"/>
                <w:sz w:val="20"/>
                <w:szCs w:val="20"/>
                <w:lang w:val="en-GB"/>
              </w:rPr>
              <w:t>291</w:t>
            </w:r>
          </w:p>
        </w:tc>
      </w:tr>
      <w:tr w:rsidR="00DF15D0" w:rsidRPr="002D2F67" w14:paraId="55FE2841" w14:textId="77777777" w:rsidTr="004A0DA4">
        <w:tc>
          <w:tcPr>
            <w:tcW w:w="1986" w:type="pct"/>
            <w:shd w:val="clear" w:color="auto" w:fill="auto"/>
          </w:tcPr>
          <w:p w14:paraId="1D73D966" w14:textId="77777777" w:rsidR="00DF15D0" w:rsidRPr="002D2F67" w:rsidRDefault="00DF15D0" w:rsidP="005611FE">
            <w:pPr>
              <w:ind w:left="29"/>
              <w:rPr>
                <w:rFonts w:ascii="Arial" w:hAnsi="Arial" w:cs="Arial"/>
                <w:color w:val="000000"/>
                <w:sz w:val="20"/>
                <w:szCs w:val="20"/>
              </w:rPr>
            </w:pPr>
            <w:r w:rsidRPr="002D2F67">
              <w:rPr>
                <w:rFonts w:ascii="Arial" w:hAnsi="Arial" w:cs="Arial"/>
                <w:color w:val="000000"/>
                <w:sz w:val="20"/>
                <w:szCs w:val="20"/>
              </w:rPr>
              <w:t>Depreciation</w:t>
            </w:r>
          </w:p>
        </w:tc>
        <w:tc>
          <w:tcPr>
            <w:tcW w:w="753" w:type="pct"/>
            <w:shd w:val="clear" w:color="auto" w:fill="auto"/>
          </w:tcPr>
          <w:p w14:paraId="0067F281" w14:textId="351DE778" w:rsidR="00DF15D0" w:rsidRPr="007B2021" w:rsidRDefault="00CD5714" w:rsidP="005611FE">
            <w:pPr>
              <w:ind w:right="-72"/>
              <w:jc w:val="right"/>
              <w:rPr>
                <w:rFonts w:ascii="Arial" w:hAnsi="Arial" w:cstheme="minorBidi"/>
                <w:color w:val="000000"/>
                <w:sz w:val="20"/>
                <w:szCs w:val="25"/>
              </w:rPr>
            </w:pPr>
            <w:r w:rsidRPr="00CD5714">
              <w:rPr>
                <w:rFonts w:ascii="Arial" w:hAnsi="Arial" w:cs="Arial"/>
                <w:sz w:val="20"/>
                <w:szCs w:val="20"/>
                <w:lang w:val="en-GB"/>
              </w:rPr>
              <w:t>3</w:t>
            </w:r>
            <w:r w:rsidR="007B2021">
              <w:rPr>
                <w:rFonts w:ascii="Arial" w:hAnsi="Arial" w:cs="Arial"/>
                <w:sz w:val="20"/>
                <w:szCs w:val="20"/>
                <w:lang w:val="en-GB"/>
              </w:rPr>
              <w:t>,616,373</w:t>
            </w:r>
          </w:p>
        </w:tc>
        <w:tc>
          <w:tcPr>
            <w:tcW w:w="754" w:type="pct"/>
            <w:shd w:val="clear" w:color="auto" w:fill="auto"/>
          </w:tcPr>
          <w:p w14:paraId="2ECEE72D" w14:textId="19430C3E" w:rsidR="00DF15D0" w:rsidRPr="002D2F67" w:rsidRDefault="00CD5714" w:rsidP="005611FE">
            <w:pPr>
              <w:ind w:right="-72"/>
              <w:jc w:val="right"/>
              <w:rPr>
                <w:rFonts w:ascii="Arial" w:hAnsi="Arial" w:cs="Arial"/>
                <w:color w:val="000000"/>
                <w:sz w:val="20"/>
                <w:szCs w:val="20"/>
              </w:rPr>
            </w:pPr>
            <w:r w:rsidRPr="00CD5714">
              <w:rPr>
                <w:rFonts w:ascii="Arial" w:hAnsi="Arial" w:cs="Arial"/>
                <w:sz w:val="20"/>
                <w:szCs w:val="20"/>
                <w:lang w:val="en-GB"/>
              </w:rPr>
              <w:t>3</w:t>
            </w:r>
            <w:r w:rsidR="00DF15D0" w:rsidRPr="002D2F67">
              <w:rPr>
                <w:rFonts w:ascii="Arial" w:hAnsi="Arial" w:cs="Arial"/>
                <w:sz w:val="20"/>
                <w:szCs w:val="20"/>
              </w:rPr>
              <w:t>,</w:t>
            </w:r>
            <w:r w:rsidRPr="00CD5714">
              <w:rPr>
                <w:rFonts w:ascii="Arial" w:hAnsi="Arial" w:cs="Arial"/>
                <w:sz w:val="20"/>
                <w:szCs w:val="20"/>
                <w:lang w:val="en-GB"/>
              </w:rPr>
              <w:t>523</w:t>
            </w:r>
            <w:r w:rsidR="00DF15D0" w:rsidRPr="002D2F67">
              <w:rPr>
                <w:rFonts w:ascii="Arial" w:hAnsi="Arial" w:cs="Arial"/>
                <w:sz w:val="20"/>
                <w:szCs w:val="20"/>
              </w:rPr>
              <w:t>,</w:t>
            </w:r>
            <w:r w:rsidRPr="00CD5714">
              <w:rPr>
                <w:rFonts w:ascii="Arial" w:hAnsi="Arial" w:cs="Arial"/>
                <w:sz w:val="20"/>
                <w:szCs w:val="20"/>
                <w:lang w:val="en-GB"/>
              </w:rPr>
              <w:t>237</w:t>
            </w:r>
          </w:p>
        </w:tc>
        <w:tc>
          <w:tcPr>
            <w:tcW w:w="753" w:type="pct"/>
            <w:shd w:val="clear" w:color="auto" w:fill="auto"/>
          </w:tcPr>
          <w:p w14:paraId="5287788C" w14:textId="2AE2C943" w:rsidR="00DF15D0" w:rsidRPr="002D2F67" w:rsidRDefault="00CD5714" w:rsidP="005611FE">
            <w:pPr>
              <w:ind w:right="-72"/>
              <w:jc w:val="right"/>
              <w:rPr>
                <w:rFonts w:ascii="Arial" w:hAnsi="Arial" w:cs="Arial"/>
                <w:color w:val="000000"/>
                <w:sz w:val="20"/>
                <w:szCs w:val="20"/>
              </w:rPr>
            </w:pPr>
            <w:r w:rsidRPr="00CD5714">
              <w:rPr>
                <w:rFonts w:ascii="Arial" w:hAnsi="Arial" w:cs="Arial"/>
                <w:sz w:val="20"/>
                <w:szCs w:val="20"/>
                <w:lang w:val="en-GB"/>
              </w:rPr>
              <w:t>753</w:t>
            </w:r>
            <w:r w:rsidR="005869CC" w:rsidRPr="002D2F67">
              <w:rPr>
                <w:rFonts w:ascii="Arial" w:hAnsi="Arial" w:cs="Arial"/>
                <w:sz w:val="20"/>
                <w:szCs w:val="20"/>
              </w:rPr>
              <w:t>,</w:t>
            </w:r>
            <w:r w:rsidRPr="00CD5714">
              <w:rPr>
                <w:rFonts w:ascii="Arial" w:hAnsi="Arial" w:cs="Arial"/>
                <w:sz w:val="20"/>
                <w:szCs w:val="20"/>
                <w:lang w:val="en-GB"/>
              </w:rPr>
              <w:t>18</w:t>
            </w:r>
            <w:r w:rsidR="007B2021">
              <w:rPr>
                <w:rFonts w:ascii="Arial" w:hAnsi="Arial" w:cs="Arial"/>
                <w:sz w:val="20"/>
                <w:szCs w:val="20"/>
                <w:lang w:val="en-GB"/>
              </w:rPr>
              <w:t>8</w:t>
            </w:r>
          </w:p>
        </w:tc>
        <w:tc>
          <w:tcPr>
            <w:tcW w:w="754" w:type="pct"/>
            <w:shd w:val="clear" w:color="auto" w:fill="auto"/>
          </w:tcPr>
          <w:p w14:paraId="32287ADC" w14:textId="7F19450D" w:rsidR="00DF15D0" w:rsidRPr="002D2F67" w:rsidRDefault="00CD5714" w:rsidP="005611FE">
            <w:pPr>
              <w:ind w:right="-72"/>
              <w:jc w:val="right"/>
              <w:rPr>
                <w:rFonts w:ascii="Arial" w:hAnsi="Arial" w:cs="Arial"/>
                <w:color w:val="000000"/>
                <w:sz w:val="20"/>
                <w:szCs w:val="20"/>
              </w:rPr>
            </w:pPr>
            <w:r w:rsidRPr="00CD5714">
              <w:rPr>
                <w:rFonts w:ascii="Arial" w:hAnsi="Arial" w:cs="Arial"/>
                <w:sz w:val="20"/>
                <w:szCs w:val="20"/>
                <w:lang w:val="en-GB"/>
              </w:rPr>
              <w:t>781</w:t>
            </w:r>
            <w:r w:rsidR="00DF15D0" w:rsidRPr="002D2F67">
              <w:rPr>
                <w:rFonts w:ascii="Arial" w:hAnsi="Arial" w:cs="Arial"/>
                <w:sz w:val="20"/>
                <w:szCs w:val="20"/>
              </w:rPr>
              <w:t>,</w:t>
            </w:r>
            <w:r w:rsidRPr="00CD5714">
              <w:rPr>
                <w:rFonts w:ascii="Arial" w:hAnsi="Arial" w:cs="Arial"/>
                <w:sz w:val="20"/>
                <w:szCs w:val="20"/>
                <w:lang w:val="en-GB"/>
              </w:rPr>
              <w:t>879</w:t>
            </w:r>
          </w:p>
        </w:tc>
      </w:tr>
      <w:tr w:rsidR="00DF15D0" w:rsidRPr="002D2F67" w14:paraId="5FE1DF6D" w14:textId="77777777" w:rsidTr="004A0DA4">
        <w:tc>
          <w:tcPr>
            <w:tcW w:w="1986" w:type="pct"/>
            <w:shd w:val="clear" w:color="auto" w:fill="auto"/>
          </w:tcPr>
          <w:p w14:paraId="125B39C1" w14:textId="77777777" w:rsidR="00DF15D0" w:rsidRPr="002D2F67" w:rsidRDefault="00DF15D0" w:rsidP="005611FE">
            <w:pPr>
              <w:ind w:left="29"/>
              <w:rPr>
                <w:rFonts w:ascii="Arial" w:hAnsi="Arial" w:cs="Arial"/>
                <w:color w:val="000000"/>
                <w:sz w:val="20"/>
                <w:szCs w:val="20"/>
              </w:rPr>
            </w:pPr>
            <w:r w:rsidRPr="002D2F67">
              <w:rPr>
                <w:rFonts w:ascii="Arial" w:hAnsi="Arial" w:cs="Arial"/>
                <w:color w:val="000000"/>
                <w:sz w:val="20"/>
                <w:szCs w:val="20"/>
              </w:rPr>
              <w:t>Amortisation</w:t>
            </w:r>
          </w:p>
        </w:tc>
        <w:tc>
          <w:tcPr>
            <w:tcW w:w="753" w:type="pct"/>
            <w:shd w:val="clear" w:color="auto" w:fill="auto"/>
          </w:tcPr>
          <w:p w14:paraId="50C3696B" w14:textId="0C4A60D7" w:rsidR="00DF15D0" w:rsidRPr="002D2F67" w:rsidRDefault="00CD5714" w:rsidP="005611FE">
            <w:pPr>
              <w:ind w:right="-72"/>
              <w:jc w:val="right"/>
              <w:rPr>
                <w:rFonts w:ascii="Arial" w:hAnsi="Arial" w:cs="Arial"/>
                <w:color w:val="000000"/>
                <w:sz w:val="20"/>
                <w:szCs w:val="20"/>
              </w:rPr>
            </w:pPr>
            <w:r w:rsidRPr="00CD5714">
              <w:rPr>
                <w:rFonts w:ascii="Arial" w:hAnsi="Arial" w:cs="Arial"/>
                <w:sz w:val="20"/>
                <w:szCs w:val="20"/>
                <w:lang w:val="en-GB"/>
              </w:rPr>
              <w:t>153</w:t>
            </w:r>
            <w:r w:rsidR="005869CC" w:rsidRPr="002D2F67">
              <w:rPr>
                <w:rFonts w:ascii="Arial" w:hAnsi="Arial" w:cs="Arial"/>
                <w:sz w:val="20"/>
                <w:szCs w:val="20"/>
              </w:rPr>
              <w:t>,</w:t>
            </w:r>
            <w:r w:rsidRPr="00CD5714">
              <w:rPr>
                <w:rFonts w:ascii="Arial" w:hAnsi="Arial" w:cs="Arial"/>
                <w:sz w:val="20"/>
                <w:szCs w:val="20"/>
                <w:lang w:val="en-GB"/>
              </w:rPr>
              <w:t>603</w:t>
            </w:r>
          </w:p>
        </w:tc>
        <w:tc>
          <w:tcPr>
            <w:tcW w:w="754" w:type="pct"/>
            <w:shd w:val="clear" w:color="auto" w:fill="auto"/>
          </w:tcPr>
          <w:p w14:paraId="73B01292" w14:textId="13360529" w:rsidR="00DF15D0" w:rsidRPr="002D2F67" w:rsidRDefault="00CD5714" w:rsidP="005611FE">
            <w:pPr>
              <w:ind w:right="-72"/>
              <w:jc w:val="right"/>
              <w:rPr>
                <w:rFonts w:ascii="Arial" w:hAnsi="Arial" w:cs="Arial"/>
                <w:color w:val="000000"/>
                <w:sz w:val="20"/>
                <w:szCs w:val="20"/>
              </w:rPr>
            </w:pPr>
            <w:r w:rsidRPr="00CD5714">
              <w:rPr>
                <w:rFonts w:ascii="Arial" w:hAnsi="Arial" w:cs="Arial"/>
                <w:sz w:val="20"/>
                <w:szCs w:val="20"/>
                <w:lang w:val="en-GB"/>
              </w:rPr>
              <w:t>155</w:t>
            </w:r>
            <w:r w:rsidR="00DF15D0" w:rsidRPr="002D2F67">
              <w:rPr>
                <w:rFonts w:ascii="Arial" w:hAnsi="Arial" w:cs="Arial"/>
                <w:sz w:val="20"/>
                <w:szCs w:val="20"/>
              </w:rPr>
              <w:t>,</w:t>
            </w:r>
            <w:r w:rsidRPr="00CD5714">
              <w:rPr>
                <w:rFonts w:ascii="Arial" w:hAnsi="Arial" w:cs="Arial"/>
                <w:sz w:val="20"/>
                <w:szCs w:val="20"/>
                <w:lang w:val="en-GB"/>
              </w:rPr>
              <w:t>029</w:t>
            </w:r>
          </w:p>
        </w:tc>
        <w:tc>
          <w:tcPr>
            <w:tcW w:w="753" w:type="pct"/>
            <w:shd w:val="clear" w:color="auto" w:fill="auto"/>
          </w:tcPr>
          <w:p w14:paraId="44C57009" w14:textId="51576DD2" w:rsidR="00DF15D0" w:rsidRPr="002D2F67" w:rsidRDefault="00CD5714" w:rsidP="005611FE">
            <w:pPr>
              <w:ind w:right="-72"/>
              <w:jc w:val="right"/>
              <w:rPr>
                <w:rFonts w:ascii="Arial" w:hAnsi="Arial" w:cs="Arial"/>
                <w:color w:val="000000"/>
                <w:sz w:val="20"/>
                <w:szCs w:val="20"/>
              </w:rPr>
            </w:pPr>
            <w:r w:rsidRPr="00CD5714">
              <w:rPr>
                <w:rFonts w:ascii="Arial" w:hAnsi="Arial" w:cs="Arial"/>
                <w:sz w:val="20"/>
                <w:szCs w:val="20"/>
                <w:lang w:val="en-GB"/>
              </w:rPr>
              <w:t>18</w:t>
            </w:r>
            <w:r w:rsidR="005869CC" w:rsidRPr="002D2F67">
              <w:rPr>
                <w:rFonts w:ascii="Arial" w:hAnsi="Arial" w:cs="Arial"/>
                <w:sz w:val="20"/>
                <w:szCs w:val="20"/>
              </w:rPr>
              <w:t>,</w:t>
            </w:r>
            <w:r w:rsidRPr="00CD5714">
              <w:rPr>
                <w:rFonts w:ascii="Arial" w:hAnsi="Arial" w:cs="Arial"/>
                <w:sz w:val="20"/>
                <w:szCs w:val="20"/>
                <w:lang w:val="en-GB"/>
              </w:rPr>
              <w:t>202</w:t>
            </w:r>
          </w:p>
        </w:tc>
        <w:tc>
          <w:tcPr>
            <w:tcW w:w="754" w:type="pct"/>
            <w:shd w:val="clear" w:color="auto" w:fill="auto"/>
          </w:tcPr>
          <w:p w14:paraId="6567F2FE" w14:textId="4EDC08A5" w:rsidR="00DF15D0" w:rsidRPr="002D2F67" w:rsidRDefault="00CD5714" w:rsidP="005611FE">
            <w:pPr>
              <w:ind w:right="-72"/>
              <w:jc w:val="right"/>
              <w:rPr>
                <w:rFonts w:ascii="Arial" w:hAnsi="Arial" w:cs="Arial"/>
                <w:color w:val="000000"/>
                <w:sz w:val="20"/>
                <w:szCs w:val="20"/>
              </w:rPr>
            </w:pPr>
            <w:r w:rsidRPr="00CD5714">
              <w:rPr>
                <w:rFonts w:ascii="Arial" w:hAnsi="Arial" w:cs="Arial"/>
                <w:sz w:val="20"/>
                <w:szCs w:val="20"/>
                <w:lang w:val="en-GB"/>
              </w:rPr>
              <w:t>17</w:t>
            </w:r>
            <w:r w:rsidR="00DF15D0" w:rsidRPr="002D2F67">
              <w:rPr>
                <w:rFonts w:ascii="Arial" w:hAnsi="Arial" w:cs="Arial"/>
                <w:sz w:val="20"/>
                <w:szCs w:val="20"/>
              </w:rPr>
              <w:t>,</w:t>
            </w:r>
            <w:r w:rsidRPr="00CD5714">
              <w:rPr>
                <w:rFonts w:ascii="Arial" w:hAnsi="Arial" w:cs="Arial"/>
                <w:sz w:val="20"/>
                <w:szCs w:val="20"/>
                <w:lang w:val="en-GB"/>
              </w:rPr>
              <w:t>858</w:t>
            </w:r>
          </w:p>
        </w:tc>
      </w:tr>
      <w:tr w:rsidR="00DF15D0" w:rsidRPr="002D2F67" w14:paraId="61AD660B" w14:textId="77777777" w:rsidTr="005611FE">
        <w:tc>
          <w:tcPr>
            <w:tcW w:w="1986" w:type="pct"/>
            <w:shd w:val="clear" w:color="auto" w:fill="auto"/>
          </w:tcPr>
          <w:p w14:paraId="3222E7C7" w14:textId="23E98DF4" w:rsidR="00466697" w:rsidRPr="002D2F67" w:rsidRDefault="00C77435" w:rsidP="00BD2179">
            <w:pPr>
              <w:ind w:left="29"/>
              <w:rPr>
                <w:rFonts w:ascii="Arial" w:hAnsi="Arial" w:cs="Arial"/>
                <w:color w:val="000000"/>
                <w:sz w:val="20"/>
                <w:szCs w:val="20"/>
              </w:rPr>
            </w:pPr>
            <w:r w:rsidRPr="002D2F67">
              <w:rPr>
                <w:rFonts w:ascii="Arial" w:hAnsi="Arial" w:cs="Arial"/>
                <w:color w:val="000000"/>
                <w:sz w:val="20"/>
                <w:szCs w:val="20"/>
              </w:rPr>
              <w:t>(Reversal</w:t>
            </w:r>
            <w:r w:rsidR="004C5CB0">
              <w:rPr>
                <w:rFonts w:ascii="Arial" w:hAnsi="Arial" w:cs="Arial"/>
                <w:color w:val="000000"/>
                <w:sz w:val="20"/>
                <w:szCs w:val="20"/>
              </w:rPr>
              <w:t xml:space="preserve"> of</w:t>
            </w:r>
            <w:r w:rsidRPr="002D2F67">
              <w:rPr>
                <w:rFonts w:ascii="Arial" w:hAnsi="Arial" w:cs="Arial"/>
                <w:color w:val="000000"/>
                <w:sz w:val="20"/>
                <w:szCs w:val="20"/>
              </w:rPr>
              <w:t xml:space="preserve">) </w:t>
            </w:r>
            <w:r w:rsidR="004C5CB0">
              <w:rPr>
                <w:rFonts w:ascii="Arial" w:hAnsi="Arial" w:cs="Arial"/>
                <w:color w:val="000000"/>
                <w:sz w:val="20"/>
                <w:szCs w:val="20"/>
              </w:rPr>
              <w:t>allowance for</w:t>
            </w:r>
            <w:r w:rsidR="00E52D09" w:rsidRPr="002D2F67">
              <w:rPr>
                <w:rFonts w:ascii="Arial" w:hAnsi="Arial" w:cs="Arial"/>
                <w:color w:val="000000"/>
                <w:sz w:val="20"/>
                <w:szCs w:val="20"/>
              </w:rPr>
              <w:t xml:space="preserve"> </w:t>
            </w:r>
            <w:r w:rsidR="00CF2734" w:rsidRPr="002D2F67">
              <w:rPr>
                <w:rFonts w:ascii="Arial" w:hAnsi="Arial" w:cs="Arial"/>
                <w:color w:val="000000"/>
                <w:sz w:val="20"/>
                <w:szCs w:val="20"/>
              </w:rPr>
              <w:t xml:space="preserve">decrease in </w:t>
            </w:r>
          </w:p>
          <w:p w14:paraId="35E8F622" w14:textId="002DE144" w:rsidR="00DF15D0" w:rsidRPr="002D2F67" w:rsidRDefault="00466697" w:rsidP="00BF3C06">
            <w:pPr>
              <w:ind w:left="29"/>
              <w:rPr>
                <w:rFonts w:ascii="Arial" w:hAnsi="Arial" w:cs="Arial"/>
                <w:color w:val="000000"/>
                <w:sz w:val="20"/>
                <w:szCs w:val="20"/>
              </w:rPr>
            </w:pPr>
            <w:r w:rsidRPr="002D2F67">
              <w:rPr>
                <w:rFonts w:ascii="Arial" w:hAnsi="Arial" w:cs="Arial"/>
                <w:color w:val="000000"/>
                <w:sz w:val="20"/>
                <w:szCs w:val="20"/>
              </w:rPr>
              <w:t xml:space="preserve">  </w:t>
            </w:r>
            <w:r w:rsidR="00CF2734" w:rsidRPr="002D2F67">
              <w:rPr>
                <w:rFonts w:ascii="Arial" w:hAnsi="Arial" w:cs="Arial"/>
                <w:color w:val="000000"/>
                <w:sz w:val="20"/>
                <w:szCs w:val="20"/>
              </w:rPr>
              <w:t xml:space="preserve"> </w:t>
            </w:r>
            <w:r w:rsidR="00C77435" w:rsidRPr="002D2F67">
              <w:rPr>
                <w:rFonts w:ascii="Arial" w:hAnsi="Arial" w:cs="Arial"/>
                <w:color w:val="000000"/>
                <w:sz w:val="20"/>
                <w:szCs w:val="20"/>
              </w:rPr>
              <w:t>value of</w:t>
            </w:r>
            <w:r w:rsidR="00F832D6" w:rsidRPr="002D2F67">
              <w:rPr>
                <w:rFonts w:ascii="Arial" w:hAnsi="Arial" w:cs="Arial"/>
                <w:color w:val="000000"/>
                <w:sz w:val="20"/>
                <w:szCs w:val="20"/>
              </w:rPr>
              <w:t xml:space="preserve"> </w:t>
            </w:r>
            <w:r w:rsidR="00CF2734" w:rsidRPr="002D2F67">
              <w:rPr>
                <w:rFonts w:ascii="Arial" w:hAnsi="Arial" w:cs="Arial"/>
                <w:color w:val="000000"/>
                <w:sz w:val="20"/>
                <w:szCs w:val="20"/>
              </w:rPr>
              <w:t>inventories</w:t>
            </w:r>
          </w:p>
        </w:tc>
        <w:tc>
          <w:tcPr>
            <w:tcW w:w="753" w:type="pct"/>
            <w:shd w:val="clear" w:color="auto" w:fill="auto"/>
            <w:vAlign w:val="bottom"/>
          </w:tcPr>
          <w:p w14:paraId="453756C9" w14:textId="667D8A4C" w:rsidR="00DF15D0" w:rsidRPr="002D2F67" w:rsidRDefault="00CD5714" w:rsidP="005611FE">
            <w:pPr>
              <w:ind w:right="-72"/>
              <w:jc w:val="right"/>
              <w:rPr>
                <w:rFonts w:ascii="Arial" w:hAnsi="Arial" w:cs="Arial"/>
                <w:color w:val="000000"/>
                <w:sz w:val="20"/>
                <w:szCs w:val="20"/>
                <w:cs/>
              </w:rPr>
            </w:pPr>
            <w:r w:rsidRPr="00CD5714">
              <w:rPr>
                <w:rFonts w:ascii="Arial" w:hAnsi="Arial" w:cs="Arial"/>
                <w:sz w:val="20"/>
                <w:szCs w:val="20"/>
                <w:lang w:val="en-GB"/>
              </w:rPr>
              <w:t>3</w:t>
            </w:r>
            <w:r w:rsidR="007F71C6" w:rsidRPr="002D2F67">
              <w:rPr>
                <w:rFonts w:ascii="Arial" w:hAnsi="Arial" w:cs="Arial"/>
                <w:sz w:val="20"/>
                <w:szCs w:val="20"/>
              </w:rPr>
              <w:t>,</w:t>
            </w:r>
            <w:r w:rsidRPr="00CD5714">
              <w:rPr>
                <w:rFonts w:ascii="Arial" w:hAnsi="Arial" w:cs="Arial"/>
                <w:sz w:val="20"/>
                <w:szCs w:val="20"/>
                <w:lang w:val="en-GB"/>
              </w:rPr>
              <w:t>500</w:t>
            </w:r>
            <w:r w:rsidR="007F71C6" w:rsidRPr="002D2F67">
              <w:rPr>
                <w:rFonts w:ascii="Arial" w:hAnsi="Arial" w:cs="Arial"/>
                <w:sz w:val="20"/>
                <w:szCs w:val="20"/>
              </w:rPr>
              <w:t>,</w:t>
            </w:r>
            <w:r w:rsidRPr="00CD5714">
              <w:rPr>
                <w:rFonts w:ascii="Arial" w:hAnsi="Arial" w:cs="Arial"/>
                <w:sz w:val="20"/>
                <w:szCs w:val="20"/>
                <w:lang w:val="en-GB"/>
              </w:rPr>
              <w:t>774</w:t>
            </w:r>
          </w:p>
        </w:tc>
        <w:tc>
          <w:tcPr>
            <w:tcW w:w="754" w:type="pct"/>
            <w:shd w:val="clear" w:color="auto" w:fill="auto"/>
            <w:vAlign w:val="bottom"/>
          </w:tcPr>
          <w:p w14:paraId="77092E17" w14:textId="7137FAFF" w:rsidR="00DF15D0" w:rsidRPr="002D2F67" w:rsidRDefault="00CD5714" w:rsidP="005611FE">
            <w:pPr>
              <w:ind w:right="-72"/>
              <w:jc w:val="right"/>
              <w:rPr>
                <w:rFonts w:ascii="Arial" w:hAnsi="Arial" w:cs="Arial"/>
                <w:color w:val="000000"/>
                <w:sz w:val="20"/>
                <w:szCs w:val="20"/>
                <w:cs/>
              </w:rPr>
            </w:pPr>
            <w:r w:rsidRPr="00CD5714">
              <w:rPr>
                <w:rFonts w:ascii="Arial" w:hAnsi="Arial" w:cs="Arial"/>
                <w:sz w:val="20"/>
                <w:szCs w:val="20"/>
                <w:lang w:val="en-GB"/>
              </w:rPr>
              <w:t>4</w:t>
            </w:r>
            <w:r w:rsidR="00DF15D0" w:rsidRPr="002D2F67">
              <w:rPr>
                <w:rFonts w:ascii="Arial" w:hAnsi="Arial" w:cs="Arial"/>
                <w:sz w:val="20"/>
                <w:szCs w:val="20"/>
              </w:rPr>
              <w:t>,</w:t>
            </w:r>
            <w:r w:rsidRPr="00CD5714">
              <w:rPr>
                <w:rFonts w:ascii="Arial" w:hAnsi="Arial" w:cs="Arial"/>
                <w:sz w:val="20"/>
                <w:szCs w:val="20"/>
                <w:lang w:val="en-GB"/>
              </w:rPr>
              <w:t>319</w:t>
            </w:r>
          </w:p>
        </w:tc>
        <w:tc>
          <w:tcPr>
            <w:tcW w:w="753" w:type="pct"/>
            <w:shd w:val="clear" w:color="auto" w:fill="auto"/>
            <w:vAlign w:val="bottom"/>
          </w:tcPr>
          <w:p w14:paraId="363A16BA" w14:textId="7089D0D6" w:rsidR="00DF15D0" w:rsidRPr="002D2F67" w:rsidRDefault="00480AD3" w:rsidP="005611FE">
            <w:pPr>
              <w:ind w:right="-72"/>
              <w:jc w:val="right"/>
              <w:rPr>
                <w:rFonts w:ascii="Arial" w:hAnsi="Arial" w:cs="Arial"/>
                <w:color w:val="000000"/>
                <w:sz w:val="20"/>
                <w:szCs w:val="20"/>
                <w:cs/>
              </w:rPr>
            </w:pPr>
            <w:r w:rsidRPr="002D2F67">
              <w:rPr>
                <w:rFonts w:ascii="Arial" w:hAnsi="Arial" w:cs="Arial"/>
                <w:sz w:val="20"/>
                <w:szCs w:val="20"/>
              </w:rPr>
              <w:t>(</w:t>
            </w:r>
            <w:r w:rsidR="00CD5714" w:rsidRPr="00CD5714">
              <w:rPr>
                <w:rFonts w:ascii="Arial" w:hAnsi="Arial" w:cs="Arial"/>
                <w:sz w:val="20"/>
                <w:szCs w:val="20"/>
                <w:lang w:val="en-GB"/>
              </w:rPr>
              <w:t>454</w:t>
            </w:r>
            <w:r w:rsidRPr="002D2F67">
              <w:rPr>
                <w:rFonts w:ascii="Arial" w:hAnsi="Arial" w:cs="Arial"/>
                <w:sz w:val="20"/>
                <w:szCs w:val="20"/>
              </w:rPr>
              <w:t>)</w:t>
            </w:r>
          </w:p>
        </w:tc>
        <w:tc>
          <w:tcPr>
            <w:tcW w:w="754" w:type="pct"/>
            <w:shd w:val="clear" w:color="auto" w:fill="auto"/>
            <w:vAlign w:val="bottom"/>
          </w:tcPr>
          <w:p w14:paraId="6D86A679" w14:textId="2253860C" w:rsidR="00DF15D0" w:rsidRPr="002D2F67" w:rsidRDefault="00CD5714" w:rsidP="005611FE">
            <w:pPr>
              <w:ind w:right="-72"/>
              <w:jc w:val="right"/>
              <w:rPr>
                <w:rFonts w:ascii="Arial" w:hAnsi="Arial" w:cs="Arial"/>
                <w:color w:val="000000"/>
                <w:sz w:val="20"/>
                <w:szCs w:val="20"/>
                <w:cs/>
              </w:rPr>
            </w:pPr>
            <w:r w:rsidRPr="00CD5714">
              <w:rPr>
                <w:rFonts w:ascii="Arial" w:hAnsi="Arial" w:cs="Arial"/>
                <w:sz w:val="20"/>
                <w:szCs w:val="20"/>
                <w:lang w:val="en-GB"/>
              </w:rPr>
              <w:t>366</w:t>
            </w:r>
          </w:p>
        </w:tc>
      </w:tr>
      <w:tr w:rsidR="00BD2179" w:rsidRPr="002D2F67" w14:paraId="1AE20CE1" w14:textId="77777777" w:rsidTr="004A0DA4">
        <w:tc>
          <w:tcPr>
            <w:tcW w:w="1986" w:type="pct"/>
            <w:shd w:val="clear" w:color="auto" w:fill="auto"/>
          </w:tcPr>
          <w:p w14:paraId="4648BE47" w14:textId="1226D590" w:rsidR="00BD2179" w:rsidRPr="002D2F67" w:rsidRDefault="004773B9" w:rsidP="00BD2179">
            <w:pPr>
              <w:ind w:left="29"/>
              <w:rPr>
                <w:rFonts w:ascii="Arial" w:hAnsi="Arial" w:cs="Arial"/>
                <w:color w:val="000000"/>
                <w:sz w:val="20"/>
                <w:szCs w:val="20"/>
              </w:rPr>
            </w:pPr>
            <w:r w:rsidRPr="002D2F67">
              <w:rPr>
                <w:rFonts w:ascii="Arial" w:hAnsi="Arial" w:cs="Arial"/>
                <w:color w:val="000000"/>
                <w:sz w:val="20"/>
                <w:szCs w:val="20"/>
              </w:rPr>
              <w:t xml:space="preserve">Expected credit </w:t>
            </w:r>
            <w:r w:rsidR="00F832D6" w:rsidRPr="002D2F67">
              <w:rPr>
                <w:rFonts w:ascii="Arial" w:hAnsi="Arial" w:cs="Arial"/>
                <w:color w:val="000000"/>
                <w:sz w:val="20"/>
                <w:szCs w:val="20"/>
              </w:rPr>
              <w:t>losses</w:t>
            </w:r>
          </w:p>
        </w:tc>
        <w:tc>
          <w:tcPr>
            <w:tcW w:w="753" w:type="pct"/>
            <w:shd w:val="clear" w:color="auto" w:fill="auto"/>
          </w:tcPr>
          <w:p w14:paraId="6FB88DF8" w14:textId="6227CF74" w:rsidR="00BD2179" w:rsidRPr="002D2F67" w:rsidRDefault="00CD5714" w:rsidP="005611FE">
            <w:pPr>
              <w:ind w:right="-72"/>
              <w:jc w:val="right"/>
              <w:rPr>
                <w:rFonts w:ascii="Arial" w:hAnsi="Arial" w:cs="Arial"/>
                <w:color w:val="000000"/>
                <w:sz w:val="20"/>
                <w:szCs w:val="20"/>
                <w:cs/>
              </w:rPr>
            </w:pPr>
            <w:r w:rsidRPr="00CD5714">
              <w:rPr>
                <w:rFonts w:ascii="Arial" w:hAnsi="Arial" w:cs="Arial"/>
                <w:sz w:val="20"/>
                <w:szCs w:val="20"/>
                <w:lang w:val="en-GB"/>
              </w:rPr>
              <w:t>2</w:t>
            </w:r>
            <w:r w:rsidR="007F71C6" w:rsidRPr="002D2F67">
              <w:rPr>
                <w:rFonts w:ascii="Arial" w:hAnsi="Arial" w:cs="Arial"/>
                <w:sz w:val="20"/>
                <w:szCs w:val="20"/>
              </w:rPr>
              <w:t>,</w:t>
            </w:r>
            <w:r w:rsidRPr="00CD5714">
              <w:rPr>
                <w:rFonts w:ascii="Arial" w:hAnsi="Arial" w:cs="Arial"/>
                <w:sz w:val="20"/>
                <w:szCs w:val="20"/>
                <w:lang w:val="en-GB"/>
              </w:rPr>
              <w:t>208</w:t>
            </w:r>
            <w:r w:rsidR="007F71C6" w:rsidRPr="002D2F67">
              <w:rPr>
                <w:rFonts w:ascii="Arial" w:hAnsi="Arial" w:cs="Arial"/>
                <w:sz w:val="20"/>
                <w:szCs w:val="20"/>
              </w:rPr>
              <w:t>,</w:t>
            </w:r>
            <w:r w:rsidRPr="00CD5714">
              <w:rPr>
                <w:rFonts w:ascii="Arial" w:hAnsi="Arial" w:cs="Arial"/>
                <w:sz w:val="20"/>
                <w:szCs w:val="20"/>
                <w:lang w:val="en-GB"/>
              </w:rPr>
              <w:t>767</w:t>
            </w:r>
          </w:p>
        </w:tc>
        <w:tc>
          <w:tcPr>
            <w:tcW w:w="754" w:type="pct"/>
            <w:shd w:val="clear" w:color="auto" w:fill="auto"/>
          </w:tcPr>
          <w:p w14:paraId="162B5DAE" w14:textId="010657C1" w:rsidR="00BD2179"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672</w:t>
            </w:r>
          </w:p>
        </w:tc>
        <w:tc>
          <w:tcPr>
            <w:tcW w:w="753" w:type="pct"/>
            <w:shd w:val="clear" w:color="auto" w:fill="auto"/>
          </w:tcPr>
          <w:p w14:paraId="18B595FC" w14:textId="324B5341" w:rsidR="00BD2179" w:rsidRPr="002D2F67" w:rsidRDefault="00CD5EC9" w:rsidP="005611FE">
            <w:pPr>
              <w:ind w:right="-72"/>
              <w:jc w:val="right"/>
              <w:rPr>
                <w:rFonts w:ascii="Arial" w:hAnsi="Arial" w:cs="Arial"/>
                <w:color w:val="000000"/>
                <w:sz w:val="20"/>
                <w:szCs w:val="20"/>
                <w:cs/>
              </w:rPr>
            </w:pPr>
            <w:r w:rsidRPr="00CD5EC9">
              <w:rPr>
                <w:rFonts w:ascii="Arial" w:hAnsi="Arial" w:cs="Arial"/>
                <w:color w:val="000000"/>
                <w:sz w:val="20"/>
                <w:szCs w:val="20"/>
              </w:rPr>
              <w:t>5,045,062</w:t>
            </w:r>
          </w:p>
        </w:tc>
        <w:tc>
          <w:tcPr>
            <w:tcW w:w="754" w:type="pct"/>
            <w:shd w:val="clear" w:color="auto" w:fill="auto"/>
          </w:tcPr>
          <w:p w14:paraId="094799C0" w14:textId="6D14DB11" w:rsidR="00BD2179" w:rsidRPr="002D2F67" w:rsidRDefault="00BD2179" w:rsidP="005611FE">
            <w:pPr>
              <w:ind w:right="-72"/>
              <w:jc w:val="right"/>
              <w:rPr>
                <w:rFonts w:ascii="Arial" w:hAnsi="Arial" w:cs="Arial"/>
                <w:color w:val="000000"/>
                <w:sz w:val="20"/>
                <w:szCs w:val="20"/>
              </w:rPr>
            </w:pPr>
            <w:r w:rsidRPr="002D2F67">
              <w:rPr>
                <w:rFonts w:ascii="Arial" w:hAnsi="Arial" w:cs="Arial"/>
                <w:sz w:val="20"/>
                <w:szCs w:val="20"/>
              </w:rPr>
              <w:t>-</w:t>
            </w:r>
          </w:p>
        </w:tc>
      </w:tr>
      <w:tr w:rsidR="00BD2179" w:rsidRPr="002D2F67" w14:paraId="5437127E" w14:textId="77777777" w:rsidTr="004A0DA4">
        <w:tc>
          <w:tcPr>
            <w:tcW w:w="1986" w:type="pct"/>
            <w:shd w:val="clear" w:color="auto" w:fill="auto"/>
          </w:tcPr>
          <w:p w14:paraId="0E6B441F" w14:textId="221D8579" w:rsidR="00BD2179" w:rsidRPr="002D2F67" w:rsidRDefault="005C182D" w:rsidP="00BD2179">
            <w:pPr>
              <w:ind w:left="29"/>
              <w:rPr>
                <w:rFonts w:ascii="Arial" w:hAnsi="Arial" w:cs="Arial"/>
                <w:color w:val="000000"/>
                <w:sz w:val="20"/>
                <w:szCs w:val="20"/>
              </w:rPr>
            </w:pPr>
            <w:r w:rsidRPr="002D2F67">
              <w:rPr>
                <w:rFonts w:ascii="Arial" w:hAnsi="Arial" w:cs="Arial"/>
                <w:color w:val="000000"/>
                <w:sz w:val="20"/>
                <w:szCs w:val="20"/>
              </w:rPr>
              <w:t>Impairment loss of assets</w:t>
            </w:r>
          </w:p>
        </w:tc>
        <w:tc>
          <w:tcPr>
            <w:tcW w:w="753" w:type="pct"/>
            <w:shd w:val="clear" w:color="auto" w:fill="auto"/>
          </w:tcPr>
          <w:p w14:paraId="44212431" w14:textId="7FDA64A9" w:rsidR="00BD2179" w:rsidRPr="002D2F67" w:rsidRDefault="00CD5714" w:rsidP="005611FE">
            <w:pPr>
              <w:ind w:right="-72"/>
              <w:jc w:val="right"/>
              <w:rPr>
                <w:rFonts w:ascii="Arial" w:hAnsi="Arial" w:cs="Arial"/>
                <w:color w:val="000000"/>
                <w:sz w:val="20"/>
                <w:szCs w:val="20"/>
                <w:cs/>
              </w:rPr>
            </w:pPr>
            <w:r w:rsidRPr="00CD5714">
              <w:rPr>
                <w:rFonts w:ascii="Arial" w:hAnsi="Arial" w:cs="Arial"/>
                <w:sz w:val="20"/>
                <w:szCs w:val="20"/>
                <w:lang w:val="en-GB"/>
              </w:rPr>
              <w:t>3</w:t>
            </w:r>
            <w:r w:rsidR="0006015A" w:rsidRPr="002D2F67">
              <w:rPr>
                <w:rFonts w:ascii="Arial" w:hAnsi="Arial" w:cs="Arial"/>
                <w:sz w:val="20"/>
                <w:szCs w:val="20"/>
              </w:rPr>
              <w:t>,</w:t>
            </w:r>
            <w:r w:rsidRPr="00CD5714">
              <w:rPr>
                <w:rFonts w:ascii="Arial" w:hAnsi="Arial" w:cs="Arial"/>
                <w:sz w:val="20"/>
                <w:szCs w:val="20"/>
                <w:lang w:val="en-GB"/>
              </w:rPr>
              <w:t>353</w:t>
            </w:r>
            <w:r w:rsidR="0006015A" w:rsidRPr="002D2F67">
              <w:rPr>
                <w:rFonts w:ascii="Arial" w:hAnsi="Arial" w:cs="Arial"/>
                <w:sz w:val="20"/>
                <w:szCs w:val="20"/>
              </w:rPr>
              <w:t>,</w:t>
            </w:r>
            <w:r w:rsidRPr="00CD5714">
              <w:rPr>
                <w:rFonts w:ascii="Arial" w:hAnsi="Arial" w:cs="Arial"/>
                <w:sz w:val="20"/>
                <w:szCs w:val="20"/>
                <w:lang w:val="en-GB"/>
              </w:rPr>
              <w:t>031</w:t>
            </w:r>
          </w:p>
        </w:tc>
        <w:tc>
          <w:tcPr>
            <w:tcW w:w="754" w:type="pct"/>
            <w:shd w:val="clear" w:color="auto" w:fill="auto"/>
          </w:tcPr>
          <w:p w14:paraId="467637DA" w14:textId="344F6576" w:rsidR="00BD2179"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51</w:t>
            </w:r>
            <w:r w:rsidR="00017CAF" w:rsidRPr="002D2F67">
              <w:rPr>
                <w:rFonts w:ascii="Arial" w:hAnsi="Arial" w:cs="Arial"/>
                <w:color w:val="000000"/>
                <w:sz w:val="20"/>
                <w:szCs w:val="20"/>
              </w:rPr>
              <w:t>,</w:t>
            </w:r>
            <w:r w:rsidRPr="00CD5714">
              <w:rPr>
                <w:rFonts w:ascii="Arial" w:hAnsi="Arial" w:cs="Arial"/>
                <w:color w:val="000000"/>
                <w:sz w:val="20"/>
                <w:szCs w:val="20"/>
                <w:lang w:val="en-GB"/>
              </w:rPr>
              <w:t>196</w:t>
            </w:r>
          </w:p>
        </w:tc>
        <w:tc>
          <w:tcPr>
            <w:tcW w:w="753" w:type="pct"/>
            <w:shd w:val="clear" w:color="auto" w:fill="auto"/>
          </w:tcPr>
          <w:p w14:paraId="40498E0C" w14:textId="2294CCF7" w:rsidR="00BD2179" w:rsidRPr="002D2F67" w:rsidRDefault="00CD5714" w:rsidP="005611FE">
            <w:pPr>
              <w:ind w:right="-72"/>
              <w:jc w:val="right"/>
              <w:rPr>
                <w:rFonts w:ascii="Arial" w:hAnsi="Arial" w:cs="Arial"/>
                <w:color w:val="000000"/>
                <w:sz w:val="20"/>
                <w:szCs w:val="20"/>
                <w:cs/>
              </w:rPr>
            </w:pPr>
            <w:r w:rsidRPr="00CD5714">
              <w:rPr>
                <w:rFonts w:ascii="Arial" w:hAnsi="Arial" w:cs="Arial"/>
                <w:color w:val="000000"/>
                <w:sz w:val="20"/>
                <w:szCs w:val="20"/>
                <w:lang w:val="en-GB"/>
              </w:rPr>
              <w:t>9</w:t>
            </w:r>
            <w:r w:rsidR="00BF3C06" w:rsidRPr="002D2F67">
              <w:rPr>
                <w:rFonts w:ascii="Arial" w:hAnsi="Arial" w:cs="Arial"/>
                <w:color w:val="000000"/>
                <w:sz w:val="20"/>
                <w:szCs w:val="20"/>
              </w:rPr>
              <w:t>,</w:t>
            </w:r>
            <w:r w:rsidRPr="00CD5714">
              <w:rPr>
                <w:rFonts w:ascii="Arial" w:hAnsi="Arial" w:cs="Arial"/>
                <w:color w:val="000000"/>
                <w:sz w:val="20"/>
                <w:szCs w:val="20"/>
                <w:lang w:val="en-GB"/>
              </w:rPr>
              <w:t>922</w:t>
            </w:r>
            <w:r w:rsidR="00BF3C06" w:rsidRPr="002D2F67">
              <w:rPr>
                <w:rFonts w:ascii="Arial" w:hAnsi="Arial" w:cs="Arial"/>
                <w:color w:val="000000"/>
                <w:sz w:val="20"/>
                <w:szCs w:val="20"/>
              </w:rPr>
              <w:t>,</w:t>
            </w:r>
            <w:r w:rsidRPr="00CD5714">
              <w:rPr>
                <w:rFonts w:ascii="Arial" w:hAnsi="Arial" w:cs="Arial"/>
                <w:color w:val="000000"/>
                <w:sz w:val="20"/>
                <w:szCs w:val="20"/>
                <w:lang w:val="en-GB"/>
              </w:rPr>
              <w:t>460</w:t>
            </w:r>
          </w:p>
        </w:tc>
        <w:tc>
          <w:tcPr>
            <w:tcW w:w="754" w:type="pct"/>
            <w:shd w:val="clear" w:color="auto" w:fill="auto"/>
          </w:tcPr>
          <w:p w14:paraId="60DB32C1" w14:textId="54251861" w:rsidR="00BD2179" w:rsidRPr="002D2F67" w:rsidRDefault="00BD2179" w:rsidP="005611FE">
            <w:pPr>
              <w:ind w:right="-72"/>
              <w:jc w:val="right"/>
              <w:rPr>
                <w:rFonts w:ascii="Arial" w:hAnsi="Arial" w:cs="Arial"/>
                <w:color w:val="000000"/>
                <w:sz w:val="20"/>
                <w:szCs w:val="20"/>
              </w:rPr>
            </w:pPr>
            <w:r w:rsidRPr="002D2F67">
              <w:rPr>
                <w:rFonts w:ascii="Arial" w:hAnsi="Arial" w:cs="Arial"/>
                <w:sz w:val="20"/>
                <w:szCs w:val="20"/>
              </w:rPr>
              <w:t>-</w:t>
            </w:r>
          </w:p>
        </w:tc>
      </w:tr>
      <w:tr w:rsidR="00DF15D0" w:rsidRPr="002D2F67" w14:paraId="2A3FF766" w14:textId="77777777" w:rsidTr="004A0DA4">
        <w:tc>
          <w:tcPr>
            <w:tcW w:w="1986" w:type="pct"/>
            <w:shd w:val="clear" w:color="auto" w:fill="auto"/>
          </w:tcPr>
          <w:p w14:paraId="54309806" w14:textId="77777777" w:rsidR="00DF15D0" w:rsidRPr="002D2F67" w:rsidRDefault="00DF15D0" w:rsidP="005611FE">
            <w:pPr>
              <w:ind w:left="29"/>
              <w:rPr>
                <w:rFonts w:ascii="Arial" w:hAnsi="Arial" w:cs="Arial"/>
                <w:color w:val="000000"/>
                <w:sz w:val="20"/>
                <w:szCs w:val="20"/>
              </w:rPr>
            </w:pPr>
            <w:r w:rsidRPr="002D2F67">
              <w:rPr>
                <w:rFonts w:ascii="Arial" w:hAnsi="Arial" w:cs="Arial"/>
                <w:color w:val="000000"/>
                <w:sz w:val="20"/>
                <w:szCs w:val="20"/>
              </w:rPr>
              <w:t>Finance costs</w:t>
            </w:r>
          </w:p>
        </w:tc>
        <w:tc>
          <w:tcPr>
            <w:tcW w:w="753" w:type="pct"/>
            <w:shd w:val="clear" w:color="auto" w:fill="auto"/>
          </w:tcPr>
          <w:p w14:paraId="67450AD3" w14:textId="60CE7F21" w:rsidR="00DF15D0" w:rsidRPr="002D2F67" w:rsidRDefault="00CD5714" w:rsidP="005611FE">
            <w:pPr>
              <w:ind w:right="-72"/>
              <w:jc w:val="right"/>
              <w:rPr>
                <w:rFonts w:ascii="Arial" w:hAnsi="Arial" w:cs="Arial"/>
                <w:color w:val="000000"/>
                <w:sz w:val="20"/>
                <w:szCs w:val="20"/>
              </w:rPr>
            </w:pPr>
            <w:r w:rsidRPr="00CD5714">
              <w:rPr>
                <w:rFonts w:ascii="Arial" w:hAnsi="Arial" w:cs="Arial"/>
                <w:sz w:val="20"/>
                <w:szCs w:val="20"/>
                <w:lang w:val="en-GB"/>
              </w:rPr>
              <w:t>2</w:t>
            </w:r>
            <w:r w:rsidR="005869CC" w:rsidRPr="002D2F67">
              <w:rPr>
                <w:rFonts w:ascii="Arial" w:hAnsi="Arial" w:cs="Arial"/>
                <w:sz w:val="20"/>
                <w:szCs w:val="20"/>
              </w:rPr>
              <w:t>,</w:t>
            </w:r>
            <w:r w:rsidRPr="00CD5714">
              <w:rPr>
                <w:rFonts w:ascii="Arial" w:hAnsi="Arial" w:cs="Arial"/>
                <w:sz w:val="20"/>
                <w:szCs w:val="20"/>
                <w:lang w:val="en-GB"/>
              </w:rPr>
              <w:t>699</w:t>
            </w:r>
            <w:r w:rsidR="005869CC" w:rsidRPr="002D2F67">
              <w:rPr>
                <w:rFonts w:ascii="Arial" w:hAnsi="Arial" w:cs="Arial"/>
                <w:sz w:val="20"/>
                <w:szCs w:val="20"/>
              </w:rPr>
              <w:t>,</w:t>
            </w:r>
            <w:r w:rsidRPr="00CD5714">
              <w:rPr>
                <w:rFonts w:ascii="Arial" w:hAnsi="Arial" w:cs="Arial"/>
                <w:sz w:val="20"/>
                <w:szCs w:val="20"/>
                <w:lang w:val="en-GB"/>
              </w:rPr>
              <w:t>159</w:t>
            </w:r>
          </w:p>
        </w:tc>
        <w:tc>
          <w:tcPr>
            <w:tcW w:w="754" w:type="pct"/>
            <w:shd w:val="clear" w:color="auto" w:fill="auto"/>
          </w:tcPr>
          <w:p w14:paraId="5EBD2907" w14:textId="5854E13C" w:rsidR="00DF15D0" w:rsidRPr="002D2F67" w:rsidRDefault="00CD5714" w:rsidP="005611FE">
            <w:pPr>
              <w:ind w:right="-72"/>
              <w:jc w:val="right"/>
              <w:rPr>
                <w:rFonts w:ascii="Arial" w:hAnsi="Arial" w:cs="Arial"/>
                <w:color w:val="000000"/>
                <w:sz w:val="20"/>
                <w:szCs w:val="20"/>
              </w:rPr>
            </w:pPr>
            <w:r w:rsidRPr="00CD5714">
              <w:rPr>
                <w:rFonts w:ascii="Arial" w:hAnsi="Arial" w:cs="Arial"/>
                <w:sz w:val="20"/>
                <w:szCs w:val="20"/>
                <w:lang w:val="en-GB"/>
              </w:rPr>
              <w:t>2</w:t>
            </w:r>
            <w:r w:rsidR="00DF15D0" w:rsidRPr="002D2F67">
              <w:rPr>
                <w:rFonts w:ascii="Arial" w:hAnsi="Arial" w:cs="Arial"/>
                <w:sz w:val="20"/>
                <w:szCs w:val="20"/>
              </w:rPr>
              <w:t>,</w:t>
            </w:r>
            <w:r w:rsidRPr="00CD5714">
              <w:rPr>
                <w:rFonts w:ascii="Arial" w:hAnsi="Arial" w:cs="Arial"/>
                <w:sz w:val="20"/>
                <w:szCs w:val="20"/>
                <w:lang w:val="en-GB"/>
              </w:rPr>
              <w:t>287</w:t>
            </w:r>
            <w:r w:rsidR="00DF15D0" w:rsidRPr="002D2F67">
              <w:rPr>
                <w:rFonts w:ascii="Arial" w:hAnsi="Arial" w:cs="Arial"/>
                <w:sz w:val="20"/>
                <w:szCs w:val="20"/>
              </w:rPr>
              <w:t>,</w:t>
            </w:r>
            <w:r w:rsidRPr="00CD5714">
              <w:rPr>
                <w:rFonts w:ascii="Arial" w:hAnsi="Arial" w:cs="Arial"/>
                <w:sz w:val="20"/>
                <w:szCs w:val="20"/>
                <w:lang w:val="en-GB"/>
              </w:rPr>
              <w:t>472</w:t>
            </w:r>
          </w:p>
        </w:tc>
        <w:tc>
          <w:tcPr>
            <w:tcW w:w="753" w:type="pct"/>
            <w:shd w:val="clear" w:color="auto" w:fill="auto"/>
          </w:tcPr>
          <w:p w14:paraId="19DBCC5C" w14:textId="4F16C53E" w:rsidR="00DF15D0" w:rsidRPr="002D2F67" w:rsidRDefault="00CD5714" w:rsidP="005611FE">
            <w:pPr>
              <w:ind w:right="-72"/>
              <w:jc w:val="right"/>
              <w:rPr>
                <w:rFonts w:ascii="Arial" w:hAnsi="Arial" w:cs="Arial"/>
                <w:color w:val="000000"/>
                <w:sz w:val="20"/>
                <w:szCs w:val="20"/>
              </w:rPr>
            </w:pPr>
            <w:r w:rsidRPr="00CD5714">
              <w:rPr>
                <w:rFonts w:ascii="Arial" w:hAnsi="Arial" w:cs="Arial"/>
                <w:sz w:val="20"/>
                <w:szCs w:val="20"/>
                <w:lang w:val="en-GB"/>
              </w:rPr>
              <w:t>1</w:t>
            </w:r>
            <w:r w:rsidR="00D64E23" w:rsidRPr="002D2F67">
              <w:rPr>
                <w:rFonts w:ascii="Arial" w:hAnsi="Arial" w:cs="Arial"/>
                <w:sz w:val="20"/>
                <w:szCs w:val="20"/>
              </w:rPr>
              <w:t>,</w:t>
            </w:r>
            <w:r w:rsidRPr="00CD5714">
              <w:rPr>
                <w:rFonts w:ascii="Arial" w:hAnsi="Arial" w:cs="Arial"/>
                <w:sz w:val="20"/>
                <w:szCs w:val="20"/>
                <w:lang w:val="en-GB"/>
              </w:rPr>
              <w:t>932</w:t>
            </w:r>
            <w:r w:rsidR="00D64E23" w:rsidRPr="002D2F67">
              <w:rPr>
                <w:rFonts w:ascii="Arial" w:hAnsi="Arial" w:cs="Arial"/>
                <w:sz w:val="20"/>
                <w:szCs w:val="20"/>
              </w:rPr>
              <w:t>,</w:t>
            </w:r>
            <w:r w:rsidRPr="00CD5714">
              <w:rPr>
                <w:rFonts w:ascii="Arial" w:hAnsi="Arial" w:cs="Arial"/>
                <w:sz w:val="20"/>
                <w:szCs w:val="20"/>
                <w:lang w:val="en-GB"/>
              </w:rPr>
              <w:t>312</w:t>
            </w:r>
          </w:p>
        </w:tc>
        <w:tc>
          <w:tcPr>
            <w:tcW w:w="754" w:type="pct"/>
            <w:shd w:val="clear" w:color="auto" w:fill="auto"/>
          </w:tcPr>
          <w:p w14:paraId="203B9E98" w14:textId="13A3442F" w:rsidR="00DF15D0" w:rsidRPr="002D2F67" w:rsidRDefault="00CD5714" w:rsidP="005611FE">
            <w:pPr>
              <w:ind w:right="-72"/>
              <w:jc w:val="right"/>
              <w:rPr>
                <w:rFonts w:ascii="Arial" w:hAnsi="Arial" w:cs="Arial"/>
                <w:color w:val="000000"/>
                <w:sz w:val="20"/>
                <w:szCs w:val="20"/>
              </w:rPr>
            </w:pPr>
            <w:r w:rsidRPr="00CD5714">
              <w:rPr>
                <w:rFonts w:ascii="Arial" w:hAnsi="Arial" w:cs="Arial"/>
                <w:sz w:val="20"/>
                <w:szCs w:val="20"/>
                <w:lang w:val="en-GB"/>
              </w:rPr>
              <w:t>1</w:t>
            </w:r>
            <w:r w:rsidR="00DF15D0" w:rsidRPr="002D2F67">
              <w:rPr>
                <w:rFonts w:ascii="Arial" w:hAnsi="Arial" w:cs="Arial"/>
                <w:sz w:val="20"/>
                <w:szCs w:val="20"/>
              </w:rPr>
              <w:t>,</w:t>
            </w:r>
            <w:r w:rsidRPr="00CD5714">
              <w:rPr>
                <w:rFonts w:ascii="Arial" w:hAnsi="Arial" w:cs="Arial"/>
                <w:sz w:val="20"/>
                <w:szCs w:val="20"/>
                <w:lang w:val="en-GB"/>
              </w:rPr>
              <w:t>558</w:t>
            </w:r>
            <w:r w:rsidR="00DF15D0" w:rsidRPr="002D2F67">
              <w:rPr>
                <w:rFonts w:ascii="Arial" w:hAnsi="Arial" w:cs="Arial"/>
                <w:sz w:val="20"/>
                <w:szCs w:val="20"/>
              </w:rPr>
              <w:t>,</w:t>
            </w:r>
            <w:r w:rsidRPr="00CD5714">
              <w:rPr>
                <w:rFonts w:ascii="Arial" w:hAnsi="Arial" w:cs="Arial"/>
                <w:sz w:val="20"/>
                <w:szCs w:val="20"/>
                <w:lang w:val="en-GB"/>
              </w:rPr>
              <w:t>462</w:t>
            </w:r>
          </w:p>
        </w:tc>
      </w:tr>
      <w:tr w:rsidR="00DF15D0" w:rsidRPr="002D2F67" w14:paraId="74AA1F6E" w14:textId="77777777" w:rsidTr="004A0DA4">
        <w:tc>
          <w:tcPr>
            <w:tcW w:w="1986" w:type="pct"/>
            <w:shd w:val="clear" w:color="auto" w:fill="auto"/>
          </w:tcPr>
          <w:p w14:paraId="7302D726" w14:textId="77777777" w:rsidR="00DF15D0" w:rsidRPr="002D2F67" w:rsidRDefault="00DF15D0" w:rsidP="005611FE">
            <w:pPr>
              <w:ind w:left="29"/>
              <w:rPr>
                <w:rFonts w:ascii="Arial" w:hAnsi="Arial" w:cs="Arial"/>
                <w:color w:val="000000"/>
                <w:sz w:val="20"/>
                <w:szCs w:val="20"/>
              </w:rPr>
            </w:pPr>
            <w:r w:rsidRPr="002D2F67">
              <w:rPr>
                <w:rFonts w:ascii="Arial" w:hAnsi="Arial" w:cs="Arial"/>
                <w:color w:val="000000"/>
                <w:sz w:val="20"/>
                <w:szCs w:val="20"/>
              </w:rPr>
              <w:t>Delivery and export expenses</w:t>
            </w:r>
          </w:p>
        </w:tc>
        <w:tc>
          <w:tcPr>
            <w:tcW w:w="753" w:type="pct"/>
            <w:shd w:val="clear" w:color="auto" w:fill="auto"/>
          </w:tcPr>
          <w:p w14:paraId="4F04B781" w14:textId="201CF375" w:rsidR="00DF15D0" w:rsidRPr="002D2F67" w:rsidRDefault="00CD5714" w:rsidP="005611FE">
            <w:pPr>
              <w:ind w:right="-72"/>
              <w:jc w:val="right"/>
              <w:rPr>
                <w:rFonts w:ascii="Arial" w:hAnsi="Arial" w:cs="Arial"/>
                <w:color w:val="000000"/>
                <w:sz w:val="20"/>
                <w:szCs w:val="20"/>
              </w:rPr>
            </w:pPr>
            <w:r w:rsidRPr="00CD5714">
              <w:rPr>
                <w:rFonts w:ascii="Arial" w:hAnsi="Arial" w:cs="Arial"/>
                <w:sz w:val="20"/>
                <w:szCs w:val="20"/>
                <w:lang w:val="en-GB"/>
              </w:rPr>
              <w:t>69</w:t>
            </w:r>
            <w:r w:rsidR="00300A4C" w:rsidRPr="002D2F67">
              <w:rPr>
                <w:rFonts w:ascii="Arial" w:hAnsi="Arial" w:cs="Arial"/>
                <w:sz w:val="20"/>
                <w:szCs w:val="20"/>
              </w:rPr>
              <w:t>,</w:t>
            </w:r>
            <w:r w:rsidRPr="00CD5714">
              <w:rPr>
                <w:rFonts w:ascii="Arial" w:hAnsi="Arial" w:cs="Arial"/>
                <w:sz w:val="20"/>
                <w:szCs w:val="20"/>
                <w:lang w:val="en-GB"/>
              </w:rPr>
              <w:t>872</w:t>
            </w:r>
          </w:p>
        </w:tc>
        <w:tc>
          <w:tcPr>
            <w:tcW w:w="754" w:type="pct"/>
            <w:shd w:val="clear" w:color="auto" w:fill="auto"/>
          </w:tcPr>
          <w:p w14:paraId="03009C85" w14:textId="68CFA45B" w:rsidR="00DF15D0" w:rsidRPr="002D2F67" w:rsidRDefault="00CD5714" w:rsidP="005611FE">
            <w:pPr>
              <w:ind w:right="-72"/>
              <w:jc w:val="right"/>
              <w:rPr>
                <w:rFonts w:ascii="Arial" w:hAnsi="Arial" w:cs="Arial"/>
                <w:color w:val="000000"/>
                <w:sz w:val="20"/>
                <w:szCs w:val="20"/>
              </w:rPr>
            </w:pPr>
            <w:r w:rsidRPr="00CD5714">
              <w:rPr>
                <w:rFonts w:ascii="Arial" w:hAnsi="Arial" w:cs="Arial"/>
                <w:sz w:val="20"/>
                <w:szCs w:val="20"/>
                <w:lang w:val="en-GB"/>
              </w:rPr>
              <w:t>63</w:t>
            </w:r>
            <w:r w:rsidR="00DF15D0" w:rsidRPr="002D2F67">
              <w:rPr>
                <w:rFonts w:ascii="Arial" w:hAnsi="Arial" w:cs="Arial"/>
                <w:sz w:val="20"/>
                <w:szCs w:val="20"/>
              </w:rPr>
              <w:t>,</w:t>
            </w:r>
            <w:r w:rsidRPr="00CD5714">
              <w:rPr>
                <w:rFonts w:ascii="Arial" w:hAnsi="Arial" w:cs="Arial"/>
                <w:sz w:val="20"/>
                <w:szCs w:val="20"/>
                <w:lang w:val="en-GB"/>
              </w:rPr>
              <w:t>345</w:t>
            </w:r>
          </w:p>
        </w:tc>
        <w:tc>
          <w:tcPr>
            <w:tcW w:w="753" w:type="pct"/>
            <w:shd w:val="clear" w:color="auto" w:fill="auto"/>
          </w:tcPr>
          <w:p w14:paraId="498146D3" w14:textId="5819C5F0" w:rsidR="00DF15D0" w:rsidRPr="002D2F67" w:rsidRDefault="00CD5714" w:rsidP="005611FE">
            <w:pPr>
              <w:ind w:right="-72"/>
              <w:jc w:val="right"/>
              <w:rPr>
                <w:rFonts w:ascii="Arial" w:hAnsi="Arial" w:cs="Arial"/>
                <w:color w:val="000000"/>
                <w:sz w:val="20"/>
                <w:szCs w:val="20"/>
              </w:rPr>
            </w:pPr>
            <w:r w:rsidRPr="00CD5714">
              <w:rPr>
                <w:rFonts w:ascii="Arial" w:hAnsi="Arial" w:cs="Arial"/>
                <w:sz w:val="20"/>
                <w:szCs w:val="20"/>
                <w:lang w:val="en-GB"/>
              </w:rPr>
              <w:t>29</w:t>
            </w:r>
            <w:r w:rsidR="00480AD3" w:rsidRPr="002D2F67">
              <w:rPr>
                <w:rFonts w:ascii="Arial" w:hAnsi="Arial" w:cs="Arial"/>
                <w:sz w:val="20"/>
                <w:szCs w:val="20"/>
              </w:rPr>
              <w:t>,</w:t>
            </w:r>
            <w:r w:rsidRPr="00CD5714">
              <w:rPr>
                <w:rFonts w:ascii="Arial" w:hAnsi="Arial" w:cs="Arial"/>
                <w:sz w:val="20"/>
                <w:szCs w:val="20"/>
                <w:lang w:val="en-GB"/>
              </w:rPr>
              <w:t>485</w:t>
            </w:r>
          </w:p>
        </w:tc>
        <w:tc>
          <w:tcPr>
            <w:tcW w:w="754" w:type="pct"/>
            <w:shd w:val="clear" w:color="auto" w:fill="auto"/>
          </w:tcPr>
          <w:p w14:paraId="7F86E272" w14:textId="38FB8AF4" w:rsidR="00DF15D0" w:rsidRPr="002D2F67" w:rsidRDefault="00CD5714" w:rsidP="005611FE">
            <w:pPr>
              <w:ind w:right="-72"/>
              <w:jc w:val="right"/>
              <w:rPr>
                <w:rFonts w:ascii="Arial" w:hAnsi="Arial" w:cs="Arial"/>
                <w:color w:val="000000"/>
                <w:sz w:val="20"/>
                <w:szCs w:val="20"/>
              </w:rPr>
            </w:pPr>
            <w:r w:rsidRPr="00CD5714">
              <w:rPr>
                <w:rFonts w:ascii="Arial" w:hAnsi="Arial" w:cs="Arial"/>
                <w:sz w:val="20"/>
                <w:szCs w:val="20"/>
                <w:lang w:val="en-GB"/>
              </w:rPr>
              <w:t>30</w:t>
            </w:r>
            <w:r w:rsidR="00DF15D0" w:rsidRPr="002D2F67">
              <w:rPr>
                <w:rFonts w:ascii="Arial" w:hAnsi="Arial" w:cs="Arial"/>
                <w:sz w:val="20"/>
                <w:szCs w:val="20"/>
              </w:rPr>
              <w:t>,</w:t>
            </w:r>
            <w:r w:rsidRPr="00CD5714">
              <w:rPr>
                <w:rFonts w:ascii="Arial" w:hAnsi="Arial" w:cs="Arial"/>
                <w:sz w:val="20"/>
                <w:szCs w:val="20"/>
                <w:lang w:val="en-GB"/>
              </w:rPr>
              <w:t>855</w:t>
            </w:r>
          </w:p>
        </w:tc>
      </w:tr>
    </w:tbl>
    <w:p w14:paraId="281162B9" w14:textId="64600D14" w:rsidR="00C1680C" w:rsidRPr="002D2F67" w:rsidRDefault="00C1680C" w:rsidP="005611FE">
      <w:pPr>
        <w:jc w:val="thaiDistribute"/>
        <w:rPr>
          <w:rFonts w:ascii="Arial" w:hAnsi="Arial" w:cs="Arial"/>
          <w:color w:val="000000"/>
          <w:spacing w:val="-2"/>
          <w:sz w:val="20"/>
          <w:szCs w:val="20"/>
        </w:rPr>
      </w:pPr>
    </w:p>
    <w:p w14:paraId="15D3FB33" w14:textId="77777777" w:rsidR="00D409EF" w:rsidRPr="002D2F67" w:rsidRDefault="00D409EF" w:rsidP="005611FE">
      <w:pPr>
        <w:jc w:val="thaiDistribute"/>
        <w:rPr>
          <w:rFonts w:ascii="Arial" w:hAnsi="Arial" w:cs="Arial"/>
          <w:color w:val="000000"/>
          <w:spacing w:val="-2"/>
          <w:sz w:val="20"/>
          <w:szCs w:val="20"/>
        </w:rPr>
      </w:pPr>
    </w:p>
    <w:p w14:paraId="0A057804" w14:textId="37AC3953" w:rsidR="00B0675E"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38</w:t>
      </w:r>
      <w:r w:rsidR="00B0675E" w:rsidRPr="002D2F67">
        <w:rPr>
          <w:rFonts w:ascii="Arial" w:hAnsi="Arial" w:cs="Arial"/>
          <w:b/>
          <w:bCs/>
          <w:color w:val="000000"/>
          <w:kern w:val="26"/>
          <w:position w:val="-24"/>
          <w:sz w:val="20"/>
          <w:szCs w:val="20"/>
          <w:cs/>
        </w:rPr>
        <w:tab/>
      </w:r>
      <w:r w:rsidR="00B0675E" w:rsidRPr="002D2F67">
        <w:rPr>
          <w:rFonts w:ascii="Arial" w:hAnsi="Arial" w:cs="Arial"/>
          <w:b/>
          <w:bCs/>
          <w:color w:val="000000"/>
          <w:kern w:val="26"/>
          <w:position w:val="-24"/>
          <w:sz w:val="20"/>
          <w:szCs w:val="20"/>
        </w:rPr>
        <w:t>Income tax</w:t>
      </w:r>
    </w:p>
    <w:p w14:paraId="4F6752AB" w14:textId="77777777" w:rsidR="00AB5B46" w:rsidRPr="002D2F67" w:rsidRDefault="00AB5B46" w:rsidP="005611FE">
      <w:pPr>
        <w:jc w:val="thaiDistribute"/>
        <w:rPr>
          <w:rFonts w:ascii="Arial" w:hAnsi="Arial" w:cs="Arial"/>
          <w:color w:val="000000"/>
          <w:spacing w:val="-4"/>
          <w:sz w:val="20"/>
          <w:szCs w:val="20"/>
        </w:rPr>
      </w:pPr>
    </w:p>
    <w:p w14:paraId="71BD0796" w14:textId="56914D59" w:rsidR="001E6C66" w:rsidRPr="002D2F67" w:rsidRDefault="001E6C66" w:rsidP="005611FE">
      <w:pPr>
        <w:jc w:val="thaiDistribute"/>
        <w:rPr>
          <w:rFonts w:ascii="Arial" w:hAnsi="Arial" w:cs="Arial"/>
          <w:color w:val="000000"/>
          <w:spacing w:val="-2"/>
          <w:sz w:val="20"/>
          <w:szCs w:val="20"/>
        </w:rPr>
      </w:pPr>
      <w:r w:rsidRPr="002D2F67">
        <w:rPr>
          <w:rFonts w:ascii="Arial" w:hAnsi="Arial" w:cs="Arial"/>
          <w:color w:val="000000"/>
          <w:spacing w:val="-4"/>
          <w:sz w:val="20"/>
          <w:szCs w:val="20"/>
        </w:rPr>
        <w:t xml:space="preserve">The Group calculated income tax for the year ended </w:t>
      </w:r>
      <w:r w:rsidR="00CD5714" w:rsidRPr="00CD5714">
        <w:rPr>
          <w:rFonts w:ascii="Arial" w:hAnsi="Arial" w:cs="Arial"/>
          <w:color w:val="000000"/>
          <w:spacing w:val="-4"/>
          <w:sz w:val="20"/>
          <w:szCs w:val="20"/>
          <w:lang w:val="en-GB"/>
        </w:rPr>
        <w:t>31</w:t>
      </w:r>
      <w:r w:rsidRPr="002D2F67">
        <w:rPr>
          <w:rFonts w:ascii="Arial" w:hAnsi="Arial" w:cs="Arial"/>
          <w:color w:val="000000"/>
          <w:spacing w:val="-4"/>
          <w:sz w:val="20"/>
          <w:szCs w:val="20"/>
        </w:rPr>
        <w:t xml:space="preserve"> December from net taxable profit of which not includes</w:t>
      </w:r>
      <w:r w:rsidRPr="002D2F67">
        <w:rPr>
          <w:rFonts w:ascii="Arial" w:hAnsi="Arial" w:cs="Arial"/>
          <w:color w:val="000000"/>
          <w:spacing w:val="-2"/>
          <w:sz w:val="20"/>
          <w:szCs w:val="20"/>
        </w:rPr>
        <w:t xml:space="preserve"> share from investments in associates and joint venture</w:t>
      </w:r>
      <w:r w:rsidR="000045E7" w:rsidRPr="002D2F67">
        <w:rPr>
          <w:rFonts w:ascii="Arial" w:hAnsi="Arial" w:cs="Arial"/>
          <w:color w:val="000000"/>
          <w:spacing w:val="-2"/>
          <w:sz w:val="20"/>
          <w:szCs w:val="20"/>
        </w:rPr>
        <w:t>s</w:t>
      </w:r>
      <w:r w:rsidRPr="002D2F67">
        <w:rPr>
          <w:rFonts w:ascii="Arial" w:hAnsi="Arial" w:cs="Arial"/>
          <w:color w:val="000000"/>
          <w:spacing w:val="-2"/>
          <w:sz w:val="20"/>
          <w:szCs w:val="20"/>
        </w:rPr>
        <w:t xml:space="preserve"> by using tax rate as follows:</w:t>
      </w:r>
    </w:p>
    <w:p w14:paraId="7BD8F309" w14:textId="77777777" w:rsidR="001E6C66" w:rsidRPr="002D2F67" w:rsidRDefault="001E6C66" w:rsidP="005611FE">
      <w:pPr>
        <w:pStyle w:val="BodyTextIndent2"/>
        <w:spacing w:line="240" w:lineRule="auto"/>
        <w:ind w:left="0"/>
        <w:rPr>
          <w:rFonts w:ascii="Arial" w:hAnsi="Arial" w:cs="Arial"/>
          <w:sz w:val="18"/>
          <w:szCs w:val="18"/>
        </w:rPr>
      </w:pPr>
    </w:p>
    <w:tbl>
      <w:tblPr>
        <w:tblW w:w="9450" w:type="dxa"/>
        <w:tblInd w:w="108" w:type="dxa"/>
        <w:tblLayout w:type="fixed"/>
        <w:tblLook w:val="0000" w:firstRow="0" w:lastRow="0" w:firstColumn="0" w:lastColumn="0" w:noHBand="0" w:noVBand="0"/>
      </w:tblPr>
      <w:tblGrid>
        <w:gridCol w:w="6570"/>
        <w:gridCol w:w="1440"/>
        <w:gridCol w:w="1440"/>
      </w:tblGrid>
      <w:tr w:rsidR="00F9711B" w:rsidRPr="002D2F67" w14:paraId="4F7A226F" w14:textId="77777777" w:rsidTr="008255E8">
        <w:tc>
          <w:tcPr>
            <w:tcW w:w="6570" w:type="dxa"/>
            <w:shd w:val="clear" w:color="auto" w:fill="auto"/>
          </w:tcPr>
          <w:p w14:paraId="4CF08FB0" w14:textId="77777777" w:rsidR="00F9711B" w:rsidRPr="002D2F67" w:rsidRDefault="00F9711B" w:rsidP="005611FE">
            <w:pPr>
              <w:ind w:left="-100" w:right="-72"/>
              <w:rPr>
                <w:rFonts w:ascii="Arial" w:hAnsi="Arial" w:cs="Arial"/>
                <w:color w:val="000000"/>
                <w:sz w:val="20"/>
                <w:szCs w:val="20"/>
              </w:rPr>
            </w:pPr>
          </w:p>
        </w:tc>
        <w:tc>
          <w:tcPr>
            <w:tcW w:w="1440" w:type="dxa"/>
            <w:tcBorders>
              <w:bottom w:val="single" w:sz="4" w:space="0" w:color="auto"/>
            </w:tcBorders>
            <w:shd w:val="clear" w:color="auto" w:fill="auto"/>
          </w:tcPr>
          <w:p w14:paraId="43C530AC" w14:textId="31C52460" w:rsidR="00F9711B"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1440" w:type="dxa"/>
            <w:tcBorders>
              <w:bottom w:val="single" w:sz="4" w:space="0" w:color="auto"/>
            </w:tcBorders>
            <w:shd w:val="clear" w:color="auto" w:fill="auto"/>
          </w:tcPr>
          <w:p w14:paraId="7EE9193D" w14:textId="0809EA22" w:rsidR="00F9711B"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1E6C66" w:rsidRPr="002D2F67" w14:paraId="595C6FEA" w14:textId="77777777" w:rsidTr="005611FE">
        <w:tc>
          <w:tcPr>
            <w:tcW w:w="6570" w:type="dxa"/>
            <w:shd w:val="clear" w:color="auto" w:fill="auto"/>
          </w:tcPr>
          <w:p w14:paraId="1B87DE1C" w14:textId="77777777" w:rsidR="001E6C66" w:rsidRPr="002D2F67" w:rsidRDefault="001E6C66" w:rsidP="005611FE">
            <w:pPr>
              <w:ind w:left="-100" w:right="-72"/>
              <w:rPr>
                <w:rFonts w:ascii="Arial" w:hAnsi="Arial" w:cs="Arial"/>
                <w:color w:val="000000"/>
                <w:sz w:val="20"/>
                <w:szCs w:val="20"/>
              </w:rPr>
            </w:pPr>
          </w:p>
        </w:tc>
        <w:tc>
          <w:tcPr>
            <w:tcW w:w="1440" w:type="dxa"/>
            <w:tcBorders>
              <w:top w:val="single" w:sz="4" w:space="0" w:color="auto"/>
            </w:tcBorders>
            <w:shd w:val="clear" w:color="auto" w:fill="auto"/>
          </w:tcPr>
          <w:p w14:paraId="46608D39"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01168E44"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6F0CB9" w:rsidRPr="002D2F67" w14:paraId="52BE97F9" w14:textId="77777777" w:rsidTr="005611FE">
        <w:trPr>
          <w:trHeight w:val="80"/>
        </w:trPr>
        <w:tc>
          <w:tcPr>
            <w:tcW w:w="6570" w:type="dxa"/>
            <w:shd w:val="clear" w:color="auto" w:fill="auto"/>
          </w:tcPr>
          <w:p w14:paraId="4A3E3A1A" w14:textId="77777777" w:rsidR="006F0CB9" w:rsidRPr="002D2F67" w:rsidRDefault="006F0CB9" w:rsidP="005611FE">
            <w:pPr>
              <w:ind w:left="-100" w:right="-72"/>
              <w:rPr>
                <w:rFonts w:ascii="Arial" w:hAnsi="Arial" w:cs="Arial"/>
                <w:color w:val="000000"/>
                <w:sz w:val="20"/>
                <w:szCs w:val="20"/>
                <w:cs/>
              </w:rPr>
            </w:pPr>
            <w:r w:rsidRPr="002D2F67">
              <w:rPr>
                <w:rFonts w:ascii="Arial" w:hAnsi="Arial" w:cs="Arial"/>
                <w:color w:val="000000"/>
                <w:sz w:val="20"/>
                <w:szCs w:val="20"/>
              </w:rPr>
              <w:t>Thailand</w:t>
            </w:r>
          </w:p>
        </w:tc>
        <w:tc>
          <w:tcPr>
            <w:tcW w:w="1440" w:type="dxa"/>
            <w:shd w:val="clear" w:color="auto" w:fill="auto"/>
            <w:vAlign w:val="center"/>
          </w:tcPr>
          <w:p w14:paraId="5047D16F" w14:textId="550999C0" w:rsidR="006F0CB9"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20</w:t>
            </w:r>
            <w:r w:rsidR="00C00F69" w:rsidRPr="002D2F67">
              <w:rPr>
                <w:rFonts w:ascii="Arial" w:hAnsi="Arial" w:cs="Arial"/>
                <w:color w:val="000000"/>
                <w:sz w:val="20"/>
                <w:szCs w:val="20"/>
              </w:rPr>
              <w:t>%</w:t>
            </w:r>
          </w:p>
        </w:tc>
        <w:tc>
          <w:tcPr>
            <w:tcW w:w="1440" w:type="dxa"/>
            <w:shd w:val="clear" w:color="auto" w:fill="auto"/>
            <w:vAlign w:val="center"/>
          </w:tcPr>
          <w:p w14:paraId="6E3A6EEE" w14:textId="2B1A96D8" w:rsidR="006F0CB9"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20</w:t>
            </w:r>
            <w:r w:rsidR="006F0CB9" w:rsidRPr="002D2F67">
              <w:rPr>
                <w:rFonts w:ascii="Arial" w:hAnsi="Arial" w:cs="Arial"/>
                <w:color w:val="000000"/>
                <w:sz w:val="20"/>
                <w:szCs w:val="20"/>
              </w:rPr>
              <w:t>%</w:t>
            </w:r>
          </w:p>
        </w:tc>
      </w:tr>
      <w:tr w:rsidR="006F0CB9" w:rsidRPr="002D2F67" w14:paraId="3D4A58A1" w14:textId="77777777" w:rsidTr="005611FE">
        <w:tc>
          <w:tcPr>
            <w:tcW w:w="6570" w:type="dxa"/>
            <w:shd w:val="clear" w:color="auto" w:fill="auto"/>
          </w:tcPr>
          <w:p w14:paraId="74D8FA81" w14:textId="77777777" w:rsidR="006F0CB9" w:rsidRPr="002D2F67" w:rsidRDefault="006F0CB9" w:rsidP="005611FE">
            <w:pPr>
              <w:ind w:left="-100" w:right="-72"/>
              <w:rPr>
                <w:rFonts w:ascii="Arial" w:hAnsi="Arial" w:cs="Arial"/>
                <w:color w:val="000000"/>
                <w:sz w:val="20"/>
                <w:szCs w:val="20"/>
              </w:rPr>
            </w:pPr>
            <w:r w:rsidRPr="002D2F67">
              <w:rPr>
                <w:rFonts w:ascii="Arial" w:hAnsi="Arial" w:cs="Arial"/>
                <w:color w:val="000000"/>
                <w:sz w:val="20"/>
                <w:szCs w:val="20"/>
              </w:rPr>
              <w:t>Republic of China (Taiwan)</w:t>
            </w:r>
          </w:p>
        </w:tc>
        <w:tc>
          <w:tcPr>
            <w:tcW w:w="1440" w:type="dxa"/>
            <w:shd w:val="clear" w:color="auto" w:fill="auto"/>
          </w:tcPr>
          <w:p w14:paraId="430F18E7" w14:textId="1190DC1A" w:rsidR="006F0CB9" w:rsidRPr="002D2F67" w:rsidRDefault="00CD5714" w:rsidP="005611FE">
            <w:pPr>
              <w:ind w:right="-72"/>
              <w:jc w:val="right"/>
              <w:rPr>
                <w:rFonts w:ascii="Arial" w:hAnsi="Arial" w:cs="Arial"/>
                <w:color w:val="000000"/>
                <w:sz w:val="20"/>
                <w:szCs w:val="20"/>
                <w:cs/>
              </w:rPr>
            </w:pPr>
            <w:r w:rsidRPr="00CD5714">
              <w:rPr>
                <w:rFonts w:ascii="Arial" w:hAnsi="Arial" w:cs="Arial"/>
                <w:color w:val="000000"/>
                <w:sz w:val="20"/>
                <w:szCs w:val="20"/>
                <w:lang w:val="en-GB"/>
              </w:rPr>
              <w:t>20</w:t>
            </w:r>
            <w:r w:rsidR="00C00F69" w:rsidRPr="002D2F67">
              <w:rPr>
                <w:rFonts w:ascii="Arial" w:hAnsi="Arial" w:cs="Arial"/>
                <w:color w:val="000000"/>
                <w:sz w:val="20"/>
                <w:szCs w:val="20"/>
              </w:rPr>
              <w:t>%</w:t>
            </w:r>
          </w:p>
        </w:tc>
        <w:tc>
          <w:tcPr>
            <w:tcW w:w="1440" w:type="dxa"/>
            <w:shd w:val="clear" w:color="auto" w:fill="auto"/>
          </w:tcPr>
          <w:p w14:paraId="353B4171" w14:textId="4823E114" w:rsidR="006F0CB9" w:rsidRPr="002D2F67" w:rsidRDefault="00CD5714" w:rsidP="005611FE">
            <w:pPr>
              <w:ind w:right="-72"/>
              <w:jc w:val="right"/>
              <w:rPr>
                <w:rFonts w:ascii="Arial" w:hAnsi="Arial" w:cs="Arial"/>
                <w:color w:val="000000"/>
                <w:sz w:val="20"/>
                <w:szCs w:val="20"/>
                <w:cs/>
              </w:rPr>
            </w:pPr>
            <w:r w:rsidRPr="00CD5714">
              <w:rPr>
                <w:rFonts w:ascii="Arial" w:hAnsi="Arial" w:cs="Arial"/>
                <w:color w:val="000000"/>
                <w:sz w:val="20"/>
                <w:szCs w:val="20"/>
                <w:lang w:val="en-GB"/>
              </w:rPr>
              <w:t>20</w:t>
            </w:r>
            <w:r w:rsidR="006F0CB9" w:rsidRPr="002D2F67">
              <w:rPr>
                <w:rFonts w:ascii="Arial" w:hAnsi="Arial" w:cs="Arial"/>
                <w:color w:val="000000"/>
                <w:sz w:val="20"/>
                <w:szCs w:val="20"/>
              </w:rPr>
              <w:t>%</w:t>
            </w:r>
          </w:p>
        </w:tc>
      </w:tr>
      <w:tr w:rsidR="006F0CB9" w:rsidRPr="002D2F67" w14:paraId="125B5188" w14:textId="77777777" w:rsidTr="005611FE">
        <w:tc>
          <w:tcPr>
            <w:tcW w:w="6570" w:type="dxa"/>
            <w:shd w:val="clear" w:color="auto" w:fill="auto"/>
          </w:tcPr>
          <w:p w14:paraId="6836E463" w14:textId="77777777" w:rsidR="006F0CB9" w:rsidRPr="002D2F67" w:rsidRDefault="006F0CB9" w:rsidP="005611FE">
            <w:pPr>
              <w:ind w:left="-100" w:right="-72"/>
              <w:rPr>
                <w:rFonts w:ascii="Arial" w:hAnsi="Arial" w:cs="Arial"/>
                <w:color w:val="000000"/>
                <w:sz w:val="20"/>
                <w:szCs w:val="20"/>
              </w:rPr>
            </w:pPr>
            <w:r w:rsidRPr="002D2F67">
              <w:rPr>
                <w:rFonts w:ascii="Arial" w:hAnsi="Arial" w:cs="Arial"/>
                <w:color w:val="000000"/>
                <w:sz w:val="20"/>
                <w:szCs w:val="20"/>
              </w:rPr>
              <w:t>Republic of Singapore</w:t>
            </w:r>
          </w:p>
        </w:tc>
        <w:tc>
          <w:tcPr>
            <w:tcW w:w="1440" w:type="dxa"/>
            <w:shd w:val="clear" w:color="auto" w:fill="auto"/>
          </w:tcPr>
          <w:p w14:paraId="1CE4AA3F" w14:textId="2CF341D7" w:rsidR="006F0CB9"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17</w:t>
            </w:r>
            <w:r w:rsidR="00C00F69" w:rsidRPr="002D2F67">
              <w:rPr>
                <w:rFonts w:ascii="Arial" w:hAnsi="Arial" w:cs="Arial"/>
                <w:color w:val="000000"/>
                <w:sz w:val="20"/>
                <w:szCs w:val="20"/>
              </w:rPr>
              <w:t>%</w:t>
            </w:r>
          </w:p>
        </w:tc>
        <w:tc>
          <w:tcPr>
            <w:tcW w:w="1440" w:type="dxa"/>
            <w:shd w:val="clear" w:color="auto" w:fill="auto"/>
          </w:tcPr>
          <w:p w14:paraId="0B63E52B" w14:textId="089633AE" w:rsidR="006F0CB9"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17</w:t>
            </w:r>
            <w:r w:rsidR="006F0CB9" w:rsidRPr="002D2F67">
              <w:rPr>
                <w:rFonts w:ascii="Arial" w:hAnsi="Arial" w:cs="Arial"/>
                <w:color w:val="000000"/>
                <w:sz w:val="20"/>
                <w:szCs w:val="20"/>
              </w:rPr>
              <w:t>%</w:t>
            </w:r>
          </w:p>
        </w:tc>
      </w:tr>
    </w:tbl>
    <w:p w14:paraId="20F05274" w14:textId="77777777" w:rsidR="00D409EF" w:rsidRPr="002D2F67" w:rsidRDefault="00D409EF" w:rsidP="005611FE">
      <w:pPr>
        <w:pStyle w:val="BodyTextIndent2"/>
        <w:spacing w:line="240" w:lineRule="auto"/>
        <w:ind w:left="0"/>
        <w:rPr>
          <w:rFonts w:ascii="Arial" w:hAnsi="Arial" w:cs="Arial"/>
        </w:rPr>
      </w:pPr>
    </w:p>
    <w:tbl>
      <w:tblPr>
        <w:tblW w:w="4949" w:type="pct"/>
        <w:tblLook w:val="0000" w:firstRow="0" w:lastRow="0" w:firstColumn="0" w:lastColumn="0" w:noHBand="0" w:noVBand="0"/>
      </w:tblPr>
      <w:tblGrid>
        <w:gridCol w:w="3815"/>
        <w:gridCol w:w="1440"/>
        <w:gridCol w:w="1440"/>
        <w:gridCol w:w="1440"/>
        <w:gridCol w:w="1440"/>
      </w:tblGrid>
      <w:tr w:rsidR="001E6C66" w:rsidRPr="002D2F67" w14:paraId="35C6A005" w14:textId="77777777" w:rsidTr="008255E8">
        <w:trPr>
          <w:cantSplit/>
        </w:trPr>
        <w:tc>
          <w:tcPr>
            <w:tcW w:w="1992" w:type="pct"/>
            <w:shd w:val="clear" w:color="auto" w:fill="auto"/>
          </w:tcPr>
          <w:p w14:paraId="20FB602D" w14:textId="77777777" w:rsidR="001E6C66" w:rsidRPr="002D2F67" w:rsidRDefault="001E6C66" w:rsidP="005611FE">
            <w:pPr>
              <w:ind w:left="29"/>
              <w:rPr>
                <w:rFonts w:ascii="Arial" w:hAnsi="Arial" w:cs="Arial"/>
                <w:b/>
                <w:bCs/>
                <w:color w:val="000000"/>
                <w:sz w:val="20"/>
                <w:szCs w:val="20"/>
              </w:rPr>
            </w:pPr>
          </w:p>
        </w:tc>
        <w:tc>
          <w:tcPr>
            <w:tcW w:w="1504" w:type="pct"/>
            <w:gridSpan w:val="2"/>
            <w:tcBorders>
              <w:bottom w:val="single" w:sz="4" w:space="0" w:color="auto"/>
            </w:tcBorders>
            <w:shd w:val="clear" w:color="auto" w:fill="auto"/>
          </w:tcPr>
          <w:p w14:paraId="66A555B8" w14:textId="77777777" w:rsidR="001E6C66" w:rsidRPr="002D2F67" w:rsidRDefault="001E6C66" w:rsidP="005611FE">
            <w:pPr>
              <w:tabs>
                <w:tab w:val="left" w:pos="709"/>
              </w:tabs>
              <w:ind w:right="-81"/>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6FD65699" w14:textId="77777777" w:rsidR="001E6C66" w:rsidRPr="002D2F67" w:rsidRDefault="001E6C66" w:rsidP="005611FE">
            <w:pPr>
              <w:tabs>
                <w:tab w:val="left" w:pos="709"/>
              </w:tabs>
              <w:ind w:right="-81"/>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1504" w:type="pct"/>
            <w:gridSpan w:val="2"/>
            <w:tcBorders>
              <w:bottom w:val="single" w:sz="4" w:space="0" w:color="auto"/>
            </w:tcBorders>
            <w:shd w:val="clear" w:color="auto" w:fill="auto"/>
          </w:tcPr>
          <w:p w14:paraId="0CC514DC" w14:textId="77777777" w:rsidR="001E6C66" w:rsidRPr="002D2F67" w:rsidRDefault="001E6C66" w:rsidP="005611FE">
            <w:pPr>
              <w:tabs>
                <w:tab w:val="left" w:pos="709"/>
              </w:tabs>
              <w:ind w:right="-81"/>
              <w:jc w:val="right"/>
              <w:rPr>
                <w:rFonts w:ascii="Arial" w:hAnsi="Arial" w:cs="Arial"/>
                <w:b/>
                <w:bCs/>
                <w:color w:val="000000"/>
                <w:sz w:val="20"/>
                <w:szCs w:val="20"/>
              </w:rPr>
            </w:pPr>
            <w:r w:rsidRPr="002D2F67">
              <w:rPr>
                <w:rFonts w:ascii="Arial" w:hAnsi="Arial" w:cs="Arial"/>
                <w:b/>
                <w:bCs/>
                <w:color w:val="000000"/>
                <w:sz w:val="20"/>
                <w:szCs w:val="20"/>
              </w:rPr>
              <w:t xml:space="preserve">Separate </w:t>
            </w:r>
          </w:p>
          <w:p w14:paraId="7FBDF756" w14:textId="77777777" w:rsidR="001E6C66" w:rsidRPr="002D2F67" w:rsidRDefault="001E6C66" w:rsidP="005611FE">
            <w:pPr>
              <w:tabs>
                <w:tab w:val="left" w:pos="709"/>
              </w:tabs>
              <w:ind w:right="-81"/>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F9711B" w:rsidRPr="002D2F67" w14:paraId="0EE2E4A0" w14:textId="77777777" w:rsidTr="005611FE">
        <w:tc>
          <w:tcPr>
            <w:tcW w:w="1992" w:type="pct"/>
            <w:shd w:val="clear" w:color="auto" w:fill="auto"/>
          </w:tcPr>
          <w:p w14:paraId="1FF5AA5F" w14:textId="4DA0608E" w:rsidR="00F9711B" w:rsidRPr="002D2F67" w:rsidRDefault="00F9711B" w:rsidP="005611FE">
            <w:pPr>
              <w:ind w:left="29" w:right="-87"/>
              <w:rPr>
                <w:rFonts w:ascii="Arial" w:hAnsi="Arial" w:cs="Arial"/>
                <w:b/>
                <w:bCs/>
                <w:color w:val="000000"/>
                <w:spacing w:val="-6"/>
                <w:sz w:val="20"/>
                <w:szCs w:val="20"/>
              </w:rPr>
            </w:pPr>
            <w:r w:rsidRPr="002D2F67">
              <w:rPr>
                <w:rFonts w:ascii="Arial" w:hAnsi="Arial" w:cs="Arial"/>
                <w:b/>
                <w:bCs/>
                <w:color w:val="000000"/>
                <w:spacing w:val="-6"/>
                <w:sz w:val="20"/>
                <w:szCs w:val="20"/>
              </w:rPr>
              <w:t xml:space="preserve">For the years ended </w:t>
            </w:r>
            <w:r w:rsidR="00CD5714" w:rsidRPr="00CD5714">
              <w:rPr>
                <w:rFonts w:ascii="Arial" w:hAnsi="Arial" w:cs="Arial"/>
                <w:b/>
                <w:bCs/>
                <w:color w:val="000000"/>
                <w:spacing w:val="-6"/>
                <w:sz w:val="20"/>
                <w:szCs w:val="20"/>
                <w:lang w:val="en-GB"/>
              </w:rPr>
              <w:t>31</w:t>
            </w:r>
            <w:r w:rsidRPr="002D2F67">
              <w:rPr>
                <w:rFonts w:ascii="Arial" w:hAnsi="Arial" w:cs="Arial"/>
                <w:b/>
                <w:bCs/>
                <w:color w:val="000000"/>
                <w:spacing w:val="-6"/>
                <w:sz w:val="20"/>
                <w:szCs w:val="20"/>
              </w:rPr>
              <w:t xml:space="preserve"> December</w:t>
            </w:r>
          </w:p>
        </w:tc>
        <w:tc>
          <w:tcPr>
            <w:tcW w:w="752" w:type="pct"/>
            <w:shd w:val="clear" w:color="auto" w:fill="auto"/>
          </w:tcPr>
          <w:p w14:paraId="2E95CE16" w14:textId="79FC1207" w:rsidR="00F9711B" w:rsidRPr="002D2F67" w:rsidRDefault="00CD5714" w:rsidP="005611FE">
            <w:pPr>
              <w:ind w:right="-81"/>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752" w:type="pct"/>
            <w:shd w:val="clear" w:color="auto" w:fill="auto"/>
          </w:tcPr>
          <w:p w14:paraId="440FF816" w14:textId="03A16857" w:rsidR="00F9711B" w:rsidRPr="002D2F67" w:rsidRDefault="00CD5714" w:rsidP="005611FE">
            <w:pPr>
              <w:ind w:right="-81"/>
              <w:jc w:val="right"/>
              <w:rPr>
                <w:rFonts w:ascii="Arial" w:hAnsi="Arial" w:cs="Arial"/>
                <w:b/>
                <w:bCs/>
                <w:color w:val="000000"/>
                <w:sz w:val="20"/>
                <w:szCs w:val="20"/>
              </w:rPr>
            </w:pPr>
            <w:r w:rsidRPr="00CD5714">
              <w:rPr>
                <w:rFonts w:ascii="Arial" w:hAnsi="Arial" w:cs="Arial"/>
                <w:b/>
                <w:bCs/>
                <w:color w:val="000000"/>
                <w:sz w:val="20"/>
                <w:szCs w:val="20"/>
                <w:lang w:val="en-GB"/>
              </w:rPr>
              <w:t>2023</w:t>
            </w:r>
          </w:p>
        </w:tc>
        <w:tc>
          <w:tcPr>
            <w:tcW w:w="752" w:type="pct"/>
            <w:shd w:val="clear" w:color="auto" w:fill="auto"/>
          </w:tcPr>
          <w:p w14:paraId="33AD3285" w14:textId="5476612A" w:rsidR="00F9711B" w:rsidRPr="002D2F67" w:rsidRDefault="00CD5714" w:rsidP="005611FE">
            <w:pPr>
              <w:ind w:right="-81"/>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752" w:type="pct"/>
            <w:shd w:val="clear" w:color="auto" w:fill="auto"/>
          </w:tcPr>
          <w:p w14:paraId="1677D995" w14:textId="5FBE1686" w:rsidR="00F9711B" w:rsidRPr="002D2F67" w:rsidRDefault="00CD5714" w:rsidP="005611FE">
            <w:pPr>
              <w:ind w:right="-81"/>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1E6C66" w:rsidRPr="002D2F67" w14:paraId="056BD3EA" w14:textId="77777777" w:rsidTr="005611FE">
        <w:tc>
          <w:tcPr>
            <w:tcW w:w="1992" w:type="pct"/>
            <w:shd w:val="clear" w:color="auto" w:fill="auto"/>
          </w:tcPr>
          <w:p w14:paraId="31698A25" w14:textId="77777777" w:rsidR="001E6C66" w:rsidRPr="002D2F67" w:rsidRDefault="001E6C66" w:rsidP="005611FE">
            <w:pPr>
              <w:ind w:left="29"/>
              <w:rPr>
                <w:rFonts w:ascii="Arial" w:hAnsi="Arial" w:cs="Arial"/>
                <w:color w:val="000000"/>
                <w:sz w:val="20"/>
                <w:szCs w:val="20"/>
              </w:rPr>
            </w:pPr>
          </w:p>
        </w:tc>
        <w:tc>
          <w:tcPr>
            <w:tcW w:w="752" w:type="pct"/>
            <w:tcBorders>
              <w:bottom w:val="single" w:sz="4" w:space="0" w:color="auto"/>
            </w:tcBorders>
            <w:shd w:val="clear" w:color="auto" w:fill="auto"/>
          </w:tcPr>
          <w:p w14:paraId="38E573E0" w14:textId="741A6243" w:rsidR="001E6C66" w:rsidRPr="002D2F67" w:rsidRDefault="001E6C66" w:rsidP="005611FE">
            <w:pPr>
              <w:ind w:right="-81"/>
              <w:jc w:val="right"/>
              <w:rPr>
                <w:rFonts w:ascii="Arial" w:hAnsi="Arial" w:cs="Arial"/>
                <w:b/>
                <w:bCs/>
                <w:color w:val="000000"/>
                <w:sz w:val="20"/>
                <w:szCs w:val="20"/>
              </w:rPr>
            </w:pPr>
            <w:r w:rsidRPr="002D2F67">
              <w:rPr>
                <w:rFonts w:ascii="Arial" w:hAnsi="Arial" w:cs="Arial"/>
                <w:b/>
                <w:bCs/>
                <w:color w:val="000000"/>
                <w:sz w:val="20"/>
                <w:szCs w:val="20"/>
              </w:rPr>
              <w:t>Baht</w:t>
            </w:r>
            <w:r w:rsidR="005338A6" w:rsidRPr="002D2F67">
              <w:rPr>
                <w:rFonts w:ascii="Arial" w:hAnsi="Arial" w:cs="Arial"/>
                <w:b/>
                <w:bCs/>
                <w:color w:val="000000"/>
                <w:sz w:val="20"/>
                <w:szCs w:val="20"/>
              </w:rPr>
              <w:t>’</w:t>
            </w:r>
            <w:r w:rsidR="00CD5714" w:rsidRPr="00CD5714">
              <w:rPr>
                <w:rFonts w:ascii="Arial" w:hAnsi="Arial" w:cs="Arial"/>
                <w:b/>
                <w:bCs/>
                <w:color w:val="000000"/>
                <w:sz w:val="20"/>
                <w:szCs w:val="20"/>
                <w:lang w:val="en-GB"/>
              </w:rPr>
              <w:t>000</w:t>
            </w:r>
          </w:p>
        </w:tc>
        <w:tc>
          <w:tcPr>
            <w:tcW w:w="752" w:type="pct"/>
            <w:tcBorders>
              <w:bottom w:val="single" w:sz="4" w:space="0" w:color="auto"/>
            </w:tcBorders>
            <w:shd w:val="clear" w:color="auto" w:fill="auto"/>
          </w:tcPr>
          <w:p w14:paraId="559B2853" w14:textId="1F790413" w:rsidR="001E6C66" w:rsidRPr="002D2F67" w:rsidRDefault="005338A6" w:rsidP="005611FE">
            <w:pPr>
              <w:ind w:right="-81"/>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752" w:type="pct"/>
            <w:tcBorders>
              <w:bottom w:val="single" w:sz="4" w:space="0" w:color="auto"/>
            </w:tcBorders>
            <w:shd w:val="clear" w:color="auto" w:fill="auto"/>
          </w:tcPr>
          <w:p w14:paraId="3C66CAB9" w14:textId="39FC4217" w:rsidR="001E6C66" w:rsidRPr="002D2F67" w:rsidRDefault="005338A6" w:rsidP="005611FE">
            <w:pPr>
              <w:ind w:right="-81"/>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752" w:type="pct"/>
            <w:tcBorders>
              <w:bottom w:val="single" w:sz="4" w:space="0" w:color="auto"/>
            </w:tcBorders>
            <w:shd w:val="clear" w:color="auto" w:fill="auto"/>
          </w:tcPr>
          <w:p w14:paraId="4E7BFB7D" w14:textId="76BF4FC0" w:rsidR="001E6C66" w:rsidRPr="002D2F67" w:rsidRDefault="005338A6" w:rsidP="005611FE">
            <w:pPr>
              <w:ind w:right="-81"/>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1E6C66" w:rsidRPr="002D2F67" w14:paraId="33FE12DA" w14:textId="77777777" w:rsidTr="005611FE">
        <w:tc>
          <w:tcPr>
            <w:tcW w:w="1992" w:type="pct"/>
            <w:shd w:val="clear" w:color="auto" w:fill="auto"/>
          </w:tcPr>
          <w:p w14:paraId="14AD61E5" w14:textId="77777777" w:rsidR="001E6C66" w:rsidRPr="002D2F67" w:rsidRDefault="001E6C66" w:rsidP="005611FE">
            <w:pPr>
              <w:ind w:left="29"/>
              <w:rPr>
                <w:rFonts w:ascii="Arial" w:hAnsi="Arial" w:cs="Arial"/>
                <w:color w:val="000000"/>
                <w:sz w:val="20"/>
                <w:szCs w:val="20"/>
              </w:rPr>
            </w:pPr>
          </w:p>
        </w:tc>
        <w:tc>
          <w:tcPr>
            <w:tcW w:w="752" w:type="pct"/>
            <w:tcBorders>
              <w:top w:val="single" w:sz="4" w:space="0" w:color="auto"/>
            </w:tcBorders>
            <w:shd w:val="clear" w:color="auto" w:fill="auto"/>
          </w:tcPr>
          <w:p w14:paraId="5A915645" w14:textId="77777777" w:rsidR="001E6C66" w:rsidRPr="002D2F67" w:rsidRDefault="001E6C66" w:rsidP="005611FE">
            <w:pPr>
              <w:tabs>
                <w:tab w:val="left" w:pos="709"/>
              </w:tabs>
              <w:ind w:right="-81"/>
              <w:rPr>
                <w:rFonts w:ascii="Arial" w:hAnsi="Arial" w:cs="Arial"/>
                <w:color w:val="000000"/>
                <w:sz w:val="20"/>
                <w:szCs w:val="20"/>
              </w:rPr>
            </w:pPr>
          </w:p>
        </w:tc>
        <w:tc>
          <w:tcPr>
            <w:tcW w:w="752" w:type="pct"/>
            <w:tcBorders>
              <w:top w:val="single" w:sz="4" w:space="0" w:color="auto"/>
            </w:tcBorders>
            <w:shd w:val="clear" w:color="auto" w:fill="auto"/>
          </w:tcPr>
          <w:p w14:paraId="14A78B3B" w14:textId="77777777" w:rsidR="001E6C66" w:rsidRPr="002D2F67" w:rsidRDefault="001E6C66" w:rsidP="005611FE">
            <w:pPr>
              <w:tabs>
                <w:tab w:val="left" w:pos="709"/>
              </w:tabs>
              <w:ind w:right="-81"/>
              <w:rPr>
                <w:rFonts w:ascii="Arial" w:hAnsi="Arial" w:cs="Arial"/>
                <w:color w:val="000000"/>
                <w:sz w:val="20"/>
                <w:szCs w:val="20"/>
              </w:rPr>
            </w:pPr>
          </w:p>
        </w:tc>
        <w:tc>
          <w:tcPr>
            <w:tcW w:w="752" w:type="pct"/>
            <w:tcBorders>
              <w:top w:val="single" w:sz="4" w:space="0" w:color="auto"/>
            </w:tcBorders>
            <w:shd w:val="clear" w:color="auto" w:fill="auto"/>
          </w:tcPr>
          <w:p w14:paraId="7A951B11" w14:textId="77777777" w:rsidR="001E6C66" w:rsidRPr="002D2F67" w:rsidRDefault="001E6C66" w:rsidP="005611FE">
            <w:pPr>
              <w:tabs>
                <w:tab w:val="left" w:pos="709"/>
              </w:tabs>
              <w:ind w:right="-81"/>
              <w:rPr>
                <w:rFonts w:ascii="Arial" w:hAnsi="Arial" w:cs="Arial"/>
                <w:color w:val="000000"/>
                <w:sz w:val="20"/>
                <w:szCs w:val="20"/>
              </w:rPr>
            </w:pPr>
          </w:p>
        </w:tc>
        <w:tc>
          <w:tcPr>
            <w:tcW w:w="752" w:type="pct"/>
            <w:tcBorders>
              <w:top w:val="single" w:sz="4" w:space="0" w:color="auto"/>
            </w:tcBorders>
            <w:shd w:val="clear" w:color="auto" w:fill="auto"/>
          </w:tcPr>
          <w:p w14:paraId="453C43B3" w14:textId="77777777" w:rsidR="001E6C66" w:rsidRPr="002D2F67" w:rsidRDefault="001E6C66" w:rsidP="005611FE">
            <w:pPr>
              <w:tabs>
                <w:tab w:val="left" w:pos="709"/>
              </w:tabs>
              <w:ind w:right="-81"/>
              <w:rPr>
                <w:rFonts w:ascii="Arial" w:hAnsi="Arial" w:cs="Arial"/>
                <w:color w:val="000000"/>
                <w:sz w:val="20"/>
                <w:szCs w:val="20"/>
              </w:rPr>
            </w:pPr>
          </w:p>
        </w:tc>
      </w:tr>
      <w:tr w:rsidR="00DF15D0" w:rsidRPr="002D2F67" w14:paraId="3554C7B0" w14:textId="77777777" w:rsidTr="005611FE">
        <w:tc>
          <w:tcPr>
            <w:tcW w:w="1992" w:type="pct"/>
            <w:shd w:val="clear" w:color="auto" w:fill="auto"/>
          </w:tcPr>
          <w:p w14:paraId="35261375" w14:textId="77777777" w:rsidR="00DF15D0" w:rsidRPr="002D2F67" w:rsidRDefault="00DF15D0" w:rsidP="005611FE">
            <w:pPr>
              <w:ind w:left="29" w:right="-72"/>
              <w:rPr>
                <w:rFonts w:ascii="Arial" w:hAnsi="Arial" w:cs="Arial"/>
                <w:color w:val="000000"/>
                <w:sz w:val="20"/>
                <w:szCs w:val="20"/>
              </w:rPr>
            </w:pPr>
            <w:r w:rsidRPr="002D2F67">
              <w:rPr>
                <w:rFonts w:ascii="Arial" w:hAnsi="Arial" w:cs="Arial"/>
                <w:color w:val="000000"/>
                <w:sz w:val="20"/>
                <w:szCs w:val="20"/>
              </w:rPr>
              <w:t>Current tax</w:t>
            </w:r>
          </w:p>
        </w:tc>
        <w:tc>
          <w:tcPr>
            <w:tcW w:w="752" w:type="pct"/>
            <w:shd w:val="clear" w:color="auto" w:fill="auto"/>
            <w:vAlign w:val="center"/>
          </w:tcPr>
          <w:p w14:paraId="10C53650" w14:textId="381DCBD5" w:rsidR="00DF15D0" w:rsidRPr="002D2F67" w:rsidRDefault="00CD5714" w:rsidP="005611FE">
            <w:pPr>
              <w:ind w:right="-81"/>
              <w:jc w:val="right"/>
              <w:rPr>
                <w:rFonts w:ascii="Arial" w:hAnsi="Arial" w:cs="Arial"/>
                <w:color w:val="000000"/>
                <w:sz w:val="20"/>
                <w:szCs w:val="20"/>
              </w:rPr>
            </w:pPr>
            <w:r w:rsidRPr="00CD5714">
              <w:rPr>
                <w:rFonts w:ascii="Arial" w:hAnsi="Arial" w:cs="Arial"/>
                <w:color w:val="000000"/>
                <w:sz w:val="20"/>
                <w:szCs w:val="20"/>
                <w:lang w:val="en-GB"/>
              </w:rPr>
              <w:t>283</w:t>
            </w:r>
            <w:r w:rsidR="00D64E23" w:rsidRPr="002D2F67">
              <w:rPr>
                <w:rFonts w:ascii="Arial" w:hAnsi="Arial" w:cs="Arial"/>
                <w:color w:val="000000"/>
                <w:sz w:val="20"/>
                <w:szCs w:val="20"/>
              </w:rPr>
              <w:t>,</w:t>
            </w:r>
            <w:r w:rsidRPr="00CD5714">
              <w:rPr>
                <w:rFonts w:ascii="Arial" w:hAnsi="Arial" w:cs="Arial"/>
                <w:color w:val="000000"/>
                <w:sz w:val="20"/>
                <w:szCs w:val="20"/>
                <w:lang w:val="en-GB"/>
              </w:rPr>
              <w:t>855</w:t>
            </w:r>
          </w:p>
        </w:tc>
        <w:tc>
          <w:tcPr>
            <w:tcW w:w="752" w:type="pct"/>
            <w:shd w:val="clear" w:color="auto" w:fill="auto"/>
            <w:vAlign w:val="center"/>
          </w:tcPr>
          <w:p w14:paraId="78C1677C" w14:textId="244459B9" w:rsidR="00DF15D0" w:rsidRPr="002D2F67" w:rsidRDefault="00CD5714" w:rsidP="005611FE">
            <w:pPr>
              <w:ind w:right="-81"/>
              <w:jc w:val="right"/>
              <w:rPr>
                <w:rFonts w:ascii="Arial" w:hAnsi="Arial" w:cs="Arial"/>
                <w:color w:val="000000"/>
                <w:sz w:val="20"/>
                <w:szCs w:val="20"/>
              </w:rPr>
            </w:pPr>
            <w:r w:rsidRPr="00CD5714">
              <w:rPr>
                <w:rFonts w:ascii="Arial" w:hAnsi="Arial" w:cs="Arial"/>
                <w:color w:val="000000"/>
                <w:sz w:val="20"/>
                <w:szCs w:val="20"/>
                <w:lang w:val="en-GB"/>
              </w:rPr>
              <w:t>336</w:t>
            </w:r>
            <w:r w:rsidR="00DF15D0" w:rsidRPr="002D2F67">
              <w:rPr>
                <w:rFonts w:ascii="Arial" w:hAnsi="Arial" w:cs="Arial"/>
                <w:color w:val="000000"/>
                <w:sz w:val="20"/>
                <w:szCs w:val="20"/>
              </w:rPr>
              <w:t>,</w:t>
            </w:r>
            <w:r w:rsidRPr="00CD5714">
              <w:rPr>
                <w:rFonts w:ascii="Arial" w:hAnsi="Arial" w:cs="Arial"/>
                <w:color w:val="000000"/>
                <w:sz w:val="20"/>
                <w:szCs w:val="20"/>
                <w:lang w:val="en-GB"/>
              </w:rPr>
              <w:t>384</w:t>
            </w:r>
          </w:p>
        </w:tc>
        <w:tc>
          <w:tcPr>
            <w:tcW w:w="752" w:type="pct"/>
            <w:shd w:val="clear" w:color="auto" w:fill="auto"/>
            <w:vAlign w:val="center"/>
          </w:tcPr>
          <w:p w14:paraId="2EAC0ABE" w14:textId="793BD46E" w:rsidR="00DF15D0" w:rsidRPr="002D2F67" w:rsidRDefault="009E693F" w:rsidP="005611FE">
            <w:pPr>
              <w:ind w:right="-81"/>
              <w:jc w:val="right"/>
              <w:rPr>
                <w:rFonts w:ascii="Arial" w:hAnsi="Arial" w:cs="Arial"/>
                <w:color w:val="000000"/>
                <w:sz w:val="20"/>
                <w:szCs w:val="20"/>
              </w:rPr>
            </w:pPr>
            <w:r w:rsidRPr="002D2F67">
              <w:rPr>
                <w:rFonts w:ascii="Arial" w:hAnsi="Arial" w:cs="Arial"/>
                <w:color w:val="000000"/>
                <w:sz w:val="20"/>
                <w:szCs w:val="20"/>
              </w:rPr>
              <w:t>-</w:t>
            </w:r>
          </w:p>
        </w:tc>
        <w:tc>
          <w:tcPr>
            <w:tcW w:w="752" w:type="pct"/>
            <w:shd w:val="clear" w:color="auto" w:fill="auto"/>
            <w:vAlign w:val="center"/>
          </w:tcPr>
          <w:p w14:paraId="1924D6E5" w14:textId="6865793F" w:rsidR="00DF15D0" w:rsidRPr="002D2F67" w:rsidRDefault="00CD5714" w:rsidP="005611FE">
            <w:pPr>
              <w:ind w:right="-81"/>
              <w:jc w:val="right"/>
              <w:rPr>
                <w:rFonts w:ascii="Arial" w:hAnsi="Arial" w:cs="Arial"/>
                <w:color w:val="000000"/>
                <w:sz w:val="20"/>
                <w:szCs w:val="20"/>
              </w:rPr>
            </w:pPr>
            <w:r w:rsidRPr="00CD5714">
              <w:rPr>
                <w:rFonts w:ascii="Arial" w:hAnsi="Arial" w:cs="Arial"/>
                <w:color w:val="000000"/>
                <w:sz w:val="20"/>
                <w:szCs w:val="20"/>
                <w:lang w:val="en-GB"/>
              </w:rPr>
              <w:t>266</w:t>
            </w:r>
            <w:r w:rsidR="00DF15D0" w:rsidRPr="002D2F67">
              <w:rPr>
                <w:rFonts w:ascii="Arial" w:hAnsi="Arial" w:cs="Arial"/>
                <w:color w:val="000000"/>
                <w:sz w:val="20"/>
                <w:szCs w:val="20"/>
              </w:rPr>
              <w:t>,</w:t>
            </w:r>
            <w:r w:rsidRPr="00CD5714">
              <w:rPr>
                <w:rFonts w:ascii="Arial" w:hAnsi="Arial" w:cs="Arial"/>
                <w:color w:val="000000"/>
                <w:sz w:val="20"/>
                <w:szCs w:val="20"/>
                <w:lang w:val="en-GB"/>
              </w:rPr>
              <w:t>931</w:t>
            </w:r>
          </w:p>
        </w:tc>
      </w:tr>
      <w:tr w:rsidR="00DF15D0" w:rsidRPr="002D2F67" w14:paraId="5C900509" w14:textId="77777777" w:rsidTr="005611FE">
        <w:tc>
          <w:tcPr>
            <w:tcW w:w="1992" w:type="pct"/>
            <w:shd w:val="clear" w:color="auto" w:fill="auto"/>
          </w:tcPr>
          <w:p w14:paraId="107D8322" w14:textId="77777777" w:rsidR="00DF15D0" w:rsidRPr="002D2F67" w:rsidRDefault="00DF15D0" w:rsidP="005611FE">
            <w:pPr>
              <w:ind w:left="29" w:right="-72"/>
              <w:rPr>
                <w:rFonts w:ascii="Arial" w:hAnsi="Arial" w:cs="Arial"/>
                <w:color w:val="000000"/>
                <w:sz w:val="20"/>
                <w:szCs w:val="20"/>
              </w:rPr>
            </w:pPr>
            <w:r w:rsidRPr="002D2F67">
              <w:rPr>
                <w:rFonts w:ascii="Arial" w:hAnsi="Arial" w:cs="Arial"/>
                <w:color w:val="000000"/>
                <w:sz w:val="20"/>
                <w:szCs w:val="20"/>
              </w:rPr>
              <w:t>Deferred tax</w:t>
            </w:r>
          </w:p>
        </w:tc>
        <w:tc>
          <w:tcPr>
            <w:tcW w:w="752" w:type="pct"/>
            <w:tcBorders>
              <w:bottom w:val="single" w:sz="4" w:space="0" w:color="auto"/>
            </w:tcBorders>
            <w:shd w:val="clear" w:color="auto" w:fill="auto"/>
          </w:tcPr>
          <w:p w14:paraId="3A1C5AD0" w14:textId="2FCCACFC" w:rsidR="00DF15D0" w:rsidRPr="002D2F67" w:rsidRDefault="008B7AEF" w:rsidP="005611FE">
            <w:pPr>
              <w:ind w:right="-81"/>
              <w:jc w:val="right"/>
              <w:rPr>
                <w:rFonts w:ascii="Arial" w:hAnsi="Arial" w:cs="Arial"/>
                <w:color w:val="000000"/>
                <w:sz w:val="20"/>
                <w:szCs w:val="20"/>
                <w:cs/>
              </w:rPr>
            </w:pPr>
            <w:r>
              <w:rPr>
                <w:rFonts w:ascii="Arial" w:hAnsi="Arial" w:cs="Arial"/>
                <w:color w:val="000000"/>
                <w:sz w:val="20"/>
                <w:szCs w:val="20"/>
                <w:lang w:val="en-GB"/>
              </w:rPr>
              <w:t>(</w:t>
            </w:r>
            <w:r w:rsidR="00CD5714" w:rsidRPr="00CD5714">
              <w:rPr>
                <w:rFonts w:ascii="Arial" w:hAnsi="Arial" w:cs="Arial"/>
                <w:color w:val="000000"/>
                <w:sz w:val="20"/>
                <w:szCs w:val="20"/>
                <w:lang w:val="en-GB"/>
              </w:rPr>
              <w:t>31</w:t>
            </w:r>
            <w:r w:rsidR="001F3547" w:rsidRPr="002D2F67">
              <w:rPr>
                <w:rFonts w:ascii="Arial" w:hAnsi="Arial" w:cs="Arial"/>
                <w:color w:val="000000"/>
                <w:sz w:val="20"/>
                <w:szCs w:val="20"/>
              </w:rPr>
              <w:t>,</w:t>
            </w:r>
            <w:r w:rsidR="00CD5714" w:rsidRPr="00CD5714">
              <w:rPr>
                <w:rFonts w:ascii="Arial" w:hAnsi="Arial" w:cs="Arial"/>
                <w:color w:val="000000"/>
                <w:sz w:val="20"/>
                <w:szCs w:val="20"/>
                <w:lang w:val="en-GB"/>
              </w:rPr>
              <w:t>23</w:t>
            </w:r>
            <w:r>
              <w:rPr>
                <w:rFonts w:ascii="Arial" w:hAnsi="Arial" w:cs="Arial"/>
                <w:color w:val="000000"/>
                <w:sz w:val="20"/>
                <w:szCs w:val="20"/>
                <w:lang w:val="en-GB"/>
              </w:rPr>
              <w:t>2)</w:t>
            </w:r>
          </w:p>
        </w:tc>
        <w:tc>
          <w:tcPr>
            <w:tcW w:w="752" w:type="pct"/>
            <w:tcBorders>
              <w:bottom w:val="single" w:sz="4" w:space="0" w:color="auto"/>
            </w:tcBorders>
            <w:shd w:val="clear" w:color="auto" w:fill="auto"/>
          </w:tcPr>
          <w:p w14:paraId="6CD49E86" w14:textId="51D80A3E" w:rsidR="00DF15D0" w:rsidRPr="002D2F67" w:rsidRDefault="00DF15D0" w:rsidP="005611FE">
            <w:pPr>
              <w:ind w:right="-81"/>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100</w:t>
            </w:r>
            <w:r w:rsidRPr="002D2F67">
              <w:rPr>
                <w:rFonts w:ascii="Arial" w:hAnsi="Arial" w:cs="Arial"/>
                <w:color w:val="000000"/>
                <w:sz w:val="20"/>
                <w:szCs w:val="20"/>
              </w:rPr>
              <w:t>,</w:t>
            </w:r>
            <w:r w:rsidR="00CD5714" w:rsidRPr="00CD5714">
              <w:rPr>
                <w:rFonts w:ascii="Arial" w:hAnsi="Arial" w:cs="Arial"/>
                <w:color w:val="000000"/>
                <w:sz w:val="20"/>
                <w:szCs w:val="20"/>
                <w:lang w:val="en-GB"/>
              </w:rPr>
              <w:t>863</w:t>
            </w:r>
            <w:r w:rsidRPr="002D2F67">
              <w:rPr>
                <w:rFonts w:ascii="Arial" w:hAnsi="Arial" w:cs="Arial"/>
                <w:color w:val="000000"/>
                <w:sz w:val="20"/>
                <w:szCs w:val="20"/>
              </w:rPr>
              <w:t>)</w:t>
            </w:r>
          </w:p>
        </w:tc>
        <w:tc>
          <w:tcPr>
            <w:tcW w:w="752" w:type="pct"/>
            <w:tcBorders>
              <w:bottom w:val="single" w:sz="4" w:space="0" w:color="auto"/>
            </w:tcBorders>
            <w:shd w:val="clear" w:color="auto" w:fill="auto"/>
          </w:tcPr>
          <w:p w14:paraId="33D26707" w14:textId="63CB62B6" w:rsidR="00DF15D0" w:rsidRPr="002D2F67" w:rsidRDefault="00CD5714" w:rsidP="005611FE">
            <w:pPr>
              <w:ind w:right="-81"/>
              <w:jc w:val="right"/>
              <w:rPr>
                <w:rFonts w:ascii="Arial" w:hAnsi="Arial" w:cs="Arial"/>
                <w:color w:val="000000"/>
                <w:sz w:val="20"/>
                <w:szCs w:val="20"/>
                <w:cs/>
              </w:rPr>
            </w:pPr>
            <w:r w:rsidRPr="00CD5714">
              <w:rPr>
                <w:rFonts w:ascii="Arial" w:hAnsi="Arial" w:cs="Arial"/>
                <w:color w:val="000000"/>
                <w:sz w:val="20"/>
                <w:szCs w:val="20"/>
                <w:lang w:val="en-GB"/>
              </w:rPr>
              <w:t>129</w:t>
            </w:r>
            <w:r w:rsidR="00D64E23" w:rsidRPr="002D2F67">
              <w:rPr>
                <w:rFonts w:ascii="Arial" w:hAnsi="Arial" w:cs="Arial"/>
                <w:color w:val="000000"/>
                <w:sz w:val="20"/>
                <w:szCs w:val="20"/>
              </w:rPr>
              <w:t>,</w:t>
            </w:r>
            <w:r w:rsidRPr="00CD5714">
              <w:rPr>
                <w:rFonts w:ascii="Arial" w:hAnsi="Arial" w:cs="Arial"/>
                <w:color w:val="000000"/>
                <w:sz w:val="20"/>
                <w:szCs w:val="20"/>
                <w:lang w:val="en-GB"/>
              </w:rPr>
              <w:t>390</w:t>
            </w:r>
          </w:p>
        </w:tc>
        <w:tc>
          <w:tcPr>
            <w:tcW w:w="752" w:type="pct"/>
            <w:tcBorders>
              <w:bottom w:val="single" w:sz="4" w:space="0" w:color="auto"/>
            </w:tcBorders>
            <w:shd w:val="clear" w:color="auto" w:fill="auto"/>
          </w:tcPr>
          <w:p w14:paraId="29C74432" w14:textId="73E72ACC" w:rsidR="00DF15D0" w:rsidRPr="002D2F67" w:rsidRDefault="00DF15D0" w:rsidP="005611FE">
            <w:pPr>
              <w:ind w:right="-81"/>
              <w:jc w:val="right"/>
              <w:rPr>
                <w:rFonts w:ascii="Arial" w:hAnsi="Arial" w:cs="Arial"/>
                <w:color w:val="000000"/>
                <w:sz w:val="20"/>
                <w:szCs w:val="20"/>
                <w:cs/>
              </w:rPr>
            </w:pPr>
            <w:r w:rsidRPr="002D2F67">
              <w:rPr>
                <w:rFonts w:ascii="Arial" w:hAnsi="Arial" w:cs="Arial"/>
                <w:color w:val="000000"/>
                <w:sz w:val="20"/>
                <w:szCs w:val="20"/>
              </w:rPr>
              <w:t>(</w:t>
            </w:r>
            <w:r w:rsidR="00CD5714" w:rsidRPr="00CD5714">
              <w:rPr>
                <w:rFonts w:ascii="Arial" w:hAnsi="Arial" w:cs="Arial"/>
                <w:color w:val="000000"/>
                <w:sz w:val="20"/>
                <w:szCs w:val="20"/>
                <w:lang w:val="en-GB"/>
              </w:rPr>
              <w:t>140</w:t>
            </w:r>
            <w:r w:rsidRPr="002D2F67">
              <w:rPr>
                <w:rFonts w:ascii="Arial" w:hAnsi="Arial" w:cs="Arial"/>
                <w:color w:val="000000"/>
                <w:sz w:val="20"/>
                <w:szCs w:val="20"/>
              </w:rPr>
              <w:t>,</w:t>
            </w:r>
            <w:r w:rsidR="00CD5714" w:rsidRPr="00CD5714">
              <w:rPr>
                <w:rFonts w:ascii="Arial" w:hAnsi="Arial" w:cs="Arial"/>
                <w:color w:val="000000"/>
                <w:sz w:val="20"/>
                <w:szCs w:val="20"/>
                <w:lang w:val="en-GB"/>
              </w:rPr>
              <w:t>738</w:t>
            </w:r>
            <w:r w:rsidRPr="002D2F67">
              <w:rPr>
                <w:rFonts w:ascii="Arial" w:hAnsi="Arial" w:cs="Arial"/>
                <w:color w:val="000000"/>
                <w:sz w:val="20"/>
                <w:szCs w:val="20"/>
              </w:rPr>
              <w:t>)</w:t>
            </w:r>
          </w:p>
        </w:tc>
      </w:tr>
      <w:tr w:rsidR="00DF15D0" w:rsidRPr="002D2F67" w14:paraId="11A5F5B9" w14:textId="77777777" w:rsidTr="005611FE">
        <w:tc>
          <w:tcPr>
            <w:tcW w:w="1992" w:type="pct"/>
            <w:shd w:val="clear" w:color="auto" w:fill="auto"/>
          </w:tcPr>
          <w:p w14:paraId="1C1E0011" w14:textId="77777777" w:rsidR="00DF15D0" w:rsidRPr="002D2F67" w:rsidRDefault="00DF15D0" w:rsidP="005611FE">
            <w:pPr>
              <w:tabs>
                <w:tab w:val="left" w:pos="1134"/>
                <w:tab w:val="left" w:pos="1276"/>
                <w:tab w:val="center" w:pos="3402"/>
                <w:tab w:val="center" w:pos="4536"/>
                <w:tab w:val="center" w:pos="5670"/>
                <w:tab w:val="center" w:pos="6804"/>
                <w:tab w:val="right" w:pos="7655"/>
              </w:tabs>
              <w:ind w:left="29" w:right="-72"/>
              <w:rPr>
                <w:rFonts w:ascii="Arial" w:hAnsi="Arial" w:cs="Arial"/>
                <w:color w:val="000000"/>
                <w:sz w:val="12"/>
                <w:szCs w:val="12"/>
              </w:rPr>
            </w:pPr>
          </w:p>
        </w:tc>
        <w:tc>
          <w:tcPr>
            <w:tcW w:w="752" w:type="pct"/>
            <w:tcBorders>
              <w:top w:val="single" w:sz="4" w:space="0" w:color="auto"/>
            </w:tcBorders>
            <w:shd w:val="clear" w:color="auto" w:fill="auto"/>
          </w:tcPr>
          <w:p w14:paraId="45F53ED4" w14:textId="77777777" w:rsidR="00DF15D0" w:rsidRPr="002D2F67" w:rsidRDefault="00DF15D0" w:rsidP="005611FE">
            <w:pPr>
              <w:ind w:right="-81"/>
              <w:jc w:val="right"/>
              <w:rPr>
                <w:rFonts w:ascii="Arial" w:hAnsi="Arial" w:cs="Arial"/>
                <w:color w:val="000000"/>
                <w:sz w:val="12"/>
                <w:szCs w:val="12"/>
              </w:rPr>
            </w:pPr>
          </w:p>
        </w:tc>
        <w:tc>
          <w:tcPr>
            <w:tcW w:w="752" w:type="pct"/>
            <w:tcBorders>
              <w:top w:val="single" w:sz="4" w:space="0" w:color="auto"/>
            </w:tcBorders>
            <w:shd w:val="clear" w:color="auto" w:fill="auto"/>
          </w:tcPr>
          <w:p w14:paraId="6C781CC3" w14:textId="77777777" w:rsidR="00DF15D0" w:rsidRPr="002D2F67" w:rsidRDefault="00DF15D0" w:rsidP="005611FE">
            <w:pPr>
              <w:ind w:right="-81"/>
              <w:jc w:val="right"/>
              <w:rPr>
                <w:rFonts w:ascii="Arial" w:hAnsi="Arial" w:cs="Arial"/>
                <w:color w:val="000000"/>
                <w:sz w:val="12"/>
                <w:szCs w:val="12"/>
              </w:rPr>
            </w:pPr>
          </w:p>
        </w:tc>
        <w:tc>
          <w:tcPr>
            <w:tcW w:w="752" w:type="pct"/>
            <w:tcBorders>
              <w:top w:val="single" w:sz="4" w:space="0" w:color="auto"/>
            </w:tcBorders>
            <w:shd w:val="clear" w:color="auto" w:fill="auto"/>
          </w:tcPr>
          <w:p w14:paraId="56F44532" w14:textId="77777777" w:rsidR="00DF15D0" w:rsidRPr="002D2F67" w:rsidRDefault="00DF15D0" w:rsidP="005611FE">
            <w:pPr>
              <w:ind w:right="-81"/>
              <w:jc w:val="right"/>
              <w:rPr>
                <w:rFonts w:ascii="Arial" w:hAnsi="Arial" w:cs="Arial"/>
                <w:color w:val="000000"/>
                <w:sz w:val="12"/>
                <w:szCs w:val="12"/>
              </w:rPr>
            </w:pPr>
          </w:p>
        </w:tc>
        <w:tc>
          <w:tcPr>
            <w:tcW w:w="752" w:type="pct"/>
            <w:tcBorders>
              <w:top w:val="single" w:sz="4" w:space="0" w:color="auto"/>
            </w:tcBorders>
            <w:shd w:val="clear" w:color="auto" w:fill="auto"/>
          </w:tcPr>
          <w:p w14:paraId="740F7FC7" w14:textId="77777777" w:rsidR="00DF15D0" w:rsidRPr="002D2F67" w:rsidRDefault="00DF15D0" w:rsidP="005611FE">
            <w:pPr>
              <w:ind w:right="-81"/>
              <w:jc w:val="right"/>
              <w:rPr>
                <w:rFonts w:ascii="Arial" w:hAnsi="Arial" w:cs="Arial"/>
                <w:color w:val="000000"/>
                <w:sz w:val="12"/>
                <w:szCs w:val="12"/>
              </w:rPr>
            </w:pPr>
          </w:p>
        </w:tc>
      </w:tr>
      <w:tr w:rsidR="00DF15D0" w:rsidRPr="002D2F67" w14:paraId="7D84F7EC" w14:textId="77777777" w:rsidTr="005611FE">
        <w:tc>
          <w:tcPr>
            <w:tcW w:w="1992" w:type="pct"/>
            <w:shd w:val="clear" w:color="auto" w:fill="auto"/>
          </w:tcPr>
          <w:p w14:paraId="26D07A93" w14:textId="77777777" w:rsidR="00DF15D0" w:rsidRPr="002D2F67" w:rsidRDefault="00DF15D0" w:rsidP="005611FE">
            <w:pPr>
              <w:tabs>
                <w:tab w:val="left" w:pos="1134"/>
                <w:tab w:val="left" w:pos="1276"/>
                <w:tab w:val="center" w:pos="3402"/>
                <w:tab w:val="center" w:pos="4536"/>
                <w:tab w:val="center" w:pos="5670"/>
                <w:tab w:val="center" w:pos="6804"/>
                <w:tab w:val="right" w:pos="7655"/>
              </w:tabs>
              <w:ind w:left="29" w:right="-72"/>
              <w:rPr>
                <w:rFonts w:ascii="Arial" w:hAnsi="Arial" w:cs="Arial"/>
                <w:color w:val="000000"/>
                <w:sz w:val="20"/>
                <w:szCs w:val="20"/>
              </w:rPr>
            </w:pPr>
            <w:r w:rsidRPr="002D2F67">
              <w:rPr>
                <w:rFonts w:ascii="Arial" w:hAnsi="Arial" w:cs="Arial"/>
                <w:color w:val="000000"/>
                <w:sz w:val="20"/>
                <w:szCs w:val="20"/>
              </w:rPr>
              <w:t>Total income tax</w:t>
            </w:r>
          </w:p>
        </w:tc>
        <w:tc>
          <w:tcPr>
            <w:tcW w:w="752" w:type="pct"/>
            <w:tcBorders>
              <w:bottom w:val="single" w:sz="4" w:space="0" w:color="auto"/>
            </w:tcBorders>
            <w:shd w:val="clear" w:color="auto" w:fill="auto"/>
          </w:tcPr>
          <w:p w14:paraId="26FB0E01" w14:textId="3A66BB33" w:rsidR="00DF15D0" w:rsidRPr="002D2F67" w:rsidRDefault="00CD5714" w:rsidP="005611FE">
            <w:pPr>
              <w:ind w:right="-81"/>
              <w:jc w:val="right"/>
              <w:rPr>
                <w:rFonts w:ascii="Arial" w:hAnsi="Arial" w:cs="Arial"/>
                <w:color w:val="000000"/>
                <w:sz w:val="20"/>
                <w:szCs w:val="20"/>
              </w:rPr>
            </w:pPr>
            <w:r w:rsidRPr="00CD5714">
              <w:rPr>
                <w:rFonts w:ascii="Arial" w:hAnsi="Arial" w:cs="Arial"/>
                <w:color w:val="000000"/>
                <w:sz w:val="20"/>
                <w:szCs w:val="20"/>
                <w:lang w:val="en-GB"/>
              </w:rPr>
              <w:t>252</w:t>
            </w:r>
            <w:r w:rsidR="001F3547" w:rsidRPr="002D2F67">
              <w:rPr>
                <w:rFonts w:ascii="Arial" w:hAnsi="Arial" w:cs="Arial"/>
                <w:color w:val="000000"/>
                <w:sz w:val="20"/>
                <w:szCs w:val="20"/>
              </w:rPr>
              <w:t>,</w:t>
            </w:r>
            <w:r w:rsidRPr="00CD5714">
              <w:rPr>
                <w:rFonts w:ascii="Arial" w:hAnsi="Arial" w:cs="Arial"/>
                <w:color w:val="000000"/>
                <w:sz w:val="20"/>
                <w:szCs w:val="20"/>
                <w:lang w:val="en-GB"/>
              </w:rPr>
              <w:t>622</w:t>
            </w:r>
          </w:p>
        </w:tc>
        <w:tc>
          <w:tcPr>
            <w:tcW w:w="752" w:type="pct"/>
            <w:tcBorders>
              <w:bottom w:val="single" w:sz="4" w:space="0" w:color="auto"/>
            </w:tcBorders>
            <w:shd w:val="clear" w:color="auto" w:fill="auto"/>
          </w:tcPr>
          <w:p w14:paraId="08550379" w14:textId="0D90B0C5" w:rsidR="00DF15D0" w:rsidRPr="002D2F67" w:rsidRDefault="00CD5714" w:rsidP="005611FE">
            <w:pPr>
              <w:ind w:right="-81"/>
              <w:jc w:val="right"/>
              <w:rPr>
                <w:rFonts w:ascii="Arial" w:hAnsi="Arial" w:cs="Arial"/>
                <w:color w:val="000000"/>
                <w:sz w:val="20"/>
                <w:szCs w:val="20"/>
              </w:rPr>
            </w:pPr>
            <w:r w:rsidRPr="00CD5714">
              <w:rPr>
                <w:rFonts w:ascii="Arial" w:hAnsi="Arial" w:cs="Arial"/>
                <w:color w:val="000000"/>
                <w:sz w:val="20"/>
                <w:szCs w:val="20"/>
                <w:lang w:val="en-GB"/>
              </w:rPr>
              <w:t>235</w:t>
            </w:r>
            <w:r w:rsidR="00DF15D0" w:rsidRPr="002D2F67">
              <w:rPr>
                <w:rFonts w:ascii="Arial" w:hAnsi="Arial" w:cs="Arial"/>
                <w:color w:val="000000"/>
                <w:sz w:val="20"/>
                <w:szCs w:val="20"/>
              </w:rPr>
              <w:t>,</w:t>
            </w:r>
            <w:r w:rsidRPr="00CD5714">
              <w:rPr>
                <w:rFonts w:ascii="Arial" w:hAnsi="Arial" w:cs="Arial"/>
                <w:color w:val="000000"/>
                <w:sz w:val="20"/>
                <w:szCs w:val="20"/>
                <w:lang w:val="en-GB"/>
              </w:rPr>
              <w:t>521</w:t>
            </w:r>
          </w:p>
        </w:tc>
        <w:tc>
          <w:tcPr>
            <w:tcW w:w="752" w:type="pct"/>
            <w:tcBorders>
              <w:bottom w:val="single" w:sz="4" w:space="0" w:color="auto"/>
            </w:tcBorders>
            <w:shd w:val="clear" w:color="auto" w:fill="auto"/>
          </w:tcPr>
          <w:p w14:paraId="4072FAE5" w14:textId="4F102781" w:rsidR="00DF15D0" w:rsidRPr="002D2F67" w:rsidRDefault="00CD5714" w:rsidP="005611FE">
            <w:pPr>
              <w:ind w:right="-81"/>
              <w:jc w:val="right"/>
              <w:rPr>
                <w:rFonts w:ascii="Arial" w:hAnsi="Arial" w:cs="Arial"/>
                <w:color w:val="000000"/>
                <w:sz w:val="20"/>
                <w:szCs w:val="20"/>
              </w:rPr>
            </w:pPr>
            <w:r w:rsidRPr="00CD5714">
              <w:rPr>
                <w:rFonts w:ascii="Arial" w:hAnsi="Arial" w:cs="Arial"/>
                <w:color w:val="000000"/>
                <w:sz w:val="20"/>
                <w:szCs w:val="20"/>
                <w:lang w:val="en-GB"/>
              </w:rPr>
              <w:t>129</w:t>
            </w:r>
            <w:r w:rsidR="00D64E23" w:rsidRPr="002D2F67">
              <w:rPr>
                <w:rFonts w:ascii="Arial" w:hAnsi="Arial" w:cs="Arial"/>
                <w:color w:val="000000"/>
                <w:sz w:val="20"/>
                <w:szCs w:val="20"/>
              </w:rPr>
              <w:t>,</w:t>
            </w:r>
            <w:r w:rsidRPr="00CD5714">
              <w:rPr>
                <w:rFonts w:ascii="Arial" w:hAnsi="Arial" w:cs="Arial"/>
                <w:color w:val="000000"/>
                <w:sz w:val="20"/>
                <w:szCs w:val="20"/>
                <w:lang w:val="en-GB"/>
              </w:rPr>
              <w:t>390</w:t>
            </w:r>
          </w:p>
        </w:tc>
        <w:tc>
          <w:tcPr>
            <w:tcW w:w="752" w:type="pct"/>
            <w:tcBorders>
              <w:bottom w:val="single" w:sz="4" w:space="0" w:color="auto"/>
            </w:tcBorders>
            <w:shd w:val="clear" w:color="auto" w:fill="auto"/>
          </w:tcPr>
          <w:p w14:paraId="160FF70A" w14:textId="58C6C1CD" w:rsidR="00DF15D0" w:rsidRPr="002D2F67" w:rsidRDefault="00CD5714" w:rsidP="005611FE">
            <w:pPr>
              <w:ind w:right="-81"/>
              <w:jc w:val="right"/>
              <w:rPr>
                <w:rFonts w:ascii="Arial" w:hAnsi="Arial" w:cs="Arial"/>
                <w:color w:val="000000"/>
                <w:sz w:val="20"/>
                <w:szCs w:val="20"/>
              </w:rPr>
            </w:pPr>
            <w:r w:rsidRPr="00CD5714">
              <w:rPr>
                <w:rFonts w:ascii="Arial" w:hAnsi="Arial" w:cs="Arial"/>
                <w:color w:val="000000"/>
                <w:sz w:val="20"/>
                <w:szCs w:val="20"/>
                <w:lang w:val="en-GB"/>
              </w:rPr>
              <w:t>126</w:t>
            </w:r>
            <w:r w:rsidR="00DF15D0" w:rsidRPr="002D2F67">
              <w:rPr>
                <w:rFonts w:ascii="Arial" w:hAnsi="Arial" w:cs="Arial"/>
                <w:color w:val="000000"/>
                <w:sz w:val="20"/>
                <w:szCs w:val="20"/>
              </w:rPr>
              <w:t>,</w:t>
            </w:r>
            <w:r w:rsidRPr="00CD5714">
              <w:rPr>
                <w:rFonts w:ascii="Arial" w:hAnsi="Arial" w:cs="Arial"/>
                <w:color w:val="000000"/>
                <w:sz w:val="20"/>
                <w:szCs w:val="20"/>
                <w:lang w:val="en-GB"/>
              </w:rPr>
              <w:t>193</w:t>
            </w:r>
          </w:p>
        </w:tc>
      </w:tr>
    </w:tbl>
    <w:p w14:paraId="6D8EFE3D" w14:textId="2EF6E892" w:rsidR="00AB5B46" w:rsidRPr="002D2F67" w:rsidRDefault="00AB5B46" w:rsidP="005611FE">
      <w:pPr>
        <w:pStyle w:val="BodyTextIndent2"/>
        <w:spacing w:line="240" w:lineRule="auto"/>
        <w:ind w:left="0"/>
        <w:rPr>
          <w:rFonts w:ascii="Arial" w:hAnsi="Arial" w:cs="Arial"/>
        </w:rPr>
      </w:pPr>
    </w:p>
    <w:p w14:paraId="41CB4A87" w14:textId="77777777" w:rsidR="001E7307" w:rsidRPr="002D2F67" w:rsidRDefault="00AB5B46" w:rsidP="005611FE">
      <w:pPr>
        <w:pStyle w:val="BodyTextIndent2"/>
        <w:spacing w:line="240" w:lineRule="auto"/>
        <w:ind w:left="0"/>
        <w:rPr>
          <w:rFonts w:ascii="Arial" w:hAnsi="Arial" w:cs="Arial"/>
          <w:spacing w:val="-2"/>
        </w:rPr>
      </w:pPr>
      <w:r w:rsidRPr="002D2F67">
        <w:rPr>
          <w:rFonts w:ascii="Arial" w:hAnsi="Arial" w:cs="Arial"/>
        </w:rPr>
        <w:br w:type="page"/>
      </w:r>
    </w:p>
    <w:p w14:paraId="27EA5C9D" w14:textId="52B10EBB" w:rsidR="001E6C66" w:rsidRPr="002D2F67" w:rsidRDefault="001E6C66" w:rsidP="005611FE">
      <w:pPr>
        <w:pStyle w:val="BodyTextIndent2"/>
        <w:spacing w:line="240" w:lineRule="auto"/>
        <w:ind w:left="0"/>
        <w:rPr>
          <w:rFonts w:ascii="Arial" w:hAnsi="Arial" w:cs="Arial"/>
          <w:spacing w:val="-2"/>
        </w:rPr>
      </w:pPr>
      <w:r w:rsidRPr="002D2F67">
        <w:rPr>
          <w:rFonts w:ascii="Arial" w:hAnsi="Arial" w:cs="Arial"/>
          <w:spacing w:val="-2"/>
        </w:rPr>
        <w:t>The tax on the Group’s profit before tax differs from the theoretical amount that would arise using the basic tax rate of the home country of the parent company as follows:</w:t>
      </w:r>
    </w:p>
    <w:p w14:paraId="64EFACA7" w14:textId="77777777" w:rsidR="001E6C66" w:rsidRPr="002D2F67" w:rsidRDefault="001E6C66" w:rsidP="005611FE">
      <w:pPr>
        <w:pStyle w:val="BodyTextIndent2"/>
        <w:spacing w:line="240" w:lineRule="auto"/>
        <w:ind w:left="0"/>
        <w:rPr>
          <w:rFonts w:ascii="Arial" w:hAnsi="Arial" w:cs="Arial"/>
          <w:spacing w:val="-2"/>
        </w:rPr>
      </w:pPr>
    </w:p>
    <w:tbl>
      <w:tblPr>
        <w:tblW w:w="4952" w:type="pct"/>
        <w:tblLook w:val="0000" w:firstRow="0" w:lastRow="0" w:firstColumn="0" w:lastColumn="0" w:noHBand="0" w:noVBand="0"/>
      </w:tblPr>
      <w:tblGrid>
        <w:gridCol w:w="3705"/>
        <w:gridCol w:w="1468"/>
        <w:gridCol w:w="1470"/>
        <w:gridCol w:w="1468"/>
        <w:gridCol w:w="1470"/>
      </w:tblGrid>
      <w:tr w:rsidR="001E6C66" w:rsidRPr="002D2F67" w14:paraId="113C27A7" w14:textId="77777777" w:rsidTr="008255E8">
        <w:trPr>
          <w:cantSplit/>
        </w:trPr>
        <w:tc>
          <w:tcPr>
            <w:tcW w:w="1934" w:type="pct"/>
            <w:shd w:val="clear" w:color="auto" w:fill="auto"/>
          </w:tcPr>
          <w:p w14:paraId="59BF76A8" w14:textId="77777777" w:rsidR="001E6C66" w:rsidRPr="002D2F67" w:rsidRDefault="001E6C66" w:rsidP="005611FE">
            <w:pPr>
              <w:ind w:left="29"/>
              <w:rPr>
                <w:rFonts w:ascii="Arial" w:hAnsi="Arial" w:cs="Arial"/>
                <w:b/>
                <w:bCs/>
                <w:color w:val="000000"/>
                <w:sz w:val="20"/>
                <w:szCs w:val="20"/>
              </w:rPr>
            </w:pPr>
          </w:p>
        </w:tc>
        <w:tc>
          <w:tcPr>
            <w:tcW w:w="1533" w:type="pct"/>
            <w:gridSpan w:val="2"/>
            <w:tcBorders>
              <w:bottom w:val="single" w:sz="4" w:space="0" w:color="auto"/>
            </w:tcBorders>
            <w:shd w:val="clear" w:color="auto" w:fill="auto"/>
          </w:tcPr>
          <w:p w14:paraId="2137EBC4" w14:textId="77777777" w:rsidR="001E6C66" w:rsidRPr="002D2F67" w:rsidRDefault="001E6C66" w:rsidP="005611FE">
            <w:pPr>
              <w:tabs>
                <w:tab w:val="left" w:pos="709"/>
              </w:tabs>
              <w:ind w:right="-81"/>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795C84C8" w14:textId="77777777" w:rsidR="001E6C66" w:rsidRPr="002D2F67" w:rsidRDefault="001E6C66" w:rsidP="005611FE">
            <w:pPr>
              <w:tabs>
                <w:tab w:val="left" w:pos="709"/>
              </w:tabs>
              <w:ind w:right="-81"/>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1533" w:type="pct"/>
            <w:gridSpan w:val="2"/>
            <w:tcBorders>
              <w:bottom w:val="single" w:sz="4" w:space="0" w:color="auto"/>
            </w:tcBorders>
            <w:shd w:val="clear" w:color="auto" w:fill="auto"/>
          </w:tcPr>
          <w:p w14:paraId="6D5EF0E7" w14:textId="77777777" w:rsidR="001E6C66" w:rsidRPr="002D2F67" w:rsidRDefault="001E6C66" w:rsidP="005611FE">
            <w:pPr>
              <w:tabs>
                <w:tab w:val="left" w:pos="709"/>
              </w:tabs>
              <w:ind w:right="-81"/>
              <w:jc w:val="right"/>
              <w:rPr>
                <w:rFonts w:ascii="Arial" w:hAnsi="Arial" w:cs="Arial"/>
                <w:b/>
                <w:bCs/>
                <w:color w:val="000000"/>
                <w:sz w:val="20"/>
                <w:szCs w:val="20"/>
              </w:rPr>
            </w:pPr>
            <w:r w:rsidRPr="002D2F67">
              <w:rPr>
                <w:rFonts w:ascii="Arial" w:hAnsi="Arial" w:cs="Arial"/>
                <w:b/>
                <w:bCs/>
                <w:color w:val="000000"/>
                <w:sz w:val="20"/>
                <w:szCs w:val="20"/>
              </w:rPr>
              <w:t xml:space="preserve">Separate </w:t>
            </w:r>
          </w:p>
          <w:p w14:paraId="6E4CBEAF" w14:textId="77777777" w:rsidR="001E6C66" w:rsidRPr="002D2F67" w:rsidRDefault="001E6C66" w:rsidP="005611FE">
            <w:pPr>
              <w:tabs>
                <w:tab w:val="left" w:pos="709"/>
              </w:tabs>
              <w:ind w:right="-81"/>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F9711B" w:rsidRPr="002D2F67" w14:paraId="7D3C4397" w14:textId="77777777" w:rsidTr="005611FE">
        <w:tc>
          <w:tcPr>
            <w:tcW w:w="1934" w:type="pct"/>
            <w:shd w:val="clear" w:color="auto" w:fill="auto"/>
          </w:tcPr>
          <w:p w14:paraId="4BC9F0AF" w14:textId="6A97914D" w:rsidR="00F9711B" w:rsidRPr="002D2F67" w:rsidRDefault="00F9711B" w:rsidP="005611FE">
            <w:pPr>
              <w:ind w:left="29"/>
              <w:rPr>
                <w:rFonts w:ascii="Arial" w:hAnsi="Arial" w:cs="Arial"/>
                <w:color w:val="000000"/>
                <w:sz w:val="20"/>
                <w:szCs w:val="20"/>
              </w:rPr>
            </w:pPr>
            <w:r w:rsidRPr="002D2F67">
              <w:rPr>
                <w:rFonts w:ascii="Arial" w:hAnsi="Arial" w:cs="Arial"/>
                <w:b/>
                <w:bCs/>
                <w:color w:val="000000"/>
                <w:sz w:val="20"/>
                <w:szCs w:val="20"/>
              </w:rPr>
              <w:t xml:space="preserve">For the years ended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w:t>
            </w:r>
          </w:p>
        </w:tc>
        <w:tc>
          <w:tcPr>
            <w:tcW w:w="766" w:type="pct"/>
            <w:shd w:val="clear" w:color="auto" w:fill="auto"/>
          </w:tcPr>
          <w:p w14:paraId="1D233A33" w14:textId="2CEF2FED" w:rsidR="00F9711B" w:rsidRPr="002D2F67" w:rsidRDefault="00CD5714" w:rsidP="005611FE">
            <w:pPr>
              <w:ind w:right="-81"/>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767" w:type="pct"/>
            <w:shd w:val="clear" w:color="auto" w:fill="auto"/>
          </w:tcPr>
          <w:p w14:paraId="6B7C7B16" w14:textId="5C3CF9E4" w:rsidR="00F9711B" w:rsidRPr="002D2F67" w:rsidRDefault="00CD5714" w:rsidP="005611FE">
            <w:pPr>
              <w:ind w:right="-81"/>
              <w:jc w:val="right"/>
              <w:rPr>
                <w:rFonts w:ascii="Arial" w:hAnsi="Arial" w:cs="Arial"/>
                <w:b/>
                <w:bCs/>
                <w:color w:val="000000"/>
                <w:sz w:val="20"/>
                <w:szCs w:val="20"/>
              </w:rPr>
            </w:pPr>
            <w:r w:rsidRPr="00CD5714">
              <w:rPr>
                <w:rFonts w:ascii="Arial" w:hAnsi="Arial" w:cs="Arial"/>
                <w:b/>
                <w:bCs/>
                <w:color w:val="000000"/>
                <w:sz w:val="20"/>
                <w:szCs w:val="20"/>
                <w:lang w:val="en-GB"/>
              </w:rPr>
              <w:t>2023</w:t>
            </w:r>
          </w:p>
        </w:tc>
        <w:tc>
          <w:tcPr>
            <w:tcW w:w="766" w:type="pct"/>
            <w:shd w:val="clear" w:color="auto" w:fill="auto"/>
          </w:tcPr>
          <w:p w14:paraId="218ADC8D" w14:textId="14918115" w:rsidR="00F9711B" w:rsidRPr="002D2F67" w:rsidRDefault="00CD5714" w:rsidP="005611FE">
            <w:pPr>
              <w:ind w:right="-81"/>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767" w:type="pct"/>
            <w:shd w:val="clear" w:color="auto" w:fill="auto"/>
          </w:tcPr>
          <w:p w14:paraId="673BD3E1" w14:textId="2E7E702A" w:rsidR="00F9711B" w:rsidRPr="002D2F67" w:rsidRDefault="00CD5714" w:rsidP="005611FE">
            <w:pPr>
              <w:ind w:right="-81"/>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5338A6" w:rsidRPr="002D2F67" w14:paraId="5D1BFCC5" w14:textId="77777777" w:rsidTr="005611FE">
        <w:tc>
          <w:tcPr>
            <w:tcW w:w="1934" w:type="pct"/>
            <w:shd w:val="clear" w:color="auto" w:fill="auto"/>
          </w:tcPr>
          <w:p w14:paraId="0BF9E46E" w14:textId="77777777" w:rsidR="005338A6" w:rsidRPr="002D2F67" w:rsidRDefault="005338A6" w:rsidP="005611FE">
            <w:pPr>
              <w:ind w:left="29"/>
              <w:rPr>
                <w:rFonts w:ascii="Arial" w:hAnsi="Arial" w:cs="Arial"/>
                <w:color w:val="000000"/>
                <w:sz w:val="20"/>
                <w:szCs w:val="20"/>
              </w:rPr>
            </w:pPr>
          </w:p>
        </w:tc>
        <w:tc>
          <w:tcPr>
            <w:tcW w:w="766" w:type="pct"/>
            <w:tcBorders>
              <w:bottom w:val="single" w:sz="4" w:space="0" w:color="auto"/>
            </w:tcBorders>
            <w:shd w:val="clear" w:color="auto" w:fill="auto"/>
          </w:tcPr>
          <w:p w14:paraId="0CBD0B15" w14:textId="0D652ABD" w:rsidR="005338A6" w:rsidRPr="002D2F67" w:rsidRDefault="005338A6" w:rsidP="005611FE">
            <w:pPr>
              <w:ind w:right="-81"/>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767" w:type="pct"/>
            <w:tcBorders>
              <w:bottom w:val="single" w:sz="4" w:space="0" w:color="auto"/>
            </w:tcBorders>
            <w:shd w:val="clear" w:color="auto" w:fill="auto"/>
          </w:tcPr>
          <w:p w14:paraId="4B5EE42B" w14:textId="2C309555" w:rsidR="005338A6" w:rsidRPr="002D2F67" w:rsidRDefault="005338A6" w:rsidP="005611FE">
            <w:pPr>
              <w:ind w:right="-81"/>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766" w:type="pct"/>
            <w:tcBorders>
              <w:bottom w:val="single" w:sz="4" w:space="0" w:color="auto"/>
            </w:tcBorders>
            <w:shd w:val="clear" w:color="auto" w:fill="auto"/>
          </w:tcPr>
          <w:p w14:paraId="126420A9" w14:textId="0D8A0B06" w:rsidR="005338A6" w:rsidRPr="002D2F67" w:rsidRDefault="005338A6" w:rsidP="005611FE">
            <w:pPr>
              <w:ind w:right="-81"/>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767" w:type="pct"/>
            <w:tcBorders>
              <w:bottom w:val="single" w:sz="4" w:space="0" w:color="auto"/>
            </w:tcBorders>
            <w:shd w:val="clear" w:color="auto" w:fill="auto"/>
          </w:tcPr>
          <w:p w14:paraId="2645C179" w14:textId="15A4EBAE" w:rsidR="005338A6" w:rsidRPr="002D2F67" w:rsidRDefault="005338A6" w:rsidP="005611FE">
            <w:pPr>
              <w:ind w:right="-81"/>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1E6C66" w:rsidRPr="002D2F67" w14:paraId="39627A67" w14:textId="77777777" w:rsidTr="005611FE">
        <w:tc>
          <w:tcPr>
            <w:tcW w:w="1934" w:type="pct"/>
            <w:shd w:val="clear" w:color="auto" w:fill="auto"/>
          </w:tcPr>
          <w:p w14:paraId="15BD0C27" w14:textId="77777777" w:rsidR="001E6C66" w:rsidRPr="002D2F67" w:rsidRDefault="001E6C66" w:rsidP="005611FE">
            <w:pPr>
              <w:ind w:left="29"/>
              <w:rPr>
                <w:rFonts w:ascii="Arial" w:hAnsi="Arial" w:cs="Arial"/>
                <w:color w:val="000000"/>
                <w:sz w:val="20"/>
                <w:szCs w:val="20"/>
              </w:rPr>
            </w:pPr>
          </w:p>
        </w:tc>
        <w:tc>
          <w:tcPr>
            <w:tcW w:w="766" w:type="pct"/>
            <w:tcBorders>
              <w:top w:val="single" w:sz="4" w:space="0" w:color="auto"/>
            </w:tcBorders>
            <w:shd w:val="clear" w:color="auto" w:fill="auto"/>
          </w:tcPr>
          <w:p w14:paraId="1087EDF1" w14:textId="77777777" w:rsidR="001E6C66" w:rsidRPr="002D2F67" w:rsidRDefault="001E6C66" w:rsidP="005611FE">
            <w:pPr>
              <w:tabs>
                <w:tab w:val="left" w:pos="709"/>
              </w:tabs>
              <w:ind w:right="-81"/>
              <w:rPr>
                <w:rFonts w:ascii="Arial" w:hAnsi="Arial" w:cs="Arial"/>
                <w:color w:val="000000"/>
                <w:sz w:val="20"/>
                <w:szCs w:val="20"/>
              </w:rPr>
            </w:pPr>
          </w:p>
        </w:tc>
        <w:tc>
          <w:tcPr>
            <w:tcW w:w="767" w:type="pct"/>
            <w:tcBorders>
              <w:top w:val="single" w:sz="4" w:space="0" w:color="auto"/>
            </w:tcBorders>
            <w:shd w:val="clear" w:color="auto" w:fill="auto"/>
          </w:tcPr>
          <w:p w14:paraId="49BFEBC0" w14:textId="77777777" w:rsidR="001E6C66" w:rsidRPr="002D2F67" w:rsidRDefault="001E6C66" w:rsidP="005611FE">
            <w:pPr>
              <w:tabs>
                <w:tab w:val="left" w:pos="709"/>
              </w:tabs>
              <w:ind w:right="-81"/>
              <w:rPr>
                <w:rFonts w:ascii="Arial" w:hAnsi="Arial" w:cs="Arial"/>
                <w:color w:val="000000"/>
                <w:sz w:val="20"/>
                <w:szCs w:val="20"/>
              </w:rPr>
            </w:pPr>
          </w:p>
        </w:tc>
        <w:tc>
          <w:tcPr>
            <w:tcW w:w="766" w:type="pct"/>
            <w:tcBorders>
              <w:top w:val="single" w:sz="4" w:space="0" w:color="auto"/>
            </w:tcBorders>
            <w:shd w:val="clear" w:color="auto" w:fill="auto"/>
          </w:tcPr>
          <w:p w14:paraId="62C3FD3D" w14:textId="77777777" w:rsidR="001E6C66" w:rsidRPr="002D2F67" w:rsidRDefault="001E6C66" w:rsidP="005611FE">
            <w:pPr>
              <w:tabs>
                <w:tab w:val="left" w:pos="709"/>
              </w:tabs>
              <w:ind w:right="-81"/>
              <w:rPr>
                <w:rFonts w:ascii="Arial" w:hAnsi="Arial" w:cs="Arial"/>
                <w:color w:val="000000"/>
                <w:sz w:val="20"/>
                <w:szCs w:val="20"/>
              </w:rPr>
            </w:pPr>
          </w:p>
        </w:tc>
        <w:tc>
          <w:tcPr>
            <w:tcW w:w="767" w:type="pct"/>
            <w:tcBorders>
              <w:top w:val="single" w:sz="4" w:space="0" w:color="auto"/>
            </w:tcBorders>
            <w:shd w:val="clear" w:color="auto" w:fill="auto"/>
          </w:tcPr>
          <w:p w14:paraId="13D6FADC" w14:textId="77777777" w:rsidR="001E6C66" w:rsidRPr="002D2F67" w:rsidRDefault="001E6C66" w:rsidP="005611FE">
            <w:pPr>
              <w:tabs>
                <w:tab w:val="left" w:pos="709"/>
              </w:tabs>
              <w:ind w:right="-81"/>
              <w:rPr>
                <w:rFonts w:ascii="Arial" w:hAnsi="Arial" w:cs="Arial"/>
                <w:color w:val="000000"/>
                <w:sz w:val="20"/>
                <w:szCs w:val="20"/>
              </w:rPr>
            </w:pPr>
          </w:p>
        </w:tc>
      </w:tr>
      <w:tr w:rsidR="00DF15D0" w:rsidRPr="002D2F67" w14:paraId="7F142107" w14:textId="77777777" w:rsidTr="005611FE">
        <w:tc>
          <w:tcPr>
            <w:tcW w:w="1934" w:type="pct"/>
            <w:shd w:val="clear" w:color="auto" w:fill="auto"/>
          </w:tcPr>
          <w:p w14:paraId="11FE88E7" w14:textId="35D44179" w:rsidR="00DF15D0" w:rsidRPr="002D2F67" w:rsidRDefault="00DF15D0" w:rsidP="005611FE">
            <w:pPr>
              <w:tabs>
                <w:tab w:val="left" w:pos="1134"/>
                <w:tab w:val="left" w:pos="1276"/>
                <w:tab w:val="center" w:pos="3402"/>
                <w:tab w:val="center" w:pos="4536"/>
                <w:tab w:val="center" w:pos="5670"/>
                <w:tab w:val="center" w:pos="6804"/>
                <w:tab w:val="right" w:pos="7655"/>
              </w:tabs>
              <w:rPr>
                <w:rFonts w:ascii="Arial" w:hAnsi="Arial" w:cs="Arial"/>
                <w:color w:val="000000"/>
                <w:sz w:val="20"/>
                <w:szCs w:val="20"/>
              </w:rPr>
            </w:pPr>
            <w:r w:rsidRPr="002D2F67">
              <w:rPr>
                <w:rFonts w:ascii="Arial" w:hAnsi="Arial" w:cs="Arial"/>
                <w:color w:val="000000"/>
                <w:sz w:val="20"/>
                <w:szCs w:val="20"/>
              </w:rPr>
              <w:t xml:space="preserve">Profit </w:t>
            </w:r>
            <w:r w:rsidR="00F832D6" w:rsidRPr="002D2F67">
              <w:rPr>
                <w:rFonts w:ascii="Arial" w:hAnsi="Arial" w:cs="Arial"/>
                <w:color w:val="000000"/>
                <w:sz w:val="20"/>
                <w:szCs w:val="20"/>
              </w:rPr>
              <w:t xml:space="preserve">(loss) </w:t>
            </w:r>
            <w:r w:rsidRPr="002D2F67">
              <w:rPr>
                <w:rFonts w:ascii="Arial" w:hAnsi="Arial" w:cs="Arial"/>
                <w:color w:val="000000"/>
                <w:sz w:val="20"/>
                <w:szCs w:val="20"/>
              </w:rPr>
              <w:t>before tax</w:t>
            </w:r>
          </w:p>
        </w:tc>
        <w:tc>
          <w:tcPr>
            <w:tcW w:w="766" w:type="pct"/>
            <w:tcBorders>
              <w:bottom w:val="single" w:sz="4" w:space="0" w:color="auto"/>
            </w:tcBorders>
            <w:shd w:val="clear" w:color="auto" w:fill="auto"/>
          </w:tcPr>
          <w:p w14:paraId="6CD6C455" w14:textId="578858C0" w:rsidR="00DF15D0" w:rsidRPr="002D2F67" w:rsidRDefault="00D64E23" w:rsidP="005611FE">
            <w:pPr>
              <w:ind w:right="-81"/>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7</w:t>
            </w:r>
            <w:r w:rsidR="004E3926" w:rsidRPr="002D2F67">
              <w:rPr>
                <w:rFonts w:ascii="Arial" w:hAnsi="Arial" w:cs="Arial"/>
                <w:color w:val="000000"/>
                <w:sz w:val="20"/>
                <w:szCs w:val="20"/>
              </w:rPr>
              <w:t>,</w:t>
            </w:r>
            <w:r w:rsidR="00CD5714" w:rsidRPr="00CD5714">
              <w:rPr>
                <w:rFonts w:ascii="Arial" w:hAnsi="Arial" w:cs="Arial"/>
                <w:color w:val="000000"/>
                <w:sz w:val="20"/>
                <w:szCs w:val="20"/>
                <w:lang w:val="en-GB"/>
              </w:rPr>
              <w:t>997</w:t>
            </w:r>
            <w:r w:rsidR="004E3926" w:rsidRPr="002D2F67">
              <w:rPr>
                <w:rFonts w:ascii="Arial" w:hAnsi="Arial" w:cs="Arial"/>
                <w:color w:val="000000"/>
                <w:sz w:val="20"/>
                <w:szCs w:val="20"/>
              </w:rPr>
              <w:t>,</w:t>
            </w:r>
            <w:r w:rsidR="00CD5714" w:rsidRPr="00CD5714">
              <w:rPr>
                <w:rFonts w:ascii="Arial" w:hAnsi="Arial" w:cs="Arial"/>
                <w:color w:val="000000"/>
                <w:sz w:val="20"/>
                <w:szCs w:val="20"/>
                <w:lang w:val="en-GB"/>
              </w:rPr>
              <w:t>566</w:t>
            </w:r>
            <w:r w:rsidR="009969B1" w:rsidRPr="002D2F67">
              <w:rPr>
                <w:rFonts w:ascii="Arial" w:hAnsi="Arial" w:cs="Arial"/>
                <w:color w:val="000000"/>
                <w:sz w:val="20"/>
                <w:szCs w:val="20"/>
              </w:rPr>
              <w:t>)</w:t>
            </w:r>
          </w:p>
        </w:tc>
        <w:tc>
          <w:tcPr>
            <w:tcW w:w="767" w:type="pct"/>
            <w:tcBorders>
              <w:bottom w:val="single" w:sz="4" w:space="0" w:color="auto"/>
            </w:tcBorders>
            <w:shd w:val="clear" w:color="auto" w:fill="auto"/>
          </w:tcPr>
          <w:p w14:paraId="0636D67C" w14:textId="3CF263DD" w:rsidR="00DF15D0" w:rsidRPr="002D2F67" w:rsidRDefault="00CD5714" w:rsidP="005611FE">
            <w:pPr>
              <w:ind w:right="-81"/>
              <w:jc w:val="right"/>
              <w:rPr>
                <w:rFonts w:ascii="Arial" w:hAnsi="Arial" w:cs="Arial"/>
                <w:color w:val="000000"/>
                <w:sz w:val="20"/>
                <w:szCs w:val="20"/>
              </w:rPr>
            </w:pPr>
            <w:r w:rsidRPr="00CD5714">
              <w:rPr>
                <w:rFonts w:ascii="Arial" w:hAnsi="Arial" w:cs="Arial"/>
                <w:color w:val="000000"/>
                <w:sz w:val="20"/>
                <w:szCs w:val="20"/>
                <w:lang w:val="en-GB"/>
              </w:rPr>
              <w:t>7</w:t>
            </w:r>
            <w:r w:rsidR="00DF15D0" w:rsidRPr="002D2F67">
              <w:rPr>
                <w:rFonts w:ascii="Arial" w:hAnsi="Arial" w:cs="Arial"/>
                <w:color w:val="000000"/>
                <w:sz w:val="20"/>
                <w:szCs w:val="20"/>
              </w:rPr>
              <w:t>,</w:t>
            </w:r>
            <w:r w:rsidRPr="00CD5714">
              <w:rPr>
                <w:rFonts w:ascii="Arial" w:hAnsi="Arial" w:cs="Arial"/>
                <w:color w:val="000000"/>
                <w:sz w:val="20"/>
                <w:szCs w:val="20"/>
                <w:lang w:val="en-GB"/>
              </w:rPr>
              <w:t>735</w:t>
            </w:r>
            <w:r w:rsidR="00DF15D0" w:rsidRPr="002D2F67">
              <w:rPr>
                <w:rFonts w:ascii="Arial" w:hAnsi="Arial" w:cs="Arial"/>
                <w:color w:val="000000"/>
                <w:sz w:val="20"/>
                <w:szCs w:val="20"/>
              </w:rPr>
              <w:t>,</w:t>
            </w:r>
            <w:r w:rsidRPr="00CD5714">
              <w:rPr>
                <w:rFonts w:ascii="Arial" w:hAnsi="Arial" w:cs="Arial"/>
                <w:color w:val="000000"/>
                <w:sz w:val="20"/>
                <w:szCs w:val="20"/>
                <w:lang w:val="en-GB"/>
              </w:rPr>
              <w:t>660</w:t>
            </w:r>
          </w:p>
        </w:tc>
        <w:tc>
          <w:tcPr>
            <w:tcW w:w="766" w:type="pct"/>
            <w:tcBorders>
              <w:bottom w:val="single" w:sz="4" w:space="0" w:color="auto"/>
            </w:tcBorders>
            <w:shd w:val="clear" w:color="auto" w:fill="auto"/>
            <w:vAlign w:val="bottom"/>
          </w:tcPr>
          <w:p w14:paraId="00CF1237" w14:textId="72CD0ACA" w:rsidR="00DF15D0" w:rsidRPr="002D2F67" w:rsidRDefault="00552DEE" w:rsidP="005611FE">
            <w:pPr>
              <w:ind w:right="-81"/>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11</w:t>
            </w:r>
            <w:r w:rsidRPr="002D2F67">
              <w:rPr>
                <w:rFonts w:ascii="Arial" w:hAnsi="Arial" w:cs="Arial"/>
                <w:color w:val="000000"/>
                <w:sz w:val="20"/>
                <w:szCs w:val="20"/>
              </w:rPr>
              <w:t>,</w:t>
            </w:r>
            <w:r w:rsidR="00CD5714" w:rsidRPr="00CD5714">
              <w:rPr>
                <w:rFonts w:ascii="Arial" w:hAnsi="Arial" w:cs="Arial"/>
                <w:color w:val="000000"/>
                <w:sz w:val="20"/>
                <w:szCs w:val="20"/>
                <w:lang w:val="en-GB"/>
              </w:rPr>
              <w:t>823</w:t>
            </w:r>
            <w:r w:rsidRPr="002D2F67">
              <w:rPr>
                <w:rFonts w:ascii="Arial" w:hAnsi="Arial" w:cs="Arial"/>
                <w:color w:val="000000"/>
                <w:sz w:val="20"/>
                <w:szCs w:val="20"/>
              </w:rPr>
              <w:t>,</w:t>
            </w:r>
            <w:r w:rsidR="00CD5714" w:rsidRPr="00CD5714">
              <w:rPr>
                <w:rFonts w:ascii="Arial" w:hAnsi="Arial" w:cs="Arial"/>
                <w:color w:val="000000"/>
                <w:sz w:val="20"/>
                <w:szCs w:val="20"/>
                <w:lang w:val="en-GB"/>
              </w:rPr>
              <w:t>722</w:t>
            </w:r>
            <w:r w:rsidRPr="002D2F67">
              <w:rPr>
                <w:rFonts w:ascii="Arial" w:hAnsi="Arial" w:cs="Arial"/>
                <w:color w:val="000000"/>
                <w:sz w:val="20"/>
                <w:szCs w:val="20"/>
              </w:rPr>
              <w:t>)</w:t>
            </w:r>
          </w:p>
        </w:tc>
        <w:tc>
          <w:tcPr>
            <w:tcW w:w="767" w:type="pct"/>
            <w:tcBorders>
              <w:bottom w:val="single" w:sz="4" w:space="0" w:color="auto"/>
            </w:tcBorders>
            <w:shd w:val="clear" w:color="auto" w:fill="auto"/>
            <w:vAlign w:val="bottom"/>
          </w:tcPr>
          <w:p w14:paraId="22FA802E" w14:textId="3562252E" w:rsidR="00DF15D0" w:rsidRPr="002D2F67" w:rsidRDefault="00CD5714" w:rsidP="005611FE">
            <w:pPr>
              <w:ind w:right="-81"/>
              <w:jc w:val="right"/>
              <w:rPr>
                <w:rFonts w:ascii="Arial" w:hAnsi="Arial" w:cs="Arial"/>
                <w:color w:val="000000"/>
                <w:sz w:val="20"/>
                <w:szCs w:val="20"/>
              </w:rPr>
            </w:pPr>
            <w:r w:rsidRPr="00CD5714">
              <w:rPr>
                <w:rFonts w:ascii="Arial" w:hAnsi="Arial" w:cs="Arial"/>
                <w:color w:val="000000"/>
                <w:sz w:val="20"/>
                <w:szCs w:val="20"/>
                <w:lang w:val="en-GB"/>
              </w:rPr>
              <w:t>14</w:t>
            </w:r>
            <w:r w:rsidR="00DF15D0" w:rsidRPr="002D2F67">
              <w:rPr>
                <w:rFonts w:ascii="Arial" w:hAnsi="Arial" w:cs="Arial"/>
                <w:color w:val="000000"/>
                <w:sz w:val="20"/>
                <w:szCs w:val="20"/>
              </w:rPr>
              <w:t>,</w:t>
            </w:r>
            <w:r w:rsidRPr="00CD5714">
              <w:rPr>
                <w:rFonts w:ascii="Arial" w:hAnsi="Arial" w:cs="Arial"/>
                <w:color w:val="000000"/>
                <w:sz w:val="20"/>
                <w:szCs w:val="20"/>
                <w:lang w:val="en-GB"/>
              </w:rPr>
              <w:t>630</w:t>
            </w:r>
            <w:r w:rsidR="00DF15D0" w:rsidRPr="002D2F67">
              <w:rPr>
                <w:rFonts w:ascii="Arial" w:hAnsi="Arial" w:cs="Arial"/>
                <w:color w:val="000000"/>
                <w:sz w:val="20"/>
                <w:szCs w:val="20"/>
              </w:rPr>
              <w:t>,</w:t>
            </w:r>
            <w:r w:rsidRPr="00CD5714">
              <w:rPr>
                <w:rFonts w:ascii="Arial" w:hAnsi="Arial" w:cs="Arial"/>
                <w:color w:val="000000"/>
                <w:sz w:val="20"/>
                <w:szCs w:val="20"/>
                <w:lang w:val="en-GB"/>
              </w:rPr>
              <w:t>769</w:t>
            </w:r>
          </w:p>
        </w:tc>
      </w:tr>
      <w:tr w:rsidR="00DF15D0" w:rsidRPr="002D2F67" w14:paraId="619280FB" w14:textId="77777777" w:rsidTr="005611FE">
        <w:tc>
          <w:tcPr>
            <w:tcW w:w="1934" w:type="pct"/>
            <w:shd w:val="clear" w:color="auto" w:fill="auto"/>
          </w:tcPr>
          <w:p w14:paraId="4243F75A" w14:textId="77777777" w:rsidR="00DF15D0" w:rsidRPr="002D2F67" w:rsidRDefault="00DF15D0" w:rsidP="005611FE">
            <w:pPr>
              <w:tabs>
                <w:tab w:val="left" w:pos="1134"/>
                <w:tab w:val="left" w:pos="1276"/>
                <w:tab w:val="center" w:pos="3402"/>
                <w:tab w:val="center" w:pos="4536"/>
                <w:tab w:val="center" w:pos="5670"/>
                <w:tab w:val="center" w:pos="6804"/>
                <w:tab w:val="right" w:pos="7655"/>
              </w:tabs>
              <w:rPr>
                <w:rFonts w:ascii="Arial" w:hAnsi="Arial" w:cs="Arial"/>
                <w:color w:val="000000"/>
                <w:sz w:val="20"/>
                <w:szCs w:val="20"/>
              </w:rPr>
            </w:pPr>
          </w:p>
        </w:tc>
        <w:tc>
          <w:tcPr>
            <w:tcW w:w="766" w:type="pct"/>
            <w:tcBorders>
              <w:top w:val="single" w:sz="4" w:space="0" w:color="auto"/>
            </w:tcBorders>
            <w:shd w:val="clear" w:color="auto" w:fill="auto"/>
          </w:tcPr>
          <w:p w14:paraId="447505D8" w14:textId="77777777" w:rsidR="00DF15D0" w:rsidRPr="002D2F67" w:rsidRDefault="00DF15D0" w:rsidP="005611FE">
            <w:pPr>
              <w:tabs>
                <w:tab w:val="left" w:pos="1134"/>
                <w:tab w:val="left" w:pos="1276"/>
                <w:tab w:val="center" w:pos="3402"/>
                <w:tab w:val="center" w:pos="4536"/>
                <w:tab w:val="center" w:pos="5670"/>
                <w:tab w:val="center" w:pos="6804"/>
                <w:tab w:val="right" w:pos="7655"/>
              </w:tabs>
              <w:ind w:right="-81"/>
              <w:jc w:val="right"/>
              <w:rPr>
                <w:rFonts w:ascii="Arial" w:hAnsi="Arial" w:cs="Arial"/>
                <w:color w:val="000000"/>
                <w:sz w:val="20"/>
                <w:szCs w:val="20"/>
              </w:rPr>
            </w:pPr>
          </w:p>
        </w:tc>
        <w:tc>
          <w:tcPr>
            <w:tcW w:w="767" w:type="pct"/>
            <w:tcBorders>
              <w:top w:val="single" w:sz="4" w:space="0" w:color="auto"/>
            </w:tcBorders>
            <w:shd w:val="clear" w:color="auto" w:fill="auto"/>
          </w:tcPr>
          <w:p w14:paraId="586E1A9D" w14:textId="77777777" w:rsidR="00DF15D0" w:rsidRPr="002D2F67" w:rsidRDefault="00DF15D0" w:rsidP="005611FE">
            <w:pPr>
              <w:tabs>
                <w:tab w:val="left" w:pos="1134"/>
                <w:tab w:val="left" w:pos="1276"/>
                <w:tab w:val="center" w:pos="3402"/>
                <w:tab w:val="center" w:pos="4536"/>
                <w:tab w:val="center" w:pos="5670"/>
                <w:tab w:val="center" w:pos="6804"/>
                <w:tab w:val="right" w:pos="7655"/>
              </w:tabs>
              <w:ind w:right="-81"/>
              <w:jc w:val="right"/>
              <w:rPr>
                <w:rFonts w:ascii="Arial" w:hAnsi="Arial" w:cs="Arial"/>
                <w:color w:val="000000"/>
                <w:sz w:val="20"/>
                <w:szCs w:val="20"/>
              </w:rPr>
            </w:pPr>
          </w:p>
        </w:tc>
        <w:tc>
          <w:tcPr>
            <w:tcW w:w="766" w:type="pct"/>
            <w:tcBorders>
              <w:top w:val="single" w:sz="4" w:space="0" w:color="auto"/>
            </w:tcBorders>
            <w:shd w:val="clear" w:color="auto" w:fill="auto"/>
          </w:tcPr>
          <w:p w14:paraId="12FFEF80" w14:textId="77777777" w:rsidR="00DF15D0" w:rsidRPr="002D2F67" w:rsidRDefault="00DF15D0" w:rsidP="005611FE">
            <w:pPr>
              <w:tabs>
                <w:tab w:val="left" w:pos="1134"/>
                <w:tab w:val="left" w:pos="1276"/>
                <w:tab w:val="center" w:pos="3402"/>
                <w:tab w:val="center" w:pos="4536"/>
                <w:tab w:val="center" w:pos="5670"/>
                <w:tab w:val="center" w:pos="6804"/>
                <w:tab w:val="right" w:pos="7655"/>
              </w:tabs>
              <w:ind w:right="-81"/>
              <w:jc w:val="right"/>
              <w:rPr>
                <w:rFonts w:ascii="Arial" w:hAnsi="Arial" w:cs="Arial"/>
                <w:color w:val="000000"/>
                <w:sz w:val="20"/>
                <w:szCs w:val="20"/>
              </w:rPr>
            </w:pPr>
          </w:p>
        </w:tc>
        <w:tc>
          <w:tcPr>
            <w:tcW w:w="767" w:type="pct"/>
            <w:tcBorders>
              <w:top w:val="single" w:sz="4" w:space="0" w:color="auto"/>
            </w:tcBorders>
            <w:shd w:val="clear" w:color="auto" w:fill="auto"/>
          </w:tcPr>
          <w:p w14:paraId="7F93BBA4" w14:textId="77777777" w:rsidR="00DF15D0" w:rsidRPr="002D2F67" w:rsidRDefault="00DF15D0" w:rsidP="005611FE">
            <w:pPr>
              <w:tabs>
                <w:tab w:val="left" w:pos="1134"/>
                <w:tab w:val="left" w:pos="1276"/>
                <w:tab w:val="center" w:pos="3402"/>
                <w:tab w:val="center" w:pos="4536"/>
                <w:tab w:val="center" w:pos="5670"/>
                <w:tab w:val="center" w:pos="6804"/>
                <w:tab w:val="right" w:pos="7655"/>
              </w:tabs>
              <w:ind w:right="-81"/>
              <w:jc w:val="right"/>
              <w:rPr>
                <w:rFonts w:ascii="Arial" w:hAnsi="Arial" w:cs="Arial"/>
                <w:color w:val="000000"/>
                <w:sz w:val="20"/>
                <w:szCs w:val="20"/>
              </w:rPr>
            </w:pPr>
          </w:p>
        </w:tc>
      </w:tr>
      <w:tr w:rsidR="00DF15D0" w:rsidRPr="002D2F67" w14:paraId="6EED29CF" w14:textId="77777777" w:rsidTr="005611FE">
        <w:tc>
          <w:tcPr>
            <w:tcW w:w="1934" w:type="pct"/>
            <w:shd w:val="clear" w:color="auto" w:fill="auto"/>
          </w:tcPr>
          <w:p w14:paraId="4C6B0782" w14:textId="10F41CC7" w:rsidR="00DF15D0" w:rsidRPr="002D2F67" w:rsidRDefault="00DF15D0" w:rsidP="005611FE">
            <w:pPr>
              <w:rPr>
                <w:rFonts w:ascii="Arial" w:hAnsi="Arial" w:cs="Arial"/>
                <w:color w:val="000000"/>
                <w:sz w:val="20"/>
                <w:szCs w:val="20"/>
              </w:rPr>
            </w:pPr>
            <w:r w:rsidRPr="002D2F67">
              <w:rPr>
                <w:rFonts w:ascii="Arial" w:hAnsi="Arial" w:cs="Arial"/>
                <w:color w:val="000000"/>
                <w:sz w:val="20"/>
                <w:szCs w:val="20"/>
              </w:rPr>
              <w:t xml:space="preserve">Tax calculated at a tax rate of </w:t>
            </w:r>
            <w:r w:rsidR="00CD5714" w:rsidRPr="00CD5714">
              <w:rPr>
                <w:rFonts w:ascii="Arial" w:hAnsi="Arial" w:cs="Arial"/>
                <w:color w:val="000000"/>
                <w:sz w:val="20"/>
                <w:szCs w:val="20"/>
                <w:lang w:val="en-GB"/>
              </w:rPr>
              <w:t>20</w:t>
            </w:r>
            <w:r w:rsidRPr="002D2F67">
              <w:rPr>
                <w:rFonts w:ascii="Arial" w:hAnsi="Arial" w:cs="Arial"/>
                <w:color w:val="000000"/>
                <w:sz w:val="20"/>
                <w:szCs w:val="20"/>
              </w:rPr>
              <w:t>%</w:t>
            </w:r>
          </w:p>
          <w:p w14:paraId="410BD666" w14:textId="36100C5F" w:rsidR="00DF15D0" w:rsidRPr="002D2F67" w:rsidRDefault="00DF15D0" w:rsidP="005611FE">
            <w:pPr>
              <w:rPr>
                <w:rFonts w:ascii="Arial" w:hAnsi="Arial" w:cs="Arial"/>
                <w:color w:val="000000"/>
                <w:sz w:val="20"/>
                <w:szCs w:val="20"/>
                <w:cs/>
              </w:rPr>
            </w:pPr>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2023</w:t>
            </w:r>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20</w:t>
            </w:r>
            <w:r w:rsidRPr="002D2F67">
              <w:rPr>
                <w:rFonts w:ascii="Arial" w:hAnsi="Arial" w:cs="Arial"/>
                <w:color w:val="000000"/>
                <w:sz w:val="20"/>
                <w:szCs w:val="20"/>
              </w:rPr>
              <w:t>%)</w:t>
            </w:r>
          </w:p>
        </w:tc>
        <w:tc>
          <w:tcPr>
            <w:tcW w:w="766" w:type="pct"/>
            <w:shd w:val="clear" w:color="auto" w:fill="auto"/>
          </w:tcPr>
          <w:p w14:paraId="7E2CEE87" w14:textId="77777777" w:rsidR="00DF15D0" w:rsidRPr="002D2F67" w:rsidRDefault="00DF15D0" w:rsidP="005611FE">
            <w:pPr>
              <w:tabs>
                <w:tab w:val="left" w:pos="1134"/>
                <w:tab w:val="left" w:pos="1276"/>
                <w:tab w:val="center" w:pos="3402"/>
                <w:tab w:val="center" w:pos="4536"/>
                <w:tab w:val="center" w:pos="5670"/>
                <w:tab w:val="center" w:pos="6804"/>
                <w:tab w:val="right" w:pos="7655"/>
              </w:tabs>
              <w:ind w:right="-81"/>
              <w:jc w:val="right"/>
              <w:rPr>
                <w:rFonts w:ascii="Arial" w:hAnsi="Arial" w:cs="Arial"/>
                <w:color w:val="000000"/>
                <w:sz w:val="20"/>
                <w:szCs w:val="20"/>
              </w:rPr>
            </w:pPr>
          </w:p>
        </w:tc>
        <w:tc>
          <w:tcPr>
            <w:tcW w:w="767" w:type="pct"/>
            <w:shd w:val="clear" w:color="auto" w:fill="auto"/>
          </w:tcPr>
          <w:p w14:paraId="1CC7AB54" w14:textId="77777777" w:rsidR="00DF15D0" w:rsidRPr="002D2F67" w:rsidRDefault="00DF15D0" w:rsidP="005611FE">
            <w:pPr>
              <w:tabs>
                <w:tab w:val="left" w:pos="1134"/>
                <w:tab w:val="left" w:pos="1276"/>
                <w:tab w:val="center" w:pos="3402"/>
                <w:tab w:val="center" w:pos="4536"/>
                <w:tab w:val="center" w:pos="5670"/>
                <w:tab w:val="center" w:pos="6804"/>
                <w:tab w:val="right" w:pos="7655"/>
              </w:tabs>
              <w:ind w:right="-81"/>
              <w:jc w:val="right"/>
              <w:rPr>
                <w:rFonts w:ascii="Arial" w:hAnsi="Arial" w:cs="Arial"/>
                <w:color w:val="000000"/>
                <w:sz w:val="20"/>
                <w:szCs w:val="20"/>
              </w:rPr>
            </w:pPr>
          </w:p>
        </w:tc>
        <w:tc>
          <w:tcPr>
            <w:tcW w:w="766" w:type="pct"/>
            <w:shd w:val="clear" w:color="auto" w:fill="auto"/>
          </w:tcPr>
          <w:p w14:paraId="330479C7" w14:textId="77777777" w:rsidR="00DF15D0" w:rsidRPr="002D2F67" w:rsidRDefault="00DF15D0" w:rsidP="005611FE">
            <w:pPr>
              <w:tabs>
                <w:tab w:val="left" w:pos="1134"/>
                <w:tab w:val="left" w:pos="1276"/>
                <w:tab w:val="center" w:pos="3402"/>
                <w:tab w:val="center" w:pos="4536"/>
                <w:tab w:val="center" w:pos="5670"/>
                <w:tab w:val="center" w:pos="6804"/>
                <w:tab w:val="right" w:pos="7655"/>
              </w:tabs>
              <w:ind w:right="-81"/>
              <w:jc w:val="right"/>
              <w:rPr>
                <w:rFonts w:ascii="Arial" w:hAnsi="Arial" w:cs="Arial"/>
                <w:color w:val="000000"/>
                <w:sz w:val="20"/>
                <w:szCs w:val="20"/>
              </w:rPr>
            </w:pPr>
          </w:p>
        </w:tc>
        <w:tc>
          <w:tcPr>
            <w:tcW w:w="767" w:type="pct"/>
            <w:shd w:val="clear" w:color="auto" w:fill="auto"/>
          </w:tcPr>
          <w:p w14:paraId="4DC08CFA" w14:textId="77777777" w:rsidR="00DF15D0" w:rsidRPr="002D2F67" w:rsidRDefault="00DF15D0" w:rsidP="005611FE">
            <w:pPr>
              <w:tabs>
                <w:tab w:val="left" w:pos="1134"/>
                <w:tab w:val="left" w:pos="1276"/>
                <w:tab w:val="center" w:pos="3402"/>
                <w:tab w:val="center" w:pos="4536"/>
                <w:tab w:val="center" w:pos="5670"/>
                <w:tab w:val="center" w:pos="6804"/>
                <w:tab w:val="right" w:pos="7655"/>
              </w:tabs>
              <w:ind w:right="-81"/>
              <w:jc w:val="right"/>
              <w:rPr>
                <w:rFonts w:ascii="Arial" w:hAnsi="Arial" w:cs="Arial"/>
                <w:color w:val="000000"/>
                <w:sz w:val="20"/>
                <w:szCs w:val="20"/>
              </w:rPr>
            </w:pPr>
          </w:p>
        </w:tc>
      </w:tr>
      <w:tr w:rsidR="00DF15D0" w:rsidRPr="002D2F67" w14:paraId="4FFE2EE1" w14:textId="77777777" w:rsidTr="005611FE">
        <w:tc>
          <w:tcPr>
            <w:tcW w:w="1934" w:type="pct"/>
            <w:shd w:val="clear" w:color="auto" w:fill="auto"/>
          </w:tcPr>
          <w:p w14:paraId="1B69E5FC" w14:textId="2CABB3E5" w:rsidR="00DF15D0" w:rsidRPr="002D2F67" w:rsidRDefault="00DF15D0" w:rsidP="005611FE">
            <w:pPr>
              <w:rPr>
                <w:rFonts w:ascii="Arial" w:hAnsi="Arial" w:cs="Arial"/>
                <w:color w:val="000000"/>
                <w:sz w:val="20"/>
                <w:szCs w:val="20"/>
              </w:rPr>
            </w:pPr>
            <w:r w:rsidRPr="002D2F67">
              <w:rPr>
                <w:rFonts w:ascii="Arial" w:hAnsi="Arial" w:cs="Arial"/>
                <w:color w:val="000000"/>
                <w:sz w:val="20"/>
                <w:szCs w:val="20"/>
              </w:rPr>
              <w:t>The result of the accounting profit</w:t>
            </w:r>
            <w:r w:rsidR="00F832D6" w:rsidRPr="002D2F67">
              <w:rPr>
                <w:rFonts w:ascii="Arial" w:hAnsi="Arial" w:cs="Arial"/>
                <w:color w:val="000000"/>
                <w:sz w:val="20"/>
                <w:szCs w:val="20"/>
              </w:rPr>
              <w:t xml:space="preserve"> </w:t>
            </w:r>
          </w:p>
        </w:tc>
        <w:tc>
          <w:tcPr>
            <w:tcW w:w="766" w:type="pct"/>
            <w:shd w:val="clear" w:color="auto" w:fill="auto"/>
          </w:tcPr>
          <w:p w14:paraId="48A8AAB8" w14:textId="77777777" w:rsidR="00DF15D0" w:rsidRPr="002D2F67" w:rsidRDefault="00DF15D0" w:rsidP="005611FE">
            <w:pPr>
              <w:tabs>
                <w:tab w:val="left" w:pos="1134"/>
                <w:tab w:val="left" w:pos="1276"/>
                <w:tab w:val="center" w:pos="3402"/>
                <w:tab w:val="center" w:pos="4536"/>
                <w:tab w:val="center" w:pos="5670"/>
                <w:tab w:val="center" w:pos="6804"/>
                <w:tab w:val="right" w:pos="7655"/>
              </w:tabs>
              <w:ind w:right="-81"/>
              <w:jc w:val="right"/>
              <w:rPr>
                <w:rFonts w:ascii="Arial" w:hAnsi="Arial" w:cs="Arial"/>
                <w:color w:val="000000"/>
                <w:sz w:val="20"/>
                <w:szCs w:val="20"/>
              </w:rPr>
            </w:pPr>
          </w:p>
        </w:tc>
        <w:tc>
          <w:tcPr>
            <w:tcW w:w="767" w:type="pct"/>
            <w:shd w:val="clear" w:color="auto" w:fill="auto"/>
          </w:tcPr>
          <w:p w14:paraId="09AA3B33" w14:textId="77777777" w:rsidR="00DF15D0" w:rsidRPr="002D2F67" w:rsidRDefault="00DF15D0" w:rsidP="005611FE">
            <w:pPr>
              <w:tabs>
                <w:tab w:val="left" w:pos="1134"/>
                <w:tab w:val="left" w:pos="1276"/>
                <w:tab w:val="center" w:pos="3402"/>
                <w:tab w:val="center" w:pos="4536"/>
                <w:tab w:val="center" w:pos="5670"/>
                <w:tab w:val="center" w:pos="6804"/>
                <w:tab w:val="right" w:pos="7655"/>
              </w:tabs>
              <w:ind w:right="-81"/>
              <w:jc w:val="right"/>
              <w:rPr>
                <w:rFonts w:ascii="Arial" w:hAnsi="Arial" w:cs="Arial"/>
                <w:color w:val="000000"/>
                <w:sz w:val="20"/>
                <w:szCs w:val="20"/>
              </w:rPr>
            </w:pPr>
          </w:p>
        </w:tc>
        <w:tc>
          <w:tcPr>
            <w:tcW w:w="766" w:type="pct"/>
            <w:shd w:val="clear" w:color="auto" w:fill="auto"/>
          </w:tcPr>
          <w:p w14:paraId="62ADCBA6" w14:textId="77777777" w:rsidR="00DF15D0" w:rsidRPr="002D2F67" w:rsidRDefault="00DF15D0" w:rsidP="005611FE">
            <w:pPr>
              <w:tabs>
                <w:tab w:val="left" w:pos="1134"/>
                <w:tab w:val="left" w:pos="1276"/>
                <w:tab w:val="center" w:pos="3402"/>
                <w:tab w:val="center" w:pos="4536"/>
                <w:tab w:val="center" w:pos="5670"/>
                <w:tab w:val="center" w:pos="6804"/>
                <w:tab w:val="right" w:pos="7655"/>
              </w:tabs>
              <w:ind w:right="-81"/>
              <w:jc w:val="right"/>
              <w:rPr>
                <w:rFonts w:ascii="Arial" w:hAnsi="Arial" w:cs="Arial"/>
                <w:color w:val="000000"/>
                <w:sz w:val="20"/>
                <w:szCs w:val="20"/>
              </w:rPr>
            </w:pPr>
          </w:p>
        </w:tc>
        <w:tc>
          <w:tcPr>
            <w:tcW w:w="767" w:type="pct"/>
            <w:shd w:val="clear" w:color="auto" w:fill="auto"/>
          </w:tcPr>
          <w:p w14:paraId="406A7B04" w14:textId="77777777" w:rsidR="00DF15D0" w:rsidRPr="002D2F67" w:rsidRDefault="00DF15D0" w:rsidP="005611FE">
            <w:pPr>
              <w:tabs>
                <w:tab w:val="left" w:pos="1134"/>
                <w:tab w:val="left" w:pos="1276"/>
                <w:tab w:val="center" w:pos="3402"/>
                <w:tab w:val="center" w:pos="4536"/>
                <w:tab w:val="center" w:pos="5670"/>
                <w:tab w:val="center" w:pos="6804"/>
                <w:tab w:val="right" w:pos="7655"/>
              </w:tabs>
              <w:ind w:right="-81"/>
              <w:jc w:val="right"/>
              <w:rPr>
                <w:rFonts w:ascii="Arial" w:hAnsi="Arial" w:cs="Arial"/>
                <w:color w:val="000000"/>
                <w:sz w:val="20"/>
                <w:szCs w:val="20"/>
              </w:rPr>
            </w:pPr>
          </w:p>
        </w:tc>
      </w:tr>
      <w:tr w:rsidR="00DF15D0" w:rsidRPr="002D2F67" w14:paraId="52166BAB" w14:textId="77777777" w:rsidTr="00F832D6">
        <w:tc>
          <w:tcPr>
            <w:tcW w:w="1934" w:type="pct"/>
            <w:shd w:val="clear" w:color="auto" w:fill="auto"/>
          </w:tcPr>
          <w:p w14:paraId="1075B145" w14:textId="77777777" w:rsidR="00F832D6" w:rsidRPr="002D2F67" w:rsidRDefault="00DF15D0" w:rsidP="005611FE">
            <w:pPr>
              <w:rPr>
                <w:rFonts w:ascii="Arial" w:hAnsi="Arial" w:cs="Arial"/>
                <w:color w:val="000000"/>
                <w:sz w:val="20"/>
                <w:szCs w:val="20"/>
              </w:rPr>
            </w:pPr>
            <w:r w:rsidRPr="002D2F67">
              <w:rPr>
                <w:rFonts w:ascii="Arial" w:hAnsi="Arial" w:cs="Arial"/>
                <w:color w:val="000000"/>
                <w:sz w:val="20"/>
                <w:szCs w:val="20"/>
              </w:rPr>
              <w:t xml:space="preserve">   </w:t>
            </w:r>
            <w:r w:rsidR="00F832D6" w:rsidRPr="002D2F67">
              <w:rPr>
                <w:rFonts w:ascii="Arial" w:hAnsi="Arial" w:cs="Arial"/>
                <w:color w:val="000000"/>
                <w:sz w:val="20"/>
                <w:szCs w:val="20"/>
              </w:rPr>
              <w:t xml:space="preserve">(loss) </w:t>
            </w:r>
            <w:r w:rsidRPr="002D2F67">
              <w:rPr>
                <w:rFonts w:ascii="Arial" w:hAnsi="Arial" w:cs="Arial"/>
                <w:color w:val="000000"/>
                <w:sz w:val="20"/>
                <w:szCs w:val="20"/>
              </w:rPr>
              <w:t>multiplied by the income</w:t>
            </w:r>
          </w:p>
          <w:p w14:paraId="65595330" w14:textId="53B15BC4" w:rsidR="00DF15D0" w:rsidRPr="002D2F67" w:rsidRDefault="00DF15D0" w:rsidP="005611FE">
            <w:pPr>
              <w:rPr>
                <w:rFonts w:ascii="Arial" w:hAnsi="Arial" w:cs="Arial"/>
                <w:color w:val="000000"/>
                <w:sz w:val="20"/>
                <w:szCs w:val="20"/>
              </w:rPr>
            </w:pPr>
            <w:r w:rsidRPr="002D2F67">
              <w:rPr>
                <w:rFonts w:ascii="Arial" w:hAnsi="Arial" w:cs="Arial"/>
                <w:color w:val="000000"/>
                <w:sz w:val="20"/>
                <w:szCs w:val="20"/>
              </w:rPr>
              <w:t xml:space="preserve"> </w:t>
            </w:r>
            <w:r w:rsidR="00F832D6" w:rsidRPr="002D2F67">
              <w:rPr>
                <w:rFonts w:ascii="Arial" w:hAnsi="Arial" w:cs="Arial"/>
                <w:color w:val="000000"/>
                <w:sz w:val="20"/>
                <w:szCs w:val="20"/>
              </w:rPr>
              <w:t xml:space="preserve"> </w:t>
            </w:r>
            <w:r w:rsidRPr="002D2F67">
              <w:rPr>
                <w:rFonts w:ascii="Arial" w:hAnsi="Arial" w:cs="Arial"/>
                <w:color w:val="000000"/>
                <w:sz w:val="20"/>
                <w:szCs w:val="20"/>
              </w:rPr>
              <w:t xml:space="preserve"> tax rate</w:t>
            </w:r>
          </w:p>
        </w:tc>
        <w:tc>
          <w:tcPr>
            <w:tcW w:w="766" w:type="pct"/>
            <w:shd w:val="clear" w:color="auto" w:fill="auto"/>
            <w:vAlign w:val="bottom"/>
          </w:tcPr>
          <w:p w14:paraId="2ED95665" w14:textId="2C2BBA9C" w:rsidR="00DF15D0" w:rsidRPr="002D2F67" w:rsidRDefault="001F3547" w:rsidP="005611FE">
            <w:pPr>
              <w:ind w:right="-81"/>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w:t>
            </w:r>
            <w:r w:rsidRPr="002D2F67">
              <w:rPr>
                <w:rFonts w:ascii="Arial" w:hAnsi="Arial" w:cs="Arial"/>
                <w:color w:val="000000"/>
                <w:sz w:val="20"/>
                <w:szCs w:val="20"/>
              </w:rPr>
              <w:t>,</w:t>
            </w:r>
            <w:r w:rsidR="00CD5714" w:rsidRPr="00CD5714">
              <w:rPr>
                <w:rFonts w:ascii="Arial" w:hAnsi="Arial" w:cs="Arial"/>
                <w:color w:val="000000"/>
                <w:sz w:val="20"/>
                <w:szCs w:val="20"/>
                <w:lang w:val="en-GB"/>
              </w:rPr>
              <w:t>599</w:t>
            </w:r>
            <w:r w:rsidRPr="002D2F67">
              <w:rPr>
                <w:rFonts w:ascii="Arial" w:hAnsi="Arial" w:cs="Arial"/>
                <w:color w:val="000000"/>
                <w:sz w:val="20"/>
                <w:szCs w:val="20"/>
              </w:rPr>
              <w:t>,</w:t>
            </w:r>
            <w:r w:rsidR="00CD5714" w:rsidRPr="00CD5714">
              <w:rPr>
                <w:rFonts w:ascii="Arial" w:hAnsi="Arial" w:cs="Arial"/>
                <w:color w:val="000000"/>
                <w:sz w:val="20"/>
                <w:szCs w:val="20"/>
                <w:lang w:val="en-GB"/>
              </w:rPr>
              <w:t>513</w:t>
            </w:r>
            <w:r w:rsidRPr="002D2F67">
              <w:rPr>
                <w:rFonts w:ascii="Arial" w:hAnsi="Arial" w:cs="Arial"/>
                <w:color w:val="000000"/>
                <w:sz w:val="20"/>
                <w:szCs w:val="20"/>
              </w:rPr>
              <w:t>)</w:t>
            </w:r>
          </w:p>
        </w:tc>
        <w:tc>
          <w:tcPr>
            <w:tcW w:w="767" w:type="pct"/>
            <w:shd w:val="clear" w:color="auto" w:fill="auto"/>
            <w:vAlign w:val="bottom"/>
          </w:tcPr>
          <w:p w14:paraId="62D42121" w14:textId="25D9654F" w:rsidR="00DF15D0" w:rsidRPr="002D2F67" w:rsidRDefault="00CD5714" w:rsidP="005611FE">
            <w:pPr>
              <w:ind w:right="-81"/>
              <w:jc w:val="right"/>
              <w:rPr>
                <w:rFonts w:ascii="Arial" w:hAnsi="Arial" w:cs="Arial"/>
                <w:color w:val="000000"/>
                <w:sz w:val="20"/>
                <w:szCs w:val="20"/>
              </w:rPr>
            </w:pPr>
            <w:r w:rsidRPr="00CD5714">
              <w:rPr>
                <w:rFonts w:ascii="Arial" w:hAnsi="Arial" w:cs="Arial"/>
                <w:color w:val="000000"/>
                <w:sz w:val="20"/>
                <w:szCs w:val="20"/>
                <w:lang w:val="en-GB"/>
              </w:rPr>
              <w:t>1</w:t>
            </w:r>
            <w:r w:rsidR="00DF15D0" w:rsidRPr="002D2F67">
              <w:rPr>
                <w:rFonts w:ascii="Arial" w:hAnsi="Arial" w:cs="Arial"/>
                <w:color w:val="000000"/>
                <w:sz w:val="20"/>
                <w:szCs w:val="20"/>
              </w:rPr>
              <w:t>,</w:t>
            </w:r>
            <w:r w:rsidRPr="00CD5714">
              <w:rPr>
                <w:rFonts w:ascii="Arial" w:hAnsi="Arial" w:cs="Arial"/>
                <w:color w:val="000000"/>
                <w:sz w:val="20"/>
                <w:szCs w:val="20"/>
                <w:lang w:val="en-GB"/>
              </w:rPr>
              <w:t>547</w:t>
            </w:r>
            <w:r w:rsidR="00DF15D0" w:rsidRPr="002D2F67">
              <w:rPr>
                <w:rFonts w:ascii="Arial" w:hAnsi="Arial" w:cs="Arial"/>
                <w:color w:val="000000"/>
                <w:sz w:val="20"/>
                <w:szCs w:val="20"/>
              </w:rPr>
              <w:t>,</w:t>
            </w:r>
            <w:r w:rsidRPr="00CD5714">
              <w:rPr>
                <w:rFonts w:ascii="Arial" w:hAnsi="Arial" w:cs="Arial"/>
                <w:color w:val="000000"/>
                <w:sz w:val="20"/>
                <w:szCs w:val="20"/>
                <w:lang w:val="en-GB"/>
              </w:rPr>
              <w:t>132</w:t>
            </w:r>
          </w:p>
        </w:tc>
        <w:tc>
          <w:tcPr>
            <w:tcW w:w="766" w:type="pct"/>
            <w:shd w:val="clear" w:color="auto" w:fill="auto"/>
            <w:vAlign w:val="bottom"/>
          </w:tcPr>
          <w:p w14:paraId="7F07D0EB" w14:textId="2C364271" w:rsidR="00DF15D0" w:rsidRPr="002D2F67" w:rsidRDefault="008B68F1" w:rsidP="005611FE">
            <w:pPr>
              <w:ind w:right="-81"/>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2</w:t>
            </w:r>
            <w:r w:rsidRPr="002D2F67">
              <w:rPr>
                <w:rFonts w:ascii="Arial" w:hAnsi="Arial" w:cs="Arial"/>
                <w:color w:val="000000"/>
                <w:sz w:val="20"/>
                <w:szCs w:val="20"/>
              </w:rPr>
              <w:t>,</w:t>
            </w:r>
            <w:r w:rsidR="00CD5714" w:rsidRPr="00CD5714">
              <w:rPr>
                <w:rFonts w:ascii="Arial" w:hAnsi="Arial" w:cs="Arial"/>
                <w:color w:val="000000"/>
                <w:sz w:val="20"/>
                <w:szCs w:val="20"/>
                <w:lang w:val="en-GB"/>
              </w:rPr>
              <w:t>364</w:t>
            </w:r>
            <w:r w:rsidRPr="002D2F67">
              <w:rPr>
                <w:rFonts w:ascii="Arial" w:hAnsi="Arial" w:cs="Arial"/>
                <w:color w:val="000000"/>
                <w:sz w:val="20"/>
                <w:szCs w:val="20"/>
              </w:rPr>
              <w:t>,</w:t>
            </w:r>
            <w:r w:rsidR="00CD5714" w:rsidRPr="00CD5714">
              <w:rPr>
                <w:rFonts w:ascii="Arial" w:hAnsi="Arial" w:cs="Arial"/>
                <w:color w:val="000000"/>
                <w:sz w:val="20"/>
                <w:szCs w:val="20"/>
                <w:lang w:val="en-GB"/>
              </w:rPr>
              <w:t>744</w:t>
            </w:r>
            <w:r w:rsidRPr="002D2F67">
              <w:rPr>
                <w:rFonts w:ascii="Arial" w:hAnsi="Arial" w:cs="Arial"/>
                <w:color w:val="000000"/>
                <w:sz w:val="20"/>
                <w:szCs w:val="20"/>
              </w:rPr>
              <w:t>)</w:t>
            </w:r>
          </w:p>
        </w:tc>
        <w:tc>
          <w:tcPr>
            <w:tcW w:w="767" w:type="pct"/>
            <w:shd w:val="clear" w:color="auto" w:fill="auto"/>
            <w:vAlign w:val="bottom"/>
          </w:tcPr>
          <w:p w14:paraId="69E6B0B8" w14:textId="1134014E" w:rsidR="00DF15D0" w:rsidRPr="002D2F67" w:rsidRDefault="00CD5714" w:rsidP="005611FE">
            <w:pPr>
              <w:tabs>
                <w:tab w:val="left" w:pos="1215"/>
              </w:tabs>
              <w:ind w:right="-81"/>
              <w:jc w:val="right"/>
              <w:rPr>
                <w:rFonts w:ascii="Arial" w:hAnsi="Arial" w:cs="Arial"/>
                <w:color w:val="000000"/>
                <w:sz w:val="20"/>
                <w:szCs w:val="20"/>
              </w:rPr>
            </w:pPr>
            <w:r w:rsidRPr="00CD5714">
              <w:rPr>
                <w:rFonts w:ascii="Arial" w:hAnsi="Arial" w:cs="Arial"/>
                <w:color w:val="000000"/>
                <w:sz w:val="20"/>
                <w:szCs w:val="20"/>
                <w:lang w:val="en-GB"/>
              </w:rPr>
              <w:t>2</w:t>
            </w:r>
            <w:r w:rsidR="00DF15D0" w:rsidRPr="002D2F67">
              <w:rPr>
                <w:rFonts w:ascii="Arial" w:hAnsi="Arial" w:cs="Arial"/>
                <w:color w:val="000000"/>
                <w:sz w:val="20"/>
                <w:szCs w:val="20"/>
              </w:rPr>
              <w:t>,</w:t>
            </w:r>
            <w:r w:rsidRPr="00CD5714">
              <w:rPr>
                <w:rFonts w:ascii="Arial" w:hAnsi="Arial" w:cs="Arial"/>
                <w:color w:val="000000"/>
                <w:sz w:val="20"/>
                <w:szCs w:val="20"/>
                <w:lang w:val="en-GB"/>
              </w:rPr>
              <w:t>926</w:t>
            </w:r>
            <w:r w:rsidR="00DF15D0" w:rsidRPr="002D2F67">
              <w:rPr>
                <w:rFonts w:ascii="Arial" w:hAnsi="Arial" w:cs="Arial"/>
                <w:color w:val="000000"/>
                <w:sz w:val="20"/>
                <w:szCs w:val="20"/>
              </w:rPr>
              <w:t>,</w:t>
            </w:r>
            <w:r w:rsidRPr="00CD5714">
              <w:rPr>
                <w:rFonts w:ascii="Arial" w:hAnsi="Arial" w:cs="Arial"/>
                <w:color w:val="000000"/>
                <w:sz w:val="20"/>
                <w:szCs w:val="20"/>
                <w:lang w:val="en-GB"/>
              </w:rPr>
              <w:t>154</w:t>
            </w:r>
          </w:p>
        </w:tc>
      </w:tr>
      <w:tr w:rsidR="00DF15D0" w:rsidRPr="002D2F67" w14:paraId="1E71643B" w14:textId="77777777" w:rsidTr="005611FE">
        <w:tc>
          <w:tcPr>
            <w:tcW w:w="1934" w:type="pct"/>
            <w:shd w:val="clear" w:color="auto" w:fill="auto"/>
          </w:tcPr>
          <w:p w14:paraId="412D5D62" w14:textId="75576F44" w:rsidR="00DF15D0" w:rsidRPr="002D2F67" w:rsidRDefault="00DF15D0" w:rsidP="005611FE">
            <w:pPr>
              <w:tabs>
                <w:tab w:val="left" w:pos="1134"/>
                <w:tab w:val="left" w:pos="1276"/>
                <w:tab w:val="center" w:pos="3402"/>
                <w:tab w:val="center" w:pos="4536"/>
                <w:tab w:val="center" w:pos="5670"/>
                <w:tab w:val="center" w:pos="6804"/>
                <w:tab w:val="right" w:pos="7655"/>
              </w:tabs>
              <w:rPr>
                <w:rFonts w:ascii="Arial" w:hAnsi="Arial" w:cs="Arial"/>
                <w:color w:val="000000"/>
                <w:sz w:val="20"/>
                <w:szCs w:val="20"/>
              </w:rPr>
            </w:pPr>
            <w:r w:rsidRPr="002D2F67">
              <w:rPr>
                <w:rFonts w:ascii="Arial" w:hAnsi="Arial" w:cs="Arial"/>
                <w:color w:val="000000"/>
                <w:sz w:val="20"/>
                <w:szCs w:val="20"/>
              </w:rPr>
              <w:t>Tax effect of:</w:t>
            </w:r>
          </w:p>
        </w:tc>
        <w:tc>
          <w:tcPr>
            <w:tcW w:w="766" w:type="pct"/>
            <w:shd w:val="clear" w:color="auto" w:fill="auto"/>
          </w:tcPr>
          <w:p w14:paraId="04643F6A" w14:textId="77777777" w:rsidR="00DF15D0" w:rsidRPr="002D2F67" w:rsidRDefault="00DF15D0" w:rsidP="005611FE">
            <w:pPr>
              <w:ind w:right="-81"/>
              <w:jc w:val="right"/>
              <w:rPr>
                <w:rFonts w:ascii="Arial" w:hAnsi="Arial" w:cs="Arial"/>
                <w:color w:val="000000"/>
                <w:sz w:val="20"/>
                <w:szCs w:val="20"/>
              </w:rPr>
            </w:pPr>
          </w:p>
        </w:tc>
        <w:tc>
          <w:tcPr>
            <w:tcW w:w="767" w:type="pct"/>
            <w:shd w:val="clear" w:color="auto" w:fill="auto"/>
          </w:tcPr>
          <w:p w14:paraId="14E16B93" w14:textId="77777777" w:rsidR="00DF15D0" w:rsidRPr="002D2F67" w:rsidRDefault="00DF15D0" w:rsidP="005611FE">
            <w:pPr>
              <w:ind w:right="-81"/>
              <w:jc w:val="right"/>
              <w:rPr>
                <w:rFonts w:ascii="Arial" w:hAnsi="Arial" w:cs="Arial"/>
                <w:color w:val="000000"/>
                <w:sz w:val="20"/>
                <w:szCs w:val="20"/>
              </w:rPr>
            </w:pPr>
          </w:p>
        </w:tc>
        <w:tc>
          <w:tcPr>
            <w:tcW w:w="766" w:type="pct"/>
            <w:shd w:val="clear" w:color="auto" w:fill="auto"/>
          </w:tcPr>
          <w:p w14:paraId="26E8A45F" w14:textId="77777777" w:rsidR="00DF15D0" w:rsidRPr="002D2F67" w:rsidRDefault="00DF15D0" w:rsidP="005611FE">
            <w:pPr>
              <w:ind w:right="-81"/>
              <w:jc w:val="right"/>
              <w:rPr>
                <w:rFonts w:ascii="Arial" w:hAnsi="Arial" w:cs="Arial"/>
                <w:color w:val="000000"/>
                <w:sz w:val="20"/>
                <w:szCs w:val="20"/>
              </w:rPr>
            </w:pPr>
          </w:p>
        </w:tc>
        <w:tc>
          <w:tcPr>
            <w:tcW w:w="767" w:type="pct"/>
            <w:shd w:val="clear" w:color="auto" w:fill="auto"/>
          </w:tcPr>
          <w:p w14:paraId="45F68C4E" w14:textId="77777777" w:rsidR="00DF15D0" w:rsidRPr="002D2F67" w:rsidRDefault="00DF15D0" w:rsidP="005611FE">
            <w:pPr>
              <w:ind w:right="-81"/>
              <w:jc w:val="right"/>
              <w:rPr>
                <w:rFonts w:ascii="Arial" w:hAnsi="Arial" w:cs="Arial"/>
                <w:color w:val="000000"/>
                <w:sz w:val="20"/>
                <w:szCs w:val="20"/>
              </w:rPr>
            </w:pPr>
          </w:p>
        </w:tc>
      </w:tr>
      <w:tr w:rsidR="00DF15D0" w:rsidRPr="002D2F67" w14:paraId="58434156" w14:textId="77777777" w:rsidTr="00ED534A">
        <w:tc>
          <w:tcPr>
            <w:tcW w:w="1934" w:type="pct"/>
            <w:shd w:val="clear" w:color="auto" w:fill="auto"/>
          </w:tcPr>
          <w:p w14:paraId="296A7078" w14:textId="77777777" w:rsidR="00F832D6" w:rsidRPr="002D2F67" w:rsidRDefault="00DF15D0" w:rsidP="005611FE">
            <w:pPr>
              <w:tabs>
                <w:tab w:val="left" w:pos="1134"/>
                <w:tab w:val="left" w:pos="1276"/>
                <w:tab w:val="center" w:pos="3402"/>
                <w:tab w:val="center" w:pos="4536"/>
                <w:tab w:val="center" w:pos="5670"/>
                <w:tab w:val="center" w:pos="6804"/>
                <w:tab w:val="right" w:pos="7655"/>
              </w:tabs>
              <w:rPr>
                <w:rFonts w:ascii="Arial" w:hAnsi="Arial" w:cs="Arial"/>
                <w:color w:val="000000"/>
                <w:sz w:val="20"/>
                <w:szCs w:val="20"/>
              </w:rPr>
            </w:pPr>
            <w:r w:rsidRPr="002D2F67">
              <w:rPr>
                <w:rFonts w:ascii="Arial" w:hAnsi="Arial" w:cs="Arial"/>
                <w:color w:val="000000"/>
                <w:sz w:val="20"/>
                <w:szCs w:val="20"/>
              </w:rPr>
              <w:t>Share of profit</w:t>
            </w:r>
            <w:r w:rsidR="00F832D6" w:rsidRPr="002D2F67">
              <w:rPr>
                <w:rFonts w:ascii="Arial" w:hAnsi="Arial" w:cs="Arial"/>
                <w:color w:val="000000"/>
                <w:sz w:val="20"/>
                <w:szCs w:val="20"/>
              </w:rPr>
              <w:t xml:space="preserve"> (loss)</w:t>
            </w:r>
            <w:r w:rsidRPr="002D2F67">
              <w:rPr>
                <w:rFonts w:ascii="Arial" w:hAnsi="Arial" w:cs="Arial"/>
                <w:color w:val="000000"/>
                <w:sz w:val="20"/>
                <w:szCs w:val="20"/>
              </w:rPr>
              <w:t xml:space="preserve"> from associates </w:t>
            </w:r>
          </w:p>
          <w:p w14:paraId="40255BC7" w14:textId="759F9050" w:rsidR="00DF15D0" w:rsidRPr="002D2F67" w:rsidRDefault="00F832D6" w:rsidP="005611FE">
            <w:pPr>
              <w:tabs>
                <w:tab w:val="left" w:pos="1134"/>
                <w:tab w:val="left" w:pos="1276"/>
                <w:tab w:val="center" w:pos="3402"/>
                <w:tab w:val="center" w:pos="4536"/>
                <w:tab w:val="center" w:pos="5670"/>
                <w:tab w:val="center" w:pos="6804"/>
                <w:tab w:val="right" w:pos="7655"/>
              </w:tabs>
              <w:rPr>
                <w:rFonts w:ascii="Arial" w:hAnsi="Arial" w:cs="Arial"/>
                <w:color w:val="000000"/>
                <w:sz w:val="20"/>
                <w:szCs w:val="20"/>
              </w:rPr>
            </w:pPr>
            <w:r w:rsidRPr="002D2F67">
              <w:rPr>
                <w:rFonts w:ascii="Arial" w:hAnsi="Arial" w:cs="Arial"/>
                <w:color w:val="000000"/>
                <w:sz w:val="20"/>
                <w:szCs w:val="20"/>
              </w:rPr>
              <w:t xml:space="preserve">   a</w:t>
            </w:r>
            <w:r w:rsidR="00DF15D0" w:rsidRPr="002D2F67">
              <w:rPr>
                <w:rFonts w:ascii="Arial" w:hAnsi="Arial" w:cs="Arial"/>
                <w:color w:val="000000"/>
                <w:sz w:val="20"/>
                <w:szCs w:val="20"/>
              </w:rPr>
              <w:t>nd joint ventures, net of tax</w:t>
            </w:r>
          </w:p>
        </w:tc>
        <w:tc>
          <w:tcPr>
            <w:tcW w:w="766" w:type="pct"/>
            <w:shd w:val="clear" w:color="auto" w:fill="auto"/>
            <w:vAlign w:val="center"/>
          </w:tcPr>
          <w:p w14:paraId="2CE1C502" w14:textId="77777777" w:rsidR="00C62063" w:rsidRPr="002D2F67" w:rsidRDefault="00C62063" w:rsidP="00C62063">
            <w:pPr>
              <w:ind w:right="-81"/>
              <w:jc w:val="right"/>
              <w:rPr>
                <w:rFonts w:ascii="Arial" w:hAnsi="Arial" w:cs="Arial"/>
                <w:color w:val="000000"/>
                <w:sz w:val="20"/>
                <w:szCs w:val="20"/>
              </w:rPr>
            </w:pPr>
          </w:p>
          <w:p w14:paraId="743EB97B" w14:textId="315C005C" w:rsidR="00DF15D0" w:rsidRPr="002D2F67" w:rsidRDefault="00CD5714" w:rsidP="005611FE">
            <w:pPr>
              <w:ind w:right="-81"/>
              <w:jc w:val="right"/>
              <w:rPr>
                <w:rFonts w:ascii="Arial" w:hAnsi="Arial" w:cs="Arial"/>
                <w:color w:val="000000"/>
                <w:sz w:val="20"/>
                <w:szCs w:val="20"/>
              </w:rPr>
            </w:pPr>
            <w:r w:rsidRPr="00CD5714">
              <w:rPr>
                <w:rFonts w:ascii="Arial" w:hAnsi="Arial" w:cs="Arial"/>
                <w:color w:val="000000"/>
                <w:sz w:val="20"/>
                <w:szCs w:val="20"/>
                <w:lang w:val="en-GB"/>
              </w:rPr>
              <w:t>181</w:t>
            </w:r>
            <w:r w:rsidR="00D64E23" w:rsidRPr="002D2F67">
              <w:rPr>
                <w:rFonts w:ascii="Arial" w:hAnsi="Arial" w:cs="Arial"/>
                <w:color w:val="000000"/>
                <w:sz w:val="20"/>
                <w:szCs w:val="20"/>
              </w:rPr>
              <w:t>,</w:t>
            </w:r>
            <w:r w:rsidRPr="00CD5714">
              <w:rPr>
                <w:rFonts w:ascii="Arial" w:hAnsi="Arial" w:cs="Arial"/>
                <w:color w:val="000000"/>
                <w:sz w:val="20"/>
                <w:szCs w:val="20"/>
                <w:lang w:val="en-GB"/>
              </w:rPr>
              <w:t>887</w:t>
            </w:r>
          </w:p>
        </w:tc>
        <w:tc>
          <w:tcPr>
            <w:tcW w:w="767" w:type="pct"/>
            <w:shd w:val="clear" w:color="auto" w:fill="auto"/>
            <w:vAlign w:val="bottom"/>
          </w:tcPr>
          <w:p w14:paraId="255E9BDF" w14:textId="707B3ADE" w:rsidR="00DF15D0" w:rsidRPr="002D2F67" w:rsidRDefault="00DF15D0" w:rsidP="005611FE">
            <w:pPr>
              <w:ind w:right="-81"/>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52</w:t>
            </w:r>
            <w:r w:rsidRPr="002D2F67">
              <w:rPr>
                <w:rFonts w:ascii="Arial" w:hAnsi="Arial" w:cs="Arial"/>
                <w:color w:val="000000"/>
                <w:sz w:val="20"/>
                <w:szCs w:val="20"/>
              </w:rPr>
              <w:t>,</w:t>
            </w:r>
            <w:r w:rsidR="00CD5714" w:rsidRPr="00CD5714">
              <w:rPr>
                <w:rFonts w:ascii="Arial" w:hAnsi="Arial" w:cs="Arial"/>
                <w:color w:val="000000"/>
                <w:sz w:val="20"/>
                <w:szCs w:val="20"/>
                <w:lang w:val="en-GB"/>
              </w:rPr>
              <w:t>060</w:t>
            </w:r>
            <w:r w:rsidRPr="002D2F67">
              <w:rPr>
                <w:rFonts w:ascii="Arial" w:hAnsi="Arial" w:cs="Arial"/>
                <w:color w:val="000000"/>
                <w:sz w:val="20"/>
                <w:szCs w:val="20"/>
              </w:rPr>
              <w:t>)</w:t>
            </w:r>
          </w:p>
        </w:tc>
        <w:tc>
          <w:tcPr>
            <w:tcW w:w="766" w:type="pct"/>
            <w:shd w:val="clear" w:color="auto" w:fill="auto"/>
            <w:vAlign w:val="bottom"/>
          </w:tcPr>
          <w:p w14:paraId="398E7AFA" w14:textId="708DC3BE" w:rsidR="00DF15D0" w:rsidRPr="002D2F67" w:rsidRDefault="00417EFF" w:rsidP="005611FE">
            <w:pPr>
              <w:ind w:right="-81"/>
              <w:jc w:val="right"/>
              <w:rPr>
                <w:rFonts w:ascii="Arial" w:hAnsi="Arial" w:cs="Arial"/>
                <w:color w:val="000000"/>
                <w:sz w:val="20"/>
                <w:szCs w:val="20"/>
              </w:rPr>
            </w:pPr>
            <w:r w:rsidRPr="002D2F67">
              <w:rPr>
                <w:rFonts w:ascii="Arial" w:hAnsi="Arial" w:cs="Arial"/>
                <w:color w:val="000000"/>
                <w:sz w:val="20"/>
                <w:szCs w:val="20"/>
              </w:rPr>
              <w:t>-</w:t>
            </w:r>
          </w:p>
        </w:tc>
        <w:tc>
          <w:tcPr>
            <w:tcW w:w="767" w:type="pct"/>
            <w:shd w:val="clear" w:color="auto" w:fill="auto"/>
            <w:vAlign w:val="bottom"/>
          </w:tcPr>
          <w:p w14:paraId="2A108ECE" w14:textId="66D5E662" w:rsidR="00DF15D0" w:rsidRPr="002D2F67" w:rsidRDefault="00DF15D0" w:rsidP="005611FE">
            <w:pPr>
              <w:ind w:right="-81"/>
              <w:jc w:val="right"/>
              <w:rPr>
                <w:rFonts w:ascii="Arial" w:hAnsi="Arial" w:cs="Arial"/>
                <w:color w:val="000000"/>
                <w:sz w:val="20"/>
                <w:szCs w:val="20"/>
              </w:rPr>
            </w:pPr>
            <w:r w:rsidRPr="002D2F67">
              <w:rPr>
                <w:rFonts w:ascii="Arial" w:hAnsi="Arial" w:cs="Arial"/>
                <w:color w:val="000000"/>
                <w:sz w:val="20"/>
                <w:szCs w:val="20"/>
              </w:rPr>
              <w:t>-</w:t>
            </w:r>
          </w:p>
        </w:tc>
      </w:tr>
      <w:tr w:rsidR="00DF15D0" w:rsidRPr="002D2F67" w14:paraId="3C7C5ED4" w14:textId="77777777" w:rsidTr="005611FE">
        <w:tc>
          <w:tcPr>
            <w:tcW w:w="1934" w:type="pct"/>
            <w:shd w:val="clear" w:color="auto" w:fill="auto"/>
          </w:tcPr>
          <w:p w14:paraId="7F1EE161" w14:textId="77777777" w:rsidR="00DF15D0" w:rsidRPr="002D2F67" w:rsidRDefault="00DF15D0" w:rsidP="005611FE">
            <w:pPr>
              <w:tabs>
                <w:tab w:val="left" w:pos="1134"/>
                <w:tab w:val="left" w:pos="1276"/>
                <w:tab w:val="center" w:pos="3402"/>
                <w:tab w:val="center" w:pos="4536"/>
                <w:tab w:val="center" w:pos="5670"/>
                <w:tab w:val="center" w:pos="6804"/>
                <w:tab w:val="right" w:pos="7655"/>
              </w:tabs>
              <w:rPr>
                <w:rFonts w:ascii="Arial" w:hAnsi="Arial" w:cs="Arial"/>
                <w:color w:val="000000"/>
                <w:sz w:val="20"/>
                <w:szCs w:val="20"/>
              </w:rPr>
            </w:pPr>
            <w:r w:rsidRPr="002D2F67">
              <w:rPr>
                <w:rFonts w:ascii="Arial" w:hAnsi="Arial" w:cs="Arial"/>
                <w:color w:val="000000"/>
                <w:sz w:val="20"/>
                <w:szCs w:val="20"/>
              </w:rPr>
              <w:t>Income not subject to tax</w:t>
            </w:r>
          </w:p>
        </w:tc>
        <w:tc>
          <w:tcPr>
            <w:tcW w:w="766" w:type="pct"/>
            <w:shd w:val="clear" w:color="auto" w:fill="auto"/>
            <w:vAlign w:val="center"/>
          </w:tcPr>
          <w:p w14:paraId="5EB93E0C" w14:textId="2F12E447" w:rsidR="00DF15D0" w:rsidRPr="002D2F67" w:rsidRDefault="000B39B9" w:rsidP="005611FE">
            <w:pPr>
              <w:ind w:right="-81"/>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w:t>
            </w:r>
            <w:r w:rsidRPr="002D2F67">
              <w:rPr>
                <w:rFonts w:ascii="Arial" w:hAnsi="Arial" w:cs="Arial"/>
                <w:color w:val="000000"/>
                <w:sz w:val="20"/>
                <w:szCs w:val="20"/>
              </w:rPr>
              <w:t>,</w:t>
            </w:r>
            <w:r w:rsidR="00CD5714" w:rsidRPr="00CD5714">
              <w:rPr>
                <w:rFonts w:ascii="Arial" w:hAnsi="Arial" w:cs="Arial"/>
                <w:color w:val="000000"/>
                <w:sz w:val="20"/>
                <w:szCs w:val="20"/>
                <w:lang w:val="en-GB"/>
              </w:rPr>
              <w:t>081</w:t>
            </w:r>
            <w:r w:rsidRPr="002D2F67">
              <w:rPr>
                <w:rFonts w:ascii="Arial" w:hAnsi="Arial" w:cs="Arial"/>
                <w:color w:val="000000"/>
                <w:sz w:val="20"/>
                <w:szCs w:val="20"/>
              </w:rPr>
              <w:t>,</w:t>
            </w:r>
            <w:r w:rsidR="00CD5714" w:rsidRPr="00CD5714">
              <w:rPr>
                <w:rFonts w:ascii="Arial" w:hAnsi="Arial" w:cs="Arial"/>
                <w:color w:val="000000"/>
                <w:sz w:val="20"/>
                <w:szCs w:val="20"/>
                <w:lang w:val="en-GB"/>
              </w:rPr>
              <w:t>847</w:t>
            </w:r>
            <w:r w:rsidRPr="002D2F67">
              <w:rPr>
                <w:rFonts w:ascii="Arial" w:hAnsi="Arial" w:cs="Arial"/>
                <w:color w:val="000000"/>
                <w:sz w:val="20"/>
                <w:szCs w:val="20"/>
              </w:rPr>
              <w:t>)</w:t>
            </w:r>
          </w:p>
        </w:tc>
        <w:tc>
          <w:tcPr>
            <w:tcW w:w="767" w:type="pct"/>
            <w:shd w:val="clear" w:color="auto" w:fill="auto"/>
            <w:vAlign w:val="center"/>
          </w:tcPr>
          <w:p w14:paraId="038E3D49" w14:textId="2E24DC75" w:rsidR="00DF15D0" w:rsidRPr="002D2F67" w:rsidRDefault="00DF15D0" w:rsidP="005611FE">
            <w:pPr>
              <w:ind w:right="-81"/>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w:t>
            </w:r>
            <w:r w:rsidRPr="002D2F67">
              <w:rPr>
                <w:rFonts w:ascii="Arial" w:hAnsi="Arial" w:cs="Arial"/>
                <w:color w:val="000000"/>
                <w:sz w:val="20"/>
                <w:szCs w:val="20"/>
              </w:rPr>
              <w:t>,</w:t>
            </w:r>
            <w:r w:rsidR="00CD5714" w:rsidRPr="00CD5714">
              <w:rPr>
                <w:rFonts w:ascii="Arial" w:hAnsi="Arial" w:cs="Arial"/>
                <w:color w:val="000000"/>
                <w:sz w:val="20"/>
                <w:szCs w:val="20"/>
                <w:lang w:val="en-GB"/>
              </w:rPr>
              <w:t>512</w:t>
            </w:r>
            <w:r w:rsidRPr="002D2F67">
              <w:rPr>
                <w:rFonts w:ascii="Arial" w:hAnsi="Arial" w:cs="Arial"/>
                <w:color w:val="000000"/>
                <w:sz w:val="20"/>
                <w:szCs w:val="20"/>
              </w:rPr>
              <w:t>,</w:t>
            </w:r>
            <w:r w:rsidR="00CD5714" w:rsidRPr="00CD5714">
              <w:rPr>
                <w:rFonts w:ascii="Arial" w:hAnsi="Arial" w:cs="Arial"/>
                <w:color w:val="000000"/>
                <w:sz w:val="20"/>
                <w:szCs w:val="20"/>
                <w:lang w:val="en-GB"/>
              </w:rPr>
              <w:t>401</w:t>
            </w:r>
            <w:r w:rsidRPr="002D2F67">
              <w:rPr>
                <w:rFonts w:ascii="Arial" w:hAnsi="Arial" w:cs="Arial"/>
                <w:color w:val="000000"/>
                <w:sz w:val="20"/>
                <w:szCs w:val="20"/>
              </w:rPr>
              <w:t>)</w:t>
            </w:r>
          </w:p>
        </w:tc>
        <w:tc>
          <w:tcPr>
            <w:tcW w:w="766" w:type="pct"/>
            <w:shd w:val="clear" w:color="auto" w:fill="auto"/>
            <w:vAlign w:val="bottom"/>
          </w:tcPr>
          <w:p w14:paraId="02D1D4B8" w14:textId="154FF5E7" w:rsidR="00DF15D0" w:rsidRPr="002D2F67" w:rsidRDefault="00C62063" w:rsidP="005611FE">
            <w:pPr>
              <w:ind w:right="-81"/>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588</w:t>
            </w:r>
            <w:r w:rsidRPr="002D2F67">
              <w:rPr>
                <w:rFonts w:ascii="Arial" w:hAnsi="Arial" w:cs="Arial"/>
                <w:color w:val="000000"/>
                <w:sz w:val="20"/>
                <w:szCs w:val="20"/>
              </w:rPr>
              <w:t>,</w:t>
            </w:r>
            <w:r w:rsidR="00CD5714" w:rsidRPr="00CD5714">
              <w:rPr>
                <w:rFonts w:ascii="Arial" w:hAnsi="Arial" w:cs="Arial"/>
                <w:color w:val="000000"/>
                <w:sz w:val="20"/>
                <w:szCs w:val="20"/>
                <w:lang w:val="en-GB"/>
              </w:rPr>
              <w:t>334</w:t>
            </w:r>
            <w:r w:rsidRPr="002D2F67">
              <w:rPr>
                <w:rFonts w:ascii="Arial" w:hAnsi="Arial" w:cs="Arial"/>
                <w:color w:val="000000"/>
                <w:sz w:val="20"/>
                <w:szCs w:val="20"/>
              </w:rPr>
              <w:t>)</w:t>
            </w:r>
          </w:p>
        </w:tc>
        <w:tc>
          <w:tcPr>
            <w:tcW w:w="767" w:type="pct"/>
            <w:shd w:val="clear" w:color="auto" w:fill="auto"/>
            <w:vAlign w:val="bottom"/>
          </w:tcPr>
          <w:p w14:paraId="46DA36FD" w14:textId="397DB3F4" w:rsidR="00DF15D0" w:rsidRPr="002D2F67" w:rsidRDefault="00DF15D0" w:rsidP="005611FE">
            <w:pPr>
              <w:ind w:right="-81"/>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2</w:t>
            </w:r>
            <w:r w:rsidRPr="002D2F67">
              <w:rPr>
                <w:rFonts w:ascii="Arial" w:hAnsi="Arial" w:cs="Arial"/>
                <w:color w:val="000000"/>
                <w:sz w:val="20"/>
                <w:szCs w:val="20"/>
              </w:rPr>
              <w:t>,</w:t>
            </w:r>
            <w:r w:rsidR="00CD5714" w:rsidRPr="00CD5714">
              <w:rPr>
                <w:rFonts w:ascii="Arial" w:hAnsi="Arial" w:cs="Arial"/>
                <w:color w:val="000000"/>
                <w:sz w:val="20"/>
                <w:szCs w:val="20"/>
                <w:lang w:val="en-GB"/>
              </w:rPr>
              <w:t>694</w:t>
            </w:r>
            <w:r w:rsidRPr="002D2F67">
              <w:rPr>
                <w:rFonts w:ascii="Arial" w:hAnsi="Arial" w:cs="Arial"/>
                <w:color w:val="000000"/>
                <w:sz w:val="20"/>
                <w:szCs w:val="20"/>
              </w:rPr>
              <w:t>,</w:t>
            </w:r>
            <w:r w:rsidR="00CD5714" w:rsidRPr="00CD5714">
              <w:rPr>
                <w:rFonts w:ascii="Arial" w:hAnsi="Arial" w:cs="Arial"/>
                <w:color w:val="000000"/>
                <w:sz w:val="20"/>
                <w:szCs w:val="20"/>
                <w:lang w:val="en-GB"/>
              </w:rPr>
              <w:t>177</w:t>
            </w:r>
            <w:r w:rsidRPr="002D2F67">
              <w:rPr>
                <w:rFonts w:ascii="Arial" w:hAnsi="Arial" w:cs="Arial"/>
                <w:color w:val="000000"/>
                <w:sz w:val="20"/>
                <w:szCs w:val="20"/>
              </w:rPr>
              <w:t>)</w:t>
            </w:r>
          </w:p>
        </w:tc>
      </w:tr>
      <w:tr w:rsidR="00DF15D0" w:rsidRPr="002D2F67" w14:paraId="7E9D97E7" w14:textId="77777777" w:rsidTr="00F832D6">
        <w:tc>
          <w:tcPr>
            <w:tcW w:w="1934" w:type="pct"/>
            <w:shd w:val="clear" w:color="auto" w:fill="auto"/>
          </w:tcPr>
          <w:p w14:paraId="0A4ED079" w14:textId="4242CE2B" w:rsidR="00DF15D0" w:rsidRPr="002D2F67" w:rsidRDefault="00DF15D0" w:rsidP="005611FE">
            <w:pPr>
              <w:tabs>
                <w:tab w:val="left" w:pos="1134"/>
                <w:tab w:val="left" w:pos="1276"/>
                <w:tab w:val="center" w:pos="3402"/>
                <w:tab w:val="center" w:pos="4536"/>
                <w:tab w:val="center" w:pos="5670"/>
                <w:tab w:val="center" w:pos="6804"/>
                <w:tab w:val="right" w:pos="7655"/>
              </w:tabs>
              <w:rPr>
                <w:rFonts w:ascii="Arial" w:hAnsi="Arial" w:cs="Arial"/>
                <w:color w:val="000000"/>
                <w:sz w:val="20"/>
                <w:szCs w:val="20"/>
              </w:rPr>
            </w:pPr>
            <w:r w:rsidRPr="002D2F67">
              <w:rPr>
                <w:rFonts w:ascii="Arial" w:hAnsi="Arial" w:cs="Arial"/>
                <w:color w:val="000000"/>
                <w:spacing w:val="-4"/>
                <w:sz w:val="20"/>
                <w:szCs w:val="20"/>
              </w:rPr>
              <w:t xml:space="preserve">Expenses not deductible for tax </w:t>
            </w:r>
            <w:r w:rsidR="00F832D6" w:rsidRPr="002D2F67">
              <w:rPr>
                <w:rFonts w:ascii="Arial" w:hAnsi="Arial" w:cs="Arial"/>
                <w:color w:val="000000"/>
                <w:spacing w:val="-4"/>
                <w:sz w:val="20"/>
                <w:szCs w:val="20"/>
              </w:rPr>
              <w:t>purpose</w:t>
            </w:r>
          </w:p>
        </w:tc>
        <w:tc>
          <w:tcPr>
            <w:tcW w:w="766" w:type="pct"/>
            <w:shd w:val="clear" w:color="auto" w:fill="auto"/>
          </w:tcPr>
          <w:p w14:paraId="0CA06330" w14:textId="4CB4BF57" w:rsidR="00DF15D0" w:rsidRPr="002D2F67" w:rsidRDefault="00CD5714" w:rsidP="005611FE">
            <w:pPr>
              <w:ind w:right="-81"/>
              <w:jc w:val="right"/>
              <w:rPr>
                <w:rFonts w:ascii="Arial" w:hAnsi="Arial" w:cs="Arial"/>
                <w:color w:val="000000"/>
                <w:sz w:val="20"/>
                <w:szCs w:val="20"/>
              </w:rPr>
            </w:pPr>
            <w:r w:rsidRPr="00CD5714">
              <w:rPr>
                <w:rFonts w:ascii="Arial" w:hAnsi="Arial" w:cs="Arial"/>
                <w:color w:val="000000"/>
                <w:sz w:val="20"/>
                <w:szCs w:val="20"/>
                <w:lang w:val="en-GB"/>
              </w:rPr>
              <w:t>1</w:t>
            </w:r>
            <w:r w:rsidR="000B39B9" w:rsidRPr="002D2F67">
              <w:rPr>
                <w:rFonts w:ascii="Arial" w:hAnsi="Arial" w:cs="Arial"/>
                <w:color w:val="000000"/>
                <w:sz w:val="20"/>
                <w:szCs w:val="20"/>
              </w:rPr>
              <w:t>,</w:t>
            </w:r>
            <w:r w:rsidRPr="00CD5714">
              <w:rPr>
                <w:rFonts w:ascii="Arial" w:hAnsi="Arial" w:cs="Arial"/>
                <w:color w:val="000000"/>
                <w:sz w:val="20"/>
                <w:szCs w:val="20"/>
                <w:lang w:val="en-GB"/>
              </w:rPr>
              <w:t>972</w:t>
            </w:r>
            <w:r w:rsidR="000B39B9" w:rsidRPr="002D2F67">
              <w:rPr>
                <w:rFonts w:ascii="Arial" w:hAnsi="Arial" w:cs="Arial"/>
                <w:color w:val="000000"/>
                <w:sz w:val="20"/>
                <w:szCs w:val="20"/>
              </w:rPr>
              <w:t>,</w:t>
            </w:r>
            <w:r w:rsidRPr="00CD5714">
              <w:rPr>
                <w:rFonts w:ascii="Arial" w:hAnsi="Arial" w:cs="Arial"/>
                <w:color w:val="000000"/>
                <w:sz w:val="20"/>
                <w:szCs w:val="20"/>
                <w:lang w:val="en-GB"/>
              </w:rPr>
              <w:t>343</w:t>
            </w:r>
          </w:p>
        </w:tc>
        <w:tc>
          <w:tcPr>
            <w:tcW w:w="767" w:type="pct"/>
            <w:shd w:val="clear" w:color="auto" w:fill="auto"/>
          </w:tcPr>
          <w:p w14:paraId="0009E8E1" w14:textId="523B429F" w:rsidR="00DF15D0" w:rsidRPr="002D2F67" w:rsidRDefault="00CD5714" w:rsidP="005611FE">
            <w:pPr>
              <w:ind w:right="-81"/>
              <w:jc w:val="right"/>
              <w:rPr>
                <w:rFonts w:ascii="Arial" w:hAnsi="Arial" w:cs="Arial"/>
                <w:color w:val="000000"/>
                <w:sz w:val="20"/>
                <w:szCs w:val="20"/>
              </w:rPr>
            </w:pPr>
            <w:r w:rsidRPr="00CD5714">
              <w:rPr>
                <w:rFonts w:ascii="Arial" w:hAnsi="Arial" w:cs="Arial"/>
                <w:color w:val="000000"/>
                <w:sz w:val="20"/>
                <w:szCs w:val="20"/>
                <w:lang w:val="en-GB"/>
              </w:rPr>
              <w:t>31</w:t>
            </w:r>
            <w:r w:rsidR="00F832D6" w:rsidRPr="002D2F67">
              <w:rPr>
                <w:rFonts w:ascii="Arial" w:hAnsi="Arial" w:cs="Arial"/>
                <w:color w:val="000000"/>
                <w:sz w:val="20"/>
                <w:szCs w:val="20"/>
              </w:rPr>
              <w:t>,</w:t>
            </w:r>
            <w:r w:rsidRPr="00CD5714">
              <w:rPr>
                <w:rFonts w:ascii="Arial" w:hAnsi="Arial" w:cs="Arial"/>
                <w:color w:val="000000"/>
                <w:sz w:val="20"/>
                <w:szCs w:val="20"/>
                <w:lang w:val="en-GB"/>
              </w:rPr>
              <w:t>111</w:t>
            </w:r>
          </w:p>
        </w:tc>
        <w:tc>
          <w:tcPr>
            <w:tcW w:w="766" w:type="pct"/>
            <w:shd w:val="clear" w:color="auto" w:fill="auto"/>
            <w:vAlign w:val="bottom"/>
          </w:tcPr>
          <w:p w14:paraId="1737BB4F" w14:textId="731328B1" w:rsidR="00DF15D0" w:rsidRPr="002D2F67" w:rsidRDefault="00CD5714" w:rsidP="005611FE">
            <w:pPr>
              <w:ind w:right="-81"/>
              <w:jc w:val="right"/>
              <w:rPr>
                <w:rFonts w:ascii="Arial" w:hAnsi="Arial" w:cs="Arial"/>
                <w:color w:val="000000"/>
                <w:sz w:val="20"/>
                <w:szCs w:val="20"/>
              </w:rPr>
            </w:pPr>
            <w:r w:rsidRPr="00CD5714">
              <w:rPr>
                <w:rFonts w:ascii="Arial" w:hAnsi="Arial" w:cs="Arial"/>
                <w:color w:val="000000"/>
                <w:sz w:val="20"/>
                <w:szCs w:val="20"/>
                <w:lang w:val="en-GB"/>
              </w:rPr>
              <w:t>2</w:t>
            </w:r>
            <w:r w:rsidR="00F13E4F" w:rsidRPr="002D2F67">
              <w:rPr>
                <w:rFonts w:ascii="Arial" w:hAnsi="Arial" w:cs="Arial"/>
                <w:color w:val="000000"/>
                <w:sz w:val="20"/>
                <w:szCs w:val="20"/>
              </w:rPr>
              <w:t>,</w:t>
            </w:r>
            <w:r w:rsidRPr="00CD5714">
              <w:rPr>
                <w:rFonts w:ascii="Arial" w:hAnsi="Arial" w:cs="Arial"/>
                <w:color w:val="000000"/>
                <w:sz w:val="20"/>
                <w:szCs w:val="20"/>
                <w:lang w:val="en-GB"/>
              </w:rPr>
              <w:t>905</w:t>
            </w:r>
            <w:r w:rsidR="00F13E4F" w:rsidRPr="002D2F67">
              <w:rPr>
                <w:rFonts w:ascii="Arial" w:hAnsi="Arial" w:cs="Arial"/>
                <w:color w:val="000000"/>
                <w:sz w:val="20"/>
                <w:szCs w:val="20"/>
              </w:rPr>
              <w:t>,</w:t>
            </w:r>
            <w:r w:rsidRPr="00CD5714">
              <w:rPr>
                <w:rFonts w:ascii="Arial" w:hAnsi="Arial" w:cs="Arial"/>
                <w:color w:val="000000"/>
                <w:sz w:val="20"/>
                <w:szCs w:val="20"/>
                <w:lang w:val="en-GB"/>
              </w:rPr>
              <w:t>819</w:t>
            </w:r>
          </w:p>
        </w:tc>
        <w:tc>
          <w:tcPr>
            <w:tcW w:w="767" w:type="pct"/>
            <w:shd w:val="clear" w:color="auto" w:fill="auto"/>
            <w:vAlign w:val="bottom"/>
          </w:tcPr>
          <w:p w14:paraId="501988B0" w14:textId="1C327A2F" w:rsidR="00DF15D0" w:rsidRPr="002D2F67" w:rsidRDefault="00CD5714" w:rsidP="005611FE">
            <w:pPr>
              <w:ind w:right="-81"/>
              <w:jc w:val="right"/>
              <w:rPr>
                <w:rFonts w:ascii="Arial" w:hAnsi="Arial" w:cs="Arial"/>
                <w:color w:val="000000"/>
                <w:sz w:val="20"/>
                <w:szCs w:val="20"/>
              </w:rPr>
            </w:pPr>
            <w:r w:rsidRPr="00CD5714">
              <w:rPr>
                <w:rFonts w:ascii="Arial" w:hAnsi="Arial" w:cs="Arial"/>
                <w:color w:val="000000"/>
                <w:sz w:val="20"/>
                <w:szCs w:val="20"/>
                <w:lang w:val="en-GB"/>
              </w:rPr>
              <w:t>20</w:t>
            </w:r>
            <w:r w:rsidR="00F832D6" w:rsidRPr="002D2F67">
              <w:rPr>
                <w:rFonts w:ascii="Arial" w:hAnsi="Arial" w:cs="Arial"/>
                <w:color w:val="000000"/>
                <w:sz w:val="20"/>
                <w:szCs w:val="20"/>
              </w:rPr>
              <w:t>,</w:t>
            </w:r>
            <w:r w:rsidRPr="00CD5714">
              <w:rPr>
                <w:rFonts w:ascii="Arial" w:hAnsi="Arial" w:cs="Arial"/>
                <w:color w:val="000000"/>
                <w:sz w:val="20"/>
                <w:szCs w:val="20"/>
                <w:lang w:val="en-GB"/>
              </w:rPr>
              <w:t>453</w:t>
            </w:r>
          </w:p>
        </w:tc>
      </w:tr>
      <w:tr w:rsidR="00DF15D0" w:rsidRPr="002D2F67" w14:paraId="5F6B1F1E" w14:textId="77777777" w:rsidTr="005611FE">
        <w:tc>
          <w:tcPr>
            <w:tcW w:w="1934" w:type="pct"/>
            <w:shd w:val="clear" w:color="auto" w:fill="auto"/>
          </w:tcPr>
          <w:p w14:paraId="72D8DE4C" w14:textId="29D73AC8" w:rsidR="00DF15D0" w:rsidRPr="002D2F67" w:rsidRDefault="00DF15D0" w:rsidP="005611FE">
            <w:pPr>
              <w:tabs>
                <w:tab w:val="left" w:pos="1134"/>
                <w:tab w:val="left" w:pos="1276"/>
                <w:tab w:val="center" w:pos="3402"/>
                <w:tab w:val="center" w:pos="4536"/>
                <w:tab w:val="center" w:pos="5670"/>
                <w:tab w:val="center" w:pos="6804"/>
                <w:tab w:val="right" w:pos="7655"/>
              </w:tabs>
              <w:rPr>
                <w:rFonts w:ascii="Arial" w:hAnsi="Arial" w:cs="Arial"/>
                <w:color w:val="000000"/>
                <w:spacing w:val="-4"/>
                <w:sz w:val="20"/>
                <w:szCs w:val="20"/>
              </w:rPr>
            </w:pPr>
            <w:r w:rsidRPr="002D2F67">
              <w:rPr>
                <w:rFonts w:ascii="Arial" w:hAnsi="Arial" w:cs="Arial"/>
                <w:color w:val="000000"/>
                <w:spacing w:val="-4"/>
                <w:sz w:val="20"/>
                <w:szCs w:val="20"/>
              </w:rPr>
              <w:t>Utilisation of previously</w:t>
            </w:r>
            <w:r w:rsidRPr="002D2F67">
              <w:rPr>
                <w:rFonts w:ascii="Arial" w:hAnsi="Arial" w:cs="Arial"/>
                <w:color w:val="000000"/>
                <w:spacing w:val="-4"/>
                <w:sz w:val="20"/>
                <w:szCs w:val="20"/>
              </w:rPr>
              <w:br/>
              <w:t xml:space="preserve">   unrecognised tax loss</w:t>
            </w:r>
          </w:p>
        </w:tc>
        <w:tc>
          <w:tcPr>
            <w:tcW w:w="766" w:type="pct"/>
            <w:shd w:val="clear" w:color="auto" w:fill="auto"/>
            <w:vAlign w:val="bottom"/>
          </w:tcPr>
          <w:p w14:paraId="04D4ECAB" w14:textId="7FE08D82" w:rsidR="00DF15D0" w:rsidRPr="002D2F67" w:rsidRDefault="00047E70" w:rsidP="005611FE">
            <w:pPr>
              <w:ind w:right="-81"/>
              <w:jc w:val="right"/>
              <w:rPr>
                <w:rFonts w:ascii="Arial" w:hAnsi="Arial" w:cs="Arial"/>
                <w:color w:val="000000"/>
                <w:sz w:val="20"/>
                <w:szCs w:val="20"/>
              </w:rPr>
            </w:pPr>
            <w:r w:rsidRPr="002D2F67">
              <w:rPr>
                <w:rFonts w:ascii="Arial" w:hAnsi="Arial" w:cs="Arial"/>
                <w:color w:val="000000"/>
                <w:sz w:val="20"/>
                <w:szCs w:val="20"/>
              </w:rPr>
              <w:t>-</w:t>
            </w:r>
          </w:p>
        </w:tc>
        <w:tc>
          <w:tcPr>
            <w:tcW w:w="767" w:type="pct"/>
            <w:shd w:val="clear" w:color="auto" w:fill="auto"/>
            <w:vAlign w:val="bottom"/>
          </w:tcPr>
          <w:p w14:paraId="778814B0" w14:textId="3F2B1F28" w:rsidR="00DF15D0" w:rsidRPr="002D2F67" w:rsidRDefault="00DF15D0" w:rsidP="005611FE">
            <w:pPr>
              <w:ind w:right="-81"/>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130</w:t>
            </w:r>
            <w:r w:rsidRPr="002D2F67">
              <w:rPr>
                <w:rFonts w:ascii="Arial" w:hAnsi="Arial" w:cs="Arial"/>
                <w:color w:val="000000"/>
                <w:sz w:val="20"/>
                <w:szCs w:val="20"/>
              </w:rPr>
              <w:t>,</w:t>
            </w:r>
            <w:r w:rsidR="00CD5714" w:rsidRPr="00CD5714">
              <w:rPr>
                <w:rFonts w:ascii="Arial" w:hAnsi="Arial" w:cs="Arial"/>
                <w:color w:val="000000"/>
                <w:sz w:val="20"/>
                <w:szCs w:val="20"/>
                <w:lang w:val="en-GB"/>
              </w:rPr>
              <w:t>472</w:t>
            </w:r>
            <w:r w:rsidRPr="002D2F67">
              <w:rPr>
                <w:rFonts w:ascii="Arial" w:hAnsi="Arial" w:cs="Arial"/>
                <w:color w:val="000000"/>
                <w:sz w:val="20"/>
                <w:szCs w:val="20"/>
              </w:rPr>
              <w:t>)</w:t>
            </w:r>
          </w:p>
        </w:tc>
        <w:tc>
          <w:tcPr>
            <w:tcW w:w="766" w:type="pct"/>
            <w:shd w:val="clear" w:color="auto" w:fill="auto"/>
            <w:vAlign w:val="bottom"/>
          </w:tcPr>
          <w:p w14:paraId="3A8EA976" w14:textId="4025D343" w:rsidR="00DF15D0" w:rsidRPr="002D2F67" w:rsidRDefault="001263BB" w:rsidP="005611FE">
            <w:pPr>
              <w:ind w:right="-81"/>
              <w:jc w:val="right"/>
              <w:rPr>
                <w:rFonts w:ascii="Arial" w:hAnsi="Arial" w:cs="Arial"/>
                <w:color w:val="000000"/>
                <w:sz w:val="20"/>
                <w:szCs w:val="20"/>
              </w:rPr>
            </w:pPr>
            <w:r w:rsidRPr="002D2F67">
              <w:rPr>
                <w:rFonts w:ascii="Arial" w:hAnsi="Arial" w:cs="Arial"/>
                <w:color w:val="000000"/>
                <w:sz w:val="20"/>
                <w:szCs w:val="20"/>
              </w:rPr>
              <w:t>-</w:t>
            </w:r>
          </w:p>
        </w:tc>
        <w:tc>
          <w:tcPr>
            <w:tcW w:w="767" w:type="pct"/>
            <w:shd w:val="clear" w:color="auto" w:fill="auto"/>
            <w:vAlign w:val="bottom"/>
          </w:tcPr>
          <w:p w14:paraId="0E07E1B9" w14:textId="4BA26A1E" w:rsidR="00DF15D0" w:rsidRPr="002D2F67" w:rsidRDefault="00DF15D0" w:rsidP="005611FE">
            <w:pPr>
              <w:ind w:right="-81"/>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130</w:t>
            </w:r>
            <w:r w:rsidRPr="002D2F67">
              <w:rPr>
                <w:rFonts w:ascii="Arial" w:hAnsi="Arial" w:cs="Arial"/>
                <w:color w:val="000000"/>
                <w:sz w:val="20"/>
                <w:szCs w:val="20"/>
              </w:rPr>
              <w:t>,</w:t>
            </w:r>
            <w:r w:rsidR="00CD5714" w:rsidRPr="00CD5714">
              <w:rPr>
                <w:rFonts w:ascii="Arial" w:hAnsi="Arial" w:cs="Arial"/>
                <w:color w:val="000000"/>
                <w:sz w:val="20"/>
                <w:szCs w:val="20"/>
                <w:lang w:val="en-GB"/>
              </w:rPr>
              <w:t>472</w:t>
            </w:r>
            <w:r w:rsidRPr="002D2F67">
              <w:rPr>
                <w:rFonts w:ascii="Arial" w:hAnsi="Arial" w:cs="Arial"/>
                <w:color w:val="000000"/>
                <w:sz w:val="20"/>
                <w:szCs w:val="20"/>
              </w:rPr>
              <w:t>)</w:t>
            </w:r>
          </w:p>
        </w:tc>
      </w:tr>
      <w:tr w:rsidR="00DF15D0" w:rsidRPr="002D2F67" w14:paraId="39C756FB" w14:textId="77777777" w:rsidTr="005611FE">
        <w:tc>
          <w:tcPr>
            <w:tcW w:w="1934" w:type="pct"/>
            <w:shd w:val="clear" w:color="auto" w:fill="auto"/>
          </w:tcPr>
          <w:p w14:paraId="40C3EEC0" w14:textId="386DEFF2" w:rsidR="00DF15D0" w:rsidRPr="002D2F67" w:rsidRDefault="00DF15D0" w:rsidP="005611FE">
            <w:pPr>
              <w:tabs>
                <w:tab w:val="left" w:pos="1134"/>
                <w:tab w:val="left" w:pos="1276"/>
                <w:tab w:val="center" w:pos="3402"/>
                <w:tab w:val="center" w:pos="4536"/>
                <w:tab w:val="center" w:pos="5670"/>
                <w:tab w:val="center" w:pos="6804"/>
                <w:tab w:val="right" w:pos="7655"/>
              </w:tabs>
              <w:rPr>
                <w:rFonts w:ascii="Arial" w:hAnsi="Arial" w:cs="Arial"/>
                <w:color w:val="000000"/>
                <w:spacing w:val="-4"/>
                <w:sz w:val="20"/>
                <w:szCs w:val="20"/>
              </w:rPr>
            </w:pPr>
            <w:r w:rsidRPr="002D2F67">
              <w:rPr>
                <w:rFonts w:ascii="Arial" w:hAnsi="Arial" w:cs="Arial"/>
                <w:color w:val="000000"/>
                <w:spacing w:val="-4"/>
                <w:sz w:val="20"/>
                <w:szCs w:val="20"/>
              </w:rPr>
              <w:t xml:space="preserve">Tax losses for the year for which no </w:t>
            </w:r>
          </w:p>
        </w:tc>
        <w:tc>
          <w:tcPr>
            <w:tcW w:w="766" w:type="pct"/>
            <w:shd w:val="clear" w:color="auto" w:fill="auto"/>
          </w:tcPr>
          <w:p w14:paraId="37AB1D4F" w14:textId="77777777" w:rsidR="00DF15D0" w:rsidRPr="002D2F67" w:rsidRDefault="00DF15D0" w:rsidP="005611FE">
            <w:pPr>
              <w:ind w:right="-81"/>
              <w:jc w:val="right"/>
              <w:rPr>
                <w:rFonts w:ascii="Arial" w:hAnsi="Arial" w:cs="Arial"/>
                <w:color w:val="000000"/>
                <w:sz w:val="20"/>
                <w:szCs w:val="20"/>
              </w:rPr>
            </w:pPr>
          </w:p>
        </w:tc>
        <w:tc>
          <w:tcPr>
            <w:tcW w:w="767" w:type="pct"/>
            <w:shd w:val="clear" w:color="auto" w:fill="auto"/>
          </w:tcPr>
          <w:p w14:paraId="3A902635" w14:textId="77777777" w:rsidR="00DF15D0" w:rsidRPr="002D2F67" w:rsidRDefault="00DF15D0" w:rsidP="005611FE">
            <w:pPr>
              <w:ind w:right="-81"/>
              <w:jc w:val="right"/>
              <w:rPr>
                <w:rFonts w:ascii="Arial" w:hAnsi="Arial" w:cs="Arial"/>
                <w:color w:val="000000"/>
                <w:sz w:val="20"/>
                <w:szCs w:val="20"/>
              </w:rPr>
            </w:pPr>
          </w:p>
        </w:tc>
        <w:tc>
          <w:tcPr>
            <w:tcW w:w="766" w:type="pct"/>
            <w:shd w:val="clear" w:color="auto" w:fill="auto"/>
          </w:tcPr>
          <w:p w14:paraId="4716962C" w14:textId="77777777" w:rsidR="00DF15D0" w:rsidRPr="002D2F67" w:rsidRDefault="00DF15D0" w:rsidP="005611FE">
            <w:pPr>
              <w:ind w:right="-81"/>
              <w:jc w:val="right"/>
              <w:rPr>
                <w:rFonts w:ascii="Arial" w:hAnsi="Arial" w:cs="Arial"/>
                <w:color w:val="000000"/>
                <w:sz w:val="20"/>
                <w:szCs w:val="20"/>
              </w:rPr>
            </w:pPr>
          </w:p>
        </w:tc>
        <w:tc>
          <w:tcPr>
            <w:tcW w:w="767" w:type="pct"/>
            <w:shd w:val="clear" w:color="auto" w:fill="auto"/>
          </w:tcPr>
          <w:p w14:paraId="488BE46F" w14:textId="77777777" w:rsidR="00DF15D0" w:rsidRPr="002D2F67" w:rsidRDefault="00DF15D0" w:rsidP="005611FE">
            <w:pPr>
              <w:ind w:right="-81"/>
              <w:jc w:val="right"/>
              <w:rPr>
                <w:rFonts w:ascii="Arial" w:hAnsi="Arial" w:cs="Arial"/>
                <w:color w:val="000000"/>
                <w:sz w:val="20"/>
                <w:szCs w:val="20"/>
              </w:rPr>
            </w:pPr>
          </w:p>
        </w:tc>
      </w:tr>
      <w:tr w:rsidR="00DF15D0" w:rsidRPr="002D2F67" w14:paraId="7046B348" w14:textId="77777777" w:rsidTr="005611FE">
        <w:tc>
          <w:tcPr>
            <w:tcW w:w="1934" w:type="pct"/>
            <w:shd w:val="clear" w:color="auto" w:fill="auto"/>
          </w:tcPr>
          <w:p w14:paraId="2C0FDC0A" w14:textId="4892B9E1" w:rsidR="00DF15D0" w:rsidRPr="002D2F67" w:rsidRDefault="00DF15D0" w:rsidP="005611FE">
            <w:pPr>
              <w:tabs>
                <w:tab w:val="left" w:pos="1134"/>
                <w:tab w:val="left" w:pos="1276"/>
                <w:tab w:val="center" w:pos="3402"/>
                <w:tab w:val="center" w:pos="4536"/>
                <w:tab w:val="center" w:pos="5670"/>
                <w:tab w:val="center" w:pos="6804"/>
                <w:tab w:val="right" w:pos="7655"/>
              </w:tabs>
              <w:rPr>
                <w:rFonts w:ascii="Arial" w:hAnsi="Arial" w:cs="Arial"/>
                <w:color w:val="000000"/>
                <w:spacing w:val="-4"/>
                <w:sz w:val="20"/>
                <w:szCs w:val="20"/>
              </w:rPr>
            </w:pPr>
            <w:r w:rsidRPr="002D2F67">
              <w:rPr>
                <w:rFonts w:ascii="Arial" w:hAnsi="Arial" w:cs="Arial"/>
                <w:color w:val="000000"/>
                <w:spacing w:val="-4"/>
                <w:sz w:val="20"/>
                <w:szCs w:val="20"/>
              </w:rPr>
              <w:t xml:space="preserve">   deferred income tax assets </w:t>
            </w:r>
            <w:r w:rsidR="00D409EF" w:rsidRPr="002D2F67">
              <w:rPr>
                <w:rFonts w:ascii="Arial" w:hAnsi="Arial" w:cs="Arial"/>
                <w:color w:val="000000"/>
                <w:spacing w:val="-4"/>
                <w:sz w:val="20"/>
                <w:szCs w:val="20"/>
              </w:rPr>
              <w:t>were</w:t>
            </w:r>
            <w:r w:rsidRPr="002D2F67">
              <w:rPr>
                <w:rFonts w:ascii="Arial" w:hAnsi="Arial" w:cs="Arial"/>
                <w:color w:val="000000"/>
                <w:spacing w:val="-4"/>
                <w:sz w:val="20"/>
                <w:szCs w:val="20"/>
              </w:rPr>
              <w:t xml:space="preserve"> </w:t>
            </w:r>
          </w:p>
        </w:tc>
        <w:tc>
          <w:tcPr>
            <w:tcW w:w="766" w:type="pct"/>
            <w:shd w:val="clear" w:color="auto" w:fill="auto"/>
          </w:tcPr>
          <w:p w14:paraId="77793F07" w14:textId="77777777" w:rsidR="00DF15D0" w:rsidRPr="002D2F67" w:rsidRDefault="00DF15D0" w:rsidP="005611FE">
            <w:pPr>
              <w:ind w:right="-81"/>
              <w:jc w:val="right"/>
              <w:rPr>
                <w:rFonts w:ascii="Arial" w:hAnsi="Arial" w:cs="Arial"/>
                <w:color w:val="000000"/>
                <w:sz w:val="20"/>
                <w:szCs w:val="20"/>
              </w:rPr>
            </w:pPr>
          </w:p>
        </w:tc>
        <w:tc>
          <w:tcPr>
            <w:tcW w:w="767" w:type="pct"/>
            <w:shd w:val="clear" w:color="auto" w:fill="auto"/>
          </w:tcPr>
          <w:p w14:paraId="0173DB42" w14:textId="77777777" w:rsidR="00DF15D0" w:rsidRPr="002D2F67" w:rsidRDefault="00DF15D0" w:rsidP="005611FE">
            <w:pPr>
              <w:ind w:right="-81"/>
              <w:jc w:val="right"/>
              <w:rPr>
                <w:rFonts w:ascii="Arial" w:hAnsi="Arial" w:cs="Arial"/>
                <w:color w:val="000000"/>
                <w:sz w:val="20"/>
                <w:szCs w:val="20"/>
              </w:rPr>
            </w:pPr>
          </w:p>
        </w:tc>
        <w:tc>
          <w:tcPr>
            <w:tcW w:w="766" w:type="pct"/>
            <w:shd w:val="clear" w:color="auto" w:fill="auto"/>
          </w:tcPr>
          <w:p w14:paraId="54AF1777" w14:textId="77777777" w:rsidR="00DF15D0" w:rsidRPr="002D2F67" w:rsidRDefault="00DF15D0" w:rsidP="005611FE">
            <w:pPr>
              <w:ind w:right="-81"/>
              <w:jc w:val="right"/>
              <w:rPr>
                <w:rFonts w:ascii="Arial" w:hAnsi="Arial" w:cs="Arial"/>
                <w:color w:val="000000"/>
                <w:sz w:val="20"/>
                <w:szCs w:val="20"/>
              </w:rPr>
            </w:pPr>
          </w:p>
        </w:tc>
        <w:tc>
          <w:tcPr>
            <w:tcW w:w="767" w:type="pct"/>
            <w:shd w:val="clear" w:color="auto" w:fill="auto"/>
          </w:tcPr>
          <w:p w14:paraId="5C241BAD" w14:textId="77777777" w:rsidR="00DF15D0" w:rsidRPr="002D2F67" w:rsidRDefault="00DF15D0" w:rsidP="005611FE">
            <w:pPr>
              <w:ind w:right="-81"/>
              <w:jc w:val="right"/>
              <w:rPr>
                <w:rFonts w:ascii="Arial" w:hAnsi="Arial" w:cs="Arial"/>
                <w:color w:val="000000"/>
                <w:sz w:val="20"/>
                <w:szCs w:val="20"/>
              </w:rPr>
            </w:pPr>
          </w:p>
        </w:tc>
      </w:tr>
      <w:tr w:rsidR="00DF15D0" w:rsidRPr="002D2F67" w14:paraId="355FF70A" w14:textId="77777777" w:rsidTr="005611FE">
        <w:tc>
          <w:tcPr>
            <w:tcW w:w="1934" w:type="pct"/>
            <w:shd w:val="clear" w:color="auto" w:fill="auto"/>
          </w:tcPr>
          <w:p w14:paraId="48C6644D" w14:textId="74645193" w:rsidR="00DF15D0" w:rsidRPr="002D2F67" w:rsidRDefault="00DF15D0" w:rsidP="005611FE">
            <w:pPr>
              <w:tabs>
                <w:tab w:val="left" w:pos="1134"/>
                <w:tab w:val="left" w:pos="1276"/>
                <w:tab w:val="center" w:pos="3402"/>
                <w:tab w:val="center" w:pos="4536"/>
                <w:tab w:val="center" w:pos="5670"/>
                <w:tab w:val="center" w:pos="6804"/>
                <w:tab w:val="right" w:pos="7655"/>
              </w:tabs>
              <w:rPr>
                <w:rFonts w:ascii="Arial" w:hAnsi="Arial" w:cs="Arial"/>
                <w:color w:val="000000"/>
                <w:spacing w:val="-4"/>
                <w:sz w:val="20"/>
                <w:szCs w:val="20"/>
              </w:rPr>
            </w:pPr>
            <w:r w:rsidRPr="002D2F67">
              <w:rPr>
                <w:rFonts w:ascii="Arial" w:hAnsi="Arial" w:cs="Arial"/>
                <w:color w:val="000000"/>
                <w:spacing w:val="-4"/>
                <w:sz w:val="20"/>
                <w:szCs w:val="20"/>
              </w:rPr>
              <w:t xml:space="preserve">   recognised</w:t>
            </w:r>
          </w:p>
        </w:tc>
        <w:tc>
          <w:tcPr>
            <w:tcW w:w="766" w:type="pct"/>
            <w:shd w:val="clear" w:color="auto" w:fill="auto"/>
          </w:tcPr>
          <w:p w14:paraId="7E02B170" w14:textId="4E4DEDD2" w:rsidR="00DF15D0" w:rsidRPr="002D2F67" w:rsidRDefault="00CD5714" w:rsidP="005611FE">
            <w:pPr>
              <w:ind w:right="-81"/>
              <w:jc w:val="right"/>
              <w:rPr>
                <w:rFonts w:ascii="Arial" w:hAnsi="Arial" w:cs="Arial"/>
                <w:color w:val="000000"/>
                <w:sz w:val="20"/>
                <w:szCs w:val="20"/>
              </w:rPr>
            </w:pPr>
            <w:r w:rsidRPr="00CD5714">
              <w:rPr>
                <w:rFonts w:ascii="Arial" w:hAnsi="Arial" w:cs="Arial"/>
                <w:color w:val="000000"/>
                <w:sz w:val="20"/>
                <w:szCs w:val="20"/>
                <w:lang w:val="en-GB"/>
              </w:rPr>
              <w:t>824</w:t>
            </w:r>
            <w:r w:rsidR="000B39B9" w:rsidRPr="002D2F67">
              <w:rPr>
                <w:rFonts w:ascii="Arial" w:hAnsi="Arial" w:cs="Arial"/>
                <w:color w:val="000000"/>
                <w:sz w:val="20"/>
                <w:szCs w:val="20"/>
              </w:rPr>
              <w:t>,</w:t>
            </w:r>
            <w:r w:rsidRPr="00CD5714">
              <w:rPr>
                <w:rFonts w:ascii="Arial" w:hAnsi="Arial" w:cs="Arial"/>
                <w:color w:val="000000"/>
                <w:sz w:val="20"/>
                <w:szCs w:val="20"/>
                <w:lang w:val="en-GB"/>
              </w:rPr>
              <w:t>375</w:t>
            </w:r>
          </w:p>
        </w:tc>
        <w:tc>
          <w:tcPr>
            <w:tcW w:w="767" w:type="pct"/>
            <w:shd w:val="clear" w:color="auto" w:fill="auto"/>
          </w:tcPr>
          <w:p w14:paraId="485E233A" w14:textId="1D3D7A16" w:rsidR="00DF15D0" w:rsidRPr="002D2F67" w:rsidRDefault="00CD5714" w:rsidP="005611FE">
            <w:pPr>
              <w:ind w:right="-81"/>
              <w:jc w:val="right"/>
              <w:rPr>
                <w:rFonts w:ascii="Arial" w:hAnsi="Arial" w:cs="Arial"/>
                <w:color w:val="000000"/>
                <w:sz w:val="20"/>
                <w:szCs w:val="20"/>
              </w:rPr>
            </w:pPr>
            <w:r w:rsidRPr="00CD5714">
              <w:rPr>
                <w:rFonts w:ascii="Arial" w:hAnsi="Arial" w:cs="Arial"/>
                <w:color w:val="000000"/>
                <w:sz w:val="20"/>
                <w:szCs w:val="20"/>
                <w:lang w:val="en-GB"/>
              </w:rPr>
              <w:t>368</w:t>
            </w:r>
            <w:r w:rsidR="00DF15D0" w:rsidRPr="002D2F67">
              <w:rPr>
                <w:rFonts w:ascii="Arial" w:hAnsi="Arial" w:cs="Arial"/>
                <w:color w:val="000000"/>
                <w:sz w:val="20"/>
                <w:szCs w:val="20"/>
              </w:rPr>
              <w:t>,</w:t>
            </w:r>
            <w:r w:rsidRPr="00CD5714">
              <w:rPr>
                <w:rFonts w:ascii="Arial" w:hAnsi="Arial" w:cs="Arial"/>
                <w:color w:val="000000"/>
                <w:sz w:val="20"/>
                <w:szCs w:val="20"/>
                <w:lang w:val="en-GB"/>
              </w:rPr>
              <w:t>081</w:t>
            </w:r>
          </w:p>
        </w:tc>
        <w:tc>
          <w:tcPr>
            <w:tcW w:w="766" w:type="pct"/>
            <w:shd w:val="clear" w:color="auto" w:fill="auto"/>
          </w:tcPr>
          <w:p w14:paraId="5E7A468E" w14:textId="3A8A2F5A" w:rsidR="00DF15D0" w:rsidRPr="002D2F67" w:rsidRDefault="00CD5714" w:rsidP="005611FE">
            <w:pPr>
              <w:ind w:right="-81"/>
              <w:jc w:val="right"/>
              <w:rPr>
                <w:rFonts w:ascii="Arial" w:hAnsi="Arial" w:cs="Arial"/>
                <w:color w:val="000000"/>
                <w:sz w:val="20"/>
                <w:szCs w:val="20"/>
              </w:rPr>
            </w:pPr>
            <w:r w:rsidRPr="00CD5714">
              <w:rPr>
                <w:rFonts w:ascii="Arial" w:hAnsi="Arial" w:cs="Arial"/>
                <w:color w:val="000000"/>
                <w:sz w:val="20"/>
                <w:szCs w:val="20"/>
                <w:lang w:val="en-GB"/>
              </w:rPr>
              <w:t>178</w:t>
            </w:r>
            <w:r w:rsidR="0093076F" w:rsidRPr="002D2F67">
              <w:rPr>
                <w:rFonts w:ascii="Arial" w:hAnsi="Arial" w:cs="Arial"/>
                <w:color w:val="000000"/>
                <w:sz w:val="20"/>
                <w:szCs w:val="20"/>
              </w:rPr>
              <w:t>,</w:t>
            </w:r>
            <w:r w:rsidRPr="00CD5714">
              <w:rPr>
                <w:rFonts w:ascii="Arial" w:hAnsi="Arial" w:cs="Arial"/>
                <w:color w:val="000000"/>
                <w:sz w:val="20"/>
                <w:szCs w:val="20"/>
                <w:lang w:val="en-GB"/>
              </w:rPr>
              <w:t>628</w:t>
            </w:r>
          </w:p>
        </w:tc>
        <w:tc>
          <w:tcPr>
            <w:tcW w:w="767" w:type="pct"/>
            <w:shd w:val="clear" w:color="auto" w:fill="auto"/>
          </w:tcPr>
          <w:p w14:paraId="13F1914D" w14:textId="596B4878" w:rsidR="00DF15D0" w:rsidRPr="002D2F67" w:rsidRDefault="00CD5714" w:rsidP="005611FE">
            <w:pPr>
              <w:ind w:right="-81"/>
              <w:jc w:val="right"/>
              <w:rPr>
                <w:rFonts w:ascii="Arial" w:hAnsi="Arial" w:cs="Arial"/>
                <w:color w:val="000000"/>
                <w:sz w:val="20"/>
                <w:szCs w:val="20"/>
              </w:rPr>
            </w:pPr>
            <w:r w:rsidRPr="00CD5714">
              <w:rPr>
                <w:rFonts w:ascii="Arial" w:hAnsi="Arial" w:cs="Arial"/>
                <w:color w:val="000000"/>
                <w:sz w:val="20"/>
                <w:szCs w:val="20"/>
                <w:lang w:val="en-GB"/>
              </w:rPr>
              <w:t>6</w:t>
            </w:r>
            <w:r w:rsidR="00DF15D0" w:rsidRPr="002D2F67">
              <w:rPr>
                <w:rFonts w:ascii="Arial" w:hAnsi="Arial" w:cs="Arial"/>
                <w:color w:val="000000"/>
                <w:sz w:val="20"/>
                <w:szCs w:val="20"/>
              </w:rPr>
              <w:t>,</w:t>
            </w:r>
            <w:r w:rsidRPr="00CD5714">
              <w:rPr>
                <w:rFonts w:ascii="Arial" w:hAnsi="Arial" w:cs="Arial"/>
                <w:color w:val="000000"/>
                <w:sz w:val="20"/>
                <w:szCs w:val="20"/>
                <w:lang w:val="en-GB"/>
              </w:rPr>
              <w:t>650</w:t>
            </w:r>
          </w:p>
        </w:tc>
      </w:tr>
      <w:tr w:rsidR="00DF15D0" w:rsidRPr="002D2F67" w14:paraId="796761CA" w14:textId="77777777" w:rsidTr="005611FE">
        <w:tc>
          <w:tcPr>
            <w:tcW w:w="1934" w:type="pct"/>
            <w:shd w:val="clear" w:color="auto" w:fill="auto"/>
          </w:tcPr>
          <w:p w14:paraId="04CE4172" w14:textId="77777777" w:rsidR="00DF15D0" w:rsidRPr="002D2F67" w:rsidRDefault="00DF15D0" w:rsidP="005611FE">
            <w:pPr>
              <w:tabs>
                <w:tab w:val="left" w:pos="1134"/>
                <w:tab w:val="left" w:pos="1276"/>
                <w:tab w:val="center" w:pos="3402"/>
                <w:tab w:val="center" w:pos="4536"/>
                <w:tab w:val="center" w:pos="5670"/>
                <w:tab w:val="center" w:pos="6804"/>
                <w:tab w:val="right" w:pos="7655"/>
              </w:tabs>
              <w:rPr>
                <w:rFonts w:ascii="Arial" w:hAnsi="Arial" w:cs="Arial"/>
                <w:color w:val="000000"/>
                <w:spacing w:val="-4"/>
                <w:sz w:val="20"/>
                <w:szCs w:val="20"/>
              </w:rPr>
            </w:pPr>
            <w:r w:rsidRPr="002D2F67">
              <w:rPr>
                <w:rFonts w:ascii="Arial" w:hAnsi="Arial" w:cs="Arial"/>
                <w:color w:val="000000"/>
                <w:sz w:val="20"/>
                <w:szCs w:val="20"/>
              </w:rPr>
              <w:t>Revenues that are granted income</w:t>
            </w:r>
          </w:p>
        </w:tc>
        <w:tc>
          <w:tcPr>
            <w:tcW w:w="766" w:type="pct"/>
            <w:shd w:val="clear" w:color="auto" w:fill="auto"/>
          </w:tcPr>
          <w:p w14:paraId="77B1719D" w14:textId="77777777" w:rsidR="00DF15D0" w:rsidRPr="002D2F67" w:rsidRDefault="00DF15D0" w:rsidP="005611FE">
            <w:pPr>
              <w:ind w:right="-81"/>
              <w:jc w:val="right"/>
              <w:rPr>
                <w:rFonts w:ascii="Arial" w:hAnsi="Arial" w:cs="Arial"/>
                <w:color w:val="000000"/>
                <w:sz w:val="20"/>
                <w:szCs w:val="20"/>
              </w:rPr>
            </w:pPr>
          </w:p>
        </w:tc>
        <w:tc>
          <w:tcPr>
            <w:tcW w:w="767" w:type="pct"/>
            <w:shd w:val="clear" w:color="auto" w:fill="auto"/>
          </w:tcPr>
          <w:p w14:paraId="6D608942" w14:textId="77777777" w:rsidR="00DF15D0" w:rsidRPr="002D2F67" w:rsidRDefault="00DF15D0" w:rsidP="005611FE">
            <w:pPr>
              <w:ind w:right="-81"/>
              <w:jc w:val="right"/>
              <w:rPr>
                <w:rFonts w:ascii="Arial" w:hAnsi="Arial" w:cs="Arial"/>
                <w:color w:val="000000"/>
                <w:sz w:val="20"/>
                <w:szCs w:val="20"/>
              </w:rPr>
            </w:pPr>
          </w:p>
        </w:tc>
        <w:tc>
          <w:tcPr>
            <w:tcW w:w="766" w:type="pct"/>
            <w:shd w:val="clear" w:color="auto" w:fill="auto"/>
          </w:tcPr>
          <w:p w14:paraId="2B7E9CE4" w14:textId="77777777" w:rsidR="00DF15D0" w:rsidRPr="002D2F67" w:rsidRDefault="00DF15D0" w:rsidP="005611FE">
            <w:pPr>
              <w:ind w:right="-81"/>
              <w:jc w:val="right"/>
              <w:rPr>
                <w:rFonts w:ascii="Arial" w:hAnsi="Arial" w:cs="Arial"/>
                <w:color w:val="000000"/>
                <w:sz w:val="20"/>
                <w:szCs w:val="20"/>
              </w:rPr>
            </w:pPr>
          </w:p>
        </w:tc>
        <w:tc>
          <w:tcPr>
            <w:tcW w:w="767" w:type="pct"/>
            <w:shd w:val="clear" w:color="auto" w:fill="auto"/>
          </w:tcPr>
          <w:p w14:paraId="3355B0AB" w14:textId="77777777" w:rsidR="00DF15D0" w:rsidRPr="002D2F67" w:rsidRDefault="00DF15D0" w:rsidP="005611FE">
            <w:pPr>
              <w:ind w:right="-81"/>
              <w:jc w:val="right"/>
              <w:rPr>
                <w:rFonts w:ascii="Arial" w:hAnsi="Arial" w:cs="Arial"/>
                <w:color w:val="000000"/>
                <w:sz w:val="20"/>
                <w:szCs w:val="20"/>
              </w:rPr>
            </w:pPr>
          </w:p>
        </w:tc>
      </w:tr>
      <w:tr w:rsidR="00DF15D0" w:rsidRPr="002D2F67" w14:paraId="40A027AC" w14:textId="77777777" w:rsidTr="005611FE">
        <w:tc>
          <w:tcPr>
            <w:tcW w:w="1934" w:type="pct"/>
            <w:shd w:val="clear" w:color="auto" w:fill="auto"/>
          </w:tcPr>
          <w:p w14:paraId="0E1F8224" w14:textId="77777777" w:rsidR="00DF15D0" w:rsidRPr="002D2F67" w:rsidRDefault="00DF15D0" w:rsidP="005611FE">
            <w:pPr>
              <w:tabs>
                <w:tab w:val="left" w:pos="1134"/>
                <w:tab w:val="left" w:pos="1276"/>
                <w:tab w:val="center" w:pos="3402"/>
                <w:tab w:val="center" w:pos="4536"/>
                <w:tab w:val="center" w:pos="5670"/>
                <w:tab w:val="center" w:pos="6804"/>
                <w:tab w:val="right" w:pos="7655"/>
              </w:tabs>
              <w:rPr>
                <w:rFonts w:ascii="Arial" w:hAnsi="Arial" w:cs="Arial"/>
                <w:color w:val="000000"/>
                <w:spacing w:val="-4"/>
                <w:sz w:val="20"/>
                <w:szCs w:val="20"/>
              </w:rPr>
            </w:pPr>
            <w:r w:rsidRPr="002D2F67">
              <w:rPr>
                <w:rFonts w:ascii="Arial" w:hAnsi="Arial" w:cs="Arial"/>
                <w:color w:val="000000"/>
                <w:spacing w:val="-4"/>
                <w:sz w:val="20"/>
                <w:szCs w:val="20"/>
              </w:rPr>
              <w:t xml:space="preserve">   </w:t>
            </w:r>
            <w:r w:rsidRPr="002D2F67">
              <w:rPr>
                <w:rFonts w:ascii="Arial" w:hAnsi="Arial" w:cs="Arial"/>
                <w:color w:val="000000"/>
                <w:sz w:val="20"/>
                <w:szCs w:val="20"/>
              </w:rPr>
              <w:t>tax exemption or expenses that</w:t>
            </w:r>
          </w:p>
        </w:tc>
        <w:tc>
          <w:tcPr>
            <w:tcW w:w="766" w:type="pct"/>
            <w:shd w:val="clear" w:color="auto" w:fill="auto"/>
          </w:tcPr>
          <w:p w14:paraId="69D04703" w14:textId="77777777" w:rsidR="00DF15D0" w:rsidRPr="002D2F67" w:rsidRDefault="00DF15D0" w:rsidP="005611FE">
            <w:pPr>
              <w:ind w:right="-81"/>
              <w:jc w:val="right"/>
              <w:rPr>
                <w:rFonts w:ascii="Arial" w:hAnsi="Arial" w:cs="Arial"/>
                <w:color w:val="000000"/>
                <w:sz w:val="20"/>
                <w:szCs w:val="20"/>
              </w:rPr>
            </w:pPr>
          </w:p>
        </w:tc>
        <w:tc>
          <w:tcPr>
            <w:tcW w:w="767" w:type="pct"/>
            <w:shd w:val="clear" w:color="auto" w:fill="auto"/>
          </w:tcPr>
          <w:p w14:paraId="7641372C" w14:textId="77777777" w:rsidR="00DF15D0" w:rsidRPr="002D2F67" w:rsidRDefault="00DF15D0" w:rsidP="005611FE">
            <w:pPr>
              <w:ind w:right="-81"/>
              <w:jc w:val="right"/>
              <w:rPr>
                <w:rFonts w:ascii="Arial" w:hAnsi="Arial" w:cs="Arial"/>
                <w:color w:val="000000"/>
                <w:sz w:val="20"/>
                <w:szCs w:val="20"/>
              </w:rPr>
            </w:pPr>
          </w:p>
        </w:tc>
        <w:tc>
          <w:tcPr>
            <w:tcW w:w="766" w:type="pct"/>
            <w:shd w:val="clear" w:color="auto" w:fill="auto"/>
          </w:tcPr>
          <w:p w14:paraId="3EEE8134" w14:textId="77777777" w:rsidR="00DF15D0" w:rsidRPr="002D2F67" w:rsidRDefault="00DF15D0" w:rsidP="005611FE">
            <w:pPr>
              <w:ind w:right="-81"/>
              <w:jc w:val="right"/>
              <w:rPr>
                <w:rFonts w:ascii="Arial" w:hAnsi="Arial" w:cs="Arial"/>
                <w:color w:val="000000"/>
                <w:sz w:val="20"/>
                <w:szCs w:val="20"/>
              </w:rPr>
            </w:pPr>
          </w:p>
        </w:tc>
        <w:tc>
          <w:tcPr>
            <w:tcW w:w="767" w:type="pct"/>
            <w:shd w:val="clear" w:color="auto" w:fill="auto"/>
          </w:tcPr>
          <w:p w14:paraId="5EDF8939" w14:textId="77777777" w:rsidR="00DF15D0" w:rsidRPr="002D2F67" w:rsidRDefault="00DF15D0" w:rsidP="005611FE">
            <w:pPr>
              <w:ind w:right="-81"/>
              <w:jc w:val="right"/>
              <w:rPr>
                <w:rFonts w:ascii="Arial" w:hAnsi="Arial" w:cs="Arial"/>
                <w:color w:val="000000"/>
                <w:sz w:val="20"/>
                <w:szCs w:val="20"/>
              </w:rPr>
            </w:pPr>
          </w:p>
        </w:tc>
      </w:tr>
      <w:tr w:rsidR="00DF15D0" w:rsidRPr="002D2F67" w14:paraId="3DEE130E" w14:textId="77777777" w:rsidTr="0077340D">
        <w:tc>
          <w:tcPr>
            <w:tcW w:w="1934" w:type="pct"/>
            <w:shd w:val="clear" w:color="auto" w:fill="auto"/>
            <w:vAlign w:val="bottom"/>
          </w:tcPr>
          <w:p w14:paraId="5B1ED4C3" w14:textId="77777777" w:rsidR="00DF15D0" w:rsidRPr="002D2F67" w:rsidRDefault="00DF15D0" w:rsidP="005611FE">
            <w:pPr>
              <w:tabs>
                <w:tab w:val="left" w:pos="1134"/>
                <w:tab w:val="left" w:pos="1276"/>
                <w:tab w:val="center" w:pos="3402"/>
                <w:tab w:val="center" w:pos="4536"/>
                <w:tab w:val="center" w:pos="5670"/>
                <w:tab w:val="center" w:pos="6804"/>
                <w:tab w:val="right" w:pos="7655"/>
              </w:tabs>
              <w:rPr>
                <w:rFonts w:ascii="Arial" w:hAnsi="Arial" w:cs="Arial"/>
                <w:color w:val="000000"/>
                <w:spacing w:val="-4"/>
                <w:sz w:val="20"/>
                <w:szCs w:val="20"/>
              </w:rPr>
            </w:pPr>
            <w:r w:rsidRPr="002D2F67">
              <w:rPr>
                <w:rFonts w:ascii="Arial" w:hAnsi="Arial" w:cs="Arial"/>
                <w:color w:val="000000"/>
                <w:sz w:val="20"/>
                <w:szCs w:val="20"/>
              </w:rPr>
              <w:t xml:space="preserve">   </w:t>
            </w:r>
            <w:r w:rsidRPr="002D2F67">
              <w:rPr>
                <w:rFonts w:ascii="Arial" w:hAnsi="Arial" w:cs="Arial"/>
                <w:color w:val="000000"/>
                <w:spacing w:val="-4"/>
                <w:sz w:val="20"/>
                <w:szCs w:val="20"/>
              </w:rPr>
              <w:t>are deductible at a greater amount</w:t>
            </w:r>
          </w:p>
        </w:tc>
        <w:tc>
          <w:tcPr>
            <w:tcW w:w="766" w:type="pct"/>
            <w:shd w:val="clear" w:color="auto" w:fill="auto"/>
          </w:tcPr>
          <w:p w14:paraId="48D53087" w14:textId="3F440E1B" w:rsidR="00DF15D0" w:rsidRPr="002D2F67" w:rsidRDefault="0077340D" w:rsidP="005611FE">
            <w:pPr>
              <w:ind w:right="-81"/>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30</w:t>
            </w:r>
            <w:r w:rsidRPr="002D2F67">
              <w:rPr>
                <w:rFonts w:ascii="Arial" w:hAnsi="Arial" w:cs="Arial"/>
                <w:color w:val="000000"/>
                <w:sz w:val="20"/>
                <w:szCs w:val="20"/>
              </w:rPr>
              <w:t>,</w:t>
            </w:r>
            <w:r w:rsidR="00CD5714" w:rsidRPr="00CD5714">
              <w:rPr>
                <w:rFonts w:ascii="Arial" w:hAnsi="Arial" w:cs="Arial"/>
                <w:color w:val="000000"/>
                <w:sz w:val="20"/>
                <w:szCs w:val="20"/>
                <w:lang w:val="en-GB"/>
              </w:rPr>
              <w:t>213</w:t>
            </w:r>
            <w:r w:rsidRPr="002D2F67">
              <w:rPr>
                <w:rFonts w:ascii="Arial" w:hAnsi="Arial" w:cs="Arial"/>
                <w:color w:val="000000"/>
                <w:sz w:val="20"/>
                <w:szCs w:val="20"/>
              </w:rPr>
              <w:t>)</w:t>
            </w:r>
          </w:p>
        </w:tc>
        <w:tc>
          <w:tcPr>
            <w:tcW w:w="767" w:type="pct"/>
            <w:shd w:val="clear" w:color="auto" w:fill="auto"/>
          </w:tcPr>
          <w:p w14:paraId="35B39644" w14:textId="65F3BD9B" w:rsidR="00DF15D0" w:rsidRPr="002D2F67" w:rsidRDefault="00DF15D0" w:rsidP="005611FE">
            <w:pPr>
              <w:ind w:right="-81"/>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15</w:t>
            </w:r>
            <w:r w:rsidRPr="002D2F67">
              <w:rPr>
                <w:rFonts w:ascii="Arial" w:hAnsi="Arial" w:cs="Arial"/>
                <w:color w:val="000000"/>
                <w:sz w:val="20"/>
                <w:szCs w:val="20"/>
              </w:rPr>
              <w:t>,</w:t>
            </w:r>
            <w:r w:rsidR="00CD5714" w:rsidRPr="00CD5714">
              <w:rPr>
                <w:rFonts w:ascii="Arial" w:hAnsi="Arial" w:cs="Arial"/>
                <w:color w:val="000000"/>
                <w:sz w:val="20"/>
                <w:szCs w:val="20"/>
                <w:lang w:val="en-GB"/>
              </w:rPr>
              <w:t>870</w:t>
            </w:r>
            <w:r w:rsidRPr="002D2F67">
              <w:rPr>
                <w:rFonts w:ascii="Arial" w:hAnsi="Arial" w:cs="Arial"/>
                <w:color w:val="000000"/>
                <w:sz w:val="20"/>
                <w:szCs w:val="20"/>
              </w:rPr>
              <w:t>)</w:t>
            </w:r>
          </w:p>
        </w:tc>
        <w:tc>
          <w:tcPr>
            <w:tcW w:w="766" w:type="pct"/>
            <w:shd w:val="clear" w:color="auto" w:fill="auto"/>
            <w:vAlign w:val="bottom"/>
          </w:tcPr>
          <w:p w14:paraId="459885C5" w14:textId="4BF99F4D" w:rsidR="00DF15D0" w:rsidRPr="002D2F67" w:rsidRDefault="0077340D" w:rsidP="005611FE">
            <w:pPr>
              <w:ind w:right="-81"/>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w:t>
            </w:r>
            <w:r w:rsidRPr="002D2F67">
              <w:rPr>
                <w:rFonts w:ascii="Arial" w:hAnsi="Arial" w:cs="Arial"/>
                <w:color w:val="000000"/>
                <w:sz w:val="20"/>
                <w:szCs w:val="20"/>
              </w:rPr>
              <w:t>,</w:t>
            </w:r>
            <w:r w:rsidR="00CD5714" w:rsidRPr="00CD5714">
              <w:rPr>
                <w:rFonts w:ascii="Arial" w:hAnsi="Arial" w:cs="Arial"/>
                <w:color w:val="000000"/>
                <w:sz w:val="20"/>
                <w:szCs w:val="20"/>
                <w:lang w:val="en-GB"/>
              </w:rPr>
              <w:t>979</w:t>
            </w:r>
            <w:r w:rsidRPr="002D2F67">
              <w:rPr>
                <w:rFonts w:ascii="Arial" w:hAnsi="Arial" w:cs="Arial"/>
                <w:color w:val="000000"/>
                <w:sz w:val="20"/>
                <w:szCs w:val="20"/>
              </w:rPr>
              <w:t>)</w:t>
            </w:r>
          </w:p>
        </w:tc>
        <w:tc>
          <w:tcPr>
            <w:tcW w:w="767" w:type="pct"/>
            <w:shd w:val="clear" w:color="auto" w:fill="auto"/>
            <w:vAlign w:val="bottom"/>
          </w:tcPr>
          <w:p w14:paraId="0750B2F5" w14:textId="10030FBE" w:rsidR="00DF15D0" w:rsidRPr="002D2F67" w:rsidRDefault="00DF15D0" w:rsidP="005611FE">
            <w:pPr>
              <w:ind w:right="-81"/>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2</w:t>
            </w:r>
            <w:r w:rsidRPr="002D2F67">
              <w:rPr>
                <w:rFonts w:ascii="Arial" w:hAnsi="Arial" w:cs="Arial"/>
                <w:color w:val="000000"/>
                <w:sz w:val="20"/>
                <w:szCs w:val="20"/>
              </w:rPr>
              <w:t>,</w:t>
            </w:r>
            <w:r w:rsidR="00CD5714" w:rsidRPr="00CD5714">
              <w:rPr>
                <w:rFonts w:ascii="Arial" w:hAnsi="Arial" w:cs="Arial"/>
                <w:color w:val="000000"/>
                <w:sz w:val="20"/>
                <w:szCs w:val="20"/>
                <w:lang w:val="en-GB"/>
              </w:rPr>
              <w:t>415</w:t>
            </w:r>
            <w:r w:rsidRPr="002D2F67">
              <w:rPr>
                <w:rFonts w:ascii="Arial" w:hAnsi="Arial" w:cs="Arial"/>
                <w:color w:val="000000"/>
                <w:sz w:val="20"/>
                <w:szCs w:val="20"/>
              </w:rPr>
              <w:t>)</w:t>
            </w:r>
          </w:p>
        </w:tc>
      </w:tr>
      <w:tr w:rsidR="000623F0" w:rsidRPr="002D2F67" w14:paraId="739DD3F0" w14:textId="77777777" w:rsidTr="005611FE">
        <w:tc>
          <w:tcPr>
            <w:tcW w:w="1934" w:type="pct"/>
            <w:shd w:val="clear" w:color="auto" w:fill="auto"/>
            <w:vAlign w:val="bottom"/>
          </w:tcPr>
          <w:p w14:paraId="367B2882" w14:textId="5F7C2787" w:rsidR="000623F0" w:rsidRPr="002D2F67" w:rsidRDefault="00C84680" w:rsidP="005611FE">
            <w:pPr>
              <w:tabs>
                <w:tab w:val="left" w:pos="1134"/>
                <w:tab w:val="left" w:pos="1276"/>
                <w:tab w:val="center" w:pos="3402"/>
                <w:tab w:val="center" w:pos="4536"/>
                <w:tab w:val="center" w:pos="5670"/>
                <w:tab w:val="center" w:pos="6804"/>
                <w:tab w:val="right" w:pos="7655"/>
              </w:tabs>
              <w:rPr>
                <w:rFonts w:ascii="Arial" w:hAnsi="Arial" w:cs="Arial"/>
                <w:color w:val="000000"/>
                <w:sz w:val="20"/>
                <w:szCs w:val="20"/>
              </w:rPr>
            </w:pPr>
            <w:r w:rsidRPr="002D2F67">
              <w:rPr>
                <w:rFonts w:ascii="Arial" w:hAnsi="Arial" w:cs="Arial"/>
                <w:color w:val="000000"/>
                <w:sz w:val="20"/>
                <w:szCs w:val="20"/>
              </w:rPr>
              <w:t>Adjustments from prior periods</w:t>
            </w:r>
          </w:p>
        </w:tc>
        <w:tc>
          <w:tcPr>
            <w:tcW w:w="766" w:type="pct"/>
            <w:tcBorders>
              <w:bottom w:val="single" w:sz="4" w:space="0" w:color="auto"/>
            </w:tcBorders>
            <w:shd w:val="clear" w:color="auto" w:fill="auto"/>
          </w:tcPr>
          <w:p w14:paraId="2DCDC11E" w14:textId="6C6CF113" w:rsidR="000623F0" w:rsidRPr="002D2F67" w:rsidRDefault="0077340D" w:rsidP="005611FE">
            <w:pPr>
              <w:ind w:right="-81"/>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14</w:t>
            </w:r>
            <w:r w:rsidRPr="002D2F67">
              <w:rPr>
                <w:rFonts w:ascii="Arial" w:hAnsi="Arial" w:cs="Arial"/>
                <w:color w:val="000000"/>
                <w:sz w:val="20"/>
                <w:szCs w:val="20"/>
              </w:rPr>
              <w:t>,</w:t>
            </w:r>
            <w:r w:rsidR="00CD5714" w:rsidRPr="00CD5714">
              <w:rPr>
                <w:rFonts w:ascii="Arial" w:hAnsi="Arial" w:cs="Arial"/>
                <w:color w:val="000000"/>
                <w:sz w:val="20"/>
                <w:szCs w:val="20"/>
                <w:lang w:val="en-GB"/>
              </w:rPr>
              <w:t>410</w:t>
            </w:r>
            <w:r w:rsidRPr="002D2F67">
              <w:rPr>
                <w:rFonts w:ascii="Arial" w:hAnsi="Arial" w:cs="Arial"/>
                <w:color w:val="000000"/>
                <w:sz w:val="20"/>
                <w:szCs w:val="20"/>
              </w:rPr>
              <w:t>)</w:t>
            </w:r>
          </w:p>
        </w:tc>
        <w:tc>
          <w:tcPr>
            <w:tcW w:w="767" w:type="pct"/>
            <w:tcBorders>
              <w:bottom w:val="single" w:sz="4" w:space="0" w:color="auto"/>
            </w:tcBorders>
            <w:shd w:val="clear" w:color="auto" w:fill="auto"/>
          </w:tcPr>
          <w:p w14:paraId="49767716" w14:textId="09CE60CF" w:rsidR="000623F0" w:rsidRPr="002D2F67" w:rsidRDefault="0077340D" w:rsidP="005611FE">
            <w:pPr>
              <w:ind w:right="-81"/>
              <w:jc w:val="right"/>
              <w:rPr>
                <w:rFonts w:ascii="Arial" w:hAnsi="Arial" w:cs="Arial"/>
                <w:color w:val="000000"/>
                <w:sz w:val="20"/>
                <w:szCs w:val="20"/>
              </w:rPr>
            </w:pPr>
            <w:r w:rsidRPr="002D2F67">
              <w:rPr>
                <w:rFonts w:ascii="Arial" w:hAnsi="Arial" w:cs="Arial"/>
                <w:color w:val="000000"/>
                <w:sz w:val="20"/>
                <w:szCs w:val="20"/>
              </w:rPr>
              <w:t>-</w:t>
            </w:r>
          </w:p>
        </w:tc>
        <w:tc>
          <w:tcPr>
            <w:tcW w:w="766" w:type="pct"/>
            <w:tcBorders>
              <w:bottom w:val="single" w:sz="4" w:space="0" w:color="auto"/>
            </w:tcBorders>
            <w:shd w:val="clear" w:color="auto" w:fill="auto"/>
            <w:vAlign w:val="bottom"/>
          </w:tcPr>
          <w:p w14:paraId="60C36301" w14:textId="64CEF2EC" w:rsidR="000623F0" w:rsidRPr="002D2F67" w:rsidRDefault="0077340D" w:rsidP="005611FE">
            <w:pPr>
              <w:ind w:right="-81"/>
              <w:jc w:val="right"/>
              <w:rPr>
                <w:rFonts w:ascii="Arial" w:hAnsi="Arial" w:cs="Arial"/>
                <w:color w:val="000000"/>
                <w:sz w:val="20"/>
                <w:szCs w:val="20"/>
              </w:rPr>
            </w:pPr>
            <w:r w:rsidRPr="002D2F67">
              <w:rPr>
                <w:rFonts w:ascii="Arial" w:hAnsi="Arial" w:cs="Arial"/>
                <w:color w:val="000000"/>
                <w:sz w:val="20"/>
                <w:szCs w:val="20"/>
              </w:rPr>
              <w:t>-</w:t>
            </w:r>
          </w:p>
        </w:tc>
        <w:tc>
          <w:tcPr>
            <w:tcW w:w="767" w:type="pct"/>
            <w:tcBorders>
              <w:bottom w:val="single" w:sz="4" w:space="0" w:color="auto"/>
            </w:tcBorders>
            <w:shd w:val="clear" w:color="auto" w:fill="auto"/>
            <w:vAlign w:val="bottom"/>
          </w:tcPr>
          <w:p w14:paraId="42B9F94D" w14:textId="3F1E55CD" w:rsidR="000623F0" w:rsidRPr="002D2F67" w:rsidRDefault="0077340D" w:rsidP="005611FE">
            <w:pPr>
              <w:ind w:right="-81"/>
              <w:jc w:val="right"/>
              <w:rPr>
                <w:rFonts w:ascii="Arial" w:hAnsi="Arial" w:cs="Arial"/>
                <w:color w:val="000000"/>
                <w:sz w:val="20"/>
                <w:szCs w:val="20"/>
              </w:rPr>
            </w:pPr>
            <w:r w:rsidRPr="002D2F67">
              <w:rPr>
                <w:rFonts w:ascii="Arial" w:hAnsi="Arial" w:cs="Arial"/>
                <w:color w:val="000000"/>
                <w:sz w:val="20"/>
                <w:szCs w:val="20"/>
              </w:rPr>
              <w:t>-</w:t>
            </w:r>
          </w:p>
        </w:tc>
      </w:tr>
      <w:tr w:rsidR="00A56551" w:rsidRPr="002D2F67" w14:paraId="1F4C66F7" w14:textId="77777777" w:rsidTr="00A56551">
        <w:tc>
          <w:tcPr>
            <w:tcW w:w="1934" w:type="pct"/>
            <w:shd w:val="clear" w:color="auto" w:fill="auto"/>
          </w:tcPr>
          <w:p w14:paraId="6553AAF0" w14:textId="77777777" w:rsidR="00A56551" w:rsidRPr="002D2F67" w:rsidRDefault="00A56551" w:rsidP="005611FE">
            <w:pPr>
              <w:tabs>
                <w:tab w:val="left" w:pos="1134"/>
                <w:tab w:val="left" w:pos="1276"/>
                <w:tab w:val="center" w:pos="3402"/>
                <w:tab w:val="center" w:pos="4536"/>
                <w:tab w:val="center" w:pos="5670"/>
                <w:tab w:val="center" w:pos="6804"/>
                <w:tab w:val="right" w:pos="7655"/>
              </w:tabs>
              <w:rPr>
                <w:rFonts w:ascii="Arial" w:hAnsi="Arial" w:cs="Arial"/>
                <w:color w:val="000000"/>
                <w:sz w:val="20"/>
                <w:szCs w:val="20"/>
              </w:rPr>
            </w:pPr>
          </w:p>
        </w:tc>
        <w:tc>
          <w:tcPr>
            <w:tcW w:w="766" w:type="pct"/>
            <w:shd w:val="clear" w:color="auto" w:fill="auto"/>
          </w:tcPr>
          <w:p w14:paraId="55D1B199" w14:textId="77777777" w:rsidR="00A56551" w:rsidRPr="002D2F67" w:rsidRDefault="00A56551" w:rsidP="005611FE">
            <w:pPr>
              <w:ind w:right="-81"/>
              <w:jc w:val="right"/>
              <w:rPr>
                <w:rFonts w:ascii="Arial" w:hAnsi="Arial" w:cs="Arial"/>
                <w:color w:val="000000"/>
                <w:sz w:val="20"/>
                <w:szCs w:val="20"/>
              </w:rPr>
            </w:pPr>
          </w:p>
        </w:tc>
        <w:tc>
          <w:tcPr>
            <w:tcW w:w="767" w:type="pct"/>
            <w:shd w:val="clear" w:color="auto" w:fill="auto"/>
          </w:tcPr>
          <w:p w14:paraId="68971073" w14:textId="77777777" w:rsidR="00A56551" w:rsidRPr="002D2F67" w:rsidRDefault="00A56551" w:rsidP="005611FE">
            <w:pPr>
              <w:ind w:right="-81"/>
              <w:jc w:val="right"/>
              <w:rPr>
                <w:rFonts w:ascii="Arial" w:hAnsi="Arial" w:cs="Arial"/>
                <w:color w:val="000000"/>
                <w:sz w:val="20"/>
                <w:szCs w:val="20"/>
              </w:rPr>
            </w:pPr>
          </w:p>
        </w:tc>
        <w:tc>
          <w:tcPr>
            <w:tcW w:w="766" w:type="pct"/>
            <w:shd w:val="clear" w:color="auto" w:fill="auto"/>
            <w:vAlign w:val="bottom"/>
          </w:tcPr>
          <w:p w14:paraId="065EEBC4" w14:textId="77777777" w:rsidR="00A56551" w:rsidRPr="002D2F67" w:rsidRDefault="00A56551" w:rsidP="005611FE">
            <w:pPr>
              <w:ind w:right="-81"/>
              <w:jc w:val="right"/>
              <w:rPr>
                <w:rFonts w:ascii="Arial" w:hAnsi="Arial" w:cs="Arial"/>
                <w:color w:val="000000"/>
                <w:sz w:val="20"/>
                <w:szCs w:val="20"/>
              </w:rPr>
            </w:pPr>
          </w:p>
        </w:tc>
        <w:tc>
          <w:tcPr>
            <w:tcW w:w="767" w:type="pct"/>
            <w:shd w:val="clear" w:color="auto" w:fill="auto"/>
            <w:vAlign w:val="bottom"/>
          </w:tcPr>
          <w:p w14:paraId="02876578" w14:textId="77777777" w:rsidR="00A56551" w:rsidRPr="002D2F67" w:rsidRDefault="00A56551" w:rsidP="005611FE">
            <w:pPr>
              <w:ind w:right="-81"/>
              <w:jc w:val="right"/>
              <w:rPr>
                <w:rFonts w:ascii="Arial" w:hAnsi="Arial" w:cs="Arial"/>
                <w:color w:val="000000"/>
                <w:sz w:val="20"/>
                <w:szCs w:val="20"/>
              </w:rPr>
            </w:pPr>
          </w:p>
        </w:tc>
      </w:tr>
      <w:tr w:rsidR="00DF15D0" w:rsidRPr="002D2F67" w14:paraId="34B21578" w14:textId="77777777" w:rsidTr="00A56551">
        <w:tc>
          <w:tcPr>
            <w:tcW w:w="1934" w:type="pct"/>
            <w:shd w:val="clear" w:color="auto" w:fill="auto"/>
          </w:tcPr>
          <w:p w14:paraId="715DE6CF" w14:textId="27B6DDA1" w:rsidR="00DF15D0" w:rsidRPr="002D2F67" w:rsidRDefault="0077340D" w:rsidP="005611FE">
            <w:pPr>
              <w:tabs>
                <w:tab w:val="left" w:pos="1134"/>
                <w:tab w:val="left" w:pos="1276"/>
                <w:tab w:val="center" w:pos="3402"/>
                <w:tab w:val="center" w:pos="4536"/>
                <w:tab w:val="center" w:pos="5670"/>
                <w:tab w:val="center" w:pos="6804"/>
                <w:tab w:val="right" w:pos="7655"/>
              </w:tabs>
              <w:rPr>
                <w:rFonts w:ascii="Arial" w:hAnsi="Arial" w:cs="Arial"/>
                <w:color w:val="000000"/>
                <w:sz w:val="20"/>
                <w:szCs w:val="20"/>
              </w:rPr>
            </w:pPr>
            <w:r w:rsidRPr="002D2F67">
              <w:rPr>
                <w:rFonts w:ascii="Arial" w:hAnsi="Arial" w:cs="Arial"/>
                <w:color w:val="000000"/>
                <w:sz w:val="20"/>
                <w:szCs w:val="20"/>
              </w:rPr>
              <w:t>Income tax</w:t>
            </w:r>
          </w:p>
        </w:tc>
        <w:tc>
          <w:tcPr>
            <w:tcW w:w="766" w:type="pct"/>
            <w:tcBorders>
              <w:bottom w:val="single" w:sz="4" w:space="0" w:color="auto"/>
            </w:tcBorders>
            <w:shd w:val="clear" w:color="auto" w:fill="auto"/>
          </w:tcPr>
          <w:p w14:paraId="3A6C9487" w14:textId="2DADD654" w:rsidR="00DF15D0" w:rsidRPr="002D2F67" w:rsidRDefault="00CD5714" w:rsidP="005611FE">
            <w:pPr>
              <w:ind w:right="-81"/>
              <w:jc w:val="right"/>
              <w:rPr>
                <w:rFonts w:ascii="Arial" w:hAnsi="Arial" w:cs="Arial"/>
                <w:color w:val="000000"/>
                <w:sz w:val="20"/>
                <w:szCs w:val="20"/>
              </w:rPr>
            </w:pPr>
            <w:r w:rsidRPr="00CD5714">
              <w:rPr>
                <w:rFonts w:ascii="Arial" w:hAnsi="Arial" w:cs="Arial"/>
                <w:color w:val="000000"/>
                <w:sz w:val="20"/>
                <w:szCs w:val="20"/>
                <w:lang w:val="en-GB"/>
              </w:rPr>
              <w:t>252</w:t>
            </w:r>
            <w:r w:rsidR="001F3547" w:rsidRPr="002D2F67">
              <w:rPr>
                <w:rFonts w:ascii="Arial" w:hAnsi="Arial" w:cs="Arial"/>
                <w:color w:val="000000"/>
                <w:sz w:val="20"/>
                <w:szCs w:val="20"/>
              </w:rPr>
              <w:t>,</w:t>
            </w:r>
            <w:r w:rsidRPr="00CD5714">
              <w:rPr>
                <w:rFonts w:ascii="Arial" w:hAnsi="Arial" w:cs="Arial"/>
                <w:color w:val="000000"/>
                <w:sz w:val="20"/>
                <w:szCs w:val="20"/>
                <w:lang w:val="en-GB"/>
              </w:rPr>
              <w:t>622</w:t>
            </w:r>
          </w:p>
        </w:tc>
        <w:tc>
          <w:tcPr>
            <w:tcW w:w="767" w:type="pct"/>
            <w:tcBorders>
              <w:bottom w:val="single" w:sz="4" w:space="0" w:color="auto"/>
            </w:tcBorders>
            <w:shd w:val="clear" w:color="auto" w:fill="auto"/>
          </w:tcPr>
          <w:p w14:paraId="728AC64C" w14:textId="454C38F4" w:rsidR="00DF15D0" w:rsidRPr="002D2F67" w:rsidRDefault="00CD5714" w:rsidP="005611FE">
            <w:pPr>
              <w:ind w:right="-81"/>
              <w:jc w:val="right"/>
              <w:rPr>
                <w:rFonts w:ascii="Arial" w:hAnsi="Arial" w:cs="Arial"/>
                <w:color w:val="000000"/>
                <w:sz w:val="20"/>
                <w:szCs w:val="20"/>
              </w:rPr>
            </w:pPr>
            <w:r w:rsidRPr="00CD5714">
              <w:rPr>
                <w:rFonts w:ascii="Arial" w:hAnsi="Arial" w:cs="Arial"/>
                <w:color w:val="000000"/>
                <w:sz w:val="20"/>
                <w:szCs w:val="20"/>
                <w:lang w:val="en-GB"/>
              </w:rPr>
              <w:t>235</w:t>
            </w:r>
            <w:r w:rsidR="0077340D" w:rsidRPr="002D2F67">
              <w:rPr>
                <w:rFonts w:ascii="Arial" w:hAnsi="Arial" w:cs="Arial"/>
                <w:color w:val="000000"/>
                <w:sz w:val="20"/>
                <w:szCs w:val="20"/>
              </w:rPr>
              <w:t>,</w:t>
            </w:r>
            <w:r w:rsidRPr="00CD5714">
              <w:rPr>
                <w:rFonts w:ascii="Arial" w:hAnsi="Arial" w:cs="Arial"/>
                <w:color w:val="000000"/>
                <w:sz w:val="20"/>
                <w:szCs w:val="20"/>
                <w:lang w:val="en-GB"/>
              </w:rPr>
              <w:t>521</w:t>
            </w:r>
          </w:p>
        </w:tc>
        <w:tc>
          <w:tcPr>
            <w:tcW w:w="766" w:type="pct"/>
            <w:tcBorders>
              <w:bottom w:val="single" w:sz="4" w:space="0" w:color="auto"/>
            </w:tcBorders>
            <w:shd w:val="clear" w:color="auto" w:fill="auto"/>
            <w:vAlign w:val="bottom"/>
          </w:tcPr>
          <w:p w14:paraId="50E647D8" w14:textId="453545C1" w:rsidR="00DF15D0" w:rsidRPr="002D2F67" w:rsidRDefault="00CD5714" w:rsidP="005611FE">
            <w:pPr>
              <w:ind w:right="-81"/>
              <w:jc w:val="right"/>
              <w:rPr>
                <w:rFonts w:ascii="Arial" w:hAnsi="Arial" w:cs="Arial"/>
                <w:color w:val="000000"/>
                <w:sz w:val="20"/>
                <w:szCs w:val="20"/>
              </w:rPr>
            </w:pPr>
            <w:r w:rsidRPr="00CD5714">
              <w:rPr>
                <w:rFonts w:ascii="Arial" w:hAnsi="Arial" w:cs="Arial"/>
                <w:color w:val="000000"/>
                <w:sz w:val="20"/>
                <w:szCs w:val="20"/>
                <w:lang w:val="en-GB"/>
              </w:rPr>
              <w:t>129</w:t>
            </w:r>
            <w:r w:rsidR="00D64E23" w:rsidRPr="002D2F67">
              <w:rPr>
                <w:rFonts w:ascii="Arial" w:hAnsi="Arial" w:cs="Arial"/>
                <w:color w:val="000000"/>
                <w:sz w:val="20"/>
                <w:szCs w:val="20"/>
              </w:rPr>
              <w:t>,</w:t>
            </w:r>
            <w:r w:rsidRPr="00CD5714">
              <w:rPr>
                <w:rFonts w:ascii="Arial" w:hAnsi="Arial" w:cs="Arial"/>
                <w:color w:val="000000"/>
                <w:sz w:val="20"/>
                <w:szCs w:val="20"/>
                <w:lang w:val="en-GB"/>
              </w:rPr>
              <w:t>390</w:t>
            </w:r>
          </w:p>
        </w:tc>
        <w:tc>
          <w:tcPr>
            <w:tcW w:w="767" w:type="pct"/>
            <w:tcBorders>
              <w:bottom w:val="single" w:sz="4" w:space="0" w:color="auto"/>
            </w:tcBorders>
            <w:shd w:val="clear" w:color="auto" w:fill="auto"/>
            <w:vAlign w:val="bottom"/>
          </w:tcPr>
          <w:p w14:paraId="2D5F1B96" w14:textId="53997237" w:rsidR="00DF15D0" w:rsidRPr="002D2F67" w:rsidRDefault="00CD5714" w:rsidP="005611FE">
            <w:pPr>
              <w:ind w:right="-81"/>
              <w:jc w:val="right"/>
              <w:rPr>
                <w:rFonts w:ascii="Arial" w:hAnsi="Arial" w:cs="Arial"/>
                <w:color w:val="000000"/>
                <w:sz w:val="20"/>
                <w:szCs w:val="20"/>
              </w:rPr>
            </w:pPr>
            <w:r w:rsidRPr="00CD5714">
              <w:rPr>
                <w:rFonts w:ascii="Arial" w:hAnsi="Arial" w:cs="Arial"/>
                <w:color w:val="000000"/>
                <w:sz w:val="20"/>
                <w:szCs w:val="20"/>
                <w:lang w:val="en-GB"/>
              </w:rPr>
              <w:t>126</w:t>
            </w:r>
            <w:r w:rsidR="0077340D" w:rsidRPr="002D2F67">
              <w:rPr>
                <w:rFonts w:ascii="Arial" w:hAnsi="Arial" w:cs="Arial"/>
                <w:color w:val="000000"/>
                <w:sz w:val="20"/>
                <w:szCs w:val="20"/>
              </w:rPr>
              <w:t>,</w:t>
            </w:r>
            <w:r w:rsidRPr="00CD5714">
              <w:rPr>
                <w:rFonts w:ascii="Arial" w:hAnsi="Arial" w:cs="Arial"/>
                <w:color w:val="000000"/>
                <w:sz w:val="20"/>
                <w:szCs w:val="20"/>
                <w:lang w:val="en-GB"/>
              </w:rPr>
              <w:t>193</w:t>
            </w:r>
          </w:p>
        </w:tc>
      </w:tr>
    </w:tbl>
    <w:p w14:paraId="2EA0579B" w14:textId="77777777" w:rsidR="001E6C66" w:rsidRPr="002D2F67" w:rsidRDefault="001E6C66" w:rsidP="005611FE">
      <w:pPr>
        <w:pStyle w:val="BodyTextIndent2"/>
        <w:spacing w:line="240" w:lineRule="auto"/>
        <w:ind w:left="0"/>
        <w:rPr>
          <w:rFonts w:ascii="Arial" w:hAnsi="Arial" w:cs="Arial"/>
          <w:spacing w:val="-2"/>
        </w:rPr>
      </w:pPr>
    </w:p>
    <w:p w14:paraId="584DA448" w14:textId="5918D268" w:rsidR="001E6C66" w:rsidRPr="002D2F67" w:rsidRDefault="001E6C66" w:rsidP="005611FE">
      <w:pPr>
        <w:pStyle w:val="BodyTextIndent2"/>
        <w:spacing w:line="240" w:lineRule="auto"/>
        <w:ind w:left="0"/>
        <w:rPr>
          <w:rFonts w:ascii="Arial" w:hAnsi="Arial" w:cs="Arial"/>
          <w:spacing w:val="-2"/>
        </w:rPr>
      </w:pPr>
      <w:r w:rsidRPr="002D2F67">
        <w:rPr>
          <w:rFonts w:ascii="Arial" w:hAnsi="Arial" w:cs="Arial"/>
          <w:spacing w:val="-4"/>
        </w:rPr>
        <w:t xml:space="preserve">The weighted average applicable tax rate for the Group and the Company were </w:t>
      </w:r>
      <w:r w:rsidR="00CD5714" w:rsidRPr="00CD5714">
        <w:rPr>
          <w:rFonts w:ascii="Arial" w:hAnsi="Arial" w:cs="Arial"/>
          <w:spacing w:val="-4"/>
          <w:lang w:val="en-GB"/>
        </w:rPr>
        <w:t>4</w:t>
      </w:r>
      <w:r w:rsidR="00D64E23" w:rsidRPr="002D2F67">
        <w:rPr>
          <w:rFonts w:ascii="Arial" w:hAnsi="Arial" w:cs="Arial"/>
          <w:spacing w:val="-4"/>
        </w:rPr>
        <w:t>.</w:t>
      </w:r>
      <w:r w:rsidR="00CD5714" w:rsidRPr="00CD5714">
        <w:rPr>
          <w:rFonts w:ascii="Arial" w:hAnsi="Arial" w:cs="Arial"/>
          <w:spacing w:val="-4"/>
          <w:lang w:val="en-GB"/>
        </w:rPr>
        <w:t>62</w:t>
      </w:r>
      <w:r w:rsidRPr="002D2F67">
        <w:rPr>
          <w:rFonts w:ascii="Arial" w:hAnsi="Arial" w:cs="Arial"/>
          <w:spacing w:val="-4"/>
        </w:rPr>
        <w:t xml:space="preserve">% and </w:t>
      </w:r>
      <w:r w:rsidR="00CD5714" w:rsidRPr="00CD5714">
        <w:rPr>
          <w:rFonts w:ascii="Arial" w:hAnsi="Arial" w:cs="Arial"/>
          <w:spacing w:val="-4"/>
          <w:lang w:val="en-GB"/>
        </w:rPr>
        <w:t>1</w:t>
      </w:r>
      <w:r w:rsidR="00D64E23" w:rsidRPr="002D2F67">
        <w:rPr>
          <w:rFonts w:ascii="Arial" w:hAnsi="Arial" w:cs="Arial"/>
          <w:spacing w:val="-4"/>
        </w:rPr>
        <w:t>.</w:t>
      </w:r>
      <w:r w:rsidR="00CD5714" w:rsidRPr="00CD5714">
        <w:rPr>
          <w:rFonts w:ascii="Arial" w:hAnsi="Arial" w:cs="Arial"/>
          <w:spacing w:val="-4"/>
          <w:lang w:val="en-GB"/>
        </w:rPr>
        <w:t>15</w:t>
      </w:r>
      <w:r w:rsidRPr="002D2F67">
        <w:rPr>
          <w:rFonts w:ascii="Arial" w:hAnsi="Arial" w:cs="Arial"/>
          <w:spacing w:val="-4"/>
        </w:rPr>
        <w:t>%, respectively</w:t>
      </w:r>
      <w:r w:rsidRPr="002D2F67">
        <w:rPr>
          <w:rFonts w:ascii="Arial" w:hAnsi="Arial" w:cs="Arial"/>
          <w:spacing w:val="-2"/>
        </w:rPr>
        <w:t xml:space="preserve"> (</w:t>
      </w:r>
      <w:r w:rsidR="00CD5714" w:rsidRPr="00CD5714">
        <w:rPr>
          <w:rFonts w:ascii="Arial" w:hAnsi="Arial" w:cs="Arial"/>
          <w:spacing w:val="-2"/>
          <w:lang w:val="en-GB"/>
        </w:rPr>
        <w:t>2023</w:t>
      </w:r>
      <w:r w:rsidRPr="002D2F67">
        <w:rPr>
          <w:rFonts w:ascii="Arial" w:hAnsi="Arial" w:cs="Arial"/>
          <w:spacing w:val="-2"/>
        </w:rPr>
        <w:t xml:space="preserve">: </w:t>
      </w:r>
      <w:r w:rsidR="00CD5714" w:rsidRPr="00CD5714">
        <w:rPr>
          <w:rFonts w:ascii="Arial" w:hAnsi="Arial" w:cs="Arial"/>
          <w:spacing w:val="-4"/>
          <w:lang w:val="en-GB"/>
        </w:rPr>
        <w:t>3</w:t>
      </w:r>
      <w:r w:rsidR="00DF15D0" w:rsidRPr="002D2F67">
        <w:rPr>
          <w:rFonts w:ascii="Arial" w:hAnsi="Arial" w:cs="Arial"/>
          <w:spacing w:val="-4"/>
        </w:rPr>
        <w:t>.</w:t>
      </w:r>
      <w:r w:rsidR="00CD5714" w:rsidRPr="00CD5714">
        <w:rPr>
          <w:rFonts w:ascii="Arial" w:hAnsi="Arial" w:cs="Arial"/>
          <w:spacing w:val="-4"/>
          <w:lang w:val="en-GB"/>
        </w:rPr>
        <w:t>04</w:t>
      </w:r>
      <w:r w:rsidR="00DF15D0" w:rsidRPr="002D2F67">
        <w:rPr>
          <w:rFonts w:ascii="Arial" w:hAnsi="Arial" w:cs="Arial"/>
          <w:spacing w:val="-4"/>
        </w:rPr>
        <w:t xml:space="preserve">% and </w:t>
      </w:r>
      <w:r w:rsidR="00CD5714" w:rsidRPr="00CD5714">
        <w:rPr>
          <w:rFonts w:ascii="Arial" w:hAnsi="Arial" w:cs="Arial"/>
          <w:spacing w:val="-4"/>
          <w:lang w:val="en-GB"/>
        </w:rPr>
        <w:t>0</w:t>
      </w:r>
      <w:r w:rsidR="00DF15D0" w:rsidRPr="002D2F67">
        <w:rPr>
          <w:rFonts w:ascii="Arial" w:hAnsi="Arial" w:cs="Arial"/>
          <w:spacing w:val="-4"/>
        </w:rPr>
        <w:t>.</w:t>
      </w:r>
      <w:r w:rsidR="00CD5714" w:rsidRPr="00CD5714">
        <w:rPr>
          <w:rFonts w:ascii="Arial" w:hAnsi="Arial" w:cs="Arial"/>
          <w:spacing w:val="-4"/>
          <w:lang w:val="en-GB"/>
        </w:rPr>
        <w:t>86</w:t>
      </w:r>
      <w:r w:rsidR="00DF15D0" w:rsidRPr="002D2F67">
        <w:rPr>
          <w:rFonts w:ascii="Arial" w:hAnsi="Arial" w:cs="Arial"/>
          <w:spacing w:val="-4"/>
        </w:rPr>
        <w:t>%</w:t>
      </w:r>
      <w:r w:rsidRPr="002D2F67">
        <w:rPr>
          <w:rFonts w:ascii="Arial" w:hAnsi="Arial" w:cs="Arial"/>
          <w:spacing w:val="-2"/>
        </w:rPr>
        <w:t>, respectively).</w:t>
      </w:r>
    </w:p>
    <w:p w14:paraId="4367B1F8" w14:textId="77777777" w:rsidR="001F7D75" w:rsidRPr="002D2F67" w:rsidRDefault="001F7D75" w:rsidP="005611FE">
      <w:pPr>
        <w:pStyle w:val="BodyTextIndent2"/>
        <w:spacing w:line="240" w:lineRule="auto"/>
        <w:ind w:left="0"/>
        <w:rPr>
          <w:rFonts w:ascii="Arial" w:hAnsi="Arial" w:cs="Arial"/>
          <w:spacing w:val="-2"/>
        </w:rPr>
      </w:pPr>
    </w:p>
    <w:p w14:paraId="2D750B95" w14:textId="67EB8A28" w:rsidR="00A56551" w:rsidRPr="002D2F67" w:rsidRDefault="00F832D6" w:rsidP="00E02507">
      <w:pPr>
        <w:jc w:val="both"/>
        <w:rPr>
          <w:rFonts w:ascii="Arial" w:hAnsi="Arial" w:cs="Arial"/>
          <w:sz w:val="20"/>
          <w:szCs w:val="20"/>
        </w:rPr>
      </w:pPr>
      <w:r w:rsidRPr="002D2F67">
        <w:rPr>
          <w:rFonts w:ascii="Arial" w:hAnsi="Arial" w:cs="Arial"/>
          <w:sz w:val="20"/>
          <w:szCs w:val="20"/>
        </w:rPr>
        <w:t xml:space="preserve">The Group has assessed the implication of the Pillar Two rules. Based on management’s assessment, the </w:t>
      </w:r>
      <w:r w:rsidRPr="002D2F67">
        <w:rPr>
          <w:rFonts w:ascii="Arial" w:hAnsi="Arial" w:cs="Arial"/>
          <w:spacing w:val="-6"/>
          <w:sz w:val="20"/>
          <w:szCs w:val="20"/>
        </w:rPr>
        <w:t xml:space="preserve">application of the Pillar Two legislation is expected to be immaterial to the consolidated financial statements, once effective on </w:t>
      </w:r>
      <w:r w:rsidR="00CD5714" w:rsidRPr="00CD5714">
        <w:rPr>
          <w:rFonts w:ascii="Arial" w:hAnsi="Arial" w:cs="Arial"/>
          <w:spacing w:val="-6"/>
          <w:sz w:val="20"/>
          <w:szCs w:val="20"/>
          <w:lang w:val="en-GB"/>
        </w:rPr>
        <w:t>1</w:t>
      </w:r>
      <w:r w:rsidRPr="002D2F67">
        <w:rPr>
          <w:rFonts w:ascii="Arial" w:hAnsi="Arial" w:cs="Arial"/>
          <w:spacing w:val="-6"/>
          <w:sz w:val="20"/>
          <w:szCs w:val="20"/>
        </w:rPr>
        <w:t xml:space="preserve"> January </w:t>
      </w:r>
      <w:r w:rsidR="00CD5714" w:rsidRPr="00CD5714">
        <w:rPr>
          <w:rFonts w:ascii="Arial" w:hAnsi="Arial" w:cs="Arial"/>
          <w:spacing w:val="-6"/>
          <w:sz w:val="20"/>
          <w:szCs w:val="20"/>
          <w:lang w:val="en-GB"/>
        </w:rPr>
        <w:t>2025</w:t>
      </w:r>
      <w:r w:rsidRPr="002D2F67">
        <w:rPr>
          <w:rFonts w:ascii="Arial" w:hAnsi="Arial" w:cs="Arial"/>
          <w:spacing w:val="-6"/>
          <w:sz w:val="20"/>
          <w:szCs w:val="20"/>
        </w:rPr>
        <w:t xml:space="preserve"> onwards, since the Company </w:t>
      </w:r>
      <w:r w:rsidRPr="002D2F67">
        <w:rPr>
          <w:rFonts w:ascii="Arial" w:eastAsia="Arial Unicode MS" w:hAnsi="Arial" w:cs="Arial"/>
          <w:spacing w:val="-6"/>
          <w:sz w:val="20"/>
          <w:szCs w:val="20"/>
        </w:rPr>
        <w:t>Ultimate Parent Entity (UPE)</w:t>
      </w:r>
      <w:r w:rsidRPr="002D2F67">
        <w:rPr>
          <w:rFonts w:ascii="Arial" w:hAnsi="Arial" w:cs="Arial"/>
          <w:spacing w:val="-6"/>
          <w:sz w:val="20"/>
          <w:szCs w:val="20"/>
        </w:rPr>
        <w:t xml:space="preserve"> does not qualify as a large multinational enterprise (MNEs)</w:t>
      </w:r>
      <w:r w:rsidRPr="002D2F67">
        <w:rPr>
          <w:rFonts w:ascii="Arial" w:hAnsi="Arial" w:cs="Arial"/>
          <w:sz w:val="20"/>
          <w:szCs w:val="20"/>
        </w:rPr>
        <w:t>.</w:t>
      </w:r>
    </w:p>
    <w:p w14:paraId="3CC10A58" w14:textId="77777777" w:rsidR="00A56551" w:rsidRPr="002D2F67" w:rsidRDefault="00A56551" w:rsidP="005611FE">
      <w:pPr>
        <w:jc w:val="thaiDistribute"/>
        <w:rPr>
          <w:rFonts w:ascii="Arial" w:hAnsi="Arial" w:cs="Arial"/>
          <w:color w:val="000000"/>
          <w:spacing w:val="-2"/>
          <w:sz w:val="20"/>
          <w:szCs w:val="20"/>
        </w:rPr>
      </w:pPr>
    </w:p>
    <w:p w14:paraId="21809DCA" w14:textId="77777777" w:rsidR="00E02507" w:rsidRPr="002D2F67" w:rsidRDefault="00E02507" w:rsidP="005611FE">
      <w:pPr>
        <w:jc w:val="thaiDistribute"/>
        <w:rPr>
          <w:rFonts w:ascii="Arial" w:hAnsi="Arial" w:cs="Arial"/>
          <w:color w:val="000000"/>
          <w:spacing w:val="-2"/>
          <w:sz w:val="20"/>
          <w:szCs w:val="20"/>
        </w:rPr>
      </w:pPr>
    </w:p>
    <w:p w14:paraId="3738D7F1" w14:textId="0F7F3478" w:rsidR="00B0675E"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39</w:t>
      </w:r>
      <w:r w:rsidR="00B0675E" w:rsidRPr="002D2F67">
        <w:rPr>
          <w:rFonts w:ascii="Arial" w:hAnsi="Arial" w:cs="Arial"/>
          <w:b/>
          <w:bCs/>
          <w:color w:val="000000"/>
          <w:kern w:val="26"/>
          <w:position w:val="-24"/>
          <w:sz w:val="20"/>
          <w:szCs w:val="20"/>
          <w:cs/>
        </w:rPr>
        <w:tab/>
      </w:r>
      <w:r w:rsidR="00B0675E" w:rsidRPr="002D2F67">
        <w:rPr>
          <w:rFonts w:ascii="Arial" w:hAnsi="Arial" w:cs="Arial"/>
          <w:b/>
          <w:bCs/>
          <w:color w:val="000000"/>
          <w:kern w:val="26"/>
          <w:position w:val="-24"/>
          <w:sz w:val="20"/>
          <w:szCs w:val="20"/>
        </w:rPr>
        <w:t>Earnings per share</w:t>
      </w:r>
    </w:p>
    <w:p w14:paraId="39C7A3E0" w14:textId="77777777" w:rsidR="001E6C66" w:rsidRPr="002D2F67" w:rsidRDefault="001E6C66" w:rsidP="005611FE">
      <w:pPr>
        <w:pStyle w:val="BodyTextIndent2"/>
        <w:spacing w:line="240" w:lineRule="auto"/>
        <w:ind w:left="0"/>
        <w:rPr>
          <w:rFonts w:ascii="Arial" w:hAnsi="Arial" w:cs="Arial"/>
          <w:spacing w:val="-2"/>
        </w:rPr>
      </w:pPr>
    </w:p>
    <w:tbl>
      <w:tblPr>
        <w:tblW w:w="4951" w:type="pct"/>
        <w:tblLook w:val="0000" w:firstRow="0" w:lastRow="0" w:firstColumn="0" w:lastColumn="0" w:noHBand="0" w:noVBand="0"/>
      </w:tblPr>
      <w:tblGrid>
        <w:gridCol w:w="3705"/>
        <w:gridCol w:w="1468"/>
        <w:gridCol w:w="1469"/>
        <w:gridCol w:w="1468"/>
        <w:gridCol w:w="1469"/>
      </w:tblGrid>
      <w:tr w:rsidR="001E6C66" w:rsidRPr="002D2F67" w14:paraId="65EDB431" w14:textId="77777777" w:rsidTr="008255E8">
        <w:trPr>
          <w:cantSplit/>
        </w:trPr>
        <w:tc>
          <w:tcPr>
            <w:tcW w:w="1934" w:type="pct"/>
            <w:shd w:val="clear" w:color="auto" w:fill="auto"/>
          </w:tcPr>
          <w:p w14:paraId="3AE6AA02" w14:textId="77777777" w:rsidR="001E6C66" w:rsidRPr="002D2F67" w:rsidRDefault="001E6C66" w:rsidP="005611FE">
            <w:pPr>
              <w:ind w:left="29"/>
              <w:rPr>
                <w:rFonts w:ascii="Arial" w:hAnsi="Arial" w:cs="Arial"/>
                <w:b/>
                <w:bCs/>
                <w:color w:val="000000"/>
                <w:sz w:val="20"/>
                <w:szCs w:val="20"/>
              </w:rPr>
            </w:pPr>
          </w:p>
        </w:tc>
        <w:tc>
          <w:tcPr>
            <w:tcW w:w="1533" w:type="pct"/>
            <w:gridSpan w:val="2"/>
            <w:tcBorders>
              <w:bottom w:val="single" w:sz="4" w:space="0" w:color="auto"/>
            </w:tcBorders>
            <w:shd w:val="clear" w:color="auto" w:fill="auto"/>
          </w:tcPr>
          <w:p w14:paraId="3E14DC34"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415089B0"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1533" w:type="pct"/>
            <w:gridSpan w:val="2"/>
            <w:tcBorders>
              <w:bottom w:val="single" w:sz="4" w:space="0" w:color="auto"/>
            </w:tcBorders>
            <w:shd w:val="clear" w:color="auto" w:fill="auto"/>
          </w:tcPr>
          <w:p w14:paraId="49BEF3C3"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Separate </w:t>
            </w:r>
          </w:p>
          <w:p w14:paraId="3D9A5CFA"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4A6CC8" w:rsidRPr="002D2F67" w14:paraId="24F7F34C" w14:textId="77777777" w:rsidTr="005611FE">
        <w:tc>
          <w:tcPr>
            <w:tcW w:w="1934" w:type="pct"/>
            <w:shd w:val="clear" w:color="auto" w:fill="auto"/>
          </w:tcPr>
          <w:p w14:paraId="6B269FAE" w14:textId="77777777" w:rsidR="004A6CC8" w:rsidRPr="002D2F67" w:rsidRDefault="004A6CC8" w:rsidP="005611FE">
            <w:pPr>
              <w:ind w:left="29" w:right="-87"/>
              <w:rPr>
                <w:rFonts w:ascii="Arial" w:hAnsi="Arial" w:cs="Arial"/>
                <w:b/>
                <w:bCs/>
                <w:color w:val="000000"/>
                <w:spacing w:val="-6"/>
                <w:sz w:val="20"/>
                <w:szCs w:val="20"/>
              </w:rPr>
            </w:pPr>
          </w:p>
        </w:tc>
        <w:tc>
          <w:tcPr>
            <w:tcW w:w="766" w:type="pct"/>
            <w:tcBorders>
              <w:bottom w:val="single" w:sz="4" w:space="0" w:color="auto"/>
            </w:tcBorders>
            <w:shd w:val="clear" w:color="auto" w:fill="auto"/>
          </w:tcPr>
          <w:p w14:paraId="43C8B4EC" w14:textId="2B28F9E0" w:rsidR="004A6CC8"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767" w:type="pct"/>
            <w:tcBorders>
              <w:bottom w:val="single" w:sz="4" w:space="0" w:color="auto"/>
            </w:tcBorders>
            <w:shd w:val="clear" w:color="auto" w:fill="auto"/>
          </w:tcPr>
          <w:p w14:paraId="05D18BFE" w14:textId="327DC679" w:rsidR="004A6CC8"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c>
          <w:tcPr>
            <w:tcW w:w="766" w:type="pct"/>
            <w:tcBorders>
              <w:bottom w:val="single" w:sz="4" w:space="0" w:color="auto"/>
            </w:tcBorders>
            <w:shd w:val="clear" w:color="auto" w:fill="auto"/>
          </w:tcPr>
          <w:p w14:paraId="52F442F9" w14:textId="49026D95" w:rsidR="004A6CC8"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767" w:type="pct"/>
            <w:tcBorders>
              <w:bottom w:val="single" w:sz="4" w:space="0" w:color="auto"/>
            </w:tcBorders>
            <w:shd w:val="clear" w:color="auto" w:fill="auto"/>
          </w:tcPr>
          <w:p w14:paraId="7FBA3108" w14:textId="47D3D1D5" w:rsidR="004A6CC8"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1E6C66" w:rsidRPr="002D2F67" w14:paraId="5E17F176" w14:textId="77777777" w:rsidTr="005611FE">
        <w:tc>
          <w:tcPr>
            <w:tcW w:w="1934" w:type="pct"/>
            <w:shd w:val="clear" w:color="auto" w:fill="auto"/>
          </w:tcPr>
          <w:p w14:paraId="573D79F5" w14:textId="77777777" w:rsidR="001E6C66" w:rsidRPr="002D2F67" w:rsidRDefault="001E6C66" w:rsidP="005611FE">
            <w:pPr>
              <w:ind w:left="29"/>
              <w:rPr>
                <w:rFonts w:ascii="Arial" w:hAnsi="Arial" w:cs="Arial"/>
                <w:color w:val="000000"/>
                <w:sz w:val="20"/>
                <w:szCs w:val="20"/>
              </w:rPr>
            </w:pPr>
          </w:p>
        </w:tc>
        <w:tc>
          <w:tcPr>
            <w:tcW w:w="766" w:type="pct"/>
            <w:tcBorders>
              <w:top w:val="single" w:sz="4" w:space="0" w:color="auto"/>
            </w:tcBorders>
            <w:shd w:val="clear" w:color="auto" w:fill="auto"/>
          </w:tcPr>
          <w:p w14:paraId="6C7C938D" w14:textId="77777777" w:rsidR="001E6C66" w:rsidRPr="002D2F67" w:rsidRDefault="001E6C66" w:rsidP="005611FE">
            <w:pPr>
              <w:tabs>
                <w:tab w:val="left" w:pos="709"/>
              </w:tabs>
              <w:ind w:right="-72"/>
              <w:rPr>
                <w:rFonts w:ascii="Arial" w:hAnsi="Arial" w:cs="Arial"/>
                <w:color w:val="000000"/>
                <w:sz w:val="20"/>
                <w:szCs w:val="20"/>
              </w:rPr>
            </w:pPr>
          </w:p>
        </w:tc>
        <w:tc>
          <w:tcPr>
            <w:tcW w:w="767" w:type="pct"/>
            <w:tcBorders>
              <w:top w:val="single" w:sz="4" w:space="0" w:color="auto"/>
            </w:tcBorders>
            <w:shd w:val="clear" w:color="auto" w:fill="auto"/>
          </w:tcPr>
          <w:p w14:paraId="0235897A" w14:textId="77777777" w:rsidR="001E6C66" w:rsidRPr="002D2F67" w:rsidRDefault="001E6C66" w:rsidP="005611FE">
            <w:pPr>
              <w:tabs>
                <w:tab w:val="left" w:pos="709"/>
              </w:tabs>
              <w:ind w:right="-72"/>
              <w:rPr>
                <w:rFonts w:ascii="Arial" w:hAnsi="Arial" w:cs="Arial"/>
                <w:color w:val="000000"/>
                <w:sz w:val="20"/>
                <w:szCs w:val="20"/>
              </w:rPr>
            </w:pPr>
          </w:p>
        </w:tc>
        <w:tc>
          <w:tcPr>
            <w:tcW w:w="766" w:type="pct"/>
            <w:tcBorders>
              <w:top w:val="single" w:sz="4" w:space="0" w:color="auto"/>
            </w:tcBorders>
            <w:shd w:val="clear" w:color="auto" w:fill="auto"/>
          </w:tcPr>
          <w:p w14:paraId="5AE7CD88" w14:textId="77777777" w:rsidR="001E6C66" w:rsidRPr="002D2F67" w:rsidRDefault="001E6C66" w:rsidP="005611FE">
            <w:pPr>
              <w:tabs>
                <w:tab w:val="left" w:pos="709"/>
              </w:tabs>
              <w:ind w:right="-72"/>
              <w:rPr>
                <w:rFonts w:ascii="Arial" w:hAnsi="Arial" w:cs="Arial"/>
                <w:color w:val="000000"/>
                <w:sz w:val="20"/>
                <w:szCs w:val="20"/>
              </w:rPr>
            </w:pPr>
          </w:p>
        </w:tc>
        <w:tc>
          <w:tcPr>
            <w:tcW w:w="767" w:type="pct"/>
            <w:tcBorders>
              <w:top w:val="single" w:sz="4" w:space="0" w:color="auto"/>
            </w:tcBorders>
            <w:shd w:val="clear" w:color="auto" w:fill="auto"/>
          </w:tcPr>
          <w:p w14:paraId="09C4CDCD" w14:textId="77777777" w:rsidR="001E6C66" w:rsidRPr="002D2F67" w:rsidRDefault="001E6C66" w:rsidP="005611FE">
            <w:pPr>
              <w:tabs>
                <w:tab w:val="left" w:pos="709"/>
              </w:tabs>
              <w:ind w:right="-72"/>
              <w:rPr>
                <w:rFonts w:ascii="Arial" w:hAnsi="Arial" w:cs="Arial"/>
                <w:color w:val="000000"/>
                <w:sz w:val="20"/>
                <w:szCs w:val="20"/>
              </w:rPr>
            </w:pPr>
          </w:p>
        </w:tc>
      </w:tr>
      <w:tr w:rsidR="001E6C66" w:rsidRPr="002D2F67" w14:paraId="26F62DC6" w14:textId="77777777" w:rsidTr="005611FE">
        <w:tc>
          <w:tcPr>
            <w:tcW w:w="1934" w:type="pct"/>
            <w:shd w:val="clear" w:color="auto" w:fill="auto"/>
            <w:vAlign w:val="center"/>
          </w:tcPr>
          <w:p w14:paraId="57971A5A" w14:textId="5AF55B08" w:rsidR="001E6C66" w:rsidRPr="002D2F67" w:rsidRDefault="001E6C66" w:rsidP="005611FE">
            <w:pPr>
              <w:pStyle w:val="BlockText"/>
              <w:ind w:left="29" w:right="-72"/>
              <w:jc w:val="left"/>
              <w:rPr>
                <w:rFonts w:ascii="Arial" w:hAnsi="Arial" w:cs="Arial"/>
                <w:b/>
                <w:bCs/>
                <w:color w:val="000000"/>
              </w:rPr>
            </w:pPr>
            <w:r w:rsidRPr="002D2F67">
              <w:rPr>
                <w:rFonts w:ascii="Arial" w:hAnsi="Arial" w:cs="Arial"/>
                <w:b/>
                <w:bCs/>
                <w:color w:val="000000"/>
              </w:rPr>
              <w:t xml:space="preserve">Basic earnings </w:t>
            </w:r>
            <w:r w:rsidR="00632874" w:rsidRPr="002D2F67">
              <w:rPr>
                <w:rFonts w:ascii="Arial" w:hAnsi="Arial" w:cs="Arial"/>
                <w:b/>
                <w:bCs/>
                <w:color w:val="000000"/>
              </w:rPr>
              <w:t>(loss)</w:t>
            </w:r>
            <w:r w:rsidRPr="002D2F67">
              <w:rPr>
                <w:rFonts w:ascii="Arial" w:hAnsi="Arial" w:cs="Arial"/>
                <w:b/>
                <w:bCs/>
                <w:color w:val="000000"/>
              </w:rPr>
              <w:t xml:space="preserve"> per share</w:t>
            </w:r>
          </w:p>
        </w:tc>
        <w:tc>
          <w:tcPr>
            <w:tcW w:w="766" w:type="pct"/>
            <w:shd w:val="clear" w:color="auto" w:fill="auto"/>
            <w:vAlign w:val="center"/>
          </w:tcPr>
          <w:p w14:paraId="5ADACA68" w14:textId="77777777" w:rsidR="001E6C66" w:rsidRPr="002D2F67" w:rsidRDefault="001E6C66" w:rsidP="005611FE">
            <w:pPr>
              <w:ind w:right="-72"/>
              <w:jc w:val="right"/>
              <w:rPr>
                <w:rFonts w:ascii="Arial" w:hAnsi="Arial" w:cs="Arial"/>
                <w:color w:val="000000"/>
                <w:sz w:val="20"/>
                <w:szCs w:val="20"/>
              </w:rPr>
            </w:pPr>
          </w:p>
        </w:tc>
        <w:tc>
          <w:tcPr>
            <w:tcW w:w="767" w:type="pct"/>
            <w:shd w:val="clear" w:color="auto" w:fill="auto"/>
            <w:vAlign w:val="center"/>
          </w:tcPr>
          <w:p w14:paraId="1693DE36" w14:textId="77777777" w:rsidR="001E6C66" w:rsidRPr="002D2F67" w:rsidRDefault="001E6C66" w:rsidP="005611FE">
            <w:pPr>
              <w:ind w:right="-72"/>
              <w:jc w:val="right"/>
              <w:rPr>
                <w:rFonts w:ascii="Arial" w:hAnsi="Arial" w:cs="Arial"/>
                <w:color w:val="000000"/>
                <w:sz w:val="20"/>
                <w:szCs w:val="20"/>
              </w:rPr>
            </w:pPr>
          </w:p>
        </w:tc>
        <w:tc>
          <w:tcPr>
            <w:tcW w:w="766" w:type="pct"/>
            <w:shd w:val="clear" w:color="auto" w:fill="auto"/>
            <w:vAlign w:val="center"/>
          </w:tcPr>
          <w:p w14:paraId="41C07CB5" w14:textId="77777777" w:rsidR="001E6C66" w:rsidRPr="002D2F67" w:rsidRDefault="001E6C66" w:rsidP="005611FE">
            <w:pPr>
              <w:ind w:right="-72"/>
              <w:jc w:val="right"/>
              <w:rPr>
                <w:rFonts w:ascii="Arial" w:hAnsi="Arial" w:cs="Arial"/>
                <w:color w:val="000000"/>
                <w:sz w:val="20"/>
                <w:szCs w:val="20"/>
              </w:rPr>
            </w:pPr>
          </w:p>
        </w:tc>
        <w:tc>
          <w:tcPr>
            <w:tcW w:w="767" w:type="pct"/>
            <w:shd w:val="clear" w:color="auto" w:fill="auto"/>
            <w:vAlign w:val="center"/>
          </w:tcPr>
          <w:p w14:paraId="107D0359" w14:textId="77777777" w:rsidR="001E6C66" w:rsidRPr="002D2F67" w:rsidRDefault="001E6C66" w:rsidP="005611FE">
            <w:pPr>
              <w:ind w:right="-72"/>
              <w:jc w:val="right"/>
              <w:rPr>
                <w:rFonts w:ascii="Arial" w:hAnsi="Arial" w:cs="Arial"/>
                <w:color w:val="000000"/>
                <w:sz w:val="20"/>
                <w:szCs w:val="20"/>
              </w:rPr>
            </w:pPr>
          </w:p>
        </w:tc>
      </w:tr>
      <w:tr w:rsidR="001E6C66" w:rsidRPr="002D2F67" w14:paraId="2115472F" w14:textId="77777777" w:rsidTr="005611FE">
        <w:tc>
          <w:tcPr>
            <w:tcW w:w="1934" w:type="pct"/>
            <w:shd w:val="clear" w:color="auto" w:fill="auto"/>
            <w:vAlign w:val="center"/>
          </w:tcPr>
          <w:p w14:paraId="763AA549" w14:textId="77777777" w:rsidR="00632874" w:rsidRPr="002D2F67" w:rsidRDefault="001E6C66" w:rsidP="005611FE">
            <w:pPr>
              <w:pStyle w:val="BlockText"/>
              <w:ind w:left="29" w:right="-72"/>
              <w:jc w:val="left"/>
              <w:rPr>
                <w:rFonts w:ascii="Arial" w:hAnsi="Arial" w:cs="Arial"/>
                <w:color w:val="000000"/>
              </w:rPr>
            </w:pPr>
            <w:r w:rsidRPr="002D2F67">
              <w:rPr>
                <w:rFonts w:ascii="Arial" w:hAnsi="Arial" w:cs="Arial"/>
                <w:color w:val="000000"/>
              </w:rPr>
              <w:t xml:space="preserve">Net profit </w:t>
            </w:r>
            <w:r w:rsidR="00632874" w:rsidRPr="002D2F67">
              <w:rPr>
                <w:rFonts w:ascii="Arial" w:hAnsi="Arial" w:cs="Arial"/>
                <w:color w:val="000000"/>
              </w:rPr>
              <w:t xml:space="preserve">(loss) </w:t>
            </w:r>
            <w:r w:rsidRPr="002D2F67">
              <w:rPr>
                <w:rFonts w:ascii="Arial" w:hAnsi="Arial" w:cs="Arial"/>
                <w:color w:val="000000"/>
              </w:rPr>
              <w:t xml:space="preserve">attributable to </w:t>
            </w:r>
            <w:r w:rsidR="00EE0EA6" w:rsidRPr="002D2F67">
              <w:rPr>
                <w:rFonts w:ascii="Arial" w:hAnsi="Arial" w:cs="Arial"/>
                <w:color w:val="000000"/>
              </w:rPr>
              <w:t xml:space="preserve">the </w:t>
            </w:r>
            <w:r w:rsidR="00632874" w:rsidRPr="002D2F67">
              <w:rPr>
                <w:rFonts w:ascii="Arial" w:hAnsi="Arial" w:cs="Arial"/>
                <w:color w:val="000000"/>
              </w:rPr>
              <w:t xml:space="preserve"> </w:t>
            </w:r>
          </w:p>
          <w:p w14:paraId="4D46C07F" w14:textId="7D6BD812" w:rsidR="001E6C66" w:rsidRPr="002D2F67" w:rsidRDefault="00632874" w:rsidP="005611FE">
            <w:pPr>
              <w:pStyle w:val="BlockText"/>
              <w:ind w:left="29" w:right="-72"/>
              <w:jc w:val="left"/>
              <w:rPr>
                <w:rFonts w:ascii="Arial" w:hAnsi="Arial" w:cs="Arial"/>
                <w:color w:val="000000"/>
              </w:rPr>
            </w:pPr>
            <w:r w:rsidRPr="002D2F67">
              <w:rPr>
                <w:rFonts w:ascii="Arial" w:hAnsi="Arial" w:cs="Arial"/>
                <w:color w:val="000000"/>
              </w:rPr>
              <w:t xml:space="preserve">   </w:t>
            </w:r>
            <w:r w:rsidR="001E6C66" w:rsidRPr="002D2F67">
              <w:rPr>
                <w:rFonts w:ascii="Arial" w:hAnsi="Arial" w:cs="Arial"/>
                <w:color w:val="000000"/>
              </w:rPr>
              <w:t xml:space="preserve">ordinary </w:t>
            </w:r>
            <w:r w:rsidR="00A57C97" w:rsidRPr="002D2F67">
              <w:rPr>
                <w:rFonts w:ascii="Arial" w:hAnsi="Arial" w:cs="Arial"/>
                <w:color w:val="000000"/>
              </w:rPr>
              <w:t>shareholders of the parent</w:t>
            </w:r>
          </w:p>
        </w:tc>
        <w:tc>
          <w:tcPr>
            <w:tcW w:w="766" w:type="pct"/>
            <w:shd w:val="clear" w:color="auto" w:fill="auto"/>
            <w:vAlign w:val="center"/>
          </w:tcPr>
          <w:p w14:paraId="2E53B17D" w14:textId="77777777" w:rsidR="001E6C66" w:rsidRPr="002D2F67" w:rsidRDefault="001E6C66" w:rsidP="005611FE">
            <w:pPr>
              <w:ind w:right="-72"/>
              <w:jc w:val="right"/>
              <w:rPr>
                <w:rFonts w:ascii="Arial" w:hAnsi="Arial" w:cs="Arial"/>
                <w:color w:val="000000"/>
                <w:sz w:val="20"/>
                <w:szCs w:val="20"/>
              </w:rPr>
            </w:pPr>
          </w:p>
        </w:tc>
        <w:tc>
          <w:tcPr>
            <w:tcW w:w="767" w:type="pct"/>
            <w:shd w:val="clear" w:color="auto" w:fill="auto"/>
            <w:vAlign w:val="center"/>
          </w:tcPr>
          <w:p w14:paraId="5BCCCAB8" w14:textId="77777777" w:rsidR="001E6C66" w:rsidRPr="002D2F67" w:rsidRDefault="001E6C66" w:rsidP="005611FE">
            <w:pPr>
              <w:ind w:right="-72"/>
              <w:jc w:val="right"/>
              <w:rPr>
                <w:rFonts w:ascii="Arial" w:hAnsi="Arial" w:cs="Arial"/>
                <w:color w:val="000000"/>
                <w:sz w:val="20"/>
                <w:szCs w:val="20"/>
              </w:rPr>
            </w:pPr>
          </w:p>
        </w:tc>
        <w:tc>
          <w:tcPr>
            <w:tcW w:w="766" w:type="pct"/>
            <w:shd w:val="clear" w:color="auto" w:fill="auto"/>
            <w:vAlign w:val="center"/>
          </w:tcPr>
          <w:p w14:paraId="5A89EB87" w14:textId="77777777" w:rsidR="001E6C66" w:rsidRPr="002D2F67" w:rsidRDefault="001E6C66" w:rsidP="005611FE">
            <w:pPr>
              <w:ind w:right="-72"/>
              <w:jc w:val="right"/>
              <w:rPr>
                <w:rFonts w:ascii="Arial" w:hAnsi="Arial" w:cs="Arial"/>
                <w:color w:val="000000"/>
                <w:sz w:val="20"/>
                <w:szCs w:val="20"/>
              </w:rPr>
            </w:pPr>
          </w:p>
        </w:tc>
        <w:tc>
          <w:tcPr>
            <w:tcW w:w="767" w:type="pct"/>
            <w:shd w:val="clear" w:color="auto" w:fill="auto"/>
            <w:vAlign w:val="center"/>
          </w:tcPr>
          <w:p w14:paraId="781D8F74" w14:textId="77777777" w:rsidR="001E6C66" w:rsidRPr="002D2F67" w:rsidRDefault="001E6C66" w:rsidP="005611FE">
            <w:pPr>
              <w:ind w:right="-72"/>
              <w:jc w:val="right"/>
              <w:rPr>
                <w:rFonts w:ascii="Arial" w:hAnsi="Arial" w:cs="Arial"/>
                <w:color w:val="000000"/>
                <w:sz w:val="20"/>
                <w:szCs w:val="20"/>
              </w:rPr>
            </w:pPr>
          </w:p>
        </w:tc>
      </w:tr>
      <w:tr w:rsidR="00AE149C" w:rsidRPr="002D2F67" w14:paraId="65728688" w14:textId="77777777" w:rsidTr="005611FE">
        <w:tc>
          <w:tcPr>
            <w:tcW w:w="1934" w:type="pct"/>
            <w:shd w:val="clear" w:color="auto" w:fill="auto"/>
            <w:vAlign w:val="center"/>
          </w:tcPr>
          <w:p w14:paraId="48589B3C" w14:textId="2D4D36F5" w:rsidR="00AE149C" w:rsidRPr="002D2F67" w:rsidRDefault="00AE149C" w:rsidP="00632874">
            <w:pPr>
              <w:pStyle w:val="BlockText"/>
              <w:ind w:left="0" w:right="-72"/>
              <w:jc w:val="left"/>
              <w:rPr>
                <w:rFonts w:ascii="Arial" w:hAnsi="Arial" w:cs="Arial"/>
                <w:color w:val="000000"/>
              </w:rPr>
            </w:pPr>
            <w:r w:rsidRPr="002D2F67">
              <w:rPr>
                <w:rFonts w:ascii="Arial" w:hAnsi="Arial" w:cs="Arial"/>
                <w:color w:val="000000"/>
              </w:rPr>
              <w:t xml:space="preserve">   (Million Baht)</w:t>
            </w:r>
          </w:p>
        </w:tc>
        <w:tc>
          <w:tcPr>
            <w:tcW w:w="766" w:type="pct"/>
            <w:shd w:val="clear" w:color="auto" w:fill="auto"/>
            <w:vAlign w:val="bottom"/>
          </w:tcPr>
          <w:p w14:paraId="0A481961" w14:textId="10131945" w:rsidR="00AE149C" w:rsidRPr="002D2F67" w:rsidRDefault="00D64E23" w:rsidP="005611FE">
            <w:pPr>
              <w:ind w:right="-72"/>
              <w:jc w:val="right"/>
              <w:rPr>
                <w:rFonts w:ascii="Arial" w:eastAsia="Courier New" w:hAnsi="Arial" w:cs="Arial"/>
                <w:color w:val="000000"/>
                <w:sz w:val="20"/>
                <w:szCs w:val="20"/>
              </w:rPr>
            </w:pPr>
            <w:r w:rsidRPr="002D2F67">
              <w:rPr>
                <w:rFonts w:ascii="Arial" w:eastAsia="Courier New" w:hAnsi="Arial" w:cs="Arial"/>
                <w:color w:val="000000"/>
                <w:sz w:val="20"/>
                <w:szCs w:val="20"/>
              </w:rPr>
              <w:t>(</w:t>
            </w:r>
            <w:r w:rsidR="00CD5714" w:rsidRPr="00CD5714">
              <w:rPr>
                <w:rFonts w:ascii="Arial" w:eastAsia="Courier New" w:hAnsi="Arial" w:cs="Arial"/>
                <w:color w:val="000000"/>
                <w:sz w:val="20"/>
                <w:szCs w:val="20"/>
                <w:lang w:val="en-GB"/>
              </w:rPr>
              <w:t>4</w:t>
            </w:r>
            <w:r w:rsidRPr="002D2F67">
              <w:rPr>
                <w:rFonts w:ascii="Arial" w:eastAsia="Courier New" w:hAnsi="Arial" w:cs="Arial"/>
                <w:color w:val="000000"/>
                <w:sz w:val="20"/>
                <w:szCs w:val="20"/>
              </w:rPr>
              <w:t>,</w:t>
            </w:r>
            <w:r w:rsidR="00CD5714" w:rsidRPr="00CD5714">
              <w:rPr>
                <w:rFonts w:ascii="Arial" w:eastAsia="Courier New" w:hAnsi="Arial" w:cs="Arial"/>
                <w:color w:val="000000"/>
                <w:sz w:val="20"/>
                <w:szCs w:val="20"/>
                <w:lang w:val="en-GB"/>
              </w:rPr>
              <w:t>630</w:t>
            </w:r>
            <w:r w:rsidRPr="002D2F67">
              <w:rPr>
                <w:rFonts w:ascii="Arial" w:eastAsia="Courier New" w:hAnsi="Arial" w:cs="Arial"/>
                <w:color w:val="000000"/>
                <w:sz w:val="20"/>
                <w:szCs w:val="20"/>
              </w:rPr>
              <w:t>)</w:t>
            </w:r>
          </w:p>
        </w:tc>
        <w:tc>
          <w:tcPr>
            <w:tcW w:w="767" w:type="pct"/>
            <w:shd w:val="clear" w:color="auto" w:fill="auto"/>
            <w:vAlign w:val="bottom"/>
          </w:tcPr>
          <w:p w14:paraId="0B0243C8" w14:textId="2D20E88E" w:rsidR="00AE149C" w:rsidRPr="002D2F67" w:rsidRDefault="00CD5714" w:rsidP="005611FE">
            <w:pPr>
              <w:ind w:right="-72"/>
              <w:jc w:val="right"/>
              <w:rPr>
                <w:rFonts w:ascii="Arial" w:eastAsia="Courier New" w:hAnsi="Arial" w:cs="Arial"/>
                <w:color w:val="000000"/>
                <w:sz w:val="20"/>
                <w:szCs w:val="20"/>
              </w:rPr>
            </w:pPr>
            <w:r w:rsidRPr="00CD5714">
              <w:rPr>
                <w:rFonts w:ascii="Arial" w:eastAsia="Courier New" w:hAnsi="Arial" w:cs="Arial"/>
                <w:color w:val="000000"/>
                <w:sz w:val="20"/>
                <w:szCs w:val="20"/>
                <w:lang w:val="en-GB"/>
              </w:rPr>
              <w:t>7</w:t>
            </w:r>
            <w:r w:rsidR="00AE149C" w:rsidRPr="002D2F67">
              <w:rPr>
                <w:rFonts w:ascii="Arial" w:eastAsia="Courier New" w:hAnsi="Arial" w:cs="Arial"/>
                <w:color w:val="000000"/>
                <w:sz w:val="20"/>
                <w:szCs w:val="20"/>
              </w:rPr>
              <w:t>,</w:t>
            </w:r>
            <w:r w:rsidRPr="00CD5714">
              <w:rPr>
                <w:rFonts w:ascii="Arial" w:eastAsia="Courier New" w:hAnsi="Arial" w:cs="Arial"/>
                <w:color w:val="000000"/>
                <w:sz w:val="20"/>
                <w:szCs w:val="20"/>
                <w:lang w:val="en-GB"/>
              </w:rPr>
              <w:t>606</w:t>
            </w:r>
          </w:p>
        </w:tc>
        <w:tc>
          <w:tcPr>
            <w:tcW w:w="766" w:type="pct"/>
            <w:shd w:val="clear" w:color="auto" w:fill="auto"/>
            <w:vAlign w:val="bottom"/>
          </w:tcPr>
          <w:p w14:paraId="70EF0334" w14:textId="670DA1B2" w:rsidR="00AE149C" w:rsidRPr="002D2F67" w:rsidRDefault="00D64E23" w:rsidP="005611FE">
            <w:pPr>
              <w:ind w:right="-72"/>
              <w:jc w:val="right"/>
              <w:rPr>
                <w:rFonts w:ascii="Arial" w:eastAsia="Courier New" w:hAnsi="Arial" w:cs="Arial"/>
                <w:color w:val="000000"/>
                <w:sz w:val="20"/>
                <w:szCs w:val="20"/>
              </w:rPr>
            </w:pPr>
            <w:r w:rsidRPr="002D2F67">
              <w:rPr>
                <w:rFonts w:ascii="Arial" w:eastAsia="Courier New" w:hAnsi="Arial" w:cs="Arial"/>
                <w:color w:val="000000"/>
                <w:sz w:val="20"/>
                <w:szCs w:val="20"/>
              </w:rPr>
              <w:t>(</w:t>
            </w:r>
            <w:r w:rsidR="00CD5714" w:rsidRPr="00CD5714">
              <w:rPr>
                <w:rFonts w:ascii="Arial" w:eastAsia="Courier New" w:hAnsi="Arial" w:cs="Arial"/>
                <w:color w:val="000000"/>
                <w:sz w:val="20"/>
                <w:szCs w:val="20"/>
                <w:lang w:val="en-GB"/>
              </w:rPr>
              <w:t>11</w:t>
            </w:r>
            <w:r w:rsidRPr="002D2F67">
              <w:rPr>
                <w:rFonts w:ascii="Arial" w:eastAsia="Courier New" w:hAnsi="Arial" w:cs="Arial"/>
                <w:color w:val="000000"/>
                <w:sz w:val="20"/>
                <w:szCs w:val="20"/>
              </w:rPr>
              <w:t>,</w:t>
            </w:r>
            <w:r w:rsidR="00CD5714" w:rsidRPr="00CD5714">
              <w:rPr>
                <w:rFonts w:ascii="Arial" w:eastAsia="Courier New" w:hAnsi="Arial" w:cs="Arial"/>
                <w:color w:val="000000"/>
                <w:sz w:val="20"/>
                <w:szCs w:val="20"/>
                <w:lang w:val="en-GB"/>
              </w:rPr>
              <w:t>953</w:t>
            </w:r>
            <w:r w:rsidRPr="002D2F67">
              <w:rPr>
                <w:rFonts w:ascii="Arial" w:eastAsia="Courier New" w:hAnsi="Arial" w:cs="Arial"/>
                <w:color w:val="000000"/>
                <w:sz w:val="20"/>
                <w:szCs w:val="20"/>
              </w:rPr>
              <w:t>)</w:t>
            </w:r>
          </w:p>
        </w:tc>
        <w:tc>
          <w:tcPr>
            <w:tcW w:w="767" w:type="pct"/>
            <w:shd w:val="clear" w:color="auto" w:fill="auto"/>
            <w:vAlign w:val="bottom"/>
          </w:tcPr>
          <w:p w14:paraId="1C5AE0E6" w14:textId="13C1827B" w:rsidR="00AE149C" w:rsidRPr="002D2F67" w:rsidRDefault="00CD5714" w:rsidP="005611FE">
            <w:pPr>
              <w:ind w:right="-72"/>
              <w:jc w:val="right"/>
              <w:rPr>
                <w:rFonts w:ascii="Arial" w:eastAsia="Courier New" w:hAnsi="Arial" w:cs="Arial"/>
                <w:color w:val="000000"/>
                <w:sz w:val="20"/>
                <w:szCs w:val="20"/>
              </w:rPr>
            </w:pPr>
            <w:r w:rsidRPr="00CD5714">
              <w:rPr>
                <w:rFonts w:ascii="Arial" w:eastAsia="Courier New" w:hAnsi="Arial" w:cs="Arial"/>
                <w:color w:val="000000"/>
                <w:sz w:val="20"/>
                <w:szCs w:val="20"/>
                <w:lang w:val="en-GB"/>
              </w:rPr>
              <w:t>11</w:t>
            </w:r>
            <w:r w:rsidR="00AE149C" w:rsidRPr="002D2F67">
              <w:rPr>
                <w:rFonts w:ascii="Arial" w:eastAsia="Courier New" w:hAnsi="Arial" w:cs="Arial"/>
                <w:color w:val="000000"/>
                <w:sz w:val="20"/>
                <w:szCs w:val="20"/>
              </w:rPr>
              <w:t>,</w:t>
            </w:r>
            <w:r w:rsidRPr="00CD5714">
              <w:rPr>
                <w:rFonts w:ascii="Arial" w:eastAsia="Courier New" w:hAnsi="Arial" w:cs="Arial"/>
                <w:color w:val="000000"/>
                <w:sz w:val="20"/>
                <w:szCs w:val="20"/>
                <w:lang w:val="en-GB"/>
              </w:rPr>
              <w:t>635</w:t>
            </w:r>
          </w:p>
        </w:tc>
      </w:tr>
      <w:tr w:rsidR="00AE149C" w:rsidRPr="002D2F67" w14:paraId="6A9062F6" w14:textId="77777777" w:rsidTr="005611FE">
        <w:tc>
          <w:tcPr>
            <w:tcW w:w="1934" w:type="pct"/>
            <w:shd w:val="clear" w:color="auto" w:fill="auto"/>
            <w:vAlign w:val="center"/>
          </w:tcPr>
          <w:p w14:paraId="75A00B56" w14:textId="77777777" w:rsidR="00AE149C" w:rsidRPr="002D2F67" w:rsidRDefault="00AE149C" w:rsidP="005611FE">
            <w:pPr>
              <w:pStyle w:val="BlockText"/>
              <w:ind w:left="29" w:right="-72"/>
              <w:jc w:val="left"/>
              <w:rPr>
                <w:rFonts w:ascii="Arial" w:hAnsi="Arial" w:cs="Arial"/>
                <w:color w:val="000000"/>
              </w:rPr>
            </w:pPr>
            <w:r w:rsidRPr="002D2F67">
              <w:rPr>
                <w:rFonts w:ascii="Arial" w:hAnsi="Arial" w:cs="Arial"/>
                <w:color w:val="000000"/>
              </w:rPr>
              <w:t xml:space="preserve">Weighted average number of </w:t>
            </w:r>
          </w:p>
        </w:tc>
        <w:tc>
          <w:tcPr>
            <w:tcW w:w="766" w:type="pct"/>
            <w:shd w:val="clear" w:color="auto" w:fill="auto"/>
            <w:vAlign w:val="bottom"/>
          </w:tcPr>
          <w:p w14:paraId="17DFCCB8" w14:textId="77777777" w:rsidR="00AE149C" w:rsidRPr="002D2F67" w:rsidRDefault="00AE149C" w:rsidP="005611FE">
            <w:pPr>
              <w:ind w:right="-72"/>
              <w:jc w:val="right"/>
              <w:rPr>
                <w:rFonts w:ascii="Arial" w:eastAsia="Courier New" w:hAnsi="Arial" w:cs="Arial"/>
                <w:color w:val="000000"/>
                <w:sz w:val="20"/>
                <w:szCs w:val="20"/>
              </w:rPr>
            </w:pPr>
          </w:p>
        </w:tc>
        <w:tc>
          <w:tcPr>
            <w:tcW w:w="767" w:type="pct"/>
            <w:shd w:val="clear" w:color="auto" w:fill="auto"/>
            <w:vAlign w:val="bottom"/>
          </w:tcPr>
          <w:p w14:paraId="7FBD66A9" w14:textId="77777777" w:rsidR="00AE149C" w:rsidRPr="002D2F67" w:rsidRDefault="00AE149C" w:rsidP="005611FE">
            <w:pPr>
              <w:ind w:right="-72"/>
              <w:jc w:val="right"/>
              <w:rPr>
                <w:rFonts w:ascii="Arial" w:eastAsia="Courier New" w:hAnsi="Arial" w:cs="Arial"/>
                <w:color w:val="000000"/>
                <w:sz w:val="20"/>
                <w:szCs w:val="20"/>
              </w:rPr>
            </w:pPr>
          </w:p>
        </w:tc>
        <w:tc>
          <w:tcPr>
            <w:tcW w:w="766" w:type="pct"/>
            <w:shd w:val="clear" w:color="auto" w:fill="auto"/>
            <w:vAlign w:val="bottom"/>
          </w:tcPr>
          <w:p w14:paraId="20186DF6" w14:textId="77777777" w:rsidR="00AE149C" w:rsidRPr="002D2F67" w:rsidRDefault="00AE149C" w:rsidP="005611FE">
            <w:pPr>
              <w:ind w:right="-72"/>
              <w:jc w:val="right"/>
              <w:rPr>
                <w:rFonts w:ascii="Arial" w:eastAsia="Courier New" w:hAnsi="Arial" w:cs="Arial"/>
                <w:color w:val="000000"/>
                <w:sz w:val="20"/>
                <w:szCs w:val="20"/>
              </w:rPr>
            </w:pPr>
          </w:p>
        </w:tc>
        <w:tc>
          <w:tcPr>
            <w:tcW w:w="767" w:type="pct"/>
            <w:shd w:val="clear" w:color="auto" w:fill="auto"/>
            <w:vAlign w:val="bottom"/>
          </w:tcPr>
          <w:p w14:paraId="643F46EA" w14:textId="77777777" w:rsidR="00AE149C" w:rsidRPr="002D2F67" w:rsidRDefault="00AE149C" w:rsidP="005611FE">
            <w:pPr>
              <w:ind w:right="-72"/>
              <w:jc w:val="right"/>
              <w:rPr>
                <w:rFonts w:ascii="Arial" w:eastAsia="Courier New" w:hAnsi="Arial" w:cs="Arial"/>
                <w:color w:val="000000"/>
                <w:sz w:val="20"/>
                <w:szCs w:val="20"/>
              </w:rPr>
            </w:pPr>
          </w:p>
        </w:tc>
      </w:tr>
      <w:tr w:rsidR="00AE149C" w:rsidRPr="002D2F67" w14:paraId="58CA5A4A" w14:textId="77777777" w:rsidTr="005611FE">
        <w:tc>
          <w:tcPr>
            <w:tcW w:w="1934" w:type="pct"/>
            <w:shd w:val="clear" w:color="auto" w:fill="auto"/>
            <w:vAlign w:val="center"/>
          </w:tcPr>
          <w:p w14:paraId="40315D0C" w14:textId="77777777" w:rsidR="00AE149C" w:rsidRPr="002D2F67" w:rsidRDefault="00AE149C" w:rsidP="005611FE">
            <w:pPr>
              <w:pStyle w:val="BlockText"/>
              <w:ind w:left="29" w:right="-72"/>
              <w:jc w:val="left"/>
              <w:rPr>
                <w:rFonts w:ascii="Arial" w:hAnsi="Arial" w:cs="Arial"/>
                <w:color w:val="000000"/>
                <w:spacing w:val="-2"/>
              </w:rPr>
            </w:pPr>
            <w:r w:rsidRPr="002D2F67">
              <w:rPr>
                <w:rFonts w:ascii="Arial" w:hAnsi="Arial" w:cs="Arial"/>
                <w:color w:val="000000"/>
                <w:spacing w:val="-2"/>
              </w:rPr>
              <w:t xml:space="preserve">   ordinary shares outstanding</w:t>
            </w:r>
            <w:r w:rsidRPr="002D2F67">
              <w:rPr>
                <w:rFonts w:ascii="Arial" w:hAnsi="Arial" w:cs="Arial"/>
                <w:color w:val="000000"/>
                <w:spacing w:val="-2"/>
              </w:rPr>
              <w:br/>
              <w:t xml:space="preserve">   (Million Shares)</w:t>
            </w:r>
          </w:p>
        </w:tc>
        <w:tc>
          <w:tcPr>
            <w:tcW w:w="766" w:type="pct"/>
            <w:tcBorders>
              <w:bottom w:val="single" w:sz="4" w:space="0" w:color="auto"/>
            </w:tcBorders>
            <w:shd w:val="clear" w:color="auto" w:fill="auto"/>
            <w:vAlign w:val="bottom"/>
          </w:tcPr>
          <w:p w14:paraId="40CB5B7E" w14:textId="710431D3" w:rsidR="00AE149C" w:rsidRPr="002D2F67" w:rsidRDefault="00CD5714" w:rsidP="005611FE">
            <w:pPr>
              <w:ind w:right="-72"/>
              <w:jc w:val="right"/>
              <w:rPr>
                <w:rFonts w:ascii="Arial" w:eastAsia="Courier New" w:hAnsi="Arial" w:cs="Arial"/>
                <w:color w:val="000000"/>
                <w:sz w:val="20"/>
                <w:szCs w:val="20"/>
              </w:rPr>
            </w:pPr>
            <w:r w:rsidRPr="00CD5714">
              <w:rPr>
                <w:rFonts w:ascii="Arial" w:eastAsia="Courier New" w:hAnsi="Arial" w:cs="Arial"/>
                <w:color w:val="000000"/>
                <w:sz w:val="20"/>
                <w:szCs w:val="20"/>
                <w:lang w:val="en-GB"/>
              </w:rPr>
              <w:t>4</w:t>
            </w:r>
            <w:r w:rsidR="004C1B8E" w:rsidRPr="002D2F67">
              <w:rPr>
                <w:rFonts w:ascii="Arial" w:eastAsia="Courier New" w:hAnsi="Arial" w:cs="Arial"/>
                <w:color w:val="000000"/>
                <w:sz w:val="20"/>
                <w:szCs w:val="20"/>
              </w:rPr>
              <w:t>,</w:t>
            </w:r>
            <w:r w:rsidRPr="00CD5714">
              <w:rPr>
                <w:rFonts w:ascii="Arial" w:eastAsia="Courier New" w:hAnsi="Arial" w:cs="Arial"/>
                <w:color w:val="000000"/>
                <w:sz w:val="20"/>
                <w:szCs w:val="20"/>
                <w:lang w:val="en-GB"/>
              </w:rPr>
              <w:t>645</w:t>
            </w:r>
          </w:p>
        </w:tc>
        <w:tc>
          <w:tcPr>
            <w:tcW w:w="767" w:type="pct"/>
            <w:tcBorders>
              <w:bottom w:val="single" w:sz="4" w:space="0" w:color="auto"/>
            </w:tcBorders>
            <w:shd w:val="clear" w:color="auto" w:fill="auto"/>
            <w:vAlign w:val="bottom"/>
          </w:tcPr>
          <w:p w14:paraId="5481CB36" w14:textId="07F68870" w:rsidR="00AE149C" w:rsidRPr="002D2F67" w:rsidRDefault="00CD5714" w:rsidP="005611FE">
            <w:pPr>
              <w:ind w:right="-72"/>
              <w:jc w:val="right"/>
              <w:rPr>
                <w:rFonts w:ascii="Arial" w:eastAsia="Courier New" w:hAnsi="Arial" w:cs="Arial"/>
                <w:color w:val="000000"/>
                <w:sz w:val="20"/>
                <w:szCs w:val="20"/>
              </w:rPr>
            </w:pPr>
            <w:r w:rsidRPr="00CD5714">
              <w:rPr>
                <w:rFonts w:ascii="Arial" w:eastAsia="Courier New" w:hAnsi="Arial" w:cs="Arial"/>
                <w:color w:val="000000"/>
                <w:sz w:val="20"/>
                <w:szCs w:val="20"/>
                <w:lang w:val="en-GB"/>
              </w:rPr>
              <w:t>4</w:t>
            </w:r>
            <w:r w:rsidR="004C1B8E" w:rsidRPr="002D2F67">
              <w:rPr>
                <w:rFonts w:ascii="Arial" w:eastAsia="Courier New" w:hAnsi="Arial" w:cs="Arial"/>
                <w:color w:val="000000"/>
                <w:sz w:val="20"/>
                <w:szCs w:val="20"/>
              </w:rPr>
              <w:t>,</w:t>
            </w:r>
            <w:r w:rsidRPr="00CD5714">
              <w:rPr>
                <w:rFonts w:ascii="Arial" w:eastAsia="Courier New" w:hAnsi="Arial" w:cs="Arial"/>
                <w:color w:val="000000"/>
                <w:sz w:val="20"/>
                <w:szCs w:val="20"/>
                <w:lang w:val="en-GB"/>
              </w:rPr>
              <w:t>665</w:t>
            </w:r>
          </w:p>
        </w:tc>
        <w:tc>
          <w:tcPr>
            <w:tcW w:w="766" w:type="pct"/>
            <w:tcBorders>
              <w:bottom w:val="single" w:sz="4" w:space="0" w:color="auto"/>
            </w:tcBorders>
            <w:shd w:val="clear" w:color="auto" w:fill="auto"/>
            <w:vAlign w:val="bottom"/>
          </w:tcPr>
          <w:p w14:paraId="125DB9AD" w14:textId="1293F521" w:rsidR="00AE149C" w:rsidRPr="002D2F67" w:rsidRDefault="00CD5714" w:rsidP="005611FE">
            <w:pPr>
              <w:ind w:right="-72"/>
              <w:jc w:val="right"/>
              <w:rPr>
                <w:rFonts w:ascii="Arial" w:eastAsia="Courier New" w:hAnsi="Arial" w:cs="Arial"/>
                <w:color w:val="000000"/>
                <w:sz w:val="20"/>
                <w:szCs w:val="20"/>
              </w:rPr>
            </w:pPr>
            <w:r w:rsidRPr="00CD5714">
              <w:rPr>
                <w:rFonts w:ascii="Arial" w:eastAsia="Courier New" w:hAnsi="Arial" w:cs="Arial"/>
                <w:color w:val="000000"/>
                <w:sz w:val="20"/>
                <w:szCs w:val="20"/>
                <w:lang w:val="en-GB"/>
              </w:rPr>
              <w:t>4</w:t>
            </w:r>
            <w:r w:rsidR="00F53C9D" w:rsidRPr="002D2F67">
              <w:rPr>
                <w:rFonts w:ascii="Arial" w:eastAsia="Courier New" w:hAnsi="Arial" w:cs="Arial"/>
                <w:color w:val="000000"/>
                <w:sz w:val="20"/>
                <w:szCs w:val="20"/>
              </w:rPr>
              <w:t>,</w:t>
            </w:r>
            <w:r w:rsidRPr="00CD5714">
              <w:rPr>
                <w:rFonts w:ascii="Arial" w:eastAsia="Courier New" w:hAnsi="Arial" w:cs="Arial"/>
                <w:color w:val="000000"/>
                <w:sz w:val="20"/>
                <w:szCs w:val="20"/>
                <w:lang w:val="en-GB"/>
              </w:rPr>
              <w:t>645</w:t>
            </w:r>
          </w:p>
        </w:tc>
        <w:tc>
          <w:tcPr>
            <w:tcW w:w="767" w:type="pct"/>
            <w:tcBorders>
              <w:bottom w:val="single" w:sz="4" w:space="0" w:color="auto"/>
            </w:tcBorders>
            <w:shd w:val="clear" w:color="auto" w:fill="auto"/>
            <w:vAlign w:val="bottom"/>
          </w:tcPr>
          <w:p w14:paraId="30A8DA45" w14:textId="38D838C6" w:rsidR="00AE149C" w:rsidRPr="002D2F67" w:rsidRDefault="00CD5714" w:rsidP="005611FE">
            <w:pPr>
              <w:ind w:right="-72"/>
              <w:jc w:val="right"/>
              <w:rPr>
                <w:rFonts w:ascii="Arial" w:eastAsia="Courier New" w:hAnsi="Arial" w:cs="Arial"/>
                <w:color w:val="000000"/>
                <w:sz w:val="20"/>
                <w:szCs w:val="20"/>
              </w:rPr>
            </w:pPr>
            <w:r w:rsidRPr="00CD5714">
              <w:rPr>
                <w:rFonts w:ascii="Arial" w:eastAsia="Courier New" w:hAnsi="Arial" w:cs="Arial"/>
                <w:color w:val="000000"/>
                <w:sz w:val="20"/>
                <w:szCs w:val="20"/>
                <w:lang w:val="en-GB"/>
              </w:rPr>
              <w:t>4</w:t>
            </w:r>
            <w:r w:rsidR="004C1B8E" w:rsidRPr="002D2F67">
              <w:rPr>
                <w:rFonts w:ascii="Arial" w:eastAsia="Courier New" w:hAnsi="Arial" w:cs="Arial"/>
                <w:color w:val="000000"/>
                <w:sz w:val="20"/>
                <w:szCs w:val="20"/>
              </w:rPr>
              <w:t>,</w:t>
            </w:r>
            <w:r w:rsidRPr="00CD5714">
              <w:rPr>
                <w:rFonts w:ascii="Arial" w:eastAsia="Courier New" w:hAnsi="Arial" w:cs="Arial"/>
                <w:color w:val="000000"/>
                <w:sz w:val="20"/>
                <w:szCs w:val="20"/>
                <w:lang w:val="en-GB"/>
              </w:rPr>
              <w:t>665</w:t>
            </w:r>
          </w:p>
        </w:tc>
      </w:tr>
      <w:tr w:rsidR="00AE149C" w:rsidRPr="002D2F67" w14:paraId="4028DF24" w14:textId="77777777" w:rsidTr="005611FE">
        <w:tc>
          <w:tcPr>
            <w:tcW w:w="1934" w:type="pct"/>
            <w:shd w:val="clear" w:color="auto" w:fill="auto"/>
          </w:tcPr>
          <w:p w14:paraId="65F69ED3" w14:textId="77777777" w:rsidR="00AE149C" w:rsidRPr="002D2F67" w:rsidRDefault="00AE149C" w:rsidP="005611FE">
            <w:pPr>
              <w:ind w:left="29" w:right="58"/>
              <w:rPr>
                <w:rFonts w:ascii="Arial" w:hAnsi="Arial" w:cs="Arial"/>
                <w:color w:val="000000"/>
                <w:sz w:val="12"/>
                <w:szCs w:val="12"/>
              </w:rPr>
            </w:pPr>
          </w:p>
        </w:tc>
        <w:tc>
          <w:tcPr>
            <w:tcW w:w="766" w:type="pct"/>
            <w:tcBorders>
              <w:top w:val="single" w:sz="4" w:space="0" w:color="auto"/>
            </w:tcBorders>
            <w:shd w:val="clear" w:color="auto" w:fill="auto"/>
          </w:tcPr>
          <w:p w14:paraId="4137EB9B" w14:textId="77777777" w:rsidR="00AE149C" w:rsidRPr="002D2F67" w:rsidRDefault="00AE149C" w:rsidP="005611FE">
            <w:pPr>
              <w:ind w:right="-72"/>
              <w:jc w:val="right"/>
              <w:rPr>
                <w:rFonts w:ascii="Arial" w:eastAsia="Courier New" w:hAnsi="Arial" w:cs="Arial"/>
                <w:color w:val="000000"/>
                <w:sz w:val="12"/>
                <w:szCs w:val="12"/>
              </w:rPr>
            </w:pPr>
          </w:p>
        </w:tc>
        <w:tc>
          <w:tcPr>
            <w:tcW w:w="767" w:type="pct"/>
            <w:tcBorders>
              <w:top w:val="single" w:sz="4" w:space="0" w:color="auto"/>
            </w:tcBorders>
            <w:shd w:val="clear" w:color="auto" w:fill="auto"/>
          </w:tcPr>
          <w:p w14:paraId="195662D1" w14:textId="77777777" w:rsidR="00AE149C" w:rsidRPr="002D2F67" w:rsidRDefault="00AE149C" w:rsidP="005611FE">
            <w:pPr>
              <w:ind w:right="-72"/>
              <w:jc w:val="right"/>
              <w:rPr>
                <w:rFonts w:ascii="Arial" w:eastAsia="Courier New" w:hAnsi="Arial" w:cs="Arial"/>
                <w:color w:val="000000"/>
                <w:sz w:val="12"/>
                <w:szCs w:val="12"/>
              </w:rPr>
            </w:pPr>
          </w:p>
        </w:tc>
        <w:tc>
          <w:tcPr>
            <w:tcW w:w="766" w:type="pct"/>
            <w:tcBorders>
              <w:top w:val="single" w:sz="4" w:space="0" w:color="auto"/>
            </w:tcBorders>
            <w:shd w:val="clear" w:color="auto" w:fill="auto"/>
          </w:tcPr>
          <w:p w14:paraId="2219A6AC" w14:textId="77777777" w:rsidR="00AE149C" w:rsidRPr="002D2F67" w:rsidRDefault="00AE149C" w:rsidP="005611FE">
            <w:pPr>
              <w:ind w:right="-72"/>
              <w:jc w:val="right"/>
              <w:rPr>
                <w:rFonts w:ascii="Arial" w:eastAsia="Courier New" w:hAnsi="Arial" w:cs="Arial"/>
                <w:color w:val="000000"/>
                <w:sz w:val="12"/>
                <w:szCs w:val="12"/>
              </w:rPr>
            </w:pPr>
          </w:p>
        </w:tc>
        <w:tc>
          <w:tcPr>
            <w:tcW w:w="767" w:type="pct"/>
            <w:tcBorders>
              <w:top w:val="single" w:sz="4" w:space="0" w:color="auto"/>
            </w:tcBorders>
            <w:shd w:val="clear" w:color="auto" w:fill="auto"/>
          </w:tcPr>
          <w:p w14:paraId="4D1BD78B" w14:textId="77777777" w:rsidR="00AE149C" w:rsidRPr="002D2F67" w:rsidRDefault="00AE149C" w:rsidP="005611FE">
            <w:pPr>
              <w:ind w:right="-72"/>
              <w:jc w:val="right"/>
              <w:rPr>
                <w:rFonts w:ascii="Arial" w:eastAsia="Courier New" w:hAnsi="Arial" w:cs="Arial"/>
                <w:color w:val="000000"/>
                <w:sz w:val="12"/>
                <w:szCs w:val="12"/>
              </w:rPr>
            </w:pPr>
          </w:p>
        </w:tc>
      </w:tr>
      <w:tr w:rsidR="00AE149C" w:rsidRPr="002D2F67" w14:paraId="773BCC15" w14:textId="77777777" w:rsidTr="005611FE">
        <w:tc>
          <w:tcPr>
            <w:tcW w:w="1934" w:type="pct"/>
            <w:shd w:val="clear" w:color="auto" w:fill="auto"/>
            <w:vAlign w:val="center"/>
          </w:tcPr>
          <w:p w14:paraId="7B053447" w14:textId="3108C652" w:rsidR="00AE149C" w:rsidRPr="002D2F67" w:rsidRDefault="00AE149C" w:rsidP="005611FE">
            <w:pPr>
              <w:pStyle w:val="BlockText"/>
              <w:ind w:left="29" w:right="-72"/>
              <w:jc w:val="left"/>
              <w:rPr>
                <w:rFonts w:ascii="Arial" w:hAnsi="Arial" w:cs="Arial"/>
                <w:color w:val="000000"/>
              </w:rPr>
            </w:pPr>
            <w:r w:rsidRPr="002D2F67">
              <w:rPr>
                <w:rFonts w:ascii="Arial" w:hAnsi="Arial" w:cs="Arial"/>
                <w:color w:val="000000"/>
              </w:rPr>
              <w:t xml:space="preserve">Basic earnings </w:t>
            </w:r>
            <w:r w:rsidR="00BC490D" w:rsidRPr="002D2F67">
              <w:rPr>
                <w:rFonts w:ascii="Arial" w:hAnsi="Arial" w:cs="Arial"/>
                <w:color w:val="000000"/>
              </w:rPr>
              <w:t>(loss)</w:t>
            </w:r>
            <w:r w:rsidRPr="002D2F67">
              <w:rPr>
                <w:rFonts w:ascii="Arial" w:hAnsi="Arial" w:cs="Arial"/>
                <w:color w:val="000000"/>
              </w:rPr>
              <w:t xml:space="preserve"> per share </w:t>
            </w:r>
          </w:p>
          <w:p w14:paraId="11B37D95" w14:textId="77777777" w:rsidR="00AE149C" w:rsidRPr="002D2F67" w:rsidRDefault="00AE149C" w:rsidP="005611FE">
            <w:pPr>
              <w:pStyle w:val="BlockText"/>
              <w:ind w:left="29" w:right="-72"/>
              <w:jc w:val="left"/>
              <w:rPr>
                <w:rFonts w:ascii="Arial" w:hAnsi="Arial" w:cs="Arial"/>
                <w:color w:val="000000"/>
              </w:rPr>
            </w:pPr>
            <w:r w:rsidRPr="002D2F67">
              <w:rPr>
                <w:rFonts w:ascii="Arial" w:hAnsi="Arial" w:cs="Arial"/>
                <w:color w:val="000000"/>
              </w:rPr>
              <w:t xml:space="preserve">   (Baht per share)</w:t>
            </w:r>
          </w:p>
        </w:tc>
        <w:tc>
          <w:tcPr>
            <w:tcW w:w="766" w:type="pct"/>
            <w:tcBorders>
              <w:bottom w:val="single" w:sz="4" w:space="0" w:color="auto"/>
            </w:tcBorders>
            <w:shd w:val="clear" w:color="auto" w:fill="auto"/>
            <w:vAlign w:val="bottom"/>
          </w:tcPr>
          <w:p w14:paraId="2DE58549" w14:textId="4E2F5973" w:rsidR="00AE149C" w:rsidRPr="002D2F67" w:rsidRDefault="00D64E23" w:rsidP="005611FE">
            <w:pPr>
              <w:ind w:right="-72"/>
              <w:jc w:val="right"/>
              <w:rPr>
                <w:rFonts w:ascii="Arial" w:eastAsia="Courier New" w:hAnsi="Arial" w:cs="Arial"/>
                <w:color w:val="000000"/>
                <w:sz w:val="20"/>
                <w:szCs w:val="20"/>
              </w:rPr>
            </w:pPr>
            <w:r w:rsidRPr="002D2F67">
              <w:rPr>
                <w:rFonts w:ascii="Arial" w:eastAsia="Courier New" w:hAnsi="Arial" w:cs="Arial"/>
                <w:color w:val="000000"/>
                <w:sz w:val="20"/>
                <w:szCs w:val="20"/>
              </w:rPr>
              <w:t>(</w:t>
            </w:r>
            <w:r w:rsidR="00CD5714" w:rsidRPr="00CD5714">
              <w:rPr>
                <w:rFonts w:ascii="Arial" w:eastAsia="Courier New" w:hAnsi="Arial" w:cs="Arial"/>
                <w:color w:val="000000"/>
                <w:sz w:val="20"/>
                <w:szCs w:val="20"/>
                <w:lang w:val="en-GB"/>
              </w:rPr>
              <w:t>1</w:t>
            </w:r>
            <w:r w:rsidR="00BF7DDA" w:rsidRPr="002D2F67">
              <w:rPr>
                <w:rFonts w:ascii="Arial" w:eastAsia="Courier New" w:hAnsi="Arial" w:cs="Arial"/>
                <w:color w:val="000000"/>
                <w:sz w:val="20"/>
                <w:szCs w:val="20"/>
              </w:rPr>
              <w:t>.</w:t>
            </w:r>
            <w:r w:rsidR="00CD5714" w:rsidRPr="00CD5714">
              <w:rPr>
                <w:rFonts w:ascii="Arial" w:eastAsia="Courier New" w:hAnsi="Arial" w:cs="Arial"/>
                <w:color w:val="000000"/>
                <w:sz w:val="20"/>
                <w:szCs w:val="20"/>
                <w:lang w:val="en-GB"/>
              </w:rPr>
              <w:t>00</w:t>
            </w:r>
            <w:r w:rsidRPr="002D2F67">
              <w:rPr>
                <w:rFonts w:ascii="Arial" w:eastAsia="Courier New" w:hAnsi="Arial" w:cs="Arial"/>
                <w:color w:val="000000"/>
                <w:sz w:val="20"/>
                <w:szCs w:val="20"/>
              </w:rPr>
              <w:t>)</w:t>
            </w:r>
          </w:p>
        </w:tc>
        <w:tc>
          <w:tcPr>
            <w:tcW w:w="767" w:type="pct"/>
            <w:tcBorders>
              <w:bottom w:val="single" w:sz="4" w:space="0" w:color="auto"/>
            </w:tcBorders>
            <w:shd w:val="clear" w:color="auto" w:fill="auto"/>
            <w:vAlign w:val="bottom"/>
          </w:tcPr>
          <w:p w14:paraId="59371849" w14:textId="52A21551" w:rsidR="00AE149C" w:rsidRPr="002D2F67" w:rsidRDefault="00CD5714" w:rsidP="005611FE">
            <w:pPr>
              <w:ind w:right="-72"/>
              <w:jc w:val="right"/>
              <w:rPr>
                <w:rFonts w:ascii="Arial" w:eastAsia="Courier New" w:hAnsi="Arial" w:cs="Arial"/>
                <w:color w:val="000000"/>
                <w:sz w:val="20"/>
                <w:szCs w:val="20"/>
              </w:rPr>
            </w:pPr>
            <w:r w:rsidRPr="00CD5714">
              <w:rPr>
                <w:rFonts w:ascii="Arial" w:eastAsia="Courier New" w:hAnsi="Arial" w:cs="Arial"/>
                <w:color w:val="000000"/>
                <w:sz w:val="20"/>
                <w:szCs w:val="20"/>
                <w:lang w:val="en-GB"/>
              </w:rPr>
              <w:t>1</w:t>
            </w:r>
            <w:r w:rsidR="004C1B8E" w:rsidRPr="002D2F67">
              <w:rPr>
                <w:rFonts w:ascii="Arial" w:eastAsia="Courier New" w:hAnsi="Arial" w:cs="Arial"/>
                <w:color w:val="000000"/>
                <w:sz w:val="20"/>
                <w:szCs w:val="20"/>
              </w:rPr>
              <w:t>.</w:t>
            </w:r>
            <w:r w:rsidRPr="00CD5714">
              <w:rPr>
                <w:rFonts w:ascii="Arial" w:eastAsia="Courier New" w:hAnsi="Arial" w:cs="Arial"/>
                <w:color w:val="000000"/>
                <w:sz w:val="20"/>
                <w:szCs w:val="20"/>
                <w:lang w:val="en-GB"/>
              </w:rPr>
              <w:t>63</w:t>
            </w:r>
          </w:p>
        </w:tc>
        <w:tc>
          <w:tcPr>
            <w:tcW w:w="766" w:type="pct"/>
            <w:tcBorders>
              <w:bottom w:val="single" w:sz="4" w:space="0" w:color="auto"/>
            </w:tcBorders>
            <w:shd w:val="clear" w:color="auto" w:fill="auto"/>
            <w:vAlign w:val="bottom"/>
          </w:tcPr>
          <w:p w14:paraId="31AB8F66" w14:textId="5922B0CB" w:rsidR="00AE149C" w:rsidRPr="002D2F67" w:rsidRDefault="00D64E23" w:rsidP="005611FE">
            <w:pPr>
              <w:ind w:right="-72"/>
              <w:jc w:val="right"/>
              <w:rPr>
                <w:rFonts w:ascii="Arial" w:eastAsia="Courier New" w:hAnsi="Arial" w:cs="Arial"/>
                <w:color w:val="000000"/>
                <w:sz w:val="20"/>
                <w:szCs w:val="20"/>
              </w:rPr>
            </w:pPr>
            <w:r w:rsidRPr="002D2F67">
              <w:rPr>
                <w:rFonts w:ascii="Arial" w:eastAsia="Courier New" w:hAnsi="Arial" w:cs="Arial"/>
                <w:color w:val="000000"/>
                <w:sz w:val="20"/>
                <w:szCs w:val="20"/>
              </w:rPr>
              <w:t>(</w:t>
            </w:r>
            <w:r w:rsidR="00CD5714" w:rsidRPr="00CD5714">
              <w:rPr>
                <w:rFonts w:ascii="Arial" w:eastAsia="Courier New" w:hAnsi="Arial" w:cs="Arial"/>
                <w:color w:val="000000"/>
                <w:sz w:val="20"/>
                <w:szCs w:val="20"/>
                <w:lang w:val="en-GB"/>
              </w:rPr>
              <w:t>2</w:t>
            </w:r>
            <w:r w:rsidRPr="002D2F67">
              <w:rPr>
                <w:rFonts w:ascii="Arial" w:eastAsia="Courier New" w:hAnsi="Arial" w:cs="Arial"/>
                <w:color w:val="000000"/>
                <w:sz w:val="20"/>
                <w:szCs w:val="20"/>
              </w:rPr>
              <w:t>.</w:t>
            </w:r>
            <w:r w:rsidR="00CD5714" w:rsidRPr="00CD5714">
              <w:rPr>
                <w:rFonts w:ascii="Arial" w:eastAsia="Courier New" w:hAnsi="Arial" w:cs="Arial"/>
                <w:color w:val="000000"/>
                <w:sz w:val="20"/>
                <w:szCs w:val="20"/>
                <w:lang w:val="en-GB"/>
              </w:rPr>
              <w:t>57</w:t>
            </w:r>
            <w:r w:rsidRPr="002D2F67">
              <w:rPr>
                <w:rFonts w:ascii="Arial" w:eastAsia="Courier New" w:hAnsi="Arial" w:cs="Arial"/>
                <w:color w:val="000000"/>
                <w:sz w:val="20"/>
                <w:szCs w:val="20"/>
              </w:rPr>
              <w:t>)</w:t>
            </w:r>
          </w:p>
        </w:tc>
        <w:tc>
          <w:tcPr>
            <w:tcW w:w="767" w:type="pct"/>
            <w:tcBorders>
              <w:bottom w:val="single" w:sz="4" w:space="0" w:color="auto"/>
            </w:tcBorders>
            <w:shd w:val="clear" w:color="auto" w:fill="auto"/>
            <w:vAlign w:val="bottom"/>
          </w:tcPr>
          <w:p w14:paraId="1DA8FE98" w14:textId="71D8BC09" w:rsidR="00AE149C" w:rsidRPr="002D2F67" w:rsidRDefault="00CD5714" w:rsidP="005611FE">
            <w:pPr>
              <w:ind w:right="-72"/>
              <w:jc w:val="right"/>
              <w:rPr>
                <w:rFonts w:ascii="Arial" w:eastAsia="Courier New" w:hAnsi="Arial" w:cs="Arial"/>
                <w:color w:val="000000"/>
                <w:sz w:val="20"/>
                <w:szCs w:val="20"/>
              </w:rPr>
            </w:pPr>
            <w:r w:rsidRPr="00CD5714">
              <w:rPr>
                <w:rFonts w:ascii="Arial" w:eastAsia="Courier New" w:hAnsi="Arial" w:cs="Arial"/>
                <w:color w:val="000000"/>
                <w:sz w:val="20"/>
                <w:szCs w:val="20"/>
                <w:lang w:val="en-GB"/>
              </w:rPr>
              <w:t>2</w:t>
            </w:r>
            <w:r w:rsidR="004C1B8E" w:rsidRPr="002D2F67">
              <w:rPr>
                <w:rFonts w:ascii="Arial" w:eastAsia="Courier New" w:hAnsi="Arial" w:cs="Arial"/>
                <w:color w:val="000000"/>
                <w:sz w:val="20"/>
                <w:szCs w:val="20"/>
              </w:rPr>
              <w:t>.</w:t>
            </w:r>
            <w:r w:rsidRPr="00CD5714">
              <w:rPr>
                <w:rFonts w:ascii="Arial" w:eastAsia="Courier New" w:hAnsi="Arial" w:cs="Arial"/>
                <w:color w:val="000000"/>
                <w:sz w:val="20"/>
                <w:szCs w:val="20"/>
                <w:lang w:val="en-GB"/>
              </w:rPr>
              <w:t>49</w:t>
            </w:r>
          </w:p>
        </w:tc>
      </w:tr>
    </w:tbl>
    <w:p w14:paraId="228B5F96" w14:textId="77777777" w:rsidR="00D26568" w:rsidRPr="002D2F67" w:rsidRDefault="00AB5B46" w:rsidP="005611FE">
      <w:pPr>
        <w:pStyle w:val="BodyTextIndent2"/>
        <w:spacing w:line="240" w:lineRule="auto"/>
        <w:ind w:left="0"/>
        <w:rPr>
          <w:rFonts w:ascii="Arial" w:hAnsi="Arial" w:cs="Arial"/>
          <w:spacing w:val="-2"/>
        </w:rPr>
      </w:pPr>
      <w:r w:rsidRPr="002D2F67">
        <w:rPr>
          <w:rFonts w:ascii="Arial" w:hAnsi="Arial" w:cs="Arial"/>
          <w:spacing w:val="-2"/>
        </w:rPr>
        <w:br w:type="page"/>
      </w:r>
    </w:p>
    <w:p w14:paraId="499F2229" w14:textId="77777777" w:rsidR="001E6C66" w:rsidRPr="002D2F67" w:rsidRDefault="001E6C66" w:rsidP="005611FE">
      <w:pPr>
        <w:pStyle w:val="BodyTextIndent2"/>
        <w:spacing w:line="240" w:lineRule="auto"/>
        <w:ind w:left="0"/>
        <w:rPr>
          <w:rFonts w:ascii="Arial" w:hAnsi="Arial" w:cs="Arial"/>
          <w:spacing w:val="-2"/>
        </w:rPr>
      </w:pPr>
      <w:r w:rsidRPr="002D2F67">
        <w:rPr>
          <w:rFonts w:ascii="Arial" w:hAnsi="Arial" w:cs="Arial"/>
          <w:spacing w:val="-2"/>
        </w:rPr>
        <w:t xml:space="preserve">There are no dilutive potential ordinary shares in issue during the periods presented, so no diluted earnings </w:t>
      </w:r>
      <w:r w:rsidRPr="002D2F67">
        <w:rPr>
          <w:rFonts w:ascii="Arial" w:hAnsi="Arial" w:cs="Arial"/>
          <w:spacing w:val="-2"/>
        </w:rPr>
        <w:br/>
        <w:t>per share are presented.</w:t>
      </w:r>
    </w:p>
    <w:p w14:paraId="78EE6DA3" w14:textId="77777777" w:rsidR="001E6C66" w:rsidRPr="002D2F67" w:rsidRDefault="001E6C66" w:rsidP="005611FE">
      <w:pPr>
        <w:pStyle w:val="BodyTextIndent2"/>
        <w:spacing w:line="240" w:lineRule="auto"/>
        <w:ind w:left="0"/>
        <w:rPr>
          <w:rFonts w:ascii="Arial" w:hAnsi="Arial" w:cs="Arial"/>
          <w:spacing w:val="-2"/>
        </w:rPr>
      </w:pPr>
    </w:p>
    <w:p w14:paraId="2A2E065C" w14:textId="77777777" w:rsidR="001506EF" w:rsidRDefault="00874E52" w:rsidP="00D26568">
      <w:pPr>
        <w:pStyle w:val="BodyTextIndent2"/>
        <w:spacing w:line="240" w:lineRule="auto"/>
        <w:ind w:left="0"/>
        <w:rPr>
          <w:rFonts w:ascii="Arial" w:hAnsi="Arial" w:cs="Arial"/>
          <w:spacing w:val="-2"/>
        </w:rPr>
      </w:pPr>
      <w:r w:rsidRPr="002D2F67">
        <w:rPr>
          <w:rFonts w:ascii="Arial" w:hAnsi="Arial" w:cs="Arial"/>
          <w:spacing w:val="-2"/>
        </w:rPr>
        <w:t xml:space="preserve">The earnings per share calculations for fiscal year </w:t>
      </w:r>
      <w:r w:rsidR="00CD5714" w:rsidRPr="00CD5714">
        <w:rPr>
          <w:rFonts w:ascii="Arial" w:hAnsi="Arial" w:cs="Arial"/>
          <w:spacing w:val="-2"/>
          <w:lang w:val="en-GB"/>
        </w:rPr>
        <w:t>2024</w:t>
      </w:r>
      <w:r w:rsidRPr="002D2F67">
        <w:rPr>
          <w:rFonts w:ascii="Arial" w:hAnsi="Arial" w:cs="Arial"/>
          <w:spacing w:val="-2"/>
        </w:rPr>
        <w:t xml:space="preserve"> and </w:t>
      </w:r>
      <w:r w:rsidR="00CD5714" w:rsidRPr="00CD5714">
        <w:rPr>
          <w:rFonts w:ascii="Arial" w:hAnsi="Arial" w:cs="Arial"/>
          <w:spacing w:val="-2"/>
          <w:lang w:val="en-GB"/>
        </w:rPr>
        <w:t>2023</w:t>
      </w:r>
      <w:r w:rsidRPr="002D2F67">
        <w:rPr>
          <w:rFonts w:ascii="Arial" w:hAnsi="Arial" w:cs="Arial"/>
          <w:spacing w:val="-2"/>
        </w:rPr>
        <w:t xml:space="preserve"> have been adjusted </w:t>
      </w:r>
      <w:r w:rsidR="00BE5B0E" w:rsidRPr="002D2F67">
        <w:rPr>
          <w:rFonts w:ascii="Arial" w:hAnsi="Arial" w:cs="Arial"/>
          <w:spacing w:val="-2"/>
        </w:rPr>
        <w:t xml:space="preserve">due to the </w:t>
      </w:r>
      <w:r w:rsidR="00FE7E21" w:rsidRPr="002D2F67">
        <w:rPr>
          <w:rFonts w:ascii="Arial" w:hAnsi="Arial" w:cs="Arial"/>
          <w:spacing w:val="-2"/>
        </w:rPr>
        <w:t xml:space="preserve">issuance of new ordinary shares </w:t>
      </w:r>
    </w:p>
    <w:p w14:paraId="764DF9A3" w14:textId="77777777" w:rsidR="001506EF" w:rsidRDefault="001506EF" w:rsidP="00D26568">
      <w:pPr>
        <w:pStyle w:val="BodyTextIndent2"/>
        <w:spacing w:line="240" w:lineRule="auto"/>
        <w:ind w:left="0"/>
        <w:rPr>
          <w:rFonts w:ascii="Arial" w:hAnsi="Arial" w:cs="Arial"/>
          <w:spacing w:val="-2"/>
        </w:rPr>
      </w:pPr>
    </w:p>
    <w:p w14:paraId="29016508" w14:textId="42B6B517" w:rsidR="00695C95" w:rsidRPr="002D2F67" w:rsidRDefault="00FE7E21" w:rsidP="00D26568">
      <w:pPr>
        <w:pStyle w:val="BodyTextIndent2"/>
        <w:spacing w:line="240" w:lineRule="auto"/>
        <w:ind w:left="0"/>
        <w:rPr>
          <w:rFonts w:ascii="Arial" w:hAnsi="Arial" w:cs="Arial"/>
          <w:spacing w:val="-6"/>
        </w:rPr>
      </w:pPr>
      <w:r w:rsidRPr="002D2F67">
        <w:rPr>
          <w:rFonts w:ascii="Arial" w:hAnsi="Arial" w:cs="Arial"/>
        </w:rPr>
        <w:t xml:space="preserve">to the existing shareholders proportionate to their respective shareholding interests (Rights offering) at the offering price less than </w:t>
      </w:r>
      <w:r w:rsidR="00AD7D70" w:rsidRPr="002D2F67">
        <w:rPr>
          <w:rFonts w:ascii="Arial" w:hAnsi="Arial" w:cs="Arial"/>
        </w:rPr>
        <w:t>the Company’s market price</w:t>
      </w:r>
      <w:r w:rsidR="007F7CA5" w:rsidRPr="002D2F67">
        <w:rPr>
          <w:rFonts w:ascii="Arial" w:hAnsi="Arial" w:cs="Arial"/>
        </w:rPr>
        <w:t xml:space="preserve"> (Note </w:t>
      </w:r>
      <w:r w:rsidR="00CD5714" w:rsidRPr="00CD5714">
        <w:rPr>
          <w:rFonts w:ascii="Arial" w:hAnsi="Arial" w:cs="Arial"/>
          <w:lang w:val="en-GB"/>
        </w:rPr>
        <w:t>44</w:t>
      </w:r>
      <w:r w:rsidR="007F7CA5" w:rsidRPr="002D2F67">
        <w:rPr>
          <w:rFonts w:ascii="Arial" w:hAnsi="Arial" w:cs="Arial"/>
        </w:rPr>
        <w:t xml:space="preserve">). The Group and the Company </w:t>
      </w:r>
      <w:r w:rsidR="007909A2" w:rsidRPr="002D2F67">
        <w:rPr>
          <w:rFonts w:ascii="Arial" w:hAnsi="Arial" w:cs="Arial"/>
          <w:spacing w:val="-4"/>
        </w:rPr>
        <w:t>adjusted the weighted average number of shares</w:t>
      </w:r>
      <w:r w:rsidR="007909A2" w:rsidRPr="002D2F67">
        <w:rPr>
          <w:rFonts w:ascii="Arial" w:hAnsi="Arial" w:cs="Arial"/>
        </w:rPr>
        <w:t xml:space="preserve"> to </w:t>
      </w:r>
      <w:r w:rsidR="007909A2" w:rsidRPr="002D2F67">
        <w:rPr>
          <w:rFonts w:ascii="Arial" w:hAnsi="Arial" w:cs="Arial"/>
          <w:spacing w:val="-6"/>
        </w:rPr>
        <w:t>reflect such changes as if the changing in number of ordinary shares occurred since the beginning of the current and prior year.</w:t>
      </w:r>
    </w:p>
    <w:p w14:paraId="66CF713C" w14:textId="77777777" w:rsidR="00D26568" w:rsidRPr="002D2F67" w:rsidRDefault="00D26568" w:rsidP="00D26568">
      <w:pPr>
        <w:pStyle w:val="BodyTextIndent2"/>
        <w:spacing w:line="240" w:lineRule="auto"/>
        <w:ind w:left="0"/>
        <w:rPr>
          <w:rFonts w:ascii="Arial" w:hAnsi="Arial" w:cs="Arial"/>
          <w:spacing w:val="-2"/>
          <w:cs/>
        </w:rPr>
      </w:pPr>
    </w:p>
    <w:p w14:paraId="6B9A99E1" w14:textId="4B0CA873" w:rsidR="00B0675E"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40</w:t>
      </w:r>
      <w:r w:rsidR="00B0675E" w:rsidRPr="002D2F67">
        <w:rPr>
          <w:rFonts w:ascii="Arial" w:hAnsi="Arial" w:cs="Arial"/>
          <w:b/>
          <w:bCs/>
          <w:color w:val="000000"/>
          <w:kern w:val="26"/>
          <w:position w:val="-24"/>
          <w:sz w:val="20"/>
          <w:szCs w:val="20"/>
          <w:cs/>
        </w:rPr>
        <w:tab/>
      </w:r>
      <w:r w:rsidR="00B0675E" w:rsidRPr="002D2F67">
        <w:rPr>
          <w:rFonts w:ascii="Arial" w:hAnsi="Arial" w:cs="Arial"/>
          <w:b/>
          <w:bCs/>
          <w:color w:val="000000"/>
          <w:kern w:val="26"/>
          <w:position w:val="-24"/>
          <w:sz w:val="20"/>
          <w:szCs w:val="20"/>
        </w:rPr>
        <w:t>Dividend</w:t>
      </w:r>
      <w:r w:rsidR="00BE6788" w:rsidRPr="002D2F67">
        <w:rPr>
          <w:rFonts w:ascii="Arial" w:hAnsi="Arial" w:cs="Arial"/>
          <w:b/>
          <w:bCs/>
          <w:color w:val="000000"/>
          <w:kern w:val="26"/>
          <w:position w:val="-24"/>
          <w:sz w:val="20"/>
          <w:szCs w:val="20"/>
        </w:rPr>
        <w:t xml:space="preserve"> payments</w:t>
      </w:r>
    </w:p>
    <w:p w14:paraId="250E39C3" w14:textId="77777777" w:rsidR="001E6C66" w:rsidRPr="002D2F67" w:rsidRDefault="001E6C66" w:rsidP="005611FE">
      <w:pPr>
        <w:pStyle w:val="BodyTextIndent2"/>
        <w:tabs>
          <w:tab w:val="left" w:pos="1524"/>
        </w:tabs>
        <w:spacing w:line="240" w:lineRule="auto"/>
        <w:ind w:left="0"/>
        <w:rPr>
          <w:rFonts w:ascii="Arial" w:hAnsi="Arial" w:cs="Arial"/>
          <w:spacing w:val="-2"/>
        </w:rPr>
      </w:pPr>
    </w:p>
    <w:p w14:paraId="7152E466" w14:textId="61596765" w:rsidR="002479F1" w:rsidRPr="002D2F67" w:rsidRDefault="00345832" w:rsidP="005611FE">
      <w:pPr>
        <w:pStyle w:val="BodyTextIndent2"/>
        <w:spacing w:line="240" w:lineRule="auto"/>
        <w:ind w:left="0"/>
        <w:jc w:val="thaiDistribute"/>
        <w:rPr>
          <w:rFonts w:ascii="Arial" w:hAnsi="Arial" w:cs="Arial"/>
          <w:spacing w:val="-2"/>
        </w:rPr>
      </w:pPr>
      <w:r w:rsidRPr="002D2F67">
        <w:rPr>
          <w:rFonts w:ascii="Arial" w:hAnsi="Arial" w:cs="Arial"/>
          <w:spacing w:val="-2"/>
          <w:szCs w:val="25"/>
        </w:rPr>
        <w:t>A</w:t>
      </w:r>
      <w:r w:rsidR="002479F1" w:rsidRPr="002D2F67">
        <w:rPr>
          <w:rFonts w:ascii="Arial" w:hAnsi="Arial" w:cs="Arial"/>
          <w:spacing w:val="-2"/>
        </w:rPr>
        <w:t>t the Annual General Shareholders’ Meeting</w:t>
      </w:r>
      <w:r w:rsidRPr="002D2F67">
        <w:rPr>
          <w:rFonts w:ascii="Arial" w:hAnsi="Arial" w:cs="Arial"/>
          <w:spacing w:val="-2"/>
        </w:rPr>
        <w:t xml:space="preserve"> on </w:t>
      </w:r>
      <w:r w:rsidR="00CD5714" w:rsidRPr="00CD5714">
        <w:rPr>
          <w:rFonts w:ascii="Arial" w:hAnsi="Arial" w:cs="Arial"/>
          <w:spacing w:val="-2"/>
          <w:lang w:val="en-GB"/>
        </w:rPr>
        <w:t>26</w:t>
      </w:r>
      <w:r w:rsidRPr="002D2F67">
        <w:rPr>
          <w:rFonts w:ascii="Arial" w:hAnsi="Arial" w:cs="Arial"/>
          <w:spacing w:val="-2"/>
        </w:rPr>
        <w:t xml:space="preserve"> April </w:t>
      </w:r>
      <w:r w:rsidR="00CD5714" w:rsidRPr="00CD5714">
        <w:rPr>
          <w:rFonts w:ascii="Arial" w:hAnsi="Arial" w:cs="Arial"/>
          <w:spacing w:val="-2"/>
          <w:lang w:val="en-GB"/>
        </w:rPr>
        <w:t>2024</w:t>
      </w:r>
      <w:r w:rsidR="002479F1" w:rsidRPr="002D2F67">
        <w:rPr>
          <w:rFonts w:ascii="Arial" w:hAnsi="Arial" w:cs="Arial"/>
          <w:spacing w:val="-2"/>
        </w:rPr>
        <w:t xml:space="preserve">, the shareholders approved annual dividend payments from non-BOI retained earnings as </w:t>
      </w:r>
      <w:proofErr w:type="gramStart"/>
      <w:r w:rsidR="002479F1" w:rsidRPr="002D2F67">
        <w:rPr>
          <w:rFonts w:ascii="Arial" w:hAnsi="Arial" w:cs="Arial"/>
          <w:spacing w:val="-2"/>
        </w:rPr>
        <w:t>at</w:t>
      </w:r>
      <w:proofErr w:type="gramEnd"/>
      <w:r w:rsidR="002479F1" w:rsidRPr="002D2F67">
        <w:rPr>
          <w:rFonts w:ascii="Arial" w:hAnsi="Arial" w:cs="Arial"/>
          <w:spacing w:val="-2"/>
        </w:rPr>
        <w:t xml:space="preserve"> </w:t>
      </w:r>
      <w:r w:rsidR="00CD5714" w:rsidRPr="00CD5714">
        <w:rPr>
          <w:rFonts w:ascii="Arial" w:hAnsi="Arial" w:cs="Arial"/>
          <w:spacing w:val="-2"/>
          <w:lang w:val="en-GB"/>
        </w:rPr>
        <w:t>31</w:t>
      </w:r>
      <w:r w:rsidR="002479F1" w:rsidRPr="002D2F67">
        <w:rPr>
          <w:rFonts w:ascii="Arial" w:hAnsi="Arial" w:cs="Arial"/>
          <w:spacing w:val="-2"/>
        </w:rPr>
        <w:t xml:space="preserve"> December </w:t>
      </w:r>
      <w:r w:rsidR="00CD5714" w:rsidRPr="00CD5714">
        <w:rPr>
          <w:rFonts w:ascii="Arial" w:hAnsi="Arial" w:cs="Arial"/>
          <w:spacing w:val="-2"/>
          <w:lang w:val="en-GB"/>
        </w:rPr>
        <w:t>2023</w:t>
      </w:r>
      <w:r w:rsidR="002479F1" w:rsidRPr="002D2F67">
        <w:rPr>
          <w:rFonts w:ascii="Arial" w:hAnsi="Arial" w:cs="Arial"/>
          <w:spacing w:val="-2"/>
        </w:rPr>
        <w:t xml:space="preserve"> at Baht </w:t>
      </w:r>
      <w:r w:rsidR="00CD5714" w:rsidRPr="00CD5714">
        <w:rPr>
          <w:rFonts w:ascii="Arial" w:hAnsi="Arial" w:cs="Arial"/>
          <w:spacing w:val="-2"/>
          <w:lang w:val="en-GB"/>
        </w:rPr>
        <w:t>0</w:t>
      </w:r>
      <w:r w:rsidR="002479F1" w:rsidRPr="002D2F67">
        <w:rPr>
          <w:rFonts w:ascii="Arial" w:hAnsi="Arial" w:cs="Arial"/>
          <w:spacing w:val="-2"/>
        </w:rPr>
        <w:t>.</w:t>
      </w:r>
      <w:r w:rsidR="00CD5714" w:rsidRPr="00CD5714">
        <w:rPr>
          <w:rFonts w:ascii="Arial" w:hAnsi="Arial" w:cs="Arial"/>
          <w:spacing w:val="-2"/>
          <w:lang w:val="en-GB"/>
        </w:rPr>
        <w:t>30</w:t>
      </w:r>
      <w:r w:rsidR="002479F1" w:rsidRPr="002D2F67">
        <w:rPr>
          <w:rFonts w:ascii="Arial" w:hAnsi="Arial" w:cs="Arial"/>
          <w:spacing w:val="-2"/>
        </w:rPr>
        <w:t xml:space="preserve"> per share, totalling Baht </w:t>
      </w:r>
      <w:r w:rsidR="00CD5714" w:rsidRPr="00CD5714">
        <w:rPr>
          <w:rFonts w:ascii="Arial" w:hAnsi="Arial" w:cs="Arial"/>
          <w:spacing w:val="-2"/>
          <w:lang w:val="en-GB"/>
        </w:rPr>
        <w:t>1</w:t>
      </w:r>
      <w:r w:rsidR="002479F1" w:rsidRPr="002D2F67">
        <w:rPr>
          <w:rFonts w:ascii="Arial" w:hAnsi="Arial" w:cs="Arial"/>
          <w:spacing w:val="-2"/>
        </w:rPr>
        <w:t>,</w:t>
      </w:r>
      <w:r w:rsidR="00CD5714" w:rsidRPr="00CD5714">
        <w:rPr>
          <w:rFonts w:ascii="Arial" w:hAnsi="Arial" w:cs="Arial"/>
          <w:spacing w:val="-2"/>
          <w:lang w:val="en-GB"/>
        </w:rPr>
        <w:t>114</w:t>
      </w:r>
      <w:r w:rsidR="002479F1" w:rsidRPr="002D2F67">
        <w:rPr>
          <w:rFonts w:ascii="Arial" w:hAnsi="Arial" w:cs="Arial"/>
          <w:spacing w:val="-2"/>
        </w:rPr>
        <w:t xml:space="preserve"> million. The Company paid the dividend to shareholders in May </w:t>
      </w:r>
      <w:r w:rsidR="00CD5714" w:rsidRPr="00CD5714">
        <w:rPr>
          <w:rFonts w:ascii="Arial" w:hAnsi="Arial" w:cs="Arial"/>
          <w:spacing w:val="-2"/>
          <w:lang w:val="en-GB"/>
        </w:rPr>
        <w:t>2024</w:t>
      </w:r>
      <w:r w:rsidR="002479F1" w:rsidRPr="002D2F67">
        <w:rPr>
          <w:rFonts w:ascii="Arial" w:hAnsi="Arial" w:cs="Arial"/>
          <w:spacing w:val="-2"/>
        </w:rPr>
        <w:t>.</w:t>
      </w:r>
    </w:p>
    <w:p w14:paraId="14110D3A" w14:textId="77777777" w:rsidR="002479F1" w:rsidRPr="002D2F67" w:rsidRDefault="002479F1" w:rsidP="005611FE">
      <w:pPr>
        <w:ind w:right="-35"/>
        <w:jc w:val="thaiDistribute"/>
        <w:rPr>
          <w:rFonts w:ascii="Arial" w:hAnsi="Arial" w:cs="Arial"/>
          <w:color w:val="000000"/>
          <w:sz w:val="20"/>
          <w:szCs w:val="20"/>
        </w:rPr>
      </w:pPr>
    </w:p>
    <w:p w14:paraId="514A95DA" w14:textId="3B7739A3" w:rsidR="00AE149C" w:rsidRPr="002D2F67" w:rsidRDefault="00345832" w:rsidP="005611FE">
      <w:pPr>
        <w:pStyle w:val="BodyTextIndent2"/>
        <w:spacing w:line="240" w:lineRule="auto"/>
        <w:ind w:left="0"/>
        <w:jc w:val="thaiDistribute"/>
        <w:rPr>
          <w:rFonts w:ascii="Arial" w:hAnsi="Arial" w:cs="Arial"/>
          <w:spacing w:val="-2"/>
        </w:rPr>
      </w:pPr>
      <w:r w:rsidRPr="002D2F67">
        <w:rPr>
          <w:rFonts w:ascii="Arial" w:hAnsi="Arial" w:cs="Arial"/>
          <w:spacing w:val="-2"/>
        </w:rPr>
        <w:t>A</w:t>
      </w:r>
      <w:r w:rsidR="00AE149C" w:rsidRPr="002D2F67">
        <w:rPr>
          <w:rFonts w:ascii="Arial" w:hAnsi="Arial" w:cs="Arial"/>
          <w:spacing w:val="-2"/>
        </w:rPr>
        <w:t>t the Annual General Shareholders’ Meeting</w:t>
      </w:r>
      <w:r w:rsidRPr="002D2F67">
        <w:rPr>
          <w:rFonts w:ascii="Arial" w:hAnsi="Arial" w:cs="Arial"/>
          <w:spacing w:val="-2"/>
        </w:rPr>
        <w:t xml:space="preserve"> on </w:t>
      </w:r>
      <w:r w:rsidR="00CD5714" w:rsidRPr="00CD5714">
        <w:rPr>
          <w:rFonts w:ascii="Arial" w:hAnsi="Arial" w:cs="Arial"/>
          <w:spacing w:val="-2"/>
          <w:lang w:val="en-GB"/>
        </w:rPr>
        <w:t>21</w:t>
      </w:r>
      <w:r w:rsidRPr="002D2F67">
        <w:rPr>
          <w:rFonts w:ascii="Arial" w:hAnsi="Arial" w:cs="Arial"/>
          <w:spacing w:val="-2"/>
        </w:rPr>
        <w:t xml:space="preserve"> April </w:t>
      </w:r>
      <w:r w:rsidR="00CD5714" w:rsidRPr="00CD5714">
        <w:rPr>
          <w:rFonts w:ascii="Arial" w:hAnsi="Arial" w:cs="Arial"/>
          <w:spacing w:val="-2"/>
          <w:lang w:val="en-GB"/>
        </w:rPr>
        <w:t>2023</w:t>
      </w:r>
      <w:r w:rsidR="00AE149C" w:rsidRPr="002D2F67">
        <w:rPr>
          <w:rFonts w:ascii="Arial" w:hAnsi="Arial" w:cs="Arial"/>
          <w:spacing w:val="-2"/>
        </w:rPr>
        <w:t xml:space="preserve">, the shareholders approved annual dividend payments from non-BOI retained earnings as </w:t>
      </w:r>
      <w:proofErr w:type="gramStart"/>
      <w:r w:rsidR="00AE149C" w:rsidRPr="002D2F67">
        <w:rPr>
          <w:rFonts w:ascii="Arial" w:hAnsi="Arial" w:cs="Arial"/>
          <w:spacing w:val="-2"/>
        </w:rPr>
        <w:t>at</w:t>
      </w:r>
      <w:proofErr w:type="gramEnd"/>
      <w:r w:rsidR="00AE149C" w:rsidRPr="002D2F67">
        <w:rPr>
          <w:rFonts w:ascii="Arial" w:hAnsi="Arial" w:cs="Arial"/>
          <w:spacing w:val="-2"/>
        </w:rPr>
        <w:t xml:space="preserve"> </w:t>
      </w:r>
      <w:r w:rsidR="00CD5714" w:rsidRPr="00CD5714">
        <w:rPr>
          <w:rFonts w:ascii="Arial" w:hAnsi="Arial" w:cs="Arial"/>
          <w:spacing w:val="-2"/>
          <w:lang w:val="en-GB"/>
        </w:rPr>
        <w:t>31</w:t>
      </w:r>
      <w:r w:rsidR="00AE149C" w:rsidRPr="002D2F67">
        <w:rPr>
          <w:rFonts w:ascii="Arial" w:hAnsi="Arial" w:cs="Arial"/>
          <w:spacing w:val="-2"/>
        </w:rPr>
        <w:t xml:space="preserve"> December </w:t>
      </w:r>
      <w:r w:rsidR="00CD5714" w:rsidRPr="00CD5714">
        <w:rPr>
          <w:rFonts w:ascii="Arial" w:hAnsi="Arial" w:cs="Arial"/>
          <w:spacing w:val="-2"/>
          <w:lang w:val="en-GB"/>
        </w:rPr>
        <w:t>2022</w:t>
      </w:r>
      <w:r w:rsidR="00AE149C" w:rsidRPr="002D2F67">
        <w:rPr>
          <w:rFonts w:ascii="Arial" w:hAnsi="Arial" w:cs="Arial"/>
          <w:spacing w:val="-2"/>
        </w:rPr>
        <w:t xml:space="preserve"> at Baht </w:t>
      </w:r>
      <w:r w:rsidR="00CD5714" w:rsidRPr="00CD5714">
        <w:rPr>
          <w:rFonts w:ascii="Arial" w:hAnsi="Arial" w:cs="Arial"/>
          <w:spacing w:val="-2"/>
          <w:lang w:val="en-GB"/>
        </w:rPr>
        <w:t>0</w:t>
      </w:r>
      <w:r w:rsidR="00AE149C" w:rsidRPr="002D2F67">
        <w:rPr>
          <w:rFonts w:ascii="Arial" w:hAnsi="Arial" w:cs="Arial"/>
          <w:spacing w:val="-2"/>
        </w:rPr>
        <w:t>.</w:t>
      </w:r>
      <w:r w:rsidR="00CD5714" w:rsidRPr="00CD5714">
        <w:rPr>
          <w:rFonts w:ascii="Arial" w:hAnsi="Arial" w:cs="Arial"/>
          <w:spacing w:val="-2"/>
          <w:lang w:val="en-GB"/>
        </w:rPr>
        <w:t>30</w:t>
      </w:r>
      <w:r w:rsidR="00AE149C" w:rsidRPr="002D2F67">
        <w:rPr>
          <w:rFonts w:ascii="Arial" w:hAnsi="Arial" w:cs="Arial"/>
          <w:spacing w:val="-2"/>
        </w:rPr>
        <w:t xml:space="preserve"> per share, totalling Baht </w:t>
      </w:r>
      <w:r w:rsidR="00CD5714" w:rsidRPr="00CD5714">
        <w:rPr>
          <w:rFonts w:ascii="Arial" w:hAnsi="Arial" w:cs="Arial"/>
          <w:spacing w:val="-2"/>
          <w:lang w:val="en-GB"/>
        </w:rPr>
        <w:t>1</w:t>
      </w:r>
      <w:r w:rsidR="00AE149C" w:rsidRPr="002D2F67">
        <w:rPr>
          <w:rFonts w:ascii="Arial" w:hAnsi="Arial" w:cs="Arial"/>
          <w:spacing w:val="-2"/>
        </w:rPr>
        <w:t>,</w:t>
      </w:r>
      <w:r w:rsidR="00CD5714" w:rsidRPr="00CD5714">
        <w:rPr>
          <w:rFonts w:ascii="Arial" w:hAnsi="Arial" w:cs="Arial"/>
          <w:spacing w:val="-2"/>
          <w:lang w:val="en-GB"/>
        </w:rPr>
        <w:t>119</w:t>
      </w:r>
      <w:r w:rsidR="00AE149C" w:rsidRPr="002D2F67">
        <w:rPr>
          <w:rFonts w:ascii="Arial" w:hAnsi="Arial" w:cs="Arial"/>
          <w:spacing w:val="-2"/>
        </w:rPr>
        <w:t xml:space="preserve"> million. The Company paid the dividend to shareholders in May </w:t>
      </w:r>
      <w:r w:rsidR="00CD5714" w:rsidRPr="00CD5714">
        <w:rPr>
          <w:rFonts w:ascii="Arial" w:hAnsi="Arial" w:cs="Arial"/>
          <w:spacing w:val="-2"/>
          <w:lang w:val="en-GB"/>
        </w:rPr>
        <w:t>2023</w:t>
      </w:r>
      <w:r w:rsidR="00AE149C" w:rsidRPr="002D2F67">
        <w:rPr>
          <w:rFonts w:ascii="Arial" w:hAnsi="Arial" w:cs="Arial"/>
          <w:spacing w:val="-2"/>
        </w:rPr>
        <w:t>.</w:t>
      </w:r>
    </w:p>
    <w:p w14:paraId="61361DEA" w14:textId="77777777" w:rsidR="00A336FD" w:rsidRPr="002D2F67" w:rsidRDefault="00A336FD" w:rsidP="005611FE">
      <w:pPr>
        <w:ind w:right="-35"/>
        <w:jc w:val="thaiDistribute"/>
        <w:rPr>
          <w:rFonts w:ascii="Arial" w:hAnsi="Arial" w:cs="Arial"/>
          <w:color w:val="000000"/>
          <w:sz w:val="20"/>
          <w:szCs w:val="20"/>
        </w:rPr>
      </w:pPr>
    </w:p>
    <w:p w14:paraId="1EB64B42" w14:textId="08E385FC" w:rsidR="00B0675E"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41</w:t>
      </w:r>
      <w:r w:rsidR="00B0675E" w:rsidRPr="002D2F67">
        <w:rPr>
          <w:rFonts w:ascii="Arial" w:hAnsi="Arial" w:cs="Arial"/>
          <w:b/>
          <w:bCs/>
          <w:color w:val="000000"/>
          <w:kern w:val="26"/>
          <w:position w:val="-24"/>
          <w:sz w:val="20"/>
          <w:szCs w:val="20"/>
          <w:cs/>
        </w:rPr>
        <w:tab/>
      </w:r>
      <w:r w:rsidR="00B0675E" w:rsidRPr="002D2F67">
        <w:rPr>
          <w:rFonts w:ascii="Arial" w:hAnsi="Arial" w:cs="Arial"/>
          <w:b/>
          <w:bCs/>
          <w:color w:val="000000"/>
          <w:kern w:val="26"/>
          <w:position w:val="-24"/>
          <w:sz w:val="20"/>
          <w:szCs w:val="20"/>
        </w:rPr>
        <w:t>Promotional privileges</w:t>
      </w:r>
    </w:p>
    <w:p w14:paraId="5271E570" w14:textId="77777777" w:rsidR="001E6C66" w:rsidRPr="002D2F67" w:rsidRDefault="001E6C66" w:rsidP="005611FE">
      <w:pPr>
        <w:pStyle w:val="BodyTextIndent2"/>
        <w:tabs>
          <w:tab w:val="left" w:pos="1524"/>
        </w:tabs>
        <w:spacing w:line="240" w:lineRule="auto"/>
        <w:ind w:left="0"/>
        <w:rPr>
          <w:rFonts w:ascii="Arial" w:hAnsi="Arial" w:cs="Arial"/>
          <w:spacing w:val="-2"/>
        </w:rPr>
      </w:pPr>
    </w:p>
    <w:p w14:paraId="34E4B278" w14:textId="124DA92F" w:rsidR="001E6C66" w:rsidRPr="002D2F67" w:rsidRDefault="001E6C66" w:rsidP="005611FE">
      <w:pPr>
        <w:jc w:val="thaiDistribute"/>
        <w:rPr>
          <w:rFonts w:ascii="Arial" w:hAnsi="Arial" w:cs="Arial"/>
          <w:color w:val="000000"/>
          <w:sz w:val="20"/>
          <w:szCs w:val="20"/>
        </w:rPr>
      </w:pPr>
      <w:r w:rsidRPr="002D2F67">
        <w:rPr>
          <w:rFonts w:ascii="Arial" w:hAnsi="Arial" w:cs="Arial"/>
          <w:color w:val="000000"/>
          <w:spacing w:val="-6"/>
          <w:sz w:val="20"/>
          <w:szCs w:val="20"/>
        </w:rPr>
        <w:t xml:space="preserve">The Group </w:t>
      </w:r>
      <w:r w:rsidR="00E32A54" w:rsidRPr="002D2F67">
        <w:rPr>
          <w:rFonts w:ascii="Arial" w:hAnsi="Arial" w:cs="Arial"/>
          <w:color w:val="000000"/>
          <w:spacing w:val="-6"/>
          <w:sz w:val="20"/>
          <w:szCs w:val="20"/>
        </w:rPr>
        <w:t>and the Company have</w:t>
      </w:r>
      <w:r w:rsidRPr="002D2F67">
        <w:rPr>
          <w:rFonts w:ascii="Arial" w:hAnsi="Arial" w:cs="Arial"/>
          <w:color w:val="000000"/>
          <w:spacing w:val="-6"/>
          <w:sz w:val="20"/>
          <w:szCs w:val="20"/>
        </w:rPr>
        <w:t xml:space="preserve"> been granted promotional privileges by the Office of the Board of Investment</w:t>
      </w:r>
      <w:r w:rsidRPr="002D2F67">
        <w:rPr>
          <w:rFonts w:ascii="Arial" w:hAnsi="Arial" w:cs="Arial"/>
          <w:color w:val="000000"/>
          <w:spacing w:val="-2"/>
          <w:sz w:val="20"/>
          <w:szCs w:val="20"/>
        </w:rPr>
        <w:t xml:space="preserve"> </w:t>
      </w:r>
      <w:r w:rsidRPr="002D2F67">
        <w:rPr>
          <w:rFonts w:ascii="Arial" w:hAnsi="Arial" w:cs="Arial"/>
          <w:color w:val="000000"/>
          <w:spacing w:val="-4"/>
          <w:sz w:val="20"/>
          <w:szCs w:val="20"/>
        </w:rPr>
        <w:t>under promotion certificates in respect of manufacturing of biodiesel, oil and fat produced from plant or animal</w:t>
      </w:r>
      <w:r w:rsidR="00D44E01" w:rsidRPr="002D2F67">
        <w:rPr>
          <w:rFonts w:ascii="Arial" w:hAnsi="Arial" w:cs="Arial"/>
          <w:color w:val="000000"/>
          <w:spacing w:val="-4"/>
          <w:sz w:val="20"/>
          <w:szCs w:val="20"/>
        </w:rPr>
        <w:t>,</w:t>
      </w:r>
      <w:r w:rsidR="00E32A54" w:rsidRPr="002D2F67">
        <w:rPr>
          <w:rFonts w:ascii="Arial" w:hAnsi="Arial" w:cs="Arial"/>
          <w:color w:val="000000"/>
          <w:spacing w:val="-2"/>
          <w:sz w:val="20"/>
          <w:szCs w:val="20"/>
        </w:rPr>
        <w:t xml:space="preserve"> manufacturing of crude palm oil,</w:t>
      </w:r>
      <w:r w:rsidRPr="002D2F67">
        <w:rPr>
          <w:rFonts w:ascii="Arial" w:hAnsi="Arial" w:cs="Arial"/>
          <w:color w:val="000000"/>
          <w:spacing w:val="-2"/>
          <w:sz w:val="20"/>
          <w:szCs w:val="20"/>
        </w:rPr>
        <w:t xml:space="preserve"> electricity</w:t>
      </w:r>
      <w:r w:rsidR="00A81E77" w:rsidRPr="002D2F67">
        <w:rPr>
          <w:rFonts w:ascii="Arial" w:hAnsi="Arial" w:cs="Arial"/>
          <w:color w:val="000000"/>
          <w:spacing w:val="-2"/>
          <w:sz w:val="20"/>
          <w:szCs w:val="20"/>
        </w:rPr>
        <w:t>, manufacturing and assembling of battery</w:t>
      </w:r>
      <w:r w:rsidR="00D861A8" w:rsidRPr="002D2F67">
        <w:rPr>
          <w:rFonts w:ascii="Arial" w:hAnsi="Arial" w:cs="Arial"/>
          <w:color w:val="000000"/>
          <w:spacing w:val="-2"/>
          <w:sz w:val="20"/>
          <w:szCs w:val="20"/>
        </w:rPr>
        <w:t xml:space="preserve">, and </w:t>
      </w:r>
      <w:r w:rsidR="00F86ADB" w:rsidRPr="002D2F67">
        <w:rPr>
          <w:rFonts w:ascii="Arial" w:hAnsi="Arial" w:cs="Arial"/>
          <w:color w:val="000000"/>
          <w:spacing w:val="-2"/>
          <w:sz w:val="20"/>
          <w:szCs w:val="20"/>
        </w:rPr>
        <w:t>manufacturing and assembling of electric bus</w:t>
      </w:r>
      <w:r w:rsidRPr="002D2F67">
        <w:rPr>
          <w:rFonts w:ascii="Arial" w:hAnsi="Arial" w:cs="Arial"/>
          <w:color w:val="000000"/>
          <w:spacing w:val="-2"/>
          <w:sz w:val="20"/>
          <w:szCs w:val="20"/>
        </w:rPr>
        <w:t>.</w:t>
      </w:r>
      <w:r w:rsidR="002977CE" w:rsidRPr="002D2F67">
        <w:rPr>
          <w:rFonts w:ascii="Arial" w:hAnsi="Arial" w:cs="Arial"/>
          <w:color w:val="000000"/>
          <w:spacing w:val="-2"/>
          <w:sz w:val="20"/>
          <w:szCs w:val="20"/>
        </w:rPr>
        <w:t xml:space="preserve"> The Group, thirteen</w:t>
      </w:r>
      <w:r w:rsidRPr="002D2F67">
        <w:rPr>
          <w:rFonts w:ascii="Arial" w:hAnsi="Arial" w:cs="Arial"/>
          <w:color w:val="000000"/>
          <w:spacing w:val="-2"/>
          <w:sz w:val="20"/>
          <w:szCs w:val="20"/>
        </w:rPr>
        <w:t xml:space="preserve"> subsidiaries</w:t>
      </w:r>
      <w:r w:rsidR="002977CE" w:rsidRPr="002D2F67">
        <w:rPr>
          <w:rFonts w:ascii="Arial" w:hAnsi="Arial" w:cs="Arial"/>
          <w:color w:val="000000"/>
          <w:spacing w:val="-2"/>
          <w:sz w:val="20"/>
          <w:szCs w:val="20"/>
        </w:rPr>
        <w:t>,</w:t>
      </w:r>
      <w:r w:rsidRPr="002D2F67">
        <w:rPr>
          <w:rFonts w:ascii="Arial" w:hAnsi="Arial" w:cs="Arial"/>
          <w:color w:val="000000"/>
          <w:spacing w:val="-2"/>
          <w:sz w:val="20"/>
          <w:szCs w:val="20"/>
        </w:rPr>
        <w:t xml:space="preserve"> have been granted exemption from certain taxes and duties as detailed in the certificates </w:t>
      </w:r>
      <w:r w:rsidRPr="002D2F67">
        <w:rPr>
          <w:rFonts w:ascii="Arial" w:hAnsi="Arial" w:cs="Arial"/>
          <w:color w:val="000000"/>
          <w:sz w:val="20"/>
          <w:szCs w:val="20"/>
        </w:rPr>
        <w:t xml:space="preserve">including exemption from corporate income tax for a period of eight years from the date of first </w:t>
      </w:r>
      <w:r w:rsidRPr="002D2F67">
        <w:rPr>
          <w:rFonts w:ascii="Arial" w:hAnsi="Arial" w:cs="Arial"/>
          <w:color w:val="000000"/>
          <w:spacing w:val="-4"/>
          <w:sz w:val="20"/>
          <w:szCs w:val="20"/>
        </w:rPr>
        <w:t xml:space="preserve">revenue. As promoted entities, these subsidiaries are required to comply with the terms and conditions specified in the promotion </w:t>
      </w:r>
      <w:r w:rsidRPr="002D2F67">
        <w:rPr>
          <w:rFonts w:ascii="Arial" w:hAnsi="Arial" w:cs="Arial"/>
          <w:color w:val="000000"/>
          <w:sz w:val="20"/>
          <w:szCs w:val="20"/>
        </w:rPr>
        <w:t>certificates.</w:t>
      </w:r>
    </w:p>
    <w:p w14:paraId="4D7AC0CF" w14:textId="77777777" w:rsidR="001E6C66" w:rsidRPr="002D2F67" w:rsidRDefault="001E6C66" w:rsidP="005611FE">
      <w:pPr>
        <w:jc w:val="thaiDistribute"/>
        <w:rPr>
          <w:rFonts w:ascii="Arial" w:hAnsi="Arial" w:cs="Arial"/>
          <w:color w:val="000000"/>
          <w:spacing w:val="-2"/>
          <w:sz w:val="20"/>
          <w:szCs w:val="20"/>
        </w:rPr>
      </w:pPr>
    </w:p>
    <w:p w14:paraId="7943A0C2" w14:textId="2C0BFB62" w:rsidR="00B0675E"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42</w:t>
      </w:r>
      <w:r w:rsidR="00B0675E" w:rsidRPr="002D2F67">
        <w:rPr>
          <w:rFonts w:ascii="Arial" w:hAnsi="Arial" w:cs="Arial"/>
          <w:b/>
          <w:bCs/>
          <w:color w:val="000000"/>
          <w:kern w:val="26"/>
          <w:position w:val="-24"/>
          <w:sz w:val="20"/>
          <w:szCs w:val="20"/>
          <w:cs/>
        </w:rPr>
        <w:tab/>
      </w:r>
      <w:r w:rsidR="00B0675E" w:rsidRPr="002D2F67">
        <w:rPr>
          <w:rFonts w:ascii="Arial" w:hAnsi="Arial" w:cs="Arial"/>
          <w:b/>
          <w:bCs/>
          <w:color w:val="000000"/>
          <w:kern w:val="26"/>
          <w:position w:val="-24"/>
          <w:sz w:val="20"/>
          <w:szCs w:val="20"/>
        </w:rPr>
        <w:t>Related party transactions</w:t>
      </w:r>
    </w:p>
    <w:p w14:paraId="327B3155" w14:textId="77777777" w:rsidR="001E6C66" w:rsidRPr="002D2F67" w:rsidRDefault="001E6C66" w:rsidP="005611FE">
      <w:pPr>
        <w:pStyle w:val="BodyTextIndent2"/>
        <w:tabs>
          <w:tab w:val="left" w:pos="1524"/>
        </w:tabs>
        <w:spacing w:line="240" w:lineRule="auto"/>
        <w:ind w:left="0"/>
        <w:rPr>
          <w:rFonts w:ascii="Arial" w:hAnsi="Arial" w:cs="Arial"/>
          <w:spacing w:val="-2"/>
        </w:rPr>
      </w:pPr>
    </w:p>
    <w:p w14:paraId="0B2E0E98" w14:textId="69C6B3F3" w:rsidR="001E6C66" w:rsidRPr="002D2F67" w:rsidRDefault="002F23E0" w:rsidP="005611FE">
      <w:pPr>
        <w:jc w:val="both"/>
        <w:rPr>
          <w:rFonts w:ascii="Arial" w:hAnsi="Arial" w:cs="Arial"/>
          <w:color w:val="000000"/>
          <w:sz w:val="20"/>
          <w:szCs w:val="20"/>
        </w:rPr>
      </w:pPr>
      <w:r w:rsidRPr="002D2F67">
        <w:rPr>
          <w:rFonts w:ascii="Arial" w:hAnsi="Arial" w:cs="Arial"/>
          <w:color w:val="000000"/>
          <w:spacing w:val="-4"/>
          <w:sz w:val="20"/>
          <w:szCs w:val="20"/>
        </w:rPr>
        <w:t xml:space="preserve">As </w:t>
      </w:r>
      <w:proofErr w:type="gramStart"/>
      <w:r w:rsidRPr="002D2F67">
        <w:rPr>
          <w:rFonts w:ascii="Arial" w:hAnsi="Arial" w:cs="Arial"/>
          <w:color w:val="000000"/>
          <w:spacing w:val="-4"/>
          <w:sz w:val="20"/>
          <w:szCs w:val="20"/>
        </w:rPr>
        <w:t>at</w:t>
      </w:r>
      <w:proofErr w:type="gramEnd"/>
      <w:r w:rsidRPr="002D2F67">
        <w:rPr>
          <w:rFonts w:ascii="Arial" w:hAnsi="Arial" w:cs="Arial"/>
          <w:color w:val="000000"/>
          <w:spacing w:val="-4"/>
          <w:sz w:val="20"/>
          <w:szCs w:val="20"/>
        </w:rPr>
        <w:t xml:space="preserve"> </w:t>
      </w:r>
      <w:r w:rsidR="00CD5714" w:rsidRPr="00CD5714">
        <w:rPr>
          <w:rFonts w:ascii="Arial" w:hAnsi="Arial" w:cs="Arial"/>
          <w:color w:val="000000"/>
          <w:spacing w:val="-4"/>
          <w:sz w:val="20"/>
          <w:szCs w:val="20"/>
          <w:lang w:val="en-GB"/>
        </w:rPr>
        <w:t>31</w:t>
      </w:r>
      <w:r w:rsidRPr="002D2F67">
        <w:rPr>
          <w:rFonts w:ascii="Arial" w:hAnsi="Arial" w:cs="Arial"/>
          <w:color w:val="000000"/>
          <w:spacing w:val="-4"/>
          <w:sz w:val="20"/>
          <w:szCs w:val="20"/>
        </w:rPr>
        <w:t xml:space="preserve"> December </w:t>
      </w:r>
      <w:r w:rsidR="00CD5714" w:rsidRPr="00CD5714">
        <w:rPr>
          <w:rFonts w:ascii="Arial" w:hAnsi="Arial" w:cs="Arial"/>
          <w:color w:val="000000"/>
          <w:spacing w:val="-4"/>
          <w:sz w:val="20"/>
          <w:szCs w:val="20"/>
          <w:lang w:val="en-GB"/>
        </w:rPr>
        <w:t>2024</w:t>
      </w:r>
      <w:r w:rsidRPr="002D2F67">
        <w:rPr>
          <w:rFonts w:ascii="Arial" w:hAnsi="Arial" w:cs="Arial"/>
          <w:color w:val="000000"/>
          <w:spacing w:val="-4"/>
          <w:sz w:val="20"/>
          <w:szCs w:val="20"/>
        </w:rPr>
        <w:t xml:space="preserve">, the major shareholders of the Company are </w:t>
      </w:r>
      <w:r w:rsidR="00472EBE" w:rsidRPr="002D2F67">
        <w:rPr>
          <w:rFonts w:ascii="Arial" w:hAnsi="Arial" w:cs="Arial"/>
          <w:color w:val="000000"/>
          <w:spacing w:val="-4"/>
          <w:sz w:val="20"/>
          <w:szCs w:val="20"/>
        </w:rPr>
        <w:t xml:space="preserve">UBS AG Singapore Branch </w:t>
      </w:r>
      <w:r w:rsidRPr="002D2F67">
        <w:rPr>
          <w:rFonts w:ascii="Arial" w:hAnsi="Arial" w:cs="Arial"/>
          <w:color w:val="000000"/>
          <w:spacing w:val="-4"/>
          <w:sz w:val="20"/>
          <w:szCs w:val="20"/>
        </w:rPr>
        <w:t>and SPBL</w:t>
      </w:r>
      <w:r w:rsidRPr="002D2F67">
        <w:rPr>
          <w:rFonts w:ascii="Arial" w:hAnsi="Arial" w:cs="Arial"/>
          <w:color w:val="000000"/>
          <w:sz w:val="20"/>
          <w:szCs w:val="20"/>
        </w:rPr>
        <w:t xml:space="preserve"> Holding Company Limited </w:t>
      </w:r>
      <w:r w:rsidR="0004358D" w:rsidRPr="002D2F67">
        <w:rPr>
          <w:rFonts w:ascii="Arial" w:hAnsi="Arial" w:cs="Arial"/>
          <w:color w:val="000000"/>
          <w:sz w:val="20"/>
          <w:szCs w:val="20"/>
        </w:rPr>
        <w:t>who</w:t>
      </w:r>
      <w:r w:rsidRPr="002D2F67">
        <w:rPr>
          <w:rFonts w:ascii="Arial" w:hAnsi="Arial" w:cs="Arial"/>
          <w:color w:val="000000"/>
          <w:sz w:val="20"/>
          <w:szCs w:val="20"/>
        </w:rPr>
        <w:t xml:space="preserve"> holds </w:t>
      </w:r>
      <w:r w:rsidR="001506EF">
        <w:rPr>
          <w:rFonts w:ascii="Arial" w:hAnsi="Arial" w:cs="Arial"/>
          <w:color w:val="000000"/>
          <w:sz w:val="20"/>
          <w:szCs w:val="20"/>
          <w:lang w:val="en-GB"/>
        </w:rPr>
        <w:t>20.74</w:t>
      </w:r>
      <w:r w:rsidRPr="002D2F67">
        <w:rPr>
          <w:rFonts w:ascii="Arial" w:hAnsi="Arial" w:cs="Arial"/>
          <w:color w:val="000000"/>
          <w:sz w:val="20"/>
          <w:szCs w:val="20"/>
        </w:rPr>
        <w:t xml:space="preserve">% and </w:t>
      </w:r>
      <w:r w:rsidR="001506EF">
        <w:rPr>
          <w:rFonts w:ascii="Arial" w:hAnsi="Arial" w:cs="Arial"/>
          <w:color w:val="000000"/>
          <w:sz w:val="20"/>
          <w:szCs w:val="20"/>
          <w:lang w:val="en-GB"/>
        </w:rPr>
        <w:t>13.67</w:t>
      </w:r>
      <w:r w:rsidRPr="002D2F67">
        <w:rPr>
          <w:rFonts w:ascii="Arial" w:hAnsi="Arial" w:cs="Arial"/>
          <w:color w:val="000000"/>
          <w:sz w:val="20"/>
          <w:szCs w:val="20"/>
        </w:rPr>
        <w:t>%, respectively (</w:t>
      </w:r>
      <w:r w:rsidR="00CD5714" w:rsidRPr="00CD5714">
        <w:rPr>
          <w:rFonts w:ascii="Arial" w:hAnsi="Arial" w:cs="Arial"/>
          <w:color w:val="000000"/>
          <w:sz w:val="20"/>
          <w:szCs w:val="20"/>
          <w:lang w:val="en-GB"/>
        </w:rPr>
        <w:t>2023</w:t>
      </w:r>
      <w:r w:rsidR="009A7243" w:rsidRPr="002D2F67">
        <w:rPr>
          <w:rFonts w:ascii="Arial" w:hAnsi="Arial" w:cs="Arial"/>
          <w:color w:val="000000"/>
          <w:sz w:val="20"/>
          <w:szCs w:val="20"/>
        </w:rPr>
        <w:t>:</w:t>
      </w:r>
      <w:r w:rsidRPr="002D2F67">
        <w:rPr>
          <w:rFonts w:ascii="Arial" w:hAnsi="Arial" w:cs="Arial"/>
          <w:color w:val="000000"/>
          <w:sz w:val="20"/>
          <w:szCs w:val="20"/>
        </w:rPr>
        <w:t xml:space="preserve"> </w:t>
      </w:r>
      <w:r w:rsidR="00AE149C" w:rsidRPr="002D2F67">
        <w:rPr>
          <w:rFonts w:ascii="Arial" w:hAnsi="Arial" w:cs="Arial"/>
          <w:color w:val="000000"/>
          <w:sz w:val="20"/>
          <w:szCs w:val="20"/>
        </w:rPr>
        <w:t>the major shareholders of the Company are SPBL Holding Company Limited and UBS AG Singapore Branch which holds</w:t>
      </w:r>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25</w:t>
      </w:r>
      <w:r w:rsidR="00AE149C" w:rsidRPr="002D2F67">
        <w:rPr>
          <w:rFonts w:ascii="Arial" w:hAnsi="Arial" w:cs="Arial"/>
          <w:color w:val="000000"/>
          <w:sz w:val="20"/>
          <w:szCs w:val="20"/>
        </w:rPr>
        <w:t>.</w:t>
      </w:r>
      <w:r w:rsidR="00CD5714" w:rsidRPr="00CD5714">
        <w:rPr>
          <w:rFonts w:ascii="Arial" w:hAnsi="Arial" w:cs="Arial"/>
          <w:color w:val="000000"/>
          <w:sz w:val="20"/>
          <w:szCs w:val="20"/>
          <w:lang w:val="en-GB"/>
        </w:rPr>
        <w:t>10</w:t>
      </w:r>
      <w:r w:rsidRPr="002D2F67">
        <w:rPr>
          <w:rFonts w:ascii="Arial" w:hAnsi="Arial" w:cs="Arial"/>
          <w:color w:val="000000"/>
          <w:sz w:val="20"/>
          <w:szCs w:val="20"/>
        </w:rPr>
        <w:t xml:space="preserve">% and </w:t>
      </w:r>
      <w:r w:rsidR="00CD5714" w:rsidRPr="00CD5714">
        <w:rPr>
          <w:rFonts w:ascii="Arial" w:hAnsi="Arial" w:cs="Arial"/>
          <w:color w:val="000000"/>
          <w:sz w:val="20"/>
          <w:szCs w:val="20"/>
          <w:lang w:val="en-GB"/>
        </w:rPr>
        <w:t>24</w:t>
      </w:r>
      <w:r w:rsidR="00AE149C" w:rsidRPr="002D2F67">
        <w:rPr>
          <w:rFonts w:ascii="Arial" w:hAnsi="Arial" w:cs="Arial"/>
          <w:color w:val="000000"/>
          <w:sz w:val="20"/>
          <w:szCs w:val="20"/>
        </w:rPr>
        <w:t>.</w:t>
      </w:r>
      <w:r w:rsidR="00CD5714" w:rsidRPr="00CD5714">
        <w:rPr>
          <w:rFonts w:ascii="Arial" w:hAnsi="Arial" w:cs="Arial"/>
          <w:color w:val="000000"/>
          <w:sz w:val="20"/>
          <w:szCs w:val="20"/>
          <w:lang w:val="en-GB"/>
        </w:rPr>
        <w:t>63</w:t>
      </w:r>
      <w:r w:rsidRPr="002D2F67">
        <w:rPr>
          <w:rFonts w:ascii="Arial" w:hAnsi="Arial" w:cs="Arial"/>
          <w:color w:val="000000"/>
          <w:sz w:val="20"/>
          <w:szCs w:val="20"/>
        </w:rPr>
        <w:t>% of shares, respectively). The remaining portion of ordinary shares were held by others.</w:t>
      </w:r>
    </w:p>
    <w:p w14:paraId="5B7C0ED9" w14:textId="77777777" w:rsidR="002F23E0" w:rsidRPr="002D2F67" w:rsidRDefault="002F23E0" w:rsidP="005611FE">
      <w:pPr>
        <w:jc w:val="both"/>
        <w:rPr>
          <w:rFonts w:ascii="Arial" w:hAnsi="Arial" w:cs="Arial"/>
          <w:color w:val="000000"/>
          <w:spacing w:val="-2"/>
          <w:sz w:val="20"/>
          <w:szCs w:val="20"/>
        </w:rPr>
      </w:pPr>
    </w:p>
    <w:p w14:paraId="00F2A647" w14:textId="4189BD0A" w:rsidR="001E6C66" w:rsidRPr="002D2F67" w:rsidRDefault="001E6C66" w:rsidP="005611FE">
      <w:pPr>
        <w:tabs>
          <w:tab w:val="left" w:pos="567"/>
        </w:tabs>
        <w:rPr>
          <w:rFonts w:ascii="Arial" w:hAnsi="Arial" w:cs="Arial"/>
          <w:color w:val="000000"/>
          <w:sz w:val="20"/>
          <w:szCs w:val="20"/>
        </w:rPr>
      </w:pPr>
      <w:r w:rsidRPr="002D2F67">
        <w:rPr>
          <w:rFonts w:ascii="Arial" w:hAnsi="Arial" w:cs="Arial"/>
          <w:color w:val="000000"/>
          <w:sz w:val="20"/>
          <w:szCs w:val="20"/>
        </w:rPr>
        <w:t xml:space="preserve">Details of subsidiaries are disclosed in Note </w:t>
      </w:r>
      <w:r w:rsidR="00CD5714" w:rsidRPr="00CD5714">
        <w:rPr>
          <w:rFonts w:ascii="Arial" w:hAnsi="Arial" w:cs="Arial"/>
          <w:color w:val="000000"/>
          <w:sz w:val="20"/>
          <w:szCs w:val="20"/>
          <w:lang w:val="en-GB"/>
        </w:rPr>
        <w:t>19</w:t>
      </w:r>
      <w:r w:rsidRPr="002D2F67">
        <w:rPr>
          <w:rFonts w:ascii="Arial" w:hAnsi="Arial" w:cs="Arial"/>
          <w:color w:val="000000"/>
          <w:sz w:val="20"/>
          <w:szCs w:val="20"/>
        </w:rPr>
        <w:t>.</w:t>
      </w:r>
    </w:p>
    <w:p w14:paraId="3F73F803" w14:textId="77777777" w:rsidR="00762342" w:rsidRPr="002D2F67" w:rsidRDefault="00762342" w:rsidP="005611FE">
      <w:pPr>
        <w:tabs>
          <w:tab w:val="left" w:pos="567"/>
        </w:tabs>
        <w:rPr>
          <w:rFonts w:ascii="Arial" w:hAnsi="Arial" w:cs="Arial"/>
          <w:color w:val="000000"/>
          <w:sz w:val="20"/>
          <w:szCs w:val="20"/>
        </w:rPr>
      </w:pPr>
    </w:p>
    <w:p w14:paraId="3D9264BC" w14:textId="77777777" w:rsidR="00762342" w:rsidRPr="002D2F67" w:rsidRDefault="00762342" w:rsidP="00762342">
      <w:pPr>
        <w:tabs>
          <w:tab w:val="left" w:pos="567"/>
        </w:tabs>
        <w:rPr>
          <w:rFonts w:ascii="Arial" w:hAnsi="Arial" w:cs="Arial"/>
          <w:color w:val="000000"/>
          <w:sz w:val="20"/>
          <w:szCs w:val="20"/>
        </w:rPr>
      </w:pPr>
      <w:r w:rsidRPr="002D2F67">
        <w:rPr>
          <w:rFonts w:ascii="Arial" w:hAnsi="Arial" w:cs="Arial"/>
          <w:color w:val="000000"/>
          <w:sz w:val="20"/>
          <w:szCs w:val="20"/>
        </w:rPr>
        <w:t>The pricing policy for each type of transaction is described as follows:</w:t>
      </w:r>
    </w:p>
    <w:p w14:paraId="16C46C59" w14:textId="1D3BD1DF" w:rsidR="00762342" w:rsidRPr="002D2F67" w:rsidRDefault="00762342" w:rsidP="00B43924">
      <w:pPr>
        <w:numPr>
          <w:ilvl w:val="0"/>
          <w:numId w:val="10"/>
        </w:numPr>
        <w:tabs>
          <w:tab w:val="left" w:pos="426"/>
        </w:tabs>
        <w:ind w:left="142" w:firstLine="0"/>
        <w:jc w:val="thaiDistribute"/>
        <w:rPr>
          <w:rFonts w:ascii="Arial" w:hAnsi="Arial" w:cs="Arial"/>
          <w:color w:val="000000"/>
          <w:sz w:val="20"/>
          <w:szCs w:val="20"/>
        </w:rPr>
      </w:pPr>
      <w:r w:rsidRPr="002D2F67">
        <w:rPr>
          <w:rFonts w:ascii="Arial" w:hAnsi="Arial" w:cs="Arial"/>
          <w:color w:val="000000"/>
          <w:sz w:val="20"/>
          <w:szCs w:val="20"/>
        </w:rPr>
        <w:t>Sales of goods are priced according to the amounts specified in the sales contracts.</w:t>
      </w:r>
    </w:p>
    <w:p w14:paraId="087D4FC7" w14:textId="3E41B23B" w:rsidR="00762342" w:rsidRPr="002D2F67" w:rsidRDefault="00762342" w:rsidP="00B43924">
      <w:pPr>
        <w:numPr>
          <w:ilvl w:val="0"/>
          <w:numId w:val="10"/>
        </w:numPr>
        <w:tabs>
          <w:tab w:val="left" w:pos="426"/>
        </w:tabs>
        <w:ind w:left="426" w:hanging="284"/>
        <w:jc w:val="thaiDistribute"/>
        <w:rPr>
          <w:rFonts w:ascii="Arial" w:hAnsi="Arial" w:cs="Arial"/>
          <w:color w:val="000000"/>
          <w:sz w:val="20"/>
          <w:szCs w:val="20"/>
        </w:rPr>
      </w:pPr>
      <w:r w:rsidRPr="002D2F67">
        <w:rPr>
          <w:rFonts w:ascii="Arial" w:hAnsi="Arial" w:cs="Arial"/>
          <w:color w:val="000000"/>
          <w:spacing w:val="-6"/>
          <w:sz w:val="20"/>
          <w:szCs w:val="20"/>
        </w:rPr>
        <w:t>Service fees, service charges, and rental fees are priced according to the amounts specified in the contracts</w:t>
      </w:r>
      <w:r w:rsidRPr="002D2F67">
        <w:rPr>
          <w:rFonts w:ascii="Arial" w:hAnsi="Arial" w:cs="Arial"/>
          <w:color w:val="000000"/>
          <w:sz w:val="20"/>
          <w:szCs w:val="20"/>
        </w:rPr>
        <w:t>.</w:t>
      </w:r>
    </w:p>
    <w:p w14:paraId="4A6A36AC" w14:textId="62A1A949" w:rsidR="00762342" w:rsidRPr="002D2F67" w:rsidRDefault="00762342" w:rsidP="00B43924">
      <w:pPr>
        <w:numPr>
          <w:ilvl w:val="0"/>
          <w:numId w:val="10"/>
        </w:numPr>
        <w:tabs>
          <w:tab w:val="left" w:pos="426"/>
        </w:tabs>
        <w:ind w:left="426" w:hanging="284"/>
        <w:jc w:val="thaiDistribute"/>
        <w:rPr>
          <w:rFonts w:ascii="Arial" w:hAnsi="Arial" w:cs="Arial"/>
          <w:color w:val="000000"/>
          <w:sz w:val="20"/>
          <w:szCs w:val="20"/>
        </w:rPr>
      </w:pPr>
      <w:r w:rsidRPr="002D2F67">
        <w:rPr>
          <w:rFonts w:ascii="Arial" w:hAnsi="Arial" w:cs="Arial"/>
          <w:color w:val="000000"/>
          <w:sz w:val="20"/>
          <w:szCs w:val="20"/>
        </w:rPr>
        <w:t xml:space="preserve">Management fees are determined by calculating the actual costs related to the services provided </w:t>
      </w:r>
      <w:r w:rsidR="005A7668" w:rsidRPr="002D2F67">
        <w:rPr>
          <w:rFonts w:ascii="Arial" w:hAnsi="Arial" w:cs="Arial"/>
          <w:color w:val="000000"/>
          <w:sz w:val="20"/>
          <w:szCs w:val="20"/>
        </w:rPr>
        <w:br/>
      </w:r>
      <w:r w:rsidRPr="002D2F67">
        <w:rPr>
          <w:rFonts w:ascii="Arial" w:hAnsi="Arial" w:cs="Arial"/>
          <w:color w:val="000000"/>
          <w:sz w:val="20"/>
          <w:szCs w:val="20"/>
        </w:rPr>
        <w:t>plus a margin. The compensation for management is included in the management fees charged to each company.</w:t>
      </w:r>
    </w:p>
    <w:p w14:paraId="5E9E4536" w14:textId="6ABF9F0F" w:rsidR="00762342" w:rsidRPr="002D2F67" w:rsidRDefault="00762342" w:rsidP="00B43924">
      <w:pPr>
        <w:numPr>
          <w:ilvl w:val="0"/>
          <w:numId w:val="10"/>
        </w:numPr>
        <w:tabs>
          <w:tab w:val="left" w:pos="426"/>
        </w:tabs>
        <w:ind w:left="426" w:hanging="284"/>
        <w:jc w:val="thaiDistribute"/>
        <w:rPr>
          <w:rFonts w:ascii="Arial" w:hAnsi="Arial" w:cs="Arial"/>
          <w:color w:val="000000"/>
          <w:sz w:val="20"/>
          <w:szCs w:val="20"/>
        </w:rPr>
      </w:pPr>
      <w:r w:rsidRPr="002D2F67">
        <w:rPr>
          <w:rFonts w:ascii="Arial" w:hAnsi="Arial" w:cs="Arial"/>
          <w:color w:val="000000"/>
          <w:sz w:val="20"/>
          <w:szCs w:val="20"/>
        </w:rPr>
        <w:t>Interest income and interest expenses arising from loans are set at fixed interest rates that are close to market rates.</w:t>
      </w:r>
    </w:p>
    <w:p w14:paraId="3BF750FD" w14:textId="200146E6" w:rsidR="00632874" w:rsidRPr="002D2F67" w:rsidRDefault="00AB5B46" w:rsidP="005611FE">
      <w:pPr>
        <w:jc w:val="both"/>
        <w:rPr>
          <w:rFonts w:ascii="Arial" w:hAnsi="Arial" w:cs="Arial"/>
          <w:color w:val="000000"/>
          <w:sz w:val="20"/>
          <w:szCs w:val="20"/>
        </w:rPr>
      </w:pPr>
      <w:r w:rsidRPr="002D2F67">
        <w:rPr>
          <w:rFonts w:ascii="Arial" w:hAnsi="Arial" w:cs="Arial"/>
          <w:color w:val="000000"/>
          <w:sz w:val="20"/>
          <w:szCs w:val="20"/>
          <w:cs/>
        </w:rPr>
        <w:br w:type="page"/>
      </w:r>
    </w:p>
    <w:p w14:paraId="5C695F9F" w14:textId="50683CFB" w:rsidR="002B340A" w:rsidRPr="002D2F67" w:rsidRDefault="002B340A" w:rsidP="005611FE">
      <w:pPr>
        <w:jc w:val="thaiDistribute"/>
        <w:rPr>
          <w:rFonts w:ascii="Arial" w:hAnsi="Arial" w:cs="Arial"/>
          <w:color w:val="000000"/>
          <w:sz w:val="20"/>
          <w:szCs w:val="20"/>
        </w:rPr>
      </w:pPr>
      <w:r w:rsidRPr="002D2F67">
        <w:rPr>
          <w:rFonts w:ascii="Arial" w:hAnsi="Arial" w:cs="Arial"/>
          <w:color w:val="000000"/>
          <w:sz w:val="20"/>
          <w:szCs w:val="20"/>
        </w:rPr>
        <w:t xml:space="preserve">The following material transactions </w:t>
      </w:r>
      <w:r w:rsidR="00D4194B" w:rsidRPr="002D2F67">
        <w:rPr>
          <w:rFonts w:ascii="Arial" w:hAnsi="Arial" w:cs="Arial"/>
          <w:color w:val="000000"/>
          <w:sz w:val="20"/>
          <w:szCs w:val="20"/>
        </w:rPr>
        <w:t>wer</w:t>
      </w:r>
      <w:r w:rsidRPr="002D2F67">
        <w:rPr>
          <w:rFonts w:ascii="Arial" w:hAnsi="Arial" w:cs="Arial"/>
          <w:color w:val="000000"/>
          <w:sz w:val="20"/>
          <w:szCs w:val="20"/>
        </w:rPr>
        <w:t>e carried out with related parties:</w:t>
      </w:r>
    </w:p>
    <w:p w14:paraId="48E72691" w14:textId="77777777" w:rsidR="00AB5B46" w:rsidRPr="002D2F67" w:rsidRDefault="00AB5B46" w:rsidP="005611FE">
      <w:pPr>
        <w:pStyle w:val="EASUBHEAD6"/>
        <w:rPr>
          <w:b/>
          <w:bCs/>
          <w:color w:val="000000"/>
          <w:sz w:val="20"/>
          <w:szCs w:val="20"/>
        </w:rPr>
      </w:pPr>
    </w:p>
    <w:p w14:paraId="1483E43F" w14:textId="1C61EC37" w:rsidR="001E6C66" w:rsidRPr="002D2F67" w:rsidRDefault="00CD5714" w:rsidP="005611FE">
      <w:pPr>
        <w:pStyle w:val="EASUBHEAD6"/>
        <w:rPr>
          <w:b/>
          <w:bCs/>
          <w:color w:val="000000"/>
          <w:sz w:val="20"/>
          <w:szCs w:val="20"/>
        </w:rPr>
      </w:pPr>
      <w:r w:rsidRPr="00CD5714">
        <w:rPr>
          <w:b/>
          <w:bCs/>
          <w:color w:val="000000"/>
          <w:sz w:val="20"/>
          <w:szCs w:val="20"/>
          <w:lang w:val="en-GB"/>
        </w:rPr>
        <w:t>42</w:t>
      </w:r>
      <w:r w:rsidR="001E6C66" w:rsidRPr="002D2F67">
        <w:rPr>
          <w:b/>
          <w:bCs/>
          <w:color w:val="000000"/>
          <w:sz w:val="20"/>
          <w:szCs w:val="20"/>
        </w:rPr>
        <w:t>.</w:t>
      </w:r>
      <w:r w:rsidRPr="00CD5714">
        <w:rPr>
          <w:b/>
          <w:bCs/>
          <w:color w:val="000000"/>
          <w:sz w:val="20"/>
          <w:szCs w:val="20"/>
          <w:lang w:val="en-GB"/>
        </w:rPr>
        <w:t>1</w:t>
      </w:r>
      <w:r w:rsidR="001E6C66" w:rsidRPr="002D2F67">
        <w:rPr>
          <w:b/>
          <w:bCs/>
          <w:color w:val="000000"/>
          <w:sz w:val="20"/>
          <w:szCs w:val="20"/>
        </w:rPr>
        <w:tab/>
        <w:t xml:space="preserve">Revenue from </w:t>
      </w:r>
      <w:r w:rsidR="00632874" w:rsidRPr="002D2F67">
        <w:rPr>
          <w:b/>
          <w:bCs/>
          <w:color w:val="000000"/>
          <w:sz w:val="20"/>
          <w:szCs w:val="20"/>
        </w:rPr>
        <w:t>sales and</w:t>
      </w:r>
      <w:r w:rsidR="001E6C66" w:rsidRPr="002D2F67">
        <w:rPr>
          <w:b/>
          <w:bCs/>
          <w:color w:val="000000"/>
          <w:sz w:val="20"/>
          <w:szCs w:val="20"/>
        </w:rPr>
        <w:t xml:space="preserve"> services</w:t>
      </w:r>
    </w:p>
    <w:p w14:paraId="22D803E7" w14:textId="77777777" w:rsidR="001E6C66" w:rsidRPr="002D2F67" w:rsidRDefault="001E6C66" w:rsidP="005611FE">
      <w:pPr>
        <w:pStyle w:val="Header"/>
        <w:ind w:left="1080" w:hanging="540"/>
        <w:rPr>
          <w:rFonts w:ascii="Arial" w:hAnsi="Arial" w:cs="Arial"/>
          <w:color w:val="000000"/>
          <w:sz w:val="20"/>
          <w:szCs w:val="20"/>
        </w:rPr>
      </w:pPr>
    </w:p>
    <w:tbl>
      <w:tblPr>
        <w:tblW w:w="9270" w:type="dxa"/>
        <w:tblInd w:w="288" w:type="dxa"/>
        <w:tblLayout w:type="fixed"/>
        <w:tblLook w:val="0000" w:firstRow="0" w:lastRow="0" w:firstColumn="0" w:lastColumn="0" w:noHBand="0" w:noVBand="0"/>
      </w:tblPr>
      <w:tblGrid>
        <w:gridCol w:w="3510"/>
        <w:gridCol w:w="1440"/>
        <w:gridCol w:w="1440"/>
        <w:gridCol w:w="1440"/>
        <w:gridCol w:w="1440"/>
      </w:tblGrid>
      <w:tr w:rsidR="001E6C66" w:rsidRPr="002D2F67" w14:paraId="3B82711D" w14:textId="77777777" w:rsidTr="008255E8">
        <w:tc>
          <w:tcPr>
            <w:tcW w:w="3510" w:type="dxa"/>
            <w:shd w:val="clear" w:color="auto" w:fill="auto"/>
          </w:tcPr>
          <w:p w14:paraId="541A858A" w14:textId="77777777" w:rsidR="001E6C66" w:rsidRPr="002D2F67" w:rsidRDefault="001E6C66" w:rsidP="005611FE">
            <w:pPr>
              <w:ind w:left="252"/>
              <w:contextualSpacing/>
              <w:rPr>
                <w:rFonts w:ascii="Arial" w:hAnsi="Arial" w:cs="Arial"/>
                <w:color w:val="000000"/>
                <w:sz w:val="20"/>
                <w:szCs w:val="20"/>
              </w:rPr>
            </w:pPr>
          </w:p>
        </w:tc>
        <w:tc>
          <w:tcPr>
            <w:tcW w:w="2880" w:type="dxa"/>
            <w:gridSpan w:val="2"/>
            <w:tcBorders>
              <w:bottom w:val="single" w:sz="4" w:space="0" w:color="auto"/>
            </w:tcBorders>
            <w:shd w:val="clear" w:color="auto" w:fill="auto"/>
          </w:tcPr>
          <w:p w14:paraId="1881EA0F" w14:textId="77777777" w:rsidR="001E6C66" w:rsidRPr="002D2F67" w:rsidRDefault="001E6C66" w:rsidP="005611FE">
            <w:pPr>
              <w:tabs>
                <w:tab w:val="left" w:pos="709"/>
              </w:tabs>
              <w:ind w:right="-72"/>
              <w:contextualSpacing/>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4AFCFCA4" w14:textId="77777777" w:rsidR="001E6C66" w:rsidRPr="002D2F67" w:rsidRDefault="001E6C66" w:rsidP="005611FE">
            <w:pPr>
              <w:tabs>
                <w:tab w:val="left" w:pos="709"/>
              </w:tabs>
              <w:ind w:right="-72"/>
              <w:contextualSpacing/>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2880" w:type="dxa"/>
            <w:gridSpan w:val="2"/>
            <w:tcBorders>
              <w:bottom w:val="single" w:sz="4" w:space="0" w:color="auto"/>
            </w:tcBorders>
            <w:shd w:val="clear" w:color="auto" w:fill="auto"/>
          </w:tcPr>
          <w:p w14:paraId="66750C72" w14:textId="77777777" w:rsidR="001E6C66" w:rsidRPr="002D2F67" w:rsidRDefault="001E6C66" w:rsidP="005611FE">
            <w:pPr>
              <w:tabs>
                <w:tab w:val="left" w:pos="709"/>
              </w:tabs>
              <w:ind w:right="-72"/>
              <w:contextualSpacing/>
              <w:jc w:val="right"/>
              <w:rPr>
                <w:rFonts w:ascii="Arial" w:hAnsi="Arial" w:cs="Arial"/>
                <w:b/>
                <w:bCs/>
                <w:color w:val="000000"/>
                <w:sz w:val="20"/>
                <w:szCs w:val="20"/>
              </w:rPr>
            </w:pPr>
            <w:r w:rsidRPr="002D2F67">
              <w:rPr>
                <w:rFonts w:ascii="Arial" w:hAnsi="Arial" w:cs="Arial"/>
                <w:b/>
                <w:bCs/>
                <w:color w:val="000000"/>
                <w:sz w:val="20"/>
                <w:szCs w:val="20"/>
              </w:rPr>
              <w:t xml:space="preserve">Separate </w:t>
            </w:r>
          </w:p>
          <w:p w14:paraId="336B6EB2" w14:textId="77777777" w:rsidR="001E6C66" w:rsidRPr="002D2F67" w:rsidRDefault="001E6C66" w:rsidP="005611FE">
            <w:pPr>
              <w:tabs>
                <w:tab w:val="left" w:pos="709"/>
              </w:tabs>
              <w:ind w:right="-72"/>
              <w:contextualSpacing/>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4A6CC8" w:rsidRPr="002D2F67" w14:paraId="676CE95D" w14:textId="77777777" w:rsidTr="005611FE">
        <w:trPr>
          <w:trHeight w:val="99"/>
        </w:trPr>
        <w:tc>
          <w:tcPr>
            <w:tcW w:w="3510" w:type="dxa"/>
            <w:shd w:val="clear" w:color="auto" w:fill="auto"/>
          </w:tcPr>
          <w:p w14:paraId="163A4632" w14:textId="423D6095" w:rsidR="004A6CC8" w:rsidRPr="002D2F67" w:rsidRDefault="004A6CC8" w:rsidP="005611FE">
            <w:pPr>
              <w:ind w:left="252" w:right="-108"/>
              <w:contextualSpacing/>
              <w:rPr>
                <w:rFonts w:ascii="Arial" w:hAnsi="Arial" w:cs="Arial"/>
                <w:b/>
                <w:bCs/>
                <w:color w:val="000000"/>
                <w:spacing w:val="-4"/>
                <w:sz w:val="20"/>
                <w:szCs w:val="20"/>
              </w:rPr>
            </w:pPr>
            <w:r w:rsidRPr="002D2F67">
              <w:rPr>
                <w:rFonts w:ascii="Arial" w:hAnsi="Arial" w:cs="Arial"/>
                <w:b/>
                <w:bCs/>
                <w:color w:val="000000"/>
                <w:spacing w:val="-4"/>
                <w:sz w:val="20"/>
                <w:szCs w:val="20"/>
              </w:rPr>
              <w:t xml:space="preserve">For the years ended </w:t>
            </w:r>
            <w:r w:rsidR="00CD5714" w:rsidRPr="00CD5714">
              <w:rPr>
                <w:rFonts w:ascii="Arial" w:hAnsi="Arial" w:cs="Arial"/>
                <w:b/>
                <w:bCs/>
                <w:color w:val="000000"/>
                <w:spacing w:val="-4"/>
                <w:sz w:val="20"/>
                <w:szCs w:val="20"/>
                <w:lang w:val="en-GB"/>
              </w:rPr>
              <w:t>31</w:t>
            </w:r>
            <w:r w:rsidRPr="002D2F67">
              <w:rPr>
                <w:rFonts w:ascii="Arial" w:hAnsi="Arial" w:cs="Arial"/>
                <w:b/>
                <w:bCs/>
                <w:color w:val="000000"/>
                <w:spacing w:val="-4"/>
                <w:sz w:val="20"/>
                <w:szCs w:val="20"/>
              </w:rPr>
              <w:t xml:space="preserve"> December</w:t>
            </w:r>
          </w:p>
        </w:tc>
        <w:tc>
          <w:tcPr>
            <w:tcW w:w="1440" w:type="dxa"/>
            <w:tcBorders>
              <w:top w:val="single" w:sz="4" w:space="0" w:color="auto"/>
            </w:tcBorders>
            <w:shd w:val="clear" w:color="auto" w:fill="auto"/>
          </w:tcPr>
          <w:p w14:paraId="54A3ABC7" w14:textId="38E58D6A" w:rsidR="004A6CC8" w:rsidRPr="002D2F67" w:rsidRDefault="00CD5714" w:rsidP="005611FE">
            <w:pPr>
              <w:ind w:right="-72"/>
              <w:contextualSpacing/>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40" w:type="dxa"/>
            <w:tcBorders>
              <w:top w:val="single" w:sz="4" w:space="0" w:color="auto"/>
            </w:tcBorders>
            <w:shd w:val="clear" w:color="auto" w:fill="auto"/>
          </w:tcPr>
          <w:p w14:paraId="2601D34D" w14:textId="22EB46EE" w:rsidR="004A6CC8" w:rsidRPr="002D2F67" w:rsidRDefault="00CD5714" w:rsidP="005611FE">
            <w:pPr>
              <w:ind w:right="-72"/>
              <w:contextualSpacing/>
              <w:jc w:val="right"/>
              <w:rPr>
                <w:rFonts w:ascii="Arial" w:hAnsi="Arial" w:cs="Arial"/>
                <w:b/>
                <w:bCs/>
                <w:color w:val="000000"/>
                <w:sz w:val="20"/>
                <w:szCs w:val="20"/>
                <w:cs/>
              </w:rPr>
            </w:pPr>
            <w:r w:rsidRPr="00CD5714">
              <w:rPr>
                <w:rFonts w:ascii="Arial" w:hAnsi="Arial" w:cs="Arial"/>
                <w:b/>
                <w:bCs/>
                <w:color w:val="000000"/>
                <w:sz w:val="20"/>
                <w:szCs w:val="20"/>
                <w:lang w:val="en-GB"/>
              </w:rPr>
              <w:t>2023</w:t>
            </w:r>
          </w:p>
        </w:tc>
        <w:tc>
          <w:tcPr>
            <w:tcW w:w="1440" w:type="dxa"/>
            <w:tcBorders>
              <w:top w:val="single" w:sz="4" w:space="0" w:color="auto"/>
            </w:tcBorders>
            <w:shd w:val="clear" w:color="auto" w:fill="auto"/>
          </w:tcPr>
          <w:p w14:paraId="2F13FAEE" w14:textId="0E9F41D6" w:rsidR="004A6CC8" w:rsidRPr="002D2F67" w:rsidRDefault="00CD5714" w:rsidP="005611FE">
            <w:pPr>
              <w:ind w:right="-72"/>
              <w:contextualSpacing/>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40" w:type="dxa"/>
            <w:tcBorders>
              <w:top w:val="single" w:sz="4" w:space="0" w:color="auto"/>
            </w:tcBorders>
            <w:shd w:val="clear" w:color="auto" w:fill="auto"/>
          </w:tcPr>
          <w:p w14:paraId="2C8E3AA7" w14:textId="03CFC725" w:rsidR="004A6CC8" w:rsidRPr="002D2F67" w:rsidRDefault="00CD5714" w:rsidP="005611FE">
            <w:pPr>
              <w:ind w:right="-72"/>
              <w:contextualSpacing/>
              <w:jc w:val="right"/>
              <w:rPr>
                <w:rFonts w:ascii="Arial" w:hAnsi="Arial" w:cs="Arial"/>
                <w:b/>
                <w:bCs/>
                <w:color w:val="000000"/>
                <w:sz w:val="20"/>
                <w:szCs w:val="20"/>
                <w:cs/>
              </w:rPr>
            </w:pPr>
            <w:r w:rsidRPr="00CD5714">
              <w:rPr>
                <w:rFonts w:ascii="Arial" w:hAnsi="Arial" w:cs="Arial"/>
                <w:b/>
                <w:bCs/>
                <w:color w:val="000000"/>
                <w:sz w:val="20"/>
                <w:szCs w:val="20"/>
                <w:lang w:val="en-GB"/>
              </w:rPr>
              <w:t>2023</w:t>
            </w:r>
          </w:p>
        </w:tc>
      </w:tr>
      <w:tr w:rsidR="001E6C66" w:rsidRPr="002D2F67" w14:paraId="3826C419" w14:textId="77777777" w:rsidTr="005611FE">
        <w:trPr>
          <w:trHeight w:val="70"/>
        </w:trPr>
        <w:tc>
          <w:tcPr>
            <w:tcW w:w="3510" w:type="dxa"/>
            <w:shd w:val="clear" w:color="auto" w:fill="auto"/>
          </w:tcPr>
          <w:p w14:paraId="584186AD" w14:textId="77777777" w:rsidR="001E6C66" w:rsidRPr="002D2F67" w:rsidRDefault="001E6C66" w:rsidP="005611FE">
            <w:pPr>
              <w:ind w:left="252"/>
              <w:contextualSpacing/>
              <w:rPr>
                <w:rFonts w:ascii="Arial" w:hAnsi="Arial" w:cs="Arial"/>
                <w:b/>
                <w:bCs/>
                <w:color w:val="000000"/>
                <w:sz w:val="20"/>
                <w:szCs w:val="20"/>
              </w:rPr>
            </w:pPr>
          </w:p>
        </w:tc>
        <w:tc>
          <w:tcPr>
            <w:tcW w:w="1440" w:type="dxa"/>
            <w:tcBorders>
              <w:bottom w:val="single" w:sz="4" w:space="0" w:color="auto"/>
            </w:tcBorders>
            <w:shd w:val="clear" w:color="auto" w:fill="auto"/>
          </w:tcPr>
          <w:p w14:paraId="64D87848" w14:textId="43D1F555" w:rsidR="001E6C66" w:rsidRPr="002D2F67" w:rsidRDefault="001E6C66" w:rsidP="005611FE">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color w:val="000000"/>
                <w:sz w:val="20"/>
                <w:szCs w:val="20"/>
              </w:rPr>
            </w:pPr>
            <w:r w:rsidRPr="002D2F67">
              <w:rPr>
                <w:rFonts w:ascii="Arial" w:hAnsi="Arial" w:cs="Arial"/>
                <w:b/>
                <w:bCs/>
                <w:color w:val="000000"/>
                <w:sz w:val="20"/>
                <w:szCs w:val="20"/>
              </w:rPr>
              <w:t>Baht</w:t>
            </w:r>
            <w:r w:rsidR="005A3B2A" w:rsidRPr="002D2F67">
              <w:rPr>
                <w:rFonts w:ascii="Arial" w:hAnsi="Arial" w:cs="Arial"/>
                <w:b/>
                <w:bCs/>
                <w:color w:val="000000"/>
                <w:sz w:val="20"/>
                <w:szCs w:val="20"/>
              </w:rPr>
              <w: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5F8B4F66" w14:textId="064DCDF5" w:rsidR="001E6C66" w:rsidRPr="002D2F67" w:rsidRDefault="005A3B2A" w:rsidP="005611FE">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7E71F5CF" w14:textId="4544EEB5" w:rsidR="001E6C66" w:rsidRPr="002D2F67" w:rsidRDefault="005A3B2A" w:rsidP="005611FE">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74F00CC4" w14:textId="52DD9165" w:rsidR="001E6C66" w:rsidRPr="002D2F67" w:rsidRDefault="005A3B2A" w:rsidP="005611FE">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1E6C66" w:rsidRPr="002D2F67" w14:paraId="6AB52A4C" w14:textId="77777777" w:rsidTr="005611FE">
        <w:tc>
          <w:tcPr>
            <w:tcW w:w="3510" w:type="dxa"/>
            <w:shd w:val="clear" w:color="auto" w:fill="auto"/>
          </w:tcPr>
          <w:p w14:paraId="423DC787"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left="252"/>
              <w:contextualSpacing/>
              <w:rPr>
                <w:rFonts w:ascii="Arial" w:hAnsi="Arial" w:cs="Arial"/>
                <w:color w:val="000000"/>
                <w:sz w:val="20"/>
                <w:szCs w:val="20"/>
              </w:rPr>
            </w:pPr>
          </w:p>
        </w:tc>
        <w:tc>
          <w:tcPr>
            <w:tcW w:w="1440" w:type="dxa"/>
            <w:tcBorders>
              <w:top w:val="single" w:sz="4" w:space="0" w:color="auto"/>
            </w:tcBorders>
            <w:shd w:val="clear" w:color="auto" w:fill="auto"/>
          </w:tcPr>
          <w:p w14:paraId="571C54B7"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74EAE60A"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72880D9C"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687EFCCD" w14:textId="77777777" w:rsidR="001E6C66" w:rsidRPr="002D2F67" w:rsidRDefault="001E6C66" w:rsidP="005611FE">
            <w:pPr>
              <w:ind w:right="-72"/>
              <w:contextualSpacing/>
              <w:jc w:val="right"/>
              <w:rPr>
                <w:rFonts w:ascii="Arial" w:hAnsi="Arial" w:cs="Arial"/>
                <w:color w:val="000000"/>
                <w:sz w:val="20"/>
                <w:szCs w:val="20"/>
              </w:rPr>
            </w:pPr>
          </w:p>
        </w:tc>
      </w:tr>
      <w:tr w:rsidR="005A3B2A" w:rsidRPr="002D2F67" w14:paraId="2CAC16C6" w14:textId="77777777" w:rsidTr="005611FE">
        <w:trPr>
          <w:trHeight w:val="70"/>
        </w:trPr>
        <w:tc>
          <w:tcPr>
            <w:tcW w:w="3510" w:type="dxa"/>
            <w:shd w:val="clear" w:color="auto" w:fill="auto"/>
          </w:tcPr>
          <w:p w14:paraId="4324A00B" w14:textId="6FF28D23" w:rsidR="005A3B2A" w:rsidRPr="002D2F67" w:rsidRDefault="005A3B2A" w:rsidP="005611FE">
            <w:pPr>
              <w:tabs>
                <w:tab w:val="left" w:pos="1134"/>
                <w:tab w:val="left" w:pos="1276"/>
                <w:tab w:val="center" w:pos="4536"/>
                <w:tab w:val="center" w:pos="5670"/>
                <w:tab w:val="center" w:pos="6804"/>
                <w:tab w:val="right" w:pos="7655"/>
              </w:tabs>
              <w:ind w:left="252" w:right="-99"/>
              <w:contextualSpacing/>
              <w:rPr>
                <w:rFonts w:ascii="Arial" w:hAnsi="Arial" w:cs="Arial"/>
                <w:color w:val="000000"/>
                <w:spacing w:val="-2"/>
                <w:sz w:val="20"/>
                <w:szCs w:val="20"/>
              </w:rPr>
            </w:pPr>
            <w:r w:rsidRPr="002D2F67">
              <w:rPr>
                <w:rFonts w:ascii="Arial" w:hAnsi="Arial" w:cs="Arial"/>
                <w:color w:val="000000"/>
                <w:sz w:val="20"/>
                <w:szCs w:val="20"/>
              </w:rPr>
              <w:t>Revenue from sales</w:t>
            </w:r>
          </w:p>
        </w:tc>
        <w:tc>
          <w:tcPr>
            <w:tcW w:w="1440" w:type="dxa"/>
            <w:shd w:val="clear" w:color="auto" w:fill="auto"/>
          </w:tcPr>
          <w:p w14:paraId="6F1C9831" w14:textId="77777777" w:rsidR="005A3B2A" w:rsidRPr="002D2F67" w:rsidRDefault="005A3B2A" w:rsidP="005611FE">
            <w:pPr>
              <w:tabs>
                <w:tab w:val="left" w:pos="1134"/>
                <w:tab w:val="left" w:pos="1276"/>
                <w:tab w:val="center" w:pos="3402"/>
                <w:tab w:val="center" w:pos="4536"/>
                <w:tab w:val="center" w:pos="5670"/>
                <w:tab w:val="center" w:pos="6804"/>
                <w:tab w:val="right" w:pos="7655"/>
              </w:tabs>
              <w:ind w:right="-72" w:hanging="333"/>
              <w:contextualSpacing/>
              <w:jc w:val="right"/>
              <w:rPr>
                <w:rFonts w:ascii="Arial" w:hAnsi="Arial" w:cs="Arial"/>
                <w:color w:val="000000"/>
                <w:sz w:val="20"/>
                <w:szCs w:val="20"/>
              </w:rPr>
            </w:pPr>
          </w:p>
        </w:tc>
        <w:tc>
          <w:tcPr>
            <w:tcW w:w="1440" w:type="dxa"/>
            <w:shd w:val="clear" w:color="auto" w:fill="auto"/>
          </w:tcPr>
          <w:p w14:paraId="3707739B" w14:textId="77777777" w:rsidR="005A3B2A" w:rsidRPr="002D2F67" w:rsidRDefault="005A3B2A" w:rsidP="005611FE">
            <w:pPr>
              <w:tabs>
                <w:tab w:val="left" w:pos="1134"/>
                <w:tab w:val="left" w:pos="1276"/>
                <w:tab w:val="center" w:pos="3402"/>
                <w:tab w:val="center" w:pos="4536"/>
                <w:tab w:val="center" w:pos="5670"/>
                <w:tab w:val="center" w:pos="6804"/>
                <w:tab w:val="right" w:pos="7655"/>
              </w:tabs>
              <w:ind w:right="-72" w:hanging="333"/>
              <w:contextualSpacing/>
              <w:jc w:val="right"/>
              <w:rPr>
                <w:rFonts w:ascii="Arial" w:hAnsi="Arial" w:cs="Arial"/>
                <w:color w:val="000000"/>
                <w:sz w:val="20"/>
                <w:szCs w:val="20"/>
              </w:rPr>
            </w:pPr>
          </w:p>
        </w:tc>
        <w:tc>
          <w:tcPr>
            <w:tcW w:w="1440" w:type="dxa"/>
            <w:shd w:val="clear" w:color="auto" w:fill="auto"/>
          </w:tcPr>
          <w:p w14:paraId="33EAD90D" w14:textId="77777777" w:rsidR="005A3B2A" w:rsidRPr="002D2F67" w:rsidRDefault="005A3B2A" w:rsidP="005611FE">
            <w:pPr>
              <w:tabs>
                <w:tab w:val="left" w:pos="1134"/>
                <w:tab w:val="left" w:pos="1276"/>
                <w:tab w:val="center" w:pos="3402"/>
                <w:tab w:val="center" w:pos="4536"/>
                <w:tab w:val="center" w:pos="5670"/>
                <w:tab w:val="center" w:pos="6804"/>
                <w:tab w:val="right" w:pos="7655"/>
              </w:tabs>
              <w:ind w:right="-72" w:hanging="333"/>
              <w:contextualSpacing/>
              <w:jc w:val="right"/>
              <w:rPr>
                <w:rFonts w:ascii="Arial" w:hAnsi="Arial" w:cs="Arial"/>
                <w:color w:val="000000"/>
                <w:sz w:val="20"/>
                <w:szCs w:val="20"/>
              </w:rPr>
            </w:pPr>
          </w:p>
        </w:tc>
        <w:tc>
          <w:tcPr>
            <w:tcW w:w="1440" w:type="dxa"/>
            <w:shd w:val="clear" w:color="auto" w:fill="auto"/>
          </w:tcPr>
          <w:p w14:paraId="53959619" w14:textId="77777777" w:rsidR="005A3B2A" w:rsidRPr="002D2F67" w:rsidRDefault="005A3B2A" w:rsidP="005611FE">
            <w:pPr>
              <w:ind w:right="-72" w:hanging="333"/>
              <w:contextualSpacing/>
              <w:jc w:val="right"/>
              <w:rPr>
                <w:rFonts w:ascii="Arial" w:hAnsi="Arial" w:cs="Arial"/>
                <w:color w:val="000000"/>
                <w:sz w:val="20"/>
                <w:szCs w:val="20"/>
              </w:rPr>
            </w:pPr>
          </w:p>
        </w:tc>
      </w:tr>
      <w:tr w:rsidR="00AE149C" w:rsidRPr="002D2F67" w14:paraId="5DB384FB" w14:textId="77777777" w:rsidTr="005611FE">
        <w:trPr>
          <w:trHeight w:val="90"/>
        </w:trPr>
        <w:tc>
          <w:tcPr>
            <w:tcW w:w="3510" w:type="dxa"/>
            <w:shd w:val="clear" w:color="auto" w:fill="auto"/>
          </w:tcPr>
          <w:p w14:paraId="60F26DAA" w14:textId="42FF87EC" w:rsidR="00AE149C" w:rsidRPr="002D2F67" w:rsidRDefault="00AE149C" w:rsidP="005611FE">
            <w:pPr>
              <w:pStyle w:val="Header"/>
              <w:ind w:left="252"/>
              <w:contextualSpacing/>
              <w:rPr>
                <w:rFonts w:ascii="Arial" w:hAnsi="Arial" w:cs="Arial"/>
                <w:color w:val="000000"/>
                <w:sz w:val="20"/>
                <w:szCs w:val="20"/>
                <w:cs/>
              </w:rPr>
            </w:pPr>
            <w:r w:rsidRPr="002D2F67">
              <w:rPr>
                <w:rFonts w:ascii="Arial" w:hAnsi="Arial" w:cs="Arial"/>
                <w:color w:val="000000"/>
                <w:sz w:val="20"/>
                <w:szCs w:val="20"/>
              </w:rPr>
              <w:t xml:space="preserve">   - Associates </w:t>
            </w:r>
          </w:p>
        </w:tc>
        <w:tc>
          <w:tcPr>
            <w:tcW w:w="1440" w:type="dxa"/>
            <w:tcBorders>
              <w:bottom w:val="single" w:sz="4" w:space="0" w:color="auto"/>
            </w:tcBorders>
            <w:shd w:val="clear" w:color="auto" w:fill="auto"/>
            <w:vAlign w:val="bottom"/>
          </w:tcPr>
          <w:p w14:paraId="4F65F464" w14:textId="383CB903" w:rsidR="00AE149C" w:rsidRPr="002D2F67" w:rsidRDefault="00CD5714" w:rsidP="005611FE">
            <w:pPr>
              <w:ind w:right="-72"/>
              <w:contextualSpacing/>
              <w:jc w:val="right"/>
              <w:rPr>
                <w:rFonts w:ascii="Arial" w:hAnsi="Arial" w:cs="Arial"/>
                <w:color w:val="000000"/>
                <w:sz w:val="20"/>
                <w:szCs w:val="20"/>
              </w:rPr>
            </w:pPr>
            <w:r w:rsidRPr="00CD5714">
              <w:rPr>
                <w:rFonts w:ascii="Arial" w:hAnsi="Arial" w:cs="Arial"/>
                <w:color w:val="000000"/>
                <w:sz w:val="20"/>
                <w:szCs w:val="20"/>
                <w:lang w:val="en-GB"/>
              </w:rPr>
              <w:t>1</w:t>
            </w:r>
            <w:r w:rsidR="004C1B8E" w:rsidRPr="002D2F67">
              <w:rPr>
                <w:rFonts w:ascii="Arial" w:hAnsi="Arial" w:cs="Arial"/>
                <w:color w:val="000000"/>
                <w:sz w:val="20"/>
                <w:szCs w:val="20"/>
              </w:rPr>
              <w:t>,</w:t>
            </w:r>
            <w:r w:rsidRPr="00CD5714">
              <w:rPr>
                <w:rFonts w:ascii="Arial" w:hAnsi="Arial" w:cs="Arial"/>
                <w:color w:val="000000"/>
                <w:sz w:val="20"/>
                <w:szCs w:val="20"/>
                <w:lang w:val="en-GB"/>
              </w:rPr>
              <w:t>916</w:t>
            </w:r>
            <w:r w:rsidR="004C1B8E" w:rsidRPr="002D2F67">
              <w:rPr>
                <w:rFonts w:ascii="Arial" w:hAnsi="Arial" w:cs="Arial"/>
                <w:color w:val="000000"/>
                <w:sz w:val="20"/>
                <w:szCs w:val="20"/>
              </w:rPr>
              <w:t>,</w:t>
            </w:r>
            <w:r w:rsidRPr="00CD5714">
              <w:rPr>
                <w:rFonts w:ascii="Arial" w:hAnsi="Arial" w:cs="Arial"/>
                <w:color w:val="000000"/>
                <w:sz w:val="20"/>
                <w:szCs w:val="20"/>
                <w:lang w:val="en-GB"/>
              </w:rPr>
              <w:t>420</w:t>
            </w:r>
          </w:p>
        </w:tc>
        <w:tc>
          <w:tcPr>
            <w:tcW w:w="1440" w:type="dxa"/>
            <w:tcBorders>
              <w:bottom w:val="single" w:sz="4" w:space="0" w:color="auto"/>
            </w:tcBorders>
            <w:shd w:val="clear" w:color="auto" w:fill="auto"/>
            <w:vAlign w:val="bottom"/>
          </w:tcPr>
          <w:p w14:paraId="155D6DCF" w14:textId="68593E1E" w:rsidR="00AE149C" w:rsidRPr="002D2F67" w:rsidRDefault="00CD5714" w:rsidP="005611FE">
            <w:pPr>
              <w:ind w:right="-72"/>
              <w:contextualSpacing/>
              <w:jc w:val="right"/>
              <w:rPr>
                <w:rFonts w:ascii="Arial" w:hAnsi="Arial" w:cs="Arial"/>
                <w:color w:val="000000"/>
                <w:sz w:val="20"/>
                <w:szCs w:val="20"/>
              </w:rPr>
            </w:pPr>
            <w:r w:rsidRPr="00CD5714">
              <w:rPr>
                <w:rFonts w:ascii="Arial" w:hAnsi="Arial" w:cs="Arial"/>
                <w:color w:val="000000"/>
                <w:sz w:val="20"/>
                <w:szCs w:val="20"/>
                <w:lang w:val="en-GB"/>
              </w:rPr>
              <w:t>10</w:t>
            </w:r>
            <w:r w:rsidR="00AE149C" w:rsidRPr="002D2F67">
              <w:rPr>
                <w:rFonts w:ascii="Arial" w:hAnsi="Arial" w:cs="Arial"/>
                <w:color w:val="000000"/>
                <w:sz w:val="20"/>
                <w:szCs w:val="20"/>
              </w:rPr>
              <w:t>,</w:t>
            </w:r>
            <w:r w:rsidRPr="00CD5714">
              <w:rPr>
                <w:rFonts w:ascii="Arial" w:hAnsi="Arial" w:cs="Arial"/>
                <w:color w:val="000000"/>
                <w:sz w:val="20"/>
                <w:szCs w:val="20"/>
                <w:lang w:val="en-GB"/>
              </w:rPr>
              <w:t>198</w:t>
            </w:r>
            <w:r w:rsidR="00AE149C" w:rsidRPr="002D2F67">
              <w:rPr>
                <w:rFonts w:ascii="Arial" w:hAnsi="Arial" w:cs="Arial"/>
                <w:color w:val="000000"/>
                <w:sz w:val="20"/>
                <w:szCs w:val="20"/>
              </w:rPr>
              <w:t>,</w:t>
            </w:r>
            <w:r w:rsidRPr="00CD5714">
              <w:rPr>
                <w:rFonts w:ascii="Arial" w:hAnsi="Arial" w:cs="Arial"/>
                <w:color w:val="000000"/>
                <w:sz w:val="20"/>
                <w:szCs w:val="20"/>
                <w:lang w:val="en-GB"/>
              </w:rPr>
              <w:t>807</w:t>
            </w:r>
          </w:p>
        </w:tc>
        <w:tc>
          <w:tcPr>
            <w:tcW w:w="1440" w:type="dxa"/>
            <w:tcBorders>
              <w:bottom w:val="single" w:sz="4" w:space="0" w:color="auto"/>
            </w:tcBorders>
            <w:shd w:val="clear" w:color="auto" w:fill="auto"/>
            <w:vAlign w:val="bottom"/>
          </w:tcPr>
          <w:p w14:paraId="3C4A4AA2" w14:textId="0E68AE0C" w:rsidR="00AE149C" w:rsidRPr="002D2F67" w:rsidRDefault="004C1B8E" w:rsidP="005611FE">
            <w:pPr>
              <w:ind w:right="-72"/>
              <w:contextualSpacing/>
              <w:jc w:val="right"/>
              <w:rPr>
                <w:rFonts w:ascii="Arial" w:hAnsi="Arial" w:cs="Arial"/>
                <w:color w:val="000000"/>
                <w:sz w:val="20"/>
                <w:szCs w:val="20"/>
              </w:rPr>
            </w:pPr>
            <w:r w:rsidRPr="002D2F67">
              <w:rPr>
                <w:rFonts w:ascii="Arial" w:hAnsi="Arial" w:cs="Arial"/>
                <w:color w:val="000000"/>
                <w:sz w:val="20"/>
                <w:szCs w:val="20"/>
              </w:rPr>
              <w:t>-</w:t>
            </w:r>
          </w:p>
        </w:tc>
        <w:tc>
          <w:tcPr>
            <w:tcW w:w="1440" w:type="dxa"/>
            <w:tcBorders>
              <w:bottom w:val="single" w:sz="4" w:space="0" w:color="auto"/>
            </w:tcBorders>
            <w:shd w:val="clear" w:color="auto" w:fill="auto"/>
            <w:vAlign w:val="bottom"/>
          </w:tcPr>
          <w:p w14:paraId="091DF7AE" w14:textId="633A7700" w:rsidR="00AE149C" w:rsidRPr="002D2F67" w:rsidRDefault="00AE149C" w:rsidP="005611FE">
            <w:pPr>
              <w:ind w:right="-72"/>
              <w:contextualSpacing/>
              <w:jc w:val="right"/>
              <w:rPr>
                <w:rFonts w:ascii="Arial" w:hAnsi="Arial" w:cs="Arial"/>
                <w:color w:val="000000"/>
                <w:sz w:val="20"/>
                <w:szCs w:val="20"/>
              </w:rPr>
            </w:pPr>
            <w:r w:rsidRPr="002D2F67">
              <w:rPr>
                <w:rFonts w:ascii="Arial" w:hAnsi="Arial" w:cs="Arial"/>
                <w:color w:val="000000"/>
                <w:sz w:val="20"/>
                <w:szCs w:val="20"/>
              </w:rPr>
              <w:t>-</w:t>
            </w:r>
          </w:p>
        </w:tc>
      </w:tr>
    </w:tbl>
    <w:p w14:paraId="41A362B1" w14:textId="60DE3799" w:rsidR="00506132" w:rsidRPr="002D2F67" w:rsidRDefault="00506132" w:rsidP="005611FE">
      <w:pPr>
        <w:pStyle w:val="EASUBHEAD6"/>
        <w:ind w:left="0" w:firstLine="0"/>
        <w:outlineLvl w:val="9"/>
        <w:rPr>
          <w:color w:val="000000"/>
          <w:sz w:val="20"/>
          <w:szCs w:val="20"/>
        </w:rPr>
      </w:pPr>
    </w:p>
    <w:p w14:paraId="18B33EC4" w14:textId="340E465D" w:rsidR="001E6C66" w:rsidRPr="002D2F67" w:rsidRDefault="00CD5714" w:rsidP="005611FE">
      <w:pPr>
        <w:pStyle w:val="EASUBHEAD6"/>
        <w:rPr>
          <w:b/>
          <w:bCs/>
          <w:color w:val="000000"/>
          <w:sz w:val="20"/>
          <w:szCs w:val="20"/>
        </w:rPr>
      </w:pPr>
      <w:r w:rsidRPr="00CD5714">
        <w:rPr>
          <w:b/>
          <w:bCs/>
          <w:color w:val="000000"/>
          <w:sz w:val="20"/>
          <w:szCs w:val="20"/>
          <w:lang w:val="en-GB"/>
        </w:rPr>
        <w:t>42</w:t>
      </w:r>
      <w:r w:rsidR="001E6C66" w:rsidRPr="002D2F67">
        <w:rPr>
          <w:b/>
          <w:bCs/>
          <w:color w:val="000000"/>
          <w:sz w:val="20"/>
          <w:szCs w:val="20"/>
        </w:rPr>
        <w:t>.</w:t>
      </w:r>
      <w:r w:rsidRPr="00CD5714">
        <w:rPr>
          <w:b/>
          <w:bCs/>
          <w:color w:val="000000"/>
          <w:sz w:val="20"/>
          <w:szCs w:val="20"/>
          <w:lang w:val="en-GB"/>
        </w:rPr>
        <w:t>2</w:t>
      </w:r>
      <w:r w:rsidR="001E6C66" w:rsidRPr="002D2F67">
        <w:rPr>
          <w:b/>
          <w:bCs/>
          <w:color w:val="000000"/>
          <w:sz w:val="20"/>
          <w:szCs w:val="20"/>
        </w:rPr>
        <w:tab/>
        <w:t xml:space="preserve">Other income </w:t>
      </w:r>
    </w:p>
    <w:p w14:paraId="2F7B9EF9" w14:textId="77777777" w:rsidR="001E6C66" w:rsidRPr="002D2F67" w:rsidRDefault="001E6C66" w:rsidP="005611FE">
      <w:pPr>
        <w:ind w:left="540"/>
        <w:jc w:val="both"/>
        <w:rPr>
          <w:rFonts w:ascii="Arial" w:hAnsi="Arial" w:cs="Arial"/>
          <w:color w:val="000000"/>
          <w:spacing w:val="-2"/>
          <w:sz w:val="20"/>
          <w:szCs w:val="20"/>
        </w:rPr>
      </w:pPr>
    </w:p>
    <w:tbl>
      <w:tblPr>
        <w:tblW w:w="9270" w:type="dxa"/>
        <w:tblInd w:w="288" w:type="dxa"/>
        <w:tblLayout w:type="fixed"/>
        <w:tblLook w:val="0000" w:firstRow="0" w:lastRow="0" w:firstColumn="0" w:lastColumn="0" w:noHBand="0" w:noVBand="0"/>
      </w:tblPr>
      <w:tblGrid>
        <w:gridCol w:w="3510"/>
        <w:gridCol w:w="1440"/>
        <w:gridCol w:w="1440"/>
        <w:gridCol w:w="1440"/>
        <w:gridCol w:w="1440"/>
      </w:tblGrid>
      <w:tr w:rsidR="001E6C66" w:rsidRPr="002D2F67" w14:paraId="18275E37" w14:textId="77777777" w:rsidTr="008255E8">
        <w:tc>
          <w:tcPr>
            <w:tcW w:w="3510" w:type="dxa"/>
            <w:shd w:val="clear" w:color="auto" w:fill="auto"/>
          </w:tcPr>
          <w:p w14:paraId="348E9205" w14:textId="77777777" w:rsidR="001E6C66" w:rsidRPr="002D2F67" w:rsidRDefault="001E6C66" w:rsidP="005611FE">
            <w:pPr>
              <w:ind w:left="252"/>
              <w:contextualSpacing/>
              <w:rPr>
                <w:rFonts w:ascii="Arial" w:hAnsi="Arial" w:cs="Arial"/>
                <w:color w:val="000000"/>
                <w:sz w:val="20"/>
                <w:szCs w:val="20"/>
              </w:rPr>
            </w:pPr>
          </w:p>
        </w:tc>
        <w:tc>
          <w:tcPr>
            <w:tcW w:w="2880" w:type="dxa"/>
            <w:gridSpan w:val="2"/>
            <w:tcBorders>
              <w:bottom w:val="single" w:sz="4" w:space="0" w:color="auto"/>
            </w:tcBorders>
            <w:shd w:val="clear" w:color="auto" w:fill="auto"/>
          </w:tcPr>
          <w:p w14:paraId="5C84A24E" w14:textId="77777777" w:rsidR="001E6C66" w:rsidRPr="002D2F67" w:rsidRDefault="001E6C66" w:rsidP="005611FE">
            <w:pPr>
              <w:tabs>
                <w:tab w:val="left" w:pos="709"/>
              </w:tabs>
              <w:ind w:right="-72"/>
              <w:contextualSpacing/>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67537807" w14:textId="77777777" w:rsidR="001E6C66" w:rsidRPr="002D2F67" w:rsidRDefault="001E6C66" w:rsidP="005611FE">
            <w:pPr>
              <w:tabs>
                <w:tab w:val="left" w:pos="709"/>
              </w:tabs>
              <w:ind w:right="-72"/>
              <w:contextualSpacing/>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2880" w:type="dxa"/>
            <w:gridSpan w:val="2"/>
            <w:tcBorders>
              <w:bottom w:val="single" w:sz="4" w:space="0" w:color="auto"/>
            </w:tcBorders>
            <w:shd w:val="clear" w:color="auto" w:fill="auto"/>
          </w:tcPr>
          <w:p w14:paraId="0830A1C0" w14:textId="77777777" w:rsidR="001E6C66" w:rsidRPr="002D2F67" w:rsidRDefault="001E6C66" w:rsidP="005611FE">
            <w:pPr>
              <w:tabs>
                <w:tab w:val="left" w:pos="709"/>
              </w:tabs>
              <w:ind w:right="-72"/>
              <w:contextualSpacing/>
              <w:jc w:val="right"/>
              <w:rPr>
                <w:rFonts w:ascii="Arial" w:hAnsi="Arial" w:cs="Arial"/>
                <w:b/>
                <w:bCs/>
                <w:color w:val="000000"/>
                <w:sz w:val="20"/>
                <w:szCs w:val="20"/>
              </w:rPr>
            </w:pPr>
            <w:r w:rsidRPr="002D2F67">
              <w:rPr>
                <w:rFonts w:ascii="Arial" w:hAnsi="Arial" w:cs="Arial"/>
                <w:b/>
                <w:bCs/>
                <w:color w:val="000000"/>
                <w:sz w:val="20"/>
                <w:szCs w:val="20"/>
              </w:rPr>
              <w:t xml:space="preserve">Separate </w:t>
            </w:r>
          </w:p>
          <w:p w14:paraId="4CBA0A3B" w14:textId="77777777" w:rsidR="001E6C66" w:rsidRPr="002D2F67" w:rsidRDefault="001E6C66" w:rsidP="005611FE">
            <w:pPr>
              <w:tabs>
                <w:tab w:val="left" w:pos="709"/>
              </w:tabs>
              <w:ind w:right="-72"/>
              <w:contextualSpacing/>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4A6CC8" w:rsidRPr="002D2F67" w14:paraId="3886A0A2" w14:textId="77777777" w:rsidTr="005611FE">
        <w:trPr>
          <w:trHeight w:val="89"/>
        </w:trPr>
        <w:tc>
          <w:tcPr>
            <w:tcW w:w="3510" w:type="dxa"/>
            <w:shd w:val="clear" w:color="auto" w:fill="auto"/>
          </w:tcPr>
          <w:p w14:paraId="39562338" w14:textId="01FBFA97" w:rsidR="004A6CC8" w:rsidRPr="002D2F67" w:rsidRDefault="004A6CC8" w:rsidP="005611FE">
            <w:pPr>
              <w:ind w:left="252" w:right="-108"/>
              <w:contextualSpacing/>
              <w:rPr>
                <w:rFonts w:ascii="Arial" w:hAnsi="Arial" w:cs="Arial"/>
                <w:b/>
                <w:bCs/>
                <w:color w:val="000000"/>
                <w:spacing w:val="-4"/>
                <w:sz w:val="20"/>
                <w:szCs w:val="20"/>
              </w:rPr>
            </w:pPr>
            <w:r w:rsidRPr="002D2F67">
              <w:rPr>
                <w:rFonts w:ascii="Arial" w:hAnsi="Arial" w:cs="Arial"/>
                <w:b/>
                <w:bCs/>
                <w:color w:val="000000"/>
                <w:spacing w:val="-4"/>
                <w:sz w:val="20"/>
                <w:szCs w:val="20"/>
              </w:rPr>
              <w:t xml:space="preserve">For the years ended </w:t>
            </w:r>
            <w:r w:rsidR="00CD5714" w:rsidRPr="00CD5714">
              <w:rPr>
                <w:rFonts w:ascii="Arial" w:hAnsi="Arial" w:cs="Arial"/>
                <w:b/>
                <w:bCs/>
                <w:color w:val="000000"/>
                <w:spacing w:val="-4"/>
                <w:sz w:val="20"/>
                <w:szCs w:val="20"/>
                <w:lang w:val="en-GB"/>
              </w:rPr>
              <w:t>31</w:t>
            </w:r>
            <w:r w:rsidRPr="002D2F67">
              <w:rPr>
                <w:rFonts w:ascii="Arial" w:hAnsi="Arial" w:cs="Arial"/>
                <w:b/>
                <w:bCs/>
                <w:color w:val="000000"/>
                <w:spacing w:val="-4"/>
                <w:sz w:val="20"/>
                <w:szCs w:val="20"/>
              </w:rPr>
              <w:t xml:space="preserve"> December</w:t>
            </w:r>
          </w:p>
        </w:tc>
        <w:tc>
          <w:tcPr>
            <w:tcW w:w="1440" w:type="dxa"/>
            <w:tcBorders>
              <w:top w:val="single" w:sz="4" w:space="0" w:color="auto"/>
            </w:tcBorders>
            <w:shd w:val="clear" w:color="auto" w:fill="auto"/>
          </w:tcPr>
          <w:p w14:paraId="389200DF" w14:textId="0F84D337" w:rsidR="004A6CC8" w:rsidRPr="002D2F67" w:rsidRDefault="00CD5714" w:rsidP="005611FE">
            <w:pPr>
              <w:ind w:right="-72"/>
              <w:contextualSpacing/>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40" w:type="dxa"/>
            <w:tcBorders>
              <w:top w:val="single" w:sz="4" w:space="0" w:color="auto"/>
            </w:tcBorders>
            <w:shd w:val="clear" w:color="auto" w:fill="auto"/>
          </w:tcPr>
          <w:p w14:paraId="54384992" w14:textId="54292186" w:rsidR="004A6CC8" w:rsidRPr="002D2F67" w:rsidRDefault="00CD5714" w:rsidP="005611FE">
            <w:pPr>
              <w:ind w:right="-72"/>
              <w:contextualSpacing/>
              <w:jc w:val="right"/>
              <w:rPr>
                <w:rFonts w:ascii="Arial" w:hAnsi="Arial" w:cs="Arial"/>
                <w:b/>
                <w:bCs/>
                <w:color w:val="000000"/>
                <w:sz w:val="20"/>
                <w:szCs w:val="20"/>
                <w:cs/>
              </w:rPr>
            </w:pPr>
            <w:r w:rsidRPr="00CD5714">
              <w:rPr>
                <w:rFonts w:ascii="Arial" w:hAnsi="Arial" w:cs="Arial"/>
                <w:b/>
                <w:bCs/>
                <w:color w:val="000000"/>
                <w:sz w:val="20"/>
                <w:szCs w:val="20"/>
                <w:lang w:val="en-GB"/>
              </w:rPr>
              <w:t>2023</w:t>
            </w:r>
          </w:p>
        </w:tc>
        <w:tc>
          <w:tcPr>
            <w:tcW w:w="1440" w:type="dxa"/>
            <w:tcBorders>
              <w:top w:val="single" w:sz="4" w:space="0" w:color="auto"/>
            </w:tcBorders>
            <w:shd w:val="clear" w:color="auto" w:fill="auto"/>
          </w:tcPr>
          <w:p w14:paraId="0E6B48B9" w14:textId="3B4B3E43" w:rsidR="004A6CC8" w:rsidRPr="002D2F67" w:rsidRDefault="00CD5714" w:rsidP="005611FE">
            <w:pPr>
              <w:ind w:right="-72"/>
              <w:contextualSpacing/>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40" w:type="dxa"/>
            <w:tcBorders>
              <w:top w:val="single" w:sz="4" w:space="0" w:color="auto"/>
            </w:tcBorders>
            <w:shd w:val="clear" w:color="auto" w:fill="auto"/>
          </w:tcPr>
          <w:p w14:paraId="44D19D26" w14:textId="6ADC55EF" w:rsidR="004A6CC8" w:rsidRPr="002D2F67" w:rsidRDefault="00CD5714" w:rsidP="005611FE">
            <w:pPr>
              <w:ind w:right="-72"/>
              <w:contextualSpacing/>
              <w:jc w:val="right"/>
              <w:rPr>
                <w:rFonts w:ascii="Arial" w:hAnsi="Arial" w:cs="Arial"/>
                <w:b/>
                <w:bCs/>
                <w:color w:val="000000"/>
                <w:sz w:val="20"/>
                <w:szCs w:val="20"/>
                <w:cs/>
              </w:rPr>
            </w:pPr>
            <w:r w:rsidRPr="00CD5714">
              <w:rPr>
                <w:rFonts w:ascii="Arial" w:hAnsi="Arial" w:cs="Arial"/>
                <w:b/>
                <w:bCs/>
                <w:color w:val="000000"/>
                <w:sz w:val="20"/>
                <w:szCs w:val="20"/>
                <w:lang w:val="en-GB"/>
              </w:rPr>
              <w:t>2023</w:t>
            </w:r>
          </w:p>
        </w:tc>
      </w:tr>
      <w:tr w:rsidR="005A3B2A" w:rsidRPr="002D2F67" w14:paraId="2C6EB539" w14:textId="77777777" w:rsidTr="005611FE">
        <w:tc>
          <w:tcPr>
            <w:tcW w:w="3510" w:type="dxa"/>
            <w:shd w:val="clear" w:color="auto" w:fill="auto"/>
          </w:tcPr>
          <w:p w14:paraId="1FCD3AEC" w14:textId="77777777" w:rsidR="005A3B2A" w:rsidRPr="002D2F67" w:rsidRDefault="005A3B2A" w:rsidP="005611FE">
            <w:pPr>
              <w:ind w:left="252"/>
              <w:contextualSpacing/>
              <w:rPr>
                <w:rFonts w:ascii="Arial" w:hAnsi="Arial" w:cs="Arial"/>
                <w:b/>
                <w:bCs/>
                <w:color w:val="000000"/>
                <w:sz w:val="20"/>
                <w:szCs w:val="20"/>
              </w:rPr>
            </w:pPr>
          </w:p>
        </w:tc>
        <w:tc>
          <w:tcPr>
            <w:tcW w:w="1440" w:type="dxa"/>
            <w:tcBorders>
              <w:bottom w:val="single" w:sz="4" w:space="0" w:color="auto"/>
            </w:tcBorders>
            <w:shd w:val="clear" w:color="auto" w:fill="auto"/>
          </w:tcPr>
          <w:p w14:paraId="1F5A41EF" w14:textId="4D724F34" w:rsidR="005A3B2A" w:rsidRPr="002D2F67" w:rsidRDefault="005A3B2A" w:rsidP="005611FE">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64A02B43" w14:textId="78F0C62D" w:rsidR="005A3B2A" w:rsidRPr="002D2F67" w:rsidRDefault="005A3B2A" w:rsidP="005611FE">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6FA8A771" w14:textId="36C2051F" w:rsidR="005A3B2A" w:rsidRPr="002D2F67" w:rsidRDefault="005A3B2A" w:rsidP="005611FE">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342C8ECA" w14:textId="14FC1D7F" w:rsidR="005A3B2A" w:rsidRPr="002D2F67" w:rsidRDefault="005A3B2A" w:rsidP="005611FE">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1E6C66" w:rsidRPr="002D2F67" w14:paraId="087E0AD1" w14:textId="77777777" w:rsidTr="005611FE">
        <w:tc>
          <w:tcPr>
            <w:tcW w:w="3510" w:type="dxa"/>
            <w:shd w:val="clear" w:color="auto" w:fill="auto"/>
          </w:tcPr>
          <w:p w14:paraId="2E2B1D61"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left="252"/>
              <w:contextualSpacing/>
              <w:rPr>
                <w:rFonts w:ascii="Arial" w:hAnsi="Arial" w:cs="Arial"/>
                <w:color w:val="000000"/>
                <w:sz w:val="20"/>
                <w:szCs w:val="20"/>
              </w:rPr>
            </w:pPr>
          </w:p>
        </w:tc>
        <w:tc>
          <w:tcPr>
            <w:tcW w:w="1440" w:type="dxa"/>
            <w:tcBorders>
              <w:top w:val="single" w:sz="4" w:space="0" w:color="auto"/>
            </w:tcBorders>
            <w:shd w:val="clear" w:color="auto" w:fill="auto"/>
          </w:tcPr>
          <w:p w14:paraId="4712EBA1"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3BE64DB7"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0D40313D"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72AD96C5" w14:textId="77777777" w:rsidR="001E6C66" w:rsidRPr="002D2F67" w:rsidRDefault="001E6C66" w:rsidP="005611FE">
            <w:pPr>
              <w:ind w:right="-72"/>
              <w:contextualSpacing/>
              <w:jc w:val="right"/>
              <w:rPr>
                <w:rFonts w:ascii="Arial" w:hAnsi="Arial" w:cs="Arial"/>
                <w:color w:val="000000"/>
                <w:sz w:val="20"/>
                <w:szCs w:val="20"/>
              </w:rPr>
            </w:pPr>
          </w:p>
        </w:tc>
      </w:tr>
      <w:tr w:rsidR="004A6CC8" w:rsidRPr="002D2F67" w14:paraId="4E9507A6" w14:textId="77777777" w:rsidTr="005611FE">
        <w:trPr>
          <w:trHeight w:val="126"/>
        </w:trPr>
        <w:tc>
          <w:tcPr>
            <w:tcW w:w="3510" w:type="dxa"/>
            <w:shd w:val="clear" w:color="auto" w:fill="auto"/>
          </w:tcPr>
          <w:p w14:paraId="6671A228" w14:textId="77777777" w:rsidR="004A6CC8" w:rsidRPr="002D2F67" w:rsidRDefault="004A6CC8" w:rsidP="005611FE">
            <w:pPr>
              <w:tabs>
                <w:tab w:val="left" w:pos="1134"/>
                <w:tab w:val="left" w:pos="1276"/>
                <w:tab w:val="center" w:pos="3402"/>
                <w:tab w:val="center" w:pos="4536"/>
                <w:tab w:val="center" w:pos="5670"/>
                <w:tab w:val="center" w:pos="6804"/>
                <w:tab w:val="right" w:pos="7655"/>
              </w:tabs>
              <w:ind w:left="252"/>
              <w:contextualSpacing/>
              <w:rPr>
                <w:rFonts w:ascii="Arial" w:hAnsi="Arial" w:cs="Arial"/>
                <w:color w:val="000000"/>
                <w:sz w:val="20"/>
                <w:szCs w:val="20"/>
              </w:rPr>
            </w:pPr>
            <w:r w:rsidRPr="002D2F67">
              <w:rPr>
                <w:rFonts w:ascii="Arial" w:hAnsi="Arial" w:cs="Arial"/>
                <w:color w:val="000000"/>
                <w:sz w:val="20"/>
                <w:szCs w:val="20"/>
              </w:rPr>
              <w:t>Interest income</w:t>
            </w:r>
          </w:p>
        </w:tc>
        <w:tc>
          <w:tcPr>
            <w:tcW w:w="1440" w:type="dxa"/>
            <w:shd w:val="clear" w:color="auto" w:fill="auto"/>
            <w:vAlign w:val="bottom"/>
          </w:tcPr>
          <w:p w14:paraId="3066B525" w14:textId="77777777" w:rsidR="004A6CC8" w:rsidRPr="002D2F67" w:rsidRDefault="004A6CC8" w:rsidP="005611FE">
            <w:pPr>
              <w:ind w:right="-72"/>
              <w:contextualSpacing/>
              <w:jc w:val="right"/>
              <w:rPr>
                <w:rFonts w:ascii="Arial" w:hAnsi="Arial" w:cs="Arial"/>
                <w:color w:val="000000"/>
                <w:sz w:val="20"/>
                <w:szCs w:val="20"/>
              </w:rPr>
            </w:pPr>
          </w:p>
        </w:tc>
        <w:tc>
          <w:tcPr>
            <w:tcW w:w="1440" w:type="dxa"/>
            <w:shd w:val="clear" w:color="auto" w:fill="auto"/>
            <w:vAlign w:val="bottom"/>
          </w:tcPr>
          <w:p w14:paraId="6F401365" w14:textId="77777777" w:rsidR="004A6CC8" w:rsidRPr="002D2F67" w:rsidRDefault="004A6CC8" w:rsidP="005611FE">
            <w:pPr>
              <w:ind w:right="-72"/>
              <w:contextualSpacing/>
              <w:jc w:val="right"/>
              <w:rPr>
                <w:rFonts w:ascii="Arial" w:hAnsi="Arial" w:cs="Arial"/>
                <w:color w:val="000000"/>
                <w:sz w:val="20"/>
                <w:szCs w:val="20"/>
                <w:cs/>
              </w:rPr>
            </w:pPr>
          </w:p>
        </w:tc>
        <w:tc>
          <w:tcPr>
            <w:tcW w:w="1440" w:type="dxa"/>
            <w:shd w:val="clear" w:color="auto" w:fill="auto"/>
            <w:vAlign w:val="bottom"/>
          </w:tcPr>
          <w:p w14:paraId="08350A6C" w14:textId="77777777" w:rsidR="004A6CC8" w:rsidRPr="002D2F67" w:rsidRDefault="004A6CC8" w:rsidP="005611FE">
            <w:pPr>
              <w:ind w:right="-72"/>
              <w:contextualSpacing/>
              <w:jc w:val="right"/>
              <w:rPr>
                <w:rFonts w:ascii="Arial" w:hAnsi="Arial" w:cs="Arial"/>
                <w:color w:val="000000"/>
                <w:sz w:val="20"/>
                <w:szCs w:val="20"/>
              </w:rPr>
            </w:pPr>
          </w:p>
        </w:tc>
        <w:tc>
          <w:tcPr>
            <w:tcW w:w="1440" w:type="dxa"/>
            <w:shd w:val="clear" w:color="auto" w:fill="auto"/>
            <w:vAlign w:val="bottom"/>
          </w:tcPr>
          <w:p w14:paraId="75DD871B" w14:textId="77777777" w:rsidR="004A6CC8" w:rsidRPr="002D2F67" w:rsidRDefault="004A6CC8" w:rsidP="005611FE">
            <w:pPr>
              <w:ind w:right="-72"/>
              <w:contextualSpacing/>
              <w:jc w:val="right"/>
              <w:rPr>
                <w:rFonts w:ascii="Arial" w:hAnsi="Arial" w:cs="Arial"/>
                <w:color w:val="000000"/>
                <w:sz w:val="20"/>
                <w:szCs w:val="20"/>
              </w:rPr>
            </w:pPr>
          </w:p>
        </w:tc>
      </w:tr>
      <w:tr w:rsidR="00AE149C" w:rsidRPr="002D2F67" w14:paraId="54D25DB0" w14:textId="77777777" w:rsidTr="005611FE">
        <w:trPr>
          <w:trHeight w:val="126"/>
        </w:trPr>
        <w:tc>
          <w:tcPr>
            <w:tcW w:w="3510" w:type="dxa"/>
            <w:shd w:val="clear" w:color="auto" w:fill="auto"/>
          </w:tcPr>
          <w:p w14:paraId="46535A6C" w14:textId="77777777" w:rsidR="00AE149C" w:rsidRPr="002D2F67" w:rsidRDefault="00AE149C" w:rsidP="005611FE">
            <w:pPr>
              <w:tabs>
                <w:tab w:val="center" w:pos="3402"/>
                <w:tab w:val="center" w:pos="4536"/>
                <w:tab w:val="center" w:pos="5670"/>
                <w:tab w:val="center" w:pos="6804"/>
                <w:tab w:val="right" w:pos="7655"/>
              </w:tabs>
              <w:ind w:left="252"/>
              <w:contextualSpacing/>
              <w:rPr>
                <w:rFonts w:ascii="Arial" w:hAnsi="Arial" w:cs="Arial"/>
                <w:color w:val="000000"/>
                <w:sz w:val="20"/>
                <w:szCs w:val="20"/>
              </w:rPr>
            </w:pPr>
            <w:r w:rsidRPr="002D2F67">
              <w:rPr>
                <w:rFonts w:ascii="Arial" w:hAnsi="Arial" w:cs="Arial"/>
                <w:color w:val="000000"/>
                <w:sz w:val="20"/>
                <w:szCs w:val="20"/>
              </w:rPr>
              <w:t xml:space="preserve">   - Subsidiaries</w:t>
            </w:r>
          </w:p>
        </w:tc>
        <w:tc>
          <w:tcPr>
            <w:tcW w:w="1440" w:type="dxa"/>
            <w:shd w:val="clear" w:color="auto" w:fill="auto"/>
            <w:vAlign w:val="bottom"/>
          </w:tcPr>
          <w:p w14:paraId="06C0C963" w14:textId="35192E6B" w:rsidR="00AE149C" w:rsidRPr="002D2F67" w:rsidRDefault="004C1B8E" w:rsidP="005611FE">
            <w:pPr>
              <w:ind w:right="-72"/>
              <w:contextualSpacing/>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vAlign w:val="bottom"/>
          </w:tcPr>
          <w:p w14:paraId="2CFAA0E0" w14:textId="12CF1819" w:rsidR="00AE149C" w:rsidRPr="002D2F67" w:rsidRDefault="00AE149C" w:rsidP="005611FE">
            <w:pPr>
              <w:ind w:right="-72"/>
              <w:contextualSpacing/>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vAlign w:val="bottom"/>
          </w:tcPr>
          <w:p w14:paraId="25FA76E9" w14:textId="1A741B43" w:rsidR="00AE149C" w:rsidRPr="002D2F67" w:rsidRDefault="00CD5714" w:rsidP="005611FE">
            <w:pPr>
              <w:ind w:right="-72"/>
              <w:contextualSpacing/>
              <w:jc w:val="right"/>
              <w:rPr>
                <w:rFonts w:ascii="Arial" w:hAnsi="Arial" w:cs="Arial"/>
                <w:color w:val="000000"/>
                <w:sz w:val="20"/>
                <w:szCs w:val="20"/>
              </w:rPr>
            </w:pPr>
            <w:r w:rsidRPr="00CD5714">
              <w:rPr>
                <w:rFonts w:ascii="Arial" w:hAnsi="Arial" w:cs="Arial"/>
                <w:color w:val="000000"/>
                <w:sz w:val="20"/>
                <w:szCs w:val="20"/>
                <w:lang w:val="en-GB"/>
              </w:rPr>
              <w:t>1</w:t>
            </w:r>
            <w:r w:rsidR="004C1B8E" w:rsidRPr="002D2F67">
              <w:rPr>
                <w:rFonts w:ascii="Arial" w:hAnsi="Arial" w:cs="Arial"/>
                <w:color w:val="000000"/>
                <w:sz w:val="20"/>
                <w:szCs w:val="20"/>
              </w:rPr>
              <w:t>,</w:t>
            </w:r>
            <w:r w:rsidRPr="00CD5714">
              <w:rPr>
                <w:rFonts w:ascii="Arial" w:hAnsi="Arial" w:cs="Arial"/>
                <w:color w:val="000000"/>
                <w:sz w:val="20"/>
                <w:szCs w:val="20"/>
                <w:lang w:val="en-GB"/>
              </w:rPr>
              <w:t>307</w:t>
            </w:r>
            <w:r w:rsidR="004C1B8E" w:rsidRPr="002D2F67">
              <w:rPr>
                <w:rFonts w:ascii="Arial" w:hAnsi="Arial" w:cs="Arial"/>
                <w:color w:val="000000"/>
                <w:sz w:val="20"/>
                <w:szCs w:val="20"/>
              </w:rPr>
              <w:t>,</w:t>
            </w:r>
            <w:r w:rsidRPr="00CD5714">
              <w:rPr>
                <w:rFonts w:ascii="Arial" w:hAnsi="Arial" w:cs="Arial"/>
                <w:color w:val="000000"/>
                <w:sz w:val="20"/>
                <w:szCs w:val="20"/>
                <w:lang w:val="en-GB"/>
              </w:rPr>
              <w:t>964</w:t>
            </w:r>
          </w:p>
        </w:tc>
        <w:tc>
          <w:tcPr>
            <w:tcW w:w="1440" w:type="dxa"/>
            <w:shd w:val="clear" w:color="auto" w:fill="auto"/>
            <w:vAlign w:val="bottom"/>
          </w:tcPr>
          <w:p w14:paraId="14B091B4" w14:textId="66E0BCE8" w:rsidR="00AE149C" w:rsidRPr="002D2F67" w:rsidRDefault="00AE149C" w:rsidP="005611FE">
            <w:pPr>
              <w:ind w:right="-72"/>
              <w:contextualSpacing/>
              <w:jc w:val="right"/>
              <w:rPr>
                <w:rFonts w:ascii="Arial" w:hAnsi="Arial" w:cs="Arial"/>
                <w:color w:val="000000"/>
                <w:sz w:val="20"/>
                <w:szCs w:val="20"/>
              </w:rPr>
            </w:pPr>
            <w:r w:rsidRPr="002D2F67">
              <w:rPr>
                <w:rFonts w:ascii="Arial" w:hAnsi="Arial" w:cs="Arial"/>
                <w:color w:val="000000"/>
                <w:sz w:val="20"/>
                <w:szCs w:val="20"/>
              </w:rPr>
              <w:t>-</w:t>
            </w:r>
          </w:p>
        </w:tc>
      </w:tr>
      <w:tr w:rsidR="00AE149C" w:rsidRPr="002D2F67" w14:paraId="083CFC36" w14:textId="77777777" w:rsidTr="005611FE">
        <w:trPr>
          <w:trHeight w:val="126"/>
        </w:trPr>
        <w:tc>
          <w:tcPr>
            <w:tcW w:w="3510" w:type="dxa"/>
            <w:shd w:val="clear" w:color="auto" w:fill="auto"/>
          </w:tcPr>
          <w:p w14:paraId="7E7C9D46" w14:textId="31EB656C" w:rsidR="00AE149C" w:rsidRPr="002D2F67" w:rsidRDefault="00AE149C" w:rsidP="005611FE">
            <w:pPr>
              <w:tabs>
                <w:tab w:val="center" w:pos="3402"/>
                <w:tab w:val="center" w:pos="4536"/>
                <w:tab w:val="center" w:pos="5670"/>
                <w:tab w:val="center" w:pos="6804"/>
                <w:tab w:val="right" w:pos="7655"/>
              </w:tabs>
              <w:ind w:left="252"/>
              <w:contextualSpacing/>
              <w:rPr>
                <w:rFonts w:ascii="Arial" w:hAnsi="Arial" w:cs="Arial"/>
                <w:color w:val="000000"/>
                <w:sz w:val="20"/>
                <w:szCs w:val="20"/>
              </w:rPr>
            </w:pPr>
            <w:r w:rsidRPr="002D2F67">
              <w:rPr>
                <w:rFonts w:ascii="Arial" w:hAnsi="Arial" w:cs="Arial"/>
                <w:color w:val="000000"/>
                <w:sz w:val="20"/>
                <w:szCs w:val="20"/>
              </w:rPr>
              <w:t xml:space="preserve">   - Associates</w:t>
            </w:r>
          </w:p>
        </w:tc>
        <w:tc>
          <w:tcPr>
            <w:tcW w:w="1440" w:type="dxa"/>
            <w:tcBorders>
              <w:bottom w:val="single" w:sz="4" w:space="0" w:color="auto"/>
            </w:tcBorders>
            <w:shd w:val="clear" w:color="auto" w:fill="auto"/>
            <w:vAlign w:val="bottom"/>
          </w:tcPr>
          <w:p w14:paraId="0DAA8609" w14:textId="73EE4718" w:rsidR="00AE149C" w:rsidRPr="002D2F67" w:rsidRDefault="00CD5714" w:rsidP="005611FE">
            <w:pPr>
              <w:ind w:right="-72"/>
              <w:contextualSpacing/>
              <w:jc w:val="right"/>
              <w:rPr>
                <w:rFonts w:ascii="Arial" w:hAnsi="Arial" w:cs="Arial"/>
                <w:color w:val="000000"/>
                <w:sz w:val="20"/>
                <w:szCs w:val="20"/>
              </w:rPr>
            </w:pPr>
            <w:r w:rsidRPr="00CD5714">
              <w:rPr>
                <w:rFonts w:ascii="Arial" w:hAnsi="Arial" w:cs="Arial"/>
                <w:color w:val="000000"/>
                <w:sz w:val="20"/>
                <w:szCs w:val="20"/>
                <w:lang w:val="en-GB"/>
              </w:rPr>
              <w:t>52</w:t>
            </w:r>
            <w:r w:rsidR="004C1B8E" w:rsidRPr="002D2F67">
              <w:rPr>
                <w:rFonts w:ascii="Arial" w:hAnsi="Arial" w:cs="Arial"/>
                <w:color w:val="000000"/>
                <w:sz w:val="20"/>
                <w:szCs w:val="20"/>
              </w:rPr>
              <w:t>,</w:t>
            </w:r>
            <w:r w:rsidRPr="00CD5714">
              <w:rPr>
                <w:rFonts w:ascii="Arial" w:hAnsi="Arial" w:cs="Arial"/>
                <w:color w:val="000000"/>
                <w:sz w:val="20"/>
                <w:szCs w:val="20"/>
                <w:lang w:val="en-GB"/>
              </w:rPr>
              <w:t>933</w:t>
            </w:r>
          </w:p>
        </w:tc>
        <w:tc>
          <w:tcPr>
            <w:tcW w:w="1440" w:type="dxa"/>
            <w:tcBorders>
              <w:bottom w:val="single" w:sz="4" w:space="0" w:color="auto"/>
            </w:tcBorders>
            <w:shd w:val="clear" w:color="auto" w:fill="auto"/>
            <w:vAlign w:val="bottom"/>
          </w:tcPr>
          <w:p w14:paraId="61E4C7A2" w14:textId="518A17FF" w:rsidR="00AE149C" w:rsidRPr="002D2F67" w:rsidRDefault="00CD5714" w:rsidP="005611FE">
            <w:pPr>
              <w:ind w:right="-72"/>
              <w:contextualSpacing/>
              <w:jc w:val="right"/>
              <w:rPr>
                <w:rFonts w:ascii="Arial" w:hAnsi="Arial" w:cs="Arial"/>
                <w:color w:val="000000"/>
                <w:sz w:val="20"/>
                <w:szCs w:val="20"/>
              </w:rPr>
            </w:pPr>
            <w:r w:rsidRPr="00CD5714">
              <w:rPr>
                <w:rFonts w:ascii="Arial" w:hAnsi="Arial" w:cs="Arial"/>
                <w:color w:val="000000"/>
                <w:sz w:val="20"/>
                <w:szCs w:val="20"/>
                <w:lang w:val="en-GB"/>
              </w:rPr>
              <w:t>23</w:t>
            </w:r>
            <w:r w:rsidR="00AE149C" w:rsidRPr="002D2F67">
              <w:rPr>
                <w:rFonts w:ascii="Arial" w:hAnsi="Arial" w:cs="Arial"/>
                <w:color w:val="000000"/>
                <w:sz w:val="20"/>
                <w:szCs w:val="20"/>
              </w:rPr>
              <w:t>,</w:t>
            </w:r>
            <w:r w:rsidRPr="00CD5714">
              <w:rPr>
                <w:rFonts w:ascii="Arial" w:hAnsi="Arial" w:cs="Arial"/>
                <w:color w:val="000000"/>
                <w:sz w:val="20"/>
                <w:szCs w:val="20"/>
                <w:lang w:val="en-GB"/>
              </w:rPr>
              <w:t>359</w:t>
            </w:r>
          </w:p>
        </w:tc>
        <w:tc>
          <w:tcPr>
            <w:tcW w:w="1440" w:type="dxa"/>
            <w:tcBorders>
              <w:bottom w:val="single" w:sz="4" w:space="0" w:color="auto"/>
            </w:tcBorders>
            <w:shd w:val="clear" w:color="auto" w:fill="auto"/>
            <w:vAlign w:val="bottom"/>
          </w:tcPr>
          <w:p w14:paraId="20CB6CD1" w14:textId="4A5499A1" w:rsidR="00AE149C" w:rsidRPr="002D2F67" w:rsidRDefault="004C1B8E" w:rsidP="005611FE">
            <w:pPr>
              <w:ind w:right="-72"/>
              <w:contextualSpacing/>
              <w:jc w:val="right"/>
              <w:rPr>
                <w:rFonts w:ascii="Arial" w:hAnsi="Arial" w:cs="Arial"/>
                <w:color w:val="000000"/>
                <w:sz w:val="20"/>
                <w:szCs w:val="20"/>
              </w:rPr>
            </w:pPr>
            <w:r w:rsidRPr="002D2F67">
              <w:rPr>
                <w:rFonts w:ascii="Arial" w:hAnsi="Arial" w:cs="Arial"/>
                <w:color w:val="000000"/>
                <w:sz w:val="20"/>
                <w:szCs w:val="20"/>
              </w:rPr>
              <w:t>-</w:t>
            </w:r>
          </w:p>
        </w:tc>
        <w:tc>
          <w:tcPr>
            <w:tcW w:w="1440" w:type="dxa"/>
            <w:tcBorders>
              <w:bottom w:val="single" w:sz="4" w:space="0" w:color="auto"/>
            </w:tcBorders>
            <w:shd w:val="clear" w:color="auto" w:fill="auto"/>
            <w:vAlign w:val="bottom"/>
          </w:tcPr>
          <w:p w14:paraId="371A5509" w14:textId="058C90D9" w:rsidR="00AE149C" w:rsidRPr="002D2F67" w:rsidRDefault="00AE149C" w:rsidP="005611FE">
            <w:pPr>
              <w:ind w:right="-72"/>
              <w:contextualSpacing/>
              <w:jc w:val="right"/>
              <w:rPr>
                <w:rFonts w:ascii="Arial" w:hAnsi="Arial" w:cs="Arial"/>
                <w:color w:val="000000"/>
                <w:sz w:val="20"/>
                <w:szCs w:val="20"/>
              </w:rPr>
            </w:pPr>
            <w:r w:rsidRPr="002D2F67">
              <w:rPr>
                <w:rFonts w:ascii="Arial" w:hAnsi="Arial" w:cs="Arial"/>
                <w:color w:val="000000"/>
                <w:sz w:val="20"/>
                <w:szCs w:val="20"/>
              </w:rPr>
              <w:t>-</w:t>
            </w:r>
          </w:p>
        </w:tc>
      </w:tr>
      <w:tr w:rsidR="00AE149C" w:rsidRPr="002D2F67" w14:paraId="70D522E6" w14:textId="77777777" w:rsidTr="005611FE">
        <w:trPr>
          <w:trHeight w:val="126"/>
        </w:trPr>
        <w:tc>
          <w:tcPr>
            <w:tcW w:w="3510" w:type="dxa"/>
            <w:shd w:val="clear" w:color="auto" w:fill="auto"/>
          </w:tcPr>
          <w:p w14:paraId="31457297" w14:textId="77777777" w:rsidR="00AE149C" w:rsidRPr="002D2F67" w:rsidRDefault="00AE149C" w:rsidP="005611FE">
            <w:pPr>
              <w:tabs>
                <w:tab w:val="center" w:pos="3402"/>
                <w:tab w:val="center" w:pos="4536"/>
                <w:tab w:val="center" w:pos="5670"/>
                <w:tab w:val="center" w:pos="6804"/>
                <w:tab w:val="right" w:pos="7655"/>
              </w:tabs>
              <w:ind w:left="252"/>
              <w:contextualSpacing/>
              <w:rPr>
                <w:rFonts w:ascii="Arial" w:hAnsi="Arial" w:cs="Arial"/>
                <w:color w:val="000000"/>
                <w:sz w:val="20"/>
                <w:szCs w:val="20"/>
              </w:rPr>
            </w:pPr>
          </w:p>
        </w:tc>
        <w:tc>
          <w:tcPr>
            <w:tcW w:w="1440" w:type="dxa"/>
            <w:tcBorders>
              <w:top w:val="single" w:sz="4" w:space="0" w:color="auto"/>
            </w:tcBorders>
            <w:shd w:val="clear" w:color="auto" w:fill="auto"/>
            <w:vAlign w:val="bottom"/>
          </w:tcPr>
          <w:p w14:paraId="5049CEBD" w14:textId="77777777" w:rsidR="00AE149C" w:rsidRPr="002D2F67" w:rsidRDefault="00AE149C" w:rsidP="005611FE">
            <w:pPr>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vAlign w:val="bottom"/>
          </w:tcPr>
          <w:p w14:paraId="3A8D183B" w14:textId="77777777" w:rsidR="00AE149C" w:rsidRPr="002D2F67" w:rsidRDefault="00AE149C" w:rsidP="005611FE">
            <w:pPr>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vAlign w:val="bottom"/>
          </w:tcPr>
          <w:p w14:paraId="51E754AB" w14:textId="77777777" w:rsidR="00AE149C" w:rsidRPr="002D2F67" w:rsidRDefault="00AE149C" w:rsidP="005611FE">
            <w:pPr>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vAlign w:val="bottom"/>
          </w:tcPr>
          <w:p w14:paraId="32A7F7AB" w14:textId="77777777" w:rsidR="00AE149C" w:rsidRPr="002D2F67" w:rsidRDefault="00AE149C" w:rsidP="005611FE">
            <w:pPr>
              <w:ind w:right="-72"/>
              <w:contextualSpacing/>
              <w:jc w:val="right"/>
              <w:rPr>
                <w:rFonts w:ascii="Arial" w:hAnsi="Arial" w:cs="Arial"/>
                <w:color w:val="000000"/>
                <w:sz w:val="20"/>
                <w:szCs w:val="20"/>
              </w:rPr>
            </w:pPr>
          </w:p>
        </w:tc>
      </w:tr>
      <w:tr w:rsidR="00AE149C" w:rsidRPr="002D2F67" w14:paraId="66FC196E" w14:textId="77777777" w:rsidTr="005611FE">
        <w:trPr>
          <w:trHeight w:val="126"/>
        </w:trPr>
        <w:tc>
          <w:tcPr>
            <w:tcW w:w="3510" w:type="dxa"/>
            <w:shd w:val="clear" w:color="auto" w:fill="auto"/>
          </w:tcPr>
          <w:p w14:paraId="4B3EBDFA" w14:textId="7133FC6A" w:rsidR="00AE149C" w:rsidRPr="002D2F67" w:rsidRDefault="00AE149C" w:rsidP="005611FE">
            <w:pPr>
              <w:tabs>
                <w:tab w:val="center" w:pos="3402"/>
                <w:tab w:val="center" w:pos="4536"/>
                <w:tab w:val="center" w:pos="5670"/>
                <w:tab w:val="center" w:pos="6804"/>
                <w:tab w:val="right" w:pos="7655"/>
              </w:tabs>
              <w:ind w:left="252"/>
              <w:contextualSpacing/>
              <w:rPr>
                <w:rFonts w:ascii="Arial" w:hAnsi="Arial" w:cs="Arial"/>
                <w:color w:val="000000"/>
                <w:sz w:val="20"/>
                <w:szCs w:val="20"/>
              </w:rPr>
            </w:pPr>
            <w:r w:rsidRPr="002D2F67">
              <w:rPr>
                <w:rFonts w:ascii="Arial" w:hAnsi="Arial" w:cs="Arial"/>
                <w:color w:val="000000"/>
                <w:sz w:val="20"/>
                <w:szCs w:val="20"/>
              </w:rPr>
              <w:t>Revenue from management fees</w:t>
            </w:r>
          </w:p>
        </w:tc>
        <w:tc>
          <w:tcPr>
            <w:tcW w:w="1440" w:type="dxa"/>
            <w:shd w:val="clear" w:color="auto" w:fill="auto"/>
          </w:tcPr>
          <w:p w14:paraId="410B0AAB" w14:textId="77777777" w:rsidR="00AE149C" w:rsidRPr="002D2F67" w:rsidRDefault="00AE149C" w:rsidP="005611FE">
            <w:pPr>
              <w:ind w:right="-72"/>
              <w:contextualSpacing/>
              <w:jc w:val="right"/>
              <w:rPr>
                <w:rFonts w:ascii="Arial" w:hAnsi="Arial" w:cs="Arial"/>
                <w:color w:val="000000"/>
                <w:sz w:val="20"/>
                <w:szCs w:val="20"/>
              </w:rPr>
            </w:pPr>
          </w:p>
        </w:tc>
        <w:tc>
          <w:tcPr>
            <w:tcW w:w="1440" w:type="dxa"/>
            <w:shd w:val="clear" w:color="auto" w:fill="auto"/>
          </w:tcPr>
          <w:p w14:paraId="5FA51CB5" w14:textId="77777777" w:rsidR="00AE149C" w:rsidRPr="002D2F67" w:rsidRDefault="00AE149C" w:rsidP="005611FE">
            <w:pPr>
              <w:ind w:right="-72"/>
              <w:contextualSpacing/>
              <w:jc w:val="right"/>
              <w:rPr>
                <w:rFonts w:ascii="Arial" w:hAnsi="Arial" w:cs="Arial"/>
                <w:color w:val="000000"/>
                <w:sz w:val="20"/>
                <w:szCs w:val="20"/>
              </w:rPr>
            </w:pPr>
          </w:p>
        </w:tc>
        <w:tc>
          <w:tcPr>
            <w:tcW w:w="1440" w:type="dxa"/>
            <w:shd w:val="clear" w:color="auto" w:fill="auto"/>
          </w:tcPr>
          <w:p w14:paraId="5C4B3CBF" w14:textId="77777777" w:rsidR="00AE149C" w:rsidRPr="002D2F67" w:rsidRDefault="00AE149C" w:rsidP="005611FE">
            <w:pPr>
              <w:ind w:right="-72"/>
              <w:contextualSpacing/>
              <w:jc w:val="right"/>
              <w:rPr>
                <w:rFonts w:ascii="Arial" w:hAnsi="Arial" w:cs="Arial"/>
                <w:color w:val="000000"/>
                <w:sz w:val="20"/>
                <w:szCs w:val="20"/>
              </w:rPr>
            </w:pPr>
          </w:p>
        </w:tc>
        <w:tc>
          <w:tcPr>
            <w:tcW w:w="1440" w:type="dxa"/>
            <w:shd w:val="clear" w:color="auto" w:fill="auto"/>
          </w:tcPr>
          <w:p w14:paraId="4D6641EE" w14:textId="77777777" w:rsidR="00AE149C" w:rsidRPr="002D2F67" w:rsidRDefault="00AE149C" w:rsidP="005611FE">
            <w:pPr>
              <w:ind w:right="-72"/>
              <w:contextualSpacing/>
              <w:jc w:val="right"/>
              <w:rPr>
                <w:rFonts w:ascii="Arial" w:hAnsi="Arial" w:cs="Arial"/>
                <w:color w:val="000000"/>
                <w:sz w:val="20"/>
                <w:szCs w:val="20"/>
              </w:rPr>
            </w:pPr>
          </w:p>
        </w:tc>
      </w:tr>
      <w:tr w:rsidR="00AE149C" w:rsidRPr="002D2F67" w14:paraId="7938453E" w14:textId="77777777" w:rsidTr="005611FE">
        <w:trPr>
          <w:trHeight w:val="126"/>
        </w:trPr>
        <w:tc>
          <w:tcPr>
            <w:tcW w:w="3510" w:type="dxa"/>
            <w:shd w:val="clear" w:color="auto" w:fill="auto"/>
          </w:tcPr>
          <w:p w14:paraId="7C7B3864" w14:textId="72675A07" w:rsidR="00AE149C" w:rsidRPr="002D2F67" w:rsidRDefault="00AE149C" w:rsidP="005611FE">
            <w:pPr>
              <w:tabs>
                <w:tab w:val="center" w:pos="3402"/>
                <w:tab w:val="center" w:pos="4536"/>
                <w:tab w:val="center" w:pos="5670"/>
                <w:tab w:val="center" w:pos="6804"/>
                <w:tab w:val="right" w:pos="7655"/>
              </w:tabs>
              <w:ind w:left="252"/>
              <w:contextualSpacing/>
              <w:rPr>
                <w:rFonts w:ascii="Arial" w:hAnsi="Arial" w:cs="Arial"/>
                <w:color w:val="000000"/>
                <w:sz w:val="20"/>
                <w:szCs w:val="20"/>
              </w:rPr>
            </w:pPr>
            <w:r w:rsidRPr="002D2F67">
              <w:rPr>
                <w:rFonts w:ascii="Arial" w:hAnsi="Arial" w:cs="Arial"/>
                <w:color w:val="000000"/>
                <w:sz w:val="20"/>
                <w:szCs w:val="20"/>
              </w:rPr>
              <w:t xml:space="preserve">   - Subsidiaries</w:t>
            </w:r>
          </w:p>
        </w:tc>
        <w:tc>
          <w:tcPr>
            <w:tcW w:w="1440" w:type="dxa"/>
            <w:tcBorders>
              <w:bottom w:val="single" w:sz="4" w:space="0" w:color="auto"/>
            </w:tcBorders>
            <w:shd w:val="clear" w:color="auto" w:fill="auto"/>
          </w:tcPr>
          <w:p w14:paraId="1E2F4D7D" w14:textId="77A11458" w:rsidR="00AE149C" w:rsidRPr="002D2F67" w:rsidRDefault="004C1B8E" w:rsidP="005611FE">
            <w:pPr>
              <w:ind w:right="-72"/>
              <w:contextualSpacing/>
              <w:jc w:val="right"/>
              <w:rPr>
                <w:rFonts w:ascii="Arial" w:hAnsi="Arial" w:cs="Arial"/>
                <w:color w:val="000000"/>
                <w:sz w:val="20"/>
                <w:szCs w:val="20"/>
              </w:rPr>
            </w:pPr>
            <w:r w:rsidRPr="002D2F67">
              <w:rPr>
                <w:rFonts w:ascii="Arial" w:hAnsi="Arial" w:cs="Arial"/>
                <w:color w:val="000000"/>
                <w:sz w:val="20"/>
                <w:szCs w:val="20"/>
              </w:rPr>
              <w:t>-</w:t>
            </w:r>
          </w:p>
        </w:tc>
        <w:tc>
          <w:tcPr>
            <w:tcW w:w="1440" w:type="dxa"/>
            <w:tcBorders>
              <w:bottom w:val="single" w:sz="4" w:space="0" w:color="auto"/>
            </w:tcBorders>
            <w:shd w:val="clear" w:color="auto" w:fill="auto"/>
          </w:tcPr>
          <w:p w14:paraId="17BC8350" w14:textId="454C9CB5" w:rsidR="00AE149C" w:rsidRPr="002D2F67" w:rsidRDefault="00AE149C" w:rsidP="005611FE">
            <w:pPr>
              <w:ind w:right="-72"/>
              <w:contextualSpacing/>
              <w:jc w:val="right"/>
              <w:rPr>
                <w:rFonts w:ascii="Arial" w:hAnsi="Arial" w:cs="Arial"/>
                <w:color w:val="000000"/>
                <w:sz w:val="20"/>
                <w:szCs w:val="20"/>
              </w:rPr>
            </w:pPr>
            <w:r w:rsidRPr="002D2F67">
              <w:rPr>
                <w:rFonts w:ascii="Arial" w:hAnsi="Arial" w:cs="Arial"/>
                <w:color w:val="000000"/>
                <w:sz w:val="20"/>
                <w:szCs w:val="20"/>
              </w:rPr>
              <w:t>-</w:t>
            </w:r>
          </w:p>
        </w:tc>
        <w:tc>
          <w:tcPr>
            <w:tcW w:w="1440" w:type="dxa"/>
            <w:tcBorders>
              <w:bottom w:val="single" w:sz="4" w:space="0" w:color="auto"/>
            </w:tcBorders>
            <w:shd w:val="clear" w:color="auto" w:fill="auto"/>
          </w:tcPr>
          <w:p w14:paraId="360651CE" w14:textId="26F8A91C" w:rsidR="00AE149C" w:rsidRPr="002D2F67" w:rsidRDefault="00CD5714" w:rsidP="005611FE">
            <w:pPr>
              <w:ind w:right="-72"/>
              <w:contextualSpacing/>
              <w:jc w:val="right"/>
              <w:rPr>
                <w:rFonts w:ascii="Arial" w:hAnsi="Arial" w:cs="Arial"/>
                <w:color w:val="000000"/>
                <w:sz w:val="20"/>
                <w:szCs w:val="20"/>
              </w:rPr>
            </w:pPr>
            <w:r w:rsidRPr="00CD5714">
              <w:rPr>
                <w:rFonts w:ascii="Arial" w:hAnsi="Arial" w:cs="Arial"/>
                <w:color w:val="000000"/>
                <w:sz w:val="20"/>
                <w:szCs w:val="20"/>
                <w:lang w:val="en-GB"/>
              </w:rPr>
              <w:t>26</w:t>
            </w:r>
            <w:r w:rsidR="004C1B8E" w:rsidRPr="002D2F67">
              <w:rPr>
                <w:rFonts w:ascii="Arial" w:hAnsi="Arial" w:cs="Arial"/>
                <w:color w:val="000000"/>
                <w:sz w:val="20"/>
                <w:szCs w:val="20"/>
              </w:rPr>
              <w:t>,</w:t>
            </w:r>
            <w:r w:rsidRPr="00CD5714">
              <w:rPr>
                <w:rFonts w:ascii="Arial" w:hAnsi="Arial" w:cs="Arial"/>
                <w:color w:val="000000"/>
                <w:sz w:val="20"/>
                <w:szCs w:val="20"/>
                <w:lang w:val="en-GB"/>
              </w:rPr>
              <w:t>155</w:t>
            </w:r>
          </w:p>
        </w:tc>
        <w:tc>
          <w:tcPr>
            <w:tcW w:w="1440" w:type="dxa"/>
            <w:tcBorders>
              <w:bottom w:val="single" w:sz="4" w:space="0" w:color="auto"/>
            </w:tcBorders>
            <w:shd w:val="clear" w:color="auto" w:fill="auto"/>
          </w:tcPr>
          <w:p w14:paraId="2B7D1917" w14:textId="51DAD20A" w:rsidR="00AE149C" w:rsidRPr="002D2F67" w:rsidRDefault="00CD5714" w:rsidP="005611FE">
            <w:pPr>
              <w:ind w:right="-72"/>
              <w:contextualSpacing/>
              <w:jc w:val="right"/>
              <w:rPr>
                <w:rFonts w:ascii="Arial" w:hAnsi="Arial" w:cs="Arial"/>
                <w:color w:val="000000"/>
                <w:sz w:val="20"/>
                <w:szCs w:val="20"/>
              </w:rPr>
            </w:pPr>
            <w:r w:rsidRPr="00CD5714">
              <w:rPr>
                <w:rFonts w:ascii="Arial" w:hAnsi="Arial" w:cs="Arial"/>
                <w:color w:val="000000"/>
                <w:sz w:val="20"/>
                <w:szCs w:val="20"/>
                <w:lang w:val="en-GB"/>
              </w:rPr>
              <w:t>22</w:t>
            </w:r>
            <w:r w:rsidR="00AE149C" w:rsidRPr="002D2F67">
              <w:rPr>
                <w:rFonts w:ascii="Arial" w:hAnsi="Arial" w:cs="Arial"/>
                <w:color w:val="000000"/>
                <w:sz w:val="20"/>
                <w:szCs w:val="20"/>
              </w:rPr>
              <w:t>,</w:t>
            </w:r>
            <w:r w:rsidRPr="00CD5714">
              <w:rPr>
                <w:rFonts w:ascii="Arial" w:hAnsi="Arial" w:cs="Arial"/>
                <w:color w:val="000000"/>
                <w:sz w:val="20"/>
                <w:szCs w:val="20"/>
                <w:lang w:val="en-GB"/>
              </w:rPr>
              <w:t>647</w:t>
            </w:r>
          </w:p>
        </w:tc>
      </w:tr>
      <w:tr w:rsidR="00AE149C" w:rsidRPr="002D2F67" w14:paraId="58927678" w14:textId="77777777" w:rsidTr="005611FE">
        <w:trPr>
          <w:trHeight w:val="126"/>
        </w:trPr>
        <w:tc>
          <w:tcPr>
            <w:tcW w:w="3510" w:type="dxa"/>
            <w:shd w:val="clear" w:color="auto" w:fill="auto"/>
          </w:tcPr>
          <w:p w14:paraId="67882DD0" w14:textId="77777777" w:rsidR="00AE149C" w:rsidRPr="002D2F67" w:rsidRDefault="00AE149C" w:rsidP="005611FE">
            <w:pPr>
              <w:tabs>
                <w:tab w:val="center" w:pos="3402"/>
                <w:tab w:val="center" w:pos="4536"/>
                <w:tab w:val="center" w:pos="5670"/>
                <w:tab w:val="center" w:pos="6804"/>
                <w:tab w:val="right" w:pos="7655"/>
              </w:tabs>
              <w:ind w:left="252"/>
              <w:contextualSpacing/>
              <w:rPr>
                <w:rFonts w:ascii="Arial" w:hAnsi="Arial" w:cs="Arial"/>
                <w:color w:val="000000"/>
                <w:sz w:val="20"/>
                <w:szCs w:val="20"/>
              </w:rPr>
            </w:pPr>
          </w:p>
        </w:tc>
        <w:tc>
          <w:tcPr>
            <w:tcW w:w="1440" w:type="dxa"/>
            <w:tcBorders>
              <w:top w:val="single" w:sz="4" w:space="0" w:color="auto"/>
            </w:tcBorders>
            <w:shd w:val="clear" w:color="auto" w:fill="auto"/>
          </w:tcPr>
          <w:p w14:paraId="6E5276FA" w14:textId="77777777" w:rsidR="00AE149C" w:rsidRPr="002D2F67" w:rsidRDefault="00AE149C" w:rsidP="005611FE">
            <w:pPr>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6CAB3CAB" w14:textId="77777777" w:rsidR="00AE149C" w:rsidRPr="002D2F67" w:rsidRDefault="00AE149C" w:rsidP="005611FE">
            <w:pPr>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00436309" w14:textId="77777777" w:rsidR="00AE149C" w:rsidRPr="002D2F67" w:rsidRDefault="00AE149C" w:rsidP="005611FE">
            <w:pPr>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343B0DF0" w14:textId="77777777" w:rsidR="00AE149C" w:rsidRPr="002D2F67" w:rsidRDefault="00AE149C" w:rsidP="005611FE">
            <w:pPr>
              <w:ind w:right="-72"/>
              <w:contextualSpacing/>
              <w:jc w:val="right"/>
              <w:rPr>
                <w:rFonts w:ascii="Arial" w:hAnsi="Arial" w:cs="Arial"/>
                <w:color w:val="000000"/>
                <w:sz w:val="20"/>
                <w:szCs w:val="20"/>
              </w:rPr>
            </w:pPr>
          </w:p>
        </w:tc>
      </w:tr>
      <w:tr w:rsidR="00AE149C" w:rsidRPr="002D2F67" w14:paraId="78659DFC" w14:textId="77777777" w:rsidTr="005611FE">
        <w:trPr>
          <w:trHeight w:val="126"/>
        </w:trPr>
        <w:tc>
          <w:tcPr>
            <w:tcW w:w="3510" w:type="dxa"/>
            <w:shd w:val="clear" w:color="auto" w:fill="auto"/>
          </w:tcPr>
          <w:p w14:paraId="06F43851" w14:textId="313E9930" w:rsidR="00AE149C" w:rsidRPr="002D2F67" w:rsidRDefault="00AE149C" w:rsidP="005611FE">
            <w:pPr>
              <w:tabs>
                <w:tab w:val="center" w:pos="3402"/>
                <w:tab w:val="center" w:pos="4536"/>
                <w:tab w:val="center" w:pos="5670"/>
                <w:tab w:val="center" w:pos="6804"/>
                <w:tab w:val="right" w:pos="7655"/>
              </w:tabs>
              <w:ind w:left="252"/>
              <w:contextualSpacing/>
              <w:rPr>
                <w:rFonts w:ascii="Arial" w:hAnsi="Arial" w:cs="Arial"/>
                <w:color w:val="000000"/>
                <w:sz w:val="20"/>
                <w:szCs w:val="20"/>
              </w:rPr>
            </w:pPr>
            <w:r w:rsidRPr="002D2F67">
              <w:rPr>
                <w:rFonts w:ascii="Arial" w:hAnsi="Arial" w:cs="Arial"/>
                <w:color w:val="000000"/>
                <w:spacing w:val="-2"/>
                <w:sz w:val="20"/>
                <w:szCs w:val="20"/>
              </w:rPr>
              <w:t>Revenue from rental</w:t>
            </w:r>
          </w:p>
        </w:tc>
        <w:tc>
          <w:tcPr>
            <w:tcW w:w="1440" w:type="dxa"/>
            <w:shd w:val="clear" w:color="auto" w:fill="auto"/>
          </w:tcPr>
          <w:p w14:paraId="62212310" w14:textId="77777777" w:rsidR="00AE149C" w:rsidRPr="002D2F67" w:rsidRDefault="00AE149C" w:rsidP="005611FE">
            <w:pPr>
              <w:ind w:right="-72"/>
              <w:contextualSpacing/>
              <w:jc w:val="right"/>
              <w:rPr>
                <w:rFonts w:ascii="Arial" w:hAnsi="Arial" w:cs="Arial"/>
                <w:color w:val="000000"/>
                <w:sz w:val="20"/>
                <w:szCs w:val="20"/>
              </w:rPr>
            </w:pPr>
          </w:p>
        </w:tc>
        <w:tc>
          <w:tcPr>
            <w:tcW w:w="1440" w:type="dxa"/>
            <w:shd w:val="clear" w:color="auto" w:fill="auto"/>
          </w:tcPr>
          <w:p w14:paraId="2C4AFA06" w14:textId="77777777" w:rsidR="00AE149C" w:rsidRPr="002D2F67" w:rsidRDefault="00AE149C" w:rsidP="005611FE">
            <w:pPr>
              <w:ind w:right="-72"/>
              <w:contextualSpacing/>
              <w:jc w:val="right"/>
              <w:rPr>
                <w:rFonts w:ascii="Arial" w:hAnsi="Arial" w:cs="Arial"/>
                <w:color w:val="000000"/>
                <w:sz w:val="20"/>
                <w:szCs w:val="20"/>
              </w:rPr>
            </w:pPr>
          </w:p>
        </w:tc>
        <w:tc>
          <w:tcPr>
            <w:tcW w:w="1440" w:type="dxa"/>
            <w:shd w:val="clear" w:color="auto" w:fill="auto"/>
          </w:tcPr>
          <w:p w14:paraId="53669085" w14:textId="77777777" w:rsidR="00AE149C" w:rsidRPr="002D2F67" w:rsidRDefault="00AE149C" w:rsidP="005611FE">
            <w:pPr>
              <w:ind w:right="-72"/>
              <w:contextualSpacing/>
              <w:jc w:val="right"/>
              <w:rPr>
                <w:rFonts w:ascii="Arial" w:hAnsi="Arial" w:cs="Arial"/>
                <w:color w:val="000000"/>
                <w:sz w:val="20"/>
                <w:szCs w:val="20"/>
              </w:rPr>
            </w:pPr>
          </w:p>
        </w:tc>
        <w:tc>
          <w:tcPr>
            <w:tcW w:w="1440" w:type="dxa"/>
            <w:shd w:val="clear" w:color="auto" w:fill="auto"/>
          </w:tcPr>
          <w:p w14:paraId="20C31E14" w14:textId="77777777" w:rsidR="00AE149C" w:rsidRPr="002D2F67" w:rsidRDefault="00AE149C" w:rsidP="005611FE">
            <w:pPr>
              <w:ind w:right="-72"/>
              <w:contextualSpacing/>
              <w:jc w:val="right"/>
              <w:rPr>
                <w:rFonts w:ascii="Arial" w:hAnsi="Arial" w:cs="Arial"/>
                <w:color w:val="000000"/>
                <w:sz w:val="20"/>
                <w:szCs w:val="20"/>
              </w:rPr>
            </w:pPr>
          </w:p>
        </w:tc>
      </w:tr>
      <w:tr w:rsidR="00AE149C" w:rsidRPr="002D2F67" w14:paraId="2393918C" w14:textId="77777777" w:rsidTr="005611FE">
        <w:trPr>
          <w:trHeight w:val="126"/>
        </w:trPr>
        <w:tc>
          <w:tcPr>
            <w:tcW w:w="3510" w:type="dxa"/>
            <w:shd w:val="clear" w:color="auto" w:fill="auto"/>
          </w:tcPr>
          <w:p w14:paraId="62E0EB90" w14:textId="4987A419" w:rsidR="00AE149C" w:rsidRPr="002D2F67" w:rsidRDefault="00AE149C" w:rsidP="005611FE">
            <w:pPr>
              <w:tabs>
                <w:tab w:val="center" w:pos="3402"/>
                <w:tab w:val="center" w:pos="4536"/>
                <w:tab w:val="center" w:pos="5670"/>
                <w:tab w:val="center" w:pos="6804"/>
                <w:tab w:val="right" w:pos="7655"/>
              </w:tabs>
              <w:ind w:left="252"/>
              <w:contextualSpacing/>
              <w:rPr>
                <w:rFonts w:ascii="Arial" w:hAnsi="Arial" w:cs="Arial"/>
                <w:color w:val="000000"/>
                <w:sz w:val="20"/>
                <w:szCs w:val="20"/>
              </w:rPr>
            </w:pPr>
            <w:r w:rsidRPr="002D2F67">
              <w:rPr>
                <w:rFonts w:ascii="Arial" w:hAnsi="Arial" w:cs="Arial"/>
                <w:color w:val="000000"/>
                <w:sz w:val="20"/>
                <w:szCs w:val="20"/>
              </w:rPr>
              <w:t xml:space="preserve">   - Subsidiaries</w:t>
            </w:r>
          </w:p>
        </w:tc>
        <w:tc>
          <w:tcPr>
            <w:tcW w:w="1440" w:type="dxa"/>
            <w:tcBorders>
              <w:bottom w:val="single" w:sz="4" w:space="0" w:color="auto"/>
            </w:tcBorders>
            <w:shd w:val="clear" w:color="auto" w:fill="auto"/>
            <w:vAlign w:val="bottom"/>
          </w:tcPr>
          <w:p w14:paraId="69B9D8EA" w14:textId="79966183" w:rsidR="00AE149C" w:rsidRPr="002D2F67" w:rsidRDefault="004C1B8E" w:rsidP="005611FE">
            <w:pPr>
              <w:ind w:right="-72"/>
              <w:contextualSpacing/>
              <w:jc w:val="right"/>
              <w:rPr>
                <w:rFonts w:ascii="Arial" w:hAnsi="Arial" w:cs="Arial"/>
                <w:color w:val="000000"/>
                <w:sz w:val="20"/>
                <w:szCs w:val="20"/>
              </w:rPr>
            </w:pPr>
            <w:r w:rsidRPr="002D2F67">
              <w:rPr>
                <w:rFonts w:ascii="Arial" w:hAnsi="Arial" w:cs="Arial"/>
                <w:color w:val="000000"/>
                <w:sz w:val="20"/>
                <w:szCs w:val="20"/>
              </w:rPr>
              <w:t>-</w:t>
            </w:r>
          </w:p>
        </w:tc>
        <w:tc>
          <w:tcPr>
            <w:tcW w:w="1440" w:type="dxa"/>
            <w:tcBorders>
              <w:bottom w:val="single" w:sz="4" w:space="0" w:color="auto"/>
            </w:tcBorders>
            <w:shd w:val="clear" w:color="auto" w:fill="auto"/>
            <w:vAlign w:val="bottom"/>
          </w:tcPr>
          <w:p w14:paraId="19C36E8A" w14:textId="44C08094" w:rsidR="00AE149C" w:rsidRPr="002D2F67" w:rsidRDefault="00AE149C" w:rsidP="005611FE">
            <w:pPr>
              <w:ind w:right="-72"/>
              <w:contextualSpacing/>
              <w:jc w:val="right"/>
              <w:rPr>
                <w:rFonts w:ascii="Arial" w:hAnsi="Arial" w:cs="Arial"/>
                <w:color w:val="000000"/>
                <w:sz w:val="20"/>
                <w:szCs w:val="20"/>
              </w:rPr>
            </w:pPr>
            <w:r w:rsidRPr="002D2F67">
              <w:rPr>
                <w:rFonts w:ascii="Arial" w:hAnsi="Arial" w:cs="Arial"/>
                <w:color w:val="000000"/>
                <w:sz w:val="20"/>
                <w:szCs w:val="20"/>
              </w:rPr>
              <w:t>-</w:t>
            </w:r>
          </w:p>
        </w:tc>
        <w:tc>
          <w:tcPr>
            <w:tcW w:w="1440" w:type="dxa"/>
            <w:tcBorders>
              <w:bottom w:val="single" w:sz="4" w:space="0" w:color="auto"/>
            </w:tcBorders>
            <w:shd w:val="clear" w:color="auto" w:fill="auto"/>
            <w:vAlign w:val="bottom"/>
          </w:tcPr>
          <w:p w14:paraId="79745C53" w14:textId="6AC4E515" w:rsidR="00AE149C" w:rsidRPr="002D2F67" w:rsidRDefault="00CD5714" w:rsidP="005611FE">
            <w:pPr>
              <w:ind w:right="-72"/>
              <w:contextualSpacing/>
              <w:jc w:val="right"/>
              <w:rPr>
                <w:rFonts w:ascii="Arial" w:hAnsi="Arial" w:cs="Arial"/>
                <w:color w:val="000000"/>
                <w:sz w:val="20"/>
                <w:szCs w:val="20"/>
              </w:rPr>
            </w:pPr>
            <w:r w:rsidRPr="00CD5714">
              <w:rPr>
                <w:rFonts w:ascii="Arial" w:hAnsi="Arial" w:cs="Arial"/>
                <w:color w:val="000000"/>
                <w:sz w:val="20"/>
                <w:szCs w:val="20"/>
                <w:lang w:val="en-GB"/>
              </w:rPr>
              <w:t>44</w:t>
            </w:r>
            <w:r w:rsidR="004C1B8E" w:rsidRPr="002D2F67">
              <w:rPr>
                <w:rFonts w:ascii="Arial" w:hAnsi="Arial" w:cs="Arial"/>
                <w:color w:val="000000"/>
                <w:sz w:val="20"/>
                <w:szCs w:val="20"/>
              </w:rPr>
              <w:t>,</w:t>
            </w:r>
            <w:r w:rsidRPr="00CD5714">
              <w:rPr>
                <w:rFonts w:ascii="Arial" w:hAnsi="Arial" w:cs="Arial"/>
                <w:color w:val="000000"/>
                <w:sz w:val="20"/>
                <w:szCs w:val="20"/>
                <w:lang w:val="en-GB"/>
              </w:rPr>
              <w:t>305</w:t>
            </w:r>
          </w:p>
        </w:tc>
        <w:tc>
          <w:tcPr>
            <w:tcW w:w="1440" w:type="dxa"/>
            <w:tcBorders>
              <w:bottom w:val="single" w:sz="4" w:space="0" w:color="auto"/>
            </w:tcBorders>
            <w:shd w:val="clear" w:color="auto" w:fill="auto"/>
            <w:vAlign w:val="bottom"/>
          </w:tcPr>
          <w:p w14:paraId="0006E533" w14:textId="333F0FD0" w:rsidR="00AE149C" w:rsidRPr="002D2F67" w:rsidRDefault="00CD5714" w:rsidP="005611FE">
            <w:pPr>
              <w:ind w:right="-72"/>
              <w:contextualSpacing/>
              <w:jc w:val="right"/>
              <w:rPr>
                <w:rFonts w:ascii="Arial" w:hAnsi="Arial" w:cs="Arial"/>
                <w:color w:val="000000"/>
                <w:sz w:val="20"/>
                <w:szCs w:val="20"/>
              </w:rPr>
            </w:pPr>
            <w:r w:rsidRPr="00CD5714">
              <w:rPr>
                <w:rFonts w:ascii="Arial" w:hAnsi="Arial" w:cs="Arial"/>
                <w:color w:val="000000"/>
                <w:sz w:val="20"/>
                <w:szCs w:val="20"/>
                <w:lang w:val="en-GB"/>
              </w:rPr>
              <w:t>55</w:t>
            </w:r>
            <w:r w:rsidR="00AE149C" w:rsidRPr="002D2F67">
              <w:rPr>
                <w:rFonts w:ascii="Arial" w:hAnsi="Arial" w:cs="Arial"/>
                <w:color w:val="000000"/>
                <w:sz w:val="20"/>
                <w:szCs w:val="20"/>
              </w:rPr>
              <w:t>,</w:t>
            </w:r>
            <w:r w:rsidRPr="00CD5714">
              <w:rPr>
                <w:rFonts w:ascii="Arial" w:hAnsi="Arial" w:cs="Arial"/>
                <w:color w:val="000000"/>
                <w:sz w:val="20"/>
                <w:szCs w:val="20"/>
                <w:lang w:val="en-GB"/>
              </w:rPr>
              <w:t>981</w:t>
            </w:r>
          </w:p>
        </w:tc>
      </w:tr>
    </w:tbl>
    <w:p w14:paraId="142AF069" w14:textId="77777777" w:rsidR="00314B39" w:rsidRPr="002D2F67" w:rsidRDefault="00314B39" w:rsidP="005611FE">
      <w:pPr>
        <w:jc w:val="both"/>
        <w:rPr>
          <w:rFonts w:ascii="Arial" w:hAnsi="Arial" w:cs="Arial"/>
          <w:color w:val="000000"/>
          <w:spacing w:val="-2"/>
          <w:sz w:val="20"/>
          <w:szCs w:val="20"/>
        </w:rPr>
      </w:pPr>
    </w:p>
    <w:p w14:paraId="15FF1A9B" w14:textId="7420A61E" w:rsidR="001E6C66" w:rsidRPr="002D2F67" w:rsidRDefault="00CD5714" w:rsidP="005611FE">
      <w:pPr>
        <w:pStyle w:val="EASUBHEAD6"/>
        <w:rPr>
          <w:b/>
          <w:bCs/>
          <w:color w:val="000000"/>
          <w:sz w:val="20"/>
          <w:szCs w:val="20"/>
        </w:rPr>
      </w:pPr>
      <w:r w:rsidRPr="00CD5714">
        <w:rPr>
          <w:b/>
          <w:bCs/>
          <w:color w:val="000000"/>
          <w:sz w:val="20"/>
          <w:szCs w:val="20"/>
          <w:lang w:val="en-GB"/>
        </w:rPr>
        <w:t>42</w:t>
      </w:r>
      <w:r w:rsidR="001E6C66" w:rsidRPr="002D2F67">
        <w:rPr>
          <w:b/>
          <w:bCs/>
          <w:color w:val="000000"/>
          <w:sz w:val="20"/>
          <w:szCs w:val="20"/>
        </w:rPr>
        <w:t>.</w:t>
      </w:r>
      <w:r w:rsidRPr="00CD5714">
        <w:rPr>
          <w:b/>
          <w:bCs/>
          <w:color w:val="000000"/>
          <w:sz w:val="20"/>
          <w:szCs w:val="20"/>
          <w:lang w:val="en-GB"/>
        </w:rPr>
        <w:t>3</w:t>
      </w:r>
      <w:r w:rsidR="001E6C66" w:rsidRPr="002D2F67">
        <w:rPr>
          <w:b/>
          <w:bCs/>
          <w:color w:val="000000"/>
          <w:sz w:val="20"/>
          <w:szCs w:val="20"/>
        </w:rPr>
        <w:tab/>
      </w:r>
      <w:r w:rsidR="00524143" w:rsidRPr="002D2F67">
        <w:rPr>
          <w:b/>
          <w:bCs/>
          <w:color w:val="000000"/>
          <w:sz w:val="20"/>
          <w:szCs w:val="20"/>
        </w:rPr>
        <w:t>R</w:t>
      </w:r>
      <w:r w:rsidR="001E6C66" w:rsidRPr="002D2F67">
        <w:rPr>
          <w:b/>
          <w:bCs/>
          <w:color w:val="000000"/>
          <w:sz w:val="20"/>
          <w:szCs w:val="20"/>
        </w:rPr>
        <w:t>eceivables from and payables to related parties</w:t>
      </w:r>
    </w:p>
    <w:p w14:paraId="76AC6746" w14:textId="77777777" w:rsidR="001E6C66" w:rsidRPr="002D2F67" w:rsidRDefault="001E6C66" w:rsidP="005611FE">
      <w:pPr>
        <w:ind w:left="540"/>
        <w:jc w:val="both"/>
        <w:rPr>
          <w:rFonts w:ascii="Arial" w:hAnsi="Arial" w:cs="Arial"/>
          <w:color w:val="000000"/>
          <w:sz w:val="20"/>
          <w:szCs w:val="20"/>
        </w:rPr>
      </w:pPr>
    </w:p>
    <w:tbl>
      <w:tblPr>
        <w:tblW w:w="9270" w:type="dxa"/>
        <w:tblInd w:w="288" w:type="dxa"/>
        <w:tblLayout w:type="fixed"/>
        <w:tblLook w:val="0000" w:firstRow="0" w:lastRow="0" w:firstColumn="0" w:lastColumn="0" w:noHBand="0" w:noVBand="0"/>
      </w:tblPr>
      <w:tblGrid>
        <w:gridCol w:w="3510"/>
        <w:gridCol w:w="1440"/>
        <w:gridCol w:w="1440"/>
        <w:gridCol w:w="1440"/>
        <w:gridCol w:w="1440"/>
      </w:tblGrid>
      <w:tr w:rsidR="001E6C66" w:rsidRPr="002D2F67" w14:paraId="614850ED" w14:textId="77777777" w:rsidTr="008255E8">
        <w:tc>
          <w:tcPr>
            <w:tcW w:w="3510" w:type="dxa"/>
            <w:shd w:val="clear" w:color="auto" w:fill="auto"/>
          </w:tcPr>
          <w:p w14:paraId="4F02E6C2" w14:textId="77777777" w:rsidR="001E6C66" w:rsidRPr="002D2F67" w:rsidRDefault="001E6C66" w:rsidP="005611FE">
            <w:pPr>
              <w:ind w:left="252"/>
              <w:contextualSpacing/>
              <w:rPr>
                <w:rFonts w:ascii="Arial" w:hAnsi="Arial" w:cs="Arial"/>
                <w:color w:val="000000"/>
                <w:sz w:val="20"/>
                <w:szCs w:val="20"/>
              </w:rPr>
            </w:pPr>
          </w:p>
        </w:tc>
        <w:tc>
          <w:tcPr>
            <w:tcW w:w="2880" w:type="dxa"/>
            <w:gridSpan w:val="2"/>
            <w:tcBorders>
              <w:bottom w:val="single" w:sz="4" w:space="0" w:color="auto"/>
            </w:tcBorders>
            <w:shd w:val="clear" w:color="auto" w:fill="auto"/>
          </w:tcPr>
          <w:p w14:paraId="3D5B83E8" w14:textId="77777777" w:rsidR="001E6C66" w:rsidRPr="002D2F67" w:rsidRDefault="001E6C66" w:rsidP="005611FE">
            <w:pPr>
              <w:tabs>
                <w:tab w:val="left" w:pos="709"/>
              </w:tabs>
              <w:ind w:right="-72"/>
              <w:contextualSpacing/>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7AE0368A" w14:textId="77777777" w:rsidR="001E6C66" w:rsidRPr="002D2F67" w:rsidRDefault="001E6C66" w:rsidP="005611FE">
            <w:pPr>
              <w:tabs>
                <w:tab w:val="left" w:pos="709"/>
              </w:tabs>
              <w:ind w:right="-72"/>
              <w:contextualSpacing/>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2880" w:type="dxa"/>
            <w:gridSpan w:val="2"/>
            <w:tcBorders>
              <w:bottom w:val="single" w:sz="4" w:space="0" w:color="auto"/>
            </w:tcBorders>
            <w:shd w:val="clear" w:color="auto" w:fill="auto"/>
          </w:tcPr>
          <w:p w14:paraId="0699557B" w14:textId="77777777" w:rsidR="001E6C66" w:rsidRPr="002D2F67" w:rsidRDefault="001E6C66" w:rsidP="005611FE">
            <w:pPr>
              <w:tabs>
                <w:tab w:val="left" w:pos="709"/>
              </w:tabs>
              <w:ind w:right="-72"/>
              <w:contextualSpacing/>
              <w:jc w:val="right"/>
              <w:rPr>
                <w:rFonts w:ascii="Arial" w:hAnsi="Arial" w:cs="Arial"/>
                <w:b/>
                <w:bCs/>
                <w:color w:val="000000"/>
                <w:sz w:val="20"/>
                <w:szCs w:val="20"/>
              </w:rPr>
            </w:pPr>
            <w:r w:rsidRPr="002D2F67">
              <w:rPr>
                <w:rFonts w:ascii="Arial" w:hAnsi="Arial" w:cs="Arial"/>
                <w:b/>
                <w:bCs/>
                <w:color w:val="000000"/>
                <w:sz w:val="20"/>
                <w:szCs w:val="20"/>
              </w:rPr>
              <w:t xml:space="preserve">Separate </w:t>
            </w:r>
          </w:p>
          <w:p w14:paraId="43710136" w14:textId="77777777" w:rsidR="001E6C66" w:rsidRPr="002D2F67" w:rsidRDefault="001E6C66" w:rsidP="005611FE">
            <w:pPr>
              <w:tabs>
                <w:tab w:val="left" w:pos="709"/>
              </w:tabs>
              <w:ind w:right="-72"/>
              <w:contextualSpacing/>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4A6CC8" w:rsidRPr="002D2F67" w14:paraId="481786D8" w14:textId="77777777" w:rsidTr="005611FE">
        <w:tc>
          <w:tcPr>
            <w:tcW w:w="3510" w:type="dxa"/>
            <w:shd w:val="clear" w:color="auto" w:fill="auto"/>
          </w:tcPr>
          <w:p w14:paraId="2E558BE9" w14:textId="07351F42" w:rsidR="004A6CC8" w:rsidRPr="002D2F67" w:rsidRDefault="004A6CC8" w:rsidP="005611FE">
            <w:pPr>
              <w:ind w:left="252"/>
              <w:contextualSpacing/>
              <w:rPr>
                <w:rFonts w:ascii="Arial" w:hAnsi="Arial" w:cs="Arial"/>
                <w:b/>
                <w:bCs/>
                <w:color w:val="000000"/>
                <w:sz w:val="20"/>
                <w:szCs w:val="20"/>
              </w:rPr>
            </w:pPr>
            <w:r w:rsidRPr="002D2F67">
              <w:rPr>
                <w:rFonts w:ascii="Arial" w:hAnsi="Arial" w:cs="Arial"/>
                <w:b/>
                <w:bCs/>
                <w:color w:val="000000"/>
                <w:sz w:val="20"/>
                <w:szCs w:val="20"/>
              </w:rPr>
              <w:t xml:space="preserve">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w:t>
            </w:r>
          </w:p>
        </w:tc>
        <w:tc>
          <w:tcPr>
            <w:tcW w:w="1440" w:type="dxa"/>
            <w:tcBorders>
              <w:top w:val="single" w:sz="4" w:space="0" w:color="auto"/>
            </w:tcBorders>
            <w:shd w:val="clear" w:color="auto" w:fill="auto"/>
          </w:tcPr>
          <w:p w14:paraId="22E52E22" w14:textId="2A1D3FB6" w:rsidR="004A6CC8" w:rsidRPr="002D2F67" w:rsidRDefault="00CD5714" w:rsidP="005611FE">
            <w:pPr>
              <w:ind w:right="-72"/>
              <w:contextualSpacing/>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40" w:type="dxa"/>
            <w:tcBorders>
              <w:top w:val="single" w:sz="4" w:space="0" w:color="auto"/>
            </w:tcBorders>
            <w:shd w:val="clear" w:color="auto" w:fill="auto"/>
          </w:tcPr>
          <w:p w14:paraId="4D278293" w14:textId="502A07BA" w:rsidR="004A6CC8" w:rsidRPr="002D2F67" w:rsidRDefault="00CD5714" w:rsidP="005611FE">
            <w:pPr>
              <w:ind w:right="-72"/>
              <w:contextualSpacing/>
              <w:jc w:val="right"/>
              <w:rPr>
                <w:rFonts w:ascii="Arial" w:hAnsi="Arial" w:cs="Arial"/>
                <w:b/>
                <w:bCs/>
                <w:color w:val="000000"/>
                <w:sz w:val="20"/>
                <w:szCs w:val="20"/>
                <w:cs/>
              </w:rPr>
            </w:pPr>
            <w:r w:rsidRPr="00CD5714">
              <w:rPr>
                <w:rFonts w:ascii="Arial" w:hAnsi="Arial" w:cs="Arial"/>
                <w:b/>
                <w:bCs/>
                <w:color w:val="000000"/>
                <w:sz w:val="20"/>
                <w:szCs w:val="20"/>
                <w:lang w:val="en-GB"/>
              </w:rPr>
              <w:t>2023</w:t>
            </w:r>
          </w:p>
        </w:tc>
        <w:tc>
          <w:tcPr>
            <w:tcW w:w="1440" w:type="dxa"/>
            <w:tcBorders>
              <w:top w:val="single" w:sz="4" w:space="0" w:color="auto"/>
            </w:tcBorders>
            <w:shd w:val="clear" w:color="auto" w:fill="auto"/>
          </w:tcPr>
          <w:p w14:paraId="7FC93264" w14:textId="17315EAB" w:rsidR="004A6CC8" w:rsidRPr="002D2F67" w:rsidRDefault="00CD5714" w:rsidP="005611FE">
            <w:pPr>
              <w:ind w:right="-72"/>
              <w:contextualSpacing/>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40" w:type="dxa"/>
            <w:tcBorders>
              <w:top w:val="single" w:sz="4" w:space="0" w:color="auto"/>
            </w:tcBorders>
            <w:shd w:val="clear" w:color="auto" w:fill="auto"/>
          </w:tcPr>
          <w:p w14:paraId="649F233B" w14:textId="34A3BC10" w:rsidR="004A6CC8" w:rsidRPr="002D2F67" w:rsidRDefault="00CD5714" w:rsidP="005611FE">
            <w:pPr>
              <w:ind w:right="-72"/>
              <w:contextualSpacing/>
              <w:jc w:val="right"/>
              <w:rPr>
                <w:rFonts w:ascii="Arial" w:hAnsi="Arial" w:cs="Arial"/>
                <w:b/>
                <w:bCs/>
                <w:color w:val="000000"/>
                <w:sz w:val="20"/>
                <w:szCs w:val="20"/>
                <w:cs/>
              </w:rPr>
            </w:pPr>
            <w:r w:rsidRPr="00CD5714">
              <w:rPr>
                <w:rFonts w:ascii="Arial" w:hAnsi="Arial" w:cs="Arial"/>
                <w:b/>
                <w:bCs/>
                <w:color w:val="000000"/>
                <w:sz w:val="20"/>
                <w:szCs w:val="20"/>
                <w:lang w:val="en-GB"/>
              </w:rPr>
              <w:t>2023</w:t>
            </w:r>
          </w:p>
        </w:tc>
      </w:tr>
      <w:tr w:rsidR="001E6C66" w:rsidRPr="002D2F67" w14:paraId="58455619" w14:textId="77777777" w:rsidTr="005611FE">
        <w:tc>
          <w:tcPr>
            <w:tcW w:w="3510" w:type="dxa"/>
            <w:shd w:val="clear" w:color="auto" w:fill="auto"/>
          </w:tcPr>
          <w:p w14:paraId="499CE256" w14:textId="77777777" w:rsidR="001E6C66" w:rsidRPr="002D2F67" w:rsidRDefault="001E6C66" w:rsidP="005611FE">
            <w:pPr>
              <w:pStyle w:val="Header"/>
              <w:ind w:left="252"/>
              <w:contextualSpacing/>
              <w:rPr>
                <w:rFonts w:ascii="Arial" w:hAnsi="Arial" w:cs="Arial"/>
                <w:color w:val="000000"/>
                <w:sz w:val="20"/>
                <w:szCs w:val="20"/>
              </w:rPr>
            </w:pPr>
          </w:p>
        </w:tc>
        <w:tc>
          <w:tcPr>
            <w:tcW w:w="1440" w:type="dxa"/>
            <w:tcBorders>
              <w:bottom w:val="single" w:sz="4" w:space="0" w:color="auto"/>
            </w:tcBorders>
            <w:shd w:val="clear" w:color="auto" w:fill="auto"/>
          </w:tcPr>
          <w:p w14:paraId="22A3DD3A" w14:textId="479F884A" w:rsidR="001E6C66" w:rsidRPr="002D2F67" w:rsidRDefault="001E6C66" w:rsidP="005611FE">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color w:val="000000"/>
                <w:sz w:val="20"/>
                <w:szCs w:val="20"/>
              </w:rPr>
            </w:pPr>
            <w:r w:rsidRPr="002D2F67">
              <w:rPr>
                <w:rFonts w:ascii="Arial" w:hAnsi="Arial" w:cs="Arial"/>
                <w:b/>
                <w:bCs/>
                <w:color w:val="000000"/>
                <w:sz w:val="20"/>
                <w:szCs w:val="20"/>
              </w:rPr>
              <w:t>Baht</w:t>
            </w:r>
            <w:r w:rsidR="005A3B2A" w:rsidRPr="002D2F67">
              <w:rPr>
                <w:rFonts w:ascii="Arial" w:hAnsi="Arial" w:cs="Arial"/>
                <w:b/>
                <w:bCs/>
                <w:color w:val="000000"/>
                <w:sz w:val="20"/>
                <w:szCs w:val="20"/>
              </w:rPr>
              <w: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036AC7B3" w14:textId="2CC7FEDF" w:rsidR="001E6C66" w:rsidRPr="002D2F67" w:rsidRDefault="005A3B2A" w:rsidP="005611FE">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327BD866" w14:textId="5C54D092" w:rsidR="001E6C66" w:rsidRPr="002D2F67" w:rsidRDefault="005A3B2A" w:rsidP="005611FE">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542987A3" w14:textId="53A3D711" w:rsidR="001E6C66" w:rsidRPr="002D2F67" w:rsidRDefault="005A3B2A" w:rsidP="005611FE">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1E6C66" w:rsidRPr="002D2F67" w14:paraId="60364428" w14:textId="77777777" w:rsidTr="005611FE">
        <w:tc>
          <w:tcPr>
            <w:tcW w:w="3510" w:type="dxa"/>
            <w:shd w:val="clear" w:color="auto" w:fill="auto"/>
          </w:tcPr>
          <w:p w14:paraId="7704EDC5"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left="252"/>
              <w:contextualSpacing/>
              <w:rPr>
                <w:rFonts w:ascii="Arial" w:hAnsi="Arial" w:cs="Arial"/>
                <w:color w:val="000000"/>
                <w:sz w:val="20"/>
                <w:szCs w:val="20"/>
              </w:rPr>
            </w:pPr>
          </w:p>
        </w:tc>
        <w:tc>
          <w:tcPr>
            <w:tcW w:w="1440" w:type="dxa"/>
            <w:tcBorders>
              <w:top w:val="single" w:sz="4" w:space="0" w:color="auto"/>
            </w:tcBorders>
            <w:shd w:val="clear" w:color="auto" w:fill="auto"/>
          </w:tcPr>
          <w:p w14:paraId="1322A5F7"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3345B0E6"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13A03BED"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0527BACF" w14:textId="77777777" w:rsidR="001E6C66" w:rsidRPr="002D2F67" w:rsidRDefault="001E6C66" w:rsidP="005611FE">
            <w:pPr>
              <w:ind w:right="-72"/>
              <w:contextualSpacing/>
              <w:jc w:val="right"/>
              <w:rPr>
                <w:rFonts w:ascii="Arial" w:hAnsi="Arial" w:cs="Arial"/>
                <w:color w:val="000000"/>
                <w:sz w:val="20"/>
                <w:szCs w:val="20"/>
              </w:rPr>
            </w:pPr>
          </w:p>
        </w:tc>
      </w:tr>
      <w:tr w:rsidR="005A3B2A" w:rsidRPr="002D2F67" w14:paraId="673C37D7" w14:textId="77777777" w:rsidTr="005611FE">
        <w:trPr>
          <w:trHeight w:val="126"/>
        </w:trPr>
        <w:tc>
          <w:tcPr>
            <w:tcW w:w="3510" w:type="dxa"/>
            <w:shd w:val="clear" w:color="auto" w:fill="auto"/>
          </w:tcPr>
          <w:p w14:paraId="213EFD9B" w14:textId="5B1C8239" w:rsidR="005A3B2A" w:rsidRPr="002D2F67" w:rsidRDefault="00FF26FF" w:rsidP="005611FE">
            <w:pPr>
              <w:ind w:left="252"/>
              <w:contextualSpacing/>
              <w:rPr>
                <w:rFonts w:ascii="Arial" w:hAnsi="Arial" w:cs="Arial"/>
                <w:color w:val="000000"/>
                <w:sz w:val="20"/>
                <w:szCs w:val="20"/>
              </w:rPr>
            </w:pPr>
            <w:r w:rsidRPr="002D2F67">
              <w:rPr>
                <w:rFonts w:ascii="Arial" w:hAnsi="Arial" w:cs="Arial"/>
                <w:color w:val="000000"/>
                <w:sz w:val="20"/>
                <w:szCs w:val="20"/>
              </w:rPr>
              <w:t>Trade accounts</w:t>
            </w:r>
            <w:r w:rsidR="005A3B2A" w:rsidRPr="002D2F67">
              <w:rPr>
                <w:rFonts w:ascii="Arial" w:hAnsi="Arial" w:cs="Arial"/>
                <w:color w:val="000000"/>
                <w:sz w:val="20"/>
                <w:szCs w:val="20"/>
              </w:rPr>
              <w:t xml:space="preserve"> receivable</w:t>
            </w:r>
          </w:p>
        </w:tc>
        <w:tc>
          <w:tcPr>
            <w:tcW w:w="1440" w:type="dxa"/>
            <w:shd w:val="clear" w:color="auto" w:fill="auto"/>
            <w:vAlign w:val="bottom"/>
          </w:tcPr>
          <w:p w14:paraId="0893EE8A" w14:textId="77777777" w:rsidR="005A3B2A" w:rsidRPr="002D2F67" w:rsidRDefault="005A3B2A" w:rsidP="005611FE">
            <w:pPr>
              <w:ind w:right="-72"/>
              <w:contextualSpacing/>
              <w:jc w:val="right"/>
              <w:rPr>
                <w:rFonts w:ascii="Arial" w:hAnsi="Arial" w:cs="Arial"/>
                <w:color w:val="000000"/>
                <w:sz w:val="20"/>
                <w:szCs w:val="20"/>
              </w:rPr>
            </w:pPr>
          </w:p>
        </w:tc>
        <w:tc>
          <w:tcPr>
            <w:tcW w:w="1440" w:type="dxa"/>
            <w:shd w:val="clear" w:color="auto" w:fill="auto"/>
            <w:vAlign w:val="bottom"/>
          </w:tcPr>
          <w:p w14:paraId="2E32E5B2" w14:textId="77777777" w:rsidR="005A3B2A" w:rsidRPr="002D2F67" w:rsidRDefault="005A3B2A" w:rsidP="005611FE">
            <w:pPr>
              <w:ind w:right="-72"/>
              <w:contextualSpacing/>
              <w:jc w:val="right"/>
              <w:rPr>
                <w:rFonts w:ascii="Arial" w:hAnsi="Arial" w:cs="Arial"/>
                <w:color w:val="000000"/>
                <w:sz w:val="20"/>
                <w:szCs w:val="20"/>
                <w:cs/>
              </w:rPr>
            </w:pPr>
          </w:p>
        </w:tc>
        <w:tc>
          <w:tcPr>
            <w:tcW w:w="1440" w:type="dxa"/>
            <w:shd w:val="clear" w:color="auto" w:fill="auto"/>
            <w:vAlign w:val="bottom"/>
          </w:tcPr>
          <w:p w14:paraId="71A2B507" w14:textId="77777777" w:rsidR="005A3B2A" w:rsidRPr="002D2F67" w:rsidRDefault="005A3B2A" w:rsidP="005611FE">
            <w:pPr>
              <w:ind w:right="-72"/>
              <w:contextualSpacing/>
              <w:jc w:val="right"/>
              <w:rPr>
                <w:rFonts w:ascii="Arial" w:hAnsi="Arial" w:cs="Arial"/>
                <w:color w:val="000000"/>
                <w:sz w:val="20"/>
                <w:szCs w:val="20"/>
              </w:rPr>
            </w:pPr>
          </w:p>
        </w:tc>
        <w:tc>
          <w:tcPr>
            <w:tcW w:w="1440" w:type="dxa"/>
            <w:shd w:val="clear" w:color="auto" w:fill="auto"/>
            <w:vAlign w:val="bottom"/>
          </w:tcPr>
          <w:p w14:paraId="0A07C5CE" w14:textId="77777777" w:rsidR="005A3B2A" w:rsidRPr="002D2F67" w:rsidRDefault="005A3B2A" w:rsidP="005611FE">
            <w:pPr>
              <w:ind w:right="-72"/>
              <w:contextualSpacing/>
              <w:jc w:val="right"/>
              <w:rPr>
                <w:rFonts w:ascii="Arial" w:hAnsi="Arial" w:cs="Arial"/>
                <w:color w:val="000000"/>
                <w:sz w:val="20"/>
                <w:szCs w:val="20"/>
              </w:rPr>
            </w:pPr>
          </w:p>
        </w:tc>
      </w:tr>
      <w:tr w:rsidR="00AE149C" w:rsidRPr="002D2F67" w14:paraId="72292560" w14:textId="77777777" w:rsidTr="005611FE">
        <w:trPr>
          <w:trHeight w:val="126"/>
        </w:trPr>
        <w:tc>
          <w:tcPr>
            <w:tcW w:w="3510" w:type="dxa"/>
            <w:shd w:val="clear" w:color="auto" w:fill="auto"/>
          </w:tcPr>
          <w:p w14:paraId="0C37224D" w14:textId="72105A89" w:rsidR="00AE149C" w:rsidRPr="002D2F67" w:rsidRDefault="00AE149C" w:rsidP="005611FE">
            <w:pPr>
              <w:ind w:left="252"/>
              <w:contextualSpacing/>
              <w:rPr>
                <w:rFonts w:ascii="Arial" w:hAnsi="Arial" w:cs="Arial"/>
                <w:color w:val="000000"/>
                <w:sz w:val="20"/>
                <w:szCs w:val="20"/>
              </w:rPr>
            </w:pPr>
            <w:r w:rsidRPr="002D2F67">
              <w:rPr>
                <w:rFonts w:ascii="Arial" w:hAnsi="Arial" w:cs="Arial"/>
                <w:color w:val="000000"/>
                <w:sz w:val="20"/>
                <w:szCs w:val="20"/>
              </w:rPr>
              <w:t xml:space="preserve">   - Associates</w:t>
            </w:r>
          </w:p>
        </w:tc>
        <w:tc>
          <w:tcPr>
            <w:tcW w:w="1440" w:type="dxa"/>
            <w:tcBorders>
              <w:bottom w:val="single" w:sz="4" w:space="0" w:color="auto"/>
            </w:tcBorders>
            <w:shd w:val="clear" w:color="auto" w:fill="auto"/>
            <w:vAlign w:val="bottom"/>
          </w:tcPr>
          <w:p w14:paraId="3A2BACBB" w14:textId="0854C4C7" w:rsidR="00AE149C" w:rsidRPr="002D2F67" w:rsidRDefault="00CD5714" w:rsidP="005611FE">
            <w:pPr>
              <w:ind w:right="-72"/>
              <w:contextualSpacing/>
              <w:jc w:val="right"/>
              <w:rPr>
                <w:rFonts w:ascii="Arial" w:hAnsi="Arial" w:cs="Arial"/>
                <w:color w:val="000000"/>
                <w:sz w:val="20"/>
                <w:szCs w:val="20"/>
              </w:rPr>
            </w:pPr>
            <w:r w:rsidRPr="00CD5714">
              <w:rPr>
                <w:rFonts w:ascii="Arial" w:hAnsi="Arial" w:cs="Arial"/>
                <w:color w:val="000000"/>
                <w:sz w:val="20"/>
                <w:szCs w:val="20"/>
                <w:lang w:val="en-GB"/>
              </w:rPr>
              <w:t>4</w:t>
            </w:r>
            <w:r w:rsidR="00AD4283" w:rsidRPr="002D2F67">
              <w:rPr>
                <w:rFonts w:ascii="Arial" w:hAnsi="Arial" w:cs="Arial"/>
                <w:color w:val="000000"/>
                <w:sz w:val="20"/>
                <w:szCs w:val="20"/>
              </w:rPr>
              <w:t>,</w:t>
            </w:r>
            <w:r w:rsidRPr="00CD5714">
              <w:rPr>
                <w:rFonts w:ascii="Arial" w:hAnsi="Arial" w:cs="Arial"/>
                <w:color w:val="000000"/>
                <w:sz w:val="20"/>
                <w:szCs w:val="20"/>
                <w:lang w:val="en-GB"/>
              </w:rPr>
              <w:t>686</w:t>
            </w:r>
            <w:r w:rsidR="00AD4283" w:rsidRPr="002D2F67">
              <w:rPr>
                <w:rFonts w:ascii="Arial" w:hAnsi="Arial" w:cs="Arial"/>
                <w:color w:val="000000"/>
                <w:sz w:val="20"/>
                <w:szCs w:val="20"/>
              </w:rPr>
              <w:t>,</w:t>
            </w:r>
            <w:r w:rsidRPr="00CD5714">
              <w:rPr>
                <w:rFonts w:ascii="Arial" w:hAnsi="Arial" w:cs="Arial"/>
                <w:color w:val="000000"/>
                <w:sz w:val="20"/>
                <w:szCs w:val="20"/>
                <w:lang w:val="en-GB"/>
              </w:rPr>
              <w:t>048</w:t>
            </w:r>
          </w:p>
        </w:tc>
        <w:tc>
          <w:tcPr>
            <w:tcW w:w="1440" w:type="dxa"/>
            <w:tcBorders>
              <w:bottom w:val="single" w:sz="4" w:space="0" w:color="auto"/>
            </w:tcBorders>
            <w:shd w:val="clear" w:color="auto" w:fill="auto"/>
            <w:vAlign w:val="bottom"/>
          </w:tcPr>
          <w:p w14:paraId="388E43B9" w14:textId="3036CC93" w:rsidR="00AE149C" w:rsidRPr="002D2F67" w:rsidRDefault="00CD5714" w:rsidP="005611FE">
            <w:pPr>
              <w:ind w:right="-72"/>
              <w:contextualSpacing/>
              <w:jc w:val="right"/>
              <w:rPr>
                <w:rFonts w:ascii="Arial" w:hAnsi="Arial" w:cs="Arial"/>
                <w:color w:val="000000"/>
                <w:sz w:val="20"/>
                <w:szCs w:val="20"/>
                <w:cs/>
              </w:rPr>
            </w:pPr>
            <w:r w:rsidRPr="00CD5714">
              <w:rPr>
                <w:rFonts w:ascii="Arial" w:hAnsi="Arial" w:cs="Arial"/>
                <w:color w:val="000000"/>
                <w:sz w:val="20"/>
                <w:szCs w:val="20"/>
                <w:lang w:val="en-GB"/>
              </w:rPr>
              <w:t>5</w:t>
            </w:r>
            <w:r w:rsidR="00AE149C" w:rsidRPr="002D2F67">
              <w:rPr>
                <w:rFonts w:ascii="Arial" w:hAnsi="Arial" w:cs="Arial"/>
                <w:color w:val="000000"/>
                <w:sz w:val="20"/>
                <w:szCs w:val="20"/>
              </w:rPr>
              <w:t>,</w:t>
            </w:r>
            <w:r w:rsidRPr="00CD5714">
              <w:rPr>
                <w:rFonts w:ascii="Arial" w:hAnsi="Arial" w:cs="Arial"/>
                <w:color w:val="000000"/>
                <w:sz w:val="20"/>
                <w:szCs w:val="20"/>
                <w:lang w:val="en-GB"/>
              </w:rPr>
              <w:t>526</w:t>
            </w:r>
            <w:r w:rsidR="00AE149C" w:rsidRPr="002D2F67">
              <w:rPr>
                <w:rFonts w:ascii="Arial" w:hAnsi="Arial" w:cs="Arial"/>
                <w:color w:val="000000"/>
                <w:sz w:val="20"/>
                <w:szCs w:val="20"/>
              </w:rPr>
              <w:t>,</w:t>
            </w:r>
            <w:r w:rsidRPr="00CD5714">
              <w:rPr>
                <w:rFonts w:ascii="Arial" w:hAnsi="Arial" w:cs="Arial"/>
                <w:color w:val="000000"/>
                <w:sz w:val="20"/>
                <w:szCs w:val="20"/>
                <w:lang w:val="en-GB"/>
              </w:rPr>
              <w:t>221</w:t>
            </w:r>
          </w:p>
        </w:tc>
        <w:tc>
          <w:tcPr>
            <w:tcW w:w="1440" w:type="dxa"/>
            <w:tcBorders>
              <w:bottom w:val="single" w:sz="4" w:space="0" w:color="auto"/>
            </w:tcBorders>
            <w:shd w:val="clear" w:color="auto" w:fill="auto"/>
            <w:vAlign w:val="bottom"/>
          </w:tcPr>
          <w:p w14:paraId="44C8D61D" w14:textId="05798B2D" w:rsidR="00AE149C" w:rsidRPr="002D2F67" w:rsidRDefault="004C1B8E" w:rsidP="005611FE">
            <w:pPr>
              <w:ind w:right="-72"/>
              <w:contextualSpacing/>
              <w:jc w:val="right"/>
              <w:rPr>
                <w:rFonts w:ascii="Arial" w:hAnsi="Arial" w:cs="Arial"/>
                <w:color w:val="000000"/>
                <w:sz w:val="20"/>
                <w:szCs w:val="20"/>
              </w:rPr>
            </w:pPr>
            <w:r w:rsidRPr="002D2F67">
              <w:rPr>
                <w:rFonts w:ascii="Arial" w:hAnsi="Arial" w:cs="Arial"/>
                <w:color w:val="000000"/>
                <w:sz w:val="20"/>
                <w:szCs w:val="20"/>
              </w:rPr>
              <w:t>-</w:t>
            </w:r>
          </w:p>
        </w:tc>
        <w:tc>
          <w:tcPr>
            <w:tcW w:w="1440" w:type="dxa"/>
            <w:tcBorders>
              <w:bottom w:val="single" w:sz="4" w:space="0" w:color="auto"/>
            </w:tcBorders>
            <w:shd w:val="clear" w:color="auto" w:fill="auto"/>
            <w:vAlign w:val="bottom"/>
          </w:tcPr>
          <w:p w14:paraId="67CB026E" w14:textId="19B4892F" w:rsidR="00AE149C" w:rsidRPr="002D2F67" w:rsidRDefault="00AE149C" w:rsidP="005611FE">
            <w:pPr>
              <w:ind w:right="-72"/>
              <w:contextualSpacing/>
              <w:jc w:val="right"/>
              <w:rPr>
                <w:rFonts w:ascii="Arial" w:hAnsi="Arial" w:cs="Arial"/>
                <w:color w:val="000000"/>
                <w:sz w:val="20"/>
                <w:szCs w:val="20"/>
              </w:rPr>
            </w:pPr>
            <w:r w:rsidRPr="002D2F67">
              <w:rPr>
                <w:rFonts w:ascii="Arial" w:hAnsi="Arial" w:cs="Arial"/>
                <w:color w:val="000000"/>
                <w:sz w:val="20"/>
                <w:szCs w:val="20"/>
              </w:rPr>
              <w:t>-</w:t>
            </w:r>
          </w:p>
        </w:tc>
      </w:tr>
      <w:tr w:rsidR="00AE149C" w:rsidRPr="002D2F67" w14:paraId="44C9DE5C" w14:textId="77777777" w:rsidTr="005611FE">
        <w:trPr>
          <w:trHeight w:val="126"/>
        </w:trPr>
        <w:tc>
          <w:tcPr>
            <w:tcW w:w="3510" w:type="dxa"/>
            <w:shd w:val="clear" w:color="auto" w:fill="auto"/>
          </w:tcPr>
          <w:p w14:paraId="2F8BD7E6" w14:textId="77777777" w:rsidR="00AE149C" w:rsidRPr="002D2F67" w:rsidRDefault="00AE149C" w:rsidP="005611FE">
            <w:pPr>
              <w:ind w:left="252"/>
              <w:contextualSpacing/>
              <w:rPr>
                <w:rFonts w:ascii="Arial" w:hAnsi="Arial" w:cs="Arial"/>
                <w:color w:val="000000"/>
                <w:sz w:val="20"/>
                <w:szCs w:val="20"/>
              </w:rPr>
            </w:pPr>
          </w:p>
        </w:tc>
        <w:tc>
          <w:tcPr>
            <w:tcW w:w="1440" w:type="dxa"/>
            <w:tcBorders>
              <w:top w:val="single" w:sz="4" w:space="0" w:color="auto"/>
            </w:tcBorders>
            <w:shd w:val="clear" w:color="auto" w:fill="auto"/>
            <w:vAlign w:val="bottom"/>
          </w:tcPr>
          <w:p w14:paraId="22E66E7E" w14:textId="77777777" w:rsidR="00AE149C" w:rsidRPr="002D2F67" w:rsidRDefault="00AE149C" w:rsidP="005611FE">
            <w:pPr>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vAlign w:val="bottom"/>
          </w:tcPr>
          <w:p w14:paraId="7D29ACBD" w14:textId="77777777" w:rsidR="00AE149C" w:rsidRPr="002D2F67" w:rsidRDefault="00AE149C" w:rsidP="005611FE">
            <w:pPr>
              <w:ind w:right="-72"/>
              <w:contextualSpacing/>
              <w:jc w:val="right"/>
              <w:rPr>
                <w:rFonts w:ascii="Arial" w:hAnsi="Arial" w:cs="Arial"/>
                <w:color w:val="000000"/>
                <w:sz w:val="20"/>
                <w:szCs w:val="20"/>
                <w:cs/>
              </w:rPr>
            </w:pPr>
          </w:p>
        </w:tc>
        <w:tc>
          <w:tcPr>
            <w:tcW w:w="1440" w:type="dxa"/>
            <w:tcBorders>
              <w:top w:val="single" w:sz="4" w:space="0" w:color="auto"/>
            </w:tcBorders>
            <w:shd w:val="clear" w:color="auto" w:fill="auto"/>
            <w:vAlign w:val="bottom"/>
          </w:tcPr>
          <w:p w14:paraId="42D4CE1D" w14:textId="77777777" w:rsidR="00AE149C" w:rsidRPr="002D2F67" w:rsidRDefault="00AE149C" w:rsidP="005611FE">
            <w:pPr>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vAlign w:val="bottom"/>
          </w:tcPr>
          <w:p w14:paraId="78F40752" w14:textId="77777777" w:rsidR="00AE149C" w:rsidRPr="002D2F67" w:rsidRDefault="00AE149C" w:rsidP="005611FE">
            <w:pPr>
              <w:ind w:right="-72"/>
              <w:contextualSpacing/>
              <w:jc w:val="right"/>
              <w:rPr>
                <w:rFonts w:ascii="Arial" w:hAnsi="Arial" w:cs="Arial"/>
                <w:color w:val="000000"/>
                <w:sz w:val="20"/>
                <w:szCs w:val="20"/>
              </w:rPr>
            </w:pPr>
          </w:p>
        </w:tc>
      </w:tr>
      <w:tr w:rsidR="00AE149C" w:rsidRPr="002D2F67" w14:paraId="01A095B5" w14:textId="77777777" w:rsidTr="005611FE">
        <w:trPr>
          <w:trHeight w:val="126"/>
        </w:trPr>
        <w:tc>
          <w:tcPr>
            <w:tcW w:w="3510" w:type="dxa"/>
            <w:shd w:val="clear" w:color="auto" w:fill="auto"/>
          </w:tcPr>
          <w:p w14:paraId="1CE18BC6" w14:textId="2E5B3308" w:rsidR="00AE149C" w:rsidRPr="002D2F67" w:rsidRDefault="00AE149C" w:rsidP="005611FE">
            <w:pPr>
              <w:ind w:left="252"/>
              <w:contextualSpacing/>
              <w:rPr>
                <w:rFonts w:ascii="Arial" w:hAnsi="Arial" w:cs="Arial"/>
                <w:color w:val="000000"/>
                <w:sz w:val="20"/>
                <w:szCs w:val="20"/>
              </w:rPr>
            </w:pPr>
            <w:r w:rsidRPr="002D2F67">
              <w:rPr>
                <w:rFonts w:ascii="Arial" w:hAnsi="Arial" w:cs="Arial"/>
                <w:color w:val="000000"/>
                <w:spacing w:val="-8"/>
                <w:sz w:val="20"/>
                <w:szCs w:val="20"/>
              </w:rPr>
              <w:t xml:space="preserve">Other </w:t>
            </w:r>
            <w:r w:rsidR="00FF26FF" w:rsidRPr="002D2F67">
              <w:rPr>
                <w:rFonts w:ascii="Arial" w:hAnsi="Arial" w:cs="Arial"/>
                <w:color w:val="000000"/>
                <w:spacing w:val="-8"/>
                <w:sz w:val="20"/>
                <w:szCs w:val="20"/>
              </w:rPr>
              <w:t xml:space="preserve">current </w:t>
            </w:r>
            <w:r w:rsidRPr="002D2F67">
              <w:rPr>
                <w:rFonts w:ascii="Arial" w:hAnsi="Arial" w:cs="Arial"/>
                <w:color w:val="000000"/>
                <w:spacing w:val="-8"/>
                <w:sz w:val="20"/>
                <w:szCs w:val="20"/>
              </w:rPr>
              <w:t>receivables</w:t>
            </w:r>
            <w:r w:rsidRPr="002D2F67">
              <w:rPr>
                <w:rFonts w:ascii="Arial" w:hAnsi="Arial" w:cs="Arial"/>
                <w:color w:val="000000"/>
                <w:sz w:val="20"/>
                <w:szCs w:val="20"/>
              </w:rPr>
              <w:t xml:space="preserve"> (including</w:t>
            </w:r>
          </w:p>
        </w:tc>
        <w:tc>
          <w:tcPr>
            <w:tcW w:w="1440" w:type="dxa"/>
            <w:shd w:val="clear" w:color="auto" w:fill="auto"/>
            <w:vAlign w:val="bottom"/>
          </w:tcPr>
          <w:p w14:paraId="13BBEB39" w14:textId="77777777" w:rsidR="00AE149C" w:rsidRPr="002D2F67" w:rsidRDefault="00AE149C" w:rsidP="005611FE">
            <w:pPr>
              <w:ind w:right="-72"/>
              <w:contextualSpacing/>
              <w:jc w:val="right"/>
              <w:rPr>
                <w:rFonts w:ascii="Arial" w:hAnsi="Arial" w:cs="Arial"/>
                <w:color w:val="000000"/>
                <w:sz w:val="20"/>
                <w:szCs w:val="20"/>
              </w:rPr>
            </w:pPr>
          </w:p>
        </w:tc>
        <w:tc>
          <w:tcPr>
            <w:tcW w:w="1440" w:type="dxa"/>
            <w:shd w:val="clear" w:color="auto" w:fill="auto"/>
            <w:vAlign w:val="bottom"/>
          </w:tcPr>
          <w:p w14:paraId="2B3B9757" w14:textId="77777777" w:rsidR="00AE149C" w:rsidRPr="002D2F67" w:rsidRDefault="00AE149C" w:rsidP="005611FE">
            <w:pPr>
              <w:ind w:right="-72"/>
              <w:contextualSpacing/>
              <w:jc w:val="right"/>
              <w:rPr>
                <w:rFonts w:ascii="Arial" w:hAnsi="Arial" w:cs="Arial"/>
                <w:color w:val="000000"/>
                <w:sz w:val="20"/>
                <w:szCs w:val="20"/>
                <w:cs/>
              </w:rPr>
            </w:pPr>
          </w:p>
        </w:tc>
        <w:tc>
          <w:tcPr>
            <w:tcW w:w="1440" w:type="dxa"/>
            <w:shd w:val="clear" w:color="auto" w:fill="auto"/>
            <w:vAlign w:val="bottom"/>
          </w:tcPr>
          <w:p w14:paraId="2829AFD6" w14:textId="77777777" w:rsidR="00AE149C" w:rsidRPr="002D2F67" w:rsidRDefault="00AE149C" w:rsidP="005611FE">
            <w:pPr>
              <w:ind w:right="-72"/>
              <w:contextualSpacing/>
              <w:jc w:val="right"/>
              <w:rPr>
                <w:rFonts w:ascii="Arial" w:hAnsi="Arial" w:cs="Arial"/>
                <w:color w:val="000000"/>
                <w:sz w:val="20"/>
                <w:szCs w:val="20"/>
              </w:rPr>
            </w:pPr>
          </w:p>
        </w:tc>
        <w:tc>
          <w:tcPr>
            <w:tcW w:w="1440" w:type="dxa"/>
            <w:shd w:val="clear" w:color="auto" w:fill="auto"/>
            <w:vAlign w:val="bottom"/>
          </w:tcPr>
          <w:p w14:paraId="624B664D" w14:textId="77777777" w:rsidR="00AE149C" w:rsidRPr="002D2F67" w:rsidRDefault="00AE149C" w:rsidP="005611FE">
            <w:pPr>
              <w:ind w:right="-72"/>
              <w:contextualSpacing/>
              <w:jc w:val="right"/>
              <w:rPr>
                <w:rFonts w:ascii="Arial" w:hAnsi="Arial" w:cs="Arial"/>
                <w:color w:val="000000"/>
                <w:sz w:val="20"/>
                <w:szCs w:val="20"/>
              </w:rPr>
            </w:pPr>
          </w:p>
        </w:tc>
      </w:tr>
      <w:tr w:rsidR="00AE149C" w:rsidRPr="002D2F67" w14:paraId="4F45BB5B" w14:textId="77777777" w:rsidTr="005611FE">
        <w:trPr>
          <w:trHeight w:val="63"/>
        </w:trPr>
        <w:tc>
          <w:tcPr>
            <w:tcW w:w="3510" w:type="dxa"/>
            <w:shd w:val="clear" w:color="auto" w:fill="auto"/>
          </w:tcPr>
          <w:p w14:paraId="089BEC4A" w14:textId="6C102096" w:rsidR="00AE149C" w:rsidRPr="002D2F67" w:rsidRDefault="00AE149C" w:rsidP="005611FE">
            <w:pPr>
              <w:ind w:left="252"/>
              <w:contextualSpacing/>
              <w:rPr>
                <w:rFonts w:ascii="Arial" w:hAnsi="Arial" w:cs="Arial"/>
                <w:color w:val="000000"/>
                <w:sz w:val="20"/>
                <w:szCs w:val="20"/>
              </w:rPr>
            </w:pPr>
            <w:r w:rsidRPr="002D2F67">
              <w:rPr>
                <w:rFonts w:ascii="Arial" w:hAnsi="Arial" w:cs="Arial"/>
                <w:color w:val="000000"/>
                <w:sz w:val="20"/>
                <w:szCs w:val="20"/>
              </w:rPr>
              <w:t xml:space="preserve">   interest receivable (Note </w:t>
            </w:r>
            <w:r w:rsidR="00CD5714" w:rsidRPr="00CD5714">
              <w:rPr>
                <w:rFonts w:ascii="Arial" w:hAnsi="Arial" w:cs="Arial"/>
                <w:color w:val="000000"/>
                <w:sz w:val="20"/>
                <w:szCs w:val="20"/>
                <w:lang w:val="en-GB"/>
              </w:rPr>
              <w:t>42</w:t>
            </w:r>
            <w:r w:rsidRPr="002D2F67">
              <w:rPr>
                <w:rFonts w:ascii="Arial" w:hAnsi="Arial" w:cs="Arial"/>
                <w:color w:val="000000"/>
                <w:sz w:val="20"/>
                <w:szCs w:val="20"/>
              </w:rPr>
              <w:t>.</w:t>
            </w:r>
            <w:r w:rsidR="00CD5714" w:rsidRPr="00CD5714">
              <w:rPr>
                <w:rFonts w:ascii="Arial" w:hAnsi="Arial" w:cs="Arial"/>
                <w:color w:val="000000"/>
                <w:sz w:val="20"/>
                <w:szCs w:val="20"/>
                <w:lang w:val="en-GB"/>
              </w:rPr>
              <w:t>5</w:t>
            </w:r>
            <w:r w:rsidRPr="002D2F67">
              <w:rPr>
                <w:rFonts w:ascii="Arial" w:hAnsi="Arial" w:cs="Arial"/>
                <w:color w:val="000000"/>
                <w:sz w:val="20"/>
                <w:szCs w:val="20"/>
              </w:rPr>
              <w:t>))</w:t>
            </w:r>
          </w:p>
        </w:tc>
        <w:tc>
          <w:tcPr>
            <w:tcW w:w="1440" w:type="dxa"/>
            <w:shd w:val="clear" w:color="auto" w:fill="auto"/>
            <w:vAlign w:val="bottom"/>
          </w:tcPr>
          <w:p w14:paraId="60C49AD0" w14:textId="77777777" w:rsidR="00AE149C" w:rsidRPr="002D2F67" w:rsidRDefault="00AE149C" w:rsidP="005611FE">
            <w:pPr>
              <w:ind w:right="-72"/>
              <w:contextualSpacing/>
              <w:jc w:val="right"/>
              <w:rPr>
                <w:rFonts w:ascii="Arial" w:hAnsi="Arial" w:cs="Arial"/>
                <w:color w:val="000000"/>
                <w:sz w:val="20"/>
                <w:szCs w:val="20"/>
              </w:rPr>
            </w:pPr>
          </w:p>
        </w:tc>
        <w:tc>
          <w:tcPr>
            <w:tcW w:w="1440" w:type="dxa"/>
            <w:shd w:val="clear" w:color="auto" w:fill="auto"/>
            <w:vAlign w:val="bottom"/>
          </w:tcPr>
          <w:p w14:paraId="71741149" w14:textId="77777777" w:rsidR="00AE149C" w:rsidRPr="002D2F67" w:rsidRDefault="00AE149C" w:rsidP="005611FE">
            <w:pPr>
              <w:ind w:right="-72"/>
              <w:contextualSpacing/>
              <w:jc w:val="right"/>
              <w:rPr>
                <w:rFonts w:ascii="Arial" w:hAnsi="Arial" w:cs="Arial"/>
                <w:color w:val="000000"/>
                <w:sz w:val="20"/>
                <w:szCs w:val="20"/>
                <w:cs/>
              </w:rPr>
            </w:pPr>
          </w:p>
        </w:tc>
        <w:tc>
          <w:tcPr>
            <w:tcW w:w="1440" w:type="dxa"/>
            <w:shd w:val="clear" w:color="auto" w:fill="auto"/>
            <w:vAlign w:val="bottom"/>
          </w:tcPr>
          <w:p w14:paraId="0CC81F73" w14:textId="77777777" w:rsidR="00AE149C" w:rsidRPr="002D2F67" w:rsidRDefault="00AE149C" w:rsidP="005611FE">
            <w:pPr>
              <w:ind w:right="-72"/>
              <w:contextualSpacing/>
              <w:jc w:val="right"/>
              <w:rPr>
                <w:rFonts w:ascii="Arial" w:hAnsi="Arial" w:cs="Arial"/>
                <w:color w:val="000000"/>
                <w:sz w:val="20"/>
                <w:szCs w:val="20"/>
              </w:rPr>
            </w:pPr>
          </w:p>
        </w:tc>
        <w:tc>
          <w:tcPr>
            <w:tcW w:w="1440" w:type="dxa"/>
            <w:shd w:val="clear" w:color="auto" w:fill="auto"/>
            <w:vAlign w:val="bottom"/>
          </w:tcPr>
          <w:p w14:paraId="746B310D" w14:textId="77777777" w:rsidR="00AE149C" w:rsidRPr="002D2F67" w:rsidRDefault="00AE149C" w:rsidP="005611FE">
            <w:pPr>
              <w:ind w:right="-72"/>
              <w:contextualSpacing/>
              <w:jc w:val="right"/>
              <w:rPr>
                <w:rFonts w:ascii="Arial" w:hAnsi="Arial" w:cs="Arial"/>
                <w:color w:val="000000"/>
                <w:sz w:val="20"/>
                <w:szCs w:val="20"/>
              </w:rPr>
            </w:pPr>
          </w:p>
        </w:tc>
      </w:tr>
      <w:tr w:rsidR="00AE149C" w:rsidRPr="002D2F67" w14:paraId="648F12C7" w14:textId="77777777" w:rsidTr="005611FE">
        <w:trPr>
          <w:trHeight w:val="126"/>
        </w:trPr>
        <w:tc>
          <w:tcPr>
            <w:tcW w:w="3510" w:type="dxa"/>
            <w:shd w:val="clear" w:color="auto" w:fill="auto"/>
          </w:tcPr>
          <w:p w14:paraId="413160CF" w14:textId="77777777" w:rsidR="00AE149C" w:rsidRPr="002D2F67" w:rsidRDefault="00AE149C" w:rsidP="005611FE">
            <w:pPr>
              <w:ind w:left="252"/>
              <w:contextualSpacing/>
              <w:rPr>
                <w:rFonts w:ascii="Arial" w:hAnsi="Arial" w:cs="Arial"/>
                <w:color w:val="000000"/>
                <w:sz w:val="20"/>
                <w:szCs w:val="20"/>
              </w:rPr>
            </w:pPr>
            <w:r w:rsidRPr="002D2F67">
              <w:rPr>
                <w:rFonts w:ascii="Arial" w:hAnsi="Arial" w:cs="Arial"/>
                <w:color w:val="000000"/>
                <w:sz w:val="20"/>
                <w:szCs w:val="20"/>
              </w:rPr>
              <w:t xml:space="preserve">   - Subsidiaries</w:t>
            </w:r>
          </w:p>
        </w:tc>
        <w:tc>
          <w:tcPr>
            <w:tcW w:w="1440" w:type="dxa"/>
            <w:shd w:val="clear" w:color="auto" w:fill="auto"/>
            <w:vAlign w:val="bottom"/>
          </w:tcPr>
          <w:p w14:paraId="1E5BBB5E" w14:textId="1365D6F3" w:rsidR="00AE149C" w:rsidRPr="002D2F67" w:rsidRDefault="004C1B8E" w:rsidP="005611FE">
            <w:pPr>
              <w:ind w:right="-72"/>
              <w:contextualSpacing/>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vAlign w:val="bottom"/>
          </w:tcPr>
          <w:p w14:paraId="402FDAA4" w14:textId="0A502BCD" w:rsidR="00AE149C" w:rsidRPr="002D2F67" w:rsidRDefault="00AE149C" w:rsidP="005611FE">
            <w:pPr>
              <w:ind w:right="-72"/>
              <w:contextualSpacing/>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vAlign w:val="bottom"/>
          </w:tcPr>
          <w:p w14:paraId="06E3A916" w14:textId="24ED062D" w:rsidR="00AE149C" w:rsidRPr="002D2F67" w:rsidRDefault="00CD5714" w:rsidP="005611FE">
            <w:pPr>
              <w:ind w:right="-72"/>
              <w:contextualSpacing/>
              <w:jc w:val="right"/>
              <w:rPr>
                <w:rFonts w:ascii="Arial" w:hAnsi="Arial" w:cs="Arial"/>
                <w:color w:val="000000"/>
                <w:sz w:val="20"/>
                <w:szCs w:val="20"/>
              </w:rPr>
            </w:pPr>
            <w:r w:rsidRPr="00CD5714">
              <w:rPr>
                <w:rFonts w:ascii="Arial" w:hAnsi="Arial" w:cs="Arial"/>
                <w:color w:val="000000"/>
                <w:sz w:val="20"/>
                <w:szCs w:val="20"/>
                <w:lang w:val="en-GB"/>
              </w:rPr>
              <w:t>2</w:t>
            </w:r>
            <w:r w:rsidR="00AD4283" w:rsidRPr="002D2F67">
              <w:rPr>
                <w:rFonts w:ascii="Arial" w:hAnsi="Arial" w:cs="Arial"/>
                <w:color w:val="000000"/>
                <w:sz w:val="20"/>
                <w:szCs w:val="20"/>
              </w:rPr>
              <w:t>,</w:t>
            </w:r>
            <w:r w:rsidRPr="00CD5714">
              <w:rPr>
                <w:rFonts w:ascii="Arial" w:hAnsi="Arial" w:cs="Arial"/>
                <w:color w:val="000000"/>
                <w:sz w:val="20"/>
                <w:szCs w:val="20"/>
                <w:lang w:val="en-GB"/>
              </w:rPr>
              <w:t>324</w:t>
            </w:r>
            <w:r w:rsidR="00AD4283" w:rsidRPr="002D2F67">
              <w:rPr>
                <w:rFonts w:ascii="Arial" w:hAnsi="Arial" w:cs="Arial"/>
                <w:color w:val="000000"/>
                <w:sz w:val="20"/>
                <w:szCs w:val="20"/>
              </w:rPr>
              <w:t>,</w:t>
            </w:r>
            <w:r w:rsidRPr="00CD5714">
              <w:rPr>
                <w:rFonts w:ascii="Arial" w:hAnsi="Arial" w:cs="Arial"/>
                <w:color w:val="000000"/>
                <w:sz w:val="20"/>
                <w:szCs w:val="20"/>
                <w:lang w:val="en-GB"/>
              </w:rPr>
              <w:t>026</w:t>
            </w:r>
          </w:p>
        </w:tc>
        <w:tc>
          <w:tcPr>
            <w:tcW w:w="1440" w:type="dxa"/>
            <w:shd w:val="clear" w:color="auto" w:fill="auto"/>
            <w:vAlign w:val="bottom"/>
          </w:tcPr>
          <w:p w14:paraId="66DA6CDC" w14:textId="09714A44" w:rsidR="00AE149C" w:rsidRPr="002D2F67" w:rsidRDefault="00CD5714" w:rsidP="005611FE">
            <w:pPr>
              <w:ind w:right="-72"/>
              <w:contextualSpacing/>
              <w:jc w:val="right"/>
              <w:rPr>
                <w:rFonts w:ascii="Arial" w:hAnsi="Arial" w:cs="Arial"/>
                <w:color w:val="000000"/>
                <w:sz w:val="20"/>
                <w:szCs w:val="20"/>
              </w:rPr>
            </w:pPr>
            <w:r w:rsidRPr="00CD5714">
              <w:rPr>
                <w:rFonts w:ascii="Arial" w:hAnsi="Arial" w:cs="Arial"/>
                <w:color w:val="000000"/>
                <w:sz w:val="20"/>
                <w:szCs w:val="20"/>
                <w:lang w:val="en-GB"/>
              </w:rPr>
              <w:t>3</w:t>
            </w:r>
            <w:r w:rsidR="00AE149C" w:rsidRPr="002D2F67">
              <w:rPr>
                <w:rFonts w:ascii="Arial" w:hAnsi="Arial" w:cs="Arial"/>
                <w:color w:val="000000"/>
                <w:sz w:val="20"/>
                <w:szCs w:val="20"/>
              </w:rPr>
              <w:t>,</w:t>
            </w:r>
            <w:r w:rsidRPr="00CD5714">
              <w:rPr>
                <w:rFonts w:ascii="Arial" w:hAnsi="Arial" w:cs="Arial"/>
                <w:color w:val="000000"/>
                <w:sz w:val="20"/>
                <w:szCs w:val="20"/>
                <w:lang w:val="en-GB"/>
              </w:rPr>
              <w:t>364</w:t>
            </w:r>
            <w:r w:rsidR="00AE149C" w:rsidRPr="002D2F67">
              <w:rPr>
                <w:rFonts w:ascii="Arial" w:hAnsi="Arial" w:cs="Arial"/>
                <w:color w:val="000000"/>
                <w:sz w:val="20"/>
                <w:szCs w:val="20"/>
              </w:rPr>
              <w:t>,</w:t>
            </w:r>
            <w:r w:rsidRPr="00CD5714">
              <w:rPr>
                <w:rFonts w:ascii="Arial" w:hAnsi="Arial" w:cs="Arial"/>
                <w:color w:val="000000"/>
                <w:sz w:val="20"/>
                <w:szCs w:val="20"/>
                <w:lang w:val="en-GB"/>
              </w:rPr>
              <w:t>624</w:t>
            </w:r>
          </w:p>
        </w:tc>
      </w:tr>
      <w:tr w:rsidR="00AE149C" w:rsidRPr="002D2F67" w14:paraId="16732C2B" w14:textId="77777777" w:rsidTr="005611FE">
        <w:trPr>
          <w:trHeight w:val="126"/>
        </w:trPr>
        <w:tc>
          <w:tcPr>
            <w:tcW w:w="3510" w:type="dxa"/>
            <w:shd w:val="clear" w:color="auto" w:fill="auto"/>
          </w:tcPr>
          <w:p w14:paraId="5CD4657B" w14:textId="73844317" w:rsidR="00AE149C" w:rsidRPr="002D2F67" w:rsidRDefault="00AE149C" w:rsidP="005611FE">
            <w:pPr>
              <w:ind w:left="252"/>
              <w:contextualSpacing/>
              <w:rPr>
                <w:rFonts w:ascii="Arial" w:hAnsi="Arial" w:cs="Arial"/>
                <w:color w:val="000000"/>
                <w:sz w:val="20"/>
                <w:szCs w:val="20"/>
              </w:rPr>
            </w:pPr>
            <w:r w:rsidRPr="002D2F67">
              <w:rPr>
                <w:rFonts w:ascii="Arial" w:hAnsi="Arial" w:cs="Arial"/>
                <w:color w:val="000000"/>
                <w:sz w:val="20"/>
                <w:szCs w:val="20"/>
              </w:rPr>
              <w:t xml:space="preserve">   - Associates</w:t>
            </w:r>
          </w:p>
        </w:tc>
        <w:tc>
          <w:tcPr>
            <w:tcW w:w="1440" w:type="dxa"/>
            <w:tcBorders>
              <w:bottom w:val="single" w:sz="4" w:space="0" w:color="auto"/>
            </w:tcBorders>
            <w:shd w:val="clear" w:color="auto" w:fill="auto"/>
            <w:vAlign w:val="bottom"/>
          </w:tcPr>
          <w:p w14:paraId="5B45FBC5" w14:textId="0FBA9243" w:rsidR="00AE149C" w:rsidRPr="002D2F67" w:rsidRDefault="00CD5714" w:rsidP="005611FE">
            <w:pPr>
              <w:ind w:right="-72"/>
              <w:contextualSpacing/>
              <w:jc w:val="right"/>
              <w:rPr>
                <w:rFonts w:ascii="Arial" w:hAnsi="Arial" w:cs="Arial"/>
                <w:color w:val="000000"/>
                <w:sz w:val="20"/>
                <w:szCs w:val="20"/>
              </w:rPr>
            </w:pPr>
            <w:r w:rsidRPr="00CD5714">
              <w:rPr>
                <w:rFonts w:ascii="Arial" w:hAnsi="Arial" w:cs="Arial"/>
                <w:color w:val="000000"/>
                <w:sz w:val="20"/>
                <w:szCs w:val="20"/>
                <w:lang w:val="en-GB"/>
              </w:rPr>
              <w:t>215</w:t>
            </w:r>
            <w:r w:rsidR="00AD4283" w:rsidRPr="002D2F67">
              <w:rPr>
                <w:rFonts w:ascii="Arial" w:hAnsi="Arial" w:cs="Arial"/>
                <w:color w:val="000000"/>
                <w:sz w:val="20"/>
                <w:szCs w:val="20"/>
              </w:rPr>
              <w:t>,</w:t>
            </w:r>
            <w:r w:rsidRPr="00CD5714">
              <w:rPr>
                <w:rFonts w:ascii="Arial" w:hAnsi="Arial" w:cs="Arial"/>
                <w:color w:val="000000"/>
                <w:sz w:val="20"/>
                <w:szCs w:val="20"/>
                <w:lang w:val="en-GB"/>
              </w:rPr>
              <w:t>667</w:t>
            </w:r>
          </w:p>
        </w:tc>
        <w:tc>
          <w:tcPr>
            <w:tcW w:w="1440" w:type="dxa"/>
            <w:tcBorders>
              <w:bottom w:val="single" w:sz="4" w:space="0" w:color="auto"/>
            </w:tcBorders>
            <w:shd w:val="clear" w:color="auto" w:fill="auto"/>
            <w:vAlign w:val="bottom"/>
          </w:tcPr>
          <w:p w14:paraId="26D89779" w14:textId="59A37900" w:rsidR="00AE149C" w:rsidRPr="002D2F67" w:rsidRDefault="00CD5714" w:rsidP="005611FE">
            <w:pPr>
              <w:ind w:right="-72"/>
              <w:contextualSpacing/>
              <w:jc w:val="right"/>
              <w:rPr>
                <w:rFonts w:ascii="Arial" w:hAnsi="Arial" w:cs="Arial"/>
                <w:color w:val="000000"/>
                <w:sz w:val="20"/>
                <w:szCs w:val="20"/>
              </w:rPr>
            </w:pPr>
            <w:r w:rsidRPr="00CD5714">
              <w:rPr>
                <w:rFonts w:ascii="Arial" w:hAnsi="Arial" w:cs="Arial"/>
                <w:color w:val="000000"/>
                <w:sz w:val="20"/>
                <w:szCs w:val="20"/>
                <w:lang w:val="en-GB"/>
              </w:rPr>
              <w:t>47</w:t>
            </w:r>
            <w:r w:rsidR="00AE149C" w:rsidRPr="002D2F67">
              <w:rPr>
                <w:rFonts w:ascii="Arial" w:hAnsi="Arial" w:cs="Arial"/>
                <w:color w:val="000000"/>
                <w:sz w:val="20"/>
                <w:szCs w:val="20"/>
              </w:rPr>
              <w:t>,</w:t>
            </w:r>
            <w:r w:rsidRPr="00CD5714">
              <w:rPr>
                <w:rFonts w:ascii="Arial" w:hAnsi="Arial" w:cs="Arial"/>
                <w:color w:val="000000"/>
                <w:sz w:val="20"/>
                <w:szCs w:val="20"/>
                <w:lang w:val="en-GB"/>
              </w:rPr>
              <w:t>302</w:t>
            </w:r>
          </w:p>
        </w:tc>
        <w:tc>
          <w:tcPr>
            <w:tcW w:w="1440" w:type="dxa"/>
            <w:tcBorders>
              <w:bottom w:val="single" w:sz="4" w:space="0" w:color="auto"/>
            </w:tcBorders>
            <w:shd w:val="clear" w:color="auto" w:fill="auto"/>
            <w:vAlign w:val="bottom"/>
          </w:tcPr>
          <w:p w14:paraId="5E37CDCE" w14:textId="647C0931" w:rsidR="00AE149C" w:rsidRPr="002D2F67" w:rsidRDefault="004C1B8E" w:rsidP="005611FE">
            <w:pPr>
              <w:ind w:right="-72"/>
              <w:contextualSpacing/>
              <w:jc w:val="right"/>
              <w:rPr>
                <w:rFonts w:ascii="Arial" w:hAnsi="Arial" w:cs="Arial"/>
                <w:color w:val="000000"/>
                <w:sz w:val="20"/>
                <w:szCs w:val="20"/>
              </w:rPr>
            </w:pPr>
            <w:r w:rsidRPr="002D2F67">
              <w:rPr>
                <w:rFonts w:ascii="Arial" w:hAnsi="Arial" w:cs="Arial"/>
                <w:color w:val="000000"/>
                <w:sz w:val="20"/>
                <w:szCs w:val="20"/>
              </w:rPr>
              <w:t>-</w:t>
            </w:r>
          </w:p>
        </w:tc>
        <w:tc>
          <w:tcPr>
            <w:tcW w:w="1440" w:type="dxa"/>
            <w:tcBorders>
              <w:bottom w:val="single" w:sz="4" w:space="0" w:color="auto"/>
            </w:tcBorders>
            <w:shd w:val="clear" w:color="auto" w:fill="auto"/>
            <w:vAlign w:val="bottom"/>
          </w:tcPr>
          <w:p w14:paraId="1DDF314D" w14:textId="6F2F27AD" w:rsidR="00AE149C" w:rsidRPr="002D2F67" w:rsidRDefault="00AE149C" w:rsidP="005611FE">
            <w:pPr>
              <w:ind w:right="-72"/>
              <w:contextualSpacing/>
              <w:jc w:val="right"/>
              <w:rPr>
                <w:rFonts w:ascii="Arial" w:hAnsi="Arial" w:cs="Arial"/>
                <w:color w:val="000000"/>
                <w:sz w:val="20"/>
                <w:szCs w:val="20"/>
              </w:rPr>
            </w:pPr>
            <w:r w:rsidRPr="002D2F67">
              <w:rPr>
                <w:rFonts w:ascii="Arial" w:hAnsi="Arial" w:cs="Arial"/>
                <w:color w:val="000000"/>
                <w:sz w:val="20"/>
                <w:szCs w:val="20"/>
              </w:rPr>
              <w:t>-</w:t>
            </w:r>
          </w:p>
        </w:tc>
      </w:tr>
      <w:tr w:rsidR="00AE149C" w:rsidRPr="002D2F67" w14:paraId="79B71AA2" w14:textId="77777777" w:rsidTr="005611FE">
        <w:trPr>
          <w:trHeight w:val="126"/>
        </w:trPr>
        <w:tc>
          <w:tcPr>
            <w:tcW w:w="3510" w:type="dxa"/>
            <w:shd w:val="clear" w:color="auto" w:fill="auto"/>
          </w:tcPr>
          <w:p w14:paraId="5FD05AD8" w14:textId="77777777" w:rsidR="00AE149C" w:rsidRPr="002D2F67" w:rsidRDefault="00AE149C" w:rsidP="005611FE">
            <w:pPr>
              <w:ind w:left="252"/>
              <w:contextualSpacing/>
              <w:rPr>
                <w:rFonts w:ascii="Arial" w:hAnsi="Arial" w:cs="Arial"/>
                <w:color w:val="000000"/>
                <w:sz w:val="20"/>
                <w:szCs w:val="20"/>
              </w:rPr>
            </w:pPr>
          </w:p>
        </w:tc>
        <w:tc>
          <w:tcPr>
            <w:tcW w:w="1440" w:type="dxa"/>
            <w:tcBorders>
              <w:top w:val="single" w:sz="4" w:space="0" w:color="auto"/>
            </w:tcBorders>
            <w:shd w:val="clear" w:color="auto" w:fill="auto"/>
          </w:tcPr>
          <w:p w14:paraId="573A08A7" w14:textId="77777777" w:rsidR="00AE149C" w:rsidRPr="002D2F67" w:rsidRDefault="00AE149C" w:rsidP="005611FE">
            <w:pPr>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686AD5FE" w14:textId="77777777" w:rsidR="00AE149C" w:rsidRPr="002D2F67" w:rsidRDefault="00AE149C" w:rsidP="005611FE">
            <w:pPr>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65A05D9E" w14:textId="77777777" w:rsidR="00AE149C" w:rsidRPr="002D2F67" w:rsidRDefault="00AE149C" w:rsidP="005611FE">
            <w:pPr>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54346943" w14:textId="77777777" w:rsidR="00AE149C" w:rsidRPr="002D2F67" w:rsidRDefault="00AE149C" w:rsidP="005611FE">
            <w:pPr>
              <w:ind w:right="-72"/>
              <w:contextualSpacing/>
              <w:jc w:val="right"/>
              <w:rPr>
                <w:rFonts w:ascii="Arial" w:hAnsi="Arial" w:cs="Arial"/>
                <w:color w:val="000000"/>
                <w:sz w:val="20"/>
                <w:szCs w:val="20"/>
              </w:rPr>
            </w:pPr>
          </w:p>
        </w:tc>
      </w:tr>
      <w:tr w:rsidR="00AE149C" w:rsidRPr="002D2F67" w14:paraId="2391D9F1" w14:textId="77777777" w:rsidTr="005611FE">
        <w:trPr>
          <w:trHeight w:val="126"/>
        </w:trPr>
        <w:tc>
          <w:tcPr>
            <w:tcW w:w="3510" w:type="dxa"/>
            <w:shd w:val="clear" w:color="auto" w:fill="auto"/>
          </w:tcPr>
          <w:p w14:paraId="06878780" w14:textId="325796E1" w:rsidR="00AE149C" w:rsidRPr="002D2F67" w:rsidRDefault="00AE149C" w:rsidP="005611FE">
            <w:pPr>
              <w:ind w:left="252"/>
              <w:contextualSpacing/>
              <w:jc w:val="both"/>
              <w:rPr>
                <w:rFonts w:ascii="Arial" w:hAnsi="Arial" w:cs="Arial"/>
                <w:color w:val="000000"/>
                <w:sz w:val="20"/>
                <w:szCs w:val="20"/>
                <w:lang w:val="en-AU"/>
              </w:rPr>
            </w:pPr>
            <w:r w:rsidRPr="002D2F67">
              <w:rPr>
                <w:rFonts w:ascii="Arial" w:hAnsi="Arial" w:cs="Arial"/>
                <w:color w:val="000000"/>
                <w:sz w:val="20"/>
                <w:szCs w:val="20"/>
              </w:rPr>
              <w:t>Instalment receivables</w:t>
            </w:r>
          </w:p>
        </w:tc>
        <w:tc>
          <w:tcPr>
            <w:tcW w:w="1440" w:type="dxa"/>
            <w:shd w:val="clear" w:color="auto" w:fill="auto"/>
          </w:tcPr>
          <w:p w14:paraId="1865DD2B" w14:textId="77777777" w:rsidR="00AE149C" w:rsidRPr="002D2F67" w:rsidRDefault="00AE149C" w:rsidP="005611FE">
            <w:pPr>
              <w:ind w:right="-72"/>
              <w:contextualSpacing/>
              <w:jc w:val="right"/>
              <w:rPr>
                <w:rFonts w:ascii="Arial" w:hAnsi="Arial" w:cs="Arial"/>
                <w:color w:val="000000"/>
                <w:sz w:val="20"/>
                <w:szCs w:val="20"/>
              </w:rPr>
            </w:pPr>
          </w:p>
        </w:tc>
        <w:tc>
          <w:tcPr>
            <w:tcW w:w="1440" w:type="dxa"/>
            <w:shd w:val="clear" w:color="auto" w:fill="auto"/>
          </w:tcPr>
          <w:p w14:paraId="16E27FC8" w14:textId="77777777" w:rsidR="00AE149C" w:rsidRPr="002D2F67" w:rsidRDefault="00AE149C" w:rsidP="005611FE">
            <w:pPr>
              <w:ind w:right="-72"/>
              <w:contextualSpacing/>
              <w:jc w:val="right"/>
              <w:rPr>
                <w:rFonts w:ascii="Arial" w:hAnsi="Arial" w:cs="Arial"/>
                <w:color w:val="000000"/>
                <w:sz w:val="20"/>
                <w:szCs w:val="20"/>
              </w:rPr>
            </w:pPr>
          </w:p>
        </w:tc>
        <w:tc>
          <w:tcPr>
            <w:tcW w:w="1440" w:type="dxa"/>
            <w:shd w:val="clear" w:color="auto" w:fill="auto"/>
          </w:tcPr>
          <w:p w14:paraId="0A4CE83D" w14:textId="77777777" w:rsidR="00AE149C" w:rsidRPr="002D2F67" w:rsidRDefault="00AE149C" w:rsidP="005611FE">
            <w:pPr>
              <w:ind w:right="-72"/>
              <w:contextualSpacing/>
              <w:jc w:val="right"/>
              <w:rPr>
                <w:rFonts w:ascii="Arial" w:hAnsi="Arial" w:cs="Arial"/>
                <w:color w:val="000000"/>
                <w:sz w:val="20"/>
                <w:szCs w:val="20"/>
              </w:rPr>
            </w:pPr>
          </w:p>
        </w:tc>
        <w:tc>
          <w:tcPr>
            <w:tcW w:w="1440" w:type="dxa"/>
            <w:shd w:val="clear" w:color="auto" w:fill="auto"/>
          </w:tcPr>
          <w:p w14:paraId="437611B3" w14:textId="77777777" w:rsidR="00AE149C" w:rsidRPr="002D2F67" w:rsidRDefault="00AE149C" w:rsidP="005611FE">
            <w:pPr>
              <w:ind w:right="-72"/>
              <w:contextualSpacing/>
              <w:jc w:val="right"/>
              <w:rPr>
                <w:rFonts w:ascii="Arial" w:hAnsi="Arial" w:cs="Arial"/>
                <w:color w:val="000000"/>
                <w:sz w:val="20"/>
                <w:szCs w:val="20"/>
              </w:rPr>
            </w:pPr>
          </w:p>
        </w:tc>
      </w:tr>
      <w:tr w:rsidR="00AE149C" w:rsidRPr="002D2F67" w14:paraId="39806F15" w14:textId="77777777" w:rsidTr="005611FE">
        <w:trPr>
          <w:trHeight w:val="126"/>
        </w:trPr>
        <w:tc>
          <w:tcPr>
            <w:tcW w:w="3510" w:type="dxa"/>
            <w:shd w:val="clear" w:color="auto" w:fill="auto"/>
          </w:tcPr>
          <w:p w14:paraId="2D62CB31" w14:textId="1F6C28F0" w:rsidR="00AE149C" w:rsidRPr="002D2F67" w:rsidRDefault="00AE149C" w:rsidP="005611FE">
            <w:pPr>
              <w:ind w:left="252"/>
              <w:contextualSpacing/>
              <w:jc w:val="both"/>
              <w:rPr>
                <w:rFonts w:ascii="Arial" w:hAnsi="Arial" w:cs="Arial"/>
                <w:color w:val="000000"/>
                <w:sz w:val="20"/>
                <w:szCs w:val="20"/>
              </w:rPr>
            </w:pPr>
            <w:r w:rsidRPr="002D2F67">
              <w:rPr>
                <w:rFonts w:ascii="Arial" w:hAnsi="Arial" w:cs="Arial"/>
                <w:color w:val="000000"/>
                <w:sz w:val="20"/>
                <w:szCs w:val="20"/>
              </w:rPr>
              <w:t xml:space="preserve">   - Associates</w:t>
            </w:r>
          </w:p>
        </w:tc>
        <w:tc>
          <w:tcPr>
            <w:tcW w:w="1440" w:type="dxa"/>
            <w:tcBorders>
              <w:bottom w:val="single" w:sz="4" w:space="0" w:color="auto"/>
            </w:tcBorders>
            <w:shd w:val="clear" w:color="auto" w:fill="auto"/>
            <w:vAlign w:val="bottom"/>
          </w:tcPr>
          <w:p w14:paraId="4219EC12" w14:textId="7AC1E360" w:rsidR="00AE149C" w:rsidRPr="002D2F67" w:rsidRDefault="00CD5714" w:rsidP="005611FE">
            <w:pPr>
              <w:ind w:right="-72"/>
              <w:contextualSpacing/>
              <w:jc w:val="right"/>
              <w:rPr>
                <w:rFonts w:ascii="Arial" w:hAnsi="Arial" w:cs="Arial"/>
                <w:color w:val="000000"/>
                <w:sz w:val="20"/>
                <w:szCs w:val="20"/>
              </w:rPr>
            </w:pPr>
            <w:r w:rsidRPr="00CD5714">
              <w:rPr>
                <w:rFonts w:ascii="Arial" w:hAnsi="Arial" w:cs="Arial"/>
                <w:color w:val="000000"/>
                <w:sz w:val="20"/>
                <w:szCs w:val="20"/>
                <w:lang w:val="en-GB"/>
              </w:rPr>
              <w:t>92</w:t>
            </w:r>
            <w:r w:rsidR="004C1B8E" w:rsidRPr="002D2F67">
              <w:rPr>
                <w:rFonts w:ascii="Arial" w:hAnsi="Arial" w:cs="Arial"/>
                <w:color w:val="000000"/>
                <w:sz w:val="20"/>
                <w:szCs w:val="20"/>
              </w:rPr>
              <w:t>,</w:t>
            </w:r>
            <w:r w:rsidRPr="00CD5714">
              <w:rPr>
                <w:rFonts w:ascii="Arial" w:hAnsi="Arial" w:cs="Arial"/>
                <w:color w:val="000000"/>
                <w:sz w:val="20"/>
                <w:szCs w:val="20"/>
                <w:lang w:val="en-GB"/>
              </w:rPr>
              <w:t>526</w:t>
            </w:r>
          </w:p>
        </w:tc>
        <w:tc>
          <w:tcPr>
            <w:tcW w:w="1440" w:type="dxa"/>
            <w:tcBorders>
              <w:bottom w:val="single" w:sz="4" w:space="0" w:color="auto"/>
            </w:tcBorders>
            <w:shd w:val="clear" w:color="auto" w:fill="auto"/>
            <w:vAlign w:val="bottom"/>
          </w:tcPr>
          <w:p w14:paraId="77823D23" w14:textId="3004BC8C" w:rsidR="00AE149C" w:rsidRPr="002D2F67" w:rsidRDefault="00CD5714" w:rsidP="005611FE">
            <w:pPr>
              <w:ind w:right="-72"/>
              <w:contextualSpacing/>
              <w:jc w:val="right"/>
              <w:rPr>
                <w:rFonts w:ascii="Arial" w:hAnsi="Arial" w:cs="Arial"/>
                <w:color w:val="000000"/>
                <w:sz w:val="20"/>
                <w:szCs w:val="20"/>
              </w:rPr>
            </w:pPr>
            <w:r w:rsidRPr="00CD5714">
              <w:rPr>
                <w:rFonts w:ascii="Arial" w:hAnsi="Arial" w:cs="Arial"/>
                <w:color w:val="000000"/>
                <w:sz w:val="20"/>
                <w:szCs w:val="20"/>
                <w:lang w:val="en-GB"/>
              </w:rPr>
              <w:t>437</w:t>
            </w:r>
            <w:r w:rsidR="00AE149C" w:rsidRPr="002D2F67">
              <w:rPr>
                <w:rFonts w:ascii="Arial" w:hAnsi="Arial" w:cs="Arial"/>
                <w:color w:val="000000"/>
                <w:sz w:val="20"/>
                <w:szCs w:val="20"/>
              </w:rPr>
              <w:t>,</w:t>
            </w:r>
            <w:r w:rsidRPr="00CD5714">
              <w:rPr>
                <w:rFonts w:ascii="Arial" w:hAnsi="Arial" w:cs="Arial"/>
                <w:color w:val="000000"/>
                <w:sz w:val="20"/>
                <w:szCs w:val="20"/>
                <w:lang w:val="en-GB"/>
              </w:rPr>
              <w:t>151</w:t>
            </w:r>
          </w:p>
        </w:tc>
        <w:tc>
          <w:tcPr>
            <w:tcW w:w="1440" w:type="dxa"/>
            <w:tcBorders>
              <w:bottom w:val="single" w:sz="4" w:space="0" w:color="auto"/>
            </w:tcBorders>
            <w:shd w:val="clear" w:color="auto" w:fill="auto"/>
            <w:vAlign w:val="bottom"/>
          </w:tcPr>
          <w:p w14:paraId="5A70564F" w14:textId="72313CC1" w:rsidR="00AE149C" w:rsidRPr="002D2F67" w:rsidRDefault="004C1B8E" w:rsidP="005611FE">
            <w:pPr>
              <w:ind w:right="-72"/>
              <w:contextualSpacing/>
              <w:jc w:val="right"/>
              <w:rPr>
                <w:rFonts w:ascii="Arial" w:hAnsi="Arial" w:cs="Arial"/>
                <w:color w:val="000000"/>
                <w:sz w:val="20"/>
                <w:szCs w:val="20"/>
              </w:rPr>
            </w:pPr>
            <w:r w:rsidRPr="002D2F67">
              <w:rPr>
                <w:rFonts w:ascii="Arial" w:hAnsi="Arial" w:cs="Arial"/>
                <w:color w:val="000000"/>
                <w:sz w:val="20"/>
                <w:szCs w:val="20"/>
              </w:rPr>
              <w:t>-</w:t>
            </w:r>
          </w:p>
        </w:tc>
        <w:tc>
          <w:tcPr>
            <w:tcW w:w="1440" w:type="dxa"/>
            <w:tcBorders>
              <w:bottom w:val="single" w:sz="4" w:space="0" w:color="auto"/>
            </w:tcBorders>
            <w:shd w:val="clear" w:color="auto" w:fill="auto"/>
            <w:vAlign w:val="bottom"/>
          </w:tcPr>
          <w:p w14:paraId="22ABF270" w14:textId="708E265E" w:rsidR="00AE149C" w:rsidRPr="002D2F67" w:rsidRDefault="00AE149C" w:rsidP="005611FE">
            <w:pPr>
              <w:ind w:right="-72"/>
              <w:contextualSpacing/>
              <w:jc w:val="right"/>
              <w:rPr>
                <w:rFonts w:ascii="Arial" w:hAnsi="Arial" w:cs="Arial"/>
                <w:color w:val="000000"/>
                <w:sz w:val="20"/>
                <w:szCs w:val="20"/>
              </w:rPr>
            </w:pPr>
            <w:r w:rsidRPr="002D2F67">
              <w:rPr>
                <w:rFonts w:ascii="Arial" w:hAnsi="Arial" w:cs="Arial"/>
                <w:color w:val="000000"/>
                <w:sz w:val="20"/>
                <w:szCs w:val="20"/>
              </w:rPr>
              <w:t>-</w:t>
            </w:r>
          </w:p>
        </w:tc>
      </w:tr>
      <w:tr w:rsidR="00AE149C" w:rsidRPr="002D2F67" w14:paraId="1E98E117" w14:textId="77777777" w:rsidTr="005611FE">
        <w:trPr>
          <w:trHeight w:val="126"/>
        </w:trPr>
        <w:tc>
          <w:tcPr>
            <w:tcW w:w="3510" w:type="dxa"/>
            <w:shd w:val="clear" w:color="auto" w:fill="auto"/>
          </w:tcPr>
          <w:p w14:paraId="6807D99B" w14:textId="77777777" w:rsidR="00AE149C" w:rsidRPr="002D2F67" w:rsidRDefault="00AE149C" w:rsidP="005611FE">
            <w:pPr>
              <w:ind w:left="252"/>
              <w:contextualSpacing/>
              <w:jc w:val="both"/>
              <w:rPr>
                <w:rFonts w:ascii="Arial" w:hAnsi="Arial" w:cs="Arial"/>
                <w:color w:val="000000"/>
                <w:sz w:val="20"/>
                <w:szCs w:val="20"/>
              </w:rPr>
            </w:pPr>
          </w:p>
        </w:tc>
        <w:tc>
          <w:tcPr>
            <w:tcW w:w="1440" w:type="dxa"/>
            <w:tcBorders>
              <w:top w:val="single" w:sz="4" w:space="0" w:color="auto"/>
            </w:tcBorders>
            <w:shd w:val="clear" w:color="auto" w:fill="auto"/>
          </w:tcPr>
          <w:p w14:paraId="1033F391" w14:textId="77777777" w:rsidR="00AE149C" w:rsidRPr="002D2F67" w:rsidRDefault="00AE149C" w:rsidP="005611FE">
            <w:pPr>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3413B680" w14:textId="77777777" w:rsidR="00AE149C" w:rsidRPr="002D2F67" w:rsidRDefault="00AE149C" w:rsidP="005611FE">
            <w:pPr>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734D2882" w14:textId="77777777" w:rsidR="00AE149C" w:rsidRPr="002D2F67" w:rsidRDefault="00AE149C" w:rsidP="005611FE">
            <w:pPr>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72180586" w14:textId="77777777" w:rsidR="00AE149C" w:rsidRPr="002D2F67" w:rsidRDefault="00AE149C" w:rsidP="005611FE">
            <w:pPr>
              <w:ind w:right="-72"/>
              <w:contextualSpacing/>
              <w:jc w:val="right"/>
              <w:rPr>
                <w:rFonts w:ascii="Arial" w:hAnsi="Arial" w:cs="Arial"/>
                <w:color w:val="000000"/>
                <w:sz w:val="20"/>
                <w:szCs w:val="20"/>
              </w:rPr>
            </w:pPr>
          </w:p>
        </w:tc>
      </w:tr>
      <w:tr w:rsidR="00AE149C" w:rsidRPr="002D2F67" w14:paraId="5ECED71E" w14:textId="77777777" w:rsidTr="005611FE">
        <w:trPr>
          <w:trHeight w:val="126"/>
        </w:trPr>
        <w:tc>
          <w:tcPr>
            <w:tcW w:w="3510" w:type="dxa"/>
            <w:shd w:val="clear" w:color="auto" w:fill="auto"/>
          </w:tcPr>
          <w:p w14:paraId="0085BD41" w14:textId="460C1AF2" w:rsidR="00AE149C" w:rsidRPr="002D2F67" w:rsidRDefault="00AE149C" w:rsidP="005611FE">
            <w:pPr>
              <w:ind w:left="252"/>
              <w:contextualSpacing/>
              <w:jc w:val="both"/>
              <w:rPr>
                <w:rFonts w:ascii="Arial" w:hAnsi="Arial" w:cs="Arial"/>
                <w:color w:val="000000"/>
                <w:sz w:val="20"/>
                <w:szCs w:val="20"/>
              </w:rPr>
            </w:pPr>
            <w:r w:rsidRPr="002D2F67">
              <w:rPr>
                <w:rFonts w:ascii="Arial" w:hAnsi="Arial" w:cs="Arial"/>
                <w:color w:val="000000"/>
                <w:sz w:val="20"/>
                <w:szCs w:val="20"/>
              </w:rPr>
              <w:t xml:space="preserve">Other </w:t>
            </w:r>
            <w:r w:rsidR="00FF26FF" w:rsidRPr="002D2F67">
              <w:rPr>
                <w:rFonts w:ascii="Arial" w:hAnsi="Arial" w:cs="Arial"/>
                <w:color w:val="000000"/>
                <w:sz w:val="20"/>
                <w:szCs w:val="20"/>
              </w:rPr>
              <w:t xml:space="preserve">current </w:t>
            </w:r>
            <w:r w:rsidRPr="002D2F67">
              <w:rPr>
                <w:rFonts w:ascii="Arial" w:hAnsi="Arial" w:cs="Arial"/>
                <w:color w:val="000000"/>
                <w:sz w:val="20"/>
                <w:szCs w:val="20"/>
              </w:rPr>
              <w:t>payables (including</w:t>
            </w:r>
          </w:p>
        </w:tc>
        <w:tc>
          <w:tcPr>
            <w:tcW w:w="1440" w:type="dxa"/>
            <w:shd w:val="clear" w:color="auto" w:fill="auto"/>
          </w:tcPr>
          <w:p w14:paraId="25BA1898" w14:textId="77777777" w:rsidR="00AE149C" w:rsidRPr="002D2F67" w:rsidRDefault="00AE149C" w:rsidP="005611FE">
            <w:pPr>
              <w:ind w:right="-72"/>
              <w:contextualSpacing/>
              <w:jc w:val="right"/>
              <w:rPr>
                <w:rFonts w:ascii="Arial" w:hAnsi="Arial" w:cs="Arial"/>
                <w:color w:val="000000"/>
                <w:sz w:val="20"/>
                <w:szCs w:val="20"/>
              </w:rPr>
            </w:pPr>
          </w:p>
        </w:tc>
        <w:tc>
          <w:tcPr>
            <w:tcW w:w="1440" w:type="dxa"/>
            <w:shd w:val="clear" w:color="auto" w:fill="auto"/>
          </w:tcPr>
          <w:p w14:paraId="6F4E389D" w14:textId="77777777" w:rsidR="00AE149C" w:rsidRPr="002D2F67" w:rsidRDefault="00AE149C" w:rsidP="005611FE">
            <w:pPr>
              <w:ind w:right="-72"/>
              <w:contextualSpacing/>
              <w:jc w:val="right"/>
              <w:rPr>
                <w:rFonts w:ascii="Arial" w:hAnsi="Arial" w:cs="Arial"/>
                <w:color w:val="000000"/>
                <w:sz w:val="20"/>
                <w:szCs w:val="20"/>
              </w:rPr>
            </w:pPr>
          </w:p>
        </w:tc>
        <w:tc>
          <w:tcPr>
            <w:tcW w:w="1440" w:type="dxa"/>
            <w:shd w:val="clear" w:color="auto" w:fill="auto"/>
          </w:tcPr>
          <w:p w14:paraId="26DEC99F" w14:textId="77777777" w:rsidR="00AE149C" w:rsidRPr="002D2F67" w:rsidRDefault="00AE149C" w:rsidP="005611FE">
            <w:pPr>
              <w:ind w:right="-72"/>
              <w:contextualSpacing/>
              <w:jc w:val="right"/>
              <w:rPr>
                <w:rFonts w:ascii="Arial" w:hAnsi="Arial" w:cs="Arial"/>
                <w:color w:val="000000"/>
                <w:sz w:val="20"/>
                <w:szCs w:val="20"/>
              </w:rPr>
            </w:pPr>
          </w:p>
        </w:tc>
        <w:tc>
          <w:tcPr>
            <w:tcW w:w="1440" w:type="dxa"/>
            <w:shd w:val="clear" w:color="auto" w:fill="auto"/>
          </w:tcPr>
          <w:p w14:paraId="4BE9AE41" w14:textId="77777777" w:rsidR="00AE149C" w:rsidRPr="002D2F67" w:rsidRDefault="00AE149C" w:rsidP="005611FE">
            <w:pPr>
              <w:ind w:right="-72"/>
              <w:contextualSpacing/>
              <w:jc w:val="right"/>
              <w:rPr>
                <w:rFonts w:ascii="Arial" w:hAnsi="Arial" w:cs="Arial"/>
                <w:color w:val="000000"/>
                <w:sz w:val="20"/>
                <w:szCs w:val="20"/>
              </w:rPr>
            </w:pPr>
          </w:p>
        </w:tc>
      </w:tr>
      <w:tr w:rsidR="00AE149C" w:rsidRPr="002D2F67" w14:paraId="27AC2C80" w14:textId="77777777" w:rsidTr="005611FE">
        <w:trPr>
          <w:trHeight w:val="126"/>
        </w:trPr>
        <w:tc>
          <w:tcPr>
            <w:tcW w:w="3510" w:type="dxa"/>
            <w:shd w:val="clear" w:color="auto" w:fill="auto"/>
          </w:tcPr>
          <w:p w14:paraId="401F7C21" w14:textId="2D8716B7" w:rsidR="00AE149C" w:rsidRPr="002D2F67" w:rsidRDefault="00AE149C" w:rsidP="005611FE">
            <w:pPr>
              <w:ind w:left="252"/>
              <w:contextualSpacing/>
              <w:jc w:val="both"/>
              <w:rPr>
                <w:rFonts w:ascii="Arial" w:hAnsi="Arial" w:cs="Arial"/>
                <w:color w:val="000000"/>
                <w:sz w:val="20"/>
                <w:szCs w:val="20"/>
              </w:rPr>
            </w:pPr>
            <w:r w:rsidRPr="002D2F67">
              <w:rPr>
                <w:rFonts w:ascii="Arial" w:hAnsi="Arial" w:cs="Arial"/>
                <w:color w:val="000000"/>
                <w:sz w:val="20"/>
                <w:szCs w:val="20"/>
              </w:rPr>
              <w:t xml:space="preserve">   interest payable (Note </w:t>
            </w:r>
            <w:r w:rsidR="00CD5714" w:rsidRPr="00CD5714">
              <w:rPr>
                <w:rFonts w:ascii="Arial" w:hAnsi="Arial" w:cs="Arial"/>
                <w:color w:val="000000"/>
                <w:sz w:val="20"/>
                <w:szCs w:val="20"/>
                <w:lang w:val="en-GB"/>
              </w:rPr>
              <w:t>42</w:t>
            </w:r>
            <w:r w:rsidRPr="002D2F67">
              <w:rPr>
                <w:rFonts w:ascii="Arial" w:hAnsi="Arial" w:cs="Arial"/>
                <w:color w:val="000000"/>
                <w:sz w:val="20"/>
                <w:szCs w:val="20"/>
              </w:rPr>
              <w:t>.</w:t>
            </w:r>
            <w:r w:rsidR="00CD5714" w:rsidRPr="00CD5714">
              <w:rPr>
                <w:rFonts w:ascii="Arial" w:hAnsi="Arial" w:cs="Arial"/>
                <w:color w:val="000000"/>
                <w:sz w:val="20"/>
                <w:szCs w:val="20"/>
                <w:lang w:val="en-GB"/>
              </w:rPr>
              <w:t>6</w:t>
            </w:r>
            <w:r w:rsidRPr="002D2F67">
              <w:rPr>
                <w:rFonts w:ascii="Arial" w:hAnsi="Arial" w:cs="Arial"/>
                <w:color w:val="000000"/>
                <w:sz w:val="20"/>
                <w:szCs w:val="20"/>
              </w:rPr>
              <w:t>))</w:t>
            </w:r>
          </w:p>
        </w:tc>
        <w:tc>
          <w:tcPr>
            <w:tcW w:w="1440" w:type="dxa"/>
            <w:shd w:val="clear" w:color="auto" w:fill="auto"/>
          </w:tcPr>
          <w:p w14:paraId="12E9DCDA" w14:textId="77777777" w:rsidR="00AE149C" w:rsidRPr="002D2F67" w:rsidRDefault="00AE149C" w:rsidP="005611FE">
            <w:pPr>
              <w:ind w:right="-72"/>
              <w:contextualSpacing/>
              <w:jc w:val="right"/>
              <w:rPr>
                <w:rFonts w:ascii="Arial" w:hAnsi="Arial" w:cs="Arial"/>
                <w:color w:val="000000"/>
                <w:sz w:val="20"/>
                <w:szCs w:val="20"/>
              </w:rPr>
            </w:pPr>
          </w:p>
        </w:tc>
        <w:tc>
          <w:tcPr>
            <w:tcW w:w="1440" w:type="dxa"/>
            <w:shd w:val="clear" w:color="auto" w:fill="auto"/>
          </w:tcPr>
          <w:p w14:paraId="30CA4906" w14:textId="77777777" w:rsidR="00AE149C" w:rsidRPr="002D2F67" w:rsidRDefault="00AE149C" w:rsidP="005611FE">
            <w:pPr>
              <w:ind w:right="-72"/>
              <w:contextualSpacing/>
              <w:jc w:val="right"/>
              <w:rPr>
                <w:rFonts w:ascii="Arial" w:hAnsi="Arial" w:cs="Arial"/>
                <w:color w:val="000000"/>
                <w:sz w:val="20"/>
                <w:szCs w:val="20"/>
              </w:rPr>
            </w:pPr>
          </w:p>
        </w:tc>
        <w:tc>
          <w:tcPr>
            <w:tcW w:w="1440" w:type="dxa"/>
            <w:shd w:val="clear" w:color="auto" w:fill="auto"/>
          </w:tcPr>
          <w:p w14:paraId="5B603D00" w14:textId="77777777" w:rsidR="00AE149C" w:rsidRPr="002D2F67" w:rsidRDefault="00AE149C" w:rsidP="005611FE">
            <w:pPr>
              <w:ind w:right="-72"/>
              <w:contextualSpacing/>
              <w:jc w:val="right"/>
              <w:rPr>
                <w:rFonts w:ascii="Arial" w:hAnsi="Arial" w:cs="Arial"/>
                <w:color w:val="000000"/>
                <w:sz w:val="20"/>
                <w:szCs w:val="20"/>
              </w:rPr>
            </w:pPr>
          </w:p>
        </w:tc>
        <w:tc>
          <w:tcPr>
            <w:tcW w:w="1440" w:type="dxa"/>
            <w:shd w:val="clear" w:color="auto" w:fill="auto"/>
          </w:tcPr>
          <w:p w14:paraId="16111054" w14:textId="77777777" w:rsidR="00AE149C" w:rsidRPr="002D2F67" w:rsidRDefault="00AE149C" w:rsidP="005611FE">
            <w:pPr>
              <w:ind w:right="-72"/>
              <w:contextualSpacing/>
              <w:jc w:val="right"/>
              <w:rPr>
                <w:rFonts w:ascii="Arial" w:hAnsi="Arial" w:cs="Arial"/>
                <w:color w:val="000000"/>
                <w:sz w:val="20"/>
                <w:szCs w:val="20"/>
              </w:rPr>
            </w:pPr>
          </w:p>
        </w:tc>
      </w:tr>
      <w:tr w:rsidR="00AE149C" w:rsidRPr="002D2F67" w14:paraId="0ABB5834" w14:textId="77777777" w:rsidTr="005611FE">
        <w:trPr>
          <w:trHeight w:val="126"/>
        </w:trPr>
        <w:tc>
          <w:tcPr>
            <w:tcW w:w="3510" w:type="dxa"/>
            <w:shd w:val="clear" w:color="auto" w:fill="auto"/>
          </w:tcPr>
          <w:p w14:paraId="1333F701" w14:textId="77777777" w:rsidR="00AE149C" w:rsidRPr="002D2F67" w:rsidRDefault="00AE149C" w:rsidP="005611FE">
            <w:pPr>
              <w:tabs>
                <w:tab w:val="left" w:pos="1413"/>
              </w:tabs>
              <w:ind w:left="252"/>
              <w:contextualSpacing/>
              <w:rPr>
                <w:rFonts w:ascii="Arial" w:hAnsi="Arial" w:cs="Arial"/>
                <w:color w:val="000000"/>
                <w:sz w:val="20"/>
                <w:szCs w:val="20"/>
              </w:rPr>
            </w:pPr>
            <w:r w:rsidRPr="002D2F67">
              <w:rPr>
                <w:rFonts w:ascii="Arial" w:hAnsi="Arial" w:cs="Arial"/>
                <w:color w:val="000000"/>
                <w:sz w:val="20"/>
                <w:szCs w:val="20"/>
              </w:rPr>
              <w:t xml:space="preserve">   - Subsidiaries</w:t>
            </w:r>
          </w:p>
        </w:tc>
        <w:tc>
          <w:tcPr>
            <w:tcW w:w="1440" w:type="dxa"/>
            <w:shd w:val="clear" w:color="auto" w:fill="auto"/>
          </w:tcPr>
          <w:p w14:paraId="4B97A64C" w14:textId="59BECE6F" w:rsidR="00AE149C" w:rsidRPr="002D2F67" w:rsidRDefault="004C1B8E" w:rsidP="005611FE">
            <w:pPr>
              <w:ind w:right="-72"/>
              <w:contextualSpacing/>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tcPr>
          <w:p w14:paraId="13D38FA6" w14:textId="125190F4" w:rsidR="00AE149C" w:rsidRPr="002D2F67" w:rsidRDefault="00AE149C" w:rsidP="005611FE">
            <w:pPr>
              <w:ind w:right="-72"/>
              <w:contextualSpacing/>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tcPr>
          <w:p w14:paraId="363A8535" w14:textId="6E6DF2BD" w:rsidR="00AE149C" w:rsidRPr="002D2F67" w:rsidRDefault="00CD5714" w:rsidP="005611FE">
            <w:pPr>
              <w:tabs>
                <w:tab w:val="left" w:pos="1177"/>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10</w:t>
            </w:r>
            <w:r w:rsidR="004C1B8E" w:rsidRPr="002D2F67">
              <w:rPr>
                <w:rFonts w:ascii="Arial" w:hAnsi="Arial" w:cs="Arial"/>
                <w:color w:val="000000"/>
                <w:sz w:val="20"/>
                <w:szCs w:val="20"/>
              </w:rPr>
              <w:t>,</w:t>
            </w:r>
            <w:r w:rsidRPr="00CD5714">
              <w:rPr>
                <w:rFonts w:ascii="Arial" w:hAnsi="Arial" w:cs="Arial"/>
                <w:color w:val="000000"/>
                <w:sz w:val="20"/>
                <w:szCs w:val="20"/>
                <w:lang w:val="en-GB"/>
              </w:rPr>
              <w:t>106</w:t>
            </w:r>
            <w:r w:rsidR="004C1B8E" w:rsidRPr="002D2F67">
              <w:rPr>
                <w:rFonts w:ascii="Arial" w:hAnsi="Arial" w:cs="Arial"/>
                <w:color w:val="000000"/>
                <w:sz w:val="20"/>
                <w:szCs w:val="20"/>
              </w:rPr>
              <w:t>,</w:t>
            </w:r>
            <w:r w:rsidRPr="00CD5714">
              <w:rPr>
                <w:rFonts w:ascii="Arial" w:hAnsi="Arial" w:cs="Arial"/>
                <w:color w:val="000000"/>
                <w:sz w:val="20"/>
                <w:szCs w:val="20"/>
                <w:lang w:val="en-GB"/>
              </w:rPr>
              <w:t>067</w:t>
            </w:r>
          </w:p>
        </w:tc>
        <w:tc>
          <w:tcPr>
            <w:tcW w:w="1440" w:type="dxa"/>
            <w:shd w:val="clear" w:color="auto" w:fill="auto"/>
          </w:tcPr>
          <w:p w14:paraId="7E151B0A" w14:textId="24CD6A0B" w:rsidR="00AE149C" w:rsidRPr="002D2F67" w:rsidRDefault="00CD5714" w:rsidP="005611FE">
            <w:pPr>
              <w:tabs>
                <w:tab w:val="left" w:pos="1177"/>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10</w:t>
            </w:r>
            <w:r w:rsidR="00AE149C" w:rsidRPr="002D2F67">
              <w:rPr>
                <w:rFonts w:ascii="Arial" w:hAnsi="Arial" w:cs="Arial"/>
                <w:color w:val="000000"/>
                <w:sz w:val="20"/>
                <w:szCs w:val="20"/>
              </w:rPr>
              <w:t>,</w:t>
            </w:r>
            <w:r w:rsidRPr="00CD5714">
              <w:rPr>
                <w:rFonts w:ascii="Arial" w:hAnsi="Arial" w:cs="Arial"/>
                <w:color w:val="000000"/>
                <w:sz w:val="20"/>
                <w:szCs w:val="20"/>
                <w:lang w:val="en-GB"/>
              </w:rPr>
              <w:t>033</w:t>
            </w:r>
            <w:r w:rsidR="00AE149C" w:rsidRPr="002D2F67">
              <w:rPr>
                <w:rFonts w:ascii="Arial" w:hAnsi="Arial" w:cs="Arial"/>
                <w:color w:val="000000"/>
                <w:sz w:val="20"/>
                <w:szCs w:val="20"/>
              </w:rPr>
              <w:t>,</w:t>
            </w:r>
            <w:r w:rsidRPr="00CD5714">
              <w:rPr>
                <w:rFonts w:ascii="Arial" w:hAnsi="Arial" w:cs="Arial"/>
                <w:color w:val="000000"/>
                <w:sz w:val="20"/>
                <w:szCs w:val="20"/>
                <w:lang w:val="en-GB"/>
              </w:rPr>
              <w:t>578</w:t>
            </w:r>
          </w:p>
        </w:tc>
      </w:tr>
      <w:tr w:rsidR="00AE149C" w:rsidRPr="002D2F67" w14:paraId="7E7B7C16" w14:textId="77777777" w:rsidTr="005611FE">
        <w:trPr>
          <w:trHeight w:val="126"/>
        </w:trPr>
        <w:tc>
          <w:tcPr>
            <w:tcW w:w="3510" w:type="dxa"/>
            <w:shd w:val="clear" w:color="auto" w:fill="auto"/>
          </w:tcPr>
          <w:p w14:paraId="5033893F" w14:textId="340417E5" w:rsidR="00AE149C" w:rsidRPr="002D2F67" w:rsidRDefault="00AE149C" w:rsidP="005611FE">
            <w:pPr>
              <w:tabs>
                <w:tab w:val="left" w:pos="1413"/>
              </w:tabs>
              <w:ind w:left="252"/>
              <w:contextualSpacing/>
              <w:rPr>
                <w:rFonts w:ascii="Arial" w:hAnsi="Arial" w:cs="Arial"/>
                <w:color w:val="000000"/>
                <w:sz w:val="20"/>
                <w:szCs w:val="20"/>
              </w:rPr>
            </w:pPr>
            <w:r w:rsidRPr="002D2F67">
              <w:rPr>
                <w:rFonts w:ascii="Arial" w:hAnsi="Arial" w:cs="Arial"/>
                <w:color w:val="000000"/>
                <w:sz w:val="20"/>
                <w:szCs w:val="20"/>
              </w:rPr>
              <w:t xml:space="preserve">   - Associates</w:t>
            </w:r>
            <w:r w:rsidR="002E7AB6" w:rsidRPr="002D2F67">
              <w:rPr>
                <w:rFonts w:ascii="Arial" w:hAnsi="Arial" w:cs="Arial"/>
                <w:color w:val="000000"/>
                <w:sz w:val="20"/>
                <w:szCs w:val="20"/>
              </w:rPr>
              <w:t xml:space="preserve"> (Note </w:t>
            </w:r>
            <w:r w:rsidR="00CD5714" w:rsidRPr="00CD5714">
              <w:rPr>
                <w:rFonts w:ascii="Arial" w:hAnsi="Arial" w:cs="Arial"/>
                <w:color w:val="000000"/>
                <w:sz w:val="20"/>
                <w:szCs w:val="20"/>
                <w:lang w:val="en-GB"/>
              </w:rPr>
              <w:t>28</w:t>
            </w:r>
            <w:r w:rsidR="002E7AB6" w:rsidRPr="002D2F67">
              <w:rPr>
                <w:rFonts w:ascii="Arial" w:hAnsi="Arial" w:cs="Arial"/>
                <w:color w:val="000000"/>
                <w:sz w:val="20"/>
                <w:szCs w:val="20"/>
              </w:rPr>
              <w:t>)</w:t>
            </w:r>
          </w:p>
        </w:tc>
        <w:tc>
          <w:tcPr>
            <w:tcW w:w="1440" w:type="dxa"/>
            <w:tcBorders>
              <w:bottom w:val="single" w:sz="4" w:space="0" w:color="auto"/>
            </w:tcBorders>
            <w:shd w:val="clear" w:color="auto" w:fill="auto"/>
          </w:tcPr>
          <w:p w14:paraId="6425253A" w14:textId="0130EDAB" w:rsidR="00AE149C" w:rsidRPr="002D2F67" w:rsidRDefault="00CD5714" w:rsidP="005611FE">
            <w:pPr>
              <w:ind w:right="-72"/>
              <w:contextualSpacing/>
              <w:jc w:val="right"/>
              <w:rPr>
                <w:rFonts w:ascii="Arial" w:hAnsi="Arial" w:cs="Arial"/>
                <w:color w:val="000000"/>
                <w:sz w:val="20"/>
                <w:szCs w:val="20"/>
              </w:rPr>
            </w:pPr>
            <w:r w:rsidRPr="00CD5714">
              <w:rPr>
                <w:rFonts w:ascii="Arial" w:hAnsi="Arial" w:cs="Arial"/>
                <w:color w:val="000000"/>
                <w:sz w:val="20"/>
                <w:szCs w:val="20"/>
                <w:lang w:val="en-GB"/>
              </w:rPr>
              <w:t>280</w:t>
            </w:r>
            <w:r w:rsidR="00EF4CC4" w:rsidRPr="002D2F67">
              <w:rPr>
                <w:rFonts w:ascii="Arial" w:hAnsi="Arial" w:cs="Arial"/>
                <w:color w:val="000000"/>
                <w:sz w:val="20"/>
                <w:szCs w:val="20"/>
              </w:rPr>
              <w:t>,</w:t>
            </w:r>
            <w:r w:rsidRPr="00CD5714">
              <w:rPr>
                <w:rFonts w:ascii="Arial" w:hAnsi="Arial" w:cs="Arial"/>
                <w:color w:val="000000"/>
                <w:sz w:val="20"/>
                <w:szCs w:val="20"/>
                <w:lang w:val="en-GB"/>
              </w:rPr>
              <w:t>653</w:t>
            </w:r>
          </w:p>
        </w:tc>
        <w:tc>
          <w:tcPr>
            <w:tcW w:w="1440" w:type="dxa"/>
            <w:tcBorders>
              <w:bottom w:val="single" w:sz="4" w:space="0" w:color="auto"/>
            </w:tcBorders>
            <w:shd w:val="clear" w:color="auto" w:fill="auto"/>
          </w:tcPr>
          <w:p w14:paraId="00121F21" w14:textId="093B0177" w:rsidR="00AE149C" w:rsidRPr="002D2F67" w:rsidRDefault="00CD5714" w:rsidP="005611FE">
            <w:pPr>
              <w:ind w:right="-72"/>
              <w:contextualSpacing/>
              <w:jc w:val="right"/>
              <w:rPr>
                <w:rFonts w:ascii="Arial" w:hAnsi="Arial" w:cs="Arial"/>
                <w:color w:val="000000"/>
                <w:sz w:val="20"/>
                <w:szCs w:val="20"/>
              </w:rPr>
            </w:pPr>
            <w:r w:rsidRPr="00CD5714">
              <w:rPr>
                <w:rFonts w:ascii="Arial" w:hAnsi="Arial" w:cs="Arial"/>
                <w:color w:val="000000"/>
                <w:sz w:val="20"/>
                <w:szCs w:val="20"/>
                <w:lang w:val="en-GB"/>
              </w:rPr>
              <w:t>81</w:t>
            </w:r>
            <w:r w:rsidR="00AE149C" w:rsidRPr="002D2F67">
              <w:rPr>
                <w:rFonts w:ascii="Arial" w:hAnsi="Arial" w:cs="Arial"/>
                <w:color w:val="000000"/>
                <w:sz w:val="20"/>
                <w:szCs w:val="20"/>
              </w:rPr>
              <w:t>,</w:t>
            </w:r>
            <w:r w:rsidRPr="00CD5714">
              <w:rPr>
                <w:rFonts w:ascii="Arial" w:hAnsi="Arial" w:cs="Arial"/>
                <w:color w:val="000000"/>
                <w:sz w:val="20"/>
                <w:szCs w:val="20"/>
                <w:lang w:val="en-GB"/>
              </w:rPr>
              <w:t>135</w:t>
            </w:r>
          </w:p>
        </w:tc>
        <w:tc>
          <w:tcPr>
            <w:tcW w:w="1440" w:type="dxa"/>
            <w:tcBorders>
              <w:bottom w:val="single" w:sz="4" w:space="0" w:color="auto"/>
            </w:tcBorders>
            <w:shd w:val="clear" w:color="auto" w:fill="auto"/>
          </w:tcPr>
          <w:p w14:paraId="5240EE88" w14:textId="0FF8ACCB" w:rsidR="00AE149C" w:rsidRPr="002D2F67" w:rsidRDefault="004C1B8E" w:rsidP="005611FE">
            <w:pPr>
              <w:tabs>
                <w:tab w:val="left" w:pos="1177"/>
              </w:tabs>
              <w:ind w:right="-72"/>
              <w:contextualSpacing/>
              <w:jc w:val="right"/>
              <w:rPr>
                <w:rFonts w:ascii="Arial" w:hAnsi="Arial" w:cs="Arial"/>
                <w:color w:val="000000"/>
                <w:sz w:val="20"/>
                <w:szCs w:val="20"/>
              </w:rPr>
            </w:pPr>
            <w:r w:rsidRPr="002D2F67">
              <w:rPr>
                <w:rFonts w:ascii="Arial" w:hAnsi="Arial" w:cs="Arial"/>
                <w:color w:val="000000"/>
                <w:sz w:val="20"/>
                <w:szCs w:val="20"/>
              </w:rPr>
              <w:t>-</w:t>
            </w:r>
          </w:p>
        </w:tc>
        <w:tc>
          <w:tcPr>
            <w:tcW w:w="1440" w:type="dxa"/>
            <w:tcBorders>
              <w:bottom w:val="single" w:sz="4" w:space="0" w:color="auto"/>
            </w:tcBorders>
            <w:shd w:val="clear" w:color="auto" w:fill="auto"/>
          </w:tcPr>
          <w:p w14:paraId="200BC46E" w14:textId="41A008B0" w:rsidR="00AE149C" w:rsidRPr="002D2F67" w:rsidRDefault="00AE149C" w:rsidP="005611FE">
            <w:pPr>
              <w:tabs>
                <w:tab w:val="left" w:pos="1177"/>
              </w:tabs>
              <w:ind w:right="-72"/>
              <w:contextualSpacing/>
              <w:jc w:val="right"/>
              <w:rPr>
                <w:rFonts w:ascii="Arial" w:hAnsi="Arial" w:cs="Arial"/>
                <w:color w:val="000000"/>
                <w:sz w:val="20"/>
                <w:szCs w:val="20"/>
              </w:rPr>
            </w:pPr>
            <w:r w:rsidRPr="002D2F67">
              <w:rPr>
                <w:rFonts w:ascii="Arial" w:hAnsi="Arial" w:cs="Arial"/>
                <w:color w:val="000000"/>
                <w:sz w:val="20"/>
                <w:szCs w:val="20"/>
              </w:rPr>
              <w:t>-</w:t>
            </w:r>
          </w:p>
        </w:tc>
      </w:tr>
    </w:tbl>
    <w:p w14:paraId="6EDA27B8" w14:textId="66D109FC" w:rsidR="00AB5B46" w:rsidRPr="002D2F67" w:rsidRDefault="00AB5B46" w:rsidP="005611FE">
      <w:pPr>
        <w:ind w:left="540"/>
        <w:jc w:val="both"/>
        <w:rPr>
          <w:rFonts w:ascii="Arial" w:hAnsi="Arial" w:cs="Arial"/>
          <w:color w:val="000000"/>
          <w:sz w:val="20"/>
          <w:szCs w:val="20"/>
          <w:lang w:val="en-GB"/>
        </w:rPr>
      </w:pPr>
    </w:p>
    <w:p w14:paraId="2DAF1B2F" w14:textId="7C78EB13" w:rsidR="00254C97" w:rsidRPr="002D2F67" w:rsidRDefault="00AB5B46" w:rsidP="005611FE">
      <w:pPr>
        <w:ind w:left="540"/>
        <w:jc w:val="both"/>
        <w:rPr>
          <w:rFonts w:ascii="Arial" w:hAnsi="Arial" w:cs="Arial"/>
          <w:color w:val="000000"/>
          <w:sz w:val="20"/>
          <w:szCs w:val="20"/>
          <w:lang w:val="en-GB"/>
        </w:rPr>
      </w:pPr>
      <w:r w:rsidRPr="002D2F67">
        <w:rPr>
          <w:rFonts w:ascii="Arial" w:hAnsi="Arial" w:cs="Arial"/>
          <w:color w:val="000000"/>
          <w:sz w:val="20"/>
          <w:szCs w:val="20"/>
          <w:lang w:val="en-GB"/>
        </w:rPr>
        <w:br w:type="page"/>
      </w:r>
    </w:p>
    <w:p w14:paraId="26AFA9D9" w14:textId="62E62988" w:rsidR="00AB0894" w:rsidRPr="002D2F67" w:rsidRDefault="00CD5714" w:rsidP="005611FE">
      <w:pPr>
        <w:pStyle w:val="EASUBHEAD6"/>
        <w:rPr>
          <w:b/>
          <w:bCs/>
          <w:color w:val="000000"/>
          <w:sz w:val="20"/>
          <w:szCs w:val="20"/>
        </w:rPr>
      </w:pPr>
      <w:r w:rsidRPr="00CD5714">
        <w:rPr>
          <w:b/>
          <w:bCs/>
          <w:color w:val="000000"/>
          <w:sz w:val="20"/>
          <w:szCs w:val="20"/>
          <w:lang w:val="en-GB"/>
        </w:rPr>
        <w:t>42</w:t>
      </w:r>
      <w:r w:rsidR="00AB0894" w:rsidRPr="002D2F67">
        <w:rPr>
          <w:b/>
          <w:bCs/>
          <w:color w:val="000000"/>
          <w:sz w:val="20"/>
          <w:szCs w:val="20"/>
        </w:rPr>
        <w:t>.</w:t>
      </w:r>
      <w:r w:rsidRPr="00CD5714">
        <w:rPr>
          <w:b/>
          <w:bCs/>
          <w:color w:val="000000"/>
          <w:sz w:val="20"/>
          <w:szCs w:val="20"/>
          <w:lang w:val="en-GB"/>
        </w:rPr>
        <w:t>4</w:t>
      </w:r>
      <w:r w:rsidR="00AB0894" w:rsidRPr="002D2F67">
        <w:rPr>
          <w:b/>
          <w:bCs/>
          <w:color w:val="000000"/>
          <w:sz w:val="20"/>
          <w:szCs w:val="20"/>
        </w:rPr>
        <w:tab/>
        <w:t xml:space="preserve">Other non-current assets </w:t>
      </w:r>
    </w:p>
    <w:p w14:paraId="3C13B7FC" w14:textId="77777777" w:rsidR="00AB0894" w:rsidRPr="002D2F67" w:rsidRDefault="00AB0894" w:rsidP="005611FE">
      <w:pPr>
        <w:ind w:left="540"/>
        <w:jc w:val="both"/>
        <w:rPr>
          <w:rFonts w:ascii="Arial" w:hAnsi="Arial" w:cs="Arial"/>
          <w:color w:val="000000"/>
          <w:spacing w:val="-2"/>
          <w:sz w:val="20"/>
          <w:szCs w:val="20"/>
        </w:rPr>
      </w:pPr>
    </w:p>
    <w:tbl>
      <w:tblPr>
        <w:tblW w:w="9270" w:type="dxa"/>
        <w:tblInd w:w="288" w:type="dxa"/>
        <w:tblLayout w:type="fixed"/>
        <w:tblLook w:val="0000" w:firstRow="0" w:lastRow="0" w:firstColumn="0" w:lastColumn="0" w:noHBand="0" w:noVBand="0"/>
      </w:tblPr>
      <w:tblGrid>
        <w:gridCol w:w="3510"/>
        <w:gridCol w:w="1440"/>
        <w:gridCol w:w="1440"/>
        <w:gridCol w:w="1440"/>
        <w:gridCol w:w="1440"/>
      </w:tblGrid>
      <w:tr w:rsidR="00AB0894" w:rsidRPr="002D2F67" w14:paraId="5073CBF3" w14:textId="77777777" w:rsidTr="008255E8">
        <w:tc>
          <w:tcPr>
            <w:tcW w:w="3510" w:type="dxa"/>
            <w:shd w:val="clear" w:color="auto" w:fill="auto"/>
          </w:tcPr>
          <w:p w14:paraId="5B860354" w14:textId="77777777" w:rsidR="00AB0894" w:rsidRPr="002D2F67" w:rsidRDefault="00AB0894" w:rsidP="005611FE">
            <w:pPr>
              <w:ind w:left="252"/>
              <w:contextualSpacing/>
              <w:rPr>
                <w:rFonts w:ascii="Arial" w:hAnsi="Arial" w:cs="Arial"/>
                <w:color w:val="000000"/>
                <w:sz w:val="20"/>
                <w:szCs w:val="20"/>
              </w:rPr>
            </w:pPr>
          </w:p>
        </w:tc>
        <w:tc>
          <w:tcPr>
            <w:tcW w:w="2880" w:type="dxa"/>
            <w:gridSpan w:val="2"/>
            <w:tcBorders>
              <w:bottom w:val="single" w:sz="4" w:space="0" w:color="auto"/>
            </w:tcBorders>
            <w:shd w:val="clear" w:color="auto" w:fill="auto"/>
          </w:tcPr>
          <w:p w14:paraId="3F3AA3FA" w14:textId="77777777" w:rsidR="00AB0894" w:rsidRPr="002D2F67" w:rsidRDefault="00AB0894" w:rsidP="005611FE">
            <w:pPr>
              <w:tabs>
                <w:tab w:val="left" w:pos="709"/>
              </w:tabs>
              <w:ind w:right="-72"/>
              <w:contextualSpacing/>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47B18E54" w14:textId="77777777" w:rsidR="00AB0894" w:rsidRPr="002D2F67" w:rsidRDefault="00AB0894" w:rsidP="005611FE">
            <w:pPr>
              <w:tabs>
                <w:tab w:val="left" w:pos="709"/>
              </w:tabs>
              <w:ind w:right="-72"/>
              <w:contextualSpacing/>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2880" w:type="dxa"/>
            <w:gridSpan w:val="2"/>
            <w:tcBorders>
              <w:bottom w:val="single" w:sz="4" w:space="0" w:color="auto"/>
            </w:tcBorders>
            <w:shd w:val="clear" w:color="auto" w:fill="auto"/>
          </w:tcPr>
          <w:p w14:paraId="01AE048F" w14:textId="77777777" w:rsidR="00AB0894" w:rsidRPr="002D2F67" w:rsidRDefault="00AB0894" w:rsidP="005611FE">
            <w:pPr>
              <w:tabs>
                <w:tab w:val="left" w:pos="709"/>
              </w:tabs>
              <w:ind w:right="-72"/>
              <w:contextualSpacing/>
              <w:jc w:val="right"/>
              <w:rPr>
                <w:rFonts w:ascii="Arial" w:hAnsi="Arial" w:cs="Arial"/>
                <w:b/>
                <w:bCs/>
                <w:color w:val="000000"/>
                <w:sz w:val="20"/>
                <w:szCs w:val="20"/>
              </w:rPr>
            </w:pPr>
            <w:r w:rsidRPr="002D2F67">
              <w:rPr>
                <w:rFonts w:ascii="Arial" w:hAnsi="Arial" w:cs="Arial"/>
                <w:b/>
                <w:bCs/>
                <w:color w:val="000000"/>
                <w:sz w:val="20"/>
                <w:szCs w:val="20"/>
              </w:rPr>
              <w:t xml:space="preserve">Separate </w:t>
            </w:r>
          </w:p>
          <w:p w14:paraId="0BF1A5D6" w14:textId="77777777" w:rsidR="00AB0894" w:rsidRPr="002D2F67" w:rsidRDefault="00AB0894" w:rsidP="005611FE">
            <w:pPr>
              <w:tabs>
                <w:tab w:val="left" w:pos="709"/>
              </w:tabs>
              <w:ind w:right="-72"/>
              <w:contextualSpacing/>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AB0894" w:rsidRPr="002D2F67" w14:paraId="4AE023BB" w14:textId="77777777" w:rsidTr="005611FE">
        <w:trPr>
          <w:trHeight w:val="89"/>
        </w:trPr>
        <w:tc>
          <w:tcPr>
            <w:tcW w:w="3510" w:type="dxa"/>
            <w:shd w:val="clear" w:color="auto" w:fill="auto"/>
          </w:tcPr>
          <w:p w14:paraId="05640582" w14:textId="7EB5DEF9" w:rsidR="00AB0894" w:rsidRPr="002D2F67" w:rsidRDefault="00AB0894" w:rsidP="005611FE">
            <w:pPr>
              <w:ind w:left="252" w:right="-108"/>
              <w:contextualSpacing/>
              <w:rPr>
                <w:rFonts w:ascii="Arial" w:hAnsi="Arial" w:cs="Arial"/>
                <w:b/>
                <w:bCs/>
                <w:color w:val="000000"/>
                <w:spacing w:val="-4"/>
                <w:sz w:val="20"/>
                <w:szCs w:val="20"/>
              </w:rPr>
            </w:pPr>
            <w:r w:rsidRPr="002D2F67">
              <w:rPr>
                <w:rFonts w:ascii="Arial" w:hAnsi="Arial" w:cs="Arial"/>
                <w:b/>
                <w:bCs/>
                <w:color w:val="000000"/>
                <w:spacing w:val="-4"/>
                <w:sz w:val="20"/>
                <w:szCs w:val="20"/>
              </w:rPr>
              <w:t xml:space="preserve">For the years ended </w:t>
            </w:r>
            <w:r w:rsidR="00CD5714" w:rsidRPr="00CD5714">
              <w:rPr>
                <w:rFonts w:ascii="Arial" w:hAnsi="Arial" w:cs="Arial"/>
                <w:b/>
                <w:bCs/>
                <w:color w:val="000000"/>
                <w:spacing w:val="-4"/>
                <w:sz w:val="20"/>
                <w:szCs w:val="20"/>
                <w:lang w:val="en-GB"/>
              </w:rPr>
              <w:t>31</w:t>
            </w:r>
            <w:r w:rsidRPr="002D2F67">
              <w:rPr>
                <w:rFonts w:ascii="Arial" w:hAnsi="Arial" w:cs="Arial"/>
                <w:b/>
                <w:bCs/>
                <w:color w:val="000000"/>
                <w:spacing w:val="-4"/>
                <w:sz w:val="20"/>
                <w:szCs w:val="20"/>
              </w:rPr>
              <w:t xml:space="preserve"> December</w:t>
            </w:r>
          </w:p>
        </w:tc>
        <w:tc>
          <w:tcPr>
            <w:tcW w:w="1440" w:type="dxa"/>
            <w:tcBorders>
              <w:top w:val="single" w:sz="4" w:space="0" w:color="auto"/>
            </w:tcBorders>
            <w:shd w:val="clear" w:color="auto" w:fill="auto"/>
          </w:tcPr>
          <w:p w14:paraId="6934076B" w14:textId="13C84A4E" w:rsidR="00AB0894" w:rsidRPr="002D2F67" w:rsidRDefault="00CD5714" w:rsidP="005611FE">
            <w:pPr>
              <w:ind w:right="-72"/>
              <w:contextualSpacing/>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40" w:type="dxa"/>
            <w:tcBorders>
              <w:top w:val="single" w:sz="4" w:space="0" w:color="auto"/>
            </w:tcBorders>
            <w:shd w:val="clear" w:color="auto" w:fill="auto"/>
          </w:tcPr>
          <w:p w14:paraId="0C0D80BF" w14:textId="57240CF8" w:rsidR="00AB0894" w:rsidRPr="002D2F67" w:rsidRDefault="00CD5714" w:rsidP="005611FE">
            <w:pPr>
              <w:ind w:right="-72"/>
              <w:contextualSpacing/>
              <w:jc w:val="right"/>
              <w:rPr>
                <w:rFonts w:ascii="Arial" w:hAnsi="Arial" w:cs="Arial"/>
                <w:b/>
                <w:bCs/>
                <w:color w:val="000000"/>
                <w:sz w:val="20"/>
                <w:szCs w:val="20"/>
                <w:cs/>
              </w:rPr>
            </w:pPr>
            <w:r w:rsidRPr="00CD5714">
              <w:rPr>
                <w:rFonts w:ascii="Arial" w:hAnsi="Arial" w:cs="Arial"/>
                <w:b/>
                <w:bCs/>
                <w:color w:val="000000"/>
                <w:sz w:val="20"/>
                <w:szCs w:val="20"/>
                <w:lang w:val="en-GB"/>
              </w:rPr>
              <w:t>2023</w:t>
            </w:r>
          </w:p>
        </w:tc>
        <w:tc>
          <w:tcPr>
            <w:tcW w:w="1440" w:type="dxa"/>
            <w:tcBorders>
              <w:top w:val="single" w:sz="4" w:space="0" w:color="auto"/>
            </w:tcBorders>
            <w:shd w:val="clear" w:color="auto" w:fill="auto"/>
          </w:tcPr>
          <w:p w14:paraId="7D10CFF0" w14:textId="301C5D09" w:rsidR="00AB0894" w:rsidRPr="002D2F67" w:rsidRDefault="00CD5714" w:rsidP="005611FE">
            <w:pPr>
              <w:ind w:right="-72"/>
              <w:contextualSpacing/>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40" w:type="dxa"/>
            <w:tcBorders>
              <w:top w:val="single" w:sz="4" w:space="0" w:color="auto"/>
            </w:tcBorders>
            <w:shd w:val="clear" w:color="auto" w:fill="auto"/>
          </w:tcPr>
          <w:p w14:paraId="09061F01" w14:textId="66E2AF61" w:rsidR="00AB0894" w:rsidRPr="002D2F67" w:rsidRDefault="00CD5714" w:rsidP="005611FE">
            <w:pPr>
              <w:ind w:right="-72"/>
              <w:contextualSpacing/>
              <w:jc w:val="right"/>
              <w:rPr>
                <w:rFonts w:ascii="Arial" w:hAnsi="Arial" w:cs="Arial"/>
                <w:b/>
                <w:bCs/>
                <w:color w:val="000000"/>
                <w:sz w:val="20"/>
                <w:szCs w:val="20"/>
                <w:cs/>
              </w:rPr>
            </w:pPr>
            <w:r w:rsidRPr="00CD5714">
              <w:rPr>
                <w:rFonts w:ascii="Arial" w:hAnsi="Arial" w:cs="Arial"/>
                <w:b/>
                <w:bCs/>
                <w:color w:val="000000"/>
                <w:sz w:val="20"/>
                <w:szCs w:val="20"/>
                <w:lang w:val="en-GB"/>
              </w:rPr>
              <w:t>2023</w:t>
            </w:r>
          </w:p>
        </w:tc>
      </w:tr>
      <w:tr w:rsidR="00AB0894" w:rsidRPr="002D2F67" w14:paraId="1E4F7766" w14:textId="77777777" w:rsidTr="005611FE">
        <w:tc>
          <w:tcPr>
            <w:tcW w:w="3510" w:type="dxa"/>
            <w:shd w:val="clear" w:color="auto" w:fill="auto"/>
          </w:tcPr>
          <w:p w14:paraId="13C7A9E2" w14:textId="77777777" w:rsidR="00AB0894" w:rsidRPr="002D2F67" w:rsidRDefault="00AB0894" w:rsidP="005611FE">
            <w:pPr>
              <w:ind w:left="252"/>
              <w:contextualSpacing/>
              <w:rPr>
                <w:rFonts w:ascii="Arial" w:hAnsi="Arial" w:cs="Arial"/>
                <w:b/>
                <w:bCs/>
                <w:color w:val="000000"/>
                <w:sz w:val="20"/>
                <w:szCs w:val="20"/>
              </w:rPr>
            </w:pPr>
          </w:p>
        </w:tc>
        <w:tc>
          <w:tcPr>
            <w:tcW w:w="1440" w:type="dxa"/>
            <w:tcBorders>
              <w:bottom w:val="single" w:sz="4" w:space="0" w:color="auto"/>
            </w:tcBorders>
            <w:shd w:val="clear" w:color="auto" w:fill="auto"/>
          </w:tcPr>
          <w:p w14:paraId="6DCCFA9F" w14:textId="27C10485" w:rsidR="00AB0894" w:rsidRPr="002D2F67" w:rsidRDefault="00AB0894" w:rsidP="005611FE">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6BB79674" w14:textId="386C3C5C" w:rsidR="00AB0894" w:rsidRPr="002D2F67" w:rsidRDefault="00AB0894" w:rsidP="005611FE">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7D13C12B" w14:textId="1861FB88" w:rsidR="00AB0894" w:rsidRPr="002D2F67" w:rsidRDefault="00AB0894" w:rsidP="005611FE">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79E69783" w14:textId="3F2A9864" w:rsidR="00AB0894" w:rsidRPr="002D2F67" w:rsidRDefault="00AB0894" w:rsidP="005611FE">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AB0894" w:rsidRPr="002D2F67" w14:paraId="7B025FDA" w14:textId="77777777" w:rsidTr="005611FE">
        <w:tc>
          <w:tcPr>
            <w:tcW w:w="3510" w:type="dxa"/>
            <w:shd w:val="clear" w:color="auto" w:fill="auto"/>
          </w:tcPr>
          <w:p w14:paraId="69A452CD" w14:textId="77777777" w:rsidR="00AB0894" w:rsidRPr="002D2F67" w:rsidRDefault="00AB0894" w:rsidP="005611FE">
            <w:pPr>
              <w:tabs>
                <w:tab w:val="left" w:pos="1134"/>
                <w:tab w:val="left" w:pos="1276"/>
                <w:tab w:val="center" w:pos="3402"/>
                <w:tab w:val="center" w:pos="4536"/>
                <w:tab w:val="center" w:pos="5670"/>
                <w:tab w:val="center" w:pos="6804"/>
                <w:tab w:val="right" w:pos="7655"/>
              </w:tabs>
              <w:ind w:left="252"/>
              <w:contextualSpacing/>
              <w:rPr>
                <w:rFonts w:ascii="Arial" w:hAnsi="Arial" w:cs="Arial"/>
                <w:color w:val="000000"/>
                <w:sz w:val="20"/>
                <w:szCs w:val="20"/>
              </w:rPr>
            </w:pPr>
          </w:p>
        </w:tc>
        <w:tc>
          <w:tcPr>
            <w:tcW w:w="1440" w:type="dxa"/>
            <w:tcBorders>
              <w:top w:val="single" w:sz="4" w:space="0" w:color="auto"/>
            </w:tcBorders>
            <w:shd w:val="clear" w:color="auto" w:fill="auto"/>
          </w:tcPr>
          <w:p w14:paraId="60097F00" w14:textId="77777777" w:rsidR="00AB0894" w:rsidRPr="002D2F67" w:rsidRDefault="00AB089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675A1EDB" w14:textId="77777777" w:rsidR="00AB0894" w:rsidRPr="002D2F67" w:rsidRDefault="00AB089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075E9B11" w14:textId="77777777" w:rsidR="00AB0894" w:rsidRPr="002D2F67" w:rsidRDefault="00AB089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536F970B" w14:textId="77777777" w:rsidR="00AB0894" w:rsidRPr="002D2F67" w:rsidRDefault="00AB0894" w:rsidP="005611FE">
            <w:pPr>
              <w:ind w:right="-72"/>
              <w:contextualSpacing/>
              <w:jc w:val="right"/>
              <w:rPr>
                <w:rFonts w:ascii="Arial" w:hAnsi="Arial" w:cs="Arial"/>
                <w:color w:val="000000"/>
                <w:sz w:val="20"/>
                <w:szCs w:val="20"/>
              </w:rPr>
            </w:pPr>
          </w:p>
        </w:tc>
      </w:tr>
      <w:tr w:rsidR="00AB0894" w:rsidRPr="002D2F67" w14:paraId="0F18E904" w14:textId="77777777" w:rsidTr="005611FE">
        <w:trPr>
          <w:trHeight w:val="126"/>
        </w:trPr>
        <w:tc>
          <w:tcPr>
            <w:tcW w:w="3510" w:type="dxa"/>
            <w:shd w:val="clear" w:color="auto" w:fill="auto"/>
          </w:tcPr>
          <w:p w14:paraId="5C1193B8" w14:textId="77777777" w:rsidR="00726CAD" w:rsidRPr="002D2F67" w:rsidRDefault="00726CAD" w:rsidP="005611FE">
            <w:pPr>
              <w:tabs>
                <w:tab w:val="left" w:pos="1134"/>
                <w:tab w:val="left" w:pos="1276"/>
                <w:tab w:val="center" w:pos="3402"/>
                <w:tab w:val="center" w:pos="4536"/>
                <w:tab w:val="center" w:pos="5670"/>
                <w:tab w:val="center" w:pos="6804"/>
                <w:tab w:val="right" w:pos="7655"/>
              </w:tabs>
              <w:ind w:left="252"/>
              <w:contextualSpacing/>
              <w:rPr>
                <w:rFonts w:ascii="Arial" w:hAnsi="Arial" w:cs="Arial"/>
                <w:color w:val="000000"/>
                <w:sz w:val="20"/>
                <w:szCs w:val="20"/>
              </w:rPr>
            </w:pPr>
            <w:r w:rsidRPr="002D2F67">
              <w:rPr>
                <w:rFonts w:ascii="Arial" w:hAnsi="Arial" w:cs="Arial"/>
                <w:color w:val="000000"/>
                <w:sz w:val="20"/>
                <w:szCs w:val="20"/>
              </w:rPr>
              <w:t>Advance payment for equipment</w:t>
            </w:r>
          </w:p>
          <w:p w14:paraId="25242CC0" w14:textId="35595C1A" w:rsidR="00AB0894" w:rsidRPr="002D2F67" w:rsidRDefault="00726CAD" w:rsidP="005611FE">
            <w:pPr>
              <w:tabs>
                <w:tab w:val="left" w:pos="1134"/>
                <w:tab w:val="left" w:pos="1276"/>
                <w:tab w:val="center" w:pos="3402"/>
                <w:tab w:val="center" w:pos="4536"/>
                <w:tab w:val="center" w:pos="5670"/>
                <w:tab w:val="center" w:pos="6804"/>
                <w:tab w:val="right" w:pos="7655"/>
              </w:tabs>
              <w:ind w:left="252"/>
              <w:contextualSpacing/>
              <w:rPr>
                <w:rFonts w:ascii="Arial" w:hAnsi="Arial" w:cs="Arial"/>
                <w:color w:val="000000"/>
                <w:sz w:val="20"/>
                <w:szCs w:val="20"/>
              </w:rPr>
            </w:pPr>
            <w:r w:rsidRPr="002D2F67">
              <w:rPr>
                <w:rFonts w:ascii="Arial" w:hAnsi="Arial" w:cs="Arial"/>
                <w:color w:val="000000"/>
                <w:sz w:val="20"/>
                <w:szCs w:val="20"/>
              </w:rPr>
              <w:t xml:space="preserve">   and assets purchase</w:t>
            </w:r>
          </w:p>
        </w:tc>
        <w:tc>
          <w:tcPr>
            <w:tcW w:w="1440" w:type="dxa"/>
            <w:shd w:val="clear" w:color="auto" w:fill="auto"/>
            <w:vAlign w:val="bottom"/>
          </w:tcPr>
          <w:p w14:paraId="77D593A5" w14:textId="77777777" w:rsidR="00AB0894" w:rsidRPr="002D2F67" w:rsidRDefault="00AB0894" w:rsidP="005611FE">
            <w:pPr>
              <w:ind w:right="-72"/>
              <w:contextualSpacing/>
              <w:jc w:val="right"/>
              <w:rPr>
                <w:rFonts w:ascii="Arial" w:hAnsi="Arial" w:cs="Arial"/>
                <w:color w:val="000000"/>
                <w:sz w:val="20"/>
                <w:szCs w:val="20"/>
              </w:rPr>
            </w:pPr>
          </w:p>
        </w:tc>
        <w:tc>
          <w:tcPr>
            <w:tcW w:w="1440" w:type="dxa"/>
            <w:shd w:val="clear" w:color="auto" w:fill="auto"/>
            <w:vAlign w:val="bottom"/>
          </w:tcPr>
          <w:p w14:paraId="578E0F3C" w14:textId="77777777" w:rsidR="00AB0894" w:rsidRPr="002D2F67" w:rsidRDefault="00AB0894" w:rsidP="005611FE">
            <w:pPr>
              <w:ind w:right="-72"/>
              <w:contextualSpacing/>
              <w:jc w:val="right"/>
              <w:rPr>
                <w:rFonts w:ascii="Arial" w:hAnsi="Arial" w:cs="Arial"/>
                <w:color w:val="000000"/>
                <w:sz w:val="20"/>
                <w:szCs w:val="20"/>
                <w:cs/>
              </w:rPr>
            </w:pPr>
          </w:p>
        </w:tc>
        <w:tc>
          <w:tcPr>
            <w:tcW w:w="1440" w:type="dxa"/>
            <w:shd w:val="clear" w:color="auto" w:fill="auto"/>
            <w:vAlign w:val="bottom"/>
          </w:tcPr>
          <w:p w14:paraId="7FEB5905" w14:textId="77777777" w:rsidR="00AB0894" w:rsidRPr="002D2F67" w:rsidRDefault="00AB0894" w:rsidP="005611FE">
            <w:pPr>
              <w:ind w:right="-72"/>
              <w:contextualSpacing/>
              <w:jc w:val="right"/>
              <w:rPr>
                <w:rFonts w:ascii="Arial" w:hAnsi="Arial" w:cs="Arial"/>
                <w:color w:val="000000"/>
                <w:sz w:val="20"/>
                <w:szCs w:val="20"/>
              </w:rPr>
            </w:pPr>
          </w:p>
        </w:tc>
        <w:tc>
          <w:tcPr>
            <w:tcW w:w="1440" w:type="dxa"/>
            <w:shd w:val="clear" w:color="auto" w:fill="auto"/>
            <w:vAlign w:val="bottom"/>
          </w:tcPr>
          <w:p w14:paraId="02C3080F" w14:textId="77777777" w:rsidR="00AB0894" w:rsidRPr="002D2F67" w:rsidRDefault="00AB0894" w:rsidP="005611FE">
            <w:pPr>
              <w:ind w:right="-72"/>
              <w:contextualSpacing/>
              <w:jc w:val="right"/>
              <w:rPr>
                <w:rFonts w:ascii="Arial" w:hAnsi="Arial" w:cs="Arial"/>
                <w:color w:val="000000"/>
                <w:sz w:val="20"/>
                <w:szCs w:val="20"/>
              </w:rPr>
            </w:pPr>
          </w:p>
        </w:tc>
      </w:tr>
      <w:tr w:rsidR="00AE149C" w:rsidRPr="002D2F67" w14:paraId="639B7BF6" w14:textId="77777777" w:rsidTr="005611FE">
        <w:trPr>
          <w:trHeight w:val="126"/>
        </w:trPr>
        <w:tc>
          <w:tcPr>
            <w:tcW w:w="3510" w:type="dxa"/>
            <w:shd w:val="clear" w:color="auto" w:fill="auto"/>
          </w:tcPr>
          <w:p w14:paraId="237ACFDF" w14:textId="3EA6FB6F" w:rsidR="00AE149C" w:rsidRPr="002D2F67" w:rsidRDefault="00AE149C" w:rsidP="005611FE">
            <w:pPr>
              <w:tabs>
                <w:tab w:val="center" w:pos="3402"/>
                <w:tab w:val="center" w:pos="4536"/>
                <w:tab w:val="center" w:pos="5670"/>
                <w:tab w:val="center" w:pos="6804"/>
                <w:tab w:val="right" w:pos="7655"/>
              </w:tabs>
              <w:ind w:left="252"/>
              <w:contextualSpacing/>
              <w:rPr>
                <w:rFonts w:ascii="Arial" w:hAnsi="Arial" w:cs="Arial"/>
                <w:color w:val="000000"/>
                <w:sz w:val="20"/>
                <w:szCs w:val="20"/>
              </w:rPr>
            </w:pPr>
            <w:r w:rsidRPr="002D2F67">
              <w:rPr>
                <w:rFonts w:ascii="Arial" w:hAnsi="Arial" w:cs="Arial"/>
                <w:color w:val="000000"/>
                <w:sz w:val="20"/>
                <w:szCs w:val="20"/>
              </w:rPr>
              <w:t xml:space="preserve">   - Associates</w:t>
            </w:r>
          </w:p>
        </w:tc>
        <w:tc>
          <w:tcPr>
            <w:tcW w:w="1440" w:type="dxa"/>
            <w:shd w:val="clear" w:color="auto" w:fill="auto"/>
            <w:vAlign w:val="bottom"/>
          </w:tcPr>
          <w:p w14:paraId="39857441" w14:textId="4DD30DEB" w:rsidR="00AE149C" w:rsidRPr="002D2F67" w:rsidRDefault="00CD5714" w:rsidP="005611FE">
            <w:pPr>
              <w:ind w:right="-72"/>
              <w:contextualSpacing/>
              <w:jc w:val="right"/>
              <w:rPr>
                <w:rFonts w:ascii="Arial" w:hAnsi="Arial" w:cs="Arial"/>
                <w:color w:val="000000"/>
                <w:sz w:val="20"/>
                <w:szCs w:val="20"/>
              </w:rPr>
            </w:pPr>
            <w:r w:rsidRPr="00CD5714">
              <w:rPr>
                <w:rFonts w:ascii="Arial" w:hAnsi="Arial" w:cs="Arial"/>
                <w:color w:val="000000"/>
                <w:sz w:val="20"/>
                <w:szCs w:val="20"/>
                <w:lang w:val="en-GB"/>
              </w:rPr>
              <w:t>167</w:t>
            </w:r>
          </w:p>
        </w:tc>
        <w:tc>
          <w:tcPr>
            <w:tcW w:w="1440" w:type="dxa"/>
            <w:shd w:val="clear" w:color="auto" w:fill="auto"/>
            <w:vAlign w:val="bottom"/>
          </w:tcPr>
          <w:p w14:paraId="4FC9BE13" w14:textId="6A05537B" w:rsidR="00AE149C" w:rsidRPr="002D2F67" w:rsidRDefault="00CD5714" w:rsidP="005611FE">
            <w:pPr>
              <w:ind w:right="-72"/>
              <w:contextualSpacing/>
              <w:jc w:val="right"/>
              <w:rPr>
                <w:rFonts w:ascii="Arial" w:hAnsi="Arial" w:cs="Arial"/>
                <w:color w:val="000000"/>
                <w:sz w:val="20"/>
                <w:szCs w:val="20"/>
              </w:rPr>
            </w:pPr>
            <w:r w:rsidRPr="00CD5714">
              <w:rPr>
                <w:rFonts w:ascii="Arial" w:hAnsi="Arial" w:cs="Arial"/>
                <w:color w:val="000000"/>
                <w:sz w:val="20"/>
                <w:szCs w:val="20"/>
                <w:lang w:val="en-GB"/>
              </w:rPr>
              <w:t>360</w:t>
            </w:r>
          </w:p>
        </w:tc>
        <w:tc>
          <w:tcPr>
            <w:tcW w:w="1440" w:type="dxa"/>
            <w:shd w:val="clear" w:color="auto" w:fill="auto"/>
            <w:vAlign w:val="bottom"/>
          </w:tcPr>
          <w:p w14:paraId="098DBE4A" w14:textId="0A8A90BD" w:rsidR="00AE149C" w:rsidRPr="002D2F67" w:rsidRDefault="004C1B8E" w:rsidP="005611FE">
            <w:pPr>
              <w:ind w:right="-72"/>
              <w:contextualSpacing/>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vAlign w:val="bottom"/>
          </w:tcPr>
          <w:p w14:paraId="1DC9D921" w14:textId="34B99BC4" w:rsidR="00AE149C" w:rsidRPr="002D2F67" w:rsidRDefault="00AE149C" w:rsidP="005611FE">
            <w:pPr>
              <w:ind w:right="-72"/>
              <w:contextualSpacing/>
              <w:jc w:val="right"/>
              <w:rPr>
                <w:rFonts w:ascii="Arial" w:hAnsi="Arial" w:cs="Arial"/>
                <w:color w:val="000000"/>
                <w:sz w:val="20"/>
                <w:szCs w:val="20"/>
              </w:rPr>
            </w:pPr>
            <w:r w:rsidRPr="002D2F67">
              <w:rPr>
                <w:rFonts w:ascii="Arial" w:hAnsi="Arial" w:cs="Arial"/>
                <w:color w:val="000000"/>
                <w:sz w:val="20"/>
                <w:szCs w:val="20"/>
              </w:rPr>
              <w:t>-</w:t>
            </w:r>
          </w:p>
        </w:tc>
      </w:tr>
      <w:tr w:rsidR="00AE149C" w:rsidRPr="002D2F67" w14:paraId="62D1AD7C" w14:textId="77777777" w:rsidTr="005611FE">
        <w:trPr>
          <w:trHeight w:val="126"/>
        </w:trPr>
        <w:tc>
          <w:tcPr>
            <w:tcW w:w="3510" w:type="dxa"/>
            <w:shd w:val="clear" w:color="auto" w:fill="auto"/>
          </w:tcPr>
          <w:p w14:paraId="5F8DEC58" w14:textId="6BECD201" w:rsidR="00AE149C" w:rsidRPr="002D2F67" w:rsidRDefault="00AE149C" w:rsidP="005611FE">
            <w:pPr>
              <w:tabs>
                <w:tab w:val="center" w:pos="3402"/>
                <w:tab w:val="center" w:pos="4536"/>
                <w:tab w:val="center" w:pos="5670"/>
                <w:tab w:val="center" w:pos="6804"/>
                <w:tab w:val="right" w:pos="7655"/>
              </w:tabs>
              <w:ind w:left="252"/>
              <w:contextualSpacing/>
              <w:rPr>
                <w:rFonts w:ascii="Arial" w:hAnsi="Arial" w:cs="Arial"/>
                <w:color w:val="000000"/>
                <w:sz w:val="20"/>
                <w:szCs w:val="20"/>
              </w:rPr>
            </w:pPr>
            <w:r w:rsidRPr="002D2F67">
              <w:rPr>
                <w:rFonts w:ascii="Arial" w:hAnsi="Arial" w:cs="Arial"/>
                <w:color w:val="000000"/>
                <w:sz w:val="20"/>
                <w:szCs w:val="20"/>
              </w:rPr>
              <w:t xml:space="preserve">   - Joint venture</w:t>
            </w:r>
          </w:p>
        </w:tc>
        <w:tc>
          <w:tcPr>
            <w:tcW w:w="1440" w:type="dxa"/>
            <w:tcBorders>
              <w:bottom w:val="single" w:sz="4" w:space="0" w:color="auto"/>
            </w:tcBorders>
            <w:shd w:val="clear" w:color="auto" w:fill="auto"/>
            <w:vAlign w:val="bottom"/>
          </w:tcPr>
          <w:p w14:paraId="62B0E161" w14:textId="76AFFAFC" w:rsidR="00AE149C" w:rsidRPr="002D2F67" w:rsidRDefault="00CD5714" w:rsidP="005611FE">
            <w:pPr>
              <w:ind w:right="-72"/>
              <w:contextualSpacing/>
              <w:jc w:val="right"/>
              <w:rPr>
                <w:rFonts w:ascii="Arial" w:hAnsi="Arial" w:cs="Arial"/>
                <w:color w:val="000000"/>
                <w:sz w:val="20"/>
                <w:szCs w:val="20"/>
              </w:rPr>
            </w:pPr>
            <w:r w:rsidRPr="00CD5714">
              <w:rPr>
                <w:rFonts w:ascii="Arial" w:hAnsi="Arial" w:cs="Arial"/>
                <w:color w:val="000000"/>
                <w:sz w:val="20"/>
                <w:szCs w:val="20"/>
                <w:lang w:val="en-GB"/>
              </w:rPr>
              <w:t>27</w:t>
            </w:r>
            <w:r w:rsidR="004C1B8E" w:rsidRPr="002D2F67">
              <w:rPr>
                <w:rFonts w:ascii="Arial" w:hAnsi="Arial" w:cs="Arial"/>
                <w:color w:val="000000"/>
                <w:sz w:val="20"/>
                <w:szCs w:val="20"/>
              </w:rPr>
              <w:t>,</w:t>
            </w:r>
            <w:r w:rsidRPr="00CD5714">
              <w:rPr>
                <w:rFonts w:ascii="Arial" w:hAnsi="Arial" w:cs="Arial"/>
                <w:color w:val="000000"/>
                <w:sz w:val="20"/>
                <w:szCs w:val="20"/>
                <w:lang w:val="en-GB"/>
              </w:rPr>
              <w:t>764</w:t>
            </w:r>
          </w:p>
        </w:tc>
        <w:tc>
          <w:tcPr>
            <w:tcW w:w="1440" w:type="dxa"/>
            <w:tcBorders>
              <w:bottom w:val="single" w:sz="4" w:space="0" w:color="auto"/>
            </w:tcBorders>
            <w:shd w:val="clear" w:color="auto" w:fill="auto"/>
            <w:vAlign w:val="bottom"/>
          </w:tcPr>
          <w:p w14:paraId="36C33848" w14:textId="69309B74" w:rsidR="00AE149C" w:rsidRPr="002D2F67" w:rsidRDefault="00CD5714" w:rsidP="005611FE">
            <w:pPr>
              <w:ind w:right="-72"/>
              <w:contextualSpacing/>
              <w:jc w:val="right"/>
              <w:rPr>
                <w:rFonts w:ascii="Arial" w:hAnsi="Arial" w:cs="Arial"/>
                <w:color w:val="000000"/>
                <w:sz w:val="20"/>
                <w:szCs w:val="20"/>
              </w:rPr>
            </w:pPr>
            <w:r w:rsidRPr="00CD5714">
              <w:rPr>
                <w:rFonts w:ascii="Arial" w:hAnsi="Arial" w:cs="Arial"/>
                <w:color w:val="000000"/>
                <w:sz w:val="20"/>
                <w:szCs w:val="20"/>
                <w:lang w:val="en-GB"/>
              </w:rPr>
              <w:t>91</w:t>
            </w:r>
            <w:r w:rsidR="00AE149C" w:rsidRPr="002D2F67">
              <w:rPr>
                <w:rFonts w:ascii="Arial" w:hAnsi="Arial" w:cs="Arial"/>
                <w:color w:val="000000"/>
                <w:sz w:val="20"/>
                <w:szCs w:val="20"/>
              </w:rPr>
              <w:t>,</w:t>
            </w:r>
            <w:r w:rsidRPr="00CD5714">
              <w:rPr>
                <w:rFonts w:ascii="Arial" w:hAnsi="Arial" w:cs="Arial"/>
                <w:color w:val="000000"/>
                <w:sz w:val="20"/>
                <w:szCs w:val="20"/>
                <w:lang w:val="en-GB"/>
              </w:rPr>
              <w:t>622</w:t>
            </w:r>
          </w:p>
        </w:tc>
        <w:tc>
          <w:tcPr>
            <w:tcW w:w="1440" w:type="dxa"/>
            <w:tcBorders>
              <w:bottom w:val="single" w:sz="4" w:space="0" w:color="auto"/>
            </w:tcBorders>
            <w:shd w:val="clear" w:color="auto" w:fill="auto"/>
            <w:vAlign w:val="bottom"/>
          </w:tcPr>
          <w:p w14:paraId="7A52E729" w14:textId="00DF4821" w:rsidR="00AE149C" w:rsidRPr="002D2F67" w:rsidRDefault="004C1B8E" w:rsidP="005611FE">
            <w:pPr>
              <w:ind w:right="-72"/>
              <w:contextualSpacing/>
              <w:jc w:val="right"/>
              <w:rPr>
                <w:rFonts w:ascii="Arial" w:hAnsi="Arial" w:cs="Arial"/>
                <w:color w:val="000000"/>
                <w:sz w:val="20"/>
                <w:szCs w:val="20"/>
              </w:rPr>
            </w:pPr>
            <w:r w:rsidRPr="002D2F67">
              <w:rPr>
                <w:rFonts w:ascii="Arial" w:hAnsi="Arial" w:cs="Arial"/>
                <w:color w:val="000000"/>
                <w:sz w:val="20"/>
                <w:szCs w:val="20"/>
              </w:rPr>
              <w:t>-</w:t>
            </w:r>
          </w:p>
        </w:tc>
        <w:tc>
          <w:tcPr>
            <w:tcW w:w="1440" w:type="dxa"/>
            <w:tcBorders>
              <w:bottom w:val="single" w:sz="4" w:space="0" w:color="auto"/>
            </w:tcBorders>
            <w:shd w:val="clear" w:color="auto" w:fill="auto"/>
            <w:vAlign w:val="bottom"/>
          </w:tcPr>
          <w:p w14:paraId="597B1B43" w14:textId="17686564" w:rsidR="00AE149C" w:rsidRPr="002D2F67" w:rsidRDefault="00AE149C" w:rsidP="005611FE">
            <w:pPr>
              <w:ind w:right="-72"/>
              <w:contextualSpacing/>
              <w:jc w:val="right"/>
              <w:rPr>
                <w:rFonts w:ascii="Arial" w:hAnsi="Arial" w:cs="Arial"/>
                <w:color w:val="000000"/>
                <w:sz w:val="20"/>
                <w:szCs w:val="20"/>
              </w:rPr>
            </w:pPr>
            <w:r w:rsidRPr="002D2F67">
              <w:rPr>
                <w:rFonts w:ascii="Arial" w:hAnsi="Arial" w:cs="Arial"/>
                <w:color w:val="000000"/>
                <w:sz w:val="20"/>
                <w:szCs w:val="20"/>
              </w:rPr>
              <w:t>-</w:t>
            </w:r>
          </w:p>
        </w:tc>
      </w:tr>
    </w:tbl>
    <w:p w14:paraId="473E05AB" w14:textId="44DDA216" w:rsidR="001E6C66" w:rsidRPr="002D2F67" w:rsidRDefault="001E6C66" w:rsidP="005611FE">
      <w:pPr>
        <w:jc w:val="both"/>
        <w:rPr>
          <w:rFonts w:ascii="Arial" w:hAnsi="Arial" w:cs="Arial"/>
          <w:color w:val="000000"/>
          <w:sz w:val="20"/>
          <w:szCs w:val="20"/>
        </w:rPr>
      </w:pPr>
    </w:p>
    <w:p w14:paraId="26AB9F5F" w14:textId="61EFF98C" w:rsidR="001E6C66" w:rsidRPr="002D2F67" w:rsidRDefault="00CD5714" w:rsidP="005611FE">
      <w:pPr>
        <w:pStyle w:val="EASUBHEAD6"/>
        <w:rPr>
          <w:b/>
          <w:bCs/>
          <w:color w:val="000000"/>
          <w:sz w:val="20"/>
          <w:szCs w:val="20"/>
        </w:rPr>
      </w:pPr>
      <w:r w:rsidRPr="00CD5714">
        <w:rPr>
          <w:b/>
          <w:bCs/>
          <w:color w:val="000000"/>
          <w:sz w:val="20"/>
          <w:szCs w:val="20"/>
          <w:lang w:val="en-GB"/>
        </w:rPr>
        <w:t>42</w:t>
      </w:r>
      <w:r w:rsidR="001E6C66" w:rsidRPr="002D2F67">
        <w:rPr>
          <w:b/>
          <w:bCs/>
          <w:color w:val="000000"/>
          <w:sz w:val="20"/>
          <w:szCs w:val="20"/>
        </w:rPr>
        <w:t>.</w:t>
      </w:r>
      <w:r w:rsidRPr="00CD5714">
        <w:rPr>
          <w:b/>
          <w:bCs/>
          <w:color w:val="000000"/>
          <w:sz w:val="20"/>
          <w:szCs w:val="20"/>
          <w:lang w:val="en-GB"/>
        </w:rPr>
        <w:t>5</w:t>
      </w:r>
      <w:r w:rsidR="001E6C66" w:rsidRPr="002D2F67">
        <w:rPr>
          <w:b/>
          <w:bCs/>
          <w:color w:val="000000"/>
          <w:sz w:val="20"/>
          <w:szCs w:val="20"/>
        </w:rPr>
        <w:tab/>
        <w:t>Short-term loans and long-term loans to related parties and related interests</w:t>
      </w:r>
    </w:p>
    <w:p w14:paraId="5991DA0A" w14:textId="77777777" w:rsidR="005E3A1C" w:rsidRPr="002D2F67" w:rsidRDefault="005E3A1C" w:rsidP="005611FE">
      <w:pPr>
        <w:ind w:left="540"/>
        <w:jc w:val="thaiDistribute"/>
        <w:rPr>
          <w:rFonts w:ascii="Arial" w:hAnsi="Arial" w:cs="Arial"/>
          <w:color w:val="000000"/>
          <w:sz w:val="20"/>
          <w:szCs w:val="20"/>
          <w:u w:val="single"/>
        </w:rPr>
      </w:pPr>
      <w:bookmarkStart w:id="9" w:name="_Hlk96104236"/>
    </w:p>
    <w:p w14:paraId="354A6434" w14:textId="6A4EF583" w:rsidR="001E6C66" w:rsidRPr="002D2F67" w:rsidRDefault="001E6C66" w:rsidP="005611FE">
      <w:pPr>
        <w:ind w:left="539"/>
        <w:rPr>
          <w:rFonts w:ascii="Arial" w:hAnsi="Arial" w:cs="Arial"/>
          <w:color w:val="000000"/>
          <w:sz w:val="20"/>
          <w:szCs w:val="20"/>
          <w:u w:val="single"/>
        </w:rPr>
      </w:pPr>
      <w:r w:rsidRPr="002D2F67">
        <w:rPr>
          <w:rFonts w:ascii="Arial" w:hAnsi="Arial" w:cs="Arial"/>
          <w:color w:val="000000"/>
          <w:sz w:val="20"/>
          <w:szCs w:val="20"/>
          <w:u w:val="single"/>
        </w:rPr>
        <w:t>Short-term loans</w:t>
      </w:r>
      <w:bookmarkEnd w:id="9"/>
    </w:p>
    <w:p w14:paraId="01F2E182" w14:textId="23594779" w:rsidR="001E6C66" w:rsidRPr="002D2F67" w:rsidRDefault="001E6C66" w:rsidP="005611FE">
      <w:pPr>
        <w:ind w:left="540"/>
        <w:jc w:val="both"/>
        <w:rPr>
          <w:rFonts w:ascii="Arial" w:hAnsi="Arial" w:cs="Arial"/>
          <w:color w:val="000000"/>
          <w:sz w:val="20"/>
          <w:szCs w:val="20"/>
        </w:rPr>
      </w:pPr>
    </w:p>
    <w:p w14:paraId="3317A1EF" w14:textId="6A735BE8" w:rsidR="005A3B2A" w:rsidRPr="002D2F67" w:rsidRDefault="005A3B2A" w:rsidP="005611FE">
      <w:pPr>
        <w:tabs>
          <w:tab w:val="left" w:pos="540"/>
        </w:tabs>
        <w:ind w:left="540"/>
        <w:jc w:val="both"/>
        <w:rPr>
          <w:rFonts w:ascii="Arial" w:hAnsi="Arial" w:cs="Arial"/>
          <w:color w:val="000000"/>
          <w:sz w:val="20"/>
          <w:szCs w:val="20"/>
        </w:rPr>
      </w:pPr>
      <w:r w:rsidRPr="002D2F67">
        <w:rPr>
          <w:rFonts w:ascii="Arial" w:hAnsi="Arial" w:cs="Arial"/>
          <w:color w:val="000000"/>
          <w:sz w:val="20"/>
          <w:szCs w:val="20"/>
        </w:rPr>
        <w:t xml:space="preserve">As </w:t>
      </w:r>
      <w:proofErr w:type="gramStart"/>
      <w:r w:rsidRPr="002D2F67">
        <w:rPr>
          <w:rFonts w:ascii="Arial" w:hAnsi="Arial" w:cs="Arial"/>
          <w:color w:val="000000"/>
          <w:sz w:val="20"/>
          <w:szCs w:val="20"/>
        </w:rPr>
        <w:t>at</w:t>
      </w:r>
      <w:proofErr w:type="gramEnd"/>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31</w:t>
      </w:r>
      <w:r w:rsidRPr="002D2F67">
        <w:rPr>
          <w:rFonts w:ascii="Arial" w:hAnsi="Arial" w:cs="Arial"/>
          <w:color w:val="000000"/>
          <w:sz w:val="20"/>
          <w:szCs w:val="20"/>
        </w:rPr>
        <w:t xml:space="preserve"> December </w:t>
      </w:r>
      <w:r w:rsidR="00CD5714" w:rsidRPr="00CD5714">
        <w:rPr>
          <w:rFonts w:ascii="Arial" w:hAnsi="Arial" w:cs="Arial"/>
          <w:color w:val="000000"/>
          <w:sz w:val="20"/>
          <w:szCs w:val="20"/>
          <w:lang w:val="en-GB"/>
        </w:rPr>
        <w:t>2024</w:t>
      </w:r>
      <w:r w:rsidRPr="002D2F67">
        <w:rPr>
          <w:rFonts w:ascii="Arial" w:hAnsi="Arial" w:cs="Arial"/>
          <w:color w:val="000000"/>
          <w:sz w:val="20"/>
          <w:szCs w:val="20"/>
        </w:rPr>
        <w:t xml:space="preserve">, the Group issued promissory notes to related parties amounting to Baht </w:t>
      </w:r>
      <w:r w:rsidR="00AE149C" w:rsidRPr="002D2F67">
        <w:rPr>
          <w:rFonts w:ascii="Arial" w:hAnsi="Arial" w:cs="Arial"/>
        </w:rPr>
        <w:br/>
      </w:r>
      <w:r w:rsidR="00CD5714" w:rsidRPr="00CD5714">
        <w:rPr>
          <w:rFonts w:ascii="Arial" w:hAnsi="Arial" w:cs="Arial"/>
          <w:color w:val="000000"/>
          <w:sz w:val="20"/>
          <w:szCs w:val="20"/>
          <w:lang w:val="en-GB"/>
        </w:rPr>
        <w:t>11</w:t>
      </w:r>
      <w:r w:rsidR="00AE149C" w:rsidRPr="002D2F67">
        <w:rPr>
          <w:rFonts w:ascii="Arial" w:hAnsi="Arial" w:cs="Arial"/>
          <w:color w:val="000000"/>
          <w:sz w:val="20"/>
          <w:szCs w:val="20"/>
        </w:rPr>
        <w:t xml:space="preserve"> </w:t>
      </w:r>
      <w:r w:rsidRPr="002D2F67">
        <w:rPr>
          <w:rFonts w:ascii="Arial" w:hAnsi="Arial" w:cs="Arial"/>
          <w:color w:val="000000"/>
          <w:sz w:val="20"/>
          <w:szCs w:val="20"/>
        </w:rPr>
        <w:t xml:space="preserve">million. The promissory notes bore fixed interest </w:t>
      </w:r>
      <w:r w:rsidR="00BD70DA" w:rsidRPr="002D2F67">
        <w:rPr>
          <w:rFonts w:ascii="Arial" w:hAnsi="Arial" w:cs="Arial"/>
          <w:color w:val="000000"/>
          <w:sz w:val="20"/>
          <w:szCs w:val="20"/>
        </w:rPr>
        <w:t>at</w:t>
      </w:r>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6</w:t>
      </w:r>
      <w:r w:rsidR="00624C1F" w:rsidRPr="002D2F67">
        <w:rPr>
          <w:rFonts w:ascii="Arial" w:hAnsi="Arial" w:cs="Arial"/>
          <w:color w:val="000000"/>
          <w:sz w:val="20"/>
          <w:szCs w:val="20"/>
        </w:rPr>
        <w:t>.</w:t>
      </w:r>
      <w:r w:rsidR="00CD5714" w:rsidRPr="00CD5714">
        <w:rPr>
          <w:rFonts w:ascii="Arial" w:hAnsi="Arial" w:cs="Arial"/>
          <w:color w:val="000000"/>
          <w:sz w:val="20"/>
          <w:szCs w:val="20"/>
          <w:lang w:val="en-GB"/>
        </w:rPr>
        <w:t>50</w:t>
      </w:r>
      <w:r w:rsidRPr="002D2F67">
        <w:rPr>
          <w:rFonts w:ascii="Arial" w:hAnsi="Arial" w:cs="Arial"/>
          <w:color w:val="000000"/>
          <w:sz w:val="20"/>
          <w:szCs w:val="20"/>
        </w:rPr>
        <w:t>%</w:t>
      </w:r>
      <w:r w:rsidR="00BD70DA" w:rsidRPr="002D2F67">
        <w:rPr>
          <w:rFonts w:ascii="Arial" w:hAnsi="Arial" w:cs="Arial"/>
          <w:color w:val="000000"/>
          <w:sz w:val="20"/>
          <w:szCs w:val="20"/>
        </w:rPr>
        <w:t xml:space="preserve"> </w:t>
      </w:r>
      <w:r w:rsidRPr="002D2F67">
        <w:rPr>
          <w:rFonts w:ascii="Arial" w:hAnsi="Arial" w:cs="Arial"/>
          <w:color w:val="000000"/>
          <w:sz w:val="20"/>
          <w:szCs w:val="20"/>
        </w:rPr>
        <w:t xml:space="preserve">per annum. (As </w:t>
      </w:r>
      <w:proofErr w:type="gramStart"/>
      <w:r w:rsidRPr="002D2F67">
        <w:rPr>
          <w:rFonts w:ascii="Arial" w:hAnsi="Arial" w:cs="Arial"/>
          <w:color w:val="000000"/>
          <w:sz w:val="20"/>
          <w:szCs w:val="20"/>
        </w:rPr>
        <w:t>at</w:t>
      </w:r>
      <w:proofErr w:type="gramEnd"/>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31</w:t>
      </w:r>
      <w:r w:rsidRPr="002D2F67">
        <w:rPr>
          <w:rFonts w:ascii="Arial" w:hAnsi="Arial" w:cs="Arial"/>
          <w:color w:val="000000"/>
          <w:sz w:val="20"/>
          <w:szCs w:val="20"/>
        </w:rPr>
        <w:t xml:space="preserve"> December </w:t>
      </w:r>
      <w:r w:rsidR="00CD5714" w:rsidRPr="00CD5714">
        <w:rPr>
          <w:rFonts w:ascii="Arial" w:hAnsi="Arial" w:cs="Arial"/>
          <w:color w:val="000000"/>
          <w:sz w:val="20"/>
          <w:szCs w:val="20"/>
          <w:lang w:val="en-GB"/>
        </w:rPr>
        <w:t>2023</w:t>
      </w:r>
      <w:r w:rsidRPr="002D2F67">
        <w:rPr>
          <w:rFonts w:ascii="Arial" w:hAnsi="Arial" w:cs="Arial"/>
          <w:color w:val="000000"/>
          <w:sz w:val="20"/>
          <w:szCs w:val="20"/>
        </w:rPr>
        <w:t xml:space="preserve">: </w:t>
      </w:r>
      <w:r w:rsidR="006F0CB9" w:rsidRPr="002D2F67">
        <w:rPr>
          <w:rFonts w:ascii="Arial" w:hAnsi="Arial" w:cs="Arial"/>
          <w:color w:val="000000"/>
          <w:sz w:val="20"/>
          <w:szCs w:val="20"/>
        </w:rPr>
        <w:t xml:space="preserve">Baht </w:t>
      </w:r>
      <w:r w:rsidR="00CD5714" w:rsidRPr="00CD5714">
        <w:rPr>
          <w:rFonts w:ascii="Arial" w:hAnsi="Arial" w:cs="Arial"/>
          <w:color w:val="000000"/>
          <w:sz w:val="20"/>
          <w:szCs w:val="20"/>
          <w:lang w:val="en-GB"/>
        </w:rPr>
        <w:t>11</w:t>
      </w:r>
      <w:r w:rsidR="006F0CB9" w:rsidRPr="002D2F67">
        <w:rPr>
          <w:rFonts w:ascii="Arial" w:hAnsi="Arial" w:cs="Arial"/>
          <w:color w:val="000000"/>
          <w:sz w:val="20"/>
          <w:szCs w:val="20"/>
        </w:rPr>
        <w:t xml:space="preserve"> million. The promissory notes bore fixed interest </w:t>
      </w:r>
      <w:r w:rsidR="00CD5714" w:rsidRPr="00CD5714">
        <w:rPr>
          <w:rFonts w:ascii="Arial" w:hAnsi="Arial" w:cs="Arial"/>
          <w:color w:val="000000"/>
          <w:sz w:val="20"/>
          <w:szCs w:val="20"/>
          <w:lang w:val="en-GB"/>
        </w:rPr>
        <w:t>6</w:t>
      </w:r>
      <w:r w:rsidR="006F0CB9" w:rsidRPr="002D2F67">
        <w:rPr>
          <w:rFonts w:ascii="Arial" w:hAnsi="Arial" w:cs="Arial"/>
          <w:color w:val="000000"/>
          <w:sz w:val="20"/>
          <w:szCs w:val="20"/>
        </w:rPr>
        <w:t>.</w:t>
      </w:r>
      <w:r w:rsidR="00CD5714" w:rsidRPr="00CD5714">
        <w:rPr>
          <w:rFonts w:ascii="Arial" w:hAnsi="Arial" w:cs="Arial"/>
          <w:color w:val="000000"/>
          <w:sz w:val="20"/>
          <w:szCs w:val="20"/>
          <w:lang w:val="en-GB"/>
        </w:rPr>
        <w:t>50</w:t>
      </w:r>
      <w:r w:rsidR="006F0CB9" w:rsidRPr="002D2F67">
        <w:rPr>
          <w:rFonts w:ascii="Arial" w:hAnsi="Arial" w:cs="Arial"/>
          <w:color w:val="000000"/>
          <w:sz w:val="20"/>
          <w:szCs w:val="20"/>
        </w:rPr>
        <w:t>% per annum</w:t>
      </w:r>
      <w:r w:rsidRPr="002D2F67">
        <w:rPr>
          <w:rFonts w:ascii="Arial" w:hAnsi="Arial" w:cs="Arial"/>
          <w:color w:val="000000"/>
          <w:sz w:val="20"/>
          <w:szCs w:val="20"/>
        </w:rPr>
        <w:t>). The terms of principal repayment and interest repayment are specifi</w:t>
      </w:r>
      <w:r w:rsidR="00D4194B" w:rsidRPr="002D2F67">
        <w:rPr>
          <w:rFonts w:ascii="Arial" w:hAnsi="Arial" w:cs="Arial"/>
          <w:color w:val="000000"/>
          <w:sz w:val="20"/>
          <w:szCs w:val="20"/>
        </w:rPr>
        <w:t>ed in the</w:t>
      </w:r>
      <w:r w:rsidRPr="002D2F67">
        <w:rPr>
          <w:rFonts w:ascii="Arial" w:hAnsi="Arial" w:cs="Arial"/>
          <w:color w:val="000000"/>
          <w:sz w:val="20"/>
          <w:szCs w:val="20"/>
        </w:rPr>
        <w:t xml:space="preserve"> schedules and at call. The said promissory notes are unsecured. </w:t>
      </w:r>
    </w:p>
    <w:p w14:paraId="6024BCD6" w14:textId="77777777" w:rsidR="005A3B2A" w:rsidRPr="002D2F67" w:rsidRDefault="005A3B2A" w:rsidP="005611FE">
      <w:pPr>
        <w:ind w:left="540"/>
        <w:jc w:val="both"/>
        <w:rPr>
          <w:rFonts w:ascii="Arial" w:hAnsi="Arial" w:cs="Arial"/>
          <w:color w:val="000000"/>
          <w:sz w:val="20"/>
          <w:szCs w:val="20"/>
        </w:rPr>
      </w:pPr>
    </w:p>
    <w:p w14:paraId="3E34B8F3" w14:textId="4B679096" w:rsidR="002751D6" w:rsidRPr="002D2F67" w:rsidRDefault="00D64AED" w:rsidP="00254C97">
      <w:pPr>
        <w:ind w:left="540"/>
        <w:jc w:val="both"/>
        <w:rPr>
          <w:rFonts w:ascii="Arial" w:hAnsi="Arial" w:cs="Arial"/>
          <w:color w:val="000000"/>
          <w:sz w:val="20"/>
          <w:szCs w:val="20"/>
        </w:rPr>
      </w:pPr>
      <w:r w:rsidRPr="002D2F67">
        <w:rPr>
          <w:rFonts w:ascii="Arial" w:hAnsi="Arial" w:cs="Arial"/>
          <w:color w:val="000000"/>
          <w:sz w:val="20"/>
          <w:szCs w:val="20"/>
        </w:rPr>
        <w:t xml:space="preserve">As </w:t>
      </w:r>
      <w:proofErr w:type="gramStart"/>
      <w:r w:rsidRPr="002D2F67">
        <w:rPr>
          <w:rFonts w:ascii="Arial" w:hAnsi="Arial" w:cs="Arial"/>
          <w:color w:val="000000"/>
          <w:sz w:val="20"/>
          <w:szCs w:val="20"/>
        </w:rPr>
        <w:t>at</w:t>
      </w:r>
      <w:proofErr w:type="gramEnd"/>
      <w:r w:rsidRPr="002D2F67">
        <w:rPr>
          <w:rFonts w:ascii="Arial" w:hAnsi="Arial" w:cs="Arial"/>
          <w:color w:val="000000"/>
          <w:sz w:val="20"/>
          <w:szCs w:val="20"/>
        </w:rPr>
        <w:t xml:space="preserve"> </w:t>
      </w:r>
      <w:r w:rsidR="00CD5714" w:rsidRPr="00CD5714">
        <w:rPr>
          <w:rFonts w:ascii="Arial" w:hAnsi="Arial" w:cs="Arial"/>
          <w:color w:val="000000"/>
          <w:sz w:val="20"/>
          <w:szCs w:val="20"/>
          <w:lang w:val="en-GB"/>
        </w:rPr>
        <w:t>31</w:t>
      </w:r>
      <w:r w:rsidRPr="002D2F67">
        <w:rPr>
          <w:rFonts w:ascii="Arial" w:hAnsi="Arial" w:cs="Arial"/>
          <w:color w:val="000000"/>
          <w:sz w:val="20"/>
          <w:szCs w:val="20"/>
        </w:rPr>
        <w:t xml:space="preserve"> December </w:t>
      </w:r>
      <w:r w:rsidR="00CD5714" w:rsidRPr="00CD5714">
        <w:rPr>
          <w:rFonts w:ascii="Arial" w:hAnsi="Arial" w:cs="Arial"/>
          <w:color w:val="000000"/>
          <w:sz w:val="20"/>
          <w:szCs w:val="20"/>
          <w:lang w:val="en-GB"/>
        </w:rPr>
        <w:t>2024</w:t>
      </w:r>
      <w:r w:rsidRPr="002D2F67">
        <w:rPr>
          <w:rFonts w:ascii="Arial" w:hAnsi="Arial" w:cs="Arial"/>
          <w:color w:val="000000"/>
          <w:sz w:val="20"/>
          <w:szCs w:val="20"/>
        </w:rPr>
        <w:t xml:space="preserve">, the Company issued promissory notes to related parties amounting to Baht </w:t>
      </w:r>
      <w:r w:rsidR="00CD5714" w:rsidRPr="00CD5714">
        <w:rPr>
          <w:rFonts w:ascii="Arial" w:hAnsi="Arial" w:cs="Arial"/>
          <w:color w:val="000000"/>
          <w:sz w:val="20"/>
          <w:szCs w:val="20"/>
          <w:lang w:val="en-GB"/>
        </w:rPr>
        <w:t>11</w:t>
      </w:r>
      <w:r w:rsidR="00AD4283" w:rsidRPr="002D2F67">
        <w:rPr>
          <w:rFonts w:ascii="Arial" w:hAnsi="Arial" w:cs="Arial"/>
          <w:color w:val="000000"/>
          <w:sz w:val="20"/>
          <w:szCs w:val="20"/>
        </w:rPr>
        <w:t>,</w:t>
      </w:r>
      <w:r w:rsidR="00CD5714" w:rsidRPr="00CD5714">
        <w:rPr>
          <w:rFonts w:ascii="Arial" w:hAnsi="Arial" w:cs="Arial"/>
          <w:color w:val="000000"/>
          <w:sz w:val="20"/>
          <w:szCs w:val="20"/>
          <w:lang w:val="en-GB"/>
        </w:rPr>
        <w:t>666</w:t>
      </w:r>
      <w:r w:rsidRPr="002D2F67">
        <w:rPr>
          <w:rFonts w:ascii="Arial" w:hAnsi="Arial" w:cs="Arial"/>
          <w:color w:val="000000"/>
          <w:sz w:val="20"/>
          <w:szCs w:val="20"/>
        </w:rPr>
        <w:t xml:space="preserve"> million</w:t>
      </w:r>
      <w:r w:rsidR="00FD63FC" w:rsidRPr="002D2F67">
        <w:rPr>
          <w:rFonts w:ascii="Arial" w:hAnsi="Arial" w:cs="Arial"/>
          <w:color w:val="000000"/>
          <w:sz w:val="20"/>
          <w:szCs w:val="20"/>
        </w:rPr>
        <w:t>.</w:t>
      </w:r>
      <w:r w:rsidRPr="002D2F67">
        <w:rPr>
          <w:rFonts w:ascii="Arial" w:hAnsi="Arial" w:cs="Arial"/>
          <w:color w:val="000000"/>
          <w:sz w:val="20"/>
          <w:szCs w:val="20"/>
        </w:rPr>
        <w:t xml:space="preserve"> The promissory notes bore fixed interest between </w:t>
      </w:r>
      <w:r w:rsidR="00CD5714" w:rsidRPr="00CD5714">
        <w:rPr>
          <w:rFonts w:ascii="Arial" w:hAnsi="Arial" w:cs="Arial"/>
          <w:color w:val="000000"/>
          <w:sz w:val="20"/>
          <w:szCs w:val="20"/>
          <w:lang w:val="en-GB"/>
        </w:rPr>
        <w:t>2</w:t>
      </w:r>
      <w:r w:rsidR="00624C1F" w:rsidRPr="002D2F67">
        <w:rPr>
          <w:rFonts w:ascii="Arial" w:hAnsi="Arial" w:cs="Arial"/>
          <w:color w:val="000000"/>
          <w:sz w:val="20"/>
          <w:szCs w:val="20"/>
        </w:rPr>
        <w:t>.</w:t>
      </w:r>
      <w:r w:rsidR="00CD5714" w:rsidRPr="00CD5714">
        <w:rPr>
          <w:rFonts w:ascii="Arial" w:hAnsi="Arial" w:cs="Arial"/>
          <w:color w:val="000000"/>
          <w:sz w:val="20"/>
          <w:szCs w:val="20"/>
          <w:lang w:val="en-GB"/>
        </w:rPr>
        <w:t>25</w:t>
      </w:r>
      <w:r w:rsidRPr="002D2F67">
        <w:rPr>
          <w:rFonts w:ascii="Arial" w:hAnsi="Arial" w:cs="Arial"/>
          <w:color w:val="000000"/>
          <w:sz w:val="20"/>
          <w:szCs w:val="20"/>
        </w:rPr>
        <w:t xml:space="preserve">% and </w:t>
      </w:r>
      <w:r w:rsidR="00CD5714" w:rsidRPr="00CD5714">
        <w:rPr>
          <w:rFonts w:ascii="Arial" w:hAnsi="Arial" w:cs="Arial"/>
          <w:color w:val="000000"/>
          <w:sz w:val="20"/>
          <w:szCs w:val="20"/>
          <w:lang w:val="en-GB"/>
        </w:rPr>
        <w:t>5</w:t>
      </w:r>
      <w:r w:rsidR="00624C1F" w:rsidRPr="002D2F67">
        <w:rPr>
          <w:rFonts w:ascii="Arial" w:hAnsi="Arial" w:cs="Arial"/>
          <w:color w:val="000000"/>
          <w:sz w:val="20"/>
          <w:szCs w:val="20"/>
        </w:rPr>
        <w:t>.</w:t>
      </w:r>
      <w:r w:rsidR="00CD5714" w:rsidRPr="00CD5714">
        <w:rPr>
          <w:rFonts w:ascii="Arial" w:hAnsi="Arial" w:cs="Arial"/>
          <w:color w:val="000000"/>
          <w:sz w:val="20"/>
          <w:szCs w:val="20"/>
          <w:lang w:val="en-GB"/>
        </w:rPr>
        <w:t>93</w:t>
      </w:r>
      <w:r w:rsidRPr="002D2F67">
        <w:rPr>
          <w:rFonts w:ascii="Arial" w:hAnsi="Arial" w:cs="Arial"/>
          <w:color w:val="000000"/>
          <w:sz w:val="20"/>
          <w:szCs w:val="20"/>
        </w:rPr>
        <w:t xml:space="preserve">% per annum </w:t>
      </w:r>
      <w:r w:rsidRPr="002D2F67">
        <w:rPr>
          <w:rFonts w:ascii="Arial" w:hAnsi="Arial" w:cs="Arial"/>
          <w:color w:val="000000"/>
          <w:spacing w:val="-4"/>
          <w:sz w:val="20"/>
          <w:szCs w:val="20"/>
        </w:rPr>
        <w:t xml:space="preserve">and </w:t>
      </w:r>
      <w:r w:rsidR="00624C1F" w:rsidRPr="002D2F67">
        <w:rPr>
          <w:rFonts w:ascii="Arial" w:hAnsi="Arial" w:cs="Arial"/>
          <w:color w:val="000000"/>
          <w:spacing w:val="-4"/>
          <w:sz w:val="20"/>
          <w:szCs w:val="20"/>
        </w:rPr>
        <w:t xml:space="preserve">loan agreements </w:t>
      </w:r>
      <w:r w:rsidR="00AD4283" w:rsidRPr="002D2F67">
        <w:rPr>
          <w:rFonts w:ascii="Arial" w:hAnsi="Arial" w:cs="Arial"/>
          <w:color w:val="000000"/>
          <w:spacing w:val="-4"/>
          <w:sz w:val="20"/>
          <w:szCs w:val="20"/>
        </w:rPr>
        <w:t>amounting</w:t>
      </w:r>
      <w:r w:rsidR="00624C1F" w:rsidRPr="002D2F67">
        <w:rPr>
          <w:rFonts w:ascii="Arial" w:hAnsi="Arial" w:cs="Arial"/>
          <w:color w:val="000000"/>
          <w:spacing w:val="-4"/>
          <w:sz w:val="20"/>
          <w:szCs w:val="20"/>
        </w:rPr>
        <w:t xml:space="preserve"> to US </w:t>
      </w:r>
      <w:r w:rsidR="00070600" w:rsidRPr="002D2F67">
        <w:rPr>
          <w:rFonts w:ascii="Arial" w:hAnsi="Arial" w:cs="Arial"/>
          <w:color w:val="000000"/>
          <w:spacing w:val="-4"/>
          <w:sz w:val="20"/>
          <w:szCs w:val="20"/>
        </w:rPr>
        <w:t>D</w:t>
      </w:r>
      <w:r w:rsidR="00624C1F" w:rsidRPr="002D2F67">
        <w:rPr>
          <w:rFonts w:ascii="Arial" w:hAnsi="Arial" w:cs="Arial"/>
          <w:color w:val="000000"/>
          <w:spacing w:val="-4"/>
          <w:sz w:val="20"/>
          <w:szCs w:val="20"/>
        </w:rPr>
        <w:t xml:space="preserve">ollar </w:t>
      </w:r>
      <w:r w:rsidR="00CD5714" w:rsidRPr="00CD5714">
        <w:rPr>
          <w:rFonts w:ascii="Arial" w:hAnsi="Arial" w:cs="Arial"/>
          <w:color w:val="000000"/>
          <w:spacing w:val="-4"/>
          <w:sz w:val="20"/>
          <w:szCs w:val="20"/>
          <w:lang w:val="en-GB"/>
        </w:rPr>
        <w:t>11</w:t>
      </w:r>
      <w:r w:rsidR="00624C1F" w:rsidRPr="002D2F67">
        <w:rPr>
          <w:rFonts w:ascii="Arial" w:hAnsi="Arial" w:cs="Arial"/>
          <w:color w:val="000000"/>
          <w:spacing w:val="-4"/>
          <w:sz w:val="20"/>
          <w:szCs w:val="20"/>
        </w:rPr>
        <w:t xml:space="preserve"> million with a fixed interest rate of </w:t>
      </w:r>
      <w:r w:rsidR="00CD5714" w:rsidRPr="00CD5714">
        <w:rPr>
          <w:rFonts w:ascii="Arial" w:hAnsi="Arial" w:cs="Arial"/>
          <w:color w:val="000000"/>
          <w:spacing w:val="-4"/>
          <w:sz w:val="20"/>
          <w:szCs w:val="20"/>
          <w:lang w:val="en-GB"/>
        </w:rPr>
        <w:t>3</w:t>
      </w:r>
      <w:r w:rsidR="00624C1F"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31</w:t>
      </w:r>
      <w:r w:rsidR="00624C1F" w:rsidRPr="002D2F67">
        <w:rPr>
          <w:rFonts w:ascii="Arial" w:hAnsi="Arial" w:cs="Arial"/>
          <w:color w:val="000000"/>
          <w:spacing w:val="-4"/>
          <w:sz w:val="20"/>
          <w:szCs w:val="20"/>
        </w:rPr>
        <w:t>% per annum</w:t>
      </w:r>
      <w:r w:rsidRPr="002D2F67">
        <w:rPr>
          <w:rFonts w:ascii="Arial" w:hAnsi="Arial" w:cs="Arial"/>
          <w:color w:val="000000"/>
          <w:spacing w:val="-4"/>
          <w:sz w:val="20"/>
          <w:szCs w:val="20"/>
        </w:rPr>
        <w:t xml:space="preserve"> (As </w:t>
      </w:r>
      <w:proofErr w:type="gramStart"/>
      <w:r w:rsidRPr="002D2F67">
        <w:rPr>
          <w:rFonts w:ascii="Arial" w:hAnsi="Arial" w:cs="Arial"/>
          <w:color w:val="000000"/>
          <w:spacing w:val="-4"/>
          <w:sz w:val="20"/>
          <w:szCs w:val="20"/>
        </w:rPr>
        <w:t>at</w:t>
      </w:r>
      <w:proofErr w:type="gramEnd"/>
      <w:r w:rsidRPr="002D2F67">
        <w:rPr>
          <w:rFonts w:ascii="Arial" w:hAnsi="Arial" w:cs="Arial"/>
          <w:color w:val="000000"/>
          <w:spacing w:val="-4"/>
          <w:sz w:val="20"/>
          <w:szCs w:val="20"/>
        </w:rPr>
        <w:t xml:space="preserve"> </w:t>
      </w:r>
      <w:r w:rsidR="00CD5714" w:rsidRPr="00CD5714">
        <w:rPr>
          <w:rFonts w:ascii="Arial" w:hAnsi="Arial" w:cs="Arial"/>
          <w:color w:val="000000"/>
          <w:spacing w:val="-4"/>
          <w:sz w:val="20"/>
          <w:szCs w:val="20"/>
          <w:lang w:val="en-GB"/>
        </w:rPr>
        <w:t>31</w:t>
      </w:r>
      <w:r w:rsidRPr="002D2F67">
        <w:rPr>
          <w:rFonts w:ascii="Arial" w:hAnsi="Arial" w:cs="Arial"/>
          <w:color w:val="000000"/>
          <w:spacing w:val="-4"/>
          <w:sz w:val="20"/>
          <w:szCs w:val="20"/>
        </w:rPr>
        <w:t xml:space="preserve"> December </w:t>
      </w:r>
      <w:r w:rsidR="00CD5714" w:rsidRPr="00CD5714">
        <w:rPr>
          <w:rFonts w:ascii="Arial" w:hAnsi="Arial" w:cs="Arial"/>
          <w:color w:val="000000"/>
          <w:spacing w:val="-4"/>
          <w:sz w:val="20"/>
          <w:szCs w:val="20"/>
          <w:lang w:val="en-GB"/>
        </w:rPr>
        <w:t>2023</w:t>
      </w:r>
      <w:r w:rsidRPr="002D2F67">
        <w:rPr>
          <w:rFonts w:ascii="Arial" w:hAnsi="Arial" w:cs="Arial"/>
          <w:color w:val="000000"/>
          <w:spacing w:val="-4"/>
          <w:sz w:val="20"/>
          <w:szCs w:val="20"/>
        </w:rPr>
        <w:t xml:space="preserve">: </w:t>
      </w:r>
      <w:r w:rsidR="00AE149C" w:rsidRPr="002D2F67">
        <w:rPr>
          <w:rFonts w:ascii="Arial" w:hAnsi="Arial" w:cs="Arial"/>
          <w:color w:val="000000"/>
          <w:spacing w:val="-4"/>
          <w:sz w:val="20"/>
          <w:szCs w:val="20"/>
        </w:rPr>
        <w:t xml:space="preserve">Baht </w:t>
      </w:r>
      <w:r w:rsidR="00CD5714" w:rsidRPr="00CD5714">
        <w:rPr>
          <w:rFonts w:ascii="Arial" w:hAnsi="Arial" w:cs="Arial"/>
          <w:color w:val="000000"/>
          <w:spacing w:val="-4"/>
          <w:sz w:val="20"/>
          <w:szCs w:val="20"/>
          <w:lang w:val="en-GB"/>
        </w:rPr>
        <w:t>12</w:t>
      </w:r>
      <w:r w:rsidR="00AE149C"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735</w:t>
      </w:r>
      <w:r w:rsidR="00AE149C" w:rsidRPr="002D2F67">
        <w:rPr>
          <w:rFonts w:ascii="Arial" w:hAnsi="Arial" w:cs="Arial"/>
          <w:color w:val="000000"/>
          <w:spacing w:val="-4"/>
          <w:sz w:val="20"/>
          <w:szCs w:val="20"/>
        </w:rPr>
        <w:t xml:space="preserve"> million</w:t>
      </w:r>
      <w:r w:rsidRPr="002D2F67">
        <w:rPr>
          <w:rFonts w:ascii="Arial" w:hAnsi="Arial" w:cs="Arial"/>
          <w:color w:val="000000"/>
          <w:spacing w:val="-4"/>
          <w:sz w:val="20"/>
          <w:szCs w:val="20"/>
        </w:rPr>
        <w:t>.</w:t>
      </w:r>
      <w:r w:rsidRPr="002D2F67">
        <w:rPr>
          <w:rFonts w:ascii="Arial" w:hAnsi="Arial" w:cs="Arial"/>
          <w:color w:val="000000"/>
          <w:sz w:val="20"/>
          <w:szCs w:val="20"/>
        </w:rPr>
        <w:t xml:space="preserve"> The promissory notes bore fixed interest between </w:t>
      </w:r>
      <w:r w:rsidR="00CD5714" w:rsidRPr="00CD5714">
        <w:rPr>
          <w:rFonts w:ascii="Arial" w:hAnsi="Arial" w:cs="Arial"/>
          <w:color w:val="000000"/>
          <w:sz w:val="20"/>
          <w:szCs w:val="20"/>
          <w:lang w:val="en-GB"/>
        </w:rPr>
        <w:t>2</w:t>
      </w:r>
      <w:r w:rsidRPr="002D2F67">
        <w:rPr>
          <w:rFonts w:ascii="Arial" w:hAnsi="Arial" w:cs="Arial"/>
          <w:color w:val="000000"/>
          <w:sz w:val="20"/>
          <w:szCs w:val="20"/>
        </w:rPr>
        <w:t>.</w:t>
      </w:r>
      <w:r w:rsidR="00CD5714" w:rsidRPr="00CD5714">
        <w:rPr>
          <w:rFonts w:ascii="Arial" w:hAnsi="Arial" w:cs="Arial"/>
          <w:color w:val="000000"/>
          <w:sz w:val="20"/>
          <w:szCs w:val="20"/>
          <w:lang w:val="en-GB"/>
        </w:rPr>
        <w:t>14</w:t>
      </w:r>
      <w:r w:rsidRPr="002D2F67">
        <w:rPr>
          <w:rFonts w:ascii="Arial" w:hAnsi="Arial" w:cs="Arial"/>
          <w:color w:val="000000"/>
          <w:sz w:val="20"/>
          <w:szCs w:val="20"/>
        </w:rPr>
        <w:t xml:space="preserve">% </w:t>
      </w:r>
      <w:r w:rsidRPr="002D2F67">
        <w:rPr>
          <w:rFonts w:ascii="Arial" w:hAnsi="Arial" w:cs="Arial"/>
          <w:color w:val="000000"/>
          <w:spacing w:val="-4"/>
          <w:sz w:val="20"/>
          <w:szCs w:val="20"/>
        </w:rPr>
        <w:t xml:space="preserve">and </w:t>
      </w:r>
      <w:r w:rsidR="00CD5714" w:rsidRPr="00CD5714">
        <w:rPr>
          <w:rFonts w:ascii="Arial" w:hAnsi="Arial" w:cs="Arial"/>
          <w:color w:val="000000"/>
          <w:spacing w:val="-4"/>
          <w:sz w:val="20"/>
          <w:szCs w:val="20"/>
          <w:lang w:val="en-GB"/>
        </w:rPr>
        <w:t>3</w:t>
      </w:r>
      <w:r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27</w:t>
      </w:r>
      <w:r w:rsidRPr="002D2F67">
        <w:rPr>
          <w:rFonts w:ascii="Arial" w:hAnsi="Arial" w:cs="Arial"/>
          <w:color w:val="000000"/>
          <w:spacing w:val="-4"/>
          <w:sz w:val="20"/>
          <w:szCs w:val="20"/>
        </w:rPr>
        <w:t xml:space="preserve">% per annum and loan agreement amounting to US </w:t>
      </w:r>
      <w:r w:rsidR="00070600" w:rsidRPr="002D2F67">
        <w:rPr>
          <w:rFonts w:ascii="Arial" w:hAnsi="Arial" w:cs="Arial"/>
          <w:color w:val="000000"/>
          <w:spacing w:val="-4"/>
          <w:sz w:val="20"/>
          <w:szCs w:val="20"/>
        </w:rPr>
        <w:t>D</w:t>
      </w:r>
      <w:r w:rsidRPr="002D2F67">
        <w:rPr>
          <w:rFonts w:ascii="Arial" w:hAnsi="Arial" w:cs="Arial"/>
          <w:color w:val="000000"/>
          <w:spacing w:val="-4"/>
          <w:sz w:val="20"/>
          <w:szCs w:val="20"/>
        </w:rPr>
        <w:t xml:space="preserve">ollar </w:t>
      </w:r>
      <w:r w:rsidR="00CD5714" w:rsidRPr="00CD5714">
        <w:rPr>
          <w:rFonts w:ascii="Arial" w:hAnsi="Arial" w:cs="Arial"/>
          <w:color w:val="000000"/>
          <w:spacing w:val="-4"/>
          <w:sz w:val="20"/>
          <w:szCs w:val="20"/>
          <w:lang w:val="en-GB"/>
        </w:rPr>
        <w:t>12</w:t>
      </w:r>
      <w:r w:rsidRPr="002D2F67">
        <w:rPr>
          <w:rFonts w:ascii="Arial" w:hAnsi="Arial" w:cs="Arial"/>
          <w:color w:val="000000"/>
          <w:spacing w:val="-4"/>
          <w:sz w:val="20"/>
          <w:szCs w:val="20"/>
        </w:rPr>
        <w:t xml:space="preserve"> million). The terms of principal repayment and interest repayment are specifi</w:t>
      </w:r>
      <w:r w:rsidR="00FD63FC" w:rsidRPr="002D2F67">
        <w:rPr>
          <w:rFonts w:ascii="Arial" w:hAnsi="Arial" w:cs="Arial"/>
          <w:color w:val="000000"/>
          <w:spacing w:val="-4"/>
          <w:sz w:val="20"/>
          <w:szCs w:val="20"/>
        </w:rPr>
        <w:t>ed in the</w:t>
      </w:r>
      <w:r w:rsidRPr="002D2F67">
        <w:rPr>
          <w:rFonts w:ascii="Arial" w:hAnsi="Arial" w:cs="Arial"/>
          <w:color w:val="000000"/>
          <w:spacing w:val="-4"/>
          <w:sz w:val="20"/>
          <w:szCs w:val="20"/>
        </w:rPr>
        <w:t xml:space="preserve"> schedules and at call. The</w:t>
      </w:r>
      <w:r w:rsidR="00B668C1">
        <w:rPr>
          <w:rFonts w:ascii="Arial" w:hAnsi="Arial" w:cs="Arial"/>
          <w:color w:val="000000"/>
          <w:spacing w:val="-4"/>
          <w:sz w:val="20"/>
          <w:szCs w:val="20"/>
        </w:rPr>
        <w:t xml:space="preserve">se </w:t>
      </w:r>
      <w:r w:rsidRPr="002D2F67">
        <w:rPr>
          <w:rFonts w:ascii="Arial" w:hAnsi="Arial" w:cs="Arial"/>
          <w:color w:val="000000"/>
          <w:spacing w:val="-4"/>
          <w:sz w:val="20"/>
          <w:szCs w:val="20"/>
        </w:rPr>
        <w:t>loans are unsecured</w:t>
      </w:r>
      <w:r w:rsidRPr="002D2F67">
        <w:rPr>
          <w:rFonts w:ascii="Arial" w:hAnsi="Arial" w:cs="Arial"/>
          <w:color w:val="000000"/>
          <w:sz w:val="20"/>
          <w:szCs w:val="20"/>
        </w:rPr>
        <w:t>.</w:t>
      </w:r>
    </w:p>
    <w:p w14:paraId="45C012A0" w14:textId="77777777" w:rsidR="002751D6" w:rsidRPr="002D2F67" w:rsidRDefault="002751D6" w:rsidP="005611FE">
      <w:pPr>
        <w:ind w:left="540"/>
        <w:jc w:val="both"/>
        <w:rPr>
          <w:rFonts w:ascii="Arial" w:hAnsi="Arial" w:cs="Arial"/>
          <w:color w:val="000000"/>
          <w:sz w:val="20"/>
          <w:szCs w:val="20"/>
        </w:rPr>
      </w:pPr>
    </w:p>
    <w:p w14:paraId="79F62765" w14:textId="47A3F541" w:rsidR="001E6C66" w:rsidRPr="002D2F67" w:rsidRDefault="001E6C66" w:rsidP="005611FE">
      <w:pPr>
        <w:ind w:left="540"/>
        <w:jc w:val="both"/>
        <w:rPr>
          <w:rFonts w:ascii="Arial" w:hAnsi="Arial" w:cs="Arial"/>
          <w:color w:val="000000"/>
          <w:sz w:val="20"/>
          <w:szCs w:val="20"/>
        </w:rPr>
      </w:pPr>
      <w:r w:rsidRPr="002D2F67">
        <w:rPr>
          <w:rFonts w:ascii="Arial" w:hAnsi="Arial" w:cs="Arial"/>
          <w:color w:val="000000"/>
          <w:sz w:val="20"/>
          <w:szCs w:val="20"/>
        </w:rPr>
        <w:t>The movement of short-term loans to related parties can be analysed as follows:</w:t>
      </w:r>
    </w:p>
    <w:p w14:paraId="73524859" w14:textId="77777777" w:rsidR="001E6C66" w:rsidRPr="002D2F67" w:rsidRDefault="001E6C66" w:rsidP="005611FE">
      <w:pPr>
        <w:ind w:left="540"/>
        <w:jc w:val="both"/>
        <w:rPr>
          <w:rFonts w:ascii="Arial" w:hAnsi="Arial" w:cs="Arial"/>
          <w:color w:val="000000"/>
          <w:sz w:val="20"/>
          <w:szCs w:val="20"/>
        </w:rPr>
      </w:pPr>
    </w:p>
    <w:tbl>
      <w:tblPr>
        <w:tblW w:w="9548" w:type="dxa"/>
        <w:tblInd w:w="10" w:type="dxa"/>
        <w:tblLayout w:type="fixed"/>
        <w:tblLook w:val="0000" w:firstRow="0" w:lastRow="0" w:firstColumn="0" w:lastColumn="0" w:noHBand="0" w:noVBand="0"/>
      </w:tblPr>
      <w:tblGrid>
        <w:gridCol w:w="3926"/>
        <w:gridCol w:w="1405"/>
        <w:gridCol w:w="1406"/>
        <w:gridCol w:w="1405"/>
        <w:gridCol w:w="1406"/>
      </w:tblGrid>
      <w:tr w:rsidR="001E6C66" w:rsidRPr="002D2F67" w14:paraId="7D274273" w14:textId="77777777" w:rsidTr="008255E8">
        <w:tc>
          <w:tcPr>
            <w:tcW w:w="3926" w:type="dxa"/>
            <w:shd w:val="clear" w:color="auto" w:fill="auto"/>
          </w:tcPr>
          <w:p w14:paraId="36AE6582" w14:textId="77777777" w:rsidR="001E6C66" w:rsidRPr="002D2F67" w:rsidRDefault="001E6C66" w:rsidP="005611FE">
            <w:pPr>
              <w:ind w:left="526" w:right="-72"/>
              <w:rPr>
                <w:rFonts w:ascii="Arial" w:hAnsi="Arial" w:cs="Arial"/>
                <w:b/>
                <w:bCs/>
                <w:color w:val="000000"/>
                <w:sz w:val="20"/>
                <w:szCs w:val="20"/>
              </w:rPr>
            </w:pPr>
          </w:p>
        </w:tc>
        <w:tc>
          <w:tcPr>
            <w:tcW w:w="2811" w:type="dxa"/>
            <w:gridSpan w:val="2"/>
            <w:tcBorders>
              <w:bottom w:val="single" w:sz="4" w:space="0" w:color="auto"/>
            </w:tcBorders>
            <w:shd w:val="clear" w:color="auto" w:fill="auto"/>
          </w:tcPr>
          <w:p w14:paraId="5B790AB6"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4D9CC3D4"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2811" w:type="dxa"/>
            <w:gridSpan w:val="2"/>
            <w:tcBorders>
              <w:bottom w:val="single" w:sz="4" w:space="0" w:color="auto"/>
            </w:tcBorders>
            <w:shd w:val="clear" w:color="auto" w:fill="auto"/>
          </w:tcPr>
          <w:p w14:paraId="12118272"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Separate </w:t>
            </w:r>
          </w:p>
          <w:p w14:paraId="44C60E81"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B83FCE" w:rsidRPr="002D2F67" w14:paraId="5E1D4CF8" w14:textId="77777777" w:rsidTr="005611FE">
        <w:tc>
          <w:tcPr>
            <w:tcW w:w="3926" w:type="dxa"/>
            <w:shd w:val="clear" w:color="auto" w:fill="auto"/>
          </w:tcPr>
          <w:p w14:paraId="662D42F1" w14:textId="77777777" w:rsidR="00B83FCE" w:rsidRPr="002D2F67" w:rsidRDefault="00B83FCE" w:rsidP="005611FE">
            <w:pPr>
              <w:tabs>
                <w:tab w:val="left" w:pos="1134"/>
                <w:tab w:val="left" w:pos="1276"/>
                <w:tab w:val="center" w:pos="3402"/>
                <w:tab w:val="center" w:pos="4536"/>
                <w:tab w:val="center" w:pos="5670"/>
                <w:tab w:val="center" w:pos="6804"/>
                <w:tab w:val="right" w:pos="7655"/>
              </w:tabs>
              <w:ind w:left="526" w:right="-72"/>
              <w:rPr>
                <w:rFonts w:ascii="Arial" w:hAnsi="Arial" w:cs="Arial"/>
                <w:b/>
                <w:bCs/>
                <w:color w:val="000000"/>
                <w:sz w:val="20"/>
                <w:szCs w:val="20"/>
              </w:rPr>
            </w:pPr>
            <w:r w:rsidRPr="002D2F67">
              <w:rPr>
                <w:rFonts w:ascii="Arial" w:hAnsi="Arial" w:cs="Arial"/>
                <w:b/>
                <w:bCs/>
                <w:color w:val="000000"/>
                <w:sz w:val="20"/>
                <w:szCs w:val="20"/>
              </w:rPr>
              <w:t>For the years ended</w:t>
            </w:r>
          </w:p>
        </w:tc>
        <w:tc>
          <w:tcPr>
            <w:tcW w:w="1405" w:type="dxa"/>
            <w:shd w:val="clear" w:color="auto" w:fill="auto"/>
          </w:tcPr>
          <w:p w14:paraId="716DF97B" w14:textId="4D8CBDDB" w:rsidR="00B83FCE"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06" w:type="dxa"/>
            <w:shd w:val="clear" w:color="auto" w:fill="auto"/>
          </w:tcPr>
          <w:p w14:paraId="2308CD09" w14:textId="40417200" w:rsidR="00B83FCE"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2023</w:t>
            </w:r>
          </w:p>
        </w:tc>
        <w:tc>
          <w:tcPr>
            <w:tcW w:w="1405" w:type="dxa"/>
            <w:shd w:val="clear" w:color="auto" w:fill="auto"/>
          </w:tcPr>
          <w:p w14:paraId="23AE94BC" w14:textId="10273E57" w:rsidR="00B83FCE"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06" w:type="dxa"/>
            <w:shd w:val="clear" w:color="auto" w:fill="auto"/>
          </w:tcPr>
          <w:p w14:paraId="7B8CA831" w14:textId="2B6EEBB3" w:rsidR="00B83FCE"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2023</w:t>
            </w:r>
          </w:p>
        </w:tc>
      </w:tr>
      <w:tr w:rsidR="001E6C66" w:rsidRPr="002D2F67" w14:paraId="110C93C3" w14:textId="77777777" w:rsidTr="005611FE">
        <w:tc>
          <w:tcPr>
            <w:tcW w:w="3926" w:type="dxa"/>
            <w:shd w:val="clear" w:color="auto" w:fill="auto"/>
          </w:tcPr>
          <w:p w14:paraId="251EB8F6" w14:textId="2BB597DA" w:rsidR="001E6C66" w:rsidRPr="002D2F67" w:rsidRDefault="001E6C66" w:rsidP="005611FE">
            <w:pPr>
              <w:tabs>
                <w:tab w:val="left" w:pos="1134"/>
                <w:tab w:val="left" w:pos="1276"/>
                <w:tab w:val="center" w:pos="3402"/>
                <w:tab w:val="center" w:pos="4536"/>
                <w:tab w:val="center" w:pos="5670"/>
                <w:tab w:val="center" w:pos="6804"/>
                <w:tab w:val="right" w:pos="7655"/>
              </w:tabs>
              <w:ind w:left="526" w:right="-72"/>
              <w:rPr>
                <w:rFonts w:ascii="Arial" w:hAnsi="Arial" w:cs="Arial"/>
                <w:b/>
                <w:bCs/>
                <w:color w:val="000000"/>
                <w:sz w:val="20"/>
                <w:szCs w:val="20"/>
              </w:rPr>
            </w:pPr>
            <w:r w:rsidRPr="002D2F67">
              <w:rPr>
                <w:rFonts w:ascii="Arial" w:hAnsi="Arial" w:cs="Arial"/>
                <w:color w:val="000000"/>
                <w:sz w:val="20"/>
                <w:szCs w:val="20"/>
              </w:rPr>
              <w:t xml:space="preserve">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w:t>
            </w:r>
          </w:p>
        </w:tc>
        <w:tc>
          <w:tcPr>
            <w:tcW w:w="1405" w:type="dxa"/>
            <w:tcBorders>
              <w:bottom w:val="single" w:sz="4" w:space="0" w:color="auto"/>
            </w:tcBorders>
            <w:shd w:val="clear" w:color="auto" w:fill="auto"/>
            <w:vAlign w:val="bottom"/>
          </w:tcPr>
          <w:p w14:paraId="26AA7A4E" w14:textId="6BBEE2E3" w:rsidR="001E6C66" w:rsidRPr="002D2F67" w:rsidRDefault="001E6C66"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8F15DC" w:rsidRPr="002D2F67">
              <w:rPr>
                <w:rFonts w:ascii="Arial" w:hAnsi="Arial" w:cs="Arial"/>
                <w:b/>
                <w:bCs/>
                <w:color w:val="000000"/>
                <w:sz w:val="20"/>
                <w:szCs w:val="20"/>
              </w:rPr>
              <w:t>’</w:t>
            </w:r>
            <w:r w:rsidR="00CD5714" w:rsidRPr="00CD5714">
              <w:rPr>
                <w:rFonts w:ascii="Arial" w:hAnsi="Arial" w:cs="Arial"/>
                <w:b/>
                <w:bCs/>
                <w:color w:val="000000"/>
                <w:sz w:val="20"/>
                <w:szCs w:val="20"/>
                <w:lang w:val="en-GB"/>
              </w:rPr>
              <w:t>000</w:t>
            </w:r>
          </w:p>
        </w:tc>
        <w:tc>
          <w:tcPr>
            <w:tcW w:w="1406" w:type="dxa"/>
            <w:tcBorders>
              <w:bottom w:val="single" w:sz="4" w:space="0" w:color="auto"/>
            </w:tcBorders>
            <w:shd w:val="clear" w:color="auto" w:fill="auto"/>
            <w:vAlign w:val="bottom"/>
          </w:tcPr>
          <w:p w14:paraId="7522BA01" w14:textId="2916F343" w:rsidR="001E6C66" w:rsidRPr="002D2F67" w:rsidRDefault="008F15DC"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05" w:type="dxa"/>
            <w:tcBorders>
              <w:bottom w:val="single" w:sz="4" w:space="0" w:color="auto"/>
            </w:tcBorders>
            <w:shd w:val="clear" w:color="auto" w:fill="auto"/>
            <w:vAlign w:val="bottom"/>
          </w:tcPr>
          <w:p w14:paraId="5046B6FE" w14:textId="47F1D137" w:rsidR="001E6C66" w:rsidRPr="002D2F67" w:rsidRDefault="008F15DC"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06" w:type="dxa"/>
            <w:tcBorders>
              <w:bottom w:val="single" w:sz="4" w:space="0" w:color="auto"/>
            </w:tcBorders>
            <w:shd w:val="clear" w:color="auto" w:fill="auto"/>
            <w:vAlign w:val="bottom"/>
          </w:tcPr>
          <w:p w14:paraId="43E70737" w14:textId="5640FA43" w:rsidR="001E6C66" w:rsidRPr="002D2F67" w:rsidRDefault="008F15DC"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1E6C66" w:rsidRPr="002D2F67" w14:paraId="1B39C609" w14:textId="77777777" w:rsidTr="005611FE">
        <w:trPr>
          <w:trHeight w:val="72"/>
        </w:trPr>
        <w:tc>
          <w:tcPr>
            <w:tcW w:w="3926" w:type="dxa"/>
            <w:shd w:val="clear" w:color="auto" w:fill="auto"/>
          </w:tcPr>
          <w:p w14:paraId="1E7664DF" w14:textId="77777777" w:rsidR="001E6C66" w:rsidRPr="002D2F67" w:rsidRDefault="001E6C66" w:rsidP="005611FE">
            <w:pPr>
              <w:tabs>
                <w:tab w:val="left" w:pos="511"/>
              </w:tabs>
              <w:ind w:left="526" w:right="-72"/>
              <w:rPr>
                <w:rFonts w:ascii="Arial" w:hAnsi="Arial" w:cs="Arial"/>
                <w:color w:val="000000"/>
                <w:sz w:val="12"/>
                <w:szCs w:val="12"/>
              </w:rPr>
            </w:pPr>
          </w:p>
        </w:tc>
        <w:tc>
          <w:tcPr>
            <w:tcW w:w="1405" w:type="dxa"/>
            <w:tcBorders>
              <w:top w:val="single" w:sz="4" w:space="0" w:color="auto"/>
            </w:tcBorders>
            <w:shd w:val="clear" w:color="auto" w:fill="auto"/>
            <w:vAlign w:val="bottom"/>
          </w:tcPr>
          <w:p w14:paraId="3F088D89" w14:textId="77777777" w:rsidR="001E6C66" w:rsidRPr="002D2F67" w:rsidRDefault="001E6C66" w:rsidP="005611FE">
            <w:pPr>
              <w:ind w:right="-72"/>
              <w:jc w:val="right"/>
              <w:rPr>
                <w:rFonts w:ascii="Arial" w:hAnsi="Arial" w:cs="Arial"/>
                <w:color w:val="000000"/>
                <w:sz w:val="12"/>
                <w:szCs w:val="12"/>
              </w:rPr>
            </w:pPr>
          </w:p>
        </w:tc>
        <w:tc>
          <w:tcPr>
            <w:tcW w:w="1406" w:type="dxa"/>
            <w:tcBorders>
              <w:top w:val="single" w:sz="4" w:space="0" w:color="auto"/>
            </w:tcBorders>
            <w:shd w:val="clear" w:color="auto" w:fill="auto"/>
            <w:vAlign w:val="bottom"/>
          </w:tcPr>
          <w:p w14:paraId="462AA865" w14:textId="77777777" w:rsidR="001E6C66" w:rsidRPr="002D2F67" w:rsidRDefault="001E6C66" w:rsidP="005611FE">
            <w:pPr>
              <w:ind w:right="-72"/>
              <w:jc w:val="right"/>
              <w:rPr>
                <w:rFonts w:ascii="Arial" w:hAnsi="Arial" w:cs="Arial"/>
                <w:color w:val="000000"/>
                <w:sz w:val="12"/>
                <w:szCs w:val="12"/>
              </w:rPr>
            </w:pPr>
          </w:p>
        </w:tc>
        <w:tc>
          <w:tcPr>
            <w:tcW w:w="1405" w:type="dxa"/>
            <w:tcBorders>
              <w:top w:val="single" w:sz="4" w:space="0" w:color="auto"/>
            </w:tcBorders>
            <w:shd w:val="clear" w:color="auto" w:fill="auto"/>
            <w:vAlign w:val="bottom"/>
          </w:tcPr>
          <w:p w14:paraId="6D8B0C8C" w14:textId="77777777" w:rsidR="001E6C66" w:rsidRPr="002D2F67" w:rsidRDefault="001E6C66" w:rsidP="005611FE">
            <w:pPr>
              <w:ind w:right="-72"/>
              <w:jc w:val="right"/>
              <w:rPr>
                <w:rFonts w:ascii="Arial" w:hAnsi="Arial" w:cs="Arial"/>
                <w:color w:val="000000"/>
                <w:sz w:val="12"/>
                <w:szCs w:val="12"/>
              </w:rPr>
            </w:pPr>
          </w:p>
        </w:tc>
        <w:tc>
          <w:tcPr>
            <w:tcW w:w="1406" w:type="dxa"/>
            <w:tcBorders>
              <w:top w:val="single" w:sz="4" w:space="0" w:color="auto"/>
            </w:tcBorders>
            <w:shd w:val="clear" w:color="auto" w:fill="auto"/>
            <w:vAlign w:val="bottom"/>
          </w:tcPr>
          <w:p w14:paraId="0A6D393E" w14:textId="77777777" w:rsidR="001E6C66" w:rsidRPr="002D2F67" w:rsidRDefault="001E6C66" w:rsidP="005611FE">
            <w:pPr>
              <w:ind w:right="-72"/>
              <w:jc w:val="right"/>
              <w:rPr>
                <w:rFonts w:ascii="Arial" w:hAnsi="Arial" w:cs="Arial"/>
                <w:color w:val="000000"/>
                <w:sz w:val="12"/>
                <w:szCs w:val="12"/>
              </w:rPr>
            </w:pPr>
          </w:p>
        </w:tc>
      </w:tr>
      <w:tr w:rsidR="00AE149C" w:rsidRPr="002D2F67" w14:paraId="537C2A7A" w14:textId="77777777" w:rsidTr="3ABCB9CB">
        <w:trPr>
          <w:trHeight w:val="72"/>
        </w:trPr>
        <w:tc>
          <w:tcPr>
            <w:tcW w:w="3926" w:type="dxa"/>
            <w:shd w:val="clear" w:color="auto" w:fill="auto"/>
          </w:tcPr>
          <w:p w14:paraId="126EF7D4" w14:textId="727A6651" w:rsidR="00AE149C" w:rsidRPr="002D2F67" w:rsidRDefault="00AE149C" w:rsidP="005611FE">
            <w:pPr>
              <w:tabs>
                <w:tab w:val="left" w:pos="511"/>
              </w:tabs>
              <w:ind w:left="526" w:right="-72"/>
              <w:rPr>
                <w:rFonts w:ascii="Arial" w:hAnsi="Arial" w:cs="Arial"/>
                <w:color w:val="000000"/>
                <w:sz w:val="20"/>
                <w:szCs w:val="20"/>
              </w:rPr>
            </w:pPr>
            <w:r w:rsidRPr="002D2F67">
              <w:rPr>
                <w:rFonts w:ascii="Arial" w:hAnsi="Arial" w:cs="Arial"/>
                <w:color w:val="000000"/>
                <w:sz w:val="20"/>
                <w:szCs w:val="20"/>
              </w:rPr>
              <w:t xml:space="preserve">Opening balance, net </w:t>
            </w:r>
          </w:p>
        </w:tc>
        <w:tc>
          <w:tcPr>
            <w:tcW w:w="1405" w:type="dxa"/>
            <w:shd w:val="clear" w:color="auto" w:fill="auto"/>
            <w:vAlign w:val="bottom"/>
          </w:tcPr>
          <w:p w14:paraId="4626281A" w14:textId="232BCB49" w:rsidR="00AE149C"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11</w:t>
            </w:r>
            <w:r w:rsidR="00624C1F" w:rsidRPr="002D2F67">
              <w:rPr>
                <w:rFonts w:ascii="Arial" w:hAnsi="Arial" w:cs="Arial"/>
                <w:color w:val="000000"/>
                <w:sz w:val="20"/>
                <w:szCs w:val="20"/>
              </w:rPr>
              <w:t>,</w:t>
            </w:r>
            <w:r w:rsidRPr="00CD5714">
              <w:rPr>
                <w:rFonts w:ascii="Arial" w:hAnsi="Arial" w:cs="Arial"/>
                <w:color w:val="000000"/>
                <w:sz w:val="20"/>
                <w:szCs w:val="20"/>
                <w:lang w:val="en-GB"/>
              </w:rPr>
              <w:t>200</w:t>
            </w:r>
          </w:p>
        </w:tc>
        <w:tc>
          <w:tcPr>
            <w:tcW w:w="1406" w:type="dxa"/>
            <w:shd w:val="clear" w:color="auto" w:fill="auto"/>
            <w:vAlign w:val="bottom"/>
          </w:tcPr>
          <w:p w14:paraId="40DD4E1A" w14:textId="0E0CA512" w:rsidR="00AE149C"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60</w:t>
            </w:r>
            <w:r w:rsidR="00AE149C" w:rsidRPr="002D2F67">
              <w:rPr>
                <w:rFonts w:ascii="Arial" w:hAnsi="Arial" w:cs="Arial"/>
                <w:color w:val="000000"/>
                <w:sz w:val="20"/>
                <w:szCs w:val="20"/>
              </w:rPr>
              <w:t>,</w:t>
            </w:r>
            <w:r w:rsidRPr="00CD5714">
              <w:rPr>
                <w:rFonts w:ascii="Arial" w:hAnsi="Arial" w:cs="Arial"/>
                <w:color w:val="000000"/>
                <w:sz w:val="20"/>
                <w:szCs w:val="20"/>
                <w:lang w:val="en-GB"/>
              </w:rPr>
              <w:t>800</w:t>
            </w:r>
          </w:p>
        </w:tc>
        <w:tc>
          <w:tcPr>
            <w:tcW w:w="1405" w:type="dxa"/>
            <w:tcBorders>
              <w:top w:val="nil"/>
              <w:left w:val="nil"/>
              <w:right w:val="nil"/>
            </w:tcBorders>
            <w:shd w:val="clear" w:color="auto" w:fill="auto"/>
            <w:vAlign w:val="bottom"/>
          </w:tcPr>
          <w:p w14:paraId="050A216D" w14:textId="35003E2A" w:rsidR="00AE149C"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13</w:t>
            </w:r>
            <w:r w:rsidR="00624C1F" w:rsidRPr="002D2F67">
              <w:rPr>
                <w:rFonts w:ascii="Arial" w:hAnsi="Arial" w:cs="Arial"/>
                <w:color w:val="000000"/>
                <w:sz w:val="20"/>
                <w:szCs w:val="20"/>
              </w:rPr>
              <w:t>,</w:t>
            </w:r>
            <w:r w:rsidRPr="00CD5714">
              <w:rPr>
                <w:rFonts w:ascii="Arial" w:hAnsi="Arial" w:cs="Arial"/>
                <w:color w:val="000000"/>
                <w:sz w:val="20"/>
                <w:szCs w:val="20"/>
                <w:lang w:val="en-GB"/>
              </w:rPr>
              <w:t>143</w:t>
            </w:r>
            <w:r w:rsidR="00624C1F" w:rsidRPr="002D2F67">
              <w:rPr>
                <w:rFonts w:ascii="Arial" w:hAnsi="Arial" w:cs="Arial"/>
                <w:color w:val="000000"/>
                <w:sz w:val="20"/>
                <w:szCs w:val="20"/>
              </w:rPr>
              <w:t>,</w:t>
            </w:r>
            <w:r w:rsidRPr="00CD5714">
              <w:rPr>
                <w:rFonts w:ascii="Arial" w:hAnsi="Arial" w:cs="Arial"/>
                <w:color w:val="000000"/>
                <w:sz w:val="20"/>
                <w:szCs w:val="20"/>
                <w:lang w:val="en-GB"/>
              </w:rPr>
              <w:t>708</w:t>
            </w:r>
          </w:p>
        </w:tc>
        <w:tc>
          <w:tcPr>
            <w:tcW w:w="1406" w:type="dxa"/>
            <w:shd w:val="clear" w:color="auto" w:fill="auto"/>
            <w:vAlign w:val="bottom"/>
          </w:tcPr>
          <w:p w14:paraId="70B10E3D" w14:textId="328FF3F1" w:rsidR="00AE149C"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12</w:t>
            </w:r>
            <w:r w:rsidR="00AE149C" w:rsidRPr="002D2F67">
              <w:rPr>
                <w:rFonts w:ascii="Arial" w:hAnsi="Arial" w:cs="Arial"/>
                <w:color w:val="000000"/>
                <w:sz w:val="20"/>
                <w:szCs w:val="20"/>
              </w:rPr>
              <w:t>,</w:t>
            </w:r>
            <w:r w:rsidRPr="00CD5714">
              <w:rPr>
                <w:rFonts w:ascii="Arial" w:hAnsi="Arial" w:cs="Arial"/>
                <w:color w:val="000000"/>
                <w:sz w:val="20"/>
                <w:szCs w:val="20"/>
                <w:lang w:val="en-GB"/>
              </w:rPr>
              <w:t>622</w:t>
            </w:r>
            <w:r w:rsidR="00AE149C" w:rsidRPr="002D2F67">
              <w:rPr>
                <w:rFonts w:ascii="Arial" w:hAnsi="Arial" w:cs="Arial"/>
                <w:color w:val="000000"/>
                <w:sz w:val="20"/>
                <w:szCs w:val="20"/>
              </w:rPr>
              <w:t>,</w:t>
            </w:r>
            <w:r w:rsidRPr="00CD5714">
              <w:rPr>
                <w:rFonts w:ascii="Arial" w:hAnsi="Arial" w:cs="Arial"/>
                <w:color w:val="000000"/>
                <w:sz w:val="20"/>
                <w:szCs w:val="20"/>
                <w:lang w:val="en-GB"/>
              </w:rPr>
              <w:t>924</w:t>
            </w:r>
          </w:p>
        </w:tc>
      </w:tr>
      <w:tr w:rsidR="00AE149C" w:rsidRPr="002D2F67" w14:paraId="0BE86D91" w14:textId="77777777" w:rsidTr="3ABCB9CB">
        <w:trPr>
          <w:trHeight w:val="72"/>
        </w:trPr>
        <w:tc>
          <w:tcPr>
            <w:tcW w:w="3926" w:type="dxa"/>
            <w:shd w:val="clear" w:color="auto" w:fill="auto"/>
          </w:tcPr>
          <w:p w14:paraId="5D766EF3" w14:textId="77777777" w:rsidR="00AE149C" w:rsidRPr="002D2F67" w:rsidRDefault="00AE149C" w:rsidP="005611FE">
            <w:pPr>
              <w:tabs>
                <w:tab w:val="left" w:pos="511"/>
              </w:tabs>
              <w:ind w:left="526" w:right="-72"/>
              <w:rPr>
                <w:rFonts w:ascii="Arial" w:hAnsi="Arial" w:cs="Arial"/>
                <w:color w:val="000000"/>
                <w:sz w:val="20"/>
                <w:szCs w:val="20"/>
              </w:rPr>
            </w:pPr>
            <w:r w:rsidRPr="002D2F67">
              <w:rPr>
                <w:rFonts w:ascii="Arial" w:hAnsi="Arial" w:cs="Arial"/>
                <w:color w:val="000000"/>
                <w:sz w:val="20"/>
                <w:szCs w:val="20"/>
              </w:rPr>
              <w:t>Cash flows:</w:t>
            </w:r>
          </w:p>
        </w:tc>
        <w:tc>
          <w:tcPr>
            <w:tcW w:w="1405" w:type="dxa"/>
            <w:shd w:val="clear" w:color="auto" w:fill="auto"/>
            <w:vAlign w:val="bottom"/>
          </w:tcPr>
          <w:p w14:paraId="238B37F2" w14:textId="77777777" w:rsidR="00AE149C" w:rsidRPr="002D2F67" w:rsidRDefault="00AE149C" w:rsidP="005611FE">
            <w:pPr>
              <w:ind w:right="-72"/>
              <w:jc w:val="right"/>
              <w:rPr>
                <w:rFonts w:ascii="Arial" w:hAnsi="Arial" w:cs="Arial"/>
                <w:color w:val="000000"/>
                <w:sz w:val="20"/>
                <w:szCs w:val="20"/>
              </w:rPr>
            </w:pPr>
          </w:p>
        </w:tc>
        <w:tc>
          <w:tcPr>
            <w:tcW w:w="1406" w:type="dxa"/>
            <w:shd w:val="clear" w:color="auto" w:fill="auto"/>
            <w:vAlign w:val="bottom"/>
          </w:tcPr>
          <w:p w14:paraId="2EEE0652" w14:textId="77777777" w:rsidR="00AE149C" w:rsidRPr="002D2F67" w:rsidRDefault="00AE149C" w:rsidP="005611FE">
            <w:pPr>
              <w:ind w:right="-72"/>
              <w:jc w:val="right"/>
              <w:rPr>
                <w:rFonts w:ascii="Arial" w:hAnsi="Arial" w:cs="Arial"/>
                <w:color w:val="000000"/>
                <w:sz w:val="20"/>
                <w:szCs w:val="20"/>
              </w:rPr>
            </w:pPr>
          </w:p>
        </w:tc>
        <w:tc>
          <w:tcPr>
            <w:tcW w:w="1405" w:type="dxa"/>
            <w:tcBorders>
              <w:top w:val="nil"/>
              <w:left w:val="nil"/>
              <w:right w:val="nil"/>
            </w:tcBorders>
            <w:shd w:val="clear" w:color="auto" w:fill="auto"/>
            <w:vAlign w:val="bottom"/>
          </w:tcPr>
          <w:p w14:paraId="7C755599" w14:textId="64C8B6F9" w:rsidR="00AE149C" w:rsidRPr="002D2F67" w:rsidRDefault="00AE149C" w:rsidP="005611FE">
            <w:pPr>
              <w:ind w:right="-72"/>
              <w:jc w:val="right"/>
              <w:rPr>
                <w:rFonts w:ascii="Arial" w:hAnsi="Arial" w:cs="Arial"/>
                <w:color w:val="000000"/>
                <w:sz w:val="20"/>
                <w:szCs w:val="20"/>
              </w:rPr>
            </w:pPr>
          </w:p>
        </w:tc>
        <w:tc>
          <w:tcPr>
            <w:tcW w:w="1406" w:type="dxa"/>
            <w:shd w:val="clear" w:color="auto" w:fill="auto"/>
            <w:vAlign w:val="bottom"/>
          </w:tcPr>
          <w:p w14:paraId="3C61B84E" w14:textId="7A6E4D5D" w:rsidR="00AE149C" w:rsidRPr="002D2F67" w:rsidRDefault="00AE149C" w:rsidP="005611FE">
            <w:pPr>
              <w:ind w:right="-72"/>
              <w:jc w:val="right"/>
              <w:rPr>
                <w:rFonts w:ascii="Arial" w:hAnsi="Arial" w:cs="Arial"/>
                <w:color w:val="000000"/>
                <w:sz w:val="20"/>
                <w:szCs w:val="20"/>
              </w:rPr>
            </w:pPr>
          </w:p>
        </w:tc>
      </w:tr>
      <w:tr w:rsidR="00AE149C" w:rsidRPr="002D2F67" w14:paraId="1A489653" w14:textId="77777777" w:rsidTr="3ABCB9CB">
        <w:tc>
          <w:tcPr>
            <w:tcW w:w="3926" w:type="dxa"/>
            <w:shd w:val="clear" w:color="auto" w:fill="auto"/>
          </w:tcPr>
          <w:p w14:paraId="6EC0165C" w14:textId="77777777" w:rsidR="00AE149C" w:rsidRPr="002D2F67" w:rsidRDefault="00AE149C" w:rsidP="005611FE">
            <w:pPr>
              <w:tabs>
                <w:tab w:val="left" w:pos="511"/>
              </w:tabs>
              <w:ind w:left="526" w:right="-72"/>
              <w:rPr>
                <w:rFonts w:ascii="Arial" w:hAnsi="Arial" w:cs="Arial"/>
                <w:color w:val="000000"/>
                <w:sz w:val="20"/>
                <w:szCs w:val="20"/>
              </w:rPr>
            </w:pPr>
            <w:r w:rsidRPr="002D2F67">
              <w:rPr>
                <w:rFonts w:ascii="Arial" w:hAnsi="Arial" w:cs="Arial"/>
                <w:color w:val="000000"/>
                <w:sz w:val="20"/>
                <w:szCs w:val="20"/>
              </w:rPr>
              <w:t xml:space="preserve">   Additions during the year</w:t>
            </w:r>
          </w:p>
        </w:tc>
        <w:tc>
          <w:tcPr>
            <w:tcW w:w="1405" w:type="dxa"/>
            <w:shd w:val="clear" w:color="auto" w:fill="auto"/>
            <w:vAlign w:val="bottom"/>
          </w:tcPr>
          <w:p w14:paraId="5A26BA96" w14:textId="1AF5F736" w:rsidR="00AE149C" w:rsidRPr="002D2F67" w:rsidRDefault="00624C1F"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06" w:type="dxa"/>
            <w:shd w:val="clear" w:color="auto" w:fill="auto"/>
            <w:vAlign w:val="bottom"/>
          </w:tcPr>
          <w:p w14:paraId="1AD0ED61" w14:textId="6A090BF7" w:rsidR="00AE149C" w:rsidRPr="002D2F67" w:rsidRDefault="00AE149C"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05" w:type="dxa"/>
            <w:tcBorders>
              <w:top w:val="nil"/>
              <w:left w:val="nil"/>
              <w:right w:val="nil"/>
            </w:tcBorders>
            <w:shd w:val="clear" w:color="auto" w:fill="auto"/>
            <w:vAlign w:val="bottom"/>
          </w:tcPr>
          <w:p w14:paraId="5C2F5065" w14:textId="544BDD55" w:rsidR="00AE149C"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5</w:t>
            </w:r>
            <w:r w:rsidR="00624C1F" w:rsidRPr="002D2F67">
              <w:rPr>
                <w:rFonts w:ascii="Arial" w:hAnsi="Arial" w:cs="Arial"/>
                <w:color w:val="000000"/>
                <w:sz w:val="20"/>
                <w:szCs w:val="20"/>
              </w:rPr>
              <w:t>,</w:t>
            </w:r>
            <w:r w:rsidRPr="00CD5714">
              <w:rPr>
                <w:rFonts w:ascii="Arial" w:hAnsi="Arial" w:cs="Arial"/>
                <w:color w:val="000000"/>
                <w:sz w:val="20"/>
                <w:szCs w:val="20"/>
                <w:lang w:val="en-GB"/>
              </w:rPr>
              <w:t>032</w:t>
            </w:r>
            <w:r w:rsidR="00624C1F" w:rsidRPr="002D2F67">
              <w:rPr>
                <w:rFonts w:ascii="Arial" w:hAnsi="Arial" w:cs="Arial"/>
                <w:color w:val="000000"/>
                <w:sz w:val="20"/>
                <w:szCs w:val="20"/>
              </w:rPr>
              <w:t>,</w:t>
            </w:r>
            <w:r w:rsidRPr="00CD5714">
              <w:rPr>
                <w:rFonts w:ascii="Arial" w:hAnsi="Arial" w:cs="Arial"/>
                <w:color w:val="000000"/>
                <w:sz w:val="20"/>
                <w:szCs w:val="20"/>
                <w:lang w:val="en-GB"/>
              </w:rPr>
              <w:t>528</w:t>
            </w:r>
          </w:p>
        </w:tc>
        <w:tc>
          <w:tcPr>
            <w:tcW w:w="1406" w:type="dxa"/>
            <w:shd w:val="clear" w:color="auto" w:fill="auto"/>
            <w:vAlign w:val="bottom"/>
          </w:tcPr>
          <w:p w14:paraId="1E2C0856" w14:textId="55FB35CC" w:rsidR="00AE149C"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10</w:t>
            </w:r>
            <w:r w:rsidR="00AE149C" w:rsidRPr="002D2F67">
              <w:rPr>
                <w:rFonts w:ascii="Arial" w:hAnsi="Arial" w:cs="Arial"/>
                <w:color w:val="000000"/>
                <w:sz w:val="20"/>
                <w:szCs w:val="20"/>
              </w:rPr>
              <w:t>,</w:t>
            </w:r>
            <w:r w:rsidRPr="00CD5714">
              <w:rPr>
                <w:rFonts w:ascii="Arial" w:hAnsi="Arial" w:cs="Arial"/>
                <w:color w:val="000000"/>
                <w:sz w:val="20"/>
                <w:szCs w:val="20"/>
                <w:lang w:val="en-GB"/>
              </w:rPr>
              <w:t>083</w:t>
            </w:r>
            <w:r w:rsidR="00AE149C" w:rsidRPr="002D2F67">
              <w:rPr>
                <w:rFonts w:ascii="Arial" w:hAnsi="Arial" w:cs="Arial"/>
                <w:color w:val="000000"/>
                <w:sz w:val="20"/>
                <w:szCs w:val="20"/>
              </w:rPr>
              <w:t>,</w:t>
            </w:r>
            <w:r w:rsidRPr="00CD5714">
              <w:rPr>
                <w:rFonts w:ascii="Arial" w:hAnsi="Arial" w:cs="Arial"/>
                <w:color w:val="000000"/>
                <w:sz w:val="20"/>
                <w:szCs w:val="20"/>
                <w:lang w:val="en-GB"/>
              </w:rPr>
              <w:t>411</w:t>
            </w:r>
          </w:p>
        </w:tc>
      </w:tr>
      <w:tr w:rsidR="00AE149C" w:rsidRPr="002D2F67" w14:paraId="0BFD58DF" w14:textId="77777777" w:rsidTr="3ABCB9CB">
        <w:tc>
          <w:tcPr>
            <w:tcW w:w="3926" w:type="dxa"/>
            <w:shd w:val="clear" w:color="auto" w:fill="auto"/>
          </w:tcPr>
          <w:p w14:paraId="6DBBA1C7" w14:textId="77777777" w:rsidR="00AE149C" w:rsidRPr="002D2F67" w:rsidRDefault="00AE149C" w:rsidP="005611FE">
            <w:pPr>
              <w:ind w:left="526" w:right="-72"/>
              <w:rPr>
                <w:rFonts w:ascii="Arial" w:hAnsi="Arial" w:cs="Arial"/>
                <w:color w:val="000000"/>
                <w:spacing w:val="-6"/>
                <w:sz w:val="20"/>
                <w:szCs w:val="20"/>
              </w:rPr>
            </w:pPr>
            <w:r w:rsidRPr="002D2F67">
              <w:rPr>
                <w:rFonts w:ascii="Arial" w:hAnsi="Arial" w:cs="Arial"/>
                <w:color w:val="000000"/>
                <w:sz w:val="20"/>
                <w:szCs w:val="20"/>
              </w:rPr>
              <w:t xml:space="preserve">   </w:t>
            </w:r>
            <w:r w:rsidRPr="002D2F67">
              <w:rPr>
                <w:rFonts w:ascii="Arial" w:hAnsi="Arial" w:cs="Arial"/>
                <w:color w:val="000000"/>
                <w:spacing w:val="-6"/>
                <w:sz w:val="20"/>
                <w:szCs w:val="20"/>
              </w:rPr>
              <w:t>Repayments during the year</w:t>
            </w:r>
          </w:p>
        </w:tc>
        <w:tc>
          <w:tcPr>
            <w:tcW w:w="1405" w:type="dxa"/>
            <w:shd w:val="clear" w:color="auto" w:fill="auto"/>
            <w:vAlign w:val="bottom"/>
          </w:tcPr>
          <w:p w14:paraId="523A2EE7" w14:textId="69199946" w:rsidR="00AE149C" w:rsidRPr="002D2F67" w:rsidRDefault="00624C1F"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06" w:type="dxa"/>
            <w:shd w:val="clear" w:color="auto" w:fill="auto"/>
            <w:vAlign w:val="bottom"/>
          </w:tcPr>
          <w:p w14:paraId="1D262511" w14:textId="0666DABB" w:rsidR="00AE149C" w:rsidRPr="002D2F67" w:rsidRDefault="00AE149C"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49</w:t>
            </w:r>
            <w:r w:rsidRPr="002D2F67">
              <w:rPr>
                <w:rFonts w:ascii="Arial" w:hAnsi="Arial" w:cs="Arial"/>
                <w:color w:val="000000"/>
                <w:sz w:val="20"/>
                <w:szCs w:val="20"/>
              </w:rPr>
              <w:t>,</w:t>
            </w:r>
            <w:r w:rsidR="00CD5714" w:rsidRPr="00CD5714">
              <w:rPr>
                <w:rFonts w:ascii="Arial" w:hAnsi="Arial" w:cs="Arial"/>
                <w:color w:val="000000"/>
                <w:sz w:val="20"/>
                <w:szCs w:val="20"/>
                <w:lang w:val="en-GB"/>
              </w:rPr>
              <w:t>600</w:t>
            </w:r>
            <w:r w:rsidRPr="002D2F67">
              <w:rPr>
                <w:rFonts w:ascii="Arial" w:hAnsi="Arial" w:cs="Arial"/>
                <w:color w:val="000000"/>
                <w:sz w:val="20"/>
                <w:szCs w:val="20"/>
              </w:rPr>
              <w:t>)</w:t>
            </w:r>
          </w:p>
        </w:tc>
        <w:tc>
          <w:tcPr>
            <w:tcW w:w="1405" w:type="dxa"/>
            <w:tcBorders>
              <w:top w:val="nil"/>
              <w:left w:val="nil"/>
              <w:right w:val="nil"/>
            </w:tcBorders>
            <w:shd w:val="clear" w:color="auto" w:fill="auto"/>
            <w:vAlign w:val="bottom"/>
          </w:tcPr>
          <w:p w14:paraId="5B68CC26" w14:textId="61C51FB0" w:rsidR="00AE149C" w:rsidRPr="002D2F67" w:rsidRDefault="00624C1F"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2</w:t>
            </w:r>
            <w:r w:rsidRPr="002D2F67">
              <w:rPr>
                <w:rFonts w:ascii="Arial" w:hAnsi="Arial" w:cs="Arial"/>
                <w:color w:val="000000"/>
                <w:sz w:val="20"/>
                <w:szCs w:val="20"/>
              </w:rPr>
              <w:t>,</w:t>
            </w:r>
            <w:r w:rsidR="00CD5714" w:rsidRPr="00CD5714">
              <w:rPr>
                <w:rFonts w:ascii="Arial" w:hAnsi="Arial" w:cs="Arial"/>
                <w:color w:val="000000"/>
                <w:sz w:val="20"/>
                <w:szCs w:val="20"/>
                <w:lang w:val="en-GB"/>
              </w:rPr>
              <w:t>571</w:t>
            </w:r>
            <w:r w:rsidRPr="002D2F67">
              <w:rPr>
                <w:rFonts w:ascii="Arial" w:hAnsi="Arial" w:cs="Arial"/>
                <w:color w:val="000000"/>
                <w:sz w:val="20"/>
                <w:szCs w:val="20"/>
              </w:rPr>
              <w:t>,</w:t>
            </w:r>
            <w:r w:rsidR="00CD5714" w:rsidRPr="00CD5714">
              <w:rPr>
                <w:rFonts w:ascii="Arial" w:hAnsi="Arial" w:cs="Arial"/>
                <w:color w:val="000000"/>
                <w:sz w:val="20"/>
                <w:szCs w:val="20"/>
                <w:lang w:val="en-GB"/>
              </w:rPr>
              <w:t>600</w:t>
            </w:r>
            <w:r w:rsidRPr="002D2F67">
              <w:rPr>
                <w:rFonts w:ascii="Arial" w:hAnsi="Arial" w:cs="Arial"/>
                <w:color w:val="000000"/>
                <w:sz w:val="20"/>
                <w:szCs w:val="20"/>
              </w:rPr>
              <w:t>)</w:t>
            </w:r>
          </w:p>
        </w:tc>
        <w:tc>
          <w:tcPr>
            <w:tcW w:w="1406" w:type="dxa"/>
            <w:shd w:val="clear" w:color="auto" w:fill="auto"/>
            <w:vAlign w:val="bottom"/>
          </w:tcPr>
          <w:p w14:paraId="5E6CB8E0" w14:textId="66E02190" w:rsidR="00AE149C" w:rsidRPr="002D2F67" w:rsidRDefault="00AE149C"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6</w:t>
            </w:r>
            <w:r w:rsidRPr="002D2F67">
              <w:rPr>
                <w:rFonts w:ascii="Arial" w:hAnsi="Arial" w:cs="Arial"/>
                <w:color w:val="000000"/>
                <w:sz w:val="20"/>
                <w:szCs w:val="20"/>
              </w:rPr>
              <w:t>,</w:t>
            </w:r>
            <w:r w:rsidR="00CD5714" w:rsidRPr="00CD5714">
              <w:rPr>
                <w:rFonts w:ascii="Arial" w:hAnsi="Arial" w:cs="Arial"/>
                <w:color w:val="000000"/>
                <w:sz w:val="20"/>
                <w:szCs w:val="20"/>
                <w:lang w:val="en-GB"/>
              </w:rPr>
              <w:t>430</w:t>
            </w:r>
            <w:r w:rsidRPr="002D2F67">
              <w:rPr>
                <w:rFonts w:ascii="Arial" w:hAnsi="Arial" w:cs="Arial"/>
                <w:color w:val="000000"/>
                <w:sz w:val="20"/>
                <w:szCs w:val="20"/>
              </w:rPr>
              <w:t>,</w:t>
            </w:r>
            <w:r w:rsidR="00CD5714" w:rsidRPr="00CD5714">
              <w:rPr>
                <w:rFonts w:ascii="Arial" w:hAnsi="Arial" w:cs="Arial"/>
                <w:color w:val="000000"/>
                <w:sz w:val="20"/>
                <w:szCs w:val="20"/>
                <w:lang w:val="en-GB"/>
              </w:rPr>
              <w:t>300</w:t>
            </w:r>
            <w:r w:rsidRPr="002D2F67">
              <w:rPr>
                <w:rFonts w:ascii="Arial" w:hAnsi="Arial" w:cs="Arial"/>
                <w:color w:val="000000"/>
                <w:sz w:val="20"/>
                <w:szCs w:val="20"/>
              </w:rPr>
              <w:t>)</w:t>
            </w:r>
          </w:p>
        </w:tc>
      </w:tr>
      <w:tr w:rsidR="00AE149C" w:rsidRPr="002D2F67" w14:paraId="3E719F25" w14:textId="77777777" w:rsidTr="3ABCB9CB">
        <w:tc>
          <w:tcPr>
            <w:tcW w:w="3926" w:type="dxa"/>
            <w:shd w:val="clear" w:color="auto" w:fill="auto"/>
          </w:tcPr>
          <w:p w14:paraId="11472148" w14:textId="77777777" w:rsidR="00AE149C" w:rsidRPr="002D2F67" w:rsidRDefault="00AE149C" w:rsidP="005611FE">
            <w:pPr>
              <w:ind w:left="526" w:right="-72"/>
              <w:rPr>
                <w:rFonts w:ascii="Arial" w:hAnsi="Arial" w:cs="Arial"/>
                <w:color w:val="000000"/>
                <w:sz w:val="20"/>
                <w:szCs w:val="20"/>
              </w:rPr>
            </w:pPr>
            <w:r w:rsidRPr="002D2F67">
              <w:rPr>
                <w:rFonts w:ascii="Arial" w:hAnsi="Arial" w:cs="Arial"/>
                <w:color w:val="000000"/>
                <w:sz w:val="20"/>
                <w:szCs w:val="20"/>
              </w:rPr>
              <w:t>Other non-cash movements:</w:t>
            </w:r>
          </w:p>
        </w:tc>
        <w:tc>
          <w:tcPr>
            <w:tcW w:w="1405" w:type="dxa"/>
            <w:shd w:val="clear" w:color="auto" w:fill="auto"/>
            <w:vAlign w:val="bottom"/>
          </w:tcPr>
          <w:p w14:paraId="70D47875" w14:textId="77777777" w:rsidR="00AE149C" w:rsidRPr="002D2F67" w:rsidRDefault="00AE149C" w:rsidP="005611FE">
            <w:pPr>
              <w:ind w:right="-72"/>
              <w:jc w:val="right"/>
              <w:rPr>
                <w:rFonts w:ascii="Arial" w:hAnsi="Arial" w:cs="Arial"/>
                <w:color w:val="000000"/>
                <w:sz w:val="20"/>
                <w:szCs w:val="20"/>
              </w:rPr>
            </w:pPr>
          </w:p>
        </w:tc>
        <w:tc>
          <w:tcPr>
            <w:tcW w:w="1406" w:type="dxa"/>
            <w:shd w:val="clear" w:color="auto" w:fill="auto"/>
            <w:vAlign w:val="bottom"/>
          </w:tcPr>
          <w:p w14:paraId="221E0E47" w14:textId="77777777" w:rsidR="00AE149C" w:rsidRPr="002D2F67" w:rsidRDefault="00AE149C" w:rsidP="005611FE">
            <w:pPr>
              <w:ind w:right="-72"/>
              <w:jc w:val="right"/>
              <w:rPr>
                <w:rFonts w:ascii="Arial" w:hAnsi="Arial" w:cs="Arial"/>
                <w:color w:val="000000"/>
                <w:sz w:val="20"/>
                <w:szCs w:val="20"/>
              </w:rPr>
            </w:pPr>
          </w:p>
        </w:tc>
        <w:tc>
          <w:tcPr>
            <w:tcW w:w="1405" w:type="dxa"/>
            <w:tcBorders>
              <w:top w:val="nil"/>
              <w:left w:val="nil"/>
              <w:right w:val="nil"/>
            </w:tcBorders>
            <w:shd w:val="clear" w:color="auto" w:fill="auto"/>
            <w:vAlign w:val="bottom"/>
          </w:tcPr>
          <w:p w14:paraId="76167150" w14:textId="77777777" w:rsidR="00AE149C" w:rsidRPr="002D2F67" w:rsidRDefault="00AE149C" w:rsidP="005611FE">
            <w:pPr>
              <w:ind w:right="-72"/>
              <w:jc w:val="right"/>
              <w:rPr>
                <w:rFonts w:ascii="Arial" w:hAnsi="Arial" w:cs="Arial"/>
                <w:color w:val="000000"/>
                <w:sz w:val="20"/>
                <w:szCs w:val="20"/>
              </w:rPr>
            </w:pPr>
          </w:p>
        </w:tc>
        <w:tc>
          <w:tcPr>
            <w:tcW w:w="1406" w:type="dxa"/>
            <w:shd w:val="clear" w:color="auto" w:fill="auto"/>
            <w:vAlign w:val="bottom"/>
          </w:tcPr>
          <w:p w14:paraId="5605FAC1" w14:textId="77777777" w:rsidR="00AE149C" w:rsidRPr="002D2F67" w:rsidRDefault="00AE149C" w:rsidP="005611FE">
            <w:pPr>
              <w:ind w:right="-72"/>
              <w:jc w:val="right"/>
              <w:rPr>
                <w:rFonts w:ascii="Arial" w:hAnsi="Arial" w:cs="Arial"/>
                <w:color w:val="000000"/>
                <w:sz w:val="20"/>
                <w:szCs w:val="20"/>
              </w:rPr>
            </w:pPr>
          </w:p>
        </w:tc>
      </w:tr>
      <w:tr w:rsidR="00AE149C" w:rsidRPr="002D2F67" w14:paraId="404F37C9" w14:textId="77777777" w:rsidTr="3ABCB9CB">
        <w:tc>
          <w:tcPr>
            <w:tcW w:w="3926" w:type="dxa"/>
            <w:shd w:val="clear" w:color="auto" w:fill="auto"/>
          </w:tcPr>
          <w:p w14:paraId="102ACD80" w14:textId="6B34E20E" w:rsidR="00AE149C" w:rsidRPr="002D2F67" w:rsidRDefault="00F853DE" w:rsidP="005611FE">
            <w:pPr>
              <w:ind w:left="526" w:right="-72"/>
              <w:rPr>
                <w:rFonts w:ascii="Arial" w:hAnsi="Arial" w:cs="Arial"/>
                <w:color w:val="000000"/>
                <w:sz w:val="20"/>
                <w:szCs w:val="20"/>
              </w:rPr>
            </w:pPr>
            <w:r w:rsidRPr="002D2F67">
              <w:rPr>
                <w:rFonts w:ascii="Arial" w:hAnsi="Arial" w:cs="Arial"/>
                <w:color w:val="000000"/>
                <w:sz w:val="20"/>
                <w:szCs w:val="20"/>
              </w:rPr>
              <w:t xml:space="preserve">   Modification loan agreements</w:t>
            </w:r>
          </w:p>
        </w:tc>
        <w:tc>
          <w:tcPr>
            <w:tcW w:w="1405" w:type="dxa"/>
            <w:shd w:val="clear" w:color="auto" w:fill="auto"/>
            <w:vAlign w:val="bottom"/>
          </w:tcPr>
          <w:p w14:paraId="551A62EB" w14:textId="7D3071B9" w:rsidR="00AE149C" w:rsidRPr="002D2F67" w:rsidRDefault="00624C1F"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06" w:type="dxa"/>
            <w:shd w:val="clear" w:color="auto" w:fill="auto"/>
            <w:vAlign w:val="bottom"/>
          </w:tcPr>
          <w:p w14:paraId="7051ACC8" w14:textId="660A2656" w:rsidR="00AE149C" w:rsidRPr="002D2F67" w:rsidRDefault="00AE149C"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05" w:type="dxa"/>
            <w:tcBorders>
              <w:top w:val="nil"/>
              <w:left w:val="nil"/>
              <w:right w:val="nil"/>
            </w:tcBorders>
            <w:shd w:val="clear" w:color="auto" w:fill="auto"/>
            <w:vAlign w:val="bottom"/>
          </w:tcPr>
          <w:p w14:paraId="085E6594" w14:textId="1D9E4903" w:rsidR="00AE149C"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396</w:t>
            </w:r>
            <w:r w:rsidR="00AD4283" w:rsidRPr="002D2F67">
              <w:rPr>
                <w:rFonts w:ascii="Arial" w:hAnsi="Arial" w:cs="Arial"/>
                <w:color w:val="000000"/>
                <w:sz w:val="20"/>
                <w:szCs w:val="20"/>
              </w:rPr>
              <w:t>,</w:t>
            </w:r>
            <w:r w:rsidRPr="00CD5714">
              <w:rPr>
                <w:rFonts w:ascii="Arial" w:hAnsi="Arial" w:cs="Arial"/>
                <w:color w:val="000000"/>
                <w:sz w:val="20"/>
                <w:szCs w:val="20"/>
                <w:lang w:val="en-GB"/>
              </w:rPr>
              <w:t>520</w:t>
            </w:r>
          </w:p>
        </w:tc>
        <w:tc>
          <w:tcPr>
            <w:tcW w:w="1406" w:type="dxa"/>
            <w:shd w:val="clear" w:color="auto" w:fill="auto"/>
            <w:vAlign w:val="bottom"/>
          </w:tcPr>
          <w:p w14:paraId="286B880E" w14:textId="446F3DB1" w:rsidR="00AE149C" w:rsidRPr="002D2F67" w:rsidRDefault="00AE149C" w:rsidP="005611FE">
            <w:pPr>
              <w:ind w:right="-72"/>
              <w:jc w:val="right"/>
              <w:rPr>
                <w:rFonts w:ascii="Arial" w:hAnsi="Arial" w:cs="Arial"/>
                <w:color w:val="000000"/>
                <w:sz w:val="20"/>
                <w:szCs w:val="20"/>
              </w:rPr>
            </w:pPr>
            <w:r w:rsidRPr="002D2F67">
              <w:rPr>
                <w:rFonts w:ascii="Arial" w:hAnsi="Arial" w:cs="Arial"/>
                <w:color w:val="000000"/>
                <w:sz w:val="20"/>
                <w:szCs w:val="20"/>
              </w:rPr>
              <w:t>-</w:t>
            </w:r>
          </w:p>
        </w:tc>
      </w:tr>
      <w:tr w:rsidR="00AE149C" w:rsidRPr="002D2F67" w14:paraId="3B06C91D" w14:textId="77777777" w:rsidTr="3ABCB9CB">
        <w:tc>
          <w:tcPr>
            <w:tcW w:w="3926" w:type="dxa"/>
            <w:shd w:val="clear" w:color="auto" w:fill="auto"/>
          </w:tcPr>
          <w:p w14:paraId="37A7B4F5" w14:textId="3F50F147" w:rsidR="00AE149C" w:rsidRPr="002D2F67" w:rsidRDefault="00AE149C" w:rsidP="005611FE">
            <w:pPr>
              <w:tabs>
                <w:tab w:val="left" w:pos="1134"/>
                <w:tab w:val="left" w:pos="1276"/>
                <w:tab w:val="center" w:pos="3402"/>
                <w:tab w:val="center" w:pos="4536"/>
                <w:tab w:val="center" w:pos="5670"/>
                <w:tab w:val="center" w:pos="6804"/>
                <w:tab w:val="right" w:pos="7655"/>
              </w:tabs>
              <w:ind w:left="526" w:right="-72"/>
              <w:rPr>
                <w:rFonts w:ascii="Arial" w:hAnsi="Arial" w:cs="Arial"/>
                <w:color w:val="000000"/>
                <w:sz w:val="20"/>
                <w:szCs w:val="20"/>
              </w:rPr>
            </w:pPr>
            <w:r w:rsidRPr="002D2F67">
              <w:rPr>
                <w:rFonts w:ascii="Arial" w:hAnsi="Arial" w:cs="Arial"/>
                <w:color w:val="000000"/>
                <w:sz w:val="20"/>
                <w:szCs w:val="20"/>
              </w:rPr>
              <w:t xml:space="preserve">   Unrealised loss on exchange rate</w:t>
            </w:r>
          </w:p>
        </w:tc>
        <w:tc>
          <w:tcPr>
            <w:tcW w:w="1405" w:type="dxa"/>
            <w:shd w:val="clear" w:color="auto" w:fill="auto"/>
            <w:vAlign w:val="bottom"/>
          </w:tcPr>
          <w:p w14:paraId="37D5E6D5" w14:textId="4687CDFA" w:rsidR="00AE149C" w:rsidRPr="002D2F67" w:rsidRDefault="00624C1F"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p>
        </w:tc>
        <w:tc>
          <w:tcPr>
            <w:tcW w:w="1406" w:type="dxa"/>
            <w:shd w:val="clear" w:color="auto" w:fill="auto"/>
            <w:vAlign w:val="bottom"/>
          </w:tcPr>
          <w:p w14:paraId="24054C54" w14:textId="3CA868DA" w:rsidR="00AE149C" w:rsidRPr="002D2F67" w:rsidRDefault="00AE149C"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p>
        </w:tc>
        <w:tc>
          <w:tcPr>
            <w:tcW w:w="1405" w:type="dxa"/>
            <w:tcBorders>
              <w:top w:val="nil"/>
              <w:left w:val="nil"/>
              <w:right w:val="nil"/>
            </w:tcBorders>
            <w:shd w:val="clear" w:color="auto" w:fill="auto"/>
            <w:vAlign w:val="bottom"/>
          </w:tcPr>
          <w:p w14:paraId="7A4DE8E9" w14:textId="790F9072" w:rsidR="00AE149C" w:rsidRPr="002D2F67" w:rsidRDefault="00624C1F"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4</w:t>
            </w:r>
            <w:r w:rsidRPr="002D2F67">
              <w:rPr>
                <w:rFonts w:ascii="Arial" w:hAnsi="Arial" w:cs="Arial"/>
                <w:color w:val="000000"/>
                <w:sz w:val="20"/>
                <w:szCs w:val="20"/>
              </w:rPr>
              <w:t>,</w:t>
            </w:r>
            <w:r w:rsidR="00CD5714" w:rsidRPr="00CD5714">
              <w:rPr>
                <w:rFonts w:ascii="Arial" w:hAnsi="Arial" w:cs="Arial"/>
                <w:color w:val="000000"/>
                <w:sz w:val="20"/>
                <w:szCs w:val="20"/>
                <w:lang w:val="en-GB"/>
              </w:rPr>
              <w:t>397</w:t>
            </w:r>
            <w:r w:rsidRPr="002D2F67">
              <w:rPr>
                <w:rFonts w:ascii="Arial" w:hAnsi="Arial" w:cs="Arial"/>
                <w:color w:val="000000"/>
                <w:sz w:val="20"/>
                <w:szCs w:val="20"/>
              </w:rPr>
              <w:t>)</w:t>
            </w:r>
          </w:p>
        </w:tc>
        <w:tc>
          <w:tcPr>
            <w:tcW w:w="1406" w:type="dxa"/>
            <w:shd w:val="clear" w:color="auto" w:fill="auto"/>
            <w:vAlign w:val="bottom"/>
          </w:tcPr>
          <w:p w14:paraId="19ED2DE7" w14:textId="64AD07AE" w:rsidR="00AE149C" w:rsidRPr="002D2F67" w:rsidRDefault="00AE149C"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2</w:t>
            </w:r>
            <w:r w:rsidRPr="002D2F67">
              <w:rPr>
                <w:rFonts w:ascii="Arial" w:hAnsi="Arial" w:cs="Arial"/>
                <w:color w:val="000000"/>
                <w:sz w:val="20"/>
                <w:szCs w:val="20"/>
              </w:rPr>
              <w:t>,</w:t>
            </w:r>
            <w:r w:rsidR="00CD5714" w:rsidRPr="00CD5714">
              <w:rPr>
                <w:rFonts w:ascii="Arial" w:hAnsi="Arial" w:cs="Arial"/>
                <w:color w:val="000000"/>
                <w:sz w:val="20"/>
                <w:szCs w:val="20"/>
                <w:lang w:val="en-GB"/>
              </w:rPr>
              <w:t>393</w:t>
            </w:r>
            <w:r w:rsidRPr="002D2F67">
              <w:rPr>
                <w:rFonts w:ascii="Arial" w:hAnsi="Arial" w:cs="Arial"/>
                <w:color w:val="000000"/>
                <w:sz w:val="20"/>
                <w:szCs w:val="20"/>
              </w:rPr>
              <w:t>)</w:t>
            </w:r>
          </w:p>
        </w:tc>
      </w:tr>
      <w:tr w:rsidR="00AE149C" w:rsidRPr="002D2F67" w14:paraId="7BA07B6F" w14:textId="77777777" w:rsidTr="3ABCB9CB">
        <w:tc>
          <w:tcPr>
            <w:tcW w:w="3926" w:type="dxa"/>
            <w:shd w:val="clear" w:color="auto" w:fill="auto"/>
          </w:tcPr>
          <w:p w14:paraId="0E5E4158" w14:textId="24379AA0" w:rsidR="00AE149C" w:rsidRPr="002D2F67" w:rsidRDefault="00AE149C" w:rsidP="005611FE">
            <w:pPr>
              <w:ind w:left="526" w:right="-72"/>
              <w:rPr>
                <w:rFonts w:ascii="Arial" w:hAnsi="Arial" w:cs="Arial"/>
                <w:color w:val="000000"/>
                <w:sz w:val="20"/>
                <w:szCs w:val="20"/>
              </w:rPr>
            </w:pPr>
            <w:r w:rsidRPr="002D2F67">
              <w:rPr>
                <w:rFonts w:ascii="Arial" w:hAnsi="Arial" w:cs="Arial"/>
                <w:color w:val="000000"/>
                <w:spacing w:val="-2"/>
                <w:sz w:val="20"/>
                <w:szCs w:val="20"/>
              </w:rPr>
              <w:t xml:space="preserve">   Reclassif</w:t>
            </w:r>
            <w:r w:rsidR="00FD63FC" w:rsidRPr="002D2F67">
              <w:rPr>
                <w:rFonts w:ascii="Arial" w:hAnsi="Arial" w:cs="Arial"/>
                <w:color w:val="000000"/>
                <w:spacing w:val="-2"/>
                <w:sz w:val="20"/>
                <w:szCs w:val="20"/>
              </w:rPr>
              <w:t>ied</w:t>
            </w:r>
            <w:r w:rsidRPr="002D2F67">
              <w:rPr>
                <w:rFonts w:ascii="Arial" w:hAnsi="Arial" w:cs="Arial"/>
                <w:color w:val="000000"/>
                <w:spacing w:val="-2"/>
                <w:sz w:val="20"/>
                <w:szCs w:val="20"/>
              </w:rPr>
              <w:t xml:space="preserve"> to long-terms loans</w:t>
            </w:r>
          </w:p>
        </w:tc>
        <w:tc>
          <w:tcPr>
            <w:tcW w:w="1405" w:type="dxa"/>
            <w:shd w:val="clear" w:color="auto" w:fill="auto"/>
            <w:vAlign w:val="bottom"/>
          </w:tcPr>
          <w:p w14:paraId="50FD7E59" w14:textId="62F5CEC1" w:rsidR="00AE149C" w:rsidRPr="002D2F67" w:rsidRDefault="00624C1F"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06" w:type="dxa"/>
            <w:shd w:val="clear" w:color="auto" w:fill="auto"/>
            <w:vAlign w:val="bottom"/>
          </w:tcPr>
          <w:p w14:paraId="27E4EAB5" w14:textId="4848F019" w:rsidR="00AE149C" w:rsidRPr="002D2F67" w:rsidRDefault="00AE149C"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05" w:type="dxa"/>
            <w:tcBorders>
              <w:top w:val="nil"/>
              <w:left w:val="nil"/>
              <w:right w:val="nil"/>
            </w:tcBorders>
            <w:shd w:val="clear" w:color="auto" w:fill="auto"/>
            <w:vAlign w:val="bottom"/>
          </w:tcPr>
          <w:p w14:paraId="140CFB72" w14:textId="5C7690F3" w:rsidR="00AE149C" w:rsidRPr="002D2F67" w:rsidRDefault="00624C1F"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06" w:type="dxa"/>
            <w:shd w:val="clear" w:color="auto" w:fill="auto"/>
            <w:vAlign w:val="bottom"/>
          </w:tcPr>
          <w:p w14:paraId="51170826" w14:textId="34EC56AD" w:rsidR="00AE149C" w:rsidRPr="002D2F67" w:rsidRDefault="00AE149C"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3</w:t>
            </w:r>
            <w:r w:rsidRPr="002D2F67">
              <w:rPr>
                <w:rFonts w:ascii="Arial" w:hAnsi="Arial" w:cs="Arial"/>
                <w:color w:val="000000"/>
                <w:sz w:val="20"/>
                <w:szCs w:val="20"/>
              </w:rPr>
              <w:t>,</w:t>
            </w:r>
            <w:r w:rsidR="00CD5714" w:rsidRPr="00CD5714">
              <w:rPr>
                <w:rFonts w:ascii="Arial" w:hAnsi="Arial" w:cs="Arial"/>
                <w:color w:val="000000"/>
                <w:sz w:val="20"/>
                <w:szCs w:val="20"/>
                <w:lang w:val="en-GB"/>
              </w:rPr>
              <w:t>129</w:t>
            </w:r>
            <w:r w:rsidRPr="002D2F67">
              <w:rPr>
                <w:rFonts w:ascii="Arial" w:hAnsi="Arial" w:cs="Arial"/>
                <w:color w:val="000000"/>
                <w:sz w:val="20"/>
                <w:szCs w:val="20"/>
              </w:rPr>
              <w:t>,</w:t>
            </w:r>
            <w:r w:rsidR="00CD5714" w:rsidRPr="00CD5714">
              <w:rPr>
                <w:rFonts w:ascii="Arial" w:hAnsi="Arial" w:cs="Arial"/>
                <w:color w:val="000000"/>
                <w:sz w:val="20"/>
                <w:szCs w:val="20"/>
                <w:lang w:val="en-GB"/>
              </w:rPr>
              <w:t>934</w:t>
            </w:r>
            <w:r w:rsidRPr="002D2F67">
              <w:rPr>
                <w:rFonts w:ascii="Arial" w:hAnsi="Arial" w:cs="Arial"/>
                <w:color w:val="000000"/>
                <w:sz w:val="20"/>
                <w:szCs w:val="20"/>
              </w:rPr>
              <w:t>)</w:t>
            </w:r>
          </w:p>
        </w:tc>
      </w:tr>
      <w:tr w:rsidR="00AD4283" w:rsidRPr="002D2F67" w14:paraId="13A3C63E" w14:textId="77777777" w:rsidTr="3ABCB9CB">
        <w:tc>
          <w:tcPr>
            <w:tcW w:w="3926" w:type="dxa"/>
            <w:shd w:val="clear" w:color="auto" w:fill="auto"/>
          </w:tcPr>
          <w:p w14:paraId="3D3B425F" w14:textId="30558DB2" w:rsidR="00AD4283" w:rsidRPr="002D2F67" w:rsidRDefault="00CD5714" w:rsidP="00CD5714">
            <w:pPr>
              <w:ind w:left="525" w:right="-72"/>
              <w:rPr>
                <w:rFonts w:ascii="Arial" w:hAnsi="Arial" w:cs="Arial"/>
                <w:color w:val="000000"/>
                <w:spacing w:val="-2"/>
                <w:sz w:val="20"/>
                <w:szCs w:val="20"/>
                <w:u w:val="single"/>
              </w:rPr>
            </w:pPr>
            <w:r>
              <w:rPr>
                <w:rFonts w:ascii="Arial" w:hAnsi="Arial" w:cs="Arial"/>
                <w:color w:val="000000"/>
                <w:sz w:val="20"/>
                <w:szCs w:val="20"/>
              </w:rPr>
              <w:t xml:space="preserve">   </w:t>
            </w:r>
            <w:r w:rsidR="00AD4283" w:rsidRPr="002D2F67">
              <w:rPr>
                <w:rFonts w:ascii="Arial" w:hAnsi="Arial" w:cs="Arial"/>
                <w:color w:val="000000"/>
                <w:sz w:val="20"/>
                <w:szCs w:val="20"/>
              </w:rPr>
              <w:t>Impairment loss on assets</w:t>
            </w:r>
          </w:p>
        </w:tc>
        <w:tc>
          <w:tcPr>
            <w:tcW w:w="1405" w:type="dxa"/>
            <w:tcBorders>
              <w:bottom w:val="single" w:sz="4" w:space="0" w:color="auto"/>
            </w:tcBorders>
            <w:shd w:val="clear" w:color="auto" w:fill="auto"/>
            <w:vAlign w:val="bottom"/>
          </w:tcPr>
          <w:p w14:paraId="256E18E5" w14:textId="652D7B03" w:rsidR="00AD4283" w:rsidRPr="002D2F67" w:rsidRDefault="00CB4B30" w:rsidP="005611FE">
            <w:pPr>
              <w:ind w:right="-72"/>
              <w:jc w:val="right"/>
              <w:rPr>
                <w:rFonts w:ascii="Arial" w:hAnsi="Arial" w:cs="Arial"/>
                <w:color w:val="000000"/>
                <w:sz w:val="20"/>
                <w:szCs w:val="25"/>
              </w:rPr>
            </w:pPr>
            <w:r w:rsidRPr="002D2F67">
              <w:rPr>
                <w:rFonts w:ascii="Arial" w:hAnsi="Arial" w:cs="Arial"/>
                <w:color w:val="000000"/>
                <w:sz w:val="20"/>
                <w:szCs w:val="25"/>
              </w:rPr>
              <w:t>-</w:t>
            </w:r>
          </w:p>
        </w:tc>
        <w:tc>
          <w:tcPr>
            <w:tcW w:w="1406" w:type="dxa"/>
            <w:tcBorders>
              <w:bottom w:val="single" w:sz="4" w:space="0" w:color="auto"/>
            </w:tcBorders>
            <w:shd w:val="clear" w:color="auto" w:fill="auto"/>
            <w:vAlign w:val="bottom"/>
          </w:tcPr>
          <w:p w14:paraId="0BBDCFA1" w14:textId="1CD4FE41" w:rsidR="00AD4283" w:rsidRPr="002D2F67" w:rsidRDefault="00CB4B30"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05" w:type="dxa"/>
            <w:tcBorders>
              <w:left w:val="nil"/>
              <w:bottom w:val="single" w:sz="4" w:space="0" w:color="auto"/>
              <w:right w:val="nil"/>
            </w:tcBorders>
            <w:shd w:val="clear" w:color="auto" w:fill="auto"/>
            <w:vAlign w:val="bottom"/>
          </w:tcPr>
          <w:p w14:paraId="0BD2FD14" w14:textId="70C925D7" w:rsidR="00AD4283" w:rsidRPr="002D2F67" w:rsidRDefault="008D6E57"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4</w:t>
            </w:r>
            <w:r w:rsidRPr="002D2F67">
              <w:rPr>
                <w:rFonts w:ascii="Arial" w:hAnsi="Arial" w:cs="Arial"/>
                <w:color w:val="000000"/>
                <w:sz w:val="20"/>
                <w:szCs w:val="20"/>
              </w:rPr>
              <w:t>,</w:t>
            </w:r>
            <w:r w:rsidR="00CD5714" w:rsidRPr="00CD5714">
              <w:rPr>
                <w:rFonts w:ascii="Arial" w:hAnsi="Arial" w:cs="Arial"/>
                <w:color w:val="000000"/>
                <w:sz w:val="20"/>
                <w:szCs w:val="20"/>
                <w:lang w:val="en-GB"/>
              </w:rPr>
              <w:t>042</w:t>
            </w:r>
            <w:r w:rsidRPr="002D2F67">
              <w:rPr>
                <w:rFonts w:ascii="Arial" w:hAnsi="Arial" w:cs="Arial"/>
                <w:color w:val="000000"/>
                <w:sz w:val="20"/>
                <w:szCs w:val="20"/>
              </w:rPr>
              <w:t>,</w:t>
            </w:r>
            <w:r w:rsidR="00CD5714" w:rsidRPr="00CD5714">
              <w:rPr>
                <w:rFonts w:ascii="Arial" w:hAnsi="Arial" w:cs="Arial"/>
                <w:color w:val="000000"/>
                <w:sz w:val="20"/>
                <w:szCs w:val="20"/>
                <w:lang w:val="en-GB"/>
              </w:rPr>
              <w:t>158</w:t>
            </w:r>
            <w:r w:rsidRPr="002D2F67">
              <w:rPr>
                <w:rFonts w:ascii="Arial" w:hAnsi="Arial" w:cs="Arial"/>
                <w:color w:val="000000"/>
                <w:sz w:val="20"/>
                <w:szCs w:val="20"/>
              </w:rPr>
              <w:t>)</w:t>
            </w:r>
          </w:p>
        </w:tc>
        <w:tc>
          <w:tcPr>
            <w:tcW w:w="1406" w:type="dxa"/>
            <w:tcBorders>
              <w:bottom w:val="single" w:sz="4" w:space="0" w:color="auto"/>
            </w:tcBorders>
            <w:shd w:val="clear" w:color="auto" w:fill="auto"/>
            <w:vAlign w:val="bottom"/>
          </w:tcPr>
          <w:p w14:paraId="38439479" w14:textId="322AC720" w:rsidR="00AD4283" w:rsidRPr="002D2F67" w:rsidRDefault="00CB4B30" w:rsidP="005611FE">
            <w:pPr>
              <w:ind w:right="-72"/>
              <w:jc w:val="right"/>
              <w:rPr>
                <w:rFonts w:ascii="Arial" w:hAnsi="Arial" w:cs="Arial"/>
                <w:color w:val="000000"/>
                <w:sz w:val="20"/>
                <w:szCs w:val="20"/>
              </w:rPr>
            </w:pPr>
            <w:r w:rsidRPr="002D2F67">
              <w:rPr>
                <w:rFonts w:ascii="Arial" w:hAnsi="Arial" w:cs="Arial"/>
                <w:color w:val="000000"/>
                <w:sz w:val="20"/>
                <w:szCs w:val="20"/>
              </w:rPr>
              <w:t>-</w:t>
            </w:r>
          </w:p>
        </w:tc>
      </w:tr>
      <w:tr w:rsidR="00AE149C" w:rsidRPr="002D2F67" w14:paraId="3AE00208" w14:textId="77777777" w:rsidTr="3ABCB9CB">
        <w:trPr>
          <w:trHeight w:val="50"/>
        </w:trPr>
        <w:tc>
          <w:tcPr>
            <w:tcW w:w="3926" w:type="dxa"/>
            <w:shd w:val="clear" w:color="auto" w:fill="auto"/>
          </w:tcPr>
          <w:p w14:paraId="56AC452A" w14:textId="77777777" w:rsidR="00AE149C" w:rsidRPr="002D2F67" w:rsidRDefault="00AE149C" w:rsidP="005611FE">
            <w:pPr>
              <w:ind w:left="526" w:right="-72"/>
              <w:rPr>
                <w:rFonts w:ascii="Arial" w:hAnsi="Arial" w:cs="Arial"/>
                <w:color w:val="000000"/>
                <w:spacing w:val="-2"/>
                <w:sz w:val="12"/>
                <w:szCs w:val="12"/>
              </w:rPr>
            </w:pPr>
          </w:p>
        </w:tc>
        <w:tc>
          <w:tcPr>
            <w:tcW w:w="1405" w:type="dxa"/>
            <w:tcBorders>
              <w:top w:val="single" w:sz="4" w:space="0" w:color="auto"/>
            </w:tcBorders>
            <w:shd w:val="clear" w:color="auto" w:fill="auto"/>
            <w:vAlign w:val="bottom"/>
          </w:tcPr>
          <w:p w14:paraId="29E62F35" w14:textId="77777777" w:rsidR="00AE149C" w:rsidRPr="002D2F67" w:rsidRDefault="00AE149C" w:rsidP="005611FE">
            <w:pPr>
              <w:ind w:right="-72"/>
              <w:jc w:val="right"/>
              <w:rPr>
                <w:rFonts w:ascii="Arial" w:hAnsi="Arial" w:cs="Arial"/>
                <w:color w:val="000000"/>
                <w:sz w:val="12"/>
                <w:szCs w:val="12"/>
              </w:rPr>
            </w:pPr>
          </w:p>
        </w:tc>
        <w:tc>
          <w:tcPr>
            <w:tcW w:w="1406" w:type="dxa"/>
            <w:tcBorders>
              <w:top w:val="single" w:sz="4" w:space="0" w:color="auto"/>
            </w:tcBorders>
            <w:shd w:val="clear" w:color="auto" w:fill="auto"/>
            <w:vAlign w:val="bottom"/>
          </w:tcPr>
          <w:p w14:paraId="7EADBAA6" w14:textId="77777777" w:rsidR="00AE149C" w:rsidRPr="002D2F67" w:rsidRDefault="00AE149C" w:rsidP="005611FE">
            <w:pPr>
              <w:ind w:right="-72"/>
              <w:jc w:val="right"/>
              <w:rPr>
                <w:rFonts w:ascii="Arial" w:hAnsi="Arial" w:cs="Arial"/>
                <w:color w:val="000000"/>
                <w:sz w:val="12"/>
                <w:szCs w:val="12"/>
              </w:rPr>
            </w:pPr>
          </w:p>
        </w:tc>
        <w:tc>
          <w:tcPr>
            <w:tcW w:w="1405" w:type="dxa"/>
            <w:tcBorders>
              <w:top w:val="single" w:sz="4" w:space="0" w:color="auto"/>
              <w:left w:val="nil"/>
              <w:right w:val="nil"/>
            </w:tcBorders>
            <w:shd w:val="clear" w:color="auto" w:fill="auto"/>
            <w:vAlign w:val="bottom"/>
          </w:tcPr>
          <w:p w14:paraId="69DE6D8F" w14:textId="77777777" w:rsidR="00AE149C" w:rsidRPr="002D2F67" w:rsidRDefault="00AE149C" w:rsidP="005611FE">
            <w:pPr>
              <w:ind w:right="-72"/>
              <w:jc w:val="right"/>
              <w:rPr>
                <w:rFonts w:ascii="Arial" w:hAnsi="Arial" w:cs="Arial"/>
                <w:color w:val="000000"/>
                <w:sz w:val="12"/>
                <w:szCs w:val="12"/>
              </w:rPr>
            </w:pPr>
          </w:p>
        </w:tc>
        <w:tc>
          <w:tcPr>
            <w:tcW w:w="1406" w:type="dxa"/>
            <w:tcBorders>
              <w:top w:val="single" w:sz="4" w:space="0" w:color="auto"/>
            </w:tcBorders>
            <w:shd w:val="clear" w:color="auto" w:fill="auto"/>
            <w:vAlign w:val="bottom"/>
          </w:tcPr>
          <w:p w14:paraId="151DFF83" w14:textId="77777777" w:rsidR="00AE149C" w:rsidRPr="002D2F67" w:rsidRDefault="00AE149C" w:rsidP="005611FE">
            <w:pPr>
              <w:ind w:right="-72"/>
              <w:jc w:val="right"/>
              <w:rPr>
                <w:rFonts w:ascii="Arial" w:hAnsi="Arial" w:cs="Arial"/>
                <w:color w:val="000000"/>
                <w:sz w:val="12"/>
                <w:szCs w:val="12"/>
              </w:rPr>
            </w:pPr>
          </w:p>
        </w:tc>
      </w:tr>
      <w:tr w:rsidR="00AE149C" w:rsidRPr="002D2F67" w14:paraId="43DCE673" w14:textId="77777777" w:rsidTr="3ABCB9CB">
        <w:tc>
          <w:tcPr>
            <w:tcW w:w="3926" w:type="dxa"/>
            <w:shd w:val="clear" w:color="auto" w:fill="auto"/>
          </w:tcPr>
          <w:p w14:paraId="3EBAC4A6" w14:textId="47F48811" w:rsidR="00AE149C" w:rsidRPr="002D2F67" w:rsidRDefault="00AE149C" w:rsidP="005611FE">
            <w:pPr>
              <w:tabs>
                <w:tab w:val="left" w:pos="1134"/>
                <w:tab w:val="left" w:pos="1276"/>
                <w:tab w:val="center" w:pos="3402"/>
                <w:tab w:val="center" w:pos="4536"/>
                <w:tab w:val="center" w:pos="5670"/>
                <w:tab w:val="center" w:pos="6804"/>
                <w:tab w:val="right" w:pos="7655"/>
              </w:tabs>
              <w:ind w:left="526" w:right="-72"/>
              <w:rPr>
                <w:rFonts w:ascii="Arial" w:hAnsi="Arial" w:cs="Arial"/>
                <w:color w:val="000000"/>
                <w:sz w:val="20"/>
                <w:szCs w:val="20"/>
              </w:rPr>
            </w:pPr>
            <w:r w:rsidRPr="002D2F67">
              <w:rPr>
                <w:rFonts w:ascii="Arial" w:hAnsi="Arial" w:cs="Arial"/>
                <w:color w:val="000000"/>
                <w:sz w:val="20"/>
                <w:szCs w:val="20"/>
              </w:rPr>
              <w:t>Closing balance, net</w:t>
            </w:r>
          </w:p>
        </w:tc>
        <w:tc>
          <w:tcPr>
            <w:tcW w:w="1405" w:type="dxa"/>
            <w:tcBorders>
              <w:bottom w:val="single" w:sz="4" w:space="0" w:color="auto"/>
            </w:tcBorders>
            <w:shd w:val="clear" w:color="auto" w:fill="auto"/>
            <w:vAlign w:val="bottom"/>
          </w:tcPr>
          <w:p w14:paraId="1E16E2AF" w14:textId="028C7061" w:rsidR="00AE149C"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11</w:t>
            </w:r>
            <w:r w:rsidR="00624C1F" w:rsidRPr="002D2F67">
              <w:rPr>
                <w:rFonts w:ascii="Arial" w:hAnsi="Arial" w:cs="Arial"/>
                <w:color w:val="000000"/>
                <w:sz w:val="20"/>
                <w:szCs w:val="20"/>
              </w:rPr>
              <w:t>,</w:t>
            </w:r>
            <w:r w:rsidRPr="00CD5714">
              <w:rPr>
                <w:rFonts w:ascii="Arial" w:hAnsi="Arial" w:cs="Arial"/>
                <w:color w:val="000000"/>
                <w:sz w:val="20"/>
                <w:szCs w:val="20"/>
                <w:lang w:val="en-GB"/>
              </w:rPr>
              <w:t>200</w:t>
            </w:r>
          </w:p>
        </w:tc>
        <w:tc>
          <w:tcPr>
            <w:tcW w:w="1406" w:type="dxa"/>
            <w:tcBorders>
              <w:bottom w:val="single" w:sz="4" w:space="0" w:color="auto"/>
            </w:tcBorders>
            <w:shd w:val="clear" w:color="auto" w:fill="auto"/>
            <w:vAlign w:val="bottom"/>
          </w:tcPr>
          <w:p w14:paraId="6F0306E6" w14:textId="3D64C01B" w:rsidR="00AE149C"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11</w:t>
            </w:r>
            <w:r w:rsidR="00AE149C" w:rsidRPr="002D2F67">
              <w:rPr>
                <w:rFonts w:ascii="Arial" w:hAnsi="Arial" w:cs="Arial"/>
                <w:color w:val="000000"/>
                <w:sz w:val="20"/>
                <w:szCs w:val="20"/>
              </w:rPr>
              <w:t>,</w:t>
            </w:r>
            <w:r w:rsidRPr="00CD5714">
              <w:rPr>
                <w:rFonts w:ascii="Arial" w:hAnsi="Arial" w:cs="Arial"/>
                <w:color w:val="000000"/>
                <w:sz w:val="20"/>
                <w:szCs w:val="20"/>
                <w:lang w:val="en-GB"/>
              </w:rPr>
              <w:t>200</w:t>
            </w:r>
          </w:p>
        </w:tc>
        <w:tc>
          <w:tcPr>
            <w:tcW w:w="1405" w:type="dxa"/>
            <w:tcBorders>
              <w:top w:val="nil"/>
              <w:left w:val="nil"/>
              <w:bottom w:val="single" w:sz="4" w:space="0" w:color="auto"/>
              <w:right w:val="nil"/>
            </w:tcBorders>
            <w:shd w:val="clear" w:color="auto" w:fill="auto"/>
            <w:vAlign w:val="bottom"/>
          </w:tcPr>
          <w:p w14:paraId="622C8FA7" w14:textId="6B4D1584" w:rsidR="00AE149C"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11</w:t>
            </w:r>
            <w:r w:rsidR="00976403" w:rsidRPr="002D2F67">
              <w:rPr>
                <w:rFonts w:ascii="Arial" w:hAnsi="Arial" w:cs="Arial"/>
                <w:color w:val="000000"/>
                <w:sz w:val="20"/>
                <w:szCs w:val="20"/>
              </w:rPr>
              <w:t>,</w:t>
            </w:r>
            <w:r w:rsidRPr="00CD5714">
              <w:rPr>
                <w:rFonts w:ascii="Arial" w:hAnsi="Arial" w:cs="Arial"/>
                <w:color w:val="000000"/>
                <w:sz w:val="20"/>
                <w:szCs w:val="20"/>
                <w:lang w:val="en-GB"/>
              </w:rPr>
              <w:t>954</w:t>
            </w:r>
            <w:r w:rsidR="00976403" w:rsidRPr="002D2F67">
              <w:rPr>
                <w:rFonts w:ascii="Arial" w:hAnsi="Arial" w:cs="Arial"/>
                <w:color w:val="000000"/>
                <w:sz w:val="20"/>
                <w:szCs w:val="20"/>
              </w:rPr>
              <w:t>,</w:t>
            </w:r>
            <w:r w:rsidRPr="00CD5714">
              <w:rPr>
                <w:rFonts w:ascii="Arial" w:hAnsi="Arial" w:cs="Arial"/>
                <w:color w:val="000000"/>
                <w:sz w:val="20"/>
                <w:szCs w:val="20"/>
                <w:lang w:val="en-GB"/>
              </w:rPr>
              <w:t>601</w:t>
            </w:r>
          </w:p>
        </w:tc>
        <w:tc>
          <w:tcPr>
            <w:tcW w:w="1406" w:type="dxa"/>
            <w:tcBorders>
              <w:bottom w:val="single" w:sz="4" w:space="0" w:color="auto"/>
            </w:tcBorders>
            <w:shd w:val="clear" w:color="auto" w:fill="auto"/>
            <w:vAlign w:val="bottom"/>
          </w:tcPr>
          <w:p w14:paraId="628FDB4C" w14:textId="59CA50CF" w:rsidR="00AE149C"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13</w:t>
            </w:r>
            <w:r w:rsidR="00AE149C" w:rsidRPr="002D2F67">
              <w:rPr>
                <w:rFonts w:ascii="Arial" w:hAnsi="Arial" w:cs="Arial"/>
                <w:color w:val="000000"/>
                <w:sz w:val="20"/>
                <w:szCs w:val="20"/>
              </w:rPr>
              <w:t>,</w:t>
            </w:r>
            <w:r w:rsidRPr="00CD5714">
              <w:rPr>
                <w:rFonts w:ascii="Arial" w:hAnsi="Arial" w:cs="Arial"/>
                <w:color w:val="000000"/>
                <w:sz w:val="20"/>
                <w:szCs w:val="20"/>
                <w:lang w:val="en-GB"/>
              </w:rPr>
              <w:t>143</w:t>
            </w:r>
            <w:r w:rsidR="00AE149C" w:rsidRPr="002D2F67">
              <w:rPr>
                <w:rFonts w:ascii="Arial" w:hAnsi="Arial" w:cs="Arial"/>
                <w:color w:val="000000"/>
                <w:sz w:val="20"/>
                <w:szCs w:val="20"/>
              </w:rPr>
              <w:t>,</w:t>
            </w:r>
            <w:r w:rsidRPr="00CD5714">
              <w:rPr>
                <w:rFonts w:ascii="Arial" w:hAnsi="Arial" w:cs="Arial"/>
                <w:color w:val="000000"/>
                <w:sz w:val="20"/>
                <w:szCs w:val="20"/>
                <w:lang w:val="en-GB"/>
              </w:rPr>
              <w:t>708</w:t>
            </w:r>
          </w:p>
        </w:tc>
      </w:tr>
    </w:tbl>
    <w:p w14:paraId="0C819C94" w14:textId="2235829B" w:rsidR="002246A7" w:rsidRPr="002D2F67" w:rsidRDefault="002246A7" w:rsidP="005611FE">
      <w:pPr>
        <w:ind w:left="540"/>
        <w:jc w:val="thaiDistribute"/>
        <w:rPr>
          <w:rFonts w:ascii="Arial" w:hAnsi="Arial" w:cs="Arial"/>
          <w:color w:val="000000"/>
          <w:sz w:val="20"/>
          <w:szCs w:val="20"/>
        </w:rPr>
      </w:pPr>
    </w:p>
    <w:p w14:paraId="6360823A" w14:textId="77777777" w:rsidR="001E6C66" w:rsidRPr="002D2F67" w:rsidRDefault="001E6C66" w:rsidP="005611FE">
      <w:pPr>
        <w:ind w:left="539"/>
        <w:rPr>
          <w:rFonts w:ascii="Arial" w:hAnsi="Arial" w:cs="Arial"/>
          <w:color w:val="000000"/>
          <w:sz w:val="20"/>
          <w:szCs w:val="20"/>
          <w:u w:val="single"/>
        </w:rPr>
      </w:pPr>
      <w:r w:rsidRPr="002D2F67">
        <w:rPr>
          <w:rFonts w:ascii="Arial" w:hAnsi="Arial" w:cs="Arial"/>
          <w:color w:val="000000"/>
          <w:sz w:val="20"/>
          <w:szCs w:val="20"/>
          <w:u w:val="single"/>
        </w:rPr>
        <w:t>Long-term loans</w:t>
      </w:r>
    </w:p>
    <w:p w14:paraId="0870C836" w14:textId="77777777" w:rsidR="001E6C66" w:rsidRPr="002D2F67" w:rsidRDefault="001E6C66" w:rsidP="005611FE">
      <w:pPr>
        <w:ind w:left="540"/>
        <w:jc w:val="thaiDistribute"/>
        <w:rPr>
          <w:rFonts w:ascii="Arial" w:hAnsi="Arial" w:cs="Arial"/>
          <w:color w:val="000000"/>
          <w:sz w:val="20"/>
          <w:szCs w:val="20"/>
        </w:rPr>
      </w:pPr>
    </w:p>
    <w:p w14:paraId="56BF263E" w14:textId="4BADF8DD" w:rsidR="00D41C5D" w:rsidRPr="002D2F67" w:rsidRDefault="00D552E5" w:rsidP="005611FE">
      <w:pPr>
        <w:ind w:left="540"/>
        <w:jc w:val="thaiDistribute"/>
        <w:rPr>
          <w:rFonts w:ascii="Arial" w:hAnsi="Arial" w:cs="Arial"/>
          <w:color w:val="000000"/>
          <w:spacing w:val="-4"/>
          <w:sz w:val="20"/>
          <w:szCs w:val="20"/>
        </w:rPr>
      </w:pPr>
      <w:r w:rsidRPr="002D2F67">
        <w:rPr>
          <w:rFonts w:ascii="Arial" w:hAnsi="Arial" w:cs="Arial"/>
          <w:color w:val="000000"/>
          <w:spacing w:val="-4"/>
          <w:sz w:val="20"/>
          <w:szCs w:val="20"/>
        </w:rPr>
        <w:t xml:space="preserve">As at </w:t>
      </w:r>
      <w:r w:rsidR="00CD5714" w:rsidRPr="00CD5714">
        <w:rPr>
          <w:rFonts w:ascii="Arial" w:hAnsi="Arial" w:cs="Arial"/>
          <w:color w:val="000000"/>
          <w:spacing w:val="-4"/>
          <w:sz w:val="20"/>
          <w:szCs w:val="20"/>
          <w:lang w:val="en-GB"/>
        </w:rPr>
        <w:t>31</w:t>
      </w:r>
      <w:r w:rsidRPr="002D2F67">
        <w:rPr>
          <w:rFonts w:ascii="Arial" w:hAnsi="Arial" w:cs="Arial"/>
          <w:color w:val="000000"/>
          <w:spacing w:val="-4"/>
          <w:sz w:val="20"/>
          <w:szCs w:val="20"/>
        </w:rPr>
        <w:t xml:space="preserve"> December </w:t>
      </w:r>
      <w:r w:rsidR="00CD5714" w:rsidRPr="00CD5714">
        <w:rPr>
          <w:rFonts w:ascii="Arial" w:hAnsi="Arial" w:cs="Arial"/>
          <w:color w:val="000000"/>
          <w:spacing w:val="-4"/>
          <w:sz w:val="20"/>
          <w:szCs w:val="20"/>
          <w:lang w:val="en-GB"/>
        </w:rPr>
        <w:t>2024</w:t>
      </w:r>
      <w:r w:rsidRPr="002D2F67">
        <w:rPr>
          <w:rFonts w:ascii="Arial" w:hAnsi="Arial" w:cs="Arial"/>
          <w:color w:val="000000"/>
          <w:spacing w:val="-4"/>
          <w:sz w:val="20"/>
          <w:szCs w:val="20"/>
        </w:rPr>
        <w:t xml:space="preserve">, the Company had long-term loans to related parties amounting to Baht </w:t>
      </w:r>
      <w:r w:rsidR="00CD5714" w:rsidRPr="00CD5714">
        <w:rPr>
          <w:rFonts w:ascii="Arial" w:hAnsi="Arial" w:cs="Arial"/>
          <w:color w:val="000000"/>
          <w:spacing w:val="-4"/>
          <w:sz w:val="20"/>
          <w:szCs w:val="20"/>
          <w:lang w:val="en-GB"/>
        </w:rPr>
        <w:t>14</w:t>
      </w:r>
      <w:r w:rsidR="00B57524"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914</w:t>
      </w:r>
      <w:r w:rsidR="00B57524" w:rsidRPr="002D2F67">
        <w:rPr>
          <w:rFonts w:ascii="Arial" w:hAnsi="Arial" w:cs="Arial"/>
          <w:color w:val="000000"/>
          <w:spacing w:val="-4"/>
          <w:sz w:val="20"/>
          <w:szCs w:val="20"/>
        </w:rPr>
        <w:t xml:space="preserve"> </w:t>
      </w:r>
      <w:r w:rsidRPr="002D2F67">
        <w:rPr>
          <w:rFonts w:ascii="Arial" w:hAnsi="Arial" w:cs="Arial"/>
          <w:color w:val="000000"/>
          <w:spacing w:val="-4"/>
          <w:sz w:val="20"/>
          <w:szCs w:val="20"/>
        </w:rPr>
        <w:t xml:space="preserve">million with fixed interest between </w:t>
      </w:r>
      <w:r w:rsidR="00CD5714" w:rsidRPr="00CD5714">
        <w:rPr>
          <w:rFonts w:ascii="Arial" w:hAnsi="Arial" w:cs="Arial"/>
          <w:color w:val="000000"/>
          <w:spacing w:val="-4"/>
          <w:sz w:val="20"/>
          <w:szCs w:val="20"/>
          <w:lang w:val="en-GB"/>
        </w:rPr>
        <w:t>2</w:t>
      </w:r>
      <w:r w:rsidR="004C1B8E"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20</w:t>
      </w:r>
      <w:r w:rsidRPr="002D2F67">
        <w:rPr>
          <w:rFonts w:ascii="Arial" w:hAnsi="Arial" w:cs="Arial"/>
          <w:color w:val="000000"/>
          <w:spacing w:val="-4"/>
          <w:sz w:val="20"/>
          <w:szCs w:val="20"/>
        </w:rPr>
        <w:t xml:space="preserve">% and </w:t>
      </w:r>
      <w:r w:rsidR="00CD5714" w:rsidRPr="00CD5714">
        <w:rPr>
          <w:rFonts w:ascii="Arial" w:hAnsi="Arial" w:cs="Arial"/>
          <w:color w:val="000000"/>
          <w:spacing w:val="-4"/>
          <w:sz w:val="20"/>
          <w:szCs w:val="20"/>
          <w:lang w:val="en-GB"/>
        </w:rPr>
        <w:t>6</w:t>
      </w:r>
      <w:r w:rsidR="004C1B8E"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55</w:t>
      </w:r>
      <w:r w:rsidRPr="002D2F67">
        <w:rPr>
          <w:rFonts w:ascii="Arial" w:hAnsi="Arial" w:cs="Arial"/>
          <w:color w:val="000000"/>
          <w:spacing w:val="-4"/>
          <w:sz w:val="20"/>
          <w:szCs w:val="20"/>
        </w:rPr>
        <w:t xml:space="preserve">% per annum, US </w:t>
      </w:r>
      <w:r w:rsidR="00070600" w:rsidRPr="002D2F67">
        <w:rPr>
          <w:rFonts w:ascii="Arial" w:hAnsi="Arial" w:cs="Arial"/>
          <w:color w:val="000000"/>
          <w:spacing w:val="-4"/>
          <w:sz w:val="20"/>
          <w:szCs w:val="20"/>
        </w:rPr>
        <w:t>D</w:t>
      </w:r>
      <w:r w:rsidRPr="002D2F67">
        <w:rPr>
          <w:rFonts w:ascii="Arial" w:hAnsi="Arial" w:cs="Arial"/>
          <w:color w:val="000000"/>
          <w:spacing w:val="-4"/>
          <w:sz w:val="20"/>
          <w:szCs w:val="20"/>
        </w:rPr>
        <w:t xml:space="preserve">ollar </w:t>
      </w:r>
      <w:r w:rsidR="00CD5714" w:rsidRPr="00CD5714">
        <w:rPr>
          <w:rFonts w:ascii="Arial" w:hAnsi="Arial" w:cs="Arial"/>
          <w:color w:val="000000"/>
          <w:spacing w:val="-4"/>
          <w:sz w:val="20"/>
          <w:szCs w:val="20"/>
          <w:lang w:val="en-GB"/>
        </w:rPr>
        <w:t>1</w:t>
      </w:r>
      <w:r w:rsidR="006C5C64">
        <w:rPr>
          <w:rFonts w:ascii="Arial" w:hAnsi="Arial" w:cs="Arial"/>
          <w:color w:val="000000"/>
          <w:spacing w:val="-4"/>
          <w:sz w:val="20"/>
          <w:szCs w:val="20"/>
          <w:lang w:val="en-GB"/>
        </w:rPr>
        <w:t>1</w:t>
      </w:r>
      <w:r w:rsidRPr="002D2F67">
        <w:rPr>
          <w:rFonts w:ascii="Arial" w:hAnsi="Arial" w:cs="Arial"/>
          <w:color w:val="000000"/>
          <w:spacing w:val="-4"/>
          <w:sz w:val="20"/>
          <w:szCs w:val="20"/>
        </w:rPr>
        <w:t xml:space="preserve"> million with fixed interest rate between </w:t>
      </w:r>
      <w:r w:rsidR="00CD5714" w:rsidRPr="00CD5714">
        <w:rPr>
          <w:rFonts w:ascii="Arial" w:hAnsi="Arial" w:cs="Arial"/>
          <w:color w:val="000000"/>
          <w:spacing w:val="-4"/>
          <w:sz w:val="20"/>
          <w:szCs w:val="20"/>
          <w:lang w:val="en-GB"/>
        </w:rPr>
        <w:t>2</w:t>
      </w:r>
      <w:r w:rsidR="004C1B8E"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20</w:t>
      </w:r>
      <w:r w:rsidRPr="002D2F67">
        <w:rPr>
          <w:rFonts w:ascii="Arial" w:hAnsi="Arial" w:cs="Arial"/>
          <w:color w:val="000000"/>
          <w:spacing w:val="-4"/>
          <w:sz w:val="20"/>
          <w:szCs w:val="20"/>
        </w:rPr>
        <w:t xml:space="preserve">% and </w:t>
      </w:r>
      <w:r w:rsidR="00CD5714" w:rsidRPr="00CD5714">
        <w:rPr>
          <w:rFonts w:ascii="Arial" w:hAnsi="Arial" w:cs="Arial"/>
          <w:color w:val="000000"/>
          <w:spacing w:val="-4"/>
          <w:sz w:val="20"/>
          <w:szCs w:val="20"/>
          <w:lang w:val="en-GB"/>
        </w:rPr>
        <w:t>3</w:t>
      </w:r>
      <w:r w:rsidR="004C1B8E"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01</w:t>
      </w:r>
      <w:r w:rsidRPr="002D2F67">
        <w:rPr>
          <w:rFonts w:ascii="Arial" w:hAnsi="Arial" w:cs="Arial"/>
          <w:color w:val="000000"/>
          <w:spacing w:val="-4"/>
          <w:sz w:val="20"/>
          <w:szCs w:val="20"/>
        </w:rPr>
        <w:t xml:space="preserve">% per annum and Singapore </w:t>
      </w:r>
      <w:r w:rsidR="00070600" w:rsidRPr="002D2F67">
        <w:rPr>
          <w:rFonts w:ascii="Arial" w:hAnsi="Arial" w:cs="Arial"/>
          <w:color w:val="000000"/>
          <w:spacing w:val="-4"/>
          <w:sz w:val="20"/>
          <w:szCs w:val="20"/>
        </w:rPr>
        <w:t>D</w:t>
      </w:r>
      <w:r w:rsidRPr="002D2F67">
        <w:rPr>
          <w:rFonts w:ascii="Arial" w:hAnsi="Arial" w:cs="Arial"/>
          <w:color w:val="000000"/>
          <w:spacing w:val="-4"/>
          <w:sz w:val="20"/>
          <w:szCs w:val="20"/>
        </w:rPr>
        <w:t xml:space="preserve">ollar </w:t>
      </w:r>
      <w:r w:rsidR="00CD5714" w:rsidRPr="00CD5714">
        <w:rPr>
          <w:rFonts w:ascii="Arial" w:hAnsi="Arial" w:cs="Arial"/>
          <w:color w:val="000000"/>
          <w:spacing w:val="-4"/>
          <w:sz w:val="20"/>
          <w:szCs w:val="20"/>
          <w:lang w:val="en-GB"/>
        </w:rPr>
        <w:t>40</w:t>
      </w:r>
      <w:r w:rsidR="004C1B8E"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000</w:t>
      </w:r>
      <w:r w:rsidRPr="002D2F67">
        <w:rPr>
          <w:rFonts w:ascii="Arial" w:hAnsi="Arial" w:cs="Arial"/>
          <w:color w:val="000000"/>
          <w:spacing w:val="-4"/>
          <w:sz w:val="20"/>
          <w:szCs w:val="20"/>
        </w:rPr>
        <w:t xml:space="preserve"> with fixed interest at </w:t>
      </w:r>
      <w:r w:rsidR="00CD5714" w:rsidRPr="00CD5714">
        <w:rPr>
          <w:rFonts w:ascii="Arial" w:hAnsi="Arial" w:cs="Arial"/>
          <w:color w:val="000000"/>
          <w:spacing w:val="-4"/>
          <w:sz w:val="20"/>
          <w:szCs w:val="20"/>
          <w:lang w:val="en-GB"/>
        </w:rPr>
        <w:t>2</w:t>
      </w:r>
      <w:r w:rsidR="004C1B8E"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51</w:t>
      </w:r>
      <w:r w:rsidRPr="002D2F67">
        <w:rPr>
          <w:rFonts w:ascii="Arial" w:hAnsi="Arial" w:cs="Arial"/>
          <w:color w:val="000000"/>
          <w:spacing w:val="-4"/>
          <w:sz w:val="20"/>
          <w:szCs w:val="20"/>
        </w:rPr>
        <w:t>% per annum (</w:t>
      </w:r>
      <w:r w:rsidR="00CD5714" w:rsidRPr="00CD5714">
        <w:rPr>
          <w:rFonts w:ascii="Arial" w:hAnsi="Arial" w:cs="Arial"/>
          <w:color w:val="000000"/>
          <w:spacing w:val="-4"/>
          <w:sz w:val="20"/>
          <w:szCs w:val="20"/>
          <w:lang w:val="en-GB"/>
        </w:rPr>
        <w:t>31</w:t>
      </w:r>
      <w:r w:rsidRPr="002D2F67">
        <w:rPr>
          <w:rFonts w:ascii="Arial" w:hAnsi="Arial" w:cs="Arial"/>
          <w:color w:val="000000"/>
          <w:spacing w:val="-4"/>
          <w:sz w:val="20"/>
          <w:szCs w:val="20"/>
        </w:rPr>
        <w:t xml:space="preserve"> December </w:t>
      </w:r>
      <w:r w:rsidR="00CD5714" w:rsidRPr="00CD5714">
        <w:rPr>
          <w:rFonts w:ascii="Arial" w:hAnsi="Arial" w:cs="Arial"/>
          <w:color w:val="000000"/>
          <w:spacing w:val="-4"/>
          <w:sz w:val="20"/>
          <w:szCs w:val="20"/>
          <w:lang w:val="en-GB"/>
        </w:rPr>
        <w:t>2023</w:t>
      </w:r>
      <w:r w:rsidRPr="002D2F67">
        <w:rPr>
          <w:rFonts w:ascii="Arial" w:hAnsi="Arial" w:cs="Arial"/>
          <w:color w:val="000000"/>
          <w:spacing w:val="-4"/>
          <w:sz w:val="20"/>
          <w:szCs w:val="20"/>
        </w:rPr>
        <w:t xml:space="preserve">: </w:t>
      </w:r>
      <w:r w:rsidR="00AE149C" w:rsidRPr="002D2F67">
        <w:rPr>
          <w:rFonts w:ascii="Arial" w:hAnsi="Arial" w:cs="Arial"/>
          <w:color w:val="000000"/>
          <w:spacing w:val="-4"/>
          <w:sz w:val="20"/>
          <w:szCs w:val="20"/>
        </w:rPr>
        <w:t xml:space="preserve">Baht </w:t>
      </w:r>
      <w:r w:rsidR="00CD5714" w:rsidRPr="00CD5714">
        <w:rPr>
          <w:rFonts w:ascii="Arial" w:hAnsi="Arial" w:cs="Arial"/>
          <w:color w:val="000000"/>
          <w:spacing w:val="-4"/>
          <w:sz w:val="20"/>
          <w:szCs w:val="20"/>
          <w:lang w:val="en-GB"/>
        </w:rPr>
        <w:t>16</w:t>
      </w:r>
      <w:r w:rsidR="00AE149C"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735</w:t>
      </w:r>
      <w:r w:rsidR="00AE149C" w:rsidRPr="002D2F67">
        <w:rPr>
          <w:rFonts w:ascii="Arial" w:hAnsi="Arial" w:cs="Arial"/>
          <w:color w:val="000000"/>
          <w:spacing w:val="-4"/>
          <w:sz w:val="20"/>
          <w:szCs w:val="20"/>
        </w:rPr>
        <w:t xml:space="preserve"> million with fixed interest between </w:t>
      </w:r>
      <w:r w:rsidR="00CD5714" w:rsidRPr="00CD5714">
        <w:rPr>
          <w:rFonts w:ascii="Arial" w:hAnsi="Arial" w:cs="Arial"/>
          <w:color w:val="000000"/>
          <w:spacing w:val="-4"/>
          <w:sz w:val="20"/>
          <w:szCs w:val="20"/>
          <w:lang w:val="en-GB"/>
        </w:rPr>
        <w:t>2</w:t>
      </w:r>
      <w:r w:rsidR="00AE149C"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20</w:t>
      </w:r>
      <w:r w:rsidR="00AE149C" w:rsidRPr="002D2F67">
        <w:rPr>
          <w:rFonts w:ascii="Arial" w:hAnsi="Arial" w:cs="Arial"/>
          <w:color w:val="000000"/>
          <w:spacing w:val="-4"/>
          <w:sz w:val="20"/>
          <w:szCs w:val="20"/>
        </w:rPr>
        <w:t xml:space="preserve">% and </w:t>
      </w:r>
      <w:r w:rsidR="00CD5714" w:rsidRPr="00CD5714">
        <w:rPr>
          <w:rFonts w:ascii="Arial" w:hAnsi="Arial" w:cs="Arial"/>
          <w:color w:val="000000"/>
          <w:spacing w:val="-4"/>
          <w:sz w:val="20"/>
          <w:szCs w:val="20"/>
          <w:lang w:val="en-GB"/>
        </w:rPr>
        <w:t>6</w:t>
      </w:r>
      <w:r w:rsidR="00AE149C"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55</w:t>
      </w:r>
      <w:r w:rsidR="00AE149C" w:rsidRPr="002D2F67">
        <w:rPr>
          <w:rFonts w:ascii="Arial" w:hAnsi="Arial" w:cs="Arial"/>
          <w:color w:val="000000"/>
          <w:spacing w:val="-4"/>
          <w:sz w:val="20"/>
          <w:szCs w:val="20"/>
        </w:rPr>
        <w:t xml:space="preserve">% per annum and Baht </w:t>
      </w:r>
      <w:r w:rsidR="00CD5714" w:rsidRPr="00CD5714">
        <w:rPr>
          <w:rFonts w:ascii="Arial" w:hAnsi="Arial" w:cs="Arial"/>
          <w:color w:val="000000"/>
          <w:spacing w:val="-4"/>
          <w:sz w:val="20"/>
          <w:szCs w:val="20"/>
          <w:lang w:val="en-GB"/>
        </w:rPr>
        <w:t>2</w:t>
      </w:r>
      <w:r w:rsidR="00AE149C" w:rsidRPr="002D2F67">
        <w:rPr>
          <w:rFonts w:ascii="Arial" w:hAnsi="Arial" w:cs="Arial"/>
          <w:color w:val="000000"/>
          <w:spacing w:val="-4"/>
          <w:sz w:val="20"/>
          <w:szCs w:val="20"/>
        </w:rPr>
        <w:t xml:space="preserve"> million with floating interest plus a certain margin per annum, US </w:t>
      </w:r>
      <w:r w:rsidR="00070600" w:rsidRPr="002D2F67">
        <w:rPr>
          <w:rFonts w:ascii="Arial" w:hAnsi="Arial" w:cs="Arial"/>
          <w:color w:val="000000"/>
          <w:spacing w:val="-4"/>
          <w:sz w:val="20"/>
          <w:szCs w:val="20"/>
        </w:rPr>
        <w:t>D</w:t>
      </w:r>
      <w:r w:rsidR="00AE149C" w:rsidRPr="002D2F67">
        <w:rPr>
          <w:rFonts w:ascii="Arial" w:hAnsi="Arial" w:cs="Arial"/>
          <w:color w:val="000000"/>
          <w:spacing w:val="-4"/>
          <w:sz w:val="20"/>
          <w:szCs w:val="20"/>
        </w:rPr>
        <w:t xml:space="preserve">ollar </w:t>
      </w:r>
      <w:r w:rsidR="00CD5714" w:rsidRPr="00CD5714">
        <w:rPr>
          <w:rFonts w:ascii="Arial" w:hAnsi="Arial" w:cs="Arial"/>
          <w:color w:val="000000"/>
          <w:spacing w:val="-4"/>
          <w:sz w:val="20"/>
          <w:szCs w:val="20"/>
          <w:lang w:val="en-GB"/>
        </w:rPr>
        <w:t>20</w:t>
      </w:r>
      <w:r w:rsidR="00AE149C" w:rsidRPr="002D2F67">
        <w:rPr>
          <w:rFonts w:ascii="Arial" w:hAnsi="Arial" w:cs="Arial"/>
          <w:color w:val="000000"/>
          <w:spacing w:val="-4"/>
          <w:sz w:val="20"/>
          <w:szCs w:val="20"/>
        </w:rPr>
        <w:t xml:space="preserve"> million with fixed interest rate between </w:t>
      </w:r>
      <w:r w:rsidR="00CD5714" w:rsidRPr="00CD5714">
        <w:rPr>
          <w:rFonts w:ascii="Arial" w:hAnsi="Arial" w:cs="Arial"/>
          <w:color w:val="000000"/>
          <w:spacing w:val="-4"/>
          <w:sz w:val="20"/>
          <w:szCs w:val="20"/>
          <w:lang w:val="en-GB"/>
        </w:rPr>
        <w:t>2</w:t>
      </w:r>
      <w:r w:rsidR="00AE149C"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20</w:t>
      </w:r>
      <w:r w:rsidR="00AE149C" w:rsidRPr="002D2F67">
        <w:rPr>
          <w:rFonts w:ascii="Arial" w:hAnsi="Arial" w:cs="Arial"/>
          <w:color w:val="000000"/>
          <w:spacing w:val="-4"/>
          <w:sz w:val="20"/>
          <w:szCs w:val="20"/>
        </w:rPr>
        <w:t xml:space="preserve">% and </w:t>
      </w:r>
      <w:r w:rsidR="00CD5714" w:rsidRPr="00CD5714">
        <w:rPr>
          <w:rFonts w:ascii="Arial" w:hAnsi="Arial" w:cs="Arial"/>
          <w:color w:val="000000"/>
          <w:spacing w:val="-4"/>
          <w:sz w:val="20"/>
          <w:szCs w:val="20"/>
          <w:lang w:val="en-GB"/>
        </w:rPr>
        <w:t>3</w:t>
      </w:r>
      <w:r w:rsidR="00AE149C"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01</w:t>
      </w:r>
      <w:r w:rsidR="00AE149C" w:rsidRPr="002D2F67">
        <w:rPr>
          <w:rFonts w:ascii="Arial" w:hAnsi="Arial" w:cs="Arial"/>
          <w:color w:val="000000"/>
          <w:spacing w:val="-4"/>
          <w:sz w:val="20"/>
          <w:szCs w:val="20"/>
        </w:rPr>
        <w:t xml:space="preserve">% per annum and Singapore </w:t>
      </w:r>
      <w:r w:rsidR="00070600" w:rsidRPr="002D2F67">
        <w:rPr>
          <w:rFonts w:ascii="Arial" w:hAnsi="Arial" w:cs="Arial"/>
          <w:color w:val="000000"/>
          <w:spacing w:val="-4"/>
          <w:sz w:val="20"/>
          <w:szCs w:val="20"/>
        </w:rPr>
        <w:t>D</w:t>
      </w:r>
      <w:r w:rsidR="00AE149C" w:rsidRPr="002D2F67">
        <w:rPr>
          <w:rFonts w:ascii="Arial" w:hAnsi="Arial" w:cs="Arial"/>
          <w:color w:val="000000"/>
          <w:spacing w:val="-4"/>
          <w:sz w:val="20"/>
          <w:szCs w:val="20"/>
        </w:rPr>
        <w:t xml:space="preserve">ollar </w:t>
      </w:r>
      <w:r w:rsidR="00CD5714" w:rsidRPr="00CD5714">
        <w:rPr>
          <w:rFonts w:ascii="Arial" w:hAnsi="Arial" w:cs="Arial"/>
          <w:color w:val="000000"/>
          <w:spacing w:val="-4"/>
          <w:sz w:val="20"/>
          <w:szCs w:val="20"/>
          <w:lang w:val="en-GB"/>
        </w:rPr>
        <w:t>40</w:t>
      </w:r>
      <w:r w:rsidR="00AE149C"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000</w:t>
      </w:r>
      <w:r w:rsidR="00AE149C" w:rsidRPr="002D2F67">
        <w:rPr>
          <w:rFonts w:ascii="Arial" w:hAnsi="Arial" w:cs="Arial"/>
          <w:color w:val="000000"/>
          <w:spacing w:val="-4"/>
          <w:sz w:val="20"/>
          <w:szCs w:val="20"/>
        </w:rPr>
        <w:t xml:space="preserve"> with fixed interest at </w:t>
      </w:r>
      <w:r w:rsidR="00CD5714" w:rsidRPr="00CD5714">
        <w:rPr>
          <w:rFonts w:ascii="Arial" w:hAnsi="Arial" w:cs="Arial"/>
          <w:color w:val="000000"/>
          <w:spacing w:val="-4"/>
          <w:sz w:val="20"/>
          <w:szCs w:val="20"/>
          <w:lang w:val="en-GB"/>
        </w:rPr>
        <w:t>2</w:t>
      </w:r>
      <w:r w:rsidR="00AE149C"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51</w:t>
      </w:r>
      <w:r w:rsidR="00AE149C" w:rsidRPr="002D2F67">
        <w:rPr>
          <w:rFonts w:ascii="Arial" w:hAnsi="Arial" w:cs="Arial"/>
          <w:color w:val="000000"/>
          <w:spacing w:val="-4"/>
          <w:sz w:val="20"/>
          <w:szCs w:val="20"/>
        </w:rPr>
        <w:t>% per annum</w:t>
      </w:r>
      <w:r w:rsidRPr="002D2F67">
        <w:rPr>
          <w:rFonts w:ascii="Arial" w:hAnsi="Arial" w:cs="Arial"/>
          <w:color w:val="000000"/>
          <w:spacing w:val="-4"/>
          <w:sz w:val="20"/>
          <w:szCs w:val="20"/>
        </w:rPr>
        <w:t>). The terms of principal repayment and interest repayment are specifi</w:t>
      </w:r>
      <w:r w:rsidR="00FD63FC" w:rsidRPr="002D2F67">
        <w:rPr>
          <w:rFonts w:ascii="Arial" w:hAnsi="Arial" w:cs="Arial"/>
          <w:color w:val="000000"/>
          <w:spacing w:val="-4"/>
          <w:sz w:val="20"/>
          <w:szCs w:val="20"/>
        </w:rPr>
        <w:t>ed in the</w:t>
      </w:r>
      <w:r w:rsidRPr="002D2F67">
        <w:rPr>
          <w:rFonts w:ascii="Arial" w:hAnsi="Arial" w:cs="Arial"/>
          <w:color w:val="000000"/>
          <w:spacing w:val="-4"/>
          <w:sz w:val="20"/>
          <w:szCs w:val="20"/>
        </w:rPr>
        <w:t xml:space="preserve"> schedule. </w:t>
      </w:r>
      <w:r w:rsidR="00225DBC">
        <w:rPr>
          <w:rFonts w:ascii="Arial" w:hAnsi="Arial" w:cs="Arial"/>
          <w:color w:val="000000"/>
          <w:spacing w:val="-4"/>
          <w:sz w:val="20"/>
          <w:szCs w:val="20"/>
        </w:rPr>
        <w:t>These</w:t>
      </w:r>
      <w:r w:rsidRPr="002D2F67">
        <w:rPr>
          <w:rFonts w:ascii="Arial" w:hAnsi="Arial" w:cs="Arial"/>
          <w:color w:val="000000"/>
          <w:spacing w:val="-4"/>
          <w:sz w:val="20"/>
          <w:szCs w:val="20"/>
        </w:rPr>
        <w:t xml:space="preserve"> long-term loans are unsecured.</w:t>
      </w:r>
    </w:p>
    <w:p w14:paraId="3A0BA993" w14:textId="45DF32A3" w:rsidR="00254C97" w:rsidRPr="002D2F67" w:rsidRDefault="00AB5B46" w:rsidP="005611FE">
      <w:pPr>
        <w:ind w:left="540"/>
        <w:jc w:val="thaiDistribute"/>
        <w:rPr>
          <w:rFonts w:ascii="Arial" w:hAnsi="Arial" w:cs="Arial"/>
          <w:color w:val="000000"/>
          <w:sz w:val="20"/>
          <w:szCs w:val="20"/>
        </w:rPr>
      </w:pPr>
      <w:r w:rsidRPr="002D2F67">
        <w:rPr>
          <w:rFonts w:ascii="Arial" w:hAnsi="Arial" w:cs="Arial"/>
          <w:color w:val="000000"/>
          <w:sz w:val="20"/>
          <w:szCs w:val="20"/>
          <w:cs/>
        </w:rPr>
        <w:br w:type="page"/>
      </w:r>
    </w:p>
    <w:p w14:paraId="635FE512" w14:textId="770A0718" w:rsidR="001E6C66" w:rsidRPr="002D2F67" w:rsidRDefault="001E6C66" w:rsidP="005611FE">
      <w:pPr>
        <w:ind w:left="540"/>
        <w:jc w:val="thaiDistribute"/>
        <w:rPr>
          <w:rFonts w:ascii="Arial" w:hAnsi="Arial" w:cs="Arial"/>
          <w:color w:val="000000"/>
          <w:sz w:val="20"/>
          <w:szCs w:val="20"/>
        </w:rPr>
      </w:pPr>
      <w:r w:rsidRPr="002D2F67">
        <w:rPr>
          <w:rFonts w:ascii="Arial" w:hAnsi="Arial" w:cs="Arial"/>
          <w:color w:val="000000"/>
          <w:sz w:val="20"/>
          <w:szCs w:val="20"/>
        </w:rPr>
        <w:t>The movement of long-term loans to related parties can be analysed as follows:</w:t>
      </w:r>
    </w:p>
    <w:p w14:paraId="70E3D427" w14:textId="77777777" w:rsidR="001E6C66" w:rsidRPr="002D2F67" w:rsidRDefault="001E6C66" w:rsidP="005611FE">
      <w:pPr>
        <w:ind w:left="540"/>
        <w:jc w:val="thaiDistribute"/>
        <w:rPr>
          <w:rFonts w:ascii="Arial" w:hAnsi="Arial" w:cs="Arial"/>
          <w:color w:val="000000"/>
          <w:sz w:val="20"/>
          <w:szCs w:val="20"/>
        </w:rPr>
      </w:pPr>
    </w:p>
    <w:tbl>
      <w:tblPr>
        <w:tblW w:w="9450" w:type="dxa"/>
        <w:tblInd w:w="108" w:type="dxa"/>
        <w:tblLayout w:type="fixed"/>
        <w:tblLook w:val="0000" w:firstRow="0" w:lastRow="0" w:firstColumn="0" w:lastColumn="0" w:noHBand="0" w:noVBand="0"/>
      </w:tblPr>
      <w:tblGrid>
        <w:gridCol w:w="4111"/>
        <w:gridCol w:w="1276"/>
        <w:gridCol w:w="1183"/>
        <w:gridCol w:w="1440"/>
        <w:gridCol w:w="1440"/>
      </w:tblGrid>
      <w:tr w:rsidR="001E6C66" w:rsidRPr="002D2F67" w14:paraId="2486849E" w14:textId="77777777" w:rsidTr="000571AF">
        <w:tc>
          <w:tcPr>
            <w:tcW w:w="4111" w:type="dxa"/>
            <w:shd w:val="clear" w:color="auto" w:fill="auto"/>
          </w:tcPr>
          <w:p w14:paraId="6269A199" w14:textId="77777777" w:rsidR="005511A2" w:rsidRPr="002D2F67" w:rsidRDefault="005511A2" w:rsidP="005611FE">
            <w:pPr>
              <w:ind w:left="447" w:right="-72"/>
              <w:rPr>
                <w:rFonts w:ascii="Arial" w:hAnsi="Arial" w:cs="Arial"/>
                <w:b/>
                <w:bCs/>
                <w:color w:val="000000"/>
                <w:sz w:val="20"/>
                <w:szCs w:val="20"/>
              </w:rPr>
            </w:pPr>
          </w:p>
          <w:p w14:paraId="6F4EDC98" w14:textId="5D3D35B6" w:rsidR="001E6C66" w:rsidRPr="002D2F67" w:rsidRDefault="001E6C66" w:rsidP="005611FE">
            <w:pPr>
              <w:ind w:left="447" w:right="-72"/>
              <w:rPr>
                <w:rFonts w:ascii="Arial" w:hAnsi="Arial" w:cs="Arial"/>
                <w:b/>
                <w:bCs/>
                <w:color w:val="000000"/>
                <w:sz w:val="20"/>
                <w:szCs w:val="20"/>
              </w:rPr>
            </w:pPr>
          </w:p>
        </w:tc>
        <w:tc>
          <w:tcPr>
            <w:tcW w:w="2459" w:type="dxa"/>
            <w:gridSpan w:val="2"/>
            <w:tcBorders>
              <w:bottom w:val="single" w:sz="4" w:space="0" w:color="auto"/>
            </w:tcBorders>
            <w:shd w:val="clear" w:color="auto" w:fill="auto"/>
          </w:tcPr>
          <w:p w14:paraId="3F7199F2"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042BB3F5"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2880" w:type="dxa"/>
            <w:gridSpan w:val="2"/>
            <w:tcBorders>
              <w:bottom w:val="single" w:sz="4" w:space="0" w:color="auto"/>
            </w:tcBorders>
            <w:shd w:val="clear" w:color="auto" w:fill="auto"/>
          </w:tcPr>
          <w:p w14:paraId="1BA365B8"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Separate </w:t>
            </w:r>
          </w:p>
          <w:p w14:paraId="668201A8"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E32A54" w:rsidRPr="002D2F67" w14:paraId="1E212901" w14:textId="77777777" w:rsidTr="000571AF">
        <w:tc>
          <w:tcPr>
            <w:tcW w:w="4111" w:type="dxa"/>
            <w:shd w:val="clear" w:color="auto" w:fill="auto"/>
          </w:tcPr>
          <w:p w14:paraId="6E8378AA" w14:textId="6CEB1746" w:rsidR="00E32A54" w:rsidRPr="002D2F67" w:rsidRDefault="005511A2" w:rsidP="005611FE">
            <w:pPr>
              <w:tabs>
                <w:tab w:val="left" w:pos="1134"/>
                <w:tab w:val="left" w:pos="1276"/>
                <w:tab w:val="center" w:pos="4536"/>
                <w:tab w:val="center" w:pos="5670"/>
                <w:tab w:val="center" w:pos="6804"/>
                <w:tab w:val="right" w:pos="7655"/>
              </w:tabs>
              <w:ind w:left="447" w:right="-105"/>
              <w:rPr>
                <w:rFonts w:ascii="Arial" w:hAnsi="Arial" w:cs="Arial"/>
                <w:b/>
                <w:bCs/>
                <w:color w:val="000000"/>
                <w:spacing w:val="-4"/>
                <w:sz w:val="20"/>
                <w:szCs w:val="20"/>
              </w:rPr>
            </w:pPr>
            <w:r w:rsidRPr="002D2F67">
              <w:rPr>
                <w:rFonts w:ascii="Arial" w:hAnsi="Arial" w:cs="Arial"/>
                <w:b/>
                <w:bCs/>
                <w:color w:val="000000"/>
                <w:spacing w:val="-4"/>
                <w:sz w:val="20"/>
                <w:szCs w:val="20"/>
              </w:rPr>
              <w:t xml:space="preserve">For the years ended </w:t>
            </w:r>
            <w:r w:rsidR="00CD5714" w:rsidRPr="00CD5714">
              <w:rPr>
                <w:rFonts w:ascii="Arial" w:hAnsi="Arial" w:cs="Arial"/>
                <w:b/>
                <w:bCs/>
                <w:color w:val="000000"/>
                <w:spacing w:val="-4"/>
                <w:sz w:val="20"/>
                <w:szCs w:val="20"/>
                <w:lang w:val="en-GB"/>
              </w:rPr>
              <w:t>31</w:t>
            </w:r>
            <w:r w:rsidRPr="002D2F67">
              <w:rPr>
                <w:rFonts w:ascii="Arial" w:hAnsi="Arial" w:cs="Arial"/>
                <w:b/>
                <w:bCs/>
                <w:color w:val="000000"/>
                <w:spacing w:val="-4"/>
                <w:sz w:val="20"/>
                <w:szCs w:val="20"/>
              </w:rPr>
              <w:t xml:space="preserve"> December</w:t>
            </w:r>
          </w:p>
        </w:tc>
        <w:tc>
          <w:tcPr>
            <w:tcW w:w="1276" w:type="dxa"/>
            <w:shd w:val="clear" w:color="auto" w:fill="auto"/>
          </w:tcPr>
          <w:p w14:paraId="44B90C7E" w14:textId="4344C23C" w:rsidR="00E32A54"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1183" w:type="dxa"/>
            <w:shd w:val="clear" w:color="auto" w:fill="auto"/>
          </w:tcPr>
          <w:p w14:paraId="0A2105A2" w14:textId="2A926A35" w:rsidR="00E32A54"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c>
          <w:tcPr>
            <w:tcW w:w="1440" w:type="dxa"/>
            <w:shd w:val="clear" w:color="auto" w:fill="auto"/>
          </w:tcPr>
          <w:p w14:paraId="2FE1D2BF" w14:textId="02D2C4C7" w:rsidR="00E32A54"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1440" w:type="dxa"/>
            <w:shd w:val="clear" w:color="auto" w:fill="auto"/>
          </w:tcPr>
          <w:p w14:paraId="055EBA63" w14:textId="1FBE6882" w:rsidR="00E32A54"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p>
        </w:tc>
      </w:tr>
      <w:tr w:rsidR="00E32A54" w:rsidRPr="002D2F67" w14:paraId="4507EC30" w14:textId="77777777" w:rsidTr="000571AF">
        <w:tc>
          <w:tcPr>
            <w:tcW w:w="4111" w:type="dxa"/>
            <w:shd w:val="clear" w:color="auto" w:fill="auto"/>
          </w:tcPr>
          <w:p w14:paraId="1A0A5F3F" w14:textId="15A61C70" w:rsidR="00E32A54" w:rsidRPr="002D2F67" w:rsidRDefault="00E32A54" w:rsidP="005611FE">
            <w:pPr>
              <w:tabs>
                <w:tab w:val="left" w:pos="1134"/>
                <w:tab w:val="left" w:pos="1276"/>
                <w:tab w:val="center" w:pos="3402"/>
                <w:tab w:val="center" w:pos="4536"/>
                <w:tab w:val="center" w:pos="5670"/>
                <w:tab w:val="center" w:pos="6804"/>
                <w:tab w:val="right" w:pos="7655"/>
              </w:tabs>
              <w:ind w:left="447" w:right="-72"/>
              <w:rPr>
                <w:rFonts w:ascii="Arial" w:hAnsi="Arial" w:cs="Arial"/>
                <w:b/>
                <w:bCs/>
                <w:color w:val="000000"/>
                <w:sz w:val="20"/>
                <w:szCs w:val="20"/>
              </w:rPr>
            </w:pPr>
          </w:p>
        </w:tc>
        <w:tc>
          <w:tcPr>
            <w:tcW w:w="1276" w:type="dxa"/>
            <w:tcBorders>
              <w:bottom w:val="single" w:sz="4" w:space="0" w:color="auto"/>
            </w:tcBorders>
            <w:shd w:val="clear" w:color="auto" w:fill="auto"/>
          </w:tcPr>
          <w:p w14:paraId="1AF4C111" w14:textId="1B08F54D" w:rsidR="00E32A54" w:rsidRPr="002D2F67" w:rsidRDefault="00E32A54"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183" w:type="dxa"/>
            <w:tcBorders>
              <w:bottom w:val="single" w:sz="4" w:space="0" w:color="auto"/>
            </w:tcBorders>
            <w:shd w:val="clear" w:color="auto" w:fill="auto"/>
          </w:tcPr>
          <w:p w14:paraId="3A9F6019" w14:textId="609EE228" w:rsidR="00E32A54" w:rsidRPr="002D2F67" w:rsidRDefault="00E32A54"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0F367E65" w14:textId="76C62569" w:rsidR="00E32A54" w:rsidRPr="002D2F67" w:rsidRDefault="00E32A54"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389B9DF7" w14:textId="39D9D851" w:rsidR="00E32A54" w:rsidRPr="002D2F67" w:rsidRDefault="00E32A54"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E32A54" w:rsidRPr="002D2F67" w14:paraId="05DD7817" w14:textId="77777777" w:rsidTr="000571AF">
        <w:trPr>
          <w:trHeight w:val="70"/>
        </w:trPr>
        <w:tc>
          <w:tcPr>
            <w:tcW w:w="4111" w:type="dxa"/>
            <w:shd w:val="clear" w:color="auto" w:fill="auto"/>
          </w:tcPr>
          <w:p w14:paraId="5BFCD703" w14:textId="77777777" w:rsidR="00E32A54" w:rsidRPr="002D2F67" w:rsidRDefault="00E32A54" w:rsidP="005611FE">
            <w:pPr>
              <w:tabs>
                <w:tab w:val="left" w:pos="1134"/>
                <w:tab w:val="left" w:pos="1276"/>
                <w:tab w:val="center" w:pos="3402"/>
                <w:tab w:val="center" w:pos="4536"/>
                <w:tab w:val="center" w:pos="5670"/>
                <w:tab w:val="center" w:pos="6804"/>
                <w:tab w:val="right" w:pos="7655"/>
              </w:tabs>
              <w:ind w:left="447" w:right="-72"/>
              <w:rPr>
                <w:rFonts w:ascii="Arial" w:hAnsi="Arial" w:cs="Arial"/>
                <w:color w:val="000000"/>
                <w:sz w:val="12"/>
                <w:szCs w:val="12"/>
              </w:rPr>
            </w:pPr>
          </w:p>
        </w:tc>
        <w:tc>
          <w:tcPr>
            <w:tcW w:w="1276" w:type="dxa"/>
            <w:tcBorders>
              <w:top w:val="single" w:sz="4" w:space="0" w:color="auto"/>
            </w:tcBorders>
            <w:shd w:val="clear" w:color="auto" w:fill="auto"/>
          </w:tcPr>
          <w:p w14:paraId="0DD1654F" w14:textId="77777777" w:rsidR="00E32A54" w:rsidRPr="002D2F67" w:rsidRDefault="00E32A5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2"/>
                <w:szCs w:val="12"/>
              </w:rPr>
            </w:pPr>
          </w:p>
        </w:tc>
        <w:tc>
          <w:tcPr>
            <w:tcW w:w="1183" w:type="dxa"/>
            <w:tcBorders>
              <w:top w:val="single" w:sz="4" w:space="0" w:color="auto"/>
            </w:tcBorders>
            <w:shd w:val="clear" w:color="auto" w:fill="auto"/>
          </w:tcPr>
          <w:p w14:paraId="35284BA9" w14:textId="77777777" w:rsidR="00E32A54" w:rsidRPr="002D2F67" w:rsidRDefault="00E32A5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2"/>
                <w:szCs w:val="12"/>
              </w:rPr>
            </w:pPr>
          </w:p>
        </w:tc>
        <w:tc>
          <w:tcPr>
            <w:tcW w:w="1440" w:type="dxa"/>
            <w:tcBorders>
              <w:top w:val="single" w:sz="4" w:space="0" w:color="auto"/>
            </w:tcBorders>
            <w:shd w:val="clear" w:color="auto" w:fill="auto"/>
          </w:tcPr>
          <w:p w14:paraId="65EB6291" w14:textId="77777777" w:rsidR="00E32A54" w:rsidRPr="002D2F67" w:rsidRDefault="00E32A5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2"/>
                <w:szCs w:val="12"/>
              </w:rPr>
            </w:pPr>
          </w:p>
        </w:tc>
        <w:tc>
          <w:tcPr>
            <w:tcW w:w="1440" w:type="dxa"/>
            <w:tcBorders>
              <w:top w:val="single" w:sz="4" w:space="0" w:color="auto"/>
            </w:tcBorders>
            <w:shd w:val="clear" w:color="auto" w:fill="auto"/>
          </w:tcPr>
          <w:p w14:paraId="12313C28" w14:textId="77777777" w:rsidR="00E32A54" w:rsidRPr="002D2F67" w:rsidRDefault="00E32A5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2"/>
                <w:szCs w:val="12"/>
              </w:rPr>
            </w:pPr>
          </w:p>
        </w:tc>
      </w:tr>
      <w:tr w:rsidR="008647A6" w:rsidRPr="002D2F67" w14:paraId="36C1F413" w14:textId="77777777" w:rsidTr="000571AF">
        <w:trPr>
          <w:trHeight w:val="126"/>
        </w:trPr>
        <w:tc>
          <w:tcPr>
            <w:tcW w:w="4111" w:type="dxa"/>
            <w:shd w:val="clear" w:color="auto" w:fill="auto"/>
          </w:tcPr>
          <w:p w14:paraId="1C54CE9E" w14:textId="77777777" w:rsidR="008647A6" w:rsidRPr="002D2F67" w:rsidRDefault="008647A6" w:rsidP="005611FE">
            <w:pPr>
              <w:tabs>
                <w:tab w:val="left" w:pos="511"/>
              </w:tabs>
              <w:ind w:left="447" w:right="-72"/>
              <w:rPr>
                <w:rFonts w:ascii="Arial" w:hAnsi="Arial" w:cs="Arial"/>
                <w:color w:val="000000"/>
                <w:sz w:val="20"/>
                <w:szCs w:val="20"/>
              </w:rPr>
            </w:pPr>
            <w:r w:rsidRPr="002D2F67">
              <w:rPr>
                <w:rFonts w:ascii="Arial" w:hAnsi="Arial" w:cs="Arial"/>
                <w:color w:val="000000"/>
                <w:sz w:val="20"/>
                <w:szCs w:val="20"/>
              </w:rPr>
              <w:t>Opening balance</w:t>
            </w:r>
          </w:p>
        </w:tc>
        <w:tc>
          <w:tcPr>
            <w:tcW w:w="1276" w:type="dxa"/>
            <w:shd w:val="clear" w:color="auto" w:fill="auto"/>
          </w:tcPr>
          <w:p w14:paraId="7C874914" w14:textId="67DEAFDD" w:rsidR="008647A6" w:rsidRPr="002D2F67" w:rsidRDefault="00624C1F"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183" w:type="dxa"/>
            <w:shd w:val="clear" w:color="auto" w:fill="auto"/>
          </w:tcPr>
          <w:p w14:paraId="6D0B819E" w14:textId="0B0BA1CB" w:rsidR="008647A6" w:rsidRPr="002D2F67" w:rsidRDefault="008647A6"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tcPr>
          <w:p w14:paraId="6D788641" w14:textId="282A3A3C" w:rsidR="008647A6"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17</w:t>
            </w:r>
            <w:r w:rsidR="00624C1F" w:rsidRPr="002D2F67">
              <w:rPr>
                <w:rFonts w:ascii="Arial" w:hAnsi="Arial" w:cs="Arial"/>
                <w:color w:val="000000"/>
                <w:sz w:val="20"/>
                <w:szCs w:val="20"/>
              </w:rPr>
              <w:t>,</w:t>
            </w:r>
            <w:r w:rsidRPr="00CD5714">
              <w:rPr>
                <w:rFonts w:ascii="Arial" w:hAnsi="Arial" w:cs="Arial"/>
                <w:color w:val="000000"/>
                <w:sz w:val="20"/>
                <w:szCs w:val="20"/>
                <w:lang w:val="en-GB"/>
              </w:rPr>
              <w:t>405</w:t>
            </w:r>
            <w:r w:rsidR="00624C1F" w:rsidRPr="002D2F67">
              <w:rPr>
                <w:rFonts w:ascii="Arial" w:hAnsi="Arial" w:cs="Arial"/>
                <w:color w:val="000000"/>
                <w:sz w:val="20"/>
                <w:szCs w:val="20"/>
              </w:rPr>
              <w:t>,</w:t>
            </w:r>
            <w:r w:rsidRPr="00CD5714">
              <w:rPr>
                <w:rFonts w:ascii="Arial" w:hAnsi="Arial" w:cs="Arial"/>
                <w:color w:val="000000"/>
                <w:sz w:val="20"/>
                <w:szCs w:val="20"/>
                <w:lang w:val="en-GB"/>
              </w:rPr>
              <w:t>329</w:t>
            </w:r>
          </w:p>
        </w:tc>
        <w:tc>
          <w:tcPr>
            <w:tcW w:w="1440" w:type="dxa"/>
            <w:shd w:val="clear" w:color="auto" w:fill="auto"/>
          </w:tcPr>
          <w:p w14:paraId="43C34F31" w14:textId="09CD66A3" w:rsidR="008647A6"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7</w:t>
            </w:r>
            <w:r w:rsidR="008647A6" w:rsidRPr="002D2F67">
              <w:rPr>
                <w:rFonts w:ascii="Arial" w:hAnsi="Arial" w:cs="Arial"/>
                <w:color w:val="000000"/>
                <w:sz w:val="20"/>
                <w:szCs w:val="20"/>
              </w:rPr>
              <w:t>,</w:t>
            </w:r>
            <w:r w:rsidRPr="00CD5714">
              <w:rPr>
                <w:rFonts w:ascii="Arial" w:hAnsi="Arial" w:cs="Arial"/>
                <w:color w:val="000000"/>
                <w:sz w:val="20"/>
                <w:szCs w:val="20"/>
                <w:lang w:val="en-GB"/>
              </w:rPr>
              <w:t>437</w:t>
            </w:r>
            <w:r w:rsidR="008647A6" w:rsidRPr="002D2F67">
              <w:rPr>
                <w:rFonts w:ascii="Arial" w:hAnsi="Arial" w:cs="Arial"/>
                <w:color w:val="000000"/>
                <w:sz w:val="20"/>
                <w:szCs w:val="20"/>
              </w:rPr>
              <w:t>,</w:t>
            </w:r>
            <w:r w:rsidRPr="00CD5714">
              <w:rPr>
                <w:rFonts w:ascii="Arial" w:hAnsi="Arial" w:cs="Arial"/>
                <w:color w:val="000000"/>
                <w:sz w:val="20"/>
                <w:szCs w:val="20"/>
                <w:lang w:val="en-GB"/>
              </w:rPr>
              <w:t>078</w:t>
            </w:r>
          </w:p>
        </w:tc>
      </w:tr>
      <w:tr w:rsidR="008647A6" w:rsidRPr="002D2F67" w14:paraId="14277845" w14:textId="77777777" w:rsidTr="000571AF">
        <w:tc>
          <w:tcPr>
            <w:tcW w:w="4111" w:type="dxa"/>
            <w:shd w:val="clear" w:color="auto" w:fill="auto"/>
          </w:tcPr>
          <w:p w14:paraId="49BD5E9C" w14:textId="77777777" w:rsidR="008647A6" w:rsidRPr="002D2F67" w:rsidRDefault="008647A6" w:rsidP="005611FE">
            <w:pPr>
              <w:tabs>
                <w:tab w:val="left" w:pos="511"/>
              </w:tabs>
              <w:ind w:left="447" w:right="-72"/>
              <w:rPr>
                <w:rFonts w:ascii="Arial" w:hAnsi="Arial" w:cs="Arial"/>
                <w:color w:val="000000"/>
                <w:sz w:val="20"/>
                <w:szCs w:val="20"/>
              </w:rPr>
            </w:pPr>
            <w:r w:rsidRPr="002D2F67">
              <w:rPr>
                <w:rFonts w:ascii="Arial" w:hAnsi="Arial" w:cs="Arial"/>
                <w:color w:val="000000"/>
                <w:sz w:val="20"/>
                <w:szCs w:val="20"/>
              </w:rPr>
              <w:t>Cash flows:</w:t>
            </w:r>
          </w:p>
        </w:tc>
        <w:tc>
          <w:tcPr>
            <w:tcW w:w="1276" w:type="dxa"/>
            <w:shd w:val="clear" w:color="auto" w:fill="auto"/>
          </w:tcPr>
          <w:p w14:paraId="00E35B1F" w14:textId="77777777" w:rsidR="008647A6" w:rsidRPr="002D2F67" w:rsidRDefault="008647A6" w:rsidP="005611FE">
            <w:pPr>
              <w:ind w:right="-72"/>
              <w:jc w:val="right"/>
              <w:rPr>
                <w:rFonts w:ascii="Arial" w:hAnsi="Arial" w:cs="Arial"/>
                <w:color w:val="000000"/>
                <w:sz w:val="20"/>
                <w:szCs w:val="20"/>
              </w:rPr>
            </w:pPr>
          </w:p>
        </w:tc>
        <w:tc>
          <w:tcPr>
            <w:tcW w:w="1183" w:type="dxa"/>
            <w:shd w:val="clear" w:color="auto" w:fill="auto"/>
          </w:tcPr>
          <w:p w14:paraId="2D2B5C93" w14:textId="77777777" w:rsidR="008647A6" w:rsidRPr="002D2F67" w:rsidRDefault="008647A6" w:rsidP="005611FE">
            <w:pPr>
              <w:ind w:right="-72"/>
              <w:jc w:val="right"/>
              <w:rPr>
                <w:rFonts w:ascii="Arial" w:hAnsi="Arial" w:cs="Arial"/>
                <w:color w:val="000000"/>
                <w:sz w:val="20"/>
                <w:szCs w:val="20"/>
              </w:rPr>
            </w:pPr>
          </w:p>
        </w:tc>
        <w:tc>
          <w:tcPr>
            <w:tcW w:w="1440" w:type="dxa"/>
            <w:shd w:val="clear" w:color="auto" w:fill="auto"/>
          </w:tcPr>
          <w:p w14:paraId="738B429A" w14:textId="77777777" w:rsidR="008647A6" w:rsidRPr="002D2F67" w:rsidRDefault="008647A6" w:rsidP="005611FE">
            <w:pPr>
              <w:ind w:right="-72"/>
              <w:jc w:val="right"/>
              <w:rPr>
                <w:rFonts w:ascii="Arial" w:hAnsi="Arial" w:cs="Arial"/>
                <w:color w:val="000000"/>
                <w:sz w:val="20"/>
                <w:szCs w:val="20"/>
              </w:rPr>
            </w:pPr>
          </w:p>
        </w:tc>
        <w:tc>
          <w:tcPr>
            <w:tcW w:w="1440" w:type="dxa"/>
            <w:shd w:val="clear" w:color="auto" w:fill="auto"/>
          </w:tcPr>
          <w:p w14:paraId="4086F310" w14:textId="77777777" w:rsidR="008647A6" w:rsidRPr="002D2F67" w:rsidRDefault="008647A6" w:rsidP="005611FE">
            <w:pPr>
              <w:ind w:right="-72"/>
              <w:jc w:val="right"/>
              <w:rPr>
                <w:rFonts w:ascii="Arial" w:hAnsi="Arial" w:cs="Arial"/>
                <w:color w:val="000000"/>
                <w:sz w:val="20"/>
                <w:szCs w:val="20"/>
              </w:rPr>
            </w:pPr>
          </w:p>
        </w:tc>
      </w:tr>
      <w:tr w:rsidR="008647A6" w:rsidRPr="002D2F67" w14:paraId="7A4CA0C4" w14:textId="77777777" w:rsidTr="000571AF">
        <w:tc>
          <w:tcPr>
            <w:tcW w:w="4111" w:type="dxa"/>
            <w:shd w:val="clear" w:color="auto" w:fill="auto"/>
          </w:tcPr>
          <w:p w14:paraId="493D9F2C" w14:textId="77777777" w:rsidR="008647A6" w:rsidRPr="002D2F67" w:rsidRDefault="008647A6" w:rsidP="005611FE">
            <w:pPr>
              <w:tabs>
                <w:tab w:val="left" w:pos="511"/>
              </w:tabs>
              <w:ind w:left="447" w:right="-72"/>
              <w:rPr>
                <w:rFonts w:ascii="Arial" w:hAnsi="Arial" w:cs="Arial"/>
                <w:color w:val="000000"/>
                <w:sz w:val="20"/>
                <w:szCs w:val="20"/>
              </w:rPr>
            </w:pPr>
            <w:r w:rsidRPr="002D2F67">
              <w:rPr>
                <w:rFonts w:ascii="Arial" w:hAnsi="Arial" w:cs="Arial"/>
                <w:color w:val="000000"/>
                <w:sz w:val="20"/>
                <w:szCs w:val="20"/>
              </w:rPr>
              <w:t xml:space="preserve">   Additions during the year</w:t>
            </w:r>
          </w:p>
        </w:tc>
        <w:tc>
          <w:tcPr>
            <w:tcW w:w="1276" w:type="dxa"/>
            <w:shd w:val="clear" w:color="auto" w:fill="auto"/>
          </w:tcPr>
          <w:p w14:paraId="5C1025FC" w14:textId="650DA3D9" w:rsidR="008647A6" w:rsidRPr="002D2F67" w:rsidRDefault="00624C1F"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183" w:type="dxa"/>
            <w:shd w:val="clear" w:color="auto" w:fill="auto"/>
          </w:tcPr>
          <w:p w14:paraId="728E2DEE" w14:textId="3C8DC70E" w:rsidR="008647A6" w:rsidRPr="002D2F67" w:rsidRDefault="008647A6"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tcPr>
          <w:p w14:paraId="5384E731" w14:textId="275A790B" w:rsidR="008647A6"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624C1F" w:rsidRPr="002D2F67">
              <w:rPr>
                <w:rFonts w:ascii="Arial" w:hAnsi="Arial" w:cs="Arial"/>
                <w:color w:val="000000"/>
                <w:sz w:val="20"/>
                <w:szCs w:val="20"/>
              </w:rPr>
              <w:t>,</w:t>
            </w:r>
            <w:r w:rsidRPr="00CD5714">
              <w:rPr>
                <w:rFonts w:ascii="Arial" w:hAnsi="Arial" w:cs="Arial"/>
                <w:color w:val="000000"/>
                <w:sz w:val="20"/>
                <w:szCs w:val="20"/>
                <w:lang w:val="en-GB"/>
              </w:rPr>
              <w:t>976</w:t>
            </w:r>
            <w:r w:rsidR="00624C1F" w:rsidRPr="002D2F67">
              <w:rPr>
                <w:rFonts w:ascii="Arial" w:hAnsi="Arial" w:cs="Arial"/>
                <w:color w:val="000000"/>
                <w:sz w:val="20"/>
                <w:szCs w:val="20"/>
              </w:rPr>
              <w:t>,</w:t>
            </w:r>
            <w:r w:rsidRPr="00CD5714">
              <w:rPr>
                <w:rFonts w:ascii="Arial" w:hAnsi="Arial" w:cs="Arial"/>
                <w:color w:val="000000"/>
                <w:sz w:val="20"/>
                <w:szCs w:val="20"/>
                <w:lang w:val="en-GB"/>
              </w:rPr>
              <w:t>800</w:t>
            </w:r>
          </w:p>
        </w:tc>
        <w:tc>
          <w:tcPr>
            <w:tcW w:w="1440" w:type="dxa"/>
            <w:shd w:val="clear" w:color="auto" w:fill="auto"/>
          </w:tcPr>
          <w:p w14:paraId="2CA613A6" w14:textId="09B84052" w:rsidR="008647A6"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9</w:t>
            </w:r>
            <w:r w:rsidR="008647A6" w:rsidRPr="002D2F67">
              <w:rPr>
                <w:rFonts w:ascii="Arial" w:hAnsi="Arial" w:cs="Arial"/>
                <w:color w:val="000000"/>
                <w:sz w:val="20"/>
                <w:szCs w:val="20"/>
              </w:rPr>
              <w:t>,</w:t>
            </w:r>
            <w:r w:rsidRPr="00CD5714">
              <w:rPr>
                <w:rFonts w:ascii="Arial" w:hAnsi="Arial" w:cs="Arial"/>
                <w:color w:val="000000"/>
                <w:sz w:val="20"/>
                <w:szCs w:val="20"/>
                <w:lang w:val="en-GB"/>
              </w:rPr>
              <w:t>734</w:t>
            </w:r>
            <w:r w:rsidR="008647A6" w:rsidRPr="002D2F67">
              <w:rPr>
                <w:rFonts w:ascii="Arial" w:hAnsi="Arial" w:cs="Arial"/>
                <w:color w:val="000000"/>
                <w:sz w:val="20"/>
                <w:szCs w:val="20"/>
              </w:rPr>
              <w:t>,</w:t>
            </w:r>
            <w:r w:rsidRPr="00CD5714">
              <w:rPr>
                <w:rFonts w:ascii="Arial" w:hAnsi="Arial" w:cs="Arial"/>
                <w:color w:val="000000"/>
                <w:sz w:val="20"/>
                <w:szCs w:val="20"/>
                <w:lang w:val="en-GB"/>
              </w:rPr>
              <w:t>245</w:t>
            </w:r>
          </w:p>
        </w:tc>
      </w:tr>
      <w:tr w:rsidR="008647A6" w:rsidRPr="002D2F67" w14:paraId="33AEEB75" w14:textId="77777777" w:rsidTr="000571AF">
        <w:tc>
          <w:tcPr>
            <w:tcW w:w="4111" w:type="dxa"/>
            <w:shd w:val="clear" w:color="auto" w:fill="auto"/>
          </w:tcPr>
          <w:p w14:paraId="68C07AC2" w14:textId="77777777" w:rsidR="008647A6" w:rsidRPr="002D2F67" w:rsidRDefault="008647A6" w:rsidP="005611FE">
            <w:pPr>
              <w:ind w:left="447" w:right="-72"/>
              <w:rPr>
                <w:rFonts w:ascii="Arial" w:hAnsi="Arial" w:cs="Arial"/>
                <w:color w:val="000000"/>
                <w:sz w:val="20"/>
                <w:szCs w:val="20"/>
              </w:rPr>
            </w:pPr>
            <w:r w:rsidRPr="002D2F67">
              <w:rPr>
                <w:rFonts w:ascii="Arial" w:hAnsi="Arial" w:cs="Arial"/>
                <w:color w:val="000000"/>
                <w:sz w:val="20"/>
                <w:szCs w:val="20"/>
              </w:rPr>
              <w:t xml:space="preserve">   Repayments during the year</w:t>
            </w:r>
          </w:p>
        </w:tc>
        <w:tc>
          <w:tcPr>
            <w:tcW w:w="1276" w:type="dxa"/>
            <w:shd w:val="clear" w:color="auto" w:fill="auto"/>
          </w:tcPr>
          <w:p w14:paraId="3B32528C" w14:textId="5753B19E" w:rsidR="008647A6" w:rsidRPr="002D2F67" w:rsidRDefault="00624C1F"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183" w:type="dxa"/>
            <w:shd w:val="clear" w:color="auto" w:fill="auto"/>
          </w:tcPr>
          <w:p w14:paraId="1495982F" w14:textId="702D9C78" w:rsidR="008647A6" w:rsidRPr="002D2F67" w:rsidRDefault="008647A6"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tcPr>
          <w:p w14:paraId="49FBF5F3" w14:textId="7E21E4F1" w:rsidR="008647A6" w:rsidRPr="002D2F67" w:rsidRDefault="00624C1F"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2</w:t>
            </w:r>
            <w:r w:rsidRPr="002D2F67">
              <w:rPr>
                <w:rFonts w:ascii="Arial" w:hAnsi="Arial" w:cs="Arial"/>
                <w:color w:val="000000"/>
                <w:sz w:val="20"/>
                <w:szCs w:val="20"/>
              </w:rPr>
              <w:t>,</w:t>
            </w:r>
            <w:r w:rsidR="00CD5714" w:rsidRPr="00CD5714">
              <w:rPr>
                <w:rFonts w:ascii="Arial" w:hAnsi="Arial" w:cs="Arial"/>
                <w:color w:val="000000"/>
                <w:sz w:val="20"/>
                <w:szCs w:val="20"/>
                <w:lang w:val="en-GB"/>
              </w:rPr>
              <w:t>780</w:t>
            </w:r>
            <w:r w:rsidRPr="002D2F67">
              <w:rPr>
                <w:rFonts w:ascii="Arial" w:hAnsi="Arial" w:cs="Arial"/>
                <w:color w:val="000000"/>
                <w:sz w:val="20"/>
                <w:szCs w:val="20"/>
              </w:rPr>
              <w:t>,</w:t>
            </w:r>
            <w:r w:rsidR="00CD5714" w:rsidRPr="00CD5714">
              <w:rPr>
                <w:rFonts w:ascii="Arial" w:hAnsi="Arial" w:cs="Arial"/>
                <w:color w:val="000000"/>
                <w:sz w:val="20"/>
                <w:szCs w:val="20"/>
                <w:lang w:val="en-GB"/>
              </w:rPr>
              <w:t>571</w:t>
            </w:r>
            <w:r w:rsidRPr="002D2F67">
              <w:rPr>
                <w:rFonts w:ascii="Arial" w:hAnsi="Arial" w:cs="Arial"/>
                <w:color w:val="000000"/>
                <w:sz w:val="20"/>
                <w:szCs w:val="20"/>
              </w:rPr>
              <w:t>)</w:t>
            </w:r>
          </w:p>
        </w:tc>
        <w:tc>
          <w:tcPr>
            <w:tcW w:w="1440" w:type="dxa"/>
            <w:shd w:val="clear" w:color="auto" w:fill="auto"/>
          </w:tcPr>
          <w:p w14:paraId="621751ED" w14:textId="5CA5E5D6" w:rsidR="008647A6" w:rsidRPr="002D2F67" w:rsidRDefault="008647A6"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2</w:t>
            </w:r>
            <w:r w:rsidRPr="002D2F67">
              <w:rPr>
                <w:rFonts w:ascii="Arial" w:hAnsi="Arial" w:cs="Arial"/>
                <w:color w:val="000000"/>
                <w:sz w:val="20"/>
                <w:szCs w:val="20"/>
              </w:rPr>
              <w:t>,</w:t>
            </w:r>
            <w:r w:rsidR="00CD5714" w:rsidRPr="00CD5714">
              <w:rPr>
                <w:rFonts w:ascii="Arial" w:hAnsi="Arial" w:cs="Arial"/>
                <w:color w:val="000000"/>
                <w:sz w:val="20"/>
                <w:szCs w:val="20"/>
                <w:lang w:val="en-GB"/>
              </w:rPr>
              <w:t>884</w:t>
            </w:r>
            <w:r w:rsidRPr="002D2F67">
              <w:rPr>
                <w:rFonts w:ascii="Arial" w:hAnsi="Arial" w:cs="Arial"/>
                <w:color w:val="000000"/>
                <w:sz w:val="20"/>
                <w:szCs w:val="20"/>
              </w:rPr>
              <w:t>,</w:t>
            </w:r>
            <w:r w:rsidR="00CD5714" w:rsidRPr="00CD5714">
              <w:rPr>
                <w:rFonts w:ascii="Arial" w:hAnsi="Arial" w:cs="Arial"/>
                <w:color w:val="000000"/>
                <w:sz w:val="20"/>
                <w:szCs w:val="20"/>
                <w:lang w:val="en-GB"/>
              </w:rPr>
              <w:t>000</w:t>
            </w:r>
            <w:r w:rsidRPr="002D2F67">
              <w:rPr>
                <w:rFonts w:ascii="Arial" w:hAnsi="Arial" w:cs="Arial"/>
                <w:color w:val="000000"/>
                <w:sz w:val="20"/>
                <w:szCs w:val="20"/>
              </w:rPr>
              <w:t>)</w:t>
            </w:r>
          </w:p>
        </w:tc>
      </w:tr>
      <w:tr w:rsidR="008647A6" w:rsidRPr="002D2F67" w14:paraId="1817E703" w14:textId="77777777" w:rsidTr="000571AF">
        <w:tc>
          <w:tcPr>
            <w:tcW w:w="4111" w:type="dxa"/>
            <w:shd w:val="clear" w:color="auto" w:fill="auto"/>
          </w:tcPr>
          <w:p w14:paraId="588BB2BB" w14:textId="77777777" w:rsidR="008647A6" w:rsidRPr="002D2F67" w:rsidRDefault="008647A6" w:rsidP="005611FE">
            <w:pPr>
              <w:ind w:left="447" w:right="-72"/>
              <w:rPr>
                <w:rFonts w:ascii="Arial" w:hAnsi="Arial" w:cs="Arial"/>
                <w:color w:val="000000"/>
                <w:sz w:val="20"/>
                <w:szCs w:val="20"/>
              </w:rPr>
            </w:pPr>
            <w:r w:rsidRPr="002D2F67">
              <w:rPr>
                <w:rFonts w:ascii="Arial" w:hAnsi="Arial" w:cs="Arial"/>
                <w:color w:val="000000"/>
                <w:sz w:val="20"/>
                <w:szCs w:val="20"/>
              </w:rPr>
              <w:t>Other non-cash movements:</w:t>
            </w:r>
          </w:p>
        </w:tc>
        <w:tc>
          <w:tcPr>
            <w:tcW w:w="1276" w:type="dxa"/>
            <w:shd w:val="clear" w:color="auto" w:fill="auto"/>
          </w:tcPr>
          <w:p w14:paraId="025497DD" w14:textId="77777777" w:rsidR="008647A6" w:rsidRPr="002D2F67" w:rsidRDefault="008647A6" w:rsidP="005611FE">
            <w:pPr>
              <w:ind w:right="-72"/>
              <w:jc w:val="right"/>
              <w:rPr>
                <w:rFonts w:ascii="Arial" w:hAnsi="Arial" w:cs="Arial"/>
                <w:color w:val="000000"/>
                <w:sz w:val="20"/>
                <w:szCs w:val="20"/>
              </w:rPr>
            </w:pPr>
          </w:p>
        </w:tc>
        <w:tc>
          <w:tcPr>
            <w:tcW w:w="1183" w:type="dxa"/>
            <w:shd w:val="clear" w:color="auto" w:fill="auto"/>
          </w:tcPr>
          <w:p w14:paraId="0252AA4B" w14:textId="77777777" w:rsidR="008647A6" w:rsidRPr="002D2F67" w:rsidRDefault="008647A6" w:rsidP="005611FE">
            <w:pPr>
              <w:ind w:right="-72"/>
              <w:jc w:val="right"/>
              <w:rPr>
                <w:rFonts w:ascii="Arial" w:hAnsi="Arial" w:cs="Arial"/>
                <w:color w:val="000000"/>
                <w:sz w:val="20"/>
                <w:szCs w:val="20"/>
              </w:rPr>
            </w:pPr>
          </w:p>
        </w:tc>
        <w:tc>
          <w:tcPr>
            <w:tcW w:w="1440" w:type="dxa"/>
            <w:shd w:val="clear" w:color="auto" w:fill="auto"/>
          </w:tcPr>
          <w:p w14:paraId="385BAAC8" w14:textId="77777777" w:rsidR="008647A6" w:rsidRPr="002D2F67" w:rsidRDefault="008647A6" w:rsidP="005611FE">
            <w:pPr>
              <w:ind w:right="-72"/>
              <w:jc w:val="right"/>
              <w:rPr>
                <w:rFonts w:ascii="Arial" w:hAnsi="Arial" w:cs="Arial"/>
                <w:color w:val="000000"/>
                <w:sz w:val="20"/>
                <w:szCs w:val="20"/>
              </w:rPr>
            </w:pPr>
          </w:p>
        </w:tc>
        <w:tc>
          <w:tcPr>
            <w:tcW w:w="1440" w:type="dxa"/>
            <w:shd w:val="clear" w:color="auto" w:fill="auto"/>
          </w:tcPr>
          <w:p w14:paraId="2FB39996" w14:textId="77777777" w:rsidR="008647A6" w:rsidRPr="002D2F67" w:rsidRDefault="008647A6" w:rsidP="005611FE">
            <w:pPr>
              <w:ind w:right="-72"/>
              <w:jc w:val="right"/>
              <w:rPr>
                <w:rFonts w:ascii="Arial" w:hAnsi="Arial" w:cs="Arial"/>
                <w:color w:val="000000"/>
                <w:sz w:val="20"/>
                <w:szCs w:val="20"/>
              </w:rPr>
            </w:pPr>
          </w:p>
        </w:tc>
      </w:tr>
      <w:tr w:rsidR="008647A6" w:rsidRPr="002D2F67" w14:paraId="01639CC3" w14:textId="77777777" w:rsidTr="000571AF">
        <w:tc>
          <w:tcPr>
            <w:tcW w:w="4111" w:type="dxa"/>
            <w:shd w:val="clear" w:color="auto" w:fill="auto"/>
          </w:tcPr>
          <w:p w14:paraId="6A6B1E39" w14:textId="2F51B529" w:rsidR="008647A6" w:rsidRPr="002D2F67" w:rsidRDefault="008647A6" w:rsidP="005611FE">
            <w:pPr>
              <w:tabs>
                <w:tab w:val="left" w:pos="1134"/>
                <w:tab w:val="left" w:pos="1276"/>
                <w:tab w:val="center" w:pos="3402"/>
                <w:tab w:val="center" w:pos="4536"/>
                <w:tab w:val="center" w:pos="5670"/>
                <w:tab w:val="center" w:pos="6804"/>
                <w:tab w:val="right" w:pos="7655"/>
              </w:tabs>
              <w:ind w:left="448" w:right="-72"/>
              <w:rPr>
                <w:rFonts w:ascii="Arial" w:hAnsi="Arial" w:cs="Arial"/>
                <w:color w:val="000000"/>
                <w:sz w:val="20"/>
                <w:szCs w:val="20"/>
              </w:rPr>
            </w:pPr>
            <w:r w:rsidRPr="002D2F67">
              <w:rPr>
                <w:rFonts w:ascii="Arial" w:hAnsi="Arial" w:cs="Arial"/>
                <w:color w:val="000000"/>
                <w:sz w:val="20"/>
                <w:szCs w:val="20"/>
              </w:rPr>
              <w:t xml:space="preserve">   Unrealised gain (loss)  </w:t>
            </w:r>
          </w:p>
          <w:p w14:paraId="6806178F" w14:textId="036C006D" w:rsidR="008647A6" w:rsidRPr="002D2F67" w:rsidRDefault="008647A6" w:rsidP="005611FE">
            <w:pPr>
              <w:ind w:left="447" w:right="-72"/>
              <w:rPr>
                <w:rFonts w:ascii="Arial" w:hAnsi="Arial" w:cs="Arial"/>
                <w:color w:val="000000"/>
                <w:sz w:val="20"/>
                <w:szCs w:val="20"/>
              </w:rPr>
            </w:pPr>
            <w:r w:rsidRPr="002D2F67">
              <w:rPr>
                <w:rFonts w:ascii="Arial" w:hAnsi="Arial" w:cs="Arial"/>
                <w:color w:val="000000"/>
                <w:sz w:val="20"/>
                <w:szCs w:val="20"/>
              </w:rPr>
              <w:t xml:space="preserve">      on exchange rate</w:t>
            </w:r>
          </w:p>
        </w:tc>
        <w:tc>
          <w:tcPr>
            <w:tcW w:w="1276" w:type="dxa"/>
            <w:shd w:val="clear" w:color="auto" w:fill="auto"/>
            <w:vAlign w:val="bottom"/>
          </w:tcPr>
          <w:p w14:paraId="4CC2AF00" w14:textId="40D1E8EB" w:rsidR="008647A6" w:rsidRPr="002D2F67" w:rsidRDefault="00624C1F"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183" w:type="dxa"/>
            <w:shd w:val="clear" w:color="auto" w:fill="auto"/>
            <w:vAlign w:val="bottom"/>
          </w:tcPr>
          <w:p w14:paraId="63C07BF9" w14:textId="1DF49D83" w:rsidR="008647A6" w:rsidRPr="002D2F67" w:rsidRDefault="008647A6"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vAlign w:val="bottom"/>
          </w:tcPr>
          <w:p w14:paraId="6A60EBA7" w14:textId="1318DA91" w:rsidR="008647A6"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w:t>
            </w:r>
            <w:r w:rsidR="00624C1F" w:rsidRPr="002D2F67">
              <w:rPr>
                <w:rFonts w:ascii="Arial" w:hAnsi="Arial" w:cs="Arial"/>
                <w:color w:val="000000"/>
                <w:sz w:val="20"/>
                <w:szCs w:val="20"/>
              </w:rPr>
              <w:t>,</w:t>
            </w:r>
            <w:r w:rsidRPr="00CD5714">
              <w:rPr>
                <w:rFonts w:ascii="Arial" w:hAnsi="Arial" w:cs="Arial"/>
                <w:color w:val="000000"/>
                <w:sz w:val="20"/>
                <w:szCs w:val="20"/>
                <w:lang w:val="en-GB"/>
              </w:rPr>
              <w:t>907</w:t>
            </w:r>
          </w:p>
        </w:tc>
        <w:tc>
          <w:tcPr>
            <w:tcW w:w="1440" w:type="dxa"/>
            <w:shd w:val="clear" w:color="auto" w:fill="auto"/>
            <w:vAlign w:val="bottom"/>
          </w:tcPr>
          <w:p w14:paraId="233D4A99" w14:textId="1080484B" w:rsidR="008647A6" w:rsidRPr="002D2F67" w:rsidRDefault="008647A6"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11</w:t>
            </w:r>
            <w:r w:rsidRPr="002D2F67">
              <w:rPr>
                <w:rFonts w:ascii="Arial" w:hAnsi="Arial" w:cs="Arial"/>
                <w:color w:val="000000"/>
                <w:sz w:val="20"/>
                <w:szCs w:val="20"/>
              </w:rPr>
              <w:t>,</w:t>
            </w:r>
            <w:r w:rsidR="00CD5714" w:rsidRPr="00CD5714">
              <w:rPr>
                <w:rFonts w:ascii="Arial" w:hAnsi="Arial" w:cs="Arial"/>
                <w:color w:val="000000"/>
                <w:sz w:val="20"/>
                <w:szCs w:val="20"/>
                <w:lang w:val="en-GB"/>
              </w:rPr>
              <w:t>928</w:t>
            </w:r>
            <w:r w:rsidRPr="002D2F67">
              <w:rPr>
                <w:rFonts w:ascii="Arial" w:hAnsi="Arial" w:cs="Arial"/>
                <w:color w:val="000000"/>
                <w:sz w:val="20"/>
                <w:szCs w:val="20"/>
              </w:rPr>
              <w:t>)</w:t>
            </w:r>
          </w:p>
        </w:tc>
      </w:tr>
      <w:tr w:rsidR="008647A6" w:rsidRPr="002D2F67" w14:paraId="232D0238" w14:textId="77777777" w:rsidTr="000571AF">
        <w:tc>
          <w:tcPr>
            <w:tcW w:w="4111" w:type="dxa"/>
            <w:shd w:val="clear" w:color="auto" w:fill="auto"/>
          </w:tcPr>
          <w:p w14:paraId="65819BC3" w14:textId="4ADB61C0" w:rsidR="008647A6" w:rsidRPr="002D2F67" w:rsidRDefault="008647A6" w:rsidP="005611FE">
            <w:pPr>
              <w:ind w:left="447" w:right="-72"/>
              <w:rPr>
                <w:rFonts w:ascii="Arial" w:hAnsi="Arial" w:cs="Arial"/>
                <w:color w:val="000000"/>
                <w:sz w:val="20"/>
                <w:szCs w:val="20"/>
              </w:rPr>
            </w:pPr>
            <w:r w:rsidRPr="002D2F67">
              <w:rPr>
                <w:rFonts w:ascii="Arial" w:hAnsi="Arial" w:cs="Arial"/>
                <w:color w:val="000000"/>
                <w:sz w:val="20"/>
                <w:szCs w:val="20"/>
              </w:rPr>
              <w:t xml:space="preserve">   Reclassif</w:t>
            </w:r>
            <w:r w:rsidR="00B17F21" w:rsidRPr="002D2F67">
              <w:rPr>
                <w:rFonts w:ascii="Arial" w:hAnsi="Arial" w:cs="Arial"/>
                <w:color w:val="000000"/>
                <w:sz w:val="20"/>
                <w:szCs w:val="20"/>
              </w:rPr>
              <w:t>ied</w:t>
            </w:r>
            <w:r w:rsidRPr="002D2F67">
              <w:rPr>
                <w:rFonts w:ascii="Arial" w:hAnsi="Arial" w:cs="Arial"/>
                <w:color w:val="000000"/>
                <w:sz w:val="20"/>
                <w:szCs w:val="20"/>
              </w:rPr>
              <w:t xml:space="preserve"> from </w:t>
            </w:r>
          </w:p>
          <w:p w14:paraId="38416727" w14:textId="09849BB2" w:rsidR="008647A6" w:rsidRPr="002D2F67" w:rsidRDefault="008647A6" w:rsidP="005611FE">
            <w:pPr>
              <w:ind w:left="447" w:right="-72"/>
              <w:rPr>
                <w:rFonts w:ascii="Arial" w:hAnsi="Arial" w:cs="Arial"/>
                <w:color w:val="000000"/>
                <w:sz w:val="20"/>
                <w:szCs w:val="20"/>
              </w:rPr>
            </w:pPr>
            <w:r w:rsidRPr="002D2F67">
              <w:rPr>
                <w:rFonts w:ascii="Arial" w:hAnsi="Arial" w:cs="Arial"/>
                <w:color w:val="000000"/>
                <w:sz w:val="20"/>
                <w:szCs w:val="20"/>
              </w:rPr>
              <w:t xml:space="preserve">      short-term loans</w:t>
            </w:r>
          </w:p>
        </w:tc>
        <w:tc>
          <w:tcPr>
            <w:tcW w:w="1276" w:type="dxa"/>
            <w:shd w:val="clear" w:color="auto" w:fill="auto"/>
            <w:vAlign w:val="bottom"/>
          </w:tcPr>
          <w:p w14:paraId="401F03E8" w14:textId="4FE15623" w:rsidR="008647A6" w:rsidRPr="002D2F67" w:rsidRDefault="00624C1F"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183" w:type="dxa"/>
            <w:shd w:val="clear" w:color="auto" w:fill="auto"/>
            <w:vAlign w:val="bottom"/>
          </w:tcPr>
          <w:p w14:paraId="00E5B2BA" w14:textId="1903B30B" w:rsidR="008647A6" w:rsidRPr="002D2F67" w:rsidRDefault="008647A6"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vAlign w:val="bottom"/>
          </w:tcPr>
          <w:p w14:paraId="07063C13" w14:textId="26635A7A" w:rsidR="008647A6" w:rsidRPr="002D2F67" w:rsidRDefault="00624C1F"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vAlign w:val="bottom"/>
          </w:tcPr>
          <w:p w14:paraId="153B68B7" w14:textId="3FFAFFFD" w:rsidR="008647A6"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w:t>
            </w:r>
            <w:r w:rsidR="008647A6" w:rsidRPr="002D2F67">
              <w:rPr>
                <w:rFonts w:ascii="Arial" w:hAnsi="Arial" w:cs="Arial"/>
                <w:color w:val="000000"/>
                <w:sz w:val="20"/>
                <w:szCs w:val="20"/>
              </w:rPr>
              <w:t>,</w:t>
            </w:r>
            <w:r w:rsidRPr="00CD5714">
              <w:rPr>
                <w:rFonts w:ascii="Arial" w:hAnsi="Arial" w:cs="Arial"/>
                <w:color w:val="000000"/>
                <w:sz w:val="20"/>
                <w:szCs w:val="20"/>
                <w:lang w:val="en-GB"/>
              </w:rPr>
              <w:t>129</w:t>
            </w:r>
            <w:r w:rsidR="008647A6" w:rsidRPr="002D2F67">
              <w:rPr>
                <w:rFonts w:ascii="Arial" w:hAnsi="Arial" w:cs="Arial"/>
                <w:color w:val="000000"/>
                <w:sz w:val="20"/>
                <w:szCs w:val="20"/>
              </w:rPr>
              <w:t>,</w:t>
            </w:r>
            <w:r w:rsidRPr="00CD5714">
              <w:rPr>
                <w:rFonts w:ascii="Arial" w:hAnsi="Arial" w:cs="Arial"/>
                <w:color w:val="000000"/>
                <w:sz w:val="20"/>
                <w:szCs w:val="20"/>
                <w:lang w:val="en-GB"/>
              </w:rPr>
              <w:t>934</w:t>
            </w:r>
          </w:p>
        </w:tc>
      </w:tr>
      <w:tr w:rsidR="00CB4B30" w:rsidRPr="002D2F67" w14:paraId="529A099B" w14:textId="77777777" w:rsidTr="006B71A8">
        <w:tc>
          <w:tcPr>
            <w:tcW w:w="4111" w:type="dxa"/>
            <w:shd w:val="clear" w:color="auto" w:fill="auto"/>
          </w:tcPr>
          <w:p w14:paraId="4433AD0A" w14:textId="4F272DDF" w:rsidR="00CB4B30" w:rsidRPr="002D2F67" w:rsidRDefault="00CB4B30" w:rsidP="00CB4B30">
            <w:pPr>
              <w:ind w:left="447" w:right="-72"/>
              <w:rPr>
                <w:rFonts w:ascii="Arial" w:hAnsi="Arial" w:cs="Arial"/>
                <w:color w:val="000000"/>
                <w:sz w:val="20"/>
                <w:szCs w:val="20"/>
              </w:rPr>
            </w:pPr>
            <w:r w:rsidRPr="002D2F67">
              <w:rPr>
                <w:rFonts w:ascii="Arial" w:hAnsi="Arial" w:cs="Arial"/>
                <w:color w:val="000000"/>
                <w:sz w:val="20"/>
                <w:szCs w:val="20"/>
              </w:rPr>
              <w:t xml:space="preserve">   Impairment loss on assets</w:t>
            </w:r>
          </w:p>
        </w:tc>
        <w:tc>
          <w:tcPr>
            <w:tcW w:w="1276" w:type="dxa"/>
            <w:tcBorders>
              <w:bottom w:val="single" w:sz="4" w:space="0" w:color="auto"/>
            </w:tcBorders>
            <w:shd w:val="clear" w:color="auto" w:fill="auto"/>
            <w:vAlign w:val="bottom"/>
          </w:tcPr>
          <w:p w14:paraId="0D822DD4" w14:textId="681622AA" w:rsidR="00CB4B30" w:rsidRPr="002D2F67" w:rsidRDefault="00CB4B30" w:rsidP="00CB4B30">
            <w:pPr>
              <w:ind w:right="-72"/>
              <w:jc w:val="right"/>
              <w:rPr>
                <w:rFonts w:ascii="Arial" w:hAnsi="Arial" w:cs="Arial"/>
                <w:color w:val="000000"/>
                <w:sz w:val="20"/>
                <w:szCs w:val="20"/>
              </w:rPr>
            </w:pPr>
            <w:r w:rsidRPr="002D2F67">
              <w:rPr>
                <w:rFonts w:ascii="Arial" w:hAnsi="Arial" w:cs="Arial"/>
                <w:color w:val="000000"/>
                <w:sz w:val="20"/>
                <w:szCs w:val="20"/>
              </w:rPr>
              <w:t>-</w:t>
            </w:r>
          </w:p>
        </w:tc>
        <w:tc>
          <w:tcPr>
            <w:tcW w:w="1183" w:type="dxa"/>
            <w:tcBorders>
              <w:bottom w:val="single" w:sz="4" w:space="0" w:color="auto"/>
            </w:tcBorders>
            <w:shd w:val="clear" w:color="auto" w:fill="auto"/>
            <w:vAlign w:val="bottom"/>
          </w:tcPr>
          <w:p w14:paraId="5624E5A5" w14:textId="343CBAB6" w:rsidR="00CB4B30" w:rsidRPr="002D2F67" w:rsidRDefault="00CB4B30" w:rsidP="00CB4B30">
            <w:pPr>
              <w:ind w:right="-72"/>
              <w:jc w:val="right"/>
              <w:rPr>
                <w:rFonts w:ascii="Arial" w:hAnsi="Arial" w:cs="Arial"/>
                <w:color w:val="000000"/>
                <w:sz w:val="20"/>
                <w:szCs w:val="20"/>
              </w:rPr>
            </w:pPr>
            <w:r w:rsidRPr="002D2F67">
              <w:rPr>
                <w:rFonts w:ascii="Arial" w:hAnsi="Arial" w:cs="Arial"/>
                <w:color w:val="000000"/>
                <w:sz w:val="20"/>
                <w:szCs w:val="25"/>
              </w:rPr>
              <w:t>-</w:t>
            </w:r>
          </w:p>
        </w:tc>
        <w:tc>
          <w:tcPr>
            <w:tcW w:w="1440" w:type="dxa"/>
            <w:tcBorders>
              <w:bottom w:val="single" w:sz="4" w:space="0" w:color="auto"/>
            </w:tcBorders>
            <w:shd w:val="clear" w:color="auto" w:fill="auto"/>
            <w:vAlign w:val="bottom"/>
          </w:tcPr>
          <w:p w14:paraId="608ADDA8" w14:textId="4F8E74AF" w:rsidR="00CB4B30" w:rsidRPr="002D2F67" w:rsidRDefault="006C23AF" w:rsidP="00CB4B30">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549</w:t>
            </w:r>
            <w:r w:rsidRPr="002D2F67">
              <w:rPr>
                <w:rFonts w:ascii="Arial" w:hAnsi="Arial" w:cs="Arial"/>
                <w:color w:val="000000"/>
                <w:sz w:val="20"/>
                <w:szCs w:val="20"/>
              </w:rPr>
              <w:t>,</w:t>
            </w:r>
            <w:r w:rsidR="00CD5714" w:rsidRPr="00CD5714">
              <w:rPr>
                <w:rFonts w:ascii="Arial" w:hAnsi="Arial" w:cs="Arial"/>
                <w:color w:val="000000"/>
                <w:sz w:val="20"/>
                <w:szCs w:val="20"/>
                <w:lang w:val="en-GB"/>
              </w:rPr>
              <w:t>485</w:t>
            </w:r>
            <w:r w:rsidRPr="002D2F67">
              <w:rPr>
                <w:rFonts w:ascii="Arial" w:hAnsi="Arial" w:cs="Arial"/>
                <w:color w:val="000000"/>
                <w:sz w:val="20"/>
                <w:szCs w:val="20"/>
              </w:rPr>
              <w:t>)</w:t>
            </w:r>
          </w:p>
        </w:tc>
        <w:tc>
          <w:tcPr>
            <w:tcW w:w="1440" w:type="dxa"/>
            <w:tcBorders>
              <w:bottom w:val="single" w:sz="4" w:space="0" w:color="auto"/>
            </w:tcBorders>
            <w:shd w:val="clear" w:color="auto" w:fill="auto"/>
            <w:vAlign w:val="bottom"/>
          </w:tcPr>
          <w:p w14:paraId="4A665364" w14:textId="09EC31DF" w:rsidR="00CB4B30" w:rsidRPr="002D2F67" w:rsidRDefault="00CB4B30" w:rsidP="00CB4B30">
            <w:pPr>
              <w:ind w:right="-72"/>
              <w:jc w:val="right"/>
              <w:rPr>
                <w:rFonts w:ascii="Arial" w:hAnsi="Arial" w:cs="Arial"/>
                <w:color w:val="000000"/>
                <w:sz w:val="20"/>
                <w:szCs w:val="20"/>
              </w:rPr>
            </w:pPr>
            <w:r w:rsidRPr="002D2F67">
              <w:rPr>
                <w:rFonts w:ascii="Arial" w:hAnsi="Arial" w:cs="Arial"/>
                <w:color w:val="000000"/>
                <w:sz w:val="20"/>
                <w:szCs w:val="20"/>
              </w:rPr>
              <w:t>-</w:t>
            </w:r>
          </w:p>
        </w:tc>
      </w:tr>
      <w:tr w:rsidR="006B71A8" w:rsidRPr="002D2F67" w14:paraId="3CF89F4B" w14:textId="77777777" w:rsidTr="006B71A8">
        <w:tc>
          <w:tcPr>
            <w:tcW w:w="4111" w:type="dxa"/>
            <w:shd w:val="clear" w:color="auto" w:fill="auto"/>
          </w:tcPr>
          <w:p w14:paraId="3BB4F35D" w14:textId="77777777" w:rsidR="006B71A8" w:rsidRPr="002D2F67" w:rsidRDefault="006B71A8" w:rsidP="00CB4B30">
            <w:pPr>
              <w:ind w:left="447" w:right="-72"/>
              <w:rPr>
                <w:rFonts w:ascii="Arial" w:hAnsi="Arial" w:cs="Arial"/>
                <w:color w:val="000000"/>
                <w:sz w:val="20"/>
                <w:szCs w:val="20"/>
              </w:rPr>
            </w:pPr>
          </w:p>
        </w:tc>
        <w:tc>
          <w:tcPr>
            <w:tcW w:w="1276" w:type="dxa"/>
            <w:tcBorders>
              <w:top w:val="single" w:sz="4" w:space="0" w:color="auto"/>
            </w:tcBorders>
            <w:shd w:val="clear" w:color="auto" w:fill="auto"/>
            <w:vAlign w:val="bottom"/>
          </w:tcPr>
          <w:p w14:paraId="27E91A5E" w14:textId="77777777" w:rsidR="006B71A8" w:rsidRPr="002D2F67" w:rsidRDefault="006B71A8" w:rsidP="00CB4B30">
            <w:pPr>
              <w:ind w:right="-72"/>
              <w:jc w:val="right"/>
              <w:rPr>
                <w:rFonts w:ascii="Arial" w:hAnsi="Arial" w:cs="Arial"/>
                <w:color w:val="000000"/>
                <w:sz w:val="20"/>
                <w:szCs w:val="20"/>
              </w:rPr>
            </w:pPr>
          </w:p>
        </w:tc>
        <w:tc>
          <w:tcPr>
            <w:tcW w:w="1183" w:type="dxa"/>
            <w:tcBorders>
              <w:top w:val="single" w:sz="4" w:space="0" w:color="auto"/>
            </w:tcBorders>
            <w:shd w:val="clear" w:color="auto" w:fill="auto"/>
            <w:vAlign w:val="bottom"/>
          </w:tcPr>
          <w:p w14:paraId="34A54AFC" w14:textId="77777777" w:rsidR="006B71A8" w:rsidRPr="002D2F67" w:rsidRDefault="006B71A8" w:rsidP="00CB4B30">
            <w:pPr>
              <w:ind w:right="-72"/>
              <w:jc w:val="right"/>
              <w:rPr>
                <w:rFonts w:ascii="Arial" w:hAnsi="Arial" w:cs="Arial"/>
                <w:color w:val="000000"/>
                <w:sz w:val="20"/>
                <w:szCs w:val="25"/>
              </w:rPr>
            </w:pPr>
          </w:p>
        </w:tc>
        <w:tc>
          <w:tcPr>
            <w:tcW w:w="1440" w:type="dxa"/>
            <w:tcBorders>
              <w:top w:val="single" w:sz="4" w:space="0" w:color="auto"/>
            </w:tcBorders>
            <w:shd w:val="clear" w:color="auto" w:fill="auto"/>
            <w:vAlign w:val="bottom"/>
          </w:tcPr>
          <w:p w14:paraId="443A8049" w14:textId="714FA507" w:rsidR="006B71A8" w:rsidRPr="002D2F67" w:rsidRDefault="00CD5714" w:rsidP="00CB4B30">
            <w:pPr>
              <w:ind w:right="-72"/>
              <w:jc w:val="right"/>
              <w:rPr>
                <w:rFonts w:ascii="Arial" w:hAnsi="Arial" w:cs="Arial"/>
                <w:color w:val="000000"/>
                <w:sz w:val="20"/>
                <w:szCs w:val="20"/>
              </w:rPr>
            </w:pPr>
            <w:r w:rsidRPr="00CD5714">
              <w:rPr>
                <w:rFonts w:ascii="Arial" w:hAnsi="Arial" w:cs="Arial"/>
                <w:color w:val="000000"/>
                <w:sz w:val="20"/>
                <w:szCs w:val="20"/>
                <w:lang w:val="en-GB"/>
              </w:rPr>
              <w:t>16</w:t>
            </w:r>
            <w:r w:rsidR="00DD535E" w:rsidRPr="002D2F67">
              <w:rPr>
                <w:rFonts w:ascii="Arial" w:hAnsi="Arial" w:cs="Arial"/>
                <w:color w:val="000000"/>
                <w:sz w:val="20"/>
                <w:szCs w:val="20"/>
              </w:rPr>
              <w:t>,</w:t>
            </w:r>
            <w:r w:rsidRPr="00CD5714">
              <w:rPr>
                <w:rFonts w:ascii="Arial" w:hAnsi="Arial" w:cs="Arial"/>
                <w:color w:val="000000"/>
                <w:sz w:val="20"/>
                <w:szCs w:val="20"/>
                <w:lang w:val="en-GB"/>
              </w:rPr>
              <w:t>053</w:t>
            </w:r>
            <w:r w:rsidR="00DD535E" w:rsidRPr="002D2F67">
              <w:rPr>
                <w:rFonts w:ascii="Arial" w:hAnsi="Arial" w:cs="Arial"/>
                <w:color w:val="000000"/>
                <w:sz w:val="20"/>
                <w:szCs w:val="20"/>
              </w:rPr>
              <w:t>,</w:t>
            </w:r>
            <w:r w:rsidRPr="00CD5714">
              <w:rPr>
                <w:rFonts w:ascii="Arial" w:hAnsi="Arial" w:cs="Arial"/>
                <w:color w:val="000000"/>
                <w:sz w:val="20"/>
                <w:szCs w:val="20"/>
                <w:lang w:val="en-GB"/>
              </w:rPr>
              <w:t>735</w:t>
            </w:r>
          </w:p>
        </w:tc>
        <w:tc>
          <w:tcPr>
            <w:tcW w:w="1440" w:type="dxa"/>
            <w:tcBorders>
              <w:top w:val="single" w:sz="4" w:space="0" w:color="auto"/>
            </w:tcBorders>
            <w:shd w:val="clear" w:color="auto" w:fill="auto"/>
            <w:vAlign w:val="bottom"/>
          </w:tcPr>
          <w:p w14:paraId="13584916" w14:textId="71AF456C" w:rsidR="006B71A8" w:rsidRPr="002D2F67" w:rsidRDefault="00CD5714" w:rsidP="00CB4B30">
            <w:pPr>
              <w:ind w:right="-72"/>
              <w:jc w:val="right"/>
              <w:rPr>
                <w:rFonts w:ascii="Arial" w:hAnsi="Arial" w:cs="Arial"/>
                <w:color w:val="000000"/>
                <w:sz w:val="20"/>
                <w:szCs w:val="20"/>
              </w:rPr>
            </w:pPr>
            <w:r w:rsidRPr="00CD5714">
              <w:rPr>
                <w:rFonts w:ascii="Arial" w:hAnsi="Arial" w:cs="Arial"/>
                <w:color w:val="000000"/>
                <w:sz w:val="20"/>
                <w:szCs w:val="20"/>
                <w:lang w:val="en-GB"/>
              </w:rPr>
              <w:t>17</w:t>
            </w:r>
            <w:r w:rsidR="005C4043" w:rsidRPr="002D2F67">
              <w:rPr>
                <w:rFonts w:ascii="Arial" w:hAnsi="Arial" w:cs="Arial"/>
                <w:color w:val="000000"/>
                <w:sz w:val="20"/>
                <w:szCs w:val="20"/>
              </w:rPr>
              <w:t>,</w:t>
            </w:r>
            <w:r w:rsidRPr="00CD5714">
              <w:rPr>
                <w:rFonts w:ascii="Arial" w:hAnsi="Arial" w:cs="Arial"/>
                <w:color w:val="000000"/>
                <w:sz w:val="20"/>
                <w:szCs w:val="20"/>
                <w:lang w:val="en-GB"/>
              </w:rPr>
              <w:t>405</w:t>
            </w:r>
            <w:r w:rsidR="005C4043" w:rsidRPr="002D2F67">
              <w:rPr>
                <w:rFonts w:ascii="Arial" w:hAnsi="Arial" w:cs="Arial"/>
                <w:color w:val="000000"/>
                <w:sz w:val="20"/>
                <w:szCs w:val="20"/>
              </w:rPr>
              <w:t>,</w:t>
            </w:r>
            <w:r w:rsidRPr="00CD5714">
              <w:rPr>
                <w:rFonts w:ascii="Arial" w:hAnsi="Arial" w:cs="Arial"/>
                <w:color w:val="000000"/>
                <w:sz w:val="20"/>
                <w:szCs w:val="20"/>
                <w:lang w:val="en-GB"/>
              </w:rPr>
              <w:t>329</w:t>
            </w:r>
          </w:p>
        </w:tc>
      </w:tr>
      <w:tr w:rsidR="008647A6" w:rsidRPr="002D2F67" w14:paraId="01DB14A2" w14:textId="77777777" w:rsidTr="000571AF">
        <w:tc>
          <w:tcPr>
            <w:tcW w:w="4111" w:type="dxa"/>
            <w:shd w:val="clear" w:color="auto" w:fill="auto"/>
          </w:tcPr>
          <w:p w14:paraId="7726B40F" w14:textId="77777777" w:rsidR="000571AF" w:rsidRPr="002D2F67" w:rsidRDefault="000571AF" w:rsidP="000571AF">
            <w:pPr>
              <w:tabs>
                <w:tab w:val="left" w:pos="967"/>
              </w:tabs>
              <w:ind w:left="447" w:right="-72"/>
              <w:rPr>
                <w:rFonts w:ascii="Arial" w:hAnsi="Arial" w:cs="Arial"/>
                <w:color w:val="000000"/>
                <w:sz w:val="20"/>
                <w:szCs w:val="20"/>
              </w:rPr>
            </w:pPr>
            <w:r w:rsidRPr="002D2F67">
              <w:rPr>
                <w:rFonts w:ascii="Arial" w:hAnsi="Arial" w:cs="Arial"/>
                <w:color w:val="000000"/>
                <w:sz w:val="20"/>
                <w:szCs w:val="20"/>
              </w:rPr>
              <w:t xml:space="preserve">   </w:t>
            </w:r>
            <w:r w:rsidR="008647A6" w:rsidRPr="002D2F67">
              <w:rPr>
                <w:rFonts w:ascii="Arial" w:hAnsi="Arial" w:cs="Arial"/>
                <w:color w:val="000000"/>
                <w:sz w:val="20"/>
                <w:szCs w:val="20"/>
                <w:u w:val="single"/>
              </w:rPr>
              <w:t>Less</w:t>
            </w:r>
            <w:r w:rsidR="008647A6" w:rsidRPr="002D2F67">
              <w:rPr>
                <w:rFonts w:ascii="Arial" w:hAnsi="Arial" w:cs="Arial"/>
                <w:color w:val="000000"/>
                <w:sz w:val="20"/>
                <w:szCs w:val="20"/>
              </w:rPr>
              <w:t xml:space="preserve">  Current portion of long-term </w:t>
            </w:r>
            <w:r w:rsidRPr="002D2F67">
              <w:rPr>
                <w:rFonts w:ascii="Arial" w:hAnsi="Arial" w:cs="Arial"/>
                <w:color w:val="000000"/>
                <w:sz w:val="20"/>
                <w:szCs w:val="20"/>
              </w:rPr>
              <w:t xml:space="preserve">          </w:t>
            </w:r>
          </w:p>
          <w:p w14:paraId="0A2FFA75" w14:textId="3AEBBDE6" w:rsidR="008647A6" w:rsidRPr="002D2F67" w:rsidRDefault="00CD5714" w:rsidP="00CD5714">
            <w:pPr>
              <w:tabs>
                <w:tab w:val="left" w:pos="967"/>
              </w:tabs>
              <w:ind w:left="435" w:right="-72"/>
              <w:rPr>
                <w:rFonts w:ascii="Arial" w:hAnsi="Arial" w:cs="Arial"/>
                <w:color w:val="000000"/>
                <w:sz w:val="20"/>
                <w:szCs w:val="20"/>
              </w:rPr>
            </w:pPr>
            <w:r>
              <w:rPr>
                <w:rFonts w:ascii="Arial" w:hAnsi="Arial" w:cs="Arial"/>
                <w:color w:val="000000"/>
                <w:sz w:val="20"/>
                <w:szCs w:val="20"/>
              </w:rPr>
              <w:t xml:space="preserve">      </w:t>
            </w:r>
            <w:r w:rsidR="008647A6" w:rsidRPr="002D2F67">
              <w:rPr>
                <w:rFonts w:ascii="Arial" w:hAnsi="Arial" w:cs="Arial"/>
                <w:color w:val="000000"/>
                <w:sz w:val="20"/>
                <w:szCs w:val="20"/>
              </w:rPr>
              <w:t>loans to related parties</w:t>
            </w:r>
          </w:p>
        </w:tc>
        <w:tc>
          <w:tcPr>
            <w:tcW w:w="1276" w:type="dxa"/>
            <w:shd w:val="clear" w:color="auto" w:fill="auto"/>
            <w:vAlign w:val="bottom"/>
          </w:tcPr>
          <w:p w14:paraId="6DA81FA9" w14:textId="12B26398" w:rsidR="008647A6" w:rsidRPr="002D2F67" w:rsidRDefault="00624C1F"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183" w:type="dxa"/>
            <w:shd w:val="clear" w:color="auto" w:fill="auto"/>
            <w:vAlign w:val="bottom"/>
          </w:tcPr>
          <w:p w14:paraId="65D38955" w14:textId="7B3E42DE" w:rsidR="008647A6" w:rsidRPr="002D2F67" w:rsidRDefault="008647A6"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vAlign w:val="bottom"/>
          </w:tcPr>
          <w:p w14:paraId="7F48744A" w14:textId="268BD44E" w:rsidR="008647A6" w:rsidRPr="002D2F67" w:rsidRDefault="00193F10"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772</w:t>
            </w:r>
            <w:r w:rsidRPr="002D2F67">
              <w:rPr>
                <w:rFonts w:ascii="Arial" w:hAnsi="Arial" w:cs="Arial"/>
                <w:color w:val="000000"/>
                <w:sz w:val="20"/>
                <w:szCs w:val="20"/>
              </w:rPr>
              <w:t>,</w:t>
            </w:r>
            <w:r w:rsidR="00CD5714" w:rsidRPr="00CD5714">
              <w:rPr>
                <w:rFonts w:ascii="Arial" w:hAnsi="Arial" w:cs="Arial"/>
                <w:color w:val="000000"/>
                <w:sz w:val="20"/>
                <w:szCs w:val="20"/>
                <w:lang w:val="en-GB"/>
              </w:rPr>
              <w:t>763</w:t>
            </w:r>
            <w:r w:rsidRPr="002D2F67">
              <w:rPr>
                <w:rFonts w:ascii="Arial" w:hAnsi="Arial" w:cs="Arial"/>
                <w:color w:val="000000"/>
                <w:sz w:val="20"/>
                <w:szCs w:val="20"/>
              </w:rPr>
              <w:t>)</w:t>
            </w:r>
          </w:p>
        </w:tc>
        <w:tc>
          <w:tcPr>
            <w:tcW w:w="1440" w:type="dxa"/>
            <w:shd w:val="clear" w:color="auto" w:fill="auto"/>
            <w:vAlign w:val="bottom"/>
          </w:tcPr>
          <w:p w14:paraId="19A24919" w14:textId="6A2C3DDE" w:rsidR="008647A6" w:rsidRPr="002D2F67" w:rsidRDefault="008647A6"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97</w:t>
            </w:r>
            <w:r w:rsidRPr="002D2F67">
              <w:rPr>
                <w:rFonts w:ascii="Arial" w:hAnsi="Arial" w:cs="Arial"/>
                <w:color w:val="000000"/>
                <w:sz w:val="20"/>
                <w:szCs w:val="20"/>
              </w:rPr>
              <w:t>,</w:t>
            </w:r>
            <w:r w:rsidR="00CD5714" w:rsidRPr="00CD5714">
              <w:rPr>
                <w:rFonts w:ascii="Arial" w:hAnsi="Arial" w:cs="Arial"/>
                <w:color w:val="000000"/>
                <w:sz w:val="20"/>
                <w:szCs w:val="20"/>
                <w:lang w:val="en-GB"/>
              </w:rPr>
              <w:t>640</w:t>
            </w:r>
            <w:r w:rsidRPr="002D2F67">
              <w:rPr>
                <w:rFonts w:ascii="Arial" w:hAnsi="Arial" w:cs="Arial"/>
                <w:color w:val="000000"/>
                <w:sz w:val="20"/>
                <w:szCs w:val="20"/>
              </w:rPr>
              <w:t>)</w:t>
            </w:r>
          </w:p>
        </w:tc>
      </w:tr>
      <w:tr w:rsidR="008647A6" w:rsidRPr="002D2F67" w14:paraId="549BCF77" w14:textId="77777777" w:rsidTr="000571AF">
        <w:tc>
          <w:tcPr>
            <w:tcW w:w="4111" w:type="dxa"/>
            <w:shd w:val="clear" w:color="auto" w:fill="auto"/>
          </w:tcPr>
          <w:p w14:paraId="4CB34871" w14:textId="77777777" w:rsidR="008647A6" w:rsidRPr="002D2F67" w:rsidRDefault="008647A6" w:rsidP="005611FE">
            <w:pPr>
              <w:tabs>
                <w:tab w:val="left" w:pos="1134"/>
                <w:tab w:val="left" w:pos="1276"/>
                <w:tab w:val="center" w:pos="3402"/>
                <w:tab w:val="center" w:pos="4536"/>
                <w:tab w:val="center" w:pos="5670"/>
                <w:tab w:val="center" w:pos="6804"/>
                <w:tab w:val="right" w:pos="7655"/>
              </w:tabs>
              <w:ind w:left="447" w:right="-72"/>
              <w:rPr>
                <w:rFonts w:ascii="Arial" w:hAnsi="Arial" w:cs="Arial"/>
                <w:color w:val="000000"/>
                <w:sz w:val="12"/>
                <w:szCs w:val="12"/>
              </w:rPr>
            </w:pPr>
          </w:p>
        </w:tc>
        <w:tc>
          <w:tcPr>
            <w:tcW w:w="1276" w:type="dxa"/>
            <w:tcBorders>
              <w:top w:val="single" w:sz="4" w:space="0" w:color="auto"/>
            </w:tcBorders>
            <w:shd w:val="clear" w:color="auto" w:fill="auto"/>
          </w:tcPr>
          <w:p w14:paraId="14EEFCBC" w14:textId="77777777" w:rsidR="008647A6" w:rsidRPr="002D2F67" w:rsidRDefault="008647A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2"/>
                <w:szCs w:val="12"/>
              </w:rPr>
            </w:pPr>
          </w:p>
        </w:tc>
        <w:tc>
          <w:tcPr>
            <w:tcW w:w="1183" w:type="dxa"/>
            <w:tcBorders>
              <w:top w:val="single" w:sz="4" w:space="0" w:color="auto"/>
            </w:tcBorders>
            <w:shd w:val="clear" w:color="auto" w:fill="auto"/>
          </w:tcPr>
          <w:p w14:paraId="2F626F12" w14:textId="77777777" w:rsidR="008647A6" w:rsidRPr="002D2F67" w:rsidRDefault="008647A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2"/>
                <w:szCs w:val="12"/>
              </w:rPr>
            </w:pPr>
          </w:p>
        </w:tc>
        <w:tc>
          <w:tcPr>
            <w:tcW w:w="1440" w:type="dxa"/>
            <w:tcBorders>
              <w:top w:val="single" w:sz="4" w:space="0" w:color="auto"/>
            </w:tcBorders>
            <w:shd w:val="clear" w:color="auto" w:fill="auto"/>
          </w:tcPr>
          <w:p w14:paraId="6E4BD6E9" w14:textId="77777777" w:rsidR="008647A6" w:rsidRPr="002D2F67" w:rsidRDefault="008647A6" w:rsidP="005611FE">
            <w:pPr>
              <w:ind w:right="-72"/>
              <w:jc w:val="right"/>
              <w:rPr>
                <w:rFonts w:ascii="Arial" w:hAnsi="Arial" w:cs="Arial"/>
                <w:color w:val="000000"/>
                <w:sz w:val="12"/>
                <w:szCs w:val="12"/>
              </w:rPr>
            </w:pPr>
          </w:p>
        </w:tc>
        <w:tc>
          <w:tcPr>
            <w:tcW w:w="1440" w:type="dxa"/>
            <w:tcBorders>
              <w:top w:val="single" w:sz="4" w:space="0" w:color="auto"/>
            </w:tcBorders>
            <w:shd w:val="clear" w:color="auto" w:fill="auto"/>
          </w:tcPr>
          <w:p w14:paraId="6E808C85" w14:textId="77777777" w:rsidR="008647A6" w:rsidRPr="002D2F67" w:rsidRDefault="008647A6" w:rsidP="005611FE">
            <w:pPr>
              <w:ind w:right="-72"/>
              <w:jc w:val="right"/>
              <w:rPr>
                <w:rFonts w:ascii="Arial" w:hAnsi="Arial" w:cs="Arial"/>
                <w:color w:val="000000"/>
                <w:sz w:val="12"/>
                <w:szCs w:val="12"/>
              </w:rPr>
            </w:pPr>
          </w:p>
        </w:tc>
      </w:tr>
      <w:tr w:rsidR="008647A6" w:rsidRPr="002D2F67" w14:paraId="3A6EAC56" w14:textId="77777777" w:rsidTr="000571AF">
        <w:tc>
          <w:tcPr>
            <w:tcW w:w="4111" w:type="dxa"/>
            <w:shd w:val="clear" w:color="auto" w:fill="auto"/>
          </w:tcPr>
          <w:p w14:paraId="7872D986" w14:textId="3A7BC8F2" w:rsidR="008647A6" w:rsidRPr="002D2F67" w:rsidRDefault="008647A6" w:rsidP="005611FE">
            <w:pPr>
              <w:tabs>
                <w:tab w:val="left" w:pos="1134"/>
                <w:tab w:val="left" w:pos="1276"/>
                <w:tab w:val="center" w:pos="3402"/>
                <w:tab w:val="center" w:pos="4536"/>
                <w:tab w:val="center" w:pos="5670"/>
                <w:tab w:val="center" w:pos="6804"/>
                <w:tab w:val="right" w:pos="7655"/>
              </w:tabs>
              <w:ind w:left="447" w:right="-72"/>
              <w:rPr>
                <w:rFonts w:ascii="Arial" w:hAnsi="Arial" w:cs="Arial"/>
                <w:color w:val="000000"/>
                <w:sz w:val="20"/>
                <w:szCs w:val="20"/>
              </w:rPr>
            </w:pPr>
            <w:r w:rsidRPr="002D2F67">
              <w:rPr>
                <w:rFonts w:ascii="Arial" w:hAnsi="Arial" w:cs="Arial"/>
                <w:color w:val="000000"/>
                <w:sz w:val="20"/>
                <w:szCs w:val="20"/>
              </w:rPr>
              <w:t>Closing balance</w:t>
            </w:r>
            <w:r w:rsidR="00D0254C" w:rsidRPr="002D2F67">
              <w:rPr>
                <w:rFonts w:ascii="Arial" w:hAnsi="Arial" w:cs="Arial"/>
                <w:color w:val="000000"/>
                <w:sz w:val="20"/>
                <w:szCs w:val="20"/>
              </w:rPr>
              <w:t>, net</w:t>
            </w:r>
          </w:p>
        </w:tc>
        <w:tc>
          <w:tcPr>
            <w:tcW w:w="1276" w:type="dxa"/>
            <w:tcBorders>
              <w:bottom w:val="single" w:sz="4" w:space="0" w:color="auto"/>
            </w:tcBorders>
            <w:shd w:val="clear" w:color="auto" w:fill="auto"/>
          </w:tcPr>
          <w:p w14:paraId="690FECF4" w14:textId="44305FA8" w:rsidR="008647A6" w:rsidRPr="002D2F67" w:rsidRDefault="00624C1F"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183" w:type="dxa"/>
            <w:tcBorders>
              <w:bottom w:val="single" w:sz="4" w:space="0" w:color="auto"/>
            </w:tcBorders>
            <w:shd w:val="clear" w:color="auto" w:fill="auto"/>
          </w:tcPr>
          <w:p w14:paraId="23022F79" w14:textId="1CC41436" w:rsidR="008647A6" w:rsidRPr="002D2F67" w:rsidRDefault="008647A6"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tcBorders>
              <w:bottom w:val="single" w:sz="4" w:space="0" w:color="auto"/>
            </w:tcBorders>
            <w:shd w:val="clear" w:color="auto" w:fill="auto"/>
          </w:tcPr>
          <w:p w14:paraId="25E3FED7" w14:textId="5F946FFD" w:rsidR="008647A6"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15</w:t>
            </w:r>
            <w:r w:rsidR="00C724B9" w:rsidRPr="002D2F67">
              <w:rPr>
                <w:rFonts w:ascii="Arial" w:hAnsi="Arial" w:cs="Arial"/>
                <w:color w:val="000000"/>
                <w:sz w:val="20"/>
                <w:szCs w:val="20"/>
              </w:rPr>
              <w:t>,</w:t>
            </w:r>
            <w:r w:rsidRPr="00CD5714">
              <w:rPr>
                <w:rFonts w:ascii="Arial" w:hAnsi="Arial" w:cs="Arial"/>
                <w:color w:val="000000"/>
                <w:sz w:val="20"/>
                <w:szCs w:val="20"/>
                <w:lang w:val="en-GB"/>
              </w:rPr>
              <w:t>280</w:t>
            </w:r>
            <w:r w:rsidR="00C724B9" w:rsidRPr="002D2F67">
              <w:rPr>
                <w:rFonts w:ascii="Arial" w:hAnsi="Arial" w:cs="Arial"/>
                <w:color w:val="000000"/>
                <w:sz w:val="20"/>
                <w:szCs w:val="20"/>
              </w:rPr>
              <w:t>,</w:t>
            </w:r>
            <w:r w:rsidRPr="00CD5714">
              <w:rPr>
                <w:rFonts w:ascii="Arial" w:hAnsi="Arial" w:cs="Arial"/>
                <w:color w:val="000000"/>
                <w:sz w:val="20"/>
                <w:szCs w:val="20"/>
                <w:lang w:val="en-GB"/>
              </w:rPr>
              <w:t>972</w:t>
            </w:r>
          </w:p>
        </w:tc>
        <w:tc>
          <w:tcPr>
            <w:tcW w:w="1440" w:type="dxa"/>
            <w:tcBorders>
              <w:bottom w:val="single" w:sz="4" w:space="0" w:color="auto"/>
            </w:tcBorders>
            <w:shd w:val="clear" w:color="auto" w:fill="auto"/>
          </w:tcPr>
          <w:p w14:paraId="36B43554" w14:textId="7BFE67E5" w:rsidR="008647A6"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17</w:t>
            </w:r>
            <w:r w:rsidR="008647A6" w:rsidRPr="002D2F67">
              <w:rPr>
                <w:rFonts w:ascii="Arial" w:hAnsi="Arial" w:cs="Arial"/>
                <w:color w:val="000000"/>
                <w:sz w:val="20"/>
                <w:szCs w:val="20"/>
              </w:rPr>
              <w:t>,</w:t>
            </w:r>
            <w:r w:rsidRPr="00CD5714">
              <w:rPr>
                <w:rFonts w:ascii="Arial" w:hAnsi="Arial" w:cs="Arial"/>
                <w:color w:val="000000"/>
                <w:sz w:val="20"/>
                <w:szCs w:val="20"/>
                <w:lang w:val="en-GB"/>
              </w:rPr>
              <w:t>307</w:t>
            </w:r>
            <w:r w:rsidR="008647A6" w:rsidRPr="002D2F67">
              <w:rPr>
                <w:rFonts w:ascii="Arial" w:hAnsi="Arial" w:cs="Arial"/>
                <w:color w:val="000000"/>
                <w:sz w:val="20"/>
                <w:szCs w:val="20"/>
              </w:rPr>
              <w:t>,</w:t>
            </w:r>
            <w:r w:rsidRPr="00CD5714">
              <w:rPr>
                <w:rFonts w:ascii="Arial" w:hAnsi="Arial" w:cs="Arial"/>
                <w:color w:val="000000"/>
                <w:sz w:val="20"/>
                <w:szCs w:val="20"/>
                <w:lang w:val="en-GB"/>
              </w:rPr>
              <w:t>689</w:t>
            </w:r>
          </w:p>
        </w:tc>
      </w:tr>
    </w:tbl>
    <w:p w14:paraId="2E5605AC" w14:textId="77777777" w:rsidR="00F878AD" w:rsidRPr="002D2F67" w:rsidRDefault="00F878AD" w:rsidP="005611FE">
      <w:pPr>
        <w:jc w:val="thaiDistribute"/>
        <w:rPr>
          <w:rFonts w:ascii="Arial" w:hAnsi="Arial" w:cs="Arial"/>
          <w:color w:val="000000"/>
          <w:sz w:val="20"/>
          <w:szCs w:val="20"/>
        </w:rPr>
      </w:pPr>
    </w:p>
    <w:tbl>
      <w:tblPr>
        <w:tblW w:w="9475" w:type="dxa"/>
        <w:tblInd w:w="108" w:type="dxa"/>
        <w:tblLayout w:type="fixed"/>
        <w:tblLook w:val="0000" w:firstRow="0" w:lastRow="0" w:firstColumn="0" w:lastColumn="0" w:noHBand="0" w:noVBand="0"/>
      </w:tblPr>
      <w:tblGrid>
        <w:gridCol w:w="3715"/>
        <w:gridCol w:w="1440"/>
        <w:gridCol w:w="1440"/>
        <w:gridCol w:w="1440"/>
        <w:gridCol w:w="1440"/>
      </w:tblGrid>
      <w:tr w:rsidR="001E6C66" w:rsidRPr="002D2F67" w14:paraId="64154A5E" w14:textId="77777777" w:rsidTr="008255E8">
        <w:tc>
          <w:tcPr>
            <w:tcW w:w="3715" w:type="dxa"/>
            <w:shd w:val="clear" w:color="auto" w:fill="auto"/>
          </w:tcPr>
          <w:p w14:paraId="09EDCCCC" w14:textId="77777777" w:rsidR="001E6C66" w:rsidRPr="002D2F67" w:rsidRDefault="001E6C66" w:rsidP="005611FE">
            <w:pPr>
              <w:ind w:left="411"/>
              <w:contextualSpacing/>
              <w:rPr>
                <w:rFonts w:ascii="Arial" w:hAnsi="Arial" w:cs="Arial"/>
                <w:color w:val="000000"/>
                <w:sz w:val="20"/>
                <w:szCs w:val="20"/>
              </w:rPr>
            </w:pPr>
          </w:p>
        </w:tc>
        <w:tc>
          <w:tcPr>
            <w:tcW w:w="2880" w:type="dxa"/>
            <w:gridSpan w:val="2"/>
            <w:tcBorders>
              <w:bottom w:val="single" w:sz="4" w:space="0" w:color="auto"/>
            </w:tcBorders>
            <w:shd w:val="clear" w:color="auto" w:fill="auto"/>
          </w:tcPr>
          <w:p w14:paraId="02D65946" w14:textId="77777777" w:rsidR="001E6C66" w:rsidRPr="002D2F67" w:rsidRDefault="001E6C66" w:rsidP="005611FE">
            <w:pPr>
              <w:tabs>
                <w:tab w:val="left" w:pos="709"/>
              </w:tabs>
              <w:ind w:right="-72"/>
              <w:contextualSpacing/>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742B7784" w14:textId="77777777" w:rsidR="001E6C66" w:rsidRPr="002D2F67" w:rsidRDefault="001E6C66" w:rsidP="005611FE">
            <w:pPr>
              <w:tabs>
                <w:tab w:val="left" w:pos="709"/>
              </w:tabs>
              <w:ind w:right="-72"/>
              <w:contextualSpacing/>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2880" w:type="dxa"/>
            <w:gridSpan w:val="2"/>
            <w:tcBorders>
              <w:bottom w:val="single" w:sz="4" w:space="0" w:color="auto"/>
            </w:tcBorders>
            <w:shd w:val="clear" w:color="auto" w:fill="auto"/>
          </w:tcPr>
          <w:p w14:paraId="4294FFC9" w14:textId="77777777" w:rsidR="001E6C66" w:rsidRPr="002D2F67" w:rsidRDefault="001E6C66" w:rsidP="005611FE">
            <w:pPr>
              <w:tabs>
                <w:tab w:val="left" w:pos="709"/>
              </w:tabs>
              <w:ind w:right="-72"/>
              <w:contextualSpacing/>
              <w:jc w:val="right"/>
              <w:rPr>
                <w:rFonts w:ascii="Arial" w:hAnsi="Arial" w:cs="Arial"/>
                <w:b/>
                <w:bCs/>
                <w:color w:val="000000"/>
                <w:sz w:val="20"/>
                <w:szCs w:val="20"/>
              </w:rPr>
            </w:pPr>
            <w:r w:rsidRPr="002D2F67">
              <w:rPr>
                <w:rFonts w:ascii="Arial" w:hAnsi="Arial" w:cs="Arial"/>
                <w:b/>
                <w:bCs/>
                <w:color w:val="000000"/>
                <w:sz w:val="20"/>
                <w:szCs w:val="20"/>
              </w:rPr>
              <w:t xml:space="preserve">Separate </w:t>
            </w:r>
          </w:p>
          <w:p w14:paraId="6925A419" w14:textId="77777777" w:rsidR="001E6C66" w:rsidRPr="002D2F67" w:rsidRDefault="001E6C66" w:rsidP="005611FE">
            <w:pPr>
              <w:tabs>
                <w:tab w:val="left" w:pos="709"/>
              </w:tabs>
              <w:ind w:right="-72"/>
              <w:contextualSpacing/>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B83FCE" w:rsidRPr="002D2F67" w14:paraId="6E2471C1" w14:textId="77777777" w:rsidTr="005611FE">
        <w:tc>
          <w:tcPr>
            <w:tcW w:w="3715" w:type="dxa"/>
            <w:shd w:val="clear" w:color="auto" w:fill="auto"/>
          </w:tcPr>
          <w:p w14:paraId="1FD2D895" w14:textId="656A5008" w:rsidR="00B83FCE" w:rsidRPr="002D2F67" w:rsidRDefault="00B83FCE" w:rsidP="005611FE">
            <w:pPr>
              <w:ind w:left="411"/>
              <w:contextualSpacing/>
              <w:rPr>
                <w:rFonts w:ascii="Arial" w:hAnsi="Arial" w:cs="Arial"/>
                <w:b/>
                <w:bCs/>
                <w:color w:val="000000"/>
                <w:sz w:val="20"/>
                <w:szCs w:val="20"/>
              </w:rPr>
            </w:pPr>
            <w:r w:rsidRPr="002D2F67">
              <w:rPr>
                <w:rFonts w:ascii="Arial" w:hAnsi="Arial" w:cs="Arial"/>
                <w:b/>
                <w:bCs/>
                <w:color w:val="000000"/>
                <w:sz w:val="20"/>
                <w:szCs w:val="20"/>
              </w:rPr>
              <w:t xml:space="preserve">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w:t>
            </w:r>
          </w:p>
        </w:tc>
        <w:tc>
          <w:tcPr>
            <w:tcW w:w="1440" w:type="dxa"/>
            <w:tcBorders>
              <w:top w:val="single" w:sz="4" w:space="0" w:color="auto"/>
            </w:tcBorders>
            <w:shd w:val="clear" w:color="auto" w:fill="auto"/>
          </w:tcPr>
          <w:p w14:paraId="76CB9D33" w14:textId="63B3731D" w:rsidR="00B83FCE" w:rsidRPr="002D2F67" w:rsidRDefault="00CD5714" w:rsidP="005611FE">
            <w:pPr>
              <w:ind w:right="-72"/>
              <w:contextualSpacing/>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40" w:type="dxa"/>
            <w:tcBorders>
              <w:top w:val="single" w:sz="4" w:space="0" w:color="auto"/>
            </w:tcBorders>
            <w:shd w:val="clear" w:color="auto" w:fill="auto"/>
          </w:tcPr>
          <w:p w14:paraId="7C5A9BE5" w14:textId="52D3DA36" w:rsidR="00B83FCE" w:rsidRPr="002D2F67" w:rsidRDefault="00CD5714" w:rsidP="005611FE">
            <w:pPr>
              <w:ind w:right="-72"/>
              <w:contextualSpacing/>
              <w:jc w:val="right"/>
              <w:rPr>
                <w:rFonts w:ascii="Arial" w:hAnsi="Arial" w:cs="Arial"/>
                <w:b/>
                <w:bCs/>
                <w:color w:val="000000"/>
                <w:sz w:val="20"/>
                <w:szCs w:val="20"/>
                <w:cs/>
              </w:rPr>
            </w:pPr>
            <w:r w:rsidRPr="00CD5714">
              <w:rPr>
                <w:rFonts w:ascii="Arial" w:hAnsi="Arial" w:cs="Arial"/>
                <w:b/>
                <w:bCs/>
                <w:color w:val="000000"/>
                <w:sz w:val="20"/>
                <w:szCs w:val="20"/>
                <w:lang w:val="en-GB"/>
              </w:rPr>
              <w:t>2023</w:t>
            </w:r>
          </w:p>
        </w:tc>
        <w:tc>
          <w:tcPr>
            <w:tcW w:w="1440" w:type="dxa"/>
            <w:tcBorders>
              <w:top w:val="single" w:sz="4" w:space="0" w:color="auto"/>
            </w:tcBorders>
            <w:shd w:val="clear" w:color="auto" w:fill="auto"/>
          </w:tcPr>
          <w:p w14:paraId="3B1B8F76" w14:textId="12753CCE" w:rsidR="00B83FCE" w:rsidRPr="002D2F67" w:rsidRDefault="00CD5714" w:rsidP="005611FE">
            <w:pPr>
              <w:ind w:right="-72"/>
              <w:contextualSpacing/>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40" w:type="dxa"/>
            <w:tcBorders>
              <w:top w:val="single" w:sz="4" w:space="0" w:color="auto"/>
            </w:tcBorders>
            <w:shd w:val="clear" w:color="auto" w:fill="auto"/>
          </w:tcPr>
          <w:p w14:paraId="2B5B71AB" w14:textId="275FE7CB" w:rsidR="00B83FCE" w:rsidRPr="002D2F67" w:rsidRDefault="00CD5714" w:rsidP="005611FE">
            <w:pPr>
              <w:ind w:right="-72"/>
              <w:contextualSpacing/>
              <w:jc w:val="right"/>
              <w:rPr>
                <w:rFonts w:ascii="Arial" w:hAnsi="Arial" w:cs="Arial"/>
                <w:b/>
                <w:bCs/>
                <w:color w:val="000000"/>
                <w:sz w:val="20"/>
                <w:szCs w:val="20"/>
                <w:cs/>
              </w:rPr>
            </w:pPr>
            <w:r w:rsidRPr="00CD5714">
              <w:rPr>
                <w:rFonts w:ascii="Arial" w:hAnsi="Arial" w:cs="Arial"/>
                <w:b/>
                <w:bCs/>
                <w:color w:val="000000"/>
                <w:sz w:val="20"/>
                <w:szCs w:val="20"/>
                <w:lang w:val="en-GB"/>
              </w:rPr>
              <w:t>2023</w:t>
            </w:r>
          </w:p>
        </w:tc>
      </w:tr>
      <w:tr w:rsidR="008F15DC" w:rsidRPr="002D2F67" w14:paraId="378A81ED" w14:textId="77777777" w:rsidTr="005611FE">
        <w:tc>
          <w:tcPr>
            <w:tcW w:w="3715" w:type="dxa"/>
            <w:shd w:val="clear" w:color="auto" w:fill="auto"/>
          </w:tcPr>
          <w:p w14:paraId="072CE1A4" w14:textId="77777777" w:rsidR="008F15DC" w:rsidRPr="002D2F67" w:rsidRDefault="008F15DC" w:rsidP="005611FE">
            <w:pPr>
              <w:pStyle w:val="Header"/>
              <w:ind w:left="411"/>
              <w:contextualSpacing/>
              <w:rPr>
                <w:rFonts w:ascii="Arial" w:hAnsi="Arial" w:cs="Arial"/>
                <w:color w:val="000000"/>
                <w:sz w:val="20"/>
                <w:szCs w:val="20"/>
              </w:rPr>
            </w:pPr>
          </w:p>
        </w:tc>
        <w:tc>
          <w:tcPr>
            <w:tcW w:w="1440" w:type="dxa"/>
            <w:tcBorders>
              <w:bottom w:val="single" w:sz="4" w:space="0" w:color="auto"/>
            </w:tcBorders>
            <w:shd w:val="clear" w:color="auto" w:fill="auto"/>
          </w:tcPr>
          <w:p w14:paraId="5FD9130A" w14:textId="7C4CDC5C" w:rsidR="008F15DC" w:rsidRPr="002D2F67" w:rsidRDefault="008F15DC" w:rsidP="005611FE">
            <w:pPr>
              <w:ind w:right="-72"/>
              <w:contextualSpacing/>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25BC44E5" w14:textId="7CC37AAF" w:rsidR="008F15DC" w:rsidRPr="002D2F67" w:rsidRDefault="008F15DC" w:rsidP="005611FE">
            <w:pPr>
              <w:ind w:right="-72"/>
              <w:contextualSpacing/>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42ABCC00" w14:textId="117DDFF7" w:rsidR="008F15DC" w:rsidRPr="002D2F67" w:rsidRDefault="008F15DC" w:rsidP="005611FE">
            <w:pPr>
              <w:ind w:right="-72"/>
              <w:contextualSpacing/>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53BDE86D" w14:textId="06E34360" w:rsidR="008F15DC" w:rsidRPr="002D2F67" w:rsidRDefault="008F15DC" w:rsidP="005611FE">
            <w:pPr>
              <w:ind w:right="-72"/>
              <w:contextualSpacing/>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1E6C66" w:rsidRPr="002D2F67" w14:paraId="35ECC7F5" w14:textId="77777777" w:rsidTr="005611FE">
        <w:tc>
          <w:tcPr>
            <w:tcW w:w="3715" w:type="dxa"/>
            <w:shd w:val="clear" w:color="auto" w:fill="auto"/>
          </w:tcPr>
          <w:p w14:paraId="57A74341"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left="411"/>
              <w:contextualSpacing/>
              <w:rPr>
                <w:rFonts w:ascii="Arial" w:hAnsi="Arial" w:cs="Arial"/>
                <w:color w:val="000000"/>
                <w:sz w:val="20"/>
                <w:szCs w:val="20"/>
              </w:rPr>
            </w:pPr>
          </w:p>
        </w:tc>
        <w:tc>
          <w:tcPr>
            <w:tcW w:w="1440" w:type="dxa"/>
            <w:tcBorders>
              <w:top w:val="single" w:sz="4" w:space="0" w:color="auto"/>
            </w:tcBorders>
            <w:shd w:val="clear" w:color="auto" w:fill="auto"/>
          </w:tcPr>
          <w:p w14:paraId="46CBEC81"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183CED2D"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7463A8CB"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2E4F5E98" w14:textId="77777777" w:rsidR="001E6C66" w:rsidRPr="002D2F67" w:rsidRDefault="001E6C66" w:rsidP="005611FE">
            <w:pPr>
              <w:ind w:right="-72"/>
              <w:contextualSpacing/>
              <w:jc w:val="right"/>
              <w:rPr>
                <w:rFonts w:ascii="Arial" w:hAnsi="Arial" w:cs="Arial"/>
                <w:color w:val="000000"/>
                <w:sz w:val="20"/>
                <w:szCs w:val="20"/>
              </w:rPr>
            </w:pPr>
          </w:p>
        </w:tc>
      </w:tr>
      <w:tr w:rsidR="006F0CB9" w:rsidRPr="002D2F67" w14:paraId="7572AA90" w14:textId="77777777" w:rsidTr="005611FE">
        <w:trPr>
          <w:trHeight w:val="126"/>
        </w:trPr>
        <w:tc>
          <w:tcPr>
            <w:tcW w:w="3715" w:type="dxa"/>
            <w:shd w:val="clear" w:color="auto" w:fill="auto"/>
          </w:tcPr>
          <w:p w14:paraId="57BFDA91" w14:textId="77777777" w:rsidR="006F0CB9" w:rsidRPr="002D2F67" w:rsidRDefault="006F0CB9" w:rsidP="005611FE">
            <w:pPr>
              <w:pStyle w:val="Heading4"/>
              <w:ind w:left="411"/>
              <w:contextualSpacing/>
              <w:rPr>
                <w:rFonts w:ascii="Arial" w:hAnsi="Arial" w:cs="Arial"/>
                <w:b w:val="0"/>
                <w:bCs w:val="0"/>
                <w:color w:val="000000"/>
                <w:sz w:val="20"/>
                <w:szCs w:val="20"/>
                <w:bdr w:val="single" w:sz="4" w:space="0" w:color="auto"/>
                <w:lang w:val="en-US" w:eastAsia="en-US"/>
              </w:rPr>
            </w:pPr>
            <w:r w:rsidRPr="002D2F67">
              <w:rPr>
                <w:rFonts w:ascii="Arial" w:hAnsi="Arial" w:cs="Arial"/>
                <w:b w:val="0"/>
                <w:bCs w:val="0"/>
                <w:color w:val="000000"/>
                <w:sz w:val="20"/>
                <w:szCs w:val="20"/>
                <w:lang w:val="en-US" w:eastAsia="en-US"/>
              </w:rPr>
              <w:t>Interest receivable</w:t>
            </w:r>
          </w:p>
        </w:tc>
        <w:tc>
          <w:tcPr>
            <w:tcW w:w="1440" w:type="dxa"/>
            <w:shd w:val="clear" w:color="auto" w:fill="auto"/>
          </w:tcPr>
          <w:p w14:paraId="7630E156" w14:textId="77777777" w:rsidR="006F0CB9" w:rsidRPr="002D2F67" w:rsidRDefault="006F0CB9" w:rsidP="005611FE">
            <w:pPr>
              <w:pStyle w:val="MacroText"/>
              <w:tabs>
                <w:tab w:val="clear" w:pos="480"/>
                <w:tab w:val="clear" w:pos="960"/>
                <w:tab w:val="clear" w:pos="1440"/>
                <w:tab w:val="clear" w:pos="1920"/>
                <w:tab w:val="clear" w:pos="2400"/>
                <w:tab w:val="clear" w:pos="2880"/>
                <w:tab w:val="clear" w:pos="3360"/>
                <w:tab w:val="clear" w:pos="3840"/>
                <w:tab w:val="clear" w:pos="4320"/>
              </w:tabs>
              <w:ind w:right="-72"/>
              <w:contextualSpacing/>
              <w:jc w:val="right"/>
              <w:rPr>
                <w:rFonts w:cs="Arial"/>
                <w:color w:val="000000"/>
              </w:rPr>
            </w:pPr>
          </w:p>
        </w:tc>
        <w:tc>
          <w:tcPr>
            <w:tcW w:w="1440" w:type="dxa"/>
            <w:shd w:val="clear" w:color="auto" w:fill="auto"/>
          </w:tcPr>
          <w:p w14:paraId="4C419953" w14:textId="77777777" w:rsidR="006F0CB9" w:rsidRPr="002D2F67" w:rsidRDefault="006F0CB9" w:rsidP="005611FE">
            <w:pPr>
              <w:pStyle w:val="MacroText"/>
              <w:tabs>
                <w:tab w:val="clear" w:pos="480"/>
                <w:tab w:val="clear" w:pos="960"/>
                <w:tab w:val="clear" w:pos="1440"/>
                <w:tab w:val="clear" w:pos="1920"/>
                <w:tab w:val="clear" w:pos="2400"/>
                <w:tab w:val="clear" w:pos="2880"/>
                <w:tab w:val="clear" w:pos="3360"/>
                <w:tab w:val="clear" w:pos="3840"/>
                <w:tab w:val="clear" w:pos="4320"/>
              </w:tabs>
              <w:ind w:right="-72"/>
              <w:contextualSpacing/>
              <w:jc w:val="right"/>
              <w:rPr>
                <w:rFonts w:cs="Arial"/>
                <w:color w:val="000000"/>
              </w:rPr>
            </w:pPr>
          </w:p>
        </w:tc>
        <w:tc>
          <w:tcPr>
            <w:tcW w:w="1440" w:type="dxa"/>
            <w:shd w:val="clear" w:color="auto" w:fill="auto"/>
          </w:tcPr>
          <w:p w14:paraId="0BA3F360" w14:textId="77777777" w:rsidR="006F0CB9" w:rsidRPr="002D2F67" w:rsidRDefault="006F0CB9" w:rsidP="005611FE">
            <w:pPr>
              <w:ind w:right="-72"/>
              <w:contextualSpacing/>
              <w:jc w:val="right"/>
              <w:rPr>
                <w:rFonts w:ascii="Arial" w:hAnsi="Arial" w:cs="Arial"/>
                <w:color w:val="000000"/>
                <w:sz w:val="20"/>
                <w:szCs w:val="20"/>
              </w:rPr>
            </w:pPr>
          </w:p>
        </w:tc>
        <w:tc>
          <w:tcPr>
            <w:tcW w:w="1440" w:type="dxa"/>
            <w:shd w:val="clear" w:color="auto" w:fill="auto"/>
          </w:tcPr>
          <w:p w14:paraId="2BBC64C5" w14:textId="77777777" w:rsidR="006F0CB9" w:rsidRPr="002D2F67" w:rsidRDefault="006F0CB9" w:rsidP="005611FE">
            <w:pPr>
              <w:ind w:right="-72"/>
              <w:contextualSpacing/>
              <w:jc w:val="right"/>
              <w:rPr>
                <w:rFonts w:ascii="Arial" w:hAnsi="Arial" w:cs="Arial"/>
                <w:color w:val="000000"/>
                <w:sz w:val="20"/>
                <w:szCs w:val="20"/>
              </w:rPr>
            </w:pPr>
          </w:p>
        </w:tc>
      </w:tr>
      <w:tr w:rsidR="008647A6" w:rsidRPr="002D2F67" w14:paraId="2F455B1F" w14:textId="77777777" w:rsidTr="005611FE">
        <w:trPr>
          <w:trHeight w:val="126"/>
        </w:trPr>
        <w:tc>
          <w:tcPr>
            <w:tcW w:w="3715" w:type="dxa"/>
            <w:shd w:val="clear" w:color="auto" w:fill="auto"/>
          </w:tcPr>
          <w:p w14:paraId="4B063DB7" w14:textId="77777777" w:rsidR="008647A6" w:rsidRPr="002D2F67" w:rsidRDefault="008647A6" w:rsidP="005611FE">
            <w:pPr>
              <w:ind w:left="411"/>
              <w:contextualSpacing/>
              <w:jc w:val="both"/>
              <w:rPr>
                <w:rFonts w:ascii="Arial" w:hAnsi="Arial" w:cs="Arial"/>
                <w:color w:val="000000"/>
                <w:sz w:val="20"/>
                <w:szCs w:val="20"/>
              </w:rPr>
            </w:pPr>
            <w:r w:rsidRPr="002D2F67">
              <w:rPr>
                <w:rFonts w:ascii="Arial" w:hAnsi="Arial" w:cs="Arial"/>
                <w:color w:val="000000"/>
                <w:sz w:val="20"/>
                <w:szCs w:val="20"/>
              </w:rPr>
              <w:t xml:space="preserve">   - Subsidiaries</w:t>
            </w:r>
          </w:p>
        </w:tc>
        <w:tc>
          <w:tcPr>
            <w:tcW w:w="1440" w:type="dxa"/>
            <w:shd w:val="clear" w:color="auto" w:fill="auto"/>
          </w:tcPr>
          <w:p w14:paraId="497A626E" w14:textId="3CA2CF3C" w:rsidR="008647A6" w:rsidRPr="002D2F67" w:rsidRDefault="00624C1F"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tcPr>
          <w:p w14:paraId="771F04B4" w14:textId="2B2566AB" w:rsidR="008647A6" w:rsidRPr="002D2F67" w:rsidRDefault="008647A6"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tcPr>
          <w:p w14:paraId="7C04590F" w14:textId="0CEC1C4F" w:rsidR="008647A6"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1</w:t>
            </w:r>
            <w:r w:rsidR="00624C1F" w:rsidRPr="002D2F67">
              <w:rPr>
                <w:rFonts w:ascii="Arial" w:hAnsi="Arial" w:cs="Arial"/>
                <w:color w:val="000000"/>
                <w:sz w:val="20"/>
                <w:szCs w:val="20"/>
              </w:rPr>
              <w:t>,</w:t>
            </w:r>
            <w:r w:rsidRPr="00CD5714">
              <w:rPr>
                <w:rFonts w:ascii="Arial" w:hAnsi="Arial" w:cs="Arial"/>
                <w:color w:val="000000"/>
                <w:sz w:val="20"/>
                <w:szCs w:val="20"/>
                <w:lang w:val="en-GB"/>
              </w:rPr>
              <w:t>855</w:t>
            </w:r>
            <w:r w:rsidR="00624C1F" w:rsidRPr="002D2F67">
              <w:rPr>
                <w:rFonts w:ascii="Arial" w:hAnsi="Arial" w:cs="Arial"/>
                <w:color w:val="000000"/>
                <w:sz w:val="20"/>
                <w:szCs w:val="20"/>
              </w:rPr>
              <w:t>,</w:t>
            </w:r>
            <w:r w:rsidRPr="00CD5714">
              <w:rPr>
                <w:rFonts w:ascii="Arial" w:hAnsi="Arial" w:cs="Arial"/>
                <w:color w:val="000000"/>
                <w:sz w:val="20"/>
                <w:szCs w:val="20"/>
                <w:lang w:val="en-GB"/>
              </w:rPr>
              <w:t>203</w:t>
            </w:r>
          </w:p>
        </w:tc>
        <w:tc>
          <w:tcPr>
            <w:tcW w:w="1440" w:type="dxa"/>
            <w:shd w:val="clear" w:color="auto" w:fill="auto"/>
          </w:tcPr>
          <w:p w14:paraId="4DD99566" w14:textId="081EF4CD" w:rsidR="008647A6"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1</w:t>
            </w:r>
            <w:r w:rsidR="008647A6" w:rsidRPr="002D2F67">
              <w:rPr>
                <w:rFonts w:ascii="Arial" w:hAnsi="Arial" w:cs="Arial"/>
                <w:color w:val="000000"/>
                <w:sz w:val="20"/>
                <w:szCs w:val="20"/>
              </w:rPr>
              <w:t>,</w:t>
            </w:r>
            <w:r w:rsidRPr="00CD5714">
              <w:rPr>
                <w:rFonts w:ascii="Arial" w:hAnsi="Arial" w:cs="Arial"/>
                <w:color w:val="000000"/>
                <w:sz w:val="20"/>
                <w:szCs w:val="20"/>
                <w:lang w:val="en-GB"/>
              </w:rPr>
              <w:t>006</w:t>
            </w:r>
            <w:r w:rsidR="008647A6" w:rsidRPr="002D2F67">
              <w:rPr>
                <w:rFonts w:ascii="Arial" w:hAnsi="Arial" w:cs="Arial"/>
                <w:color w:val="000000"/>
                <w:sz w:val="20"/>
                <w:szCs w:val="20"/>
              </w:rPr>
              <w:t>,</w:t>
            </w:r>
            <w:r w:rsidRPr="00CD5714">
              <w:rPr>
                <w:rFonts w:ascii="Arial" w:hAnsi="Arial" w:cs="Arial"/>
                <w:color w:val="000000"/>
                <w:sz w:val="20"/>
                <w:szCs w:val="20"/>
                <w:lang w:val="en-GB"/>
              </w:rPr>
              <w:t>904</w:t>
            </w:r>
          </w:p>
        </w:tc>
      </w:tr>
      <w:tr w:rsidR="008647A6" w:rsidRPr="002D2F67" w14:paraId="25EBF337" w14:textId="77777777" w:rsidTr="005611FE">
        <w:trPr>
          <w:trHeight w:val="126"/>
        </w:trPr>
        <w:tc>
          <w:tcPr>
            <w:tcW w:w="3715" w:type="dxa"/>
            <w:shd w:val="clear" w:color="auto" w:fill="auto"/>
          </w:tcPr>
          <w:p w14:paraId="35B75290" w14:textId="41C62C57" w:rsidR="008647A6" w:rsidRPr="002D2F67" w:rsidRDefault="008647A6" w:rsidP="005611FE">
            <w:pPr>
              <w:ind w:left="411"/>
              <w:contextualSpacing/>
              <w:jc w:val="both"/>
              <w:rPr>
                <w:rFonts w:ascii="Arial" w:hAnsi="Arial" w:cs="Arial"/>
                <w:color w:val="000000"/>
                <w:sz w:val="20"/>
                <w:szCs w:val="20"/>
              </w:rPr>
            </w:pPr>
            <w:r w:rsidRPr="002D2F67">
              <w:rPr>
                <w:rFonts w:ascii="Arial" w:hAnsi="Arial" w:cs="Arial"/>
                <w:color w:val="000000"/>
                <w:sz w:val="20"/>
                <w:szCs w:val="20"/>
              </w:rPr>
              <w:t xml:space="preserve">   - Associates</w:t>
            </w:r>
          </w:p>
        </w:tc>
        <w:tc>
          <w:tcPr>
            <w:tcW w:w="1440" w:type="dxa"/>
            <w:tcBorders>
              <w:bottom w:val="single" w:sz="4" w:space="0" w:color="auto"/>
            </w:tcBorders>
            <w:shd w:val="clear" w:color="auto" w:fill="auto"/>
          </w:tcPr>
          <w:p w14:paraId="54E72977" w14:textId="70AA57FA" w:rsidR="008647A6"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1</w:t>
            </w:r>
            <w:r w:rsidR="00AD4283" w:rsidRPr="002D2F67">
              <w:rPr>
                <w:rFonts w:ascii="Arial" w:hAnsi="Arial" w:cs="Arial"/>
                <w:color w:val="000000"/>
                <w:sz w:val="20"/>
                <w:szCs w:val="20"/>
              </w:rPr>
              <w:t>,</w:t>
            </w:r>
            <w:r w:rsidRPr="00CD5714">
              <w:rPr>
                <w:rFonts w:ascii="Arial" w:hAnsi="Arial" w:cs="Arial"/>
                <w:color w:val="000000"/>
                <w:sz w:val="20"/>
                <w:szCs w:val="20"/>
                <w:lang w:val="en-GB"/>
              </w:rPr>
              <w:t>181</w:t>
            </w:r>
          </w:p>
        </w:tc>
        <w:tc>
          <w:tcPr>
            <w:tcW w:w="1440" w:type="dxa"/>
            <w:tcBorders>
              <w:bottom w:val="single" w:sz="4" w:space="0" w:color="auto"/>
            </w:tcBorders>
            <w:shd w:val="clear" w:color="auto" w:fill="auto"/>
          </w:tcPr>
          <w:p w14:paraId="432E9B30" w14:textId="4D8BDDA0" w:rsidR="008647A6"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556</w:t>
            </w:r>
          </w:p>
        </w:tc>
        <w:tc>
          <w:tcPr>
            <w:tcW w:w="1440" w:type="dxa"/>
            <w:tcBorders>
              <w:bottom w:val="single" w:sz="4" w:space="0" w:color="auto"/>
            </w:tcBorders>
            <w:shd w:val="clear" w:color="auto" w:fill="auto"/>
          </w:tcPr>
          <w:p w14:paraId="6E045BEC" w14:textId="39518128" w:rsidR="008647A6" w:rsidRPr="002D2F67" w:rsidRDefault="00624C1F"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2D2F67">
              <w:rPr>
                <w:rFonts w:ascii="Arial" w:hAnsi="Arial" w:cs="Arial"/>
                <w:color w:val="000000"/>
                <w:sz w:val="20"/>
                <w:szCs w:val="20"/>
              </w:rPr>
              <w:t>-</w:t>
            </w:r>
          </w:p>
        </w:tc>
        <w:tc>
          <w:tcPr>
            <w:tcW w:w="1440" w:type="dxa"/>
            <w:tcBorders>
              <w:bottom w:val="single" w:sz="4" w:space="0" w:color="auto"/>
            </w:tcBorders>
            <w:shd w:val="clear" w:color="auto" w:fill="auto"/>
          </w:tcPr>
          <w:p w14:paraId="3847649F" w14:textId="4C5134B7" w:rsidR="008647A6" w:rsidRPr="002D2F67" w:rsidRDefault="008647A6"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2D2F67">
              <w:rPr>
                <w:rFonts w:ascii="Arial" w:hAnsi="Arial" w:cs="Arial"/>
                <w:color w:val="000000"/>
                <w:sz w:val="20"/>
                <w:szCs w:val="20"/>
              </w:rPr>
              <w:t>-</w:t>
            </w:r>
          </w:p>
        </w:tc>
      </w:tr>
      <w:tr w:rsidR="008647A6" w:rsidRPr="002D2F67" w14:paraId="5DDA697D" w14:textId="77777777" w:rsidTr="005611FE">
        <w:trPr>
          <w:trHeight w:val="126"/>
        </w:trPr>
        <w:tc>
          <w:tcPr>
            <w:tcW w:w="3715" w:type="dxa"/>
            <w:shd w:val="clear" w:color="auto" w:fill="auto"/>
          </w:tcPr>
          <w:p w14:paraId="12C591C6" w14:textId="77777777" w:rsidR="008647A6" w:rsidRPr="002D2F67" w:rsidRDefault="008647A6" w:rsidP="005611FE">
            <w:pPr>
              <w:ind w:left="411"/>
              <w:contextualSpacing/>
              <w:jc w:val="both"/>
              <w:rPr>
                <w:rFonts w:ascii="Arial" w:hAnsi="Arial" w:cs="Arial"/>
                <w:color w:val="000000"/>
                <w:sz w:val="20"/>
                <w:szCs w:val="20"/>
              </w:rPr>
            </w:pPr>
          </w:p>
        </w:tc>
        <w:tc>
          <w:tcPr>
            <w:tcW w:w="1440" w:type="dxa"/>
            <w:tcBorders>
              <w:top w:val="single" w:sz="4" w:space="0" w:color="auto"/>
            </w:tcBorders>
            <w:shd w:val="clear" w:color="auto" w:fill="auto"/>
          </w:tcPr>
          <w:p w14:paraId="407626C8" w14:textId="77777777" w:rsidR="008647A6" w:rsidRPr="002D2F67" w:rsidRDefault="008647A6" w:rsidP="005611FE">
            <w:pPr>
              <w:ind w:left="331" w:right="-72" w:hanging="331"/>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0FBA95EF" w14:textId="77777777" w:rsidR="008647A6" w:rsidRPr="002D2F67" w:rsidRDefault="008647A6" w:rsidP="005611FE">
            <w:pPr>
              <w:ind w:left="331" w:right="-72" w:hanging="331"/>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0416AC0C" w14:textId="77777777" w:rsidR="008647A6" w:rsidRPr="002D2F67" w:rsidRDefault="008647A6" w:rsidP="005611FE">
            <w:pPr>
              <w:ind w:left="331" w:right="-72" w:hanging="331"/>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74D30101" w14:textId="77777777" w:rsidR="008647A6" w:rsidRPr="002D2F67" w:rsidRDefault="008647A6" w:rsidP="005611FE">
            <w:pPr>
              <w:ind w:left="331" w:right="-72" w:hanging="331"/>
              <w:contextualSpacing/>
              <w:jc w:val="right"/>
              <w:rPr>
                <w:rFonts w:ascii="Arial" w:hAnsi="Arial" w:cs="Arial"/>
                <w:color w:val="000000"/>
                <w:sz w:val="20"/>
                <w:szCs w:val="20"/>
              </w:rPr>
            </w:pPr>
          </w:p>
        </w:tc>
      </w:tr>
      <w:tr w:rsidR="008647A6" w:rsidRPr="002D2F67" w14:paraId="2DDC2874" w14:textId="77777777" w:rsidTr="005611FE">
        <w:trPr>
          <w:trHeight w:val="126"/>
        </w:trPr>
        <w:tc>
          <w:tcPr>
            <w:tcW w:w="3715" w:type="dxa"/>
            <w:shd w:val="clear" w:color="auto" w:fill="auto"/>
          </w:tcPr>
          <w:p w14:paraId="1F0DD06E" w14:textId="77777777" w:rsidR="008647A6" w:rsidRPr="002D2F67" w:rsidRDefault="008647A6" w:rsidP="005611FE">
            <w:pPr>
              <w:ind w:left="411"/>
              <w:contextualSpacing/>
              <w:jc w:val="both"/>
              <w:rPr>
                <w:rFonts w:ascii="Arial" w:hAnsi="Arial" w:cs="Arial"/>
                <w:color w:val="000000"/>
                <w:sz w:val="20"/>
                <w:szCs w:val="20"/>
              </w:rPr>
            </w:pPr>
          </w:p>
        </w:tc>
        <w:tc>
          <w:tcPr>
            <w:tcW w:w="1440" w:type="dxa"/>
            <w:tcBorders>
              <w:bottom w:val="single" w:sz="4" w:space="0" w:color="auto"/>
            </w:tcBorders>
            <w:shd w:val="clear" w:color="auto" w:fill="auto"/>
          </w:tcPr>
          <w:p w14:paraId="7001D4A4" w14:textId="16C4D2DE" w:rsidR="008647A6"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1</w:t>
            </w:r>
            <w:r w:rsidR="00AD4283" w:rsidRPr="002D2F67">
              <w:rPr>
                <w:rFonts w:ascii="Arial" w:hAnsi="Arial" w:cs="Arial"/>
                <w:color w:val="000000"/>
                <w:sz w:val="20"/>
                <w:szCs w:val="20"/>
              </w:rPr>
              <w:t>,</w:t>
            </w:r>
            <w:r w:rsidRPr="00CD5714">
              <w:rPr>
                <w:rFonts w:ascii="Arial" w:hAnsi="Arial" w:cs="Arial"/>
                <w:color w:val="000000"/>
                <w:sz w:val="20"/>
                <w:szCs w:val="20"/>
                <w:lang w:val="en-GB"/>
              </w:rPr>
              <w:t>181</w:t>
            </w:r>
          </w:p>
        </w:tc>
        <w:tc>
          <w:tcPr>
            <w:tcW w:w="1440" w:type="dxa"/>
            <w:tcBorders>
              <w:bottom w:val="single" w:sz="4" w:space="0" w:color="auto"/>
            </w:tcBorders>
            <w:shd w:val="clear" w:color="auto" w:fill="auto"/>
          </w:tcPr>
          <w:p w14:paraId="114778C3" w14:textId="7845513C" w:rsidR="008647A6"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556</w:t>
            </w:r>
          </w:p>
        </w:tc>
        <w:tc>
          <w:tcPr>
            <w:tcW w:w="1440" w:type="dxa"/>
            <w:tcBorders>
              <w:bottom w:val="single" w:sz="4" w:space="0" w:color="auto"/>
            </w:tcBorders>
            <w:shd w:val="clear" w:color="auto" w:fill="auto"/>
          </w:tcPr>
          <w:p w14:paraId="7DF09AF1" w14:textId="2F2F88DF" w:rsidR="008647A6"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1</w:t>
            </w:r>
            <w:r w:rsidR="00624C1F" w:rsidRPr="002D2F67">
              <w:rPr>
                <w:rFonts w:ascii="Arial" w:hAnsi="Arial" w:cs="Arial"/>
                <w:color w:val="000000"/>
                <w:sz w:val="20"/>
                <w:szCs w:val="20"/>
              </w:rPr>
              <w:t>,</w:t>
            </w:r>
            <w:r w:rsidRPr="00CD5714">
              <w:rPr>
                <w:rFonts w:ascii="Arial" w:hAnsi="Arial" w:cs="Arial"/>
                <w:color w:val="000000"/>
                <w:sz w:val="20"/>
                <w:szCs w:val="20"/>
                <w:lang w:val="en-GB"/>
              </w:rPr>
              <w:t>855</w:t>
            </w:r>
            <w:r w:rsidR="00624C1F" w:rsidRPr="002D2F67">
              <w:rPr>
                <w:rFonts w:ascii="Arial" w:hAnsi="Arial" w:cs="Arial"/>
                <w:color w:val="000000"/>
                <w:sz w:val="20"/>
                <w:szCs w:val="20"/>
              </w:rPr>
              <w:t>,</w:t>
            </w:r>
            <w:r w:rsidRPr="00CD5714">
              <w:rPr>
                <w:rFonts w:ascii="Arial" w:hAnsi="Arial" w:cs="Arial"/>
                <w:color w:val="000000"/>
                <w:sz w:val="20"/>
                <w:szCs w:val="20"/>
                <w:lang w:val="en-GB"/>
              </w:rPr>
              <w:t>203</w:t>
            </w:r>
          </w:p>
        </w:tc>
        <w:tc>
          <w:tcPr>
            <w:tcW w:w="1440" w:type="dxa"/>
            <w:tcBorders>
              <w:bottom w:val="single" w:sz="4" w:space="0" w:color="auto"/>
            </w:tcBorders>
            <w:shd w:val="clear" w:color="auto" w:fill="auto"/>
          </w:tcPr>
          <w:p w14:paraId="1275020B" w14:textId="352D6DB7" w:rsidR="008647A6"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1</w:t>
            </w:r>
            <w:r w:rsidR="008647A6" w:rsidRPr="002D2F67">
              <w:rPr>
                <w:rFonts w:ascii="Arial" w:hAnsi="Arial" w:cs="Arial"/>
                <w:color w:val="000000"/>
                <w:sz w:val="20"/>
                <w:szCs w:val="20"/>
              </w:rPr>
              <w:t>,</w:t>
            </w:r>
            <w:r w:rsidRPr="00CD5714">
              <w:rPr>
                <w:rFonts w:ascii="Arial" w:hAnsi="Arial" w:cs="Arial"/>
                <w:color w:val="000000"/>
                <w:sz w:val="20"/>
                <w:szCs w:val="20"/>
                <w:lang w:val="en-GB"/>
              </w:rPr>
              <w:t>006</w:t>
            </w:r>
            <w:r w:rsidR="008647A6" w:rsidRPr="002D2F67">
              <w:rPr>
                <w:rFonts w:ascii="Arial" w:hAnsi="Arial" w:cs="Arial"/>
                <w:color w:val="000000"/>
                <w:sz w:val="20"/>
                <w:szCs w:val="20"/>
              </w:rPr>
              <w:t>,</w:t>
            </w:r>
            <w:r w:rsidRPr="00CD5714">
              <w:rPr>
                <w:rFonts w:ascii="Arial" w:hAnsi="Arial" w:cs="Arial"/>
                <w:color w:val="000000"/>
                <w:sz w:val="20"/>
                <w:szCs w:val="20"/>
                <w:lang w:val="en-GB"/>
              </w:rPr>
              <w:t>904</w:t>
            </w:r>
          </w:p>
        </w:tc>
      </w:tr>
    </w:tbl>
    <w:p w14:paraId="7208B66A" w14:textId="77777777" w:rsidR="001E6C66" w:rsidRPr="002D2F67" w:rsidRDefault="001E6C66" w:rsidP="005611FE">
      <w:pPr>
        <w:jc w:val="thaiDistribute"/>
        <w:rPr>
          <w:rFonts w:ascii="Arial" w:hAnsi="Arial" w:cs="Arial"/>
          <w:color w:val="000000"/>
          <w:sz w:val="20"/>
          <w:szCs w:val="20"/>
        </w:rPr>
      </w:pPr>
    </w:p>
    <w:tbl>
      <w:tblPr>
        <w:tblW w:w="9475" w:type="dxa"/>
        <w:tblInd w:w="108" w:type="dxa"/>
        <w:tblLayout w:type="fixed"/>
        <w:tblLook w:val="0000" w:firstRow="0" w:lastRow="0" w:firstColumn="0" w:lastColumn="0" w:noHBand="0" w:noVBand="0"/>
      </w:tblPr>
      <w:tblGrid>
        <w:gridCol w:w="3715"/>
        <w:gridCol w:w="1440"/>
        <w:gridCol w:w="1440"/>
        <w:gridCol w:w="1440"/>
        <w:gridCol w:w="1440"/>
      </w:tblGrid>
      <w:tr w:rsidR="001E6C66" w:rsidRPr="002D2F67" w14:paraId="4446172B" w14:textId="77777777" w:rsidTr="008255E8">
        <w:tc>
          <w:tcPr>
            <w:tcW w:w="3715" w:type="dxa"/>
            <w:shd w:val="clear" w:color="auto" w:fill="auto"/>
          </w:tcPr>
          <w:p w14:paraId="534AFD43" w14:textId="77777777" w:rsidR="001E6C66" w:rsidRPr="002D2F67" w:rsidRDefault="001E6C66" w:rsidP="005611FE">
            <w:pPr>
              <w:spacing w:line="216" w:lineRule="auto"/>
              <w:ind w:left="411"/>
              <w:rPr>
                <w:rFonts w:ascii="Arial" w:hAnsi="Arial" w:cs="Arial"/>
                <w:color w:val="000000"/>
                <w:sz w:val="20"/>
                <w:szCs w:val="20"/>
              </w:rPr>
            </w:pPr>
          </w:p>
        </w:tc>
        <w:tc>
          <w:tcPr>
            <w:tcW w:w="2880" w:type="dxa"/>
            <w:gridSpan w:val="2"/>
            <w:tcBorders>
              <w:bottom w:val="single" w:sz="4" w:space="0" w:color="auto"/>
            </w:tcBorders>
            <w:shd w:val="clear" w:color="auto" w:fill="auto"/>
          </w:tcPr>
          <w:p w14:paraId="7EE2DDCF"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606452AC"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2880" w:type="dxa"/>
            <w:gridSpan w:val="2"/>
            <w:tcBorders>
              <w:bottom w:val="single" w:sz="4" w:space="0" w:color="auto"/>
            </w:tcBorders>
            <w:shd w:val="clear" w:color="auto" w:fill="auto"/>
          </w:tcPr>
          <w:p w14:paraId="03C46FB9"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Separate </w:t>
            </w:r>
          </w:p>
          <w:p w14:paraId="21FEBA84"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B83FCE" w:rsidRPr="002D2F67" w14:paraId="64434C11" w14:textId="77777777" w:rsidTr="005611FE">
        <w:tc>
          <w:tcPr>
            <w:tcW w:w="3715" w:type="dxa"/>
            <w:shd w:val="clear" w:color="auto" w:fill="auto"/>
          </w:tcPr>
          <w:p w14:paraId="4FF3B5D2" w14:textId="63B5C249" w:rsidR="00B83FCE" w:rsidRPr="002D2F67" w:rsidRDefault="00B83FCE" w:rsidP="005611FE">
            <w:pPr>
              <w:spacing w:line="240" w:lineRule="exact"/>
              <w:ind w:left="411" w:right="-108"/>
              <w:rPr>
                <w:rFonts w:ascii="Arial" w:hAnsi="Arial" w:cs="Arial"/>
                <w:color w:val="000000"/>
                <w:spacing w:val="-4"/>
                <w:sz w:val="20"/>
                <w:szCs w:val="20"/>
              </w:rPr>
            </w:pPr>
            <w:r w:rsidRPr="002D2F67">
              <w:rPr>
                <w:rFonts w:ascii="Arial" w:hAnsi="Arial" w:cs="Arial"/>
                <w:b/>
                <w:bCs/>
                <w:color w:val="000000"/>
                <w:spacing w:val="-4"/>
                <w:sz w:val="20"/>
                <w:szCs w:val="20"/>
              </w:rPr>
              <w:t xml:space="preserve">For the years ended </w:t>
            </w:r>
            <w:r w:rsidR="00CD5714" w:rsidRPr="00CD5714">
              <w:rPr>
                <w:rFonts w:ascii="Arial" w:hAnsi="Arial" w:cs="Arial"/>
                <w:b/>
                <w:bCs/>
                <w:color w:val="000000"/>
                <w:spacing w:val="-4"/>
                <w:sz w:val="20"/>
                <w:szCs w:val="20"/>
                <w:lang w:val="en-GB"/>
              </w:rPr>
              <w:t>31</w:t>
            </w:r>
            <w:r w:rsidRPr="002D2F67">
              <w:rPr>
                <w:rFonts w:ascii="Arial" w:hAnsi="Arial" w:cs="Arial"/>
                <w:b/>
                <w:bCs/>
                <w:color w:val="000000"/>
                <w:spacing w:val="-4"/>
                <w:sz w:val="20"/>
                <w:szCs w:val="20"/>
              </w:rPr>
              <w:t xml:space="preserve"> December</w:t>
            </w:r>
          </w:p>
        </w:tc>
        <w:tc>
          <w:tcPr>
            <w:tcW w:w="1440" w:type="dxa"/>
            <w:tcBorders>
              <w:top w:val="single" w:sz="4" w:space="0" w:color="auto"/>
            </w:tcBorders>
            <w:shd w:val="clear" w:color="auto" w:fill="auto"/>
          </w:tcPr>
          <w:p w14:paraId="53931407" w14:textId="7BF7F9AC" w:rsidR="00B83FCE"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40" w:type="dxa"/>
            <w:tcBorders>
              <w:top w:val="single" w:sz="4" w:space="0" w:color="auto"/>
            </w:tcBorders>
            <w:shd w:val="clear" w:color="auto" w:fill="auto"/>
          </w:tcPr>
          <w:p w14:paraId="4C74291C" w14:textId="35AF8C4E" w:rsidR="00B83FCE"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2023</w:t>
            </w:r>
          </w:p>
        </w:tc>
        <w:tc>
          <w:tcPr>
            <w:tcW w:w="1440" w:type="dxa"/>
            <w:tcBorders>
              <w:top w:val="single" w:sz="4" w:space="0" w:color="auto"/>
            </w:tcBorders>
            <w:shd w:val="clear" w:color="auto" w:fill="auto"/>
          </w:tcPr>
          <w:p w14:paraId="1F59E579" w14:textId="6762751E" w:rsidR="00B83FCE"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40" w:type="dxa"/>
            <w:tcBorders>
              <w:top w:val="single" w:sz="4" w:space="0" w:color="auto"/>
            </w:tcBorders>
            <w:shd w:val="clear" w:color="auto" w:fill="auto"/>
          </w:tcPr>
          <w:p w14:paraId="56C525AD" w14:textId="4D31B7F1" w:rsidR="00B83FCE"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2023</w:t>
            </w:r>
          </w:p>
        </w:tc>
      </w:tr>
      <w:tr w:rsidR="008F15DC" w:rsidRPr="002D2F67" w14:paraId="08218252" w14:textId="77777777" w:rsidTr="005611FE">
        <w:tc>
          <w:tcPr>
            <w:tcW w:w="3715" w:type="dxa"/>
            <w:shd w:val="clear" w:color="auto" w:fill="auto"/>
          </w:tcPr>
          <w:p w14:paraId="04CA0970" w14:textId="77777777" w:rsidR="008F15DC" w:rsidRPr="002D2F67" w:rsidRDefault="008F15DC" w:rsidP="005611FE">
            <w:pPr>
              <w:spacing w:line="240" w:lineRule="exact"/>
              <w:ind w:left="411"/>
              <w:rPr>
                <w:rFonts w:ascii="Arial" w:hAnsi="Arial" w:cs="Arial"/>
                <w:b/>
                <w:bCs/>
                <w:color w:val="000000"/>
                <w:sz w:val="20"/>
                <w:szCs w:val="20"/>
              </w:rPr>
            </w:pPr>
            <w:r w:rsidRPr="002D2F67">
              <w:rPr>
                <w:rFonts w:ascii="Arial" w:hAnsi="Arial" w:cs="Arial"/>
                <w:b/>
                <w:bCs/>
                <w:color w:val="000000"/>
                <w:sz w:val="20"/>
                <w:szCs w:val="20"/>
              </w:rPr>
              <w:t xml:space="preserve">   </w:t>
            </w:r>
          </w:p>
        </w:tc>
        <w:tc>
          <w:tcPr>
            <w:tcW w:w="1440" w:type="dxa"/>
            <w:tcBorders>
              <w:bottom w:val="single" w:sz="4" w:space="0" w:color="auto"/>
            </w:tcBorders>
            <w:shd w:val="clear" w:color="auto" w:fill="auto"/>
          </w:tcPr>
          <w:p w14:paraId="55D8B852" w14:textId="26892DD3" w:rsidR="008F15DC" w:rsidRPr="002D2F67" w:rsidRDefault="008F15DC"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76240930" w14:textId="39AE76F4" w:rsidR="008F15DC" w:rsidRPr="002D2F67" w:rsidRDefault="008F15DC"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5F8169C0" w14:textId="0083E1D1" w:rsidR="008F15DC" w:rsidRPr="002D2F67" w:rsidRDefault="008F15DC"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02C2D993" w14:textId="7B616CFA" w:rsidR="008F15DC" w:rsidRPr="002D2F67" w:rsidRDefault="008F15DC"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1E6C66" w:rsidRPr="002D2F67" w14:paraId="621101DB" w14:textId="77777777" w:rsidTr="005611FE">
        <w:tc>
          <w:tcPr>
            <w:tcW w:w="3715" w:type="dxa"/>
            <w:shd w:val="clear" w:color="auto" w:fill="auto"/>
          </w:tcPr>
          <w:p w14:paraId="089133D3"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left="411"/>
              <w:rPr>
                <w:rFonts w:ascii="Arial" w:hAnsi="Arial" w:cs="Arial"/>
                <w:color w:val="000000"/>
                <w:sz w:val="20"/>
                <w:szCs w:val="20"/>
              </w:rPr>
            </w:pPr>
          </w:p>
        </w:tc>
        <w:tc>
          <w:tcPr>
            <w:tcW w:w="1440" w:type="dxa"/>
            <w:tcBorders>
              <w:top w:val="single" w:sz="4" w:space="0" w:color="auto"/>
            </w:tcBorders>
            <w:shd w:val="clear" w:color="auto" w:fill="auto"/>
          </w:tcPr>
          <w:p w14:paraId="457DDA51"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082D3A9C"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4A2E35CF"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69D31672" w14:textId="77777777" w:rsidR="001E6C66" w:rsidRPr="002D2F67" w:rsidRDefault="001E6C66" w:rsidP="005611FE">
            <w:pPr>
              <w:ind w:right="-72"/>
              <w:jc w:val="right"/>
              <w:rPr>
                <w:rFonts w:ascii="Arial" w:hAnsi="Arial" w:cs="Arial"/>
                <w:color w:val="000000"/>
                <w:sz w:val="20"/>
                <w:szCs w:val="20"/>
              </w:rPr>
            </w:pPr>
          </w:p>
        </w:tc>
      </w:tr>
      <w:tr w:rsidR="001E6C66" w:rsidRPr="002D2F67" w14:paraId="464E6E25" w14:textId="77777777" w:rsidTr="005611FE">
        <w:trPr>
          <w:trHeight w:val="126"/>
        </w:trPr>
        <w:tc>
          <w:tcPr>
            <w:tcW w:w="3715" w:type="dxa"/>
            <w:shd w:val="clear" w:color="auto" w:fill="auto"/>
          </w:tcPr>
          <w:p w14:paraId="418124B9" w14:textId="77777777" w:rsidR="001E6C66" w:rsidRPr="002D2F67" w:rsidRDefault="001E6C66" w:rsidP="005611FE">
            <w:pPr>
              <w:pStyle w:val="Heading4"/>
              <w:ind w:left="411"/>
              <w:rPr>
                <w:rFonts w:ascii="Arial" w:hAnsi="Arial" w:cs="Arial"/>
                <w:b w:val="0"/>
                <w:bCs w:val="0"/>
                <w:color w:val="000000"/>
                <w:sz w:val="20"/>
                <w:szCs w:val="20"/>
                <w:bdr w:val="single" w:sz="4" w:space="0" w:color="auto"/>
                <w:lang w:val="en-US" w:eastAsia="en-US"/>
              </w:rPr>
            </w:pPr>
            <w:r w:rsidRPr="002D2F67">
              <w:rPr>
                <w:rFonts w:ascii="Arial" w:hAnsi="Arial" w:cs="Arial"/>
                <w:b w:val="0"/>
                <w:bCs w:val="0"/>
                <w:color w:val="000000"/>
                <w:spacing w:val="-4"/>
                <w:sz w:val="20"/>
                <w:szCs w:val="20"/>
                <w:lang w:val="en-US" w:eastAsia="en-US"/>
              </w:rPr>
              <w:t>Interest income</w:t>
            </w:r>
          </w:p>
        </w:tc>
        <w:tc>
          <w:tcPr>
            <w:tcW w:w="1440" w:type="dxa"/>
            <w:shd w:val="clear" w:color="auto" w:fill="auto"/>
          </w:tcPr>
          <w:p w14:paraId="126A91D8" w14:textId="77777777" w:rsidR="001E6C66" w:rsidRPr="002D2F67" w:rsidRDefault="001E6C66" w:rsidP="005611FE">
            <w:pPr>
              <w:pStyle w:val="MacroText"/>
              <w:tabs>
                <w:tab w:val="clear" w:pos="480"/>
                <w:tab w:val="clear" w:pos="960"/>
                <w:tab w:val="clear" w:pos="1440"/>
                <w:tab w:val="clear" w:pos="1920"/>
                <w:tab w:val="clear" w:pos="2400"/>
                <w:tab w:val="clear" w:pos="2880"/>
                <w:tab w:val="clear" w:pos="3360"/>
                <w:tab w:val="clear" w:pos="3840"/>
                <w:tab w:val="clear" w:pos="4320"/>
                <w:tab w:val="left" w:pos="1126"/>
              </w:tabs>
              <w:ind w:right="-72"/>
              <w:jc w:val="right"/>
              <w:rPr>
                <w:rFonts w:cs="Arial"/>
                <w:color w:val="000000"/>
              </w:rPr>
            </w:pPr>
          </w:p>
        </w:tc>
        <w:tc>
          <w:tcPr>
            <w:tcW w:w="1440" w:type="dxa"/>
            <w:shd w:val="clear" w:color="auto" w:fill="auto"/>
          </w:tcPr>
          <w:p w14:paraId="1D69CDA2" w14:textId="77777777" w:rsidR="001E6C66" w:rsidRPr="002D2F67" w:rsidRDefault="001E6C66" w:rsidP="005611FE">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color w:val="000000"/>
              </w:rPr>
            </w:pPr>
          </w:p>
        </w:tc>
        <w:tc>
          <w:tcPr>
            <w:tcW w:w="1440" w:type="dxa"/>
            <w:shd w:val="clear" w:color="auto" w:fill="auto"/>
          </w:tcPr>
          <w:p w14:paraId="7F02823C" w14:textId="77777777" w:rsidR="001E6C66" w:rsidRPr="002D2F67" w:rsidRDefault="001E6C66" w:rsidP="005611FE">
            <w:pPr>
              <w:tabs>
                <w:tab w:val="left" w:pos="1126"/>
              </w:tabs>
              <w:ind w:right="-72"/>
              <w:jc w:val="right"/>
              <w:rPr>
                <w:rFonts w:ascii="Arial" w:hAnsi="Arial" w:cs="Arial"/>
                <w:color w:val="000000"/>
                <w:sz w:val="20"/>
                <w:szCs w:val="20"/>
              </w:rPr>
            </w:pPr>
          </w:p>
        </w:tc>
        <w:tc>
          <w:tcPr>
            <w:tcW w:w="1440" w:type="dxa"/>
            <w:shd w:val="clear" w:color="auto" w:fill="auto"/>
          </w:tcPr>
          <w:p w14:paraId="1E4B3574" w14:textId="77777777" w:rsidR="001E6C66" w:rsidRPr="002D2F67" w:rsidRDefault="001E6C66" w:rsidP="005611FE">
            <w:pPr>
              <w:tabs>
                <w:tab w:val="left" w:pos="1126"/>
              </w:tabs>
              <w:ind w:right="-72"/>
              <w:jc w:val="right"/>
              <w:rPr>
                <w:rFonts w:ascii="Arial" w:hAnsi="Arial" w:cs="Arial"/>
                <w:color w:val="000000"/>
                <w:sz w:val="20"/>
                <w:szCs w:val="20"/>
              </w:rPr>
            </w:pPr>
          </w:p>
        </w:tc>
      </w:tr>
      <w:tr w:rsidR="008647A6" w:rsidRPr="002D2F67" w14:paraId="0F638E2E" w14:textId="77777777" w:rsidTr="005611FE">
        <w:trPr>
          <w:trHeight w:val="126"/>
        </w:trPr>
        <w:tc>
          <w:tcPr>
            <w:tcW w:w="3715" w:type="dxa"/>
            <w:shd w:val="clear" w:color="auto" w:fill="auto"/>
          </w:tcPr>
          <w:p w14:paraId="49E45476" w14:textId="77777777" w:rsidR="008647A6" w:rsidRPr="002D2F67" w:rsidRDefault="008647A6" w:rsidP="005611FE">
            <w:pPr>
              <w:pStyle w:val="Heading4"/>
              <w:ind w:left="411"/>
              <w:rPr>
                <w:rFonts w:ascii="Arial" w:hAnsi="Arial" w:cs="Arial"/>
                <w:b w:val="0"/>
                <w:bCs w:val="0"/>
                <w:color w:val="000000"/>
                <w:spacing w:val="-4"/>
                <w:sz w:val="20"/>
                <w:szCs w:val="20"/>
                <w:lang w:val="en-US" w:eastAsia="en-US"/>
              </w:rPr>
            </w:pPr>
            <w:r w:rsidRPr="002D2F67">
              <w:rPr>
                <w:rFonts w:ascii="Arial" w:hAnsi="Arial" w:cs="Arial"/>
                <w:b w:val="0"/>
                <w:bCs w:val="0"/>
                <w:color w:val="000000"/>
                <w:sz w:val="20"/>
                <w:szCs w:val="20"/>
                <w:lang w:val="en-US" w:eastAsia="en-US"/>
              </w:rPr>
              <w:t xml:space="preserve">   - Subsidiaries</w:t>
            </w:r>
          </w:p>
        </w:tc>
        <w:tc>
          <w:tcPr>
            <w:tcW w:w="1440" w:type="dxa"/>
            <w:shd w:val="clear" w:color="auto" w:fill="auto"/>
          </w:tcPr>
          <w:p w14:paraId="57891698" w14:textId="0B66DC61" w:rsidR="008647A6" w:rsidRPr="002D2F67" w:rsidRDefault="00624C1F"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tcPr>
          <w:p w14:paraId="4134BC5B" w14:textId="6BA067B9" w:rsidR="008647A6" w:rsidRPr="002D2F67" w:rsidRDefault="008647A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5"/>
              </w:rPr>
              <w:t>-</w:t>
            </w:r>
          </w:p>
        </w:tc>
        <w:tc>
          <w:tcPr>
            <w:tcW w:w="1440" w:type="dxa"/>
            <w:shd w:val="clear" w:color="auto" w:fill="auto"/>
          </w:tcPr>
          <w:p w14:paraId="1F2AC18F" w14:textId="0CB2E776" w:rsidR="008647A6"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w:t>
            </w:r>
            <w:r w:rsidR="00624C1F" w:rsidRPr="002D2F67">
              <w:rPr>
                <w:rFonts w:ascii="Arial" w:hAnsi="Arial" w:cs="Arial"/>
                <w:color w:val="000000"/>
                <w:sz w:val="20"/>
                <w:szCs w:val="20"/>
              </w:rPr>
              <w:t>,</w:t>
            </w:r>
            <w:r w:rsidRPr="00CD5714">
              <w:rPr>
                <w:rFonts w:ascii="Arial" w:hAnsi="Arial" w:cs="Arial"/>
                <w:color w:val="000000"/>
                <w:sz w:val="20"/>
                <w:szCs w:val="20"/>
                <w:lang w:val="en-GB"/>
              </w:rPr>
              <w:t>307</w:t>
            </w:r>
            <w:r w:rsidR="00624C1F" w:rsidRPr="002D2F67">
              <w:rPr>
                <w:rFonts w:ascii="Arial" w:hAnsi="Arial" w:cs="Arial"/>
                <w:color w:val="000000"/>
                <w:sz w:val="20"/>
                <w:szCs w:val="20"/>
              </w:rPr>
              <w:t>,</w:t>
            </w:r>
            <w:r w:rsidRPr="00CD5714">
              <w:rPr>
                <w:rFonts w:ascii="Arial" w:hAnsi="Arial" w:cs="Arial"/>
                <w:color w:val="000000"/>
                <w:sz w:val="20"/>
                <w:szCs w:val="20"/>
                <w:lang w:val="en-GB"/>
              </w:rPr>
              <w:t>964</w:t>
            </w:r>
          </w:p>
        </w:tc>
        <w:tc>
          <w:tcPr>
            <w:tcW w:w="1440" w:type="dxa"/>
            <w:shd w:val="clear" w:color="auto" w:fill="auto"/>
          </w:tcPr>
          <w:p w14:paraId="46503DE7" w14:textId="47641294" w:rsidR="008647A6"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859</w:t>
            </w:r>
            <w:r w:rsidR="008647A6" w:rsidRPr="002D2F67">
              <w:rPr>
                <w:rFonts w:ascii="Arial" w:hAnsi="Arial" w:cs="Arial"/>
                <w:color w:val="000000"/>
                <w:sz w:val="20"/>
                <w:szCs w:val="20"/>
              </w:rPr>
              <w:t>,</w:t>
            </w:r>
            <w:r w:rsidRPr="00CD5714">
              <w:rPr>
                <w:rFonts w:ascii="Arial" w:hAnsi="Arial" w:cs="Arial"/>
                <w:color w:val="000000"/>
                <w:sz w:val="20"/>
                <w:szCs w:val="20"/>
                <w:lang w:val="en-GB"/>
              </w:rPr>
              <w:t>955</w:t>
            </w:r>
          </w:p>
        </w:tc>
      </w:tr>
      <w:tr w:rsidR="008647A6" w:rsidRPr="002D2F67" w14:paraId="5B9F9A42" w14:textId="77777777" w:rsidTr="005611FE">
        <w:trPr>
          <w:trHeight w:val="126"/>
        </w:trPr>
        <w:tc>
          <w:tcPr>
            <w:tcW w:w="3715" w:type="dxa"/>
            <w:shd w:val="clear" w:color="auto" w:fill="auto"/>
          </w:tcPr>
          <w:p w14:paraId="05D4CF24" w14:textId="66E1D5C0" w:rsidR="008647A6" w:rsidRPr="002D2F67" w:rsidRDefault="008647A6" w:rsidP="005611FE">
            <w:pPr>
              <w:pStyle w:val="Heading4"/>
              <w:ind w:left="411"/>
              <w:rPr>
                <w:rFonts w:ascii="Arial" w:hAnsi="Arial" w:cs="Arial"/>
                <w:b w:val="0"/>
                <w:bCs w:val="0"/>
                <w:color w:val="000000"/>
                <w:sz w:val="20"/>
                <w:szCs w:val="20"/>
                <w:lang w:val="en-US" w:eastAsia="en-US"/>
              </w:rPr>
            </w:pPr>
            <w:r w:rsidRPr="002D2F67">
              <w:rPr>
                <w:rFonts w:ascii="Arial" w:hAnsi="Arial" w:cs="Arial"/>
                <w:b w:val="0"/>
                <w:bCs w:val="0"/>
                <w:color w:val="000000"/>
                <w:sz w:val="20"/>
                <w:szCs w:val="20"/>
                <w:lang w:val="en-US"/>
              </w:rPr>
              <w:t xml:space="preserve">   - Associates</w:t>
            </w:r>
          </w:p>
        </w:tc>
        <w:tc>
          <w:tcPr>
            <w:tcW w:w="1440" w:type="dxa"/>
            <w:tcBorders>
              <w:bottom w:val="single" w:sz="4" w:space="0" w:color="auto"/>
            </w:tcBorders>
            <w:shd w:val="clear" w:color="auto" w:fill="auto"/>
          </w:tcPr>
          <w:p w14:paraId="501B597D" w14:textId="0EB92E98" w:rsidR="008647A6"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730</w:t>
            </w:r>
          </w:p>
        </w:tc>
        <w:tc>
          <w:tcPr>
            <w:tcW w:w="1440" w:type="dxa"/>
            <w:tcBorders>
              <w:bottom w:val="single" w:sz="4" w:space="0" w:color="auto"/>
            </w:tcBorders>
            <w:shd w:val="clear" w:color="auto" w:fill="auto"/>
          </w:tcPr>
          <w:p w14:paraId="44450034" w14:textId="2EDEFC49" w:rsidR="008647A6"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2</w:t>
            </w:r>
            <w:r w:rsidR="008647A6" w:rsidRPr="002D2F67">
              <w:rPr>
                <w:rFonts w:ascii="Arial" w:hAnsi="Arial" w:cs="Arial"/>
                <w:color w:val="000000"/>
                <w:sz w:val="20"/>
                <w:szCs w:val="20"/>
              </w:rPr>
              <w:t>,</w:t>
            </w:r>
            <w:r w:rsidRPr="00CD5714">
              <w:rPr>
                <w:rFonts w:ascii="Arial" w:hAnsi="Arial" w:cs="Arial"/>
                <w:color w:val="000000"/>
                <w:sz w:val="20"/>
                <w:szCs w:val="20"/>
                <w:lang w:val="en-GB"/>
              </w:rPr>
              <w:t>255</w:t>
            </w:r>
          </w:p>
        </w:tc>
        <w:tc>
          <w:tcPr>
            <w:tcW w:w="1440" w:type="dxa"/>
            <w:tcBorders>
              <w:bottom w:val="single" w:sz="4" w:space="0" w:color="auto"/>
            </w:tcBorders>
            <w:shd w:val="clear" w:color="auto" w:fill="auto"/>
          </w:tcPr>
          <w:p w14:paraId="2625A508" w14:textId="206B2ED5" w:rsidR="008647A6" w:rsidRPr="002D2F67" w:rsidRDefault="00624C1F"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tcBorders>
              <w:bottom w:val="single" w:sz="4" w:space="0" w:color="auto"/>
            </w:tcBorders>
            <w:shd w:val="clear" w:color="auto" w:fill="auto"/>
          </w:tcPr>
          <w:p w14:paraId="0D38EB17" w14:textId="5DD2B8FD" w:rsidR="008647A6" w:rsidRPr="002D2F67" w:rsidRDefault="008647A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p>
        </w:tc>
      </w:tr>
      <w:tr w:rsidR="008647A6" w:rsidRPr="002D2F67" w14:paraId="03278518" w14:textId="77777777" w:rsidTr="000072CB">
        <w:trPr>
          <w:trHeight w:val="126"/>
        </w:trPr>
        <w:tc>
          <w:tcPr>
            <w:tcW w:w="3715" w:type="dxa"/>
            <w:shd w:val="clear" w:color="auto" w:fill="auto"/>
          </w:tcPr>
          <w:p w14:paraId="79522438" w14:textId="77777777" w:rsidR="008647A6" w:rsidRPr="002D2F67" w:rsidRDefault="008647A6" w:rsidP="005611FE">
            <w:pPr>
              <w:ind w:left="411"/>
              <w:jc w:val="both"/>
              <w:rPr>
                <w:rFonts w:ascii="Arial" w:hAnsi="Arial" w:cs="Arial"/>
                <w:color w:val="000000"/>
                <w:sz w:val="20"/>
                <w:szCs w:val="20"/>
              </w:rPr>
            </w:pPr>
          </w:p>
        </w:tc>
        <w:tc>
          <w:tcPr>
            <w:tcW w:w="1440" w:type="dxa"/>
            <w:tcBorders>
              <w:top w:val="single" w:sz="4" w:space="0" w:color="auto"/>
            </w:tcBorders>
            <w:shd w:val="clear" w:color="auto" w:fill="auto"/>
          </w:tcPr>
          <w:p w14:paraId="5F446A4F" w14:textId="77777777" w:rsidR="008647A6" w:rsidRPr="002D2F67" w:rsidRDefault="008647A6" w:rsidP="005611FE">
            <w:pPr>
              <w:ind w:left="331" w:right="-72" w:hanging="331"/>
              <w:jc w:val="right"/>
              <w:rPr>
                <w:rFonts w:ascii="Arial" w:hAnsi="Arial" w:cs="Arial"/>
                <w:color w:val="000000"/>
                <w:sz w:val="20"/>
                <w:szCs w:val="20"/>
              </w:rPr>
            </w:pPr>
          </w:p>
        </w:tc>
        <w:tc>
          <w:tcPr>
            <w:tcW w:w="1440" w:type="dxa"/>
            <w:tcBorders>
              <w:top w:val="single" w:sz="4" w:space="0" w:color="auto"/>
            </w:tcBorders>
            <w:shd w:val="clear" w:color="auto" w:fill="auto"/>
          </w:tcPr>
          <w:p w14:paraId="5EAF3D2D" w14:textId="77777777" w:rsidR="008647A6" w:rsidRPr="002D2F67" w:rsidRDefault="008647A6" w:rsidP="005611FE">
            <w:pPr>
              <w:ind w:left="331" w:right="-72" w:hanging="331"/>
              <w:jc w:val="right"/>
              <w:rPr>
                <w:rFonts w:ascii="Arial" w:hAnsi="Arial" w:cs="Arial"/>
                <w:color w:val="000000"/>
                <w:sz w:val="20"/>
                <w:szCs w:val="20"/>
              </w:rPr>
            </w:pPr>
          </w:p>
        </w:tc>
        <w:tc>
          <w:tcPr>
            <w:tcW w:w="1440" w:type="dxa"/>
            <w:tcBorders>
              <w:top w:val="single" w:sz="4" w:space="0" w:color="auto"/>
            </w:tcBorders>
            <w:shd w:val="clear" w:color="auto" w:fill="auto"/>
          </w:tcPr>
          <w:p w14:paraId="03CAD772" w14:textId="77777777" w:rsidR="008647A6" w:rsidRPr="002D2F67" w:rsidRDefault="008647A6" w:rsidP="005611FE">
            <w:pPr>
              <w:ind w:left="331" w:right="-72" w:hanging="331"/>
              <w:jc w:val="right"/>
              <w:rPr>
                <w:rFonts w:ascii="Arial" w:hAnsi="Arial" w:cs="Arial"/>
                <w:color w:val="000000"/>
                <w:sz w:val="20"/>
                <w:szCs w:val="20"/>
              </w:rPr>
            </w:pPr>
          </w:p>
        </w:tc>
        <w:tc>
          <w:tcPr>
            <w:tcW w:w="1440" w:type="dxa"/>
            <w:tcBorders>
              <w:top w:val="single" w:sz="4" w:space="0" w:color="auto"/>
            </w:tcBorders>
            <w:shd w:val="clear" w:color="auto" w:fill="auto"/>
          </w:tcPr>
          <w:p w14:paraId="17B7D9B4" w14:textId="77777777" w:rsidR="008647A6" w:rsidRPr="002D2F67" w:rsidRDefault="008647A6" w:rsidP="005611FE">
            <w:pPr>
              <w:ind w:left="331" w:right="-72" w:hanging="331"/>
              <w:jc w:val="right"/>
              <w:rPr>
                <w:rFonts w:ascii="Arial" w:hAnsi="Arial" w:cs="Arial"/>
                <w:color w:val="000000"/>
                <w:sz w:val="20"/>
                <w:szCs w:val="20"/>
              </w:rPr>
            </w:pPr>
          </w:p>
        </w:tc>
      </w:tr>
      <w:tr w:rsidR="008647A6" w:rsidRPr="002D2F67" w14:paraId="15898BD2" w14:textId="77777777" w:rsidTr="000072CB">
        <w:trPr>
          <w:trHeight w:val="126"/>
        </w:trPr>
        <w:tc>
          <w:tcPr>
            <w:tcW w:w="3715" w:type="dxa"/>
            <w:shd w:val="clear" w:color="auto" w:fill="auto"/>
          </w:tcPr>
          <w:p w14:paraId="1E298DC3" w14:textId="77777777" w:rsidR="008647A6" w:rsidRPr="002D2F67" w:rsidRDefault="008647A6" w:rsidP="005611FE">
            <w:pPr>
              <w:ind w:left="411"/>
              <w:rPr>
                <w:rFonts w:ascii="Arial" w:hAnsi="Arial" w:cs="Arial"/>
                <w:color w:val="000000"/>
                <w:sz w:val="20"/>
                <w:szCs w:val="20"/>
              </w:rPr>
            </w:pPr>
          </w:p>
        </w:tc>
        <w:tc>
          <w:tcPr>
            <w:tcW w:w="1440" w:type="dxa"/>
            <w:tcBorders>
              <w:bottom w:val="single" w:sz="4" w:space="0" w:color="auto"/>
            </w:tcBorders>
            <w:shd w:val="clear" w:color="auto" w:fill="auto"/>
          </w:tcPr>
          <w:p w14:paraId="3B30337B" w14:textId="55E912A9" w:rsidR="008647A6"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730</w:t>
            </w:r>
          </w:p>
        </w:tc>
        <w:tc>
          <w:tcPr>
            <w:tcW w:w="1440" w:type="dxa"/>
            <w:tcBorders>
              <w:bottom w:val="single" w:sz="4" w:space="0" w:color="auto"/>
            </w:tcBorders>
            <w:shd w:val="clear" w:color="auto" w:fill="auto"/>
          </w:tcPr>
          <w:p w14:paraId="4333C4A8" w14:textId="0F4EA539" w:rsidR="008647A6"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2</w:t>
            </w:r>
            <w:r w:rsidR="008647A6" w:rsidRPr="002D2F67">
              <w:rPr>
                <w:rFonts w:ascii="Arial" w:hAnsi="Arial" w:cs="Arial"/>
                <w:color w:val="000000"/>
                <w:sz w:val="20"/>
                <w:szCs w:val="20"/>
              </w:rPr>
              <w:t>,</w:t>
            </w:r>
            <w:r w:rsidRPr="00CD5714">
              <w:rPr>
                <w:rFonts w:ascii="Arial" w:hAnsi="Arial" w:cs="Arial"/>
                <w:color w:val="000000"/>
                <w:sz w:val="20"/>
                <w:szCs w:val="20"/>
                <w:lang w:val="en-GB"/>
              </w:rPr>
              <w:t>255</w:t>
            </w:r>
          </w:p>
        </w:tc>
        <w:tc>
          <w:tcPr>
            <w:tcW w:w="1440" w:type="dxa"/>
            <w:tcBorders>
              <w:bottom w:val="single" w:sz="4" w:space="0" w:color="auto"/>
            </w:tcBorders>
            <w:shd w:val="clear" w:color="auto" w:fill="auto"/>
          </w:tcPr>
          <w:p w14:paraId="340C4C1B" w14:textId="0511AC83" w:rsidR="008647A6"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w:t>
            </w:r>
            <w:r w:rsidR="00624C1F" w:rsidRPr="002D2F67">
              <w:rPr>
                <w:rFonts w:ascii="Arial" w:hAnsi="Arial" w:cs="Arial"/>
                <w:color w:val="000000"/>
                <w:sz w:val="20"/>
                <w:szCs w:val="20"/>
              </w:rPr>
              <w:t>,</w:t>
            </w:r>
            <w:r w:rsidRPr="00CD5714">
              <w:rPr>
                <w:rFonts w:ascii="Arial" w:hAnsi="Arial" w:cs="Arial"/>
                <w:color w:val="000000"/>
                <w:sz w:val="20"/>
                <w:szCs w:val="20"/>
                <w:lang w:val="en-GB"/>
              </w:rPr>
              <w:t>307</w:t>
            </w:r>
            <w:r w:rsidR="00624C1F" w:rsidRPr="002D2F67">
              <w:rPr>
                <w:rFonts w:ascii="Arial" w:hAnsi="Arial" w:cs="Arial"/>
                <w:color w:val="000000"/>
                <w:sz w:val="20"/>
                <w:szCs w:val="20"/>
              </w:rPr>
              <w:t>,</w:t>
            </w:r>
            <w:r w:rsidRPr="00CD5714">
              <w:rPr>
                <w:rFonts w:ascii="Arial" w:hAnsi="Arial" w:cs="Arial"/>
                <w:color w:val="000000"/>
                <w:sz w:val="20"/>
                <w:szCs w:val="20"/>
                <w:lang w:val="en-GB"/>
              </w:rPr>
              <w:t>964</w:t>
            </w:r>
          </w:p>
        </w:tc>
        <w:tc>
          <w:tcPr>
            <w:tcW w:w="1440" w:type="dxa"/>
            <w:tcBorders>
              <w:bottom w:val="single" w:sz="4" w:space="0" w:color="auto"/>
            </w:tcBorders>
            <w:shd w:val="clear" w:color="auto" w:fill="auto"/>
          </w:tcPr>
          <w:p w14:paraId="56D070F0" w14:textId="29CE1EA1" w:rsidR="008647A6"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859</w:t>
            </w:r>
            <w:r w:rsidR="008647A6" w:rsidRPr="002D2F67">
              <w:rPr>
                <w:rFonts w:ascii="Arial" w:hAnsi="Arial" w:cs="Arial"/>
                <w:color w:val="000000"/>
                <w:sz w:val="20"/>
                <w:szCs w:val="20"/>
              </w:rPr>
              <w:t>,</w:t>
            </w:r>
            <w:r w:rsidRPr="00CD5714">
              <w:rPr>
                <w:rFonts w:ascii="Arial" w:hAnsi="Arial" w:cs="Arial"/>
                <w:color w:val="000000"/>
                <w:sz w:val="20"/>
                <w:szCs w:val="20"/>
                <w:lang w:val="en-GB"/>
              </w:rPr>
              <w:t>955</w:t>
            </w:r>
          </w:p>
        </w:tc>
      </w:tr>
    </w:tbl>
    <w:p w14:paraId="026D48FC" w14:textId="77777777" w:rsidR="001906F1" w:rsidRPr="002D2F67" w:rsidRDefault="001906F1" w:rsidP="005611FE">
      <w:pPr>
        <w:ind w:left="540"/>
        <w:jc w:val="both"/>
        <w:rPr>
          <w:rFonts w:ascii="Arial" w:hAnsi="Arial" w:cs="Arial"/>
          <w:color w:val="000000"/>
          <w:sz w:val="20"/>
          <w:szCs w:val="20"/>
          <w:u w:val="single"/>
        </w:rPr>
      </w:pPr>
    </w:p>
    <w:p w14:paraId="31E196A0" w14:textId="22727905" w:rsidR="001E6C66" w:rsidRPr="002D2F67" w:rsidRDefault="00CD5714" w:rsidP="005611FE">
      <w:pPr>
        <w:pStyle w:val="EASUBHEAD6"/>
        <w:rPr>
          <w:b/>
          <w:bCs/>
          <w:color w:val="000000"/>
          <w:sz w:val="20"/>
          <w:szCs w:val="20"/>
        </w:rPr>
      </w:pPr>
      <w:r w:rsidRPr="00CD5714">
        <w:rPr>
          <w:b/>
          <w:bCs/>
          <w:color w:val="000000"/>
          <w:sz w:val="20"/>
          <w:szCs w:val="20"/>
          <w:lang w:val="en-GB"/>
        </w:rPr>
        <w:t>42</w:t>
      </w:r>
      <w:r w:rsidR="001E6C66" w:rsidRPr="002D2F67">
        <w:rPr>
          <w:b/>
          <w:bCs/>
          <w:color w:val="000000"/>
          <w:sz w:val="20"/>
          <w:szCs w:val="20"/>
        </w:rPr>
        <w:t>.</w:t>
      </w:r>
      <w:r w:rsidRPr="00CD5714">
        <w:rPr>
          <w:b/>
          <w:bCs/>
          <w:color w:val="000000"/>
          <w:sz w:val="20"/>
          <w:szCs w:val="20"/>
          <w:lang w:val="en-GB"/>
        </w:rPr>
        <w:t>6</w:t>
      </w:r>
      <w:r w:rsidR="001E6C66" w:rsidRPr="002D2F67">
        <w:tab/>
      </w:r>
      <w:r w:rsidR="001E6C66" w:rsidRPr="002D2F67">
        <w:rPr>
          <w:b/>
          <w:bCs/>
          <w:color w:val="000000"/>
          <w:sz w:val="20"/>
          <w:szCs w:val="20"/>
        </w:rPr>
        <w:t>Short-term loans from related parties and related interests</w:t>
      </w:r>
    </w:p>
    <w:p w14:paraId="503B5405" w14:textId="77777777" w:rsidR="005E3A1C" w:rsidRPr="002D2F67" w:rsidRDefault="005E3A1C" w:rsidP="005611FE">
      <w:pPr>
        <w:ind w:left="540"/>
        <w:jc w:val="both"/>
        <w:rPr>
          <w:rFonts w:ascii="Arial" w:hAnsi="Arial" w:cs="Arial"/>
          <w:color w:val="000000"/>
          <w:sz w:val="20"/>
          <w:szCs w:val="20"/>
          <w:u w:val="single"/>
        </w:rPr>
      </w:pPr>
    </w:p>
    <w:p w14:paraId="0F599B8D" w14:textId="5F7CC26A" w:rsidR="001E6C66" w:rsidRPr="002D2F67" w:rsidRDefault="001E6C66" w:rsidP="005611FE">
      <w:pPr>
        <w:ind w:left="539"/>
        <w:rPr>
          <w:rFonts w:ascii="Arial" w:hAnsi="Arial" w:cs="Arial"/>
          <w:b/>
          <w:bCs/>
          <w:color w:val="000000"/>
          <w:sz w:val="20"/>
          <w:szCs w:val="20"/>
          <w:u w:val="single"/>
        </w:rPr>
      </w:pPr>
      <w:r w:rsidRPr="002D2F67">
        <w:rPr>
          <w:rFonts w:ascii="Arial" w:hAnsi="Arial" w:cs="Arial"/>
          <w:color w:val="000000"/>
          <w:sz w:val="20"/>
          <w:szCs w:val="20"/>
          <w:u w:val="single"/>
        </w:rPr>
        <w:t>Short-term loans</w:t>
      </w:r>
    </w:p>
    <w:p w14:paraId="7BB12F02" w14:textId="77777777" w:rsidR="001E6C66" w:rsidRPr="002D2F67" w:rsidRDefault="001E6C66" w:rsidP="005611FE">
      <w:pPr>
        <w:ind w:left="540"/>
        <w:jc w:val="both"/>
        <w:rPr>
          <w:rFonts w:ascii="Arial" w:hAnsi="Arial" w:cs="Arial"/>
          <w:color w:val="000000"/>
          <w:sz w:val="20"/>
          <w:szCs w:val="20"/>
          <w:u w:val="single"/>
        </w:rPr>
      </w:pPr>
    </w:p>
    <w:p w14:paraId="5765682B" w14:textId="41616F5B" w:rsidR="001E6C66" w:rsidRPr="002D2F67" w:rsidRDefault="001E6C66" w:rsidP="005611FE">
      <w:pPr>
        <w:ind w:left="540"/>
        <w:jc w:val="both"/>
        <w:rPr>
          <w:rFonts w:ascii="Arial" w:hAnsi="Arial" w:cs="Arial"/>
          <w:color w:val="000000"/>
          <w:spacing w:val="-6"/>
          <w:sz w:val="20"/>
          <w:szCs w:val="20"/>
        </w:rPr>
      </w:pPr>
      <w:r w:rsidRPr="002D2F67">
        <w:rPr>
          <w:rFonts w:ascii="Arial" w:hAnsi="Arial" w:cs="Arial"/>
          <w:color w:val="000000"/>
          <w:spacing w:val="4"/>
          <w:sz w:val="20"/>
          <w:szCs w:val="20"/>
        </w:rPr>
        <w:t xml:space="preserve">As </w:t>
      </w:r>
      <w:proofErr w:type="gramStart"/>
      <w:r w:rsidRPr="002D2F67">
        <w:rPr>
          <w:rFonts w:ascii="Arial" w:hAnsi="Arial" w:cs="Arial"/>
          <w:color w:val="000000"/>
          <w:spacing w:val="4"/>
          <w:sz w:val="20"/>
          <w:szCs w:val="20"/>
        </w:rPr>
        <w:t>at</w:t>
      </w:r>
      <w:proofErr w:type="gramEnd"/>
      <w:r w:rsidRPr="002D2F67">
        <w:rPr>
          <w:rFonts w:ascii="Arial" w:hAnsi="Arial" w:cs="Arial"/>
          <w:color w:val="000000"/>
          <w:spacing w:val="4"/>
          <w:sz w:val="20"/>
          <w:szCs w:val="20"/>
        </w:rPr>
        <w:t xml:space="preserve"> </w:t>
      </w:r>
      <w:r w:rsidR="00CD5714" w:rsidRPr="00CD5714">
        <w:rPr>
          <w:rFonts w:ascii="Arial" w:hAnsi="Arial" w:cs="Arial"/>
          <w:color w:val="000000"/>
          <w:spacing w:val="4"/>
          <w:sz w:val="20"/>
          <w:szCs w:val="20"/>
          <w:lang w:val="en-GB"/>
        </w:rPr>
        <w:t>31</w:t>
      </w:r>
      <w:r w:rsidRPr="002D2F67">
        <w:rPr>
          <w:rFonts w:ascii="Arial" w:hAnsi="Arial" w:cs="Arial"/>
          <w:color w:val="000000"/>
          <w:spacing w:val="4"/>
          <w:sz w:val="20"/>
          <w:szCs w:val="20"/>
        </w:rPr>
        <w:t xml:space="preserve"> December </w:t>
      </w:r>
      <w:r w:rsidR="00CD5714" w:rsidRPr="00CD5714">
        <w:rPr>
          <w:rFonts w:ascii="Arial" w:hAnsi="Arial" w:cs="Arial"/>
          <w:color w:val="000000"/>
          <w:spacing w:val="4"/>
          <w:sz w:val="20"/>
          <w:szCs w:val="20"/>
          <w:lang w:val="en-GB"/>
        </w:rPr>
        <w:t>2024</w:t>
      </w:r>
      <w:r w:rsidRPr="002D2F67">
        <w:rPr>
          <w:rFonts w:ascii="Arial" w:hAnsi="Arial" w:cs="Arial"/>
          <w:color w:val="000000"/>
          <w:spacing w:val="4"/>
          <w:sz w:val="20"/>
          <w:szCs w:val="20"/>
        </w:rPr>
        <w:t xml:space="preserve">, the Group had short-term loans </w:t>
      </w:r>
      <w:r w:rsidR="00FB21F8">
        <w:rPr>
          <w:rFonts w:ascii="Arial" w:hAnsi="Arial" w:cs="Arial"/>
          <w:color w:val="000000"/>
          <w:spacing w:val="4"/>
          <w:sz w:val="20"/>
          <w:szCs w:val="20"/>
        </w:rPr>
        <w:t>from a related person</w:t>
      </w:r>
      <w:r w:rsidRPr="002D2F67">
        <w:rPr>
          <w:rFonts w:ascii="Arial" w:hAnsi="Arial" w:cs="Arial"/>
          <w:color w:val="000000"/>
          <w:spacing w:val="4"/>
          <w:sz w:val="20"/>
          <w:szCs w:val="20"/>
        </w:rPr>
        <w:t xml:space="preserve"> amounting to Baht </w:t>
      </w:r>
      <w:r w:rsidR="00CD5714" w:rsidRPr="00CD5714">
        <w:rPr>
          <w:rFonts w:ascii="Arial" w:hAnsi="Arial" w:cs="Arial"/>
          <w:color w:val="000000"/>
          <w:spacing w:val="4"/>
          <w:sz w:val="20"/>
          <w:szCs w:val="20"/>
          <w:lang w:val="en-GB"/>
        </w:rPr>
        <w:t>900</w:t>
      </w:r>
      <w:r w:rsidR="000B0271" w:rsidRPr="002D2F67">
        <w:rPr>
          <w:rFonts w:ascii="Arial" w:hAnsi="Arial" w:cs="Arial"/>
          <w:color w:val="000000"/>
          <w:spacing w:val="4"/>
          <w:sz w:val="20"/>
          <w:szCs w:val="20"/>
        </w:rPr>
        <w:t xml:space="preserve"> </w:t>
      </w:r>
      <w:r w:rsidRPr="002D2F67">
        <w:rPr>
          <w:rFonts w:ascii="Arial" w:hAnsi="Arial" w:cs="Arial"/>
          <w:color w:val="000000"/>
          <w:spacing w:val="-6"/>
          <w:sz w:val="20"/>
          <w:szCs w:val="20"/>
        </w:rPr>
        <w:t xml:space="preserve">million. The short-term loans bore fixed interest </w:t>
      </w:r>
      <w:r w:rsidR="00AD4283" w:rsidRPr="002D2F67">
        <w:rPr>
          <w:rFonts w:ascii="Arial" w:hAnsi="Arial" w:cs="Arial"/>
          <w:color w:val="000000"/>
          <w:spacing w:val="-6"/>
          <w:sz w:val="20"/>
          <w:szCs w:val="20"/>
        </w:rPr>
        <w:t xml:space="preserve">at </w:t>
      </w:r>
      <w:r w:rsidR="00CD5714" w:rsidRPr="00CD5714">
        <w:rPr>
          <w:rFonts w:ascii="Arial" w:hAnsi="Arial" w:cs="Arial"/>
          <w:color w:val="000000"/>
          <w:spacing w:val="-6"/>
          <w:sz w:val="20"/>
          <w:szCs w:val="20"/>
          <w:lang w:val="en-GB"/>
        </w:rPr>
        <w:t>4</w:t>
      </w:r>
      <w:r w:rsidR="00AD4283" w:rsidRPr="002D2F67">
        <w:rPr>
          <w:rFonts w:ascii="Arial" w:hAnsi="Arial" w:cs="Arial"/>
          <w:color w:val="000000"/>
          <w:spacing w:val="-6"/>
          <w:sz w:val="20"/>
          <w:szCs w:val="20"/>
        </w:rPr>
        <w:t>.</w:t>
      </w:r>
      <w:r w:rsidR="00CD5714" w:rsidRPr="00CD5714">
        <w:rPr>
          <w:rFonts w:ascii="Arial" w:hAnsi="Arial" w:cs="Arial"/>
          <w:color w:val="000000"/>
          <w:spacing w:val="-6"/>
          <w:sz w:val="20"/>
          <w:szCs w:val="20"/>
          <w:lang w:val="en-GB"/>
        </w:rPr>
        <w:t>50</w:t>
      </w:r>
      <w:r w:rsidRPr="002D2F67">
        <w:rPr>
          <w:rFonts w:ascii="Arial" w:hAnsi="Arial" w:cs="Arial"/>
          <w:color w:val="000000"/>
          <w:spacing w:val="-6"/>
          <w:sz w:val="20"/>
          <w:szCs w:val="20"/>
        </w:rPr>
        <w:t>% per annum (</w:t>
      </w:r>
      <w:r w:rsidR="00CD5714" w:rsidRPr="00CD5714">
        <w:rPr>
          <w:rFonts w:ascii="Arial" w:hAnsi="Arial" w:cs="Arial"/>
          <w:color w:val="000000"/>
          <w:spacing w:val="-6"/>
          <w:sz w:val="20"/>
          <w:szCs w:val="20"/>
          <w:lang w:val="en-GB"/>
        </w:rPr>
        <w:t>31</w:t>
      </w:r>
      <w:r w:rsidRPr="002D2F67">
        <w:rPr>
          <w:rFonts w:ascii="Arial" w:hAnsi="Arial" w:cs="Arial"/>
          <w:color w:val="000000"/>
          <w:spacing w:val="-6"/>
          <w:sz w:val="20"/>
          <w:szCs w:val="20"/>
        </w:rPr>
        <w:t xml:space="preserve"> Decembe</w:t>
      </w:r>
      <w:r w:rsidRPr="002D2F67">
        <w:rPr>
          <w:rFonts w:ascii="Arial" w:hAnsi="Arial" w:cs="Arial"/>
          <w:color w:val="000000"/>
          <w:spacing w:val="4"/>
          <w:sz w:val="20"/>
          <w:szCs w:val="20"/>
        </w:rPr>
        <w:t xml:space="preserve">r </w:t>
      </w:r>
      <w:r w:rsidR="00CD5714" w:rsidRPr="00CD5714">
        <w:rPr>
          <w:rFonts w:ascii="Arial" w:hAnsi="Arial" w:cs="Arial"/>
          <w:color w:val="000000"/>
          <w:spacing w:val="-4"/>
          <w:sz w:val="20"/>
          <w:szCs w:val="20"/>
          <w:lang w:val="en-GB"/>
        </w:rPr>
        <w:t>2023</w:t>
      </w:r>
      <w:r w:rsidRPr="002D2F67">
        <w:rPr>
          <w:rFonts w:ascii="Arial" w:hAnsi="Arial" w:cs="Arial"/>
          <w:color w:val="000000"/>
          <w:spacing w:val="-4"/>
          <w:sz w:val="20"/>
          <w:szCs w:val="20"/>
        </w:rPr>
        <w:t xml:space="preserve">: </w:t>
      </w:r>
      <w:r w:rsidR="008647A6" w:rsidRPr="002D2F67">
        <w:rPr>
          <w:rFonts w:ascii="Arial" w:hAnsi="Arial" w:cs="Arial"/>
          <w:color w:val="000000"/>
          <w:spacing w:val="-4"/>
          <w:sz w:val="20"/>
          <w:szCs w:val="20"/>
        </w:rPr>
        <w:t xml:space="preserve">the Group had short-term loans from an associate amounting to Baht </w:t>
      </w:r>
      <w:r w:rsidR="00CD5714" w:rsidRPr="00CD5714">
        <w:rPr>
          <w:rFonts w:ascii="Arial" w:hAnsi="Arial" w:cs="Arial"/>
          <w:color w:val="000000"/>
          <w:spacing w:val="-4"/>
          <w:sz w:val="20"/>
          <w:szCs w:val="20"/>
          <w:lang w:val="en-GB"/>
        </w:rPr>
        <w:t>435</w:t>
      </w:r>
      <w:r w:rsidR="008647A6" w:rsidRPr="002D2F67">
        <w:rPr>
          <w:rFonts w:ascii="Arial" w:hAnsi="Arial" w:cs="Arial"/>
          <w:color w:val="000000"/>
          <w:spacing w:val="-4"/>
          <w:sz w:val="20"/>
          <w:szCs w:val="20"/>
        </w:rPr>
        <w:t xml:space="preserve"> million. The short-term</w:t>
      </w:r>
      <w:r w:rsidR="008647A6" w:rsidRPr="002D2F67">
        <w:rPr>
          <w:rFonts w:ascii="Arial" w:hAnsi="Arial" w:cs="Arial"/>
          <w:color w:val="000000"/>
          <w:spacing w:val="-6"/>
          <w:sz w:val="20"/>
          <w:szCs w:val="20"/>
        </w:rPr>
        <w:t xml:space="preserve"> </w:t>
      </w:r>
      <w:r w:rsidR="008647A6" w:rsidRPr="002D2F67">
        <w:rPr>
          <w:rFonts w:ascii="Arial" w:hAnsi="Arial" w:cs="Arial"/>
          <w:color w:val="000000"/>
          <w:spacing w:val="-4"/>
          <w:sz w:val="20"/>
          <w:szCs w:val="20"/>
        </w:rPr>
        <w:t xml:space="preserve">loans bore fixed interest between </w:t>
      </w:r>
      <w:r w:rsidR="00CD5714" w:rsidRPr="00CD5714">
        <w:rPr>
          <w:rFonts w:ascii="Arial" w:hAnsi="Arial" w:cs="Arial"/>
          <w:color w:val="000000"/>
          <w:spacing w:val="-4"/>
          <w:sz w:val="20"/>
          <w:szCs w:val="20"/>
          <w:lang w:val="en-GB"/>
        </w:rPr>
        <w:t>2</w:t>
      </w:r>
      <w:r w:rsidR="008647A6"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51</w:t>
      </w:r>
      <w:r w:rsidR="008647A6" w:rsidRPr="002D2F67">
        <w:rPr>
          <w:rFonts w:ascii="Arial" w:hAnsi="Arial" w:cs="Arial"/>
          <w:color w:val="000000"/>
          <w:spacing w:val="-4"/>
          <w:sz w:val="20"/>
          <w:szCs w:val="20"/>
        </w:rPr>
        <w:t xml:space="preserve">% and </w:t>
      </w:r>
      <w:r w:rsidR="00CD5714" w:rsidRPr="00CD5714">
        <w:rPr>
          <w:rFonts w:ascii="Arial" w:hAnsi="Arial" w:cs="Arial"/>
          <w:color w:val="000000"/>
          <w:spacing w:val="-4"/>
          <w:sz w:val="20"/>
          <w:szCs w:val="20"/>
          <w:lang w:val="en-GB"/>
        </w:rPr>
        <w:t>3</w:t>
      </w:r>
      <w:r w:rsidR="008647A6"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11</w:t>
      </w:r>
      <w:r w:rsidR="008647A6" w:rsidRPr="002D2F67">
        <w:rPr>
          <w:rFonts w:ascii="Arial" w:hAnsi="Arial" w:cs="Arial"/>
          <w:color w:val="000000"/>
          <w:spacing w:val="-4"/>
          <w:sz w:val="20"/>
          <w:szCs w:val="20"/>
        </w:rPr>
        <w:t>% per annum</w:t>
      </w:r>
      <w:r w:rsidRPr="002D2F67">
        <w:rPr>
          <w:rFonts w:ascii="Arial" w:hAnsi="Arial" w:cs="Arial"/>
          <w:color w:val="000000"/>
          <w:spacing w:val="-4"/>
          <w:sz w:val="20"/>
          <w:szCs w:val="20"/>
        </w:rPr>
        <w:t>), and the Company had short-term loans</w:t>
      </w:r>
      <w:r w:rsidRPr="002D2F67">
        <w:rPr>
          <w:rFonts w:ascii="Arial" w:hAnsi="Arial" w:cs="Arial"/>
          <w:color w:val="000000"/>
          <w:spacing w:val="4"/>
          <w:sz w:val="20"/>
          <w:szCs w:val="20"/>
        </w:rPr>
        <w:t xml:space="preserve"> from related parties amounting to Baht </w:t>
      </w:r>
      <w:r w:rsidR="00CD5714" w:rsidRPr="00CD5714">
        <w:rPr>
          <w:rFonts w:ascii="Arial" w:hAnsi="Arial" w:cs="Arial"/>
          <w:color w:val="000000"/>
          <w:spacing w:val="4"/>
          <w:sz w:val="20"/>
          <w:szCs w:val="20"/>
          <w:lang w:val="en-GB"/>
        </w:rPr>
        <w:t>4</w:t>
      </w:r>
      <w:r w:rsidR="00311CDC"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644</w:t>
      </w:r>
      <w:r w:rsidR="000207FB" w:rsidRPr="002D2F67">
        <w:rPr>
          <w:rFonts w:ascii="Arial" w:hAnsi="Arial" w:cs="Arial"/>
          <w:color w:val="000000"/>
          <w:spacing w:val="4"/>
          <w:sz w:val="20"/>
          <w:szCs w:val="20"/>
        </w:rPr>
        <w:t xml:space="preserve"> </w:t>
      </w:r>
      <w:r w:rsidRPr="002D2F67">
        <w:rPr>
          <w:rFonts w:ascii="Arial" w:hAnsi="Arial" w:cs="Arial"/>
          <w:color w:val="000000"/>
          <w:spacing w:val="-6"/>
          <w:sz w:val="20"/>
          <w:szCs w:val="20"/>
        </w:rPr>
        <w:t>million.</w:t>
      </w:r>
      <w:r w:rsidR="005E3A1C" w:rsidRPr="002D2F67">
        <w:rPr>
          <w:rFonts w:ascii="Arial" w:hAnsi="Arial" w:cs="Arial"/>
          <w:color w:val="000000"/>
          <w:spacing w:val="-6"/>
          <w:sz w:val="20"/>
          <w:szCs w:val="20"/>
        </w:rPr>
        <w:t xml:space="preserve"> </w:t>
      </w:r>
      <w:r w:rsidRPr="002D2F67">
        <w:rPr>
          <w:rFonts w:ascii="Arial" w:hAnsi="Arial" w:cs="Arial"/>
          <w:color w:val="000000"/>
          <w:spacing w:val="-6"/>
          <w:sz w:val="20"/>
          <w:szCs w:val="20"/>
        </w:rPr>
        <w:t xml:space="preserve">The short-term loans bore fixed interest between </w:t>
      </w:r>
      <w:r w:rsidR="00CD5714" w:rsidRPr="00CD5714">
        <w:rPr>
          <w:rFonts w:ascii="Arial" w:hAnsi="Arial" w:cs="Arial"/>
          <w:color w:val="000000"/>
          <w:spacing w:val="4"/>
          <w:sz w:val="20"/>
          <w:szCs w:val="20"/>
          <w:lang w:val="en-GB"/>
        </w:rPr>
        <w:t>0</w:t>
      </w:r>
      <w:r w:rsidR="00311CDC"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35</w:t>
      </w:r>
      <w:r w:rsidRPr="002D2F67">
        <w:rPr>
          <w:rFonts w:ascii="Arial" w:hAnsi="Arial" w:cs="Arial"/>
          <w:color w:val="000000"/>
          <w:spacing w:val="-6"/>
          <w:sz w:val="20"/>
          <w:szCs w:val="20"/>
        </w:rPr>
        <w:t xml:space="preserve">% and </w:t>
      </w:r>
      <w:r w:rsidR="00CD5714" w:rsidRPr="00CD5714">
        <w:rPr>
          <w:rFonts w:ascii="Arial" w:hAnsi="Arial" w:cs="Arial"/>
          <w:color w:val="000000"/>
          <w:spacing w:val="4"/>
          <w:sz w:val="20"/>
          <w:szCs w:val="20"/>
          <w:lang w:val="en-GB"/>
        </w:rPr>
        <w:t>5</w:t>
      </w:r>
      <w:r w:rsidR="00070600"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70</w:t>
      </w:r>
      <w:r w:rsidRPr="002D2F67">
        <w:rPr>
          <w:rFonts w:ascii="Arial" w:hAnsi="Arial" w:cs="Arial"/>
          <w:color w:val="000000"/>
          <w:spacing w:val="-6"/>
          <w:sz w:val="20"/>
          <w:szCs w:val="20"/>
        </w:rPr>
        <w:t>% per annum.</w:t>
      </w:r>
      <w:r w:rsidR="005E3A1C" w:rsidRPr="002D2F67">
        <w:rPr>
          <w:rFonts w:ascii="Arial" w:hAnsi="Arial" w:cs="Arial"/>
          <w:color w:val="000000"/>
          <w:spacing w:val="-6"/>
          <w:sz w:val="20"/>
          <w:szCs w:val="20"/>
        </w:rPr>
        <w:t xml:space="preserve"> </w:t>
      </w:r>
      <w:r w:rsidRPr="002D2F67">
        <w:rPr>
          <w:rFonts w:ascii="Arial" w:hAnsi="Arial" w:cs="Arial"/>
          <w:color w:val="000000"/>
          <w:spacing w:val="-6"/>
          <w:sz w:val="20"/>
          <w:szCs w:val="20"/>
        </w:rPr>
        <w:t>(</w:t>
      </w:r>
      <w:r w:rsidR="00CD5714" w:rsidRPr="00CD5714">
        <w:rPr>
          <w:rFonts w:ascii="Arial" w:hAnsi="Arial" w:cs="Arial"/>
          <w:color w:val="000000"/>
          <w:spacing w:val="-6"/>
          <w:sz w:val="20"/>
          <w:szCs w:val="20"/>
          <w:lang w:val="en-GB"/>
        </w:rPr>
        <w:t>31</w:t>
      </w:r>
      <w:r w:rsidRPr="002D2F67">
        <w:rPr>
          <w:rFonts w:ascii="Arial" w:hAnsi="Arial" w:cs="Arial"/>
          <w:color w:val="000000"/>
          <w:spacing w:val="-6"/>
          <w:sz w:val="20"/>
          <w:szCs w:val="20"/>
        </w:rPr>
        <w:t xml:space="preserve"> December </w:t>
      </w:r>
      <w:r w:rsidR="00CD5714" w:rsidRPr="00CD5714">
        <w:rPr>
          <w:rFonts w:ascii="Arial" w:hAnsi="Arial" w:cs="Arial"/>
          <w:color w:val="000000"/>
          <w:spacing w:val="-6"/>
          <w:sz w:val="20"/>
          <w:szCs w:val="20"/>
          <w:lang w:val="en-GB"/>
        </w:rPr>
        <w:t>2023</w:t>
      </w:r>
      <w:r w:rsidR="000072CB" w:rsidRPr="002D2F67">
        <w:rPr>
          <w:rFonts w:ascii="Arial" w:hAnsi="Arial" w:cs="Arial"/>
          <w:color w:val="000000"/>
          <w:spacing w:val="-6"/>
          <w:sz w:val="20"/>
          <w:szCs w:val="20"/>
        </w:rPr>
        <w:t>:</w:t>
      </w:r>
      <w:r w:rsidRPr="002D2F67">
        <w:rPr>
          <w:rFonts w:ascii="Arial" w:hAnsi="Arial" w:cs="Arial"/>
          <w:color w:val="000000"/>
          <w:spacing w:val="-6"/>
          <w:sz w:val="20"/>
          <w:szCs w:val="20"/>
        </w:rPr>
        <w:t xml:space="preserve"> Baht </w:t>
      </w:r>
      <w:r w:rsidR="00CD5714" w:rsidRPr="00CD5714">
        <w:rPr>
          <w:rFonts w:ascii="Arial" w:hAnsi="Arial" w:cs="Arial"/>
          <w:color w:val="000000"/>
          <w:spacing w:val="4"/>
          <w:sz w:val="20"/>
          <w:szCs w:val="20"/>
          <w:lang w:val="en-GB"/>
        </w:rPr>
        <w:t>706</w:t>
      </w:r>
      <w:r w:rsidR="001300FD" w:rsidRPr="002D2F67">
        <w:rPr>
          <w:rFonts w:ascii="Arial" w:hAnsi="Arial" w:cs="Arial"/>
          <w:color w:val="000000"/>
          <w:spacing w:val="4"/>
          <w:sz w:val="20"/>
          <w:szCs w:val="20"/>
        </w:rPr>
        <w:t xml:space="preserve"> </w:t>
      </w:r>
      <w:r w:rsidR="000207FB" w:rsidRPr="002D2F67">
        <w:rPr>
          <w:rFonts w:ascii="Arial" w:hAnsi="Arial" w:cs="Arial"/>
          <w:color w:val="000000"/>
          <w:spacing w:val="-6"/>
          <w:sz w:val="20"/>
          <w:szCs w:val="20"/>
        </w:rPr>
        <w:t xml:space="preserve">million. The short-term loans bore </w:t>
      </w:r>
      <w:r w:rsidR="000207FB" w:rsidRPr="002D2F67">
        <w:rPr>
          <w:rFonts w:ascii="Arial" w:hAnsi="Arial" w:cs="Arial"/>
          <w:color w:val="000000"/>
          <w:spacing w:val="-8"/>
          <w:sz w:val="20"/>
          <w:szCs w:val="20"/>
        </w:rPr>
        <w:t xml:space="preserve">fixed interest between </w:t>
      </w:r>
      <w:r w:rsidR="00CD5714" w:rsidRPr="00CD5714">
        <w:rPr>
          <w:rFonts w:ascii="Arial" w:hAnsi="Arial" w:cs="Arial"/>
          <w:color w:val="000000"/>
          <w:spacing w:val="4"/>
          <w:sz w:val="20"/>
          <w:szCs w:val="20"/>
          <w:lang w:val="en-GB"/>
        </w:rPr>
        <w:t>0</w:t>
      </w:r>
      <w:r w:rsidR="008647A6"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45</w:t>
      </w:r>
      <w:r w:rsidR="008647A6" w:rsidRPr="002D2F67">
        <w:rPr>
          <w:rFonts w:ascii="Arial" w:hAnsi="Arial" w:cs="Arial"/>
          <w:color w:val="000000"/>
          <w:spacing w:val="-6"/>
          <w:sz w:val="20"/>
          <w:szCs w:val="20"/>
        </w:rPr>
        <w:t xml:space="preserve">% and </w:t>
      </w:r>
      <w:r w:rsidR="00CD5714" w:rsidRPr="00CD5714">
        <w:rPr>
          <w:rFonts w:ascii="Arial" w:hAnsi="Arial" w:cs="Arial"/>
          <w:color w:val="000000"/>
          <w:spacing w:val="4"/>
          <w:sz w:val="20"/>
          <w:szCs w:val="20"/>
          <w:lang w:val="en-GB"/>
        </w:rPr>
        <w:t>1</w:t>
      </w:r>
      <w:r w:rsidR="008647A6"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25</w:t>
      </w:r>
      <w:r w:rsidR="008647A6" w:rsidRPr="002D2F67">
        <w:rPr>
          <w:rFonts w:ascii="Arial" w:hAnsi="Arial" w:cs="Arial"/>
          <w:color w:val="000000"/>
          <w:spacing w:val="-6"/>
          <w:sz w:val="20"/>
          <w:szCs w:val="20"/>
        </w:rPr>
        <w:t xml:space="preserve">% </w:t>
      </w:r>
      <w:r w:rsidR="000207FB" w:rsidRPr="002D2F67">
        <w:rPr>
          <w:rFonts w:ascii="Arial" w:hAnsi="Arial" w:cs="Arial"/>
          <w:color w:val="000000"/>
          <w:spacing w:val="-8"/>
          <w:sz w:val="20"/>
          <w:szCs w:val="20"/>
        </w:rPr>
        <w:t>per annum</w:t>
      </w:r>
      <w:r w:rsidRPr="002D2F67">
        <w:rPr>
          <w:rFonts w:ascii="Arial" w:hAnsi="Arial" w:cs="Arial"/>
          <w:color w:val="000000"/>
          <w:spacing w:val="-8"/>
          <w:sz w:val="20"/>
          <w:szCs w:val="20"/>
        </w:rPr>
        <w:t xml:space="preserve">). The terms of principle repayment of loans are </w:t>
      </w:r>
      <w:r w:rsidR="00ED587A" w:rsidRPr="002D2F67">
        <w:rPr>
          <w:rFonts w:ascii="Arial" w:hAnsi="Arial" w:cs="Arial"/>
          <w:color w:val="000000"/>
          <w:spacing w:val="-8"/>
          <w:sz w:val="20"/>
          <w:szCs w:val="20"/>
        </w:rPr>
        <w:t xml:space="preserve">specific schedules and </w:t>
      </w:r>
      <w:r w:rsidRPr="002D2F67">
        <w:rPr>
          <w:rFonts w:ascii="Arial" w:hAnsi="Arial" w:cs="Arial"/>
          <w:color w:val="000000"/>
          <w:spacing w:val="-8"/>
          <w:sz w:val="20"/>
          <w:szCs w:val="20"/>
        </w:rPr>
        <w:t>at call</w:t>
      </w:r>
      <w:r w:rsidRPr="002D2F67">
        <w:rPr>
          <w:rFonts w:ascii="Arial" w:hAnsi="Arial" w:cs="Arial"/>
          <w:color w:val="000000"/>
          <w:spacing w:val="-6"/>
          <w:sz w:val="20"/>
          <w:szCs w:val="20"/>
        </w:rPr>
        <w:t xml:space="preserve">. </w:t>
      </w:r>
      <w:r w:rsidR="001224D7">
        <w:rPr>
          <w:rFonts w:ascii="Arial" w:hAnsi="Arial" w:cs="Arial"/>
          <w:color w:val="000000"/>
          <w:spacing w:val="-6"/>
          <w:sz w:val="20"/>
          <w:szCs w:val="20"/>
        </w:rPr>
        <w:t>These</w:t>
      </w:r>
      <w:r w:rsidRPr="002D2F67">
        <w:rPr>
          <w:rFonts w:ascii="Arial" w:hAnsi="Arial" w:cs="Arial"/>
          <w:color w:val="000000"/>
          <w:spacing w:val="-6"/>
          <w:sz w:val="20"/>
          <w:szCs w:val="20"/>
        </w:rPr>
        <w:t xml:space="preserve"> short-term loans are unsecured.</w:t>
      </w:r>
    </w:p>
    <w:p w14:paraId="004C4392" w14:textId="54A4B394" w:rsidR="483ABB19" w:rsidRPr="002D2F67" w:rsidRDefault="00AB5B46" w:rsidP="005611FE">
      <w:pPr>
        <w:ind w:left="540"/>
        <w:jc w:val="both"/>
        <w:rPr>
          <w:rFonts w:ascii="Arial" w:hAnsi="Arial" w:cs="Arial"/>
          <w:color w:val="000000"/>
          <w:sz w:val="20"/>
          <w:szCs w:val="20"/>
        </w:rPr>
      </w:pPr>
      <w:r w:rsidRPr="002D2F67">
        <w:rPr>
          <w:rFonts w:ascii="Arial" w:hAnsi="Arial" w:cs="Arial"/>
          <w:color w:val="000000"/>
          <w:sz w:val="20"/>
          <w:szCs w:val="20"/>
          <w:cs/>
        </w:rPr>
        <w:br w:type="page"/>
      </w:r>
    </w:p>
    <w:p w14:paraId="6715F495" w14:textId="61342699" w:rsidR="001E6C66" w:rsidRPr="002D2F67" w:rsidRDefault="001E6C66" w:rsidP="005611FE">
      <w:pPr>
        <w:ind w:left="540"/>
        <w:jc w:val="thaiDistribute"/>
        <w:rPr>
          <w:rFonts w:ascii="Arial" w:hAnsi="Arial" w:cs="Arial"/>
          <w:color w:val="000000"/>
          <w:sz w:val="20"/>
          <w:szCs w:val="20"/>
        </w:rPr>
      </w:pPr>
      <w:r w:rsidRPr="002D2F67">
        <w:rPr>
          <w:rFonts w:ascii="Arial" w:hAnsi="Arial" w:cs="Arial"/>
          <w:color w:val="000000"/>
          <w:sz w:val="20"/>
          <w:szCs w:val="20"/>
        </w:rPr>
        <w:t>The movement of short-term loans from related parties can be analysed as follows:</w:t>
      </w:r>
    </w:p>
    <w:p w14:paraId="5054EB71" w14:textId="77777777" w:rsidR="001E6C66" w:rsidRPr="002D2F67" w:rsidRDefault="001E6C66" w:rsidP="005611FE">
      <w:pPr>
        <w:ind w:left="540"/>
        <w:jc w:val="thaiDistribute"/>
        <w:rPr>
          <w:rFonts w:ascii="Arial" w:hAnsi="Arial" w:cs="Arial"/>
          <w:color w:val="000000"/>
          <w:sz w:val="20"/>
          <w:szCs w:val="20"/>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1E6C66" w:rsidRPr="002D2F67" w14:paraId="1C1C3DFB" w14:textId="77777777" w:rsidTr="008255E8">
        <w:tc>
          <w:tcPr>
            <w:tcW w:w="3690" w:type="dxa"/>
            <w:shd w:val="clear" w:color="auto" w:fill="auto"/>
          </w:tcPr>
          <w:p w14:paraId="64D93CCB" w14:textId="77777777" w:rsidR="001E6C66" w:rsidRPr="002D2F67" w:rsidRDefault="001E6C66" w:rsidP="005611FE">
            <w:pPr>
              <w:ind w:left="447" w:right="-72"/>
              <w:rPr>
                <w:rFonts w:ascii="Arial" w:hAnsi="Arial" w:cs="Arial"/>
                <w:b/>
                <w:bCs/>
                <w:color w:val="000000"/>
                <w:sz w:val="20"/>
                <w:szCs w:val="20"/>
              </w:rPr>
            </w:pPr>
          </w:p>
        </w:tc>
        <w:tc>
          <w:tcPr>
            <w:tcW w:w="2880" w:type="dxa"/>
            <w:gridSpan w:val="2"/>
            <w:tcBorders>
              <w:bottom w:val="single" w:sz="4" w:space="0" w:color="auto"/>
            </w:tcBorders>
            <w:shd w:val="clear" w:color="auto" w:fill="auto"/>
          </w:tcPr>
          <w:p w14:paraId="7CFE236A"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3CA19A63"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2880" w:type="dxa"/>
            <w:gridSpan w:val="2"/>
            <w:tcBorders>
              <w:bottom w:val="single" w:sz="4" w:space="0" w:color="auto"/>
            </w:tcBorders>
            <w:shd w:val="clear" w:color="auto" w:fill="auto"/>
          </w:tcPr>
          <w:p w14:paraId="1EAC8BA1"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Separate </w:t>
            </w:r>
          </w:p>
          <w:p w14:paraId="5C7553C9"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B83FCE" w:rsidRPr="002D2F67" w14:paraId="26C79F42" w14:textId="77777777" w:rsidTr="005611FE">
        <w:tc>
          <w:tcPr>
            <w:tcW w:w="3690" w:type="dxa"/>
            <w:shd w:val="clear" w:color="auto" w:fill="auto"/>
          </w:tcPr>
          <w:p w14:paraId="0282989C" w14:textId="3E2AA525" w:rsidR="00B83FCE" w:rsidRPr="002D2F67" w:rsidRDefault="00B83FCE" w:rsidP="005611FE">
            <w:pPr>
              <w:tabs>
                <w:tab w:val="left" w:pos="1134"/>
                <w:tab w:val="left" w:pos="1276"/>
                <w:tab w:val="center" w:pos="3402"/>
                <w:tab w:val="center" w:pos="4536"/>
                <w:tab w:val="center" w:pos="5670"/>
                <w:tab w:val="center" w:pos="6804"/>
                <w:tab w:val="right" w:pos="7655"/>
              </w:tabs>
              <w:ind w:left="447" w:right="-72"/>
              <w:rPr>
                <w:rFonts w:ascii="Arial" w:hAnsi="Arial" w:cs="Arial"/>
                <w:color w:val="000000"/>
                <w:spacing w:val="-4"/>
                <w:sz w:val="20"/>
                <w:szCs w:val="20"/>
              </w:rPr>
            </w:pPr>
            <w:r w:rsidRPr="002D2F67">
              <w:rPr>
                <w:rFonts w:ascii="Arial" w:hAnsi="Arial" w:cs="Arial"/>
                <w:b/>
                <w:bCs/>
                <w:color w:val="000000"/>
                <w:spacing w:val="-4"/>
                <w:sz w:val="20"/>
                <w:szCs w:val="20"/>
              </w:rPr>
              <w:t xml:space="preserve">For the years ended </w:t>
            </w:r>
            <w:r w:rsidR="00CD5714" w:rsidRPr="00CD5714">
              <w:rPr>
                <w:rFonts w:ascii="Arial" w:hAnsi="Arial" w:cs="Arial"/>
                <w:b/>
                <w:bCs/>
                <w:color w:val="000000"/>
                <w:spacing w:val="-4"/>
                <w:sz w:val="20"/>
                <w:szCs w:val="20"/>
                <w:lang w:val="en-GB"/>
              </w:rPr>
              <w:t>31</w:t>
            </w:r>
            <w:r w:rsidRPr="002D2F67">
              <w:rPr>
                <w:rFonts w:ascii="Arial" w:hAnsi="Arial" w:cs="Arial"/>
                <w:b/>
                <w:bCs/>
                <w:color w:val="000000"/>
                <w:spacing w:val="-4"/>
                <w:sz w:val="20"/>
                <w:szCs w:val="20"/>
              </w:rPr>
              <w:t xml:space="preserve"> December</w:t>
            </w:r>
          </w:p>
        </w:tc>
        <w:tc>
          <w:tcPr>
            <w:tcW w:w="1440" w:type="dxa"/>
            <w:shd w:val="clear" w:color="auto" w:fill="auto"/>
          </w:tcPr>
          <w:p w14:paraId="672544A7" w14:textId="030ABACD" w:rsidR="00B83FCE"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40" w:type="dxa"/>
            <w:shd w:val="clear" w:color="auto" w:fill="auto"/>
          </w:tcPr>
          <w:p w14:paraId="1BC7AC6A" w14:textId="13CE65C9" w:rsidR="00B83FCE"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2023</w:t>
            </w:r>
          </w:p>
        </w:tc>
        <w:tc>
          <w:tcPr>
            <w:tcW w:w="1440" w:type="dxa"/>
            <w:shd w:val="clear" w:color="auto" w:fill="auto"/>
          </w:tcPr>
          <w:p w14:paraId="562E1EA5" w14:textId="031DE7DB" w:rsidR="00B83FCE"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40" w:type="dxa"/>
            <w:shd w:val="clear" w:color="auto" w:fill="auto"/>
          </w:tcPr>
          <w:p w14:paraId="425A8C5D" w14:textId="1F69BA70" w:rsidR="00B83FCE"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2023</w:t>
            </w:r>
          </w:p>
        </w:tc>
      </w:tr>
      <w:tr w:rsidR="001E6C66" w:rsidRPr="002D2F67" w14:paraId="5A26278F" w14:textId="77777777" w:rsidTr="005611FE">
        <w:tc>
          <w:tcPr>
            <w:tcW w:w="3690" w:type="dxa"/>
            <w:shd w:val="clear" w:color="auto" w:fill="auto"/>
          </w:tcPr>
          <w:p w14:paraId="533567CA"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left="447" w:right="-72"/>
              <w:rPr>
                <w:rFonts w:ascii="Arial" w:hAnsi="Arial" w:cs="Arial"/>
                <w:color w:val="000000"/>
                <w:sz w:val="20"/>
                <w:szCs w:val="20"/>
              </w:rPr>
            </w:pPr>
          </w:p>
        </w:tc>
        <w:tc>
          <w:tcPr>
            <w:tcW w:w="1440" w:type="dxa"/>
            <w:tcBorders>
              <w:bottom w:val="single" w:sz="4" w:space="0" w:color="auto"/>
            </w:tcBorders>
            <w:shd w:val="clear" w:color="auto" w:fill="auto"/>
            <w:vAlign w:val="bottom"/>
          </w:tcPr>
          <w:p w14:paraId="42DB8ECB" w14:textId="187C8249" w:rsidR="001E6C66" w:rsidRPr="002D2F67" w:rsidRDefault="001E6C66"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780734" w:rsidRPr="002D2F67">
              <w:rPr>
                <w:rFonts w:ascii="Arial" w:hAnsi="Arial" w:cs="Arial"/>
                <w:b/>
                <w:bCs/>
                <w:color w:val="000000"/>
                <w:sz w:val="20"/>
                <w:szCs w:val="20"/>
              </w:rPr>
              <w: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vAlign w:val="bottom"/>
          </w:tcPr>
          <w:p w14:paraId="7C01D67D" w14:textId="34719CA4" w:rsidR="001E6C66" w:rsidRPr="002D2F67" w:rsidRDefault="00780734"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vAlign w:val="bottom"/>
          </w:tcPr>
          <w:p w14:paraId="6D8E63F5" w14:textId="02EE6A41" w:rsidR="001E6C66" w:rsidRPr="002D2F67" w:rsidRDefault="00780734"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vAlign w:val="bottom"/>
          </w:tcPr>
          <w:p w14:paraId="0A9D933C" w14:textId="25464E61" w:rsidR="001E6C66" w:rsidRPr="002D2F67" w:rsidRDefault="00780734"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1E6C66" w:rsidRPr="002D2F67" w14:paraId="662B6697" w14:textId="77777777" w:rsidTr="005611FE">
        <w:tc>
          <w:tcPr>
            <w:tcW w:w="3690" w:type="dxa"/>
            <w:shd w:val="clear" w:color="auto" w:fill="auto"/>
          </w:tcPr>
          <w:p w14:paraId="04C86CB9"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left="447" w:right="-72"/>
              <w:rPr>
                <w:rFonts w:ascii="Arial" w:hAnsi="Arial" w:cs="Arial"/>
                <w:color w:val="000000"/>
                <w:sz w:val="20"/>
                <w:szCs w:val="20"/>
              </w:rPr>
            </w:pPr>
          </w:p>
        </w:tc>
        <w:tc>
          <w:tcPr>
            <w:tcW w:w="1440" w:type="dxa"/>
            <w:tcBorders>
              <w:top w:val="single" w:sz="4" w:space="0" w:color="auto"/>
            </w:tcBorders>
            <w:shd w:val="clear" w:color="auto" w:fill="auto"/>
          </w:tcPr>
          <w:p w14:paraId="17FFAB88"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46644E55"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111DE920"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438526B9"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8647A6" w:rsidRPr="002D2F67" w14:paraId="7424CDD8" w14:textId="77777777" w:rsidTr="005611FE">
        <w:tc>
          <w:tcPr>
            <w:tcW w:w="3690" w:type="dxa"/>
            <w:shd w:val="clear" w:color="auto" w:fill="auto"/>
          </w:tcPr>
          <w:p w14:paraId="2A0B9176" w14:textId="77777777" w:rsidR="008647A6" w:rsidRPr="002D2F67" w:rsidRDefault="008647A6" w:rsidP="005611FE">
            <w:pPr>
              <w:tabs>
                <w:tab w:val="left" w:pos="511"/>
              </w:tabs>
              <w:ind w:left="447" w:right="-72"/>
              <w:rPr>
                <w:rFonts w:ascii="Arial" w:hAnsi="Arial" w:cs="Arial"/>
                <w:color w:val="000000"/>
                <w:sz w:val="20"/>
                <w:szCs w:val="20"/>
              </w:rPr>
            </w:pPr>
            <w:r w:rsidRPr="002D2F67">
              <w:rPr>
                <w:rFonts w:ascii="Arial" w:hAnsi="Arial" w:cs="Arial"/>
                <w:color w:val="000000"/>
                <w:sz w:val="20"/>
                <w:szCs w:val="20"/>
              </w:rPr>
              <w:t>Opening balance</w:t>
            </w:r>
          </w:p>
        </w:tc>
        <w:tc>
          <w:tcPr>
            <w:tcW w:w="1440" w:type="dxa"/>
            <w:shd w:val="clear" w:color="auto" w:fill="auto"/>
          </w:tcPr>
          <w:p w14:paraId="18D83735" w14:textId="1DB11923" w:rsidR="008647A6"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435</w:t>
            </w:r>
            <w:r w:rsidR="00311CDC" w:rsidRPr="002D2F67">
              <w:rPr>
                <w:rFonts w:ascii="Arial" w:hAnsi="Arial" w:cs="Arial"/>
                <w:color w:val="000000"/>
                <w:sz w:val="20"/>
                <w:szCs w:val="20"/>
              </w:rPr>
              <w:t>,</w:t>
            </w:r>
            <w:r w:rsidRPr="00CD5714">
              <w:rPr>
                <w:rFonts w:ascii="Arial" w:hAnsi="Arial" w:cs="Arial"/>
                <w:color w:val="000000"/>
                <w:sz w:val="20"/>
                <w:szCs w:val="20"/>
                <w:lang w:val="en-GB"/>
              </w:rPr>
              <w:t>000</w:t>
            </w:r>
          </w:p>
        </w:tc>
        <w:tc>
          <w:tcPr>
            <w:tcW w:w="1440" w:type="dxa"/>
            <w:shd w:val="clear" w:color="auto" w:fill="auto"/>
          </w:tcPr>
          <w:p w14:paraId="39CAAFD7" w14:textId="78C7CD34" w:rsidR="008647A6"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385</w:t>
            </w:r>
            <w:r w:rsidR="008647A6" w:rsidRPr="002D2F67">
              <w:rPr>
                <w:rFonts w:ascii="Arial" w:hAnsi="Arial" w:cs="Arial"/>
                <w:color w:val="000000"/>
                <w:sz w:val="20"/>
                <w:szCs w:val="20"/>
              </w:rPr>
              <w:t>,</w:t>
            </w:r>
            <w:r w:rsidRPr="00CD5714">
              <w:rPr>
                <w:rFonts w:ascii="Arial" w:hAnsi="Arial" w:cs="Arial"/>
                <w:color w:val="000000"/>
                <w:sz w:val="20"/>
                <w:szCs w:val="20"/>
                <w:lang w:val="en-GB"/>
              </w:rPr>
              <w:t>000</w:t>
            </w:r>
          </w:p>
        </w:tc>
        <w:tc>
          <w:tcPr>
            <w:tcW w:w="1440" w:type="dxa"/>
            <w:shd w:val="clear" w:color="auto" w:fill="auto"/>
          </w:tcPr>
          <w:p w14:paraId="2FC89ECD" w14:textId="07CD94A0" w:rsidR="008647A6"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705</w:t>
            </w:r>
            <w:r w:rsidR="00311CDC" w:rsidRPr="002D2F67">
              <w:rPr>
                <w:rFonts w:ascii="Arial" w:hAnsi="Arial" w:cs="Arial"/>
                <w:color w:val="000000"/>
                <w:sz w:val="20"/>
                <w:szCs w:val="20"/>
              </w:rPr>
              <w:t>,</w:t>
            </w:r>
            <w:r w:rsidRPr="00CD5714">
              <w:rPr>
                <w:rFonts w:ascii="Arial" w:hAnsi="Arial" w:cs="Arial"/>
                <w:color w:val="000000"/>
                <w:sz w:val="20"/>
                <w:szCs w:val="20"/>
                <w:lang w:val="en-GB"/>
              </w:rPr>
              <w:t>710</w:t>
            </w:r>
          </w:p>
        </w:tc>
        <w:tc>
          <w:tcPr>
            <w:tcW w:w="1440" w:type="dxa"/>
            <w:shd w:val="clear" w:color="auto" w:fill="auto"/>
          </w:tcPr>
          <w:p w14:paraId="3E80F431" w14:textId="50D10BB6" w:rsidR="008647A6"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4</w:t>
            </w:r>
            <w:r w:rsidR="008647A6" w:rsidRPr="002D2F67">
              <w:rPr>
                <w:rFonts w:ascii="Arial" w:hAnsi="Arial" w:cs="Arial"/>
                <w:color w:val="000000"/>
                <w:sz w:val="20"/>
                <w:szCs w:val="20"/>
              </w:rPr>
              <w:t>,</w:t>
            </w:r>
            <w:r w:rsidRPr="00CD5714">
              <w:rPr>
                <w:rFonts w:ascii="Arial" w:hAnsi="Arial" w:cs="Arial"/>
                <w:color w:val="000000"/>
                <w:sz w:val="20"/>
                <w:szCs w:val="20"/>
                <w:lang w:val="en-GB"/>
              </w:rPr>
              <w:t>582</w:t>
            </w:r>
            <w:r w:rsidR="008647A6" w:rsidRPr="002D2F67">
              <w:rPr>
                <w:rFonts w:ascii="Arial" w:hAnsi="Arial" w:cs="Arial"/>
                <w:color w:val="000000"/>
                <w:sz w:val="20"/>
                <w:szCs w:val="20"/>
              </w:rPr>
              <w:t>,</w:t>
            </w:r>
            <w:r w:rsidRPr="00CD5714">
              <w:rPr>
                <w:rFonts w:ascii="Arial" w:hAnsi="Arial" w:cs="Arial"/>
                <w:color w:val="000000"/>
                <w:sz w:val="20"/>
                <w:szCs w:val="20"/>
                <w:lang w:val="en-GB"/>
              </w:rPr>
              <w:t>410</w:t>
            </w:r>
          </w:p>
        </w:tc>
      </w:tr>
      <w:tr w:rsidR="008647A6" w:rsidRPr="002D2F67" w14:paraId="2C08C3F0" w14:textId="77777777" w:rsidTr="005611FE">
        <w:tc>
          <w:tcPr>
            <w:tcW w:w="3690" w:type="dxa"/>
            <w:shd w:val="clear" w:color="auto" w:fill="auto"/>
          </w:tcPr>
          <w:p w14:paraId="42F9D3B3" w14:textId="77777777" w:rsidR="008647A6" w:rsidRPr="002D2F67" w:rsidRDefault="008647A6" w:rsidP="005611FE">
            <w:pPr>
              <w:tabs>
                <w:tab w:val="left" w:pos="511"/>
              </w:tabs>
              <w:ind w:left="447" w:right="-72"/>
              <w:rPr>
                <w:rFonts w:ascii="Arial" w:hAnsi="Arial" w:cs="Arial"/>
                <w:color w:val="000000"/>
                <w:sz w:val="20"/>
                <w:szCs w:val="20"/>
              </w:rPr>
            </w:pPr>
            <w:r w:rsidRPr="002D2F67">
              <w:rPr>
                <w:rFonts w:ascii="Arial" w:hAnsi="Arial" w:cs="Arial"/>
                <w:color w:val="000000"/>
                <w:sz w:val="20"/>
                <w:szCs w:val="20"/>
              </w:rPr>
              <w:t>Cash flows:</w:t>
            </w:r>
          </w:p>
        </w:tc>
        <w:tc>
          <w:tcPr>
            <w:tcW w:w="1440" w:type="dxa"/>
            <w:shd w:val="clear" w:color="auto" w:fill="auto"/>
          </w:tcPr>
          <w:p w14:paraId="053B5A2A" w14:textId="77777777" w:rsidR="008647A6" w:rsidRPr="002D2F67" w:rsidRDefault="008647A6" w:rsidP="005611FE">
            <w:pPr>
              <w:ind w:right="-72"/>
              <w:jc w:val="right"/>
              <w:rPr>
                <w:rFonts w:ascii="Arial" w:hAnsi="Arial" w:cs="Arial"/>
                <w:color w:val="000000"/>
                <w:sz w:val="20"/>
                <w:szCs w:val="20"/>
              </w:rPr>
            </w:pPr>
          </w:p>
        </w:tc>
        <w:tc>
          <w:tcPr>
            <w:tcW w:w="1440" w:type="dxa"/>
            <w:shd w:val="clear" w:color="auto" w:fill="auto"/>
          </w:tcPr>
          <w:p w14:paraId="50FEB275" w14:textId="77777777" w:rsidR="008647A6" w:rsidRPr="002D2F67" w:rsidRDefault="008647A6" w:rsidP="005611FE">
            <w:pPr>
              <w:ind w:right="-72"/>
              <w:jc w:val="right"/>
              <w:rPr>
                <w:rFonts w:ascii="Arial" w:hAnsi="Arial" w:cs="Arial"/>
                <w:color w:val="000000"/>
                <w:sz w:val="20"/>
                <w:szCs w:val="20"/>
              </w:rPr>
            </w:pPr>
          </w:p>
        </w:tc>
        <w:tc>
          <w:tcPr>
            <w:tcW w:w="1440" w:type="dxa"/>
            <w:shd w:val="clear" w:color="auto" w:fill="auto"/>
          </w:tcPr>
          <w:p w14:paraId="56110AFE" w14:textId="77777777" w:rsidR="008647A6" w:rsidRPr="002D2F67" w:rsidRDefault="008647A6" w:rsidP="005611FE">
            <w:pPr>
              <w:ind w:right="-72"/>
              <w:jc w:val="right"/>
              <w:rPr>
                <w:rFonts w:ascii="Arial" w:hAnsi="Arial" w:cs="Arial"/>
                <w:color w:val="000000"/>
                <w:sz w:val="20"/>
                <w:szCs w:val="20"/>
              </w:rPr>
            </w:pPr>
          </w:p>
        </w:tc>
        <w:tc>
          <w:tcPr>
            <w:tcW w:w="1440" w:type="dxa"/>
            <w:shd w:val="clear" w:color="auto" w:fill="auto"/>
          </w:tcPr>
          <w:p w14:paraId="66DF9FF7" w14:textId="77777777" w:rsidR="008647A6" w:rsidRPr="002D2F67" w:rsidRDefault="008647A6" w:rsidP="005611FE">
            <w:pPr>
              <w:ind w:right="-72"/>
              <w:jc w:val="right"/>
              <w:rPr>
                <w:rFonts w:ascii="Arial" w:hAnsi="Arial" w:cs="Arial"/>
                <w:color w:val="000000"/>
                <w:sz w:val="20"/>
                <w:szCs w:val="20"/>
              </w:rPr>
            </w:pPr>
          </w:p>
        </w:tc>
      </w:tr>
      <w:tr w:rsidR="008647A6" w:rsidRPr="002D2F67" w14:paraId="2D3D9F69" w14:textId="77777777" w:rsidTr="005611FE">
        <w:tc>
          <w:tcPr>
            <w:tcW w:w="3690" w:type="dxa"/>
            <w:shd w:val="clear" w:color="auto" w:fill="auto"/>
          </w:tcPr>
          <w:p w14:paraId="675195AB" w14:textId="77777777" w:rsidR="008647A6" w:rsidRPr="002D2F67" w:rsidRDefault="008647A6" w:rsidP="005611FE">
            <w:pPr>
              <w:tabs>
                <w:tab w:val="left" w:pos="511"/>
              </w:tabs>
              <w:ind w:left="447" w:right="-72"/>
              <w:rPr>
                <w:rFonts w:ascii="Arial" w:hAnsi="Arial" w:cs="Arial"/>
                <w:color w:val="000000"/>
                <w:sz w:val="20"/>
                <w:szCs w:val="20"/>
              </w:rPr>
            </w:pPr>
            <w:r w:rsidRPr="002D2F67">
              <w:rPr>
                <w:rFonts w:ascii="Arial" w:hAnsi="Arial" w:cs="Arial"/>
                <w:color w:val="000000"/>
                <w:sz w:val="20"/>
                <w:szCs w:val="20"/>
              </w:rPr>
              <w:t xml:space="preserve">   Additions during the year</w:t>
            </w:r>
          </w:p>
        </w:tc>
        <w:tc>
          <w:tcPr>
            <w:tcW w:w="1440" w:type="dxa"/>
            <w:shd w:val="clear" w:color="auto" w:fill="auto"/>
          </w:tcPr>
          <w:p w14:paraId="3FE7A5E6" w14:textId="1421D993" w:rsidR="008647A6"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900</w:t>
            </w:r>
            <w:r w:rsidR="00311CDC" w:rsidRPr="002D2F67">
              <w:rPr>
                <w:rFonts w:ascii="Arial" w:hAnsi="Arial" w:cs="Arial"/>
                <w:color w:val="000000"/>
                <w:sz w:val="20"/>
                <w:szCs w:val="20"/>
              </w:rPr>
              <w:t>,</w:t>
            </w:r>
            <w:r w:rsidRPr="00CD5714">
              <w:rPr>
                <w:rFonts w:ascii="Arial" w:hAnsi="Arial" w:cs="Arial"/>
                <w:color w:val="000000"/>
                <w:sz w:val="20"/>
                <w:szCs w:val="20"/>
                <w:lang w:val="en-GB"/>
              </w:rPr>
              <w:t>000</w:t>
            </w:r>
          </w:p>
        </w:tc>
        <w:tc>
          <w:tcPr>
            <w:tcW w:w="1440" w:type="dxa"/>
            <w:shd w:val="clear" w:color="auto" w:fill="auto"/>
          </w:tcPr>
          <w:p w14:paraId="34D44E29" w14:textId="0E9F43EB" w:rsidR="008647A6"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50</w:t>
            </w:r>
            <w:r w:rsidR="008647A6" w:rsidRPr="002D2F67">
              <w:rPr>
                <w:rFonts w:ascii="Arial" w:hAnsi="Arial" w:cs="Arial"/>
                <w:color w:val="000000"/>
                <w:sz w:val="20"/>
                <w:szCs w:val="20"/>
              </w:rPr>
              <w:t>,</w:t>
            </w:r>
            <w:r w:rsidRPr="00CD5714">
              <w:rPr>
                <w:rFonts w:ascii="Arial" w:hAnsi="Arial" w:cs="Arial"/>
                <w:color w:val="000000"/>
                <w:sz w:val="20"/>
                <w:szCs w:val="20"/>
                <w:lang w:val="en-GB"/>
              </w:rPr>
              <w:t>000</w:t>
            </w:r>
          </w:p>
        </w:tc>
        <w:tc>
          <w:tcPr>
            <w:tcW w:w="1440" w:type="dxa"/>
            <w:shd w:val="clear" w:color="auto" w:fill="auto"/>
          </w:tcPr>
          <w:p w14:paraId="4FC73A0F" w14:textId="08EF9FE1" w:rsidR="008647A6"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2</w:t>
            </w:r>
            <w:r w:rsidR="00311CDC" w:rsidRPr="002D2F67">
              <w:rPr>
                <w:rFonts w:ascii="Arial" w:hAnsi="Arial" w:cs="Arial"/>
                <w:color w:val="000000"/>
                <w:sz w:val="20"/>
                <w:szCs w:val="20"/>
              </w:rPr>
              <w:t>,</w:t>
            </w:r>
            <w:r w:rsidRPr="00CD5714">
              <w:rPr>
                <w:rFonts w:ascii="Arial" w:hAnsi="Arial" w:cs="Arial"/>
                <w:color w:val="000000"/>
                <w:sz w:val="20"/>
                <w:szCs w:val="20"/>
                <w:lang w:val="en-GB"/>
              </w:rPr>
              <w:t>536</w:t>
            </w:r>
            <w:r w:rsidR="00311CDC" w:rsidRPr="002D2F67">
              <w:rPr>
                <w:rFonts w:ascii="Arial" w:hAnsi="Arial" w:cs="Arial"/>
                <w:color w:val="000000"/>
                <w:sz w:val="20"/>
                <w:szCs w:val="20"/>
              </w:rPr>
              <w:t>,</w:t>
            </w:r>
            <w:r w:rsidRPr="00CD5714">
              <w:rPr>
                <w:rFonts w:ascii="Arial" w:hAnsi="Arial" w:cs="Arial"/>
                <w:color w:val="000000"/>
                <w:sz w:val="20"/>
                <w:szCs w:val="20"/>
                <w:lang w:val="en-GB"/>
              </w:rPr>
              <w:t>436</w:t>
            </w:r>
          </w:p>
        </w:tc>
        <w:tc>
          <w:tcPr>
            <w:tcW w:w="1440" w:type="dxa"/>
            <w:shd w:val="clear" w:color="auto" w:fill="auto"/>
          </w:tcPr>
          <w:p w14:paraId="290B3003" w14:textId="39456FFA" w:rsidR="008647A6"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170</w:t>
            </w:r>
            <w:r w:rsidR="008647A6" w:rsidRPr="002D2F67">
              <w:rPr>
                <w:rFonts w:ascii="Arial" w:hAnsi="Arial" w:cs="Arial"/>
                <w:color w:val="000000"/>
                <w:sz w:val="20"/>
                <w:szCs w:val="20"/>
              </w:rPr>
              <w:t>,</w:t>
            </w:r>
            <w:r w:rsidRPr="00CD5714">
              <w:rPr>
                <w:rFonts w:ascii="Arial" w:hAnsi="Arial" w:cs="Arial"/>
                <w:color w:val="000000"/>
                <w:sz w:val="20"/>
                <w:szCs w:val="20"/>
                <w:lang w:val="en-GB"/>
              </w:rPr>
              <w:t>000</w:t>
            </w:r>
          </w:p>
        </w:tc>
      </w:tr>
      <w:tr w:rsidR="008647A6" w:rsidRPr="002D2F67" w14:paraId="22121EA2" w14:textId="77777777" w:rsidTr="00311CDC">
        <w:tc>
          <w:tcPr>
            <w:tcW w:w="3690" w:type="dxa"/>
            <w:shd w:val="clear" w:color="auto" w:fill="auto"/>
          </w:tcPr>
          <w:p w14:paraId="30193B17" w14:textId="77777777" w:rsidR="008647A6" w:rsidRPr="002D2F67" w:rsidRDefault="008647A6" w:rsidP="005611FE">
            <w:pPr>
              <w:ind w:left="447" w:right="-72"/>
              <w:rPr>
                <w:rFonts w:ascii="Arial" w:hAnsi="Arial" w:cs="Arial"/>
                <w:color w:val="000000"/>
                <w:sz w:val="20"/>
                <w:szCs w:val="20"/>
              </w:rPr>
            </w:pPr>
            <w:r w:rsidRPr="002D2F67">
              <w:rPr>
                <w:rFonts w:ascii="Arial" w:hAnsi="Arial" w:cs="Arial"/>
                <w:color w:val="000000"/>
                <w:sz w:val="20"/>
                <w:szCs w:val="20"/>
              </w:rPr>
              <w:t xml:space="preserve">   Repayments during the year</w:t>
            </w:r>
          </w:p>
        </w:tc>
        <w:tc>
          <w:tcPr>
            <w:tcW w:w="1440" w:type="dxa"/>
            <w:shd w:val="clear" w:color="auto" w:fill="auto"/>
          </w:tcPr>
          <w:p w14:paraId="52FCA0D2" w14:textId="7FB50E6B" w:rsidR="008647A6" w:rsidRPr="002D2F67" w:rsidRDefault="00311CDC"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435</w:t>
            </w:r>
            <w:r w:rsidRPr="002D2F67">
              <w:rPr>
                <w:rFonts w:ascii="Arial" w:hAnsi="Arial" w:cs="Arial"/>
                <w:color w:val="000000"/>
                <w:sz w:val="20"/>
                <w:szCs w:val="20"/>
              </w:rPr>
              <w:t>,</w:t>
            </w:r>
            <w:r w:rsidR="00CD5714" w:rsidRPr="00CD5714">
              <w:rPr>
                <w:rFonts w:ascii="Arial" w:hAnsi="Arial" w:cs="Arial"/>
                <w:color w:val="000000"/>
                <w:sz w:val="20"/>
                <w:szCs w:val="20"/>
                <w:lang w:val="en-GB"/>
              </w:rPr>
              <w:t>000</w:t>
            </w:r>
            <w:r w:rsidRPr="002D2F67">
              <w:rPr>
                <w:rFonts w:ascii="Arial" w:hAnsi="Arial" w:cs="Arial"/>
                <w:color w:val="000000"/>
                <w:sz w:val="20"/>
                <w:szCs w:val="20"/>
              </w:rPr>
              <w:t>)</w:t>
            </w:r>
          </w:p>
        </w:tc>
        <w:tc>
          <w:tcPr>
            <w:tcW w:w="1440" w:type="dxa"/>
            <w:shd w:val="clear" w:color="auto" w:fill="auto"/>
          </w:tcPr>
          <w:p w14:paraId="40B26C5C" w14:textId="29EEE1F4" w:rsidR="008647A6" w:rsidRPr="002D2F67" w:rsidRDefault="008647A6"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tcPr>
          <w:p w14:paraId="17F3D79F" w14:textId="6E1291DD" w:rsidR="008647A6" w:rsidRPr="002D2F67" w:rsidRDefault="00311CDC"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w:t>
            </w:r>
            <w:r w:rsidRPr="002D2F67">
              <w:rPr>
                <w:rFonts w:ascii="Arial" w:hAnsi="Arial" w:cs="Arial"/>
                <w:color w:val="000000"/>
                <w:sz w:val="20"/>
                <w:szCs w:val="20"/>
              </w:rPr>
              <w:t>,</w:t>
            </w:r>
            <w:r w:rsidR="00CD5714" w:rsidRPr="00CD5714">
              <w:rPr>
                <w:rFonts w:ascii="Arial" w:hAnsi="Arial" w:cs="Arial"/>
                <w:color w:val="000000"/>
                <w:sz w:val="20"/>
                <w:szCs w:val="20"/>
                <w:lang w:val="en-GB"/>
              </w:rPr>
              <w:t>261</w:t>
            </w:r>
            <w:r w:rsidRPr="002D2F67">
              <w:rPr>
                <w:rFonts w:ascii="Arial" w:hAnsi="Arial" w:cs="Arial"/>
                <w:color w:val="000000"/>
                <w:sz w:val="20"/>
                <w:szCs w:val="20"/>
              </w:rPr>
              <w:t>,</w:t>
            </w:r>
            <w:r w:rsidR="00CD5714" w:rsidRPr="00CD5714">
              <w:rPr>
                <w:rFonts w:ascii="Arial" w:hAnsi="Arial" w:cs="Arial"/>
                <w:color w:val="000000"/>
                <w:sz w:val="20"/>
                <w:szCs w:val="20"/>
                <w:lang w:val="en-GB"/>
              </w:rPr>
              <w:t>530</w:t>
            </w:r>
            <w:r w:rsidRPr="002D2F67">
              <w:rPr>
                <w:rFonts w:ascii="Arial" w:hAnsi="Arial" w:cs="Arial"/>
                <w:color w:val="000000"/>
                <w:sz w:val="20"/>
                <w:szCs w:val="20"/>
              </w:rPr>
              <w:t>)</w:t>
            </w:r>
          </w:p>
        </w:tc>
        <w:tc>
          <w:tcPr>
            <w:tcW w:w="1440" w:type="dxa"/>
            <w:shd w:val="clear" w:color="auto" w:fill="auto"/>
          </w:tcPr>
          <w:p w14:paraId="00A3AC35" w14:textId="7C2C8573" w:rsidR="008647A6" w:rsidRPr="002D2F67" w:rsidRDefault="008647A6"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4</w:t>
            </w:r>
            <w:r w:rsidRPr="002D2F67">
              <w:rPr>
                <w:rFonts w:ascii="Arial" w:hAnsi="Arial" w:cs="Arial"/>
                <w:color w:val="000000"/>
                <w:sz w:val="20"/>
                <w:szCs w:val="20"/>
              </w:rPr>
              <w:t>,</w:t>
            </w:r>
            <w:r w:rsidR="00CD5714" w:rsidRPr="00CD5714">
              <w:rPr>
                <w:rFonts w:ascii="Arial" w:hAnsi="Arial" w:cs="Arial"/>
                <w:color w:val="000000"/>
                <w:sz w:val="20"/>
                <w:szCs w:val="20"/>
                <w:lang w:val="en-GB"/>
              </w:rPr>
              <w:t>046</w:t>
            </w:r>
            <w:r w:rsidRPr="002D2F67">
              <w:rPr>
                <w:rFonts w:ascii="Arial" w:hAnsi="Arial" w:cs="Arial"/>
                <w:color w:val="000000"/>
                <w:sz w:val="20"/>
                <w:szCs w:val="20"/>
              </w:rPr>
              <w:t>,</w:t>
            </w:r>
            <w:r w:rsidR="00CD5714" w:rsidRPr="00CD5714">
              <w:rPr>
                <w:rFonts w:ascii="Arial" w:hAnsi="Arial" w:cs="Arial"/>
                <w:color w:val="000000"/>
                <w:sz w:val="20"/>
                <w:szCs w:val="20"/>
                <w:lang w:val="en-GB"/>
              </w:rPr>
              <w:t>700</w:t>
            </w:r>
            <w:r w:rsidRPr="002D2F67">
              <w:rPr>
                <w:rFonts w:ascii="Arial" w:hAnsi="Arial" w:cs="Arial"/>
                <w:color w:val="000000"/>
                <w:sz w:val="20"/>
                <w:szCs w:val="20"/>
              </w:rPr>
              <w:t>)</w:t>
            </w:r>
          </w:p>
        </w:tc>
      </w:tr>
      <w:tr w:rsidR="00AD4283" w:rsidRPr="002D2F67" w14:paraId="6A25B657" w14:textId="77777777" w:rsidTr="00311CDC">
        <w:tc>
          <w:tcPr>
            <w:tcW w:w="3690" w:type="dxa"/>
            <w:shd w:val="clear" w:color="auto" w:fill="auto"/>
          </w:tcPr>
          <w:p w14:paraId="2B6290CC" w14:textId="4D1719B8" w:rsidR="00AD4283" w:rsidRPr="002D2F67" w:rsidRDefault="00AD4283" w:rsidP="00AD4283">
            <w:pPr>
              <w:ind w:left="447" w:right="-72"/>
              <w:rPr>
                <w:rFonts w:ascii="Arial" w:hAnsi="Arial" w:cs="Arial"/>
                <w:color w:val="000000"/>
                <w:sz w:val="20"/>
                <w:szCs w:val="20"/>
              </w:rPr>
            </w:pPr>
            <w:r w:rsidRPr="002D2F67">
              <w:rPr>
                <w:rFonts w:ascii="Arial" w:hAnsi="Arial" w:cs="Arial"/>
                <w:color w:val="000000"/>
                <w:sz w:val="20"/>
                <w:szCs w:val="20"/>
              </w:rPr>
              <w:t>Other non-cash movements:</w:t>
            </w:r>
          </w:p>
        </w:tc>
        <w:tc>
          <w:tcPr>
            <w:tcW w:w="1440" w:type="dxa"/>
            <w:shd w:val="clear" w:color="auto" w:fill="auto"/>
          </w:tcPr>
          <w:p w14:paraId="7F59BC3F" w14:textId="77777777" w:rsidR="00AD4283" w:rsidRPr="002D2F67" w:rsidRDefault="00AD4283" w:rsidP="00AD4283">
            <w:pPr>
              <w:ind w:right="-72"/>
              <w:jc w:val="right"/>
              <w:rPr>
                <w:rFonts w:ascii="Arial" w:hAnsi="Arial" w:cs="Arial"/>
                <w:color w:val="000000"/>
                <w:sz w:val="20"/>
                <w:szCs w:val="20"/>
              </w:rPr>
            </w:pPr>
          </w:p>
        </w:tc>
        <w:tc>
          <w:tcPr>
            <w:tcW w:w="1440" w:type="dxa"/>
            <w:shd w:val="clear" w:color="auto" w:fill="auto"/>
          </w:tcPr>
          <w:p w14:paraId="3097AA6F" w14:textId="77777777" w:rsidR="00AD4283" w:rsidRPr="002D2F67" w:rsidRDefault="00AD4283" w:rsidP="00AD4283">
            <w:pPr>
              <w:ind w:right="-72"/>
              <w:jc w:val="right"/>
              <w:rPr>
                <w:rFonts w:ascii="Arial" w:hAnsi="Arial" w:cs="Arial"/>
                <w:color w:val="000000"/>
                <w:sz w:val="20"/>
                <w:szCs w:val="20"/>
              </w:rPr>
            </w:pPr>
          </w:p>
        </w:tc>
        <w:tc>
          <w:tcPr>
            <w:tcW w:w="1440" w:type="dxa"/>
            <w:shd w:val="clear" w:color="auto" w:fill="auto"/>
          </w:tcPr>
          <w:p w14:paraId="45722D61" w14:textId="77777777" w:rsidR="00AD4283" w:rsidRPr="002D2F67" w:rsidRDefault="00AD4283" w:rsidP="00AD4283">
            <w:pPr>
              <w:ind w:right="-72"/>
              <w:jc w:val="right"/>
              <w:rPr>
                <w:rFonts w:ascii="Arial" w:hAnsi="Arial" w:cs="Arial"/>
                <w:color w:val="000000"/>
                <w:sz w:val="20"/>
                <w:szCs w:val="20"/>
              </w:rPr>
            </w:pPr>
          </w:p>
        </w:tc>
        <w:tc>
          <w:tcPr>
            <w:tcW w:w="1440" w:type="dxa"/>
            <w:shd w:val="clear" w:color="auto" w:fill="auto"/>
          </w:tcPr>
          <w:p w14:paraId="4843BFE6" w14:textId="77777777" w:rsidR="00AD4283" w:rsidRPr="002D2F67" w:rsidRDefault="00AD4283" w:rsidP="00AD4283">
            <w:pPr>
              <w:ind w:right="-72"/>
              <w:jc w:val="right"/>
              <w:rPr>
                <w:rFonts w:ascii="Arial" w:hAnsi="Arial" w:cs="Arial"/>
                <w:color w:val="000000"/>
                <w:sz w:val="20"/>
                <w:szCs w:val="20"/>
              </w:rPr>
            </w:pPr>
          </w:p>
        </w:tc>
      </w:tr>
      <w:tr w:rsidR="00AD4283" w:rsidRPr="002D2F67" w14:paraId="69698E70" w14:textId="77777777" w:rsidTr="00311CDC">
        <w:tc>
          <w:tcPr>
            <w:tcW w:w="3690" w:type="dxa"/>
            <w:shd w:val="clear" w:color="auto" w:fill="auto"/>
          </w:tcPr>
          <w:p w14:paraId="60A83A20" w14:textId="6692DF33" w:rsidR="00AD4283" w:rsidRPr="002D2F67" w:rsidRDefault="00AD4283" w:rsidP="00AD4283">
            <w:pPr>
              <w:ind w:left="447" w:right="-72"/>
              <w:rPr>
                <w:rFonts w:ascii="Arial" w:hAnsi="Arial" w:cs="Arial"/>
                <w:color w:val="000000"/>
                <w:sz w:val="20"/>
                <w:szCs w:val="20"/>
              </w:rPr>
            </w:pPr>
            <w:r w:rsidRPr="002D2F67">
              <w:rPr>
                <w:rFonts w:ascii="Arial" w:hAnsi="Arial" w:cs="Arial"/>
                <w:color w:val="000000"/>
                <w:sz w:val="20"/>
                <w:szCs w:val="20"/>
              </w:rPr>
              <w:t xml:space="preserve">   </w:t>
            </w:r>
            <w:r w:rsidRPr="002D2F67">
              <w:rPr>
                <w:rFonts w:ascii="Arial" w:hAnsi="Arial" w:cs="Arial"/>
                <w:color w:val="000000"/>
                <w:spacing w:val="-2"/>
                <w:sz w:val="20"/>
                <w:szCs w:val="20"/>
              </w:rPr>
              <w:t>Reclassif</w:t>
            </w:r>
            <w:r w:rsidR="00F33544" w:rsidRPr="002D2F67">
              <w:rPr>
                <w:rFonts w:ascii="Arial" w:hAnsi="Arial" w:cs="Arial"/>
                <w:color w:val="000000"/>
                <w:spacing w:val="-2"/>
                <w:sz w:val="20"/>
                <w:szCs w:val="20"/>
              </w:rPr>
              <w:t>ied</w:t>
            </w:r>
            <w:r w:rsidRPr="002D2F67">
              <w:rPr>
                <w:rFonts w:ascii="Arial" w:hAnsi="Arial" w:cs="Arial"/>
                <w:color w:val="000000"/>
                <w:spacing w:val="-2"/>
                <w:sz w:val="20"/>
                <w:szCs w:val="20"/>
              </w:rPr>
              <w:t xml:space="preserve"> to long-terms loans</w:t>
            </w:r>
          </w:p>
        </w:tc>
        <w:tc>
          <w:tcPr>
            <w:tcW w:w="1440" w:type="dxa"/>
            <w:shd w:val="clear" w:color="auto" w:fill="auto"/>
          </w:tcPr>
          <w:p w14:paraId="30CAB4C5" w14:textId="02B7EA53" w:rsidR="00AD4283" w:rsidRPr="002D2F67" w:rsidRDefault="00AD4283" w:rsidP="00AD4283">
            <w:pPr>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tcPr>
          <w:p w14:paraId="6B85A68E" w14:textId="2DA46E8B" w:rsidR="00AD4283" w:rsidRPr="002D2F67" w:rsidRDefault="00AD4283" w:rsidP="00AD4283">
            <w:pPr>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tcPr>
          <w:p w14:paraId="0153903F" w14:textId="6ACD3B8F" w:rsidR="00AD4283" w:rsidRPr="002D2F67" w:rsidRDefault="00AD4283" w:rsidP="00AD4283">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155</w:t>
            </w:r>
            <w:r w:rsidRPr="002D2F67">
              <w:rPr>
                <w:rFonts w:ascii="Arial" w:hAnsi="Arial" w:cs="Arial"/>
                <w:color w:val="000000"/>
                <w:sz w:val="20"/>
                <w:szCs w:val="20"/>
              </w:rPr>
              <w:t>,</w:t>
            </w:r>
            <w:r w:rsidR="00CD5714" w:rsidRPr="00CD5714">
              <w:rPr>
                <w:rFonts w:ascii="Arial" w:hAnsi="Arial" w:cs="Arial"/>
                <w:color w:val="000000"/>
                <w:sz w:val="20"/>
                <w:szCs w:val="20"/>
                <w:lang w:val="en-GB"/>
              </w:rPr>
              <w:t>000</w:t>
            </w:r>
            <w:r w:rsidRPr="002D2F67">
              <w:rPr>
                <w:rFonts w:ascii="Arial" w:hAnsi="Arial" w:cs="Arial"/>
                <w:color w:val="000000"/>
                <w:sz w:val="20"/>
                <w:szCs w:val="20"/>
              </w:rPr>
              <w:t>)</w:t>
            </w:r>
          </w:p>
        </w:tc>
        <w:tc>
          <w:tcPr>
            <w:tcW w:w="1440" w:type="dxa"/>
            <w:shd w:val="clear" w:color="auto" w:fill="auto"/>
          </w:tcPr>
          <w:p w14:paraId="7DD181B2" w14:textId="43B6A633" w:rsidR="00AD4283" w:rsidRPr="002D2F67" w:rsidRDefault="00AD4283" w:rsidP="00AD4283">
            <w:pPr>
              <w:ind w:right="-72"/>
              <w:jc w:val="right"/>
              <w:rPr>
                <w:rFonts w:ascii="Arial" w:hAnsi="Arial" w:cs="Arial"/>
                <w:color w:val="000000"/>
                <w:sz w:val="20"/>
                <w:szCs w:val="20"/>
              </w:rPr>
            </w:pPr>
            <w:r w:rsidRPr="002D2F67">
              <w:rPr>
                <w:rFonts w:ascii="Arial" w:hAnsi="Arial" w:cs="Arial"/>
                <w:color w:val="000000"/>
                <w:sz w:val="20"/>
                <w:szCs w:val="20"/>
              </w:rPr>
              <w:t>-</w:t>
            </w:r>
          </w:p>
        </w:tc>
      </w:tr>
      <w:tr w:rsidR="00AD4283" w:rsidRPr="002D2F67" w14:paraId="1F88E73D" w14:textId="77777777" w:rsidTr="00311CDC">
        <w:tc>
          <w:tcPr>
            <w:tcW w:w="3690" w:type="dxa"/>
            <w:shd w:val="clear" w:color="auto" w:fill="auto"/>
          </w:tcPr>
          <w:p w14:paraId="0F3868D6" w14:textId="140F26B6" w:rsidR="00AD4283" w:rsidRPr="002D2F67" w:rsidRDefault="00F853DE" w:rsidP="00AD4283">
            <w:pPr>
              <w:ind w:left="447" w:right="-72"/>
              <w:rPr>
                <w:rFonts w:ascii="Arial" w:hAnsi="Arial" w:cs="Arial"/>
                <w:color w:val="000000"/>
                <w:sz w:val="20"/>
                <w:szCs w:val="20"/>
              </w:rPr>
            </w:pPr>
            <w:r w:rsidRPr="002D2F67">
              <w:rPr>
                <w:rFonts w:ascii="Arial" w:hAnsi="Arial" w:cs="Arial"/>
                <w:color w:val="000000"/>
                <w:sz w:val="20"/>
                <w:szCs w:val="20"/>
              </w:rPr>
              <w:t xml:space="preserve">   Modification loan agreements</w:t>
            </w:r>
          </w:p>
        </w:tc>
        <w:tc>
          <w:tcPr>
            <w:tcW w:w="1440" w:type="dxa"/>
            <w:tcBorders>
              <w:bottom w:val="single" w:sz="4" w:space="0" w:color="auto"/>
            </w:tcBorders>
            <w:shd w:val="clear" w:color="auto" w:fill="auto"/>
          </w:tcPr>
          <w:p w14:paraId="021A9337" w14:textId="64A51F08" w:rsidR="00AD4283" w:rsidRPr="002D2F67" w:rsidRDefault="00AD4283" w:rsidP="00AD4283">
            <w:pPr>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tcBorders>
              <w:bottom w:val="single" w:sz="4" w:space="0" w:color="auto"/>
            </w:tcBorders>
            <w:shd w:val="clear" w:color="auto" w:fill="auto"/>
          </w:tcPr>
          <w:p w14:paraId="508E64AB" w14:textId="1831A5E9" w:rsidR="00AD4283" w:rsidRPr="002D2F67" w:rsidRDefault="00AD4283" w:rsidP="00AD4283">
            <w:pPr>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tcBorders>
              <w:bottom w:val="single" w:sz="4" w:space="0" w:color="auto"/>
            </w:tcBorders>
            <w:shd w:val="clear" w:color="auto" w:fill="auto"/>
          </w:tcPr>
          <w:p w14:paraId="01B8DD1A" w14:textId="6BED0B2E" w:rsidR="00AD4283" w:rsidRPr="002D2F67" w:rsidRDefault="00CD5714" w:rsidP="00AD4283">
            <w:pPr>
              <w:ind w:right="-72"/>
              <w:jc w:val="right"/>
              <w:rPr>
                <w:rFonts w:ascii="Arial" w:hAnsi="Arial" w:cs="Arial"/>
                <w:color w:val="000000"/>
                <w:sz w:val="20"/>
                <w:szCs w:val="20"/>
              </w:rPr>
            </w:pPr>
            <w:r w:rsidRPr="00CD5714">
              <w:rPr>
                <w:rFonts w:ascii="Arial" w:hAnsi="Arial" w:cs="Arial"/>
                <w:color w:val="000000"/>
                <w:sz w:val="20"/>
                <w:szCs w:val="20"/>
                <w:lang w:val="en-GB"/>
              </w:rPr>
              <w:t>2</w:t>
            </w:r>
            <w:r w:rsidR="00AD4283" w:rsidRPr="002D2F67">
              <w:rPr>
                <w:rFonts w:ascii="Arial" w:hAnsi="Arial" w:cs="Arial"/>
                <w:color w:val="000000"/>
                <w:sz w:val="20"/>
                <w:szCs w:val="20"/>
              </w:rPr>
              <w:t>,</w:t>
            </w:r>
            <w:r w:rsidRPr="00CD5714">
              <w:rPr>
                <w:rFonts w:ascii="Arial" w:hAnsi="Arial" w:cs="Arial"/>
                <w:color w:val="000000"/>
                <w:sz w:val="20"/>
                <w:szCs w:val="20"/>
                <w:lang w:val="en-GB"/>
              </w:rPr>
              <w:t>817</w:t>
            </w:r>
            <w:r w:rsidR="00AD4283" w:rsidRPr="002D2F67">
              <w:rPr>
                <w:rFonts w:ascii="Arial" w:hAnsi="Arial" w:cs="Arial"/>
                <w:color w:val="000000"/>
                <w:sz w:val="20"/>
                <w:szCs w:val="20"/>
              </w:rPr>
              <w:t>,</w:t>
            </w:r>
            <w:r w:rsidRPr="00CD5714">
              <w:rPr>
                <w:rFonts w:ascii="Arial" w:hAnsi="Arial" w:cs="Arial"/>
                <w:color w:val="000000"/>
                <w:sz w:val="20"/>
                <w:szCs w:val="20"/>
                <w:lang w:val="en-GB"/>
              </w:rPr>
              <w:t>744</w:t>
            </w:r>
          </w:p>
        </w:tc>
        <w:tc>
          <w:tcPr>
            <w:tcW w:w="1440" w:type="dxa"/>
            <w:tcBorders>
              <w:bottom w:val="single" w:sz="4" w:space="0" w:color="auto"/>
            </w:tcBorders>
            <w:shd w:val="clear" w:color="auto" w:fill="auto"/>
          </w:tcPr>
          <w:p w14:paraId="2C06E4EB" w14:textId="5112C21A" w:rsidR="00AD4283" w:rsidRPr="002D2F67" w:rsidRDefault="00AD4283" w:rsidP="00AD4283">
            <w:pPr>
              <w:ind w:right="-72"/>
              <w:jc w:val="right"/>
              <w:rPr>
                <w:rFonts w:ascii="Arial" w:hAnsi="Arial" w:cs="Arial"/>
                <w:color w:val="000000"/>
                <w:sz w:val="20"/>
                <w:szCs w:val="20"/>
              </w:rPr>
            </w:pPr>
            <w:r w:rsidRPr="002D2F67">
              <w:rPr>
                <w:rFonts w:ascii="Arial" w:hAnsi="Arial" w:cs="Arial"/>
                <w:color w:val="000000"/>
                <w:sz w:val="20"/>
                <w:szCs w:val="20"/>
              </w:rPr>
              <w:t>-</w:t>
            </w:r>
          </w:p>
        </w:tc>
      </w:tr>
      <w:tr w:rsidR="00AD4283" w:rsidRPr="002D2F67" w14:paraId="79A67E44" w14:textId="77777777" w:rsidTr="005611FE">
        <w:tc>
          <w:tcPr>
            <w:tcW w:w="3690" w:type="dxa"/>
            <w:shd w:val="clear" w:color="auto" w:fill="auto"/>
          </w:tcPr>
          <w:p w14:paraId="2C2DFB3B" w14:textId="77777777" w:rsidR="00AD4283" w:rsidRPr="002D2F67" w:rsidRDefault="00AD4283" w:rsidP="00AD4283">
            <w:pPr>
              <w:tabs>
                <w:tab w:val="left" w:pos="1134"/>
                <w:tab w:val="left" w:pos="1276"/>
                <w:tab w:val="center" w:pos="3402"/>
                <w:tab w:val="center" w:pos="4536"/>
                <w:tab w:val="center" w:pos="5670"/>
                <w:tab w:val="center" w:pos="6804"/>
                <w:tab w:val="right" w:pos="7655"/>
              </w:tabs>
              <w:ind w:left="447" w:right="-72"/>
              <w:rPr>
                <w:rFonts w:ascii="Arial" w:hAnsi="Arial" w:cs="Arial"/>
                <w:color w:val="000000"/>
                <w:sz w:val="14"/>
                <w:szCs w:val="14"/>
              </w:rPr>
            </w:pPr>
          </w:p>
        </w:tc>
        <w:tc>
          <w:tcPr>
            <w:tcW w:w="1440" w:type="dxa"/>
            <w:tcBorders>
              <w:top w:val="single" w:sz="4" w:space="0" w:color="auto"/>
            </w:tcBorders>
            <w:shd w:val="clear" w:color="auto" w:fill="auto"/>
          </w:tcPr>
          <w:p w14:paraId="7B0BC542" w14:textId="77777777" w:rsidR="00AD4283" w:rsidRPr="002D2F67" w:rsidRDefault="00AD4283" w:rsidP="00AD4283">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4"/>
                <w:szCs w:val="14"/>
              </w:rPr>
            </w:pPr>
          </w:p>
        </w:tc>
        <w:tc>
          <w:tcPr>
            <w:tcW w:w="1440" w:type="dxa"/>
            <w:tcBorders>
              <w:top w:val="single" w:sz="4" w:space="0" w:color="auto"/>
            </w:tcBorders>
            <w:shd w:val="clear" w:color="auto" w:fill="auto"/>
          </w:tcPr>
          <w:p w14:paraId="0D9B6DBA" w14:textId="77777777" w:rsidR="00AD4283" w:rsidRPr="002D2F67" w:rsidRDefault="00AD4283" w:rsidP="00AD4283">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4"/>
                <w:szCs w:val="14"/>
              </w:rPr>
            </w:pPr>
          </w:p>
        </w:tc>
        <w:tc>
          <w:tcPr>
            <w:tcW w:w="1440" w:type="dxa"/>
            <w:tcBorders>
              <w:top w:val="single" w:sz="4" w:space="0" w:color="auto"/>
            </w:tcBorders>
            <w:shd w:val="clear" w:color="auto" w:fill="auto"/>
          </w:tcPr>
          <w:p w14:paraId="1ECD344A" w14:textId="77777777" w:rsidR="00AD4283" w:rsidRPr="002D2F67" w:rsidRDefault="00AD4283" w:rsidP="00AD4283">
            <w:pPr>
              <w:ind w:right="-72"/>
              <w:jc w:val="right"/>
              <w:rPr>
                <w:rFonts w:ascii="Arial" w:hAnsi="Arial" w:cs="Arial"/>
                <w:color w:val="000000"/>
                <w:sz w:val="14"/>
                <w:szCs w:val="14"/>
              </w:rPr>
            </w:pPr>
          </w:p>
        </w:tc>
        <w:tc>
          <w:tcPr>
            <w:tcW w:w="1440" w:type="dxa"/>
            <w:tcBorders>
              <w:top w:val="single" w:sz="4" w:space="0" w:color="auto"/>
            </w:tcBorders>
            <w:shd w:val="clear" w:color="auto" w:fill="auto"/>
          </w:tcPr>
          <w:p w14:paraId="415BCBCE" w14:textId="77777777" w:rsidR="00AD4283" w:rsidRPr="002D2F67" w:rsidRDefault="00AD4283" w:rsidP="00AD4283">
            <w:pPr>
              <w:ind w:right="-72"/>
              <w:jc w:val="right"/>
              <w:rPr>
                <w:rFonts w:ascii="Arial" w:hAnsi="Arial" w:cs="Arial"/>
                <w:color w:val="000000"/>
                <w:sz w:val="14"/>
                <w:szCs w:val="14"/>
              </w:rPr>
            </w:pPr>
          </w:p>
        </w:tc>
      </w:tr>
      <w:tr w:rsidR="00AD4283" w:rsidRPr="002D2F67" w14:paraId="720700E7" w14:textId="77777777" w:rsidTr="005611FE">
        <w:trPr>
          <w:trHeight w:val="243"/>
        </w:trPr>
        <w:tc>
          <w:tcPr>
            <w:tcW w:w="3690" w:type="dxa"/>
            <w:shd w:val="clear" w:color="auto" w:fill="auto"/>
          </w:tcPr>
          <w:p w14:paraId="0346EE25" w14:textId="77777777" w:rsidR="00AD4283" w:rsidRPr="002D2F67" w:rsidRDefault="00AD4283" w:rsidP="00AD4283">
            <w:pPr>
              <w:tabs>
                <w:tab w:val="left" w:pos="1134"/>
                <w:tab w:val="left" w:pos="1276"/>
                <w:tab w:val="center" w:pos="3402"/>
                <w:tab w:val="center" w:pos="4536"/>
                <w:tab w:val="center" w:pos="5670"/>
                <w:tab w:val="center" w:pos="6804"/>
                <w:tab w:val="right" w:pos="7655"/>
              </w:tabs>
              <w:ind w:left="447" w:right="-72"/>
              <w:rPr>
                <w:rFonts w:ascii="Arial" w:hAnsi="Arial" w:cs="Arial"/>
                <w:color w:val="000000"/>
                <w:sz w:val="20"/>
                <w:szCs w:val="20"/>
              </w:rPr>
            </w:pPr>
            <w:r w:rsidRPr="002D2F67">
              <w:rPr>
                <w:rFonts w:ascii="Arial" w:hAnsi="Arial" w:cs="Arial"/>
                <w:color w:val="000000"/>
                <w:sz w:val="20"/>
                <w:szCs w:val="20"/>
              </w:rPr>
              <w:t>Closing balance</w:t>
            </w:r>
          </w:p>
        </w:tc>
        <w:tc>
          <w:tcPr>
            <w:tcW w:w="1440" w:type="dxa"/>
            <w:tcBorders>
              <w:bottom w:val="single" w:sz="4" w:space="0" w:color="auto"/>
            </w:tcBorders>
            <w:shd w:val="clear" w:color="auto" w:fill="auto"/>
          </w:tcPr>
          <w:p w14:paraId="532AA33C" w14:textId="5446F8D8" w:rsidR="00AD4283" w:rsidRPr="002D2F67" w:rsidRDefault="00CD5714" w:rsidP="00AD4283">
            <w:pPr>
              <w:ind w:right="-72"/>
              <w:jc w:val="right"/>
              <w:rPr>
                <w:rFonts w:ascii="Arial" w:hAnsi="Arial" w:cs="Arial"/>
                <w:color w:val="000000"/>
                <w:sz w:val="20"/>
                <w:szCs w:val="20"/>
              </w:rPr>
            </w:pPr>
            <w:r w:rsidRPr="00CD5714">
              <w:rPr>
                <w:rFonts w:ascii="Arial" w:hAnsi="Arial" w:cs="Arial"/>
                <w:color w:val="000000"/>
                <w:sz w:val="20"/>
                <w:szCs w:val="25"/>
                <w:lang w:val="en-GB"/>
              </w:rPr>
              <w:t>900</w:t>
            </w:r>
            <w:r w:rsidR="00AD4283" w:rsidRPr="002D2F67">
              <w:rPr>
                <w:rFonts w:ascii="Arial" w:hAnsi="Arial" w:cs="Arial"/>
                <w:color w:val="000000"/>
                <w:sz w:val="20"/>
                <w:szCs w:val="25"/>
              </w:rPr>
              <w:t>,</w:t>
            </w:r>
            <w:r w:rsidRPr="00CD5714">
              <w:rPr>
                <w:rFonts w:ascii="Arial" w:hAnsi="Arial" w:cs="Arial"/>
                <w:color w:val="000000"/>
                <w:sz w:val="20"/>
                <w:szCs w:val="25"/>
                <w:lang w:val="en-GB"/>
              </w:rPr>
              <w:t>000</w:t>
            </w:r>
          </w:p>
        </w:tc>
        <w:tc>
          <w:tcPr>
            <w:tcW w:w="1440" w:type="dxa"/>
            <w:tcBorders>
              <w:bottom w:val="single" w:sz="4" w:space="0" w:color="auto"/>
            </w:tcBorders>
            <w:shd w:val="clear" w:color="auto" w:fill="auto"/>
          </w:tcPr>
          <w:p w14:paraId="25C50B91" w14:textId="75508D4B" w:rsidR="00AD4283" w:rsidRPr="002D2F67" w:rsidRDefault="00CD5714" w:rsidP="00AD4283">
            <w:pPr>
              <w:ind w:right="-72"/>
              <w:jc w:val="right"/>
              <w:rPr>
                <w:rFonts w:ascii="Arial" w:hAnsi="Arial" w:cs="Arial"/>
                <w:color w:val="000000"/>
                <w:sz w:val="20"/>
                <w:szCs w:val="20"/>
              </w:rPr>
            </w:pPr>
            <w:r w:rsidRPr="00CD5714">
              <w:rPr>
                <w:rFonts w:ascii="Arial" w:hAnsi="Arial" w:cs="Arial"/>
                <w:color w:val="000000"/>
                <w:sz w:val="20"/>
                <w:szCs w:val="20"/>
                <w:lang w:val="en-GB"/>
              </w:rPr>
              <w:t>435</w:t>
            </w:r>
            <w:r w:rsidR="00AD4283" w:rsidRPr="002D2F67">
              <w:rPr>
                <w:rFonts w:ascii="Arial" w:hAnsi="Arial" w:cs="Arial"/>
                <w:color w:val="000000"/>
                <w:sz w:val="20"/>
                <w:szCs w:val="20"/>
              </w:rPr>
              <w:t>,</w:t>
            </w:r>
            <w:r w:rsidRPr="00CD5714">
              <w:rPr>
                <w:rFonts w:ascii="Arial" w:hAnsi="Arial" w:cs="Arial"/>
                <w:color w:val="000000"/>
                <w:sz w:val="20"/>
                <w:szCs w:val="20"/>
                <w:lang w:val="en-GB"/>
              </w:rPr>
              <w:t>000</w:t>
            </w:r>
          </w:p>
        </w:tc>
        <w:tc>
          <w:tcPr>
            <w:tcW w:w="1440" w:type="dxa"/>
            <w:tcBorders>
              <w:bottom w:val="single" w:sz="4" w:space="0" w:color="auto"/>
            </w:tcBorders>
            <w:shd w:val="clear" w:color="auto" w:fill="auto"/>
          </w:tcPr>
          <w:p w14:paraId="13599132" w14:textId="1195646E" w:rsidR="00AD4283" w:rsidRPr="002D2F67" w:rsidRDefault="00CD5714" w:rsidP="00AD4283">
            <w:pPr>
              <w:ind w:right="-72"/>
              <w:jc w:val="right"/>
              <w:rPr>
                <w:rFonts w:ascii="Arial" w:hAnsi="Arial" w:cs="Arial"/>
                <w:color w:val="000000"/>
                <w:sz w:val="20"/>
                <w:szCs w:val="20"/>
              </w:rPr>
            </w:pPr>
            <w:r w:rsidRPr="00CD5714">
              <w:rPr>
                <w:rFonts w:ascii="Arial" w:hAnsi="Arial" w:cs="Arial"/>
                <w:color w:val="000000"/>
                <w:sz w:val="20"/>
                <w:szCs w:val="20"/>
                <w:lang w:val="en-GB"/>
              </w:rPr>
              <w:t>4</w:t>
            </w:r>
            <w:r w:rsidR="00AD4283" w:rsidRPr="002D2F67">
              <w:rPr>
                <w:rFonts w:ascii="Arial" w:hAnsi="Arial" w:cs="Arial"/>
                <w:color w:val="000000"/>
                <w:sz w:val="20"/>
                <w:szCs w:val="20"/>
              </w:rPr>
              <w:t>,</w:t>
            </w:r>
            <w:r w:rsidRPr="00CD5714">
              <w:rPr>
                <w:rFonts w:ascii="Arial" w:hAnsi="Arial" w:cs="Arial"/>
                <w:color w:val="000000"/>
                <w:sz w:val="20"/>
                <w:szCs w:val="20"/>
                <w:lang w:val="en-GB"/>
              </w:rPr>
              <w:t>643</w:t>
            </w:r>
            <w:r w:rsidR="00AD4283" w:rsidRPr="002D2F67">
              <w:rPr>
                <w:rFonts w:ascii="Arial" w:hAnsi="Arial" w:cs="Arial"/>
                <w:color w:val="000000"/>
                <w:sz w:val="20"/>
                <w:szCs w:val="20"/>
              </w:rPr>
              <w:t>,</w:t>
            </w:r>
            <w:r w:rsidRPr="00CD5714">
              <w:rPr>
                <w:rFonts w:ascii="Arial" w:hAnsi="Arial" w:cs="Arial"/>
                <w:color w:val="000000"/>
                <w:sz w:val="20"/>
                <w:szCs w:val="20"/>
                <w:lang w:val="en-GB"/>
              </w:rPr>
              <w:t>360</w:t>
            </w:r>
          </w:p>
        </w:tc>
        <w:tc>
          <w:tcPr>
            <w:tcW w:w="1440" w:type="dxa"/>
            <w:tcBorders>
              <w:bottom w:val="single" w:sz="4" w:space="0" w:color="auto"/>
            </w:tcBorders>
            <w:shd w:val="clear" w:color="auto" w:fill="auto"/>
          </w:tcPr>
          <w:p w14:paraId="6E23E4A2" w14:textId="1793293B" w:rsidR="00AD4283" w:rsidRPr="002D2F67" w:rsidRDefault="00CD5714" w:rsidP="00AD4283">
            <w:pPr>
              <w:ind w:right="-72"/>
              <w:jc w:val="right"/>
              <w:rPr>
                <w:rFonts w:ascii="Arial" w:hAnsi="Arial" w:cs="Arial"/>
                <w:color w:val="000000"/>
                <w:sz w:val="20"/>
                <w:szCs w:val="20"/>
              </w:rPr>
            </w:pPr>
            <w:r w:rsidRPr="00CD5714">
              <w:rPr>
                <w:rFonts w:ascii="Arial" w:hAnsi="Arial" w:cs="Arial"/>
                <w:color w:val="000000"/>
                <w:sz w:val="20"/>
                <w:szCs w:val="20"/>
                <w:lang w:val="en-GB"/>
              </w:rPr>
              <w:t>705</w:t>
            </w:r>
            <w:r w:rsidR="00AD4283" w:rsidRPr="002D2F67">
              <w:rPr>
                <w:rFonts w:ascii="Arial" w:hAnsi="Arial" w:cs="Arial"/>
                <w:color w:val="000000"/>
                <w:sz w:val="20"/>
                <w:szCs w:val="20"/>
              </w:rPr>
              <w:t>,</w:t>
            </w:r>
            <w:r w:rsidRPr="00CD5714">
              <w:rPr>
                <w:rFonts w:ascii="Arial" w:hAnsi="Arial" w:cs="Arial"/>
                <w:color w:val="000000"/>
                <w:sz w:val="20"/>
                <w:szCs w:val="20"/>
                <w:lang w:val="en-GB"/>
              </w:rPr>
              <w:t>710</w:t>
            </w:r>
          </w:p>
        </w:tc>
      </w:tr>
    </w:tbl>
    <w:p w14:paraId="7C85C1C4" w14:textId="77777777" w:rsidR="00AB5B46" w:rsidRPr="002D2F67" w:rsidRDefault="00AB5B46" w:rsidP="00AB5B46">
      <w:pPr>
        <w:ind w:left="567" w:firstLine="18"/>
        <w:jc w:val="thaiDistribute"/>
        <w:rPr>
          <w:rFonts w:ascii="Arial" w:hAnsi="Arial" w:cs="Arial"/>
          <w:color w:val="000000"/>
          <w:sz w:val="20"/>
          <w:szCs w:val="20"/>
        </w:rPr>
      </w:pPr>
    </w:p>
    <w:p w14:paraId="56964A69" w14:textId="36D1639B" w:rsidR="00845BE3" w:rsidRPr="002D2F67" w:rsidRDefault="00A265CD" w:rsidP="00AB5B46">
      <w:pPr>
        <w:ind w:left="567" w:firstLine="18"/>
        <w:jc w:val="thaiDistribute"/>
        <w:rPr>
          <w:rFonts w:ascii="Arial" w:hAnsi="Arial" w:cs="Arial"/>
          <w:color w:val="000000"/>
          <w:sz w:val="20"/>
          <w:szCs w:val="20"/>
        </w:rPr>
      </w:pPr>
      <w:r w:rsidRPr="002D2F67">
        <w:rPr>
          <w:rFonts w:ascii="Arial" w:hAnsi="Arial" w:cs="Arial"/>
          <w:color w:val="000000"/>
          <w:sz w:val="20"/>
          <w:szCs w:val="20"/>
        </w:rPr>
        <w:t xml:space="preserve">On </w:t>
      </w:r>
      <w:r w:rsidR="00CD5714" w:rsidRPr="00CD5714">
        <w:rPr>
          <w:rFonts w:ascii="Arial" w:hAnsi="Arial" w:cs="Arial"/>
          <w:color w:val="000000"/>
          <w:sz w:val="20"/>
          <w:szCs w:val="20"/>
          <w:lang w:val="en-GB"/>
        </w:rPr>
        <w:t>30</w:t>
      </w:r>
      <w:r w:rsidRPr="002D2F67">
        <w:rPr>
          <w:rFonts w:ascii="Arial" w:hAnsi="Arial" w:cs="Arial"/>
          <w:color w:val="000000"/>
          <w:sz w:val="20"/>
          <w:szCs w:val="20"/>
        </w:rPr>
        <w:t xml:space="preserve"> September </w:t>
      </w:r>
      <w:r w:rsidR="00CD5714" w:rsidRPr="00CD5714">
        <w:rPr>
          <w:rFonts w:ascii="Arial" w:hAnsi="Arial" w:cs="Arial"/>
          <w:color w:val="000000"/>
          <w:sz w:val="20"/>
          <w:szCs w:val="20"/>
          <w:lang w:val="en-GB"/>
        </w:rPr>
        <w:t>2024</w:t>
      </w:r>
      <w:r w:rsidRPr="002D2F67">
        <w:rPr>
          <w:rFonts w:ascii="Arial" w:hAnsi="Arial" w:cs="Arial"/>
          <w:color w:val="000000"/>
          <w:sz w:val="20"/>
          <w:szCs w:val="20"/>
        </w:rPr>
        <w:t xml:space="preserve">, the Company entered </w:t>
      </w:r>
      <w:r w:rsidR="00835E79" w:rsidRPr="002D2F67">
        <w:rPr>
          <w:rFonts w:ascii="Arial" w:hAnsi="Arial" w:cs="Arial"/>
          <w:color w:val="000000"/>
          <w:sz w:val="20"/>
          <w:szCs w:val="20"/>
        </w:rPr>
        <w:t>into</w:t>
      </w:r>
      <w:r w:rsidRPr="002D2F67">
        <w:rPr>
          <w:rFonts w:ascii="Arial" w:hAnsi="Arial" w:cs="Arial"/>
          <w:color w:val="000000"/>
          <w:sz w:val="20"/>
          <w:szCs w:val="20"/>
        </w:rPr>
        <w:t xml:space="preserve"> the </w:t>
      </w:r>
      <w:r w:rsidR="0029091F" w:rsidRPr="002D2F67">
        <w:rPr>
          <w:rFonts w:ascii="Arial" w:hAnsi="Arial" w:cs="Arial"/>
          <w:color w:val="000000"/>
          <w:sz w:val="20"/>
          <w:szCs w:val="20"/>
        </w:rPr>
        <w:t>short-term loan agreement by</w:t>
      </w:r>
      <w:r w:rsidR="00F33544" w:rsidRPr="002D2F67">
        <w:rPr>
          <w:rFonts w:ascii="Arial" w:hAnsi="Arial" w:cs="Arial"/>
          <w:color w:val="000000"/>
          <w:sz w:val="20"/>
          <w:szCs w:val="20"/>
        </w:rPr>
        <w:t xml:space="preserve"> issuing</w:t>
      </w:r>
      <w:r w:rsidR="0029091F" w:rsidRPr="002D2F67">
        <w:rPr>
          <w:rFonts w:ascii="Arial" w:hAnsi="Arial" w:cs="Arial"/>
          <w:color w:val="000000"/>
          <w:sz w:val="20"/>
          <w:szCs w:val="20"/>
        </w:rPr>
        <w:t xml:space="preserve"> </w:t>
      </w:r>
      <w:r w:rsidR="00296263" w:rsidRPr="002D2F67">
        <w:rPr>
          <w:rFonts w:ascii="Arial" w:hAnsi="Arial" w:cs="Arial"/>
          <w:color w:val="000000"/>
          <w:sz w:val="20"/>
          <w:szCs w:val="20"/>
        </w:rPr>
        <w:t xml:space="preserve">a </w:t>
      </w:r>
      <w:r w:rsidR="00296263" w:rsidRPr="002D2F67">
        <w:rPr>
          <w:rFonts w:ascii="Arial" w:hAnsi="Arial" w:cs="Arial"/>
          <w:color w:val="000000"/>
          <w:spacing w:val="-4"/>
          <w:sz w:val="20"/>
          <w:szCs w:val="20"/>
        </w:rPr>
        <w:t xml:space="preserve">promissory note amounting to </w:t>
      </w:r>
      <w:r w:rsidR="00E22FF7" w:rsidRPr="002D2F67">
        <w:rPr>
          <w:rFonts w:ascii="Arial" w:hAnsi="Arial" w:cs="Arial"/>
          <w:color w:val="000000"/>
          <w:spacing w:val="-4"/>
          <w:sz w:val="20"/>
          <w:szCs w:val="20"/>
        </w:rPr>
        <w:t xml:space="preserve">Baht </w:t>
      </w:r>
      <w:r w:rsidR="00CD5714" w:rsidRPr="00CD5714">
        <w:rPr>
          <w:rFonts w:ascii="Arial" w:hAnsi="Arial" w:cs="Arial"/>
          <w:color w:val="000000"/>
          <w:spacing w:val="-4"/>
          <w:sz w:val="20"/>
          <w:szCs w:val="20"/>
          <w:lang w:val="en-GB"/>
        </w:rPr>
        <w:t>900</w:t>
      </w:r>
      <w:r w:rsidR="00E22FF7" w:rsidRPr="002D2F67">
        <w:rPr>
          <w:rFonts w:ascii="Arial" w:hAnsi="Arial" w:cs="Arial"/>
          <w:color w:val="000000"/>
          <w:spacing w:val="-4"/>
          <w:sz w:val="20"/>
          <w:szCs w:val="20"/>
        </w:rPr>
        <w:t xml:space="preserve"> million to </w:t>
      </w:r>
      <w:r w:rsidR="00D1197F" w:rsidRPr="002D2F67">
        <w:rPr>
          <w:rFonts w:ascii="Arial" w:hAnsi="Arial" w:cs="Arial"/>
          <w:color w:val="000000"/>
          <w:spacing w:val="-4"/>
          <w:sz w:val="20"/>
          <w:szCs w:val="20"/>
        </w:rPr>
        <w:t>Mr. Somphote Ahunai, an indirect major shareholder of the Company</w:t>
      </w:r>
      <w:r w:rsidR="00D1197F" w:rsidRPr="002D2F67">
        <w:rPr>
          <w:rFonts w:ascii="Arial" w:hAnsi="Arial" w:cs="Arial"/>
          <w:color w:val="000000"/>
          <w:sz w:val="20"/>
          <w:szCs w:val="20"/>
        </w:rPr>
        <w:t xml:space="preserve">. The said promissory note are unsecured. The promissory note bore fixed interest rate </w:t>
      </w:r>
      <w:r w:rsidR="00D1197F" w:rsidRPr="002D2F67">
        <w:rPr>
          <w:rFonts w:ascii="Arial" w:hAnsi="Arial" w:cs="Arial"/>
          <w:color w:val="000000"/>
          <w:spacing w:val="-6"/>
          <w:sz w:val="20"/>
          <w:szCs w:val="20"/>
        </w:rPr>
        <w:t xml:space="preserve">at </w:t>
      </w:r>
      <w:r w:rsidR="00CD5714" w:rsidRPr="00CD5714">
        <w:rPr>
          <w:rFonts w:ascii="Arial" w:hAnsi="Arial" w:cs="Arial"/>
          <w:color w:val="000000"/>
          <w:spacing w:val="-6"/>
          <w:sz w:val="20"/>
          <w:szCs w:val="20"/>
          <w:lang w:val="en-GB"/>
        </w:rPr>
        <w:t>4</w:t>
      </w:r>
      <w:r w:rsidR="00D1197F" w:rsidRPr="002D2F67">
        <w:rPr>
          <w:rFonts w:ascii="Arial" w:hAnsi="Arial" w:cs="Arial"/>
          <w:color w:val="000000"/>
          <w:spacing w:val="-6"/>
          <w:sz w:val="20"/>
          <w:szCs w:val="20"/>
        </w:rPr>
        <w:t>.</w:t>
      </w:r>
      <w:r w:rsidR="00CC5F88">
        <w:rPr>
          <w:rFonts w:ascii="Arial" w:hAnsi="Arial" w:cs="Arial"/>
          <w:color w:val="000000"/>
          <w:spacing w:val="-6"/>
          <w:sz w:val="20"/>
          <w:szCs w:val="20"/>
        </w:rPr>
        <w:t>50</w:t>
      </w:r>
      <w:r w:rsidR="00D1197F" w:rsidRPr="002D2F67">
        <w:rPr>
          <w:rFonts w:ascii="Arial" w:hAnsi="Arial" w:cs="Arial"/>
          <w:color w:val="000000"/>
          <w:spacing w:val="-6"/>
          <w:sz w:val="20"/>
          <w:szCs w:val="20"/>
        </w:rPr>
        <w:t xml:space="preserve">% per annum </w:t>
      </w:r>
      <w:r w:rsidR="00663C07">
        <w:rPr>
          <w:rFonts w:ascii="Arial" w:hAnsi="Arial" w:cs="Arial"/>
          <w:color w:val="000000"/>
          <w:spacing w:val="-6"/>
          <w:sz w:val="20"/>
          <w:szCs w:val="20"/>
        </w:rPr>
        <w:t>with</w:t>
      </w:r>
      <w:r w:rsidR="000A05CE" w:rsidRPr="002D2F67">
        <w:rPr>
          <w:rFonts w:ascii="Arial" w:hAnsi="Arial" w:cs="Arial"/>
          <w:color w:val="000000"/>
          <w:spacing w:val="-6"/>
          <w:sz w:val="20"/>
          <w:szCs w:val="20"/>
        </w:rPr>
        <w:t xml:space="preserve"> terms of</w:t>
      </w:r>
      <w:r w:rsidR="001F4F77" w:rsidRPr="002D2F67">
        <w:rPr>
          <w:rFonts w:ascii="Arial" w:hAnsi="Arial" w:cs="Arial"/>
          <w:color w:val="000000"/>
          <w:spacing w:val="-6"/>
          <w:sz w:val="20"/>
          <w:szCs w:val="20"/>
        </w:rPr>
        <w:t xml:space="preserve"> </w:t>
      </w:r>
      <w:r w:rsidR="00845BE3" w:rsidRPr="002D2F67">
        <w:rPr>
          <w:rFonts w:ascii="Arial" w:hAnsi="Arial" w:cs="Arial"/>
          <w:color w:val="000000"/>
          <w:spacing w:val="-6"/>
          <w:sz w:val="20"/>
          <w:szCs w:val="20"/>
        </w:rPr>
        <w:t>principal</w:t>
      </w:r>
      <w:r w:rsidR="001F4F77" w:rsidRPr="002D2F67">
        <w:rPr>
          <w:rFonts w:ascii="Arial" w:hAnsi="Arial" w:cs="Arial"/>
          <w:color w:val="000000"/>
          <w:spacing w:val="-6"/>
          <w:sz w:val="20"/>
          <w:szCs w:val="20"/>
        </w:rPr>
        <w:t xml:space="preserve"> </w:t>
      </w:r>
      <w:r w:rsidR="000A05CE" w:rsidRPr="002D2F67">
        <w:rPr>
          <w:rFonts w:ascii="Arial" w:hAnsi="Arial" w:cs="Arial"/>
          <w:color w:val="000000"/>
          <w:spacing w:val="-6"/>
          <w:sz w:val="20"/>
          <w:szCs w:val="20"/>
        </w:rPr>
        <w:t xml:space="preserve">repayment </w:t>
      </w:r>
      <w:r w:rsidR="001F4F77" w:rsidRPr="002D2F67">
        <w:rPr>
          <w:rFonts w:ascii="Arial" w:hAnsi="Arial" w:cs="Arial"/>
          <w:color w:val="000000"/>
          <w:spacing w:val="-6"/>
          <w:sz w:val="20"/>
          <w:szCs w:val="20"/>
        </w:rPr>
        <w:t xml:space="preserve">and interest </w:t>
      </w:r>
      <w:r w:rsidR="000A05CE" w:rsidRPr="002D2F67">
        <w:rPr>
          <w:rFonts w:ascii="Arial" w:hAnsi="Arial" w:cs="Arial"/>
          <w:color w:val="000000"/>
          <w:spacing w:val="-6"/>
          <w:sz w:val="20"/>
          <w:szCs w:val="20"/>
        </w:rPr>
        <w:t>repayment</w:t>
      </w:r>
      <w:r w:rsidR="001F4F77" w:rsidRPr="002D2F67">
        <w:rPr>
          <w:rFonts w:ascii="Arial" w:hAnsi="Arial" w:cs="Arial"/>
          <w:color w:val="000000"/>
          <w:spacing w:val="-6"/>
          <w:sz w:val="20"/>
          <w:szCs w:val="20"/>
        </w:rPr>
        <w:t xml:space="preserve"> </w:t>
      </w:r>
      <w:r w:rsidR="00845BE3" w:rsidRPr="002D2F67">
        <w:rPr>
          <w:rFonts w:ascii="Arial" w:hAnsi="Arial" w:cs="Arial"/>
          <w:color w:val="000000"/>
          <w:spacing w:val="-6"/>
          <w:sz w:val="20"/>
          <w:szCs w:val="20"/>
        </w:rPr>
        <w:t>w</w:t>
      </w:r>
      <w:r w:rsidR="000A05CE" w:rsidRPr="002D2F67">
        <w:rPr>
          <w:rFonts w:ascii="Arial" w:hAnsi="Arial" w:cs="Arial"/>
          <w:color w:val="000000"/>
          <w:spacing w:val="-6"/>
          <w:sz w:val="20"/>
          <w:szCs w:val="20"/>
        </w:rPr>
        <w:t>ere</w:t>
      </w:r>
      <w:r w:rsidR="00845BE3" w:rsidRPr="002D2F67">
        <w:rPr>
          <w:rFonts w:ascii="Arial" w:hAnsi="Arial" w:cs="Arial"/>
          <w:color w:val="000000"/>
          <w:spacing w:val="-6"/>
          <w:sz w:val="20"/>
          <w:szCs w:val="20"/>
        </w:rPr>
        <w:t xml:space="preserve"> on </w:t>
      </w:r>
      <w:r w:rsidR="00CD5714" w:rsidRPr="00CD5714">
        <w:rPr>
          <w:rFonts w:ascii="Arial" w:hAnsi="Arial" w:cs="Arial"/>
          <w:color w:val="000000"/>
          <w:spacing w:val="-6"/>
          <w:sz w:val="20"/>
          <w:szCs w:val="20"/>
          <w:lang w:val="en-GB"/>
        </w:rPr>
        <w:t>28</w:t>
      </w:r>
      <w:r w:rsidR="00845BE3" w:rsidRPr="002D2F67">
        <w:rPr>
          <w:rFonts w:ascii="Arial" w:hAnsi="Arial" w:cs="Arial"/>
          <w:color w:val="000000"/>
          <w:spacing w:val="-6"/>
          <w:sz w:val="20"/>
          <w:szCs w:val="20"/>
        </w:rPr>
        <w:t xml:space="preserve"> January </w:t>
      </w:r>
      <w:r w:rsidR="00CD5714" w:rsidRPr="00CD5714">
        <w:rPr>
          <w:rFonts w:ascii="Arial" w:hAnsi="Arial" w:cs="Arial"/>
          <w:color w:val="000000"/>
          <w:spacing w:val="-6"/>
          <w:sz w:val="20"/>
          <w:szCs w:val="20"/>
          <w:lang w:val="en-GB"/>
        </w:rPr>
        <w:t>2025</w:t>
      </w:r>
      <w:r w:rsidR="00845BE3" w:rsidRPr="002D2F67">
        <w:rPr>
          <w:rFonts w:ascii="Arial" w:hAnsi="Arial" w:cs="Arial"/>
          <w:color w:val="000000"/>
          <w:sz w:val="20"/>
          <w:szCs w:val="20"/>
        </w:rPr>
        <w:t>.</w:t>
      </w:r>
    </w:p>
    <w:p w14:paraId="4A405AF7" w14:textId="77777777" w:rsidR="00AB5B46" w:rsidRPr="002D2F67" w:rsidRDefault="00AB5B46" w:rsidP="00AB5B46">
      <w:pPr>
        <w:ind w:left="567" w:firstLine="18"/>
        <w:jc w:val="thaiDistribute"/>
        <w:rPr>
          <w:rFonts w:ascii="Arial" w:hAnsi="Arial" w:cs="Arial"/>
          <w:color w:val="000000"/>
          <w:sz w:val="20"/>
          <w:szCs w:val="20"/>
        </w:rPr>
      </w:pPr>
    </w:p>
    <w:p w14:paraId="6A9D5487" w14:textId="77777777" w:rsidR="00ED49DC" w:rsidRPr="002D2F67" w:rsidRDefault="00ED49DC" w:rsidP="00ED49DC">
      <w:pPr>
        <w:tabs>
          <w:tab w:val="left" w:pos="540"/>
        </w:tabs>
        <w:ind w:left="540"/>
        <w:jc w:val="both"/>
        <w:rPr>
          <w:rFonts w:ascii="Arial" w:hAnsi="Arial" w:cs="Arial"/>
          <w:spacing w:val="-4"/>
          <w:sz w:val="20"/>
          <w:szCs w:val="20"/>
          <w:u w:val="single"/>
        </w:rPr>
      </w:pPr>
      <w:r w:rsidRPr="002D2F67">
        <w:rPr>
          <w:rFonts w:ascii="Arial" w:hAnsi="Arial" w:cs="Arial"/>
          <w:spacing w:val="-4"/>
          <w:sz w:val="20"/>
          <w:szCs w:val="20"/>
          <w:u w:val="single"/>
        </w:rPr>
        <w:t>Long-term loans</w:t>
      </w:r>
    </w:p>
    <w:p w14:paraId="30C0B6B4" w14:textId="77777777" w:rsidR="00ED49DC" w:rsidRDefault="00ED49DC" w:rsidP="00ED49DC">
      <w:pPr>
        <w:ind w:left="540"/>
        <w:jc w:val="both"/>
        <w:rPr>
          <w:rFonts w:ascii="Arial" w:hAnsi="Arial" w:cs="Arial"/>
          <w:sz w:val="20"/>
          <w:szCs w:val="20"/>
        </w:rPr>
      </w:pPr>
    </w:p>
    <w:p w14:paraId="03DCCBAA" w14:textId="2A59CF78" w:rsidR="00663C07" w:rsidRPr="00663C07" w:rsidRDefault="00663C07" w:rsidP="00ED49DC">
      <w:pPr>
        <w:ind w:left="540"/>
        <w:jc w:val="both"/>
        <w:rPr>
          <w:rFonts w:ascii="Arial" w:hAnsi="Arial" w:cs="Browallia New"/>
          <w:sz w:val="20"/>
          <w:szCs w:val="25"/>
          <w:lang w:val="en-GB"/>
        </w:rPr>
      </w:pPr>
      <w:r>
        <w:rPr>
          <w:rFonts w:ascii="Arial" w:hAnsi="Arial" w:cs="Arial"/>
          <w:sz w:val="20"/>
          <w:szCs w:val="20"/>
        </w:rPr>
        <w:t xml:space="preserve">On 4 January 2027, the Company issue a promissory note to extend the maturity date of short-term </w:t>
      </w:r>
      <w:r w:rsidRPr="00663C07">
        <w:rPr>
          <w:rFonts w:ascii="Arial" w:hAnsi="Arial" w:cs="Arial"/>
          <w:spacing w:val="-4"/>
          <w:sz w:val="20"/>
          <w:szCs w:val="20"/>
        </w:rPr>
        <w:t xml:space="preserve">loan to long-term loans to related </w:t>
      </w:r>
      <w:r w:rsidRPr="00663C07">
        <w:rPr>
          <w:rFonts w:ascii="Arial" w:hAnsi="Arial" w:cs="Browallia New"/>
          <w:spacing w:val="-4"/>
          <w:sz w:val="20"/>
          <w:szCs w:val="25"/>
        </w:rPr>
        <w:t>parties of Baht 155 million. The loan bore fixed interest rate at 0.50%</w:t>
      </w:r>
      <w:r>
        <w:rPr>
          <w:rFonts w:ascii="Arial" w:hAnsi="Arial" w:cs="Browallia New"/>
          <w:sz w:val="20"/>
          <w:szCs w:val="25"/>
        </w:rPr>
        <w:t xml:space="preserve"> per annum. However, the Company paid for the principal and interest during the year.</w:t>
      </w:r>
    </w:p>
    <w:p w14:paraId="7B5D7E30" w14:textId="77777777" w:rsidR="00663C07" w:rsidRDefault="00663C07" w:rsidP="00ED49DC">
      <w:pPr>
        <w:ind w:left="540"/>
        <w:jc w:val="both"/>
        <w:rPr>
          <w:rFonts w:ascii="Arial" w:hAnsi="Arial" w:cs="Arial"/>
          <w:sz w:val="20"/>
          <w:szCs w:val="20"/>
        </w:rPr>
      </w:pPr>
    </w:p>
    <w:p w14:paraId="6C2DF44D" w14:textId="77777777" w:rsidR="00ED49DC" w:rsidRPr="002D2F67" w:rsidRDefault="00ED49DC" w:rsidP="00ED49DC">
      <w:pPr>
        <w:ind w:left="540"/>
        <w:jc w:val="both"/>
        <w:rPr>
          <w:rFonts w:ascii="Arial" w:hAnsi="Arial" w:cs="Arial"/>
          <w:sz w:val="20"/>
          <w:szCs w:val="20"/>
        </w:rPr>
      </w:pPr>
      <w:r w:rsidRPr="002D2F67">
        <w:rPr>
          <w:rFonts w:ascii="Arial" w:hAnsi="Arial" w:cs="Arial"/>
          <w:sz w:val="20"/>
          <w:szCs w:val="20"/>
        </w:rPr>
        <w:t>The movement of long-term loans from related parties can be analysed as follows:</w:t>
      </w:r>
    </w:p>
    <w:p w14:paraId="3EDCD6AF" w14:textId="77777777" w:rsidR="005C0D03" w:rsidRPr="002D2F67" w:rsidRDefault="005C0D03" w:rsidP="001F5C20">
      <w:pPr>
        <w:jc w:val="thaiDistribute"/>
        <w:rPr>
          <w:rFonts w:ascii="Arial" w:hAnsi="Arial" w:cs="Arial"/>
          <w:color w:val="000000"/>
          <w:sz w:val="20"/>
          <w:szCs w:val="20"/>
        </w:rPr>
      </w:pPr>
    </w:p>
    <w:tbl>
      <w:tblPr>
        <w:tblW w:w="9548" w:type="dxa"/>
        <w:tblInd w:w="10" w:type="dxa"/>
        <w:tblLayout w:type="fixed"/>
        <w:tblLook w:val="0000" w:firstRow="0" w:lastRow="0" w:firstColumn="0" w:lastColumn="0" w:noHBand="0" w:noVBand="0"/>
      </w:tblPr>
      <w:tblGrid>
        <w:gridCol w:w="3926"/>
        <w:gridCol w:w="1405"/>
        <w:gridCol w:w="1406"/>
        <w:gridCol w:w="1405"/>
        <w:gridCol w:w="1406"/>
      </w:tblGrid>
      <w:tr w:rsidR="00880702" w:rsidRPr="002D2F67" w14:paraId="4A3498AD" w14:textId="77777777">
        <w:tc>
          <w:tcPr>
            <w:tcW w:w="3926" w:type="dxa"/>
            <w:shd w:val="clear" w:color="auto" w:fill="auto"/>
          </w:tcPr>
          <w:p w14:paraId="35CDEB55" w14:textId="77777777" w:rsidR="00880702" w:rsidRPr="002D2F67" w:rsidRDefault="00880702">
            <w:pPr>
              <w:ind w:left="526" w:right="-72"/>
              <w:rPr>
                <w:rFonts w:ascii="Arial" w:hAnsi="Arial" w:cs="Arial"/>
                <w:b/>
                <w:bCs/>
                <w:color w:val="000000"/>
                <w:sz w:val="20"/>
                <w:szCs w:val="20"/>
              </w:rPr>
            </w:pPr>
          </w:p>
        </w:tc>
        <w:tc>
          <w:tcPr>
            <w:tcW w:w="2811" w:type="dxa"/>
            <w:gridSpan w:val="2"/>
            <w:tcBorders>
              <w:bottom w:val="single" w:sz="4" w:space="0" w:color="auto"/>
            </w:tcBorders>
            <w:shd w:val="clear" w:color="auto" w:fill="auto"/>
          </w:tcPr>
          <w:p w14:paraId="37C9F8B7" w14:textId="77777777" w:rsidR="00880702" w:rsidRPr="002D2F67" w:rsidRDefault="00880702">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5A576057" w14:textId="77777777" w:rsidR="00880702" w:rsidRPr="002D2F67" w:rsidRDefault="00880702">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2811" w:type="dxa"/>
            <w:gridSpan w:val="2"/>
            <w:tcBorders>
              <w:bottom w:val="single" w:sz="4" w:space="0" w:color="auto"/>
            </w:tcBorders>
            <w:shd w:val="clear" w:color="auto" w:fill="auto"/>
          </w:tcPr>
          <w:p w14:paraId="6517DDF8" w14:textId="77777777" w:rsidR="00880702" w:rsidRPr="002D2F67" w:rsidRDefault="00880702">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Separate </w:t>
            </w:r>
          </w:p>
          <w:p w14:paraId="5FAB504E" w14:textId="77777777" w:rsidR="00880702" w:rsidRPr="002D2F67" w:rsidRDefault="00880702">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880702" w:rsidRPr="002D2F67" w14:paraId="7FFCA3B2" w14:textId="77777777">
        <w:tc>
          <w:tcPr>
            <w:tcW w:w="3926" w:type="dxa"/>
            <w:shd w:val="clear" w:color="auto" w:fill="auto"/>
          </w:tcPr>
          <w:p w14:paraId="5ED2049B" w14:textId="77777777" w:rsidR="00880702" w:rsidRPr="002D2F67" w:rsidRDefault="00880702">
            <w:pPr>
              <w:tabs>
                <w:tab w:val="left" w:pos="1134"/>
                <w:tab w:val="left" w:pos="1276"/>
                <w:tab w:val="center" w:pos="3402"/>
                <w:tab w:val="center" w:pos="4536"/>
                <w:tab w:val="center" w:pos="5670"/>
                <w:tab w:val="center" w:pos="6804"/>
                <w:tab w:val="right" w:pos="7655"/>
              </w:tabs>
              <w:ind w:left="526" w:right="-72"/>
              <w:rPr>
                <w:rFonts w:ascii="Arial" w:hAnsi="Arial" w:cs="Arial"/>
                <w:b/>
                <w:bCs/>
                <w:color w:val="000000"/>
                <w:sz w:val="20"/>
                <w:szCs w:val="20"/>
              </w:rPr>
            </w:pPr>
            <w:r w:rsidRPr="002D2F67">
              <w:rPr>
                <w:rFonts w:ascii="Arial" w:hAnsi="Arial" w:cs="Arial"/>
                <w:b/>
                <w:bCs/>
                <w:color w:val="000000"/>
                <w:sz w:val="20"/>
                <w:szCs w:val="20"/>
              </w:rPr>
              <w:t>For the years ended</w:t>
            </w:r>
          </w:p>
        </w:tc>
        <w:tc>
          <w:tcPr>
            <w:tcW w:w="1405" w:type="dxa"/>
            <w:shd w:val="clear" w:color="auto" w:fill="auto"/>
          </w:tcPr>
          <w:p w14:paraId="3A078D65" w14:textId="082B97BB" w:rsidR="00880702" w:rsidRPr="002D2F67" w:rsidRDefault="00CD5714">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06" w:type="dxa"/>
            <w:shd w:val="clear" w:color="auto" w:fill="auto"/>
          </w:tcPr>
          <w:p w14:paraId="4EC8226C" w14:textId="2C8CAD2B" w:rsidR="00880702" w:rsidRPr="002D2F67" w:rsidRDefault="00CD5714">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2023</w:t>
            </w:r>
          </w:p>
        </w:tc>
        <w:tc>
          <w:tcPr>
            <w:tcW w:w="1405" w:type="dxa"/>
            <w:shd w:val="clear" w:color="auto" w:fill="auto"/>
          </w:tcPr>
          <w:p w14:paraId="6EDD750E" w14:textId="457718CD" w:rsidR="00880702" w:rsidRPr="002D2F67" w:rsidRDefault="00CD5714">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06" w:type="dxa"/>
            <w:shd w:val="clear" w:color="auto" w:fill="auto"/>
          </w:tcPr>
          <w:p w14:paraId="40E08289" w14:textId="33D1FE2F" w:rsidR="00880702" w:rsidRPr="002D2F67" w:rsidRDefault="00CD5714">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2023</w:t>
            </w:r>
          </w:p>
        </w:tc>
      </w:tr>
      <w:tr w:rsidR="00880702" w:rsidRPr="002D2F67" w14:paraId="68888DAE" w14:textId="77777777">
        <w:tc>
          <w:tcPr>
            <w:tcW w:w="3926" w:type="dxa"/>
            <w:shd w:val="clear" w:color="auto" w:fill="auto"/>
          </w:tcPr>
          <w:p w14:paraId="1A20F361" w14:textId="1D3B409E" w:rsidR="00880702" w:rsidRPr="002D2F67" w:rsidRDefault="00880702">
            <w:pPr>
              <w:tabs>
                <w:tab w:val="left" w:pos="1134"/>
                <w:tab w:val="left" w:pos="1276"/>
                <w:tab w:val="center" w:pos="3402"/>
                <w:tab w:val="center" w:pos="4536"/>
                <w:tab w:val="center" w:pos="5670"/>
                <w:tab w:val="center" w:pos="6804"/>
                <w:tab w:val="right" w:pos="7655"/>
              </w:tabs>
              <w:ind w:left="526" w:right="-72"/>
              <w:rPr>
                <w:rFonts w:ascii="Arial" w:hAnsi="Arial" w:cs="Arial"/>
                <w:b/>
                <w:bCs/>
                <w:color w:val="000000"/>
                <w:sz w:val="20"/>
                <w:szCs w:val="20"/>
              </w:rPr>
            </w:pPr>
            <w:r w:rsidRPr="002D2F67">
              <w:rPr>
                <w:rFonts w:ascii="Arial" w:hAnsi="Arial" w:cs="Arial"/>
                <w:color w:val="000000"/>
                <w:sz w:val="20"/>
                <w:szCs w:val="20"/>
              </w:rPr>
              <w:t xml:space="preserve">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w:t>
            </w:r>
          </w:p>
        </w:tc>
        <w:tc>
          <w:tcPr>
            <w:tcW w:w="1405" w:type="dxa"/>
            <w:tcBorders>
              <w:bottom w:val="single" w:sz="4" w:space="0" w:color="auto"/>
            </w:tcBorders>
            <w:shd w:val="clear" w:color="auto" w:fill="auto"/>
            <w:vAlign w:val="bottom"/>
          </w:tcPr>
          <w:p w14:paraId="7D2592B2" w14:textId="084D073D" w:rsidR="00880702" w:rsidRPr="002D2F67" w:rsidRDefault="00880702">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06" w:type="dxa"/>
            <w:tcBorders>
              <w:bottom w:val="single" w:sz="4" w:space="0" w:color="auto"/>
            </w:tcBorders>
            <w:shd w:val="clear" w:color="auto" w:fill="auto"/>
            <w:vAlign w:val="bottom"/>
          </w:tcPr>
          <w:p w14:paraId="2579BB4A" w14:textId="6E73882E" w:rsidR="00880702" w:rsidRPr="002D2F67" w:rsidRDefault="00880702">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05" w:type="dxa"/>
            <w:tcBorders>
              <w:bottom w:val="single" w:sz="4" w:space="0" w:color="auto"/>
            </w:tcBorders>
            <w:shd w:val="clear" w:color="auto" w:fill="auto"/>
            <w:vAlign w:val="bottom"/>
          </w:tcPr>
          <w:p w14:paraId="4A12CCD7" w14:textId="13F66E68" w:rsidR="00880702" w:rsidRPr="002D2F67" w:rsidRDefault="00880702">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06" w:type="dxa"/>
            <w:tcBorders>
              <w:bottom w:val="single" w:sz="4" w:space="0" w:color="auto"/>
            </w:tcBorders>
            <w:shd w:val="clear" w:color="auto" w:fill="auto"/>
            <w:vAlign w:val="bottom"/>
          </w:tcPr>
          <w:p w14:paraId="4E492E78" w14:textId="3CFA5064" w:rsidR="00880702" w:rsidRPr="002D2F67" w:rsidRDefault="00880702">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880702" w:rsidRPr="002D2F67" w14:paraId="238C5AB9" w14:textId="77777777">
        <w:trPr>
          <w:trHeight w:val="72"/>
        </w:trPr>
        <w:tc>
          <w:tcPr>
            <w:tcW w:w="3926" w:type="dxa"/>
            <w:shd w:val="clear" w:color="auto" w:fill="auto"/>
          </w:tcPr>
          <w:p w14:paraId="59B02F1D" w14:textId="77777777" w:rsidR="00880702" w:rsidRPr="002D2F67" w:rsidRDefault="00880702">
            <w:pPr>
              <w:tabs>
                <w:tab w:val="left" w:pos="511"/>
              </w:tabs>
              <w:ind w:left="526" w:right="-72"/>
              <w:rPr>
                <w:rFonts w:ascii="Arial" w:hAnsi="Arial" w:cs="Arial"/>
                <w:color w:val="000000"/>
                <w:sz w:val="12"/>
                <w:szCs w:val="12"/>
              </w:rPr>
            </w:pPr>
          </w:p>
        </w:tc>
        <w:tc>
          <w:tcPr>
            <w:tcW w:w="1405" w:type="dxa"/>
            <w:tcBorders>
              <w:top w:val="single" w:sz="4" w:space="0" w:color="auto"/>
            </w:tcBorders>
            <w:shd w:val="clear" w:color="auto" w:fill="auto"/>
            <w:vAlign w:val="bottom"/>
          </w:tcPr>
          <w:p w14:paraId="570C62BF" w14:textId="77777777" w:rsidR="00880702" w:rsidRPr="002D2F67" w:rsidRDefault="00880702">
            <w:pPr>
              <w:ind w:right="-72"/>
              <w:jc w:val="right"/>
              <w:rPr>
                <w:rFonts w:ascii="Arial" w:hAnsi="Arial" w:cs="Arial"/>
                <w:color w:val="000000"/>
                <w:sz w:val="12"/>
                <w:szCs w:val="12"/>
              </w:rPr>
            </w:pPr>
          </w:p>
        </w:tc>
        <w:tc>
          <w:tcPr>
            <w:tcW w:w="1406" w:type="dxa"/>
            <w:tcBorders>
              <w:top w:val="single" w:sz="4" w:space="0" w:color="auto"/>
            </w:tcBorders>
            <w:shd w:val="clear" w:color="auto" w:fill="auto"/>
            <w:vAlign w:val="bottom"/>
          </w:tcPr>
          <w:p w14:paraId="113512DB" w14:textId="77777777" w:rsidR="00880702" w:rsidRPr="002D2F67" w:rsidRDefault="00880702">
            <w:pPr>
              <w:ind w:right="-72"/>
              <w:jc w:val="right"/>
              <w:rPr>
                <w:rFonts w:ascii="Arial" w:hAnsi="Arial" w:cs="Arial"/>
                <w:color w:val="000000"/>
                <w:sz w:val="12"/>
                <w:szCs w:val="12"/>
              </w:rPr>
            </w:pPr>
          </w:p>
        </w:tc>
        <w:tc>
          <w:tcPr>
            <w:tcW w:w="1405" w:type="dxa"/>
            <w:tcBorders>
              <w:top w:val="single" w:sz="4" w:space="0" w:color="auto"/>
            </w:tcBorders>
            <w:shd w:val="clear" w:color="auto" w:fill="auto"/>
            <w:vAlign w:val="bottom"/>
          </w:tcPr>
          <w:p w14:paraId="3C210A64" w14:textId="77777777" w:rsidR="00880702" w:rsidRPr="002D2F67" w:rsidRDefault="00880702">
            <w:pPr>
              <w:ind w:right="-72"/>
              <w:jc w:val="right"/>
              <w:rPr>
                <w:rFonts w:ascii="Arial" w:hAnsi="Arial" w:cs="Arial"/>
                <w:color w:val="000000"/>
                <w:sz w:val="12"/>
                <w:szCs w:val="12"/>
              </w:rPr>
            </w:pPr>
          </w:p>
        </w:tc>
        <w:tc>
          <w:tcPr>
            <w:tcW w:w="1406" w:type="dxa"/>
            <w:tcBorders>
              <w:top w:val="single" w:sz="4" w:space="0" w:color="auto"/>
            </w:tcBorders>
            <w:shd w:val="clear" w:color="auto" w:fill="auto"/>
            <w:vAlign w:val="bottom"/>
          </w:tcPr>
          <w:p w14:paraId="5A9865F5" w14:textId="77777777" w:rsidR="00880702" w:rsidRPr="002D2F67" w:rsidRDefault="00880702">
            <w:pPr>
              <w:ind w:right="-72"/>
              <w:jc w:val="right"/>
              <w:rPr>
                <w:rFonts w:ascii="Arial" w:hAnsi="Arial" w:cs="Arial"/>
                <w:color w:val="000000"/>
                <w:sz w:val="12"/>
                <w:szCs w:val="12"/>
              </w:rPr>
            </w:pPr>
          </w:p>
        </w:tc>
      </w:tr>
      <w:tr w:rsidR="00880702" w:rsidRPr="002D2F67" w14:paraId="0E26299F" w14:textId="77777777" w:rsidTr="3ABCB9CB">
        <w:trPr>
          <w:trHeight w:val="72"/>
        </w:trPr>
        <w:tc>
          <w:tcPr>
            <w:tcW w:w="3926" w:type="dxa"/>
            <w:shd w:val="clear" w:color="auto" w:fill="auto"/>
          </w:tcPr>
          <w:p w14:paraId="5A812234" w14:textId="77777777" w:rsidR="00880702" w:rsidRPr="002D2F67" w:rsidRDefault="00880702">
            <w:pPr>
              <w:tabs>
                <w:tab w:val="left" w:pos="511"/>
              </w:tabs>
              <w:ind w:left="526" w:right="-72"/>
              <w:rPr>
                <w:rFonts w:ascii="Arial" w:hAnsi="Arial" w:cs="Arial"/>
                <w:color w:val="000000"/>
                <w:sz w:val="20"/>
                <w:szCs w:val="20"/>
              </w:rPr>
            </w:pPr>
            <w:r w:rsidRPr="002D2F67">
              <w:rPr>
                <w:rFonts w:ascii="Arial" w:hAnsi="Arial" w:cs="Arial"/>
                <w:color w:val="000000"/>
                <w:sz w:val="20"/>
                <w:szCs w:val="20"/>
              </w:rPr>
              <w:t>Opening balance</w:t>
            </w:r>
          </w:p>
        </w:tc>
        <w:tc>
          <w:tcPr>
            <w:tcW w:w="1405" w:type="dxa"/>
            <w:shd w:val="clear" w:color="auto" w:fill="auto"/>
            <w:vAlign w:val="bottom"/>
          </w:tcPr>
          <w:p w14:paraId="270A0B2B" w14:textId="77777777" w:rsidR="00880702" w:rsidRPr="002D2F67" w:rsidRDefault="00880702">
            <w:pPr>
              <w:ind w:right="-72"/>
              <w:jc w:val="right"/>
              <w:rPr>
                <w:rFonts w:ascii="Arial" w:hAnsi="Arial" w:cs="Arial"/>
                <w:color w:val="000000"/>
                <w:sz w:val="20"/>
                <w:szCs w:val="20"/>
              </w:rPr>
            </w:pPr>
            <w:r w:rsidRPr="002D2F67">
              <w:rPr>
                <w:rFonts w:ascii="Arial" w:hAnsi="Arial" w:cs="Arial"/>
                <w:color w:val="000000"/>
                <w:sz w:val="20"/>
                <w:szCs w:val="20"/>
              </w:rPr>
              <w:t>-</w:t>
            </w:r>
          </w:p>
        </w:tc>
        <w:tc>
          <w:tcPr>
            <w:tcW w:w="1406" w:type="dxa"/>
            <w:shd w:val="clear" w:color="auto" w:fill="auto"/>
            <w:vAlign w:val="bottom"/>
          </w:tcPr>
          <w:p w14:paraId="475B4823" w14:textId="77777777" w:rsidR="00880702" w:rsidRPr="002D2F67" w:rsidRDefault="00880702">
            <w:pPr>
              <w:ind w:right="-72"/>
              <w:jc w:val="right"/>
              <w:rPr>
                <w:rFonts w:ascii="Arial" w:hAnsi="Arial" w:cs="Arial"/>
                <w:color w:val="000000"/>
                <w:sz w:val="20"/>
                <w:szCs w:val="20"/>
              </w:rPr>
            </w:pPr>
            <w:r w:rsidRPr="002D2F67">
              <w:rPr>
                <w:rFonts w:ascii="Arial" w:hAnsi="Arial" w:cs="Arial"/>
                <w:color w:val="000000"/>
                <w:sz w:val="20"/>
                <w:szCs w:val="20"/>
              </w:rPr>
              <w:t>-</w:t>
            </w:r>
          </w:p>
        </w:tc>
        <w:tc>
          <w:tcPr>
            <w:tcW w:w="1405" w:type="dxa"/>
            <w:tcBorders>
              <w:top w:val="nil"/>
              <w:left w:val="nil"/>
              <w:right w:val="nil"/>
            </w:tcBorders>
            <w:shd w:val="clear" w:color="auto" w:fill="auto"/>
            <w:vAlign w:val="bottom"/>
          </w:tcPr>
          <w:p w14:paraId="13EB468D" w14:textId="77777777" w:rsidR="00880702" w:rsidRPr="002D2F67" w:rsidRDefault="00880702">
            <w:pPr>
              <w:ind w:right="-72"/>
              <w:jc w:val="right"/>
              <w:rPr>
                <w:rFonts w:ascii="Arial" w:hAnsi="Arial" w:cs="Arial"/>
                <w:color w:val="000000"/>
                <w:sz w:val="20"/>
                <w:szCs w:val="20"/>
              </w:rPr>
            </w:pPr>
            <w:r w:rsidRPr="002D2F67">
              <w:rPr>
                <w:rFonts w:ascii="Arial" w:hAnsi="Arial" w:cs="Arial"/>
                <w:color w:val="000000"/>
                <w:sz w:val="20"/>
                <w:szCs w:val="20"/>
              </w:rPr>
              <w:t>-</w:t>
            </w:r>
          </w:p>
        </w:tc>
        <w:tc>
          <w:tcPr>
            <w:tcW w:w="1406" w:type="dxa"/>
            <w:shd w:val="clear" w:color="auto" w:fill="auto"/>
            <w:vAlign w:val="bottom"/>
          </w:tcPr>
          <w:p w14:paraId="43FE4EE9" w14:textId="77777777" w:rsidR="00880702" w:rsidRPr="002D2F67" w:rsidRDefault="00880702">
            <w:pPr>
              <w:ind w:right="-72"/>
              <w:jc w:val="right"/>
              <w:rPr>
                <w:rFonts w:ascii="Arial" w:hAnsi="Arial" w:cs="Arial"/>
                <w:color w:val="000000"/>
                <w:sz w:val="20"/>
                <w:szCs w:val="20"/>
              </w:rPr>
            </w:pPr>
            <w:r w:rsidRPr="002D2F67">
              <w:rPr>
                <w:rFonts w:ascii="Arial" w:hAnsi="Arial" w:cs="Arial"/>
                <w:color w:val="000000"/>
                <w:sz w:val="20"/>
                <w:szCs w:val="20"/>
              </w:rPr>
              <w:t>-</w:t>
            </w:r>
          </w:p>
        </w:tc>
      </w:tr>
      <w:tr w:rsidR="00880702" w:rsidRPr="002D2F67" w14:paraId="33DBFD8E" w14:textId="77777777" w:rsidTr="3ABCB9CB">
        <w:trPr>
          <w:trHeight w:val="72"/>
        </w:trPr>
        <w:tc>
          <w:tcPr>
            <w:tcW w:w="3926" w:type="dxa"/>
            <w:shd w:val="clear" w:color="auto" w:fill="auto"/>
          </w:tcPr>
          <w:p w14:paraId="69177E98" w14:textId="77777777" w:rsidR="00880702" w:rsidRPr="002D2F67" w:rsidRDefault="00880702">
            <w:pPr>
              <w:tabs>
                <w:tab w:val="left" w:pos="511"/>
              </w:tabs>
              <w:ind w:left="526" w:right="-72"/>
              <w:rPr>
                <w:rFonts w:ascii="Arial" w:hAnsi="Arial" w:cs="Arial"/>
                <w:color w:val="000000"/>
                <w:sz w:val="20"/>
                <w:szCs w:val="20"/>
              </w:rPr>
            </w:pPr>
            <w:r w:rsidRPr="002D2F67">
              <w:rPr>
                <w:rFonts w:ascii="Arial" w:hAnsi="Arial" w:cs="Arial"/>
                <w:color w:val="000000"/>
                <w:sz w:val="20"/>
                <w:szCs w:val="20"/>
              </w:rPr>
              <w:t>Cash flows:</w:t>
            </w:r>
          </w:p>
        </w:tc>
        <w:tc>
          <w:tcPr>
            <w:tcW w:w="1405" w:type="dxa"/>
            <w:shd w:val="clear" w:color="auto" w:fill="auto"/>
            <w:vAlign w:val="bottom"/>
          </w:tcPr>
          <w:p w14:paraId="45607226" w14:textId="77777777" w:rsidR="00880702" w:rsidRPr="002D2F67" w:rsidRDefault="00880702">
            <w:pPr>
              <w:ind w:right="-72"/>
              <w:jc w:val="right"/>
              <w:rPr>
                <w:rFonts w:ascii="Arial" w:hAnsi="Arial" w:cs="Arial"/>
                <w:color w:val="000000"/>
                <w:sz w:val="20"/>
                <w:szCs w:val="20"/>
              </w:rPr>
            </w:pPr>
          </w:p>
        </w:tc>
        <w:tc>
          <w:tcPr>
            <w:tcW w:w="1406" w:type="dxa"/>
            <w:shd w:val="clear" w:color="auto" w:fill="auto"/>
            <w:vAlign w:val="bottom"/>
          </w:tcPr>
          <w:p w14:paraId="2007E8FC" w14:textId="77777777" w:rsidR="00880702" w:rsidRPr="002D2F67" w:rsidRDefault="00880702">
            <w:pPr>
              <w:ind w:right="-72"/>
              <w:jc w:val="right"/>
              <w:rPr>
                <w:rFonts w:ascii="Arial" w:hAnsi="Arial" w:cs="Arial"/>
                <w:color w:val="000000"/>
                <w:sz w:val="20"/>
                <w:szCs w:val="20"/>
              </w:rPr>
            </w:pPr>
          </w:p>
        </w:tc>
        <w:tc>
          <w:tcPr>
            <w:tcW w:w="1405" w:type="dxa"/>
            <w:tcBorders>
              <w:top w:val="nil"/>
              <w:left w:val="nil"/>
              <w:right w:val="nil"/>
            </w:tcBorders>
            <w:shd w:val="clear" w:color="auto" w:fill="auto"/>
            <w:vAlign w:val="bottom"/>
          </w:tcPr>
          <w:p w14:paraId="6A81C278" w14:textId="77777777" w:rsidR="00880702" w:rsidRPr="002D2F67" w:rsidRDefault="00880702">
            <w:pPr>
              <w:ind w:right="-72"/>
              <w:jc w:val="right"/>
              <w:rPr>
                <w:rFonts w:ascii="Arial" w:hAnsi="Arial" w:cs="Arial"/>
                <w:color w:val="000000"/>
                <w:sz w:val="20"/>
                <w:szCs w:val="20"/>
              </w:rPr>
            </w:pPr>
          </w:p>
        </w:tc>
        <w:tc>
          <w:tcPr>
            <w:tcW w:w="1406" w:type="dxa"/>
            <w:shd w:val="clear" w:color="auto" w:fill="auto"/>
            <w:vAlign w:val="bottom"/>
          </w:tcPr>
          <w:p w14:paraId="0F0E54E8" w14:textId="77777777" w:rsidR="00880702" w:rsidRPr="002D2F67" w:rsidRDefault="00880702">
            <w:pPr>
              <w:ind w:right="-72"/>
              <w:jc w:val="right"/>
              <w:rPr>
                <w:rFonts w:ascii="Arial" w:hAnsi="Arial" w:cs="Arial"/>
                <w:color w:val="000000"/>
                <w:sz w:val="20"/>
                <w:szCs w:val="20"/>
              </w:rPr>
            </w:pPr>
          </w:p>
        </w:tc>
      </w:tr>
      <w:tr w:rsidR="00880702" w:rsidRPr="002D2F67" w14:paraId="669841E5" w14:textId="77777777" w:rsidTr="3ABCB9CB">
        <w:tc>
          <w:tcPr>
            <w:tcW w:w="3926" w:type="dxa"/>
            <w:shd w:val="clear" w:color="auto" w:fill="auto"/>
          </w:tcPr>
          <w:p w14:paraId="199B100C" w14:textId="77777777" w:rsidR="00880702" w:rsidRPr="002D2F67" w:rsidRDefault="00880702">
            <w:pPr>
              <w:tabs>
                <w:tab w:val="left" w:pos="511"/>
              </w:tabs>
              <w:ind w:left="526" w:right="-72"/>
              <w:rPr>
                <w:rFonts w:ascii="Arial" w:hAnsi="Arial" w:cs="Arial"/>
                <w:color w:val="000000"/>
                <w:sz w:val="20"/>
                <w:szCs w:val="20"/>
              </w:rPr>
            </w:pPr>
            <w:r w:rsidRPr="002D2F67">
              <w:rPr>
                <w:rFonts w:ascii="Arial" w:hAnsi="Arial" w:cs="Arial"/>
                <w:color w:val="000000"/>
                <w:sz w:val="20"/>
                <w:szCs w:val="20"/>
              </w:rPr>
              <w:t xml:space="preserve">   Additions during the year</w:t>
            </w:r>
          </w:p>
        </w:tc>
        <w:tc>
          <w:tcPr>
            <w:tcW w:w="1405" w:type="dxa"/>
            <w:shd w:val="clear" w:color="auto" w:fill="auto"/>
            <w:vAlign w:val="bottom"/>
          </w:tcPr>
          <w:p w14:paraId="6CC35F91" w14:textId="77777777" w:rsidR="00880702" w:rsidRPr="002D2F67" w:rsidRDefault="00880702">
            <w:pPr>
              <w:ind w:right="-72"/>
              <w:jc w:val="right"/>
              <w:rPr>
                <w:rFonts w:ascii="Arial" w:hAnsi="Arial" w:cs="Arial"/>
                <w:color w:val="000000"/>
                <w:sz w:val="20"/>
                <w:szCs w:val="20"/>
              </w:rPr>
            </w:pPr>
            <w:r w:rsidRPr="002D2F67">
              <w:rPr>
                <w:rFonts w:ascii="Arial" w:hAnsi="Arial" w:cs="Arial"/>
                <w:color w:val="000000"/>
                <w:sz w:val="20"/>
                <w:szCs w:val="20"/>
              </w:rPr>
              <w:t>-</w:t>
            </w:r>
          </w:p>
        </w:tc>
        <w:tc>
          <w:tcPr>
            <w:tcW w:w="1406" w:type="dxa"/>
            <w:shd w:val="clear" w:color="auto" w:fill="auto"/>
            <w:vAlign w:val="bottom"/>
          </w:tcPr>
          <w:p w14:paraId="1E363B42" w14:textId="77777777" w:rsidR="00880702" w:rsidRPr="002D2F67" w:rsidRDefault="00880702">
            <w:pPr>
              <w:ind w:right="-72"/>
              <w:jc w:val="right"/>
              <w:rPr>
                <w:rFonts w:ascii="Arial" w:hAnsi="Arial" w:cs="Arial"/>
                <w:color w:val="000000"/>
                <w:sz w:val="20"/>
                <w:szCs w:val="20"/>
              </w:rPr>
            </w:pPr>
            <w:r w:rsidRPr="002D2F67">
              <w:rPr>
                <w:rFonts w:ascii="Arial" w:hAnsi="Arial" w:cs="Arial"/>
                <w:color w:val="000000"/>
                <w:sz w:val="20"/>
                <w:szCs w:val="20"/>
              </w:rPr>
              <w:t>-</w:t>
            </w:r>
          </w:p>
        </w:tc>
        <w:tc>
          <w:tcPr>
            <w:tcW w:w="1405" w:type="dxa"/>
            <w:tcBorders>
              <w:top w:val="nil"/>
              <w:left w:val="nil"/>
              <w:right w:val="nil"/>
            </w:tcBorders>
            <w:shd w:val="clear" w:color="auto" w:fill="auto"/>
            <w:vAlign w:val="bottom"/>
          </w:tcPr>
          <w:p w14:paraId="218C16F0" w14:textId="77777777" w:rsidR="00880702" w:rsidRPr="002D2F67" w:rsidRDefault="00880702">
            <w:pPr>
              <w:ind w:right="-72"/>
              <w:jc w:val="right"/>
              <w:rPr>
                <w:rFonts w:ascii="Arial" w:hAnsi="Arial" w:cs="Arial"/>
                <w:color w:val="000000"/>
                <w:sz w:val="20"/>
                <w:szCs w:val="20"/>
              </w:rPr>
            </w:pPr>
            <w:r w:rsidRPr="002D2F67">
              <w:rPr>
                <w:rFonts w:ascii="Arial" w:hAnsi="Arial" w:cs="Arial"/>
                <w:color w:val="000000"/>
                <w:sz w:val="20"/>
                <w:szCs w:val="20"/>
              </w:rPr>
              <w:t>-</w:t>
            </w:r>
          </w:p>
        </w:tc>
        <w:tc>
          <w:tcPr>
            <w:tcW w:w="1406" w:type="dxa"/>
            <w:shd w:val="clear" w:color="auto" w:fill="auto"/>
            <w:vAlign w:val="bottom"/>
          </w:tcPr>
          <w:p w14:paraId="1658C55D" w14:textId="77777777" w:rsidR="00880702" w:rsidRPr="002D2F67" w:rsidRDefault="00880702">
            <w:pPr>
              <w:ind w:right="-72"/>
              <w:jc w:val="right"/>
              <w:rPr>
                <w:rFonts w:ascii="Arial" w:hAnsi="Arial" w:cs="Arial"/>
                <w:color w:val="000000"/>
                <w:sz w:val="20"/>
                <w:szCs w:val="20"/>
              </w:rPr>
            </w:pPr>
            <w:r w:rsidRPr="002D2F67">
              <w:rPr>
                <w:rFonts w:ascii="Arial" w:hAnsi="Arial" w:cs="Arial"/>
                <w:color w:val="000000"/>
                <w:sz w:val="20"/>
                <w:szCs w:val="20"/>
              </w:rPr>
              <w:t>-</w:t>
            </w:r>
          </w:p>
        </w:tc>
      </w:tr>
      <w:tr w:rsidR="00880702" w:rsidRPr="002D2F67" w14:paraId="5848E8FE" w14:textId="77777777" w:rsidTr="3ABCB9CB">
        <w:tc>
          <w:tcPr>
            <w:tcW w:w="3926" w:type="dxa"/>
            <w:shd w:val="clear" w:color="auto" w:fill="auto"/>
          </w:tcPr>
          <w:p w14:paraId="7A24E879" w14:textId="77777777" w:rsidR="00880702" w:rsidRPr="002D2F67" w:rsidRDefault="00880702">
            <w:pPr>
              <w:ind w:left="526" w:right="-72"/>
              <w:rPr>
                <w:rFonts w:ascii="Arial" w:hAnsi="Arial" w:cs="Arial"/>
                <w:color w:val="000000"/>
                <w:spacing w:val="-6"/>
                <w:sz w:val="20"/>
                <w:szCs w:val="20"/>
              </w:rPr>
            </w:pPr>
            <w:r w:rsidRPr="002D2F67">
              <w:rPr>
                <w:rFonts w:ascii="Arial" w:hAnsi="Arial" w:cs="Arial"/>
                <w:color w:val="000000"/>
                <w:sz w:val="20"/>
                <w:szCs w:val="20"/>
              </w:rPr>
              <w:t xml:space="preserve">   </w:t>
            </w:r>
            <w:r w:rsidRPr="002D2F67">
              <w:rPr>
                <w:rFonts w:ascii="Arial" w:hAnsi="Arial" w:cs="Arial"/>
                <w:color w:val="000000"/>
                <w:spacing w:val="-6"/>
                <w:sz w:val="20"/>
                <w:szCs w:val="20"/>
              </w:rPr>
              <w:t>Repayments during the year</w:t>
            </w:r>
          </w:p>
        </w:tc>
        <w:tc>
          <w:tcPr>
            <w:tcW w:w="1405" w:type="dxa"/>
            <w:shd w:val="clear" w:color="auto" w:fill="auto"/>
            <w:vAlign w:val="bottom"/>
          </w:tcPr>
          <w:p w14:paraId="74F75494" w14:textId="77777777" w:rsidR="00880702" w:rsidRPr="002D2F67" w:rsidRDefault="00880702">
            <w:pPr>
              <w:ind w:right="-72"/>
              <w:jc w:val="right"/>
              <w:rPr>
                <w:rFonts w:ascii="Arial" w:hAnsi="Arial" w:cs="Arial"/>
                <w:color w:val="000000"/>
                <w:sz w:val="20"/>
                <w:szCs w:val="20"/>
              </w:rPr>
            </w:pPr>
            <w:r w:rsidRPr="002D2F67">
              <w:rPr>
                <w:rFonts w:ascii="Arial" w:hAnsi="Arial" w:cs="Arial"/>
                <w:color w:val="000000"/>
                <w:sz w:val="20"/>
                <w:szCs w:val="20"/>
              </w:rPr>
              <w:t>-</w:t>
            </w:r>
          </w:p>
        </w:tc>
        <w:tc>
          <w:tcPr>
            <w:tcW w:w="1406" w:type="dxa"/>
            <w:shd w:val="clear" w:color="auto" w:fill="auto"/>
            <w:vAlign w:val="bottom"/>
          </w:tcPr>
          <w:p w14:paraId="4F749DE3" w14:textId="77777777" w:rsidR="00880702" w:rsidRPr="002D2F67" w:rsidRDefault="00880702">
            <w:pPr>
              <w:ind w:right="-72"/>
              <w:jc w:val="right"/>
              <w:rPr>
                <w:rFonts w:ascii="Arial" w:hAnsi="Arial" w:cs="Arial"/>
                <w:color w:val="000000"/>
                <w:sz w:val="20"/>
                <w:szCs w:val="20"/>
              </w:rPr>
            </w:pPr>
            <w:r w:rsidRPr="002D2F67">
              <w:rPr>
                <w:rFonts w:ascii="Arial" w:hAnsi="Arial" w:cs="Arial"/>
                <w:color w:val="000000"/>
                <w:sz w:val="20"/>
                <w:szCs w:val="20"/>
              </w:rPr>
              <w:t>-</w:t>
            </w:r>
          </w:p>
        </w:tc>
        <w:tc>
          <w:tcPr>
            <w:tcW w:w="1405" w:type="dxa"/>
            <w:tcBorders>
              <w:top w:val="nil"/>
              <w:left w:val="nil"/>
              <w:right w:val="nil"/>
            </w:tcBorders>
            <w:shd w:val="clear" w:color="auto" w:fill="auto"/>
            <w:vAlign w:val="bottom"/>
          </w:tcPr>
          <w:p w14:paraId="47D9EB80" w14:textId="2873E712" w:rsidR="00880702" w:rsidRPr="002D2F67" w:rsidRDefault="00880702">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155</w:t>
            </w:r>
            <w:r w:rsidRPr="002D2F67">
              <w:rPr>
                <w:rFonts w:ascii="Arial" w:hAnsi="Arial" w:cs="Arial"/>
                <w:color w:val="000000"/>
                <w:sz w:val="20"/>
                <w:szCs w:val="20"/>
              </w:rPr>
              <w:t>,</w:t>
            </w:r>
            <w:r w:rsidR="00CD5714" w:rsidRPr="00CD5714">
              <w:rPr>
                <w:rFonts w:ascii="Arial" w:hAnsi="Arial" w:cs="Arial"/>
                <w:color w:val="000000"/>
                <w:sz w:val="20"/>
                <w:szCs w:val="20"/>
                <w:lang w:val="en-GB"/>
              </w:rPr>
              <w:t>000</w:t>
            </w:r>
            <w:r w:rsidRPr="002D2F67">
              <w:rPr>
                <w:rFonts w:ascii="Arial" w:hAnsi="Arial" w:cs="Arial"/>
                <w:color w:val="000000"/>
                <w:sz w:val="20"/>
                <w:szCs w:val="20"/>
              </w:rPr>
              <w:t>)</w:t>
            </w:r>
          </w:p>
        </w:tc>
        <w:tc>
          <w:tcPr>
            <w:tcW w:w="1406" w:type="dxa"/>
            <w:shd w:val="clear" w:color="auto" w:fill="auto"/>
            <w:vAlign w:val="bottom"/>
          </w:tcPr>
          <w:p w14:paraId="0E2C65C5" w14:textId="77777777" w:rsidR="00880702" w:rsidRPr="002D2F67" w:rsidRDefault="00880702">
            <w:pPr>
              <w:ind w:right="-72"/>
              <w:jc w:val="right"/>
              <w:rPr>
                <w:rFonts w:ascii="Arial" w:hAnsi="Arial" w:cs="Arial"/>
                <w:color w:val="000000"/>
                <w:sz w:val="20"/>
                <w:szCs w:val="20"/>
              </w:rPr>
            </w:pPr>
            <w:r w:rsidRPr="002D2F67">
              <w:rPr>
                <w:rFonts w:ascii="Arial" w:hAnsi="Arial" w:cs="Arial"/>
                <w:color w:val="000000"/>
                <w:sz w:val="20"/>
                <w:szCs w:val="20"/>
              </w:rPr>
              <w:t>-</w:t>
            </w:r>
          </w:p>
        </w:tc>
      </w:tr>
      <w:tr w:rsidR="00880702" w:rsidRPr="002D2F67" w14:paraId="5E7EBC2A" w14:textId="77777777" w:rsidTr="3ABCB9CB">
        <w:tc>
          <w:tcPr>
            <w:tcW w:w="3926" w:type="dxa"/>
            <w:shd w:val="clear" w:color="auto" w:fill="auto"/>
          </w:tcPr>
          <w:p w14:paraId="001F3B7C" w14:textId="77777777" w:rsidR="00880702" w:rsidRPr="002D2F67" w:rsidRDefault="00880702">
            <w:pPr>
              <w:ind w:left="526" w:right="-72"/>
              <w:rPr>
                <w:rFonts w:ascii="Arial" w:hAnsi="Arial" w:cs="Arial"/>
                <w:color w:val="000000"/>
                <w:sz w:val="20"/>
                <w:szCs w:val="20"/>
              </w:rPr>
            </w:pPr>
            <w:r w:rsidRPr="002D2F67">
              <w:rPr>
                <w:rFonts w:ascii="Arial" w:hAnsi="Arial" w:cs="Arial"/>
                <w:color w:val="000000"/>
                <w:sz w:val="20"/>
                <w:szCs w:val="20"/>
              </w:rPr>
              <w:t>Other non-cash movements:</w:t>
            </w:r>
          </w:p>
        </w:tc>
        <w:tc>
          <w:tcPr>
            <w:tcW w:w="1405" w:type="dxa"/>
            <w:shd w:val="clear" w:color="auto" w:fill="auto"/>
            <w:vAlign w:val="bottom"/>
          </w:tcPr>
          <w:p w14:paraId="4939A40B" w14:textId="77777777" w:rsidR="00880702" w:rsidRPr="002D2F67" w:rsidRDefault="00880702">
            <w:pPr>
              <w:ind w:right="-72"/>
              <w:jc w:val="right"/>
              <w:rPr>
                <w:rFonts w:ascii="Arial" w:hAnsi="Arial" w:cs="Arial"/>
                <w:color w:val="000000"/>
                <w:sz w:val="20"/>
                <w:szCs w:val="20"/>
              </w:rPr>
            </w:pPr>
          </w:p>
        </w:tc>
        <w:tc>
          <w:tcPr>
            <w:tcW w:w="1406" w:type="dxa"/>
            <w:shd w:val="clear" w:color="auto" w:fill="auto"/>
            <w:vAlign w:val="bottom"/>
          </w:tcPr>
          <w:p w14:paraId="435702FA" w14:textId="77777777" w:rsidR="00880702" w:rsidRPr="002D2F67" w:rsidRDefault="00880702">
            <w:pPr>
              <w:ind w:right="-72"/>
              <w:jc w:val="right"/>
              <w:rPr>
                <w:rFonts w:ascii="Arial" w:hAnsi="Arial" w:cs="Arial"/>
                <w:color w:val="000000"/>
                <w:sz w:val="20"/>
                <w:szCs w:val="20"/>
              </w:rPr>
            </w:pPr>
          </w:p>
        </w:tc>
        <w:tc>
          <w:tcPr>
            <w:tcW w:w="1405" w:type="dxa"/>
            <w:tcBorders>
              <w:top w:val="nil"/>
              <w:left w:val="nil"/>
              <w:right w:val="nil"/>
            </w:tcBorders>
            <w:shd w:val="clear" w:color="auto" w:fill="auto"/>
            <w:vAlign w:val="bottom"/>
          </w:tcPr>
          <w:p w14:paraId="7C1A15E5" w14:textId="77777777" w:rsidR="00880702" w:rsidRPr="002D2F67" w:rsidRDefault="00880702">
            <w:pPr>
              <w:ind w:right="-72"/>
              <w:jc w:val="right"/>
              <w:rPr>
                <w:rFonts w:ascii="Arial" w:hAnsi="Arial" w:cs="Arial"/>
                <w:color w:val="000000"/>
                <w:sz w:val="20"/>
                <w:szCs w:val="20"/>
              </w:rPr>
            </w:pPr>
          </w:p>
        </w:tc>
        <w:tc>
          <w:tcPr>
            <w:tcW w:w="1406" w:type="dxa"/>
            <w:shd w:val="clear" w:color="auto" w:fill="auto"/>
            <w:vAlign w:val="bottom"/>
          </w:tcPr>
          <w:p w14:paraId="0FC6F3AC" w14:textId="77777777" w:rsidR="00880702" w:rsidRPr="002D2F67" w:rsidRDefault="00880702">
            <w:pPr>
              <w:ind w:right="-72"/>
              <w:jc w:val="right"/>
              <w:rPr>
                <w:rFonts w:ascii="Arial" w:hAnsi="Arial" w:cs="Arial"/>
                <w:color w:val="000000"/>
                <w:sz w:val="20"/>
                <w:szCs w:val="20"/>
              </w:rPr>
            </w:pPr>
          </w:p>
        </w:tc>
      </w:tr>
      <w:tr w:rsidR="00880702" w:rsidRPr="002D2F67" w14:paraId="659C9641" w14:textId="77777777" w:rsidTr="3ABCB9CB">
        <w:tc>
          <w:tcPr>
            <w:tcW w:w="3926" w:type="dxa"/>
            <w:shd w:val="clear" w:color="auto" w:fill="auto"/>
          </w:tcPr>
          <w:p w14:paraId="3F057751" w14:textId="180BB8F7" w:rsidR="00880702" w:rsidRPr="002D2F67" w:rsidRDefault="00880702">
            <w:pPr>
              <w:ind w:left="526" w:right="-72"/>
              <w:rPr>
                <w:rFonts w:ascii="Arial" w:hAnsi="Arial" w:cs="Arial"/>
                <w:color w:val="000000"/>
                <w:sz w:val="20"/>
                <w:szCs w:val="20"/>
              </w:rPr>
            </w:pPr>
            <w:r w:rsidRPr="002D2F67">
              <w:rPr>
                <w:rFonts w:ascii="Arial" w:hAnsi="Arial" w:cs="Arial"/>
                <w:color w:val="000000"/>
                <w:spacing w:val="-2"/>
                <w:sz w:val="20"/>
                <w:szCs w:val="20"/>
              </w:rPr>
              <w:t xml:space="preserve">   Reclassif</w:t>
            </w:r>
            <w:r w:rsidR="00F33544" w:rsidRPr="002D2F67">
              <w:rPr>
                <w:rFonts w:ascii="Arial" w:hAnsi="Arial" w:cs="Arial"/>
                <w:color w:val="000000"/>
                <w:spacing w:val="-2"/>
                <w:sz w:val="20"/>
                <w:szCs w:val="20"/>
              </w:rPr>
              <w:t>ied</w:t>
            </w:r>
            <w:r w:rsidRPr="002D2F67">
              <w:rPr>
                <w:rFonts w:ascii="Arial" w:hAnsi="Arial" w:cs="Arial"/>
                <w:color w:val="000000"/>
                <w:spacing w:val="-2"/>
                <w:sz w:val="20"/>
                <w:szCs w:val="20"/>
              </w:rPr>
              <w:t xml:space="preserve"> from short-terms loans</w:t>
            </w:r>
          </w:p>
        </w:tc>
        <w:tc>
          <w:tcPr>
            <w:tcW w:w="1405" w:type="dxa"/>
            <w:tcBorders>
              <w:bottom w:val="single" w:sz="4" w:space="0" w:color="auto"/>
            </w:tcBorders>
            <w:shd w:val="clear" w:color="auto" w:fill="auto"/>
            <w:vAlign w:val="bottom"/>
          </w:tcPr>
          <w:p w14:paraId="4FBF3305" w14:textId="77777777" w:rsidR="00880702" w:rsidRPr="002D2F67" w:rsidRDefault="00880702">
            <w:pPr>
              <w:ind w:right="-72"/>
              <w:jc w:val="right"/>
              <w:rPr>
                <w:rFonts w:ascii="Arial" w:hAnsi="Arial" w:cs="Arial"/>
                <w:color w:val="000000"/>
                <w:sz w:val="20"/>
                <w:szCs w:val="20"/>
              </w:rPr>
            </w:pPr>
            <w:r w:rsidRPr="002D2F67">
              <w:rPr>
                <w:rFonts w:ascii="Arial" w:hAnsi="Arial" w:cs="Arial"/>
                <w:color w:val="000000"/>
                <w:sz w:val="20"/>
                <w:szCs w:val="20"/>
              </w:rPr>
              <w:t>-</w:t>
            </w:r>
          </w:p>
        </w:tc>
        <w:tc>
          <w:tcPr>
            <w:tcW w:w="1406" w:type="dxa"/>
            <w:tcBorders>
              <w:bottom w:val="single" w:sz="4" w:space="0" w:color="auto"/>
            </w:tcBorders>
            <w:shd w:val="clear" w:color="auto" w:fill="auto"/>
            <w:vAlign w:val="bottom"/>
          </w:tcPr>
          <w:p w14:paraId="7515236D" w14:textId="77777777" w:rsidR="00880702" w:rsidRPr="002D2F67" w:rsidRDefault="00880702">
            <w:pPr>
              <w:ind w:right="-72"/>
              <w:jc w:val="right"/>
              <w:rPr>
                <w:rFonts w:ascii="Arial" w:hAnsi="Arial" w:cs="Arial"/>
                <w:color w:val="000000"/>
                <w:sz w:val="20"/>
                <w:szCs w:val="20"/>
              </w:rPr>
            </w:pPr>
            <w:r w:rsidRPr="002D2F67">
              <w:rPr>
                <w:rFonts w:ascii="Arial" w:hAnsi="Arial" w:cs="Arial"/>
                <w:color w:val="000000"/>
                <w:sz w:val="20"/>
                <w:szCs w:val="20"/>
              </w:rPr>
              <w:t>-</w:t>
            </w:r>
          </w:p>
        </w:tc>
        <w:tc>
          <w:tcPr>
            <w:tcW w:w="1405" w:type="dxa"/>
            <w:tcBorders>
              <w:top w:val="nil"/>
              <w:left w:val="nil"/>
              <w:bottom w:val="single" w:sz="4" w:space="0" w:color="auto"/>
              <w:right w:val="nil"/>
            </w:tcBorders>
            <w:shd w:val="clear" w:color="auto" w:fill="auto"/>
            <w:vAlign w:val="bottom"/>
          </w:tcPr>
          <w:p w14:paraId="46FCF9EB" w14:textId="70BD46C2" w:rsidR="00880702" w:rsidRPr="002D2F67" w:rsidRDefault="00CD5714">
            <w:pPr>
              <w:ind w:right="-72"/>
              <w:jc w:val="right"/>
              <w:rPr>
                <w:rFonts w:ascii="Arial" w:hAnsi="Arial" w:cs="Arial"/>
                <w:color w:val="000000"/>
                <w:sz w:val="20"/>
                <w:szCs w:val="20"/>
              </w:rPr>
            </w:pPr>
            <w:r w:rsidRPr="00CD5714">
              <w:rPr>
                <w:rFonts w:ascii="Arial" w:hAnsi="Arial" w:cs="Arial"/>
                <w:color w:val="000000"/>
                <w:sz w:val="20"/>
                <w:szCs w:val="20"/>
                <w:lang w:val="en-GB"/>
              </w:rPr>
              <w:t>155</w:t>
            </w:r>
            <w:r w:rsidR="00880702" w:rsidRPr="002D2F67">
              <w:rPr>
                <w:rFonts w:ascii="Arial" w:hAnsi="Arial" w:cs="Arial"/>
                <w:color w:val="000000"/>
                <w:sz w:val="20"/>
                <w:szCs w:val="20"/>
              </w:rPr>
              <w:t>,</w:t>
            </w:r>
            <w:r w:rsidRPr="00CD5714">
              <w:rPr>
                <w:rFonts w:ascii="Arial" w:hAnsi="Arial" w:cs="Arial"/>
                <w:color w:val="000000"/>
                <w:sz w:val="20"/>
                <w:szCs w:val="20"/>
                <w:lang w:val="en-GB"/>
              </w:rPr>
              <w:t>000</w:t>
            </w:r>
          </w:p>
        </w:tc>
        <w:tc>
          <w:tcPr>
            <w:tcW w:w="1406" w:type="dxa"/>
            <w:tcBorders>
              <w:bottom w:val="single" w:sz="4" w:space="0" w:color="auto"/>
            </w:tcBorders>
            <w:shd w:val="clear" w:color="auto" w:fill="auto"/>
            <w:vAlign w:val="bottom"/>
          </w:tcPr>
          <w:p w14:paraId="720C86CF" w14:textId="77777777" w:rsidR="00880702" w:rsidRPr="002D2F67" w:rsidRDefault="00880702">
            <w:pPr>
              <w:ind w:right="-72"/>
              <w:jc w:val="right"/>
              <w:rPr>
                <w:rFonts w:ascii="Arial" w:hAnsi="Arial" w:cs="Arial"/>
                <w:color w:val="000000"/>
                <w:sz w:val="20"/>
                <w:szCs w:val="20"/>
              </w:rPr>
            </w:pPr>
            <w:r w:rsidRPr="002D2F67">
              <w:rPr>
                <w:rFonts w:ascii="Arial" w:hAnsi="Arial" w:cs="Arial"/>
                <w:color w:val="000000"/>
                <w:sz w:val="20"/>
                <w:szCs w:val="20"/>
              </w:rPr>
              <w:t>-</w:t>
            </w:r>
          </w:p>
        </w:tc>
      </w:tr>
      <w:tr w:rsidR="00880702" w:rsidRPr="002D2F67" w14:paraId="3CABC709" w14:textId="77777777" w:rsidTr="3ABCB9CB">
        <w:trPr>
          <w:trHeight w:val="50"/>
        </w:trPr>
        <w:tc>
          <w:tcPr>
            <w:tcW w:w="3926" w:type="dxa"/>
            <w:shd w:val="clear" w:color="auto" w:fill="auto"/>
          </w:tcPr>
          <w:p w14:paraId="433D1A8C" w14:textId="77777777" w:rsidR="00880702" w:rsidRPr="002D2F67" w:rsidRDefault="00880702">
            <w:pPr>
              <w:ind w:left="526" w:right="-72"/>
              <w:rPr>
                <w:rFonts w:ascii="Arial" w:hAnsi="Arial" w:cs="Arial"/>
                <w:color w:val="000000"/>
                <w:spacing w:val="-2"/>
                <w:sz w:val="12"/>
                <w:szCs w:val="12"/>
              </w:rPr>
            </w:pPr>
          </w:p>
        </w:tc>
        <w:tc>
          <w:tcPr>
            <w:tcW w:w="1405" w:type="dxa"/>
            <w:tcBorders>
              <w:top w:val="single" w:sz="4" w:space="0" w:color="auto"/>
            </w:tcBorders>
            <w:shd w:val="clear" w:color="auto" w:fill="auto"/>
            <w:vAlign w:val="bottom"/>
          </w:tcPr>
          <w:p w14:paraId="1A304C05" w14:textId="77777777" w:rsidR="00880702" w:rsidRPr="002D2F67" w:rsidRDefault="00880702">
            <w:pPr>
              <w:ind w:right="-72"/>
              <w:jc w:val="right"/>
              <w:rPr>
                <w:rFonts w:ascii="Arial" w:hAnsi="Arial" w:cs="Arial"/>
                <w:color w:val="000000"/>
                <w:sz w:val="12"/>
                <w:szCs w:val="12"/>
              </w:rPr>
            </w:pPr>
          </w:p>
        </w:tc>
        <w:tc>
          <w:tcPr>
            <w:tcW w:w="1406" w:type="dxa"/>
            <w:tcBorders>
              <w:top w:val="single" w:sz="4" w:space="0" w:color="auto"/>
            </w:tcBorders>
            <w:shd w:val="clear" w:color="auto" w:fill="auto"/>
            <w:vAlign w:val="bottom"/>
          </w:tcPr>
          <w:p w14:paraId="49E12984" w14:textId="77777777" w:rsidR="00880702" w:rsidRPr="002D2F67" w:rsidRDefault="00880702">
            <w:pPr>
              <w:ind w:right="-72"/>
              <w:jc w:val="right"/>
              <w:rPr>
                <w:rFonts w:ascii="Arial" w:hAnsi="Arial" w:cs="Arial"/>
                <w:color w:val="000000"/>
                <w:sz w:val="12"/>
                <w:szCs w:val="12"/>
              </w:rPr>
            </w:pPr>
          </w:p>
        </w:tc>
        <w:tc>
          <w:tcPr>
            <w:tcW w:w="1405" w:type="dxa"/>
            <w:tcBorders>
              <w:top w:val="single" w:sz="4" w:space="0" w:color="auto"/>
              <w:left w:val="nil"/>
              <w:right w:val="nil"/>
            </w:tcBorders>
            <w:shd w:val="clear" w:color="auto" w:fill="auto"/>
            <w:vAlign w:val="bottom"/>
          </w:tcPr>
          <w:p w14:paraId="5E0294A7" w14:textId="77777777" w:rsidR="00880702" w:rsidRPr="002D2F67" w:rsidRDefault="00880702">
            <w:pPr>
              <w:ind w:right="-72"/>
              <w:jc w:val="right"/>
              <w:rPr>
                <w:rFonts w:ascii="Arial" w:hAnsi="Arial" w:cs="Arial"/>
                <w:color w:val="000000"/>
                <w:sz w:val="12"/>
                <w:szCs w:val="12"/>
              </w:rPr>
            </w:pPr>
          </w:p>
        </w:tc>
        <w:tc>
          <w:tcPr>
            <w:tcW w:w="1406" w:type="dxa"/>
            <w:tcBorders>
              <w:top w:val="single" w:sz="4" w:space="0" w:color="auto"/>
            </w:tcBorders>
            <w:shd w:val="clear" w:color="auto" w:fill="auto"/>
            <w:vAlign w:val="bottom"/>
          </w:tcPr>
          <w:p w14:paraId="240DB37F" w14:textId="77777777" w:rsidR="00880702" w:rsidRPr="002D2F67" w:rsidRDefault="00880702">
            <w:pPr>
              <w:ind w:right="-72"/>
              <w:jc w:val="right"/>
              <w:rPr>
                <w:rFonts w:ascii="Arial" w:hAnsi="Arial" w:cs="Arial"/>
                <w:color w:val="000000"/>
                <w:sz w:val="12"/>
                <w:szCs w:val="12"/>
              </w:rPr>
            </w:pPr>
          </w:p>
        </w:tc>
      </w:tr>
      <w:tr w:rsidR="00880702" w:rsidRPr="002D2F67" w14:paraId="2A584C95" w14:textId="77777777" w:rsidTr="3ABCB9CB">
        <w:tc>
          <w:tcPr>
            <w:tcW w:w="3926" w:type="dxa"/>
            <w:shd w:val="clear" w:color="auto" w:fill="auto"/>
          </w:tcPr>
          <w:p w14:paraId="24FF6B14" w14:textId="014F1C70" w:rsidR="00880702" w:rsidRPr="002D2F67" w:rsidRDefault="00880702">
            <w:pPr>
              <w:tabs>
                <w:tab w:val="left" w:pos="1134"/>
                <w:tab w:val="left" w:pos="1276"/>
                <w:tab w:val="center" w:pos="3402"/>
                <w:tab w:val="center" w:pos="4536"/>
                <w:tab w:val="center" w:pos="5670"/>
                <w:tab w:val="center" w:pos="6804"/>
                <w:tab w:val="right" w:pos="7655"/>
              </w:tabs>
              <w:ind w:left="526" w:right="-72"/>
              <w:rPr>
                <w:rFonts w:ascii="Arial" w:hAnsi="Arial" w:cs="Arial"/>
                <w:color w:val="000000"/>
                <w:sz w:val="20"/>
                <w:szCs w:val="20"/>
              </w:rPr>
            </w:pPr>
            <w:r w:rsidRPr="002D2F67">
              <w:rPr>
                <w:rFonts w:ascii="Arial" w:hAnsi="Arial" w:cs="Arial"/>
                <w:color w:val="000000"/>
                <w:sz w:val="20"/>
                <w:szCs w:val="20"/>
              </w:rPr>
              <w:t>Closing balance</w:t>
            </w:r>
          </w:p>
        </w:tc>
        <w:tc>
          <w:tcPr>
            <w:tcW w:w="1405" w:type="dxa"/>
            <w:tcBorders>
              <w:bottom w:val="single" w:sz="4" w:space="0" w:color="auto"/>
            </w:tcBorders>
            <w:shd w:val="clear" w:color="auto" w:fill="auto"/>
            <w:vAlign w:val="bottom"/>
          </w:tcPr>
          <w:p w14:paraId="75BBAAB1" w14:textId="77777777" w:rsidR="00880702" w:rsidRPr="002D2F67" w:rsidRDefault="00880702">
            <w:pPr>
              <w:ind w:right="-72"/>
              <w:jc w:val="right"/>
              <w:rPr>
                <w:rFonts w:ascii="Arial" w:hAnsi="Arial" w:cs="Arial"/>
                <w:color w:val="000000"/>
                <w:sz w:val="20"/>
                <w:szCs w:val="20"/>
              </w:rPr>
            </w:pPr>
            <w:r w:rsidRPr="002D2F67">
              <w:rPr>
                <w:rFonts w:ascii="Arial" w:hAnsi="Arial" w:cs="Arial"/>
                <w:color w:val="000000"/>
                <w:sz w:val="20"/>
                <w:szCs w:val="20"/>
              </w:rPr>
              <w:t>-</w:t>
            </w:r>
          </w:p>
        </w:tc>
        <w:tc>
          <w:tcPr>
            <w:tcW w:w="1406" w:type="dxa"/>
            <w:tcBorders>
              <w:bottom w:val="single" w:sz="4" w:space="0" w:color="auto"/>
            </w:tcBorders>
            <w:shd w:val="clear" w:color="auto" w:fill="auto"/>
            <w:vAlign w:val="bottom"/>
          </w:tcPr>
          <w:p w14:paraId="3B902CA1" w14:textId="77777777" w:rsidR="00880702" w:rsidRPr="002D2F67" w:rsidRDefault="00880702">
            <w:pPr>
              <w:ind w:right="-72"/>
              <w:jc w:val="right"/>
              <w:rPr>
                <w:rFonts w:ascii="Arial" w:hAnsi="Arial" w:cs="Arial"/>
                <w:color w:val="000000"/>
                <w:sz w:val="20"/>
                <w:szCs w:val="20"/>
              </w:rPr>
            </w:pPr>
            <w:r w:rsidRPr="002D2F67">
              <w:rPr>
                <w:rFonts w:ascii="Arial" w:hAnsi="Arial" w:cs="Arial"/>
                <w:color w:val="000000"/>
                <w:sz w:val="20"/>
                <w:szCs w:val="20"/>
              </w:rPr>
              <w:t>-</w:t>
            </w:r>
          </w:p>
        </w:tc>
        <w:tc>
          <w:tcPr>
            <w:tcW w:w="1405" w:type="dxa"/>
            <w:tcBorders>
              <w:top w:val="nil"/>
              <w:left w:val="nil"/>
              <w:bottom w:val="single" w:sz="4" w:space="0" w:color="auto"/>
              <w:right w:val="nil"/>
            </w:tcBorders>
            <w:shd w:val="clear" w:color="auto" w:fill="auto"/>
            <w:vAlign w:val="bottom"/>
          </w:tcPr>
          <w:p w14:paraId="250CFEB9" w14:textId="77777777" w:rsidR="00880702" w:rsidRPr="002D2F67" w:rsidRDefault="00880702">
            <w:pPr>
              <w:ind w:right="-72"/>
              <w:jc w:val="right"/>
              <w:rPr>
                <w:rFonts w:ascii="Arial" w:hAnsi="Arial" w:cs="Arial"/>
                <w:color w:val="000000"/>
                <w:sz w:val="20"/>
                <w:szCs w:val="20"/>
              </w:rPr>
            </w:pPr>
            <w:r w:rsidRPr="002D2F67">
              <w:rPr>
                <w:rFonts w:ascii="Arial" w:hAnsi="Arial" w:cs="Arial"/>
                <w:color w:val="000000"/>
                <w:sz w:val="20"/>
                <w:szCs w:val="20"/>
              </w:rPr>
              <w:t>-</w:t>
            </w:r>
          </w:p>
        </w:tc>
        <w:tc>
          <w:tcPr>
            <w:tcW w:w="1406" w:type="dxa"/>
            <w:tcBorders>
              <w:bottom w:val="single" w:sz="4" w:space="0" w:color="auto"/>
            </w:tcBorders>
            <w:shd w:val="clear" w:color="auto" w:fill="auto"/>
            <w:vAlign w:val="bottom"/>
          </w:tcPr>
          <w:p w14:paraId="7E94B7B3" w14:textId="77777777" w:rsidR="00880702" w:rsidRPr="002D2F67" w:rsidRDefault="00880702">
            <w:pPr>
              <w:ind w:right="-72"/>
              <w:jc w:val="right"/>
              <w:rPr>
                <w:rFonts w:ascii="Arial" w:hAnsi="Arial" w:cs="Arial"/>
                <w:color w:val="000000"/>
                <w:sz w:val="20"/>
                <w:szCs w:val="20"/>
              </w:rPr>
            </w:pPr>
            <w:r w:rsidRPr="002D2F67">
              <w:rPr>
                <w:rFonts w:ascii="Arial" w:hAnsi="Arial" w:cs="Arial"/>
                <w:color w:val="000000"/>
                <w:sz w:val="20"/>
                <w:szCs w:val="20"/>
              </w:rPr>
              <w:t>-</w:t>
            </w:r>
          </w:p>
        </w:tc>
      </w:tr>
    </w:tbl>
    <w:p w14:paraId="2C8B8D41" w14:textId="77777777" w:rsidR="00A53BC0" w:rsidRPr="002D2F67" w:rsidRDefault="00A53BC0" w:rsidP="005611FE">
      <w:pPr>
        <w:jc w:val="thaiDistribute"/>
        <w:rPr>
          <w:rFonts w:ascii="Arial" w:hAnsi="Arial" w:cs="Arial"/>
          <w:b/>
          <w:bCs/>
          <w:color w:val="000000"/>
          <w:sz w:val="20"/>
          <w:szCs w:val="20"/>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AC72A3" w:rsidRPr="002D2F67" w14:paraId="74FD8B9C" w14:textId="77777777" w:rsidTr="008255E8">
        <w:tc>
          <w:tcPr>
            <w:tcW w:w="3690" w:type="dxa"/>
            <w:shd w:val="clear" w:color="auto" w:fill="auto"/>
          </w:tcPr>
          <w:p w14:paraId="455EA0BB" w14:textId="77777777" w:rsidR="00AC72A3" w:rsidRPr="002D2F67" w:rsidRDefault="00AC72A3" w:rsidP="005611FE">
            <w:pPr>
              <w:ind w:left="411"/>
              <w:contextualSpacing/>
              <w:rPr>
                <w:rFonts w:ascii="Arial" w:hAnsi="Arial" w:cs="Arial"/>
                <w:color w:val="000000"/>
                <w:sz w:val="20"/>
                <w:szCs w:val="20"/>
              </w:rPr>
            </w:pPr>
          </w:p>
        </w:tc>
        <w:tc>
          <w:tcPr>
            <w:tcW w:w="2880" w:type="dxa"/>
            <w:gridSpan w:val="2"/>
            <w:tcBorders>
              <w:bottom w:val="single" w:sz="4" w:space="0" w:color="auto"/>
            </w:tcBorders>
            <w:shd w:val="clear" w:color="auto" w:fill="auto"/>
          </w:tcPr>
          <w:p w14:paraId="5A48EF5D" w14:textId="77777777" w:rsidR="00AC72A3" w:rsidRPr="002D2F67" w:rsidRDefault="00AC72A3" w:rsidP="005611FE">
            <w:pPr>
              <w:tabs>
                <w:tab w:val="left" w:pos="709"/>
              </w:tabs>
              <w:ind w:right="-72"/>
              <w:contextualSpacing/>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3B139CED" w14:textId="77777777" w:rsidR="00AC72A3" w:rsidRPr="002D2F67" w:rsidRDefault="00AC72A3" w:rsidP="005611FE">
            <w:pPr>
              <w:tabs>
                <w:tab w:val="left" w:pos="709"/>
              </w:tabs>
              <w:ind w:right="-72"/>
              <w:contextualSpacing/>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2880" w:type="dxa"/>
            <w:gridSpan w:val="2"/>
            <w:tcBorders>
              <w:bottom w:val="single" w:sz="4" w:space="0" w:color="auto"/>
            </w:tcBorders>
            <w:shd w:val="clear" w:color="auto" w:fill="auto"/>
          </w:tcPr>
          <w:p w14:paraId="7A77F747" w14:textId="77777777" w:rsidR="00AC72A3" w:rsidRPr="002D2F67" w:rsidRDefault="00AC72A3" w:rsidP="005611FE">
            <w:pPr>
              <w:tabs>
                <w:tab w:val="left" w:pos="709"/>
              </w:tabs>
              <w:ind w:right="-72"/>
              <w:contextualSpacing/>
              <w:jc w:val="right"/>
              <w:rPr>
                <w:rFonts w:ascii="Arial" w:hAnsi="Arial" w:cs="Arial"/>
                <w:b/>
                <w:bCs/>
                <w:color w:val="000000"/>
                <w:sz w:val="20"/>
                <w:szCs w:val="20"/>
              </w:rPr>
            </w:pPr>
            <w:r w:rsidRPr="002D2F67">
              <w:rPr>
                <w:rFonts w:ascii="Arial" w:hAnsi="Arial" w:cs="Arial"/>
                <w:b/>
                <w:bCs/>
                <w:color w:val="000000"/>
                <w:sz w:val="20"/>
                <w:szCs w:val="20"/>
              </w:rPr>
              <w:t xml:space="preserve">Separate </w:t>
            </w:r>
          </w:p>
          <w:p w14:paraId="67564E0F" w14:textId="77777777" w:rsidR="00AC72A3" w:rsidRPr="002D2F67" w:rsidRDefault="00AC72A3" w:rsidP="005611FE">
            <w:pPr>
              <w:tabs>
                <w:tab w:val="left" w:pos="709"/>
              </w:tabs>
              <w:ind w:right="-72"/>
              <w:contextualSpacing/>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AC72A3" w:rsidRPr="002D2F67" w14:paraId="0914C0DC" w14:textId="77777777" w:rsidTr="005611FE">
        <w:tc>
          <w:tcPr>
            <w:tcW w:w="3690" w:type="dxa"/>
            <w:shd w:val="clear" w:color="auto" w:fill="auto"/>
          </w:tcPr>
          <w:p w14:paraId="3DE1CAAC" w14:textId="5084365F" w:rsidR="00AC72A3" w:rsidRPr="002D2F67" w:rsidRDefault="00AC72A3" w:rsidP="005611FE">
            <w:pPr>
              <w:ind w:left="411"/>
              <w:contextualSpacing/>
              <w:rPr>
                <w:rFonts w:ascii="Arial" w:hAnsi="Arial" w:cs="Arial"/>
                <w:b/>
                <w:bCs/>
                <w:color w:val="000000"/>
                <w:sz w:val="20"/>
                <w:szCs w:val="20"/>
              </w:rPr>
            </w:pPr>
            <w:r w:rsidRPr="002D2F67">
              <w:rPr>
                <w:rFonts w:ascii="Arial" w:hAnsi="Arial" w:cs="Arial"/>
                <w:b/>
                <w:bCs/>
                <w:color w:val="000000"/>
                <w:sz w:val="20"/>
                <w:szCs w:val="20"/>
              </w:rPr>
              <w:t xml:space="preserve">As </w:t>
            </w:r>
            <w:proofErr w:type="gramStart"/>
            <w:r w:rsidRPr="002D2F67">
              <w:rPr>
                <w:rFonts w:ascii="Arial" w:hAnsi="Arial" w:cs="Arial"/>
                <w:b/>
                <w:bCs/>
                <w:color w:val="000000"/>
                <w:sz w:val="20"/>
                <w:szCs w:val="20"/>
              </w:rPr>
              <w:t>at</w:t>
            </w:r>
            <w:proofErr w:type="gramEnd"/>
            <w:r w:rsidRPr="002D2F67">
              <w:rPr>
                <w:rFonts w:ascii="Arial" w:hAnsi="Arial" w:cs="Arial"/>
                <w:b/>
                <w:bCs/>
                <w:color w:val="000000"/>
                <w:sz w:val="20"/>
                <w:szCs w:val="20"/>
              </w:rPr>
              <w:t xml:space="preserve"> </w:t>
            </w:r>
            <w:r w:rsidR="00CD5714" w:rsidRPr="00CD5714">
              <w:rPr>
                <w:rFonts w:ascii="Arial" w:hAnsi="Arial" w:cs="Arial"/>
                <w:b/>
                <w:bCs/>
                <w:color w:val="000000"/>
                <w:sz w:val="20"/>
                <w:szCs w:val="20"/>
                <w:lang w:val="en-GB"/>
              </w:rPr>
              <w:t>31</w:t>
            </w:r>
            <w:r w:rsidRPr="002D2F67">
              <w:rPr>
                <w:rFonts w:ascii="Arial" w:hAnsi="Arial" w:cs="Arial"/>
                <w:b/>
                <w:bCs/>
                <w:color w:val="000000"/>
                <w:sz w:val="20"/>
                <w:szCs w:val="20"/>
              </w:rPr>
              <w:t xml:space="preserve"> December</w:t>
            </w:r>
          </w:p>
        </w:tc>
        <w:tc>
          <w:tcPr>
            <w:tcW w:w="1440" w:type="dxa"/>
            <w:tcBorders>
              <w:top w:val="single" w:sz="4" w:space="0" w:color="auto"/>
            </w:tcBorders>
            <w:shd w:val="clear" w:color="auto" w:fill="auto"/>
          </w:tcPr>
          <w:p w14:paraId="1A28EAA6" w14:textId="4F9C3EB3" w:rsidR="00AC72A3" w:rsidRPr="002D2F67" w:rsidRDefault="00CD5714" w:rsidP="005611FE">
            <w:pPr>
              <w:ind w:right="-72"/>
              <w:contextualSpacing/>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40" w:type="dxa"/>
            <w:tcBorders>
              <w:top w:val="single" w:sz="4" w:space="0" w:color="auto"/>
            </w:tcBorders>
            <w:shd w:val="clear" w:color="auto" w:fill="auto"/>
          </w:tcPr>
          <w:p w14:paraId="2EBEA4B1" w14:textId="198813D9" w:rsidR="00AC72A3" w:rsidRPr="002D2F67" w:rsidRDefault="00CD5714" w:rsidP="005611FE">
            <w:pPr>
              <w:ind w:right="-72"/>
              <w:contextualSpacing/>
              <w:jc w:val="right"/>
              <w:rPr>
                <w:rFonts w:ascii="Arial" w:hAnsi="Arial" w:cs="Arial"/>
                <w:b/>
                <w:bCs/>
                <w:color w:val="000000"/>
                <w:sz w:val="20"/>
                <w:szCs w:val="20"/>
                <w:cs/>
              </w:rPr>
            </w:pPr>
            <w:r w:rsidRPr="00CD5714">
              <w:rPr>
                <w:rFonts w:ascii="Arial" w:hAnsi="Arial" w:cs="Arial"/>
                <w:b/>
                <w:bCs/>
                <w:color w:val="000000"/>
                <w:sz w:val="20"/>
                <w:szCs w:val="20"/>
                <w:lang w:val="en-GB"/>
              </w:rPr>
              <w:t>2023</w:t>
            </w:r>
          </w:p>
        </w:tc>
        <w:tc>
          <w:tcPr>
            <w:tcW w:w="1440" w:type="dxa"/>
            <w:tcBorders>
              <w:top w:val="single" w:sz="4" w:space="0" w:color="auto"/>
            </w:tcBorders>
            <w:shd w:val="clear" w:color="auto" w:fill="auto"/>
          </w:tcPr>
          <w:p w14:paraId="62C0F197" w14:textId="7CF65943" w:rsidR="00AC72A3" w:rsidRPr="002D2F67" w:rsidRDefault="00CD5714" w:rsidP="005611FE">
            <w:pPr>
              <w:ind w:right="-72"/>
              <w:contextualSpacing/>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40" w:type="dxa"/>
            <w:tcBorders>
              <w:top w:val="single" w:sz="4" w:space="0" w:color="auto"/>
            </w:tcBorders>
            <w:shd w:val="clear" w:color="auto" w:fill="auto"/>
          </w:tcPr>
          <w:p w14:paraId="1F011F26" w14:textId="6362C0F3" w:rsidR="00AC72A3" w:rsidRPr="002D2F67" w:rsidRDefault="00CD5714" w:rsidP="005611FE">
            <w:pPr>
              <w:ind w:right="-72"/>
              <w:contextualSpacing/>
              <w:jc w:val="right"/>
              <w:rPr>
                <w:rFonts w:ascii="Arial" w:hAnsi="Arial" w:cs="Arial"/>
                <w:b/>
                <w:bCs/>
                <w:color w:val="000000"/>
                <w:sz w:val="20"/>
                <w:szCs w:val="20"/>
                <w:cs/>
              </w:rPr>
            </w:pPr>
            <w:r w:rsidRPr="00CD5714">
              <w:rPr>
                <w:rFonts w:ascii="Arial" w:hAnsi="Arial" w:cs="Arial"/>
                <w:b/>
                <w:bCs/>
                <w:color w:val="000000"/>
                <w:sz w:val="20"/>
                <w:szCs w:val="20"/>
                <w:lang w:val="en-GB"/>
              </w:rPr>
              <w:t>2023</w:t>
            </w:r>
          </w:p>
        </w:tc>
      </w:tr>
      <w:tr w:rsidR="00AC72A3" w:rsidRPr="002D2F67" w14:paraId="4925C3E7" w14:textId="77777777" w:rsidTr="005611FE">
        <w:tc>
          <w:tcPr>
            <w:tcW w:w="3690" w:type="dxa"/>
            <w:shd w:val="clear" w:color="auto" w:fill="auto"/>
          </w:tcPr>
          <w:p w14:paraId="7C377968" w14:textId="77777777" w:rsidR="00AC72A3" w:rsidRPr="002D2F67" w:rsidRDefault="00AC72A3" w:rsidP="005611FE">
            <w:pPr>
              <w:pStyle w:val="Header"/>
              <w:ind w:left="411"/>
              <w:contextualSpacing/>
              <w:rPr>
                <w:rFonts w:ascii="Arial" w:hAnsi="Arial" w:cs="Arial"/>
                <w:color w:val="000000"/>
                <w:sz w:val="20"/>
                <w:szCs w:val="20"/>
              </w:rPr>
            </w:pPr>
          </w:p>
        </w:tc>
        <w:tc>
          <w:tcPr>
            <w:tcW w:w="1440" w:type="dxa"/>
            <w:tcBorders>
              <w:bottom w:val="single" w:sz="4" w:space="0" w:color="auto"/>
            </w:tcBorders>
            <w:shd w:val="clear" w:color="auto" w:fill="auto"/>
          </w:tcPr>
          <w:p w14:paraId="7739818A" w14:textId="4B23577F" w:rsidR="00AC72A3" w:rsidRPr="002D2F67" w:rsidRDefault="00AC72A3" w:rsidP="005611FE">
            <w:pPr>
              <w:ind w:right="-72"/>
              <w:contextualSpacing/>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742B8796" w14:textId="7688F410" w:rsidR="00AC72A3" w:rsidRPr="002D2F67" w:rsidRDefault="00AC72A3" w:rsidP="005611FE">
            <w:pPr>
              <w:ind w:right="-72"/>
              <w:contextualSpacing/>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44FD7A75" w14:textId="607D766A" w:rsidR="00AC72A3" w:rsidRPr="002D2F67" w:rsidRDefault="00AC72A3" w:rsidP="005611FE">
            <w:pPr>
              <w:ind w:right="-72"/>
              <w:contextualSpacing/>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4B4FA2CF" w14:textId="3130BD98" w:rsidR="00AC72A3" w:rsidRPr="002D2F67" w:rsidRDefault="00AC72A3" w:rsidP="005611FE">
            <w:pPr>
              <w:ind w:right="-72"/>
              <w:contextualSpacing/>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AC72A3" w:rsidRPr="002D2F67" w14:paraId="47CD109E" w14:textId="77777777" w:rsidTr="005611FE">
        <w:tc>
          <w:tcPr>
            <w:tcW w:w="3690" w:type="dxa"/>
            <w:shd w:val="clear" w:color="auto" w:fill="auto"/>
          </w:tcPr>
          <w:p w14:paraId="48D9538D" w14:textId="77777777" w:rsidR="00AC72A3" w:rsidRPr="002D2F67" w:rsidRDefault="00AC72A3" w:rsidP="005611FE">
            <w:pPr>
              <w:tabs>
                <w:tab w:val="left" w:pos="1134"/>
                <w:tab w:val="left" w:pos="1276"/>
                <w:tab w:val="center" w:pos="3402"/>
                <w:tab w:val="center" w:pos="4536"/>
                <w:tab w:val="center" w:pos="5670"/>
                <w:tab w:val="center" w:pos="6804"/>
                <w:tab w:val="right" w:pos="7655"/>
              </w:tabs>
              <w:ind w:left="411"/>
              <w:contextualSpacing/>
              <w:rPr>
                <w:rFonts w:ascii="Arial" w:hAnsi="Arial" w:cs="Arial"/>
                <w:color w:val="000000"/>
                <w:sz w:val="20"/>
                <w:szCs w:val="20"/>
              </w:rPr>
            </w:pPr>
          </w:p>
        </w:tc>
        <w:tc>
          <w:tcPr>
            <w:tcW w:w="1440" w:type="dxa"/>
            <w:tcBorders>
              <w:top w:val="single" w:sz="4" w:space="0" w:color="auto"/>
            </w:tcBorders>
            <w:shd w:val="clear" w:color="auto" w:fill="auto"/>
          </w:tcPr>
          <w:p w14:paraId="546731DF" w14:textId="77777777" w:rsidR="00AC72A3" w:rsidRPr="002D2F67" w:rsidRDefault="00AC72A3"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15F11633" w14:textId="77777777" w:rsidR="00AC72A3" w:rsidRPr="002D2F67" w:rsidRDefault="00AC72A3"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5CED625D" w14:textId="77777777" w:rsidR="00AC72A3" w:rsidRPr="002D2F67" w:rsidRDefault="00AC72A3"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19E380B3" w14:textId="77777777" w:rsidR="00AC72A3" w:rsidRPr="002D2F67" w:rsidRDefault="00AC72A3" w:rsidP="005611FE">
            <w:pPr>
              <w:ind w:right="-72"/>
              <w:contextualSpacing/>
              <w:jc w:val="right"/>
              <w:rPr>
                <w:rFonts w:ascii="Arial" w:hAnsi="Arial" w:cs="Arial"/>
                <w:color w:val="000000"/>
                <w:sz w:val="20"/>
                <w:szCs w:val="20"/>
              </w:rPr>
            </w:pPr>
          </w:p>
        </w:tc>
      </w:tr>
      <w:tr w:rsidR="00AC72A3" w:rsidRPr="002D2F67" w14:paraId="5917CFB2" w14:textId="77777777" w:rsidTr="005611FE">
        <w:trPr>
          <w:trHeight w:val="126"/>
        </w:trPr>
        <w:tc>
          <w:tcPr>
            <w:tcW w:w="3690" w:type="dxa"/>
            <w:shd w:val="clear" w:color="auto" w:fill="auto"/>
          </w:tcPr>
          <w:p w14:paraId="21036314" w14:textId="3F23032E" w:rsidR="00AC72A3" w:rsidRPr="002D2F67" w:rsidRDefault="00AC72A3" w:rsidP="005611FE">
            <w:pPr>
              <w:pStyle w:val="Heading4"/>
              <w:ind w:left="411"/>
              <w:contextualSpacing/>
              <w:rPr>
                <w:rFonts w:ascii="Arial" w:hAnsi="Arial" w:cs="Arial"/>
                <w:b w:val="0"/>
                <w:bCs w:val="0"/>
                <w:color w:val="000000"/>
                <w:sz w:val="20"/>
                <w:szCs w:val="20"/>
                <w:bdr w:val="single" w:sz="4" w:space="0" w:color="auto"/>
                <w:lang w:val="en-US" w:eastAsia="en-US"/>
              </w:rPr>
            </w:pPr>
            <w:r w:rsidRPr="002D2F67">
              <w:rPr>
                <w:rFonts w:ascii="Arial" w:hAnsi="Arial" w:cs="Arial"/>
                <w:b w:val="0"/>
                <w:bCs w:val="0"/>
                <w:color w:val="000000"/>
                <w:sz w:val="20"/>
                <w:szCs w:val="20"/>
                <w:lang w:val="en-US" w:eastAsia="en-US"/>
              </w:rPr>
              <w:t>Interest payable</w:t>
            </w:r>
          </w:p>
        </w:tc>
        <w:tc>
          <w:tcPr>
            <w:tcW w:w="1440" w:type="dxa"/>
            <w:shd w:val="clear" w:color="auto" w:fill="auto"/>
          </w:tcPr>
          <w:p w14:paraId="19FCBC67" w14:textId="77777777" w:rsidR="00AC72A3" w:rsidRPr="002D2F67" w:rsidRDefault="00AC72A3" w:rsidP="005611FE">
            <w:pPr>
              <w:pStyle w:val="MacroText"/>
              <w:tabs>
                <w:tab w:val="clear" w:pos="480"/>
                <w:tab w:val="clear" w:pos="960"/>
                <w:tab w:val="clear" w:pos="1440"/>
                <w:tab w:val="clear" w:pos="1920"/>
                <w:tab w:val="clear" w:pos="2400"/>
                <w:tab w:val="clear" w:pos="2880"/>
                <w:tab w:val="clear" w:pos="3360"/>
                <w:tab w:val="clear" w:pos="3840"/>
                <w:tab w:val="clear" w:pos="4320"/>
              </w:tabs>
              <w:ind w:right="-72"/>
              <w:contextualSpacing/>
              <w:jc w:val="right"/>
              <w:rPr>
                <w:rFonts w:cs="Arial"/>
                <w:color w:val="000000"/>
              </w:rPr>
            </w:pPr>
          </w:p>
        </w:tc>
        <w:tc>
          <w:tcPr>
            <w:tcW w:w="1440" w:type="dxa"/>
            <w:shd w:val="clear" w:color="auto" w:fill="auto"/>
          </w:tcPr>
          <w:p w14:paraId="0FD46F7F" w14:textId="77777777" w:rsidR="00AC72A3" w:rsidRPr="002D2F67" w:rsidRDefault="00AC72A3" w:rsidP="005611FE">
            <w:pPr>
              <w:pStyle w:val="MacroText"/>
              <w:tabs>
                <w:tab w:val="clear" w:pos="480"/>
                <w:tab w:val="clear" w:pos="960"/>
                <w:tab w:val="clear" w:pos="1440"/>
                <w:tab w:val="clear" w:pos="1920"/>
                <w:tab w:val="clear" w:pos="2400"/>
                <w:tab w:val="clear" w:pos="2880"/>
                <w:tab w:val="clear" w:pos="3360"/>
                <w:tab w:val="clear" w:pos="3840"/>
                <w:tab w:val="clear" w:pos="4320"/>
              </w:tabs>
              <w:ind w:right="-72"/>
              <w:contextualSpacing/>
              <w:jc w:val="right"/>
              <w:rPr>
                <w:rFonts w:cs="Arial"/>
                <w:color w:val="000000"/>
              </w:rPr>
            </w:pPr>
          </w:p>
        </w:tc>
        <w:tc>
          <w:tcPr>
            <w:tcW w:w="1440" w:type="dxa"/>
            <w:shd w:val="clear" w:color="auto" w:fill="auto"/>
          </w:tcPr>
          <w:p w14:paraId="63C617D4" w14:textId="77777777" w:rsidR="00AC72A3" w:rsidRPr="002D2F67" w:rsidRDefault="00AC72A3" w:rsidP="005611FE">
            <w:pPr>
              <w:ind w:right="-72"/>
              <w:contextualSpacing/>
              <w:jc w:val="right"/>
              <w:rPr>
                <w:rFonts w:ascii="Arial" w:hAnsi="Arial" w:cs="Arial"/>
                <w:color w:val="000000"/>
                <w:sz w:val="20"/>
                <w:szCs w:val="20"/>
              </w:rPr>
            </w:pPr>
          </w:p>
        </w:tc>
        <w:tc>
          <w:tcPr>
            <w:tcW w:w="1440" w:type="dxa"/>
            <w:shd w:val="clear" w:color="auto" w:fill="auto"/>
          </w:tcPr>
          <w:p w14:paraId="418CFECD" w14:textId="77777777" w:rsidR="00AC72A3" w:rsidRPr="002D2F67" w:rsidRDefault="00AC72A3" w:rsidP="005611FE">
            <w:pPr>
              <w:ind w:right="-72"/>
              <w:contextualSpacing/>
              <w:jc w:val="right"/>
              <w:rPr>
                <w:rFonts w:ascii="Arial" w:hAnsi="Arial" w:cs="Arial"/>
                <w:color w:val="000000"/>
                <w:sz w:val="20"/>
                <w:szCs w:val="20"/>
              </w:rPr>
            </w:pPr>
          </w:p>
        </w:tc>
      </w:tr>
      <w:tr w:rsidR="008647A6" w:rsidRPr="002D2F67" w14:paraId="7E3B1F90" w14:textId="77777777" w:rsidTr="005611FE">
        <w:trPr>
          <w:trHeight w:val="126"/>
        </w:trPr>
        <w:tc>
          <w:tcPr>
            <w:tcW w:w="3690" w:type="dxa"/>
            <w:shd w:val="clear" w:color="auto" w:fill="auto"/>
          </w:tcPr>
          <w:p w14:paraId="0187B59C" w14:textId="77777777" w:rsidR="008647A6" w:rsidRPr="002D2F67" w:rsidRDefault="008647A6" w:rsidP="005611FE">
            <w:pPr>
              <w:ind w:left="411"/>
              <w:contextualSpacing/>
              <w:jc w:val="both"/>
              <w:rPr>
                <w:rFonts w:ascii="Arial" w:hAnsi="Arial" w:cs="Arial"/>
                <w:color w:val="000000"/>
                <w:sz w:val="20"/>
                <w:szCs w:val="20"/>
              </w:rPr>
            </w:pPr>
            <w:r w:rsidRPr="002D2F67">
              <w:rPr>
                <w:rFonts w:ascii="Arial" w:hAnsi="Arial" w:cs="Arial"/>
                <w:color w:val="000000"/>
                <w:sz w:val="20"/>
                <w:szCs w:val="20"/>
              </w:rPr>
              <w:t xml:space="preserve">   - Subsidiaries</w:t>
            </w:r>
          </w:p>
        </w:tc>
        <w:tc>
          <w:tcPr>
            <w:tcW w:w="1440" w:type="dxa"/>
            <w:shd w:val="clear" w:color="auto" w:fill="auto"/>
          </w:tcPr>
          <w:p w14:paraId="4E4EE242" w14:textId="1D5F30A0" w:rsidR="008647A6" w:rsidRPr="002D2F67" w:rsidRDefault="00E95F11"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tcPr>
          <w:p w14:paraId="434AEDD9" w14:textId="6FBD9D5E" w:rsidR="008647A6" w:rsidRPr="002D2F67" w:rsidRDefault="008647A6"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tcPr>
          <w:p w14:paraId="2C93640B" w14:textId="217293C8" w:rsidR="008647A6"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64</w:t>
            </w:r>
            <w:r w:rsidR="00F853DE" w:rsidRPr="002D2F67">
              <w:rPr>
                <w:rFonts w:ascii="Arial" w:hAnsi="Arial" w:cs="Arial"/>
                <w:color w:val="000000"/>
                <w:sz w:val="20"/>
                <w:szCs w:val="20"/>
              </w:rPr>
              <w:t>,</w:t>
            </w:r>
            <w:r w:rsidRPr="00CD5714">
              <w:rPr>
                <w:rFonts w:ascii="Arial" w:hAnsi="Arial" w:cs="Arial"/>
                <w:color w:val="000000"/>
                <w:sz w:val="20"/>
                <w:szCs w:val="20"/>
                <w:lang w:val="en-GB"/>
              </w:rPr>
              <w:t>592</w:t>
            </w:r>
          </w:p>
        </w:tc>
        <w:tc>
          <w:tcPr>
            <w:tcW w:w="1440" w:type="dxa"/>
            <w:shd w:val="clear" w:color="auto" w:fill="auto"/>
          </w:tcPr>
          <w:p w14:paraId="2D71B50B" w14:textId="62213CE5" w:rsidR="008647A6"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4</w:t>
            </w:r>
            <w:r w:rsidR="008647A6" w:rsidRPr="002D2F67">
              <w:rPr>
                <w:rFonts w:ascii="Arial" w:hAnsi="Arial" w:cs="Arial"/>
                <w:color w:val="000000"/>
                <w:sz w:val="20"/>
                <w:szCs w:val="20"/>
              </w:rPr>
              <w:t>,</w:t>
            </w:r>
            <w:r w:rsidRPr="00CD5714">
              <w:rPr>
                <w:rFonts w:ascii="Arial" w:hAnsi="Arial" w:cs="Arial"/>
                <w:color w:val="000000"/>
                <w:sz w:val="20"/>
                <w:szCs w:val="20"/>
                <w:lang w:val="en-GB"/>
              </w:rPr>
              <w:t>670</w:t>
            </w:r>
          </w:p>
        </w:tc>
      </w:tr>
      <w:tr w:rsidR="008647A6" w:rsidRPr="002D2F67" w14:paraId="4D497B3C" w14:textId="77777777" w:rsidTr="005611FE">
        <w:trPr>
          <w:trHeight w:val="126"/>
        </w:trPr>
        <w:tc>
          <w:tcPr>
            <w:tcW w:w="3690" w:type="dxa"/>
            <w:shd w:val="clear" w:color="auto" w:fill="auto"/>
          </w:tcPr>
          <w:p w14:paraId="3D36DCD6" w14:textId="77777777" w:rsidR="008647A6" w:rsidRPr="002D2F67" w:rsidRDefault="008647A6" w:rsidP="005611FE">
            <w:pPr>
              <w:ind w:left="411"/>
              <w:contextualSpacing/>
              <w:jc w:val="both"/>
              <w:rPr>
                <w:rFonts w:ascii="Arial" w:hAnsi="Arial" w:cs="Arial"/>
                <w:color w:val="000000"/>
                <w:sz w:val="20"/>
                <w:szCs w:val="20"/>
              </w:rPr>
            </w:pPr>
            <w:r w:rsidRPr="002D2F67">
              <w:rPr>
                <w:rFonts w:ascii="Arial" w:hAnsi="Arial" w:cs="Arial"/>
                <w:color w:val="000000"/>
                <w:sz w:val="20"/>
                <w:szCs w:val="20"/>
              </w:rPr>
              <w:t xml:space="preserve">   - Associates</w:t>
            </w:r>
          </w:p>
        </w:tc>
        <w:tc>
          <w:tcPr>
            <w:tcW w:w="1440" w:type="dxa"/>
            <w:tcBorders>
              <w:bottom w:val="single" w:sz="4" w:space="0" w:color="auto"/>
            </w:tcBorders>
            <w:shd w:val="clear" w:color="auto" w:fill="auto"/>
          </w:tcPr>
          <w:p w14:paraId="7CC2CB97" w14:textId="67D92DA2" w:rsidR="008647A6" w:rsidRPr="002D2F67" w:rsidRDefault="00E95F11"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2D2F67">
              <w:rPr>
                <w:rFonts w:ascii="Arial" w:hAnsi="Arial" w:cs="Arial"/>
                <w:color w:val="000000"/>
                <w:sz w:val="20"/>
                <w:szCs w:val="20"/>
              </w:rPr>
              <w:t>-</w:t>
            </w:r>
          </w:p>
        </w:tc>
        <w:tc>
          <w:tcPr>
            <w:tcW w:w="1440" w:type="dxa"/>
            <w:tcBorders>
              <w:bottom w:val="single" w:sz="4" w:space="0" w:color="auto"/>
            </w:tcBorders>
            <w:shd w:val="clear" w:color="auto" w:fill="auto"/>
          </w:tcPr>
          <w:p w14:paraId="5809557E" w14:textId="617D8133" w:rsidR="008647A6"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20</w:t>
            </w:r>
            <w:r w:rsidR="008647A6" w:rsidRPr="002D2F67">
              <w:rPr>
                <w:rFonts w:ascii="Arial" w:hAnsi="Arial" w:cs="Arial"/>
                <w:color w:val="000000"/>
                <w:sz w:val="20"/>
                <w:szCs w:val="20"/>
              </w:rPr>
              <w:t>,</w:t>
            </w:r>
            <w:r w:rsidRPr="00CD5714">
              <w:rPr>
                <w:rFonts w:ascii="Arial" w:hAnsi="Arial" w:cs="Arial"/>
                <w:color w:val="000000"/>
                <w:sz w:val="20"/>
                <w:szCs w:val="20"/>
                <w:lang w:val="en-GB"/>
              </w:rPr>
              <w:t>199</w:t>
            </w:r>
          </w:p>
        </w:tc>
        <w:tc>
          <w:tcPr>
            <w:tcW w:w="1440" w:type="dxa"/>
            <w:tcBorders>
              <w:bottom w:val="single" w:sz="4" w:space="0" w:color="auto"/>
            </w:tcBorders>
            <w:shd w:val="clear" w:color="auto" w:fill="auto"/>
          </w:tcPr>
          <w:p w14:paraId="7921A381" w14:textId="717F11F2" w:rsidR="008647A6" w:rsidRPr="002D2F67" w:rsidRDefault="00E95F11"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2D2F67">
              <w:rPr>
                <w:rFonts w:ascii="Arial" w:hAnsi="Arial" w:cs="Arial"/>
                <w:color w:val="000000"/>
                <w:sz w:val="20"/>
                <w:szCs w:val="20"/>
              </w:rPr>
              <w:t>-</w:t>
            </w:r>
          </w:p>
        </w:tc>
        <w:tc>
          <w:tcPr>
            <w:tcW w:w="1440" w:type="dxa"/>
            <w:tcBorders>
              <w:bottom w:val="single" w:sz="4" w:space="0" w:color="auto"/>
            </w:tcBorders>
            <w:shd w:val="clear" w:color="auto" w:fill="auto"/>
          </w:tcPr>
          <w:p w14:paraId="1A8A78D0" w14:textId="09609A72" w:rsidR="008647A6" w:rsidRPr="002D2F67" w:rsidRDefault="008647A6"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2D2F67">
              <w:rPr>
                <w:rFonts w:ascii="Arial" w:hAnsi="Arial" w:cs="Arial"/>
                <w:color w:val="000000"/>
                <w:sz w:val="20"/>
                <w:szCs w:val="20"/>
              </w:rPr>
              <w:t>-</w:t>
            </w:r>
          </w:p>
        </w:tc>
      </w:tr>
      <w:tr w:rsidR="008647A6" w:rsidRPr="002D2F67" w14:paraId="2573D0E0" w14:textId="77777777" w:rsidTr="005611FE">
        <w:trPr>
          <w:trHeight w:val="126"/>
        </w:trPr>
        <w:tc>
          <w:tcPr>
            <w:tcW w:w="3690" w:type="dxa"/>
            <w:shd w:val="clear" w:color="auto" w:fill="auto"/>
          </w:tcPr>
          <w:p w14:paraId="17098511" w14:textId="77777777" w:rsidR="008647A6" w:rsidRPr="002D2F67" w:rsidRDefault="008647A6" w:rsidP="005611FE">
            <w:pPr>
              <w:ind w:left="411"/>
              <w:contextualSpacing/>
              <w:jc w:val="both"/>
              <w:rPr>
                <w:rFonts w:ascii="Arial" w:hAnsi="Arial" w:cs="Arial"/>
                <w:color w:val="000000"/>
                <w:sz w:val="20"/>
                <w:szCs w:val="20"/>
              </w:rPr>
            </w:pPr>
          </w:p>
        </w:tc>
        <w:tc>
          <w:tcPr>
            <w:tcW w:w="1440" w:type="dxa"/>
            <w:tcBorders>
              <w:top w:val="single" w:sz="4" w:space="0" w:color="auto"/>
            </w:tcBorders>
            <w:shd w:val="clear" w:color="auto" w:fill="auto"/>
          </w:tcPr>
          <w:p w14:paraId="63428F9A" w14:textId="77777777" w:rsidR="008647A6" w:rsidRPr="002D2F67" w:rsidRDefault="008647A6" w:rsidP="005611FE">
            <w:pPr>
              <w:ind w:left="331" w:right="-72" w:hanging="331"/>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0B8BEA27" w14:textId="77777777" w:rsidR="008647A6" w:rsidRPr="002D2F67" w:rsidRDefault="008647A6" w:rsidP="005611FE">
            <w:pPr>
              <w:ind w:left="331" w:right="-72" w:hanging="331"/>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11A2A087" w14:textId="77777777" w:rsidR="008647A6" w:rsidRPr="002D2F67" w:rsidRDefault="008647A6" w:rsidP="005611FE">
            <w:pPr>
              <w:ind w:left="331" w:right="-72" w:hanging="331"/>
              <w:contextualSpacing/>
              <w:jc w:val="right"/>
              <w:rPr>
                <w:rFonts w:ascii="Arial" w:hAnsi="Arial" w:cs="Arial"/>
                <w:color w:val="000000"/>
                <w:sz w:val="20"/>
                <w:szCs w:val="20"/>
              </w:rPr>
            </w:pPr>
          </w:p>
        </w:tc>
        <w:tc>
          <w:tcPr>
            <w:tcW w:w="1440" w:type="dxa"/>
            <w:tcBorders>
              <w:top w:val="single" w:sz="4" w:space="0" w:color="auto"/>
            </w:tcBorders>
            <w:shd w:val="clear" w:color="auto" w:fill="auto"/>
          </w:tcPr>
          <w:p w14:paraId="26F52406" w14:textId="77777777" w:rsidR="008647A6" w:rsidRPr="002D2F67" w:rsidRDefault="008647A6" w:rsidP="005611FE">
            <w:pPr>
              <w:ind w:left="331" w:right="-72" w:hanging="331"/>
              <w:contextualSpacing/>
              <w:jc w:val="right"/>
              <w:rPr>
                <w:rFonts w:ascii="Arial" w:hAnsi="Arial" w:cs="Arial"/>
                <w:color w:val="000000"/>
                <w:sz w:val="20"/>
                <w:szCs w:val="20"/>
              </w:rPr>
            </w:pPr>
          </w:p>
        </w:tc>
      </w:tr>
      <w:tr w:rsidR="008647A6" w:rsidRPr="002D2F67" w14:paraId="3E252588" w14:textId="77777777" w:rsidTr="005611FE">
        <w:trPr>
          <w:trHeight w:val="126"/>
        </w:trPr>
        <w:tc>
          <w:tcPr>
            <w:tcW w:w="3690" w:type="dxa"/>
            <w:shd w:val="clear" w:color="auto" w:fill="auto"/>
          </w:tcPr>
          <w:p w14:paraId="6720DAEB" w14:textId="77777777" w:rsidR="008647A6" w:rsidRPr="002D2F67" w:rsidRDefault="008647A6" w:rsidP="005611FE">
            <w:pPr>
              <w:ind w:left="411"/>
              <w:contextualSpacing/>
              <w:jc w:val="both"/>
              <w:rPr>
                <w:rFonts w:ascii="Arial" w:hAnsi="Arial" w:cs="Arial"/>
                <w:color w:val="000000"/>
                <w:sz w:val="20"/>
                <w:szCs w:val="20"/>
              </w:rPr>
            </w:pPr>
          </w:p>
        </w:tc>
        <w:tc>
          <w:tcPr>
            <w:tcW w:w="1440" w:type="dxa"/>
            <w:tcBorders>
              <w:bottom w:val="single" w:sz="4" w:space="0" w:color="auto"/>
            </w:tcBorders>
            <w:shd w:val="clear" w:color="auto" w:fill="auto"/>
          </w:tcPr>
          <w:p w14:paraId="727B5664" w14:textId="11B892F2" w:rsidR="008647A6" w:rsidRPr="002D2F67" w:rsidRDefault="00E95F11"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2D2F67">
              <w:rPr>
                <w:rFonts w:ascii="Arial" w:hAnsi="Arial" w:cs="Arial"/>
                <w:color w:val="000000"/>
                <w:sz w:val="20"/>
                <w:szCs w:val="20"/>
              </w:rPr>
              <w:t>-</w:t>
            </w:r>
          </w:p>
        </w:tc>
        <w:tc>
          <w:tcPr>
            <w:tcW w:w="1440" w:type="dxa"/>
            <w:tcBorders>
              <w:bottom w:val="single" w:sz="4" w:space="0" w:color="auto"/>
            </w:tcBorders>
            <w:shd w:val="clear" w:color="auto" w:fill="auto"/>
          </w:tcPr>
          <w:p w14:paraId="00AE1F30" w14:textId="10EEEAD2" w:rsidR="008647A6"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20</w:t>
            </w:r>
            <w:r w:rsidR="008647A6" w:rsidRPr="002D2F67">
              <w:rPr>
                <w:rFonts w:ascii="Arial" w:hAnsi="Arial" w:cs="Arial"/>
                <w:color w:val="000000"/>
                <w:sz w:val="20"/>
                <w:szCs w:val="20"/>
              </w:rPr>
              <w:t>,</w:t>
            </w:r>
            <w:r w:rsidRPr="00CD5714">
              <w:rPr>
                <w:rFonts w:ascii="Arial" w:hAnsi="Arial" w:cs="Arial"/>
                <w:color w:val="000000"/>
                <w:sz w:val="20"/>
                <w:szCs w:val="20"/>
                <w:lang w:val="en-GB"/>
              </w:rPr>
              <w:t>199</w:t>
            </w:r>
          </w:p>
        </w:tc>
        <w:tc>
          <w:tcPr>
            <w:tcW w:w="1440" w:type="dxa"/>
            <w:tcBorders>
              <w:bottom w:val="single" w:sz="4" w:space="0" w:color="auto"/>
            </w:tcBorders>
            <w:shd w:val="clear" w:color="auto" w:fill="auto"/>
          </w:tcPr>
          <w:p w14:paraId="32EF146F" w14:textId="4B4ED3A1" w:rsidR="008647A6"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64</w:t>
            </w:r>
            <w:r w:rsidR="00F853DE" w:rsidRPr="002D2F67">
              <w:rPr>
                <w:rFonts w:ascii="Arial" w:hAnsi="Arial" w:cs="Arial"/>
                <w:color w:val="000000"/>
                <w:sz w:val="20"/>
                <w:szCs w:val="20"/>
              </w:rPr>
              <w:t>,</w:t>
            </w:r>
            <w:r w:rsidRPr="00CD5714">
              <w:rPr>
                <w:rFonts w:ascii="Arial" w:hAnsi="Arial" w:cs="Arial"/>
                <w:color w:val="000000"/>
                <w:sz w:val="20"/>
                <w:szCs w:val="20"/>
                <w:lang w:val="en-GB"/>
              </w:rPr>
              <w:t>592</w:t>
            </w:r>
          </w:p>
        </w:tc>
        <w:tc>
          <w:tcPr>
            <w:tcW w:w="1440" w:type="dxa"/>
            <w:tcBorders>
              <w:bottom w:val="single" w:sz="4" w:space="0" w:color="auto"/>
            </w:tcBorders>
            <w:shd w:val="clear" w:color="auto" w:fill="auto"/>
          </w:tcPr>
          <w:p w14:paraId="18EFAF4F" w14:textId="56808DDC" w:rsidR="008647A6" w:rsidRPr="002D2F67" w:rsidRDefault="00CD5714" w:rsidP="005611F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color w:val="000000"/>
                <w:sz w:val="20"/>
                <w:szCs w:val="20"/>
                <w:lang w:val="en-GB"/>
              </w:rPr>
              <w:t>4</w:t>
            </w:r>
            <w:r w:rsidR="008647A6" w:rsidRPr="002D2F67">
              <w:rPr>
                <w:rFonts w:ascii="Arial" w:hAnsi="Arial" w:cs="Arial"/>
                <w:color w:val="000000"/>
                <w:sz w:val="20"/>
                <w:szCs w:val="20"/>
              </w:rPr>
              <w:t>,</w:t>
            </w:r>
            <w:r w:rsidRPr="00CD5714">
              <w:rPr>
                <w:rFonts w:ascii="Arial" w:hAnsi="Arial" w:cs="Arial"/>
                <w:color w:val="000000"/>
                <w:sz w:val="20"/>
                <w:szCs w:val="20"/>
                <w:lang w:val="en-GB"/>
              </w:rPr>
              <w:t>670</w:t>
            </w:r>
          </w:p>
        </w:tc>
      </w:tr>
    </w:tbl>
    <w:p w14:paraId="1405BA5F" w14:textId="77777777" w:rsidR="00AC72A3" w:rsidRPr="002D2F67" w:rsidRDefault="00AB5B46" w:rsidP="005611FE">
      <w:pPr>
        <w:jc w:val="thaiDistribute"/>
        <w:rPr>
          <w:rFonts w:ascii="Arial" w:hAnsi="Arial" w:cs="Arial"/>
          <w:b/>
          <w:bCs/>
          <w:color w:val="000000"/>
          <w:sz w:val="20"/>
          <w:szCs w:val="20"/>
        </w:rPr>
      </w:pPr>
      <w:r w:rsidRPr="002D2F67">
        <w:rPr>
          <w:rFonts w:ascii="Arial" w:hAnsi="Arial" w:cs="Arial"/>
          <w:b/>
          <w:bCs/>
          <w:color w:val="000000"/>
          <w:sz w:val="20"/>
          <w:szCs w:val="20"/>
          <w:cs/>
        </w:rPr>
        <w:br w:type="page"/>
      </w: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AC72A3" w:rsidRPr="002D2F67" w14:paraId="5C34DE3D" w14:textId="77777777" w:rsidTr="008255E8">
        <w:tc>
          <w:tcPr>
            <w:tcW w:w="3690" w:type="dxa"/>
            <w:shd w:val="clear" w:color="auto" w:fill="auto"/>
          </w:tcPr>
          <w:p w14:paraId="084933FE" w14:textId="77777777" w:rsidR="00AC72A3" w:rsidRPr="002D2F67" w:rsidRDefault="00AC72A3" w:rsidP="005611FE">
            <w:pPr>
              <w:spacing w:line="216" w:lineRule="auto"/>
              <w:ind w:left="411"/>
              <w:rPr>
                <w:rFonts w:ascii="Arial" w:hAnsi="Arial" w:cs="Arial"/>
                <w:color w:val="000000"/>
                <w:sz w:val="20"/>
                <w:szCs w:val="20"/>
              </w:rPr>
            </w:pPr>
          </w:p>
        </w:tc>
        <w:tc>
          <w:tcPr>
            <w:tcW w:w="2880" w:type="dxa"/>
            <w:gridSpan w:val="2"/>
            <w:tcBorders>
              <w:bottom w:val="single" w:sz="4" w:space="0" w:color="auto"/>
            </w:tcBorders>
            <w:shd w:val="clear" w:color="auto" w:fill="auto"/>
          </w:tcPr>
          <w:p w14:paraId="7B5C4401" w14:textId="77777777" w:rsidR="00AC72A3" w:rsidRPr="002D2F67" w:rsidRDefault="00AC72A3"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1DA9C510" w14:textId="77777777" w:rsidR="00AC72A3" w:rsidRPr="002D2F67" w:rsidRDefault="00AC72A3"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2880" w:type="dxa"/>
            <w:gridSpan w:val="2"/>
            <w:tcBorders>
              <w:bottom w:val="single" w:sz="4" w:space="0" w:color="auto"/>
            </w:tcBorders>
            <w:shd w:val="clear" w:color="auto" w:fill="auto"/>
          </w:tcPr>
          <w:p w14:paraId="14F9C378" w14:textId="77777777" w:rsidR="00AC72A3" w:rsidRPr="002D2F67" w:rsidRDefault="00AC72A3"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Separate </w:t>
            </w:r>
          </w:p>
          <w:p w14:paraId="4CCC7F1A" w14:textId="77777777" w:rsidR="00AC72A3" w:rsidRPr="002D2F67" w:rsidRDefault="00AC72A3"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AC72A3" w:rsidRPr="002D2F67" w14:paraId="6DB1393C" w14:textId="77777777" w:rsidTr="005611FE">
        <w:tc>
          <w:tcPr>
            <w:tcW w:w="3690" w:type="dxa"/>
            <w:shd w:val="clear" w:color="auto" w:fill="auto"/>
          </w:tcPr>
          <w:p w14:paraId="733EA32C" w14:textId="00AD52A8" w:rsidR="00AC72A3" w:rsidRPr="002D2F67" w:rsidRDefault="00AC72A3" w:rsidP="005611FE">
            <w:pPr>
              <w:spacing w:line="240" w:lineRule="exact"/>
              <w:ind w:left="411" w:right="-108"/>
              <w:rPr>
                <w:rFonts w:ascii="Arial" w:hAnsi="Arial" w:cs="Arial"/>
                <w:color w:val="000000"/>
                <w:spacing w:val="-4"/>
                <w:sz w:val="20"/>
                <w:szCs w:val="20"/>
              </w:rPr>
            </w:pPr>
            <w:r w:rsidRPr="002D2F67">
              <w:rPr>
                <w:rFonts w:ascii="Arial" w:hAnsi="Arial" w:cs="Arial"/>
                <w:b/>
                <w:bCs/>
                <w:color w:val="000000"/>
                <w:spacing w:val="-4"/>
                <w:sz w:val="20"/>
                <w:szCs w:val="20"/>
              </w:rPr>
              <w:t xml:space="preserve">For the years ended </w:t>
            </w:r>
            <w:r w:rsidR="00CD5714" w:rsidRPr="00CD5714">
              <w:rPr>
                <w:rFonts w:ascii="Arial" w:hAnsi="Arial" w:cs="Arial"/>
                <w:b/>
                <w:bCs/>
                <w:color w:val="000000"/>
                <w:spacing w:val="-4"/>
                <w:sz w:val="20"/>
                <w:szCs w:val="20"/>
                <w:lang w:val="en-GB"/>
              </w:rPr>
              <w:t>31</w:t>
            </w:r>
            <w:r w:rsidRPr="002D2F67">
              <w:rPr>
                <w:rFonts w:ascii="Arial" w:hAnsi="Arial" w:cs="Arial"/>
                <w:b/>
                <w:bCs/>
                <w:color w:val="000000"/>
                <w:spacing w:val="-4"/>
                <w:sz w:val="20"/>
                <w:szCs w:val="20"/>
              </w:rPr>
              <w:t xml:space="preserve"> December</w:t>
            </w:r>
          </w:p>
        </w:tc>
        <w:tc>
          <w:tcPr>
            <w:tcW w:w="1440" w:type="dxa"/>
            <w:tcBorders>
              <w:top w:val="single" w:sz="4" w:space="0" w:color="auto"/>
            </w:tcBorders>
            <w:shd w:val="clear" w:color="auto" w:fill="auto"/>
          </w:tcPr>
          <w:p w14:paraId="4506C718" w14:textId="6E8B1B0C" w:rsidR="00AC72A3"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40" w:type="dxa"/>
            <w:tcBorders>
              <w:top w:val="single" w:sz="4" w:space="0" w:color="auto"/>
            </w:tcBorders>
            <w:shd w:val="clear" w:color="auto" w:fill="auto"/>
          </w:tcPr>
          <w:p w14:paraId="3010C427" w14:textId="4004AE75" w:rsidR="00AC72A3"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2023</w:t>
            </w:r>
          </w:p>
        </w:tc>
        <w:tc>
          <w:tcPr>
            <w:tcW w:w="1440" w:type="dxa"/>
            <w:tcBorders>
              <w:top w:val="single" w:sz="4" w:space="0" w:color="auto"/>
            </w:tcBorders>
            <w:shd w:val="clear" w:color="auto" w:fill="auto"/>
          </w:tcPr>
          <w:p w14:paraId="0E41DD3E" w14:textId="430ECAC9" w:rsidR="00AC72A3"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40" w:type="dxa"/>
            <w:tcBorders>
              <w:top w:val="single" w:sz="4" w:space="0" w:color="auto"/>
            </w:tcBorders>
            <w:shd w:val="clear" w:color="auto" w:fill="auto"/>
          </w:tcPr>
          <w:p w14:paraId="0FD15B88" w14:textId="7EF0EAD9" w:rsidR="00AC72A3"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2023</w:t>
            </w:r>
          </w:p>
        </w:tc>
      </w:tr>
      <w:tr w:rsidR="00AC72A3" w:rsidRPr="002D2F67" w14:paraId="186BECB5" w14:textId="77777777" w:rsidTr="005611FE">
        <w:tc>
          <w:tcPr>
            <w:tcW w:w="3690" w:type="dxa"/>
            <w:shd w:val="clear" w:color="auto" w:fill="auto"/>
          </w:tcPr>
          <w:p w14:paraId="42EDA1EA" w14:textId="77777777" w:rsidR="00AC72A3" w:rsidRPr="002D2F67" w:rsidRDefault="00AC72A3" w:rsidP="005611FE">
            <w:pPr>
              <w:spacing w:line="240" w:lineRule="exact"/>
              <w:ind w:left="411"/>
              <w:rPr>
                <w:rFonts w:ascii="Arial" w:hAnsi="Arial" w:cs="Arial"/>
                <w:b/>
                <w:bCs/>
                <w:color w:val="000000"/>
                <w:sz w:val="20"/>
                <w:szCs w:val="20"/>
              </w:rPr>
            </w:pPr>
            <w:r w:rsidRPr="002D2F67">
              <w:rPr>
                <w:rFonts w:ascii="Arial" w:hAnsi="Arial" w:cs="Arial"/>
                <w:b/>
                <w:bCs/>
                <w:color w:val="000000"/>
                <w:sz w:val="20"/>
                <w:szCs w:val="20"/>
              </w:rPr>
              <w:t xml:space="preserve">   </w:t>
            </w:r>
          </w:p>
        </w:tc>
        <w:tc>
          <w:tcPr>
            <w:tcW w:w="1440" w:type="dxa"/>
            <w:tcBorders>
              <w:bottom w:val="single" w:sz="4" w:space="0" w:color="auto"/>
            </w:tcBorders>
            <w:shd w:val="clear" w:color="auto" w:fill="auto"/>
          </w:tcPr>
          <w:p w14:paraId="3169763C" w14:textId="13791A8B" w:rsidR="00AC72A3" w:rsidRPr="002D2F67" w:rsidRDefault="00AC72A3"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35E9A8AD" w14:textId="3659EEBE" w:rsidR="00AC72A3" w:rsidRPr="002D2F67" w:rsidRDefault="00AC72A3"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5FF8B642" w14:textId="6694E47C" w:rsidR="00AC72A3" w:rsidRPr="002D2F67" w:rsidRDefault="00AC72A3"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tcPr>
          <w:p w14:paraId="6374F1C5" w14:textId="30E98270" w:rsidR="00AC72A3" w:rsidRPr="002D2F67" w:rsidRDefault="00AC72A3"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AC72A3" w:rsidRPr="002D2F67" w14:paraId="6018EF39" w14:textId="77777777" w:rsidTr="005611FE">
        <w:tc>
          <w:tcPr>
            <w:tcW w:w="3690" w:type="dxa"/>
            <w:shd w:val="clear" w:color="auto" w:fill="auto"/>
          </w:tcPr>
          <w:p w14:paraId="7F64A2EF" w14:textId="77777777" w:rsidR="00AC72A3" w:rsidRPr="002D2F67" w:rsidRDefault="00AC72A3" w:rsidP="005611FE">
            <w:pPr>
              <w:tabs>
                <w:tab w:val="left" w:pos="1134"/>
                <w:tab w:val="left" w:pos="1276"/>
                <w:tab w:val="center" w:pos="3402"/>
                <w:tab w:val="center" w:pos="4536"/>
                <w:tab w:val="center" w:pos="5670"/>
                <w:tab w:val="center" w:pos="6804"/>
                <w:tab w:val="right" w:pos="7655"/>
              </w:tabs>
              <w:ind w:left="411"/>
              <w:rPr>
                <w:rFonts w:ascii="Arial" w:hAnsi="Arial" w:cs="Arial"/>
                <w:color w:val="000000"/>
                <w:sz w:val="20"/>
                <w:szCs w:val="20"/>
              </w:rPr>
            </w:pPr>
          </w:p>
        </w:tc>
        <w:tc>
          <w:tcPr>
            <w:tcW w:w="1440" w:type="dxa"/>
            <w:tcBorders>
              <w:top w:val="single" w:sz="4" w:space="0" w:color="auto"/>
            </w:tcBorders>
            <w:shd w:val="clear" w:color="auto" w:fill="auto"/>
          </w:tcPr>
          <w:p w14:paraId="52CB9A18" w14:textId="77777777" w:rsidR="00AC72A3" w:rsidRPr="002D2F67" w:rsidRDefault="00AC72A3"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67E35A84" w14:textId="77777777" w:rsidR="00AC72A3" w:rsidRPr="002D2F67" w:rsidRDefault="00AC72A3"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181464F4" w14:textId="77777777" w:rsidR="00AC72A3" w:rsidRPr="002D2F67" w:rsidRDefault="00AC72A3"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6171A6CD" w14:textId="77777777" w:rsidR="00AC72A3" w:rsidRPr="002D2F67" w:rsidRDefault="00AC72A3" w:rsidP="005611FE">
            <w:pPr>
              <w:ind w:right="-72"/>
              <w:jc w:val="right"/>
              <w:rPr>
                <w:rFonts w:ascii="Arial" w:hAnsi="Arial" w:cs="Arial"/>
                <w:color w:val="000000"/>
                <w:sz w:val="20"/>
                <w:szCs w:val="20"/>
              </w:rPr>
            </w:pPr>
          </w:p>
        </w:tc>
      </w:tr>
      <w:tr w:rsidR="00AC72A3" w:rsidRPr="002D2F67" w14:paraId="3B334EDF" w14:textId="77777777" w:rsidTr="005611FE">
        <w:trPr>
          <w:trHeight w:val="126"/>
        </w:trPr>
        <w:tc>
          <w:tcPr>
            <w:tcW w:w="3690" w:type="dxa"/>
            <w:shd w:val="clear" w:color="auto" w:fill="auto"/>
          </w:tcPr>
          <w:p w14:paraId="379E3500" w14:textId="594FA1BF" w:rsidR="00AC72A3" w:rsidRPr="002D2F67" w:rsidRDefault="00AC72A3" w:rsidP="005611FE">
            <w:pPr>
              <w:pStyle w:val="Heading4"/>
              <w:ind w:left="411"/>
              <w:rPr>
                <w:rFonts w:ascii="Arial" w:hAnsi="Arial" w:cs="Arial"/>
                <w:b w:val="0"/>
                <w:bCs w:val="0"/>
                <w:color w:val="000000"/>
                <w:sz w:val="20"/>
                <w:szCs w:val="20"/>
                <w:bdr w:val="single" w:sz="4" w:space="0" w:color="auto"/>
                <w:lang w:val="en-US" w:eastAsia="en-US"/>
              </w:rPr>
            </w:pPr>
            <w:r w:rsidRPr="002D2F67">
              <w:rPr>
                <w:rFonts w:ascii="Arial" w:hAnsi="Arial" w:cs="Arial"/>
                <w:b w:val="0"/>
                <w:bCs w:val="0"/>
                <w:color w:val="000000"/>
                <w:spacing w:val="-4"/>
                <w:sz w:val="20"/>
                <w:szCs w:val="20"/>
                <w:lang w:val="en-US" w:eastAsia="en-US"/>
              </w:rPr>
              <w:t>Interest expense</w:t>
            </w:r>
          </w:p>
        </w:tc>
        <w:tc>
          <w:tcPr>
            <w:tcW w:w="1440" w:type="dxa"/>
            <w:shd w:val="clear" w:color="auto" w:fill="auto"/>
          </w:tcPr>
          <w:p w14:paraId="4B640BEE" w14:textId="77777777" w:rsidR="00AC72A3" w:rsidRPr="002D2F67" w:rsidRDefault="00AC72A3" w:rsidP="005611FE">
            <w:pPr>
              <w:pStyle w:val="MacroText"/>
              <w:tabs>
                <w:tab w:val="clear" w:pos="480"/>
                <w:tab w:val="clear" w:pos="960"/>
                <w:tab w:val="clear" w:pos="1440"/>
                <w:tab w:val="clear" w:pos="1920"/>
                <w:tab w:val="clear" w:pos="2400"/>
                <w:tab w:val="clear" w:pos="2880"/>
                <w:tab w:val="clear" w:pos="3360"/>
                <w:tab w:val="clear" w:pos="3840"/>
                <w:tab w:val="clear" w:pos="4320"/>
                <w:tab w:val="left" w:pos="1126"/>
              </w:tabs>
              <w:ind w:right="-72"/>
              <w:jc w:val="right"/>
              <w:rPr>
                <w:rFonts w:cs="Arial"/>
                <w:color w:val="000000"/>
              </w:rPr>
            </w:pPr>
          </w:p>
        </w:tc>
        <w:tc>
          <w:tcPr>
            <w:tcW w:w="1440" w:type="dxa"/>
            <w:shd w:val="clear" w:color="auto" w:fill="auto"/>
          </w:tcPr>
          <w:p w14:paraId="582A7583" w14:textId="77777777" w:rsidR="00AC72A3" w:rsidRPr="002D2F67" w:rsidRDefault="00AC72A3" w:rsidP="005611FE">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color w:val="000000"/>
              </w:rPr>
            </w:pPr>
          </w:p>
        </w:tc>
        <w:tc>
          <w:tcPr>
            <w:tcW w:w="1440" w:type="dxa"/>
            <w:shd w:val="clear" w:color="auto" w:fill="auto"/>
          </w:tcPr>
          <w:p w14:paraId="6FEB0A70" w14:textId="77777777" w:rsidR="00AC72A3" w:rsidRPr="002D2F67" w:rsidRDefault="00AC72A3" w:rsidP="005611FE">
            <w:pPr>
              <w:tabs>
                <w:tab w:val="left" w:pos="1126"/>
              </w:tabs>
              <w:ind w:right="-72"/>
              <w:jc w:val="right"/>
              <w:rPr>
                <w:rFonts w:ascii="Arial" w:hAnsi="Arial" w:cs="Arial"/>
                <w:color w:val="000000"/>
                <w:sz w:val="20"/>
                <w:szCs w:val="20"/>
              </w:rPr>
            </w:pPr>
          </w:p>
        </w:tc>
        <w:tc>
          <w:tcPr>
            <w:tcW w:w="1440" w:type="dxa"/>
            <w:shd w:val="clear" w:color="auto" w:fill="auto"/>
          </w:tcPr>
          <w:p w14:paraId="26FC6173" w14:textId="77777777" w:rsidR="00AC72A3" w:rsidRPr="002D2F67" w:rsidRDefault="00AC72A3" w:rsidP="005611FE">
            <w:pPr>
              <w:tabs>
                <w:tab w:val="left" w:pos="1126"/>
              </w:tabs>
              <w:ind w:right="-72"/>
              <w:jc w:val="right"/>
              <w:rPr>
                <w:rFonts w:ascii="Arial" w:hAnsi="Arial" w:cs="Arial"/>
                <w:color w:val="000000"/>
                <w:sz w:val="20"/>
                <w:szCs w:val="20"/>
              </w:rPr>
            </w:pPr>
          </w:p>
        </w:tc>
      </w:tr>
      <w:tr w:rsidR="008647A6" w:rsidRPr="002D2F67" w14:paraId="7101D1D2" w14:textId="77777777" w:rsidTr="005611FE">
        <w:trPr>
          <w:trHeight w:val="126"/>
        </w:trPr>
        <w:tc>
          <w:tcPr>
            <w:tcW w:w="3690" w:type="dxa"/>
            <w:shd w:val="clear" w:color="auto" w:fill="auto"/>
          </w:tcPr>
          <w:p w14:paraId="3A658F8A" w14:textId="77777777" w:rsidR="008647A6" w:rsidRPr="002D2F67" w:rsidRDefault="008647A6" w:rsidP="005611FE">
            <w:pPr>
              <w:pStyle w:val="Heading4"/>
              <w:ind w:left="411"/>
              <w:rPr>
                <w:rFonts w:ascii="Arial" w:hAnsi="Arial" w:cs="Arial"/>
                <w:b w:val="0"/>
                <w:bCs w:val="0"/>
                <w:color w:val="000000"/>
                <w:spacing w:val="-4"/>
                <w:sz w:val="20"/>
                <w:szCs w:val="20"/>
                <w:lang w:val="en-US" w:eastAsia="en-US"/>
              </w:rPr>
            </w:pPr>
            <w:r w:rsidRPr="002D2F67">
              <w:rPr>
                <w:rFonts w:ascii="Arial" w:hAnsi="Arial" w:cs="Arial"/>
                <w:b w:val="0"/>
                <w:bCs w:val="0"/>
                <w:color w:val="000000"/>
                <w:sz w:val="20"/>
                <w:szCs w:val="20"/>
                <w:lang w:val="en-US" w:eastAsia="en-US"/>
              </w:rPr>
              <w:t xml:space="preserve">   - Subsidiaries</w:t>
            </w:r>
          </w:p>
        </w:tc>
        <w:tc>
          <w:tcPr>
            <w:tcW w:w="1440" w:type="dxa"/>
            <w:shd w:val="clear" w:color="auto" w:fill="auto"/>
          </w:tcPr>
          <w:p w14:paraId="65406265" w14:textId="0568B431" w:rsidR="008647A6" w:rsidRPr="002D2F67" w:rsidRDefault="009D183C"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5"/>
              </w:rPr>
              <w:t>-</w:t>
            </w:r>
          </w:p>
        </w:tc>
        <w:tc>
          <w:tcPr>
            <w:tcW w:w="1440" w:type="dxa"/>
            <w:shd w:val="clear" w:color="auto" w:fill="auto"/>
          </w:tcPr>
          <w:p w14:paraId="720B9E8C" w14:textId="023D0847" w:rsidR="008647A6" w:rsidRPr="002D2F67" w:rsidRDefault="008647A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5"/>
              </w:rPr>
              <w:t>-</w:t>
            </w:r>
          </w:p>
        </w:tc>
        <w:tc>
          <w:tcPr>
            <w:tcW w:w="1440" w:type="dxa"/>
            <w:shd w:val="clear" w:color="auto" w:fill="auto"/>
          </w:tcPr>
          <w:p w14:paraId="42CE433E" w14:textId="73C95597" w:rsidR="008647A6"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67</w:t>
            </w:r>
            <w:r w:rsidR="009D183C" w:rsidRPr="002D2F67">
              <w:rPr>
                <w:rFonts w:ascii="Arial" w:hAnsi="Arial" w:cs="Arial"/>
                <w:color w:val="000000"/>
                <w:sz w:val="20"/>
                <w:szCs w:val="20"/>
              </w:rPr>
              <w:t>,</w:t>
            </w:r>
            <w:r w:rsidRPr="00CD5714">
              <w:rPr>
                <w:rFonts w:ascii="Arial" w:hAnsi="Arial" w:cs="Arial"/>
                <w:color w:val="000000"/>
                <w:sz w:val="20"/>
                <w:szCs w:val="20"/>
                <w:lang w:val="en-GB"/>
              </w:rPr>
              <w:t>367</w:t>
            </w:r>
          </w:p>
        </w:tc>
        <w:tc>
          <w:tcPr>
            <w:tcW w:w="1440" w:type="dxa"/>
            <w:shd w:val="clear" w:color="auto" w:fill="auto"/>
          </w:tcPr>
          <w:p w14:paraId="7DF66807" w14:textId="380073AE" w:rsidR="008647A6"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17</w:t>
            </w:r>
            <w:r w:rsidR="008647A6" w:rsidRPr="002D2F67">
              <w:rPr>
                <w:rFonts w:ascii="Arial" w:hAnsi="Arial" w:cs="Arial"/>
                <w:color w:val="000000"/>
                <w:sz w:val="20"/>
                <w:szCs w:val="20"/>
              </w:rPr>
              <w:t>,</w:t>
            </w:r>
            <w:r w:rsidRPr="00CD5714">
              <w:rPr>
                <w:rFonts w:ascii="Arial" w:hAnsi="Arial" w:cs="Arial"/>
                <w:color w:val="000000"/>
                <w:sz w:val="20"/>
                <w:szCs w:val="20"/>
                <w:lang w:val="en-GB"/>
              </w:rPr>
              <w:t>661</w:t>
            </w:r>
          </w:p>
        </w:tc>
      </w:tr>
      <w:tr w:rsidR="008647A6" w:rsidRPr="002D2F67" w14:paraId="36DAE072" w14:textId="77777777" w:rsidTr="005611FE">
        <w:trPr>
          <w:trHeight w:val="126"/>
        </w:trPr>
        <w:tc>
          <w:tcPr>
            <w:tcW w:w="3690" w:type="dxa"/>
            <w:shd w:val="clear" w:color="auto" w:fill="auto"/>
          </w:tcPr>
          <w:p w14:paraId="6DDB5A1A" w14:textId="77777777" w:rsidR="008647A6" w:rsidRPr="002D2F67" w:rsidRDefault="008647A6" w:rsidP="005611FE">
            <w:pPr>
              <w:pStyle w:val="Heading4"/>
              <w:ind w:left="411"/>
              <w:rPr>
                <w:rFonts w:ascii="Arial" w:hAnsi="Arial" w:cs="Arial"/>
                <w:b w:val="0"/>
                <w:bCs w:val="0"/>
                <w:color w:val="000000"/>
                <w:sz w:val="20"/>
                <w:szCs w:val="20"/>
                <w:lang w:val="en-US" w:eastAsia="en-US"/>
              </w:rPr>
            </w:pPr>
            <w:r w:rsidRPr="002D2F67">
              <w:rPr>
                <w:rFonts w:ascii="Arial" w:hAnsi="Arial" w:cs="Arial"/>
                <w:b w:val="0"/>
                <w:bCs w:val="0"/>
                <w:color w:val="000000"/>
                <w:sz w:val="20"/>
                <w:szCs w:val="20"/>
                <w:lang w:val="en-US"/>
              </w:rPr>
              <w:t xml:space="preserve">   - Associates</w:t>
            </w:r>
          </w:p>
        </w:tc>
        <w:tc>
          <w:tcPr>
            <w:tcW w:w="1440" w:type="dxa"/>
            <w:tcBorders>
              <w:bottom w:val="single" w:sz="4" w:space="0" w:color="auto"/>
            </w:tcBorders>
            <w:shd w:val="clear" w:color="auto" w:fill="auto"/>
          </w:tcPr>
          <w:p w14:paraId="131C782E" w14:textId="55CDF47E" w:rsidR="008647A6"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11</w:t>
            </w:r>
            <w:r w:rsidR="009D183C" w:rsidRPr="002D2F67">
              <w:rPr>
                <w:rFonts w:ascii="Arial" w:hAnsi="Arial" w:cs="Arial"/>
                <w:color w:val="000000"/>
                <w:sz w:val="20"/>
                <w:szCs w:val="20"/>
              </w:rPr>
              <w:t>,</w:t>
            </w:r>
            <w:r w:rsidRPr="00CD5714">
              <w:rPr>
                <w:rFonts w:ascii="Arial" w:hAnsi="Arial" w:cs="Arial"/>
                <w:color w:val="000000"/>
                <w:sz w:val="20"/>
                <w:szCs w:val="20"/>
                <w:lang w:val="en-GB"/>
              </w:rPr>
              <w:t>272</w:t>
            </w:r>
          </w:p>
        </w:tc>
        <w:tc>
          <w:tcPr>
            <w:tcW w:w="1440" w:type="dxa"/>
            <w:tcBorders>
              <w:bottom w:val="single" w:sz="4" w:space="0" w:color="auto"/>
            </w:tcBorders>
            <w:shd w:val="clear" w:color="auto" w:fill="auto"/>
          </w:tcPr>
          <w:p w14:paraId="463B435E" w14:textId="26D512B6" w:rsidR="008647A6"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11</w:t>
            </w:r>
            <w:r w:rsidR="008647A6" w:rsidRPr="002D2F67">
              <w:rPr>
                <w:rFonts w:ascii="Arial" w:hAnsi="Arial" w:cs="Arial"/>
                <w:color w:val="000000"/>
                <w:sz w:val="20"/>
                <w:szCs w:val="20"/>
              </w:rPr>
              <w:t>,</w:t>
            </w:r>
            <w:r w:rsidRPr="00CD5714">
              <w:rPr>
                <w:rFonts w:ascii="Arial" w:hAnsi="Arial" w:cs="Arial"/>
                <w:color w:val="000000"/>
                <w:sz w:val="20"/>
                <w:szCs w:val="20"/>
                <w:lang w:val="en-GB"/>
              </w:rPr>
              <w:t>073</w:t>
            </w:r>
          </w:p>
        </w:tc>
        <w:tc>
          <w:tcPr>
            <w:tcW w:w="1440" w:type="dxa"/>
            <w:tcBorders>
              <w:bottom w:val="single" w:sz="4" w:space="0" w:color="auto"/>
            </w:tcBorders>
            <w:shd w:val="clear" w:color="auto" w:fill="auto"/>
          </w:tcPr>
          <w:p w14:paraId="6A945200" w14:textId="492B60E9" w:rsidR="008647A6" w:rsidRPr="002D2F67" w:rsidRDefault="009D183C"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tcBorders>
              <w:bottom w:val="single" w:sz="4" w:space="0" w:color="auto"/>
            </w:tcBorders>
            <w:shd w:val="clear" w:color="auto" w:fill="auto"/>
          </w:tcPr>
          <w:p w14:paraId="571AB692" w14:textId="2CC7E9F5" w:rsidR="008647A6" w:rsidRPr="002D2F67" w:rsidRDefault="008647A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D2F67">
              <w:rPr>
                <w:rFonts w:ascii="Arial" w:hAnsi="Arial" w:cs="Arial"/>
                <w:color w:val="000000"/>
                <w:sz w:val="20"/>
                <w:szCs w:val="20"/>
              </w:rPr>
              <w:t>-</w:t>
            </w:r>
          </w:p>
        </w:tc>
      </w:tr>
      <w:tr w:rsidR="008647A6" w:rsidRPr="002D2F67" w14:paraId="5F7DD5D1" w14:textId="77777777" w:rsidTr="005611FE">
        <w:trPr>
          <w:trHeight w:val="126"/>
        </w:trPr>
        <w:tc>
          <w:tcPr>
            <w:tcW w:w="3690" w:type="dxa"/>
            <w:shd w:val="clear" w:color="auto" w:fill="auto"/>
          </w:tcPr>
          <w:p w14:paraId="05E1545A" w14:textId="77777777" w:rsidR="008647A6" w:rsidRPr="002D2F67" w:rsidRDefault="008647A6" w:rsidP="005611FE">
            <w:pPr>
              <w:ind w:left="411"/>
              <w:jc w:val="both"/>
              <w:rPr>
                <w:rFonts w:ascii="Arial" w:hAnsi="Arial" w:cs="Arial"/>
                <w:color w:val="000000"/>
                <w:sz w:val="20"/>
                <w:szCs w:val="20"/>
              </w:rPr>
            </w:pPr>
          </w:p>
        </w:tc>
        <w:tc>
          <w:tcPr>
            <w:tcW w:w="1440" w:type="dxa"/>
            <w:tcBorders>
              <w:top w:val="single" w:sz="4" w:space="0" w:color="auto"/>
            </w:tcBorders>
            <w:shd w:val="clear" w:color="auto" w:fill="auto"/>
          </w:tcPr>
          <w:p w14:paraId="306DB97E" w14:textId="77777777" w:rsidR="008647A6" w:rsidRPr="002D2F67" w:rsidRDefault="008647A6" w:rsidP="005611FE">
            <w:pPr>
              <w:ind w:left="331" w:right="-72" w:hanging="331"/>
              <w:jc w:val="right"/>
              <w:rPr>
                <w:rFonts w:ascii="Arial" w:hAnsi="Arial" w:cs="Arial"/>
                <w:color w:val="000000"/>
                <w:sz w:val="20"/>
                <w:szCs w:val="20"/>
              </w:rPr>
            </w:pPr>
          </w:p>
        </w:tc>
        <w:tc>
          <w:tcPr>
            <w:tcW w:w="1440" w:type="dxa"/>
            <w:tcBorders>
              <w:top w:val="single" w:sz="4" w:space="0" w:color="auto"/>
            </w:tcBorders>
            <w:shd w:val="clear" w:color="auto" w:fill="auto"/>
          </w:tcPr>
          <w:p w14:paraId="7C71E479" w14:textId="77777777" w:rsidR="008647A6" w:rsidRPr="002D2F67" w:rsidRDefault="008647A6" w:rsidP="005611FE">
            <w:pPr>
              <w:ind w:left="331" w:right="-72" w:hanging="331"/>
              <w:jc w:val="right"/>
              <w:rPr>
                <w:rFonts w:ascii="Arial" w:hAnsi="Arial" w:cs="Arial"/>
                <w:color w:val="000000"/>
                <w:sz w:val="20"/>
                <w:szCs w:val="20"/>
              </w:rPr>
            </w:pPr>
          </w:p>
        </w:tc>
        <w:tc>
          <w:tcPr>
            <w:tcW w:w="1440" w:type="dxa"/>
            <w:tcBorders>
              <w:top w:val="single" w:sz="4" w:space="0" w:color="auto"/>
            </w:tcBorders>
            <w:shd w:val="clear" w:color="auto" w:fill="auto"/>
          </w:tcPr>
          <w:p w14:paraId="3856DDA9" w14:textId="77777777" w:rsidR="008647A6" w:rsidRPr="002D2F67" w:rsidRDefault="008647A6" w:rsidP="005611FE">
            <w:pPr>
              <w:ind w:left="331" w:right="-72" w:hanging="331"/>
              <w:jc w:val="right"/>
              <w:rPr>
                <w:rFonts w:ascii="Arial" w:hAnsi="Arial" w:cs="Arial"/>
                <w:color w:val="000000"/>
                <w:sz w:val="20"/>
                <w:szCs w:val="20"/>
              </w:rPr>
            </w:pPr>
          </w:p>
        </w:tc>
        <w:tc>
          <w:tcPr>
            <w:tcW w:w="1440" w:type="dxa"/>
            <w:tcBorders>
              <w:top w:val="single" w:sz="4" w:space="0" w:color="auto"/>
            </w:tcBorders>
            <w:shd w:val="clear" w:color="auto" w:fill="auto"/>
          </w:tcPr>
          <w:p w14:paraId="77825EDA" w14:textId="77777777" w:rsidR="008647A6" w:rsidRPr="002D2F67" w:rsidRDefault="008647A6" w:rsidP="005611FE">
            <w:pPr>
              <w:ind w:left="331" w:right="-72" w:hanging="331"/>
              <w:jc w:val="right"/>
              <w:rPr>
                <w:rFonts w:ascii="Arial" w:hAnsi="Arial" w:cs="Arial"/>
                <w:color w:val="000000"/>
                <w:sz w:val="20"/>
                <w:szCs w:val="20"/>
              </w:rPr>
            </w:pPr>
          </w:p>
        </w:tc>
      </w:tr>
      <w:tr w:rsidR="008647A6" w:rsidRPr="002D2F67" w14:paraId="40708A48" w14:textId="77777777" w:rsidTr="005611FE">
        <w:trPr>
          <w:trHeight w:val="126"/>
        </w:trPr>
        <w:tc>
          <w:tcPr>
            <w:tcW w:w="3690" w:type="dxa"/>
            <w:shd w:val="clear" w:color="auto" w:fill="auto"/>
          </w:tcPr>
          <w:p w14:paraId="7980A03E" w14:textId="77777777" w:rsidR="008647A6" w:rsidRPr="002D2F67" w:rsidRDefault="008647A6" w:rsidP="005611FE">
            <w:pPr>
              <w:ind w:left="411"/>
              <w:rPr>
                <w:rFonts w:ascii="Arial" w:hAnsi="Arial" w:cs="Arial"/>
                <w:color w:val="000000"/>
                <w:sz w:val="20"/>
                <w:szCs w:val="20"/>
              </w:rPr>
            </w:pPr>
          </w:p>
        </w:tc>
        <w:tc>
          <w:tcPr>
            <w:tcW w:w="1440" w:type="dxa"/>
            <w:tcBorders>
              <w:bottom w:val="single" w:sz="4" w:space="0" w:color="auto"/>
            </w:tcBorders>
            <w:shd w:val="clear" w:color="auto" w:fill="auto"/>
          </w:tcPr>
          <w:p w14:paraId="56906B40" w14:textId="269511F2" w:rsidR="008647A6"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11</w:t>
            </w:r>
            <w:r w:rsidR="009D183C" w:rsidRPr="002D2F67">
              <w:rPr>
                <w:rFonts w:ascii="Arial" w:hAnsi="Arial" w:cs="Arial"/>
                <w:color w:val="000000"/>
                <w:sz w:val="20"/>
                <w:szCs w:val="20"/>
              </w:rPr>
              <w:t>,</w:t>
            </w:r>
            <w:r w:rsidRPr="00CD5714">
              <w:rPr>
                <w:rFonts w:ascii="Arial" w:hAnsi="Arial" w:cs="Arial"/>
                <w:color w:val="000000"/>
                <w:sz w:val="20"/>
                <w:szCs w:val="20"/>
                <w:lang w:val="en-GB"/>
              </w:rPr>
              <w:t>272</w:t>
            </w:r>
          </w:p>
        </w:tc>
        <w:tc>
          <w:tcPr>
            <w:tcW w:w="1440" w:type="dxa"/>
            <w:tcBorders>
              <w:bottom w:val="single" w:sz="4" w:space="0" w:color="auto"/>
            </w:tcBorders>
            <w:shd w:val="clear" w:color="auto" w:fill="auto"/>
          </w:tcPr>
          <w:p w14:paraId="7D6F527C" w14:textId="4B379EB2" w:rsidR="008647A6"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11</w:t>
            </w:r>
            <w:r w:rsidR="008647A6" w:rsidRPr="002D2F67">
              <w:rPr>
                <w:rFonts w:ascii="Arial" w:hAnsi="Arial" w:cs="Arial"/>
                <w:color w:val="000000"/>
                <w:sz w:val="20"/>
                <w:szCs w:val="20"/>
              </w:rPr>
              <w:t>,</w:t>
            </w:r>
            <w:r w:rsidRPr="00CD5714">
              <w:rPr>
                <w:rFonts w:ascii="Arial" w:hAnsi="Arial" w:cs="Arial"/>
                <w:color w:val="000000"/>
                <w:sz w:val="20"/>
                <w:szCs w:val="20"/>
                <w:lang w:val="en-GB"/>
              </w:rPr>
              <w:t>073</w:t>
            </w:r>
          </w:p>
        </w:tc>
        <w:tc>
          <w:tcPr>
            <w:tcW w:w="1440" w:type="dxa"/>
            <w:tcBorders>
              <w:bottom w:val="single" w:sz="4" w:space="0" w:color="auto"/>
            </w:tcBorders>
            <w:shd w:val="clear" w:color="auto" w:fill="auto"/>
          </w:tcPr>
          <w:p w14:paraId="32BC4FE4" w14:textId="75C26F0A" w:rsidR="008647A6"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67</w:t>
            </w:r>
            <w:r w:rsidR="009D183C" w:rsidRPr="002D2F67">
              <w:rPr>
                <w:rFonts w:ascii="Arial" w:hAnsi="Arial" w:cs="Arial"/>
                <w:color w:val="000000"/>
                <w:sz w:val="20"/>
                <w:szCs w:val="20"/>
              </w:rPr>
              <w:t>,</w:t>
            </w:r>
            <w:r w:rsidRPr="00CD5714">
              <w:rPr>
                <w:rFonts w:ascii="Arial" w:hAnsi="Arial" w:cs="Arial"/>
                <w:color w:val="000000"/>
                <w:sz w:val="20"/>
                <w:szCs w:val="20"/>
                <w:lang w:val="en-GB"/>
              </w:rPr>
              <w:t>367</w:t>
            </w:r>
          </w:p>
        </w:tc>
        <w:tc>
          <w:tcPr>
            <w:tcW w:w="1440" w:type="dxa"/>
            <w:tcBorders>
              <w:bottom w:val="single" w:sz="4" w:space="0" w:color="auto"/>
            </w:tcBorders>
            <w:shd w:val="clear" w:color="auto" w:fill="auto"/>
          </w:tcPr>
          <w:p w14:paraId="7D51A695" w14:textId="661B6DC4" w:rsidR="008647A6"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17</w:t>
            </w:r>
            <w:r w:rsidR="008647A6" w:rsidRPr="002D2F67">
              <w:rPr>
                <w:rFonts w:ascii="Arial" w:hAnsi="Arial" w:cs="Arial"/>
                <w:color w:val="000000"/>
                <w:sz w:val="20"/>
                <w:szCs w:val="20"/>
              </w:rPr>
              <w:t>,</w:t>
            </w:r>
            <w:r w:rsidRPr="00CD5714">
              <w:rPr>
                <w:rFonts w:ascii="Arial" w:hAnsi="Arial" w:cs="Arial"/>
                <w:color w:val="000000"/>
                <w:sz w:val="20"/>
                <w:szCs w:val="20"/>
                <w:lang w:val="en-GB"/>
              </w:rPr>
              <w:t>661</w:t>
            </w:r>
          </w:p>
        </w:tc>
      </w:tr>
    </w:tbl>
    <w:p w14:paraId="265EEA7B" w14:textId="77777777" w:rsidR="002533A1" w:rsidRPr="002D2F67" w:rsidRDefault="002533A1" w:rsidP="005611FE">
      <w:pPr>
        <w:jc w:val="thaiDistribute"/>
        <w:rPr>
          <w:rFonts w:ascii="Arial" w:hAnsi="Arial" w:cs="Arial"/>
          <w:color w:val="000000"/>
          <w:sz w:val="20"/>
          <w:szCs w:val="20"/>
        </w:rPr>
      </w:pPr>
    </w:p>
    <w:p w14:paraId="08B1294F" w14:textId="7C6F5B12" w:rsidR="001E6C66" w:rsidRPr="002D2F67" w:rsidRDefault="00CD5714" w:rsidP="005611FE">
      <w:pPr>
        <w:pStyle w:val="EASUBHEAD6"/>
        <w:rPr>
          <w:b/>
          <w:bCs/>
          <w:color w:val="000000"/>
          <w:sz w:val="20"/>
          <w:szCs w:val="20"/>
        </w:rPr>
      </w:pPr>
      <w:r w:rsidRPr="00CD5714">
        <w:rPr>
          <w:b/>
          <w:bCs/>
          <w:color w:val="000000"/>
          <w:sz w:val="20"/>
          <w:szCs w:val="20"/>
          <w:lang w:val="en-GB"/>
        </w:rPr>
        <w:t>42</w:t>
      </w:r>
      <w:r w:rsidR="001E6C66" w:rsidRPr="002D2F67">
        <w:rPr>
          <w:b/>
          <w:bCs/>
          <w:color w:val="000000"/>
          <w:sz w:val="20"/>
          <w:szCs w:val="20"/>
        </w:rPr>
        <w:t>.</w:t>
      </w:r>
      <w:r w:rsidRPr="00CD5714">
        <w:rPr>
          <w:b/>
          <w:bCs/>
          <w:color w:val="000000"/>
          <w:sz w:val="20"/>
          <w:szCs w:val="20"/>
          <w:lang w:val="en-GB"/>
        </w:rPr>
        <w:t>7</w:t>
      </w:r>
      <w:r w:rsidR="001E6C66" w:rsidRPr="002D2F67">
        <w:rPr>
          <w:b/>
          <w:bCs/>
          <w:color w:val="000000"/>
          <w:sz w:val="20"/>
          <w:szCs w:val="20"/>
        </w:rPr>
        <w:tab/>
        <w:t>Advance receipts for land rental from related parties</w:t>
      </w:r>
    </w:p>
    <w:p w14:paraId="0F8A7FAA" w14:textId="77777777" w:rsidR="001E6C66" w:rsidRPr="002D2F67" w:rsidRDefault="001E6C66" w:rsidP="005611FE">
      <w:pPr>
        <w:pStyle w:val="Header"/>
        <w:ind w:left="1080" w:hanging="540"/>
        <w:rPr>
          <w:rFonts w:ascii="Arial" w:hAnsi="Arial" w:cs="Arial"/>
          <w:color w:val="000000"/>
          <w:sz w:val="20"/>
          <w:szCs w:val="20"/>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1E6C66" w:rsidRPr="002D2F67" w14:paraId="0EE295A0" w14:textId="77777777" w:rsidTr="008255E8">
        <w:tc>
          <w:tcPr>
            <w:tcW w:w="3690" w:type="dxa"/>
            <w:shd w:val="clear" w:color="auto" w:fill="auto"/>
          </w:tcPr>
          <w:p w14:paraId="4F504691" w14:textId="77777777" w:rsidR="001E6C66" w:rsidRPr="002D2F67" w:rsidRDefault="001E6C66" w:rsidP="005611FE">
            <w:pPr>
              <w:ind w:left="447" w:right="-72"/>
              <w:rPr>
                <w:rFonts w:ascii="Arial" w:hAnsi="Arial" w:cs="Arial"/>
                <w:b/>
                <w:bCs/>
                <w:color w:val="000000"/>
                <w:sz w:val="20"/>
                <w:szCs w:val="20"/>
              </w:rPr>
            </w:pPr>
          </w:p>
        </w:tc>
        <w:tc>
          <w:tcPr>
            <w:tcW w:w="2880" w:type="dxa"/>
            <w:gridSpan w:val="2"/>
            <w:tcBorders>
              <w:bottom w:val="single" w:sz="4" w:space="0" w:color="auto"/>
            </w:tcBorders>
            <w:shd w:val="clear" w:color="auto" w:fill="auto"/>
          </w:tcPr>
          <w:p w14:paraId="55B01027"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5E687C16"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2880" w:type="dxa"/>
            <w:gridSpan w:val="2"/>
            <w:tcBorders>
              <w:bottom w:val="single" w:sz="4" w:space="0" w:color="auto"/>
            </w:tcBorders>
            <w:shd w:val="clear" w:color="auto" w:fill="auto"/>
          </w:tcPr>
          <w:p w14:paraId="696D429D"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Separate </w:t>
            </w:r>
          </w:p>
          <w:p w14:paraId="1FA16D16"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6C3E51" w:rsidRPr="002D2F67" w14:paraId="4D1BC5F8" w14:textId="77777777" w:rsidTr="005611FE">
        <w:tc>
          <w:tcPr>
            <w:tcW w:w="3690" w:type="dxa"/>
            <w:shd w:val="clear" w:color="auto" w:fill="auto"/>
          </w:tcPr>
          <w:p w14:paraId="2592CA2F" w14:textId="3669056A" w:rsidR="006C3E51" w:rsidRPr="002D2F67" w:rsidRDefault="006C3E51" w:rsidP="005611FE">
            <w:pPr>
              <w:tabs>
                <w:tab w:val="left" w:pos="1134"/>
                <w:tab w:val="left" w:pos="1276"/>
                <w:tab w:val="center" w:pos="3402"/>
                <w:tab w:val="center" w:pos="4536"/>
                <w:tab w:val="center" w:pos="5670"/>
                <w:tab w:val="center" w:pos="6804"/>
                <w:tab w:val="right" w:pos="7655"/>
              </w:tabs>
              <w:ind w:left="447" w:right="-72"/>
              <w:rPr>
                <w:rFonts w:ascii="Arial" w:hAnsi="Arial" w:cs="Arial"/>
                <w:color w:val="000000"/>
                <w:spacing w:val="-4"/>
                <w:sz w:val="20"/>
                <w:szCs w:val="20"/>
              </w:rPr>
            </w:pPr>
            <w:r w:rsidRPr="002D2F67">
              <w:rPr>
                <w:rFonts w:ascii="Arial" w:hAnsi="Arial" w:cs="Arial"/>
                <w:b/>
                <w:bCs/>
                <w:color w:val="000000"/>
                <w:spacing w:val="-4"/>
                <w:sz w:val="20"/>
                <w:szCs w:val="20"/>
              </w:rPr>
              <w:t xml:space="preserve">For the years ended </w:t>
            </w:r>
            <w:r w:rsidR="00CD5714" w:rsidRPr="00CD5714">
              <w:rPr>
                <w:rFonts w:ascii="Arial" w:hAnsi="Arial" w:cs="Arial"/>
                <w:b/>
                <w:bCs/>
                <w:color w:val="000000"/>
                <w:spacing w:val="-4"/>
                <w:sz w:val="20"/>
                <w:szCs w:val="20"/>
                <w:lang w:val="en-GB"/>
              </w:rPr>
              <w:t>31</w:t>
            </w:r>
            <w:r w:rsidRPr="002D2F67">
              <w:rPr>
                <w:rFonts w:ascii="Arial" w:hAnsi="Arial" w:cs="Arial"/>
                <w:b/>
                <w:bCs/>
                <w:color w:val="000000"/>
                <w:spacing w:val="-4"/>
                <w:sz w:val="20"/>
                <w:szCs w:val="20"/>
              </w:rPr>
              <w:t xml:space="preserve"> December</w:t>
            </w:r>
          </w:p>
        </w:tc>
        <w:tc>
          <w:tcPr>
            <w:tcW w:w="1440" w:type="dxa"/>
            <w:shd w:val="clear" w:color="auto" w:fill="auto"/>
          </w:tcPr>
          <w:p w14:paraId="0B632340" w14:textId="3E33A868" w:rsidR="006C3E51"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40" w:type="dxa"/>
            <w:shd w:val="clear" w:color="auto" w:fill="auto"/>
          </w:tcPr>
          <w:p w14:paraId="754C0E3C" w14:textId="34A3E07D" w:rsidR="006C3E51"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2023</w:t>
            </w:r>
          </w:p>
        </w:tc>
        <w:tc>
          <w:tcPr>
            <w:tcW w:w="1440" w:type="dxa"/>
            <w:shd w:val="clear" w:color="auto" w:fill="auto"/>
          </w:tcPr>
          <w:p w14:paraId="01CB18A6" w14:textId="7B56A54A" w:rsidR="006C3E51"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40" w:type="dxa"/>
            <w:shd w:val="clear" w:color="auto" w:fill="auto"/>
          </w:tcPr>
          <w:p w14:paraId="677D4DBA" w14:textId="143486E5" w:rsidR="006C3E51"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2023</w:t>
            </w:r>
          </w:p>
        </w:tc>
      </w:tr>
      <w:tr w:rsidR="00726CAD" w:rsidRPr="002D2F67" w14:paraId="5FD3E917" w14:textId="77777777" w:rsidTr="005611FE">
        <w:tc>
          <w:tcPr>
            <w:tcW w:w="3690" w:type="dxa"/>
            <w:shd w:val="clear" w:color="auto" w:fill="auto"/>
          </w:tcPr>
          <w:p w14:paraId="3D868D11" w14:textId="77777777" w:rsidR="00726CAD" w:rsidRPr="002D2F67" w:rsidRDefault="00726CAD" w:rsidP="005611FE">
            <w:pPr>
              <w:tabs>
                <w:tab w:val="left" w:pos="1134"/>
                <w:tab w:val="left" w:pos="1276"/>
                <w:tab w:val="center" w:pos="3402"/>
                <w:tab w:val="center" w:pos="4536"/>
                <w:tab w:val="center" w:pos="5670"/>
                <w:tab w:val="center" w:pos="6804"/>
                <w:tab w:val="right" w:pos="7655"/>
              </w:tabs>
              <w:ind w:left="447" w:right="-72"/>
              <w:rPr>
                <w:rFonts w:ascii="Arial" w:hAnsi="Arial" w:cs="Arial"/>
                <w:color w:val="000000"/>
                <w:sz w:val="20"/>
                <w:szCs w:val="20"/>
              </w:rPr>
            </w:pPr>
          </w:p>
        </w:tc>
        <w:tc>
          <w:tcPr>
            <w:tcW w:w="1440" w:type="dxa"/>
            <w:tcBorders>
              <w:bottom w:val="single" w:sz="4" w:space="0" w:color="auto"/>
            </w:tcBorders>
            <w:shd w:val="clear" w:color="auto" w:fill="auto"/>
            <w:vAlign w:val="bottom"/>
          </w:tcPr>
          <w:p w14:paraId="6DDE9413" w14:textId="533917F8" w:rsidR="00726CAD" w:rsidRPr="002D2F67" w:rsidRDefault="00726CAD"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vAlign w:val="bottom"/>
          </w:tcPr>
          <w:p w14:paraId="0EE38103" w14:textId="6C477E1C" w:rsidR="00726CAD" w:rsidRPr="002D2F67" w:rsidRDefault="00726CAD"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vAlign w:val="bottom"/>
          </w:tcPr>
          <w:p w14:paraId="48D8F6FA" w14:textId="43E91E0D" w:rsidR="00726CAD" w:rsidRPr="002D2F67" w:rsidRDefault="00726CAD"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vAlign w:val="bottom"/>
          </w:tcPr>
          <w:p w14:paraId="4687B913" w14:textId="587A795E" w:rsidR="00726CAD" w:rsidRPr="002D2F67" w:rsidRDefault="00726CAD"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1E6C66" w:rsidRPr="002D2F67" w14:paraId="28FA8C95" w14:textId="77777777" w:rsidTr="005611FE">
        <w:tc>
          <w:tcPr>
            <w:tcW w:w="3690" w:type="dxa"/>
            <w:shd w:val="clear" w:color="auto" w:fill="auto"/>
          </w:tcPr>
          <w:p w14:paraId="5FA1F35E"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left="447" w:right="-72"/>
              <w:rPr>
                <w:rFonts w:ascii="Arial" w:hAnsi="Arial" w:cs="Arial"/>
                <w:color w:val="000000"/>
                <w:sz w:val="20"/>
                <w:szCs w:val="20"/>
              </w:rPr>
            </w:pPr>
          </w:p>
        </w:tc>
        <w:tc>
          <w:tcPr>
            <w:tcW w:w="1440" w:type="dxa"/>
            <w:tcBorders>
              <w:top w:val="single" w:sz="4" w:space="0" w:color="auto"/>
            </w:tcBorders>
            <w:shd w:val="clear" w:color="auto" w:fill="auto"/>
          </w:tcPr>
          <w:p w14:paraId="63023915"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6754D5F5"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3CA11775"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0B0DBC39"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8647A6" w:rsidRPr="002D2F67" w14:paraId="5615A128" w14:textId="77777777" w:rsidTr="005611FE">
        <w:tc>
          <w:tcPr>
            <w:tcW w:w="3690" w:type="dxa"/>
            <w:shd w:val="clear" w:color="auto" w:fill="auto"/>
          </w:tcPr>
          <w:p w14:paraId="7EF3B99A" w14:textId="00A8AFBF" w:rsidR="008647A6" w:rsidRPr="002D2F67" w:rsidRDefault="008647A6" w:rsidP="005611FE">
            <w:pPr>
              <w:tabs>
                <w:tab w:val="left" w:pos="511"/>
              </w:tabs>
              <w:ind w:left="447" w:right="-72"/>
              <w:rPr>
                <w:rFonts w:ascii="Arial" w:hAnsi="Arial" w:cs="Arial"/>
                <w:color w:val="000000"/>
                <w:sz w:val="20"/>
                <w:szCs w:val="20"/>
              </w:rPr>
            </w:pPr>
            <w:r w:rsidRPr="002D2F67">
              <w:rPr>
                <w:rFonts w:ascii="Arial" w:hAnsi="Arial" w:cs="Arial"/>
                <w:color w:val="000000"/>
                <w:sz w:val="20"/>
                <w:szCs w:val="20"/>
              </w:rPr>
              <w:t xml:space="preserve">Opening balance, net </w:t>
            </w:r>
          </w:p>
        </w:tc>
        <w:tc>
          <w:tcPr>
            <w:tcW w:w="1440" w:type="dxa"/>
            <w:shd w:val="clear" w:color="auto" w:fill="auto"/>
          </w:tcPr>
          <w:p w14:paraId="67245390" w14:textId="169A48FD" w:rsidR="008647A6" w:rsidRPr="002D2F67" w:rsidRDefault="001B1A34"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tcPr>
          <w:p w14:paraId="77A696A6" w14:textId="17E5FF36" w:rsidR="008647A6" w:rsidRPr="002D2F67" w:rsidRDefault="008647A6"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tcPr>
          <w:p w14:paraId="4CEE4841" w14:textId="3631CF76" w:rsidR="008647A6"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671</w:t>
            </w:r>
            <w:r w:rsidR="001B1A34" w:rsidRPr="002D2F67">
              <w:rPr>
                <w:rFonts w:ascii="Arial" w:hAnsi="Arial" w:cs="Arial"/>
                <w:color w:val="000000"/>
                <w:sz w:val="20"/>
                <w:szCs w:val="20"/>
              </w:rPr>
              <w:t>,</w:t>
            </w:r>
            <w:r w:rsidRPr="00CD5714">
              <w:rPr>
                <w:rFonts w:ascii="Arial" w:hAnsi="Arial" w:cs="Arial"/>
                <w:color w:val="000000"/>
                <w:sz w:val="20"/>
                <w:szCs w:val="20"/>
                <w:lang w:val="en-GB"/>
              </w:rPr>
              <w:t>689</w:t>
            </w:r>
          </w:p>
        </w:tc>
        <w:tc>
          <w:tcPr>
            <w:tcW w:w="1440" w:type="dxa"/>
            <w:shd w:val="clear" w:color="auto" w:fill="auto"/>
          </w:tcPr>
          <w:p w14:paraId="6C56B975" w14:textId="7251F9FA" w:rsidR="008647A6"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707</w:t>
            </w:r>
            <w:r w:rsidR="008647A6" w:rsidRPr="002D2F67">
              <w:rPr>
                <w:rFonts w:ascii="Arial" w:hAnsi="Arial" w:cs="Arial"/>
                <w:color w:val="000000"/>
                <w:sz w:val="20"/>
                <w:szCs w:val="20"/>
              </w:rPr>
              <w:t>,</w:t>
            </w:r>
            <w:r w:rsidRPr="00CD5714">
              <w:rPr>
                <w:rFonts w:ascii="Arial" w:hAnsi="Arial" w:cs="Arial"/>
                <w:color w:val="000000"/>
                <w:sz w:val="20"/>
                <w:szCs w:val="20"/>
                <w:lang w:val="en-GB"/>
              </w:rPr>
              <w:t>385</w:t>
            </w:r>
          </w:p>
        </w:tc>
      </w:tr>
      <w:tr w:rsidR="008647A6" w:rsidRPr="002D2F67" w14:paraId="6F792E55" w14:textId="77777777" w:rsidTr="005611FE">
        <w:tc>
          <w:tcPr>
            <w:tcW w:w="3690" w:type="dxa"/>
            <w:shd w:val="clear" w:color="auto" w:fill="auto"/>
          </w:tcPr>
          <w:p w14:paraId="079D618C" w14:textId="77777777" w:rsidR="008647A6" w:rsidRPr="002D2F67" w:rsidRDefault="008647A6" w:rsidP="005611FE">
            <w:pPr>
              <w:tabs>
                <w:tab w:val="left" w:pos="511"/>
              </w:tabs>
              <w:ind w:left="447" w:right="-72"/>
              <w:rPr>
                <w:rFonts w:ascii="Arial" w:hAnsi="Arial" w:cs="Arial"/>
                <w:color w:val="000000"/>
                <w:sz w:val="20"/>
                <w:szCs w:val="20"/>
              </w:rPr>
            </w:pPr>
            <w:r w:rsidRPr="002D2F67">
              <w:rPr>
                <w:rFonts w:ascii="Arial" w:hAnsi="Arial" w:cs="Arial"/>
                <w:color w:val="000000"/>
                <w:sz w:val="20"/>
                <w:szCs w:val="20"/>
              </w:rPr>
              <w:t>Increase during the year</w:t>
            </w:r>
          </w:p>
        </w:tc>
        <w:tc>
          <w:tcPr>
            <w:tcW w:w="1440" w:type="dxa"/>
            <w:shd w:val="clear" w:color="auto" w:fill="auto"/>
          </w:tcPr>
          <w:p w14:paraId="3BB3E14C" w14:textId="37EEBF2B" w:rsidR="008647A6" w:rsidRPr="002D2F67" w:rsidRDefault="001B1A34"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tcPr>
          <w:p w14:paraId="7ED6E53D" w14:textId="32DD7E27" w:rsidR="008647A6" w:rsidRPr="002D2F67" w:rsidRDefault="008647A6"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tcPr>
          <w:p w14:paraId="1525640D" w14:textId="22BEB696" w:rsidR="008647A6" w:rsidRPr="002D2F67" w:rsidRDefault="001B1A34"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tcPr>
          <w:p w14:paraId="567C092F" w14:textId="298E1303" w:rsidR="008647A6"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8</w:t>
            </w:r>
            <w:r w:rsidR="008647A6" w:rsidRPr="002D2F67">
              <w:rPr>
                <w:rFonts w:ascii="Arial" w:hAnsi="Arial" w:cs="Arial"/>
                <w:color w:val="000000"/>
                <w:sz w:val="20"/>
                <w:szCs w:val="20"/>
              </w:rPr>
              <w:t>,</w:t>
            </w:r>
            <w:r w:rsidRPr="00CD5714">
              <w:rPr>
                <w:rFonts w:ascii="Arial" w:hAnsi="Arial" w:cs="Arial"/>
                <w:color w:val="000000"/>
                <w:sz w:val="20"/>
                <w:szCs w:val="20"/>
                <w:lang w:val="en-GB"/>
              </w:rPr>
              <w:t>488</w:t>
            </w:r>
          </w:p>
        </w:tc>
      </w:tr>
      <w:tr w:rsidR="008647A6" w:rsidRPr="002D2F67" w14:paraId="23B44087" w14:textId="77777777" w:rsidTr="005611FE">
        <w:tc>
          <w:tcPr>
            <w:tcW w:w="3690" w:type="dxa"/>
            <w:shd w:val="clear" w:color="auto" w:fill="auto"/>
          </w:tcPr>
          <w:p w14:paraId="16F3600D" w14:textId="77777777" w:rsidR="008647A6" w:rsidRPr="002D2F67" w:rsidRDefault="008647A6" w:rsidP="005611FE">
            <w:pPr>
              <w:ind w:left="447" w:right="-72"/>
              <w:rPr>
                <w:rFonts w:ascii="Arial" w:hAnsi="Arial" w:cs="Arial"/>
                <w:color w:val="000000"/>
                <w:sz w:val="20"/>
                <w:szCs w:val="20"/>
              </w:rPr>
            </w:pPr>
            <w:r w:rsidRPr="002D2F67">
              <w:rPr>
                <w:rFonts w:ascii="Arial" w:hAnsi="Arial" w:cs="Arial"/>
                <w:color w:val="000000"/>
                <w:sz w:val="20"/>
                <w:szCs w:val="20"/>
              </w:rPr>
              <w:t>Decrease during the year</w:t>
            </w:r>
          </w:p>
        </w:tc>
        <w:tc>
          <w:tcPr>
            <w:tcW w:w="1440" w:type="dxa"/>
            <w:tcBorders>
              <w:bottom w:val="single" w:sz="4" w:space="0" w:color="auto"/>
            </w:tcBorders>
            <w:shd w:val="clear" w:color="auto" w:fill="auto"/>
          </w:tcPr>
          <w:p w14:paraId="11B89F3A" w14:textId="5D28A35F" w:rsidR="008647A6" w:rsidRPr="002D2F67" w:rsidRDefault="001B1A34"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tcBorders>
              <w:bottom w:val="single" w:sz="4" w:space="0" w:color="auto"/>
            </w:tcBorders>
            <w:shd w:val="clear" w:color="auto" w:fill="auto"/>
          </w:tcPr>
          <w:p w14:paraId="72C13900" w14:textId="34CC6C86" w:rsidR="008647A6" w:rsidRPr="002D2F67" w:rsidRDefault="008647A6"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tcBorders>
              <w:bottom w:val="single" w:sz="4" w:space="0" w:color="auto"/>
            </w:tcBorders>
            <w:shd w:val="clear" w:color="auto" w:fill="auto"/>
          </w:tcPr>
          <w:p w14:paraId="79B4B965" w14:textId="105820F5" w:rsidR="008647A6" w:rsidRPr="002D2F67" w:rsidRDefault="001B1A34"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44</w:t>
            </w:r>
            <w:r w:rsidRPr="002D2F67">
              <w:rPr>
                <w:rFonts w:ascii="Arial" w:hAnsi="Arial" w:cs="Arial"/>
                <w:color w:val="000000"/>
                <w:sz w:val="20"/>
                <w:szCs w:val="20"/>
              </w:rPr>
              <w:t>,</w:t>
            </w:r>
            <w:r w:rsidR="00CD5714" w:rsidRPr="00CD5714">
              <w:rPr>
                <w:rFonts w:ascii="Arial" w:hAnsi="Arial" w:cs="Arial"/>
                <w:color w:val="000000"/>
                <w:sz w:val="20"/>
                <w:szCs w:val="20"/>
                <w:lang w:val="en-GB"/>
              </w:rPr>
              <w:t>305</w:t>
            </w:r>
            <w:r w:rsidRPr="002D2F67">
              <w:rPr>
                <w:rFonts w:ascii="Arial" w:hAnsi="Arial" w:cs="Arial"/>
                <w:color w:val="000000"/>
                <w:sz w:val="20"/>
                <w:szCs w:val="20"/>
              </w:rPr>
              <w:t>)</w:t>
            </w:r>
          </w:p>
        </w:tc>
        <w:tc>
          <w:tcPr>
            <w:tcW w:w="1440" w:type="dxa"/>
            <w:tcBorders>
              <w:bottom w:val="single" w:sz="4" w:space="0" w:color="auto"/>
            </w:tcBorders>
            <w:shd w:val="clear" w:color="auto" w:fill="auto"/>
          </w:tcPr>
          <w:p w14:paraId="25395666" w14:textId="175D201B" w:rsidR="008647A6" w:rsidRPr="002D2F67" w:rsidRDefault="008647A6"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44</w:t>
            </w:r>
            <w:r w:rsidRPr="002D2F67">
              <w:rPr>
                <w:rFonts w:ascii="Arial" w:hAnsi="Arial" w:cs="Arial"/>
                <w:color w:val="000000"/>
                <w:sz w:val="20"/>
                <w:szCs w:val="20"/>
              </w:rPr>
              <w:t>,</w:t>
            </w:r>
            <w:r w:rsidR="00CD5714" w:rsidRPr="00CD5714">
              <w:rPr>
                <w:rFonts w:ascii="Arial" w:hAnsi="Arial" w:cs="Arial"/>
                <w:color w:val="000000"/>
                <w:sz w:val="20"/>
                <w:szCs w:val="20"/>
                <w:lang w:val="en-GB"/>
              </w:rPr>
              <w:t>184</w:t>
            </w:r>
            <w:r w:rsidRPr="002D2F67">
              <w:rPr>
                <w:rFonts w:ascii="Arial" w:hAnsi="Arial" w:cs="Arial"/>
                <w:color w:val="000000"/>
                <w:sz w:val="20"/>
                <w:szCs w:val="20"/>
              </w:rPr>
              <w:t>)</w:t>
            </w:r>
          </w:p>
        </w:tc>
      </w:tr>
      <w:tr w:rsidR="008647A6" w:rsidRPr="002D2F67" w14:paraId="57222BC1" w14:textId="77777777" w:rsidTr="005611FE">
        <w:trPr>
          <w:trHeight w:val="58"/>
        </w:trPr>
        <w:tc>
          <w:tcPr>
            <w:tcW w:w="3690" w:type="dxa"/>
            <w:shd w:val="clear" w:color="auto" w:fill="auto"/>
          </w:tcPr>
          <w:p w14:paraId="551C3ABB" w14:textId="77777777" w:rsidR="008647A6" w:rsidRPr="002D2F67" w:rsidRDefault="008647A6" w:rsidP="005611FE">
            <w:pPr>
              <w:ind w:left="447" w:right="-72"/>
              <w:rPr>
                <w:rFonts w:ascii="Arial" w:hAnsi="Arial" w:cs="Arial"/>
                <w:color w:val="000000"/>
                <w:sz w:val="20"/>
                <w:szCs w:val="20"/>
              </w:rPr>
            </w:pPr>
          </w:p>
        </w:tc>
        <w:tc>
          <w:tcPr>
            <w:tcW w:w="1440" w:type="dxa"/>
            <w:tcBorders>
              <w:top w:val="single" w:sz="4" w:space="0" w:color="auto"/>
            </w:tcBorders>
            <w:shd w:val="clear" w:color="auto" w:fill="auto"/>
          </w:tcPr>
          <w:p w14:paraId="370600E9" w14:textId="77777777" w:rsidR="008647A6" w:rsidRPr="002D2F67" w:rsidRDefault="008647A6" w:rsidP="005611FE">
            <w:pPr>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7C5DB079" w14:textId="77777777" w:rsidR="008647A6" w:rsidRPr="002D2F67" w:rsidRDefault="008647A6" w:rsidP="005611FE">
            <w:pPr>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31481D40" w14:textId="77777777" w:rsidR="008647A6" w:rsidRPr="002D2F67" w:rsidRDefault="008647A6" w:rsidP="005611FE">
            <w:pPr>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3696ED81" w14:textId="77777777" w:rsidR="008647A6" w:rsidRPr="002D2F67" w:rsidRDefault="008647A6" w:rsidP="005611FE">
            <w:pPr>
              <w:ind w:right="-72"/>
              <w:jc w:val="right"/>
              <w:rPr>
                <w:rFonts w:ascii="Arial" w:hAnsi="Arial" w:cs="Arial"/>
                <w:color w:val="000000"/>
                <w:sz w:val="20"/>
                <w:szCs w:val="20"/>
              </w:rPr>
            </w:pPr>
          </w:p>
        </w:tc>
      </w:tr>
      <w:tr w:rsidR="008647A6" w:rsidRPr="002D2F67" w14:paraId="63B64F36" w14:textId="77777777" w:rsidTr="005611FE">
        <w:tc>
          <w:tcPr>
            <w:tcW w:w="3690" w:type="dxa"/>
            <w:shd w:val="clear" w:color="auto" w:fill="auto"/>
          </w:tcPr>
          <w:p w14:paraId="54F5664D" w14:textId="77777777" w:rsidR="008647A6" w:rsidRPr="002D2F67" w:rsidRDefault="008647A6" w:rsidP="005611FE">
            <w:pPr>
              <w:ind w:left="447" w:right="-72"/>
              <w:rPr>
                <w:rFonts w:ascii="Arial" w:hAnsi="Arial" w:cs="Arial"/>
                <w:color w:val="000000"/>
                <w:sz w:val="20"/>
                <w:szCs w:val="20"/>
              </w:rPr>
            </w:pPr>
          </w:p>
        </w:tc>
        <w:tc>
          <w:tcPr>
            <w:tcW w:w="1440" w:type="dxa"/>
            <w:shd w:val="clear" w:color="auto" w:fill="auto"/>
          </w:tcPr>
          <w:p w14:paraId="656273FC" w14:textId="7B1049AD" w:rsidR="008647A6" w:rsidRPr="002D2F67" w:rsidRDefault="001B1A34"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tcPr>
          <w:p w14:paraId="0D08667D" w14:textId="6B08A255" w:rsidR="008647A6" w:rsidRPr="002D2F67" w:rsidRDefault="008647A6"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shd w:val="clear" w:color="auto" w:fill="auto"/>
          </w:tcPr>
          <w:p w14:paraId="16507805" w14:textId="659001D4" w:rsidR="008647A6"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627</w:t>
            </w:r>
            <w:r w:rsidR="001B1A34" w:rsidRPr="002D2F67">
              <w:rPr>
                <w:rFonts w:ascii="Arial" w:hAnsi="Arial" w:cs="Arial"/>
                <w:color w:val="000000"/>
                <w:sz w:val="20"/>
                <w:szCs w:val="20"/>
              </w:rPr>
              <w:t>,</w:t>
            </w:r>
            <w:r w:rsidRPr="00CD5714">
              <w:rPr>
                <w:rFonts w:ascii="Arial" w:hAnsi="Arial" w:cs="Arial"/>
                <w:color w:val="000000"/>
                <w:sz w:val="20"/>
                <w:szCs w:val="20"/>
                <w:lang w:val="en-GB"/>
              </w:rPr>
              <w:t>384</w:t>
            </w:r>
          </w:p>
        </w:tc>
        <w:tc>
          <w:tcPr>
            <w:tcW w:w="1440" w:type="dxa"/>
            <w:shd w:val="clear" w:color="auto" w:fill="auto"/>
          </w:tcPr>
          <w:p w14:paraId="28190A8B" w14:textId="4107A44E" w:rsidR="008647A6"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671</w:t>
            </w:r>
            <w:r w:rsidR="008647A6" w:rsidRPr="002D2F67">
              <w:rPr>
                <w:rFonts w:ascii="Arial" w:hAnsi="Arial" w:cs="Arial"/>
                <w:color w:val="000000"/>
                <w:sz w:val="20"/>
                <w:szCs w:val="20"/>
              </w:rPr>
              <w:t>,</w:t>
            </w:r>
            <w:r w:rsidRPr="00CD5714">
              <w:rPr>
                <w:rFonts w:ascii="Arial" w:hAnsi="Arial" w:cs="Arial"/>
                <w:color w:val="000000"/>
                <w:sz w:val="20"/>
                <w:szCs w:val="20"/>
                <w:lang w:val="en-GB"/>
              </w:rPr>
              <w:t>689</w:t>
            </w:r>
          </w:p>
        </w:tc>
      </w:tr>
      <w:tr w:rsidR="008647A6" w:rsidRPr="002D2F67" w14:paraId="1258E7DF" w14:textId="77777777" w:rsidTr="005611FE">
        <w:tc>
          <w:tcPr>
            <w:tcW w:w="3690" w:type="dxa"/>
            <w:shd w:val="clear" w:color="auto" w:fill="auto"/>
          </w:tcPr>
          <w:p w14:paraId="6409A6DA" w14:textId="7C4C2591" w:rsidR="008647A6" w:rsidRPr="002D2F67" w:rsidRDefault="008647A6" w:rsidP="005611FE">
            <w:pPr>
              <w:ind w:left="447" w:right="-72"/>
              <w:rPr>
                <w:rFonts w:ascii="Arial" w:hAnsi="Arial" w:cs="Arial"/>
                <w:color w:val="000000"/>
                <w:sz w:val="20"/>
                <w:szCs w:val="20"/>
              </w:rPr>
            </w:pPr>
            <w:r w:rsidRPr="002D2F67">
              <w:rPr>
                <w:rFonts w:ascii="Arial" w:hAnsi="Arial" w:cs="Arial"/>
                <w:color w:val="000000"/>
                <w:sz w:val="20"/>
                <w:szCs w:val="20"/>
                <w:u w:val="single"/>
              </w:rPr>
              <w:t>Less</w:t>
            </w:r>
            <w:r w:rsidRPr="002D2F67">
              <w:rPr>
                <w:rFonts w:ascii="Arial" w:hAnsi="Arial" w:cs="Arial"/>
                <w:color w:val="000000"/>
                <w:sz w:val="20"/>
                <w:szCs w:val="20"/>
              </w:rPr>
              <w:t xml:space="preserve">  Current portion of advance</w:t>
            </w:r>
          </w:p>
          <w:p w14:paraId="44E94A3D" w14:textId="5422AF0F" w:rsidR="008647A6" w:rsidRPr="002D2F67" w:rsidRDefault="008647A6" w:rsidP="00070600">
            <w:pPr>
              <w:ind w:left="447" w:right="-72"/>
              <w:rPr>
                <w:rFonts w:ascii="Arial" w:hAnsi="Arial" w:cs="Arial"/>
                <w:color w:val="000000"/>
                <w:spacing w:val="-4"/>
                <w:sz w:val="20"/>
                <w:szCs w:val="20"/>
              </w:rPr>
            </w:pPr>
            <w:r w:rsidRPr="002D2F67">
              <w:rPr>
                <w:rFonts w:ascii="Arial" w:hAnsi="Arial" w:cs="Arial"/>
                <w:color w:val="000000"/>
                <w:spacing w:val="-4"/>
                <w:sz w:val="20"/>
                <w:szCs w:val="20"/>
              </w:rPr>
              <w:t xml:space="preserve">             receipts for land rental </w:t>
            </w:r>
          </w:p>
        </w:tc>
        <w:tc>
          <w:tcPr>
            <w:tcW w:w="1440" w:type="dxa"/>
            <w:tcBorders>
              <w:bottom w:val="single" w:sz="4" w:space="0" w:color="auto"/>
            </w:tcBorders>
            <w:shd w:val="clear" w:color="auto" w:fill="auto"/>
            <w:vAlign w:val="bottom"/>
          </w:tcPr>
          <w:p w14:paraId="185D7E54" w14:textId="3AE76DB4" w:rsidR="008647A6" w:rsidRPr="002D2F67" w:rsidRDefault="001B1A34"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tcBorders>
              <w:bottom w:val="single" w:sz="4" w:space="0" w:color="auto"/>
            </w:tcBorders>
            <w:shd w:val="clear" w:color="auto" w:fill="auto"/>
            <w:vAlign w:val="bottom"/>
          </w:tcPr>
          <w:p w14:paraId="5E27A389" w14:textId="1536B6A1" w:rsidR="008647A6" w:rsidRPr="002D2F67" w:rsidRDefault="008647A6"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tcBorders>
              <w:bottom w:val="single" w:sz="4" w:space="0" w:color="auto"/>
            </w:tcBorders>
            <w:shd w:val="clear" w:color="auto" w:fill="auto"/>
            <w:vAlign w:val="bottom"/>
          </w:tcPr>
          <w:p w14:paraId="31B9A905" w14:textId="181B514A" w:rsidR="008647A6" w:rsidRPr="002D2F67" w:rsidRDefault="001B1A34"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44</w:t>
            </w:r>
            <w:r w:rsidRPr="002D2F67">
              <w:rPr>
                <w:rFonts w:ascii="Arial" w:hAnsi="Arial" w:cs="Arial"/>
                <w:color w:val="000000"/>
                <w:sz w:val="20"/>
                <w:szCs w:val="20"/>
              </w:rPr>
              <w:t>,</w:t>
            </w:r>
            <w:r w:rsidR="00CD5714" w:rsidRPr="00CD5714">
              <w:rPr>
                <w:rFonts w:ascii="Arial" w:hAnsi="Arial" w:cs="Arial"/>
                <w:color w:val="000000"/>
                <w:sz w:val="20"/>
                <w:szCs w:val="20"/>
                <w:lang w:val="en-GB"/>
              </w:rPr>
              <w:t>305</w:t>
            </w:r>
            <w:r w:rsidRPr="002D2F67">
              <w:rPr>
                <w:rFonts w:ascii="Arial" w:hAnsi="Arial" w:cs="Arial"/>
                <w:color w:val="000000"/>
                <w:sz w:val="20"/>
                <w:szCs w:val="20"/>
              </w:rPr>
              <w:t>)</w:t>
            </w:r>
          </w:p>
        </w:tc>
        <w:tc>
          <w:tcPr>
            <w:tcW w:w="1440" w:type="dxa"/>
            <w:tcBorders>
              <w:bottom w:val="single" w:sz="4" w:space="0" w:color="auto"/>
            </w:tcBorders>
            <w:shd w:val="clear" w:color="auto" w:fill="auto"/>
            <w:vAlign w:val="bottom"/>
          </w:tcPr>
          <w:p w14:paraId="38E3B30E" w14:textId="316F9328" w:rsidR="008647A6" w:rsidRPr="002D2F67" w:rsidRDefault="008647A6" w:rsidP="005611FE">
            <w:pPr>
              <w:ind w:right="-72"/>
              <w:jc w:val="right"/>
              <w:rPr>
                <w:rFonts w:ascii="Arial" w:hAnsi="Arial" w:cs="Arial"/>
                <w:color w:val="000000"/>
                <w:sz w:val="20"/>
                <w:szCs w:val="20"/>
              </w:rPr>
            </w:pPr>
            <w:r w:rsidRPr="002D2F67">
              <w:rPr>
                <w:rFonts w:ascii="Arial" w:hAnsi="Arial" w:cs="Arial"/>
                <w:color w:val="000000"/>
                <w:sz w:val="20"/>
                <w:szCs w:val="20"/>
              </w:rPr>
              <w:t>(</w:t>
            </w:r>
            <w:r w:rsidR="00CD5714" w:rsidRPr="00CD5714">
              <w:rPr>
                <w:rFonts w:ascii="Arial" w:hAnsi="Arial" w:cs="Arial"/>
                <w:color w:val="000000"/>
                <w:sz w:val="20"/>
                <w:szCs w:val="20"/>
                <w:lang w:val="en-GB"/>
              </w:rPr>
              <w:t>44</w:t>
            </w:r>
            <w:r w:rsidRPr="002D2F67">
              <w:rPr>
                <w:rFonts w:ascii="Arial" w:hAnsi="Arial" w:cs="Arial"/>
                <w:color w:val="000000"/>
                <w:sz w:val="20"/>
                <w:szCs w:val="20"/>
              </w:rPr>
              <w:t>,</w:t>
            </w:r>
            <w:r w:rsidR="00CD5714" w:rsidRPr="00CD5714">
              <w:rPr>
                <w:rFonts w:ascii="Arial" w:hAnsi="Arial" w:cs="Arial"/>
                <w:color w:val="000000"/>
                <w:sz w:val="20"/>
                <w:szCs w:val="20"/>
                <w:lang w:val="en-GB"/>
              </w:rPr>
              <w:t>184</w:t>
            </w:r>
            <w:r w:rsidRPr="002D2F67">
              <w:rPr>
                <w:rFonts w:ascii="Arial" w:hAnsi="Arial" w:cs="Arial"/>
                <w:color w:val="000000"/>
                <w:sz w:val="20"/>
                <w:szCs w:val="20"/>
              </w:rPr>
              <w:t>)</w:t>
            </w:r>
          </w:p>
        </w:tc>
      </w:tr>
      <w:tr w:rsidR="008647A6" w:rsidRPr="002D2F67" w14:paraId="172C1B2B" w14:textId="77777777" w:rsidTr="005611FE">
        <w:tc>
          <w:tcPr>
            <w:tcW w:w="3690" w:type="dxa"/>
            <w:shd w:val="clear" w:color="auto" w:fill="auto"/>
          </w:tcPr>
          <w:p w14:paraId="77C409EF" w14:textId="77777777" w:rsidR="008647A6" w:rsidRPr="002D2F67" w:rsidRDefault="008647A6" w:rsidP="005611FE">
            <w:pPr>
              <w:tabs>
                <w:tab w:val="left" w:pos="1134"/>
                <w:tab w:val="left" w:pos="1276"/>
                <w:tab w:val="center" w:pos="3402"/>
                <w:tab w:val="center" w:pos="4536"/>
                <w:tab w:val="center" w:pos="5670"/>
                <w:tab w:val="center" w:pos="6804"/>
                <w:tab w:val="right" w:pos="7655"/>
              </w:tabs>
              <w:ind w:left="447" w:right="-72"/>
              <w:rPr>
                <w:rFonts w:ascii="Arial" w:hAnsi="Arial" w:cs="Arial"/>
                <w:color w:val="000000"/>
                <w:sz w:val="20"/>
                <w:szCs w:val="20"/>
              </w:rPr>
            </w:pPr>
          </w:p>
        </w:tc>
        <w:tc>
          <w:tcPr>
            <w:tcW w:w="1440" w:type="dxa"/>
            <w:tcBorders>
              <w:top w:val="single" w:sz="4" w:space="0" w:color="auto"/>
            </w:tcBorders>
            <w:shd w:val="clear" w:color="auto" w:fill="auto"/>
          </w:tcPr>
          <w:p w14:paraId="36BE114F" w14:textId="77777777" w:rsidR="008647A6" w:rsidRPr="002D2F67" w:rsidRDefault="008647A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34AAC45D" w14:textId="77777777" w:rsidR="008647A6" w:rsidRPr="002D2F67" w:rsidRDefault="008647A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163BF443" w14:textId="77777777" w:rsidR="008647A6" w:rsidRPr="002D2F67" w:rsidRDefault="008647A6" w:rsidP="005611FE">
            <w:pPr>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151664F7" w14:textId="77777777" w:rsidR="008647A6" w:rsidRPr="002D2F67" w:rsidRDefault="008647A6" w:rsidP="005611FE">
            <w:pPr>
              <w:ind w:right="-72"/>
              <w:jc w:val="right"/>
              <w:rPr>
                <w:rFonts w:ascii="Arial" w:hAnsi="Arial" w:cs="Arial"/>
                <w:color w:val="000000"/>
                <w:sz w:val="20"/>
                <w:szCs w:val="20"/>
              </w:rPr>
            </w:pPr>
          </w:p>
        </w:tc>
      </w:tr>
      <w:tr w:rsidR="008647A6" w:rsidRPr="002D2F67" w14:paraId="2F081152" w14:textId="77777777" w:rsidTr="005611FE">
        <w:tc>
          <w:tcPr>
            <w:tcW w:w="3690" w:type="dxa"/>
            <w:shd w:val="clear" w:color="auto" w:fill="auto"/>
          </w:tcPr>
          <w:p w14:paraId="121B0662" w14:textId="5CE22C8E" w:rsidR="008647A6" w:rsidRPr="002D2F67" w:rsidRDefault="008647A6" w:rsidP="005611FE">
            <w:pPr>
              <w:tabs>
                <w:tab w:val="left" w:pos="1134"/>
                <w:tab w:val="left" w:pos="1276"/>
                <w:tab w:val="center" w:pos="3402"/>
                <w:tab w:val="center" w:pos="4536"/>
                <w:tab w:val="center" w:pos="5670"/>
                <w:tab w:val="center" w:pos="6804"/>
                <w:tab w:val="right" w:pos="7655"/>
              </w:tabs>
              <w:ind w:left="447" w:right="-72"/>
              <w:rPr>
                <w:rFonts w:ascii="Arial" w:hAnsi="Arial" w:cs="Arial"/>
                <w:color w:val="000000"/>
                <w:sz w:val="20"/>
                <w:szCs w:val="25"/>
              </w:rPr>
            </w:pPr>
            <w:r w:rsidRPr="002D2F67">
              <w:rPr>
                <w:rFonts w:ascii="Arial" w:hAnsi="Arial" w:cs="Arial"/>
                <w:color w:val="000000"/>
                <w:sz w:val="20"/>
                <w:szCs w:val="20"/>
              </w:rPr>
              <w:t>Closing balance</w:t>
            </w:r>
            <w:r w:rsidR="00AC0174" w:rsidRPr="002D2F67">
              <w:rPr>
                <w:rFonts w:ascii="Arial" w:hAnsi="Arial" w:cs="Arial"/>
                <w:color w:val="000000"/>
                <w:sz w:val="20"/>
                <w:szCs w:val="25"/>
              </w:rPr>
              <w:t>, net</w:t>
            </w:r>
          </w:p>
        </w:tc>
        <w:tc>
          <w:tcPr>
            <w:tcW w:w="1440" w:type="dxa"/>
            <w:tcBorders>
              <w:bottom w:val="single" w:sz="4" w:space="0" w:color="auto"/>
            </w:tcBorders>
            <w:shd w:val="clear" w:color="auto" w:fill="auto"/>
          </w:tcPr>
          <w:p w14:paraId="31D09533" w14:textId="5B6875F8" w:rsidR="008647A6" w:rsidRPr="002D2F67" w:rsidRDefault="001B1A34"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tcBorders>
              <w:bottom w:val="single" w:sz="4" w:space="0" w:color="auto"/>
            </w:tcBorders>
            <w:shd w:val="clear" w:color="auto" w:fill="auto"/>
          </w:tcPr>
          <w:p w14:paraId="29F896D4" w14:textId="34A56B4C" w:rsidR="008647A6" w:rsidRPr="002D2F67" w:rsidRDefault="008647A6"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440" w:type="dxa"/>
            <w:tcBorders>
              <w:bottom w:val="single" w:sz="4" w:space="0" w:color="auto"/>
            </w:tcBorders>
            <w:shd w:val="clear" w:color="auto" w:fill="auto"/>
          </w:tcPr>
          <w:p w14:paraId="40BEF990" w14:textId="27C3E80E" w:rsidR="008647A6"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583</w:t>
            </w:r>
            <w:r w:rsidR="001B1A34" w:rsidRPr="002D2F67">
              <w:rPr>
                <w:rFonts w:ascii="Arial" w:hAnsi="Arial" w:cs="Arial"/>
                <w:color w:val="000000"/>
                <w:sz w:val="20"/>
                <w:szCs w:val="20"/>
              </w:rPr>
              <w:t>,</w:t>
            </w:r>
            <w:r w:rsidRPr="00CD5714">
              <w:rPr>
                <w:rFonts w:ascii="Arial" w:hAnsi="Arial" w:cs="Arial"/>
                <w:color w:val="000000"/>
                <w:sz w:val="20"/>
                <w:szCs w:val="20"/>
                <w:lang w:val="en-GB"/>
              </w:rPr>
              <w:t>079</w:t>
            </w:r>
          </w:p>
        </w:tc>
        <w:tc>
          <w:tcPr>
            <w:tcW w:w="1440" w:type="dxa"/>
            <w:tcBorders>
              <w:bottom w:val="single" w:sz="4" w:space="0" w:color="auto"/>
            </w:tcBorders>
            <w:shd w:val="clear" w:color="auto" w:fill="auto"/>
          </w:tcPr>
          <w:p w14:paraId="7978EC24" w14:textId="03847D19" w:rsidR="008647A6"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627</w:t>
            </w:r>
            <w:r w:rsidR="008647A6" w:rsidRPr="002D2F67">
              <w:rPr>
                <w:rFonts w:ascii="Arial" w:hAnsi="Arial" w:cs="Arial"/>
                <w:color w:val="000000"/>
                <w:sz w:val="20"/>
                <w:szCs w:val="20"/>
              </w:rPr>
              <w:t>,</w:t>
            </w:r>
            <w:r w:rsidRPr="00CD5714">
              <w:rPr>
                <w:rFonts w:ascii="Arial" w:hAnsi="Arial" w:cs="Arial"/>
                <w:color w:val="000000"/>
                <w:sz w:val="20"/>
                <w:szCs w:val="20"/>
                <w:lang w:val="en-GB"/>
              </w:rPr>
              <w:t>505</w:t>
            </w:r>
          </w:p>
        </w:tc>
      </w:tr>
    </w:tbl>
    <w:p w14:paraId="67F6A4B4" w14:textId="77777777" w:rsidR="003D4DDD" w:rsidRPr="002D2F67" w:rsidRDefault="003D4DDD" w:rsidP="002533A1">
      <w:pPr>
        <w:pStyle w:val="Header"/>
        <w:rPr>
          <w:rFonts w:ascii="Arial" w:hAnsi="Arial" w:cs="Arial"/>
          <w:color w:val="000000"/>
          <w:sz w:val="20"/>
          <w:szCs w:val="20"/>
        </w:rPr>
      </w:pPr>
    </w:p>
    <w:p w14:paraId="3FF07B6F" w14:textId="65A6F7AE" w:rsidR="001E6C66" w:rsidRPr="002D2F67" w:rsidRDefault="00CD5714" w:rsidP="005611FE">
      <w:pPr>
        <w:pStyle w:val="EASUBHEAD6"/>
        <w:rPr>
          <w:b/>
          <w:bCs/>
          <w:color w:val="000000"/>
          <w:sz w:val="20"/>
          <w:szCs w:val="20"/>
        </w:rPr>
      </w:pPr>
      <w:r w:rsidRPr="00CD5714">
        <w:rPr>
          <w:b/>
          <w:bCs/>
          <w:color w:val="000000"/>
          <w:sz w:val="20"/>
          <w:szCs w:val="20"/>
          <w:lang w:val="en-GB"/>
        </w:rPr>
        <w:t>42</w:t>
      </w:r>
      <w:r w:rsidR="001E6C66" w:rsidRPr="002D2F67">
        <w:rPr>
          <w:b/>
          <w:bCs/>
          <w:color w:val="000000"/>
          <w:sz w:val="20"/>
          <w:szCs w:val="20"/>
        </w:rPr>
        <w:t>.</w:t>
      </w:r>
      <w:r w:rsidRPr="00CD5714">
        <w:rPr>
          <w:b/>
          <w:bCs/>
          <w:color w:val="000000"/>
          <w:sz w:val="20"/>
          <w:szCs w:val="20"/>
          <w:lang w:val="en-GB"/>
        </w:rPr>
        <w:t>8</w:t>
      </w:r>
      <w:r w:rsidR="001E6C66" w:rsidRPr="002D2F67">
        <w:rPr>
          <w:b/>
          <w:bCs/>
          <w:color w:val="000000"/>
          <w:sz w:val="20"/>
          <w:szCs w:val="20"/>
        </w:rPr>
        <w:tab/>
        <w:t>Dividend income</w:t>
      </w:r>
    </w:p>
    <w:p w14:paraId="07BC3A9A" w14:textId="77777777" w:rsidR="001E6C66" w:rsidRPr="002D2F67" w:rsidRDefault="001E6C66" w:rsidP="005611FE">
      <w:pPr>
        <w:pStyle w:val="Header"/>
        <w:ind w:left="1080" w:hanging="540"/>
        <w:rPr>
          <w:rFonts w:ascii="Arial" w:hAnsi="Arial" w:cs="Arial"/>
          <w:color w:val="000000"/>
          <w:sz w:val="20"/>
          <w:szCs w:val="20"/>
        </w:rPr>
      </w:pPr>
    </w:p>
    <w:tbl>
      <w:tblPr>
        <w:tblW w:w="9270" w:type="dxa"/>
        <w:tblInd w:w="288" w:type="dxa"/>
        <w:tblLayout w:type="fixed"/>
        <w:tblLook w:val="0000" w:firstRow="0" w:lastRow="0" w:firstColumn="0" w:lastColumn="0" w:noHBand="0" w:noVBand="0"/>
      </w:tblPr>
      <w:tblGrid>
        <w:gridCol w:w="3510"/>
        <w:gridCol w:w="1440"/>
        <w:gridCol w:w="1440"/>
        <w:gridCol w:w="1440"/>
        <w:gridCol w:w="1440"/>
      </w:tblGrid>
      <w:tr w:rsidR="001E6C66" w:rsidRPr="002D2F67" w14:paraId="3FC9FF2A" w14:textId="77777777" w:rsidTr="008255E8">
        <w:tc>
          <w:tcPr>
            <w:tcW w:w="3510" w:type="dxa"/>
            <w:shd w:val="clear" w:color="auto" w:fill="auto"/>
          </w:tcPr>
          <w:p w14:paraId="5B20E14A" w14:textId="77777777" w:rsidR="001E6C66" w:rsidRPr="002D2F67" w:rsidRDefault="001E6C66" w:rsidP="005611FE">
            <w:pPr>
              <w:ind w:left="259"/>
              <w:rPr>
                <w:rFonts w:ascii="Arial" w:hAnsi="Arial" w:cs="Arial"/>
                <w:color w:val="000000"/>
                <w:sz w:val="20"/>
                <w:szCs w:val="20"/>
              </w:rPr>
            </w:pPr>
          </w:p>
        </w:tc>
        <w:tc>
          <w:tcPr>
            <w:tcW w:w="2880" w:type="dxa"/>
            <w:gridSpan w:val="2"/>
            <w:tcBorders>
              <w:bottom w:val="single" w:sz="4" w:space="0" w:color="auto"/>
            </w:tcBorders>
            <w:shd w:val="clear" w:color="auto" w:fill="auto"/>
          </w:tcPr>
          <w:p w14:paraId="176FA854"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31996D31"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2880" w:type="dxa"/>
            <w:gridSpan w:val="2"/>
            <w:tcBorders>
              <w:bottom w:val="single" w:sz="4" w:space="0" w:color="auto"/>
            </w:tcBorders>
            <w:shd w:val="clear" w:color="auto" w:fill="auto"/>
          </w:tcPr>
          <w:p w14:paraId="65FEBFFF"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Separate </w:t>
            </w:r>
          </w:p>
          <w:p w14:paraId="7918999C"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6C3E51" w:rsidRPr="002D2F67" w14:paraId="2225612F" w14:textId="77777777" w:rsidTr="005611FE">
        <w:tc>
          <w:tcPr>
            <w:tcW w:w="3510" w:type="dxa"/>
            <w:shd w:val="clear" w:color="auto" w:fill="auto"/>
          </w:tcPr>
          <w:p w14:paraId="434ED416" w14:textId="3DB66964" w:rsidR="006C3E51" w:rsidRPr="002D2F67" w:rsidRDefault="006C3E51" w:rsidP="005611FE">
            <w:pPr>
              <w:pStyle w:val="Heading4"/>
              <w:ind w:left="259"/>
              <w:rPr>
                <w:rFonts w:ascii="Arial" w:hAnsi="Arial" w:cs="Arial"/>
                <w:color w:val="000000"/>
                <w:spacing w:val="-4"/>
                <w:sz w:val="20"/>
                <w:szCs w:val="20"/>
                <w:lang w:val="en-US" w:eastAsia="en-US"/>
              </w:rPr>
            </w:pPr>
            <w:r w:rsidRPr="002D2F67">
              <w:rPr>
                <w:rFonts w:ascii="Arial" w:hAnsi="Arial" w:cs="Arial"/>
                <w:color w:val="000000"/>
                <w:spacing w:val="-4"/>
                <w:sz w:val="20"/>
                <w:szCs w:val="20"/>
              </w:rPr>
              <w:t>For the year</w:t>
            </w:r>
            <w:r w:rsidRPr="002D2F67">
              <w:rPr>
                <w:rFonts w:ascii="Arial" w:hAnsi="Arial" w:cs="Arial"/>
                <w:color w:val="000000"/>
                <w:spacing w:val="-4"/>
                <w:sz w:val="20"/>
                <w:szCs w:val="20"/>
                <w:lang w:val="en-GB"/>
              </w:rPr>
              <w:t>s</w:t>
            </w:r>
            <w:r w:rsidRPr="002D2F67">
              <w:rPr>
                <w:rFonts w:ascii="Arial" w:hAnsi="Arial" w:cs="Arial"/>
                <w:color w:val="000000"/>
                <w:spacing w:val="-4"/>
                <w:sz w:val="20"/>
                <w:szCs w:val="20"/>
              </w:rPr>
              <w:t xml:space="preserve"> ended </w:t>
            </w:r>
            <w:r w:rsidR="00CD5714" w:rsidRPr="00CD5714">
              <w:rPr>
                <w:rFonts w:ascii="Arial" w:hAnsi="Arial" w:cs="Arial"/>
                <w:color w:val="000000"/>
                <w:spacing w:val="-4"/>
                <w:sz w:val="20"/>
                <w:szCs w:val="20"/>
                <w:lang w:val="en-GB"/>
              </w:rPr>
              <w:t>31</w:t>
            </w:r>
            <w:r w:rsidRPr="002D2F67">
              <w:rPr>
                <w:rFonts w:ascii="Arial" w:hAnsi="Arial" w:cs="Arial"/>
                <w:color w:val="000000"/>
                <w:spacing w:val="-4"/>
                <w:sz w:val="20"/>
                <w:szCs w:val="20"/>
              </w:rPr>
              <w:t xml:space="preserve"> December</w:t>
            </w:r>
          </w:p>
        </w:tc>
        <w:tc>
          <w:tcPr>
            <w:tcW w:w="1440" w:type="dxa"/>
            <w:tcBorders>
              <w:top w:val="single" w:sz="4" w:space="0" w:color="auto"/>
            </w:tcBorders>
            <w:shd w:val="clear" w:color="auto" w:fill="auto"/>
          </w:tcPr>
          <w:p w14:paraId="422B2410" w14:textId="4F1150BD" w:rsidR="006C3E51"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40" w:type="dxa"/>
            <w:tcBorders>
              <w:top w:val="single" w:sz="4" w:space="0" w:color="auto"/>
            </w:tcBorders>
            <w:shd w:val="clear" w:color="auto" w:fill="auto"/>
          </w:tcPr>
          <w:p w14:paraId="0C134C03" w14:textId="0AEE269A" w:rsidR="006C3E51"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2023</w:t>
            </w:r>
          </w:p>
        </w:tc>
        <w:tc>
          <w:tcPr>
            <w:tcW w:w="1440" w:type="dxa"/>
            <w:tcBorders>
              <w:top w:val="single" w:sz="4" w:space="0" w:color="auto"/>
            </w:tcBorders>
            <w:shd w:val="clear" w:color="auto" w:fill="auto"/>
          </w:tcPr>
          <w:p w14:paraId="5B57CC88" w14:textId="25D1234F" w:rsidR="006C3E51"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40" w:type="dxa"/>
            <w:tcBorders>
              <w:top w:val="single" w:sz="4" w:space="0" w:color="auto"/>
            </w:tcBorders>
            <w:shd w:val="clear" w:color="auto" w:fill="auto"/>
          </w:tcPr>
          <w:p w14:paraId="524E5526" w14:textId="06D88B9C" w:rsidR="006C3E51"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2023</w:t>
            </w:r>
          </w:p>
        </w:tc>
      </w:tr>
      <w:tr w:rsidR="00506132" w:rsidRPr="002D2F67" w14:paraId="4812DCCD" w14:textId="77777777" w:rsidTr="005611FE">
        <w:tc>
          <w:tcPr>
            <w:tcW w:w="3510" w:type="dxa"/>
            <w:shd w:val="clear" w:color="auto" w:fill="auto"/>
          </w:tcPr>
          <w:p w14:paraId="0F0DFB67" w14:textId="77777777" w:rsidR="00506132" w:rsidRPr="002D2F67" w:rsidRDefault="00506132" w:rsidP="005611FE">
            <w:pPr>
              <w:pStyle w:val="Header"/>
              <w:ind w:left="259" w:right="-108"/>
              <w:rPr>
                <w:rFonts w:ascii="Arial" w:hAnsi="Arial" w:cs="Arial"/>
                <w:color w:val="000000"/>
                <w:sz w:val="20"/>
                <w:szCs w:val="20"/>
              </w:rPr>
            </w:pPr>
          </w:p>
        </w:tc>
        <w:tc>
          <w:tcPr>
            <w:tcW w:w="1440" w:type="dxa"/>
            <w:tcBorders>
              <w:bottom w:val="single" w:sz="4" w:space="0" w:color="auto"/>
            </w:tcBorders>
            <w:shd w:val="clear" w:color="auto" w:fill="auto"/>
            <w:vAlign w:val="bottom"/>
          </w:tcPr>
          <w:p w14:paraId="26726228" w14:textId="045DBC17" w:rsidR="00506132" w:rsidRPr="002D2F67" w:rsidRDefault="00506132"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vAlign w:val="bottom"/>
          </w:tcPr>
          <w:p w14:paraId="0D2C53CE" w14:textId="1CE343C8" w:rsidR="00506132" w:rsidRPr="002D2F67" w:rsidRDefault="00506132"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vAlign w:val="bottom"/>
          </w:tcPr>
          <w:p w14:paraId="7897ACF2" w14:textId="2D50A428" w:rsidR="00506132" w:rsidRPr="002D2F67" w:rsidRDefault="00506132"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vAlign w:val="bottom"/>
          </w:tcPr>
          <w:p w14:paraId="6DD2B912" w14:textId="2BD3111F" w:rsidR="00506132" w:rsidRPr="002D2F67" w:rsidRDefault="00506132"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1E6C66" w:rsidRPr="002D2F67" w14:paraId="764275F8" w14:textId="77777777" w:rsidTr="005611FE">
        <w:tc>
          <w:tcPr>
            <w:tcW w:w="3510" w:type="dxa"/>
            <w:shd w:val="clear" w:color="auto" w:fill="auto"/>
          </w:tcPr>
          <w:p w14:paraId="16AD88A8"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left="259"/>
              <w:rPr>
                <w:rFonts w:ascii="Arial" w:hAnsi="Arial" w:cs="Arial"/>
                <w:color w:val="000000"/>
                <w:sz w:val="20"/>
                <w:szCs w:val="20"/>
              </w:rPr>
            </w:pPr>
          </w:p>
        </w:tc>
        <w:tc>
          <w:tcPr>
            <w:tcW w:w="1440" w:type="dxa"/>
            <w:tcBorders>
              <w:top w:val="single" w:sz="4" w:space="0" w:color="auto"/>
            </w:tcBorders>
            <w:shd w:val="clear" w:color="auto" w:fill="auto"/>
          </w:tcPr>
          <w:p w14:paraId="1A6042E4"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79F2DE98"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75526F24"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767EB714" w14:textId="77777777" w:rsidR="001E6C66" w:rsidRPr="002D2F67" w:rsidRDefault="001E6C66" w:rsidP="005611FE">
            <w:pPr>
              <w:ind w:right="-72"/>
              <w:jc w:val="right"/>
              <w:rPr>
                <w:rFonts w:ascii="Arial" w:hAnsi="Arial" w:cs="Arial"/>
                <w:color w:val="000000"/>
                <w:sz w:val="20"/>
                <w:szCs w:val="20"/>
              </w:rPr>
            </w:pPr>
          </w:p>
        </w:tc>
      </w:tr>
      <w:tr w:rsidR="005511A2" w:rsidRPr="002D2F67" w14:paraId="75A0DF2C" w14:textId="77777777" w:rsidTr="005611FE">
        <w:trPr>
          <w:trHeight w:val="74"/>
        </w:trPr>
        <w:tc>
          <w:tcPr>
            <w:tcW w:w="3510" w:type="dxa"/>
            <w:shd w:val="clear" w:color="auto" w:fill="auto"/>
          </w:tcPr>
          <w:p w14:paraId="6EB4A719" w14:textId="276C045C" w:rsidR="005511A2" w:rsidRPr="002D2F67" w:rsidRDefault="00386DC1" w:rsidP="005611FE">
            <w:pPr>
              <w:pStyle w:val="Heading4"/>
              <w:ind w:left="259"/>
              <w:rPr>
                <w:rFonts w:ascii="Arial" w:hAnsi="Arial" w:cs="Arial"/>
                <w:b w:val="0"/>
                <w:bCs w:val="0"/>
                <w:color w:val="000000"/>
                <w:spacing w:val="-4"/>
                <w:sz w:val="20"/>
                <w:szCs w:val="20"/>
                <w:lang w:val="en-US" w:eastAsia="en-US"/>
              </w:rPr>
            </w:pPr>
            <w:r w:rsidRPr="002D2F67">
              <w:rPr>
                <w:rFonts w:ascii="Arial" w:hAnsi="Arial" w:cs="Arial"/>
                <w:b w:val="0"/>
                <w:bCs w:val="0"/>
                <w:color w:val="000000"/>
                <w:sz w:val="20"/>
                <w:szCs w:val="20"/>
                <w:lang w:val="en-US" w:eastAsia="en-US"/>
              </w:rPr>
              <w:t>S</w:t>
            </w:r>
            <w:r w:rsidR="005511A2" w:rsidRPr="002D2F67">
              <w:rPr>
                <w:rFonts w:ascii="Arial" w:hAnsi="Arial" w:cs="Arial"/>
                <w:b w:val="0"/>
                <w:bCs w:val="0"/>
                <w:color w:val="000000"/>
                <w:sz w:val="20"/>
                <w:szCs w:val="20"/>
                <w:lang w:val="en-US" w:eastAsia="en-US"/>
              </w:rPr>
              <w:t>ubsidiaries</w:t>
            </w:r>
          </w:p>
        </w:tc>
        <w:tc>
          <w:tcPr>
            <w:tcW w:w="1440" w:type="dxa"/>
            <w:tcBorders>
              <w:bottom w:val="single" w:sz="4" w:space="0" w:color="auto"/>
            </w:tcBorders>
            <w:shd w:val="clear" w:color="auto" w:fill="auto"/>
          </w:tcPr>
          <w:p w14:paraId="237B5B9A" w14:textId="4A52D3B8" w:rsidR="005511A2" w:rsidRPr="002D2F67" w:rsidRDefault="001B1A34" w:rsidP="005611FE">
            <w:pPr>
              <w:pStyle w:val="MacroText"/>
              <w:tabs>
                <w:tab w:val="clear" w:pos="480"/>
                <w:tab w:val="clear" w:pos="960"/>
                <w:tab w:val="clear" w:pos="1440"/>
                <w:tab w:val="clear" w:pos="1920"/>
                <w:tab w:val="clear" w:pos="2400"/>
                <w:tab w:val="clear" w:pos="2880"/>
                <w:tab w:val="clear" w:pos="3360"/>
                <w:tab w:val="clear" w:pos="3840"/>
                <w:tab w:val="clear" w:pos="4320"/>
                <w:tab w:val="left" w:pos="1126"/>
              </w:tabs>
              <w:ind w:right="-72"/>
              <w:jc w:val="right"/>
              <w:rPr>
                <w:rFonts w:cs="Arial"/>
                <w:color w:val="000000"/>
                <w:cs/>
              </w:rPr>
            </w:pPr>
            <w:r w:rsidRPr="002D2F67">
              <w:rPr>
                <w:rFonts w:cs="Arial"/>
                <w:color w:val="000000"/>
              </w:rPr>
              <w:t>-</w:t>
            </w:r>
          </w:p>
        </w:tc>
        <w:tc>
          <w:tcPr>
            <w:tcW w:w="1440" w:type="dxa"/>
            <w:tcBorders>
              <w:bottom w:val="single" w:sz="4" w:space="0" w:color="auto"/>
            </w:tcBorders>
            <w:shd w:val="clear" w:color="auto" w:fill="auto"/>
          </w:tcPr>
          <w:p w14:paraId="4E75DD9D" w14:textId="1634CA95" w:rsidR="005511A2" w:rsidRPr="002D2F67" w:rsidRDefault="005511A2" w:rsidP="005611FE">
            <w:pPr>
              <w:pStyle w:val="MacroText"/>
              <w:tabs>
                <w:tab w:val="clear" w:pos="480"/>
                <w:tab w:val="clear" w:pos="960"/>
                <w:tab w:val="clear" w:pos="1440"/>
                <w:tab w:val="clear" w:pos="1920"/>
                <w:tab w:val="clear" w:pos="2400"/>
                <w:tab w:val="clear" w:pos="2880"/>
                <w:tab w:val="clear" w:pos="3360"/>
                <w:tab w:val="clear" w:pos="3840"/>
                <w:tab w:val="clear" w:pos="4320"/>
                <w:tab w:val="left" w:pos="1126"/>
              </w:tabs>
              <w:ind w:right="-72"/>
              <w:jc w:val="right"/>
              <w:rPr>
                <w:rFonts w:cs="Arial"/>
                <w:color w:val="000000"/>
                <w:cs/>
              </w:rPr>
            </w:pPr>
            <w:r w:rsidRPr="002D2F67">
              <w:rPr>
                <w:rFonts w:cs="Arial"/>
                <w:color w:val="000000"/>
              </w:rPr>
              <w:t>-</w:t>
            </w:r>
          </w:p>
        </w:tc>
        <w:tc>
          <w:tcPr>
            <w:tcW w:w="1440" w:type="dxa"/>
            <w:tcBorders>
              <w:bottom w:val="single" w:sz="4" w:space="0" w:color="auto"/>
            </w:tcBorders>
            <w:shd w:val="clear" w:color="auto" w:fill="auto"/>
          </w:tcPr>
          <w:p w14:paraId="1AC3B27E" w14:textId="171CD061" w:rsidR="005511A2" w:rsidRPr="002D2F67" w:rsidRDefault="00CD5714" w:rsidP="005611FE">
            <w:pPr>
              <w:pStyle w:val="MacroText"/>
              <w:tabs>
                <w:tab w:val="clear" w:pos="480"/>
                <w:tab w:val="clear" w:pos="960"/>
                <w:tab w:val="clear" w:pos="1440"/>
                <w:tab w:val="clear" w:pos="1920"/>
                <w:tab w:val="clear" w:pos="2400"/>
                <w:tab w:val="clear" w:pos="2880"/>
                <w:tab w:val="clear" w:pos="3360"/>
                <w:tab w:val="clear" w:pos="3840"/>
                <w:tab w:val="clear" w:pos="4320"/>
                <w:tab w:val="left" w:pos="1126"/>
              </w:tabs>
              <w:ind w:right="-72"/>
              <w:jc w:val="right"/>
              <w:rPr>
                <w:rFonts w:cs="Arial"/>
                <w:color w:val="000000"/>
                <w:cs/>
              </w:rPr>
            </w:pPr>
            <w:r w:rsidRPr="00CD5714">
              <w:rPr>
                <w:rFonts w:cs="Arial"/>
                <w:color w:val="000000"/>
                <w:lang w:val="en-GB"/>
              </w:rPr>
              <w:t>1</w:t>
            </w:r>
            <w:r w:rsidR="001B1A34" w:rsidRPr="002D2F67">
              <w:rPr>
                <w:rFonts w:cs="Arial"/>
                <w:color w:val="000000"/>
              </w:rPr>
              <w:t>,</w:t>
            </w:r>
            <w:r w:rsidRPr="00CD5714">
              <w:rPr>
                <w:rFonts w:cs="Arial"/>
                <w:color w:val="000000"/>
                <w:lang w:val="en-GB"/>
              </w:rPr>
              <w:t>956</w:t>
            </w:r>
            <w:r w:rsidR="001B1A34" w:rsidRPr="002D2F67">
              <w:rPr>
                <w:rFonts w:cs="Arial"/>
                <w:color w:val="000000"/>
              </w:rPr>
              <w:t>,</w:t>
            </w:r>
            <w:r w:rsidRPr="00CD5714">
              <w:rPr>
                <w:rFonts w:cs="Arial"/>
                <w:color w:val="000000"/>
                <w:lang w:val="en-GB"/>
              </w:rPr>
              <w:t>263</w:t>
            </w:r>
          </w:p>
        </w:tc>
        <w:tc>
          <w:tcPr>
            <w:tcW w:w="1440" w:type="dxa"/>
            <w:tcBorders>
              <w:bottom w:val="single" w:sz="4" w:space="0" w:color="auto"/>
            </w:tcBorders>
            <w:shd w:val="clear" w:color="auto" w:fill="auto"/>
          </w:tcPr>
          <w:p w14:paraId="60A3592C" w14:textId="1E462A90" w:rsidR="005511A2" w:rsidRPr="002D2F67" w:rsidRDefault="00CD5714" w:rsidP="005611FE">
            <w:pPr>
              <w:pStyle w:val="MacroText"/>
              <w:tabs>
                <w:tab w:val="clear" w:pos="480"/>
                <w:tab w:val="clear" w:pos="960"/>
                <w:tab w:val="clear" w:pos="1440"/>
                <w:tab w:val="clear" w:pos="1920"/>
                <w:tab w:val="clear" w:pos="2400"/>
                <w:tab w:val="clear" w:pos="2880"/>
                <w:tab w:val="clear" w:pos="3360"/>
                <w:tab w:val="clear" w:pos="3840"/>
                <w:tab w:val="clear" w:pos="4320"/>
                <w:tab w:val="left" w:pos="1126"/>
              </w:tabs>
              <w:ind w:right="-72"/>
              <w:jc w:val="right"/>
              <w:rPr>
                <w:rFonts w:cs="Arial"/>
                <w:color w:val="000000"/>
                <w:cs/>
              </w:rPr>
            </w:pPr>
            <w:r w:rsidRPr="00CD5714">
              <w:rPr>
                <w:rFonts w:cs="Arial"/>
                <w:color w:val="000000"/>
                <w:lang w:val="en-GB"/>
              </w:rPr>
              <w:t>11</w:t>
            </w:r>
            <w:r w:rsidR="005511A2" w:rsidRPr="002D2F67">
              <w:rPr>
                <w:rFonts w:cs="Arial"/>
                <w:color w:val="000000"/>
              </w:rPr>
              <w:t>,</w:t>
            </w:r>
            <w:r w:rsidRPr="00CD5714">
              <w:rPr>
                <w:rFonts w:cs="Arial"/>
                <w:color w:val="000000"/>
                <w:lang w:val="en-GB"/>
              </w:rPr>
              <w:t>932</w:t>
            </w:r>
            <w:r w:rsidR="005511A2" w:rsidRPr="002D2F67">
              <w:rPr>
                <w:rFonts w:cs="Arial"/>
                <w:color w:val="000000"/>
              </w:rPr>
              <w:t>,</w:t>
            </w:r>
            <w:r w:rsidRPr="00CD5714">
              <w:rPr>
                <w:rFonts w:cs="Arial"/>
                <w:color w:val="000000"/>
                <w:lang w:val="en-GB"/>
              </w:rPr>
              <w:t>546</w:t>
            </w:r>
          </w:p>
        </w:tc>
      </w:tr>
      <w:tr w:rsidR="005511A2" w:rsidRPr="002D2F67" w14:paraId="01A9AC6C" w14:textId="77777777" w:rsidTr="005611FE">
        <w:trPr>
          <w:trHeight w:val="126"/>
        </w:trPr>
        <w:tc>
          <w:tcPr>
            <w:tcW w:w="3510" w:type="dxa"/>
            <w:shd w:val="clear" w:color="auto" w:fill="auto"/>
          </w:tcPr>
          <w:p w14:paraId="379E944B" w14:textId="77777777" w:rsidR="005511A2" w:rsidRPr="002D2F67" w:rsidRDefault="005511A2" w:rsidP="005611FE">
            <w:pPr>
              <w:ind w:left="259"/>
              <w:jc w:val="both"/>
              <w:rPr>
                <w:rFonts w:ascii="Arial" w:hAnsi="Arial" w:cs="Arial"/>
                <w:color w:val="000000"/>
                <w:sz w:val="20"/>
                <w:szCs w:val="20"/>
              </w:rPr>
            </w:pPr>
          </w:p>
        </w:tc>
        <w:tc>
          <w:tcPr>
            <w:tcW w:w="1440" w:type="dxa"/>
            <w:tcBorders>
              <w:top w:val="single" w:sz="4" w:space="0" w:color="auto"/>
            </w:tcBorders>
            <w:shd w:val="clear" w:color="auto" w:fill="auto"/>
          </w:tcPr>
          <w:p w14:paraId="59ABDE15" w14:textId="77777777" w:rsidR="005511A2" w:rsidRPr="002D2F67" w:rsidRDefault="005511A2" w:rsidP="005611FE">
            <w:pPr>
              <w:pStyle w:val="MacroText"/>
              <w:tabs>
                <w:tab w:val="clear" w:pos="480"/>
                <w:tab w:val="clear" w:pos="960"/>
                <w:tab w:val="clear" w:pos="1440"/>
                <w:tab w:val="clear" w:pos="1920"/>
                <w:tab w:val="clear" w:pos="2400"/>
                <w:tab w:val="clear" w:pos="2880"/>
                <w:tab w:val="clear" w:pos="3360"/>
                <w:tab w:val="clear" w:pos="3840"/>
                <w:tab w:val="clear" w:pos="4320"/>
                <w:tab w:val="left" w:pos="1126"/>
              </w:tabs>
              <w:ind w:right="-72"/>
              <w:jc w:val="right"/>
              <w:rPr>
                <w:rFonts w:cs="Arial"/>
                <w:color w:val="000000"/>
                <w:cs/>
              </w:rPr>
            </w:pPr>
          </w:p>
        </w:tc>
        <w:tc>
          <w:tcPr>
            <w:tcW w:w="1440" w:type="dxa"/>
            <w:tcBorders>
              <w:top w:val="single" w:sz="4" w:space="0" w:color="auto"/>
            </w:tcBorders>
            <w:shd w:val="clear" w:color="auto" w:fill="auto"/>
          </w:tcPr>
          <w:p w14:paraId="3173A77E" w14:textId="77777777" w:rsidR="005511A2" w:rsidRPr="002D2F67" w:rsidRDefault="005511A2" w:rsidP="005611FE">
            <w:pPr>
              <w:pStyle w:val="MacroText"/>
              <w:tabs>
                <w:tab w:val="clear" w:pos="480"/>
                <w:tab w:val="clear" w:pos="960"/>
                <w:tab w:val="clear" w:pos="1440"/>
                <w:tab w:val="clear" w:pos="1920"/>
                <w:tab w:val="clear" w:pos="2400"/>
                <w:tab w:val="clear" w:pos="2880"/>
                <w:tab w:val="clear" w:pos="3360"/>
                <w:tab w:val="clear" w:pos="3840"/>
                <w:tab w:val="clear" w:pos="4320"/>
                <w:tab w:val="left" w:pos="1126"/>
              </w:tabs>
              <w:ind w:right="-72"/>
              <w:jc w:val="right"/>
              <w:rPr>
                <w:rFonts w:cs="Arial"/>
                <w:color w:val="000000"/>
                <w:cs/>
              </w:rPr>
            </w:pPr>
          </w:p>
        </w:tc>
        <w:tc>
          <w:tcPr>
            <w:tcW w:w="1440" w:type="dxa"/>
            <w:tcBorders>
              <w:top w:val="single" w:sz="4" w:space="0" w:color="auto"/>
            </w:tcBorders>
            <w:shd w:val="clear" w:color="auto" w:fill="auto"/>
          </w:tcPr>
          <w:p w14:paraId="3CED5AC6" w14:textId="77777777" w:rsidR="005511A2" w:rsidRPr="002D2F67" w:rsidRDefault="005511A2" w:rsidP="005611FE">
            <w:pPr>
              <w:pStyle w:val="MacroText"/>
              <w:tabs>
                <w:tab w:val="clear" w:pos="480"/>
                <w:tab w:val="clear" w:pos="960"/>
                <w:tab w:val="clear" w:pos="1440"/>
                <w:tab w:val="clear" w:pos="1920"/>
                <w:tab w:val="clear" w:pos="2400"/>
                <w:tab w:val="clear" w:pos="2880"/>
                <w:tab w:val="clear" w:pos="3360"/>
                <w:tab w:val="clear" w:pos="3840"/>
                <w:tab w:val="clear" w:pos="4320"/>
                <w:tab w:val="left" w:pos="1126"/>
              </w:tabs>
              <w:ind w:right="-72"/>
              <w:jc w:val="right"/>
              <w:rPr>
                <w:rFonts w:cs="Arial"/>
                <w:color w:val="000000"/>
                <w:cs/>
              </w:rPr>
            </w:pPr>
          </w:p>
        </w:tc>
        <w:tc>
          <w:tcPr>
            <w:tcW w:w="1440" w:type="dxa"/>
            <w:tcBorders>
              <w:top w:val="single" w:sz="4" w:space="0" w:color="auto"/>
            </w:tcBorders>
            <w:shd w:val="clear" w:color="auto" w:fill="auto"/>
          </w:tcPr>
          <w:p w14:paraId="78C03B23" w14:textId="77777777" w:rsidR="005511A2" w:rsidRPr="002D2F67" w:rsidRDefault="005511A2" w:rsidP="005611FE">
            <w:pPr>
              <w:pStyle w:val="MacroText"/>
              <w:tabs>
                <w:tab w:val="clear" w:pos="480"/>
                <w:tab w:val="clear" w:pos="960"/>
                <w:tab w:val="clear" w:pos="1440"/>
                <w:tab w:val="clear" w:pos="1920"/>
                <w:tab w:val="clear" w:pos="2400"/>
                <w:tab w:val="clear" w:pos="2880"/>
                <w:tab w:val="clear" w:pos="3360"/>
                <w:tab w:val="clear" w:pos="3840"/>
                <w:tab w:val="clear" w:pos="4320"/>
                <w:tab w:val="left" w:pos="1126"/>
              </w:tabs>
              <w:ind w:right="-72"/>
              <w:jc w:val="right"/>
              <w:rPr>
                <w:rFonts w:cs="Arial"/>
                <w:color w:val="000000"/>
                <w:cs/>
              </w:rPr>
            </w:pPr>
          </w:p>
        </w:tc>
      </w:tr>
      <w:tr w:rsidR="005511A2" w:rsidRPr="002D2F67" w14:paraId="753102FA" w14:textId="77777777" w:rsidTr="005611FE">
        <w:trPr>
          <w:trHeight w:val="126"/>
        </w:trPr>
        <w:tc>
          <w:tcPr>
            <w:tcW w:w="3510" w:type="dxa"/>
            <w:shd w:val="clear" w:color="auto" w:fill="auto"/>
          </w:tcPr>
          <w:p w14:paraId="654864B4" w14:textId="77777777" w:rsidR="005511A2" w:rsidRPr="002D2F67" w:rsidRDefault="005511A2" w:rsidP="005611FE">
            <w:pPr>
              <w:ind w:left="259"/>
              <w:rPr>
                <w:rFonts w:ascii="Arial" w:hAnsi="Arial" w:cs="Arial"/>
                <w:color w:val="000000"/>
                <w:sz w:val="20"/>
                <w:szCs w:val="20"/>
              </w:rPr>
            </w:pPr>
          </w:p>
        </w:tc>
        <w:tc>
          <w:tcPr>
            <w:tcW w:w="1440" w:type="dxa"/>
            <w:tcBorders>
              <w:bottom w:val="single" w:sz="4" w:space="0" w:color="auto"/>
            </w:tcBorders>
            <w:shd w:val="clear" w:color="auto" w:fill="auto"/>
          </w:tcPr>
          <w:p w14:paraId="254C3372" w14:textId="6691133B" w:rsidR="005511A2" w:rsidRPr="002D2F67" w:rsidRDefault="001B1A34" w:rsidP="005611FE">
            <w:pPr>
              <w:pStyle w:val="MacroText"/>
              <w:tabs>
                <w:tab w:val="clear" w:pos="480"/>
                <w:tab w:val="clear" w:pos="960"/>
                <w:tab w:val="clear" w:pos="1440"/>
                <w:tab w:val="clear" w:pos="1920"/>
                <w:tab w:val="clear" w:pos="2400"/>
                <w:tab w:val="clear" w:pos="2880"/>
                <w:tab w:val="clear" w:pos="3360"/>
                <w:tab w:val="clear" w:pos="3840"/>
                <w:tab w:val="clear" w:pos="4320"/>
                <w:tab w:val="left" w:pos="1126"/>
              </w:tabs>
              <w:ind w:right="-72"/>
              <w:jc w:val="right"/>
              <w:rPr>
                <w:rFonts w:cs="Arial"/>
                <w:color w:val="000000"/>
              </w:rPr>
            </w:pPr>
            <w:r w:rsidRPr="002D2F67">
              <w:rPr>
                <w:rFonts w:cs="Arial"/>
                <w:color w:val="000000"/>
              </w:rPr>
              <w:t>-</w:t>
            </w:r>
          </w:p>
        </w:tc>
        <w:tc>
          <w:tcPr>
            <w:tcW w:w="1440" w:type="dxa"/>
            <w:tcBorders>
              <w:bottom w:val="single" w:sz="4" w:space="0" w:color="auto"/>
            </w:tcBorders>
            <w:shd w:val="clear" w:color="auto" w:fill="auto"/>
          </w:tcPr>
          <w:p w14:paraId="775E6A7C" w14:textId="0F3935C0" w:rsidR="005511A2" w:rsidRPr="002D2F67" w:rsidRDefault="005511A2" w:rsidP="005611FE">
            <w:pPr>
              <w:pStyle w:val="MacroText"/>
              <w:tabs>
                <w:tab w:val="clear" w:pos="480"/>
                <w:tab w:val="clear" w:pos="960"/>
                <w:tab w:val="clear" w:pos="1440"/>
                <w:tab w:val="clear" w:pos="1920"/>
                <w:tab w:val="clear" w:pos="2400"/>
                <w:tab w:val="clear" w:pos="2880"/>
                <w:tab w:val="clear" w:pos="3360"/>
                <w:tab w:val="clear" w:pos="3840"/>
                <w:tab w:val="clear" w:pos="4320"/>
                <w:tab w:val="left" w:pos="1126"/>
              </w:tabs>
              <w:ind w:right="-72"/>
              <w:jc w:val="right"/>
              <w:rPr>
                <w:rFonts w:cs="Arial"/>
                <w:color w:val="000000"/>
              </w:rPr>
            </w:pPr>
            <w:r w:rsidRPr="002D2F67">
              <w:rPr>
                <w:rFonts w:cs="Arial"/>
                <w:color w:val="000000"/>
              </w:rPr>
              <w:t>-</w:t>
            </w:r>
          </w:p>
        </w:tc>
        <w:tc>
          <w:tcPr>
            <w:tcW w:w="1440" w:type="dxa"/>
            <w:tcBorders>
              <w:bottom w:val="single" w:sz="4" w:space="0" w:color="auto"/>
            </w:tcBorders>
            <w:shd w:val="clear" w:color="auto" w:fill="auto"/>
          </w:tcPr>
          <w:p w14:paraId="7C282196" w14:textId="77E27DCA" w:rsidR="005511A2" w:rsidRPr="002D2F67" w:rsidRDefault="00CD5714" w:rsidP="005611FE">
            <w:pPr>
              <w:pStyle w:val="MacroText"/>
              <w:tabs>
                <w:tab w:val="clear" w:pos="480"/>
                <w:tab w:val="clear" w:pos="960"/>
                <w:tab w:val="clear" w:pos="1440"/>
                <w:tab w:val="clear" w:pos="1920"/>
                <w:tab w:val="clear" w:pos="2400"/>
                <w:tab w:val="clear" w:pos="2880"/>
                <w:tab w:val="clear" w:pos="3360"/>
                <w:tab w:val="clear" w:pos="3840"/>
                <w:tab w:val="clear" w:pos="4320"/>
                <w:tab w:val="left" w:pos="1126"/>
              </w:tabs>
              <w:ind w:right="-72"/>
              <w:jc w:val="right"/>
              <w:rPr>
                <w:rFonts w:cs="Arial"/>
                <w:color w:val="000000"/>
              </w:rPr>
            </w:pPr>
            <w:r w:rsidRPr="00CD5714">
              <w:rPr>
                <w:rFonts w:cs="Arial"/>
                <w:color w:val="000000"/>
                <w:lang w:val="en-GB"/>
              </w:rPr>
              <w:t>1</w:t>
            </w:r>
            <w:r w:rsidR="001B1A34" w:rsidRPr="002D2F67">
              <w:rPr>
                <w:rFonts w:cs="Arial"/>
                <w:color w:val="000000"/>
              </w:rPr>
              <w:t>,</w:t>
            </w:r>
            <w:r w:rsidRPr="00CD5714">
              <w:rPr>
                <w:rFonts w:cs="Arial"/>
                <w:color w:val="000000"/>
                <w:lang w:val="en-GB"/>
              </w:rPr>
              <w:t>956</w:t>
            </w:r>
            <w:r w:rsidR="001B1A34" w:rsidRPr="002D2F67">
              <w:rPr>
                <w:rFonts w:cs="Arial"/>
                <w:color w:val="000000"/>
              </w:rPr>
              <w:t>,</w:t>
            </w:r>
            <w:r w:rsidRPr="00CD5714">
              <w:rPr>
                <w:rFonts w:cs="Arial"/>
                <w:color w:val="000000"/>
                <w:lang w:val="en-GB"/>
              </w:rPr>
              <w:t>263</w:t>
            </w:r>
          </w:p>
        </w:tc>
        <w:tc>
          <w:tcPr>
            <w:tcW w:w="1440" w:type="dxa"/>
            <w:tcBorders>
              <w:bottom w:val="single" w:sz="4" w:space="0" w:color="auto"/>
            </w:tcBorders>
            <w:shd w:val="clear" w:color="auto" w:fill="auto"/>
          </w:tcPr>
          <w:p w14:paraId="2A9D7227" w14:textId="7F5C0C10" w:rsidR="005511A2" w:rsidRPr="002D2F67" w:rsidRDefault="00CD5714" w:rsidP="005611FE">
            <w:pPr>
              <w:pStyle w:val="MacroText"/>
              <w:tabs>
                <w:tab w:val="clear" w:pos="480"/>
                <w:tab w:val="clear" w:pos="960"/>
                <w:tab w:val="clear" w:pos="1440"/>
                <w:tab w:val="clear" w:pos="1920"/>
                <w:tab w:val="clear" w:pos="2400"/>
                <w:tab w:val="clear" w:pos="2880"/>
                <w:tab w:val="clear" w:pos="3360"/>
                <w:tab w:val="clear" w:pos="3840"/>
                <w:tab w:val="clear" w:pos="4320"/>
                <w:tab w:val="left" w:pos="1126"/>
              </w:tabs>
              <w:ind w:right="-72"/>
              <w:jc w:val="right"/>
              <w:rPr>
                <w:rFonts w:cs="Arial"/>
                <w:color w:val="000000"/>
              </w:rPr>
            </w:pPr>
            <w:r w:rsidRPr="00CD5714">
              <w:rPr>
                <w:rFonts w:cs="Arial"/>
                <w:color w:val="000000"/>
                <w:lang w:val="en-GB"/>
              </w:rPr>
              <w:t>11</w:t>
            </w:r>
            <w:r w:rsidR="005511A2" w:rsidRPr="002D2F67">
              <w:rPr>
                <w:rFonts w:cs="Arial"/>
                <w:color w:val="000000"/>
              </w:rPr>
              <w:t>,</w:t>
            </w:r>
            <w:r w:rsidRPr="00CD5714">
              <w:rPr>
                <w:rFonts w:cs="Arial"/>
                <w:color w:val="000000"/>
                <w:lang w:val="en-GB"/>
              </w:rPr>
              <w:t>932</w:t>
            </w:r>
            <w:r w:rsidR="005511A2" w:rsidRPr="002D2F67">
              <w:rPr>
                <w:rFonts w:cs="Arial"/>
                <w:color w:val="000000"/>
              </w:rPr>
              <w:t>,</w:t>
            </w:r>
            <w:r w:rsidRPr="00CD5714">
              <w:rPr>
                <w:rFonts w:cs="Arial"/>
                <w:color w:val="000000"/>
                <w:lang w:val="en-GB"/>
              </w:rPr>
              <w:t>546</w:t>
            </w:r>
          </w:p>
        </w:tc>
      </w:tr>
    </w:tbl>
    <w:p w14:paraId="42A8640B" w14:textId="77777777" w:rsidR="00A53BC0" w:rsidRPr="002D2F67" w:rsidRDefault="00A53BC0" w:rsidP="005611FE">
      <w:pPr>
        <w:pStyle w:val="Header"/>
        <w:ind w:left="1080" w:hanging="540"/>
        <w:rPr>
          <w:rFonts w:ascii="Arial" w:hAnsi="Arial" w:cs="Arial"/>
          <w:color w:val="000000"/>
          <w:sz w:val="20"/>
          <w:szCs w:val="20"/>
        </w:rPr>
      </w:pPr>
    </w:p>
    <w:p w14:paraId="2AB0DCF7" w14:textId="22D66F2A" w:rsidR="001E6C66" w:rsidRPr="002D2F67" w:rsidRDefault="00CD5714" w:rsidP="005611FE">
      <w:pPr>
        <w:pStyle w:val="EASUBHEAD6"/>
        <w:rPr>
          <w:b/>
          <w:bCs/>
          <w:color w:val="000000"/>
          <w:sz w:val="20"/>
          <w:szCs w:val="20"/>
        </w:rPr>
      </w:pPr>
      <w:r w:rsidRPr="00CD5714">
        <w:rPr>
          <w:b/>
          <w:bCs/>
          <w:color w:val="000000"/>
          <w:sz w:val="20"/>
          <w:szCs w:val="20"/>
          <w:lang w:val="en-GB"/>
        </w:rPr>
        <w:t>42</w:t>
      </w:r>
      <w:r w:rsidR="001E6C66" w:rsidRPr="002D2F67">
        <w:rPr>
          <w:b/>
          <w:bCs/>
          <w:color w:val="000000"/>
          <w:sz w:val="20"/>
          <w:szCs w:val="20"/>
        </w:rPr>
        <w:t>.</w:t>
      </w:r>
      <w:r w:rsidRPr="00CD5714">
        <w:rPr>
          <w:b/>
          <w:bCs/>
          <w:color w:val="000000"/>
          <w:sz w:val="20"/>
          <w:szCs w:val="20"/>
          <w:lang w:val="en-GB"/>
        </w:rPr>
        <w:t>9</w:t>
      </w:r>
      <w:r w:rsidR="001E6C66" w:rsidRPr="002D2F67">
        <w:rPr>
          <w:b/>
          <w:bCs/>
          <w:color w:val="000000"/>
          <w:sz w:val="20"/>
          <w:szCs w:val="20"/>
        </w:rPr>
        <w:tab/>
        <w:t>Key management compensation</w:t>
      </w:r>
    </w:p>
    <w:p w14:paraId="5E19B3FD" w14:textId="77777777" w:rsidR="001E6C66" w:rsidRPr="002D2F67" w:rsidRDefault="001E6C66" w:rsidP="005611FE">
      <w:pPr>
        <w:pStyle w:val="Header"/>
        <w:ind w:left="1080" w:hanging="540"/>
        <w:rPr>
          <w:rFonts w:ascii="Arial" w:hAnsi="Arial" w:cs="Arial"/>
          <w:color w:val="000000"/>
          <w:sz w:val="20"/>
          <w:szCs w:val="20"/>
        </w:rPr>
      </w:pPr>
    </w:p>
    <w:tbl>
      <w:tblPr>
        <w:tblW w:w="9270" w:type="dxa"/>
        <w:tblInd w:w="288" w:type="dxa"/>
        <w:tblLayout w:type="fixed"/>
        <w:tblLook w:val="0000" w:firstRow="0" w:lastRow="0" w:firstColumn="0" w:lastColumn="0" w:noHBand="0" w:noVBand="0"/>
      </w:tblPr>
      <w:tblGrid>
        <w:gridCol w:w="3510"/>
        <w:gridCol w:w="1440"/>
        <w:gridCol w:w="1440"/>
        <w:gridCol w:w="1440"/>
        <w:gridCol w:w="1440"/>
      </w:tblGrid>
      <w:tr w:rsidR="001E6C66" w:rsidRPr="002D2F67" w14:paraId="69A02B04" w14:textId="77777777" w:rsidTr="008255E8">
        <w:tc>
          <w:tcPr>
            <w:tcW w:w="3510" w:type="dxa"/>
            <w:shd w:val="clear" w:color="auto" w:fill="auto"/>
          </w:tcPr>
          <w:p w14:paraId="1B1ADCF6" w14:textId="77777777" w:rsidR="001E6C66" w:rsidRPr="002D2F67" w:rsidRDefault="001E6C66" w:rsidP="005611FE">
            <w:pPr>
              <w:ind w:left="259"/>
              <w:rPr>
                <w:rFonts w:ascii="Arial" w:hAnsi="Arial" w:cs="Arial"/>
                <w:color w:val="000000"/>
                <w:sz w:val="20"/>
                <w:szCs w:val="20"/>
              </w:rPr>
            </w:pPr>
          </w:p>
        </w:tc>
        <w:tc>
          <w:tcPr>
            <w:tcW w:w="2880" w:type="dxa"/>
            <w:gridSpan w:val="2"/>
            <w:tcBorders>
              <w:bottom w:val="single" w:sz="4" w:space="0" w:color="auto"/>
            </w:tcBorders>
            <w:shd w:val="clear" w:color="auto" w:fill="auto"/>
          </w:tcPr>
          <w:p w14:paraId="709B79FE"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Consolidated </w:t>
            </w:r>
          </w:p>
          <w:p w14:paraId="17A4010F"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c>
          <w:tcPr>
            <w:tcW w:w="2880" w:type="dxa"/>
            <w:gridSpan w:val="2"/>
            <w:tcBorders>
              <w:bottom w:val="single" w:sz="4" w:space="0" w:color="auto"/>
            </w:tcBorders>
            <w:shd w:val="clear" w:color="auto" w:fill="auto"/>
          </w:tcPr>
          <w:p w14:paraId="09C952A0"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 xml:space="preserve">Separate </w:t>
            </w:r>
          </w:p>
          <w:p w14:paraId="0B73841E" w14:textId="77777777" w:rsidR="001E6C66" w:rsidRPr="002D2F67" w:rsidRDefault="001E6C66" w:rsidP="005611FE">
            <w:pPr>
              <w:tabs>
                <w:tab w:val="left" w:pos="709"/>
              </w:tabs>
              <w:ind w:right="-72"/>
              <w:jc w:val="right"/>
              <w:rPr>
                <w:rFonts w:ascii="Arial" w:hAnsi="Arial" w:cs="Arial"/>
                <w:b/>
                <w:bCs/>
                <w:color w:val="000000"/>
                <w:sz w:val="20"/>
                <w:szCs w:val="20"/>
              </w:rPr>
            </w:pPr>
            <w:r w:rsidRPr="002D2F67">
              <w:rPr>
                <w:rFonts w:ascii="Arial" w:hAnsi="Arial" w:cs="Arial"/>
                <w:b/>
                <w:bCs/>
                <w:color w:val="000000"/>
                <w:sz w:val="20"/>
                <w:szCs w:val="20"/>
              </w:rPr>
              <w:t>financial statements</w:t>
            </w:r>
          </w:p>
        </w:tc>
      </w:tr>
      <w:tr w:rsidR="006C3E51" w:rsidRPr="002D2F67" w14:paraId="5A8E3111" w14:textId="77777777" w:rsidTr="005611FE">
        <w:tc>
          <w:tcPr>
            <w:tcW w:w="3510" w:type="dxa"/>
            <w:shd w:val="clear" w:color="auto" w:fill="auto"/>
          </w:tcPr>
          <w:p w14:paraId="409F3A87" w14:textId="78785387" w:rsidR="006C3E51" w:rsidRPr="002D2F67" w:rsidRDefault="006C3E51" w:rsidP="005611FE">
            <w:pPr>
              <w:pStyle w:val="Heading4"/>
              <w:ind w:left="259"/>
              <w:rPr>
                <w:rFonts w:ascii="Arial" w:hAnsi="Arial" w:cs="Arial"/>
                <w:color w:val="000000"/>
                <w:spacing w:val="-4"/>
                <w:sz w:val="20"/>
                <w:szCs w:val="20"/>
                <w:lang w:val="en-US" w:eastAsia="en-US"/>
              </w:rPr>
            </w:pPr>
            <w:r w:rsidRPr="002D2F67">
              <w:rPr>
                <w:rFonts w:ascii="Arial" w:hAnsi="Arial" w:cs="Arial"/>
                <w:color w:val="000000"/>
                <w:spacing w:val="-4"/>
                <w:sz w:val="20"/>
                <w:szCs w:val="20"/>
              </w:rPr>
              <w:t>For the year</w:t>
            </w:r>
            <w:r w:rsidRPr="002D2F67">
              <w:rPr>
                <w:rFonts w:ascii="Arial" w:hAnsi="Arial" w:cs="Arial"/>
                <w:color w:val="000000"/>
                <w:spacing w:val="-4"/>
                <w:sz w:val="20"/>
                <w:szCs w:val="20"/>
                <w:lang w:val="en-GB"/>
              </w:rPr>
              <w:t>s</w:t>
            </w:r>
            <w:r w:rsidRPr="002D2F67">
              <w:rPr>
                <w:rFonts w:ascii="Arial" w:hAnsi="Arial" w:cs="Arial"/>
                <w:color w:val="000000"/>
                <w:spacing w:val="-4"/>
                <w:sz w:val="20"/>
                <w:szCs w:val="20"/>
              </w:rPr>
              <w:t xml:space="preserve"> ended </w:t>
            </w:r>
            <w:r w:rsidR="00CD5714" w:rsidRPr="00CD5714">
              <w:rPr>
                <w:rFonts w:ascii="Arial" w:hAnsi="Arial" w:cs="Arial"/>
                <w:color w:val="000000"/>
                <w:spacing w:val="-4"/>
                <w:sz w:val="20"/>
                <w:szCs w:val="20"/>
                <w:lang w:val="en-GB"/>
              </w:rPr>
              <w:t>31</w:t>
            </w:r>
            <w:r w:rsidRPr="002D2F67">
              <w:rPr>
                <w:rFonts w:ascii="Arial" w:hAnsi="Arial" w:cs="Arial"/>
                <w:color w:val="000000"/>
                <w:spacing w:val="-4"/>
                <w:sz w:val="20"/>
                <w:szCs w:val="20"/>
              </w:rPr>
              <w:t xml:space="preserve"> December</w:t>
            </w:r>
          </w:p>
        </w:tc>
        <w:tc>
          <w:tcPr>
            <w:tcW w:w="1440" w:type="dxa"/>
            <w:tcBorders>
              <w:top w:val="single" w:sz="4" w:space="0" w:color="auto"/>
            </w:tcBorders>
            <w:shd w:val="clear" w:color="auto" w:fill="auto"/>
          </w:tcPr>
          <w:p w14:paraId="37953379" w14:textId="4D7F4568" w:rsidR="006C3E51"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40" w:type="dxa"/>
            <w:tcBorders>
              <w:top w:val="single" w:sz="4" w:space="0" w:color="auto"/>
            </w:tcBorders>
            <w:shd w:val="clear" w:color="auto" w:fill="auto"/>
          </w:tcPr>
          <w:p w14:paraId="71E4680B" w14:textId="3D4EE0C6" w:rsidR="006C3E51"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2023</w:t>
            </w:r>
          </w:p>
        </w:tc>
        <w:tc>
          <w:tcPr>
            <w:tcW w:w="1440" w:type="dxa"/>
            <w:tcBorders>
              <w:top w:val="single" w:sz="4" w:space="0" w:color="auto"/>
            </w:tcBorders>
            <w:shd w:val="clear" w:color="auto" w:fill="auto"/>
          </w:tcPr>
          <w:p w14:paraId="62786BF3" w14:textId="75B7721B" w:rsidR="006C3E51"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1440" w:type="dxa"/>
            <w:tcBorders>
              <w:top w:val="single" w:sz="4" w:space="0" w:color="auto"/>
            </w:tcBorders>
            <w:shd w:val="clear" w:color="auto" w:fill="auto"/>
          </w:tcPr>
          <w:p w14:paraId="40D23027" w14:textId="4566C23C" w:rsidR="006C3E51" w:rsidRPr="002D2F67"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2023</w:t>
            </w:r>
          </w:p>
        </w:tc>
      </w:tr>
      <w:tr w:rsidR="00F01174" w:rsidRPr="002D2F67" w14:paraId="65AAD97C" w14:textId="77777777" w:rsidTr="005611FE">
        <w:tc>
          <w:tcPr>
            <w:tcW w:w="3510" w:type="dxa"/>
            <w:shd w:val="clear" w:color="auto" w:fill="auto"/>
          </w:tcPr>
          <w:p w14:paraId="1BFD3E68" w14:textId="77777777" w:rsidR="00F01174" w:rsidRPr="002D2F67" w:rsidRDefault="00F01174" w:rsidP="005611FE">
            <w:pPr>
              <w:pStyle w:val="Header"/>
              <w:ind w:left="259" w:right="-108"/>
              <w:rPr>
                <w:rFonts w:ascii="Arial" w:hAnsi="Arial" w:cs="Arial"/>
                <w:color w:val="000000"/>
                <w:sz w:val="20"/>
                <w:szCs w:val="20"/>
              </w:rPr>
            </w:pPr>
          </w:p>
        </w:tc>
        <w:tc>
          <w:tcPr>
            <w:tcW w:w="1440" w:type="dxa"/>
            <w:tcBorders>
              <w:bottom w:val="single" w:sz="4" w:space="0" w:color="auto"/>
            </w:tcBorders>
            <w:shd w:val="clear" w:color="auto" w:fill="auto"/>
            <w:vAlign w:val="bottom"/>
          </w:tcPr>
          <w:p w14:paraId="5D4FDE77" w14:textId="245E2222" w:rsidR="00F01174" w:rsidRPr="002D2F67" w:rsidRDefault="00F01174"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vAlign w:val="bottom"/>
          </w:tcPr>
          <w:p w14:paraId="5C166E65" w14:textId="43EA534B" w:rsidR="00F01174" w:rsidRPr="002D2F67" w:rsidRDefault="00F01174"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vAlign w:val="bottom"/>
          </w:tcPr>
          <w:p w14:paraId="6395F97F" w14:textId="5C09E5AB" w:rsidR="00F01174" w:rsidRPr="002D2F67" w:rsidRDefault="00F01174"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c>
          <w:tcPr>
            <w:tcW w:w="1440" w:type="dxa"/>
            <w:tcBorders>
              <w:bottom w:val="single" w:sz="4" w:space="0" w:color="auto"/>
            </w:tcBorders>
            <w:shd w:val="clear" w:color="auto" w:fill="auto"/>
            <w:vAlign w:val="bottom"/>
          </w:tcPr>
          <w:p w14:paraId="0B91710E" w14:textId="47709537" w:rsidR="00F01174" w:rsidRPr="002D2F67" w:rsidRDefault="00F01174" w:rsidP="005611FE">
            <w:pPr>
              <w:ind w:right="-72"/>
              <w:jc w:val="right"/>
              <w:rPr>
                <w:rFonts w:ascii="Arial" w:hAnsi="Arial" w:cs="Arial"/>
                <w:b/>
                <w:bCs/>
                <w:color w:val="000000"/>
                <w:sz w:val="20"/>
                <w:szCs w:val="20"/>
              </w:rPr>
            </w:pPr>
            <w:r w:rsidRPr="002D2F67">
              <w:rPr>
                <w:rFonts w:ascii="Arial" w:hAnsi="Arial" w:cs="Arial"/>
                <w:b/>
                <w:bCs/>
                <w:color w:val="000000"/>
                <w:sz w:val="20"/>
                <w:szCs w:val="20"/>
              </w:rPr>
              <w:t>Baht’</w:t>
            </w:r>
            <w:r w:rsidR="00CD5714" w:rsidRPr="00CD5714">
              <w:rPr>
                <w:rFonts w:ascii="Arial" w:hAnsi="Arial" w:cs="Arial"/>
                <w:b/>
                <w:bCs/>
                <w:color w:val="000000"/>
                <w:sz w:val="20"/>
                <w:szCs w:val="20"/>
                <w:lang w:val="en-GB"/>
              </w:rPr>
              <w:t>000</w:t>
            </w:r>
          </w:p>
        </w:tc>
      </w:tr>
      <w:tr w:rsidR="001E6C66" w:rsidRPr="002D2F67" w14:paraId="2548F10C" w14:textId="77777777" w:rsidTr="005611FE">
        <w:tc>
          <w:tcPr>
            <w:tcW w:w="3510" w:type="dxa"/>
            <w:shd w:val="clear" w:color="auto" w:fill="auto"/>
          </w:tcPr>
          <w:p w14:paraId="66665B1D"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left="259"/>
              <w:rPr>
                <w:rFonts w:ascii="Arial" w:hAnsi="Arial" w:cs="Arial"/>
                <w:color w:val="000000"/>
                <w:sz w:val="20"/>
                <w:szCs w:val="20"/>
              </w:rPr>
            </w:pPr>
          </w:p>
        </w:tc>
        <w:tc>
          <w:tcPr>
            <w:tcW w:w="1440" w:type="dxa"/>
            <w:tcBorders>
              <w:top w:val="single" w:sz="4" w:space="0" w:color="auto"/>
            </w:tcBorders>
            <w:shd w:val="clear" w:color="auto" w:fill="auto"/>
          </w:tcPr>
          <w:p w14:paraId="7FC2450B"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5ADFAB35"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51B805F7" w14:textId="77777777" w:rsidR="001E6C66" w:rsidRPr="002D2F67" w:rsidRDefault="001E6C66"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1BC9BC49" w14:textId="77777777" w:rsidR="001E6C66" w:rsidRPr="002D2F67" w:rsidRDefault="001E6C66" w:rsidP="005611FE">
            <w:pPr>
              <w:ind w:right="-72"/>
              <w:jc w:val="right"/>
              <w:rPr>
                <w:rFonts w:ascii="Arial" w:hAnsi="Arial" w:cs="Arial"/>
                <w:color w:val="000000"/>
                <w:sz w:val="20"/>
                <w:szCs w:val="20"/>
              </w:rPr>
            </w:pPr>
          </w:p>
        </w:tc>
      </w:tr>
      <w:tr w:rsidR="005511A2" w:rsidRPr="002D2F67" w14:paraId="34E13A41" w14:textId="77777777" w:rsidTr="005611FE">
        <w:trPr>
          <w:trHeight w:val="126"/>
        </w:trPr>
        <w:tc>
          <w:tcPr>
            <w:tcW w:w="3510" w:type="dxa"/>
            <w:shd w:val="clear" w:color="auto" w:fill="auto"/>
          </w:tcPr>
          <w:p w14:paraId="7A54197F" w14:textId="77777777" w:rsidR="005511A2" w:rsidRPr="002D2F67" w:rsidRDefault="005511A2" w:rsidP="005611FE">
            <w:pPr>
              <w:tabs>
                <w:tab w:val="left" w:pos="1134"/>
                <w:tab w:val="left" w:pos="1276"/>
                <w:tab w:val="center" w:pos="3402"/>
                <w:tab w:val="center" w:pos="4536"/>
                <w:tab w:val="center" w:pos="5670"/>
                <w:tab w:val="center" w:pos="6804"/>
                <w:tab w:val="right" w:pos="7655"/>
              </w:tabs>
              <w:ind w:left="259" w:right="-72"/>
              <w:rPr>
                <w:rFonts w:ascii="Arial" w:hAnsi="Arial" w:cs="Arial"/>
                <w:color w:val="000000"/>
                <w:spacing w:val="-2"/>
                <w:sz w:val="20"/>
                <w:szCs w:val="20"/>
              </w:rPr>
            </w:pPr>
            <w:r w:rsidRPr="002D2F67">
              <w:rPr>
                <w:rFonts w:ascii="Arial" w:hAnsi="Arial" w:cs="Arial"/>
                <w:color w:val="000000"/>
                <w:spacing w:val="-2"/>
                <w:sz w:val="20"/>
                <w:szCs w:val="20"/>
              </w:rPr>
              <w:t>Short-term employee benefits</w:t>
            </w:r>
          </w:p>
        </w:tc>
        <w:tc>
          <w:tcPr>
            <w:tcW w:w="1440" w:type="dxa"/>
            <w:shd w:val="clear" w:color="auto" w:fill="auto"/>
          </w:tcPr>
          <w:p w14:paraId="07630990" w14:textId="3DF98C22" w:rsidR="005511A2"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187</w:t>
            </w:r>
            <w:r w:rsidR="001B1A34" w:rsidRPr="002D2F67">
              <w:rPr>
                <w:rFonts w:ascii="Arial" w:hAnsi="Arial" w:cs="Arial"/>
                <w:color w:val="000000"/>
                <w:sz w:val="20"/>
                <w:szCs w:val="20"/>
              </w:rPr>
              <w:t>,</w:t>
            </w:r>
            <w:r w:rsidRPr="00CD5714">
              <w:rPr>
                <w:rFonts w:ascii="Arial" w:hAnsi="Arial" w:cs="Arial"/>
                <w:color w:val="000000"/>
                <w:sz w:val="20"/>
                <w:szCs w:val="20"/>
                <w:lang w:val="en-GB"/>
              </w:rPr>
              <w:t>960</w:t>
            </w:r>
          </w:p>
        </w:tc>
        <w:tc>
          <w:tcPr>
            <w:tcW w:w="1440" w:type="dxa"/>
            <w:shd w:val="clear" w:color="auto" w:fill="auto"/>
          </w:tcPr>
          <w:p w14:paraId="7D72867E" w14:textId="100408F3" w:rsidR="005511A2"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216</w:t>
            </w:r>
            <w:r w:rsidR="005511A2" w:rsidRPr="002D2F67">
              <w:rPr>
                <w:rFonts w:ascii="Arial" w:hAnsi="Arial" w:cs="Arial"/>
                <w:color w:val="000000"/>
                <w:sz w:val="20"/>
                <w:szCs w:val="20"/>
              </w:rPr>
              <w:t>,</w:t>
            </w:r>
            <w:r w:rsidRPr="00CD5714">
              <w:rPr>
                <w:rFonts w:ascii="Arial" w:hAnsi="Arial" w:cs="Arial"/>
                <w:color w:val="000000"/>
                <w:sz w:val="20"/>
                <w:szCs w:val="20"/>
                <w:lang w:val="en-GB"/>
              </w:rPr>
              <w:t>887</w:t>
            </w:r>
          </w:p>
        </w:tc>
        <w:tc>
          <w:tcPr>
            <w:tcW w:w="1440" w:type="dxa"/>
            <w:shd w:val="clear" w:color="auto" w:fill="auto"/>
          </w:tcPr>
          <w:p w14:paraId="2D9E7DEB" w14:textId="3457F639" w:rsidR="005511A2"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163</w:t>
            </w:r>
            <w:r w:rsidR="001B1A34" w:rsidRPr="002D2F67">
              <w:rPr>
                <w:rFonts w:ascii="Arial" w:hAnsi="Arial" w:cs="Arial"/>
                <w:color w:val="000000"/>
                <w:sz w:val="20"/>
                <w:szCs w:val="20"/>
              </w:rPr>
              <w:t>,</w:t>
            </w:r>
            <w:r w:rsidRPr="00CD5714">
              <w:rPr>
                <w:rFonts w:ascii="Arial" w:hAnsi="Arial" w:cs="Arial"/>
                <w:color w:val="000000"/>
                <w:sz w:val="20"/>
                <w:szCs w:val="20"/>
                <w:lang w:val="en-GB"/>
              </w:rPr>
              <w:t>453</w:t>
            </w:r>
          </w:p>
        </w:tc>
        <w:tc>
          <w:tcPr>
            <w:tcW w:w="1440" w:type="dxa"/>
            <w:shd w:val="clear" w:color="auto" w:fill="auto"/>
          </w:tcPr>
          <w:p w14:paraId="34517AD0" w14:textId="738DE272" w:rsidR="005511A2"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198</w:t>
            </w:r>
            <w:r w:rsidR="005511A2" w:rsidRPr="002D2F67">
              <w:rPr>
                <w:rFonts w:ascii="Arial" w:hAnsi="Arial" w:cs="Arial"/>
                <w:color w:val="000000"/>
                <w:sz w:val="20"/>
                <w:szCs w:val="20"/>
              </w:rPr>
              <w:t>,</w:t>
            </w:r>
            <w:r w:rsidRPr="00CD5714">
              <w:rPr>
                <w:rFonts w:ascii="Arial" w:hAnsi="Arial" w:cs="Arial"/>
                <w:color w:val="000000"/>
                <w:sz w:val="20"/>
                <w:szCs w:val="20"/>
                <w:lang w:val="en-GB"/>
              </w:rPr>
              <w:t>550</w:t>
            </w:r>
          </w:p>
        </w:tc>
      </w:tr>
      <w:tr w:rsidR="005511A2" w:rsidRPr="002D2F67" w14:paraId="62D34538" w14:textId="77777777" w:rsidTr="005611FE">
        <w:trPr>
          <w:trHeight w:val="126"/>
        </w:trPr>
        <w:tc>
          <w:tcPr>
            <w:tcW w:w="3510" w:type="dxa"/>
            <w:shd w:val="clear" w:color="auto" w:fill="auto"/>
          </w:tcPr>
          <w:p w14:paraId="3F84AE66" w14:textId="77777777" w:rsidR="005511A2" w:rsidRPr="002D2F67" w:rsidRDefault="005511A2" w:rsidP="005611FE">
            <w:pPr>
              <w:tabs>
                <w:tab w:val="left" w:pos="1134"/>
                <w:tab w:val="left" w:pos="1276"/>
                <w:tab w:val="center" w:pos="3402"/>
                <w:tab w:val="center" w:pos="4536"/>
                <w:tab w:val="center" w:pos="5670"/>
                <w:tab w:val="center" w:pos="6804"/>
                <w:tab w:val="right" w:pos="7655"/>
              </w:tabs>
              <w:ind w:left="259" w:right="-72"/>
              <w:rPr>
                <w:rFonts w:ascii="Arial" w:hAnsi="Arial" w:cs="Arial"/>
                <w:color w:val="000000"/>
                <w:sz w:val="20"/>
                <w:szCs w:val="20"/>
              </w:rPr>
            </w:pPr>
            <w:r w:rsidRPr="002D2F67">
              <w:rPr>
                <w:rFonts w:ascii="Arial" w:hAnsi="Arial" w:cs="Arial"/>
                <w:color w:val="000000"/>
                <w:sz w:val="20"/>
                <w:szCs w:val="20"/>
              </w:rPr>
              <w:t xml:space="preserve">Post-retirement </w:t>
            </w:r>
            <w:r w:rsidRPr="002D2F67">
              <w:rPr>
                <w:rFonts w:ascii="Arial" w:hAnsi="Arial" w:cs="Arial"/>
                <w:color w:val="000000"/>
                <w:spacing w:val="-2"/>
                <w:sz w:val="20"/>
                <w:szCs w:val="20"/>
              </w:rPr>
              <w:t>benefits</w:t>
            </w:r>
          </w:p>
        </w:tc>
        <w:tc>
          <w:tcPr>
            <w:tcW w:w="1440" w:type="dxa"/>
            <w:tcBorders>
              <w:bottom w:val="single" w:sz="4" w:space="0" w:color="auto"/>
            </w:tcBorders>
            <w:shd w:val="clear" w:color="auto" w:fill="auto"/>
          </w:tcPr>
          <w:p w14:paraId="60235046" w14:textId="58CC7CCB" w:rsidR="005511A2"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6</w:t>
            </w:r>
            <w:r w:rsidR="001B1A34" w:rsidRPr="002D2F67">
              <w:rPr>
                <w:rFonts w:ascii="Arial" w:hAnsi="Arial" w:cs="Arial"/>
                <w:color w:val="000000"/>
                <w:sz w:val="20"/>
                <w:szCs w:val="20"/>
              </w:rPr>
              <w:t>,</w:t>
            </w:r>
            <w:r w:rsidRPr="00CD5714">
              <w:rPr>
                <w:rFonts w:ascii="Arial" w:hAnsi="Arial" w:cs="Arial"/>
                <w:color w:val="000000"/>
                <w:sz w:val="20"/>
                <w:szCs w:val="20"/>
                <w:lang w:val="en-GB"/>
              </w:rPr>
              <w:t>287</w:t>
            </w:r>
          </w:p>
        </w:tc>
        <w:tc>
          <w:tcPr>
            <w:tcW w:w="1440" w:type="dxa"/>
            <w:tcBorders>
              <w:bottom w:val="single" w:sz="4" w:space="0" w:color="auto"/>
            </w:tcBorders>
            <w:shd w:val="clear" w:color="auto" w:fill="auto"/>
          </w:tcPr>
          <w:p w14:paraId="45CB89BC" w14:textId="05B51A60" w:rsidR="005511A2"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12</w:t>
            </w:r>
            <w:r w:rsidR="005511A2" w:rsidRPr="002D2F67">
              <w:rPr>
                <w:rFonts w:ascii="Arial" w:hAnsi="Arial" w:cs="Arial"/>
                <w:color w:val="000000"/>
                <w:sz w:val="20"/>
                <w:szCs w:val="20"/>
              </w:rPr>
              <w:t>,</w:t>
            </w:r>
            <w:r w:rsidRPr="00CD5714">
              <w:rPr>
                <w:rFonts w:ascii="Arial" w:hAnsi="Arial" w:cs="Arial"/>
                <w:color w:val="000000"/>
                <w:sz w:val="20"/>
                <w:szCs w:val="20"/>
                <w:lang w:val="en-GB"/>
              </w:rPr>
              <w:t>474</w:t>
            </w:r>
          </w:p>
        </w:tc>
        <w:tc>
          <w:tcPr>
            <w:tcW w:w="1440" w:type="dxa"/>
            <w:tcBorders>
              <w:bottom w:val="single" w:sz="4" w:space="0" w:color="auto"/>
            </w:tcBorders>
            <w:shd w:val="clear" w:color="auto" w:fill="auto"/>
          </w:tcPr>
          <w:p w14:paraId="2C6FD840" w14:textId="0154560C" w:rsidR="005511A2"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4</w:t>
            </w:r>
            <w:r w:rsidR="001B1A34" w:rsidRPr="002D2F67">
              <w:rPr>
                <w:rFonts w:ascii="Arial" w:hAnsi="Arial" w:cs="Arial"/>
                <w:color w:val="000000"/>
                <w:sz w:val="20"/>
                <w:szCs w:val="20"/>
              </w:rPr>
              <w:t>,</w:t>
            </w:r>
            <w:r w:rsidRPr="00CD5714">
              <w:rPr>
                <w:rFonts w:ascii="Arial" w:hAnsi="Arial" w:cs="Arial"/>
                <w:color w:val="000000"/>
                <w:sz w:val="20"/>
                <w:szCs w:val="20"/>
                <w:lang w:val="en-GB"/>
              </w:rPr>
              <w:t>947</w:t>
            </w:r>
          </w:p>
        </w:tc>
        <w:tc>
          <w:tcPr>
            <w:tcW w:w="1440" w:type="dxa"/>
            <w:tcBorders>
              <w:bottom w:val="single" w:sz="4" w:space="0" w:color="auto"/>
            </w:tcBorders>
            <w:shd w:val="clear" w:color="auto" w:fill="auto"/>
          </w:tcPr>
          <w:p w14:paraId="59C7D8C1" w14:textId="4C215350" w:rsidR="005511A2"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4</w:t>
            </w:r>
            <w:r w:rsidR="005511A2" w:rsidRPr="002D2F67">
              <w:rPr>
                <w:rFonts w:ascii="Arial" w:hAnsi="Arial" w:cs="Arial"/>
                <w:color w:val="000000"/>
                <w:sz w:val="20"/>
                <w:szCs w:val="20"/>
              </w:rPr>
              <w:t>,</w:t>
            </w:r>
            <w:r w:rsidRPr="00CD5714">
              <w:rPr>
                <w:rFonts w:ascii="Arial" w:hAnsi="Arial" w:cs="Arial"/>
                <w:color w:val="000000"/>
                <w:sz w:val="20"/>
                <w:szCs w:val="20"/>
                <w:lang w:val="en-GB"/>
              </w:rPr>
              <w:t>741</w:t>
            </w:r>
          </w:p>
        </w:tc>
      </w:tr>
      <w:tr w:rsidR="005511A2" w:rsidRPr="002D2F67" w14:paraId="376B240F" w14:textId="77777777" w:rsidTr="005611FE">
        <w:trPr>
          <w:trHeight w:val="126"/>
        </w:trPr>
        <w:tc>
          <w:tcPr>
            <w:tcW w:w="3510" w:type="dxa"/>
            <w:shd w:val="clear" w:color="auto" w:fill="auto"/>
          </w:tcPr>
          <w:p w14:paraId="5E135EC4" w14:textId="77777777" w:rsidR="005511A2" w:rsidRPr="002D2F67" w:rsidRDefault="005511A2" w:rsidP="005611FE">
            <w:pPr>
              <w:ind w:left="259"/>
              <w:rPr>
                <w:rFonts w:ascii="Arial" w:hAnsi="Arial" w:cs="Arial"/>
                <w:color w:val="000000"/>
                <w:sz w:val="20"/>
                <w:szCs w:val="20"/>
                <w:u w:val="single"/>
              </w:rPr>
            </w:pPr>
          </w:p>
        </w:tc>
        <w:tc>
          <w:tcPr>
            <w:tcW w:w="1440" w:type="dxa"/>
            <w:tcBorders>
              <w:top w:val="single" w:sz="4" w:space="0" w:color="auto"/>
            </w:tcBorders>
            <w:shd w:val="clear" w:color="auto" w:fill="auto"/>
          </w:tcPr>
          <w:p w14:paraId="282774D9" w14:textId="77777777" w:rsidR="005511A2" w:rsidRPr="002D2F67" w:rsidRDefault="005511A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0CBA750A" w14:textId="77777777" w:rsidR="005511A2" w:rsidRPr="002D2F67" w:rsidRDefault="005511A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6828A9B1" w14:textId="77777777" w:rsidR="005511A2" w:rsidRPr="002D2F67" w:rsidRDefault="005511A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Borders>
              <w:top w:val="single" w:sz="4" w:space="0" w:color="auto"/>
            </w:tcBorders>
            <w:shd w:val="clear" w:color="auto" w:fill="auto"/>
          </w:tcPr>
          <w:p w14:paraId="7B02D9D1" w14:textId="77777777" w:rsidR="005511A2" w:rsidRPr="002D2F67" w:rsidRDefault="005511A2"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5511A2" w:rsidRPr="002D2F67" w14:paraId="1FB36A07" w14:textId="77777777" w:rsidTr="005611FE">
        <w:trPr>
          <w:trHeight w:val="126"/>
        </w:trPr>
        <w:tc>
          <w:tcPr>
            <w:tcW w:w="3510" w:type="dxa"/>
            <w:shd w:val="clear" w:color="auto" w:fill="auto"/>
          </w:tcPr>
          <w:p w14:paraId="4A2D2C42" w14:textId="77777777" w:rsidR="005511A2" w:rsidRPr="002D2F67" w:rsidRDefault="005511A2" w:rsidP="005611FE">
            <w:pPr>
              <w:ind w:left="259" w:right="-108"/>
              <w:rPr>
                <w:rFonts w:ascii="Arial" w:hAnsi="Arial" w:cs="Arial"/>
                <w:color w:val="000000"/>
                <w:spacing w:val="-2"/>
                <w:sz w:val="20"/>
                <w:szCs w:val="20"/>
              </w:rPr>
            </w:pPr>
            <w:r w:rsidRPr="002D2F67">
              <w:rPr>
                <w:rFonts w:ascii="Arial" w:hAnsi="Arial" w:cs="Arial"/>
                <w:color w:val="000000"/>
                <w:spacing w:val="-2"/>
                <w:sz w:val="20"/>
                <w:szCs w:val="20"/>
              </w:rPr>
              <w:t xml:space="preserve">Total key management </w:t>
            </w:r>
          </w:p>
          <w:p w14:paraId="2453141D" w14:textId="4F4F9E68" w:rsidR="005511A2" w:rsidRPr="002D2F67" w:rsidRDefault="005511A2" w:rsidP="005611FE">
            <w:pPr>
              <w:ind w:left="259" w:right="-108"/>
              <w:rPr>
                <w:rFonts w:ascii="Arial" w:hAnsi="Arial" w:cs="Arial"/>
                <w:color w:val="000000"/>
                <w:spacing w:val="-2"/>
                <w:sz w:val="20"/>
                <w:szCs w:val="20"/>
              </w:rPr>
            </w:pPr>
            <w:r w:rsidRPr="002D2F67">
              <w:rPr>
                <w:rFonts w:ascii="Arial" w:hAnsi="Arial" w:cs="Arial"/>
                <w:color w:val="000000"/>
                <w:spacing w:val="-2"/>
                <w:sz w:val="20"/>
                <w:szCs w:val="20"/>
              </w:rPr>
              <w:t xml:space="preserve">   compensation</w:t>
            </w:r>
          </w:p>
        </w:tc>
        <w:tc>
          <w:tcPr>
            <w:tcW w:w="1440" w:type="dxa"/>
            <w:tcBorders>
              <w:bottom w:val="single" w:sz="4" w:space="0" w:color="auto"/>
            </w:tcBorders>
            <w:shd w:val="clear" w:color="auto" w:fill="auto"/>
            <w:vAlign w:val="bottom"/>
          </w:tcPr>
          <w:p w14:paraId="22376D03" w14:textId="0F9EA54E" w:rsidR="005511A2"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194</w:t>
            </w:r>
            <w:r w:rsidR="001B1A34" w:rsidRPr="002D2F67">
              <w:rPr>
                <w:rFonts w:ascii="Arial" w:hAnsi="Arial" w:cs="Arial"/>
                <w:color w:val="000000"/>
                <w:sz w:val="20"/>
                <w:szCs w:val="20"/>
              </w:rPr>
              <w:t>,</w:t>
            </w:r>
            <w:r w:rsidRPr="00CD5714">
              <w:rPr>
                <w:rFonts w:ascii="Arial" w:hAnsi="Arial" w:cs="Arial"/>
                <w:color w:val="000000"/>
                <w:sz w:val="20"/>
                <w:szCs w:val="20"/>
                <w:lang w:val="en-GB"/>
              </w:rPr>
              <w:t>247</w:t>
            </w:r>
          </w:p>
        </w:tc>
        <w:tc>
          <w:tcPr>
            <w:tcW w:w="1440" w:type="dxa"/>
            <w:tcBorders>
              <w:bottom w:val="single" w:sz="4" w:space="0" w:color="auto"/>
            </w:tcBorders>
            <w:shd w:val="clear" w:color="auto" w:fill="auto"/>
            <w:vAlign w:val="bottom"/>
          </w:tcPr>
          <w:p w14:paraId="435DC2B6" w14:textId="12499815" w:rsidR="005511A2"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229</w:t>
            </w:r>
            <w:r w:rsidR="005511A2" w:rsidRPr="002D2F67">
              <w:rPr>
                <w:rFonts w:ascii="Arial" w:hAnsi="Arial" w:cs="Arial"/>
                <w:color w:val="000000"/>
                <w:sz w:val="20"/>
                <w:szCs w:val="20"/>
              </w:rPr>
              <w:t>,</w:t>
            </w:r>
            <w:r w:rsidRPr="00CD5714">
              <w:rPr>
                <w:rFonts w:ascii="Arial" w:hAnsi="Arial" w:cs="Arial"/>
                <w:color w:val="000000"/>
                <w:sz w:val="20"/>
                <w:szCs w:val="20"/>
                <w:lang w:val="en-GB"/>
              </w:rPr>
              <w:t>361</w:t>
            </w:r>
          </w:p>
        </w:tc>
        <w:tc>
          <w:tcPr>
            <w:tcW w:w="1440" w:type="dxa"/>
            <w:tcBorders>
              <w:bottom w:val="single" w:sz="4" w:space="0" w:color="auto"/>
            </w:tcBorders>
            <w:shd w:val="clear" w:color="auto" w:fill="auto"/>
            <w:vAlign w:val="bottom"/>
          </w:tcPr>
          <w:p w14:paraId="7F03A9EA" w14:textId="1BCAE6CD" w:rsidR="005511A2"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168</w:t>
            </w:r>
            <w:r w:rsidR="001B1A34" w:rsidRPr="002D2F67">
              <w:rPr>
                <w:rFonts w:ascii="Arial" w:hAnsi="Arial" w:cs="Arial"/>
                <w:color w:val="000000"/>
                <w:sz w:val="20"/>
                <w:szCs w:val="20"/>
              </w:rPr>
              <w:t>,</w:t>
            </w:r>
            <w:r w:rsidRPr="00CD5714">
              <w:rPr>
                <w:rFonts w:ascii="Arial" w:hAnsi="Arial" w:cs="Arial"/>
                <w:color w:val="000000"/>
                <w:sz w:val="20"/>
                <w:szCs w:val="20"/>
                <w:lang w:val="en-GB"/>
              </w:rPr>
              <w:t>400</w:t>
            </w:r>
          </w:p>
        </w:tc>
        <w:tc>
          <w:tcPr>
            <w:tcW w:w="1440" w:type="dxa"/>
            <w:tcBorders>
              <w:bottom w:val="single" w:sz="4" w:space="0" w:color="auto"/>
            </w:tcBorders>
            <w:shd w:val="clear" w:color="auto" w:fill="auto"/>
            <w:vAlign w:val="bottom"/>
          </w:tcPr>
          <w:p w14:paraId="4A9A6221" w14:textId="6675C309" w:rsidR="005511A2" w:rsidRPr="002D2F67" w:rsidRDefault="00CD5714" w:rsidP="005611FE">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D5714">
              <w:rPr>
                <w:rFonts w:ascii="Arial" w:hAnsi="Arial" w:cs="Arial"/>
                <w:color w:val="000000"/>
                <w:sz w:val="20"/>
                <w:szCs w:val="20"/>
                <w:lang w:val="en-GB"/>
              </w:rPr>
              <w:t>203</w:t>
            </w:r>
            <w:r w:rsidR="005511A2" w:rsidRPr="002D2F67">
              <w:rPr>
                <w:rFonts w:ascii="Arial" w:hAnsi="Arial" w:cs="Arial"/>
                <w:color w:val="000000"/>
                <w:sz w:val="20"/>
                <w:szCs w:val="20"/>
              </w:rPr>
              <w:t>,</w:t>
            </w:r>
            <w:r w:rsidRPr="00CD5714">
              <w:rPr>
                <w:rFonts w:ascii="Arial" w:hAnsi="Arial" w:cs="Arial"/>
                <w:color w:val="000000"/>
                <w:sz w:val="20"/>
                <w:szCs w:val="20"/>
                <w:lang w:val="en-GB"/>
              </w:rPr>
              <w:t>291</w:t>
            </w:r>
          </w:p>
        </w:tc>
      </w:tr>
    </w:tbl>
    <w:p w14:paraId="41ED06F6" w14:textId="77777777" w:rsidR="00B4267B" w:rsidRPr="002D2F67" w:rsidRDefault="00B4267B" w:rsidP="005611FE">
      <w:pPr>
        <w:pStyle w:val="BodyText"/>
        <w:tabs>
          <w:tab w:val="left" w:pos="2835"/>
        </w:tabs>
        <w:jc w:val="thaiDistribute"/>
        <w:rPr>
          <w:rFonts w:ascii="Arial" w:hAnsi="Arial" w:cs="Arial"/>
          <w:b/>
          <w:bCs/>
          <w:color w:val="000000"/>
          <w:lang w:val="en"/>
        </w:rPr>
        <w:sectPr w:rsidR="00B4267B" w:rsidRPr="002D2F67" w:rsidSect="00A41613">
          <w:pgSz w:w="11906" w:h="16838" w:code="9"/>
          <w:pgMar w:top="1440" w:right="720" w:bottom="720" w:left="1728" w:header="706" w:footer="706" w:gutter="0"/>
          <w:cols w:space="720"/>
        </w:sectPr>
      </w:pPr>
    </w:p>
    <w:p w14:paraId="01B948CD" w14:textId="77777777" w:rsidR="00B4267B" w:rsidRPr="002D2F67" w:rsidRDefault="00B4267B" w:rsidP="005611FE">
      <w:pPr>
        <w:jc w:val="thaiDistribute"/>
        <w:rPr>
          <w:rFonts w:ascii="Arial" w:hAnsi="Arial" w:cs="Arial"/>
          <w:color w:val="000000"/>
          <w:spacing w:val="-2"/>
          <w:sz w:val="20"/>
          <w:szCs w:val="20"/>
        </w:rPr>
      </w:pPr>
    </w:p>
    <w:p w14:paraId="3C2A9E84" w14:textId="1D1DFB5B" w:rsidR="00B0675E"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r w:rsidRPr="00CD5714">
        <w:rPr>
          <w:rFonts w:ascii="Arial" w:hAnsi="Arial" w:cs="Arial"/>
          <w:b/>
          <w:bCs/>
          <w:color w:val="000000"/>
          <w:kern w:val="26"/>
          <w:position w:val="-24"/>
          <w:sz w:val="20"/>
          <w:szCs w:val="20"/>
          <w:lang w:val="en-GB"/>
        </w:rPr>
        <w:t>43</w:t>
      </w:r>
      <w:r w:rsidR="00B0675E" w:rsidRPr="002D2F67">
        <w:rPr>
          <w:rFonts w:ascii="Arial" w:hAnsi="Arial" w:cs="Arial"/>
          <w:b/>
          <w:bCs/>
          <w:color w:val="000000"/>
          <w:kern w:val="26"/>
          <w:position w:val="-24"/>
          <w:sz w:val="20"/>
          <w:szCs w:val="20"/>
          <w:cs/>
        </w:rPr>
        <w:tab/>
      </w:r>
      <w:r w:rsidR="00B0675E" w:rsidRPr="002D2F67">
        <w:rPr>
          <w:rFonts w:ascii="Arial" w:hAnsi="Arial" w:cs="Arial"/>
          <w:b/>
          <w:bCs/>
          <w:color w:val="000000"/>
          <w:kern w:val="26"/>
          <w:position w:val="-24"/>
          <w:sz w:val="20"/>
          <w:szCs w:val="20"/>
        </w:rPr>
        <w:t>Commitments and contingent liabilities</w:t>
      </w:r>
    </w:p>
    <w:p w14:paraId="4A0FF0B7" w14:textId="77777777" w:rsidR="00B4267B" w:rsidRPr="002D2F67" w:rsidRDefault="00B4267B" w:rsidP="005611FE">
      <w:pPr>
        <w:pStyle w:val="BodyTextIndent2"/>
        <w:tabs>
          <w:tab w:val="left" w:pos="1524"/>
        </w:tabs>
        <w:spacing w:line="240" w:lineRule="auto"/>
        <w:ind w:left="0"/>
        <w:rPr>
          <w:rFonts w:ascii="Arial" w:hAnsi="Arial" w:cs="Arial"/>
          <w:spacing w:val="-2"/>
        </w:rPr>
      </w:pPr>
    </w:p>
    <w:p w14:paraId="56351BF2" w14:textId="231E559D" w:rsidR="00B4267B" w:rsidRPr="002D2F67" w:rsidRDefault="00CD5714" w:rsidP="005611FE">
      <w:pPr>
        <w:pStyle w:val="EASUBHEAD6"/>
        <w:rPr>
          <w:b/>
          <w:bCs/>
          <w:color w:val="000000"/>
          <w:sz w:val="20"/>
          <w:szCs w:val="20"/>
        </w:rPr>
      </w:pPr>
      <w:r w:rsidRPr="00CD5714">
        <w:rPr>
          <w:b/>
          <w:bCs/>
          <w:color w:val="000000"/>
          <w:sz w:val="20"/>
          <w:szCs w:val="20"/>
          <w:lang w:val="en-GB"/>
        </w:rPr>
        <w:t>43</w:t>
      </w:r>
      <w:r w:rsidR="00B4267B" w:rsidRPr="002D2F67">
        <w:rPr>
          <w:b/>
          <w:bCs/>
          <w:color w:val="000000"/>
          <w:sz w:val="20"/>
          <w:szCs w:val="20"/>
        </w:rPr>
        <w:t>.</w:t>
      </w:r>
      <w:r w:rsidRPr="00CD5714">
        <w:rPr>
          <w:b/>
          <w:bCs/>
          <w:color w:val="000000"/>
          <w:sz w:val="20"/>
          <w:szCs w:val="20"/>
          <w:lang w:val="en-GB"/>
        </w:rPr>
        <w:t>1</w:t>
      </w:r>
      <w:r w:rsidR="00B4267B" w:rsidRPr="002D2F67">
        <w:rPr>
          <w:b/>
          <w:bCs/>
          <w:color w:val="000000"/>
          <w:sz w:val="20"/>
          <w:szCs w:val="20"/>
        </w:rPr>
        <w:tab/>
        <w:t>Capital expenditure obligations</w:t>
      </w:r>
    </w:p>
    <w:p w14:paraId="4E7E0421" w14:textId="77777777" w:rsidR="00B4267B" w:rsidRPr="002D2F67" w:rsidRDefault="00B4267B" w:rsidP="005611FE">
      <w:pPr>
        <w:pStyle w:val="BodyText"/>
        <w:tabs>
          <w:tab w:val="left" w:pos="2835"/>
        </w:tabs>
        <w:ind w:left="540" w:right="8"/>
        <w:rPr>
          <w:rFonts w:ascii="Arial" w:hAnsi="Arial" w:cs="Arial"/>
          <w:color w:val="000000"/>
          <w:lang w:val="en"/>
        </w:rPr>
      </w:pPr>
    </w:p>
    <w:p w14:paraId="5371516F" w14:textId="27BAA4B8" w:rsidR="00B4267B" w:rsidRPr="002D2F67" w:rsidRDefault="00B4267B" w:rsidP="2327AA32">
      <w:pPr>
        <w:pStyle w:val="BodyText"/>
        <w:tabs>
          <w:tab w:val="left" w:pos="2835"/>
        </w:tabs>
        <w:ind w:left="540" w:right="8"/>
        <w:rPr>
          <w:rFonts w:ascii="Arial" w:hAnsi="Arial" w:cs="Arial"/>
          <w:color w:val="000000"/>
          <w:lang w:val="en-US"/>
        </w:rPr>
      </w:pPr>
      <w:r w:rsidRPr="002D2F67">
        <w:rPr>
          <w:rFonts w:ascii="Arial" w:hAnsi="Arial" w:cs="Arial"/>
          <w:color w:val="000000"/>
          <w:lang w:val="en-US"/>
        </w:rPr>
        <w:t xml:space="preserve">Capital expenditure contracted as at the statement of financial position date but not recognised in the financial statements </w:t>
      </w:r>
      <w:r w:rsidR="0058715C" w:rsidRPr="002D2F67">
        <w:rPr>
          <w:rFonts w:ascii="Arial" w:hAnsi="Arial" w:cs="Arial"/>
          <w:color w:val="000000"/>
          <w:lang w:val="en-US"/>
        </w:rPr>
        <w:t>we</w:t>
      </w:r>
      <w:r w:rsidR="002F7BAF" w:rsidRPr="002D2F67">
        <w:rPr>
          <w:rFonts w:ascii="Arial" w:hAnsi="Arial" w:cs="Arial"/>
          <w:color w:val="000000"/>
          <w:lang w:val="en-US"/>
        </w:rPr>
        <w:t>re</w:t>
      </w:r>
      <w:r w:rsidRPr="002D2F67">
        <w:rPr>
          <w:rFonts w:ascii="Arial" w:hAnsi="Arial" w:cs="Arial"/>
          <w:color w:val="000000"/>
          <w:lang w:val="en-US"/>
        </w:rPr>
        <w:t xml:space="preserve"> as follows:</w:t>
      </w:r>
    </w:p>
    <w:p w14:paraId="3D4DFB4C" w14:textId="03969F66" w:rsidR="00B4267B" w:rsidRPr="002D2F67" w:rsidRDefault="00B4267B" w:rsidP="005611FE">
      <w:pPr>
        <w:pStyle w:val="BodyText"/>
        <w:tabs>
          <w:tab w:val="left" w:pos="2835"/>
        </w:tabs>
        <w:ind w:left="540" w:right="8"/>
        <w:rPr>
          <w:rFonts w:ascii="Arial" w:hAnsi="Arial" w:cs="Arial"/>
          <w:color w:val="000000"/>
          <w:lang w:val="en"/>
        </w:rPr>
      </w:pPr>
    </w:p>
    <w:tbl>
      <w:tblPr>
        <w:tblW w:w="14976" w:type="dxa"/>
        <w:tblInd w:w="540" w:type="dxa"/>
        <w:tblLayout w:type="fixed"/>
        <w:tblLook w:val="0000" w:firstRow="0" w:lastRow="0" w:firstColumn="0" w:lastColumn="0" w:noHBand="0" w:noVBand="0"/>
      </w:tblPr>
      <w:tblGrid>
        <w:gridCol w:w="3456"/>
        <w:gridCol w:w="1152"/>
        <w:gridCol w:w="1152"/>
        <w:gridCol w:w="1152"/>
        <w:gridCol w:w="1152"/>
        <w:gridCol w:w="1152"/>
        <w:gridCol w:w="1152"/>
        <w:gridCol w:w="1152"/>
        <w:gridCol w:w="1152"/>
        <w:gridCol w:w="1152"/>
        <w:gridCol w:w="1152"/>
      </w:tblGrid>
      <w:tr w:rsidR="00CD5714" w:rsidRPr="00CD5714" w14:paraId="05E175F5" w14:textId="77777777" w:rsidTr="00637C96">
        <w:trPr>
          <w:cantSplit/>
          <w:trHeight w:val="20"/>
        </w:trPr>
        <w:tc>
          <w:tcPr>
            <w:tcW w:w="3456" w:type="dxa"/>
            <w:shd w:val="clear" w:color="auto" w:fill="auto"/>
            <w:vAlign w:val="bottom"/>
          </w:tcPr>
          <w:p w14:paraId="11176450" w14:textId="77777777" w:rsidR="00CD5714" w:rsidRPr="00CD5714" w:rsidRDefault="00CD5714" w:rsidP="005611FE">
            <w:pPr>
              <w:pStyle w:val="BodyTextIndent2"/>
              <w:spacing w:line="240" w:lineRule="auto"/>
              <w:ind w:left="-101"/>
              <w:jc w:val="center"/>
              <w:rPr>
                <w:rFonts w:ascii="Arial" w:hAnsi="Arial" w:cs="Arial"/>
                <w:b/>
                <w:bCs/>
              </w:rPr>
            </w:pPr>
          </w:p>
        </w:tc>
        <w:tc>
          <w:tcPr>
            <w:tcW w:w="11520" w:type="dxa"/>
            <w:gridSpan w:val="10"/>
            <w:tcBorders>
              <w:top w:val="single" w:sz="4" w:space="0" w:color="auto"/>
              <w:bottom w:val="single" w:sz="4" w:space="0" w:color="auto"/>
            </w:tcBorders>
            <w:shd w:val="clear" w:color="auto" w:fill="auto"/>
            <w:vAlign w:val="bottom"/>
          </w:tcPr>
          <w:p w14:paraId="2C3B9C21" w14:textId="35F79720" w:rsidR="00CD5714" w:rsidRPr="00CD5714" w:rsidRDefault="00CD5714" w:rsidP="005611FE">
            <w:pPr>
              <w:ind w:right="-72"/>
              <w:jc w:val="right"/>
              <w:rPr>
                <w:rFonts w:ascii="Arial" w:hAnsi="Arial" w:cs="Arial"/>
                <w:b/>
                <w:bCs/>
                <w:color w:val="000000"/>
                <w:sz w:val="20"/>
                <w:szCs w:val="20"/>
                <w:cs/>
              </w:rPr>
            </w:pPr>
            <w:r w:rsidRPr="00CD5714">
              <w:rPr>
                <w:rFonts w:ascii="Arial" w:hAnsi="Arial" w:cs="Arial"/>
                <w:b/>
                <w:bCs/>
                <w:color w:val="000000"/>
                <w:sz w:val="20"/>
                <w:szCs w:val="20"/>
              </w:rPr>
              <w:t>Consolidated financial statements</w:t>
            </w:r>
          </w:p>
        </w:tc>
      </w:tr>
      <w:tr w:rsidR="00CD5714" w:rsidRPr="00CD5714" w14:paraId="5260702C" w14:textId="77777777" w:rsidTr="004C33A9">
        <w:trPr>
          <w:cantSplit/>
          <w:trHeight w:val="20"/>
        </w:trPr>
        <w:tc>
          <w:tcPr>
            <w:tcW w:w="3456" w:type="dxa"/>
            <w:shd w:val="clear" w:color="auto" w:fill="auto"/>
            <w:vAlign w:val="bottom"/>
          </w:tcPr>
          <w:p w14:paraId="3E1119CB" w14:textId="77777777" w:rsidR="00CD5714" w:rsidRPr="00CD5714" w:rsidRDefault="00CD5714" w:rsidP="00CD5714">
            <w:pPr>
              <w:pStyle w:val="BodyTextIndent2"/>
              <w:spacing w:line="240" w:lineRule="auto"/>
              <w:ind w:left="-101"/>
              <w:jc w:val="center"/>
              <w:rPr>
                <w:rFonts w:ascii="Arial" w:hAnsi="Arial" w:cs="Arial"/>
                <w:b/>
                <w:bCs/>
              </w:rPr>
            </w:pPr>
          </w:p>
        </w:tc>
        <w:tc>
          <w:tcPr>
            <w:tcW w:w="5760" w:type="dxa"/>
            <w:gridSpan w:val="5"/>
            <w:tcBorders>
              <w:top w:val="single" w:sz="4" w:space="0" w:color="auto"/>
              <w:bottom w:val="single" w:sz="4" w:space="0" w:color="auto"/>
            </w:tcBorders>
            <w:shd w:val="clear" w:color="auto" w:fill="auto"/>
          </w:tcPr>
          <w:p w14:paraId="6B8977D9" w14:textId="2D4D0CFF" w:rsidR="00CD5714" w:rsidRPr="00CD5714" w:rsidRDefault="00CD5714" w:rsidP="00CD5714">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2024</w:t>
            </w:r>
          </w:p>
        </w:tc>
        <w:tc>
          <w:tcPr>
            <w:tcW w:w="5760" w:type="dxa"/>
            <w:gridSpan w:val="5"/>
            <w:tcBorders>
              <w:top w:val="single" w:sz="4" w:space="0" w:color="auto"/>
              <w:bottom w:val="single" w:sz="4" w:space="0" w:color="auto"/>
            </w:tcBorders>
            <w:shd w:val="clear" w:color="auto" w:fill="auto"/>
          </w:tcPr>
          <w:p w14:paraId="08F24C29" w14:textId="7FF86175" w:rsidR="00CD5714" w:rsidRPr="00CD5714" w:rsidRDefault="00CD5714" w:rsidP="00CD5714">
            <w:pPr>
              <w:ind w:right="-72"/>
              <w:jc w:val="right"/>
              <w:rPr>
                <w:rFonts w:ascii="Arial" w:hAnsi="Arial" w:cs="Arial"/>
                <w:b/>
                <w:bCs/>
                <w:color w:val="000000"/>
                <w:sz w:val="20"/>
                <w:szCs w:val="20"/>
                <w:cs/>
              </w:rPr>
            </w:pPr>
            <w:r w:rsidRPr="00CD5714">
              <w:rPr>
                <w:rFonts w:ascii="Arial" w:hAnsi="Arial" w:cs="Arial"/>
                <w:b/>
                <w:bCs/>
                <w:color w:val="000000"/>
                <w:sz w:val="20"/>
                <w:szCs w:val="20"/>
                <w:lang w:val="en-GB"/>
              </w:rPr>
              <w:t>2023</w:t>
            </w:r>
          </w:p>
        </w:tc>
      </w:tr>
      <w:tr w:rsidR="00CD5714" w:rsidRPr="00CD5714" w14:paraId="51E326CA" w14:textId="77777777" w:rsidTr="00CD5714">
        <w:trPr>
          <w:cantSplit/>
          <w:trHeight w:val="20"/>
        </w:trPr>
        <w:tc>
          <w:tcPr>
            <w:tcW w:w="3456" w:type="dxa"/>
            <w:shd w:val="clear" w:color="auto" w:fill="auto"/>
            <w:vAlign w:val="bottom"/>
          </w:tcPr>
          <w:p w14:paraId="0469705E" w14:textId="77777777" w:rsidR="00CD5714" w:rsidRPr="00CD5714" w:rsidRDefault="00CD5714" w:rsidP="00CD5714">
            <w:pPr>
              <w:pStyle w:val="BodyTextIndent2"/>
              <w:spacing w:line="240" w:lineRule="auto"/>
              <w:ind w:left="-101"/>
              <w:jc w:val="center"/>
              <w:rPr>
                <w:rFonts w:ascii="Arial" w:hAnsi="Arial" w:cs="Arial"/>
                <w:b/>
                <w:bCs/>
              </w:rPr>
            </w:pPr>
          </w:p>
        </w:tc>
        <w:tc>
          <w:tcPr>
            <w:tcW w:w="1152" w:type="dxa"/>
            <w:tcBorders>
              <w:top w:val="single" w:sz="4" w:space="0" w:color="auto"/>
              <w:bottom w:val="single" w:sz="4" w:space="0" w:color="auto"/>
            </w:tcBorders>
            <w:shd w:val="clear" w:color="auto" w:fill="auto"/>
            <w:vAlign w:val="bottom"/>
          </w:tcPr>
          <w:p w14:paraId="5C0889CF" w14:textId="79820C8B" w:rsidR="00CD5714" w:rsidRPr="00CD5714" w:rsidRDefault="00CD5714" w:rsidP="00CD5714">
            <w:pPr>
              <w:ind w:right="-72"/>
              <w:jc w:val="right"/>
              <w:rPr>
                <w:rFonts w:ascii="Arial" w:hAnsi="Arial" w:cs="Arial"/>
                <w:b/>
                <w:bCs/>
                <w:color w:val="000000"/>
                <w:spacing w:val="-4"/>
                <w:sz w:val="20"/>
                <w:szCs w:val="20"/>
              </w:rPr>
            </w:pPr>
            <w:r w:rsidRPr="00CD5714">
              <w:rPr>
                <w:rFonts w:ascii="Arial" w:hAnsi="Arial" w:cs="Arial"/>
                <w:b/>
                <w:bCs/>
                <w:color w:val="000000"/>
                <w:spacing w:val="-4"/>
                <w:sz w:val="20"/>
                <w:szCs w:val="20"/>
              </w:rPr>
              <w:t>Million Singapore Dollar</w:t>
            </w:r>
          </w:p>
        </w:tc>
        <w:tc>
          <w:tcPr>
            <w:tcW w:w="1152" w:type="dxa"/>
            <w:tcBorders>
              <w:top w:val="single" w:sz="4" w:space="0" w:color="auto"/>
              <w:bottom w:val="single" w:sz="4" w:space="0" w:color="auto"/>
            </w:tcBorders>
            <w:shd w:val="clear" w:color="auto" w:fill="auto"/>
            <w:vAlign w:val="bottom"/>
          </w:tcPr>
          <w:p w14:paraId="4E9BA4DD" w14:textId="0D2819EC" w:rsidR="00CD5714" w:rsidRPr="00CD5714" w:rsidRDefault="00CD5714" w:rsidP="00CD5714">
            <w:pPr>
              <w:ind w:right="-72"/>
              <w:jc w:val="right"/>
              <w:rPr>
                <w:rFonts w:ascii="Arial" w:hAnsi="Arial" w:cs="Arial"/>
                <w:b/>
                <w:bCs/>
                <w:color w:val="000000"/>
                <w:spacing w:val="-4"/>
                <w:sz w:val="20"/>
                <w:szCs w:val="20"/>
              </w:rPr>
            </w:pPr>
            <w:r w:rsidRPr="00CD5714">
              <w:rPr>
                <w:rFonts w:ascii="Arial" w:hAnsi="Arial" w:cs="Arial"/>
                <w:b/>
                <w:bCs/>
                <w:color w:val="000000"/>
                <w:spacing w:val="-4"/>
                <w:sz w:val="20"/>
                <w:szCs w:val="20"/>
              </w:rPr>
              <w:t>Million Chinese Yuan</w:t>
            </w:r>
          </w:p>
        </w:tc>
        <w:tc>
          <w:tcPr>
            <w:tcW w:w="1152" w:type="dxa"/>
            <w:tcBorders>
              <w:top w:val="single" w:sz="4" w:space="0" w:color="auto"/>
              <w:bottom w:val="single" w:sz="4" w:space="0" w:color="auto"/>
            </w:tcBorders>
            <w:shd w:val="clear" w:color="auto" w:fill="auto"/>
            <w:vAlign w:val="bottom"/>
          </w:tcPr>
          <w:p w14:paraId="56773C17" w14:textId="77777777" w:rsidR="00CD5714" w:rsidRPr="00CD5714" w:rsidRDefault="00CD5714" w:rsidP="00CD5714">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CD5714">
              <w:rPr>
                <w:rFonts w:ascii="Arial" w:hAnsi="Arial" w:cs="Arial"/>
                <w:b/>
                <w:bCs/>
                <w:color w:val="000000"/>
                <w:sz w:val="20"/>
                <w:szCs w:val="20"/>
              </w:rPr>
              <w:t>Million</w:t>
            </w:r>
          </w:p>
          <w:p w14:paraId="441083E2" w14:textId="37491187" w:rsidR="00CD5714" w:rsidRPr="00CD5714" w:rsidRDefault="00CD5714" w:rsidP="00CD5714">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CD5714">
              <w:rPr>
                <w:rFonts w:ascii="Arial" w:hAnsi="Arial" w:cs="Arial"/>
                <w:b/>
                <w:bCs/>
                <w:color w:val="000000"/>
                <w:sz w:val="20"/>
                <w:szCs w:val="20"/>
              </w:rPr>
              <w:t>Japanese Yen</w:t>
            </w:r>
          </w:p>
        </w:tc>
        <w:tc>
          <w:tcPr>
            <w:tcW w:w="1152" w:type="dxa"/>
            <w:tcBorders>
              <w:top w:val="single" w:sz="4" w:space="0" w:color="auto"/>
              <w:bottom w:val="single" w:sz="4" w:space="0" w:color="auto"/>
            </w:tcBorders>
            <w:shd w:val="clear" w:color="auto" w:fill="auto"/>
            <w:vAlign w:val="bottom"/>
          </w:tcPr>
          <w:p w14:paraId="09323359" w14:textId="77777777" w:rsidR="00CD5714" w:rsidRPr="00CD5714" w:rsidRDefault="00CD5714" w:rsidP="00CD5714">
            <w:pPr>
              <w:ind w:right="-72"/>
              <w:jc w:val="right"/>
              <w:rPr>
                <w:rFonts w:ascii="Arial" w:hAnsi="Arial" w:cs="Arial"/>
                <w:b/>
                <w:bCs/>
                <w:color w:val="000000"/>
                <w:spacing w:val="-4"/>
                <w:sz w:val="20"/>
                <w:szCs w:val="20"/>
              </w:rPr>
            </w:pPr>
            <w:r w:rsidRPr="00CD5714">
              <w:rPr>
                <w:rFonts w:ascii="Arial" w:hAnsi="Arial" w:cs="Arial"/>
                <w:b/>
                <w:bCs/>
                <w:color w:val="000000"/>
                <w:spacing w:val="-4"/>
                <w:sz w:val="20"/>
                <w:szCs w:val="20"/>
              </w:rPr>
              <w:t>Million</w:t>
            </w:r>
          </w:p>
          <w:p w14:paraId="48A04786" w14:textId="65E8A5DC" w:rsidR="00CD5714" w:rsidRPr="00CD5714" w:rsidRDefault="00CD5714" w:rsidP="00CD5714">
            <w:pPr>
              <w:ind w:right="-72"/>
              <w:jc w:val="right"/>
              <w:rPr>
                <w:rFonts w:ascii="Arial" w:hAnsi="Arial" w:cs="Arial"/>
                <w:b/>
                <w:bCs/>
                <w:color w:val="000000"/>
                <w:spacing w:val="-4"/>
                <w:sz w:val="20"/>
                <w:szCs w:val="20"/>
              </w:rPr>
            </w:pPr>
            <w:r w:rsidRPr="00CD5714">
              <w:rPr>
                <w:rFonts w:ascii="Arial" w:hAnsi="Arial" w:cs="Arial"/>
                <w:b/>
                <w:bCs/>
                <w:color w:val="000000"/>
                <w:spacing w:val="-4"/>
                <w:sz w:val="20"/>
                <w:szCs w:val="20"/>
              </w:rPr>
              <w:t>US Dollar</w:t>
            </w:r>
          </w:p>
        </w:tc>
        <w:tc>
          <w:tcPr>
            <w:tcW w:w="1152" w:type="dxa"/>
            <w:tcBorders>
              <w:top w:val="single" w:sz="4" w:space="0" w:color="auto"/>
              <w:bottom w:val="single" w:sz="4" w:space="0" w:color="auto"/>
            </w:tcBorders>
            <w:shd w:val="clear" w:color="auto" w:fill="auto"/>
            <w:vAlign w:val="bottom"/>
          </w:tcPr>
          <w:p w14:paraId="47E4B207" w14:textId="292FE288" w:rsidR="00CD5714" w:rsidRPr="00CD5714" w:rsidRDefault="00CD5714" w:rsidP="00CD5714">
            <w:pPr>
              <w:ind w:right="-72"/>
              <w:jc w:val="right"/>
              <w:rPr>
                <w:rFonts w:ascii="Arial" w:hAnsi="Arial" w:cs="Arial"/>
                <w:b/>
                <w:bCs/>
                <w:color w:val="000000"/>
                <w:sz w:val="20"/>
                <w:szCs w:val="20"/>
              </w:rPr>
            </w:pPr>
            <w:r w:rsidRPr="00CD5714">
              <w:rPr>
                <w:rFonts w:ascii="Arial" w:hAnsi="Arial" w:cs="Arial"/>
                <w:b/>
                <w:bCs/>
                <w:color w:val="000000"/>
                <w:sz w:val="20"/>
                <w:szCs w:val="20"/>
              </w:rPr>
              <w:t>Million Baht</w:t>
            </w:r>
          </w:p>
        </w:tc>
        <w:tc>
          <w:tcPr>
            <w:tcW w:w="1152" w:type="dxa"/>
            <w:tcBorders>
              <w:top w:val="single" w:sz="4" w:space="0" w:color="auto"/>
              <w:bottom w:val="single" w:sz="4" w:space="0" w:color="auto"/>
            </w:tcBorders>
            <w:shd w:val="clear" w:color="auto" w:fill="auto"/>
            <w:vAlign w:val="bottom"/>
          </w:tcPr>
          <w:p w14:paraId="2B8E81EC" w14:textId="2D124DAE" w:rsidR="00CD5714" w:rsidRPr="00CD5714" w:rsidRDefault="00CD5714" w:rsidP="00CD5714">
            <w:pPr>
              <w:ind w:right="-72"/>
              <w:jc w:val="right"/>
              <w:rPr>
                <w:rFonts w:ascii="Arial" w:hAnsi="Arial" w:cs="Arial"/>
                <w:b/>
                <w:bCs/>
                <w:color w:val="000000"/>
                <w:spacing w:val="-4"/>
                <w:sz w:val="20"/>
                <w:szCs w:val="20"/>
              </w:rPr>
            </w:pPr>
            <w:r w:rsidRPr="00CD5714">
              <w:rPr>
                <w:rFonts w:ascii="Arial" w:hAnsi="Arial" w:cs="Arial"/>
                <w:b/>
                <w:bCs/>
                <w:color w:val="000000"/>
                <w:spacing w:val="-4"/>
                <w:sz w:val="20"/>
                <w:szCs w:val="20"/>
              </w:rPr>
              <w:t>Million Singapore Dollar</w:t>
            </w:r>
          </w:p>
        </w:tc>
        <w:tc>
          <w:tcPr>
            <w:tcW w:w="1152" w:type="dxa"/>
            <w:tcBorders>
              <w:top w:val="single" w:sz="4" w:space="0" w:color="auto"/>
              <w:bottom w:val="single" w:sz="4" w:space="0" w:color="auto"/>
            </w:tcBorders>
            <w:shd w:val="clear" w:color="auto" w:fill="auto"/>
            <w:vAlign w:val="bottom"/>
          </w:tcPr>
          <w:p w14:paraId="151B0A3C" w14:textId="323AD09F" w:rsidR="00CD5714" w:rsidRPr="00CD5714" w:rsidRDefault="00CD5714" w:rsidP="00CD5714">
            <w:pPr>
              <w:ind w:right="-72"/>
              <w:jc w:val="right"/>
              <w:rPr>
                <w:rFonts w:ascii="Arial" w:hAnsi="Arial" w:cs="Arial"/>
                <w:b/>
                <w:bCs/>
                <w:color w:val="000000"/>
                <w:spacing w:val="-4"/>
                <w:sz w:val="20"/>
                <w:szCs w:val="20"/>
              </w:rPr>
            </w:pPr>
            <w:r w:rsidRPr="00CD5714">
              <w:rPr>
                <w:rFonts w:ascii="Arial" w:hAnsi="Arial" w:cs="Arial"/>
                <w:b/>
                <w:bCs/>
                <w:color w:val="000000"/>
                <w:spacing w:val="-4"/>
                <w:sz w:val="20"/>
                <w:szCs w:val="20"/>
              </w:rPr>
              <w:t>Million Chinese Yuan</w:t>
            </w:r>
          </w:p>
        </w:tc>
        <w:tc>
          <w:tcPr>
            <w:tcW w:w="1152" w:type="dxa"/>
            <w:tcBorders>
              <w:top w:val="single" w:sz="4" w:space="0" w:color="auto"/>
              <w:bottom w:val="single" w:sz="4" w:space="0" w:color="auto"/>
            </w:tcBorders>
            <w:shd w:val="clear" w:color="auto" w:fill="auto"/>
            <w:vAlign w:val="bottom"/>
          </w:tcPr>
          <w:p w14:paraId="15623762" w14:textId="77777777" w:rsidR="00CD5714" w:rsidRPr="00CD5714" w:rsidRDefault="00CD5714" w:rsidP="00CD5714">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CD5714">
              <w:rPr>
                <w:rFonts w:ascii="Arial" w:hAnsi="Arial" w:cs="Arial"/>
                <w:b/>
                <w:bCs/>
                <w:color w:val="000000"/>
                <w:sz w:val="20"/>
                <w:szCs w:val="20"/>
              </w:rPr>
              <w:t>Million</w:t>
            </w:r>
          </w:p>
          <w:p w14:paraId="49646EEC" w14:textId="73F37959" w:rsidR="00CD5714" w:rsidRPr="00CD5714" w:rsidRDefault="00CD5714" w:rsidP="00CD5714">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CD5714">
              <w:rPr>
                <w:rFonts w:ascii="Arial" w:hAnsi="Arial" w:cs="Arial"/>
                <w:b/>
                <w:bCs/>
                <w:color w:val="000000"/>
                <w:sz w:val="20"/>
                <w:szCs w:val="20"/>
              </w:rPr>
              <w:t>Japanese Yen</w:t>
            </w:r>
          </w:p>
        </w:tc>
        <w:tc>
          <w:tcPr>
            <w:tcW w:w="1152" w:type="dxa"/>
            <w:tcBorders>
              <w:top w:val="single" w:sz="4" w:space="0" w:color="auto"/>
              <w:bottom w:val="single" w:sz="4" w:space="0" w:color="auto"/>
            </w:tcBorders>
            <w:shd w:val="clear" w:color="auto" w:fill="auto"/>
            <w:vAlign w:val="bottom"/>
          </w:tcPr>
          <w:p w14:paraId="5E8347DC" w14:textId="77777777" w:rsidR="00CD5714" w:rsidRPr="00CD5714" w:rsidRDefault="00CD5714" w:rsidP="00CD5714">
            <w:pPr>
              <w:ind w:right="-72"/>
              <w:jc w:val="right"/>
              <w:rPr>
                <w:rFonts w:ascii="Arial" w:hAnsi="Arial" w:cs="Arial"/>
                <w:b/>
                <w:bCs/>
                <w:color w:val="000000"/>
                <w:spacing w:val="-4"/>
                <w:sz w:val="20"/>
                <w:szCs w:val="20"/>
              </w:rPr>
            </w:pPr>
            <w:r w:rsidRPr="00CD5714">
              <w:rPr>
                <w:rFonts w:ascii="Arial" w:hAnsi="Arial" w:cs="Arial"/>
                <w:b/>
                <w:bCs/>
                <w:color w:val="000000"/>
                <w:spacing w:val="-4"/>
                <w:sz w:val="20"/>
                <w:szCs w:val="20"/>
              </w:rPr>
              <w:t>Million</w:t>
            </w:r>
          </w:p>
          <w:p w14:paraId="2D002662" w14:textId="6D68BEED" w:rsidR="00CD5714" w:rsidRPr="00CD5714" w:rsidRDefault="00CD5714" w:rsidP="00CD5714">
            <w:pPr>
              <w:ind w:right="-72"/>
              <w:jc w:val="right"/>
              <w:rPr>
                <w:rFonts w:ascii="Arial" w:hAnsi="Arial" w:cs="Arial"/>
                <w:b/>
                <w:bCs/>
                <w:color w:val="000000"/>
                <w:spacing w:val="-4"/>
                <w:sz w:val="20"/>
                <w:szCs w:val="20"/>
              </w:rPr>
            </w:pPr>
            <w:r w:rsidRPr="00CD5714">
              <w:rPr>
                <w:rFonts w:ascii="Arial" w:hAnsi="Arial" w:cs="Arial"/>
                <w:b/>
                <w:bCs/>
                <w:color w:val="000000"/>
                <w:spacing w:val="-4"/>
                <w:sz w:val="20"/>
                <w:szCs w:val="20"/>
              </w:rPr>
              <w:t>US Dollar</w:t>
            </w:r>
          </w:p>
        </w:tc>
        <w:tc>
          <w:tcPr>
            <w:tcW w:w="1152" w:type="dxa"/>
            <w:tcBorders>
              <w:top w:val="single" w:sz="4" w:space="0" w:color="auto"/>
              <w:bottom w:val="single" w:sz="4" w:space="0" w:color="auto"/>
            </w:tcBorders>
            <w:shd w:val="clear" w:color="auto" w:fill="auto"/>
            <w:vAlign w:val="bottom"/>
          </w:tcPr>
          <w:p w14:paraId="79CD3E7C" w14:textId="66717B89" w:rsidR="00CD5714" w:rsidRPr="00CD5714" w:rsidRDefault="00CD5714" w:rsidP="00CD5714">
            <w:pPr>
              <w:ind w:right="-72"/>
              <w:jc w:val="right"/>
              <w:rPr>
                <w:rFonts w:ascii="Arial" w:hAnsi="Arial" w:cs="Arial"/>
                <w:b/>
                <w:bCs/>
                <w:color w:val="000000"/>
                <w:sz w:val="20"/>
                <w:szCs w:val="20"/>
              </w:rPr>
            </w:pPr>
            <w:r w:rsidRPr="00CD5714">
              <w:rPr>
                <w:rFonts w:ascii="Arial" w:hAnsi="Arial" w:cs="Arial"/>
                <w:b/>
                <w:bCs/>
                <w:color w:val="000000"/>
                <w:sz w:val="20"/>
                <w:szCs w:val="20"/>
              </w:rPr>
              <w:t>Million Baht</w:t>
            </w:r>
          </w:p>
        </w:tc>
      </w:tr>
      <w:tr w:rsidR="00CD5714" w:rsidRPr="00CD5714" w14:paraId="1A04029B" w14:textId="77777777" w:rsidTr="00CD5714">
        <w:trPr>
          <w:cantSplit/>
          <w:trHeight w:val="20"/>
        </w:trPr>
        <w:tc>
          <w:tcPr>
            <w:tcW w:w="3456" w:type="dxa"/>
            <w:shd w:val="clear" w:color="auto" w:fill="auto"/>
          </w:tcPr>
          <w:p w14:paraId="3576F4EC" w14:textId="77777777" w:rsidR="00CD5714" w:rsidRPr="00CD5714" w:rsidRDefault="00CD5714" w:rsidP="00CD5714">
            <w:pPr>
              <w:pStyle w:val="BodyTextIndent2"/>
              <w:spacing w:line="240" w:lineRule="auto"/>
              <w:ind w:left="-101"/>
              <w:rPr>
                <w:rFonts w:ascii="Arial" w:hAnsi="Arial" w:cs="Arial"/>
                <w:cs/>
              </w:rPr>
            </w:pPr>
          </w:p>
        </w:tc>
        <w:tc>
          <w:tcPr>
            <w:tcW w:w="1152" w:type="dxa"/>
            <w:tcBorders>
              <w:top w:val="single" w:sz="4" w:space="0" w:color="auto"/>
            </w:tcBorders>
            <w:shd w:val="clear" w:color="auto" w:fill="auto"/>
          </w:tcPr>
          <w:p w14:paraId="2F9ECF10" w14:textId="77777777" w:rsidR="00CD5714" w:rsidRPr="00CD5714" w:rsidRDefault="00CD5714" w:rsidP="00CD5714">
            <w:pPr>
              <w:pStyle w:val="BodyTextIndent2"/>
              <w:spacing w:line="240" w:lineRule="auto"/>
              <w:ind w:left="0" w:right="-72"/>
              <w:jc w:val="right"/>
              <w:rPr>
                <w:rFonts w:ascii="Arial" w:hAnsi="Arial" w:cs="Arial"/>
              </w:rPr>
            </w:pPr>
          </w:p>
        </w:tc>
        <w:tc>
          <w:tcPr>
            <w:tcW w:w="1152" w:type="dxa"/>
            <w:tcBorders>
              <w:top w:val="single" w:sz="4" w:space="0" w:color="auto"/>
            </w:tcBorders>
            <w:shd w:val="clear" w:color="auto" w:fill="auto"/>
          </w:tcPr>
          <w:p w14:paraId="7A7A5DAB" w14:textId="77777777" w:rsidR="00CD5714" w:rsidRPr="00CD5714" w:rsidRDefault="00CD5714" w:rsidP="00CD5714">
            <w:pPr>
              <w:pStyle w:val="BodyTextIndent2"/>
              <w:spacing w:line="240" w:lineRule="auto"/>
              <w:ind w:left="0" w:right="-72"/>
              <w:jc w:val="right"/>
              <w:rPr>
                <w:rFonts w:ascii="Arial" w:hAnsi="Arial" w:cs="Arial"/>
              </w:rPr>
            </w:pPr>
          </w:p>
        </w:tc>
        <w:tc>
          <w:tcPr>
            <w:tcW w:w="1152" w:type="dxa"/>
            <w:tcBorders>
              <w:top w:val="single" w:sz="4" w:space="0" w:color="auto"/>
            </w:tcBorders>
            <w:shd w:val="clear" w:color="auto" w:fill="auto"/>
          </w:tcPr>
          <w:p w14:paraId="4368668D" w14:textId="77777777" w:rsidR="00CD5714" w:rsidRPr="00CD5714" w:rsidRDefault="00CD5714" w:rsidP="00CD5714">
            <w:pPr>
              <w:pStyle w:val="BodyTextIndent2"/>
              <w:spacing w:line="240" w:lineRule="auto"/>
              <w:ind w:left="0" w:right="-72"/>
              <w:jc w:val="right"/>
              <w:rPr>
                <w:rFonts w:ascii="Arial" w:hAnsi="Arial" w:cs="Arial"/>
              </w:rPr>
            </w:pPr>
          </w:p>
        </w:tc>
        <w:tc>
          <w:tcPr>
            <w:tcW w:w="1152" w:type="dxa"/>
            <w:tcBorders>
              <w:top w:val="single" w:sz="4" w:space="0" w:color="auto"/>
            </w:tcBorders>
            <w:shd w:val="clear" w:color="auto" w:fill="auto"/>
          </w:tcPr>
          <w:p w14:paraId="1C56F7D5" w14:textId="77777777" w:rsidR="00CD5714" w:rsidRPr="00CD5714" w:rsidRDefault="00CD5714" w:rsidP="00CD5714">
            <w:pPr>
              <w:pStyle w:val="BodyTextIndent2"/>
              <w:spacing w:line="240" w:lineRule="auto"/>
              <w:ind w:left="0" w:right="-72"/>
              <w:jc w:val="right"/>
              <w:rPr>
                <w:rFonts w:ascii="Arial" w:hAnsi="Arial" w:cs="Arial"/>
              </w:rPr>
            </w:pPr>
          </w:p>
        </w:tc>
        <w:tc>
          <w:tcPr>
            <w:tcW w:w="1152" w:type="dxa"/>
            <w:tcBorders>
              <w:top w:val="single" w:sz="4" w:space="0" w:color="auto"/>
            </w:tcBorders>
            <w:shd w:val="clear" w:color="auto" w:fill="auto"/>
          </w:tcPr>
          <w:p w14:paraId="4F6E5E80" w14:textId="77777777" w:rsidR="00CD5714" w:rsidRPr="00CD5714" w:rsidRDefault="00CD5714" w:rsidP="00CD5714">
            <w:pPr>
              <w:pStyle w:val="BodyTextIndent2"/>
              <w:spacing w:line="240" w:lineRule="auto"/>
              <w:ind w:left="0" w:right="-72"/>
              <w:jc w:val="right"/>
              <w:rPr>
                <w:rFonts w:ascii="Arial" w:hAnsi="Arial" w:cs="Arial"/>
              </w:rPr>
            </w:pPr>
          </w:p>
        </w:tc>
        <w:tc>
          <w:tcPr>
            <w:tcW w:w="1152" w:type="dxa"/>
            <w:tcBorders>
              <w:top w:val="single" w:sz="4" w:space="0" w:color="auto"/>
            </w:tcBorders>
            <w:shd w:val="clear" w:color="auto" w:fill="auto"/>
          </w:tcPr>
          <w:p w14:paraId="582C3036" w14:textId="77777777" w:rsidR="00CD5714" w:rsidRPr="00CD5714" w:rsidRDefault="00CD5714" w:rsidP="00CD5714">
            <w:pPr>
              <w:ind w:right="-72"/>
              <w:jc w:val="right"/>
              <w:rPr>
                <w:rFonts w:ascii="Arial" w:hAnsi="Arial" w:cs="Arial"/>
                <w:b/>
                <w:bCs/>
                <w:color w:val="000000"/>
                <w:sz w:val="20"/>
                <w:szCs w:val="20"/>
              </w:rPr>
            </w:pPr>
          </w:p>
        </w:tc>
        <w:tc>
          <w:tcPr>
            <w:tcW w:w="1152" w:type="dxa"/>
            <w:tcBorders>
              <w:top w:val="single" w:sz="4" w:space="0" w:color="auto"/>
            </w:tcBorders>
            <w:shd w:val="clear" w:color="auto" w:fill="auto"/>
          </w:tcPr>
          <w:p w14:paraId="32426E0C" w14:textId="77777777" w:rsidR="00CD5714" w:rsidRPr="00CD5714" w:rsidRDefault="00CD5714" w:rsidP="00CD5714">
            <w:pPr>
              <w:ind w:right="-72"/>
              <w:jc w:val="right"/>
              <w:rPr>
                <w:rFonts w:ascii="Arial" w:hAnsi="Arial" w:cs="Arial"/>
                <w:b/>
                <w:bCs/>
                <w:color w:val="000000"/>
                <w:sz w:val="20"/>
                <w:szCs w:val="20"/>
              </w:rPr>
            </w:pPr>
          </w:p>
        </w:tc>
        <w:tc>
          <w:tcPr>
            <w:tcW w:w="1152" w:type="dxa"/>
            <w:tcBorders>
              <w:top w:val="single" w:sz="4" w:space="0" w:color="auto"/>
            </w:tcBorders>
            <w:shd w:val="clear" w:color="auto" w:fill="auto"/>
          </w:tcPr>
          <w:p w14:paraId="39848173" w14:textId="77777777" w:rsidR="00CD5714" w:rsidRPr="00CD5714" w:rsidRDefault="00CD5714" w:rsidP="00CD5714">
            <w:pPr>
              <w:rPr>
                <w:rFonts w:ascii="Arial" w:hAnsi="Arial" w:cs="Arial"/>
                <w:color w:val="000000"/>
                <w:sz w:val="20"/>
                <w:szCs w:val="20"/>
              </w:rPr>
            </w:pPr>
          </w:p>
        </w:tc>
        <w:tc>
          <w:tcPr>
            <w:tcW w:w="1152" w:type="dxa"/>
            <w:tcBorders>
              <w:top w:val="single" w:sz="4" w:space="0" w:color="auto"/>
            </w:tcBorders>
            <w:shd w:val="clear" w:color="auto" w:fill="auto"/>
          </w:tcPr>
          <w:p w14:paraId="27202CF4" w14:textId="77777777" w:rsidR="00CD5714" w:rsidRPr="00CD5714" w:rsidRDefault="00CD5714" w:rsidP="00CD5714">
            <w:pPr>
              <w:pStyle w:val="BodyTextIndent2"/>
              <w:spacing w:line="240" w:lineRule="auto"/>
              <w:ind w:left="0" w:right="-72"/>
              <w:jc w:val="right"/>
              <w:rPr>
                <w:rFonts w:ascii="Arial" w:hAnsi="Arial" w:cs="Arial"/>
              </w:rPr>
            </w:pPr>
          </w:p>
        </w:tc>
        <w:tc>
          <w:tcPr>
            <w:tcW w:w="1152" w:type="dxa"/>
            <w:tcBorders>
              <w:top w:val="single" w:sz="4" w:space="0" w:color="auto"/>
            </w:tcBorders>
            <w:shd w:val="clear" w:color="auto" w:fill="auto"/>
          </w:tcPr>
          <w:p w14:paraId="18694836" w14:textId="77777777" w:rsidR="00CD5714" w:rsidRPr="00CD5714" w:rsidRDefault="00CD5714" w:rsidP="00CD5714">
            <w:pPr>
              <w:pStyle w:val="BodyTextIndent2"/>
              <w:spacing w:line="240" w:lineRule="auto"/>
              <w:ind w:left="0" w:right="-72"/>
              <w:jc w:val="right"/>
              <w:rPr>
                <w:rFonts w:ascii="Arial" w:hAnsi="Arial" w:cs="Arial"/>
              </w:rPr>
            </w:pPr>
          </w:p>
        </w:tc>
      </w:tr>
      <w:tr w:rsidR="00CD5714" w:rsidRPr="00CD5714" w14:paraId="768E943E" w14:textId="77777777" w:rsidTr="00CD5714">
        <w:trPr>
          <w:cantSplit/>
          <w:trHeight w:val="20"/>
        </w:trPr>
        <w:tc>
          <w:tcPr>
            <w:tcW w:w="3456" w:type="dxa"/>
            <w:shd w:val="clear" w:color="auto" w:fill="auto"/>
            <w:vAlign w:val="bottom"/>
          </w:tcPr>
          <w:p w14:paraId="26E4B69F" w14:textId="77777777" w:rsidR="00CD5714" w:rsidRPr="00CD5714" w:rsidRDefault="00CD5714" w:rsidP="00CD5714">
            <w:pPr>
              <w:pStyle w:val="BodyTextIndent2"/>
              <w:spacing w:line="240" w:lineRule="auto"/>
              <w:ind w:left="-101"/>
              <w:jc w:val="left"/>
              <w:rPr>
                <w:rFonts w:ascii="Arial" w:hAnsi="Arial" w:cs="Arial"/>
              </w:rPr>
            </w:pPr>
            <w:r w:rsidRPr="00CD5714">
              <w:rPr>
                <w:rFonts w:ascii="Arial" w:hAnsi="Arial" w:cs="Arial"/>
              </w:rPr>
              <w:t xml:space="preserve">Building and machine under installation </w:t>
            </w:r>
          </w:p>
        </w:tc>
        <w:tc>
          <w:tcPr>
            <w:tcW w:w="1152" w:type="dxa"/>
            <w:shd w:val="clear" w:color="auto" w:fill="auto"/>
            <w:vAlign w:val="bottom"/>
          </w:tcPr>
          <w:p w14:paraId="2F3EC216" w14:textId="7D8536CF" w:rsidR="00CD5714" w:rsidRPr="00CD5714" w:rsidRDefault="00CD5714" w:rsidP="00CD5714">
            <w:pPr>
              <w:ind w:right="-72"/>
              <w:jc w:val="right"/>
              <w:rPr>
                <w:rFonts w:ascii="Arial" w:hAnsi="Arial" w:cs="Arial"/>
                <w:color w:val="000000"/>
                <w:sz w:val="20"/>
                <w:szCs w:val="20"/>
              </w:rPr>
            </w:pPr>
            <w:r w:rsidRPr="00CD5714">
              <w:rPr>
                <w:rFonts w:ascii="Arial" w:hAnsi="Arial" w:cs="Arial"/>
                <w:color w:val="000000"/>
                <w:sz w:val="20"/>
                <w:szCs w:val="20"/>
                <w:lang w:val="en-GB"/>
              </w:rPr>
              <w:t>2</w:t>
            </w:r>
          </w:p>
        </w:tc>
        <w:tc>
          <w:tcPr>
            <w:tcW w:w="1152" w:type="dxa"/>
            <w:shd w:val="clear" w:color="auto" w:fill="auto"/>
            <w:vAlign w:val="bottom"/>
          </w:tcPr>
          <w:p w14:paraId="15A8950B" w14:textId="348C5729" w:rsidR="00CD5714" w:rsidRPr="00CD5714" w:rsidRDefault="00CD5714" w:rsidP="00CD5714">
            <w:pPr>
              <w:ind w:right="-72"/>
              <w:jc w:val="right"/>
              <w:rPr>
                <w:rFonts w:ascii="Arial" w:hAnsi="Arial" w:cs="Arial"/>
                <w:color w:val="000000"/>
                <w:sz w:val="20"/>
                <w:szCs w:val="20"/>
              </w:rPr>
            </w:pPr>
            <w:r w:rsidRPr="00CD5714">
              <w:rPr>
                <w:rFonts w:ascii="Arial" w:hAnsi="Arial" w:cs="Arial"/>
                <w:color w:val="000000"/>
                <w:sz w:val="20"/>
                <w:szCs w:val="20"/>
                <w:lang w:val="en-GB"/>
              </w:rPr>
              <w:t>30</w:t>
            </w:r>
          </w:p>
        </w:tc>
        <w:tc>
          <w:tcPr>
            <w:tcW w:w="1152" w:type="dxa"/>
            <w:shd w:val="clear" w:color="auto" w:fill="auto"/>
            <w:vAlign w:val="bottom"/>
          </w:tcPr>
          <w:p w14:paraId="7F6A92AC" w14:textId="5C7104A2" w:rsidR="00CD5714" w:rsidRPr="00CD5714" w:rsidRDefault="00CD5714" w:rsidP="00CD5714">
            <w:pPr>
              <w:ind w:right="-72"/>
              <w:jc w:val="right"/>
              <w:rPr>
                <w:rFonts w:ascii="Arial" w:hAnsi="Arial" w:cs="Arial"/>
                <w:color w:val="000000"/>
                <w:sz w:val="20"/>
                <w:szCs w:val="20"/>
              </w:rPr>
            </w:pPr>
            <w:r w:rsidRPr="00CD5714">
              <w:rPr>
                <w:rFonts w:ascii="Arial" w:hAnsi="Arial" w:cs="Arial"/>
                <w:color w:val="000000"/>
                <w:sz w:val="20"/>
                <w:szCs w:val="20"/>
                <w:lang w:val="en-GB"/>
              </w:rPr>
              <w:t>17</w:t>
            </w:r>
          </w:p>
        </w:tc>
        <w:tc>
          <w:tcPr>
            <w:tcW w:w="1152" w:type="dxa"/>
            <w:shd w:val="clear" w:color="auto" w:fill="auto"/>
            <w:vAlign w:val="bottom"/>
          </w:tcPr>
          <w:p w14:paraId="5CF8A5A3" w14:textId="2408B919" w:rsidR="00CD5714" w:rsidRPr="00CD5714" w:rsidRDefault="00CD5714" w:rsidP="00CD5714">
            <w:pPr>
              <w:ind w:right="-72"/>
              <w:jc w:val="right"/>
              <w:rPr>
                <w:rFonts w:ascii="Arial" w:hAnsi="Arial" w:cs="Arial"/>
                <w:color w:val="000000"/>
                <w:sz w:val="20"/>
                <w:szCs w:val="20"/>
              </w:rPr>
            </w:pPr>
            <w:r w:rsidRPr="00CD5714">
              <w:rPr>
                <w:rFonts w:ascii="Arial" w:hAnsi="Arial" w:cs="Arial"/>
                <w:color w:val="000000"/>
                <w:sz w:val="20"/>
                <w:szCs w:val="20"/>
                <w:lang w:val="en-GB"/>
              </w:rPr>
              <w:t>26</w:t>
            </w:r>
          </w:p>
        </w:tc>
        <w:tc>
          <w:tcPr>
            <w:tcW w:w="1152" w:type="dxa"/>
            <w:shd w:val="clear" w:color="auto" w:fill="auto"/>
            <w:vAlign w:val="bottom"/>
          </w:tcPr>
          <w:p w14:paraId="49F73954" w14:textId="7A87424E" w:rsidR="00CD5714" w:rsidRPr="00CD5714" w:rsidRDefault="00CD5714" w:rsidP="00CD5714">
            <w:pPr>
              <w:ind w:right="-72"/>
              <w:jc w:val="right"/>
              <w:rPr>
                <w:rFonts w:ascii="Arial" w:hAnsi="Arial" w:cs="Arial"/>
                <w:color w:val="000000"/>
                <w:sz w:val="20"/>
                <w:szCs w:val="20"/>
              </w:rPr>
            </w:pPr>
            <w:r w:rsidRPr="00CD5714">
              <w:rPr>
                <w:rFonts w:ascii="Arial" w:hAnsi="Arial" w:cs="Arial"/>
                <w:color w:val="000000"/>
                <w:sz w:val="20"/>
                <w:szCs w:val="20"/>
                <w:lang w:val="en-GB"/>
              </w:rPr>
              <w:t>1</w:t>
            </w:r>
            <w:r w:rsidRPr="00CD5714">
              <w:rPr>
                <w:rFonts w:ascii="Arial" w:hAnsi="Arial" w:cs="Arial"/>
                <w:color w:val="000000"/>
                <w:sz w:val="20"/>
                <w:szCs w:val="20"/>
              </w:rPr>
              <w:t>,</w:t>
            </w:r>
            <w:r w:rsidRPr="00CD5714">
              <w:rPr>
                <w:rFonts w:ascii="Arial" w:hAnsi="Arial" w:cs="Arial"/>
                <w:color w:val="000000"/>
                <w:sz w:val="20"/>
                <w:szCs w:val="20"/>
                <w:lang w:val="en-GB"/>
              </w:rPr>
              <w:t>732</w:t>
            </w:r>
          </w:p>
        </w:tc>
        <w:tc>
          <w:tcPr>
            <w:tcW w:w="1152" w:type="dxa"/>
            <w:shd w:val="clear" w:color="auto" w:fill="auto"/>
            <w:vAlign w:val="bottom"/>
          </w:tcPr>
          <w:p w14:paraId="2C5F2090" w14:textId="4DF2815A" w:rsidR="00CD5714" w:rsidRPr="00CD5714" w:rsidRDefault="00CD5714" w:rsidP="00CD5714">
            <w:pPr>
              <w:ind w:right="-72"/>
              <w:jc w:val="right"/>
              <w:rPr>
                <w:rFonts w:ascii="Arial" w:hAnsi="Arial" w:cs="Arial"/>
                <w:color w:val="000000"/>
                <w:sz w:val="20"/>
                <w:szCs w:val="20"/>
              </w:rPr>
            </w:pPr>
            <w:r w:rsidRPr="00CD5714">
              <w:rPr>
                <w:rFonts w:ascii="Arial" w:hAnsi="Arial" w:cs="Arial"/>
                <w:color w:val="000000"/>
                <w:sz w:val="20"/>
                <w:szCs w:val="20"/>
                <w:lang w:val="en-GB"/>
              </w:rPr>
              <w:t>2</w:t>
            </w:r>
          </w:p>
        </w:tc>
        <w:tc>
          <w:tcPr>
            <w:tcW w:w="1152" w:type="dxa"/>
            <w:shd w:val="clear" w:color="auto" w:fill="auto"/>
            <w:vAlign w:val="bottom"/>
          </w:tcPr>
          <w:p w14:paraId="5870EE02" w14:textId="590695D6" w:rsidR="00CD5714" w:rsidRPr="00CD5714" w:rsidRDefault="00CD5714" w:rsidP="00CD5714">
            <w:pPr>
              <w:ind w:right="-72"/>
              <w:jc w:val="right"/>
              <w:rPr>
                <w:rFonts w:ascii="Arial" w:hAnsi="Arial" w:cs="Arial"/>
                <w:color w:val="000000"/>
                <w:sz w:val="20"/>
                <w:szCs w:val="20"/>
              </w:rPr>
            </w:pPr>
            <w:r w:rsidRPr="00CD5714">
              <w:rPr>
                <w:rFonts w:ascii="Arial" w:hAnsi="Arial" w:cs="Arial"/>
                <w:color w:val="000000"/>
                <w:sz w:val="20"/>
                <w:szCs w:val="20"/>
                <w:lang w:val="en-GB"/>
              </w:rPr>
              <w:t>20</w:t>
            </w:r>
          </w:p>
        </w:tc>
        <w:tc>
          <w:tcPr>
            <w:tcW w:w="1152" w:type="dxa"/>
            <w:shd w:val="clear" w:color="auto" w:fill="auto"/>
            <w:vAlign w:val="bottom"/>
          </w:tcPr>
          <w:p w14:paraId="7F679751" w14:textId="6C8336F8" w:rsidR="00CD5714" w:rsidRPr="00CD5714" w:rsidRDefault="00CD5714" w:rsidP="00CD5714">
            <w:pPr>
              <w:ind w:right="-72"/>
              <w:jc w:val="right"/>
              <w:rPr>
                <w:rFonts w:ascii="Arial" w:hAnsi="Arial" w:cs="Arial"/>
                <w:color w:val="000000"/>
                <w:sz w:val="20"/>
                <w:szCs w:val="20"/>
              </w:rPr>
            </w:pPr>
            <w:r w:rsidRPr="00CD5714">
              <w:rPr>
                <w:rFonts w:ascii="Arial" w:hAnsi="Arial" w:cs="Arial"/>
                <w:color w:val="000000"/>
                <w:sz w:val="20"/>
                <w:szCs w:val="20"/>
                <w:lang w:val="en-GB"/>
              </w:rPr>
              <w:t>935</w:t>
            </w:r>
          </w:p>
        </w:tc>
        <w:tc>
          <w:tcPr>
            <w:tcW w:w="1152" w:type="dxa"/>
            <w:shd w:val="clear" w:color="auto" w:fill="auto"/>
            <w:vAlign w:val="bottom"/>
          </w:tcPr>
          <w:p w14:paraId="5AB39360" w14:textId="50F30C24" w:rsidR="00CD5714" w:rsidRPr="00CD5714" w:rsidRDefault="00CD5714" w:rsidP="00CD5714">
            <w:pPr>
              <w:ind w:right="-72"/>
              <w:jc w:val="right"/>
              <w:rPr>
                <w:rFonts w:ascii="Arial" w:hAnsi="Arial" w:cs="Arial"/>
                <w:color w:val="000000"/>
                <w:sz w:val="20"/>
                <w:szCs w:val="20"/>
              </w:rPr>
            </w:pPr>
            <w:r w:rsidRPr="00CD5714">
              <w:rPr>
                <w:rFonts w:ascii="Arial" w:hAnsi="Arial" w:cs="Arial"/>
                <w:color w:val="000000"/>
                <w:sz w:val="20"/>
                <w:szCs w:val="20"/>
                <w:lang w:val="en-GB"/>
              </w:rPr>
              <w:t>10</w:t>
            </w:r>
          </w:p>
        </w:tc>
        <w:tc>
          <w:tcPr>
            <w:tcW w:w="1152" w:type="dxa"/>
            <w:shd w:val="clear" w:color="auto" w:fill="auto"/>
            <w:vAlign w:val="bottom"/>
          </w:tcPr>
          <w:p w14:paraId="3629A43D" w14:textId="7AB4FA3D" w:rsidR="00CD5714" w:rsidRPr="00CD5714" w:rsidRDefault="00CD5714" w:rsidP="00CD5714">
            <w:pPr>
              <w:ind w:right="-72"/>
              <w:jc w:val="right"/>
              <w:rPr>
                <w:rFonts w:ascii="Arial" w:hAnsi="Arial" w:cs="Arial"/>
                <w:color w:val="000000"/>
                <w:sz w:val="20"/>
                <w:szCs w:val="20"/>
              </w:rPr>
            </w:pPr>
            <w:r w:rsidRPr="00CD5714">
              <w:rPr>
                <w:rFonts w:ascii="Arial" w:hAnsi="Arial" w:cs="Arial"/>
                <w:color w:val="000000"/>
                <w:sz w:val="20"/>
                <w:szCs w:val="20"/>
                <w:lang w:val="en-GB"/>
              </w:rPr>
              <w:t>616</w:t>
            </w:r>
          </w:p>
        </w:tc>
      </w:tr>
      <w:tr w:rsidR="00CD5714" w:rsidRPr="00CD5714" w14:paraId="5ACE17EE" w14:textId="77777777" w:rsidTr="00CD5714">
        <w:trPr>
          <w:cantSplit/>
          <w:trHeight w:val="20"/>
        </w:trPr>
        <w:tc>
          <w:tcPr>
            <w:tcW w:w="3456" w:type="dxa"/>
            <w:shd w:val="clear" w:color="auto" w:fill="auto"/>
            <w:vAlign w:val="bottom"/>
          </w:tcPr>
          <w:p w14:paraId="56DA17CA" w14:textId="77777777" w:rsidR="00CD5714" w:rsidRPr="00CD5714" w:rsidRDefault="00CD5714" w:rsidP="00CD5714">
            <w:pPr>
              <w:pStyle w:val="BodyTextIndent2"/>
              <w:spacing w:line="240" w:lineRule="auto"/>
              <w:ind w:left="-101"/>
              <w:jc w:val="left"/>
              <w:rPr>
                <w:rFonts w:ascii="Arial" w:hAnsi="Arial" w:cs="Arial"/>
              </w:rPr>
            </w:pPr>
            <w:r w:rsidRPr="00CD5714">
              <w:rPr>
                <w:rFonts w:ascii="Arial" w:hAnsi="Arial" w:cs="Arial"/>
              </w:rPr>
              <w:t xml:space="preserve">Project design consultant and </w:t>
            </w:r>
          </w:p>
        </w:tc>
        <w:tc>
          <w:tcPr>
            <w:tcW w:w="1152" w:type="dxa"/>
            <w:shd w:val="clear" w:color="auto" w:fill="auto"/>
            <w:vAlign w:val="bottom"/>
          </w:tcPr>
          <w:p w14:paraId="07CF9799" w14:textId="6AF24627" w:rsidR="00CD5714" w:rsidRPr="00CD5714" w:rsidRDefault="00CD5714" w:rsidP="00CD5714">
            <w:pPr>
              <w:ind w:right="-72"/>
              <w:jc w:val="right"/>
              <w:rPr>
                <w:rFonts w:ascii="Arial" w:hAnsi="Arial" w:cs="Arial"/>
                <w:color w:val="000000"/>
                <w:sz w:val="20"/>
                <w:szCs w:val="20"/>
              </w:rPr>
            </w:pPr>
          </w:p>
        </w:tc>
        <w:tc>
          <w:tcPr>
            <w:tcW w:w="1152" w:type="dxa"/>
            <w:shd w:val="clear" w:color="auto" w:fill="auto"/>
            <w:vAlign w:val="bottom"/>
          </w:tcPr>
          <w:p w14:paraId="41F77BAF" w14:textId="3AE7D565" w:rsidR="00CD5714" w:rsidRPr="00CD5714" w:rsidRDefault="00CD5714" w:rsidP="00CD5714">
            <w:pPr>
              <w:ind w:right="-72"/>
              <w:jc w:val="right"/>
              <w:rPr>
                <w:rFonts w:ascii="Arial" w:hAnsi="Arial" w:cs="Arial"/>
                <w:color w:val="000000"/>
                <w:sz w:val="20"/>
                <w:szCs w:val="20"/>
              </w:rPr>
            </w:pPr>
          </w:p>
        </w:tc>
        <w:tc>
          <w:tcPr>
            <w:tcW w:w="1152" w:type="dxa"/>
            <w:shd w:val="clear" w:color="auto" w:fill="auto"/>
            <w:vAlign w:val="bottom"/>
          </w:tcPr>
          <w:p w14:paraId="4E50BDC4" w14:textId="47484765" w:rsidR="00CD5714" w:rsidRPr="00CD5714" w:rsidRDefault="00CD5714" w:rsidP="00CD5714">
            <w:pPr>
              <w:ind w:right="-72"/>
              <w:jc w:val="right"/>
              <w:rPr>
                <w:rFonts w:ascii="Arial" w:hAnsi="Arial" w:cs="Arial"/>
                <w:color w:val="000000"/>
                <w:sz w:val="20"/>
                <w:szCs w:val="20"/>
              </w:rPr>
            </w:pPr>
          </w:p>
        </w:tc>
        <w:tc>
          <w:tcPr>
            <w:tcW w:w="1152" w:type="dxa"/>
            <w:shd w:val="clear" w:color="auto" w:fill="auto"/>
            <w:vAlign w:val="bottom"/>
          </w:tcPr>
          <w:p w14:paraId="5CCDCEE1" w14:textId="085FA5E6" w:rsidR="00CD5714" w:rsidRPr="00CD5714" w:rsidRDefault="00CD5714" w:rsidP="00CD5714">
            <w:pPr>
              <w:ind w:right="-72"/>
              <w:jc w:val="right"/>
              <w:rPr>
                <w:rFonts w:ascii="Arial" w:hAnsi="Arial" w:cs="Arial"/>
                <w:color w:val="000000"/>
                <w:sz w:val="20"/>
                <w:szCs w:val="20"/>
              </w:rPr>
            </w:pPr>
          </w:p>
        </w:tc>
        <w:tc>
          <w:tcPr>
            <w:tcW w:w="1152" w:type="dxa"/>
            <w:shd w:val="clear" w:color="auto" w:fill="auto"/>
            <w:vAlign w:val="bottom"/>
          </w:tcPr>
          <w:p w14:paraId="5E866B19" w14:textId="3630C76E" w:rsidR="00CD5714" w:rsidRPr="00CD5714" w:rsidRDefault="00CD5714" w:rsidP="00CD5714">
            <w:pPr>
              <w:ind w:right="-72"/>
              <w:jc w:val="right"/>
              <w:rPr>
                <w:rFonts w:ascii="Arial" w:hAnsi="Arial" w:cs="Arial"/>
                <w:color w:val="000000"/>
                <w:sz w:val="20"/>
                <w:szCs w:val="20"/>
              </w:rPr>
            </w:pPr>
          </w:p>
        </w:tc>
        <w:tc>
          <w:tcPr>
            <w:tcW w:w="1152" w:type="dxa"/>
            <w:shd w:val="clear" w:color="auto" w:fill="auto"/>
            <w:vAlign w:val="bottom"/>
          </w:tcPr>
          <w:p w14:paraId="65C7845B" w14:textId="77777777" w:rsidR="00CD5714" w:rsidRPr="00CD5714" w:rsidRDefault="00CD5714" w:rsidP="00CD5714">
            <w:pPr>
              <w:ind w:right="-72"/>
              <w:jc w:val="right"/>
              <w:rPr>
                <w:rFonts w:ascii="Arial" w:hAnsi="Arial" w:cs="Arial"/>
                <w:color w:val="000000"/>
                <w:sz w:val="20"/>
                <w:szCs w:val="20"/>
              </w:rPr>
            </w:pPr>
          </w:p>
        </w:tc>
        <w:tc>
          <w:tcPr>
            <w:tcW w:w="1152" w:type="dxa"/>
            <w:shd w:val="clear" w:color="auto" w:fill="auto"/>
            <w:vAlign w:val="bottom"/>
          </w:tcPr>
          <w:p w14:paraId="322D94F0" w14:textId="77777777" w:rsidR="00CD5714" w:rsidRPr="00CD5714" w:rsidRDefault="00CD5714" w:rsidP="00CD5714">
            <w:pPr>
              <w:ind w:right="-72"/>
              <w:jc w:val="right"/>
              <w:rPr>
                <w:rFonts w:ascii="Arial" w:hAnsi="Arial" w:cs="Arial"/>
                <w:color w:val="000000"/>
                <w:sz w:val="20"/>
                <w:szCs w:val="20"/>
              </w:rPr>
            </w:pPr>
          </w:p>
        </w:tc>
        <w:tc>
          <w:tcPr>
            <w:tcW w:w="1152" w:type="dxa"/>
            <w:shd w:val="clear" w:color="auto" w:fill="auto"/>
            <w:vAlign w:val="bottom"/>
          </w:tcPr>
          <w:p w14:paraId="19B79B06" w14:textId="77777777" w:rsidR="00CD5714" w:rsidRPr="00CD5714" w:rsidRDefault="00CD5714" w:rsidP="00CD5714">
            <w:pPr>
              <w:ind w:right="-72"/>
              <w:jc w:val="right"/>
              <w:rPr>
                <w:rFonts w:ascii="Arial" w:hAnsi="Arial" w:cs="Arial"/>
                <w:color w:val="000000"/>
                <w:sz w:val="20"/>
                <w:szCs w:val="20"/>
              </w:rPr>
            </w:pPr>
          </w:p>
        </w:tc>
        <w:tc>
          <w:tcPr>
            <w:tcW w:w="1152" w:type="dxa"/>
            <w:shd w:val="clear" w:color="auto" w:fill="auto"/>
            <w:vAlign w:val="bottom"/>
          </w:tcPr>
          <w:p w14:paraId="5938D19F" w14:textId="77777777" w:rsidR="00CD5714" w:rsidRPr="00CD5714" w:rsidRDefault="00CD5714" w:rsidP="00CD5714">
            <w:pPr>
              <w:ind w:right="-72"/>
              <w:jc w:val="right"/>
              <w:rPr>
                <w:rFonts w:ascii="Arial" w:hAnsi="Arial" w:cs="Arial"/>
                <w:color w:val="000000"/>
                <w:sz w:val="20"/>
                <w:szCs w:val="20"/>
              </w:rPr>
            </w:pPr>
          </w:p>
        </w:tc>
        <w:tc>
          <w:tcPr>
            <w:tcW w:w="1152" w:type="dxa"/>
            <w:shd w:val="clear" w:color="auto" w:fill="auto"/>
            <w:vAlign w:val="bottom"/>
          </w:tcPr>
          <w:p w14:paraId="73CEACF5" w14:textId="77777777" w:rsidR="00CD5714" w:rsidRPr="00CD5714" w:rsidRDefault="00CD5714" w:rsidP="00CD5714">
            <w:pPr>
              <w:ind w:right="-72"/>
              <w:jc w:val="right"/>
              <w:rPr>
                <w:rFonts w:ascii="Arial" w:hAnsi="Arial" w:cs="Arial"/>
                <w:color w:val="000000"/>
                <w:sz w:val="20"/>
                <w:szCs w:val="20"/>
              </w:rPr>
            </w:pPr>
          </w:p>
        </w:tc>
      </w:tr>
      <w:tr w:rsidR="00CD5714" w:rsidRPr="00CD5714" w14:paraId="0B2A2034" w14:textId="77777777" w:rsidTr="00CD5714">
        <w:trPr>
          <w:cantSplit/>
          <w:trHeight w:val="20"/>
        </w:trPr>
        <w:tc>
          <w:tcPr>
            <w:tcW w:w="3456" w:type="dxa"/>
            <w:shd w:val="clear" w:color="auto" w:fill="auto"/>
            <w:vAlign w:val="bottom"/>
          </w:tcPr>
          <w:p w14:paraId="2F78F914" w14:textId="77777777" w:rsidR="00CD5714" w:rsidRPr="00CD5714" w:rsidRDefault="00CD5714" w:rsidP="00CD5714">
            <w:pPr>
              <w:pStyle w:val="BodyTextIndent2"/>
              <w:spacing w:line="240" w:lineRule="auto"/>
              <w:ind w:left="-101"/>
              <w:jc w:val="left"/>
              <w:rPr>
                <w:rFonts w:ascii="Arial" w:hAnsi="Arial" w:cs="Arial"/>
              </w:rPr>
            </w:pPr>
            <w:r w:rsidRPr="00CD5714">
              <w:rPr>
                <w:rFonts w:ascii="Arial" w:hAnsi="Arial" w:cs="Arial"/>
              </w:rPr>
              <w:t xml:space="preserve">   other service fees</w:t>
            </w:r>
          </w:p>
        </w:tc>
        <w:tc>
          <w:tcPr>
            <w:tcW w:w="1152" w:type="dxa"/>
            <w:tcBorders>
              <w:bottom w:val="single" w:sz="4" w:space="0" w:color="auto"/>
            </w:tcBorders>
            <w:shd w:val="clear" w:color="auto" w:fill="auto"/>
            <w:vAlign w:val="bottom"/>
          </w:tcPr>
          <w:p w14:paraId="4EF83228" w14:textId="215242C5" w:rsidR="00CD5714" w:rsidRPr="00CD5714" w:rsidRDefault="00CD5714" w:rsidP="00CD5714">
            <w:pPr>
              <w:ind w:right="-72"/>
              <w:jc w:val="right"/>
              <w:rPr>
                <w:rFonts w:ascii="Arial" w:hAnsi="Arial" w:cs="Arial"/>
                <w:color w:val="000000"/>
                <w:sz w:val="20"/>
                <w:szCs w:val="20"/>
              </w:rPr>
            </w:pPr>
            <w:r w:rsidRPr="00CD5714">
              <w:rPr>
                <w:rFonts w:ascii="Arial" w:hAnsi="Arial" w:cs="Arial"/>
                <w:color w:val="000000"/>
                <w:sz w:val="20"/>
                <w:szCs w:val="20"/>
              </w:rPr>
              <w:t>-</w:t>
            </w:r>
          </w:p>
        </w:tc>
        <w:tc>
          <w:tcPr>
            <w:tcW w:w="1152" w:type="dxa"/>
            <w:tcBorders>
              <w:bottom w:val="single" w:sz="4" w:space="0" w:color="auto"/>
            </w:tcBorders>
            <w:shd w:val="clear" w:color="auto" w:fill="auto"/>
            <w:vAlign w:val="bottom"/>
          </w:tcPr>
          <w:p w14:paraId="22A903B9" w14:textId="6BD841A7" w:rsidR="00CD5714" w:rsidRPr="00CD5714" w:rsidRDefault="00CD5714" w:rsidP="00CD5714">
            <w:pPr>
              <w:ind w:right="-72"/>
              <w:jc w:val="right"/>
              <w:rPr>
                <w:rFonts w:ascii="Arial" w:hAnsi="Arial" w:cs="Arial"/>
                <w:color w:val="000000"/>
                <w:sz w:val="20"/>
                <w:szCs w:val="20"/>
              </w:rPr>
            </w:pPr>
            <w:r w:rsidRPr="00CD5714">
              <w:rPr>
                <w:rFonts w:ascii="Arial" w:hAnsi="Arial" w:cs="Arial"/>
                <w:color w:val="000000"/>
                <w:sz w:val="20"/>
                <w:szCs w:val="20"/>
              </w:rPr>
              <w:t>-</w:t>
            </w:r>
          </w:p>
        </w:tc>
        <w:tc>
          <w:tcPr>
            <w:tcW w:w="1152" w:type="dxa"/>
            <w:tcBorders>
              <w:bottom w:val="single" w:sz="4" w:space="0" w:color="auto"/>
            </w:tcBorders>
            <w:shd w:val="clear" w:color="auto" w:fill="auto"/>
            <w:vAlign w:val="bottom"/>
          </w:tcPr>
          <w:p w14:paraId="490085DB" w14:textId="625B8573" w:rsidR="00CD5714" w:rsidRPr="00CD5714" w:rsidRDefault="00CD5714" w:rsidP="00CD5714">
            <w:pPr>
              <w:ind w:right="-72"/>
              <w:jc w:val="right"/>
              <w:rPr>
                <w:rFonts w:ascii="Arial" w:hAnsi="Arial" w:cs="Arial"/>
                <w:color w:val="000000"/>
                <w:sz w:val="20"/>
                <w:szCs w:val="20"/>
              </w:rPr>
            </w:pPr>
            <w:r w:rsidRPr="00CD5714">
              <w:rPr>
                <w:rFonts w:ascii="Arial" w:hAnsi="Arial" w:cs="Arial"/>
                <w:color w:val="000000"/>
                <w:sz w:val="20"/>
                <w:szCs w:val="20"/>
              </w:rPr>
              <w:t>-</w:t>
            </w:r>
          </w:p>
        </w:tc>
        <w:tc>
          <w:tcPr>
            <w:tcW w:w="1152" w:type="dxa"/>
            <w:tcBorders>
              <w:bottom w:val="single" w:sz="4" w:space="0" w:color="auto"/>
            </w:tcBorders>
            <w:shd w:val="clear" w:color="auto" w:fill="auto"/>
            <w:vAlign w:val="bottom"/>
          </w:tcPr>
          <w:p w14:paraId="30FF231B" w14:textId="727BCA39" w:rsidR="00CD5714" w:rsidRPr="00CD5714" w:rsidRDefault="00CD5714" w:rsidP="00CD5714">
            <w:pPr>
              <w:ind w:right="-72"/>
              <w:jc w:val="right"/>
              <w:rPr>
                <w:rFonts w:ascii="Arial" w:hAnsi="Arial" w:cs="Arial"/>
                <w:color w:val="000000"/>
                <w:sz w:val="20"/>
                <w:szCs w:val="20"/>
              </w:rPr>
            </w:pPr>
            <w:r w:rsidRPr="00CD5714">
              <w:rPr>
                <w:rFonts w:ascii="Arial" w:hAnsi="Arial" w:cs="Arial"/>
                <w:color w:val="000000"/>
                <w:sz w:val="20"/>
                <w:szCs w:val="20"/>
              </w:rPr>
              <w:t>-</w:t>
            </w:r>
          </w:p>
        </w:tc>
        <w:tc>
          <w:tcPr>
            <w:tcW w:w="1152" w:type="dxa"/>
            <w:tcBorders>
              <w:bottom w:val="single" w:sz="4" w:space="0" w:color="auto"/>
            </w:tcBorders>
            <w:shd w:val="clear" w:color="auto" w:fill="auto"/>
            <w:vAlign w:val="bottom"/>
          </w:tcPr>
          <w:p w14:paraId="46F29BE6" w14:textId="7CAF8FCC" w:rsidR="00CD5714" w:rsidRPr="00CD5714" w:rsidRDefault="00CD5714" w:rsidP="00CD5714">
            <w:pPr>
              <w:ind w:right="-72"/>
              <w:jc w:val="right"/>
              <w:rPr>
                <w:rFonts w:ascii="Arial" w:hAnsi="Arial" w:cs="Arial"/>
                <w:color w:val="000000"/>
                <w:sz w:val="20"/>
                <w:szCs w:val="20"/>
              </w:rPr>
            </w:pPr>
            <w:r w:rsidRPr="00CD5714">
              <w:rPr>
                <w:rFonts w:ascii="Arial" w:hAnsi="Arial" w:cs="Arial"/>
                <w:color w:val="000000"/>
                <w:sz w:val="20"/>
                <w:szCs w:val="20"/>
                <w:lang w:val="en-GB"/>
              </w:rPr>
              <w:t>231</w:t>
            </w:r>
          </w:p>
        </w:tc>
        <w:tc>
          <w:tcPr>
            <w:tcW w:w="1152" w:type="dxa"/>
            <w:tcBorders>
              <w:bottom w:val="single" w:sz="4" w:space="0" w:color="auto"/>
            </w:tcBorders>
            <w:shd w:val="clear" w:color="auto" w:fill="auto"/>
            <w:vAlign w:val="bottom"/>
          </w:tcPr>
          <w:p w14:paraId="64539F45" w14:textId="266E3E93" w:rsidR="00CD5714" w:rsidRPr="00CD5714" w:rsidRDefault="00CD5714" w:rsidP="00CD5714">
            <w:pPr>
              <w:ind w:right="-72"/>
              <w:jc w:val="right"/>
              <w:rPr>
                <w:rFonts w:ascii="Arial" w:hAnsi="Arial" w:cs="Arial"/>
                <w:color w:val="000000"/>
                <w:sz w:val="20"/>
                <w:szCs w:val="20"/>
              </w:rPr>
            </w:pPr>
            <w:r w:rsidRPr="00CD5714">
              <w:rPr>
                <w:rFonts w:ascii="Arial" w:hAnsi="Arial" w:cs="Arial"/>
                <w:color w:val="000000"/>
                <w:sz w:val="20"/>
                <w:szCs w:val="20"/>
              </w:rPr>
              <w:t>-</w:t>
            </w:r>
          </w:p>
        </w:tc>
        <w:tc>
          <w:tcPr>
            <w:tcW w:w="1152" w:type="dxa"/>
            <w:tcBorders>
              <w:bottom w:val="single" w:sz="4" w:space="0" w:color="auto"/>
            </w:tcBorders>
            <w:shd w:val="clear" w:color="auto" w:fill="auto"/>
            <w:vAlign w:val="bottom"/>
          </w:tcPr>
          <w:p w14:paraId="7711F64D" w14:textId="71B11E6A" w:rsidR="00CD5714" w:rsidRPr="00CD5714" w:rsidRDefault="00CD5714" w:rsidP="00CD5714">
            <w:pPr>
              <w:ind w:right="-72"/>
              <w:jc w:val="right"/>
              <w:rPr>
                <w:rFonts w:ascii="Arial" w:hAnsi="Arial" w:cs="Arial"/>
                <w:color w:val="000000"/>
                <w:sz w:val="20"/>
                <w:szCs w:val="20"/>
              </w:rPr>
            </w:pPr>
            <w:r w:rsidRPr="00CD5714">
              <w:rPr>
                <w:rFonts w:ascii="Arial" w:hAnsi="Arial" w:cs="Arial"/>
                <w:color w:val="000000"/>
                <w:sz w:val="20"/>
                <w:szCs w:val="20"/>
              </w:rPr>
              <w:t>-</w:t>
            </w:r>
          </w:p>
        </w:tc>
        <w:tc>
          <w:tcPr>
            <w:tcW w:w="1152" w:type="dxa"/>
            <w:tcBorders>
              <w:bottom w:val="single" w:sz="4" w:space="0" w:color="auto"/>
            </w:tcBorders>
            <w:shd w:val="clear" w:color="auto" w:fill="auto"/>
            <w:vAlign w:val="bottom"/>
          </w:tcPr>
          <w:p w14:paraId="0722D8D2" w14:textId="2699C92D" w:rsidR="00CD5714" w:rsidRPr="00CD5714" w:rsidRDefault="00CD5714" w:rsidP="00CD5714">
            <w:pPr>
              <w:ind w:right="-72"/>
              <w:jc w:val="right"/>
              <w:rPr>
                <w:rFonts w:ascii="Arial" w:hAnsi="Arial" w:cs="Arial"/>
                <w:color w:val="000000"/>
                <w:sz w:val="20"/>
                <w:szCs w:val="20"/>
              </w:rPr>
            </w:pPr>
            <w:r w:rsidRPr="00CD5714">
              <w:rPr>
                <w:rFonts w:ascii="Arial" w:hAnsi="Arial" w:cs="Arial"/>
                <w:color w:val="000000"/>
                <w:sz w:val="20"/>
                <w:szCs w:val="20"/>
              </w:rPr>
              <w:t>-</w:t>
            </w:r>
          </w:p>
        </w:tc>
        <w:tc>
          <w:tcPr>
            <w:tcW w:w="1152" w:type="dxa"/>
            <w:tcBorders>
              <w:bottom w:val="single" w:sz="4" w:space="0" w:color="auto"/>
            </w:tcBorders>
            <w:shd w:val="clear" w:color="auto" w:fill="auto"/>
            <w:vAlign w:val="bottom"/>
          </w:tcPr>
          <w:p w14:paraId="01DC055E" w14:textId="3DD85379" w:rsidR="00CD5714" w:rsidRPr="00CD5714" w:rsidRDefault="00CD5714" w:rsidP="00CD5714">
            <w:pPr>
              <w:ind w:right="-72"/>
              <w:jc w:val="right"/>
              <w:rPr>
                <w:rFonts w:ascii="Arial" w:hAnsi="Arial" w:cs="Arial"/>
                <w:color w:val="000000"/>
                <w:sz w:val="20"/>
                <w:szCs w:val="20"/>
              </w:rPr>
            </w:pPr>
            <w:r w:rsidRPr="00CD5714">
              <w:rPr>
                <w:rFonts w:ascii="Arial" w:hAnsi="Arial" w:cs="Arial"/>
                <w:color w:val="000000"/>
                <w:sz w:val="20"/>
                <w:szCs w:val="20"/>
              </w:rPr>
              <w:t>-</w:t>
            </w:r>
          </w:p>
        </w:tc>
        <w:tc>
          <w:tcPr>
            <w:tcW w:w="1152" w:type="dxa"/>
            <w:tcBorders>
              <w:bottom w:val="single" w:sz="4" w:space="0" w:color="auto"/>
            </w:tcBorders>
            <w:shd w:val="clear" w:color="auto" w:fill="auto"/>
            <w:vAlign w:val="bottom"/>
          </w:tcPr>
          <w:p w14:paraId="70C686B1" w14:textId="2E933AA7" w:rsidR="00CD5714" w:rsidRPr="00CD5714" w:rsidRDefault="00CD5714" w:rsidP="00CD5714">
            <w:pPr>
              <w:ind w:right="-72"/>
              <w:jc w:val="right"/>
              <w:rPr>
                <w:rFonts w:ascii="Arial" w:hAnsi="Arial" w:cs="Arial"/>
                <w:color w:val="000000"/>
                <w:sz w:val="20"/>
                <w:szCs w:val="20"/>
              </w:rPr>
            </w:pPr>
            <w:r w:rsidRPr="00CD5714">
              <w:rPr>
                <w:rFonts w:ascii="Arial" w:hAnsi="Arial" w:cs="Arial"/>
                <w:color w:val="000000"/>
                <w:sz w:val="20"/>
                <w:szCs w:val="20"/>
                <w:lang w:val="en-GB"/>
              </w:rPr>
              <w:t>43</w:t>
            </w:r>
          </w:p>
        </w:tc>
      </w:tr>
      <w:tr w:rsidR="00CD5714" w:rsidRPr="00CD5714" w14:paraId="12EEB141" w14:textId="77777777" w:rsidTr="00CD5714">
        <w:trPr>
          <w:cantSplit/>
          <w:trHeight w:val="20"/>
        </w:trPr>
        <w:tc>
          <w:tcPr>
            <w:tcW w:w="3456" w:type="dxa"/>
            <w:shd w:val="clear" w:color="auto" w:fill="auto"/>
            <w:vAlign w:val="bottom"/>
          </w:tcPr>
          <w:p w14:paraId="6A2224A8" w14:textId="77777777" w:rsidR="00CD5714" w:rsidRPr="00CD5714" w:rsidRDefault="00CD5714" w:rsidP="00CD5714">
            <w:pPr>
              <w:pStyle w:val="BodyTextIndent2"/>
              <w:spacing w:line="240" w:lineRule="auto"/>
              <w:ind w:left="-101"/>
              <w:jc w:val="left"/>
              <w:rPr>
                <w:rFonts w:ascii="Arial" w:hAnsi="Arial" w:cs="Arial"/>
              </w:rPr>
            </w:pPr>
          </w:p>
        </w:tc>
        <w:tc>
          <w:tcPr>
            <w:tcW w:w="1152" w:type="dxa"/>
            <w:tcBorders>
              <w:top w:val="single" w:sz="4" w:space="0" w:color="auto"/>
            </w:tcBorders>
            <w:shd w:val="clear" w:color="auto" w:fill="auto"/>
            <w:vAlign w:val="bottom"/>
          </w:tcPr>
          <w:p w14:paraId="3AE542F5" w14:textId="04D577F8" w:rsidR="00CD5714" w:rsidRPr="00CD5714" w:rsidRDefault="00CD5714" w:rsidP="00CD5714">
            <w:pPr>
              <w:ind w:right="-72"/>
              <w:jc w:val="right"/>
              <w:rPr>
                <w:rFonts w:ascii="Arial" w:hAnsi="Arial" w:cs="Arial"/>
                <w:color w:val="000000"/>
                <w:sz w:val="20"/>
                <w:szCs w:val="20"/>
              </w:rPr>
            </w:pPr>
          </w:p>
        </w:tc>
        <w:tc>
          <w:tcPr>
            <w:tcW w:w="1152" w:type="dxa"/>
            <w:tcBorders>
              <w:top w:val="single" w:sz="4" w:space="0" w:color="auto"/>
            </w:tcBorders>
            <w:shd w:val="clear" w:color="auto" w:fill="auto"/>
            <w:vAlign w:val="bottom"/>
          </w:tcPr>
          <w:p w14:paraId="0846897F" w14:textId="42C66D67" w:rsidR="00CD5714" w:rsidRPr="00CD5714" w:rsidRDefault="00CD5714" w:rsidP="00CD5714">
            <w:pPr>
              <w:ind w:right="-72"/>
              <w:jc w:val="right"/>
              <w:rPr>
                <w:rFonts w:ascii="Arial" w:hAnsi="Arial" w:cs="Arial"/>
                <w:color w:val="000000"/>
                <w:sz w:val="20"/>
                <w:szCs w:val="20"/>
              </w:rPr>
            </w:pPr>
          </w:p>
        </w:tc>
        <w:tc>
          <w:tcPr>
            <w:tcW w:w="1152" w:type="dxa"/>
            <w:tcBorders>
              <w:top w:val="single" w:sz="4" w:space="0" w:color="auto"/>
            </w:tcBorders>
            <w:shd w:val="clear" w:color="auto" w:fill="auto"/>
            <w:vAlign w:val="bottom"/>
          </w:tcPr>
          <w:p w14:paraId="15159479" w14:textId="172229EA" w:rsidR="00CD5714" w:rsidRPr="00CD5714" w:rsidRDefault="00CD5714" w:rsidP="00CD5714">
            <w:pPr>
              <w:ind w:right="-72"/>
              <w:jc w:val="right"/>
              <w:rPr>
                <w:rFonts w:ascii="Arial" w:hAnsi="Arial" w:cs="Arial"/>
                <w:color w:val="000000"/>
                <w:sz w:val="20"/>
                <w:szCs w:val="20"/>
              </w:rPr>
            </w:pPr>
          </w:p>
        </w:tc>
        <w:tc>
          <w:tcPr>
            <w:tcW w:w="1152" w:type="dxa"/>
            <w:tcBorders>
              <w:top w:val="single" w:sz="4" w:space="0" w:color="auto"/>
            </w:tcBorders>
            <w:shd w:val="clear" w:color="auto" w:fill="auto"/>
            <w:vAlign w:val="bottom"/>
          </w:tcPr>
          <w:p w14:paraId="70B10E2B" w14:textId="7DA9E079" w:rsidR="00CD5714" w:rsidRPr="00CD5714" w:rsidRDefault="00CD5714" w:rsidP="00CD5714">
            <w:pPr>
              <w:ind w:right="-72"/>
              <w:jc w:val="right"/>
              <w:rPr>
                <w:rFonts w:ascii="Arial" w:hAnsi="Arial" w:cs="Arial"/>
                <w:color w:val="000000"/>
                <w:sz w:val="20"/>
                <w:szCs w:val="20"/>
              </w:rPr>
            </w:pPr>
          </w:p>
        </w:tc>
        <w:tc>
          <w:tcPr>
            <w:tcW w:w="1152" w:type="dxa"/>
            <w:tcBorders>
              <w:top w:val="single" w:sz="4" w:space="0" w:color="auto"/>
            </w:tcBorders>
            <w:shd w:val="clear" w:color="auto" w:fill="auto"/>
            <w:vAlign w:val="bottom"/>
          </w:tcPr>
          <w:p w14:paraId="53796C8C" w14:textId="56E1AB97" w:rsidR="00CD5714" w:rsidRPr="00CD5714" w:rsidRDefault="00CD5714" w:rsidP="00CD5714">
            <w:pPr>
              <w:ind w:right="-72"/>
              <w:jc w:val="right"/>
              <w:rPr>
                <w:rFonts w:ascii="Arial" w:hAnsi="Arial" w:cs="Arial"/>
                <w:color w:val="000000"/>
                <w:sz w:val="20"/>
                <w:szCs w:val="20"/>
              </w:rPr>
            </w:pPr>
          </w:p>
        </w:tc>
        <w:tc>
          <w:tcPr>
            <w:tcW w:w="1152" w:type="dxa"/>
            <w:tcBorders>
              <w:top w:val="single" w:sz="4" w:space="0" w:color="auto"/>
            </w:tcBorders>
            <w:shd w:val="clear" w:color="auto" w:fill="auto"/>
            <w:vAlign w:val="bottom"/>
          </w:tcPr>
          <w:p w14:paraId="74462A79" w14:textId="77777777" w:rsidR="00CD5714" w:rsidRPr="00CD5714" w:rsidRDefault="00CD5714" w:rsidP="00CD5714">
            <w:pPr>
              <w:ind w:right="-72"/>
              <w:jc w:val="right"/>
              <w:rPr>
                <w:rFonts w:ascii="Arial" w:hAnsi="Arial" w:cs="Arial"/>
                <w:color w:val="000000"/>
                <w:sz w:val="20"/>
                <w:szCs w:val="20"/>
              </w:rPr>
            </w:pPr>
          </w:p>
        </w:tc>
        <w:tc>
          <w:tcPr>
            <w:tcW w:w="1152" w:type="dxa"/>
            <w:tcBorders>
              <w:top w:val="single" w:sz="4" w:space="0" w:color="auto"/>
            </w:tcBorders>
            <w:shd w:val="clear" w:color="auto" w:fill="auto"/>
            <w:vAlign w:val="bottom"/>
          </w:tcPr>
          <w:p w14:paraId="42D84836" w14:textId="77777777" w:rsidR="00CD5714" w:rsidRPr="00CD5714" w:rsidRDefault="00CD5714" w:rsidP="00CD5714">
            <w:pPr>
              <w:ind w:right="-72"/>
              <w:jc w:val="right"/>
              <w:rPr>
                <w:rFonts w:ascii="Arial" w:hAnsi="Arial" w:cs="Arial"/>
                <w:color w:val="000000"/>
                <w:sz w:val="20"/>
                <w:szCs w:val="20"/>
              </w:rPr>
            </w:pPr>
          </w:p>
        </w:tc>
        <w:tc>
          <w:tcPr>
            <w:tcW w:w="1152" w:type="dxa"/>
            <w:tcBorders>
              <w:top w:val="single" w:sz="4" w:space="0" w:color="auto"/>
            </w:tcBorders>
            <w:shd w:val="clear" w:color="auto" w:fill="auto"/>
            <w:vAlign w:val="bottom"/>
          </w:tcPr>
          <w:p w14:paraId="7E571AF4" w14:textId="77777777" w:rsidR="00CD5714" w:rsidRPr="00CD5714" w:rsidRDefault="00CD5714" w:rsidP="00CD5714">
            <w:pPr>
              <w:ind w:right="-72"/>
              <w:jc w:val="right"/>
              <w:rPr>
                <w:rFonts w:ascii="Arial" w:hAnsi="Arial" w:cs="Arial"/>
                <w:color w:val="000000"/>
                <w:sz w:val="20"/>
                <w:szCs w:val="20"/>
              </w:rPr>
            </w:pPr>
          </w:p>
        </w:tc>
        <w:tc>
          <w:tcPr>
            <w:tcW w:w="1152" w:type="dxa"/>
            <w:tcBorders>
              <w:top w:val="single" w:sz="4" w:space="0" w:color="auto"/>
            </w:tcBorders>
            <w:shd w:val="clear" w:color="auto" w:fill="auto"/>
            <w:vAlign w:val="bottom"/>
          </w:tcPr>
          <w:p w14:paraId="3ACE30B3" w14:textId="77777777" w:rsidR="00CD5714" w:rsidRPr="00CD5714" w:rsidRDefault="00CD5714" w:rsidP="00CD5714">
            <w:pPr>
              <w:ind w:right="-72"/>
              <w:jc w:val="right"/>
              <w:rPr>
                <w:rFonts w:ascii="Arial" w:hAnsi="Arial" w:cs="Arial"/>
                <w:color w:val="000000"/>
                <w:sz w:val="20"/>
                <w:szCs w:val="20"/>
              </w:rPr>
            </w:pPr>
          </w:p>
        </w:tc>
        <w:tc>
          <w:tcPr>
            <w:tcW w:w="1152" w:type="dxa"/>
            <w:tcBorders>
              <w:top w:val="single" w:sz="4" w:space="0" w:color="auto"/>
            </w:tcBorders>
            <w:shd w:val="clear" w:color="auto" w:fill="auto"/>
            <w:vAlign w:val="bottom"/>
          </w:tcPr>
          <w:p w14:paraId="132F26C3" w14:textId="77777777" w:rsidR="00CD5714" w:rsidRPr="00CD5714" w:rsidRDefault="00CD5714" w:rsidP="00CD5714">
            <w:pPr>
              <w:ind w:right="-72"/>
              <w:jc w:val="right"/>
              <w:rPr>
                <w:rFonts w:ascii="Arial" w:hAnsi="Arial" w:cs="Arial"/>
                <w:color w:val="000000"/>
                <w:sz w:val="20"/>
                <w:szCs w:val="20"/>
              </w:rPr>
            </w:pPr>
          </w:p>
        </w:tc>
      </w:tr>
      <w:tr w:rsidR="00CD5714" w:rsidRPr="00CD5714" w14:paraId="0A61D45B" w14:textId="77777777" w:rsidTr="00CD5714">
        <w:trPr>
          <w:cantSplit/>
          <w:trHeight w:val="20"/>
        </w:trPr>
        <w:tc>
          <w:tcPr>
            <w:tcW w:w="3456" w:type="dxa"/>
            <w:shd w:val="clear" w:color="auto" w:fill="auto"/>
          </w:tcPr>
          <w:p w14:paraId="6A12B6BE" w14:textId="77777777" w:rsidR="00CD5714" w:rsidRPr="00CD5714" w:rsidRDefault="00CD5714" w:rsidP="00CD5714">
            <w:pPr>
              <w:pStyle w:val="BodyTextIndent2"/>
              <w:spacing w:line="240" w:lineRule="auto"/>
              <w:ind w:left="-101"/>
              <w:jc w:val="left"/>
              <w:rPr>
                <w:rFonts w:ascii="Arial" w:hAnsi="Arial" w:cs="Arial"/>
              </w:rPr>
            </w:pPr>
          </w:p>
        </w:tc>
        <w:tc>
          <w:tcPr>
            <w:tcW w:w="1152" w:type="dxa"/>
            <w:tcBorders>
              <w:bottom w:val="single" w:sz="4" w:space="0" w:color="auto"/>
            </w:tcBorders>
            <w:shd w:val="clear" w:color="auto" w:fill="auto"/>
            <w:vAlign w:val="bottom"/>
          </w:tcPr>
          <w:p w14:paraId="6AF996B3" w14:textId="41AE74E8" w:rsidR="00CD5714" w:rsidRPr="00CD5714" w:rsidRDefault="00CD5714" w:rsidP="00CD5714">
            <w:pPr>
              <w:ind w:right="-72"/>
              <w:jc w:val="right"/>
              <w:rPr>
                <w:rFonts w:ascii="Arial" w:hAnsi="Arial" w:cs="Arial"/>
                <w:color w:val="000000"/>
                <w:sz w:val="20"/>
                <w:szCs w:val="20"/>
              </w:rPr>
            </w:pPr>
            <w:r w:rsidRPr="00CD5714">
              <w:rPr>
                <w:rFonts w:ascii="Arial" w:hAnsi="Arial" w:cs="Arial"/>
                <w:color w:val="000000"/>
                <w:sz w:val="20"/>
                <w:szCs w:val="20"/>
                <w:lang w:val="en-GB"/>
              </w:rPr>
              <w:t>2</w:t>
            </w:r>
          </w:p>
        </w:tc>
        <w:tc>
          <w:tcPr>
            <w:tcW w:w="1152" w:type="dxa"/>
            <w:tcBorders>
              <w:bottom w:val="single" w:sz="4" w:space="0" w:color="auto"/>
            </w:tcBorders>
            <w:shd w:val="clear" w:color="auto" w:fill="auto"/>
            <w:vAlign w:val="bottom"/>
          </w:tcPr>
          <w:p w14:paraId="04173EA7" w14:textId="3EBCC007" w:rsidR="00CD5714" w:rsidRPr="00CD5714" w:rsidRDefault="00CD5714" w:rsidP="00CD5714">
            <w:pPr>
              <w:ind w:right="-72"/>
              <w:jc w:val="right"/>
              <w:rPr>
                <w:rFonts w:ascii="Arial" w:hAnsi="Arial" w:cs="Arial"/>
                <w:color w:val="000000"/>
                <w:sz w:val="20"/>
                <w:szCs w:val="20"/>
              </w:rPr>
            </w:pPr>
            <w:r w:rsidRPr="00CD5714">
              <w:rPr>
                <w:rFonts w:ascii="Arial" w:hAnsi="Arial" w:cs="Arial"/>
                <w:color w:val="000000"/>
                <w:sz w:val="20"/>
                <w:szCs w:val="20"/>
                <w:lang w:val="en-GB"/>
              </w:rPr>
              <w:t>30</w:t>
            </w:r>
          </w:p>
        </w:tc>
        <w:tc>
          <w:tcPr>
            <w:tcW w:w="1152" w:type="dxa"/>
            <w:tcBorders>
              <w:bottom w:val="single" w:sz="4" w:space="0" w:color="auto"/>
            </w:tcBorders>
            <w:shd w:val="clear" w:color="auto" w:fill="auto"/>
            <w:vAlign w:val="bottom"/>
          </w:tcPr>
          <w:p w14:paraId="0ACB3642" w14:textId="6C9BF111" w:rsidR="00CD5714" w:rsidRPr="00CD5714" w:rsidRDefault="00CD5714" w:rsidP="00CD5714">
            <w:pPr>
              <w:ind w:right="-72"/>
              <w:jc w:val="right"/>
              <w:rPr>
                <w:rFonts w:ascii="Arial" w:hAnsi="Arial" w:cs="Arial"/>
                <w:color w:val="000000"/>
                <w:sz w:val="20"/>
                <w:szCs w:val="20"/>
              </w:rPr>
            </w:pPr>
            <w:r w:rsidRPr="00CD5714">
              <w:rPr>
                <w:rFonts w:ascii="Arial" w:hAnsi="Arial" w:cs="Arial"/>
                <w:color w:val="000000"/>
                <w:sz w:val="20"/>
                <w:szCs w:val="20"/>
                <w:lang w:val="en-GB"/>
              </w:rPr>
              <w:t>17</w:t>
            </w:r>
          </w:p>
        </w:tc>
        <w:tc>
          <w:tcPr>
            <w:tcW w:w="1152" w:type="dxa"/>
            <w:tcBorders>
              <w:bottom w:val="single" w:sz="4" w:space="0" w:color="auto"/>
            </w:tcBorders>
            <w:shd w:val="clear" w:color="auto" w:fill="auto"/>
            <w:vAlign w:val="bottom"/>
          </w:tcPr>
          <w:p w14:paraId="1611A15C" w14:textId="34C96F50" w:rsidR="00CD5714" w:rsidRPr="00CD5714" w:rsidRDefault="00CD5714" w:rsidP="00CD5714">
            <w:pPr>
              <w:ind w:right="-72"/>
              <w:jc w:val="right"/>
              <w:rPr>
                <w:rFonts w:ascii="Arial" w:hAnsi="Arial" w:cs="Arial"/>
                <w:color w:val="000000"/>
                <w:sz w:val="20"/>
                <w:szCs w:val="20"/>
                <w:cs/>
              </w:rPr>
            </w:pPr>
            <w:r w:rsidRPr="00CD5714">
              <w:rPr>
                <w:rFonts w:ascii="Arial" w:hAnsi="Arial" w:cs="Arial"/>
                <w:color w:val="000000"/>
                <w:sz w:val="20"/>
                <w:szCs w:val="20"/>
                <w:lang w:val="en-GB"/>
              </w:rPr>
              <w:t>26</w:t>
            </w:r>
          </w:p>
        </w:tc>
        <w:tc>
          <w:tcPr>
            <w:tcW w:w="1152" w:type="dxa"/>
            <w:tcBorders>
              <w:bottom w:val="single" w:sz="4" w:space="0" w:color="auto"/>
            </w:tcBorders>
            <w:shd w:val="clear" w:color="auto" w:fill="auto"/>
            <w:vAlign w:val="bottom"/>
          </w:tcPr>
          <w:p w14:paraId="3D68098F" w14:textId="48575577" w:rsidR="00CD5714" w:rsidRPr="00CD5714" w:rsidRDefault="00CD5714" w:rsidP="00CD5714">
            <w:pPr>
              <w:ind w:right="-72"/>
              <w:jc w:val="right"/>
              <w:rPr>
                <w:rFonts w:ascii="Arial" w:hAnsi="Arial" w:cs="Arial"/>
                <w:color w:val="000000"/>
                <w:sz w:val="20"/>
                <w:szCs w:val="20"/>
              </w:rPr>
            </w:pPr>
            <w:r w:rsidRPr="00CD5714">
              <w:rPr>
                <w:rFonts w:ascii="Arial" w:hAnsi="Arial" w:cs="Arial"/>
                <w:color w:val="000000"/>
                <w:sz w:val="20"/>
                <w:szCs w:val="20"/>
                <w:lang w:val="en-GB"/>
              </w:rPr>
              <w:t>1</w:t>
            </w:r>
            <w:r w:rsidRPr="00CD5714">
              <w:rPr>
                <w:rFonts w:ascii="Arial" w:hAnsi="Arial" w:cs="Arial"/>
                <w:color w:val="000000"/>
                <w:sz w:val="20"/>
                <w:szCs w:val="20"/>
              </w:rPr>
              <w:t>,</w:t>
            </w:r>
            <w:r w:rsidRPr="00CD5714">
              <w:rPr>
                <w:rFonts w:ascii="Arial" w:hAnsi="Arial" w:cs="Arial"/>
                <w:color w:val="000000"/>
                <w:sz w:val="20"/>
                <w:szCs w:val="20"/>
                <w:lang w:val="en-GB"/>
              </w:rPr>
              <w:t>963</w:t>
            </w:r>
          </w:p>
        </w:tc>
        <w:tc>
          <w:tcPr>
            <w:tcW w:w="1152" w:type="dxa"/>
            <w:tcBorders>
              <w:bottom w:val="single" w:sz="4" w:space="0" w:color="auto"/>
            </w:tcBorders>
            <w:shd w:val="clear" w:color="auto" w:fill="auto"/>
            <w:vAlign w:val="bottom"/>
          </w:tcPr>
          <w:p w14:paraId="5B438332" w14:textId="7B1CDB70" w:rsidR="00CD5714" w:rsidRPr="00CD5714" w:rsidRDefault="00CD5714" w:rsidP="00CD5714">
            <w:pPr>
              <w:ind w:right="-72"/>
              <w:jc w:val="right"/>
              <w:rPr>
                <w:rFonts w:ascii="Arial" w:hAnsi="Arial" w:cs="Arial"/>
                <w:color w:val="000000"/>
                <w:sz w:val="20"/>
                <w:szCs w:val="20"/>
              </w:rPr>
            </w:pPr>
            <w:r w:rsidRPr="00CD5714">
              <w:rPr>
                <w:rFonts w:ascii="Arial" w:hAnsi="Arial" w:cs="Arial"/>
                <w:color w:val="000000"/>
                <w:sz w:val="20"/>
                <w:szCs w:val="20"/>
                <w:lang w:val="en-GB"/>
              </w:rPr>
              <w:t>2</w:t>
            </w:r>
          </w:p>
        </w:tc>
        <w:tc>
          <w:tcPr>
            <w:tcW w:w="1152" w:type="dxa"/>
            <w:tcBorders>
              <w:bottom w:val="single" w:sz="4" w:space="0" w:color="auto"/>
            </w:tcBorders>
            <w:shd w:val="clear" w:color="auto" w:fill="auto"/>
            <w:vAlign w:val="bottom"/>
          </w:tcPr>
          <w:p w14:paraId="480D039C" w14:textId="3D9A310E" w:rsidR="00CD5714" w:rsidRPr="00CD5714" w:rsidRDefault="00CD5714" w:rsidP="00CD5714">
            <w:pPr>
              <w:ind w:right="-72"/>
              <w:jc w:val="right"/>
              <w:rPr>
                <w:rFonts w:ascii="Arial" w:hAnsi="Arial" w:cs="Arial"/>
                <w:color w:val="000000"/>
                <w:sz w:val="20"/>
                <w:szCs w:val="20"/>
              </w:rPr>
            </w:pPr>
            <w:r w:rsidRPr="00CD5714">
              <w:rPr>
                <w:rFonts w:ascii="Arial" w:hAnsi="Arial" w:cs="Arial"/>
                <w:color w:val="000000"/>
                <w:sz w:val="20"/>
                <w:szCs w:val="20"/>
                <w:lang w:val="en-GB"/>
              </w:rPr>
              <w:t>20</w:t>
            </w:r>
          </w:p>
        </w:tc>
        <w:tc>
          <w:tcPr>
            <w:tcW w:w="1152" w:type="dxa"/>
            <w:tcBorders>
              <w:bottom w:val="single" w:sz="4" w:space="0" w:color="auto"/>
            </w:tcBorders>
            <w:shd w:val="clear" w:color="auto" w:fill="auto"/>
            <w:vAlign w:val="bottom"/>
          </w:tcPr>
          <w:p w14:paraId="36504779" w14:textId="34F1FAA2" w:rsidR="00CD5714" w:rsidRPr="00CD5714" w:rsidRDefault="00CD5714" w:rsidP="00CD5714">
            <w:pPr>
              <w:ind w:right="-72"/>
              <w:jc w:val="right"/>
              <w:rPr>
                <w:rFonts w:ascii="Arial" w:hAnsi="Arial" w:cs="Arial"/>
                <w:color w:val="000000"/>
                <w:sz w:val="20"/>
                <w:szCs w:val="20"/>
              </w:rPr>
            </w:pPr>
            <w:r w:rsidRPr="00CD5714">
              <w:rPr>
                <w:rFonts w:ascii="Arial" w:hAnsi="Arial" w:cs="Arial"/>
                <w:color w:val="000000"/>
                <w:sz w:val="20"/>
                <w:szCs w:val="20"/>
                <w:lang w:val="en-GB"/>
              </w:rPr>
              <w:t>935</w:t>
            </w:r>
          </w:p>
        </w:tc>
        <w:tc>
          <w:tcPr>
            <w:tcW w:w="1152" w:type="dxa"/>
            <w:tcBorders>
              <w:bottom w:val="single" w:sz="4" w:space="0" w:color="auto"/>
            </w:tcBorders>
            <w:shd w:val="clear" w:color="auto" w:fill="auto"/>
            <w:vAlign w:val="bottom"/>
          </w:tcPr>
          <w:p w14:paraId="6DF3D661" w14:textId="5ED1E990" w:rsidR="00CD5714" w:rsidRPr="00CD5714" w:rsidRDefault="00CD5714" w:rsidP="00CD5714">
            <w:pPr>
              <w:ind w:right="-72"/>
              <w:jc w:val="right"/>
              <w:rPr>
                <w:rFonts w:ascii="Arial" w:hAnsi="Arial" w:cs="Arial"/>
                <w:color w:val="000000"/>
                <w:sz w:val="20"/>
                <w:szCs w:val="20"/>
                <w:cs/>
              </w:rPr>
            </w:pPr>
            <w:r w:rsidRPr="00CD5714">
              <w:rPr>
                <w:rFonts w:ascii="Arial" w:hAnsi="Arial" w:cs="Arial"/>
                <w:color w:val="000000"/>
                <w:sz w:val="20"/>
                <w:szCs w:val="20"/>
                <w:lang w:val="en-GB"/>
              </w:rPr>
              <w:t>10</w:t>
            </w:r>
          </w:p>
        </w:tc>
        <w:tc>
          <w:tcPr>
            <w:tcW w:w="1152" w:type="dxa"/>
            <w:tcBorders>
              <w:bottom w:val="single" w:sz="4" w:space="0" w:color="auto"/>
            </w:tcBorders>
            <w:shd w:val="clear" w:color="auto" w:fill="auto"/>
            <w:vAlign w:val="bottom"/>
          </w:tcPr>
          <w:p w14:paraId="3E742FFD" w14:textId="35979D22" w:rsidR="00CD5714" w:rsidRPr="00CD5714" w:rsidRDefault="00CD5714" w:rsidP="00CD5714">
            <w:pPr>
              <w:ind w:right="-72"/>
              <w:jc w:val="right"/>
              <w:rPr>
                <w:rFonts w:ascii="Arial" w:hAnsi="Arial" w:cs="Arial"/>
                <w:color w:val="000000"/>
                <w:sz w:val="20"/>
                <w:szCs w:val="20"/>
              </w:rPr>
            </w:pPr>
            <w:r w:rsidRPr="00CD5714">
              <w:rPr>
                <w:rFonts w:ascii="Arial" w:hAnsi="Arial" w:cs="Arial"/>
                <w:color w:val="000000"/>
                <w:sz w:val="20"/>
                <w:szCs w:val="20"/>
                <w:lang w:val="en-GB"/>
              </w:rPr>
              <w:t>659</w:t>
            </w:r>
          </w:p>
        </w:tc>
      </w:tr>
    </w:tbl>
    <w:p w14:paraId="01253E29" w14:textId="77777777" w:rsidR="00B4267B" w:rsidRPr="002D2F67" w:rsidRDefault="00B4267B" w:rsidP="004C1B8E">
      <w:pPr>
        <w:pStyle w:val="BodyText"/>
        <w:tabs>
          <w:tab w:val="left" w:pos="2835"/>
        </w:tabs>
        <w:ind w:right="8"/>
        <w:rPr>
          <w:rFonts w:ascii="Arial" w:hAnsi="Arial" w:cs="Arial"/>
          <w:b/>
          <w:bCs/>
          <w:color w:val="000000"/>
          <w:lang w:val="en-US"/>
        </w:rPr>
        <w:sectPr w:rsidR="00B4267B" w:rsidRPr="002D2F67" w:rsidSect="00BC5B63">
          <w:pgSz w:w="16838" w:h="11906" w:orient="landscape" w:code="9"/>
          <w:pgMar w:top="1440" w:right="720" w:bottom="720" w:left="720" w:header="706" w:footer="706" w:gutter="0"/>
          <w:cols w:space="720"/>
          <w:docGrid w:linePitch="326"/>
        </w:sectPr>
      </w:pPr>
    </w:p>
    <w:p w14:paraId="1BAE4E0A" w14:textId="77777777" w:rsidR="00B4267B" w:rsidRPr="002D2F67" w:rsidRDefault="00B4267B" w:rsidP="005611FE">
      <w:pPr>
        <w:pStyle w:val="BodyText"/>
        <w:tabs>
          <w:tab w:val="left" w:pos="2835"/>
        </w:tabs>
        <w:ind w:left="560" w:hanging="588"/>
        <w:jc w:val="thaiDistribute"/>
        <w:rPr>
          <w:rFonts w:ascii="Arial" w:hAnsi="Arial" w:cs="Arial"/>
          <w:b/>
          <w:bCs/>
          <w:color w:val="000000"/>
          <w:lang w:val="en"/>
        </w:rPr>
      </w:pPr>
    </w:p>
    <w:tbl>
      <w:tblPr>
        <w:tblW w:w="9481" w:type="dxa"/>
        <w:tblInd w:w="108" w:type="dxa"/>
        <w:tblLayout w:type="fixed"/>
        <w:tblLook w:val="0000" w:firstRow="0" w:lastRow="0" w:firstColumn="0" w:lastColumn="0" w:noHBand="0" w:noVBand="0"/>
      </w:tblPr>
      <w:tblGrid>
        <w:gridCol w:w="7321"/>
        <w:gridCol w:w="1080"/>
        <w:gridCol w:w="1080"/>
      </w:tblGrid>
      <w:tr w:rsidR="00663C07" w:rsidRPr="002D2F67" w14:paraId="5E69AC2B" w14:textId="77777777" w:rsidTr="00663C07">
        <w:tc>
          <w:tcPr>
            <w:tcW w:w="7321" w:type="dxa"/>
            <w:shd w:val="clear" w:color="auto" w:fill="auto"/>
          </w:tcPr>
          <w:p w14:paraId="5489699B" w14:textId="77777777" w:rsidR="00663C07" w:rsidRPr="002D2F67" w:rsidRDefault="00663C07" w:rsidP="00E6779C">
            <w:pPr>
              <w:ind w:left="411"/>
              <w:contextualSpacing/>
              <w:rPr>
                <w:rFonts w:ascii="Arial" w:hAnsi="Arial" w:cs="Arial"/>
                <w:b/>
                <w:bCs/>
                <w:color w:val="000000"/>
                <w:sz w:val="20"/>
                <w:szCs w:val="20"/>
              </w:rPr>
            </w:pPr>
          </w:p>
        </w:tc>
        <w:tc>
          <w:tcPr>
            <w:tcW w:w="1080" w:type="dxa"/>
            <w:tcBorders>
              <w:top w:val="single" w:sz="4" w:space="0" w:color="auto"/>
            </w:tcBorders>
            <w:shd w:val="clear" w:color="auto" w:fill="auto"/>
          </w:tcPr>
          <w:p w14:paraId="7F9EC9A8" w14:textId="38395871" w:rsidR="00663C07" w:rsidRPr="002D2F67" w:rsidRDefault="00663C07" w:rsidP="00E6779C">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2024</w:t>
            </w:r>
          </w:p>
        </w:tc>
        <w:tc>
          <w:tcPr>
            <w:tcW w:w="1080" w:type="dxa"/>
            <w:tcBorders>
              <w:top w:val="single" w:sz="4" w:space="0" w:color="auto"/>
            </w:tcBorders>
            <w:shd w:val="clear" w:color="auto" w:fill="auto"/>
            <w:vAlign w:val="bottom"/>
          </w:tcPr>
          <w:p w14:paraId="084872D3" w14:textId="0B02C2FE" w:rsidR="00663C07" w:rsidRPr="002D2F67" w:rsidRDefault="00663C07" w:rsidP="00E6779C">
            <w:pPr>
              <w:ind w:right="-72"/>
              <w:jc w:val="right"/>
              <w:rPr>
                <w:rFonts w:ascii="Arial" w:hAnsi="Arial" w:cs="Arial"/>
                <w:b/>
                <w:bCs/>
                <w:color w:val="000000"/>
                <w:sz w:val="20"/>
                <w:szCs w:val="20"/>
              </w:rPr>
            </w:pPr>
            <w:r w:rsidRPr="00CD5714">
              <w:rPr>
                <w:rFonts w:ascii="Arial" w:hAnsi="Arial" w:cs="Arial"/>
                <w:b/>
                <w:bCs/>
                <w:color w:val="000000"/>
                <w:sz w:val="20"/>
                <w:szCs w:val="20"/>
                <w:lang w:val="en-GB"/>
              </w:rPr>
              <w:t>2023</w:t>
            </w:r>
            <w:r w:rsidRPr="002D2F67">
              <w:rPr>
                <w:rFonts w:ascii="Arial" w:hAnsi="Arial" w:cs="Arial"/>
                <w:b/>
                <w:bCs/>
                <w:color w:val="000000"/>
                <w:sz w:val="20"/>
                <w:szCs w:val="20"/>
              </w:rPr>
              <w:t xml:space="preserve">  </w:t>
            </w:r>
          </w:p>
        </w:tc>
      </w:tr>
      <w:tr w:rsidR="00663C07" w:rsidRPr="002D2F67" w14:paraId="7526EA5D" w14:textId="77777777" w:rsidTr="00663C07">
        <w:tc>
          <w:tcPr>
            <w:tcW w:w="7321" w:type="dxa"/>
            <w:shd w:val="clear" w:color="auto" w:fill="auto"/>
          </w:tcPr>
          <w:p w14:paraId="31D93EFC" w14:textId="44D07044" w:rsidR="00663C07" w:rsidRPr="002D2F67" w:rsidRDefault="00663C07" w:rsidP="00E6779C">
            <w:pPr>
              <w:ind w:left="411"/>
              <w:contextualSpacing/>
              <w:rPr>
                <w:rFonts w:ascii="Arial" w:hAnsi="Arial" w:cs="Arial"/>
                <w:b/>
                <w:bCs/>
                <w:color w:val="000000"/>
                <w:sz w:val="20"/>
                <w:szCs w:val="20"/>
              </w:rPr>
            </w:pPr>
          </w:p>
        </w:tc>
        <w:tc>
          <w:tcPr>
            <w:tcW w:w="1080" w:type="dxa"/>
            <w:tcBorders>
              <w:top w:val="single" w:sz="4" w:space="0" w:color="auto"/>
            </w:tcBorders>
            <w:shd w:val="clear" w:color="auto" w:fill="auto"/>
            <w:vAlign w:val="bottom"/>
          </w:tcPr>
          <w:p w14:paraId="11E296D8" w14:textId="77777777" w:rsidR="00663C07" w:rsidRPr="002D2F67" w:rsidRDefault="00663C07" w:rsidP="00E6779C">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Million </w:t>
            </w:r>
          </w:p>
          <w:p w14:paraId="4619362D" w14:textId="3CC1A214" w:rsidR="00663C07" w:rsidRPr="002D2F67" w:rsidRDefault="00663C07" w:rsidP="00E6779C">
            <w:pPr>
              <w:ind w:right="-72"/>
              <w:contextualSpacing/>
              <w:jc w:val="right"/>
              <w:rPr>
                <w:rFonts w:ascii="Arial" w:hAnsi="Arial" w:cs="Arial"/>
                <w:b/>
                <w:bCs/>
                <w:color w:val="000000"/>
                <w:sz w:val="20"/>
                <w:szCs w:val="20"/>
                <w:cs/>
              </w:rPr>
            </w:pPr>
            <w:r w:rsidRPr="002D2F67">
              <w:rPr>
                <w:rFonts w:ascii="Arial" w:hAnsi="Arial" w:cs="Arial"/>
                <w:b/>
                <w:bCs/>
                <w:color w:val="000000"/>
                <w:sz w:val="20"/>
                <w:szCs w:val="20"/>
              </w:rPr>
              <w:t>Baht</w:t>
            </w:r>
          </w:p>
        </w:tc>
        <w:tc>
          <w:tcPr>
            <w:tcW w:w="1080" w:type="dxa"/>
            <w:tcBorders>
              <w:top w:val="single" w:sz="4" w:space="0" w:color="auto"/>
            </w:tcBorders>
            <w:shd w:val="clear" w:color="auto" w:fill="auto"/>
            <w:vAlign w:val="bottom"/>
          </w:tcPr>
          <w:p w14:paraId="69B1994A" w14:textId="77777777" w:rsidR="00663C07" w:rsidRPr="002D2F67" w:rsidRDefault="00663C07" w:rsidP="00E6779C">
            <w:pPr>
              <w:ind w:right="-72"/>
              <w:jc w:val="right"/>
              <w:rPr>
                <w:rFonts w:ascii="Arial" w:hAnsi="Arial" w:cs="Arial"/>
                <w:b/>
                <w:bCs/>
                <w:color w:val="000000"/>
                <w:sz w:val="20"/>
                <w:szCs w:val="20"/>
              </w:rPr>
            </w:pPr>
            <w:r w:rsidRPr="002D2F67">
              <w:rPr>
                <w:rFonts w:ascii="Arial" w:hAnsi="Arial" w:cs="Arial"/>
                <w:b/>
                <w:bCs/>
                <w:color w:val="000000"/>
                <w:sz w:val="20"/>
                <w:szCs w:val="20"/>
              </w:rPr>
              <w:t xml:space="preserve">Million </w:t>
            </w:r>
          </w:p>
          <w:p w14:paraId="47C53FA1" w14:textId="5D52AC75" w:rsidR="00663C07" w:rsidRPr="002D2F67" w:rsidRDefault="00663C07" w:rsidP="00E6779C">
            <w:pPr>
              <w:ind w:right="-72"/>
              <w:contextualSpacing/>
              <w:jc w:val="right"/>
              <w:rPr>
                <w:rFonts w:ascii="Arial" w:hAnsi="Arial" w:cs="Arial"/>
                <w:b/>
                <w:bCs/>
                <w:color w:val="000000"/>
                <w:sz w:val="20"/>
                <w:szCs w:val="20"/>
                <w:cs/>
              </w:rPr>
            </w:pPr>
            <w:r w:rsidRPr="002D2F67">
              <w:rPr>
                <w:rFonts w:ascii="Arial" w:hAnsi="Arial" w:cs="Arial"/>
                <w:b/>
                <w:bCs/>
                <w:color w:val="000000"/>
                <w:sz w:val="20"/>
                <w:szCs w:val="20"/>
              </w:rPr>
              <w:t>Baht</w:t>
            </w:r>
          </w:p>
        </w:tc>
      </w:tr>
      <w:tr w:rsidR="00663C07" w:rsidRPr="002D2F67" w14:paraId="240B06B9" w14:textId="77777777" w:rsidTr="00663C07">
        <w:tc>
          <w:tcPr>
            <w:tcW w:w="7321" w:type="dxa"/>
            <w:shd w:val="clear" w:color="auto" w:fill="auto"/>
          </w:tcPr>
          <w:p w14:paraId="1DB5A14A" w14:textId="77777777" w:rsidR="00663C07" w:rsidRPr="002D2F67" w:rsidRDefault="00663C07" w:rsidP="00E6779C">
            <w:pPr>
              <w:tabs>
                <w:tab w:val="left" w:pos="1134"/>
                <w:tab w:val="left" w:pos="1276"/>
                <w:tab w:val="center" w:pos="3402"/>
                <w:tab w:val="center" w:pos="4536"/>
                <w:tab w:val="center" w:pos="5670"/>
                <w:tab w:val="center" w:pos="6804"/>
                <w:tab w:val="right" w:pos="7655"/>
              </w:tabs>
              <w:ind w:left="411"/>
              <w:contextualSpacing/>
              <w:rPr>
                <w:rFonts w:ascii="Arial" w:hAnsi="Arial" w:cs="Arial"/>
                <w:color w:val="000000"/>
                <w:sz w:val="20"/>
                <w:szCs w:val="20"/>
              </w:rPr>
            </w:pPr>
          </w:p>
        </w:tc>
        <w:tc>
          <w:tcPr>
            <w:tcW w:w="1080" w:type="dxa"/>
            <w:tcBorders>
              <w:top w:val="single" w:sz="4" w:space="0" w:color="auto"/>
            </w:tcBorders>
            <w:shd w:val="clear" w:color="auto" w:fill="auto"/>
          </w:tcPr>
          <w:p w14:paraId="05980192" w14:textId="77777777" w:rsidR="00663C07" w:rsidRPr="002D2F67" w:rsidRDefault="00663C07" w:rsidP="00E6779C">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080" w:type="dxa"/>
            <w:tcBorders>
              <w:top w:val="single" w:sz="4" w:space="0" w:color="auto"/>
            </w:tcBorders>
            <w:shd w:val="clear" w:color="auto" w:fill="auto"/>
          </w:tcPr>
          <w:p w14:paraId="760E777E" w14:textId="77777777" w:rsidR="00663C07" w:rsidRPr="002D2F67" w:rsidRDefault="00663C07" w:rsidP="00E6779C">
            <w:pPr>
              <w:ind w:right="-72"/>
              <w:contextualSpacing/>
              <w:jc w:val="right"/>
              <w:rPr>
                <w:rFonts w:ascii="Arial" w:hAnsi="Arial" w:cs="Arial"/>
                <w:color w:val="000000"/>
                <w:sz w:val="20"/>
                <w:szCs w:val="20"/>
              </w:rPr>
            </w:pPr>
          </w:p>
        </w:tc>
      </w:tr>
      <w:tr w:rsidR="00663C07" w:rsidRPr="002D2F67" w14:paraId="15D574B5" w14:textId="77777777" w:rsidTr="00663C07">
        <w:trPr>
          <w:trHeight w:val="126"/>
        </w:trPr>
        <w:tc>
          <w:tcPr>
            <w:tcW w:w="7321" w:type="dxa"/>
            <w:shd w:val="clear" w:color="auto" w:fill="auto"/>
          </w:tcPr>
          <w:p w14:paraId="24C49610" w14:textId="3F110917" w:rsidR="00663C07" w:rsidRPr="002D2F67" w:rsidRDefault="00663C07" w:rsidP="00E6779C">
            <w:pPr>
              <w:ind w:left="411"/>
              <w:contextualSpacing/>
              <w:jc w:val="both"/>
              <w:rPr>
                <w:rFonts w:ascii="Arial" w:hAnsi="Arial" w:cs="Arial"/>
                <w:color w:val="000000"/>
                <w:sz w:val="20"/>
                <w:szCs w:val="20"/>
              </w:rPr>
            </w:pPr>
            <w:r w:rsidRPr="002D2F67">
              <w:rPr>
                <w:rFonts w:ascii="Arial" w:hAnsi="Arial" w:cs="Arial"/>
                <w:color w:val="000000"/>
                <w:sz w:val="20"/>
                <w:szCs w:val="20"/>
              </w:rPr>
              <w:t>Building and machine under installation</w:t>
            </w:r>
          </w:p>
        </w:tc>
        <w:tc>
          <w:tcPr>
            <w:tcW w:w="1080" w:type="dxa"/>
            <w:shd w:val="clear" w:color="auto" w:fill="auto"/>
          </w:tcPr>
          <w:p w14:paraId="1BB77D26" w14:textId="1885F9EE" w:rsidR="00663C07" w:rsidRPr="002D2F67" w:rsidRDefault="00663C07" w:rsidP="00E6779C">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eastAsia="Arial Unicode MS" w:hAnsi="Arial" w:cs="Arial"/>
                <w:color w:val="000000"/>
                <w:sz w:val="20"/>
                <w:szCs w:val="20"/>
                <w:lang w:val="en-GB"/>
              </w:rPr>
              <w:t>13</w:t>
            </w:r>
          </w:p>
        </w:tc>
        <w:tc>
          <w:tcPr>
            <w:tcW w:w="1080" w:type="dxa"/>
            <w:shd w:val="clear" w:color="auto" w:fill="auto"/>
          </w:tcPr>
          <w:p w14:paraId="299A0C45" w14:textId="19A77D99" w:rsidR="00663C07" w:rsidRPr="002D2F67" w:rsidRDefault="00663C07" w:rsidP="00E6779C">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eastAsia="Arial Unicode MS" w:hAnsi="Arial" w:cs="Arial"/>
                <w:color w:val="000000"/>
                <w:sz w:val="20"/>
                <w:szCs w:val="20"/>
                <w:lang w:val="en-GB"/>
              </w:rPr>
              <w:t>13</w:t>
            </w:r>
          </w:p>
        </w:tc>
      </w:tr>
      <w:tr w:rsidR="00663C07" w:rsidRPr="002D2F67" w14:paraId="1983D904" w14:textId="77777777" w:rsidTr="00663C07">
        <w:trPr>
          <w:trHeight w:val="126"/>
        </w:trPr>
        <w:tc>
          <w:tcPr>
            <w:tcW w:w="7321" w:type="dxa"/>
            <w:shd w:val="clear" w:color="auto" w:fill="auto"/>
          </w:tcPr>
          <w:p w14:paraId="49F93BD5" w14:textId="77777777" w:rsidR="00663C07" w:rsidRPr="002D2F67" w:rsidRDefault="00663C07" w:rsidP="00E6779C">
            <w:pPr>
              <w:ind w:left="411"/>
              <w:contextualSpacing/>
              <w:jc w:val="both"/>
              <w:rPr>
                <w:rFonts w:ascii="Arial" w:hAnsi="Arial" w:cs="Arial"/>
                <w:color w:val="000000"/>
                <w:sz w:val="20"/>
                <w:szCs w:val="20"/>
              </w:rPr>
            </w:pPr>
            <w:r w:rsidRPr="002D2F67">
              <w:rPr>
                <w:rFonts w:ascii="Arial" w:hAnsi="Arial" w:cs="Arial"/>
                <w:color w:val="000000"/>
                <w:sz w:val="20"/>
                <w:szCs w:val="20"/>
              </w:rPr>
              <w:t xml:space="preserve">Project design consultant and </w:t>
            </w:r>
          </w:p>
          <w:p w14:paraId="38EAFBBA" w14:textId="79794779" w:rsidR="00663C07" w:rsidRPr="002D2F67" w:rsidRDefault="00663C07" w:rsidP="00E6779C">
            <w:pPr>
              <w:ind w:left="411"/>
              <w:contextualSpacing/>
              <w:jc w:val="both"/>
              <w:rPr>
                <w:rFonts w:ascii="Arial" w:hAnsi="Arial" w:cs="Arial"/>
                <w:color w:val="000000"/>
                <w:sz w:val="20"/>
                <w:szCs w:val="20"/>
              </w:rPr>
            </w:pPr>
            <w:r w:rsidRPr="002D2F67">
              <w:rPr>
                <w:rFonts w:ascii="Arial" w:hAnsi="Arial" w:cs="Arial"/>
                <w:color w:val="000000"/>
                <w:sz w:val="20"/>
                <w:szCs w:val="20"/>
              </w:rPr>
              <w:t xml:space="preserve">   other service fees</w:t>
            </w:r>
          </w:p>
        </w:tc>
        <w:tc>
          <w:tcPr>
            <w:tcW w:w="1080" w:type="dxa"/>
            <w:tcBorders>
              <w:bottom w:val="single" w:sz="4" w:space="0" w:color="auto"/>
            </w:tcBorders>
            <w:shd w:val="clear" w:color="auto" w:fill="auto"/>
            <w:vAlign w:val="bottom"/>
          </w:tcPr>
          <w:p w14:paraId="735D0AA3" w14:textId="3DDD767A" w:rsidR="00663C07" w:rsidRPr="002D2F67" w:rsidRDefault="00663C07" w:rsidP="00E6779C">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eastAsia="Arial Unicode MS" w:hAnsi="Arial" w:cs="Arial"/>
                <w:color w:val="000000"/>
                <w:sz w:val="20"/>
                <w:szCs w:val="20"/>
                <w:lang w:val="en-GB"/>
              </w:rPr>
              <w:t>19</w:t>
            </w:r>
          </w:p>
        </w:tc>
        <w:tc>
          <w:tcPr>
            <w:tcW w:w="1080" w:type="dxa"/>
            <w:tcBorders>
              <w:bottom w:val="single" w:sz="4" w:space="0" w:color="auto"/>
            </w:tcBorders>
            <w:shd w:val="clear" w:color="auto" w:fill="auto"/>
            <w:vAlign w:val="bottom"/>
          </w:tcPr>
          <w:p w14:paraId="3C335D02" w14:textId="56CA873C" w:rsidR="00663C07" w:rsidRPr="002D2F67" w:rsidRDefault="00663C07" w:rsidP="00E6779C">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eastAsia="Arial Unicode MS" w:hAnsi="Arial" w:cs="Arial"/>
                <w:color w:val="000000"/>
                <w:sz w:val="20"/>
                <w:szCs w:val="20"/>
                <w:lang w:val="en-GB"/>
              </w:rPr>
              <w:t>21</w:t>
            </w:r>
          </w:p>
        </w:tc>
      </w:tr>
      <w:tr w:rsidR="00663C07" w:rsidRPr="002D2F67" w14:paraId="274A4EEA" w14:textId="77777777" w:rsidTr="00663C07">
        <w:trPr>
          <w:trHeight w:val="126"/>
        </w:trPr>
        <w:tc>
          <w:tcPr>
            <w:tcW w:w="7321" w:type="dxa"/>
            <w:shd w:val="clear" w:color="auto" w:fill="auto"/>
          </w:tcPr>
          <w:p w14:paraId="72292646" w14:textId="77777777" w:rsidR="00663C07" w:rsidRPr="002D2F67" w:rsidRDefault="00663C07" w:rsidP="00E6779C">
            <w:pPr>
              <w:ind w:left="411"/>
              <w:contextualSpacing/>
              <w:jc w:val="both"/>
              <w:rPr>
                <w:rFonts w:ascii="Arial" w:hAnsi="Arial" w:cs="Arial"/>
                <w:color w:val="000000"/>
                <w:sz w:val="20"/>
                <w:szCs w:val="20"/>
              </w:rPr>
            </w:pPr>
          </w:p>
        </w:tc>
        <w:tc>
          <w:tcPr>
            <w:tcW w:w="1080" w:type="dxa"/>
            <w:tcBorders>
              <w:top w:val="single" w:sz="4" w:space="0" w:color="auto"/>
            </w:tcBorders>
            <w:shd w:val="clear" w:color="auto" w:fill="auto"/>
          </w:tcPr>
          <w:p w14:paraId="48B2E466" w14:textId="77777777" w:rsidR="00663C07" w:rsidRPr="002D2F67" w:rsidRDefault="00663C07" w:rsidP="00E6779C">
            <w:pPr>
              <w:ind w:left="331" w:right="-72" w:hanging="331"/>
              <w:contextualSpacing/>
              <w:jc w:val="right"/>
              <w:rPr>
                <w:rFonts w:ascii="Arial" w:hAnsi="Arial" w:cs="Arial"/>
                <w:color w:val="000000"/>
                <w:sz w:val="20"/>
                <w:szCs w:val="20"/>
              </w:rPr>
            </w:pPr>
          </w:p>
        </w:tc>
        <w:tc>
          <w:tcPr>
            <w:tcW w:w="1080" w:type="dxa"/>
            <w:tcBorders>
              <w:top w:val="single" w:sz="4" w:space="0" w:color="auto"/>
            </w:tcBorders>
            <w:shd w:val="clear" w:color="auto" w:fill="auto"/>
          </w:tcPr>
          <w:p w14:paraId="65C08F67" w14:textId="77777777" w:rsidR="00663C07" w:rsidRPr="002D2F67" w:rsidRDefault="00663C07" w:rsidP="00E6779C">
            <w:pPr>
              <w:ind w:left="331" w:right="-72" w:hanging="331"/>
              <w:contextualSpacing/>
              <w:jc w:val="right"/>
              <w:rPr>
                <w:rFonts w:ascii="Arial" w:hAnsi="Arial" w:cs="Arial"/>
                <w:color w:val="000000"/>
                <w:sz w:val="20"/>
                <w:szCs w:val="20"/>
              </w:rPr>
            </w:pPr>
          </w:p>
        </w:tc>
      </w:tr>
      <w:tr w:rsidR="00663C07" w:rsidRPr="002D2F67" w14:paraId="5EC7DB0A" w14:textId="77777777" w:rsidTr="00663C07">
        <w:trPr>
          <w:trHeight w:val="126"/>
        </w:trPr>
        <w:tc>
          <w:tcPr>
            <w:tcW w:w="7321" w:type="dxa"/>
            <w:shd w:val="clear" w:color="auto" w:fill="auto"/>
          </w:tcPr>
          <w:p w14:paraId="68C24172" w14:textId="77777777" w:rsidR="00663C07" w:rsidRPr="002D2F67" w:rsidRDefault="00663C07" w:rsidP="00E6779C">
            <w:pPr>
              <w:ind w:left="411"/>
              <w:contextualSpacing/>
              <w:jc w:val="both"/>
              <w:rPr>
                <w:rFonts w:ascii="Arial" w:hAnsi="Arial" w:cs="Arial"/>
                <w:color w:val="000000"/>
                <w:sz w:val="20"/>
                <w:szCs w:val="20"/>
              </w:rPr>
            </w:pPr>
          </w:p>
        </w:tc>
        <w:tc>
          <w:tcPr>
            <w:tcW w:w="1080" w:type="dxa"/>
            <w:tcBorders>
              <w:bottom w:val="single" w:sz="4" w:space="0" w:color="auto"/>
            </w:tcBorders>
            <w:shd w:val="clear" w:color="auto" w:fill="auto"/>
            <w:vAlign w:val="bottom"/>
          </w:tcPr>
          <w:p w14:paraId="1153FB62" w14:textId="4F23D975" w:rsidR="00663C07" w:rsidRPr="002D2F67" w:rsidRDefault="00663C07" w:rsidP="00E6779C">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eastAsia="Arial Unicode MS" w:hAnsi="Arial" w:cs="Arial"/>
                <w:color w:val="000000"/>
                <w:sz w:val="20"/>
                <w:szCs w:val="20"/>
                <w:lang w:val="en-GB"/>
              </w:rPr>
              <w:t>32</w:t>
            </w:r>
          </w:p>
        </w:tc>
        <w:tc>
          <w:tcPr>
            <w:tcW w:w="1080" w:type="dxa"/>
            <w:tcBorders>
              <w:bottom w:val="single" w:sz="4" w:space="0" w:color="auto"/>
            </w:tcBorders>
            <w:shd w:val="clear" w:color="auto" w:fill="auto"/>
            <w:vAlign w:val="bottom"/>
          </w:tcPr>
          <w:p w14:paraId="63AC29AE" w14:textId="17B237F0" w:rsidR="00663C07" w:rsidRPr="002D2F67" w:rsidRDefault="00663C07" w:rsidP="00E6779C">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eastAsia="Arial Unicode MS" w:hAnsi="Arial" w:cs="Arial"/>
                <w:color w:val="000000"/>
                <w:sz w:val="20"/>
                <w:szCs w:val="20"/>
                <w:lang w:val="en-GB"/>
              </w:rPr>
              <w:t>34</w:t>
            </w:r>
          </w:p>
        </w:tc>
      </w:tr>
    </w:tbl>
    <w:p w14:paraId="2BF71DE9" w14:textId="77777777" w:rsidR="00B05BE4" w:rsidRPr="002D2F67" w:rsidRDefault="00B05BE4" w:rsidP="005611FE">
      <w:pPr>
        <w:pStyle w:val="BodyText"/>
        <w:tabs>
          <w:tab w:val="left" w:pos="2835"/>
        </w:tabs>
        <w:ind w:left="560" w:hanging="588"/>
        <w:jc w:val="thaiDistribute"/>
        <w:rPr>
          <w:rFonts w:ascii="Arial" w:hAnsi="Arial" w:cs="Arial"/>
          <w:b/>
          <w:bCs/>
          <w:color w:val="000000"/>
          <w:lang w:val="en"/>
        </w:rPr>
      </w:pPr>
    </w:p>
    <w:p w14:paraId="5A496DDB" w14:textId="6FC58C51" w:rsidR="00B4267B" w:rsidRPr="002D2F67" w:rsidRDefault="00CD5714" w:rsidP="005611FE">
      <w:pPr>
        <w:pStyle w:val="EASUBHEAD6"/>
        <w:rPr>
          <w:b/>
          <w:bCs/>
          <w:color w:val="000000"/>
          <w:sz w:val="20"/>
          <w:szCs w:val="20"/>
          <w:lang w:val="en"/>
        </w:rPr>
      </w:pPr>
      <w:r w:rsidRPr="00CD5714">
        <w:rPr>
          <w:b/>
          <w:bCs/>
          <w:color w:val="000000"/>
          <w:sz w:val="20"/>
          <w:szCs w:val="20"/>
          <w:lang w:val="en-GB"/>
        </w:rPr>
        <w:t>43</w:t>
      </w:r>
      <w:r w:rsidR="00B4267B" w:rsidRPr="002D2F67">
        <w:rPr>
          <w:b/>
          <w:bCs/>
          <w:color w:val="000000"/>
          <w:sz w:val="20"/>
          <w:szCs w:val="20"/>
        </w:rPr>
        <w:t>.</w:t>
      </w:r>
      <w:r w:rsidRPr="00CD5714">
        <w:rPr>
          <w:b/>
          <w:bCs/>
          <w:color w:val="000000"/>
          <w:sz w:val="20"/>
          <w:szCs w:val="20"/>
          <w:lang w:val="en-GB"/>
        </w:rPr>
        <w:t>2</w:t>
      </w:r>
      <w:r w:rsidR="00B4267B" w:rsidRPr="002D2F67">
        <w:rPr>
          <w:b/>
          <w:bCs/>
          <w:color w:val="000000"/>
          <w:sz w:val="20"/>
          <w:szCs w:val="20"/>
        </w:rPr>
        <w:tab/>
        <w:t>Service agreements commitments</w:t>
      </w:r>
    </w:p>
    <w:p w14:paraId="4E085B07" w14:textId="77777777" w:rsidR="00B4267B" w:rsidRPr="002D2F67" w:rsidRDefault="00B4267B" w:rsidP="005611FE">
      <w:pPr>
        <w:ind w:left="540"/>
        <w:jc w:val="thaiDistribute"/>
        <w:rPr>
          <w:rFonts w:ascii="Arial" w:hAnsi="Arial" w:cs="Arial"/>
          <w:color w:val="000000"/>
          <w:sz w:val="20"/>
          <w:szCs w:val="20"/>
        </w:rPr>
      </w:pPr>
    </w:p>
    <w:p w14:paraId="3198E7AC" w14:textId="30B77FDC" w:rsidR="00B4267B" w:rsidRPr="002D2F67" w:rsidRDefault="00B4267B" w:rsidP="005611FE">
      <w:pPr>
        <w:ind w:left="540"/>
        <w:jc w:val="thaiDistribute"/>
        <w:rPr>
          <w:rFonts w:ascii="Arial" w:hAnsi="Arial" w:cs="Arial"/>
          <w:color w:val="000000"/>
          <w:sz w:val="20"/>
          <w:szCs w:val="20"/>
        </w:rPr>
      </w:pPr>
      <w:r w:rsidRPr="002D2F67">
        <w:rPr>
          <w:rFonts w:ascii="Arial" w:hAnsi="Arial" w:cs="Arial"/>
          <w:color w:val="000000"/>
          <w:sz w:val="20"/>
          <w:szCs w:val="20"/>
        </w:rPr>
        <w:t xml:space="preserve">The Group and the Company have non-cancellable service </w:t>
      </w:r>
      <w:r w:rsidR="00426337" w:rsidRPr="002D2F67">
        <w:rPr>
          <w:rFonts w:ascii="Arial" w:hAnsi="Arial" w:cs="Arial"/>
          <w:color w:val="000000"/>
          <w:sz w:val="20"/>
          <w:szCs w:val="20"/>
        </w:rPr>
        <w:t>agreements</w:t>
      </w:r>
      <w:r w:rsidRPr="002D2F67">
        <w:rPr>
          <w:rFonts w:ascii="Arial" w:hAnsi="Arial" w:cs="Arial"/>
          <w:color w:val="000000"/>
          <w:sz w:val="20"/>
          <w:szCs w:val="20"/>
        </w:rPr>
        <w:t xml:space="preserve"> as follows:</w:t>
      </w:r>
    </w:p>
    <w:p w14:paraId="51FC79F0" w14:textId="77777777" w:rsidR="00B4267B" w:rsidRPr="002D2F67" w:rsidRDefault="00B4267B" w:rsidP="005611FE">
      <w:pPr>
        <w:ind w:left="540"/>
        <w:jc w:val="thaiDistribute"/>
        <w:rPr>
          <w:rFonts w:ascii="Arial" w:hAnsi="Arial" w:cs="Arial"/>
          <w:color w:val="000000"/>
          <w:sz w:val="20"/>
          <w:szCs w:val="20"/>
        </w:rPr>
      </w:pPr>
    </w:p>
    <w:tbl>
      <w:tblPr>
        <w:tblW w:w="9461" w:type="dxa"/>
        <w:tblInd w:w="108" w:type="dxa"/>
        <w:tblLayout w:type="fixed"/>
        <w:tblLook w:val="0000" w:firstRow="0" w:lastRow="0" w:firstColumn="0" w:lastColumn="0" w:noHBand="0" w:noVBand="0"/>
      </w:tblPr>
      <w:tblGrid>
        <w:gridCol w:w="2981"/>
        <w:gridCol w:w="1080"/>
        <w:gridCol w:w="1080"/>
        <w:gridCol w:w="1080"/>
        <w:gridCol w:w="1080"/>
        <w:gridCol w:w="1080"/>
        <w:gridCol w:w="1080"/>
      </w:tblGrid>
      <w:tr w:rsidR="00556C3C" w:rsidRPr="002D2F67" w14:paraId="79351D2D" w14:textId="77777777" w:rsidTr="00CD5714">
        <w:trPr>
          <w:cantSplit/>
          <w:trHeight w:val="58"/>
        </w:trPr>
        <w:tc>
          <w:tcPr>
            <w:tcW w:w="2981" w:type="dxa"/>
            <w:shd w:val="clear" w:color="auto" w:fill="auto"/>
          </w:tcPr>
          <w:p w14:paraId="5DDEDED4" w14:textId="77777777" w:rsidR="00556C3C" w:rsidRPr="002D2F67" w:rsidRDefault="00556C3C" w:rsidP="00AB5B46">
            <w:pPr>
              <w:pStyle w:val="BodyTextIndent2"/>
              <w:spacing w:line="240" w:lineRule="auto"/>
              <w:ind w:left="435"/>
              <w:contextualSpacing/>
              <w:rPr>
                <w:rFonts w:ascii="Arial" w:hAnsi="Arial" w:cs="Arial"/>
                <w:b/>
                <w:bCs/>
              </w:rPr>
            </w:pPr>
          </w:p>
        </w:tc>
        <w:tc>
          <w:tcPr>
            <w:tcW w:w="6480" w:type="dxa"/>
            <w:gridSpan w:val="6"/>
            <w:tcBorders>
              <w:bottom w:val="single" w:sz="4" w:space="0" w:color="auto"/>
            </w:tcBorders>
            <w:shd w:val="clear" w:color="auto" w:fill="auto"/>
          </w:tcPr>
          <w:p w14:paraId="4A174168" w14:textId="3124EC28" w:rsidR="00556C3C" w:rsidRPr="002D2F67" w:rsidRDefault="00556C3C" w:rsidP="00556C3C">
            <w:pPr>
              <w:ind w:right="-72"/>
              <w:contextualSpacing/>
              <w:jc w:val="right"/>
              <w:rPr>
                <w:rFonts w:ascii="Arial" w:hAnsi="Arial" w:cs="Arial"/>
                <w:b/>
                <w:bCs/>
                <w:color w:val="000000"/>
                <w:sz w:val="20"/>
                <w:szCs w:val="20"/>
              </w:rPr>
            </w:pPr>
            <w:r w:rsidRPr="002D2F67">
              <w:rPr>
                <w:rFonts w:ascii="Arial" w:hAnsi="Arial" w:cs="Arial"/>
                <w:b/>
                <w:bCs/>
                <w:color w:val="000000"/>
                <w:sz w:val="20"/>
                <w:szCs w:val="20"/>
              </w:rPr>
              <w:t>Consolidated financial statements</w:t>
            </w:r>
          </w:p>
        </w:tc>
      </w:tr>
      <w:tr w:rsidR="008B5FD1" w:rsidRPr="002D2F67" w14:paraId="5F37EBF2" w14:textId="77777777" w:rsidTr="00CD5714">
        <w:trPr>
          <w:trHeight w:val="202"/>
        </w:trPr>
        <w:tc>
          <w:tcPr>
            <w:tcW w:w="2981" w:type="dxa"/>
            <w:shd w:val="clear" w:color="auto" w:fill="auto"/>
          </w:tcPr>
          <w:p w14:paraId="05AD44DB" w14:textId="77777777" w:rsidR="008B5FD1" w:rsidRPr="002D2F67" w:rsidRDefault="008B5FD1" w:rsidP="00AB5B46">
            <w:pPr>
              <w:ind w:left="435"/>
              <w:rPr>
                <w:rFonts w:ascii="Arial" w:hAnsi="Arial" w:cs="Arial"/>
                <w:b/>
                <w:bCs/>
                <w:color w:val="000000"/>
                <w:sz w:val="20"/>
                <w:szCs w:val="20"/>
              </w:rPr>
            </w:pPr>
          </w:p>
        </w:tc>
        <w:tc>
          <w:tcPr>
            <w:tcW w:w="3240" w:type="dxa"/>
            <w:gridSpan w:val="3"/>
            <w:tcBorders>
              <w:top w:val="single" w:sz="4" w:space="0" w:color="auto"/>
              <w:bottom w:val="single" w:sz="4" w:space="0" w:color="auto"/>
            </w:tcBorders>
            <w:shd w:val="clear" w:color="auto" w:fill="auto"/>
          </w:tcPr>
          <w:p w14:paraId="633742A0" w14:textId="3D17D36D" w:rsidR="008B5FD1"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pacing w:val="-6"/>
                <w:sz w:val="20"/>
                <w:szCs w:val="20"/>
                <w:lang w:val="en-GB"/>
              </w:rPr>
              <w:t>31</w:t>
            </w:r>
            <w:r w:rsidR="00231B10" w:rsidRPr="002D2F67">
              <w:rPr>
                <w:rFonts w:ascii="Arial" w:hAnsi="Arial" w:cs="Arial"/>
                <w:b/>
                <w:bCs/>
                <w:color w:val="000000"/>
                <w:spacing w:val="-6"/>
                <w:sz w:val="20"/>
                <w:szCs w:val="20"/>
                <w:cs/>
              </w:rPr>
              <w:t xml:space="preserve"> </w:t>
            </w:r>
            <w:r w:rsidR="00231B10" w:rsidRPr="002D2F67">
              <w:rPr>
                <w:rFonts w:ascii="Arial" w:hAnsi="Arial" w:cs="Arial"/>
                <w:b/>
                <w:bCs/>
                <w:color w:val="000000"/>
                <w:spacing w:val="-6"/>
                <w:sz w:val="20"/>
                <w:szCs w:val="20"/>
              </w:rPr>
              <w:t xml:space="preserve">December </w:t>
            </w:r>
            <w:r w:rsidRPr="00CD5714">
              <w:rPr>
                <w:rFonts w:ascii="Arial" w:hAnsi="Arial" w:cs="Arial"/>
                <w:b/>
                <w:bCs/>
                <w:color w:val="000000"/>
                <w:spacing w:val="-6"/>
                <w:sz w:val="20"/>
                <w:szCs w:val="20"/>
                <w:lang w:val="en-GB"/>
              </w:rPr>
              <w:t>2024</w:t>
            </w:r>
          </w:p>
        </w:tc>
        <w:tc>
          <w:tcPr>
            <w:tcW w:w="3240" w:type="dxa"/>
            <w:gridSpan w:val="3"/>
            <w:tcBorders>
              <w:top w:val="single" w:sz="4" w:space="0" w:color="auto"/>
              <w:bottom w:val="single" w:sz="4" w:space="0" w:color="auto"/>
            </w:tcBorders>
            <w:shd w:val="clear" w:color="auto" w:fill="auto"/>
          </w:tcPr>
          <w:p w14:paraId="5A03CF63" w14:textId="66BB2448" w:rsidR="008B5FD1"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pacing w:val="-6"/>
                <w:sz w:val="20"/>
                <w:szCs w:val="20"/>
                <w:lang w:val="en-GB"/>
              </w:rPr>
              <w:t>31</w:t>
            </w:r>
            <w:r w:rsidR="00231B10" w:rsidRPr="002D2F67">
              <w:rPr>
                <w:rFonts w:ascii="Arial" w:hAnsi="Arial" w:cs="Arial"/>
                <w:b/>
                <w:bCs/>
                <w:color w:val="000000"/>
                <w:spacing w:val="-6"/>
                <w:sz w:val="20"/>
                <w:szCs w:val="20"/>
                <w:cs/>
              </w:rPr>
              <w:t xml:space="preserve"> </w:t>
            </w:r>
            <w:r w:rsidR="00231B10" w:rsidRPr="002D2F67">
              <w:rPr>
                <w:rFonts w:ascii="Arial" w:hAnsi="Arial" w:cs="Arial"/>
                <w:b/>
                <w:bCs/>
                <w:color w:val="000000"/>
                <w:spacing w:val="-6"/>
                <w:sz w:val="20"/>
                <w:szCs w:val="20"/>
              </w:rPr>
              <w:t xml:space="preserve">December </w:t>
            </w:r>
            <w:r w:rsidRPr="00CD5714">
              <w:rPr>
                <w:rFonts w:ascii="Arial" w:hAnsi="Arial" w:cs="Arial"/>
                <w:b/>
                <w:bCs/>
                <w:color w:val="000000"/>
                <w:sz w:val="20"/>
                <w:szCs w:val="20"/>
                <w:lang w:val="en-GB"/>
              </w:rPr>
              <w:t>2023</w:t>
            </w:r>
          </w:p>
        </w:tc>
      </w:tr>
      <w:tr w:rsidR="008B5FD1" w:rsidRPr="002D2F67" w14:paraId="2FD97CF9" w14:textId="77777777" w:rsidTr="00CD5714">
        <w:trPr>
          <w:trHeight w:val="608"/>
        </w:trPr>
        <w:tc>
          <w:tcPr>
            <w:tcW w:w="2981" w:type="dxa"/>
            <w:shd w:val="clear" w:color="auto" w:fill="auto"/>
          </w:tcPr>
          <w:p w14:paraId="7F637ABA" w14:textId="77777777" w:rsidR="008B5FD1" w:rsidRPr="002D2F67" w:rsidRDefault="008B5FD1" w:rsidP="00AB5B46">
            <w:pPr>
              <w:pStyle w:val="Header"/>
              <w:ind w:left="435"/>
              <w:rPr>
                <w:rFonts w:ascii="Arial" w:hAnsi="Arial" w:cs="Arial"/>
                <w:color w:val="000000"/>
                <w:sz w:val="20"/>
                <w:szCs w:val="20"/>
              </w:rPr>
            </w:pPr>
          </w:p>
        </w:tc>
        <w:tc>
          <w:tcPr>
            <w:tcW w:w="1080" w:type="dxa"/>
            <w:tcBorders>
              <w:top w:val="single" w:sz="4" w:space="0" w:color="auto"/>
              <w:bottom w:val="single" w:sz="4" w:space="0" w:color="auto"/>
            </w:tcBorders>
            <w:shd w:val="clear" w:color="auto" w:fill="auto"/>
            <w:vAlign w:val="bottom"/>
          </w:tcPr>
          <w:p w14:paraId="73AE8230" w14:textId="77777777" w:rsidR="008B5FD1" w:rsidRPr="002D2F67" w:rsidRDefault="008B5FD1" w:rsidP="00CD5714">
            <w:pPr>
              <w:tabs>
                <w:tab w:val="left" w:pos="1134"/>
                <w:tab w:val="left" w:pos="1276"/>
                <w:tab w:val="center" w:pos="3402"/>
                <w:tab w:val="center" w:pos="4536"/>
                <w:tab w:val="center" w:pos="5670"/>
                <w:tab w:val="center" w:pos="6804"/>
                <w:tab w:val="right" w:pos="7655"/>
              </w:tabs>
              <w:ind w:left="-118" w:right="-72" w:hanging="5"/>
              <w:jc w:val="right"/>
              <w:rPr>
                <w:rFonts w:ascii="Arial" w:hAnsi="Arial" w:cs="Arial"/>
                <w:b/>
                <w:bCs/>
                <w:color w:val="000000"/>
                <w:sz w:val="20"/>
                <w:szCs w:val="20"/>
              </w:rPr>
            </w:pPr>
            <w:r w:rsidRPr="002D2F67">
              <w:rPr>
                <w:rFonts w:ascii="Arial" w:hAnsi="Arial" w:cs="Arial"/>
                <w:b/>
                <w:bCs/>
                <w:color w:val="000000"/>
                <w:sz w:val="20"/>
                <w:szCs w:val="20"/>
              </w:rPr>
              <w:t>Million</w:t>
            </w:r>
          </w:p>
          <w:p w14:paraId="08C5716A" w14:textId="77777777" w:rsidR="008B5FD1" w:rsidRPr="002D2F67" w:rsidRDefault="008B5FD1" w:rsidP="00CD5714">
            <w:pPr>
              <w:tabs>
                <w:tab w:val="left" w:pos="1134"/>
                <w:tab w:val="left" w:pos="1276"/>
                <w:tab w:val="center" w:pos="3402"/>
                <w:tab w:val="center" w:pos="4536"/>
                <w:tab w:val="center" w:pos="5670"/>
                <w:tab w:val="center" w:pos="6804"/>
                <w:tab w:val="right" w:pos="7655"/>
              </w:tabs>
              <w:ind w:left="-118" w:right="-72" w:hanging="5"/>
              <w:jc w:val="right"/>
              <w:rPr>
                <w:rFonts w:ascii="Arial" w:hAnsi="Arial" w:cs="Arial"/>
                <w:b/>
                <w:bCs/>
                <w:color w:val="000000"/>
                <w:sz w:val="20"/>
                <w:szCs w:val="20"/>
              </w:rPr>
            </w:pPr>
            <w:r w:rsidRPr="002D2F67">
              <w:rPr>
                <w:rFonts w:ascii="Arial" w:hAnsi="Arial" w:cs="Arial"/>
                <w:b/>
                <w:bCs/>
                <w:color w:val="000000"/>
                <w:sz w:val="20"/>
                <w:szCs w:val="20"/>
              </w:rPr>
              <w:t>Taiwan Dollar</w:t>
            </w:r>
          </w:p>
        </w:tc>
        <w:tc>
          <w:tcPr>
            <w:tcW w:w="1080" w:type="dxa"/>
            <w:tcBorders>
              <w:top w:val="single" w:sz="4" w:space="0" w:color="auto"/>
              <w:bottom w:val="single" w:sz="4" w:space="0" w:color="auto"/>
            </w:tcBorders>
            <w:shd w:val="clear" w:color="auto" w:fill="auto"/>
            <w:vAlign w:val="bottom"/>
          </w:tcPr>
          <w:p w14:paraId="199C9A4B" w14:textId="77777777" w:rsidR="008B5FD1" w:rsidRPr="002D2F67" w:rsidRDefault="008B5FD1" w:rsidP="00CD5714">
            <w:pPr>
              <w:tabs>
                <w:tab w:val="left" w:pos="1134"/>
                <w:tab w:val="left" w:pos="1276"/>
                <w:tab w:val="center" w:pos="3402"/>
                <w:tab w:val="center" w:pos="4536"/>
                <w:tab w:val="center" w:pos="5670"/>
                <w:tab w:val="center" w:pos="6804"/>
                <w:tab w:val="right" w:pos="7655"/>
              </w:tabs>
              <w:ind w:left="-118" w:right="-72" w:hanging="5"/>
              <w:jc w:val="right"/>
              <w:rPr>
                <w:rFonts w:ascii="Arial" w:hAnsi="Arial" w:cs="Arial"/>
                <w:b/>
                <w:bCs/>
                <w:color w:val="000000"/>
                <w:sz w:val="20"/>
                <w:szCs w:val="20"/>
              </w:rPr>
            </w:pPr>
            <w:r w:rsidRPr="002D2F67">
              <w:rPr>
                <w:rFonts w:ascii="Arial" w:hAnsi="Arial" w:cs="Arial"/>
                <w:b/>
                <w:bCs/>
                <w:color w:val="000000"/>
                <w:sz w:val="20"/>
                <w:szCs w:val="20"/>
              </w:rPr>
              <w:t>Million US Dollar</w:t>
            </w:r>
          </w:p>
        </w:tc>
        <w:tc>
          <w:tcPr>
            <w:tcW w:w="1080" w:type="dxa"/>
            <w:tcBorders>
              <w:top w:val="single" w:sz="4" w:space="0" w:color="auto"/>
              <w:bottom w:val="single" w:sz="4" w:space="0" w:color="auto"/>
            </w:tcBorders>
            <w:shd w:val="clear" w:color="auto" w:fill="auto"/>
            <w:vAlign w:val="bottom"/>
          </w:tcPr>
          <w:p w14:paraId="27D7FE39" w14:textId="77777777" w:rsidR="008B5FD1" w:rsidRPr="002D2F67" w:rsidRDefault="008B5FD1" w:rsidP="00CD5714">
            <w:pPr>
              <w:tabs>
                <w:tab w:val="left" w:pos="1134"/>
                <w:tab w:val="left" w:pos="1276"/>
                <w:tab w:val="center" w:pos="3402"/>
                <w:tab w:val="center" w:pos="4536"/>
                <w:tab w:val="center" w:pos="5670"/>
                <w:tab w:val="center" w:pos="6804"/>
                <w:tab w:val="right" w:pos="7655"/>
              </w:tabs>
              <w:ind w:left="-118" w:right="-72" w:hanging="5"/>
              <w:jc w:val="right"/>
              <w:rPr>
                <w:rFonts w:ascii="Arial" w:hAnsi="Arial" w:cs="Arial"/>
                <w:b/>
                <w:bCs/>
                <w:color w:val="000000"/>
                <w:sz w:val="20"/>
                <w:szCs w:val="20"/>
              </w:rPr>
            </w:pPr>
          </w:p>
          <w:p w14:paraId="2440956B" w14:textId="56352B39" w:rsidR="008B5FD1" w:rsidRPr="002D2F67" w:rsidRDefault="008B5FD1" w:rsidP="00CD5714">
            <w:pPr>
              <w:tabs>
                <w:tab w:val="left" w:pos="1134"/>
                <w:tab w:val="left" w:pos="1276"/>
                <w:tab w:val="center" w:pos="3402"/>
                <w:tab w:val="center" w:pos="4536"/>
                <w:tab w:val="center" w:pos="5670"/>
                <w:tab w:val="center" w:pos="6804"/>
                <w:tab w:val="right" w:pos="7655"/>
              </w:tabs>
              <w:ind w:left="-118" w:right="-72" w:hanging="5"/>
              <w:jc w:val="right"/>
              <w:rPr>
                <w:rFonts w:ascii="Arial" w:hAnsi="Arial" w:cs="Arial"/>
                <w:b/>
                <w:bCs/>
                <w:color w:val="000000"/>
                <w:sz w:val="20"/>
                <w:szCs w:val="20"/>
              </w:rPr>
            </w:pPr>
            <w:r w:rsidRPr="002D2F67">
              <w:rPr>
                <w:rFonts w:ascii="Arial" w:hAnsi="Arial" w:cs="Arial"/>
                <w:b/>
                <w:bCs/>
                <w:color w:val="000000"/>
                <w:sz w:val="20"/>
                <w:szCs w:val="20"/>
              </w:rPr>
              <w:t xml:space="preserve">Million </w:t>
            </w:r>
            <w:r w:rsidR="00773D58" w:rsidRPr="002D2F67">
              <w:rPr>
                <w:rFonts w:ascii="Arial" w:hAnsi="Arial" w:cs="Arial"/>
                <w:b/>
                <w:bCs/>
                <w:color w:val="000000"/>
                <w:sz w:val="20"/>
                <w:szCs w:val="20"/>
              </w:rPr>
              <w:br/>
            </w:r>
            <w:r w:rsidRPr="002D2F67">
              <w:rPr>
                <w:rFonts w:ascii="Arial" w:hAnsi="Arial" w:cs="Arial"/>
                <w:b/>
                <w:bCs/>
                <w:color w:val="000000"/>
                <w:sz w:val="20"/>
                <w:szCs w:val="20"/>
              </w:rPr>
              <w:t>Baht</w:t>
            </w:r>
          </w:p>
        </w:tc>
        <w:tc>
          <w:tcPr>
            <w:tcW w:w="1080" w:type="dxa"/>
            <w:tcBorders>
              <w:top w:val="single" w:sz="4" w:space="0" w:color="auto"/>
              <w:bottom w:val="single" w:sz="4" w:space="0" w:color="auto"/>
            </w:tcBorders>
            <w:shd w:val="clear" w:color="auto" w:fill="auto"/>
            <w:vAlign w:val="bottom"/>
          </w:tcPr>
          <w:p w14:paraId="2810A0F1" w14:textId="77777777" w:rsidR="008B5FD1" w:rsidRPr="002D2F67" w:rsidRDefault="008B5FD1" w:rsidP="00CD5714">
            <w:pPr>
              <w:tabs>
                <w:tab w:val="left" w:pos="1134"/>
                <w:tab w:val="left" w:pos="1276"/>
                <w:tab w:val="center" w:pos="3402"/>
                <w:tab w:val="center" w:pos="4536"/>
                <w:tab w:val="center" w:pos="5670"/>
                <w:tab w:val="center" w:pos="6804"/>
                <w:tab w:val="right" w:pos="7655"/>
              </w:tabs>
              <w:ind w:left="-118" w:right="-72" w:hanging="5"/>
              <w:jc w:val="right"/>
              <w:rPr>
                <w:rFonts w:ascii="Arial" w:hAnsi="Arial" w:cs="Arial"/>
                <w:b/>
                <w:bCs/>
                <w:color w:val="000000"/>
                <w:sz w:val="20"/>
                <w:szCs w:val="20"/>
              </w:rPr>
            </w:pPr>
            <w:r w:rsidRPr="002D2F67">
              <w:rPr>
                <w:rFonts w:ascii="Arial" w:hAnsi="Arial" w:cs="Arial"/>
                <w:b/>
                <w:bCs/>
                <w:color w:val="000000"/>
                <w:sz w:val="20"/>
                <w:szCs w:val="20"/>
              </w:rPr>
              <w:t>Million</w:t>
            </w:r>
          </w:p>
          <w:p w14:paraId="20FAF500" w14:textId="77777777" w:rsidR="008B5FD1" w:rsidRPr="002D2F67" w:rsidRDefault="008B5FD1" w:rsidP="00CD5714">
            <w:pPr>
              <w:tabs>
                <w:tab w:val="left" w:pos="1134"/>
                <w:tab w:val="left" w:pos="1276"/>
                <w:tab w:val="center" w:pos="3402"/>
                <w:tab w:val="center" w:pos="4536"/>
                <w:tab w:val="center" w:pos="5670"/>
                <w:tab w:val="center" w:pos="6804"/>
                <w:tab w:val="right" w:pos="7655"/>
              </w:tabs>
              <w:ind w:left="-118" w:right="-72" w:hanging="5"/>
              <w:jc w:val="right"/>
              <w:rPr>
                <w:rFonts w:ascii="Arial" w:hAnsi="Arial" w:cs="Arial"/>
                <w:b/>
                <w:bCs/>
                <w:color w:val="000000"/>
                <w:sz w:val="20"/>
                <w:szCs w:val="20"/>
              </w:rPr>
            </w:pPr>
            <w:r w:rsidRPr="002D2F67">
              <w:rPr>
                <w:rFonts w:ascii="Arial" w:hAnsi="Arial" w:cs="Arial"/>
                <w:b/>
                <w:bCs/>
                <w:color w:val="000000"/>
                <w:sz w:val="20"/>
                <w:szCs w:val="20"/>
              </w:rPr>
              <w:t>Taiwan Dollar</w:t>
            </w:r>
          </w:p>
        </w:tc>
        <w:tc>
          <w:tcPr>
            <w:tcW w:w="1080" w:type="dxa"/>
            <w:tcBorders>
              <w:top w:val="single" w:sz="4" w:space="0" w:color="auto"/>
              <w:bottom w:val="single" w:sz="4" w:space="0" w:color="auto"/>
            </w:tcBorders>
            <w:shd w:val="clear" w:color="auto" w:fill="auto"/>
            <w:vAlign w:val="bottom"/>
          </w:tcPr>
          <w:p w14:paraId="5695C45C" w14:textId="032ED205" w:rsidR="008B5FD1" w:rsidRPr="002D2F67" w:rsidRDefault="008B5FD1" w:rsidP="00CD5714">
            <w:pPr>
              <w:tabs>
                <w:tab w:val="left" w:pos="1134"/>
                <w:tab w:val="left" w:pos="1276"/>
                <w:tab w:val="center" w:pos="3402"/>
                <w:tab w:val="center" w:pos="4536"/>
                <w:tab w:val="center" w:pos="5670"/>
                <w:tab w:val="center" w:pos="6804"/>
                <w:tab w:val="right" w:pos="7655"/>
              </w:tabs>
              <w:ind w:left="-118" w:right="-72" w:hanging="5"/>
              <w:jc w:val="right"/>
              <w:rPr>
                <w:rFonts w:ascii="Arial" w:hAnsi="Arial" w:cs="Arial"/>
                <w:b/>
                <w:bCs/>
                <w:color w:val="000000"/>
                <w:sz w:val="20"/>
                <w:szCs w:val="20"/>
              </w:rPr>
            </w:pPr>
            <w:r w:rsidRPr="002D2F67">
              <w:rPr>
                <w:rFonts w:ascii="Arial" w:hAnsi="Arial" w:cs="Arial"/>
                <w:b/>
                <w:bCs/>
                <w:color w:val="000000"/>
                <w:sz w:val="20"/>
                <w:szCs w:val="20"/>
              </w:rPr>
              <w:t xml:space="preserve">Million </w:t>
            </w:r>
            <w:r w:rsidR="004600DF" w:rsidRPr="002D2F67">
              <w:rPr>
                <w:rFonts w:ascii="Arial" w:hAnsi="Arial" w:cs="Arial"/>
                <w:b/>
                <w:bCs/>
                <w:color w:val="000000"/>
                <w:sz w:val="20"/>
                <w:szCs w:val="20"/>
              </w:rPr>
              <w:br/>
            </w:r>
            <w:r w:rsidRPr="002D2F67">
              <w:rPr>
                <w:rFonts w:ascii="Arial" w:hAnsi="Arial" w:cs="Arial"/>
                <w:b/>
                <w:bCs/>
                <w:color w:val="000000"/>
                <w:sz w:val="20"/>
                <w:szCs w:val="20"/>
              </w:rPr>
              <w:t>US Dollar</w:t>
            </w:r>
          </w:p>
        </w:tc>
        <w:tc>
          <w:tcPr>
            <w:tcW w:w="1080" w:type="dxa"/>
            <w:tcBorders>
              <w:top w:val="single" w:sz="4" w:space="0" w:color="auto"/>
              <w:bottom w:val="single" w:sz="4" w:space="0" w:color="auto"/>
            </w:tcBorders>
            <w:shd w:val="clear" w:color="auto" w:fill="auto"/>
            <w:vAlign w:val="bottom"/>
          </w:tcPr>
          <w:p w14:paraId="4A9AE293" w14:textId="77777777" w:rsidR="008B5FD1" w:rsidRPr="002D2F67" w:rsidRDefault="008B5FD1" w:rsidP="00CD5714">
            <w:pPr>
              <w:tabs>
                <w:tab w:val="left" w:pos="1134"/>
                <w:tab w:val="left" w:pos="1276"/>
                <w:tab w:val="center" w:pos="3402"/>
                <w:tab w:val="center" w:pos="4536"/>
                <w:tab w:val="center" w:pos="5670"/>
                <w:tab w:val="center" w:pos="6804"/>
                <w:tab w:val="right" w:pos="7655"/>
              </w:tabs>
              <w:ind w:left="-118" w:right="-72" w:hanging="5"/>
              <w:jc w:val="right"/>
              <w:rPr>
                <w:rFonts w:ascii="Arial" w:hAnsi="Arial" w:cs="Arial"/>
                <w:b/>
                <w:bCs/>
                <w:color w:val="000000"/>
                <w:sz w:val="20"/>
                <w:szCs w:val="20"/>
              </w:rPr>
            </w:pPr>
          </w:p>
          <w:p w14:paraId="32F3037C" w14:textId="363BCD54" w:rsidR="008B5FD1" w:rsidRPr="002D2F67" w:rsidRDefault="008B5FD1" w:rsidP="00CD5714">
            <w:pPr>
              <w:tabs>
                <w:tab w:val="left" w:pos="1134"/>
                <w:tab w:val="left" w:pos="1276"/>
                <w:tab w:val="center" w:pos="3402"/>
                <w:tab w:val="center" w:pos="4536"/>
                <w:tab w:val="center" w:pos="5670"/>
                <w:tab w:val="center" w:pos="6804"/>
                <w:tab w:val="right" w:pos="7655"/>
              </w:tabs>
              <w:ind w:left="-118" w:right="-72" w:hanging="5"/>
              <w:jc w:val="right"/>
              <w:rPr>
                <w:rFonts w:ascii="Arial" w:hAnsi="Arial" w:cs="Arial"/>
                <w:b/>
                <w:bCs/>
                <w:color w:val="000000"/>
                <w:sz w:val="20"/>
                <w:szCs w:val="20"/>
              </w:rPr>
            </w:pPr>
            <w:r w:rsidRPr="002D2F67">
              <w:rPr>
                <w:rFonts w:ascii="Arial" w:hAnsi="Arial" w:cs="Arial"/>
                <w:b/>
                <w:bCs/>
                <w:color w:val="000000"/>
                <w:sz w:val="20"/>
                <w:szCs w:val="20"/>
              </w:rPr>
              <w:t xml:space="preserve">Million </w:t>
            </w:r>
            <w:r w:rsidR="004600DF" w:rsidRPr="002D2F67">
              <w:rPr>
                <w:rFonts w:ascii="Arial" w:hAnsi="Arial" w:cs="Arial"/>
                <w:b/>
                <w:bCs/>
                <w:color w:val="000000"/>
                <w:sz w:val="20"/>
                <w:szCs w:val="20"/>
              </w:rPr>
              <w:br/>
            </w:r>
            <w:r w:rsidRPr="002D2F67">
              <w:rPr>
                <w:rFonts w:ascii="Arial" w:hAnsi="Arial" w:cs="Arial"/>
                <w:b/>
                <w:bCs/>
                <w:color w:val="000000"/>
                <w:sz w:val="20"/>
                <w:szCs w:val="20"/>
              </w:rPr>
              <w:t>Baht</w:t>
            </w:r>
          </w:p>
        </w:tc>
      </w:tr>
      <w:tr w:rsidR="008B5FD1" w:rsidRPr="002D2F67" w14:paraId="01DB4E37" w14:textId="77777777" w:rsidTr="00CD5714">
        <w:trPr>
          <w:trHeight w:val="213"/>
        </w:trPr>
        <w:tc>
          <w:tcPr>
            <w:tcW w:w="2981" w:type="dxa"/>
            <w:shd w:val="clear" w:color="auto" w:fill="auto"/>
          </w:tcPr>
          <w:p w14:paraId="459C1687" w14:textId="77777777" w:rsidR="008B5FD1" w:rsidRPr="002D2F67" w:rsidRDefault="008B5FD1" w:rsidP="00AB5B46">
            <w:pPr>
              <w:tabs>
                <w:tab w:val="left" w:pos="1134"/>
                <w:tab w:val="left" w:pos="1276"/>
                <w:tab w:val="center" w:pos="3402"/>
                <w:tab w:val="center" w:pos="4536"/>
                <w:tab w:val="center" w:pos="5670"/>
                <w:tab w:val="center" w:pos="6804"/>
                <w:tab w:val="right" w:pos="7655"/>
              </w:tabs>
              <w:ind w:left="435"/>
              <w:rPr>
                <w:rFonts w:ascii="Arial" w:hAnsi="Arial" w:cs="Arial"/>
                <w:color w:val="000000"/>
                <w:sz w:val="20"/>
                <w:szCs w:val="20"/>
              </w:rPr>
            </w:pPr>
          </w:p>
        </w:tc>
        <w:tc>
          <w:tcPr>
            <w:tcW w:w="1080" w:type="dxa"/>
            <w:tcBorders>
              <w:top w:val="single" w:sz="4" w:space="0" w:color="auto"/>
            </w:tcBorders>
            <w:shd w:val="clear" w:color="auto" w:fill="auto"/>
          </w:tcPr>
          <w:p w14:paraId="2BA5E8E8" w14:textId="77777777" w:rsidR="008B5FD1" w:rsidRPr="002D2F67" w:rsidRDefault="008B5FD1" w:rsidP="00CD5714">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080" w:type="dxa"/>
            <w:tcBorders>
              <w:top w:val="single" w:sz="4" w:space="0" w:color="auto"/>
            </w:tcBorders>
            <w:shd w:val="clear" w:color="auto" w:fill="auto"/>
          </w:tcPr>
          <w:p w14:paraId="16E4D51D" w14:textId="77777777" w:rsidR="008B5FD1" w:rsidRPr="002D2F67" w:rsidRDefault="008B5FD1" w:rsidP="00CD5714">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080" w:type="dxa"/>
            <w:tcBorders>
              <w:top w:val="single" w:sz="4" w:space="0" w:color="auto"/>
            </w:tcBorders>
            <w:shd w:val="clear" w:color="auto" w:fill="auto"/>
          </w:tcPr>
          <w:p w14:paraId="63D0824A" w14:textId="77777777" w:rsidR="008B5FD1" w:rsidRPr="002D2F67" w:rsidRDefault="008B5FD1" w:rsidP="00CD5714">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080" w:type="dxa"/>
            <w:tcBorders>
              <w:top w:val="single" w:sz="4" w:space="0" w:color="auto"/>
            </w:tcBorders>
            <w:shd w:val="clear" w:color="auto" w:fill="auto"/>
          </w:tcPr>
          <w:p w14:paraId="4F4FD42D" w14:textId="77777777" w:rsidR="008B5FD1" w:rsidRPr="002D2F67" w:rsidRDefault="008B5FD1" w:rsidP="00CD5714">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080" w:type="dxa"/>
            <w:tcBorders>
              <w:top w:val="single" w:sz="4" w:space="0" w:color="auto"/>
            </w:tcBorders>
            <w:shd w:val="clear" w:color="auto" w:fill="auto"/>
          </w:tcPr>
          <w:p w14:paraId="448BAE3F" w14:textId="77777777" w:rsidR="008B5FD1" w:rsidRPr="002D2F67" w:rsidRDefault="008B5FD1" w:rsidP="00CD5714">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080" w:type="dxa"/>
            <w:tcBorders>
              <w:top w:val="single" w:sz="4" w:space="0" w:color="auto"/>
            </w:tcBorders>
            <w:shd w:val="clear" w:color="auto" w:fill="auto"/>
          </w:tcPr>
          <w:p w14:paraId="3DA86FF1" w14:textId="77777777" w:rsidR="008B5FD1" w:rsidRPr="002D2F67" w:rsidRDefault="008B5FD1" w:rsidP="00CD5714">
            <w:pPr>
              <w:ind w:right="-72"/>
              <w:jc w:val="right"/>
              <w:rPr>
                <w:rFonts w:ascii="Arial" w:hAnsi="Arial" w:cs="Arial"/>
                <w:color w:val="000000"/>
                <w:sz w:val="20"/>
                <w:szCs w:val="20"/>
              </w:rPr>
            </w:pPr>
          </w:p>
        </w:tc>
      </w:tr>
      <w:tr w:rsidR="008B5FD1" w:rsidRPr="002D2F67" w14:paraId="4198D48F" w14:textId="77777777" w:rsidTr="00CD5714">
        <w:trPr>
          <w:trHeight w:val="124"/>
        </w:trPr>
        <w:tc>
          <w:tcPr>
            <w:tcW w:w="2981" w:type="dxa"/>
            <w:shd w:val="clear" w:color="auto" w:fill="auto"/>
          </w:tcPr>
          <w:p w14:paraId="55544967" w14:textId="77777777" w:rsidR="008B5FD1" w:rsidRPr="002D2F67" w:rsidRDefault="008B5FD1" w:rsidP="00AB5B46">
            <w:pPr>
              <w:pStyle w:val="Heading4"/>
              <w:ind w:left="435"/>
              <w:rPr>
                <w:rFonts w:ascii="Arial" w:hAnsi="Arial" w:cs="Arial"/>
                <w:b w:val="0"/>
                <w:bCs w:val="0"/>
                <w:color w:val="000000"/>
                <w:sz w:val="20"/>
                <w:szCs w:val="20"/>
                <w:lang w:val="en-US" w:eastAsia="en-US"/>
              </w:rPr>
            </w:pPr>
            <w:r w:rsidRPr="002D2F67">
              <w:rPr>
                <w:rFonts w:ascii="Arial" w:hAnsi="Arial" w:cs="Arial"/>
                <w:b w:val="0"/>
                <w:bCs w:val="0"/>
                <w:color w:val="000000"/>
                <w:sz w:val="20"/>
                <w:szCs w:val="20"/>
              </w:rPr>
              <w:t>Payable within:</w:t>
            </w:r>
          </w:p>
        </w:tc>
        <w:tc>
          <w:tcPr>
            <w:tcW w:w="1080" w:type="dxa"/>
            <w:shd w:val="clear" w:color="auto" w:fill="auto"/>
          </w:tcPr>
          <w:p w14:paraId="5A33E0E5" w14:textId="77777777" w:rsidR="008B5FD1" w:rsidRPr="002D2F67" w:rsidRDefault="008B5FD1" w:rsidP="00CD5714">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color w:val="000000"/>
              </w:rPr>
            </w:pPr>
          </w:p>
        </w:tc>
        <w:tc>
          <w:tcPr>
            <w:tcW w:w="1080" w:type="dxa"/>
            <w:shd w:val="clear" w:color="auto" w:fill="auto"/>
          </w:tcPr>
          <w:p w14:paraId="1347A675" w14:textId="77777777" w:rsidR="008B5FD1" w:rsidRPr="002D2F67" w:rsidRDefault="008B5FD1" w:rsidP="00CD5714">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color w:val="000000"/>
              </w:rPr>
            </w:pPr>
          </w:p>
        </w:tc>
        <w:tc>
          <w:tcPr>
            <w:tcW w:w="1080" w:type="dxa"/>
            <w:shd w:val="clear" w:color="auto" w:fill="auto"/>
          </w:tcPr>
          <w:p w14:paraId="3EC9943F" w14:textId="77777777" w:rsidR="008B5FD1" w:rsidRPr="002D2F67" w:rsidRDefault="008B5FD1" w:rsidP="00CD5714">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color w:val="000000"/>
              </w:rPr>
            </w:pPr>
          </w:p>
        </w:tc>
        <w:tc>
          <w:tcPr>
            <w:tcW w:w="1080" w:type="dxa"/>
            <w:shd w:val="clear" w:color="auto" w:fill="auto"/>
          </w:tcPr>
          <w:p w14:paraId="49E3DCF8" w14:textId="77777777" w:rsidR="008B5FD1" w:rsidRPr="002D2F67" w:rsidRDefault="008B5FD1" w:rsidP="00CD5714">
            <w:pPr>
              <w:ind w:right="-72"/>
              <w:jc w:val="right"/>
              <w:rPr>
                <w:rFonts w:ascii="Arial" w:hAnsi="Arial" w:cs="Arial"/>
                <w:color w:val="000000"/>
                <w:sz w:val="20"/>
                <w:szCs w:val="20"/>
              </w:rPr>
            </w:pPr>
          </w:p>
        </w:tc>
        <w:tc>
          <w:tcPr>
            <w:tcW w:w="1080" w:type="dxa"/>
            <w:shd w:val="clear" w:color="auto" w:fill="auto"/>
          </w:tcPr>
          <w:p w14:paraId="45A0F148" w14:textId="77777777" w:rsidR="008B5FD1" w:rsidRPr="002D2F67" w:rsidRDefault="008B5FD1" w:rsidP="00CD5714">
            <w:pPr>
              <w:ind w:right="-72"/>
              <w:jc w:val="right"/>
              <w:rPr>
                <w:rFonts w:ascii="Arial" w:hAnsi="Arial" w:cs="Arial"/>
                <w:color w:val="000000"/>
                <w:sz w:val="20"/>
                <w:szCs w:val="20"/>
              </w:rPr>
            </w:pPr>
          </w:p>
        </w:tc>
        <w:tc>
          <w:tcPr>
            <w:tcW w:w="1080" w:type="dxa"/>
            <w:shd w:val="clear" w:color="auto" w:fill="auto"/>
          </w:tcPr>
          <w:p w14:paraId="4A55332B" w14:textId="77777777" w:rsidR="008B5FD1" w:rsidRPr="002D2F67" w:rsidRDefault="008B5FD1" w:rsidP="00CD5714">
            <w:pPr>
              <w:ind w:right="-72"/>
              <w:jc w:val="right"/>
              <w:rPr>
                <w:rFonts w:ascii="Arial" w:hAnsi="Arial" w:cs="Arial"/>
                <w:color w:val="000000"/>
                <w:sz w:val="20"/>
                <w:szCs w:val="20"/>
              </w:rPr>
            </w:pPr>
          </w:p>
        </w:tc>
      </w:tr>
      <w:tr w:rsidR="005511A2" w:rsidRPr="002D2F67" w14:paraId="7B070A24" w14:textId="77777777" w:rsidTr="00CD5714">
        <w:trPr>
          <w:trHeight w:val="124"/>
        </w:trPr>
        <w:tc>
          <w:tcPr>
            <w:tcW w:w="2981" w:type="dxa"/>
            <w:shd w:val="clear" w:color="auto" w:fill="auto"/>
          </w:tcPr>
          <w:p w14:paraId="1F1F46EC" w14:textId="3311BD95" w:rsidR="005511A2" w:rsidRPr="002D2F67" w:rsidRDefault="005511A2" w:rsidP="00AB5B46">
            <w:pPr>
              <w:pStyle w:val="Heading4"/>
              <w:ind w:left="435"/>
              <w:rPr>
                <w:rFonts w:ascii="Arial" w:hAnsi="Arial" w:cs="Arial"/>
                <w:b w:val="0"/>
                <w:bCs w:val="0"/>
                <w:color w:val="000000"/>
                <w:sz w:val="20"/>
                <w:szCs w:val="20"/>
                <w:lang w:val="en-US" w:eastAsia="en-US"/>
              </w:rPr>
            </w:pPr>
            <w:r w:rsidRPr="002D2F67">
              <w:rPr>
                <w:rFonts w:ascii="Arial" w:hAnsi="Arial" w:cs="Arial"/>
                <w:b w:val="0"/>
                <w:bCs w:val="0"/>
                <w:color w:val="000000"/>
                <w:sz w:val="20"/>
                <w:szCs w:val="20"/>
                <w:lang w:val="en-US"/>
              </w:rPr>
              <w:t xml:space="preserve">   </w:t>
            </w:r>
            <w:r w:rsidRPr="002D2F67">
              <w:rPr>
                <w:rFonts w:ascii="Arial" w:hAnsi="Arial" w:cs="Arial"/>
                <w:b w:val="0"/>
                <w:bCs w:val="0"/>
                <w:color w:val="000000"/>
                <w:sz w:val="20"/>
                <w:szCs w:val="20"/>
              </w:rPr>
              <w:t xml:space="preserve">Less than </w:t>
            </w:r>
            <w:r w:rsidR="00CD5714" w:rsidRPr="00CD5714">
              <w:rPr>
                <w:rFonts w:ascii="Arial" w:hAnsi="Arial" w:cs="Arial"/>
                <w:b w:val="0"/>
                <w:bCs w:val="0"/>
                <w:color w:val="000000"/>
                <w:sz w:val="20"/>
                <w:szCs w:val="20"/>
                <w:lang w:val="en-GB"/>
              </w:rPr>
              <w:t>1</w:t>
            </w:r>
            <w:r w:rsidRPr="002D2F67">
              <w:rPr>
                <w:rFonts w:ascii="Arial" w:hAnsi="Arial" w:cs="Arial"/>
                <w:b w:val="0"/>
                <w:bCs w:val="0"/>
                <w:color w:val="000000"/>
                <w:sz w:val="20"/>
                <w:szCs w:val="20"/>
              </w:rPr>
              <w:t xml:space="preserve"> year</w:t>
            </w:r>
          </w:p>
        </w:tc>
        <w:tc>
          <w:tcPr>
            <w:tcW w:w="1080" w:type="dxa"/>
            <w:shd w:val="clear" w:color="auto" w:fill="auto"/>
            <w:vAlign w:val="bottom"/>
          </w:tcPr>
          <w:p w14:paraId="5E304D95" w14:textId="25838F60" w:rsidR="005511A2" w:rsidRPr="002D2F67" w:rsidRDefault="00CD5714" w:rsidP="00CD5714">
            <w:pPr>
              <w:ind w:right="-72"/>
              <w:jc w:val="right"/>
              <w:rPr>
                <w:rFonts w:ascii="Arial" w:hAnsi="Arial" w:cs="Arial"/>
                <w:snapToGrid w:val="0"/>
                <w:color w:val="000000"/>
                <w:sz w:val="20"/>
                <w:szCs w:val="20"/>
                <w:lang w:eastAsia="th-TH"/>
              </w:rPr>
            </w:pPr>
            <w:r w:rsidRPr="00CD5714">
              <w:rPr>
                <w:rFonts w:ascii="Arial" w:hAnsi="Arial" w:cs="Arial"/>
                <w:snapToGrid w:val="0"/>
                <w:color w:val="000000"/>
                <w:sz w:val="20"/>
                <w:szCs w:val="20"/>
                <w:lang w:val="en-GB" w:eastAsia="th-TH"/>
              </w:rPr>
              <w:t>2</w:t>
            </w:r>
          </w:p>
        </w:tc>
        <w:tc>
          <w:tcPr>
            <w:tcW w:w="1080" w:type="dxa"/>
            <w:shd w:val="clear" w:color="auto" w:fill="auto"/>
            <w:vAlign w:val="bottom"/>
          </w:tcPr>
          <w:p w14:paraId="7E1D295D" w14:textId="7DDD23DB" w:rsidR="005511A2" w:rsidRPr="002D2F67" w:rsidRDefault="0038545B" w:rsidP="00CD5714">
            <w:pPr>
              <w:ind w:right="-72"/>
              <w:jc w:val="right"/>
              <w:rPr>
                <w:rFonts w:ascii="Arial" w:hAnsi="Arial" w:cs="Arial"/>
                <w:snapToGrid w:val="0"/>
                <w:color w:val="000000"/>
                <w:sz w:val="20"/>
                <w:szCs w:val="20"/>
                <w:lang w:eastAsia="th-TH"/>
              </w:rPr>
            </w:pPr>
            <w:r w:rsidRPr="002D2F67">
              <w:rPr>
                <w:rFonts w:ascii="Arial" w:hAnsi="Arial" w:cs="Arial"/>
                <w:snapToGrid w:val="0"/>
                <w:color w:val="000000"/>
                <w:sz w:val="20"/>
                <w:szCs w:val="20"/>
                <w:lang w:eastAsia="th-TH"/>
              </w:rPr>
              <w:t>-</w:t>
            </w:r>
          </w:p>
        </w:tc>
        <w:tc>
          <w:tcPr>
            <w:tcW w:w="1080" w:type="dxa"/>
            <w:shd w:val="clear" w:color="auto" w:fill="auto"/>
            <w:vAlign w:val="bottom"/>
          </w:tcPr>
          <w:p w14:paraId="3FC8C5A1" w14:textId="282E8053" w:rsidR="005511A2" w:rsidRPr="002D2F67" w:rsidRDefault="00CD5714" w:rsidP="00CD5714">
            <w:pPr>
              <w:ind w:right="-72"/>
              <w:jc w:val="right"/>
              <w:rPr>
                <w:rFonts w:ascii="Arial" w:hAnsi="Arial" w:cs="Arial"/>
                <w:snapToGrid w:val="0"/>
                <w:color w:val="000000"/>
                <w:sz w:val="20"/>
                <w:szCs w:val="20"/>
                <w:lang w:eastAsia="th-TH"/>
              </w:rPr>
            </w:pPr>
            <w:r w:rsidRPr="00CD5714">
              <w:rPr>
                <w:rFonts w:ascii="Arial" w:hAnsi="Arial" w:cs="Arial"/>
                <w:snapToGrid w:val="0"/>
                <w:color w:val="000000"/>
                <w:sz w:val="20"/>
                <w:szCs w:val="20"/>
                <w:lang w:val="en-GB" w:eastAsia="th-TH"/>
              </w:rPr>
              <w:t>284</w:t>
            </w:r>
          </w:p>
        </w:tc>
        <w:tc>
          <w:tcPr>
            <w:tcW w:w="1080" w:type="dxa"/>
            <w:shd w:val="clear" w:color="auto" w:fill="auto"/>
            <w:vAlign w:val="bottom"/>
          </w:tcPr>
          <w:p w14:paraId="3B2884AD" w14:textId="24CEE2E0" w:rsidR="005511A2" w:rsidRPr="002D2F67" w:rsidRDefault="00CD5714" w:rsidP="00CD5714">
            <w:pPr>
              <w:ind w:right="-72"/>
              <w:jc w:val="right"/>
              <w:rPr>
                <w:rFonts w:ascii="Arial" w:hAnsi="Arial" w:cs="Arial"/>
                <w:snapToGrid w:val="0"/>
                <w:color w:val="000000"/>
                <w:sz w:val="20"/>
                <w:szCs w:val="20"/>
                <w:lang w:eastAsia="th-TH"/>
              </w:rPr>
            </w:pPr>
            <w:r w:rsidRPr="00CD5714">
              <w:rPr>
                <w:rFonts w:ascii="Arial" w:hAnsi="Arial" w:cs="Arial"/>
                <w:snapToGrid w:val="0"/>
                <w:color w:val="000000"/>
                <w:sz w:val="20"/>
                <w:szCs w:val="20"/>
                <w:lang w:val="en-GB" w:eastAsia="th-TH"/>
              </w:rPr>
              <w:t>2</w:t>
            </w:r>
          </w:p>
        </w:tc>
        <w:tc>
          <w:tcPr>
            <w:tcW w:w="1080" w:type="dxa"/>
            <w:shd w:val="clear" w:color="auto" w:fill="auto"/>
            <w:vAlign w:val="bottom"/>
          </w:tcPr>
          <w:p w14:paraId="1C76A6C2" w14:textId="79D76D91" w:rsidR="005511A2" w:rsidRPr="002D2F67" w:rsidRDefault="00CD5714" w:rsidP="00CD5714">
            <w:pPr>
              <w:ind w:right="-72"/>
              <w:jc w:val="right"/>
              <w:rPr>
                <w:rFonts w:ascii="Arial" w:hAnsi="Arial" w:cs="Arial"/>
                <w:snapToGrid w:val="0"/>
                <w:color w:val="000000"/>
                <w:sz w:val="20"/>
                <w:szCs w:val="20"/>
                <w:lang w:eastAsia="th-TH"/>
              </w:rPr>
            </w:pPr>
            <w:r w:rsidRPr="00CD5714">
              <w:rPr>
                <w:rFonts w:ascii="Arial" w:hAnsi="Arial" w:cs="Arial"/>
                <w:snapToGrid w:val="0"/>
                <w:color w:val="000000"/>
                <w:sz w:val="20"/>
                <w:szCs w:val="20"/>
                <w:lang w:val="en-GB" w:eastAsia="th-TH"/>
              </w:rPr>
              <w:t>6</w:t>
            </w:r>
          </w:p>
        </w:tc>
        <w:tc>
          <w:tcPr>
            <w:tcW w:w="1080" w:type="dxa"/>
            <w:shd w:val="clear" w:color="auto" w:fill="auto"/>
            <w:vAlign w:val="bottom"/>
          </w:tcPr>
          <w:p w14:paraId="0EE82603" w14:textId="267D591E" w:rsidR="005511A2" w:rsidRPr="002D2F67" w:rsidRDefault="00CD5714" w:rsidP="00CD5714">
            <w:pPr>
              <w:ind w:right="-72"/>
              <w:jc w:val="right"/>
              <w:rPr>
                <w:rFonts w:ascii="Arial" w:hAnsi="Arial" w:cs="Arial"/>
                <w:snapToGrid w:val="0"/>
                <w:color w:val="000000"/>
                <w:sz w:val="20"/>
                <w:szCs w:val="20"/>
                <w:lang w:eastAsia="th-TH"/>
              </w:rPr>
            </w:pPr>
            <w:r w:rsidRPr="00CD5714">
              <w:rPr>
                <w:rFonts w:ascii="Arial" w:hAnsi="Arial" w:cs="Arial"/>
                <w:snapToGrid w:val="0"/>
                <w:color w:val="000000"/>
                <w:sz w:val="20"/>
                <w:szCs w:val="20"/>
                <w:lang w:val="en-GB" w:eastAsia="th-TH"/>
              </w:rPr>
              <w:t>341</w:t>
            </w:r>
          </w:p>
        </w:tc>
      </w:tr>
      <w:tr w:rsidR="005511A2" w:rsidRPr="002D2F67" w14:paraId="0A62AAFC" w14:textId="77777777" w:rsidTr="00CD5714">
        <w:trPr>
          <w:trHeight w:val="199"/>
        </w:trPr>
        <w:tc>
          <w:tcPr>
            <w:tcW w:w="2981" w:type="dxa"/>
            <w:shd w:val="clear" w:color="auto" w:fill="auto"/>
          </w:tcPr>
          <w:p w14:paraId="581D0B1A" w14:textId="6309AAB0" w:rsidR="005511A2" w:rsidRPr="002D2F67" w:rsidRDefault="005511A2" w:rsidP="00AB5B46">
            <w:pPr>
              <w:pStyle w:val="Heading4"/>
              <w:ind w:left="435"/>
              <w:rPr>
                <w:rFonts w:ascii="Arial" w:hAnsi="Arial" w:cs="Arial"/>
                <w:b w:val="0"/>
                <w:bCs w:val="0"/>
                <w:color w:val="000000"/>
                <w:sz w:val="20"/>
                <w:szCs w:val="20"/>
                <w:bdr w:val="single" w:sz="4" w:space="0" w:color="auto"/>
                <w:lang w:val="en-US" w:eastAsia="en-US"/>
              </w:rPr>
            </w:pPr>
            <w:r w:rsidRPr="002D2F67">
              <w:rPr>
                <w:rFonts w:ascii="Arial" w:hAnsi="Arial" w:cs="Arial"/>
                <w:b w:val="0"/>
                <w:bCs w:val="0"/>
                <w:color w:val="000000"/>
                <w:sz w:val="20"/>
                <w:szCs w:val="20"/>
                <w:lang w:val="en-US"/>
              </w:rPr>
              <w:t xml:space="preserve">   More than </w:t>
            </w:r>
            <w:r w:rsidR="00CD5714" w:rsidRPr="00CD5714">
              <w:rPr>
                <w:rFonts w:ascii="Arial" w:hAnsi="Arial" w:cs="Arial"/>
                <w:b w:val="0"/>
                <w:bCs w:val="0"/>
                <w:color w:val="000000"/>
                <w:sz w:val="20"/>
                <w:szCs w:val="20"/>
                <w:lang w:val="en-GB"/>
              </w:rPr>
              <w:t>1</w:t>
            </w:r>
            <w:r w:rsidRPr="002D2F67">
              <w:rPr>
                <w:rFonts w:ascii="Arial" w:hAnsi="Arial" w:cs="Arial"/>
                <w:b w:val="0"/>
                <w:bCs w:val="0"/>
                <w:color w:val="000000"/>
                <w:sz w:val="20"/>
                <w:szCs w:val="20"/>
              </w:rPr>
              <w:t xml:space="preserve"> to </w:t>
            </w:r>
            <w:r w:rsidR="00CD5714" w:rsidRPr="00CD5714">
              <w:rPr>
                <w:rFonts w:ascii="Arial" w:hAnsi="Arial" w:cs="Arial"/>
                <w:b w:val="0"/>
                <w:bCs w:val="0"/>
                <w:color w:val="000000"/>
                <w:sz w:val="20"/>
                <w:szCs w:val="20"/>
                <w:lang w:val="en-GB"/>
              </w:rPr>
              <w:t>5</w:t>
            </w:r>
            <w:r w:rsidRPr="002D2F67">
              <w:rPr>
                <w:rFonts w:ascii="Arial" w:hAnsi="Arial" w:cs="Arial"/>
                <w:b w:val="0"/>
                <w:bCs w:val="0"/>
                <w:color w:val="000000"/>
                <w:sz w:val="20"/>
                <w:szCs w:val="20"/>
              </w:rPr>
              <w:t xml:space="preserve"> years</w:t>
            </w:r>
          </w:p>
        </w:tc>
        <w:tc>
          <w:tcPr>
            <w:tcW w:w="1080" w:type="dxa"/>
            <w:shd w:val="clear" w:color="auto" w:fill="auto"/>
            <w:vAlign w:val="bottom"/>
          </w:tcPr>
          <w:p w14:paraId="41C44492" w14:textId="12EAC197" w:rsidR="005511A2" w:rsidRPr="002D2F67" w:rsidRDefault="00CD5714" w:rsidP="00CD5714">
            <w:pPr>
              <w:ind w:right="-72"/>
              <w:jc w:val="right"/>
              <w:rPr>
                <w:rFonts w:ascii="Arial" w:hAnsi="Arial" w:cs="Arial"/>
                <w:snapToGrid w:val="0"/>
                <w:color w:val="000000"/>
                <w:sz w:val="20"/>
                <w:szCs w:val="20"/>
                <w:lang w:eastAsia="th-TH"/>
              </w:rPr>
            </w:pPr>
            <w:r w:rsidRPr="00CD5714">
              <w:rPr>
                <w:rFonts w:ascii="Arial" w:hAnsi="Arial" w:cs="Arial"/>
                <w:snapToGrid w:val="0"/>
                <w:color w:val="000000"/>
                <w:sz w:val="20"/>
                <w:szCs w:val="20"/>
                <w:lang w:val="en-GB" w:eastAsia="th-TH"/>
              </w:rPr>
              <w:t>8</w:t>
            </w:r>
          </w:p>
        </w:tc>
        <w:tc>
          <w:tcPr>
            <w:tcW w:w="1080" w:type="dxa"/>
            <w:shd w:val="clear" w:color="auto" w:fill="auto"/>
            <w:vAlign w:val="bottom"/>
          </w:tcPr>
          <w:p w14:paraId="21876E48" w14:textId="4580EBA6" w:rsidR="005511A2" w:rsidRPr="002D2F67" w:rsidRDefault="0038545B" w:rsidP="00CD5714">
            <w:pPr>
              <w:ind w:right="-72"/>
              <w:jc w:val="right"/>
              <w:rPr>
                <w:rFonts w:ascii="Arial" w:hAnsi="Arial" w:cs="Arial"/>
                <w:snapToGrid w:val="0"/>
                <w:color w:val="000000"/>
                <w:sz w:val="20"/>
                <w:szCs w:val="20"/>
                <w:lang w:eastAsia="th-TH"/>
              </w:rPr>
            </w:pPr>
            <w:r w:rsidRPr="002D2F67">
              <w:rPr>
                <w:rFonts w:ascii="Arial" w:hAnsi="Arial" w:cs="Arial"/>
                <w:snapToGrid w:val="0"/>
                <w:color w:val="000000"/>
                <w:sz w:val="20"/>
                <w:szCs w:val="20"/>
                <w:lang w:eastAsia="th-TH"/>
              </w:rPr>
              <w:t>-</w:t>
            </w:r>
          </w:p>
        </w:tc>
        <w:tc>
          <w:tcPr>
            <w:tcW w:w="1080" w:type="dxa"/>
            <w:shd w:val="clear" w:color="auto" w:fill="auto"/>
            <w:vAlign w:val="bottom"/>
          </w:tcPr>
          <w:p w14:paraId="639E8071" w14:textId="64769FD6" w:rsidR="005511A2" w:rsidRPr="002D2F67" w:rsidRDefault="00CD5714" w:rsidP="00CD5714">
            <w:pPr>
              <w:ind w:right="-72"/>
              <w:jc w:val="right"/>
              <w:rPr>
                <w:rFonts w:ascii="Arial" w:hAnsi="Arial" w:cs="Arial"/>
                <w:snapToGrid w:val="0"/>
                <w:color w:val="000000"/>
                <w:sz w:val="20"/>
                <w:szCs w:val="20"/>
                <w:lang w:eastAsia="th-TH"/>
              </w:rPr>
            </w:pPr>
            <w:r w:rsidRPr="00CD5714">
              <w:rPr>
                <w:rFonts w:ascii="Arial" w:hAnsi="Arial" w:cs="Arial"/>
                <w:snapToGrid w:val="0"/>
                <w:color w:val="000000"/>
                <w:sz w:val="20"/>
                <w:szCs w:val="20"/>
                <w:lang w:val="en-GB" w:eastAsia="th-TH"/>
              </w:rPr>
              <w:t>132</w:t>
            </w:r>
          </w:p>
        </w:tc>
        <w:tc>
          <w:tcPr>
            <w:tcW w:w="1080" w:type="dxa"/>
            <w:shd w:val="clear" w:color="auto" w:fill="auto"/>
            <w:vAlign w:val="bottom"/>
          </w:tcPr>
          <w:p w14:paraId="2182AC60" w14:textId="5FE213CA" w:rsidR="005511A2" w:rsidRPr="002D2F67" w:rsidRDefault="00CD5714" w:rsidP="00CD5714">
            <w:pPr>
              <w:ind w:right="-72"/>
              <w:jc w:val="right"/>
              <w:rPr>
                <w:rFonts w:ascii="Arial" w:hAnsi="Arial" w:cs="Arial"/>
                <w:snapToGrid w:val="0"/>
                <w:color w:val="000000"/>
                <w:sz w:val="20"/>
                <w:szCs w:val="20"/>
                <w:lang w:eastAsia="th-TH"/>
              </w:rPr>
            </w:pPr>
            <w:r w:rsidRPr="00CD5714">
              <w:rPr>
                <w:rFonts w:ascii="Arial" w:hAnsi="Arial" w:cs="Arial"/>
                <w:snapToGrid w:val="0"/>
                <w:color w:val="000000"/>
                <w:sz w:val="20"/>
                <w:szCs w:val="20"/>
                <w:lang w:val="en-GB" w:eastAsia="th-TH"/>
              </w:rPr>
              <w:t>8</w:t>
            </w:r>
          </w:p>
        </w:tc>
        <w:tc>
          <w:tcPr>
            <w:tcW w:w="1080" w:type="dxa"/>
            <w:shd w:val="clear" w:color="auto" w:fill="auto"/>
            <w:vAlign w:val="bottom"/>
          </w:tcPr>
          <w:p w14:paraId="2D1BA070" w14:textId="5E0C66B7" w:rsidR="005511A2" w:rsidRPr="002D2F67" w:rsidRDefault="005511A2" w:rsidP="00CD5714">
            <w:pPr>
              <w:ind w:right="-72"/>
              <w:jc w:val="right"/>
              <w:rPr>
                <w:rFonts w:ascii="Arial" w:hAnsi="Arial" w:cs="Arial"/>
                <w:snapToGrid w:val="0"/>
                <w:color w:val="000000"/>
                <w:sz w:val="20"/>
                <w:szCs w:val="20"/>
                <w:lang w:eastAsia="th-TH"/>
              </w:rPr>
            </w:pPr>
            <w:r w:rsidRPr="002D2F67">
              <w:rPr>
                <w:rFonts w:ascii="Arial" w:hAnsi="Arial" w:cs="Arial"/>
                <w:snapToGrid w:val="0"/>
                <w:color w:val="000000"/>
                <w:sz w:val="20"/>
                <w:szCs w:val="20"/>
                <w:lang w:eastAsia="th-TH"/>
              </w:rPr>
              <w:t>-</w:t>
            </w:r>
          </w:p>
        </w:tc>
        <w:tc>
          <w:tcPr>
            <w:tcW w:w="1080" w:type="dxa"/>
            <w:shd w:val="clear" w:color="auto" w:fill="auto"/>
            <w:vAlign w:val="bottom"/>
          </w:tcPr>
          <w:p w14:paraId="17E6C00F" w14:textId="4100A66D" w:rsidR="005511A2" w:rsidRPr="002D2F67" w:rsidRDefault="00CD5714" w:rsidP="00CD5714">
            <w:pPr>
              <w:ind w:right="-72"/>
              <w:jc w:val="right"/>
              <w:rPr>
                <w:rFonts w:ascii="Arial" w:hAnsi="Arial" w:cs="Arial"/>
                <w:snapToGrid w:val="0"/>
                <w:color w:val="000000"/>
                <w:sz w:val="20"/>
                <w:szCs w:val="20"/>
                <w:lang w:eastAsia="th-TH"/>
              </w:rPr>
            </w:pPr>
            <w:r w:rsidRPr="00CD5714">
              <w:rPr>
                <w:rFonts w:ascii="Arial" w:hAnsi="Arial" w:cs="Arial"/>
                <w:snapToGrid w:val="0"/>
                <w:color w:val="000000"/>
                <w:sz w:val="20"/>
                <w:szCs w:val="20"/>
                <w:lang w:val="en-GB" w:eastAsia="th-TH"/>
              </w:rPr>
              <w:t>186</w:t>
            </w:r>
          </w:p>
        </w:tc>
      </w:tr>
      <w:tr w:rsidR="005511A2" w:rsidRPr="002D2F67" w14:paraId="3B6AD8C3" w14:textId="77777777" w:rsidTr="00CD5714">
        <w:trPr>
          <w:trHeight w:val="124"/>
        </w:trPr>
        <w:tc>
          <w:tcPr>
            <w:tcW w:w="2981" w:type="dxa"/>
            <w:shd w:val="clear" w:color="auto" w:fill="auto"/>
          </w:tcPr>
          <w:p w14:paraId="06464D7B" w14:textId="097F6A5C" w:rsidR="005511A2" w:rsidRPr="002D2F67" w:rsidRDefault="005511A2" w:rsidP="00AB5B46">
            <w:pPr>
              <w:tabs>
                <w:tab w:val="left" w:pos="421"/>
              </w:tabs>
              <w:ind w:left="435"/>
              <w:jc w:val="both"/>
              <w:rPr>
                <w:rFonts w:ascii="Arial" w:hAnsi="Arial" w:cs="Arial"/>
                <w:color w:val="000000"/>
                <w:sz w:val="20"/>
                <w:szCs w:val="20"/>
              </w:rPr>
            </w:pPr>
            <w:r w:rsidRPr="002D2F67">
              <w:rPr>
                <w:rFonts w:ascii="Arial" w:hAnsi="Arial" w:cs="Arial"/>
                <w:color w:val="000000"/>
                <w:sz w:val="20"/>
                <w:szCs w:val="20"/>
              </w:rPr>
              <w:t xml:space="preserve">   More than </w:t>
            </w:r>
            <w:r w:rsidR="00CD5714" w:rsidRPr="00CD5714">
              <w:rPr>
                <w:rFonts w:ascii="Arial" w:hAnsi="Arial" w:cs="Arial"/>
                <w:color w:val="000000"/>
                <w:sz w:val="20"/>
                <w:szCs w:val="20"/>
                <w:lang w:val="en-GB"/>
              </w:rPr>
              <w:t>5</w:t>
            </w:r>
            <w:r w:rsidRPr="002D2F67">
              <w:rPr>
                <w:rFonts w:ascii="Arial" w:hAnsi="Arial" w:cs="Arial"/>
                <w:color w:val="000000"/>
                <w:sz w:val="20"/>
                <w:szCs w:val="20"/>
              </w:rPr>
              <w:t xml:space="preserve"> years</w:t>
            </w:r>
          </w:p>
        </w:tc>
        <w:tc>
          <w:tcPr>
            <w:tcW w:w="1080" w:type="dxa"/>
            <w:tcBorders>
              <w:bottom w:val="single" w:sz="4" w:space="0" w:color="auto"/>
            </w:tcBorders>
            <w:shd w:val="clear" w:color="auto" w:fill="auto"/>
            <w:vAlign w:val="bottom"/>
          </w:tcPr>
          <w:p w14:paraId="5DA1ACBC" w14:textId="290471E0" w:rsidR="005511A2" w:rsidRPr="002D2F67" w:rsidRDefault="00CD5714" w:rsidP="00CD5714">
            <w:pPr>
              <w:ind w:right="-72"/>
              <w:jc w:val="right"/>
              <w:rPr>
                <w:rFonts w:ascii="Arial" w:hAnsi="Arial" w:cs="Arial"/>
                <w:color w:val="000000"/>
                <w:sz w:val="20"/>
                <w:szCs w:val="20"/>
              </w:rPr>
            </w:pPr>
            <w:r w:rsidRPr="00CD5714">
              <w:rPr>
                <w:rFonts w:ascii="Arial" w:hAnsi="Arial" w:cs="Arial"/>
                <w:color w:val="000000"/>
                <w:sz w:val="20"/>
                <w:szCs w:val="20"/>
                <w:lang w:val="en-GB"/>
              </w:rPr>
              <w:t>6</w:t>
            </w:r>
          </w:p>
        </w:tc>
        <w:tc>
          <w:tcPr>
            <w:tcW w:w="1080" w:type="dxa"/>
            <w:tcBorders>
              <w:bottom w:val="single" w:sz="4" w:space="0" w:color="auto"/>
            </w:tcBorders>
            <w:shd w:val="clear" w:color="auto" w:fill="auto"/>
            <w:vAlign w:val="bottom"/>
          </w:tcPr>
          <w:p w14:paraId="1E6C9013" w14:textId="35ACE95A" w:rsidR="005511A2" w:rsidRPr="002D2F67" w:rsidRDefault="0038545B" w:rsidP="00CD5714">
            <w:pPr>
              <w:ind w:right="-72"/>
              <w:jc w:val="right"/>
              <w:rPr>
                <w:rFonts w:ascii="Arial" w:hAnsi="Arial" w:cs="Arial"/>
                <w:color w:val="000000"/>
                <w:sz w:val="20"/>
                <w:szCs w:val="20"/>
              </w:rPr>
            </w:pPr>
            <w:r w:rsidRPr="002D2F67">
              <w:rPr>
                <w:rFonts w:ascii="Arial" w:hAnsi="Arial" w:cs="Arial"/>
                <w:color w:val="000000"/>
                <w:sz w:val="20"/>
                <w:szCs w:val="20"/>
              </w:rPr>
              <w:t>-</w:t>
            </w:r>
          </w:p>
        </w:tc>
        <w:tc>
          <w:tcPr>
            <w:tcW w:w="1080" w:type="dxa"/>
            <w:tcBorders>
              <w:bottom w:val="single" w:sz="4" w:space="0" w:color="auto"/>
            </w:tcBorders>
            <w:shd w:val="clear" w:color="auto" w:fill="auto"/>
            <w:vAlign w:val="bottom"/>
          </w:tcPr>
          <w:p w14:paraId="45DFF255" w14:textId="2684ACC5" w:rsidR="005511A2" w:rsidRPr="002D2F67" w:rsidRDefault="00CD5714" w:rsidP="00CD5714">
            <w:pPr>
              <w:ind w:right="-72"/>
              <w:jc w:val="right"/>
              <w:rPr>
                <w:rFonts w:ascii="Arial" w:hAnsi="Arial" w:cs="Arial"/>
                <w:color w:val="000000"/>
                <w:sz w:val="20"/>
                <w:szCs w:val="20"/>
              </w:rPr>
            </w:pPr>
            <w:r w:rsidRPr="00CD5714">
              <w:rPr>
                <w:rFonts w:ascii="Arial" w:hAnsi="Arial" w:cs="Arial"/>
                <w:color w:val="000000"/>
                <w:sz w:val="20"/>
                <w:szCs w:val="20"/>
                <w:lang w:val="en-GB"/>
              </w:rPr>
              <w:t>26</w:t>
            </w:r>
          </w:p>
        </w:tc>
        <w:tc>
          <w:tcPr>
            <w:tcW w:w="1080" w:type="dxa"/>
            <w:tcBorders>
              <w:bottom w:val="single" w:sz="4" w:space="0" w:color="auto"/>
            </w:tcBorders>
            <w:shd w:val="clear" w:color="auto" w:fill="auto"/>
            <w:vAlign w:val="bottom"/>
          </w:tcPr>
          <w:p w14:paraId="00426401" w14:textId="2879FB16" w:rsidR="005511A2" w:rsidRPr="002D2F67" w:rsidRDefault="00CD5714" w:rsidP="00CD5714">
            <w:pPr>
              <w:ind w:right="-72"/>
              <w:jc w:val="right"/>
              <w:rPr>
                <w:rFonts w:ascii="Arial" w:hAnsi="Arial" w:cs="Arial"/>
                <w:color w:val="000000"/>
                <w:sz w:val="20"/>
                <w:szCs w:val="20"/>
              </w:rPr>
            </w:pPr>
            <w:r w:rsidRPr="00CD5714">
              <w:rPr>
                <w:rFonts w:ascii="Arial" w:hAnsi="Arial" w:cs="Arial"/>
                <w:color w:val="000000"/>
                <w:sz w:val="20"/>
                <w:szCs w:val="20"/>
                <w:lang w:val="en-GB"/>
              </w:rPr>
              <w:t>8</w:t>
            </w:r>
          </w:p>
        </w:tc>
        <w:tc>
          <w:tcPr>
            <w:tcW w:w="1080" w:type="dxa"/>
            <w:tcBorders>
              <w:bottom w:val="single" w:sz="4" w:space="0" w:color="auto"/>
            </w:tcBorders>
            <w:shd w:val="clear" w:color="auto" w:fill="auto"/>
            <w:vAlign w:val="bottom"/>
          </w:tcPr>
          <w:p w14:paraId="0E031CE9" w14:textId="3BC94226" w:rsidR="005511A2" w:rsidRPr="002D2F67" w:rsidRDefault="005511A2" w:rsidP="00CD5714">
            <w:pPr>
              <w:ind w:right="-72"/>
              <w:jc w:val="right"/>
              <w:rPr>
                <w:rFonts w:ascii="Arial" w:hAnsi="Arial" w:cs="Arial"/>
                <w:color w:val="000000"/>
                <w:sz w:val="20"/>
                <w:szCs w:val="20"/>
              </w:rPr>
            </w:pPr>
            <w:r w:rsidRPr="002D2F67">
              <w:rPr>
                <w:rFonts w:ascii="Arial" w:hAnsi="Arial" w:cs="Arial"/>
                <w:color w:val="000000"/>
                <w:sz w:val="20"/>
                <w:szCs w:val="20"/>
              </w:rPr>
              <w:t>-</w:t>
            </w:r>
          </w:p>
        </w:tc>
        <w:tc>
          <w:tcPr>
            <w:tcW w:w="1080" w:type="dxa"/>
            <w:tcBorders>
              <w:bottom w:val="single" w:sz="4" w:space="0" w:color="auto"/>
            </w:tcBorders>
            <w:shd w:val="clear" w:color="auto" w:fill="auto"/>
            <w:vAlign w:val="bottom"/>
          </w:tcPr>
          <w:p w14:paraId="2878C002" w14:textId="7FFDFE27" w:rsidR="005511A2" w:rsidRPr="002D2F67" w:rsidRDefault="00CD5714" w:rsidP="00CD5714">
            <w:pPr>
              <w:ind w:right="-72"/>
              <w:jc w:val="right"/>
              <w:rPr>
                <w:rFonts w:ascii="Arial" w:hAnsi="Arial" w:cs="Arial"/>
                <w:color w:val="000000"/>
                <w:sz w:val="20"/>
                <w:szCs w:val="20"/>
              </w:rPr>
            </w:pPr>
            <w:r w:rsidRPr="00CD5714">
              <w:rPr>
                <w:rFonts w:ascii="Arial" w:hAnsi="Arial" w:cs="Arial"/>
                <w:color w:val="000000"/>
                <w:sz w:val="20"/>
                <w:szCs w:val="20"/>
                <w:lang w:val="en-GB"/>
              </w:rPr>
              <w:t>15</w:t>
            </w:r>
          </w:p>
        </w:tc>
      </w:tr>
      <w:tr w:rsidR="005511A2" w:rsidRPr="002D2F67" w14:paraId="3A555A49" w14:textId="77777777" w:rsidTr="00CD5714">
        <w:trPr>
          <w:trHeight w:val="124"/>
        </w:trPr>
        <w:tc>
          <w:tcPr>
            <w:tcW w:w="2981" w:type="dxa"/>
            <w:shd w:val="clear" w:color="auto" w:fill="auto"/>
          </w:tcPr>
          <w:p w14:paraId="0D0A7A33" w14:textId="77777777" w:rsidR="005511A2" w:rsidRPr="002D2F67" w:rsidRDefault="005511A2" w:rsidP="00AB5B46">
            <w:pPr>
              <w:ind w:left="435"/>
              <w:jc w:val="both"/>
              <w:rPr>
                <w:rFonts w:ascii="Arial" w:hAnsi="Arial" w:cs="Arial"/>
                <w:color w:val="000000"/>
                <w:sz w:val="20"/>
                <w:szCs w:val="20"/>
              </w:rPr>
            </w:pPr>
          </w:p>
        </w:tc>
        <w:tc>
          <w:tcPr>
            <w:tcW w:w="1080" w:type="dxa"/>
            <w:tcBorders>
              <w:top w:val="single" w:sz="4" w:space="0" w:color="auto"/>
            </w:tcBorders>
            <w:shd w:val="clear" w:color="auto" w:fill="auto"/>
          </w:tcPr>
          <w:p w14:paraId="74CCE58B" w14:textId="77777777" w:rsidR="005511A2" w:rsidRPr="002D2F67" w:rsidRDefault="005511A2" w:rsidP="00CD5714">
            <w:pPr>
              <w:ind w:left="331" w:right="-72" w:hanging="331"/>
              <w:jc w:val="right"/>
              <w:rPr>
                <w:rFonts w:ascii="Arial" w:hAnsi="Arial" w:cs="Arial"/>
                <w:color w:val="000000"/>
                <w:sz w:val="20"/>
                <w:szCs w:val="20"/>
              </w:rPr>
            </w:pPr>
          </w:p>
        </w:tc>
        <w:tc>
          <w:tcPr>
            <w:tcW w:w="1080" w:type="dxa"/>
            <w:tcBorders>
              <w:top w:val="single" w:sz="4" w:space="0" w:color="auto"/>
            </w:tcBorders>
            <w:shd w:val="clear" w:color="auto" w:fill="auto"/>
          </w:tcPr>
          <w:p w14:paraId="738EF463" w14:textId="77777777" w:rsidR="005511A2" w:rsidRPr="002D2F67" w:rsidRDefault="005511A2" w:rsidP="00CD5714">
            <w:pPr>
              <w:ind w:left="331" w:right="-72" w:hanging="331"/>
              <w:jc w:val="right"/>
              <w:rPr>
                <w:rFonts w:ascii="Arial" w:hAnsi="Arial" w:cs="Arial"/>
                <w:color w:val="000000"/>
                <w:sz w:val="20"/>
                <w:szCs w:val="20"/>
              </w:rPr>
            </w:pPr>
          </w:p>
        </w:tc>
        <w:tc>
          <w:tcPr>
            <w:tcW w:w="1080" w:type="dxa"/>
            <w:tcBorders>
              <w:top w:val="single" w:sz="4" w:space="0" w:color="auto"/>
            </w:tcBorders>
            <w:shd w:val="clear" w:color="auto" w:fill="auto"/>
          </w:tcPr>
          <w:p w14:paraId="4E427393" w14:textId="77777777" w:rsidR="005511A2" w:rsidRPr="002D2F67" w:rsidRDefault="005511A2" w:rsidP="00CD5714">
            <w:pPr>
              <w:ind w:left="331" w:right="-72" w:hanging="331"/>
              <w:jc w:val="right"/>
              <w:rPr>
                <w:rFonts w:ascii="Arial" w:hAnsi="Arial" w:cs="Arial"/>
                <w:color w:val="000000"/>
                <w:sz w:val="20"/>
                <w:szCs w:val="20"/>
              </w:rPr>
            </w:pPr>
          </w:p>
        </w:tc>
        <w:tc>
          <w:tcPr>
            <w:tcW w:w="1080" w:type="dxa"/>
            <w:tcBorders>
              <w:top w:val="single" w:sz="4" w:space="0" w:color="auto"/>
            </w:tcBorders>
            <w:shd w:val="clear" w:color="auto" w:fill="auto"/>
          </w:tcPr>
          <w:p w14:paraId="711BB120" w14:textId="77777777" w:rsidR="005511A2" w:rsidRPr="002D2F67" w:rsidRDefault="005511A2" w:rsidP="00CD5714">
            <w:pPr>
              <w:ind w:left="331" w:right="-72" w:hanging="331"/>
              <w:jc w:val="right"/>
              <w:rPr>
                <w:rFonts w:ascii="Arial" w:hAnsi="Arial" w:cs="Arial"/>
                <w:color w:val="000000"/>
                <w:sz w:val="20"/>
                <w:szCs w:val="20"/>
              </w:rPr>
            </w:pPr>
          </w:p>
        </w:tc>
        <w:tc>
          <w:tcPr>
            <w:tcW w:w="1080" w:type="dxa"/>
            <w:tcBorders>
              <w:top w:val="single" w:sz="4" w:space="0" w:color="auto"/>
            </w:tcBorders>
            <w:shd w:val="clear" w:color="auto" w:fill="auto"/>
          </w:tcPr>
          <w:p w14:paraId="4E670E7D" w14:textId="77777777" w:rsidR="005511A2" w:rsidRPr="002D2F67" w:rsidRDefault="005511A2" w:rsidP="00CD5714">
            <w:pPr>
              <w:ind w:left="331" w:right="-72" w:hanging="331"/>
              <w:jc w:val="right"/>
              <w:rPr>
                <w:rFonts w:ascii="Arial" w:hAnsi="Arial" w:cs="Arial"/>
                <w:color w:val="000000"/>
                <w:sz w:val="20"/>
                <w:szCs w:val="20"/>
              </w:rPr>
            </w:pPr>
          </w:p>
        </w:tc>
        <w:tc>
          <w:tcPr>
            <w:tcW w:w="1080" w:type="dxa"/>
            <w:tcBorders>
              <w:top w:val="single" w:sz="4" w:space="0" w:color="auto"/>
            </w:tcBorders>
            <w:shd w:val="clear" w:color="auto" w:fill="auto"/>
          </w:tcPr>
          <w:p w14:paraId="62A3A09C" w14:textId="77777777" w:rsidR="005511A2" w:rsidRPr="002D2F67" w:rsidRDefault="005511A2" w:rsidP="00CD5714">
            <w:pPr>
              <w:ind w:left="331" w:right="-72" w:hanging="331"/>
              <w:jc w:val="right"/>
              <w:rPr>
                <w:rFonts w:ascii="Arial" w:hAnsi="Arial" w:cs="Arial"/>
                <w:color w:val="000000"/>
                <w:sz w:val="20"/>
                <w:szCs w:val="20"/>
              </w:rPr>
            </w:pPr>
          </w:p>
        </w:tc>
      </w:tr>
      <w:tr w:rsidR="005511A2" w:rsidRPr="002D2F67" w14:paraId="4CF1D28C" w14:textId="77777777" w:rsidTr="00CD5714">
        <w:trPr>
          <w:trHeight w:val="124"/>
        </w:trPr>
        <w:tc>
          <w:tcPr>
            <w:tcW w:w="2981" w:type="dxa"/>
            <w:shd w:val="clear" w:color="auto" w:fill="auto"/>
          </w:tcPr>
          <w:p w14:paraId="777585A6" w14:textId="77777777" w:rsidR="005511A2" w:rsidRPr="002D2F67" w:rsidRDefault="005511A2" w:rsidP="00AB5B46">
            <w:pPr>
              <w:ind w:left="435"/>
              <w:jc w:val="both"/>
              <w:rPr>
                <w:rFonts w:ascii="Arial" w:hAnsi="Arial" w:cs="Arial"/>
                <w:color w:val="000000"/>
                <w:sz w:val="20"/>
                <w:szCs w:val="20"/>
              </w:rPr>
            </w:pPr>
          </w:p>
        </w:tc>
        <w:tc>
          <w:tcPr>
            <w:tcW w:w="1080" w:type="dxa"/>
            <w:tcBorders>
              <w:bottom w:val="single" w:sz="4" w:space="0" w:color="auto"/>
            </w:tcBorders>
            <w:shd w:val="clear" w:color="auto" w:fill="auto"/>
          </w:tcPr>
          <w:p w14:paraId="5CA267B3" w14:textId="47B6A27B" w:rsidR="005511A2" w:rsidRPr="002D2F67" w:rsidRDefault="00CD5714" w:rsidP="00CD5714">
            <w:pPr>
              <w:ind w:right="-72"/>
              <w:jc w:val="right"/>
              <w:rPr>
                <w:rFonts w:ascii="Arial" w:hAnsi="Arial" w:cs="Arial"/>
                <w:color w:val="000000"/>
                <w:sz w:val="20"/>
                <w:szCs w:val="20"/>
              </w:rPr>
            </w:pPr>
            <w:r w:rsidRPr="00CD5714">
              <w:rPr>
                <w:rFonts w:ascii="Arial" w:hAnsi="Arial" w:cs="Arial"/>
                <w:color w:val="000000"/>
                <w:sz w:val="20"/>
                <w:szCs w:val="20"/>
                <w:lang w:val="en-GB"/>
              </w:rPr>
              <w:t>16</w:t>
            </w:r>
          </w:p>
        </w:tc>
        <w:tc>
          <w:tcPr>
            <w:tcW w:w="1080" w:type="dxa"/>
            <w:tcBorders>
              <w:bottom w:val="single" w:sz="4" w:space="0" w:color="auto"/>
            </w:tcBorders>
            <w:shd w:val="clear" w:color="auto" w:fill="auto"/>
          </w:tcPr>
          <w:p w14:paraId="5D71225B" w14:textId="1DD5FF39" w:rsidR="005511A2" w:rsidRPr="002D2F67" w:rsidRDefault="0038545B" w:rsidP="00CD5714">
            <w:pPr>
              <w:ind w:right="-72"/>
              <w:jc w:val="right"/>
              <w:rPr>
                <w:rFonts w:ascii="Arial" w:hAnsi="Arial" w:cs="Arial"/>
                <w:color w:val="000000"/>
                <w:sz w:val="20"/>
                <w:szCs w:val="20"/>
                <w:cs/>
              </w:rPr>
            </w:pPr>
            <w:r w:rsidRPr="002D2F67">
              <w:rPr>
                <w:rFonts w:ascii="Arial" w:hAnsi="Arial" w:cs="Arial"/>
                <w:color w:val="000000"/>
                <w:sz w:val="20"/>
                <w:szCs w:val="20"/>
              </w:rPr>
              <w:t>-</w:t>
            </w:r>
          </w:p>
        </w:tc>
        <w:tc>
          <w:tcPr>
            <w:tcW w:w="1080" w:type="dxa"/>
            <w:tcBorders>
              <w:bottom w:val="single" w:sz="4" w:space="0" w:color="auto"/>
            </w:tcBorders>
            <w:shd w:val="clear" w:color="auto" w:fill="auto"/>
            <w:vAlign w:val="bottom"/>
          </w:tcPr>
          <w:p w14:paraId="583FDF37" w14:textId="7A83D2BD" w:rsidR="005511A2" w:rsidRPr="002D2F67" w:rsidRDefault="00CD5714" w:rsidP="00CD5714">
            <w:pPr>
              <w:ind w:right="-72"/>
              <w:jc w:val="right"/>
              <w:rPr>
                <w:rFonts w:ascii="Arial" w:hAnsi="Arial" w:cs="Arial"/>
                <w:color w:val="000000"/>
                <w:sz w:val="20"/>
                <w:szCs w:val="20"/>
              </w:rPr>
            </w:pPr>
            <w:r w:rsidRPr="00CD5714">
              <w:rPr>
                <w:rFonts w:ascii="Arial" w:hAnsi="Arial" w:cs="Arial"/>
                <w:color w:val="000000"/>
                <w:sz w:val="20"/>
                <w:szCs w:val="20"/>
                <w:lang w:val="en-GB"/>
              </w:rPr>
              <w:t>442</w:t>
            </w:r>
          </w:p>
        </w:tc>
        <w:tc>
          <w:tcPr>
            <w:tcW w:w="1080" w:type="dxa"/>
            <w:tcBorders>
              <w:bottom w:val="single" w:sz="4" w:space="0" w:color="auto"/>
            </w:tcBorders>
            <w:shd w:val="clear" w:color="auto" w:fill="auto"/>
          </w:tcPr>
          <w:p w14:paraId="65BDFF52" w14:textId="6B843BC3" w:rsidR="005511A2" w:rsidRPr="002D2F67" w:rsidRDefault="00CD5714" w:rsidP="00CD5714">
            <w:pPr>
              <w:ind w:right="-72"/>
              <w:jc w:val="right"/>
              <w:rPr>
                <w:rFonts w:ascii="Arial" w:hAnsi="Arial" w:cs="Arial"/>
                <w:color w:val="000000"/>
                <w:sz w:val="20"/>
                <w:szCs w:val="20"/>
              </w:rPr>
            </w:pPr>
            <w:r w:rsidRPr="00CD5714">
              <w:rPr>
                <w:rFonts w:ascii="Arial" w:hAnsi="Arial" w:cs="Arial"/>
                <w:color w:val="000000"/>
                <w:sz w:val="20"/>
                <w:szCs w:val="20"/>
                <w:lang w:val="en-GB"/>
              </w:rPr>
              <w:t>18</w:t>
            </w:r>
          </w:p>
        </w:tc>
        <w:tc>
          <w:tcPr>
            <w:tcW w:w="1080" w:type="dxa"/>
            <w:tcBorders>
              <w:bottom w:val="single" w:sz="4" w:space="0" w:color="auto"/>
            </w:tcBorders>
            <w:shd w:val="clear" w:color="auto" w:fill="auto"/>
          </w:tcPr>
          <w:p w14:paraId="44F8E499" w14:textId="1C0DA1C7" w:rsidR="005511A2" w:rsidRPr="002D2F67" w:rsidRDefault="00CD5714" w:rsidP="00CD5714">
            <w:pPr>
              <w:ind w:right="-72"/>
              <w:jc w:val="right"/>
              <w:rPr>
                <w:rFonts w:ascii="Arial" w:hAnsi="Arial" w:cs="Arial"/>
                <w:color w:val="000000"/>
                <w:sz w:val="20"/>
                <w:szCs w:val="20"/>
                <w:cs/>
              </w:rPr>
            </w:pPr>
            <w:r w:rsidRPr="00CD5714">
              <w:rPr>
                <w:rFonts w:ascii="Arial" w:hAnsi="Arial" w:cs="Arial"/>
                <w:color w:val="000000"/>
                <w:sz w:val="20"/>
                <w:szCs w:val="20"/>
                <w:lang w:val="en-GB"/>
              </w:rPr>
              <w:t>6</w:t>
            </w:r>
          </w:p>
        </w:tc>
        <w:tc>
          <w:tcPr>
            <w:tcW w:w="1080" w:type="dxa"/>
            <w:tcBorders>
              <w:bottom w:val="single" w:sz="4" w:space="0" w:color="auto"/>
            </w:tcBorders>
            <w:shd w:val="clear" w:color="auto" w:fill="auto"/>
            <w:vAlign w:val="bottom"/>
          </w:tcPr>
          <w:p w14:paraId="1B66AC6F" w14:textId="40E200AD" w:rsidR="005511A2" w:rsidRPr="002D2F67" w:rsidRDefault="00CD5714" w:rsidP="00CD5714">
            <w:pPr>
              <w:ind w:right="-72"/>
              <w:jc w:val="right"/>
              <w:rPr>
                <w:rFonts w:ascii="Arial" w:hAnsi="Arial" w:cs="Arial"/>
                <w:color w:val="000000"/>
                <w:sz w:val="20"/>
                <w:szCs w:val="20"/>
              </w:rPr>
            </w:pPr>
            <w:r w:rsidRPr="00CD5714">
              <w:rPr>
                <w:rFonts w:ascii="Arial" w:hAnsi="Arial" w:cs="Arial"/>
                <w:color w:val="000000"/>
                <w:sz w:val="20"/>
                <w:szCs w:val="20"/>
                <w:lang w:val="en-GB"/>
              </w:rPr>
              <w:t>542</w:t>
            </w:r>
          </w:p>
        </w:tc>
      </w:tr>
    </w:tbl>
    <w:p w14:paraId="742735D9" w14:textId="77777777" w:rsidR="00B4267B" w:rsidRPr="002D2F67" w:rsidRDefault="00B4267B" w:rsidP="005611FE">
      <w:pPr>
        <w:ind w:left="540"/>
        <w:jc w:val="thaiDistribute"/>
        <w:rPr>
          <w:rFonts w:ascii="Arial" w:hAnsi="Arial" w:cs="Arial"/>
          <w:color w:val="000000"/>
          <w:sz w:val="20"/>
          <w:szCs w:val="20"/>
        </w:rPr>
      </w:pPr>
    </w:p>
    <w:tbl>
      <w:tblPr>
        <w:tblW w:w="9461" w:type="dxa"/>
        <w:tblInd w:w="108" w:type="dxa"/>
        <w:tblLayout w:type="fixed"/>
        <w:tblLook w:val="0000" w:firstRow="0" w:lastRow="0" w:firstColumn="0" w:lastColumn="0" w:noHBand="0" w:noVBand="0"/>
      </w:tblPr>
      <w:tblGrid>
        <w:gridCol w:w="5141"/>
        <w:gridCol w:w="1080"/>
        <w:gridCol w:w="1080"/>
        <w:gridCol w:w="1080"/>
        <w:gridCol w:w="1080"/>
      </w:tblGrid>
      <w:tr w:rsidR="003C6BCD" w:rsidRPr="002D2F67" w14:paraId="57955B9F" w14:textId="77777777" w:rsidTr="00CD5714">
        <w:trPr>
          <w:cantSplit/>
          <w:trHeight w:val="212"/>
        </w:trPr>
        <w:tc>
          <w:tcPr>
            <w:tcW w:w="5141" w:type="dxa"/>
            <w:shd w:val="clear" w:color="auto" w:fill="auto"/>
          </w:tcPr>
          <w:p w14:paraId="1F49C2BD" w14:textId="77777777" w:rsidR="003C6BCD" w:rsidRPr="002D2F67" w:rsidRDefault="003C6BCD" w:rsidP="005611FE">
            <w:pPr>
              <w:pStyle w:val="BodyTextIndent2"/>
              <w:spacing w:line="240" w:lineRule="auto"/>
              <w:ind w:left="432"/>
              <w:rPr>
                <w:rFonts w:ascii="Arial" w:hAnsi="Arial" w:cs="Arial"/>
                <w:b/>
                <w:bCs/>
              </w:rPr>
            </w:pPr>
          </w:p>
        </w:tc>
        <w:tc>
          <w:tcPr>
            <w:tcW w:w="4320" w:type="dxa"/>
            <w:gridSpan w:val="4"/>
            <w:tcBorders>
              <w:bottom w:val="single" w:sz="4" w:space="0" w:color="auto"/>
            </w:tcBorders>
            <w:shd w:val="clear" w:color="auto" w:fill="auto"/>
          </w:tcPr>
          <w:p w14:paraId="6BC09EB4" w14:textId="72A10E3D" w:rsidR="003C6BCD" w:rsidRPr="002D2F67" w:rsidRDefault="003C6BCD" w:rsidP="005611FE">
            <w:pPr>
              <w:ind w:right="-72"/>
              <w:jc w:val="right"/>
              <w:rPr>
                <w:rFonts w:ascii="Arial" w:hAnsi="Arial" w:cs="Arial"/>
                <w:b/>
                <w:bCs/>
                <w:color w:val="000000"/>
                <w:sz w:val="20"/>
                <w:szCs w:val="20"/>
              </w:rPr>
            </w:pPr>
            <w:r w:rsidRPr="002D2F67">
              <w:rPr>
                <w:rFonts w:ascii="Arial" w:hAnsi="Arial" w:cs="Arial"/>
                <w:b/>
                <w:bCs/>
                <w:color w:val="000000"/>
                <w:sz w:val="20"/>
                <w:szCs w:val="20"/>
              </w:rPr>
              <w:t>Separate financial statements</w:t>
            </w:r>
          </w:p>
        </w:tc>
      </w:tr>
      <w:tr w:rsidR="003C6BCD" w:rsidRPr="002D2F67" w14:paraId="3A5FE9A8" w14:textId="77777777" w:rsidTr="00CD5714">
        <w:trPr>
          <w:cantSplit/>
          <w:trHeight w:val="212"/>
        </w:trPr>
        <w:tc>
          <w:tcPr>
            <w:tcW w:w="5141" w:type="dxa"/>
            <w:shd w:val="clear" w:color="auto" w:fill="auto"/>
          </w:tcPr>
          <w:p w14:paraId="17E8C2E6" w14:textId="77777777" w:rsidR="003C6BCD" w:rsidRPr="002D2F67" w:rsidRDefault="003C6BCD" w:rsidP="005611FE">
            <w:pPr>
              <w:pStyle w:val="BodyTextIndent2"/>
              <w:spacing w:line="240" w:lineRule="auto"/>
              <w:ind w:left="432"/>
              <w:rPr>
                <w:rFonts w:ascii="Arial" w:hAnsi="Arial" w:cs="Arial"/>
                <w:b/>
                <w:bCs/>
              </w:rPr>
            </w:pPr>
          </w:p>
        </w:tc>
        <w:tc>
          <w:tcPr>
            <w:tcW w:w="2160" w:type="dxa"/>
            <w:gridSpan w:val="2"/>
            <w:tcBorders>
              <w:top w:val="single" w:sz="4" w:space="0" w:color="auto"/>
              <w:bottom w:val="single" w:sz="4" w:space="0" w:color="auto"/>
            </w:tcBorders>
            <w:shd w:val="clear" w:color="auto" w:fill="auto"/>
          </w:tcPr>
          <w:p w14:paraId="61098BA3" w14:textId="672B1049" w:rsidR="003C6BCD"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pacing w:val="-6"/>
                <w:sz w:val="20"/>
                <w:szCs w:val="20"/>
                <w:lang w:val="en-GB"/>
              </w:rPr>
              <w:t>31</w:t>
            </w:r>
            <w:r w:rsidR="00231B10" w:rsidRPr="002D2F67">
              <w:rPr>
                <w:rFonts w:ascii="Arial" w:hAnsi="Arial" w:cs="Arial"/>
                <w:b/>
                <w:bCs/>
                <w:color w:val="000000"/>
                <w:spacing w:val="-6"/>
                <w:sz w:val="20"/>
                <w:szCs w:val="20"/>
                <w:cs/>
              </w:rPr>
              <w:t xml:space="preserve"> </w:t>
            </w:r>
            <w:r w:rsidR="00231B10" w:rsidRPr="002D2F67">
              <w:rPr>
                <w:rFonts w:ascii="Arial" w:hAnsi="Arial" w:cs="Arial"/>
                <w:b/>
                <w:bCs/>
                <w:color w:val="000000"/>
                <w:spacing w:val="-6"/>
                <w:sz w:val="20"/>
                <w:szCs w:val="20"/>
              </w:rPr>
              <w:t xml:space="preserve">December </w:t>
            </w:r>
            <w:r w:rsidRPr="00CD5714">
              <w:rPr>
                <w:rFonts w:ascii="Arial" w:hAnsi="Arial" w:cs="Arial"/>
                <w:b/>
                <w:bCs/>
                <w:color w:val="000000"/>
                <w:sz w:val="20"/>
                <w:szCs w:val="20"/>
                <w:lang w:val="en-GB"/>
              </w:rPr>
              <w:t>2024</w:t>
            </w:r>
          </w:p>
        </w:tc>
        <w:tc>
          <w:tcPr>
            <w:tcW w:w="2160" w:type="dxa"/>
            <w:gridSpan w:val="2"/>
            <w:tcBorders>
              <w:top w:val="single" w:sz="4" w:space="0" w:color="auto"/>
              <w:bottom w:val="single" w:sz="4" w:space="0" w:color="auto"/>
            </w:tcBorders>
            <w:shd w:val="clear" w:color="auto" w:fill="auto"/>
          </w:tcPr>
          <w:p w14:paraId="319BA043" w14:textId="5B335A2B" w:rsidR="003C6BCD" w:rsidRPr="002D2F67" w:rsidRDefault="00CD5714" w:rsidP="005611FE">
            <w:pPr>
              <w:ind w:right="-72"/>
              <w:jc w:val="right"/>
              <w:rPr>
                <w:rFonts w:ascii="Arial" w:hAnsi="Arial" w:cs="Arial"/>
                <w:b/>
                <w:bCs/>
                <w:color w:val="000000"/>
                <w:sz w:val="20"/>
                <w:szCs w:val="20"/>
              </w:rPr>
            </w:pPr>
            <w:r w:rsidRPr="00CD5714">
              <w:rPr>
                <w:rFonts w:ascii="Arial" w:hAnsi="Arial" w:cs="Arial"/>
                <w:b/>
                <w:bCs/>
                <w:color w:val="000000"/>
                <w:spacing w:val="-6"/>
                <w:sz w:val="20"/>
                <w:szCs w:val="20"/>
                <w:lang w:val="en-GB"/>
              </w:rPr>
              <w:t>31</w:t>
            </w:r>
            <w:r w:rsidR="00231B10" w:rsidRPr="002D2F67">
              <w:rPr>
                <w:rFonts w:ascii="Arial" w:hAnsi="Arial" w:cs="Arial"/>
                <w:b/>
                <w:bCs/>
                <w:color w:val="000000"/>
                <w:spacing w:val="-6"/>
                <w:sz w:val="20"/>
                <w:szCs w:val="20"/>
                <w:cs/>
              </w:rPr>
              <w:t xml:space="preserve"> </w:t>
            </w:r>
            <w:r w:rsidR="00231B10" w:rsidRPr="002D2F67">
              <w:rPr>
                <w:rFonts w:ascii="Arial" w:hAnsi="Arial" w:cs="Arial"/>
                <w:b/>
                <w:bCs/>
                <w:color w:val="000000"/>
                <w:spacing w:val="-6"/>
                <w:sz w:val="20"/>
                <w:szCs w:val="20"/>
              </w:rPr>
              <w:t xml:space="preserve">December </w:t>
            </w:r>
            <w:r w:rsidRPr="00CD5714">
              <w:rPr>
                <w:rFonts w:ascii="Arial" w:hAnsi="Arial" w:cs="Arial"/>
                <w:b/>
                <w:bCs/>
                <w:color w:val="000000"/>
                <w:sz w:val="20"/>
                <w:szCs w:val="20"/>
                <w:lang w:val="en-GB"/>
              </w:rPr>
              <w:t>2023</w:t>
            </w:r>
          </w:p>
        </w:tc>
      </w:tr>
      <w:tr w:rsidR="003C6BCD" w:rsidRPr="002D2F67" w14:paraId="1A4E777A" w14:textId="77777777" w:rsidTr="00CD5714">
        <w:trPr>
          <w:cantSplit/>
          <w:trHeight w:val="444"/>
        </w:trPr>
        <w:tc>
          <w:tcPr>
            <w:tcW w:w="5141" w:type="dxa"/>
            <w:shd w:val="clear" w:color="auto" w:fill="auto"/>
          </w:tcPr>
          <w:p w14:paraId="0C93982B" w14:textId="77777777" w:rsidR="003C6BCD" w:rsidRPr="002D2F67" w:rsidRDefault="003C6BCD" w:rsidP="005611FE">
            <w:pPr>
              <w:pStyle w:val="BodyTextIndent2"/>
              <w:spacing w:line="240" w:lineRule="auto"/>
              <w:ind w:left="432"/>
              <w:rPr>
                <w:rFonts w:ascii="Arial" w:hAnsi="Arial" w:cs="Arial"/>
                <w:b/>
                <w:bCs/>
              </w:rPr>
            </w:pPr>
          </w:p>
        </w:tc>
        <w:tc>
          <w:tcPr>
            <w:tcW w:w="1080" w:type="dxa"/>
            <w:tcBorders>
              <w:top w:val="single" w:sz="4" w:space="0" w:color="auto"/>
              <w:bottom w:val="single" w:sz="4" w:space="0" w:color="auto"/>
            </w:tcBorders>
            <w:shd w:val="clear" w:color="auto" w:fill="auto"/>
            <w:vAlign w:val="bottom"/>
          </w:tcPr>
          <w:p w14:paraId="15415DB3" w14:textId="77777777" w:rsidR="003C6BCD" w:rsidRPr="002D2F67" w:rsidRDefault="003C6BCD" w:rsidP="005611FE">
            <w:pPr>
              <w:ind w:right="-72"/>
              <w:jc w:val="right"/>
              <w:rPr>
                <w:rFonts w:ascii="Arial" w:hAnsi="Arial" w:cs="Arial"/>
                <w:b/>
                <w:bCs/>
                <w:color w:val="000000"/>
                <w:sz w:val="20"/>
                <w:szCs w:val="20"/>
                <w:cs/>
              </w:rPr>
            </w:pPr>
            <w:r w:rsidRPr="002D2F67">
              <w:rPr>
                <w:rFonts w:ascii="Arial" w:hAnsi="Arial" w:cs="Arial"/>
                <w:b/>
                <w:bCs/>
                <w:color w:val="000000"/>
                <w:sz w:val="20"/>
                <w:szCs w:val="20"/>
              </w:rPr>
              <w:t xml:space="preserve">Million Taiwan Dollar </w:t>
            </w:r>
          </w:p>
        </w:tc>
        <w:tc>
          <w:tcPr>
            <w:tcW w:w="1080" w:type="dxa"/>
            <w:tcBorders>
              <w:top w:val="single" w:sz="4" w:space="0" w:color="auto"/>
              <w:bottom w:val="single" w:sz="4" w:space="0" w:color="auto"/>
            </w:tcBorders>
            <w:shd w:val="clear" w:color="auto" w:fill="auto"/>
            <w:vAlign w:val="bottom"/>
          </w:tcPr>
          <w:p w14:paraId="2CBC69A1" w14:textId="77777777" w:rsidR="003C6BCD" w:rsidRPr="002D2F67" w:rsidRDefault="003C6BCD" w:rsidP="005611FE">
            <w:pPr>
              <w:ind w:right="-72"/>
              <w:jc w:val="right"/>
              <w:rPr>
                <w:rFonts w:ascii="Arial" w:hAnsi="Arial" w:cs="Arial"/>
                <w:b/>
                <w:bCs/>
                <w:color w:val="000000"/>
                <w:sz w:val="20"/>
                <w:szCs w:val="20"/>
              </w:rPr>
            </w:pPr>
          </w:p>
          <w:p w14:paraId="532D16B6" w14:textId="77777777" w:rsidR="003C6BCD" w:rsidRPr="002D2F67" w:rsidRDefault="003C6BCD" w:rsidP="005611FE">
            <w:pPr>
              <w:ind w:right="-72"/>
              <w:jc w:val="right"/>
              <w:rPr>
                <w:rFonts w:ascii="Arial" w:hAnsi="Arial" w:cs="Arial"/>
                <w:color w:val="000000"/>
                <w:sz w:val="20"/>
                <w:szCs w:val="20"/>
                <w:cs/>
              </w:rPr>
            </w:pPr>
            <w:r w:rsidRPr="002D2F67">
              <w:rPr>
                <w:rFonts w:ascii="Arial" w:hAnsi="Arial" w:cs="Arial"/>
                <w:b/>
                <w:bCs/>
                <w:color w:val="000000"/>
                <w:sz w:val="20"/>
                <w:szCs w:val="20"/>
              </w:rPr>
              <w:t>Million Baht</w:t>
            </w:r>
          </w:p>
        </w:tc>
        <w:tc>
          <w:tcPr>
            <w:tcW w:w="1080" w:type="dxa"/>
            <w:tcBorders>
              <w:top w:val="single" w:sz="4" w:space="0" w:color="auto"/>
              <w:bottom w:val="single" w:sz="4" w:space="0" w:color="auto"/>
            </w:tcBorders>
            <w:shd w:val="clear" w:color="auto" w:fill="auto"/>
            <w:vAlign w:val="bottom"/>
          </w:tcPr>
          <w:p w14:paraId="03CD1A10" w14:textId="77777777" w:rsidR="003C6BCD" w:rsidRPr="002D2F67" w:rsidRDefault="003C6BCD" w:rsidP="005611FE">
            <w:pPr>
              <w:ind w:right="-72"/>
              <w:jc w:val="right"/>
              <w:rPr>
                <w:rFonts w:ascii="Arial" w:hAnsi="Arial" w:cs="Arial"/>
                <w:b/>
                <w:bCs/>
                <w:color w:val="000000"/>
                <w:sz w:val="20"/>
                <w:szCs w:val="20"/>
                <w:cs/>
              </w:rPr>
            </w:pPr>
            <w:r w:rsidRPr="002D2F67">
              <w:rPr>
                <w:rFonts w:ascii="Arial" w:hAnsi="Arial" w:cs="Arial"/>
                <w:b/>
                <w:bCs/>
                <w:color w:val="000000"/>
                <w:sz w:val="20"/>
                <w:szCs w:val="20"/>
              </w:rPr>
              <w:t xml:space="preserve">Million Taiwan Dollar </w:t>
            </w:r>
          </w:p>
        </w:tc>
        <w:tc>
          <w:tcPr>
            <w:tcW w:w="1080" w:type="dxa"/>
            <w:tcBorders>
              <w:top w:val="single" w:sz="4" w:space="0" w:color="auto"/>
              <w:bottom w:val="single" w:sz="4" w:space="0" w:color="auto"/>
            </w:tcBorders>
            <w:shd w:val="clear" w:color="auto" w:fill="auto"/>
            <w:vAlign w:val="bottom"/>
          </w:tcPr>
          <w:p w14:paraId="7D7C70EB" w14:textId="77777777" w:rsidR="003C6BCD" w:rsidRPr="002D2F67" w:rsidRDefault="003C6BCD" w:rsidP="005611FE">
            <w:pPr>
              <w:ind w:right="-72"/>
              <w:jc w:val="right"/>
              <w:rPr>
                <w:rFonts w:ascii="Arial" w:hAnsi="Arial" w:cs="Arial"/>
                <w:b/>
                <w:bCs/>
                <w:color w:val="000000"/>
                <w:sz w:val="20"/>
                <w:szCs w:val="20"/>
              </w:rPr>
            </w:pPr>
          </w:p>
          <w:p w14:paraId="2A04EEEB" w14:textId="77777777" w:rsidR="003C6BCD" w:rsidRPr="002D2F67" w:rsidRDefault="003C6BCD" w:rsidP="005611FE">
            <w:pPr>
              <w:ind w:right="-72"/>
              <w:jc w:val="right"/>
              <w:rPr>
                <w:rFonts w:ascii="Arial" w:hAnsi="Arial" w:cs="Arial"/>
                <w:color w:val="000000"/>
                <w:sz w:val="20"/>
                <w:szCs w:val="20"/>
                <w:cs/>
              </w:rPr>
            </w:pPr>
            <w:r w:rsidRPr="002D2F67">
              <w:rPr>
                <w:rFonts w:ascii="Arial" w:hAnsi="Arial" w:cs="Arial"/>
                <w:b/>
                <w:bCs/>
                <w:color w:val="000000"/>
                <w:sz w:val="20"/>
                <w:szCs w:val="20"/>
              </w:rPr>
              <w:t>Million Baht</w:t>
            </w:r>
          </w:p>
        </w:tc>
      </w:tr>
      <w:tr w:rsidR="003C6BCD" w:rsidRPr="002D2F67" w14:paraId="5BA2DAC8" w14:textId="77777777" w:rsidTr="00CD5714">
        <w:trPr>
          <w:cantSplit/>
          <w:trHeight w:val="212"/>
        </w:trPr>
        <w:tc>
          <w:tcPr>
            <w:tcW w:w="5141" w:type="dxa"/>
            <w:shd w:val="clear" w:color="auto" w:fill="auto"/>
          </w:tcPr>
          <w:p w14:paraId="4F4A4F72" w14:textId="77777777" w:rsidR="003C6BCD" w:rsidRPr="002D2F67" w:rsidRDefault="003C6BCD" w:rsidP="005611FE">
            <w:pPr>
              <w:pStyle w:val="BodyTextIndent2"/>
              <w:spacing w:line="240" w:lineRule="auto"/>
              <w:ind w:left="432"/>
              <w:rPr>
                <w:rFonts w:ascii="Arial" w:hAnsi="Arial" w:cs="Arial"/>
                <w:cs/>
              </w:rPr>
            </w:pPr>
          </w:p>
        </w:tc>
        <w:tc>
          <w:tcPr>
            <w:tcW w:w="1080" w:type="dxa"/>
            <w:tcBorders>
              <w:top w:val="single" w:sz="4" w:space="0" w:color="auto"/>
            </w:tcBorders>
            <w:shd w:val="clear" w:color="auto" w:fill="auto"/>
          </w:tcPr>
          <w:p w14:paraId="70D6B73B" w14:textId="77777777" w:rsidR="003C6BCD" w:rsidRPr="002D2F67" w:rsidRDefault="003C6BCD" w:rsidP="005611FE">
            <w:pPr>
              <w:pStyle w:val="BodyTextIndent2"/>
              <w:spacing w:line="240" w:lineRule="auto"/>
              <w:ind w:left="0" w:right="-72"/>
              <w:jc w:val="right"/>
              <w:rPr>
                <w:rFonts w:ascii="Arial" w:hAnsi="Arial" w:cs="Arial"/>
              </w:rPr>
            </w:pPr>
          </w:p>
        </w:tc>
        <w:tc>
          <w:tcPr>
            <w:tcW w:w="1080" w:type="dxa"/>
            <w:tcBorders>
              <w:top w:val="single" w:sz="4" w:space="0" w:color="auto"/>
            </w:tcBorders>
            <w:shd w:val="clear" w:color="auto" w:fill="auto"/>
          </w:tcPr>
          <w:p w14:paraId="54A6C072" w14:textId="77777777" w:rsidR="003C6BCD" w:rsidRPr="002D2F67" w:rsidRDefault="003C6BCD" w:rsidP="005611FE">
            <w:pPr>
              <w:pStyle w:val="BodyTextIndent2"/>
              <w:spacing w:line="240" w:lineRule="auto"/>
              <w:ind w:left="0" w:right="-72"/>
              <w:jc w:val="right"/>
              <w:rPr>
                <w:rFonts w:ascii="Arial" w:hAnsi="Arial" w:cs="Arial"/>
              </w:rPr>
            </w:pPr>
          </w:p>
        </w:tc>
        <w:tc>
          <w:tcPr>
            <w:tcW w:w="1080" w:type="dxa"/>
            <w:tcBorders>
              <w:top w:val="single" w:sz="4" w:space="0" w:color="auto"/>
            </w:tcBorders>
            <w:shd w:val="clear" w:color="auto" w:fill="auto"/>
          </w:tcPr>
          <w:p w14:paraId="1C31A777" w14:textId="77777777" w:rsidR="003C6BCD" w:rsidRPr="002D2F67" w:rsidRDefault="003C6BCD" w:rsidP="005611FE">
            <w:pPr>
              <w:pStyle w:val="BodyTextIndent2"/>
              <w:spacing w:line="240" w:lineRule="auto"/>
              <w:ind w:left="0" w:right="-72"/>
              <w:jc w:val="right"/>
              <w:rPr>
                <w:rFonts w:ascii="Arial" w:hAnsi="Arial" w:cs="Arial"/>
              </w:rPr>
            </w:pPr>
          </w:p>
        </w:tc>
        <w:tc>
          <w:tcPr>
            <w:tcW w:w="1080" w:type="dxa"/>
            <w:tcBorders>
              <w:top w:val="single" w:sz="4" w:space="0" w:color="auto"/>
            </w:tcBorders>
            <w:shd w:val="clear" w:color="auto" w:fill="auto"/>
          </w:tcPr>
          <w:p w14:paraId="611E1F47" w14:textId="77777777" w:rsidR="003C6BCD" w:rsidRPr="002D2F67" w:rsidRDefault="003C6BCD" w:rsidP="005611FE">
            <w:pPr>
              <w:pStyle w:val="BodyTextIndent2"/>
              <w:spacing w:line="240" w:lineRule="auto"/>
              <w:ind w:left="0" w:right="-72"/>
              <w:jc w:val="right"/>
              <w:rPr>
                <w:rFonts w:ascii="Arial" w:hAnsi="Arial" w:cs="Arial"/>
              </w:rPr>
            </w:pPr>
          </w:p>
        </w:tc>
      </w:tr>
      <w:tr w:rsidR="003C6BCD" w:rsidRPr="002D2F67" w14:paraId="2EEBA17E" w14:textId="77777777" w:rsidTr="00CD5714">
        <w:trPr>
          <w:cantSplit/>
          <w:trHeight w:val="212"/>
        </w:trPr>
        <w:tc>
          <w:tcPr>
            <w:tcW w:w="5141" w:type="dxa"/>
            <w:shd w:val="clear" w:color="auto" w:fill="auto"/>
          </w:tcPr>
          <w:p w14:paraId="11B00B64" w14:textId="77777777" w:rsidR="003C6BCD" w:rsidRPr="002D2F67" w:rsidRDefault="003C6BCD" w:rsidP="005611FE">
            <w:pPr>
              <w:pStyle w:val="Heading4"/>
              <w:ind w:left="432"/>
              <w:rPr>
                <w:rFonts w:ascii="Arial" w:hAnsi="Arial" w:cs="Arial"/>
                <w:b w:val="0"/>
                <w:bCs w:val="0"/>
                <w:color w:val="000000"/>
                <w:sz w:val="20"/>
                <w:szCs w:val="20"/>
                <w:lang w:val="en-US" w:eastAsia="en-US"/>
              </w:rPr>
            </w:pPr>
            <w:r w:rsidRPr="002D2F67">
              <w:rPr>
                <w:rFonts w:ascii="Arial" w:hAnsi="Arial" w:cs="Arial"/>
                <w:b w:val="0"/>
                <w:bCs w:val="0"/>
                <w:color w:val="000000"/>
                <w:sz w:val="20"/>
                <w:szCs w:val="20"/>
              </w:rPr>
              <w:t>Payable within:</w:t>
            </w:r>
          </w:p>
        </w:tc>
        <w:tc>
          <w:tcPr>
            <w:tcW w:w="1080" w:type="dxa"/>
            <w:shd w:val="clear" w:color="auto" w:fill="auto"/>
          </w:tcPr>
          <w:p w14:paraId="29B1C1EA" w14:textId="77777777" w:rsidR="003C6BCD" w:rsidRPr="002D2F67" w:rsidRDefault="003C6BCD" w:rsidP="005611FE">
            <w:pPr>
              <w:ind w:right="-72"/>
              <w:jc w:val="right"/>
              <w:rPr>
                <w:rFonts w:ascii="Arial" w:hAnsi="Arial" w:cs="Arial"/>
                <w:color w:val="000000"/>
                <w:sz w:val="20"/>
                <w:szCs w:val="20"/>
              </w:rPr>
            </w:pPr>
          </w:p>
        </w:tc>
        <w:tc>
          <w:tcPr>
            <w:tcW w:w="1080" w:type="dxa"/>
            <w:shd w:val="clear" w:color="auto" w:fill="auto"/>
          </w:tcPr>
          <w:p w14:paraId="0A3A5CBD" w14:textId="77777777" w:rsidR="003C6BCD" w:rsidRPr="002D2F67" w:rsidRDefault="003C6BCD" w:rsidP="005611FE">
            <w:pPr>
              <w:ind w:right="-72"/>
              <w:jc w:val="right"/>
              <w:rPr>
                <w:rFonts w:ascii="Arial" w:hAnsi="Arial" w:cs="Arial"/>
                <w:color w:val="000000"/>
                <w:sz w:val="20"/>
                <w:szCs w:val="20"/>
              </w:rPr>
            </w:pPr>
          </w:p>
        </w:tc>
        <w:tc>
          <w:tcPr>
            <w:tcW w:w="1080" w:type="dxa"/>
            <w:shd w:val="clear" w:color="auto" w:fill="auto"/>
          </w:tcPr>
          <w:p w14:paraId="7C047953" w14:textId="77777777" w:rsidR="003C6BCD" w:rsidRPr="002D2F67" w:rsidRDefault="003C6BCD" w:rsidP="005611FE">
            <w:pPr>
              <w:ind w:right="-72"/>
              <w:jc w:val="right"/>
              <w:rPr>
                <w:rFonts w:ascii="Arial" w:hAnsi="Arial" w:cs="Arial"/>
                <w:color w:val="000000"/>
                <w:sz w:val="20"/>
                <w:szCs w:val="20"/>
              </w:rPr>
            </w:pPr>
          </w:p>
        </w:tc>
        <w:tc>
          <w:tcPr>
            <w:tcW w:w="1080" w:type="dxa"/>
            <w:shd w:val="clear" w:color="auto" w:fill="auto"/>
          </w:tcPr>
          <w:p w14:paraId="2F1AB702" w14:textId="77777777" w:rsidR="003C6BCD" w:rsidRPr="002D2F67" w:rsidRDefault="003C6BCD" w:rsidP="005611FE">
            <w:pPr>
              <w:ind w:right="-72"/>
              <w:jc w:val="right"/>
              <w:rPr>
                <w:rFonts w:ascii="Arial" w:hAnsi="Arial" w:cs="Arial"/>
                <w:color w:val="000000"/>
                <w:sz w:val="20"/>
                <w:szCs w:val="20"/>
              </w:rPr>
            </w:pPr>
          </w:p>
        </w:tc>
      </w:tr>
      <w:tr w:rsidR="005511A2" w:rsidRPr="002D2F67" w14:paraId="6299D2D1" w14:textId="77777777" w:rsidTr="00CD5714">
        <w:trPr>
          <w:cantSplit/>
          <w:trHeight w:val="212"/>
        </w:trPr>
        <w:tc>
          <w:tcPr>
            <w:tcW w:w="5141" w:type="dxa"/>
            <w:shd w:val="clear" w:color="auto" w:fill="auto"/>
          </w:tcPr>
          <w:p w14:paraId="209F297B" w14:textId="572B6057" w:rsidR="005511A2" w:rsidRPr="002D2F67" w:rsidRDefault="005511A2" w:rsidP="005611FE">
            <w:pPr>
              <w:pStyle w:val="Heading4"/>
              <w:ind w:left="432"/>
              <w:rPr>
                <w:rFonts w:ascii="Arial" w:hAnsi="Arial" w:cs="Arial"/>
                <w:b w:val="0"/>
                <w:bCs w:val="0"/>
                <w:color w:val="000000"/>
                <w:sz w:val="20"/>
                <w:szCs w:val="20"/>
                <w:lang w:val="en-US" w:eastAsia="en-US"/>
              </w:rPr>
            </w:pPr>
            <w:r w:rsidRPr="002D2F67">
              <w:rPr>
                <w:rFonts w:ascii="Arial" w:hAnsi="Arial" w:cs="Arial"/>
                <w:b w:val="0"/>
                <w:bCs w:val="0"/>
                <w:color w:val="000000"/>
                <w:sz w:val="20"/>
                <w:szCs w:val="20"/>
                <w:lang w:val="en-US"/>
              </w:rPr>
              <w:t xml:space="preserve">   </w:t>
            </w:r>
            <w:r w:rsidRPr="002D2F67">
              <w:rPr>
                <w:rFonts w:ascii="Arial" w:hAnsi="Arial" w:cs="Arial"/>
                <w:b w:val="0"/>
                <w:bCs w:val="0"/>
                <w:color w:val="000000"/>
                <w:sz w:val="20"/>
                <w:szCs w:val="20"/>
              </w:rPr>
              <w:t xml:space="preserve">Less than </w:t>
            </w:r>
            <w:r w:rsidR="00CD5714" w:rsidRPr="00CD5714">
              <w:rPr>
                <w:rFonts w:ascii="Arial" w:hAnsi="Arial" w:cs="Arial"/>
                <w:b w:val="0"/>
                <w:bCs w:val="0"/>
                <w:color w:val="000000"/>
                <w:sz w:val="20"/>
                <w:szCs w:val="20"/>
                <w:lang w:val="en-GB"/>
              </w:rPr>
              <w:t>1</w:t>
            </w:r>
            <w:r w:rsidRPr="002D2F67">
              <w:rPr>
                <w:rFonts w:ascii="Arial" w:hAnsi="Arial" w:cs="Arial"/>
                <w:b w:val="0"/>
                <w:bCs w:val="0"/>
                <w:color w:val="000000"/>
                <w:sz w:val="20"/>
                <w:szCs w:val="20"/>
              </w:rPr>
              <w:t xml:space="preserve"> year</w:t>
            </w:r>
          </w:p>
        </w:tc>
        <w:tc>
          <w:tcPr>
            <w:tcW w:w="1080" w:type="dxa"/>
            <w:shd w:val="clear" w:color="auto" w:fill="auto"/>
          </w:tcPr>
          <w:p w14:paraId="15070AD5" w14:textId="69D9B707" w:rsidR="005511A2" w:rsidRPr="002D2F67" w:rsidRDefault="00CD5714" w:rsidP="005611FE">
            <w:pPr>
              <w:ind w:right="-72"/>
              <w:jc w:val="right"/>
              <w:rPr>
                <w:rFonts w:ascii="Arial" w:hAnsi="Arial" w:cs="Arial"/>
                <w:snapToGrid w:val="0"/>
                <w:color w:val="000000"/>
                <w:sz w:val="20"/>
                <w:szCs w:val="20"/>
                <w:lang w:eastAsia="th-TH"/>
              </w:rPr>
            </w:pPr>
            <w:r w:rsidRPr="00CD5714">
              <w:rPr>
                <w:rFonts w:ascii="Arial" w:hAnsi="Arial" w:cs="Arial"/>
                <w:snapToGrid w:val="0"/>
                <w:color w:val="000000"/>
                <w:sz w:val="20"/>
                <w:szCs w:val="20"/>
                <w:lang w:val="en-GB" w:eastAsia="th-TH"/>
              </w:rPr>
              <w:t>2</w:t>
            </w:r>
          </w:p>
        </w:tc>
        <w:tc>
          <w:tcPr>
            <w:tcW w:w="1080" w:type="dxa"/>
            <w:shd w:val="clear" w:color="auto" w:fill="auto"/>
          </w:tcPr>
          <w:p w14:paraId="48B3B5B5" w14:textId="0E0D001F" w:rsidR="005511A2" w:rsidRPr="002D2F67" w:rsidRDefault="00CD5714" w:rsidP="005611FE">
            <w:pPr>
              <w:ind w:right="-72"/>
              <w:jc w:val="right"/>
              <w:rPr>
                <w:rFonts w:ascii="Arial" w:hAnsi="Arial" w:cs="Arial"/>
                <w:snapToGrid w:val="0"/>
                <w:color w:val="000000"/>
                <w:sz w:val="20"/>
                <w:szCs w:val="20"/>
                <w:lang w:eastAsia="th-TH"/>
              </w:rPr>
            </w:pPr>
            <w:r w:rsidRPr="00CD5714">
              <w:rPr>
                <w:rFonts w:ascii="Arial" w:hAnsi="Arial" w:cs="Arial"/>
                <w:snapToGrid w:val="0"/>
                <w:color w:val="000000"/>
                <w:sz w:val="20"/>
                <w:szCs w:val="20"/>
                <w:lang w:val="en-GB" w:eastAsia="th-TH"/>
              </w:rPr>
              <w:t>177</w:t>
            </w:r>
          </w:p>
        </w:tc>
        <w:tc>
          <w:tcPr>
            <w:tcW w:w="1080" w:type="dxa"/>
            <w:shd w:val="clear" w:color="auto" w:fill="auto"/>
          </w:tcPr>
          <w:p w14:paraId="314EC156" w14:textId="61FE4B43" w:rsidR="005511A2" w:rsidRPr="002D2F67" w:rsidRDefault="00CD5714" w:rsidP="005611FE">
            <w:pPr>
              <w:ind w:right="-72"/>
              <w:jc w:val="right"/>
              <w:rPr>
                <w:rFonts w:ascii="Arial" w:hAnsi="Arial" w:cs="Arial"/>
                <w:snapToGrid w:val="0"/>
                <w:color w:val="000000"/>
                <w:sz w:val="20"/>
                <w:szCs w:val="20"/>
                <w:lang w:eastAsia="th-TH"/>
              </w:rPr>
            </w:pPr>
            <w:r w:rsidRPr="00CD5714">
              <w:rPr>
                <w:rFonts w:ascii="Arial" w:hAnsi="Arial" w:cs="Arial"/>
                <w:snapToGrid w:val="0"/>
                <w:color w:val="000000"/>
                <w:sz w:val="20"/>
                <w:szCs w:val="20"/>
                <w:lang w:val="en-GB" w:eastAsia="th-TH"/>
              </w:rPr>
              <w:t>2</w:t>
            </w:r>
          </w:p>
        </w:tc>
        <w:tc>
          <w:tcPr>
            <w:tcW w:w="1080" w:type="dxa"/>
            <w:shd w:val="clear" w:color="auto" w:fill="auto"/>
          </w:tcPr>
          <w:p w14:paraId="20908061" w14:textId="58EFBAAC" w:rsidR="005511A2" w:rsidRPr="002D2F67" w:rsidRDefault="00CD5714" w:rsidP="005611FE">
            <w:pPr>
              <w:ind w:right="-72"/>
              <w:jc w:val="right"/>
              <w:rPr>
                <w:rFonts w:ascii="Arial" w:hAnsi="Arial" w:cs="Arial"/>
                <w:snapToGrid w:val="0"/>
                <w:color w:val="000000"/>
                <w:sz w:val="20"/>
                <w:szCs w:val="20"/>
                <w:lang w:eastAsia="th-TH"/>
              </w:rPr>
            </w:pPr>
            <w:r w:rsidRPr="00CD5714">
              <w:rPr>
                <w:rFonts w:ascii="Arial" w:hAnsi="Arial" w:cs="Arial"/>
                <w:snapToGrid w:val="0"/>
                <w:color w:val="000000"/>
                <w:sz w:val="20"/>
                <w:szCs w:val="20"/>
                <w:lang w:val="en-GB" w:eastAsia="th-TH"/>
              </w:rPr>
              <w:t>111</w:t>
            </w:r>
          </w:p>
        </w:tc>
      </w:tr>
      <w:tr w:rsidR="005511A2" w:rsidRPr="002D2F67" w14:paraId="7FA0A9DF" w14:textId="77777777" w:rsidTr="00CD5714">
        <w:trPr>
          <w:cantSplit/>
          <w:trHeight w:val="225"/>
        </w:trPr>
        <w:tc>
          <w:tcPr>
            <w:tcW w:w="5141" w:type="dxa"/>
            <w:shd w:val="clear" w:color="auto" w:fill="auto"/>
          </w:tcPr>
          <w:p w14:paraId="42398400" w14:textId="021961E3" w:rsidR="005511A2" w:rsidRPr="002D2F67" w:rsidRDefault="005511A2" w:rsidP="005611FE">
            <w:pPr>
              <w:pStyle w:val="Heading4"/>
              <w:ind w:left="432"/>
              <w:rPr>
                <w:rFonts w:ascii="Arial" w:hAnsi="Arial" w:cs="Arial"/>
                <w:b w:val="0"/>
                <w:bCs w:val="0"/>
                <w:color w:val="000000"/>
                <w:sz w:val="20"/>
                <w:szCs w:val="20"/>
                <w:bdr w:val="single" w:sz="4" w:space="0" w:color="auto"/>
                <w:lang w:val="en-US" w:eastAsia="en-US"/>
              </w:rPr>
            </w:pPr>
            <w:r w:rsidRPr="002D2F67">
              <w:rPr>
                <w:rFonts w:ascii="Arial" w:hAnsi="Arial" w:cs="Arial"/>
                <w:b w:val="0"/>
                <w:bCs w:val="0"/>
                <w:color w:val="000000"/>
                <w:sz w:val="20"/>
                <w:szCs w:val="20"/>
                <w:lang w:val="en-US"/>
              </w:rPr>
              <w:t xml:space="preserve">   More than </w:t>
            </w:r>
            <w:r w:rsidR="00CD5714" w:rsidRPr="00CD5714">
              <w:rPr>
                <w:rFonts w:ascii="Arial" w:hAnsi="Arial" w:cs="Arial"/>
                <w:b w:val="0"/>
                <w:bCs w:val="0"/>
                <w:color w:val="000000"/>
                <w:sz w:val="20"/>
                <w:szCs w:val="20"/>
                <w:lang w:val="en-GB"/>
              </w:rPr>
              <w:t>1</w:t>
            </w:r>
            <w:r w:rsidRPr="002D2F67">
              <w:rPr>
                <w:rFonts w:ascii="Arial" w:hAnsi="Arial" w:cs="Arial"/>
                <w:b w:val="0"/>
                <w:bCs w:val="0"/>
                <w:color w:val="000000"/>
                <w:sz w:val="20"/>
                <w:szCs w:val="20"/>
              </w:rPr>
              <w:t xml:space="preserve"> to </w:t>
            </w:r>
            <w:r w:rsidR="00CD5714" w:rsidRPr="00CD5714">
              <w:rPr>
                <w:rFonts w:ascii="Arial" w:hAnsi="Arial" w:cs="Arial"/>
                <w:b w:val="0"/>
                <w:bCs w:val="0"/>
                <w:color w:val="000000"/>
                <w:sz w:val="20"/>
                <w:szCs w:val="20"/>
                <w:lang w:val="en-GB"/>
              </w:rPr>
              <w:t>5</w:t>
            </w:r>
            <w:r w:rsidRPr="002D2F67">
              <w:rPr>
                <w:rFonts w:ascii="Arial" w:hAnsi="Arial" w:cs="Arial"/>
                <w:b w:val="0"/>
                <w:bCs w:val="0"/>
                <w:color w:val="000000"/>
                <w:sz w:val="20"/>
                <w:szCs w:val="20"/>
              </w:rPr>
              <w:t xml:space="preserve"> years</w:t>
            </w:r>
          </w:p>
        </w:tc>
        <w:tc>
          <w:tcPr>
            <w:tcW w:w="1080" w:type="dxa"/>
            <w:shd w:val="clear" w:color="auto" w:fill="auto"/>
          </w:tcPr>
          <w:p w14:paraId="3389D94E" w14:textId="4BD80FC7" w:rsidR="005511A2" w:rsidRPr="002D2F67" w:rsidRDefault="00CD5714" w:rsidP="005611FE">
            <w:pPr>
              <w:ind w:right="-72"/>
              <w:jc w:val="right"/>
              <w:rPr>
                <w:rFonts w:ascii="Arial" w:hAnsi="Arial" w:cs="Arial"/>
                <w:snapToGrid w:val="0"/>
                <w:color w:val="000000"/>
                <w:sz w:val="20"/>
                <w:szCs w:val="20"/>
                <w:lang w:eastAsia="th-TH"/>
              </w:rPr>
            </w:pPr>
            <w:r w:rsidRPr="00CD5714">
              <w:rPr>
                <w:rFonts w:ascii="Arial" w:hAnsi="Arial" w:cs="Arial"/>
                <w:snapToGrid w:val="0"/>
                <w:color w:val="000000"/>
                <w:sz w:val="20"/>
                <w:szCs w:val="20"/>
                <w:lang w:val="en-GB" w:eastAsia="th-TH"/>
              </w:rPr>
              <w:t>8</w:t>
            </w:r>
          </w:p>
        </w:tc>
        <w:tc>
          <w:tcPr>
            <w:tcW w:w="1080" w:type="dxa"/>
            <w:shd w:val="clear" w:color="auto" w:fill="auto"/>
          </w:tcPr>
          <w:p w14:paraId="387D2EF4" w14:textId="4AA5D740" w:rsidR="005511A2" w:rsidRPr="002D2F67" w:rsidRDefault="0038545B" w:rsidP="005611FE">
            <w:pPr>
              <w:ind w:right="-72"/>
              <w:jc w:val="right"/>
              <w:rPr>
                <w:rFonts w:ascii="Arial" w:hAnsi="Arial" w:cs="Arial"/>
                <w:snapToGrid w:val="0"/>
                <w:color w:val="000000"/>
                <w:sz w:val="20"/>
                <w:szCs w:val="20"/>
                <w:lang w:eastAsia="th-TH"/>
              </w:rPr>
            </w:pPr>
            <w:r w:rsidRPr="002D2F67">
              <w:rPr>
                <w:rFonts w:ascii="Arial" w:hAnsi="Arial" w:cs="Arial"/>
                <w:snapToGrid w:val="0"/>
                <w:color w:val="000000"/>
                <w:sz w:val="20"/>
                <w:szCs w:val="20"/>
                <w:lang w:eastAsia="th-TH"/>
              </w:rPr>
              <w:t>-</w:t>
            </w:r>
          </w:p>
        </w:tc>
        <w:tc>
          <w:tcPr>
            <w:tcW w:w="1080" w:type="dxa"/>
            <w:shd w:val="clear" w:color="auto" w:fill="auto"/>
          </w:tcPr>
          <w:p w14:paraId="357F27D3" w14:textId="12A2AC91" w:rsidR="005511A2" w:rsidRPr="002D2F67" w:rsidRDefault="00CD5714" w:rsidP="005611FE">
            <w:pPr>
              <w:ind w:right="-72"/>
              <w:jc w:val="right"/>
              <w:rPr>
                <w:rFonts w:ascii="Arial" w:hAnsi="Arial" w:cs="Arial"/>
                <w:snapToGrid w:val="0"/>
                <w:color w:val="000000"/>
                <w:sz w:val="20"/>
                <w:szCs w:val="20"/>
                <w:lang w:eastAsia="th-TH"/>
              </w:rPr>
            </w:pPr>
            <w:r w:rsidRPr="00CD5714">
              <w:rPr>
                <w:rFonts w:ascii="Arial" w:hAnsi="Arial" w:cs="Arial"/>
                <w:snapToGrid w:val="0"/>
                <w:color w:val="000000"/>
                <w:sz w:val="20"/>
                <w:szCs w:val="20"/>
                <w:lang w:val="en-GB" w:eastAsia="th-TH"/>
              </w:rPr>
              <w:t>8</w:t>
            </w:r>
          </w:p>
        </w:tc>
        <w:tc>
          <w:tcPr>
            <w:tcW w:w="1080" w:type="dxa"/>
            <w:shd w:val="clear" w:color="auto" w:fill="auto"/>
          </w:tcPr>
          <w:p w14:paraId="0B5965BD" w14:textId="7DAF53DE" w:rsidR="005511A2" w:rsidRPr="002D2F67" w:rsidRDefault="00CD5714" w:rsidP="005611FE">
            <w:pPr>
              <w:ind w:right="-72"/>
              <w:jc w:val="right"/>
              <w:rPr>
                <w:rFonts w:ascii="Arial" w:hAnsi="Arial" w:cs="Arial"/>
                <w:snapToGrid w:val="0"/>
                <w:color w:val="000000"/>
                <w:sz w:val="20"/>
                <w:szCs w:val="20"/>
                <w:lang w:eastAsia="th-TH"/>
              </w:rPr>
            </w:pPr>
            <w:r w:rsidRPr="00CD5714">
              <w:rPr>
                <w:rFonts w:ascii="Arial" w:hAnsi="Arial" w:cs="Arial"/>
                <w:snapToGrid w:val="0"/>
                <w:color w:val="000000"/>
                <w:sz w:val="20"/>
                <w:szCs w:val="20"/>
                <w:lang w:val="en-GB" w:eastAsia="th-TH"/>
              </w:rPr>
              <w:t>3</w:t>
            </w:r>
          </w:p>
        </w:tc>
      </w:tr>
      <w:tr w:rsidR="005511A2" w:rsidRPr="002D2F67" w14:paraId="57A85760" w14:textId="77777777" w:rsidTr="00CD5714">
        <w:trPr>
          <w:cantSplit/>
          <w:trHeight w:val="212"/>
        </w:trPr>
        <w:tc>
          <w:tcPr>
            <w:tcW w:w="5141" w:type="dxa"/>
            <w:shd w:val="clear" w:color="auto" w:fill="auto"/>
          </w:tcPr>
          <w:p w14:paraId="51A1C247" w14:textId="28BB974F" w:rsidR="005511A2" w:rsidRPr="002D2F67" w:rsidRDefault="005511A2" w:rsidP="005611FE">
            <w:pPr>
              <w:tabs>
                <w:tab w:val="left" w:pos="421"/>
              </w:tabs>
              <w:ind w:left="432"/>
              <w:jc w:val="both"/>
              <w:rPr>
                <w:rFonts w:ascii="Arial" w:hAnsi="Arial" w:cs="Arial"/>
                <w:color w:val="000000"/>
                <w:sz w:val="20"/>
                <w:szCs w:val="20"/>
              </w:rPr>
            </w:pPr>
            <w:r w:rsidRPr="002D2F67">
              <w:rPr>
                <w:rFonts w:ascii="Arial" w:hAnsi="Arial" w:cs="Arial"/>
                <w:color w:val="000000"/>
                <w:sz w:val="20"/>
                <w:szCs w:val="20"/>
              </w:rPr>
              <w:t xml:space="preserve">   More than </w:t>
            </w:r>
            <w:r w:rsidR="00CD5714" w:rsidRPr="00CD5714">
              <w:rPr>
                <w:rFonts w:ascii="Arial" w:hAnsi="Arial" w:cs="Arial"/>
                <w:color w:val="000000"/>
                <w:sz w:val="20"/>
                <w:szCs w:val="20"/>
                <w:lang w:val="en-GB"/>
              </w:rPr>
              <w:t>5</w:t>
            </w:r>
            <w:r w:rsidRPr="002D2F67">
              <w:rPr>
                <w:rFonts w:ascii="Arial" w:hAnsi="Arial" w:cs="Arial"/>
                <w:color w:val="000000"/>
                <w:sz w:val="20"/>
                <w:szCs w:val="20"/>
              </w:rPr>
              <w:t xml:space="preserve"> years</w:t>
            </w:r>
          </w:p>
        </w:tc>
        <w:tc>
          <w:tcPr>
            <w:tcW w:w="1080" w:type="dxa"/>
            <w:tcBorders>
              <w:bottom w:val="single" w:sz="4" w:space="0" w:color="auto"/>
            </w:tcBorders>
            <w:shd w:val="clear" w:color="auto" w:fill="auto"/>
          </w:tcPr>
          <w:p w14:paraId="45A6F7C8" w14:textId="7FE525FC" w:rsidR="005511A2"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6</w:t>
            </w:r>
          </w:p>
        </w:tc>
        <w:tc>
          <w:tcPr>
            <w:tcW w:w="1080" w:type="dxa"/>
            <w:tcBorders>
              <w:bottom w:val="single" w:sz="4" w:space="0" w:color="auto"/>
            </w:tcBorders>
            <w:shd w:val="clear" w:color="auto" w:fill="auto"/>
          </w:tcPr>
          <w:p w14:paraId="132A68DB" w14:textId="573FA244" w:rsidR="005511A2" w:rsidRPr="002D2F67" w:rsidRDefault="0038545B" w:rsidP="005611FE">
            <w:pPr>
              <w:ind w:right="-72"/>
              <w:jc w:val="right"/>
              <w:rPr>
                <w:rFonts w:ascii="Arial" w:hAnsi="Arial" w:cs="Arial"/>
                <w:color w:val="000000"/>
                <w:sz w:val="20"/>
                <w:szCs w:val="20"/>
              </w:rPr>
            </w:pPr>
            <w:r w:rsidRPr="002D2F67">
              <w:rPr>
                <w:rFonts w:ascii="Arial" w:hAnsi="Arial" w:cs="Arial"/>
                <w:color w:val="000000"/>
                <w:sz w:val="20"/>
                <w:szCs w:val="20"/>
              </w:rPr>
              <w:t>-</w:t>
            </w:r>
          </w:p>
        </w:tc>
        <w:tc>
          <w:tcPr>
            <w:tcW w:w="1080" w:type="dxa"/>
            <w:tcBorders>
              <w:bottom w:val="single" w:sz="4" w:space="0" w:color="auto"/>
            </w:tcBorders>
            <w:shd w:val="clear" w:color="auto" w:fill="auto"/>
          </w:tcPr>
          <w:p w14:paraId="5D05422B" w14:textId="21C30A29" w:rsidR="005511A2"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8</w:t>
            </w:r>
          </w:p>
        </w:tc>
        <w:tc>
          <w:tcPr>
            <w:tcW w:w="1080" w:type="dxa"/>
            <w:tcBorders>
              <w:bottom w:val="single" w:sz="4" w:space="0" w:color="auto"/>
            </w:tcBorders>
            <w:shd w:val="clear" w:color="auto" w:fill="auto"/>
          </w:tcPr>
          <w:p w14:paraId="79B2B3CA" w14:textId="78872F02" w:rsidR="005511A2" w:rsidRPr="002D2F67" w:rsidRDefault="005511A2" w:rsidP="005611FE">
            <w:pPr>
              <w:ind w:right="-72"/>
              <w:jc w:val="right"/>
              <w:rPr>
                <w:rFonts w:ascii="Arial" w:hAnsi="Arial" w:cs="Arial"/>
                <w:color w:val="000000"/>
                <w:sz w:val="20"/>
                <w:szCs w:val="20"/>
              </w:rPr>
            </w:pPr>
            <w:r w:rsidRPr="002D2F67">
              <w:rPr>
                <w:rFonts w:ascii="Arial" w:hAnsi="Arial" w:cs="Arial"/>
                <w:color w:val="000000"/>
                <w:sz w:val="20"/>
                <w:szCs w:val="20"/>
              </w:rPr>
              <w:t>-</w:t>
            </w:r>
          </w:p>
        </w:tc>
      </w:tr>
      <w:tr w:rsidR="005511A2" w:rsidRPr="002D2F67" w14:paraId="619572D5" w14:textId="77777777" w:rsidTr="00CD5714">
        <w:trPr>
          <w:cantSplit/>
          <w:trHeight w:val="212"/>
        </w:trPr>
        <w:tc>
          <w:tcPr>
            <w:tcW w:w="5141" w:type="dxa"/>
            <w:shd w:val="clear" w:color="auto" w:fill="auto"/>
          </w:tcPr>
          <w:p w14:paraId="702CD59D" w14:textId="77777777" w:rsidR="005511A2" w:rsidRPr="002D2F67" w:rsidRDefault="005511A2" w:rsidP="005611FE">
            <w:pPr>
              <w:ind w:left="432"/>
              <w:jc w:val="both"/>
              <w:rPr>
                <w:rFonts w:ascii="Arial" w:hAnsi="Arial" w:cs="Arial"/>
                <w:color w:val="000000"/>
                <w:sz w:val="20"/>
                <w:szCs w:val="20"/>
              </w:rPr>
            </w:pPr>
          </w:p>
        </w:tc>
        <w:tc>
          <w:tcPr>
            <w:tcW w:w="1080" w:type="dxa"/>
            <w:tcBorders>
              <w:top w:val="single" w:sz="4" w:space="0" w:color="auto"/>
            </w:tcBorders>
            <w:shd w:val="clear" w:color="auto" w:fill="auto"/>
          </w:tcPr>
          <w:p w14:paraId="030BDCC7" w14:textId="77777777" w:rsidR="005511A2" w:rsidRPr="002D2F67" w:rsidRDefault="005511A2" w:rsidP="005611FE">
            <w:pPr>
              <w:ind w:left="331" w:right="-72" w:hanging="331"/>
              <w:jc w:val="right"/>
              <w:rPr>
                <w:rFonts w:ascii="Arial" w:hAnsi="Arial" w:cs="Arial"/>
                <w:color w:val="000000"/>
                <w:sz w:val="20"/>
                <w:szCs w:val="20"/>
              </w:rPr>
            </w:pPr>
          </w:p>
        </w:tc>
        <w:tc>
          <w:tcPr>
            <w:tcW w:w="1080" w:type="dxa"/>
            <w:tcBorders>
              <w:top w:val="single" w:sz="4" w:space="0" w:color="auto"/>
            </w:tcBorders>
            <w:shd w:val="clear" w:color="auto" w:fill="auto"/>
          </w:tcPr>
          <w:p w14:paraId="1316643E" w14:textId="77777777" w:rsidR="005511A2" w:rsidRPr="002D2F67" w:rsidRDefault="005511A2" w:rsidP="005611FE">
            <w:pPr>
              <w:ind w:left="331" w:right="-72" w:hanging="331"/>
              <w:jc w:val="right"/>
              <w:rPr>
                <w:rFonts w:ascii="Arial" w:hAnsi="Arial" w:cs="Arial"/>
                <w:color w:val="000000"/>
                <w:sz w:val="20"/>
                <w:szCs w:val="20"/>
              </w:rPr>
            </w:pPr>
          </w:p>
        </w:tc>
        <w:tc>
          <w:tcPr>
            <w:tcW w:w="1080" w:type="dxa"/>
            <w:tcBorders>
              <w:top w:val="single" w:sz="4" w:space="0" w:color="auto"/>
            </w:tcBorders>
            <w:shd w:val="clear" w:color="auto" w:fill="auto"/>
          </w:tcPr>
          <w:p w14:paraId="5D1068A0" w14:textId="77777777" w:rsidR="005511A2" w:rsidRPr="002D2F67" w:rsidRDefault="005511A2" w:rsidP="005611FE">
            <w:pPr>
              <w:ind w:left="331" w:right="-72" w:hanging="331"/>
              <w:jc w:val="right"/>
              <w:rPr>
                <w:rFonts w:ascii="Arial" w:hAnsi="Arial" w:cs="Arial"/>
                <w:color w:val="000000"/>
                <w:sz w:val="20"/>
                <w:szCs w:val="20"/>
              </w:rPr>
            </w:pPr>
          </w:p>
        </w:tc>
        <w:tc>
          <w:tcPr>
            <w:tcW w:w="1080" w:type="dxa"/>
            <w:tcBorders>
              <w:top w:val="single" w:sz="4" w:space="0" w:color="auto"/>
            </w:tcBorders>
            <w:shd w:val="clear" w:color="auto" w:fill="auto"/>
          </w:tcPr>
          <w:p w14:paraId="393FD9DB" w14:textId="77777777" w:rsidR="005511A2" w:rsidRPr="002D2F67" w:rsidRDefault="005511A2" w:rsidP="005611FE">
            <w:pPr>
              <w:ind w:left="331" w:right="-72" w:hanging="331"/>
              <w:jc w:val="right"/>
              <w:rPr>
                <w:rFonts w:ascii="Arial" w:hAnsi="Arial" w:cs="Arial"/>
                <w:color w:val="000000"/>
                <w:sz w:val="20"/>
                <w:szCs w:val="20"/>
              </w:rPr>
            </w:pPr>
          </w:p>
        </w:tc>
      </w:tr>
      <w:tr w:rsidR="005511A2" w:rsidRPr="002D2F67" w14:paraId="352E1B2B" w14:textId="77777777" w:rsidTr="00CD5714">
        <w:trPr>
          <w:cantSplit/>
          <w:trHeight w:val="212"/>
        </w:trPr>
        <w:tc>
          <w:tcPr>
            <w:tcW w:w="5141" w:type="dxa"/>
            <w:shd w:val="clear" w:color="auto" w:fill="auto"/>
          </w:tcPr>
          <w:p w14:paraId="3D635223" w14:textId="77777777" w:rsidR="005511A2" w:rsidRPr="002D2F67" w:rsidRDefault="005511A2" w:rsidP="005611FE">
            <w:pPr>
              <w:ind w:left="432"/>
              <w:jc w:val="both"/>
              <w:rPr>
                <w:rFonts w:ascii="Arial" w:hAnsi="Arial" w:cs="Arial"/>
                <w:color w:val="000000"/>
                <w:sz w:val="20"/>
                <w:szCs w:val="20"/>
              </w:rPr>
            </w:pPr>
          </w:p>
        </w:tc>
        <w:tc>
          <w:tcPr>
            <w:tcW w:w="1080" w:type="dxa"/>
            <w:tcBorders>
              <w:bottom w:val="single" w:sz="4" w:space="0" w:color="auto"/>
            </w:tcBorders>
            <w:shd w:val="clear" w:color="auto" w:fill="auto"/>
          </w:tcPr>
          <w:p w14:paraId="2652CCC0" w14:textId="35B97317" w:rsidR="005511A2"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16</w:t>
            </w:r>
          </w:p>
        </w:tc>
        <w:tc>
          <w:tcPr>
            <w:tcW w:w="1080" w:type="dxa"/>
            <w:tcBorders>
              <w:bottom w:val="single" w:sz="4" w:space="0" w:color="auto"/>
            </w:tcBorders>
            <w:shd w:val="clear" w:color="auto" w:fill="auto"/>
          </w:tcPr>
          <w:p w14:paraId="1212E630" w14:textId="7D154499" w:rsidR="005511A2"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177</w:t>
            </w:r>
          </w:p>
        </w:tc>
        <w:tc>
          <w:tcPr>
            <w:tcW w:w="1080" w:type="dxa"/>
            <w:tcBorders>
              <w:bottom w:val="single" w:sz="4" w:space="0" w:color="auto"/>
            </w:tcBorders>
            <w:shd w:val="clear" w:color="auto" w:fill="auto"/>
          </w:tcPr>
          <w:p w14:paraId="7A156D5E" w14:textId="36EF5900" w:rsidR="005511A2"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18</w:t>
            </w:r>
          </w:p>
        </w:tc>
        <w:tc>
          <w:tcPr>
            <w:tcW w:w="1080" w:type="dxa"/>
            <w:tcBorders>
              <w:bottom w:val="single" w:sz="4" w:space="0" w:color="auto"/>
            </w:tcBorders>
            <w:shd w:val="clear" w:color="auto" w:fill="auto"/>
          </w:tcPr>
          <w:p w14:paraId="74BDECB0" w14:textId="368B6AE5" w:rsidR="005511A2" w:rsidRPr="002D2F67" w:rsidRDefault="00CD5714" w:rsidP="005611FE">
            <w:pPr>
              <w:ind w:right="-72"/>
              <w:jc w:val="right"/>
              <w:rPr>
                <w:rFonts w:ascii="Arial" w:hAnsi="Arial" w:cs="Arial"/>
                <w:color w:val="000000"/>
                <w:sz w:val="20"/>
                <w:szCs w:val="20"/>
              </w:rPr>
            </w:pPr>
            <w:r w:rsidRPr="00CD5714">
              <w:rPr>
                <w:rFonts w:ascii="Arial" w:hAnsi="Arial" w:cs="Arial"/>
                <w:color w:val="000000"/>
                <w:sz w:val="20"/>
                <w:szCs w:val="20"/>
                <w:lang w:val="en-GB"/>
              </w:rPr>
              <w:t>114</w:t>
            </w:r>
          </w:p>
        </w:tc>
      </w:tr>
    </w:tbl>
    <w:p w14:paraId="44D50495" w14:textId="77777777" w:rsidR="00B4267B" w:rsidRPr="002D2F67" w:rsidRDefault="00B4267B" w:rsidP="005611FE">
      <w:pPr>
        <w:ind w:left="1080" w:right="-113" w:hanging="540"/>
        <w:rPr>
          <w:rFonts w:ascii="Arial" w:hAnsi="Arial" w:cs="Arial"/>
          <w:color w:val="000000"/>
          <w:sz w:val="20"/>
          <w:szCs w:val="20"/>
        </w:rPr>
      </w:pPr>
    </w:p>
    <w:p w14:paraId="3B1D984E" w14:textId="533C52B7" w:rsidR="00B4267B" w:rsidRPr="002D2F67" w:rsidRDefault="00CD5714" w:rsidP="005611FE">
      <w:pPr>
        <w:pStyle w:val="EASUBHEAD6"/>
        <w:rPr>
          <w:b/>
          <w:bCs/>
          <w:color w:val="000000"/>
          <w:sz w:val="20"/>
          <w:szCs w:val="20"/>
        </w:rPr>
      </w:pPr>
      <w:r w:rsidRPr="00CD5714">
        <w:rPr>
          <w:b/>
          <w:bCs/>
          <w:color w:val="000000"/>
          <w:sz w:val="20"/>
          <w:szCs w:val="20"/>
          <w:lang w:val="en-GB"/>
        </w:rPr>
        <w:t>43</w:t>
      </w:r>
      <w:r w:rsidR="00B4267B" w:rsidRPr="002D2F67">
        <w:rPr>
          <w:b/>
          <w:bCs/>
          <w:color w:val="000000"/>
          <w:sz w:val="20"/>
          <w:szCs w:val="20"/>
        </w:rPr>
        <w:t>.</w:t>
      </w:r>
      <w:r w:rsidRPr="00CD5714">
        <w:rPr>
          <w:b/>
          <w:bCs/>
          <w:color w:val="000000"/>
          <w:sz w:val="20"/>
          <w:szCs w:val="20"/>
          <w:lang w:val="en-GB"/>
        </w:rPr>
        <w:t>3</w:t>
      </w:r>
      <w:r w:rsidR="00B4267B" w:rsidRPr="002D2F67">
        <w:rPr>
          <w:b/>
          <w:bCs/>
          <w:color w:val="000000"/>
          <w:sz w:val="20"/>
          <w:szCs w:val="20"/>
        </w:rPr>
        <w:tab/>
      </w:r>
      <w:r w:rsidR="000045F9" w:rsidRPr="002D2F67">
        <w:rPr>
          <w:b/>
          <w:bCs/>
          <w:color w:val="000000"/>
          <w:sz w:val="20"/>
          <w:szCs w:val="20"/>
        </w:rPr>
        <w:t>Electric vehicle sales agreements</w:t>
      </w:r>
    </w:p>
    <w:p w14:paraId="7968A972" w14:textId="77777777" w:rsidR="00B4267B" w:rsidRPr="002D2F67" w:rsidRDefault="00B4267B" w:rsidP="005611FE">
      <w:pPr>
        <w:ind w:left="540" w:right="-113"/>
        <w:rPr>
          <w:rFonts w:ascii="Arial" w:hAnsi="Arial" w:cs="Arial"/>
          <w:color w:val="000000"/>
          <w:sz w:val="20"/>
          <w:szCs w:val="20"/>
        </w:rPr>
      </w:pPr>
    </w:p>
    <w:p w14:paraId="5999FAC2" w14:textId="41CE95B9" w:rsidR="00C034EE" w:rsidRPr="002D2F67" w:rsidRDefault="005827E0" w:rsidP="005611FE">
      <w:pPr>
        <w:ind w:left="540"/>
        <w:jc w:val="thaiDistribute"/>
        <w:rPr>
          <w:rFonts w:ascii="Arial" w:hAnsi="Arial" w:cs="Arial"/>
          <w:color w:val="000000"/>
          <w:sz w:val="20"/>
          <w:szCs w:val="20"/>
        </w:rPr>
      </w:pPr>
      <w:r w:rsidRPr="002D2F67">
        <w:rPr>
          <w:rFonts w:ascii="Arial" w:hAnsi="Arial" w:cs="Arial"/>
          <w:color w:val="000000"/>
          <w:spacing w:val="-6"/>
          <w:sz w:val="20"/>
          <w:szCs w:val="20"/>
        </w:rPr>
        <w:t>The Group has obligations under long-term sale and purchase agreements, which the Group is committed</w:t>
      </w:r>
      <w:r w:rsidRPr="002D2F67">
        <w:rPr>
          <w:rFonts w:ascii="Arial" w:hAnsi="Arial" w:cs="Arial"/>
          <w:color w:val="000000"/>
          <w:sz w:val="20"/>
          <w:szCs w:val="20"/>
        </w:rPr>
        <w:t xml:space="preserve"> to comply with the terms and conditions specified in the agreements as follows:</w:t>
      </w:r>
    </w:p>
    <w:p w14:paraId="3D8EFC3E" w14:textId="77777777" w:rsidR="005827E0" w:rsidRPr="002D2F67" w:rsidRDefault="005827E0" w:rsidP="005611FE">
      <w:pPr>
        <w:ind w:left="540"/>
        <w:jc w:val="thaiDistribute"/>
        <w:rPr>
          <w:rFonts w:ascii="Arial" w:hAnsi="Arial" w:cs="Arial"/>
          <w:color w:val="000000"/>
          <w:sz w:val="20"/>
          <w:szCs w:val="20"/>
        </w:rPr>
      </w:pPr>
    </w:p>
    <w:tbl>
      <w:tblPr>
        <w:tblW w:w="9466" w:type="dxa"/>
        <w:tblInd w:w="108" w:type="dxa"/>
        <w:tblLayout w:type="fixed"/>
        <w:tblLook w:val="0000" w:firstRow="0" w:lastRow="0" w:firstColumn="0" w:lastColumn="0" w:noHBand="0" w:noVBand="0"/>
      </w:tblPr>
      <w:tblGrid>
        <w:gridCol w:w="5446"/>
        <w:gridCol w:w="2036"/>
        <w:gridCol w:w="1984"/>
      </w:tblGrid>
      <w:tr w:rsidR="00C034EE" w:rsidRPr="002D2F67" w14:paraId="413FD6A0" w14:textId="77777777" w:rsidTr="007A609F">
        <w:tc>
          <w:tcPr>
            <w:tcW w:w="5446" w:type="dxa"/>
            <w:shd w:val="clear" w:color="auto" w:fill="auto"/>
          </w:tcPr>
          <w:p w14:paraId="331DAFC0" w14:textId="77777777" w:rsidR="00C034EE" w:rsidRPr="002D2F67" w:rsidRDefault="00C034EE" w:rsidP="0062025A">
            <w:pPr>
              <w:ind w:left="411"/>
              <w:contextualSpacing/>
              <w:rPr>
                <w:rFonts w:ascii="Arial" w:hAnsi="Arial" w:cs="Arial"/>
                <w:b/>
                <w:bCs/>
                <w:color w:val="000000"/>
                <w:sz w:val="20"/>
                <w:szCs w:val="20"/>
              </w:rPr>
            </w:pPr>
          </w:p>
        </w:tc>
        <w:tc>
          <w:tcPr>
            <w:tcW w:w="4020" w:type="dxa"/>
            <w:gridSpan w:val="2"/>
            <w:shd w:val="clear" w:color="auto" w:fill="auto"/>
          </w:tcPr>
          <w:p w14:paraId="40A62756" w14:textId="4E972CC4" w:rsidR="00C034EE" w:rsidRPr="002D2F67" w:rsidRDefault="00556C3C" w:rsidP="0062025A">
            <w:pPr>
              <w:ind w:right="-72"/>
              <w:jc w:val="right"/>
              <w:rPr>
                <w:rFonts w:ascii="Arial" w:hAnsi="Arial" w:cs="Arial"/>
                <w:b/>
                <w:bCs/>
                <w:sz w:val="20"/>
                <w:szCs w:val="20"/>
                <w:cs/>
              </w:rPr>
            </w:pPr>
            <w:r w:rsidRPr="002D2F67">
              <w:rPr>
                <w:rFonts w:ascii="Arial" w:hAnsi="Arial" w:cs="Arial"/>
                <w:b/>
                <w:bCs/>
                <w:color w:val="000000"/>
                <w:sz w:val="20"/>
                <w:szCs w:val="20"/>
              </w:rPr>
              <w:t>Consolidated</w:t>
            </w:r>
            <w:r w:rsidR="00C034EE" w:rsidRPr="002D2F67">
              <w:rPr>
                <w:rFonts w:ascii="Arial" w:hAnsi="Arial" w:cs="Arial"/>
                <w:b/>
                <w:bCs/>
                <w:sz w:val="20"/>
                <w:szCs w:val="20"/>
              </w:rPr>
              <w:t xml:space="preserve"> financial statements</w:t>
            </w:r>
          </w:p>
        </w:tc>
      </w:tr>
      <w:tr w:rsidR="00C034EE" w:rsidRPr="002D2F67" w14:paraId="48E5AE4D" w14:textId="77777777" w:rsidTr="00814FF3">
        <w:tc>
          <w:tcPr>
            <w:tcW w:w="5446" w:type="dxa"/>
            <w:shd w:val="clear" w:color="auto" w:fill="auto"/>
          </w:tcPr>
          <w:p w14:paraId="310D2EFA" w14:textId="77777777" w:rsidR="00C034EE" w:rsidRPr="002D2F67" w:rsidRDefault="00C034EE" w:rsidP="0062025A">
            <w:pPr>
              <w:ind w:left="411"/>
              <w:contextualSpacing/>
              <w:rPr>
                <w:rFonts w:ascii="Arial" w:hAnsi="Arial" w:cs="Arial"/>
                <w:b/>
                <w:bCs/>
                <w:color w:val="000000"/>
                <w:sz w:val="20"/>
                <w:szCs w:val="20"/>
              </w:rPr>
            </w:pPr>
          </w:p>
        </w:tc>
        <w:tc>
          <w:tcPr>
            <w:tcW w:w="2036" w:type="dxa"/>
            <w:tcBorders>
              <w:top w:val="single" w:sz="4" w:space="0" w:color="auto"/>
            </w:tcBorders>
            <w:shd w:val="clear" w:color="auto" w:fill="auto"/>
          </w:tcPr>
          <w:p w14:paraId="61D00994" w14:textId="03D12DCB" w:rsidR="00C034EE" w:rsidRPr="002D2F67" w:rsidRDefault="00CD5714" w:rsidP="0062025A">
            <w:pPr>
              <w:ind w:right="-72"/>
              <w:jc w:val="right"/>
              <w:rPr>
                <w:rFonts w:ascii="Arial" w:eastAsia="Arial Unicode MS" w:hAnsi="Arial" w:cs="Arial"/>
                <w:b/>
                <w:bCs/>
                <w:color w:val="000000"/>
                <w:sz w:val="20"/>
                <w:szCs w:val="20"/>
              </w:rPr>
            </w:pPr>
            <w:r w:rsidRPr="00CD5714">
              <w:rPr>
                <w:rFonts w:ascii="Arial" w:hAnsi="Arial" w:cs="Arial"/>
                <w:b/>
                <w:bCs/>
                <w:sz w:val="20"/>
                <w:szCs w:val="20"/>
                <w:lang w:val="en-GB"/>
              </w:rPr>
              <w:t>31</w:t>
            </w:r>
            <w:r w:rsidR="00C034EE" w:rsidRPr="002D2F67">
              <w:rPr>
                <w:rFonts w:ascii="Arial" w:hAnsi="Arial" w:cs="Arial"/>
                <w:b/>
                <w:bCs/>
                <w:sz w:val="20"/>
                <w:szCs w:val="20"/>
              </w:rPr>
              <w:t xml:space="preserve"> December </w:t>
            </w:r>
            <w:r w:rsidRPr="00CD5714">
              <w:rPr>
                <w:rFonts w:ascii="Arial" w:hAnsi="Arial" w:cs="Arial"/>
                <w:b/>
                <w:bCs/>
                <w:sz w:val="20"/>
                <w:szCs w:val="20"/>
                <w:lang w:val="en-GB"/>
              </w:rPr>
              <w:t>2024</w:t>
            </w:r>
          </w:p>
        </w:tc>
        <w:tc>
          <w:tcPr>
            <w:tcW w:w="1984" w:type="dxa"/>
            <w:tcBorders>
              <w:top w:val="single" w:sz="4" w:space="0" w:color="auto"/>
            </w:tcBorders>
            <w:shd w:val="clear" w:color="auto" w:fill="auto"/>
          </w:tcPr>
          <w:p w14:paraId="050C6E07" w14:textId="5F006A12" w:rsidR="00C034EE" w:rsidRPr="002D2F67" w:rsidRDefault="00CD5714" w:rsidP="0062025A">
            <w:pPr>
              <w:ind w:right="-72"/>
              <w:jc w:val="right"/>
              <w:rPr>
                <w:rFonts w:ascii="Arial" w:hAnsi="Arial" w:cs="Arial"/>
                <w:b/>
                <w:bCs/>
                <w:color w:val="000000"/>
                <w:sz w:val="20"/>
                <w:szCs w:val="20"/>
              </w:rPr>
            </w:pPr>
            <w:r w:rsidRPr="00CD5714">
              <w:rPr>
                <w:rFonts w:ascii="Arial" w:hAnsi="Arial" w:cs="Arial"/>
                <w:b/>
                <w:bCs/>
                <w:sz w:val="20"/>
                <w:szCs w:val="20"/>
                <w:lang w:val="en-GB"/>
              </w:rPr>
              <w:t>31</w:t>
            </w:r>
            <w:r w:rsidR="00C034EE" w:rsidRPr="002D2F67">
              <w:rPr>
                <w:rFonts w:ascii="Arial" w:hAnsi="Arial" w:cs="Arial"/>
                <w:b/>
                <w:bCs/>
                <w:sz w:val="20"/>
                <w:szCs w:val="20"/>
              </w:rPr>
              <w:t xml:space="preserve"> December </w:t>
            </w:r>
            <w:r w:rsidRPr="00CD5714">
              <w:rPr>
                <w:rFonts w:ascii="Arial" w:hAnsi="Arial" w:cs="Arial"/>
                <w:b/>
                <w:bCs/>
                <w:sz w:val="20"/>
                <w:szCs w:val="20"/>
                <w:lang w:val="en-GB"/>
              </w:rPr>
              <w:t>2023</w:t>
            </w:r>
          </w:p>
        </w:tc>
      </w:tr>
      <w:tr w:rsidR="00C034EE" w:rsidRPr="002D2F67" w14:paraId="21375057" w14:textId="77777777" w:rsidTr="00814FF3">
        <w:tc>
          <w:tcPr>
            <w:tcW w:w="5446" w:type="dxa"/>
            <w:shd w:val="clear" w:color="auto" w:fill="auto"/>
          </w:tcPr>
          <w:p w14:paraId="7952F443" w14:textId="77777777" w:rsidR="00C034EE" w:rsidRPr="002D2F67" w:rsidRDefault="00C034EE">
            <w:pPr>
              <w:ind w:left="411"/>
              <w:contextualSpacing/>
              <w:rPr>
                <w:rFonts w:ascii="Arial" w:hAnsi="Arial" w:cs="Arial"/>
                <w:b/>
                <w:bCs/>
                <w:color w:val="000000"/>
                <w:sz w:val="20"/>
                <w:szCs w:val="20"/>
              </w:rPr>
            </w:pPr>
          </w:p>
        </w:tc>
        <w:tc>
          <w:tcPr>
            <w:tcW w:w="2036" w:type="dxa"/>
            <w:tcBorders>
              <w:top w:val="single" w:sz="4" w:space="0" w:color="auto"/>
            </w:tcBorders>
            <w:shd w:val="clear" w:color="auto" w:fill="auto"/>
            <w:vAlign w:val="bottom"/>
          </w:tcPr>
          <w:p w14:paraId="0EBD8DD6" w14:textId="17297567" w:rsidR="00C034EE" w:rsidRPr="002D2F67" w:rsidRDefault="00C034EE" w:rsidP="0062025A">
            <w:pPr>
              <w:ind w:right="-72"/>
              <w:jc w:val="right"/>
              <w:rPr>
                <w:rFonts w:ascii="Arial" w:eastAsia="Arial Unicode MS" w:hAnsi="Arial" w:cs="Arial"/>
                <w:b/>
                <w:bCs/>
                <w:color w:val="000000"/>
                <w:sz w:val="20"/>
                <w:szCs w:val="20"/>
              </w:rPr>
            </w:pPr>
            <w:r w:rsidRPr="002D2F67">
              <w:rPr>
                <w:rFonts w:ascii="Arial" w:eastAsia="Arial Unicode MS" w:hAnsi="Arial" w:cs="Arial"/>
                <w:b/>
                <w:bCs/>
                <w:color w:val="000000"/>
                <w:sz w:val="20"/>
                <w:szCs w:val="20"/>
              </w:rPr>
              <w:t>Million Baht</w:t>
            </w:r>
          </w:p>
        </w:tc>
        <w:tc>
          <w:tcPr>
            <w:tcW w:w="1984" w:type="dxa"/>
            <w:tcBorders>
              <w:top w:val="single" w:sz="4" w:space="0" w:color="auto"/>
            </w:tcBorders>
            <w:shd w:val="clear" w:color="auto" w:fill="auto"/>
            <w:vAlign w:val="bottom"/>
          </w:tcPr>
          <w:p w14:paraId="54B790B5" w14:textId="4B1840A4" w:rsidR="00C034EE" w:rsidRPr="002D2F67" w:rsidRDefault="00C034EE">
            <w:pPr>
              <w:ind w:right="-72"/>
              <w:contextualSpacing/>
              <w:jc w:val="right"/>
              <w:rPr>
                <w:rFonts w:ascii="Arial" w:hAnsi="Arial" w:cs="Arial"/>
                <w:b/>
                <w:bCs/>
                <w:color w:val="000000"/>
                <w:sz w:val="20"/>
                <w:szCs w:val="20"/>
              </w:rPr>
            </w:pPr>
            <w:r w:rsidRPr="002D2F67">
              <w:rPr>
                <w:rFonts w:ascii="Arial" w:eastAsia="Arial Unicode MS" w:hAnsi="Arial" w:cs="Arial"/>
                <w:b/>
                <w:bCs/>
                <w:color w:val="000000"/>
                <w:sz w:val="20"/>
                <w:szCs w:val="20"/>
              </w:rPr>
              <w:t>Million Baht</w:t>
            </w:r>
          </w:p>
        </w:tc>
      </w:tr>
      <w:tr w:rsidR="00C034EE" w:rsidRPr="002D2F67" w14:paraId="774845FD" w14:textId="77777777" w:rsidTr="00814FF3">
        <w:tc>
          <w:tcPr>
            <w:tcW w:w="5446" w:type="dxa"/>
            <w:shd w:val="clear" w:color="auto" w:fill="auto"/>
          </w:tcPr>
          <w:p w14:paraId="6211D240" w14:textId="77777777" w:rsidR="00C034EE" w:rsidRPr="002D2F67" w:rsidRDefault="00C034EE">
            <w:pPr>
              <w:tabs>
                <w:tab w:val="left" w:pos="1134"/>
                <w:tab w:val="left" w:pos="1276"/>
                <w:tab w:val="center" w:pos="3402"/>
                <w:tab w:val="center" w:pos="4536"/>
                <w:tab w:val="center" w:pos="5670"/>
                <w:tab w:val="center" w:pos="6804"/>
                <w:tab w:val="right" w:pos="7655"/>
              </w:tabs>
              <w:ind w:left="411"/>
              <w:contextualSpacing/>
              <w:rPr>
                <w:rFonts w:ascii="Arial" w:hAnsi="Arial" w:cs="Arial"/>
                <w:color w:val="000000"/>
                <w:sz w:val="20"/>
                <w:szCs w:val="20"/>
                <w:cs/>
              </w:rPr>
            </w:pPr>
          </w:p>
        </w:tc>
        <w:tc>
          <w:tcPr>
            <w:tcW w:w="2036" w:type="dxa"/>
            <w:tcBorders>
              <w:top w:val="single" w:sz="4" w:space="0" w:color="auto"/>
            </w:tcBorders>
            <w:shd w:val="clear" w:color="auto" w:fill="auto"/>
          </w:tcPr>
          <w:p w14:paraId="109F4301" w14:textId="77777777" w:rsidR="00C034EE" w:rsidRPr="002D2F67" w:rsidRDefault="00C034EE">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p>
        </w:tc>
        <w:tc>
          <w:tcPr>
            <w:tcW w:w="1984" w:type="dxa"/>
            <w:tcBorders>
              <w:top w:val="single" w:sz="4" w:space="0" w:color="auto"/>
            </w:tcBorders>
            <w:shd w:val="clear" w:color="auto" w:fill="auto"/>
          </w:tcPr>
          <w:p w14:paraId="48DA3C4E" w14:textId="77777777" w:rsidR="00C034EE" w:rsidRPr="002D2F67" w:rsidRDefault="00C034EE">
            <w:pPr>
              <w:ind w:right="-72"/>
              <w:contextualSpacing/>
              <w:jc w:val="right"/>
              <w:rPr>
                <w:rFonts w:ascii="Arial" w:hAnsi="Arial" w:cs="Arial"/>
                <w:color w:val="000000"/>
                <w:sz w:val="20"/>
                <w:szCs w:val="20"/>
              </w:rPr>
            </w:pPr>
          </w:p>
        </w:tc>
      </w:tr>
      <w:tr w:rsidR="00683162" w:rsidRPr="002D2F67" w14:paraId="6D089003" w14:textId="77777777" w:rsidTr="00814FF3">
        <w:trPr>
          <w:trHeight w:val="126"/>
        </w:trPr>
        <w:tc>
          <w:tcPr>
            <w:tcW w:w="5446" w:type="dxa"/>
            <w:shd w:val="clear" w:color="auto" w:fill="auto"/>
          </w:tcPr>
          <w:p w14:paraId="2AB1E9F5" w14:textId="203792FC" w:rsidR="00683162" w:rsidRPr="002D2F67" w:rsidRDefault="00683162" w:rsidP="0062025A">
            <w:pPr>
              <w:ind w:left="411"/>
              <w:contextualSpacing/>
              <w:jc w:val="both"/>
              <w:rPr>
                <w:rFonts w:ascii="Arial" w:hAnsi="Arial" w:cs="Arial"/>
                <w:color w:val="000000"/>
                <w:sz w:val="20"/>
                <w:szCs w:val="20"/>
                <w:cs/>
              </w:rPr>
            </w:pPr>
            <w:r w:rsidRPr="002D2F67">
              <w:rPr>
                <w:rFonts w:ascii="Arial" w:hAnsi="Arial" w:cs="Arial"/>
                <w:sz w:val="20"/>
                <w:szCs w:val="20"/>
              </w:rPr>
              <w:t>Electric vehicle sale agreements</w:t>
            </w:r>
          </w:p>
        </w:tc>
        <w:tc>
          <w:tcPr>
            <w:tcW w:w="2036" w:type="dxa"/>
            <w:shd w:val="clear" w:color="auto" w:fill="auto"/>
            <w:vAlign w:val="bottom"/>
          </w:tcPr>
          <w:p w14:paraId="7605E083" w14:textId="1176C4E6" w:rsidR="00683162" w:rsidRPr="002D2F67" w:rsidRDefault="00CD5714" w:rsidP="0062025A">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cs/>
              </w:rPr>
            </w:pPr>
            <w:r w:rsidRPr="00CD5714">
              <w:rPr>
                <w:rFonts w:ascii="Arial" w:hAnsi="Arial" w:cs="Arial"/>
                <w:sz w:val="20"/>
                <w:szCs w:val="20"/>
                <w:lang w:val="en-GB"/>
              </w:rPr>
              <w:t>1</w:t>
            </w:r>
            <w:r w:rsidR="00683162" w:rsidRPr="002D2F67">
              <w:rPr>
                <w:rFonts w:ascii="Arial" w:hAnsi="Arial" w:cs="Arial"/>
                <w:sz w:val="20"/>
                <w:szCs w:val="20"/>
              </w:rPr>
              <w:t>,</w:t>
            </w:r>
            <w:r w:rsidRPr="00CD5714">
              <w:rPr>
                <w:rFonts w:ascii="Arial" w:hAnsi="Arial" w:cs="Arial"/>
                <w:sz w:val="20"/>
                <w:szCs w:val="20"/>
                <w:lang w:val="en-GB"/>
              </w:rPr>
              <w:t>508</w:t>
            </w:r>
          </w:p>
        </w:tc>
        <w:tc>
          <w:tcPr>
            <w:tcW w:w="1984" w:type="dxa"/>
            <w:shd w:val="clear" w:color="auto" w:fill="auto"/>
            <w:vAlign w:val="bottom"/>
          </w:tcPr>
          <w:p w14:paraId="5A82F547" w14:textId="676833E6" w:rsidR="00683162" w:rsidRPr="002D2F67" w:rsidRDefault="00CD5714" w:rsidP="0062025A">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sz w:val="20"/>
                <w:szCs w:val="20"/>
                <w:lang w:val="en-GB"/>
              </w:rPr>
              <w:t>1</w:t>
            </w:r>
            <w:r w:rsidR="00683162" w:rsidRPr="002D2F67">
              <w:rPr>
                <w:rFonts w:ascii="Arial" w:hAnsi="Arial" w:cs="Arial"/>
                <w:sz w:val="20"/>
                <w:szCs w:val="20"/>
              </w:rPr>
              <w:t>,</w:t>
            </w:r>
            <w:r w:rsidRPr="00CD5714">
              <w:rPr>
                <w:rFonts w:ascii="Arial" w:hAnsi="Arial" w:cs="Arial"/>
                <w:sz w:val="20"/>
                <w:szCs w:val="20"/>
                <w:lang w:val="en-GB"/>
              </w:rPr>
              <w:t>818</w:t>
            </w:r>
          </w:p>
        </w:tc>
      </w:tr>
      <w:tr w:rsidR="00683162" w:rsidRPr="002D2F67" w14:paraId="4B58A209" w14:textId="77777777" w:rsidTr="00814FF3">
        <w:trPr>
          <w:trHeight w:val="73"/>
        </w:trPr>
        <w:tc>
          <w:tcPr>
            <w:tcW w:w="5446" w:type="dxa"/>
            <w:shd w:val="clear" w:color="auto" w:fill="auto"/>
          </w:tcPr>
          <w:p w14:paraId="4BAB8ADA" w14:textId="03AD9BC8" w:rsidR="00683162" w:rsidRPr="002D2F67" w:rsidRDefault="00683162" w:rsidP="0062025A">
            <w:pPr>
              <w:ind w:left="411"/>
              <w:contextualSpacing/>
              <w:jc w:val="both"/>
              <w:rPr>
                <w:rFonts w:ascii="Arial" w:hAnsi="Arial" w:cs="Arial"/>
                <w:color w:val="000000"/>
                <w:sz w:val="20"/>
                <w:szCs w:val="20"/>
                <w:cs/>
              </w:rPr>
            </w:pPr>
            <w:r w:rsidRPr="002D2F67">
              <w:rPr>
                <w:rFonts w:ascii="Arial" w:eastAsia="Arial Unicode MS" w:hAnsi="Arial" w:cs="Arial"/>
                <w:sz w:val="20"/>
                <w:szCs w:val="20"/>
              </w:rPr>
              <w:t>Hydrogen gas purchase agreements</w:t>
            </w:r>
          </w:p>
        </w:tc>
        <w:tc>
          <w:tcPr>
            <w:tcW w:w="2036" w:type="dxa"/>
            <w:shd w:val="clear" w:color="auto" w:fill="auto"/>
            <w:vAlign w:val="bottom"/>
          </w:tcPr>
          <w:p w14:paraId="50DFD592" w14:textId="3EC1EE3F" w:rsidR="00683162" w:rsidRPr="002D2F67" w:rsidRDefault="00CD5714" w:rsidP="0062025A">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cs/>
              </w:rPr>
            </w:pPr>
            <w:r w:rsidRPr="00CD5714">
              <w:rPr>
                <w:rFonts w:ascii="Arial" w:hAnsi="Arial" w:cs="Arial"/>
                <w:sz w:val="20"/>
                <w:szCs w:val="20"/>
                <w:lang w:val="en-GB"/>
              </w:rPr>
              <w:t>456</w:t>
            </w:r>
          </w:p>
        </w:tc>
        <w:tc>
          <w:tcPr>
            <w:tcW w:w="1984" w:type="dxa"/>
            <w:shd w:val="clear" w:color="auto" w:fill="auto"/>
            <w:vAlign w:val="bottom"/>
          </w:tcPr>
          <w:p w14:paraId="361128D7" w14:textId="6FD0FED6" w:rsidR="00683162" w:rsidRPr="002D2F67" w:rsidRDefault="00CD5714" w:rsidP="0062025A">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color w:val="000000"/>
                <w:sz w:val="20"/>
                <w:szCs w:val="20"/>
              </w:rPr>
            </w:pPr>
            <w:r w:rsidRPr="00CD5714">
              <w:rPr>
                <w:rFonts w:ascii="Arial" w:hAnsi="Arial" w:cs="Arial"/>
                <w:sz w:val="20"/>
                <w:szCs w:val="20"/>
                <w:lang w:val="en-GB"/>
              </w:rPr>
              <w:t>457</w:t>
            </w:r>
          </w:p>
        </w:tc>
      </w:tr>
    </w:tbl>
    <w:p w14:paraId="2990AA4F" w14:textId="77777777" w:rsidR="00C034EE" w:rsidRPr="002D2F67" w:rsidRDefault="00C034EE" w:rsidP="005611FE">
      <w:pPr>
        <w:ind w:left="540"/>
        <w:jc w:val="thaiDistribute"/>
        <w:rPr>
          <w:rFonts w:ascii="Arial" w:hAnsi="Arial" w:cs="Arial"/>
          <w:color w:val="000000"/>
          <w:sz w:val="20"/>
          <w:szCs w:val="20"/>
        </w:rPr>
      </w:pPr>
    </w:p>
    <w:p w14:paraId="2C00C20B" w14:textId="6FAE9C28" w:rsidR="000045F9" w:rsidRPr="002D2F67" w:rsidRDefault="00CD5714" w:rsidP="005611FE">
      <w:pPr>
        <w:pStyle w:val="EASUBHEAD6"/>
        <w:rPr>
          <w:b/>
          <w:bCs/>
          <w:color w:val="000000"/>
          <w:sz w:val="20"/>
          <w:szCs w:val="20"/>
        </w:rPr>
      </w:pPr>
      <w:r w:rsidRPr="00CD5714">
        <w:rPr>
          <w:b/>
          <w:bCs/>
          <w:color w:val="000000"/>
          <w:sz w:val="20"/>
          <w:szCs w:val="20"/>
          <w:lang w:val="en-GB"/>
        </w:rPr>
        <w:t>43</w:t>
      </w:r>
      <w:r w:rsidR="000045F9" w:rsidRPr="002D2F67">
        <w:rPr>
          <w:b/>
          <w:bCs/>
          <w:color w:val="000000"/>
          <w:sz w:val="20"/>
          <w:szCs w:val="20"/>
        </w:rPr>
        <w:t>.</w:t>
      </w:r>
      <w:r w:rsidRPr="00CD5714">
        <w:rPr>
          <w:b/>
          <w:bCs/>
          <w:color w:val="000000"/>
          <w:sz w:val="20"/>
          <w:szCs w:val="20"/>
          <w:lang w:val="en-GB"/>
        </w:rPr>
        <w:t>4</w:t>
      </w:r>
      <w:r w:rsidR="000045F9" w:rsidRPr="002D2F67">
        <w:rPr>
          <w:b/>
          <w:bCs/>
          <w:color w:val="000000"/>
          <w:sz w:val="20"/>
          <w:szCs w:val="20"/>
        </w:rPr>
        <w:tab/>
        <w:t>Bank guarantee</w:t>
      </w:r>
    </w:p>
    <w:p w14:paraId="3420E8AD" w14:textId="77777777" w:rsidR="000045F9" w:rsidRPr="002D2F67" w:rsidRDefault="000045F9" w:rsidP="005611FE">
      <w:pPr>
        <w:ind w:left="540" w:right="-113"/>
        <w:rPr>
          <w:rFonts w:ascii="Arial" w:hAnsi="Arial" w:cs="Arial"/>
          <w:color w:val="000000"/>
          <w:sz w:val="20"/>
          <w:szCs w:val="20"/>
        </w:rPr>
      </w:pPr>
    </w:p>
    <w:p w14:paraId="49EE0AC5" w14:textId="1BF43385" w:rsidR="00B4267B" w:rsidRPr="002D2F67" w:rsidRDefault="000045F9" w:rsidP="00F853DE">
      <w:pPr>
        <w:ind w:left="540"/>
        <w:jc w:val="thaiDistribute"/>
        <w:rPr>
          <w:rFonts w:ascii="Arial" w:hAnsi="Arial" w:cs="Arial"/>
          <w:color w:val="000000"/>
          <w:sz w:val="20"/>
          <w:szCs w:val="20"/>
        </w:rPr>
      </w:pPr>
      <w:r w:rsidRPr="002D2F67">
        <w:rPr>
          <w:rFonts w:ascii="Arial" w:hAnsi="Arial" w:cs="Arial"/>
          <w:color w:val="000000"/>
          <w:spacing w:val="-4"/>
          <w:sz w:val="20"/>
          <w:szCs w:val="20"/>
        </w:rPr>
        <w:t xml:space="preserve">As </w:t>
      </w:r>
      <w:proofErr w:type="gramStart"/>
      <w:r w:rsidRPr="002D2F67">
        <w:rPr>
          <w:rFonts w:ascii="Arial" w:hAnsi="Arial" w:cs="Arial"/>
          <w:color w:val="000000"/>
          <w:spacing w:val="-4"/>
          <w:sz w:val="20"/>
          <w:szCs w:val="20"/>
        </w:rPr>
        <w:t>at</w:t>
      </w:r>
      <w:proofErr w:type="gramEnd"/>
      <w:r w:rsidRPr="002D2F67">
        <w:rPr>
          <w:rFonts w:ascii="Arial" w:hAnsi="Arial" w:cs="Arial"/>
          <w:color w:val="000000"/>
          <w:spacing w:val="-4"/>
          <w:sz w:val="20"/>
          <w:szCs w:val="20"/>
        </w:rPr>
        <w:t xml:space="preserve"> </w:t>
      </w:r>
      <w:r w:rsidR="00CD5714" w:rsidRPr="00CD5714">
        <w:rPr>
          <w:rFonts w:ascii="Arial" w:hAnsi="Arial" w:cs="Arial"/>
          <w:color w:val="000000"/>
          <w:spacing w:val="-4"/>
          <w:sz w:val="20"/>
          <w:szCs w:val="20"/>
          <w:lang w:val="en-GB"/>
        </w:rPr>
        <w:t>31</w:t>
      </w:r>
      <w:r w:rsidRPr="002D2F67">
        <w:rPr>
          <w:rFonts w:ascii="Arial" w:hAnsi="Arial" w:cs="Arial"/>
          <w:color w:val="000000"/>
          <w:spacing w:val="-4"/>
          <w:sz w:val="20"/>
          <w:szCs w:val="20"/>
        </w:rPr>
        <w:t xml:space="preserve"> December </w:t>
      </w:r>
      <w:r w:rsidR="00CD5714" w:rsidRPr="00CD5714">
        <w:rPr>
          <w:rFonts w:ascii="Arial" w:hAnsi="Arial" w:cs="Arial"/>
          <w:color w:val="000000"/>
          <w:spacing w:val="-4"/>
          <w:sz w:val="20"/>
          <w:szCs w:val="20"/>
          <w:lang w:val="en-GB"/>
        </w:rPr>
        <w:t>2024</w:t>
      </w:r>
      <w:r w:rsidRPr="002D2F67">
        <w:rPr>
          <w:rFonts w:ascii="Arial" w:hAnsi="Arial" w:cs="Arial"/>
          <w:color w:val="000000"/>
          <w:spacing w:val="-4"/>
          <w:sz w:val="20"/>
          <w:szCs w:val="20"/>
        </w:rPr>
        <w:t>, the Group and the Company ha</w:t>
      </w:r>
      <w:r w:rsidR="00C239E1" w:rsidRPr="002D2F67">
        <w:rPr>
          <w:rFonts w:ascii="Arial" w:hAnsi="Arial" w:cs="Arial"/>
          <w:color w:val="000000"/>
          <w:spacing w:val="-4"/>
          <w:sz w:val="20"/>
          <w:szCs w:val="20"/>
        </w:rPr>
        <w:t>d</w:t>
      </w:r>
      <w:r w:rsidRPr="002D2F67">
        <w:rPr>
          <w:rFonts w:ascii="Arial" w:hAnsi="Arial" w:cs="Arial"/>
          <w:color w:val="000000"/>
          <w:spacing w:val="-4"/>
          <w:sz w:val="20"/>
          <w:szCs w:val="20"/>
        </w:rPr>
        <w:t xml:space="preserve"> outstanding letters of guarantee issued </w:t>
      </w:r>
      <w:r w:rsidR="00247A9F" w:rsidRPr="002D2F67">
        <w:rPr>
          <w:rFonts w:ascii="Arial" w:hAnsi="Arial" w:cs="Arial"/>
          <w:color w:val="000000"/>
          <w:spacing w:val="-4"/>
          <w:sz w:val="20"/>
          <w:szCs w:val="20"/>
        </w:rPr>
        <w:t>for</w:t>
      </w:r>
      <w:r w:rsidRPr="002D2F67">
        <w:rPr>
          <w:rFonts w:ascii="Arial" w:hAnsi="Arial" w:cs="Arial"/>
          <w:color w:val="000000"/>
          <w:spacing w:val="-4"/>
          <w:sz w:val="20"/>
          <w:szCs w:val="20"/>
        </w:rPr>
        <w:t xml:space="preserve"> </w:t>
      </w:r>
      <w:r w:rsidR="008C2C5D" w:rsidRPr="002D2F67">
        <w:rPr>
          <w:rFonts w:ascii="Arial" w:hAnsi="Arial" w:cs="Arial"/>
          <w:color w:val="000000"/>
          <w:spacing w:val="-4"/>
          <w:sz w:val="20"/>
          <w:szCs w:val="20"/>
        </w:rPr>
        <w:t>government sector</w:t>
      </w:r>
      <w:r w:rsidR="00DB22B4" w:rsidRPr="002D2F67">
        <w:rPr>
          <w:rFonts w:ascii="Arial" w:hAnsi="Arial" w:cs="Arial"/>
          <w:color w:val="000000"/>
          <w:spacing w:val="-4"/>
          <w:sz w:val="20"/>
          <w:szCs w:val="20"/>
        </w:rPr>
        <w:t xml:space="preserve"> of Baht </w:t>
      </w:r>
      <w:r w:rsidR="00CD5714" w:rsidRPr="00CD5714">
        <w:rPr>
          <w:rFonts w:ascii="Arial" w:hAnsi="Arial" w:cs="Arial"/>
          <w:color w:val="000000"/>
          <w:spacing w:val="-4"/>
          <w:sz w:val="20"/>
          <w:szCs w:val="20"/>
          <w:lang w:val="en-GB"/>
        </w:rPr>
        <w:t>837</w:t>
      </w:r>
      <w:r w:rsidR="000E4605" w:rsidRPr="002D2F67">
        <w:rPr>
          <w:rFonts w:ascii="Arial" w:hAnsi="Arial" w:cs="Arial"/>
          <w:color w:val="000000"/>
          <w:spacing w:val="-4"/>
          <w:sz w:val="20"/>
          <w:szCs w:val="20"/>
        </w:rPr>
        <w:t xml:space="preserve"> million</w:t>
      </w:r>
      <w:r w:rsidR="008C2C5D" w:rsidRPr="002D2F67">
        <w:rPr>
          <w:rFonts w:ascii="Arial" w:hAnsi="Arial" w:cs="Arial"/>
          <w:color w:val="000000"/>
          <w:spacing w:val="-4"/>
          <w:sz w:val="20"/>
          <w:szCs w:val="20"/>
        </w:rPr>
        <w:t xml:space="preserve"> </w:t>
      </w:r>
      <w:r w:rsidR="00DB22B4" w:rsidRPr="002D2F67">
        <w:rPr>
          <w:rFonts w:ascii="Arial" w:hAnsi="Arial" w:cs="Arial"/>
          <w:color w:val="000000"/>
          <w:spacing w:val="-4"/>
          <w:sz w:val="20"/>
          <w:szCs w:val="25"/>
        </w:rPr>
        <w:t>(</w:t>
      </w:r>
      <w:r w:rsidR="00CD5714" w:rsidRPr="00CD5714">
        <w:rPr>
          <w:rFonts w:ascii="Arial" w:hAnsi="Arial" w:cs="Arial"/>
          <w:color w:val="000000"/>
          <w:spacing w:val="-4"/>
          <w:sz w:val="20"/>
          <w:szCs w:val="25"/>
          <w:lang w:val="en-GB"/>
        </w:rPr>
        <w:t>2023</w:t>
      </w:r>
      <w:r w:rsidR="00DB22B4" w:rsidRPr="002D2F67">
        <w:rPr>
          <w:rFonts w:ascii="Arial" w:hAnsi="Arial" w:cs="Arial"/>
          <w:color w:val="000000"/>
          <w:spacing w:val="-4"/>
          <w:sz w:val="20"/>
          <w:szCs w:val="25"/>
        </w:rPr>
        <w:t xml:space="preserve">: </w:t>
      </w:r>
      <w:r w:rsidRPr="002D2F67">
        <w:rPr>
          <w:rFonts w:ascii="Arial" w:hAnsi="Arial" w:cs="Arial"/>
          <w:color w:val="000000"/>
          <w:spacing w:val="-4"/>
          <w:sz w:val="20"/>
          <w:szCs w:val="20"/>
        </w:rPr>
        <w:t xml:space="preserve">Baht </w:t>
      </w:r>
      <w:r w:rsidR="00CD5714" w:rsidRPr="00CD5714">
        <w:rPr>
          <w:rFonts w:ascii="Arial" w:hAnsi="Arial" w:cs="Arial"/>
          <w:color w:val="000000"/>
          <w:spacing w:val="-4"/>
          <w:sz w:val="20"/>
          <w:szCs w:val="20"/>
          <w:lang w:val="en-GB"/>
        </w:rPr>
        <w:t>800</w:t>
      </w:r>
      <w:r w:rsidRPr="002D2F67">
        <w:rPr>
          <w:rFonts w:ascii="Arial" w:hAnsi="Arial" w:cs="Arial"/>
          <w:color w:val="000000"/>
          <w:spacing w:val="-4"/>
          <w:sz w:val="20"/>
          <w:szCs w:val="20"/>
        </w:rPr>
        <w:t xml:space="preserve"> million and Baht </w:t>
      </w:r>
      <w:r w:rsidR="00CD5714" w:rsidRPr="00CD5714">
        <w:rPr>
          <w:rFonts w:ascii="Arial" w:hAnsi="Arial" w:cs="Arial"/>
          <w:color w:val="000000"/>
          <w:spacing w:val="-4"/>
          <w:sz w:val="20"/>
          <w:szCs w:val="20"/>
          <w:lang w:val="en-GB"/>
        </w:rPr>
        <w:t>4</w:t>
      </w:r>
      <w:r w:rsidR="00F853DE" w:rsidRPr="002D2F67">
        <w:rPr>
          <w:rFonts w:ascii="Arial" w:hAnsi="Arial" w:cs="Arial"/>
          <w:color w:val="000000"/>
          <w:spacing w:val="-4"/>
          <w:sz w:val="20"/>
          <w:szCs w:val="20"/>
        </w:rPr>
        <w:t>,</w:t>
      </w:r>
      <w:r w:rsidR="00CD5714" w:rsidRPr="00CD5714">
        <w:rPr>
          <w:rFonts w:ascii="Arial" w:hAnsi="Arial" w:cs="Arial"/>
          <w:color w:val="000000"/>
          <w:spacing w:val="-4"/>
          <w:sz w:val="20"/>
          <w:szCs w:val="20"/>
          <w:lang w:val="en-GB"/>
        </w:rPr>
        <w:t>082</w:t>
      </w:r>
      <w:r w:rsidR="005432F3" w:rsidRPr="002D2F67">
        <w:rPr>
          <w:rFonts w:ascii="Arial" w:hAnsi="Arial" w:cs="Arial"/>
          <w:color w:val="000000"/>
          <w:spacing w:val="-4"/>
          <w:sz w:val="20"/>
          <w:szCs w:val="20"/>
        </w:rPr>
        <w:t xml:space="preserve"> </w:t>
      </w:r>
      <w:r w:rsidRPr="002D2F67">
        <w:rPr>
          <w:rFonts w:ascii="Arial" w:hAnsi="Arial" w:cs="Arial"/>
          <w:color w:val="000000"/>
          <w:spacing w:val="-4"/>
          <w:sz w:val="20"/>
          <w:szCs w:val="20"/>
        </w:rPr>
        <w:t>million</w:t>
      </w:r>
      <w:r w:rsidR="00DB22B4" w:rsidRPr="002D2F67">
        <w:rPr>
          <w:rFonts w:ascii="Arial" w:hAnsi="Arial" w:cs="Arial"/>
          <w:color w:val="000000"/>
          <w:spacing w:val="-4"/>
          <w:sz w:val="20"/>
          <w:szCs w:val="20"/>
        </w:rPr>
        <w:t>)</w:t>
      </w:r>
      <w:r w:rsidRPr="002D2F67">
        <w:rPr>
          <w:rFonts w:ascii="Arial" w:hAnsi="Arial" w:cs="Arial"/>
          <w:color w:val="000000"/>
          <w:sz w:val="20"/>
          <w:szCs w:val="20"/>
        </w:rPr>
        <w:t xml:space="preserve">. </w:t>
      </w:r>
    </w:p>
    <w:p w14:paraId="4EFEB51E" w14:textId="176FE5F9" w:rsidR="00814FF3" w:rsidRPr="002D2F67" w:rsidRDefault="00AB5B46" w:rsidP="005611FE">
      <w:pPr>
        <w:jc w:val="thaiDistribute"/>
        <w:rPr>
          <w:rFonts w:ascii="Arial" w:hAnsi="Arial" w:cs="Arial"/>
          <w:color w:val="000000"/>
          <w:spacing w:val="-2"/>
          <w:sz w:val="20"/>
          <w:szCs w:val="20"/>
        </w:rPr>
      </w:pPr>
      <w:r w:rsidRPr="002D2F67">
        <w:rPr>
          <w:rFonts w:ascii="Arial" w:hAnsi="Arial" w:cs="Arial"/>
          <w:color w:val="000000"/>
          <w:spacing w:val="-2"/>
          <w:sz w:val="20"/>
          <w:szCs w:val="20"/>
        </w:rPr>
        <w:br w:type="page"/>
      </w:r>
    </w:p>
    <w:p w14:paraId="4C1FFA83" w14:textId="7B122E0C" w:rsidR="00B0675E" w:rsidRPr="002D2F67" w:rsidRDefault="00CD5714" w:rsidP="005611FE">
      <w:pPr>
        <w:pStyle w:val="HeadSub6EA"/>
        <w:spacing w:line="324" w:lineRule="auto"/>
        <w:ind w:left="567" w:hanging="567"/>
        <w:outlineLvl w:val="0"/>
        <w:rPr>
          <w:rFonts w:ascii="Arial" w:hAnsi="Arial" w:cs="Arial"/>
          <w:b/>
          <w:bCs/>
          <w:color w:val="000000"/>
          <w:kern w:val="26"/>
          <w:position w:val="-24"/>
          <w:sz w:val="20"/>
          <w:szCs w:val="20"/>
        </w:rPr>
      </w:pPr>
      <w:bookmarkStart w:id="10" w:name="_Hlk158905630"/>
      <w:r w:rsidRPr="00CD5714">
        <w:rPr>
          <w:rFonts w:ascii="Arial" w:hAnsi="Arial" w:cs="Arial"/>
          <w:b/>
          <w:bCs/>
          <w:color w:val="000000"/>
          <w:kern w:val="26"/>
          <w:position w:val="-24"/>
          <w:sz w:val="20"/>
          <w:szCs w:val="20"/>
          <w:lang w:val="en-GB"/>
        </w:rPr>
        <w:t>44</w:t>
      </w:r>
      <w:r w:rsidR="00B0675E" w:rsidRPr="002D2F67">
        <w:rPr>
          <w:rFonts w:ascii="Arial" w:hAnsi="Arial" w:cs="Arial"/>
          <w:b/>
          <w:bCs/>
          <w:color w:val="000000"/>
          <w:kern w:val="26"/>
          <w:position w:val="-24"/>
          <w:sz w:val="20"/>
          <w:szCs w:val="20"/>
          <w:cs/>
        </w:rPr>
        <w:tab/>
      </w:r>
      <w:r w:rsidR="00B0675E" w:rsidRPr="002D2F67">
        <w:rPr>
          <w:rFonts w:ascii="Arial" w:hAnsi="Arial" w:cs="Arial"/>
          <w:b/>
          <w:bCs/>
          <w:color w:val="000000"/>
          <w:kern w:val="26"/>
          <w:position w:val="-24"/>
          <w:sz w:val="20"/>
          <w:szCs w:val="20"/>
        </w:rPr>
        <w:t>Events after the reporting period</w:t>
      </w:r>
    </w:p>
    <w:p w14:paraId="3976BB9E" w14:textId="77777777" w:rsidR="00B4267B" w:rsidRPr="00CD5714" w:rsidRDefault="00B4267B" w:rsidP="005611FE">
      <w:pPr>
        <w:jc w:val="both"/>
        <w:rPr>
          <w:rFonts w:ascii="Arial" w:hAnsi="Arial" w:cs="Arial"/>
          <w:color w:val="000000"/>
          <w:spacing w:val="-4"/>
          <w:sz w:val="16"/>
          <w:szCs w:val="16"/>
        </w:rPr>
      </w:pPr>
    </w:p>
    <w:p w14:paraId="6F16273D" w14:textId="68A38396" w:rsidR="00562390" w:rsidRPr="002D2F67" w:rsidRDefault="00CD5714" w:rsidP="005611FE">
      <w:pPr>
        <w:pStyle w:val="BodyText"/>
        <w:ind w:left="540" w:right="8" w:hanging="540"/>
        <w:rPr>
          <w:rFonts w:ascii="Arial" w:hAnsi="Arial" w:cs="Arial"/>
          <w:color w:val="000000"/>
          <w:lang w:val="en-GB"/>
        </w:rPr>
      </w:pPr>
      <w:r w:rsidRPr="00CD5714">
        <w:rPr>
          <w:rFonts w:ascii="Arial" w:hAnsi="Arial" w:cs="Arial"/>
          <w:color w:val="000000"/>
          <w:lang w:val="en-GB"/>
        </w:rPr>
        <w:t>44</w:t>
      </w:r>
      <w:r w:rsidR="009D0499" w:rsidRPr="002D2F67">
        <w:rPr>
          <w:rFonts w:ascii="Arial" w:hAnsi="Arial" w:cs="Arial"/>
          <w:color w:val="000000"/>
          <w:lang w:val="en-GB"/>
        </w:rPr>
        <w:t>.</w:t>
      </w:r>
      <w:r w:rsidRPr="00CD5714">
        <w:rPr>
          <w:rFonts w:ascii="Arial" w:hAnsi="Arial" w:cs="Arial"/>
          <w:color w:val="000000"/>
          <w:lang w:val="en-GB"/>
        </w:rPr>
        <w:t>1</w:t>
      </w:r>
      <w:r w:rsidR="00151707" w:rsidRPr="002D2F67">
        <w:rPr>
          <w:rFonts w:ascii="Arial" w:hAnsi="Arial" w:cs="Arial"/>
          <w:color w:val="000000"/>
          <w:lang w:val="en-GB"/>
        </w:rPr>
        <w:tab/>
      </w:r>
      <w:r w:rsidR="00814FF3" w:rsidRPr="002D2F67">
        <w:rPr>
          <w:rFonts w:ascii="Arial" w:hAnsi="Arial" w:cs="Arial"/>
          <w:color w:val="000000"/>
          <w:spacing w:val="-4"/>
          <w:lang w:val="en-GB"/>
        </w:rPr>
        <w:t>At</w:t>
      </w:r>
      <w:r w:rsidR="00562390" w:rsidRPr="002D2F67">
        <w:rPr>
          <w:rFonts w:ascii="Arial" w:hAnsi="Arial" w:cs="Arial"/>
          <w:color w:val="000000"/>
          <w:spacing w:val="-4"/>
          <w:lang w:val="en-GB"/>
        </w:rPr>
        <w:t xml:space="preserve"> the </w:t>
      </w:r>
      <w:r w:rsidR="00D45CB5" w:rsidRPr="002D2F67">
        <w:rPr>
          <w:rFonts w:ascii="Arial" w:hAnsi="Arial" w:cs="Arial"/>
          <w:color w:val="000000"/>
          <w:spacing w:val="-4"/>
          <w:lang w:val="en-GB"/>
        </w:rPr>
        <w:t xml:space="preserve">Extraordinary General </w:t>
      </w:r>
      <w:r w:rsidR="00F90F56" w:rsidRPr="002D2F67">
        <w:rPr>
          <w:rFonts w:ascii="Arial" w:hAnsi="Arial" w:cs="Arial"/>
          <w:color w:val="000000"/>
          <w:spacing w:val="-4"/>
          <w:lang w:val="en-GB"/>
        </w:rPr>
        <w:t xml:space="preserve">Shareholders’ </w:t>
      </w:r>
      <w:r w:rsidR="009106E3" w:rsidRPr="002D2F67">
        <w:rPr>
          <w:rFonts w:ascii="Arial" w:hAnsi="Arial" w:cs="Arial"/>
          <w:color w:val="000000"/>
          <w:spacing w:val="-4"/>
          <w:lang w:val="en-GB"/>
        </w:rPr>
        <w:t>Meeting</w:t>
      </w:r>
      <w:r w:rsidR="00814FF3" w:rsidRPr="002D2F67">
        <w:rPr>
          <w:rFonts w:ascii="Arial" w:hAnsi="Arial" w:cs="Arial"/>
          <w:color w:val="000000"/>
          <w:spacing w:val="-4"/>
          <w:lang w:val="en-GB"/>
        </w:rPr>
        <w:t xml:space="preserve"> on </w:t>
      </w:r>
      <w:r w:rsidRPr="00CD5714">
        <w:rPr>
          <w:rFonts w:ascii="Arial" w:hAnsi="Arial" w:cs="Arial"/>
          <w:color w:val="000000"/>
          <w:spacing w:val="-4"/>
          <w:lang w:val="en-GB"/>
        </w:rPr>
        <w:t>7</w:t>
      </w:r>
      <w:r w:rsidR="00814FF3" w:rsidRPr="002D2F67">
        <w:rPr>
          <w:rFonts w:ascii="Arial" w:hAnsi="Arial" w:cs="Arial"/>
          <w:color w:val="000000"/>
          <w:spacing w:val="-4"/>
          <w:lang w:val="en-GB"/>
        </w:rPr>
        <w:t xml:space="preserve"> January </w:t>
      </w:r>
      <w:r w:rsidRPr="00CD5714">
        <w:rPr>
          <w:rFonts w:ascii="Arial" w:hAnsi="Arial" w:cs="Arial"/>
          <w:color w:val="000000"/>
          <w:spacing w:val="-4"/>
          <w:lang w:val="en-GB"/>
        </w:rPr>
        <w:t>2025</w:t>
      </w:r>
      <w:r w:rsidR="009106E3" w:rsidRPr="002D2F67">
        <w:rPr>
          <w:rFonts w:ascii="Arial" w:hAnsi="Arial" w:cs="Arial"/>
          <w:color w:val="000000"/>
          <w:spacing w:val="-4"/>
          <w:lang w:val="en-GB"/>
        </w:rPr>
        <w:t xml:space="preserve">, the shareholders </w:t>
      </w:r>
      <w:r w:rsidR="00C42023" w:rsidRPr="002D2F67">
        <w:rPr>
          <w:rFonts w:ascii="Arial" w:hAnsi="Arial" w:cs="Arial"/>
          <w:color w:val="000000"/>
          <w:spacing w:val="-4"/>
          <w:lang w:val="en-GB"/>
        </w:rPr>
        <w:t>resolved to</w:t>
      </w:r>
      <w:r w:rsidR="00C42023" w:rsidRPr="002D2F67">
        <w:rPr>
          <w:rFonts w:ascii="Arial" w:hAnsi="Arial" w:cs="Arial"/>
          <w:color w:val="000000"/>
          <w:lang w:val="en-GB"/>
        </w:rPr>
        <w:t xml:space="preserve"> approve the followings:</w:t>
      </w:r>
      <w:r w:rsidR="00F90F56" w:rsidRPr="002D2F67">
        <w:rPr>
          <w:rFonts w:ascii="Arial" w:hAnsi="Arial" w:cs="Arial"/>
          <w:color w:val="000000"/>
          <w:lang w:val="en-GB"/>
        </w:rPr>
        <w:t xml:space="preserve"> </w:t>
      </w:r>
    </w:p>
    <w:p w14:paraId="0BBAF0AE" w14:textId="77777777" w:rsidR="00562390" w:rsidRPr="00CD5714" w:rsidRDefault="00562390" w:rsidP="005611FE">
      <w:pPr>
        <w:pStyle w:val="BodyText"/>
        <w:ind w:left="540" w:right="8" w:hanging="540"/>
        <w:rPr>
          <w:rFonts w:ascii="Arial" w:hAnsi="Arial" w:cs="Arial"/>
          <w:color w:val="000000"/>
          <w:sz w:val="16"/>
          <w:szCs w:val="16"/>
          <w:lang w:val="en-GB"/>
        </w:rPr>
      </w:pPr>
    </w:p>
    <w:p w14:paraId="2FA0B0B1" w14:textId="30E9BC84" w:rsidR="001460B6" w:rsidRPr="002D2F67" w:rsidRDefault="00CD5714" w:rsidP="00DB2D05">
      <w:pPr>
        <w:pStyle w:val="BodyText"/>
        <w:ind w:left="1276" w:right="8" w:hanging="730"/>
        <w:rPr>
          <w:rFonts w:ascii="Arial" w:hAnsi="Arial" w:cs="Arial"/>
          <w:color w:val="000000"/>
          <w:lang w:val="en-GB"/>
        </w:rPr>
      </w:pPr>
      <w:r w:rsidRPr="00CD5714">
        <w:rPr>
          <w:rFonts w:ascii="Arial" w:hAnsi="Arial" w:cs="Arial"/>
          <w:color w:val="000000"/>
          <w:lang w:val="en-GB"/>
        </w:rPr>
        <w:t>44</w:t>
      </w:r>
      <w:r w:rsidR="00DB2D05" w:rsidRPr="002D2F67">
        <w:rPr>
          <w:rFonts w:ascii="Arial" w:hAnsi="Arial" w:cs="Arial"/>
          <w:color w:val="000000"/>
          <w:lang w:val="en-GB"/>
        </w:rPr>
        <w:t>.</w:t>
      </w:r>
      <w:r w:rsidRPr="00CD5714">
        <w:rPr>
          <w:rFonts w:ascii="Arial" w:hAnsi="Arial" w:cs="Arial"/>
          <w:color w:val="000000"/>
          <w:lang w:val="en-GB"/>
        </w:rPr>
        <w:t>1</w:t>
      </w:r>
      <w:r w:rsidR="00DB2D05" w:rsidRPr="002D2F67">
        <w:rPr>
          <w:rFonts w:ascii="Arial" w:hAnsi="Arial" w:cs="Arial"/>
          <w:color w:val="000000"/>
          <w:lang w:val="en-GB"/>
        </w:rPr>
        <w:t>.</w:t>
      </w:r>
      <w:r w:rsidRPr="00CD5714">
        <w:rPr>
          <w:rFonts w:ascii="Arial" w:hAnsi="Arial" w:cs="Arial"/>
          <w:color w:val="000000"/>
          <w:lang w:val="en-GB"/>
        </w:rPr>
        <w:t>1</w:t>
      </w:r>
      <w:r w:rsidR="00DB2D05" w:rsidRPr="002D2F67">
        <w:rPr>
          <w:rFonts w:ascii="Arial" w:hAnsi="Arial" w:cs="Arial"/>
          <w:color w:val="000000"/>
          <w:lang w:val="en-GB"/>
        </w:rPr>
        <w:tab/>
      </w:r>
      <w:r w:rsidR="001460B6" w:rsidRPr="002D2F67">
        <w:rPr>
          <w:rFonts w:ascii="Arial" w:hAnsi="Arial" w:cs="Arial"/>
          <w:color w:val="000000"/>
          <w:spacing w:val="-4"/>
          <w:lang w:val="en-GB"/>
        </w:rPr>
        <w:t xml:space="preserve">The decrease of </w:t>
      </w:r>
      <w:r w:rsidR="00377E20" w:rsidRPr="002D2F67">
        <w:rPr>
          <w:rFonts w:ascii="Arial" w:hAnsi="Arial" w:cs="Arial"/>
          <w:color w:val="000000"/>
          <w:spacing w:val="-4"/>
          <w:lang w:val="en-GB"/>
        </w:rPr>
        <w:t xml:space="preserve">the Company’s registered share capital </w:t>
      </w:r>
      <w:r w:rsidR="008D4546" w:rsidRPr="002D2F67">
        <w:rPr>
          <w:rFonts w:ascii="Arial" w:hAnsi="Arial" w:cs="Arial"/>
          <w:color w:val="000000"/>
          <w:spacing w:val="-4"/>
          <w:lang w:val="en-GB"/>
        </w:rPr>
        <w:t>of</w:t>
      </w:r>
      <w:r w:rsidR="00207BC8" w:rsidRPr="002D2F67">
        <w:rPr>
          <w:rFonts w:ascii="Arial" w:hAnsi="Arial" w:cs="Arial"/>
          <w:color w:val="000000"/>
          <w:spacing w:val="-4"/>
          <w:lang w:val="en-GB"/>
        </w:rPr>
        <w:t xml:space="preserve"> Baht</w:t>
      </w:r>
      <w:r w:rsidR="008B51BF" w:rsidRPr="002D2F67">
        <w:rPr>
          <w:rFonts w:ascii="Arial" w:hAnsi="Arial" w:cs="Arial"/>
          <w:color w:val="000000"/>
          <w:spacing w:val="-4"/>
          <w:lang w:val="en-GB"/>
        </w:rPr>
        <w:t xml:space="preserve"> </w:t>
      </w:r>
      <w:r w:rsidRPr="00CD5714">
        <w:rPr>
          <w:rFonts w:ascii="Arial" w:hAnsi="Arial" w:cs="Arial"/>
          <w:color w:val="000000"/>
          <w:spacing w:val="-4"/>
          <w:lang w:val="en-GB"/>
        </w:rPr>
        <w:t>29</w:t>
      </w:r>
      <w:r w:rsidR="008B51BF" w:rsidRPr="002D2F67">
        <w:rPr>
          <w:rFonts w:ascii="Arial" w:hAnsi="Arial" w:cs="Arial"/>
          <w:color w:val="000000"/>
          <w:spacing w:val="-4"/>
          <w:lang w:val="en-GB"/>
        </w:rPr>
        <w:t>,</w:t>
      </w:r>
      <w:r w:rsidRPr="00CD5714">
        <w:rPr>
          <w:rFonts w:ascii="Arial" w:hAnsi="Arial" w:cs="Arial"/>
          <w:color w:val="000000"/>
          <w:spacing w:val="-4"/>
          <w:lang w:val="en-GB"/>
        </w:rPr>
        <w:t>000</w:t>
      </w:r>
      <w:r w:rsidR="008B51BF" w:rsidRPr="002D2F67">
        <w:rPr>
          <w:rFonts w:ascii="Arial" w:hAnsi="Arial" w:cs="Arial"/>
          <w:color w:val="000000"/>
          <w:spacing w:val="-4"/>
          <w:lang w:val="en-GB"/>
        </w:rPr>
        <w:t>,</w:t>
      </w:r>
      <w:r w:rsidRPr="00CD5714">
        <w:rPr>
          <w:rFonts w:ascii="Arial" w:hAnsi="Arial" w:cs="Arial"/>
          <w:color w:val="000000"/>
          <w:spacing w:val="-4"/>
          <w:lang w:val="en-GB"/>
        </w:rPr>
        <w:t>000</w:t>
      </w:r>
      <w:r w:rsidR="008B51BF" w:rsidRPr="002D2F67">
        <w:rPr>
          <w:rFonts w:ascii="Arial" w:hAnsi="Arial" w:cs="Arial"/>
          <w:color w:val="000000"/>
          <w:spacing w:val="-4"/>
          <w:lang w:val="en-GB"/>
        </w:rPr>
        <w:t xml:space="preserve"> </w:t>
      </w:r>
      <w:r w:rsidR="00377E20" w:rsidRPr="002D2F67">
        <w:rPr>
          <w:rFonts w:ascii="Arial" w:hAnsi="Arial" w:cs="Arial"/>
          <w:color w:val="000000"/>
          <w:spacing w:val="-4"/>
          <w:lang w:val="en-GB"/>
        </w:rPr>
        <w:t xml:space="preserve">from </w:t>
      </w:r>
      <w:r w:rsidR="00114587" w:rsidRPr="002D2F67">
        <w:rPr>
          <w:rFonts w:ascii="Arial" w:hAnsi="Arial" w:cs="Arial"/>
          <w:color w:val="000000"/>
          <w:spacing w:val="-4"/>
          <w:lang w:val="en-GB"/>
        </w:rPr>
        <w:t>the existing</w:t>
      </w:r>
      <w:r w:rsidR="00114587" w:rsidRPr="002D2F67">
        <w:rPr>
          <w:rFonts w:ascii="Arial" w:hAnsi="Arial" w:cs="Arial"/>
          <w:color w:val="000000"/>
          <w:lang w:val="en-GB"/>
        </w:rPr>
        <w:t xml:space="preserve"> </w:t>
      </w:r>
      <w:r w:rsidR="0015543E" w:rsidRPr="002D2F67">
        <w:rPr>
          <w:rFonts w:ascii="Arial" w:hAnsi="Arial" w:cs="Arial"/>
          <w:color w:val="000000"/>
          <w:spacing w:val="-6"/>
          <w:lang w:val="en-GB"/>
        </w:rPr>
        <w:t xml:space="preserve">registered </w:t>
      </w:r>
      <w:r w:rsidR="00114587" w:rsidRPr="002D2F67">
        <w:rPr>
          <w:rFonts w:ascii="Arial" w:hAnsi="Arial" w:cs="Arial"/>
          <w:color w:val="000000"/>
          <w:spacing w:val="-6"/>
          <w:lang w:val="en-GB"/>
        </w:rPr>
        <w:t xml:space="preserve">share </w:t>
      </w:r>
      <w:r w:rsidR="00AF1804" w:rsidRPr="002D2F67">
        <w:rPr>
          <w:rFonts w:ascii="Arial" w:hAnsi="Arial" w:cs="Arial"/>
          <w:color w:val="000000"/>
          <w:spacing w:val="-6"/>
          <w:lang w:val="en-GB"/>
        </w:rPr>
        <w:t>capital</w:t>
      </w:r>
      <w:r w:rsidR="00114587" w:rsidRPr="002D2F67">
        <w:rPr>
          <w:rFonts w:ascii="Arial" w:hAnsi="Arial" w:cs="Arial"/>
          <w:color w:val="000000"/>
          <w:spacing w:val="-6"/>
          <w:lang w:val="en-GB"/>
        </w:rPr>
        <w:t xml:space="preserve"> of Baht </w:t>
      </w:r>
      <w:r w:rsidRPr="00CD5714">
        <w:rPr>
          <w:rFonts w:ascii="Arial" w:hAnsi="Arial" w:cs="Arial"/>
          <w:color w:val="000000"/>
          <w:spacing w:val="-6"/>
          <w:lang w:val="en-GB"/>
        </w:rPr>
        <w:t>400</w:t>
      </w:r>
      <w:r w:rsidR="00114587" w:rsidRPr="002D2F67">
        <w:rPr>
          <w:rFonts w:ascii="Arial" w:hAnsi="Arial" w:cs="Arial"/>
          <w:color w:val="000000"/>
          <w:spacing w:val="-6"/>
          <w:lang w:val="en-GB"/>
        </w:rPr>
        <w:t>,</w:t>
      </w:r>
      <w:r w:rsidRPr="00CD5714">
        <w:rPr>
          <w:rFonts w:ascii="Arial" w:hAnsi="Arial" w:cs="Arial"/>
          <w:color w:val="000000"/>
          <w:spacing w:val="-6"/>
          <w:lang w:val="en-GB"/>
        </w:rPr>
        <w:t>334</w:t>
      </w:r>
      <w:r w:rsidR="00114587" w:rsidRPr="002D2F67">
        <w:rPr>
          <w:rFonts w:ascii="Arial" w:hAnsi="Arial" w:cs="Arial"/>
          <w:color w:val="000000"/>
          <w:spacing w:val="-6"/>
          <w:lang w:val="en-GB"/>
        </w:rPr>
        <w:t>,</w:t>
      </w:r>
      <w:r w:rsidRPr="00CD5714">
        <w:rPr>
          <w:rFonts w:ascii="Arial" w:hAnsi="Arial" w:cs="Arial"/>
          <w:color w:val="000000"/>
          <w:spacing w:val="-6"/>
          <w:lang w:val="en-GB"/>
        </w:rPr>
        <w:t>140</w:t>
      </w:r>
      <w:r w:rsidR="00114587" w:rsidRPr="002D2F67">
        <w:rPr>
          <w:rFonts w:ascii="Arial" w:hAnsi="Arial" w:cs="Arial"/>
          <w:color w:val="000000"/>
          <w:spacing w:val="-6"/>
          <w:lang w:val="en-GB"/>
        </w:rPr>
        <w:t xml:space="preserve"> to </w:t>
      </w:r>
      <w:r w:rsidR="0015543E" w:rsidRPr="002D2F67">
        <w:rPr>
          <w:rFonts w:ascii="Arial" w:hAnsi="Arial" w:cs="Arial"/>
          <w:color w:val="000000"/>
          <w:spacing w:val="-6"/>
          <w:lang w:val="en-GB"/>
        </w:rPr>
        <w:t xml:space="preserve">Baht </w:t>
      </w:r>
      <w:r w:rsidRPr="00CD5714">
        <w:rPr>
          <w:rFonts w:ascii="Arial" w:hAnsi="Arial" w:cs="Arial"/>
          <w:color w:val="000000"/>
          <w:spacing w:val="-6"/>
          <w:lang w:val="en-GB"/>
        </w:rPr>
        <w:t>371</w:t>
      </w:r>
      <w:r w:rsidR="0015543E" w:rsidRPr="002D2F67">
        <w:rPr>
          <w:rFonts w:ascii="Arial" w:hAnsi="Arial" w:cs="Arial"/>
          <w:color w:val="000000"/>
          <w:spacing w:val="-6"/>
          <w:lang w:val="en-GB"/>
        </w:rPr>
        <w:t>,</w:t>
      </w:r>
      <w:r w:rsidRPr="00CD5714">
        <w:rPr>
          <w:rFonts w:ascii="Arial" w:hAnsi="Arial" w:cs="Arial"/>
          <w:color w:val="000000"/>
          <w:spacing w:val="-6"/>
          <w:lang w:val="en-GB"/>
        </w:rPr>
        <w:t>334</w:t>
      </w:r>
      <w:r w:rsidR="0015543E" w:rsidRPr="002D2F67">
        <w:rPr>
          <w:rFonts w:ascii="Arial" w:hAnsi="Arial" w:cs="Arial"/>
          <w:color w:val="000000"/>
          <w:spacing w:val="-6"/>
          <w:lang w:val="en-GB"/>
        </w:rPr>
        <w:t>,</w:t>
      </w:r>
      <w:r w:rsidRPr="00CD5714">
        <w:rPr>
          <w:rFonts w:ascii="Arial" w:hAnsi="Arial" w:cs="Arial"/>
          <w:color w:val="000000"/>
          <w:spacing w:val="-6"/>
          <w:lang w:val="en-GB"/>
        </w:rPr>
        <w:t>140</w:t>
      </w:r>
      <w:r w:rsidR="0015543E" w:rsidRPr="002D2F67">
        <w:rPr>
          <w:rFonts w:ascii="Arial" w:hAnsi="Arial" w:cs="Arial"/>
          <w:color w:val="000000"/>
          <w:spacing w:val="-6"/>
          <w:lang w:val="en-GB"/>
        </w:rPr>
        <w:t xml:space="preserve"> at a par value of Baht </w:t>
      </w:r>
      <w:r w:rsidRPr="00CD5714">
        <w:rPr>
          <w:rFonts w:ascii="Arial" w:hAnsi="Arial" w:cs="Arial"/>
          <w:color w:val="000000"/>
          <w:spacing w:val="-6"/>
          <w:lang w:val="en-GB"/>
        </w:rPr>
        <w:t>0</w:t>
      </w:r>
      <w:r w:rsidR="0015543E" w:rsidRPr="002D2F67">
        <w:rPr>
          <w:rFonts w:ascii="Arial" w:hAnsi="Arial" w:cs="Arial"/>
          <w:color w:val="000000"/>
          <w:spacing w:val="-6"/>
          <w:lang w:val="en-GB"/>
        </w:rPr>
        <w:t>.</w:t>
      </w:r>
      <w:r w:rsidRPr="00CD5714">
        <w:rPr>
          <w:rFonts w:ascii="Arial" w:hAnsi="Arial" w:cs="Arial"/>
          <w:color w:val="000000"/>
          <w:spacing w:val="-6"/>
          <w:lang w:val="en-GB"/>
        </w:rPr>
        <w:t>10</w:t>
      </w:r>
      <w:r w:rsidR="0015543E" w:rsidRPr="002D2F67">
        <w:rPr>
          <w:rFonts w:ascii="Arial" w:hAnsi="Arial" w:cs="Arial"/>
          <w:color w:val="000000"/>
          <w:spacing w:val="-6"/>
          <w:lang w:val="en-GB"/>
        </w:rPr>
        <w:t xml:space="preserve"> each.</w:t>
      </w:r>
    </w:p>
    <w:p w14:paraId="11961424" w14:textId="3D433144" w:rsidR="00DB2D05" w:rsidRPr="002D2F67" w:rsidRDefault="00CD5714" w:rsidP="00DB2D05">
      <w:pPr>
        <w:pStyle w:val="BodyText"/>
        <w:ind w:left="1276" w:right="8" w:hanging="730"/>
        <w:rPr>
          <w:rFonts w:ascii="Arial" w:hAnsi="Arial" w:cs="Arial"/>
          <w:color w:val="000000"/>
          <w:lang w:val="en-GB"/>
        </w:rPr>
      </w:pPr>
      <w:r w:rsidRPr="00CD5714">
        <w:rPr>
          <w:rFonts w:ascii="Arial" w:hAnsi="Arial" w:cs="Arial"/>
          <w:color w:val="000000"/>
          <w:lang w:val="en-GB"/>
        </w:rPr>
        <w:t>44</w:t>
      </w:r>
      <w:r w:rsidR="00DB2D05" w:rsidRPr="002D2F67">
        <w:rPr>
          <w:rFonts w:ascii="Arial" w:hAnsi="Arial" w:cs="Arial"/>
          <w:color w:val="000000"/>
          <w:lang w:val="en-GB"/>
        </w:rPr>
        <w:t>.</w:t>
      </w:r>
      <w:r w:rsidRPr="00CD5714">
        <w:rPr>
          <w:rFonts w:ascii="Arial" w:hAnsi="Arial" w:cs="Arial"/>
          <w:color w:val="000000"/>
          <w:lang w:val="en-GB"/>
        </w:rPr>
        <w:t>1</w:t>
      </w:r>
      <w:r w:rsidR="00DB2D05" w:rsidRPr="002D2F67">
        <w:rPr>
          <w:rFonts w:ascii="Arial" w:hAnsi="Arial" w:cs="Arial"/>
          <w:color w:val="000000"/>
          <w:lang w:val="en-GB"/>
        </w:rPr>
        <w:t>.</w:t>
      </w:r>
      <w:r w:rsidRPr="00CD5714">
        <w:rPr>
          <w:rFonts w:ascii="Arial" w:hAnsi="Arial" w:cs="Arial"/>
          <w:color w:val="000000"/>
          <w:lang w:val="en-GB"/>
        </w:rPr>
        <w:t>2</w:t>
      </w:r>
      <w:r w:rsidR="00DB2D05" w:rsidRPr="002D2F67">
        <w:rPr>
          <w:rFonts w:ascii="Arial" w:hAnsi="Arial" w:cs="Arial"/>
          <w:color w:val="000000"/>
          <w:lang w:val="en-GB"/>
        </w:rPr>
        <w:tab/>
      </w:r>
      <w:r w:rsidR="00DC5332" w:rsidRPr="002D2F67">
        <w:rPr>
          <w:rStyle w:val="eop"/>
          <w:rFonts w:ascii="Arial" w:hAnsi="Arial" w:cs="Arial"/>
          <w:color w:val="000000"/>
          <w:spacing w:val="-4"/>
        </w:rPr>
        <w:t xml:space="preserve">The increase of the Company’s registered share capital of Baht </w:t>
      </w:r>
      <w:r w:rsidRPr="00CD5714">
        <w:rPr>
          <w:rStyle w:val="eop"/>
          <w:rFonts w:ascii="Arial" w:hAnsi="Arial" w:cs="Arial"/>
          <w:color w:val="000000"/>
          <w:spacing w:val="-4"/>
          <w:lang w:val="en-GB"/>
        </w:rPr>
        <w:t>495</w:t>
      </w:r>
      <w:r w:rsidR="008643FF" w:rsidRPr="002D2F67">
        <w:rPr>
          <w:rStyle w:val="eop"/>
          <w:rFonts w:ascii="Arial" w:hAnsi="Arial" w:cs="Arial"/>
          <w:color w:val="000000"/>
          <w:spacing w:val="-4"/>
        </w:rPr>
        <w:t>,</w:t>
      </w:r>
      <w:r w:rsidRPr="00CD5714">
        <w:rPr>
          <w:rStyle w:val="eop"/>
          <w:rFonts w:ascii="Arial" w:hAnsi="Arial" w:cs="Arial"/>
          <w:color w:val="000000"/>
          <w:spacing w:val="-4"/>
          <w:lang w:val="en-GB"/>
        </w:rPr>
        <w:t>112</w:t>
      </w:r>
      <w:r w:rsidR="008643FF" w:rsidRPr="002D2F67">
        <w:rPr>
          <w:rStyle w:val="eop"/>
          <w:rFonts w:ascii="Arial" w:hAnsi="Arial" w:cs="Arial"/>
          <w:color w:val="000000"/>
          <w:spacing w:val="-4"/>
        </w:rPr>
        <w:t>,</w:t>
      </w:r>
      <w:r w:rsidRPr="00CD5714">
        <w:rPr>
          <w:rStyle w:val="eop"/>
          <w:rFonts w:ascii="Arial" w:hAnsi="Arial" w:cs="Arial"/>
          <w:color w:val="000000"/>
          <w:spacing w:val="-4"/>
          <w:lang w:val="en-GB"/>
        </w:rPr>
        <w:t>187</w:t>
      </w:r>
      <w:r w:rsidR="008643FF" w:rsidRPr="002D2F67">
        <w:rPr>
          <w:rStyle w:val="eop"/>
          <w:rFonts w:ascii="Arial" w:hAnsi="Arial" w:cs="Arial"/>
          <w:color w:val="000000"/>
          <w:spacing w:val="-4"/>
        </w:rPr>
        <w:t xml:space="preserve"> from the existing</w:t>
      </w:r>
      <w:r w:rsidR="008643FF" w:rsidRPr="002D2F67">
        <w:rPr>
          <w:rStyle w:val="eop"/>
          <w:rFonts w:ascii="Arial" w:hAnsi="Arial" w:cs="Arial"/>
          <w:color w:val="000000"/>
        </w:rPr>
        <w:t xml:space="preserve"> registered share capital of Baht </w:t>
      </w:r>
      <w:r w:rsidRPr="00CD5714">
        <w:rPr>
          <w:rStyle w:val="eop"/>
          <w:rFonts w:ascii="Arial" w:hAnsi="Arial" w:cs="Arial"/>
          <w:color w:val="000000"/>
          <w:lang w:val="en-GB"/>
        </w:rPr>
        <w:t>371</w:t>
      </w:r>
      <w:r w:rsidR="008643FF" w:rsidRPr="002D2F67">
        <w:rPr>
          <w:rStyle w:val="eop"/>
          <w:rFonts w:ascii="Arial" w:hAnsi="Arial" w:cs="Arial"/>
          <w:color w:val="000000"/>
        </w:rPr>
        <w:t>,</w:t>
      </w:r>
      <w:r w:rsidRPr="00CD5714">
        <w:rPr>
          <w:rStyle w:val="eop"/>
          <w:rFonts w:ascii="Arial" w:hAnsi="Arial" w:cs="Arial"/>
          <w:color w:val="000000"/>
          <w:lang w:val="en-GB"/>
        </w:rPr>
        <w:t>334</w:t>
      </w:r>
      <w:r w:rsidR="008643FF" w:rsidRPr="002D2F67">
        <w:rPr>
          <w:rStyle w:val="eop"/>
          <w:rFonts w:ascii="Arial" w:hAnsi="Arial" w:cs="Arial"/>
          <w:color w:val="000000"/>
        </w:rPr>
        <w:t>,</w:t>
      </w:r>
      <w:r w:rsidRPr="00CD5714">
        <w:rPr>
          <w:rStyle w:val="eop"/>
          <w:rFonts w:ascii="Arial" w:hAnsi="Arial" w:cs="Arial"/>
          <w:color w:val="000000"/>
          <w:lang w:val="en-GB"/>
        </w:rPr>
        <w:t>140</w:t>
      </w:r>
      <w:r w:rsidR="008643FF" w:rsidRPr="002D2F67">
        <w:rPr>
          <w:rFonts w:ascii="Arial" w:hAnsi="Arial" w:cs="Arial"/>
          <w:color w:val="000000"/>
          <w:lang w:val="en-GB"/>
        </w:rPr>
        <w:t xml:space="preserve"> to</w:t>
      </w:r>
      <w:r w:rsidR="00A11F11" w:rsidRPr="002D2F67">
        <w:rPr>
          <w:rFonts w:ascii="Arial" w:hAnsi="Arial" w:cs="Arial"/>
          <w:color w:val="000000"/>
          <w:lang w:val="en-GB"/>
        </w:rPr>
        <w:t xml:space="preserve"> the new registered share capital of</w:t>
      </w:r>
      <w:r w:rsidR="008643FF" w:rsidRPr="002D2F67">
        <w:rPr>
          <w:rFonts w:ascii="Arial" w:hAnsi="Arial" w:cs="Arial"/>
          <w:color w:val="000000"/>
          <w:lang w:val="en-GB"/>
        </w:rPr>
        <w:t xml:space="preserve"> </w:t>
      </w:r>
      <w:r w:rsidR="00A11F11" w:rsidRPr="002D2F67">
        <w:rPr>
          <w:rFonts w:ascii="Arial" w:hAnsi="Arial" w:cs="Arial"/>
          <w:color w:val="000000"/>
          <w:lang w:val="en-GB"/>
        </w:rPr>
        <w:t xml:space="preserve">Baht </w:t>
      </w:r>
      <w:r w:rsidRPr="00CD5714">
        <w:rPr>
          <w:rFonts w:ascii="Arial" w:hAnsi="Arial" w:cs="Arial"/>
          <w:color w:val="000000"/>
          <w:lang w:val="en-GB"/>
        </w:rPr>
        <w:t>866</w:t>
      </w:r>
      <w:r w:rsidR="00A11F11" w:rsidRPr="002D2F67">
        <w:rPr>
          <w:rFonts w:ascii="Arial" w:hAnsi="Arial" w:cs="Arial"/>
          <w:color w:val="000000"/>
          <w:lang w:val="en-GB"/>
        </w:rPr>
        <w:t>,</w:t>
      </w:r>
      <w:r w:rsidRPr="00CD5714">
        <w:rPr>
          <w:rFonts w:ascii="Arial" w:hAnsi="Arial" w:cs="Arial"/>
          <w:color w:val="000000"/>
          <w:lang w:val="en-GB"/>
        </w:rPr>
        <w:t>446</w:t>
      </w:r>
      <w:r w:rsidR="00A11F11" w:rsidRPr="002D2F67">
        <w:rPr>
          <w:rFonts w:ascii="Arial" w:hAnsi="Arial" w:cs="Arial"/>
          <w:color w:val="000000"/>
          <w:lang w:val="en-GB"/>
        </w:rPr>
        <w:t>,</w:t>
      </w:r>
      <w:r w:rsidRPr="00CD5714">
        <w:rPr>
          <w:rFonts w:ascii="Arial" w:hAnsi="Arial" w:cs="Arial"/>
          <w:color w:val="000000"/>
          <w:lang w:val="en-GB"/>
        </w:rPr>
        <w:t>327</w:t>
      </w:r>
      <w:r w:rsidR="00A11F11" w:rsidRPr="002D2F67">
        <w:rPr>
          <w:rFonts w:ascii="Arial" w:hAnsi="Arial" w:cs="Arial"/>
          <w:color w:val="000000"/>
          <w:lang w:val="en-GB"/>
        </w:rPr>
        <w:t xml:space="preserve"> by </w:t>
      </w:r>
      <w:r w:rsidR="00B06A5F" w:rsidRPr="002D2F67">
        <w:rPr>
          <w:rFonts w:ascii="Arial" w:hAnsi="Arial" w:cs="Arial"/>
          <w:color w:val="000000"/>
          <w:lang w:val="en-GB"/>
        </w:rPr>
        <w:t xml:space="preserve">issuing new ordinary shares of not exceeding </w:t>
      </w:r>
      <w:r w:rsidRPr="00CD5714">
        <w:rPr>
          <w:rFonts w:ascii="Arial" w:hAnsi="Arial" w:cs="Arial"/>
          <w:color w:val="000000"/>
          <w:lang w:val="en-GB"/>
        </w:rPr>
        <w:t>4</w:t>
      </w:r>
      <w:r w:rsidR="00B06A5F" w:rsidRPr="002D2F67">
        <w:rPr>
          <w:rFonts w:ascii="Arial" w:hAnsi="Arial" w:cs="Arial"/>
          <w:color w:val="000000"/>
          <w:lang w:val="en-GB"/>
        </w:rPr>
        <w:t>,</w:t>
      </w:r>
      <w:r w:rsidRPr="00CD5714">
        <w:rPr>
          <w:rFonts w:ascii="Arial" w:hAnsi="Arial" w:cs="Arial"/>
          <w:color w:val="000000"/>
          <w:lang w:val="en-GB"/>
        </w:rPr>
        <w:t>951</w:t>
      </w:r>
      <w:r w:rsidR="00B06A5F" w:rsidRPr="002D2F67">
        <w:rPr>
          <w:rFonts w:ascii="Arial" w:hAnsi="Arial" w:cs="Arial"/>
          <w:color w:val="000000"/>
          <w:lang w:val="en-GB"/>
        </w:rPr>
        <w:t>,</w:t>
      </w:r>
      <w:r w:rsidRPr="00CD5714">
        <w:rPr>
          <w:rFonts w:ascii="Arial" w:hAnsi="Arial" w:cs="Arial"/>
          <w:color w:val="000000"/>
          <w:lang w:val="en-GB"/>
        </w:rPr>
        <w:t>121</w:t>
      </w:r>
      <w:r w:rsidR="00B06A5F" w:rsidRPr="002D2F67">
        <w:rPr>
          <w:rFonts w:ascii="Arial" w:hAnsi="Arial" w:cs="Arial"/>
          <w:color w:val="000000"/>
          <w:lang w:val="en-GB"/>
        </w:rPr>
        <w:t>,</w:t>
      </w:r>
      <w:r w:rsidRPr="00CD5714">
        <w:rPr>
          <w:rFonts w:ascii="Arial" w:hAnsi="Arial" w:cs="Arial"/>
          <w:color w:val="000000"/>
          <w:lang w:val="en-GB"/>
        </w:rPr>
        <w:t>866</w:t>
      </w:r>
      <w:r w:rsidR="00B06A5F" w:rsidRPr="002D2F67">
        <w:rPr>
          <w:rFonts w:ascii="Arial" w:hAnsi="Arial" w:cs="Arial"/>
          <w:color w:val="000000"/>
          <w:lang w:val="en-GB"/>
        </w:rPr>
        <w:t xml:space="preserve"> shares at a par value of Baht </w:t>
      </w:r>
      <w:r w:rsidRPr="00CD5714">
        <w:rPr>
          <w:rFonts w:ascii="Arial" w:hAnsi="Arial" w:cs="Arial"/>
          <w:color w:val="000000"/>
          <w:lang w:val="en-GB"/>
        </w:rPr>
        <w:t>0</w:t>
      </w:r>
      <w:r w:rsidR="00B06A5F" w:rsidRPr="002D2F67">
        <w:rPr>
          <w:rFonts w:ascii="Arial" w:hAnsi="Arial" w:cs="Arial"/>
          <w:color w:val="000000"/>
          <w:lang w:val="en-GB"/>
        </w:rPr>
        <w:t>.</w:t>
      </w:r>
      <w:r w:rsidRPr="00CD5714">
        <w:rPr>
          <w:rFonts w:ascii="Arial" w:hAnsi="Arial" w:cs="Arial"/>
          <w:color w:val="000000"/>
          <w:lang w:val="en-GB"/>
        </w:rPr>
        <w:t>10</w:t>
      </w:r>
      <w:r w:rsidR="00A0071F" w:rsidRPr="002D2F67">
        <w:rPr>
          <w:rFonts w:ascii="Arial" w:hAnsi="Arial" w:cs="Arial"/>
          <w:color w:val="000000"/>
          <w:lang w:val="en-GB"/>
        </w:rPr>
        <w:t xml:space="preserve"> </w:t>
      </w:r>
      <w:r w:rsidR="00B06A5F" w:rsidRPr="002D2F67">
        <w:rPr>
          <w:rFonts w:ascii="Arial" w:hAnsi="Arial" w:cs="Arial"/>
          <w:color w:val="000000"/>
          <w:lang w:val="en-GB"/>
        </w:rPr>
        <w:t xml:space="preserve">for </w:t>
      </w:r>
      <w:r w:rsidR="001C6662" w:rsidRPr="002D2F67">
        <w:rPr>
          <w:rFonts w:ascii="Arial" w:hAnsi="Arial" w:cs="Arial"/>
          <w:color w:val="000000"/>
          <w:lang w:val="en-GB"/>
        </w:rPr>
        <w:t xml:space="preserve">offering to the existing shareholders </w:t>
      </w:r>
      <w:r w:rsidR="00A0071F" w:rsidRPr="002D2F67">
        <w:rPr>
          <w:rFonts w:ascii="Arial" w:hAnsi="Arial" w:cs="Arial"/>
          <w:color w:val="000000"/>
          <w:lang w:val="en-GB"/>
        </w:rPr>
        <w:t>proportionate</w:t>
      </w:r>
      <w:r w:rsidR="00270C7A" w:rsidRPr="002D2F67">
        <w:rPr>
          <w:rFonts w:ascii="Arial" w:hAnsi="Arial" w:cs="Arial"/>
          <w:color w:val="000000"/>
          <w:lang w:val="en-GB"/>
        </w:rPr>
        <w:t>ly</w:t>
      </w:r>
      <w:r w:rsidR="00A0071F" w:rsidRPr="002D2F67">
        <w:rPr>
          <w:rFonts w:ascii="Arial" w:hAnsi="Arial" w:cs="Arial"/>
          <w:color w:val="000000"/>
          <w:lang w:val="en-GB"/>
        </w:rPr>
        <w:t xml:space="preserve"> to their respective </w:t>
      </w:r>
      <w:r w:rsidR="00A0071F" w:rsidRPr="002D2F67">
        <w:rPr>
          <w:rFonts w:ascii="Arial" w:hAnsi="Arial" w:cs="Arial"/>
          <w:color w:val="000000"/>
          <w:spacing w:val="-8"/>
          <w:lang w:val="en-GB"/>
        </w:rPr>
        <w:t>shareholding interests (Rights offering)</w:t>
      </w:r>
      <w:r w:rsidR="00BE5B0E" w:rsidRPr="002D2F67">
        <w:rPr>
          <w:rFonts w:ascii="Arial" w:hAnsi="Arial" w:cs="Arial"/>
          <w:color w:val="000000"/>
          <w:spacing w:val="-8"/>
          <w:lang w:val="en-GB"/>
        </w:rPr>
        <w:t xml:space="preserve"> </w:t>
      </w:r>
      <w:r w:rsidR="001C2A39" w:rsidRPr="002D2F67">
        <w:rPr>
          <w:rFonts w:ascii="Arial" w:hAnsi="Arial" w:cs="Arial"/>
          <w:color w:val="000000"/>
          <w:spacing w:val="-8"/>
          <w:lang w:val="en-GB"/>
        </w:rPr>
        <w:t xml:space="preserve">of </w:t>
      </w:r>
      <w:r w:rsidR="008D4546" w:rsidRPr="002D2F67">
        <w:rPr>
          <w:rFonts w:ascii="Arial" w:hAnsi="Arial" w:cs="Arial"/>
          <w:color w:val="000000"/>
          <w:spacing w:val="-8"/>
          <w:lang w:val="en-GB"/>
        </w:rPr>
        <w:t xml:space="preserve">not exceeding </w:t>
      </w:r>
      <w:r w:rsidRPr="00CD5714">
        <w:rPr>
          <w:rFonts w:ascii="Arial" w:hAnsi="Arial" w:cs="Arial"/>
          <w:color w:val="000000"/>
          <w:spacing w:val="-8"/>
          <w:lang w:val="en-GB"/>
        </w:rPr>
        <w:t>3</w:t>
      </w:r>
      <w:r w:rsidR="008D4546" w:rsidRPr="002D2F67">
        <w:rPr>
          <w:rFonts w:ascii="Arial" w:hAnsi="Arial" w:cs="Arial"/>
          <w:color w:val="000000"/>
          <w:spacing w:val="-8"/>
          <w:lang w:val="en-GB"/>
        </w:rPr>
        <w:t>,</w:t>
      </w:r>
      <w:r w:rsidRPr="00CD5714">
        <w:rPr>
          <w:rFonts w:ascii="Arial" w:hAnsi="Arial" w:cs="Arial"/>
          <w:color w:val="000000"/>
          <w:spacing w:val="-8"/>
          <w:lang w:val="en-GB"/>
        </w:rPr>
        <w:t>713</w:t>
      </w:r>
      <w:r w:rsidR="008D4546" w:rsidRPr="002D2F67">
        <w:rPr>
          <w:rFonts w:ascii="Arial" w:hAnsi="Arial" w:cs="Arial"/>
          <w:color w:val="000000"/>
          <w:spacing w:val="-8"/>
          <w:lang w:val="en-GB"/>
        </w:rPr>
        <w:t>,</w:t>
      </w:r>
      <w:r w:rsidRPr="00CD5714">
        <w:rPr>
          <w:rFonts w:ascii="Arial" w:hAnsi="Arial" w:cs="Arial"/>
          <w:color w:val="000000"/>
          <w:spacing w:val="-8"/>
          <w:lang w:val="en-GB"/>
        </w:rPr>
        <w:t>341</w:t>
      </w:r>
      <w:r w:rsidR="008D4546" w:rsidRPr="002D2F67">
        <w:rPr>
          <w:rFonts w:ascii="Arial" w:hAnsi="Arial" w:cs="Arial"/>
          <w:color w:val="000000"/>
          <w:spacing w:val="-8"/>
          <w:lang w:val="en-GB"/>
        </w:rPr>
        <w:t>,</w:t>
      </w:r>
      <w:r w:rsidRPr="00CD5714">
        <w:rPr>
          <w:rFonts w:ascii="Arial" w:hAnsi="Arial" w:cs="Arial"/>
          <w:color w:val="000000"/>
          <w:spacing w:val="-8"/>
          <w:lang w:val="en-GB"/>
        </w:rPr>
        <w:t>400</w:t>
      </w:r>
      <w:r w:rsidR="008D4546" w:rsidRPr="002D2F67">
        <w:rPr>
          <w:rFonts w:ascii="Arial" w:hAnsi="Arial" w:cs="Arial"/>
          <w:color w:val="000000"/>
          <w:spacing w:val="-8"/>
          <w:lang w:val="en-GB"/>
        </w:rPr>
        <w:t xml:space="preserve"> shares</w:t>
      </w:r>
      <w:r w:rsidR="00A0071F" w:rsidRPr="002D2F67">
        <w:rPr>
          <w:rFonts w:ascii="Arial" w:hAnsi="Arial" w:cs="Arial"/>
          <w:color w:val="000000"/>
          <w:spacing w:val="-8"/>
          <w:lang w:val="en-GB"/>
        </w:rPr>
        <w:t xml:space="preserve"> and </w:t>
      </w:r>
      <w:r w:rsidR="00270C7A" w:rsidRPr="002D2F67">
        <w:rPr>
          <w:rFonts w:ascii="Arial" w:hAnsi="Arial" w:cs="Arial"/>
          <w:color w:val="000000"/>
          <w:spacing w:val="-8"/>
          <w:lang w:val="en-GB"/>
        </w:rPr>
        <w:t xml:space="preserve">to </w:t>
      </w:r>
      <w:r w:rsidR="00BE5B0E" w:rsidRPr="002D2F67">
        <w:rPr>
          <w:rFonts w:ascii="Arial" w:hAnsi="Arial" w:cs="Arial"/>
          <w:color w:val="000000"/>
          <w:spacing w:val="-8"/>
          <w:lang w:val="en-GB"/>
        </w:rPr>
        <w:t>accommod</w:t>
      </w:r>
      <w:r w:rsidR="00A74356" w:rsidRPr="002D2F67">
        <w:rPr>
          <w:rFonts w:ascii="Arial" w:hAnsi="Arial" w:cs="Arial"/>
          <w:color w:val="000000"/>
          <w:spacing w:val="-8"/>
          <w:lang w:val="en-GB"/>
        </w:rPr>
        <w:t>ate</w:t>
      </w:r>
      <w:r w:rsidR="00E437E9" w:rsidRPr="002D2F67">
        <w:rPr>
          <w:rFonts w:ascii="Arial" w:hAnsi="Arial" w:cs="Arial"/>
          <w:color w:val="000000"/>
          <w:spacing w:val="-4"/>
          <w:lang w:val="en-GB"/>
        </w:rPr>
        <w:t xml:space="preserve"> the exercise of warrants </w:t>
      </w:r>
      <w:r w:rsidR="0018558E" w:rsidRPr="002D2F67">
        <w:rPr>
          <w:rFonts w:ascii="Arial" w:hAnsi="Arial" w:cs="Arial"/>
          <w:color w:val="000000"/>
          <w:spacing w:val="-4"/>
          <w:lang w:val="en-GB"/>
        </w:rPr>
        <w:t>to purchase the Company’s ordinary shares</w:t>
      </w:r>
      <w:r w:rsidR="00E437E9" w:rsidRPr="002D2F67">
        <w:rPr>
          <w:rFonts w:ascii="Arial" w:hAnsi="Arial" w:cs="Arial"/>
          <w:color w:val="000000"/>
          <w:spacing w:val="-4"/>
          <w:lang w:val="en-GB"/>
        </w:rPr>
        <w:t xml:space="preserve"> (EA-W</w:t>
      </w:r>
      <w:r w:rsidRPr="00CD5714">
        <w:rPr>
          <w:rFonts w:ascii="Arial" w:hAnsi="Arial" w:cs="Arial"/>
          <w:color w:val="000000"/>
          <w:spacing w:val="-4"/>
          <w:lang w:val="en-GB"/>
        </w:rPr>
        <w:t>1</w:t>
      </w:r>
      <w:r w:rsidR="00E437E9" w:rsidRPr="002D2F67">
        <w:rPr>
          <w:rFonts w:ascii="Arial" w:hAnsi="Arial" w:cs="Arial"/>
          <w:color w:val="000000"/>
          <w:spacing w:val="-4"/>
          <w:lang w:val="en-GB"/>
        </w:rPr>
        <w:t>)</w:t>
      </w:r>
      <w:r w:rsidR="00E437E9" w:rsidRPr="002D2F67">
        <w:rPr>
          <w:rFonts w:ascii="Arial" w:hAnsi="Arial" w:cs="Arial"/>
          <w:color w:val="000000"/>
          <w:lang w:val="en-GB"/>
        </w:rPr>
        <w:t xml:space="preserve"> of not exceeding </w:t>
      </w:r>
      <w:r w:rsidRPr="00CD5714">
        <w:rPr>
          <w:rFonts w:ascii="Arial" w:hAnsi="Arial" w:cs="Arial"/>
          <w:color w:val="000000"/>
          <w:lang w:val="en-GB"/>
        </w:rPr>
        <w:t>1</w:t>
      </w:r>
      <w:r w:rsidR="00E437E9" w:rsidRPr="002D2F67">
        <w:rPr>
          <w:rFonts w:ascii="Arial" w:hAnsi="Arial" w:cs="Arial"/>
          <w:color w:val="000000"/>
          <w:lang w:val="en-GB"/>
        </w:rPr>
        <w:t>,</w:t>
      </w:r>
      <w:r w:rsidRPr="00CD5714">
        <w:rPr>
          <w:rFonts w:ascii="Arial" w:hAnsi="Arial" w:cs="Arial"/>
          <w:color w:val="000000"/>
          <w:lang w:val="en-GB"/>
        </w:rPr>
        <w:t>237</w:t>
      </w:r>
      <w:r w:rsidR="00E437E9" w:rsidRPr="002D2F67">
        <w:rPr>
          <w:rFonts w:ascii="Arial" w:hAnsi="Arial" w:cs="Arial"/>
          <w:color w:val="000000"/>
          <w:lang w:val="en-GB"/>
        </w:rPr>
        <w:t>,</w:t>
      </w:r>
      <w:r w:rsidRPr="00CD5714">
        <w:rPr>
          <w:rFonts w:ascii="Arial" w:hAnsi="Arial" w:cs="Arial"/>
          <w:color w:val="000000"/>
          <w:lang w:val="en-GB"/>
        </w:rPr>
        <w:t>780</w:t>
      </w:r>
      <w:r w:rsidR="00E437E9" w:rsidRPr="002D2F67">
        <w:rPr>
          <w:rFonts w:ascii="Arial" w:hAnsi="Arial" w:cs="Arial"/>
          <w:color w:val="000000"/>
          <w:lang w:val="en-GB"/>
        </w:rPr>
        <w:t>,</w:t>
      </w:r>
      <w:r w:rsidRPr="00CD5714">
        <w:rPr>
          <w:rFonts w:ascii="Arial" w:hAnsi="Arial" w:cs="Arial"/>
          <w:color w:val="000000"/>
          <w:lang w:val="en-GB"/>
        </w:rPr>
        <w:t>466</w:t>
      </w:r>
      <w:r w:rsidR="00E437E9" w:rsidRPr="002D2F67">
        <w:rPr>
          <w:rFonts w:ascii="Arial" w:hAnsi="Arial" w:cs="Arial"/>
          <w:color w:val="000000"/>
          <w:lang w:val="en-GB"/>
        </w:rPr>
        <w:t xml:space="preserve"> shares.</w:t>
      </w:r>
    </w:p>
    <w:p w14:paraId="2FCC721D" w14:textId="6C33BE0A" w:rsidR="00DB2D05" w:rsidRPr="002D2F67" w:rsidRDefault="00CD5714" w:rsidP="00DB2D05">
      <w:pPr>
        <w:pStyle w:val="BodyText"/>
        <w:ind w:left="1276" w:right="8" w:hanging="730"/>
        <w:rPr>
          <w:rFonts w:ascii="Arial" w:hAnsi="Arial" w:cs="Arial"/>
          <w:color w:val="000000"/>
          <w:lang w:val="en-GB"/>
        </w:rPr>
      </w:pPr>
      <w:r w:rsidRPr="00CD5714">
        <w:rPr>
          <w:rFonts w:ascii="Arial" w:hAnsi="Arial" w:cs="Arial"/>
          <w:color w:val="000000"/>
          <w:lang w:val="en-GB"/>
        </w:rPr>
        <w:t>44</w:t>
      </w:r>
      <w:r w:rsidR="00DB2D05" w:rsidRPr="002D2F67">
        <w:rPr>
          <w:rFonts w:ascii="Arial" w:hAnsi="Arial" w:cs="Arial"/>
          <w:color w:val="000000"/>
          <w:lang w:val="en-GB"/>
        </w:rPr>
        <w:t>.</w:t>
      </w:r>
      <w:r w:rsidRPr="00CD5714">
        <w:rPr>
          <w:rFonts w:ascii="Arial" w:hAnsi="Arial" w:cs="Arial"/>
          <w:color w:val="000000"/>
          <w:lang w:val="en-GB"/>
        </w:rPr>
        <w:t>1</w:t>
      </w:r>
      <w:r w:rsidR="00DB2D05" w:rsidRPr="002D2F67">
        <w:rPr>
          <w:rFonts w:ascii="Arial" w:hAnsi="Arial" w:cs="Arial"/>
          <w:color w:val="000000"/>
          <w:lang w:val="en-GB"/>
        </w:rPr>
        <w:t>.</w:t>
      </w:r>
      <w:r w:rsidRPr="00CD5714">
        <w:rPr>
          <w:rFonts w:ascii="Arial" w:hAnsi="Arial" w:cs="Arial"/>
          <w:color w:val="000000"/>
          <w:lang w:val="en-GB"/>
        </w:rPr>
        <w:t>3</w:t>
      </w:r>
      <w:r w:rsidR="00DB2D05" w:rsidRPr="002D2F67">
        <w:rPr>
          <w:rFonts w:ascii="Arial" w:hAnsi="Arial" w:cs="Arial"/>
          <w:color w:val="000000"/>
          <w:lang w:val="en-GB"/>
        </w:rPr>
        <w:tab/>
      </w:r>
      <w:r w:rsidR="006D5B34" w:rsidRPr="002D2F67">
        <w:rPr>
          <w:rFonts w:ascii="Arial" w:hAnsi="Arial" w:cs="Arial"/>
          <w:color w:val="000000"/>
          <w:spacing w:val="-4"/>
          <w:lang w:val="en-GB"/>
        </w:rPr>
        <w:t>The issuance of warrant</w:t>
      </w:r>
      <w:r w:rsidR="002D4BDF" w:rsidRPr="002D2F67">
        <w:rPr>
          <w:rFonts w:ascii="Arial" w:hAnsi="Arial" w:cs="Arial"/>
          <w:color w:val="000000"/>
          <w:spacing w:val="-4"/>
          <w:lang w:val="en-GB"/>
        </w:rPr>
        <w:t xml:space="preserve">s to purchase </w:t>
      </w:r>
      <w:r w:rsidR="00BF06EA" w:rsidRPr="002D2F67">
        <w:rPr>
          <w:rFonts w:ascii="Arial" w:hAnsi="Arial" w:cs="Arial"/>
          <w:color w:val="000000"/>
          <w:spacing w:val="-4"/>
          <w:lang w:val="en-GB"/>
        </w:rPr>
        <w:t>the Company’s ordinary share</w:t>
      </w:r>
      <w:r w:rsidR="0018558E" w:rsidRPr="002D2F67">
        <w:rPr>
          <w:rFonts w:ascii="Arial" w:hAnsi="Arial" w:cs="Arial"/>
          <w:color w:val="000000"/>
          <w:spacing w:val="-4"/>
          <w:lang w:val="en-GB"/>
        </w:rPr>
        <w:t>s</w:t>
      </w:r>
      <w:r w:rsidR="00BF06EA" w:rsidRPr="002D2F67">
        <w:rPr>
          <w:rFonts w:ascii="Arial" w:hAnsi="Arial" w:cs="Arial"/>
          <w:color w:val="000000"/>
          <w:spacing w:val="-4"/>
          <w:lang w:val="en-GB"/>
        </w:rPr>
        <w:t xml:space="preserve"> (EA-W</w:t>
      </w:r>
      <w:r w:rsidRPr="00CD5714">
        <w:rPr>
          <w:rFonts w:ascii="Arial" w:hAnsi="Arial" w:cs="Arial"/>
          <w:color w:val="000000"/>
          <w:spacing w:val="-4"/>
          <w:lang w:val="en-GB"/>
        </w:rPr>
        <w:t>1</w:t>
      </w:r>
      <w:r w:rsidR="00BF06EA" w:rsidRPr="002D2F67">
        <w:rPr>
          <w:rFonts w:ascii="Arial" w:hAnsi="Arial" w:cs="Arial"/>
          <w:color w:val="000000"/>
          <w:spacing w:val="-4"/>
          <w:lang w:val="en-GB"/>
        </w:rPr>
        <w:t>) of not exceeding</w:t>
      </w:r>
      <w:r w:rsidR="00BF06EA" w:rsidRPr="002D2F67">
        <w:rPr>
          <w:rFonts w:ascii="Arial" w:hAnsi="Arial" w:cs="Arial"/>
          <w:color w:val="000000"/>
          <w:lang w:val="en-GB"/>
        </w:rPr>
        <w:t xml:space="preserve"> </w:t>
      </w:r>
      <w:r w:rsidRPr="00CD5714">
        <w:rPr>
          <w:rFonts w:ascii="Arial" w:hAnsi="Arial" w:cs="Arial"/>
          <w:color w:val="000000"/>
          <w:spacing w:val="-4"/>
          <w:lang w:val="en-GB"/>
        </w:rPr>
        <w:t>1</w:t>
      </w:r>
      <w:r w:rsidR="00BF06EA" w:rsidRPr="002D2F67">
        <w:rPr>
          <w:rFonts w:ascii="Arial" w:hAnsi="Arial" w:cs="Arial"/>
          <w:color w:val="000000"/>
          <w:spacing w:val="-4"/>
          <w:lang w:val="en-GB"/>
        </w:rPr>
        <w:t>,</w:t>
      </w:r>
      <w:r w:rsidRPr="00CD5714">
        <w:rPr>
          <w:rFonts w:ascii="Arial" w:hAnsi="Arial" w:cs="Arial"/>
          <w:color w:val="000000"/>
          <w:spacing w:val="-4"/>
          <w:lang w:val="en-GB"/>
        </w:rPr>
        <w:t>237</w:t>
      </w:r>
      <w:r w:rsidR="00BF06EA" w:rsidRPr="002D2F67">
        <w:rPr>
          <w:rFonts w:ascii="Arial" w:hAnsi="Arial" w:cs="Arial"/>
          <w:color w:val="000000"/>
          <w:spacing w:val="-4"/>
          <w:lang w:val="en-GB"/>
        </w:rPr>
        <w:t>,</w:t>
      </w:r>
      <w:r w:rsidRPr="00CD5714">
        <w:rPr>
          <w:rFonts w:ascii="Arial" w:hAnsi="Arial" w:cs="Arial"/>
          <w:color w:val="000000"/>
          <w:spacing w:val="-4"/>
          <w:lang w:val="en-GB"/>
        </w:rPr>
        <w:t>780</w:t>
      </w:r>
      <w:r w:rsidR="00BF06EA" w:rsidRPr="002D2F67">
        <w:rPr>
          <w:rFonts w:ascii="Arial" w:hAnsi="Arial" w:cs="Arial"/>
          <w:color w:val="000000"/>
          <w:spacing w:val="-4"/>
          <w:lang w:val="en-GB"/>
        </w:rPr>
        <w:t>,</w:t>
      </w:r>
      <w:r w:rsidRPr="00CD5714">
        <w:rPr>
          <w:rFonts w:ascii="Arial" w:hAnsi="Arial" w:cs="Arial"/>
          <w:color w:val="000000"/>
          <w:spacing w:val="-4"/>
          <w:lang w:val="en-GB"/>
        </w:rPr>
        <w:t>466</w:t>
      </w:r>
      <w:r w:rsidR="00BF06EA" w:rsidRPr="002D2F67">
        <w:rPr>
          <w:rFonts w:ascii="Arial" w:hAnsi="Arial" w:cs="Arial"/>
          <w:color w:val="000000"/>
          <w:spacing w:val="-4"/>
          <w:lang w:val="en-GB"/>
        </w:rPr>
        <w:t xml:space="preserve"> </w:t>
      </w:r>
      <w:r w:rsidR="00560481" w:rsidRPr="002D2F67">
        <w:rPr>
          <w:rFonts w:ascii="Arial" w:hAnsi="Arial" w:cs="Arial"/>
          <w:color w:val="000000"/>
          <w:spacing w:val="-4"/>
          <w:lang w:val="en-GB"/>
        </w:rPr>
        <w:t>shares</w:t>
      </w:r>
      <w:r w:rsidR="00BF06EA" w:rsidRPr="002D2F67">
        <w:rPr>
          <w:rFonts w:ascii="Arial" w:hAnsi="Arial" w:cs="Arial"/>
          <w:color w:val="000000"/>
          <w:spacing w:val="-4"/>
          <w:lang w:val="en-GB"/>
        </w:rPr>
        <w:t xml:space="preserve"> </w:t>
      </w:r>
      <w:r w:rsidR="00231943" w:rsidRPr="002D2F67">
        <w:rPr>
          <w:rFonts w:ascii="Arial" w:hAnsi="Arial" w:cs="Arial"/>
          <w:color w:val="000000"/>
          <w:spacing w:val="-4"/>
          <w:lang w:val="en-GB"/>
        </w:rPr>
        <w:t>allocated</w:t>
      </w:r>
      <w:r w:rsidR="008772F7" w:rsidRPr="002D2F67">
        <w:rPr>
          <w:rFonts w:ascii="Arial" w:hAnsi="Arial" w:cs="Arial"/>
          <w:color w:val="000000"/>
          <w:spacing w:val="-4"/>
          <w:lang w:val="en-GB"/>
        </w:rPr>
        <w:t xml:space="preserve"> </w:t>
      </w:r>
      <w:r w:rsidR="004E5B98" w:rsidRPr="002D2F67">
        <w:rPr>
          <w:rFonts w:ascii="Arial" w:hAnsi="Arial" w:cs="Arial"/>
          <w:color w:val="000000"/>
          <w:spacing w:val="-4"/>
          <w:lang w:val="en-GB"/>
        </w:rPr>
        <w:t>to the existing shareholders who subscribed and been al</w:t>
      </w:r>
      <w:r w:rsidR="005A0054" w:rsidRPr="002D2F67">
        <w:rPr>
          <w:rFonts w:ascii="Arial" w:hAnsi="Arial" w:cs="Arial"/>
          <w:color w:val="000000"/>
          <w:spacing w:val="-4"/>
          <w:lang w:val="en-GB"/>
        </w:rPr>
        <w:t xml:space="preserve">located the newly issue ordinary shares </w:t>
      </w:r>
      <w:r w:rsidR="00724FB7" w:rsidRPr="002D2F67">
        <w:rPr>
          <w:rFonts w:ascii="Arial" w:hAnsi="Arial" w:cs="Arial"/>
          <w:color w:val="000000"/>
          <w:spacing w:val="-4"/>
          <w:lang w:val="en-GB"/>
        </w:rPr>
        <w:t>proportionate to their respective shareholding interests</w:t>
      </w:r>
      <w:r w:rsidR="00724FB7" w:rsidRPr="002D2F67">
        <w:rPr>
          <w:rFonts w:ascii="Arial" w:hAnsi="Arial" w:cs="Arial"/>
          <w:color w:val="000000"/>
          <w:lang w:val="en-GB"/>
        </w:rPr>
        <w:t xml:space="preserve"> (Rights offering)</w:t>
      </w:r>
      <w:r w:rsidR="006330F4" w:rsidRPr="002D2F67">
        <w:rPr>
          <w:rFonts w:ascii="Arial" w:hAnsi="Arial" w:cs="Arial"/>
          <w:color w:val="000000"/>
          <w:lang w:val="en-GB"/>
        </w:rPr>
        <w:t xml:space="preserve">, at the ratio of </w:t>
      </w:r>
      <w:r w:rsidRPr="00CD5714">
        <w:rPr>
          <w:rFonts w:ascii="Arial" w:hAnsi="Arial" w:cs="Arial"/>
          <w:color w:val="000000"/>
          <w:lang w:val="en-GB"/>
        </w:rPr>
        <w:t>3</w:t>
      </w:r>
      <w:r w:rsidR="006330F4" w:rsidRPr="002D2F67">
        <w:rPr>
          <w:rFonts w:ascii="Arial" w:hAnsi="Arial" w:cs="Arial"/>
          <w:color w:val="000000"/>
          <w:lang w:val="en-GB"/>
        </w:rPr>
        <w:t xml:space="preserve"> newly issued ordinary shares </w:t>
      </w:r>
      <w:r w:rsidR="00F975FE" w:rsidRPr="002D2F67">
        <w:rPr>
          <w:rFonts w:ascii="Arial" w:hAnsi="Arial" w:cs="Arial"/>
          <w:color w:val="000000"/>
          <w:lang w:val="en-GB"/>
        </w:rPr>
        <w:t>per</w:t>
      </w:r>
      <w:r w:rsidR="006330F4" w:rsidRPr="002D2F67">
        <w:rPr>
          <w:rFonts w:ascii="Arial" w:hAnsi="Arial" w:cs="Arial"/>
          <w:color w:val="000000"/>
          <w:lang w:val="en-GB"/>
        </w:rPr>
        <w:t xml:space="preserve"> unit of warrant</w:t>
      </w:r>
      <w:r w:rsidR="007D79E2" w:rsidRPr="002D2F67">
        <w:rPr>
          <w:rFonts w:ascii="Arial" w:hAnsi="Arial" w:cs="Arial"/>
          <w:color w:val="000000"/>
          <w:lang w:val="en-GB"/>
        </w:rPr>
        <w:t xml:space="preserve"> with an exercise price of Baht </w:t>
      </w:r>
      <w:r w:rsidRPr="00CD5714">
        <w:rPr>
          <w:rFonts w:ascii="Arial" w:hAnsi="Arial" w:cs="Arial"/>
          <w:color w:val="000000"/>
          <w:lang w:val="en-GB"/>
        </w:rPr>
        <w:t>4</w:t>
      </w:r>
      <w:r w:rsidR="00E64AB7" w:rsidRPr="002D2F67">
        <w:rPr>
          <w:rFonts w:ascii="Arial" w:hAnsi="Arial" w:cs="Arial"/>
          <w:color w:val="000000"/>
          <w:lang w:val="en-GB"/>
        </w:rPr>
        <w:t xml:space="preserve"> per share and exercise period of </w:t>
      </w:r>
      <w:r w:rsidRPr="00CD5714">
        <w:rPr>
          <w:rFonts w:ascii="Arial" w:hAnsi="Arial" w:cs="Arial"/>
          <w:color w:val="000000"/>
          <w:lang w:val="en-GB"/>
        </w:rPr>
        <w:t>3</w:t>
      </w:r>
      <w:r w:rsidR="00E64AB7" w:rsidRPr="002D2F67">
        <w:rPr>
          <w:rFonts w:ascii="Arial" w:hAnsi="Arial" w:cs="Arial"/>
          <w:color w:val="000000"/>
          <w:lang w:val="en-GB"/>
        </w:rPr>
        <w:t xml:space="preserve"> years</w:t>
      </w:r>
      <w:r w:rsidR="00DB2D05" w:rsidRPr="002D2F67">
        <w:rPr>
          <w:rFonts w:ascii="Arial" w:hAnsi="Arial" w:cs="Arial"/>
          <w:color w:val="000000"/>
          <w:lang w:val="en-GB"/>
        </w:rPr>
        <w:t>.</w:t>
      </w:r>
    </w:p>
    <w:p w14:paraId="0F7C3948" w14:textId="77777777" w:rsidR="00DB2D05" w:rsidRPr="00CD5714" w:rsidRDefault="00DB2D05" w:rsidP="00DB2D05">
      <w:pPr>
        <w:pStyle w:val="BodyText"/>
        <w:ind w:left="1276" w:right="8" w:hanging="730"/>
        <w:rPr>
          <w:rFonts w:ascii="Arial" w:hAnsi="Arial" w:cs="Arial"/>
          <w:color w:val="000000"/>
          <w:sz w:val="16"/>
          <w:szCs w:val="16"/>
          <w:lang w:val="en-GB"/>
        </w:rPr>
      </w:pPr>
    </w:p>
    <w:p w14:paraId="103BA1DC" w14:textId="7C5FE075" w:rsidR="00DD6BD5" w:rsidRPr="002D2F67" w:rsidRDefault="00CD5714" w:rsidP="000C2144">
      <w:pPr>
        <w:pStyle w:val="BodyText"/>
        <w:ind w:left="540" w:right="8" w:hanging="540"/>
        <w:rPr>
          <w:rFonts w:ascii="Arial" w:hAnsi="Arial" w:cs="Arial"/>
          <w:color w:val="000000"/>
          <w:lang w:val="en-GB"/>
        </w:rPr>
      </w:pPr>
      <w:r w:rsidRPr="00CD5714">
        <w:rPr>
          <w:rFonts w:ascii="Arial" w:hAnsi="Arial" w:cs="Arial"/>
          <w:color w:val="000000"/>
          <w:lang w:val="en-GB"/>
        </w:rPr>
        <w:t>44</w:t>
      </w:r>
      <w:r w:rsidR="00950D27" w:rsidRPr="002D2F67">
        <w:rPr>
          <w:rFonts w:ascii="Arial" w:hAnsi="Arial" w:cs="Arial"/>
          <w:color w:val="000000"/>
          <w:lang w:val="en-GB"/>
        </w:rPr>
        <w:t>.</w:t>
      </w:r>
      <w:r w:rsidRPr="00CD5714">
        <w:rPr>
          <w:rFonts w:ascii="Arial" w:hAnsi="Arial" w:cs="Arial"/>
          <w:color w:val="000000"/>
          <w:lang w:val="en-GB"/>
        </w:rPr>
        <w:t>2</w:t>
      </w:r>
      <w:r w:rsidR="00950D27" w:rsidRPr="002D2F67">
        <w:rPr>
          <w:rFonts w:ascii="Arial" w:hAnsi="Arial" w:cs="Arial"/>
          <w:color w:val="000000"/>
          <w:lang w:val="en-GB"/>
        </w:rPr>
        <w:tab/>
      </w:r>
      <w:r w:rsidR="00DD6BD5" w:rsidRPr="002D2F67">
        <w:rPr>
          <w:rFonts w:ascii="Arial" w:hAnsi="Arial" w:cs="Arial"/>
          <w:color w:val="000000"/>
          <w:lang w:val="en-GB"/>
        </w:rPr>
        <w:t xml:space="preserve">Between </w:t>
      </w:r>
      <w:r w:rsidRPr="00CD5714">
        <w:rPr>
          <w:rFonts w:ascii="Arial" w:hAnsi="Arial" w:cs="Arial"/>
          <w:color w:val="000000"/>
          <w:lang w:val="en-GB"/>
        </w:rPr>
        <w:t>17</w:t>
      </w:r>
      <w:r w:rsidR="00DD6BD5" w:rsidRPr="002D2F67">
        <w:rPr>
          <w:rFonts w:ascii="Arial" w:hAnsi="Arial" w:cs="Arial"/>
          <w:color w:val="000000"/>
          <w:lang w:val="en-GB"/>
        </w:rPr>
        <w:t xml:space="preserve"> and </w:t>
      </w:r>
      <w:r w:rsidRPr="00CD5714">
        <w:rPr>
          <w:rFonts w:ascii="Arial" w:hAnsi="Arial" w:cs="Arial"/>
          <w:color w:val="000000"/>
          <w:lang w:val="en-GB"/>
        </w:rPr>
        <w:t>23</w:t>
      </w:r>
      <w:r w:rsidR="00DD6BD5" w:rsidRPr="002D2F67">
        <w:rPr>
          <w:rFonts w:ascii="Arial" w:hAnsi="Arial" w:cs="Arial"/>
          <w:color w:val="000000"/>
          <w:lang w:val="en-GB"/>
        </w:rPr>
        <w:t xml:space="preserve"> January </w:t>
      </w:r>
      <w:r w:rsidRPr="00CD5714">
        <w:rPr>
          <w:rFonts w:ascii="Arial" w:hAnsi="Arial" w:cs="Arial"/>
          <w:color w:val="000000"/>
          <w:lang w:val="en-GB"/>
        </w:rPr>
        <w:t>2025</w:t>
      </w:r>
      <w:r w:rsidR="00DD6BD5" w:rsidRPr="002D2F67">
        <w:rPr>
          <w:rFonts w:ascii="Arial" w:hAnsi="Arial" w:cs="Arial"/>
          <w:color w:val="000000"/>
          <w:lang w:val="en-GB"/>
        </w:rPr>
        <w:t>, the Company offered newly issued ordinary shares to</w:t>
      </w:r>
      <w:r w:rsidR="00DD6BD5" w:rsidRPr="002D2F67">
        <w:rPr>
          <w:rFonts w:ascii="Arial" w:hAnsi="Arial" w:cs="Arial"/>
          <w:color w:val="000000"/>
          <w:cs/>
          <w:lang w:val="en-GB"/>
        </w:rPr>
        <w:t xml:space="preserve"> </w:t>
      </w:r>
      <w:r w:rsidR="00DD6BD5" w:rsidRPr="002D2F67">
        <w:rPr>
          <w:rFonts w:ascii="Arial" w:hAnsi="Arial" w:cs="Arial"/>
          <w:color w:val="000000"/>
          <w:lang w:val="en-GB"/>
        </w:rPr>
        <w:t>existing shareholders</w:t>
      </w:r>
      <w:r w:rsidR="00844CBC" w:rsidRPr="002D2F67">
        <w:rPr>
          <w:rFonts w:ascii="Arial" w:hAnsi="Arial" w:cs="Arial"/>
          <w:color w:val="000000"/>
          <w:lang w:val="en-GB"/>
        </w:rPr>
        <w:t xml:space="preserve"> through Rights offering </w:t>
      </w:r>
      <w:r w:rsidR="00A74356" w:rsidRPr="002D2F67">
        <w:rPr>
          <w:rFonts w:ascii="Arial" w:hAnsi="Arial" w:cs="Arial"/>
          <w:color w:val="000000"/>
          <w:lang w:val="en-GB"/>
        </w:rPr>
        <w:t>by allocating</w:t>
      </w:r>
      <w:r w:rsidR="00951E64" w:rsidRPr="002D2F67">
        <w:rPr>
          <w:rFonts w:ascii="Arial" w:hAnsi="Arial" w:cs="Arial"/>
          <w:color w:val="000000"/>
          <w:lang w:val="en-GB"/>
        </w:rPr>
        <w:t xml:space="preserve"> newly issued ordinary shares of </w:t>
      </w:r>
      <w:r w:rsidRPr="00CD5714">
        <w:rPr>
          <w:rFonts w:ascii="Arial" w:hAnsi="Arial" w:cs="Arial"/>
          <w:color w:val="000000"/>
          <w:lang w:val="en-GB"/>
        </w:rPr>
        <w:t>3</w:t>
      </w:r>
      <w:r w:rsidR="00C17DC2" w:rsidRPr="002D2F67">
        <w:rPr>
          <w:rFonts w:ascii="Arial" w:hAnsi="Arial" w:cs="Arial"/>
          <w:color w:val="000000"/>
          <w:lang w:val="en-GB"/>
        </w:rPr>
        <w:t>,</w:t>
      </w:r>
      <w:r w:rsidRPr="00CD5714">
        <w:rPr>
          <w:rFonts w:ascii="Arial" w:hAnsi="Arial" w:cs="Arial"/>
          <w:color w:val="000000"/>
          <w:lang w:val="en-GB"/>
        </w:rPr>
        <w:t>713</w:t>
      </w:r>
      <w:r w:rsidR="00C17DC2" w:rsidRPr="002D2F67">
        <w:rPr>
          <w:rFonts w:ascii="Arial" w:hAnsi="Arial" w:cs="Arial"/>
          <w:color w:val="000000"/>
          <w:lang w:val="en-GB"/>
        </w:rPr>
        <w:t>,</w:t>
      </w:r>
      <w:r w:rsidRPr="00CD5714">
        <w:rPr>
          <w:rFonts w:ascii="Arial" w:hAnsi="Arial" w:cs="Arial"/>
          <w:color w:val="000000"/>
          <w:lang w:val="en-GB"/>
        </w:rPr>
        <w:t>341</w:t>
      </w:r>
      <w:r w:rsidR="00C17DC2" w:rsidRPr="002D2F67">
        <w:rPr>
          <w:rFonts w:ascii="Arial" w:hAnsi="Arial" w:cs="Arial"/>
          <w:color w:val="000000"/>
          <w:lang w:val="en-GB"/>
        </w:rPr>
        <w:t>,</w:t>
      </w:r>
      <w:r w:rsidRPr="00CD5714">
        <w:rPr>
          <w:rFonts w:ascii="Arial" w:hAnsi="Arial" w:cs="Arial"/>
          <w:color w:val="000000"/>
          <w:lang w:val="en-GB"/>
        </w:rPr>
        <w:t>400</w:t>
      </w:r>
      <w:r w:rsidR="00C17DC2" w:rsidRPr="002D2F67">
        <w:rPr>
          <w:rFonts w:ascii="Arial" w:hAnsi="Arial" w:cs="Arial"/>
          <w:color w:val="000000"/>
          <w:lang w:val="en-GB"/>
        </w:rPr>
        <w:t xml:space="preserve"> shares </w:t>
      </w:r>
      <w:r w:rsidR="00C17DC2" w:rsidRPr="002D2F67">
        <w:rPr>
          <w:rFonts w:ascii="Arial" w:hAnsi="Arial" w:cs="Arial"/>
          <w:color w:val="000000"/>
          <w:spacing w:val="-4"/>
          <w:lang w:val="en-GB"/>
        </w:rPr>
        <w:t xml:space="preserve">at the ratio of </w:t>
      </w:r>
      <w:r w:rsidRPr="00CD5714">
        <w:rPr>
          <w:rFonts w:ascii="Arial" w:hAnsi="Arial" w:cs="Arial"/>
          <w:color w:val="000000"/>
          <w:spacing w:val="-4"/>
          <w:lang w:val="en-GB"/>
        </w:rPr>
        <w:t>1</w:t>
      </w:r>
      <w:r w:rsidR="009D3244" w:rsidRPr="002D2F67">
        <w:rPr>
          <w:rFonts w:ascii="Arial" w:hAnsi="Arial" w:cs="Arial"/>
          <w:color w:val="000000"/>
          <w:spacing w:val="-4"/>
          <w:lang w:val="en-GB"/>
        </w:rPr>
        <w:t xml:space="preserve"> existing ordinary share to </w:t>
      </w:r>
      <w:r w:rsidRPr="00CD5714">
        <w:rPr>
          <w:rFonts w:ascii="Arial" w:hAnsi="Arial" w:cs="Arial"/>
          <w:color w:val="000000"/>
          <w:spacing w:val="-4"/>
          <w:lang w:val="en-GB"/>
        </w:rPr>
        <w:t>1</w:t>
      </w:r>
      <w:r w:rsidR="009D3244" w:rsidRPr="002D2F67">
        <w:rPr>
          <w:rFonts w:ascii="Arial" w:hAnsi="Arial" w:cs="Arial"/>
          <w:color w:val="000000"/>
          <w:spacing w:val="-4"/>
          <w:lang w:val="en-GB"/>
        </w:rPr>
        <w:t xml:space="preserve"> newly issued ordinary share, at offering price</w:t>
      </w:r>
      <w:r w:rsidR="009D3244" w:rsidRPr="002D2F67">
        <w:rPr>
          <w:rFonts w:ascii="Arial" w:hAnsi="Arial" w:cs="Arial"/>
          <w:color w:val="000000"/>
          <w:lang w:val="en-GB"/>
        </w:rPr>
        <w:t xml:space="preserve"> of Baht </w:t>
      </w:r>
      <w:r w:rsidRPr="00CD5714">
        <w:rPr>
          <w:rFonts w:ascii="Arial" w:hAnsi="Arial" w:cs="Arial"/>
          <w:color w:val="000000"/>
          <w:lang w:val="en-GB"/>
        </w:rPr>
        <w:t>2</w:t>
      </w:r>
      <w:r w:rsidR="009D3244" w:rsidRPr="002D2F67">
        <w:rPr>
          <w:rFonts w:ascii="Arial" w:hAnsi="Arial" w:cs="Arial"/>
          <w:color w:val="000000"/>
          <w:lang w:val="en-GB"/>
        </w:rPr>
        <w:t xml:space="preserve"> per share</w:t>
      </w:r>
      <w:r w:rsidR="006435B8" w:rsidRPr="002D2F67">
        <w:rPr>
          <w:rFonts w:ascii="Arial" w:hAnsi="Arial" w:cs="Arial"/>
          <w:color w:val="000000"/>
          <w:lang w:val="en-GB"/>
        </w:rPr>
        <w:t xml:space="preserve">, totalling Baht </w:t>
      </w:r>
      <w:r w:rsidRPr="00CD5714">
        <w:rPr>
          <w:rFonts w:ascii="Arial" w:hAnsi="Arial" w:cs="Arial"/>
          <w:color w:val="000000"/>
          <w:lang w:val="en-GB"/>
        </w:rPr>
        <w:t>7</w:t>
      </w:r>
      <w:r w:rsidR="006435B8" w:rsidRPr="002D2F67">
        <w:rPr>
          <w:rFonts w:ascii="Arial" w:hAnsi="Arial" w:cs="Arial"/>
          <w:color w:val="000000"/>
          <w:lang w:val="en-GB"/>
        </w:rPr>
        <w:t>,</w:t>
      </w:r>
      <w:r w:rsidRPr="00CD5714">
        <w:rPr>
          <w:rFonts w:ascii="Arial" w:hAnsi="Arial" w:cs="Arial"/>
          <w:color w:val="000000"/>
          <w:lang w:val="en-GB"/>
        </w:rPr>
        <w:t>422</w:t>
      </w:r>
      <w:r w:rsidR="006435B8" w:rsidRPr="002D2F67">
        <w:rPr>
          <w:rFonts w:ascii="Arial" w:hAnsi="Arial" w:cs="Arial"/>
          <w:color w:val="000000"/>
          <w:lang w:val="en-GB"/>
        </w:rPr>
        <w:t xml:space="preserve"> million. </w:t>
      </w:r>
      <w:r w:rsidR="006435B8" w:rsidRPr="002D2F67">
        <w:rPr>
          <w:rFonts w:ascii="Arial" w:hAnsi="Arial" w:cs="Arial"/>
          <w:color w:val="000000"/>
          <w:spacing w:val="-3"/>
        </w:rPr>
        <w:t xml:space="preserve">The Company registered the capital increase with the Ministry of Commerce on </w:t>
      </w:r>
      <w:r w:rsidRPr="00CD5714">
        <w:rPr>
          <w:rFonts w:ascii="Arial" w:hAnsi="Arial" w:cs="Arial"/>
          <w:color w:val="000000"/>
          <w:spacing w:val="-3"/>
          <w:lang w:val="en-GB"/>
        </w:rPr>
        <w:t>28</w:t>
      </w:r>
      <w:r w:rsidR="008C35AB" w:rsidRPr="002D2F67">
        <w:rPr>
          <w:rFonts w:ascii="Arial" w:hAnsi="Arial" w:cs="Arial"/>
          <w:color w:val="000000"/>
          <w:spacing w:val="-3"/>
        </w:rPr>
        <w:t xml:space="preserve"> January</w:t>
      </w:r>
      <w:r w:rsidR="006435B8" w:rsidRPr="002D2F67">
        <w:rPr>
          <w:rFonts w:ascii="Arial" w:hAnsi="Arial" w:cs="Arial"/>
          <w:color w:val="000000"/>
          <w:spacing w:val="-3"/>
        </w:rPr>
        <w:t xml:space="preserve"> </w:t>
      </w:r>
      <w:r w:rsidRPr="00CD5714">
        <w:rPr>
          <w:rFonts w:ascii="Arial" w:hAnsi="Arial" w:cs="Arial"/>
          <w:color w:val="000000"/>
          <w:spacing w:val="-3"/>
          <w:lang w:val="en-GB"/>
        </w:rPr>
        <w:t>2025</w:t>
      </w:r>
      <w:r w:rsidR="006435B8" w:rsidRPr="002D2F67">
        <w:rPr>
          <w:rFonts w:ascii="Arial" w:hAnsi="Arial" w:cs="Arial"/>
          <w:color w:val="000000"/>
          <w:spacing w:val="-3"/>
        </w:rPr>
        <w:t>.</w:t>
      </w:r>
    </w:p>
    <w:p w14:paraId="78E72C2C" w14:textId="77777777" w:rsidR="00951E64" w:rsidRPr="00CD5714" w:rsidRDefault="00951E64" w:rsidP="00950D27">
      <w:pPr>
        <w:pStyle w:val="BodyText"/>
        <w:ind w:left="540" w:right="8" w:hanging="540"/>
        <w:rPr>
          <w:rFonts w:ascii="Arial" w:hAnsi="Arial" w:cs="Arial"/>
          <w:color w:val="000000"/>
          <w:spacing w:val="-6"/>
          <w:sz w:val="16"/>
          <w:szCs w:val="16"/>
        </w:rPr>
      </w:pPr>
    </w:p>
    <w:p w14:paraId="5E49B593" w14:textId="0B52EDE2" w:rsidR="00DB2D05" w:rsidRPr="002D2F67" w:rsidRDefault="00CD5714" w:rsidP="00DB2D05">
      <w:pPr>
        <w:pStyle w:val="BodyText"/>
        <w:ind w:left="540" w:right="8" w:hanging="540"/>
        <w:rPr>
          <w:rFonts w:ascii="Arial" w:hAnsi="Arial" w:cs="Arial"/>
          <w:color w:val="000000"/>
          <w:lang w:val="en-GB"/>
        </w:rPr>
      </w:pPr>
      <w:r w:rsidRPr="00CD5714">
        <w:rPr>
          <w:rFonts w:ascii="Arial" w:hAnsi="Arial" w:cs="Arial"/>
          <w:color w:val="000000"/>
          <w:lang w:val="en-GB"/>
        </w:rPr>
        <w:t>44</w:t>
      </w:r>
      <w:r w:rsidR="00DB2D05" w:rsidRPr="002D2F67">
        <w:rPr>
          <w:rFonts w:ascii="Arial" w:hAnsi="Arial" w:cs="Arial"/>
          <w:color w:val="000000"/>
          <w:lang w:val="en-GB"/>
        </w:rPr>
        <w:t>.</w:t>
      </w:r>
      <w:r w:rsidRPr="00CD5714">
        <w:rPr>
          <w:rFonts w:ascii="Arial" w:hAnsi="Arial" w:cs="Arial"/>
          <w:color w:val="000000"/>
          <w:lang w:val="en-GB"/>
        </w:rPr>
        <w:t>3</w:t>
      </w:r>
      <w:r w:rsidR="00DB2D05" w:rsidRPr="002D2F67">
        <w:rPr>
          <w:rFonts w:ascii="Arial" w:hAnsi="Arial" w:cs="Arial"/>
          <w:color w:val="000000"/>
          <w:lang w:val="en-GB"/>
        </w:rPr>
        <w:tab/>
      </w:r>
      <w:r w:rsidR="00E64AB7" w:rsidRPr="002D2F67">
        <w:rPr>
          <w:rFonts w:ascii="Arial" w:hAnsi="Arial" w:cs="Arial"/>
          <w:color w:val="000000"/>
          <w:lang w:val="en-GB"/>
        </w:rPr>
        <w:t xml:space="preserve">On </w:t>
      </w:r>
      <w:r w:rsidRPr="00CD5714">
        <w:rPr>
          <w:rFonts w:ascii="Arial" w:hAnsi="Arial" w:cs="Arial"/>
          <w:color w:val="000000"/>
          <w:lang w:val="en-GB"/>
        </w:rPr>
        <w:t>31</w:t>
      </w:r>
      <w:r w:rsidR="00E64AB7" w:rsidRPr="002D2F67">
        <w:rPr>
          <w:rFonts w:ascii="Arial" w:hAnsi="Arial" w:cs="Arial"/>
          <w:color w:val="000000"/>
          <w:lang w:val="en-GB"/>
        </w:rPr>
        <w:t xml:space="preserve"> January </w:t>
      </w:r>
      <w:r w:rsidRPr="00CD5714">
        <w:rPr>
          <w:rFonts w:ascii="Arial" w:hAnsi="Arial" w:cs="Arial"/>
          <w:color w:val="000000"/>
          <w:lang w:val="en-GB"/>
        </w:rPr>
        <w:t>2025</w:t>
      </w:r>
      <w:r w:rsidR="00E64AB7" w:rsidRPr="002D2F67">
        <w:rPr>
          <w:rStyle w:val="eop"/>
          <w:rFonts w:ascii="Arial" w:hAnsi="Arial" w:cs="Arial"/>
          <w:color w:val="000000"/>
        </w:rPr>
        <w:t xml:space="preserve"> </w:t>
      </w:r>
      <w:r w:rsidR="005B0448" w:rsidRPr="002D2F67">
        <w:rPr>
          <w:rStyle w:val="eop"/>
          <w:rFonts w:ascii="Arial" w:hAnsi="Arial" w:cs="Arial"/>
          <w:color w:val="000000"/>
        </w:rPr>
        <w:t xml:space="preserve">at </w:t>
      </w:r>
      <w:r w:rsidR="005B0448" w:rsidRPr="002D2F67">
        <w:rPr>
          <w:rFonts w:ascii="Arial" w:hAnsi="Arial" w:cs="Arial"/>
          <w:color w:val="000000"/>
          <w:spacing w:val="-4"/>
          <w:lang w:val="en-GB"/>
        </w:rPr>
        <w:t>the Extraordinary General Shareholders’ Meeting</w:t>
      </w:r>
      <w:r w:rsidR="00E00BE1" w:rsidRPr="002D2F67">
        <w:rPr>
          <w:rFonts w:ascii="Arial" w:hAnsi="Arial" w:cs="Arial"/>
          <w:color w:val="000000"/>
          <w:spacing w:val="-4"/>
          <w:lang w:val="en-GB"/>
        </w:rPr>
        <w:t xml:space="preserve"> No</w:t>
      </w:r>
      <w:r w:rsidR="00C45CB1" w:rsidRPr="002D2F67">
        <w:rPr>
          <w:rFonts w:ascii="Arial" w:hAnsi="Arial" w:cs="Arial"/>
          <w:color w:val="000000"/>
          <w:spacing w:val="-4"/>
          <w:lang w:val="en-GB"/>
        </w:rPr>
        <w:t>.</w:t>
      </w:r>
      <w:r w:rsidRPr="00CD5714">
        <w:rPr>
          <w:rFonts w:ascii="Arial" w:hAnsi="Arial" w:cs="Arial"/>
          <w:color w:val="000000"/>
          <w:spacing w:val="-4"/>
          <w:lang w:val="en-GB"/>
        </w:rPr>
        <w:t>2</w:t>
      </w:r>
      <w:r w:rsidR="00E00BE1" w:rsidRPr="002D2F67">
        <w:rPr>
          <w:rFonts w:ascii="Arial" w:hAnsi="Arial" w:cs="Arial"/>
          <w:color w:val="000000"/>
          <w:spacing w:val="-4"/>
          <w:lang w:val="en-GB"/>
        </w:rPr>
        <w:t>/</w:t>
      </w:r>
      <w:r w:rsidRPr="00CD5714">
        <w:rPr>
          <w:rFonts w:ascii="Arial" w:hAnsi="Arial" w:cs="Arial"/>
          <w:color w:val="000000"/>
          <w:spacing w:val="-4"/>
          <w:lang w:val="en-GB"/>
        </w:rPr>
        <w:t>2025</w:t>
      </w:r>
      <w:r w:rsidR="005B0448" w:rsidRPr="002D2F67">
        <w:rPr>
          <w:rFonts w:ascii="Arial" w:hAnsi="Arial" w:cs="Arial"/>
          <w:color w:val="000000"/>
          <w:lang w:val="en-GB"/>
        </w:rPr>
        <w:t xml:space="preserve">, the shareholders resolved </w:t>
      </w:r>
      <w:r w:rsidR="005B0448" w:rsidRPr="002D2F67">
        <w:rPr>
          <w:rFonts w:ascii="Arial" w:hAnsi="Arial" w:cs="Arial"/>
          <w:color w:val="000000"/>
          <w:spacing w:val="-4"/>
          <w:lang w:val="en-GB"/>
        </w:rPr>
        <w:t xml:space="preserve">to approve the disposal of </w:t>
      </w:r>
      <w:r w:rsidR="00F456BC" w:rsidRPr="002D2F67">
        <w:rPr>
          <w:rFonts w:ascii="Arial" w:hAnsi="Arial" w:cs="Arial"/>
          <w:color w:val="000000"/>
          <w:spacing w:val="-4"/>
          <w:lang w:val="en-GB"/>
        </w:rPr>
        <w:t>assets in the power plant project of EA Solar Phi</w:t>
      </w:r>
      <w:r w:rsidR="006D3B29" w:rsidRPr="002D2F67">
        <w:rPr>
          <w:rFonts w:ascii="Arial" w:hAnsi="Arial" w:cs="Arial"/>
          <w:color w:val="000000"/>
          <w:spacing w:val="-4"/>
          <w:lang w:val="en-GB"/>
        </w:rPr>
        <w:t>t</w:t>
      </w:r>
      <w:r w:rsidR="00F456BC" w:rsidRPr="002D2F67">
        <w:rPr>
          <w:rFonts w:ascii="Arial" w:hAnsi="Arial" w:cs="Arial"/>
          <w:color w:val="000000"/>
          <w:spacing w:val="-4"/>
          <w:lang w:val="en-GB"/>
        </w:rPr>
        <w:t>sanulok Co., Ltd.</w:t>
      </w:r>
      <w:r w:rsidR="000715ED" w:rsidRPr="002D2F67">
        <w:rPr>
          <w:rFonts w:ascii="Arial" w:hAnsi="Arial" w:cs="Arial"/>
          <w:color w:val="000000"/>
          <w:spacing w:val="-4"/>
          <w:lang w:val="en-GB"/>
        </w:rPr>
        <w:t xml:space="preserve">, </w:t>
      </w:r>
      <w:r w:rsidR="005C5E81" w:rsidRPr="002D2F67">
        <w:rPr>
          <w:rFonts w:ascii="Arial" w:hAnsi="Arial" w:cs="Arial"/>
          <w:color w:val="000000"/>
          <w:spacing w:val="-4"/>
          <w:lang w:val="en-GB"/>
        </w:rPr>
        <w:t>an indirec</w:t>
      </w:r>
      <w:r w:rsidR="005C5E81" w:rsidRPr="002D2F67">
        <w:rPr>
          <w:rFonts w:ascii="Arial" w:hAnsi="Arial" w:cs="Arial"/>
          <w:color w:val="000000"/>
          <w:lang w:val="en-GB"/>
        </w:rPr>
        <w:t>t subsidiary</w:t>
      </w:r>
      <w:r w:rsidR="000715ED" w:rsidRPr="002D2F67">
        <w:rPr>
          <w:rFonts w:ascii="Arial" w:hAnsi="Arial" w:cs="Arial"/>
          <w:color w:val="000000"/>
          <w:lang w:val="en-GB"/>
        </w:rPr>
        <w:t>,</w:t>
      </w:r>
      <w:r w:rsidR="005C5E81" w:rsidRPr="002D2F67">
        <w:rPr>
          <w:rFonts w:ascii="Arial" w:hAnsi="Arial" w:cs="Arial"/>
          <w:color w:val="000000"/>
          <w:lang w:val="en-GB"/>
        </w:rPr>
        <w:t xml:space="preserve"> by establishing the framework and principles for the </w:t>
      </w:r>
      <w:r w:rsidR="00790B36" w:rsidRPr="002D2F67">
        <w:rPr>
          <w:rFonts w:ascii="Arial" w:hAnsi="Arial" w:cs="Arial"/>
          <w:color w:val="000000"/>
          <w:lang w:val="en-GB"/>
        </w:rPr>
        <w:t>as</w:t>
      </w:r>
      <w:r w:rsidR="000811F6" w:rsidRPr="002D2F67">
        <w:rPr>
          <w:rFonts w:ascii="Arial" w:hAnsi="Arial" w:cs="Arial"/>
          <w:color w:val="000000"/>
          <w:lang w:val="en-GB"/>
        </w:rPr>
        <w:t xml:space="preserve">set disposal. The </w:t>
      </w:r>
      <w:r w:rsidR="008917E9" w:rsidRPr="002D2F67">
        <w:rPr>
          <w:rFonts w:ascii="Arial" w:hAnsi="Arial" w:cs="Arial"/>
          <w:color w:val="000000"/>
          <w:lang w:val="en-GB"/>
        </w:rPr>
        <w:t xml:space="preserve">selling price of the assets will not be less than Baht </w:t>
      </w:r>
      <w:r w:rsidRPr="00CD5714">
        <w:rPr>
          <w:rFonts w:ascii="Arial" w:hAnsi="Arial" w:cs="Arial"/>
          <w:color w:val="000000"/>
          <w:lang w:val="en-GB"/>
        </w:rPr>
        <w:t>8</w:t>
      </w:r>
      <w:r w:rsidR="008917E9" w:rsidRPr="002D2F67">
        <w:rPr>
          <w:rFonts w:ascii="Arial" w:hAnsi="Arial" w:cs="Arial"/>
          <w:color w:val="000000"/>
          <w:lang w:val="en-GB"/>
        </w:rPr>
        <w:t>,</w:t>
      </w:r>
      <w:r w:rsidRPr="00CD5714">
        <w:rPr>
          <w:rFonts w:ascii="Arial" w:hAnsi="Arial" w:cs="Arial"/>
          <w:color w:val="000000"/>
          <w:lang w:val="en-GB"/>
        </w:rPr>
        <w:t>000</w:t>
      </w:r>
      <w:r w:rsidR="008917E9" w:rsidRPr="002D2F67">
        <w:rPr>
          <w:rFonts w:ascii="Arial" w:hAnsi="Arial" w:cs="Arial"/>
          <w:color w:val="000000"/>
          <w:lang w:val="en-GB"/>
        </w:rPr>
        <w:t xml:space="preserve"> million</w:t>
      </w:r>
      <w:r w:rsidR="00902285" w:rsidRPr="002D2F67">
        <w:rPr>
          <w:rFonts w:ascii="Arial" w:hAnsi="Arial" w:cs="Arial"/>
          <w:color w:val="000000"/>
          <w:lang w:val="en-GB"/>
        </w:rPr>
        <w:t xml:space="preserve"> and the Group or the Company will have the right to repurchase the disposed assets after a </w:t>
      </w:r>
      <w:r w:rsidRPr="00CD5714">
        <w:rPr>
          <w:rFonts w:ascii="Arial" w:hAnsi="Arial" w:cs="Arial"/>
          <w:color w:val="000000"/>
          <w:lang w:val="en-GB"/>
        </w:rPr>
        <w:t>25</w:t>
      </w:r>
      <w:r w:rsidR="00436412" w:rsidRPr="002D2F67">
        <w:rPr>
          <w:rFonts w:ascii="Arial" w:hAnsi="Arial" w:cs="Arial"/>
          <w:color w:val="000000"/>
          <w:lang w:val="en-GB"/>
        </w:rPr>
        <w:t>-year</w:t>
      </w:r>
      <w:r w:rsidR="00902285" w:rsidRPr="002D2F67">
        <w:rPr>
          <w:rFonts w:ascii="Arial" w:hAnsi="Arial" w:cs="Arial"/>
          <w:color w:val="000000"/>
          <w:lang w:val="en-GB"/>
        </w:rPr>
        <w:t xml:space="preserve"> period from the </w:t>
      </w:r>
      <w:r w:rsidR="005D3922" w:rsidRPr="002D2F67">
        <w:rPr>
          <w:rFonts w:ascii="Arial" w:hAnsi="Arial" w:cs="Arial"/>
          <w:color w:val="000000"/>
          <w:lang w:val="en-GB"/>
        </w:rPr>
        <w:t xml:space="preserve">completion of asset disposal date. </w:t>
      </w:r>
      <w:r w:rsidR="005D3922" w:rsidRPr="002D2F67">
        <w:rPr>
          <w:rFonts w:ascii="Arial" w:hAnsi="Arial" w:cs="Arial"/>
          <w:color w:val="000000"/>
          <w:spacing w:val="-2"/>
          <w:lang w:val="en-GB"/>
        </w:rPr>
        <w:t>The share</w:t>
      </w:r>
      <w:r w:rsidR="0088179B" w:rsidRPr="002D2F67">
        <w:rPr>
          <w:rFonts w:ascii="Arial" w:hAnsi="Arial" w:cs="Arial"/>
          <w:color w:val="000000"/>
          <w:spacing w:val="-2"/>
          <w:lang w:val="en-GB"/>
        </w:rPr>
        <w:t>holder authorised the Board of Directors to tak</w:t>
      </w:r>
      <w:r w:rsidR="00436412" w:rsidRPr="002D2F67">
        <w:rPr>
          <w:rFonts w:ascii="Arial" w:hAnsi="Arial" w:cs="Arial"/>
          <w:color w:val="000000"/>
          <w:spacing w:val="-2"/>
          <w:lang w:val="en-GB"/>
        </w:rPr>
        <w:t>e</w:t>
      </w:r>
      <w:r w:rsidR="0088179B" w:rsidRPr="002D2F67">
        <w:rPr>
          <w:rFonts w:ascii="Arial" w:hAnsi="Arial" w:cs="Arial"/>
          <w:color w:val="000000"/>
          <w:spacing w:val="-2"/>
          <w:lang w:val="en-GB"/>
        </w:rPr>
        <w:t xml:space="preserve"> necessary </w:t>
      </w:r>
      <w:r w:rsidR="00D67331" w:rsidRPr="002D2F67">
        <w:rPr>
          <w:rFonts w:ascii="Arial" w:hAnsi="Arial" w:cs="Arial"/>
          <w:color w:val="000000"/>
          <w:spacing w:val="-2"/>
          <w:lang w:val="en-GB"/>
        </w:rPr>
        <w:t>operation</w:t>
      </w:r>
      <w:r w:rsidR="0088179B" w:rsidRPr="002D2F67">
        <w:rPr>
          <w:rFonts w:ascii="Arial" w:hAnsi="Arial" w:cs="Arial"/>
          <w:color w:val="000000"/>
          <w:spacing w:val="-2"/>
          <w:lang w:val="en-GB"/>
        </w:rPr>
        <w:t xml:space="preserve"> relating to the </w:t>
      </w:r>
      <w:r w:rsidR="00436412" w:rsidRPr="002D2F67">
        <w:rPr>
          <w:rFonts w:ascii="Arial" w:hAnsi="Arial" w:cs="Arial"/>
          <w:color w:val="000000"/>
          <w:spacing w:val="-2"/>
          <w:lang w:val="en-GB"/>
        </w:rPr>
        <w:t>dispos</w:t>
      </w:r>
      <w:r w:rsidR="00436412" w:rsidRPr="002D2F67">
        <w:rPr>
          <w:rFonts w:ascii="Arial" w:hAnsi="Arial" w:cs="Arial"/>
          <w:color w:val="000000"/>
          <w:lang w:val="en-GB"/>
        </w:rPr>
        <w:t>al</w:t>
      </w:r>
      <w:r w:rsidR="0088179B" w:rsidRPr="002D2F67">
        <w:rPr>
          <w:rFonts w:ascii="Arial" w:hAnsi="Arial" w:cs="Arial"/>
          <w:color w:val="000000"/>
          <w:lang w:val="en-GB"/>
        </w:rPr>
        <w:t xml:space="preserve"> of such assets.</w:t>
      </w:r>
    </w:p>
    <w:p w14:paraId="2A85E1F8" w14:textId="77777777" w:rsidR="00DB2D05" w:rsidRPr="00CD5714" w:rsidRDefault="00DB2D05" w:rsidP="00DB2D05">
      <w:pPr>
        <w:pStyle w:val="BodyText"/>
        <w:ind w:left="1276" w:right="8" w:hanging="730"/>
        <w:rPr>
          <w:rFonts w:ascii="Arial" w:hAnsi="Arial" w:cs="Arial"/>
          <w:color w:val="000000"/>
          <w:sz w:val="16"/>
          <w:szCs w:val="16"/>
          <w:lang w:val="en-GB"/>
        </w:rPr>
      </w:pPr>
    </w:p>
    <w:p w14:paraId="3E681843" w14:textId="17392346" w:rsidR="00C35AB5" w:rsidRPr="002D2F67" w:rsidRDefault="00CD5714" w:rsidP="00C35AB5">
      <w:pPr>
        <w:pStyle w:val="BodyText"/>
        <w:ind w:left="540" w:right="8" w:hanging="540"/>
        <w:rPr>
          <w:rFonts w:ascii="Arial" w:hAnsi="Arial" w:cs="Arial"/>
          <w:color w:val="000000"/>
          <w:lang w:val="en-GB"/>
        </w:rPr>
      </w:pPr>
      <w:r w:rsidRPr="00CD5714">
        <w:rPr>
          <w:rFonts w:ascii="Arial" w:hAnsi="Arial" w:cs="Arial"/>
          <w:color w:val="000000"/>
          <w:lang w:val="en-GB"/>
        </w:rPr>
        <w:t>44</w:t>
      </w:r>
      <w:r w:rsidR="00DB2D05" w:rsidRPr="002D2F67">
        <w:rPr>
          <w:rFonts w:ascii="Arial" w:hAnsi="Arial" w:cs="Arial"/>
          <w:color w:val="000000"/>
          <w:lang w:val="en-GB"/>
        </w:rPr>
        <w:t>.</w:t>
      </w:r>
      <w:r w:rsidRPr="00CD5714">
        <w:rPr>
          <w:rFonts w:ascii="Arial" w:hAnsi="Arial" w:cs="Arial"/>
          <w:color w:val="000000"/>
          <w:lang w:val="en-GB"/>
        </w:rPr>
        <w:t>4</w:t>
      </w:r>
      <w:r w:rsidR="00DB2D05" w:rsidRPr="002D2F67">
        <w:rPr>
          <w:rFonts w:ascii="Arial" w:hAnsi="Arial" w:cs="Arial"/>
          <w:color w:val="000000"/>
          <w:lang w:val="en-GB"/>
        </w:rPr>
        <w:tab/>
      </w:r>
      <w:r w:rsidR="005B35BD" w:rsidRPr="002D2F67">
        <w:rPr>
          <w:rStyle w:val="eop"/>
          <w:rFonts w:ascii="Arial" w:hAnsi="Arial" w:cs="Arial"/>
          <w:color w:val="000000"/>
          <w:spacing w:val="-4"/>
        </w:rPr>
        <w:t>From</w:t>
      </w:r>
      <w:r w:rsidR="00237CC6" w:rsidRPr="002D2F67">
        <w:rPr>
          <w:rStyle w:val="eop"/>
          <w:rFonts w:ascii="Arial" w:hAnsi="Arial" w:cs="Arial"/>
          <w:color w:val="000000"/>
          <w:spacing w:val="-4"/>
        </w:rPr>
        <w:t xml:space="preserve"> </w:t>
      </w:r>
      <w:r w:rsidRPr="00CD5714">
        <w:rPr>
          <w:rStyle w:val="eop"/>
          <w:rFonts w:ascii="Arial" w:hAnsi="Arial" w:cs="Arial"/>
          <w:color w:val="000000"/>
          <w:spacing w:val="-4"/>
          <w:lang w:val="en-GB"/>
        </w:rPr>
        <w:t>27</w:t>
      </w:r>
      <w:r w:rsidR="00237CC6" w:rsidRPr="002D2F67">
        <w:rPr>
          <w:rStyle w:val="eop"/>
          <w:rFonts w:ascii="Arial" w:hAnsi="Arial" w:cs="Arial"/>
          <w:color w:val="000000"/>
          <w:spacing w:val="-4"/>
        </w:rPr>
        <w:t xml:space="preserve"> January </w:t>
      </w:r>
      <w:r w:rsidRPr="00CD5714">
        <w:rPr>
          <w:rStyle w:val="eop"/>
          <w:rFonts w:ascii="Arial" w:hAnsi="Arial" w:cs="Arial"/>
          <w:color w:val="000000"/>
          <w:spacing w:val="-4"/>
          <w:lang w:val="en-GB"/>
        </w:rPr>
        <w:t>2025</w:t>
      </w:r>
      <w:r w:rsidR="00237CC6" w:rsidRPr="002D2F67">
        <w:rPr>
          <w:rStyle w:val="eop"/>
          <w:rFonts w:ascii="Arial" w:hAnsi="Arial" w:cs="Arial"/>
          <w:color w:val="000000"/>
          <w:spacing w:val="-4"/>
        </w:rPr>
        <w:t xml:space="preserve"> to </w:t>
      </w:r>
      <w:r w:rsidRPr="00CD5714">
        <w:rPr>
          <w:rStyle w:val="eop"/>
          <w:rFonts w:ascii="Arial" w:hAnsi="Arial" w:cs="Arial"/>
          <w:color w:val="000000"/>
          <w:spacing w:val="-4"/>
          <w:lang w:val="en-GB"/>
        </w:rPr>
        <w:t>31</w:t>
      </w:r>
      <w:r w:rsidR="00237CC6" w:rsidRPr="002D2F67">
        <w:rPr>
          <w:rStyle w:val="eop"/>
          <w:rFonts w:ascii="Arial" w:hAnsi="Arial" w:cs="Arial"/>
          <w:color w:val="000000"/>
          <w:spacing w:val="-4"/>
        </w:rPr>
        <w:t xml:space="preserve"> January</w:t>
      </w:r>
      <w:r w:rsidR="00465CA1" w:rsidRPr="002D2F67">
        <w:rPr>
          <w:rStyle w:val="eop"/>
          <w:rFonts w:ascii="Arial" w:hAnsi="Arial" w:cs="Arial"/>
          <w:color w:val="000000"/>
          <w:spacing w:val="-4"/>
        </w:rPr>
        <w:t xml:space="preserve"> </w:t>
      </w:r>
      <w:r w:rsidRPr="00CD5714">
        <w:rPr>
          <w:rStyle w:val="eop"/>
          <w:rFonts w:ascii="Arial" w:hAnsi="Arial" w:cs="Arial"/>
          <w:color w:val="000000"/>
          <w:spacing w:val="-4"/>
          <w:lang w:val="en-GB"/>
        </w:rPr>
        <w:t>2025</w:t>
      </w:r>
      <w:r w:rsidR="00465CA1" w:rsidRPr="002D2F67">
        <w:rPr>
          <w:rStyle w:val="eop"/>
          <w:rFonts w:ascii="Arial" w:hAnsi="Arial" w:cs="Arial"/>
          <w:color w:val="000000"/>
          <w:spacing w:val="-4"/>
        </w:rPr>
        <w:t>, the Group acquired additional ordinary shares of N</w:t>
      </w:r>
      <w:r w:rsidR="005B35BD" w:rsidRPr="002D2F67">
        <w:rPr>
          <w:rStyle w:val="eop"/>
          <w:rFonts w:ascii="Arial" w:hAnsi="Arial" w:cs="Arial"/>
          <w:color w:val="000000"/>
          <w:spacing w:val="-4"/>
        </w:rPr>
        <w:t>ex</w:t>
      </w:r>
      <w:r w:rsidR="000715ED" w:rsidRPr="002D2F67">
        <w:rPr>
          <w:rStyle w:val="eop"/>
          <w:rFonts w:ascii="Arial" w:hAnsi="Arial" w:cs="Arial"/>
          <w:color w:val="000000"/>
          <w:spacing w:val="-4"/>
        </w:rPr>
        <w:t xml:space="preserve"> Point P</w:t>
      </w:r>
      <w:r w:rsidR="005B35BD" w:rsidRPr="002D2F67">
        <w:rPr>
          <w:rStyle w:val="eop"/>
          <w:rFonts w:ascii="Arial" w:hAnsi="Arial" w:cs="Arial"/>
          <w:color w:val="000000"/>
          <w:spacing w:val="-4"/>
        </w:rPr>
        <w:t>ublic Co., Ltd.</w:t>
      </w:r>
      <w:r w:rsidR="000715ED" w:rsidRPr="002D2F67">
        <w:rPr>
          <w:rStyle w:val="eop"/>
          <w:rFonts w:ascii="Arial" w:hAnsi="Arial" w:cs="Arial"/>
          <w:color w:val="000000"/>
          <w:spacing w:val="-4"/>
        </w:rPr>
        <w:t xml:space="preserve"> (NEX), an indirect associate</w:t>
      </w:r>
      <w:r w:rsidR="005B35BD" w:rsidRPr="002D2F67">
        <w:rPr>
          <w:rStyle w:val="eop"/>
          <w:rFonts w:ascii="Arial" w:hAnsi="Arial" w:cs="Arial"/>
          <w:color w:val="000000"/>
          <w:spacing w:val="-4"/>
        </w:rPr>
        <w:t xml:space="preserve"> </w:t>
      </w:r>
      <w:r w:rsidR="006D3B29" w:rsidRPr="002D2F67">
        <w:rPr>
          <w:rStyle w:val="eop"/>
          <w:rFonts w:ascii="Arial" w:hAnsi="Arial" w:cs="Arial"/>
          <w:color w:val="000000"/>
          <w:spacing w:val="-4"/>
        </w:rPr>
        <w:t>for</w:t>
      </w:r>
      <w:r w:rsidR="003D375A" w:rsidRPr="002D2F67">
        <w:rPr>
          <w:rStyle w:val="eop"/>
          <w:rFonts w:ascii="Arial" w:hAnsi="Arial" w:cs="Arial"/>
          <w:color w:val="000000"/>
          <w:spacing w:val="-4"/>
        </w:rPr>
        <w:t xml:space="preserve"> </w:t>
      </w:r>
      <w:r w:rsidRPr="00CD5714">
        <w:rPr>
          <w:rStyle w:val="eop"/>
          <w:rFonts w:ascii="Arial" w:hAnsi="Arial" w:cs="Arial"/>
          <w:color w:val="000000"/>
          <w:spacing w:val="-4"/>
          <w:lang w:val="en-GB"/>
        </w:rPr>
        <w:t>666</w:t>
      </w:r>
      <w:r w:rsidR="00237CC6" w:rsidRPr="002D2F67">
        <w:rPr>
          <w:rStyle w:val="eop"/>
          <w:rFonts w:ascii="Arial" w:hAnsi="Arial" w:cs="Arial"/>
          <w:color w:val="000000"/>
          <w:spacing w:val="-4"/>
        </w:rPr>
        <w:t>,</w:t>
      </w:r>
      <w:r w:rsidRPr="00CD5714">
        <w:rPr>
          <w:rStyle w:val="eop"/>
          <w:rFonts w:ascii="Arial" w:hAnsi="Arial" w:cs="Arial"/>
          <w:color w:val="000000"/>
          <w:spacing w:val="-4"/>
          <w:lang w:val="en-GB"/>
        </w:rPr>
        <w:t>618</w:t>
      </w:r>
      <w:r w:rsidR="00237CC6" w:rsidRPr="002D2F67">
        <w:rPr>
          <w:rStyle w:val="eop"/>
          <w:rFonts w:ascii="Arial" w:hAnsi="Arial" w:cs="Arial"/>
          <w:color w:val="000000"/>
          <w:spacing w:val="-4"/>
        </w:rPr>
        <w:t>,</w:t>
      </w:r>
      <w:r w:rsidRPr="00CD5714">
        <w:rPr>
          <w:rStyle w:val="eop"/>
          <w:rFonts w:ascii="Arial" w:hAnsi="Arial" w:cs="Arial"/>
          <w:color w:val="000000"/>
          <w:spacing w:val="-4"/>
          <w:lang w:val="en-GB"/>
        </w:rPr>
        <w:t>469</w:t>
      </w:r>
      <w:r w:rsidR="003D375A" w:rsidRPr="002D2F67">
        <w:rPr>
          <w:rStyle w:val="eop"/>
          <w:rFonts w:ascii="Arial" w:hAnsi="Arial" w:cs="Arial"/>
          <w:color w:val="000000"/>
          <w:spacing w:val="-4"/>
        </w:rPr>
        <w:t xml:space="preserve"> shares, </w:t>
      </w:r>
      <w:r w:rsidR="00590B23" w:rsidRPr="002D2F67">
        <w:rPr>
          <w:rStyle w:val="eop"/>
          <w:rFonts w:ascii="Arial" w:hAnsi="Arial" w:cs="Arial"/>
          <w:color w:val="000000"/>
          <w:spacing w:val="-4"/>
        </w:rPr>
        <w:t xml:space="preserve">at a purchase price of Baht </w:t>
      </w:r>
      <w:r w:rsidRPr="00CD5714">
        <w:rPr>
          <w:rStyle w:val="eop"/>
          <w:rFonts w:ascii="Arial" w:hAnsi="Arial" w:cs="Arial"/>
          <w:color w:val="000000"/>
          <w:spacing w:val="-4"/>
          <w:lang w:val="en-GB"/>
        </w:rPr>
        <w:t>1</w:t>
      </w:r>
      <w:r w:rsidR="00590B23" w:rsidRPr="002D2F67">
        <w:rPr>
          <w:rStyle w:val="eop"/>
          <w:rFonts w:ascii="Arial" w:hAnsi="Arial" w:cs="Arial"/>
          <w:color w:val="000000"/>
          <w:spacing w:val="-4"/>
        </w:rPr>
        <w:t xml:space="preserve"> per share</w:t>
      </w:r>
      <w:r w:rsidR="005B35BD" w:rsidRPr="002D2F67">
        <w:rPr>
          <w:rStyle w:val="eop"/>
          <w:rFonts w:ascii="Arial" w:hAnsi="Arial" w:cs="Arial"/>
          <w:color w:val="000000"/>
          <w:spacing w:val="-4"/>
        </w:rPr>
        <w:t>, totalling</w:t>
      </w:r>
      <w:r w:rsidR="00590B23" w:rsidRPr="002D2F67">
        <w:rPr>
          <w:rStyle w:val="eop"/>
          <w:rFonts w:ascii="Arial" w:hAnsi="Arial" w:cs="Arial"/>
          <w:color w:val="000000"/>
          <w:spacing w:val="-4"/>
        </w:rPr>
        <w:t xml:space="preserve"> Baht </w:t>
      </w:r>
      <w:r w:rsidRPr="00CD5714">
        <w:rPr>
          <w:rStyle w:val="eop"/>
          <w:rFonts w:ascii="Arial" w:hAnsi="Arial" w:cs="Arial"/>
          <w:color w:val="000000"/>
          <w:spacing w:val="-4"/>
          <w:lang w:val="en-GB"/>
        </w:rPr>
        <w:t>667</w:t>
      </w:r>
      <w:r w:rsidR="00590B23" w:rsidRPr="002D2F67">
        <w:rPr>
          <w:rStyle w:val="eop"/>
          <w:rFonts w:ascii="Arial" w:hAnsi="Arial" w:cs="Arial"/>
          <w:color w:val="000000"/>
          <w:spacing w:val="-4"/>
        </w:rPr>
        <w:t xml:space="preserve"> million. This acquisition increased </w:t>
      </w:r>
      <w:r w:rsidR="00590B23" w:rsidRPr="002D2F67">
        <w:rPr>
          <w:rFonts w:ascii="Arial" w:hAnsi="Arial" w:cs="Arial"/>
          <w:color w:val="000000"/>
          <w:lang w:val="en-GB"/>
        </w:rPr>
        <w:t xml:space="preserve">the Group's shareholding </w:t>
      </w:r>
      <w:r w:rsidR="005B35BD" w:rsidRPr="002D2F67">
        <w:rPr>
          <w:rFonts w:ascii="Arial" w:hAnsi="Arial" w:cs="Arial"/>
          <w:color w:val="000000"/>
          <w:lang w:val="en-GB"/>
        </w:rPr>
        <w:t>interests</w:t>
      </w:r>
      <w:r w:rsidR="00590B23" w:rsidRPr="002D2F67">
        <w:rPr>
          <w:rFonts w:ascii="Arial" w:hAnsi="Arial" w:cs="Arial"/>
          <w:color w:val="000000"/>
          <w:lang w:val="en-GB"/>
        </w:rPr>
        <w:t xml:space="preserve"> in NEX from </w:t>
      </w:r>
      <w:r w:rsidRPr="00CD5714">
        <w:rPr>
          <w:rFonts w:ascii="Arial" w:hAnsi="Arial" w:cs="Arial"/>
          <w:color w:val="000000"/>
          <w:lang w:val="en-GB"/>
        </w:rPr>
        <w:t>33</w:t>
      </w:r>
      <w:r w:rsidR="00237CC6" w:rsidRPr="002D2F67">
        <w:rPr>
          <w:rFonts w:ascii="Arial" w:hAnsi="Arial" w:cs="Arial"/>
          <w:color w:val="000000"/>
          <w:lang w:val="en-GB"/>
        </w:rPr>
        <w:t>.</w:t>
      </w:r>
      <w:r w:rsidRPr="00CD5714">
        <w:rPr>
          <w:rFonts w:ascii="Arial" w:hAnsi="Arial" w:cs="Arial"/>
          <w:color w:val="000000"/>
          <w:lang w:val="en-GB"/>
        </w:rPr>
        <w:t>58</w:t>
      </w:r>
      <w:r w:rsidR="000848B4" w:rsidRPr="002D2F67">
        <w:rPr>
          <w:rFonts w:ascii="Arial" w:hAnsi="Arial" w:cs="Arial"/>
          <w:color w:val="000000"/>
          <w:lang w:val="en-GB"/>
        </w:rPr>
        <w:t xml:space="preserve">% to </w:t>
      </w:r>
      <w:r w:rsidRPr="00CD5714">
        <w:rPr>
          <w:rFonts w:ascii="Arial" w:hAnsi="Arial" w:cs="Arial"/>
          <w:color w:val="000000"/>
          <w:lang w:val="en-GB"/>
        </w:rPr>
        <w:t>49</w:t>
      </w:r>
      <w:r w:rsidR="00237CC6" w:rsidRPr="002D2F67">
        <w:rPr>
          <w:rFonts w:ascii="Arial" w:hAnsi="Arial" w:cs="Arial"/>
          <w:color w:val="000000"/>
          <w:lang w:val="en-GB"/>
        </w:rPr>
        <w:t>.</w:t>
      </w:r>
      <w:r w:rsidRPr="00CD5714">
        <w:rPr>
          <w:rFonts w:ascii="Arial" w:hAnsi="Arial" w:cs="Arial"/>
          <w:color w:val="000000"/>
          <w:lang w:val="en-GB"/>
        </w:rPr>
        <w:t>99</w:t>
      </w:r>
      <w:r w:rsidR="000848B4" w:rsidRPr="002D2F67">
        <w:rPr>
          <w:rFonts w:ascii="Arial" w:hAnsi="Arial" w:cs="Arial"/>
          <w:color w:val="000000"/>
          <w:lang w:val="en-GB"/>
        </w:rPr>
        <w:t>% of issued and paid-up capital</w:t>
      </w:r>
      <w:r w:rsidR="00237CC6" w:rsidRPr="002D2F67">
        <w:rPr>
          <w:rFonts w:ascii="Arial" w:hAnsi="Arial" w:cs="Arial"/>
          <w:color w:val="000000"/>
          <w:lang w:val="en-GB"/>
        </w:rPr>
        <w:t>. NEX</w:t>
      </w:r>
      <w:r w:rsidR="008D5696" w:rsidRPr="002D2F67">
        <w:rPr>
          <w:rFonts w:ascii="Arial" w:hAnsi="Arial" w:cs="Arial"/>
          <w:color w:val="000000"/>
          <w:cs/>
          <w:lang w:val="en-GB"/>
        </w:rPr>
        <w:t xml:space="preserve"> </w:t>
      </w:r>
      <w:r w:rsidR="00A6031F" w:rsidRPr="002D2F67">
        <w:rPr>
          <w:rFonts w:ascii="Arial" w:hAnsi="Arial" w:cs="Arial"/>
          <w:color w:val="000000"/>
          <w:lang w:val="en-GB"/>
        </w:rPr>
        <w:t xml:space="preserve">registered the capital increase with the Ministry of Commerce on </w:t>
      </w:r>
      <w:r w:rsidRPr="00CD5714">
        <w:rPr>
          <w:rFonts w:ascii="Arial" w:hAnsi="Arial" w:cs="Arial"/>
          <w:color w:val="000000"/>
          <w:lang w:val="en-GB"/>
        </w:rPr>
        <w:t>17</w:t>
      </w:r>
      <w:r w:rsidR="00A6031F" w:rsidRPr="002D2F67">
        <w:rPr>
          <w:rFonts w:ascii="Arial" w:hAnsi="Arial" w:cs="Arial"/>
          <w:color w:val="000000"/>
          <w:lang w:val="en-GB"/>
        </w:rPr>
        <w:t xml:space="preserve"> February </w:t>
      </w:r>
      <w:r w:rsidRPr="00CD5714">
        <w:rPr>
          <w:rFonts w:ascii="Arial" w:hAnsi="Arial" w:cs="Arial"/>
          <w:color w:val="000000"/>
          <w:lang w:val="en-GB"/>
        </w:rPr>
        <w:t>2025</w:t>
      </w:r>
      <w:r w:rsidR="00A6031F" w:rsidRPr="002D2F67">
        <w:rPr>
          <w:rFonts w:ascii="Arial" w:hAnsi="Arial" w:cs="Arial"/>
          <w:color w:val="000000"/>
          <w:lang w:val="en-GB"/>
        </w:rPr>
        <w:t>.</w:t>
      </w:r>
      <w:r w:rsidR="00725032" w:rsidRPr="002D2F67">
        <w:rPr>
          <w:rFonts w:ascii="Arial" w:hAnsi="Arial" w:cs="Arial"/>
          <w:color w:val="000000"/>
          <w:lang w:val="en-GB"/>
        </w:rPr>
        <w:t xml:space="preserve"> After the acquisition of additional ordinary shares</w:t>
      </w:r>
      <w:r w:rsidR="007204B3" w:rsidRPr="002D2F67">
        <w:rPr>
          <w:rFonts w:ascii="Arial" w:hAnsi="Arial" w:cs="Arial"/>
          <w:color w:val="000000"/>
          <w:lang w:val="en-GB"/>
        </w:rPr>
        <w:t xml:space="preserve">, the </w:t>
      </w:r>
      <w:r w:rsidR="0000335B" w:rsidRPr="002D2F67">
        <w:rPr>
          <w:rFonts w:ascii="Arial" w:hAnsi="Arial" w:cs="Arial"/>
          <w:color w:val="000000"/>
          <w:lang w:val="en-GB"/>
        </w:rPr>
        <w:t xml:space="preserve">Group has control over NEX </w:t>
      </w:r>
      <w:r w:rsidR="00992BBE" w:rsidRPr="002D2F67">
        <w:rPr>
          <w:rFonts w:ascii="Arial" w:hAnsi="Arial" w:cs="Arial"/>
          <w:color w:val="000000"/>
          <w:lang w:val="en-GB"/>
        </w:rPr>
        <w:t xml:space="preserve">in decision making on financial </w:t>
      </w:r>
      <w:r w:rsidR="0000335B" w:rsidRPr="002D2F67">
        <w:rPr>
          <w:rFonts w:ascii="Arial" w:hAnsi="Arial" w:cs="Arial"/>
          <w:color w:val="000000"/>
          <w:lang w:val="en-GB"/>
        </w:rPr>
        <w:t xml:space="preserve">and </w:t>
      </w:r>
      <w:r w:rsidR="00992BBE" w:rsidRPr="002D2F67">
        <w:rPr>
          <w:rFonts w:ascii="Arial" w:hAnsi="Arial" w:cs="Arial"/>
          <w:color w:val="000000"/>
          <w:lang w:val="en-GB"/>
        </w:rPr>
        <w:t xml:space="preserve">operational policies. Consequently, </w:t>
      </w:r>
      <w:r w:rsidR="00992BBE" w:rsidRPr="002D2F67">
        <w:rPr>
          <w:rFonts w:ascii="Arial" w:hAnsi="Arial" w:cs="Arial"/>
          <w:color w:val="000000"/>
          <w:spacing w:val="-4"/>
          <w:lang w:val="en-GB"/>
        </w:rPr>
        <w:t xml:space="preserve">the </w:t>
      </w:r>
      <w:r w:rsidR="000C657C" w:rsidRPr="002D2F67">
        <w:rPr>
          <w:rFonts w:ascii="Arial" w:hAnsi="Arial" w:cs="Arial"/>
          <w:color w:val="000000"/>
          <w:spacing w:val="-4"/>
          <w:lang w:val="en-GB"/>
        </w:rPr>
        <w:t xml:space="preserve">Company </w:t>
      </w:r>
      <w:r w:rsidR="0000335B" w:rsidRPr="002D2F67">
        <w:rPr>
          <w:rFonts w:ascii="Arial" w:hAnsi="Arial" w:cs="Arial"/>
          <w:color w:val="000000"/>
          <w:spacing w:val="-4"/>
          <w:lang w:val="en-GB"/>
        </w:rPr>
        <w:t xml:space="preserve">classified the investment in NEX as </w:t>
      </w:r>
      <w:r w:rsidR="00AF1804" w:rsidRPr="002D2F67">
        <w:rPr>
          <w:rFonts w:ascii="Arial" w:hAnsi="Arial" w:cs="Arial"/>
          <w:color w:val="000000"/>
          <w:spacing w:val="-4"/>
          <w:lang w:val="en-GB"/>
        </w:rPr>
        <w:t>investment</w:t>
      </w:r>
      <w:r w:rsidR="002F1C8D" w:rsidRPr="002D2F67">
        <w:rPr>
          <w:rFonts w:ascii="Arial" w:hAnsi="Arial" w:cs="Arial"/>
          <w:color w:val="000000"/>
          <w:spacing w:val="-4"/>
          <w:lang w:val="en-GB"/>
        </w:rPr>
        <w:t xml:space="preserve"> in subsidiaries </w:t>
      </w:r>
      <w:r w:rsidR="00992BBE" w:rsidRPr="002D2F67">
        <w:rPr>
          <w:rFonts w:ascii="Arial" w:hAnsi="Arial" w:cs="Arial"/>
          <w:color w:val="000000"/>
          <w:spacing w:val="-4"/>
          <w:lang w:val="en-GB"/>
        </w:rPr>
        <w:t>after the reporting period</w:t>
      </w:r>
      <w:r w:rsidR="002F1C8D" w:rsidRPr="002D2F67">
        <w:rPr>
          <w:rFonts w:ascii="Arial" w:hAnsi="Arial" w:cs="Arial"/>
          <w:color w:val="000000"/>
          <w:lang w:val="en-GB"/>
        </w:rPr>
        <w:t>.</w:t>
      </w:r>
    </w:p>
    <w:p w14:paraId="2352FA60" w14:textId="7AF70527" w:rsidR="00DB2D05" w:rsidRPr="00CD5714" w:rsidRDefault="00DB2D05" w:rsidP="00C35AB5">
      <w:pPr>
        <w:pStyle w:val="BodyText"/>
        <w:ind w:right="8"/>
        <w:rPr>
          <w:rFonts w:ascii="Arial" w:hAnsi="Arial" w:cs="Arial"/>
          <w:color w:val="000000"/>
          <w:sz w:val="16"/>
          <w:szCs w:val="16"/>
          <w:lang w:val="en-GB"/>
        </w:rPr>
      </w:pPr>
    </w:p>
    <w:p w14:paraId="621A99AB" w14:textId="77777777" w:rsidR="00CD5714" w:rsidRPr="00CD5714" w:rsidRDefault="00CD5714" w:rsidP="00C35AB5">
      <w:pPr>
        <w:pStyle w:val="BodyText"/>
        <w:ind w:right="8"/>
        <w:rPr>
          <w:rFonts w:ascii="Arial" w:hAnsi="Arial" w:cs="Arial"/>
          <w:color w:val="000000"/>
          <w:sz w:val="16"/>
          <w:szCs w:val="16"/>
          <w:lang w:val="en-GB"/>
        </w:rPr>
      </w:pPr>
    </w:p>
    <w:bookmarkEnd w:id="10"/>
    <w:p w14:paraId="3AE6E56C" w14:textId="61A803A7" w:rsidR="00FF0F35" w:rsidRPr="002D2F67" w:rsidRDefault="00CD5714" w:rsidP="00AB5B46">
      <w:pPr>
        <w:pStyle w:val="HeadSub6EA"/>
        <w:spacing w:line="324" w:lineRule="auto"/>
        <w:outlineLvl w:val="0"/>
        <w:rPr>
          <w:rFonts w:ascii="Arial" w:hAnsi="Arial" w:cs="Arial"/>
          <w:b/>
          <w:bCs/>
          <w:color w:val="000000"/>
          <w:sz w:val="20"/>
          <w:szCs w:val="20"/>
        </w:rPr>
      </w:pPr>
      <w:r w:rsidRPr="00CD5714">
        <w:rPr>
          <w:rFonts w:ascii="Arial" w:hAnsi="Arial" w:cs="Arial"/>
          <w:b/>
          <w:bCs/>
          <w:color w:val="000000"/>
          <w:sz w:val="20"/>
          <w:szCs w:val="20"/>
          <w:lang w:val="en-GB"/>
        </w:rPr>
        <w:t>45</w:t>
      </w:r>
      <w:r w:rsidR="00AB5B46" w:rsidRPr="002D2F67">
        <w:rPr>
          <w:rFonts w:ascii="Arial" w:hAnsi="Arial" w:cs="Arial"/>
          <w:b/>
          <w:bCs/>
          <w:color w:val="000000"/>
          <w:sz w:val="20"/>
          <w:szCs w:val="20"/>
          <w:cs/>
        </w:rPr>
        <w:tab/>
      </w:r>
      <w:r w:rsidR="00FF0F35" w:rsidRPr="002D2F67">
        <w:rPr>
          <w:rFonts w:ascii="Arial" w:hAnsi="Arial" w:cs="Arial"/>
          <w:b/>
          <w:bCs/>
          <w:color w:val="000000"/>
          <w:sz w:val="20"/>
          <w:szCs w:val="20"/>
        </w:rPr>
        <w:t>Reclassification</w:t>
      </w:r>
    </w:p>
    <w:p w14:paraId="46FC3CFF" w14:textId="77777777" w:rsidR="00FF0F35" w:rsidRPr="00CD5714" w:rsidRDefault="00FF0F35" w:rsidP="00FF0F35">
      <w:pPr>
        <w:jc w:val="thaiDistribute"/>
        <w:rPr>
          <w:rFonts w:ascii="Arial" w:hAnsi="Arial" w:cs="Arial"/>
          <w:color w:val="000000"/>
          <w:sz w:val="16"/>
          <w:szCs w:val="16"/>
        </w:rPr>
      </w:pPr>
    </w:p>
    <w:p w14:paraId="55BCD788" w14:textId="0FB55764" w:rsidR="00FF0F35" w:rsidRPr="002D2F67" w:rsidRDefault="00FF0F35" w:rsidP="00FF0F35">
      <w:pPr>
        <w:jc w:val="thaiDistribute"/>
        <w:rPr>
          <w:rFonts w:ascii="Arial" w:hAnsi="Arial" w:cs="Arial"/>
          <w:color w:val="000000"/>
          <w:sz w:val="20"/>
          <w:szCs w:val="20"/>
        </w:rPr>
      </w:pPr>
      <w:r w:rsidRPr="002D2F67">
        <w:rPr>
          <w:rFonts w:ascii="Arial" w:hAnsi="Arial" w:cs="Arial"/>
          <w:color w:val="000000"/>
          <w:spacing w:val="-2"/>
          <w:sz w:val="20"/>
          <w:szCs w:val="20"/>
        </w:rPr>
        <w:t xml:space="preserve">Certain figures in the comparative information </w:t>
      </w:r>
      <w:r w:rsidR="008F6727" w:rsidRPr="002D2F67">
        <w:rPr>
          <w:rFonts w:ascii="Arial" w:hAnsi="Arial" w:cs="Arial"/>
          <w:color w:val="000000"/>
          <w:spacing w:val="-2"/>
          <w:sz w:val="20"/>
          <w:szCs w:val="20"/>
        </w:rPr>
        <w:t xml:space="preserve">in </w:t>
      </w:r>
      <w:r w:rsidR="00B77E55" w:rsidRPr="002D2F67">
        <w:rPr>
          <w:rFonts w:ascii="Arial" w:hAnsi="Arial" w:cs="Arial"/>
          <w:color w:val="000000"/>
          <w:spacing w:val="-2"/>
          <w:sz w:val="20"/>
          <w:szCs w:val="20"/>
        </w:rPr>
        <w:t xml:space="preserve">the </w:t>
      </w:r>
      <w:r w:rsidR="008F6727" w:rsidRPr="002D2F67">
        <w:rPr>
          <w:rFonts w:ascii="Arial" w:hAnsi="Arial" w:cs="Arial"/>
          <w:color w:val="000000"/>
          <w:spacing w:val="-2"/>
          <w:sz w:val="20"/>
          <w:szCs w:val="20"/>
        </w:rPr>
        <w:t xml:space="preserve">statement of comprehensive income </w:t>
      </w:r>
      <w:r w:rsidR="00111913" w:rsidRPr="002D2F67">
        <w:rPr>
          <w:rFonts w:ascii="Arial" w:hAnsi="Arial" w:cs="Arial"/>
          <w:color w:val="000000"/>
          <w:spacing w:val="-2"/>
          <w:sz w:val="20"/>
          <w:szCs w:val="20"/>
        </w:rPr>
        <w:t>for the year then ended</w:t>
      </w:r>
      <w:r w:rsidR="00111913" w:rsidRPr="002D2F67">
        <w:rPr>
          <w:rFonts w:ascii="Arial" w:hAnsi="Arial" w:cs="Arial"/>
          <w:color w:val="000000"/>
          <w:sz w:val="20"/>
          <w:szCs w:val="20"/>
        </w:rPr>
        <w:t xml:space="preserve"> </w:t>
      </w:r>
      <w:r w:rsidR="00CD5714" w:rsidRPr="00CD5714">
        <w:rPr>
          <w:rFonts w:ascii="Arial" w:hAnsi="Arial" w:cs="Arial"/>
          <w:color w:val="000000"/>
          <w:spacing w:val="-4"/>
          <w:sz w:val="20"/>
          <w:szCs w:val="20"/>
          <w:lang w:val="en-GB"/>
        </w:rPr>
        <w:t>31</w:t>
      </w:r>
      <w:r w:rsidR="00111913" w:rsidRPr="002D2F67">
        <w:rPr>
          <w:rFonts w:ascii="Arial" w:hAnsi="Arial" w:cs="Arial"/>
          <w:color w:val="000000"/>
          <w:spacing w:val="-4"/>
          <w:sz w:val="20"/>
          <w:szCs w:val="20"/>
        </w:rPr>
        <w:t xml:space="preserve"> December </w:t>
      </w:r>
      <w:r w:rsidR="00CD5714" w:rsidRPr="00CD5714">
        <w:rPr>
          <w:rFonts w:ascii="Arial" w:hAnsi="Arial" w:cs="Arial"/>
          <w:color w:val="000000"/>
          <w:spacing w:val="-4"/>
          <w:sz w:val="20"/>
          <w:szCs w:val="20"/>
          <w:lang w:val="en-GB"/>
        </w:rPr>
        <w:t>2023</w:t>
      </w:r>
      <w:r w:rsidR="008F6727" w:rsidRPr="002D2F67">
        <w:rPr>
          <w:rFonts w:ascii="Arial" w:hAnsi="Arial" w:cs="Arial"/>
          <w:color w:val="000000"/>
          <w:spacing w:val="-4"/>
          <w:sz w:val="20"/>
          <w:szCs w:val="20"/>
        </w:rPr>
        <w:t xml:space="preserve"> </w:t>
      </w:r>
      <w:r w:rsidRPr="002D2F67">
        <w:rPr>
          <w:rFonts w:ascii="Arial" w:hAnsi="Arial" w:cs="Arial"/>
          <w:color w:val="000000"/>
          <w:spacing w:val="-4"/>
          <w:sz w:val="20"/>
          <w:szCs w:val="20"/>
        </w:rPr>
        <w:t xml:space="preserve">have been reclassified to </w:t>
      </w:r>
      <w:r w:rsidR="006D3B29" w:rsidRPr="002D2F67">
        <w:rPr>
          <w:rFonts w:ascii="Arial" w:hAnsi="Arial" w:cs="Arial"/>
          <w:color w:val="000000"/>
          <w:spacing w:val="-4"/>
          <w:sz w:val="20"/>
          <w:szCs w:val="20"/>
        </w:rPr>
        <w:t>conform</w:t>
      </w:r>
      <w:r w:rsidR="003449D6" w:rsidRPr="002D2F67">
        <w:rPr>
          <w:rFonts w:ascii="Arial" w:hAnsi="Arial" w:cs="Arial"/>
          <w:color w:val="000000"/>
          <w:spacing w:val="-4"/>
          <w:sz w:val="20"/>
          <w:szCs w:val="20"/>
        </w:rPr>
        <w:t xml:space="preserve"> with the current year</w:t>
      </w:r>
      <w:r w:rsidRPr="002D2F67">
        <w:rPr>
          <w:rFonts w:ascii="Arial" w:hAnsi="Arial" w:cs="Arial"/>
          <w:color w:val="000000"/>
          <w:spacing w:val="-4"/>
          <w:sz w:val="20"/>
          <w:szCs w:val="20"/>
        </w:rPr>
        <w:t xml:space="preserve"> presentation and to better comply with the nature of business and transactions.</w:t>
      </w:r>
      <w:r w:rsidR="00E477C8" w:rsidRPr="002D2F67">
        <w:rPr>
          <w:rFonts w:ascii="Arial" w:hAnsi="Arial" w:cs="Arial"/>
          <w:color w:val="000000"/>
          <w:spacing w:val="-4"/>
          <w:sz w:val="20"/>
          <w:szCs w:val="20"/>
        </w:rPr>
        <w:t xml:space="preserve"> The Group and the Company </w:t>
      </w:r>
      <w:r w:rsidR="00A3420A" w:rsidRPr="002D2F67">
        <w:rPr>
          <w:rFonts w:ascii="Arial" w:hAnsi="Arial" w:cs="Arial"/>
          <w:color w:val="000000"/>
          <w:spacing w:val="-4"/>
          <w:sz w:val="20"/>
          <w:szCs w:val="20"/>
        </w:rPr>
        <w:t xml:space="preserve">separately present </w:t>
      </w:r>
      <w:r w:rsidR="00A3420A" w:rsidRPr="002D2F67">
        <w:rPr>
          <w:rFonts w:ascii="Arial" w:hAnsi="Arial" w:cs="Arial"/>
          <w:color w:val="000000"/>
          <w:spacing w:val="-6"/>
          <w:sz w:val="20"/>
          <w:szCs w:val="20"/>
        </w:rPr>
        <w:t xml:space="preserve">expected credit </w:t>
      </w:r>
      <w:r w:rsidR="00A3420A" w:rsidRPr="002D2F67">
        <w:rPr>
          <w:rFonts w:ascii="Arial" w:hAnsi="Arial" w:cs="Arial"/>
          <w:color w:val="000000"/>
          <w:sz w:val="20"/>
          <w:szCs w:val="20"/>
        </w:rPr>
        <w:t>losses and impairment l</w:t>
      </w:r>
      <w:r w:rsidR="007736F1" w:rsidRPr="002D2F67">
        <w:rPr>
          <w:rFonts w:ascii="Arial" w:hAnsi="Arial" w:cs="Arial"/>
          <w:color w:val="000000"/>
          <w:sz w:val="20"/>
          <w:szCs w:val="20"/>
        </w:rPr>
        <w:t>oss of assets</w:t>
      </w:r>
      <w:r w:rsidR="00A3420A" w:rsidRPr="002D2F67">
        <w:rPr>
          <w:rFonts w:ascii="Arial" w:hAnsi="Arial" w:cs="Arial"/>
          <w:color w:val="000000"/>
          <w:sz w:val="20"/>
          <w:szCs w:val="20"/>
        </w:rPr>
        <w:t xml:space="preserve"> </w:t>
      </w:r>
      <w:r w:rsidR="0081354D" w:rsidRPr="002D2F67">
        <w:rPr>
          <w:rFonts w:ascii="Arial" w:hAnsi="Arial" w:cs="Arial"/>
          <w:color w:val="000000"/>
          <w:sz w:val="20"/>
          <w:szCs w:val="20"/>
        </w:rPr>
        <w:t>previously presented as administrative expenses</w:t>
      </w:r>
      <w:r w:rsidR="00432C74" w:rsidRPr="002D2F67">
        <w:rPr>
          <w:rFonts w:ascii="Arial" w:hAnsi="Arial" w:cs="Arial"/>
          <w:color w:val="000000"/>
          <w:sz w:val="20"/>
          <w:szCs w:val="20"/>
        </w:rPr>
        <w:t>.</w:t>
      </w:r>
      <w:r w:rsidR="0081354D" w:rsidRPr="002D2F67">
        <w:rPr>
          <w:rFonts w:ascii="Arial" w:hAnsi="Arial" w:cs="Arial"/>
          <w:color w:val="000000"/>
          <w:sz w:val="20"/>
          <w:szCs w:val="20"/>
        </w:rPr>
        <w:t xml:space="preserve"> </w:t>
      </w:r>
      <w:r w:rsidR="00432C74" w:rsidRPr="002D2F67">
        <w:rPr>
          <w:rFonts w:ascii="Arial" w:hAnsi="Arial" w:cs="Arial"/>
          <w:color w:val="000000"/>
          <w:sz w:val="20"/>
          <w:szCs w:val="20"/>
        </w:rPr>
        <w:t xml:space="preserve">The effect of the reclassification </w:t>
      </w:r>
      <w:r w:rsidR="008A16EC" w:rsidRPr="002D2F67">
        <w:rPr>
          <w:rFonts w:ascii="Arial" w:hAnsi="Arial" w:cs="Arial"/>
          <w:color w:val="000000"/>
          <w:sz w:val="20"/>
          <w:szCs w:val="20"/>
        </w:rPr>
        <w:t>was</w:t>
      </w:r>
      <w:r w:rsidR="00432C74" w:rsidRPr="002D2F67">
        <w:rPr>
          <w:rFonts w:ascii="Arial" w:hAnsi="Arial" w:cs="Arial"/>
          <w:color w:val="000000"/>
          <w:sz w:val="20"/>
          <w:szCs w:val="20"/>
        </w:rPr>
        <w:t xml:space="preserve"> presented as follows:</w:t>
      </w:r>
    </w:p>
    <w:p w14:paraId="48A54E87" w14:textId="77777777" w:rsidR="00FF0F35" w:rsidRPr="00CD5714" w:rsidRDefault="00FF0F35" w:rsidP="00FF0F35">
      <w:pPr>
        <w:jc w:val="thaiDistribute"/>
        <w:rPr>
          <w:rFonts w:ascii="Arial" w:hAnsi="Arial" w:cs="Arial"/>
          <w:color w:val="000000"/>
          <w:sz w:val="16"/>
          <w:szCs w:val="16"/>
        </w:rPr>
      </w:pPr>
    </w:p>
    <w:tbl>
      <w:tblPr>
        <w:tblW w:w="9612" w:type="dxa"/>
        <w:tblInd w:w="-34" w:type="dxa"/>
        <w:tblLayout w:type="fixed"/>
        <w:tblLook w:val="01E0" w:firstRow="1" w:lastRow="1" w:firstColumn="1" w:lastColumn="1" w:noHBand="0" w:noVBand="0"/>
      </w:tblPr>
      <w:tblGrid>
        <w:gridCol w:w="4651"/>
        <w:gridCol w:w="1559"/>
        <w:gridCol w:w="1777"/>
        <w:gridCol w:w="1625"/>
      </w:tblGrid>
      <w:tr w:rsidR="00FF0F35" w:rsidRPr="002D2F67" w14:paraId="2301DDF3" w14:textId="77777777" w:rsidTr="0053193B">
        <w:trPr>
          <w:trHeight w:val="20"/>
          <w:tblHeader/>
        </w:trPr>
        <w:tc>
          <w:tcPr>
            <w:tcW w:w="4651" w:type="dxa"/>
            <w:shd w:val="clear" w:color="auto" w:fill="auto"/>
            <w:vAlign w:val="bottom"/>
          </w:tcPr>
          <w:p w14:paraId="08C26DE2" w14:textId="77777777" w:rsidR="00FF0F35" w:rsidRPr="002D2F67" w:rsidRDefault="00FF0F35">
            <w:pPr>
              <w:ind w:left="60"/>
              <w:jc w:val="both"/>
              <w:rPr>
                <w:rFonts w:ascii="Arial" w:eastAsia="Cordia New" w:hAnsi="Arial" w:cs="Arial"/>
                <w:sz w:val="20"/>
                <w:szCs w:val="20"/>
                <w:cs/>
              </w:rPr>
            </w:pPr>
          </w:p>
        </w:tc>
        <w:tc>
          <w:tcPr>
            <w:tcW w:w="4961" w:type="dxa"/>
            <w:gridSpan w:val="3"/>
            <w:tcBorders>
              <w:bottom w:val="single" w:sz="4" w:space="0" w:color="auto"/>
            </w:tcBorders>
            <w:shd w:val="clear" w:color="auto" w:fill="auto"/>
            <w:vAlign w:val="bottom"/>
          </w:tcPr>
          <w:p w14:paraId="25FE2C9A" w14:textId="77777777" w:rsidR="00FF0F35" w:rsidRPr="002D2F67" w:rsidRDefault="00FF0F35" w:rsidP="007B6999">
            <w:pPr>
              <w:ind w:right="-72"/>
              <w:jc w:val="right"/>
              <w:rPr>
                <w:rFonts w:ascii="Arial" w:eastAsia="Cordia New" w:hAnsi="Arial" w:cs="Arial"/>
                <w:b/>
                <w:bCs/>
                <w:sz w:val="20"/>
                <w:szCs w:val="20"/>
              </w:rPr>
            </w:pPr>
            <w:r w:rsidRPr="002D2F67">
              <w:rPr>
                <w:rFonts w:ascii="Arial" w:eastAsia="Cordia New" w:hAnsi="Arial" w:cs="Arial"/>
                <w:b/>
                <w:bCs/>
                <w:sz w:val="20"/>
                <w:szCs w:val="20"/>
              </w:rPr>
              <w:t>Consolidated financial statements</w:t>
            </w:r>
          </w:p>
        </w:tc>
      </w:tr>
      <w:tr w:rsidR="00FF0F35" w:rsidRPr="002D2F67" w14:paraId="4F949478" w14:textId="77777777" w:rsidTr="0053193B">
        <w:trPr>
          <w:trHeight w:val="20"/>
          <w:tblHeader/>
        </w:trPr>
        <w:tc>
          <w:tcPr>
            <w:tcW w:w="4651" w:type="dxa"/>
            <w:shd w:val="clear" w:color="auto" w:fill="auto"/>
            <w:vAlign w:val="bottom"/>
          </w:tcPr>
          <w:p w14:paraId="19AC6A21" w14:textId="77777777" w:rsidR="00FF0F35" w:rsidRPr="002D2F67" w:rsidRDefault="00FF0F35">
            <w:pPr>
              <w:ind w:left="60"/>
              <w:jc w:val="both"/>
              <w:rPr>
                <w:rFonts w:ascii="Arial" w:eastAsia="Cordia New" w:hAnsi="Arial" w:cs="Arial"/>
                <w:sz w:val="20"/>
                <w:szCs w:val="20"/>
                <w:cs/>
              </w:rPr>
            </w:pPr>
          </w:p>
        </w:tc>
        <w:tc>
          <w:tcPr>
            <w:tcW w:w="1559" w:type="dxa"/>
            <w:tcBorders>
              <w:top w:val="single" w:sz="4" w:space="0" w:color="auto"/>
            </w:tcBorders>
            <w:shd w:val="clear" w:color="auto" w:fill="auto"/>
            <w:vAlign w:val="bottom"/>
          </w:tcPr>
          <w:p w14:paraId="067025F8" w14:textId="77777777" w:rsidR="00FF0F35" w:rsidRPr="002D2F67" w:rsidRDefault="00FF0F35">
            <w:pPr>
              <w:ind w:right="-72"/>
              <w:jc w:val="right"/>
              <w:rPr>
                <w:rFonts w:ascii="Arial" w:eastAsia="Cordia New" w:hAnsi="Arial" w:cs="Arial"/>
                <w:b/>
                <w:bCs/>
                <w:sz w:val="20"/>
                <w:szCs w:val="20"/>
              </w:rPr>
            </w:pPr>
            <w:r w:rsidRPr="002D2F67">
              <w:rPr>
                <w:rFonts w:ascii="Arial" w:eastAsia="Cordia New" w:hAnsi="Arial" w:cs="Arial"/>
                <w:b/>
                <w:bCs/>
                <w:sz w:val="20"/>
                <w:szCs w:val="20"/>
              </w:rPr>
              <w:t>As previously reported</w:t>
            </w:r>
          </w:p>
        </w:tc>
        <w:tc>
          <w:tcPr>
            <w:tcW w:w="1777" w:type="dxa"/>
            <w:tcBorders>
              <w:top w:val="single" w:sz="4" w:space="0" w:color="auto"/>
            </w:tcBorders>
            <w:vAlign w:val="bottom"/>
          </w:tcPr>
          <w:p w14:paraId="176D547E" w14:textId="77777777" w:rsidR="00FF0F35" w:rsidRPr="002D2F67" w:rsidRDefault="00FF0F35">
            <w:pPr>
              <w:ind w:left="-108" w:right="-72"/>
              <w:jc w:val="right"/>
              <w:rPr>
                <w:rFonts w:ascii="Arial" w:eastAsia="Cordia New" w:hAnsi="Arial" w:cs="Arial"/>
                <w:b/>
                <w:bCs/>
                <w:sz w:val="20"/>
                <w:szCs w:val="20"/>
              </w:rPr>
            </w:pPr>
          </w:p>
          <w:p w14:paraId="584F1E7E" w14:textId="77777777" w:rsidR="00FF0F35" w:rsidRPr="002D2F67" w:rsidRDefault="00FF0F35">
            <w:pPr>
              <w:ind w:left="-108" w:right="-72"/>
              <w:jc w:val="right"/>
              <w:rPr>
                <w:rFonts w:ascii="Arial" w:eastAsia="Cordia New" w:hAnsi="Arial" w:cs="Arial"/>
                <w:b/>
                <w:bCs/>
                <w:sz w:val="20"/>
                <w:szCs w:val="20"/>
              </w:rPr>
            </w:pPr>
            <w:r w:rsidRPr="002D2F67">
              <w:rPr>
                <w:rFonts w:ascii="Arial" w:eastAsia="Cordia New" w:hAnsi="Arial" w:cs="Arial"/>
                <w:b/>
                <w:bCs/>
                <w:sz w:val="20"/>
                <w:szCs w:val="20"/>
              </w:rPr>
              <w:t>Reclassifications</w:t>
            </w:r>
          </w:p>
        </w:tc>
        <w:tc>
          <w:tcPr>
            <w:tcW w:w="1625" w:type="dxa"/>
            <w:tcBorders>
              <w:top w:val="single" w:sz="4" w:space="0" w:color="auto"/>
            </w:tcBorders>
            <w:vAlign w:val="bottom"/>
          </w:tcPr>
          <w:p w14:paraId="6E51B4DE" w14:textId="160101B6" w:rsidR="00FF0F35" w:rsidRPr="002D2F67" w:rsidRDefault="007527E1">
            <w:pPr>
              <w:ind w:left="-108" w:right="-72"/>
              <w:jc w:val="right"/>
              <w:rPr>
                <w:rFonts w:ascii="Arial" w:eastAsia="Cordia New" w:hAnsi="Arial" w:cs="Arial"/>
                <w:b/>
                <w:bCs/>
                <w:sz w:val="20"/>
                <w:szCs w:val="20"/>
              </w:rPr>
            </w:pPr>
            <w:r w:rsidRPr="002D2F67">
              <w:rPr>
                <w:rFonts w:ascii="Arial" w:eastAsia="Cordia New" w:hAnsi="Arial" w:cs="Arial"/>
                <w:b/>
                <w:bCs/>
                <w:sz w:val="20"/>
                <w:szCs w:val="20"/>
              </w:rPr>
              <w:t>After reclassification</w:t>
            </w:r>
          </w:p>
        </w:tc>
      </w:tr>
      <w:tr w:rsidR="00FF0F35" w:rsidRPr="002D2F67" w14:paraId="6E221FA4" w14:textId="77777777" w:rsidTr="0053193B">
        <w:trPr>
          <w:trHeight w:val="20"/>
          <w:tblHeader/>
        </w:trPr>
        <w:tc>
          <w:tcPr>
            <w:tcW w:w="4651" w:type="dxa"/>
            <w:shd w:val="clear" w:color="auto" w:fill="auto"/>
            <w:vAlign w:val="bottom"/>
          </w:tcPr>
          <w:p w14:paraId="1210A81F" w14:textId="77777777" w:rsidR="00FF0F35" w:rsidRPr="002D2F67" w:rsidRDefault="00FF0F35">
            <w:pPr>
              <w:ind w:left="60"/>
              <w:jc w:val="both"/>
              <w:rPr>
                <w:rFonts w:ascii="Arial" w:eastAsia="Cordia New" w:hAnsi="Arial" w:cs="Arial"/>
                <w:sz w:val="20"/>
                <w:szCs w:val="20"/>
                <w:cs/>
              </w:rPr>
            </w:pPr>
          </w:p>
        </w:tc>
        <w:tc>
          <w:tcPr>
            <w:tcW w:w="1559" w:type="dxa"/>
            <w:tcBorders>
              <w:bottom w:val="single" w:sz="4" w:space="0" w:color="auto"/>
            </w:tcBorders>
            <w:shd w:val="clear" w:color="auto" w:fill="auto"/>
            <w:vAlign w:val="bottom"/>
          </w:tcPr>
          <w:p w14:paraId="240E6FA6" w14:textId="3068984E" w:rsidR="00FF0F35" w:rsidRPr="002D2F67" w:rsidRDefault="00FF0F35" w:rsidP="007B6999">
            <w:pPr>
              <w:ind w:left="38" w:right="-72" w:firstLine="142"/>
              <w:jc w:val="right"/>
              <w:rPr>
                <w:rFonts w:ascii="Arial" w:eastAsia="Cordia New" w:hAnsi="Arial" w:cs="Arial"/>
                <w:b/>
                <w:bCs/>
                <w:sz w:val="20"/>
                <w:szCs w:val="20"/>
                <w:cs/>
              </w:rPr>
            </w:pPr>
            <w:r w:rsidRPr="002D2F67">
              <w:rPr>
                <w:rFonts w:ascii="Arial" w:eastAsia="Cordia New" w:hAnsi="Arial" w:cs="Arial"/>
                <w:b/>
                <w:bCs/>
                <w:sz w:val="20"/>
                <w:szCs w:val="20"/>
              </w:rPr>
              <w:t>Baht’</w:t>
            </w:r>
            <w:r w:rsidR="00CD5714" w:rsidRPr="00CD5714">
              <w:rPr>
                <w:rFonts w:ascii="Arial" w:eastAsia="Cordia New" w:hAnsi="Arial" w:cs="Arial"/>
                <w:b/>
                <w:bCs/>
                <w:sz w:val="20"/>
                <w:szCs w:val="20"/>
                <w:lang w:val="en-GB"/>
              </w:rPr>
              <w:t>000</w:t>
            </w:r>
          </w:p>
        </w:tc>
        <w:tc>
          <w:tcPr>
            <w:tcW w:w="1777" w:type="dxa"/>
            <w:tcBorders>
              <w:bottom w:val="single" w:sz="4" w:space="0" w:color="auto"/>
            </w:tcBorders>
            <w:vAlign w:val="bottom"/>
          </w:tcPr>
          <w:p w14:paraId="58DE0A98" w14:textId="596C9314" w:rsidR="00FF0F35" w:rsidRPr="002D2F67" w:rsidRDefault="00FF0F35" w:rsidP="007B6999">
            <w:pPr>
              <w:ind w:left="38" w:right="-72"/>
              <w:jc w:val="right"/>
              <w:rPr>
                <w:rFonts w:ascii="Arial" w:eastAsia="Cordia New" w:hAnsi="Arial" w:cs="Arial"/>
                <w:b/>
                <w:bCs/>
                <w:sz w:val="20"/>
                <w:szCs w:val="20"/>
              </w:rPr>
            </w:pPr>
            <w:r w:rsidRPr="002D2F67">
              <w:rPr>
                <w:rFonts w:ascii="Arial" w:eastAsia="Cordia New" w:hAnsi="Arial" w:cs="Arial"/>
                <w:b/>
                <w:bCs/>
                <w:sz w:val="20"/>
                <w:szCs w:val="20"/>
              </w:rPr>
              <w:t>Baht’</w:t>
            </w:r>
            <w:r w:rsidR="00CD5714" w:rsidRPr="00CD5714">
              <w:rPr>
                <w:rFonts w:ascii="Arial" w:eastAsia="Cordia New" w:hAnsi="Arial" w:cs="Arial"/>
                <w:b/>
                <w:bCs/>
                <w:sz w:val="20"/>
                <w:szCs w:val="20"/>
                <w:lang w:val="en-GB"/>
              </w:rPr>
              <w:t>000</w:t>
            </w:r>
          </w:p>
        </w:tc>
        <w:tc>
          <w:tcPr>
            <w:tcW w:w="1625" w:type="dxa"/>
            <w:tcBorders>
              <w:bottom w:val="single" w:sz="4" w:space="0" w:color="auto"/>
            </w:tcBorders>
            <w:vAlign w:val="bottom"/>
          </w:tcPr>
          <w:p w14:paraId="59495A82" w14:textId="39B33B67" w:rsidR="00FF0F35" w:rsidRPr="002D2F67" w:rsidRDefault="00FF0F35" w:rsidP="007B6999">
            <w:pPr>
              <w:ind w:left="38" w:right="-72"/>
              <w:jc w:val="right"/>
              <w:rPr>
                <w:rFonts w:ascii="Arial" w:eastAsia="Cordia New" w:hAnsi="Arial" w:cs="Arial"/>
                <w:b/>
                <w:bCs/>
                <w:sz w:val="20"/>
                <w:szCs w:val="20"/>
              </w:rPr>
            </w:pPr>
            <w:r w:rsidRPr="002D2F67">
              <w:rPr>
                <w:rFonts w:ascii="Arial" w:eastAsia="Cordia New" w:hAnsi="Arial" w:cs="Arial"/>
                <w:b/>
                <w:bCs/>
                <w:sz w:val="20"/>
                <w:szCs w:val="20"/>
              </w:rPr>
              <w:t>Baht’</w:t>
            </w:r>
            <w:r w:rsidR="00CD5714" w:rsidRPr="00CD5714">
              <w:rPr>
                <w:rFonts w:ascii="Arial" w:eastAsia="Cordia New" w:hAnsi="Arial" w:cs="Arial"/>
                <w:b/>
                <w:bCs/>
                <w:sz w:val="20"/>
                <w:szCs w:val="20"/>
                <w:lang w:val="en-GB"/>
              </w:rPr>
              <w:t>000</w:t>
            </w:r>
          </w:p>
        </w:tc>
      </w:tr>
      <w:tr w:rsidR="00FF0F35" w:rsidRPr="00CD5714" w14:paraId="38395589" w14:textId="77777777" w:rsidTr="0053193B">
        <w:trPr>
          <w:trHeight w:val="20"/>
          <w:tblHeader/>
        </w:trPr>
        <w:tc>
          <w:tcPr>
            <w:tcW w:w="4651" w:type="dxa"/>
            <w:shd w:val="clear" w:color="auto" w:fill="auto"/>
            <w:vAlign w:val="bottom"/>
          </w:tcPr>
          <w:p w14:paraId="2E24BE6E" w14:textId="77777777" w:rsidR="00FF0F35" w:rsidRPr="00CD5714" w:rsidRDefault="00FF0F35">
            <w:pPr>
              <w:ind w:left="60"/>
              <w:jc w:val="both"/>
              <w:rPr>
                <w:rFonts w:ascii="Arial" w:eastAsia="Cordia New" w:hAnsi="Arial" w:cs="Arial"/>
                <w:b/>
                <w:bCs/>
                <w:sz w:val="12"/>
                <w:szCs w:val="12"/>
              </w:rPr>
            </w:pPr>
          </w:p>
        </w:tc>
        <w:tc>
          <w:tcPr>
            <w:tcW w:w="1559" w:type="dxa"/>
            <w:tcBorders>
              <w:top w:val="single" w:sz="4" w:space="0" w:color="auto"/>
            </w:tcBorders>
            <w:shd w:val="clear" w:color="auto" w:fill="auto"/>
            <w:vAlign w:val="bottom"/>
          </w:tcPr>
          <w:p w14:paraId="52AA5282" w14:textId="77777777" w:rsidR="00FF0F35" w:rsidRPr="00CD5714" w:rsidRDefault="00FF0F35">
            <w:pPr>
              <w:tabs>
                <w:tab w:val="left" w:pos="248"/>
                <w:tab w:val="center" w:pos="4153"/>
                <w:tab w:val="right" w:pos="8306"/>
              </w:tabs>
              <w:ind w:left="-14" w:right="-72"/>
              <w:jc w:val="right"/>
              <w:rPr>
                <w:rFonts w:ascii="Arial" w:eastAsia="Cordia New" w:hAnsi="Arial" w:cs="Arial"/>
                <w:sz w:val="12"/>
                <w:szCs w:val="12"/>
              </w:rPr>
            </w:pPr>
          </w:p>
        </w:tc>
        <w:tc>
          <w:tcPr>
            <w:tcW w:w="1777" w:type="dxa"/>
            <w:tcBorders>
              <w:top w:val="single" w:sz="4" w:space="0" w:color="auto"/>
            </w:tcBorders>
            <w:vAlign w:val="bottom"/>
          </w:tcPr>
          <w:p w14:paraId="6B2C292E" w14:textId="77777777" w:rsidR="00FF0F35" w:rsidRPr="00CD5714" w:rsidRDefault="00FF0F35">
            <w:pPr>
              <w:tabs>
                <w:tab w:val="left" w:pos="248"/>
                <w:tab w:val="center" w:pos="4153"/>
                <w:tab w:val="right" w:pos="8306"/>
              </w:tabs>
              <w:ind w:left="-14" w:right="-72"/>
              <w:jc w:val="right"/>
              <w:rPr>
                <w:rFonts w:ascii="Arial" w:eastAsia="Cordia New" w:hAnsi="Arial" w:cs="Arial"/>
                <w:sz w:val="12"/>
                <w:szCs w:val="12"/>
              </w:rPr>
            </w:pPr>
          </w:p>
        </w:tc>
        <w:tc>
          <w:tcPr>
            <w:tcW w:w="1625" w:type="dxa"/>
            <w:tcBorders>
              <w:top w:val="single" w:sz="4" w:space="0" w:color="auto"/>
            </w:tcBorders>
            <w:vAlign w:val="bottom"/>
          </w:tcPr>
          <w:p w14:paraId="1834AF64" w14:textId="77777777" w:rsidR="00FF0F35" w:rsidRPr="00CD5714" w:rsidRDefault="00FF0F35">
            <w:pPr>
              <w:tabs>
                <w:tab w:val="left" w:pos="248"/>
                <w:tab w:val="center" w:pos="4153"/>
                <w:tab w:val="right" w:pos="8306"/>
              </w:tabs>
              <w:ind w:left="-14" w:right="-72"/>
              <w:jc w:val="right"/>
              <w:rPr>
                <w:rFonts w:ascii="Arial" w:eastAsia="Cordia New" w:hAnsi="Arial" w:cs="Arial"/>
                <w:sz w:val="12"/>
                <w:szCs w:val="12"/>
              </w:rPr>
            </w:pPr>
          </w:p>
        </w:tc>
      </w:tr>
      <w:tr w:rsidR="00FF0F35" w:rsidRPr="002D2F67" w14:paraId="614F6C53" w14:textId="77777777" w:rsidTr="0053193B">
        <w:trPr>
          <w:trHeight w:val="20"/>
          <w:tblHeader/>
        </w:trPr>
        <w:tc>
          <w:tcPr>
            <w:tcW w:w="4651" w:type="dxa"/>
            <w:shd w:val="clear" w:color="auto" w:fill="auto"/>
            <w:vAlign w:val="bottom"/>
          </w:tcPr>
          <w:p w14:paraId="0A934A2E" w14:textId="76973950" w:rsidR="00FF0F35" w:rsidRPr="002D2F67" w:rsidRDefault="004F2F12">
            <w:pPr>
              <w:ind w:left="60"/>
              <w:rPr>
                <w:rFonts w:ascii="Arial" w:eastAsia="Cordia New" w:hAnsi="Arial" w:cs="Arial"/>
                <w:b/>
                <w:bCs/>
                <w:sz w:val="20"/>
                <w:szCs w:val="20"/>
              </w:rPr>
            </w:pPr>
            <w:r w:rsidRPr="002D2F67">
              <w:rPr>
                <w:rFonts w:ascii="Arial" w:eastAsia="Cordia New" w:hAnsi="Arial" w:cs="Arial"/>
                <w:b/>
                <w:bCs/>
                <w:sz w:val="20"/>
                <w:szCs w:val="25"/>
              </w:rPr>
              <w:t xml:space="preserve">Statement of </w:t>
            </w:r>
            <w:r w:rsidR="008F6727" w:rsidRPr="002D2F67">
              <w:rPr>
                <w:rFonts w:ascii="Arial" w:eastAsia="Cordia New" w:hAnsi="Arial" w:cs="Arial"/>
                <w:b/>
                <w:bCs/>
                <w:sz w:val="20"/>
                <w:szCs w:val="25"/>
              </w:rPr>
              <w:t>c</w:t>
            </w:r>
            <w:r w:rsidRPr="002D2F67">
              <w:rPr>
                <w:rFonts w:ascii="Arial" w:eastAsia="Cordia New" w:hAnsi="Arial" w:cs="Arial"/>
                <w:b/>
                <w:bCs/>
                <w:sz w:val="20"/>
                <w:szCs w:val="25"/>
              </w:rPr>
              <w:t xml:space="preserve">omprehensive </w:t>
            </w:r>
            <w:r w:rsidR="008F6727" w:rsidRPr="002D2F67">
              <w:rPr>
                <w:rFonts w:ascii="Arial" w:eastAsia="Cordia New" w:hAnsi="Arial" w:cs="Arial"/>
                <w:b/>
                <w:bCs/>
                <w:sz w:val="20"/>
                <w:szCs w:val="25"/>
              </w:rPr>
              <w:t>i</w:t>
            </w:r>
            <w:r w:rsidRPr="002D2F67">
              <w:rPr>
                <w:rFonts w:ascii="Arial" w:eastAsia="Cordia New" w:hAnsi="Arial" w:cs="Arial"/>
                <w:b/>
                <w:bCs/>
                <w:sz w:val="20"/>
                <w:szCs w:val="25"/>
              </w:rPr>
              <w:t xml:space="preserve">ncome </w:t>
            </w:r>
            <w:r w:rsidR="00FF0F35" w:rsidRPr="002D2F67">
              <w:rPr>
                <w:rFonts w:ascii="Arial" w:eastAsia="Cordia New" w:hAnsi="Arial" w:cs="Arial"/>
                <w:b/>
                <w:bCs/>
                <w:sz w:val="20"/>
                <w:szCs w:val="20"/>
              </w:rPr>
              <w:t xml:space="preserve">for </w:t>
            </w:r>
          </w:p>
        </w:tc>
        <w:tc>
          <w:tcPr>
            <w:tcW w:w="1559" w:type="dxa"/>
            <w:shd w:val="clear" w:color="auto" w:fill="auto"/>
            <w:vAlign w:val="bottom"/>
          </w:tcPr>
          <w:p w14:paraId="4F917F48" w14:textId="77777777" w:rsidR="00FF0F35" w:rsidRPr="002D2F67" w:rsidRDefault="00FF0F35">
            <w:pPr>
              <w:tabs>
                <w:tab w:val="left" w:pos="248"/>
                <w:tab w:val="center" w:pos="4153"/>
                <w:tab w:val="right" w:pos="8306"/>
              </w:tabs>
              <w:ind w:left="-14" w:right="-72"/>
              <w:jc w:val="right"/>
              <w:rPr>
                <w:rFonts w:ascii="Arial" w:eastAsia="Cordia New" w:hAnsi="Arial" w:cs="Arial"/>
                <w:sz w:val="20"/>
                <w:szCs w:val="20"/>
              </w:rPr>
            </w:pPr>
          </w:p>
        </w:tc>
        <w:tc>
          <w:tcPr>
            <w:tcW w:w="1777" w:type="dxa"/>
            <w:vAlign w:val="bottom"/>
          </w:tcPr>
          <w:p w14:paraId="1BCCCC51" w14:textId="77777777" w:rsidR="00FF0F35" w:rsidRPr="002D2F67" w:rsidRDefault="00FF0F35">
            <w:pPr>
              <w:tabs>
                <w:tab w:val="left" w:pos="248"/>
                <w:tab w:val="center" w:pos="4153"/>
                <w:tab w:val="right" w:pos="8306"/>
              </w:tabs>
              <w:ind w:left="-14" w:right="-72"/>
              <w:jc w:val="right"/>
              <w:rPr>
                <w:rFonts w:ascii="Arial" w:eastAsia="Cordia New" w:hAnsi="Arial" w:cs="Arial"/>
                <w:sz w:val="20"/>
                <w:szCs w:val="20"/>
              </w:rPr>
            </w:pPr>
          </w:p>
        </w:tc>
        <w:tc>
          <w:tcPr>
            <w:tcW w:w="1625" w:type="dxa"/>
            <w:vAlign w:val="bottom"/>
          </w:tcPr>
          <w:p w14:paraId="1AC70D21" w14:textId="77777777" w:rsidR="00FF0F35" w:rsidRPr="002D2F67" w:rsidRDefault="00FF0F35">
            <w:pPr>
              <w:tabs>
                <w:tab w:val="left" w:pos="248"/>
                <w:tab w:val="center" w:pos="4153"/>
                <w:tab w:val="right" w:pos="8306"/>
              </w:tabs>
              <w:ind w:left="-14" w:right="-72"/>
              <w:jc w:val="right"/>
              <w:rPr>
                <w:rFonts w:ascii="Arial" w:eastAsia="Cordia New" w:hAnsi="Arial" w:cs="Arial"/>
                <w:sz w:val="20"/>
                <w:szCs w:val="20"/>
              </w:rPr>
            </w:pPr>
          </w:p>
        </w:tc>
      </w:tr>
      <w:tr w:rsidR="00FF0F35" w:rsidRPr="002D2F67" w14:paraId="7AFE26DC" w14:textId="77777777" w:rsidTr="0053193B">
        <w:trPr>
          <w:trHeight w:val="20"/>
          <w:tblHeader/>
        </w:trPr>
        <w:tc>
          <w:tcPr>
            <w:tcW w:w="4651" w:type="dxa"/>
            <w:shd w:val="clear" w:color="auto" w:fill="auto"/>
            <w:vAlign w:val="bottom"/>
          </w:tcPr>
          <w:p w14:paraId="3EFB94FA" w14:textId="546B3AC9" w:rsidR="00FF0F35" w:rsidRPr="002D2F67" w:rsidRDefault="00FF0F35">
            <w:pPr>
              <w:ind w:left="60"/>
              <w:jc w:val="both"/>
              <w:rPr>
                <w:rFonts w:ascii="Arial" w:eastAsia="Cordia New" w:hAnsi="Arial" w:cs="Arial"/>
                <w:b/>
                <w:bCs/>
                <w:sz w:val="20"/>
                <w:szCs w:val="20"/>
              </w:rPr>
            </w:pPr>
            <w:r w:rsidRPr="002D2F67">
              <w:rPr>
                <w:rFonts w:ascii="Arial" w:eastAsia="Cordia New" w:hAnsi="Arial" w:cs="Arial"/>
                <w:b/>
                <w:bCs/>
                <w:sz w:val="20"/>
                <w:szCs w:val="20"/>
              </w:rPr>
              <w:t xml:space="preserve">   </w:t>
            </w:r>
            <w:r w:rsidR="004F2F12" w:rsidRPr="002D2F67">
              <w:rPr>
                <w:rFonts w:ascii="Arial" w:eastAsia="Cordia New" w:hAnsi="Arial" w:cs="Arial"/>
                <w:b/>
                <w:bCs/>
                <w:sz w:val="20"/>
                <w:szCs w:val="20"/>
              </w:rPr>
              <w:t xml:space="preserve">the year ended </w:t>
            </w:r>
            <w:r w:rsidR="00CD5714" w:rsidRPr="00CD5714">
              <w:rPr>
                <w:rFonts w:ascii="Arial" w:eastAsia="Cordia New" w:hAnsi="Arial" w:cs="Arial"/>
                <w:b/>
                <w:bCs/>
                <w:sz w:val="20"/>
                <w:szCs w:val="20"/>
                <w:lang w:val="en-GB"/>
              </w:rPr>
              <w:t>31</w:t>
            </w:r>
            <w:r w:rsidRPr="002D2F67">
              <w:rPr>
                <w:rFonts w:ascii="Arial" w:eastAsia="Cordia New" w:hAnsi="Arial" w:cs="Arial"/>
                <w:b/>
                <w:bCs/>
                <w:sz w:val="20"/>
                <w:szCs w:val="20"/>
              </w:rPr>
              <w:t xml:space="preserve"> December </w:t>
            </w:r>
            <w:r w:rsidR="00CD5714" w:rsidRPr="00CD5714">
              <w:rPr>
                <w:rFonts w:ascii="Arial" w:eastAsia="Cordia New" w:hAnsi="Arial" w:cs="Arial"/>
                <w:b/>
                <w:bCs/>
                <w:sz w:val="20"/>
                <w:szCs w:val="20"/>
                <w:lang w:val="en-GB"/>
              </w:rPr>
              <w:t>2023</w:t>
            </w:r>
          </w:p>
        </w:tc>
        <w:tc>
          <w:tcPr>
            <w:tcW w:w="1559" w:type="dxa"/>
            <w:shd w:val="clear" w:color="auto" w:fill="auto"/>
            <w:vAlign w:val="bottom"/>
          </w:tcPr>
          <w:p w14:paraId="548F1914" w14:textId="77777777" w:rsidR="00FF0F35" w:rsidRPr="002D2F67" w:rsidRDefault="00FF0F35">
            <w:pPr>
              <w:tabs>
                <w:tab w:val="left" w:pos="248"/>
                <w:tab w:val="center" w:pos="4153"/>
                <w:tab w:val="right" w:pos="8306"/>
              </w:tabs>
              <w:ind w:left="-14" w:right="-72"/>
              <w:jc w:val="right"/>
              <w:rPr>
                <w:rFonts w:ascii="Arial" w:eastAsia="Cordia New" w:hAnsi="Arial" w:cs="Arial"/>
                <w:sz w:val="20"/>
                <w:szCs w:val="20"/>
              </w:rPr>
            </w:pPr>
          </w:p>
        </w:tc>
        <w:tc>
          <w:tcPr>
            <w:tcW w:w="1777" w:type="dxa"/>
            <w:vAlign w:val="bottom"/>
          </w:tcPr>
          <w:p w14:paraId="10C20170" w14:textId="77777777" w:rsidR="00FF0F35" w:rsidRPr="002D2F67" w:rsidRDefault="00FF0F35">
            <w:pPr>
              <w:tabs>
                <w:tab w:val="left" w:pos="248"/>
                <w:tab w:val="center" w:pos="4153"/>
                <w:tab w:val="right" w:pos="8306"/>
              </w:tabs>
              <w:ind w:left="-14" w:right="-72"/>
              <w:jc w:val="right"/>
              <w:rPr>
                <w:rFonts w:ascii="Arial" w:eastAsia="Cordia New" w:hAnsi="Arial" w:cs="Arial"/>
                <w:sz w:val="20"/>
                <w:szCs w:val="20"/>
              </w:rPr>
            </w:pPr>
          </w:p>
        </w:tc>
        <w:tc>
          <w:tcPr>
            <w:tcW w:w="1625" w:type="dxa"/>
            <w:vAlign w:val="bottom"/>
          </w:tcPr>
          <w:p w14:paraId="7DBDF21C" w14:textId="77777777" w:rsidR="00FF0F35" w:rsidRPr="002D2F67" w:rsidRDefault="00FF0F35">
            <w:pPr>
              <w:tabs>
                <w:tab w:val="left" w:pos="248"/>
                <w:tab w:val="center" w:pos="4153"/>
                <w:tab w:val="right" w:pos="8306"/>
              </w:tabs>
              <w:ind w:left="-14" w:right="-72"/>
              <w:jc w:val="right"/>
              <w:rPr>
                <w:rFonts w:ascii="Arial" w:eastAsia="Cordia New" w:hAnsi="Arial" w:cs="Arial"/>
                <w:sz w:val="20"/>
                <w:szCs w:val="20"/>
              </w:rPr>
            </w:pPr>
          </w:p>
        </w:tc>
      </w:tr>
      <w:tr w:rsidR="00FF0F35" w:rsidRPr="002D2F67" w14:paraId="25FEF0A7" w14:textId="77777777" w:rsidTr="0053193B">
        <w:trPr>
          <w:trHeight w:val="20"/>
          <w:tblHeader/>
        </w:trPr>
        <w:tc>
          <w:tcPr>
            <w:tcW w:w="4651" w:type="dxa"/>
            <w:shd w:val="clear" w:color="auto" w:fill="auto"/>
            <w:vAlign w:val="bottom"/>
          </w:tcPr>
          <w:p w14:paraId="0325CE85" w14:textId="77777777" w:rsidR="00FF0F35" w:rsidRPr="002D2F67" w:rsidRDefault="00FF0F35">
            <w:pPr>
              <w:ind w:left="60" w:right="-104"/>
              <w:jc w:val="both"/>
              <w:rPr>
                <w:rFonts w:ascii="Arial" w:eastAsia="Cordia New" w:hAnsi="Arial" w:cs="Arial"/>
                <w:sz w:val="20"/>
                <w:szCs w:val="20"/>
              </w:rPr>
            </w:pPr>
            <w:r w:rsidRPr="002D2F67">
              <w:rPr>
                <w:rFonts w:ascii="Arial" w:hAnsi="Arial" w:cs="Arial"/>
                <w:color w:val="000000"/>
                <w:sz w:val="20"/>
                <w:szCs w:val="20"/>
              </w:rPr>
              <w:t>Administrative expenses</w:t>
            </w:r>
          </w:p>
        </w:tc>
        <w:tc>
          <w:tcPr>
            <w:tcW w:w="1559" w:type="dxa"/>
            <w:shd w:val="clear" w:color="auto" w:fill="auto"/>
            <w:vAlign w:val="bottom"/>
          </w:tcPr>
          <w:p w14:paraId="5C707CE3" w14:textId="1C4C0706" w:rsidR="00FF0F35" w:rsidRPr="002D2F67" w:rsidRDefault="00FF0F35">
            <w:pPr>
              <w:tabs>
                <w:tab w:val="left" w:pos="248"/>
                <w:tab w:val="center" w:pos="4153"/>
                <w:tab w:val="right" w:pos="8306"/>
              </w:tabs>
              <w:ind w:left="-14" w:right="-72"/>
              <w:jc w:val="right"/>
              <w:rPr>
                <w:rFonts w:ascii="Arial" w:eastAsia="Cordia New" w:hAnsi="Arial" w:cs="Arial"/>
                <w:sz w:val="20"/>
                <w:szCs w:val="20"/>
              </w:rPr>
            </w:pPr>
            <w:r w:rsidRPr="002D2F67">
              <w:rPr>
                <w:rFonts w:ascii="Arial" w:eastAsia="Cordia New" w:hAnsi="Arial" w:cs="Arial"/>
                <w:sz w:val="20"/>
                <w:szCs w:val="20"/>
              </w:rPr>
              <w:t>(</w:t>
            </w:r>
            <w:r w:rsidR="00CD5714" w:rsidRPr="00CD5714">
              <w:rPr>
                <w:rFonts w:ascii="Arial" w:eastAsia="Cordia New" w:hAnsi="Arial" w:cs="Arial"/>
                <w:sz w:val="20"/>
                <w:szCs w:val="20"/>
                <w:lang w:val="en-GB"/>
              </w:rPr>
              <w:t>1</w:t>
            </w:r>
            <w:r w:rsidRPr="002D2F67">
              <w:rPr>
                <w:rFonts w:ascii="Arial" w:eastAsia="Cordia New" w:hAnsi="Arial" w:cs="Arial"/>
                <w:sz w:val="20"/>
                <w:szCs w:val="20"/>
              </w:rPr>
              <w:t>,</w:t>
            </w:r>
            <w:r w:rsidR="00CD5714" w:rsidRPr="00CD5714">
              <w:rPr>
                <w:rFonts w:ascii="Arial" w:eastAsia="Cordia New" w:hAnsi="Arial" w:cs="Arial"/>
                <w:sz w:val="20"/>
                <w:szCs w:val="20"/>
                <w:lang w:val="en-GB"/>
              </w:rPr>
              <w:t>316</w:t>
            </w:r>
            <w:r w:rsidRPr="002D2F67">
              <w:rPr>
                <w:rFonts w:ascii="Arial" w:eastAsia="Cordia New" w:hAnsi="Arial" w:cs="Arial"/>
                <w:sz w:val="20"/>
                <w:szCs w:val="20"/>
              </w:rPr>
              <w:t>,</w:t>
            </w:r>
            <w:r w:rsidR="00CD5714" w:rsidRPr="00CD5714">
              <w:rPr>
                <w:rFonts w:ascii="Arial" w:eastAsia="Cordia New" w:hAnsi="Arial" w:cs="Arial"/>
                <w:sz w:val="20"/>
                <w:szCs w:val="20"/>
                <w:lang w:val="en-GB"/>
              </w:rPr>
              <w:t>690</w:t>
            </w:r>
            <w:r w:rsidRPr="002D2F67">
              <w:rPr>
                <w:rFonts w:ascii="Arial" w:eastAsia="Cordia New" w:hAnsi="Arial" w:cs="Arial"/>
                <w:sz w:val="20"/>
                <w:szCs w:val="20"/>
              </w:rPr>
              <w:t>)</w:t>
            </w:r>
          </w:p>
        </w:tc>
        <w:tc>
          <w:tcPr>
            <w:tcW w:w="1777" w:type="dxa"/>
            <w:vAlign w:val="bottom"/>
          </w:tcPr>
          <w:p w14:paraId="6273EFA0" w14:textId="63359923" w:rsidR="00FF0F35" w:rsidRPr="002D2F67" w:rsidRDefault="00CD5714">
            <w:pPr>
              <w:tabs>
                <w:tab w:val="left" w:pos="248"/>
                <w:tab w:val="center" w:pos="4153"/>
                <w:tab w:val="right" w:pos="8306"/>
              </w:tabs>
              <w:ind w:left="-14" w:right="-72"/>
              <w:jc w:val="right"/>
              <w:rPr>
                <w:rFonts w:ascii="Arial" w:eastAsia="Cordia New" w:hAnsi="Arial" w:cs="Arial"/>
                <w:sz w:val="20"/>
                <w:szCs w:val="20"/>
              </w:rPr>
            </w:pPr>
            <w:r w:rsidRPr="00CD5714">
              <w:rPr>
                <w:rFonts w:ascii="Arial" w:eastAsia="Cordia New" w:hAnsi="Arial" w:cs="Arial"/>
                <w:sz w:val="20"/>
                <w:szCs w:val="20"/>
                <w:lang w:val="en-GB"/>
              </w:rPr>
              <w:t>50</w:t>
            </w:r>
            <w:r w:rsidR="00C13DE1" w:rsidRPr="002D2F67">
              <w:rPr>
                <w:rFonts w:ascii="Arial" w:eastAsia="Cordia New" w:hAnsi="Arial" w:cs="Arial"/>
                <w:sz w:val="20"/>
                <w:szCs w:val="20"/>
              </w:rPr>
              <w:t>,</w:t>
            </w:r>
            <w:r w:rsidRPr="00CD5714">
              <w:rPr>
                <w:rFonts w:ascii="Arial" w:eastAsia="Cordia New" w:hAnsi="Arial" w:cs="Arial"/>
                <w:sz w:val="20"/>
                <w:szCs w:val="20"/>
                <w:lang w:val="en-GB"/>
              </w:rPr>
              <w:t>524</w:t>
            </w:r>
          </w:p>
        </w:tc>
        <w:tc>
          <w:tcPr>
            <w:tcW w:w="1625" w:type="dxa"/>
            <w:vAlign w:val="bottom"/>
          </w:tcPr>
          <w:p w14:paraId="14BCB1D5" w14:textId="00E2E973" w:rsidR="00FF0F35" w:rsidRPr="002D2F67" w:rsidRDefault="000E6C20">
            <w:pPr>
              <w:tabs>
                <w:tab w:val="left" w:pos="248"/>
                <w:tab w:val="center" w:pos="4153"/>
                <w:tab w:val="right" w:pos="8306"/>
              </w:tabs>
              <w:ind w:left="-14" w:right="-72"/>
              <w:jc w:val="right"/>
              <w:rPr>
                <w:rFonts w:ascii="Arial" w:eastAsia="Cordia New" w:hAnsi="Arial" w:cs="Arial"/>
                <w:sz w:val="20"/>
                <w:szCs w:val="20"/>
              </w:rPr>
            </w:pPr>
            <w:r w:rsidRPr="002D2F67">
              <w:rPr>
                <w:rFonts w:ascii="Arial" w:eastAsia="Cordia New" w:hAnsi="Arial" w:cs="Arial"/>
                <w:sz w:val="20"/>
                <w:szCs w:val="20"/>
              </w:rPr>
              <w:t>(</w:t>
            </w:r>
            <w:r w:rsidR="00CD5714" w:rsidRPr="00CD5714">
              <w:rPr>
                <w:rFonts w:ascii="Arial" w:eastAsia="Cordia New" w:hAnsi="Arial" w:cs="Arial"/>
                <w:sz w:val="20"/>
                <w:szCs w:val="20"/>
                <w:lang w:val="en-GB"/>
              </w:rPr>
              <w:t>1</w:t>
            </w:r>
            <w:r w:rsidRPr="002D2F67">
              <w:rPr>
                <w:rFonts w:ascii="Arial" w:eastAsia="Cordia New" w:hAnsi="Arial" w:cs="Arial"/>
                <w:sz w:val="20"/>
                <w:szCs w:val="20"/>
              </w:rPr>
              <w:t>,</w:t>
            </w:r>
            <w:r w:rsidR="00CD5714" w:rsidRPr="00CD5714">
              <w:rPr>
                <w:rFonts w:ascii="Arial" w:eastAsia="Cordia New" w:hAnsi="Arial" w:cs="Arial"/>
                <w:sz w:val="20"/>
                <w:szCs w:val="20"/>
                <w:lang w:val="en-GB"/>
              </w:rPr>
              <w:t>266</w:t>
            </w:r>
            <w:r w:rsidRPr="002D2F67">
              <w:rPr>
                <w:rFonts w:ascii="Arial" w:eastAsia="Cordia New" w:hAnsi="Arial" w:cs="Arial"/>
                <w:sz w:val="20"/>
                <w:szCs w:val="20"/>
              </w:rPr>
              <w:t>,</w:t>
            </w:r>
            <w:r w:rsidR="00CD5714" w:rsidRPr="00CD5714">
              <w:rPr>
                <w:rFonts w:ascii="Arial" w:eastAsia="Cordia New" w:hAnsi="Arial" w:cs="Arial"/>
                <w:sz w:val="20"/>
                <w:szCs w:val="20"/>
                <w:lang w:val="en-GB"/>
              </w:rPr>
              <w:t>166</w:t>
            </w:r>
            <w:r w:rsidRPr="002D2F67">
              <w:rPr>
                <w:rFonts w:ascii="Arial" w:eastAsia="Cordia New" w:hAnsi="Arial" w:cs="Arial"/>
                <w:sz w:val="20"/>
                <w:szCs w:val="20"/>
              </w:rPr>
              <w:t>)</w:t>
            </w:r>
          </w:p>
        </w:tc>
      </w:tr>
      <w:tr w:rsidR="00FF0F35" w:rsidRPr="002D2F67" w14:paraId="42FBDCC3" w14:textId="77777777" w:rsidTr="0053193B">
        <w:trPr>
          <w:trHeight w:val="20"/>
          <w:tblHeader/>
        </w:trPr>
        <w:tc>
          <w:tcPr>
            <w:tcW w:w="4651" w:type="dxa"/>
            <w:shd w:val="clear" w:color="auto" w:fill="auto"/>
            <w:vAlign w:val="bottom"/>
          </w:tcPr>
          <w:p w14:paraId="4062F9F4" w14:textId="77777777" w:rsidR="00FF0F35" w:rsidRPr="002D2F67" w:rsidRDefault="00FF0F35">
            <w:pPr>
              <w:ind w:left="60" w:right="-104"/>
              <w:jc w:val="both"/>
              <w:rPr>
                <w:rFonts w:ascii="Arial" w:eastAsia="Cordia New" w:hAnsi="Arial" w:cs="Arial"/>
                <w:sz w:val="20"/>
                <w:szCs w:val="20"/>
                <w:cs/>
              </w:rPr>
            </w:pPr>
            <w:r w:rsidRPr="002D2F67">
              <w:rPr>
                <w:rFonts w:ascii="Arial" w:hAnsi="Arial" w:cs="Arial"/>
                <w:color w:val="000000"/>
                <w:sz w:val="20"/>
                <w:szCs w:val="20"/>
              </w:rPr>
              <w:t>Expected credit losses</w:t>
            </w:r>
          </w:p>
        </w:tc>
        <w:tc>
          <w:tcPr>
            <w:tcW w:w="1559" w:type="dxa"/>
            <w:shd w:val="clear" w:color="auto" w:fill="auto"/>
            <w:vAlign w:val="bottom"/>
          </w:tcPr>
          <w:p w14:paraId="301BE3D4" w14:textId="77777777" w:rsidR="00FF0F35" w:rsidRPr="002D2F67" w:rsidRDefault="00FF0F35">
            <w:pPr>
              <w:tabs>
                <w:tab w:val="left" w:pos="248"/>
                <w:tab w:val="center" w:pos="4153"/>
                <w:tab w:val="right" w:pos="8306"/>
              </w:tabs>
              <w:ind w:left="-14" w:right="-72"/>
              <w:jc w:val="right"/>
              <w:rPr>
                <w:rFonts w:ascii="Arial" w:eastAsia="Cordia New" w:hAnsi="Arial" w:cs="Arial"/>
                <w:sz w:val="20"/>
                <w:szCs w:val="25"/>
              </w:rPr>
            </w:pPr>
            <w:r w:rsidRPr="002D2F67">
              <w:rPr>
                <w:rFonts w:ascii="Arial" w:eastAsia="Cordia New" w:hAnsi="Arial" w:cs="Arial"/>
                <w:sz w:val="20"/>
                <w:szCs w:val="25"/>
              </w:rPr>
              <w:t>-</w:t>
            </w:r>
          </w:p>
        </w:tc>
        <w:tc>
          <w:tcPr>
            <w:tcW w:w="1777" w:type="dxa"/>
            <w:vAlign w:val="bottom"/>
          </w:tcPr>
          <w:p w14:paraId="38FFFBDB" w14:textId="03F69B54" w:rsidR="00FF0F35" w:rsidRPr="002D2F67" w:rsidRDefault="00CD5714">
            <w:pPr>
              <w:tabs>
                <w:tab w:val="left" w:pos="248"/>
                <w:tab w:val="center" w:pos="4153"/>
                <w:tab w:val="right" w:pos="8306"/>
              </w:tabs>
              <w:ind w:left="-14" w:right="-72"/>
              <w:jc w:val="right"/>
              <w:rPr>
                <w:rFonts w:ascii="Arial" w:eastAsia="Cordia New" w:hAnsi="Arial" w:cs="Arial"/>
                <w:sz w:val="20"/>
                <w:szCs w:val="20"/>
                <w:cs/>
              </w:rPr>
            </w:pPr>
            <w:r w:rsidRPr="00CD5714">
              <w:rPr>
                <w:rFonts w:ascii="Arial" w:eastAsia="Cordia New" w:hAnsi="Arial" w:cs="Arial"/>
                <w:sz w:val="20"/>
                <w:szCs w:val="20"/>
                <w:lang w:val="en-GB"/>
              </w:rPr>
              <w:t>672</w:t>
            </w:r>
          </w:p>
        </w:tc>
        <w:tc>
          <w:tcPr>
            <w:tcW w:w="1625" w:type="dxa"/>
            <w:vAlign w:val="bottom"/>
          </w:tcPr>
          <w:p w14:paraId="4F6DD11B" w14:textId="0419730A" w:rsidR="00FF0F35" w:rsidRPr="002D2F67" w:rsidRDefault="00CD5714">
            <w:pPr>
              <w:tabs>
                <w:tab w:val="left" w:pos="248"/>
                <w:tab w:val="center" w:pos="4153"/>
                <w:tab w:val="right" w:pos="8306"/>
              </w:tabs>
              <w:ind w:left="-14" w:right="-72"/>
              <w:jc w:val="right"/>
              <w:rPr>
                <w:rFonts w:ascii="Arial" w:eastAsia="Cordia New" w:hAnsi="Arial" w:cs="Arial"/>
                <w:sz w:val="20"/>
                <w:szCs w:val="20"/>
              </w:rPr>
            </w:pPr>
            <w:r w:rsidRPr="00CD5714">
              <w:rPr>
                <w:rFonts w:ascii="Arial" w:eastAsia="Cordia New" w:hAnsi="Arial" w:cs="Arial"/>
                <w:sz w:val="20"/>
                <w:szCs w:val="20"/>
                <w:lang w:val="en-GB"/>
              </w:rPr>
              <w:t>672</w:t>
            </w:r>
          </w:p>
        </w:tc>
      </w:tr>
      <w:tr w:rsidR="00FF0F35" w:rsidRPr="002D2F67" w14:paraId="4FF1290E" w14:textId="77777777" w:rsidTr="0053193B">
        <w:trPr>
          <w:trHeight w:val="20"/>
          <w:tblHeader/>
        </w:trPr>
        <w:tc>
          <w:tcPr>
            <w:tcW w:w="4651" w:type="dxa"/>
            <w:shd w:val="clear" w:color="auto" w:fill="auto"/>
            <w:vAlign w:val="bottom"/>
          </w:tcPr>
          <w:p w14:paraId="53510A84" w14:textId="32C774D6" w:rsidR="00FF0F35" w:rsidRPr="002D2F67" w:rsidRDefault="00FF0F35">
            <w:pPr>
              <w:ind w:left="60" w:right="-104"/>
              <w:jc w:val="both"/>
              <w:rPr>
                <w:rFonts w:ascii="Arial" w:eastAsia="Cordia New" w:hAnsi="Arial" w:cs="Arial"/>
                <w:sz w:val="20"/>
                <w:szCs w:val="20"/>
                <w:cs/>
              </w:rPr>
            </w:pPr>
            <w:r w:rsidRPr="002D2F67">
              <w:rPr>
                <w:rFonts w:ascii="Arial" w:hAnsi="Arial" w:cs="Arial"/>
                <w:color w:val="000000"/>
                <w:sz w:val="20"/>
                <w:szCs w:val="20"/>
              </w:rPr>
              <w:t>Impairment loss</w:t>
            </w:r>
            <w:r w:rsidR="00814FF3" w:rsidRPr="002D2F67">
              <w:rPr>
                <w:rFonts w:ascii="Arial" w:hAnsi="Arial" w:cs="Arial"/>
                <w:color w:val="000000"/>
                <w:sz w:val="20"/>
                <w:szCs w:val="20"/>
              </w:rPr>
              <w:t xml:space="preserve"> of assets</w:t>
            </w:r>
          </w:p>
        </w:tc>
        <w:tc>
          <w:tcPr>
            <w:tcW w:w="1559" w:type="dxa"/>
            <w:shd w:val="clear" w:color="auto" w:fill="auto"/>
            <w:vAlign w:val="bottom"/>
          </w:tcPr>
          <w:p w14:paraId="670D5672" w14:textId="77777777" w:rsidR="00FF0F35" w:rsidRPr="002D2F67" w:rsidRDefault="00FF0F35">
            <w:pPr>
              <w:tabs>
                <w:tab w:val="left" w:pos="248"/>
                <w:tab w:val="center" w:pos="4153"/>
                <w:tab w:val="right" w:pos="8306"/>
              </w:tabs>
              <w:ind w:left="-14" w:right="-72"/>
              <w:jc w:val="right"/>
              <w:rPr>
                <w:rFonts w:ascii="Arial" w:eastAsia="Cordia New" w:hAnsi="Arial" w:cs="Arial"/>
                <w:sz w:val="20"/>
                <w:szCs w:val="20"/>
              </w:rPr>
            </w:pPr>
            <w:r w:rsidRPr="002D2F67">
              <w:rPr>
                <w:rFonts w:ascii="Arial" w:eastAsia="Cordia New" w:hAnsi="Arial" w:cs="Arial"/>
                <w:sz w:val="20"/>
                <w:szCs w:val="20"/>
              </w:rPr>
              <w:t>-</w:t>
            </w:r>
          </w:p>
        </w:tc>
        <w:tc>
          <w:tcPr>
            <w:tcW w:w="1777" w:type="dxa"/>
            <w:vAlign w:val="bottom"/>
          </w:tcPr>
          <w:p w14:paraId="05BA5438" w14:textId="05025A35" w:rsidR="00FF0F35" w:rsidRPr="002D2F67" w:rsidRDefault="00A45FB0">
            <w:pPr>
              <w:tabs>
                <w:tab w:val="left" w:pos="248"/>
                <w:tab w:val="center" w:pos="4153"/>
                <w:tab w:val="right" w:pos="8306"/>
              </w:tabs>
              <w:ind w:left="-14" w:right="-72"/>
              <w:jc w:val="right"/>
              <w:rPr>
                <w:rFonts w:ascii="Arial" w:eastAsia="Cordia New" w:hAnsi="Arial" w:cs="Arial"/>
                <w:sz w:val="20"/>
                <w:szCs w:val="20"/>
              </w:rPr>
            </w:pPr>
            <w:r w:rsidRPr="002D2F67">
              <w:rPr>
                <w:rFonts w:ascii="Arial" w:eastAsia="Cordia New" w:hAnsi="Arial" w:cs="Arial"/>
                <w:sz w:val="20"/>
                <w:szCs w:val="20"/>
              </w:rPr>
              <w:t>(</w:t>
            </w:r>
            <w:r w:rsidR="00CD5714" w:rsidRPr="00CD5714">
              <w:rPr>
                <w:rFonts w:ascii="Arial" w:eastAsia="Cordia New" w:hAnsi="Arial" w:cs="Arial"/>
                <w:sz w:val="20"/>
                <w:szCs w:val="20"/>
                <w:lang w:val="en-GB"/>
              </w:rPr>
              <w:t>51</w:t>
            </w:r>
            <w:r w:rsidRPr="002D2F67">
              <w:rPr>
                <w:rFonts w:ascii="Arial" w:eastAsia="Cordia New" w:hAnsi="Arial" w:cs="Arial"/>
                <w:sz w:val="20"/>
                <w:szCs w:val="20"/>
              </w:rPr>
              <w:t>,</w:t>
            </w:r>
            <w:r w:rsidR="00CD5714" w:rsidRPr="00CD5714">
              <w:rPr>
                <w:rFonts w:ascii="Arial" w:eastAsia="Cordia New" w:hAnsi="Arial" w:cs="Arial"/>
                <w:sz w:val="20"/>
                <w:szCs w:val="20"/>
                <w:lang w:val="en-GB"/>
              </w:rPr>
              <w:t>196</w:t>
            </w:r>
            <w:r w:rsidRPr="002D2F67">
              <w:rPr>
                <w:rFonts w:ascii="Arial" w:eastAsia="Cordia New" w:hAnsi="Arial" w:cs="Arial"/>
                <w:sz w:val="20"/>
                <w:szCs w:val="20"/>
              </w:rPr>
              <w:t>)</w:t>
            </w:r>
          </w:p>
        </w:tc>
        <w:tc>
          <w:tcPr>
            <w:tcW w:w="1625" w:type="dxa"/>
            <w:vAlign w:val="bottom"/>
          </w:tcPr>
          <w:p w14:paraId="583DA509" w14:textId="548D071F" w:rsidR="00FF0F35" w:rsidRPr="002D2F67" w:rsidRDefault="00A45FB0">
            <w:pPr>
              <w:tabs>
                <w:tab w:val="left" w:pos="248"/>
                <w:tab w:val="center" w:pos="4153"/>
                <w:tab w:val="right" w:pos="8306"/>
              </w:tabs>
              <w:ind w:left="-14" w:right="-72"/>
              <w:jc w:val="right"/>
              <w:rPr>
                <w:rFonts w:ascii="Arial" w:eastAsia="Cordia New" w:hAnsi="Arial" w:cs="Arial"/>
                <w:sz w:val="20"/>
                <w:szCs w:val="20"/>
              </w:rPr>
            </w:pPr>
            <w:r w:rsidRPr="002D2F67">
              <w:rPr>
                <w:rFonts w:ascii="Arial" w:eastAsia="Cordia New" w:hAnsi="Arial" w:cs="Arial"/>
                <w:sz w:val="20"/>
                <w:szCs w:val="20"/>
              </w:rPr>
              <w:t>(</w:t>
            </w:r>
            <w:r w:rsidR="00CD5714" w:rsidRPr="00CD5714">
              <w:rPr>
                <w:rFonts w:ascii="Arial" w:eastAsia="Cordia New" w:hAnsi="Arial" w:cs="Arial"/>
                <w:sz w:val="20"/>
                <w:szCs w:val="20"/>
                <w:lang w:val="en-GB"/>
              </w:rPr>
              <w:t>51</w:t>
            </w:r>
            <w:r w:rsidRPr="002D2F67">
              <w:rPr>
                <w:rFonts w:ascii="Arial" w:eastAsia="Cordia New" w:hAnsi="Arial" w:cs="Arial"/>
                <w:sz w:val="20"/>
                <w:szCs w:val="20"/>
              </w:rPr>
              <w:t>,</w:t>
            </w:r>
            <w:r w:rsidR="00CD5714" w:rsidRPr="00CD5714">
              <w:rPr>
                <w:rFonts w:ascii="Arial" w:eastAsia="Cordia New" w:hAnsi="Arial" w:cs="Arial"/>
                <w:sz w:val="20"/>
                <w:szCs w:val="20"/>
                <w:lang w:val="en-GB"/>
              </w:rPr>
              <w:t>196</w:t>
            </w:r>
            <w:r w:rsidRPr="002D2F67">
              <w:rPr>
                <w:rFonts w:ascii="Arial" w:eastAsia="Cordia New" w:hAnsi="Arial" w:cs="Arial"/>
                <w:sz w:val="20"/>
                <w:szCs w:val="20"/>
              </w:rPr>
              <w:t>)</w:t>
            </w:r>
          </w:p>
        </w:tc>
      </w:tr>
    </w:tbl>
    <w:p w14:paraId="3CC521D4" w14:textId="77777777" w:rsidR="00B2127E" w:rsidRPr="00CD5714" w:rsidRDefault="00B2127E" w:rsidP="005611FE">
      <w:pPr>
        <w:pStyle w:val="BodyText"/>
        <w:ind w:left="540" w:right="8" w:hanging="540"/>
        <w:rPr>
          <w:rFonts w:ascii="Arial" w:hAnsi="Arial" w:cs="Arial"/>
          <w:color w:val="000000"/>
          <w:sz w:val="16"/>
          <w:szCs w:val="16"/>
          <w:lang w:val="en-GB"/>
        </w:rPr>
      </w:pPr>
    </w:p>
    <w:sectPr w:rsidR="00B2127E" w:rsidRPr="00CD5714" w:rsidSect="00BC5B63">
      <w:footerReference w:type="default" r:id="rId14"/>
      <w:pgSz w:w="11906" w:h="16838" w:code="9"/>
      <w:pgMar w:top="1440" w:right="720" w:bottom="720" w:left="172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67B89" w14:textId="77777777" w:rsidR="005B003B" w:rsidRDefault="005B003B">
      <w:r>
        <w:separator/>
      </w:r>
    </w:p>
  </w:endnote>
  <w:endnote w:type="continuationSeparator" w:id="0">
    <w:p w14:paraId="1BD35A58" w14:textId="77777777" w:rsidR="005B003B" w:rsidRDefault="005B003B">
      <w:r>
        <w:continuationSeparator/>
      </w:r>
    </w:p>
  </w:endnote>
  <w:endnote w:type="continuationNotice" w:id="1">
    <w:p w14:paraId="567DC6D9" w14:textId="77777777" w:rsidR="005B003B" w:rsidRDefault="005B0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BrowalliaUPC">
    <w:panose1 w:val="020B06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G Times (W1)">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PSLChalalaiClassicas">
    <w:altName w:val="Times New Roman"/>
    <w:charset w:val="01"/>
    <w:family w:val="auto"/>
    <w:pitch w:val="variable"/>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7CFBA" w14:textId="77777777" w:rsidR="005754BE" w:rsidRPr="006160A2" w:rsidRDefault="005754BE" w:rsidP="00E87229">
    <w:pPr>
      <w:pStyle w:val="Footer"/>
      <w:pBdr>
        <w:top w:val="single" w:sz="8" w:space="1" w:color="auto"/>
      </w:pBdr>
      <w:tabs>
        <w:tab w:val="clear" w:pos="8640"/>
      </w:tabs>
      <w:ind w:right="26"/>
      <w:jc w:val="right"/>
      <w:rPr>
        <w:rFonts w:ascii="Arial" w:hAnsi="Arial" w:cs="Arial"/>
        <w:sz w:val="20"/>
        <w:szCs w:val="20"/>
      </w:rPr>
    </w:pPr>
    <w:r w:rsidRPr="006160A2">
      <w:rPr>
        <w:rStyle w:val="PageNumber"/>
        <w:rFonts w:cs="Arial"/>
      </w:rPr>
      <w:fldChar w:fldCharType="begin"/>
    </w:r>
    <w:r w:rsidRPr="006160A2">
      <w:rPr>
        <w:rStyle w:val="PageNumber"/>
        <w:rFonts w:cs="Arial"/>
      </w:rPr>
      <w:instrText xml:space="preserve"> PAGE </w:instrText>
    </w:r>
    <w:r w:rsidRPr="006160A2">
      <w:rPr>
        <w:rStyle w:val="PageNumber"/>
        <w:rFonts w:cs="Arial"/>
      </w:rPr>
      <w:fldChar w:fldCharType="separate"/>
    </w:r>
    <w:r w:rsidRPr="006160A2">
      <w:rPr>
        <w:rStyle w:val="PageNumber"/>
        <w:rFonts w:cs="Arial"/>
        <w:noProof/>
      </w:rPr>
      <w:t>19</w:t>
    </w:r>
    <w:r w:rsidRPr="006160A2">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B09B0" w14:textId="77777777" w:rsidR="005754BE" w:rsidRPr="006160A2" w:rsidRDefault="005754BE" w:rsidP="00E17621">
    <w:pPr>
      <w:pStyle w:val="Footer"/>
      <w:pBdr>
        <w:top w:val="single" w:sz="8" w:space="1" w:color="auto"/>
      </w:pBdr>
      <w:jc w:val="right"/>
      <w:rPr>
        <w:rFonts w:ascii="Arial" w:hAnsi="Arial" w:cs="Arial"/>
        <w:sz w:val="20"/>
        <w:szCs w:val="20"/>
      </w:rPr>
    </w:pPr>
    <w:r w:rsidRPr="006160A2">
      <w:rPr>
        <w:rStyle w:val="PageNumber"/>
        <w:rFonts w:cs="Arial"/>
      </w:rPr>
      <w:fldChar w:fldCharType="begin"/>
    </w:r>
    <w:r w:rsidRPr="006160A2">
      <w:rPr>
        <w:rStyle w:val="PageNumber"/>
        <w:rFonts w:cs="Arial"/>
      </w:rPr>
      <w:instrText xml:space="preserve"> PAGE </w:instrText>
    </w:r>
    <w:r w:rsidRPr="006160A2">
      <w:rPr>
        <w:rStyle w:val="PageNumber"/>
        <w:rFonts w:cs="Arial"/>
      </w:rPr>
      <w:fldChar w:fldCharType="separate"/>
    </w:r>
    <w:r w:rsidRPr="006160A2">
      <w:rPr>
        <w:rStyle w:val="PageNumber"/>
        <w:rFonts w:cs="Arial"/>
        <w:noProof/>
      </w:rPr>
      <w:t>81</w:t>
    </w:r>
    <w:r w:rsidRPr="006160A2">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D7247" w14:textId="77777777" w:rsidR="005754BE" w:rsidRPr="006160A2" w:rsidRDefault="005754BE" w:rsidP="00E17621">
    <w:pPr>
      <w:pStyle w:val="Footer"/>
      <w:pBdr>
        <w:top w:val="single" w:sz="8" w:space="1" w:color="auto"/>
      </w:pBdr>
      <w:jc w:val="right"/>
      <w:rPr>
        <w:rFonts w:ascii="Arial" w:hAnsi="Arial" w:cs="Arial"/>
        <w:sz w:val="20"/>
        <w:szCs w:val="20"/>
      </w:rPr>
    </w:pPr>
    <w:r w:rsidRPr="006160A2">
      <w:rPr>
        <w:rStyle w:val="PageNumber"/>
        <w:rFonts w:cs="Arial"/>
      </w:rPr>
      <w:fldChar w:fldCharType="begin"/>
    </w:r>
    <w:r w:rsidRPr="006160A2">
      <w:rPr>
        <w:rStyle w:val="PageNumber"/>
        <w:rFonts w:cs="Arial"/>
      </w:rPr>
      <w:instrText xml:space="preserve"> PAGE </w:instrText>
    </w:r>
    <w:r w:rsidRPr="006160A2">
      <w:rPr>
        <w:rStyle w:val="PageNumber"/>
        <w:rFonts w:cs="Arial"/>
      </w:rPr>
      <w:fldChar w:fldCharType="separate"/>
    </w:r>
    <w:r w:rsidRPr="006160A2">
      <w:rPr>
        <w:rStyle w:val="PageNumber"/>
        <w:rFonts w:cs="Arial"/>
        <w:noProof/>
      </w:rPr>
      <w:t>81</w:t>
    </w:r>
    <w:r w:rsidRPr="006160A2">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F854E" w14:textId="77777777" w:rsidR="005B003B" w:rsidRDefault="005B003B">
      <w:r>
        <w:separator/>
      </w:r>
    </w:p>
  </w:footnote>
  <w:footnote w:type="continuationSeparator" w:id="0">
    <w:p w14:paraId="7FD9B72A" w14:textId="77777777" w:rsidR="005B003B" w:rsidRDefault="005B003B">
      <w:r>
        <w:continuationSeparator/>
      </w:r>
    </w:p>
  </w:footnote>
  <w:footnote w:type="continuationNotice" w:id="1">
    <w:p w14:paraId="72CBFB7A" w14:textId="77777777" w:rsidR="005B003B" w:rsidRDefault="005B00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3A03A" w14:textId="77777777" w:rsidR="00CF1632" w:rsidRPr="00D1502E" w:rsidRDefault="00CF1632" w:rsidP="00E23A38">
    <w:pPr>
      <w:pStyle w:val="Header"/>
      <w:rPr>
        <w:rFonts w:ascii="Arial" w:hAnsi="Arial" w:cs="Arial"/>
        <w:b/>
        <w:bCs/>
        <w:sz w:val="20"/>
        <w:szCs w:val="20"/>
      </w:rPr>
    </w:pPr>
    <w:r w:rsidRPr="00D1502E">
      <w:rPr>
        <w:rFonts w:ascii="Arial" w:hAnsi="Arial" w:cs="Arial"/>
        <w:b/>
        <w:bCs/>
        <w:sz w:val="20"/>
        <w:szCs w:val="20"/>
      </w:rPr>
      <w:t xml:space="preserve">Energy Absolute Public Company Limited </w:t>
    </w:r>
  </w:p>
  <w:p w14:paraId="1FF684EC" w14:textId="77777777" w:rsidR="00CF1632" w:rsidRPr="00D1502E" w:rsidRDefault="00CF1632" w:rsidP="00E23A38">
    <w:pPr>
      <w:pStyle w:val="Header"/>
      <w:tabs>
        <w:tab w:val="left" w:pos="4755"/>
      </w:tabs>
      <w:ind w:right="26"/>
      <w:rPr>
        <w:rFonts w:ascii="Arial" w:hAnsi="Arial" w:cs="Arial"/>
        <w:b/>
        <w:bCs/>
        <w:sz w:val="20"/>
        <w:szCs w:val="20"/>
      </w:rPr>
    </w:pPr>
    <w:r w:rsidRPr="00D1502E">
      <w:rPr>
        <w:rFonts w:ascii="Arial" w:hAnsi="Arial" w:cs="Arial"/>
        <w:b/>
        <w:bCs/>
        <w:sz w:val="20"/>
        <w:szCs w:val="20"/>
      </w:rPr>
      <w:t>Notes to the Consolidated and Separate Financial Statements</w:t>
    </w:r>
  </w:p>
  <w:p w14:paraId="50A3DACD" w14:textId="77777777" w:rsidR="00E23A38" w:rsidRPr="00D1502E" w:rsidRDefault="00CF1632" w:rsidP="00E23A38">
    <w:pPr>
      <w:pStyle w:val="Header"/>
      <w:pBdr>
        <w:bottom w:val="single" w:sz="8" w:space="1" w:color="auto"/>
      </w:pBdr>
      <w:tabs>
        <w:tab w:val="clear" w:pos="4320"/>
        <w:tab w:val="clear" w:pos="8640"/>
        <w:tab w:val="left" w:pos="6900"/>
      </w:tabs>
      <w:ind w:right="26"/>
      <w:rPr>
        <w:rFonts w:ascii="Arial" w:hAnsi="Arial" w:cs="Arial"/>
        <w:b/>
        <w:bCs/>
        <w:sz w:val="20"/>
        <w:szCs w:val="20"/>
      </w:rPr>
    </w:pPr>
    <w:r w:rsidRPr="00D1502E">
      <w:rPr>
        <w:rFonts w:ascii="Arial" w:hAnsi="Arial" w:cs="Arial"/>
        <w:b/>
        <w:bCs/>
        <w:sz w:val="20"/>
        <w:szCs w:val="20"/>
      </w:rPr>
      <w:t xml:space="preserve">For the year ended 31 December </w:t>
    </w:r>
    <w:r w:rsidRPr="005432F3">
      <w:rPr>
        <w:rFonts w:ascii="Arial" w:hAnsi="Arial" w:cs="Arial"/>
        <w:b/>
        <w:bCs/>
        <w:sz w:val="20"/>
        <w:szCs w:val="20"/>
      </w:rPr>
      <w:t>202</w:t>
    </w:r>
    <w:r>
      <w:rPr>
        <w:rFonts w:ascii="Arial" w:hAnsi="Arial" w:cs="Arial"/>
        <w:b/>
        <w:bCs/>
        <w:sz w:val="20"/>
        <w:szCs w:val="20"/>
      </w:rPr>
      <w:t>4</w:t>
    </w:r>
  </w:p>
  <w:p w14:paraId="37CCC9B0" w14:textId="41F942AD" w:rsidR="005754BE" w:rsidRPr="00D1502E" w:rsidRDefault="005754BE" w:rsidP="00A77E58">
    <w:pPr>
      <w:pStyle w:val="Header"/>
      <w:ind w:right="26"/>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5FB7"/>
    <w:multiLevelType w:val="hybridMultilevel"/>
    <w:tmpl w:val="8916A2A4"/>
    <w:lvl w:ilvl="0" w:tplc="871CA1AE">
      <w:start w:val="11"/>
      <w:numFmt w:val="bullet"/>
      <w:lvlText w:val="-"/>
      <w:lvlJc w:val="left"/>
      <w:pPr>
        <w:ind w:left="1260" w:hanging="360"/>
      </w:pPr>
      <w:rPr>
        <w:rFonts w:ascii="Angsana New" w:eastAsia="MS Mincho" w:hAnsi="Angsana New" w:cs="Angsana New"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 w15:restartNumberingAfterBreak="0">
    <w:nsid w:val="0136303D"/>
    <w:multiLevelType w:val="hybridMultilevel"/>
    <w:tmpl w:val="EDA0C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CD3241"/>
    <w:multiLevelType w:val="hybridMultilevel"/>
    <w:tmpl w:val="494A2F6E"/>
    <w:lvl w:ilvl="0" w:tplc="5CEC3780">
      <w:start w:val="3"/>
      <w:numFmt w:val="bullet"/>
      <w:lvlText w:val="-"/>
      <w:lvlJc w:val="left"/>
      <w:pPr>
        <w:ind w:left="1494" w:hanging="360"/>
      </w:pPr>
      <w:rPr>
        <w:rFonts w:ascii="Angsana New" w:eastAsia="MS Mincho" w:hAnsi="Angsana New" w:cs="Angsana New" w:hint="default"/>
        <w:sz w:val="22"/>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1D324DF"/>
    <w:multiLevelType w:val="hybridMultilevel"/>
    <w:tmpl w:val="0540A08A"/>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01EC7C85"/>
    <w:multiLevelType w:val="hybridMultilevel"/>
    <w:tmpl w:val="6C205EDA"/>
    <w:lvl w:ilvl="0" w:tplc="68980536">
      <w:start w:val="1"/>
      <w:numFmt w:val="lowerLetter"/>
      <w:lvlText w:val="%1)"/>
      <w:lvlJc w:val="left"/>
      <w:pPr>
        <w:ind w:left="567" w:hanging="540"/>
      </w:pPr>
      <w:rPr>
        <w:rFonts w:hint="default"/>
        <w:b/>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5" w15:restartNumberingAfterBreak="0">
    <w:nsid w:val="05EB3DA4"/>
    <w:multiLevelType w:val="hybridMultilevel"/>
    <w:tmpl w:val="BE8A41B2"/>
    <w:lvl w:ilvl="0" w:tplc="CC94CBFC">
      <w:start w:val="1"/>
      <w:numFmt w:val="decimal"/>
      <w:lvlText w:val="(%1)"/>
      <w:lvlJc w:val="left"/>
      <w:pPr>
        <w:ind w:left="720" w:hanging="360"/>
      </w:pPr>
      <w:rPr>
        <w:rFonts w:cstheme="minorBidi"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CB5CF4"/>
    <w:multiLevelType w:val="hybridMultilevel"/>
    <w:tmpl w:val="CD20F92C"/>
    <w:lvl w:ilvl="0" w:tplc="CC5C8668">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EE513A9"/>
    <w:multiLevelType w:val="hybridMultilevel"/>
    <w:tmpl w:val="B15A56CA"/>
    <w:lvl w:ilvl="0" w:tplc="1E82D16E">
      <w:start w:val="8"/>
      <w:numFmt w:val="bullet"/>
      <w:lvlText w:val="-"/>
      <w:lvlJc w:val="left"/>
      <w:pPr>
        <w:ind w:left="2629" w:hanging="360"/>
      </w:pPr>
      <w:rPr>
        <w:rFonts w:ascii="Browallia New" w:eastAsia="Arial Unicode MS" w:hAnsi="Browallia New" w:cs="Browallia New" w:hint="default"/>
        <w:sz w:val="26"/>
        <w:szCs w:val="2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26024DF"/>
    <w:multiLevelType w:val="hybridMultilevel"/>
    <w:tmpl w:val="B81A7254"/>
    <w:lvl w:ilvl="0" w:tplc="A360105C">
      <w:start w:val="1"/>
      <w:numFmt w:val="lowerLetter"/>
      <w:lvlText w:val="(%1)"/>
      <w:lvlJc w:val="left"/>
      <w:pPr>
        <w:ind w:left="1080" w:hanging="720"/>
      </w:pPr>
      <w:rPr>
        <w:rFonts w:hint="default"/>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F744BE"/>
    <w:multiLevelType w:val="hybridMultilevel"/>
    <w:tmpl w:val="D41CD9D2"/>
    <w:lvl w:ilvl="0" w:tplc="FE80434A">
      <w:start w:val="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E277A8"/>
    <w:multiLevelType w:val="hybridMultilevel"/>
    <w:tmpl w:val="11820A3A"/>
    <w:lvl w:ilvl="0" w:tplc="AD7CEB5A">
      <w:numFmt w:val="bullet"/>
      <w:lvlText w:val="-"/>
      <w:lvlJc w:val="left"/>
      <w:pPr>
        <w:ind w:left="2345" w:hanging="360"/>
      </w:pPr>
      <w:rPr>
        <w:rFonts w:ascii="Arial" w:eastAsia="Angsana New" w:hAnsi="Arial" w:cs="Aria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C355D3D"/>
    <w:multiLevelType w:val="hybridMultilevel"/>
    <w:tmpl w:val="5126715E"/>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DFF021B"/>
    <w:multiLevelType w:val="hybridMultilevel"/>
    <w:tmpl w:val="54B875D4"/>
    <w:lvl w:ilvl="0" w:tplc="B90EF5FC">
      <w:start w:val="11"/>
      <w:numFmt w:val="bullet"/>
      <w:lvlText w:val="-"/>
      <w:lvlJc w:val="left"/>
      <w:pPr>
        <w:ind w:left="1260" w:hanging="360"/>
      </w:pPr>
      <w:rPr>
        <w:rFonts w:ascii="Arial" w:eastAsia="MS Mincho" w:hAnsi="Arial" w:cs="Arial" w:hint="default"/>
        <w:sz w:val="20"/>
        <w:szCs w:val="20"/>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3" w15:restartNumberingAfterBreak="0">
    <w:nsid w:val="1EE72B2F"/>
    <w:multiLevelType w:val="hybridMultilevel"/>
    <w:tmpl w:val="DB12DFC4"/>
    <w:lvl w:ilvl="0" w:tplc="02A26702">
      <w:start w:val="6"/>
      <w:numFmt w:val="bullet"/>
      <w:lvlText w:val="-"/>
      <w:lvlJc w:val="left"/>
      <w:pPr>
        <w:ind w:left="1899" w:hanging="360"/>
      </w:pPr>
      <w:rPr>
        <w:rFonts w:ascii="Segoe UI" w:eastAsia="Calibri" w:hAnsi="Segoe UI" w:cs="Segoe UI"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4" w15:restartNumberingAfterBreak="0">
    <w:nsid w:val="22875FBE"/>
    <w:multiLevelType w:val="hybridMultilevel"/>
    <w:tmpl w:val="A948E3FC"/>
    <w:lvl w:ilvl="0" w:tplc="5CEC3780">
      <w:start w:val="3"/>
      <w:numFmt w:val="bullet"/>
      <w:lvlText w:val="-"/>
      <w:lvlJc w:val="left"/>
      <w:pPr>
        <w:ind w:left="720" w:hanging="360"/>
      </w:pPr>
      <w:rPr>
        <w:rFonts w:ascii="Angsana New" w:eastAsia="MS Mincho" w:hAnsi="Angsana New" w:cs="Angsana New" w:hint="c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55B4A8E"/>
    <w:multiLevelType w:val="hybridMultilevel"/>
    <w:tmpl w:val="E0AE0E24"/>
    <w:lvl w:ilvl="0" w:tplc="FFFFFFFF">
      <w:start w:val="1"/>
      <w:numFmt w:val="thaiLetters"/>
      <w:lvlText w:val="%1)"/>
      <w:lvlJc w:val="left"/>
      <w:pPr>
        <w:ind w:left="720" w:hanging="360"/>
      </w:pPr>
      <w:rPr>
        <w:rFonts w:eastAsia="Arial Unicode MS" w:hint="default"/>
        <w:b w:val="0"/>
        <w:bCs/>
        <w:color w:val="CF4A0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E33C50"/>
    <w:multiLevelType w:val="multilevel"/>
    <w:tmpl w:val="680AABBA"/>
    <w:lvl w:ilvl="0">
      <w:start w:val="1"/>
      <w:numFmt w:val="bullet"/>
      <w:lvlText w:val=""/>
      <w:lvlJc w:val="left"/>
      <w:pPr>
        <w:tabs>
          <w:tab w:val="num" w:pos="720"/>
        </w:tabs>
        <w:ind w:left="720" w:hanging="360"/>
      </w:pPr>
      <w:rPr>
        <w:rFonts w:ascii="Symbol" w:hAnsi="Symbol" w:hint="default"/>
        <w:sz w:val="20"/>
      </w:rPr>
    </w:lvl>
    <w:lvl w:ilvl="1">
      <w:start w:val="2"/>
      <w:numFmt w:val="lowerRoman"/>
      <w:lvlText w:val="%2&gt;"/>
      <w:lvlJc w:val="left"/>
      <w:pPr>
        <w:ind w:left="1800" w:hanging="720"/>
      </w:pPr>
      <w:rPr>
        <w:rFonts w:hint="default"/>
      </w:rPr>
    </w:lvl>
    <w:lvl w:ilvl="2">
      <w:start w:val="16"/>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A72E91"/>
    <w:multiLevelType w:val="multilevel"/>
    <w:tmpl w:val="5AE4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DD1C6C"/>
    <w:multiLevelType w:val="hybridMultilevel"/>
    <w:tmpl w:val="F530D92E"/>
    <w:lvl w:ilvl="0" w:tplc="71F09CE6">
      <w:start w:val="1"/>
      <w:numFmt w:val="lowerLetter"/>
      <w:lvlText w:val="(%1)"/>
      <w:lvlJc w:val="left"/>
      <w:pPr>
        <w:ind w:left="720" w:hanging="360"/>
      </w:pPr>
      <w:rPr>
        <w:rFonts w:hint="default"/>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E32BC8"/>
    <w:multiLevelType w:val="hybridMultilevel"/>
    <w:tmpl w:val="1494DBA8"/>
    <w:lvl w:ilvl="0" w:tplc="C8C48158">
      <w:start w:val="1"/>
      <w:numFmt w:val="thaiLetters"/>
      <w:lvlText w:val="%1)"/>
      <w:lvlJc w:val="left"/>
      <w:pPr>
        <w:ind w:left="720" w:hanging="360"/>
      </w:pPr>
      <w:rPr>
        <w:rFonts w:eastAsia="Arial Unicode MS" w:hint="default"/>
        <w:b w:val="0"/>
        <w:bCs/>
        <w:color w:val="CF4A02"/>
      </w:rPr>
    </w:lvl>
    <w:lvl w:ilvl="1" w:tplc="446EAA3A">
      <w:numFmt w:val="bullet"/>
      <w:lvlText w:val="•"/>
      <w:lvlJc w:val="left"/>
      <w:pPr>
        <w:ind w:left="1440" w:hanging="360"/>
      </w:pPr>
      <w:rPr>
        <w:rFonts w:ascii="Browallia New" w:eastAsia="Arial Unicode MS" w:hAnsi="Browallia New" w:cs="Browallia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5A741C"/>
    <w:multiLevelType w:val="hybridMultilevel"/>
    <w:tmpl w:val="773839BC"/>
    <w:lvl w:ilvl="0" w:tplc="2D22CF7E">
      <w:start w:val="12"/>
      <w:numFmt w:val="bullet"/>
      <w:lvlText w:val="-"/>
      <w:lvlJc w:val="left"/>
      <w:pPr>
        <w:ind w:left="720" w:hanging="360"/>
      </w:pPr>
      <w:rPr>
        <w:rFonts w:ascii="Browallia New" w:eastAsia="Times New Roman" w:hAnsi="Browallia New" w:cs="Browallia New"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CA00D1"/>
    <w:multiLevelType w:val="hybridMultilevel"/>
    <w:tmpl w:val="7D127DA8"/>
    <w:lvl w:ilvl="0" w:tplc="FFFFFFFF">
      <w:start w:val="1"/>
      <w:numFmt w:val="thaiLetters"/>
      <w:lvlText w:val="(%1)"/>
      <w:lvlJc w:val="left"/>
      <w:pPr>
        <w:ind w:left="720" w:hanging="360"/>
      </w:pPr>
      <w:rPr>
        <w:vertAlign w:val="superscrip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F2C3D8F"/>
    <w:multiLevelType w:val="hybridMultilevel"/>
    <w:tmpl w:val="655E638E"/>
    <w:lvl w:ilvl="0" w:tplc="A61C0A14">
      <w:start w:val="11"/>
      <w:numFmt w:val="bullet"/>
      <w:lvlText w:val="-"/>
      <w:lvlJc w:val="left"/>
      <w:pPr>
        <w:ind w:left="1624" w:hanging="360"/>
      </w:pPr>
      <w:rPr>
        <w:rFonts w:ascii="Arial" w:eastAsia="MS Mincho" w:hAnsi="Arial" w:cs="Arial" w:hint="default"/>
        <w:sz w:val="20"/>
        <w:szCs w:val="20"/>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23" w15:restartNumberingAfterBreak="0">
    <w:nsid w:val="46242276"/>
    <w:multiLevelType w:val="hybridMultilevel"/>
    <w:tmpl w:val="66787588"/>
    <w:lvl w:ilvl="0" w:tplc="938CC8D4">
      <w:start w:val="1"/>
      <w:numFmt w:val="bullet"/>
      <w:lvlText w:val="-"/>
      <w:lvlJc w:val="left"/>
      <w:pPr>
        <w:ind w:left="900" w:hanging="360"/>
      </w:pPr>
      <w:rPr>
        <w:rFonts w:ascii="Angsana New" w:eastAsia="MS Mincho" w:hAnsi="Angsana New" w:cs="Angsana New" w:hint="default"/>
        <w:color w:val="auto"/>
        <w:sz w:val="28"/>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4" w15:restartNumberingAfterBreak="0">
    <w:nsid w:val="482D1FAB"/>
    <w:multiLevelType w:val="hybridMultilevel"/>
    <w:tmpl w:val="4D0295BE"/>
    <w:lvl w:ilvl="0" w:tplc="FFFFFFFF">
      <w:start w:val="1"/>
      <w:numFmt w:val="bullet"/>
      <w:lvlText w:val=""/>
      <w:lvlJc w:val="left"/>
      <w:pPr>
        <w:ind w:left="1854" w:hanging="360"/>
      </w:pPr>
      <w:rPr>
        <w:rFonts w:ascii="Symbol" w:hAnsi="Symbol" w:hint="default"/>
      </w:rPr>
    </w:lvl>
    <w:lvl w:ilvl="1" w:tplc="894EE97A">
      <w:start w:val="1"/>
      <w:numFmt w:val="bullet"/>
      <w:lvlText w:val=""/>
      <w:lvlJc w:val="left"/>
      <w:pPr>
        <w:ind w:left="2574" w:hanging="360"/>
      </w:pPr>
      <w:rPr>
        <w:rFonts w:ascii="Symbol" w:hAnsi="Symbol" w:hint="default"/>
        <w:sz w:val="20"/>
        <w:szCs w:val="20"/>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5" w15:restartNumberingAfterBreak="0">
    <w:nsid w:val="49B2763B"/>
    <w:multiLevelType w:val="hybridMultilevel"/>
    <w:tmpl w:val="E7541B46"/>
    <w:lvl w:ilvl="0" w:tplc="0436CB82">
      <w:start w:val="1"/>
      <w:numFmt w:val="lowerLetter"/>
      <w:lvlText w:val="(%1)"/>
      <w:lvlJc w:val="left"/>
      <w:pPr>
        <w:ind w:left="877" w:hanging="360"/>
      </w:pPr>
      <w:rPr>
        <w:rFonts w:hint="default"/>
        <w:vertAlign w:val="superscript"/>
      </w:rPr>
    </w:lvl>
    <w:lvl w:ilvl="1" w:tplc="04090019">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26" w15:restartNumberingAfterBreak="0">
    <w:nsid w:val="4A7C4C9B"/>
    <w:multiLevelType w:val="multilevel"/>
    <w:tmpl w:val="4DCE33FE"/>
    <w:lvl w:ilvl="0">
      <w:start w:val="2"/>
      <w:numFmt w:val="bullet"/>
      <w:lvlText w:val="-"/>
      <w:lvlJc w:val="left"/>
      <w:pPr>
        <w:ind w:left="2629"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AD22E67"/>
    <w:multiLevelType w:val="hybridMultilevel"/>
    <w:tmpl w:val="BDA4C200"/>
    <w:lvl w:ilvl="0" w:tplc="43EE52FA">
      <w:start w:val="1"/>
      <w:numFmt w:val="bullet"/>
      <w:lvlText w:val="•"/>
      <w:lvlJc w:val="left"/>
      <w:pPr>
        <w:ind w:left="2160" w:hanging="360"/>
      </w:pPr>
      <w:rPr>
        <w:rFonts w:ascii="Arial" w:hAnsi="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4E822498"/>
    <w:multiLevelType w:val="hybridMultilevel"/>
    <w:tmpl w:val="08923384"/>
    <w:lvl w:ilvl="0" w:tplc="43EE52FA">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099359C"/>
    <w:multiLevelType w:val="hybridMultilevel"/>
    <w:tmpl w:val="731EDB52"/>
    <w:lvl w:ilvl="0" w:tplc="B142BAE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43374CE"/>
    <w:multiLevelType w:val="hybridMultilevel"/>
    <w:tmpl w:val="E0AE0E24"/>
    <w:lvl w:ilvl="0" w:tplc="FFFFFFFF">
      <w:start w:val="1"/>
      <w:numFmt w:val="thaiLetters"/>
      <w:lvlText w:val="%1)"/>
      <w:lvlJc w:val="left"/>
      <w:pPr>
        <w:ind w:left="720" w:hanging="360"/>
      </w:pPr>
      <w:rPr>
        <w:rFonts w:eastAsia="Arial Unicode MS" w:hint="default"/>
        <w:b w:val="0"/>
        <w:bCs/>
        <w:color w:val="CF4A0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4E355D5"/>
    <w:multiLevelType w:val="hybridMultilevel"/>
    <w:tmpl w:val="C8E4555E"/>
    <w:lvl w:ilvl="0" w:tplc="D0ACD836">
      <w:start w:val="2"/>
      <w:numFmt w:val="bullet"/>
      <w:lvlText w:val="-"/>
      <w:lvlJc w:val="left"/>
      <w:pPr>
        <w:ind w:left="720" w:hanging="360"/>
      </w:pPr>
      <w:rPr>
        <w:rFonts w:ascii="Arial" w:eastAsia="Times New Roman" w:hAnsi="Arial" w:cs="Aria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5F31242"/>
    <w:multiLevelType w:val="hybridMultilevel"/>
    <w:tmpl w:val="7D127DA8"/>
    <w:lvl w:ilvl="0" w:tplc="0BD8D79A">
      <w:start w:val="1"/>
      <w:numFmt w:val="thaiLetters"/>
      <w:lvlText w:val="(%1)"/>
      <w:lvlJc w:val="left"/>
      <w:pPr>
        <w:ind w:left="1069" w:hanging="360"/>
      </w:pPr>
      <w:rPr>
        <w:vertAlign w:val="superscrip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3" w15:restartNumberingAfterBreak="0">
    <w:nsid w:val="573C73B4"/>
    <w:multiLevelType w:val="hybridMultilevel"/>
    <w:tmpl w:val="3AAAD906"/>
    <w:lvl w:ilvl="0" w:tplc="D3B2F3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7A064D5"/>
    <w:multiLevelType w:val="hybridMultilevel"/>
    <w:tmpl w:val="2772A2C2"/>
    <w:lvl w:ilvl="0" w:tplc="6270D18A">
      <w:start w:val="11"/>
      <w:numFmt w:val="bullet"/>
      <w:lvlText w:val="-"/>
      <w:lvlJc w:val="left"/>
      <w:pPr>
        <w:ind w:left="1260" w:hanging="360"/>
      </w:pPr>
      <w:rPr>
        <w:rFonts w:ascii="Browallia New" w:eastAsia="MS Mincho" w:hAnsi="Browallia New" w:cs="Browallia New" w:hint="default"/>
        <w:sz w:val="26"/>
        <w:szCs w:val="26"/>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5" w15:restartNumberingAfterBreak="0">
    <w:nsid w:val="6BB973CD"/>
    <w:multiLevelType w:val="hybridMultilevel"/>
    <w:tmpl w:val="A8BA624C"/>
    <w:lvl w:ilvl="0" w:tplc="514EADE6">
      <w:start w:val="3"/>
      <w:numFmt w:val="bullet"/>
      <w:lvlText w:val="-"/>
      <w:lvlJc w:val="left"/>
      <w:pPr>
        <w:ind w:left="1287" w:hanging="360"/>
      </w:pPr>
      <w:rPr>
        <w:rFonts w:ascii="Browallia New" w:eastAsia="MS Mincho" w:hAnsi="Browallia New" w:cs="Browallia New" w:hint="default"/>
        <w:i w:val="0"/>
        <w:sz w:val="26"/>
        <w:szCs w:val="26"/>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15:restartNumberingAfterBreak="0">
    <w:nsid w:val="6DDF6378"/>
    <w:multiLevelType w:val="multilevel"/>
    <w:tmpl w:val="A7B40FCE"/>
    <w:lvl w:ilvl="0">
      <w:start w:val="1"/>
      <w:numFmt w:val="bullet"/>
      <w:lvlText w:val=""/>
      <w:lvlJc w:val="left"/>
      <w:pPr>
        <w:tabs>
          <w:tab w:val="num" w:pos="720"/>
        </w:tabs>
        <w:ind w:left="720" w:hanging="360"/>
      </w:pPr>
      <w:rPr>
        <w:rFonts w:ascii="Symbol" w:hAnsi="Symbol" w:hint="default"/>
        <w:sz w:val="20"/>
      </w:rPr>
    </w:lvl>
    <w:lvl w:ilvl="1">
      <w:start w:val="2"/>
      <w:numFmt w:val="lowerRoman"/>
      <w:lvlText w:val="%2&gt;"/>
      <w:lvlJc w:val="left"/>
      <w:pPr>
        <w:ind w:left="1800" w:hanging="720"/>
      </w:pPr>
      <w:rPr>
        <w:rFonts w:hint="default"/>
      </w:rPr>
    </w:lvl>
    <w:lvl w:ilvl="2">
      <w:start w:val="16"/>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vertAlign w:val="superscript"/>
      </w:rPr>
    </w:lvl>
    <w:lvl w:ilvl="5">
      <w:numFmt w:val="bullet"/>
      <w:lvlText w:val="﷐"/>
      <w:lvlJc w:val="left"/>
      <w:pPr>
        <w:ind w:left="4320" w:hanging="360"/>
      </w:pPr>
      <w:rPr>
        <w:rFonts w:ascii="Times New Roman" w:eastAsia="Times New Roman" w:hAnsi="Times New Roman" w:cs="Times New Roman"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D76EE4"/>
    <w:multiLevelType w:val="hybridMultilevel"/>
    <w:tmpl w:val="21D2E860"/>
    <w:lvl w:ilvl="0" w:tplc="487C1C92">
      <w:start w:val="1"/>
      <w:numFmt w:val="bullet"/>
      <w:lvlText w:val="-"/>
      <w:lvlJc w:val="left"/>
      <w:pPr>
        <w:ind w:left="720" w:hanging="360"/>
      </w:pPr>
      <w:rPr>
        <w:rFonts w:ascii="Browallia New" w:eastAsia="MS Mincho" w:hAnsi="Browallia New" w:cs="Browallia New" w:hint="default"/>
        <w:color w:val="auto"/>
        <w:sz w:val="26"/>
        <w:szCs w:val="2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0BD4C3E"/>
    <w:multiLevelType w:val="multilevel"/>
    <w:tmpl w:val="680AABBA"/>
    <w:lvl w:ilvl="0">
      <w:start w:val="1"/>
      <w:numFmt w:val="bullet"/>
      <w:lvlText w:val=""/>
      <w:lvlJc w:val="left"/>
      <w:pPr>
        <w:tabs>
          <w:tab w:val="num" w:pos="720"/>
        </w:tabs>
        <w:ind w:left="720" w:hanging="360"/>
      </w:pPr>
      <w:rPr>
        <w:rFonts w:ascii="Symbol" w:hAnsi="Symbol" w:hint="default"/>
        <w:sz w:val="20"/>
      </w:rPr>
    </w:lvl>
    <w:lvl w:ilvl="1">
      <w:start w:val="2"/>
      <w:numFmt w:val="lowerRoman"/>
      <w:lvlText w:val="%2&gt;"/>
      <w:lvlJc w:val="left"/>
      <w:pPr>
        <w:ind w:left="1800" w:hanging="720"/>
      </w:pPr>
      <w:rPr>
        <w:rFonts w:hint="default"/>
      </w:rPr>
    </w:lvl>
    <w:lvl w:ilvl="2">
      <w:start w:val="16"/>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175667"/>
    <w:multiLevelType w:val="hybridMultilevel"/>
    <w:tmpl w:val="0CEAC386"/>
    <w:lvl w:ilvl="0" w:tplc="5CEC3780">
      <w:start w:val="3"/>
      <w:numFmt w:val="bullet"/>
      <w:lvlText w:val="-"/>
      <w:lvlJc w:val="left"/>
      <w:pPr>
        <w:ind w:left="720" w:hanging="360"/>
      </w:pPr>
      <w:rPr>
        <w:rFonts w:ascii="Angsana New" w:eastAsia="MS Mincho" w:hAnsi="Angsana New" w:cs="Angsana New" w:hint="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3D4C5F"/>
    <w:multiLevelType w:val="hybridMultilevel"/>
    <w:tmpl w:val="6C846A4A"/>
    <w:lvl w:ilvl="0" w:tplc="EF5C394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A52534"/>
    <w:multiLevelType w:val="hybridMultilevel"/>
    <w:tmpl w:val="AD8A332C"/>
    <w:lvl w:ilvl="0" w:tplc="12246074">
      <w:numFmt w:val="bullet"/>
      <w:lvlText w:val="-"/>
      <w:lvlJc w:val="left"/>
      <w:pPr>
        <w:ind w:left="927" w:hanging="360"/>
      </w:pPr>
      <w:rPr>
        <w:rFonts w:ascii="Arial" w:eastAsia="Arial"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2" w15:restartNumberingAfterBreak="0">
    <w:nsid w:val="7AEA41BA"/>
    <w:multiLevelType w:val="hybridMultilevel"/>
    <w:tmpl w:val="625E2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0236C"/>
    <w:multiLevelType w:val="hybridMultilevel"/>
    <w:tmpl w:val="616261C6"/>
    <w:lvl w:ilvl="0" w:tplc="871CA1AE">
      <w:start w:val="11"/>
      <w:numFmt w:val="bullet"/>
      <w:lvlText w:val="-"/>
      <w:lvlJc w:val="left"/>
      <w:pPr>
        <w:ind w:left="1800" w:hanging="360"/>
      </w:pPr>
      <w:rPr>
        <w:rFonts w:ascii="Angsana New" w:eastAsia="MS Mincho" w:hAnsi="Angsana New" w:cs="Angsana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677923101">
    <w:abstractNumId w:val="6"/>
  </w:num>
  <w:num w:numId="2" w16cid:durableId="969357618">
    <w:abstractNumId w:val="8"/>
  </w:num>
  <w:num w:numId="3" w16cid:durableId="339429793">
    <w:abstractNumId w:val="31"/>
  </w:num>
  <w:num w:numId="4" w16cid:durableId="589313543">
    <w:abstractNumId w:val="26"/>
  </w:num>
  <w:num w:numId="5" w16cid:durableId="1885217120">
    <w:abstractNumId w:val="41"/>
  </w:num>
  <w:num w:numId="6" w16cid:durableId="562523921">
    <w:abstractNumId w:val="2"/>
  </w:num>
  <w:num w:numId="7" w16cid:durableId="2041010979">
    <w:abstractNumId w:val="31"/>
  </w:num>
  <w:num w:numId="8" w16cid:durableId="1908372329">
    <w:abstractNumId w:val="12"/>
  </w:num>
  <w:num w:numId="9" w16cid:durableId="2093501256">
    <w:abstractNumId w:val="22"/>
  </w:num>
  <w:num w:numId="10" w16cid:durableId="2107723810">
    <w:abstractNumId w:val="10"/>
  </w:num>
  <w:num w:numId="11" w16cid:durableId="1589580221">
    <w:abstractNumId w:val="13"/>
  </w:num>
  <w:num w:numId="12" w16cid:durableId="1649044301">
    <w:abstractNumId w:val="38"/>
  </w:num>
  <w:num w:numId="13" w16cid:durableId="348526653">
    <w:abstractNumId w:val="18"/>
  </w:num>
  <w:num w:numId="14" w16cid:durableId="998652122">
    <w:abstractNumId w:val="36"/>
  </w:num>
  <w:num w:numId="15" w16cid:durableId="1910841240">
    <w:abstractNumId w:val="16"/>
  </w:num>
  <w:num w:numId="16" w16cid:durableId="244803988">
    <w:abstractNumId w:val="25"/>
  </w:num>
  <w:num w:numId="17" w16cid:durableId="2090534801">
    <w:abstractNumId w:val="33"/>
  </w:num>
  <w:num w:numId="18" w16cid:durableId="2124961212">
    <w:abstractNumId w:val="35"/>
  </w:num>
  <w:num w:numId="19" w16cid:durableId="1174876474">
    <w:abstractNumId w:val="7"/>
  </w:num>
  <w:num w:numId="20" w16cid:durableId="908730548">
    <w:abstractNumId w:val="37"/>
  </w:num>
  <w:num w:numId="21" w16cid:durableId="1401170389">
    <w:abstractNumId w:val="20"/>
  </w:num>
  <w:num w:numId="22" w16cid:durableId="226453379">
    <w:abstractNumId w:val="0"/>
  </w:num>
  <w:num w:numId="23" w16cid:durableId="1597009730">
    <w:abstractNumId w:val="43"/>
  </w:num>
  <w:num w:numId="24" w16cid:durableId="2039041810">
    <w:abstractNumId w:val="34"/>
  </w:num>
  <w:num w:numId="25" w16cid:durableId="435101045">
    <w:abstractNumId w:val="23"/>
  </w:num>
  <w:num w:numId="26" w16cid:durableId="952978259">
    <w:abstractNumId w:val="14"/>
  </w:num>
  <w:num w:numId="27" w16cid:durableId="2008559698">
    <w:abstractNumId w:val="28"/>
  </w:num>
  <w:num w:numId="28" w16cid:durableId="1971551896">
    <w:abstractNumId w:val="27"/>
  </w:num>
  <w:num w:numId="29" w16cid:durableId="1940526387">
    <w:abstractNumId w:val="19"/>
  </w:num>
  <w:num w:numId="30" w16cid:durableId="1604382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383242">
    <w:abstractNumId w:val="21"/>
  </w:num>
  <w:num w:numId="32" w16cid:durableId="154609583">
    <w:abstractNumId w:val="15"/>
  </w:num>
  <w:num w:numId="33" w16cid:durableId="633482108">
    <w:abstractNumId w:val="30"/>
  </w:num>
  <w:num w:numId="34" w16cid:durableId="1561014217">
    <w:abstractNumId w:val="11"/>
  </w:num>
  <w:num w:numId="35" w16cid:durableId="21826924">
    <w:abstractNumId w:val="24"/>
  </w:num>
  <w:num w:numId="36" w16cid:durableId="2018340556">
    <w:abstractNumId w:val="1"/>
  </w:num>
  <w:num w:numId="37" w16cid:durableId="20471182">
    <w:abstractNumId w:val="29"/>
  </w:num>
  <w:num w:numId="38" w16cid:durableId="1769347012">
    <w:abstractNumId w:val="9"/>
  </w:num>
  <w:num w:numId="39" w16cid:durableId="275915081">
    <w:abstractNumId w:val="4"/>
  </w:num>
  <w:num w:numId="40" w16cid:durableId="752245378">
    <w:abstractNumId w:val="17"/>
  </w:num>
  <w:num w:numId="41" w16cid:durableId="795029694">
    <w:abstractNumId w:val="3"/>
  </w:num>
  <w:num w:numId="42" w16cid:durableId="1636595291">
    <w:abstractNumId w:val="42"/>
  </w:num>
  <w:num w:numId="43" w16cid:durableId="454982847">
    <w:abstractNumId w:val="39"/>
  </w:num>
  <w:num w:numId="44" w16cid:durableId="1262566033">
    <w:abstractNumId w:val="40"/>
  </w:num>
  <w:num w:numId="45" w16cid:durableId="283735952">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01B9"/>
    <w:rsid w:val="0000008B"/>
    <w:rsid w:val="000001D1"/>
    <w:rsid w:val="000003C0"/>
    <w:rsid w:val="0000052D"/>
    <w:rsid w:val="000009D2"/>
    <w:rsid w:val="00000A08"/>
    <w:rsid w:val="00000A3B"/>
    <w:rsid w:val="00000AF9"/>
    <w:rsid w:val="00000B70"/>
    <w:rsid w:val="00000D15"/>
    <w:rsid w:val="00000E28"/>
    <w:rsid w:val="00000E9C"/>
    <w:rsid w:val="00000FE6"/>
    <w:rsid w:val="00001207"/>
    <w:rsid w:val="000012F3"/>
    <w:rsid w:val="00001A2B"/>
    <w:rsid w:val="00001A6A"/>
    <w:rsid w:val="00001AE9"/>
    <w:rsid w:val="00001B00"/>
    <w:rsid w:val="00001CC7"/>
    <w:rsid w:val="00001E5D"/>
    <w:rsid w:val="00001E8B"/>
    <w:rsid w:val="00001F78"/>
    <w:rsid w:val="00002174"/>
    <w:rsid w:val="000021E6"/>
    <w:rsid w:val="00002863"/>
    <w:rsid w:val="00002929"/>
    <w:rsid w:val="00002BAC"/>
    <w:rsid w:val="00002FAF"/>
    <w:rsid w:val="00003195"/>
    <w:rsid w:val="000031D6"/>
    <w:rsid w:val="000032E9"/>
    <w:rsid w:val="0000335B"/>
    <w:rsid w:val="000034CD"/>
    <w:rsid w:val="000037B7"/>
    <w:rsid w:val="00003B31"/>
    <w:rsid w:val="00003BE5"/>
    <w:rsid w:val="00003CF6"/>
    <w:rsid w:val="00003D53"/>
    <w:rsid w:val="00003F9B"/>
    <w:rsid w:val="00003FDA"/>
    <w:rsid w:val="000042B2"/>
    <w:rsid w:val="000042E5"/>
    <w:rsid w:val="0000458E"/>
    <w:rsid w:val="000045E7"/>
    <w:rsid w:val="000045F9"/>
    <w:rsid w:val="000049FC"/>
    <w:rsid w:val="00004C5F"/>
    <w:rsid w:val="00004C66"/>
    <w:rsid w:val="00004CAE"/>
    <w:rsid w:val="00004CC9"/>
    <w:rsid w:val="00004D02"/>
    <w:rsid w:val="00004DA1"/>
    <w:rsid w:val="000052A5"/>
    <w:rsid w:val="00005705"/>
    <w:rsid w:val="00005746"/>
    <w:rsid w:val="00005823"/>
    <w:rsid w:val="00005B9E"/>
    <w:rsid w:val="00005C65"/>
    <w:rsid w:val="00005D78"/>
    <w:rsid w:val="00005DEC"/>
    <w:rsid w:val="00005F8A"/>
    <w:rsid w:val="000061F3"/>
    <w:rsid w:val="0000638E"/>
    <w:rsid w:val="00006460"/>
    <w:rsid w:val="0000651E"/>
    <w:rsid w:val="0000661C"/>
    <w:rsid w:val="000066AA"/>
    <w:rsid w:val="00006789"/>
    <w:rsid w:val="000072CB"/>
    <w:rsid w:val="0000732E"/>
    <w:rsid w:val="0000761E"/>
    <w:rsid w:val="00007772"/>
    <w:rsid w:val="00007820"/>
    <w:rsid w:val="00007857"/>
    <w:rsid w:val="000100FA"/>
    <w:rsid w:val="00010147"/>
    <w:rsid w:val="00010578"/>
    <w:rsid w:val="00010637"/>
    <w:rsid w:val="00010888"/>
    <w:rsid w:val="00010C99"/>
    <w:rsid w:val="00010E48"/>
    <w:rsid w:val="00011072"/>
    <w:rsid w:val="000113A4"/>
    <w:rsid w:val="00011517"/>
    <w:rsid w:val="000117A5"/>
    <w:rsid w:val="0001196F"/>
    <w:rsid w:val="00011BD1"/>
    <w:rsid w:val="00011CA4"/>
    <w:rsid w:val="00011CC1"/>
    <w:rsid w:val="00011D56"/>
    <w:rsid w:val="000120E3"/>
    <w:rsid w:val="00012157"/>
    <w:rsid w:val="00012337"/>
    <w:rsid w:val="000123B3"/>
    <w:rsid w:val="00012645"/>
    <w:rsid w:val="00012650"/>
    <w:rsid w:val="000126F3"/>
    <w:rsid w:val="000127F2"/>
    <w:rsid w:val="000129E4"/>
    <w:rsid w:val="00012AD0"/>
    <w:rsid w:val="00012C3B"/>
    <w:rsid w:val="00012F59"/>
    <w:rsid w:val="000132D2"/>
    <w:rsid w:val="000136F7"/>
    <w:rsid w:val="000137AD"/>
    <w:rsid w:val="000137BF"/>
    <w:rsid w:val="000139AD"/>
    <w:rsid w:val="00013BAE"/>
    <w:rsid w:val="00013CD3"/>
    <w:rsid w:val="00013EF2"/>
    <w:rsid w:val="00014167"/>
    <w:rsid w:val="000143CE"/>
    <w:rsid w:val="000148C0"/>
    <w:rsid w:val="00014A3A"/>
    <w:rsid w:val="00014AD8"/>
    <w:rsid w:val="00014BD3"/>
    <w:rsid w:val="00014D6E"/>
    <w:rsid w:val="00014DBE"/>
    <w:rsid w:val="00014E3D"/>
    <w:rsid w:val="00014E7F"/>
    <w:rsid w:val="00015081"/>
    <w:rsid w:val="000151A2"/>
    <w:rsid w:val="000154DE"/>
    <w:rsid w:val="000156B1"/>
    <w:rsid w:val="0001570C"/>
    <w:rsid w:val="000157D9"/>
    <w:rsid w:val="00015AB6"/>
    <w:rsid w:val="00015DB6"/>
    <w:rsid w:val="00015E58"/>
    <w:rsid w:val="00016093"/>
    <w:rsid w:val="00016121"/>
    <w:rsid w:val="00016319"/>
    <w:rsid w:val="000166B6"/>
    <w:rsid w:val="000168E7"/>
    <w:rsid w:val="00016D29"/>
    <w:rsid w:val="00016E51"/>
    <w:rsid w:val="00016E6D"/>
    <w:rsid w:val="00016E88"/>
    <w:rsid w:val="00017002"/>
    <w:rsid w:val="0001701F"/>
    <w:rsid w:val="000171B3"/>
    <w:rsid w:val="00017212"/>
    <w:rsid w:val="00017371"/>
    <w:rsid w:val="00017378"/>
    <w:rsid w:val="00017495"/>
    <w:rsid w:val="0001756C"/>
    <w:rsid w:val="0001772B"/>
    <w:rsid w:val="00017819"/>
    <w:rsid w:val="00017901"/>
    <w:rsid w:val="00017CAF"/>
    <w:rsid w:val="00017D10"/>
    <w:rsid w:val="00017D4F"/>
    <w:rsid w:val="00017E62"/>
    <w:rsid w:val="00017EB5"/>
    <w:rsid w:val="0002019C"/>
    <w:rsid w:val="00020225"/>
    <w:rsid w:val="0002036F"/>
    <w:rsid w:val="00020436"/>
    <w:rsid w:val="000206E6"/>
    <w:rsid w:val="000207FB"/>
    <w:rsid w:val="00020835"/>
    <w:rsid w:val="0002090A"/>
    <w:rsid w:val="00020B2A"/>
    <w:rsid w:val="00020B84"/>
    <w:rsid w:val="00020BCD"/>
    <w:rsid w:val="00020F48"/>
    <w:rsid w:val="00020FFF"/>
    <w:rsid w:val="00021246"/>
    <w:rsid w:val="0002151C"/>
    <w:rsid w:val="00021879"/>
    <w:rsid w:val="00021932"/>
    <w:rsid w:val="00021B12"/>
    <w:rsid w:val="00021C6B"/>
    <w:rsid w:val="00021F0A"/>
    <w:rsid w:val="000221CA"/>
    <w:rsid w:val="00022288"/>
    <w:rsid w:val="000224A1"/>
    <w:rsid w:val="00022765"/>
    <w:rsid w:val="00022865"/>
    <w:rsid w:val="00022B4F"/>
    <w:rsid w:val="00022F89"/>
    <w:rsid w:val="00023145"/>
    <w:rsid w:val="0002339A"/>
    <w:rsid w:val="00023DDA"/>
    <w:rsid w:val="00024065"/>
    <w:rsid w:val="00024099"/>
    <w:rsid w:val="0002463F"/>
    <w:rsid w:val="0002491D"/>
    <w:rsid w:val="00024AC2"/>
    <w:rsid w:val="00024B3A"/>
    <w:rsid w:val="00024BEE"/>
    <w:rsid w:val="00024BFF"/>
    <w:rsid w:val="00024C4A"/>
    <w:rsid w:val="00024CC5"/>
    <w:rsid w:val="00024CF9"/>
    <w:rsid w:val="00024D0C"/>
    <w:rsid w:val="00024E50"/>
    <w:rsid w:val="00025083"/>
    <w:rsid w:val="00025284"/>
    <w:rsid w:val="00025364"/>
    <w:rsid w:val="0002573D"/>
    <w:rsid w:val="0002598D"/>
    <w:rsid w:val="000259BF"/>
    <w:rsid w:val="00025A07"/>
    <w:rsid w:val="00025C56"/>
    <w:rsid w:val="00025D25"/>
    <w:rsid w:val="00025EB5"/>
    <w:rsid w:val="00025ECE"/>
    <w:rsid w:val="000260D5"/>
    <w:rsid w:val="00026457"/>
    <w:rsid w:val="000267B0"/>
    <w:rsid w:val="00026815"/>
    <w:rsid w:val="0002685B"/>
    <w:rsid w:val="000268B8"/>
    <w:rsid w:val="00026912"/>
    <w:rsid w:val="000269D1"/>
    <w:rsid w:val="00026E31"/>
    <w:rsid w:val="0002793A"/>
    <w:rsid w:val="00027948"/>
    <w:rsid w:val="00027990"/>
    <w:rsid w:val="00027B49"/>
    <w:rsid w:val="00027BEE"/>
    <w:rsid w:val="00027CED"/>
    <w:rsid w:val="00027EFD"/>
    <w:rsid w:val="00030219"/>
    <w:rsid w:val="0003034B"/>
    <w:rsid w:val="00030492"/>
    <w:rsid w:val="000306B8"/>
    <w:rsid w:val="00030830"/>
    <w:rsid w:val="00030D76"/>
    <w:rsid w:val="00030EF1"/>
    <w:rsid w:val="00030EF5"/>
    <w:rsid w:val="000310EB"/>
    <w:rsid w:val="00031412"/>
    <w:rsid w:val="00031906"/>
    <w:rsid w:val="000319BD"/>
    <w:rsid w:val="00031B4D"/>
    <w:rsid w:val="00031B7F"/>
    <w:rsid w:val="00031DE3"/>
    <w:rsid w:val="00031E73"/>
    <w:rsid w:val="00032148"/>
    <w:rsid w:val="0003216A"/>
    <w:rsid w:val="000321BA"/>
    <w:rsid w:val="000322B4"/>
    <w:rsid w:val="00032572"/>
    <w:rsid w:val="000325BD"/>
    <w:rsid w:val="000325E2"/>
    <w:rsid w:val="00032674"/>
    <w:rsid w:val="000328F8"/>
    <w:rsid w:val="000329D7"/>
    <w:rsid w:val="00032AB9"/>
    <w:rsid w:val="000330D2"/>
    <w:rsid w:val="00033155"/>
    <w:rsid w:val="0003333E"/>
    <w:rsid w:val="0003388A"/>
    <w:rsid w:val="000339A4"/>
    <w:rsid w:val="00033C4E"/>
    <w:rsid w:val="00033CD5"/>
    <w:rsid w:val="00033DF8"/>
    <w:rsid w:val="00033F92"/>
    <w:rsid w:val="000341E5"/>
    <w:rsid w:val="00034493"/>
    <w:rsid w:val="0003468B"/>
    <w:rsid w:val="00034788"/>
    <w:rsid w:val="00034854"/>
    <w:rsid w:val="0003486A"/>
    <w:rsid w:val="000348C4"/>
    <w:rsid w:val="00034921"/>
    <w:rsid w:val="00034F57"/>
    <w:rsid w:val="0003501B"/>
    <w:rsid w:val="0003508A"/>
    <w:rsid w:val="0003532F"/>
    <w:rsid w:val="0003544A"/>
    <w:rsid w:val="000354B7"/>
    <w:rsid w:val="0003550F"/>
    <w:rsid w:val="00035CC5"/>
    <w:rsid w:val="00035E23"/>
    <w:rsid w:val="00035EEF"/>
    <w:rsid w:val="000364A0"/>
    <w:rsid w:val="000365FF"/>
    <w:rsid w:val="0003680A"/>
    <w:rsid w:val="00036A30"/>
    <w:rsid w:val="00036B14"/>
    <w:rsid w:val="00036BBE"/>
    <w:rsid w:val="00036E8D"/>
    <w:rsid w:val="00037618"/>
    <w:rsid w:val="0003794A"/>
    <w:rsid w:val="00037A52"/>
    <w:rsid w:val="00037B86"/>
    <w:rsid w:val="00037BE9"/>
    <w:rsid w:val="00037C0D"/>
    <w:rsid w:val="00037CA4"/>
    <w:rsid w:val="0004007B"/>
    <w:rsid w:val="0004019F"/>
    <w:rsid w:val="00040466"/>
    <w:rsid w:val="00040522"/>
    <w:rsid w:val="00040559"/>
    <w:rsid w:val="00040600"/>
    <w:rsid w:val="00040621"/>
    <w:rsid w:val="00040649"/>
    <w:rsid w:val="0004083F"/>
    <w:rsid w:val="0004089C"/>
    <w:rsid w:val="00041089"/>
    <w:rsid w:val="000410CD"/>
    <w:rsid w:val="0004110F"/>
    <w:rsid w:val="00041124"/>
    <w:rsid w:val="0004116F"/>
    <w:rsid w:val="00041502"/>
    <w:rsid w:val="0004166A"/>
    <w:rsid w:val="0004184D"/>
    <w:rsid w:val="00041983"/>
    <w:rsid w:val="00041B93"/>
    <w:rsid w:val="00041B96"/>
    <w:rsid w:val="00042108"/>
    <w:rsid w:val="00042112"/>
    <w:rsid w:val="00042159"/>
    <w:rsid w:val="00042335"/>
    <w:rsid w:val="000426C5"/>
    <w:rsid w:val="00042797"/>
    <w:rsid w:val="00042A2C"/>
    <w:rsid w:val="00042BD9"/>
    <w:rsid w:val="00042E20"/>
    <w:rsid w:val="000431F3"/>
    <w:rsid w:val="0004337D"/>
    <w:rsid w:val="00043444"/>
    <w:rsid w:val="00043488"/>
    <w:rsid w:val="0004358D"/>
    <w:rsid w:val="00043607"/>
    <w:rsid w:val="000437B7"/>
    <w:rsid w:val="00043828"/>
    <w:rsid w:val="00043A5B"/>
    <w:rsid w:val="00043B4A"/>
    <w:rsid w:val="00043C5B"/>
    <w:rsid w:val="00043DBE"/>
    <w:rsid w:val="00043E7B"/>
    <w:rsid w:val="0004409C"/>
    <w:rsid w:val="0004433D"/>
    <w:rsid w:val="000443C3"/>
    <w:rsid w:val="00044AB6"/>
    <w:rsid w:val="00044AC4"/>
    <w:rsid w:val="00044B67"/>
    <w:rsid w:val="000450FF"/>
    <w:rsid w:val="00045781"/>
    <w:rsid w:val="000457FB"/>
    <w:rsid w:val="0004599D"/>
    <w:rsid w:val="000459FF"/>
    <w:rsid w:val="00045D72"/>
    <w:rsid w:val="00045EDA"/>
    <w:rsid w:val="000460DA"/>
    <w:rsid w:val="0004611D"/>
    <w:rsid w:val="00046398"/>
    <w:rsid w:val="00046545"/>
    <w:rsid w:val="00046AFB"/>
    <w:rsid w:val="00046B70"/>
    <w:rsid w:val="00046F95"/>
    <w:rsid w:val="00047174"/>
    <w:rsid w:val="000472B1"/>
    <w:rsid w:val="00047563"/>
    <w:rsid w:val="0004779D"/>
    <w:rsid w:val="0004780F"/>
    <w:rsid w:val="00047846"/>
    <w:rsid w:val="000479D4"/>
    <w:rsid w:val="00047C52"/>
    <w:rsid w:val="00047E70"/>
    <w:rsid w:val="00047EB2"/>
    <w:rsid w:val="00050069"/>
    <w:rsid w:val="000501F4"/>
    <w:rsid w:val="00050295"/>
    <w:rsid w:val="0005035C"/>
    <w:rsid w:val="0005037D"/>
    <w:rsid w:val="00050692"/>
    <w:rsid w:val="00050C8E"/>
    <w:rsid w:val="00050DEF"/>
    <w:rsid w:val="00050E67"/>
    <w:rsid w:val="00051150"/>
    <w:rsid w:val="00051469"/>
    <w:rsid w:val="00051510"/>
    <w:rsid w:val="00051737"/>
    <w:rsid w:val="000518B8"/>
    <w:rsid w:val="00051A9C"/>
    <w:rsid w:val="00051AB9"/>
    <w:rsid w:val="00051C0D"/>
    <w:rsid w:val="00051CC0"/>
    <w:rsid w:val="00051CDA"/>
    <w:rsid w:val="00051DAE"/>
    <w:rsid w:val="00051E73"/>
    <w:rsid w:val="00051EEC"/>
    <w:rsid w:val="00051F20"/>
    <w:rsid w:val="00051F5F"/>
    <w:rsid w:val="00051FDB"/>
    <w:rsid w:val="0005218B"/>
    <w:rsid w:val="00052232"/>
    <w:rsid w:val="000522AB"/>
    <w:rsid w:val="00052309"/>
    <w:rsid w:val="000523AA"/>
    <w:rsid w:val="000525DC"/>
    <w:rsid w:val="0005271C"/>
    <w:rsid w:val="000527EF"/>
    <w:rsid w:val="000528F6"/>
    <w:rsid w:val="00052918"/>
    <w:rsid w:val="00052D3A"/>
    <w:rsid w:val="00052DB5"/>
    <w:rsid w:val="00052E10"/>
    <w:rsid w:val="00052F11"/>
    <w:rsid w:val="00053017"/>
    <w:rsid w:val="0005320E"/>
    <w:rsid w:val="0005354C"/>
    <w:rsid w:val="000537BA"/>
    <w:rsid w:val="000537F4"/>
    <w:rsid w:val="00053BCE"/>
    <w:rsid w:val="00053BFC"/>
    <w:rsid w:val="00053F3D"/>
    <w:rsid w:val="00053FFE"/>
    <w:rsid w:val="00054018"/>
    <w:rsid w:val="000540E6"/>
    <w:rsid w:val="0005455D"/>
    <w:rsid w:val="000546E9"/>
    <w:rsid w:val="0005472B"/>
    <w:rsid w:val="0005498F"/>
    <w:rsid w:val="00054C76"/>
    <w:rsid w:val="00054C86"/>
    <w:rsid w:val="00054C99"/>
    <w:rsid w:val="00054CBB"/>
    <w:rsid w:val="00054F39"/>
    <w:rsid w:val="000551CC"/>
    <w:rsid w:val="0005523A"/>
    <w:rsid w:val="00055479"/>
    <w:rsid w:val="00055888"/>
    <w:rsid w:val="00055C76"/>
    <w:rsid w:val="00055CBD"/>
    <w:rsid w:val="00055CF6"/>
    <w:rsid w:val="00055EAD"/>
    <w:rsid w:val="00056072"/>
    <w:rsid w:val="00056121"/>
    <w:rsid w:val="0005645C"/>
    <w:rsid w:val="000564B4"/>
    <w:rsid w:val="00056511"/>
    <w:rsid w:val="00056540"/>
    <w:rsid w:val="000566B1"/>
    <w:rsid w:val="0005673B"/>
    <w:rsid w:val="000568DD"/>
    <w:rsid w:val="00056B50"/>
    <w:rsid w:val="00056C75"/>
    <w:rsid w:val="00056CE8"/>
    <w:rsid w:val="00056E58"/>
    <w:rsid w:val="00056F13"/>
    <w:rsid w:val="000571AF"/>
    <w:rsid w:val="0005726C"/>
    <w:rsid w:val="000572A9"/>
    <w:rsid w:val="0005743D"/>
    <w:rsid w:val="00057483"/>
    <w:rsid w:val="000574E5"/>
    <w:rsid w:val="000577F8"/>
    <w:rsid w:val="000579BE"/>
    <w:rsid w:val="00057D6C"/>
    <w:rsid w:val="00057F05"/>
    <w:rsid w:val="00057F7A"/>
    <w:rsid w:val="000600E7"/>
    <w:rsid w:val="0006015A"/>
    <w:rsid w:val="0006094B"/>
    <w:rsid w:val="000609E4"/>
    <w:rsid w:val="00060FD5"/>
    <w:rsid w:val="000613F6"/>
    <w:rsid w:val="00061418"/>
    <w:rsid w:val="000614BD"/>
    <w:rsid w:val="000616AE"/>
    <w:rsid w:val="000617E0"/>
    <w:rsid w:val="00061CAC"/>
    <w:rsid w:val="00062079"/>
    <w:rsid w:val="0006218A"/>
    <w:rsid w:val="0006228B"/>
    <w:rsid w:val="00062393"/>
    <w:rsid w:val="000623EA"/>
    <w:rsid w:val="000623F0"/>
    <w:rsid w:val="000624F2"/>
    <w:rsid w:val="00062673"/>
    <w:rsid w:val="00062992"/>
    <w:rsid w:val="00062AAD"/>
    <w:rsid w:val="00062C26"/>
    <w:rsid w:val="00062CD7"/>
    <w:rsid w:val="0006317F"/>
    <w:rsid w:val="0006339F"/>
    <w:rsid w:val="000634C3"/>
    <w:rsid w:val="00063B83"/>
    <w:rsid w:val="00063D75"/>
    <w:rsid w:val="00063F67"/>
    <w:rsid w:val="0006403C"/>
    <w:rsid w:val="00064315"/>
    <w:rsid w:val="000645E9"/>
    <w:rsid w:val="000646B3"/>
    <w:rsid w:val="000648E7"/>
    <w:rsid w:val="0006497C"/>
    <w:rsid w:val="00064CB4"/>
    <w:rsid w:val="00064CD0"/>
    <w:rsid w:val="00064CDF"/>
    <w:rsid w:val="00064DF0"/>
    <w:rsid w:val="00064E5D"/>
    <w:rsid w:val="0006530D"/>
    <w:rsid w:val="000656BB"/>
    <w:rsid w:val="00065763"/>
    <w:rsid w:val="0006585E"/>
    <w:rsid w:val="00065A38"/>
    <w:rsid w:val="00065AFB"/>
    <w:rsid w:val="0006602D"/>
    <w:rsid w:val="0006612B"/>
    <w:rsid w:val="00066241"/>
    <w:rsid w:val="000662D2"/>
    <w:rsid w:val="0006636A"/>
    <w:rsid w:val="000666BF"/>
    <w:rsid w:val="00066701"/>
    <w:rsid w:val="00066730"/>
    <w:rsid w:val="00066A95"/>
    <w:rsid w:val="00066BE5"/>
    <w:rsid w:val="00066CB0"/>
    <w:rsid w:val="00066D1A"/>
    <w:rsid w:val="00066DE1"/>
    <w:rsid w:val="00066F7D"/>
    <w:rsid w:val="0006711C"/>
    <w:rsid w:val="000672BA"/>
    <w:rsid w:val="0006787C"/>
    <w:rsid w:val="00067D5A"/>
    <w:rsid w:val="00067DC4"/>
    <w:rsid w:val="000702CB"/>
    <w:rsid w:val="00070600"/>
    <w:rsid w:val="000706E6"/>
    <w:rsid w:val="00070B5A"/>
    <w:rsid w:val="00070D0A"/>
    <w:rsid w:val="00070D76"/>
    <w:rsid w:val="00070F12"/>
    <w:rsid w:val="00070FC9"/>
    <w:rsid w:val="00070FF9"/>
    <w:rsid w:val="000714A3"/>
    <w:rsid w:val="000715ED"/>
    <w:rsid w:val="00071727"/>
    <w:rsid w:val="0007179F"/>
    <w:rsid w:val="000719C9"/>
    <w:rsid w:val="000719F6"/>
    <w:rsid w:val="00071AA6"/>
    <w:rsid w:val="00071CC7"/>
    <w:rsid w:val="00071D8F"/>
    <w:rsid w:val="00071E78"/>
    <w:rsid w:val="00071EDC"/>
    <w:rsid w:val="00071FE9"/>
    <w:rsid w:val="000721D7"/>
    <w:rsid w:val="000722D2"/>
    <w:rsid w:val="00072630"/>
    <w:rsid w:val="0007291B"/>
    <w:rsid w:val="00072DBF"/>
    <w:rsid w:val="00073063"/>
    <w:rsid w:val="000733DD"/>
    <w:rsid w:val="00073680"/>
    <w:rsid w:val="00073687"/>
    <w:rsid w:val="000736B4"/>
    <w:rsid w:val="000736D8"/>
    <w:rsid w:val="0007380B"/>
    <w:rsid w:val="00073BAC"/>
    <w:rsid w:val="00073C8C"/>
    <w:rsid w:val="00073D91"/>
    <w:rsid w:val="000740BC"/>
    <w:rsid w:val="000740D7"/>
    <w:rsid w:val="00074123"/>
    <w:rsid w:val="000748A9"/>
    <w:rsid w:val="00074929"/>
    <w:rsid w:val="00074D5C"/>
    <w:rsid w:val="00074FE0"/>
    <w:rsid w:val="000750B2"/>
    <w:rsid w:val="00075653"/>
    <w:rsid w:val="0007578B"/>
    <w:rsid w:val="00075D34"/>
    <w:rsid w:val="0007607A"/>
    <w:rsid w:val="00076126"/>
    <w:rsid w:val="00076864"/>
    <w:rsid w:val="000768C5"/>
    <w:rsid w:val="00076D09"/>
    <w:rsid w:val="00076D58"/>
    <w:rsid w:val="00076E18"/>
    <w:rsid w:val="00077005"/>
    <w:rsid w:val="000772E2"/>
    <w:rsid w:val="00077662"/>
    <w:rsid w:val="000777E8"/>
    <w:rsid w:val="000778E5"/>
    <w:rsid w:val="000779B1"/>
    <w:rsid w:val="00077BB0"/>
    <w:rsid w:val="00077DFC"/>
    <w:rsid w:val="00077FA2"/>
    <w:rsid w:val="00077FE6"/>
    <w:rsid w:val="00080022"/>
    <w:rsid w:val="00080139"/>
    <w:rsid w:val="0008056F"/>
    <w:rsid w:val="000805CD"/>
    <w:rsid w:val="0008069C"/>
    <w:rsid w:val="000807F0"/>
    <w:rsid w:val="00080C69"/>
    <w:rsid w:val="00080DAA"/>
    <w:rsid w:val="00080FFE"/>
    <w:rsid w:val="000811F6"/>
    <w:rsid w:val="00081368"/>
    <w:rsid w:val="0008143B"/>
    <w:rsid w:val="00081495"/>
    <w:rsid w:val="000817C9"/>
    <w:rsid w:val="00081837"/>
    <w:rsid w:val="0008190E"/>
    <w:rsid w:val="00081BFD"/>
    <w:rsid w:val="00081E29"/>
    <w:rsid w:val="000820CC"/>
    <w:rsid w:val="00082286"/>
    <w:rsid w:val="00082323"/>
    <w:rsid w:val="00082569"/>
    <w:rsid w:val="0008256D"/>
    <w:rsid w:val="000825A6"/>
    <w:rsid w:val="0008264F"/>
    <w:rsid w:val="000827C9"/>
    <w:rsid w:val="000827DB"/>
    <w:rsid w:val="00082C94"/>
    <w:rsid w:val="00082FB2"/>
    <w:rsid w:val="00083047"/>
    <w:rsid w:val="00083089"/>
    <w:rsid w:val="000830B0"/>
    <w:rsid w:val="0008310F"/>
    <w:rsid w:val="000832D1"/>
    <w:rsid w:val="00083367"/>
    <w:rsid w:val="00083384"/>
    <w:rsid w:val="000833BB"/>
    <w:rsid w:val="000838AF"/>
    <w:rsid w:val="000839F2"/>
    <w:rsid w:val="00083CAA"/>
    <w:rsid w:val="00083FD8"/>
    <w:rsid w:val="00084462"/>
    <w:rsid w:val="00084645"/>
    <w:rsid w:val="000846F0"/>
    <w:rsid w:val="000848B4"/>
    <w:rsid w:val="00084D16"/>
    <w:rsid w:val="00084DBC"/>
    <w:rsid w:val="00084DEF"/>
    <w:rsid w:val="0008503E"/>
    <w:rsid w:val="000851EE"/>
    <w:rsid w:val="000852F0"/>
    <w:rsid w:val="0008539D"/>
    <w:rsid w:val="00085541"/>
    <w:rsid w:val="000856B3"/>
    <w:rsid w:val="0008578E"/>
    <w:rsid w:val="00085973"/>
    <w:rsid w:val="00085AE1"/>
    <w:rsid w:val="00085CAF"/>
    <w:rsid w:val="00085CE8"/>
    <w:rsid w:val="00086212"/>
    <w:rsid w:val="000862C0"/>
    <w:rsid w:val="000862CA"/>
    <w:rsid w:val="0008652C"/>
    <w:rsid w:val="00086580"/>
    <w:rsid w:val="000867A8"/>
    <w:rsid w:val="00086A7D"/>
    <w:rsid w:val="00086DAC"/>
    <w:rsid w:val="00086F84"/>
    <w:rsid w:val="00087323"/>
    <w:rsid w:val="00087406"/>
    <w:rsid w:val="0008742B"/>
    <w:rsid w:val="00087670"/>
    <w:rsid w:val="00087ABD"/>
    <w:rsid w:val="00087AD1"/>
    <w:rsid w:val="00087B6A"/>
    <w:rsid w:val="0009017D"/>
    <w:rsid w:val="000903DA"/>
    <w:rsid w:val="00090662"/>
    <w:rsid w:val="0009071F"/>
    <w:rsid w:val="000909B0"/>
    <w:rsid w:val="00090A09"/>
    <w:rsid w:val="00090AF5"/>
    <w:rsid w:val="00090D09"/>
    <w:rsid w:val="00090F3E"/>
    <w:rsid w:val="000910E7"/>
    <w:rsid w:val="000911D2"/>
    <w:rsid w:val="0009199E"/>
    <w:rsid w:val="00091A17"/>
    <w:rsid w:val="00091AB9"/>
    <w:rsid w:val="00091CBA"/>
    <w:rsid w:val="00092BF2"/>
    <w:rsid w:val="00092C18"/>
    <w:rsid w:val="00092D87"/>
    <w:rsid w:val="00093169"/>
    <w:rsid w:val="0009316E"/>
    <w:rsid w:val="00093397"/>
    <w:rsid w:val="000934C5"/>
    <w:rsid w:val="00093641"/>
    <w:rsid w:val="000938BE"/>
    <w:rsid w:val="000938E2"/>
    <w:rsid w:val="000939D7"/>
    <w:rsid w:val="00093AD7"/>
    <w:rsid w:val="00093D6B"/>
    <w:rsid w:val="00093EA9"/>
    <w:rsid w:val="00093F39"/>
    <w:rsid w:val="00094200"/>
    <w:rsid w:val="00094263"/>
    <w:rsid w:val="00094281"/>
    <w:rsid w:val="00094489"/>
    <w:rsid w:val="0009450C"/>
    <w:rsid w:val="00094695"/>
    <w:rsid w:val="0009473C"/>
    <w:rsid w:val="00094A8E"/>
    <w:rsid w:val="00094AD2"/>
    <w:rsid w:val="00094CFD"/>
    <w:rsid w:val="00094E4F"/>
    <w:rsid w:val="00094E8F"/>
    <w:rsid w:val="0009503F"/>
    <w:rsid w:val="000955E1"/>
    <w:rsid w:val="0009566C"/>
    <w:rsid w:val="00095690"/>
    <w:rsid w:val="00095777"/>
    <w:rsid w:val="00095871"/>
    <w:rsid w:val="000961B3"/>
    <w:rsid w:val="000961DB"/>
    <w:rsid w:val="000963AE"/>
    <w:rsid w:val="000963BC"/>
    <w:rsid w:val="000963DB"/>
    <w:rsid w:val="00096520"/>
    <w:rsid w:val="0009674B"/>
    <w:rsid w:val="000967AA"/>
    <w:rsid w:val="000968BF"/>
    <w:rsid w:val="0009693B"/>
    <w:rsid w:val="0009694F"/>
    <w:rsid w:val="0009697E"/>
    <w:rsid w:val="00096A04"/>
    <w:rsid w:val="00096BFF"/>
    <w:rsid w:val="00096C29"/>
    <w:rsid w:val="00096DD9"/>
    <w:rsid w:val="0009713B"/>
    <w:rsid w:val="000971EF"/>
    <w:rsid w:val="000972C9"/>
    <w:rsid w:val="00097429"/>
    <w:rsid w:val="00097500"/>
    <w:rsid w:val="0009757C"/>
    <w:rsid w:val="00097660"/>
    <w:rsid w:val="0009777F"/>
    <w:rsid w:val="00097912"/>
    <w:rsid w:val="00097AC5"/>
    <w:rsid w:val="00097BEC"/>
    <w:rsid w:val="00097E04"/>
    <w:rsid w:val="00097FB1"/>
    <w:rsid w:val="000A00EC"/>
    <w:rsid w:val="000A05CE"/>
    <w:rsid w:val="000A0A62"/>
    <w:rsid w:val="000A0A79"/>
    <w:rsid w:val="000A0F6E"/>
    <w:rsid w:val="000A1369"/>
    <w:rsid w:val="000A1543"/>
    <w:rsid w:val="000A1559"/>
    <w:rsid w:val="000A166E"/>
    <w:rsid w:val="000A16F8"/>
    <w:rsid w:val="000A1C5E"/>
    <w:rsid w:val="000A20D7"/>
    <w:rsid w:val="000A2215"/>
    <w:rsid w:val="000A22ED"/>
    <w:rsid w:val="000A239B"/>
    <w:rsid w:val="000A2509"/>
    <w:rsid w:val="000A2741"/>
    <w:rsid w:val="000A2797"/>
    <w:rsid w:val="000A27C7"/>
    <w:rsid w:val="000A29FA"/>
    <w:rsid w:val="000A2A18"/>
    <w:rsid w:val="000A2CD3"/>
    <w:rsid w:val="000A2E4A"/>
    <w:rsid w:val="000A3122"/>
    <w:rsid w:val="000A34B5"/>
    <w:rsid w:val="000A3A0F"/>
    <w:rsid w:val="000A3A43"/>
    <w:rsid w:val="000A3E89"/>
    <w:rsid w:val="000A4034"/>
    <w:rsid w:val="000A4091"/>
    <w:rsid w:val="000A41A6"/>
    <w:rsid w:val="000A41E3"/>
    <w:rsid w:val="000A476D"/>
    <w:rsid w:val="000A489D"/>
    <w:rsid w:val="000A4977"/>
    <w:rsid w:val="000A4F21"/>
    <w:rsid w:val="000A536C"/>
    <w:rsid w:val="000A55EC"/>
    <w:rsid w:val="000A56F4"/>
    <w:rsid w:val="000A56FB"/>
    <w:rsid w:val="000A5A4E"/>
    <w:rsid w:val="000A5E24"/>
    <w:rsid w:val="000A5FE2"/>
    <w:rsid w:val="000A61E4"/>
    <w:rsid w:val="000A6219"/>
    <w:rsid w:val="000A629C"/>
    <w:rsid w:val="000A6362"/>
    <w:rsid w:val="000A63CC"/>
    <w:rsid w:val="000A64D0"/>
    <w:rsid w:val="000A65B0"/>
    <w:rsid w:val="000A66C2"/>
    <w:rsid w:val="000A695F"/>
    <w:rsid w:val="000A6976"/>
    <w:rsid w:val="000A69D2"/>
    <w:rsid w:val="000A6E74"/>
    <w:rsid w:val="000A759A"/>
    <w:rsid w:val="000A7837"/>
    <w:rsid w:val="000A792C"/>
    <w:rsid w:val="000A7DC8"/>
    <w:rsid w:val="000B0271"/>
    <w:rsid w:val="000B0402"/>
    <w:rsid w:val="000B059D"/>
    <w:rsid w:val="000B083D"/>
    <w:rsid w:val="000B0A30"/>
    <w:rsid w:val="000B0B26"/>
    <w:rsid w:val="000B0B2E"/>
    <w:rsid w:val="000B0B42"/>
    <w:rsid w:val="000B0CF1"/>
    <w:rsid w:val="000B0DFE"/>
    <w:rsid w:val="000B131F"/>
    <w:rsid w:val="000B1372"/>
    <w:rsid w:val="000B1C47"/>
    <w:rsid w:val="000B215D"/>
    <w:rsid w:val="000B2301"/>
    <w:rsid w:val="000B24CE"/>
    <w:rsid w:val="000B24E6"/>
    <w:rsid w:val="000B269C"/>
    <w:rsid w:val="000B29DE"/>
    <w:rsid w:val="000B2ADA"/>
    <w:rsid w:val="000B2C44"/>
    <w:rsid w:val="000B2D61"/>
    <w:rsid w:val="000B2F47"/>
    <w:rsid w:val="000B2F4F"/>
    <w:rsid w:val="000B31D7"/>
    <w:rsid w:val="000B33F1"/>
    <w:rsid w:val="000B370C"/>
    <w:rsid w:val="000B37A5"/>
    <w:rsid w:val="000B3920"/>
    <w:rsid w:val="000B39B9"/>
    <w:rsid w:val="000B3E03"/>
    <w:rsid w:val="000B419F"/>
    <w:rsid w:val="000B422A"/>
    <w:rsid w:val="000B4358"/>
    <w:rsid w:val="000B43A7"/>
    <w:rsid w:val="000B463A"/>
    <w:rsid w:val="000B47AD"/>
    <w:rsid w:val="000B4874"/>
    <w:rsid w:val="000B4952"/>
    <w:rsid w:val="000B4AC6"/>
    <w:rsid w:val="000B4C02"/>
    <w:rsid w:val="000B501E"/>
    <w:rsid w:val="000B50E2"/>
    <w:rsid w:val="000B5162"/>
    <w:rsid w:val="000B5282"/>
    <w:rsid w:val="000B539C"/>
    <w:rsid w:val="000B545B"/>
    <w:rsid w:val="000B5758"/>
    <w:rsid w:val="000B59ED"/>
    <w:rsid w:val="000B5E0C"/>
    <w:rsid w:val="000B5EFC"/>
    <w:rsid w:val="000B6017"/>
    <w:rsid w:val="000B62A8"/>
    <w:rsid w:val="000B6A50"/>
    <w:rsid w:val="000B6CB4"/>
    <w:rsid w:val="000B733A"/>
    <w:rsid w:val="000B740A"/>
    <w:rsid w:val="000B7789"/>
    <w:rsid w:val="000B77FB"/>
    <w:rsid w:val="000B7A0F"/>
    <w:rsid w:val="000B7A3B"/>
    <w:rsid w:val="000B7E39"/>
    <w:rsid w:val="000B7F30"/>
    <w:rsid w:val="000B7F4E"/>
    <w:rsid w:val="000C00A6"/>
    <w:rsid w:val="000C026F"/>
    <w:rsid w:val="000C0373"/>
    <w:rsid w:val="000C0560"/>
    <w:rsid w:val="000C0601"/>
    <w:rsid w:val="000C08B4"/>
    <w:rsid w:val="000C0925"/>
    <w:rsid w:val="000C099B"/>
    <w:rsid w:val="000C0A1A"/>
    <w:rsid w:val="000C0C3E"/>
    <w:rsid w:val="000C0CF9"/>
    <w:rsid w:val="000C0F5D"/>
    <w:rsid w:val="000C0FD9"/>
    <w:rsid w:val="000C115B"/>
    <w:rsid w:val="000C14A5"/>
    <w:rsid w:val="000C14CB"/>
    <w:rsid w:val="000C151D"/>
    <w:rsid w:val="000C18AC"/>
    <w:rsid w:val="000C19C9"/>
    <w:rsid w:val="000C1C91"/>
    <w:rsid w:val="000C1CE7"/>
    <w:rsid w:val="000C2095"/>
    <w:rsid w:val="000C2144"/>
    <w:rsid w:val="000C2149"/>
    <w:rsid w:val="000C2258"/>
    <w:rsid w:val="000C228E"/>
    <w:rsid w:val="000C2505"/>
    <w:rsid w:val="000C2518"/>
    <w:rsid w:val="000C2644"/>
    <w:rsid w:val="000C2722"/>
    <w:rsid w:val="000C2770"/>
    <w:rsid w:val="000C2943"/>
    <w:rsid w:val="000C29B6"/>
    <w:rsid w:val="000C2B22"/>
    <w:rsid w:val="000C2C11"/>
    <w:rsid w:val="000C2C45"/>
    <w:rsid w:val="000C2E4C"/>
    <w:rsid w:val="000C2E6A"/>
    <w:rsid w:val="000C2F80"/>
    <w:rsid w:val="000C2FEF"/>
    <w:rsid w:val="000C306A"/>
    <w:rsid w:val="000C3182"/>
    <w:rsid w:val="000C3943"/>
    <w:rsid w:val="000C3AF1"/>
    <w:rsid w:val="000C3D1D"/>
    <w:rsid w:val="000C3D20"/>
    <w:rsid w:val="000C3F0C"/>
    <w:rsid w:val="000C41AD"/>
    <w:rsid w:val="000C4557"/>
    <w:rsid w:val="000C4723"/>
    <w:rsid w:val="000C473A"/>
    <w:rsid w:val="000C48E5"/>
    <w:rsid w:val="000C492C"/>
    <w:rsid w:val="000C49DE"/>
    <w:rsid w:val="000C4A2C"/>
    <w:rsid w:val="000C4BDA"/>
    <w:rsid w:val="000C4D78"/>
    <w:rsid w:val="000C4F68"/>
    <w:rsid w:val="000C5152"/>
    <w:rsid w:val="000C54FF"/>
    <w:rsid w:val="000C5538"/>
    <w:rsid w:val="000C5680"/>
    <w:rsid w:val="000C5703"/>
    <w:rsid w:val="000C573B"/>
    <w:rsid w:val="000C58EC"/>
    <w:rsid w:val="000C5A69"/>
    <w:rsid w:val="000C5BA6"/>
    <w:rsid w:val="000C5C73"/>
    <w:rsid w:val="000C5D76"/>
    <w:rsid w:val="000C61DD"/>
    <w:rsid w:val="000C622F"/>
    <w:rsid w:val="000C6509"/>
    <w:rsid w:val="000C657C"/>
    <w:rsid w:val="000C66AC"/>
    <w:rsid w:val="000C66EE"/>
    <w:rsid w:val="000C68F9"/>
    <w:rsid w:val="000C68FA"/>
    <w:rsid w:val="000C6B72"/>
    <w:rsid w:val="000C6C44"/>
    <w:rsid w:val="000C701A"/>
    <w:rsid w:val="000C70F8"/>
    <w:rsid w:val="000C74F7"/>
    <w:rsid w:val="000C755E"/>
    <w:rsid w:val="000C7BEE"/>
    <w:rsid w:val="000D001D"/>
    <w:rsid w:val="000D0112"/>
    <w:rsid w:val="000D055C"/>
    <w:rsid w:val="000D0AC6"/>
    <w:rsid w:val="000D0B7D"/>
    <w:rsid w:val="000D0CBB"/>
    <w:rsid w:val="000D10E7"/>
    <w:rsid w:val="000D1516"/>
    <w:rsid w:val="000D1543"/>
    <w:rsid w:val="000D156F"/>
    <w:rsid w:val="000D15B9"/>
    <w:rsid w:val="000D15BD"/>
    <w:rsid w:val="000D178F"/>
    <w:rsid w:val="000D17FB"/>
    <w:rsid w:val="000D1B46"/>
    <w:rsid w:val="000D1C60"/>
    <w:rsid w:val="000D1E5D"/>
    <w:rsid w:val="000D2216"/>
    <w:rsid w:val="000D2745"/>
    <w:rsid w:val="000D28FD"/>
    <w:rsid w:val="000D290C"/>
    <w:rsid w:val="000D2C1F"/>
    <w:rsid w:val="000D2C8C"/>
    <w:rsid w:val="000D2EC7"/>
    <w:rsid w:val="000D2F6A"/>
    <w:rsid w:val="000D318D"/>
    <w:rsid w:val="000D3322"/>
    <w:rsid w:val="000D33E5"/>
    <w:rsid w:val="000D35BC"/>
    <w:rsid w:val="000D360E"/>
    <w:rsid w:val="000D3728"/>
    <w:rsid w:val="000D3D86"/>
    <w:rsid w:val="000D3E7A"/>
    <w:rsid w:val="000D3EBA"/>
    <w:rsid w:val="000D43E2"/>
    <w:rsid w:val="000D4562"/>
    <w:rsid w:val="000D45F0"/>
    <w:rsid w:val="000D46A3"/>
    <w:rsid w:val="000D4743"/>
    <w:rsid w:val="000D47B9"/>
    <w:rsid w:val="000D4BFB"/>
    <w:rsid w:val="000D50CD"/>
    <w:rsid w:val="000D5335"/>
    <w:rsid w:val="000D568F"/>
    <w:rsid w:val="000D56CA"/>
    <w:rsid w:val="000D5783"/>
    <w:rsid w:val="000D58F8"/>
    <w:rsid w:val="000D5930"/>
    <w:rsid w:val="000D5958"/>
    <w:rsid w:val="000D5A63"/>
    <w:rsid w:val="000D5D0C"/>
    <w:rsid w:val="000D6502"/>
    <w:rsid w:val="000D671A"/>
    <w:rsid w:val="000D6B85"/>
    <w:rsid w:val="000D6C44"/>
    <w:rsid w:val="000D6D2D"/>
    <w:rsid w:val="000D6DC5"/>
    <w:rsid w:val="000D718A"/>
    <w:rsid w:val="000D7238"/>
    <w:rsid w:val="000D73A9"/>
    <w:rsid w:val="000D75D5"/>
    <w:rsid w:val="000D76EB"/>
    <w:rsid w:val="000D7A79"/>
    <w:rsid w:val="000D7C3D"/>
    <w:rsid w:val="000D7E28"/>
    <w:rsid w:val="000E0363"/>
    <w:rsid w:val="000E0644"/>
    <w:rsid w:val="000E077D"/>
    <w:rsid w:val="000E07B8"/>
    <w:rsid w:val="000E09D1"/>
    <w:rsid w:val="000E0B4F"/>
    <w:rsid w:val="000E0C39"/>
    <w:rsid w:val="000E0CF9"/>
    <w:rsid w:val="000E0D75"/>
    <w:rsid w:val="000E0F34"/>
    <w:rsid w:val="000E10C8"/>
    <w:rsid w:val="000E125F"/>
    <w:rsid w:val="000E1469"/>
    <w:rsid w:val="000E1485"/>
    <w:rsid w:val="000E1971"/>
    <w:rsid w:val="000E1DAE"/>
    <w:rsid w:val="000E1ECE"/>
    <w:rsid w:val="000E212C"/>
    <w:rsid w:val="000E24A9"/>
    <w:rsid w:val="000E2997"/>
    <w:rsid w:val="000E2AF6"/>
    <w:rsid w:val="000E2E5F"/>
    <w:rsid w:val="000E30B6"/>
    <w:rsid w:val="000E317D"/>
    <w:rsid w:val="000E31B5"/>
    <w:rsid w:val="000E345F"/>
    <w:rsid w:val="000E3650"/>
    <w:rsid w:val="000E3941"/>
    <w:rsid w:val="000E39C8"/>
    <w:rsid w:val="000E3B3C"/>
    <w:rsid w:val="000E3CB8"/>
    <w:rsid w:val="000E3DD9"/>
    <w:rsid w:val="000E4023"/>
    <w:rsid w:val="000E40E3"/>
    <w:rsid w:val="000E44E0"/>
    <w:rsid w:val="000E4605"/>
    <w:rsid w:val="000E4ADB"/>
    <w:rsid w:val="000E4C37"/>
    <w:rsid w:val="000E50DF"/>
    <w:rsid w:val="000E54A2"/>
    <w:rsid w:val="000E5805"/>
    <w:rsid w:val="000E58FE"/>
    <w:rsid w:val="000E5944"/>
    <w:rsid w:val="000E5A6F"/>
    <w:rsid w:val="000E5DD2"/>
    <w:rsid w:val="000E603F"/>
    <w:rsid w:val="000E616E"/>
    <w:rsid w:val="000E62E6"/>
    <w:rsid w:val="000E65F4"/>
    <w:rsid w:val="000E6C20"/>
    <w:rsid w:val="000E6E01"/>
    <w:rsid w:val="000E700B"/>
    <w:rsid w:val="000E706C"/>
    <w:rsid w:val="000E70E6"/>
    <w:rsid w:val="000E7153"/>
    <w:rsid w:val="000E73EF"/>
    <w:rsid w:val="000E75D6"/>
    <w:rsid w:val="000E77F2"/>
    <w:rsid w:val="000E7C36"/>
    <w:rsid w:val="000E7F79"/>
    <w:rsid w:val="000F0201"/>
    <w:rsid w:val="000F0211"/>
    <w:rsid w:val="000F0256"/>
    <w:rsid w:val="000F062F"/>
    <w:rsid w:val="000F0747"/>
    <w:rsid w:val="000F0B0C"/>
    <w:rsid w:val="000F0B28"/>
    <w:rsid w:val="000F0D28"/>
    <w:rsid w:val="000F0F8B"/>
    <w:rsid w:val="000F125C"/>
    <w:rsid w:val="000F12B1"/>
    <w:rsid w:val="000F14A0"/>
    <w:rsid w:val="000F168E"/>
    <w:rsid w:val="000F183E"/>
    <w:rsid w:val="000F1B89"/>
    <w:rsid w:val="000F1CE2"/>
    <w:rsid w:val="000F1CFB"/>
    <w:rsid w:val="000F2031"/>
    <w:rsid w:val="000F2168"/>
    <w:rsid w:val="000F231A"/>
    <w:rsid w:val="000F2674"/>
    <w:rsid w:val="000F2966"/>
    <w:rsid w:val="000F2A4E"/>
    <w:rsid w:val="000F2AB1"/>
    <w:rsid w:val="000F2C11"/>
    <w:rsid w:val="000F3082"/>
    <w:rsid w:val="000F3301"/>
    <w:rsid w:val="000F3389"/>
    <w:rsid w:val="000F35FE"/>
    <w:rsid w:val="000F3A5E"/>
    <w:rsid w:val="000F3A73"/>
    <w:rsid w:val="000F3B41"/>
    <w:rsid w:val="000F3C29"/>
    <w:rsid w:val="000F3DA4"/>
    <w:rsid w:val="000F3E99"/>
    <w:rsid w:val="000F3F68"/>
    <w:rsid w:val="000F3F7B"/>
    <w:rsid w:val="000F404A"/>
    <w:rsid w:val="000F407D"/>
    <w:rsid w:val="000F44D7"/>
    <w:rsid w:val="000F4954"/>
    <w:rsid w:val="000F4A46"/>
    <w:rsid w:val="000F4D2A"/>
    <w:rsid w:val="000F5265"/>
    <w:rsid w:val="000F54EF"/>
    <w:rsid w:val="000F591A"/>
    <w:rsid w:val="000F5DCA"/>
    <w:rsid w:val="000F5E51"/>
    <w:rsid w:val="000F5ED1"/>
    <w:rsid w:val="000F5F83"/>
    <w:rsid w:val="000F62BC"/>
    <w:rsid w:val="000F63A7"/>
    <w:rsid w:val="000F63A9"/>
    <w:rsid w:val="000F63BB"/>
    <w:rsid w:val="000F67B6"/>
    <w:rsid w:val="000F686C"/>
    <w:rsid w:val="000F69E1"/>
    <w:rsid w:val="000F6B78"/>
    <w:rsid w:val="000F6C61"/>
    <w:rsid w:val="000F71C0"/>
    <w:rsid w:val="000F7217"/>
    <w:rsid w:val="000F734F"/>
    <w:rsid w:val="000F7491"/>
    <w:rsid w:val="000F75AB"/>
    <w:rsid w:val="000F7D73"/>
    <w:rsid w:val="00100309"/>
    <w:rsid w:val="0010036F"/>
    <w:rsid w:val="00100845"/>
    <w:rsid w:val="0010091D"/>
    <w:rsid w:val="0010092C"/>
    <w:rsid w:val="00100CF8"/>
    <w:rsid w:val="00100D1B"/>
    <w:rsid w:val="00100D3E"/>
    <w:rsid w:val="00100DFE"/>
    <w:rsid w:val="00100E48"/>
    <w:rsid w:val="00100F02"/>
    <w:rsid w:val="0010107A"/>
    <w:rsid w:val="00101301"/>
    <w:rsid w:val="001013D1"/>
    <w:rsid w:val="0010199A"/>
    <w:rsid w:val="00101B8A"/>
    <w:rsid w:val="00101F37"/>
    <w:rsid w:val="001020BA"/>
    <w:rsid w:val="00102341"/>
    <w:rsid w:val="001023FF"/>
    <w:rsid w:val="0010244D"/>
    <w:rsid w:val="0010259F"/>
    <w:rsid w:val="00102B89"/>
    <w:rsid w:val="00102D39"/>
    <w:rsid w:val="00103019"/>
    <w:rsid w:val="00103140"/>
    <w:rsid w:val="001032EF"/>
    <w:rsid w:val="001033C6"/>
    <w:rsid w:val="00103CAB"/>
    <w:rsid w:val="00103E7D"/>
    <w:rsid w:val="00103F17"/>
    <w:rsid w:val="00103F2A"/>
    <w:rsid w:val="00103F9E"/>
    <w:rsid w:val="001040C4"/>
    <w:rsid w:val="00104102"/>
    <w:rsid w:val="00104C38"/>
    <w:rsid w:val="00104DB0"/>
    <w:rsid w:val="001050E7"/>
    <w:rsid w:val="001051C8"/>
    <w:rsid w:val="001053C2"/>
    <w:rsid w:val="00105796"/>
    <w:rsid w:val="001057C2"/>
    <w:rsid w:val="00105814"/>
    <w:rsid w:val="00105AFF"/>
    <w:rsid w:val="00105B5E"/>
    <w:rsid w:val="00105ED0"/>
    <w:rsid w:val="001064C2"/>
    <w:rsid w:val="001065FE"/>
    <w:rsid w:val="001067A8"/>
    <w:rsid w:val="0010686D"/>
    <w:rsid w:val="00106D2D"/>
    <w:rsid w:val="001070B3"/>
    <w:rsid w:val="00107543"/>
    <w:rsid w:val="001075CA"/>
    <w:rsid w:val="00107640"/>
    <w:rsid w:val="00107840"/>
    <w:rsid w:val="00107841"/>
    <w:rsid w:val="001078B8"/>
    <w:rsid w:val="001079CA"/>
    <w:rsid w:val="00107CB8"/>
    <w:rsid w:val="00107E94"/>
    <w:rsid w:val="00107EA0"/>
    <w:rsid w:val="00110536"/>
    <w:rsid w:val="001106DA"/>
    <w:rsid w:val="00110714"/>
    <w:rsid w:val="001108FF"/>
    <w:rsid w:val="00110977"/>
    <w:rsid w:val="00110CB4"/>
    <w:rsid w:val="00110D06"/>
    <w:rsid w:val="00110FDB"/>
    <w:rsid w:val="00111323"/>
    <w:rsid w:val="00111579"/>
    <w:rsid w:val="00111621"/>
    <w:rsid w:val="00111913"/>
    <w:rsid w:val="00111AED"/>
    <w:rsid w:val="00111B94"/>
    <w:rsid w:val="00111C46"/>
    <w:rsid w:val="00111C60"/>
    <w:rsid w:val="00111CD8"/>
    <w:rsid w:val="00112414"/>
    <w:rsid w:val="001127A0"/>
    <w:rsid w:val="001128C7"/>
    <w:rsid w:val="00112C13"/>
    <w:rsid w:val="00112C3C"/>
    <w:rsid w:val="00112C81"/>
    <w:rsid w:val="00112DFB"/>
    <w:rsid w:val="00112F25"/>
    <w:rsid w:val="00112FC9"/>
    <w:rsid w:val="00112FCD"/>
    <w:rsid w:val="00113063"/>
    <w:rsid w:val="001130B1"/>
    <w:rsid w:val="00113517"/>
    <w:rsid w:val="00113859"/>
    <w:rsid w:val="00113AAA"/>
    <w:rsid w:val="00113CD3"/>
    <w:rsid w:val="00113D1A"/>
    <w:rsid w:val="00113E41"/>
    <w:rsid w:val="001141CE"/>
    <w:rsid w:val="00114377"/>
    <w:rsid w:val="00114587"/>
    <w:rsid w:val="001145F3"/>
    <w:rsid w:val="0011473B"/>
    <w:rsid w:val="0011473D"/>
    <w:rsid w:val="00114971"/>
    <w:rsid w:val="001149AD"/>
    <w:rsid w:val="00114C82"/>
    <w:rsid w:val="00114CAE"/>
    <w:rsid w:val="00114D32"/>
    <w:rsid w:val="00114DC6"/>
    <w:rsid w:val="00114ED4"/>
    <w:rsid w:val="00114FA7"/>
    <w:rsid w:val="0011508C"/>
    <w:rsid w:val="00115150"/>
    <w:rsid w:val="0011557E"/>
    <w:rsid w:val="00115993"/>
    <w:rsid w:val="00115B0C"/>
    <w:rsid w:val="00115D15"/>
    <w:rsid w:val="001160AB"/>
    <w:rsid w:val="001162FF"/>
    <w:rsid w:val="0011648A"/>
    <w:rsid w:val="00116902"/>
    <w:rsid w:val="00116A3E"/>
    <w:rsid w:val="00116AFB"/>
    <w:rsid w:val="00116BE3"/>
    <w:rsid w:val="00116D3E"/>
    <w:rsid w:val="00116EB2"/>
    <w:rsid w:val="001170A1"/>
    <w:rsid w:val="001170C9"/>
    <w:rsid w:val="00117687"/>
    <w:rsid w:val="00117971"/>
    <w:rsid w:val="00117991"/>
    <w:rsid w:val="001179AA"/>
    <w:rsid w:val="00117B4E"/>
    <w:rsid w:val="00117D33"/>
    <w:rsid w:val="00117E1F"/>
    <w:rsid w:val="00120112"/>
    <w:rsid w:val="00120333"/>
    <w:rsid w:val="001205BE"/>
    <w:rsid w:val="00120685"/>
    <w:rsid w:val="001206F3"/>
    <w:rsid w:val="00120831"/>
    <w:rsid w:val="001208F9"/>
    <w:rsid w:val="00120D69"/>
    <w:rsid w:val="00121322"/>
    <w:rsid w:val="001215B0"/>
    <w:rsid w:val="00121A52"/>
    <w:rsid w:val="00121AAA"/>
    <w:rsid w:val="00121BF9"/>
    <w:rsid w:val="00121DC9"/>
    <w:rsid w:val="00121E49"/>
    <w:rsid w:val="00121F6D"/>
    <w:rsid w:val="00122174"/>
    <w:rsid w:val="001224D7"/>
    <w:rsid w:val="001228ED"/>
    <w:rsid w:val="00122A43"/>
    <w:rsid w:val="00122B76"/>
    <w:rsid w:val="00122FCD"/>
    <w:rsid w:val="00123270"/>
    <w:rsid w:val="001232F3"/>
    <w:rsid w:val="0012359E"/>
    <w:rsid w:val="001235F8"/>
    <w:rsid w:val="00123634"/>
    <w:rsid w:val="0012377D"/>
    <w:rsid w:val="0012387F"/>
    <w:rsid w:val="00123F3C"/>
    <w:rsid w:val="00123FA9"/>
    <w:rsid w:val="00124247"/>
    <w:rsid w:val="001242D7"/>
    <w:rsid w:val="0012434A"/>
    <w:rsid w:val="001243C1"/>
    <w:rsid w:val="00124470"/>
    <w:rsid w:val="001246CD"/>
    <w:rsid w:val="001247D7"/>
    <w:rsid w:val="00124956"/>
    <w:rsid w:val="00124BE5"/>
    <w:rsid w:val="00124CE0"/>
    <w:rsid w:val="00125320"/>
    <w:rsid w:val="00125381"/>
    <w:rsid w:val="00125407"/>
    <w:rsid w:val="001254BD"/>
    <w:rsid w:val="00125561"/>
    <w:rsid w:val="00125613"/>
    <w:rsid w:val="00125693"/>
    <w:rsid w:val="00125839"/>
    <w:rsid w:val="00125938"/>
    <w:rsid w:val="00125BA3"/>
    <w:rsid w:val="00125C64"/>
    <w:rsid w:val="00125EFA"/>
    <w:rsid w:val="001260AE"/>
    <w:rsid w:val="001263BB"/>
    <w:rsid w:val="001268E8"/>
    <w:rsid w:val="0012693A"/>
    <w:rsid w:val="00126AE5"/>
    <w:rsid w:val="00126B07"/>
    <w:rsid w:val="00126C58"/>
    <w:rsid w:val="00126DAE"/>
    <w:rsid w:val="00126E94"/>
    <w:rsid w:val="00126FD6"/>
    <w:rsid w:val="0012728E"/>
    <w:rsid w:val="00127377"/>
    <w:rsid w:val="00127667"/>
    <w:rsid w:val="00127688"/>
    <w:rsid w:val="001279E3"/>
    <w:rsid w:val="001279F3"/>
    <w:rsid w:val="00127B9D"/>
    <w:rsid w:val="00127EAC"/>
    <w:rsid w:val="001300FD"/>
    <w:rsid w:val="00130745"/>
    <w:rsid w:val="00130785"/>
    <w:rsid w:val="00130854"/>
    <w:rsid w:val="00130946"/>
    <w:rsid w:val="00130ACA"/>
    <w:rsid w:val="00131139"/>
    <w:rsid w:val="0013115B"/>
    <w:rsid w:val="001315D2"/>
    <w:rsid w:val="00131EA6"/>
    <w:rsid w:val="001320B3"/>
    <w:rsid w:val="00132590"/>
    <w:rsid w:val="0013265F"/>
    <w:rsid w:val="00132820"/>
    <w:rsid w:val="001328B9"/>
    <w:rsid w:val="00132923"/>
    <w:rsid w:val="00132958"/>
    <w:rsid w:val="00132ADF"/>
    <w:rsid w:val="00132C38"/>
    <w:rsid w:val="00132D0C"/>
    <w:rsid w:val="00132EBD"/>
    <w:rsid w:val="00132FE1"/>
    <w:rsid w:val="00133A05"/>
    <w:rsid w:val="00133A9C"/>
    <w:rsid w:val="00133B5E"/>
    <w:rsid w:val="00133BAE"/>
    <w:rsid w:val="00133C80"/>
    <w:rsid w:val="00133F1F"/>
    <w:rsid w:val="00133F73"/>
    <w:rsid w:val="001341AA"/>
    <w:rsid w:val="00134200"/>
    <w:rsid w:val="00134475"/>
    <w:rsid w:val="001344DF"/>
    <w:rsid w:val="00134509"/>
    <w:rsid w:val="001348A6"/>
    <w:rsid w:val="0013494B"/>
    <w:rsid w:val="00134A2C"/>
    <w:rsid w:val="00134A58"/>
    <w:rsid w:val="00134C54"/>
    <w:rsid w:val="00134F22"/>
    <w:rsid w:val="00134FBB"/>
    <w:rsid w:val="00135016"/>
    <w:rsid w:val="0013513F"/>
    <w:rsid w:val="00135269"/>
    <w:rsid w:val="0013532D"/>
    <w:rsid w:val="001354CF"/>
    <w:rsid w:val="0013557E"/>
    <w:rsid w:val="0013574E"/>
    <w:rsid w:val="00135807"/>
    <w:rsid w:val="0013596F"/>
    <w:rsid w:val="00135A8B"/>
    <w:rsid w:val="00135AD9"/>
    <w:rsid w:val="00135B86"/>
    <w:rsid w:val="00135BEE"/>
    <w:rsid w:val="00135E7B"/>
    <w:rsid w:val="00136169"/>
    <w:rsid w:val="00136225"/>
    <w:rsid w:val="00136617"/>
    <w:rsid w:val="0013674B"/>
    <w:rsid w:val="0013689B"/>
    <w:rsid w:val="001368CC"/>
    <w:rsid w:val="00136DC3"/>
    <w:rsid w:val="00136E34"/>
    <w:rsid w:val="00136FEC"/>
    <w:rsid w:val="0013705B"/>
    <w:rsid w:val="001371F6"/>
    <w:rsid w:val="00137A27"/>
    <w:rsid w:val="00137CC1"/>
    <w:rsid w:val="00137CCD"/>
    <w:rsid w:val="00137D9B"/>
    <w:rsid w:val="00137FD2"/>
    <w:rsid w:val="00140404"/>
    <w:rsid w:val="0014040B"/>
    <w:rsid w:val="0014065D"/>
    <w:rsid w:val="001407A4"/>
    <w:rsid w:val="001408EB"/>
    <w:rsid w:val="00140AAC"/>
    <w:rsid w:val="00140B6E"/>
    <w:rsid w:val="00140C02"/>
    <w:rsid w:val="00140C0A"/>
    <w:rsid w:val="00140CCE"/>
    <w:rsid w:val="00141064"/>
    <w:rsid w:val="001410FE"/>
    <w:rsid w:val="001412E1"/>
    <w:rsid w:val="00141666"/>
    <w:rsid w:val="0014169D"/>
    <w:rsid w:val="0014170B"/>
    <w:rsid w:val="00141912"/>
    <w:rsid w:val="00141ACF"/>
    <w:rsid w:val="00141C8C"/>
    <w:rsid w:val="00141CF8"/>
    <w:rsid w:val="00141D66"/>
    <w:rsid w:val="00141ED8"/>
    <w:rsid w:val="0014204B"/>
    <w:rsid w:val="0014217C"/>
    <w:rsid w:val="00142353"/>
    <w:rsid w:val="00142487"/>
    <w:rsid w:val="00142572"/>
    <w:rsid w:val="001426F2"/>
    <w:rsid w:val="00142848"/>
    <w:rsid w:val="00142893"/>
    <w:rsid w:val="00142B86"/>
    <w:rsid w:val="00142D12"/>
    <w:rsid w:val="00142DCA"/>
    <w:rsid w:val="00142F47"/>
    <w:rsid w:val="001432D9"/>
    <w:rsid w:val="00143496"/>
    <w:rsid w:val="0014366C"/>
    <w:rsid w:val="0014374F"/>
    <w:rsid w:val="001438D1"/>
    <w:rsid w:val="0014399B"/>
    <w:rsid w:val="00143E8C"/>
    <w:rsid w:val="00143FD7"/>
    <w:rsid w:val="001440D0"/>
    <w:rsid w:val="001442C5"/>
    <w:rsid w:val="00144327"/>
    <w:rsid w:val="0014449B"/>
    <w:rsid w:val="00144660"/>
    <w:rsid w:val="001446F0"/>
    <w:rsid w:val="0014485B"/>
    <w:rsid w:val="0014490B"/>
    <w:rsid w:val="00144A09"/>
    <w:rsid w:val="00144D96"/>
    <w:rsid w:val="00144ED4"/>
    <w:rsid w:val="00144F7C"/>
    <w:rsid w:val="00145135"/>
    <w:rsid w:val="001452F2"/>
    <w:rsid w:val="0014555A"/>
    <w:rsid w:val="001455E6"/>
    <w:rsid w:val="001455EA"/>
    <w:rsid w:val="001457E4"/>
    <w:rsid w:val="00145A29"/>
    <w:rsid w:val="00145E14"/>
    <w:rsid w:val="00145F8D"/>
    <w:rsid w:val="00146077"/>
    <w:rsid w:val="001460B6"/>
    <w:rsid w:val="0014635F"/>
    <w:rsid w:val="00146682"/>
    <w:rsid w:val="001468C4"/>
    <w:rsid w:val="00146A46"/>
    <w:rsid w:val="00146B7E"/>
    <w:rsid w:val="00146B92"/>
    <w:rsid w:val="00146B93"/>
    <w:rsid w:val="00146C24"/>
    <w:rsid w:val="00146E94"/>
    <w:rsid w:val="00146EF9"/>
    <w:rsid w:val="00147224"/>
    <w:rsid w:val="00147269"/>
    <w:rsid w:val="00147289"/>
    <w:rsid w:val="001476E1"/>
    <w:rsid w:val="00147BF1"/>
    <w:rsid w:val="00147DFB"/>
    <w:rsid w:val="00147E48"/>
    <w:rsid w:val="00147FD5"/>
    <w:rsid w:val="00150287"/>
    <w:rsid w:val="001502C4"/>
    <w:rsid w:val="001503E9"/>
    <w:rsid w:val="001504A5"/>
    <w:rsid w:val="00150503"/>
    <w:rsid w:val="00150606"/>
    <w:rsid w:val="001506EF"/>
    <w:rsid w:val="00150AAA"/>
    <w:rsid w:val="00150C03"/>
    <w:rsid w:val="00150CDF"/>
    <w:rsid w:val="00150E40"/>
    <w:rsid w:val="00151077"/>
    <w:rsid w:val="001510A3"/>
    <w:rsid w:val="00151371"/>
    <w:rsid w:val="001513FC"/>
    <w:rsid w:val="00151707"/>
    <w:rsid w:val="00151810"/>
    <w:rsid w:val="0015185A"/>
    <w:rsid w:val="00151A06"/>
    <w:rsid w:val="00151BAC"/>
    <w:rsid w:val="00151D7D"/>
    <w:rsid w:val="00151E4A"/>
    <w:rsid w:val="00152097"/>
    <w:rsid w:val="00152414"/>
    <w:rsid w:val="001524A4"/>
    <w:rsid w:val="001526C6"/>
    <w:rsid w:val="001526F7"/>
    <w:rsid w:val="00152847"/>
    <w:rsid w:val="00152A44"/>
    <w:rsid w:val="00152BC2"/>
    <w:rsid w:val="00152E32"/>
    <w:rsid w:val="00153082"/>
    <w:rsid w:val="00153099"/>
    <w:rsid w:val="001530FB"/>
    <w:rsid w:val="00153282"/>
    <w:rsid w:val="001533C8"/>
    <w:rsid w:val="00153932"/>
    <w:rsid w:val="00153949"/>
    <w:rsid w:val="0015396B"/>
    <w:rsid w:val="00153BC2"/>
    <w:rsid w:val="0015405F"/>
    <w:rsid w:val="00154099"/>
    <w:rsid w:val="001541CB"/>
    <w:rsid w:val="001541D6"/>
    <w:rsid w:val="001547C5"/>
    <w:rsid w:val="00154D46"/>
    <w:rsid w:val="0015510C"/>
    <w:rsid w:val="00155187"/>
    <w:rsid w:val="0015543E"/>
    <w:rsid w:val="001554FD"/>
    <w:rsid w:val="0015556B"/>
    <w:rsid w:val="001555BD"/>
    <w:rsid w:val="00155932"/>
    <w:rsid w:val="00155963"/>
    <w:rsid w:val="00155C0B"/>
    <w:rsid w:val="00155C7B"/>
    <w:rsid w:val="00155CD8"/>
    <w:rsid w:val="00155F87"/>
    <w:rsid w:val="00155FBA"/>
    <w:rsid w:val="0015631F"/>
    <w:rsid w:val="001563BD"/>
    <w:rsid w:val="0015646E"/>
    <w:rsid w:val="00156513"/>
    <w:rsid w:val="00156633"/>
    <w:rsid w:val="00157037"/>
    <w:rsid w:val="00157379"/>
    <w:rsid w:val="001575A6"/>
    <w:rsid w:val="0015791B"/>
    <w:rsid w:val="00157EF8"/>
    <w:rsid w:val="00157F9C"/>
    <w:rsid w:val="001600C8"/>
    <w:rsid w:val="0016035F"/>
    <w:rsid w:val="001608EE"/>
    <w:rsid w:val="00160943"/>
    <w:rsid w:val="00160B23"/>
    <w:rsid w:val="00160DC7"/>
    <w:rsid w:val="00160E6A"/>
    <w:rsid w:val="0016102D"/>
    <w:rsid w:val="00161108"/>
    <w:rsid w:val="0016152D"/>
    <w:rsid w:val="001616CB"/>
    <w:rsid w:val="00161899"/>
    <w:rsid w:val="00161B81"/>
    <w:rsid w:val="00161ED6"/>
    <w:rsid w:val="00161F19"/>
    <w:rsid w:val="0016211C"/>
    <w:rsid w:val="0016217D"/>
    <w:rsid w:val="0016230E"/>
    <w:rsid w:val="00162355"/>
    <w:rsid w:val="0016285B"/>
    <w:rsid w:val="00162919"/>
    <w:rsid w:val="00162DFE"/>
    <w:rsid w:val="00162E42"/>
    <w:rsid w:val="00163507"/>
    <w:rsid w:val="001635E5"/>
    <w:rsid w:val="00163760"/>
    <w:rsid w:val="00163772"/>
    <w:rsid w:val="00163952"/>
    <w:rsid w:val="001639D5"/>
    <w:rsid w:val="00163A33"/>
    <w:rsid w:val="00163AE9"/>
    <w:rsid w:val="00163B0B"/>
    <w:rsid w:val="00163D07"/>
    <w:rsid w:val="00163D64"/>
    <w:rsid w:val="00163DF8"/>
    <w:rsid w:val="00163FB4"/>
    <w:rsid w:val="00164163"/>
    <w:rsid w:val="001641A6"/>
    <w:rsid w:val="0016427C"/>
    <w:rsid w:val="001642B3"/>
    <w:rsid w:val="00164378"/>
    <w:rsid w:val="001644FA"/>
    <w:rsid w:val="0016456A"/>
    <w:rsid w:val="001646FC"/>
    <w:rsid w:val="0016481E"/>
    <w:rsid w:val="00164A26"/>
    <w:rsid w:val="00164D20"/>
    <w:rsid w:val="00164F0B"/>
    <w:rsid w:val="001651D6"/>
    <w:rsid w:val="00165270"/>
    <w:rsid w:val="0016529D"/>
    <w:rsid w:val="001652DC"/>
    <w:rsid w:val="0016546D"/>
    <w:rsid w:val="001654F3"/>
    <w:rsid w:val="0016566B"/>
    <w:rsid w:val="0016587B"/>
    <w:rsid w:val="00165A6A"/>
    <w:rsid w:val="00165BBD"/>
    <w:rsid w:val="00165C0D"/>
    <w:rsid w:val="00165D99"/>
    <w:rsid w:val="00165DAA"/>
    <w:rsid w:val="00165DE5"/>
    <w:rsid w:val="00165F00"/>
    <w:rsid w:val="00166298"/>
    <w:rsid w:val="0016645B"/>
    <w:rsid w:val="001665B2"/>
    <w:rsid w:val="001665BA"/>
    <w:rsid w:val="001665EE"/>
    <w:rsid w:val="00166934"/>
    <w:rsid w:val="001669EF"/>
    <w:rsid w:val="00166C05"/>
    <w:rsid w:val="00166C9E"/>
    <w:rsid w:val="00166CFA"/>
    <w:rsid w:val="00166EB7"/>
    <w:rsid w:val="001670DB"/>
    <w:rsid w:val="00167153"/>
    <w:rsid w:val="001671C2"/>
    <w:rsid w:val="00167408"/>
    <w:rsid w:val="0016783A"/>
    <w:rsid w:val="001679DC"/>
    <w:rsid w:val="00167E4D"/>
    <w:rsid w:val="00167EDE"/>
    <w:rsid w:val="001701DD"/>
    <w:rsid w:val="00170222"/>
    <w:rsid w:val="001702CE"/>
    <w:rsid w:val="00170309"/>
    <w:rsid w:val="00170676"/>
    <w:rsid w:val="001707E6"/>
    <w:rsid w:val="0017096A"/>
    <w:rsid w:val="00170C18"/>
    <w:rsid w:val="00170CCE"/>
    <w:rsid w:val="00170D2F"/>
    <w:rsid w:val="0017159E"/>
    <w:rsid w:val="001717E8"/>
    <w:rsid w:val="00171B91"/>
    <w:rsid w:val="00171C5E"/>
    <w:rsid w:val="00171C83"/>
    <w:rsid w:val="00171E34"/>
    <w:rsid w:val="00171F19"/>
    <w:rsid w:val="00172788"/>
    <w:rsid w:val="001728B5"/>
    <w:rsid w:val="00172925"/>
    <w:rsid w:val="00172944"/>
    <w:rsid w:val="0017298E"/>
    <w:rsid w:val="00172D67"/>
    <w:rsid w:val="00172E23"/>
    <w:rsid w:val="00172ECF"/>
    <w:rsid w:val="00172ED8"/>
    <w:rsid w:val="00173201"/>
    <w:rsid w:val="001735E8"/>
    <w:rsid w:val="00173AE0"/>
    <w:rsid w:val="00173B9A"/>
    <w:rsid w:val="00173D3D"/>
    <w:rsid w:val="00174232"/>
    <w:rsid w:val="00174235"/>
    <w:rsid w:val="00174282"/>
    <w:rsid w:val="001742DD"/>
    <w:rsid w:val="001744EE"/>
    <w:rsid w:val="001745A8"/>
    <w:rsid w:val="0017465E"/>
    <w:rsid w:val="00174759"/>
    <w:rsid w:val="00174814"/>
    <w:rsid w:val="001748D6"/>
    <w:rsid w:val="001748F3"/>
    <w:rsid w:val="00174900"/>
    <w:rsid w:val="001749ED"/>
    <w:rsid w:val="00174B63"/>
    <w:rsid w:val="00174F35"/>
    <w:rsid w:val="00175154"/>
    <w:rsid w:val="001755B5"/>
    <w:rsid w:val="001755C4"/>
    <w:rsid w:val="00175BC7"/>
    <w:rsid w:val="00175D11"/>
    <w:rsid w:val="00175D88"/>
    <w:rsid w:val="00175E84"/>
    <w:rsid w:val="00175ED5"/>
    <w:rsid w:val="00175FB9"/>
    <w:rsid w:val="001760F9"/>
    <w:rsid w:val="00176267"/>
    <w:rsid w:val="00176483"/>
    <w:rsid w:val="00176723"/>
    <w:rsid w:val="00176778"/>
    <w:rsid w:val="00176A84"/>
    <w:rsid w:val="00176ACE"/>
    <w:rsid w:val="00176B64"/>
    <w:rsid w:val="00176D2B"/>
    <w:rsid w:val="001772BF"/>
    <w:rsid w:val="001772F6"/>
    <w:rsid w:val="00177583"/>
    <w:rsid w:val="001775F0"/>
    <w:rsid w:val="00177723"/>
    <w:rsid w:val="001777D3"/>
    <w:rsid w:val="00177B14"/>
    <w:rsid w:val="00180006"/>
    <w:rsid w:val="00180097"/>
    <w:rsid w:val="00180245"/>
    <w:rsid w:val="0018042D"/>
    <w:rsid w:val="0018080A"/>
    <w:rsid w:val="0018099D"/>
    <w:rsid w:val="0018102A"/>
    <w:rsid w:val="00181171"/>
    <w:rsid w:val="0018126F"/>
    <w:rsid w:val="00181321"/>
    <w:rsid w:val="001815B0"/>
    <w:rsid w:val="0018166C"/>
    <w:rsid w:val="00181713"/>
    <w:rsid w:val="0018183D"/>
    <w:rsid w:val="001818D2"/>
    <w:rsid w:val="0018195D"/>
    <w:rsid w:val="00181A40"/>
    <w:rsid w:val="00181BC5"/>
    <w:rsid w:val="00181D5A"/>
    <w:rsid w:val="001820BC"/>
    <w:rsid w:val="001820F3"/>
    <w:rsid w:val="00182413"/>
    <w:rsid w:val="00182611"/>
    <w:rsid w:val="001829B2"/>
    <w:rsid w:val="001829DF"/>
    <w:rsid w:val="00182A9E"/>
    <w:rsid w:val="00182D63"/>
    <w:rsid w:val="00182F16"/>
    <w:rsid w:val="00183226"/>
    <w:rsid w:val="00183540"/>
    <w:rsid w:val="00183618"/>
    <w:rsid w:val="00183A24"/>
    <w:rsid w:val="00183C3C"/>
    <w:rsid w:val="00183F1A"/>
    <w:rsid w:val="00184427"/>
    <w:rsid w:val="001845CC"/>
    <w:rsid w:val="001847DB"/>
    <w:rsid w:val="001849EC"/>
    <w:rsid w:val="00184BA8"/>
    <w:rsid w:val="00184C72"/>
    <w:rsid w:val="00184EE4"/>
    <w:rsid w:val="00185222"/>
    <w:rsid w:val="0018524A"/>
    <w:rsid w:val="00185265"/>
    <w:rsid w:val="00185366"/>
    <w:rsid w:val="0018537C"/>
    <w:rsid w:val="001853FC"/>
    <w:rsid w:val="00185460"/>
    <w:rsid w:val="0018558E"/>
    <w:rsid w:val="00185B15"/>
    <w:rsid w:val="00185BA0"/>
    <w:rsid w:val="00186029"/>
    <w:rsid w:val="00186058"/>
    <w:rsid w:val="0018611F"/>
    <w:rsid w:val="00186437"/>
    <w:rsid w:val="001864B2"/>
    <w:rsid w:val="0018658F"/>
    <w:rsid w:val="0018663E"/>
    <w:rsid w:val="001866AE"/>
    <w:rsid w:val="001866D6"/>
    <w:rsid w:val="00186711"/>
    <w:rsid w:val="001867DE"/>
    <w:rsid w:val="001868B0"/>
    <w:rsid w:val="001868C7"/>
    <w:rsid w:val="00186937"/>
    <w:rsid w:val="00186A10"/>
    <w:rsid w:val="00186A54"/>
    <w:rsid w:val="00186E89"/>
    <w:rsid w:val="00186FA9"/>
    <w:rsid w:val="00187074"/>
    <w:rsid w:val="00187271"/>
    <w:rsid w:val="001874B7"/>
    <w:rsid w:val="001877AF"/>
    <w:rsid w:val="00187859"/>
    <w:rsid w:val="00187C60"/>
    <w:rsid w:val="00187E18"/>
    <w:rsid w:val="0019018B"/>
    <w:rsid w:val="0019037D"/>
    <w:rsid w:val="00190583"/>
    <w:rsid w:val="001906F1"/>
    <w:rsid w:val="0019078B"/>
    <w:rsid w:val="00190798"/>
    <w:rsid w:val="00190950"/>
    <w:rsid w:val="00190AFD"/>
    <w:rsid w:val="00190BF8"/>
    <w:rsid w:val="00190DB6"/>
    <w:rsid w:val="00190DED"/>
    <w:rsid w:val="00190E8D"/>
    <w:rsid w:val="001910E6"/>
    <w:rsid w:val="00191257"/>
    <w:rsid w:val="001913E7"/>
    <w:rsid w:val="001919CC"/>
    <w:rsid w:val="00191A69"/>
    <w:rsid w:val="00191FA4"/>
    <w:rsid w:val="0019228E"/>
    <w:rsid w:val="001926BB"/>
    <w:rsid w:val="00192CCF"/>
    <w:rsid w:val="00192E43"/>
    <w:rsid w:val="00193120"/>
    <w:rsid w:val="001931F4"/>
    <w:rsid w:val="0019325A"/>
    <w:rsid w:val="00193461"/>
    <w:rsid w:val="00193481"/>
    <w:rsid w:val="001935DF"/>
    <w:rsid w:val="00193644"/>
    <w:rsid w:val="00193799"/>
    <w:rsid w:val="0019379D"/>
    <w:rsid w:val="00193A97"/>
    <w:rsid w:val="00193C0F"/>
    <w:rsid w:val="00193CF9"/>
    <w:rsid w:val="00193DF4"/>
    <w:rsid w:val="00193F10"/>
    <w:rsid w:val="0019454F"/>
    <w:rsid w:val="00194CEB"/>
    <w:rsid w:val="00194CEC"/>
    <w:rsid w:val="00194D4E"/>
    <w:rsid w:val="00194EA6"/>
    <w:rsid w:val="00194FF2"/>
    <w:rsid w:val="0019529D"/>
    <w:rsid w:val="001952C7"/>
    <w:rsid w:val="00195481"/>
    <w:rsid w:val="001954F1"/>
    <w:rsid w:val="00195B25"/>
    <w:rsid w:val="00195CEE"/>
    <w:rsid w:val="00195EB4"/>
    <w:rsid w:val="00195F5D"/>
    <w:rsid w:val="00196423"/>
    <w:rsid w:val="00196444"/>
    <w:rsid w:val="0019648C"/>
    <w:rsid w:val="001967B7"/>
    <w:rsid w:val="00196815"/>
    <w:rsid w:val="001969E5"/>
    <w:rsid w:val="00196A0C"/>
    <w:rsid w:val="00196DD8"/>
    <w:rsid w:val="00196F63"/>
    <w:rsid w:val="0019714E"/>
    <w:rsid w:val="0019726D"/>
    <w:rsid w:val="00197335"/>
    <w:rsid w:val="00197477"/>
    <w:rsid w:val="00197634"/>
    <w:rsid w:val="001977E4"/>
    <w:rsid w:val="001978F5"/>
    <w:rsid w:val="00197A9A"/>
    <w:rsid w:val="00197C89"/>
    <w:rsid w:val="00197D9B"/>
    <w:rsid w:val="00197DD7"/>
    <w:rsid w:val="00197E3C"/>
    <w:rsid w:val="00197F47"/>
    <w:rsid w:val="001A0876"/>
    <w:rsid w:val="001A090C"/>
    <w:rsid w:val="001A09AC"/>
    <w:rsid w:val="001A0A9F"/>
    <w:rsid w:val="001A0C53"/>
    <w:rsid w:val="001A0C8F"/>
    <w:rsid w:val="001A0F6D"/>
    <w:rsid w:val="001A0FEC"/>
    <w:rsid w:val="001A1094"/>
    <w:rsid w:val="001A1134"/>
    <w:rsid w:val="001A160C"/>
    <w:rsid w:val="001A1637"/>
    <w:rsid w:val="001A1700"/>
    <w:rsid w:val="001A18AF"/>
    <w:rsid w:val="001A1CC7"/>
    <w:rsid w:val="001A1CD6"/>
    <w:rsid w:val="001A1DC8"/>
    <w:rsid w:val="001A1E2F"/>
    <w:rsid w:val="001A1E85"/>
    <w:rsid w:val="001A202E"/>
    <w:rsid w:val="001A22BB"/>
    <w:rsid w:val="001A23F9"/>
    <w:rsid w:val="001A249B"/>
    <w:rsid w:val="001A24F4"/>
    <w:rsid w:val="001A25A7"/>
    <w:rsid w:val="001A2607"/>
    <w:rsid w:val="001A2737"/>
    <w:rsid w:val="001A2821"/>
    <w:rsid w:val="001A2896"/>
    <w:rsid w:val="001A293D"/>
    <w:rsid w:val="001A296C"/>
    <w:rsid w:val="001A2A1A"/>
    <w:rsid w:val="001A2F19"/>
    <w:rsid w:val="001A3365"/>
    <w:rsid w:val="001A3377"/>
    <w:rsid w:val="001A3394"/>
    <w:rsid w:val="001A35A2"/>
    <w:rsid w:val="001A3746"/>
    <w:rsid w:val="001A3D27"/>
    <w:rsid w:val="001A3DE2"/>
    <w:rsid w:val="001A3E36"/>
    <w:rsid w:val="001A3F19"/>
    <w:rsid w:val="001A3F2A"/>
    <w:rsid w:val="001A3F4F"/>
    <w:rsid w:val="001A4139"/>
    <w:rsid w:val="001A41C4"/>
    <w:rsid w:val="001A4223"/>
    <w:rsid w:val="001A42A6"/>
    <w:rsid w:val="001A441A"/>
    <w:rsid w:val="001A4612"/>
    <w:rsid w:val="001A47C6"/>
    <w:rsid w:val="001A4836"/>
    <w:rsid w:val="001A48D5"/>
    <w:rsid w:val="001A49F1"/>
    <w:rsid w:val="001A4A72"/>
    <w:rsid w:val="001A4AC6"/>
    <w:rsid w:val="001A4AC7"/>
    <w:rsid w:val="001A4BF9"/>
    <w:rsid w:val="001A5257"/>
    <w:rsid w:val="001A5258"/>
    <w:rsid w:val="001A53EF"/>
    <w:rsid w:val="001A546D"/>
    <w:rsid w:val="001A5969"/>
    <w:rsid w:val="001A5DEA"/>
    <w:rsid w:val="001A5F90"/>
    <w:rsid w:val="001A6211"/>
    <w:rsid w:val="001A6659"/>
    <w:rsid w:val="001A6A14"/>
    <w:rsid w:val="001A6D93"/>
    <w:rsid w:val="001A6EE1"/>
    <w:rsid w:val="001A7058"/>
    <w:rsid w:val="001A7154"/>
    <w:rsid w:val="001A7255"/>
    <w:rsid w:val="001A7733"/>
    <w:rsid w:val="001A7791"/>
    <w:rsid w:val="001A79C1"/>
    <w:rsid w:val="001A7A05"/>
    <w:rsid w:val="001A7A06"/>
    <w:rsid w:val="001A7BB2"/>
    <w:rsid w:val="001A7D3B"/>
    <w:rsid w:val="001B0061"/>
    <w:rsid w:val="001B00D9"/>
    <w:rsid w:val="001B01A5"/>
    <w:rsid w:val="001B0262"/>
    <w:rsid w:val="001B05EF"/>
    <w:rsid w:val="001B071B"/>
    <w:rsid w:val="001B0B89"/>
    <w:rsid w:val="001B0B9A"/>
    <w:rsid w:val="001B0D81"/>
    <w:rsid w:val="001B0F18"/>
    <w:rsid w:val="001B0FCB"/>
    <w:rsid w:val="001B1019"/>
    <w:rsid w:val="001B11B1"/>
    <w:rsid w:val="001B15A9"/>
    <w:rsid w:val="001B19D2"/>
    <w:rsid w:val="001B1A34"/>
    <w:rsid w:val="001B1D86"/>
    <w:rsid w:val="001B1EAF"/>
    <w:rsid w:val="001B207A"/>
    <w:rsid w:val="001B25C2"/>
    <w:rsid w:val="001B2788"/>
    <w:rsid w:val="001B2A9F"/>
    <w:rsid w:val="001B2F63"/>
    <w:rsid w:val="001B3096"/>
    <w:rsid w:val="001B3633"/>
    <w:rsid w:val="001B3803"/>
    <w:rsid w:val="001B3839"/>
    <w:rsid w:val="001B3AAB"/>
    <w:rsid w:val="001B3BAA"/>
    <w:rsid w:val="001B3BED"/>
    <w:rsid w:val="001B3CD7"/>
    <w:rsid w:val="001B3E7F"/>
    <w:rsid w:val="001B40B5"/>
    <w:rsid w:val="001B4131"/>
    <w:rsid w:val="001B422C"/>
    <w:rsid w:val="001B4250"/>
    <w:rsid w:val="001B42B2"/>
    <w:rsid w:val="001B4649"/>
    <w:rsid w:val="001B4A3A"/>
    <w:rsid w:val="001B4A9F"/>
    <w:rsid w:val="001B4BE3"/>
    <w:rsid w:val="001B4CB4"/>
    <w:rsid w:val="001B4D56"/>
    <w:rsid w:val="001B4E28"/>
    <w:rsid w:val="001B5008"/>
    <w:rsid w:val="001B5129"/>
    <w:rsid w:val="001B515C"/>
    <w:rsid w:val="001B52DB"/>
    <w:rsid w:val="001B53CC"/>
    <w:rsid w:val="001B55EA"/>
    <w:rsid w:val="001B57F7"/>
    <w:rsid w:val="001B5834"/>
    <w:rsid w:val="001B585C"/>
    <w:rsid w:val="001B594E"/>
    <w:rsid w:val="001B5BAA"/>
    <w:rsid w:val="001B5CB8"/>
    <w:rsid w:val="001B5F25"/>
    <w:rsid w:val="001B61C4"/>
    <w:rsid w:val="001B620B"/>
    <w:rsid w:val="001B65D1"/>
    <w:rsid w:val="001B6A60"/>
    <w:rsid w:val="001B6A83"/>
    <w:rsid w:val="001B6DD4"/>
    <w:rsid w:val="001B7013"/>
    <w:rsid w:val="001B77F6"/>
    <w:rsid w:val="001B78BD"/>
    <w:rsid w:val="001B7B26"/>
    <w:rsid w:val="001B7CA0"/>
    <w:rsid w:val="001B7E58"/>
    <w:rsid w:val="001B7FF9"/>
    <w:rsid w:val="001C00BF"/>
    <w:rsid w:val="001C00F2"/>
    <w:rsid w:val="001C04A8"/>
    <w:rsid w:val="001C0866"/>
    <w:rsid w:val="001C0BEE"/>
    <w:rsid w:val="001C0EFB"/>
    <w:rsid w:val="001C0F84"/>
    <w:rsid w:val="001C102E"/>
    <w:rsid w:val="001C11A3"/>
    <w:rsid w:val="001C1262"/>
    <w:rsid w:val="001C147A"/>
    <w:rsid w:val="001C1659"/>
    <w:rsid w:val="001C169D"/>
    <w:rsid w:val="001C1B70"/>
    <w:rsid w:val="001C1C6B"/>
    <w:rsid w:val="001C1CD0"/>
    <w:rsid w:val="001C1D77"/>
    <w:rsid w:val="001C1E17"/>
    <w:rsid w:val="001C1E56"/>
    <w:rsid w:val="001C1E69"/>
    <w:rsid w:val="001C1F04"/>
    <w:rsid w:val="001C1F96"/>
    <w:rsid w:val="001C20E3"/>
    <w:rsid w:val="001C26F0"/>
    <w:rsid w:val="001C279D"/>
    <w:rsid w:val="001C2A39"/>
    <w:rsid w:val="001C2AE9"/>
    <w:rsid w:val="001C2B0D"/>
    <w:rsid w:val="001C2EEB"/>
    <w:rsid w:val="001C2F2A"/>
    <w:rsid w:val="001C3003"/>
    <w:rsid w:val="001C321D"/>
    <w:rsid w:val="001C3561"/>
    <w:rsid w:val="001C369A"/>
    <w:rsid w:val="001C3857"/>
    <w:rsid w:val="001C3A60"/>
    <w:rsid w:val="001C3B8B"/>
    <w:rsid w:val="001C3CA2"/>
    <w:rsid w:val="001C3EE7"/>
    <w:rsid w:val="001C3F79"/>
    <w:rsid w:val="001C409B"/>
    <w:rsid w:val="001C416E"/>
    <w:rsid w:val="001C4193"/>
    <w:rsid w:val="001C456B"/>
    <w:rsid w:val="001C4612"/>
    <w:rsid w:val="001C480E"/>
    <w:rsid w:val="001C4830"/>
    <w:rsid w:val="001C48EA"/>
    <w:rsid w:val="001C49F1"/>
    <w:rsid w:val="001C4D65"/>
    <w:rsid w:val="001C4ED5"/>
    <w:rsid w:val="001C4F3E"/>
    <w:rsid w:val="001C502B"/>
    <w:rsid w:val="001C50A6"/>
    <w:rsid w:val="001C519D"/>
    <w:rsid w:val="001C51D8"/>
    <w:rsid w:val="001C5779"/>
    <w:rsid w:val="001C5915"/>
    <w:rsid w:val="001C59AC"/>
    <w:rsid w:val="001C59F6"/>
    <w:rsid w:val="001C5C0D"/>
    <w:rsid w:val="001C5C32"/>
    <w:rsid w:val="001C5F99"/>
    <w:rsid w:val="001C6151"/>
    <w:rsid w:val="001C61E7"/>
    <w:rsid w:val="001C638A"/>
    <w:rsid w:val="001C6662"/>
    <w:rsid w:val="001C67FA"/>
    <w:rsid w:val="001C6846"/>
    <w:rsid w:val="001C6D2E"/>
    <w:rsid w:val="001C7258"/>
    <w:rsid w:val="001C729C"/>
    <w:rsid w:val="001C7372"/>
    <w:rsid w:val="001C7551"/>
    <w:rsid w:val="001C7711"/>
    <w:rsid w:val="001C7AF8"/>
    <w:rsid w:val="001C7F5A"/>
    <w:rsid w:val="001C7F8F"/>
    <w:rsid w:val="001D0131"/>
    <w:rsid w:val="001D018D"/>
    <w:rsid w:val="001D034C"/>
    <w:rsid w:val="001D0417"/>
    <w:rsid w:val="001D0513"/>
    <w:rsid w:val="001D0758"/>
    <w:rsid w:val="001D079C"/>
    <w:rsid w:val="001D0B4F"/>
    <w:rsid w:val="001D0BCD"/>
    <w:rsid w:val="001D0D21"/>
    <w:rsid w:val="001D1154"/>
    <w:rsid w:val="001D1160"/>
    <w:rsid w:val="001D124C"/>
    <w:rsid w:val="001D126E"/>
    <w:rsid w:val="001D1592"/>
    <w:rsid w:val="001D17C3"/>
    <w:rsid w:val="001D188E"/>
    <w:rsid w:val="001D18A4"/>
    <w:rsid w:val="001D1A3C"/>
    <w:rsid w:val="001D1D59"/>
    <w:rsid w:val="001D1DB3"/>
    <w:rsid w:val="001D1E55"/>
    <w:rsid w:val="001D2017"/>
    <w:rsid w:val="001D2169"/>
    <w:rsid w:val="001D21E1"/>
    <w:rsid w:val="001D2493"/>
    <w:rsid w:val="001D24BC"/>
    <w:rsid w:val="001D28ED"/>
    <w:rsid w:val="001D2AFB"/>
    <w:rsid w:val="001D2C33"/>
    <w:rsid w:val="001D2C82"/>
    <w:rsid w:val="001D2FC1"/>
    <w:rsid w:val="001D2FD5"/>
    <w:rsid w:val="001D3009"/>
    <w:rsid w:val="001D335A"/>
    <w:rsid w:val="001D346A"/>
    <w:rsid w:val="001D350F"/>
    <w:rsid w:val="001D38B2"/>
    <w:rsid w:val="001D390D"/>
    <w:rsid w:val="001D3AAE"/>
    <w:rsid w:val="001D420D"/>
    <w:rsid w:val="001D4270"/>
    <w:rsid w:val="001D42E1"/>
    <w:rsid w:val="001D4377"/>
    <w:rsid w:val="001D45AB"/>
    <w:rsid w:val="001D465F"/>
    <w:rsid w:val="001D4719"/>
    <w:rsid w:val="001D4D84"/>
    <w:rsid w:val="001D4F63"/>
    <w:rsid w:val="001D4FD5"/>
    <w:rsid w:val="001D512C"/>
    <w:rsid w:val="001D5260"/>
    <w:rsid w:val="001D52AC"/>
    <w:rsid w:val="001D5646"/>
    <w:rsid w:val="001D5673"/>
    <w:rsid w:val="001D58F2"/>
    <w:rsid w:val="001D59BD"/>
    <w:rsid w:val="001D59CA"/>
    <w:rsid w:val="001D5C26"/>
    <w:rsid w:val="001D5EA4"/>
    <w:rsid w:val="001D6053"/>
    <w:rsid w:val="001D60E2"/>
    <w:rsid w:val="001D6543"/>
    <w:rsid w:val="001D65D7"/>
    <w:rsid w:val="001D67BF"/>
    <w:rsid w:val="001D699F"/>
    <w:rsid w:val="001D6B1D"/>
    <w:rsid w:val="001D6C2C"/>
    <w:rsid w:val="001D6D3D"/>
    <w:rsid w:val="001D6D60"/>
    <w:rsid w:val="001D6DD1"/>
    <w:rsid w:val="001D6F6B"/>
    <w:rsid w:val="001D7125"/>
    <w:rsid w:val="001D72F9"/>
    <w:rsid w:val="001D7AFE"/>
    <w:rsid w:val="001D7F68"/>
    <w:rsid w:val="001D7FED"/>
    <w:rsid w:val="001E0079"/>
    <w:rsid w:val="001E011C"/>
    <w:rsid w:val="001E0179"/>
    <w:rsid w:val="001E018B"/>
    <w:rsid w:val="001E01C8"/>
    <w:rsid w:val="001E03DC"/>
    <w:rsid w:val="001E0710"/>
    <w:rsid w:val="001E072E"/>
    <w:rsid w:val="001E0A6D"/>
    <w:rsid w:val="001E0C2C"/>
    <w:rsid w:val="001E0C50"/>
    <w:rsid w:val="001E0E81"/>
    <w:rsid w:val="001E0F74"/>
    <w:rsid w:val="001E1194"/>
    <w:rsid w:val="001E12B3"/>
    <w:rsid w:val="001E1453"/>
    <w:rsid w:val="001E15C5"/>
    <w:rsid w:val="001E161E"/>
    <w:rsid w:val="001E164C"/>
    <w:rsid w:val="001E1730"/>
    <w:rsid w:val="001E1830"/>
    <w:rsid w:val="001E196A"/>
    <w:rsid w:val="001E1B33"/>
    <w:rsid w:val="001E1D20"/>
    <w:rsid w:val="001E1D5E"/>
    <w:rsid w:val="001E1DC5"/>
    <w:rsid w:val="001E1DF8"/>
    <w:rsid w:val="001E1E06"/>
    <w:rsid w:val="001E2382"/>
    <w:rsid w:val="001E27E4"/>
    <w:rsid w:val="001E2A20"/>
    <w:rsid w:val="001E2AA3"/>
    <w:rsid w:val="001E2ACE"/>
    <w:rsid w:val="001E2F94"/>
    <w:rsid w:val="001E3156"/>
    <w:rsid w:val="001E3172"/>
    <w:rsid w:val="001E319F"/>
    <w:rsid w:val="001E3257"/>
    <w:rsid w:val="001E338E"/>
    <w:rsid w:val="001E35F0"/>
    <w:rsid w:val="001E3834"/>
    <w:rsid w:val="001E3935"/>
    <w:rsid w:val="001E3BAE"/>
    <w:rsid w:val="001E410F"/>
    <w:rsid w:val="001E4225"/>
    <w:rsid w:val="001E429A"/>
    <w:rsid w:val="001E429C"/>
    <w:rsid w:val="001E474A"/>
    <w:rsid w:val="001E4808"/>
    <w:rsid w:val="001E4939"/>
    <w:rsid w:val="001E4A2C"/>
    <w:rsid w:val="001E4B00"/>
    <w:rsid w:val="001E4B14"/>
    <w:rsid w:val="001E4DAE"/>
    <w:rsid w:val="001E50C1"/>
    <w:rsid w:val="001E50ED"/>
    <w:rsid w:val="001E5137"/>
    <w:rsid w:val="001E518B"/>
    <w:rsid w:val="001E53B2"/>
    <w:rsid w:val="001E54E1"/>
    <w:rsid w:val="001E55A8"/>
    <w:rsid w:val="001E56C4"/>
    <w:rsid w:val="001E57C4"/>
    <w:rsid w:val="001E5B43"/>
    <w:rsid w:val="001E5DDA"/>
    <w:rsid w:val="001E60C6"/>
    <w:rsid w:val="001E6228"/>
    <w:rsid w:val="001E64B7"/>
    <w:rsid w:val="001E6824"/>
    <w:rsid w:val="001E6907"/>
    <w:rsid w:val="001E6B8D"/>
    <w:rsid w:val="001E6C04"/>
    <w:rsid w:val="001E6C66"/>
    <w:rsid w:val="001E7307"/>
    <w:rsid w:val="001E7654"/>
    <w:rsid w:val="001E775D"/>
    <w:rsid w:val="001E7BE8"/>
    <w:rsid w:val="001E7C8C"/>
    <w:rsid w:val="001E7D94"/>
    <w:rsid w:val="001F04B7"/>
    <w:rsid w:val="001F0903"/>
    <w:rsid w:val="001F0923"/>
    <w:rsid w:val="001F098A"/>
    <w:rsid w:val="001F0A1B"/>
    <w:rsid w:val="001F0B66"/>
    <w:rsid w:val="001F0C40"/>
    <w:rsid w:val="001F0FF3"/>
    <w:rsid w:val="001F10CE"/>
    <w:rsid w:val="001F12DD"/>
    <w:rsid w:val="001F1368"/>
    <w:rsid w:val="001F1542"/>
    <w:rsid w:val="001F1566"/>
    <w:rsid w:val="001F156B"/>
    <w:rsid w:val="001F1854"/>
    <w:rsid w:val="001F193C"/>
    <w:rsid w:val="001F1B94"/>
    <w:rsid w:val="001F1BEB"/>
    <w:rsid w:val="001F1C39"/>
    <w:rsid w:val="001F22AF"/>
    <w:rsid w:val="001F245C"/>
    <w:rsid w:val="001F27AC"/>
    <w:rsid w:val="001F2865"/>
    <w:rsid w:val="001F28ED"/>
    <w:rsid w:val="001F2B16"/>
    <w:rsid w:val="001F2B58"/>
    <w:rsid w:val="001F2C21"/>
    <w:rsid w:val="001F2FF9"/>
    <w:rsid w:val="001F30B6"/>
    <w:rsid w:val="001F30BA"/>
    <w:rsid w:val="001F328F"/>
    <w:rsid w:val="001F342A"/>
    <w:rsid w:val="001F3459"/>
    <w:rsid w:val="001F3547"/>
    <w:rsid w:val="001F3673"/>
    <w:rsid w:val="001F38CC"/>
    <w:rsid w:val="001F3951"/>
    <w:rsid w:val="001F3952"/>
    <w:rsid w:val="001F39D4"/>
    <w:rsid w:val="001F3B11"/>
    <w:rsid w:val="001F3B49"/>
    <w:rsid w:val="001F3D65"/>
    <w:rsid w:val="001F3E97"/>
    <w:rsid w:val="001F40A3"/>
    <w:rsid w:val="001F4169"/>
    <w:rsid w:val="001F4181"/>
    <w:rsid w:val="001F440D"/>
    <w:rsid w:val="001F4801"/>
    <w:rsid w:val="001F489B"/>
    <w:rsid w:val="001F49CD"/>
    <w:rsid w:val="001F4B72"/>
    <w:rsid w:val="001F4BF1"/>
    <w:rsid w:val="001F4D40"/>
    <w:rsid w:val="001F4F77"/>
    <w:rsid w:val="001F5234"/>
    <w:rsid w:val="001F524D"/>
    <w:rsid w:val="001F534D"/>
    <w:rsid w:val="001F5821"/>
    <w:rsid w:val="001F5918"/>
    <w:rsid w:val="001F5C20"/>
    <w:rsid w:val="001F5F0D"/>
    <w:rsid w:val="001F5FFF"/>
    <w:rsid w:val="001F6251"/>
    <w:rsid w:val="001F6729"/>
    <w:rsid w:val="001F67CF"/>
    <w:rsid w:val="001F67ED"/>
    <w:rsid w:val="001F67FB"/>
    <w:rsid w:val="001F6AB1"/>
    <w:rsid w:val="001F6E51"/>
    <w:rsid w:val="001F713E"/>
    <w:rsid w:val="001F7292"/>
    <w:rsid w:val="001F7498"/>
    <w:rsid w:val="001F750C"/>
    <w:rsid w:val="001F78B8"/>
    <w:rsid w:val="001F79C1"/>
    <w:rsid w:val="001F7A96"/>
    <w:rsid w:val="001F7B1C"/>
    <w:rsid w:val="001F7C6C"/>
    <w:rsid w:val="001F7C98"/>
    <w:rsid w:val="001F7D01"/>
    <w:rsid w:val="001F7D75"/>
    <w:rsid w:val="00200036"/>
    <w:rsid w:val="002000FB"/>
    <w:rsid w:val="00200154"/>
    <w:rsid w:val="00200248"/>
    <w:rsid w:val="00200272"/>
    <w:rsid w:val="00200364"/>
    <w:rsid w:val="002004AE"/>
    <w:rsid w:val="0020059E"/>
    <w:rsid w:val="002006DF"/>
    <w:rsid w:val="002007F5"/>
    <w:rsid w:val="002008E2"/>
    <w:rsid w:val="00200D3A"/>
    <w:rsid w:val="00200DDA"/>
    <w:rsid w:val="00200E41"/>
    <w:rsid w:val="00201002"/>
    <w:rsid w:val="00201047"/>
    <w:rsid w:val="0020142A"/>
    <w:rsid w:val="00201461"/>
    <w:rsid w:val="0020180F"/>
    <w:rsid w:val="002018E8"/>
    <w:rsid w:val="00201A2D"/>
    <w:rsid w:val="00201AE1"/>
    <w:rsid w:val="00201C31"/>
    <w:rsid w:val="00201C91"/>
    <w:rsid w:val="00201D27"/>
    <w:rsid w:val="00202031"/>
    <w:rsid w:val="002020D4"/>
    <w:rsid w:val="00202315"/>
    <w:rsid w:val="002024EB"/>
    <w:rsid w:val="00202635"/>
    <w:rsid w:val="0020272D"/>
    <w:rsid w:val="00202994"/>
    <w:rsid w:val="00202C7A"/>
    <w:rsid w:val="00202D43"/>
    <w:rsid w:val="00202DB2"/>
    <w:rsid w:val="00202E53"/>
    <w:rsid w:val="00202EC4"/>
    <w:rsid w:val="002030D6"/>
    <w:rsid w:val="002031E0"/>
    <w:rsid w:val="002032C0"/>
    <w:rsid w:val="002032FA"/>
    <w:rsid w:val="00203315"/>
    <w:rsid w:val="002033E2"/>
    <w:rsid w:val="0020340D"/>
    <w:rsid w:val="002034B5"/>
    <w:rsid w:val="00203572"/>
    <w:rsid w:val="00203943"/>
    <w:rsid w:val="00203EB7"/>
    <w:rsid w:val="002040A1"/>
    <w:rsid w:val="00204135"/>
    <w:rsid w:val="002042C8"/>
    <w:rsid w:val="002043C9"/>
    <w:rsid w:val="00204416"/>
    <w:rsid w:val="0020453C"/>
    <w:rsid w:val="0020453D"/>
    <w:rsid w:val="0020454D"/>
    <w:rsid w:val="0020482F"/>
    <w:rsid w:val="002048A5"/>
    <w:rsid w:val="002049DF"/>
    <w:rsid w:val="002049EA"/>
    <w:rsid w:val="00204E8E"/>
    <w:rsid w:val="002050CC"/>
    <w:rsid w:val="00205167"/>
    <w:rsid w:val="00205195"/>
    <w:rsid w:val="00205248"/>
    <w:rsid w:val="00205283"/>
    <w:rsid w:val="00205570"/>
    <w:rsid w:val="00205626"/>
    <w:rsid w:val="00205848"/>
    <w:rsid w:val="00205874"/>
    <w:rsid w:val="0020593C"/>
    <w:rsid w:val="00205E1C"/>
    <w:rsid w:val="002064A4"/>
    <w:rsid w:val="00206685"/>
    <w:rsid w:val="0020669B"/>
    <w:rsid w:val="002067D8"/>
    <w:rsid w:val="00206A43"/>
    <w:rsid w:val="00206C47"/>
    <w:rsid w:val="002070C0"/>
    <w:rsid w:val="0020768E"/>
    <w:rsid w:val="0020781C"/>
    <w:rsid w:val="00207909"/>
    <w:rsid w:val="00207BC8"/>
    <w:rsid w:val="00207C0D"/>
    <w:rsid w:val="00207E76"/>
    <w:rsid w:val="0021001B"/>
    <w:rsid w:val="0021025F"/>
    <w:rsid w:val="002102A1"/>
    <w:rsid w:val="0021057B"/>
    <w:rsid w:val="00210588"/>
    <w:rsid w:val="00210670"/>
    <w:rsid w:val="002106AE"/>
    <w:rsid w:val="002107D9"/>
    <w:rsid w:val="00210818"/>
    <w:rsid w:val="002108DC"/>
    <w:rsid w:val="00210BE8"/>
    <w:rsid w:val="00210D16"/>
    <w:rsid w:val="00210FAF"/>
    <w:rsid w:val="002110EA"/>
    <w:rsid w:val="002112E4"/>
    <w:rsid w:val="002116F1"/>
    <w:rsid w:val="002118F0"/>
    <w:rsid w:val="00211960"/>
    <w:rsid w:val="00211BD6"/>
    <w:rsid w:val="00211CDF"/>
    <w:rsid w:val="00211D7C"/>
    <w:rsid w:val="00211DA8"/>
    <w:rsid w:val="00211F42"/>
    <w:rsid w:val="00211F95"/>
    <w:rsid w:val="00212094"/>
    <w:rsid w:val="00212104"/>
    <w:rsid w:val="002121D7"/>
    <w:rsid w:val="00212348"/>
    <w:rsid w:val="00212364"/>
    <w:rsid w:val="00212468"/>
    <w:rsid w:val="002127C0"/>
    <w:rsid w:val="00212968"/>
    <w:rsid w:val="00212CC5"/>
    <w:rsid w:val="00212CEE"/>
    <w:rsid w:val="00212D1D"/>
    <w:rsid w:val="00212ED7"/>
    <w:rsid w:val="00212F67"/>
    <w:rsid w:val="0021314B"/>
    <w:rsid w:val="002137F4"/>
    <w:rsid w:val="00213987"/>
    <w:rsid w:val="00213A88"/>
    <w:rsid w:val="00213C24"/>
    <w:rsid w:val="00213C73"/>
    <w:rsid w:val="00213CE0"/>
    <w:rsid w:val="00213F8F"/>
    <w:rsid w:val="00214358"/>
    <w:rsid w:val="002144BC"/>
    <w:rsid w:val="002145E8"/>
    <w:rsid w:val="00214AD3"/>
    <w:rsid w:val="00214AFA"/>
    <w:rsid w:val="00214B55"/>
    <w:rsid w:val="00215059"/>
    <w:rsid w:val="00215327"/>
    <w:rsid w:val="00215B08"/>
    <w:rsid w:val="00215BCA"/>
    <w:rsid w:val="00215CBD"/>
    <w:rsid w:val="002160CB"/>
    <w:rsid w:val="002160EB"/>
    <w:rsid w:val="00216119"/>
    <w:rsid w:val="0021636E"/>
    <w:rsid w:val="002168A5"/>
    <w:rsid w:val="00216A0E"/>
    <w:rsid w:val="00216A66"/>
    <w:rsid w:val="002172F2"/>
    <w:rsid w:val="002173A2"/>
    <w:rsid w:val="002173AA"/>
    <w:rsid w:val="00217591"/>
    <w:rsid w:val="002176A5"/>
    <w:rsid w:val="002176CC"/>
    <w:rsid w:val="00217A25"/>
    <w:rsid w:val="00217C1E"/>
    <w:rsid w:val="00217E46"/>
    <w:rsid w:val="00217E8A"/>
    <w:rsid w:val="0022039C"/>
    <w:rsid w:val="00220822"/>
    <w:rsid w:val="0022084B"/>
    <w:rsid w:val="00220B67"/>
    <w:rsid w:val="00220D35"/>
    <w:rsid w:val="00220DC0"/>
    <w:rsid w:val="00220FC0"/>
    <w:rsid w:val="0022122A"/>
    <w:rsid w:val="00221585"/>
    <w:rsid w:val="002215C1"/>
    <w:rsid w:val="002217C5"/>
    <w:rsid w:val="00221896"/>
    <w:rsid w:val="002218B1"/>
    <w:rsid w:val="00221D64"/>
    <w:rsid w:val="00221F48"/>
    <w:rsid w:val="00221F5F"/>
    <w:rsid w:val="002220F0"/>
    <w:rsid w:val="00222962"/>
    <w:rsid w:val="00222ADD"/>
    <w:rsid w:val="00222B1A"/>
    <w:rsid w:val="00222B9E"/>
    <w:rsid w:val="00222CDA"/>
    <w:rsid w:val="00222ED9"/>
    <w:rsid w:val="00222EF4"/>
    <w:rsid w:val="002236EB"/>
    <w:rsid w:val="0022383B"/>
    <w:rsid w:val="00223A55"/>
    <w:rsid w:val="00223A67"/>
    <w:rsid w:val="00223B56"/>
    <w:rsid w:val="00223D72"/>
    <w:rsid w:val="00223EBB"/>
    <w:rsid w:val="0022418C"/>
    <w:rsid w:val="002241BF"/>
    <w:rsid w:val="00224207"/>
    <w:rsid w:val="002242AF"/>
    <w:rsid w:val="00224386"/>
    <w:rsid w:val="002244BA"/>
    <w:rsid w:val="002246A7"/>
    <w:rsid w:val="002247F9"/>
    <w:rsid w:val="002248C4"/>
    <w:rsid w:val="002249AD"/>
    <w:rsid w:val="00224A01"/>
    <w:rsid w:val="00224DB8"/>
    <w:rsid w:val="00224DC0"/>
    <w:rsid w:val="0022512F"/>
    <w:rsid w:val="00225155"/>
    <w:rsid w:val="0022526C"/>
    <w:rsid w:val="00225336"/>
    <w:rsid w:val="0022533D"/>
    <w:rsid w:val="002254A7"/>
    <w:rsid w:val="002254BE"/>
    <w:rsid w:val="002255C2"/>
    <w:rsid w:val="00225765"/>
    <w:rsid w:val="00225826"/>
    <w:rsid w:val="00225C27"/>
    <w:rsid w:val="00225DBC"/>
    <w:rsid w:val="002262B9"/>
    <w:rsid w:val="002264A7"/>
    <w:rsid w:val="002265A4"/>
    <w:rsid w:val="00226674"/>
    <w:rsid w:val="0022667F"/>
    <w:rsid w:val="00226BF4"/>
    <w:rsid w:val="00226CF2"/>
    <w:rsid w:val="00226E24"/>
    <w:rsid w:val="002271AE"/>
    <w:rsid w:val="002274F4"/>
    <w:rsid w:val="002277CD"/>
    <w:rsid w:val="002300D2"/>
    <w:rsid w:val="002303E0"/>
    <w:rsid w:val="002305A4"/>
    <w:rsid w:val="002305A9"/>
    <w:rsid w:val="002305E3"/>
    <w:rsid w:val="0023085E"/>
    <w:rsid w:val="00230883"/>
    <w:rsid w:val="002308BD"/>
    <w:rsid w:val="00230942"/>
    <w:rsid w:val="00230965"/>
    <w:rsid w:val="00230B13"/>
    <w:rsid w:val="00230D32"/>
    <w:rsid w:val="00230DF0"/>
    <w:rsid w:val="002312F4"/>
    <w:rsid w:val="0023135A"/>
    <w:rsid w:val="0023141E"/>
    <w:rsid w:val="00231943"/>
    <w:rsid w:val="00231ADA"/>
    <w:rsid w:val="00231B10"/>
    <w:rsid w:val="00231D51"/>
    <w:rsid w:val="00232101"/>
    <w:rsid w:val="00232349"/>
    <w:rsid w:val="0023237D"/>
    <w:rsid w:val="002324DB"/>
    <w:rsid w:val="00232525"/>
    <w:rsid w:val="00232600"/>
    <w:rsid w:val="002327A2"/>
    <w:rsid w:val="002327D8"/>
    <w:rsid w:val="00232A10"/>
    <w:rsid w:val="00232A97"/>
    <w:rsid w:val="00232AA7"/>
    <w:rsid w:val="00232C5A"/>
    <w:rsid w:val="00232CD5"/>
    <w:rsid w:val="00232DFE"/>
    <w:rsid w:val="00232FD5"/>
    <w:rsid w:val="00233054"/>
    <w:rsid w:val="002330FC"/>
    <w:rsid w:val="00233A0A"/>
    <w:rsid w:val="00233B58"/>
    <w:rsid w:val="00233B6B"/>
    <w:rsid w:val="00233C08"/>
    <w:rsid w:val="00234044"/>
    <w:rsid w:val="002341D7"/>
    <w:rsid w:val="00234412"/>
    <w:rsid w:val="00234467"/>
    <w:rsid w:val="0023446F"/>
    <w:rsid w:val="00234553"/>
    <w:rsid w:val="00234714"/>
    <w:rsid w:val="00234A5D"/>
    <w:rsid w:val="00234B46"/>
    <w:rsid w:val="00234B7C"/>
    <w:rsid w:val="00234C41"/>
    <w:rsid w:val="00234D50"/>
    <w:rsid w:val="00234E59"/>
    <w:rsid w:val="00235335"/>
    <w:rsid w:val="002355A4"/>
    <w:rsid w:val="0023582C"/>
    <w:rsid w:val="002358F1"/>
    <w:rsid w:val="00235A44"/>
    <w:rsid w:val="00235C90"/>
    <w:rsid w:val="002360AB"/>
    <w:rsid w:val="00236574"/>
    <w:rsid w:val="00236609"/>
    <w:rsid w:val="00236616"/>
    <w:rsid w:val="00236645"/>
    <w:rsid w:val="0023696D"/>
    <w:rsid w:val="00236A38"/>
    <w:rsid w:val="00236CEA"/>
    <w:rsid w:val="00236EA9"/>
    <w:rsid w:val="00236EF2"/>
    <w:rsid w:val="00236FC7"/>
    <w:rsid w:val="00237201"/>
    <w:rsid w:val="002375CA"/>
    <w:rsid w:val="0023778A"/>
    <w:rsid w:val="00237B2C"/>
    <w:rsid w:val="00237B70"/>
    <w:rsid w:val="00237CC6"/>
    <w:rsid w:val="00237F80"/>
    <w:rsid w:val="0024068B"/>
    <w:rsid w:val="002406EF"/>
    <w:rsid w:val="0024077F"/>
    <w:rsid w:val="00240828"/>
    <w:rsid w:val="0024095E"/>
    <w:rsid w:val="00240A61"/>
    <w:rsid w:val="00240FF3"/>
    <w:rsid w:val="00241028"/>
    <w:rsid w:val="00241234"/>
    <w:rsid w:val="002414AD"/>
    <w:rsid w:val="00241639"/>
    <w:rsid w:val="00241A35"/>
    <w:rsid w:val="00241D70"/>
    <w:rsid w:val="00241D97"/>
    <w:rsid w:val="00241EB8"/>
    <w:rsid w:val="0024216B"/>
    <w:rsid w:val="00242239"/>
    <w:rsid w:val="00242253"/>
    <w:rsid w:val="002422D6"/>
    <w:rsid w:val="00242372"/>
    <w:rsid w:val="00242411"/>
    <w:rsid w:val="00242432"/>
    <w:rsid w:val="00242879"/>
    <w:rsid w:val="00242B79"/>
    <w:rsid w:val="0024366C"/>
    <w:rsid w:val="002437B4"/>
    <w:rsid w:val="002437BB"/>
    <w:rsid w:val="0024384D"/>
    <w:rsid w:val="0024388D"/>
    <w:rsid w:val="002438FB"/>
    <w:rsid w:val="00243997"/>
    <w:rsid w:val="00243B9F"/>
    <w:rsid w:val="00243F7C"/>
    <w:rsid w:val="00244A9C"/>
    <w:rsid w:val="00244B75"/>
    <w:rsid w:val="00244E07"/>
    <w:rsid w:val="00245047"/>
    <w:rsid w:val="00245942"/>
    <w:rsid w:val="002459FB"/>
    <w:rsid w:val="00245CA6"/>
    <w:rsid w:val="00245E9E"/>
    <w:rsid w:val="00245FFE"/>
    <w:rsid w:val="00246043"/>
    <w:rsid w:val="0024626F"/>
    <w:rsid w:val="00246448"/>
    <w:rsid w:val="002465B0"/>
    <w:rsid w:val="002466CA"/>
    <w:rsid w:val="002468FE"/>
    <w:rsid w:val="00246DCC"/>
    <w:rsid w:val="00246ED9"/>
    <w:rsid w:val="00247455"/>
    <w:rsid w:val="002474B4"/>
    <w:rsid w:val="0024777F"/>
    <w:rsid w:val="00247939"/>
    <w:rsid w:val="002479F1"/>
    <w:rsid w:val="00247A9F"/>
    <w:rsid w:val="00247BB4"/>
    <w:rsid w:val="00247BC8"/>
    <w:rsid w:val="00250080"/>
    <w:rsid w:val="0025018F"/>
    <w:rsid w:val="00250476"/>
    <w:rsid w:val="0025047E"/>
    <w:rsid w:val="0025051C"/>
    <w:rsid w:val="00250871"/>
    <w:rsid w:val="0025114B"/>
    <w:rsid w:val="00251174"/>
    <w:rsid w:val="00251249"/>
    <w:rsid w:val="00251527"/>
    <w:rsid w:val="00251698"/>
    <w:rsid w:val="002517D9"/>
    <w:rsid w:val="00251925"/>
    <w:rsid w:val="00251CEB"/>
    <w:rsid w:val="00251E06"/>
    <w:rsid w:val="00251E7D"/>
    <w:rsid w:val="00251E98"/>
    <w:rsid w:val="002523B9"/>
    <w:rsid w:val="00252554"/>
    <w:rsid w:val="0025255F"/>
    <w:rsid w:val="002527F7"/>
    <w:rsid w:val="0025287F"/>
    <w:rsid w:val="002529B9"/>
    <w:rsid w:val="00252CE8"/>
    <w:rsid w:val="00252D7D"/>
    <w:rsid w:val="00252FC5"/>
    <w:rsid w:val="0025314A"/>
    <w:rsid w:val="00253218"/>
    <w:rsid w:val="002533A1"/>
    <w:rsid w:val="002534F3"/>
    <w:rsid w:val="0025394C"/>
    <w:rsid w:val="00253ABD"/>
    <w:rsid w:val="00253C7A"/>
    <w:rsid w:val="00253E83"/>
    <w:rsid w:val="002540BE"/>
    <w:rsid w:val="00254222"/>
    <w:rsid w:val="00254336"/>
    <w:rsid w:val="002546E6"/>
    <w:rsid w:val="002547D3"/>
    <w:rsid w:val="002548AE"/>
    <w:rsid w:val="00254A5F"/>
    <w:rsid w:val="00254C97"/>
    <w:rsid w:val="00254CF2"/>
    <w:rsid w:val="00254E18"/>
    <w:rsid w:val="0025504B"/>
    <w:rsid w:val="0025507F"/>
    <w:rsid w:val="00255240"/>
    <w:rsid w:val="00255599"/>
    <w:rsid w:val="002558DF"/>
    <w:rsid w:val="0025596E"/>
    <w:rsid w:val="00255B01"/>
    <w:rsid w:val="002564D7"/>
    <w:rsid w:val="0025658C"/>
    <w:rsid w:val="002565ED"/>
    <w:rsid w:val="002566B9"/>
    <w:rsid w:val="00256705"/>
    <w:rsid w:val="002567F7"/>
    <w:rsid w:val="00256B46"/>
    <w:rsid w:val="00256C30"/>
    <w:rsid w:val="00256E08"/>
    <w:rsid w:val="00256E0C"/>
    <w:rsid w:val="00257172"/>
    <w:rsid w:val="002571A1"/>
    <w:rsid w:val="0025739B"/>
    <w:rsid w:val="00257792"/>
    <w:rsid w:val="002578E6"/>
    <w:rsid w:val="00257973"/>
    <w:rsid w:val="00257CD8"/>
    <w:rsid w:val="00260027"/>
    <w:rsid w:val="0026050D"/>
    <w:rsid w:val="002609DF"/>
    <w:rsid w:val="00260C6B"/>
    <w:rsid w:val="00260CCA"/>
    <w:rsid w:val="00260CD9"/>
    <w:rsid w:val="00260ECF"/>
    <w:rsid w:val="00261197"/>
    <w:rsid w:val="00261376"/>
    <w:rsid w:val="002623B6"/>
    <w:rsid w:val="002627DB"/>
    <w:rsid w:val="00262A7A"/>
    <w:rsid w:val="00262BA3"/>
    <w:rsid w:val="002632EF"/>
    <w:rsid w:val="0026386F"/>
    <w:rsid w:val="00263876"/>
    <w:rsid w:val="002638B8"/>
    <w:rsid w:val="00263C0B"/>
    <w:rsid w:val="00263CE3"/>
    <w:rsid w:val="00263D66"/>
    <w:rsid w:val="002641BE"/>
    <w:rsid w:val="00264351"/>
    <w:rsid w:val="0026462F"/>
    <w:rsid w:val="0026467D"/>
    <w:rsid w:val="00264A05"/>
    <w:rsid w:val="00264AD2"/>
    <w:rsid w:val="00264B6B"/>
    <w:rsid w:val="00264E63"/>
    <w:rsid w:val="00264F26"/>
    <w:rsid w:val="0026510A"/>
    <w:rsid w:val="00265365"/>
    <w:rsid w:val="002653F2"/>
    <w:rsid w:val="00265593"/>
    <w:rsid w:val="00265613"/>
    <w:rsid w:val="002656A9"/>
    <w:rsid w:val="00265781"/>
    <w:rsid w:val="00265855"/>
    <w:rsid w:val="0026586A"/>
    <w:rsid w:val="002658AC"/>
    <w:rsid w:val="00265A51"/>
    <w:rsid w:val="00265B25"/>
    <w:rsid w:val="00265F17"/>
    <w:rsid w:val="002662CA"/>
    <w:rsid w:val="00266B2F"/>
    <w:rsid w:val="00266C7C"/>
    <w:rsid w:val="00266F0E"/>
    <w:rsid w:val="00267087"/>
    <w:rsid w:val="00267305"/>
    <w:rsid w:val="0026751F"/>
    <w:rsid w:val="002675DD"/>
    <w:rsid w:val="0026798D"/>
    <w:rsid w:val="00267D70"/>
    <w:rsid w:val="00270058"/>
    <w:rsid w:val="00270203"/>
    <w:rsid w:val="002702E7"/>
    <w:rsid w:val="0027035D"/>
    <w:rsid w:val="002704C3"/>
    <w:rsid w:val="002705BE"/>
    <w:rsid w:val="002709DD"/>
    <w:rsid w:val="00270A17"/>
    <w:rsid w:val="00270C7A"/>
    <w:rsid w:val="00270DAB"/>
    <w:rsid w:val="002710EC"/>
    <w:rsid w:val="0027111D"/>
    <w:rsid w:val="002712D3"/>
    <w:rsid w:val="002714A7"/>
    <w:rsid w:val="002716B1"/>
    <w:rsid w:val="00271727"/>
    <w:rsid w:val="002717CE"/>
    <w:rsid w:val="0027193D"/>
    <w:rsid w:val="002719CB"/>
    <w:rsid w:val="00271A9D"/>
    <w:rsid w:val="00271AF4"/>
    <w:rsid w:val="00271B2A"/>
    <w:rsid w:val="00271B67"/>
    <w:rsid w:val="0027266F"/>
    <w:rsid w:val="00272672"/>
    <w:rsid w:val="0027275E"/>
    <w:rsid w:val="00272763"/>
    <w:rsid w:val="00272AB2"/>
    <w:rsid w:val="00272BD7"/>
    <w:rsid w:val="00272D0E"/>
    <w:rsid w:val="0027301A"/>
    <w:rsid w:val="002731C6"/>
    <w:rsid w:val="002736B2"/>
    <w:rsid w:val="00273D1A"/>
    <w:rsid w:val="0027402F"/>
    <w:rsid w:val="0027418E"/>
    <w:rsid w:val="0027425D"/>
    <w:rsid w:val="00274602"/>
    <w:rsid w:val="00274682"/>
    <w:rsid w:val="0027497D"/>
    <w:rsid w:val="00274992"/>
    <w:rsid w:val="00274BB8"/>
    <w:rsid w:val="00274BEC"/>
    <w:rsid w:val="002751D6"/>
    <w:rsid w:val="00275531"/>
    <w:rsid w:val="0027582E"/>
    <w:rsid w:val="00275B84"/>
    <w:rsid w:val="00275D8A"/>
    <w:rsid w:val="00275E32"/>
    <w:rsid w:val="00275EBE"/>
    <w:rsid w:val="00276157"/>
    <w:rsid w:val="00276282"/>
    <w:rsid w:val="0027637A"/>
    <w:rsid w:val="00276A9D"/>
    <w:rsid w:val="00276B5E"/>
    <w:rsid w:val="00276B7C"/>
    <w:rsid w:val="00276D88"/>
    <w:rsid w:val="00276D9A"/>
    <w:rsid w:val="00276D9E"/>
    <w:rsid w:val="00276E5C"/>
    <w:rsid w:val="00276FEF"/>
    <w:rsid w:val="002770A2"/>
    <w:rsid w:val="0027730F"/>
    <w:rsid w:val="002776B3"/>
    <w:rsid w:val="002777E3"/>
    <w:rsid w:val="00277816"/>
    <w:rsid w:val="00277B65"/>
    <w:rsid w:val="00277C6B"/>
    <w:rsid w:val="00277D60"/>
    <w:rsid w:val="00277E38"/>
    <w:rsid w:val="00277FFB"/>
    <w:rsid w:val="00280011"/>
    <w:rsid w:val="002807EE"/>
    <w:rsid w:val="00280959"/>
    <w:rsid w:val="00280B08"/>
    <w:rsid w:val="00280D23"/>
    <w:rsid w:val="00280E4D"/>
    <w:rsid w:val="00281291"/>
    <w:rsid w:val="002812AB"/>
    <w:rsid w:val="002812FF"/>
    <w:rsid w:val="002813C5"/>
    <w:rsid w:val="002815D9"/>
    <w:rsid w:val="00281651"/>
    <w:rsid w:val="00281785"/>
    <w:rsid w:val="00282018"/>
    <w:rsid w:val="002825DD"/>
    <w:rsid w:val="002825EF"/>
    <w:rsid w:val="00282615"/>
    <w:rsid w:val="00282AD2"/>
    <w:rsid w:val="00282B55"/>
    <w:rsid w:val="00282B78"/>
    <w:rsid w:val="00282EB0"/>
    <w:rsid w:val="00282F62"/>
    <w:rsid w:val="002830FE"/>
    <w:rsid w:val="00283362"/>
    <w:rsid w:val="00283426"/>
    <w:rsid w:val="002836CA"/>
    <w:rsid w:val="002837BD"/>
    <w:rsid w:val="00283F36"/>
    <w:rsid w:val="0028424A"/>
    <w:rsid w:val="00284293"/>
    <w:rsid w:val="002842F9"/>
    <w:rsid w:val="00284301"/>
    <w:rsid w:val="002846B3"/>
    <w:rsid w:val="0028489C"/>
    <w:rsid w:val="00284915"/>
    <w:rsid w:val="002849EA"/>
    <w:rsid w:val="00284AAF"/>
    <w:rsid w:val="00284BDD"/>
    <w:rsid w:val="00284D0E"/>
    <w:rsid w:val="00284D3C"/>
    <w:rsid w:val="00284FD1"/>
    <w:rsid w:val="00285075"/>
    <w:rsid w:val="00285359"/>
    <w:rsid w:val="002856BF"/>
    <w:rsid w:val="00285716"/>
    <w:rsid w:val="00285A70"/>
    <w:rsid w:val="00285B9C"/>
    <w:rsid w:val="00285D1B"/>
    <w:rsid w:val="00285EC1"/>
    <w:rsid w:val="00286868"/>
    <w:rsid w:val="00286E30"/>
    <w:rsid w:val="00287022"/>
    <w:rsid w:val="00287075"/>
    <w:rsid w:val="0028710D"/>
    <w:rsid w:val="002871A3"/>
    <w:rsid w:val="00287485"/>
    <w:rsid w:val="00287606"/>
    <w:rsid w:val="0028775A"/>
    <w:rsid w:val="00287A3F"/>
    <w:rsid w:val="00287C4A"/>
    <w:rsid w:val="002900FD"/>
    <w:rsid w:val="002901AE"/>
    <w:rsid w:val="00290905"/>
    <w:rsid w:val="00290918"/>
    <w:rsid w:val="0029091F"/>
    <w:rsid w:val="002909F6"/>
    <w:rsid w:val="00290BE8"/>
    <w:rsid w:val="00290CF4"/>
    <w:rsid w:val="00290D71"/>
    <w:rsid w:val="00290E3D"/>
    <w:rsid w:val="00290F32"/>
    <w:rsid w:val="00291092"/>
    <w:rsid w:val="00291490"/>
    <w:rsid w:val="00291496"/>
    <w:rsid w:val="00291631"/>
    <w:rsid w:val="0029183C"/>
    <w:rsid w:val="00291D55"/>
    <w:rsid w:val="00291DE9"/>
    <w:rsid w:val="002923F0"/>
    <w:rsid w:val="002925F9"/>
    <w:rsid w:val="00292B6C"/>
    <w:rsid w:val="00292BBD"/>
    <w:rsid w:val="00292C06"/>
    <w:rsid w:val="00292C48"/>
    <w:rsid w:val="00292C82"/>
    <w:rsid w:val="00292DD6"/>
    <w:rsid w:val="00292F11"/>
    <w:rsid w:val="00292F6A"/>
    <w:rsid w:val="0029340B"/>
    <w:rsid w:val="00293520"/>
    <w:rsid w:val="00293881"/>
    <w:rsid w:val="002938D9"/>
    <w:rsid w:val="00293AAC"/>
    <w:rsid w:val="00293B08"/>
    <w:rsid w:val="00293C5E"/>
    <w:rsid w:val="00293F74"/>
    <w:rsid w:val="00294107"/>
    <w:rsid w:val="00294156"/>
    <w:rsid w:val="002941ED"/>
    <w:rsid w:val="0029440D"/>
    <w:rsid w:val="0029446C"/>
    <w:rsid w:val="00294664"/>
    <w:rsid w:val="0029473E"/>
    <w:rsid w:val="002948F3"/>
    <w:rsid w:val="00294A67"/>
    <w:rsid w:val="00294AD7"/>
    <w:rsid w:val="00294C65"/>
    <w:rsid w:val="00294EAF"/>
    <w:rsid w:val="00294EE4"/>
    <w:rsid w:val="00294EF5"/>
    <w:rsid w:val="00294FFC"/>
    <w:rsid w:val="002952E1"/>
    <w:rsid w:val="00295391"/>
    <w:rsid w:val="002953CE"/>
    <w:rsid w:val="002956E9"/>
    <w:rsid w:val="00295751"/>
    <w:rsid w:val="00295A23"/>
    <w:rsid w:val="00295D98"/>
    <w:rsid w:val="0029622B"/>
    <w:rsid w:val="0029623A"/>
    <w:rsid w:val="00296263"/>
    <w:rsid w:val="002964F5"/>
    <w:rsid w:val="00296573"/>
    <w:rsid w:val="002965C3"/>
    <w:rsid w:val="00296657"/>
    <w:rsid w:val="0029681C"/>
    <w:rsid w:val="0029690B"/>
    <w:rsid w:val="00296C0C"/>
    <w:rsid w:val="00296DC5"/>
    <w:rsid w:val="00296FA7"/>
    <w:rsid w:val="0029700A"/>
    <w:rsid w:val="0029703C"/>
    <w:rsid w:val="00297711"/>
    <w:rsid w:val="002977CE"/>
    <w:rsid w:val="00297868"/>
    <w:rsid w:val="00297BE8"/>
    <w:rsid w:val="00297D96"/>
    <w:rsid w:val="00297DA5"/>
    <w:rsid w:val="00297FF0"/>
    <w:rsid w:val="002A00FC"/>
    <w:rsid w:val="002A0204"/>
    <w:rsid w:val="002A0367"/>
    <w:rsid w:val="002A09ED"/>
    <w:rsid w:val="002A10C4"/>
    <w:rsid w:val="002A10C9"/>
    <w:rsid w:val="002A148C"/>
    <w:rsid w:val="002A1508"/>
    <w:rsid w:val="002A1739"/>
    <w:rsid w:val="002A1778"/>
    <w:rsid w:val="002A18AD"/>
    <w:rsid w:val="002A18EF"/>
    <w:rsid w:val="002A1978"/>
    <w:rsid w:val="002A1A72"/>
    <w:rsid w:val="002A1FAC"/>
    <w:rsid w:val="002A2161"/>
    <w:rsid w:val="002A2321"/>
    <w:rsid w:val="002A2347"/>
    <w:rsid w:val="002A2352"/>
    <w:rsid w:val="002A2467"/>
    <w:rsid w:val="002A2496"/>
    <w:rsid w:val="002A2635"/>
    <w:rsid w:val="002A27BD"/>
    <w:rsid w:val="002A27C3"/>
    <w:rsid w:val="002A30D9"/>
    <w:rsid w:val="002A30E9"/>
    <w:rsid w:val="002A3189"/>
    <w:rsid w:val="002A3BD4"/>
    <w:rsid w:val="002A3D61"/>
    <w:rsid w:val="002A3E4D"/>
    <w:rsid w:val="002A3E8E"/>
    <w:rsid w:val="002A43D6"/>
    <w:rsid w:val="002A474F"/>
    <w:rsid w:val="002A4E42"/>
    <w:rsid w:val="002A527C"/>
    <w:rsid w:val="002A54AE"/>
    <w:rsid w:val="002A5BB9"/>
    <w:rsid w:val="002A5BC6"/>
    <w:rsid w:val="002A5D15"/>
    <w:rsid w:val="002A61B3"/>
    <w:rsid w:val="002A6425"/>
    <w:rsid w:val="002A65CA"/>
    <w:rsid w:val="002A66C6"/>
    <w:rsid w:val="002A68FB"/>
    <w:rsid w:val="002A69BA"/>
    <w:rsid w:val="002A6FC0"/>
    <w:rsid w:val="002A710C"/>
    <w:rsid w:val="002A72CD"/>
    <w:rsid w:val="002A750C"/>
    <w:rsid w:val="002A78E1"/>
    <w:rsid w:val="002A7CAF"/>
    <w:rsid w:val="002A7F7B"/>
    <w:rsid w:val="002A7FCC"/>
    <w:rsid w:val="002B01E1"/>
    <w:rsid w:val="002B01E4"/>
    <w:rsid w:val="002B02F9"/>
    <w:rsid w:val="002B031B"/>
    <w:rsid w:val="002B04FD"/>
    <w:rsid w:val="002B06DB"/>
    <w:rsid w:val="002B070C"/>
    <w:rsid w:val="002B09E7"/>
    <w:rsid w:val="002B0A95"/>
    <w:rsid w:val="002B0B4E"/>
    <w:rsid w:val="002B0BEB"/>
    <w:rsid w:val="002B0C1C"/>
    <w:rsid w:val="002B0D05"/>
    <w:rsid w:val="002B0F4A"/>
    <w:rsid w:val="002B0F59"/>
    <w:rsid w:val="002B10C6"/>
    <w:rsid w:val="002B10C7"/>
    <w:rsid w:val="002B11D9"/>
    <w:rsid w:val="002B1455"/>
    <w:rsid w:val="002B146A"/>
    <w:rsid w:val="002B14CC"/>
    <w:rsid w:val="002B1613"/>
    <w:rsid w:val="002B166C"/>
    <w:rsid w:val="002B189D"/>
    <w:rsid w:val="002B1908"/>
    <w:rsid w:val="002B1913"/>
    <w:rsid w:val="002B1ACE"/>
    <w:rsid w:val="002B1EB5"/>
    <w:rsid w:val="002B20BB"/>
    <w:rsid w:val="002B20F2"/>
    <w:rsid w:val="002B21B4"/>
    <w:rsid w:val="002B22A5"/>
    <w:rsid w:val="002B274A"/>
    <w:rsid w:val="002B2973"/>
    <w:rsid w:val="002B2C92"/>
    <w:rsid w:val="002B3074"/>
    <w:rsid w:val="002B30C6"/>
    <w:rsid w:val="002B340A"/>
    <w:rsid w:val="002B347B"/>
    <w:rsid w:val="002B34EE"/>
    <w:rsid w:val="002B3685"/>
    <w:rsid w:val="002B373F"/>
    <w:rsid w:val="002B3884"/>
    <w:rsid w:val="002B3A6B"/>
    <w:rsid w:val="002B3BAF"/>
    <w:rsid w:val="002B3C8E"/>
    <w:rsid w:val="002B3CB9"/>
    <w:rsid w:val="002B46F9"/>
    <w:rsid w:val="002B4BAF"/>
    <w:rsid w:val="002B4E0A"/>
    <w:rsid w:val="002B4EB4"/>
    <w:rsid w:val="002B5150"/>
    <w:rsid w:val="002B518C"/>
    <w:rsid w:val="002B5635"/>
    <w:rsid w:val="002B56F2"/>
    <w:rsid w:val="002B5A8D"/>
    <w:rsid w:val="002B5C8F"/>
    <w:rsid w:val="002B5D9B"/>
    <w:rsid w:val="002B5DEC"/>
    <w:rsid w:val="002B5E7B"/>
    <w:rsid w:val="002B5EFE"/>
    <w:rsid w:val="002B6075"/>
    <w:rsid w:val="002B6164"/>
    <w:rsid w:val="002B6249"/>
    <w:rsid w:val="002B635D"/>
    <w:rsid w:val="002B66A3"/>
    <w:rsid w:val="002B6756"/>
    <w:rsid w:val="002B69C5"/>
    <w:rsid w:val="002B69F1"/>
    <w:rsid w:val="002B6BA8"/>
    <w:rsid w:val="002B6BB1"/>
    <w:rsid w:val="002B6CC5"/>
    <w:rsid w:val="002B6E20"/>
    <w:rsid w:val="002B6E48"/>
    <w:rsid w:val="002B6E8C"/>
    <w:rsid w:val="002B6F9C"/>
    <w:rsid w:val="002B728D"/>
    <w:rsid w:val="002B74C0"/>
    <w:rsid w:val="002B7600"/>
    <w:rsid w:val="002B7892"/>
    <w:rsid w:val="002B7E5C"/>
    <w:rsid w:val="002C0059"/>
    <w:rsid w:val="002C01CE"/>
    <w:rsid w:val="002C036A"/>
    <w:rsid w:val="002C03D3"/>
    <w:rsid w:val="002C044A"/>
    <w:rsid w:val="002C04B9"/>
    <w:rsid w:val="002C0823"/>
    <w:rsid w:val="002C0886"/>
    <w:rsid w:val="002C0AEB"/>
    <w:rsid w:val="002C0AFD"/>
    <w:rsid w:val="002C13FB"/>
    <w:rsid w:val="002C14DC"/>
    <w:rsid w:val="002C1711"/>
    <w:rsid w:val="002C19C2"/>
    <w:rsid w:val="002C1AE8"/>
    <w:rsid w:val="002C1E15"/>
    <w:rsid w:val="002C1E16"/>
    <w:rsid w:val="002C1F09"/>
    <w:rsid w:val="002C1F3C"/>
    <w:rsid w:val="002C20F0"/>
    <w:rsid w:val="002C2197"/>
    <w:rsid w:val="002C2243"/>
    <w:rsid w:val="002C2383"/>
    <w:rsid w:val="002C243E"/>
    <w:rsid w:val="002C25DD"/>
    <w:rsid w:val="002C2884"/>
    <w:rsid w:val="002C28B6"/>
    <w:rsid w:val="002C2BF3"/>
    <w:rsid w:val="002C2E88"/>
    <w:rsid w:val="002C2F10"/>
    <w:rsid w:val="002C2FEF"/>
    <w:rsid w:val="002C3101"/>
    <w:rsid w:val="002C31A2"/>
    <w:rsid w:val="002C3238"/>
    <w:rsid w:val="002C33C9"/>
    <w:rsid w:val="002C33E2"/>
    <w:rsid w:val="002C34D9"/>
    <w:rsid w:val="002C3585"/>
    <w:rsid w:val="002C37ED"/>
    <w:rsid w:val="002C3E23"/>
    <w:rsid w:val="002C48B1"/>
    <w:rsid w:val="002C4A52"/>
    <w:rsid w:val="002C4A7C"/>
    <w:rsid w:val="002C4EC3"/>
    <w:rsid w:val="002C4F7B"/>
    <w:rsid w:val="002C4FBC"/>
    <w:rsid w:val="002C5129"/>
    <w:rsid w:val="002C524D"/>
    <w:rsid w:val="002C5611"/>
    <w:rsid w:val="002C5929"/>
    <w:rsid w:val="002C5B57"/>
    <w:rsid w:val="002C5D32"/>
    <w:rsid w:val="002C64BD"/>
    <w:rsid w:val="002C66FB"/>
    <w:rsid w:val="002C69E4"/>
    <w:rsid w:val="002C6D67"/>
    <w:rsid w:val="002C712C"/>
    <w:rsid w:val="002C7791"/>
    <w:rsid w:val="002C7850"/>
    <w:rsid w:val="002C7898"/>
    <w:rsid w:val="002C7B5E"/>
    <w:rsid w:val="002C7D4E"/>
    <w:rsid w:val="002C7E6E"/>
    <w:rsid w:val="002D00A7"/>
    <w:rsid w:val="002D02F9"/>
    <w:rsid w:val="002D062C"/>
    <w:rsid w:val="002D06C4"/>
    <w:rsid w:val="002D06D7"/>
    <w:rsid w:val="002D07A2"/>
    <w:rsid w:val="002D0AB1"/>
    <w:rsid w:val="002D0BB5"/>
    <w:rsid w:val="002D0CA8"/>
    <w:rsid w:val="002D0CF3"/>
    <w:rsid w:val="002D0D78"/>
    <w:rsid w:val="002D0EC5"/>
    <w:rsid w:val="002D0F33"/>
    <w:rsid w:val="002D10B8"/>
    <w:rsid w:val="002D111E"/>
    <w:rsid w:val="002D11C0"/>
    <w:rsid w:val="002D126A"/>
    <w:rsid w:val="002D1305"/>
    <w:rsid w:val="002D149B"/>
    <w:rsid w:val="002D15CB"/>
    <w:rsid w:val="002D1BC4"/>
    <w:rsid w:val="002D1CB2"/>
    <w:rsid w:val="002D1E28"/>
    <w:rsid w:val="002D1E97"/>
    <w:rsid w:val="002D2240"/>
    <w:rsid w:val="002D23BA"/>
    <w:rsid w:val="002D23F0"/>
    <w:rsid w:val="002D24A6"/>
    <w:rsid w:val="002D258A"/>
    <w:rsid w:val="002D2751"/>
    <w:rsid w:val="002D278F"/>
    <w:rsid w:val="002D27AC"/>
    <w:rsid w:val="002D27DE"/>
    <w:rsid w:val="002D2BF2"/>
    <w:rsid w:val="002D2DB6"/>
    <w:rsid w:val="002D2E5D"/>
    <w:rsid w:val="002D2F16"/>
    <w:rsid w:val="002D2F2B"/>
    <w:rsid w:val="002D2F67"/>
    <w:rsid w:val="002D2F78"/>
    <w:rsid w:val="002D3233"/>
    <w:rsid w:val="002D33D3"/>
    <w:rsid w:val="002D3411"/>
    <w:rsid w:val="002D34DD"/>
    <w:rsid w:val="002D35D4"/>
    <w:rsid w:val="002D3CAB"/>
    <w:rsid w:val="002D3E70"/>
    <w:rsid w:val="002D47B2"/>
    <w:rsid w:val="002D4BDF"/>
    <w:rsid w:val="002D5041"/>
    <w:rsid w:val="002D53BC"/>
    <w:rsid w:val="002D5452"/>
    <w:rsid w:val="002D565D"/>
    <w:rsid w:val="002D57B9"/>
    <w:rsid w:val="002D58E0"/>
    <w:rsid w:val="002D5A2D"/>
    <w:rsid w:val="002D5AE4"/>
    <w:rsid w:val="002D5D21"/>
    <w:rsid w:val="002D5DE1"/>
    <w:rsid w:val="002D63F0"/>
    <w:rsid w:val="002D645A"/>
    <w:rsid w:val="002D64D4"/>
    <w:rsid w:val="002D65B1"/>
    <w:rsid w:val="002D6992"/>
    <w:rsid w:val="002D69A6"/>
    <w:rsid w:val="002D69BA"/>
    <w:rsid w:val="002D6C89"/>
    <w:rsid w:val="002D6D4A"/>
    <w:rsid w:val="002D6EA9"/>
    <w:rsid w:val="002D6FB6"/>
    <w:rsid w:val="002D78C2"/>
    <w:rsid w:val="002D7A9D"/>
    <w:rsid w:val="002D7B2A"/>
    <w:rsid w:val="002D7F44"/>
    <w:rsid w:val="002D7FBF"/>
    <w:rsid w:val="002E0058"/>
    <w:rsid w:val="002E01BF"/>
    <w:rsid w:val="002E02B1"/>
    <w:rsid w:val="002E033C"/>
    <w:rsid w:val="002E0635"/>
    <w:rsid w:val="002E06A1"/>
    <w:rsid w:val="002E094E"/>
    <w:rsid w:val="002E097E"/>
    <w:rsid w:val="002E0DA2"/>
    <w:rsid w:val="002E0FD8"/>
    <w:rsid w:val="002E10B8"/>
    <w:rsid w:val="002E16A1"/>
    <w:rsid w:val="002E176A"/>
    <w:rsid w:val="002E194D"/>
    <w:rsid w:val="002E1A91"/>
    <w:rsid w:val="002E1B3B"/>
    <w:rsid w:val="002E1C12"/>
    <w:rsid w:val="002E1C9F"/>
    <w:rsid w:val="002E1CF2"/>
    <w:rsid w:val="002E1EB8"/>
    <w:rsid w:val="002E1ED4"/>
    <w:rsid w:val="002E1FF9"/>
    <w:rsid w:val="002E20A7"/>
    <w:rsid w:val="002E2104"/>
    <w:rsid w:val="002E212F"/>
    <w:rsid w:val="002E21D1"/>
    <w:rsid w:val="002E2239"/>
    <w:rsid w:val="002E235F"/>
    <w:rsid w:val="002E258C"/>
    <w:rsid w:val="002E2628"/>
    <w:rsid w:val="002E2782"/>
    <w:rsid w:val="002E2A0C"/>
    <w:rsid w:val="002E2D87"/>
    <w:rsid w:val="002E2ECB"/>
    <w:rsid w:val="002E3AE7"/>
    <w:rsid w:val="002E3CCF"/>
    <w:rsid w:val="002E3DFD"/>
    <w:rsid w:val="002E416D"/>
    <w:rsid w:val="002E4177"/>
    <w:rsid w:val="002E41A4"/>
    <w:rsid w:val="002E44E6"/>
    <w:rsid w:val="002E457B"/>
    <w:rsid w:val="002E48DD"/>
    <w:rsid w:val="002E49AA"/>
    <w:rsid w:val="002E49AF"/>
    <w:rsid w:val="002E49E6"/>
    <w:rsid w:val="002E4ABF"/>
    <w:rsid w:val="002E4C6F"/>
    <w:rsid w:val="002E4DBE"/>
    <w:rsid w:val="002E5141"/>
    <w:rsid w:val="002E51FD"/>
    <w:rsid w:val="002E525F"/>
    <w:rsid w:val="002E53CE"/>
    <w:rsid w:val="002E54A0"/>
    <w:rsid w:val="002E56B2"/>
    <w:rsid w:val="002E5E89"/>
    <w:rsid w:val="002E5F19"/>
    <w:rsid w:val="002E5FF5"/>
    <w:rsid w:val="002E63E3"/>
    <w:rsid w:val="002E64CC"/>
    <w:rsid w:val="002E6700"/>
    <w:rsid w:val="002E68B8"/>
    <w:rsid w:val="002E6A52"/>
    <w:rsid w:val="002E6BC3"/>
    <w:rsid w:val="002E6E72"/>
    <w:rsid w:val="002E6E8F"/>
    <w:rsid w:val="002E7053"/>
    <w:rsid w:val="002E7617"/>
    <w:rsid w:val="002E7645"/>
    <w:rsid w:val="002E76F4"/>
    <w:rsid w:val="002E7AB6"/>
    <w:rsid w:val="002E7F10"/>
    <w:rsid w:val="002E7FBD"/>
    <w:rsid w:val="002F0079"/>
    <w:rsid w:val="002F01D1"/>
    <w:rsid w:val="002F08A2"/>
    <w:rsid w:val="002F0EB5"/>
    <w:rsid w:val="002F0FB7"/>
    <w:rsid w:val="002F1063"/>
    <w:rsid w:val="002F11CD"/>
    <w:rsid w:val="002F1357"/>
    <w:rsid w:val="002F17B3"/>
    <w:rsid w:val="002F18F2"/>
    <w:rsid w:val="002F1905"/>
    <w:rsid w:val="002F191B"/>
    <w:rsid w:val="002F1A65"/>
    <w:rsid w:val="002F1C8D"/>
    <w:rsid w:val="002F1CD1"/>
    <w:rsid w:val="002F1ED8"/>
    <w:rsid w:val="002F1F54"/>
    <w:rsid w:val="002F21C0"/>
    <w:rsid w:val="002F23E0"/>
    <w:rsid w:val="002F250F"/>
    <w:rsid w:val="002F259A"/>
    <w:rsid w:val="002F297F"/>
    <w:rsid w:val="002F2A61"/>
    <w:rsid w:val="002F2B77"/>
    <w:rsid w:val="002F2BBE"/>
    <w:rsid w:val="002F2E67"/>
    <w:rsid w:val="002F2E85"/>
    <w:rsid w:val="002F3044"/>
    <w:rsid w:val="002F3762"/>
    <w:rsid w:val="002F3868"/>
    <w:rsid w:val="002F3A2F"/>
    <w:rsid w:val="002F3AAE"/>
    <w:rsid w:val="002F3ADF"/>
    <w:rsid w:val="002F42FC"/>
    <w:rsid w:val="002F42FE"/>
    <w:rsid w:val="002F4A82"/>
    <w:rsid w:val="002F4B98"/>
    <w:rsid w:val="002F4CAC"/>
    <w:rsid w:val="002F4D80"/>
    <w:rsid w:val="002F5059"/>
    <w:rsid w:val="002F513C"/>
    <w:rsid w:val="002F5280"/>
    <w:rsid w:val="002F5398"/>
    <w:rsid w:val="002F5522"/>
    <w:rsid w:val="002F55E1"/>
    <w:rsid w:val="002F566A"/>
    <w:rsid w:val="002F5B03"/>
    <w:rsid w:val="002F600C"/>
    <w:rsid w:val="002F6186"/>
    <w:rsid w:val="002F62FD"/>
    <w:rsid w:val="002F673D"/>
    <w:rsid w:val="002F677D"/>
    <w:rsid w:val="002F68B1"/>
    <w:rsid w:val="002F6A2E"/>
    <w:rsid w:val="002F6B73"/>
    <w:rsid w:val="002F6BEF"/>
    <w:rsid w:val="002F6CE5"/>
    <w:rsid w:val="002F709A"/>
    <w:rsid w:val="002F70D1"/>
    <w:rsid w:val="002F7781"/>
    <w:rsid w:val="002F7AB3"/>
    <w:rsid w:val="002F7BAF"/>
    <w:rsid w:val="002F7BC9"/>
    <w:rsid w:val="002F7D30"/>
    <w:rsid w:val="002F7DCD"/>
    <w:rsid w:val="002F7E34"/>
    <w:rsid w:val="00300048"/>
    <w:rsid w:val="003004C0"/>
    <w:rsid w:val="003006E5"/>
    <w:rsid w:val="0030089C"/>
    <w:rsid w:val="00300A4C"/>
    <w:rsid w:val="00300C2E"/>
    <w:rsid w:val="00300D92"/>
    <w:rsid w:val="00300E33"/>
    <w:rsid w:val="00300E43"/>
    <w:rsid w:val="00300E63"/>
    <w:rsid w:val="00301157"/>
    <w:rsid w:val="00301352"/>
    <w:rsid w:val="00301BD7"/>
    <w:rsid w:val="00301FBF"/>
    <w:rsid w:val="00302661"/>
    <w:rsid w:val="0030275F"/>
    <w:rsid w:val="0030277D"/>
    <w:rsid w:val="0030286B"/>
    <w:rsid w:val="00302967"/>
    <w:rsid w:val="00302C46"/>
    <w:rsid w:val="00302E12"/>
    <w:rsid w:val="00302EBB"/>
    <w:rsid w:val="0030309C"/>
    <w:rsid w:val="00303105"/>
    <w:rsid w:val="0030311C"/>
    <w:rsid w:val="0030316D"/>
    <w:rsid w:val="003032BA"/>
    <w:rsid w:val="003032DC"/>
    <w:rsid w:val="00303329"/>
    <w:rsid w:val="003035EB"/>
    <w:rsid w:val="0030390B"/>
    <w:rsid w:val="00303A4C"/>
    <w:rsid w:val="00303ADB"/>
    <w:rsid w:val="00303D73"/>
    <w:rsid w:val="00303FE9"/>
    <w:rsid w:val="00304272"/>
    <w:rsid w:val="00304678"/>
    <w:rsid w:val="0030469D"/>
    <w:rsid w:val="0030477B"/>
    <w:rsid w:val="00304BB4"/>
    <w:rsid w:val="00304D02"/>
    <w:rsid w:val="00304D89"/>
    <w:rsid w:val="00304EB7"/>
    <w:rsid w:val="00304EE0"/>
    <w:rsid w:val="00304F0D"/>
    <w:rsid w:val="00305065"/>
    <w:rsid w:val="0030518E"/>
    <w:rsid w:val="00305451"/>
    <w:rsid w:val="003057F3"/>
    <w:rsid w:val="00305864"/>
    <w:rsid w:val="0030598D"/>
    <w:rsid w:val="00305BC6"/>
    <w:rsid w:val="00305E3B"/>
    <w:rsid w:val="00305E3F"/>
    <w:rsid w:val="00305F1B"/>
    <w:rsid w:val="00306061"/>
    <w:rsid w:val="003061F7"/>
    <w:rsid w:val="0030628E"/>
    <w:rsid w:val="00306534"/>
    <w:rsid w:val="0030663A"/>
    <w:rsid w:val="00306A0C"/>
    <w:rsid w:val="00306A41"/>
    <w:rsid w:val="00307149"/>
    <w:rsid w:val="00307361"/>
    <w:rsid w:val="003074ED"/>
    <w:rsid w:val="0030762B"/>
    <w:rsid w:val="003077AD"/>
    <w:rsid w:val="00307832"/>
    <w:rsid w:val="003079A3"/>
    <w:rsid w:val="00307A37"/>
    <w:rsid w:val="00307BF2"/>
    <w:rsid w:val="00307C3E"/>
    <w:rsid w:val="00310153"/>
    <w:rsid w:val="00310193"/>
    <w:rsid w:val="003102AD"/>
    <w:rsid w:val="0031039F"/>
    <w:rsid w:val="00310441"/>
    <w:rsid w:val="003108FE"/>
    <w:rsid w:val="00310A21"/>
    <w:rsid w:val="00310B10"/>
    <w:rsid w:val="00310B98"/>
    <w:rsid w:val="00310C24"/>
    <w:rsid w:val="00310C4E"/>
    <w:rsid w:val="00311013"/>
    <w:rsid w:val="00311065"/>
    <w:rsid w:val="0031136E"/>
    <w:rsid w:val="00311458"/>
    <w:rsid w:val="00311967"/>
    <w:rsid w:val="00311BC7"/>
    <w:rsid w:val="00311CA8"/>
    <w:rsid w:val="00311CDC"/>
    <w:rsid w:val="00311D30"/>
    <w:rsid w:val="00311E98"/>
    <w:rsid w:val="003121C4"/>
    <w:rsid w:val="00312487"/>
    <w:rsid w:val="0031259E"/>
    <w:rsid w:val="003126B8"/>
    <w:rsid w:val="003128F8"/>
    <w:rsid w:val="003129B0"/>
    <w:rsid w:val="00312AAC"/>
    <w:rsid w:val="00312BC6"/>
    <w:rsid w:val="00312CE3"/>
    <w:rsid w:val="00312D61"/>
    <w:rsid w:val="00312DC6"/>
    <w:rsid w:val="00312E11"/>
    <w:rsid w:val="00312E50"/>
    <w:rsid w:val="00312E84"/>
    <w:rsid w:val="00312F26"/>
    <w:rsid w:val="0031302E"/>
    <w:rsid w:val="003132BF"/>
    <w:rsid w:val="00313529"/>
    <w:rsid w:val="003135EE"/>
    <w:rsid w:val="00313857"/>
    <w:rsid w:val="00313858"/>
    <w:rsid w:val="00313871"/>
    <w:rsid w:val="00313B74"/>
    <w:rsid w:val="00314860"/>
    <w:rsid w:val="003148F7"/>
    <w:rsid w:val="00314A1D"/>
    <w:rsid w:val="00314AD4"/>
    <w:rsid w:val="00314B39"/>
    <w:rsid w:val="00314BBD"/>
    <w:rsid w:val="00314D33"/>
    <w:rsid w:val="00314E2D"/>
    <w:rsid w:val="00315058"/>
    <w:rsid w:val="00315463"/>
    <w:rsid w:val="003155AA"/>
    <w:rsid w:val="003157BF"/>
    <w:rsid w:val="003157C0"/>
    <w:rsid w:val="003159D0"/>
    <w:rsid w:val="003160A8"/>
    <w:rsid w:val="003161C7"/>
    <w:rsid w:val="003161C8"/>
    <w:rsid w:val="003162A9"/>
    <w:rsid w:val="003163CA"/>
    <w:rsid w:val="0031662F"/>
    <w:rsid w:val="003166B3"/>
    <w:rsid w:val="003166EB"/>
    <w:rsid w:val="003169A9"/>
    <w:rsid w:val="00316A5A"/>
    <w:rsid w:val="00316B11"/>
    <w:rsid w:val="00316B24"/>
    <w:rsid w:val="00317092"/>
    <w:rsid w:val="0031718D"/>
    <w:rsid w:val="00317510"/>
    <w:rsid w:val="0031754B"/>
    <w:rsid w:val="00317595"/>
    <w:rsid w:val="0031762F"/>
    <w:rsid w:val="003176E1"/>
    <w:rsid w:val="00317723"/>
    <w:rsid w:val="00317884"/>
    <w:rsid w:val="00317958"/>
    <w:rsid w:val="00317A02"/>
    <w:rsid w:val="00317AB3"/>
    <w:rsid w:val="00317CD5"/>
    <w:rsid w:val="00317D3B"/>
    <w:rsid w:val="00317F72"/>
    <w:rsid w:val="00320144"/>
    <w:rsid w:val="00320234"/>
    <w:rsid w:val="00320278"/>
    <w:rsid w:val="0032045F"/>
    <w:rsid w:val="00320B95"/>
    <w:rsid w:val="00320C62"/>
    <w:rsid w:val="00320E1B"/>
    <w:rsid w:val="003212CA"/>
    <w:rsid w:val="003213A8"/>
    <w:rsid w:val="0032143A"/>
    <w:rsid w:val="00321540"/>
    <w:rsid w:val="0032155B"/>
    <w:rsid w:val="003216E5"/>
    <w:rsid w:val="00321738"/>
    <w:rsid w:val="003218B9"/>
    <w:rsid w:val="003218EA"/>
    <w:rsid w:val="0032191E"/>
    <w:rsid w:val="0032194D"/>
    <w:rsid w:val="00321B08"/>
    <w:rsid w:val="00321B0D"/>
    <w:rsid w:val="00321B81"/>
    <w:rsid w:val="003220AD"/>
    <w:rsid w:val="0032248A"/>
    <w:rsid w:val="00322D2B"/>
    <w:rsid w:val="00322F49"/>
    <w:rsid w:val="00322FCD"/>
    <w:rsid w:val="003232E8"/>
    <w:rsid w:val="00323405"/>
    <w:rsid w:val="003237FD"/>
    <w:rsid w:val="00323948"/>
    <w:rsid w:val="0032398D"/>
    <w:rsid w:val="00323DA3"/>
    <w:rsid w:val="00324486"/>
    <w:rsid w:val="00324685"/>
    <w:rsid w:val="003246E8"/>
    <w:rsid w:val="00324AF3"/>
    <w:rsid w:val="00324B1D"/>
    <w:rsid w:val="00324BC3"/>
    <w:rsid w:val="00324C1B"/>
    <w:rsid w:val="00325065"/>
    <w:rsid w:val="0032517A"/>
    <w:rsid w:val="0032522E"/>
    <w:rsid w:val="0032551E"/>
    <w:rsid w:val="003255BC"/>
    <w:rsid w:val="00325787"/>
    <w:rsid w:val="00325945"/>
    <w:rsid w:val="00325A81"/>
    <w:rsid w:val="00325DDB"/>
    <w:rsid w:val="00326083"/>
    <w:rsid w:val="0032651E"/>
    <w:rsid w:val="00326625"/>
    <w:rsid w:val="003267C9"/>
    <w:rsid w:val="00326922"/>
    <w:rsid w:val="00326B89"/>
    <w:rsid w:val="00326C68"/>
    <w:rsid w:val="00326CC8"/>
    <w:rsid w:val="00326F9E"/>
    <w:rsid w:val="00326FF1"/>
    <w:rsid w:val="0032719F"/>
    <w:rsid w:val="003278C1"/>
    <w:rsid w:val="00327B82"/>
    <w:rsid w:val="00327C27"/>
    <w:rsid w:val="00327CB6"/>
    <w:rsid w:val="00327CE8"/>
    <w:rsid w:val="00327DA7"/>
    <w:rsid w:val="003300F5"/>
    <w:rsid w:val="003304D6"/>
    <w:rsid w:val="003305ED"/>
    <w:rsid w:val="003307A6"/>
    <w:rsid w:val="00330997"/>
    <w:rsid w:val="00330C9A"/>
    <w:rsid w:val="00330E94"/>
    <w:rsid w:val="0033111D"/>
    <w:rsid w:val="003311D1"/>
    <w:rsid w:val="003313C5"/>
    <w:rsid w:val="003313F9"/>
    <w:rsid w:val="00331691"/>
    <w:rsid w:val="00331750"/>
    <w:rsid w:val="003319A8"/>
    <w:rsid w:val="00331C5E"/>
    <w:rsid w:val="00331D37"/>
    <w:rsid w:val="00332053"/>
    <w:rsid w:val="0033215B"/>
    <w:rsid w:val="0033252B"/>
    <w:rsid w:val="003325DA"/>
    <w:rsid w:val="003326D7"/>
    <w:rsid w:val="003327D0"/>
    <w:rsid w:val="00332A63"/>
    <w:rsid w:val="00332FB2"/>
    <w:rsid w:val="003330A4"/>
    <w:rsid w:val="0033337D"/>
    <w:rsid w:val="003336DF"/>
    <w:rsid w:val="00333700"/>
    <w:rsid w:val="00333B21"/>
    <w:rsid w:val="00333B86"/>
    <w:rsid w:val="00333BE0"/>
    <w:rsid w:val="00333D3F"/>
    <w:rsid w:val="00333D7E"/>
    <w:rsid w:val="00333EC2"/>
    <w:rsid w:val="003342A3"/>
    <w:rsid w:val="00334439"/>
    <w:rsid w:val="00334718"/>
    <w:rsid w:val="003347A2"/>
    <w:rsid w:val="0033486A"/>
    <w:rsid w:val="00334CA6"/>
    <w:rsid w:val="00334D8F"/>
    <w:rsid w:val="00334DAC"/>
    <w:rsid w:val="00334ED6"/>
    <w:rsid w:val="0033500F"/>
    <w:rsid w:val="00335124"/>
    <w:rsid w:val="003351B1"/>
    <w:rsid w:val="00335795"/>
    <w:rsid w:val="00335873"/>
    <w:rsid w:val="00335890"/>
    <w:rsid w:val="00335C7B"/>
    <w:rsid w:val="00336066"/>
    <w:rsid w:val="0033626B"/>
    <w:rsid w:val="00336345"/>
    <w:rsid w:val="00336508"/>
    <w:rsid w:val="0033669E"/>
    <w:rsid w:val="003367C6"/>
    <w:rsid w:val="00336B82"/>
    <w:rsid w:val="00336F0C"/>
    <w:rsid w:val="00337146"/>
    <w:rsid w:val="00337240"/>
    <w:rsid w:val="003375EA"/>
    <w:rsid w:val="0033798B"/>
    <w:rsid w:val="00337D04"/>
    <w:rsid w:val="0033D91F"/>
    <w:rsid w:val="003402A6"/>
    <w:rsid w:val="003402ED"/>
    <w:rsid w:val="00340348"/>
    <w:rsid w:val="00340412"/>
    <w:rsid w:val="003405FF"/>
    <w:rsid w:val="00340824"/>
    <w:rsid w:val="00340A29"/>
    <w:rsid w:val="00340B7B"/>
    <w:rsid w:val="00340C9A"/>
    <w:rsid w:val="00340E91"/>
    <w:rsid w:val="00340EE4"/>
    <w:rsid w:val="00340F9E"/>
    <w:rsid w:val="003416FC"/>
    <w:rsid w:val="00341816"/>
    <w:rsid w:val="00341FA8"/>
    <w:rsid w:val="00342148"/>
    <w:rsid w:val="0034223C"/>
    <w:rsid w:val="003422F4"/>
    <w:rsid w:val="00342319"/>
    <w:rsid w:val="0034246C"/>
    <w:rsid w:val="003424DC"/>
    <w:rsid w:val="00342621"/>
    <w:rsid w:val="00342BB3"/>
    <w:rsid w:val="00342CAA"/>
    <w:rsid w:val="00343076"/>
    <w:rsid w:val="00343165"/>
    <w:rsid w:val="003433B9"/>
    <w:rsid w:val="003435AF"/>
    <w:rsid w:val="00343604"/>
    <w:rsid w:val="00343920"/>
    <w:rsid w:val="00343AED"/>
    <w:rsid w:val="00343B27"/>
    <w:rsid w:val="00343B66"/>
    <w:rsid w:val="00343CEB"/>
    <w:rsid w:val="00343CF7"/>
    <w:rsid w:val="00343DCF"/>
    <w:rsid w:val="0034420A"/>
    <w:rsid w:val="00344809"/>
    <w:rsid w:val="003449D6"/>
    <w:rsid w:val="00344BE4"/>
    <w:rsid w:val="00344D0C"/>
    <w:rsid w:val="00345084"/>
    <w:rsid w:val="00345486"/>
    <w:rsid w:val="003454DD"/>
    <w:rsid w:val="003456F6"/>
    <w:rsid w:val="003457B0"/>
    <w:rsid w:val="00345832"/>
    <w:rsid w:val="003459FC"/>
    <w:rsid w:val="00345A82"/>
    <w:rsid w:val="00345B04"/>
    <w:rsid w:val="00345E1E"/>
    <w:rsid w:val="00346022"/>
    <w:rsid w:val="003461A2"/>
    <w:rsid w:val="0034622F"/>
    <w:rsid w:val="003465FD"/>
    <w:rsid w:val="00346D7A"/>
    <w:rsid w:val="00346FA3"/>
    <w:rsid w:val="00347242"/>
    <w:rsid w:val="0034761E"/>
    <w:rsid w:val="0034777C"/>
    <w:rsid w:val="003478CA"/>
    <w:rsid w:val="00347C25"/>
    <w:rsid w:val="00347C8A"/>
    <w:rsid w:val="00347FFC"/>
    <w:rsid w:val="003502C7"/>
    <w:rsid w:val="00350490"/>
    <w:rsid w:val="003506A9"/>
    <w:rsid w:val="00350D00"/>
    <w:rsid w:val="00350D9E"/>
    <w:rsid w:val="00350DC4"/>
    <w:rsid w:val="00350DD1"/>
    <w:rsid w:val="00350FBB"/>
    <w:rsid w:val="003511FB"/>
    <w:rsid w:val="00351213"/>
    <w:rsid w:val="0035122D"/>
    <w:rsid w:val="00351280"/>
    <w:rsid w:val="003512CC"/>
    <w:rsid w:val="003512E4"/>
    <w:rsid w:val="003513BA"/>
    <w:rsid w:val="003514F8"/>
    <w:rsid w:val="00351869"/>
    <w:rsid w:val="003519EE"/>
    <w:rsid w:val="00351A58"/>
    <w:rsid w:val="00351AE9"/>
    <w:rsid w:val="00351C01"/>
    <w:rsid w:val="00351EC5"/>
    <w:rsid w:val="00352180"/>
    <w:rsid w:val="00352188"/>
    <w:rsid w:val="00352306"/>
    <w:rsid w:val="003523A7"/>
    <w:rsid w:val="00352448"/>
    <w:rsid w:val="003528D8"/>
    <w:rsid w:val="00352ACF"/>
    <w:rsid w:val="00352B44"/>
    <w:rsid w:val="00352B62"/>
    <w:rsid w:val="00352DFB"/>
    <w:rsid w:val="00352E65"/>
    <w:rsid w:val="00352F02"/>
    <w:rsid w:val="00353230"/>
    <w:rsid w:val="00353377"/>
    <w:rsid w:val="0035338B"/>
    <w:rsid w:val="003539C4"/>
    <w:rsid w:val="00353DA7"/>
    <w:rsid w:val="00353DF6"/>
    <w:rsid w:val="00354010"/>
    <w:rsid w:val="003543BF"/>
    <w:rsid w:val="003543C5"/>
    <w:rsid w:val="003543F1"/>
    <w:rsid w:val="0035461E"/>
    <w:rsid w:val="003547EC"/>
    <w:rsid w:val="00354876"/>
    <w:rsid w:val="0035487D"/>
    <w:rsid w:val="003549C1"/>
    <w:rsid w:val="00354B7F"/>
    <w:rsid w:val="00354B8B"/>
    <w:rsid w:val="00354CFD"/>
    <w:rsid w:val="00354E8E"/>
    <w:rsid w:val="0035517B"/>
    <w:rsid w:val="00355364"/>
    <w:rsid w:val="003553A9"/>
    <w:rsid w:val="0035544E"/>
    <w:rsid w:val="00355836"/>
    <w:rsid w:val="003558EE"/>
    <w:rsid w:val="00355CDE"/>
    <w:rsid w:val="00355DF6"/>
    <w:rsid w:val="003561F3"/>
    <w:rsid w:val="003561FC"/>
    <w:rsid w:val="003565D8"/>
    <w:rsid w:val="003568B9"/>
    <w:rsid w:val="00356CE6"/>
    <w:rsid w:val="00356E08"/>
    <w:rsid w:val="00356EBD"/>
    <w:rsid w:val="00356EE7"/>
    <w:rsid w:val="00356F8A"/>
    <w:rsid w:val="0035730A"/>
    <w:rsid w:val="003573B9"/>
    <w:rsid w:val="00357716"/>
    <w:rsid w:val="003577B5"/>
    <w:rsid w:val="00357A4F"/>
    <w:rsid w:val="00357DD0"/>
    <w:rsid w:val="00357ECF"/>
    <w:rsid w:val="00360334"/>
    <w:rsid w:val="003605A8"/>
    <w:rsid w:val="0036061C"/>
    <w:rsid w:val="0036062F"/>
    <w:rsid w:val="00360692"/>
    <w:rsid w:val="003606A4"/>
    <w:rsid w:val="00360929"/>
    <w:rsid w:val="00360B15"/>
    <w:rsid w:val="00360B89"/>
    <w:rsid w:val="0036117F"/>
    <w:rsid w:val="0036122D"/>
    <w:rsid w:val="003612B0"/>
    <w:rsid w:val="00361481"/>
    <w:rsid w:val="0036183A"/>
    <w:rsid w:val="00361C58"/>
    <w:rsid w:val="00361E01"/>
    <w:rsid w:val="003622AC"/>
    <w:rsid w:val="003622E4"/>
    <w:rsid w:val="00362981"/>
    <w:rsid w:val="00362B33"/>
    <w:rsid w:val="00362C16"/>
    <w:rsid w:val="00362CE4"/>
    <w:rsid w:val="00362CF8"/>
    <w:rsid w:val="00362E79"/>
    <w:rsid w:val="00362F5A"/>
    <w:rsid w:val="00363084"/>
    <w:rsid w:val="00363308"/>
    <w:rsid w:val="00363499"/>
    <w:rsid w:val="003637D9"/>
    <w:rsid w:val="00363896"/>
    <w:rsid w:val="00363E1E"/>
    <w:rsid w:val="00363F72"/>
    <w:rsid w:val="0036474B"/>
    <w:rsid w:val="00364780"/>
    <w:rsid w:val="003647A9"/>
    <w:rsid w:val="00364860"/>
    <w:rsid w:val="003649F1"/>
    <w:rsid w:val="00364A5B"/>
    <w:rsid w:val="00364AC6"/>
    <w:rsid w:val="00364FBC"/>
    <w:rsid w:val="00364FE5"/>
    <w:rsid w:val="003654D9"/>
    <w:rsid w:val="003654F1"/>
    <w:rsid w:val="0036558F"/>
    <w:rsid w:val="00365679"/>
    <w:rsid w:val="003658A0"/>
    <w:rsid w:val="00365A44"/>
    <w:rsid w:val="00365C37"/>
    <w:rsid w:val="00365FB5"/>
    <w:rsid w:val="0036615D"/>
    <w:rsid w:val="003666D2"/>
    <w:rsid w:val="00366726"/>
    <w:rsid w:val="00366893"/>
    <w:rsid w:val="003669EB"/>
    <w:rsid w:val="00366B31"/>
    <w:rsid w:val="00366C3A"/>
    <w:rsid w:val="00366DBC"/>
    <w:rsid w:val="003672AD"/>
    <w:rsid w:val="003674D1"/>
    <w:rsid w:val="0036792C"/>
    <w:rsid w:val="00367960"/>
    <w:rsid w:val="00367B1D"/>
    <w:rsid w:val="00367BC0"/>
    <w:rsid w:val="003702F3"/>
    <w:rsid w:val="003706BA"/>
    <w:rsid w:val="003709D1"/>
    <w:rsid w:val="00370B27"/>
    <w:rsid w:val="00371097"/>
    <w:rsid w:val="00371185"/>
    <w:rsid w:val="003711A5"/>
    <w:rsid w:val="0037137A"/>
    <w:rsid w:val="0037162E"/>
    <w:rsid w:val="00371E0F"/>
    <w:rsid w:val="00371FB6"/>
    <w:rsid w:val="00371FBD"/>
    <w:rsid w:val="0037205D"/>
    <w:rsid w:val="0037238E"/>
    <w:rsid w:val="00372416"/>
    <w:rsid w:val="003725B2"/>
    <w:rsid w:val="0037263E"/>
    <w:rsid w:val="00372DFE"/>
    <w:rsid w:val="00372E87"/>
    <w:rsid w:val="00372E98"/>
    <w:rsid w:val="0037302B"/>
    <w:rsid w:val="0037305E"/>
    <w:rsid w:val="003731F8"/>
    <w:rsid w:val="003736DA"/>
    <w:rsid w:val="00373BD8"/>
    <w:rsid w:val="00373CD4"/>
    <w:rsid w:val="00373DF9"/>
    <w:rsid w:val="00373E55"/>
    <w:rsid w:val="00373EB5"/>
    <w:rsid w:val="00374261"/>
    <w:rsid w:val="00374331"/>
    <w:rsid w:val="0037433B"/>
    <w:rsid w:val="0037460C"/>
    <w:rsid w:val="00374994"/>
    <w:rsid w:val="00374A16"/>
    <w:rsid w:val="00374B8C"/>
    <w:rsid w:val="00374BF7"/>
    <w:rsid w:val="00374C10"/>
    <w:rsid w:val="00374CA2"/>
    <w:rsid w:val="00374DBE"/>
    <w:rsid w:val="00374DE0"/>
    <w:rsid w:val="00374F19"/>
    <w:rsid w:val="003750E8"/>
    <w:rsid w:val="003755A0"/>
    <w:rsid w:val="003758E6"/>
    <w:rsid w:val="00375B81"/>
    <w:rsid w:val="00375BE3"/>
    <w:rsid w:val="003761D8"/>
    <w:rsid w:val="0037681A"/>
    <w:rsid w:val="0037683F"/>
    <w:rsid w:val="00376907"/>
    <w:rsid w:val="0037692B"/>
    <w:rsid w:val="0037698F"/>
    <w:rsid w:val="00376BE6"/>
    <w:rsid w:val="00376FE3"/>
    <w:rsid w:val="00377107"/>
    <w:rsid w:val="0037743A"/>
    <w:rsid w:val="00377683"/>
    <w:rsid w:val="0037778C"/>
    <w:rsid w:val="00377ABA"/>
    <w:rsid w:val="00377C9F"/>
    <w:rsid w:val="00377D7E"/>
    <w:rsid w:val="00377E20"/>
    <w:rsid w:val="00377F36"/>
    <w:rsid w:val="003800BC"/>
    <w:rsid w:val="00380209"/>
    <w:rsid w:val="003802FF"/>
    <w:rsid w:val="00380329"/>
    <w:rsid w:val="0038043B"/>
    <w:rsid w:val="00380614"/>
    <w:rsid w:val="00380694"/>
    <w:rsid w:val="0038072F"/>
    <w:rsid w:val="003808D3"/>
    <w:rsid w:val="003808E3"/>
    <w:rsid w:val="00380A72"/>
    <w:rsid w:val="003812EC"/>
    <w:rsid w:val="00381312"/>
    <w:rsid w:val="00381500"/>
    <w:rsid w:val="00381724"/>
    <w:rsid w:val="0038175C"/>
    <w:rsid w:val="003818A8"/>
    <w:rsid w:val="00381974"/>
    <w:rsid w:val="00381A27"/>
    <w:rsid w:val="00381A4D"/>
    <w:rsid w:val="00381B2A"/>
    <w:rsid w:val="00381E65"/>
    <w:rsid w:val="00382078"/>
    <w:rsid w:val="0038229B"/>
    <w:rsid w:val="0038231B"/>
    <w:rsid w:val="0038232C"/>
    <w:rsid w:val="003824EB"/>
    <w:rsid w:val="0038252F"/>
    <w:rsid w:val="00382AED"/>
    <w:rsid w:val="00382C7C"/>
    <w:rsid w:val="00382DB5"/>
    <w:rsid w:val="00382DC8"/>
    <w:rsid w:val="00383058"/>
    <w:rsid w:val="0038305D"/>
    <w:rsid w:val="0038306B"/>
    <w:rsid w:val="003834F0"/>
    <w:rsid w:val="003836DD"/>
    <w:rsid w:val="0038380F"/>
    <w:rsid w:val="00383913"/>
    <w:rsid w:val="00383C22"/>
    <w:rsid w:val="00383F49"/>
    <w:rsid w:val="00383F63"/>
    <w:rsid w:val="0038408B"/>
    <w:rsid w:val="0038420F"/>
    <w:rsid w:val="00384216"/>
    <w:rsid w:val="003845AE"/>
    <w:rsid w:val="003845F9"/>
    <w:rsid w:val="0038478A"/>
    <w:rsid w:val="00384AEE"/>
    <w:rsid w:val="00384E6A"/>
    <w:rsid w:val="00384E87"/>
    <w:rsid w:val="003850FA"/>
    <w:rsid w:val="003853D8"/>
    <w:rsid w:val="0038545B"/>
    <w:rsid w:val="003856EA"/>
    <w:rsid w:val="00385898"/>
    <w:rsid w:val="00385A49"/>
    <w:rsid w:val="00385CF2"/>
    <w:rsid w:val="00385D0F"/>
    <w:rsid w:val="00385EE3"/>
    <w:rsid w:val="00385F87"/>
    <w:rsid w:val="003860D5"/>
    <w:rsid w:val="00386465"/>
    <w:rsid w:val="00386828"/>
    <w:rsid w:val="00386A66"/>
    <w:rsid w:val="00386B29"/>
    <w:rsid w:val="00386DC1"/>
    <w:rsid w:val="00387010"/>
    <w:rsid w:val="00387093"/>
    <w:rsid w:val="003870F1"/>
    <w:rsid w:val="00387395"/>
    <w:rsid w:val="0038742D"/>
    <w:rsid w:val="0038743C"/>
    <w:rsid w:val="003875FB"/>
    <w:rsid w:val="00387830"/>
    <w:rsid w:val="00387A45"/>
    <w:rsid w:val="00387AB1"/>
    <w:rsid w:val="00387AC1"/>
    <w:rsid w:val="00387E9E"/>
    <w:rsid w:val="00390350"/>
    <w:rsid w:val="003904E2"/>
    <w:rsid w:val="003908CD"/>
    <w:rsid w:val="00390B43"/>
    <w:rsid w:val="00390E71"/>
    <w:rsid w:val="00390F67"/>
    <w:rsid w:val="003911C9"/>
    <w:rsid w:val="00391215"/>
    <w:rsid w:val="003912D8"/>
    <w:rsid w:val="0039143B"/>
    <w:rsid w:val="003914F3"/>
    <w:rsid w:val="00391553"/>
    <w:rsid w:val="00391774"/>
    <w:rsid w:val="00391B81"/>
    <w:rsid w:val="00391CED"/>
    <w:rsid w:val="00391DBC"/>
    <w:rsid w:val="0039219E"/>
    <w:rsid w:val="0039229C"/>
    <w:rsid w:val="003922D2"/>
    <w:rsid w:val="0039234E"/>
    <w:rsid w:val="003923FB"/>
    <w:rsid w:val="00392560"/>
    <w:rsid w:val="003927AB"/>
    <w:rsid w:val="003927EA"/>
    <w:rsid w:val="00392BC1"/>
    <w:rsid w:val="00392C0B"/>
    <w:rsid w:val="00392DC4"/>
    <w:rsid w:val="00392F10"/>
    <w:rsid w:val="003936DD"/>
    <w:rsid w:val="00393A0B"/>
    <w:rsid w:val="00393A96"/>
    <w:rsid w:val="00393BAB"/>
    <w:rsid w:val="00393D30"/>
    <w:rsid w:val="00393E29"/>
    <w:rsid w:val="00393ED8"/>
    <w:rsid w:val="0039414F"/>
    <w:rsid w:val="003942C3"/>
    <w:rsid w:val="00394679"/>
    <w:rsid w:val="003946C8"/>
    <w:rsid w:val="0039491F"/>
    <w:rsid w:val="00394AE9"/>
    <w:rsid w:val="00394D95"/>
    <w:rsid w:val="00394E13"/>
    <w:rsid w:val="00395151"/>
    <w:rsid w:val="0039517F"/>
    <w:rsid w:val="003951DE"/>
    <w:rsid w:val="00395208"/>
    <w:rsid w:val="0039527B"/>
    <w:rsid w:val="003952B6"/>
    <w:rsid w:val="003952BC"/>
    <w:rsid w:val="003954FC"/>
    <w:rsid w:val="0039592B"/>
    <w:rsid w:val="00395AED"/>
    <w:rsid w:val="00395B84"/>
    <w:rsid w:val="00395BA3"/>
    <w:rsid w:val="00396001"/>
    <w:rsid w:val="003960BF"/>
    <w:rsid w:val="00396175"/>
    <w:rsid w:val="003963DF"/>
    <w:rsid w:val="0039670D"/>
    <w:rsid w:val="003967F1"/>
    <w:rsid w:val="003968D5"/>
    <w:rsid w:val="003969BA"/>
    <w:rsid w:val="003969D8"/>
    <w:rsid w:val="003969F8"/>
    <w:rsid w:val="00397025"/>
    <w:rsid w:val="00397035"/>
    <w:rsid w:val="003971AC"/>
    <w:rsid w:val="00397206"/>
    <w:rsid w:val="003973C7"/>
    <w:rsid w:val="0039791E"/>
    <w:rsid w:val="00397997"/>
    <w:rsid w:val="003979C9"/>
    <w:rsid w:val="00397C6B"/>
    <w:rsid w:val="00397EB4"/>
    <w:rsid w:val="003A00E4"/>
    <w:rsid w:val="003A01C6"/>
    <w:rsid w:val="003A01CC"/>
    <w:rsid w:val="003A09F0"/>
    <w:rsid w:val="003A0B6A"/>
    <w:rsid w:val="003A1323"/>
    <w:rsid w:val="003A13C4"/>
    <w:rsid w:val="003A1411"/>
    <w:rsid w:val="003A16D4"/>
    <w:rsid w:val="003A1F19"/>
    <w:rsid w:val="003A20A9"/>
    <w:rsid w:val="003A20F5"/>
    <w:rsid w:val="003A210D"/>
    <w:rsid w:val="003A2179"/>
    <w:rsid w:val="003A21BC"/>
    <w:rsid w:val="003A2441"/>
    <w:rsid w:val="003A25FE"/>
    <w:rsid w:val="003A2628"/>
    <w:rsid w:val="003A2BCE"/>
    <w:rsid w:val="003A33D6"/>
    <w:rsid w:val="003A3485"/>
    <w:rsid w:val="003A3734"/>
    <w:rsid w:val="003A3A11"/>
    <w:rsid w:val="003A3A22"/>
    <w:rsid w:val="003A426C"/>
    <w:rsid w:val="003A4391"/>
    <w:rsid w:val="003A445B"/>
    <w:rsid w:val="003A4496"/>
    <w:rsid w:val="003A4530"/>
    <w:rsid w:val="003A45F7"/>
    <w:rsid w:val="003A4850"/>
    <w:rsid w:val="003A4976"/>
    <w:rsid w:val="003A4BAE"/>
    <w:rsid w:val="003A4CFF"/>
    <w:rsid w:val="003A4D2A"/>
    <w:rsid w:val="003A4F0E"/>
    <w:rsid w:val="003A5147"/>
    <w:rsid w:val="003A54F7"/>
    <w:rsid w:val="003A55F7"/>
    <w:rsid w:val="003A596D"/>
    <w:rsid w:val="003A5AB0"/>
    <w:rsid w:val="003A5DC6"/>
    <w:rsid w:val="003A64E4"/>
    <w:rsid w:val="003A6573"/>
    <w:rsid w:val="003A65B4"/>
    <w:rsid w:val="003A680D"/>
    <w:rsid w:val="003A6A5E"/>
    <w:rsid w:val="003A6A67"/>
    <w:rsid w:val="003A6C74"/>
    <w:rsid w:val="003A6E12"/>
    <w:rsid w:val="003A6F71"/>
    <w:rsid w:val="003A7127"/>
    <w:rsid w:val="003A733E"/>
    <w:rsid w:val="003A74D3"/>
    <w:rsid w:val="003A7711"/>
    <w:rsid w:val="003A771D"/>
    <w:rsid w:val="003A77C6"/>
    <w:rsid w:val="003A77D5"/>
    <w:rsid w:val="003A784E"/>
    <w:rsid w:val="003A7859"/>
    <w:rsid w:val="003A7AF4"/>
    <w:rsid w:val="003B03E4"/>
    <w:rsid w:val="003B055F"/>
    <w:rsid w:val="003B0612"/>
    <w:rsid w:val="003B07B8"/>
    <w:rsid w:val="003B087C"/>
    <w:rsid w:val="003B09F6"/>
    <w:rsid w:val="003B0C4E"/>
    <w:rsid w:val="003B0CFD"/>
    <w:rsid w:val="003B0D1E"/>
    <w:rsid w:val="003B12D2"/>
    <w:rsid w:val="003B1307"/>
    <w:rsid w:val="003B1467"/>
    <w:rsid w:val="003B1705"/>
    <w:rsid w:val="003B1759"/>
    <w:rsid w:val="003B17D6"/>
    <w:rsid w:val="003B18C4"/>
    <w:rsid w:val="003B1B88"/>
    <w:rsid w:val="003B1D04"/>
    <w:rsid w:val="003B2046"/>
    <w:rsid w:val="003B21BD"/>
    <w:rsid w:val="003B2353"/>
    <w:rsid w:val="003B2646"/>
    <w:rsid w:val="003B26D9"/>
    <w:rsid w:val="003B2741"/>
    <w:rsid w:val="003B27D6"/>
    <w:rsid w:val="003B28A0"/>
    <w:rsid w:val="003B28D3"/>
    <w:rsid w:val="003B2929"/>
    <w:rsid w:val="003B2A4E"/>
    <w:rsid w:val="003B2BE5"/>
    <w:rsid w:val="003B2CE4"/>
    <w:rsid w:val="003B2F39"/>
    <w:rsid w:val="003B2F44"/>
    <w:rsid w:val="003B3354"/>
    <w:rsid w:val="003B3D05"/>
    <w:rsid w:val="003B3E58"/>
    <w:rsid w:val="003B414F"/>
    <w:rsid w:val="003B427B"/>
    <w:rsid w:val="003B4326"/>
    <w:rsid w:val="003B45E6"/>
    <w:rsid w:val="003B4604"/>
    <w:rsid w:val="003B47B8"/>
    <w:rsid w:val="003B48E5"/>
    <w:rsid w:val="003B4997"/>
    <w:rsid w:val="003B49FF"/>
    <w:rsid w:val="003B4EA0"/>
    <w:rsid w:val="003B51E6"/>
    <w:rsid w:val="003B57B8"/>
    <w:rsid w:val="003B5BE0"/>
    <w:rsid w:val="003B6483"/>
    <w:rsid w:val="003B654A"/>
    <w:rsid w:val="003B65E9"/>
    <w:rsid w:val="003B663A"/>
    <w:rsid w:val="003B66A5"/>
    <w:rsid w:val="003B6709"/>
    <w:rsid w:val="003B68D2"/>
    <w:rsid w:val="003B6B48"/>
    <w:rsid w:val="003B6BBD"/>
    <w:rsid w:val="003B6BF1"/>
    <w:rsid w:val="003B6E61"/>
    <w:rsid w:val="003B7069"/>
    <w:rsid w:val="003B7769"/>
    <w:rsid w:val="003B7C40"/>
    <w:rsid w:val="003C0067"/>
    <w:rsid w:val="003C0089"/>
    <w:rsid w:val="003C00F7"/>
    <w:rsid w:val="003C018B"/>
    <w:rsid w:val="003C039A"/>
    <w:rsid w:val="003C03E4"/>
    <w:rsid w:val="003C06C5"/>
    <w:rsid w:val="003C08DB"/>
    <w:rsid w:val="003C0A94"/>
    <w:rsid w:val="003C0AA1"/>
    <w:rsid w:val="003C0ADE"/>
    <w:rsid w:val="003C0AEF"/>
    <w:rsid w:val="003C0C59"/>
    <w:rsid w:val="003C0D6C"/>
    <w:rsid w:val="003C0FD1"/>
    <w:rsid w:val="003C115D"/>
    <w:rsid w:val="003C1209"/>
    <w:rsid w:val="003C121A"/>
    <w:rsid w:val="003C13CE"/>
    <w:rsid w:val="003C13DB"/>
    <w:rsid w:val="003C161F"/>
    <w:rsid w:val="003C1690"/>
    <w:rsid w:val="003C16B2"/>
    <w:rsid w:val="003C1B30"/>
    <w:rsid w:val="003C1DA1"/>
    <w:rsid w:val="003C1FF3"/>
    <w:rsid w:val="003C2AA8"/>
    <w:rsid w:val="003C2C7F"/>
    <w:rsid w:val="003C2CAD"/>
    <w:rsid w:val="003C2D77"/>
    <w:rsid w:val="003C2EF8"/>
    <w:rsid w:val="003C2F3C"/>
    <w:rsid w:val="003C2F7F"/>
    <w:rsid w:val="003C2FBB"/>
    <w:rsid w:val="003C3020"/>
    <w:rsid w:val="003C306A"/>
    <w:rsid w:val="003C30D2"/>
    <w:rsid w:val="003C32FA"/>
    <w:rsid w:val="003C353B"/>
    <w:rsid w:val="003C35C9"/>
    <w:rsid w:val="003C3658"/>
    <w:rsid w:val="003C37C6"/>
    <w:rsid w:val="003C3876"/>
    <w:rsid w:val="003C3CC7"/>
    <w:rsid w:val="003C3F4A"/>
    <w:rsid w:val="003C3F5C"/>
    <w:rsid w:val="003C3FBE"/>
    <w:rsid w:val="003C44FF"/>
    <w:rsid w:val="003C45C5"/>
    <w:rsid w:val="003C4694"/>
    <w:rsid w:val="003C47AC"/>
    <w:rsid w:val="003C498E"/>
    <w:rsid w:val="003C49C7"/>
    <w:rsid w:val="003C4CA1"/>
    <w:rsid w:val="003C4D91"/>
    <w:rsid w:val="003C4E42"/>
    <w:rsid w:val="003C4FBC"/>
    <w:rsid w:val="003C5189"/>
    <w:rsid w:val="003C52ED"/>
    <w:rsid w:val="003C5460"/>
    <w:rsid w:val="003C54B8"/>
    <w:rsid w:val="003C5A84"/>
    <w:rsid w:val="003C5B81"/>
    <w:rsid w:val="003C5BA5"/>
    <w:rsid w:val="003C5E84"/>
    <w:rsid w:val="003C6032"/>
    <w:rsid w:val="003C608F"/>
    <w:rsid w:val="003C63C8"/>
    <w:rsid w:val="003C67E3"/>
    <w:rsid w:val="003C6B47"/>
    <w:rsid w:val="003C6BCD"/>
    <w:rsid w:val="003C6C9A"/>
    <w:rsid w:val="003C6FA7"/>
    <w:rsid w:val="003C70AF"/>
    <w:rsid w:val="003C7235"/>
    <w:rsid w:val="003C7651"/>
    <w:rsid w:val="003C771F"/>
    <w:rsid w:val="003C7B32"/>
    <w:rsid w:val="003C7B9D"/>
    <w:rsid w:val="003C7CD2"/>
    <w:rsid w:val="003D0038"/>
    <w:rsid w:val="003D02FA"/>
    <w:rsid w:val="003D049A"/>
    <w:rsid w:val="003D0781"/>
    <w:rsid w:val="003D082E"/>
    <w:rsid w:val="003D09D9"/>
    <w:rsid w:val="003D0D61"/>
    <w:rsid w:val="003D0EFE"/>
    <w:rsid w:val="003D117F"/>
    <w:rsid w:val="003D147A"/>
    <w:rsid w:val="003D18ED"/>
    <w:rsid w:val="003D1907"/>
    <w:rsid w:val="003D1E0C"/>
    <w:rsid w:val="003D1E63"/>
    <w:rsid w:val="003D2075"/>
    <w:rsid w:val="003D20F0"/>
    <w:rsid w:val="003D2199"/>
    <w:rsid w:val="003D2457"/>
    <w:rsid w:val="003D2647"/>
    <w:rsid w:val="003D27F0"/>
    <w:rsid w:val="003D27FE"/>
    <w:rsid w:val="003D282C"/>
    <w:rsid w:val="003D28A0"/>
    <w:rsid w:val="003D2C16"/>
    <w:rsid w:val="003D2C2B"/>
    <w:rsid w:val="003D2E21"/>
    <w:rsid w:val="003D2FF7"/>
    <w:rsid w:val="003D3097"/>
    <w:rsid w:val="003D3265"/>
    <w:rsid w:val="003D328E"/>
    <w:rsid w:val="003D342C"/>
    <w:rsid w:val="003D3432"/>
    <w:rsid w:val="003D3706"/>
    <w:rsid w:val="003D375A"/>
    <w:rsid w:val="003D3A0F"/>
    <w:rsid w:val="003D3AD1"/>
    <w:rsid w:val="003D3B4F"/>
    <w:rsid w:val="003D3B7C"/>
    <w:rsid w:val="003D3BCB"/>
    <w:rsid w:val="003D3DAB"/>
    <w:rsid w:val="003D3DED"/>
    <w:rsid w:val="003D3F49"/>
    <w:rsid w:val="003D42BE"/>
    <w:rsid w:val="003D481C"/>
    <w:rsid w:val="003D4850"/>
    <w:rsid w:val="003D4A83"/>
    <w:rsid w:val="003D4AFD"/>
    <w:rsid w:val="003D4C5E"/>
    <w:rsid w:val="003D4DDD"/>
    <w:rsid w:val="003D5241"/>
    <w:rsid w:val="003D5243"/>
    <w:rsid w:val="003D5420"/>
    <w:rsid w:val="003D548D"/>
    <w:rsid w:val="003D54D8"/>
    <w:rsid w:val="003D55E5"/>
    <w:rsid w:val="003D569E"/>
    <w:rsid w:val="003D5919"/>
    <w:rsid w:val="003D604B"/>
    <w:rsid w:val="003D61E1"/>
    <w:rsid w:val="003D6292"/>
    <w:rsid w:val="003D6521"/>
    <w:rsid w:val="003D676D"/>
    <w:rsid w:val="003D6A7D"/>
    <w:rsid w:val="003D6D56"/>
    <w:rsid w:val="003D6F69"/>
    <w:rsid w:val="003D723C"/>
    <w:rsid w:val="003D73EE"/>
    <w:rsid w:val="003D73F4"/>
    <w:rsid w:val="003D7421"/>
    <w:rsid w:val="003D74DB"/>
    <w:rsid w:val="003D752B"/>
    <w:rsid w:val="003D753F"/>
    <w:rsid w:val="003D755E"/>
    <w:rsid w:val="003D761E"/>
    <w:rsid w:val="003D7BF3"/>
    <w:rsid w:val="003E0284"/>
    <w:rsid w:val="003E0432"/>
    <w:rsid w:val="003E0688"/>
    <w:rsid w:val="003E0AE9"/>
    <w:rsid w:val="003E0BEB"/>
    <w:rsid w:val="003E0C0F"/>
    <w:rsid w:val="003E0D34"/>
    <w:rsid w:val="003E0D63"/>
    <w:rsid w:val="003E0FED"/>
    <w:rsid w:val="003E1020"/>
    <w:rsid w:val="003E1078"/>
    <w:rsid w:val="003E1351"/>
    <w:rsid w:val="003E1497"/>
    <w:rsid w:val="003E15E5"/>
    <w:rsid w:val="003E1806"/>
    <w:rsid w:val="003E1CFE"/>
    <w:rsid w:val="003E23FD"/>
    <w:rsid w:val="003E2752"/>
    <w:rsid w:val="003E2B25"/>
    <w:rsid w:val="003E2BC8"/>
    <w:rsid w:val="003E2BF6"/>
    <w:rsid w:val="003E2EA5"/>
    <w:rsid w:val="003E2FF4"/>
    <w:rsid w:val="003E30A7"/>
    <w:rsid w:val="003E30CE"/>
    <w:rsid w:val="003E351A"/>
    <w:rsid w:val="003E3A73"/>
    <w:rsid w:val="003E405C"/>
    <w:rsid w:val="003E43EA"/>
    <w:rsid w:val="003E4812"/>
    <w:rsid w:val="003E482F"/>
    <w:rsid w:val="003E4A85"/>
    <w:rsid w:val="003E4BA8"/>
    <w:rsid w:val="003E4C44"/>
    <w:rsid w:val="003E4E87"/>
    <w:rsid w:val="003E5215"/>
    <w:rsid w:val="003E540B"/>
    <w:rsid w:val="003E584A"/>
    <w:rsid w:val="003E5885"/>
    <w:rsid w:val="003E5A76"/>
    <w:rsid w:val="003E5BF8"/>
    <w:rsid w:val="003E5DB3"/>
    <w:rsid w:val="003E60C4"/>
    <w:rsid w:val="003E6270"/>
    <w:rsid w:val="003E6579"/>
    <w:rsid w:val="003E66EB"/>
    <w:rsid w:val="003E6D1E"/>
    <w:rsid w:val="003E6D3B"/>
    <w:rsid w:val="003E6D89"/>
    <w:rsid w:val="003E721B"/>
    <w:rsid w:val="003E7397"/>
    <w:rsid w:val="003E73A4"/>
    <w:rsid w:val="003E7A47"/>
    <w:rsid w:val="003E7B06"/>
    <w:rsid w:val="003E7B88"/>
    <w:rsid w:val="003E7C11"/>
    <w:rsid w:val="003E7F4E"/>
    <w:rsid w:val="003F0097"/>
    <w:rsid w:val="003F00C7"/>
    <w:rsid w:val="003F032C"/>
    <w:rsid w:val="003F0353"/>
    <w:rsid w:val="003F0371"/>
    <w:rsid w:val="003F044A"/>
    <w:rsid w:val="003F0521"/>
    <w:rsid w:val="003F0555"/>
    <w:rsid w:val="003F0770"/>
    <w:rsid w:val="003F092D"/>
    <w:rsid w:val="003F0AAF"/>
    <w:rsid w:val="003F1202"/>
    <w:rsid w:val="003F12DC"/>
    <w:rsid w:val="003F15A6"/>
    <w:rsid w:val="003F15C6"/>
    <w:rsid w:val="003F17E2"/>
    <w:rsid w:val="003F18D6"/>
    <w:rsid w:val="003F1D9F"/>
    <w:rsid w:val="003F1E33"/>
    <w:rsid w:val="003F1EE9"/>
    <w:rsid w:val="003F1FD2"/>
    <w:rsid w:val="003F2593"/>
    <w:rsid w:val="003F2812"/>
    <w:rsid w:val="003F2BF5"/>
    <w:rsid w:val="003F2CFA"/>
    <w:rsid w:val="003F2E37"/>
    <w:rsid w:val="003F3047"/>
    <w:rsid w:val="003F31C0"/>
    <w:rsid w:val="003F34CC"/>
    <w:rsid w:val="003F35FD"/>
    <w:rsid w:val="003F3711"/>
    <w:rsid w:val="003F3809"/>
    <w:rsid w:val="003F380A"/>
    <w:rsid w:val="003F3DAD"/>
    <w:rsid w:val="003F4008"/>
    <w:rsid w:val="003F435F"/>
    <w:rsid w:val="003F453B"/>
    <w:rsid w:val="003F4735"/>
    <w:rsid w:val="003F47BF"/>
    <w:rsid w:val="003F48BF"/>
    <w:rsid w:val="003F49E7"/>
    <w:rsid w:val="003F4BB4"/>
    <w:rsid w:val="003F4C27"/>
    <w:rsid w:val="003F4C4D"/>
    <w:rsid w:val="003F4D68"/>
    <w:rsid w:val="003F4F9A"/>
    <w:rsid w:val="003F5454"/>
    <w:rsid w:val="003F56E3"/>
    <w:rsid w:val="003F5824"/>
    <w:rsid w:val="003F5994"/>
    <w:rsid w:val="003F5A08"/>
    <w:rsid w:val="003F5B54"/>
    <w:rsid w:val="003F5C40"/>
    <w:rsid w:val="003F5D8E"/>
    <w:rsid w:val="003F5E2C"/>
    <w:rsid w:val="003F5F48"/>
    <w:rsid w:val="003F5F88"/>
    <w:rsid w:val="003F62EC"/>
    <w:rsid w:val="003F65C8"/>
    <w:rsid w:val="003F65F2"/>
    <w:rsid w:val="003F6653"/>
    <w:rsid w:val="003F6836"/>
    <w:rsid w:val="003F69DF"/>
    <w:rsid w:val="003F6D1C"/>
    <w:rsid w:val="003F6DCA"/>
    <w:rsid w:val="003F6DD2"/>
    <w:rsid w:val="003F70A5"/>
    <w:rsid w:val="003F71B9"/>
    <w:rsid w:val="003F71E7"/>
    <w:rsid w:val="003F755C"/>
    <w:rsid w:val="003F7738"/>
    <w:rsid w:val="003F7781"/>
    <w:rsid w:val="003F7884"/>
    <w:rsid w:val="003F7EB1"/>
    <w:rsid w:val="00400062"/>
    <w:rsid w:val="004000AD"/>
    <w:rsid w:val="004000D4"/>
    <w:rsid w:val="00400441"/>
    <w:rsid w:val="00400646"/>
    <w:rsid w:val="004006C9"/>
    <w:rsid w:val="004007FA"/>
    <w:rsid w:val="0040094A"/>
    <w:rsid w:val="00400A81"/>
    <w:rsid w:val="00400F86"/>
    <w:rsid w:val="00400F8E"/>
    <w:rsid w:val="00400FC1"/>
    <w:rsid w:val="00401048"/>
    <w:rsid w:val="004011A5"/>
    <w:rsid w:val="004011CE"/>
    <w:rsid w:val="00401317"/>
    <w:rsid w:val="0040153E"/>
    <w:rsid w:val="00401A4C"/>
    <w:rsid w:val="00401AF9"/>
    <w:rsid w:val="00401CCE"/>
    <w:rsid w:val="00401D83"/>
    <w:rsid w:val="00401F2A"/>
    <w:rsid w:val="00401F76"/>
    <w:rsid w:val="0040204B"/>
    <w:rsid w:val="00402058"/>
    <w:rsid w:val="004021B4"/>
    <w:rsid w:val="00402A69"/>
    <w:rsid w:val="00402B47"/>
    <w:rsid w:val="00402E4B"/>
    <w:rsid w:val="00402F71"/>
    <w:rsid w:val="00402FCB"/>
    <w:rsid w:val="00403130"/>
    <w:rsid w:val="004032A4"/>
    <w:rsid w:val="004034F4"/>
    <w:rsid w:val="0040351C"/>
    <w:rsid w:val="00403567"/>
    <w:rsid w:val="004037B0"/>
    <w:rsid w:val="00403810"/>
    <w:rsid w:val="00403834"/>
    <w:rsid w:val="00403AC1"/>
    <w:rsid w:val="00403DF3"/>
    <w:rsid w:val="00403EFA"/>
    <w:rsid w:val="00403FB5"/>
    <w:rsid w:val="004040F5"/>
    <w:rsid w:val="00404206"/>
    <w:rsid w:val="00404241"/>
    <w:rsid w:val="00404363"/>
    <w:rsid w:val="0040451B"/>
    <w:rsid w:val="00404DD3"/>
    <w:rsid w:val="00404FFF"/>
    <w:rsid w:val="0040505F"/>
    <w:rsid w:val="0040511E"/>
    <w:rsid w:val="00405189"/>
    <w:rsid w:val="004053F6"/>
    <w:rsid w:val="0040562A"/>
    <w:rsid w:val="00405890"/>
    <w:rsid w:val="00405C02"/>
    <w:rsid w:val="00405C4D"/>
    <w:rsid w:val="00405E24"/>
    <w:rsid w:val="00405E43"/>
    <w:rsid w:val="00405E52"/>
    <w:rsid w:val="00406120"/>
    <w:rsid w:val="00406173"/>
    <w:rsid w:val="004065BE"/>
    <w:rsid w:val="004068AF"/>
    <w:rsid w:val="0040701C"/>
    <w:rsid w:val="00407307"/>
    <w:rsid w:val="0040732D"/>
    <w:rsid w:val="0040759E"/>
    <w:rsid w:val="004076CF"/>
    <w:rsid w:val="0040778E"/>
    <w:rsid w:val="00407A09"/>
    <w:rsid w:val="00407CAA"/>
    <w:rsid w:val="00407DF6"/>
    <w:rsid w:val="00410003"/>
    <w:rsid w:val="004100C9"/>
    <w:rsid w:val="004104BA"/>
    <w:rsid w:val="004104E9"/>
    <w:rsid w:val="0041098E"/>
    <w:rsid w:val="00410AC7"/>
    <w:rsid w:val="00410E5D"/>
    <w:rsid w:val="0041110C"/>
    <w:rsid w:val="00411195"/>
    <w:rsid w:val="004111F7"/>
    <w:rsid w:val="004112AC"/>
    <w:rsid w:val="004112C2"/>
    <w:rsid w:val="0041162D"/>
    <w:rsid w:val="00411923"/>
    <w:rsid w:val="00411982"/>
    <w:rsid w:val="004119CB"/>
    <w:rsid w:val="00411ECA"/>
    <w:rsid w:val="004121BB"/>
    <w:rsid w:val="00412468"/>
    <w:rsid w:val="004125F9"/>
    <w:rsid w:val="00412780"/>
    <w:rsid w:val="00412964"/>
    <w:rsid w:val="00412AC4"/>
    <w:rsid w:val="00412D3D"/>
    <w:rsid w:val="0041311D"/>
    <w:rsid w:val="0041315C"/>
    <w:rsid w:val="00413415"/>
    <w:rsid w:val="00413477"/>
    <w:rsid w:val="004136F1"/>
    <w:rsid w:val="004137FB"/>
    <w:rsid w:val="00413A56"/>
    <w:rsid w:val="00413D77"/>
    <w:rsid w:val="00413DDB"/>
    <w:rsid w:val="00413E2D"/>
    <w:rsid w:val="00413E7C"/>
    <w:rsid w:val="00413F23"/>
    <w:rsid w:val="0041408B"/>
    <w:rsid w:val="004141E8"/>
    <w:rsid w:val="0041431C"/>
    <w:rsid w:val="004143A9"/>
    <w:rsid w:val="00414652"/>
    <w:rsid w:val="004146CF"/>
    <w:rsid w:val="00414C20"/>
    <w:rsid w:val="00414D97"/>
    <w:rsid w:val="00414D9A"/>
    <w:rsid w:val="00414E95"/>
    <w:rsid w:val="0041502F"/>
    <w:rsid w:val="00415307"/>
    <w:rsid w:val="00415551"/>
    <w:rsid w:val="0041557F"/>
    <w:rsid w:val="004157DE"/>
    <w:rsid w:val="0041597F"/>
    <w:rsid w:val="00415D46"/>
    <w:rsid w:val="00415F4B"/>
    <w:rsid w:val="00415F7E"/>
    <w:rsid w:val="00416130"/>
    <w:rsid w:val="00416197"/>
    <w:rsid w:val="004161BC"/>
    <w:rsid w:val="004161C3"/>
    <w:rsid w:val="004163A3"/>
    <w:rsid w:val="0041677A"/>
    <w:rsid w:val="004168A4"/>
    <w:rsid w:val="004169F0"/>
    <w:rsid w:val="00416B53"/>
    <w:rsid w:val="00417103"/>
    <w:rsid w:val="0041732D"/>
    <w:rsid w:val="004173CF"/>
    <w:rsid w:val="00417469"/>
    <w:rsid w:val="0041747C"/>
    <w:rsid w:val="004174DA"/>
    <w:rsid w:val="00417602"/>
    <w:rsid w:val="0041781E"/>
    <w:rsid w:val="00417DE1"/>
    <w:rsid w:val="00417E06"/>
    <w:rsid w:val="00417ECA"/>
    <w:rsid w:val="00417EED"/>
    <w:rsid w:val="00417EF0"/>
    <w:rsid w:val="00417EFF"/>
    <w:rsid w:val="00417F02"/>
    <w:rsid w:val="004206E5"/>
    <w:rsid w:val="00420731"/>
    <w:rsid w:val="00420759"/>
    <w:rsid w:val="00420B63"/>
    <w:rsid w:val="00420D52"/>
    <w:rsid w:val="00420F40"/>
    <w:rsid w:val="00420F57"/>
    <w:rsid w:val="0042101F"/>
    <w:rsid w:val="00421220"/>
    <w:rsid w:val="004212F1"/>
    <w:rsid w:val="00421367"/>
    <w:rsid w:val="00421647"/>
    <w:rsid w:val="00421697"/>
    <w:rsid w:val="004217D5"/>
    <w:rsid w:val="004217F6"/>
    <w:rsid w:val="0042188F"/>
    <w:rsid w:val="004218EE"/>
    <w:rsid w:val="00421941"/>
    <w:rsid w:val="00421AB0"/>
    <w:rsid w:val="00421C1A"/>
    <w:rsid w:val="00421C59"/>
    <w:rsid w:val="00421D07"/>
    <w:rsid w:val="00421EDE"/>
    <w:rsid w:val="0042217D"/>
    <w:rsid w:val="00422251"/>
    <w:rsid w:val="0042231E"/>
    <w:rsid w:val="00422342"/>
    <w:rsid w:val="00422D69"/>
    <w:rsid w:val="00422EC9"/>
    <w:rsid w:val="00422F2C"/>
    <w:rsid w:val="00422F95"/>
    <w:rsid w:val="0042318F"/>
    <w:rsid w:val="004231F3"/>
    <w:rsid w:val="004233E9"/>
    <w:rsid w:val="004233F1"/>
    <w:rsid w:val="00423518"/>
    <w:rsid w:val="00423523"/>
    <w:rsid w:val="00423695"/>
    <w:rsid w:val="00423BFC"/>
    <w:rsid w:val="00423CF3"/>
    <w:rsid w:val="00423D92"/>
    <w:rsid w:val="00423FB6"/>
    <w:rsid w:val="00424066"/>
    <w:rsid w:val="00424131"/>
    <w:rsid w:val="00424379"/>
    <w:rsid w:val="004249D7"/>
    <w:rsid w:val="00424AAA"/>
    <w:rsid w:val="00424AD0"/>
    <w:rsid w:val="00424C4E"/>
    <w:rsid w:val="00424D97"/>
    <w:rsid w:val="00424E6A"/>
    <w:rsid w:val="00424F49"/>
    <w:rsid w:val="00425140"/>
    <w:rsid w:val="00425288"/>
    <w:rsid w:val="00425663"/>
    <w:rsid w:val="004259C7"/>
    <w:rsid w:val="00425B21"/>
    <w:rsid w:val="00425ED0"/>
    <w:rsid w:val="00426112"/>
    <w:rsid w:val="00426259"/>
    <w:rsid w:val="004262C7"/>
    <w:rsid w:val="00426337"/>
    <w:rsid w:val="0042637B"/>
    <w:rsid w:val="004263CB"/>
    <w:rsid w:val="0042643A"/>
    <w:rsid w:val="004265F4"/>
    <w:rsid w:val="00426798"/>
    <w:rsid w:val="004269C8"/>
    <w:rsid w:val="00426A3A"/>
    <w:rsid w:val="00426A85"/>
    <w:rsid w:val="00426D0B"/>
    <w:rsid w:val="00426D87"/>
    <w:rsid w:val="00426DC4"/>
    <w:rsid w:val="00426E88"/>
    <w:rsid w:val="004273B1"/>
    <w:rsid w:val="004279AD"/>
    <w:rsid w:val="00427A19"/>
    <w:rsid w:val="0043006D"/>
    <w:rsid w:val="0043029C"/>
    <w:rsid w:val="004302DC"/>
    <w:rsid w:val="004306DA"/>
    <w:rsid w:val="00430841"/>
    <w:rsid w:val="00430848"/>
    <w:rsid w:val="00430CE5"/>
    <w:rsid w:val="00430D52"/>
    <w:rsid w:val="00430ED4"/>
    <w:rsid w:val="00430F40"/>
    <w:rsid w:val="00430F83"/>
    <w:rsid w:val="004312E7"/>
    <w:rsid w:val="00431857"/>
    <w:rsid w:val="004318B0"/>
    <w:rsid w:val="00431A09"/>
    <w:rsid w:val="00431A3C"/>
    <w:rsid w:val="00431A9A"/>
    <w:rsid w:val="00432068"/>
    <w:rsid w:val="0043252D"/>
    <w:rsid w:val="00432923"/>
    <w:rsid w:val="00432C74"/>
    <w:rsid w:val="00432FE3"/>
    <w:rsid w:val="004330F7"/>
    <w:rsid w:val="00433148"/>
    <w:rsid w:val="004331BA"/>
    <w:rsid w:val="004331EF"/>
    <w:rsid w:val="0043352B"/>
    <w:rsid w:val="004337DB"/>
    <w:rsid w:val="00433BA4"/>
    <w:rsid w:val="00433C21"/>
    <w:rsid w:val="00433D0C"/>
    <w:rsid w:val="00433DE4"/>
    <w:rsid w:val="00433FC2"/>
    <w:rsid w:val="00434033"/>
    <w:rsid w:val="0043404D"/>
    <w:rsid w:val="00434169"/>
    <w:rsid w:val="004343D9"/>
    <w:rsid w:val="00434642"/>
    <w:rsid w:val="0043473B"/>
    <w:rsid w:val="00434D5F"/>
    <w:rsid w:val="0043521B"/>
    <w:rsid w:val="004353B8"/>
    <w:rsid w:val="00435427"/>
    <w:rsid w:val="0043544A"/>
    <w:rsid w:val="004356A3"/>
    <w:rsid w:val="0043570B"/>
    <w:rsid w:val="004359B6"/>
    <w:rsid w:val="00435BBC"/>
    <w:rsid w:val="00435E5F"/>
    <w:rsid w:val="0043612D"/>
    <w:rsid w:val="00436148"/>
    <w:rsid w:val="004362FA"/>
    <w:rsid w:val="0043639F"/>
    <w:rsid w:val="00436412"/>
    <w:rsid w:val="00436B60"/>
    <w:rsid w:val="00436C9A"/>
    <w:rsid w:val="00436CA6"/>
    <w:rsid w:val="00436D68"/>
    <w:rsid w:val="00436E26"/>
    <w:rsid w:val="00436EEE"/>
    <w:rsid w:val="00437303"/>
    <w:rsid w:val="0043742E"/>
    <w:rsid w:val="00437461"/>
    <w:rsid w:val="0043750A"/>
    <w:rsid w:val="0043752B"/>
    <w:rsid w:val="004376C1"/>
    <w:rsid w:val="00437773"/>
    <w:rsid w:val="004378A7"/>
    <w:rsid w:val="00437B99"/>
    <w:rsid w:val="00437BB7"/>
    <w:rsid w:val="00437D1E"/>
    <w:rsid w:val="00437D66"/>
    <w:rsid w:val="00437E8B"/>
    <w:rsid w:val="00440291"/>
    <w:rsid w:val="0044038D"/>
    <w:rsid w:val="0044074D"/>
    <w:rsid w:val="00440CDF"/>
    <w:rsid w:val="00440DE9"/>
    <w:rsid w:val="00441040"/>
    <w:rsid w:val="004413EA"/>
    <w:rsid w:val="00441553"/>
    <w:rsid w:val="00441701"/>
    <w:rsid w:val="0044171F"/>
    <w:rsid w:val="004417B9"/>
    <w:rsid w:val="00441BD4"/>
    <w:rsid w:val="00441D11"/>
    <w:rsid w:val="00441E56"/>
    <w:rsid w:val="00441E8C"/>
    <w:rsid w:val="00441EC8"/>
    <w:rsid w:val="00441F0C"/>
    <w:rsid w:val="00442133"/>
    <w:rsid w:val="004424B5"/>
    <w:rsid w:val="0044281C"/>
    <w:rsid w:val="0044285A"/>
    <w:rsid w:val="004429F9"/>
    <w:rsid w:val="00442AAF"/>
    <w:rsid w:val="00442B79"/>
    <w:rsid w:val="00442BBF"/>
    <w:rsid w:val="00442C1E"/>
    <w:rsid w:val="00442CB2"/>
    <w:rsid w:val="00442CF2"/>
    <w:rsid w:val="00442E7C"/>
    <w:rsid w:val="0044340A"/>
    <w:rsid w:val="004434AD"/>
    <w:rsid w:val="00443729"/>
    <w:rsid w:val="004439E6"/>
    <w:rsid w:val="00443C8E"/>
    <w:rsid w:val="00443DA4"/>
    <w:rsid w:val="00443ED6"/>
    <w:rsid w:val="004445AC"/>
    <w:rsid w:val="004445CD"/>
    <w:rsid w:val="00444678"/>
    <w:rsid w:val="00444891"/>
    <w:rsid w:val="00444D73"/>
    <w:rsid w:val="00444FEA"/>
    <w:rsid w:val="0044532E"/>
    <w:rsid w:val="00445468"/>
    <w:rsid w:val="0044549B"/>
    <w:rsid w:val="004455B6"/>
    <w:rsid w:val="004459BA"/>
    <w:rsid w:val="004459E8"/>
    <w:rsid w:val="00445D81"/>
    <w:rsid w:val="00445F68"/>
    <w:rsid w:val="00445FFF"/>
    <w:rsid w:val="00446106"/>
    <w:rsid w:val="0044618A"/>
    <w:rsid w:val="004467A1"/>
    <w:rsid w:val="00446B1C"/>
    <w:rsid w:val="00446D9B"/>
    <w:rsid w:val="0044701F"/>
    <w:rsid w:val="00447304"/>
    <w:rsid w:val="004473D8"/>
    <w:rsid w:val="00447708"/>
    <w:rsid w:val="00447784"/>
    <w:rsid w:val="004479A6"/>
    <w:rsid w:val="00447A78"/>
    <w:rsid w:val="00447B55"/>
    <w:rsid w:val="00447BD1"/>
    <w:rsid w:val="00447DF3"/>
    <w:rsid w:val="00447E92"/>
    <w:rsid w:val="00450A24"/>
    <w:rsid w:val="00450E36"/>
    <w:rsid w:val="004510B2"/>
    <w:rsid w:val="00451169"/>
    <w:rsid w:val="004512A5"/>
    <w:rsid w:val="004513BC"/>
    <w:rsid w:val="0045146A"/>
    <w:rsid w:val="00451AD5"/>
    <w:rsid w:val="00451C72"/>
    <w:rsid w:val="0045210B"/>
    <w:rsid w:val="0045225E"/>
    <w:rsid w:val="00452483"/>
    <w:rsid w:val="00452682"/>
    <w:rsid w:val="004526B6"/>
    <w:rsid w:val="004526C6"/>
    <w:rsid w:val="004529CB"/>
    <w:rsid w:val="00452B6A"/>
    <w:rsid w:val="00452BD6"/>
    <w:rsid w:val="00452C9F"/>
    <w:rsid w:val="0045340D"/>
    <w:rsid w:val="00453411"/>
    <w:rsid w:val="004534B5"/>
    <w:rsid w:val="004534C4"/>
    <w:rsid w:val="004539ED"/>
    <w:rsid w:val="00453A0D"/>
    <w:rsid w:val="00453BDB"/>
    <w:rsid w:val="004543B5"/>
    <w:rsid w:val="00454C87"/>
    <w:rsid w:val="00454CE4"/>
    <w:rsid w:val="00454FAA"/>
    <w:rsid w:val="004550A2"/>
    <w:rsid w:val="00455253"/>
    <w:rsid w:val="004552DA"/>
    <w:rsid w:val="0045545E"/>
    <w:rsid w:val="004554F1"/>
    <w:rsid w:val="00455602"/>
    <w:rsid w:val="00455703"/>
    <w:rsid w:val="004557B7"/>
    <w:rsid w:val="00455848"/>
    <w:rsid w:val="0045591F"/>
    <w:rsid w:val="00455B19"/>
    <w:rsid w:val="00455E6C"/>
    <w:rsid w:val="00455EF0"/>
    <w:rsid w:val="004560D4"/>
    <w:rsid w:val="0045620A"/>
    <w:rsid w:val="0045625F"/>
    <w:rsid w:val="00456490"/>
    <w:rsid w:val="0045649D"/>
    <w:rsid w:val="0045665D"/>
    <w:rsid w:val="004566E1"/>
    <w:rsid w:val="00456974"/>
    <w:rsid w:val="00456A0A"/>
    <w:rsid w:val="00456CB3"/>
    <w:rsid w:val="00456E02"/>
    <w:rsid w:val="00456E1C"/>
    <w:rsid w:val="00457001"/>
    <w:rsid w:val="00457069"/>
    <w:rsid w:val="004570CE"/>
    <w:rsid w:val="00457250"/>
    <w:rsid w:val="004572CD"/>
    <w:rsid w:val="004574C1"/>
    <w:rsid w:val="00457558"/>
    <w:rsid w:val="00457651"/>
    <w:rsid w:val="0045780F"/>
    <w:rsid w:val="004579A2"/>
    <w:rsid w:val="004579B5"/>
    <w:rsid w:val="00457C6A"/>
    <w:rsid w:val="00457CA1"/>
    <w:rsid w:val="00457D6A"/>
    <w:rsid w:val="00460065"/>
    <w:rsid w:val="004600DF"/>
    <w:rsid w:val="004601BC"/>
    <w:rsid w:val="0046029C"/>
    <w:rsid w:val="00460372"/>
    <w:rsid w:val="00460474"/>
    <w:rsid w:val="00460BF8"/>
    <w:rsid w:val="00460C30"/>
    <w:rsid w:val="00460E06"/>
    <w:rsid w:val="00460E77"/>
    <w:rsid w:val="00460F5B"/>
    <w:rsid w:val="00460F6C"/>
    <w:rsid w:val="0046101D"/>
    <w:rsid w:val="004610C8"/>
    <w:rsid w:val="004611C7"/>
    <w:rsid w:val="00461624"/>
    <w:rsid w:val="0046167A"/>
    <w:rsid w:val="00461AA1"/>
    <w:rsid w:val="00461CA5"/>
    <w:rsid w:val="00461D3A"/>
    <w:rsid w:val="004623CB"/>
    <w:rsid w:val="004627DE"/>
    <w:rsid w:val="00462C7C"/>
    <w:rsid w:val="00462D78"/>
    <w:rsid w:val="00462DE2"/>
    <w:rsid w:val="00462F25"/>
    <w:rsid w:val="0046301F"/>
    <w:rsid w:val="004630D1"/>
    <w:rsid w:val="00463189"/>
    <w:rsid w:val="004633A0"/>
    <w:rsid w:val="00463689"/>
    <w:rsid w:val="00463CC0"/>
    <w:rsid w:val="00463CEC"/>
    <w:rsid w:val="00463EB0"/>
    <w:rsid w:val="004641A7"/>
    <w:rsid w:val="00464569"/>
    <w:rsid w:val="0046477B"/>
    <w:rsid w:val="00464792"/>
    <w:rsid w:val="004647F5"/>
    <w:rsid w:val="004648A0"/>
    <w:rsid w:val="004649EB"/>
    <w:rsid w:val="00464A40"/>
    <w:rsid w:val="00464A74"/>
    <w:rsid w:val="004652FC"/>
    <w:rsid w:val="00465535"/>
    <w:rsid w:val="0046560B"/>
    <w:rsid w:val="0046567D"/>
    <w:rsid w:val="00465BE4"/>
    <w:rsid w:val="00465CA1"/>
    <w:rsid w:val="00465DF3"/>
    <w:rsid w:val="00465E85"/>
    <w:rsid w:val="00465F3A"/>
    <w:rsid w:val="00465F3F"/>
    <w:rsid w:val="00466110"/>
    <w:rsid w:val="00466641"/>
    <w:rsid w:val="00466697"/>
    <w:rsid w:val="004667C8"/>
    <w:rsid w:val="0046699D"/>
    <w:rsid w:val="00466CA3"/>
    <w:rsid w:val="00466E66"/>
    <w:rsid w:val="004675BB"/>
    <w:rsid w:val="00467A33"/>
    <w:rsid w:val="00467AFF"/>
    <w:rsid w:val="00467C4F"/>
    <w:rsid w:val="00467CAF"/>
    <w:rsid w:val="00467CF3"/>
    <w:rsid w:val="00470215"/>
    <w:rsid w:val="00470466"/>
    <w:rsid w:val="00470488"/>
    <w:rsid w:val="004707FD"/>
    <w:rsid w:val="004708F3"/>
    <w:rsid w:val="00470978"/>
    <w:rsid w:val="00470CAC"/>
    <w:rsid w:val="00470F63"/>
    <w:rsid w:val="00471068"/>
    <w:rsid w:val="00471129"/>
    <w:rsid w:val="004713E7"/>
    <w:rsid w:val="00471451"/>
    <w:rsid w:val="004714C2"/>
    <w:rsid w:val="00471663"/>
    <w:rsid w:val="00471738"/>
    <w:rsid w:val="00471925"/>
    <w:rsid w:val="00471AAA"/>
    <w:rsid w:val="00471C00"/>
    <w:rsid w:val="00471D65"/>
    <w:rsid w:val="004721FE"/>
    <w:rsid w:val="00472351"/>
    <w:rsid w:val="00472455"/>
    <w:rsid w:val="00472618"/>
    <w:rsid w:val="0047263D"/>
    <w:rsid w:val="00472BDA"/>
    <w:rsid w:val="00472EBE"/>
    <w:rsid w:val="00472F8C"/>
    <w:rsid w:val="00472FEC"/>
    <w:rsid w:val="00473003"/>
    <w:rsid w:val="0047305E"/>
    <w:rsid w:val="004730C9"/>
    <w:rsid w:val="004730F9"/>
    <w:rsid w:val="0047315D"/>
    <w:rsid w:val="00473235"/>
    <w:rsid w:val="004732E4"/>
    <w:rsid w:val="004735DF"/>
    <w:rsid w:val="0047361D"/>
    <w:rsid w:val="004736DE"/>
    <w:rsid w:val="00473A56"/>
    <w:rsid w:val="00473AA4"/>
    <w:rsid w:val="00473ADE"/>
    <w:rsid w:val="00473B34"/>
    <w:rsid w:val="00473DB2"/>
    <w:rsid w:val="00474124"/>
    <w:rsid w:val="004741B8"/>
    <w:rsid w:val="0047441E"/>
    <w:rsid w:val="0047445B"/>
    <w:rsid w:val="004744E5"/>
    <w:rsid w:val="0047486B"/>
    <w:rsid w:val="004749B5"/>
    <w:rsid w:val="00474A36"/>
    <w:rsid w:val="00474A5F"/>
    <w:rsid w:val="00474C24"/>
    <w:rsid w:val="00474C49"/>
    <w:rsid w:val="00474CE7"/>
    <w:rsid w:val="00474CF7"/>
    <w:rsid w:val="00474D5C"/>
    <w:rsid w:val="00474F2B"/>
    <w:rsid w:val="00474F5C"/>
    <w:rsid w:val="004752BA"/>
    <w:rsid w:val="004753C2"/>
    <w:rsid w:val="004754D0"/>
    <w:rsid w:val="004755AB"/>
    <w:rsid w:val="0047572C"/>
    <w:rsid w:val="0047579B"/>
    <w:rsid w:val="004759B8"/>
    <w:rsid w:val="00475ADD"/>
    <w:rsid w:val="00475B3C"/>
    <w:rsid w:val="004761E4"/>
    <w:rsid w:val="0047641F"/>
    <w:rsid w:val="0047696F"/>
    <w:rsid w:val="00476A46"/>
    <w:rsid w:val="00476A51"/>
    <w:rsid w:val="00476A7C"/>
    <w:rsid w:val="00476AA4"/>
    <w:rsid w:val="00476BC4"/>
    <w:rsid w:val="00476D0C"/>
    <w:rsid w:val="00476E1A"/>
    <w:rsid w:val="00477102"/>
    <w:rsid w:val="00477268"/>
    <w:rsid w:val="004772B5"/>
    <w:rsid w:val="004773B9"/>
    <w:rsid w:val="00477417"/>
    <w:rsid w:val="00477591"/>
    <w:rsid w:val="00477651"/>
    <w:rsid w:val="00477B9E"/>
    <w:rsid w:val="00477BBB"/>
    <w:rsid w:val="00477E5C"/>
    <w:rsid w:val="004802DF"/>
    <w:rsid w:val="0048073F"/>
    <w:rsid w:val="004807FA"/>
    <w:rsid w:val="00480819"/>
    <w:rsid w:val="0048083F"/>
    <w:rsid w:val="004808F4"/>
    <w:rsid w:val="00480AD3"/>
    <w:rsid w:val="00480BFE"/>
    <w:rsid w:val="00480E5E"/>
    <w:rsid w:val="00480E8C"/>
    <w:rsid w:val="00480F02"/>
    <w:rsid w:val="00480FBB"/>
    <w:rsid w:val="00481007"/>
    <w:rsid w:val="00481055"/>
    <w:rsid w:val="00481253"/>
    <w:rsid w:val="004812E4"/>
    <w:rsid w:val="0048154D"/>
    <w:rsid w:val="00481574"/>
    <w:rsid w:val="004816E3"/>
    <w:rsid w:val="00481778"/>
    <w:rsid w:val="0048180E"/>
    <w:rsid w:val="0048195C"/>
    <w:rsid w:val="00481963"/>
    <w:rsid w:val="00481ADA"/>
    <w:rsid w:val="00481CBA"/>
    <w:rsid w:val="00482186"/>
    <w:rsid w:val="00482209"/>
    <w:rsid w:val="0048223C"/>
    <w:rsid w:val="00482578"/>
    <w:rsid w:val="00482A5D"/>
    <w:rsid w:val="00482C3A"/>
    <w:rsid w:val="00482E4E"/>
    <w:rsid w:val="004830A8"/>
    <w:rsid w:val="0048312A"/>
    <w:rsid w:val="0048324E"/>
    <w:rsid w:val="0048353C"/>
    <w:rsid w:val="0048363B"/>
    <w:rsid w:val="004837DA"/>
    <w:rsid w:val="0048398B"/>
    <w:rsid w:val="00483ABF"/>
    <w:rsid w:val="00483E31"/>
    <w:rsid w:val="00483E49"/>
    <w:rsid w:val="00483F4C"/>
    <w:rsid w:val="00484148"/>
    <w:rsid w:val="0048457E"/>
    <w:rsid w:val="004846A0"/>
    <w:rsid w:val="0048487E"/>
    <w:rsid w:val="004848B3"/>
    <w:rsid w:val="00484921"/>
    <w:rsid w:val="00484F2C"/>
    <w:rsid w:val="0048502A"/>
    <w:rsid w:val="004850EC"/>
    <w:rsid w:val="004852BD"/>
    <w:rsid w:val="00485419"/>
    <w:rsid w:val="0048541C"/>
    <w:rsid w:val="00485430"/>
    <w:rsid w:val="0048545C"/>
    <w:rsid w:val="00485740"/>
    <w:rsid w:val="00485B0D"/>
    <w:rsid w:val="00485BEA"/>
    <w:rsid w:val="00485D38"/>
    <w:rsid w:val="00485D61"/>
    <w:rsid w:val="00485DA4"/>
    <w:rsid w:val="00485F7F"/>
    <w:rsid w:val="00486231"/>
    <w:rsid w:val="00486366"/>
    <w:rsid w:val="00486437"/>
    <w:rsid w:val="00486F27"/>
    <w:rsid w:val="00486FB2"/>
    <w:rsid w:val="004874F5"/>
    <w:rsid w:val="00487651"/>
    <w:rsid w:val="004877C5"/>
    <w:rsid w:val="004877F2"/>
    <w:rsid w:val="00487A3E"/>
    <w:rsid w:val="00487B4D"/>
    <w:rsid w:val="00487CF6"/>
    <w:rsid w:val="00487E23"/>
    <w:rsid w:val="00487ECF"/>
    <w:rsid w:val="0049010E"/>
    <w:rsid w:val="00490273"/>
    <w:rsid w:val="00490312"/>
    <w:rsid w:val="0049031A"/>
    <w:rsid w:val="004905D9"/>
    <w:rsid w:val="00490652"/>
    <w:rsid w:val="00490808"/>
    <w:rsid w:val="00490B20"/>
    <w:rsid w:val="00490B31"/>
    <w:rsid w:val="00490F49"/>
    <w:rsid w:val="0049117A"/>
    <w:rsid w:val="00491560"/>
    <w:rsid w:val="004916A1"/>
    <w:rsid w:val="00491754"/>
    <w:rsid w:val="0049176F"/>
    <w:rsid w:val="0049199B"/>
    <w:rsid w:val="00491ABA"/>
    <w:rsid w:val="00491B5B"/>
    <w:rsid w:val="00491F4A"/>
    <w:rsid w:val="00492111"/>
    <w:rsid w:val="00492173"/>
    <w:rsid w:val="004922C4"/>
    <w:rsid w:val="0049252E"/>
    <w:rsid w:val="0049252F"/>
    <w:rsid w:val="004925A1"/>
    <w:rsid w:val="004925EB"/>
    <w:rsid w:val="004926DA"/>
    <w:rsid w:val="004926DB"/>
    <w:rsid w:val="00492781"/>
    <w:rsid w:val="004927E6"/>
    <w:rsid w:val="004929EE"/>
    <w:rsid w:val="00492D97"/>
    <w:rsid w:val="00492E2D"/>
    <w:rsid w:val="00493239"/>
    <w:rsid w:val="004932BA"/>
    <w:rsid w:val="004935FB"/>
    <w:rsid w:val="00493665"/>
    <w:rsid w:val="0049385C"/>
    <w:rsid w:val="00493D29"/>
    <w:rsid w:val="00493D51"/>
    <w:rsid w:val="00493F9D"/>
    <w:rsid w:val="00494445"/>
    <w:rsid w:val="00494547"/>
    <w:rsid w:val="004945AA"/>
    <w:rsid w:val="004945E2"/>
    <w:rsid w:val="00494B65"/>
    <w:rsid w:val="00494D67"/>
    <w:rsid w:val="0049508C"/>
    <w:rsid w:val="00495094"/>
    <w:rsid w:val="004950E6"/>
    <w:rsid w:val="00495130"/>
    <w:rsid w:val="00495202"/>
    <w:rsid w:val="00495674"/>
    <w:rsid w:val="004957B8"/>
    <w:rsid w:val="00495899"/>
    <w:rsid w:val="00495973"/>
    <w:rsid w:val="00495C4C"/>
    <w:rsid w:val="00495C56"/>
    <w:rsid w:val="00495C72"/>
    <w:rsid w:val="00495DA2"/>
    <w:rsid w:val="00495E43"/>
    <w:rsid w:val="00495F0C"/>
    <w:rsid w:val="004966B3"/>
    <w:rsid w:val="00496754"/>
    <w:rsid w:val="00496BA4"/>
    <w:rsid w:val="00496D97"/>
    <w:rsid w:val="00496E5E"/>
    <w:rsid w:val="00496F6F"/>
    <w:rsid w:val="004972EB"/>
    <w:rsid w:val="004973FA"/>
    <w:rsid w:val="00497942"/>
    <w:rsid w:val="00497B2F"/>
    <w:rsid w:val="00497E98"/>
    <w:rsid w:val="00497FBF"/>
    <w:rsid w:val="00497FE0"/>
    <w:rsid w:val="004A03E6"/>
    <w:rsid w:val="004A046A"/>
    <w:rsid w:val="004A0548"/>
    <w:rsid w:val="004A0624"/>
    <w:rsid w:val="004A093A"/>
    <w:rsid w:val="004A09C8"/>
    <w:rsid w:val="004A0A2E"/>
    <w:rsid w:val="004A0C78"/>
    <w:rsid w:val="004A0CDE"/>
    <w:rsid w:val="004A0D31"/>
    <w:rsid w:val="004A0DA4"/>
    <w:rsid w:val="004A0F4F"/>
    <w:rsid w:val="004A0F55"/>
    <w:rsid w:val="004A0F5A"/>
    <w:rsid w:val="004A13C3"/>
    <w:rsid w:val="004A1446"/>
    <w:rsid w:val="004A165C"/>
    <w:rsid w:val="004A16AE"/>
    <w:rsid w:val="004A1754"/>
    <w:rsid w:val="004A17C8"/>
    <w:rsid w:val="004A1AAE"/>
    <w:rsid w:val="004A1BCF"/>
    <w:rsid w:val="004A1D39"/>
    <w:rsid w:val="004A1DA9"/>
    <w:rsid w:val="004A1E43"/>
    <w:rsid w:val="004A20FC"/>
    <w:rsid w:val="004A21A8"/>
    <w:rsid w:val="004A2382"/>
    <w:rsid w:val="004A24F0"/>
    <w:rsid w:val="004A257C"/>
    <w:rsid w:val="004A26C5"/>
    <w:rsid w:val="004A26F2"/>
    <w:rsid w:val="004A2B11"/>
    <w:rsid w:val="004A2BC3"/>
    <w:rsid w:val="004A2DE1"/>
    <w:rsid w:val="004A2F28"/>
    <w:rsid w:val="004A385E"/>
    <w:rsid w:val="004A38F4"/>
    <w:rsid w:val="004A3B8F"/>
    <w:rsid w:val="004A3BF1"/>
    <w:rsid w:val="004A3DCC"/>
    <w:rsid w:val="004A3DE7"/>
    <w:rsid w:val="004A3F77"/>
    <w:rsid w:val="004A3FC4"/>
    <w:rsid w:val="004A40B3"/>
    <w:rsid w:val="004A40D6"/>
    <w:rsid w:val="004A412D"/>
    <w:rsid w:val="004A41A4"/>
    <w:rsid w:val="004A4480"/>
    <w:rsid w:val="004A46E3"/>
    <w:rsid w:val="004A4726"/>
    <w:rsid w:val="004A4823"/>
    <w:rsid w:val="004A48C3"/>
    <w:rsid w:val="004A4B62"/>
    <w:rsid w:val="004A4C62"/>
    <w:rsid w:val="004A4D77"/>
    <w:rsid w:val="004A4D86"/>
    <w:rsid w:val="004A4E8D"/>
    <w:rsid w:val="004A51D5"/>
    <w:rsid w:val="004A51D9"/>
    <w:rsid w:val="004A5877"/>
    <w:rsid w:val="004A5B77"/>
    <w:rsid w:val="004A5FA1"/>
    <w:rsid w:val="004A6407"/>
    <w:rsid w:val="004A64C8"/>
    <w:rsid w:val="004A6576"/>
    <w:rsid w:val="004A6CC8"/>
    <w:rsid w:val="004A6E0E"/>
    <w:rsid w:val="004A6E7E"/>
    <w:rsid w:val="004A6E9D"/>
    <w:rsid w:val="004A715E"/>
    <w:rsid w:val="004A720A"/>
    <w:rsid w:val="004A7305"/>
    <w:rsid w:val="004A731D"/>
    <w:rsid w:val="004A746B"/>
    <w:rsid w:val="004A755D"/>
    <w:rsid w:val="004A77D4"/>
    <w:rsid w:val="004A792E"/>
    <w:rsid w:val="004A7A95"/>
    <w:rsid w:val="004B0706"/>
    <w:rsid w:val="004B086A"/>
    <w:rsid w:val="004B0969"/>
    <w:rsid w:val="004B1038"/>
    <w:rsid w:val="004B1171"/>
    <w:rsid w:val="004B139D"/>
    <w:rsid w:val="004B149D"/>
    <w:rsid w:val="004B1568"/>
    <w:rsid w:val="004B1C20"/>
    <w:rsid w:val="004B2128"/>
    <w:rsid w:val="004B2154"/>
    <w:rsid w:val="004B2230"/>
    <w:rsid w:val="004B236A"/>
    <w:rsid w:val="004B27D0"/>
    <w:rsid w:val="004B27F2"/>
    <w:rsid w:val="004B2895"/>
    <w:rsid w:val="004B2B25"/>
    <w:rsid w:val="004B2CF7"/>
    <w:rsid w:val="004B2D1B"/>
    <w:rsid w:val="004B2E95"/>
    <w:rsid w:val="004B2ED7"/>
    <w:rsid w:val="004B3030"/>
    <w:rsid w:val="004B31BF"/>
    <w:rsid w:val="004B361B"/>
    <w:rsid w:val="004B3943"/>
    <w:rsid w:val="004B3D35"/>
    <w:rsid w:val="004B4266"/>
    <w:rsid w:val="004B43CA"/>
    <w:rsid w:val="004B4505"/>
    <w:rsid w:val="004B474E"/>
    <w:rsid w:val="004B478D"/>
    <w:rsid w:val="004B4A2C"/>
    <w:rsid w:val="004B4AAF"/>
    <w:rsid w:val="004B4BC7"/>
    <w:rsid w:val="004B4C30"/>
    <w:rsid w:val="004B4C89"/>
    <w:rsid w:val="004B55C9"/>
    <w:rsid w:val="004B586B"/>
    <w:rsid w:val="004B5A1F"/>
    <w:rsid w:val="004B5C58"/>
    <w:rsid w:val="004B5EDA"/>
    <w:rsid w:val="004B5EDC"/>
    <w:rsid w:val="004B606A"/>
    <w:rsid w:val="004B610F"/>
    <w:rsid w:val="004B6118"/>
    <w:rsid w:val="004B6466"/>
    <w:rsid w:val="004B64A9"/>
    <w:rsid w:val="004B64C1"/>
    <w:rsid w:val="004B65A2"/>
    <w:rsid w:val="004B6689"/>
    <w:rsid w:val="004B6AF3"/>
    <w:rsid w:val="004B6B5E"/>
    <w:rsid w:val="004B6D21"/>
    <w:rsid w:val="004B6E21"/>
    <w:rsid w:val="004B6FCC"/>
    <w:rsid w:val="004B71CB"/>
    <w:rsid w:val="004B7369"/>
    <w:rsid w:val="004B7638"/>
    <w:rsid w:val="004B7789"/>
    <w:rsid w:val="004B778E"/>
    <w:rsid w:val="004B7863"/>
    <w:rsid w:val="004B78A8"/>
    <w:rsid w:val="004B79F3"/>
    <w:rsid w:val="004B7B84"/>
    <w:rsid w:val="004B7DD0"/>
    <w:rsid w:val="004B7FF7"/>
    <w:rsid w:val="004C0217"/>
    <w:rsid w:val="004C03EE"/>
    <w:rsid w:val="004C0627"/>
    <w:rsid w:val="004C065B"/>
    <w:rsid w:val="004C076A"/>
    <w:rsid w:val="004C0A66"/>
    <w:rsid w:val="004C0E1E"/>
    <w:rsid w:val="004C0F52"/>
    <w:rsid w:val="004C1204"/>
    <w:rsid w:val="004C14D3"/>
    <w:rsid w:val="004C15A1"/>
    <w:rsid w:val="004C1A19"/>
    <w:rsid w:val="004C1B00"/>
    <w:rsid w:val="004C1B8E"/>
    <w:rsid w:val="004C2355"/>
    <w:rsid w:val="004C23F3"/>
    <w:rsid w:val="004C287D"/>
    <w:rsid w:val="004C2A1B"/>
    <w:rsid w:val="004C2A68"/>
    <w:rsid w:val="004C2BB5"/>
    <w:rsid w:val="004C2BB9"/>
    <w:rsid w:val="004C2CBC"/>
    <w:rsid w:val="004C2CD1"/>
    <w:rsid w:val="004C2CE0"/>
    <w:rsid w:val="004C2D50"/>
    <w:rsid w:val="004C3176"/>
    <w:rsid w:val="004C3196"/>
    <w:rsid w:val="004C3231"/>
    <w:rsid w:val="004C3251"/>
    <w:rsid w:val="004C325C"/>
    <w:rsid w:val="004C3331"/>
    <w:rsid w:val="004C3783"/>
    <w:rsid w:val="004C3C5B"/>
    <w:rsid w:val="004C3F74"/>
    <w:rsid w:val="004C4278"/>
    <w:rsid w:val="004C4326"/>
    <w:rsid w:val="004C4A7A"/>
    <w:rsid w:val="004C4AFC"/>
    <w:rsid w:val="004C4DB6"/>
    <w:rsid w:val="004C4F77"/>
    <w:rsid w:val="004C512A"/>
    <w:rsid w:val="004C51FC"/>
    <w:rsid w:val="004C57FB"/>
    <w:rsid w:val="004C58BE"/>
    <w:rsid w:val="004C58C1"/>
    <w:rsid w:val="004C5CB0"/>
    <w:rsid w:val="004C5CEE"/>
    <w:rsid w:val="004C5E3A"/>
    <w:rsid w:val="004C5F68"/>
    <w:rsid w:val="004C613F"/>
    <w:rsid w:val="004C61BE"/>
    <w:rsid w:val="004C6212"/>
    <w:rsid w:val="004C62E1"/>
    <w:rsid w:val="004C655A"/>
    <w:rsid w:val="004C67D1"/>
    <w:rsid w:val="004C6AAB"/>
    <w:rsid w:val="004C6AF5"/>
    <w:rsid w:val="004C6B81"/>
    <w:rsid w:val="004C6C8C"/>
    <w:rsid w:val="004C6F9C"/>
    <w:rsid w:val="004C72A4"/>
    <w:rsid w:val="004C75E5"/>
    <w:rsid w:val="004C7622"/>
    <w:rsid w:val="004C77D9"/>
    <w:rsid w:val="004C7CC8"/>
    <w:rsid w:val="004C7E7A"/>
    <w:rsid w:val="004D01F4"/>
    <w:rsid w:val="004D02B6"/>
    <w:rsid w:val="004D06D8"/>
    <w:rsid w:val="004D0928"/>
    <w:rsid w:val="004D0AE6"/>
    <w:rsid w:val="004D0D18"/>
    <w:rsid w:val="004D1066"/>
    <w:rsid w:val="004D10A7"/>
    <w:rsid w:val="004D118A"/>
    <w:rsid w:val="004D11C4"/>
    <w:rsid w:val="004D11E1"/>
    <w:rsid w:val="004D14F9"/>
    <w:rsid w:val="004D164A"/>
    <w:rsid w:val="004D1674"/>
    <w:rsid w:val="004D1788"/>
    <w:rsid w:val="004D19DD"/>
    <w:rsid w:val="004D1B37"/>
    <w:rsid w:val="004D1B64"/>
    <w:rsid w:val="004D1C99"/>
    <w:rsid w:val="004D1D33"/>
    <w:rsid w:val="004D1E25"/>
    <w:rsid w:val="004D1E37"/>
    <w:rsid w:val="004D1F7D"/>
    <w:rsid w:val="004D20EF"/>
    <w:rsid w:val="004D2198"/>
    <w:rsid w:val="004D23C5"/>
    <w:rsid w:val="004D25D7"/>
    <w:rsid w:val="004D27C7"/>
    <w:rsid w:val="004D2BAB"/>
    <w:rsid w:val="004D2C9F"/>
    <w:rsid w:val="004D2CF3"/>
    <w:rsid w:val="004D2D18"/>
    <w:rsid w:val="004D2E6B"/>
    <w:rsid w:val="004D2F6C"/>
    <w:rsid w:val="004D3003"/>
    <w:rsid w:val="004D3498"/>
    <w:rsid w:val="004D3612"/>
    <w:rsid w:val="004D3678"/>
    <w:rsid w:val="004D368B"/>
    <w:rsid w:val="004D374D"/>
    <w:rsid w:val="004D3ACF"/>
    <w:rsid w:val="004D3AFE"/>
    <w:rsid w:val="004D3C70"/>
    <w:rsid w:val="004D3E73"/>
    <w:rsid w:val="004D3EEC"/>
    <w:rsid w:val="004D3F36"/>
    <w:rsid w:val="004D41DF"/>
    <w:rsid w:val="004D443E"/>
    <w:rsid w:val="004D4783"/>
    <w:rsid w:val="004D48F8"/>
    <w:rsid w:val="004D49E6"/>
    <w:rsid w:val="004D49EE"/>
    <w:rsid w:val="004D4BF6"/>
    <w:rsid w:val="004D4DCB"/>
    <w:rsid w:val="004D4E77"/>
    <w:rsid w:val="004D4EC7"/>
    <w:rsid w:val="004D5414"/>
    <w:rsid w:val="004D55BC"/>
    <w:rsid w:val="004D56D2"/>
    <w:rsid w:val="004D57D7"/>
    <w:rsid w:val="004D5A08"/>
    <w:rsid w:val="004D5AD2"/>
    <w:rsid w:val="004D5E55"/>
    <w:rsid w:val="004D6207"/>
    <w:rsid w:val="004D6358"/>
    <w:rsid w:val="004D6567"/>
    <w:rsid w:val="004D6583"/>
    <w:rsid w:val="004D6701"/>
    <w:rsid w:val="004D6706"/>
    <w:rsid w:val="004D68CD"/>
    <w:rsid w:val="004D69F9"/>
    <w:rsid w:val="004D6A3F"/>
    <w:rsid w:val="004D6EBA"/>
    <w:rsid w:val="004D7023"/>
    <w:rsid w:val="004D71FE"/>
    <w:rsid w:val="004D7474"/>
    <w:rsid w:val="004D74D0"/>
    <w:rsid w:val="004D7DBE"/>
    <w:rsid w:val="004D7EFD"/>
    <w:rsid w:val="004D7F29"/>
    <w:rsid w:val="004D7FCE"/>
    <w:rsid w:val="004D7FE0"/>
    <w:rsid w:val="004E012D"/>
    <w:rsid w:val="004E01D4"/>
    <w:rsid w:val="004E0451"/>
    <w:rsid w:val="004E0567"/>
    <w:rsid w:val="004E070D"/>
    <w:rsid w:val="004E081E"/>
    <w:rsid w:val="004E094B"/>
    <w:rsid w:val="004E0A49"/>
    <w:rsid w:val="004E0BAA"/>
    <w:rsid w:val="004E0C5B"/>
    <w:rsid w:val="004E0DBE"/>
    <w:rsid w:val="004E10A2"/>
    <w:rsid w:val="004E124D"/>
    <w:rsid w:val="004E131B"/>
    <w:rsid w:val="004E15E0"/>
    <w:rsid w:val="004E16A2"/>
    <w:rsid w:val="004E1BA0"/>
    <w:rsid w:val="004E1BE0"/>
    <w:rsid w:val="004E1D33"/>
    <w:rsid w:val="004E28F5"/>
    <w:rsid w:val="004E2B51"/>
    <w:rsid w:val="004E2DA3"/>
    <w:rsid w:val="004E338F"/>
    <w:rsid w:val="004E34A9"/>
    <w:rsid w:val="004E3538"/>
    <w:rsid w:val="004E3574"/>
    <w:rsid w:val="004E3605"/>
    <w:rsid w:val="004E3926"/>
    <w:rsid w:val="004E39AF"/>
    <w:rsid w:val="004E3E84"/>
    <w:rsid w:val="004E40BA"/>
    <w:rsid w:val="004E42D9"/>
    <w:rsid w:val="004E437E"/>
    <w:rsid w:val="004E46BD"/>
    <w:rsid w:val="004E4955"/>
    <w:rsid w:val="004E4AB8"/>
    <w:rsid w:val="004E4AD2"/>
    <w:rsid w:val="004E4B94"/>
    <w:rsid w:val="004E4C89"/>
    <w:rsid w:val="004E4CA5"/>
    <w:rsid w:val="004E4D59"/>
    <w:rsid w:val="004E4EDC"/>
    <w:rsid w:val="004E4FFC"/>
    <w:rsid w:val="004E5395"/>
    <w:rsid w:val="004E55CE"/>
    <w:rsid w:val="004E5657"/>
    <w:rsid w:val="004E577A"/>
    <w:rsid w:val="004E57B7"/>
    <w:rsid w:val="004E57DC"/>
    <w:rsid w:val="004E596E"/>
    <w:rsid w:val="004E5AEB"/>
    <w:rsid w:val="004E5B98"/>
    <w:rsid w:val="004E5D51"/>
    <w:rsid w:val="004E5DD7"/>
    <w:rsid w:val="004E600C"/>
    <w:rsid w:val="004E603E"/>
    <w:rsid w:val="004E6172"/>
    <w:rsid w:val="004E6263"/>
    <w:rsid w:val="004E63BF"/>
    <w:rsid w:val="004E6433"/>
    <w:rsid w:val="004E64FE"/>
    <w:rsid w:val="004E6648"/>
    <w:rsid w:val="004E6798"/>
    <w:rsid w:val="004E67C5"/>
    <w:rsid w:val="004E680C"/>
    <w:rsid w:val="004E6846"/>
    <w:rsid w:val="004E6A52"/>
    <w:rsid w:val="004E6C27"/>
    <w:rsid w:val="004E6EE8"/>
    <w:rsid w:val="004E7204"/>
    <w:rsid w:val="004E7349"/>
    <w:rsid w:val="004E7430"/>
    <w:rsid w:val="004E7578"/>
    <w:rsid w:val="004E760D"/>
    <w:rsid w:val="004E76EA"/>
    <w:rsid w:val="004E7812"/>
    <w:rsid w:val="004E78FB"/>
    <w:rsid w:val="004E78FD"/>
    <w:rsid w:val="004E791A"/>
    <w:rsid w:val="004E7D02"/>
    <w:rsid w:val="004E7D2A"/>
    <w:rsid w:val="004E7D57"/>
    <w:rsid w:val="004E7FF6"/>
    <w:rsid w:val="004F00F8"/>
    <w:rsid w:val="004F01B5"/>
    <w:rsid w:val="004F02A4"/>
    <w:rsid w:val="004F05FE"/>
    <w:rsid w:val="004F0939"/>
    <w:rsid w:val="004F0B4B"/>
    <w:rsid w:val="004F0CAB"/>
    <w:rsid w:val="004F0E6F"/>
    <w:rsid w:val="004F1088"/>
    <w:rsid w:val="004F10A6"/>
    <w:rsid w:val="004F10D0"/>
    <w:rsid w:val="004F128D"/>
    <w:rsid w:val="004F155A"/>
    <w:rsid w:val="004F191C"/>
    <w:rsid w:val="004F19BB"/>
    <w:rsid w:val="004F1A69"/>
    <w:rsid w:val="004F1AB9"/>
    <w:rsid w:val="004F1AC9"/>
    <w:rsid w:val="004F1D32"/>
    <w:rsid w:val="004F1DF7"/>
    <w:rsid w:val="004F1FD8"/>
    <w:rsid w:val="004F2102"/>
    <w:rsid w:val="004F21AF"/>
    <w:rsid w:val="004F26C3"/>
    <w:rsid w:val="004F2957"/>
    <w:rsid w:val="004F2E7A"/>
    <w:rsid w:val="004F2F12"/>
    <w:rsid w:val="004F2FDD"/>
    <w:rsid w:val="004F3075"/>
    <w:rsid w:val="004F30E2"/>
    <w:rsid w:val="004F3168"/>
    <w:rsid w:val="004F369D"/>
    <w:rsid w:val="004F37B1"/>
    <w:rsid w:val="004F398A"/>
    <w:rsid w:val="004F3EC2"/>
    <w:rsid w:val="004F3F83"/>
    <w:rsid w:val="004F4018"/>
    <w:rsid w:val="004F44BC"/>
    <w:rsid w:val="004F4B45"/>
    <w:rsid w:val="004F4DED"/>
    <w:rsid w:val="004F4E47"/>
    <w:rsid w:val="004F4EB4"/>
    <w:rsid w:val="004F4F0B"/>
    <w:rsid w:val="004F4F97"/>
    <w:rsid w:val="004F50FD"/>
    <w:rsid w:val="004F5347"/>
    <w:rsid w:val="004F5456"/>
    <w:rsid w:val="004F55F3"/>
    <w:rsid w:val="004F56AC"/>
    <w:rsid w:val="004F5AA6"/>
    <w:rsid w:val="004F5B55"/>
    <w:rsid w:val="004F5D0B"/>
    <w:rsid w:val="004F5F70"/>
    <w:rsid w:val="004F5FBB"/>
    <w:rsid w:val="004F5FE1"/>
    <w:rsid w:val="004F6110"/>
    <w:rsid w:val="004F6291"/>
    <w:rsid w:val="004F64A3"/>
    <w:rsid w:val="004F65EF"/>
    <w:rsid w:val="004F6681"/>
    <w:rsid w:val="004F6A84"/>
    <w:rsid w:val="004F6B2E"/>
    <w:rsid w:val="004F6D22"/>
    <w:rsid w:val="004F6D85"/>
    <w:rsid w:val="004F6DB0"/>
    <w:rsid w:val="004F6E31"/>
    <w:rsid w:val="004F6F4B"/>
    <w:rsid w:val="004F70F9"/>
    <w:rsid w:val="004F712C"/>
    <w:rsid w:val="004F7703"/>
    <w:rsid w:val="004F7772"/>
    <w:rsid w:val="004F7821"/>
    <w:rsid w:val="004F7BC7"/>
    <w:rsid w:val="004F7BD5"/>
    <w:rsid w:val="004F7F20"/>
    <w:rsid w:val="00500120"/>
    <w:rsid w:val="00500303"/>
    <w:rsid w:val="00500783"/>
    <w:rsid w:val="005007AD"/>
    <w:rsid w:val="00500849"/>
    <w:rsid w:val="005008DF"/>
    <w:rsid w:val="00500CFC"/>
    <w:rsid w:val="00500D17"/>
    <w:rsid w:val="00500F80"/>
    <w:rsid w:val="005010C0"/>
    <w:rsid w:val="0050137B"/>
    <w:rsid w:val="005015F4"/>
    <w:rsid w:val="00501818"/>
    <w:rsid w:val="00501A52"/>
    <w:rsid w:val="00501BD6"/>
    <w:rsid w:val="00501D56"/>
    <w:rsid w:val="00501FCD"/>
    <w:rsid w:val="00502076"/>
    <w:rsid w:val="00502351"/>
    <w:rsid w:val="005025A7"/>
    <w:rsid w:val="0050260B"/>
    <w:rsid w:val="005026AE"/>
    <w:rsid w:val="00502A48"/>
    <w:rsid w:val="00502B6A"/>
    <w:rsid w:val="00502FCB"/>
    <w:rsid w:val="0050300E"/>
    <w:rsid w:val="00503145"/>
    <w:rsid w:val="0050329B"/>
    <w:rsid w:val="00503739"/>
    <w:rsid w:val="00503A0B"/>
    <w:rsid w:val="00503A31"/>
    <w:rsid w:val="00503B41"/>
    <w:rsid w:val="00503CA6"/>
    <w:rsid w:val="00504221"/>
    <w:rsid w:val="00504517"/>
    <w:rsid w:val="00504614"/>
    <w:rsid w:val="0050483F"/>
    <w:rsid w:val="005049E6"/>
    <w:rsid w:val="00504A27"/>
    <w:rsid w:val="00504B28"/>
    <w:rsid w:val="00504CBC"/>
    <w:rsid w:val="00504D7F"/>
    <w:rsid w:val="005050F0"/>
    <w:rsid w:val="005057C1"/>
    <w:rsid w:val="00505905"/>
    <w:rsid w:val="00505958"/>
    <w:rsid w:val="0050596D"/>
    <w:rsid w:val="0050599E"/>
    <w:rsid w:val="00505C43"/>
    <w:rsid w:val="00505ED1"/>
    <w:rsid w:val="00505ED7"/>
    <w:rsid w:val="00505F70"/>
    <w:rsid w:val="00505F99"/>
    <w:rsid w:val="0050601D"/>
    <w:rsid w:val="0050603F"/>
    <w:rsid w:val="0050611E"/>
    <w:rsid w:val="00506132"/>
    <w:rsid w:val="00506329"/>
    <w:rsid w:val="005063D5"/>
    <w:rsid w:val="0050652E"/>
    <w:rsid w:val="005065B5"/>
    <w:rsid w:val="0050663E"/>
    <w:rsid w:val="00506842"/>
    <w:rsid w:val="005069C7"/>
    <w:rsid w:val="00506D8B"/>
    <w:rsid w:val="00506DD5"/>
    <w:rsid w:val="005070E7"/>
    <w:rsid w:val="005074E3"/>
    <w:rsid w:val="0050792F"/>
    <w:rsid w:val="00507CF3"/>
    <w:rsid w:val="00507DDD"/>
    <w:rsid w:val="005102A7"/>
    <w:rsid w:val="00510524"/>
    <w:rsid w:val="005108EE"/>
    <w:rsid w:val="00510BCC"/>
    <w:rsid w:val="00510D44"/>
    <w:rsid w:val="00510FC9"/>
    <w:rsid w:val="005111D7"/>
    <w:rsid w:val="005111E0"/>
    <w:rsid w:val="00511358"/>
    <w:rsid w:val="00511691"/>
    <w:rsid w:val="00511822"/>
    <w:rsid w:val="00511A39"/>
    <w:rsid w:val="00511AEC"/>
    <w:rsid w:val="00511BAB"/>
    <w:rsid w:val="00511EB5"/>
    <w:rsid w:val="00511F9A"/>
    <w:rsid w:val="00512000"/>
    <w:rsid w:val="005121A2"/>
    <w:rsid w:val="005121CC"/>
    <w:rsid w:val="0051221B"/>
    <w:rsid w:val="00512344"/>
    <w:rsid w:val="005123BD"/>
    <w:rsid w:val="005123EF"/>
    <w:rsid w:val="00512734"/>
    <w:rsid w:val="005128EA"/>
    <w:rsid w:val="00512B4D"/>
    <w:rsid w:val="00512EC6"/>
    <w:rsid w:val="0051312C"/>
    <w:rsid w:val="005131CD"/>
    <w:rsid w:val="0051331E"/>
    <w:rsid w:val="005133B0"/>
    <w:rsid w:val="005134E6"/>
    <w:rsid w:val="005135DF"/>
    <w:rsid w:val="00513703"/>
    <w:rsid w:val="0051371B"/>
    <w:rsid w:val="00513796"/>
    <w:rsid w:val="0051395F"/>
    <w:rsid w:val="0051399B"/>
    <w:rsid w:val="005139B1"/>
    <w:rsid w:val="00513A2D"/>
    <w:rsid w:val="00513DBC"/>
    <w:rsid w:val="00513F80"/>
    <w:rsid w:val="0051400C"/>
    <w:rsid w:val="0051415F"/>
    <w:rsid w:val="00514408"/>
    <w:rsid w:val="005145D4"/>
    <w:rsid w:val="00514E57"/>
    <w:rsid w:val="005151E3"/>
    <w:rsid w:val="005152D1"/>
    <w:rsid w:val="005154B3"/>
    <w:rsid w:val="00515BD7"/>
    <w:rsid w:val="00515CF2"/>
    <w:rsid w:val="00515DB8"/>
    <w:rsid w:val="00515F53"/>
    <w:rsid w:val="00515F7F"/>
    <w:rsid w:val="00515FB0"/>
    <w:rsid w:val="005162FB"/>
    <w:rsid w:val="00516311"/>
    <w:rsid w:val="00516410"/>
    <w:rsid w:val="00516451"/>
    <w:rsid w:val="00516579"/>
    <w:rsid w:val="00516793"/>
    <w:rsid w:val="0051687C"/>
    <w:rsid w:val="005168DF"/>
    <w:rsid w:val="00516BD5"/>
    <w:rsid w:val="00516C19"/>
    <w:rsid w:val="00516D52"/>
    <w:rsid w:val="00516DE1"/>
    <w:rsid w:val="00516E68"/>
    <w:rsid w:val="005170A2"/>
    <w:rsid w:val="00517392"/>
    <w:rsid w:val="005176FF"/>
    <w:rsid w:val="00517827"/>
    <w:rsid w:val="00517A0F"/>
    <w:rsid w:val="00517C1F"/>
    <w:rsid w:val="00517FBF"/>
    <w:rsid w:val="00520072"/>
    <w:rsid w:val="0052016E"/>
    <w:rsid w:val="005202E6"/>
    <w:rsid w:val="005205F0"/>
    <w:rsid w:val="005207A7"/>
    <w:rsid w:val="00520893"/>
    <w:rsid w:val="00520919"/>
    <w:rsid w:val="00520961"/>
    <w:rsid w:val="00520BDA"/>
    <w:rsid w:val="00520E74"/>
    <w:rsid w:val="005210CC"/>
    <w:rsid w:val="005215F6"/>
    <w:rsid w:val="005216EC"/>
    <w:rsid w:val="005217CD"/>
    <w:rsid w:val="005219BD"/>
    <w:rsid w:val="00521A46"/>
    <w:rsid w:val="00521B2C"/>
    <w:rsid w:val="00521F2D"/>
    <w:rsid w:val="00521FFF"/>
    <w:rsid w:val="0052235E"/>
    <w:rsid w:val="00522632"/>
    <w:rsid w:val="00522828"/>
    <w:rsid w:val="00522C72"/>
    <w:rsid w:val="00522CC8"/>
    <w:rsid w:val="00522D4B"/>
    <w:rsid w:val="00522E48"/>
    <w:rsid w:val="00522E9F"/>
    <w:rsid w:val="00523404"/>
    <w:rsid w:val="00523488"/>
    <w:rsid w:val="005234E7"/>
    <w:rsid w:val="00523646"/>
    <w:rsid w:val="00523649"/>
    <w:rsid w:val="0052371A"/>
    <w:rsid w:val="005237EB"/>
    <w:rsid w:val="00523812"/>
    <w:rsid w:val="00523A96"/>
    <w:rsid w:val="00523E50"/>
    <w:rsid w:val="00523ED2"/>
    <w:rsid w:val="0052409C"/>
    <w:rsid w:val="00524125"/>
    <w:rsid w:val="00524143"/>
    <w:rsid w:val="00524392"/>
    <w:rsid w:val="005243D2"/>
    <w:rsid w:val="005244D4"/>
    <w:rsid w:val="005248B5"/>
    <w:rsid w:val="00524A58"/>
    <w:rsid w:val="00524BB4"/>
    <w:rsid w:val="00524BD9"/>
    <w:rsid w:val="00524C64"/>
    <w:rsid w:val="00525321"/>
    <w:rsid w:val="005253A2"/>
    <w:rsid w:val="005254E0"/>
    <w:rsid w:val="00525686"/>
    <w:rsid w:val="00525896"/>
    <w:rsid w:val="00525C28"/>
    <w:rsid w:val="00525DCC"/>
    <w:rsid w:val="00525E22"/>
    <w:rsid w:val="00525E8B"/>
    <w:rsid w:val="00526450"/>
    <w:rsid w:val="005264C1"/>
    <w:rsid w:val="00526A92"/>
    <w:rsid w:val="00526BF6"/>
    <w:rsid w:val="00526FAD"/>
    <w:rsid w:val="005270B8"/>
    <w:rsid w:val="005271A1"/>
    <w:rsid w:val="0052729F"/>
    <w:rsid w:val="0052781F"/>
    <w:rsid w:val="00527D2E"/>
    <w:rsid w:val="00527D49"/>
    <w:rsid w:val="00527EE0"/>
    <w:rsid w:val="00530133"/>
    <w:rsid w:val="00530188"/>
    <w:rsid w:val="00530291"/>
    <w:rsid w:val="0053058B"/>
    <w:rsid w:val="00530727"/>
    <w:rsid w:val="005307E5"/>
    <w:rsid w:val="0053085A"/>
    <w:rsid w:val="00530B49"/>
    <w:rsid w:val="00530CA6"/>
    <w:rsid w:val="00530CDF"/>
    <w:rsid w:val="00530E0B"/>
    <w:rsid w:val="00530E78"/>
    <w:rsid w:val="0053125B"/>
    <w:rsid w:val="00531495"/>
    <w:rsid w:val="0053164F"/>
    <w:rsid w:val="005316DF"/>
    <w:rsid w:val="0053193B"/>
    <w:rsid w:val="00531AA0"/>
    <w:rsid w:val="00531ACF"/>
    <w:rsid w:val="00531BE1"/>
    <w:rsid w:val="00531E8A"/>
    <w:rsid w:val="00531EFA"/>
    <w:rsid w:val="00532060"/>
    <w:rsid w:val="00532117"/>
    <w:rsid w:val="00532224"/>
    <w:rsid w:val="0053267C"/>
    <w:rsid w:val="005327FE"/>
    <w:rsid w:val="00532814"/>
    <w:rsid w:val="0053287B"/>
    <w:rsid w:val="0053292D"/>
    <w:rsid w:val="00532A5B"/>
    <w:rsid w:val="00532A5C"/>
    <w:rsid w:val="00532EFC"/>
    <w:rsid w:val="00532FA0"/>
    <w:rsid w:val="005331BC"/>
    <w:rsid w:val="005334B2"/>
    <w:rsid w:val="00533518"/>
    <w:rsid w:val="005335B9"/>
    <w:rsid w:val="005335CD"/>
    <w:rsid w:val="005336D9"/>
    <w:rsid w:val="0053372C"/>
    <w:rsid w:val="00533733"/>
    <w:rsid w:val="005338A6"/>
    <w:rsid w:val="005339EA"/>
    <w:rsid w:val="00533E6C"/>
    <w:rsid w:val="0053407B"/>
    <w:rsid w:val="00534277"/>
    <w:rsid w:val="005342D6"/>
    <w:rsid w:val="005345CF"/>
    <w:rsid w:val="005347D0"/>
    <w:rsid w:val="00534B58"/>
    <w:rsid w:val="00534FF8"/>
    <w:rsid w:val="005350C3"/>
    <w:rsid w:val="00535338"/>
    <w:rsid w:val="005356E7"/>
    <w:rsid w:val="00535AB7"/>
    <w:rsid w:val="00535AFD"/>
    <w:rsid w:val="00535BE9"/>
    <w:rsid w:val="00535E58"/>
    <w:rsid w:val="00536418"/>
    <w:rsid w:val="00536537"/>
    <w:rsid w:val="0053656C"/>
    <w:rsid w:val="0053670E"/>
    <w:rsid w:val="005369F1"/>
    <w:rsid w:val="00536A5E"/>
    <w:rsid w:val="00536B3A"/>
    <w:rsid w:val="00536BA7"/>
    <w:rsid w:val="00536C9F"/>
    <w:rsid w:val="00536DE0"/>
    <w:rsid w:val="00536E0F"/>
    <w:rsid w:val="00536E33"/>
    <w:rsid w:val="00536E91"/>
    <w:rsid w:val="005371ED"/>
    <w:rsid w:val="00537258"/>
    <w:rsid w:val="0053726E"/>
    <w:rsid w:val="00537270"/>
    <w:rsid w:val="005377E0"/>
    <w:rsid w:val="00537961"/>
    <w:rsid w:val="0053797D"/>
    <w:rsid w:val="00537990"/>
    <w:rsid w:val="00537997"/>
    <w:rsid w:val="00537FF9"/>
    <w:rsid w:val="0054050C"/>
    <w:rsid w:val="005405E9"/>
    <w:rsid w:val="00540765"/>
    <w:rsid w:val="005407F1"/>
    <w:rsid w:val="005409E3"/>
    <w:rsid w:val="00540E17"/>
    <w:rsid w:val="00541177"/>
    <w:rsid w:val="00541374"/>
    <w:rsid w:val="00541441"/>
    <w:rsid w:val="005416E7"/>
    <w:rsid w:val="005417EA"/>
    <w:rsid w:val="00541E40"/>
    <w:rsid w:val="00542118"/>
    <w:rsid w:val="0054245F"/>
    <w:rsid w:val="0054247E"/>
    <w:rsid w:val="005424BA"/>
    <w:rsid w:val="00542827"/>
    <w:rsid w:val="00542B4D"/>
    <w:rsid w:val="00542C03"/>
    <w:rsid w:val="00542FD5"/>
    <w:rsid w:val="00543005"/>
    <w:rsid w:val="005432AD"/>
    <w:rsid w:val="005432F3"/>
    <w:rsid w:val="00543364"/>
    <w:rsid w:val="0054361B"/>
    <w:rsid w:val="005438CE"/>
    <w:rsid w:val="00543A90"/>
    <w:rsid w:val="00543ABA"/>
    <w:rsid w:val="00543D82"/>
    <w:rsid w:val="00543DB1"/>
    <w:rsid w:val="00543E3A"/>
    <w:rsid w:val="00543FA7"/>
    <w:rsid w:val="005442CD"/>
    <w:rsid w:val="00544359"/>
    <w:rsid w:val="005444F0"/>
    <w:rsid w:val="00544687"/>
    <w:rsid w:val="005446A2"/>
    <w:rsid w:val="0054483F"/>
    <w:rsid w:val="0054490E"/>
    <w:rsid w:val="00544AC6"/>
    <w:rsid w:val="00544B15"/>
    <w:rsid w:val="00544BF6"/>
    <w:rsid w:val="00544C22"/>
    <w:rsid w:val="00544CB9"/>
    <w:rsid w:val="00544D6D"/>
    <w:rsid w:val="00544FB0"/>
    <w:rsid w:val="00545446"/>
    <w:rsid w:val="00545617"/>
    <w:rsid w:val="0054567F"/>
    <w:rsid w:val="0054597F"/>
    <w:rsid w:val="00545B24"/>
    <w:rsid w:val="00545EB8"/>
    <w:rsid w:val="00545F78"/>
    <w:rsid w:val="0054612A"/>
    <w:rsid w:val="0054665F"/>
    <w:rsid w:val="00546916"/>
    <w:rsid w:val="00546919"/>
    <w:rsid w:val="005469A9"/>
    <w:rsid w:val="00546B30"/>
    <w:rsid w:val="00546BD4"/>
    <w:rsid w:val="00546D7F"/>
    <w:rsid w:val="00546F37"/>
    <w:rsid w:val="00546FD8"/>
    <w:rsid w:val="0054710C"/>
    <w:rsid w:val="0054743F"/>
    <w:rsid w:val="005477B7"/>
    <w:rsid w:val="0054787C"/>
    <w:rsid w:val="00547948"/>
    <w:rsid w:val="00547DB5"/>
    <w:rsid w:val="00547DCD"/>
    <w:rsid w:val="005500C8"/>
    <w:rsid w:val="005501FC"/>
    <w:rsid w:val="0055034D"/>
    <w:rsid w:val="005504A0"/>
    <w:rsid w:val="00550C4E"/>
    <w:rsid w:val="00550E15"/>
    <w:rsid w:val="00550F1D"/>
    <w:rsid w:val="00551031"/>
    <w:rsid w:val="005511A2"/>
    <w:rsid w:val="0055138F"/>
    <w:rsid w:val="0055174A"/>
    <w:rsid w:val="00551804"/>
    <w:rsid w:val="005519F3"/>
    <w:rsid w:val="00551C42"/>
    <w:rsid w:val="00551E45"/>
    <w:rsid w:val="00551F92"/>
    <w:rsid w:val="00551FBF"/>
    <w:rsid w:val="0055248F"/>
    <w:rsid w:val="00552572"/>
    <w:rsid w:val="00552A9A"/>
    <w:rsid w:val="00552B48"/>
    <w:rsid w:val="00552C52"/>
    <w:rsid w:val="00552C6B"/>
    <w:rsid w:val="00552DB0"/>
    <w:rsid w:val="00552DEE"/>
    <w:rsid w:val="00552F14"/>
    <w:rsid w:val="005530C8"/>
    <w:rsid w:val="00553148"/>
    <w:rsid w:val="00553360"/>
    <w:rsid w:val="0055361C"/>
    <w:rsid w:val="0055375F"/>
    <w:rsid w:val="00553927"/>
    <w:rsid w:val="005539BF"/>
    <w:rsid w:val="00553AF0"/>
    <w:rsid w:val="00553EF7"/>
    <w:rsid w:val="00553F11"/>
    <w:rsid w:val="0055414B"/>
    <w:rsid w:val="005542DD"/>
    <w:rsid w:val="0055431F"/>
    <w:rsid w:val="005544DA"/>
    <w:rsid w:val="005544EE"/>
    <w:rsid w:val="005544FD"/>
    <w:rsid w:val="00554518"/>
    <w:rsid w:val="005545D8"/>
    <w:rsid w:val="00554A5D"/>
    <w:rsid w:val="00554AB1"/>
    <w:rsid w:val="00554B0F"/>
    <w:rsid w:val="00554BDC"/>
    <w:rsid w:val="00554EAD"/>
    <w:rsid w:val="00554EFA"/>
    <w:rsid w:val="00554FB0"/>
    <w:rsid w:val="0055503C"/>
    <w:rsid w:val="00555074"/>
    <w:rsid w:val="00555238"/>
    <w:rsid w:val="00555496"/>
    <w:rsid w:val="005554C7"/>
    <w:rsid w:val="005554FD"/>
    <w:rsid w:val="00555BDE"/>
    <w:rsid w:val="00555F70"/>
    <w:rsid w:val="00555FEE"/>
    <w:rsid w:val="00556212"/>
    <w:rsid w:val="00556238"/>
    <w:rsid w:val="00556910"/>
    <w:rsid w:val="00556A8C"/>
    <w:rsid w:val="00556BCC"/>
    <w:rsid w:val="00556C3C"/>
    <w:rsid w:val="00557173"/>
    <w:rsid w:val="00557186"/>
    <w:rsid w:val="0055722C"/>
    <w:rsid w:val="0055741B"/>
    <w:rsid w:val="00557657"/>
    <w:rsid w:val="0055765B"/>
    <w:rsid w:val="005577D6"/>
    <w:rsid w:val="005579CF"/>
    <w:rsid w:val="00557C5F"/>
    <w:rsid w:val="00557D7D"/>
    <w:rsid w:val="00557D99"/>
    <w:rsid w:val="005603F8"/>
    <w:rsid w:val="00560445"/>
    <w:rsid w:val="00560481"/>
    <w:rsid w:val="005605C4"/>
    <w:rsid w:val="0056095A"/>
    <w:rsid w:val="00560BAC"/>
    <w:rsid w:val="00560DCC"/>
    <w:rsid w:val="005611FE"/>
    <w:rsid w:val="0056167F"/>
    <w:rsid w:val="00561792"/>
    <w:rsid w:val="005617C4"/>
    <w:rsid w:val="00561BEB"/>
    <w:rsid w:val="00561CB3"/>
    <w:rsid w:val="00561D4C"/>
    <w:rsid w:val="00561FE7"/>
    <w:rsid w:val="0056200A"/>
    <w:rsid w:val="005621F4"/>
    <w:rsid w:val="0056235E"/>
    <w:rsid w:val="00562390"/>
    <w:rsid w:val="0056259C"/>
    <w:rsid w:val="00562AE3"/>
    <w:rsid w:val="00562C24"/>
    <w:rsid w:val="00562C5B"/>
    <w:rsid w:val="00562DF6"/>
    <w:rsid w:val="00562F01"/>
    <w:rsid w:val="00562FF1"/>
    <w:rsid w:val="00562FFA"/>
    <w:rsid w:val="00563073"/>
    <w:rsid w:val="005632A1"/>
    <w:rsid w:val="00563325"/>
    <w:rsid w:val="005633A7"/>
    <w:rsid w:val="0056380C"/>
    <w:rsid w:val="00563C15"/>
    <w:rsid w:val="0056428A"/>
    <w:rsid w:val="005643E4"/>
    <w:rsid w:val="00564526"/>
    <w:rsid w:val="0056468C"/>
    <w:rsid w:val="00564731"/>
    <w:rsid w:val="00564B79"/>
    <w:rsid w:val="00564C11"/>
    <w:rsid w:val="00564D86"/>
    <w:rsid w:val="00564E60"/>
    <w:rsid w:val="00564F3E"/>
    <w:rsid w:val="005652A5"/>
    <w:rsid w:val="00565583"/>
    <w:rsid w:val="00565627"/>
    <w:rsid w:val="00565711"/>
    <w:rsid w:val="0056586B"/>
    <w:rsid w:val="00565A8C"/>
    <w:rsid w:val="00565B86"/>
    <w:rsid w:val="00565C52"/>
    <w:rsid w:val="00565DC8"/>
    <w:rsid w:val="00565F32"/>
    <w:rsid w:val="00566203"/>
    <w:rsid w:val="00566522"/>
    <w:rsid w:val="00566681"/>
    <w:rsid w:val="00566806"/>
    <w:rsid w:val="005669D0"/>
    <w:rsid w:val="00566D91"/>
    <w:rsid w:val="00567174"/>
    <w:rsid w:val="0056734B"/>
    <w:rsid w:val="005673A9"/>
    <w:rsid w:val="0056751C"/>
    <w:rsid w:val="005675FB"/>
    <w:rsid w:val="00567936"/>
    <w:rsid w:val="005679AB"/>
    <w:rsid w:val="00567BDF"/>
    <w:rsid w:val="00567CCD"/>
    <w:rsid w:val="00567FC3"/>
    <w:rsid w:val="005701B0"/>
    <w:rsid w:val="00570385"/>
    <w:rsid w:val="00570A32"/>
    <w:rsid w:val="00570AD6"/>
    <w:rsid w:val="00570BE9"/>
    <w:rsid w:val="005710D0"/>
    <w:rsid w:val="005711DA"/>
    <w:rsid w:val="00571304"/>
    <w:rsid w:val="00571331"/>
    <w:rsid w:val="00571674"/>
    <w:rsid w:val="005716ED"/>
    <w:rsid w:val="00571881"/>
    <w:rsid w:val="00571D22"/>
    <w:rsid w:val="00571D25"/>
    <w:rsid w:val="00572073"/>
    <w:rsid w:val="005720F8"/>
    <w:rsid w:val="00572430"/>
    <w:rsid w:val="00572732"/>
    <w:rsid w:val="0057277A"/>
    <w:rsid w:val="0057284B"/>
    <w:rsid w:val="005732A9"/>
    <w:rsid w:val="00573334"/>
    <w:rsid w:val="005734B7"/>
    <w:rsid w:val="0057375E"/>
    <w:rsid w:val="00573B71"/>
    <w:rsid w:val="00573BEF"/>
    <w:rsid w:val="00573C10"/>
    <w:rsid w:val="00573C11"/>
    <w:rsid w:val="0057433B"/>
    <w:rsid w:val="00574406"/>
    <w:rsid w:val="00574558"/>
    <w:rsid w:val="00574604"/>
    <w:rsid w:val="00574670"/>
    <w:rsid w:val="005746F7"/>
    <w:rsid w:val="00574811"/>
    <w:rsid w:val="005748B6"/>
    <w:rsid w:val="005749FC"/>
    <w:rsid w:val="00574A34"/>
    <w:rsid w:val="00574AA2"/>
    <w:rsid w:val="00574D15"/>
    <w:rsid w:val="00574DBB"/>
    <w:rsid w:val="00574EDB"/>
    <w:rsid w:val="00574FB9"/>
    <w:rsid w:val="00575231"/>
    <w:rsid w:val="005753A8"/>
    <w:rsid w:val="005754BE"/>
    <w:rsid w:val="0057552B"/>
    <w:rsid w:val="005756BE"/>
    <w:rsid w:val="005758D6"/>
    <w:rsid w:val="00575BC2"/>
    <w:rsid w:val="00575D8C"/>
    <w:rsid w:val="00575E11"/>
    <w:rsid w:val="00575F5E"/>
    <w:rsid w:val="00576133"/>
    <w:rsid w:val="00576163"/>
    <w:rsid w:val="00576416"/>
    <w:rsid w:val="00576469"/>
    <w:rsid w:val="005766A6"/>
    <w:rsid w:val="005768D2"/>
    <w:rsid w:val="005768DF"/>
    <w:rsid w:val="0057692B"/>
    <w:rsid w:val="0057699B"/>
    <w:rsid w:val="00576E15"/>
    <w:rsid w:val="0057711E"/>
    <w:rsid w:val="00577216"/>
    <w:rsid w:val="0057735D"/>
    <w:rsid w:val="00577814"/>
    <w:rsid w:val="00577A2C"/>
    <w:rsid w:val="00577AEB"/>
    <w:rsid w:val="00577B2E"/>
    <w:rsid w:val="00577C41"/>
    <w:rsid w:val="00577CE7"/>
    <w:rsid w:val="00577D55"/>
    <w:rsid w:val="00580257"/>
    <w:rsid w:val="005802D7"/>
    <w:rsid w:val="005803BD"/>
    <w:rsid w:val="0058047A"/>
    <w:rsid w:val="00580600"/>
    <w:rsid w:val="0058067E"/>
    <w:rsid w:val="00580687"/>
    <w:rsid w:val="005806A3"/>
    <w:rsid w:val="0058075D"/>
    <w:rsid w:val="005808C8"/>
    <w:rsid w:val="00580DA4"/>
    <w:rsid w:val="00580E27"/>
    <w:rsid w:val="00580F04"/>
    <w:rsid w:val="00581412"/>
    <w:rsid w:val="0058155D"/>
    <w:rsid w:val="00581617"/>
    <w:rsid w:val="00581699"/>
    <w:rsid w:val="005816DE"/>
    <w:rsid w:val="0058175D"/>
    <w:rsid w:val="005817E4"/>
    <w:rsid w:val="005819C1"/>
    <w:rsid w:val="00581ACC"/>
    <w:rsid w:val="00581EAF"/>
    <w:rsid w:val="00582166"/>
    <w:rsid w:val="0058241B"/>
    <w:rsid w:val="005825C8"/>
    <w:rsid w:val="005827E0"/>
    <w:rsid w:val="00582989"/>
    <w:rsid w:val="00582A24"/>
    <w:rsid w:val="00582C41"/>
    <w:rsid w:val="00582D47"/>
    <w:rsid w:val="00582FCB"/>
    <w:rsid w:val="00582FE0"/>
    <w:rsid w:val="0058305E"/>
    <w:rsid w:val="005830F3"/>
    <w:rsid w:val="005831F1"/>
    <w:rsid w:val="005833BB"/>
    <w:rsid w:val="0058342B"/>
    <w:rsid w:val="0058343D"/>
    <w:rsid w:val="005836D5"/>
    <w:rsid w:val="00583749"/>
    <w:rsid w:val="0058381C"/>
    <w:rsid w:val="0058385F"/>
    <w:rsid w:val="0058389D"/>
    <w:rsid w:val="00583B4D"/>
    <w:rsid w:val="00583BA5"/>
    <w:rsid w:val="00583FCA"/>
    <w:rsid w:val="0058401E"/>
    <w:rsid w:val="00584022"/>
    <w:rsid w:val="00584076"/>
    <w:rsid w:val="005841D3"/>
    <w:rsid w:val="00584266"/>
    <w:rsid w:val="005843CB"/>
    <w:rsid w:val="0058448A"/>
    <w:rsid w:val="0058468B"/>
    <w:rsid w:val="005846CC"/>
    <w:rsid w:val="005847AA"/>
    <w:rsid w:val="00584C7D"/>
    <w:rsid w:val="005854B7"/>
    <w:rsid w:val="00585513"/>
    <w:rsid w:val="00585519"/>
    <w:rsid w:val="00585555"/>
    <w:rsid w:val="005856F7"/>
    <w:rsid w:val="00585847"/>
    <w:rsid w:val="005858AA"/>
    <w:rsid w:val="00585B08"/>
    <w:rsid w:val="00585CA7"/>
    <w:rsid w:val="00585FF1"/>
    <w:rsid w:val="00586023"/>
    <w:rsid w:val="005860B2"/>
    <w:rsid w:val="0058637E"/>
    <w:rsid w:val="005864F2"/>
    <w:rsid w:val="0058692D"/>
    <w:rsid w:val="005869CC"/>
    <w:rsid w:val="00586C5B"/>
    <w:rsid w:val="00586D15"/>
    <w:rsid w:val="00586ED6"/>
    <w:rsid w:val="0058715C"/>
    <w:rsid w:val="0058722D"/>
    <w:rsid w:val="00587395"/>
    <w:rsid w:val="00587489"/>
    <w:rsid w:val="005874F8"/>
    <w:rsid w:val="0058777C"/>
    <w:rsid w:val="0058781A"/>
    <w:rsid w:val="005878F9"/>
    <w:rsid w:val="00587A4B"/>
    <w:rsid w:val="00587A6C"/>
    <w:rsid w:val="00587B43"/>
    <w:rsid w:val="00587C2D"/>
    <w:rsid w:val="00590120"/>
    <w:rsid w:val="0059058C"/>
    <w:rsid w:val="00590600"/>
    <w:rsid w:val="0059063B"/>
    <w:rsid w:val="0059079F"/>
    <w:rsid w:val="005907E3"/>
    <w:rsid w:val="00590925"/>
    <w:rsid w:val="005909FC"/>
    <w:rsid w:val="00590AEF"/>
    <w:rsid w:val="00590B23"/>
    <w:rsid w:val="00590C87"/>
    <w:rsid w:val="00590E4F"/>
    <w:rsid w:val="00591008"/>
    <w:rsid w:val="00591168"/>
    <w:rsid w:val="0059116E"/>
    <w:rsid w:val="00591338"/>
    <w:rsid w:val="00591398"/>
    <w:rsid w:val="005915DE"/>
    <w:rsid w:val="005915FA"/>
    <w:rsid w:val="00591CAD"/>
    <w:rsid w:val="00591D7A"/>
    <w:rsid w:val="00591DF1"/>
    <w:rsid w:val="00592062"/>
    <w:rsid w:val="00592163"/>
    <w:rsid w:val="005923DB"/>
    <w:rsid w:val="00592597"/>
    <w:rsid w:val="005925F8"/>
    <w:rsid w:val="005926AE"/>
    <w:rsid w:val="00592742"/>
    <w:rsid w:val="00592B76"/>
    <w:rsid w:val="00592CAB"/>
    <w:rsid w:val="005931F9"/>
    <w:rsid w:val="005936C3"/>
    <w:rsid w:val="00593761"/>
    <w:rsid w:val="0059378F"/>
    <w:rsid w:val="0059384E"/>
    <w:rsid w:val="00593AD9"/>
    <w:rsid w:val="00593E44"/>
    <w:rsid w:val="00593FC3"/>
    <w:rsid w:val="0059402C"/>
    <w:rsid w:val="005941AE"/>
    <w:rsid w:val="0059424C"/>
    <w:rsid w:val="00594399"/>
    <w:rsid w:val="00594473"/>
    <w:rsid w:val="0059457B"/>
    <w:rsid w:val="0059482F"/>
    <w:rsid w:val="005949E4"/>
    <w:rsid w:val="00594AF9"/>
    <w:rsid w:val="00594B78"/>
    <w:rsid w:val="00594BCD"/>
    <w:rsid w:val="00594C16"/>
    <w:rsid w:val="00594D79"/>
    <w:rsid w:val="005955AC"/>
    <w:rsid w:val="005957D6"/>
    <w:rsid w:val="00595A3B"/>
    <w:rsid w:val="00595BEB"/>
    <w:rsid w:val="00595DF8"/>
    <w:rsid w:val="00595F1B"/>
    <w:rsid w:val="00596184"/>
    <w:rsid w:val="00596637"/>
    <w:rsid w:val="005966D1"/>
    <w:rsid w:val="00596B61"/>
    <w:rsid w:val="00596B9B"/>
    <w:rsid w:val="00596F15"/>
    <w:rsid w:val="00596F51"/>
    <w:rsid w:val="00597088"/>
    <w:rsid w:val="005970C5"/>
    <w:rsid w:val="005972D7"/>
    <w:rsid w:val="005973D9"/>
    <w:rsid w:val="00597810"/>
    <w:rsid w:val="00597BEA"/>
    <w:rsid w:val="00597C83"/>
    <w:rsid w:val="00597E22"/>
    <w:rsid w:val="005A0054"/>
    <w:rsid w:val="005A0267"/>
    <w:rsid w:val="005A054F"/>
    <w:rsid w:val="005A0612"/>
    <w:rsid w:val="005A061D"/>
    <w:rsid w:val="005A0EB5"/>
    <w:rsid w:val="005A1073"/>
    <w:rsid w:val="005A12F9"/>
    <w:rsid w:val="005A13B7"/>
    <w:rsid w:val="005A1500"/>
    <w:rsid w:val="005A16D8"/>
    <w:rsid w:val="005A1D24"/>
    <w:rsid w:val="005A1D36"/>
    <w:rsid w:val="005A1D49"/>
    <w:rsid w:val="005A1D91"/>
    <w:rsid w:val="005A235B"/>
    <w:rsid w:val="005A242C"/>
    <w:rsid w:val="005A26B7"/>
    <w:rsid w:val="005A27E9"/>
    <w:rsid w:val="005A2901"/>
    <w:rsid w:val="005A291E"/>
    <w:rsid w:val="005A2E85"/>
    <w:rsid w:val="005A2E96"/>
    <w:rsid w:val="005A2EAF"/>
    <w:rsid w:val="005A2FED"/>
    <w:rsid w:val="005A31C3"/>
    <w:rsid w:val="005A3369"/>
    <w:rsid w:val="005A354A"/>
    <w:rsid w:val="005A365E"/>
    <w:rsid w:val="005A370F"/>
    <w:rsid w:val="005A3768"/>
    <w:rsid w:val="005A390F"/>
    <w:rsid w:val="005A393E"/>
    <w:rsid w:val="005A39AB"/>
    <w:rsid w:val="005A3B2A"/>
    <w:rsid w:val="005A3B9B"/>
    <w:rsid w:val="005A3D4D"/>
    <w:rsid w:val="005A3DE9"/>
    <w:rsid w:val="005A3E19"/>
    <w:rsid w:val="005A3ED4"/>
    <w:rsid w:val="005A3F98"/>
    <w:rsid w:val="005A3FC8"/>
    <w:rsid w:val="005A4164"/>
    <w:rsid w:val="005A4274"/>
    <w:rsid w:val="005A4B31"/>
    <w:rsid w:val="005A4DB3"/>
    <w:rsid w:val="005A4E00"/>
    <w:rsid w:val="005A4E81"/>
    <w:rsid w:val="005A4F8E"/>
    <w:rsid w:val="005A5112"/>
    <w:rsid w:val="005A531D"/>
    <w:rsid w:val="005A5355"/>
    <w:rsid w:val="005A5659"/>
    <w:rsid w:val="005A575D"/>
    <w:rsid w:val="005A5A1D"/>
    <w:rsid w:val="005A5A8D"/>
    <w:rsid w:val="005A5D3D"/>
    <w:rsid w:val="005A612E"/>
    <w:rsid w:val="005A614C"/>
    <w:rsid w:val="005A6473"/>
    <w:rsid w:val="005A6785"/>
    <w:rsid w:val="005A6A27"/>
    <w:rsid w:val="005A6B4C"/>
    <w:rsid w:val="005A6EA0"/>
    <w:rsid w:val="005A708D"/>
    <w:rsid w:val="005A71C0"/>
    <w:rsid w:val="005A73D1"/>
    <w:rsid w:val="005A7668"/>
    <w:rsid w:val="005A7689"/>
    <w:rsid w:val="005A775A"/>
    <w:rsid w:val="005A77BE"/>
    <w:rsid w:val="005A7944"/>
    <w:rsid w:val="005A79C1"/>
    <w:rsid w:val="005A7DFC"/>
    <w:rsid w:val="005A7F30"/>
    <w:rsid w:val="005B003B"/>
    <w:rsid w:val="005B0448"/>
    <w:rsid w:val="005B0892"/>
    <w:rsid w:val="005B0ADB"/>
    <w:rsid w:val="005B0B04"/>
    <w:rsid w:val="005B0DE7"/>
    <w:rsid w:val="005B0E51"/>
    <w:rsid w:val="005B0FAF"/>
    <w:rsid w:val="005B0FB3"/>
    <w:rsid w:val="005B0FD4"/>
    <w:rsid w:val="005B1058"/>
    <w:rsid w:val="005B124C"/>
    <w:rsid w:val="005B13BD"/>
    <w:rsid w:val="005B1736"/>
    <w:rsid w:val="005B1EE4"/>
    <w:rsid w:val="005B1F17"/>
    <w:rsid w:val="005B1F1D"/>
    <w:rsid w:val="005B1FA9"/>
    <w:rsid w:val="005B2207"/>
    <w:rsid w:val="005B23D1"/>
    <w:rsid w:val="005B2501"/>
    <w:rsid w:val="005B2676"/>
    <w:rsid w:val="005B272E"/>
    <w:rsid w:val="005B2A19"/>
    <w:rsid w:val="005B3162"/>
    <w:rsid w:val="005B32DE"/>
    <w:rsid w:val="005B339D"/>
    <w:rsid w:val="005B33C6"/>
    <w:rsid w:val="005B34B7"/>
    <w:rsid w:val="005B35BD"/>
    <w:rsid w:val="005B3748"/>
    <w:rsid w:val="005B3807"/>
    <w:rsid w:val="005B3A11"/>
    <w:rsid w:val="005B3B7B"/>
    <w:rsid w:val="005B3D4D"/>
    <w:rsid w:val="005B3ECA"/>
    <w:rsid w:val="005B3F89"/>
    <w:rsid w:val="005B413B"/>
    <w:rsid w:val="005B4241"/>
    <w:rsid w:val="005B45EA"/>
    <w:rsid w:val="005B4ABA"/>
    <w:rsid w:val="005B4B36"/>
    <w:rsid w:val="005B4B81"/>
    <w:rsid w:val="005B4BE5"/>
    <w:rsid w:val="005B4C06"/>
    <w:rsid w:val="005B4DEA"/>
    <w:rsid w:val="005B5057"/>
    <w:rsid w:val="005B523C"/>
    <w:rsid w:val="005B5255"/>
    <w:rsid w:val="005B54A2"/>
    <w:rsid w:val="005B5B67"/>
    <w:rsid w:val="005B5B72"/>
    <w:rsid w:val="005B5D4F"/>
    <w:rsid w:val="005B6002"/>
    <w:rsid w:val="005B609F"/>
    <w:rsid w:val="005B62EF"/>
    <w:rsid w:val="005B670A"/>
    <w:rsid w:val="005B6AB6"/>
    <w:rsid w:val="005B6C63"/>
    <w:rsid w:val="005B6EB3"/>
    <w:rsid w:val="005B6F2C"/>
    <w:rsid w:val="005B7103"/>
    <w:rsid w:val="005B7327"/>
    <w:rsid w:val="005B74B6"/>
    <w:rsid w:val="005B74F2"/>
    <w:rsid w:val="005B7723"/>
    <w:rsid w:val="005B7755"/>
    <w:rsid w:val="005B77D8"/>
    <w:rsid w:val="005B7B4B"/>
    <w:rsid w:val="005B7D69"/>
    <w:rsid w:val="005B7DB9"/>
    <w:rsid w:val="005B7DDE"/>
    <w:rsid w:val="005B7E17"/>
    <w:rsid w:val="005B7E1F"/>
    <w:rsid w:val="005B7FE7"/>
    <w:rsid w:val="005C037D"/>
    <w:rsid w:val="005C0788"/>
    <w:rsid w:val="005C0866"/>
    <w:rsid w:val="005C09BB"/>
    <w:rsid w:val="005C0A2A"/>
    <w:rsid w:val="005C0D03"/>
    <w:rsid w:val="005C1141"/>
    <w:rsid w:val="005C118F"/>
    <w:rsid w:val="005C17D6"/>
    <w:rsid w:val="005C182D"/>
    <w:rsid w:val="005C1941"/>
    <w:rsid w:val="005C1AB4"/>
    <w:rsid w:val="005C1C80"/>
    <w:rsid w:val="005C1D27"/>
    <w:rsid w:val="005C1F37"/>
    <w:rsid w:val="005C1FB4"/>
    <w:rsid w:val="005C22C5"/>
    <w:rsid w:val="005C23BC"/>
    <w:rsid w:val="005C2709"/>
    <w:rsid w:val="005C2906"/>
    <w:rsid w:val="005C2B57"/>
    <w:rsid w:val="005C2C0A"/>
    <w:rsid w:val="005C2E91"/>
    <w:rsid w:val="005C2F24"/>
    <w:rsid w:val="005C3143"/>
    <w:rsid w:val="005C34DD"/>
    <w:rsid w:val="005C35CD"/>
    <w:rsid w:val="005C3A4C"/>
    <w:rsid w:val="005C3A68"/>
    <w:rsid w:val="005C3F79"/>
    <w:rsid w:val="005C4043"/>
    <w:rsid w:val="005C415B"/>
    <w:rsid w:val="005C42E9"/>
    <w:rsid w:val="005C4373"/>
    <w:rsid w:val="005C438A"/>
    <w:rsid w:val="005C4548"/>
    <w:rsid w:val="005C4614"/>
    <w:rsid w:val="005C47D6"/>
    <w:rsid w:val="005C497C"/>
    <w:rsid w:val="005C4A8F"/>
    <w:rsid w:val="005C4DC7"/>
    <w:rsid w:val="005C5482"/>
    <w:rsid w:val="005C564E"/>
    <w:rsid w:val="005C56B5"/>
    <w:rsid w:val="005C5CF1"/>
    <w:rsid w:val="005C5D56"/>
    <w:rsid w:val="005C5D9D"/>
    <w:rsid w:val="005C5E81"/>
    <w:rsid w:val="005C5E8D"/>
    <w:rsid w:val="005C5EA9"/>
    <w:rsid w:val="005C5F82"/>
    <w:rsid w:val="005C6163"/>
    <w:rsid w:val="005C63E5"/>
    <w:rsid w:val="005C6559"/>
    <w:rsid w:val="005C692F"/>
    <w:rsid w:val="005C6C11"/>
    <w:rsid w:val="005C6FB6"/>
    <w:rsid w:val="005C7423"/>
    <w:rsid w:val="005C750F"/>
    <w:rsid w:val="005C761D"/>
    <w:rsid w:val="005C781F"/>
    <w:rsid w:val="005C7878"/>
    <w:rsid w:val="005C788A"/>
    <w:rsid w:val="005C7A17"/>
    <w:rsid w:val="005C7BD2"/>
    <w:rsid w:val="005C7BE2"/>
    <w:rsid w:val="005C7DBC"/>
    <w:rsid w:val="005C7FD7"/>
    <w:rsid w:val="005D040D"/>
    <w:rsid w:val="005D04A8"/>
    <w:rsid w:val="005D06B7"/>
    <w:rsid w:val="005D0F1A"/>
    <w:rsid w:val="005D100E"/>
    <w:rsid w:val="005D1177"/>
    <w:rsid w:val="005D11C9"/>
    <w:rsid w:val="005D12AE"/>
    <w:rsid w:val="005D12E0"/>
    <w:rsid w:val="005D142E"/>
    <w:rsid w:val="005D153C"/>
    <w:rsid w:val="005D173C"/>
    <w:rsid w:val="005D17AF"/>
    <w:rsid w:val="005D1B7C"/>
    <w:rsid w:val="005D1BD4"/>
    <w:rsid w:val="005D1C31"/>
    <w:rsid w:val="005D1D63"/>
    <w:rsid w:val="005D1D76"/>
    <w:rsid w:val="005D1ED2"/>
    <w:rsid w:val="005D1F7F"/>
    <w:rsid w:val="005D23B1"/>
    <w:rsid w:val="005D25E3"/>
    <w:rsid w:val="005D275E"/>
    <w:rsid w:val="005D28BE"/>
    <w:rsid w:val="005D29EA"/>
    <w:rsid w:val="005D2AC5"/>
    <w:rsid w:val="005D2D20"/>
    <w:rsid w:val="005D3099"/>
    <w:rsid w:val="005D35DD"/>
    <w:rsid w:val="005D3922"/>
    <w:rsid w:val="005D3983"/>
    <w:rsid w:val="005D3B05"/>
    <w:rsid w:val="005D3F61"/>
    <w:rsid w:val="005D4252"/>
    <w:rsid w:val="005D429F"/>
    <w:rsid w:val="005D442C"/>
    <w:rsid w:val="005D4850"/>
    <w:rsid w:val="005D4E60"/>
    <w:rsid w:val="005D4F7D"/>
    <w:rsid w:val="005D5037"/>
    <w:rsid w:val="005D52E3"/>
    <w:rsid w:val="005D5311"/>
    <w:rsid w:val="005D5428"/>
    <w:rsid w:val="005D54CD"/>
    <w:rsid w:val="005D557A"/>
    <w:rsid w:val="005D5627"/>
    <w:rsid w:val="005D58A5"/>
    <w:rsid w:val="005D5938"/>
    <w:rsid w:val="005D5959"/>
    <w:rsid w:val="005D5A6D"/>
    <w:rsid w:val="005D5BFD"/>
    <w:rsid w:val="005D5C9F"/>
    <w:rsid w:val="005D5CA5"/>
    <w:rsid w:val="005D5D62"/>
    <w:rsid w:val="005D5F55"/>
    <w:rsid w:val="005D5FA6"/>
    <w:rsid w:val="005D6291"/>
    <w:rsid w:val="005D6767"/>
    <w:rsid w:val="005D6798"/>
    <w:rsid w:val="005D695A"/>
    <w:rsid w:val="005D6A42"/>
    <w:rsid w:val="005D6C07"/>
    <w:rsid w:val="005D6D92"/>
    <w:rsid w:val="005D7025"/>
    <w:rsid w:val="005D703E"/>
    <w:rsid w:val="005D723E"/>
    <w:rsid w:val="005D7351"/>
    <w:rsid w:val="005D74CB"/>
    <w:rsid w:val="005D753A"/>
    <w:rsid w:val="005D7AE6"/>
    <w:rsid w:val="005D7AFD"/>
    <w:rsid w:val="005D7C29"/>
    <w:rsid w:val="005D7FD7"/>
    <w:rsid w:val="005E0176"/>
    <w:rsid w:val="005E0358"/>
    <w:rsid w:val="005E03B7"/>
    <w:rsid w:val="005E071B"/>
    <w:rsid w:val="005E07FA"/>
    <w:rsid w:val="005E0928"/>
    <w:rsid w:val="005E0D56"/>
    <w:rsid w:val="005E0D59"/>
    <w:rsid w:val="005E0E9B"/>
    <w:rsid w:val="005E0EED"/>
    <w:rsid w:val="005E0FC8"/>
    <w:rsid w:val="005E10B7"/>
    <w:rsid w:val="005E12BB"/>
    <w:rsid w:val="005E1304"/>
    <w:rsid w:val="005E1530"/>
    <w:rsid w:val="005E16AA"/>
    <w:rsid w:val="005E1D71"/>
    <w:rsid w:val="005E213D"/>
    <w:rsid w:val="005E2332"/>
    <w:rsid w:val="005E2441"/>
    <w:rsid w:val="005E246F"/>
    <w:rsid w:val="005E25C2"/>
    <w:rsid w:val="005E25C7"/>
    <w:rsid w:val="005E26F0"/>
    <w:rsid w:val="005E28BA"/>
    <w:rsid w:val="005E299B"/>
    <w:rsid w:val="005E29A2"/>
    <w:rsid w:val="005E29AC"/>
    <w:rsid w:val="005E2A0E"/>
    <w:rsid w:val="005E2B1B"/>
    <w:rsid w:val="005E2B95"/>
    <w:rsid w:val="005E2E93"/>
    <w:rsid w:val="005E2EAE"/>
    <w:rsid w:val="005E32D2"/>
    <w:rsid w:val="005E352F"/>
    <w:rsid w:val="005E3687"/>
    <w:rsid w:val="005E3758"/>
    <w:rsid w:val="005E383D"/>
    <w:rsid w:val="005E3A1C"/>
    <w:rsid w:val="005E3AF3"/>
    <w:rsid w:val="005E3CFF"/>
    <w:rsid w:val="005E4012"/>
    <w:rsid w:val="005E4190"/>
    <w:rsid w:val="005E421E"/>
    <w:rsid w:val="005E4334"/>
    <w:rsid w:val="005E46A1"/>
    <w:rsid w:val="005E49FD"/>
    <w:rsid w:val="005E4A56"/>
    <w:rsid w:val="005E4B3E"/>
    <w:rsid w:val="005E4D9D"/>
    <w:rsid w:val="005E4DFE"/>
    <w:rsid w:val="005E4E8A"/>
    <w:rsid w:val="005E4F6E"/>
    <w:rsid w:val="005E52D3"/>
    <w:rsid w:val="005E52E4"/>
    <w:rsid w:val="005E5514"/>
    <w:rsid w:val="005E5529"/>
    <w:rsid w:val="005E55FB"/>
    <w:rsid w:val="005E58CC"/>
    <w:rsid w:val="005E5D10"/>
    <w:rsid w:val="005E5FB4"/>
    <w:rsid w:val="005E6023"/>
    <w:rsid w:val="005E60C1"/>
    <w:rsid w:val="005E611F"/>
    <w:rsid w:val="005E61AD"/>
    <w:rsid w:val="005E61EB"/>
    <w:rsid w:val="005E67C0"/>
    <w:rsid w:val="005E6812"/>
    <w:rsid w:val="005E693F"/>
    <w:rsid w:val="005E6A7C"/>
    <w:rsid w:val="005E6C90"/>
    <w:rsid w:val="005E6FE7"/>
    <w:rsid w:val="005E7137"/>
    <w:rsid w:val="005E7237"/>
    <w:rsid w:val="005E73C4"/>
    <w:rsid w:val="005E75D9"/>
    <w:rsid w:val="005E7713"/>
    <w:rsid w:val="005E7CFB"/>
    <w:rsid w:val="005E7D5F"/>
    <w:rsid w:val="005E7DE3"/>
    <w:rsid w:val="005E7EA9"/>
    <w:rsid w:val="005E7FA5"/>
    <w:rsid w:val="005E7FC6"/>
    <w:rsid w:val="005F00FC"/>
    <w:rsid w:val="005F0295"/>
    <w:rsid w:val="005F0296"/>
    <w:rsid w:val="005F03F4"/>
    <w:rsid w:val="005F0440"/>
    <w:rsid w:val="005F0455"/>
    <w:rsid w:val="005F0B31"/>
    <w:rsid w:val="005F0BBB"/>
    <w:rsid w:val="005F0CD0"/>
    <w:rsid w:val="005F0D7F"/>
    <w:rsid w:val="005F0F8C"/>
    <w:rsid w:val="005F1177"/>
    <w:rsid w:val="005F12CB"/>
    <w:rsid w:val="005F161B"/>
    <w:rsid w:val="005F1662"/>
    <w:rsid w:val="005F1714"/>
    <w:rsid w:val="005F1BA6"/>
    <w:rsid w:val="005F1C05"/>
    <w:rsid w:val="005F1FAC"/>
    <w:rsid w:val="005F2188"/>
    <w:rsid w:val="005F2206"/>
    <w:rsid w:val="005F22A3"/>
    <w:rsid w:val="005F22CE"/>
    <w:rsid w:val="005F237A"/>
    <w:rsid w:val="005F24F8"/>
    <w:rsid w:val="005F265A"/>
    <w:rsid w:val="005F26BB"/>
    <w:rsid w:val="005F29A9"/>
    <w:rsid w:val="005F2E22"/>
    <w:rsid w:val="005F31CF"/>
    <w:rsid w:val="005F357B"/>
    <w:rsid w:val="005F35E2"/>
    <w:rsid w:val="005F363A"/>
    <w:rsid w:val="005F388A"/>
    <w:rsid w:val="005F3B03"/>
    <w:rsid w:val="005F3B91"/>
    <w:rsid w:val="005F3BD9"/>
    <w:rsid w:val="005F3C08"/>
    <w:rsid w:val="005F3C41"/>
    <w:rsid w:val="005F3C55"/>
    <w:rsid w:val="005F3D01"/>
    <w:rsid w:val="005F3DAD"/>
    <w:rsid w:val="005F3F82"/>
    <w:rsid w:val="005F404A"/>
    <w:rsid w:val="005F405E"/>
    <w:rsid w:val="005F40BE"/>
    <w:rsid w:val="005F40DF"/>
    <w:rsid w:val="005F4278"/>
    <w:rsid w:val="005F42DF"/>
    <w:rsid w:val="005F4549"/>
    <w:rsid w:val="005F477F"/>
    <w:rsid w:val="005F49E1"/>
    <w:rsid w:val="005F4CFB"/>
    <w:rsid w:val="005F4D0D"/>
    <w:rsid w:val="005F4D4A"/>
    <w:rsid w:val="005F50EC"/>
    <w:rsid w:val="005F52E1"/>
    <w:rsid w:val="005F53C6"/>
    <w:rsid w:val="005F554D"/>
    <w:rsid w:val="005F5580"/>
    <w:rsid w:val="005F56F8"/>
    <w:rsid w:val="005F5893"/>
    <w:rsid w:val="005F596A"/>
    <w:rsid w:val="005F5A42"/>
    <w:rsid w:val="005F5C48"/>
    <w:rsid w:val="005F5EB4"/>
    <w:rsid w:val="005F6228"/>
    <w:rsid w:val="005F64A2"/>
    <w:rsid w:val="005F6893"/>
    <w:rsid w:val="005F69E6"/>
    <w:rsid w:val="005F7047"/>
    <w:rsid w:val="005F71EC"/>
    <w:rsid w:val="005F72AF"/>
    <w:rsid w:val="005F7453"/>
    <w:rsid w:val="005F753D"/>
    <w:rsid w:val="005F7555"/>
    <w:rsid w:val="005F75D9"/>
    <w:rsid w:val="005F7A35"/>
    <w:rsid w:val="005F7B16"/>
    <w:rsid w:val="005F7B1A"/>
    <w:rsid w:val="005F7D34"/>
    <w:rsid w:val="0060003A"/>
    <w:rsid w:val="0060039E"/>
    <w:rsid w:val="00600821"/>
    <w:rsid w:val="00600876"/>
    <w:rsid w:val="00600AA0"/>
    <w:rsid w:val="00600C5B"/>
    <w:rsid w:val="00600DC8"/>
    <w:rsid w:val="00600DD3"/>
    <w:rsid w:val="00600F5D"/>
    <w:rsid w:val="00600FB3"/>
    <w:rsid w:val="0060117E"/>
    <w:rsid w:val="006014F7"/>
    <w:rsid w:val="00601613"/>
    <w:rsid w:val="00601805"/>
    <w:rsid w:val="0060185B"/>
    <w:rsid w:val="006019E3"/>
    <w:rsid w:val="00601BCD"/>
    <w:rsid w:val="00601C7B"/>
    <w:rsid w:val="00601F48"/>
    <w:rsid w:val="00602010"/>
    <w:rsid w:val="00602090"/>
    <w:rsid w:val="006021F7"/>
    <w:rsid w:val="00602218"/>
    <w:rsid w:val="006022C7"/>
    <w:rsid w:val="006022D8"/>
    <w:rsid w:val="00602367"/>
    <w:rsid w:val="00602B04"/>
    <w:rsid w:val="00602C1A"/>
    <w:rsid w:val="00602D58"/>
    <w:rsid w:val="00602DB7"/>
    <w:rsid w:val="00602F43"/>
    <w:rsid w:val="00602F48"/>
    <w:rsid w:val="00603166"/>
    <w:rsid w:val="00603265"/>
    <w:rsid w:val="0060343C"/>
    <w:rsid w:val="006035E0"/>
    <w:rsid w:val="00603633"/>
    <w:rsid w:val="0060375F"/>
    <w:rsid w:val="006037DC"/>
    <w:rsid w:val="006038B4"/>
    <w:rsid w:val="006039DE"/>
    <w:rsid w:val="00603A7C"/>
    <w:rsid w:val="00604041"/>
    <w:rsid w:val="0060440A"/>
    <w:rsid w:val="00604425"/>
    <w:rsid w:val="00604482"/>
    <w:rsid w:val="00604C6F"/>
    <w:rsid w:val="00604CBB"/>
    <w:rsid w:val="0060506D"/>
    <w:rsid w:val="00605169"/>
    <w:rsid w:val="0060537A"/>
    <w:rsid w:val="006054A1"/>
    <w:rsid w:val="006055AA"/>
    <w:rsid w:val="006055BD"/>
    <w:rsid w:val="0060560D"/>
    <w:rsid w:val="00605788"/>
    <w:rsid w:val="00605790"/>
    <w:rsid w:val="006057C8"/>
    <w:rsid w:val="006058A5"/>
    <w:rsid w:val="0060591E"/>
    <w:rsid w:val="00605E20"/>
    <w:rsid w:val="00605F2C"/>
    <w:rsid w:val="00605F3C"/>
    <w:rsid w:val="00606126"/>
    <w:rsid w:val="006062B7"/>
    <w:rsid w:val="00606327"/>
    <w:rsid w:val="00606415"/>
    <w:rsid w:val="006064D2"/>
    <w:rsid w:val="00606742"/>
    <w:rsid w:val="006068FE"/>
    <w:rsid w:val="00606C73"/>
    <w:rsid w:val="00606CF8"/>
    <w:rsid w:val="006070AB"/>
    <w:rsid w:val="006071AF"/>
    <w:rsid w:val="00607215"/>
    <w:rsid w:val="006072E1"/>
    <w:rsid w:val="00607544"/>
    <w:rsid w:val="00607A14"/>
    <w:rsid w:val="00607B0F"/>
    <w:rsid w:val="00607BE9"/>
    <w:rsid w:val="00607FBD"/>
    <w:rsid w:val="00607FCB"/>
    <w:rsid w:val="0061005A"/>
    <w:rsid w:val="006101B6"/>
    <w:rsid w:val="0061039C"/>
    <w:rsid w:val="006103E3"/>
    <w:rsid w:val="00610534"/>
    <w:rsid w:val="006107B8"/>
    <w:rsid w:val="00610900"/>
    <w:rsid w:val="006109E2"/>
    <w:rsid w:val="00610A0F"/>
    <w:rsid w:val="00610A19"/>
    <w:rsid w:val="00610D48"/>
    <w:rsid w:val="006113CC"/>
    <w:rsid w:val="006114B4"/>
    <w:rsid w:val="00611616"/>
    <w:rsid w:val="006117B4"/>
    <w:rsid w:val="0061195C"/>
    <w:rsid w:val="00611D06"/>
    <w:rsid w:val="00611E9B"/>
    <w:rsid w:val="00612042"/>
    <w:rsid w:val="0061240B"/>
    <w:rsid w:val="006125DD"/>
    <w:rsid w:val="0061281F"/>
    <w:rsid w:val="00612B65"/>
    <w:rsid w:val="00612CFB"/>
    <w:rsid w:val="00612F9D"/>
    <w:rsid w:val="00613031"/>
    <w:rsid w:val="006130BF"/>
    <w:rsid w:val="00613104"/>
    <w:rsid w:val="006131A8"/>
    <w:rsid w:val="006133A1"/>
    <w:rsid w:val="006135C7"/>
    <w:rsid w:val="0061364E"/>
    <w:rsid w:val="006136A7"/>
    <w:rsid w:val="00613870"/>
    <w:rsid w:val="00613A9C"/>
    <w:rsid w:val="00613BAC"/>
    <w:rsid w:val="00613D52"/>
    <w:rsid w:val="00613ECB"/>
    <w:rsid w:val="00613EEF"/>
    <w:rsid w:val="0061425E"/>
    <w:rsid w:val="0061426B"/>
    <w:rsid w:val="0061427C"/>
    <w:rsid w:val="006144E3"/>
    <w:rsid w:val="006145AA"/>
    <w:rsid w:val="00614A0B"/>
    <w:rsid w:val="00614BB1"/>
    <w:rsid w:val="00614C5E"/>
    <w:rsid w:val="00614ECC"/>
    <w:rsid w:val="00615368"/>
    <w:rsid w:val="006154D9"/>
    <w:rsid w:val="00615807"/>
    <w:rsid w:val="00615878"/>
    <w:rsid w:val="006158D1"/>
    <w:rsid w:val="00615BC1"/>
    <w:rsid w:val="00615BC7"/>
    <w:rsid w:val="00615BCB"/>
    <w:rsid w:val="00615DB3"/>
    <w:rsid w:val="00615F0B"/>
    <w:rsid w:val="00615FC0"/>
    <w:rsid w:val="00615FE6"/>
    <w:rsid w:val="006160A2"/>
    <w:rsid w:val="00616195"/>
    <w:rsid w:val="00616CB2"/>
    <w:rsid w:val="00616CD0"/>
    <w:rsid w:val="00616F0C"/>
    <w:rsid w:val="00617360"/>
    <w:rsid w:val="006173A8"/>
    <w:rsid w:val="00617410"/>
    <w:rsid w:val="00617421"/>
    <w:rsid w:val="00617530"/>
    <w:rsid w:val="0061785C"/>
    <w:rsid w:val="006178FB"/>
    <w:rsid w:val="00617D2E"/>
    <w:rsid w:val="00617E50"/>
    <w:rsid w:val="00620085"/>
    <w:rsid w:val="00620206"/>
    <w:rsid w:val="0062025A"/>
    <w:rsid w:val="006204BF"/>
    <w:rsid w:val="00620577"/>
    <w:rsid w:val="0062089D"/>
    <w:rsid w:val="006209D7"/>
    <w:rsid w:val="00620B20"/>
    <w:rsid w:val="00620C91"/>
    <w:rsid w:val="00620D60"/>
    <w:rsid w:val="006215C3"/>
    <w:rsid w:val="00621640"/>
    <w:rsid w:val="00621687"/>
    <w:rsid w:val="006216C2"/>
    <w:rsid w:val="006217ED"/>
    <w:rsid w:val="006219C7"/>
    <w:rsid w:val="00621B64"/>
    <w:rsid w:val="00621D62"/>
    <w:rsid w:val="00621F89"/>
    <w:rsid w:val="006220BB"/>
    <w:rsid w:val="0062246D"/>
    <w:rsid w:val="006225AD"/>
    <w:rsid w:val="00622627"/>
    <w:rsid w:val="0062268B"/>
    <w:rsid w:val="00622AA9"/>
    <w:rsid w:val="00622AD9"/>
    <w:rsid w:val="00622C4A"/>
    <w:rsid w:val="00622E95"/>
    <w:rsid w:val="00622EBE"/>
    <w:rsid w:val="00622EE9"/>
    <w:rsid w:val="00623012"/>
    <w:rsid w:val="00623154"/>
    <w:rsid w:val="006231AD"/>
    <w:rsid w:val="0062356B"/>
    <w:rsid w:val="006238A7"/>
    <w:rsid w:val="00623F26"/>
    <w:rsid w:val="00624260"/>
    <w:rsid w:val="0062427C"/>
    <w:rsid w:val="00624799"/>
    <w:rsid w:val="00624B37"/>
    <w:rsid w:val="00624C1F"/>
    <w:rsid w:val="00624F29"/>
    <w:rsid w:val="00624FEB"/>
    <w:rsid w:val="0062515F"/>
    <w:rsid w:val="0062518F"/>
    <w:rsid w:val="006251E1"/>
    <w:rsid w:val="006254CE"/>
    <w:rsid w:val="006258EB"/>
    <w:rsid w:val="0062593A"/>
    <w:rsid w:val="00625D05"/>
    <w:rsid w:val="00625D51"/>
    <w:rsid w:val="00625DDB"/>
    <w:rsid w:val="00625F07"/>
    <w:rsid w:val="006262D6"/>
    <w:rsid w:val="00626AEC"/>
    <w:rsid w:val="00626DDC"/>
    <w:rsid w:val="00626E1A"/>
    <w:rsid w:val="00626EE7"/>
    <w:rsid w:val="00627034"/>
    <w:rsid w:val="00627169"/>
    <w:rsid w:val="00627336"/>
    <w:rsid w:val="006275C7"/>
    <w:rsid w:val="0062762A"/>
    <w:rsid w:val="00627682"/>
    <w:rsid w:val="006276B3"/>
    <w:rsid w:val="006276DE"/>
    <w:rsid w:val="00627763"/>
    <w:rsid w:val="00627993"/>
    <w:rsid w:val="006279EC"/>
    <w:rsid w:val="00627B22"/>
    <w:rsid w:val="00630146"/>
    <w:rsid w:val="00630355"/>
    <w:rsid w:val="0063038D"/>
    <w:rsid w:val="006315A8"/>
    <w:rsid w:val="006317BA"/>
    <w:rsid w:val="00631832"/>
    <w:rsid w:val="00631F6F"/>
    <w:rsid w:val="00631FCB"/>
    <w:rsid w:val="00632124"/>
    <w:rsid w:val="00632417"/>
    <w:rsid w:val="0063251D"/>
    <w:rsid w:val="0063281B"/>
    <w:rsid w:val="00632874"/>
    <w:rsid w:val="006329A8"/>
    <w:rsid w:val="00632ACF"/>
    <w:rsid w:val="00632D6F"/>
    <w:rsid w:val="00632D7A"/>
    <w:rsid w:val="00632E30"/>
    <w:rsid w:val="006330F4"/>
    <w:rsid w:val="006331FD"/>
    <w:rsid w:val="00633318"/>
    <w:rsid w:val="0063372D"/>
    <w:rsid w:val="006339C4"/>
    <w:rsid w:val="00633B34"/>
    <w:rsid w:val="00633B93"/>
    <w:rsid w:val="00633C0E"/>
    <w:rsid w:val="00633C3D"/>
    <w:rsid w:val="00633E57"/>
    <w:rsid w:val="00633EBF"/>
    <w:rsid w:val="00634053"/>
    <w:rsid w:val="006340EE"/>
    <w:rsid w:val="006340FF"/>
    <w:rsid w:val="0063424F"/>
    <w:rsid w:val="006343D7"/>
    <w:rsid w:val="00634427"/>
    <w:rsid w:val="006347FC"/>
    <w:rsid w:val="00634828"/>
    <w:rsid w:val="006349F8"/>
    <w:rsid w:val="00634CCA"/>
    <w:rsid w:val="00634FCA"/>
    <w:rsid w:val="006350F3"/>
    <w:rsid w:val="006351B1"/>
    <w:rsid w:val="006355A4"/>
    <w:rsid w:val="0063580F"/>
    <w:rsid w:val="00635DF4"/>
    <w:rsid w:val="00635FBC"/>
    <w:rsid w:val="00636103"/>
    <w:rsid w:val="006361C2"/>
    <w:rsid w:val="006361EB"/>
    <w:rsid w:val="00636516"/>
    <w:rsid w:val="00636645"/>
    <w:rsid w:val="006367CE"/>
    <w:rsid w:val="00636802"/>
    <w:rsid w:val="00636C01"/>
    <w:rsid w:val="00636D58"/>
    <w:rsid w:val="00636D9F"/>
    <w:rsid w:val="00636FCC"/>
    <w:rsid w:val="006371AD"/>
    <w:rsid w:val="006371B0"/>
    <w:rsid w:val="006371E9"/>
    <w:rsid w:val="0063721C"/>
    <w:rsid w:val="006372F6"/>
    <w:rsid w:val="00637338"/>
    <w:rsid w:val="0063745D"/>
    <w:rsid w:val="0063778E"/>
    <w:rsid w:val="00637888"/>
    <w:rsid w:val="00637923"/>
    <w:rsid w:val="00637AD6"/>
    <w:rsid w:val="00637C4A"/>
    <w:rsid w:val="00637D6F"/>
    <w:rsid w:val="00640221"/>
    <w:rsid w:val="00640249"/>
    <w:rsid w:val="00640311"/>
    <w:rsid w:val="0064038B"/>
    <w:rsid w:val="00640509"/>
    <w:rsid w:val="00640757"/>
    <w:rsid w:val="006407FC"/>
    <w:rsid w:val="00640AC9"/>
    <w:rsid w:val="00640BB3"/>
    <w:rsid w:val="00641028"/>
    <w:rsid w:val="00641280"/>
    <w:rsid w:val="006413B7"/>
    <w:rsid w:val="00641500"/>
    <w:rsid w:val="0064156E"/>
    <w:rsid w:val="00641935"/>
    <w:rsid w:val="00641DAF"/>
    <w:rsid w:val="00641DB6"/>
    <w:rsid w:val="006420BB"/>
    <w:rsid w:val="006420BC"/>
    <w:rsid w:val="00642153"/>
    <w:rsid w:val="006422D4"/>
    <w:rsid w:val="00642325"/>
    <w:rsid w:val="006423C1"/>
    <w:rsid w:val="006424B8"/>
    <w:rsid w:val="0064250F"/>
    <w:rsid w:val="006426BF"/>
    <w:rsid w:val="006426E0"/>
    <w:rsid w:val="006427D9"/>
    <w:rsid w:val="0064297B"/>
    <w:rsid w:val="00642D9D"/>
    <w:rsid w:val="00642F4D"/>
    <w:rsid w:val="0064311F"/>
    <w:rsid w:val="00643232"/>
    <w:rsid w:val="006433B7"/>
    <w:rsid w:val="006435B8"/>
    <w:rsid w:val="00643773"/>
    <w:rsid w:val="00643CC0"/>
    <w:rsid w:val="00643D43"/>
    <w:rsid w:val="00643F1F"/>
    <w:rsid w:val="0064411D"/>
    <w:rsid w:val="0064450A"/>
    <w:rsid w:val="00644531"/>
    <w:rsid w:val="006447AB"/>
    <w:rsid w:val="006449AB"/>
    <w:rsid w:val="00644B19"/>
    <w:rsid w:val="00644B72"/>
    <w:rsid w:val="006450E1"/>
    <w:rsid w:val="006452A6"/>
    <w:rsid w:val="0064538A"/>
    <w:rsid w:val="006453E1"/>
    <w:rsid w:val="00645504"/>
    <w:rsid w:val="006455D7"/>
    <w:rsid w:val="00645A46"/>
    <w:rsid w:val="00645BCB"/>
    <w:rsid w:val="00645C38"/>
    <w:rsid w:val="00645E57"/>
    <w:rsid w:val="00645EB3"/>
    <w:rsid w:val="00645F7D"/>
    <w:rsid w:val="006460B1"/>
    <w:rsid w:val="00646319"/>
    <w:rsid w:val="00646711"/>
    <w:rsid w:val="0064682C"/>
    <w:rsid w:val="00646844"/>
    <w:rsid w:val="0064684A"/>
    <w:rsid w:val="00646936"/>
    <w:rsid w:val="00646A89"/>
    <w:rsid w:val="00646B6C"/>
    <w:rsid w:val="00646C4E"/>
    <w:rsid w:val="00646D04"/>
    <w:rsid w:val="006471FB"/>
    <w:rsid w:val="00647392"/>
    <w:rsid w:val="00647627"/>
    <w:rsid w:val="00647A7F"/>
    <w:rsid w:val="00647B4B"/>
    <w:rsid w:val="00647BFA"/>
    <w:rsid w:val="00647C48"/>
    <w:rsid w:val="00647DF8"/>
    <w:rsid w:val="00650083"/>
    <w:rsid w:val="006502A9"/>
    <w:rsid w:val="006503F1"/>
    <w:rsid w:val="00650658"/>
    <w:rsid w:val="00650760"/>
    <w:rsid w:val="006509BC"/>
    <w:rsid w:val="00650AEB"/>
    <w:rsid w:val="00650AF8"/>
    <w:rsid w:val="00650B47"/>
    <w:rsid w:val="00650BA8"/>
    <w:rsid w:val="00650CE4"/>
    <w:rsid w:val="00650EB2"/>
    <w:rsid w:val="00650F56"/>
    <w:rsid w:val="0065100B"/>
    <w:rsid w:val="0065108B"/>
    <w:rsid w:val="006512D3"/>
    <w:rsid w:val="006513AA"/>
    <w:rsid w:val="00651597"/>
    <w:rsid w:val="00651710"/>
    <w:rsid w:val="00651A1B"/>
    <w:rsid w:val="00651A83"/>
    <w:rsid w:val="00651CDB"/>
    <w:rsid w:val="00652055"/>
    <w:rsid w:val="00652091"/>
    <w:rsid w:val="00652298"/>
    <w:rsid w:val="006523CA"/>
    <w:rsid w:val="006524FE"/>
    <w:rsid w:val="006525FE"/>
    <w:rsid w:val="00652C69"/>
    <w:rsid w:val="00652F63"/>
    <w:rsid w:val="0065301D"/>
    <w:rsid w:val="00653111"/>
    <w:rsid w:val="00653260"/>
    <w:rsid w:val="00653288"/>
    <w:rsid w:val="00653315"/>
    <w:rsid w:val="006535FF"/>
    <w:rsid w:val="00653626"/>
    <w:rsid w:val="006537B2"/>
    <w:rsid w:val="006537EC"/>
    <w:rsid w:val="00653857"/>
    <w:rsid w:val="00653929"/>
    <w:rsid w:val="006542D0"/>
    <w:rsid w:val="006546A3"/>
    <w:rsid w:val="00654795"/>
    <w:rsid w:val="00654A25"/>
    <w:rsid w:val="00654A40"/>
    <w:rsid w:val="00654D3D"/>
    <w:rsid w:val="00654D5D"/>
    <w:rsid w:val="00654D97"/>
    <w:rsid w:val="00654E63"/>
    <w:rsid w:val="00654ED7"/>
    <w:rsid w:val="00654F81"/>
    <w:rsid w:val="00655195"/>
    <w:rsid w:val="006553B1"/>
    <w:rsid w:val="00655B41"/>
    <w:rsid w:val="00655DB0"/>
    <w:rsid w:val="00655EC0"/>
    <w:rsid w:val="00655ED4"/>
    <w:rsid w:val="00655F4F"/>
    <w:rsid w:val="00655FB4"/>
    <w:rsid w:val="00655FC1"/>
    <w:rsid w:val="006561BF"/>
    <w:rsid w:val="0065638E"/>
    <w:rsid w:val="0065645D"/>
    <w:rsid w:val="00656633"/>
    <w:rsid w:val="0065667C"/>
    <w:rsid w:val="00656915"/>
    <w:rsid w:val="00656AA7"/>
    <w:rsid w:val="00656B25"/>
    <w:rsid w:val="00656FB2"/>
    <w:rsid w:val="00656FCC"/>
    <w:rsid w:val="00657098"/>
    <w:rsid w:val="006570C2"/>
    <w:rsid w:val="00657164"/>
    <w:rsid w:val="0065733B"/>
    <w:rsid w:val="00657437"/>
    <w:rsid w:val="00657604"/>
    <w:rsid w:val="0065791B"/>
    <w:rsid w:val="00657BD2"/>
    <w:rsid w:val="00657CC0"/>
    <w:rsid w:val="00657CD0"/>
    <w:rsid w:val="00657F5D"/>
    <w:rsid w:val="00660044"/>
    <w:rsid w:val="0066010C"/>
    <w:rsid w:val="0066088C"/>
    <w:rsid w:val="00660898"/>
    <w:rsid w:val="00660B36"/>
    <w:rsid w:val="00660C20"/>
    <w:rsid w:val="00660DE2"/>
    <w:rsid w:val="00661393"/>
    <w:rsid w:val="0066154D"/>
    <w:rsid w:val="0066168B"/>
    <w:rsid w:val="0066193A"/>
    <w:rsid w:val="00661B5C"/>
    <w:rsid w:val="00661BFC"/>
    <w:rsid w:val="00661C81"/>
    <w:rsid w:val="00661EAF"/>
    <w:rsid w:val="00661FC8"/>
    <w:rsid w:val="0066206F"/>
    <w:rsid w:val="00662369"/>
    <w:rsid w:val="00662470"/>
    <w:rsid w:val="0066250A"/>
    <w:rsid w:val="006625F0"/>
    <w:rsid w:val="0066266A"/>
    <w:rsid w:val="0066269B"/>
    <w:rsid w:val="0066283D"/>
    <w:rsid w:val="00662ACB"/>
    <w:rsid w:val="00662BAE"/>
    <w:rsid w:val="00662BCA"/>
    <w:rsid w:val="00662C11"/>
    <w:rsid w:val="00662DA5"/>
    <w:rsid w:val="006630C2"/>
    <w:rsid w:val="006630E6"/>
    <w:rsid w:val="006632B4"/>
    <w:rsid w:val="006632C3"/>
    <w:rsid w:val="006632C5"/>
    <w:rsid w:val="0066332F"/>
    <w:rsid w:val="00663589"/>
    <w:rsid w:val="006635B6"/>
    <w:rsid w:val="00663A3B"/>
    <w:rsid w:val="00663BCB"/>
    <w:rsid w:val="00663C07"/>
    <w:rsid w:val="00663E70"/>
    <w:rsid w:val="0066411C"/>
    <w:rsid w:val="006642D1"/>
    <w:rsid w:val="0066437A"/>
    <w:rsid w:val="006646E4"/>
    <w:rsid w:val="0066477F"/>
    <w:rsid w:val="00664845"/>
    <w:rsid w:val="00664E8F"/>
    <w:rsid w:val="00664EC8"/>
    <w:rsid w:val="00665048"/>
    <w:rsid w:val="006651EF"/>
    <w:rsid w:val="0066524C"/>
    <w:rsid w:val="006652A5"/>
    <w:rsid w:val="006652C5"/>
    <w:rsid w:val="0066543C"/>
    <w:rsid w:val="00665755"/>
    <w:rsid w:val="00665951"/>
    <w:rsid w:val="00665E05"/>
    <w:rsid w:val="006660FA"/>
    <w:rsid w:val="00666400"/>
    <w:rsid w:val="0066648C"/>
    <w:rsid w:val="006666E2"/>
    <w:rsid w:val="00666933"/>
    <w:rsid w:val="00666EF5"/>
    <w:rsid w:val="00667101"/>
    <w:rsid w:val="00667120"/>
    <w:rsid w:val="00667179"/>
    <w:rsid w:val="006671C8"/>
    <w:rsid w:val="00667227"/>
    <w:rsid w:val="00667285"/>
    <w:rsid w:val="006672FB"/>
    <w:rsid w:val="006673A1"/>
    <w:rsid w:val="006673D1"/>
    <w:rsid w:val="00667516"/>
    <w:rsid w:val="00667528"/>
    <w:rsid w:val="00667781"/>
    <w:rsid w:val="006677E0"/>
    <w:rsid w:val="00667818"/>
    <w:rsid w:val="006678C9"/>
    <w:rsid w:val="00667CED"/>
    <w:rsid w:val="00667F71"/>
    <w:rsid w:val="006703E7"/>
    <w:rsid w:val="006704EE"/>
    <w:rsid w:val="00670657"/>
    <w:rsid w:val="00670DB8"/>
    <w:rsid w:val="00670E10"/>
    <w:rsid w:val="00670EF6"/>
    <w:rsid w:val="00671029"/>
    <w:rsid w:val="006710E6"/>
    <w:rsid w:val="0067145C"/>
    <w:rsid w:val="00671BB2"/>
    <w:rsid w:val="00671D22"/>
    <w:rsid w:val="00671EFF"/>
    <w:rsid w:val="00671F94"/>
    <w:rsid w:val="006720FB"/>
    <w:rsid w:val="00672178"/>
    <w:rsid w:val="0067234C"/>
    <w:rsid w:val="0067234D"/>
    <w:rsid w:val="006723B6"/>
    <w:rsid w:val="006723E3"/>
    <w:rsid w:val="00672912"/>
    <w:rsid w:val="006729AF"/>
    <w:rsid w:val="006729DA"/>
    <w:rsid w:val="00672AAB"/>
    <w:rsid w:val="00672B85"/>
    <w:rsid w:val="00672C32"/>
    <w:rsid w:val="00672FF7"/>
    <w:rsid w:val="006731F1"/>
    <w:rsid w:val="00673213"/>
    <w:rsid w:val="00673749"/>
    <w:rsid w:val="00673811"/>
    <w:rsid w:val="00673C16"/>
    <w:rsid w:val="00673F6E"/>
    <w:rsid w:val="00673FB7"/>
    <w:rsid w:val="0067404B"/>
    <w:rsid w:val="00674321"/>
    <w:rsid w:val="006746DF"/>
    <w:rsid w:val="006746E3"/>
    <w:rsid w:val="0067479D"/>
    <w:rsid w:val="006747F5"/>
    <w:rsid w:val="0067494E"/>
    <w:rsid w:val="0067498C"/>
    <w:rsid w:val="00674A22"/>
    <w:rsid w:val="00674D4F"/>
    <w:rsid w:val="00674D55"/>
    <w:rsid w:val="00674D86"/>
    <w:rsid w:val="00675016"/>
    <w:rsid w:val="00675217"/>
    <w:rsid w:val="0067523E"/>
    <w:rsid w:val="0067524D"/>
    <w:rsid w:val="0067579C"/>
    <w:rsid w:val="00675833"/>
    <w:rsid w:val="006759CE"/>
    <w:rsid w:val="00675AA6"/>
    <w:rsid w:val="00675DF8"/>
    <w:rsid w:val="006761CF"/>
    <w:rsid w:val="0067623C"/>
    <w:rsid w:val="00676263"/>
    <w:rsid w:val="00676362"/>
    <w:rsid w:val="00676458"/>
    <w:rsid w:val="006764CA"/>
    <w:rsid w:val="00676786"/>
    <w:rsid w:val="006768AD"/>
    <w:rsid w:val="006769EA"/>
    <w:rsid w:val="00676A23"/>
    <w:rsid w:val="00676C3B"/>
    <w:rsid w:val="00676D35"/>
    <w:rsid w:val="00676E74"/>
    <w:rsid w:val="0067704E"/>
    <w:rsid w:val="0067739F"/>
    <w:rsid w:val="00677575"/>
    <w:rsid w:val="0067757E"/>
    <w:rsid w:val="006776F6"/>
    <w:rsid w:val="006779E9"/>
    <w:rsid w:val="00677A15"/>
    <w:rsid w:val="00677C9A"/>
    <w:rsid w:val="00677FB4"/>
    <w:rsid w:val="00680057"/>
    <w:rsid w:val="00680075"/>
    <w:rsid w:val="00680104"/>
    <w:rsid w:val="0068020A"/>
    <w:rsid w:val="00680472"/>
    <w:rsid w:val="0068065F"/>
    <w:rsid w:val="00680EC0"/>
    <w:rsid w:val="00680EC6"/>
    <w:rsid w:val="00681277"/>
    <w:rsid w:val="0068127B"/>
    <w:rsid w:val="00681321"/>
    <w:rsid w:val="00681383"/>
    <w:rsid w:val="0068180B"/>
    <w:rsid w:val="006818EA"/>
    <w:rsid w:val="00681B20"/>
    <w:rsid w:val="00681BE1"/>
    <w:rsid w:val="00681BFD"/>
    <w:rsid w:val="00681E4B"/>
    <w:rsid w:val="006822AF"/>
    <w:rsid w:val="00682305"/>
    <w:rsid w:val="00682352"/>
    <w:rsid w:val="006825B9"/>
    <w:rsid w:val="0068279F"/>
    <w:rsid w:val="00682947"/>
    <w:rsid w:val="00682AE3"/>
    <w:rsid w:val="00682CA3"/>
    <w:rsid w:val="00682D96"/>
    <w:rsid w:val="00683162"/>
    <w:rsid w:val="00683187"/>
    <w:rsid w:val="006832FD"/>
    <w:rsid w:val="00683D1F"/>
    <w:rsid w:val="00683D6E"/>
    <w:rsid w:val="00683E43"/>
    <w:rsid w:val="00683ECF"/>
    <w:rsid w:val="0068404B"/>
    <w:rsid w:val="00684073"/>
    <w:rsid w:val="00684316"/>
    <w:rsid w:val="00684345"/>
    <w:rsid w:val="0068452A"/>
    <w:rsid w:val="006845ED"/>
    <w:rsid w:val="00684976"/>
    <w:rsid w:val="00684AD9"/>
    <w:rsid w:val="00684ADA"/>
    <w:rsid w:val="00684D79"/>
    <w:rsid w:val="00684FC4"/>
    <w:rsid w:val="00685072"/>
    <w:rsid w:val="006851A1"/>
    <w:rsid w:val="0068557B"/>
    <w:rsid w:val="00685AEF"/>
    <w:rsid w:val="00685B4E"/>
    <w:rsid w:val="00686119"/>
    <w:rsid w:val="006865C2"/>
    <w:rsid w:val="00686902"/>
    <w:rsid w:val="0068698E"/>
    <w:rsid w:val="00686A77"/>
    <w:rsid w:val="00686D5E"/>
    <w:rsid w:val="00686ECD"/>
    <w:rsid w:val="0068744A"/>
    <w:rsid w:val="00687620"/>
    <w:rsid w:val="006879EF"/>
    <w:rsid w:val="00687BEE"/>
    <w:rsid w:val="00687DD9"/>
    <w:rsid w:val="00687F9D"/>
    <w:rsid w:val="00690800"/>
    <w:rsid w:val="006908A6"/>
    <w:rsid w:val="00690AC0"/>
    <w:rsid w:val="00690C54"/>
    <w:rsid w:val="00690DB9"/>
    <w:rsid w:val="00690EBE"/>
    <w:rsid w:val="0069108C"/>
    <w:rsid w:val="006910D5"/>
    <w:rsid w:val="00691492"/>
    <w:rsid w:val="0069156F"/>
    <w:rsid w:val="00691687"/>
    <w:rsid w:val="006916CA"/>
    <w:rsid w:val="006918E2"/>
    <w:rsid w:val="00691A4A"/>
    <w:rsid w:val="00691BBB"/>
    <w:rsid w:val="00691C97"/>
    <w:rsid w:val="00692123"/>
    <w:rsid w:val="006927E4"/>
    <w:rsid w:val="006929D7"/>
    <w:rsid w:val="00692B26"/>
    <w:rsid w:val="00692BE5"/>
    <w:rsid w:val="00692C95"/>
    <w:rsid w:val="00692F4A"/>
    <w:rsid w:val="00692F4C"/>
    <w:rsid w:val="006931A8"/>
    <w:rsid w:val="00693201"/>
    <w:rsid w:val="00693283"/>
    <w:rsid w:val="0069352F"/>
    <w:rsid w:val="0069374B"/>
    <w:rsid w:val="00693797"/>
    <w:rsid w:val="006937A4"/>
    <w:rsid w:val="006938D8"/>
    <w:rsid w:val="00693974"/>
    <w:rsid w:val="00693B4E"/>
    <w:rsid w:val="00693E91"/>
    <w:rsid w:val="00693EA4"/>
    <w:rsid w:val="00693F9A"/>
    <w:rsid w:val="00694144"/>
    <w:rsid w:val="006942D8"/>
    <w:rsid w:val="006943F3"/>
    <w:rsid w:val="0069488C"/>
    <w:rsid w:val="00694B27"/>
    <w:rsid w:val="00694BC1"/>
    <w:rsid w:val="00694C13"/>
    <w:rsid w:val="00694CD8"/>
    <w:rsid w:val="00695097"/>
    <w:rsid w:val="006951CA"/>
    <w:rsid w:val="00695436"/>
    <w:rsid w:val="0069552E"/>
    <w:rsid w:val="006955B3"/>
    <w:rsid w:val="006955BD"/>
    <w:rsid w:val="006958CA"/>
    <w:rsid w:val="0069593D"/>
    <w:rsid w:val="00695AC7"/>
    <w:rsid w:val="00695B8E"/>
    <w:rsid w:val="00695C95"/>
    <w:rsid w:val="00695D58"/>
    <w:rsid w:val="00695E9B"/>
    <w:rsid w:val="00696187"/>
    <w:rsid w:val="0069676F"/>
    <w:rsid w:val="00696792"/>
    <w:rsid w:val="006969BE"/>
    <w:rsid w:val="00696B01"/>
    <w:rsid w:val="00696CE2"/>
    <w:rsid w:val="00696CE9"/>
    <w:rsid w:val="00696DB9"/>
    <w:rsid w:val="00696DBD"/>
    <w:rsid w:val="00696EA4"/>
    <w:rsid w:val="00697094"/>
    <w:rsid w:val="0069717E"/>
    <w:rsid w:val="006974CC"/>
    <w:rsid w:val="00697741"/>
    <w:rsid w:val="0069780B"/>
    <w:rsid w:val="00697840"/>
    <w:rsid w:val="00697B0C"/>
    <w:rsid w:val="00697D94"/>
    <w:rsid w:val="00697E8A"/>
    <w:rsid w:val="006A003B"/>
    <w:rsid w:val="006A0111"/>
    <w:rsid w:val="006A0180"/>
    <w:rsid w:val="006A028B"/>
    <w:rsid w:val="006A0427"/>
    <w:rsid w:val="006A085A"/>
    <w:rsid w:val="006A0A93"/>
    <w:rsid w:val="006A0BDF"/>
    <w:rsid w:val="006A0C6F"/>
    <w:rsid w:val="006A0F74"/>
    <w:rsid w:val="006A12DE"/>
    <w:rsid w:val="006A1374"/>
    <w:rsid w:val="006A1571"/>
    <w:rsid w:val="006A1837"/>
    <w:rsid w:val="006A19D3"/>
    <w:rsid w:val="006A1D71"/>
    <w:rsid w:val="006A1E8E"/>
    <w:rsid w:val="006A2339"/>
    <w:rsid w:val="006A2426"/>
    <w:rsid w:val="006A253B"/>
    <w:rsid w:val="006A27AF"/>
    <w:rsid w:val="006A2ABE"/>
    <w:rsid w:val="006A2DFF"/>
    <w:rsid w:val="006A2FB8"/>
    <w:rsid w:val="006A2FF1"/>
    <w:rsid w:val="006A30DB"/>
    <w:rsid w:val="006A3347"/>
    <w:rsid w:val="006A3422"/>
    <w:rsid w:val="006A37C6"/>
    <w:rsid w:val="006A3B8C"/>
    <w:rsid w:val="006A3BE5"/>
    <w:rsid w:val="006A3E53"/>
    <w:rsid w:val="006A4091"/>
    <w:rsid w:val="006A430B"/>
    <w:rsid w:val="006A436D"/>
    <w:rsid w:val="006A43AF"/>
    <w:rsid w:val="006A448C"/>
    <w:rsid w:val="006A4617"/>
    <w:rsid w:val="006A4629"/>
    <w:rsid w:val="006A4710"/>
    <w:rsid w:val="006A47F7"/>
    <w:rsid w:val="006A481C"/>
    <w:rsid w:val="006A4A71"/>
    <w:rsid w:val="006A4E18"/>
    <w:rsid w:val="006A5373"/>
    <w:rsid w:val="006A545F"/>
    <w:rsid w:val="006A563F"/>
    <w:rsid w:val="006A5787"/>
    <w:rsid w:val="006A57EB"/>
    <w:rsid w:val="006A57F1"/>
    <w:rsid w:val="006A5808"/>
    <w:rsid w:val="006A5B6A"/>
    <w:rsid w:val="006A5C2C"/>
    <w:rsid w:val="006A5D33"/>
    <w:rsid w:val="006A5D98"/>
    <w:rsid w:val="006A6230"/>
    <w:rsid w:val="006A6454"/>
    <w:rsid w:val="006A6488"/>
    <w:rsid w:val="006A660A"/>
    <w:rsid w:val="006A69F1"/>
    <w:rsid w:val="006A6D0F"/>
    <w:rsid w:val="006A6D69"/>
    <w:rsid w:val="006A6DC6"/>
    <w:rsid w:val="006A6EAC"/>
    <w:rsid w:val="006A710A"/>
    <w:rsid w:val="006A71BD"/>
    <w:rsid w:val="006A7247"/>
    <w:rsid w:val="006A7399"/>
    <w:rsid w:val="006A7439"/>
    <w:rsid w:val="006A76CC"/>
    <w:rsid w:val="006A7903"/>
    <w:rsid w:val="006A7D00"/>
    <w:rsid w:val="006A7EE6"/>
    <w:rsid w:val="006B01B1"/>
    <w:rsid w:val="006B02B9"/>
    <w:rsid w:val="006B07C3"/>
    <w:rsid w:val="006B0A02"/>
    <w:rsid w:val="006B0B3E"/>
    <w:rsid w:val="006B0D0C"/>
    <w:rsid w:val="006B0E02"/>
    <w:rsid w:val="006B11D6"/>
    <w:rsid w:val="006B12F9"/>
    <w:rsid w:val="006B166E"/>
    <w:rsid w:val="006B1675"/>
    <w:rsid w:val="006B1A72"/>
    <w:rsid w:val="006B1C11"/>
    <w:rsid w:val="006B1D2F"/>
    <w:rsid w:val="006B2A66"/>
    <w:rsid w:val="006B2AD0"/>
    <w:rsid w:val="006B2D42"/>
    <w:rsid w:val="006B2E14"/>
    <w:rsid w:val="006B3073"/>
    <w:rsid w:val="006B31B1"/>
    <w:rsid w:val="006B38D5"/>
    <w:rsid w:val="006B39DA"/>
    <w:rsid w:val="006B3C72"/>
    <w:rsid w:val="006B3C8C"/>
    <w:rsid w:val="006B3E39"/>
    <w:rsid w:val="006B3E7E"/>
    <w:rsid w:val="006B403F"/>
    <w:rsid w:val="006B40F9"/>
    <w:rsid w:val="006B417D"/>
    <w:rsid w:val="006B4586"/>
    <w:rsid w:val="006B4938"/>
    <w:rsid w:val="006B49A3"/>
    <w:rsid w:val="006B4A83"/>
    <w:rsid w:val="006B4C57"/>
    <w:rsid w:val="006B4EE9"/>
    <w:rsid w:val="006B50BF"/>
    <w:rsid w:val="006B525C"/>
    <w:rsid w:val="006B5267"/>
    <w:rsid w:val="006B55B7"/>
    <w:rsid w:val="006B5660"/>
    <w:rsid w:val="006B56C7"/>
    <w:rsid w:val="006B586F"/>
    <w:rsid w:val="006B588E"/>
    <w:rsid w:val="006B5ACC"/>
    <w:rsid w:val="006B5BF0"/>
    <w:rsid w:val="006B5F10"/>
    <w:rsid w:val="006B5F36"/>
    <w:rsid w:val="006B617F"/>
    <w:rsid w:val="006B61A4"/>
    <w:rsid w:val="006B637C"/>
    <w:rsid w:val="006B6716"/>
    <w:rsid w:val="006B67CF"/>
    <w:rsid w:val="006B6A2A"/>
    <w:rsid w:val="006B6C63"/>
    <w:rsid w:val="006B6D28"/>
    <w:rsid w:val="006B6E2E"/>
    <w:rsid w:val="006B6E50"/>
    <w:rsid w:val="006B70DC"/>
    <w:rsid w:val="006B71A8"/>
    <w:rsid w:val="006B7369"/>
    <w:rsid w:val="006B7772"/>
    <w:rsid w:val="006B7970"/>
    <w:rsid w:val="006B7A71"/>
    <w:rsid w:val="006B7A78"/>
    <w:rsid w:val="006B7E81"/>
    <w:rsid w:val="006B7E99"/>
    <w:rsid w:val="006C0049"/>
    <w:rsid w:val="006C02A1"/>
    <w:rsid w:val="006C0413"/>
    <w:rsid w:val="006C04D8"/>
    <w:rsid w:val="006C05F2"/>
    <w:rsid w:val="006C0787"/>
    <w:rsid w:val="006C0793"/>
    <w:rsid w:val="006C0A37"/>
    <w:rsid w:val="006C0AC7"/>
    <w:rsid w:val="006C0B19"/>
    <w:rsid w:val="006C0E95"/>
    <w:rsid w:val="006C0EAF"/>
    <w:rsid w:val="006C0F11"/>
    <w:rsid w:val="006C1163"/>
    <w:rsid w:val="006C14C3"/>
    <w:rsid w:val="006C16C0"/>
    <w:rsid w:val="006C1985"/>
    <w:rsid w:val="006C1A65"/>
    <w:rsid w:val="006C1E5F"/>
    <w:rsid w:val="006C1F1B"/>
    <w:rsid w:val="006C1FED"/>
    <w:rsid w:val="006C2305"/>
    <w:rsid w:val="006C23AF"/>
    <w:rsid w:val="006C26AF"/>
    <w:rsid w:val="006C277E"/>
    <w:rsid w:val="006C28BF"/>
    <w:rsid w:val="006C2A5E"/>
    <w:rsid w:val="006C2AE1"/>
    <w:rsid w:val="006C3204"/>
    <w:rsid w:val="006C320C"/>
    <w:rsid w:val="006C33EE"/>
    <w:rsid w:val="006C34D6"/>
    <w:rsid w:val="006C350A"/>
    <w:rsid w:val="006C3523"/>
    <w:rsid w:val="006C3702"/>
    <w:rsid w:val="006C38AC"/>
    <w:rsid w:val="006C38F9"/>
    <w:rsid w:val="006C3AD7"/>
    <w:rsid w:val="006C3D8F"/>
    <w:rsid w:val="006C3E51"/>
    <w:rsid w:val="006C40C0"/>
    <w:rsid w:val="006C4190"/>
    <w:rsid w:val="006C4196"/>
    <w:rsid w:val="006C4244"/>
    <w:rsid w:val="006C4833"/>
    <w:rsid w:val="006C48CA"/>
    <w:rsid w:val="006C48CE"/>
    <w:rsid w:val="006C4C81"/>
    <w:rsid w:val="006C4E08"/>
    <w:rsid w:val="006C4F0C"/>
    <w:rsid w:val="006C4FFF"/>
    <w:rsid w:val="006C5145"/>
    <w:rsid w:val="006C51E9"/>
    <w:rsid w:val="006C55F3"/>
    <w:rsid w:val="006C5805"/>
    <w:rsid w:val="006C59CF"/>
    <w:rsid w:val="006C5BEB"/>
    <w:rsid w:val="006C5C64"/>
    <w:rsid w:val="006C5F4F"/>
    <w:rsid w:val="006C5F89"/>
    <w:rsid w:val="006C6057"/>
    <w:rsid w:val="006C62D2"/>
    <w:rsid w:val="006C63FA"/>
    <w:rsid w:val="006C6436"/>
    <w:rsid w:val="006C6572"/>
    <w:rsid w:val="006C66E7"/>
    <w:rsid w:val="006C6764"/>
    <w:rsid w:val="006C6986"/>
    <w:rsid w:val="006C6B7D"/>
    <w:rsid w:val="006C6DCD"/>
    <w:rsid w:val="006C7003"/>
    <w:rsid w:val="006C70B7"/>
    <w:rsid w:val="006C70E3"/>
    <w:rsid w:val="006C70F7"/>
    <w:rsid w:val="006C78E2"/>
    <w:rsid w:val="006C798E"/>
    <w:rsid w:val="006C7DF6"/>
    <w:rsid w:val="006D0367"/>
    <w:rsid w:val="006D03BF"/>
    <w:rsid w:val="006D0451"/>
    <w:rsid w:val="006D0464"/>
    <w:rsid w:val="006D0855"/>
    <w:rsid w:val="006D0CAF"/>
    <w:rsid w:val="006D0CC4"/>
    <w:rsid w:val="006D0D7E"/>
    <w:rsid w:val="006D0E16"/>
    <w:rsid w:val="006D0E5D"/>
    <w:rsid w:val="006D1397"/>
    <w:rsid w:val="006D1577"/>
    <w:rsid w:val="006D171C"/>
    <w:rsid w:val="006D1768"/>
    <w:rsid w:val="006D1B6C"/>
    <w:rsid w:val="006D1C1C"/>
    <w:rsid w:val="006D1CFA"/>
    <w:rsid w:val="006D21C7"/>
    <w:rsid w:val="006D21F4"/>
    <w:rsid w:val="006D2245"/>
    <w:rsid w:val="006D23B9"/>
    <w:rsid w:val="006D23E1"/>
    <w:rsid w:val="006D247B"/>
    <w:rsid w:val="006D24BB"/>
    <w:rsid w:val="006D24FC"/>
    <w:rsid w:val="006D26BD"/>
    <w:rsid w:val="006D2705"/>
    <w:rsid w:val="006D282F"/>
    <w:rsid w:val="006D2868"/>
    <w:rsid w:val="006D29B1"/>
    <w:rsid w:val="006D2BB2"/>
    <w:rsid w:val="006D2BF4"/>
    <w:rsid w:val="006D2DBE"/>
    <w:rsid w:val="006D2EA9"/>
    <w:rsid w:val="006D3024"/>
    <w:rsid w:val="006D30CF"/>
    <w:rsid w:val="006D348B"/>
    <w:rsid w:val="006D34AD"/>
    <w:rsid w:val="006D351A"/>
    <w:rsid w:val="006D3737"/>
    <w:rsid w:val="006D379F"/>
    <w:rsid w:val="006D3B29"/>
    <w:rsid w:val="006D3B59"/>
    <w:rsid w:val="006D3CC4"/>
    <w:rsid w:val="006D3D8D"/>
    <w:rsid w:val="006D3EFA"/>
    <w:rsid w:val="006D402B"/>
    <w:rsid w:val="006D41D5"/>
    <w:rsid w:val="006D421B"/>
    <w:rsid w:val="006D449E"/>
    <w:rsid w:val="006D4631"/>
    <w:rsid w:val="006D4728"/>
    <w:rsid w:val="006D4829"/>
    <w:rsid w:val="006D4961"/>
    <w:rsid w:val="006D4AE7"/>
    <w:rsid w:val="006D4BC2"/>
    <w:rsid w:val="006D4DA8"/>
    <w:rsid w:val="006D4DD1"/>
    <w:rsid w:val="006D51DE"/>
    <w:rsid w:val="006D522A"/>
    <w:rsid w:val="006D5331"/>
    <w:rsid w:val="006D5943"/>
    <w:rsid w:val="006D5A3D"/>
    <w:rsid w:val="006D5B34"/>
    <w:rsid w:val="006D5C42"/>
    <w:rsid w:val="006D5C4D"/>
    <w:rsid w:val="006D5CA1"/>
    <w:rsid w:val="006D5D2B"/>
    <w:rsid w:val="006D5E38"/>
    <w:rsid w:val="006D5FC3"/>
    <w:rsid w:val="006D6314"/>
    <w:rsid w:val="006D6343"/>
    <w:rsid w:val="006D64EB"/>
    <w:rsid w:val="006D6950"/>
    <w:rsid w:val="006D6ACA"/>
    <w:rsid w:val="006D6BB9"/>
    <w:rsid w:val="006D6BC7"/>
    <w:rsid w:val="006D6BE4"/>
    <w:rsid w:val="006D6CC7"/>
    <w:rsid w:val="006D6CFD"/>
    <w:rsid w:val="006D7459"/>
    <w:rsid w:val="006D761C"/>
    <w:rsid w:val="006D7D3C"/>
    <w:rsid w:val="006D7EB3"/>
    <w:rsid w:val="006E006D"/>
    <w:rsid w:val="006E0090"/>
    <w:rsid w:val="006E023D"/>
    <w:rsid w:val="006E0AD5"/>
    <w:rsid w:val="006E0C8C"/>
    <w:rsid w:val="006E0CAE"/>
    <w:rsid w:val="006E1091"/>
    <w:rsid w:val="006E128D"/>
    <w:rsid w:val="006E132A"/>
    <w:rsid w:val="006E173B"/>
    <w:rsid w:val="006E1860"/>
    <w:rsid w:val="006E188A"/>
    <w:rsid w:val="006E1993"/>
    <w:rsid w:val="006E1F08"/>
    <w:rsid w:val="006E205A"/>
    <w:rsid w:val="006E210E"/>
    <w:rsid w:val="006E2183"/>
    <w:rsid w:val="006E2211"/>
    <w:rsid w:val="006E2252"/>
    <w:rsid w:val="006E228D"/>
    <w:rsid w:val="006E22E2"/>
    <w:rsid w:val="006E2A37"/>
    <w:rsid w:val="006E2BA6"/>
    <w:rsid w:val="006E2BAD"/>
    <w:rsid w:val="006E2F1D"/>
    <w:rsid w:val="006E3334"/>
    <w:rsid w:val="006E33CF"/>
    <w:rsid w:val="006E36EF"/>
    <w:rsid w:val="006E38C0"/>
    <w:rsid w:val="006E3A90"/>
    <w:rsid w:val="006E3AB8"/>
    <w:rsid w:val="006E3BFD"/>
    <w:rsid w:val="006E3C4E"/>
    <w:rsid w:val="006E3F37"/>
    <w:rsid w:val="006E42AB"/>
    <w:rsid w:val="006E4386"/>
    <w:rsid w:val="006E46B4"/>
    <w:rsid w:val="006E4928"/>
    <w:rsid w:val="006E499F"/>
    <w:rsid w:val="006E4A3C"/>
    <w:rsid w:val="006E4D20"/>
    <w:rsid w:val="006E4DF5"/>
    <w:rsid w:val="006E5DC8"/>
    <w:rsid w:val="006E6207"/>
    <w:rsid w:val="006E62DC"/>
    <w:rsid w:val="006E662D"/>
    <w:rsid w:val="006E679B"/>
    <w:rsid w:val="006E68FE"/>
    <w:rsid w:val="006E6A15"/>
    <w:rsid w:val="006E6ABB"/>
    <w:rsid w:val="006E6C60"/>
    <w:rsid w:val="006E6DFA"/>
    <w:rsid w:val="006E6FF5"/>
    <w:rsid w:val="006E71CE"/>
    <w:rsid w:val="006E738E"/>
    <w:rsid w:val="006E73AE"/>
    <w:rsid w:val="006E75A5"/>
    <w:rsid w:val="006E7617"/>
    <w:rsid w:val="006E790E"/>
    <w:rsid w:val="006E7A08"/>
    <w:rsid w:val="006E7B0B"/>
    <w:rsid w:val="006F02DC"/>
    <w:rsid w:val="006F0436"/>
    <w:rsid w:val="006F04CF"/>
    <w:rsid w:val="006F056B"/>
    <w:rsid w:val="006F0663"/>
    <w:rsid w:val="006F0712"/>
    <w:rsid w:val="006F07C1"/>
    <w:rsid w:val="006F0CB9"/>
    <w:rsid w:val="006F0CDF"/>
    <w:rsid w:val="006F0FEC"/>
    <w:rsid w:val="006F1283"/>
    <w:rsid w:val="006F1286"/>
    <w:rsid w:val="006F165F"/>
    <w:rsid w:val="006F1665"/>
    <w:rsid w:val="006F16F1"/>
    <w:rsid w:val="006F1843"/>
    <w:rsid w:val="006F1A7C"/>
    <w:rsid w:val="006F1DE3"/>
    <w:rsid w:val="006F2460"/>
    <w:rsid w:val="006F257F"/>
    <w:rsid w:val="006F25C9"/>
    <w:rsid w:val="006F26B9"/>
    <w:rsid w:val="006F2750"/>
    <w:rsid w:val="006F2757"/>
    <w:rsid w:val="006F2A71"/>
    <w:rsid w:val="006F2ADD"/>
    <w:rsid w:val="006F2D00"/>
    <w:rsid w:val="006F2FC6"/>
    <w:rsid w:val="006F2FD3"/>
    <w:rsid w:val="006F353A"/>
    <w:rsid w:val="006F357F"/>
    <w:rsid w:val="006F3617"/>
    <w:rsid w:val="006F3AE9"/>
    <w:rsid w:val="006F3D45"/>
    <w:rsid w:val="006F3D8C"/>
    <w:rsid w:val="006F3F04"/>
    <w:rsid w:val="006F45FB"/>
    <w:rsid w:val="006F464E"/>
    <w:rsid w:val="006F46CA"/>
    <w:rsid w:val="006F4978"/>
    <w:rsid w:val="006F4A90"/>
    <w:rsid w:val="006F4DEC"/>
    <w:rsid w:val="006F4F34"/>
    <w:rsid w:val="006F5473"/>
    <w:rsid w:val="006F586C"/>
    <w:rsid w:val="006F59AC"/>
    <w:rsid w:val="006F5B16"/>
    <w:rsid w:val="006F5C1F"/>
    <w:rsid w:val="006F5F44"/>
    <w:rsid w:val="006F5FC0"/>
    <w:rsid w:val="006F6130"/>
    <w:rsid w:val="006F6356"/>
    <w:rsid w:val="006F6501"/>
    <w:rsid w:val="006F66E5"/>
    <w:rsid w:val="006F66F9"/>
    <w:rsid w:val="006F6A70"/>
    <w:rsid w:val="006F6BB2"/>
    <w:rsid w:val="006F71BC"/>
    <w:rsid w:val="006F739E"/>
    <w:rsid w:val="006F7652"/>
    <w:rsid w:val="006F7686"/>
    <w:rsid w:val="006F7726"/>
    <w:rsid w:val="006F7872"/>
    <w:rsid w:val="006F7990"/>
    <w:rsid w:val="006F7AA1"/>
    <w:rsid w:val="006F7B63"/>
    <w:rsid w:val="006F7D7B"/>
    <w:rsid w:val="006F7F2E"/>
    <w:rsid w:val="00700197"/>
    <w:rsid w:val="007004E0"/>
    <w:rsid w:val="0070060D"/>
    <w:rsid w:val="00700792"/>
    <w:rsid w:val="00700A4C"/>
    <w:rsid w:val="00700AC7"/>
    <w:rsid w:val="00700BF8"/>
    <w:rsid w:val="00700C50"/>
    <w:rsid w:val="00700CEC"/>
    <w:rsid w:val="00700E39"/>
    <w:rsid w:val="0070103F"/>
    <w:rsid w:val="00701161"/>
    <w:rsid w:val="00701604"/>
    <w:rsid w:val="0070186D"/>
    <w:rsid w:val="00701B16"/>
    <w:rsid w:val="00701B3F"/>
    <w:rsid w:val="00701C29"/>
    <w:rsid w:val="00701F88"/>
    <w:rsid w:val="00701FE1"/>
    <w:rsid w:val="00702321"/>
    <w:rsid w:val="00703139"/>
    <w:rsid w:val="0070316F"/>
    <w:rsid w:val="0070319A"/>
    <w:rsid w:val="007031AA"/>
    <w:rsid w:val="00703552"/>
    <w:rsid w:val="0070384A"/>
    <w:rsid w:val="0070399D"/>
    <w:rsid w:val="00703A41"/>
    <w:rsid w:val="00703B5C"/>
    <w:rsid w:val="00703CF8"/>
    <w:rsid w:val="00703D39"/>
    <w:rsid w:val="0070418B"/>
    <w:rsid w:val="007042C9"/>
    <w:rsid w:val="007042FD"/>
    <w:rsid w:val="007044AE"/>
    <w:rsid w:val="007048F0"/>
    <w:rsid w:val="0070492D"/>
    <w:rsid w:val="00704AB0"/>
    <w:rsid w:val="00704C1F"/>
    <w:rsid w:val="00704C31"/>
    <w:rsid w:val="0070533F"/>
    <w:rsid w:val="0070563B"/>
    <w:rsid w:val="007059B5"/>
    <w:rsid w:val="007059D6"/>
    <w:rsid w:val="00705AF6"/>
    <w:rsid w:val="00705C67"/>
    <w:rsid w:val="007064D3"/>
    <w:rsid w:val="007068DC"/>
    <w:rsid w:val="007068F5"/>
    <w:rsid w:val="00706BF6"/>
    <w:rsid w:val="00706C0F"/>
    <w:rsid w:val="00706C8B"/>
    <w:rsid w:val="00706F66"/>
    <w:rsid w:val="00706FC5"/>
    <w:rsid w:val="0070772F"/>
    <w:rsid w:val="00707750"/>
    <w:rsid w:val="007078C1"/>
    <w:rsid w:val="0070791E"/>
    <w:rsid w:val="007079FC"/>
    <w:rsid w:val="00707B66"/>
    <w:rsid w:val="00707C57"/>
    <w:rsid w:val="00707F70"/>
    <w:rsid w:val="00710029"/>
    <w:rsid w:val="00710090"/>
    <w:rsid w:val="007101C6"/>
    <w:rsid w:val="007105B7"/>
    <w:rsid w:val="0071060F"/>
    <w:rsid w:val="007107CA"/>
    <w:rsid w:val="00710820"/>
    <w:rsid w:val="00710B38"/>
    <w:rsid w:val="00710BDA"/>
    <w:rsid w:val="00710BF6"/>
    <w:rsid w:val="00710C70"/>
    <w:rsid w:val="00710E89"/>
    <w:rsid w:val="00711110"/>
    <w:rsid w:val="00711262"/>
    <w:rsid w:val="00711584"/>
    <w:rsid w:val="00711714"/>
    <w:rsid w:val="00711800"/>
    <w:rsid w:val="0071188D"/>
    <w:rsid w:val="007118A4"/>
    <w:rsid w:val="007118E1"/>
    <w:rsid w:val="007118FA"/>
    <w:rsid w:val="00711A85"/>
    <w:rsid w:val="00711AEE"/>
    <w:rsid w:val="0071201E"/>
    <w:rsid w:val="007120BA"/>
    <w:rsid w:val="00712290"/>
    <w:rsid w:val="007124CB"/>
    <w:rsid w:val="007127C8"/>
    <w:rsid w:val="007128A1"/>
    <w:rsid w:val="00712940"/>
    <w:rsid w:val="00712CAA"/>
    <w:rsid w:val="00712CAE"/>
    <w:rsid w:val="00712E43"/>
    <w:rsid w:val="00712F11"/>
    <w:rsid w:val="00712FD8"/>
    <w:rsid w:val="007130B7"/>
    <w:rsid w:val="00713103"/>
    <w:rsid w:val="00713129"/>
    <w:rsid w:val="007131FF"/>
    <w:rsid w:val="007132B1"/>
    <w:rsid w:val="007139E2"/>
    <w:rsid w:val="00713AC2"/>
    <w:rsid w:val="00713D03"/>
    <w:rsid w:val="00713E6E"/>
    <w:rsid w:val="0071405A"/>
    <w:rsid w:val="0071435B"/>
    <w:rsid w:val="00715066"/>
    <w:rsid w:val="0071535B"/>
    <w:rsid w:val="007153BE"/>
    <w:rsid w:val="007153DC"/>
    <w:rsid w:val="00715B97"/>
    <w:rsid w:val="00715BF0"/>
    <w:rsid w:val="00716042"/>
    <w:rsid w:val="007160EE"/>
    <w:rsid w:val="007162FD"/>
    <w:rsid w:val="007165FA"/>
    <w:rsid w:val="0071671D"/>
    <w:rsid w:val="00716997"/>
    <w:rsid w:val="00716AC2"/>
    <w:rsid w:val="00716D66"/>
    <w:rsid w:val="00716EB7"/>
    <w:rsid w:val="00717411"/>
    <w:rsid w:val="007176BA"/>
    <w:rsid w:val="007177E4"/>
    <w:rsid w:val="00717A4D"/>
    <w:rsid w:val="00717A79"/>
    <w:rsid w:val="00717B4A"/>
    <w:rsid w:val="00717BB5"/>
    <w:rsid w:val="00717FC7"/>
    <w:rsid w:val="00720225"/>
    <w:rsid w:val="0072028E"/>
    <w:rsid w:val="00720482"/>
    <w:rsid w:val="007204B3"/>
    <w:rsid w:val="00720604"/>
    <w:rsid w:val="00720829"/>
    <w:rsid w:val="007209C9"/>
    <w:rsid w:val="00720B17"/>
    <w:rsid w:val="00720E22"/>
    <w:rsid w:val="00720F84"/>
    <w:rsid w:val="00721145"/>
    <w:rsid w:val="00721241"/>
    <w:rsid w:val="00721286"/>
    <w:rsid w:val="007215CD"/>
    <w:rsid w:val="00721662"/>
    <w:rsid w:val="007220E8"/>
    <w:rsid w:val="00722223"/>
    <w:rsid w:val="007222B2"/>
    <w:rsid w:val="00722392"/>
    <w:rsid w:val="0072255E"/>
    <w:rsid w:val="00722663"/>
    <w:rsid w:val="00722AC3"/>
    <w:rsid w:val="00722F26"/>
    <w:rsid w:val="00722F7C"/>
    <w:rsid w:val="00723087"/>
    <w:rsid w:val="00723466"/>
    <w:rsid w:val="007234CB"/>
    <w:rsid w:val="00723706"/>
    <w:rsid w:val="0072385B"/>
    <w:rsid w:val="00723961"/>
    <w:rsid w:val="007239D2"/>
    <w:rsid w:val="00723A4C"/>
    <w:rsid w:val="00723B1E"/>
    <w:rsid w:val="00723E37"/>
    <w:rsid w:val="00723F86"/>
    <w:rsid w:val="007240C6"/>
    <w:rsid w:val="0072429F"/>
    <w:rsid w:val="00724A34"/>
    <w:rsid w:val="00724B3F"/>
    <w:rsid w:val="00724BEB"/>
    <w:rsid w:val="00724D7B"/>
    <w:rsid w:val="00724FB7"/>
    <w:rsid w:val="00724FF3"/>
    <w:rsid w:val="00725032"/>
    <w:rsid w:val="00725111"/>
    <w:rsid w:val="00725286"/>
    <w:rsid w:val="00725386"/>
    <w:rsid w:val="007254E7"/>
    <w:rsid w:val="0072577F"/>
    <w:rsid w:val="007257E7"/>
    <w:rsid w:val="00725B8C"/>
    <w:rsid w:val="00725D7B"/>
    <w:rsid w:val="00725EC2"/>
    <w:rsid w:val="00725F0A"/>
    <w:rsid w:val="0072604C"/>
    <w:rsid w:val="007263C9"/>
    <w:rsid w:val="007265C0"/>
    <w:rsid w:val="00726605"/>
    <w:rsid w:val="007266BF"/>
    <w:rsid w:val="00726712"/>
    <w:rsid w:val="00726797"/>
    <w:rsid w:val="00726838"/>
    <w:rsid w:val="007268A1"/>
    <w:rsid w:val="00726946"/>
    <w:rsid w:val="007269E9"/>
    <w:rsid w:val="00726A52"/>
    <w:rsid w:val="00726CAD"/>
    <w:rsid w:val="00726DD1"/>
    <w:rsid w:val="00726F3B"/>
    <w:rsid w:val="00726FD6"/>
    <w:rsid w:val="00727085"/>
    <w:rsid w:val="00727173"/>
    <w:rsid w:val="00727560"/>
    <w:rsid w:val="007275E5"/>
    <w:rsid w:val="007276D3"/>
    <w:rsid w:val="0072774E"/>
    <w:rsid w:val="007277CF"/>
    <w:rsid w:val="0072798A"/>
    <w:rsid w:val="00727F97"/>
    <w:rsid w:val="0073011C"/>
    <w:rsid w:val="007308ED"/>
    <w:rsid w:val="00730A76"/>
    <w:rsid w:val="00730CFE"/>
    <w:rsid w:val="00730E29"/>
    <w:rsid w:val="00731053"/>
    <w:rsid w:val="0073149C"/>
    <w:rsid w:val="0073154B"/>
    <w:rsid w:val="00731892"/>
    <w:rsid w:val="00731893"/>
    <w:rsid w:val="00731F75"/>
    <w:rsid w:val="00732044"/>
    <w:rsid w:val="007320F1"/>
    <w:rsid w:val="007323F8"/>
    <w:rsid w:val="00732C4F"/>
    <w:rsid w:val="00732D1B"/>
    <w:rsid w:val="00732D8B"/>
    <w:rsid w:val="00733075"/>
    <w:rsid w:val="007332E1"/>
    <w:rsid w:val="007333BA"/>
    <w:rsid w:val="007334E1"/>
    <w:rsid w:val="0073359F"/>
    <w:rsid w:val="0073363F"/>
    <w:rsid w:val="0073389F"/>
    <w:rsid w:val="00733961"/>
    <w:rsid w:val="00733D43"/>
    <w:rsid w:val="00733DD0"/>
    <w:rsid w:val="00733E6E"/>
    <w:rsid w:val="00733F0A"/>
    <w:rsid w:val="00733FD6"/>
    <w:rsid w:val="00734234"/>
    <w:rsid w:val="00734352"/>
    <w:rsid w:val="007343DA"/>
    <w:rsid w:val="0073480E"/>
    <w:rsid w:val="00734FA3"/>
    <w:rsid w:val="007350DC"/>
    <w:rsid w:val="0073517F"/>
    <w:rsid w:val="007353BA"/>
    <w:rsid w:val="00735536"/>
    <w:rsid w:val="007356BA"/>
    <w:rsid w:val="007356E8"/>
    <w:rsid w:val="0073573F"/>
    <w:rsid w:val="0073591D"/>
    <w:rsid w:val="00735979"/>
    <w:rsid w:val="00735CCA"/>
    <w:rsid w:val="00735E2B"/>
    <w:rsid w:val="00736122"/>
    <w:rsid w:val="00736226"/>
    <w:rsid w:val="007362FA"/>
    <w:rsid w:val="00736512"/>
    <w:rsid w:val="00736587"/>
    <w:rsid w:val="0073665C"/>
    <w:rsid w:val="00736695"/>
    <w:rsid w:val="00736E91"/>
    <w:rsid w:val="007370F7"/>
    <w:rsid w:val="00737550"/>
    <w:rsid w:val="007375B8"/>
    <w:rsid w:val="00737743"/>
    <w:rsid w:val="00737849"/>
    <w:rsid w:val="00737970"/>
    <w:rsid w:val="00737A1A"/>
    <w:rsid w:val="00737B48"/>
    <w:rsid w:val="00737D02"/>
    <w:rsid w:val="00737D87"/>
    <w:rsid w:val="00737F1D"/>
    <w:rsid w:val="007401E9"/>
    <w:rsid w:val="0074048A"/>
    <w:rsid w:val="0074061A"/>
    <w:rsid w:val="007407A7"/>
    <w:rsid w:val="00740992"/>
    <w:rsid w:val="00740C3F"/>
    <w:rsid w:val="00740E6D"/>
    <w:rsid w:val="00740E6E"/>
    <w:rsid w:val="00740EB7"/>
    <w:rsid w:val="00740ED0"/>
    <w:rsid w:val="0074102D"/>
    <w:rsid w:val="00741381"/>
    <w:rsid w:val="007417A0"/>
    <w:rsid w:val="0074180D"/>
    <w:rsid w:val="00741898"/>
    <w:rsid w:val="00741906"/>
    <w:rsid w:val="00741941"/>
    <w:rsid w:val="00741A50"/>
    <w:rsid w:val="00741B4D"/>
    <w:rsid w:val="00742024"/>
    <w:rsid w:val="0074215E"/>
    <w:rsid w:val="007421F8"/>
    <w:rsid w:val="007428C8"/>
    <w:rsid w:val="00742999"/>
    <w:rsid w:val="00742AC5"/>
    <w:rsid w:val="00742DA4"/>
    <w:rsid w:val="00742EA1"/>
    <w:rsid w:val="007430E1"/>
    <w:rsid w:val="00743220"/>
    <w:rsid w:val="007435CE"/>
    <w:rsid w:val="00743838"/>
    <w:rsid w:val="00743A2D"/>
    <w:rsid w:val="00743D79"/>
    <w:rsid w:val="00744049"/>
    <w:rsid w:val="00744273"/>
    <w:rsid w:val="007443DA"/>
    <w:rsid w:val="007446B8"/>
    <w:rsid w:val="00744781"/>
    <w:rsid w:val="00744896"/>
    <w:rsid w:val="00744902"/>
    <w:rsid w:val="00744C8E"/>
    <w:rsid w:val="00744E3A"/>
    <w:rsid w:val="00744E49"/>
    <w:rsid w:val="00745097"/>
    <w:rsid w:val="00745145"/>
    <w:rsid w:val="007452B2"/>
    <w:rsid w:val="0074533D"/>
    <w:rsid w:val="007454F7"/>
    <w:rsid w:val="00745688"/>
    <w:rsid w:val="007456D8"/>
    <w:rsid w:val="007456F5"/>
    <w:rsid w:val="00745711"/>
    <w:rsid w:val="00745782"/>
    <w:rsid w:val="0074580E"/>
    <w:rsid w:val="00745A70"/>
    <w:rsid w:val="00745E4F"/>
    <w:rsid w:val="00745F33"/>
    <w:rsid w:val="00745F47"/>
    <w:rsid w:val="007460C7"/>
    <w:rsid w:val="00746113"/>
    <w:rsid w:val="007461AD"/>
    <w:rsid w:val="007461C7"/>
    <w:rsid w:val="00746733"/>
    <w:rsid w:val="00746B19"/>
    <w:rsid w:val="00746E3F"/>
    <w:rsid w:val="007472DB"/>
    <w:rsid w:val="0074740A"/>
    <w:rsid w:val="007474B6"/>
    <w:rsid w:val="007474F8"/>
    <w:rsid w:val="007476F8"/>
    <w:rsid w:val="0074781E"/>
    <w:rsid w:val="00747C4F"/>
    <w:rsid w:val="00747D8B"/>
    <w:rsid w:val="00747ED0"/>
    <w:rsid w:val="00747F3A"/>
    <w:rsid w:val="00747FA8"/>
    <w:rsid w:val="00750364"/>
    <w:rsid w:val="0075053E"/>
    <w:rsid w:val="00750AF7"/>
    <w:rsid w:val="00750E97"/>
    <w:rsid w:val="00751062"/>
    <w:rsid w:val="007510B6"/>
    <w:rsid w:val="0075134A"/>
    <w:rsid w:val="007513CC"/>
    <w:rsid w:val="007515B2"/>
    <w:rsid w:val="0075162D"/>
    <w:rsid w:val="00751774"/>
    <w:rsid w:val="007517D2"/>
    <w:rsid w:val="00751823"/>
    <w:rsid w:val="00751B34"/>
    <w:rsid w:val="00751B82"/>
    <w:rsid w:val="007520F1"/>
    <w:rsid w:val="0075218C"/>
    <w:rsid w:val="007521C5"/>
    <w:rsid w:val="0075276F"/>
    <w:rsid w:val="007527E1"/>
    <w:rsid w:val="00752833"/>
    <w:rsid w:val="007528AA"/>
    <w:rsid w:val="00752F0A"/>
    <w:rsid w:val="00753433"/>
    <w:rsid w:val="0075346E"/>
    <w:rsid w:val="00753641"/>
    <w:rsid w:val="007536D3"/>
    <w:rsid w:val="00753740"/>
    <w:rsid w:val="007537AF"/>
    <w:rsid w:val="0075383D"/>
    <w:rsid w:val="00753845"/>
    <w:rsid w:val="007539BD"/>
    <w:rsid w:val="00753B73"/>
    <w:rsid w:val="00753B82"/>
    <w:rsid w:val="00753C3A"/>
    <w:rsid w:val="00753D84"/>
    <w:rsid w:val="00753E39"/>
    <w:rsid w:val="00753FE4"/>
    <w:rsid w:val="007540BD"/>
    <w:rsid w:val="0075412A"/>
    <w:rsid w:val="007542A0"/>
    <w:rsid w:val="00754707"/>
    <w:rsid w:val="0075492C"/>
    <w:rsid w:val="00754939"/>
    <w:rsid w:val="00754A31"/>
    <w:rsid w:val="00754C83"/>
    <w:rsid w:val="00754D35"/>
    <w:rsid w:val="007551C5"/>
    <w:rsid w:val="0075522F"/>
    <w:rsid w:val="00755836"/>
    <w:rsid w:val="00755A52"/>
    <w:rsid w:val="00755AD3"/>
    <w:rsid w:val="00755EE2"/>
    <w:rsid w:val="007560C5"/>
    <w:rsid w:val="0075642E"/>
    <w:rsid w:val="00756658"/>
    <w:rsid w:val="007568DC"/>
    <w:rsid w:val="00756BCE"/>
    <w:rsid w:val="00756CBB"/>
    <w:rsid w:val="00756FC5"/>
    <w:rsid w:val="0075718F"/>
    <w:rsid w:val="007574D2"/>
    <w:rsid w:val="007576D2"/>
    <w:rsid w:val="00757AE7"/>
    <w:rsid w:val="00757C8B"/>
    <w:rsid w:val="00760069"/>
    <w:rsid w:val="00760178"/>
    <w:rsid w:val="00760265"/>
    <w:rsid w:val="00760388"/>
    <w:rsid w:val="0076045D"/>
    <w:rsid w:val="0076061C"/>
    <w:rsid w:val="00760650"/>
    <w:rsid w:val="00760B39"/>
    <w:rsid w:val="00760BC2"/>
    <w:rsid w:val="00760BDC"/>
    <w:rsid w:val="00760D15"/>
    <w:rsid w:val="00760F14"/>
    <w:rsid w:val="00760F2B"/>
    <w:rsid w:val="007612A5"/>
    <w:rsid w:val="007612C8"/>
    <w:rsid w:val="00761412"/>
    <w:rsid w:val="00761508"/>
    <w:rsid w:val="007615DE"/>
    <w:rsid w:val="007616D0"/>
    <w:rsid w:val="00761718"/>
    <w:rsid w:val="00761738"/>
    <w:rsid w:val="00761786"/>
    <w:rsid w:val="00761C53"/>
    <w:rsid w:val="00761CD0"/>
    <w:rsid w:val="00761D75"/>
    <w:rsid w:val="00761DFD"/>
    <w:rsid w:val="00761ECF"/>
    <w:rsid w:val="00762135"/>
    <w:rsid w:val="00762138"/>
    <w:rsid w:val="0076226C"/>
    <w:rsid w:val="00762325"/>
    <w:rsid w:val="00762342"/>
    <w:rsid w:val="0076241E"/>
    <w:rsid w:val="00762490"/>
    <w:rsid w:val="00762807"/>
    <w:rsid w:val="0076345E"/>
    <w:rsid w:val="0076362A"/>
    <w:rsid w:val="00763656"/>
    <w:rsid w:val="00763A25"/>
    <w:rsid w:val="00763BC6"/>
    <w:rsid w:val="00763CD4"/>
    <w:rsid w:val="00764523"/>
    <w:rsid w:val="007645F1"/>
    <w:rsid w:val="00764625"/>
    <w:rsid w:val="0076463A"/>
    <w:rsid w:val="0076488A"/>
    <w:rsid w:val="00764967"/>
    <w:rsid w:val="00764B63"/>
    <w:rsid w:val="00764BB1"/>
    <w:rsid w:val="00764C70"/>
    <w:rsid w:val="00764D58"/>
    <w:rsid w:val="00764DAD"/>
    <w:rsid w:val="00764F09"/>
    <w:rsid w:val="00764FBF"/>
    <w:rsid w:val="00764FEC"/>
    <w:rsid w:val="00765125"/>
    <w:rsid w:val="007653DB"/>
    <w:rsid w:val="00765794"/>
    <w:rsid w:val="00765943"/>
    <w:rsid w:val="00765976"/>
    <w:rsid w:val="007659AE"/>
    <w:rsid w:val="00765AD8"/>
    <w:rsid w:val="00765BF7"/>
    <w:rsid w:val="00765D05"/>
    <w:rsid w:val="00765DD7"/>
    <w:rsid w:val="00765F0F"/>
    <w:rsid w:val="00766316"/>
    <w:rsid w:val="00766320"/>
    <w:rsid w:val="0076647E"/>
    <w:rsid w:val="007666FF"/>
    <w:rsid w:val="00766B41"/>
    <w:rsid w:val="00767499"/>
    <w:rsid w:val="00767534"/>
    <w:rsid w:val="0076763D"/>
    <w:rsid w:val="00767715"/>
    <w:rsid w:val="00767891"/>
    <w:rsid w:val="007678BA"/>
    <w:rsid w:val="00767964"/>
    <w:rsid w:val="00767B92"/>
    <w:rsid w:val="00767BBA"/>
    <w:rsid w:val="00767BF2"/>
    <w:rsid w:val="00767D86"/>
    <w:rsid w:val="00770349"/>
    <w:rsid w:val="00770395"/>
    <w:rsid w:val="0077047C"/>
    <w:rsid w:val="0077071B"/>
    <w:rsid w:val="00770800"/>
    <w:rsid w:val="007709E7"/>
    <w:rsid w:val="00770A96"/>
    <w:rsid w:val="00770AFD"/>
    <w:rsid w:val="00770D6B"/>
    <w:rsid w:val="00770E94"/>
    <w:rsid w:val="00770FE2"/>
    <w:rsid w:val="0077130C"/>
    <w:rsid w:val="0077135D"/>
    <w:rsid w:val="00771463"/>
    <w:rsid w:val="00771575"/>
    <w:rsid w:val="007716B6"/>
    <w:rsid w:val="00771BAB"/>
    <w:rsid w:val="00771F03"/>
    <w:rsid w:val="00771F6D"/>
    <w:rsid w:val="007722D9"/>
    <w:rsid w:val="0077255B"/>
    <w:rsid w:val="007730B2"/>
    <w:rsid w:val="007731E3"/>
    <w:rsid w:val="00773267"/>
    <w:rsid w:val="00773293"/>
    <w:rsid w:val="007732E7"/>
    <w:rsid w:val="0077340D"/>
    <w:rsid w:val="00773558"/>
    <w:rsid w:val="007736F1"/>
    <w:rsid w:val="0077374E"/>
    <w:rsid w:val="007737F2"/>
    <w:rsid w:val="00773856"/>
    <w:rsid w:val="00773A95"/>
    <w:rsid w:val="00773B26"/>
    <w:rsid w:val="00773C31"/>
    <w:rsid w:val="00773D58"/>
    <w:rsid w:val="00773E19"/>
    <w:rsid w:val="007740DA"/>
    <w:rsid w:val="007740ED"/>
    <w:rsid w:val="00774256"/>
    <w:rsid w:val="007743E1"/>
    <w:rsid w:val="00774418"/>
    <w:rsid w:val="007744F3"/>
    <w:rsid w:val="00774A33"/>
    <w:rsid w:val="00774A5C"/>
    <w:rsid w:val="00774B0E"/>
    <w:rsid w:val="00774C3E"/>
    <w:rsid w:val="00774CAA"/>
    <w:rsid w:val="00774EE0"/>
    <w:rsid w:val="00775203"/>
    <w:rsid w:val="00775767"/>
    <w:rsid w:val="007757D5"/>
    <w:rsid w:val="0077593A"/>
    <w:rsid w:val="00775BE8"/>
    <w:rsid w:val="00775DA7"/>
    <w:rsid w:val="00775DF4"/>
    <w:rsid w:val="00776082"/>
    <w:rsid w:val="0077624B"/>
    <w:rsid w:val="007762CD"/>
    <w:rsid w:val="0077651E"/>
    <w:rsid w:val="00776554"/>
    <w:rsid w:val="00776618"/>
    <w:rsid w:val="00776628"/>
    <w:rsid w:val="007766E6"/>
    <w:rsid w:val="0077676D"/>
    <w:rsid w:val="00776A39"/>
    <w:rsid w:val="00776B8B"/>
    <w:rsid w:val="00776C76"/>
    <w:rsid w:val="00776CC6"/>
    <w:rsid w:val="00777082"/>
    <w:rsid w:val="007770BC"/>
    <w:rsid w:val="007770C7"/>
    <w:rsid w:val="00777643"/>
    <w:rsid w:val="00777687"/>
    <w:rsid w:val="0077785C"/>
    <w:rsid w:val="0077786F"/>
    <w:rsid w:val="0077789A"/>
    <w:rsid w:val="00777B02"/>
    <w:rsid w:val="00777B9D"/>
    <w:rsid w:val="00777D0D"/>
    <w:rsid w:val="00777DC2"/>
    <w:rsid w:val="00777E6A"/>
    <w:rsid w:val="00777FD7"/>
    <w:rsid w:val="00777FF4"/>
    <w:rsid w:val="00780285"/>
    <w:rsid w:val="0078040B"/>
    <w:rsid w:val="00780456"/>
    <w:rsid w:val="0078046E"/>
    <w:rsid w:val="007804C0"/>
    <w:rsid w:val="0078051D"/>
    <w:rsid w:val="00780572"/>
    <w:rsid w:val="007806EB"/>
    <w:rsid w:val="0078070F"/>
    <w:rsid w:val="00780734"/>
    <w:rsid w:val="00780BEE"/>
    <w:rsid w:val="00780ED5"/>
    <w:rsid w:val="00781063"/>
    <w:rsid w:val="007811BE"/>
    <w:rsid w:val="0078133C"/>
    <w:rsid w:val="007813AE"/>
    <w:rsid w:val="007816D0"/>
    <w:rsid w:val="007817C6"/>
    <w:rsid w:val="00781865"/>
    <w:rsid w:val="0078186F"/>
    <w:rsid w:val="007819AB"/>
    <w:rsid w:val="007819CE"/>
    <w:rsid w:val="00781D48"/>
    <w:rsid w:val="007820DF"/>
    <w:rsid w:val="00782354"/>
    <w:rsid w:val="007824CB"/>
    <w:rsid w:val="0078298F"/>
    <w:rsid w:val="00782A37"/>
    <w:rsid w:val="00782C44"/>
    <w:rsid w:val="00782DBE"/>
    <w:rsid w:val="00782DC4"/>
    <w:rsid w:val="00783375"/>
    <w:rsid w:val="007834CE"/>
    <w:rsid w:val="00783801"/>
    <w:rsid w:val="0078383B"/>
    <w:rsid w:val="007838AD"/>
    <w:rsid w:val="00783A7E"/>
    <w:rsid w:val="00783CE0"/>
    <w:rsid w:val="00783D75"/>
    <w:rsid w:val="00783E0D"/>
    <w:rsid w:val="00783E7F"/>
    <w:rsid w:val="00783EC5"/>
    <w:rsid w:val="007840A8"/>
    <w:rsid w:val="0078419A"/>
    <w:rsid w:val="0078420B"/>
    <w:rsid w:val="00784440"/>
    <w:rsid w:val="0078477E"/>
    <w:rsid w:val="00784D8D"/>
    <w:rsid w:val="00784DBF"/>
    <w:rsid w:val="007850F7"/>
    <w:rsid w:val="0078529C"/>
    <w:rsid w:val="007854C1"/>
    <w:rsid w:val="00785519"/>
    <w:rsid w:val="00785668"/>
    <w:rsid w:val="0078566C"/>
    <w:rsid w:val="00785713"/>
    <w:rsid w:val="00785980"/>
    <w:rsid w:val="00785DD2"/>
    <w:rsid w:val="00785E48"/>
    <w:rsid w:val="007860D0"/>
    <w:rsid w:val="0078610D"/>
    <w:rsid w:val="00786349"/>
    <w:rsid w:val="0078648F"/>
    <w:rsid w:val="00786833"/>
    <w:rsid w:val="007868ED"/>
    <w:rsid w:val="007869DC"/>
    <w:rsid w:val="00786AE6"/>
    <w:rsid w:val="00786C93"/>
    <w:rsid w:val="00786D43"/>
    <w:rsid w:val="00786E13"/>
    <w:rsid w:val="00786E99"/>
    <w:rsid w:val="00787063"/>
    <w:rsid w:val="0078724E"/>
    <w:rsid w:val="00787289"/>
    <w:rsid w:val="007874F5"/>
    <w:rsid w:val="00787651"/>
    <w:rsid w:val="007879C4"/>
    <w:rsid w:val="00787A41"/>
    <w:rsid w:val="00787B2D"/>
    <w:rsid w:val="00787D55"/>
    <w:rsid w:val="00787DAD"/>
    <w:rsid w:val="007901A2"/>
    <w:rsid w:val="007901BB"/>
    <w:rsid w:val="007901C3"/>
    <w:rsid w:val="007902BB"/>
    <w:rsid w:val="00790312"/>
    <w:rsid w:val="0079038D"/>
    <w:rsid w:val="007903BE"/>
    <w:rsid w:val="007903D9"/>
    <w:rsid w:val="0079064B"/>
    <w:rsid w:val="00790667"/>
    <w:rsid w:val="007906EA"/>
    <w:rsid w:val="007909A2"/>
    <w:rsid w:val="00790B36"/>
    <w:rsid w:val="00790B68"/>
    <w:rsid w:val="00790C64"/>
    <w:rsid w:val="00790E40"/>
    <w:rsid w:val="00790EC0"/>
    <w:rsid w:val="00791044"/>
    <w:rsid w:val="00791153"/>
    <w:rsid w:val="00791179"/>
    <w:rsid w:val="007911C2"/>
    <w:rsid w:val="007916CA"/>
    <w:rsid w:val="007918ED"/>
    <w:rsid w:val="00791AE2"/>
    <w:rsid w:val="00791AE3"/>
    <w:rsid w:val="00791C2D"/>
    <w:rsid w:val="00791FC4"/>
    <w:rsid w:val="0079216D"/>
    <w:rsid w:val="00792201"/>
    <w:rsid w:val="00792259"/>
    <w:rsid w:val="0079248D"/>
    <w:rsid w:val="0079280F"/>
    <w:rsid w:val="0079281D"/>
    <w:rsid w:val="007928B8"/>
    <w:rsid w:val="007928C5"/>
    <w:rsid w:val="007929B6"/>
    <w:rsid w:val="00792D63"/>
    <w:rsid w:val="00792ED4"/>
    <w:rsid w:val="00793080"/>
    <w:rsid w:val="007930DF"/>
    <w:rsid w:val="007931E0"/>
    <w:rsid w:val="0079330F"/>
    <w:rsid w:val="0079346B"/>
    <w:rsid w:val="007934CD"/>
    <w:rsid w:val="00793631"/>
    <w:rsid w:val="00793677"/>
    <w:rsid w:val="00793945"/>
    <w:rsid w:val="007939B0"/>
    <w:rsid w:val="00793FC1"/>
    <w:rsid w:val="00794808"/>
    <w:rsid w:val="007949DD"/>
    <w:rsid w:val="00794CCE"/>
    <w:rsid w:val="00794EBE"/>
    <w:rsid w:val="00795279"/>
    <w:rsid w:val="00795931"/>
    <w:rsid w:val="00795A4B"/>
    <w:rsid w:val="00795AA5"/>
    <w:rsid w:val="00795AD0"/>
    <w:rsid w:val="00795B98"/>
    <w:rsid w:val="00795D2E"/>
    <w:rsid w:val="00795DD2"/>
    <w:rsid w:val="00795DE4"/>
    <w:rsid w:val="0079615B"/>
    <w:rsid w:val="007966BA"/>
    <w:rsid w:val="00796796"/>
    <w:rsid w:val="00796824"/>
    <w:rsid w:val="00796CBD"/>
    <w:rsid w:val="00796D16"/>
    <w:rsid w:val="00796F53"/>
    <w:rsid w:val="00797010"/>
    <w:rsid w:val="00797336"/>
    <w:rsid w:val="00797699"/>
    <w:rsid w:val="00797983"/>
    <w:rsid w:val="007979BD"/>
    <w:rsid w:val="00797AFE"/>
    <w:rsid w:val="00797BD4"/>
    <w:rsid w:val="00797DDB"/>
    <w:rsid w:val="00797F67"/>
    <w:rsid w:val="007A0070"/>
    <w:rsid w:val="007A052D"/>
    <w:rsid w:val="007A0582"/>
    <w:rsid w:val="007A05A6"/>
    <w:rsid w:val="007A05FB"/>
    <w:rsid w:val="007A0857"/>
    <w:rsid w:val="007A0C3B"/>
    <w:rsid w:val="007A0D57"/>
    <w:rsid w:val="007A0DBE"/>
    <w:rsid w:val="007A1439"/>
    <w:rsid w:val="007A1558"/>
    <w:rsid w:val="007A15A3"/>
    <w:rsid w:val="007A1655"/>
    <w:rsid w:val="007A17AB"/>
    <w:rsid w:val="007A1859"/>
    <w:rsid w:val="007A188B"/>
    <w:rsid w:val="007A1980"/>
    <w:rsid w:val="007A1C13"/>
    <w:rsid w:val="007A1CFE"/>
    <w:rsid w:val="007A1D5F"/>
    <w:rsid w:val="007A1DDA"/>
    <w:rsid w:val="007A201B"/>
    <w:rsid w:val="007A2336"/>
    <w:rsid w:val="007A233E"/>
    <w:rsid w:val="007A23F5"/>
    <w:rsid w:val="007A2437"/>
    <w:rsid w:val="007A2692"/>
    <w:rsid w:val="007A274B"/>
    <w:rsid w:val="007A2816"/>
    <w:rsid w:val="007A291B"/>
    <w:rsid w:val="007A2A94"/>
    <w:rsid w:val="007A2B86"/>
    <w:rsid w:val="007A300F"/>
    <w:rsid w:val="007A329C"/>
    <w:rsid w:val="007A3366"/>
    <w:rsid w:val="007A3642"/>
    <w:rsid w:val="007A38E3"/>
    <w:rsid w:val="007A3CFC"/>
    <w:rsid w:val="007A3D17"/>
    <w:rsid w:val="007A3D95"/>
    <w:rsid w:val="007A3E76"/>
    <w:rsid w:val="007A4017"/>
    <w:rsid w:val="007A4472"/>
    <w:rsid w:val="007A4796"/>
    <w:rsid w:val="007A4B0A"/>
    <w:rsid w:val="007A4C57"/>
    <w:rsid w:val="007A4ED0"/>
    <w:rsid w:val="007A4FDA"/>
    <w:rsid w:val="007A503D"/>
    <w:rsid w:val="007A5457"/>
    <w:rsid w:val="007A5713"/>
    <w:rsid w:val="007A5CB4"/>
    <w:rsid w:val="007A5F6C"/>
    <w:rsid w:val="007A5F9C"/>
    <w:rsid w:val="007A609F"/>
    <w:rsid w:val="007A61FC"/>
    <w:rsid w:val="007A62D1"/>
    <w:rsid w:val="007A638E"/>
    <w:rsid w:val="007A64F4"/>
    <w:rsid w:val="007A6679"/>
    <w:rsid w:val="007A6BB8"/>
    <w:rsid w:val="007A6C1E"/>
    <w:rsid w:val="007A6C59"/>
    <w:rsid w:val="007A6E23"/>
    <w:rsid w:val="007A6F1C"/>
    <w:rsid w:val="007A6F6B"/>
    <w:rsid w:val="007A72F0"/>
    <w:rsid w:val="007A7548"/>
    <w:rsid w:val="007A76AF"/>
    <w:rsid w:val="007A76E7"/>
    <w:rsid w:val="007A773A"/>
    <w:rsid w:val="007B01C4"/>
    <w:rsid w:val="007B02B2"/>
    <w:rsid w:val="007B0351"/>
    <w:rsid w:val="007B061A"/>
    <w:rsid w:val="007B0760"/>
    <w:rsid w:val="007B0942"/>
    <w:rsid w:val="007B09FF"/>
    <w:rsid w:val="007B0C91"/>
    <w:rsid w:val="007B0D9F"/>
    <w:rsid w:val="007B10A5"/>
    <w:rsid w:val="007B1507"/>
    <w:rsid w:val="007B16B6"/>
    <w:rsid w:val="007B1818"/>
    <w:rsid w:val="007B1871"/>
    <w:rsid w:val="007B1981"/>
    <w:rsid w:val="007B198A"/>
    <w:rsid w:val="007B19D0"/>
    <w:rsid w:val="007B1C92"/>
    <w:rsid w:val="007B1E05"/>
    <w:rsid w:val="007B1E9D"/>
    <w:rsid w:val="007B1F2C"/>
    <w:rsid w:val="007B1FBB"/>
    <w:rsid w:val="007B2021"/>
    <w:rsid w:val="007B2283"/>
    <w:rsid w:val="007B23AC"/>
    <w:rsid w:val="007B25FE"/>
    <w:rsid w:val="007B27DE"/>
    <w:rsid w:val="007B283F"/>
    <w:rsid w:val="007B2A06"/>
    <w:rsid w:val="007B2E90"/>
    <w:rsid w:val="007B2EC0"/>
    <w:rsid w:val="007B301A"/>
    <w:rsid w:val="007B30C4"/>
    <w:rsid w:val="007B30E6"/>
    <w:rsid w:val="007B32C3"/>
    <w:rsid w:val="007B367F"/>
    <w:rsid w:val="007B3737"/>
    <w:rsid w:val="007B3753"/>
    <w:rsid w:val="007B3CDC"/>
    <w:rsid w:val="007B41E2"/>
    <w:rsid w:val="007B44D8"/>
    <w:rsid w:val="007B45EA"/>
    <w:rsid w:val="007B4783"/>
    <w:rsid w:val="007B49F0"/>
    <w:rsid w:val="007B4A3A"/>
    <w:rsid w:val="007B4BEE"/>
    <w:rsid w:val="007B52C6"/>
    <w:rsid w:val="007B52F1"/>
    <w:rsid w:val="007B5478"/>
    <w:rsid w:val="007B5559"/>
    <w:rsid w:val="007B5774"/>
    <w:rsid w:val="007B57B6"/>
    <w:rsid w:val="007B58C6"/>
    <w:rsid w:val="007B5BA2"/>
    <w:rsid w:val="007B5C2E"/>
    <w:rsid w:val="007B5C73"/>
    <w:rsid w:val="007B5FE9"/>
    <w:rsid w:val="007B6252"/>
    <w:rsid w:val="007B666E"/>
    <w:rsid w:val="007B6999"/>
    <w:rsid w:val="007B6B27"/>
    <w:rsid w:val="007B6B45"/>
    <w:rsid w:val="007B6B93"/>
    <w:rsid w:val="007B6C46"/>
    <w:rsid w:val="007B6DBD"/>
    <w:rsid w:val="007B6DE6"/>
    <w:rsid w:val="007B6EBD"/>
    <w:rsid w:val="007B701F"/>
    <w:rsid w:val="007B70D1"/>
    <w:rsid w:val="007B75F4"/>
    <w:rsid w:val="007B7605"/>
    <w:rsid w:val="007B76D3"/>
    <w:rsid w:val="007B7769"/>
    <w:rsid w:val="007B7884"/>
    <w:rsid w:val="007B7B8B"/>
    <w:rsid w:val="007B7BB5"/>
    <w:rsid w:val="007B7D18"/>
    <w:rsid w:val="007B7F54"/>
    <w:rsid w:val="007C04F7"/>
    <w:rsid w:val="007C0BC4"/>
    <w:rsid w:val="007C1303"/>
    <w:rsid w:val="007C15A3"/>
    <w:rsid w:val="007C15D8"/>
    <w:rsid w:val="007C187A"/>
    <w:rsid w:val="007C1AB2"/>
    <w:rsid w:val="007C1B91"/>
    <w:rsid w:val="007C1DBC"/>
    <w:rsid w:val="007C1E54"/>
    <w:rsid w:val="007C1E64"/>
    <w:rsid w:val="007C2010"/>
    <w:rsid w:val="007C21B8"/>
    <w:rsid w:val="007C227F"/>
    <w:rsid w:val="007C22A9"/>
    <w:rsid w:val="007C272E"/>
    <w:rsid w:val="007C27C6"/>
    <w:rsid w:val="007C28B5"/>
    <w:rsid w:val="007C2921"/>
    <w:rsid w:val="007C2A68"/>
    <w:rsid w:val="007C2AA0"/>
    <w:rsid w:val="007C2AD1"/>
    <w:rsid w:val="007C2BB8"/>
    <w:rsid w:val="007C2C18"/>
    <w:rsid w:val="007C2FEA"/>
    <w:rsid w:val="007C3044"/>
    <w:rsid w:val="007C328C"/>
    <w:rsid w:val="007C3498"/>
    <w:rsid w:val="007C3677"/>
    <w:rsid w:val="007C36A2"/>
    <w:rsid w:val="007C3841"/>
    <w:rsid w:val="007C3856"/>
    <w:rsid w:val="007C3A32"/>
    <w:rsid w:val="007C3CA3"/>
    <w:rsid w:val="007C3CAE"/>
    <w:rsid w:val="007C3D3F"/>
    <w:rsid w:val="007C3E32"/>
    <w:rsid w:val="007C3E3D"/>
    <w:rsid w:val="007C3F9C"/>
    <w:rsid w:val="007C4255"/>
    <w:rsid w:val="007C4437"/>
    <w:rsid w:val="007C4864"/>
    <w:rsid w:val="007C4FAF"/>
    <w:rsid w:val="007C525E"/>
    <w:rsid w:val="007C52A4"/>
    <w:rsid w:val="007C545F"/>
    <w:rsid w:val="007C56AB"/>
    <w:rsid w:val="007C56F0"/>
    <w:rsid w:val="007C58D5"/>
    <w:rsid w:val="007C5CC9"/>
    <w:rsid w:val="007C5D8F"/>
    <w:rsid w:val="007C5DE6"/>
    <w:rsid w:val="007C5E04"/>
    <w:rsid w:val="007C6182"/>
    <w:rsid w:val="007C63FB"/>
    <w:rsid w:val="007C69FD"/>
    <w:rsid w:val="007C6ACE"/>
    <w:rsid w:val="007C6D32"/>
    <w:rsid w:val="007C6E8F"/>
    <w:rsid w:val="007C71B5"/>
    <w:rsid w:val="007C7244"/>
    <w:rsid w:val="007C7396"/>
    <w:rsid w:val="007C7A1C"/>
    <w:rsid w:val="007C7B62"/>
    <w:rsid w:val="007C7C1C"/>
    <w:rsid w:val="007C7E0E"/>
    <w:rsid w:val="007C7ECE"/>
    <w:rsid w:val="007D024C"/>
    <w:rsid w:val="007D0274"/>
    <w:rsid w:val="007D06AA"/>
    <w:rsid w:val="007D083D"/>
    <w:rsid w:val="007D08CF"/>
    <w:rsid w:val="007D0966"/>
    <w:rsid w:val="007D0B64"/>
    <w:rsid w:val="007D1054"/>
    <w:rsid w:val="007D11AC"/>
    <w:rsid w:val="007D11F9"/>
    <w:rsid w:val="007D1244"/>
    <w:rsid w:val="007D173A"/>
    <w:rsid w:val="007D177D"/>
    <w:rsid w:val="007D1866"/>
    <w:rsid w:val="007D18B3"/>
    <w:rsid w:val="007D19A8"/>
    <w:rsid w:val="007D1BBF"/>
    <w:rsid w:val="007D1DE0"/>
    <w:rsid w:val="007D1E54"/>
    <w:rsid w:val="007D2056"/>
    <w:rsid w:val="007D238A"/>
    <w:rsid w:val="007D2424"/>
    <w:rsid w:val="007D2563"/>
    <w:rsid w:val="007D2702"/>
    <w:rsid w:val="007D2713"/>
    <w:rsid w:val="007D286B"/>
    <w:rsid w:val="007D2914"/>
    <w:rsid w:val="007D2B5D"/>
    <w:rsid w:val="007D2C4C"/>
    <w:rsid w:val="007D2CB0"/>
    <w:rsid w:val="007D2CD4"/>
    <w:rsid w:val="007D2D42"/>
    <w:rsid w:val="007D2DD5"/>
    <w:rsid w:val="007D2E79"/>
    <w:rsid w:val="007D2F85"/>
    <w:rsid w:val="007D2FF9"/>
    <w:rsid w:val="007D32EC"/>
    <w:rsid w:val="007D3941"/>
    <w:rsid w:val="007D3AC5"/>
    <w:rsid w:val="007D3B1D"/>
    <w:rsid w:val="007D3B4E"/>
    <w:rsid w:val="007D3B6C"/>
    <w:rsid w:val="007D3D80"/>
    <w:rsid w:val="007D3DBD"/>
    <w:rsid w:val="007D41CC"/>
    <w:rsid w:val="007D44BE"/>
    <w:rsid w:val="007D47D6"/>
    <w:rsid w:val="007D4A4F"/>
    <w:rsid w:val="007D4C1A"/>
    <w:rsid w:val="007D4C60"/>
    <w:rsid w:val="007D4DA7"/>
    <w:rsid w:val="007D511E"/>
    <w:rsid w:val="007D517E"/>
    <w:rsid w:val="007D52A5"/>
    <w:rsid w:val="007D5655"/>
    <w:rsid w:val="007D5866"/>
    <w:rsid w:val="007D5B2B"/>
    <w:rsid w:val="007D5BA1"/>
    <w:rsid w:val="007D5BA6"/>
    <w:rsid w:val="007D5C64"/>
    <w:rsid w:val="007D606E"/>
    <w:rsid w:val="007D6095"/>
    <w:rsid w:val="007D6279"/>
    <w:rsid w:val="007D6489"/>
    <w:rsid w:val="007D64DF"/>
    <w:rsid w:val="007D660C"/>
    <w:rsid w:val="007D696C"/>
    <w:rsid w:val="007D6A76"/>
    <w:rsid w:val="007D6E21"/>
    <w:rsid w:val="007D6F1A"/>
    <w:rsid w:val="007D70D4"/>
    <w:rsid w:val="007D7295"/>
    <w:rsid w:val="007D7343"/>
    <w:rsid w:val="007D76F0"/>
    <w:rsid w:val="007D79E2"/>
    <w:rsid w:val="007D7ED0"/>
    <w:rsid w:val="007D7EF4"/>
    <w:rsid w:val="007D7F49"/>
    <w:rsid w:val="007E0024"/>
    <w:rsid w:val="007E0171"/>
    <w:rsid w:val="007E0198"/>
    <w:rsid w:val="007E036D"/>
    <w:rsid w:val="007E0574"/>
    <w:rsid w:val="007E060D"/>
    <w:rsid w:val="007E06B4"/>
    <w:rsid w:val="007E09A7"/>
    <w:rsid w:val="007E09C3"/>
    <w:rsid w:val="007E0CBF"/>
    <w:rsid w:val="007E0D17"/>
    <w:rsid w:val="007E0E7F"/>
    <w:rsid w:val="007E10C9"/>
    <w:rsid w:val="007E1123"/>
    <w:rsid w:val="007E115E"/>
    <w:rsid w:val="007E11ED"/>
    <w:rsid w:val="007E11FA"/>
    <w:rsid w:val="007E17AB"/>
    <w:rsid w:val="007E18FA"/>
    <w:rsid w:val="007E1919"/>
    <w:rsid w:val="007E19CB"/>
    <w:rsid w:val="007E1C54"/>
    <w:rsid w:val="007E1D00"/>
    <w:rsid w:val="007E1D0E"/>
    <w:rsid w:val="007E1DE3"/>
    <w:rsid w:val="007E1FC9"/>
    <w:rsid w:val="007E1FF5"/>
    <w:rsid w:val="007E2123"/>
    <w:rsid w:val="007E2137"/>
    <w:rsid w:val="007E215A"/>
    <w:rsid w:val="007E23B3"/>
    <w:rsid w:val="007E23F3"/>
    <w:rsid w:val="007E24B4"/>
    <w:rsid w:val="007E29AC"/>
    <w:rsid w:val="007E29CB"/>
    <w:rsid w:val="007E2A2B"/>
    <w:rsid w:val="007E2A73"/>
    <w:rsid w:val="007E2E5D"/>
    <w:rsid w:val="007E2E80"/>
    <w:rsid w:val="007E2F62"/>
    <w:rsid w:val="007E34B0"/>
    <w:rsid w:val="007E370B"/>
    <w:rsid w:val="007E371D"/>
    <w:rsid w:val="007E40BE"/>
    <w:rsid w:val="007E412C"/>
    <w:rsid w:val="007E4181"/>
    <w:rsid w:val="007E430D"/>
    <w:rsid w:val="007E4C2B"/>
    <w:rsid w:val="007E4D80"/>
    <w:rsid w:val="007E4E69"/>
    <w:rsid w:val="007E4F6D"/>
    <w:rsid w:val="007E5116"/>
    <w:rsid w:val="007E51BE"/>
    <w:rsid w:val="007E52F6"/>
    <w:rsid w:val="007E52F8"/>
    <w:rsid w:val="007E555E"/>
    <w:rsid w:val="007E55FC"/>
    <w:rsid w:val="007E5650"/>
    <w:rsid w:val="007E56C1"/>
    <w:rsid w:val="007E56D9"/>
    <w:rsid w:val="007E5758"/>
    <w:rsid w:val="007E5C99"/>
    <w:rsid w:val="007E5CCC"/>
    <w:rsid w:val="007E5D35"/>
    <w:rsid w:val="007E5EDE"/>
    <w:rsid w:val="007E6125"/>
    <w:rsid w:val="007E6646"/>
    <w:rsid w:val="007E6658"/>
    <w:rsid w:val="007E6863"/>
    <w:rsid w:val="007E6993"/>
    <w:rsid w:val="007E69F9"/>
    <w:rsid w:val="007E6A33"/>
    <w:rsid w:val="007E6E3A"/>
    <w:rsid w:val="007E6F6A"/>
    <w:rsid w:val="007E6FD4"/>
    <w:rsid w:val="007E71FF"/>
    <w:rsid w:val="007E73EB"/>
    <w:rsid w:val="007E7486"/>
    <w:rsid w:val="007E74C0"/>
    <w:rsid w:val="007E74C1"/>
    <w:rsid w:val="007E76E0"/>
    <w:rsid w:val="007E76E5"/>
    <w:rsid w:val="007E7879"/>
    <w:rsid w:val="007E7ACA"/>
    <w:rsid w:val="007E7FAE"/>
    <w:rsid w:val="007F0115"/>
    <w:rsid w:val="007F0191"/>
    <w:rsid w:val="007F0423"/>
    <w:rsid w:val="007F0524"/>
    <w:rsid w:val="007F053C"/>
    <w:rsid w:val="007F081F"/>
    <w:rsid w:val="007F0874"/>
    <w:rsid w:val="007F14B4"/>
    <w:rsid w:val="007F16F3"/>
    <w:rsid w:val="007F1766"/>
    <w:rsid w:val="007F19F0"/>
    <w:rsid w:val="007F19FB"/>
    <w:rsid w:val="007F1AA3"/>
    <w:rsid w:val="007F1AEA"/>
    <w:rsid w:val="007F1B0E"/>
    <w:rsid w:val="007F1D15"/>
    <w:rsid w:val="007F1EE0"/>
    <w:rsid w:val="007F2259"/>
    <w:rsid w:val="007F22A2"/>
    <w:rsid w:val="007F23D7"/>
    <w:rsid w:val="007F270C"/>
    <w:rsid w:val="007F2768"/>
    <w:rsid w:val="007F2783"/>
    <w:rsid w:val="007F29F1"/>
    <w:rsid w:val="007F2BBD"/>
    <w:rsid w:val="007F2CE2"/>
    <w:rsid w:val="007F3009"/>
    <w:rsid w:val="007F3315"/>
    <w:rsid w:val="007F356A"/>
    <w:rsid w:val="007F3BAF"/>
    <w:rsid w:val="007F3D93"/>
    <w:rsid w:val="007F3E33"/>
    <w:rsid w:val="007F4095"/>
    <w:rsid w:val="007F40BA"/>
    <w:rsid w:val="007F43D0"/>
    <w:rsid w:val="007F4402"/>
    <w:rsid w:val="007F47C1"/>
    <w:rsid w:val="007F4801"/>
    <w:rsid w:val="007F4873"/>
    <w:rsid w:val="007F4D01"/>
    <w:rsid w:val="007F4D9F"/>
    <w:rsid w:val="007F5039"/>
    <w:rsid w:val="007F5080"/>
    <w:rsid w:val="007F5200"/>
    <w:rsid w:val="007F549B"/>
    <w:rsid w:val="007F550E"/>
    <w:rsid w:val="007F552F"/>
    <w:rsid w:val="007F57D6"/>
    <w:rsid w:val="007F57EE"/>
    <w:rsid w:val="007F58FE"/>
    <w:rsid w:val="007F592C"/>
    <w:rsid w:val="007F5E59"/>
    <w:rsid w:val="007F61D9"/>
    <w:rsid w:val="007F680F"/>
    <w:rsid w:val="007F6977"/>
    <w:rsid w:val="007F6A0F"/>
    <w:rsid w:val="007F6A1C"/>
    <w:rsid w:val="007F6B11"/>
    <w:rsid w:val="007F6BFB"/>
    <w:rsid w:val="007F6CE4"/>
    <w:rsid w:val="007F71C6"/>
    <w:rsid w:val="007F7257"/>
    <w:rsid w:val="007F74E2"/>
    <w:rsid w:val="007F75F7"/>
    <w:rsid w:val="007F7681"/>
    <w:rsid w:val="007F7821"/>
    <w:rsid w:val="007F7A5A"/>
    <w:rsid w:val="007F7C6E"/>
    <w:rsid w:val="007F7CA5"/>
    <w:rsid w:val="007F7EB3"/>
    <w:rsid w:val="007F7FB8"/>
    <w:rsid w:val="00800063"/>
    <w:rsid w:val="008003F7"/>
    <w:rsid w:val="008008A9"/>
    <w:rsid w:val="008008B4"/>
    <w:rsid w:val="00800AEB"/>
    <w:rsid w:val="00800D13"/>
    <w:rsid w:val="00801065"/>
    <w:rsid w:val="00801361"/>
    <w:rsid w:val="008019F9"/>
    <w:rsid w:val="00801C21"/>
    <w:rsid w:val="00801D9F"/>
    <w:rsid w:val="008021EF"/>
    <w:rsid w:val="00802259"/>
    <w:rsid w:val="00802273"/>
    <w:rsid w:val="00802576"/>
    <w:rsid w:val="0080277C"/>
    <w:rsid w:val="00802C01"/>
    <w:rsid w:val="00802F46"/>
    <w:rsid w:val="00802FFA"/>
    <w:rsid w:val="00803248"/>
    <w:rsid w:val="00803264"/>
    <w:rsid w:val="008034DA"/>
    <w:rsid w:val="0080361D"/>
    <w:rsid w:val="00803762"/>
    <w:rsid w:val="008039FE"/>
    <w:rsid w:val="00803AB8"/>
    <w:rsid w:val="00803C3B"/>
    <w:rsid w:val="00803D6A"/>
    <w:rsid w:val="0080407C"/>
    <w:rsid w:val="0080449C"/>
    <w:rsid w:val="0080450A"/>
    <w:rsid w:val="008046E2"/>
    <w:rsid w:val="008047FF"/>
    <w:rsid w:val="00804E08"/>
    <w:rsid w:val="00804FC7"/>
    <w:rsid w:val="0080524F"/>
    <w:rsid w:val="0080531A"/>
    <w:rsid w:val="008053A4"/>
    <w:rsid w:val="00805465"/>
    <w:rsid w:val="008054B0"/>
    <w:rsid w:val="008059F3"/>
    <w:rsid w:val="00805BEB"/>
    <w:rsid w:val="00805D1C"/>
    <w:rsid w:val="00806180"/>
    <w:rsid w:val="0080618C"/>
    <w:rsid w:val="0080625C"/>
    <w:rsid w:val="00806469"/>
    <w:rsid w:val="0080664C"/>
    <w:rsid w:val="0080674E"/>
    <w:rsid w:val="00806A27"/>
    <w:rsid w:val="00806B37"/>
    <w:rsid w:val="00806FE7"/>
    <w:rsid w:val="0080701C"/>
    <w:rsid w:val="00807201"/>
    <w:rsid w:val="00807298"/>
    <w:rsid w:val="008072F6"/>
    <w:rsid w:val="00807411"/>
    <w:rsid w:val="008077FE"/>
    <w:rsid w:val="008078DD"/>
    <w:rsid w:val="008102E3"/>
    <w:rsid w:val="00810644"/>
    <w:rsid w:val="00810649"/>
    <w:rsid w:val="008107C5"/>
    <w:rsid w:val="008108E7"/>
    <w:rsid w:val="00810A70"/>
    <w:rsid w:val="00810AE7"/>
    <w:rsid w:val="00810AF0"/>
    <w:rsid w:val="00810DA3"/>
    <w:rsid w:val="00810E1F"/>
    <w:rsid w:val="00810EE2"/>
    <w:rsid w:val="00811038"/>
    <w:rsid w:val="00811087"/>
    <w:rsid w:val="008110A0"/>
    <w:rsid w:val="008110A5"/>
    <w:rsid w:val="008111B6"/>
    <w:rsid w:val="00811226"/>
    <w:rsid w:val="0081129D"/>
    <w:rsid w:val="00811380"/>
    <w:rsid w:val="00811566"/>
    <w:rsid w:val="0081186E"/>
    <w:rsid w:val="00811969"/>
    <w:rsid w:val="00812152"/>
    <w:rsid w:val="00812602"/>
    <w:rsid w:val="008127E8"/>
    <w:rsid w:val="008128A9"/>
    <w:rsid w:val="008129A7"/>
    <w:rsid w:val="00812CE3"/>
    <w:rsid w:val="00812DC1"/>
    <w:rsid w:val="0081354D"/>
    <w:rsid w:val="00813614"/>
    <w:rsid w:val="00813641"/>
    <w:rsid w:val="00813880"/>
    <w:rsid w:val="00813BE8"/>
    <w:rsid w:val="00813F05"/>
    <w:rsid w:val="00813F5B"/>
    <w:rsid w:val="00814084"/>
    <w:rsid w:val="00814391"/>
    <w:rsid w:val="00814550"/>
    <w:rsid w:val="0081465C"/>
    <w:rsid w:val="008146B8"/>
    <w:rsid w:val="00814721"/>
    <w:rsid w:val="00814742"/>
    <w:rsid w:val="0081499E"/>
    <w:rsid w:val="00814B8E"/>
    <w:rsid w:val="00814C19"/>
    <w:rsid w:val="00814C63"/>
    <w:rsid w:val="00814F42"/>
    <w:rsid w:val="00814FF3"/>
    <w:rsid w:val="00815145"/>
    <w:rsid w:val="008151A5"/>
    <w:rsid w:val="00815893"/>
    <w:rsid w:val="008158CF"/>
    <w:rsid w:val="008159C8"/>
    <w:rsid w:val="00815AE8"/>
    <w:rsid w:val="00815B88"/>
    <w:rsid w:val="00815C35"/>
    <w:rsid w:val="00815D03"/>
    <w:rsid w:val="00815E2C"/>
    <w:rsid w:val="00816146"/>
    <w:rsid w:val="008161E4"/>
    <w:rsid w:val="008161FF"/>
    <w:rsid w:val="00816519"/>
    <w:rsid w:val="00816803"/>
    <w:rsid w:val="0081681F"/>
    <w:rsid w:val="008168F9"/>
    <w:rsid w:val="008169B0"/>
    <w:rsid w:val="00816A33"/>
    <w:rsid w:val="00816B63"/>
    <w:rsid w:val="00816EC0"/>
    <w:rsid w:val="008171CD"/>
    <w:rsid w:val="008175A0"/>
    <w:rsid w:val="00817616"/>
    <w:rsid w:val="008177E9"/>
    <w:rsid w:val="0081797D"/>
    <w:rsid w:val="0081798C"/>
    <w:rsid w:val="0082004B"/>
    <w:rsid w:val="008205BC"/>
    <w:rsid w:val="008205E8"/>
    <w:rsid w:val="00820785"/>
    <w:rsid w:val="008208BE"/>
    <w:rsid w:val="00820B02"/>
    <w:rsid w:val="00820CF4"/>
    <w:rsid w:val="00820D38"/>
    <w:rsid w:val="00820DC5"/>
    <w:rsid w:val="00820E87"/>
    <w:rsid w:val="00820F8A"/>
    <w:rsid w:val="00821093"/>
    <w:rsid w:val="00821159"/>
    <w:rsid w:val="00821189"/>
    <w:rsid w:val="00821404"/>
    <w:rsid w:val="00821521"/>
    <w:rsid w:val="00821746"/>
    <w:rsid w:val="008218E3"/>
    <w:rsid w:val="00821963"/>
    <w:rsid w:val="008219FA"/>
    <w:rsid w:val="00821A71"/>
    <w:rsid w:val="00821A72"/>
    <w:rsid w:val="00821DEB"/>
    <w:rsid w:val="00821FB3"/>
    <w:rsid w:val="00822030"/>
    <w:rsid w:val="00822101"/>
    <w:rsid w:val="0082216D"/>
    <w:rsid w:val="00822600"/>
    <w:rsid w:val="0082269D"/>
    <w:rsid w:val="008229B6"/>
    <w:rsid w:val="00822C1F"/>
    <w:rsid w:val="00822E1B"/>
    <w:rsid w:val="00822E22"/>
    <w:rsid w:val="00822E28"/>
    <w:rsid w:val="00823073"/>
    <w:rsid w:val="008230C1"/>
    <w:rsid w:val="00823122"/>
    <w:rsid w:val="008232A0"/>
    <w:rsid w:val="008232D9"/>
    <w:rsid w:val="008232F3"/>
    <w:rsid w:val="00823319"/>
    <w:rsid w:val="0082342C"/>
    <w:rsid w:val="0082352B"/>
    <w:rsid w:val="008236DB"/>
    <w:rsid w:val="00823892"/>
    <w:rsid w:val="008238C9"/>
    <w:rsid w:val="0082391B"/>
    <w:rsid w:val="0082399C"/>
    <w:rsid w:val="00823CCF"/>
    <w:rsid w:val="00823D29"/>
    <w:rsid w:val="00824116"/>
    <w:rsid w:val="008242B0"/>
    <w:rsid w:val="0082433D"/>
    <w:rsid w:val="00824576"/>
    <w:rsid w:val="00824A27"/>
    <w:rsid w:val="00824BCB"/>
    <w:rsid w:val="00824FE8"/>
    <w:rsid w:val="00825072"/>
    <w:rsid w:val="008253BF"/>
    <w:rsid w:val="008255E8"/>
    <w:rsid w:val="00825654"/>
    <w:rsid w:val="008257AF"/>
    <w:rsid w:val="008258BB"/>
    <w:rsid w:val="00825933"/>
    <w:rsid w:val="00825938"/>
    <w:rsid w:val="00825A04"/>
    <w:rsid w:val="0082601B"/>
    <w:rsid w:val="00826279"/>
    <w:rsid w:val="008265AC"/>
    <w:rsid w:val="008265BC"/>
    <w:rsid w:val="00826651"/>
    <w:rsid w:val="0082686D"/>
    <w:rsid w:val="00826A5B"/>
    <w:rsid w:val="00826BEF"/>
    <w:rsid w:val="00826DD6"/>
    <w:rsid w:val="00826E60"/>
    <w:rsid w:val="00826F9D"/>
    <w:rsid w:val="0082704A"/>
    <w:rsid w:val="0082713D"/>
    <w:rsid w:val="0082719B"/>
    <w:rsid w:val="008272BD"/>
    <w:rsid w:val="0082746B"/>
    <w:rsid w:val="0082776F"/>
    <w:rsid w:val="0082780C"/>
    <w:rsid w:val="00827845"/>
    <w:rsid w:val="00827A6A"/>
    <w:rsid w:val="00827CF2"/>
    <w:rsid w:val="00827E37"/>
    <w:rsid w:val="00827F0F"/>
    <w:rsid w:val="00830690"/>
    <w:rsid w:val="00830761"/>
    <w:rsid w:val="0083094D"/>
    <w:rsid w:val="00830DEA"/>
    <w:rsid w:val="008310B8"/>
    <w:rsid w:val="0083113F"/>
    <w:rsid w:val="00831328"/>
    <w:rsid w:val="008317DE"/>
    <w:rsid w:val="00831949"/>
    <w:rsid w:val="00831A9F"/>
    <w:rsid w:val="00831FE0"/>
    <w:rsid w:val="0083242F"/>
    <w:rsid w:val="008324E6"/>
    <w:rsid w:val="00832581"/>
    <w:rsid w:val="00832A48"/>
    <w:rsid w:val="00832B34"/>
    <w:rsid w:val="00832C51"/>
    <w:rsid w:val="00832D7E"/>
    <w:rsid w:val="008330C0"/>
    <w:rsid w:val="0083321E"/>
    <w:rsid w:val="0083332A"/>
    <w:rsid w:val="00833670"/>
    <w:rsid w:val="0083390D"/>
    <w:rsid w:val="00833A1B"/>
    <w:rsid w:val="00833B16"/>
    <w:rsid w:val="00833B35"/>
    <w:rsid w:val="00833C7D"/>
    <w:rsid w:val="00833CCB"/>
    <w:rsid w:val="00833FC0"/>
    <w:rsid w:val="00834128"/>
    <w:rsid w:val="00834272"/>
    <w:rsid w:val="00834463"/>
    <w:rsid w:val="0083465A"/>
    <w:rsid w:val="008346D9"/>
    <w:rsid w:val="00834753"/>
    <w:rsid w:val="00834B21"/>
    <w:rsid w:val="00834D1E"/>
    <w:rsid w:val="00834DA6"/>
    <w:rsid w:val="00834E7E"/>
    <w:rsid w:val="00834FFA"/>
    <w:rsid w:val="008350FC"/>
    <w:rsid w:val="00835237"/>
    <w:rsid w:val="0083537E"/>
    <w:rsid w:val="008358C4"/>
    <w:rsid w:val="00835C5F"/>
    <w:rsid w:val="00835CD6"/>
    <w:rsid w:val="00835DBC"/>
    <w:rsid w:val="00835E79"/>
    <w:rsid w:val="0083666D"/>
    <w:rsid w:val="00836759"/>
    <w:rsid w:val="00836933"/>
    <w:rsid w:val="00836A2C"/>
    <w:rsid w:val="00836A46"/>
    <w:rsid w:val="00836F25"/>
    <w:rsid w:val="0083705F"/>
    <w:rsid w:val="0083720B"/>
    <w:rsid w:val="00837461"/>
    <w:rsid w:val="008374CB"/>
    <w:rsid w:val="008377C8"/>
    <w:rsid w:val="00837B24"/>
    <w:rsid w:val="00837B6A"/>
    <w:rsid w:val="00837BCC"/>
    <w:rsid w:val="00837D1E"/>
    <w:rsid w:val="00837D86"/>
    <w:rsid w:val="00837E77"/>
    <w:rsid w:val="00840576"/>
    <w:rsid w:val="008410B4"/>
    <w:rsid w:val="00841208"/>
    <w:rsid w:val="00841375"/>
    <w:rsid w:val="00841591"/>
    <w:rsid w:val="008415F7"/>
    <w:rsid w:val="008418D8"/>
    <w:rsid w:val="00841B55"/>
    <w:rsid w:val="00841CC9"/>
    <w:rsid w:val="00841F05"/>
    <w:rsid w:val="0084212D"/>
    <w:rsid w:val="008421FF"/>
    <w:rsid w:val="008425B0"/>
    <w:rsid w:val="0084271B"/>
    <w:rsid w:val="0084291E"/>
    <w:rsid w:val="00842C89"/>
    <w:rsid w:val="00842D47"/>
    <w:rsid w:val="00842DBF"/>
    <w:rsid w:val="00842EE6"/>
    <w:rsid w:val="00842FEC"/>
    <w:rsid w:val="0084302B"/>
    <w:rsid w:val="0084308B"/>
    <w:rsid w:val="00843688"/>
    <w:rsid w:val="0084369B"/>
    <w:rsid w:val="00843B86"/>
    <w:rsid w:val="00843DE7"/>
    <w:rsid w:val="00843F3C"/>
    <w:rsid w:val="008441C3"/>
    <w:rsid w:val="0084428A"/>
    <w:rsid w:val="00844332"/>
    <w:rsid w:val="00844445"/>
    <w:rsid w:val="00844682"/>
    <w:rsid w:val="00844A72"/>
    <w:rsid w:val="00844CBC"/>
    <w:rsid w:val="00844DA5"/>
    <w:rsid w:val="00844EE0"/>
    <w:rsid w:val="0084535B"/>
    <w:rsid w:val="008453A9"/>
    <w:rsid w:val="0084567B"/>
    <w:rsid w:val="00845848"/>
    <w:rsid w:val="008458D1"/>
    <w:rsid w:val="008459F1"/>
    <w:rsid w:val="00845AA9"/>
    <w:rsid w:val="00845B38"/>
    <w:rsid w:val="00845B7D"/>
    <w:rsid w:val="00845BE3"/>
    <w:rsid w:val="00845CD1"/>
    <w:rsid w:val="008461FF"/>
    <w:rsid w:val="0084636B"/>
    <w:rsid w:val="00846724"/>
    <w:rsid w:val="00846784"/>
    <w:rsid w:val="0084687A"/>
    <w:rsid w:val="00846D2B"/>
    <w:rsid w:val="00846FC2"/>
    <w:rsid w:val="008475E0"/>
    <w:rsid w:val="00847976"/>
    <w:rsid w:val="00847D6E"/>
    <w:rsid w:val="00850332"/>
    <w:rsid w:val="008504CE"/>
    <w:rsid w:val="0085068F"/>
    <w:rsid w:val="00850A9B"/>
    <w:rsid w:val="00850AAD"/>
    <w:rsid w:val="00850ACC"/>
    <w:rsid w:val="00850C16"/>
    <w:rsid w:val="00850FE4"/>
    <w:rsid w:val="008515DC"/>
    <w:rsid w:val="00851A6B"/>
    <w:rsid w:val="00851B73"/>
    <w:rsid w:val="0085209E"/>
    <w:rsid w:val="00852111"/>
    <w:rsid w:val="0085212F"/>
    <w:rsid w:val="008523B4"/>
    <w:rsid w:val="008524B7"/>
    <w:rsid w:val="0085265A"/>
    <w:rsid w:val="008526D5"/>
    <w:rsid w:val="0085296F"/>
    <w:rsid w:val="008529D5"/>
    <w:rsid w:val="00852C4A"/>
    <w:rsid w:val="00852CD2"/>
    <w:rsid w:val="008531AF"/>
    <w:rsid w:val="0085325A"/>
    <w:rsid w:val="008533D1"/>
    <w:rsid w:val="0085355A"/>
    <w:rsid w:val="008537BC"/>
    <w:rsid w:val="00853E58"/>
    <w:rsid w:val="00854236"/>
    <w:rsid w:val="00854287"/>
    <w:rsid w:val="008543E3"/>
    <w:rsid w:val="0085469B"/>
    <w:rsid w:val="0085483D"/>
    <w:rsid w:val="00854B8C"/>
    <w:rsid w:val="00854DDE"/>
    <w:rsid w:val="00854F3D"/>
    <w:rsid w:val="00855098"/>
    <w:rsid w:val="008550DE"/>
    <w:rsid w:val="00855179"/>
    <w:rsid w:val="008551E5"/>
    <w:rsid w:val="008556A2"/>
    <w:rsid w:val="00855741"/>
    <w:rsid w:val="008557AA"/>
    <w:rsid w:val="008557F9"/>
    <w:rsid w:val="00855C9B"/>
    <w:rsid w:val="00855CB3"/>
    <w:rsid w:val="00855E70"/>
    <w:rsid w:val="00855E95"/>
    <w:rsid w:val="00855F9D"/>
    <w:rsid w:val="008561C8"/>
    <w:rsid w:val="0085637F"/>
    <w:rsid w:val="008565AE"/>
    <w:rsid w:val="00856682"/>
    <w:rsid w:val="0085677B"/>
    <w:rsid w:val="00856A98"/>
    <w:rsid w:val="00856CAD"/>
    <w:rsid w:val="00856D3A"/>
    <w:rsid w:val="00856D58"/>
    <w:rsid w:val="00857097"/>
    <w:rsid w:val="0085717E"/>
    <w:rsid w:val="008572ED"/>
    <w:rsid w:val="0085747C"/>
    <w:rsid w:val="0085756D"/>
    <w:rsid w:val="00857757"/>
    <w:rsid w:val="00857A01"/>
    <w:rsid w:val="00857D4F"/>
    <w:rsid w:val="00857EF8"/>
    <w:rsid w:val="008602F7"/>
    <w:rsid w:val="0086037B"/>
    <w:rsid w:val="00860424"/>
    <w:rsid w:val="00860565"/>
    <w:rsid w:val="0086063D"/>
    <w:rsid w:val="0086075F"/>
    <w:rsid w:val="00860867"/>
    <w:rsid w:val="008608A3"/>
    <w:rsid w:val="008608B5"/>
    <w:rsid w:val="008608C3"/>
    <w:rsid w:val="00861478"/>
    <w:rsid w:val="008616A2"/>
    <w:rsid w:val="008616F7"/>
    <w:rsid w:val="008617F3"/>
    <w:rsid w:val="0086180F"/>
    <w:rsid w:val="00861837"/>
    <w:rsid w:val="008618C8"/>
    <w:rsid w:val="008618C9"/>
    <w:rsid w:val="00861A15"/>
    <w:rsid w:val="00861BE5"/>
    <w:rsid w:val="00861C06"/>
    <w:rsid w:val="00861DB7"/>
    <w:rsid w:val="00861F3C"/>
    <w:rsid w:val="00862290"/>
    <w:rsid w:val="008622E8"/>
    <w:rsid w:val="008622F2"/>
    <w:rsid w:val="00862361"/>
    <w:rsid w:val="00862770"/>
    <w:rsid w:val="00862974"/>
    <w:rsid w:val="00862AF9"/>
    <w:rsid w:val="00862F48"/>
    <w:rsid w:val="00863008"/>
    <w:rsid w:val="008630E4"/>
    <w:rsid w:val="008631A3"/>
    <w:rsid w:val="0086323C"/>
    <w:rsid w:val="008633B5"/>
    <w:rsid w:val="00863623"/>
    <w:rsid w:val="00863778"/>
    <w:rsid w:val="0086385F"/>
    <w:rsid w:val="008638CB"/>
    <w:rsid w:val="0086393E"/>
    <w:rsid w:val="00863D72"/>
    <w:rsid w:val="00863F5C"/>
    <w:rsid w:val="008641C0"/>
    <w:rsid w:val="008642F7"/>
    <w:rsid w:val="008643FF"/>
    <w:rsid w:val="00864564"/>
    <w:rsid w:val="008646DF"/>
    <w:rsid w:val="008647A6"/>
    <w:rsid w:val="008648BA"/>
    <w:rsid w:val="00864BFA"/>
    <w:rsid w:val="00864D67"/>
    <w:rsid w:val="00864DA0"/>
    <w:rsid w:val="00864DE8"/>
    <w:rsid w:val="00864E69"/>
    <w:rsid w:val="00864F8A"/>
    <w:rsid w:val="0086500A"/>
    <w:rsid w:val="008650E7"/>
    <w:rsid w:val="00865233"/>
    <w:rsid w:val="008653CC"/>
    <w:rsid w:val="008654B0"/>
    <w:rsid w:val="00865778"/>
    <w:rsid w:val="00865A61"/>
    <w:rsid w:val="00865AB1"/>
    <w:rsid w:val="008660E9"/>
    <w:rsid w:val="0086615D"/>
    <w:rsid w:val="0086635A"/>
    <w:rsid w:val="008664AE"/>
    <w:rsid w:val="00866517"/>
    <w:rsid w:val="00866589"/>
    <w:rsid w:val="0086686C"/>
    <w:rsid w:val="00866904"/>
    <w:rsid w:val="0086697A"/>
    <w:rsid w:val="008669BB"/>
    <w:rsid w:val="00866B9B"/>
    <w:rsid w:val="00866C94"/>
    <w:rsid w:val="00866DBF"/>
    <w:rsid w:val="00866DF5"/>
    <w:rsid w:val="00866E11"/>
    <w:rsid w:val="00867039"/>
    <w:rsid w:val="00867239"/>
    <w:rsid w:val="008676CB"/>
    <w:rsid w:val="008676D7"/>
    <w:rsid w:val="00867771"/>
    <w:rsid w:val="008677B6"/>
    <w:rsid w:val="008678F0"/>
    <w:rsid w:val="00867A0C"/>
    <w:rsid w:val="00867A92"/>
    <w:rsid w:val="00867B39"/>
    <w:rsid w:val="00867BF4"/>
    <w:rsid w:val="00867C06"/>
    <w:rsid w:val="00867D87"/>
    <w:rsid w:val="00867FA3"/>
    <w:rsid w:val="00870312"/>
    <w:rsid w:val="008703FF"/>
    <w:rsid w:val="0087068A"/>
    <w:rsid w:val="008708C1"/>
    <w:rsid w:val="008708F9"/>
    <w:rsid w:val="00870AFD"/>
    <w:rsid w:val="00870B2C"/>
    <w:rsid w:val="00870B6B"/>
    <w:rsid w:val="00870DFF"/>
    <w:rsid w:val="00870F99"/>
    <w:rsid w:val="0087109A"/>
    <w:rsid w:val="008713EB"/>
    <w:rsid w:val="008714D3"/>
    <w:rsid w:val="008714D5"/>
    <w:rsid w:val="008717BC"/>
    <w:rsid w:val="00871BC9"/>
    <w:rsid w:val="00871DBE"/>
    <w:rsid w:val="00871F3E"/>
    <w:rsid w:val="008729D4"/>
    <w:rsid w:val="00872E8E"/>
    <w:rsid w:val="008730A4"/>
    <w:rsid w:val="0087387D"/>
    <w:rsid w:val="008739C0"/>
    <w:rsid w:val="00873AB9"/>
    <w:rsid w:val="00873B5C"/>
    <w:rsid w:val="00873C01"/>
    <w:rsid w:val="00873D2F"/>
    <w:rsid w:val="00873D63"/>
    <w:rsid w:val="00874217"/>
    <w:rsid w:val="0087444A"/>
    <w:rsid w:val="00874596"/>
    <w:rsid w:val="00874802"/>
    <w:rsid w:val="00874950"/>
    <w:rsid w:val="008749F3"/>
    <w:rsid w:val="00874A63"/>
    <w:rsid w:val="00874B01"/>
    <w:rsid w:val="00874B7D"/>
    <w:rsid w:val="00874D0D"/>
    <w:rsid w:val="00874E52"/>
    <w:rsid w:val="008750CF"/>
    <w:rsid w:val="00875426"/>
    <w:rsid w:val="00875459"/>
    <w:rsid w:val="008754CC"/>
    <w:rsid w:val="00875514"/>
    <w:rsid w:val="0087582C"/>
    <w:rsid w:val="0087589C"/>
    <w:rsid w:val="008758EC"/>
    <w:rsid w:val="00875A23"/>
    <w:rsid w:val="00875B2B"/>
    <w:rsid w:val="00875D14"/>
    <w:rsid w:val="00875F1D"/>
    <w:rsid w:val="008766A1"/>
    <w:rsid w:val="00876700"/>
    <w:rsid w:val="008768E3"/>
    <w:rsid w:val="00876AD9"/>
    <w:rsid w:val="00876C47"/>
    <w:rsid w:val="00876D18"/>
    <w:rsid w:val="00876D31"/>
    <w:rsid w:val="008770C8"/>
    <w:rsid w:val="008772F7"/>
    <w:rsid w:val="0087752E"/>
    <w:rsid w:val="00877537"/>
    <w:rsid w:val="008775B5"/>
    <w:rsid w:val="00877646"/>
    <w:rsid w:val="0087770B"/>
    <w:rsid w:val="008779F3"/>
    <w:rsid w:val="00877A21"/>
    <w:rsid w:val="00877CC1"/>
    <w:rsid w:val="00880702"/>
    <w:rsid w:val="0088074A"/>
    <w:rsid w:val="00880A3F"/>
    <w:rsid w:val="00880C98"/>
    <w:rsid w:val="00880CD0"/>
    <w:rsid w:val="00880D61"/>
    <w:rsid w:val="00881003"/>
    <w:rsid w:val="0088111A"/>
    <w:rsid w:val="0088135D"/>
    <w:rsid w:val="008814F1"/>
    <w:rsid w:val="00881525"/>
    <w:rsid w:val="0088179B"/>
    <w:rsid w:val="00881A82"/>
    <w:rsid w:val="00881B92"/>
    <w:rsid w:val="00881C7A"/>
    <w:rsid w:val="00881DE9"/>
    <w:rsid w:val="00881E7C"/>
    <w:rsid w:val="00881EBE"/>
    <w:rsid w:val="00881FBC"/>
    <w:rsid w:val="008820D7"/>
    <w:rsid w:val="008821F2"/>
    <w:rsid w:val="0088236F"/>
    <w:rsid w:val="008824A0"/>
    <w:rsid w:val="008825F2"/>
    <w:rsid w:val="008829BE"/>
    <w:rsid w:val="00882F9B"/>
    <w:rsid w:val="0088372C"/>
    <w:rsid w:val="008839F6"/>
    <w:rsid w:val="00883BF4"/>
    <w:rsid w:val="00883BFD"/>
    <w:rsid w:val="00883E45"/>
    <w:rsid w:val="0088415F"/>
    <w:rsid w:val="00884A40"/>
    <w:rsid w:val="00884F72"/>
    <w:rsid w:val="00885122"/>
    <w:rsid w:val="00885321"/>
    <w:rsid w:val="00885728"/>
    <w:rsid w:val="00885AC8"/>
    <w:rsid w:val="00886052"/>
    <w:rsid w:val="0088654B"/>
    <w:rsid w:val="008866E6"/>
    <w:rsid w:val="00886A30"/>
    <w:rsid w:val="00886AA7"/>
    <w:rsid w:val="00886DC7"/>
    <w:rsid w:val="00887103"/>
    <w:rsid w:val="00887243"/>
    <w:rsid w:val="008875A7"/>
    <w:rsid w:val="00887602"/>
    <w:rsid w:val="00887663"/>
    <w:rsid w:val="0088774B"/>
    <w:rsid w:val="00887852"/>
    <w:rsid w:val="008878A1"/>
    <w:rsid w:val="00887CA6"/>
    <w:rsid w:val="00887CCB"/>
    <w:rsid w:val="008908EF"/>
    <w:rsid w:val="008908F9"/>
    <w:rsid w:val="00890AE4"/>
    <w:rsid w:val="00890C07"/>
    <w:rsid w:val="00890C88"/>
    <w:rsid w:val="00890E63"/>
    <w:rsid w:val="00890E7C"/>
    <w:rsid w:val="00891081"/>
    <w:rsid w:val="008910B8"/>
    <w:rsid w:val="008911E3"/>
    <w:rsid w:val="008911E9"/>
    <w:rsid w:val="008915BF"/>
    <w:rsid w:val="008915C8"/>
    <w:rsid w:val="0089176E"/>
    <w:rsid w:val="008917E9"/>
    <w:rsid w:val="00891931"/>
    <w:rsid w:val="00891A98"/>
    <w:rsid w:val="008922C7"/>
    <w:rsid w:val="0089267D"/>
    <w:rsid w:val="0089268F"/>
    <w:rsid w:val="00892790"/>
    <w:rsid w:val="00892835"/>
    <w:rsid w:val="00892AEB"/>
    <w:rsid w:val="00892C23"/>
    <w:rsid w:val="00893166"/>
    <w:rsid w:val="0089334D"/>
    <w:rsid w:val="008935CD"/>
    <w:rsid w:val="00893647"/>
    <w:rsid w:val="008936C1"/>
    <w:rsid w:val="008936F2"/>
    <w:rsid w:val="008937D0"/>
    <w:rsid w:val="00893B48"/>
    <w:rsid w:val="00893CB2"/>
    <w:rsid w:val="00893DE0"/>
    <w:rsid w:val="00893E28"/>
    <w:rsid w:val="00893ED4"/>
    <w:rsid w:val="00893F1A"/>
    <w:rsid w:val="00894118"/>
    <w:rsid w:val="008943D6"/>
    <w:rsid w:val="0089447E"/>
    <w:rsid w:val="008946A3"/>
    <w:rsid w:val="008946FB"/>
    <w:rsid w:val="00894B87"/>
    <w:rsid w:val="00894C8C"/>
    <w:rsid w:val="00894DBA"/>
    <w:rsid w:val="00894DEC"/>
    <w:rsid w:val="00895016"/>
    <w:rsid w:val="008954B8"/>
    <w:rsid w:val="00895598"/>
    <w:rsid w:val="008955F4"/>
    <w:rsid w:val="00895EFC"/>
    <w:rsid w:val="00896052"/>
    <w:rsid w:val="00896214"/>
    <w:rsid w:val="00896477"/>
    <w:rsid w:val="00896753"/>
    <w:rsid w:val="00896915"/>
    <w:rsid w:val="008969B4"/>
    <w:rsid w:val="00896A85"/>
    <w:rsid w:val="00896CDE"/>
    <w:rsid w:val="00896D4E"/>
    <w:rsid w:val="00896D69"/>
    <w:rsid w:val="00896E0A"/>
    <w:rsid w:val="00897359"/>
    <w:rsid w:val="00897578"/>
    <w:rsid w:val="00897999"/>
    <w:rsid w:val="00897A32"/>
    <w:rsid w:val="00897ABB"/>
    <w:rsid w:val="00897B6E"/>
    <w:rsid w:val="00897EC4"/>
    <w:rsid w:val="00897FE3"/>
    <w:rsid w:val="008A02BB"/>
    <w:rsid w:val="008A04CC"/>
    <w:rsid w:val="008A056D"/>
    <w:rsid w:val="008A06CF"/>
    <w:rsid w:val="008A07B2"/>
    <w:rsid w:val="008A08FB"/>
    <w:rsid w:val="008A09AA"/>
    <w:rsid w:val="008A0CD4"/>
    <w:rsid w:val="008A1136"/>
    <w:rsid w:val="008A1301"/>
    <w:rsid w:val="008A1307"/>
    <w:rsid w:val="008A1457"/>
    <w:rsid w:val="008A14A0"/>
    <w:rsid w:val="008A16EC"/>
    <w:rsid w:val="008A19BF"/>
    <w:rsid w:val="008A1BA1"/>
    <w:rsid w:val="008A1D69"/>
    <w:rsid w:val="008A1D8F"/>
    <w:rsid w:val="008A1DDC"/>
    <w:rsid w:val="008A203B"/>
    <w:rsid w:val="008A2086"/>
    <w:rsid w:val="008A2114"/>
    <w:rsid w:val="008A211C"/>
    <w:rsid w:val="008A2365"/>
    <w:rsid w:val="008A25F9"/>
    <w:rsid w:val="008A2817"/>
    <w:rsid w:val="008A2928"/>
    <w:rsid w:val="008A2A2D"/>
    <w:rsid w:val="008A2ABD"/>
    <w:rsid w:val="008A2BCC"/>
    <w:rsid w:val="008A3063"/>
    <w:rsid w:val="008A314F"/>
    <w:rsid w:val="008A32D4"/>
    <w:rsid w:val="008A35DA"/>
    <w:rsid w:val="008A3777"/>
    <w:rsid w:val="008A37DC"/>
    <w:rsid w:val="008A381F"/>
    <w:rsid w:val="008A388A"/>
    <w:rsid w:val="008A403C"/>
    <w:rsid w:val="008A40B8"/>
    <w:rsid w:val="008A4250"/>
    <w:rsid w:val="008A4777"/>
    <w:rsid w:val="008A4C64"/>
    <w:rsid w:val="008A4C8E"/>
    <w:rsid w:val="008A4E4F"/>
    <w:rsid w:val="008A4F3E"/>
    <w:rsid w:val="008A4F9F"/>
    <w:rsid w:val="008A513D"/>
    <w:rsid w:val="008A5214"/>
    <w:rsid w:val="008A5443"/>
    <w:rsid w:val="008A5557"/>
    <w:rsid w:val="008A560D"/>
    <w:rsid w:val="008A5726"/>
    <w:rsid w:val="008A58CE"/>
    <w:rsid w:val="008A5C03"/>
    <w:rsid w:val="008A5C9E"/>
    <w:rsid w:val="008A5E84"/>
    <w:rsid w:val="008A6070"/>
    <w:rsid w:val="008A640E"/>
    <w:rsid w:val="008A653A"/>
    <w:rsid w:val="008A6577"/>
    <w:rsid w:val="008A6945"/>
    <w:rsid w:val="008A6A59"/>
    <w:rsid w:val="008A6A8D"/>
    <w:rsid w:val="008A6BC7"/>
    <w:rsid w:val="008A6D98"/>
    <w:rsid w:val="008A6DC0"/>
    <w:rsid w:val="008A700C"/>
    <w:rsid w:val="008A7268"/>
    <w:rsid w:val="008A7356"/>
    <w:rsid w:val="008A7747"/>
    <w:rsid w:val="008A7D51"/>
    <w:rsid w:val="008A7F01"/>
    <w:rsid w:val="008B017E"/>
    <w:rsid w:val="008B059E"/>
    <w:rsid w:val="008B07B7"/>
    <w:rsid w:val="008B0A0C"/>
    <w:rsid w:val="008B0D8B"/>
    <w:rsid w:val="008B10D1"/>
    <w:rsid w:val="008B1198"/>
    <w:rsid w:val="008B1199"/>
    <w:rsid w:val="008B1582"/>
    <w:rsid w:val="008B1784"/>
    <w:rsid w:val="008B1808"/>
    <w:rsid w:val="008B1BEB"/>
    <w:rsid w:val="008B21B3"/>
    <w:rsid w:val="008B2216"/>
    <w:rsid w:val="008B25AA"/>
    <w:rsid w:val="008B2617"/>
    <w:rsid w:val="008B2920"/>
    <w:rsid w:val="008B2ECD"/>
    <w:rsid w:val="008B2F2A"/>
    <w:rsid w:val="008B3251"/>
    <w:rsid w:val="008B38C6"/>
    <w:rsid w:val="008B3B9E"/>
    <w:rsid w:val="008B3EC4"/>
    <w:rsid w:val="008B4496"/>
    <w:rsid w:val="008B483A"/>
    <w:rsid w:val="008B4B0D"/>
    <w:rsid w:val="008B4C03"/>
    <w:rsid w:val="008B51BF"/>
    <w:rsid w:val="008B5348"/>
    <w:rsid w:val="008B537A"/>
    <w:rsid w:val="008B53DA"/>
    <w:rsid w:val="008B5599"/>
    <w:rsid w:val="008B5643"/>
    <w:rsid w:val="008B56A9"/>
    <w:rsid w:val="008B5ABD"/>
    <w:rsid w:val="008B5B0C"/>
    <w:rsid w:val="008B5C0A"/>
    <w:rsid w:val="008B5C46"/>
    <w:rsid w:val="008B5E7B"/>
    <w:rsid w:val="008B5FD1"/>
    <w:rsid w:val="008B60BD"/>
    <w:rsid w:val="008B60E5"/>
    <w:rsid w:val="008B62BD"/>
    <w:rsid w:val="008B65D6"/>
    <w:rsid w:val="008B662A"/>
    <w:rsid w:val="008B66F0"/>
    <w:rsid w:val="008B68F1"/>
    <w:rsid w:val="008B6DA8"/>
    <w:rsid w:val="008B6EF5"/>
    <w:rsid w:val="008B7319"/>
    <w:rsid w:val="008B76AC"/>
    <w:rsid w:val="008B7975"/>
    <w:rsid w:val="008B7AA8"/>
    <w:rsid w:val="008B7AD3"/>
    <w:rsid w:val="008B7AEF"/>
    <w:rsid w:val="008B7DDC"/>
    <w:rsid w:val="008C0295"/>
    <w:rsid w:val="008C0375"/>
    <w:rsid w:val="008C048C"/>
    <w:rsid w:val="008C0495"/>
    <w:rsid w:val="008C04EA"/>
    <w:rsid w:val="008C064F"/>
    <w:rsid w:val="008C0737"/>
    <w:rsid w:val="008C09C4"/>
    <w:rsid w:val="008C0C22"/>
    <w:rsid w:val="008C0C93"/>
    <w:rsid w:val="008C0CCF"/>
    <w:rsid w:val="008C0E20"/>
    <w:rsid w:val="008C104F"/>
    <w:rsid w:val="008C1070"/>
    <w:rsid w:val="008C11B6"/>
    <w:rsid w:val="008C1313"/>
    <w:rsid w:val="008C142C"/>
    <w:rsid w:val="008C1455"/>
    <w:rsid w:val="008C1497"/>
    <w:rsid w:val="008C14EE"/>
    <w:rsid w:val="008C1574"/>
    <w:rsid w:val="008C15C2"/>
    <w:rsid w:val="008C18A2"/>
    <w:rsid w:val="008C194A"/>
    <w:rsid w:val="008C1C7D"/>
    <w:rsid w:val="008C1E81"/>
    <w:rsid w:val="008C20C5"/>
    <w:rsid w:val="008C23FF"/>
    <w:rsid w:val="008C2603"/>
    <w:rsid w:val="008C27BC"/>
    <w:rsid w:val="008C282C"/>
    <w:rsid w:val="008C2AAE"/>
    <w:rsid w:val="008C2AFE"/>
    <w:rsid w:val="008C2B06"/>
    <w:rsid w:val="008C2C5D"/>
    <w:rsid w:val="008C2E5B"/>
    <w:rsid w:val="008C2F4F"/>
    <w:rsid w:val="008C3036"/>
    <w:rsid w:val="008C321B"/>
    <w:rsid w:val="008C3443"/>
    <w:rsid w:val="008C3464"/>
    <w:rsid w:val="008C35AB"/>
    <w:rsid w:val="008C387D"/>
    <w:rsid w:val="008C3C18"/>
    <w:rsid w:val="008C3C37"/>
    <w:rsid w:val="008C4127"/>
    <w:rsid w:val="008C42D9"/>
    <w:rsid w:val="008C4433"/>
    <w:rsid w:val="008C448E"/>
    <w:rsid w:val="008C45E1"/>
    <w:rsid w:val="008C46AA"/>
    <w:rsid w:val="008C4B0E"/>
    <w:rsid w:val="008C4B2E"/>
    <w:rsid w:val="008C4B35"/>
    <w:rsid w:val="008C4B93"/>
    <w:rsid w:val="008C4D5C"/>
    <w:rsid w:val="008C4FAA"/>
    <w:rsid w:val="008C5388"/>
    <w:rsid w:val="008C53F7"/>
    <w:rsid w:val="008C5564"/>
    <w:rsid w:val="008C576A"/>
    <w:rsid w:val="008C5794"/>
    <w:rsid w:val="008C5AC0"/>
    <w:rsid w:val="008C5B7D"/>
    <w:rsid w:val="008C5EBB"/>
    <w:rsid w:val="008C5EC7"/>
    <w:rsid w:val="008C5F75"/>
    <w:rsid w:val="008C626C"/>
    <w:rsid w:val="008C65CE"/>
    <w:rsid w:val="008C6689"/>
    <w:rsid w:val="008C6789"/>
    <w:rsid w:val="008C6A2F"/>
    <w:rsid w:val="008C6A45"/>
    <w:rsid w:val="008C6AEE"/>
    <w:rsid w:val="008C6CBC"/>
    <w:rsid w:val="008C6D5D"/>
    <w:rsid w:val="008C6F32"/>
    <w:rsid w:val="008C71E2"/>
    <w:rsid w:val="008C7440"/>
    <w:rsid w:val="008C750A"/>
    <w:rsid w:val="008C77C3"/>
    <w:rsid w:val="008C7CDC"/>
    <w:rsid w:val="008C7E31"/>
    <w:rsid w:val="008C7EC0"/>
    <w:rsid w:val="008D00D0"/>
    <w:rsid w:val="008D023E"/>
    <w:rsid w:val="008D027D"/>
    <w:rsid w:val="008D031D"/>
    <w:rsid w:val="008D0479"/>
    <w:rsid w:val="008D0587"/>
    <w:rsid w:val="008D06D1"/>
    <w:rsid w:val="008D07AF"/>
    <w:rsid w:val="008D0802"/>
    <w:rsid w:val="008D08F5"/>
    <w:rsid w:val="008D097D"/>
    <w:rsid w:val="008D099C"/>
    <w:rsid w:val="008D0C02"/>
    <w:rsid w:val="008D0C7D"/>
    <w:rsid w:val="008D0E4B"/>
    <w:rsid w:val="008D1100"/>
    <w:rsid w:val="008D177B"/>
    <w:rsid w:val="008D17D3"/>
    <w:rsid w:val="008D1DC3"/>
    <w:rsid w:val="008D1E79"/>
    <w:rsid w:val="008D1EAB"/>
    <w:rsid w:val="008D213A"/>
    <w:rsid w:val="008D22BC"/>
    <w:rsid w:val="008D2939"/>
    <w:rsid w:val="008D29F5"/>
    <w:rsid w:val="008D2D40"/>
    <w:rsid w:val="008D303E"/>
    <w:rsid w:val="008D30C4"/>
    <w:rsid w:val="008D30EF"/>
    <w:rsid w:val="008D3203"/>
    <w:rsid w:val="008D32AF"/>
    <w:rsid w:val="008D343A"/>
    <w:rsid w:val="008D3442"/>
    <w:rsid w:val="008D34B3"/>
    <w:rsid w:val="008D3869"/>
    <w:rsid w:val="008D3BD7"/>
    <w:rsid w:val="008D3C48"/>
    <w:rsid w:val="008D3F50"/>
    <w:rsid w:val="008D4124"/>
    <w:rsid w:val="008D4346"/>
    <w:rsid w:val="008D4546"/>
    <w:rsid w:val="008D454A"/>
    <w:rsid w:val="008D48E0"/>
    <w:rsid w:val="008D4A16"/>
    <w:rsid w:val="008D4B19"/>
    <w:rsid w:val="008D4CD2"/>
    <w:rsid w:val="008D4F5A"/>
    <w:rsid w:val="008D5124"/>
    <w:rsid w:val="008D53C3"/>
    <w:rsid w:val="008D542C"/>
    <w:rsid w:val="008D5520"/>
    <w:rsid w:val="008D564E"/>
    <w:rsid w:val="008D5696"/>
    <w:rsid w:val="008D5754"/>
    <w:rsid w:val="008D5789"/>
    <w:rsid w:val="008D5831"/>
    <w:rsid w:val="008D61A1"/>
    <w:rsid w:val="008D63BD"/>
    <w:rsid w:val="008D6596"/>
    <w:rsid w:val="008D68C5"/>
    <w:rsid w:val="008D6E57"/>
    <w:rsid w:val="008D6E5E"/>
    <w:rsid w:val="008D7022"/>
    <w:rsid w:val="008D7038"/>
    <w:rsid w:val="008D7373"/>
    <w:rsid w:val="008D76F3"/>
    <w:rsid w:val="008D7B21"/>
    <w:rsid w:val="008D7B3B"/>
    <w:rsid w:val="008D7D6D"/>
    <w:rsid w:val="008D7E88"/>
    <w:rsid w:val="008D7EA5"/>
    <w:rsid w:val="008E031A"/>
    <w:rsid w:val="008E03C9"/>
    <w:rsid w:val="008E040F"/>
    <w:rsid w:val="008E04FF"/>
    <w:rsid w:val="008E057F"/>
    <w:rsid w:val="008E0B89"/>
    <w:rsid w:val="008E0C38"/>
    <w:rsid w:val="008E0C70"/>
    <w:rsid w:val="008E0CBB"/>
    <w:rsid w:val="008E0E79"/>
    <w:rsid w:val="008E1011"/>
    <w:rsid w:val="008E1131"/>
    <w:rsid w:val="008E12AC"/>
    <w:rsid w:val="008E12C1"/>
    <w:rsid w:val="008E151C"/>
    <w:rsid w:val="008E1776"/>
    <w:rsid w:val="008E17E2"/>
    <w:rsid w:val="008E1A47"/>
    <w:rsid w:val="008E1DA7"/>
    <w:rsid w:val="008E2088"/>
    <w:rsid w:val="008E20DB"/>
    <w:rsid w:val="008E21F5"/>
    <w:rsid w:val="008E231C"/>
    <w:rsid w:val="008E2333"/>
    <w:rsid w:val="008E25AB"/>
    <w:rsid w:val="008E25EB"/>
    <w:rsid w:val="008E2662"/>
    <w:rsid w:val="008E2823"/>
    <w:rsid w:val="008E2AF7"/>
    <w:rsid w:val="008E2DDD"/>
    <w:rsid w:val="008E3022"/>
    <w:rsid w:val="008E3114"/>
    <w:rsid w:val="008E31B3"/>
    <w:rsid w:val="008E33AB"/>
    <w:rsid w:val="008E3502"/>
    <w:rsid w:val="008E3567"/>
    <w:rsid w:val="008E366B"/>
    <w:rsid w:val="008E3933"/>
    <w:rsid w:val="008E39B5"/>
    <w:rsid w:val="008E3AF7"/>
    <w:rsid w:val="008E3F12"/>
    <w:rsid w:val="008E3FB5"/>
    <w:rsid w:val="008E421B"/>
    <w:rsid w:val="008E430F"/>
    <w:rsid w:val="008E4715"/>
    <w:rsid w:val="008E49AA"/>
    <w:rsid w:val="008E4A3D"/>
    <w:rsid w:val="008E4AF7"/>
    <w:rsid w:val="008E4B73"/>
    <w:rsid w:val="008E4BC9"/>
    <w:rsid w:val="008E4CA6"/>
    <w:rsid w:val="008E4E1C"/>
    <w:rsid w:val="008E4FE4"/>
    <w:rsid w:val="008E55C4"/>
    <w:rsid w:val="008E5740"/>
    <w:rsid w:val="008E5BEA"/>
    <w:rsid w:val="008E5D72"/>
    <w:rsid w:val="008E5F08"/>
    <w:rsid w:val="008E5FEA"/>
    <w:rsid w:val="008E607B"/>
    <w:rsid w:val="008E6107"/>
    <w:rsid w:val="008E6142"/>
    <w:rsid w:val="008E6225"/>
    <w:rsid w:val="008E6429"/>
    <w:rsid w:val="008E6480"/>
    <w:rsid w:val="008E6657"/>
    <w:rsid w:val="008E67B2"/>
    <w:rsid w:val="008E694B"/>
    <w:rsid w:val="008E6A3D"/>
    <w:rsid w:val="008E6BDF"/>
    <w:rsid w:val="008E6C26"/>
    <w:rsid w:val="008E6C6B"/>
    <w:rsid w:val="008E6FB7"/>
    <w:rsid w:val="008E714B"/>
    <w:rsid w:val="008E71D5"/>
    <w:rsid w:val="008E7368"/>
    <w:rsid w:val="008E76AD"/>
    <w:rsid w:val="008E77D1"/>
    <w:rsid w:val="008E7858"/>
    <w:rsid w:val="008E7D76"/>
    <w:rsid w:val="008E7E36"/>
    <w:rsid w:val="008F0306"/>
    <w:rsid w:val="008F043A"/>
    <w:rsid w:val="008F06A9"/>
    <w:rsid w:val="008F0782"/>
    <w:rsid w:val="008F07C3"/>
    <w:rsid w:val="008F08B3"/>
    <w:rsid w:val="008F0A81"/>
    <w:rsid w:val="008F10E2"/>
    <w:rsid w:val="008F12A9"/>
    <w:rsid w:val="008F1372"/>
    <w:rsid w:val="008F139C"/>
    <w:rsid w:val="008F156A"/>
    <w:rsid w:val="008F15DC"/>
    <w:rsid w:val="008F1688"/>
    <w:rsid w:val="008F17BB"/>
    <w:rsid w:val="008F17CA"/>
    <w:rsid w:val="008F188E"/>
    <w:rsid w:val="008F1964"/>
    <w:rsid w:val="008F1B24"/>
    <w:rsid w:val="008F1CA7"/>
    <w:rsid w:val="008F1E25"/>
    <w:rsid w:val="008F1E9F"/>
    <w:rsid w:val="008F207C"/>
    <w:rsid w:val="008F20CC"/>
    <w:rsid w:val="008F220C"/>
    <w:rsid w:val="008F2337"/>
    <w:rsid w:val="008F247E"/>
    <w:rsid w:val="008F26A0"/>
    <w:rsid w:val="008F284E"/>
    <w:rsid w:val="008F28CD"/>
    <w:rsid w:val="008F2A3D"/>
    <w:rsid w:val="008F2C47"/>
    <w:rsid w:val="008F2D48"/>
    <w:rsid w:val="008F2EA4"/>
    <w:rsid w:val="008F3595"/>
    <w:rsid w:val="008F36FF"/>
    <w:rsid w:val="008F39E2"/>
    <w:rsid w:val="008F3A23"/>
    <w:rsid w:val="008F3C98"/>
    <w:rsid w:val="008F3E07"/>
    <w:rsid w:val="008F3E56"/>
    <w:rsid w:val="008F47E0"/>
    <w:rsid w:val="008F486B"/>
    <w:rsid w:val="008F4D91"/>
    <w:rsid w:val="008F4D94"/>
    <w:rsid w:val="008F4E2B"/>
    <w:rsid w:val="008F519F"/>
    <w:rsid w:val="008F5272"/>
    <w:rsid w:val="008F52C2"/>
    <w:rsid w:val="008F54A0"/>
    <w:rsid w:val="008F54F5"/>
    <w:rsid w:val="008F59B8"/>
    <w:rsid w:val="008F5A2A"/>
    <w:rsid w:val="008F5B9D"/>
    <w:rsid w:val="008F5C30"/>
    <w:rsid w:val="008F5CA0"/>
    <w:rsid w:val="008F5E9C"/>
    <w:rsid w:val="008F63B6"/>
    <w:rsid w:val="008F643D"/>
    <w:rsid w:val="008F661F"/>
    <w:rsid w:val="008F66F8"/>
    <w:rsid w:val="008F6727"/>
    <w:rsid w:val="008F68E8"/>
    <w:rsid w:val="008F68F7"/>
    <w:rsid w:val="008F6AF0"/>
    <w:rsid w:val="008F6C3D"/>
    <w:rsid w:val="008F6CA4"/>
    <w:rsid w:val="008F6CF6"/>
    <w:rsid w:val="008F6E33"/>
    <w:rsid w:val="008F71E9"/>
    <w:rsid w:val="008F7252"/>
    <w:rsid w:val="008F755D"/>
    <w:rsid w:val="008F7810"/>
    <w:rsid w:val="008F7B76"/>
    <w:rsid w:val="008F7C08"/>
    <w:rsid w:val="008F7D01"/>
    <w:rsid w:val="008F7F98"/>
    <w:rsid w:val="0090033D"/>
    <w:rsid w:val="009004A3"/>
    <w:rsid w:val="0090050B"/>
    <w:rsid w:val="00900643"/>
    <w:rsid w:val="00900706"/>
    <w:rsid w:val="00900AEF"/>
    <w:rsid w:val="00900CB6"/>
    <w:rsid w:val="00900F5C"/>
    <w:rsid w:val="0090106E"/>
    <w:rsid w:val="0090114F"/>
    <w:rsid w:val="009011C8"/>
    <w:rsid w:val="009013F9"/>
    <w:rsid w:val="00901436"/>
    <w:rsid w:val="009016B9"/>
    <w:rsid w:val="0090195D"/>
    <w:rsid w:val="0090195E"/>
    <w:rsid w:val="00901EE9"/>
    <w:rsid w:val="0090205D"/>
    <w:rsid w:val="009021DC"/>
    <w:rsid w:val="00902285"/>
    <w:rsid w:val="009024C8"/>
    <w:rsid w:val="00902860"/>
    <w:rsid w:val="00902D8B"/>
    <w:rsid w:val="00902DB7"/>
    <w:rsid w:val="00902EA6"/>
    <w:rsid w:val="00902EF8"/>
    <w:rsid w:val="009031D7"/>
    <w:rsid w:val="00903491"/>
    <w:rsid w:val="009034F9"/>
    <w:rsid w:val="0090380E"/>
    <w:rsid w:val="00903CEB"/>
    <w:rsid w:val="00903D65"/>
    <w:rsid w:val="00903E08"/>
    <w:rsid w:val="00903FBC"/>
    <w:rsid w:val="009041BD"/>
    <w:rsid w:val="00904724"/>
    <w:rsid w:val="0090484A"/>
    <w:rsid w:val="009049F1"/>
    <w:rsid w:val="00904EAF"/>
    <w:rsid w:val="009051E2"/>
    <w:rsid w:val="00905257"/>
    <w:rsid w:val="00905392"/>
    <w:rsid w:val="009056A7"/>
    <w:rsid w:val="009057AD"/>
    <w:rsid w:val="009058B0"/>
    <w:rsid w:val="00905C75"/>
    <w:rsid w:val="00905D07"/>
    <w:rsid w:val="00905F56"/>
    <w:rsid w:val="0090628C"/>
    <w:rsid w:val="00906391"/>
    <w:rsid w:val="009063AA"/>
    <w:rsid w:val="0090644C"/>
    <w:rsid w:val="00906660"/>
    <w:rsid w:val="00906730"/>
    <w:rsid w:val="00906781"/>
    <w:rsid w:val="00906D4C"/>
    <w:rsid w:val="009070DF"/>
    <w:rsid w:val="0090718C"/>
    <w:rsid w:val="0090728F"/>
    <w:rsid w:val="0090757A"/>
    <w:rsid w:val="009075B0"/>
    <w:rsid w:val="009075D5"/>
    <w:rsid w:val="00907858"/>
    <w:rsid w:val="009079DA"/>
    <w:rsid w:val="00907A8F"/>
    <w:rsid w:val="00907E4E"/>
    <w:rsid w:val="00907E9A"/>
    <w:rsid w:val="00907FAD"/>
    <w:rsid w:val="00907FF4"/>
    <w:rsid w:val="009102C6"/>
    <w:rsid w:val="009106E3"/>
    <w:rsid w:val="00910BEC"/>
    <w:rsid w:val="00910C7A"/>
    <w:rsid w:val="00910C86"/>
    <w:rsid w:val="00910CAF"/>
    <w:rsid w:val="00910DF3"/>
    <w:rsid w:val="00910E0B"/>
    <w:rsid w:val="00911030"/>
    <w:rsid w:val="009114F7"/>
    <w:rsid w:val="00911534"/>
    <w:rsid w:val="00911B23"/>
    <w:rsid w:val="00911C58"/>
    <w:rsid w:val="00911CC8"/>
    <w:rsid w:val="00911D6E"/>
    <w:rsid w:val="00911E11"/>
    <w:rsid w:val="00911E6B"/>
    <w:rsid w:val="009121ED"/>
    <w:rsid w:val="00912278"/>
    <w:rsid w:val="009123A8"/>
    <w:rsid w:val="00912446"/>
    <w:rsid w:val="0091258C"/>
    <w:rsid w:val="009125AC"/>
    <w:rsid w:val="009126A1"/>
    <w:rsid w:val="00912704"/>
    <w:rsid w:val="00912834"/>
    <w:rsid w:val="009129AE"/>
    <w:rsid w:val="00912B6F"/>
    <w:rsid w:val="00912E48"/>
    <w:rsid w:val="00912E93"/>
    <w:rsid w:val="00912EFC"/>
    <w:rsid w:val="00913261"/>
    <w:rsid w:val="0091354F"/>
    <w:rsid w:val="009136F4"/>
    <w:rsid w:val="00913B00"/>
    <w:rsid w:val="00913F73"/>
    <w:rsid w:val="009142A8"/>
    <w:rsid w:val="0091452B"/>
    <w:rsid w:val="009145E6"/>
    <w:rsid w:val="00914C74"/>
    <w:rsid w:val="00914CE9"/>
    <w:rsid w:val="00914DE1"/>
    <w:rsid w:val="00914FFC"/>
    <w:rsid w:val="0091504A"/>
    <w:rsid w:val="009151D4"/>
    <w:rsid w:val="00915466"/>
    <w:rsid w:val="0091561F"/>
    <w:rsid w:val="00915887"/>
    <w:rsid w:val="00915B38"/>
    <w:rsid w:val="00915F2F"/>
    <w:rsid w:val="009160D9"/>
    <w:rsid w:val="0091612C"/>
    <w:rsid w:val="00916131"/>
    <w:rsid w:val="00916330"/>
    <w:rsid w:val="00916592"/>
    <w:rsid w:val="009165C4"/>
    <w:rsid w:val="009167DB"/>
    <w:rsid w:val="009167F8"/>
    <w:rsid w:val="0091684F"/>
    <w:rsid w:val="009169C1"/>
    <w:rsid w:val="00916BFC"/>
    <w:rsid w:val="009171F0"/>
    <w:rsid w:val="00917775"/>
    <w:rsid w:val="00917825"/>
    <w:rsid w:val="00917959"/>
    <w:rsid w:val="009179B8"/>
    <w:rsid w:val="00917D1E"/>
    <w:rsid w:val="00917F81"/>
    <w:rsid w:val="009201C1"/>
    <w:rsid w:val="009207A1"/>
    <w:rsid w:val="00920B61"/>
    <w:rsid w:val="00920E56"/>
    <w:rsid w:val="00921097"/>
    <w:rsid w:val="009210FE"/>
    <w:rsid w:val="00921159"/>
    <w:rsid w:val="009212F9"/>
    <w:rsid w:val="00921602"/>
    <w:rsid w:val="0092160A"/>
    <w:rsid w:val="00921661"/>
    <w:rsid w:val="00921880"/>
    <w:rsid w:val="00921B3C"/>
    <w:rsid w:val="00921BF4"/>
    <w:rsid w:val="0092203F"/>
    <w:rsid w:val="00922052"/>
    <w:rsid w:val="00922127"/>
    <w:rsid w:val="00922636"/>
    <w:rsid w:val="009228ED"/>
    <w:rsid w:val="0092291D"/>
    <w:rsid w:val="009229B0"/>
    <w:rsid w:val="00922DFA"/>
    <w:rsid w:val="00922F6C"/>
    <w:rsid w:val="009230F3"/>
    <w:rsid w:val="009231EC"/>
    <w:rsid w:val="009231F8"/>
    <w:rsid w:val="009231FF"/>
    <w:rsid w:val="00923262"/>
    <w:rsid w:val="0092327D"/>
    <w:rsid w:val="009234FD"/>
    <w:rsid w:val="009235E4"/>
    <w:rsid w:val="00923979"/>
    <w:rsid w:val="00923AE4"/>
    <w:rsid w:val="00923E20"/>
    <w:rsid w:val="009243CE"/>
    <w:rsid w:val="00924537"/>
    <w:rsid w:val="00924579"/>
    <w:rsid w:val="009245B9"/>
    <w:rsid w:val="00924776"/>
    <w:rsid w:val="009248AF"/>
    <w:rsid w:val="009248C1"/>
    <w:rsid w:val="00924A6D"/>
    <w:rsid w:val="00924DF9"/>
    <w:rsid w:val="0092513F"/>
    <w:rsid w:val="00925190"/>
    <w:rsid w:val="009254D8"/>
    <w:rsid w:val="009256F8"/>
    <w:rsid w:val="0092573F"/>
    <w:rsid w:val="009258A6"/>
    <w:rsid w:val="0092591F"/>
    <w:rsid w:val="00925A1A"/>
    <w:rsid w:val="00925B56"/>
    <w:rsid w:val="00925BA1"/>
    <w:rsid w:val="00925C30"/>
    <w:rsid w:val="00925C46"/>
    <w:rsid w:val="00925DF5"/>
    <w:rsid w:val="00925E67"/>
    <w:rsid w:val="00925ED2"/>
    <w:rsid w:val="00925ED9"/>
    <w:rsid w:val="00926376"/>
    <w:rsid w:val="009263E8"/>
    <w:rsid w:val="0092640B"/>
    <w:rsid w:val="00926583"/>
    <w:rsid w:val="009265BA"/>
    <w:rsid w:val="009266EA"/>
    <w:rsid w:val="0092676D"/>
    <w:rsid w:val="00926954"/>
    <w:rsid w:val="00926A3F"/>
    <w:rsid w:val="00926BC0"/>
    <w:rsid w:val="00926C0F"/>
    <w:rsid w:val="00926DCA"/>
    <w:rsid w:val="00926F8C"/>
    <w:rsid w:val="00927166"/>
    <w:rsid w:val="00927292"/>
    <w:rsid w:val="009272D4"/>
    <w:rsid w:val="00927895"/>
    <w:rsid w:val="00927962"/>
    <w:rsid w:val="00927AB3"/>
    <w:rsid w:val="00927D0D"/>
    <w:rsid w:val="00927D1A"/>
    <w:rsid w:val="00927D87"/>
    <w:rsid w:val="00927E28"/>
    <w:rsid w:val="00927E3E"/>
    <w:rsid w:val="00927E80"/>
    <w:rsid w:val="009300A1"/>
    <w:rsid w:val="009300F2"/>
    <w:rsid w:val="00930212"/>
    <w:rsid w:val="00930431"/>
    <w:rsid w:val="0093076F"/>
    <w:rsid w:val="0093086C"/>
    <w:rsid w:val="00930C3F"/>
    <w:rsid w:val="00930D51"/>
    <w:rsid w:val="00930D88"/>
    <w:rsid w:val="00931126"/>
    <w:rsid w:val="009312C8"/>
    <w:rsid w:val="0093140C"/>
    <w:rsid w:val="009316F2"/>
    <w:rsid w:val="00931887"/>
    <w:rsid w:val="0093189F"/>
    <w:rsid w:val="00931C7A"/>
    <w:rsid w:val="00931D77"/>
    <w:rsid w:val="00931E93"/>
    <w:rsid w:val="00931F29"/>
    <w:rsid w:val="00931F7B"/>
    <w:rsid w:val="0093233A"/>
    <w:rsid w:val="00932402"/>
    <w:rsid w:val="00932AA8"/>
    <w:rsid w:val="0093301E"/>
    <w:rsid w:val="00933376"/>
    <w:rsid w:val="0093345B"/>
    <w:rsid w:val="0093357E"/>
    <w:rsid w:val="009335E6"/>
    <w:rsid w:val="0093380B"/>
    <w:rsid w:val="00933881"/>
    <w:rsid w:val="00933B0B"/>
    <w:rsid w:val="00933CE8"/>
    <w:rsid w:val="00933EB9"/>
    <w:rsid w:val="00934056"/>
    <w:rsid w:val="00934139"/>
    <w:rsid w:val="00934350"/>
    <w:rsid w:val="009343D0"/>
    <w:rsid w:val="009346FA"/>
    <w:rsid w:val="0093475F"/>
    <w:rsid w:val="00934C3C"/>
    <w:rsid w:val="00934E23"/>
    <w:rsid w:val="00934F65"/>
    <w:rsid w:val="0093520A"/>
    <w:rsid w:val="009352CA"/>
    <w:rsid w:val="00935311"/>
    <w:rsid w:val="00935448"/>
    <w:rsid w:val="009355C5"/>
    <w:rsid w:val="0093570F"/>
    <w:rsid w:val="0093582C"/>
    <w:rsid w:val="0093583D"/>
    <w:rsid w:val="00935943"/>
    <w:rsid w:val="009359D2"/>
    <w:rsid w:val="00935B06"/>
    <w:rsid w:val="00935B81"/>
    <w:rsid w:val="00935CED"/>
    <w:rsid w:val="009364E0"/>
    <w:rsid w:val="009365A3"/>
    <w:rsid w:val="00936DC4"/>
    <w:rsid w:val="0093721C"/>
    <w:rsid w:val="009372B8"/>
    <w:rsid w:val="009372D6"/>
    <w:rsid w:val="00937327"/>
    <w:rsid w:val="0093737E"/>
    <w:rsid w:val="00937973"/>
    <w:rsid w:val="009379DD"/>
    <w:rsid w:val="00937CA4"/>
    <w:rsid w:val="0094003D"/>
    <w:rsid w:val="00940249"/>
    <w:rsid w:val="009402A3"/>
    <w:rsid w:val="0094042B"/>
    <w:rsid w:val="0094087F"/>
    <w:rsid w:val="00940926"/>
    <w:rsid w:val="009409B9"/>
    <w:rsid w:val="009409BE"/>
    <w:rsid w:val="00940C67"/>
    <w:rsid w:val="00940D95"/>
    <w:rsid w:val="00940DBA"/>
    <w:rsid w:val="00940FA5"/>
    <w:rsid w:val="00941054"/>
    <w:rsid w:val="0094120F"/>
    <w:rsid w:val="00941394"/>
    <w:rsid w:val="009413BE"/>
    <w:rsid w:val="00941752"/>
    <w:rsid w:val="009417D2"/>
    <w:rsid w:val="009419C3"/>
    <w:rsid w:val="00941C70"/>
    <w:rsid w:val="00941E78"/>
    <w:rsid w:val="009422EB"/>
    <w:rsid w:val="009425AE"/>
    <w:rsid w:val="00942C3D"/>
    <w:rsid w:val="00942CBD"/>
    <w:rsid w:val="00942E53"/>
    <w:rsid w:val="00943248"/>
    <w:rsid w:val="009432DC"/>
    <w:rsid w:val="0094335A"/>
    <w:rsid w:val="00943827"/>
    <w:rsid w:val="009438B3"/>
    <w:rsid w:val="009438E6"/>
    <w:rsid w:val="009439F7"/>
    <w:rsid w:val="00943BA8"/>
    <w:rsid w:val="00943E74"/>
    <w:rsid w:val="00943EF5"/>
    <w:rsid w:val="0094402D"/>
    <w:rsid w:val="0094407E"/>
    <w:rsid w:val="0094409B"/>
    <w:rsid w:val="00944557"/>
    <w:rsid w:val="009445CF"/>
    <w:rsid w:val="00944678"/>
    <w:rsid w:val="009448A8"/>
    <w:rsid w:val="00944DF8"/>
    <w:rsid w:val="00944E46"/>
    <w:rsid w:val="009450A6"/>
    <w:rsid w:val="009451B3"/>
    <w:rsid w:val="009452CF"/>
    <w:rsid w:val="00945353"/>
    <w:rsid w:val="0094558F"/>
    <w:rsid w:val="0094574F"/>
    <w:rsid w:val="009458FE"/>
    <w:rsid w:val="00945940"/>
    <w:rsid w:val="0094596E"/>
    <w:rsid w:val="00945FD2"/>
    <w:rsid w:val="00946076"/>
    <w:rsid w:val="00946155"/>
    <w:rsid w:val="00946310"/>
    <w:rsid w:val="009465E9"/>
    <w:rsid w:val="00946731"/>
    <w:rsid w:val="00946793"/>
    <w:rsid w:val="00946C71"/>
    <w:rsid w:val="00946CDA"/>
    <w:rsid w:val="00946D68"/>
    <w:rsid w:val="00946DBD"/>
    <w:rsid w:val="00946E56"/>
    <w:rsid w:val="00946F2C"/>
    <w:rsid w:val="00947035"/>
    <w:rsid w:val="0094707C"/>
    <w:rsid w:val="009470F0"/>
    <w:rsid w:val="00947234"/>
    <w:rsid w:val="009472F9"/>
    <w:rsid w:val="0094733E"/>
    <w:rsid w:val="00947483"/>
    <w:rsid w:val="009477B1"/>
    <w:rsid w:val="00947A63"/>
    <w:rsid w:val="00947AC0"/>
    <w:rsid w:val="00947B04"/>
    <w:rsid w:val="00947C20"/>
    <w:rsid w:val="00947C21"/>
    <w:rsid w:val="00947CA9"/>
    <w:rsid w:val="009500A3"/>
    <w:rsid w:val="009501B9"/>
    <w:rsid w:val="009503DD"/>
    <w:rsid w:val="0095040F"/>
    <w:rsid w:val="0095053A"/>
    <w:rsid w:val="009505D9"/>
    <w:rsid w:val="00950683"/>
    <w:rsid w:val="009508CA"/>
    <w:rsid w:val="00950957"/>
    <w:rsid w:val="0095096A"/>
    <w:rsid w:val="00950B26"/>
    <w:rsid w:val="00950D27"/>
    <w:rsid w:val="00950DFC"/>
    <w:rsid w:val="00950E10"/>
    <w:rsid w:val="00950EDF"/>
    <w:rsid w:val="0095105E"/>
    <w:rsid w:val="0095114E"/>
    <w:rsid w:val="00951266"/>
    <w:rsid w:val="009512F8"/>
    <w:rsid w:val="009516D3"/>
    <w:rsid w:val="00951812"/>
    <w:rsid w:val="00951A49"/>
    <w:rsid w:val="00951C75"/>
    <w:rsid w:val="00951CEF"/>
    <w:rsid w:val="00951E1C"/>
    <w:rsid w:val="00951E64"/>
    <w:rsid w:val="00951ECD"/>
    <w:rsid w:val="00951FD6"/>
    <w:rsid w:val="009520F0"/>
    <w:rsid w:val="0095213D"/>
    <w:rsid w:val="009523C8"/>
    <w:rsid w:val="00952603"/>
    <w:rsid w:val="00952AB2"/>
    <w:rsid w:val="00952CB7"/>
    <w:rsid w:val="00952EED"/>
    <w:rsid w:val="00953067"/>
    <w:rsid w:val="00953880"/>
    <w:rsid w:val="00953A0A"/>
    <w:rsid w:val="00953BB6"/>
    <w:rsid w:val="00953C6C"/>
    <w:rsid w:val="00953F85"/>
    <w:rsid w:val="00953FDB"/>
    <w:rsid w:val="0095409E"/>
    <w:rsid w:val="0095420C"/>
    <w:rsid w:val="00954293"/>
    <w:rsid w:val="009544E6"/>
    <w:rsid w:val="00954904"/>
    <w:rsid w:val="00954990"/>
    <w:rsid w:val="00954B9E"/>
    <w:rsid w:val="00954D36"/>
    <w:rsid w:val="00955098"/>
    <w:rsid w:val="009551D3"/>
    <w:rsid w:val="009551EA"/>
    <w:rsid w:val="0095579C"/>
    <w:rsid w:val="00955811"/>
    <w:rsid w:val="0095596B"/>
    <w:rsid w:val="00955972"/>
    <w:rsid w:val="00955A76"/>
    <w:rsid w:val="00955EF4"/>
    <w:rsid w:val="0095603E"/>
    <w:rsid w:val="0095649B"/>
    <w:rsid w:val="0095661F"/>
    <w:rsid w:val="00956626"/>
    <w:rsid w:val="00956709"/>
    <w:rsid w:val="0095678E"/>
    <w:rsid w:val="00956898"/>
    <w:rsid w:val="009568F7"/>
    <w:rsid w:val="00956AA8"/>
    <w:rsid w:val="00956B00"/>
    <w:rsid w:val="00956B2C"/>
    <w:rsid w:val="00956C8F"/>
    <w:rsid w:val="00956E06"/>
    <w:rsid w:val="00956E63"/>
    <w:rsid w:val="00956EC6"/>
    <w:rsid w:val="00956F7C"/>
    <w:rsid w:val="0095708B"/>
    <w:rsid w:val="009572E3"/>
    <w:rsid w:val="0095741E"/>
    <w:rsid w:val="0095750C"/>
    <w:rsid w:val="009576DC"/>
    <w:rsid w:val="00957A48"/>
    <w:rsid w:val="00957A77"/>
    <w:rsid w:val="00957C85"/>
    <w:rsid w:val="00957D35"/>
    <w:rsid w:val="00957F29"/>
    <w:rsid w:val="0096015F"/>
    <w:rsid w:val="00960409"/>
    <w:rsid w:val="00960588"/>
    <w:rsid w:val="00960661"/>
    <w:rsid w:val="0096067A"/>
    <w:rsid w:val="0096068D"/>
    <w:rsid w:val="009606EE"/>
    <w:rsid w:val="0096073F"/>
    <w:rsid w:val="009608BC"/>
    <w:rsid w:val="00960B8C"/>
    <w:rsid w:val="00960E81"/>
    <w:rsid w:val="0096116D"/>
    <w:rsid w:val="0096125F"/>
    <w:rsid w:val="009613B2"/>
    <w:rsid w:val="0096146F"/>
    <w:rsid w:val="0096147F"/>
    <w:rsid w:val="00961507"/>
    <w:rsid w:val="0096156D"/>
    <w:rsid w:val="00961610"/>
    <w:rsid w:val="009616AC"/>
    <w:rsid w:val="009616F0"/>
    <w:rsid w:val="00961897"/>
    <w:rsid w:val="00961CA4"/>
    <w:rsid w:val="00961F47"/>
    <w:rsid w:val="00961F9F"/>
    <w:rsid w:val="0096203E"/>
    <w:rsid w:val="00962046"/>
    <w:rsid w:val="00962622"/>
    <w:rsid w:val="00962A55"/>
    <w:rsid w:val="00962B7E"/>
    <w:rsid w:val="00962F87"/>
    <w:rsid w:val="00963190"/>
    <w:rsid w:val="009635D3"/>
    <w:rsid w:val="009635F7"/>
    <w:rsid w:val="009639F6"/>
    <w:rsid w:val="00963CCF"/>
    <w:rsid w:val="00963DCB"/>
    <w:rsid w:val="00963F63"/>
    <w:rsid w:val="009640F5"/>
    <w:rsid w:val="00964363"/>
    <w:rsid w:val="0096459F"/>
    <w:rsid w:val="0096473E"/>
    <w:rsid w:val="009647D0"/>
    <w:rsid w:val="009649FE"/>
    <w:rsid w:val="00964AAD"/>
    <w:rsid w:val="00964EEE"/>
    <w:rsid w:val="0096512C"/>
    <w:rsid w:val="00965133"/>
    <w:rsid w:val="00965298"/>
    <w:rsid w:val="009653EB"/>
    <w:rsid w:val="009657FB"/>
    <w:rsid w:val="009658D1"/>
    <w:rsid w:val="00965988"/>
    <w:rsid w:val="00965D77"/>
    <w:rsid w:val="00965FA7"/>
    <w:rsid w:val="009660CF"/>
    <w:rsid w:val="00966184"/>
    <w:rsid w:val="009661DE"/>
    <w:rsid w:val="0096634B"/>
    <w:rsid w:val="009664AD"/>
    <w:rsid w:val="009666E4"/>
    <w:rsid w:val="009666FC"/>
    <w:rsid w:val="0096676D"/>
    <w:rsid w:val="00966806"/>
    <w:rsid w:val="00966835"/>
    <w:rsid w:val="009668A4"/>
    <w:rsid w:val="0096694C"/>
    <w:rsid w:val="00966A2C"/>
    <w:rsid w:val="00966BF7"/>
    <w:rsid w:val="00966CA3"/>
    <w:rsid w:val="00966EBF"/>
    <w:rsid w:val="009670F3"/>
    <w:rsid w:val="00967176"/>
    <w:rsid w:val="0096721A"/>
    <w:rsid w:val="0096726A"/>
    <w:rsid w:val="009672B8"/>
    <w:rsid w:val="009673C4"/>
    <w:rsid w:val="009674A5"/>
    <w:rsid w:val="009674DF"/>
    <w:rsid w:val="009676FB"/>
    <w:rsid w:val="00967A61"/>
    <w:rsid w:val="00967D8D"/>
    <w:rsid w:val="00970018"/>
    <w:rsid w:val="00970063"/>
    <w:rsid w:val="0097043E"/>
    <w:rsid w:val="009705BE"/>
    <w:rsid w:val="00970A48"/>
    <w:rsid w:val="00970BC5"/>
    <w:rsid w:val="0097126F"/>
    <w:rsid w:val="00971293"/>
    <w:rsid w:val="009712CC"/>
    <w:rsid w:val="00971424"/>
    <w:rsid w:val="00971518"/>
    <w:rsid w:val="0097172D"/>
    <w:rsid w:val="0097173E"/>
    <w:rsid w:val="00971897"/>
    <w:rsid w:val="00971AD3"/>
    <w:rsid w:val="00971C63"/>
    <w:rsid w:val="00971CBD"/>
    <w:rsid w:val="00972088"/>
    <w:rsid w:val="00972134"/>
    <w:rsid w:val="00972336"/>
    <w:rsid w:val="009723B9"/>
    <w:rsid w:val="009724A5"/>
    <w:rsid w:val="00972621"/>
    <w:rsid w:val="00972AD7"/>
    <w:rsid w:val="00972AF0"/>
    <w:rsid w:val="00972C72"/>
    <w:rsid w:val="00972E84"/>
    <w:rsid w:val="00972EB1"/>
    <w:rsid w:val="00973187"/>
    <w:rsid w:val="009732C5"/>
    <w:rsid w:val="00973358"/>
    <w:rsid w:val="00973507"/>
    <w:rsid w:val="00973847"/>
    <w:rsid w:val="0097395D"/>
    <w:rsid w:val="00973B4E"/>
    <w:rsid w:val="00973B54"/>
    <w:rsid w:val="00973BD8"/>
    <w:rsid w:val="00973BEB"/>
    <w:rsid w:val="00973D41"/>
    <w:rsid w:val="00973E38"/>
    <w:rsid w:val="00973EA6"/>
    <w:rsid w:val="009740ED"/>
    <w:rsid w:val="0097439B"/>
    <w:rsid w:val="00974401"/>
    <w:rsid w:val="00974562"/>
    <w:rsid w:val="00974838"/>
    <w:rsid w:val="00974B74"/>
    <w:rsid w:val="00974D90"/>
    <w:rsid w:val="00974E74"/>
    <w:rsid w:val="00975059"/>
    <w:rsid w:val="00975337"/>
    <w:rsid w:val="00975592"/>
    <w:rsid w:val="009755F8"/>
    <w:rsid w:val="0097563B"/>
    <w:rsid w:val="009759E0"/>
    <w:rsid w:val="00975B54"/>
    <w:rsid w:val="00975CDF"/>
    <w:rsid w:val="009760B1"/>
    <w:rsid w:val="009762F3"/>
    <w:rsid w:val="00976329"/>
    <w:rsid w:val="00976350"/>
    <w:rsid w:val="0097636B"/>
    <w:rsid w:val="00976403"/>
    <w:rsid w:val="0097680B"/>
    <w:rsid w:val="00976AB3"/>
    <w:rsid w:val="00976AEA"/>
    <w:rsid w:val="00976E3C"/>
    <w:rsid w:val="0097798D"/>
    <w:rsid w:val="00977AF5"/>
    <w:rsid w:val="00977C86"/>
    <w:rsid w:val="00977EB0"/>
    <w:rsid w:val="00977F3D"/>
    <w:rsid w:val="00977F97"/>
    <w:rsid w:val="009801A0"/>
    <w:rsid w:val="0098022D"/>
    <w:rsid w:val="0098047A"/>
    <w:rsid w:val="00980579"/>
    <w:rsid w:val="00980817"/>
    <w:rsid w:val="00980826"/>
    <w:rsid w:val="00980A62"/>
    <w:rsid w:val="00980C2D"/>
    <w:rsid w:val="0098141F"/>
    <w:rsid w:val="00981784"/>
    <w:rsid w:val="00981930"/>
    <w:rsid w:val="00981B2B"/>
    <w:rsid w:val="00981C14"/>
    <w:rsid w:val="00981F91"/>
    <w:rsid w:val="00981FD2"/>
    <w:rsid w:val="00982012"/>
    <w:rsid w:val="009820E5"/>
    <w:rsid w:val="0098210F"/>
    <w:rsid w:val="00982301"/>
    <w:rsid w:val="0098244D"/>
    <w:rsid w:val="009824A3"/>
    <w:rsid w:val="009826B3"/>
    <w:rsid w:val="009829AF"/>
    <w:rsid w:val="00982A3A"/>
    <w:rsid w:val="00982AEB"/>
    <w:rsid w:val="00982D19"/>
    <w:rsid w:val="00982E9F"/>
    <w:rsid w:val="009832D0"/>
    <w:rsid w:val="009832F4"/>
    <w:rsid w:val="0098338C"/>
    <w:rsid w:val="009838E6"/>
    <w:rsid w:val="0098395C"/>
    <w:rsid w:val="00983CC3"/>
    <w:rsid w:val="00983EEE"/>
    <w:rsid w:val="009840AB"/>
    <w:rsid w:val="009840C4"/>
    <w:rsid w:val="009844F3"/>
    <w:rsid w:val="0098497F"/>
    <w:rsid w:val="00984C5F"/>
    <w:rsid w:val="00985085"/>
    <w:rsid w:val="0098515B"/>
    <w:rsid w:val="00985478"/>
    <w:rsid w:val="009854AF"/>
    <w:rsid w:val="00985605"/>
    <w:rsid w:val="0098568D"/>
    <w:rsid w:val="009857D9"/>
    <w:rsid w:val="00985850"/>
    <w:rsid w:val="00985945"/>
    <w:rsid w:val="00985ADB"/>
    <w:rsid w:val="00985C78"/>
    <w:rsid w:val="00985CF4"/>
    <w:rsid w:val="00985EC3"/>
    <w:rsid w:val="00986281"/>
    <w:rsid w:val="0098634F"/>
    <w:rsid w:val="0098637A"/>
    <w:rsid w:val="00986AFC"/>
    <w:rsid w:val="00986CEB"/>
    <w:rsid w:val="00986F92"/>
    <w:rsid w:val="009870FC"/>
    <w:rsid w:val="00987857"/>
    <w:rsid w:val="009878CA"/>
    <w:rsid w:val="009879D8"/>
    <w:rsid w:val="00987A26"/>
    <w:rsid w:val="00987AE7"/>
    <w:rsid w:val="00987F4A"/>
    <w:rsid w:val="009900E0"/>
    <w:rsid w:val="00990158"/>
    <w:rsid w:val="00990164"/>
    <w:rsid w:val="009902FA"/>
    <w:rsid w:val="00990632"/>
    <w:rsid w:val="00990668"/>
    <w:rsid w:val="009906AC"/>
    <w:rsid w:val="009906C3"/>
    <w:rsid w:val="00990784"/>
    <w:rsid w:val="00990888"/>
    <w:rsid w:val="0099098B"/>
    <w:rsid w:val="00990C83"/>
    <w:rsid w:val="00990C8F"/>
    <w:rsid w:val="00990CC6"/>
    <w:rsid w:val="00990CE1"/>
    <w:rsid w:val="00990FAB"/>
    <w:rsid w:val="0099112F"/>
    <w:rsid w:val="009914D9"/>
    <w:rsid w:val="00991593"/>
    <w:rsid w:val="009917F6"/>
    <w:rsid w:val="009919AF"/>
    <w:rsid w:val="009919D8"/>
    <w:rsid w:val="00991A55"/>
    <w:rsid w:val="00991DD8"/>
    <w:rsid w:val="0099255D"/>
    <w:rsid w:val="00992637"/>
    <w:rsid w:val="009926E0"/>
    <w:rsid w:val="009928FA"/>
    <w:rsid w:val="00992BB2"/>
    <w:rsid w:val="00992BBE"/>
    <w:rsid w:val="00992DEB"/>
    <w:rsid w:val="009932B4"/>
    <w:rsid w:val="0099380C"/>
    <w:rsid w:val="009938EC"/>
    <w:rsid w:val="00993905"/>
    <w:rsid w:val="00993985"/>
    <w:rsid w:val="00993B5C"/>
    <w:rsid w:val="00993F03"/>
    <w:rsid w:val="0099430A"/>
    <w:rsid w:val="009949AE"/>
    <w:rsid w:val="00994A31"/>
    <w:rsid w:val="00994AFD"/>
    <w:rsid w:val="009950C4"/>
    <w:rsid w:val="0099522D"/>
    <w:rsid w:val="0099524A"/>
    <w:rsid w:val="00995457"/>
    <w:rsid w:val="0099591A"/>
    <w:rsid w:val="0099594B"/>
    <w:rsid w:val="00995EC3"/>
    <w:rsid w:val="00996227"/>
    <w:rsid w:val="009963D1"/>
    <w:rsid w:val="009963DF"/>
    <w:rsid w:val="009965A0"/>
    <w:rsid w:val="0099669C"/>
    <w:rsid w:val="0099685B"/>
    <w:rsid w:val="009969B1"/>
    <w:rsid w:val="00996ACB"/>
    <w:rsid w:val="00996D52"/>
    <w:rsid w:val="00996E25"/>
    <w:rsid w:val="00996FFD"/>
    <w:rsid w:val="009971BE"/>
    <w:rsid w:val="009975AF"/>
    <w:rsid w:val="00997737"/>
    <w:rsid w:val="00997953"/>
    <w:rsid w:val="009979E6"/>
    <w:rsid w:val="00997C43"/>
    <w:rsid w:val="00997E9A"/>
    <w:rsid w:val="00997EEC"/>
    <w:rsid w:val="00997FA0"/>
    <w:rsid w:val="009A0084"/>
    <w:rsid w:val="009A01A3"/>
    <w:rsid w:val="009A03A7"/>
    <w:rsid w:val="009A04D9"/>
    <w:rsid w:val="009A05AB"/>
    <w:rsid w:val="009A0704"/>
    <w:rsid w:val="009A0877"/>
    <w:rsid w:val="009A098E"/>
    <w:rsid w:val="009A0A36"/>
    <w:rsid w:val="009A0B77"/>
    <w:rsid w:val="009A0E7B"/>
    <w:rsid w:val="009A1137"/>
    <w:rsid w:val="009A1176"/>
    <w:rsid w:val="009A11D1"/>
    <w:rsid w:val="009A1288"/>
    <w:rsid w:val="009A1367"/>
    <w:rsid w:val="009A1375"/>
    <w:rsid w:val="009A13B3"/>
    <w:rsid w:val="009A1532"/>
    <w:rsid w:val="009A15CF"/>
    <w:rsid w:val="009A15E8"/>
    <w:rsid w:val="009A16CB"/>
    <w:rsid w:val="009A16E2"/>
    <w:rsid w:val="009A174B"/>
    <w:rsid w:val="009A1A5E"/>
    <w:rsid w:val="009A1CEE"/>
    <w:rsid w:val="009A1CFC"/>
    <w:rsid w:val="009A1DE0"/>
    <w:rsid w:val="009A2122"/>
    <w:rsid w:val="009A2145"/>
    <w:rsid w:val="009A2282"/>
    <w:rsid w:val="009A2642"/>
    <w:rsid w:val="009A278A"/>
    <w:rsid w:val="009A2869"/>
    <w:rsid w:val="009A28B1"/>
    <w:rsid w:val="009A295C"/>
    <w:rsid w:val="009A2A96"/>
    <w:rsid w:val="009A2BFA"/>
    <w:rsid w:val="009A2D4A"/>
    <w:rsid w:val="009A2DA2"/>
    <w:rsid w:val="009A2FAF"/>
    <w:rsid w:val="009A3192"/>
    <w:rsid w:val="009A3507"/>
    <w:rsid w:val="009A396C"/>
    <w:rsid w:val="009A3B85"/>
    <w:rsid w:val="009A3BA0"/>
    <w:rsid w:val="009A3EE8"/>
    <w:rsid w:val="009A467E"/>
    <w:rsid w:val="009A4744"/>
    <w:rsid w:val="009A47C6"/>
    <w:rsid w:val="009A482D"/>
    <w:rsid w:val="009A49E8"/>
    <w:rsid w:val="009A4D50"/>
    <w:rsid w:val="009A4E5E"/>
    <w:rsid w:val="009A4FD6"/>
    <w:rsid w:val="009A50C2"/>
    <w:rsid w:val="009A5382"/>
    <w:rsid w:val="009A54F3"/>
    <w:rsid w:val="009A54F9"/>
    <w:rsid w:val="009A55C7"/>
    <w:rsid w:val="009A55FF"/>
    <w:rsid w:val="009A58AC"/>
    <w:rsid w:val="009A59B9"/>
    <w:rsid w:val="009A5D0F"/>
    <w:rsid w:val="009A609B"/>
    <w:rsid w:val="009A65D9"/>
    <w:rsid w:val="009A68CF"/>
    <w:rsid w:val="009A69A5"/>
    <w:rsid w:val="009A6AF9"/>
    <w:rsid w:val="009A6B9F"/>
    <w:rsid w:val="009A6C16"/>
    <w:rsid w:val="009A6F06"/>
    <w:rsid w:val="009A707F"/>
    <w:rsid w:val="009A70DD"/>
    <w:rsid w:val="009A71A6"/>
    <w:rsid w:val="009A7243"/>
    <w:rsid w:val="009A72E8"/>
    <w:rsid w:val="009A7CD3"/>
    <w:rsid w:val="009A7D53"/>
    <w:rsid w:val="009A7F69"/>
    <w:rsid w:val="009B000C"/>
    <w:rsid w:val="009B0107"/>
    <w:rsid w:val="009B0121"/>
    <w:rsid w:val="009B0244"/>
    <w:rsid w:val="009B02E6"/>
    <w:rsid w:val="009B062C"/>
    <w:rsid w:val="009B06E9"/>
    <w:rsid w:val="009B0978"/>
    <w:rsid w:val="009B0CEA"/>
    <w:rsid w:val="009B1081"/>
    <w:rsid w:val="009B1178"/>
    <w:rsid w:val="009B1197"/>
    <w:rsid w:val="009B148E"/>
    <w:rsid w:val="009B17B4"/>
    <w:rsid w:val="009B190C"/>
    <w:rsid w:val="009B1AB7"/>
    <w:rsid w:val="009B2183"/>
    <w:rsid w:val="009B2387"/>
    <w:rsid w:val="009B255F"/>
    <w:rsid w:val="009B28E6"/>
    <w:rsid w:val="009B2984"/>
    <w:rsid w:val="009B2A9D"/>
    <w:rsid w:val="009B2BA9"/>
    <w:rsid w:val="009B2BCB"/>
    <w:rsid w:val="009B2CE2"/>
    <w:rsid w:val="009B2E3C"/>
    <w:rsid w:val="009B316A"/>
    <w:rsid w:val="009B329F"/>
    <w:rsid w:val="009B399F"/>
    <w:rsid w:val="009B3A37"/>
    <w:rsid w:val="009B3D74"/>
    <w:rsid w:val="009B3EDE"/>
    <w:rsid w:val="009B3FD8"/>
    <w:rsid w:val="009B402D"/>
    <w:rsid w:val="009B4253"/>
    <w:rsid w:val="009B42B4"/>
    <w:rsid w:val="009B45E3"/>
    <w:rsid w:val="009B45E9"/>
    <w:rsid w:val="009B4602"/>
    <w:rsid w:val="009B48BB"/>
    <w:rsid w:val="009B4A78"/>
    <w:rsid w:val="009B4AD5"/>
    <w:rsid w:val="009B4DC8"/>
    <w:rsid w:val="009B4EA5"/>
    <w:rsid w:val="009B5298"/>
    <w:rsid w:val="009B532C"/>
    <w:rsid w:val="009B5596"/>
    <w:rsid w:val="009B5610"/>
    <w:rsid w:val="009B5656"/>
    <w:rsid w:val="009B5661"/>
    <w:rsid w:val="009B58C6"/>
    <w:rsid w:val="009B595D"/>
    <w:rsid w:val="009B5AE0"/>
    <w:rsid w:val="009B5B38"/>
    <w:rsid w:val="009B5D7D"/>
    <w:rsid w:val="009B5DF5"/>
    <w:rsid w:val="009B609C"/>
    <w:rsid w:val="009B61D7"/>
    <w:rsid w:val="009B6522"/>
    <w:rsid w:val="009B66B4"/>
    <w:rsid w:val="009B688E"/>
    <w:rsid w:val="009B6909"/>
    <w:rsid w:val="009B6993"/>
    <w:rsid w:val="009B6A34"/>
    <w:rsid w:val="009B6E7E"/>
    <w:rsid w:val="009B72E0"/>
    <w:rsid w:val="009B7332"/>
    <w:rsid w:val="009B7B2C"/>
    <w:rsid w:val="009B7BC2"/>
    <w:rsid w:val="009B7ED2"/>
    <w:rsid w:val="009C00F2"/>
    <w:rsid w:val="009C0140"/>
    <w:rsid w:val="009C0141"/>
    <w:rsid w:val="009C06C5"/>
    <w:rsid w:val="009C0CC2"/>
    <w:rsid w:val="009C11C8"/>
    <w:rsid w:val="009C12E1"/>
    <w:rsid w:val="009C12FA"/>
    <w:rsid w:val="009C165E"/>
    <w:rsid w:val="009C16ED"/>
    <w:rsid w:val="009C1891"/>
    <w:rsid w:val="009C1AAC"/>
    <w:rsid w:val="009C1C04"/>
    <w:rsid w:val="009C1C71"/>
    <w:rsid w:val="009C1D24"/>
    <w:rsid w:val="009C1E2F"/>
    <w:rsid w:val="009C2235"/>
    <w:rsid w:val="009C23C1"/>
    <w:rsid w:val="009C2504"/>
    <w:rsid w:val="009C2E58"/>
    <w:rsid w:val="009C3041"/>
    <w:rsid w:val="009C32A7"/>
    <w:rsid w:val="009C3398"/>
    <w:rsid w:val="009C36CA"/>
    <w:rsid w:val="009C3A20"/>
    <w:rsid w:val="009C3D20"/>
    <w:rsid w:val="009C3E14"/>
    <w:rsid w:val="009C3E27"/>
    <w:rsid w:val="009C3E9F"/>
    <w:rsid w:val="009C3F10"/>
    <w:rsid w:val="009C40BB"/>
    <w:rsid w:val="009C423F"/>
    <w:rsid w:val="009C4391"/>
    <w:rsid w:val="009C4552"/>
    <w:rsid w:val="009C4742"/>
    <w:rsid w:val="009C48C7"/>
    <w:rsid w:val="009C4AA6"/>
    <w:rsid w:val="009C4C48"/>
    <w:rsid w:val="009C50F9"/>
    <w:rsid w:val="009C521E"/>
    <w:rsid w:val="009C531E"/>
    <w:rsid w:val="009C536F"/>
    <w:rsid w:val="009C5688"/>
    <w:rsid w:val="009C590D"/>
    <w:rsid w:val="009C5E7E"/>
    <w:rsid w:val="009C5EEB"/>
    <w:rsid w:val="009C613D"/>
    <w:rsid w:val="009C61BC"/>
    <w:rsid w:val="009C620D"/>
    <w:rsid w:val="009C635B"/>
    <w:rsid w:val="009C64C5"/>
    <w:rsid w:val="009C666E"/>
    <w:rsid w:val="009C6BFC"/>
    <w:rsid w:val="009C6F40"/>
    <w:rsid w:val="009C6F44"/>
    <w:rsid w:val="009C714C"/>
    <w:rsid w:val="009C7435"/>
    <w:rsid w:val="009C7461"/>
    <w:rsid w:val="009C7A7F"/>
    <w:rsid w:val="009C7BA5"/>
    <w:rsid w:val="009C7F58"/>
    <w:rsid w:val="009D0121"/>
    <w:rsid w:val="009D033C"/>
    <w:rsid w:val="009D03B9"/>
    <w:rsid w:val="009D0444"/>
    <w:rsid w:val="009D0499"/>
    <w:rsid w:val="009D04DA"/>
    <w:rsid w:val="009D067A"/>
    <w:rsid w:val="009D072A"/>
    <w:rsid w:val="009D07BB"/>
    <w:rsid w:val="009D0925"/>
    <w:rsid w:val="009D0D41"/>
    <w:rsid w:val="009D0EC3"/>
    <w:rsid w:val="009D1047"/>
    <w:rsid w:val="009D12DC"/>
    <w:rsid w:val="009D130E"/>
    <w:rsid w:val="009D1670"/>
    <w:rsid w:val="009D1739"/>
    <w:rsid w:val="009D174E"/>
    <w:rsid w:val="009D1763"/>
    <w:rsid w:val="009D183C"/>
    <w:rsid w:val="009D1B76"/>
    <w:rsid w:val="009D1CED"/>
    <w:rsid w:val="009D1F44"/>
    <w:rsid w:val="009D2553"/>
    <w:rsid w:val="009D2576"/>
    <w:rsid w:val="009D2694"/>
    <w:rsid w:val="009D2905"/>
    <w:rsid w:val="009D29C8"/>
    <w:rsid w:val="009D2A3B"/>
    <w:rsid w:val="009D2B68"/>
    <w:rsid w:val="009D2D3A"/>
    <w:rsid w:val="009D2E91"/>
    <w:rsid w:val="009D3175"/>
    <w:rsid w:val="009D3244"/>
    <w:rsid w:val="009D34A7"/>
    <w:rsid w:val="009D3803"/>
    <w:rsid w:val="009D3924"/>
    <w:rsid w:val="009D3974"/>
    <w:rsid w:val="009D3ABB"/>
    <w:rsid w:val="009D3AF2"/>
    <w:rsid w:val="009D3C57"/>
    <w:rsid w:val="009D3F26"/>
    <w:rsid w:val="009D4168"/>
    <w:rsid w:val="009D4310"/>
    <w:rsid w:val="009D4315"/>
    <w:rsid w:val="009D454F"/>
    <w:rsid w:val="009D4633"/>
    <w:rsid w:val="009D4708"/>
    <w:rsid w:val="009D49E5"/>
    <w:rsid w:val="009D4AAC"/>
    <w:rsid w:val="009D4B5A"/>
    <w:rsid w:val="009D4BBF"/>
    <w:rsid w:val="009D4DAD"/>
    <w:rsid w:val="009D4DCF"/>
    <w:rsid w:val="009D5032"/>
    <w:rsid w:val="009D5071"/>
    <w:rsid w:val="009D5324"/>
    <w:rsid w:val="009D571D"/>
    <w:rsid w:val="009D6313"/>
    <w:rsid w:val="009D6493"/>
    <w:rsid w:val="009D64E9"/>
    <w:rsid w:val="009D6757"/>
    <w:rsid w:val="009D6870"/>
    <w:rsid w:val="009D6AA6"/>
    <w:rsid w:val="009D6CDF"/>
    <w:rsid w:val="009D6D41"/>
    <w:rsid w:val="009D7269"/>
    <w:rsid w:val="009D746B"/>
    <w:rsid w:val="009D75E9"/>
    <w:rsid w:val="009D7ACD"/>
    <w:rsid w:val="009D7BB7"/>
    <w:rsid w:val="009D7C46"/>
    <w:rsid w:val="009D7FD2"/>
    <w:rsid w:val="009E010C"/>
    <w:rsid w:val="009E068A"/>
    <w:rsid w:val="009E06B2"/>
    <w:rsid w:val="009E0889"/>
    <w:rsid w:val="009E119A"/>
    <w:rsid w:val="009E1288"/>
    <w:rsid w:val="009E129A"/>
    <w:rsid w:val="009E1470"/>
    <w:rsid w:val="009E1719"/>
    <w:rsid w:val="009E1758"/>
    <w:rsid w:val="009E176C"/>
    <w:rsid w:val="009E1802"/>
    <w:rsid w:val="009E1860"/>
    <w:rsid w:val="009E18E4"/>
    <w:rsid w:val="009E19AE"/>
    <w:rsid w:val="009E1BA5"/>
    <w:rsid w:val="009E1C83"/>
    <w:rsid w:val="009E1D28"/>
    <w:rsid w:val="009E1DF9"/>
    <w:rsid w:val="009E1E00"/>
    <w:rsid w:val="009E2612"/>
    <w:rsid w:val="009E26EE"/>
    <w:rsid w:val="009E2821"/>
    <w:rsid w:val="009E2A2B"/>
    <w:rsid w:val="009E3407"/>
    <w:rsid w:val="009E36CC"/>
    <w:rsid w:val="009E396B"/>
    <w:rsid w:val="009E3B88"/>
    <w:rsid w:val="009E3B96"/>
    <w:rsid w:val="009E3BE4"/>
    <w:rsid w:val="009E4032"/>
    <w:rsid w:val="009E4060"/>
    <w:rsid w:val="009E418A"/>
    <w:rsid w:val="009E4525"/>
    <w:rsid w:val="009E462A"/>
    <w:rsid w:val="009E46B6"/>
    <w:rsid w:val="009E4927"/>
    <w:rsid w:val="009E4B77"/>
    <w:rsid w:val="009E51CD"/>
    <w:rsid w:val="009E5289"/>
    <w:rsid w:val="009E531A"/>
    <w:rsid w:val="009E5386"/>
    <w:rsid w:val="009E53EC"/>
    <w:rsid w:val="009E545C"/>
    <w:rsid w:val="009E55EA"/>
    <w:rsid w:val="009E58A3"/>
    <w:rsid w:val="009E5A38"/>
    <w:rsid w:val="009E5AA1"/>
    <w:rsid w:val="009E5C0D"/>
    <w:rsid w:val="009E5C6D"/>
    <w:rsid w:val="009E6069"/>
    <w:rsid w:val="009E60E8"/>
    <w:rsid w:val="009E6104"/>
    <w:rsid w:val="009E661E"/>
    <w:rsid w:val="009E6674"/>
    <w:rsid w:val="009E681D"/>
    <w:rsid w:val="009E693F"/>
    <w:rsid w:val="009E6940"/>
    <w:rsid w:val="009E6BFB"/>
    <w:rsid w:val="009E6DF3"/>
    <w:rsid w:val="009E73A3"/>
    <w:rsid w:val="009E7485"/>
    <w:rsid w:val="009E769E"/>
    <w:rsid w:val="009E77DA"/>
    <w:rsid w:val="009E7AE8"/>
    <w:rsid w:val="009E7BA5"/>
    <w:rsid w:val="009E7E18"/>
    <w:rsid w:val="009F021A"/>
    <w:rsid w:val="009F02F4"/>
    <w:rsid w:val="009F04ED"/>
    <w:rsid w:val="009F05F4"/>
    <w:rsid w:val="009F0984"/>
    <w:rsid w:val="009F0C57"/>
    <w:rsid w:val="009F0CD0"/>
    <w:rsid w:val="009F0F68"/>
    <w:rsid w:val="009F0FE4"/>
    <w:rsid w:val="009F10E5"/>
    <w:rsid w:val="009F10FD"/>
    <w:rsid w:val="009F16A7"/>
    <w:rsid w:val="009F18A7"/>
    <w:rsid w:val="009F1910"/>
    <w:rsid w:val="009F199E"/>
    <w:rsid w:val="009F1A3D"/>
    <w:rsid w:val="009F1D09"/>
    <w:rsid w:val="009F1FFA"/>
    <w:rsid w:val="009F2036"/>
    <w:rsid w:val="009F21C4"/>
    <w:rsid w:val="009F29A6"/>
    <w:rsid w:val="009F2E96"/>
    <w:rsid w:val="009F2EF7"/>
    <w:rsid w:val="009F3170"/>
    <w:rsid w:val="009F328E"/>
    <w:rsid w:val="009F3698"/>
    <w:rsid w:val="009F393C"/>
    <w:rsid w:val="009F3C27"/>
    <w:rsid w:val="009F3F38"/>
    <w:rsid w:val="009F4587"/>
    <w:rsid w:val="009F4CC1"/>
    <w:rsid w:val="009F4F58"/>
    <w:rsid w:val="009F4FAB"/>
    <w:rsid w:val="009F5159"/>
    <w:rsid w:val="009F51DF"/>
    <w:rsid w:val="009F5287"/>
    <w:rsid w:val="009F54CE"/>
    <w:rsid w:val="009F573F"/>
    <w:rsid w:val="009F5743"/>
    <w:rsid w:val="009F58D6"/>
    <w:rsid w:val="009F59A8"/>
    <w:rsid w:val="009F5A2B"/>
    <w:rsid w:val="009F5B09"/>
    <w:rsid w:val="009F5E50"/>
    <w:rsid w:val="009F6166"/>
    <w:rsid w:val="009F6212"/>
    <w:rsid w:val="009F66C2"/>
    <w:rsid w:val="009F67C2"/>
    <w:rsid w:val="009F6D51"/>
    <w:rsid w:val="009F6F9E"/>
    <w:rsid w:val="009F6FEB"/>
    <w:rsid w:val="009F70E0"/>
    <w:rsid w:val="009F725B"/>
    <w:rsid w:val="009F78A6"/>
    <w:rsid w:val="009F7A8A"/>
    <w:rsid w:val="009F7BBB"/>
    <w:rsid w:val="009F7E6E"/>
    <w:rsid w:val="00A00055"/>
    <w:rsid w:val="00A000B0"/>
    <w:rsid w:val="00A002E7"/>
    <w:rsid w:val="00A003DB"/>
    <w:rsid w:val="00A004F8"/>
    <w:rsid w:val="00A00652"/>
    <w:rsid w:val="00A0071F"/>
    <w:rsid w:val="00A0087A"/>
    <w:rsid w:val="00A00C56"/>
    <w:rsid w:val="00A01087"/>
    <w:rsid w:val="00A0120B"/>
    <w:rsid w:val="00A0139A"/>
    <w:rsid w:val="00A01869"/>
    <w:rsid w:val="00A0186A"/>
    <w:rsid w:val="00A01874"/>
    <w:rsid w:val="00A018C8"/>
    <w:rsid w:val="00A01966"/>
    <w:rsid w:val="00A020A1"/>
    <w:rsid w:val="00A020B4"/>
    <w:rsid w:val="00A02156"/>
    <w:rsid w:val="00A0229F"/>
    <w:rsid w:val="00A02334"/>
    <w:rsid w:val="00A02746"/>
    <w:rsid w:val="00A0282C"/>
    <w:rsid w:val="00A02D93"/>
    <w:rsid w:val="00A02DC0"/>
    <w:rsid w:val="00A02FB4"/>
    <w:rsid w:val="00A03161"/>
    <w:rsid w:val="00A03259"/>
    <w:rsid w:val="00A03519"/>
    <w:rsid w:val="00A03604"/>
    <w:rsid w:val="00A03A10"/>
    <w:rsid w:val="00A03B57"/>
    <w:rsid w:val="00A03FED"/>
    <w:rsid w:val="00A04099"/>
    <w:rsid w:val="00A04539"/>
    <w:rsid w:val="00A04650"/>
    <w:rsid w:val="00A04807"/>
    <w:rsid w:val="00A04C53"/>
    <w:rsid w:val="00A04CEB"/>
    <w:rsid w:val="00A05362"/>
    <w:rsid w:val="00A0539C"/>
    <w:rsid w:val="00A056C6"/>
    <w:rsid w:val="00A05896"/>
    <w:rsid w:val="00A06131"/>
    <w:rsid w:val="00A0614A"/>
    <w:rsid w:val="00A061C9"/>
    <w:rsid w:val="00A0626E"/>
    <w:rsid w:val="00A06334"/>
    <w:rsid w:val="00A068CF"/>
    <w:rsid w:val="00A069B3"/>
    <w:rsid w:val="00A06BE2"/>
    <w:rsid w:val="00A06E32"/>
    <w:rsid w:val="00A06F19"/>
    <w:rsid w:val="00A07009"/>
    <w:rsid w:val="00A070E2"/>
    <w:rsid w:val="00A07B05"/>
    <w:rsid w:val="00A07DB7"/>
    <w:rsid w:val="00A102B7"/>
    <w:rsid w:val="00A106CD"/>
    <w:rsid w:val="00A1075A"/>
    <w:rsid w:val="00A108D2"/>
    <w:rsid w:val="00A10998"/>
    <w:rsid w:val="00A10BE5"/>
    <w:rsid w:val="00A10CBB"/>
    <w:rsid w:val="00A10DFE"/>
    <w:rsid w:val="00A10E3D"/>
    <w:rsid w:val="00A10ED2"/>
    <w:rsid w:val="00A11102"/>
    <w:rsid w:val="00A11657"/>
    <w:rsid w:val="00A11726"/>
    <w:rsid w:val="00A11A92"/>
    <w:rsid w:val="00A11D16"/>
    <w:rsid w:val="00A11D70"/>
    <w:rsid w:val="00A11F11"/>
    <w:rsid w:val="00A120BB"/>
    <w:rsid w:val="00A1216A"/>
    <w:rsid w:val="00A1225E"/>
    <w:rsid w:val="00A12277"/>
    <w:rsid w:val="00A122EA"/>
    <w:rsid w:val="00A123C0"/>
    <w:rsid w:val="00A12548"/>
    <w:rsid w:val="00A125A5"/>
    <w:rsid w:val="00A125DE"/>
    <w:rsid w:val="00A126A1"/>
    <w:rsid w:val="00A129F2"/>
    <w:rsid w:val="00A131E4"/>
    <w:rsid w:val="00A13665"/>
    <w:rsid w:val="00A1388C"/>
    <w:rsid w:val="00A139F4"/>
    <w:rsid w:val="00A13B65"/>
    <w:rsid w:val="00A13D61"/>
    <w:rsid w:val="00A13EB7"/>
    <w:rsid w:val="00A14374"/>
    <w:rsid w:val="00A14840"/>
    <w:rsid w:val="00A149E4"/>
    <w:rsid w:val="00A14A80"/>
    <w:rsid w:val="00A15125"/>
    <w:rsid w:val="00A1518D"/>
    <w:rsid w:val="00A15374"/>
    <w:rsid w:val="00A1552D"/>
    <w:rsid w:val="00A15C04"/>
    <w:rsid w:val="00A15DF8"/>
    <w:rsid w:val="00A16065"/>
    <w:rsid w:val="00A160DF"/>
    <w:rsid w:val="00A163AC"/>
    <w:rsid w:val="00A163ED"/>
    <w:rsid w:val="00A1642A"/>
    <w:rsid w:val="00A16526"/>
    <w:rsid w:val="00A169D7"/>
    <w:rsid w:val="00A16C42"/>
    <w:rsid w:val="00A16C84"/>
    <w:rsid w:val="00A16D0B"/>
    <w:rsid w:val="00A16D75"/>
    <w:rsid w:val="00A16E9B"/>
    <w:rsid w:val="00A17128"/>
    <w:rsid w:val="00A1743F"/>
    <w:rsid w:val="00A178D7"/>
    <w:rsid w:val="00A17938"/>
    <w:rsid w:val="00A17A30"/>
    <w:rsid w:val="00A17AB5"/>
    <w:rsid w:val="00A17AF8"/>
    <w:rsid w:val="00A17B67"/>
    <w:rsid w:val="00A17B98"/>
    <w:rsid w:val="00A17F05"/>
    <w:rsid w:val="00A203DB"/>
    <w:rsid w:val="00A20442"/>
    <w:rsid w:val="00A20527"/>
    <w:rsid w:val="00A209A0"/>
    <w:rsid w:val="00A209BD"/>
    <w:rsid w:val="00A20A38"/>
    <w:rsid w:val="00A20B84"/>
    <w:rsid w:val="00A20EFE"/>
    <w:rsid w:val="00A21166"/>
    <w:rsid w:val="00A21266"/>
    <w:rsid w:val="00A212A5"/>
    <w:rsid w:val="00A21353"/>
    <w:rsid w:val="00A21494"/>
    <w:rsid w:val="00A21762"/>
    <w:rsid w:val="00A21BD1"/>
    <w:rsid w:val="00A21BD4"/>
    <w:rsid w:val="00A21EF7"/>
    <w:rsid w:val="00A21FF7"/>
    <w:rsid w:val="00A22234"/>
    <w:rsid w:val="00A2225D"/>
    <w:rsid w:val="00A225C7"/>
    <w:rsid w:val="00A22697"/>
    <w:rsid w:val="00A2289A"/>
    <w:rsid w:val="00A228A9"/>
    <w:rsid w:val="00A22D9C"/>
    <w:rsid w:val="00A22E90"/>
    <w:rsid w:val="00A23283"/>
    <w:rsid w:val="00A232CA"/>
    <w:rsid w:val="00A23515"/>
    <w:rsid w:val="00A23624"/>
    <w:rsid w:val="00A23822"/>
    <w:rsid w:val="00A238F5"/>
    <w:rsid w:val="00A23A8B"/>
    <w:rsid w:val="00A23AC9"/>
    <w:rsid w:val="00A23B66"/>
    <w:rsid w:val="00A23BE3"/>
    <w:rsid w:val="00A23CEE"/>
    <w:rsid w:val="00A23D29"/>
    <w:rsid w:val="00A23D68"/>
    <w:rsid w:val="00A23D69"/>
    <w:rsid w:val="00A23D83"/>
    <w:rsid w:val="00A23E02"/>
    <w:rsid w:val="00A23FEE"/>
    <w:rsid w:val="00A24062"/>
    <w:rsid w:val="00A24504"/>
    <w:rsid w:val="00A24563"/>
    <w:rsid w:val="00A24602"/>
    <w:rsid w:val="00A2471C"/>
    <w:rsid w:val="00A2489A"/>
    <w:rsid w:val="00A2495B"/>
    <w:rsid w:val="00A24AC4"/>
    <w:rsid w:val="00A24C60"/>
    <w:rsid w:val="00A24D82"/>
    <w:rsid w:val="00A24DE7"/>
    <w:rsid w:val="00A24F72"/>
    <w:rsid w:val="00A25099"/>
    <w:rsid w:val="00A25340"/>
    <w:rsid w:val="00A2539F"/>
    <w:rsid w:val="00A25853"/>
    <w:rsid w:val="00A2590D"/>
    <w:rsid w:val="00A25BFE"/>
    <w:rsid w:val="00A25CE9"/>
    <w:rsid w:val="00A25D28"/>
    <w:rsid w:val="00A25FC3"/>
    <w:rsid w:val="00A26125"/>
    <w:rsid w:val="00A262ED"/>
    <w:rsid w:val="00A26490"/>
    <w:rsid w:val="00A265CD"/>
    <w:rsid w:val="00A26656"/>
    <w:rsid w:val="00A2675C"/>
    <w:rsid w:val="00A26815"/>
    <w:rsid w:val="00A268B0"/>
    <w:rsid w:val="00A26B23"/>
    <w:rsid w:val="00A26B4D"/>
    <w:rsid w:val="00A272D6"/>
    <w:rsid w:val="00A2788E"/>
    <w:rsid w:val="00A27A84"/>
    <w:rsid w:val="00A27B08"/>
    <w:rsid w:val="00A27B58"/>
    <w:rsid w:val="00A27CC5"/>
    <w:rsid w:val="00A27CCD"/>
    <w:rsid w:val="00A27CF2"/>
    <w:rsid w:val="00A27D69"/>
    <w:rsid w:val="00A27D7C"/>
    <w:rsid w:val="00A27DF2"/>
    <w:rsid w:val="00A27E8F"/>
    <w:rsid w:val="00A304C5"/>
    <w:rsid w:val="00A3051D"/>
    <w:rsid w:val="00A309F9"/>
    <w:rsid w:val="00A30AAF"/>
    <w:rsid w:val="00A30AD4"/>
    <w:rsid w:val="00A30D59"/>
    <w:rsid w:val="00A30F46"/>
    <w:rsid w:val="00A3100B"/>
    <w:rsid w:val="00A3171E"/>
    <w:rsid w:val="00A31881"/>
    <w:rsid w:val="00A31D30"/>
    <w:rsid w:val="00A31E55"/>
    <w:rsid w:val="00A31EE6"/>
    <w:rsid w:val="00A32022"/>
    <w:rsid w:val="00A32141"/>
    <w:rsid w:val="00A3215F"/>
    <w:rsid w:val="00A321CE"/>
    <w:rsid w:val="00A32282"/>
    <w:rsid w:val="00A32292"/>
    <w:rsid w:val="00A3253C"/>
    <w:rsid w:val="00A328CD"/>
    <w:rsid w:val="00A32FC9"/>
    <w:rsid w:val="00A32FEA"/>
    <w:rsid w:val="00A332B8"/>
    <w:rsid w:val="00A332F8"/>
    <w:rsid w:val="00A3343F"/>
    <w:rsid w:val="00A334E9"/>
    <w:rsid w:val="00A336FD"/>
    <w:rsid w:val="00A33983"/>
    <w:rsid w:val="00A33DB5"/>
    <w:rsid w:val="00A3420A"/>
    <w:rsid w:val="00A347F0"/>
    <w:rsid w:val="00A34837"/>
    <w:rsid w:val="00A3494D"/>
    <w:rsid w:val="00A34E3C"/>
    <w:rsid w:val="00A34E6A"/>
    <w:rsid w:val="00A3503A"/>
    <w:rsid w:val="00A3514C"/>
    <w:rsid w:val="00A351BC"/>
    <w:rsid w:val="00A35200"/>
    <w:rsid w:val="00A35394"/>
    <w:rsid w:val="00A354AF"/>
    <w:rsid w:val="00A355B8"/>
    <w:rsid w:val="00A355CE"/>
    <w:rsid w:val="00A35A89"/>
    <w:rsid w:val="00A35B1D"/>
    <w:rsid w:val="00A35EA4"/>
    <w:rsid w:val="00A35F73"/>
    <w:rsid w:val="00A36083"/>
    <w:rsid w:val="00A36267"/>
    <w:rsid w:val="00A368BF"/>
    <w:rsid w:val="00A36B06"/>
    <w:rsid w:val="00A36C4F"/>
    <w:rsid w:val="00A36CDA"/>
    <w:rsid w:val="00A3747F"/>
    <w:rsid w:val="00A376D5"/>
    <w:rsid w:val="00A377BF"/>
    <w:rsid w:val="00A377C8"/>
    <w:rsid w:val="00A379C0"/>
    <w:rsid w:val="00A37BE2"/>
    <w:rsid w:val="00A37F2E"/>
    <w:rsid w:val="00A401FC"/>
    <w:rsid w:val="00A40215"/>
    <w:rsid w:val="00A40548"/>
    <w:rsid w:val="00A40761"/>
    <w:rsid w:val="00A408DE"/>
    <w:rsid w:val="00A40ADC"/>
    <w:rsid w:val="00A40BE4"/>
    <w:rsid w:val="00A40C0A"/>
    <w:rsid w:val="00A40F80"/>
    <w:rsid w:val="00A41007"/>
    <w:rsid w:val="00A41093"/>
    <w:rsid w:val="00A415CA"/>
    <w:rsid w:val="00A41600"/>
    <w:rsid w:val="00A41613"/>
    <w:rsid w:val="00A41882"/>
    <w:rsid w:val="00A419CA"/>
    <w:rsid w:val="00A41B65"/>
    <w:rsid w:val="00A41BFC"/>
    <w:rsid w:val="00A41F14"/>
    <w:rsid w:val="00A41FC6"/>
    <w:rsid w:val="00A42174"/>
    <w:rsid w:val="00A423FE"/>
    <w:rsid w:val="00A4250E"/>
    <w:rsid w:val="00A42623"/>
    <w:rsid w:val="00A426BA"/>
    <w:rsid w:val="00A4274F"/>
    <w:rsid w:val="00A4287D"/>
    <w:rsid w:val="00A42899"/>
    <w:rsid w:val="00A42AA9"/>
    <w:rsid w:val="00A42D83"/>
    <w:rsid w:val="00A42E1F"/>
    <w:rsid w:val="00A4329A"/>
    <w:rsid w:val="00A435B1"/>
    <w:rsid w:val="00A437A2"/>
    <w:rsid w:val="00A43999"/>
    <w:rsid w:val="00A43A10"/>
    <w:rsid w:val="00A43AB4"/>
    <w:rsid w:val="00A43AFB"/>
    <w:rsid w:val="00A43D32"/>
    <w:rsid w:val="00A43DB0"/>
    <w:rsid w:val="00A43EBA"/>
    <w:rsid w:val="00A43F1B"/>
    <w:rsid w:val="00A43F41"/>
    <w:rsid w:val="00A43F4E"/>
    <w:rsid w:val="00A44097"/>
    <w:rsid w:val="00A44279"/>
    <w:rsid w:val="00A44377"/>
    <w:rsid w:val="00A44541"/>
    <w:rsid w:val="00A4484A"/>
    <w:rsid w:val="00A448C1"/>
    <w:rsid w:val="00A44A0C"/>
    <w:rsid w:val="00A44B21"/>
    <w:rsid w:val="00A44C01"/>
    <w:rsid w:val="00A44C72"/>
    <w:rsid w:val="00A44F96"/>
    <w:rsid w:val="00A44FF8"/>
    <w:rsid w:val="00A450A9"/>
    <w:rsid w:val="00A45127"/>
    <w:rsid w:val="00A451A9"/>
    <w:rsid w:val="00A457EE"/>
    <w:rsid w:val="00A4590D"/>
    <w:rsid w:val="00A45A53"/>
    <w:rsid w:val="00A45C3F"/>
    <w:rsid w:val="00A45DCA"/>
    <w:rsid w:val="00A45F89"/>
    <w:rsid w:val="00A45FB0"/>
    <w:rsid w:val="00A46179"/>
    <w:rsid w:val="00A46256"/>
    <w:rsid w:val="00A4655B"/>
    <w:rsid w:val="00A466A0"/>
    <w:rsid w:val="00A468BD"/>
    <w:rsid w:val="00A469AF"/>
    <w:rsid w:val="00A46AD4"/>
    <w:rsid w:val="00A46E70"/>
    <w:rsid w:val="00A4721A"/>
    <w:rsid w:val="00A47305"/>
    <w:rsid w:val="00A47446"/>
    <w:rsid w:val="00A4781C"/>
    <w:rsid w:val="00A47C13"/>
    <w:rsid w:val="00A47C36"/>
    <w:rsid w:val="00A5002B"/>
    <w:rsid w:val="00A500DF"/>
    <w:rsid w:val="00A500E4"/>
    <w:rsid w:val="00A50577"/>
    <w:rsid w:val="00A5060D"/>
    <w:rsid w:val="00A506CA"/>
    <w:rsid w:val="00A5076A"/>
    <w:rsid w:val="00A5088B"/>
    <w:rsid w:val="00A50AD7"/>
    <w:rsid w:val="00A50C91"/>
    <w:rsid w:val="00A51134"/>
    <w:rsid w:val="00A51166"/>
    <w:rsid w:val="00A51B71"/>
    <w:rsid w:val="00A52121"/>
    <w:rsid w:val="00A523DA"/>
    <w:rsid w:val="00A524AF"/>
    <w:rsid w:val="00A52AD4"/>
    <w:rsid w:val="00A52D1E"/>
    <w:rsid w:val="00A52D7F"/>
    <w:rsid w:val="00A53143"/>
    <w:rsid w:val="00A53A88"/>
    <w:rsid w:val="00A53BC0"/>
    <w:rsid w:val="00A53DFD"/>
    <w:rsid w:val="00A53E6F"/>
    <w:rsid w:val="00A54162"/>
    <w:rsid w:val="00A5427D"/>
    <w:rsid w:val="00A542C3"/>
    <w:rsid w:val="00A543C0"/>
    <w:rsid w:val="00A54501"/>
    <w:rsid w:val="00A5474F"/>
    <w:rsid w:val="00A549EB"/>
    <w:rsid w:val="00A54E1F"/>
    <w:rsid w:val="00A54E62"/>
    <w:rsid w:val="00A54EEE"/>
    <w:rsid w:val="00A54F9F"/>
    <w:rsid w:val="00A55162"/>
    <w:rsid w:val="00A5517A"/>
    <w:rsid w:val="00A555B2"/>
    <w:rsid w:val="00A5566B"/>
    <w:rsid w:val="00A55702"/>
    <w:rsid w:val="00A55A72"/>
    <w:rsid w:val="00A55C97"/>
    <w:rsid w:val="00A55DE4"/>
    <w:rsid w:val="00A56135"/>
    <w:rsid w:val="00A56182"/>
    <w:rsid w:val="00A5630F"/>
    <w:rsid w:val="00A563FE"/>
    <w:rsid w:val="00A564C7"/>
    <w:rsid w:val="00A56551"/>
    <w:rsid w:val="00A56568"/>
    <w:rsid w:val="00A567CA"/>
    <w:rsid w:val="00A56904"/>
    <w:rsid w:val="00A5696D"/>
    <w:rsid w:val="00A56B8E"/>
    <w:rsid w:val="00A56D47"/>
    <w:rsid w:val="00A56E34"/>
    <w:rsid w:val="00A5700D"/>
    <w:rsid w:val="00A570C4"/>
    <w:rsid w:val="00A57383"/>
    <w:rsid w:val="00A57A9B"/>
    <w:rsid w:val="00A57B06"/>
    <w:rsid w:val="00A57C97"/>
    <w:rsid w:val="00A57D36"/>
    <w:rsid w:val="00A57E61"/>
    <w:rsid w:val="00A57ECC"/>
    <w:rsid w:val="00A6031F"/>
    <w:rsid w:val="00A60338"/>
    <w:rsid w:val="00A6034C"/>
    <w:rsid w:val="00A603ED"/>
    <w:rsid w:val="00A606D0"/>
    <w:rsid w:val="00A60788"/>
    <w:rsid w:val="00A607E2"/>
    <w:rsid w:val="00A60EA8"/>
    <w:rsid w:val="00A60FCC"/>
    <w:rsid w:val="00A6103A"/>
    <w:rsid w:val="00A61434"/>
    <w:rsid w:val="00A616E4"/>
    <w:rsid w:val="00A61883"/>
    <w:rsid w:val="00A61C4E"/>
    <w:rsid w:val="00A61C60"/>
    <w:rsid w:val="00A61D86"/>
    <w:rsid w:val="00A61DDA"/>
    <w:rsid w:val="00A61EAF"/>
    <w:rsid w:val="00A620D9"/>
    <w:rsid w:val="00A6216A"/>
    <w:rsid w:val="00A624E6"/>
    <w:rsid w:val="00A625A4"/>
    <w:rsid w:val="00A62726"/>
    <w:rsid w:val="00A62840"/>
    <w:rsid w:val="00A631DA"/>
    <w:rsid w:val="00A6322E"/>
    <w:rsid w:val="00A6331B"/>
    <w:rsid w:val="00A63374"/>
    <w:rsid w:val="00A63574"/>
    <w:rsid w:val="00A63595"/>
    <w:rsid w:val="00A637E5"/>
    <w:rsid w:val="00A6381D"/>
    <w:rsid w:val="00A63BB6"/>
    <w:rsid w:val="00A63F00"/>
    <w:rsid w:val="00A6400B"/>
    <w:rsid w:val="00A64047"/>
    <w:rsid w:val="00A64205"/>
    <w:rsid w:val="00A642C1"/>
    <w:rsid w:val="00A6436A"/>
    <w:rsid w:val="00A64582"/>
    <w:rsid w:val="00A64613"/>
    <w:rsid w:val="00A647E7"/>
    <w:rsid w:val="00A64B9A"/>
    <w:rsid w:val="00A64BBC"/>
    <w:rsid w:val="00A64D6A"/>
    <w:rsid w:val="00A64E06"/>
    <w:rsid w:val="00A64E5E"/>
    <w:rsid w:val="00A64F57"/>
    <w:rsid w:val="00A65019"/>
    <w:rsid w:val="00A650DD"/>
    <w:rsid w:val="00A6516A"/>
    <w:rsid w:val="00A65454"/>
    <w:rsid w:val="00A65490"/>
    <w:rsid w:val="00A654DE"/>
    <w:rsid w:val="00A65703"/>
    <w:rsid w:val="00A65826"/>
    <w:rsid w:val="00A658E0"/>
    <w:rsid w:val="00A65A22"/>
    <w:rsid w:val="00A65D34"/>
    <w:rsid w:val="00A660B4"/>
    <w:rsid w:val="00A660CF"/>
    <w:rsid w:val="00A665A6"/>
    <w:rsid w:val="00A6669E"/>
    <w:rsid w:val="00A666FD"/>
    <w:rsid w:val="00A6695B"/>
    <w:rsid w:val="00A66977"/>
    <w:rsid w:val="00A66A8A"/>
    <w:rsid w:val="00A66A9A"/>
    <w:rsid w:val="00A66B19"/>
    <w:rsid w:val="00A66E72"/>
    <w:rsid w:val="00A670BF"/>
    <w:rsid w:val="00A6713D"/>
    <w:rsid w:val="00A67379"/>
    <w:rsid w:val="00A6743F"/>
    <w:rsid w:val="00A6751A"/>
    <w:rsid w:val="00A676AB"/>
    <w:rsid w:val="00A677C2"/>
    <w:rsid w:val="00A6790C"/>
    <w:rsid w:val="00A67B83"/>
    <w:rsid w:val="00A67BE0"/>
    <w:rsid w:val="00A67C07"/>
    <w:rsid w:val="00A67FED"/>
    <w:rsid w:val="00A704DA"/>
    <w:rsid w:val="00A704FD"/>
    <w:rsid w:val="00A706B3"/>
    <w:rsid w:val="00A706EA"/>
    <w:rsid w:val="00A70798"/>
    <w:rsid w:val="00A7087C"/>
    <w:rsid w:val="00A70998"/>
    <w:rsid w:val="00A709C7"/>
    <w:rsid w:val="00A70C0C"/>
    <w:rsid w:val="00A70E20"/>
    <w:rsid w:val="00A70EB2"/>
    <w:rsid w:val="00A71437"/>
    <w:rsid w:val="00A7144F"/>
    <w:rsid w:val="00A715AA"/>
    <w:rsid w:val="00A7166F"/>
    <w:rsid w:val="00A7177B"/>
    <w:rsid w:val="00A71CE8"/>
    <w:rsid w:val="00A71E1E"/>
    <w:rsid w:val="00A72020"/>
    <w:rsid w:val="00A725C1"/>
    <w:rsid w:val="00A7287D"/>
    <w:rsid w:val="00A72BC4"/>
    <w:rsid w:val="00A72DEE"/>
    <w:rsid w:val="00A72EE9"/>
    <w:rsid w:val="00A73081"/>
    <w:rsid w:val="00A730CC"/>
    <w:rsid w:val="00A7326D"/>
    <w:rsid w:val="00A733C8"/>
    <w:rsid w:val="00A7344E"/>
    <w:rsid w:val="00A735B3"/>
    <w:rsid w:val="00A73907"/>
    <w:rsid w:val="00A73961"/>
    <w:rsid w:val="00A73B78"/>
    <w:rsid w:val="00A73C59"/>
    <w:rsid w:val="00A73EBB"/>
    <w:rsid w:val="00A73F3A"/>
    <w:rsid w:val="00A74356"/>
    <w:rsid w:val="00A744B4"/>
    <w:rsid w:val="00A745AF"/>
    <w:rsid w:val="00A7476B"/>
    <w:rsid w:val="00A7498D"/>
    <w:rsid w:val="00A74CD9"/>
    <w:rsid w:val="00A74EE6"/>
    <w:rsid w:val="00A7556A"/>
    <w:rsid w:val="00A75709"/>
    <w:rsid w:val="00A7572A"/>
    <w:rsid w:val="00A758CD"/>
    <w:rsid w:val="00A75901"/>
    <w:rsid w:val="00A7592C"/>
    <w:rsid w:val="00A75B0A"/>
    <w:rsid w:val="00A75D37"/>
    <w:rsid w:val="00A75F28"/>
    <w:rsid w:val="00A75F7C"/>
    <w:rsid w:val="00A75FD2"/>
    <w:rsid w:val="00A7645D"/>
    <w:rsid w:val="00A76534"/>
    <w:rsid w:val="00A76587"/>
    <w:rsid w:val="00A76797"/>
    <w:rsid w:val="00A76823"/>
    <w:rsid w:val="00A769BC"/>
    <w:rsid w:val="00A769DA"/>
    <w:rsid w:val="00A76CD9"/>
    <w:rsid w:val="00A76FAD"/>
    <w:rsid w:val="00A770B2"/>
    <w:rsid w:val="00A77A48"/>
    <w:rsid w:val="00A77D8E"/>
    <w:rsid w:val="00A77E58"/>
    <w:rsid w:val="00A8003A"/>
    <w:rsid w:val="00A8035E"/>
    <w:rsid w:val="00A80712"/>
    <w:rsid w:val="00A80AD1"/>
    <w:rsid w:val="00A80FE5"/>
    <w:rsid w:val="00A8102B"/>
    <w:rsid w:val="00A8103C"/>
    <w:rsid w:val="00A810F6"/>
    <w:rsid w:val="00A8122F"/>
    <w:rsid w:val="00A812C2"/>
    <w:rsid w:val="00A81312"/>
    <w:rsid w:val="00A81348"/>
    <w:rsid w:val="00A814CF"/>
    <w:rsid w:val="00A815FD"/>
    <w:rsid w:val="00A81861"/>
    <w:rsid w:val="00A81A7A"/>
    <w:rsid w:val="00A81AD7"/>
    <w:rsid w:val="00A81C35"/>
    <w:rsid w:val="00A81E32"/>
    <w:rsid w:val="00A81E77"/>
    <w:rsid w:val="00A81E92"/>
    <w:rsid w:val="00A821E5"/>
    <w:rsid w:val="00A82287"/>
    <w:rsid w:val="00A82355"/>
    <w:rsid w:val="00A827B0"/>
    <w:rsid w:val="00A829B1"/>
    <w:rsid w:val="00A82DB7"/>
    <w:rsid w:val="00A82DBA"/>
    <w:rsid w:val="00A82F63"/>
    <w:rsid w:val="00A83005"/>
    <w:rsid w:val="00A8314E"/>
    <w:rsid w:val="00A83563"/>
    <w:rsid w:val="00A835B9"/>
    <w:rsid w:val="00A83671"/>
    <w:rsid w:val="00A8385E"/>
    <w:rsid w:val="00A83936"/>
    <w:rsid w:val="00A83CBB"/>
    <w:rsid w:val="00A83E51"/>
    <w:rsid w:val="00A83EA1"/>
    <w:rsid w:val="00A843B8"/>
    <w:rsid w:val="00A84710"/>
    <w:rsid w:val="00A8471C"/>
    <w:rsid w:val="00A8491D"/>
    <w:rsid w:val="00A849E6"/>
    <w:rsid w:val="00A8529D"/>
    <w:rsid w:val="00A8566D"/>
    <w:rsid w:val="00A85854"/>
    <w:rsid w:val="00A8585B"/>
    <w:rsid w:val="00A85AEA"/>
    <w:rsid w:val="00A85C0B"/>
    <w:rsid w:val="00A85C12"/>
    <w:rsid w:val="00A85CC0"/>
    <w:rsid w:val="00A85D3B"/>
    <w:rsid w:val="00A863AE"/>
    <w:rsid w:val="00A8646B"/>
    <w:rsid w:val="00A8665F"/>
    <w:rsid w:val="00A866D4"/>
    <w:rsid w:val="00A8677A"/>
    <w:rsid w:val="00A8684B"/>
    <w:rsid w:val="00A868C9"/>
    <w:rsid w:val="00A86BF1"/>
    <w:rsid w:val="00A86CE3"/>
    <w:rsid w:val="00A87280"/>
    <w:rsid w:val="00A8762A"/>
    <w:rsid w:val="00A87851"/>
    <w:rsid w:val="00A8790D"/>
    <w:rsid w:val="00A8797A"/>
    <w:rsid w:val="00A87C3B"/>
    <w:rsid w:val="00A87CE1"/>
    <w:rsid w:val="00A90094"/>
    <w:rsid w:val="00A900E9"/>
    <w:rsid w:val="00A90196"/>
    <w:rsid w:val="00A902AC"/>
    <w:rsid w:val="00A904BA"/>
    <w:rsid w:val="00A90531"/>
    <w:rsid w:val="00A905C1"/>
    <w:rsid w:val="00A905D7"/>
    <w:rsid w:val="00A90613"/>
    <w:rsid w:val="00A909E0"/>
    <w:rsid w:val="00A90C46"/>
    <w:rsid w:val="00A90FBE"/>
    <w:rsid w:val="00A91459"/>
    <w:rsid w:val="00A9183C"/>
    <w:rsid w:val="00A92158"/>
    <w:rsid w:val="00A923A5"/>
    <w:rsid w:val="00A927D6"/>
    <w:rsid w:val="00A928AB"/>
    <w:rsid w:val="00A928CE"/>
    <w:rsid w:val="00A92A51"/>
    <w:rsid w:val="00A93588"/>
    <w:rsid w:val="00A93B28"/>
    <w:rsid w:val="00A93B67"/>
    <w:rsid w:val="00A9406F"/>
    <w:rsid w:val="00A940E7"/>
    <w:rsid w:val="00A94295"/>
    <w:rsid w:val="00A94441"/>
    <w:rsid w:val="00A944FE"/>
    <w:rsid w:val="00A9457A"/>
    <w:rsid w:val="00A94741"/>
    <w:rsid w:val="00A9482C"/>
    <w:rsid w:val="00A9491F"/>
    <w:rsid w:val="00A94E01"/>
    <w:rsid w:val="00A94EA8"/>
    <w:rsid w:val="00A94F01"/>
    <w:rsid w:val="00A950EB"/>
    <w:rsid w:val="00A95506"/>
    <w:rsid w:val="00A9553F"/>
    <w:rsid w:val="00A95A3F"/>
    <w:rsid w:val="00A95AB1"/>
    <w:rsid w:val="00A95AED"/>
    <w:rsid w:val="00A95C8F"/>
    <w:rsid w:val="00A95D32"/>
    <w:rsid w:val="00A95DEB"/>
    <w:rsid w:val="00A95E76"/>
    <w:rsid w:val="00A96178"/>
    <w:rsid w:val="00A963C2"/>
    <w:rsid w:val="00A963FF"/>
    <w:rsid w:val="00A96833"/>
    <w:rsid w:val="00A96A08"/>
    <w:rsid w:val="00A96A13"/>
    <w:rsid w:val="00A96E39"/>
    <w:rsid w:val="00A96F73"/>
    <w:rsid w:val="00A96FFA"/>
    <w:rsid w:val="00A97009"/>
    <w:rsid w:val="00A97091"/>
    <w:rsid w:val="00A975AB"/>
    <w:rsid w:val="00A97635"/>
    <w:rsid w:val="00A97678"/>
    <w:rsid w:val="00A97759"/>
    <w:rsid w:val="00A97AE2"/>
    <w:rsid w:val="00A97C4B"/>
    <w:rsid w:val="00A97CB7"/>
    <w:rsid w:val="00A97CED"/>
    <w:rsid w:val="00A97DCA"/>
    <w:rsid w:val="00AA0241"/>
    <w:rsid w:val="00AA0476"/>
    <w:rsid w:val="00AA0635"/>
    <w:rsid w:val="00AA06EC"/>
    <w:rsid w:val="00AA0732"/>
    <w:rsid w:val="00AA086A"/>
    <w:rsid w:val="00AA0926"/>
    <w:rsid w:val="00AA0C8E"/>
    <w:rsid w:val="00AA0D79"/>
    <w:rsid w:val="00AA105E"/>
    <w:rsid w:val="00AA10C5"/>
    <w:rsid w:val="00AA1487"/>
    <w:rsid w:val="00AA148A"/>
    <w:rsid w:val="00AA1524"/>
    <w:rsid w:val="00AA160F"/>
    <w:rsid w:val="00AA18BF"/>
    <w:rsid w:val="00AA1927"/>
    <w:rsid w:val="00AA19A5"/>
    <w:rsid w:val="00AA1AC0"/>
    <w:rsid w:val="00AA1CD1"/>
    <w:rsid w:val="00AA1CE1"/>
    <w:rsid w:val="00AA1D26"/>
    <w:rsid w:val="00AA1D47"/>
    <w:rsid w:val="00AA1E36"/>
    <w:rsid w:val="00AA1FB8"/>
    <w:rsid w:val="00AA2127"/>
    <w:rsid w:val="00AA2233"/>
    <w:rsid w:val="00AA22E3"/>
    <w:rsid w:val="00AA25F1"/>
    <w:rsid w:val="00AA2AE2"/>
    <w:rsid w:val="00AA2BBD"/>
    <w:rsid w:val="00AA2E41"/>
    <w:rsid w:val="00AA2F89"/>
    <w:rsid w:val="00AA32FA"/>
    <w:rsid w:val="00AA37CB"/>
    <w:rsid w:val="00AA40A9"/>
    <w:rsid w:val="00AA47A7"/>
    <w:rsid w:val="00AA4A16"/>
    <w:rsid w:val="00AA4C1E"/>
    <w:rsid w:val="00AA4D57"/>
    <w:rsid w:val="00AA4F4E"/>
    <w:rsid w:val="00AA4FF8"/>
    <w:rsid w:val="00AA5202"/>
    <w:rsid w:val="00AA5227"/>
    <w:rsid w:val="00AA5320"/>
    <w:rsid w:val="00AA53FB"/>
    <w:rsid w:val="00AA542B"/>
    <w:rsid w:val="00AA58C0"/>
    <w:rsid w:val="00AA5929"/>
    <w:rsid w:val="00AA5966"/>
    <w:rsid w:val="00AA5A24"/>
    <w:rsid w:val="00AA5BD2"/>
    <w:rsid w:val="00AA5F74"/>
    <w:rsid w:val="00AA61E4"/>
    <w:rsid w:val="00AA625A"/>
    <w:rsid w:val="00AA6399"/>
    <w:rsid w:val="00AA6464"/>
    <w:rsid w:val="00AA685B"/>
    <w:rsid w:val="00AA696E"/>
    <w:rsid w:val="00AA6C41"/>
    <w:rsid w:val="00AA6C5E"/>
    <w:rsid w:val="00AA6CE7"/>
    <w:rsid w:val="00AA6E18"/>
    <w:rsid w:val="00AA6E24"/>
    <w:rsid w:val="00AA6E86"/>
    <w:rsid w:val="00AA6E97"/>
    <w:rsid w:val="00AA6F86"/>
    <w:rsid w:val="00AA709C"/>
    <w:rsid w:val="00AA731B"/>
    <w:rsid w:val="00AA7323"/>
    <w:rsid w:val="00AA7495"/>
    <w:rsid w:val="00AA7612"/>
    <w:rsid w:val="00AA793B"/>
    <w:rsid w:val="00AA7D04"/>
    <w:rsid w:val="00AB0133"/>
    <w:rsid w:val="00AB01D6"/>
    <w:rsid w:val="00AB0558"/>
    <w:rsid w:val="00AB0894"/>
    <w:rsid w:val="00AB09FD"/>
    <w:rsid w:val="00AB0C3A"/>
    <w:rsid w:val="00AB0C55"/>
    <w:rsid w:val="00AB0E47"/>
    <w:rsid w:val="00AB11B1"/>
    <w:rsid w:val="00AB1404"/>
    <w:rsid w:val="00AB1585"/>
    <w:rsid w:val="00AB16CB"/>
    <w:rsid w:val="00AB16FB"/>
    <w:rsid w:val="00AB1EF1"/>
    <w:rsid w:val="00AB1F1E"/>
    <w:rsid w:val="00AB211B"/>
    <w:rsid w:val="00AB2231"/>
    <w:rsid w:val="00AB2395"/>
    <w:rsid w:val="00AB2B1F"/>
    <w:rsid w:val="00AB2C2D"/>
    <w:rsid w:val="00AB3064"/>
    <w:rsid w:val="00AB3076"/>
    <w:rsid w:val="00AB32EB"/>
    <w:rsid w:val="00AB32FE"/>
    <w:rsid w:val="00AB33BA"/>
    <w:rsid w:val="00AB3619"/>
    <w:rsid w:val="00AB3830"/>
    <w:rsid w:val="00AB38A9"/>
    <w:rsid w:val="00AB39D7"/>
    <w:rsid w:val="00AB3B61"/>
    <w:rsid w:val="00AB3BC3"/>
    <w:rsid w:val="00AB3D4E"/>
    <w:rsid w:val="00AB3E84"/>
    <w:rsid w:val="00AB42C4"/>
    <w:rsid w:val="00AB42F9"/>
    <w:rsid w:val="00AB45A0"/>
    <w:rsid w:val="00AB45A2"/>
    <w:rsid w:val="00AB45FD"/>
    <w:rsid w:val="00AB46C7"/>
    <w:rsid w:val="00AB47AD"/>
    <w:rsid w:val="00AB4812"/>
    <w:rsid w:val="00AB4A76"/>
    <w:rsid w:val="00AB4B3A"/>
    <w:rsid w:val="00AB4C61"/>
    <w:rsid w:val="00AB4DFE"/>
    <w:rsid w:val="00AB4E1B"/>
    <w:rsid w:val="00AB4F2C"/>
    <w:rsid w:val="00AB5099"/>
    <w:rsid w:val="00AB54D3"/>
    <w:rsid w:val="00AB56B2"/>
    <w:rsid w:val="00AB57DF"/>
    <w:rsid w:val="00AB597A"/>
    <w:rsid w:val="00AB5A20"/>
    <w:rsid w:val="00AB5B20"/>
    <w:rsid w:val="00AB5B46"/>
    <w:rsid w:val="00AB5B5A"/>
    <w:rsid w:val="00AB5DD8"/>
    <w:rsid w:val="00AB605D"/>
    <w:rsid w:val="00AB659B"/>
    <w:rsid w:val="00AB67DF"/>
    <w:rsid w:val="00AB6B2A"/>
    <w:rsid w:val="00AB6C87"/>
    <w:rsid w:val="00AB740D"/>
    <w:rsid w:val="00AB7CB7"/>
    <w:rsid w:val="00AC00E5"/>
    <w:rsid w:val="00AC0174"/>
    <w:rsid w:val="00AC0636"/>
    <w:rsid w:val="00AC06BA"/>
    <w:rsid w:val="00AC07CC"/>
    <w:rsid w:val="00AC07FE"/>
    <w:rsid w:val="00AC0A20"/>
    <w:rsid w:val="00AC0A76"/>
    <w:rsid w:val="00AC0B8F"/>
    <w:rsid w:val="00AC0C47"/>
    <w:rsid w:val="00AC0CD8"/>
    <w:rsid w:val="00AC0F0B"/>
    <w:rsid w:val="00AC11A3"/>
    <w:rsid w:val="00AC1472"/>
    <w:rsid w:val="00AC14EB"/>
    <w:rsid w:val="00AC15BC"/>
    <w:rsid w:val="00AC1721"/>
    <w:rsid w:val="00AC174C"/>
    <w:rsid w:val="00AC187A"/>
    <w:rsid w:val="00AC19E7"/>
    <w:rsid w:val="00AC1FFB"/>
    <w:rsid w:val="00AC22D5"/>
    <w:rsid w:val="00AC230D"/>
    <w:rsid w:val="00AC23AE"/>
    <w:rsid w:val="00AC2682"/>
    <w:rsid w:val="00AC278B"/>
    <w:rsid w:val="00AC2BC5"/>
    <w:rsid w:val="00AC2EF9"/>
    <w:rsid w:val="00AC30A6"/>
    <w:rsid w:val="00AC3145"/>
    <w:rsid w:val="00AC318B"/>
    <w:rsid w:val="00AC34B3"/>
    <w:rsid w:val="00AC38E2"/>
    <w:rsid w:val="00AC412F"/>
    <w:rsid w:val="00AC41F3"/>
    <w:rsid w:val="00AC420A"/>
    <w:rsid w:val="00AC4340"/>
    <w:rsid w:val="00AC466F"/>
    <w:rsid w:val="00AC4752"/>
    <w:rsid w:val="00AC4A16"/>
    <w:rsid w:val="00AC4D4C"/>
    <w:rsid w:val="00AC5290"/>
    <w:rsid w:val="00AC534D"/>
    <w:rsid w:val="00AC536A"/>
    <w:rsid w:val="00AC53E4"/>
    <w:rsid w:val="00AC5A3C"/>
    <w:rsid w:val="00AC5E17"/>
    <w:rsid w:val="00AC5E54"/>
    <w:rsid w:val="00AC5F7B"/>
    <w:rsid w:val="00AC634E"/>
    <w:rsid w:val="00AC64C9"/>
    <w:rsid w:val="00AC669D"/>
    <w:rsid w:val="00AC681C"/>
    <w:rsid w:val="00AC6D34"/>
    <w:rsid w:val="00AC6DFE"/>
    <w:rsid w:val="00AC6FCF"/>
    <w:rsid w:val="00AC7201"/>
    <w:rsid w:val="00AC72A3"/>
    <w:rsid w:val="00AC7C93"/>
    <w:rsid w:val="00AC7E13"/>
    <w:rsid w:val="00AC7E61"/>
    <w:rsid w:val="00AD0071"/>
    <w:rsid w:val="00AD0268"/>
    <w:rsid w:val="00AD0273"/>
    <w:rsid w:val="00AD0364"/>
    <w:rsid w:val="00AD092B"/>
    <w:rsid w:val="00AD0ADB"/>
    <w:rsid w:val="00AD0C69"/>
    <w:rsid w:val="00AD0CAC"/>
    <w:rsid w:val="00AD1037"/>
    <w:rsid w:val="00AD1345"/>
    <w:rsid w:val="00AD1386"/>
    <w:rsid w:val="00AD13F6"/>
    <w:rsid w:val="00AD1419"/>
    <w:rsid w:val="00AD144E"/>
    <w:rsid w:val="00AD15D8"/>
    <w:rsid w:val="00AD1896"/>
    <w:rsid w:val="00AD1A34"/>
    <w:rsid w:val="00AD1AE6"/>
    <w:rsid w:val="00AD1DDF"/>
    <w:rsid w:val="00AD1F51"/>
    <w:rsid w:val="00AD2019"/>
    <w:rsid w:val="00AD2185"/>
    <w:rsid w:val="00AD21A8"/>
    <w:rsid w:val="00AD2397"/>
    <w:rsid w:val="00AD242D"/>
    <w:rsid w:val="00AD243F"/>
    <w:rsid w:val="00AD2847"/>
    <w:rsid w:val="00AD2A93"/>
    <w:rsid w:val="00AD2B3D"/>
    <w:rsid w:val="00AD2C9A"/>
    <w:rsid w:val="00AD2E92"/>
    <w:rsid w:val="00AD2F4A"/>
    <w:rsid w:val="00AD3534"/>
    <w:rsid w:val="00AD38F9"/>
    <w:rsid w:val="00AD3996"/>
    <w:rsid w:val="00AD3B1C"/>
    <w:rsid w:val="00AD3B44"/>
    <w:rsid w:val="00AD4021"/>
    <w:rsid w:val="00AD4150"/>
    <w:rsid w:val="00AD4283"/>
    <w:rsid w:val="00AD45FF"/>
    <w:rsid w:val="00AD47EF"/>
    <w:rsid w:val="00AD4896"/>
    <w:rsid w:val="00AD490E"/>
    <w:rsid w:val="00AD4D91"/>
    <w:rsid w:val="00AD50F1"/>
    <w:rsid w:val="00AD5176"/>
    <w:rsid w:val="00AD565A"/>
    <w:rsid w:val="00AD58C9"/>
    <w:rsid w:val="00AD5AEC"/>
    <w:rsid w:val="00AD5B60"/>
    <w:rsid w:val="00AD5BEF"/>
    <w:rsid w:val="00AD5E72"/>
    <w:rsid w:val="00AD609D"/>
    <w:rsid w:val="00AD666A"/>
    <w:rsid w:val="00AD6687"/>
    <w:rsid w:val="00AD6742"/>
    <w:rsid w:val="00AD6798"/>
    <w:rsid w:val="00AD6CD3"/>
    <w:rsid w:val="00AD6CF5"/>
    <w:rsid w:val="00AD6E17"/>
    <w:rsid w:val="00AD6F1D"/>
    <w:rsid w:val="00AD6F7D"/>
    <w:rsid w:val="00AD6FC5"/>
    <w:rsid w:val="00AD70FD"/>
    <w:rsid w:val="00AD71F9"/>
    <w:rsid w:val="00AD76D8"/>
    <w:rsid w:val="00AD796C"/>
    <w:rsid w:val="00AD7A8B"/>
    <w:rsid w:val="00AD7B2D"/>
    <w:rsid w:val="00AD7BAE"/>
    <w:rsid w:val="00AD7C88"/>
    <w:rsid w:val="00AD7D26"/>
    <w:rsid w:val="00AD7D70"/>
    <w:rsid w:val="00AD7EB3"/>
    <w:rsid w:val="00AD7FA3"/>
    <w:rsid w:val="00AE01A8"/>
    <w:rsid w:val="00AE0673"/>
    <w:rsid w:val="00AE0697"/>
    <w:rsid w:val="00AE0D22"/>
    <w:rsid w:val="00AE0F33"/>
    <w:rsid w:val="00AE1419"/>
    <w:rsid w:val="00AE141B"/>
    <w:rsid w:val="00AE149C"/>
    <w:rsid w:val="00AE1983"/>
    <w:rsid w:val="00AE1CDC"/>
    <w:rsid w:val="00AE21E1"/>
    <w:rsid w:val="00AE257F"/>
    <w:rsid w:val="00AE279E"/>
    <w:rsid w:val="00AE2B5D"/>
    <w:rsid w:val="00AE2C99"/>
    <w:rsid w:val="00AE2E80"/>
    <w:rsid w:val="00AE33A9"/>
    <w:rsid w:val="00AE33F3"/>
    <w:rsid w:val="00AE352F"/>
    <w:rsid w:val="00AE37E7"/>
    <w:rsid w:val="00AE3874"/>
    <w:rsid w:val="00AE3978"/>
    <w:rsid w:val="00AE3A65"/>
    <w:rsid w:val="00AE3A6A"/>
    <w:rsid w:val="00AE4087"/>
    <w:rsid w:val="00AE428A"/>
    <w:rsid w:val="00AE441F"/>
    <w:rsid w:val="00AE4696"/>
    <w:rsid w:val="00AE471B"/>
    <w:rsid w:val="00AE4A4C"/>
    <w:rsid w:val="00AE4B62"/>
    <w:rsid w:val="00AE4B82"/>
    <w:rsid w:val="00AE4BD1"/>
    <w:rsid w:val="00AE4EAB"/>
    <w:rsid w:val="00AE513E"/>
    <w:rsid w:val="00AE51BA"/>
    <w:rsid w:val="00AE5290"/>
    <w:rsid w:val="00AE5462"/>
    <w:rsid w:val="00AE58EF"/>
    <w:rsid w:val="00AE59D2"/>
    <w:rsid w:val="00AE5ACC"/>
    <w:rsid w:val="00AE5AE2"/>
    <w:rsid w:val="00AE5D28"/>
    <w:rsid w:val="00AE5D84"/>
    <w:rsid w:val="00AE5E5C"/>
    <w:rsid w:val="00AE5EB7"/>
    <w:rsid w:val="00AE604E"/>
    <w:rsid w:val="00AE609D"/>
    <w:rsid w:val="00AE6140"/>
    <w:rsid w:val="00AE64A8"/>
    <w:rsid w:val="00AE6605"/>
    <w:rsid w:val="00AE6C61"/>
    <w:rsid w:val="00AE6E9F"/>
    <w:rsid w:val="00AE6F1C"/>
    <w:rsid w:val="00AE6F98"/>
    <w:rsid w:val="00AE70B0"/>
    <w:rsid w:val="00AE722B"/>
    <w:rsid w:val="00AE72C2"/>
    <w:rsid w:val="00AE73F8"/>
    <w:rsid w:val="00AE779F"/>
    <w:rsid w:val="00AE79C1"/>
    <w:rsid w:val="00AE7EC8"/>
    <w:rsid w:val="00AE7F94"/>
    <w:rsid w:val="00AF005F"/>
    <w:rsid w:val="00AF00EF"/>
    <w:rsid w:val="00AF03C1"/>
    <w:rsid w:val="00AF0457"/>
    <w:rsid w:val="00AF06D3"/>
    <w:rsid w:val="00AF08C1"/>
    <w:rsid w:val="00AF08D5"/>
    <w:rsid w:val="00AF0A17"/>
    <w:rsid w:val="00AF0D60"/>
    <w:rsid w:val="00AF0E27"/>
    <w:rsid w:val="00AF0E98"/>
    <w:rsid w:val="00AF0EE4"/>
    <w:rsid w:val="00AF1155"/>
    <w:rsid w:val="00AF13E4"/>
    <w:rsid w:val="00AF1514"/>
    <w:rsid w:val="00AF1804"/>
    <w:rsid w:val="00AF19B0"/>
    <w:rsid w:val="00AF19E9"/>
    <w:rsid w:val="00AF1A91"/>
    <w:rsid w:val="00AF1E04"/>
    <w:rsid w:val="00AF1EF7"/>
    <w:rsid w:val="00AF1FF9"/>
    <w:rsid w:val="00AF205A"/>
    <w:rsid w:val="00AF215B"/>
    <w:rsid w:val="00AF21B0"/>
    <w:rsid w:val="00AF224A"/>
    <w:rsid w:val="00AF230A"/>
    <w:rsid w:val="00AF29D7"/>
    <w:rsid w:val="00AF29DC"/>
    <w:rsid w:val="00AF2D05"/>
    <w:rsid w:val="00AF2EC3"/>
    <w:rsid w:val="00AF2EFD"/>
    <w:rsid w:val="00AF3188"/>
    <w:rsid w:val="00AF34D9"/>
    <w:rsid w:val="00AF367B"/>
    <w:rsid w:val="00AF39A3"/>
    <w:rsid w:val="00AF3CE0"/>
    <w:rsid w:val="00AF3EC2"/>
    <w:rsid w:val="00AF404F"/>
    <w:rsid w:val="00AF4069"/>
    <w:rsid w:val="00AF41EB"/>
    <w:rsid w:val="00AF438A"/>
    <w:rsid w:val="00AF4684"/>
    <w:rsid w:val="00AF4A0F"/>
    <w:rsid w:val="00AF5308"/>
    <w:rsid w:val="00AF5381"/>
    <w:rsid w:val="00AF5490"/>
    <w:rsid w:val="00AF549C"/>
    <w:rsid w:val="00AF55D4"/>
    <w:rsid w:val="00AF5654"/>
    <w:rsid w:val="00AF56F7"/>
    <w:rsid w:val="00AF5A6F"/>
    <w:rsid w:val="00AF5CD7"/>
    <w:rsid w:val="00AF5E22"/>
    <w:rsid w:val="00AF5ED7"/>
    <w:rsid w:val="00AF5EE5"/>
    <w:rsid w:val="00AF5F42"/>
    <w:rsid w:val="00AF6121"/>
    <w:rsid w:val="00AF63DD"/>
    <w:rsid w:val="00AF64C6"/>
    <w:rsid w:val="00AF695D"/>
    <w:rsid w:val="00AF6B19"/>
    <w:rsid w:val="00AF6E13"/>
    <w:rsid w:val="00AF7258"/>
    <w:rsid w:val="00AF7601"/>
    <w:rsid w:val="00AF77C1"/>
    <w:rsid w:val="00AF7804"/>
    <w:rsid w:val="00AF7981"/>
    <w:rsid w:val="00AF7A82"/>
    <w:rsid w:val="00AF7BDC"/>
    <w:rsid w:val="00AF7F57"/>
    <w:rsid w:val="00AF7FF8"/>
    <w:rsid w:val="00B00085"/>
    <w:rsid w:val="00B000F2"/>
    <w:rsid w:val="00B005DB"/>
    <w:rsid w:val="00B00601"/>
    <w:rsid w:val="00B0061A"/>
    <w:rsid w:val="00B00680"/>
    <w:rsid w:val="00B00981"/>
    <w:rsid w:val="00B009CF"/>
    <w:rsid w:val="00B009D5"/>
    <w:rsid w:val="00B00A13"/>
    <w:rsid w:val="00B00D65"/>
    <w:rsid w:val="00B00F09"/>
    <w:rsid w:val="00B00F36"/>
    <w:rsid w:val="00B012DB"/>
    <w:rsid w:val="00B012EC"/>
    <w:rsid w:val="00B0130C"/>
    <w:rsid w:val="00B016AC"/>
    <w:rsid w:val="00B018F3"/>
    <w:rsid w:val="00B019AD"/>
    <w:rsid w:val="00B01C00"/>
    <w:rsid w:val="00B021F8"/>
    <w:rsid w:val="00B02330"/>
    <w:rsid w:val="00B02332"/>
    <w:rsid w:val="00B024A7"/>
    <w:rsid w:val="00B025A4"/>
    <w:rsid w:val="00B02607"/>
    <w:rsid w:val="00B026A7"/>
    <w:rsid w:val="00B02EDD"/>
    <w:rsid w:val="00B02FF4"/>
    <w:rsid w:val="00B0320A"/>
    <w:rsid w:val="00B034CD"/>
    <w:rsid w:val="00B038DD"/>
    <w:rsid w:val="00B038F4"/>
    <w:rsid w:val="00B0390C"/>
    <w:rsid w:val="00B0396F"/>
    <w:rsid w:val="00B03BB4"/>
    <w:rsid w:val="00B03F51"/>
    <w:rsid w:val="00B04168"/>
    <w:rsid w:val="00B04476"/>
    <w:rsid w:val="00B0448A"/>
    <w:rsid w:val="00B045CC"/>
    <w:rsid w:val="00B04995"/>
    <w:rsid w:val="00B049D7"/>
    <w:rsid w:val="00B04B6C"/>
    <w:rsid w:val="00B04BC6"/>
    <w:rsid w:val="00B04C2B"/>
    <w:rsid w:val="00B04DA5"/>
    <w:rsid w:val="00B04E42"/>
    <w:rsid w:val="00B054FF"/>
    <w:rsid w:val="00B05507"/>
    <w:rsid w:val="00B0550C"/>
    <w:rsid w:val="00B05543"/>
    <w:rsid w:val="00B05653"/>
    <w:rsid w:val="00B0573A"/>
    <w:rsid w:val="00B0574B"/>
    <w:rsid w:val="00B05891"/>
    <w:rsid w:val="00B058AF"/>
    <w:rsid w:val="00B05BB0"/>
    <w:rsid w:val="00B05BE4"/>
    <w:rsid w:val="00B0630B"/>
    <w:rsid w:val="00B06389"/>
    <w:rsid w:val="00B063CF"/>
    <w:rsid w:val="00B06415"/>
    <w:rsid w:val="00B064DB"/>
    <w:rsid w:val="00B066A5"/>
    <w:rsid w:val="00B06713"/>
    <w:rsid w:val="00B0675E"/>
    <w:rsid w:val="00B067FE"/>
    <w:rsid w:val="00B06A5F"/>
    <w:rsid w:val="00B06A64"/>
    <w:rsid w:val="00B06A6D"/>
    <w:rsid w:val="00B06BB9"/>
    <w:rsid w:val="00B06D4C"/>
    <w:rsid w:val="00B06D51"/>
    <w:rsid w:val="00B06E43"/>
    <w:rsid w:val="00B06E66"/>
    <w:rsid w:val="00B0703B"/>
    <w:rsid w:val="00B07571"/>
    <w:rsid w:val="00B075F6"/>
    <w:rsid w:val="00B07801"/>
    <w:rsid w:val="00B07C9F"/>
    <w:rsid w:val="00B07D37"/>
    <w:rsid w:val="00B07EA8"/>
    <w:rsid w:val="00B07FC6"/>
    <w:rsid w:val="00B100D4"/>
    <w:rsid w:val="00B10190"/>
    <w:rsid w:val="00B10378"/>
    <w:rsid w:val="00B104F1"/>
    <w:rsid w:val="00B1057B"/>
    <w:rsid w:val="00B10A72"/>
    <w:rsid w:val="00B10F60"/>
    <w:rsid w:val="00B10FD2"/>
    <w:rsid w:val="00B1109F"/>
    <w:rsid w:val="00B110D5"/>
    <w:rsid w:val="00B11232"/>
    <w:rsid w:val="00B1125A"/>
    <w:rsid w:val="00B11555"/>
    <w:rsid w:val="00B1156F"/>
    <w:rsid w:val="00B11593"/>
    <w:rsid w:val="00B115D1"/>
    <w:rsid w:val="00B1187F"/>
    <w:rsid w:val="00B11C66"/>
    <w:rsid w:val="00B123F9"/>
    <w:rsid w:val="00B12478"/>
    <w:rsid w:val="00B12932"/>
    <w:rsid w:val="00B12975"/>
    <w:rsid w:val="00B12CC3"/>
    <w:rsid w:val="00B12CE5"/>
    <w:rsid w:val="00B12E28"/>
    <w:rsid w:val="00B12EE7"/>
    <w:rsid w:val="00B12F12"/>
    <w:rsid w:val="00B1301E"/>
    <w:rsid w:val="00B1311C"/>
    <w:rsid w:val="00B132C5"/>
    <w:rsid w:val="00B13332"/>
    <w:rsid w:val="00B133E7"/>
    <w:rsid w:val="00B13856"/>
    <w:rsid w:val="00B13993"/>
    <w:rsid w:val="00B13D00"/>
    <w:rsid w:val="00B140E1"/>
    <w:rsid w:val="00B1455C"/>
    <w:rsid w:val="00B1462B"/>
    <w:rsid w:val="00B14998"/>
    <w:rsid w:val="00B14D24"/>
    <w:rsid w:val="00B14D71"/>
    <w:rsid w:val="00B14F76"/>
    <w:rsid w:val="00B1518C"/>
    <w:rsid w:val="00B152BB"/>
    <w:rsid w:val="00B1541A"/>
    <w:rsid w:val="00B1555C"/>
    <w:rsid w:val="00B1562B"/>
    <w:rsid w:val="00B15893"/>
    <w:rsid w:val="00B158E5"/>
    <w:rsid w:val="00B15D91"/>
    <w:rsid w:val="00B160B6"/>
    <w:rsid w:val="00B16294"/>
    <w:rsid w:val="00B16443"/>
    <w:rsid w:val="00B164ED"/>
    <w:rsid w:val="00B166E8"/>
    <w:rsid w:val="00B168AC"/>
    <w:rsid w:val="00B16B4E"/>
    <w:rsid w:val="00B16C19"/>
    <w:rsid w:val="00B16D6B"/>
    <w:rsid w:val="00B16E0B"/>
    <w:rsid w:val="00B16F1B"/>
    <w:rsid w:val="00B17140"/>
    <w:rsid w:val="00B17646"/>
    <w:rsid w:val="00B17B3F"/>
    <w:rsid w:val="00B17E71"/>
    <w:rsid w:val="00B17E90"/>
    <w:rsid w:val="00B17F21"/>
    <w:rsid w:val="00B201C0"/>
    <w:rsid w:val="00B2022F"/>
    <w:rsid w:val="00B20519"/>
    <w:rsid w:val="00B206B7"/>
    <w:rsid w:val="00B207B9"/>
    <w:rsid w:val="00B20D94"/>
    <w:rsid w:val="00B20E60"/>
    <w:rsid w:val="00B21166"/>
    <w:rsid w:val="00B2127E"/>
    <w:rsid w:val="00B2141B"/>
    <w:rsid w:val="00B2152A"/>
    <w:rsid w:val="00B2162E"/>
    <w:rsid w:val="00B21822"/>
    <w:rsid w:val="00B21A14"/>
    <w:rsid w:val="00B21AB3"/>
    <w:rsid w:val="00B22093"/>
    <w:rsid w:val="00B2225B"/>
    <w:rsid w:val="00B22532"/>
    <w:rsid w:val="00B22623"/>
    <w:rsid w:val="00B22683"/>
    <w:rsid w:val="00B227A8"/>
    <w:rsid w:val="00B22A7F"/>
    <w:rsid w:val="00B22CD5"/>
    <w:rsid w:val="00B22D46"/>
    <w:rsid w:val="00B22E66"/>
    <w:rsid w:val="00B22FAF"/>
    <w:rsid w:val="00B233DD"/>
    <w:rsid w:val="00B23471"/>
    <w:rsid w:val="00B2407B"/>
    <w:rsid w:val="00B24397"/>
    <w:rsid w:val="00B244F6"/>
    <w:rsid w:val="00B245E6"/>
    <w:rsid w:val="00B24672"/>
    <w:rsid w:val="00B248FF"/>
    <w:rsid w:val="00B24FFC"/>
    <w:rsid w:val="00B25076"/>
    <w:rsid w:val="00B2513A"/>
    <w:rsid w:val="00B2519C"/>
    <w:rsid w:val="00B2521C"/>
    <w:rsid w:val="00B25265"/>
    <w:rsid w:val="00B253CD"/>
    <w:rsid w:val="00B25422"/>
    <w:rsid w:val="00B25533"/>
    <w:rsid w:val="00B2553C"/>
    <w:rsid w:val="00B2561C"/>
    <w:rsid w:val="00B256E6"/>
    <w:rsid w:val="00B256ED"/>
    <w:rsid w:val="00B257A3"/>
    <w:rsid w:val="00B2581C"/>
    <w:rsid w:val="00B25921"/>
    <w:rsid w:val="00B25943"/>
    <w:rsid w:val="00B25C01"/>
    <w:rsid w:val="00B25D91"/>
    <w:rsid w:val="00B25D9A"/>
    <w:rsid w:val="00B26023"/>
    <w:rsid w:val="00B2612A"/>
    <w:rsid w:val="00B2623C"/>
    <w:rsid w:val="00B26495"/>
    <w:rsid w:val="00B265AF"/>
    <w:rsid w:val="00B2688B"/>
    <w:rsid w:val="00B268DD"/>
    <w:rsid w:val="00B26B01"/>
    <w:rsid w:val="00B26B19"/>
    <w:rsid w:val="00B26B66"/>
    <w:rsid w:val="00B26EB2"/>
    <w:rsid w:val="00B27096"/>
    <w:rsid w:val="00B27DE4"/>
    <w:rsid w:val="00B27E13"/>
    <w:rsid w:val="00B3048B"/>
    <w:rsid w:val="00B30652"/>
    <w:rsid w:val="00B30715"/>
    <w:rsid w:val="00B30891"/>
    <w:rsid w:val="00B3089C"/>
    <w:rsid w:val="00B30CF6"/>
    <w:rsid w:val="00B30E9E"/>
    <w:rsid w:val="00B30ECF"/>
    <w:rsid w:val="00B3101B"/>
    <w:rsid w:val="00B3110A"/>
    <w:rsid w:val="00B31ABE"/>
    <w:rsid w:val="00B320DA"/>
    <w:rsid w:val="00B3240A"/>
    <w:rsid w:val="00B32497"/>
    <w:rsid w:val="00B324D3"/>
    <w:rsid w:val="00B327E8"/>
    <w:rsid w:val="00B32989"/>
    <w:rsid w:val="00B32ADF"/>
    <w:rsid w:val="00B32B82"/>
    <w:rsid w:val="00B32D39"/>
    <w:rsid w:val="00B33425"/>
    <w:rsid w:val="00B3361C"/>
    <w:rsid w:val="00B337D6"/>
    <w:rsid w:val="00B337D7"/>
    <w:rsid w:val="00B338B8"/>
    <w:rsid w:val="00B33974"/>
    <w:rsid w:val="00B33A92"/>
    <w:rsid w:val="00B33C81"/>
    <w:rsid w:val="00B33CBB"/>
    <w:rsid w:val="00B33CF2"/>
    <w:rsid w:val="00B33FA5"/>
    <w:rsid w:val="00B3402C"/>
    <w:rsid w:val="00B3406D"/>
    <w:rsid w:val="00B340D1"/>
    <w:rsid w:val="00B34272"/>
    <w:rsid w:val="00B342AD"/>
    <w:rsid w:val="00B3437E"/>
    <w:rsid w:val="00B34C42"/>
    <w:rsid w:val="00B34D48"/>
    <w:rsid w:val="00B34E43"/>
    <w:rsid w:val="00B3581A"/>
    <w:rsid w:val="00B35A0B"/>
    <w:rsid w:val="00B35DB5"/>
    <w:rsid w:val="00B35ED7"/>
    <w:rsid w:val="00B36331"/>
    <w:rsid w:val="00B36462"/>
    <w:rsid w:val="00B36791"/>
    <w:rsid w:val="00B36A58"/>
    <w:rsid w:val="00B36AE2"/>
    <w:rsid w:val="00B36AF3"/>
    <w:rsid w:val="00B36BBB"/>
    <w:rsid w:val="00B36E34"/>
    <w:rsid w:val="00B36F42"/>
    <w:rsid w:val="00B37006"/>
    <w:rsid w:val="00B37140"/>
    <w:rsid w:val="00B371D8"/>
    <w:rsid w:val="00B37381"/>
    <w:rsid w:val="00B3749F"/>
    <w:rsid w:val="00B376A7"/>
    <w:rsid w:val="00B376B4"/>
    <w:rsid w:val="00B37735"/>
    <w:rsid w:val="00B377DB"/>
    <w:rsid w:val="00B37CAC"/>
    <w:rsid w:val="00B37DDC"/>
    <w:rsid w:val="00B37F1A"/>
    <w:rsid w:val="00B40071"/>
    <w:rsid w:val="00B40125"/>
    <w:rsid w:val="00B403BE"/>
    <w:rsid w:val="00B404A6"/>
    <w:rsid w:val="00B404C1"/>
    <w:rsid w:val="00B406AC"/>
    <w:rsid w:val="00B40797"/>
    <w:rsid w:val="00B4090F"/>
    <w:rsid w:val="00B40BBF"/>
    <w:rsid w:val="00B41102"/>
    <w:rsid w:val="00B4173B"/>
    <w:rsid w:val="00B418D8"/>
    <w:rsid w:val="00B41B9E"/>
    <w:rsid w:val="00B41E26"/>
    <w:rsid w:val="00B41F84"/>
    <w:rsid w:val="00B42036"/>
    <w:rsid w:val="00B420DB"/>
    <w:rsid w:val="00B4234A"/>
    <w:rsid w:val="00B4267B"/>
    <w:rsid w:val="00B42757"/>
    <w:rsid w:val="00B429AA"/>
    <w:rsid w:val="00B42A4D"/>
    <w:rsid w:val="00B42B18"/>
    <w:rsid w:val="00B42BDA"/>
    <w:rsid w:val="00B42BED"/>
    <w:rsid w:val="00B43087"/>
    <w:rsid w:val="00B43237"/>
    <w:rsid w:val="00B43747"/>
    <w:rsid w:val="00B43924"/>
    <w:rsid w:val="00B43BAB"/>
    <w:rsid w:val="00B43BC3"/>
    <w:rsid w:val="00B43D51"/>
    <w:rsid w:val="00B43D82"/>
    <w:rsid w:val="00B43DF3"/>
    <w:rsid w:val="00B43EC5"/>
    <w:rsid w:val="00B4422B"/>
    <w:rsid w:val="00B442AE"/>
    <w:rsid w:val="00B4437C"/>
    <w:rsid w:val="00B44489"/>
    <w:rsid w:val="00B44577"/>
    <w:rsid w:val="00B446CC"/>
    <w:rsid w:val="00B446D7"/>
    <w:rsid w:val="00B44BFF"/>
    <w:rsid w:val="00B44C99"/>
    <w:rsid w:val="00B44CE6"/>
    <w:rsid w:val="00B44D8C"/>
    <w:rsid w:val="00B44E62"/>
    <w:rsid w:val="00B452E6"/>
    <w:rsid w:val="00B456E3"/>
    <w:rsid w:val="00B456EF"/>
    <w:rsid w:val="00B45829"/>
    <w:rsid w:val="00B45881"/>
    <w:rsid w:val="00B45967"/>
    <w:rsid w:val="00B459EF"/>
    <w:rsid w:val="00B45B97"/>
    <w:rsid w:val="00B46A5E"/>
    <w:rsid w:val="00B46C4D"/>
    <w:rsid w:val="00B46EF4"/>
    <w:rsid w:val="00B4710B"/>
    <w:rsid w:val="00B4725B"/>
    <w:rsid w:val="00B47483"/>
    <w:rsid w:val="00B474D1"/>
    <w:rsid w:val="00B47580"/>
    <w:rsid w:val="00B475C5"/>
    <w:rsid w:val="00B4763B"/>
    <w:rsid w:val="00B4766E"/>
    <w:rsid w:val="00B47811"/>
    <w:rsid w:val="00B47AE1"/>
    <w:rsid w:val="00B47F3C"/>
    <w:rsid w:val="00B47F52"/>
    <w:rsid w:val="00B47FF5"/>
    <w:rsid w:val="00B5014A"/>
    <w:rsid w:val="00B503F5"/>
    <w:rsid w:val="00B50669"/>
    <w:rsid w:val="00B5068D"/>
    <w:rsid w:val="00B50754"/>
    <w:rsid w:val="00B50B33"/>
    <w:rsid w:val="00B50B5B"/>
    <w:rsid w:val="00B50D84"/>
    <w:rsid w:val="00B50FB2"/>
    <w:rsid w:val="00B50FD3"/>
    <w:rsid w:val="00B50FF3"/>
    <w:rsid w:val="00B51007"/>
    <w:rsid w:val="00B5107B"/>
    <w:rsid w:val="00B510E9"/>
    <w:rsid w:val="00B513A8"/>
    <w:rsid w:val="00B513B2"/>
    <w:rsid w:val="00B5175A"/>
    <w:rsid w:val="00B51774"/>
    <w:rsid w:val="00B517A5"/>
    <w:rsid w:val="00B51AA6"/>
    <w:rsid w:val="00B51BC2"/>
    <w:rsid w:val="00B51D0F"/>
    <w:rsid w:val="00B51FD7"/>
    <w:rsid w:val="00B5248B"/>
    <w:rsid w:val="00B5274F"/>
    <w:rsid w:val="00B5277B"/>
    <w:rsid w:val="00B5277F"/>
    <w:rsid w:val="00B5292C"/>
    <w:rsid w:val="00B52CDC"/>
    <w:rsid w:val="00B52CF1"/>
    <w:rsid w:val="00B52DA2"/>
    <w:rsid w:val="00B52F26"/>
    <w:rsid w:val="00B52F43"/>
    <w:rsid w:val="00B53170"/>
    <w:rsid w:val="00B533D8"/>
    <w:rsid w:val="00B533FB"/>
    <w:rsid w:val="00B53402"/>
    <w:rsid w:val="00B53519"/>
    <w:rsid w:val="00B5356B"/>
    <w:rsid w:val="00B535D9"/>
    <w:rsid w:val="00B53CFB"/>
    <w:rsid w:val="00B53E75"/>
    <w:rsid w:val="00B540DE"/>
    <w:rsid w:val="00B540FF"/>
    <w:rsid w:val="00B545E1"/>
    <w:rsid w:val="00B546AE"/>
    <w:rsid w:val="00B54906"/>
    <w:rsid w:val="00B549A6"/>
    <w:rsid w:val="00B54D5C"/>
    <w:rsid w:val="00B54DB5"/>
    <w:rsid w:val="00B5511F"/>
    <w:rsid w:val="00B551A1"/>
    <w:rsid w:val="00B5554D"/>
    <w:rsid w:val="00B5585B"/>
    <w:rsid w:val="00B55AC1"/>
    <w:rsid w:val="00B55B85"/>
    <w:rsid w:val="00B55CC6"/>
    <w:rsid w:val="00B55DAA"/>
    <w:rsid w:val="00B55E22"/>
    <w:rsid w:val="00B5610E"/>
    <w:rsid w:val="00B56604"/>
    <w:rsid w:val="00B5677C"/>
    <w:rsid w:val="00B56A97"/>
    <w:rsid w:val="00B571E9"/>
    <w:rsid w:val="00B5729A"/>
    <w:rsid w:val="00B5744F"/>
    <w:rsid w:val="00B57520"/>
    <w:rsid w:val="00B57524"/>
    <w:rsid w:val="00B5756D"/>
    <w:rsid w:val="00B5756F"/>
    <w:rsid w:val="00B57776"/>
    <w:rsid w:val="00B57840"/>
    <w:rsid w:val="00B578E9"/>
    <w:rsid w:val="00B579E5"/>
    <w:rsid w:val="00B57AEA"/>
    <w:rsid w:val="00B57B48"/>
    <w:rsid w:val="00B57C07"/>
    <w:rsid w:val="00B57D1A"/>
    <w:rsid w:val="00B57E46"/>
    <w:rsid w:val="00B6042B"/>
    <w:rsid w:val="00B605E0"/>
    <w:rsid w:val="00B60684"/>
    <w:rsid w:val="00B607AA"/>
    <w:rsid w:val="00B60946"/>
    <w:rsid w:val="00B60966"/>
    <w:rsid w:val="00B60B92"/>
    <w:rsid w:val="00B60C9E"/>
    <w:rsid w:val="00B60D3E"/>
    <w:rsid w:val="00B60E88"/>
    <w:rsid w:val="00B60ECC"/>
    <w:rsid w:val="00B61029"/>
    <w:rsid w:val="00B6145C"/>
    <w:rsid w:val="00B61469"/>
    <w:rsid w:val="00B6154A"/>
    <w:rsid w:val="00B616AB"/>
    <w:rsid w:val="00B617F1"/>
    <w:rsid w:val="00B61840"/>
    <w:rsid w:val="00B6198C"/>
    <w:rsid w:val="00B61C92"/>
    <w:rsid w:val="00B62024"/>
    <w:rsid w:val="00B6214F"/>
    <w:rsid w:val="00B62241"/>
    <w:rsid w:val="00B62543"/>
    <w:rsid w:val="00B62690"/>
    <w:rsid w:val="00B62904"/>
    <w:rsid w:val="00B62A5A"/>
    <w:rsid w:val="00B62B1B"/>
    <w:rsid w:val="00B62C69"/>
    <w:rsid w:val="00B63191"/>
    <w:rsid w:val="00B63211"/>
    <w:rsid w:val="00B63636"/>
    <w:rsid w:val="00B63680"/>
    <w:rsid w:val="00B63757"/>
    <w:rsid w:val="00B63994"/>
    <w:rsid w:val="00B63AA8"/>
    <w:rsid w:val="00B63AF9"/>
    <w:rsid w:val="00B6404C"/>
    <w:rsid w:val="00B6409B"/>
    <w:rsid w:val="00B643AC"/>
    <w:rsid w:val="00B6455D"/>
    <w:rsid w:val="00B64671"/>
    <w:rsid w:val="00B64687"/>
    <w:rsid w:val="00B64805"/>
    <w:rsid w:val="00B6484E"/>
    <w:rsid w:val="00B64858"/>
    <w:rsid w:val="00B64D0E"/>
    <w:rsid w:val="00B64EC5"/>
    <w:rsid w:val="00B64FB6"/>
    <w:rsid w:val="00B64FD3"/>
    <w:rsid w:val="00B6510F"/>
    <w:rsid w:val="00B6563A"/>
    <w:rsid w:val="00B65646"/>
    <w:rsid w:val="00B65788"/>
    <w:rsid w:val="00B65C75"/>
    <w:rsid w:val="00B65C7E"/>
    <w:rsid w:val="00B65D55"/>
    <w:rsid w:val="00B65D88"/>
    <w:rsid w:val="00B65DEF"/>
    <w:rsid w:val="00B65E71"/>
    <w:rsid w:val="00B65F96"/>
    <w:rsid w:val="00B6618B"/>
    <w:rsid w:val="00B66716"/>
    <w:rsid w:val="00B66719"/>
    <w:rsid w:val="00B668C1"/>
    <w:rsid w:val="00B66CBE"/>
    <w:rsid w:val="00B66CC9"/>
    <w:rsid w:val="00B66D46"/>
    <w:rsid w:val="00B67149"/>
    <w:rsid w:val="00B67298"/>
    <w:rsid w:val="00B67450"/>
    <w:rsid w:val="00B67602"/>
    <w:rsid w:val="00B678F2"/>
    <w:rsid w:val="00B67A84"/>
    <w:rsid w:val="00B67C15"/>
    <w:rsid w:val="00B70090"/>
    <w:rsid w:val="00B70145"/>
    <w:rsid w:val="00B701B7"/>
    <w:rsid w:val="00B7035B"/>
    <w:rsid w:val="00B70475"/>
    <w:rsid w:val="00B70528"/>
    <w:rsid w:val="00B70A2F"/>
    <w:rsid w:val="00B70CC1"/>
    <w:rsid w:val="00B71011"/>
    <w:rsid w:val="00B7101F"/>
    <w:rsid w:val="00B71120"/>
    <w:rsid w:val="00B71768"/>
    <w:rsid w:val="00B7180A"/>
    <w:rsid w:val="00B71844"/>
    <w:rsid w:val="00B71BFE"/>
    <w:rsid w:val="00B71E03"/>
    <w:rsid w:val="00B71E4B"/>
    <w:rsid w:val="00B71E7D"/>
    <w:rsid w:val="00B71E8A"/>
    <w:rsid w:val="00B72213"/>
    <w:rsid w:val="00B72233"/>
    <w:rsid w:val="00B72669"/>
    <w:rsid w:val="00B728B4"/>
    <w:rsid w:val="00B72CEC"/>
    <w:rsid w:val="00B72DB3"/>
    <w:rsid w:val="00B72EC9"/>
    <w:rsid w:val="00B7322D"/>
    <w:rsid w:val="00B73376"/>
    <w:rsid w:val="00B73450"/>
    <w:rsid w:val="00B73486"/>
    <w:rsid w:val="00B73945"/>
    <w:rsid w:val="00B73997"/>
    <w:rsid w:val="00B73A12"/>
    <w:rsid w:val="00B73BE5"/>
    <w:rsid w:val="00B73E25"/>
    <w:rsid w:val="00B742E3"/>
    <w:rsid w:val="00B74430"/>
    <w:rsid w:val="00B74482"/>
    <w:rsid w:val="00B744CE"/>
    <w:rsid w:val="00B74976"/>
    <w:rsid w:val="00B749B6"/>
    <w:rsid w:val="00B75625"/>
    <w:rsid w:val="00B75763"/>
    <w:rsid w:val="00B75A5C"/>
    <w:rsid w:val="00B75DA9"/>
    <w:rsid w:val="00B75E8B"/>
    <w:rsid w:val="00B762D3"/>
    <w:rsid w:val="00B76497"/>
    <w:rsid w:val="00B765A0"/>
    <w:rsid w:val="00B766F8"/>
    <w:rsid w:val="00B7677D"/>
    <w:rsid w:val="00B767D3"/>
    <w:rsid w:val="00B76AEC"/>
    <w:rsid w:val="00B76BED"/>
    <w:rsid w:val="00B76CA0"/>
    <w:rsid w:val="00B76EE4"/>
    <w:rsid w:val="00B76FF6"/>
    <w:rsid w:val="00B776F3"/>
    <w:rsid w:val="00B7784C"/>
    <w:rsid w:val="00B778A1"/>
    <w:rsid w:val="00B779B8"/>
    <w:rsid w:val="00B779BF"/>
    <w:rsid w:val="00B77D40"/>
    <w:rsid w:val="00B77E55"/>
    <w:rsid w:val="00B80294"/>
    <w:rsid w:val="00B806F6"/>
    <w:rsid w:val="00B80C27"/>
    <w:rsid w:val="00B80D6F"/>
    <w:rsid w:val="00B80F6C"/>
    <w:rsid w:val="00B810D0"/>
    <w:rsid w:val="00B81322"/>
    <w:rsid w:val="00B81A92"/>
    <w:rsid w:val="00B81A9C"/>
    <w:rsid w:val="00B81ABF"/>
    <w:rsid w:val="00B8206B"/>
    <w:rsid w:val="00B821DE"/>
    <w:rsid w:val="00B823CF"/>
    <w:rsid w:val="00B824F6"/>
    <w:rsid w:val="00B8270F"/>
    <w:rsid w:val="00B828F4"/>
    <w:rsid w:val="00B8291F"/>
    <w:rsid w:val="00B8292C"/>
    <w:rsid w:val="00B82AF8"/>
    <w:rsid w:val="00B82B4B"/>
    <w:rsid w:val="00B82CE2"/>
    <w:rsid w:val="00B82DCE"/>
    <w:rsid w:val="00B82ECF"/>
    <w:rsid w:val="00B830C2"/>
    <w:rsid w:val="00B8310B"/>
    <w:rsid w:val="00B83130"/>
    <w:rsid w:val="00B83516"/>
    <w:rsid w:val="00B835E1"/>
    <w:rsid w:val="00B83C4A"/>
    <w:rsid w:val="00B83C69"/>
    <w:rsid w:val="00B83D02"/>
    <w:rsid w:val="00B83F43"/>
    <w:rsid w:val="00B83FCE"/>
    <w:rsid w:val="00B84489"/>
    <w:rsid w:val="00B8460F"/>
    <w:rsid w:val="00B84707"/>
    <w:rsid w:val="00B84709"/>
    <w:rsid w:val="00B84987"/>
    <w:rsid w:val="00B84A4C"/>
    <w:rsid w:val="00B84C6E"/>
    <w:rsid w:val="00B84EC1"/>
    <w:rsid w:val="00B852E3"/>
    <w:rsid w:val="00B853AA"/>
    <w:rsid w:val="00B855F5"/>
    <w:rsid w:val="00B85602"/>
    <w:rsid w:val="00B85694"/>
    <w:rsid w:val="00B8575E"/>
    <w:rsid w:val="00B85A8E"/>
    <w:rsid w:val="00B85D13"/>
    <w:rsid w:val="00B85D93"/>
    <w:rsid w:val="00B862AB"/>
    <w:rsid w:val="00B864BA"/>
    <w:rsid w:val="00B86652"/>
    <w:rsid w:val="00B8676A"/>
    <w:rsid w:val="00B86962"/>
    <w:rsid w:val="00B86C52"/>
    <w:rsid w:val="00B86D4C"/>
    <w:rsid w:val="00B86F64"/>
    <w:rsid w:val="00B87062"/>
    <w:rsid w:val="00B87422"/>
    <w:rsid w:val="00B875F1"/>
    <w:rsid w:val="00B87607"/>
    <w:rsid w:val="00B87B4C"/>
    <w:rsid w:val="00B87C8F"/>
    <w:rsid w:val="00B87D57"/>
    <w:rsid w:val="00B87E7C"/>
    <w:rsid w:val="00B90011"/>
    <w:rsid w:val="00B905B7"/>
    <w:rsid w:val="00B906C1"/>
    <w:rsid w:val="00B9082D"/>
    <w:rsid w:val="00B909C4"/>
    <w:rsid w:val="00B91140"/>
    <w:rsid w:val="00B9147F"/>
    <w:rsid w:val="00B91517"/>
    <w:rsid w:val="00B91866"/>
    <w:rsid w:val="00B91891"/>
    <w:rsid w:val="00B91976"/>
    <w:rsid w:val="00B91AE4"/>
    <w:rsid w:val="00B91BBE"/>
    <w:rsid w:val="00B91C50"/>
    <w:rsid w:val="00B91CFC"/>
    <w:rsid w:val="00B921A8"/>
    <w:rsid w:val="00B9222D"/>
    <w:rsid w:val="00B923B8"/>
    <w:rsid w:val="00B9247C"/>
    <w:rsid w:val="00B926AC"/>
    <w:rsid w:val="00B926E6"/>
    <w:rsid w:val="00B92747"/>
    <w:rsid w:val="00B92950"/>
    <w:rsid w:val="00B92B67"/>
    <w:rsid w:val="00B92C7A"/>
    <w:rsid w:val="00B93143"/>
    <w:rsid w:val="00B93205"/>
    <w:rsid w:val="00B93474"/>
    <w:rsid w:val="00B9347A"/>
    <w:rsid w:val="00B93B6C"/>
    <w:rsid w:val="00B93C1F"/>
    <w:rsid w:val="00B940D8"/>
    <w:rsid w:val="00B940E5"/>
    <w:rsid w:val="00B942F1"/>
    <w:rsid w:val="00B94721"/>
    <w:rsid w:val="00B9493D"/>
    <w:rsid w:val="00B94949"/>
    <w:rsid w:val="00B949A3"/>
    <w:rsid w:val="00B94BFC"/>
    <w:rsid w:val="00B94CEF"/>
    <w:rsid w:val="00B94D4A"/>
    <w:rsid w:val="00B94FDA"/>
    <w:rsid w:val="00B95113"/>
    <w:rsid w:val="00B95133"/>
    <w:rsid w:val="00B95913"/>
    <w:rsid w:val="00B95937"/>
    <w:rsid w:val="00B9598E"/>
    <w:rsid w:val="00B95C69"/>
    <w:rsid w:val="00B95F79"/>
    <w:rsid w:val="00B960B7"/>
    <w:rsid w:val="00B960CA"/>
    <w:rsid w:val="00B96498"/>
    <w:rsid w:val="00B964C1"/>
    <w:rsid w:val="00B96636"/>
    <w:rsid w:val="00B966C1"/>
    <w:rsid w:val="00B96815"/>
    <w:rsid w:val="00B96B66"/>
    <w:rsid w:val="00B96BB4"/>
    <w:rsid w:val="00B97524"/>
    <w:rsid w:val="00B97749"/>
    <w:rsid w:val="00B97825"/>
    <w:rsid w:val="00B97A1E"/>
    <w:rsid w:val="00B97AC9"/>
    <w:rsid w:val="00B97B9E"/>
    <w:rsid w:val="00B97D3C"/>
    <w:rsid w:val="00B97D99"/>
    <w:rsid w:val="00B97F18"/>
    <w:rsid w:val="00BA024C"/>
    <w:rsid w:val="00BA0495"/>
    <w:rsid w:val="00BA05C7"/>
    <w:rsid w:val="00BA062E"/>
    <w:rsid w:val="00BA092D"/>
    <w:rsid w:val="00BA0EDC"/>
    <w:rsid w:val="00BA109B"/>
    <w:rsid w:val="00BA10CF"/>
    <w:rsid w:val="00BA1146"/>
    <w:rsid w:val="00BA15F6"/>
    <w:rsid w:val="00BA18E9"/>
    <w:rsid w:val="00BA19B1"/>
    <w:rsid w:val="00BA1C0A"/>
    <w:rsid w:val="00BA1FE1"/>
    <w:rsid w:val="00BA2223"/>
    <w:rsid w:val="00BA2311"/>
    <w:rsid w:val="00BA260B"/>
    <w:rsid w:val="00BA26E1"/>
    <w:rsid w:val="00BA2D54"/>
    <w:rsid w:val="00BA2F2E"/>
    <w:rsid w:val="00BA2FD8"/>
    <w:rsid w:val="00BA312C"/>
    <w:rsid w:val="00BA3354"/>
    <w:rsid w:val="00BA3990"/>
    <w:rsid w:val="00BA3A64"/>
    <w:rsid w:val="00BA3ABE"/>
    <w:rsid w:val="00BA3BEA"/>
    <w:rsid w:val="00BA3D52"/>
    <w:rsid w:val="00BA4050"/>
    <w:rsid w:val="00BA41C1"/>
    <w:rsid w:val="00BA44A0"/>
    <w:rsid w:val="00BA4595"/>
    <w:rsid w:val="00BA48BF"/>
    <w:rsid w:val="00BA4A28"/>
    <w:rsid w:val="00BA4FF1"/>
    <w:rsid w:val="00BA5020"/>
    <w:rsid w:val="00BA50E1"/>
    <w:rsid w:val="00BA54E4"/>
    <w:rsid w:val="00BA5567"/>
    <w:rsid w:val="00BA56FC"/>
    <w:rsid w:val="00BA5C8C"/>
    <w:rsid w:val="00BA5D0C"/>
    <w:rsid w:val="00BA5FD0"/>
    <w:rsid w:val="00BA6275"/>
    <w:rsid w:val="00BA68DA"/>
    <w:rsid w:val="00BA68FA"/>
    <w:rsid w:val="00BA6968"/>
    <w:rsid w:val="00BA6C60"/>
    <w:rsid w:val="00BA743F"/>
    <w:rsid w:val="00BA7496"/>
    <w:rsid w:val="00BA74BB"/>
    <w:rsid w:val="00BA7530"/>
    <w:rsid w:val="00BA773C"/>
    <w:rsid w:val="00BA7DC3"/>
    <w:rsid w:val="00BA7DC8"/>
    <w:rsid w:val="00BA7DD4"/>
    <w:rsid w:val="00BA7EBE"/>
    <w:rsid w:val="00BA7EE6"/>
    <w:rsid w:val="00BB0227"/>
    <w:rsid w:val="00BB0278"/>
    <w:rsid w:val="00BB02EF"/>
    <w:rsid w:val="00BB04A4"/>
    <w:rsid w:val="00BB04F8"/>
    <w:rsid w:val="00BB0BEA"/>
    <w:rsid w:val="00BB0CEA"/>
    <w:rsid w:val="00BB0D0B"/>
    <w:rsid w:val="00BB0E44"/>
    <w:rsid w:val="00BB0EB0"/>
    <w:rsid w:val="00BB0F7B"/>
    <w:rsid w:val="00BB10AE"/>
    <w:rsid w:val="00BB1231"/>
    <w:rsid w:val="00BB12EC"/>
    <w:rsid w:val="00BB12F9"/>
    <w:rsid w:val="00BB135E"/>
    <w:rsid w:val="00BB14D8"/>
    <w:rsid w:val="00BB16B8"/>
    <w:rsid w:val="00BB18AF"/>
    <w:rsid w:val="00BB1921"/>
    <w:rsid w:val="00BB1A0D"/>
    <w:rsid w:val="00BB1A1B"/>
    <w:rsid w:val="00BB1D35"/>
    <w:rsid w:val="00BB2208"/>
    <w:rsid w:val="00BB272E"/>
    <w:rsid w:val="00BB2846"/>
    <w:rsid w:val="00BB2870"/>
    <w:rsid w:val="00BB2927"/>
    <w:rsid w:val="00BB2C37"/>
    <w:rsid w:val="00BB2CEB"/>
    <w:rsid w:val="00BB2DC3"/>
    <w:rsid w:val="00BB2E92"/>
    <w:rsid w:val="00BB2E9E"/>
    <w:rsid w:val="00BB2EC1"/>
    <w:rsid w:val="00BB35AA"/>
    <w:rsid w:val="00BB3628"/>
    <w:rsid w:val="00BB3AB3"/>
    <w:rsid w:val="00BB3B56"/>
    <w:rsid w:val="00BB3C5B"/>
    <w:rsid w:val="00BB3D45"/>
    <w:rsid w:val="00BB3DF0"/>
    <w:rsid w:val="00BB3F78"/>
    <w:rsid w:val="00BB40F7"/>
    <w:rsid w:val="00BB4300"/>
    <w:rsid w:val="00BB4792"/>
    <w:rsid w:val="00BB4826"/>
    <w:rsid w:val="00BB485F"/>
    <w:rsid w:val="00BB4A4B"/>
    <w:rsid w:val="00BB4BDE"/>
    <w:rsid w:val="00BB4DB1"/>
    <w:rsid w:val="00BB5066"/>
    <w:rsid w:val="00BB50E4"/>
    <w:rsid w:val="00BB51C2"/>
    <w:rsid w:val="00BB58C9"/>
    <w:rsid w:val="00BB5A4F"/>
    <w:rsid w:val="00BB5BB8"/>
    <w:rsid w:val="00BB5F30"/>
    <w:rsid w:val="00BB5FA4"/>
    <w:rsid w:val="00BB6280"/>
    <w:rsid w:val="00BB63BA"/>
    <w:rsid w:val="00BB6508"/>
    <w:rsid w:val="00BB690B"/>
    <w:rsid w:val="00BB6A59"/>
    <w:rsid w:val="00BB6C26"/>
    <w:rsid w:val="00BB6D28"/>
    <w:rsid w:val="00BB6EF9"/>
    <w:rsid w:val="00BB6F45"/>
    <w:rsid w:val="00BB72E3"/>
    <w:rsid w:val="00BB7410"/>
    <w:rsid w:val="00BB757A"/>
    <w:rsid w:val="00BB7594"/>
    <w:rsid w:val="00BB78B4"/>
    <w:rsid w:val="00BB7924"/>
    <w:rsid w:val="00BB7964"/>
    <w:rsid w:val="00BB7CDE"/>
    <w:rsid w:val="00BB7E86"/>
    <w:rsid w:val="00BC015A"/>
    <w:rsid w:val="00BC03DF"/>
    <w:rsid w:val="00BC0825"/>
    <w:rsid w:val="00BC093C"/>
    <w:rsid w:val="00BC0F52"/>
    <w:rsid w:val="00BC1302"/>
    <w:rsid w:val="00BC13DB"/>
    <w:rsid w:val="00BC1496"/>
    <w:rsid w:val="00BC14C3"/>
    <w:rsid w:val="00BC1572"/>
    <w:rsid w:val="00BC159E"/>
    <w:rsid w:val="00BC1DC5"/>
    <w:rsid w:val="00BC2032"/>
    <w:rsid w:val="00BC2232"/>
    <w:rsid w:val="00BC24FD"/>
    <w:rsid w:val="00BC259E"/>
    <w:rsid w:val="00BC2D49"/>
    <w:rsid w:val="00BC2ED3"/>
    <w:rsid w:val="00BC3275"/>
    <w:rsid w:val="00BC33B1"/>
    <w:rsid w:val="00BC3470"/>
    <w:rsid w:val="00BC3584"/>
    <w:rsid w:val="00BC394A"/>
    <w:rsid w:val="00BC3B60"/>
    <w:rsid w:val="00BC3BFE"/>
    <w:rsid w:val="00BC3D48"/>
    <w:rsid w:val="00BC3DEB"/>
    <w:rsid w:val="00BC4066"/>
    <w:rsid w:val="00BC418A"/>
    <w:rsid w:val="00BC41B5"/>
    <w:rsid w:val="00BC41C5"/>
    <w:rsid w:val="00BC421B"/>
    <w:rsid w:val="00BC428F"/>
    <w:rsid w:val="00BC42C5"/>
    <w:rsid w:val="00BC466E"/>
    <w:rsid w:val="00BC46D7"/>
    <w:rsid w:val="00BC46E1"/>
    <w:rsid w:val="00BC490D"/>
    <w:rsid w:val="00BC4ABF"/>
    <w:rsid w:val="00BC4BD2"/>
    <w:rsid w:val="00BC4D0D"/>
    <w:rsid w:val="00BC4D3A"/>
    <w:rsid w:val="00BC4D77"/>
    <w:rsid w:val="00BC509A"/>
    <w:rsid w:val="00BC5105"/>
    <w:rsid w:val="00BC5258"/>
    <w:rsid w:val="00BC591E"/>
    <w:rsid w:val="00BC5B63"/>
    <w:rsid w:val="00BC5DBA"/>
    <w:rsid w:val="00BC6053"/>
    <w:rsid w:val="00BC620B"/>
    <w:rsid w:val="00BC64AE"/>
    <w:rsid w:val="00BC64C6"/>
    <w:rsid w:val="00BC6738"/>
    <w:rsid w:val="00BC67C4"/>
    <w:rsid w:val="00BC6C60"/>
    <w:rsid w:val="00BC6F8D"/>
    <w:rsid w:val="00BC7041"/>
    <w:rsid w:val="00BC71CE"/>
    <w:rsid w:val="00BC725E"/>
    <w:rsid w:val="00BC73F9"/>
    <w:rsid w:val="00BC7411"/>
    <w:rsid w:val="00BC7431"/>
    <w:rsid w:val="00BC746A"/>
    <w:rsid w:val="00BC747C"/>
    <w:rsid w:val="00BC778F"/>
    <w:rsid w:val="00BC7B3D"/>
    <w:rsid w:val="00BC7D28"/>
    <w:rsid w:val="00BC7E1A"/>
    <w:rsid w:val="00BD0381"/>
    <w:rsid w:val="00BD09FB"/>
    <w:rsid w:val="00BD0A30"/>
    <w:rsid w:val="00BD0B62"/>
    <w:rsid w:val="00BD0C46"/>
    <w:rsid w:val="00BD0FF1"/>
    <w:rsid w:val="00BD0FF9"/>
    <w:rsid w:val="00BD11F8"/>
    <w:rsid w:val="00BD12BD"/>
    <w:rsid w:val="00BD13E5"/>
    <w:rsid w:val="00BD1440"/>
    <w:rsid w:val="00BD16BC"/>
    <w:rsid w:val="00BD16F1"/>
    <w:rsid w:val="00BD188F"/>
    <w:rsid w:val="00BD1A91"/>
    <w:rsid w:val="00BD1AD1"/>
    <w:rsid w:val="00BD207C"/>
    <w:rsid w:val="00BD20CE"/>
    <w:rsid w:val="00BD2179"/>
    <w:rsid w:val="00BD25FC"/>
    <w:rsid w:val="00BD26B6"/>
    <w:rsid w:val="00BD2B49"/>
    <w:rsid w:val="00BD2B78"/>
    <w:rsid w:val="00BD2DE6"/>
    <w:rsid w:val="00BD2F8A"/>
    <w:rsid w:val="00BD3096"/>
    <w:rsid w:val="00BD321A"/>
    <w:rsid w:val="00BD35F1"/>
    <w:rsid w:val="00BD3619"/>
    <w:rsid w:val="00BD364B"/>
    <w:rsid w:val="00BD36E8"/>
    <w:rsid w:val="00BD3833"/>
    <w:rsid w:val="00BD38DD"/>
    <w:rsid w:val="00BD3A5F"/>
    <w:rsid w:val="00BD3E78"/>
    <w:rsid w:val="00BD3E86"/>
    <w:rsid w:val="00BD3F69"/>
    <w:rsid w:val="00BD420C"/>
    <w:rsid w:val="00BD448C"/>
    <w:rsid w:val="00BD45B0"/>
    <w:rsid w:val="00BD4835"/>
    <w:rsid w:val="00BD49FC"/>
    <w:rsid w:val="00BD4A89"/>
    <w:rsid w:val="00BD4C17"/>
    <w:rsid w:val="00BD4C45"/>
    <w:rsid w:val="00BD500B"/>
    <w:rsid w:val="00BD529D"/>
    <w:rsid w:val="00BD55D4"/>
    <w:rsid w:val="00BD57A8"/>
    <w:rsid w:val="00BD57E0"/>
    <w:rsid w:val="00BD5A87"/>
    <w:rsid w:val="00BD5C22"/>
    <w:rsid w:val="00BD5C27"/>
    <w:rsid w:val="00BD5F5C"/>
    <w:rsid w:val="00BD5F73"/>
    <w:rsid w:val="00BD6013"/>
    <w:rsid w:val="00BD6204"/>
    <w:rsid w:val="00BD621F"/>
    <w:rsid w:val="00BD64FB"/>
    <w:rsid w:val="00BD68C4"/>
    <w:rsid w:val="00BD6C4C"/>
    <w:rsid w:val="00BD6F97"/>
    <w:rsid w:val="00BD70DA"/>
    <w:rsid w:val="00BD75F6"/>
    <w:rsid w:val="00BD7607"/>
    <w:rsid w:val="00BD777B"/>
    <w:rsid w:val="00BD79A4"/>
    <w:rsid w:val="00BD7A78"/>
    <w:rsid w:val="00BD7FB0"/>
    <w:rsid w:val="00BE01CD"/>
    <w:rsid w:val="00BE02E5"/>
    <w:rsid w:val="00BE03B7"/>
    <w:rsid w:val="00BE03E6"/>
    <w:rsid w:val="00BE04D9"/>
    <w:rsid w:val="00BE0597"/>
    <w:rsid w:val="00BE064A"/>
    <w:rsid w:val="00BE0729"/>
    <w:rsid w:val="00BE075B"/>
    <w:rsid w:val="00BE07B8"/>
    <w:rsid w:val="00BE0C35"/>
    <w:rsid w:val="00BE0E44"/>
    <w:rsid w:val="00BE0EBB"/>
    <w:rsid w:val="00BE0EBE"/>
    <w:rsid w:val="00BE0F08"/>
    <w:rsid w:val="00BE116F"/>
    <w:rsid w:val="00BE14FF"/>
    <w:rsid w:val="00BE1929"/>
    <w:rsid w:val="00BE19F3"/>
    <w:rsid w:val="00BE1DAD"/>
    <w:rsid w:val="00BE1F8E"/>
    <w:rsid w:val="00BE1FA6"/>
    <w:rsid w:val="00BE2117"/>
    <w:rsid w:val="00BE2133"/>
    <w:rsid w:val="00BE2236"/>
    <w:rsid w:val="00BE24C1"/>
    <w:rsid w:val="00BE258F"/>
    <w:rsid w:val="00BE268E"/>
    <w:rsid w:val="00BE2790"/>
    <w:rsid w:val="00BE2871"/>
    <w:rsid w:val="00BE28AC"/>
    <w:rsid w:val="00BE2A25"/>
    <w:rsid w:val="00BE2AA6"/>
    <w:rsid w:val="00BE30C3"/>
    <w:rsid w:val="00BE324D"/>
    <w:rsid w:val="00BE3600"/>
    <w:rsid w:val="00BE37DD"/>
    <w:rsid w:val="00BE3B47"/>
    <w:rsid w:val="00BE3CC1"/>
    <w:rsid w:val="00BE3DA3"/>
    <w:rsid w:val="00BE3E35"/>
    <w:rsid w:val="00BE3E42"/>
    <w:rsid w:val="00BE3F4E"/>
    <w:rsid w:val="00BE4039"/>
    <w:rsid w:val="00BE46C7"/>
    <w:rsid w:val="00BE4773"/>
    <w:rsid w:val="00BE4A8F"/>
    <w:rsid w:val="00BE4BB4"/>
    <w:rsid w:val="00BE4D41"/>
    <w:rsid w:val="00BE4D6E"/>
    <w:rsid w:val="00BE4FB7"/>
    <w:rsid w:val="00BE50AE"/>
    <w:rsid w:val="00BE52D3"/>
    <w:rsid w:val="00BE530E"/>
    <w:rsid w:val="00BE5326"/>
    <w:rsid w:val="00BE533D"/>
    <w:rsid w:val="00BE534C"/>
    <w:rsid w:val="00BE5451"/>
    <w:rsid w:val="00BE586C"/>
    <w:rsid w:val="00BE5B0E"/>
    <w:rsid w:val="00BE5B10"/>
    <w:rsid w:val="00BE5C45"/>
    <w:rsid w:val="00BE5C48"/>
    <w:rsid w:val="00BE5DEC"/>
    <w:rsid w:val="00BE6020"/>
    <w:rsid w:val="00BE6520"/>
    <w:rsid w:val="00BE6567"/>
    <w:rsid w:val="00BE6788"/>
    <w:rsid w:val="00BE67DC"/>
    <w:rsid w:val="00BE6828"/>
    <w:rsid w:val="00BE68E7"/>
    <w:rsid w:val="00BE690E"/>
    <w:rsid w:val="00BE6933"/>
    <w:rsid w:val="00BE6984"/>
    <w:rsid w:val="00BE6B34"/>
    <w:rsid w:val="00BE70DB"/>
    <w:rsid w:val="00BE7462"/>
    <w:rsid w:val="00BE75D1"/>
    <w:rsid w:val="00BE7817"/>
    <w:rsid w:val="00BE7A2A"/>
    <w:rsid w:val="00BE7AB6"/>
    <w:rsid w:val="00BE7E80"/>
    <w:rsid w:val="00BE7F35"/>
    <w:rsid w:val="00BE7FA5"/>
    <w:rsid w:val="00BE7FD7"/>
    <w:rsid w:val="00BF03FE"/>
    <w:rsid w:val="00BF06EA"/>
    <w:rsid w:val="00BF0F32"/>
    <w:rsid w:val="00BF0F8D"/>
    <w:rsid w:val="00BF100D"/>
    <w:rsid w:val="00BF113F"/>
    <w:rsid w:val="00BF1173"/>
    <w:rsid w:val="00BF1642"/>
    <w:rsid w:val="00BF16D0"/>
    <w:rsid w:val="00BF1730"/>
    <w:rsid w:val="00BF1936"/>
    <w:rsid w:val="00BF1CA3"/>
    <w:rsid w:val="00BF1CAD"/>
    <w:rsid w:val="00BF1DBB"/>
    <w:rsid w:val="00BF1FD8"/>
    <w:rsid w:val="00BF22E0"/>
    <w:rsid w:val="00BF2428"/>
    <w:rsid w:val="00BF24B9"/>
    <w:rsid w:val="00BF26B1"/>
    <w:rsid w:val="00BF2707"/>
    <w:rsid w:val="00BF287A"/>
    <w:rsid w:val="00BF28D7"/>
    <w:rsid w:val="00BF2A6F"/>
    <w:rsid w:val="00BF2A71"/>
    <w:rsid w:val="00BF2AB4"/>
    <w:rsid w:val="00BF2B5E"/>
    <w:rsid w:val="00BF2DE3"/>
    <w:rsid w:val="00BF2E25"/>
    <w:rsid w:val="00BF30F6"/>
    <w:rsid w:val="00BF3140"/>
    <w:rsid w:val="00BF31D8"/>
    <w:rsid w:val="00BF3540"/>
    <w:rsid w:val="00BF37DD"/>
    <w:rsid w:val="00BF384E"/>
    <w:rsid w:val="00BF3930"/>
    <w:rsid w:val="00BF393E"/>
    <w:rsid w:val="00BF3A73"/>
    <w:rsid w:val="00BF3A80"/>
    <w:rsid w:val="00BF3B44"/>
    <w:rsid w:val="00BF3C06"/>
    <w:rsid w:val="00BF3CD2"/>
    <w:rsid w:val="00BF3CE6"/>
    <w:rsid w:val="00BF3D74"/>
    <w:rsid w:val="00BF3E20"/>
    <w:rsid w:val="00BF3E5C"/>
    <w:rsid w:val="00BF3FB6"/>
    <w:rsid w:val="00BF4145"/>
    <w:rsid w:val="00BF4C7A"/>
    <w:rsid w:val="00BF4F57"/>
    <w:rsid w:val="00BF512B"/>
    <w:rsid w:val="00BF53B3"/>
    <w:rsid w:val="00BF58AC"/>
    <w:rsid w:val="00BF58B9"/>
    <w:rsid w:val="00BF5914"/>
    <w:rsid w:val="00BF5989"/>
    <w:rsid w:val="00BF5A18"/>
    <w:rsid w:val="00BF5E19"/>
    <w:rsid w:val="00BF5E3A"/>
    <w:rsid w:val="00BF617B"/>
    <w:rsid w:val="00BF64A4"/>
    <w:rsid w:val="00BF650E"/>
    <w:rsid w:val="00BF65C7"/>
    <w:rsid w:val="00BF69C9"/>
    <w:rsid w:val="00BF6B9D"/>
    <w:rsid w:val="00BF6D23"/>
    <w:rsid w:val="00BF6D94"/>
    <w:rsid w:val="00BF6EF6"/>
    <w:rsid w:val="00BF70CB"/>
    <w:rsid w:val="00BF7107"/>
    <w:rsid w:val="00BF72B4"/>
    <w:rsid w:val="00BF745A"/>
    <w:rsid w:val="00BF747B"/>
    <w:rsid w:val="00BF79FE"/>
    <w:rsid w:val="00BF7B51"/>
    <w:rsid w:val="00BF7CAE"/>
    <w:rsid w:val="00BF7DDA"/>
    <w:rsid w:val="00BF7F21"/>
    <w:rsid w:val="00C00106"/>
    <w:rsid w:val="00C002A6"/>
    <w:rsid w:val="00C00516"/>
    <w:rsid w:val="00C00936"/>
    <w:rsid w:val="00C00A6F"/>
    <w:rsid w:val="00C00AAB"/>
    <w:rsid w:val="00C00B96"/>
    <w:rsid w:val="00C00CDC"/>
    <w:rsid w:val="00C00D96"/>
    <w:rsid w:val="00C00EF0"/>
    <w:rsid w:val="00C00F69"/>
    <w:rsid w:val="00C010DC"/>
    <w:rsid w:val="00C011B5"/>
    <w:rsid w:val="00C011F5"/>
    <w:rsid w:val="00C0125E"/>
    <w:rsid w:val="00C01430"/>
    <w:rsid w:val="00C01594"/>
    <w:rsid w:val="00C01640"/>
    <w:rsid w:val="00C01647"/>
    <w:rsid w:val="00C0178F"/>
    <w:rsid w:val="00C0197E"/>
    <w:rsid w:val="00C0199E"/>
    <w:rsid w:val="00C01C4E"/>
    <w:rsid w:val="00C01C90"/>
    <w:rsid w:val="00C01D41"/>
    <w:rsid w:val="00C02194"/>
    <w:rsid w:val="00C0222B"/>
    <w:rsid w:val="00C0225A"/>
    <w:rsid w:val="00C02326"/>
    <w:rsid w:val="00C02350"/>
    <w:rsid w:val="00C0249A"/>
    <w:rsid w:val="00C026D7"/>
    <w:rsid w:val="00C028F7"/>
    <w:rsid w:val="00C02A4E"/>
    <w:rsid w:val="00C02B3B"/>
    <w:rsid w:val="00C02C29"/>
    <w:rsid w:val="00C02C2C"/>
    <w:rsid w:val="00C02F6D"/>
    <w:rsid w:val="00C02FED"/>
    <w:rsid w:val="00C030B2"/>
    <w:rsid w:val="00C03102"/>
    <w:rsid w:val="00C03294"/>
    <w:rsid w:val="00C034EE"/>
    <w:rsid w:val="00C03575"/>
    <w:rsid w:val="00C0360F"/>
    <w:rsid w:val="00C0363A"/>
    <w:rsid w:val="00C036F0"/>
    <w:rsid w:val="00C03B86"/>
    <w:rsid w:val="00C03E1A"/>
    <w:rsid w:val="00C03E8D"/>
    <w:rsid w:val="00C03EE9"/>
    <w:rsid w:val="00C04120"/>
    <w:rsid w:val="00C04765"/>
    <w:rsid w:val="00C048F9"/>
    <w:rsid w:val="00C0490D"/>
    <w:rsid w:val="00C04A34"/>
    <w:rsid w:val="00C04B98"/>
    <w:rsid w:val="00C04E8B"/>
    <w:rsid w:val="00C050A8"/>
    <w:rsid w:val="00C05427"/>
    <w:rsid w:val="00C05618"/>
    <w:rsid w:val="00C05871"/>
    <w:rsid w:val="00C058F4"/>
    <w:rsid w:val="00C05AF0"/>
    <w:rsid w:val="00C05B30"/>
    <w:rsid w:val="00C05E21"/>
    <w:rsid w:val="00C05F8F"/>
    <w:rsid w:val="00C060F3"/>
    <w:rsid w:val="00C06374"/>
    <w:rsid w:val="00C06568"/>
    <w:rsid w:val="00C06631"/>
    <w:rsid w:val="00C06B63"/>
    <w:rsid w:val="00C06EB8"/>
    <w:rsid w:val="00C07138"/>
    <w:rsid w:val="00C074B8"/>
    <w:rsid w:val="00C074BB"/>
    <w:rsid w:val="00C075A6"/>
    <w:rsid w:val="00C07872"/>
    <w:rsid w:val="00C07B87"/>
    <w:rsid w:val="00C07CBE"/>
    <w:rsid w:val="00C07D6D"/>
    <w:rsid w:val="00C10039"/>
    <w:rsid w:val="00C107E7"/>
    <w:rsid w:val="00C10927"/>
    <w:rsid w:val="00C109B1"/>
    <w:rsid w:val="00C10A76"/>
    <w:rsid w:val="00C10D9B"/>
    <w:rsid w:val="00C10DFF"/>
    <w:rsid w:val="00C11454"/>
    <w:rsid w:val="00C11515"/>
    <w:rsid w:val="00C115E2"/>
    <w:rsid w:val="00C11668"/>
    <w:rsid w:val="00C1192E"/>
    <w:rsid w:val="00C11B39"/>
    <w:rsid w:val="00C11CB6"/>
    <w:rsid w:val="00C11CBC"/>
    <w:rsid w:val="00C11D42"/>
    <w:rsid w:val="00C121AD"/>
    <w:rsid w:val="00C12363"/>
    <w:rsid w:val="00C12590"/>
    <w:rsid w:val="00C1260E"/>
    <w:rsid w:val="00C12742"/>
    <w:rsid w:val="00C127DE"/>
    <w:rsid w:val="00C12800"/>
    <w:rsid w:val="00C128D3"/>
    <w:rsid w:val="00C12B9D"/>
    <w:rsid w:val="00C12E5B"/>
    <w:rsid w:val="00C12EC7"/>
    <w:rsid w:val="00C130B3"/>
    <w:rsid w:val="00C1311B"/>
    <w:rsid w:val="00C13194"/>
    <w:rsid w:val="00C132F1"/>
    <w:rsid w:val="00C13319"/>
    <w:rsid w:val="00C134FD"/>
    <w:rsid w:val="00C13518"/>
    <w:rsid w:val="00C13890"/>
    <w:rsid w:val="00C13BCE"/>
    <w:rsid w:val="00C13DE1"/>
    <w:rsid w:val="00C13F0C"/>
    <w:rsid w:val="00C13F68"/>
    <w:rsid w:val="00C1443A"/>
    <w:rsid w:val="00C146CA"/>
    <w:rsid w:val="00C1470D"/>
    <w:rsid w:val="00C14718"/>
    <w:rsid w:val="00C1472C"/>
    <w:rsid w:val="00C1478B"/>
    <w:rsid w:val="00C148EB"/>
    <w:rsid w:val="00C14A2C"/>
    <w:rsid w:val="00C14C4B"/>
    <w:rsid w:val="00C14E78"/>
    <w:rsid w:val="00C14F6C"/>
    <w:rsid w:val="00C150FA"/>
    <w:rsid w:val="00C1530A"/>
    <w:rsid w:val="00C15327"/>
    <w:rsid w:val="00C15506"/>
    <w:rsid w:val="00C155E8"/>
    <w:rsid w:val="00C15613"/>
    <w:rsid w:val="00C1567B"/>
    <w:rsid w:val="00C1574A"/>
    <w:rsid w:val="00C1578C"/>
    <w:rsid w:val="00C157D2"/>
    <w:rsid w:val="00C15848"/>
    <w:rsid w:val="00C15A95"/>
    <w:rsid w:val="00C15B0B"/>
    <w:rsid w:val="00C15BBB"/>
    <w:rsid w:val="00C15C2F"/>
    <w:rsid w:val="00C162F3"/>
    <w:rsid w:val="00C16503"/>
    <w:rsid w:val="00C16785"/>
    <w:rsid w:val="00C1680C"/>
    <w:rsid w:val="00C16ABC"/>
    <w:rsid w:val="00C16C29"/>
    <w:rsid w:val="00C16C2E"/>
    <w:rsid w:val="00C16D63"/>
    <w:rsid w:val="00C17098"/>
    <w:rsid w:val="00C17353"/>
    <w:rsid w:val="00C174F4"/>
    <w:rsid w:val="00C175A6"/>
    <w:rsid w:val="00C17694"/>
    <w:rsid w:val="00C17A90"/>
    <w:rsid w:val="00C17DC2"/>
    <w:rsid w:val="00C17E98"/>
    <w:rsid w:val="00C2008A"/>
    <w:rsid w:val="00C200A0"/>
    <w:rsid w:val="00C20197"/>
    <w:rsid w:val="00C20365"/>
    <w:rsid w:val="00C2044D"/>
    <w:rsid w:val="00C20893"/>
    <w:rsid w:val="00C20922"/>
    <w:rsid w:val="00C209AD"/>
    <w:rsid w:val="00C209C7"/>
    <w:rsid w:val="00C20A44"/>
    <w:rsid w:val="00C20DE3"/>
    <w:rsid w:val="00C20E39"/>
    <w:rsid w:val="00C21155"/>
    <w:rsid w:val="00C213EF"/>
    <w:rsid w:val="00C21471"/>
    <w:rsid w:val="00C21563"/>
    <w:rsid w:val="00C21A01"/>
    <w:rsid w:val="00C21A26"/>
    <w:rsid w:val="00C21B23"/>
    <w:rsid w:val="00C21B35"/>
    <w:rsid w:val="00C21BBD"/>
    <w:rsid w:val="00C21C81"/>
    <w:rsid w:val="00C21DEF"/>
    <w:rsid w:val="00C2240A"/>
    <w:rsid w:val="00C2242C"/>
    <w:rsid w:val="00C22524"/>
    <w:rsid w:val="00C22530"/>
    <w:rsid w:val="00C22718"/>
    <w:rsid w:val="00C227BF"/>
    <w:rsid w:val="00C22857"/>
    <w:rsid w:val="00C2292F"/>
    <w:rsid w:val="00C22D84"/>
    <w:rsid w:val="00C22EB2"/>
    <w:rsid w:val="00C22F50"/>
    <w:rsid w:val="00C231AE"/>
    <w:rsid w:val="00C231B5"/>
    <w:rsid w:val="00C23415"/>
    <w:rsid w:val="00C23772"/>
    <w:rsid w:val="00C237AD"/>
    <w:rsid w:val="00C238B4"/>
    <w:rsid w:val="00C239C3"/>
    <w:rsid w:val="00C239E1"/>
    <w:rsid w:val="00C23E11"/>
    <w:rsid w:val="00C23F5D"/>
    <w:rsid w:val="00C240E5"/>
    <w:rsid w:val="00C24201"/>
    <w:rsid w:val="00C24203"/>
    <w:rsid w:val="00C242F0"/>
    <w:rsid w:val="00C24446"/>
    <w:rsid w:val="00C24806"/>
    <w:rsid w:val="00C24BB6"/>
    <w:rsid w:val="00C24C3E"/>
    <w:rsid w:val="00C24DD8"/>
    <w:rsid w:val="00C24E76"/>
    <w:rsid w:val="00C24FF3"/>
    <w:rsid w:val="00C25148"/>
    <w:rsid w:val="00C25391"/>
    <w:rsid w:val="00C25743"/>
    <w:rsid w:val="00C25769"/>
    <w:rsid w:val="00C25A8A"/>
    <w:rsid w:val="00C25D2F"/>
    <w:rsid w:val="00C25E29"/>
    <w:rsid w:val="00C25FA7"/>
    <w:rsid w:val="00C267B9"/>
    <w:rsid w:val="00C26D93"/>
    <w:rsid w:val="00C26E52"/>
    <w:rsid w:val="00C26F24"/>
    <w:rsid w:val="00C270EF"/>
    <w:rsid w:val="00C275B2"/>
    <w:rsid w:val="00C304FD"/>
    <w:rsid w:val="00C305A2"/>
    <w:rsid w:val="00C308B4"/>
    <w:rsid w:val="00C30B95"/>
    <w:rsid w:val="00C30C90"/>
    <w:rsid w:val="00C30D66"/>
    <w:rsid w:val="00C313CA"/>
    <w:rsid w:val="00C314A3"/>
    <w:rsid w:val="00C3162B"/>
    <w:rsid w:val="00C317D2"/>
    <w:rsid w:val="00C31AFE"/>
    <w:rsid w:val="00C31CA3"/>
    <w:rsid w:val="00C31DE6"/>
    <w:rsid w:val="00C321C1"/>
    <w:rsid w:val="00C32207"/>
    <w:rsid w:val="00C32304"/>
    <w:rsid w:val="00C323BE"/>
    <w:rsid w:val="00C3251B"/>
    <w:rsid w:val="00C328DE"/>
    <w:rsid w:val="00C32A94"/>
    <w:rsid w:val="00C32C21"/>
    <w:rsid w:val="00C33126"/>
    <w:rsid w:val="00C33434"/>
    <w:rsid w:val="00C336AE"/>
    <w:rsid w:val="00C3380B"/>
    <w:rsid w:val="00C33A24"/>
    <w:rsid w:val="00C33A66"/>
    <w:rsid w:val="00C33AB8"/>
    <w:rsid w:val="00C33B32"/>
    <w:rsid w:val="00C33FCE"/>
    <w:rsid w:val="00C3424B"/>
    <w:rsid w:val="00C3440B"/>
    <w:rsid w:val="00C344A1"/>
    <w:rsid w:val="00C346E3"/>
    <w:rsid w:val="00C34970"/>
    <w:rsid w:val="00C34A52"/>
    <w:rsid w:val="00C34AD1"/>
    <w:rsid w:val="00C34E94"/>
    <w:rsid w:val="00C34F15"/>
    <w:rsid w:val="00C350EC"/>
    <w:rsid w:val="00C35542"/>
    <w:rsid w:val="00C35678"/>
    <w:rsid w:val="00C35AB5"/>
    <w:rsid w:val="00C35B2C"/>
    <w:rsid w:val="00C3606A"/>
    <w:rsid w:val="00C361DD"/>
    <w:rsid w:val="00C36223"/>
    <w:rsid w:val="00C36349"/>
    <w:rsid w:val="00C36431"/>
    <w:rsid w:val="00C3660A"/>
    <w:rsid w:val="00C36667"/>
    <w:rsid w:val="00C36944"/>
    <w:rsid w:val="00C36CA4"/>
    <w:rsid w:val="00C36E56"/>
    <w:rsid w:val="00C36E65"/>
    <w:rsid w:val="00C370C2"/>
    <w:rsid w:val="00C370CB"/>
    <w:rsid w:val="00C376CD"/>
    <w:rsid w:val="00C37867"/>
    <w:rsid w:val="00C37EA3"/>
    <w:rsid w:val="00C4000A"/>
    <w:rsid w:val="00C4021D"/>
    <w:rsid w:val="00C404B0"/>
    <w:rsid w:val="00C405CE"/>
    <w:rsid w:val="00C407E9"/>
    <w:rsid w:val="00C4096F"/>
    <w:rsid w:val="00C40A6C"/>
    <w:rsid w:val="00C4101F"/>
    <w:rsid w:val="00C411D1"/>
    <w:rsid w:val="00C41368"/>
    <w:rsid w:val="00C41509"/>
    <w:rsid w:val="00C4165B"/>
    <w:rsid w:val="00C417CA"/>
    <w:rsid w:val="00C419F0"/>
    <w:rsid w:val="00C41E2A"/>
    <w:rsid w:val="00C41EAB"/>
    <w:rsid w:val="00C41F13"/>
    <w:rsid w:val="00C41FDF"/>
    <w:rsid w:val="00C42023"/>
    <w:rsid w:val="00C42106"/>
    <w:rsid w:val="00C421B6"/>
    <w:rsid w:val="00C422DF"/>
    <w:rsid w:val="00C423D4"/>
    <w:rsid w:val="00C42450"/>
    <w:rsid w:val="00C427EE"/>
    <w:rsid w:val="00C428CC"/>
    <w:rsid w:val="00C42B5E"/>
    <w:rsid w:val="00C42CB4"/>
    <w:rsid w:val="00C42DAE"/>
    <w:rsid w:val="00C43176"/>
    <w:rsid w:val="00C43373"/>
    <w:rsid w:val="00C4347E"/>
    <w:rsid w:val="00C43543"/>
    <w:rsid w:val="00C437D4"/>
    <w:rsid w:val="00C4390A"/>
    <w:rsid w:val="00C439A7"/>
    <w:rsid w:val="00C44059"/>
    <w:rsid w:val="00C44162"/>
    <w:rsid w:val="00C443DA"/>
    <w:rsid w:val="00C444D3"/>
    <w:rsid w:val="00C445AF"/>
    <w:rsid w:val="00C4474E"/>
    <w:rsid w:val="00C44859"/>
    <w:rsid w:val="00C44C10"/>
    <w:rsid w:val="00C451DF"/>
    <w:rsid w:val="00C453CF"/>
    <w:rsid w:val="00C45544"/>
    <w:rsid w:val="00C45ACB"/>
    <w:rsid w:val="00C45B5F"/>
    <w:rsid w:val="00C45CB1"/>
    <w:rsid w:val="00C46208"/>
    <w:rsid w:val="00C462A8"/>
    <w:rsid w:val="00C4651B"/>
    <w:rsid w:val="00C4676B"/>
    <w:rsid w:val="00C467F7"/>
    <w:rsid w:val="00C467FC"/>
    <w:rsid w:val="00C46843"/>
    <w:rsid w:val="00C46E78"/>
    <w:rsid w:val="00C46FBC"/>
    <w:rsid w:val="00C47791"/>
    <w:rsid w:val="00C477C1"/>
    <w:rsid w:val="00C478CF"/>
    <w:rsid w:val="00C47DD6"/>
    <w:rsid w:val="00C47E8D"/>
    <w:rsid w:val="00C47EA2"/>
    <w:rsid w:val="00C500A8"/>
    <w:rsid w:val="00C500C3"/>
    <w:rsid w:val="00C501FE"/>
    <w:rsid w:val="00C50256"/>
    <w:rsid w:val="00C5037F"/>
    <w:rsid w:val="00C50ADF"/>
    <w:rsid w:val="00C50B2D"/>
    <w:rsid w:val="00C50B4C"/>
    <w:rsid w:val="00C50C25"/>
    <w:rsid w:val="00C50C5D"/>
    <w:rsid w:val="00C50C8F"/>
    <w:rsid w:val="00C50CC9"/>
    <w:rsid w:val="00C50CCA"/>
    <w:rsid w:val="00C5137F"/>
    <w:rsid w:val="00C51519"/>
    <w:rsid w:val="00C5151A"/>
    <w:rsid w:val="00C5154E"/>
    <w:rsid w:val="00C5173F"/>
    <w:rsid w:val="00C51976"/>
    <w:rsid w:val="00C519CE"/>
    <w:rsid w:val="00C51BEA"/>
    <w:rsid w:val="00C51CF6"/>
    <w:rsid w:val="00C5208D"/>
    <w:rsid w:val="00C520F1"/>
    <w:rsid w:val="00C5219C"/>
    <w:rsid w:val="00C52238"/>
    <w:rsid w:val="00C52621"/>
    <w:rsid w:val="00C52641"/>
    <w:rsid w:val="00C52805"/>
    <w:rsid w:val="00C529D9"/>
    <w:rsid w:val="00C529E5"/>
    <w:rsid w:val="00C52A4C"/>
    <w:rsid w:val="00C52AD4"/>
    <w:rsid w:val="00C52D89"/>
    <w:rsid w:val="00C52E06"/>
    <w:rsid w:val="00C53106"/>
    <w:rsid w:val="00C5335C"/>
    <w:rsid w:val="00C5338A"/>
    <w:rsid w:val="00C534F1"/>
    <w:rsid w:val="00C535B1"/>
    <w:rsid w:val="00C535B3"/>
    <w:rsid w:val="00C535DE"/>
    <w:rsid w:val="00C53639"/>
    <w:rsid w:val="00C5363E"/>
    <w:rsid w:val="00C53778"/>
    <w:rsid w:val="00C53924"/>
    <w:rsid w:val="00C53A9E"/>
    <w:rsid w:val="00C53C14"/>
    <w:rsid w:val="00C53C65"/>
    <w:rsid w:val="00C54286"/>
    <w:rsid w:val="00C54855"/>
    <w:rsid w:val="00C548A6"/>
    <w:rsid w:val="00C54A56"/>
    <w:rsid w:val="00C54F7F"/>
    <w:rsid w:val="00C55907"/>
    <w:rsid w:val="00C55979"/>
    <w:rsid w:val="00C55FCD"/>
    <w:rsid w:val="00C5609C"/>
    <w:rsid w:val="00C56157"/>
    <w:rsid w:val="00C563BC"/>
    <w:rsid w:val="00C56496"/>
    <w:rsid w:val="00C56515"/>
    <w:rsid w:val="00C566BC"/>
    <w:rsid w:val="00C56815"/>
    <w:rsid w:val="00C5687D"/>
    <w:rsid w:val="00C5696B"/>
    <w:rsid w:val="00C56BDD"/>
    <w:rsid w:val="00C56E44"/>
    <w:rsid w:val="00C57483"/>
    <w:rsid w:val="00C574BC"/>
    <w:rsid w:val="00C5753B"/>
    <w:rsid w:val="00C57B9D"/>
    <w:rsid w:val="00C57CB9"/>
    <w:rsid w:val="00C57D7B"/>
    <w:rsid w:val="00C57F8A"/>
    <w:rsid w:val="00C60076"/>
    <w:rsid w:val="00C60321"/>
    <w:rsid w:val="00C60650"/>
    <w:rsid w:val="00C60653"/>
    <w:rsid w:val="00C60D39"/>
    <w:rsid w:val="00C60FAA"/>
    <w:rsid w:val="00C610FB"/>
    <w:rsid w:val="00C61281"/>
    <w:rsid w:val="00C61359"/>
    <w:rsid w:val="00C614CF"/>
    <w:rsid w:val="00C61662"/>
    <w:rsid w:val="00C61832"/>
    <w:rsid w:val="00C6183D"/>
    <w:rsid w:val="00C61BD9"/>
    <w:rsid w:val="00C61D1D"/>
    <w:rsid w:val="00C61FC9"/>
    <w:rsid w:val="00C62063"/>
    <w:rsid w:val="00C62486"/>
    <w:rsid w:val="00C62668"/>
    <w:rsid w:val="00C629CA"/>
    <w:rsid w:val="00C62AF2"/>
    <w:rsid w:val="00C62CC2"/>
    <w:rsid w:val="00C62E94"/>
    <w:rsid w:val="00C63152"/>
    <w:rsid w:val="00C6340D"/>
    <w:rsid w:val="00C634AA"/>
    <w:rsid w:val="00C635AA"/>
    <w:rsid w:val="00C63696"/>
    <w:rsid w:val="00C63795"/>
    <w:rsid w:val="00C63E2B"/>
    <w:rsid w:val="00C64115"/>
    <w:rsid w:val="00C642A2"/>
    <w:rsid w:val="00C64FE5"/>
    <w:rsid w:val="00C652F1"/>
    <w:rsid w:val="00C65306"/>
    <w:rsid w:val="00C65338"/>
    <w:rsid w:val="00C65461"/>
    <w:rsid w:val="00C65537"/>
    <w:rsid w:val="00C657D2"/>
    <w:rsid w:val="00C657F7"/>
    <w:rsid w:val="00C6599E"/>
    <w:rsid w:val="00C65AA3"/>
    <w:rsid w:val="00C65D0B"/>
    <w:rsid w:val="00C65F7E"/>
    <w:rsid w:val="00C66146"/>
    <w:rsid w:val="00C66390"/>
    <w:rsid w:val="00C6642D"/>
    <w:rsid w:val="00C66535"/>
    <w:rsid w:val="00C665DC"/>
    <w:rsid w:val="00C66694"/>
    <w:rsid w:val="00C6671B"/>
    <w:rsid w:val="00C66CD0"/>
    <w:rsid w:val="00C66FA0"/>
    <w:rsid w:val="00C671CE"/>
    <w:rsid w:val="00C672B1"/>
    <w:rsid w:val="00C67420"/>
    <w:rsid w:val="00C674BF"/>
    <w:rsid w:val="00C675DC"/>
    <w:rsid w:val="00C67883"/>
    <w:rsid w:val="00C67915"/>
    <w:rsid w:val="00C67952"/>
    <w:rsid w:val="00C67A45"/>
    <w:rsid w:val="00C67E54"/>
    <w:rsid w:val="00C70033"/>
    <w:rsid w:val="00C7017A"/>
    <w:rsid w:val="00C701AA"/>
    <w:rsid w:val="00C703C1"/>
    <w:rsid w:val="00C7061E"/>
    <w:rsid w:val="00C707B5"/>
    <w:rsid w:val="00C70B19"/>
    <w:rsid w:val="00C70E43"/>
    <w:rsid w:val="00C70F93"/>
    <w:rsid w:val="00C7105B"/>
    <w:rsid w:val="00C7107B"/>
    <w:rsid w:val="00C71086"/>
    <w:rsid w:val="00C713F7"/>
    <w:rsid w:val="00C71444"/>
    <w:rsid w:val="00C7145D"/>
    <w:rsid w:val="00C714AA"/>
    <w:rsid w:val="00C71830"/>
    <w:rsid w:val="00C71B59"/>
    <w:rsid w:val="00C71C0B"/>
    <w:rsid w:val="00C7205B"/>
    <w:rsid w:val="00C722B6"/>
    <w:rsid w:val="00C724B2"/>
    <w:rsid w:val="00C724B9"/>
    <w:rsid w:val="00C726F4"/>
    <w:rsid w:val="00C72709"/>
    <w:rsid w:val="00C72B8F"/>
    <w:rsid w:val="00C72D21"/>
    <w:rsid w:val="00C72EBF"/>
    <w:rsid w:val="00C7325C"/>
    <w:rsid w:val="00C73402"/>
    <w:rsid w:val="00C73615"/>
    <w:rsid w:val="00C7390C"/>
    <w:rsid w:val="00C73A23"/>
    <w:rsid w:val="00C73AAA"/>
    <w:rsid w:val="00C73B75"/>
    <w:rsid w:val="00C73BEC"/>
    <w:rsid w:val="00C73D59"/>
    <w:rsid w:val="00C73F4B"/>
    <w:rsid w:val="00C741BD"/>
    <w:rsid w:val="00C74649"/>
    <w:rsid w:val="00C74B51"/>
    <w:rsid w:val="00C74C53"/>
    <w:rsid w:val="00C74CD7"/>
    <w:rsid w:val="00C74D85"/>
    <w:rsid w:val="00C75128"/>
    <w:rsid w:val="00C75347"/>
    <w:rsid w:val="00C75374"/>
    <w:rsid w:val="00C75563"/>
    <w:rsid w:val="00C75738"/>
    <w:rsid w:val="00C757E3"/>
    <w:rsid w:val="00C757FA"/>
    <w:rsid w:val="00C75804"/>
    <w:rsid w:val="00C75841"/>
    <w:rsid w:val="00C75996"/>
    <w:rsid w:val="00C759BE"/>
    <w:rsid w:val="00C75B41"/>
    <w:rsid w:val="00C75EFC"/>
    <w:rsid w:val="00C761AF"/>
    <w:rsid w:val="00C76302"/>
    <w:rsid w:val="00C76310"/>
    <w:rsid w:val="00C764E5"/>
    <w:rsid w:val="00C76612"/>
    <w:rsid w:val="00C7665B"/>
    <w:rsid w:val="00C7669A"/>
    <w:rsid w:val="00C76800"/>
    <w:rsid w:val="00C76B7F"/>
    <w:rsid w:val="00C76BC3"/>
    <w:rsid w:val="00C76E35"/>
    <w:rsid w:val="00C77190"/>
    <w:rsid w:val="00C771A6"/>
    <w:rsid w:val="00C77356"/>
    <w:rsid w:val="00C77435"/>
    <w:rsid w:val="00C77479"/>
    <w:rsid w:val="00C7747E"/>
    <w:rsid w:val="00C774C5"/>
    <w:rsid w:val="00C775C8"/>
    <w:rsid w:val="00C77774"/>
    <w:rsid w:val="00C77FF4"/>
    <w:rsid w:val="00C805A4"/>
    <w:rsid w:val="00C806E0"/>
    <w:rsid w:val="00C80917"/>
    <w:rsid w:val="00C80A49"/>
    <w:rsid w:val="00C80B57"/>
    <w:rsid w:val="00C80B72"/>
    <w:rsid w:val="00C80BBF"/>
    <w:rsid w:val="00C80C07"/>
    <w:rsid w:val="00C80C41"/>
    <w:rsid w:val="00C80C46"/>
    <w:rsid w:val="00C810C2"/>
    <w:rsid w:val="00C811B0"/>
    <w:rsid w:val="00C8127B"/>
    <w:rsid w:val="00C8174B"/>
    <w:rsid w:val="00C8183E"/>
    <w:rsid w:val="00C81D70"/>
    <w:rsid w:val="00C81DA0"/>
    <w:rsid w:val="00C81E66"/>
    <w:rsid w:val="00C81EA6"/>
    <w:rsid w:val="00C81FD7"/>
    <w:rsid w:val="00C828C1"/>
    <w:rsid w:val="00C82981"/>
    <w:rsid w:val="00C830DE"/>
    <w:rsid w:val="00C8319A"/>
    <w:rsid w:val="00C83293"/>
    <w:rsid w:val="00C83424"/>
    <w:rsid w:val="00C83729"/>
    <w:rsid w:val="00C83836"/>
    <w:rsid w:val="00C83860"/>
    <w:rsid w:val="00C83E63"/>
    <w:rsid w:val="00C84150"/>
    <w:rsid w:val="00C84201"/>
    <w:rsid w:val="00C8420F"/>
    <w:rsid w:val="00C84584"/>
    <w:rsid w:val="00C845F2"/>
    <w:rsid w:val="00C84680"/>
    <w:rsid w:val="00C85075"/>
    <w:rsid w:val="00C8508A"/>
    <w:rsid w:val="00C851C2"/>
    <w:rsid w:val="00C8547A"/>
    <w:rsid w:val="00C85523"/>
    <w:rsid w:val="00C8572E"/>
    <w:rsid w:val="00C85865"/>
    <w:rsid w:val="00C85D40"/>
    <w:rsid w:val="00C85DD7"/>
    <w:rsid w:val="00C85FEB"/>
    <w:rsid w:val="00C85FF0"/>
    <w:rsid w:val="00C8608A"/>
    <w:rsid w:val="00C860B3"/>
    <w:rsid w:val="00C860C5"/>
    <w:rsid w:val="00C861CB"/>
    <w:rsid w:val="00C8624F"/>
    <w:rsid w:val="00C8637D"/>
    <w:rsid w:val="00C86504"/>
    <w:rsid w:val="00C865DB"/>
    <w:rsid w:val="00C8672F"/>
    <w:rsid w:val="00C86973"/>
    <w:rsid w:val="00C86AC4"/>
    <w:rsid w:val="00C86ADC"/>
    <w:rsid w:val="00C86CDF"/>
    <w:rsid w:val="00C86DF1"/>
    <w:rsid w:val="00C86E4A"/>
    <w:rsid w:val="00C86E55"/>
    <w:rsid w:val="00C86FB0"/>
    <w:rsid w:val="00C86FDD"/>
    <w:rsid w:val="00C8707E"/>
    <w:rsid w:val="00C870CC"/>
    <w:rsid w:val="00C8720E"/>
    <w:rsid w:val="00C872BF"/>
    <w:rsid w:val="00C872C9"/>
    <w:rsid w:val="00C8738B"/>
    <w:rsid w:val="00C8760E"/>
    <w:rsid w:val="00C8777A"/>
    <w:rsid w:val="00C877B9"/>
    <w:rsid w:val="00C878DD"/>
    <w:rsid w:val="00C8797F"/>
    <w:rsid w:val="00C87C24"/>
    <w:rsid w:val="00C87C53"/>
    <w:rsid w:val="00C87D60"/>
    <w:rsid w:val="00C87E59"/>
    <w:rsid w:val="00C87FF9"/>
    <w:rsid w:val="00C9000E"/>
    <w:rsid w:val="00C9019E"/>
    <w:rsid w:val="00C90253"/>
    <w:rsid w:val="00C90264"/>
    <w:rsid w:val="00C902F9"/>
    <w:rsid w:val="00C90348"/>
    <w:rsid w:val="00C9067C"/>
    <w:rsid w:val="00C9075F"/>
    <w:rsid w:val="00C90B43"/>
    <w:rsid w:val="00C90CE8"/>
    <w:rsid w:val="00C90D1B"/>
    <w:rsid w:val="00C90D50"/>
    <w:rsid w:val="00C90E5F"/>
    <w:rsid w:val="00C91145"/>
    <w:rsid w:val="00C9141A"/>
    <w:rsid w:val="00C9157B"/>
    <w:rsid w:val="00C917C3"/>
    <w:rsid w:val="00C91940"/>
    <w:rsid w:val="00C919C3"/>
    <w:rsid w:val="00C919E2"/>
    <w:rsid w:val="00C91B98"/>
    <w:rsid w:val="00C91CAF"/>
    <w:rsid w:val="00C91CF5"/>
    <w:rsid w:val="00C91E19"/>
    <w:rsid w:val="00C91F3B"/>
    <w:rsid w:val="00C923D5"/>
    <w:rsid w:val="00C9244A"/>
    <w:rsid w:val="00C92497"/>
    <w:rsid w:val="00C92614"/>
    <w:rsid w:val="00C92719"/>
    <w:rsid w:val="00C92811"/>
    <w:rsid w:val="00C92867"/>
    <w:rsid w:val="00C92B88"/>
    <w:rsid w:val="00C92C0C"/>
    <w:rsid w:val="00C92ECC"/>
    <w:rsid w:val="00C93036"/>
    <w:rsid w:val="00C93087"/>
    <w:rsid w:val="00C93088"/>
    <w:rsid w:val="00C931B9"/>
    <w:rsid w:val="00C93306"/>
    <w:rsid w:val="00C933B4"/>
    <w:rsid w:val="00C9389A"/>
    <w:rsid w:val="00C93B45"/>
    <w:rsid w:val="00C93E9B"/>
    <w:rsid w:val="00C93F04"/>
    <w:rsid w:val="00C93FF8"/>
    <w:rsid w:val="00C93FFF"/>
    <w:rsid w:val="00C943A5"/>
    <w:rsid w:val="00C944A4"/>
    <w:rsid w:val="00C9455D"/>
    <w:rsid w:val="00C9459D"/>
    <w:rsid w:val="00C94896"/>
    <w:rsid w:val="00C94972"/>
    <w:rsid w:val="00C9497B"/>
    <w:rsid w:val="00C94995"/>
    <w:rsid w:val="00C94A28"/>
    <w:rsid w:val="00C94A6F"/>
    <w:rsid w:val="00C94B08"/>
    <w:rsid w:val="00C9548B"/>
    <w:rsid w:val="00C955BC"/>
    <w:rsid w:val="00C95CD0"/>
    <w:rsid w:val="00C95D91"/>
    <w:rsid w:val="00C96114"/>
    <w:rsid w:val="00C96153"/>
    <w:rsid w:val="00C9619D"/>
    <w:rsid w:val="00C96669"/>
    <w:rsid w:val="00C96A5E"/>
    <w:rsid w:val="00C96DB0"/>
    <w:rsid w:val="00C96ECA"/>
    <w:rsid w:val="00C96FF9"/>
    <w:rsid w:val="00C973CD"/>
    <w:rsid w:val="00C974A2"/>
    <w:rsid w:val="00C974E2"/>
    <w:rsid w:val="00C9760B"/>
    <w:rsid w:val="00C97B45"/>
    <w:rsid w:val="00CA0118"/>
    <w:rsid w:val="00CA027F"/>
    <w:rsid w:val="00CA02ED"/>
    <w:rsid w:val="00CA0362"/>
    <w:rsid w:val="00CA03EA"/>
    <w:rsid w:val="00CA07F0"/>
    <w:rsid w:val="00CA082A"/>
    <w:rsid w:val="00CA08DE"/>
    <w:rsid w:val="00CA0A3F"/>
    <w:rsid w:val="00CA0A5E"/>
    <w:rsid w:val="00CA0F8B"/>
    <w:rsid w:val="00CA11A2"/>
    <w:rsid w:val="00CA11C5"/>
    <w:rsid w:val="00CA12E3"/>
    <w:rsid w:val="00CA12FD"/>
    <w:rsid w:val="00CA14D7"/>
    <w:rsid w:val="00CA15F5"/>
    <w:rsid w:val="00CA1742"/>
    <w:rsid w:val="00CA2023"/>
    <w:rsid w:val="00CA2150"/>
    <w:rsid w:val="00CA21BB"/>
    <w:rsid w:val="00CA22B0"/>
    <w:rsid w:val="00CA2395"/>
    <w:rsid w:val="00CA2458"/>
    <w:rsid w:val="00CA261A"/>
    <w:rsid w:val="00CA261D"/>
    <w:rsid w:val="00CA2949"/>
    <w:rsid w:val="00CA2BBD"/>
    <w:rsid w:val="00CA2D79"/>
    <w:rsid w:val="00CA34ED"/>
    <w:rsid w:val="00CA38AC"/>
    <w:rsid w:val="00CA390C"/>
    <w:rsid w:val="00CA3AED"/>
    <w:rsid w:val="00CA3C0D"/>
    <w:rsid w:val="00CA3D03"/>
    <w:rsid w:val="00CA3E86"/>
    <w:rsid w:val="00CA3EB6"/>
    <w:rsid w:val="00CA3FC9"/>
    <w:rsid w:val="00CA4055"/>
    <w:rsid w:val="00CA4499"/>
    <w:rsid w:val="00CA44ED"/>
    <w:rsid w:val="00CA49B1"/>
    <w:rsid w:val="00CA4A7C"/>
    <w:rsid w:val="00CA51CF"/>
    <w:rsid w:val="00CA5224"/>
    <w:rsid w:val="00CA5281"/>
    <w:rsid w:val="00CA52A8"/>
    <w:rsid w:val="00CA5489"/>
    <w:rsid w:val="00CA549F"/>
    <w:rsid w:val="00CA5782"/>
    <w:rsid w:val="00CA5ABD"/>
    <w:rsid w:val="00CA61A8"/>
    <w:rsid w:val="00CA64B3"/>
    <w:rsid w:val="00CA64E4"/>
    <w:rsid w:val="00CA677B"/>
    <w:rsid w:val="00CA729A"/>
    <w:rsid w:val="00CA767A"/>
    <w:rsid w:val="00CA7790"/>
    <w:rsid w:val="00CA787D"/>
    <w:rsid w:val="00CA7A40"/>
    <w:rsid w:val="00CA7F47"/>
    <w:rsid w:val="00CA7F57"/>
    <w:rsid w:val="00CA7FEC"/>
    <w:rsid w:val="00CB008C"/>
    <w:rsid w:val="00CB01E1"/>
    <w:rsid w:val="00CB03D2"/>
    <w:rsid w:val="00CB0587"/>
    <w:rsid w:val="00CB0607"/>
    <w:rsid w:val="00CB06FE"/>
    <w:rsid w:val="00CB0808"/>
    <w:rsid w:val="00CB0A76"/>
    <w:rsid w:val="00CB0CB5"/>
    <w:rsid w:val="00CB0DE8"/>
    <w:rsid w:val="00CB11C1"/>
    <w:rsid w:val="00CB1229"/>
    <w:rsid w:val="00CB13CA"/>
    <w:rsid w:val="00CB1428"/>
    <w:rsid w:val="00CB152F"/>
    <w:rsid w:val="00CB191D"/>
    <w:rsid w:val="00CB1C33"/>
    <w:rsid w:val="00CB1C89"/>
    <w:rsid w:val="00CB1D43"/>
    <w:rsid w:val="00CB1F28"/>
    <w:rsid w:val="00CB21FC"/>
    <w:rsid w:val="00CB2218"/>
    <w:rsid w:val="00CB22D4"/>
    <w:rsid w:val="00CB2564"/>
    <w:rsid w:val="00CB25C2"/>
    <w:rsid w:val="00CB2668"/>
    <w:rsid w:val="00CB2A57"/>
    <w:rsid w:val="00CB2AEC"/>
    <w:rsid w:val="00CB2DB7"/>
    <w:rsid w:val="00CB30AF"/>
    <w:rsid w:val="00CB332C"/>
    <w:rsid w:val="00CB34D2"/>
    <w:rsid w:val="00CB3692"/>
    <w:rsid w:val="00CB377F"/>
    <w:rsid w:val="00CB38F5"/>
    <w:rsid w:val="00CB394C"/>
    <w:rsid w:val="00CB3AB4"/>
    <w:rsid w:val="00CB3AC4"/>
    <w:rsid w:val="00CB3AD9"/>
    <w:rsid w:val="00CB404F"/>
    <w:rsid w:val="00CB40A8"/>
    <w:rsid w:val="00CB40CC"/>
    <w:rsid w:val="00CB41DF"/>
    <w:rsid w:val="00CB46B7"/>
    <w:rsid w:val="00CB49F8"/>
    <w:rsid w:val="00CB4B30"/>
    <w:rsid w:val="00CB4C89"/>
    <w:rsid w:val="00CB4F3B"/>
    <w:rsid w:val="00CB507D"/>
    <w:rsid w:val="00CB510E"/>
    <w:rsid w:val="00CB5513"/>
    <w:rsid w:val="00CB56BE"/>
    <w:rsid w:val="00CB57C4"/>
    <w:rsid w:val="00CB57E2"/>
    <w:rsid w:val="00CB58E9"/>
    <w:rsid w:val="00CB59AE"/>
    <w:rsid w:val="00CB5B03"/>
    <w:rsid w:val="00CB5B1F"/>
    <w:rsid w:val="00CB5B20"/>
    <w:rsid w:val="00CB5B96"/>
    <w:rsid w:val="00CB5D5A"/>
    <w:rsid w:val="00CB5E56"/>
    <w:rsid w:val="00CB6143"/>
    <w:rsid w:val="00CB646F"/>
    <w:rsid w:val="00CB6664"/>
    <w:rsid w:val="00CB6943"/>
    <w:rsid w:val="00CB6BCF"/>
    <w:rsid w:val="00CB72A6"/>
    <w:rsid w:val="00CB7623"/>
    <w:rsid w:val="00CB790C"/>
    <w:rsid w:val="00CB7A53"/>
    <w:rsid w:val="00CB7AB6"/>
    <w:rsid w:val="00CB7BBA"/>
    <w:rsid w:val="00CB7CA9"/>
    <w:rsid w:val="00CB7F00"/>
    <w:rsid w:val="00CC0257"/>
    <w:rsid w:val="00CC0465"/>
    <w:rsid w:val="00CC048F"/>
    <w:rsid w:val="00CC04A4"/>
    <w:rsid w:val="00CC069D"/>
    <w:rsid w:val="00CC080F"/>
    <w:rsid w:val="00CC0816"/>
    <w:rsid w:val="00CC0A03"/>
    <w:rsid w:val="00CC0AC1"/>
    <w:rsid w:val="00CC0F41"/>
    <w:rsid w:val="00CC1132"/>
    <w:rsid w:val="00CC1179"/>
    <w:rsid w:val="00CC125A"/>
    <w:rsid w:val="00CC1327"/>
    <w:rsid w:val="00CC1590"/>
    <w:rsid w:val="00CC16BF"/>
    <w:rsid w:val="00CC1762"/>
    <w:rsid w:val="00CC18F2"/>
    <w:rsid w:val="00CC1994"/>
    <w:rsid w:val="00CC19B6"/>
    <w:rsid w:val="00CC1B65"/>
    <w:rsid w:val="00CC1CD7"/>
    <w:rsid w:val="00CC1D02"/>
    <w:rsid w:val="00CC1E39"/>
    <w:rsid w:val="00CC20D9"/>
    <w:rsid w:val="00CC2596"/>
    <w:rsid w:val="00CC2A13"/>
    <w:rsid w:val="00CC2AE9"/>
    <w:rsid w:val="00CC2AF3"/>
    <w:rsid w:val="00CC2BCC"/>
    <w:rsid w:val="00CC2FFC"/>
    <w:rsid w:val="00CC3410"/>
    <w:rsid w:val="00CC36A2"/>
    <w:rsid w:val="00CC3BDA"/>
    <w:rsid w:val="00CC3C92"/>
    <w:rsid w:val="00CC41C8"/>
    <w:rsid w:val="00CC46D5"/>
    <w:rsid w:val="00CC49B6"/>
    <w:rsid w:val="00CC4FB3"/>
    <w:rsid w:val="00CC4FD7"/>
    <w:rsid w:val="00CC5723"/>
    <w:rsid w:val="00CC5805"/>
    <w:rsid w:val="00CC594B"/>
    <w:rsid w:val="00CC5EB4"/>
    <w:rsid w:val="00CC5F88"/>
    <w:rsid w:val="00CC6022"/>
    <w:rsid w:val="00CC60B9"/>
    <w:rsid w:val="00CC62D7"/>
    <w:rsid w:val="00CC640E"/>
    <w:rsid w:val="00CC66F8"/>
    <w:rsid w:val="00CC69FC"/>
    <w:rsid w:val="00CC6C45"/>
    <w:rsid w:val="00CC6CD9"/>
    <w:rsid w:val="00CC6F51"/>
    <w:rsid w:val="00CC6F62"/>
    <w:rsid w:val="00CC700F"/>
    <w:rsid w:val="00CC72FE"/>
    <w:rsid w:val="00CC7311"/>
    <w:rsid w:val="00CC73B4"/>
    <w:rsid w:val="00CC766F"/>
    <w:rsid w:val="00CC7786"/>
    <w:rsid w:val="00CC7AC9"/>
    <w:rsid w:val="00CC7B91"/>
    <w:rsid w:val="00CC7DDB"/>
    <w:rsid w:val="00CC7E77"/>
    <w:rsid w:val="00CD0248"/>
    <w:rsid w:val="00CD045A"/>
    <w:rsid w:val="00CD04DA"/>
    <w:rsid w:val="00CD0A7F"/>
    <w:rsid w:val="00CD0B5E"/>
    <w:rsid w:val="00CD0C6F"/>
    <w:rsid w:val="00CD0EF9"/>
    <w:rsid w:val="00CD0EFD"/>
    <w:rsid w:val="00CD0FA6"/>
    <w:rsid w:val="00CD10A2"/>
    <w:rsid w:val="00CD1338"/>
    <w:rsid w:val="00CD1383"/>
    <w:rsid w:val="00CD143B"/>
    <w:rsid w:val="00CD159A"/>
    <w:rsid w:val="00CD164A"/>
    <w:rsid w:val="00CD166E"/>
    <w:rsid w:val="00CD1693"/>
    <w:rsid w:val="00CD1812"/>
    <w:rsid w:val="00CD1C8E"/>
    <w:rsid w:val="00CD1D93"/>
    <w:rsid w:val="00CD1DC2"/>
    <w:rsid w:val="00CD2099"/>
    <w:rsid w:val="00CD20B2"/>
    <w:rsid w:val="00CD2459"/>
    <w:rsid w:val="00CD27FF"/>
    <w:rsid w:val="00CD2A47"/>
    <w:rsid w:val="00CD2D57"/>
    <w:rsid w:val="00CD2DD3"/>
    <w:rsid w:val="00CD30CC"/>
    <w:rsid w:val="00CD3255"/>
    <w:rsid w:val="00CD32BB"/>
    <w:rsid w:val="00CD34C1"/>
    <w:rsid w:val="00CD354A"/>
    <w:rsid w:val="00CD3680"/>
    <w:rsid w:val="00CD36E9"/>
    <w:rsid w:val="00CD36F2"/>
    <w:rsid w:val="00CD3811"/>
    <w:rsid w:val="00CD3B79"/>
    <w:rsid w:val="00CD4388"/>
    <w:rsid w:val="00CD4BED"/>
    <w:rsid w:val="00CD4C69"/>
    <w:rsid w:val="00CD4CC1"/>
    <w:rsid w:val="00CD4DB0"/>
    <w:rsid w:val="00CD4E98"/>
    <w:rsid w:val="00CD5096"/>
    <w:rsid w:val="00CD50AC"/>
    <w:rsid w:val="00CD5148"/>
    <w:rsid w:val="00CD52C8"/>
    <w:rsid w:val="00CD5448"/>
    <w:rsid w:val="00CD55BE"/>
    <w:rsid w:val="00CD5714"/>
    <w:rsid w:val="00CD5A17"/>
    <w:rsid w:val="00CD5A57"/>
    <w:rsid w:val="00CD5B67"/>
    <w:rsid w:val="00CD5B9C"/>
    <w:rsid w:val="00CD5EC9"/>
    <w:rsid w:val="00CD5F6F"/>
    <w:rsid w:val="00CD6089"/>
    <w:rsid w:val="00CD647F"/>
    <w:rsid w:val="00CD66A2"/>
    <w:rsid w:val="00CD6C88"/>
    <w:rsid w:val="00CD7026"/>
    <w:rsid w:val="00CD7049"/>
    <w:rsid w:val="00CD70B9"/>
    <w:rsid w:val="00CD7112"/>
    <w:rsid w:val="00CD7665"/>
    <w:rsid w:val="00CD7768"/>
    <w:rsid w:val="00CD7782"/>
    <w:rsid w:val="00CD7964"/>
    <w:rsid w:val="00CD7972"/>
    <w:rsid w:val="00CD79F7"/>
    <w:rsid w:val="00CD7EF0"/>
    <w:rsid w:val="00CE0422"/>
    <w:rsid w:val="00CE0434"/>
    <w:rsid w:val="00CE0600"/>
    <w:rsid w:val="00CE0623"/>
    <w:rsid w:val="00CE0639"/>
    <w:rsid w:val="00CE0C0D"/>
    <w:rsid w:val="00CE1084"/>
    <w:rsid w:val="00CE150A"/>
    <w:rsid w:val="00CE1555"/>
    <w:rsid w:val="00CE1770"/>
    <w:rsid w:val="00CE1BAA"/>
    <w:rsid w:val="00CE1CE0"/>
    <w:rsid w:val="00CE20A6"/>
    <w:rsid w:val="00CE20B7"/>
    <w:rsid w:val="00CE20CC"/>
    <w:rsid w:val="00CE26EC"/>
    <w:rsid w:val="00CE277F"/>
    <w:rsid w:val="00CE2860"/>
    <w:rsid w:val="00CE28B9"/>
    <w:rsid w:val="00CE2A9B"/>
    <w:rsid w:val="00CE2ACB"/>
    <w:rsid w:val="00CE2B10"/>
    <w:rsid w:val="00CE2B56"/>
    <w:rsid w:val="00CE2C09"/>
    <w:rsid w:val="00CE2C76"/>
    <w:rsid w:val="00CE2FA9"/>
    <w:rsid w:val="00CE2FF7"/>
    <w:rsid w:val="00CE317A"/>
    <w:rsid w:val="00CE33D9"/>
    <w:rsid w:val="00CE35DC"/>
    <w:rsid w:val="00CE3715"/>
    <w:rsid w:val="00CE396F"/>
    <w:rsid w:val="00CE3AC8"/>
    <w:rsid w:val="00CE3BC3"/>
    <w:rsid w:val="00CE3C7B"/>
    <w:rsid w:val="00CE3CE1"/>
    <w:rsid w:val="00CE3E40"/>
    <w:rsid w:val="00CE404E"/>
    <w:rsid w:val="00CE4336"/>
    <w:rsid w:val="00CE45C9"/>
    <w:rsid w:val="00CE45E8"/>
    <w:rsid w:val="00CE4ACB"/>
    <w:rsid w:val="00CE4E4D"/>
    <w:rsid w:val="00CE51B0"/>
    <w:rsid w:val="00CE51D9"/>
    <w:rsid w:val="00CE5217"/>
    <w:rsid w:val="00CE52B2"/>
    <w:rsid w:val="00CE5384"/>
    <w:rsid w:val="00CE5411"/>
    <w:rsid w:val="00CE569B"/>
    <w:rsid w:val="00CE577A"/>
    <w:rsid w:val="00CE5BF1"/>
    <w:rsid w:val="00CE5C6B"/>
    <w:rsid w:val="00CE5CBB"/>
    <w:rsid w:val="00CE5FDB"/>
    <w:rsid w:val="00CE6125"/>
    <w:rsid w:val="00CE6139"/>
    <w:rsid w:val="00CE61AB"/>
    <w:rsid w:val="00CE62C1"/>
    <w:rsid w:val="00CE6463"/>
    <w:rsid w:val="00CE64C2"/>
    <w:rsid w:val="00CE64CE"/>
    <w:rsid w:val="00CE66CD"/>
    <w:rsid w:val="00CE6D3E"/>
    <w:rsid w:val="00CE704C"/>
    <w:rsid w:val="00CE70A2"/>
    <w:rsid w:val="00CE72AC"/>
    <w:rsid w:val="00CE75BE"/>
    <w:rsid w:val="00CE78AB"/>
    <w:rsid w:val="00CE7B92"/>
    <w:rsid w:val="00CE7F4C"/>
    <w:rsid w:val="00CF0060"/>
    <w:rsid w:val="00CF024D"/>
    <w:rsid w:val="00CF0491"/>
    <w:rsid w:val="00CF04B8"/>
    <w:rsid w:val="00CF0583"/>
    <w:rsid w:val="00CF05DC"/>
    <w:rsid w:val="00CF0739"/>
    <w:rsid w:val="00CF0881"/>
    <w:rsid w:val="00CF0915"/>
    <w:rsid w:val="00CF094A"/>
    <w:rsid w:val="00CF099B"/>
    <w:rsid w:val="00CF0A3C"/>
    <w:rsid w:val="00CF0C0B"/>
    <w:rsid w:val="00CF0C7C"/>
    <w:rsid w:val="00CF0F87"/>
    <w:rsid w:val="00CF1237"/>
    <w:rsid w:val="00CF15AD"/>
    <w:rsid w:val="00CF1632"/>
    <w:rsid w:val="00CF17BD"/>
    <w:rsid w:val="00CF1800"/>
    <w:rsid w:val="00CF198E"/>
    <w:rsid w:val="00CF1CB5"/>
    <w:rsid w:val="00CF1E2C"/>
    <w:rsid w:val="00CF1F65"/>
    <w:rsid w:val="00CF1F68"/>
    <w:rsid w:val="00CF2082"/>
    <w:rsid w:val="00CF25B1"/>
    <w:rsid w:val="00CF25B6"/>
    <w:rsid w:val="00CF2714"/>
    <w:rsid w:val="00CF2734"/>
    <w:rsid w:val="00CF29CC"/>
    <w:rsid w:val="00CF29FB"/>
    <w:rsid w:val="00CF2A91"/>
    <w:rsid w:val="00CF2B96"/>
    <w:rsid w:val="00CF2E76"/>
    <w:rsid w:val="00CF301D"/>
    <w:rsid w:val="00CF318B"/>
    <w:rsid w:val="00CF3360"/>
    <w:rsid w:val="00CF3404"/>
    <w:rsid w:val="00CF3479"/>
    <w:rsid w:val="00CF362A"/>
    <w:rsid w:val="00CF367A"/>
    <w:rsid w:val="00CF36E5"/>
    <w:rsid w:val="00CF3871"/>
    <w:rsid w:val="00CF39CD"/>
    <w:rsid w:val="00CF3D77"/>
    <w:rsid w:val="00CF3DF0"/>
    <w:rsid w:val="00CF3E39"/>
    <w:rsid w:val="00CF40AB"/>
    <w:rsid w:val="00CF4327"/>
    <w:rsid w:val="00CF4402"/>
    <w:rsid w:val="00CF441B"/>
    <w:rsid w:val="00CF454F"/>
    <w:rsid w:val="00CF4918"/>
    <w:rsid w:val="00CF4A6B"/>
    <w:rsid w:val="00CF4E37"/>
    <w:rsid w:val="00CF4E62"/>
    <w:rsid w:val="00CF4F64"/>
    <w:rsid w:val="00CF4FBF"/>
    <w:rsid w:val="00CF504E"/>
    <w:rsid w:val="00CF5329"/>
    <w:rsid w:val="00CF5415"/>
    <w:rsid w:val="00CF5448"/>
    <w:rsid w:val="00CF5634"/>
    <w:rsid w:val="00CF5A29"/>
    <w:rsid w:val="00CF5B2D"/>
    <w:rsid w:val="00CF6080"/>
    <w:rsid w:val="00CF6414"/>
    <w:rsid w:val="00CF67AA"/>
    <w:rsid w:val="00CF685D"/>
    <w:rsid w:val="00CF6A34"/>
    <w:rsid w:val="00CF6AFF"/>
    <w:rsid w:val="00CF6DB6"/>
    <w:rsid w:val="00CF6FAB"/>
    <w:rsid w:val="00CF73EA"/>
    <w:rsid w:val="00CF74CE"/>
    <w:rsid w:val="00CF76BE"/>
    <w:rsid w:val="00CF7AB4"/>
    <w:rsid w:val="00CF7D9C"/>
    <w:rsid w:val="00CF7DBB"/>
    <w:rsid w:val="00CF7DF0"/>
    <w:rsid w:val="00CF7E00"/>
    <w:rsid w:val="00CF7EDD"/>
    <w:rsid w:val="00D0027F"/>
    <w:rsid w:val="00D002BE"/>
    <w:rsid w:val="00D0034E"/>
    <w:rsid w:val="00D004E3"/>
    <w:rsid w:val="00D00517"/>
    <w:rsid w:val="00D00596"/>
    <w:rsid w:val="00D007FD"/>
    <w:rsid w:val="00D00C97"/>
    <w:rsid w:val="00D00D35"/>
    <w:rsid w:val="00D00D41"/>
    <w:rsid w:val="00D00D6A"/>
    <w:rsid w:val="00D00D7A"/>
    <w:rsid w:val="00D00E5D"/>
    <w:rsid w:val="00D0108A"/>
    <w:rsid w:val="00D01188"/>
    <w:rsid w:val="00D011BC"/>
    <w:rsid w:val="00D018DD"/>
    <w:rsid w:val="00D0194E"/>
    <w:rsid w:val="00D0194F"/>
    <w:rsid w:val="00D01A5C"/>
    <w:rsid w:val="00D01B50"/>
    <w:rsid w:val="00D01BAE"/>
    <w:rsid w:val="00D01FC9"/>
    <w:rsid w:val="00D021B5"/>
    <w:rsid w:val="00D0226F"/>
    <w:rsid w:val="00D022B0"/>
    <w:rsid w:val="00D0254C"/>
    <w:rsid w:val="00D0256B"/>
    <w:rsid w:val="00D0262E"/>
    <w:rsid w:val="00D029C4"/>
    <w:rsid w:val="00D029FD"/>
    <w:rsid w:val="00D02A20"/>
    <w:rsid w:val="00D030D3"/>
    <w:rsid w:val="00D03248"/>
    <w:rsid w:val="00D0331B"/>
    <w:rsid w:val="00D0343A"/>
    <w:rsid w:val="00D035E7"/>
    <w:rsid w:val="00D039EB"/>
    <w:rsid w:val="00D03FA6"/>
    <w:rsid w:val="00D0414D"/>
    <w:rsid w:val="00D0417F"/>
    <w:rsid w:val="00D041D2"/>
    <w:rsid w:val="00D042C1"/>
    <w:rsid w:val="00D043DC"/>
    <w:rsid w:val="00D043E1"/>
    <w:rsid w:val="00D04896"/>
    <w:rsid w:val="00D04969"/>
    <w:rsid w:val="00D04D5C"/>
    <w:rsid w:val="00D04DC1"/>
    <w:rsid w:val="00D0528C"/>
    <w:rsid w:val="00D0529B"/>
    <w:rsid w:val="00D052B2"/>
    <w:rsid w:val="00D053A1"/>
    <w:rsid w:val="00D05882"/>
    <w:rsid w:val="00D05BA7"/>
    <w:rsid w:val="00D05C4A"/>
    <w:rsid w:val="00D05C63"/>
    <w:rsid w:val="00D05D3F"/>
    <w:rsid w:val="00D05E7E"/>
    <w:rsid w:val="00D05F7F"/>
    <w:rsid w:val="00D060ED"/>
    <w:rsid w:val="00D061D8"/>
    <w:rsid w:val="00D06329"/>
    <w:rsid w:val="00D0644B"/>
    <w:rsid w:val="00D06B61"/>
    <w:rsid w:val="00D06D80"/>
    <w:rsid w:val="00D071D1"/>
    <w:rsid w:val="00D072E7"/>
    <w:rsid w:val="00D07329"/>
    <w:rsid w:val="00D07817"/>
    <w:rsid w:val="00D07A1D"/>
    <w:rsid w:val="00D07B8F"/>
    <w:rsid w:val="00D10150"/>
    <w:rsid w:val="00D10165"/>
    <w:rsid w:val="00D10408"/>
    <w:rsid w:val="00D104B8"/>
    <w:rsid w:val="00D1069C"/>
    <w:rsid w:val="00D10876"/>
    <w:rsid w:val="00D10B15"/>
    <w:rsid w:val="00D10C3F"/>
    <w:rsid w:val="00D10CFA"/>
    <w:rsid w:val="00D10F59"/>
    <w:rsid w:val="00D112CB"/>
    <w:rsid w:val="00D1155F"/>
    <w:rsid w:val="00D11767"/>
    <w:rsid w:val="00D1197F"/>
    <w:rsid w:val="00D11B7F"/>
    <w:rsid w:val="00D11E8C"/>
    <w:rsid w:val="00D121E4"/>
    <w:rsid w:val="00D12233"/>
    <w:rsid w:val="00D124DE"/>
    <w:rsid w:val="00D12C7D"/>
    <w:rsid w:val="00D12E51"/>
    <w:rsid w:val="00D12EF6"/>
    <w:rsid w:val="00D12F63"/>
    <w:rsid w:val="00D130E6"/>
    <w:rsid w:val="00D1311C"/>
    <w:rsid w:val="00D13318"/>
    <w:rsid w:val="00D13447"/>
    <w:rsid w:val="00D13588"/>
    <w:rsid w:val="00D1380B"/>
    <w:rsid w:val="00D13D3C"/>
    <w:rsid w:val="00D13DEB"/>
    <w:rsid w:val="00D13F9E"/>
    <w:rsid w:val="00D1418E"/>
    <w:rsid w:val="00D14444"/>
    <w:rsid w:val="00D149AB"/>
    <w:rsid w:val="00D14B86"/>
    <w:rsid w:val="00D1502E"/>
    <w:rsid w:val="00D150BC"/>
    <w:rsid w:val="00D15158"/>
    <w:rsid w:val="00D157A1"/>
    <w:rsid w:val="00D158E0"/>
    <w:rsid w:val="00D15E1E"/>
    <w:rsid w:val="00D15F05"/>
    <w:rsid w:val="00D15FA4"/>
    <w:rsid w:val="00D16143"/>
    <w:rsid w:val="00D16481"/>
    <w:rsid w:val="00D16580"/>
    <w:rsid w:val="00D16612"/>
    <w:rsid w:val="00D167BD"/>
    <w:rsid w:val="00D16C34"/>
    <w:rsid w:val="00D16CCA"/>
    <w:rsid w:val="00D16EFF"/>
    <w:rsid w:val="00D174B2"/>
    <w:rsid w:val="00D17746"/>
    <w:rsid w:val="00D17DCE"/>
    <w:rsid w:val="00D17E25"/>
    <w:rsid w:val="00D2006F"/>
    <w:rsid w:val="00D201A0"/>
    <w:rsid w:val="00D20694"/>
    <w:rsid w:val="00D20988"/>
    <w:rsid w:val="00D20ACD"/>
    <w:rsid w:val="00D20ED1"/>
    <w:rsid w:val="00D20FE1"/>
    <w:rsid w:val="00D210D5"/>
    <w:rsid w:val="00D211D6"/>
    <w:rsid w:val="00D21213"/>
    <w:rsid w:val="00D2143D"/>
    <w:rsid w:val="00D2173A"/>
    <w:rsid w:val="00D219C6"/>
    <w:rsid w:val="00D21D73"/>
    <w:rsid w:val="00D21DB3"/>
    <w:rsid w:val="00D21F5E"/>
    <w:rsid w:val="00D21FEF"/>
    <w:rsid w:val="00D22003"/>
    <w:rsid w:val="00D2200C"/>
    <w:rsid w:val="00D22048"/>
    <w:rsid w:val="00D2286E"/>
    <w:rsid w:val="00D228C2"/>
    <w:rsid w:val="00D22B68"/>
    <w:rsid w:val="00D22C3F"/>
    <w:rsid w:val="00D22FA4"/>
    <w:rsid w:val="00D22FB9"/>
    <w:rsid w:val="00D230FC"/>
    <w:rsid w:val="00D233DA"/>
    <w:rsid w:val="00D235D5"/>
    <w:rsid w:val="00D235E7"/>
    <w:rsid w:val="00D23733"/>
    <w:rsid w:val="00D237F8"/>
    <w:rsid w:val="00D23987"/>
    <w:rsid w:val="00D23C20"/>
    <w:rsid w:val="00D24142"/>
    <w:rsid w:val="00D24156"/>
    <w:rsid w:val="00D245A0"/>
    <w:rsid w:val="00D24646"/>
    <w:rsid w:val="00D24BC2"/>
    <w:rsid w:val="00D24D46"/>
    <w:rsid w:val="00D24DF1"/>
    <w:rsid w:val="00D252D8"/>
    <w:rsid w:val="00D25471"/>
    <w:rsid w:val="00D2557B"/>
    <w:rsid w:val="00D25599"/>
    <w:rsid w:val="00D25876"/>
    <w:rsid w:val="00D258A8"/>
    <w:rsid w:val="00D25A1A"/>
    <w:rsid w:val="00D25B9C"/>
    <w:rsid w:val="00D26456"/>
    <w:rsid w:val="00D26568"/>
    <w:rsid w:val="00D266C0"/>
    <w:rsid w:val="00D267C9"/>
    <w:rsid w:val="00D2692F"/>
    <w:rsid w:val="00D26B36"/>
    <w:rsid w:val="00D26C91"/>
    <w:rsid w:val="00D26E20"/>
    <w:rsid w:val="00D26E84"/>
    <w:rsid w:val="00D272FC"/>
    <w:rsid w:val="00D27382"/>
    <w:rsid w:val="00D274D0"/>
    <w:rsid w:val="00D2765B"/>
    <w:rsid w:val="00D27934"/>
    <w:rsid w:val="00D27B62"/>
    <w:rsid w:val="00D27EA6"/>
    <w:rsid w:val="00D301D5"/>
    <w:rsid w:val="00D302FE"/>
    <w:rsid w:val="00D30331"/>
    <w:rsid w:val="00D30CF1"/>
    <w:rsid w:val="00D31961"/>
    <w:rsid w:val="00D31A3C"/>
    <w:rsid w:val="00D31A63"/>
    <w:rsid w:val="00D31AF2"/>
    <w:rsid w:val="00D31B14"/>
    <w:rsid w:val="00D31BEA"/>
    <w:rsid w:val="00D31D85"/>
    <w:rsid w:val="00D31DC0"/>
    <w:rsid w:val="00D3252E"/>
    <w:rsid w:val="00D3258A"/>
    <w:rsid w:val="00D325BD"/>
    <w:rsid w:val="00D32983"/>
    <w:rsid w:val="00D32CBF"/>
    <w:rsid w:val="00D330DF"/>
    <w:rsid w:val="00D333A0"/>
    <w:rsid w:val="00D3355F"/>
    <w:rsid w:val="00D3365E"/>
    <w:rsid w:val="00D3369F"/>
    <w:rsid w:val="00D33943"/>
    <w:rsid w:val="00D3399D"/>
    <w:rsid w:val="00D33D69"/>
    <w:rsid w:val="00D33EAE"/>
    <w:rsid w:val="00D33FA0"/>
    <w:rsid w:val="00D33FE3"/>
    <w:rsid w:val="00D34450"/>
    <w:rsid w:val="00D344E5"/>
    <w:rsid w:val="00D347DF"/>
    <w:rsid w:val="00D34814"/>
    <w:rsid w:val="00D34BDD"/>
    <w:rsid w:val="00D3572B"/>
    <w:rsid w:val="00D35BA2"/>
    <w:rsid w:val="00D35DE7"/>
    <w:rsid w:val="00D35F23"/>
    <w:rsid w:val="00D35FE5"/>
    <w:rsid w:val="00D36534"/>
    <w:rsid w:val="00D3671A"/>
    <w:rsid w:val="00D36981"/>
    <w:rsid w:val="00D36B35"/>
    <w:rsid w:val="00D36F32"/>
    <w:rsid w:val="00D36FDB"/>
    <w:rsid w:val="00D36FF0"/>
    <w:rsid w:val="00D37132"/>
    <w:rsid w:val="00D37385"/>
    <w:rsid w:val="00D3740E"/>
    <w:rsid w:val="00D3743F"/>
    <w:rsid w:val="00D37451"/>
    <w:rsid w:val="00D37463"/>
    <w:rsid w:val="00D3764A"/>
    <w:rsid w:val="00D3775F"/>
    <w:rsid w:val="00D37807"/>
    <w:rsid w:val="00D37B97"/>
    <w:rsid w:val="00D37D99"/>
    <w:rsid w:val="00D37EFA"/>
    <w:rsid w:val="00D402D3"/>
    <w:rsid w:val="00D4046E"/>
    <w:rsid w:val="00D40531"/>
    <w:rsid w:val="00D40626"/>
    <w:rsid w:val="00D409EF"/>
    <w:rsid w:val="00D410D0"/>
    <w:rsid w:val="00D412C7"/>
    <w:rsid w:val="00D412F0"/>
    <w:rsid w:val="00D41342"/>
    <w:rsid w:val="00D413F6"/>
    <w:rsid w:val="00D41452"/>
    <w:rsid w:val="00D414A2"/>
    <w:rsid w:val="00D414DE"/>
    <w:rsid w:val="00D417B3"/>
    <w:rsid w:val="00D4187B"/>
    <w:rsid w:val="00D4194B"/>
    <w:rsid w:val="00D41C18"/>
    <w:rsid w:val="00D41C5D"/>
    <w:rsid w:val="00D41D95"/>
    <w:rsid w:val="00D41E37"/>
    <w:rsid w:val="00D4236E"/>
    <w:rsid w:val="00D4285F"/>
    <w:rsid w:val="00D42987"/>
    <w:rsid w:val="00D42F9A"/>
    <w:rsid w:val="00D4306A"/>
    <w:rsid w:val="00D430D9"/>
    <w:rsid w:val="00D43280"/>
    <w:rsid w:val="00D43411"/>
    <w:rsid w:val="00D43581"/>
    <w:rsid w:val="00D43634"/>
    <w:rsid w:val="00D43648"/>
    <w:rsid w:val="00D43726"/>
    <w:rsid w:val="00D43AA3"/>
    <w:rsid w:val="00D43B30"/>
    <w:rsid w:val="00D43EB8"/>
    <w:rsid w:val="00D43EC9"/>
    <w:rsid w:val="00D4448D"/>
    <w:rsid w:val="00D446F3"/>
    <w:rsid w:val="00D448A9"/>
    <w:rsid w:val="00D44B41"/>
    <w:rsid w:val="00D44E01"/>
    <w:rsid w:val="00D44EE9"/>
    <w:rsid w:val="00D44F01"/>
    <w:rsid w:val="00D45075"/>
    <w:rsid w:val="00D451ED"/>
    <w:rsid w:val="00D45396"/>
    <w:rsid w:val="00D45435"/>
    <w:rsid w:val="00D4547F"/>
    <w:rsid w:val="00D45AF9"/>
    <w:rsid w:val="00D45C0C"/>
    <w:rsid w:val="00D45CB5"/>
    <w:rsid w:val="00D45D21"/>
    <w:rsid w:val="00D45D80"/>
    <w:rsid w:val="00D45DC7"/>
    <w:rsid w:val="00D46327"/>
    <w:rsid w:val="00D46350"/>
    <w:rsid w:val="00D4655F"/>
    <w:rsid w:val="00D465AB"/>
    <w:rsid w:val="00D46713"/>
    <w:rsid w:val="00D468E9"/>
    <w:rsid w:val="00D46DDD"/>
    <w:rsid w:val="00D4700A"/>
    <w:rsid w:val="00D470BD"/>
    <w:rsid w:val="00D4741E"/>
    <w:rsid w:val="00D4751E"/>
    <w:rsid w:val="00D47538"/>
    <w:rsid w:val="00D47BD2"/>
    <w:rsid w:val="00D47FA5"/>
    <w:rsid w:val="00D47FE2"/>
    <w:rsid w:val="00D50108"/>
    <w:rsid w:val="00D501A1"/>
    <w:rsid w:val="00D503EA"/>
    <w:rsid w:val="00D504BB"/>
    <w:rsid w:val="00D50676"/>
    <w:rsid w:val="00D5080A"/>
    <w:rsid w:val="00D50A08"/>
    <w:rsid w:val="00D50CD7"/>
    <w:rsid w:val="00D51001"/>
    <w:rsid w:val="00D510E9"/>
    <w:rsid w:val="00D5133D"/>
    <w:rsid w:val="00D51883"/>
    <w:rsid w:val="00D519E4"/>
    <w:rsid w:val="00D51A28"/>
    <w:rsid w:val="00D52098"/>
    <w:rsid w:val="00D5230D"/>
    <w:rsid w:val="00D5233B"/>
    <w:rsid w:val="00D526EC"/>
    <w:rsid w:val="00D52B7F"/>
    <w:rsid w:val="00D52D46"/>
    <w:rsid w:val="00D52F22"/>
    <w:rsid w:val="00D52F8F"/>
    <w:rsid w:val="00D530A3"/>
    <w:rsid w:val="00D5315D"/>
    <w:rsid w:val="00D531AE"/>
    <w:rsid w:val="00D53508"/>
    <w:rsid w:val="00D535CE"/>
    <w:rsid w:val="00D535D7"/>
    <w:rsid w:val="00D537E1"/>
    <w:rsid w:val="00D538DA"/>
    <w:rsid w:val="00D53A4A"/>
    <w:rsid w:val="00D53D82"/>
    <w:rsid w:val="00D53DCC"/>
    <w:rsid w:val="00D541C2"/>
    <w:rsid w:val="00D544F0"/>
    <w:rsid w:val="00D5456D"/>
    <w:rsid w:val="00D5457E"/>
    <w:rsid w:val="00D545BB"/>
    <w:rsid w:val="00D54656"/>
    <w:rsid w:val="00D546A1"/>
    <w:rsid w:val="00D54705"/>
    <w:rsid w:val="00D548D9"/>
    <w:rsid w:val="00D54ED2"/>
    <w:rsid w:val="00D54F75"/>
    <w:rsid w:val="00D550F0"/>
    <w:rsid w:val="00D55163"/>
    <w:rsid w:val="00D55298"/>
    <w:rsid w:val="00D552E5"/>
    <w:rsid w:val="00D557EC"/>
    <w:rsid w:val="00D557FA"/>
    <w:rsid w:val="00D55BD8"/>
    <w:rsid w:val="00D55C4D"/>
    <w:rsid w:val="00D55D53"/>
    <w:rsid w:val="00D55FC2"/>
    <w:rsid w:val="00D560B4"/>
    <w:rsid w:val="00D562B5"/>
    <w:rsid w:val="00D56968"/>
    <w:rsid w:val="00D56A8E"/>
    <w:rsid w:val="00D56CBD"/>
    <w:rsid w:val="00D56CD6"/>
    <w:rsid w:val="00D56E0C"/>
    <w:rsid w:val="00D570CE"/>
    <w:rsid w:val="00D572E0"/>
    <w:rsid w:val="00D574A3"/>
    <w:rsid w:val="00D57589"/>
    <w:rsid w:val="00D575CD"/>
    <w:rsid w:val="00D57ADD"/>
    <w:rsid w:val="00D57FBF"/>
    <w:rsid w:val="00D57FDF"/>
    <w:rsid w:val="00D602F4"/>
    <w:rsid w:val="00D60538"/>
    <w:rsid w:val="00D608E3"/>
    <w:rsid w:val="00D60A24"/>
    <w:rsid w:val="00D60DBA"/>
    <w:rsid w:val="00D613B3"/>
    <w:rsid w:val="00D61605"/>
    <w:rsid w:val="00D61703"/>
    <w:rsid w:val="00D6170D"/>
    <w:rsid w:val="00D6191F"/>
    <w:rsid w:val="00D61A0A"/>
    <w:rsid w:val="00D61A20"/>
    <w:rsid w:val="00D61B27"/>
    <w:rsid w:val="00D61C02"/>
    <w:rsid w:val="00D61E1A"/>
    <w:rsid w:val="00D624B9"/>
    <w:rsid w:val="00D626D1"/>
    <w:rsid w:val="00D62700"/>
    <w:rsid w:val="00D6289F"/>
    <w:rsid w:val="00D63120"/>
    <w:rsid w:val="00D63331"/>
    <w:rsid w:val="00D633B9"/>
    <w:rsid w:val="00D63424"/>
    <w:rsid w:val="00D6355E"/>
    <w:rsid w:val="00D635B8"/>
    <w:rsid w:val="00D635CA"/>
    <w:rsid w:val="00D638E8"/>
    <w:rsid w:val="00D63976"/>
    <w:rsid w:val="00D639CE"/>
    <w:rsid w:val="00D63A86"/>
    <w:rsid w:val="00D63BFD"/>
    <w:rsid w:val="00D63DFD"/>
    <w:rsid w:val="00D6489C"/>
    <w:rsid w:val="00D649A4"/>
    <w:rsid w:val="00D649A8"/>
    <w:rsid w:val="00D64AED"/>
    <w:rsid w:val="00D64BE5"/>
    <w:rsid w:val="00D64D18"/>
    <w:rsid w:val="00D64E0D"/>
    <w:rsid w:val="00D64E23"/>
    <w:rsid w:val="00D65233"/>
    <w:rsid w:val="00D65775"/>
    <w:rsid w:val="00D65B31"/>
    <w:rsid w:val="00D65B67"/>
    <w:rsid w:val="00D65C2E"/>
    <w:rsid w:val="00D65C62"/>
    <w:rsid w:val="00D65C9E"/>
    <w:rsid w:val="00D65F5C"/>
    <w:rsid w:val="00D65F62"/>
    <w:rsid w:val="00D66337"/>
    <w:rsid w:val="00D6671C"/>
    <w:rsid w:val="00D66824"/>
    <w:rsid w:val="00D66A83"/>
    <w:rsid w:val="00D66B28"/>
    <w:rsid w:val="00D66C49"/>
    <w:rsid w:val="00D66CAA"/>
    <w:rsid w:val="00D66D3C"/>
    <w:rsid w:val="00D66EBD"/>
    <w:rsid w:val="00D67331"/>
    <w:rsid w:val="00D67372"/>
    <w:rsid w:val="00D674BC"/>
    <w:rsid w:val="00D676BF"/>
    <w:rsid w:val="00D67ACD"/>
    <w:rsid w:val="00D67B2C"/>
    <w:rsid w:val="00D67BA4"/>
    <w:rsid w:val="00D67D0D"/>
    <w:rsid w:val="00D67E4D"/>
    <w:rsid w:val="00D67E84"/>
    <w:rsid w:val="00D7001B"/>
    <w:rsid w:val="00D70099"/>
    <w:rsid w:val="00D701F3"/>
    <w:rsid w:val="00D7074E"/>
    <w:rsid w:val="00D70A8C"/>
    <w:rsid w:val="00D70CC0"/>
    <w:rsid w:val="00D70EB6"/>
    <w:rsid w:val="00D70F79"/>
    <w:rsid w:val="00D7117C"/>
    <w:rsid w:val="00D71374"/>
    <w:rsid w:val="00D7147F"/>
    <w:rsid w:val="00D714A7"/>
    <w:rsid w:val="00D714C6"/>
    <w:rsid w:val="00D715A9"/>
    <w:rsid w:val="00D7165D"/>
    <w:rsid w:val="00D718FA"/>
    <w:rsid w:val="00D71CF5"/>
    <w:rsid w:val="00D71F24"/>
    <w:rsid w:val="00D72250"/>
    <w:rsid w:val="00D72379"/>
    <w:rsid w:val="00D72437"/>
    <w:rsid w:val="00D725F7"/>
    <w:rsid w:val="00D72CE2"/>
    <w:rsid w:val="00D72DDB"/>
    <w:rsid w:val="00D72E17"/>
    <w:rsid w:val="00D72F34"/>
    <w:rsid w:val="00D72F9D"/>
    <w:rsid w:val="00D73103"/>
    <w:rsid w:val="00D7311C"/>
    <w:rsid w:val="00D732AA"/>
    <w:rsid w:val="00D7357B"/>
    <w:rsid w:val="00D735E6"/>
    <w:rsid w:val="00D7380B"/>
    <w:rsid w:val="00D73AAB"/>
    <w:rsid w:val="00D73EE3"/>
    <w:rsid w:val="00D7446D"/>
    <w:rsid w:val="00D746DB"/>
    <w:rsid w:val="00D74824"/>
    <w:rsid w:val="00D74E69"/>
    <w:rsid w:val="00D751E9"/>
    <w:rsid w:val="00D752EA"/>
    <w:rsid w:val="00D754B9"/>
    <w:rsid w:val="00D755B0"/>
    <w:rsid w:val="00D755C1"/>
    <w:rsid w:val="00D756F0"/>
    <w:rsid w:val="00D75952"/>
    <w:rsid w:val="00D75AEF"/>
    <w:rsid w:val="00D75B6E"/>
    <w:rsid w:val="00D75B8B"/>
    <w:rsid w:val="00D75D4C"/>
    <w:rsid w:val="00D75DCC"/>
    <w:rsid w:val="00D75E50"/>
    <w:rsid w:val="00D75E52"/>
    <w:rsid w:val="00D76063"/>
    <w:rsid w:val="00D760B3"/>
    <w:rsid w:val="00D7613A"/>
    <w:rsid w:val="00D761CD"/>
    <w:rsid w:val="00D763A1"/>
    <w:rsid w:val="00D76685"/>
    <w:rsid w:val="00D76A5A"/>
    <w:rsid w:val="00D76BA4"/>
    <w:rsid w:val="00D76E23"/>
    <w:rsid w:val="00D76E35"/>
    <w:rsid w:val="00D76F97"/>
    <w:rsid w:val="00D77179"/>
    <w:rsid w:val="00D7729D"/>
    <w:rsid w:val="00D77446"/>
    <w:rsid w:val="00D775FD"/>
    <w:rsid w:val="00D77C67"/>
    <w:rsid w:val="00D77ED6"/>
    <w:rsid w:val="00D77F89"/>
    <w:rsid w:val="00D77FC1"/>
    <w:rsid w:val="00D77FD0"/>
    <w:rsid w:val="00D801E5"/>
    <w:rsid w:val="00D808BD"/>
    <w:rsid w:val="00D8095D"/>
    <w:rsid w:val="00D80CB9"/>
    <w:rsid w:val="00D80F82"/>
    <w:rsid w:val="00D8124E"/>
    <w:rsid w:val="00D8147B"/>
    <w:rsid w:val="00D81792"/>
    <w:rsid w:val="00D819D2"/>
    <w:rsid w:val="00D81C29"/>
    <w:rsid w:val="00D81EE7"/>
    <w:rsid w:val="00D81F31"/>
    <w:rsid w:val="00D81F52"/>
    <w:rsid w:val="00D8210F"/>
    <w:rsid w:val="00D8215F"/>
    <w:rsid w:val="00D82701"/>
    <w:rsid w:val="00D8277C"/>
    <w:rsid w:val="00D82939"/>
    <w:rsid w:val="00D82FA0"/>
    <w:rsid w:val="00D830CC"/>
    <w:rsid w:val="00D8312E"/>
    <w:rsid w:val="00D83380"/>
    <w:rsid w:val="00D833D9"/>
    <w:rsid w:val="00D83440"/>
    <w:rsid w:val="00D834E4"/>
    <w:rsid w:val="00D834FD"/>
    <w:rsid w:val="00D8356A"/>
    <w:rsid w:val="00D8376A"/>
    <w:rsid w:val="00D839DE"/>
    <w:rsid w:val="00D83D52"/>
    <w:rsid w:val="00D83D9A"/>
    <w:rsid w:val="00D83E1B"/>
    <w:rsid w:val="00D83EB8"/>
    <w:rsid w:val="00D83FFC"/>
    <w:rsid w:val="00D8408A"/>
    <w:rsid w:val="00D840D4"/>
    <w:rsid w:val="00D84199"/>
    <w:rsid w:val="00D84420"/>
    <w:rsid w:val="00D8448A"/>
    <w:rsid w:val="00D8454F"/>
    <w:rsid w:val="00D84598"/>
    <w:rsid w:val="00D8478F"/>
    <w:rsid w:val="00D84890"/>
    <w:rsid w:val="00D84F13"/>
    <w:rsid w:val="00D85010"/>
    <w:rsid w:val="00D851BF"/>
    <w:rsid w:val="00D85286"/>
    <w:rsid w:val="00D85287"/>
    <w:rsid w:val="00D8529F"/>
    <w:rsid w:val="00D85300"/>
    <w:rsid w:val="00D8553C"/>
    <w:rsid w:val="00D855E0"/>
    <w:rsid w:val="00D857D2"/>
    <w:rsid w:val="00D85AB9"/>
    <w:rsid w:val="00D85ABA"/>
    <w:rsid w:val="00D85B27"/>
    <w:rsid w:val="00D85BCF"/>
    <w:rsid w:val="00D85C46"/>
    <w:rsid w:val="00D85D6C"/>
    <w:rsid w:val="00D85DDA"/>
    <w:rsid w:val="00D85EA9"/>
    <w:rsid w:val="00D861A8"/>
    <w:rsid w:val="00D8668C"/>
    <w:rsid w:val="00D866CB"/>
    <w:rsid w:val="00D868CB"/>
    <w:rsid w:val="00D86925"/>
    <w:rsid w:val="00D86AAD"/>
    <w:rsid w:val="00D86CAE"/>
    <w:rsid w:val="00D86DC6"/>
    <w:rsid w:val="00D86F07"/>
    <w:rsid w:val="00D86FD1"/>
    <w:rsid w:val="00D870D9"/>
    <w:rsid w:val="00D871F3"/>
    <w:rsid w:val="00D87259"/>
    <w:rsid w:val="00D87801"/>
    <w:rsid w:val="00D87BF3"/>
    <w:rsid w:val="00D87C37"/>
    <w:rsid w:val="00D87E51"/>
    <w:rsid w:val="00D9007B"/>
    <w:rsid w:val="00D90418"/>
    <w:rsid w:val="00D90752"/>
    <w:rsid w:val="00D90A2A"/>
    <w:rsid w:val="00D90A55"/>
    <w:rsid w:val="00D90B0C"/>
    <w:rsid w:val="00D917A8"/>
    <w:rsid w:val="00D91BA5"/>
    <w:rsid w:val="00D91C69"/>
    <w:rsid w:val="00D91DA4"/>
    <w:rsid w:val="00D921E9"/>
    <w:rsid w:val="00D922AD"/>
    <w:rsid w:val="00D9234D"/>
    <w:rsid w:val="00D92406"/>
    <w:rsid w:val="00D92B49"/>
    <w:rsid w:val="00D9306E"/>
    <w:rsid w:val="00D930AD"/>
    <w:rsid w:val="00D93641"/>
    <w:rsid w:val="00D936FB"/>
    <w:rsid w:val="00D93711"/>
    <w:rsid w:val="00D937B9"/>
    <w:rsid w:val="00D93BBC"/>
    <w:rsid w:val="00D93D48"/>
    <w:rsid w:val="00D93DE9"/>
    <w:rsid w:val="00D93F17"/>
    <w:rsid w:val="00D94529"/>
    <w:rsid w:val="00D945BC"/>
    <w:rsid w:val="00D94614"/>
    <w:rsid w:val="00D9463D"/>
    <w:rsid w:val="00D94A70"/>
    <w:rsid w:val="00D94EAC"/>
    <w:rsid w:val="00D94F8F"/>
    <w:rsid w:val="00D953E6"/>
    <w:rsid w:val="00D95497"/>
    <w:rsid w:val="00D95615"/>
    <w:rsid w:val="00D9588C"/>
    <w:rsid w:val="00D95947"/>
    <w:rsid w:val="00D95998"/>
    <w:rsid w:val="00D95AD8"/>
    <w:rsid w:val="00D95BF4"/>
    <w:rsid w:val="00D95C89"/>
    <w:rsid w:val="00D95DC0"/>
    <w:rsid w:val="00D96244"/>
    <w:rsid w:val="00D96775"/>
    <w:rsid w:val="00D967E7"/>
    <w:rsid w:val="00D96AAC"/>
    <w:rsid w:val="00D96B56"/>
    <w:rsid w:val="00D96EAA"/>
    <w:rsid w:val="00D96FC2"/>
    <w:rsid w:val="00D97030"/>
    <w:rsid w:val="00D97282"/>
    <w:rsid w:val="00D973E3"/>
    <w:rsid w:val="00D97585"/>
    <w:rsid w:val="00D97B71"/>
    <w:rsid w:val="00DA00AA"/>
    <w:rsid w:val="00DA012D"/>
    <w:rsid w:val="00DA03B9"/>
    <w:rsid w:val="00DA0676"/>
    <w:rsid w:val="00DA06CE"/>
    <w:rsid w:val="00DA0738"/>
    <w:rsid w:val="00DA09CE"/>
    <w:rsid w:val="00DA0BAB"/>
    <w:rsid w:val="00DA0F82"/>
    <w:rsid w:val="00DA122D"/>
    <w:rsid w:val="00DA14C3"/>
    <w:rsid w:val="00DA14CD"/>
    <w:rsid w:val="00DA1625"/>
    <w:rsid w:val="00DA1959"/>
    <w:rsid w:val="00DA1AAC"/>
    <w:rsid w:val="00DA1D4C"/>
    <w:rsid w:val="00DA234E"/>
    <w:rsid w:val="00DA241A"/>
    <w:rsid w:val="00DA2490"/>
    <w:rsid w:val="00DA262F"/>
    <w:rsid w:val="00DA2ADD"/>
    <w:rsid w:val="00DA2BEF"/>
    <w:rsid w:val="00DA2C14"/>
    <w:rsid w:val="00DA2C21"/>
    <w:rsid w:val="00DA2C2F"/>
    <w:rsid w:val="00DA2D0B"/>
    <w:rsid w:val="00DA32EB"/>
    <w:rsid w:val="00DA33A5"/>
    <w:rsid w:val="00DA3507"/>
    <w:rsid w:val="00DA364C"/>
    <w:rsid w:val="00DA3CED"/>
    <w:rsid w:val="00DA3DAC"/>
    <w:rsid w:val="00DA3EA3"/>
    <w:rsid w:val="00DA3F33"/>
    <w:rsid w:val="00DA4256"/>
    <w:rsid w:val="00DA42CB"/>
    <w:rsid w:val="00DA46C4"/>
    <w:rsid w:val="00DA4735"/>
    <w:rsid w:val="00DA4A66"/>
    <w:rsid w:val="00DA4D36"/>
    <w:rsid w:val="00DA4DBC"/>
    <w:rsid w:val="00DA5362"/>
    <w:rsid w:val="00DA53A2"/>
    <w:rsid w:val="00DA5606"/>
    <w:rsid w:val="00DA564A"/>
    <w:rsid w:val="00DA5D0C"/>
    <w:rsid w:val="00DA5DDA"/>
    <w:rsid w:val="00DA5EB4"/>
    <w:rsid w:val="00DA5EDF"/>
    <w:rsid w:val="00DA60D5"/>
    <w:rsid w:val="00DA62C2"/>
    <w:rsid w:val="00DA6329"/>
    <w:rsid w:val="00DA6C2A"/>
    <w:rsid w:val="00DA6C8C"/>
    <w:rsid w:val="00DA6F61"/>
    <w:rsid w:val="00DA726D"/>
    <w:rsid w:val="00DA7508"/>
    <w:rsid w:val="00DA757C"/>
    <w:rsid w:val="00DA775B"/>
    <w:rsid w:val="00DA77BC"/>
    <w:rsid w:val="00DA7D81"/>
    <w:rsid w:val="00DA7F7E"/>
    <w:rsid w:val="00DB005B"/>
    <w:rsid w:val="00DB013A"/>
    <w:rsid w:val="00DB0181"/>
    <w:rsid w:val="00DB02A3"/>
    <w:rsid w:val="00DB0394"/>
    <w:rsid w:val="00DB0620"/>
    <w:rsid w:val="00DB06C4"/>
    <w:rsid w:val="00DB07AE"/>
    <w:rsid w:val="00DB0925"/>
    <w:rsid w:val="00DB09D7"/>
    <w:rsid w:val="00DB0C98"/>
    <w:rsid w:val="00DB0D57"/>
    <w:rsid w:val="00DB1021"/>
    <w:rsid w:val="00DB10C7"/>
    <w:rsid w:val="00DB1151"/>
    <w:rsid w:val="00DB1183"/>
    <w:rsid w:val="00DB11EF"/>
    <w:rsid w:val="00DB14D7"/>
    <w:rsid w:val="00DB167A"/>
    <w:rsid w:val="00DB183F"/>
    <w:rsid w:val="00DB18AF"/>
    <w:rsid w:val="00DB1AD6"/>
    <w:rsid w:val="00DB1D97"/>
    <w:rsid w:val="00DB22B4"/>
    <w:rsid w:val="00DB2464"/>
    <w:rsid w:val="00DB2472"/>
    <w:rsid w:val="00DB2495"/>
    <w:rsid w:val="00DB264A"/>
    <w:rsid w:val="00DB28D1"/>
    <w:rsid w:val="00DB2A92"/>
    <w:rsid w:val="00DB2B9A"/>
    <w:rsid w:val="00DB2D05"/>
    <w:rsid w:val="00DB3193"/>
    <w:rsid w:val="00DB3ADF"/>
    <w:rsid w:val="00DB3D4A"/>
    <w:rsid w:val="00DB3E79"/>
    <w:rsid w:val="00DB3F70"/>
    <w:rsid w:val="00DB3F8A"/>
    <w:rsid w:val="00DB3F8F"/>
    <w:rsid w:val="00DB4127"/>
    <w:rsid w:val="00DB4199"/>
    <w:rsid w:val="00DB42A5"/>
    <w:rsid w:val="00DB43E1"/>
    <w:rsid w:val="00DB4495"/>
    <w:rsid w:val="00DB4657"/>
    <w:rsid w:val="00DB4737"/>
    <w:rsid w:val="00DB4872"/>
    <w:rsid w:val="00DB4893"/>
    <w:rsid w:val="00DB48AA"/>
    <w:rsid w:val="00DB48AF"/>
    <w:rsid w:val="00DB4AB0"/>
    <w:rsid w:val="00DB4ACD"/>
    <w:rsid w:val="00DB4C65"/>
    <w:rsid w:val="00DB4FD9"/>
    <w:rsid w:val="00DB52CE"/>
    <w:rsid w:val="00DB586B"/>
    <w:rsid w:val="00DB5922"/>
    <w:rsid w:val="00DB5EEB"/>
    <w:rsid w:val="00DB6163"/>
    <w:rsid w:val="00DB659F"/>
    <w:rsid w:val="00DB6650"/>
    <w:rsid w:val="00DB6802"/>
    <w:rsid w:val="00DB68CD"/>
    <w:rsid w:val="00DB6A12"/>
    <w:rsid w:val="00DB6AD8"/>
    <w:rsid w:val="00DB6BF3"/>
    <w:rsid w:val="00DB6CF6"/>
    <w:rsid w:val="00DB6D1C"/>
    <w:rsid w:val="00DB6DA7"/>
    <w:rsid w:val="00DB6FE4"/>
    <w:rsid w:val="00DB7087"/>
    <w:rsid w:val="00DB724B"/>
    <w:rsid w:val="00DB74A1"/>
    <w:rsid w:val="00DB752F"/>
    <w:rsid w:val="00DB755B"/>
    <w:rsid w:val="00DB7619"/>
    <w:rsid w:val="00DB7AC5"/>
    <w:rsid w:val="00DB7C10"/>
    <w:rsid w:val="00DB7C86"/>
    <w:rsid w:val="00DB7FC4"/>
    <w:rsid w:val="00DC0040"/>
    <w:rsid w:val="00DC00BF"/>
    <w:rsid w:val="00DC01D8"/>
    <w:rsid w:val="00DC0433"/>
    <w:rsid w:val="00DC0497"/>
    <w:rsid w:val="00DC0661"/>
    <w:rsid w:val="00DC08BD"/>
    <w:rsid w:val="00DC0A1F"/>
    <w:rsid w:val="00DC0A3F"/>
    <w:rsid w:val="00DC0B34"/>
    <w:rsid w:val="00DC0B5C"/>
    <w:rsid w:val="00DC0B9C"/>
    <w:rsid w:val="00DC0C7D"/>
    <w:rsid w:val="00DC0D50"/>
    <w:rsid w:val="00DC0E77"/>
    <w:rsid w:val="00DC10D6"/>
    <w:rsid w:val="00DC1595"/>
    <w:rsid w:val="00DC17FB"/>
    <w:rsid w:val="00DC18BB"/>
    <w:rsid w:val="00DC1E66"/>
    <w:rsid w:val="00DC1E87"/>
    <w:rsid w:val="00DC2091"/>
    <w:rsid w:val="00DC2368"/>
    <w:rsid w:val="00DC2443"/>
    <w:rsid w:val="00DC256D"/>
    <w:rsid w:val="00DC2C6E"/>
    <w:rsid w:val="00DC2CF9"/>
    <w:rsid w:val="00DC2EB6"/>
    <w:rsid w:val="00DC2F0C"/>
    <w:rsid w:val="00DC304C"/>
    <w:rsid w:val="00DC30CA"/>
    <w:rsid w:val="00DC32A2"/>
    <w:rsid w:val="00DC3374"/>
    <w:rsid w:val="00DC34D1"/>
    <w:rsid w:val="00DC3737"/>
    <w:rsid w:val="00DC3A59"/>
    <w:rsid w:val="00DC3CB4"/>
    <w:rsid w:val="00DC410D"/>
    <w:rsid w:val="00DC42A3"/>
    <w:rsid w:val="00DC42B5"/>
    <w:rsid w:val="00DC448C"/>
    <w:rsid w:val="00DC46C9"/>
    <w:rsid w:val="00DC48A9"/>
    <w:rsid w:val="00DC4A27"/>
    <w:rsid w:val="00DC4AC3"/>
    <w:rsid w:val="00DC4B71"/>
    <w:rsid w:val="00DC4C74"/>
    <w:rsid w:val="00DC52A6"/>
    <w:rsid w:val="00DC5332"/>
    <w:rsid w:val="00DC5407"/>
    <w:rsid w:val="00DC5615"/>
    <w:rsid w:val="00DC588A"/>
    <w:rsid w:val="00DC595C"/>
    <w:rsid w:val="00DC5A21"/>
    <w:rsid w:val="00DC5B1E"/>
    <w:rsid w:val="00DC5BFF"/>
    <w:rsid w:val="00DC6088"/>
    <w:rsid w:val="00DC62DD"/>
    <w:rsid w:val="00DC62EF"/>
    <w:rsid w:val="00DC631F"/>
    <w:rsid w:val="00DC6494"/>
    <w:rsid w:val="00DC663A"/>
    <w:rsid w:val="00DC6784"/>
    <w:rsid w:val="00DC67B0"/>
    <w:rsid w:val="00DC6A7A"/>
    <w:rsid w:val="00DC6BFD"/>
    <w:rsid w:val="00DC6C12"/>
    <w:rsid w:val="00DC6DFF"/>
    <w:rsid w:val="00DC732C"/>
    <w:rsid w:val="00DC7461"/>
    <w:rsid w:val="00DC75D7"/>
    <w:rsid w:val="00DC79AC"/>
    <w:rsid w:val="00DC7BC1"/>
    <w:rsid w:val="00DC7BDB"/>
    <w:rsid w:val="00DC7D37"/>
    <w:rsid w:val="00DC7F9A"/>
    <w:rsid w:val="00DD017F"/>
    <w:rsid w:val="00DD0398"/>
    <w:rsid w:val="00DD06C4"/>
    <w:rsid w:val="00DD0A5A"/>
    <w:rsid w:val="00DD0AC9"/>
    <w:rsid w:val="00DD0BD5"/>
    <w:rsid w:val="00DD0CC0"/>
    <w:rsid w:val="00DD0D22"/>
    <w:rsid w:val="00DD14E8"/>
    <w:rsid w:val="00DD1552"/>
    <w:rsid w:val="00DD1685"/>
    <w:rsid w:val="00DD1B71"/>
    <w:rsid w:val="00DD1C1F"/>
    <w:rsid w:val="00DD1C96"/>
    <w:rsid w:val="00DD1E98"/>
    <w:rsid w:val="00DD2207"/>
    <w:rsid w:val="00DD2242"/>
    <w:rsid w:val="00DD25E9"/>
    <w:rsid w:val="00DD262B"/>
    <w:rsid w:val="00DD26FB"/>
    <w:rsid w:val="00DD2A37"/>
    <w:rsid w:val="00DD2BFF"/>
    <w:rsid w:val="00DD2D06"/>
    <w:rsid w:val="00DD30C0"/>
    <w:rsid w:val="00DD3349"/>
    <w:rsid w:val="00DD377F"/>
    <w:rsid w:val="00DD38F8"/>
    <w:rsid w:val="00DD396F"/>
    <w:rsid w:val="00DD397E"/>
    <w:rsid w:val="00DD3D9A"/>
    <w:rsid w:val="00DD3E9B"/>
    <w:rsid w:val="00DD3F9A"/>
    <w:rsid w:val="00DD3FAC"/>
    <w:rsid w:val="00DD4310"/>
    <w:rsid w:val="00DD454C"/>
    <w:rsid w:val="00DD463D"/>
    <w:rsid w:val="00DD4AB1"/>
    <w:rsid w:val="00DD4F60"/>
    <w:rsid w:val="00DD4F7B"/>
    <w:rsid w:val="00DD5133"/>
    <w:rsid w:val="00DD5322"/>
    <w:rsid w:val="00DD532B"/>
    <w:rsid w:val="00DD535E"/>
    <w:rsid w:val="00DD53C1"/>
    <w:rsid w:val="00DD5675"/>
    <w:rsid w:val="00DD58DC"/>
    <w:rsid w:val="00DD590A"/>
    <w:rsid w:val="00DD5A87"/>
    <w:rsid w:val="00DD5AD8"/>
    <w:rsid w:val="00DD5FA9"/>
    <w:rsid w:val="00DD5FD8"/>
    <w:rsid w:val="00DD6191"/>
    <w:rsid w:val="00DD6267"/>
    <w:rsid w:val="00DD6722"/>
    <w:rsid w:val="00DD674A"/>
    <w:rsid w:val="00DD681D"/>
    <w:rsid w:val="00DD6931"/>
    <w:rsid w:val="00DD6963"/>
    <w:rsid w:val="00DD69AF"/>
    <w:rsid w:val="00DD6BAF"/>
    <w:rsid w:val="00DD6BD5"/>
    <w:rsid w:val="00DD6F35"/>
    <w:rsid w:val="00DD7049"/>
    <w:rsid w:val="00DD73CD"/>
    <w:rsid w:val="00DD750E"/>
    <w:rsid w:val="00DD7A87"/>
    <w:rsid w:val="00DD7E98"/>
    <w:rsid w:val="00DE018A"/>
    <w:rsid w:val="00DE0231"/>
    <w:rsid w:val="00DE03D9"/>
    <w:rsid w:val="00DE046A"/>
    <w:rsid w:val="00DE048E"/>
    <w:rsid w:val="00DE04A4"/>
    <w:rsid w:val="00DE05AE"/>
    <w:rsid w:val="00DE0AD2"/>
    <w:rsid w:val="00DE0C78"/>
    <w:rsid w:val="00DE0DCE"/>
    <w:rsid w:val="00DE105D"/>
    <w:rsid w:val="00DE11E2"/>
    <w:rsid w:val="00DE1285"/>
    <w:rsid w:val="00DE134F"/>
    <w:rsid w:val="00DE1365"/>
    <w:rsid w:val="00DE13EF"/>
    <w:rsid w:val="00DE1648"/>
    <w:rsid w:val="00DE1770"/>
    <w:rsid w:val="00DE1949"/>
    <w:rsid w:val="00DE1B2E"/>
    <w:rsid w:val="00DE1B53"/>
    <w:rsid w:val="00DE1C98"/>
    <w:rsid w:val="00DE1E0F"/>
    <w:rsid w:val="00DE1EF1"/>
    <w:rsid w:val="00DE2108"/>
    <w:rsid w:val="00DE2129"/>
    <w:rsid w:val="00DE213A"/>
    <w:rsid w:val="00DE2730"/>
    <w:rsid w:val="00DE2958"/>
    <w:rsid w:val="00DE2E1C"/>
    <w:rsid w:val="00DE3059"/>
    <w:rsid w:val="00DE32FB"/>
    <w:rsid w:val="00DE339B"/>
    <w:rsid w:val="00DE34D4"/>
    <w:rsid w:val="00DE34FA"/>
    <w:rsid w:val="00DE3573"/>
    <w:rsid w:val="00DE3ACC"/>
    <w:rsid w:val="00DE3BE9"/>
    <w:rsid w:val="00DE3F96"/>
    <w:rsid w:val="00DE42EA"/>
    <w:rsid w:val="00DE49E3"/>
    <w:rsid w:val="00DE4A14"/>
    <w:rsid w:val="00DE5040"/>
    <w:rsid w:val="00DE50BC"/>
    <w:rsid w:val="00DE53EC"/>
    <w:rsid w:val="00DE5793"/>
    <w:rsid w:val="00DE591A"/>
    <w:rsid w:val="00DE5E26"/>
    <w:rsid w:val="00DE5EBC"/>
    <w:rsid w:val="00DE6226"/>
    <w:rsid w:val="00DE638A"/>
    <w:rsid w:val="00DE66A3"/>
    <w:rsid w:val="00DE6736"/>
    <w:rsid w:val="00DE673B"/>
    <w:rsid w:val="00DE6759"/>
    <w:rsid w:val="00DE6A5D"/>
    <w:rsid w:val="00DE6EA7"/>
    <w:rsid w:val="00DE6EDA"/>
    <w:rsid w:val="00DE73C5"/>
    <w:rsid w:val="00DE7700"/>
    <w:rsid w:val="00DE775E"/>
    <w:rsid w:val="00DE786D"/>
    <w:rsid w:val="00DE7F5C"/>
    <w:rsid w:val="00DE7F97"/>
    <w:rsid w:val="00DF002E"/>
    <w:rsid w:val="00DF01EE"/>
    <w:rsid w:val="00DF01FB"/>
    <w:rsid w:val="00DF02E4"/>
    <w:rsid w:val="00DF02F0"/>
    <w:rsid w:val="00DF05A8"/>
    <w:rsid w:val="00DF07AA"/>
    <w:rsid w:val="00DF0806"/>
    <w:rsid w:val="00DF0F01"/>
    <w:rsid w:val="00DF0F07"/>
    <w:rsid w:val="00DF1034"/>
    <w:rsid w:val="00DF10B7"/>
    <w:rsid w:val="00DF1143"/>
    <w:rsid w:val="00DF129E"/>
    <w:rsid w:val="00DF1339"/>
    <w:rsid w:val="00DF1563"/>
    <w:rsid w:val="00DF15D0"/>
    <w:rsid w:val="00DF18D1"/>
    <w:rsid w:val="00DF194D"/>
    <w:rsid w:val="00DF1C84"/>
    <w:rsid w:val="00DF1D6F"/>
    <w:rsid w:val="00DF1E8D"/>
    <w:rsid w:val="00DF24BF"/>
    <w:rsid w:val="00DF24E2"/>
    <w:rsid w:val="00DF2D37"/>
    <w:rsid w:val="00DF2D7C"/>
    <w:rsid w:val="00DF2E36"/>
    <w:rsid w:val="00DF2F5A"/>
    <w:rsid w:val="00DF30FB"/>
    <w:rsid w:val="00DF31F1"/>
    <w:rsid w:val="00DF3211"/>
    <w:rsid w:val="00DF33BE"/>
    <w:rsid w:val="00DF33C7"/>
    <w:rsid w:val="00DF36CE"/>
    <w:rsid w:val="00DF39B2"/>
    <w:rsid w:val="00DF3D43"/>
    <w:rsid w:val="00DF40A2"/>
    <w:rsid w:val="00DF410E"/>
    <w:rsid w:val="00DF4221"/>
    <w:rsid w:val="00DF4314"/>
    <w:rsid w:val="00DF43AF"/>
    <w:rsid w:val="00DF4585"/>
    <w:rsid w:val="00DF48EB"/>
    <w:rsid w:val="00DF4AA3"/>
    <w:rsid w:val="00DF4BBC"/>
    <w:rsid w:val="00DF4BE0"/>
    <w:rsid w:val="00DF4F3B"/>
    <w:rsid w:val="00DF511F"/>
    <w:rsid w:val="00DF528E"/>
    <w:rsid w:val="00DF5700"/>
    <w:rsid w:val="00DF574A"/>
    <w:rsid w:val="00DF5B73"/>
    <w:rsid w:val="00DF5D03"/>
    <w:rsid w:val="00DF6214"/>
    <w:rsid w:val="00DF6305"/>
    <w:rsid w:val="00DF643F"/>
    <w:rsid w:val="00DF66E0"/>
    <w:rsid w:val="00DF6A81"/>
    <w:rsid w:val="00DF6C13"/>
    <w:rsid w:val="00DF6F0F"/>
    <w:rsid w:val="00DF6F7E"/>
    <w:rsid w:val="00DF71FE"/>
    <w:rsid w:val="00DF7454"/>
    <w:rsid w:val="00DF751E"/>
    <w:rsid w:val="00DF755F"/>
    <w:rsid w:val="00DF75B3"/>
    <w:rsid w:val="00DF7612"/>
    <w:rsid w:val="00DF78C3"/>
    <w:rsid w:val="00DF79A5"/>
    <w:rsid w:val="00DF79E7"/>
    <w:rsid w:val="00DF7B86"/>
    <w:rsid w:val="00DF7FC0"/>
    <w:rsid w:val="00E000FE"/>
    <w:rsid w:val="00E00131"/>
    <w:rsid w:val="00E00152"/>
    <w:rsid w:val="00E00599"/>
    <w:rsid w:val="00E005E8"/>
    <w:rsid w:val="00E00948"/>
    <w:rsid w:val="00E00BE1"/>
    <w:rsid w:val="00E00D1E"/>
    <w:rsid w:val="00E00E08"/>
    <w:rsid w:val="00E0140B"/>
    <w:rsid w:val="00E01464"/>
    <w:rsid w:val="00E01649"/>
    <w:rsid w:val="00E01978"/>
    <w:rsid w:val="00E019A3"/>
    <w:rsid w:val="00E0210C"/>
    <w:rsid w:val="00E02507"/>
    <w:rsid w:val="00E0272A"/>
    <w:rsid w:val="00E027AE"/>
    <w:rsid w:val="00E028DE"/>
    <w:rsid w:val="00E02952"/>
    <w:rsid w:val="00E02BDA"/>
    <w:rsid w:val="00E02CB1"/>
    <w:rsid w:val="00E02D19"/>
    <w:rsid w:val="00E02F6E"/>
    <w:rsid w:val="00E0320C"/>
    <w:rsid w:val="00E0336B"/>
    <w:rsid w:val="00E0350D"/>
    <w:rsid w:val="00E038D4"/>
    <w:rsid w:val="00E03F80"/>
    <w:rsid w:val="00E046A5"/>
    <w:rsid w:val="00E04816"/>
    <w:rsid w:val="00E04B57"/>
    <w:rsid w:val="00E04C24"/>
    <w:rsid w:val="00E04E6D"/>
    <w:rsid w:val="00E05060"/>
    <w:rsid w:val="00E0508F"/>
    <w:rsid w:val="00E051FF"/>
    <w:rsid w:val="00E05955"/>
    <w:rsid w:val="00E059FD"/>
    <w:rsid w:val="00E05AE2"/>
    <w:rsid w:val="00E05C6E"/>
    <w:rsid w:val="00E05CDA"/>
    <w:rsid w:val="00E05F68"/>
    <w:rsid w:val="00E060DC"/>
    <w:rsid w:val="00E066A2"/>
    <w:rsid w:val="00E06876"/>
    <w:rsid w:val="00E068C2"/>
    <w:rsid w:val="00E06A24"/>
    <w:rsid w:val="00E06AC5"/>
    <w:rsid w:val="00E06C69"/>
    <w:rsid w:val="00E06C75"/>
    <w:rsid w:val="00E06FD4"/>
    <w:rsid w:val="00E072A9"/>
    <w:rsid w:val="00E073DE"/>
    <w:rsid w:val="00E0742B"/>
    <w:rsid w:val="00E074D0"/>
    <w:rsid w:val="00E076FE"/>
    <w:rsid w:val="00E07728"/>
    <w:rsid w:val="00E0773E"/>
    <w:rsid w:val="00E0786F"/>
    <w:rsid w:val="00E07940"/>
    <w:rsid w:val="00E07F58"/>
    <w:rsid w:val="00E1000B"/>
    <w:rsid w:val="00E100C3"/>
    <w:rsid w:val="00E102C4"/>
    <w:rsid w:val="00E1041E"/>
    <w:rsid w:val="00E1059E"/>
    <w:rsid w:val="00E106F9"/>
    <w:rsid w:val="00E10747"/>
    <w:rsid w:val="00E10C68"/>
    <w:rsid w:val="00E10DAE"/>
    <w:rsid w:val="00E10E22"/>
    <w:rsid w:val="00E10F52"/>
    <w:rsid w:val="00E11082"/>
    <w:rsid w:val="00E11272"/>
    <w:rsid w:val="00E1145F"/>
    <w:rsid w:val="00E11659"/>
    <w:rsid w:val="00E11893"/>
    <w:rsid w:val="00E11A52"/>
    <w:rsid w:val="00E11E51"/>
    <w:rsid w:val="00E11EA6"/>
    <w:rsid w:val="00E11ECE"/>
    <w:rsid w:val="00E12261"/>
    <w:rsid w:val="00E12766"/>
    <w:rsid w:val="00E12B0B"/>
    <w:rsid w:val="00E12B7F"/>
    <w:rsid w:val="00E12E28"/>
    <w:rsid w:val="00E12EA4"/>
    <w:rsid w:val="00E12EB6"/>
    <w:rsid w:val="00E13215"/>
    <w:rsid w:val="00E13681"/>
    <w:rsid w:val="00E13E99"/>
    <w:rsid w:val="00E13F42"/>
    <w:rsid w:val="00E14083"/>
    <w:rsid w:val="00E142DE"/>
    <w:rsid w:val="00E144C2"/>
    <w:rsid w:val="00E14800"/>
    <w:rsid w:val="00E148EE"/>
    <w:rsid w:val="00E1490E"/>
    <w:rsid w:val="00E14A9E"/>
    <w:rsid w:val="00E14AAA"/>
    <w:rsid w:val="00E14BAE"/>
    <w:rsid w:val="00E14E52"/>
    <w:rsid w:val="00E14FD3"/>
    <w:rsid w:val="00E15041"/>
    <w:rsid w:val="00E15259"/>
    <w:rsid w:val="00E15379"/>
    <w:rsid w:val="00E15480"/>
    <w:rsid w:val="00E154A4"/>
    <w:rsid w:val="00E154D7"/>
    <w:rsid w:val="00E15677"/>
    <w:rsid w:val="00E156EE"/>
    <w:rsid w:val="00E15AF3"/>
    <w:rsid w:val="00E15D45"/>
    <w:rsid w:val="00E15D7D"/>
    <w:rsid w:val="00E15DEC"/>
    <w:rsid w:val="00E15EF2"/>
    <w:rsid w:val="00E163F2"/>
    <w:rsid w:val="00E1654D"/>
    <w:rsid w:val="00E1658A"/>
    <w:rsid w:val="00E165E6"/>
    <w:rsid w:val="00E165EC"/>
    <w:rsid w:val="00E16660"/>
    <w:rsid w:val="00E166B8"/>
    <w:rsid w:val="00E168CA"/>
    <w:rsid w:val="00E16962"/>
    <w:rsid w:val="00E16980"/>
    <w:rsid w:val="00E16B4A"/>
    <w:rsid w:val="00E16C31"/>
    <w:rsid w:val="00E175C6"/>
    <w:rsid w:val="00E17621"/>
    <w:rsid w:val="00E17903"/>
    <w:rsid w:val="00E179AA"/>
    <w:rsid w:val="00E179B7"/>
    <w:rsid w:val="00E17CBF"/>
    <w:rsid w:val="00E17E4F"/>
    <w:rsid w:val="00E17F49"/>
    <w:rsid w:val="00E204BC"/>
    <w:rsid w:val="00E2056C"/>
    <w:rsid w:val="00E205C3"/>
    <w:rsid w:val="00E209E0"/>
    <w:rsid w:val="00E20AEB"/>
    <w:rsid w:val="00E20DC1"/>
    <w:rsid w:val="00E20FB7"/>
    <w:rsid w:val="00E21215"/>
    <w:rsid w:val="00E2122E"/>
    <w:rsid w:val="00E218F5"/>
    <w:rsid w:val="00E21966"/>
    <w:rsid w:val="00E21EEB"/>
    <w:rsid w:val="00E21F00"/>
    <w:rsid w:val="00E22137"/>
    <w:rsid w:val="00E2229B"/>
    <w:rsid w:val="00E222F0"/>
    <w:rsid w:val="00E22484"/>
    <w:rsid w:val="00E22731"/>
    <w:rsid w:val="00E22C30"/>
    <w:rsid w:val="00E22EF6"/>
    <w:rsid w:val="00E22FF7"/>
    <w:rsid w:val="00E238C5"/>
    <w:rsid w:val="00E23A38"/>
    <w:rsid w:val="00E23A8D"/>
    <w:rsid w:val="00E23C04"/>
    <w:rsid w:val="00E2401B"/>
    <w:rsid w:val="00E240C5"/>
    <w:rsid w:val="00E241B9"/>
    <w:rsid w:val="00E24570"/>
    <w:rsid w:val="00E24627"/>
    <w:rsid w:val="00E24754"/>
    <w:rsid w:val="00E2485C"/>
    <w:rsid w:val="00E24EEA"/>
    <w:rsid w:val="00E25109"/>
    <w:rsid w:val="00E251F9"/>
    <w:rsid w:val="00E2520F"/>
    <w:rsid w:val="00E254B5"/>
    <w:rsid w:val="00E2560F"/>
    <w:rsid w:val="00E2580D"/>
    <w:rsid w:val="00E25911"/>
    <w:rsid w:val="00E25D4C"/>
    <w:rsid w:val="00E25E9D"/>
    <w:rsid w:val="00E25F45"/>
    <w:rsid w:val="00E26715"/>
    <w:rsid w:val="00E2673A"/>
    <w:rsid w:val="00E26F76"/>
    <w:rsid w:val="00E270F5"/>
    <w:rsid w:val="00E2744B"/>
    <w:rsid w:val="00E2787D"/>
    <w:rsid w:val="00E27A10"/>
    <w:rsid w:val="00E27ADB"/>
    <w:rsid w:val="00E27B38"/>
    <w:rsid w:val="00E27C16"/>
    <w:rsid w:val="00E27ED9"/>
    <w:rsid w:val="00E27F22"/>
    <w:rsid w:val="00E27F38"/>
    <w:rsid w:val="00E27FE6"/>
    <w:rsid w:val="00E3020E"/>
    <w:rsid w:val="00E30422"/>
    <w:rsid w:val="00E3090E"/>
    <w:rsid w:val="00E30948"/>
    <w:rsid w:val="00E30A87"/>
    <w:rsid w:val="00E30AD8"/>
    <w:rsid w:val="00E30D01"/>
    <w:rsid w:val="00E30F19"/>
    <w:rsid w:val="00E30F2D"/>
    <w:rsid w:val="00E314AF"/>
    <w:rsid w:val="00E31759"/>
    <w:rsid w:val="00E31CD3"/>
    <w:rsid w:val="00E322EE"/>
    <w:rsid w:val="00E322FD"/>
    <w:rsid w:val="00E3254E"/>
    <w:rsid w:val="00E32648"/>
    <w:rsid w:val="00E32754"/>
    <w:rsid w:val="00E32A54"/>
    <w:rsid w:val="00E32A88"/>
    <w:rsid w:val="00E32E0D"/>
    <w:rsid w:val="00E32E47"/>
    <w:rsid w:val="00E32FA0"/>
    <w:rsid w:val="00E33331"/>
    <w:rsid w:val="00E33576"/>
    <w:rsid w:val="00E3365D"/>
    <w:rsid w:val="00E33830"/>
    <w:rsid w:val="00E33B64"/>
    <w:rsid w:val="00E33C06"/>
    <w:rsid w:val="00E33E23"/>
    <w:rsid w:val="00E33E36"/>
    <w:rsid w:val="00E33F98"/>
    <w:rsid w:val="00E34058"/>
    <w:rsid w:val="00E340D2"/>
    <w:rsid w:val="00E3426F"/>
    <w:rsid w:val="00E342C6"/>
    <w:rsid w:val="00E345F7"/>
    <w:rsid w:val="00E34704"/>
    <w:rsid w:val="00E34BEE"/>
    <w:rsid w:val="00E34BFE"/>
    <w:rsid w:val="00E34C4D"/>
    <w:rsid w:val="00E34CA1"/>
    <w:rsid w:val="00E34D7B"/>
    <w:rsid w:val="00E34D9C"/>
    <w:rsid w:val="00E34DDB"/>
    <w:rsid w:val="00E35160"/>
    <w:rsid w:val="00E3571F"/>
    <w:rsid w:val="00E3584E"/>
    <w:rsid w:val="00E35AD3"/>
    <w:rsid w:val="00E35C04"/>
    <w:rsid w:val="00E35D28"/>
    <w:rsid w:val="00E35E00"/>
    <w:rsid w:val="00E35E8F"/>
    <w:rsid w:val="00E362B9"/>
    <w:rsid w:val="00E36631"/>
    <w:rsid w:val="00E36771"/>
    <w:rsid w:val="00E367A7"/>
    <w:rsid w:val="00E36BDE"/>
    <w:rsid w:val="00E36FDA"/>
    <w:rsid w:val="00E36FF8"/>
    <w:rsid w:val="00E37035"/>
    <w:rsid w:val="00E3721C"/>
    <w:rsid w:val="00E372D2"/>
    <w:rsid w:val="00E373F4"/>
    <w:rsid w:val="00E37BA3"/>
    <w:rsid w:val="00E37CAF"/>
    <w:rsid w:val="00E40277"/>
    <w:rsid w:val="00E4038E"/>
    <w:rsid w:val="00E40544"/>
    <w:rsid w:val="00E40BC0"/>
    <w:rsid w:val="00E40CBD"/>
    <w:rsid w:val="00E40F83"/>
    <w:rsid w:val="00E412C6"/>
    <w:rsid w:val="00E41397"/>
    <w:rsid w:val="00E4197A"/>
    <w:rsid w:val="00E41C50"/>
    <w:rsid w:val="00E41C6A"/>
    <w:rsid w:val="00E41DE5"/>
    <w:rsid w:val="00E423DE"/>
    <w:rsid w:val="00E424CD"/>
    <w:rsid w:val="00E427E5"/>
    <w:rsid w:val="00E4292F"/>
    <w:rsid w:val="00E42ACE"/>
    <w:rsid w:val="00E434FC"/>
    <w:rsid w:val="00E437E9"/>
    <w:rsid w:val="00E43953"/>
    <w:rsid w:val="00E43961"/>
    <w:rsid w:val="00E43CC3"/>
    <w:rsid w:val="00E43E21"/>
    <w:rsid w:val="00E43E7C"/>
    <w:rsid w:val="00E43FB7"/>
    <w:rsid w:val="00E44015"/>
    <w:rsid w:val="00E44157"/>
    <w:rsid w:val="00E4423E"/>
    <w:rsid w:val="00E44260"/>
    <w:rsid w:val="00E44305"/>
    <w:rsid w:val="00E44348"/>
    <w:rsid w:val="00E445A1"/>
    <w:rsid w:val="00E4488D"/>
    <w:rsid w:val="00E44CC6"/>
    <w:rsid w:val="00E44CEE"/>
    <w:rsid w:val="00E44E20"/>
    <w:rsid w:val="00E44F7B"/>
    <w:rsid w:val="00E4503D"/>
    <w:rsid w:val="00E4508F"/>
    <w:rsid w:val="00E45123"/>
    <w:rsid w:val="00E4527C"/>
    <w:rsid w:val="00E45963"/>
    <w:rsid w:val="00E45DCA"/>
    <w:rsid w:val="00E45E31"/>
    <w:rsid w:val="00E45E98"/>
    <w:rsid w:val="00E46093"/>
    <w:rsid w:val="00E460E9"/>
    <w:rsid w:val="00E46346"/>
    <w:rsid w:val="00E4677A"/>
    <w:rsid w:val="00E469AD"/>
    <w:rsid w:val="00E46A23"/>
    <w:rsid w:val="00E46E0D"/>
    <w:rsid w:val="00E470BC"/>
    <w:rsid w:val="00E47166"/>
    <w:rsid w:val="00E4737A"/>
    <w:rsid w:val="00E4755D"/>
    <w:rsid w:val="00E47596"/>
    <w:rsid w:val="00E477C8"/>
    <w:rsid w:val="00E478DF"/>
    <w:rsid w:val="00E478EE"/>
    <w:rsid w:val="00E47B7C"/>
    <w:rsid w:val="00E47F7C"/>
    <w:rsid w:val="00E50154"/>
    <w:rsid w:val="00E505D6"/>
    <w:rsid w:val="00E50780"/>
    <w:rsid w:val="00E5088E"/>
    <w:rsid w:val="00E509BE"/>
    <w:rsid w:val="00E50C49"/>
    <w:rsid w:val="00E50CCE"/>
    <w:rsid w:val="00E50D39"/>
    <w:rsid w:val="00E50DFB"/>
    <w:rsid w:val="00E51203"/>
    <w:rsid w:val="00E51556"/>
    <w:rsid w:val="00E51625"/>
    <w:rsid w:val="00E51656"/>
    <w:rsid w:val="00E517EA"/>
    <w:rsid w:val="00E51A96"/>
    <w:rsid w:val="00E51BD4"/>
    <w:rsid w:val="00E51C36"/>
    <w:rsid w:val="00E51D80"/>
    <w:rsid w:val="00E51FBD"/>
    <w:rsid w:val="00E520FA"/>
    <w:rsid w:val="00E522ED"/>
    <w:rsid w:val="00E524F3"/>
    <w:rsid w:val="00E52585"/>
    <w:rsid w:val="00E52687"/>
    <w:rsid w:val="00E52755"/>
    <w:rsid w:val="00E529FF"/>
    <w:rsid w:val="00E52A9B"/>
    <w:rsid w:val="00E52AA7"/>
    <w:rsid w:val="00E52CED"/>
    <w:rsid w:val="00E52D09"/>
    <w:rsid w:val="00E53288"/>
    <w:rsid w:val="00E533FC"/>
    <w:rsid w:val="00E536A7"/>
    <w:rsid w:val="00E53D3B"/>
    <w:rsid w:val="00E53FEB"/>
    <w:rsid w:val="00E54040"/>
    <w:rsid w:val="00E54314"/>
    <w:rsid w:val="00E54530"/>
    <w:rsid w:val="00E54561"/>
    <w:rsid w:val="00E545EB"/>
    <w:rsid w:val="00E54772"/>
    <w:rsid w:val="00E548BD"/>
    <w:rsid w:val="00E548CC"/>
    <w:rsid w:val="00E54CD1"/>
    <w:rsid w:val="00E54CF6"/>
    <w:rsid w:val="00E54D8B"/>
    <w:rsid w:val="00E54E70"/>
    <w:rsid w:val="00E5502C"/>
    <w:rsid w:val="00E55390"/>
    <w:rsid w:val="00E5540A"/>
    <w:rsid w:val="00E55425"/>
    <w:rsid w:val="00E5568E"/>
    <w:rsid w:val="00E55887"/>
    <w:rsid w:val="00E55C24"/>
    <w:rsid w:val="00E55C87"/>
    <w:rsid w:val="00E55E14"/>
    <w:rsid w:val="00E55E64"/>
    <w:rsid w:val="00E55F0B"/>
    <w:rsid w:val="00E55F1D"/>
    <w:rsid w:val="00E55F35"/>
    <w:rsid w:val="00E55FF8"/>
    <w:rsid w:val="00E56082"/>
    <w:rsid w:val="00E560EF"/>
    <w:rsid w:val="00E56340"/>
    <w:rsid w:val="00E566CB"/>
    <w:rsid w:val="00E567D8"/>
    <w:rsid w:val="00E567FF"/>
    <w:rsid w:val="00E5689A"/>
    <w:rsid w:val="00E569E6"/>
    <w:rsid w:val="00E56ABE"/>
    <w:rsid w:val="00E56B3C"/>
    <w:rsid w:val="00E56D1D"/>
    <w:rsid w:val="00E56EEA"/>
    <w:rsid w:val="00E56F95"/>
    <w:rsid w:val="00E57030"/>
    <w:rsid w:val="00E57345"/>
    <w:rsid w:val="00E57494"/>
    <w:rsid w:val="00E57588"/>
    <w:rsid w:val="00E57612"/>
    <w:rsid w:val="00E579B6"/>
    <w:rsid w:val="00E57A72"/>
    <w:rsid w:val="00E57A86"/>
    <w:rsid w:val="00E57B41"/>
    <w:rsid w:val="00E57D85"/>
    <w:rsid w:val="00E57DD2"/>
    <w:rsid w:val="00E57E47"/>
    <w:rsid w:val="00E6047A"/>
    <w:rsid w:val="00E60600"/>
    <w:rsid w:val="00E6066B"/>
    <w:rsid w:val="00E606A2"/>
    <w:rsid w:val="00E607E3"/>
    <w:rsid w:val="00E60807"/>
    <w:rsid w:val="00E60A54"/>
    <w:rsid w:val="00E60DED"/>
    <w:rsid w:val="00E610E4"/>
    <w:rsid w:val="00E61118"/>
    <w:rsid w:val="00E611E9"/>
    <w:rsid w:val="00E61236"/>
    <w:rsid w:val="00E61348"/>
    <w:rsid w:val="00E616E9"/>
    <w:rsid w:val="00E61704"/>
    <w:rsid w:val="00E61A61"/>
    <w:rsid w:val="00E61D40"/>
    <w:rsid w:val="00E61F1F"/>
    <w:rsid w:val="00E62085"/>
    <w:rsid w:val="00E62228"/>
    <w:rsid w:val="00E624CD"/>
    <w:rsid w:val="00E624F4"/>
    <w:rsid w:val="00E625E7"/>
    <w:rsid w:val="00E6267B"/>
    <w:rsid w:val="00E62702"/>
    <w:rsid w:val="00E62754"/>
    <w:rsid w:val="00E62A80"/>
    <w:rsid w:val="00E62C88"/>
    <w:rsid w:val="00E62DB7"/>
    <w:rsid w:val="00E6330D"/>
    <w:rsid w:val="00E63366"/>
    <w:rsid w:val="00E63411"/>
    <w:rsid w:val="00E634A6"/>
    <w:rsid w:val="00E63CD5"/>
    <w:rsid w:val="00E63FEF"/>
    <w:rsid w:val="00E64AA6"/>
    <w:rsid w:val="00E64AB7"/>
    <w:rsid w:val="00E64ADA"/>
    <w:rsid w:val="00E64CEB"/>
    <w:rsid w:val="00E64D50"/>
    <w:rsid w:val="00E651BD"/>
    <w:rsid w:val="00E653C4"/>
    <w:rsid w:val="00E657A6"/>
    <w:rsid w:val="00E657C5"/>
    <w:rsid w:val="00E6594F"/>
    <w:rsid w:val="00E659FA"/>
    <w:rsid w:val="00E65AAD"/>
    <w:rsid w:val="00E65DE7"/>
    <w:rsid w:val="00E65FD7"/>
    <w:rsid w:val="00E661D3"/>
    <w:rsid w:val="00E66265"/>
    <w:rsid w:val="00E662A5"/>
    <w:rsid w:val="00E6643B"/>
    <w:rsid w:val="00E66442"/>
    <w:rsid w:val="00E667AF"/>
    <w:rsid w:val="00E66C20"/>
    <w:rsid w:val="00E66D04"/>
    <w:rsid w:val="00E66ED7"/>
    <w:rsid w:val="00E671A6"/>
    <w:rsid w:val="00E671F2"/>
    <w:rsid w:val="00E672ED"/>
    <w:rsid w:val="00E67376"/>
    <w:rsid w:val="00E673A1"/>
    <w:rsid w:val="00E675F5"/>
    <w:rsid w:val="00E6779C"/>
    <w:rsid w:val="00E67884"/>
    <w:rsid w:val="00E67917"/>
    <w:rsid w:val="00E679B2"/>
    <w:rsid w:val="00E67DFD"/>
    <w:rsid w:val="00E7032D"/>
    <w:rsid w:val="00E70663"/>
    <w:rsid w:val="00E70B72"/>
    <w:rsid w:val="00E70F66"/>
    <w:rsid w:val="00E710AB"/>
    <w:rsid w:val="00E71199"/>
    <w:rsid w:val="00E71260"/>
    <w:rsid w:val="00E712EC"/>
    <w:rsid w:val="00E71344"/>
    <w:rsid w:val="00E7137D"/>
    <w:rsid w:val="00E7165A"/>
    <w:rsid w:val="00E717D2"/>
    <w:rsid w:val="00E717F7"/>
    <w:rsid w:val="00E71840"/>
    <w:rsid w:val="00E71B48"/>
    <w:rsid w:val="00E71B57"/>
    <w:rsid w:val="00E71BB1"/>
    <w:rsid w:val="00E71E77"/>
    <w:rsid w:val="00E71F6A"/>
    <w:rsid w:val="00E720A8"/>
    <w:rsid w:val="00E72184"/>
    <w:rsid w:val="00E72315"/>
    <w:rsid w:val="00E72410"/>
    <w:rsid w:val="00E7282E"/>
    <w:rsid w:val="00E72B8B"/>
    <w:rsid w:val="00E72E16"/>
    <w:rsid w:val="00E72F10"/>
    <w:rsid w:val="00E72FB0"/>
    <w:rsid w:val="00E7318C"/>
    <w:rsid w:val="00E731BB"/>
    <w:rsid w:val="00E73510"/>
    <w:rsid w:val="00E73853"/>
    <w:rsid w:val="00E73931"/>
    <w:rsid w:val="00E73AEE"/>
    <w:rsid w:val="00E73C24"/>
    <w:rsid w:val="00E73E4E"/>
    <w:rsid w:val="00E73F2F"/>
    <w:rsid w:val="00E74089"/>
    <w:rsid w:val="00E7440C"/>
    <w:rsid w:val="00E7443C"/>
    <w:rsid w:val="00E745A4"/>
    <w:rsid w:val="00E746F1"/>
    <w:rsid w:val="00E749D9"/>
    <w:rsid w:val="00E74A05"/>
    <w:rsid w:val="00E74A08"/>
    <w:rsid w:val="00E74E72"/>
    <w:rsid w:val="00E74F13"/>
    <w:rsid w:val="00E75005"/>
    <w:rsid w:val="00E752F0"/>
    <w:rsid w:val="00E753A3"/>
    <w:rsid w:val="00E756E2"/>
    <w:rsid w:val="00E758D8"/>
    <w:rsid w:val="00E759D1"/>
    <w:rsid w:val="00E75A39"/>
    <w:rsid w:val="00E75B61"/>
    <w:rsid w:val="00E765A7"/>
    <w:rsid w:val="00E765E0"/>
    <w:rsid w:val="00E7664B"/>
    <w:rsid w:val="00E76660"/>
    <w:rsid w:val="00E76745"/>
    <w:rsid w:val="00E76927"/>
    <w:rsid w:val="00E76BDC"/>
    <w:rsid w:val="00E76C64"/>
    <w:rsid w:val="00E76DA0"/>
    <w:rsid w:val="00E76E39"/>
    <w:rsid w:val="00E76F17"/>
    <w:rsid w:val="00E77222"/>
    <w:rsid w:val="00E77384"/>
    <w:rsid w:val="00E7758B"/>
    <w:rsid w:val="00E7767E"/>
    <w:rsid w:val="00E77789"/>
    <w:rsid w:val="00E77C38"/>
    <w:rsid w:val="00E77D3D"/>
    <w:rsid w:val="00E77E9B"/>
    <w:rsid w:val="00E77F4A"/>
    <w:rsid w:val="00E80237"/>
    <w:rsid w:val="00E803E3"/>
    <w:rsid w:val="00E805DA"/>
    <w:rsid w:val="00E80606"/>
    <w:rsid w:val="00E80692"/>
    <w:rsid w:val="00E80806"/>
    <w:rsid w:val="00E80953"/>
    <w:rsid w:val="00E80B6D"/>
    <w:rsid w:val="00E80D5E"/>
    <w:rsid w:val="00E81143"/>
    <w:rsid w:val="00E81286"/>
    <w:rsid w:val="00E81408"/>
    <w:rsid w:val="00E81443"/>
    <w:rsid w:val="00E8184C"/>
    <w:rsid w:val="00E81A56"/>
    <w:rsid w:val="00E81C41"/>
    <w:rsid w:val="00E81CED"/>
    <w:rsid w:val="00E81EB0"/>
    <w:rsid w:val="00E82418"/>
    <w:rsid w:val="00E82760"/>
    <w:rsid w:val="00E82D7F"/>
    <w:rsid w:val="00E82DBF"/>
    <w:rsid w:val="00E82E4B"/>
    <w:rsid w:val="00E83110"/>
    <w:rsid w:val="00E83A60"/>
    <w:rsid w:val="00E83CA0"/>
    <w:rsid w:val="00E83D8B"/>
    <w:rsid w:val="00E84303"/>
    <w:rsid w:val="00E8485C"/>
    <w:rsid w:val="00E849F6"/>
    <w:rsid w:val="00E84BFC"/>
    <w:rsid w:val="00E84DDB"/>
    <w:rsid w:val="00E84DF0"/>
    <w:rsid w:val="00E84DFB"/>
    <w:rsid w:val="00E8524F"/>
    <w:rsid w:val="00E852DA"/>
    <w:rsid w:val="00E853BB"/>
    <w:rsid w:val="00E854A7"/>
    <w:rsid w:val="00E8560F"/>
    <w:rsid w:val="00E85633"/>
    <w:rsid w:val="00E857BA"/>
    <w:rsid w:val="00E8590C"/>
    <w:rsid w:val="00E859C8"/>
    <w:rsid w:val="00E859F6"/>
    <w:rsid w:val="00E85ACC"/>
    <w:rsid w:val="00E85B39"/>
    <w:rsid w:val="00E85EBC"/>
    <w:rsid w:val="00E8609B"/>
    <w:rsid w:val="00E8616B"/>
    <w:rsid w:val="00E86226"/>
    <w:rsid w:val="00E8632D"/>
    <w:rsid w:val="00E866AD"/>
    <w:rsid w:val="00E86727"/>
    <w:rsid w:val="00E867F0"/>
    <w:rsid w:val="00E86810"/>
    <w:rsid w:val="00E8692E"/>
    <w:rsid w:val="00E869AE"/>
    <w:rsid w:val="00E86AB8"/>
    <w:rsid w:val="00E86AF9"/>
    <w:rsid w:val="00E86D62"/>
    <w:rsid w:val="00E86F09"/>
    <w:rsid w:val="00E8710D"/>
    <w:rsid w:val="00E87119"/>
    <w:rsid w:val="00E87193"/>
    <w:rsid w:val="00E87203"/>
    <w:rsid w:val="00E87229"/>
    <w:rsid w:val="00E873C3"/>
    <w:rsid w:val="00E8767C"/>
    <w:rsid w:val="00E87776"/>
    <w:rsid w:val="00E87932"/>
    <w:rsid w:val="00E87AB8"/>
    <w:rsid w:val="00E87F20"/>
    <w:rsid w:val="00E900C7"/>
    <w:rsid w:val="00E90480"/>
    <w:rsid w:val="00E90489"/>
    <w:rsid w:val="00E904D3"/>
    <w:rsid w:val="00E904E6"/>
    <w:rsid w:val="00E90531"/>
    <w:rsid w:val="00E90DB0"/>
    <w:rsid w:val="00E90F3D"/>
    <w:rsid w:val="00E90F87"/>
    <w:rsid w:val="00E90FC1"/>
    <w:rsid w:val="00E91496"/>
    <w:rsid w:val="00E91709"/>
    <w:rsid w:val="00E91805"/>
    <w:rsid w:val="00E91A79"/>
    <w:rsid w:val="00E91B48"/>
    <w:rsid w:val="00E91CB4"/>
    <w:rsid w:val="00E921D8"/>
    <w:rsid w:val="00E922D2"/>
    <w:rsid w:val="00E9256F"/>
    <w:rsid w:val="00E92642"/>
    <w:rsid w:val="00E92BA2"/>
    <w:rsid w:val="00E92E32"/>
    <w:rsid w:val="00E92FF0"/>
    <w:rsid w:val="00E931D7"/>
    <w:rsid w:val="00E9365B"/>
    <w:rsid w:val="00E9397D"/>
    <w:rsid w:val="00E93B26"/>
    <w:rsid w:val="00E93C5C"/>
    <w:rsid w:val="00E9405B"/>
    <w:rsid w:val="00E94123"/>
    <w:rsid w:val="00E941DB"/>
    <w:rsid w:val="00E94654"/>
    <w:rsid w:val="00E946D6"/>
    <w:rsid w:val="00E94861"/>
    <w:rsid w:val="00E954BA"/>
    <w:rsid w:val="00E95649"/>
    <w:rsid w:val="00E95650"/>
    <w:rsid w:val="00E95955"/>
    <w:rsid w:val="00E95CD4"/>
    <w:rsid w:val="00E95DF0"/>
    <w:rsid w:val="00E95F11"/>
    <w:rsid w:val="00E95FF8"/>
    <w:rsid w:val="00E96386"/>
    <w:rsid w:val="00E9646A"/>
    <w:rsid w:val="00E96925"/>
    <w:rsid w:val="00E96A42"/>
    <w:rsid w:val="00E96B66"/>
    <w:rsid w:val="00E96E3B"/>
    <w:rsid w:val="00E9711B"/>
    <w:rsid w:val="00E9742E"/>
    <w:rsid w:val="00E97569"/>
    <w:rsid w:val="00E975AF"/>
    <w:rsid w:val="00E97808"/>
    <w:rsid w:val="00E97820"/>
    <w:rsid w:val="00E97A19"/>
    <w:rsid w:val="00E97BEF"/>
    <w:rsid w:val="00E97EA4"/>
    <w:rsid w:val="00E97F7E"/>
    <w:rsid w:val="00EA0221"/>
    <w:rsid w:val="00EA02EA"/>
    <w:rsid w:val="00EA0649"/>
    <w:rsid w:val="00EA0B31"/>
    <w:rsid w:val="00EA0C12"/>
    <w:rsid w:val="00EA0FE7"/>
    <w:rsid w:val="00EA105B"/>
    <w:rsid w:val="00EA1287"/>
    <w:rsid w:val="00EA1687"/>
    <w:rsid w:val="00EA176D"/>
    <w:rsid w:val="00EA18F9"/>
    <w:rsid w:val="00EA1A76"/>
    <w:rsid w:val="00EA1D35"/>
    <w:rsid w:val="00EA1FBB"/>
    <w:rsid w:val="00EA235E"/>
    <w:rsid w:val="00EA25B9"/>
    <w:rsid w:val="00EA25DE"/>
    <w:rsid w:val="00EA2937"/>
    <w:rsid w:val="00EA2AE2"/>
    <w:rsid w:val="00EA2AE6"/>
    <w:rsid w:val="00EA2CF5"/>
    <w:rsid w:val="00EA30A3"/>
    <w:rsid w:val="00EA31A4"/>
    <w:rsid w:val="00EA31B5"/>
    <w:rsid w:val="00EA332F"/>
    <w:rsid w:val="00EA358F"/>
    <w:rsid w:val="00EA3B08"/>
    <w:rsid w:val="00EA3CC5"/>
    <w:rsid w:val="00EA3EEF"/>
    <w:rsid w:val="00EA3F49"/>
    <w:rsid w:val="00EA418F"/>
    <w:rsid w:val="00EA429B"/>
    <w:rsid w:val="00EA42DD"/>
    <w:rsid w:val="00EA443C"/>
    <w:rsid w:val="00EA46E3"/>
    <w:rsid w:val="00EA472D"/>
    <w:rsid w:val="00EA48EC"/>
    <w:rsid w:val="00EA49AF"/>
    <w:rsid w:val="00EA4A9F"/>
    <w:rsid w:val="00EA4F4F"/>
    <w:rsid w:val="00EA543B"/>
    <w:rsid w:val="00EA568E"/>
    <w:rsid w:val="00EA5825"/>
    <w:rsid w:val="00EA5BBB"/>
    <w:rsid w:val="00EA5C4F"/>
    <w:rsid w:val="00EA5C5E"/>
    <w:rsid w:val="00EA5DCA"/>
    <w:rsid w:val="00EA5E97"/>
    <w:rsid w:val="00EA5ECE"/>
    <w:rsid w:val="00EA5FA0"/>
    <w:rsid w:val="00EA609C"/>
    <w:rsid w:val="00EA628E"/>
    <w:rsid w:val="00EA634B"/>
    <w:rsid w:val="00EA6539"/>
    <w:rsid w:val="00EA6558"/>
    <w:rsid w:val="00EA65F1"/>
    <w:rsid w:val="00EA6761"/>
    <w:rsid w:val="00EA6A34"/>
    <w:rsid w:val="00EA6A7B"/>
    <w:rsid w:val="00EA6AF5"/>
    <w:rsid w:val="00EA6B58"/>
    <w:rsid w:val="00EA7008"/>
    <w:rsid w:val="00EA7067"/>
    <w:rsid w:val="00EA7315"/>
    <w:rsid w:val="00EA7431"/>
    <w:rsid w:val="00EA7746"/>
    <w:rsid w:val="00EA78DC"/>
    <w:rsid w:val="00EA78E2"/>
    <w:rsid w:val="00EA798C"/>
    <w:rsid w:val="00EA79F5"/>
    <w:rsid w:val="00EA7B51"/>
    <w:rsid w:val="00EA7B74"/>
    <w:rsid w:val="00EA7CC6"/>
    <w:rsid w:val="00EA7D46"/>
    <w:rsid w:val="00EA7E4E"/>
    <w:rsid w:val="00EA7FD6"/>
    <w:rsid w:val="00EA7FE6"/>
    <w:rsid w:val="00EB010D"/>
    <w:rsid w:val="00EB02CB"/>
    <w:rsid w:val="00EB049E"/>
    <w:rsid w:val="00EB08B0"/>
    <w:rsid w:val="00EB08F2"/>
    <w:rsid w:val="00EB095F"/>
    <w:rsid w:val="00EB0A6A"/>
    <w:rsid w:val="00EB0C18"/>
    <w:rsid w:val="00EB0C19"/>
    <w:rsid w:val="00EB0EAF"/>
    <w:rsid w:val="00EB15D1"/>
    <w:rsid w:val="00EB1744"/>
    <w:rsid w:val="00EB1781"/>
    <w:rsid w:val="00EB17CF"/>
    <w:rsid w:val="00EB1D17"/>
    <w:rsid w:val="00EB22E4"/>
    <w:rsid w:val="00EB23A4"/>
    <w:rsid w:val="00EB2507"/>
    <w:rsid w:val="00EB279D"/>
    <w:rsid w:val="00EB27DA"/>
    <w:rsid w:val="00EB2AB5"/>
    <w:rsid w:val="00EB2B50"/>
    <w:rsid w:val="00EB2BD7"/>
    <w:rsid w:val="00EB2D03"/>
    <w:rsid w:val="00EB2F42"/>
    <w:rsid w:val="00EB2FBB"/>
    <w:rsid w:val="00EB33A4"/>
    <w:rsid w:val="00EB3628"/>
    <w:rsid w:val="00EB39F1"/>
    <w:rsid w:val="00EB3A05"/>
    <w:rsid w:val="00EB3C5A"/>
    <w:rsid w:val="00EB4023"/>
    <w:rsid w:val="00EB412E"/>
    <w:rsid w:val="00EB4592"/>
    <w:rsid w:val="00EB4B43"/>
    <w:rsid w:val="00EB4E30"/>
    <w:rsid w:val="00EB4E71"/>
    <w:rsid w:val="00EB4F67"/>
    <w:rsid w:val="00EB4FA6"/>
    <w:rsid w:val="00EB507E"/>
    <w:rsid w:val="00EB5164"/>
    <w:rsid w:val="00EB518F"/>
    <w:rsid w:val="00EB56C5"/>
    <w:rsid w:val="00EB56E7"/>
    <w:rsid w:val="00EB5788"/>
    <w:rsid w:val="00EB5939"/>
    <w:rsid w:val="00EB5C4B"/>
    <w:rsid w:val="00EB5E2B"/>
    <w:rsid w:val="00EB669A"/>
    <w:rsid w:val="00EB66C6"/>
    <w:rsid w:val="00EB6B16"/>
    <w:rsid w:val="00EB6B1F"/>
    <w:rsid w:val="00EB6E31"/>
    <w:rsid w:val="00EB6F43"/>
    <w:rsid w:val="00EB7027"/>
    <w:rsid w:val="00EB70B1"/>
    <w:rsid w:val="00EB70E8"/>
    <w:rsid w:val="00EB7661"/>
    <w:rsid w:val="00EB795E"/>
    <w:rsid w:val="00EB7E45"/>
    <w:rsid w:val="00EB7F1B"/>
    <w:rsid w:val="00EC01E5"/>
    <w:rsid w:val="00EC034C"/>
    <w:rsid w:val="00EC0C53"/>
    <w:rsid w:val="00EC10B1"/>
    <w:rsid w:val="00EC18A5"/>
    <w:rsid w:val="00EC1A7C"/>
    <w:rsid w:val="00EC1F70"/>
    <w:rsid w:val="00EC222C"/>
    <w:rsid w:val="00EC2CE4"/>
    <w:rsid w:val="00EC2D0F"/>
    <w:rsid w:val="00EC2E5D"/>
    <w:rsid w:val="00EC303D"/>
    <w:rsid w:val="00EC308A"/>
    <w:rsid w:val="00EC31E6"/>
    <w:rsid w:val="00EC371B"/>
    <w:rsid w:val="00EC3771"/>
    <w:rsid w:val="00EC41F3"/>
    <w:rsid w:val="00EC42D5"/>
    <w:rsid w:val="00EC474A"/>
    <w:rsid w:val="00EC485B"/>
    <w:rsid w:val="00EC49F3"/>
    <w:rsid w:val="00EC4B38"/>
    <w:rsid w:val="00EC4BA5"/>
    <w:rsid w:val="00EC4DD5"/>
    <w:rsid w:val="00EC4E5B"/>
    <w:rsid w:val="00EC4F20"/>
    <w:rsid w:val="00EC4FC7"/>
    <w:rsid w:val="00EC4FD8"/>
    <w:rsid w:val="00EC51E0"/>
    <w:rsid w:val="00EC52AB"/>
    <w:rsid w:val="00EC54FB"/>
    <w:rsid w:val="00EC5687"/>
    <w:rsid w:val="00EC58A6"/>
    <w:rsid w:val="00EC5DA0"/>
    <w:rsid w:val="00EC5F14"/>
    <w:rsid w:val="00EC5F29"/>
    <w:rsid w:val="00EC5F30"/>
    <w:rsid w:val="00EC5F3A"/>
    <w:rsid w:val="00EC5F96"/>
    <w:rsid w:val="00EC6143"/>
    <w:rsid w:val="00EC636C"/>
    <w:rsid w:val="00EC668C"/>
    <w:rsid w:val="00EC68C4"/>
    <w:rsid w:val="00EC6946"/>
    <w:rsid w:val="00EC6966"/>
    <w:rsid w:val="00EC6B88"/>
    <w:rsid w:val="00EC6C0C"/>
    <w:rsid w:val="00EC6C37"/>
    <w:rsid w:val="00EC713B"/>
    <w:rsid w:val="00EC71A6"/>
    <w:rsid w:val="00EC7251"/>
    <w:rsid w:val="00EC74BD"/>
    <w:rsid w:val="00EC782E"/>
    <w:rsid w:val="00EC7A37"/>
    <w:rsid w:val="00EC7A68"/>
    <w:rsid w:val="00EC7CD1"/>
    <w:rsid w:val="00EC7D0B"/>
    <w:rsid w:val="00EC7E69"/>
    <w:rsid w:val="00EC7E7A"/>
    <w:rsid w:val="00EC7FC4"/>
    <w:rsid w:val="00ED00F5"/>
    <w:rsid w:val="00ED02BF"/>
    <w:rsid w:val="00ED066A"/>
    <w:rsid w:val="00ED0D26"/>
    <w:rsid w:val="00ED0EB4"/>
    <w:rsid w:val="00ED0EBE"/>
    <w:rsid w:val="00ED15FA"/>
    <w:rsid w:val="00ED16BC"/>
    <w:rsid w:val="00ED194E"/>
    <w:rsid w:val="00ED1AB3"/>
    <w:rsid w:val="00ED1BB5"/>
    <w:rsid w:val="00ED1E6B"/>
    <w:rsid w:val="00ED2158"/>
    <w:rsid w:val="00ED230C"/>
    <w:rsid w:val="00ED23BA"/>
    <w:rsid w:val="00ED2457"/>
    <w:rsid w:val="00ED26EC"/>
    <w:rsid w:val="00ED2901"/>
    <w:rsid w:val="00ED2C6A"/>
    <w:rsid w:val="00ED2DE8"/>
    <w:rsid w:val="00ED3198"/>
    <w:rsid w:val="00ED3639"/>
    <w:rsid w:val="00ED3AAE"/>
    <w:rsid w:val="00ED3BFF"/>
    <w:rsid w:val="00ED3C6D"/>
    <w:rsid w:val="00ED3C9F"/>
    <w:rsid w:val="00ED3D28"/>
    <w:rsid w:val="00ED3FE7"/>
    <w:rsid w:val="00ED406A"/>
    <w:rsid w:val="00ED427B"/>
    <w:rsid w:val="00ED42E5"/>
    <w:rsid w:val="00ED42F5"/>
    <w:rsid w:val="00ED4548"/>
    <w:rsid w:val="00ED4615"/>
    <w:rsid w:val="00ED461F"/>
    <w:rsid w:val="00ED499E"/>
    <w:rsid w:val="00ED49DC"/>
    <w:rsid w:val="00ED4D72"/>
    <w:rsid w:val="00ED4EB1"/>
    <w:rsid w:val="00ED4FF8"/>
    <w:rsid w:val="00ED5191"/>
    <w:rsid w:val="00ED551A"/>
    <w:rsid w:val="00ED5706"/>
    <w:rsid w:val="00ED57F4"/>
    <w:rsid w:val="00ED5818"/>
    <w:rsid w:val="00ED587A"/>
    <w:rsid w:val="00ED58C8"/>
    <w:rsid w:val="00ED5AA0"/>
    <w:rsid w:val="00ED5D70"/>
    <w:rsid w:val="00ED6226"/>
    <w:rsid w:val="00ED62FB"/>
    <w:rsid w:val="00ED6331"/>
    <w:rsid w:val="00ED64D5"/>
    <w:rsid w:val="00ED6538"/>
    <w:rsid w:val="00ED674F"/>
    <w:rsid w:val="00ED6784"/>
    <w:rsid w:val="00ED68BA"/>
    <w:rsid w:val="00ED6B4F"/>
    <w:rsid w:val="00ED71DD"/>
    <w:rsid w:val="00ED7257"/>
    <w:rsid w:val="00ED727A"/>
    <w:rsid w:val="00ED72B4"/>
    <w:rsid w:val="00ED753F"/>
    <w:rsid w:val="00ED754C"/>
    <w:rsid w:val="00ED76DA"/>
    <w:rsid w:val="00ED7E7B"/>
    <w:rsid w:val="00ED7E9D"/>
    <w:rsid w:val="00ED7EAE"/>
    <w:rsid w:val="00ED7EAF"/>
    <w:rsid w:val="00ED7ED6"/>
    <w:rsid w:val="00ED7EF5"/>
    <w:rsid w:val="00ED7F7C"/>
    <w:rsid w:val="00EE01F5"/>
    <w:rsid w:val="00EE024C"/>
    <w:rsid w:val="00EE02B0"/>
    <w:rsid w:val="00EE048D"/>
    <w:rsid w:val="00EE0719"/>
    <w:rsid w:val="00EE07D2"/>
    <w:rsid w:val="00EE0962"/>
    <w:rsid w:val="00EE0A45"/>
    <w:rsid w:val="00EE0C20"/>
    <w:rsid w:val="00EE0C80"/>
    <w:rsid w:val="00EE0CF2"/>
    <w:rsid w:val="00EE0D1D"/>
    <w:rsid w:val="00EE0DE3"/>
    <w:rsid w:val="00EE0E23"/>
    <w:rsid w:val="00EE0E57"/>
    <w:rsid w:val="00EE0E87"/>
    <w:rsid w:val="00EE0EA6"/>
    <w:rsid w:val="00EE1008"/>
    <w:rsid w:val="00EE105A"/>
    <w:rsid w:val="00EE12A1"/>
    <w:rsid w:val="00EE13B3"/>
    <w:rsid w:val="00EE15CC"/>
    <w:rsid w:val="00EE17E1"/>
    <w:rsid w:val="00EE184B"/>
    <w:rsid w:val="00EE189C"/>
    <w:rsid w:val="00EE1D7A"/>
    <w:rsid w:val="00EE1E57"/>
    <w:rsid w:val="00EE1FE0"/>
    <w:rsid w:val="00EE20FE"/>
    <w:rsid w:val="00EE2198"/>
    <w:rsid w:val="00EE26F0"/>
    <w:rsid w:val="00EE275F"/>
    <w:rsid w:val="00EE2940"/>
    <w:rsid w:val="00EE2C42"/>
    <w:rsid w:val="00EE2D6A"/>
    <w:rsid w:val="00EE2DA8"/>
    <w:rsid w:val="00EE32A4"/>
    <w:rsid w:val="00EE35DC"/>
    <w:rsid w:val="00EE3967"/>
    <w:rsid w:val="00EE3A24"/>
    <w:rsid w:val="00EE3ACB"/>
    <w:rsid w:val="00EE3B4E"/>
    <w:rsid w:val="00EE3B8B"/>
    <w:rsid w:val="00EE4179"/>
    <w:rsid w:val="00EE43B7"/>
    <w:rsid w:val="00EE460E"/>
    <w:rsid w:val="00EE47D8"/>
    <w:rsid w:val="00EE4989"/>
    <w:rsid w:val="00EE4A20"/>
    <w:rsid w:val="00EE4A62"/>
    <w:rsid w:val="00EE4AB3"/>
    <w:rsid w:val="00EE4B94"/>
    <w:rsid w:val="00EE4CEC"/>
    <w:rsid w:val="00EE4D0D"/>
    <w:rsid w:val="00EE5045"/>
    <w:rsid w:val="00EE525E"/>
    <w:rsid w:val="00EE52CF"/>
    <w:rsid w:val="00EE53F1"/>
    <w:rsid w:val="00EE557D"/>
    <w:rsid w:val="00EE5B39"/>
    <w:rsid w:val="00EE602C"/>
    <w:rsid w:val="00EE60E3"/>
    <w:rsid w:val="00EE619D"/>
    <w:rsid w:val="00EE67F1"/>
    <w:rsid w:val="00EE6A69"/>
    <w:rsid w:val="00EE6E4A"/>
    <w:rsid w:val="00EE6F9F"/>
    <w:rsid w:val="00EE76B8"/>
    <w:rsid w:val="00EE76D1"/>
    <w:rsid w:val="00EE7C0F"/>
    <w:rsid w:val="00EE7FDE"/>
    <w:rsid w:val="00EF01F4"/>
    <w:rsid w:val="00EF028B"/>
    <w:rsid w:val="00EF055C"/>
    <w:rsid w:val="00EF062F"/>
    <w:rsid w:val="00EF077D"/>
    <w:rsid w:val="00EF08CA"/>
    <w:rsid w:val="00EF09A6"/>
    <w:rsid w:val="00EF09F4"/>
    <w:rsid w:val="00EF1830"/>
    <w:rsid w:val="00EF1ABC"/>
    <w:rsid w:val="00EF1BC6"/>
    <w:rsid w:val="00EF1E8C"/>
    <w:rsid w:val="00EF23FF"/>
    <w:rsid w:val="00EF28DD"/>
    <w:rsid w:val="00EF29C1"/>
    <w:rsid w:val="00EF2A9C"/>
    <w:rsid w:val="00EF2B9A"/>
    <w:rsid w:val="00EF2F73"/>
    <w:rsid w:val="00EF300F"/>
    <w:rsid w:val="00EF3204"/>
    <w:rsid w:val="00EF342C"/>
    <w:rsid w:val="00EF3464"/>
    <w:rsid w:val="00EF34E1"/>
    <w:rsid w:val="00EF3974"/>
    <w:rsid w:val="00EF3ACF"/>
    <w:rsid w:val="00EF3B77"/>
    <w:rsid w:val="00EF3BBD"/>
    <w:rsid w:val="00EF3D6A"/>
    <w:rsid w:val="00EF3F9E"/>
    <w:rsid w:val="00EF4068"/>
    <w:rsid w:val="00EF433F"/>
    <w:rsid w:val="00EF442A"/>
    <w:rsid w:val="00EF446D"/>
    <w:rsid w:val="00EF44A7"/>
    <w:rsid w:val="00EF4720"/>
    <w:rsid w:val="00EF4BC5"/>
    <w:rsid w:val="00EF4CC4"/>
    <w:rsid w:val="00EF4D84"/>
    <w:rsid w:val="00EF4EC3"/>
    <w:rsid w:val="00EF4EFF"/>
    <w:rsid w:val="00EF4FAD"/>
    <w:rsid w:val="00EF5064"/>
    <w:rsid w:val="00EF51E6"/>
    <w:rsid w:val="00EF55A9"/>
    <w:rsid w:val="00EF56D8"/>
    <w:rsid w:val="00EF587D"/>
    <w:rsid w:val="00EF5D39"/>
    <w:rsid w:val="00EF5F4C"/>
    <w:rsid w:val="00EF6071"/>
    <w:rsid w:val="00EF6094"/>
    <w:rsid w:val="00EF622A"/>
    <w:rsid w:val="00EF627D"/>
    <w:rsid w:val="00EF629E"/>
    <w:rsid w:val="00EF62E1"/>
    <w:rsid w:val="00EF6535"/>
    <w:rsid w:val="00EF662B"/>
    <w:rsid w:val="00EF66B8"/>
    <w:rsid w:val="00EF670E"/>
    <w:rsid w:val="00EF674A"/>
    <w:rsid w:val="00EF6849"/>
    <w:rsid w:val="00EF6AA6"/>
    <w:rsid w:val="00EF6F2D"/>
    <w:rsid w:val="00EF77C9"/>
    <w:rsid w:val="00EF792B"/>
    <w:rsid w:val="00EF7B17"/>
    <w:rsid w:val="00EF7D66"/>
    <w:rsid w:val="00EF7EA6"/>
    <w:rsid w:val="00F00722"/>
    <w:rsid w:val="00F008DD"/>
    <w:rsid w:val="00F00BFF"/>
    <w:rsid w:val="00F00F30"/>
    <w:rsid w:val="00F01049"/>
    <w:rsid w:val="00F01174"/>
    <w:rsid w:val="00F012C5"/>
    <w:rsid w:val="00F014A5"/>
    <w:rsid w:val="00F01502"/>
    <w:rsid w:val="00F01530"/>
    <w:rsid w:val="00F01693"/>
    <w:rsid w:val="00F01881"/>
    <w:rsid w:val="00F0194C"/>
    <w:rsid w:val="00F01AC9"/>
    <w:rsid w:val="00F01D7D"/>
    <w:rsid w:val="00F01EA7"/>
    <w:rsid w:val="00F01F02"/>
    <w:rsid w:val="00F02332"/>
    <w:rsid w:val="00F023B2"/>
    <w:rsid w:val="00F02494"/>
    <w:rsid w:val="00F025F0"/>
    <w:rsid w:val="00F026B3"/>
    <w:rsid w:val="00F02795"/>
    <w:rsid w:val="00F02A37"/>
    <w:rsid w:val="00F02C2C"/>
    <w:rsid w:val="00F02D1B"/>
    <w:rsid w:val="00F02DAA"/>
    <w:rsid w:val="00F02E3B"/>
    <w:rsid w:val="00F02E8F"/>
    <w:rsid w:val="00F03014"/>
    <w:rsid w:val="00F030BB"/>
    <w:rsid w:val="00F038EB"/>
    <w:rsid w:val="00F03978"/>
    <w:rsid w:val="00F03A7F"/>
    <w:rsid w:val="00F03CBA"/>
    <w:rsid w:val="00F03CFB"/>
    <w:rsid w:val="00F03FA6"/>
    <w:rsid w:val="00F0414A"/>
    <w:rsid w:val="00F041BD"/>
    <w:rsid w:val="00F041C2"/>
    <w:rsid w:val="00F041DD"/>
    <w:rsid w:val="00F0446A"/>
    <w:rsid w:val="00F046C7"/>
    <w:rsid w:val="00F04825"/>
    <w:rsid w:val="00F051DF"/>
    <w:rsid w:val="00F05619"/>
    <w:rsid w:val="00F05638"/>
    <w:rsid w:val="00F0572C"/>
    <w:rsid w:val="00F05897"/>
    <w:rsid w:val="00F05B5E"/>
    <w:rsid w:val="00F05C07"/>
    <w:rsid w:val="00F05C1B"/>
    <w:rsid w:val="00F05C8C"/>
    <w:rsid w:val="00F05CD2"/>
    <w:rsid w:val="00F05CE8"/>
    <w:rsid w:val="00F05D75"/>
    <w:rsid w:val="00F060D1"/>
    <w:rsid w:val="00F0671A"/>
    <w:rsid w:val="00F067A0"/>
    <w:rsid w:val="00F06940"/>
    <w:rsid w:val="00F069E9"/>
    <w:rsid w:val="00F06AD9"/>
    <w:rsid w:val="00F06C4A"/>
    <w:rsid w:val="00F07148"/>
    <w:rsid w:val="00F071DA"/>
    <w:rsid w:val="00F072EC"/>
    <w:rsid w:val="00F07438"/>
    <w:rsid w:val="00F07497"/>
    <w:rsid w:val="00F075A3"/>
    <w:rsid w:val="00F079B4"/>
    <w:rsid w:val="00F07C63"/>
    <w:rsid w:val="00F07D01"/>
    <w:rsid w:val="00F07E3C"/>
    <w:rsid w:val="00F07F59"/>
    <w:rsid w:val="00F1041E"/>
    <w:rsid w:val="00F10938"/>
    <w:rsid w:val="00F109CE"/>
    <w:rsid w:val="00F10AFA"/>
    <w:rsid w:val="00F10CBA"/>
    <w:rsid w:val="00F10DE9"/>
    <w:rsid w:val="00F10ED9"/>
    <w:rsid w:val="00F111AC"/>
    <w:rsid w:val="00F11356"/>
    <w:rsid w:val="00F114C0"/>
    <w:rsid w:val="00F117CE"/>
    <w:rsid w:val="00F11854"/>
    <w:rsid w:val="00F1190E"/>
    <w:rsid w:val="00F11982"/>
    <w:rsid w:val="00F11AC1"/>
    <w:rsid w:val="00F11B50"/>
    <w:rsid w:val="00F11CA6"/>
    <w:rsid w:val="00F11DAC"/>
    <w:rsid w:val="00F11DC7"/>
    <w:rsid w:val="00F11EAC"/>
    <w:rsid w:val="00F11F64"/>
    <w:rsid w:val="00F12002"/>
    <w:rsid w:val="00F12254"/>
    <w:rsid w:val="00F12A53"/>
    <w:rsid w:val="00F12B62"/>
    <w:rsid w:val="00F12B6D"/>
    <w:rsid w:val="00F12B85"/>
    <w:rsid w:val="00F12BA6"/>
    <w:rsid w:val="00F12DF1"/>
    <w:rsid w:val="00F12F61"/>
    <w:rsid w:val="00F13067"/>
    <w:rsid w:val="00F13544"/>
    <w:rsid w:val="00F135E8"/>
    <w:rsid w:val="00F13615"/>
    <w:rsid w:val="00F136AC"/>
    <w:rsid w:val="00F13858"/>
    <w:rsid w:val="00F13915"/>
    <w:rsid w:val="00F13BED"/>
    <w:rsid w:val="00F13CF6"/>
    <w:rsid w:val="00F13CFC"/>
    <w:rsid w:val="00F13E4F"/>
    <w:rsid w:val="00F1436D"/>
    <w:rsid w:val="00F14399"/>
    <w:rsid w:val="00F14485"/>
    <w:rsid w:val="00F148FE"/>
    <w:rsid w:val="00F14C9C"/>
    <w:rsid w:val="00F14CF8"/>
    <w:rsid w:val="00F14D76"/>
    <w:rsid w:val="00F14D88"/>
    <w:rsid w:val="00F14F0D"/>
    <w:rsid w:val="00F15181"/>
    <w:rsid w:val="00F1519C"/>
    <w:rsid w:val="00F15444"/>
    <w:rsid w:val="00F154D2"/>
    <w:rsid w:val="00F155AE"/>
    <w:rsid w:val="00F156FD"/>
    <w:rsid w:val="00F157EA"/>
    <w:rsid w:val="00F15819"/>
    <w:rsid w:val="00F159D8"/>
    <w:rsid w:val="00F15EA3"/>
    <w:rsid w:val="00F161BB"/>
    <w:rsid w:val="00F162D7"/>
    <w:rsid w:val="00F168AD"/>
    <w:rsid w:val="00F16C70"/>
    <w:rsid w:val="00F16FD0"/>
    <w:rsid w:val="00F1763D"/>
    <w:rsid w:val="00F17A84"/>
    <w:rsid w:val="00F17C01"/>
    <w:rsid w:val="00F17D21"/>
    <w:rsid w:val="00F207C3"/>
    <w:rsid w:val="00F209BB"/>
    <w:rsid w:val="00F20ED0"/>
    <w:rsid w:val="00F2104D"/>
    <w:rsid w:val="00F210A7"/>
    <w:rsid w:val="00F2138F"/>
    <w:rsid w:val="00F21583"/>
    <w:rsid w:val="00F217C3"/>
    <w:rsid w:val="00F21906"/>
    <w:rsid w:val="00F21A7C"/>
    <w:rsid w:val="00F21AD7"/>
    <w:rsid w:val="00F21D2C"/>
    <w:rsid w:val="00F21E75"/>
    <w:rsid w:val="00F21FFC"/>
    <w:rsid w:val="00F223C6"/>
    <w:rsid w:val="00F226DF"/>
    <w:rsid w:val="00F22726"/>
    <w:rsid w:val="00F227AD"/>
    <w:rsid w:val="00F228DD"/>
    <w:rsid w:val="00F22A2D"/>
    <w:rsid w:val="00F22A97"/>
    <w:rsid w:val="00F22BBF"/>
    <w:rsid w:val="00F22DCE"/>
    <w:rsid w:val="00F22E23"/>
    <w:rsid w:val="00F22E61"/>
    <w:rsid w:val="00F22E8F"/>
    <w:rsid w:val="00F23004"/>
    <w:rsid w:val="00F2327A"/>
    <w:rsid w:val="00F234AA"/>
    <w:rsid w:val="00F234C4"/>
    <w:rsid w:val="00F23682"/>
    <w:rsid w:val="00F23AB8"/>
    <w:rsid w:val="00F23C33"/>
    <w:rsid w:val="00F24187"/>
    <w:rsid w:val="00F242F7"/>
    <w:rsid w:val="00F2470A"/>
    <w:rsid w:val="00F24CF3"/>
    <w:rsid w:val="00F24E5C"/>
    <w:rsid w:val="00F24E73"/>
    <w:rsid w:val="00F24E8E"/>
    <w:rsid w:val="00F2510C"/>
    <w:rsid w:val="00F253C4"/>
    <w:rsid w:val="00F254D0"/>
    <w:rsid w:val="00F254DB"/>
    <w:rsid w:val="00F25609"/>
    <w:rsid w:val="00F256BB"/>
    <w:rsid w:val="00F25759"/>
    <w:rsid w:val="00F257C6"/>
    <w:rsid w:val="00F2598F"/>
    <w:rsid w:val="00F25B92"/>
    <w:rsid w:val="00F25C39"/>
    <w:rsid w:val="00F25D8C"/>
    <w:rsid w:val="00F260EA"/>
    <w:rsid w:val="00F26523"/>
    <w:rsid w:val="00F268DF"/>
    <w:rsid w:val="00F2699A"/>
    <w:rsid w:val="00F26AE6"/>
    <w:rsid w:val="00F26DED"/>
    <w:rsid w:val="00F26E4E"/>
    <w:rsid w:val="00F27144"/>
    <w:rsid w:val="00F2731A"/>
    <w:rsid w:val="00F2794A"/>
    <w:rsid w:val="00F27BB1"/>
    <w:rsid w:val="00F27C16"/>
    <w:rsid w:val="00F27D3B"/>
    <w:rsid w:val="00F27D4C"/>
    <w:rsid w:val="00F27E77"/>
    <w:rsid w:val="00F27EE8"/>
    <w:rsid w:val="00F27F26"/>
    <w:rsid w:val="00F27F71"/>
    <w:rsid w:val="00F30373"/>
    <w:rsid w:val="00F305C0"/>
    <w:rsid w:val="00F305F4"/>
    <w:rsid w:val="00F30BCD"/>
    <w:rsid w:val="00F30D2D"/>
    <w:rsid w:val="00F30E9B"/>
    <w:rsid w:val="00F30EB5"/>
    <w:rsid w:val="00F31448"/>
    <w:rsid w:val="00F31546"/>
    <w:rsid w:val="00F31AE4"/>
    <w:rsid w:val="00F31B12"/>
    <w:rsid w:val="00F31D53"/>
    <w:rsid w:val="00F31E95"/>
    <w:rsid w:val="00F31EE7"/>
    <w:rsid w:val="00F31F25"/>
    <w:rsid w:val="00F323B4"/>
    <w:rsid w:val="00F323F9"/>
    <w:rsid w:val="00F326C2"/>
    <w:rsid w:val="00F32767"/>
    <w:rsid w:val="00F32820"/>
    <w:rsid w:val="00F3288A"/>
    <w:rsid w:val="00F32A86"/>
    <w:rsid w:val="00F32B6E"/>
    <w:rsid w:val="00F32C06"/>
    <w:rsid w:val="00F32D8A"/>
    <w:rsid w:val="00F32DA0"/>
    <w:rsid w:val="00F32EEE"/>
    <w:rsid w:val="00F32FC2"/>
    <w:rsid w:val="00F33136"/>
    <w:rsid w:val="00F33155"/>
    <w:rsid w:val="00F33462"/>
    <w:rsid w:val="00F33544"/>
    <w:rsid w:val="00F335A5"/>
    <w:rsid w:val="00F33975"/>
    <w:rsid w:val="00F33B07"/>
    <w:rsid w:val="00F33C69"/>
    <w:rsid w:val="00F33D41"/>
    <w:rsid w:val="00F33E7C"/>
    <w:rsid w:val="00F33ECB"/>
    <w:rsid w:val="00F340F5"/>
    <w:rsid w:val="00F34554"/>
    <w:rsid w:val="00F34661"/>
    <w:rsid w:val="00F347EC"/>
    <w:rsid w:val="00F34974"/>
    <w:rsid w:val="00F34BD7"/>
    <w:rsid w:val="00F34BF7"/>
    <w:rsid w:val="00F34CC3"/>
    <w:rsid w:val="00F34F40"/>
    <w:rsid w:val="00F353C7"/>
    <w:rsid w:val="00F353D3"/>
    <w:rsid w:val="00F3552B"/>
    <w:rsid w:val="00F3583C"/>
    <w:rsid w:val="00F35846"/>
    <w:rsid w:val="00F358A9"/>
    <w:rsid w:val="00F35CEA"/>
    <w:rsid w:val="00F3631B"/>
    <w:rsid w:val="00F369F6"/>
    <w:rsid w:val="00F36AE3"/>
    <w:rsid w:val="00F36B6E"/>
    <w:rsid w:val="00F36DCE"/>
    <w:rsid w:val="00F36E0A"/>
    <w:rsid w:val="00F36F53"/>
    <w:rsid w:val="00F3723D"/>
    <w:rsid w:val="00F37749"/>
    <w:rsid w:val="00F3787B"/>
    <w:rsid w:val="00F37B15"/>
    <w:rsid w:val="00F37CE0"/>
    <w:rsid w:val="00F37E78"/>
    <w:rsid w:val="00F40163"/>
    <w:rsid w:val="00F40304"/>
    <w:rsid w:val="00F403C1"/>
    <w:rsid w:val="00F40448"/>
    <w:rsid w:val="00F4090F"/>
    <w:rsid w:val="00F40988"/>
    <w:rsid w:val="00F409E9"/>
    <w:rsid w:val="00F40FDB"/>
    <w:rsid w:val="00F4147C"/>
    <w:rsid w:val="00F41B14"/>
    <w:rsid w:val="00F41CB2"/>
    <w:rsid w:val="00F41F3A"/>
    <w:rsid w:val="00F422A8"/>
    <w:rsid w:val="00F42384"/>
    <w:rsid w:val="00F4240B"/>
    <w:rsid w:val="00F426D1"/>
    <w:rsid w:val="00F42758"/>
    <w:rsid w:val="00F42775"/>
    <w:rsid w:val="00F42B11"/>
    <w:rsid w:val="00F42B7B"/>
    <w:rsid w:val="00F42C34"/>
    <w:rsid w:val="00F43049"/>
    <w:rsid w:val="00F430F2"/>
    <w:rsid w:val="00F430FE"/>
    <w:rsid w:val="00F4323F"/>
    <w:rsid w:val="00F433F6"/>
    <w:rsid w:val="00F43466"/>
    <w:rsid w:val="00F4377B"/>
    <w:rsid w:val="00F43B5F"/>
    <w:rsid w:val="00F43B88"/>
    <w:rsid w:val="00F43B8A"/>
    <w:rsid w:val="00F43F32"/>
    <w:rsid w:val="00F43F3F"/>
    <w:rsid w:val="00F44202"/>
    <w:rsid w:val="00F447D5"/>
    <w:rsid w:val="00F44878"/>
    <w:rsid w:val="00F448D2"/>
    <w:rsid w:val="00F451E2"/>
    <w:rsid w:val="00F454AF"/>
    <w:rsid w:val="00F45547"/>
    <w:rsid w:val="00F45670"/>
    <w:rsid w:val="00F456BC"/>
    <w:rsid w:val="00F456CA"/>
    <w:rsid w:val="00F45AB1"/>
    <w:rsid w:val="00F45C4F"/>
    <w:rsid w:val="00F45DC2"/>
    <w:rsid w:val="00F45DEC"/>
    <w:rsid w:val="00F45EAB"/>
    <w:rsid w:val="00F46268"/>
    <w:rsid w:val="00F462D5"/>
    <w:rsid w:val="00F46480"/>
    <w:rsid w:val="00F46539"/>
    <w:rsid w:val="00F46617"/>
    <w:rsid w:val="00F468FE"/>
    <w:rsid w:val="00F469C6"/>
    <w:rsid w:val="00F46BF3"/>
    <w:rsid w:val="00F471E4"/>
    <w:rsid w:val="00F47241"/>
    <w:rsid w:val="00F476D2"/>
    <w:rsid w:val="00F47717"/>
    <w:rsid w:val="00F47843"/>
    <w:rsid w:val="00F47C97"/>
    <w:rsid w:val="00F47C9C"/>
    <w:rsid w:val="00F47CA4"/>
    <w:rsid w:val="00F47EC5"/>
    <w:rsid w:val="00F47FDF"/>
    <w:rsid w:val="00F501EB"/>
    <w:rsid w:val="00F502B5"/>
    <w:rsid w:val="00F502C4"/>
    <w:rsid w:val="00F503CA"/>
    <w:rsid w:val="00F506DD"/>
    <w:rsid w:val="00F507F5"/>
    <w:rsid w:val="00F50B3F"/>
    <w:rsid w:val="00F50FE0"/>
    <w:rsid w:val="00F51003"/>
    <w:rsid w:val="00F5121E"/>
    <w:rsid w:val="00F512E5"/>
    <w:rsid w:val="00F512EF"/>
    <w:rsid w:val="00F51378"/>
    <w:rsid w:val="00F51412"/>
    <w:rsid w:val="00F51424"/>
    <w:rsid w:val="00F51580"/>
    <w:rsid w:val="00F51693"/>
    <w:rsid w:val="00F51697"/>
    <w:rsid w:val="00F51CF7"/>
    <w:rsid w:val="00F51D13"/>
    <w:rsid w:val="00F52196"/>
    <w:rsid w:val="00F522E9"/>
    <w:rsid w:val="00F52447"/>
    <w:rsid w:val="00F524A1"/>
    <w:rsid w:val="00F524F0"/>
    <w:rsid w:val="00F52524"/>
    <w:rsid w:val="00F52715"/>
    <w:rsid w:val="00F52D1A"/>
    <w:rsid w:val="00F52D28"/>
    <w:rsid w:val="00F52E32"/>
    <w:rsid w:val="00F52EE0"/>
    <w:rsid w:val="00F5307B"/>
    <w:rsid w:val="00F530BB"/>
    <w:rsid w:val="00F530CE"/>
    <w:rsid w:val="00F533B5"/>
    <w:rsid w:val="00F53732"/>
    <w:rsid w:val="00F53A59"/>
    <w:rsid w:val="00F53A8C"/>
    <w:rsid w:val="00F53C9D"/>
    <w:rsid w:val="00F53D21"/>
    <w:rsid w:val="00F53F96"/>
    <w:rsid w:val="00F53FA8"/>
    <w:rsid w:val="00F54722"/>
    <w:rsid w:val="00F548F4"/>
    <w:rsid w:val="00F549A0"/>
    <w:rsid w:val="00F54AC6"/>
    <w:rsid w:val="00F54BC8"/>
    <w:rsid w:val="00F54E86"/>
    <w:rsid w:val="00F54F54"/>
    <w:rsid w:val="00F553E2"/>
    <w:rsid w:val="00F55491"/>
    <w:rsid w:val="00F5554F"/>
    <w:rsid w:val="00F557CE"/>
    <w:rsid w:val="00F558E0"/>
    <w:rsid w:val="00F55949"/>
    <w:rsid w:val="00F55980"/>
    <w:rsid w:val="00F55AA3"/>
    <w:rsid w:val="00F55B8D"/>
    <w:rsid w:val="00F5606D"/>
    <w:rsid w:val="00F561C0"/>
    <w:rsid w:val="00F562DD"/>
    <w:rsid w:val="00F56353"/>
    <w:rsid w:val="00F5658C"/>
    <w:rsid w:val="00F5672F"/>
    <w:rsid w:val="00F568B5"/>
    <w:rsid w:val="00F56B3E"/>
    <w:rsid w:val="00F56CE5"/>
    <w:rsid w:val="00F56DA6"/>
    <w:rsid w:val="00F5760D"/>
    <w:rsid w:val="00F57617"/>
    <w:rsid w:val="00F5771D"/>
    <w:rsid w:val="00F57AC3"/>
    <w:rsid w:val="00F57C53"/>
    <w:rsid w:val="00F57F7A"/>
    <w:rsid w:val="00F5883C"/>
    <w:rsid w:val="00F60064"/>
    <w:rsid w:val="00F60110"/>
    <w:rsid w:val="00F6052C"/>
    <w:rsid w:val="00F60BCC"/>
    <w:rsid w:val="00F60D8E"/>
    <w:rsid w:val="00F60DD5"/>
    <w:rsid w:val="00F61606"/>
    <w:rsid w:val="00F61AA5"/>
    <w:rsid w:val="00F61DBE"/>
    <w:rsid w:val="00F61DCD"/>
    <w:rsid w:val="00F61DDC"/>
    <w:rsid w:val="00F61E41"/>
    <w:rsid w:val="00F62063"/>
    <w:rsid w:val="00F625A4"/>
    <w:rsid w:val="00F626B6"/>
    <w:rsid w:val="00F62798"/>
    <w:rsid w:val="00F627AE"/>
    <w:rsid w:val="00F62853"/>
    <w:rsid w:val="00F6294F"/>
    <w:rsid w:val="00F629DA"/>
    <w:rsid w:val="00F62A44"/>
    <w:rsid w:val="00F62D7E"/>
    <w:rsid w:val="00F62EE0"/>
    <w:rsid w:val="00F62FD6"/>
    <w:rsid w:val="00F630DF"/>
    <w:rsid w:val="00F63142"/>
    <w:rsid w:val="00F631BE"/>
    <w:rsid w:val="00F632C0"/>
    <w:rsid w:val="00F6335A"/>
    <w:rsid w:val="00F63398"/>
    <w:rsid w:val="00F634E7"/>
    <w:rsid w:val="00F6351C"/>
    <w:rsid w:val="00F63607"/>
    <w:rsid w:val="00F637A3"/>
    <w:rsid w:val="00F63C08"/>
    <w:rsid w:val="00F63FA0"/>
    <w:rsid w:val="00F64045"/>
    <w:rsid w:val="00F640B1"/>
    <w:rsid w:val="00F64148"/>
    <w:rsid w:val="00F6441A"/>
    <w:rsid w:val="00F64686"/>
    <w:rsid w:val="00F64739"/>
    <w:rsid w:val="00F64993"/>
    <w:rsid w:val="00F64CDE"/>
    <w:rsid w:val="00F64D6D"/>
    <w:rsid w:val="00F64E23"/>
    <w:rsid w:val="00F64ED8"/>
    <w:rsid w:val="00F65041"/>
    <w:rsid w:val="00F65194"/>
    <w:rsid w:val="00F6536D"/>
    <w:rsid w:val="00F65713"/>
    <w:rsid w:val="00F65770"/>
    <w:rsid w:val="00F65A68"/>
    <w:rsid w:val="00F65BA9"/>
    <w:rsid w:val="00F65D14"/>
    <w:rsid w:val="00F65D2A"/>
    <w:rsid w:val="00F65F6C"/>
    <w:rsid w:val="00F65F77"/>
    <w:rsid w:val="00F66068"/>
    <w:rsid w:val="00F66233"/>
    <w:rsid w:val="00F662E2"/>
    <w:rsid w:val="00F662EB"/>
    <w:rsid w:val="00F66481"/>
    <w:rsid w:val="00F66593"/>
    <w:rsid w:val="00F666AF"/>
    <w:rsid w:val="00F66D55"/>
    <w:rsid w:val="00F66E5C"/>
    <w:rsid w:val="00F670EC"/>
    <w:rsid w:val="00F672B9"/>
    <w:rsid w:val="00F675E9"/>
    <w:rsid w:val="00F6776B"/>
    <w:rsid w:val="00F678D1"/>
    <w:rsid w:val="00F67A2B"/>
    <w:rsid w:val="00F67A7F"/>
    <w:rsid w:val="00F67BC3"/>
    <w:rsid w:val="00F67C5C"/>
    <w:rsid w:val="00F67CB5"/>
    <w:rsid w:val="00F67EAC"/>
    <w:rsid w:val="00F7026F"/>
    <w:rsid w:val="00F704D9"/>
    <w:rsid w:val="00F7058F"/>
    <w:rsid w:val="00F7095D"/>
    <w:rsid w:val="00F709A5"/>
    <w:rsid w:val="00F70C02"/>
    <w:rsid w:val="00F70C94"/>
    <w:rsid w:val="00F710E3"/>
    <w:rsid w:val="00F71169"/>
    <w:rsid w:val="00F71518"/>
    <w:rsid w:val="00F718E8"/>
    <w:rsid w:val="00F71ABC"/>
    <w:rsid w:val="00F71B7D"/>
    <w:rsid w:val="00F71BB3"/>
    <w:rsid w:val="00F71C2D"/>
    <w:rsid w:val="00F72012"/>
    <w:rsid w:val="00F720FD"/>
    <w:rsid w:val="00F72156"/>
    <w:rsid w:val="00F723FA"/>
    <w:rsid w:val="00F724B2"/>
    <w:rsid w:val="00F724D3"/>
    <w:rsid w:val="00F72509"/>
    <w:rsid w:val="00F7263B"/>
    <w:rsid w:val="00F726FF"/>
    <w:rsid w:val="00F7283F"/>
    <w:rsid w:val="00F72985"/>
    <w:rsid w:val="00F729C4"/>
    <w:rsid w:val="00F72BAF"/>
    <w:rsid w:val="00F72EF6"/>
    <w:rsid w:val="00F730FD"/>
    <w:rsid w:val="00F733ED"/>
    <w:rsid w:val="00F736E5"/>
    <w:rsid w:val="00F7376F"/>
    <w:rsid w:val="00F73A94"/>
    <w:rsid w:val="00F73ACC"/>
    <w:rsid w:val="00F73B7F"/>
    <w:rsid w:val="00F73BF4"/>
    <w:rsid w:val="00F74083"/>
    <w:rsid w:val="00F7421F"/>
    <w:rsid w:val="00F742B6"/>
    <w:rsid w:val="00F74561"/>
    <w:rsid w:val="00F74686"/>
    <w:rsid w:val="00F74A6A"/>
    <w:rsid w:val="00F74F59"/>
    <w:rsid w:val="00F74F91"/>
    <w:rsid w:val="00F74F9E"/>
    <w:rsid w:val="00F75033"/>
    <w:rsid w:val="00F75057"/>
    <w:rsid w:val="00F75131"/>
    <w:rsid w:val="00F75146"/>
    <w:rsid w:val="00F75147"/>
    <w:rsid w:val="00F75149"/>
    <w:rsid w:val="00F7522E"/>
    <w:rsid w:val="00F756EA"/>
    <w:rsid w:val="00F75733"/>
    <w:rsid w:val="00F75824"/>
    <w:rsid w:val="00F75BB7"/>
    <w:rsid w:val="00F75D34"/>
    <w:rsid w:val="00F75D60"/>
    <w:rsid w:val="00F75FCB"/>
    <w:rsid w:val="00F76078"/>
    <w:rsid w:val="00F760A0"/>
    <w:rsid w:val="00F7612B"/>
    <w:rsid w:val="00F7613E"/>
    <w:rsid w:val="00F762C9"/>
    <w:rsid w:val="00F7683F"/>
    <w:rsid w:val="00F76B62"/>
    <w:rsid w:val="00F76C1D"/>
    <w:rsid w:val="00F7706C"/>
    <w:rsid w:val="00F770DC"/>
    <w:rsid w:val="00F773D9"/>
    <w:rsid w:val="00F775AF"/>
    <w:rsid w:val="00F7776F"/>
    <w:rsid w:val="00F77C35"/>
    <w:rsid w:val="00F77C5D"/>
    <w:rsid w:val="00F77E08"/>
    <w:rsid w:val="00F80160"/>
    <w:rsid w:val="00F80551"/>
    <w:rsid w:val="00F80586"/>
    <w:rsid w:val="00F8091A"/>
    <w:rsid w:val="00F80994"/>
    <w:rsid w:val="00F80A94"/>
    <w:rsid w:val="00F80BC6"/>
    <w:rsid w:val="00F80D95"/>
    <w:rsid w:val="00F80E21"/>
    <w:rsid w:val="00F80F4A"/>
    <w:rsid w:val="00F80F5E"/>
    <w:rsid w:val="00F80FFC"/>
    <w:rsid w:val="00F81144"/>
    <w:rsid w:val="00F81170"/>
    <w:rsid w:val="00F8117C"/>
    <w:rsid w:val="00F81355"/>
    <w:rsid w:val="00F8138A"/>
    <w:rsid w:val="00F814A4"/>
    <w:rsid w:val="00F8155E"/>
    <w:rsid w:val="00F8183C"/>
    <w:rsid w:val="00F81912"/>
    <w:rsid w:val="00F81A80"/>
    <w:rsid w:val="00F81C0B"/>
    <w:rsid w:val="00F81FD1"/>
    <w:rsid w:val="00F82017"/>
    <w:rsid w:val="00F820F8"/>
    <w:rsid w:val="00F823A5"/>
    <w:rsid w:val="00F824E4"/>
    <w:rsid w:val="00F825B4"/>
    <w:rsid w:val="00F825E7"/>
    <w:rsid w:val="00F82632"/>
    <w:rsid w:val="00F826AD"/>
    <w:rsid w:val="00F8288A"/>
    <w:rsid w:val="00F82A94"/>
    <w:rsid w:val="00F82B7F"/>
    <w:rsid w:val="00F82F2D"/>
    <w:rsid w:val="00F82FB8"/>
    <w:rsid w:val="00F830B0"/>
    <w:rsid w:val="00F8313D"/>
    <w:rsid w:val="00F8318A"/>
    <w:rsid w:val="00F831E8"/>
    <w:rsid w:val="00F832C8"/>
    <w:rsid w:val="00F832D6"/>
    <w:rsid w:val="00F8338E"/>
    <w:rsid w:val="00F83894"/>
    <w:rsid w:val="00F838F3"/>
    <w:rsid w:val="00F83A75"/>
    <w:rsid w:val="00F83BF6"/>
    <w:rsid w:val="00F83C91"/>
    <w:rsid w:val="00F83E2D"/>
    <w:rsid w:val="00F83EA5"/>
    <w:rsid w:val="00F83F42"/>
    <w:rsid w:val="00F83F9A"/>
    <w:rsid w:val="00F8468F"/>
    <w:rsid w:val="00F8471C"/>
    <w:rsid w:val="00F84729"/>
    <w:rsid w:val="00F8479C"/>
    <w:rsid w:val="00F847B4"/>
    <w:rsid w:val="00F84901"/>
    <w:rsid w:val="00F84B23"/>
    <w:rsid w:val="00F84B5B"/>
    <w:rsid w:val="00F84DB3"/>
    <w:rsid w:val="00F84E3C"/>
    <w:rsid w:val="00F84EA8"/>
    <w:rsid w:val="00F85112"/>
    <w:rsid w:val="00F852D8"/>
    <w:rsid w:val="00F853DE"/>
    <w:rsid w:val="00F856EE"/>
    <w:rsid w:val="00F85708"/>
    <w:rsid w:val="00F858A3"/>
    <w:rsid w:val="00F859F7"/>
    <w:rsid w:val="00F85A6C"/>
    <w:rsid w:val="00F85AA9"/>
    <w:rsid w:val="00F85D2D"/>
    <w:rsid w:val="00F85F8C"/>
    <w:rsid w:val="00F8649F"/>
    <w:rsid w:val="00F86819"/>
    <w:rsid w:val="00F869E4"/>
    <w:rsid w:val="00F86AD2"/>
    <w:rsid w:val="00F86ADB"/>
    <w:rsid w:val="00F86B70"/>
    <w:rsid w:val="00F86ED5"/>
    <w:rsid w:val="00F86EDF"/>
    <w:rsid w:val="00F8716F"/>
    <w:rsid w:val="00F87381"/>
    <w:rsid w:val="00F874B7"/>
    <w:rsid w:val="00F878AD"/>
    <w:rsid w:val="00F87AF9"/>
    <w:rsid w:val="00F87BF8"/>
    <w:rsid w:val="00F87CA5"/>
    <w:rsid w:val="00F87DCE"/>
    <w:rsid w:val="00F87F55"/>
    <w:rsid w:val="00F9028E"/>
    <w:rsid w:val="00F9049E"/>
    <w:rsid w:val="00F9058F"/>
    <w:rsid w:val="00F90629"/>
    <w:rsid w:val="00F90A5B"/>
    <w:rsid w:val="00F90F56"/>
    <w:rsid w:val="00F90FB8"/>
    <w:rsid w:val="00F9115A"/>
    <w:rsid w:val="00F914C5"/>
    <w:rsid w:val="00F915D5"/>
    <w:rsid w:val="00F9185F"/>
    <w:rsid w:val="00F919F1"/>
    <w:rsid w:val="00F91BE0"/>
    <w:rsid w:val="00F91EAA"/>
    <w:rsid w:val="00F91FEA"/>
    <w:rsid w:val="00F920E6"/>
    <w:rsid w:val="00F9228E"/>
    <w:rsid w:val="00F92585"/>
    <w:rsid w:val="00F925C1"/>
    <w:rsid w:val="00F9263E"/>
    <w:rsid w:val="00F926A3"/>
    <w:rsid w:val="00F92840"/>
    <w:rsid w:val="00F928E5"/>
    <w:rsid w:val="00F9290D"/>
    <w:rsid w:val="00F929DE"/>
    <w:rsid w:val="00F92B67"/>
    <w:rsid w:val="00F92BDA"/>
    <w:rsid w:val="00F92EDE"/>
    <w:rsid w:val="00F92F2F"/>
    <w:rsid w:val="00F9303F"/>
    <w:rsid w:val="00F93325"/>
    <w:rsid w:val="00F93389"/>
    <w:rsid w:val="00F93554"/>
    <w:rsid w:val="00F937A7"/>
    <w:rsid w:val="00F93CD5"/>
    <w:rsid w:val="00F940C2"/>
    <w:rsid w:val="00F944AE"/>
    <w:rsid w:val="00F946C4"/>
    <w:rsid w:val="00F94AC9"/>
    <w:rsid w:val="00F94E0C"/>
    <w:rsid w:val="00F9502C"/>
    <w:rsid w:val="00F9537B"/>
    <w:rsid w:val="00F955C2"/>
    <w:rsid w:val="00F955EC"/>
    <w:rsid w:val="00F95740"/>
    <w:rsid w:val="00F95882"/>
    <w:rsid w:val="00F958AB"/>
    <w:rsid w:val="00F9591F"/>
    <w:rsid w:val="00F95928"/>
    <w:rsid w:val="00F95C05"/>
    <w:rsid w:val="00F95D0D"/>
    <w:rsid w:val="00F95EE0"/>
    <w:rsid w:val="00F96216"/>
    <w:rsid w:val="00F962CA"/>
    <w:rsid w:val="00F963D4"/>
    <w:rsid w:val="00F969E6"/>
    <w:rsid w:val="00F96C25"/>
    <w:rsid w:val="00F96CCA"/>
    <w:rsid w:val="00F96E9C"/>
    <w:rsid w:val="00F9711B"/>
    <w:rsid w:val="00F97238"/>
    <w:rsid w:val="00F97354"/>
    <w:rsid w:val="00F975FE"/>
    <w:rsid w:val="00F976A6"/>
    <w:rsid w:val="00F9779F"/>
    <w:rsid w:val="00F977CC"/>
    <w:rsid w:val="00F9799D"/>
    <w:rsid w:val="00F97ADF"/>
    <w:rsid w:val="00F97D06"/>
    <w:rsid w:val="00F97EA6"/>
    <w:rsid w:val="00F97EF5"/>
    <w:rsid w:val="00FA0129"/>
    <w:rsid w:val="00FA0169"/>
    <w:rsid w:val="00FA0236"/>
    <w:rsid w:val="00FA026A"/>
    <w:rsid w:val="00FA0594"/>
    <w:rsid w:val="00FA08D2"/>
    <w:rsid w:val="00FA0AED"/>
    <w:rsid w:val="00FA154C"/>
    <w:rsid w:val="00FA1A53"/>
    <w:rsid w:val="00FA1AF0"/>
    <w:rsid w:val="00FA1F27"/>
    <w:rsid w:val="00FA1FD3"/>
    <w:rsid w:val="00FA2031"/>
    <w:rsid w:val="00FA22FC"/>
    <w:rsid w:val="00FA2323"/>
    <w:rsid w:val="00FA2496"/>
    <w:rsid w:val="00FA24BF"/>
    <w:rsid w:val="00FA2546"/>
    <w:rsid w:val="00FA2682"/>
    <w:rsid w:val="00FA27C9"/>
    <w:rsid w:val="00FA2910"/>
    <w:rsid w:val="00FA2C39"/>
    <w:rsid w:val="00FA2CF2"/>
    <w:rsid w:val="00FA2D35"/>
    <w:rsid w:val="00FA313B"/>
    <w:rsid w:val="00FA3234"/>
    <w:rsid w:val="00FA3463"/>
    <w:rsid w:val="00FA3AFB"/>
    <w:rsid w:val="00FA3DF9"/>
    <w:rsid w:val="00FA3EA1"/>
    <w:rsid w:val="00FA45CC"/>
    <w:rsid w:val="00FA4C37"/>
    <w:rsid w:val="00FA4D29"/>
    <w:rsid w:val="00FA526E"/>
    <w:rsid w:val="00FA5626"/>
    <w:rsid w:val="00FA586B"/>
    <w:rsid w:val="00FA590A"/>
    <w:rsid w:val="00FA5DBF"/>
    <w:rsid w:val="00FA5E52"/>
    <w:rsid w:val="00FA5EB2"/>
    <w:rsid w:val="00FA6196"/>
    <w:rsid w:val="00FA61DC"/>
    <w:rsid w:val="00FA620B"/>
    <w:rsid w:val="00FA671F"/>
    <w:rsid w:val="00FA68CB"/>
    <w:rsid w:val="00FA6A57"/>
    <w:rsid w:val="00FA6B8B"/>
    <w:rsid w:val="00FA6E7F"/>
    <w:rsid w:val="00FA6EE8"/>
    <w:rsid w:val="00FA706F"/>
    <w:rsid w:val="00FA70D8"/>
    <w:rsid w:val="00FA7418"/>
    <w:rsid w:val="00FA7593"/>
    <w:rsid w:val="00FA75AF"/>
    <w:rsid w:val="00FA76BC"/>
    <w:rsid w:val="00FA77E3"/>
    <w:rsid w:val="00FA7B3C"/>
    <w:rsid w:val="00FA7C8A"/>
    <w:rsid w:val="00FA7F20"/>
    <w:rsid w:val="00FAE5BE"/>
    <w:rsid w:val="00FB016E"/>
    <w:rsid w:val="00FB02F2"/>
    <w:rsid w:val="00FB04C6"/>
    <w:rsid w:val="00FB06BD"/>
    <w:rsid w:val="00FB06E8"/>
    <w:rsid w:val="00FB07BA"/>
    <w:rsid w:val="00FB089F"/>
    <w:rsid w:val="00FB0986"/>
    <w:rsid w:val="00FB0A35"/>
    <w:rsid w:val="00FB0C85"/>
    <w:rsid w:val="00FB0DCF"/>
    <w:rsid w:val="00FB0E56"/>
    <w:rsid w:val="00FB105F"/>
    <w:rsid w:val="00FB11DC"/>
    <w:rsid w:val="00FB1219"/>
    <w:rsid w:val="00FB1244"/>
    <w:rsid w:val="00FB1252"/>
    <w:rsid w:val="00FB1270"/>
    <w:rsid w:val="00FB170E"/>
    <w:rsid w:val="00FB17AB"/>
    <w:rsid w:val="00FB1B73"/>
    <w:rsid w:val="00FB1B94"/>
    <w:rsid w:val="00FB1BB7"/>
    <w:rsid w:val="00FB1C7F"/>
    <w:rsid w:val="00FB1D55"/>
    <w:rsid w:val="00FB1EBF"/>
    <w:rsid w:val="00FB1F07"/>
    <w:rsid w:val="00FB1FFE"/>
    <w:rsid w:val="00FB21F8"/>
    <w:rsid w:val="00FB2316"/>
    <w:rsid w:val="00FB234E"/>
    <w:rsid w:val="00FB237C"/>
    <w:rsid w:val="00FB24D5"/>
    <w:rsid w:val="00FB24FF"/>
    <w:rsid w:val="00FB26B7"/>
    <w:rsid w:val="00FB2868"/>
    <w:rsid w:val="00FB2962"/>
    <w:rsid w:val="00FB2A02"/>
    <w:rsid w:val="00FB2AC4"/>
    <w:rsid w:val="00FB2BE5"/>
    <w:rsid w:val="00FB2F48"/>
    <w:rsid w:val="00FB3086"/>
    <w:rsid w:val="00FB309E"/>
    <w:rsid w:val="00FB327A"/>
    <w:rsid w:val="00FB32C0"/>
    <w:rsid w:val="00FB36C2"/>
    <w:rsid w:val="00FB3B22"/>
    <w:rsid w:val="00FB3D0B"/>
    <w:rsid w:val="00FB3D43"/>
    <w:rsid w:val="00FB3EE6"/>
    <w:rsid w:val="00FB4037"/>
    <w:rsid w:val="00FB42BB"/>
    <w:rsid w:val="00FB4571"/>
    <w:rsid w:val="00FB4711"/>
    <w:rsid w:val="00FB4846"/>
    <w:rsid w:val="00FB4988"/>
    <w:rsid w:val="00FB4B78"/>
    <w:rsid w:val="00FB4B7C"/>
    <w:rsid w:val="00FB4CEB"/>
    <w:rsid w:val="00FB4F39"/>
    <w:rsid w:val="00FB4FC5"/>
    <w:rsid w:val="00FB502F"/>
    <w:rsid w:val="00FB56B8"/>
    <w:rsid w:val="00FB5D7C"/>
    <w:rsid w:val="00FB5F80"/>
    <w:rsid w:val="00FB6688"/>
    <w:rsid w:val="00FB6917"/>
    <w:rsid w:val="00FB6A68"/>
    <w:rsid w:val="00FB6B7A"/>
    <w:rsid w:val="00FB7129"/>
    <w:rsid w:val="00FB72C8"/>
    <w:rsid w:val="00FB74D7"/>
    <w:rsid w:val="00FB7585"/>
    <w:rsid w:val="00FB75B4"/>
    <w:rsid w:val="00FB77FA"/>
    <w:rsid w:val="00FB77FE"/>
    <w:rsid w:val="00FB7A42"/>
    <w:rsid w:val="00FB7C98"/>
    <w:rsid w:val="00FB7E1A"/>
    <w:rsid w:val="00FB7E84"/>
    <w:rsid w:val="00FB7EDF"/>
    <w:rsid w:val="00FC0274"/>
    <w:rsid w:val="00FC0285"/>
    <w:rsid w:val="00FC0303"/>
    <w:rsid w:val="00FC0357"/>
    <w:rsid w:val="00FC0526"/>
    <w:rsid w:val="00FC072F"/>
    <w:rsid w:val="00FC0B79"/>
    <w:rsid w:val="00FC0EB5"/>
    <w:rsid w:val="00FC109E"/>
    <w:rsid w:val="00FC1177"/>
    <w:rsid w:val="00FC1193"/>
    <w:rsid w:val="00FC11DE"/>
    <w:rsid w:val="00FC12A7"/>
    <w:rsid w:val="00FC13AE"/>
    <w:rsid w:val="00FC14BF"/>
    <w:rsid w:val="00FC14DC"/>
    <w:rsid w:val="00FC15DD"/>
    <w:rsid w:val="00FC16B0"/>
    <w:rsid w:val="00FC17AF"/>
    <w:rsid w:val="00FC1896"/>
    <w:rsid w:val="00FC1B28"/>
    <w:rsid w:val="00FC1BFD"/>
    <w:rsid w:val="00FC1DA9"/>
    <w:rsid w:val="00FC2277"/>
    <w:rsid w:val="00FC260E"/>
    <w:rsid w:val="00FC2623"/>
    <w:rsid w:val="00FC2648"/>
    <w:rsid w:val="00FC2675"/>
    <w:rsid w:val="00FC2825"/>
    <w:rsid w:val="00FC292D"/>
    <w:rsid w:val="00FC2A05"/>
    <w:rsid w:val="00FC2A0A"/>
    <w:rsid w:val="00FC2A8C"/>
    <w:rsid w:val="00FC2E75"/>
    <w:rsid w:val="00FC31CF"/>
    <w:rsid w:val="00FC3331"/>
    <w:rsid w:val="00FC3343"/>
    <w:rsid w:val="00FC3500"/>
    <w:rsid w:val="00FC3983"/>
    <w:rsid w:val="00FC4003"/>
    <w:rsid w:val="00FC4017"/>
    <w:rsid w:val="00FC420C"/>
    <w:rsid w:val="00FC4214"/>
    <w:rsid w:val="00FC426D"/>
    <w:rsid w:val="00FC46BB"/>
    <w:rsid w:val="00FC471E"/>
    <w:rsid w:val="00FC4773"/>
    <w:rsid w:val="00FC47C9"/>
    <w:rsid w:val="00FC4A15"/>
    <w:rsid w:val="00FC4E50"/>
    <w:rsid w:val="00FC500C"/>
    <w:rsid w:val="00FC5013"/>
    <w:rsid w:val="00FC5297"/>
    <w:rsid w:val="00FC5370"/>
    <w:rsid w:val="00FC54A8"/>
    <w:rsid w:val="00FC5681"/>
    <w:rsid w:val="00FC5687"/>
    <w:rsid w:val="00FC607F"/>
    <w:rsid w:val="00FC6331"/>
    <w:rsid w:val="00FC682A"/>
    <w:rsid w:val="00FC6833"/>
    <w:rsid w:val="00FC6C27"/>
    <w:rsid w:val="00FC6F17"/>
    <w:rsid w:val="00FC6F3D"/>
    <w:rsid w:val="00FC7042"/>
    <w:rsid w:val="00FC70B0"/>
    <w:rsid w:val="00FC76A2"/>
    <w:rsid w:val="00FC77B4"/>
    <w:rsid w:val="00FC79B1"/>
    <w:rsid w:val="00FC7AAF"/>
    <w:rsid w:val="00FC7B40"/>
    <w:rsid w:val="00FD0059"/>
    <w:rsid w:val="00FD0113"/>
    <w:rsid w:val="00FD0A0E"/>
    <w:rsid w:val="00FD0A9D"/>
    <w:rsid w:val="00FD0DFE"/>
    <w:rsid w:val="00FD0EE4"/>
    <w:rsid w:val="00FD1011"/>
    <w:rsid w:val="00FD1332"/>
    <w:rsid w:val="00FD1381"/>
    <w:rsid w:val="00FD15F4"/>
    <w:rsid w:val="00FD16EA"/>
    <w:rsid w:val="00FD1898"/>
    <w:rsid w:val="00FD19F9"/>
    <w:rsid w:val="00FD1A0B"/>
    <w:rsid w:val="00FD1AA3"/>
    <w:rsid w:val="00FD1CA3"/>
    <w:rsid w:val="00FD1D31"/>
    <w:rsid w:val="00FD1E26"/>
    <w:rsid w:val="00FD2037"/>
    <w:rsid w:val="00FD22FE"/>
    <w:rsid w:val="00FD23B1"/>
    <w:rsid w:val="00FD2426"/>
    <w:rsid w:val="00FD2516"/>
    <w:rsid w:val="00FD260D"/>
    <w:rsid w:val="00FD2892"/>
    <w:rsid w:val="00FD2D08"/>
    <w:rsid w:val="00FD2E6C"/>
    <w:rsid w:val="00FD3109"/>
    <w:rsid w:val="00FD31CC"/>
    <w:rsid w:val="00FD367C"/>
    <w:rsid w:val="00FD3D7B"/>
    <w:rsid w:val="00FD3DCE"/>
    <w:rsid w:val="00FD3E8A"/>
    <w:rsid w:val="00FD4011"/>
    <w:rsid w:val="00FD43C7"/>
    <w:rsid w:val="00FD43E4"/>
    <w:rsid w:val="00FD48A2"/>
    <w:rsid w:val="00FD4AE7"/>
    <w:rsid w:val="00FD4B61"/>
    <w:rsid w:val="00FD4DBB"/>
    <w:rsid w:val="00FD4F28"/>
    <w:rsid w:val="00FD5401"/>
    <w:rsid w:val="00FD5495"/>
    <w:rsid w:val="00FD54C7"/>
    <w:rsid w:val="00FD54C9"/>
    <w:rsid w:val="00FD564C"/>
    <w:rsid w:val="00FD5764"/>
    <w:rsid w:val="00FD5783"/>
    <w:rsid w:val="00FD5AF9"/>
    <w:rsid w:val="00FD6301"/>
    <w:rsid w:val="00FD6308"/>
    <w:rsid w:val="00FD63FC"/>
    <w:rsid w:val="00FD64EF"/>
    <w:rsid w:val="00FD65FC"/>
    <w:rsid w:val="00FD6BC3"/>
    <w:rsid w:val="00FD6DF3"/>
    <w:rsid w:val="00FD6FB5"/>
    <w:rsid w:val="00FD7733"/>
    <w:rsid w:val="00FD7792"/>
    <w:rsid w:val="00FD7843"/>
    <w:rsid w:val="00FD7B4B"/>
    <w:rsid w:val="00FD7C6B"/>
    <w:rsid w:val="00FD7FB2"/>
    <w:rsid w:val="00FE008E"/>
    <w:rsid w:val="00FE0094"/>
    <w:rsid w:val="00FE03C6"/>
    <w:rsid w:val="00FE0559"/>
    <w:rsid w:val="00FE0584"/>
    <w:rsid w:val="00FE0740"/>
    <w:rsid w:val="00FE08DC"/>
    <w:rsid w:val="00FE0AC6"/>
    <w:rsid w:val="00FE0C43"/>
    <w:rsid w:val="00FE0C80"/>
    <w:rsid w:val="00FE0CC3"/>
    <w:rsid w:val="00FE0DD6"/>
    <w:rsid w:val="00FE1329"/>
    <w:rsid w:val="00FE14FB"/>
    <w:rsid w:val="00FE19CB"/>
    <w:rsid w:val="00FE1A08"/>
    <w:rsid w:val="00FE1A2B"/>
    <w:rsid w:val="00FE1AA0"/>
    <w:rsid w:val="00FE1CCF"/>
    <w:rsid w:val="00FE1DA5"/>
    <w:rsid w:val="00FE1F0E"/>
    <w:rsid w:val="00FE2060"/>
    <w:rsid w:val="00FE2116"/>
    <w:rsid w:val="00FE2349"/>
    <w:rsid w:val="00FE2624"/>
    <w:rsid w:val="00FE288D"/>
    <w:rsid w:val="00FE2933"/>
    <w:rsid w:val="00FE298E"/>
    <w:rsid w:val="00FE2A6C"/>
    <w:rsid w:val="00FE2AB8"/>
    <w:rsid w:val="00FE2EA8"/>
    <w:rsid w:val="00FE3008"/>
    <w:rsid w:val="00FE3045"/>
    <w:rsid w:val="00FE304B"/>
    <w:rsid w:val="00FE32CB"/>
    <w:rsid w:val="00FE334F"/>
    <w:rsid w:val="00FE3421"/>
    <w:rsid w:val="00FE3707"/>
    <w:rsid w:val="00FE37B6"/>
    <w:rsid w:val="00FE3846"/>
    <w:rsid w:val="00FE3900"/>
    <w:rsid w:val="00FE3A32"/>
    <w:rsid w:val="00FE3DF5"/>
    <w:rsid w:val="00FE3F1C"/>
    <w:rsid w:val="00FE4397"/>
    <w:rsid w:val="00FE4490"/>
    <w:rsid w:val="00FE44A9"/>
    <w:rsid w:val="00FE44FA"/>
    <w:rsid w:val="00FE4578"/>
    <w:rsid w:val="00FE45D8"/>
    <w:rsid w:val="00FE4695"/>
    <w:rsid w:val="00FE4850"/>
    <w:rsid w:val="00FE4A6C"/>
    <w:rsid w:val="00FE4EAC"/>
    <w:rsid w:val="00FE4F80"/>
    <w:rsid w:val="00FE508F"/>
    <w:rsid w:val="00FE50CA"/>
    <w:rsid w:val="00FE50F8"/>
    <w:rsid w:val="00FE53E1"/>
    <w:rsid w:val="00FE5629"/>
    <w:rsid w:val="00FE5ADE"/>
    <w:rsid w:val="00FE5BA8"/>
    <w:rsid w:val="00FE5BEB"/>
    <w:rsid w:val="00FE611B"/>
    <w:rsid w:val="00FE61A2"/>
    <w:rsid w:val="00FE61A9"/>
    <w:rsid w:val="00FE6223"/>
    <w:rsid w:val="00FE644C"/>
    <w:rsid w:val="00FE64E4"/>
    <w:rsid w:val="00FE660E"/>
    <w:rsid w:val="00FE68F3"/>
    <w:rsid w:val="00FE69A2"/>
    <w:rsid w:val="00FE6B1C"/>
    <w:rsid w:val="00FE72E0"/>
    <w:rsid w:val="00FE738D"/>
    <w:rsid w:val="00FE744D"/>
    <w:rsid w:val="00FE74B7"/>
    <w:rsid w:val="00FE7E21"/>
    <w:rsid w:val="00FE7EE1"/>
    <w:rsid w:val="00FE7F35"/>
    <w:rsid w:val="00FE7FC0"/>
    <w:rsid w:val="00FF0203"/>
    <w:rsid w:val="00FF0454"/>
    <w:rsid w:val="00FF0761"/>
    <w:rsid w:val="00FF0849"/>
    <w:rsid w:val="00FF09F8"/>
    <w:rsid w:val="00FF0F35"/>
    <w:rsid w:val="00FF1410"/>
    <w:rsid w:val="00FF1433"/>
    <w:rsid w:val="00FF1508"/>
    <w:rsid w:val="00FF1C98"/>
    <w:rsid w:val="00FF1EBB"/>
    <w:rsid w:val="00FF22D8"/>
    <w:rsid w:val="00FF245D"/>
    <w:rsid w:val="00FF24EE"/>
    <w:rsid w:val="00FF2534"/>
    <w:rsid w:val="00FF26FF"/>
    <w:rsid w:val="00FF29DA"/>
    <w:rsid w:val="00FF2A66"/>
    <w:rsid w:val="00FF36E8"/>
    <w:rsid w:val="00FF3D69"/>
    <w:rsid w:val="00FF3E2B"/>
    <w:rsid w:val="00FF3E64"/>
    <w:rsid w:val="00FF3F6F"/>
    <w:rsid w:val="00FF408A"/>
    <w:rsid w:val="00FF418C"/>
    <w:rsid w:val="00FF41A6"/>
    <w:rsid w:val="00FF421D"/>
    <w:rsid w:val="00FF422C"/>
    <w:rsid w:val="00FF4509"/>
    <w:rsid w:val="00FF45E5"/>
    <w:rsid w:val="00FF4906"/>
    <w:rsid w:val="00FF4A91"/>
    <w:rsid w:val="00FF4CCB"/>
    <w:rsid w:val="00FF4D20"/>
    <w:rsid w:val="00FF5507"/>
    <w:rsid w:val="00FF5566"/>
    <w:rsid w:val="00FF55FA"/>
    <w:rsid w:val="00FF5993"/>
    <w:rsid w:val="00FF5C96"/>
    <w:rsid w:val="00FF5E94"/>
    <w:rsid w:val="00FF5ED7"/>
    <w:rsid w:val="00FF5FEF"/>
    <w:rsid w:val="00FF6274"/>
    <w:rsid w:val="00FF6560"/>
    <w:rsid w:val="00FF6679"/>
    <w:rsid w:val="00FF66DB"/>
    <w:rsid w:val="00FF67F0"/>
    <w:rsid w:val="00FF68CA"/>
    <w:rsid w:val="00FF6951"/>
    <w:rsid w:val="00FF698D"/>
    <w:rsid w:val="00FF69C8"/>
    <w:rsid w:val="00FF6A98"/>
    <w:rsid w:val="00FF6D4E"/>
    <w:rsid w:val="00FF6D8A"/>
    <w:rsid w:val="00FF6E57"/>
    <w:rsid w:val="00FF7273"/>
    <w:rsid w:val="00FF75D6"/>
    <w:rsid w:val="00FF7A46"/>
    <w:rsid w:val="00FF7B15"/>
    <w:rsid w:val="0105C9E9"/>
    <w:rsid w:val="011B6AF5"/>
    <w:rsid w:val="015B3B7D"/>
    <w:rsid w:val="01A12324"/>
    <w:rsid w:val="01A626CA"/>
    <w:rsid w:val="020B6AE3"/>
    <w:rsid w:val="02269116"/>
    <w:rsid w:val="02337F32"/>
    <w:rsid w:val="02BC86D6"/>
    <w:rsid w:val="033886BA"/>
    <w:rsid w:val="036AE631"/>
    <w:rsid w:val="03B9B90A"/>
    <w:rsid w:val="03C6945C"/>
    <w:rsid w:val="03CD2E85"/>
    <w:rsid w:val="0455E8D2"/>
    <w:rsid w:val="0485541B"/>
    <w:rsid w:val="04B4D350"/>
    <w:rsid w:val="04BAE61D"/>
    <w:rsid w:val="04C8BFE2"/>
    <w:rsid w:val="04E21D17"/>
    <w:rsid w:val="04F590B3"/>
    <w:rsid w:val="050BCBF2"/>
    <w:rsid w:val="053335B1"/>
    <w:rsid w:val="054877E7"/>
    <w:rsid w:val="0565229A"/>
    <w:rsid w:val="05D53D63"/>
    <w:rsid w:val="0609044F"/>
    <w:rsid w:val="061598B4"/>
    <w:rsid w:val="0643FB52"/>
    <w:rsid w:val="0670AA58"/>
    <w:rsid w:val="0726D964"/>
    <w:rsid w:val="073B33ED"/>
    <w:rsid w:val="0748D444"/>
    <w:rsid w:val="079B17D8"/>
    <w:rsid w:val="07DC3546"/>
    <w:rsid w:val="0831670A"/>
    <w:rsid w:val="084476C4"/>
    <w:rsid w:val="0847BF5E"/>
    <w:rsid w:val="087C0D97"/>
    <w:rsid w:val="08BC1034"/>
    <w:rsid w:val="08D51547"/>
    <w:rsid w:val="08F4D65F"/>
    <w:rsid w:val="08FAEF8C"/>
    <w:rsid w:val="09154A8E"/>
    <w:rsid w:val="0956431C"/>
    <w:rsid w:val="098B161E"/>
    <w:rsid w:val="098B6B8D"/>
    <w:rsid w:val="099AF627"/>
    <w:rsid w:val="09C4B3F2"/>
    <w:rsid w:val="09E9F4E8"/>
    <w:rsid w:val="0A439F2A"/>
    <w:rsid w:val="0A784C9B"/>
    <w:rsid w:val="0AB94DD2"/>
    <w:rsid w:val="0B0DB982"/>
    <w:rsid w:val="0B29AEFE"/>
    <w:rsid w:val="0B2DA4E5"/>
    <w:rsid w:val="0B4F6C9D"/>
    <w:rsid w:val="0B7C263B"/>
    <w:rsid w:val="0B8981A9"/>
    <w:rsid w:val="0B9302C6"/>
    <w:rsid w:val="0BB5D419"/>
    <w:rsid w:val="0BD62F30"/>
    <w:rsid w:val="0C5F86CB"/>
    <w:rsid w:val="0C74BC7C"/>
    <w:rsid w:val="0C90CDDF"/>
    <w:rsid w:val="0C9A95CB"/>
    <w:rsid w:val="0CB38AF2"/>
    <w:rsid w:val="0CEFCC68"/>
    <w:rsid w:val="0D2156F6"/>
    <w:rsid w:val="0D2CCC3D"/>
    <w:rsid w:val="0D3C48FF"/>
    <w:rsid w:val="0D87BC9E"/>
    <w:rsid w:val="0D9EE0FA"/>
    <w:rsid w:val="0DA13E4D"/>
    <w:rsid w:val="0DA27561"/>
    <w:rsid w:val="0DEABDE8"/>
    <w:rsid w:val="0E27D649"/>
    <w:rsid w:val="0E377E83"/>
    <w:rsid w:val="0E420E34"/>
    <w:rsid w:val="0E4E112F"/>
    <w:rsid w:val="0ECCD512"/>
    <w:rsid w:val="0EF0C064"/>
    <w:rsid w:val="0EFD1DBA"/>
    <w:rsid w:val="0F246BBB"/>
    <w:rsid w:val="0F60987B"/>
    <w:rsid w:val="0FC11314"/>
    <w:rsid w:val="0FC96409"/>
    <w:rsid w:val="102AE757"/>
    <w:rsid w:val="106FA06E"/>
    <w:rsid w:val="10795769"/>
    <w:rsid w:val="108906F8"/>
    <w:rsid w:val="10CBD7D0"/>
    <w:rsid w:val="10D5892D"/>
    <w:rsid w:val="11357628"/>
    <w:rsid w:val="115DFBFD"/>
    <w:rsid w:val="11CFF394"/>
    <w:rsid w:val="11FD9EA4"/>
    <w:rsid w:val="120721A8"/>
    <w:rsid w:val="12295C2B"/>
    <w:rsid w:val="12881109"/>
    <w:rsid w:val="129BAC68"/>
    <w:rsid w:val="13017FFA"/>
    <w:rsid w:val="137CDDB3"/>
    <w:rsid w:val="1429FE69"/>
    <w:rsid w:val="14429227"/>
    <w:rsid w:val="144A973B"/>
    <w:rsid w:val="14865B9F"/>
    <w:rsid w:val="14974A2C"/>
    <w:rsid w:val="149D9BA7"/>
    <w:rsid w:val="151F3591"/>
    <w:rsid w:val="159AC0A5"/>
    <w:rsid w:val="15A8DC5A"/>
    <w:rsid w:val="15D45443"/>
    <w:rsid w:val="15E3B8E2"/>
    <w:rsid w:val="164518EC"/>
    <w:rsid w:val="164CDDB9"/>
    <w:rsid w:val="16504ECC"/>
    <w:rsid w:val="168BB861"/>
    <w:rsid w:val="16BBA71C"/>
    <w:rsid w:val="16F062C9"/>
    <w:rsid w:val="16F5F1C7"/>
    <w:rsid w:val="1730CEA1"/>
    <w:rsid w:val="17BC987D"/>
    <w:rsid w:val="17D465E1"/>
    <w:rsid w:val="180C2513"/>
    <w:rsid w:val="18113697"/>
    <w:rsid w:val="181ED6AC"/>
    <w:rsid w:val="182C57F1"/>
    <w:rsid w:val="18457339"/>
    <w:rsid w:val="1865279C"/>
    <w:rsid w:val="1897731A"/>
    <w:rsid w:val="18A38E35"/>
    <w:rsid w:val="18BF957C"/>
    <w:rsid w:val="19457625"/>
    <w:rsid w:val="194CB565"/>
    <w:rsid w:val="194E1DBA"/>
    <w:rsid w:val="19729221"/>
    <w:rsid w:val="1996D76A"/>
    <w:rsid w:val="19B5E631"/>
    <w:rsid w:val="19D95216"/>
    <w:rsid w:val="19F53BFF"/>
    <w:rsid w:val="1A000F6E"/>
    <w:rsid w:val="1A135DED"/>
    <w:rsid w:val="1A487968"/>
    <w:rsid w:val="1A59275F"/>
    <w:rsid w:val="1AB4EADE"/>
    <w:rsid w:val="1AF4D05D"/>
    <w:rsid w:val="1B43A208"/>
    <w:rsid w:val="1B8FAB9A"/>
    <w:rsid w:val="1BA68A30"/>
    <w:rsid w:val="1BAAB0B2"/>
    <w:rsid w:val="1BC4FF8E"/>
    <w:rsid w:val="1BC50743"/>
    <w:rsid w:val="1BCAD21D"/>
    <w:rsid w:val="1BD65E13"/>
    <w:rsid w:val="1C079102"/>
    <w:rsid w:val="1C3EC78B"/>
    <w:rsid w:val="1C6CF16C"/>
    <w:rsid w:val="1CB8E221"/>
    <w:rsid w:val="1CD4E4B4"/>
    <w:rsid w:val="1CD75128"/>
    <w:rsid w:val="1CDF1DEB"/>
    <w:rsid w:val="1CE0C295"/>
    <w:rsid w:val="1CE3ACE9"/>
    <w:rsid w:val="1CEB343E"/>
    <w:rsid w:val="1D0F3A46"/>
    <w:rsid w:val="1D36E422"/>
    <w:rsid w:val="1D5AE8D8"/>
    <w:rsid w:val="1D753A64"/>
    <w:rsid w:val="1DA5D174"/>
    <w:rsid w:val="1DB3FF99"/>
    <w:rsid w:val="1DBAF190"/>
    <w:rsid w:val="1DDA566E"/>
    <w:rsid w:val="1E704686"/>
    <w:rsid w:val="1E9FE436"/>
    <w:rsid w:val="1EBA1EA7"/>
    <w:rsid w:val="1EE5C001"/>
    <w:rsid w:val="1F2D6A62"/>
    <w:rsid w:val="1F51C241"/>
    <w:rsid w:val="1FA0E055"/>
    <w:rsid w:val="1FBC304E"/>
    <w:rsid w:val="1FE4B2D2"/>
    <w:rsid w:val="1FEA9C87"/>
    <w:rsid w:val="207813DC"/>
    <w:rsid w:val="207CB459"/>
    <w:rsid w:val="208333E9"/>
    <w:rsid w:val="211AE66F"/>
    <w:rsid w:val="21261BBE"/>
    <w:rsid w:val="2130A330"/>
    <w:rsid w:val="213FADC8"/>
    <w:rsid w:val="2176E266"/>
    <w:rsid w:val="2194B896"/>
    <w:rsid w:val="21D1DD8E"/>
    <w:rsid w:val="21EAA3B6"/>
    <w:rsid w:val="22288AAC"/>
    <w:rsid w:val="22EADCD3"/>
    <w:rsid w:val="22EDC2A2"/>
    <w:rsid w:val="2301F07A"/>
    <w:rsid w:val="2313F152"/>
    <w:rsid w:val="2327AA32"/>
    <w:rsid w:val="23CD9D40"/>
    <w:rsid w:val="23D19D15"/>
    <w:rsid w:val="2425BA0C"/>
    <w:rsid w:val="2432E964"/>
    <w:rsid w:val="24343001"/>
    <w:rsid w:val="2494365B"/>
    <w:rsid w:val="24DD0DB6"/>
    <w:rsid w:val="24E7C5C0"/>
    <w:rsid w:val="250DB2EF"/>
    <w:rsid w:val="251D1AEE"/>
    <w:rsid w:val="255303AE"/>
    <w:rsid w:val="256607B2"/>
    <w:rsid w:val="25666230"/>
    <w:rsid w:val="25873C58"/>
    <w:rsid w:val="2590A9A7"/>
    <w:rsid w:val="25E66464"/>
    <w:rsid w:val="25F0E05E"/>
    <w:rsid w:val="25F91569"/>
    <w:rsid w:val="2618026D"/>
    <w:rsid w:val="261A0801"/>
    <w:rsid w:val="26215CEA"/>
    <w:rsid w:val="265B7E42"/>
    <w:rsid w:val="26B018E8"/>
    <w:rsid w:val="26F2F934"/>
    <w:rsid w:val="271EC343"/>
    <w:rsid w:val="277B3D5F"/>
    <w:rsid w:val="279957E6"/>
    <w:rsid w:val="27DA0162"/>
    <w:rsid w:val="280907C6"/>
    <w:rsid w:val="28189871"/>
    <w:rsid w:val="282C972C"/>
    <w:rsid w:val="284FB445"/>
    <w:rsid w:val="2856E6F5"/>
    <w:rsid w:val="289EAB03"/>
    <w:rsid w:val="289F43DE"/>
    <w:rsid w:val="28D5C27D"/>
    <w:rsid w:val="28EF32DB"/>
    <w:rsid w:val="2915F211"/>
    <w:rsid w:val="29699F69"/>
    <w:rsid w:val="29BB7A01"/>
    <w:rsid w:val="29E12247"/>
    <w:rsid w:val="29EFEF73"/>
    <w:rsid w:val="29F64856"/>
    <w:rsid w:val="2A12CBA8"/>
    <w:rsid w:val="2A1FE37B"/>
    <w:rsid w:val="2ADF570C"/>
    <w:rsid w:val="2AFF7FD4"/>
    <w:rsid w:val="2B2400E2"/>
    <w:rsid w:val="2B31900C"/>
    <w:rsid w:val="2B87B971"/>
    <w:rsid w:val="2B95F4D1"/>
    <w:rsid w:val="2BABB5C0"/>
    <w:rsid w:val="2BF71394"/>
    <w:rsid w:val="2C1D8CBC"/>
    <w:rsid w:val="2C2D2457"/>
    <w:rsid w:val="2C6B2106"/>
    <w:rsid w:val="2CA0150A"/>
    <w:rsid w:val="2CD99BB0"/>
    <w:rsid w:val="2CDB0D04"/>
    <w:rsid w:val="2D5B9326"/>
    <w:rsid w:val="2D8BB620"/>
    <w:rsid w:val="2D99ACAB"/>
    <w:rsid w:val="2DCF88B7"/>
    <w:rsid w:val="2DDFAFCC"/>
    <w:rsid w:val="2E03FDC1"/>
    <w:rsid w:val="2E3AD222"/>
    <w:rsid w:val="2EDF101A"/>
    <w:rsid w:val="2F40522D"/>
    <w:rsid w:val="2F647ED7"/>
    <w:rsid w:val="2F66F55B"/>
    <w:rsid w:val="2F953862"/>
    <w:rsid w:val="2FF8BFCF"/>
    <w:rsid w:val="306C3395"/>
    <w:rsid w:val="30B4B659"/>
    <w:rsid w:val="30E728DD"/>
    <w:rsid w:val="30F28A0B"/>
    <w:rsid w:val="319F8416"/>
    <w:rsid w:val="31A95294"/>
    <w:rsid w:val="31BB8728"/>
    <w:rsid w:val="31F5F34C"/>
    <w:rsid w:val="3208F583"/>
    <w:rsid w:val="32819259"/>
    <w:rsid w:val="32A6A418"/>
    <w:rsid w:val="32B4B49B"/>
    <w:rsid w:val="32BD449F"/>
    <w:rsid w:val="3307EECC"/>
    <w:rsid w:val="336B0B5E"/>
    <w:rsid w:val="33780635"/>
    <w:rsid w:val="33786F28"/>
    <w:rsid w:val="33AF711E"/>
    <w:rsid w:val="33B63413"/>
    <w:rsid w:val="33CBE250"/>
    <w:rsid w:val="33ED7A37"/>
    <w:rsid w:val="3451B419"/>
    <w:rsid w:val="34543AA6"/>
    <w:rsid w:val="34633E71"/>
    <w:rsid w:val="35059EE0"/>
    <w:rsid w:val="351EF477"/>
    <w:rsid w:val="353FC15E"/>
    <w:rsid w:val="3549B887"/>
    <w:rsid w:val="358A9411"/>
    <w:rsid w:val="35931294"/>
    <w:rsid w:val="359D31C4"/>
    <w:rsid w:val="35BD9C0B"/>
    <w:rsid w:val="35BFC1EE"/>
    <w:rsid w:val="35E9BD70"/>
    <w:rsid w:val="36150086"/>
    <w:rsid w:val="364D179D"/>
    <w:rsid w:val="366C735C"/>
    <w:rsid w:val="368D62AF"/>
    <w:rsid w:val="36E2F265"/>
    <w:rsid w:val="3718B153"/>
    <w:rsid w:val="374219CB"/>
    <w:rsid w:val="375FE268"/>
    <w:rsid w:val="378529BD"/>
    <w:rsid w:val="3789122D"/>
    <w:rsid w:val="37CFCF84"/>
    <w:rsid w:val="383D5593"/>
    <w:rsid w:val="385365D1"/>
    <w:rsid w:val="387B4EF9"/>
    <w:rsid w:val="38910032"/>
    <w:rsid w:val="38A2FC7E"/>
    <w:rsid w:val="38DD9FCD"/>
    <w:rsid w:val="3941BF58"/>
    <w:rsid w:val="39439AFD"/>
    <w:rsid w:val="394BDB39"/>
    <w:rsid w:val="39BE971A"/>
    <w:rsid w:val="39F551BD"/>
    <w:rsid w:val="39FCB005"/>
    <w:rsid w:val="3A073C36"/>
    <w:rsid w:val="3A1317A2"/>
    <w:rsid w:val="3A3E69F0"/>
    <w:rsid w:val="3A69FA92"/>
    <w:rsid w:val="3A88A47A"/>
    <w:rsid w:val="3ABCB9CB"/>
    <w:rsid w:val="3AFC82D0"/>
    <w:rsid w:val="3B0916AF"/>
    <w:rsid w:val="3B4F3ECA"/>
    <w:rsid w:val="3B52B205"/>
    <w:rsid w:val="3B635A8D"/>
    <w:rsid w:val="3B6E7BC0"/>
    <w:rsid w:val="3B955D55"/>
    <w:rsid w:val="3BBFE519"/>
    <w:rsid w:val="3BD3D379"/>
    <w:rsid w:val="3BE15427"/>
    <w:rsid w:val="3BE41A2A"/>
    <w:rsid w:val="3BF6555B"/>
    <w:rsid w:val="3CA409F5"/>
    <w:rsid w:val="3CAC238D"/>
    <w:rsid w:val="3CADF5F1"/>
    <w:rsid w:val="3D0DEE7D"/>
    <w:rsid w:val="3D5E9DD7"/>
    <w:rsid w:val="3D835968"/>
    <w:rsid w:val="3DBEB3DD"/>
    <w:rsid w:val="3DE2695E"/>
    <w:rsid w:val="3E0C0D2B"/>
    <w:rsid w:val="3E12C44B"/>
    <w:rsid w:val="3E2A46EF"/>
    <w:rsid w:val="3E3116AC"/>
    <w:rsid w:val="3E3A3DF0"/>
    <w:rsid w:val="3EB27224"/>
    <w:rsid w:val="3EF97212"/>
    <w:rsid w:val="3F000F6B"/>
    <w:rsid w:val="3F08253B"/>
    <w:rsid w:val="3F1AF78E"/>
    <w:rsid w:val="3F3F22DB"/>
    <w:rsid w:val="3F5473FC"/>
    <w:rsid w:val="3F5C3565"/>
    <w:rsid w:val="3F74A2AE"/>
    <w:rsid w:val="3FAC49D0"/>
    <w:rsid w:val="3FC0D939"/>
    <w:rsid w:val="3FCBFD70"/>
    <w:rsid w:val="404A1B5E"/>
    <w:rsid w:val="405F2318"/>
    <w:rsid w:val="40633FCD"/>
    <w:rsid w:val="4074BD51"/>
    <w:rsid w:val="408284CD"/>
    <w:rsid w:val="4099EB2A"/>
    <w:rsid w:val="409B518E"/>
    <w:rsid w:val="40B6CF50"/>
    <w:rsid w:val="40B80BE1"/>
    <w:rsid w:val="40F0E739"/>
    <w:rsid w:val="40F81380"/>
    <w:rsid w:val="414EDA2D"/>
    <w:rsid w:val="41513EBA"/>
    <w:rsid w:val="41538E79"/>
    <w:rsid w:val="418BCAC2"/>
    <w:rsid w:val="419E8EE5"/>
    <w:rsid w:val="41DB717C"/>
    <w:rsid w:val="4211F62A"/>
    <w:rsid w:val="423701B2"/>
    <w:rsid w:val="4248FE50"/>
    <w:rsid w:val="42840A74"/>
    <w:rsid w:val="42C48DB4"/>
    <w:rsid w:val="42D0DF6B"/>
    <w:rsid w:val="42F7BB9F"/>
    <w:rsid w:val="432D5566"/>
    <w:rsid w:val="43503CA2"/>
    <w:rsid w:val="437680CC"/>
    <w:rsid w:val="43A2962C"/>
    <w:rsid w:val="43AA2D88"/>
    <w:rsid w:val="43E351C0"/>
    <w:rsid w:val="44100481"/>
    <w:rsid w:val="443D908F"/>
    <w:rsid w:val="447E0B69"/>
    <w:rsid w:val="44951B85"/>
    <w:rsid w:val="459B6136"/>
    <w:rsid w:val="45C3DD8A"/>
    <w:rsid w:val="45E9DBCB"/>
    <w:rsid w:val="45FA7D55"/>
    <w:rsid w:val="460D4F77"/>
    <w:rsid w:val="466F6DC3"/>
    <w:rsid w:val="46A1D035"/>
    <w:rsid w:val="47A5BA5A"/>
    <w:rsid w:val="47E29245"/>
    <w:rsid w:val="481441B3"/>
    <w:rsid w:val="4830513B"/>
    <w:rsid w:val="483ABB19"/>
    <w:rsid w:val="484D37B2"/>
    <w:rsid w:val="487C50FA"/>
    <w:rsid w:val="48AAC749"/>
    <w:rsid w:val="48CD1213"/>
    <w:rsid w:val="48D1BBBB"/>
    <w:rsid w:val="48E94F56"/>
    <w:rsid w:val="48F5F279"/>
    <w:rsid w:val="491F0687"/>
    <w:rsid w:val="493BF1F9"/>
    <w:rsid w:val="4941012D"/>
    <w:rsid w:val="498F9FC0"/>
    <w:rsid w:val="4A0317FF"/>
    <w:rsid w:val="4A08DCF8"/>
    <w:rsid w:val="4A101148"/>
    <w:rsid w:val="4A22794F"/>
    <w:rsid w:val="4A2D5E40"/>
    <w:rsid w:val="4AA04DD9"/>
    <w:rsid w:val="4AA1D42C"/>
    <w:rsid w:val="4ACB7176"/>
    <w:rsid w:val="4ACF7975"/>
    <w:rsid w:val="4B04A94D"/>
    <w:rsid w:val="4B6FFAA0"/>
    <w:rsid w:val="4B8BE423"/>
    <w:rsid w:val="4BC1375C"/>
    <w:rsid w:val="4BF1DEB1"/>
    <w:rsid w:val="4BF3D330"/>
    <w:rsid w:val="4C404284"/>
    <w:rsid w:val="4C8D761B"/>
    <w:rsid w:val="4C9436D4"/>
    <w:rsid w:val="4CC033BB"/>
    <w:rsid w:val="4CC714D6"/>
    <w:rsid w:val="4CF14539"/>
    <w:rsid w:val="4D11F552"/>
    <w:rsid w:val="4D28EC51"/>
    <w:rsid w:val="4D3C9E51"/>
    <w:rsid w:val="4D733596"/>
    <w:rsid w:val="4D85621A"/>
    <w:rsid w:val="4D85B053"/>
    <w:rsid w:val="4DBBF2DE"/>
    <w:rsid w:val="4DF15932"/>
    <w:rsid w:val="4DF179A9"/>
    <w:rsid w:val="4E1800D0"/>
    <w:rsid w:val="4E52A939"/>
    <w:rsid w:val="4E66AF9B"/>
    <w:rsid w:val="4EAC6D4F"/>
    <w:rsid w:val="4EC27F91"/>
    <w:rsid w:val="4ED646C4"/>
    <w:rsid w:val="4F167604"/>
    <w:rsid w:val="4F1E2CBC"/>
    <w:rsid w:val="4F24CA64"/>
    <w:rsid w:val="4F30C14A"/>
    <w:rsid w:val="4F433AE0"/>
    <w:rsid w:val="4F46D07C"/>
    <w:rsid w:val="4F6861F0"/>
    <w:rsid w:val="4FAC8F91"/>
    <w:rsid w:val="500175C1"/>
    <w:rsid w:val="5003AB68"/>
    <w:rsid w:val="506DB501"/>
    <w:rsid w:val="507DF623"/>
    <w:rsid w:val="50A28DDF"/>
    <w:rsid w:val="50A5AF59"/>
    <w:rsid w:val="50BEF606"/>
    <w:rsid w:val="510DF513"/>
    <w:rsid w:val="515933C4"/>
    <w:rsid w:val="51691112"/>
    <w:rsid w:val="51AFE356"/>
    <w:rsid w:val="52106BE1"/>
    <w:rsid w:val="5240368B"/>
    <w:rsid w:val="5268D956"/>
    <w:rsid w:val="52765239"/>
    <w:rsid w:val="52974FFF"/>
    <w:rsid w:val="52AF100D"/>
    <w:rsid w:val="52C9BD5B"/>
    <w:rsid w:val="52DB012F"/>
    <w:rsid w:val="52E7E2CB"/>
    <w:rsid w:val="52EA5771"/>
    <w:rsid w:val="53188A32"/>
    <w:rsid w:val="53227E47"/>
    <w:rsid w:val="53AD52A9"/>
    <w:rsid w:val="53F8B8B7"/>
    <w:rsid w:val="542AD317"/>
    <w:rsid w:val="54A5580D"/>
    <w:rsid w:val="54B3007D"/>
    <w:rsid w:val="54C47A8C"/>
    <w:rsid w:val="54CC3010"/>
    <w:rsid w:val="55271851"/>
    <w:rsid w:val="556EA0E2"/>
    <w:rsid w:val="55746920"/>
    <w:rsid w:val="5594591D"/>
    <w:rsid w:val="55A0A1D2"/>
    <w:rsid w:val="55A2381A"/>
    <w:rsid w:val="5632A9CF"/>
    <w:rsid w:val="56716B63"/>
    <w:rsid w:val="568D6061"/>
    <w:rsid w:val="576099A9"/>
    <w:rsid w:val="57AF7F65"/>
    <w:rsid w:val="57FB19FE"/>
    <w:rsid w:val="58199388"/>
    <w:rsid w:val="581B738E"/>
    <w:rsid w:val="5854F45B"/>
    <w:rsid w:val="587A67D4"/>
    <w:rsid w:val="58A5E770"/>
    <w:rsid w:val="58ACC5DF"/>
    <w:rsid w:val="58B38232"/>
    <w:rsid w:val="58B6546C"/>
    <w:rsid w:val="58E37C31"/>
    <w:rsid w:val="590A1F01"/>
    <w:rsid w:val="590DF3D8"/>
    <w:rsid w:val="59870DC5"/>
    <w:rsid w:val="59F78E8F"/>
    <w:rsid w:val="5A31C574"/>
    <w:rsid w:val="5A4FAD93"/>
    <w:rsid w:val="5A6311BD"/>
    <w:rsid w:val="5A7B050F"/>
    <w:rsid w:val="5B232BD1"/>
    <w:rsid w:val="5B6CA87B"/>
    <w:rsid w:val="5BAF0713"/>
    <w:rsid w:val="5BC9AC5C"/>
    <w:rsid w:val="5BFE84BC"/>
    <w:rsid w:val="5C0F3E32"/>
    <w:rsid w:val="5C17D986"/>
    <w:rsid w:val="5C3B6ED7"/>
    <w:rsid w:val="5C7BB939"/>
    <w:rsid w:val="5CC96891"/>
    <w:rsid w:val="5D121DC1"/>
    <w:rsid w:val="5D15FF09"/>
    <w:rsid w:val="5D34DAA3"/>
    <w:rsid w:val="5D4AB26F"/>
    <w:rsid w:val="5D5A92FB"/>
    <w:rsid w:val="5D88080F"/>
    <w:rsid w:val="5DD2C1FB"/>
    <w:rsid w:val="5DD9CCAF"/>
    <w:rsid w:val="5E063C70"/>
    <w:rsid w:val="5E37AB39"/>
    <w:rsid w:val="5E4F0D2E"/>
    <w:rsid w:val="5E9E1719"/>
    <w:rsid w:val="5EDC449E"/>
    <w:rsid w:val="5F07BD35"/>
    <w:rsid w:val="5F11C1E0"/>
    <w:rsid w:val="5F31E60B"/>
    <w:rsid w:val="5F372F81"/>
    <w:rsid w:val="5F51AAA8"/>
    <w:rsid w:val="5F53429F"/>
    <w:rsid w:val="5FCD877F"/>
    <w:rsid w:val="5FD6E74B"/>
    <w:rsid w:val="5FE87F1A"/>
    <w:rsid w:val="604A27D2"/>
    <w:rsid w:val="6059B67E"/>
    <w:rsid w:val="60E4CADA"/>
    <w:rsid w:val="619812FF"/>
    <w:rsid w:val="61A5C67D"/>
    <w:rsid w:val="61AE393C"/>
    <w:rsid w:val="61E03598"/>
    <w:rsid w:val="61E341B8"/>
    <w:rsid w:val="621DDB66"/>
    <w:rsid w:val="62296374"/>
    <w:rsid w:val="623BEB9F"/>
    <w:rsid w:val="627956DD"/>
    <w:rsid w:val="64068541"/>
    <w:rsid w:val="641EEF09"/>
    <w:rsid w:val="64970E8F"/>
    <w:rsid w:val="64A12660"/>
    <w:rsid w:val="64B3EB42"/>
    <w:rsid w:val="64FEAD5E"/>
    <w:rsid w:val="65791141"/>
    <w:rsid w:val="6586EB20"/>
    <w:rsid w:val="65B0A38D"/>
    <w:rsid w:val="65B5F503"/>
    <w:rsid w:val="661BC5F7"/>
    <w:rsid w:val="665115A6"/>
    <w:rsid w:val="666865EC"/>
    <w:rsid w:val="66B75A94"/>
    <w:rsid w:val="6709F5F5"/>
    <w:rsid w:val="674150BD"/>
    <w:rsid w:val="67647B6E"/>
    <w:rsid w:val="676BCF77"/>
    <w:rsid w:val="676D7C09"/>
    <w:rsid w:val="68271436"/>
    <w:rsid w:val="68308D43"/>
    <w:rsid w:val="688A498F"/>
    <w:rsid w:val="68B0EF6C"/>
    <w:rsid w:val="68C778FE"/>
    <w:rsid w:val="68E5E79D"/>
    <w:rsid w:val="69EEBD7C"/>
    <w:rsid w:val="6A7AFF26"/>
    <w:rsid w:val="6AA007CE"/>
    <w:rsid w:val="6AC19E9B"/>
    <w:rsid w:val="6B1B7C61"/>
    <w:rsid w:val="6B4E0DA7"/>
    <w:rsid w:val="6B6B2E01"/>
    <w:rsid w:val="6B92E4CD"/>
    <w:rsid w:val="6B9A458F"/>
    <w:rsid w:val="6BA87077"/>
    <w:rsid w:val="6C0059D4"/>
    <w:rsid w:val="6C202439"/>
    <w:rsid w:val="6C346BF6"/>
    <w:rsid w:val="6C40C15E"/>
    <w:rsid w:val="6C4A8BF9"/>
    <w:rsid w:val="6C8D200A"/>
    <w:rsid w:val="6C8D4F88"/>
    <w:rsid w:val="6CAC9B27"/>
    <w:rsid w:val="6CAD39E4"/>
    <w:rsid w:val="6CBA8433"/>
    <w:rsid w:val="6CD55546"/>
    <w:rsid w:val="6CE42A9C"/>
    <w:rsid w:val="6CEE4CAE"/>
    <w:rsid w:val="6D0A29A1"/>
    <w:rsid w:val="6D0FCAC0"/>
    <w:rsid w:val="6D2B3B74"/>
    <w:rsid w:val="6D423B31"/>
    <w:rsid w:val="6D47730A"/>
    <w:rsid w:val="6D8E3AC0"/>
    <w:rsid w:val="6D97DDF3"/>
    <w:rsid w:val="6DDAAC9D"/>
    <w:rsid w:val="6DFD079F"/>
    <w:rsid w:val="6E076899"/>
    <w:rsid w:val="6E116E62"/>
    <w:rsid w:val="6E80E678"/>
    <w:rsid w:val="6E928473"/>
    <w:rsid w:val="6ECB95AA"/>
    <w:rsid w:val="6EE7FF3D"/>
    <w:rsid w:val="6F04A995"/>
    <w:rsid w:val="6F1B21C0"/>
    <w:rsid w:val="6F1F9AE7"/>
    <w:rsid w:val="6F48E804"/>
    <w:rsid w:val="6F58F3EB"/>
    <w:rsid w:val="6F77194D"/>
    <w:rsid w:val="6F7D15B9"/>
    <w:rsid w:val="6F85E2B8"/>
    <w:rsid w:val="6FBB9E4A"/>
    <w:rsid w:val="6FD7D8A8"/>
    <w:rsid w:val="6FDE7F56"/>
    <w:rsid w:val="6FF2B6C2"/>
    <w:rsid w:val="705283ED"/>
    <w:rsid w:val="70661635"/>
    <w:rsid w:val="70BEC17A"/>
    <w:rsid w:val="70F5939A"/>
    <w:rsid w:val="71080FEA"/>
    <w:rsid w:val="7184FC69"/>
    <w:rsid w:val="71C19BCF"/>
    <w:rsid w:val="7235552E"/>
    <w:rsid w:val="72409080"/>
    <w:rsid w:val="724BF0EB"/>
    <w:rsid w:val="7266BFF5"/>
    <w:rsid w:val="7267ED49"/>
    <w:rsid w:val="7289EC42"/>
    <w:rsid w:val="72CA1A0F"/>
    <w:rsid w:val="72D00C8B"/>
    <w:rsid w:val="72E7F918"/>
    <w:rsid w:val="731665DB"/>
    <w:rsid w:val="731892D9"/>
    <w:rsid w:val="7337715D"/>
    <w:rsid w:val="7343AE3A"/>
    <w:rsid w:val="73859E1E"/>
    <w:rsid w:val="73B9907D"/>
    <w:rsid w:val="73DD5B2F"/>
    <w:rsid w:val="73F9F06F"/>
    <w:rsid w:val="7435AF4D"/>
    <w:rsid w:val="7474FEFB"/>
    <w:rsid w:val="747A0038"/>
    <w:rsid w:val="74C68EEA"/>
    <w:rsid w:val="74E0CF25"/>
    <w:rsid w:val="750EECBB"/>
    <w:rsid w:val="75BF59BB"/>
    <w:rsid w:val="760E9E03"/>
    <w:rsid w:val="762D8F86"/>
    <w:rsid w:val="76426CDE"/>
    <w:rsid w:val="764828E6"/>
    <w:rsid w:val="765F2E20"/>
    <w:rsid w:val="76884676"/>
    <w:rsid w:val="768FF4BE"/>
    <w:rsid w:val="76DA25E3"/>
    <w:rsid w:val="773F39A0"/>
    <w:rsid w:val="77629AA6"/>
    <w:rsid w:val="7791C049"/>
    <w:rsid w:val="77D0486F"/>
    <w:rsid w:val="77D5E416"/>
    <w:rsid w:val="77F7C081"/>
    <w:rsid w:val="782FE218"/>
    <w:rsid w:val="785BDA02"/>
    <w:rsid w:val="7873F9F1"/>
    <w:rsid w:val="788515C3"/>
    <w:rsid w:val="788B1F04"/>
    <w:rsid w:val="789CF678"/>
    <w:rsid w:val="78BAE159"/>
    <w:rsid w:val="78BBA385"/>
    <w:rsid w:val="78C87596"/>
    <w:rsid w:val="78D000E5"/>
    <w:rsid w:val="78E65F58"/>
    <w:rsid w:val="793716B5"/>
    <w:rsid w:val="7951596E"/>
    <w:rsid w:val="796CB6D4"/>
    <w:rsid w:val="797A7CBC"/>
    <w:rsid w:val="799297CD"/>
    <w:rsid w:val="79A38FAD"/>
    <w:rsid w:val="79D8712C"/>
    <w:rsid w:val="7A33A429"/>
    <w:rsid w:val="7A65424F"/>
    <w:rsid w:val="7A812F7D"/>
    <w:rsid w:val="7AB3C9AA"/>
    <w:rsid w:val="7AD12673"/>
    <w:rsid w:val="7AF27B3F"/>
    <w:rsid w:val="7AFB3AFE"/>
    <w:rsid w:val="7B3A242E"/>
    <w:rsid w:val="7BA924EE"/>
    <w:rsid w:val="7BDB6DF4"/>
    <w:rsid w:val="7BE8FCF9"/>
    <w:rsid w:val="7BE99EFE"/>
    <w:rsid w:val="7BF89772"/>
    <w:rsid w:val="7C0D641A"/>
    <w:rsid w:val="7C0E8B37"/>
    <w:rsid w:val="7C18BAD3"/>
    <w:rsid w:val="7C8F00B7"/>
    <w:rsid w:val="7CA34029"/>
    <w:rsid w:val="7D05D2A9"/>
    <w:rsid w:val="7D1D9BCB"/>
    <w:rsid w:val="7D97B987"/>
    <w:rsid w:val="7E018B1D"/>
    <w:rsid w:val="7E431C49"/>
    <w:rsid w:val="7E443C80"/>
    <w:rsid w:val="7E4990F2"/>
    <w:rsid w:val="7E547E2D"/>
    <w:rsid w:val="7E68B93A"/>
    <w:rsid w:val="7E7E422E"/>
    <w:rsid w:val="7E95CD3D"/>
    <w:rsid w:val="7EAAC313"/>
    <w:rsid w:val="7EBAB0F5"/>
    <w:rsid w:val="7ED98B9C"/>
    <w:rsid w:val="7EE47D97"/>
    <w:rsid w:val="7F15CD12"/>
    <w:rsid w:val="7F3B5B9D"/>
    <w:rsid w:val="7F3F6131"/>
    <w:rsid w:val="7F9AA65D"/>
    <w:rsid w:val="7FD9B1FB"/>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033EEE"/>
  <w15:chartTrackingRefBased/>
  <w15:docId w15:val="{1266D57A-FD48-4754-A271-8E4403E9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uiPriority="99" w:qFormat="1"/>
    <w:lsdException w:name="footnote reference" w:uiPriority="99"/>
    <w:lsdException w:name="annotation reference" w:uiPriority="99"/>
    <w:lsdException w:name="macro" w:uiPriority="99"/>
    <w:lsdException w:name="Title" w:uiPriority="10"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199"/>
    <w:rPr>
      <w:sz w:val="24"/>
      <w:szCs w:val="28"/>
    </w:rPr>
  </w:style>
  <w:style w:type="paragraph" w:styleId="Heading1">
    <w:name w:val="heading 1"/>
    <w:basedOn w:val="Normal"/>
    <w:next w:val="Normal"/>
    <w:link w:val="Heading1Char"/>
    <w:qFormat/>
    <w:rsid w:val="00DF2D7C"/>
    <w:pPr>
      <w:keepNext/>
      <w:ind w:right="-96"/>
      <w:jc w:val="right"/>
      <w:outlineLvl w:val="0"/>
    </w:pPr>
    <w:rPr>
      <w:sz w:val="20"/>
      <w:szCs w:val="20"/>
      <w:u w:val="single"/>
    </w:rPr>
  </w:style>
  <w:style w:type="paragraph" w:styleId="Heading2">
    <w:name w:val="heading 2"/>
    <w:basedOn w:val="Normal"/>
    <w:next w:val="Normal"/>
    <w:link w:val="Heading2Char"/>
    <w:uiPriority w:val="99"/>
    <w:qFormat/>
    <w:rsid w:val="00DF2D7C"/>
    <w:pPr>
      <w:keepNext/>
      <w:ind w:right="-96"/>
      <w:jc w:val="both"/>
      <w:outlineLvl w:val="1"/>
    </w:pPr>
    <w:rPr>
      <w:b/>
      <w:bCs/>
      <w:sz w:val="20"/>
      <w:szCs w:val="20"/>
    </w:rPr>
  </w:style>
  <w:style w:type="paragraph" w:styleId="Heading3">
    <w:name w:val="heading 3"/>
    <w:basedOn w:val="Normal"/>
    <w:next w:val="Normal"/>
    <w:link w:val="Heading3Char"/>
    <w:qFormat/>
    <w:rsid w:val="00DF2D7C"/>
    <w:pPr>
      <w:keepNext/>
      <w:ind w:right="-96"/>
      <w:jc w:val="right"/>
      <w:outlineLvl w:val="2"/>
    </w:pPr>
    <w:rPr>
      <w:b/>
      <w:bCs/>
      <w:sz w:val="20"/>
      <w:szCs w:val="20"/>
    </w:rPr>
  </w:style>
  <w:style w:type="paragraph" w:styleId="Heading4">
    <w:name w:val="heading 4"/>
    <w:basedOn w:val="Normal"/>
    <w:next w:val="Normal"/>
    <w:link w:val="Heading4Char"/>
    <w:qFormat/>
    <w:rsid w:val="00DF2D7C"/>
    <w:pPr>
      <w:keepNext/>
      <w:ind w:right="-96"/>
      <w:outlineLvl w:val="3"/>
    </w:pPr>
    <w:rPr>
      <w:b/>
      <w:bCs/>
      <w:sz w:val="18"/>
      <w:szCs w:val="18"/>
      <w:lang w:val="x-none" w:eastAsia="x-none"/>
    </w:rPr>
  </w:style>
  <w:style w:type="paragraph" w:styleId="Heading5">
    <w:name w:val="heading 5"/>
    <w:basedOn w:val="Normal"/>
    <w:next w:val="Normal"/>
    <w:link w:val="Heading5Char"/>
    <w:qFormat/>
    <w:rsid w:val="00DF2D7C"/>
    <w:pPr>
      <w:keepNext/>
      <w:ind w:right="-96"/>
      <w:jc w:val="both"/>
      <w:outlineLvl w:val="4"/>
    </w:pPr>
    <w:rPr>
      <w:b/>
      <w:bCs/>
      <w:sz w:val="16"/>
      <w:szCs w:val="16"/>
    </w:rPr>
  </w:style>
  <w:style w:type="paragraph" w:styleId="Heading6">
    <w:name w:val="heading 6"/>
    <w:basedOn w:val="Normal"/>
    <w:next w:val="Normal"/>
    <w:link w:val="Heading6Char"/>
    <w:qFormat/>
    <w:rsid w:val="00DF2D7C"/>
    <w:pPr>
      <w:keepNext/>
      <w:ind w:left="-108" w:right="-96"/>
      <w:jc w:val="center"/>
      <w:outlineLvl w:val="5"/>
    </w:pPr>
    <w:rPr>
      <w:b/>
      <w:bCs/>
      <w:sz w:val="20"/>
      <w:szCs w:val="20"/>
    </w:rPr>
  </w:style>
  <w:style w:type="paragraph" w:styleId="Heading7">
    <w:name w:val="heading 7"/>
    <w:basedOn w:val="Normal"/>
    <w:next w:val="Normal"/>
    <w:link w:val="Heading7Char"/>
    <w:uiPriority w:val="99"/>
    <w:qFormat/>
    <w:rsid w:val="00DF2D7C"/>
    <w:pPr>
      <w:keepNext/>
      <w:pBdr>
        <w:bottom w:val="single" w:sz="4" w:space="1" w:color="auto"/>
      </w:pBdr>
      <w:ind w:right="-96"/>
      <w:jc w:val="center"/>
      <w:outlineLvl w:val="6"/>
    </w:pPr>
    <w:rPr>
      <w:b/>
      <w:bCs/>
      <w:color w:val="FF0000"/>
      <w:sz w:val="20"/>
      <w:szCs w:val="20"/>
    </w:rPr>
  </w:style>
  <w:style w:type="paragraph" w:styleId="Heading8">
    <w:name w:val="heading 8"/>
    <w:basedOn w:val="Normal"/>
    <w:next w:val="Normal"/>
    <w:link w:val="Heading8Char"/>
    <w:uiPriority w:val="99"/>
    <w:qFormat/>
    <w:rsid w:val="00DF2D7C"/>
    <w:pPr>
      <w:keepNext/>
      <w:pBdr>
        <w:bottom w:val="single" w:sz="4" w:space="1" w:color="auto"/>
      </w:pBdr>
      <w:ind w:right="-57"/>
      <w:jc w:val="right"/>
      <w:outlineLvl w:val="7"/>
    </w:pPr>
    <w:rPr>
      <w:b/>
      <w:bCs/>
      <w:color w:val="000000"/>
      <w:sz w:val="20"/>
      <w:szCs w:val="20"/>
    </w:rPr>
  </w:style>
  <w:style w:type="paragraph" w:styleId="Heading9">
    <w:name w:val="heading 9"/>
    <w:basedOn w:val="Normal"/>
    <w:next w:val="Normal"/>
    <w:link w:val="Heading9Char"/>
    <w:uiPriority w:val="99"/>
    <w:qFormat/>
    <w:rsid w:val="00DF2D7C"/>
    <w:pPr>
      <w:keepNext/>
      <w:ind w:left="1276" w:right="-452"/>
      <w:jc w:val="both"/>
      <w:outlineLvl w:val="8"/>
    </w:pPr>
    <w:rPr>
      <w:b/>
      <w:bCs/>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A5D98"/>
    <w:rPr>
      <w:u w:val="single"/>
      <w:lang w:val="en-US" w:eastAsia="en-US"/>
    </w:rPr>
  </w:style>
  <w:style w:type="character" w:customStyle="1" w:styleId="Heading2Char">
    <w:name w:val="Heading 2 Char"/>
    <w:link w:val="Heading2"/>
    <w:uiPriority w:val="99"/>
    <w:locked/>
    <w:rsid w:val="006A5D98"/>
    <w:rPr>
      <w:b/>
      <w:bCs/>
      <w:lang w:val="en-US" w:eastAsia="en-US"/>
    </w:rPr>
  </w:style>
  <w:style w:type="character" w:customStyle="1" w:styleId="Heading3Char">
    <w:name w:val="Heading 3 Char"/>
    <w:link w:val="Heading3"/>
    <w:uiPriority w:val="9"/>
    <w:locked/>
    <w:rsid w:val="006A5D98"/>
    <w:rPr>
      <w:b/>
      <w:bCs/>
      <w:lang w:val="en-US" w:eastAsia="en-US"/>
    </w:rPr>
  </w:style>
  <w:style w:type="character" w:customStyle="1" w:styleId="Heading4Char">
    <w:name w:val="Heading 4 Char"/>
    <w:link w:val="Heading4"/>
    <w:locked/>
    <w:rsid w:val="0051399B"/>
    <w:rPr>
      <w:b/>
      <w:bCs/>
      <w:sz w:val="18"/>
      <w:szCs w:val="18"/>
    </w:rPr>
  </w:style>
  <w:style w:type="character" w:customStyle="1" w:styleId="Heading5Char">
    <w:name w:val="Heading 5 Char"/>
    <w:link w:val="Heading5"/>
    <w:locked/>
    <w:rsid w:val="006A5D98"/>
    <w:rPr>
      <w:b/>
      <w:bCs/>
      <w:sz w:val="16"/>
      <w:szCs w:val="16"/>
      <w:lang w:val="en-US" w:eastAsia="en-US"/>
    </w:rPr>
  </w:style>
  <w:style w:type="character" w:customStyle="1" w:styleId="Heading6Char">
    <w:name w:val="Heading 6 Char"/>
    <w:link w:val="Heading6"/>
    <w:locked/>
    <w:rsid w:val="006A5D98"/>
    <w:rPr>
      <w:b/>
      <w:bCs/>
      <w:lang w:val="en-US" w:eastAsia="en-US"/>
    </w:rPr>
  </w:style>
  <w:style w:type="character" w:customStyle="1" w:styleId="Heading7Char">
    <w:name w:val="Heading 7 Char"/>
    <w:link w:val="Heading7"/>
    <w:uiPriority w:val="99"/>
    <w:locked/>
    <w:rsid w:val="006A5D98"/>
    <w:rPr>
      <w:b/>
      <w:bCs/>
      <w:color w:val="FF0000"/>
      <w:lang w:val="en-US" w:eastAsia="en-US"/>
    </w:rPr>
  </w:style>
  <w:style w:type="character" w:customStyle="1" w:styleId="Heading8Char">
    <w:name w:val="Heading 8 Char"/>
    <w:link w:val="Heading8"/>
    <w:uiPriority w:val="99"/>
    <w:locked/>
    <w:rsid w:val="006A5D98"/>
    <w:rPr>
      <w:b/>
      <w:bCs/>
      <w:color w:val="000000"/>
      <w:lang w:val="en-US" w:eastAsia="en-US"/>
    </w:rPr>
  </w:style>
  <w:style w:type="character" w:customStyle="1" w:styleId="Heading9Char">
    <w:name w:val="Heading 9 Char"/>
    <w:link w:val="Heading9"/>
    <w:uiPriority w:val="99"/>
    <w:locked/>
    <w:rsid w:val="006A5D98"/>
    <w:rPr>
      <w:b/>
      <w:bCs/>
      <w:lang w:eastAsia="en-US"/>
    </w:rPr>
  </w:style>
  <w:style w:type="paragraph" w:styleId="MacroText">
    <w:name w:val="macro"/>
    <w:link w:val="MacroTextChar"/>
    <w:uiPriority w:val="99"/>
    <w:rsid w:val="00DF2D7C"/>
    <w:pPr>
      <w:tabs>
        <w:tab w:val="left" w:pos="480"/>
        <w:tab w:val="left" w:pos="960"/>
        <w:tab w:val="left" w:pos="1440"/>
        <w:tab w:val="left" w:pos="1920"/>
        <w:tab w:val="left" w:pos="2400"/>
        <w:tab w:val="left" w:pos="2880"/>
        <w:tab w:val="left" w:pos="3360"/>
        <w:tab w:val="left" w:pos="3840"/>
        <w:tab w:val="left" w:pos="4320"/>
      </w:tabs>
      <w:jc w:val="both"/>
    </w:pPr>
    <w:rPr>
      <w:rFonts w:ascii="Arial" w:eastAsia="Cordia New" w:hAnsi="Arial"/>
    </w:rPr>
  </w:style>
  <w:style w:type="character" w:customStyle="1" w:styleId="MacroTextChar">
    <w:name w:val="Macro Text Char"/>
    <w:link w:val="MacroText"/>
    <w:uiPriority w:val="99"/>
    <w:rsid w:val="004D374D"/>
    <w:rPr>
      <w:rFonts w:ascii="Arial" w:eastAsia="Cordia New" w:hAnsi="Arial"/>
      <w:lang w:val="en-US" w:eastAsia="en-US" w:bidi="th-TH"/>
    </w:rPr>
  </w:style>
  <w:style w:type="paragraph" w:styleId="BlockText">
    <w:name w:val="Block Text"/>
    <w:basedOn w:val="Normal"/>
    <w:uiPriority w:val="99"/>
    <w:rsid w:val="00DF2D7C"/>
    <w:pPr>
      <w:ind w:left="720" w:right="-428"/>
      <w:jc w:val="both"/>
    </w:pPr>
    <w:rPr>
      <w:rFonts w:eastAsia="Cordia New" w:cs="Cordia New"/>
      <w:sz w:val="20"/>
      <w:szCs w:val="20"/>
    </w:rPr>
  </w:style>
  <w:style w:type="paragraph" w:styleId="Header">
    <w:name w:val="header"/>
    <w:basedOn w:val="Normal"/>
    <w:link w:val="HeaderChar"/>
    <w:rsid w:val="00DF2D7C"/>
    <w:pPr>
      <w:tabs>
        <w:tab w:val="center" w:pos="4320"/>
        <w:tab w:val="right" w:pos="8640"/>
      </w:tabs>
      <w:jc w:val="both"/>
    </w:pPr>
    <w:rPr>
      <w:rFonts w:eastAsia="Cordia New"/>
      <w:szCs w:val="24"/>
    </w:rPr>
  </w:style>
  <w:style w:type="character" w:customStyle="1" w:styleId="HeaderChar">
    <w:name w:val="Header Char"/>
    <w:link w:val="Header"/>
    <w:locked/>
    <w:rsid w:val="0087068A"/>
    <w:rPr>
      <w:rFonts w:eastAsia="Cordia New" w:cs="Angsana New"/>
      <w:sz w:val="24"/>
      <w:szCs w:val="24"/>
      <w:lang w:val="en-GB" w:eastAsia="en-US" w:bidi="th-TH"/>
    </w:rPr>
  </w:style>
  <w:style w:type="paragraph" w:styleId="Caption">
    <w:name w:val="caption"/>
    <w:basedOn w:val="Normal"/>
    <w:next w:val="Normal"/>
    <w:uiPriority w:val="99"/>
    <w:qFormat/>
    <w:rsid w:val="00DF2D7C"/>
    <w:pPr>
      <w:ind w:left="720" w:right="-442"/>
      <w:jc w:val="both"/>
    </w:pPr>
    <w:rPr>
      <w:rFonts w:eastAsia="Cordia New"/>
      <w:b/>
      <w:bCs/>
      <w:color w:val="0000FF"/>
      <w:sz w:val="20"/>
      <w:szCs w:val="20"/>
      <w:u w:val="single"/>
    </w:rPr>
  </w:style>
  <w:style w:type="paragraph" w:styleId="BodyText">
    <w:name w:val="Body Text"/>
    <w:basedOn w:val="Normal"/>
    <w:link w:val="BodyTextChar"/>
    <w:uiPriority w:val="99"/>
    <w:rsid w:val="00DF2D7C"/>
    <w:pPr>
      <w:ind w:right="257"/>
      <w:jc w:val="both"/>
    </w:pPr>
    <w:rPr>
      <w:rFonts w:eastAsia="Cordia New"/>
      <w:sz w:val="20"/>
      <w:szCs w:val="20"/>
      <w:lang w:val="x-none"/>
    </w:rPr>
  </w:style>
  <w:style w:type="character" w:customStyle="1" w:styleId="BodyTextChar">
    <w:name w:val="Body Text Char"/>
    <w:link w:val="BodyText"/>
    <w:uiPriority w:val="99"/>
    <w:locked/>
    <w:rsid w:val="006A5D98"/>
    <w:rPr>
      <w:rFonts w:eastAsia="Cordia New" w:cs="Cordia New"/>
      <w:lang w:eastAsia="en-US"/>
    </w:rPr>
  </w:style>
  <w:style w:type="paragraph" w:styleId="BodyTextIndent2">
    <w:name w:val="Body Text Indent 2"/>
    <w:basedOn w:val="Normal"/>
    <w:link w:val="BodyTextIndent2Char"/>
    <w:uiPriority w:val="99"/>
    <w:rsid w:val="00DF2D7C"/>
    <w:pPr>
      <w:spacing w:line="240" w:lineRule="exact"/>
      <w:ind w:left="720"/>
      <w:jc w:val="both"/>
    </w:pPr>
    <w:rPr>
      <w:rFonts w:eastAsia="Cordia New"/>
      <w:snapToGrid w:val="0"/>
      <w:color w:val="000000"/>
      <w:sz w:val="20"/>
      <w:szCs w:val="20"/>
      <w:lang w:eastAsia="th-TH"/>
    </w:rPr>
  </w:style>
  <w:style w:type="character" w:customStyle="1" w:styleId="BodyTextIndent2Char">
    <w:name w:val="Body Text Indent 2 Char"/>
    <w:link w:val="BodyTextIndent2"/>
    <w:uiPriority w:val="99"/>
    <w:locked/>
    <w:rsid w:val="006A5D98"/>
    <w:rPr>
      <w:rFonts w:eastAsia="Cordia New" w:cs="Cordia New"/>
      <w:snapToGrid w:val="0"/>
      <w:color w:val="000000"/>
      <w:lang w:val="en-US" w:eastAsia="th-TH"/>
    </w:rPr>
  </w:style>
  <w:style w:type="paragraph" w:styleId="BodyText2">
    <w:name w:val="Body Text 2"/>
    <w:basedOn w:val="Normal"/>
    <w:link w:val="BodyText2Char"/>
    <w:uiPriority w:val="99"/>
    <w:rsid w:val="00DF2D7C"/>
    <w:pPr>
      <w:ind w:right="-121"/>
      <w:jc w:val="center"/>
    </w:pPr>
    <w:rPr>
      <w:rFonts w:eastAsia="Cordia New"/>
      <w:b/>
      <w:bCs/>
      <w:sz w:val="20"/>
      <w:szCs w:val="20"/>
    </w:rPr>
  </w:style>
  <w:style w:type="character" w:customStyle="1" w:styleId="BodyText2Char">
    <w:name w:val="Body Text 2 Char"/>
    <w:link w:val="BodyText2"/>
    <w:uiPriority w:val="99"/>
    <w:locked/>
    <w:rsid w:val="006A5D98"/>
    <w:rPr>
      <w:rFonts w:eastAsia="Cordia New" w:cs="Cordia New"/>
      <w:b/>
      <w:bCs/>
      <w:lang w:val="en-US" w:eastAsia="en-US"/>
    </w:rPr>
  </w:style>
  <w:style w:type="paragraph" w:styleId="BodyText3">
    <w:name w:val="Body Text 3"/>
    <w:basedOn w:val="Normal"/>
    <w:link w:val="BodyText3Char"/>
    <w:uiPriority w:val="99"/>
    <w:rsid w:val="00DF2D7C"/>
    <w:pPr>
      <w:ind w:right="-144"/>
      <w:jc w:val="center"/>
    </w:pPr>
    <w:rPr>
      <w:rFonts w:eastAsia="Cordia New"/>
      <w:b/>
      <w:bCs/>
      <w:sz w:val="20"/>
      <w:szCs w:val="20"/>
    </w:rPr>
  </w:style>
  <w:style w:type="character" w:customStyle="1" w:styleId="BodyText3Char">
    <w:name w:val="Body Text 3 Char"/>
    <w:link w:val="BodyText3"/>
    <w:uiPriority w:val="99"/>
    <w:locked/>
    <w:rsid w:val="006A5D98"/>
    <w:rPr>
      <w:rFonts w:eastAsia="Cordia New" w:cs="Cordia New"/>
      <w:b/>
      <w:bCs/>
      <w:lang w:val="en-US" w:eastAsia="en-US"/>
    </w:rPr>
  </w:style>
  <w:style w:type="paragraph" w:styleId="EnvelopeReturn">
    <w:name w:val="envelope return"/>
    <w:basedOn w:val="Normal"/>
    <w:rsid w:val="00DF2D7C"/>
    <w:pPr>
      <w:jc w:val="both"/>
    </w:pPr>
    <w:rPr>
      <w:rFonts w:eastAsia="Cordia New"/>
      <w:szCs w:val="24"/>
    </w:rPr>
  </w:style>
  <w:style w:type="paragraph" w:styleId="Footer">
    <w:name w:val="footer"/>
    <w:basedOn w:val="Normal"/>
    <w:link w:val="FooterChar"/>
    <w:uiPriority w:val="99"/>
    <w:rsid w:val="00DF2D7C"/>
    <w:pPr>
      <w:tabs>
        <w:tab w:val="center" w:pos="4320"/>
        <w:tab w:val="right" w:pos="8640"/>
      </w:tabs>
      <w:jc w:val="both"/>
    </w:pPr>
    <w:rPr>
      <w:rFonts w:eastAsia="Cordia New"/>
      <w:szCs w:val="24"/>
      <w:lang w:eastAsia="x-none"/>
    </w:rPr>
  </w:style>
  <w:style w:type="character" w:customStyle="1" w:styleId="FooterChar">
    <w:name w:val="Footer Char"/>
    <w:link w:val="Footer"/>
    <w:uiPriority w:val="99"/>
    <w:locked/>
    <w:rsid w:val="00657604"/>
    <w:rPr>
      <w:rFonts w:eastAsia="Cordia New"/>
      <w:sz w:val="24"/>
      <w:szCs w:val="24"/>
      <w:lang w:val="en-GB"/>
    </w:rPr>
  </w:style>
  <w:style w:type="paragraph" w:styleId="BodyTextIndent">
    <w:name w:val="Body Text Indent"/>
    <w:basedOn w:val="Normal"/>
    <w:link w:val="BodyTextIndentChar"/>
    <w:uiPriority w:val="99"/>
    <w:rsid w:val="00DF2D7C"/>
    <w:pPr>
      <w:ind w:left="720"/>
      <w:jc w:val="thaiDistribute"/>
    </w:pPr>
    <w:rPr>
      <w:rFonts w:eastAsia="Cordia New"/>
      <w:sz w:val="22"/>
      <w:szCs w:val="22"/>
    </w:rPr>
  </w:style>
  <w:style w:type="character" w:customStyle="1" w:styleId="BodyTextIndentChar">
    <w:name w:val="Body Text Indent Char"/>
    <w:link w:val="BodyTextIndent"/>
    <w:uiPriority w:val="99"/>
    <w:locked/>
    <w:rsid w:val="006A5D98"/>
    <w:rPr>
      <w:rFonts w:eastAsia="Cordia New" w:cs="Cordia New"/>
      <w:sz w:val="22"/>
      <w:szCs w:val="22"/>
      <w:lang w:val="en-US" w:eastAsia="en-US"/>
    </w:rPr>
  </w:style>
  <w:style w:type="character" w:styleId="PageNumber">
    <w:name w:val="page number"/>
    <w:rsid w:val="00DF2D7C"/>
    <w:rPr>
      <w:rFonts w:ascii="Arial" w:hAnsi="Arial"/>
      <w:sz w:val="20"/>
      <w:szCs w:val="20"/>
    </w:rPr>
  </w:style>
  <w:style w:type="paragraph" w:styleId="DocumentMap">
    <w:name w:val="Document Map"/>
    <w:basedOn w:val="Normal"/>
    <w:link w:val="DocumentMapChar"/>
    <w:semiHidden/>
    <w:rsid w:val="00DF2D7C"/>
    <w:pPr>
      <w:shd w:val="clear" w:color="auto" w:fill="000080"/>
    </w:pPr>
    <w:rPr>
      <w:rFonts w:ascii="Tahoma" w:hAnsi="Tahoma"/>
      <w:lang w:val="x-none"/>
    </w:rPr>
  </w:style>
  <w:style w:type="character" w:customStyle="1" w:styleId="DocumentMapChar">
    <w:name w:val="Document Map Char"/>
    <w:link w:val="DocumentMap"/>
    <w:uiPriority w:val="99"/>
    <w:semiHidden/>
    <w:locked/>
    <w:rsid w:val="006A5D98"/>
    <w:rPr>
      <w:rFonts w:ascii="Tahoma" w:hAnsi="Tahoma"/>
      <w:sz w:val="24"/>
      <w:szCs w:val="28"/>
      <w:shd w:val="clear" w:color="auto" w:fill="000080"/>
      <w:lang w:eastAsia="en-US"/>
    </w:rPr>
  </w:style>
  <w:style w:type="paragraph" w:styleId="BodyTextIndent3">
    <w:name w:val="Body Text Indent 3"/>
    <w:basedOn w:val="Normal"/>
    <w:link w:val="BodyTextIndent3Char"/>
    <w:uiPriority w:val="99"/>
    <w:rsid w:val="00DF2D7C"/>
    <w:pPr>
      <w:tabs>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ind w:left="720"/>
      <w:jc w:val="both"/>
    </w:pPr>
    <w:rPr>
      <w:color w:val="FF0000"/>
      <w:sz w:val="20"/>
      <w:szCs w:val="20"/>
      <w:lang w:val="x-none"/>
    </w:rPr>
  </w:style>
  <w:style w:type="character" w:customStyle="1" w:styleId="BodyTextIndent3Char">
    <w:name w:val="Body Text Indent 3 Char"/>
    <w:link w:val="BodyTextIndent3"/>
    <w:uiPriority w:val="99"/>
    <w:locked/>
    <w:rsid w:val="006A5D98"/>
    <w:rPr>
      <w:color w:val="FF0000"/>
      <w:lang w:eastAsia="en-US"/>
    </w:rPr>
  </w:style>
  <w:style w:type="paragraph" w:customStyle="1" w:styleId="7I-7H-">
    <w:name w:val="@7I-@#7H-"/>
    <w:basedOn w:val="Normal"/>
    <w:next w:val="Normal"/>
    <w:uiPriority w:val="99"/>
    <w:rsid w:val="00DF2D7C"/>
    <w:rPr>
      <w:rFonts w:ascii="Arial" w:eastAsia="Cordia New" w:hAnsi="Arial"/>
      <w:b/>
      <w:bCs/>
      <w:snapToGrid w:val="0"/>
      <w:szCs w:val="24"/>
      <w:lang w:val="th-TH" w:eastAsia="th-TH"/>
    </w:rPr>
  </w:style>
  <w:style w:type="paragraph" w:customStyle="1" w:styleId="Style2">
    <w:name w:val="Style2"/>
    <w:basedOn w:val="Normal"/>
    <w:rsid w:val="00DF2D7C"/>
    <w:pPr>
      <w:tabs>
        <w:tab w:val="left" w:pos="1134"/>
        <w:tab w:val="left" w:pos="1276"/>
        <w:tab w:val="center" w:pos="3402"/>
        <w:tab w:val="center" w:pos="4536"/>
        <w:tab w:val="center" w:pos="5670"/>
        <w:tab w:val="center" w:pos="6804"/>
        <w:tab w:val="right" w:pos="7655"/>
      </w:tabs>
      <w:spacing w:line="240" w:lineRule="exact"/>
      <w:ind w:hanging="567"/>
    </w:pPr>
    <w:rPr>
      <w:rFonts w:ascii="Arial" w:hAnsi="Arial"/>
      <w:b/>
      <w:bCs/>
      <w:caps/>
      <w:sz w:val="18"/>
      <w:szCs w:val="18"/>
    </w:rPr>
  </w:style>
  <w:style w:type="paragraph" w:customStyle="1" w:styleId="Style3">
    <w:name w:val="Style3"/>
    <w:basedOn w:val="Normal"/>
    <w:rsid w:val="00DF2D7C"/>
    <w:pPr>
      <w:pBdr>
        <w:bottom w:val="single" w:sz="6" w:space="1" w:color="C0C0C0"/>
      </w:pBdr>
      <w:tabs>
        <w:tab w:val="left" w:pos="709"/>
        <w:tab w:val="center" w:pos="3402"/>
        <w:tab w:val="center" w:pos="4253"/>
        <w:tab w:val="center" w:pos="5103"/>
        <w:tab w:val="center" w:pos="5954"/>
        <w:tab w:val="center" w:pos="6804"/>
        <w:tab w:val="center" w:pos="7655"/>
      </w:tabs>
      <w:spacing w:line="240" w:lineRule="exact"/>
    </w:pPr>
    <w:rPr>
      <w:rFonts w:ascii="Arial" w:hAnsi="Arial"/>
      <w:sz w:val="16"/>
      <w:szCs w:val="16"/>
    </w:rPr>
  </w:style>
  <w:style w:type="paragraph" w:customStyle="1" w:styleId="Hang9">
    <w:name w:val="Hang9"/>
    <w:basedOn w:val="Normal"/>
    <w:rsid w:val="00DF2D7C"/>
    <w:pPr>
      <w:spacing w:before="40" w:after="60" w:line="200" w:lineRule="exact"/>
      <w:ind w:left="284" w:hanging="284"/>
    </w:pPr>
    <w:rPr>
      <w:rFonts w:ascii="Times" w:eastAsia="Times" w:hAnsi="Times" w:cs="Times New Roman"/>
      <w:sz w:val="18"/>
      <w:szCs w:val="20"/>
      <w:lang w:bidi="ar-SA"/>
    </w:rPr>
  </w:style>
  <w:style w:type="character" w:styleId="Strong">
    <w:name w:val="Strong"/>
    <w:uiPriority w:val="22"/>
    <w:qFormat/>
    <w:rsid w:val="00DF2D7C"/>
    <w:rPr>
      <w:b/>
      <w:bCs/>
    </w:rPr>
  </w:style>
  <w:style w:type="paragraph" w:styleId="Index1">
    <w:name w:val="index 1"/>
    <w:basedOn w:val="Normal"/>
    <w:next w:val="Normal"/>
    <w:autoRedefine/>
    <w:uiPriority w:val="99"/>
    <w:rsid w:val="00910E0B"/>
    <w:pPr>
      <w:ind w:left="240" w:hanging="240"/>
    </w:pPr>
  </w:style>
  <w:style w:type="character" w:styleId="Hyperlink">
    <w:name w:val="Hyperlink"/>
    <w:uiPriority w:val="99"/>
    <w:rsid w:val="00DF2D7C"/>
    <w:rPr>
      <w:color w:val="0000FF"/>
      <w:u w:val="single"/>
    </w:rPr>
  </w:style>
  <w:style w:type="paragraph" w:styleId="IndexHeading">
    <w:name w:val="index heading"/>
    <w:basedOn w:val="Normal"/>
    <w:next w:val="Index1"/>
    <w:rsid w:val="00910E0B"/>
    <w:pPr>
      <w:autoSpaceDE w:val="0"/>
      <w:autoSpaceDN w:val="0"/>
      <w:jc w:val="both"/>
    </w:pPr>
    <w:rPr>
      <w:rFonts w:eastAsia="MS Mincho"/>
      <w:b/>
      <w:bCs/>
      <w:sz w:val="20"/>
      <w:szCs w:val="24"/>
    </w:rPr>
  </w:style>
  <w:style w:type="paragraph" w:styleId="BalloonText">
    <w:name w:val="Balloon Text"/>
    <w:basedOn w:val="Normal"/>
    <w:link w:val="BalloonTextChar"/>
    <w:uiPriority w:val="99"/>
    <w:semiHidden/>
    <w:rsid w:val="00ED5AA0"/>
    <w:rPr>
      <w:rFonts w:ascii="Tahoma" w:hAnsi="Tahoma"/>
      <w:sz w:val="16"/>
      <w:szCs w:val="18"/>
      <w:lang w:val="x-none"/>
    </w:rPr>
  </w:style>
  <w:style w:type="character" w:customStyle="1" w:styleId="BalloonTextChar">
    <w:name w:val="Balloon Text Char"/>
    <w:link w:val="BalloonText"/>
    <w:uiPriority w:val="99"/>
    <w:semiHidden/>
    <w:locked/>
    <w:rsid w:val="006A5D98"/>
    <w:rPr>
      <w:rFonts w:ascii="Tahoma" w:hAnsi="Tahoma"/>
      <w:sz w:val="16"/>
      <w:szCs w:val="18"/>
      <w:lang w:eastAsia="en-US"/>
    </w:rPr>
  </w:style>
  <w:style w:type="paragraph" w:customStyle="1" w:styleId="a">
    <w:name w:val="à¹×éÍàÃ×èÍ§"/>
    <w:basedOn w:val="Normal"/>
    <w:uiPriority w:val="99"/>
    <w:rsid w:val="00FA026A"/>
    <w:pPr>
      <w:autoSpaceDE w:val="0"/>
      <w:autoSpaceDN w:val="0"/>
      <w:ind w:right="386"/>
    </w:pPr>
    <w:rPr>
      <w:rFonts w:ascii="Cordia New" w:hAnsi="Arial" w:cs="Cordia New"/>
      <w:sz w:val="28"/>
    </w:rPr>
  </w:style>
  <w:style w:type="character" w:styleId="CommentReference">
    <w:name w:val="annotation reference"/>
    <w:uiPriority w:val="99"/>
    <w:rsid w:val="0016456A"/>
    <w:rPr>
      <w:sz w:val="16"/>
      <w:szCs w:val="16"/>
    </w:rPr>
  </w:style>
  <w:style w:type="paragraph" w:styleId="CommentText">
    <w:name w:val="annotation text"/>
    <w:basedOn w:val="Normal"/>
    <w:link w:val="CommentTextChar"/>
    <w:uiPriority w:val="99"/>
    <w:rsid w:val="0016456A"/>
    <w:rPr>
      <w:sz w:val="20"/>
      <w:szCs w:val="25"/>
      <w:lang w:val="x-none"/>
    </w:rPr>
  </w:style>
  <w:style w:type="character" w:customStyle="1" w:styleId="CommentTextChar">
    <w:name w:val="Comment Text Char"/>
    <w:link w:val="CommentText"/>
    <w:uiPriority w:val="99"/>
    <w:rsid w:val="0016456A"/>
    <w:rPr>
      <w:szCs w:val="25"/>
      <w:lang w:eastAsia="en-US"/>
    </w:rPr>
  </w:style>
  <w:style w:type="paragraph" w:styleId="CommentSubject">
    <w:name w:val="annotation subject"/>
    <w:basedOn w:val="CommentText"/>
    <w:next w:val="CommentText"/>
    <w:link w:val="CommentSubjectChar"/>
    <w:rsid w:val="0016456A"/>
    <w:rPr>
      <w:b/>
      <w:bCs/>
    </w:rPr>
  </w:style>
  <w:style w:type="character" w:customStyle="1" w:styleId="CommentSubjectChar">
    <w:name w:val="Comment Subject Char"/>
    <w:link w:val="CommentSubject"/>
    <w:rsid w:val="0016456A"/>
    <w:rPr>
      <w:b/>
      <w:bCs/>
      <w:szCs w:val="25"/>
      <w:lang w:eastAsia="en-US"/>
    </w:rPr>
  </w:style>
  <w:style w:type="paragraph" w:styleId="Revision">
    <w:name w:val="Revision"/>
    <w:hidden/>
    <w:uiPriority w:val="99"/>
    <w:semiHidden/>
    <w:rsid w:val="005D429F"/>
    <w:rPr>
      <w:sz w:val="24"/>
      <w:szCs w:val="28"/>
    </w:rPr>
  </w:style>
  <w:style w:type="character" w:customStyle="1" w:styleId="longtext">
    <w:name w:val="long_text"/>
    <w:basedOn w:val="DefaultParagraphFont"/>
    <w:rsid w:val="0065667C"/>
  </w:style>
  <w:style w:type="paragraph" w:customStyle="1" w:styleId="NormalComplexHelv">
    <w:name w:val="Normal + (Complex) Helv"/>
    <w:aliases w:val="10 pt,Condensed by  0.2 pt"/>
    <w:basedOn w:val="Normal"/>
    <w:rsid w:val="00005705"/>
    <w:pPr>
      <w:tabs>
        <w:tab w:val="left" w:pos="900"/>
      </w:tabs>
      <w:spacing w:line="240" w:lineRule="atLeast"/>
      <w:ind w:left="540"/>
      <w:jc w:val="thaiDistribute"/>
    </w:pPr>
    <w:rPr>
      <w:rFonts w:cs="Helv"/>
      <w:spacing w:val="-4"/>
      <w:sz w:val="20"/>
      <w:szCs w:val="20"/>
    </w:rPr>
  </w:style>
  <w:style w:type="paragraph" w:styleId="ListParagraph">
    <w:name w:val="List Paragraph"/>
    <w:basedOn w:val="Normal"/>
    <w:uiPriority w:val="34"/>
    <w:qFormat/>
    <w:rsid w:val="00D44F01"/>
    <w:pPr>
      <w:spacing w:after="200" w:line="276" w:lineRule="auto"/>
      <w:ind w:left="720"/>
      <w:contextualSpacing/>
    </w:pPr>
    <w:rPr>
      <w:rFonts w:ascii="Calibri" w:eastAsia="Calibri" w:hAnsi="Calibri" w:cs="Cordia New"/>
      <w:sz w:val="22"/>
    </w:rPr>
  </w:style>
  <w:style w:type="paragraph" w:customStyle="1" w:styleId="acctfourfigures">
    <w:name w:val="acct four figures"/>
    <w:aliases w:val="a4 + 8 pt,(Complex) + 8 pt,(Complex),Thai Distribute...,a4"/>
    <w:basedOn w:val="Normal"/>
    <w:rsid w:val="008F486B"/>
    <w:pPr>
      <w:tabs>
        <w:tab w:val="decimal" w:pos="765"/>
      </w:tabs>
      <w:spacing w:line="260" w:lineRule="atLeast"/>
    </w:pPr>
    <w:rPr>
      <w:rFonts w:cs="Times New Roman"/>
      <w:sz w:val="22"/>
      <w:szCs w:val="20"/>
      <w:lang w:bidi="ar-SA"/>
    </w:rPr>
  </w:style>
  <w:style w:type="paragraph" w:customStyle="1" w:styleId="3">
    <w:name w:val="?????3????"/>
    <w:basedOn w:val="Normal"/>
    <w:uiPriority w:val="99"/>
    <w:rsid w:val="006A5D98"/>
    <w:pPr>
      <w:tabs>
        <w:tab w:val="left" w:pos="360"/>
        <w:tab w:val="left" w:pos="720"/>
      </w:tabs>
    </w:pPr>
    <w:rPr>
      <w:rFonts w:ascii="Book Antiqua" w:hAnsi="Book Antiqua"/>
      <w:sz w:val="22"/>
      <w:szCs w:val="22"/>
      <w:lang w:val="th-TH"/>
    </w:rPr>
  </w:style>
  <w:style w:type="paragraph" w:customStyle="1" w:styleId="acctcolumnheading">
    <w:name w:val="acct column heading"/>
    <w:aliases w:val="ac"/>
    <w:basedOn w:val="Normal"/>
    <w:rsid w:val="006A5D98"/>
    <w:pPr>
      <w:spacing w:after="260" w:line="260" w:lineRule="atLeast"/>
      <w:jc w:val="center"/>
    </w:pPr>
    <w:rPr>
      <w:rFonts w:cs="Times New Roman"/>
      <w:sz w:val="22"/>
      <w:szCs w:val="20"/>
      <w:lang w:bidi="ar-SA"/>
    </w:rPr>
  </w:style>
  <w:style w:type="paragraph" w:styleId="Subtitle">
    <w:name w:val="Subtitle"/>
    <w:basedOn w:val="Normal"/>
    <w:link w:val="SubtitleChar"/>
    <w:uiPriority w:val="99"/>
    <w:qFormat/>
    <w:rsid w:val="006A5D98"/>
    <w:pPr>
      <w:jc w:val="center"/>
    </w:pPr>
    <w:rPr>
      <w:rFonts w:eastAsia="MS Mincho"/>
      <w:b/>
      <w:bCs/>
      <w:sz w:val="28"/>
      <w:lang w:val="th-TH"/>
    </w:rPr>
  </w:style>
  <w:style w:type="character" w:customStyle="1" w:styleId="SubtitleChar">
    <w:name w:val="Subtitle Char"/>
    <w:link w:val="Subtitle"/>
    <w:uiPriority w:val="99"/>
    <w:rsid w:val="006A5D98"/>
    <w:rPr>
      <w:rFonts w:eastAsia="MS Mincho" w:cs="Cordia New"/>
      <w:b/>
      <w:bCs/>
      <w:sz w:val="28"/>
      <w:szCs w:val="28"/>
      <w:lang w:val="th-TH" w:eastAsia="en-US"/>
    </w:rPr>
  </w:style>
  <w:style w:type="paragraph" w:customStyle="1" w:styleId="a0">
    <w:name w:val="เนื้อเรื่อง"/>
    <w:basedOn w:val="Normal"/>
    <w:rsid w:val="006A5D98"/>
    <w:pPr>
      <w:ind w:right="386"/>
    </w:pPr>
    <w:rPr>
      <w:rFonts w:eastAsia="MS Mincho" w:cs="Times New Roman"/>
      <w:color w:val="000080"/>
      <w:sz w:val="28"/>
      <w:lang w:val="th-TH"/>
    </w:rPr>
  </w:style>
  <w:style w:type="character" w:customStyle="1" w:styleId="shorttext">
    <w:name w:val="short_text"/>
    <w:rsid w:val="006A5D98"/>
  </w:style>
  <w:style w:type="character" w:customStyle="1" w:styleId="hps">
    <w:name w:val="hps"/>
    <w:rsid w:val="006A5D98"/>
  </w:style>
  <w:style w:type="paragraph" w:customStyle="1" w:styleId="1">
    <w:name w:val="รายการย่อหน้า1"/>
    <w:basedOn w:val="Normal"/>
    <w:rsid w:val="00217E8A"/>
    <w:pPr>
      <w:suppressAutoHyphens/>
      <w:spacing w:after="200" w:line="276" w:lineRule="auto"/>
      <w:ind w:left="720"/>
    </w:pPr>
    <w:rPr>
      <w:rFonts w:ascii="Calibri" w:eastAsia="Calibri" w:hAnsi="Calibri" w:cs="Calibri"/>
      <w:sz w:val="22"/>
      <w:lang w:eastAsia="th-TH"/>
    </w:rPr>
  </w:style>
  <w:style w:type="character" w:styleId="Emphasis">
    <w:name w:val="Emphasis"/>
    <w:qFormat/>
    <w:rsid w:val="00FE44FA"/>
    <w:rPr>
      <w:i/>
      <w:iCs/>
    </w:rPr>
  </w:style>
  <w:style w:type="table" w:customStyle="1" w:styleId="PwCTableText">
    <w:name w:val="PwC Table Text"/>
    <w:basedOn w:val="TableNormal"/>
    <w:uiPriority w:val="99"/>
    <w:qFormat/>
    <w:rsid w:val="006704EE"/>
    <w:pPr>
      <w:spacing w:before="60" w:after="60"/>
    </w:pPr>
    <w:rPr>
      <w:rFonts w:ascii="Georgia" w:eastAsia="Calibri" w:hAnsi="Georgia" w:cs="Cordia New"/>
      <w:lang w:bidi="ar-SA"/>
    </w:rPr>
    <w:tblPr>
      <w:tblStyleRowBandSize w:val="1"/>
      <w:tblBorders>
        <w:insideH w:val="dotted" w:sz="4" w:space="0" w:color="1F497D"/>
      </w:tblBorders>
    </w:tblPr>
    <w:tblStylePr w:type="firstRow">
      <w:rPr>
        <w:b/>
      </w:rPr>
      <w:tblPr/>
      <w:tcPr>
        <w:tcBorders>
          <w:top w:val="single" w:sz="6" w:space="0" w:color="1F497D"/>
          <w:bottom w:val="single" w:sz="6" w:space="0" w:color="1F497D"/>
        </w:tcBorders>
      </w:tcPr>
    </w:tblStylePr>
    <w:tblStylePr w:type="lastRow">
      <w:rPr>
        <w:b/>
      </w:rPr>
      <w:tblPr/>
      <w:tcPr>
        <w:tcBorders>
          <w:top w:val="single" w:sz="6" w:space="0" w:color="1F497D"/>
          <w:bottom w:val="single" w:sz="6" w:space="0" w:color="1F497D"/>
        </w:tcBorders>
      </w:tcPr>
    </w:tblStylePr>
    <w:tblStylePr w:type="band1Horz">
      <w:tblPr/>
      <w:tcPr>
        <w:tcBorders>
          <w:bottom w:val="nil"/>
        </w:tcBorders>
      </w:tcPr>
    </w:tblStylePr>
  </w:style>
  <w:style w:type="paragraph" w:customStyle="1" w:styleId="2">
    <w:name w:val="อักขระ อักขระ2"/>
    <w:basedOn w:val="Normal"/>
    <w:uiPriority w:val="99"/>
    <w:rsid w:val="00EE557D"/>
    <w:pPr>
      <w:spacing w:after="160" w:line="240" w:lineRule="exact"/>
    </w:pPr>
    <w:rPr>
      <w:rFonts w:ascii="Verdana" w:hAnsi="Verdana"/>
      <w:sz w:val="20"/>
      <w:szCs w:val="20"/>
      <w:lang w:bidi="ar-SA"/>
    </w:rPr>
  </w:style>
  <w:style w:type="paragraph" w:styleId="PlainText">
    <w:name w:val="Plain Text"/>
    <w:basedOn w:val="Normal"/>
    <w:link w:val="PlainTextChar1"/>
    <w:uiPriority w:val="99"/>
    <w:rsid w:val="00F15819"/>
    <w:rPr>
      <w:rFonts w:ascii="Tms Rmn" w:hAnsi="Tms Rmn"/>
      <w:sz w:val="28"/>
    </w:rPr>
  </w:style>
  <w:style w:type="character" w:customStyle="1" w:styleId="PlainTextChar">
    <w:name w:val="Plain Text Char"/>
    <w:uiPriority w:val="99"/>
    <w:rsid w:val="00F15819"/>
    <w:rPr>
      <w:rFonts w:ascii="Courier New" w:hAnsi="Courier New"/>
      <w:szCs w:val="25"/>
      <w:lang w:eastAsia="en-US"/>
    </w:rPr>
  </w:style>
  <w:style w:type="character" w:customStyle="1" w:styleId="PlainTextChar1">
    <w:name w:val="Plain Text Char1"/>
    <w:link w:val="PlainText"/>
    <w:locked/>
    <w:rsid w:val="00F15819"/>
    <w:rPr>
      <w:rFonts w:ascii="Tms Rmn" w:hAnsi="Tms Rmn"/>
      <w:sz w:val="28"/>
      <w:szCs w:val="28"/>
      <w:lang w:val="en-US" w:eastAsia="en-US"/>
    </w:rPr>
  </w:style>
  <w:style w:type="paragraph" w:styleId="NormalWeb">
    <w:name w:val="Normal (Web)"/>
    <w:basedOn w:val="Normal"/>
    <w:uiPriority w:val="99"/>
    <w:unhideWhenUsed/>
    <w:rsid w:val="009F10FD"/>
    <w:pPr>
      <w:spacing w:before="100" w:beforeAutospacing="1" w:after="100" w:afterAutospacing="1"/>
    </w:pPr>
    <w:rPr>
      <w:rFonts w:ascii="Tahoma" w:hAnsi="Tahoma" w:cs="Tahoma"/>
      <w:szCs w:val="24"/>
    </w:rPr>
  </w:style>
  <w:style w:type="paragraph" w:styleId="Title">
    <w:name w:val="Title"/>
    <w:aliases w:val="Comments"/>
    <w:basedOn w:val="Normal"/>
    <w:link w:val="TitleChar"/>
    <w:uiPriority w:val="10"/>
    <w:qFormat/>
    <w:rsid w:val="001B4131"/>
    <w:pPr>
      <w:widowControl w:val="0"/>
      <w:jc w:val="center"/>
    </w:pPr>
    <w:rPr>
      <w:rFonts w:ascii="BrowalliaUPC" w:hAnsi="BrowalliaUPC"/>
      <w:sz w:val="30"/>
      <w:szCs w:val="30"/>
    </w:rPr>
  </w:style>
  <w:style w:type="character" w:customStyle="1" w:styleId="TitleChar">
    <w:name w:val="Title Char"/>
    <w:aliases w:val="Comments Char"/>
    <w:link w:val="Title"/>
    <w:uiPriority w:val="10"/>
    <w:rsid w:val="001B4131"/>
    <w:rPr>
      <w:rFonts w:ascii="BrowalliaUPC" w:hAnsi="BrowalliaUPC" w:cs="BrowalliaUPC"/>
      <w:sz w:val="30"/>
      <w:szCs w:val="30"/>
      <w:lang w:val="en-US" w:eastAsia="en-US"/>
    </w:rPr>
  </w:style>
  <w:style w:type="paragraph" w:customStyle="1" w:styleId="2CharChar">
    <w:name w:val="อักขระ อักขระ2 Char Char"/>
    <w:basedOn w:val="Normal"/>
    <w:rsid w:val="0030663A"/>
    <w:pPr>
      <w:spacing w:after="160" w:line="240" w:lineRule="exact"/>
    </w:pPr>
    <w:rPr>
      <w:rFonts w:ascii="Verdana" w:hAnsi="Verdana"/>
      <w:sz w:val="20"/>
      <w:szCs w:val="20"/>
      <w:lang w:bidi="ar-SA"/>
    </w:rPr>
  </w:style>
  <w:style w:type="paragraph" w:customStyle="1" w:styleId="a1">
    <w:name w:val="อักขระ อักขระ"/>
    <w:basedOn w:val="Normal"/>
    <w:uiPriority w:val="99"/>
    <w:rsid w:val="00420759"/>
    <w:pPr>
      <w:spacing w:after="160" w:line="240" w:lineRule="exact"/>
    </w:pPr>
    <w:rPr>
      <w:rFonts w:ascii="Verdana" w:hAnsi="Verdana"/>
      <w:sz w:val="20"/>
      <w:szCs w:val="20"/>
      <w:lang w:bidi="ar-SA"/>
    </w:rPr>
  </w:style>
  <w:style w:type="character" w:customStyle="1" w:styleId="CharChar3">
    <w:name w:val="Char Char3"/>
    <w:locked/>
    <w:rsid w:val="00420759"/>
    <w:rPr>
      <w:rFonts w:ascii="Tms Rmn" w:hAnsi="Tms Rmn" w:cs="CordiaUPC"/>
      <w:sz w:val="28"/>
      <w:szCs w:val="28"/>
      <w:lang w:val="en-US" w:eastAsia="en-US" w:bidi="th-TH"/>
    </w:rPr>
  </w:style>
  <w:style w:type="paragraph" w:styleId="HTMLPreformatted">
    <w:name w:val="HTML Preformatted"/>
    <w:basedOn w:val="Normal"/>
    <w:link w:val="HTMLPreformattedChar"/>
    <w:rsid w:val="00754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hAnsi="Tahoma"/>
      <w:sz w:val="20"/>
      <w:szCs w:val="20"/>
    </w:rPr>
  </w:style>
  <w:style w:type="character" w:customStyle="1" w:styleId="HTMLPreformattedChar">
    <w:name w:val="HTML Preformatted Char"/>
    <w:link w:val="HTMLPreformatted"/>
    <w:rsid w:val="0075492C"/>
    <w:rPr>
      <w:rFonts w:ascii="Tahoma" w:hAnsi="Tahoma" w:cs="Tahoma"/>
      <w:lang w:val="en-US" w:eastAsia="en-US"/>
    </w:rPr>
  </w:style>
  <w:style w:type="paragraph" w:styleId="NoSpacing">
    <w:name w:val="No Spacing"/>
    <w:uiPriority w:val="1"/>
    <w:qFormat/>
    <w:rsid w:val="003B07B8"/>
    <w:rPr>
      <w:rFonts w:ascii="Arial" w:eastAsia="MS Mincho" w:hAnsi="Arial"/>
      <w:szCs w:val="25"/>
    </w:rPr>
  </w:style>
  <w:style w:type="table" w:styleId="TableGrid">
    <w:name w:val="Table Grid"/>
    <w:basedOn w:val="TableNormal"/>
    <w:uiPriority w:val="39"/>
    <w:rsid w:val="003B07B8"/>
    <w:pPr>
      <w:spacing w:line="24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4523"/>
    <w:pPr>
      <w:autoSpaceDE w:val="0"/>
      <w:autoSpaceDN w:val="0"/>
      <w:adjustRightInd w:val="0"/>
    </w:pPr>
    <w:rPr>
      <w:rFonts w:ascii="Cordia New" w:eastAsia="Cordia New" w:hAnsi="Cordia New" w:cs="Cordia New"/>
      <w:color w:val="000000"/>
      <w:sz w:val="24"/>
      <w:szCs w:val="24"/>
    </w:rPr>
  </w:style>
  <w:style w:type="paragraph" w:customStyle="1" w:styleId="acctmergecolhdg">
    <w:name w:val="acct merge col hdg"/>
    <w:aliases w:val="mh"/>
    <w:basedOn w:val="Normal"/>
    <w:rsid w:val="000F3F68"/>
    <w:pPr>
      <w:spacing w:line="260" w:lineRule="atLeast"/>
      <w:ind w:right="-101"/>
      <w:jc w:val="center"/>
    </w:pPr>
    <w:rPr>
      <w:rFonts w:cs="Times New Roman"/>
      <w:b/>
      <w:sz w:val="22"/>
      <w:szCs w:val="20"/>
      <w:lang w:bidi="ar-SA"/>
    </w:rPr>
  </w:style>
  <w:style w:type="paragraph" w:customStyle="1" w:styleId="EAHEAD">
    <w:name w:val="EAHEAD"/>
    <w:basedOn w:val="Heading1"/>
    <w:link w:val="EAHEADChar"/>
    <w:qFormat/>
    <w:rsid w:val="001530FB"/>
    <w:pPr>
      <w:ind w:left="547" w:hanging="547"/>
      <w:jc w:val="both"/>
    </w:pPr>
    <w:rPr>
      <w:rFonts w:ascii="Arial" w:hAnsi="Arial" w:cs="Arial"/>
      <w:b/>
      <w:bCs/>
      <w:sz w:val="18"/>
      <w:szCs w:val="18"/>
      <w:u w:val="none"/>
    </w:rPr>
  </w:style>
  <w:style w:type="paragraph" w:customStyle="1" w:styleId="EASUBHEAD1-5">
    <w:name w:val="EASUBHEAD1-5"/>
    <w:basedOn w:val="Heading2"/>
    <w:link w:val="EASUBHEAD1-5Char"/>
    <w:qFormat/>
    <w:rsid w:val="001530FB"/>
    <w:pPr>
      <w:ind w:left="547" w:hanging="547"/>
    </w:pPr>
    <w:rPr>
      <w:rFonts w:ascii="Arial" w:hAnsi="Arial" w:cs="Arial"/>
      <w:sz w:val="18"/>
      <w:szCs w:val="18"/>
    </w:rPr>
  </w:style>
  <w:style w:type="character" w:customStyle="1" w:styleId="EAHEADChar">
    <w:name w:val="EAHEAD Char"/>
    <w:link w:val="EAHEAD"/>
    <w:rsid w:val="001530FB"/>
    <w:rPr>
      <w:rFonts w:ascii="Arial" w:hAnsi="Arial" w:cs="Arial"/>
      <w:b/>
      <w:bCs/>
      <w:sz w:val="18"/>
      <w:szCs w:val="18"/>
      <w:u w:val="single"/>
      <w:lang w:val="en-US" w:eastAsia="en-US"/>
    </w:rPr>
  </w:style>
  <w:style w:type="paragraph" w:customStyle="1" w:styleId="EASUBHEAD6">
    <w:name w:val="EASUBHEAD6+"/>
    <w:basedOn w:val="Heading2"/>
    <w:link w:val="EASUBHEAD6Char"/>
    <w:qFormat/>
    <w:rsid w:val="001530FB"/>
    <w:pPr>
      <w:ind w:left="540" w:hanging="540"/>
    </w:pPr>
    <w:rPr>
      <w:rFonts w:ascii="Arial" w:hAnsi="Arial" w:cs="Arial"/>
      <w:b w:val="0"/>
      <w:bCs w:val="0"/>
      <w:sz w:val="18"/>
      <w:szCs w:val="18"/>
    </w:rPr>
  </w:style>
  <w:style w:type="character" w:customStyle="1" w:styleId="EASUBHEAD1-5Char">
    <w:name w:val="EASUBHEAD1-5 Char"/>
    <w:link w:val="EASUBHEAD1-5"/>
    <w:rsid w:val="001530FB"/>
    <w:rPr>
      <w:rFonts w:ascii="Arial" w:hAnsi="Arial" w:cs="Arial"/>
      <w:b/>
      <w:bCs/>
      <w:sz w:val="18"/>
      <w:szCs w:val="18"/>
      <w:lang w:val="en-US" w:eastAsia="en-US"/>
    </w:rPr>
  </w:style>
  <w:style w:type="character" w:customStyle="1" w:styleId="qowt-font3-arial">
    <w:name w:val="qowt-font3-arial"/>
    <w:rsid w:val="00EF7B17"/>
  </w:style>
  <w:style w:type="character" w:customStyle="1" w:styleId="EASUBHEAD6Char">
    <w:name w:val="EASUBHEAD6+ Char"/>
    <w:link w:val="EASUBHEAD6"/>
    <w:rsid w:val="001530FB"/>
    <w:rPr>
      <w:rFonts w:ascii="Arial" w:hAnsi="Arial" w:cs="Arial"/>
      <w:b w:val="0"/>
      <w:bCs w:val="0"/>
      <w:sz w:val="18"/>
      <w:szCs w:val="18"/>
      <w:lang w:val="en-US" w:eastAsia="en-US"/>
    </w:rPr>
  </w:style>
  <w:style w:type="paragraph" w:customStyle="1" w:styleId="20">
    <w:name w:val="อักขระ อักขระ20"/>
    <w:basedOn w:val="Normal"/>
    <w:rsid w:val="00FE37B6"/>
    <w:pPr>
      <w:spacing w:after="160" w:line="240" w:lineRule="exact"/>
    </w:pPr>
    <w:rPr>
      <w:rFonts w:ascii="Verdana" w:hAnsi="Verdana"/>
      <w:sz w:val="20"/>
      <w:szCs w:val="20"/>
      <w:lang w:bidi="ar-SA"/>
    </w:rPr>
  </w:style>
  <w:style w:type="paragraph" w:customStyle="1" w:styleId="2CharChar0">
    <w:name w:val="อักขระ อักขระ2 Char Char0"/>
    <w:basedOn w:val="Normal"/>
    <w:rsid w:val="00FE37B6"/>
    <w:pPr>
      <w:spacing w:after="160" w:line="240" w:lineRule="exact"/>
    </w:pPr>
    <w:rPr>
      <w:rFonts w:ascii="Verdana" w:hAnsi="Verdana"/>
      <w:sz w:val="20"/>
      <w:szCs w:val="20"/>
      <w:lang w:bidi="ar-SA"/>
    </w:rPr>
  </w:style>
  <w:style w:type="paragraph" w:customStyle="1" w:styleId="0">
    <w:name w:val="อักขระ อักขระ0"/>
    <w:basedOn w:val="Normal"/>
    <w:rsid w:val="00FE37B6"/>
    <w:pPr>
      <w:spacing w:after="160" w:line="240" w:lineRule="exact"/>
    </w:pPr>
    <w:rPr>
      <w:rFonts w:ascii="Verdana" w:hAnsi="Verdana"/>
      <w:sz w:val="20"/>
      <w:szCs w:val="20"/>
      <w:lang w:bidi="ar-SA"/>
    </w:rPr>
  </w:style>
  <w:style w:type="character" w:customStyle="1" w:styleId="CharChar30">
    <w:name w:val="Char Char30"/>
    <w:locked/>
    <w:rsid w:val="00FE37B6"/>
    <w:rPr>
      <w:rFonts w:ascii="Tms Rmn" w:hAnsi="Tms Rmn" w:cs="CordiaUPC"/>
      <w:sz w:val="28"/>
      <w:szCs w:val="28"/>
      <w:lang w:val="en-US" w:eastAsia="en-US" w:bidi="th-TH"/>
    </w:rPr>
  </w:style>
  <w:style w:type="character" w:customStyle="1" w:styleId="left">
    <w:name w:val="left"/>
    <w:rsid w:val="00FE37B6"/>
  </w:style>
  <w:style w:type="paragraph" w:customStyle="1" w:styleId="qowt-stl-normal">
    <w:name w:val="qowt-stl-normal"/>
    <w:basedOn w:val="Normal"/>
    <w:rsid w:val="00FE37B6"/>
    <w:pPr>
      <w:spacing w:before="100" w:beforeAutospacing="1" w:after="100" w:afterAutospacing="1"/>
    </w:pPr>
    <w:rPr>
      <w:rFonts w:cs="Times New Roman"/>
      <w:szCs w:val="24"/>
    </w:rPr>
  </w:style>
  <w:style w:type="table" w:styleId="TableGridLight">
    <w:name w:val="Grid Table Light"/>
    <w:basedOn w:val="TableNormal"/>
    <w:uiPriority w:val="40"/>
    <w:rsid w:val="00B24397"/>
    <w:rPr>
      <w:rFonts w:ascii="Cambria" w:eastAsia="Cambria" w:hAnsi="Cambria" w:cs="Cordia New"/>
      <w:sz w:val="22"/>
      <w:szCs w:val="28"/>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tyle1">
    <w:name w:val="Style1"/>
    <w:basedOn w:val="NoSpacing"/>
    <w:autoRedefine/>
    <w:qFormat/>
    <w:rsid w:val="00642D9D"/>
    <w:pPr>
      <w:tabs>
        <w:tab w:val="left" w:pos="0"/>
      </w:tabs>
      <w:jc w:val="thaiDistribute"/>
    </w:pPr>
    <w:rPr>
      <w:rFonts w:eastAsia="Arial" w:cs="Cordia New"/>
      <w:color w:val="0070C0"/>
      <w:szCs w:val="20"/>
    </w:rPr>
  </w:style>
  <w:style w:type="character" w:styleId="FollowedHyperlink">
    <w:name w:val="FollowedHyperlink"/>
    <w:uiPriority w:val="99"/>
    <w:unhideWhenUsed/>
    <w:rsid w:val="00B4267B"/>
    <w:rPr>
      <w:color w:val="954F72"/>
      <w:u w:val="single"/>
    </w:rPr>
  </w:style>
  <w:style w:type="paragraph" w:customStyle="1" w:styleId="HeadSub1-5EA">
    <w:name w:val="HeadSub1-5EA"/>
    <w:basedOn w:val="Heading2"/>
    <w:next w:val="Heading2"/>
    <w:link w:val="HeadSub1-5EAChar"/>
    <w:qFormat/>
    <w:rsid w:val="00D56E0C"/>
    <w:pPr>
      <w:ind w:left="547" w:right="0" w:hanging="547"/>
      <w:jc w:val="thaiDistribute"/>
    </w:pPr>
    <w:rPr>
      <w:rFonts w:ascii="Angsana New" w:eastAsia="MS Mincho" w:hAnsi="Angsana New"/>
      <w:sz w:val="26"/>
      <w:szCs w:val="26"/>
    </w:rPr>
  </w:style>
  <w:style w:type="character" w:customStyle="1" w:styleId="HeadSub1-5EAChar">
    <w:name w:val="HeadSub1-5EA Char"/>
    <w:link w:val="HeadSub1-5EA"/>
    <w:rsid w:val="00D56E0C"/>
    <w:rPr>
      <w:rFonts w:ascii="Angsana New" w:eastAsia="MS Mincho" w:hAnsi="Angsana New"/>
      <w:b/>
      <w:bCs/>
      <w:sz w:val="26"/>
      <w:szCs w:val="26"/>
      <w:lang w:val="en-GB"/>
    </w:rPr>
  </w:style>
  <w:style w:type="paragraph" w:customStyle="1" w:styleId="HeadSub6EA">
    <w:name w:val="HeadSub6+EA"/>
    <w:basedOn w:val="Heading2"/>
    <w:next w:val="Heading2"/>
    <w:link w:val="HeadSub6EAChar"/>
    <w:qFormat/>
    <w:rsid w:val="00526450"/>
    <w:pPr>
      <w:ind w:left="540" w:right="0" w:hanging="540"/>
      <w:jc w:val="thaiDistribute"/>
    </w:pPr>
    <w:rPr>
      <w:rFonts w:ascii="Angsana New" w:eastAsia="MS Mincho" w:hAnsi="Angsana New"/>
      <w:b w:val="0"/>
      <w:bCs w:val="0"/>
      <w:sz w:val="26"/>
      <w:szCs w:val="26"/>
    </w:rPr>
  </w:style>
  <w:style w:type="character" w:customStyle="1" w:styleId="HeadSub6EAChar">
    <w:name w:val="HeadSub6+EA Char"/>
    <w:link w:val="HeadSub6EA"/>
    <w:rsid w:val="00526450"/>
    <w:rPr>
      <w:rFonts w:ascii="Angsana New" w:eastAsia="MS Mincho" w:hAnsi="Angsana New"/>
      <w:sz w:val="26"/>
      <w:szCs w:val="26"/>
      <w:lang w:eastAsia="en-US"/>
    </w:rPr>
  </w:style>
  <w:style w:type="table" w:customStyle="1" w:styleId="TableGrid1">
    <w:name w:val="Table Grid1"/>
    <w:basedOn w:val="TableNormal"/>
    <w:next w:val="TableGrid"/>
    <w:uiPriority w:val="39"/>
    <w:rsid w:val="00CD438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
    <w:basedOn w:val="Normal"/>
    <w:uiPriority w:val="99"/>
    <w:rsid w:val="009C7F58"/>
    <w:pPr>
      <w:tabs>
        <w:tab w:val="left" w:pos="1080"/>
      </w:tabs>
    </w:pPr>
    <w:rPr>
      <w:rFonts w:ascii="Book Antiqua" w:eastAsia="Cordia New" w:hAnsi="Book Antiqua" w:cs="CordiaUPC"/>
      <w:b/>
      <w:bCs/>
      <w:sz w:val="30"/>
      <w:szCs w:val="30"/>
    </w:rPr>
  </w:style>
  <w:style w:type="paragraph" w:customStyle="1" w:styleId="T">
    <w:name w:val="????? T"/>
    <w:basedOn w:val="Normal"/>
    <w:uiPriority w:val="99"/>
    <w:rsid w:val="009C7F58"/>
    <w:pPr>
      <w:widowControl w:val="0"/>
      <w:ind w:left="5040" w:right="540"/>
      <w:jc w:val="center"/>
    </w:pPr>
    <w:rPr>
      <w:rFonts w:ascii="BrowalliaUPC" w:hAnsi="BrowalliaUPC" w:cs="BrowalliaUPC"/>
      <w:sz w:val="30"/>
      <w:szCs w:val="30"/>
    </w:rPr>
  </w:style>
  <w:style w:type="paragraph" w:customStyle="1" w:styleId="BlockQuotation">
    <w:name w:val="Block Quotation"/>
    <w:basedOn w:val="Normal"/>
    <w:uiPriority w:val="99"/>
    <w:rsid w:val="009C7F58"/>
    <w:pPr>
      <w:widowControl w:val="0"/>
      <w:tabs>
        <w:tab w:val="left" w:pos="540"/>
        <w:tab w:val="left" w:pos="1440"/>
      </w:tabs>
      <w:ind w:left="540" w:right="-90" w:hanging="540"/>
      <w:jc w:val="both"/>
    </w:pPr>
    <w:rPr>
      <w:rFonts w:ascii="BrowalliaUPC" w:hAnsi="BrowalliaUPC" w:cs="BrowalliaUPC"/>
      <w:sz w:val="30"/>
      <w:szCs w:val="30"/>
    </w:rPr>
  </w:style>
  <w:style w:type="paragraph" w:customStyle="1" w:styleId="CharCharCharCharCharChar">
    <w:name w:val="Char Char อักขระ อักขระ Char Char อักขระ อักขระ Char Char อักขระ อักขระ"/>
    <w:basedOn w:val="Normal"/>
    <w:uiPriority w:val="99"/>
    <w:rsid w:val="009C7F58"/>
    <w:pPr>
      <w:spacing w:after="160" w:line="240" w:lineRule="exact"/>
    </w:pPr>
    <w:rPr>
      <w:rFonts w:ascii="Verdana" w:hAnsi="Verdana"/>
      <w:sz w:val="26"/>
      <w:szCs w:val="20"/>
      <w:lang w:bidi="ar-SA"/>
    </w:rPr>
  </w:style>
  <w:style w:type="paragraph" w:customStyle="1" w:styleId="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9C7F58"/>
    <w:pPr>
      <w:spacing w:after="160" w:line="240" w:lineRule="exact"/>
    </w:pPr>
    <w:rPr>
      <w:rFonts w:ascii="Verdana" w:hAnsi="Verdana" w:cs="Times New Roman"/>
      <w:sz w:val="26"/>
      <w:szCs w:val="20"/>
      <w:lang w:bidi="ar-SA"/>
    </w:rPr>
  </w:style>
  <w:style w:type="paragraph" w:customStyle="1" w:styleId="CharChar">
    <w:name w:val="อักขระ อักขระ Char Char อักขระ อักขระ"/>
    <w:basedOn w:val="Normal"/>
    <w:uiPriority w:val="99"/>
    <w:rsid w:val="009C7F58"/>
    <w:pPr>
      <w:spacing w:after="160" w:line="240" w:lineRule="exact"/>
    </w:pPr>
    <w:rPr>
      <w:rFonts w:ascii="Verdana" w:hAnsi="Verdana"/>
      <w:sz w:val="26"/>
      <w:szCs w:val="20"/>
      <w:lang w:bidi="ar-SA"/>
    </w:rPr>
  </w:style>
  <w:style w:type="paragraph" w:customStyle="1" w:styleId="CharChar0">
    <w:name w:val="Char Char อักขระ อักขระ"/>
    <w:basedOn w:val="Normal"/>
    <w:uiPriority w:val="99"/>
    <w:rsid w:val="009C7F58"/>
    <w:pPr>
      <w:spacing w:after="160" w:line="240" w:lineRule="exact"/>
    </w:pPr>
    <w:rPr>
      <w:rFonts w:ascii="Verdana" w:hAnsi="Verdana"/>
      <w:sz w:val="26"/>
      <w:szCs w:val="20"/>
      <w:lang w:bidi="ar-SA"/>
    </w:rPr>
  </w:style>
  <w:style w:type="paragraph" w:customStyle="1" w:styleId="CharCharCharChar">
    <w:name w:val="อักขระ อักขระ Char Char อักขระ อักขระ Char Char อักขระ อักขระ"/>
    <w:basedOn w:val="Normal"/>
    <w:uiPriority w:val="99"/>
    <w:rsid w:val="009C7F58"/>
    <w:pPr>
      <w:spacing w:after="160" w:line="240" w:lineRule="exact"/>
    </w:pPr>
    <w:rPr>
      <w:rFonts w:ascii="Verdana" w:hAnsi="Verdana" w:cs="Times New Roman"/>
      <w:sz w:val="26"/>
      <w:szCs w:val="20"/>
      <w:lang w:bidi="ar-SA"/>
    </w:rPr>
  </w:style>
  <w:style w:type="paragraph" w:customStyle="1" w:styleId="CharCharCharChar1CharChar">
    <w:name w:val="อักขระ อักขระ Char Char อักขระ อักขระ Char Char อักขระ อักขระ1 Char Char อักขระ อักขระ"/>
    <w:basedOn w:val="Normal"/>
    <w:uiPriority w:val="99"/>
    <w:rsid w:val="009C7F58"/>
    <w:pPr>
      <w:spacing w:after="160" w:line="240" w:lineRule="exact"/>
    </w:pPr>
    <w:rPr>
      <w:rFonts w:ascii="Verdana" w:hAnsi="Verdana"/>
      <w:sz w:val="26"/>
      <w:szCs w:val="20"/>
      <w:lang w:bidi="ar-SA"/>
    </w:rPr>
  </w:style>
  <w:style w:type="paragraph" w:customStyle="1" w:styleId="CharCharCharChar0">
    <w:name w:val="Char Char อักขระ อักขระ Char Char อักขระ อักขระ"/>
    <w:basedOn w:val="Normal"/>
    <w:uiPriority w:val="99"/>
    <w:rsid w:val="009C7F58"/>
    <w:pPr>
      <w:spacing w:after="160" w:line="240" w:lineRule="exact"/>
    </w:pPr>
    <w:rPr>
      <w:rFonts w:ascii="Verdana" w:hAnsi="Verdana"/>
      <w:sz w:val="26"/>
      <w:szCs w:val="20"/>
      <w:lang w:bidi="ar-SA"/>
    </w:rPr>
  </w:style>
  <w:style w:type="paragraph" w:customStyle="1" w:styleId="CharCharCharCharCharCharCharChar">
    <w:name w:val="Char Char อักขระ อักขระ Char Char อักขระ อักขระ Char Char อักขระ อักขระ Char Char อักขระ อักขระ"/>
    <w:basedOn w:val="Normal"/>
    <w:uiPriority w:val="99"/>
    <w:rsid w:val="009C7F58"/>
    <w:pPr>
      <w:spacing w:after="160" w:line="240" w:lineRule="exact"/>
    </w:pPr>
    <w:rPr>
      <w:rFonts w:ascii="Verdana" w:hAnsi="Verdana" w:cs="Times New Roman"/>
      <w:sz w:val="26"/>
      <w:szCs w:val="20"/>
      <w:lang w:bidi="ar-SA"/>
    </w:rPr>
  </w:style>
  <w:style w:type="paragraph" w:customStyle="1" w:styleId="CharCharCharChar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9C7F58"/>
    <w:pPr>
      <w:spacing w:after="160" w:line="240" w:lineRule="exact"/>
    </w:pPr>
    <w:rPr>
      <w:rFonts w:ascii="Verdana" w:hAnsi="Verdana" w:cs="Times New Roman"/>
      <w:sz w:val="26"/>
      <w:szCs w:val="20"/>
      <w:lang w:bidi="ar-SA"/>
    </w:rPr>
  </w:style>
  <w:style w:type="paragraph" w:customStyle="1" w:styleId="1CharChar">
    <w:name w:val="อักขระ อักขระ1 Char Char อักขระ อักขระ"/>
    <w:basedOn w:val="Normal"/>
    <w:uiPriority w:val="99"/>
    <w:rsid w:val="009C7F58"/>
    <w:pPr>
      <w:spacing w:after="160" w:line="240" w:lineRule="exact"/>
    </w:pPr>
    <w:rPr>
      <w:rFonts w:ascii="Verdana" w:hAnsi="Verdana"/>
      <w:sz w:val="26"/>
      <w:szCs w:val="20"/>
      <w:lang w:bidi="ar-SA"/>
    </w:rPr>
  </w:style>
  <w:style w:type="paragraph" w:customStyle="1" w:styleId="CharCharCharCharCharCharCharChar1CharCharCharCharCharCharCharChar">
    <w:name w:val="อักขระ อักขระ Char Char อักขระ อักขระ Char Char อักขระ อักขระ Char Char อักขระ อักขระ Char Char อักขระ อักขระ1 Char Char อักขระ อักขระ Char Char อักขระ อักขระ Char Char อักขระ อักขระ Char Char อักขระ อักขระ"/>
    <w:basedOn w:val="Normal"/>
    <w:uiPriority w:val="99"/>
    <w:rsid w:val="009C7F58"/>
    <w:pPr>
      <w:spacing w:after="160" w:line="240" w:lineRule="exact"/>
    </w:pPr>
    <w:rPr>
      <w:rFonts w:ascii="Verdana" w:hAnsi="Verdana" w:cs="Times New Roman"/>
      <w:sz w:val="26"/>
      <w:szCs w:val="20"/>
      <w:lang w:bidi="ar-SA"/>
    </w:rPr>
  </w:style>
  <w:style w:type="paragraph" w:customStyle="1" w:styleId="a3">
    <w:name w:val="อักขระ"/>
    <w:basedOn w:val="Normal"/>
    <w:uiPriority w:val="99"/>
    <w:rsid w:val="009C7F58"/>
    <w:pPr>
      <w:spacing w:after="160" w:line="240" w:lineRule="exact"/>
    </w:pPr>
    <w:rPr>
      <w:rFonts w:ascii="Verdana" w:hAnsi="Verdana" w:cs="Times New Roman"/>
      <w:sz w:val="26"/>
      <w:szCs w:val="20"/>
      <w:lang w:bidi="ar-SA"/>
    </w:rPr>
  </w:style>
  <w:style w:type="paragraph" w:customStyle="1" w:styleId="CharChar1">
    <w:name w:val="อักขระ อักขระ Char Char1 อักขระ อักขระ"/>
    <w:basedOn w:val="Normal"/>
    <w:uiPriority w:val="99"/>
    <w:rsid w:val="009C7F58"/>
    <w:pPr>
      <w:spacing w:after="160" w:line="240" w:lineRule="exact"/>
    </w:pPr>
    <w:rPr>
      <w:rFonts w:ascii="Verdana" w:hAnsi="Verdana"/>
      <w:sz w:val="26"/>
      <w:szCs w:val="20"/>
      <w:lang w:bidi="ar-SA"/>
    </w:rPr>
  </w:style>
  <w:style w:type="paragraph" w:customStyle="1" w:styleId="CharCharCharCharCharChar0">
    <w:name w:val="อักขระ อักขระ Char Char อักขระ อักขระ Char Char อักขระ อักขระ Char Char อักขระ อักขระ"/>
    <w:basedOn w:val="Normal"/>
    <w:uiPriority w:val="99"/>
    <w:rsid w:val="009C7F58"/>
    <w:pPr>
      <w:spacing w:after="160" w:line="240" w:lineRule="exact"/>
    </w:pPr>
    <w:rPr>
      <w:rFonts w:ascii="Verdana" w:hAnsi="Verdana" w:cs="Times New Roman"/>
      <w:sz w:val="26"/>
      <w:szCs w:val="20"/>
      <w:lang w:bidi="ar-SA"/>
    </w:rPr>
  </w:style>
  <w:style w:type="paragraph" w:customStyle="1" w:styleId="1CharCharCharCharCharCharCharChar">
    <w:name w:val="อักขระ อักขระ1 Char Char อักขระ อักขระ Char Char อักขระ อักขระ Char Char อักขระ อักขระ Char Char อักขระ อักขระ"/>
    <w:basedOn w:val="Normal"/>
    <w:uiPriority w:val="99"/>
    <w:rsid w:val="009C7F58"/>
    <w:pPr>
      <w:spacing w:after="160" w:line="240" w:lineRule="exact"/>
    </w:pPr>
    <w:rPr>
      <w:rFonts w:ascii="Verdana" w:hAnsi="Verdana"/>
      <w:sz w:val="26"/>
      <w:szCs w:val="20"/>
      <w:lang w:bidi="ar-SA"/>
    </w:rPr>
  </w:style>
  <w:style w:type="paragraph" w:customStyle="1" w:styleId="CharChar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Char Char"/>
    <w:basedOn w:val="Normal"/>
    <w:uiPriority w:val="99"/>
    <w:rsid w:val="009C7F58"/>
    <w:pPr>
      <w:spacing w:after="160" w:line="240" w:lineRule="exact"/>
    </w:pPr>
    <w:rPr>
      <w:rFonts w:ascii="Verdana" w:hAnsi="Verdana" w:cs="Times New Roman"/>
      <w:sz w:val="26"/>
      <w:szCs w:val="20"/>
      <w:lang w:bidi="ar-SA"/>
    </w:rPr>
  </w:style>
  <w:style w:type="paragraph" w:customStyle="1" w:styleId="1CharCharCharCharCharCharCharCharCharChar">
    <w:name w:val="อักขระ อักขระ1 Char Char อักขระ อักขระ Char Char อักขระ อักขระ Char Char อักขระ อักขระ Char Char อักขระ อักขระ Char Char"/>
    <w:basedOn w:val="Normal"/>
    <w:uiPriority w:val="99"/>
    <w:rsid w:val="009C7F58"/>
    <w:pPr>
      <w:spacing w:after="160" w:line="240" w:lineRule="exact"/>
    </w:pPr>
    <w:rPr>
      <w:rFonts w:ascii="Verdana" w:hAnsi="Verdana" w:cs="Times New Roman"/>
      <w:sz w:val="26"/>
      <w:szCs w:val="20"/>
      <w:lang w:bidi="ar-SA"/>
    </w:rPr>
  </w:style>
  <w:style w:type="paragraph" w:customStyle="1" w:styleId="CharChar10">
    <w:name w:val="อักขระ อักขระ Char Char1"/>
    <w:basedOn w:val="Normal"/>
    <w:uiPriority w:val="99"/>
    <w:rsid w:val="009C7F58"/>
    <w:pPr>
      <w:spacing w:after="160" w:line="240" w:lineRule="exact"/>
    </w:pPr>
    <w:rPr>
      <w:rFonts w:ascii="Verdana" w:hAnsi="Verdana" w:cs="Times New Roman"/>
      <w:sz w:val="26"/>
      <w:szCs w:val="20"/>
      <w:lang w:bidi="ar-SA"/>
    </w:rPr>
  </w:style>
  <w:style w:type="paragraph" w:customStyle="1" w:styleId="CharChar2">
    <w:name w:val="Char Char"/>
    <w:basedOn w:val="Normal"/>
    <w:uiPriority w:val="99"/>
    <w:rsid w:val="009C7F58"/>
    <w:pPr>
      <w:spacing w:after="160" w:line="240" w:lineRule="exact"/>
    </w:pPr>
    <w:rPr>
      <w:rFonts w:ascii="Verdana" w:hAnsi="Verdana" w:cs="Times New Roman"/>
      <w:sz w:val="26"/>
      <w:szCs w:val="20"/>
      <w:lang w:bidi="ar-SA"/>
    </w:rPr>
  </w:style>
  <w:style w:type="paragraph" w:styleId="FootnoteText">
    <w:name w:val="footnote text"/>
    <w:aliases w:val="ft"/>
    <w:basedOn w:val="Normal"/>
    <w:link w:val="FootnoteTextChar"/>
    <w:uiPriority w:val="99"/>
    <w:rsid w:val="009C7F58"/>
    <w:pPr>
      <w:spacing w:line="260" w:lineRule="atLeast"/>
      <w:ind w:left="605" w:right="43"/>
      <w:jc w:val="thaiDistribute"/>
    </w:pPr>
    <w:rPr>
      <w:rFonts w:cs="CG Times (W1)"/>
      <w:sz w:val="18"/>
      <w:szCs w:val="18"/>
    </w:rPr>
  </w:style>
  <w:style w:type="character" w:customStyle="1" w:styleId="FootnoteTextChar">
    <w:name w:val="Footnote Text Char"/>
    <w:aliases w:val="ft Char"/>
    <w:link w:val="FootnoteText"/>
    <w:uiPriority w:val="99"/>
    <w:rsid w:val="009C7F58"/>
    <w:rPr>
      <w:rFonts w:cs="CG Times (W1)"/>
      <w:sz w:val="18"/>
      <w:szCs w:val="18"/>
      <w:lang w:val="en-GB"/>
    </w:rPr>
  </w:style>
  <w:style w:type="paragraph" w:customStyle="1" w:styleId="CharCharCharChar1CharCharCharChar">
    <w:name w:val="Char Char อักขระ อักขระ Char Char1 อักขระ อักขระ Char Char อักขระ อักขระ Char Char อักขระ อักขระ"/>
    <w:basedOn w:val="Normal"/>
    <w:rsid w:val="009C7F58"/>
    <w:pPr>
      <w:spacing w:after="160" w:line="240" w:lineRule="exact"/>
      <w:ind w:left="605" w:right="43"/>
      <w:jc w:val="thaiDistribute"/>
    </w:pPr>
    <w:rPr>
      <w:rFonts w:ascii="Verdana" w:hAnsi="Verdana" w:cs="Times New Roman"/>
      <w:sz w:val="26"/>
      <w:szCs w:val="20"/>
      <w:lang w:bidi="ar-SA"/>
    </w:rPr>
  </w:style>
  <w:style w:type="paragraph" w:customStyle="1" w:styleId="HeadEAAAAAA">
    <w:name w:val="HeadEAAAAAA"/>
    <w:basedOn w:val="Heading1"/>
    <w:link w:val="HeadEAAAAAAChar"/>
    <w:qFormat/>
    <w:rsid w:val="009C7F58"/>
    <w:pPr>
      <w:tabs>
        <w:tab w:val="left" w:pos="540"/>
      </w:tabs>
      <w:ind w:left="547" w:right="0" w:hanging="547"/>
      <w:jc w:val="thaiDistribute"/>
    </w:pPr>
    <w:rPr>
      <w:rFonts w:ascii="Angsana New" w:eastAsia="MS Mincho" w:hAnsi="Angsana New"/>
      <w:b/>
      <w:bCs/>
      <w:kern w:val="28"/>
      <w:sz w:val="26"/>
      <w:szCs w:val="26"/>
      <w:u w:val="none"/>
      <w:lang w:val="x-none"/>
    </w:rPr>
  </w:style>
  <w:style w:type="paragraph" w:styleId="TOCHeading">
    <w:name w:val="TOC Heading"/>
    <w:basedOn w:val="Heading1"/>
    <w:next w:val="Normal"/>
    <w:uiPriority w:val="39"/>
    <w:unhideWhenUsed/>
    <w:qFormat/>
    <w:rsid w:val="009C7F58"/>
    <w:pPr>
      <w:keepLines/>
      <w:spacing w:before="240" w:line="259" w:lineRule="auto"/>
      <w:ind w:right="0"/>
      <w:jc w:val="left"/>
      <w:outlineLvl w:val="9"/>
    </w:pPr>
    <w:rPr>
      <w:rFonts w:ascii="Calibri Light" w:hAnsi="Calibri Light"/>
      <w:color w:val="2E74B5"/>
      <w:sz w:val="32"/>
      <w:szCs w:val="32"/>
      <w:u w:val="none"/>
      <w:lang w:bidi="ar-SA"/>
    </w:rPr>
  </w:style>
  <w:style w:type="character" w:customStyle="1" w:styleId="HeadEAAAAAAChar">
    <w:name w:val="HeadEAAAAAA Char"/>
    <w:link w:val="HeadEAAAAAA"/>
    <w:rsid w:val="009C7F58"/>
    <w:rPr>
      <w:rFonts w:ascii="Angsana New" w:eastAsia="MS Mincho" w:hAnsi="Angsana New"/>
      <w:b/>
      <w:bCs/>
      <w:kern w:val="28"/>
      <w:sz w:val="26"/>
      <w:szCs w:val="26"/>
      <w:lang w:val="x-none"/>
    </w:rPr>
  </w:style>
  <w:style w:type="paragraph" w:styleId="TOC1">
    <w:name w:val="toc 1"/>
    <w:basedOn w:val="Normal"/>
    <w:next w:val="Normal"/>
    <w:autoRedefine/>
    <w:uiPriority w:val="39"/>
    <w:rsid w:val="009C7F58"/>
    <w:pPr>
      <w:spacing w:line="240" w:lineRule="atLeast"/>
    </w:pPr>
    <w:rPr>
      <w:rFonts w:ascii="Angsana New" w:eastAsia="MS Mincho" w:hAnsi="Angsana New"/>
      <w:sz w:val="26"/>
      <w:szCs w:val="20"/>
    </w:rPr>
  </w:style>
  <w:style w:type="paragraph" w:styleId="TOC3">
    <w:name w:val="toc 3"/>
    <w:basedOn w:val="Normal"/>
    <w:next w:val="Normal"/>
    <w:autoRedefine/>
    <w:uiPriority w:val="39"/>
    <w:rsid w:val="009C7F58"/>
    <w:pPr>
      <w:spacing w:line="240" w:lineRule="atLeast"/>
      <w:ind w:left="520"/>
    </w:pPr>
    <w:rPr>
      <w:rFonts w:ascii="Angsana New" w:eastAsia="MS Mincho" w:hAnsi="Angsana New"/>
      <w:sz w:val="26"/>
      <w:szCs w:val="20"/>
    </w:rPr>
  </w:style>
  <w:style w:type="paragraph" w:styleId="TOC2">
    <w:name w:val="toc 2"/>
    <w:basedOn w:val="Normal"/>
    <w:next w:val="Normal"/>
    <w:autoRedefine/>
    <w:uiPriority w:val="39"/>
    <w:rsid w:val="009C7F58"/>
    <w:pPr>
      <w:spacing w:line="240" w:lineRule="atLeast"/>
      <w:ind w:left="260"/>
    </w:pPr>
    <w:rPr>
      <w:rFonts w:ascii="Angsana New" w:eastAsia="MS Mincho" w:hAnsi="Angsana New"/>
      <w:sz w:val="26"/>
      <w:szCs w:val="20"/>
    </w:rPr>
  </w:style>
  <w:style w:type="paragraph" w:styleId="TOC4">
    <w:name w:val="toc 4"/>
    <w:basedOn w:val="Normal"/>
    <w:next w:val="Normal"/>
    <w:autoRedefine/>
    <w:uiPriority w:val="39"/>
    <w:unhideWhenUsed/>
    <w:rsid w:val="009C7F58"/>
    <w:pPr>
      <w:spacing w:after="100" w:line="259" w:lineRule="auto"/>
      <w:ind w:left="660"/>
    </w:pPr>
    <w:rPr>
      <w:rFonts w:ascii="Calibri" w:hAnsi="Calibri" w:cs="Cordia New"/>
      <w:sz w:val="22"/>
    </w:rPr>
  </w:style>
  <w:style w:type="paragraph" w:styleId="TOC5">
    <w:name w:val="toc 5"/>
    <w:basedOn w:val="Normal"/>
    <w:next w:val="Normal"/>
    <w:autoRedefine/>
    <w:uiPriority w:val="39"/>
    <w:unhideWhenUsed/>
    <w:rsid w:val="009C7F58"/>
    <w:pPr>
      <w:spacing w:after="100" w:line="259" w:lineRule="auto"/>
      <w:ind w:left="880"/>
    </w:pPr>
    <w:rPr>
      <w:rFonts w:ascii="Calibri" w:hAnsi="Calibri" w:cs="Cordia New"/>
      <w:sz w:val="22"/>
    </w:rPr>
  </w:style>
  <w:style w:type="paragraph" w:styleId="TOC6">
    <w:name w:val="toc 6"/>
    <w:basedOn w:val="Normal"/>
    <w:next w:val="Normal"/>
    <w:autoRedefine/>
    <w:uiPriority w:val="39"/>
    <w:unhideWhenUsed/>
    <w:rsid w:val="009C7F58"/>
    <w:pPr>
      <w:spacing w:after="100" w:line="259" w:lineRule="auto"/>
      <w:ind w:left="1100"/>
    </w:pPr>
    <w:rPr>
      <w:rFonts w:ascii="Calibri" w:hAnsi="Calibri" w:cs="Cordia New"/>
      <w:sz w:val="22"/>
    </w:rPr>
  </w:style>
  <w:style w:type="paragraph" w:styleId="TOC7">
    <w:name w:val="toc 7"/>
    <w:basedOn w:val="Normal"/>
    <w:next w:val="Normal"/>
    <w:autoRedefine/>
    <w:uiPriority w:val="39"/>
    <w:unhideWhenUsed/>
    <w:rsid w:val="009C7F58"/>
    <w:pPr>
      <w:spacing w:after="100" w:line="259" w:lineRule="auto"/>
      <w:ind w:left="1320"/>
    </w:pPr>
    <w:rPr>
      <w:rFonts w:ascii="Calibri" w:hAnsi="Calibri" w:cs="Cordia New"/>
      <w:sz w:val="22"/>
    </w:rPr>
  </w:style>
  <w:style w:type="paragraph" w:styleId="TOC8">
    <w:name w:val="toc 8"/>
    <w:basedOn w:val="Normal"/>
    <w:next w:val="Normal"/>
    <w:autoRedefine/>
    <w:uiPriority w:val="39"/>
    <w:unhideWhenUsed/>
    <w:rsid w:val="009C7F58"/>
    <w:pPr>
      <w:spacing w:after="100" w:line="259" w:lineRule="auto"/>
      <w:ind w:left="1540"/>
    </w:pPr>
    <w:rPr>
      <w:rFonts w:ascii="Calibri" w:hAnsi="Calibri" w:cs="Cordia New"/>
      <w:sz w:val="22"/>
    </w:rPr>
  </w:style>
  <w:style w:type="paragraph" w:styleId="TOC9">
    <w:name w:val="toc 9"/>
    <w:basedOn w:val="Normal"/>
    <w:next w:val="Normal"/>
    <w:autoRedefine/>
    <w:uiPriority w:val="39"/>
    <w:unhideWhenUsed/>
    <w:rsid w:val="009C7F58"/>
    <w:pPr>
      <w:spacing w:after="100" w:line="259" w:lineRule="auto"/>
      <w:ind w:left="1760"/>
    </w:pPr>
    <w:rPr>
      <w:rFonts w:ascii="Calibri" w:hAnsi="Calibri" w:cs="Cordia New"/>
      <w:sz w:val="22"/>
    </w:rPr>
  </w:style>
  <w:style w:type="paragraph" w:customStyle="1" w:styleId="EANormal">
    <w:name w:val="EANormal"/>
    <w:basedOn w:val="Normal"/>
    <w:link w:val="EANormalChar"/>
    <w:qFormat/>
    <w:rsid w:val="009C7F58"/>
    <w:pPr>
      <w:ind w:left="547"/>
      <w:jc w:val="thaiDistribute"/>
      <w:outlineLvl w:val="2"/>
    </w:pPr>
    <w:rPr>
      <w:rFonts w:ascii="Angsana New" w:eastAsia="MS Mincho" w:hAnsi="Angsana New"/>
      <w:sz w:val="26"/>
      <w:szCs w:val="26"/>
    </w:rPr>
  </w:style>
  <w:style w:type="character" w:customStyle="1" w:styleId="EANormalChar">
    <w:name w:val="EANormal Char"/>
    <w:link w:val="EANormal"/>
    <w:rsid w:val="009C7F58"/>
    <w:rPr>
      <w:rFonts w:ascii="Angsana New" w:eastAsia="MS Mincho" w:hAnsi="Angsana New"/>
      <w:sz w:val="26"/>
      <w:szCs w:val="26"/>
      <w:lang w:val="en-GB"/>
    </w:rPr>
  </w:style>
  <w:style w:type="character" w:styleId="FootnoteReference">
    <w:name w:val="footnote reference"/>
    <w:uiPriority w:val="99"/>
    <w:unhideWhenUsed/>
    <w:rsid w:val="009C7F58"/>
    <w:rPr>
      <w:rFonts w:ascii="Arial" w:hAnsi="Arial" w:cs="Arial" w:hint="default"/>
      <w:sz w:val="20"/>
      <w:vertAlign w:val="superscript"/>
    </w:rPr>
  </w:style>
  <w:style w:type="table" w:customStyle="1" w:styleId="TableGridLight1">
    <w:name w:val="Table Grid Light1"/>
    <w:basedOn w:val="TableNormal"/>
    <w:next w:val="TableGridLight"/>
    <w:uiPriority w:val="40"/>
    <w:rsid w:val="009C7F58"/>
    <w:rPr>
      <w:rFonts w:ascii="Arial" w:eastAsia="Arial" w:hAnsi="Arial"/>
      <w:sz w:val="22"/>
      <w:szCs w:val="28"/>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eop">
    <w:name w:val="eop"/>
    <w:basedOn w:val="DefaultParagraphFont"/>
    <w:rsid w:val="001D188E"/>
  </w:style>
  <w:style w:type="table" w:customStyle="1" w:styleId="179">
    <w:name w:val="179"/>
    <w:basedOn w:val="TableNormal"/>
    <w:rsid w:val="002A1508"/>
    <w:pPr>
      <w:spacing w:after="160" w:line="259" w:lineRule="auto"/>
    </w:pPr>
    <w:rPr>
      <w:rFonts w:ascii="Arial" w:eastAsia="Arial" w:hAnsi="Arial" w:cs="Arial"/>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7">
      <w:bodyDiv w:val="1"/>
      <w:marLeft w:val="0"/>
      <w:marRight w:val="0"/>
      <w:marTop w:val="0"/>
      <w:marBottom w:val="0"/>
      <w:divBdr>
        <w:top w:val="none" w:sz="0" w:space="0" w:color="auto"/>
        <w:left w:val="none" w:sz="0" w:space="0" w:color="auto"/>
        <w:bottom w:val="none" w:sz="0" w:space="0" w:color="auto"/>
        <w:right w:val="none" w:sz="0" w:space="0" w:color="auto"/>
      </w:divBdr>
    </w:div>
    <w:div w:id="24990896">
      <w:bodyDiv w:val="1"/>
      <w:marLeft w:val="0"/>
      <w:marRight w:val="0"/>
      <w:marTop w:val="0"/>
      <w:marBottom w:val="0"/>
      <w:divBdr>
        <w:top w:val="none" w:sz="0" w:space="0" w:color="auto"/>
        <w:left w:val="none" w:sz="0" w:space="0" w:color="auto"/>
        <w:bottom w:val="none" w:sz="0" w:space="0" w:color="auto"/>
        <w:right w:val="none" w:sz="0" w:space="0" w:color="auto"/>
      </w:divBdr>
      <w:divsChild>
        <w:div w:id="35744157">
          <w:marLeft w:val="0"/>
          <w:marRight w:val="0"/>
          <w:marTop w:val="0"/>
          <w:marBottom w:val="0"/>
          <w:divBdr>
            <w:top w:val="none" w:sz="0" w:space="0" w:color="auto"/>
            <w:left w:val="none" w:sz="0" w:space="0" w:color="auto"/>
            <w:bottom w:val="none" w:sz="0" w:space="0" w:color="auto"/>
            <w:right w:val="none" w:sz="0" w:space="0" w:color="auto"/>
          </w:divBdr>
        </w:div>
        <w:div w:id="315694369">
          <w:marLeft w:val="0"/>
          <w:marRight w:val="0"/>
          <w:marTop w:val="0"/>
          <w:marBottom w:val="0"/>
          <w:divBdr>
            <w:top w:val="none" w:sz="0" w:space="0" w:color="auto"/>
            <w:left w:val="none" w:sz="0" w:space="0" w:color="auto"/>
            <w:bottom w:val="none" w:sz="0" w:space="0" w:color="auto"/>
            <w:right w:val="none" w:sz="0" w:space="0" w:color="auto"/>
          </w:divBdr>
        </w:div>
        <w:div w:id="547881787">
          <w:marLeft w:val="0"/>
          <w:marRight w:val="0"/>
          <w:marTop w:val="0"/>
          <w:marBottom w:val="0"/>
          <w:divBdr>
            <w:top w:val="none" w:sz="0" w:space="0" w:color="auto"/>
            <w:left w:val="none" w:sz="0" w:space="0" w:color="auto"/>
            <w:bottom w:val="none" w:sz="0" w:space="0" w:color="auto"/>
            <w:right w:val="none" w:sz="0" w:space="0" w:color="auto"/>
          </w:divBdr>
        </w:div>
        <w:div w:id="771241499">
          <w:marLeft w:val="0"/>
          <w:marRight w:val="0"/>
          <w:marTop w:val="0"/>
          <w:marBottom w:val="0"/>
          <w:divBdr>
            <w:top w:val="none" w:sz="0" w:space="0" w:color="auto"/>
            <w:left w:val="none" w:sz="0" w:space="0" w:color="auto"/>
            <w:bottom w:val="none" w:sz="0" w:space="0" w:color="auto"/>
            <w:right w:val="none" w:sz="0" w:space="0" w:color="auto"/>
          </w:divBdr>
        </w:div>
        <w:div w:id="862980514">
          <w:marLeft w:val="0"/>
          <w:marRight w:val="0"/>
          <w:marTop w:val="0"/>
          <w:marBottom w:val="0"/>
          <w:divBdr>
            <w:top w:val="none" w:sz="0" w:space="0" w:color="auto"/>
            <w:left w:val="none" w:sz="0" w:space="0" w:color="auto"/>
            <w:bottom w:val="none" w:sz="0" w:space="0" w:color="auto"/>
            <w:right w:val="none" w:sz="0" w:space="0" w:color="auto"/>
          </w:divBdr>
        </w:div>
        <w:div w:id="1100292333">
          <w:marLeft w:val="0"/>
          <w:marRight w:val="0"/>
          <w:marTop w:val="0"/>
          <w:marBottom w:val="0"/>
          <w:divBdr>
            <w:top w:val="none" w:sz="0" w:space="0" w:color="auto"/>
            <w:left w:val="none" w:sz="0" w:space="0" w:color="auto"/>
            <w:bottom w:val="none" w:sz="0" w:space="0" w:color="auto"/>
            <w:right w:val="none" w:sz="0" w:space="0" w:color="auto"/>
          </w:divBdr>
        </w:div>
        <w:div w:id="1211380392">
          <w:marLeft w:val="0"/>
          <w:marRight w:val="0"/>
          <w:marTop w:val="0"/>
          <w:marBottom w:val="0"/>
          <w:divBdr>
            <w:top w:val="none" w:sz="0" w:space="0" w:color="auto"/>
            <w:left w:val="none" w:sz="0" w:space="0" w:color="auto"/>
            <w:bottom w:val="none" w:sz="0" w:space="0" w:color="auto"/>
            <w:right w:val="none" w:sz="0" w:space="0" w:color="auto"/>
          </w:divBdr>
        </w:div>
        <w:div w:id="1695227567">
          <w:marLeft w:val="0"/>
          <w:marRight w:val="0"/>
          <w:marTop w:val="0"/>
          <w:marBottom w:val="0"/>
          <w:divBdr>
            <w:top w:val="none" w:sz="0" w:space="0" w:color="auto"/>
            <w:left w:val="none" w:sz="0" w:space="0" w:color="auto"/>
            <w:bottom w:val="none" w:sz="0" w:space="0" w:color="auto"/>
            <w:right w:val="none" w:sz="0" w:space="0" w:color="auto"/>
          </w:divBdr>
        </w:div>
        <w:div w:id="1839273243">
          <w:marLeft w:val="0"/>
          <w:marRight w:val="0"/>
          <w:marTop w:val="0"/>
          <w:marBottom w:val="0"/>
          <w:divBdr>
            <w:top w:val="none" w:sz="0" w:space="0" w:color="auto"/>
            <w:left w:val="none" w:sz="0" w:space="0" w:color="auto"/>
            <w:bottom w:val="none" w:sz="0" w:space="0" w:color="auto"/>
            <w:right w:val="none" w:sz="0" w:space="0" w:color="auto"/>
          </w:divBdr>
        </w:div>
      </w:divsChild>
    </w:div>
    <w:div w:id="52704167">
      <w:bodyDiv w:val="1"/>
      <w:marLeft w:val="0"/>
      <w:marRight w:val="0"/>
      <w:marTop w:val="0"/>
      <w:marBottom w:val="0"/>
      <w:divBdr>
        <w:top w:val="none" w:sz="0" w:space="0" w:color="auto"/>
        <w:left w:val="none" w:sz="0" w:space="0" w:color="auto"/>
        <w:bottom w:val="none" w:sz="0" w:space="0" w:color="auto"/>
        <w:right w:val="none" w:sz="0" w:space="0" w:color="auto"/>
      </w:divBdr>
    </w:div>
    <w:div w:id="123432802">
      <w:bodyDiv w:val="1"/>
      <w:marLeft w:val="0"/>
      <w:marRight w:val="0"/>
      <w:marTop w:val="0"/>
      <w:marBottom w:val="0"/>
      <w:divBdr>
        <w:top w:val="none" w:sz="0" w:space="0" w:color="auto"/>
        <w:left w:val="none" w:sz="0" w:space="0" w:color="auto"/>
        <w:bottom w:val="none" w:sz="0" w:space="0" w:color="auto"/>
        <w:right w:val="none" w:sz="0" w:space="0" w:color="auto"/>
      </w:divBdr>
    </w:div>
    <w:div w:id="130683068">
      <w:bodyDiv w:val="1"/>
      <w:marLeft w:val="0"/>
      <w:marRight w:val="0"/>
      <w:marTop w:val="0"/>
      <w:marBottom w:val="0"/>
      <w:divBdr>
        <w:top w:val="none" w:sz="0" w:space="0" w:color="auto"/>
        <w:left w:val="none" w:sz="0" w:space="0" w:color="auto"/>
        <w:bottom w:val="none" w:sz="0" w:space="0" w:color="auto"/>
        <w:right w:val="none" w:sz="0" w:space="0" w:color="auto"/>
      </w:divBdr>
      <w:divsChild>
        <w:div w:id="11418460">
          <w:marLeft w:val="0"/>
          <w:marRight w:val="0"/>
          <w:marTop w:val="0"/>
          <w:marBottom w:val="0"/>
          <w:divBdr>
            <w:top w:val="none" w:sz="0" w:space="0" w:color="auto"/>
            <w:left w:val="none" w:sz="0" w:space="0" w:color="auto"/>
            <w:bottom w:val="none" w:sz="0" w:space="0" w:color="auto"/>
            <w:right w:val="none" w:sz="0" w:space="0" w:color="auto"/>
          </w:divBdr>
        </w:div>
        <w:div w:id="172113068">
          <w:marLeft w:val="0"/>
          <w:marRight w:val="0"/>
          <w:marTop w:val="0"/>
          <w:marBottom w:val="0"/>
          <w:divBdr>
            <w:top w:val="none" w:sz="0" w:space="0" w:color="auto"/>
            <w:left w:val="none" w:sz="0" w:space="0" w:color="auto"/>
            <w:bottom w:val="none" w:sz="0" w:space="0" w:color="auto"/>
            <w:right w:val="none" w:sz="0" w:space="0" w:color="auto"/>
          </w:divBdr>
        </w:div>
        <w:div w:id="207644532">
          <w:marLeft w:val="0"/>
          <w:marRight w:val="0"/>
          <w:marTop w:val="0"/>
          <w:marBottom w:val="0"/>
          <w:divBdr>
            <w:top w:val="none" w:sz="0" w:space="0" w:color="auto"/>
            <w:left w:val="none" w:sz="0" w:space="0" w:color="auto"/>
            <w:bottom w:val="none" w:sz="0" w:space="0" w:color="auto"/>
            <w:right w:val="none" w:sz="0" w:space="0" w:color="auto"/>
          </w:divBdr>
        </w:div>
        <w:div w:id="647513500">
          <w:marLeft w:val="0"/>
          <w:marRight w:val="0"/>
          <w:marTop w:val="0"/>
          <w:marBottom w:val="0"/>
          <w:divBdr>
            <w:top w:val="none" w:sz="0" w:space="0" w:color="auto"/>
            <w:left w:val="none" w:sz="0" w:space="0" w:color="auto"/>
            <w:bottom w:val="none" w:sz="0" w:space="0" w:color="auto"/>
            <w:right w:val="none" w:sz="0" w:space="0" w:color="auto"/>
          </w:divBdr>
        </w:div>
        <w:div w:id="1144665667">
          <w:marLeft w:val="0"/>
          <w:marRight w:val="0"/>
          <w:marTop w:val="0"/>
          <w:marBottom w:val="0"/>
          <w:divBdr>
            <w:top w:val="none" w:sz="0" w:space="0" w:color="auto"/>
            <w:left w:val="none" w:sz="0" w:space="0" w:color="auto"/>
            <w:bottom w:val="none" w:sz="0" w:space="0" w:color="auto"/>
            <w:right w:val="none" w:sz="0" w:space="0" w:color="auto"/>
          </w:divBdr>
        </w:div>
        <w:div w:id="1187913386">
          <w:marLeft w:val="0"/>
          <w:marRight w:val="0"/>
          <w:marTop w:val="0"/>
          <w:marBottom w:val="0"/>
          <w:divBdr>
            <w:top w:val="none" w:sz="0" w:space="0" w:color="auto"/>
            <w:left w:val="none" w:sz="0" w:space="0" w:color="auto"/>
            <w:bottom w:val="none" w:sz="0" w:space="0" w:color="auto"/>
            <w:right w:val="none" w:sz="0" w:space="0" w:color="auto"/>
          </w:divBdr>
        </w:div>
        <w:div w:id="1311785575">
          <w:marLeft w:val="0"/>
          <w:marRight w:val="0"/>
          <w:marTop w:val="0"/>
          <w:marBottom w:val="0"/>
          <w:divBdr>
            <w:top w:val="none" w:sz="0" w:space="0" w:color="auto"/>
            <w:left w:val="none" w:sz="0" w:space="0" w:color="auto"/>
            <w:bottom w:val="none" w:sz="0" w:space="0" w:color="auto"/>
            <w:right w:val="none" w:sz="0" w:space="0" w:color="auto"/>
          </w:divBdr>
        </w:div>
        <w:div w:id="1367413633">
          <w:marLeft w:val="0"/>
          <w:marRight w:val="0"/>
          <w:marTop w:val="0"/>
          <w:marBottom w:val="0"/>
          <w:divBdr>
            <w:top w:val="none" w:sz="0" w:space="0" w:color="auto"/>
            <w:left w:val="none" w:sz="0" w:space="0" w:color="auto"/>
            <w:bottom w:val="none" w:sz="0" w:space="0" w:color="auto"/>
            <w:right w:val="none" w:sz="0" w:space="0" w:color="auto"/>
          </w:divBdr>
        </w:div>
        <w:div w:id="2033458467">
          <w:marLeft w:val="0"/>
          <w:marRight w:val="0"/>
          <w:marTop w:val="0"/>
          <w:marBottom w:val="0"/>
          <w:divBdr>
            <w:top w:val="none" w:sz="0" w:space="0" w:color="auto"/>
            <w:left w:val="none" w:sz="0" w:space="0" w:color="auto"/>
            <w:bottom w:val="none" w:sz="0" w:space="0" w:color="auto"/>
            <w:right w:val="none" w:sz="0" w:space="0" w:color="auto"/>
          </w:divBdr>
        </w:div>
      </w:divsChild>
    </w:div>
    <w:div w:id="177013455">
      <w:bodyDiv w:val="1"/>
      <w:marLeft w:val="0"/>
      <w:marRight w:val="0"/>
      <w:marTop w:val="0"/>
      <w:marBottom w:val="0"/>
      <w:divBdr>
        <w:top w:val="none" w:sz="0" w:space="0" w:color="auto"/>
        <w:left w:val="none" w:sz="0" w:space="0" w:color="auto"/>
        <w:bottom w:val="none" w:sz="0" w:space="0" w:color="auto"/>
        <w:right w:val="none" w:sz="0" w:space="0" w:color="auto"/>
      </w:divBdr>
    </w:div>
    <w:div w:id="269244775">
      <w:bodyDiv w:val="1"/>
      <w:marLeft w:val="0"/>
      <w:marRight w:val="0"/>
      <w:marTop w:val="0"/>
      <w:marBottom w:val="0"/>
      <w:divBdr>
        <w:top w:val="none" w:sz="0" w:space="0" w:color="auto"/>
        <w:left w:val="none" w:sz="0" w:space="0" w:color="auto"/>
        <w:bottom w:val="none" w:sz="0" w:space="0" w:color="auto"/>
        <w:right w:val="none" w:sz="0" w:space="0" w:color="auto"/>
      </w:divBdr>
    </w:div>
    <w:div w:id="303631906">
      <w:bodyDiv w:val="1"/>
      <w:marLeft w:val="0"/>
      <w:marRight w:val="0"/>
      <w:marTop w:val="0"/>
      <w:marBottom w:val="0"/>
      <w:divBdr>
        <w:top w:val="none" w:sz="0" w:space="0" w:color="auto"/>
        <w:left w:val="none" w:sz="0" w:space="0" w:color="auto"/>
        <w:bottom w:val="none" w:sz="0" w:space="0" w:color="auto"/>
        <w:right w:val="none" w:sz="0" w:space="0" w:color="auto"/>
      </w:divBdr>
    </w:div>
    <w:div w:id="376272343">
      <w:bodyDiv w:val="1"/>
      <w:marLeft w:val="0"/>
      <w:marRight w:val="0"/>
      <w:marTop w:val="0"/>
      <w:marBottom w:val="0"/>
      <w:divBdr>
        <w:top w:val="none" w:sz="0" w:space="0" w:color="auto"/>
        <w:left w:val="none" w:sz="0" w:space="0" w:color="auto"/>
        <w:bottom w:val="none" w:sz="0" w:space="0" w:color="auto"/>
        <w:right w:val="none" w:sz="0" w:space="0" w:color="auto"/>
      </w:divBdr>
    </w:div>
    <w:div w:id="404110687">
      <w:bodyDiv w:val="1"/>
      <w:marLeft w:val="0"/>
      <w:marRight w:val="0"/>
      <w:marTop w:val="0"/>
      <w:marBottom w:val="0"/>
      <w:divBdr>
        <w:top w:val="none" w:sz="0" w:space="0" w:color="auto"/>
        <w:left w:val="none" w:sz="0" w:space="0" w:color="auto"/>
        <w:bottom w:val="none" w:sz="0" w:space="0" w:color="auto"/>
        <w:right w:val="none" w:sz="0" w:space="0" w:color="auto"/>
      </w:divBdr>
    </w:div>
    <w:div w:id="434600338">
      <w:bodyDiv w:val="1"/>
      <w:marLeft w:val="0"/>
      <w:marRight w:val="0"/>
      <w:marTop w:val="0"/>
      <w:marBottom w:val="0"/>
      <w:divBdr>
        <w:top w:val="none" w:sz="0" w:space="0" w:color="auto"/>
        <w:left w:val="none" w:sz="0" w:space="0" w:color="auto"/>
        <w:bottom w:val="none" w:sz="0" w:space="0" w:color="auto"/>
        <w:right w:val="none" w:sz="0" w:space="0" w:color="auto"/>
      </w:divBdr>
    </w:div>
    <w:div w:id="460029769">
      <w:bodyDiv w:val="1"/>
      <w:marLeft w:val="0"/>
      <w:marRight w:val="0"/>
      <w:marTop w:val="0"/>
      <w:marBottom w:val="0"/>
      <w:divBdr>
        <w:top w:val="none" w:sz="0" w:space="0" w:color="auto"/>
        <w:left w:val="none" w:sz="0" w:space="0" w:color="auto"/>
        <w:bottom w:val="none" w:sz="0" w:space="0" w:color="auto"/>
        <w:right w:val="none" w:sz="0" w:space="0" w:color="auto"/>
      </w:divBdr>
    </w:div>
    <w:div w:id="515852432">
      <w:bodyDiv w:val="1"/>
      <w:marLeft w:val="0"/>
      <w:marRight w:val="0"/>
      <w:marTop w:val="0"/>
      <w:marBottom w:val="0"/>
      <w:divBdr>
        <w:top w:val="none" w:sz="0" w:space="0" w:color="auto"/>
        <w:left w:val="none" w:sz="0" w:space="0" w:color="auto"/>
        <w:bottom w:val="none" w:sz="0" w:space="0" w:color="auto"/>
        <w:right w:val="none" w:sz="0" w:space="0" w:color="auto"/>
      </w:divBdr>
    </w:div>
    <w:div w:id="642075723">
      <w:bodyDiv w:val="1"/>
      <w:marLeft w:val="0"/>
      <w:marRight w:val="0"/>
      <w:marTop w:val="0"/>
      <w:marBottom w:val="0"/>
      <w:divBdr>
        <w:top w:val="none" w:sz="0" w:space="0" w:color="auto"/>
        <w:left w:val="none" w:sz="0" w:space="0" w:color="auto"/>
        <w:bottom w:val="none" w:sz="0" w:space="0" w:color="auto"/>
        <w:right w:val="none" w:sz="0" w:space="0" w:color="auto"/>
      </w:divBdr>
    </w:div>
    <w:div w:id="694113406">
      <w:bodyDiv w:val="1"/>
      <w:marLeft w:val="0"/>
      <w:marRight w:val="0"/>
      <w:marTop w:val="0"/>
      <w:marBottom w:val="0"/>
      <w:divBdr>
        <w:top w:val="none" w:sz="0" w:space="0" w:color="auto"/>
        <w:left w:val="none" w:sz="0" w:space="0" w:color="auto"/>
        <w:bottom w:val="none" w:sz="0" w:space="0" w:color="auto"/>
        <w:right w:val="none" w:sz="0" w:space="0" w:color="auto"/>
      </w:divBdr>
    </w:div>
    <w:div w:id="751463533">
      <w:bodyDiv w:val="1"/>
      <w:marLeft w:val="0"/>
      <w:marRight w:val="0"/>
      <w:marTop w:val="0"/>
      <w:marBottom w:val="0"/>
      <w:divBdr>
        <w:top w:val="none" w:sz="0" w:space="0" w:color="auto"/>
        <w:left w:val="none" w:sz="0" w:space="0" w:color="auto"/>
        <w:bottom w:val="none" w:sz="0" w:space="0" w:color="auto"/>
        <w:right w:val="none" w:sz="0" w:space="0" w:color="auto"/>
      </w:divBdr>
    </w:div>
    <w:div w:id="815994020">
      <w:bodyDiv w:val="1"/>
      <w:marLeft w:val="0"/>
      <w:marRight w:val="0"/>
      <w:marTop w:val="0"/>
      <w:marBottom w:val="0"/>
      <w:divBdr>
        <w:top w:val="none" w:sz="0" w:space="0" w:color="auto"/>
        <w:left w:val="none" w:sz="0" w:space="0" w:color="auto"/>
        <w:bottom w:val="none" w:sz="0" w:space="0" w:color="auto"/>
        <w:right w:val="none" w:sz="0" w:space="0" w:color="auto"/>
      </w:divBdr>
    </w:div>
    <w:div w:id="936643891">
      <w:bodyDiv w:val="1"/>
      <w:marLeft w:val="0"/>
      <w:marRight w:val="0"/>
      <w:marTop w:val="0"/>
      <w:marBottom w:val="0"/>
      <w:divBdr>
        <w:top w:val="none" w:sz="0" w:space="0" w:color="auto"/>
        <w:left w:val="none" w:sz="0" w:space="0" w:color="auto"/>
        <w:bottom w:val="none" w:sz="0" w:space="0" w:color="auto"/>
        <w:right w:val="none" w:sz="0" w:space="0" w:color="auto"/>
      </w:divBdr>
    </w:div>
    <w:div w:id="945162444">
      <w:bodyDiv w:val="1"/>
      <w:marLeft w:val="0"/>
      <w:marRight w:val="0"/>
      <w:marTop w:val="0"/>
      <w:marBottom w:val="0"/>
      <w:divBdr>
        <w:top w:val="none" w:sz="0" w:space="0" w:color="auto"/>
        <w:left w:val="none" w:sz="0" w:space="0" w:color="auto"/>
        <w:bottom w:val="none" w:sz="0" w:space="0" w:color="auto"/>
        <w:right w:val="none" w:sz="0" w:space="0" w:color="auto"/>
      </w:divBdr>
    </w:div>
    <w:div w:id="1265650732">
      <w:bodyDiv w:val="1"/>
      <w:marLeft w:val="0"/>
      <w:marRight w:val="0"/>
      <w:marTop w:val="0"/>
      <w:marBottom w:val="0"/>
      <w:divBdr>
        <w:top w:val="none" w:sz="0" w:space="0" w:color="auto"/>
        <w:left w:val="none" w:sz="0" w:space="0" w:color="auto"/>
        <w:bottom w:val="none" w:sz="0" w:space="0" w:color="auto"/>
        <w:right w:val="none" w:sz="0" w:space="0" w:color="auto"/>
      </w:divBdr>
      <w:divsChild>
        <w:div w:id="1512917183">
          <w:marLeft w:val="0"/>
          <w:marRight w:val="0"/>
          <w:marTop w:val="0"/>
          <w:marBottom w:val="0"/>
          <w:divBdr>
            <w:top w:val="none" w:sz="0" w:space="0" w:color="auto"/>
            <w:left w:val="none" w:sz="0" w:space="0" w:color="auto"/>
            <w:bottom w:val="none" w:sz="0" w:space="0" w:color="auto"/>
            <w:right w:val="none" w:sz="0" w:space="0" w:color="auto"/>
          </w:divBdr>
          <w:divsChild>
            <w:div w:id="72821522">
              <w:marLeft w:val="0"/>
              <w:marRight w:val="0"/>
              <w:marTop w:val="0"/>
              <w:marBottom w:val="0"/>
              <w:divBdr>
                <w:top w:val="none" w:sz="0" w:space="0" w:color="auto"/>
                <w:left w:val="none" w:sz="0" w:space="0" w:color="auto"/>
                <w:bottom w:val="none" w:sz="0" w:space="0" w:color="auto"/>
                <w:right w:val="none" w:sz="0" w:space="0" w:color="auto"/>
              </w:divBdr>
              <w:divsChild>
                <w:div w:id="1554997161">
                  <w:marLeft w:val="0"/>
                  <w:marRight w:val="0"/>
                  <w:marTop w:val="0"/>
                  <w:marBottom w:val="0"/>
                  <w:divBdr>
                    <w:top w:val="none" w:sz="0" w:space="0" w:color="auto"/>
                    <w:left w:val="none" w:sz="0" w:space="0" w:color="auto"/>
                    <w:bottom w:val="none" w:sz="0" w:space="0" w:color="auto"/>
                    <w:right w:val="none" w:sz="0" w:space="0" w:color="auto"/>
                  </w:divBdr>
                  <w:divsChild>
                    <w:div w:id="9478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8748">
          <w:marLeft w:val="60"/>
          <w:marRight w:val="0"/>
          <w:marTop w:val="0"/>
          <w:marBottom w:val="0"/>
          <w:divBdr>
            <w:top w:val="none" w:sz="0" w:space="0" w:color="auto"/>
            <w:left w:val="none" w:sz="0" w:space="0" w:color="auto"/>
            <w:bottom w:val="none" w:sz="0" w:space="0" w:color="auto"/>
            <w:right w:val="none" w:sz="0" w:space="0" w:color="auto"/>
          </w:divBdr>
          <w:divsChild>
            <w:div w:id="1263684416">
              <w:marLeft w:val="0"/>
              <w:marRight w:val="0"/>
              <w:marTop w:val="0"/>
              <w:marBottom w:val="0"/>
              <w:divBdr>
                <w:top w:val="none" w:sz="0" w:space="0" w:color="auto"/>
                <w:left w:val="none" w:sz="0" w:space="0" w:color="auto"/>
                <w:bottom w:val="none" w:sz="0" w:space="0" w:color="auto"/>
                <w:right w:val="none" w:sz="0" w:space="0" w:color="auto"/>
              </w:divBdr>
              <w:divsChild>
                <w:div w:id="1857190235">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270967478">
      <w:bodyDiv w:val="1"/>
      <w:marLeft w:val="0"/>
      <w:marRight w:val="0"/>
      <w:marTop w:val="0"/>
      <w:marBottom w:val="0"/>
      <w:divBdr>
        <w:top w:val="none" w:sz="0" w:space="0" w:color="auto"/>
        <w:left w:val="none" w:sz="0" w:space="0" w:color="auto"/>
        <w:bottom w:val="none" w:sz="0" w:space="0" w:color="auto"/>
        <w:right w:val="none" w:sz="0" w:space="0" w:color="auto"/>
      </w:divBdr>
    </w:div>
    <w:div w:id="1281255221">
      <w:bodyDiv w:val="1"/>
      <w:marLeft w:val="0"/>
      <w:marRight w:val="0"/>
      <w:marTop w:val="0"/>
      <w:marBottom w:val="0"/>
      <w:divBdr>
        <w:top w:val="none" w:sz="0" w:space="0" w:color="auto"/>
        <w:left w:val="none" w:sz="0" w:space="0" w:color="auto"/>
        <w:bottom w:val="none" w:sz="0" w:space="0" w:color="auto"/>
        <w:right w:val="none" w:sz="0" w:space="0" w:color="auto"/>
      </w:divBdr>
    </w:div>
    <w:div w:id="1292053124">
      <w:bodyDiv w:val="1"/>
      <w:marLeft w:val="0"/>
      <w:marRight w:val="0"/>
      <w:marTop w:val="0"/>
      <w:marBottom w:val="0"/>
      <w:divBdr>
        <w:top w:val="none" w:sz="0" w:space="0" w:color="auto"/>
        <w:left w:val="none" w:sz="0" w:space="0" w:color="auto"/>
        <w:bottom w:val="none" w:sz="0" w:space="0" w:color="auto"/>
        <w:right w:val="none" w:sz="0" w:space="0" w:color="auto"/>
      </w:divBdr>
    </w:div>
    <w:div w:id="1398169987">
      <w:bodyDiv w:val="1"/>
      <w:marLeft w:val="0"/>
      <w:marRight w:val="0"/>
      <w:marTop w:val="0"/>
      <w:marBottom w:val="0"/>
      <w:divBdr>
        <w:top w:val="none" w:sz="0" w:space="0" w:color="auto"/>
        <w:left w:val="none" w:sz="0" w:space="0" w:color="auto"/>
        <w:bottom w:val="none" w:sz="0" w:space="0" w:color="auto"/>
        <w:right w:val="none" w:sz="0" w:space="0" w:color="auto"/>
      </w:divBdr>
    </w:div>
    <w:div w:id="1446577029">
      <w:bodyDiv w:val="1"/>
      <w:marLeft w:val="0"/>
      <w:marRight w:val="0"/>
      <w:marTop w:val="0"/>
      <w:marBottom w:val="0"/>
      <w:divBdr>
        <w:top w:val="none" w:sz="0" w:space="0" w:color="auto"/>
        <w:left w:val="none" w:sz="0" w:space="0" w:color="auto"/>
        <w:bottom w:val="none" w:sz="0" w:space="0" w:color="auto"/>
        <w:right w:val="none" w:sz="0" w:space="0" w:color="auto"/>
      </w:divBdr>
    </w:div>
    <w:div w:id="1456867622">
      <w:bodyDiv w:val="1"/>
      <w:marLeft w:val="0"/>
      <w:marRight w:val="0"/>
      <w:marTop w:val="0"/>
      <w:marBottom w:val="0"/>
      <w:divBdr>
        <w:top w:val="none" w:sz="0" w:space="0" w:color="auto"/>
        <w:left w:val="none" w:sz="0" w:space="0" w:color="auto"/>
        <w:bottom w:val="none" w:sz="0" w:space="0" w:color="auto"/>
        <w:right w:val="none" w:sz="0" w:space="0" w:color="auto"/>
      </w:divBdr>
    </w:div>
    <w:div w:id="1521550985">
      <w:bodyDiv w:val="1"/>
      <w:marLeft w:val="0"/>
      <w:marRight w:val="0"/>
      <w:marTop w:val="0"/>
      <w:marBottom w:val="0"/>
      <w:divBdr>
        <w:top w:val="none" w:sz="0" w:space="0" w:color="auto"/>
        <w:left w:val="none" w:sz="0" w:space="0" w:color="auto"/>
        <w:bottom w:val="none" w:sz="0" w:space="0" w:color="auto"/>
        <w:right w:val="none" w:sz="0" w:space="0" w:color="auto"/>
      </w:divBdr>
    </w:div>
    <w:div w:id="1615791029">
      <w:bodyDiv w:val="1"/>
      <w:marLeft w:val="0"/>
      <w:marRight w:val="0"/>
      <w:marTop w:val="0"/>
      <w:marBottom w:val="0"/>
      <w:divBdr>
        <w:top w:val="none" w:sz="0" w:space="0" w:color="auto"/>
        <w:left w:val="none" w:sz="0" w:space="0" w:color="auto"/>
        <w:bottom w:val="none" w:sz="0" w:space="0" w:color="auto"/>
        <w:right w:val="none" w:sz="0" w:space="0" w:color="auto"/>
      </w:divBdr>
    </w:div>
    <w:div w:id="1662394100">
      <w:bodyDiv w:val="1"/>
      <w:marLeft w:val="0"/>
      <w:marRight w:val="0"/>
      <w:marTop w:val="0"/>
      <w:marBottom w:val="0"/>
      <w:divBdr>
        <w:top w:val="none" w:sz="0" w:space="0" w:color="auto"/>
        <w:left w:val="none" w:sz="0" w:space="0" w:color="auto"/>
        <w:bottom w:val="none" w:sz="0" w:space="0" w:color="auto"/>
        <w:right w:val="none" w:sz="0" w:space="0" w:color="auto"/>
      </w:divBdr>
    </w:div>
    <w:div w:id="1704865316">
      <w:bodyDiv w:val="1"/>
      <w:marLeft w:val="0"/>
      <w:marRight w:val="0"/>
      <w:marTop w:val="0"/>
      <w:marBottom w:val="0"/>
      <w:divBdr>
        <w:top w:val="none" w:sz="0" w:space="0" w:color="auto"/>
        <w:left w:val="none" w:sz="0" w:space="0" w:color="auto"/>
        <w:bottom w:val="none" w:sz="0" w:space="0" w:color="auto"/>
        <w:right w:val="none" w:sz="0" w:space="0" w:color="auto"/>
      </w:divBdr>
    </w:div>
    <w:div w:id="1773161268">
      <w:bodyDiv w:val="1"/>
      <w:marLeft w:val="0"/>
      <w:marRight w:val="0"/>
      <w:marTop w:val="0"/>
      <w:marBottom w:val="0"/>
      <w:divBdr>
        <w:top w:val="none" w:sz="0" w:space="0" w:color="auto"/>
        <w:left w:val="none" w:sz="0" w:space="0" w:color="auto"/>
        <w:bottom w:val="none" w:sz="0" w:space="0" w:color="auto"/>
        <w:right w:val="none" w:sz="0" w:space="0" w:color="auto"/>
      </w:divBdr>
    </w:div>
    <w:div w:id="1906379618">
      <w:bodyDiv w:val="1"/>
      <w:marLeft w:val="0"/>
      <w:marRight w:val="0"/>
      <w:marTop w:val="0"/>
      <w:marBottom w:val="0"/>
      <w:divBdr>
        <w:top w:val="none" w:sz="0" w:space="0" w:color="auto"/>
        <w:left w:val="none" w:sz="0" w:space="0" w:color="auto"/>
        <w:bottom w:val="none" w:sz="0" w:space="0" w:color="auto"/>
        <w:right w:val="none" w:sz="0" w:space="0" w:color="auto"/>
      </w:divBdr>
    </w:div>
    <w:div w:id="1916235536">
      <w:bodyDiv w:val="1"/>
      <w:marLeft w:val="0"/>
      <w:marRight w:val="0"/>
      <w:marTop w:val="0"/>
      <w:marBottom w:val="0"/>
      <w:divBdr>
        <w:top w:val="none" w:sz="0" w:space="0" w:color="auto"/>
        <w:left w:val="none" w:sz="0" w:space="0" w:color="auto"/>
        <w:bottom w:val="none" w:sz="0" w:space="0" w:color="auto"/>
        <w:right w:val="none" w:sz="0" w:space="0" w:color="auto"/>
      </w:divBdr>
    </w:div>
    <w:div w:id="1923446102">
      <w:bodyDiv w:val="1"/>
      <w:marLeft w:val="0"/>
      <w:marRight w:val="0"/>
      <w:marTop w:val="0"/>
      <w:marBottom w:val="0"/>
      <w:divBdr>
        <w:top w:val="none" w:sz="0" w:space="0" w:color="auto"/>
        <w:left w:val="none" w:sz="0" w:space="0" w:color="auto"/>
        <w:bottom w:val="none" w:sz="0" w:space="0" w:color="auto"/>
        <w:right w:val="none" w:sz="0" w:space="0" w:color="auto"/>
      </w:divBdr>
      <w:divsChild>
        <w:div w:id="257832920">
          <w:marLeft w:val="446"/>
          <w:marRight w:val="0"/>
          <w:marTop w:val="0"/>
          <w:marBottom w:val="0"/>
          <w:divBdr>
            <w:top w:val="none" w:sz="0" w:space="0" w:color="auto"/>
            <w:left w:val="none" w:sz="0" w:space="0" w:color="auto"/>
            <w:bottom w:val="none" w:sz="0" w:space="0" w:color="auto"/>
            <w:right w:val="none" w:sz="0" w:space="0" w:color="auto"/>
          </w:divBdr>
        </w:div>
      </w:divsChild>
    </w:div>
    <w:div w:id="1956255524">
      <w:bodyDiv w:val="1"/>
      <w:marLeft w:val="0"/>
      <w:marRight w:val="0"/>
      <w:marTop w:val="0"/>
      <w:marBottom w:val="0"/>
      <w:divBdr>
        <w:top w:val="none" w:sz="0" w:space="0" w:color="auto"/>
        <w:left w:val="none" w:sz="0" w:space="0" w:color="auto"/>
        <w:bottom w:val="none" w:sz="0" w:space="0" w:color="auto"/>
        <w:right w:val="none" w:sz="0" w:space="0" w:color="auto"/>
      </w:divBdr>
      <w:divsChild>
        <w:div w:id="409615714">
          <w:marLeft w:val="13"/>
          <w:marRight w:val="0"/>
          <w:marTop w:val="0"/>
          <w:marBottom w:val="0"/>
          <w:divBdr>
            <w:top w:val="none" w:sz="0" w:space="0" w:color="auto"/>
            <w:left w:val="none" w:sz="0" w:space="0" w:color="auto"/>
            <w:bottom w:val="none" w:sz="0" w:space="0" w:color="auto"/>
            <w:right w:val="none" w:sz="0" w:space="0" w:color="auto"/>
          </w:divBdr>
        </w:div>
      </w:divsChild>
    </w:div>
    <w:div w:id="1999768536">
      <w:bodyDiv w:val="1"/>
      <w:marLeft w:val="0"/>
      <w:marRight w:val="0"/>
      <w:marTop w:val="0"/>
      <w:marBottom w:val="0"/>
      <w:divBdr>
        <w:top w:val="none" w:sz="0" w:space="0" w:color="auto"/>
        <w:left w:val="none" w:sz="0" w:space="0" w:color="auto"/>
        <w:bottom w:val="none" w:sz="0" w:space="0" w:color="auto"/>
        <w:right w:val="none" w:sz="0" w:space="0" w:color="auto"/>
      </w:divBdr>
    </w:div>
    <w:div w:id="202447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a26bce-c093-4d73-84b1-dea480186b4b">
      <Terms xmlns="http://schemas.microsoft.com/office/infopath/2007/PartnerControls"/>
    </lcf76f155ced4ddcb4097134ff3c332f>
    <TaxCatchAll xmlns="55778e13-3d98-4d80-808b-768e6a719265"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B288E2A2E641EF4787AD5CCC907AE568" ma:contentTypeVersion="11" ma:contentTypeDescription="Create a new document." ma:contentTypeScope="" ma:versionID="95a3ebb3e8a22e8e7b58b86b89108a0f">
  <xsd:schema xmlns:xsd="http://www.w3.org/2001/XMLSchema" xmlns:xs="http://www.w3.org/2001/XMLSchema" xmlns:p="http://schemas.microsoft.com/office/2006/metadata/properties" xmlns:ns2="e6a26bce-c093-4d73-84b1-dea480186b4b" xmlns:ns3="55778e13-3d98-4d80-808b-768e6a719265" targetNamespace="http://schemas.microsoft.com/office/2006/metadata/properties" ma:root="true" ma:fieldsID="0b9edf85398af61a91bee711d66cadc3" ns2:_="" ns3:_="">
    <xsd:import namespace="e6a26bce-c093-4d73-84b1-dea480186b4b"/>
    <xsd:import namespace="55778e13-3d98-4d80-808b-768e6a7192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26bce-c093-4d73-84b1-dea480186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778e13-3d98-4d80-808b-768e6a7192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be803b-ee55-4278-a115-36bcc3039d8f}" ma:internalName="TaxCatchAll" ma:showField="CatchAllData" ma:web="55778e13-3d98-4d80-808b-768e6a7192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9EB799-9F74-468C-BA03-90CF4112EE21}">
  <ds:schemaRefs>
    <ds:schemaRef ds:uri="http://schemas.microsoft.com/office/2006/metadata/properties"/>
    <ds:schemaRef ds:uri="http://schemas.microsoft.com/office/infopath/2007/PartnerControls"/>
    <ds:schemaRef ds:uri="e6a26bce-c093-4d73-84b1-dea480186b4b"/>
    <ds:schemaRef ds:uri="55778e13-3d98-4d80-808b-768e6a719265"/>
  </ds:schemaRefs>
</ds:datastoreItem>
</file>

<file path=customXml/itemProps2.xml><?xml version="1.0" encoding="utf-8"?>
<ds:datastoreItem xmlns:ds="http://schemas.openxmlformats.org/officeDocument/2006/customXml" ds:itemID="{43F38F61-100A-4B63-9EF1-37FF9A0EAE7F}">
  <ds:schemaRefs>
    <ds:schemaRef ds:uri="http://schemas.openxmlformats.org/officeDocument/2006/bibliography"/>
  </ds:schemaRefs>
</ds:datastoreItem>
</file>

<file path=customXml/itemProps3.xml><?xml version="1.0" encoding="utf-8"?>
<ds:datastoreItem xmlns:ds="http://schemas.openxmlformats.org/officeDocument/2006/customXml" ds:itemID="{151647BF-2619-4E8A-B67E-63010B703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26bce-c093-4d73-84b1-dea480186b4b"/>
    <ds:schemaRef ds:uri="55778e13-3d98-4d80-808b-768e6a719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CB2FA0-3584-4C7B-9DF2-E51DE2264D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85</Pages>
  <Words>27035</Words>
  <Characters>154102</Characters>
  <Application>Microsoft Office Word</Application>
  <DocSecurity>0</DocSecurity>
  <Lines>1284</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Witniti Teeratchayoungkoon (TH)</dc:creator>
  <cp:keywords/>
  <dc:description/>
  <cp:lastModifiedBy>Sahachai Chatanantawej (TH)</cp:lastModifiedBy>
  <cp:revision>100</cp:revision>
  <cp:lastPrinted>2025-02-27T08:55:00Z</cp:lastPrinted>
  <dcterms:created xsi:type="dcterms:W3CDTF">2025-02-28T05:08:00Z</dcterms:created>
  <dcterms:modified xsi:type="dcterms:W3CDTF">2025-02-28T13:48:00Z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0x010100B288E2A2E641EF4787AD5CCC907AE568</vt:lpwstr>
  </property>
  <property fmtid="{D5CDD505-2E9C-101B-9397-08002B2CF9AE}" pid="4" name="GrammarlyDocumentId">
    <vt:lpwstr>ab187e26189472f5dad86bd736ceed810a00a0f40e1ad87a84df6311d159f925</vt:lpwstr>
  </property>
</Properties>
</file>